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A5B35FB" w14:textId="77343B7F" w:rsidR="0073734E" w:rsidRPr="00832773" w:rsidRDefault="000255D7" w:rsidP="00CE62C1">
      <w:pPr>
        <w:spacing w:line="276" w:lineRule="auto"/>
        <w:jc w:val="right"/>
        <w:rPr>
          <w:rFonts w:cs="Book Antiqua"/>
          <w:szCs w:val="24"/>
        </w:rPr>
      </w:pPr>
      <w:r>
        <w:rPr>
          <w:rFonts w:cs="Book Antiqua"/>
          <w:szCs w:val="24"/>
        </w:rPr>
        <w:t>1161</w:t>
      </w:r>
      <w:r w:rsidR="0073734E" w:rsidRPr="00832773">
        <w:rPr>
          <w:rFonts w:cs="Book Antiqua"/>
          <w:szCs w:val="24"/>
        </w:rPr>
        <w:t>-PLA-MI</w:t>
      </w:r>
      <w:r w:rsidR="00997A48">
        <w:rPr>
          <w:rFonts w:cs="Book Antiqua"/>
          <w:szCs w:val="24"/>
        </w:rPr>
        <w:t>(NPL)</w:t>
      </w:r>
      <w:r w:rsidR="0073734E" w:rsidRPr="00832773">
        <w:rPr>
          <w:rFonts w:cs="Book Antiqua"/>
          <w:szCs w:val="24"/>
        </w:rPr>
        <w:t>-2022</w:t>
      </w:r>
    </w:p>
    <w:p w14:paraId="0832B5EE" w14:textId="2E93AEAD" w:rsidR="0073734E" w:rsidRPr="004E74A6" w:rsidRDefault="0073734E" w:rsidP="00CE62C1">
      <w:pPr>
        <w:tabs>
          <w:tab w:val="left" w:pos="1740"/>
        </w:tabs>
        <w:spacing w:line="276" w:lineRule="auto"/>
        <w:jc w:val="right"/>
        <w:rPr>
          <w:szCs w:val="24"/>
          <w:lang w:eastAsia="es-CR"/>
        </w:rPr>
      </w:pPr>
      <w:r w:rsidRPr="004E74A6">
        <w:rPr>
          <w:rFonts w:cs="Book Antiqua"/>
          <w:szCs w:val="24"/>
        </w:rPr>
        <w:t xml:space="preserve">Ref. SICE: </w:t>
      </w:r>
      <w:r w:rsidRPr="004E74A6">
        <w:rPr>
          <w:szCs w:val="24"/>
          <w:lang w:eastAsia="es-CR"/>
        </w:rPr>
        <w:t>Ref</w:t>
      </w:r>
      <w:r w:rsidRPr="004E74A6">
        <w:rPr>
          <w:b/>
          <w:bCs/>
          <w:szCs w:val="24"/>
          <w:lang w:eastAsia="es-CR"/>
        </w:rPr>
        <w:t xml:space="preserve">. </w:t>
      </w:r>
      <w:r w:rsidRPr="000255D7">
        <w:rPr>
          <w:szCs w:val="24"/>
          <w:lang w:eastAsia="es-CR"/>
        </w:rPr>
        <w:t>485-2021</w:t>
      </w:r>
    </w:p>
    <w:p w14:paraId="1C7A137A" w14:textId="77777777" w:rsidR="0073734E" w:rsidRPr="004E74A6" w:rsidRDefault="0073734E" w:rsidP="00CE62C1">
      <w:pPr>
        <w:spacing w:line="276" w:lineRule="auto"/>
        <w:jc w:val="center"/>
        <w:rPr>
          <w:rFonts w:cs="Book Antiqua"/>
          <w:szCs w:val="24"/>
        </w:rPr>
      </w:pPr>
    </w:p>
    <w:p w14:paraId="1249E2A6" w14:textId="3E222D67" w:rsidR="0073734E" w:rsidRPr="00832773" w:rsidRDefault="00CE62C1" w:rsidP="00CE62C1">
      <w:pPr>
        <w:spacing w:line="276" w:lineRule="auto"/>
        <w:rPr>
          <w:rFonts w:cs="Book Antiqua"/>
          <w:szCs w:val="24"/>
        </w:rPr>
      </w:pPr>
      <w:r w:rsidRPr="00832773">
        <w:rPr>
          <w:rFonts w:cs="Book Antiqua"/>
          <w:szCs w:val="24"/>
        </w:rPr>
        <w:t>2</w:t>
      </w:r>
      <w:r w:rsidR="000255D7">
        <w:rPr>
          <w:rFonts w:cs="Book Antiqua"/>
          <w:szCs w:val="24"/>
        </w:rPr>
        <w:t>9</w:t>
      </w:r>
      <w:r w:rsidR="0073734E" w:rsidRPr="00832773">
        <w:rPr>
          <w:rFonts w:cs="Book Antiqua"/>
          <w:szCs w:val="24"/>
        </w:rPr>
        <w:t xml:space="preserve"> de </w:t>
      </w:r>
      <w:r w:rsidR="006F7344" w:rsidRPr="00832773">
        <w:rPr>
          <w:rFonts w:cs="Book Antiqua"/>
          <w:szCs w:val="24"/>
        </w:rPr>
        <w:t>noviembre</w:t>
      </w:r>
      <w:r w:rsidR="0073734E" w:rsidRPr="00832773">
        <w:rPr>
          <w:rFonts w:cs="Book Antiqua"/>
          <w:szCs w:val="24"/>
        </w:rPr>
        <w:t xml:space="preserve"> de</w:t>
      </w:r>
      <w:r w:rsidR="000255D7">
        <w:rPr>
          <w:rFonts w:cs="Book Antiqua"/>
          <w:szCs w:val="24"/>
        </w:rPr>
        <w:t>l</w:t>
      </w:r>
      <w:r w:rsidR="0073734E" w:rsidRPr="00832773">
        <w:rPr>
          <w:rFonts w:cs="Book Antiqua"/>
          <w:szCs w:val="24"/>
        </w:rPr>
        <w:t xml:space="preserve"> 2022</w:t>
      </w:r>
    </w:p>
    <w:p w14:paraId="3788BE0A" w14:textId="403496DE" w:rsidR="0073734E" w:rsidRDefault="0073734E" w:rsidP="00CE62C1">
      <w:pPr>
        <w:pStyle w:val="Textoindependiente2"/>
        <w:spacing w:line="276" w:lineRule="auto"/>
        <w:rPr>
          <w:rFonts w:ascii="Book Antiqua" w:hAnsi="Book Antiqua" w:cs="Book Antiqua"/>
          <w:color w:val="FF0000"/>
          <w:lang w:val="es-CR"/>
        </w:rPr>
      </w:pPr>
    </w:p>
    <w:p w14:paraId="3C8CA34E" w14:textId="7A61CD4F" w:rsidR="000255D7" w:rsidRDefault="000255D7" w:rsidP="00CE62C1">
      <w:pPr>
        <w:pStyle w:val="Textoindependiente2"/>
        <w:spacing w:line="276" w:lineRule="auto"/>
        <w:rPr>
          <w:rFonts w:ascii="Book Antiqua" w:hAnsi="Book Antiqua" w:cs="Book Antiqua"/>
          <w:color w:val="FF0000"/>
          <w:lang w:val="es-CR"/>
        </w:rPr>
      </w:pPr>
    </w:p>
    <w:p w14:paraId="150E5812" w14:textId="77777777" w:rsidR="000255D7" w:rsidRPr="004E74A6" w:rsidRDefault="000255D7" w:rsidP="00CE62C1">
      <w:pPr>
        <w:pStyle w:val="Textoindependiente2"/>
        <w:spacing w:line="276" w:lineRule="auto"/>
        <w:rPr>
          <w:rFonts w:ascii="Book Antiqua" w:hAnsi="Book Antiqua" w:cs="Book Antiqua"/>
          <w:color w:val="FF0000"/>
          <w:lang w:val="es-CR"/>
        </w:rPr>
      </w:pPr>
    </w:p>
    <w:p w14:paraId="13EF6744" w14:textId="77777777" w:rsidR="0073734E" w:rsidRPr="00832773" w:rsidRDefault="0073734E" w:rsidP="00CE62C1">
      <w:pPr>
        <w:pStyle w:val="Textoindependiente2"/>
        <w:spacing w:line="276" w:lineRule="auto"/>
        <w:rPr>
          <w:rFonts w:ascii="Book Antiqua" w:hAnsi="Book Antiqua"/>
          <w:lang w:val="es-CR"/>
        </w:rPr>
      </w:pPr>
      <w:r w:rsidRPr="00832773">
        <w:rPr>
          <w:rFonts w:ascii="Book Antiqua" w:hAnsi="Book Antiqua"/>
          <w:lang w:val="es-CR"/>
        </w:rPr>
        <w:t xml:space="preserve">Licenciada </w:t>
      </w:r>
    </w:p>
    <w:p w14:paraId="6259692D" w14:textId="77777777" w:rsidR="0073734E" w:rsidRPr="00832773" w:rsidRDefault="0073734E" w:rsidP="00CE62C1">
      <w:pPr>
        <w:pStyle w:val="Textoindependiente2"/>
        <w:spacing w:line="276" w:lineRule="auto"/>
        <w:rPr>
          <w:rFonts w:ascii="Book Antiqua" w:hAnsi="Book Antiqua"/>
          <w:lang w:val="es-CR"/>
        </w:rPr>
      </w:pPr>
      <w:r w:rsidRPr="00832773">
        <w:rPr>
          <w:rFonts w:ascii="Book Antiqua" w:hAnsi="Book Antiqua"/>
          <w:lang w:val="es-CR"/>
        </w:rPr>
        <w:t>Silvia Navarro Romanini</w:t>
      </w:r>
    </w:p>
    <w:p w14:paraId="1B24DC82" w14:textId="77777777" w:rsidR="0073734E" w:rsidRPr="00832773" w:rsidRDefault="0073734E" w:rsidP="00CE62C1">
      <w:pPr>
        <w:pStyle w:val="Textoindependiente2"/>
        <w:spacing w:line="276" w:lineRule="auto"/>
        <w:rPr>
          <w:rFonts w:ascii="Book Antiqua" w:hAnsi="Book Antiqua"/>
          <w:lang w:val="es-CR"/>
        </w:rPr>
      </w:pPr>
      <w:r w:rsidRPr="00832773">
        <w:rPr>
          <w:rFonts w:ascii="Book Antiqua" w:hAnsi="Book Antiqua"/>
          <w:lang w:val="es-CR"/>
        </w:rPr>
        <w:t>Secretaría General de la Corte</w:t>
      </w:r>
    </w:p>
    <w:p w14:paraId="702C360C" w14:textId="6255747E" w:rsidR="0073734E" w:rsidRDefault="0073734E" w:rsidP="00CE62C1">
      <w:pPr>
        <w:widowControl w:val="0"/>
        <w:spacing w:line="276" w:lineRule="auto"/>
        <w:rPr>
          <w:rFonts w:cs="Book Antiqua"/>
          <w:snapToGrid w:val="0"/>
          <w:szCs w:val="24"/>
        </w:rPr>
      </w:pPr>
    </w:p>
    <w:p w14:paraId="0362EA55" w14:textId="77777777" w:rsidR="000255D7" w:rsidRPr="004E74A6" w:rsidRDefault="000255D7" w:rsidP="00CE62C1">
      <w:pPr>
        <w:widowControl w:val="0"/>
        <w:spacing w:line="276" w:lineRule="auto"/>
        <w:rPr>
          <w:rFonts w:cs="Book Antiqua"/>
          <w:snapToGrid w:val="0"/>
          <w:szCs w:val="24"/>
        </w:rPr>
      </w:pPr>
    </w:p>
    <w:p w14:paraId="6B226DDB" w14:textId="77777777" w:rsidR="0073734E" w:rsidRPr="004E74A6" w:rsidRDefault="0073734E" w:rsidP="00CE62C1">
      <w:pPr>
        <w:widowControl w:val="0"/>
        <w:spacing w:line="276" w:lineRule="auto"/>
        <w:rPr>
          <w:rFonts w:cs="Book Antiqua"/>
          <w:snapToGrid w:val="0"/>
          <w:szCs w:val="24"/>
        </w:rPr>
      </w:pPr>
      <w:r w:rsidRPr="004E74A6">
        <w:rPr>
          <w:rFonts w:cs="Book Antiqua"/>
          <w:snapToGrid w:val="0"/>
          <w:szCs w:val="24"/>
        </w:rPr>
        <w:t>Estimada señora:</w:t>
      </w:r>
    </w:p>
    <w:p w14:paraId="22DD625F" w14:textId="77777777" w:rsidR="0073734E" w:rsidRPr="004E74A6" w:rsidRDefault="0073734E" w:rsidP="00CE62C1">
      <w:pPr>
        <w:shd w:val="clear" w:color="auto" w:fill="FFFFFF"/>
        <w:spacing w:line="276" w:lineRule="auto"/>
        <w:rPr>
          <w:rFonts w:cs="Book Antiqua"/>
          <w:snapToGrid w:val="0"/>
          <w:color w:val="FF0000"/>
          <w:szCs w:val="24"/>
        </w:rPr>
      </w:pPr>
    </w:p>
    <w:p w14:paraId="22139B13" w14:textId="2C097BB9" w:rsidR="0073734E" w:rsidRPr="004E74A6" w:rsidRDefault="0073734E" w:rsidP="00CE62C1">
      <w:pPr>
        <w:shd w:val="clear" w:color="auto" w:fill="FFFFFF"/>
        <w:spacing w:line="276" w:lineRule="auto"/>
        <w:rPr>
          <w:rFonts w:cs="Book Antiqua"/>
          <w:szCs w:val="24"/>
        </w:rPr>
      </w:pPr>
      <w:r w:rsidRPr="004E74A6">
        <w:rPr>
          <w:rFonts w:cs="Book Antiqua"/>
          <w:szCs w:val="24"/>
        </w:rPr>
        <w:t>Le remito el informe suscrito por</w:t>
      </w:r>
      <w:r w:rsidR="00E33D56" w:rsidRPr="004E74A6">
        <w:rPr>
          <w:rFonts w:cs="Book Antiqua"/>
          <w:szCs w:val="24"/>
        </w:rPr>
        <w:t xml:space="preserve"> la</w:t>
      </w:r>
      <w:r w:rsidR="000255D7">
        <w:rPr>
          <w:rFonts w:cs="Book Antiqua"/>
          <w:szCs w:val="24"/>
        </w:rPr>
        <w:t xml:space="preserve"> Máster </w:t>
      </w:r>
      <w:r w:rsidR="00E33D56" w:rsidRPr="00832773">
        <w:rPr>
          <w:rFonts w:cs="Carlito"/>
          <w:szCs w:val="24"/>
        </w:rPr>
        <w:t>Yesenia</w:t>
      </w:r>
      <w:r w:rsidR="00E33D56" w:rsidRPr="004E74A6">
        <w:rPr>
          <w:rFonts w:cs="Carlito"/>
          <w:szCs w:val="24"/>
        </w:rPr>
        <w:t xml:space="preserve"> Salazar Guzmán</w:t>
      </w:r>
      <w:r w:rsidRPr="004E74A6">
        <w:rPr>
          <w:rFonts w:cs="Book Antiqua"/>
          <w:szCs w:val="24"/>
        </w:rPr>
        <w:t>, Jef</w:t>
      </w:r>
      <w:r w:rsidR="00E33D56" w:rsidRPr="004E74A6">
        <w:rPr>
          <w:rFonts w:cs="Book Antiqua"/>
          <w:szCs w:val="24"/>
        </w:rPr>
        <w:t>a</w:t>
      </w:r>
      <w:r w:rsidRPr="004E74A6">
        <w:rPr>
          <w:rFonts w:cs="Book Antiqua"/>
          <w:szCs w:val="24"/>
        </w:rPr>
        <w:t xml:space="preserve"> a.i. del Subproceso de Modernización Instituciona</w:t>
      </w:r>
      <w:r w:rsidR="000255D7">
        <w:rPr>
          <w:rFonts w:cs="Book Antiqua"/>
          <w:szCs w:val="24"/>
        </w:rPr>
        <w:t>-No Penal</w:t>
      </w:r>
      <w:r w:rsidRPr="004E74A6">
        <w:rPr>
          <w:rFonts w:cs="Book Antiqua"/>
          <w:szCs w:val="24"/>
        </w:rPr>
        <w:t xml:space="preserve">, relacionado </w:t>
      </w:r>
      <w:r w:rsidR="008E552A" w:rsidRPr="004E74A6">
        <w:rPr>
          <w:rFonts w:cs="Book Antiqua"/>
          <w:szCs w:val="24"/>
        </w:rPr>
        <w:t xml:space="preserve">con </w:t>
      </w:r>
      <w:r w:rsidR="00E33D56" w:rsidRPr="004E74A6">
        <w:rPr>
          <w:rFonts w:cs="Book Antiqua"/>
          <w:szCs w:val="24"/>
        </w:rPr>
        <w:t>el análisis de factibilidad de incrementar la cuantía en materia civil</w:t>
      </w:r>
      <w:r w:rsidR="008E552A" w:rsidRPr="004E74A6">
        <w:rPr>
          <w:rFonts w:cs="Book Antiqua"/>
          <w:szCs w:val="24"/>
        </w:rPr>
        <w:t>, en atención a las solicitudes de la Sala Primera y Corte Plena en sesión 2-2021 del 11 de enero del 2021, artículo XLII.</w:t>
      </w:r>
    </w:p>
    <w:p w14:paraId="6530E318" w14:textId="77777777" w:rsidR="0073734E" w:rsidRPr="004E74A6" w:rsidRDefault="0073734E" w:rsidP="00CE62C1">
      <w:pPr>
        <w:spacing w:line="276" w:lineRule="auto"/>
        <w:rPr>
          <w:rFonts w:cs="Book Antiqua"/>
          <w:color w:val="FF0000"/>
          <w:szCs w:val="24"/>
          <w:u w:val="single"/>
        </w:rPr>
      </w:pPr>
    </w:p>
    <w:p w14:paraId="4BDB03C6" w14:textId="4546FCBF" w:rsidR="0073734E" w:rsidRPr="00832773" w:rsidRDefault="0073734E" w:rsidP="00832773">
      <w:pPr>
        <w:tabs>
          <w:tab w:val="num" w:pos="709"/>
        </w:tabs>
        <w:spacing w:line="276" w:lineRule="auto"/>
        <w:rPr>
          <w:rFonts w:cs="Calibri"/>
          <w:color w:val="000000" w:themeColor="text1"/>
          <w:szCs w:val="24"/>
        </w:rPr>
      </w:pPr>
      <w:r w:rsidRPr="00832773">
        <w:rPr>
          <w:rFonts w:cs="Book Antiqua"/>
          <w:color w:val="000000" w:themeColor="text1"/>
          <w:szCs w:val="24"/>
        </w:rPr>
        <w:t xml:space="preserve">Con el fin de que se manifestaran al respecto, </w:t>
      </w:r>
      <w:r w:rsidR="000E7B1A" w:rsidRPr="00832773">
        <w:rPr>
          <w:rFonts w:cs="Book Antiqua"/>
          <w:color w:val="000000" w:themeColor="text1"/>
          <w:szCs w:val="24"/>
        </w:rPr>
        <w:t xml:space="preserve">el preliminar de este documento fue puesto en conocimiento </w:t>
      </w:r>
      <w:r w:rsidRPr="00832773">
        <w:rPr>
          <w:rFonts w:cs="Book Antiqua"/>
          <w:color w:val="000000" w:themeColor="text1"/>
          <w:szCs w:val="24"/>
        </w:rPr>
        <w:t xml:space="preserve">mediante </w:t>
      </w:r>
      <w:r w:rsidR="000E7B1A" w:rsidRPr="00832773">
        <w:rPr>
          <w:rFonts w:cs="Book Antiqua"/>
          <w:color w:val="000000" w:themeColor="text1"/>
          <w:szCs w:val="24"/>
        </w:rPr>
        <w:t>los</w:t>
      </w:r>
      <w:r w:rsidR="000255D7">
        <w:rPr>
          <w:rFonts w:cs="Book Antiqua"/>
          <w:color w:val="000000" w:themeColor="text1"/>
          <w:szCs w:val="24"/>
        </w:rPr>
        <w:t xml:space="preserve"> </w:t>
      </w:r>
      <w:r w:rsidR="000E7B1A" w:rsidRPr="00832773">
        <w:rPr>
          <w:rFonts w:cs="Book Antiqua"/>
          <w:color w:val="000000" w:themeColor="text1"/>
          <w:szCs w:val="24"/>
        </w:rPr>
        <w:t>oficios</w:t>
      </w:r>
      <w:r w:rsidR="00EA7B74">
        <w:rPr>
          <w:rFonts w:cs="Book Antiqua"/>
          <w:color w:val="000000" w:themeColor="text1"/>
          <w:szCs w:val="24"/>
        </w:rPr>
        <w:t xml:space="preserve"> </w:t>
      </w:r>
      <w:r w:rsidR="008E552A" w:rsidRPr="00832773">
        <w:rPr>
          <w:rFonts w:cs="Book Antiqua"/>
          <w:color w:val="000000" w:themeColor="text1"/>
          <w:szCs w:val="24"/>
        </w:rPr>
        <w:t>779</w:t>
      </w:r>
      <w:r w:rsidRPr="00832773">
        <w:rPr>
          <w:rFonts w:cs="Book Antiqua"/>
          <w:color w:val="000000" w:themeColor="text1"/>
          <w:szCs w:val="24"/>
        </w:rPr>
        <w:t>-PLA-MI-202</w:t>
      </w:r>
      <w:r w:rsidR="008E552A" w:rsidRPr="00832773">
        <w:rPr>
          <w:rFonts w:cs="Book Antiqua"/>
          <w:color w:val="000000" w:themeColor="text1"/>
          <w:szCs w:val="24"/>
        </w:rPr>
        <w:t>2</w:t>
      </w:r>
      <w:r w:rsidR="000255D7">
        <w:rPr>
          <w:rFonts w:cs="Book Antiqua"/>
          <w:color w:val="000000" w:themeColor="text1"/>
          <w:szCs w:val="24"/>
        </w:rPr>
        <w:t xml:space="preserve"> a las personas magistradas de la Sala </w:t>
      </w:r>
      <w:r w:rsidR="008D51C4">
        <w:rPr>
          <w:rFonts w:cs="Book Antiqua"/>
          <w:color w:val="000000" w:themeColor="text1"/>
          <w:szCs w:val="24"/>
        </w:rPr>
        <w:t xml:space="preserve">Primera, </w:t>
      </w:r>
      <w:r w:rsidR="008D51C4" w:rsidRPr="00832773">
        <w:rPr>
          <w:rFonts w:cs="Book Antiqua"/>
          <w:color w:val="000000" w:themeColor="text1"/>
          <w:szCs w:val="24"/>
        </w:rPr>
        <w:t>998</w:t>
      </w:r>
      <w:r w:rsidR="000E7B1A" w:rsidRPr="00832773">
        <w:rPr>
          <w:color w:val="000000" w:themeColor="text1"/>
          <w:szCs w:val="24"/>
        </w:rPr>
        <w:t>-PLA-MI(NPL)</w:t>
      </w:r>
      <w:r w:rsidR="000255D7">
        <w:rPr>
          <w:color w:val="000000" w:themeColor="text1"/>
          <w:szCs w:val="24"/>
        </w:rPr>
        <w:t xml:space="preserve">-2022 a </w:t>
      </w:r>
      <w:r w:rsidR="008D51C4">
        <w:rPr>
          <w:color w:val="000000" w:themeColor="text1"/>
          <w:szCs w:val="24"/>
        </w:rPr>
        <w:t>la Comisión</w:t>
      </w:r>
      <w:r w:rsidR="000255D7" w:rsidRPr="004D1AAB">
        <w:rPr>
          <w:rFonts w:cs="Book Antiqua"/>
        </w:rPr>
        <w:t xml:space="preserve"> de la Jurisdicción Contencioso-Administrativa</w:t>
      </w:r>
      <w:r w:rsidR="000255D7">
        <w:rPr>
          <w:color w:val="000000" w:themeColor="text1"/>
          <w:szCs w:val="24"/>
        </w:rPr>
        <w:t xml:space="preserve"> y a la </w:t>
      </w:r>
      <w:r w:rsidR="000255D7" w:rsidRPr="000255D7">
        <w:rPr>
          <w:color w:val="000000" w:themeColor="text1"/>
          <w:szCs w:val="24"/>
        </w:rPr>
        <w:t xml:space="preserve">Comisión de la Jurisdicción </w:t>
      </w:r>
      <w:r w:rsidR="008D51C4" w:rsidRPr="000255D7">
        <w:rPr>
          <w:color w:val="000000" w:themeColor="text1"/>
          <w:szCs w:val="24"/>
        </w:rPr>
        <w:t>Agraria</w:t>
      </w:r>
      <w:r w:rsidR="008D51C4">
        <w:rPr>
          <w:color w:val="000000" w:themeColor="text1"/>
          <w:szCs w:val="24"/>
        </w:rPr>
        <w:t xml:space="preserve"> y</w:t>
      </w:r>
      <w:r w:rsidR="00EA7B74">
        <w:rPr>
          <w:color w:val="000000" w:themeColor="text1"/>
          <w:szCs w:val="24"/>
        </w:rPr>
        <w:t xml:space="preserve"> </w:t>
      </w:r>
      <w:r w:rsidR="000255D7">
        <w:rPr>
          <w:color w:val="000000" w:themeColor="text1"/>
          <w:szCs w:val="24"/>
        </w:rPr>
        <w:t xml:space="preserve">el oficio </w:t>
      </w:r>
      <w:r w:rsidR="000E7B1A" w:rsidRPr="00832773">
        <w:rPr>
          <w:color w:val="000000" w:themeColor="text1"/>
          <w:szCs w:val="24"/>
        </w:rPr>
        <w:t>1027-PLA-MI(NPL)-</w:t>
      </w:r>
      <w:r w:rsidR="008D51C4" w:rsidRPr="00832773">
        <w:rPr>
          <w:color w:val="000000" w:themeColor="text1"/>
          <w:szCs w:val="24"/>
        </w:rPr>
        <w:t>2022</w:t>
      </w:r>
      <w:r w:rsidR="008D51C4">
        <w:rPr>
          <w:color w:val="000000" w:themeColor="text1"/>
          <w:szCs w:val="24"/>
        </w:rPr>
        <w:t xml:space="preserve"> a</w:t>
      </w:r>
      <w:r w:rsidR="000255D7">
        <w:rPr>
          <w:color w:val="000000" w:themeColor="text1"/>
          <w:szCs w:val="24"/>
        </w:rPr>
        <w:t xml:space="preserve"> la Sala Segunda</w:t>
      </w:r>
      <w:r w:rsidR="00EA7B74">
        <w:rPr>
          <w:color w:val="000000" w:themeColor="text1"/>
          <w:szCs w:val="24"/>
        </w:rPr>
        <w:t xml:space="preserve">, el análisis de las observaciones y el criterio de esta </w:t>
      </w:r>
      <w:r w:rsidR="002A390E">
        <w:rPr>
          <w:color w:val="000000" w:themeColor="text1"/>
          <w:szCs w:val="24"/>
        </w:rPr>
        <w:t xml:space="preserve">Oficina </w:t>
      </w:r>
      <w:r w:rsidR="00EA7B74">
        <w:rPr>
          <w:color w:val="000000" w:themeColor="text1"/>
          <w:szCs w:val="24"/>
        </w:rPr>
        <w:t xml:space="preserve">se contemplan en el apartado 7 </w:t>
      </w:r>
      <w:r w:rsidR="002A390E">
        <w:rPr>
          <w:color w:val="000000" w:themeColor="text1"/>
          <w:szCs w:val="24"/>
        </w:rPr>
        <w:t>de este documento</w:t>
      </w:r>
      <w:r w:rsidR="00EA7B74">
        <w:rPr>
          <w:color w:val="000000" w:themeColor="text1"/>
          <w:szCs w:val="24"/>
        </w:rPr>
        <w:t xml:space="preserve">. </w:t>
      </w:r>
      <w:r w:rsidR="000E7B1A" w:rsidRPr="00832773">
        <w:rPr>
          <w:color w:val="000000" w:themeColor="text1"/>
          <w:szCs w:val="24"/>
        </w:rPr>
        <w:t xml:space="preserve"> </w:t>
      </w:r>
    </w:p>
    <w:p w14:paraId="1DDD4D0C" w14:textId="77777777" w:rsidR="000255D7" w:rsidRDefault="000255D7" w:rsidP="00CE62C1">
      <w:pPr>
        <w:widowControl w:val="0"/>
        <w:spacing w:line="276" w:lineRule="auto"/>
        <w:rPr>
          <w:rFonts w:cs="Book Antiqua"/>
          <w:snapToGrid w:val="0"/>
        </w:rPr>
      </w:pPr>
    </w:p>
    <w:p w14:paraId="3A03228B" w14:textId="1CC3C806" w:rsidR="00311BE7" w:rsidRPr="004E74A6" w:rsidRDefault="00311BE7" w:rsidP="00CE62C1">
      <w:pPr>
        <w:widowControl w:val="0"/>
        <w:spacing w:line="276" w:lineRule="auto"/>
        <w:rPr>
          <w:rFonts w:cs="Book Antiqua"/>
          <w:snapToGrid w:val="0"/>
        </w:rPr>
      </w:pPr>
      <w:r w:rsidRPr="004E74A6">
        <w:rPr>
          <w:rFonts w:cs="Book Antiqua"/>
          <w:snapToGrid w:val="0"/>
        </w:rPr>
        <w:t>Atentamente,</w:t>
      </w:r>
    </w:p>
    <w:p w14:paraId="25510EEE" w14:textId="77777777" w:rsidR="00311BE7" w:rsidRPr="004E74A6" w:rsidRDefault="00311BE7" w:rsidP="00CE62C1">
      <w:pPr>
        <w:widowControl w:val="0"/>
        <w:spacing w:line="276" w:lineRule="auto"/>
        <w:jc w:val="center"/>
        <w:rPr>
          <w:rFonts w:cs="Book Antiqua"/>
          <w:b/>
          <w:bCs/>
          <w:snapToGrid w:val="0"/>
        </w:rPr>
      </w:pPr>
    </w:p>
    <w:p w14:paraId="31B69189" w14:textId="77777777" w:rsidR="00311BE7" w:rsidRPr="004E74A6" w:rsidRDefault="00311BE7" w:rsidP="00CE62C1">
      <w:pPr>
        <w:widowControl w:val="0"/>
        <w:spacing w:line="276" w:lineRule="auto"/>
        <w:rPr>
          <w:rFonts w:cs="Book Antiqua"/>
          <w:snapToGrid w:val="0"/>
        </w:rPr>
      </w:pPr>
    </w:p>
    <w:p w14:paraId="3EE0BF61" w14:textId="5352D658" w:rsidR="00311BE7" w:rsidRPr="004E74A6" w:rsidRDefault="00F824BA" w:rsidP="00CE62C1">
      <w:pPr>
        <w:spacing w:line="276" w:lineRule="auto"/>
        <w:rPr>
          <w:rFonts w:cs="Book Antiqua"/>
          <w:snapToGrid w:val="0"/>
        </w:rPr>
      </w:pPr>
      <w:r w:rsidRPr="004E74A6">
        <w:rPr>
          <w:rFonts w:cs="Book Antiqua"/>
          <w:snapToGrid w:val="0"/>
        </w:rPr>
        <w:t>Lic</w:t>
      </w:r>
      <w:r w:rsidR="00B32800" w:rsidRPr="004E74A6">
        <w:rPr>
          <w:rFonts w:cs="Book Antiqua"/>
          <w:snapToGrid w:val="0"/>
        </w:rPr>
        <w:t xml:space="preserve">da. </w:t>
      </w:r>
      <w:r w:rsidRPr="004E74A6">
        <w:rPr>
          <w:rFonts w:cs="Book Antiqua"/>
          <w:snapToGrid w:val="0"/>
        </w:rPr>
        <w:t>Nacira Valverde Bermúdez</w:t>
      </w:r>
    </w:p>
    <w:p w14:paraId="05F279DF" w14:textId="27B242BA" w:rsidR="00B32800" w:rsidRPr="004E74A6" w:rsidRDefault="00B32800" w:rsidP="00CE62C1">
      <w:pPr>
        <w:spacing w:line="276" w:lineRule="auto"/>
        <w:rPr>
          <w:rFonts w:cs="Book Antiqua"/>
        </w:rPr>
      </w:pPr>
      <w:r w:rsidRPr="004E74A6">
        <w:rPr>
          <w:rFonts w:cs="Book Antiqua"/>
          <w:snapToGrid w:val="0"/>
        </w:rPr>
        <w:t>Directora a.i. de Planificación</w:t>
      </w:r>
    </w:p>
    <w:p w14:paraId="4F1AD463" w14:textId="4DE1880C" w:rsidR="00311BE7" w:rsidRDefault="00311BE7" w:rsidP="00CE62C1">
      <w:pPr>
        <w:spacing w:line="276" w:lineRule="auto"/>
        <w:rPr>
          <w:rFonts w:cs="Book Antiqua"/>
          <w:sz w:val="22"/>
          <w:szCs w:val="22"/>
        </w:rPr>
      </w:pPr>
    </w:p>
    <w:p w14:paraId="602D0129" w14:textId="77777777" w:rsidR="000255D7" w:rsidRPr="004E74A6" w:rsidRDefault="000255D7" w:rsidP="00CE62C1">
      <w:pPr>
        <w:spacing w:line="276" w:lineRule="auto"/>
        <w:rPr>
          <w:rFonts w:cs="Book Antiqua"/>
          <w:sz w:val="22"/>
          <w:szCs w:val="22"/>
        </w:rPr>
      </w:pPr>
    </w:p>
    <w:p w14:paraId="3FE160F1" w14:textId="4F5AFEEE" w:rsidR="000255D7" w:rsidRDefault="000255D7" w:rsidP="00CE62C1">
      <w:pPr>
        <w:spacing w:line="276" w:lineRule="auto"/>
        <w:rPr>
          <w:rFonts w:cs="Book Antiqua"/>
          <w:sz w:val="20"/>
        </w:rPr>
      </w:pPr>
      <w:bookmarkStart w:id="0" w:name="_Hlk96955324"/>
    </w:p>
    <w:p w14:paraId="70F2DE9A" w14:textId="77777777" w:rsidR="008D51C4" w:rsidRDefault="008D51C4" w:rsidP="00CE62C1">
      <w:pPr>
        <w:spacing w:line="276" w:lineRule="auto"/>
        <w:rPr>
          <w:rFonts w:cs="Book Antiqua"/>
          <w:sz w:val="20"/>
        </w:rPr>
      </w:pPr>
    </w:p>
    <w:p w14:paraId="5352C63C" w14:textId="4450D751" w:rsidR="00311BE7" w:rsidRDefault="00311BE7" w:rsidP="00CE62C1">
      <w:pPr>
        <w:spacing w:line="276" w:lineRule="auto"/>
        <w:rPr>
          <w:rFonts w:cs="Book Antiqua"/>
          <w:sz w:val="20"/>
        </w:rPr>
      </w:pPr>
      <w:r w:rsidRPr="00832773">
        <w:rPr>
          <w:rFonts w:cs="Book Antiqua"/>
          <w:sz w:val="20"/>
        </w:rPr>
        <w:lastRenderedPageBreak/>
        <w:t xml:space="preserve">Copias: </w:t>
      </w:r>
    </w:p>
    <w:p w14:paraId="6C610920" w14:textId="77777777" w:rsidR="000255D7" w:rsidRPr="00832773" w:rsidRDefault="000255D7" w:rsidP="00CE62C1">
      <w:pPr>
        <w:spacing w:line="276" w:lineRule="auto"/>
        <w:rPr>
          <w:rFonts w:cs="Book Antiqua"/>
          <w:sz w:val="20"/>
        </w:rPr>
      </w:pPr>
    </w:p>
    <w:bookmarkEnd w:id="0"/>
    <w:p w14:paraId="4A6CCDAC" w14:textId="0EC34A3D" w:rsidR="000729D8" w:rsidRPr="00832773" w:rsidRDefault="000729D8" w:rsidP="00CE62C1">
      <w:pPr>
        <w:numPr>
          <w:ilvl w:val="0"/>
          <w:numId w:val="10"/>
        </w:numPr>
        <w:spacing w:line="276" w:lineRule="auto"/>
        <w:jc w:val="left"/>
        <w:rPr>
          <w:rFonts w:cs="Book Antiqua"/>
          <w:sz w:val="20"/>
        </w:rPr>
      </w:pPr>
      <w:r w:rsidRPr="00832773">
        <w:rPr>
          <w:rFonts w:cs="Book Antiqua"/>
          <w:sz w:val="20"/>
        </w:rPr>
        <w:t>Sala Primera</w:t>
      </w:r>
    </w:p>
    <w:p w14:paraId="7503B596" w14:textId="5344B7BD" w:rsidR="00EB2FBE" w:rsidRPr="00832773" w:rsidRDefault="00EB2FBE" w:rsidP="00CE62C1">
      <w:pPr>
        <w:numPr>
          <w:ilvl w:val="0"/>
          <w:numId w:val="10"/>
        </w:numPr>
        <w:spacing w:line="276" w:lineRule="auto"/>
        <w:jc w:val="left"/>
        <w:rPr>
          <w:rFonts w:cs="Book Antiqua"/>
          <w:sz w:val="20"/>
        </w:rPr>
      </w:pPr>
      <w:r w:rsidRPr="00832773">
        <w:rPr>
          <w:rFonts w:cs="Book Antiqua"/>
          <w:sz w:val="20"/>
        </w:rPr>
        <w:t>Sala Segunda</w:t>
      </w:r>
    </w:p>
    <w:p w14:paraId="2BCCCBAB" w14:textId="2B1BB793" w:rsidR="007273D7" w:rsidRPr="00832773" w:rsidRDefault="007273D7" w:rsidP="00CE62C1">
      <w:pPr>
        <w:numPr>
          <w:ilvl w:val="0"/>
          <w:numId w:val="10"/>
        </w:numPr>
        <w:spacing w:line="276" w:lineRule="auto"/>
        <w:jc w:val="left"/>
        <w:rPr>
          <w:rFonts w:cs="Book Antiqua"/>
          <w:sz w:val="20"/>
        </w:rPr>
      </w:pPr>
      <w:r w:rsidRPr="00832773">
        <w:rPr>
          <w:rFonts w:cs="Book Antiqua"/>
          <w:sz w:val="20"/>
        </w:rPr>
        <w:t>Comisión de la Jurisdicción Civil</w:t>
      </w:r>
    </w:p>
    <w:p w14:paraId="615E5ABE" w14:textId="30486B80" w:rsidR="00EB2FBE" w:rsidRPr="00832773" w:rsidRDefault="00EB2FBE" w:rsidP="00CE62C1">
      <w:pPr>
        <w:numPr>
          <w:ilvl w:val="0"/>
          <w:numId w:val="10"/>
        </w:numPr>
        <w:spacing w:line="276" w:lineRule="auto"/>
        <w:jc w:val="left"/>
        <w:rPr>
          <w:rFonts w:cs="Book Antiqua"/>
          <w:sz w:val="20"/>
        </w:rPr>
      </w:pPr>
      <w:r w:rsidRPr="00832773">
        <w:rPr>
          <w:rFonts w:cs="Book Antiqua"/>
          <w:sz w:val="20"/>
        </w:rPr>
        <w:t>Comisión de la Jurisdicción Contenciosa Administrativa</w:t>
      </w:r>
    </w:p>
    <w:p w14:paraId="6550D907" w14:textId="73C3807F" w:rsidR="00EB2FBE" w:rsidRPr="00832773" w:rsidRDefault="00EB2FBE" w:rsidP="00CE62C1">
      <w:pPr>
        <w:numPr>
          <w:ilvl w:val="0"/>
          <w:numId w:val="10"/>
        </w:numPr>
        <w:spacing w:line="276" w:lineRule="auto"/>
        <w:jc w:val="left"/>
        <w:rPr>
          <w:rFonts w:cs="Book Antiqua"/>
          <w:sz w:val="20"/>
        </w:rPr>
      </w:pPr>
      <w:r w:rsidRPr="00832773">
        <w:rPr>
          <w:rFonts w:cs="Book Antiqua"/>
          <w:sz w:val="20"/>
        </w:rPr>
        <w:t xml:space="preserve">Comisión de la </w:t>
      </w:r>
      <w:r w:rsidRPr="00EB2FBE">
        <w:rPr>
          <w:rFonts w:cs="Book Antiqua"/>
          <w:sz w:val="20"/>
        </w:rPr>
        <w:t>Jurisdicción</w:t>
      </w:r>
      <w:r w:rsidRPr="00832773">
        <w:rPr>
          <w:rFonts w:cs="Book Antiqua"/>
          <w:sz w:val="20"/>
        </w:rPr>
        <w:t xml:space="preserve"> Laboral</w:t>
      </w:r>
    </w:p>
    <w:p w14:paraId="27EA9A92" w14:textId="6DEC749E" w:rsidR="00EB2FBE" w:rsidRPr="00832773" w:rsidRDefault="00EB2FBE" w:rsidP="00CE62C1">
      <w:pPr>
        <w:numPr>
          <w:ilvl w:val="0"/>
          <w:numId w:val="10"/>
        </w:numPr>
        <w:spacing w:line="276" w:lineRule="auto"/>
        <w:jc w:val="left"/>
        <w:rPr>
          <w:rFonts w:cs="Book Antiqua"/>
          <w:sz w:val="20"/>
        </w:rPr>
      </w:pPr>
      <w:r w:rsidRPr="00832773">
        <w:rPr>
          <w:rFonts w:cs="Book Antiqua"/>
          <w:sz w:val="20"/>
        </w:rPr>
        <w:t>Comisión de la Jurisdicción Agraria</w:t>
      </w:r>
    </w:p>
    <w:p w14:paraId="1B66797C" w14:textId="6C1537EF" w:rsidR="00EB2FBE" w:rsidRPr="00832773" w:rsidRDefault="00EB2FBE" w:rsidP="00CE62C1">
      <w:pPr>
        <w:numPr>
          <w:ilvl w:val="0"/>
          <w:numId w:val="10"/>
        </w:numPr>
        <w:spacing w:line="276" w:lineRule="auto"/>
        <w:jc w:val="left"/>
        <w:rPr>
          <w:rFonts w:cs="Book Antiqua"/>
          <w:sz w:val="20"/>
        </w:rPr>
      </w:pPr>
      <w:r w:rsidRPr="00832773">
        <w:rPr>
          <w:rFonts w:cs="Book Antiqua"/>
          <w:sz w:val="20"/>
        </w:rPr>
        <w:t>Dirección de Tecnología de la Información</w:t>
      </w:r>
    </w:p>
    <w:p w14:paraId="6AAE2268" w14:textId="77777777" w:rsidR="007273D7" w:rsidRPr="00832773" w:rsidRDefault="007273D7" w:rsidP="00CE62C1">
      <w:pPr>
        <w:numPr>
          <w:ilvl w:val="0"/>
          <w:numId w:val="10"/>
        </w:numPr>
        <w:spacing w:line="276" w:lineRule="auto"/>
        <w:jc w:val="left"/>
        <w:rPr>
          <w:rFonts w:cs="Book Antiqua"/>
          <w:sz w:val="20"/>
        </w:rPr>
      </w:pPr>
      <w:r w:rsidRPr="00832773">
        <w:rPr>
          <w:rFonts w:cs="Book Antiqua"/>
          <w:sz w:val="20"/>
        </w:rPr>
        <w:t>Centro de Apoyo, Coordinación y Mejoramiento de la Función Jurisdiccional</w:t>
      </w:r>
    </w:p>
    <w:p w14:paraId="51FA07AF" w14:textId="0C028C5B" w:rsidR="000255D7" w:rsidRDefault="007273D7" w:rsidP="00CE62C1">
      <w:pPr>
        <w:numPr>
          <w:ilvl w:val="0"/>
          <w:numId w:val="10"/>
        </w:numPr>
        <w:spacing w:line="276" w:lineRule="auto"/>
        <w:jc w:val="left"/>
        <w:rPr>
          <w:rFonts w:cs="Book Antiqua"/>
          <w:sz w:val="20"/>
        </w:rPr>
      </w:pPr>
      <w:r w:rsidRPr="00832773">
        <w:rPr>
          <w:rFonts w:cs="Book Antiqua"/>
          <w:sz w:val="20"/>
        </w:rPr>
        <w:t>Lic. Luis Diego Romero Trejos</w:t>
      </w:r>
      <w:r w:rsidR="000255D7">
        <w:rPr>
          <w:rFonts w:cs="Book Antiqua"/>
          <w:sz w:val="20"/>
        </w:rPr>
        <w:t>, Gestor Civil</w:t>
      </w:r>
      <w:r w:rsidRPr="00832773">
        <w:rPr>
          <w:rFonts w:cs="Book Antiqua"/>
          <w:sz w:val="20"/>
        </w:rPr>
        <w:t xml:space="preserve"> </w:t>
      </w:r>
    </w:p>
    <w:p w14:paraId="356ACDF8" w14:textId="231FC135" w:rsidR="007273D7" w:rsidRPr="00832773" w:rsidRDefault="007273D7" w:rsidP="00CE62C1">
      <w:pPr>
        <w:numPr>
          <w:ilvl w:val="0"/>
          <w:numId w:val="10"/>
        </w:numPr>
        <w:spacing w:line="276" w:lineRule="auto"/>
        <w:jc w:val="left"/>
        <w:rPr>
          <w:rFonts w:cs="Book Antiqua"/>
          <w:sz w:val="20"/>
        </w:rPr>
      </w:pPr>
      <w:r w:rsidRPr="00832773">
        <w:rPr>
          <w:rFonts w:cs="Book Antiqua"/>
          <w:sz w:val="20"/>
        </w:rPr>
        <w:t xml:space="preserve"> Lic. Minor Delgado Sánchez</w:t>
      </w:r>
      <w:r w:rsidR="00B32800" w:rsidRPr="00832773">
        <w:rPr>
          <w:rFonts w:cs="Book Antiqua"/>
          <w:sz w:val="20"/>
        </w:rPr>
        <w:t>, G</w:t>
      </w:r>
      <w:r w:rsidRPr="00832773">
        <w:rPr>
          <w:rFonts w:cs="Book Antiqua"/>
          <w:sz w:val="20"/>
        </w:rPr>
        <w:t>estor</w:t>
      </w:r>
      <w:r w:rsidR="000255D7">
        <w:rPr>
          <w:rFonts w:cs="Book Antiqua"/>
          <w:sz w:val="20"/>
        </w:rPr>
        <w:t xml:space="preserve"> Civil</w:t>
      </w:r>
    </w:p>
    <w:p w14:paraId="2FE589F8" w14:textId="77777777" w:rsidR="009B29F2" w:rsidRDefault="00EB2FBE" w:rsidP="009B29F2">
      <w:pPr>
        <w:numPr>
          <w:ilvl w:val="0"/>
          <w:numId w:val="10"/>
        </w:numPr>
        <w:spacing w:line="276" w:lineRule="auto"/>
        <w:jc w:val="left"/>
        <w:rPr>
          <w:rFonts w:cs="Book Antiqua"/>
          <w:sz w:val="22"/>
          <w:szCs w:val="22"/>
        </w:rPr>
      </w:pPr>
      <w:r w:rsidRPr="00832773">
        <w:rPr>
          <w:rFonts w:cs="Book Antiqua"/>
          <w:sz w:val="20"/>
        </w:rPr>
        <w:t>Subproceso de Estadística de la Dirección de Planificación</w:t>
      </w:r>
    </w:p>
    <w:p w14:paraId="261867CA" w14:textId="77777777" w:rsidR="009B29F2" w:rsidRDefault="009B29F2" w:rsidP="009B29F2">
      <w:pPr>
        <w:spacing w:line="276" w:lineRule="auto"/>
        <w:ind w:left="360"/>
        <w:jc w:val="left"/>
        <w:rPr>
          <w:rFonts w:cs="Book Antiqua"/>
          <w:sz w:val="22"/>
          <w:szCs w:val="22"/>
        </w:rPr>
      </w:pPr>
    </w:p>
    <w:p w14:paraId="1B4E6C21" w14:textId="40956F5F" w:rsidR="009B29F2" w:rsidRDefault="009B29F2" w:rsidP="009B29F2">
      <w:pPr>
        <w:spacing w:line="276" w:lineRule="auto"/>
        <w:ind w:left="360"/>
        <w:jc w:val="left"/>
        <w:rPr>
          <w:rFonts w:cs="Book Antiqua"/>
          <w:sz w:val="22"/>
          <w:szCs w:val="22"/>
        </w:rPr>
      </w:pPr>
      <w:r>
        <w:rPr>
          <w:rFonts w:cs="Book Antiqua"/>
          <w:sz w:val="22"/>
          <w:szCs w:val="22"/>
        </w:rPr>
        <w:t>rqp</w:t>
      </w:r>
    </w:p>
    <w:p w14:paraId="43F4968D" w14:textId="04646A4B" w:rsidR="00B32800" w:rsidRPr="009B29F2" w:rsidRDefault="00B32800" w:rsidP="009B29F2">
      <w:pPr>
        <w:spacing w:line="276" w:lineRule="auto"/>
        <w:ind w:left="360"/>
        <w:jc w:val="left"/>
        <w:rPr>
          <w:rFonts w:cs="Book Antiqua"/>
          <w:sz w:val="22"/>
          <w:szCs w:val="22"/>
        </w:rPr>
      </w:pPr>
      <w:r w:rsidRPr="009B29F2">
        <w:rPr>
          <w:rFonts w:cs="Book Antiqua"/>
          <w:szCs w:val="24"/>
        </w:rPr>
        <w:t>Ref. 1021-18</w:t>
      </w:r>
      <w:r w:rsidR="005C260D" w:rsidRPr="009B29F2">
        <w:rPr>
          <w:rFonts w:cs="Book Antiqua"/>
          <w:szCs w:val="24"/>
        </w:rPr>
        <w:t xml:space="preserve">, 221-21, </w:t>
      </w:r>
      <w:r w:rsidR="005C260D" w:rsidRPr="009B29F2">
        <w:rPr>
          <w:rFonts w:cs="Book Antiqua"/>
          <w:b/>
          <w:bCs/>
          <w:szCs w:val="24"/>
        </w:rPr>
        <w:t>485-21</w:t>
      </w:r>
      <w:r w:rsidR="00175548" w:rsidRPr="009B29F2">
        <w:rPr>
          <w:rFonts w:cs="Book Antiqua"/>
          <w:b/>
          <w:bCs/>
          <w:szCs w:val="24"/>
        </w:rPr>
        <w:t>,</w:t>
      </w:r>
      <w:r w:rsidR="00175548" w:rsidRPr="009B29F2">
        <w:rPr>
          <w:rFonts w:cs="Book Antiqua"/>
          <w:szCs w:val="24"/>
        </w:rPr>
        <w:t xml:space="preserve"> 972-22, 1282-2022</w:t>
      </w:r>
    </w:p>
    <w:p w14:paraId="5C1345AA" w14:textId="22A9C659" w:rsidR="00CE62C1" w:rsidRPr="004E74A6" w:rsidRDefault="00CE62C1" w:rsidP="00CE62C1">
      <w:pPr>
        <w:spacing w:line="276" w:lineRule="auto"/>
        <w:jc w:val="right"/>
        <w:rPr>
          <w:rFonts w:cs="Book Antiqua"/>
          <w:szCs w:val="24"/>
        </w:rPr>
      </w:pPr>
    </w:p>
    <w:p w14:paraId="737824F4" w14:textId="77777777" w:rsidR="00B32800" w:rsidRPr="004E74A6" w:rsidRDefault="00B32800" w:rsidP="00832773">
      <w:pPr>
        <w:spacing w:line="276" w:lineRule="auto"/>
        <w:jc w:val="right"/>
        <w:rPr>
          <w:rFonts w:cs="Book Antiqua"/>
          <w:szCs w:val="24"/>
        </w:rPr>
      </w:pPr>
    </w:p>
    <w:p w14:paraId="7DE0447C" w14:textId="77777777" w:rsidR="009B29F2" w:rsidRDefault="009B29F2">
      <w:pPr>
        <w:spacing w:line="240" w:lineRule="auto"/>
        <w:jc w:val="left"/>
        <w:rPr>
          <w:rFonts w:cs="Book Antiqua"/>
          <w:szCs w:val="24"/>
        </w:rPr>
      </w:pPr>
      <w:r>
        <w:rPr>
          <w:rFonts w:cs="Book Antiqua"/>
          <w:szCs w:val="24"/>
        </w:rPr>
        <w:br w:type="page"/>
      </w:r>
    </w:p>
    <w:p w14:paraId="5345BD71" w14:textId="0BBE774F" w:rsidR="002249F5" w:rsidRPr="004E74A6" w:rsidRDefault="00CE62C1" w:rsidP="00CE62C1">
      <w:pPr>
        <w:spacing w:line="276" w:lineRule="auto"/>
        <w:rPr>
          <w:rFonts w:cs="Book Antiqua"/>
          <w:szCs w:val="24"/>
        </w:rPr>
      </w:pPr>
      <w:r w:rsidRPr="004E74A6">
        <w:rPr>
          <w:rFonts w:cs="Book Antiqua"/>
          <w:szCs w:val="24"/>
        </w:rPr>
        <w:lastRenderedPageBreak/>
        <w:t>2</w:t>
      </w:r>
      <w:r w:rsidR="000255D7">
        <w:rPr>
          <w:rFonts w:cs="Book Antiqua"/>
          <w:szCs w:val="24"/>
        </w:rPr>
        <w:t>9</w:t>
      </w:r>
      <w:r w:rsidR="00B32800" w:rsidRPr="004E74A6">
        <w:rPr>
          <w:rFonts w:cs="Book Antiqua"/>
          <w:szCs w:val="24"/>
        </w:rPr>
        <w:t xml:space="preserve"> de </w:t>
      </w:r>
      <w:r w:rsidR="006F7344" w:rsidRPr="004E74A6">
        <w:rPr>
          <w:rFonts w:cs="Book Antiqua"/>
          <w:szCs w:val="24"/>
        </w:rPr>
        <w:t>noviembre</w:t>
      </w:r>
      <w:r w:rsidR="00B32800" w:rsidRPr="004E74A6">
        <w:rPr>
          <w:rFonts w:cs="Book Antiqua"/>
          <w:szCs w:val="24"/>
        </w:rPr>
        <w:t xml:space="preserve"> del 2022</w:t>
      </w:r>
    </w:p>
    <w:p w14:paraId="6474FDC3" w14:textId="632E964E" w:rsidR="002249F5" w:rsidRPr="004E74A6" w:rsidRDefault="002249F5" w:rsidP="00CE62C1">
      <w:pPr>
        <w:tabs>
          <w:tab w:val="left" w:pos="0"/>
        </w:tabs>
        <w:spacing w:line="276" w:lineRule="auto"/>
        <w:ind w:left="142" w:hanging="142"/>
        <w:rPr>
          <w:rFonts w:cs="Book Antiqua"/>
          <w:szCs w:val="24"/>
        </w:rPr>
      </w:pPr>
    </w:p>
    <w:p w14:paraId="0D491D4F" w14:textId="48F6138D" w:rsidR="00B32800" w:rsidRPr="004E74A6" w:rsidRDefault="00B32800" w:rsidP="00CE62C1">
      <w:pPr>
        <w:tabs>
          <w:tab w:val="left" w:pos="0"/>
        </w:tabs>
        <w:spacing w:line="276" w:lineRule="auto"/>
        <w:ind w:left="142" w:hanging="142"/>
        <w:rPr>
          <w:rFonts w:cs="Book Antiqua"/>
          <w:szCs w:val="24"/>
        </w:rPr>
      </w:pPr>
    </w:p>
    <w:p w14:paraId="2358D660" w14:textId="77777777" w:rsidR="00B32800" w:rsidRPr="004E74A6" w:rsidRDefault="00B32800" w:rsidP="00CE62C1">
      <w:pPr>
        <w:tabs>
          <w:tab w:val="left" w:pos="0"/>
        </w:tabs>
        <w:spacing w:line="276" w:lineRule="auto"/>
        <w:ind w:left="142" w:hanging="142"/>
        <w:rPr>
          <w:rFonts w:cs="Book Antiqua"/>
          <w:szCs w:val="24"/>
        </w:rPr>
      </w:pPr>
    </w:p>
    <w:p w14:paraId="3D4E4AE3" w14:textId="4C845571" w:rsidR="00FC7072" w:rsidRPr="004E74A6" w:rsidRDefault="00311BE7" w:rsidP="00CE62C1">
      <w:pPr>
        <w:spacing w:line="276" w:lineRule="auto"/>
        <w:rPr>
          <w:rFonts w:cs="Book Antiqua"/>
          <w:szCs w:val="24"/>
        </w:rPr>
      </w:pPr>
      <w:r w:rsidRPr="004E74A6">
        <w:rPr>
          <w:rFonts w:cs="Book Antiqua"/>
          <w:szCs w:val="24"/>
        </w:rPr>
        <w:t>Licenciada</w:t>
      </w:r>
    </w:p>
    <w:p w14:paraId="14D14626" w14:textId="7ED61032" w:rsidR="00FC7072" w:rsidRPr="004E74A6" w:rsidRDefault="00311BE7" w:rsidP="00CE62C1">
      <w:pPr>
        <w:spacing w:line="276" w:lineRule="auto"/>
        <w:rPr>
          <w:rFonts w:cs="Book Antiqua"/>
          <w:szCs w:val="24"/>
        </w:rPr>
      </w:pPr>
      <w:r w:rsidRPr="004E74A6">
        <w:rPr>
          <w:rFonts w:cs="Book Antiqua"/>
          <w:szCs w:val="24"/>
        </w:rPr>
        <w:t>Nacira Valverde Bermúdez</w:t>
      </w:r>
    </w:p>
    <w:p w14:paraId="75383869" w14:textId="5663BF8C" w:rsidR="00B32800" w:rsidRPr="004E74A6" w:rsidRDefault="00B32800" w:rsidP="00CE62C1">
      <w:pPr>
        <w:spacing w:line="276" w:lineRule="auto"/>
        <w:rPr>
          <w:rFonts w:cs="Book Antiqua"/>
          <w:szCs w:val="24"/>
        </w:rPr>
      </w:pPr>
      <w:r w:rsidRPr="004E74A6">
        <w:rPr>
          <w:rFonts w:cs="Book Antiqua"/>
          <w:szCs w:val="24"/>
        </w:rPr>
        <w:t>Directora a.i. de Planificación</w:t>
      </w:r>
    </w:p>
    <w:p w14:paraId="3B7CE3C4" w14:textId="4BB838BF" w:rsidR="002249F5" w:rsidRPr="00832773" w:rsidRDefault="002249F5" w:rsidP="00CE62C1">
      <w:pPr>
        <w:tabs>
          <w:tab w:val="left" w:pos="0"/>
        </w:tabs>
        <w:spacing w:line="276" w:lineRule="auto"/>
        <w:ind w:left="142" w:hanging="142"/>
        <w:rPr>
          <w:rFonts w:cs="Book Antiqua"/>
          <w:snapToGrid w:val="0"/>
          <w:szCs w:val="24"/>
        </w:rPr>
      </w:pPr>
    </w:p>
    <w:p w14:paraId="7565DDE3" w14:textId="77777777" w:rsidR="00B32800" w:rsidRPr="00832773" w:rsidRDefault="00B32800" w:rsidP="00CE62C1">
      <w:pPr>
        <w:tabs>
          <w:tab w:val="left" w:pos="0"/>
        </w:tabs>
        <w:spacing w:line="276" w:lineRule="auto"/>
        <w:ind w:left="142" w:hanging="142"/>
        <w:rPr>
          <w:rFonts w:cs="Book Antiqua"/>
          <w:snapToGrid w:val="0"/>
          <w:szCs w:val="24"/>
        </w:rPr>
      </w:pPr>
    </w:p>
    <w:p w14:paraId="020D985B" w14:textId="282444D6" w:rsidR="002249F5" w:rsidRPr="004E74A6" w:rsidRDefault="002249F5" w:rsidP="00CE62C1">
      <w:pPr>
        <w:tabs>
          <w:tab w:val="left" w:pos="0"/>
        </w:tabs>
        <w:spacing w:line="276" w:lineRule="auto"/>
        <w:ind w:left="142" w:hanging="142"/>
        <w:rPr>
          <w:rFonts w:cs="Book Antiqua"/>
          <w:szCs w:val="24"/>
        </w:rPr>
      </w:pPr>
      <w:r w:rsidRPr="004E74A6">
        <w:rPr>
          <w:rFonts w:cs="Book Antiqua"/>
          <w:szCs w:val="24"/>
        </w:rPr>
        <w:t>Estimad</w:t>
      </w:r>
      <w:r w:rsidR="00311BE7" w:rsidRPr="004E74A6">
        <w:rPr>
          <w:rFonts w:cs="Book Antiqua"/>
          <w:szCs w:val="24"/>
        </w:rPr>
        <w:t>a</w:t>
      </w:r>
      <w:r w:rsidRPr="004E74A6">
        <w:rPr>
          <w:rFonts w:cs="Book Antiqua"/>
          <w:szCs w:val="24"/>
        </w:rPr>
        <w:t xml:space="preserve"> señor</w:t>
      </w:r>
      <w:r w:rsidR="00311BE7" w:rsidRPr="004E74A6">
        <w:rPr>
          <w:rFonts w:cs="Book Antiqua"/>
          <w:szCs w:val="24"/>
        </w:rPr>
        <w:t>a</w:t>
      </w:r>
      <w:r w:rsidRPr="004E74A6">
        <w:rPr>
          <w:rFonts w:cs="Book Antiqua"/>
          <w:szCs w:val="24"/>
        </w:rPr>
        <w:t>:</w:t>
      </w:r>
    </w:p>
    <w:p w14:paraId="6977D9A9" w14:textId="77777777" w:rsidR="007C750B" w:rsidRPr="004E74A6" w:rsidRDefault="007C750B" w:rsidP="00CE62C1">
      <w:pPr>
        <w:spacing w:line="276" w:lineRule="auto"/>
        <w:ind w:right="74"/>
        <w:rPr>
          <w:szCs w:val="24"/>
        </w:rPr>
      </w:pPr>
    </w:p>
    <w:p w14:paraId="35E60515" w14:textId="03D8E250" w:rsidR="00FC7072" w:rsidRPr="004E74A6" w:rsidRDefault="00FC7072" w:rsidP="00CE62C1">
      <w:pPr>
        <w:spacing w:line="276" w:lineRule="auto"/>
        <w:ind w:right="74"/>
        <w:rPr>
          <w:szCs w:val="24"/>
        </w:rPr>
      </w:pPr>
      <w:r w:rsidRPr="004E74A6">
        <w:rPr>
          <w:szCs w:val="24"/>
        </w:rPr>
        <w:t>La Secretaría General de la Corte comunic</w:t>
      </w:r>
      <w:r w:rsidR="00CE62C1" w:rsidRPr="004E74A6">
        <w:rPr>
          <w:szCs w:val="24"/>
        </w:rPr>
        <w:t>ó</w:t>
      </w:r>
      <w:r w:rsidRPr="004E74A6">
        <w:rPr>
          <w:szCs w:val="24"/>
        </w:rPr>
        <w:t xml:space="preserve"> mediante oficio 919-2021</w:t>
      </w:r>
      <w:r w:rsidR="00647D6A">
        <w:rPr>
          <w:szCs w:val="24"/>
        </w:rPr>
        <w:t>,</w:t>
      </w:r>
      <w:r w:rsidRPr="004E74A6">
        <w:rPr>
          <w:szCs w:val="24"/>
        </w:rPr>
        <w:t xml:space="preserve"> el acuerdo Corte Plena</w:t>
      </w:r>
      <w:r w:rsidR="00647D6A">
        <w:rPr>
          <w:szCs w:val="24"/>
        </w:rPr>
        <w:t>,</w:t>
      </w:r>
      <w:r w:rsidRPr="004E74A6">
        <w:rPr>
          <w:szCs w:val="24"/>
        </w:rPr>
        <w:t xml:space="preserve"> en la sesión 2-2021</w:t>
      </w:r>
      <w:r w:rsidR="00647D6A">
        <w:rPr>
          <w:szCs w:val="24"/>
        </w:rPr>
        <w:t>,</w:t>
      </w:r>
      <w:r w:rsidRPr="004E74A6">
        <w:rPr>
          <w:szCs w:val="24"/>
        </w:rPr>
        <w:t xml:space="preserve"> celebrada el 11 de enero del </w:t>
      </w:r>
      <w:r w:rsidR="00E10CFF" w:rsidRPr="004E74A6">
        <w:rPr>
          <w:szCs w:val="24"/>
        </w:rPr>
        <w:t>2021</w:t>
      </w:r>
      <w:r w:rsidRPr="004E74A6">
        <w:rPr>
          <w:szCs w:val="24"/>
        </w:rPr>
        <w:t>, artículo XLII donde dispuso</w:t>
      </w:r>
      <w:r w:rsidR="00647D6A">
        <w:rPr>
          <w:szCs w:val="24"/>
        </w:rPr>
        <w:t xml:space="preserve"> lo siguiente</w:t>
      </w:r>
      <w:r w:rsidRPr="004E74A6">
        <w:rPr>
          <w:szCs w:val="24"/>
        </w:rPr>
        <w:t>:</w:t>
      </w:r>
    </w:p>
    <w:p w14:paraId="545DC48E" w14:textId="77777777" w:rsidR="00FC7072" w:rsidRPr="004E74A6" w:rsidRDefault="00FC7072" w:rsidP="00CE62C1">
      <w:pPr>
        <w:spacing w:line="276" w:lineRule="auto"/>
        <w:ind w:left="567" w:right="618"/>
        <w:rPr>
          <w:i/>
          <w:iCs/>
          <w:sz w:val="22"/>
          <w:szCs w:val="22"/>
        </w:rPr>
      </w:pPr>
    </w:p>
    <w:p w14:paraId="2C4A51D4" w14:textId="5FFE39E2" w:rsidR="00FC7072" w:rsidRPr="004E74A6" w:rsidRDefault="00FC7072" w:rsidP="00CE62C1">
      <w:pPr>
        <w:spacing w:line="276" w:lineRule="auto"/>
        <w:ind w:left="567" w:right="618"/>
        <w:rPr>
          <w:i/>
          <w:iCs/>
          <w:sz w:val="22"/>
          <w:szCs w:val="22"/>
        </w:rPr>
      </w:pPr>
      <w:r w:rsidRPr="00832773">
        <w:rPr>
          <w:i/>
          <w:iCs/>
          <w:sz w:val="22"/>
          <w:szCs w:val="22"/>
          <w:lang w:eastAsia="es-CR"/>
        </w:rPr>
        <w:t xml:space="preserve">“Sin objeción alguna, </w:t>
      </w:r>
      <w:r w:rsidRPr="00832773">
        <w:rPr>
          <w:b/>
          <w:bCs/>
          <w:i/>
          <w:iCs/>
          <w:sz w:val="22"/>
          <w:szCs w:val="22"/>
          <w:lang w:eastAsia="es-CR"/>
        </w:rPr>
        <w:t xml:space="preserve">se acordó: 1) </w:t>
      </w:r>
      <w:r w:rsidRPr="00832773">
        <w:rPr>
          <w:i/>
          <w:iCs/>
          <w:sz w:val="22"/>
          <w:szCs w:val="22"/>
          <w:lang w:eastAsia="es-CR"/>
        </w:rPr>
        <w:t xml:space="preserve">Tener por conocido el oficio Nº </w:t>
      </w:r>
      <w:r w:rsidRPr="00832773">
        <w:rPr>
          <w:i/>
          <w:iCs/>
          <w:sz w:val="22"/>
          <w:szCs w:val="22"/>
        </w:rPr>
        <w:t xml:space="preserve">1913-PLA-EV-2020 referente a revisión del monto de la cuantía en materia civil, para efecto de establecer el tope entre menor y mayor cuantía y por consiguiente el acceso al recurso de casación. </w:t>
      </w:r>
      <w:r w:rsidRPr="00832773">
        <w:rPr>
          <w:b/>
          <w:bCs/>
          <w:i/>
          <w:iCs/>
          <w:sz w:val="22"/>
          <w:szCs w:val="22"/>
        </w:rPr>
        <w:t>2)</w:t>
      </w:r>
      <w:r w:rsidRPr="00832773">
        <w:rPr>
          <w:i/>
          <w:iCs/>
          <w:sz w:val="22"/>
          <w:szCs w:val="22"/>
        </w:rPr>
        <w:t xml:space="preserve"> Tener por hecha la exposición de la licenciada Nacira Valverde Bermúdez, jefa de la Dirección de Planificación y el máster Jorge Rodríguez Salazar, Jefe interino del Subproceso de Evaluación de esa Dirección. </w:t>
      </w:r>
      <w:r w:rsidRPr="00832773">
        <w:rPr>
          <w:b/>
          <w:bCs/>
          <w:i/>
          <w:iCs/>
          <w:sz w:val="22"/>
          <w:szCs w:val="22"/>
        </w:rPr>
        <w:t>3)</w:t>
      </w:r>
      <w:r w:rsidRPr="00832773">
        <w:rPr>
          <w:i/>
          <w:iCs/>
          <w:sz w:val="22"/>
          <w:szCs w:val="22"/>
        </w:rPr>
        <w:t xml:space="preserve"> Reiterar a la Dirección Jurídica la remisión del informe solicitado por la Dirección de Planificación mediante oficio Nº </w:t>
      </w:r>
      <w:r w:rsidRPr="00832773">
        <w:rPr>
          <w:i/>
          <w:iCs/>
          <w:sz w:val="22"/>
          <w:szCs w:val="22"/>
          <w:lang w:eastAsia="es-CR"/>
        </w:rPr>
        <w:t>1561-PLAV-2020, con el fin de que este sea analizado junto con una propuesta más integral por los señores magistrados y señoras magistradas de la Sala Primera y la Dirección de Planificación.</w:t>
      </w:r>
      <w:r w:rsidRPr="00832773">
        <w:rPr>
          <w:i/>
          <w:iCs/>
          <w:sz w:val="22"/>
          <w:szCs w:val="22"/>
        </w:rPr>
        <w:t>”</w:t>
      </w:r>
      <w:r w:rsidR="00B32800" w:rsidRPr="00832773">
        <w:rPr>
          <w:i/>
          <w:iCs/>
          <w:sz w:val="22"/>
          <w:szCs w:val="22"/>
        </w:rPr>
        <w:t>.</w:t>
      </w:r>
    </w:p>
    <w:p w14:paraId="3A320E7A" w14:textId="77777777" w:rsidR="00FC7072" w:rsidRPr="004E74A6" w:rsidRDefault="00FC7072" w:rsidP="00CE62C1">
      <w:pPr>
        <w:spacing w:line="276" w:lineRule="auto"/>
        <w:ind w:right="74"/>
        <w:rPr>
          <w:szCs w:val="24"/>
        </w:rPr>
      </w:pPr>
    </w:p>
    <w:p w14:paraId="2D623DB5" w14:textId="4EA059F3" w:rsidR="002C344D" w:rsidRPr="004E74A6" w:rsidRDefault="00FC7072" w:rsidP="00CE62C1">
      <w:pPr>
        <w:spacing w:line="276" w:lineRule="auto"/>
        <w:ind w:right="74"/>
        <w:rPr>
          <w:szCs w:val="24"/>
        </w:rPr>
      </w:pPr>
      <w:r w:rsidRPr="004E74A6">
        <w:rPr>
          <w:szCs w:val="24"/>
        </w:rPr>
        <w:t xml:space="preserve">Conforme </w:t>
      </w:r>
      <w:r w:rsidR="00647D6A">
        <w:rPr>
          <w:szCs w:val="24"/>
        </w:rPr>
        <w:t>con</w:t>
      </w:r>
      <w:r w:rsidRPr="004E74A6">
        <w:rPr>
          <w:szCs w:val="24"/>
        </w:rPr>
        <w:t xml:space="preserve"> lo ordenado en el acuerdo y solicitud del oficio 1561-PLA-EV-2021</w:t>
      </w:r>
      <w:r w:rsidR="00E10CFF" w:rsidRPr="004E74A6">
        <w:rPr>
          <w:szCs w:val="24"/>
        </w:rPr>
        <w:t xml:space="preserve"> reiterada por oficio de la Dirección de Planificación </w:t>
      </w:r>
      <w:r w:rsidR="00E10CFF" w:rsidRPr="004E74A6">
        <w:rPr>
          <w:rFonts w:cs="Arial"/>
        </w:rPr>
        <w:t>202-PLA-MI-2021</w:t>
      </w:r>
      <w:r w:rsidRPr="004E74A6">
        <w:rPr>
          <w:szCs w:val="24"/>
        </w:rPr>
        <w:t xml:space="preserve">, la Dirección Jurídica emite el criterio </w:t>
      </w:r>
      <w:r w:rsidR="002C344D" w:rsidRPr="004E74A6">
        <w:rPr>
          <w:szCs w:val="24"/>
        </w:rPr>
        <w:t>DJ-C-111-2021 del 3 de marzo 2021, dictamen sobre el cual la Dirección de Planificación</w:t>
      </w:r>
      <w:r w:rsidR="000F4FC2">
        <w:rPr>
          <w:szCs w:val="24"/>
        </w:rPr>
        <w:t>,</w:t>
      </w:r>
      <w:r w:rsidR="002C344D" w:rsidRPr="004E74A6">
        <w:rPr>
          <w:szCs w:val="24"/>
        </w:rPr>
        <w:t xml:space="preserve"> solicita aclaración mediante oficio 322-PLA-MI-2021 del 18 de marzo del </w:t>
      </w:r>
      <w:r w:rsidR="00E10CFF" w:rsidRPr="004E74A6">
        <w:rPr>
          <w:szCs w:val="24"/>
        </w:rPr>
        <w:t>2021</w:t>
      </w:r>
      <w:r w:rsidR="00A07372" w:rsidRPr="004E74A6">
        <w:rPr>
          <w:szCs w:val="24"/>
        </w:rPr>
        <w:t xml:space="preserve"> y la </w:t>
      </w:r>
      <w:r w:rsidR="002C344D" w:rsidRPr="004E74A6">
        <w:rPr>
          <w:szCs w:val="24"/>
        </w:rPr>
        <w:t>Dirección Jurídica</w:t>
      </w:r>
      <w:r w:rsidR="000F4FC2">
        <w:rPr>
          <w:szCs w:val="24"/>
        </w:rPr>
        <w:t>,</w:t>
      </w:r>
      <w:r w:rsidR="002C344D" w:rsidRPr="004E74A6">
        <w:rPr>
          <w:szCs w:val="24"/>
        </w:rPr>
        <w:t xml:space="preserve"> emit</w:t>
      </w:r>
      <w:r w:rsidR="00E10CFF" w:rsidRPr="004E74A6">
        <w:rPr>
          <w:szCs w:val="24"/>
        </w:rPr>
        <w:t>ió</w:t>
      </w:r>
      <w:r w:rsidR="002C344D" w:rsidRPr="004E74A6">
        <w:rPr>
          <w:szCs w:val="24"/>
        </w:rPr>
        <w:t xml:space="preserve"> el criterio DJ-C-376-2021 del 6 de julio 2021.</w:t>
      </w:r>
    </w:p>
    <w:p w14:paraId="0F5A85FA" w14:textId="77777777" w:rsidR="00A07372" w:rsidRPr="004E74A6" w:rsidRDefault="00A07372" w:rsidP="00CE62C1">
      <w:pPr>
        <w:spacing w:line="276" w:lineRule="auto"/>
        <w:ind w:right="74"/>
        <w:rPr>
          <w:szCs w:val="24"/>
        </w:rPr>
      </w:pPr>
    </w:p>
    <w:p w14:paraId="2C3A80C5" w14:textId="77777777" w:rsidR="00A76243" w:rsidRDefault="00E10CFF" w:rsidP="00CE62C1">
      <w:pPr>
        <w:spacing w:line="276" w:lineRule="auto"/>
        <w:ind w:right="49"/>
        <w:rPr>
          <w:szCs w:val="24"/>
        </w:rPr>
      </w:pPr>
      <w:r w:rsidRPr="004E74A6">
        <w:rPr>
          <w:szCs w:val="24"/>
        </w:rPr>
        <w:t>S</w:t>
      </w:r>
      <w:r w:rsidR="004208E3" w:rsidRPr="004E74A6">
        <w:rPr>
          <w:szCs w:val="24"/>
        </w:rPr>
        <w:t>e analizan</w:t>
      </w:r>
      <w:r w:rsidRPr="004E74A6">
        <w:rPr>
          <w:szCs w:val="24"/>
        </w:rPr>
        <w:t xml:space="preserve"> en este informe</w:t>
      </w:r>
      <w:r w:rsidR="000F4FC2">
        <w:rPr>
          <w:szCs w:val="24"/>
        </w:rPr>
        <w:t>,</w:t>
      </w:r>
      <w:r w:rsidR="004208E3" w:rsidRPr="004E74A6">
        <w:rPr>
          <w:szCs w:val="24"/>
        </w:rPr>
        <w:t xml:space="preserve"> los posibles escenarios</w:t>
      </w:r>
      <w:r w:rsidR="00B21E27" w:rsidRPr="004E74A6">
        <w:rPr>
          <w:szCs w:val="24"/>
        </w:rPr>
        <w:t xml:space="preserve"> incluyendo el escenario propuesto por la Sala Primera</w:t>
      </w:r>
      <w:r w:rsidR="004208E3" w:rsidRPr="004E74A6">
        <w:rPr>
          <w:szCs w:val="24"/>
        </w:rPr>
        <w:t xml:space="preserve"> de cambio de monto</w:t>
      </w:r>
      <w:r w:rsidR="00A76243">
        <w:rPr>
          <w:szCs w:val="24"/>
        </w:rPr>
        <w:t>,</w:t>
      </w:r>
      <w:r w:rsidR="004208E3" w:rsidRPr="004E74A6">
        <w:rPr>
          <w:szCs w:val="24"/>
        </w:rPr>
        <w:t xml:space="preserve"> </w:t>
      </w:r>
      <w:r w:rsidR="002C344D" w:rsidRPr="004E74A6">
        <w:rPr>
          <w:szCs w:val="24"/>
        </w:rPr>
        <w:t>específicamente</w:t>
      </w:r>
      <w:r w:rsidR="004208E3" w:rsidRPr="004E74A6">
        <w:rPr>
          <w:szCs w:val="24"/>
        </w:rPr>
        <w:t xml:space="preserve"> </w:t>
      </w:r>
      <w:r w:rsidR="002C344D" w:rsidRPr="004E74A6">
        <w:rPr>
          <w:szCs w:val="24"/>
        </w:rPr>
        <w:t>para acceder al recurso de casación</w:t>
      </w:r>
      <w:r w:rsidR="00A76243">
        <w:rPr>
          <w:szCs w:val="24"/>
        </w:rPr>
        <w:t>,</w:t>
      </w:r>
      <w:r w:rsidR="002C344D" w:rsidRPr="004E74A6">
        <w:rPr>
          <w:szCs w:val="24"/>
        </w:rPr>
        <w:t xml:space="preserve"> </w:t>
      </w:r>
      <w:r w:rsidR="0059188A" w:rsidRPr="004E74A6">
        <w:rPr>
          <w:szCs w:val="24"/>
        </w:rPr>
        <w:t>solamente en</w:t>
      </w:r>
      <w:r w:rsidR="002C344D" w:rsidRPr="004E74A6">
        <w:rPr>
          <w:szCs w:val="24"/>
        </w:rPr>
        <w:t xml:space="preserve"> procesos ordinarios</w:t>
      </w:r>
      <w:r w:rsidR="00A76243">
        <w:rPr>
          <w:szCs w:val="24"/>
        </w:rPr>
        <w:t>.</w:t>
      </w:r>
    </w:p>
    <w:p w14:paraId="04F5660B" w14:textId="492DD940" w:rsidR="002C344D" w:rsidRPr="004E74A6" w:rsidRDefault="00A76243" w:rsidP="00CE62C1">
      <w:pPr>
        <w:spacing w:line="276" w:lineRule="auto"/>
        <w:ind w:right="49"/>
        <w:rPr>
          <w:szCs w:val="24"/>
        </w:rPr>
      </w:pPr>
      <w:r>
        <w:rPr>
          <w:szCs w:val="24"/>
        </w:rPr>
        <w:lastRenderedPageBreak/>
        <w:t xml:space="preserve">Este informe </w:t>
      </w:r>
      <w:r w:rsidR="008D51C4">
        <w:rPr>
          <w:szCs w:val="24"/>
        </w:rPr>
        <w:t xml:space="preserve">fue </w:t>
      </w:r>
      <w:r w:rsidR="008D51C4" w:rsidRPr="004E74A6">
        <w:rPr>
          <w:szCs w:val="24"/>
        </w:rPr>
        <w:t>elaborado</w:t>
      </w:r>
      <w:r w:rsidR="002C344D" w:rsidRPr="004E74A6">
        <w:rPr>
          <w:szCs w:val="24"/>
        </w:rPr>
        <w:t xml:space="preserve"> por </w:t>
      </w:r>
      <w:r w:rsidR="005E60DE" w:rsidRPr="004E74A6">
        <w:rPr>
          <w:szCs w:val="24"/>
        </w:rPr>
        <w:t>el Lic. Michael Andrés Garita Jiménez</w:t>
      </w:r>
      <w:r w:rsidR="00A47E04" w:rsidRPr="004E74A6">
        <w:rPr>
          <w:szCs w:val="24"/>
        </w:rPr>
        <w:t xml:space="preserve"> y M</w:t>
      </w:r>
      <w:r w:rsidR="00E10CFF" w:rsidRPr="004E74A6">
        <w:rPr>
          <w:szCs w:val="24"/>
        </w:rPr>
        <w:t>S</w:t>
      </w:r>
      <w:r w:rsidR="00A47E04" w:rsidRPr="004E74A6">
        <w:rPr>
          <w:szCs w:val="24"/>
        </w:rPr>
        <w:t>c. Melissa Durán Gamboa</w:t>
      </w:r>
      <w:r w:rsidR="002C344D" w:rsidRPr="004E74A6">
        <w:rPr>
          <w:szCs w:val="24"/>
        </w:rPr>
        <w:t xml:space="preserve">, Profesional </w:t>
      </w:r>
      <w:r w:rsidR="00A47E04" w:rsidRPr="004E74A6">
        <w:rPr>
          <w:szCs w:val="24"/>
        </w:rPr>
        <w:t xml:space="preserve">y Coordinadora </w:t>
      </w:r>
      <w:r w:rsidR="002C344D" w:rsidRPr="004E74A6">
        <w:rPr>
          <w:szCs w:val="24"/>
        </w:rPr>
        <w:t xml:space="preserve">de </w:t>
      </w:r>
      <w:r w:rsidR="00E10CFF" w:rsidRPr="004E74A6">
        <w:rPr>
          <w:szCs w:val="24"/>
        </w:rPr>
        <w:t>Unidad</w:t>
      </w:r>
      <w:r w:rsidR="00C10F14" w:rsidRPr="004E74A6">
        <w:rPr>
          <w:szCs w:val="24"/>
        </w:rPr>
        <w:t xml:space="preserve"> a.i. </w:t>
      </w:r>
      <w:r w:rsidR="00D369A0" w:rsidRPr="004E74A6">
        <w:rPr>
          <w:szCs w:val="24"/>
        </w:rPr>
        <w:t xml:space="preserve">de </w:t>
      </w:r>
      <w:r w:rsidR="002C344D" w:rsidRPr="004E74A6">
        <w:rPr>
          <w:szCs w:val="24"/>
        </w:rPr>
        <w:t>este Subproceso</w:t>
      </w:r>
      <w:r w:rsidR="003A6CBA">
        <w:rPr>
          <w:szCs w:val="24"/>
        </w:rPr>
        <w:t>; respectivamente</w:t>
      </w:r>
      <w:r w:rsidR="002C344D" w:rsidRPr="004E74A6">
        <w:rPr>
          <w:szCs w:val="24"/>
        </w:rPr>
        <w:t>.</w:t>
      </w:r>
    </w:p>
    <w:p w14:paraId="3A5B6C14" w14:textId="77777777" w:rsidR="00B21E27" w:rsidRPr="004E74A6" w:rsidRDefault="00B21E27" w:rsidP="00CE62C1">
      <w:pPr>
        <w:spacing w:line="276" w:lineRule="auto"/>
        <w:ind w:right="49"/>
        <w:rPr>
          <w:szCs w:val="24"/>
        </w:rPr>
      </w:pPr>
    </w:p>
    <w:p w14:paraId="604E1B3F" w14:textId="77777777" w:rsidR="00B21E27" w:rsidRPr="004E74A6" w:rsidRDefault="00B21E27" w:rsidP="00CE62C1">
      <w:pPr>
        <w:spacing w:line="276" w:lineRule="auto"/>
        <w:rPr>
          <w:rFonts w:cs="Book Antiqua"/>
          <w:szCs w:val="24"/>
        </w:rPr>
      </w:pPr>
      <w:r w:rsidRPr="004E74A6">
        <w:rPr>
          <w:rFonts w:cs="Book Antiqua"/>
          <w:szCs w:val="24"/>
        </w:rPr>
        <w:t xml:space="preserve">Este informe además incorpora </w:t>
      </w:r>
      <w:r w:rsidR="00E10CFF" w:rsidRPr="004E74A6">
        <w:rPr>
          <w:rFonts w:cs="Book Antiqua"/>
          <w:szCs w:val="24"/>
        </w:rPr>
        <w:t xml:space="preserve">a </w:t>
      </w:r>
      <w:r w:rsidRPr="004E74A6">
        <w:rPr>
          <w:rFonts w:cs="Book Antiqua"/>
          <w:szCs w:val="24"/>
        </w:rPr>
        <w:t>respuesta a los oficios que se citan en el siguiente recuadro:</w:t>
      </w:r>
    </w:p>
    <w:tbl>
      <w:tblPr>
        <w:tblW w:w="9936" w:type="dxa"/>
        <w:jc w:val="center"/>
        <w:tblLayout w:type="fixed"/>
        <w:tblCellMar>
          <w:left w:w="0" w:type="dxa"/>
          <w:right w:w="0" w:type="dxa"/>
        </w:tblCellMar>
        <w:tblLook w:val="04A0" w:firstRow="1" w:lastRow="0" w:firstColumn="1" w:lastColumn="0" w:noHBand="0" w:noVBand="1"/>
      </w:tblPr>
      <w:tblGrid>
        <w:gridCol w:w="1644"/>
        <w:gridCol w:w="1247"/>
        <w:gridCol w:w="2736"/>
        <w:gridCol w:w="2268"/>
        <w:gridCol w:w="2041"/>
      </w:tblGrid>
      <w:tr w:rsidR="003B7591" w:rsidRPr="004E74A6" w14:paraId="11AEBD64" w14:textId="77777777" w:rsidTr="006B63AC">
        <w:trPr>
          <w:trHeight w:val="641"/>
          <w:tblHeader/>
          <w:jc w:val="center"/>
        </w:trPr>
        <w:tc>
          <w:tcPr>
            <w:tcW w:w="1644" w:type="dxa"/>
            <w:tcBorders>
              <w:top w:val="single" w:sz="4" w:space="0" w:color="auto"/>
              <w:left w:val="single" w:sz="4" w:space="0" w:color="auto"/>
              <w:bottom w:val="single" w:sz="4" w:space="0" w:color="auto"/>
              <w:right w:val="single" w:sz="4" w:space="0" w:color="auto"/>
            </w:tcBorders>
            <w:shd w:val="clear" w:color="auto" w:fill="B4C6E7"/>
            <w:tcMar>
              <w:top w:w="0" w:type="dxa"/>
              <w:left w:w="108" w:type="dxa"/>
              <w:bottom w:w="0" w:type="dxa"/>
              <w:right w:w="108" w:type="dxa"/>
            </w:tcMar>
            <w:vAlign w:val="center"/>
            <w:hideMark/>
          </w:tcPr>
          <w:p w14:paraId="316AF91C" w14:textId="77777777" w:rsidR="003B7591" w:rsidRPr="004E74A6" w:rsidRDefault="003B7591" w:rsidP="00CE62C1">
            <w:pPr>
              <w:spacing w:line="276" w:lineRule="auto"/>
              <w:jc w:val="center"/>
              <w:rPr>
                <w:b/>
                <w:i/>
                <w:iCs/>
                <w:sz w:val="22"/>
                <w:szCs w:val="22"/>
                <w:lang w:eastAsia="es-CR"/>
              </w:rPr>
            </w:pPr>
            <w:r w:rsidRPr="004E74A6">
              <w:rPr>
                <w:b/>
                <w:bCs/>
                <w:i/>
                <w:iCs/>
                <w:sz w:val="22"/>
                <w:szCs w:val="22"/>
              </w:rPr>
              <w:t>Oficio</w:t>
            </w:r>
          </w:p>
        </w:tc>
        <w:tc>
          <w:tcPr>
            <w:tcW w:w="1247" w:type="dxa"/>
            <w:tcBorders>
              <w:top w:val="single" w:sz="4" w:space="0" w:color="auto"/>
              <w:left w:val="single" w:sz="4" w:space="0" w:color="auto"/>
              <w:bottom w:val="single" w:sz="4" w:space="0" w:color="auto"/>
              <w:right w:val="single" w:sz="4" w:space="0" w:color="auto"/>
            </w:tcBorders>
            <w:shd w:val="clear" w:color="auto" w:fill="B4C6E7"/>
            <w:tcMar>
              <w:top w:w="0" w:type="dxa"/>
              <w:left w:w="108" w:type="dxa"/>
              <w:bottom w:w="0" w:type="dxa"/>
              <w:right w:w="108" w:type="dxa"/>
            </w:tcMar>
            <w:vAlign w:val="center"/>
            <w:hideMark/>
          </w:tcPr>
          <w:p w14:paraId="6FE36DC0" w14:textId="77777777" w:rsidR="003B7591" w:rsidRPr="004E74A6" w:rsidRDefault="003B7591" w:rsidP="00CE62C1">
            <w:pPr>
              <w:spacing w:line="276" w:lineRule="auto"/>
              <w:jc w:val="center"/>
              <w:rPr>
                <w:b/>
                <w:bCs/>
                <w:i/>
                <w:iCs/>
                <w:sz w:val="22"/>
                <w:szCs w:val="22"/>
              </w:rPr>
            </w:pPr>
            <w:r w:rsidRPr="004E74A6">
              <w:rPr>
                <w:b/>
                <w:bCs/>
                <w:i/>
                <w:iCs/>
                <w:sz w:val="22"/>
                <w:szCs w:val="22"/>
              </w:rPr>
              <w:t>Fecha del</w:t>
            </w:r>
          </w:p>
          <w:p w14:paraId="02F66301" w14:textId="77777777" w:rsidR="003B7591" w:rsidRPr="004E74A6" w:rsidRDefault="003B7591" w:rsidP="00CE62C1">
            <w:pPr>
              <w:spacing w:line="276" w:lineRule="auto"/>
              <w:jc w:val="center"/>
              <w:rPr>
                <w:b/>
                <w:i/>
                <w:iCs/>
                <w:sz w:val="22"/>
                <w:szCs w:val="22"/>
              </w:rPr>
            </w:pPr>
            <w:r w:rsidRPr="004E74A6">
              <w:rPr>
                <w:b/>
                <w:bCs/>
                <w:i/>
                <w:iCs/>
                <w:sz w:val="22"/>
                <w:szCs w:val="22"/>
              </w:rPr>
              <w:t>Oficio</w:t>
            </w:r>
          </w:p>
        </w:tc>
        <w:tc>
          <w:tcPr>
            <w:tcW w:w="2736" w:type="dxa"/>
            <w:tcBorders>
              <w:top w:val="single" w:sz="4" w:space="0" w:color="auto"/>
              <w:left w:val="single" w:sz="4" w:space="0" w:color="auto"/>
              <w:bottom w:val="single" w:sz="4" w:space="0" w:color="auto"/>
              <w:right w:val="single" w:sz="4" w:space="0" w:color="auto"/>
            </w:tcBorders>
            <w:shd w:val="clear" w:color="auto" w:fill="B4C6E7"/>
            <w:vAlign w:val="center"/>
          </w:tcPr>
          <w:p w14:paraId="4140C167" w14:textId="77777777" w:rsidR="003B7591" w:rsidRPr="004E74A6" w:rsidRDefault="003B7591" w:rsidP="00CE62C1">
            <w:pPr>
              <w:spacing w:line="276" w:lineRule="auto"/>
              <w:jc w:val="center"/>
              <w:rPr>
                <w:b/>
                <w:bCs/>
                <w:i/>
                <w:iCs/>
                <w:sz w:val="22"/>
                <w:szCs w:val="22"/>
              </w:rPr>
            </w:pPr>
            <w:r w:rsidRPr="004E74A6">
              <w:rPr>
                <w:b/>
                <w:bCs/>
                <w:i/>
                <w:iCs/>
                <w:sz w:val="22"/>
                <w:szCs w:val="22"/>
              </w:rPr>
              <w:t>Remitente</w:t>
            </w:r>
          </w:p>
        </w:tc>
        <w:tc>
          <w:tcPr>
            <w:tcW w:w="2268" w:type="dxa"/>
            <w:tcBorders>
              <w:top w:val="single" w:sz="4" w:space="0" w:color="auto"/>
              <w:left w:val="single" w:sz="4" w:space="0" w:color="auto"/>
              <w:bottom w:val="single" w:sz="4" w:space="0" w:color="auto"/>
              <w:right w:val="single" w:sz="4" w:space="0" w:color="auto"/>
            </w:tcBorders>
            <w:shd w:val="clear" w:color="auto" w:fill="B4C6E7"/>
            <w:vAlign w:val="center"/>
          </w:tcPr>
          <w:p w14:paraId="6C48746B" w14:textId="77777777" w:rsidR="003B7591" w:rsidRPr="004E74A6" w:rsidRDefault="003B7591" w:rsidP="00CE62C1">
            <w:pPr>
              <w:spacing w:line="276" w:lineRule="auto"/>
              <w:jc w:val="center"/>
              <w:rPr>
                <w:b/>
                <w:bCs/>
                <w:i/>
                <w:iCs/>
                <w:sz w:val="22"/>
                <w:szCs w:val="22"/>
              </w:rPr>
            </w:pPr>
            <w:r w:rsidRPr="004E74A6">
              <w:rPr>
                <w:b/>
                <w:bCs/>
                <w:i/>
                <w:iCs/>
                <w:sz w:val="22"/>
                <w:szCs w:val="22"/>
              </w:rPr>
              <w:t>Tema</w:t>
            </w:r>
          </w:p>
        </w:tc>
        <w:tc>
          <w:tcPr>
            <w:tcW w:w="2041" w:type="dxa"/>
            <w:tcBorders>
              <w:top w:val="single" w:sz="4" w:space="0" w:color="auto"/>
              <w:left w:val="single" w:sz="4" w:space="0" w:color="auto"/>
              <w:bottom w:val="single" w:sz="4" w:space="0" w:color="auto"/>
              <w:right w:val="single" w:sz="4" w:space="0" w:color="auto"/>
            </w:tcBorders>
            <w:shd w:val="clear" w:color="auto" w:fill="B4C6E7"/>
            <w:tcMar>
              <w:top w:w="0" w:type="dxa"/>
              <w:left w:w="108" w:type="dxa"/>
              <w:bottom w:w="0" w:type="dxa"/>
              <w:right w:w="108" w:type="dxa"/>
            </w:tcMar>
            <w:vAlign w:val="center"/>
            <w:hideMark/>
          </w:tcPr>
          <w:p w14:paraId="32A72236" w14:textId="77777777" w:rsidR="003B7591" w:rsidRPr="004E74A6" w:rsidRDefault="003B7591" w:rsidP="00CE62C1">
            <w:pPr>
              <w:spacing w:line="276" w:lineRule="auto"/>
              <w:jc w:val="center"/>
              <w:rPr>
                <w:b/>
                <w:bCs/>
                <w:i/>
                <w:iCs/>
                <w:sz w:val="22"/>
                <w:szCs w:val="22"/>
              </w:rPr>
            </w:pPr>
            <w:r w:rsidRPr="004E74A6">
              <w:rPr>
                <w:b/>
                <w:bCs/>
                <w:i/>
                <w:iCs/>
                <w:sz w:val="22"/>
                <w:szCs w:val="22"/>
              </w:rPr>
              <w:t>Referencia Interna</w:t>
            </w:r>
          </w:p>
          <w:p w14:paraId="50D8367A" w14:textId="77777777" w:rsidR="003B7591" w:rsidRPr="004E74A6" w:rsidRDefault="003B7591" w:rsidP="00CE62C1">
            <w:pPr>
              <w:spacing w:line="276" w:lineRule="auto"/>
              <w:jc w:val="center"/>
              <w:rPr>
                <w:b/>
                <w:i/>
                <w:iCs/>
                <w:sz w:val="22"/>
                <w:szCs w:val="22"/>
              </w:rPr>
            </w:pPr>
            <w:r w:rsidRPr="004E74A6">
              <w:rPr>
                <w:b/>
                <w:i/>
                <w:iCs/>
                <w:sz w:val="22"/>
                <w:szCs w:val="22"/>
              </w:rPr>
              <w:t>Dir. Planificación</w:t>
            </w:r>
          </w:p>
        </w:tc>
      </w:tr>
      <w:tr w:rsidR="003B7591" w:rsidRPr="004E74A6" w14:paraId="0798C06E" w14:textId="77777777" w:rsidTr="006B63AC">
        <w:trPr>
          <w:trHeight w:val="641"/>
          <w:tblHeader/>
          <w:jc w:val="center"/>
        </w:trPr>
        <w:tc>
          <w:tcPr>
            <w:tcW w:w="1644"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77A45B59" w14:textId="77777777" w:rsidR="003B7591" w:rsidRPr="004E74A6" w:rsidRDefault="003B7591" w:rsidP="00CE62C1">
            <w:pPr>
              <w:spacing w:line="276" w:lineRule="auto"/>
              <w:jc w:val="center"/>
              <w:rPr>
                <w:sz w:val="22"/>
                <w:szCs w:val="22"/>
              </w:rPr>
            </w:pPr>
            <w:r w:rsidRPr="004E74A6">
              <w:rPr>
                <w:sz w:val="22"/>
                <w:szCs w:val="22"/>
              </w:rPr>
              <w:t>919-2021</w:t>
            </w:r>
          </w:p>
        </w:tc>
        <w:tc>
          <w:tcPr>
            <w:tcW w:w="1247"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7751641C" w14:textId="7572C232" w:rsidR="003B7591" w:rsidRPr="004E74A6" w:rsidRDefault="003B7591" w:rsidP="00CE62C1">
            <w:pPr>
              <w:spacing w:line="276" w:lineRule="auto"/>
              <w:jc w:val="center"/>
              <w:rPr>
                <w:sz w:val="22"/>
                <w:szCs w:val="22"/>
              </w:rPr>
            </w:pPr>
            <w:r w:rsidRPr="004E74A6">
              <w:rPr>
                <w:sz w:val="22"/>
                <w:szCs w:val="22"/>
              </w:rPr>
              <w:t>29-1-2021</w:t>
            </w:r>
          </w:p>
        </w:tc>
        <w:tc>
          <w:tcPr>
            <w:tcW w:w="2736" w:type="dxa"/>
            <w:tcBorders>
              <w:top w:val="single" w:sz="4" w:space="0" w:color="auto"/>
              <w:left w:val="single" w:sz="4" w:space="0" w:color="auto"/>
              <w:bottom w:val="single" w:sz="4" w:space="0" w:color="auto"/>
              <w:right w:val="single" w:sz="4" w:space="0" w:color="auto"/>
            </w:tcBorders>
            <w:shd w:val="clear" w:color="auto" w:fill="FFFFFF"/>
            <w:vAlign w:val="center"/>
          </w:tcPr>
          <w:p w14:paraId="087A6CE7" w14:textId="77777777" w:rsidR="003B7591" w:rsidRPr="004E74A6" w:rsidRDefault="003B7591" w:rsidP="00CE62C1">
            <w:pPr>
              <w:spacing w:line="276" w:lineRule="auto"/>
              <w:ind w:left="113" w:right="113"/>
              <w:rPr>
                <w:sz w:val="22"/>
                <w:szCs w:val="22"/>
              </w:rPr>
            </w:pPr>
            <w:r w:rsidRPr="004E74A6">
              <w:rPr>
                <w:sz w:val="22"/>
                <w:szCs w:val="22"/>
              </w:rPr>
              <w:t>Secretaría General de la Corte</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5BB08E97" w14:textId="77777777" w:rsidR="003B7591" w:rsidRPr="004E74A6" w:rsidRDefault="003B7591" w:rsidP="00CE62C1">
            <w:pPr>
              <w:spacing w:line="276" w:lineRule="auto"/>
              <w:ind w:left="113" w:right="113"/>
              <w:rPr>
                <w:sz w:val="22"/>
                <w:szCs w:val="22"/>
              </w:rPr>
            </w:pPr>
            <w:r w:rsidRPr="004E74A6">
              <w:rPr>
                <w:sz w:val="22"/>
                <w:szCs w:val="22"/>
              </w:rPr>
              <w:t>Aprobación informe 1913-PLA-EV-2020</w:t>
            </w:r>
          </w:p>
        </w:tc>
        <w:tc>
          <w:tcPr>
            <w:tcW w:w="2041"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1F5B2B4C" w14:textId="77777777" w:rsidR="003B7591" w:rsidRPr="004E74A6" w:rsidRDefault="003B7591" w:rsidP="00CE62C1">
            <w:pPr>
              <w:spacing w:line="276" w:lineRule="auto"/>
              <w:jc w:val="center"/>
              <w:rPr>
                <w:sz w:val="22"/>
                <w:szCs w:val="22"/>
              </w:rPr>
            </w:pPr>
            <w:r w:rsidRPr="004E74A6">
              <w:rPr>
                <w:sz w:val="22"/>
                <w:szCs w:val="22"/>
              </w:rPr>
              <w:t>221-</w:t>
            </w:r>
            <w:r w:rsidR="00086343" w:rsidRPr="004E74A6">
              <w:rPr>
                <w:sz w:val="22"/>
                <w:szCs w:val="22"/>
              </w:rPr>
              <w:t>20</w:t>
            </w:r>
            <w:r w:rsidRPr="004E74A6">
              <w:rPr>
                <w:sz w:val="22"/>
                <w:szCs w:val="22"/>
              </w:rPr>
              <w:t>21</w:t>
            </w:r>
          </w:p>
        </w:tc>
      </w:tr>
      <w:tr w:rsidR="003B7591" w:rsidRPr="004E74A6" w14:paraId="784C45B5" w14:textId="77777777" w:rsidTr="006B63AC">
        <w:trPr>
          <w:trHeight w:val="641"/>
          <w:tblHeader/>
          <w:jc w:val="center"/>
        </w:trPr>
        <w:tc>
          <w:tcPr>
            <w:tcW w:w="1644"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0A1AE9D2" w14:textId="78BC23F7" w:rsidR="003B7591" w:rsidRPr="004E74A6" w:rsidRDefault="003B7591" w:rsidP="00CE62C1">
            <w:pPr>
              <w:spacing w:line="276" w:lineRule="auto"/>
              <w:jc w:val="center"/>
              <w:rPr>
                <w:sz w:val="22"/>
                <w:szCs w:val="22"/>
              </w:rPr>
            </w:pPr>
            <w:r w:rsidRPr="004E74A6">
              <w:rPr>
                <w:sz w:val="22"/>
                <w:szCs w:val="22"/>
              </w:rPr>
              <w:t>DJ-C-111</w:t>
            </w:r>
            <w:r w:rsidR="00D97CEB" w:rsidRPr="004E74A6">
              <w:rPr>
                <w:sz w:val="22"/>
                <w:szCs w:val="22"/>
              </w:rPr>
              <w:t>-2021</w:t>
            </w:r>
          </w:p>
        </w:tc>
        <w:tc>
          <w:tcPr>
            <w:tcW w:w="1247"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4588D70F" w14:textId="77777777" w:rsidR="003B7591" w:rsidRPr="004E74A6" w:rsidRDefault="003B7591" w:rsidP="00CE62C1">
            <w:pPr>
              <w:spacing w:line="276" w:lineRule="auto"/>
              <w:jc w:val="center"/>
              <w:rPr>
                <w:sz w:val="22"/>
                <w:szCs w:val="22"/>
              </w:rPr>
            </w:pPr>
            <w:r w:rsidRPr="004E74A6">
              <w:rPr>
                <w:sz w:val="22"/>
                <w:szCs w:val="22"/>
              </w:rPr>
              <w:t>3-3-2021</w:t>
            </w:r>
          </w:p>
        </w:tc>
        <w:tc>
          <w:tcPr>
            <w:tcW w:w="2736" w:type="dxa"/>
            <w:tcBorders>
              <w:top w:val="single" w:sz="4" w:space="0" w:color="auto"/>
              <w:left w:val="single" w:sz="4" w:space="0" w:color="auto"/>
              <w:bottom w:val="single" w:sz="4" w:space="0" w:color="auto"/>
              <w:right w:val="single" w:sz="4" w:space="0" w:color="auto"/>
            </w:tcBorders>
            <w:shd w:val="clear" w:color="auto" w:fill="FFFFFF"/>
            <w:vAlign w:val="center"/>
          </w:tcPr>
          <w:p w14:paraId="2DAF3603" w14:textId="77777777" w:rsidR="003B7591" w:rsidRPr="004E74A6" w:rsidRDefault="003B7591" w:rsidP="00CE62C1">
            <w:pPr>
              <w:spacing w:line="276" w:lineRule="auto"/>
              <w:ind w:left="113" w:right="113"/>
              <w:rPr>
                <w:sz w:val="22"/>
                <w:szCs w:val="22"/>
              </w:rPr>
            </w:pPr>
            <w:r w:rsidRPr="004E74A6">
              <w:rPr>
                <w:sz w:val="22"/>
                <w:szCs w:val="22"/>
              </w:rPr>
              <w:t>Dirección Jurídica</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35B7E995" w14:textId="77777777" w:rsidR="003B7591" w:rsidRPr="004E74A6" w:rsidRDefault="00244358" w:rsidP="00CE62C1">
            <w:pPr>
              <w:spacing w:line="276" w:lineRule="auto"/>
              <w:ind w:left="113" w:right="113"/>
              <w:rPr>
                <w:sz w:val="22"/>
                <w:szCs w:val="22"/>
              </w:rPr>
            </w:pPr>
            <w:r w:rsidRPr="004E74A6">
              <w:rPr>
                <w:sz w:val="22"/>
                <w:szCs w:val="22"/>
              </w:rPr>
              <w:t>Criterio</w:t>
            </w:r>
          </w:p>
        </w:tc>
        <w:tc>
          <w:tcPr>
            <w:tcW w:w="2041"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6B88C075" w14:textId="77777777" w:rsidR="003B7591" w:rsidRPr="004E74A6" w:rsidRDefault="003B7591" w:rsidP="00CE62C1">
            <w:pPr>
              <w:spacing w:line="276" w:lineRule="auto"/>
              <w:jc w:val="center"/>
              <w:rPr>
                <w:sz w:val="22"/>
                <w:szCs w:val="22"/>
              </w:rPr>
            </w:pPr>
            <w:r w:rsidRPr="004E74A6">
              <w:rPr>
                <w:sz w:val="22"/>
                <w:szCs w:val="22"/>
              </w:rPr>
              <w:t>485-2021</w:t>
            </w:r>
          </w:p>
        </w:tc>
      </w:tr>
      <w:tr w:rsidR="003B7591" w:rsidRPr="004E74A6" w14:paraId="7C2B4604" w14:textId="77777777" w:rsidTr="006B63AC">
        <w:trPr>
          <w:trHeight w:val="641"/>
          <w:tblHeader/>
          <w:jc w:val="center"/>
        </w:trPr>
        <w:tc>
          <w:tcPr>
            <w:tcW w:w="1644"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211B1EAD" w14:textId="77777777" w:rsidR="003B7591" w:rsidRPr="004E74A6" w:rsidRDefault="003B7591" w:rsidP="00CE62C1">
            <w:pPr>
              <w:spacing w:line="276" w:lineRule="auto"/>
              <w:jc w:val="center"/>
              <w:rPr>
                <w:sz w:val="22"/>
                <w:szCs w:val="22"/>
              </w:rPr>
            </w:pPr>
            <w:r w:rsidRPr="004E74A6">
              <w:rPr>
                <w:sz w:val="22"/>
                <w:szCs w:val="22"/>
              </w:rPr>
              <w:t>DJ-C-376-2021</w:t>
            </w:r>
          </w:p>
        </w:tc>
        <w:tc>
          <w:tcPr>
            <w:tcW w:w="1247"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2874984F" w14:textId="77777777" w:rsidR="003B7591" w:rsidRPr="004E74A6" w:rsidRDefault="003B7591" w:rsidP="00CE62C1">
            <w:pPr>
              <w:spacing w:line="276" w:lineRule="auto"/>
              <w:jc w:val="center"/>
              <w:rPr>
                <w:sz w:val="22"/>
                <w:szCs w:val="22"/>
              </w:rPr>
            </w:pPr>
            <w:r w:rsidRPr="004E74A6">
              <w:rPr>
                <w:sz w:val="22"/>
                <w:szCs w:val="22"/>
              </w:rPr>
              <w:t>6-7-2021</w:t>
            </w:r>
          </w:p>
        </w:tc>
        <w:tc>
          <w:tcPr>
            <w:tcW w:w="2736" w:type="dxa"/>
            <w:tcBorders>
              <w:top w:val="single" w:sz="4" w:space="0" w:color="auto"/>
              <w:left w:val="single" w:sz="4" w:space="0" w:color="auto"/>
              <w:bottom w:val="single" w:sz="4" w:space="0" w:color="auto"/>
              <w:right w:val="single" w:sz="4" w:space="0" w:color="auto"/>
            </w:tcBorders>
            <w:shd w:val="clear" w:color="auto" w:fill="FFFFFF"/>
            <w:vAlign w:val="center"/>
          </w:tcPr>
          <w:p w14:paraId="1C03D0CA" w14:textId="77777777" w:rsidR="003B7591" w:rsidRPr="004E74A6" w:rsidRDefault="003B7591" w:rsidP="00CE62C1">
            <w:pPr>
              <w:spacing w:line="276" w:lineRule="auto"/>
              <w:ind w:left="113" w:right="113"/>
              <w:rPr>
                <w:sz w:val="22"/>
                <w:szCs w:val="22"/>
              </w:rPr>
            </w:pPr>
            <w:r w:rsidRPr="004E74A6">
              <w:rPr>
                <w:sz w:val="22"/>
                <w:szCs w:val="22"/>
              </w:rPr>
              <w:t>Dirección Jurídica</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596D90CD" w14:textId="77777777" w:rsidR="003B7591" w:rsidRPr="004E74A6" w:rsidRDefault="00244358" w:rsidP="00CE62C1">
            <w:pPr>
              <w:spacing w:line="276" w:lineRule="auto"/>
              <w:ind w:left="113" w:right="113"/>
              <w:rPr>
                <w:sz w:val="22"/>
                <w:szCs w:val="22"/>
              </w:rPr>
            </w:pPr>
            <w:r w:rsidRPr="004E74A6">
              <w:rPr>
                <w:sz w:val="22"/>
                <w:szCs w:val="22"/>
              </w:rPr>
              <w:t>Criterio</w:t>
            </w:r>
          </w:p>
        </w:tc>
        <w:tc>
          <w:tcPr>
            <w:tcW w:w="2041"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5B58E3E2" w14:textId="77777777" w:rsidR="003B7591" w:rsidRPr="004E74A6" w:rsidRDefault="003B7591" w:rsidP="00CE62C1">
            <w:pPr>
              <w:spacing w:line="276" w:lineRule="auto"/>
              <w:jc w:val="center"/>
              <w:rPr>
                <w:sz w:val="22"/>
                <w:szCs w:val="22"/>
              </w:rPr>
            </w:pPr>
            <w:r w:rsidRPr="004E74A6">
              <w:rPr>
                <w:sz w:val="22"/>
                <w:szCs w:val="22"/>
              </w:rPr>
              <w:t>485-2021</w:t>
            </w:r>
          </w:p>
        </w:tc>
      </w:tr>
      <w:tr w:rsidR="007B6080" w:rsidRPr="004E74A6" w14:paraId="739F2BF6" w14:textId="77777777" w:rsidTr="006B63AC">
        <w:trPr>
          <w:trHeight w:val="641"/>
          <w:tblHeader/>
          <w:jc w:val="center"/>
        </w:trPr>
        <w:tc>
          <w:tcPr>
            <w:tcW w:w="1644"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2329FD64" w14:textId="77777777" w:rsidR="007B6080" w:rsidRPr="004E74A6" w:rsidRDefault="007B6080" w:rsidP="00CE62C1">
            <w:pPr>
              <w:pStyle w:val="Sinespaciado"/>
              <w:spacing w:line="276" w:lineRule="auto"/>
              <w:jc w:val="center"/>
              <w:rPr>
                <w:rFonts w:cs="Arial"/>
              </w:rPr>
            </w:pPr>
            <w:r w:rsidRPr="004E74A6">
              <w:rPr>
                <w:rFonts w:ascii="Book Antiqua" w:eastAsia="Times New Roman" w:hAnsi="Book Antiqua" w:cs="Arial"/>
              </w:rPr>
              <w:t>CJC-80-2022</w:t>
            </w:r>
          </w:p>
        </w:tc>
        <w:tc>
          <w:tcPr>
            <w:tcW w:w="1247"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1CEABB93" w14:textId="77777777" w:rsidR="007B6080" w:rsidRPr="004E74A6" w:rsidRDefault="007B6080" w:rsidP="00CE62C1">
            <w:pPr>
              <w:spacing w:line="276" w:lineRule="auto"/>
              <w:jc w:val="center"/>
              <w:rPr>
                <w:sz w:val="22"/>
                <w:szCs w:val="22"/>
              </w:rPr>
            </w:pPr>
            <w:r w:rsidRPr="004E74A6">
              <w:rPr>
                <w:sz w:val="22"/>
                <w:szCs w:val="22"/>
              </w:rPr>
              <w:t>27-1-2022</w:t>
            </w:r>
          </w:p>
        </w:tc>
        <w:tc>
          <w:tcPr>
            <w:tcW w:w="2736" w:type="dxa"/>
            <w:vMerge w:val="restart"/>
            <w:tcBorders>
              <w:top w:val="single" w:sz="4" w:space="0" w:color="auto"/>
              <w:left w:val="single" w:sz="4" w:space="0" w:color="auto"/>
              <w:right w:val="single" w:sz="4" w:space="0" w:color="auto"/>
            </w:tcBorders>
            <w:shd w:val="clear" w:color="auto" w:fill="FFFFFF"/>
            <w:vAlign w:val="center"/>
          </w:tcPr>
          <w:p w14:paraId="742AAC7F" w14:textId="77777777" w:rsidR="007B6080" w:rsidRPr="004E74A6" w:rsidRDefault="007B6080" w:rsidP="00CE62C1">
            <w:pPr>
              <w:spacing w:line="276" w:lineRule="auto"/>
              <w:ind w:left="113" w:right="113"/>
              <w:rPr>
                <w:sz w:val="22"/>
                <w:szCs w:val="22"/>
              </w:rPr>
            </w:pPr>
            <w:r w:rsidRPr="004E74A6">
              <w:rPr>
                <w:sz w:val="22"/>
                <w:szCs w:val="22"/>
              </w:rPr>
              <w:t>Comisión de la Jurisdicción Civil</w:t>
            </w:r>
          </w:p>
        </w:tc>
        <w:tc>
          <w:tcPr>
            <w:tcW w:w="2268" w:type="dxa"/>
            <w:vMerge w:val="restart"/>
            <w:tcBorders>
              <w:top w:val="single" w:sz="4" w:space="0" w:color="auto"/>
              <w:left w:val="single" w:sz="4" w:space="0" w:color="auto"/>
              <w:right w:val="single" w:sz="4" w:space="0" w:color="auto"/>
            </w:tcBorders>
            <w:shd w:val="clear" w:color="auto" w:fill="FFFFFF"/>
            <w:vAlign w:val="center"/>
          </w:tcPr>
          <w:p w14:paraId="242889E3" w14:textId="77777777" w:rsidR="007B6080" w:rsidRPr="004E74A6" w:rsidRDefault="007B6080" w:rsidP="00CE62C1">
            <w:pPr>
              <w:spacing w:line="276" w:lineRule="auto"/>
              <w:ind w:left="113" w:right="113"/>
              <w:rPr>
                <w:sz w:val="22"/>
                <w:szCs w:val="22"/>
              </w:rPr>
            </w:pPr>
            <w:r w:rsidRPr="004E74A6">
              <w:rPr>
                <w:sz w:val="22"/>
                <w:szCs w:val="22"/>
              </w:rPr>
              <w:t>Avance recomendación 5.6 informe 1913-PLA-EV-2020</w:t>
            </w:r>
          </w:p>
        </w:tc>
        <w:tc>
          <w:tcPr>
            <w:tcW w:w="2041" w:type="dxa"/>
            <w:vMerge w:val="restart"/>
            <w:tcBorders>
              <w:top w:val="single" w:sz="4" w:space="0" w:color="auto"/>
              <w:left w:val="single" w:sz="4" w:space="0" w:color="auto"/>
              <w:right w:val="single" w:sz="4" w:space="0" w:color="auto"/>
            </w:tcBorders>
            <w:shd w:val="clear" w:color="auto" w:fill="FFFFFF"/>
            <w:tcMar>
              <w:top w:w="0" w:type="dxa"/>
              <w:left w:w="108" w:type="dxa"/>
              <w:bottom w:w="0" w:type="dxa"/>
              <w:right w:w="108" w:type="dxa"/>
            </w:tcMar>
            <w:vAlign w:val="center"/>
          </w:tcPr>
          <w:p w14:paraId="423E85C8" w14:textId="77777777" w:rsidR="007B6080" w:rsidRPr="004E74A6" w:rsidRDefault="007B6080" w:rsidP="00CE62C1">
            <w:pPr>
              <w:spacing w:line="276" w:lineRule="auto"/>
              <w:jc w:val="center"/>
              <w:rPr>
                <w:sz w:val="22"/>
                <w:szCs w:val="22"/>
              </w:rPr>
            </w:pPr>
            <w:r w:rsidRPr="004E74A6">
              <w:rPr>
                <w:sz w:val="22"/>
                <w:szCs w:val="22"/>
              </w:rPr>
              <w:t>485-2021</w:t>
            </w:r>
          </w:p>
        </w:tc>
      </w:tr>
      <w:tr w:rsidR="007B6080" w:rsidRPr="004E74A6" w14:paraId="42F95878" w14:textId="77777777" w:rsidTr="006B63AC">
        <w:trPr>
          <w:trHeight w:val="641"/>
          <w:tblHeader/>
          <w:jc w:val="center"/>
        </w:trPr>
        <w:tc>
          <w:tcPr>
            <w:tcW w:w="1644"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3C666232" w14:textId="77777777" w:rsidR="007B6080" w:rsidRPr="004E74A6" w:rsidRDefault="007B6080" w:rsidP="00CE62C1">
            <w:pPr>
              <w:pStyle w:val="Sinespaciado"/>
              <w:spacing w:line="276" w:lineRule="auto"/>
              <w:jc w:val="center"/>
              <w:rPr>
                <w:rFonts w:ascii="Book Antiqua" w:eastAsia="Times New Roman" w:hAnsi="Book Antiqua" w:cs="Arial"/>
              </w:rPr>
            </w:pPr>
            <w:r w:rsidRPr="004E74A6">
              <w:rPr>
                <w:rFonts w:ascii="Book Antiqua" w:eastAsia="Times New Roman" w:hAnsi="Book Antiqua" w:cs="Century Gothic"/>
                <w:color w:val="000000"/>
                <w:lang w:eastAsia="es-CR"/>
              </w:rPr>
              <w:t>CJC-121-2022</w:t>
            </w:r>
          </w:p>
        </w:tc>
        <w:tc>
          <w:tcPr>
            <w:tcW w:w="1247"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3ED1EC4F" w14:textId="77777777" w:rsidR="007B6080" w:rsidRPr="004E74A6" w:rsidRDefault="007B6080" w:rsidP="00CE62C1">
            <w:pPr>
              <w:spacing w:line="276" w:lineRule="auto"/>
              <w:jc w:val="center"/>
              <w:rPr>
                <w:sz w:val="22"/>
                <w:szCs w:val="22"/>
              </w:rPr>
            </w:pPr>
            <w:r w:rsidRPr="004E74A6">
              <w:rPr>
                <w:sz w:val="22"/>
                <w:szCs w:val="22"/>
              </w:rPr>
              <w:t>30-3-2022</w:t>
            </w:r>
          </w:p>
        </w:tc>
        <w:tc>
          <w:tcPr>
            <w:tcW w:w="2736" w:type="dxa"/>
            <w:vMerge/>
            <w:tcBorders>
              <w:left w:val="single" w:sz="4" w:space="0" w:color="auto"/>
              <w:bottom w:val="single" w:sz="4" w:space="0" w:color="auto"/>
              <w:right w:val="single" w:sz="4" w:space="0" w:color="auto"/>
            </w:tcBorders>
            <w:shd w:val="clear" w:color="auto" w:fill="FFFFFF"/>
            <w:vAlign w:val="center"/>
          </w:tcPr>
          <w:p w14:paraId="16636BDE" w14:textId="77777777" w:rsidR="007B6080" w:rsidRPr="004E74A6" w:rsidRDefault="007B6080" w:rsidP="00CE62C1">
            <w:pPr>
              <w:spacing w:line="276" w:lineRule="auto"/>
              <w:ind w:left="113" w:right="113"/>
              <w:rPr>
                <w:sz w:val="22"/>
                <w:szCs w:val="22"/>
              </w:rPr>
            </w:pPr>
          </w:p>
        </w:tc>
        <w:tc>
          <w:tcPr>
            <w:tcW w:w="2268" w:type="dxa"/>
            <w:vMerge/>
            <w:tcBorders>
              <w:left w:val="single" w:sz="4" w:space="0" w:color="auto"/>
              <w:bottom w:val="single" w:sz="4" w:space="0" w:color="auto"/>
              <w:right w:val="single" w:sz="4" w:space="0" w:color="auto"/>
            </w:tcBorders>
            <w:shd w:val="clear" w:color="auto" w:fill="FFFFFF"/>
            <w:vAlign w:val="center"/>
          </w:tcPr>
          <w:p w14:paraId="7F2DDCF7" w14:textId="77777777" w:rsidR="007B6080" w:rsidRPr="004E74A6" w:rsidRDefault="007B6080" w:rsidP="00CE62C1">
            <w:pPr>
              <w:spacing w:line="276" w:lineRule="auto"/>
              <w:ind w:left="113" w:right="113"/>
              <w:jc w:val="center"/>
              <w:rPr>
                <w:sz w:val="22"/>
                <w:szCs w:val="22"/>
              </w:rPr>
            </w:pPr>
          </w:p>
        </w:tc>
        <w:tc>
          <w:tcPr>
            <w:tcW w:w="2041" w:type="dxa"/>
            <w:vMerge/>
            <w:tcBorders>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1D82EE36" w14:textId="77777777" w:rsidR="007B6080" w:rsidRPr="004E74A6" w:rsidRDefault="007B6080" w:rsidP="00CE62C1">
            <w:pPr>
              <w:spacing w:line="276" w:lineRule="auto"/>
              <w:jc w:val="center"/>
              <w:rPr>
                <w:sz w:val="22"/>
                <w:szCs w:val="22"/>
              </w:rPr>
            </w:pPr>
          </w:p>
        </w:tc>
      </w:tr>
      <w:tr w:rsidR="00A90726" w:rsidRPr="004E74A6" w14:paraId="311C63FC" w14:textId="77777777" w:rsidTr="006B63AC">
        <w:trPr>
          <w:trHeight w:val="641"/>
          <w:tblHeader/>
          <w:jc w:val="center"/>
        </w:trPr>
        <w:tc>
          <w:tcPr>
            <w:tcW w:w="1644"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72C3DF0A" w14:textId="77777777" w:rsidR="00A90726" w:rsidRPr="004E74A6" w:rsidRDefault="00A90726" w:rsidP="00CE62C1">
            <w:pPr>
              <w:pStyle w:val="Sinespaciado"/>
              <w:spacing w:line="276" w:lineRule="auto"/>
              <w:jc w:val="center"/>
              <w:rPr>
                <w:rFonts w:ascii="Book Antiqua" w:eastAsia="Times New Roman" w:hAnsi="Book Antiqua" w:cs="Century Gothic"/>
                <w:color w:val="000000"/>
                <w:lang w:eastAsia="es-CR"/>
              </w:rPr>
            </w:pPr>
            <w:r w:rsidRPr="004E74A6">
              <w:rPr>
                <w:rFonts w:ascii="Book Antiqua" w:eastAsia="Times New Roman" w:hAnsi="Book Antiqua" w:cs="Century Gothic"/>
                <w:color w:val="000000"/>
                <w:lang w:eastAsia="es-CR"/>
              </w:rPr>
              <w:t>4653-2022</w:t>
            </w:r>
          </w:p>
        </w:tc>
        <w:tc>
          <w:tcPr>
            <w:tcW w:w="1247"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5F506E9A" w14:textId="77777777" w:rsidR="00A90726" w:rsidRPr="004E74A6" w:rsidRDefault="00A90726" w:rsidP="00CE62C1">
            <w:pPr>
              <w:spacing w:line="276" w:lineRule="auto"/>
              <w:jc w:val="center"/>
              <w:rPr>
                <w:sz w:val="22"/>
                <w:szCs w:val="22"/>
              </w:rPr>
            </w:pPr>
            <w:r w:rsidRPr="004E74A6">
              <w:rPr>
                <w:sz w:val="22"/>
                <w:szCs w:val="22"/>
              </w:rPr>
              <w:t>12-5-2022</w:t>
            </w:r>
          </w:p>
        </w:tc>
        <w:tc>
          <w:tcPr>
            <w:tcW w:w="2736" w:type="dxa"/>
            <w:tcBorders>
              <w:top w:val="single" w:sz="4" w:space="0" w:color="auto"/>
              <w:left w:val="single" w:sz="4" w:space="0" w:color="auto"/>
              <w:bottom w:val="single" w:sz="4" w:space="0" w:color="auto"/>
              <w:right w:val="single" w:sz="4" w:space="0" w:color="auto"/>
            </w:tcBorders>
            <w:shd w:val="clear" w:color="auto" w:fill="FFFFFF"/>
            <w:vAlign w:val="center"/>
          </w:tcPr>
          <w:p w14:paraId="2BB00069" w14:textId="77777777" w:rsidR="00A90726" w:rsidRPr="004E74A6" w:rsidRDefault="00A90726" w:rsidP="00CE62C1">
            <w:pPr>
              <w:spacing w:line="276" w:lineRule="auto"/>
              <w:ind w:left="113" w:right="113"/>
              <w:rPr>
                <w:sz w:val="22"/>
                <w:szCs w:val="22"/>
              </w:rPr>
            </w:pPr>
            <w:r w:rsidRPr="004E74A6">
              <w:rPr>
                <w:sz w:val="22"/>
                <w:szCs w:val="22"/>
              </w:rPr>
              <w:t>Secretaría General de la Corte</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1A0C764B" w14:textId="77777777" w:rsidR="00A90726" w:rsidRPr="004E74A6" w:rsidRDefault="00A90726" w:rsidP="00CE62C1">
            <w:pPr>
              <w:spacing w:line="276" w:lineRule="auto"/>
              <w:ind w:left="113" w:right="113"/>
              <w:rPr>
                <w:sz w:val="22"/>
                <w:szCs w:val="22"/>
              </w:rPr>
            </w:pPr>
            <w:r w:rsidRPr="004E74A6">
              <w:rPr>
                <w:sz w:val="22"/>
                <w:szCs w:val="22"/>
              </w:rPr>
              <w:t>Aprobación informe 361-PLA-MI-2022 y cronograma atención en el primer semestre</w:t>
            </w:r>
            <w:r w:rsidR="008C3266" w:rsidRPr="004E74A6">
              <w:rPr>
                <w:sz w:val="22"/>
                <w:szCs w:val="22"/>
              </w:rPr>
              <w:t xml:space="preserve"> </w:t>
            </w:r>
            <w:r w:rsidRPr="004E74A6">
              <w:rPr>
                <w:sz w:val="22"/>
                <w:szCs w:val="22"/>
              </w:rPr>
              <w:t>2022 del estudio de cuantía Civil</w:t>
            </w:r>
          </w:p>
        </w:tc>
        <w:tc>
          <w:tcPr>
            <w:tcW w:w="2041"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6B22CCEC" w14:textId="77777777" w:rsidR="00A90726" w:rsidRPr="004E74A6" w:rsidRDefault="00A90726" w:rsidP="00CE62C1">
            <w:pPr>
              <w:spacing w:line="276" w:lineRule="auto"/>
              <w:jc w:val="center"/>
              <w:rPr>
                <w:sz w:val="22"/>
                <w:szCs w:val="22"/>
              </w:rPr>
            </w:pPr>
            <w:r w:rsidRPr="004E74A6">
              <w:rPr>
                <w:sz w:val="22"/>
                <w:szCs w:val="22"/>
              </w:rPr>
              <w:t>972-2022</w:t>
            </w:r>
          </w:p>
        </w:tc>
      </w:tr>
    </w:tbl>
    <w:p w14:paraId="293483E7" w14:textId="77777777" w:rsidR="00B21E27" w:rsidRPr="004E74A6" w:rsidRDefault="00B21E27" w:rsidP="00CE62C1">
      <w:pPr>
        <w:spacing w:line="276" w:lineRule="auto"/>
        <w:rPr>
          <w:szCs w:val="24"/>
        </w:rPr>
      </w:pPr>
    </w:p>
    <w:p w14:paraId="5EB50816" w14:textId="67717F66" w:rsidR="003B7591" w:rsidRPr="004E74A6" w:rsidRDefault="00A07372" w:rsidP="00CE62C1">
      <w:pPr>
        <w:spacing w:line="276" w:lineRule="auto"/>
        <w:rPr>
          <w:szCs w:val="24"/>
        </w:rPr>
      </w:pPr>
      <w:r w:rsidRPr="004E74A6">
        <w:rPr>
          <w:szCs w:val="24"/>
        </w:rPr>
        <w:t xml:space="preserve">Adicionalmente esta Dirección mediante oficio </w:t>
      </w:r>
      <w:r w:rsidRPr="004E74A6">
        <w:rPr>
          <w:rFonts w:cs="Arial"/>
          <w:szCs w:val="24"/>
        </w:rPr>
        <w:t>68-PLA-MI-2022</w:t>
      </w:r>
      <w:r w:rsidR="003A6CBA">
        <w:rPr>
          <w:rFonts w:cs="Arial"/>
          <w:szCs w:val="24"/>
        </w:rPr>
        <w:t>,</w:t>
      </w:r>
      <w:r w:rsidRPr="004E74A6">
        <w:rPr>
          <w:rFonts w:cs="Arial"/>
          <w:szCs w:val="24"/>
        </w:rPr>
        <w:t xml:space="preserve"> d</w:t>
      </w:r>
      <w:r w:rsidRPr="004E74A6">
        <w:rPr>
          <w:szCs w:val="24"/>
        </w:rPr>
        <w:t xml:space="preserve">el 25 de enero de 2022, </w:t>
      </w:r>
      <w:r w:rsidR="003B7591" w:rsidRPr="004E74A6">
        <w:rPr>
          <w:szCs w:val="24"/>
        </w:rPr>
        <w:t xml:space="preserve">solicitó </w:t>
      </w:r>
      <w:r w:rsidRPr="004E74A6">
        <w:rPr>
          <w:szCs w:val="24"/>
        </w:rPr>
        <w:t>a la Comisión de la Jurisdicción Civil y Comisión de la Jurisdicción Agraria</w:t>
      </w:r>
      <w:r w:rsidR="003A6CBA">
        <w:rPr>
          <w:szCs w:val="24"/>
        </w:rPr>
        <w:t>,</w:t>
      </w:r>
      <w:r w:rsidR="003B7591" w:rsidRPr="004E74A6">
        <w:rPr>
          <w:szCs w:val="24"/>
        </w:rPr>
        <w:t xml:space="preserve"> comunicar el grado de avance respecto a</w:t>
      </w:r>
      <w:r w:rsidRPr="004E74A6">
        <w:rPr>
          <w:szCs w:val="24"/>
        </w:rPr>
        <w:t xml:space="preserve"> las recomendaciones del informe 1913-PLA-EV-2020</w:t>
      </w:r>
      <w:r w:rsidR="003464A1">
        <w:rPr>
          <w:szCs w:val="24"/>
        </w:rPr>
        <w:t xml:space="preserve"> de esta Dirección,</w:t>
      </w:r>
      <w:r w:rsidRPr="004E74A6">
        <w:rPr>
          <w:szCs w:val="24"/>
        </w:rPr>
        <w:t xml:space="preserve"> </w:t>
      </w:r>
      <w:r w:rsidR="003B7591" w:rsidRPr="004E74A6">
        <w:rPr>
          <w:szCs w:val="24"/>
        </w:rPr>
        <w:t>específicamente la 5.6 ante la próxima entrada en vigencia del Código Procesal Agrario el 28 de febrero de 2023 y dada la preocupación entre la interpretación que se pueda dar a esa nueva norma, y que pueda generar la presentación masiva de conflictos de competencia entre Juzgados de Cobro y Agrarios que finalmente deban ser resueltos en la Sala Primera, por ello en el citado informe se recomendó:</w:t>
      </w:r>
      <w:r w:rsidR="0009533A" w:rsidRPr="004E74A6">
        <w:rPr>
          <w:szCs w:val="24"/>
        </w:rPr>
        <w:t xml:space="preserve"> </w:t>
      </w:r>
    </w:p>
    <w:p w14:paraId="620425A8" w14:textId="77777777" w:rsidR="003B7591" w:rsidRPr="004E74A6" w:rsidRDefault="003B7591" w:rsidP="00CE62C1">
      <w:pPr>
        <w:spacing w:line="276" w:lineRule="auto"/>
        <w:ind w:right="49"/>
        <w:rPr>
          <w:szCs w:val="24"/>
        </w:rPr>
      </w:pPr>
    </w:p>
    <w:p w14:paraId="54258CED" w14:textId="77777777" w:rsidR="003B7591" w:rsidRPr="00832773" w:rsidRDefault="003B7591" w:rsidP="00CE62C1">
      <w:pPr>
        <w:tabs>
          <w:tab w:val="left" w:pos="567"/>
        </w:tabs>
        <w:spacing w:line="276" w:lineRule="auto"/>
        <w:ind w:left="567" w:right="476"/>
        <w:rPr>
          <w:i/>
          <w:iCs/>
          <w:sz w:val="22"/>
          <w:szCs w:val="22"/>
        </w:rPr>
      </w:pPr>
      <w:r w:rsidRPr="00832773">
        <w:rPr>
          <w:rFonts w:cs="Arial"/>
          <w:i/>
          <w:iCs/>
          <w:sz w:val="22"/>
          <w:szCs w:val="22"/>
        </w:rPr>
        <w:lastRenderedPageBreak/>
        <w:t xml:space="preserve">“5.6. </w:t>
      </w:r>
      <w:r w:rsidRPr="00832773">
        <w:rPr>
          <w:i/>
          <w:iCs/>
          <w:sz w:val="22"/>
          <w:szCs w:val="22"/>
        </w:rPr>
        <w:t xml:space="preserve">La Comisión de la Jurisdicción Civil y la Comisión de la Jurisdicción Agraria deben previo a la entrada en vigencia del Nuevo Código Procesal Agrario, Ley 9606 el </w:t>
      </w:r>
      <w:r w:rsidRPr="00832773">
        <w:rPr>
          <w:rFonts w:cs="Arial"/>
          <w:i/>
          <w:iCs/>
          <w:sz w:val="22"/>
          <w:szCs w:val="22"/>
        </w:rPr>
        <w:t xml:space="preserve">17 de febrero de 2021, establecer </w:t>
      </w:r>
      <w:r w:rsidRPr="00832773">
        <w:rPr>
          <w:i/>
          <w:iCs/>
          <w:sz w:val="22"/>
          <w:szCs w:val="22"/>
        </w:rPr>
        <w:t xml:space="preserve">coordinaciones sobre cómo interpretar la norma en el artículo 2 de la Ley 9606 sobre la competencia de los Juzgados Agrarios en asuntos cobratorios en donde el bien dado en garantía se dedique a la actividad agraria, de manera que se eviten declaraciones de incompetencias masivas de parte de Juzgados de Cobro que a su vez se traducen en múltiples planteamientos de conflictos de competencia ante la Sala Primera y que pudieran generar retrasos en la resolución de los procesos a las personas usuarias, como lo ocurrido en 2019 en materia Civil”. </w:t>
      </w:r>
    </w:p>
    <w:p w14:paraId="3F9C3358" w14:textId="77777777" w:rsidR="003B7591" w:rsidRPr="00832773" w:rsidRDefault="003B7591" w:rsidP="00CE62C1">
      <w:pPr>
        <w:tabs>
          <w:tab w:val="left" w:pos="1134"/>
        </w:tabs>
        <w:spacing w:line="276" w:lineRule="auto"/>
        <w:ind w:left="1134" w:right="476"/>
        <w:rPr>
          <w:i/>
          <w:iCs/>
          <w:sz w:val="22"/>
          <w:szCs w:val="22"/>
        </w:rPr>
      </w:pPr>
    </w:p>
    <w:p w14:paraId="666A893D" w14:textId="26EF9FB6" w:rsidR="007B6080" w:rsidRPr="004E74A6" w:rsidRDefault="003464A1" w:rsidP="00CE62C1">
      <w:pPr>
        <w:spacing w:line="276" w:lineRule="auto"/>
        <w:rPr>
          <w:szCs w:val="24"/>
        </w:rPr>
      </w:pPr>
      <w:r>
        <w:rPr>
          <w:szCs w:val="24"/>
        </w:rPr>
        <w:t>En este momento</w:t>
      </w:r>
      <w:r w:rsidR="003B7591" w:rsidRPr="004E74A6">
        <w:rPr>
          <w:szCs w:val="24"/>
        </w:rPr>
        <w:t xml:space="preserve">, no se tiene comunicación de que la tarea se haya completado. </w:t>
      </w:r>
      <w:r w:rsidR="00457DB5" w:rsidRPr="004E74A6">
        <w:rPr>
          <w:szCs w:val="24"/>
        </w:rPr>
        <w:t>S</w:t>
      </w:r>
      <w:r w:rsidR="00244358" w:rsidRPr="004E74A6">
        <w:rPr>
          <w:szCs w:val="24"/>
        </w:rPr>
        <w:t>e recibió el oficio CJC-80-2022 el 27 de enero de 2022</w:t>
      </w:r>
      <w:r w:rsidR="00EB2F9D">
        <w:rPr>
          <w:szCs w:val="24"/>
        </w:rPr>
        <w:t>,</w:t>
      </w:r>
      <w:r w:rsidR="00244358" w:rsidRPr="004E74A6">
        <w:rPr>
          <w:szCs w:val="24"/>
        </w:rPr>
        <w:t xml:space="preserve"> donde la Comisión Civil</w:t>
      </w:r>
      <w:r w:rsidR="00EB2F9D">
        <w:rPr>
          <w:szCs w:val="24"/>
        </w:rPr>
        <w:t>,</w:t>
      </w:r>
      <w:r w:rsidR="00244358" w:rsidRPr="004E74A6">
        <w:rPr>
          <w:szCs w:val="24"/>
        </w:rPr>
        <w:t xml:space="preserve"> mostraba anuencia a las recomendaciones emitidas por esta Dirección en el oficio 68-PLA-MI-2022</w:t>
      </w:r>
      <w:r w:rsidR="007B6080" w:rsidRPr="004E74A6">
        <w:rPr>
          <w:szCs w:val="24"/>
        </w:rPr>
        <w:t xml:space="preserve"> y el oficio CJC-121-2022</w:t>
      </w:r>
      <w:r w:rsidR="00EB2F9D">
        <w:rPr>
          <w:szCs w:val="24"/>
        </w:rPr>
        <w:t>,</w:t>
      </w:r>
      <w:r w:rsidR="007B6080" w:rsidRPr="004E74A6">
        <w:rPr>
          <w:szCs w:val="24"/>
        </w:rPr>
        <w:t xml:space="preserve"> recibido el 6 de abril de 2022, en donde se comunica el acuerdo de la Comisión de la Jurisdicción Civil</w:t>
      </w:r>
      <w:r w:rsidR="00EB2F9D">
        <w:rPr>
          <w:szCs w:val="24"/>
        </w:rPr>
        <w:t>,</w:t>
      </w:r>
      <w:r w:rsidR="007B6080" w:rsidRPr="004E74A6">
        <w:rPr>
          <w:szCs w:val="24"/>
        </w:rPr>
        <w:t xml:space="preserve"> en sesión 06-2022 celebrada el 22 de marzo de 2022, artículo IV</w:t>
      </w:r>
      <w:r w:rsidR="00EB2F9D">
        <w:rPr>
          <w:szCs w:val="24"/>
        </w:rPr>
        <w:t xml:space="preserve"> y</w:t>
      </w:r>
      <w:r w:rsidR="007B6080" w:rsidRPr="004E74A6">
        <w:rPr>
          <w:szCs w:val="24"/>
        </w:rPr>
        <w:t xml:space="preserve"> donde se acordó:</w:t>
      </w:r>
    </w:p>
    <w:p w14:paraId="201FD3EF" w14:textId="77777777" w:rsidR="007B6080" w:rsidRPr="004E74A6" w:rsidRDefault="007B6080" w:rsidP="00CE62C1">
      <w:pPr>
        <w:spacing w:line="276" w:lineRule="auto"/>
        <w:rPr>
          <w:szCs w:val="24"/>
        </w:rPr>
      </w:pPr>
    </w:p>
    <w:p w14:paraId="00124B73" w14:textId="77777777" w:rsidR="007B6080" w:rsidRPr="004E74A6" w:rsidRDefault="007B6080" w:rsidP="00CE62C1">
      <w:pPr>
        <w:spacing w:line="276" w:lineRule="auto"/>
        <w:ind w:left="567" w:right="476"/>
        <w:rPr>
          <w:rFonts w:cs="Arial"/>
          <w:i/>
          <w:iCs/>
          <w:sz w:val="22"/>
          <w:szCs w:val="22"/>
        </w:rPr>
      </w:pPr>
      <w:r w:rsidRPr="004E74A6">
        <w:rPr>
          <w:rFonts w:cs="Arial"/>
          <w:i/>
          <w:iCs/>
          <w:color w:val="000000"/>
          <w:sz w:val="22"/>
          <w:szCs w:val="22"/>
          <w:lang w:eastAsia="es-CR"/>
        </w:rPr>
        <w:t>“</w:t>
      </w:r>
      <w:r w:rsidRPr="004E74A6">
        <w:rPr>
          <w:rFonts w:cs="Arial"/>
          <w:b/>
          <w:bCs/>
          <w:i/>
          <w:iCs/>
          <w:color w:val="000000"/>
          <w:sz w:val="22"/>
          <w:szCs w:val="22"/>
          <w:lang w:eastAsia="es-CR"/>
        </w:rPr>
        <w:t>SE ACUERDA</w:t>
      </w:r>
      <w:r w:rsidRPr="004E74A6">
        <w:rPr>
          <w:rFonts w:cs="Arial"/>
          <w:i/>
          <w:iCs/>
          <w:color w:val="000000"/>
          <w:sz w:val="22"/>
          <w:szCs w:val="22"/>
          <w:lang w:eastAsia="es-CR"/>
        </w:rPr>
        <w:t xml:space="preserve">: 1. Se tienen por hechas las manifestaciones expuestas en el oficio 68-PLA-MI-2022 por la Dirección de Planificación. 2. Comuníquese al Magistrado Luis Guillermo Rivas Loáiciga, Presidente de la Sala Primera de la Corte Suprema de Justicia y Coordinador de la Comisión de la Jurisdicción Agraria, la anuencia de la Comisión de la Jurisdicción Civil en establecer las coordinaciones que sean necesarias para construir una propuesta de circular, en forma previa a la entrada en vigencia del Código Procesal Agrario, Ley 9606 el 17 de febrero de 2021, sobre cómo interpretar la norma </w:t>
      </w:r>
      <w:r w:rsidRPr="004E74A6">
        <w:rPr>
          <w:rFonts w:cs="Arial"/>
          <w:i/>
          <w:iCs/>
          <w:sz w:val="22"/>
          <w:szCs w:val="22"/>
        </w:rPr>
        <w:t xml:space="preserve">en el artículo 2 de la Ley 9606 relacionada con la competencia de los Juzgados Agrarios en asuntos cobratorios en donde el bien dado en garantía se dedique a la actividad agraria, de manera que se eviten declaraciones de incompetencias masivas de parte de Juzgados de Cobro que a su vez se traducen en múltiples planteamientos de conflictos de competencia ante la Sala Primera y que pudieran generar retrasos en la resolución de los procesos a las personas usuarias, como lo ocurrido en 2019 en materia Civil. 3. Solicitar colaboración a la Escuela Judicial, para realizar un video que pueda socializarse, y con el Departamento de Prensa y Comunicación Organizacional para la elaboración de cápsulas informativas, en los que se exponga el alcance de la competencia que establece el Código Procesal Agrario en materia de cobro judicial, y la fecha de entrada en vigencia proyectada para el 28 de febrero de 2023, qué podrán hacer los Juzgados de Cobro con los casos nuevos a partir de esa fecha y con los que ya están en su circulante a nivel nacional pero donde la garantía es un bien agrario, entre otros datos de interés. Lo anterior, con absoluto respeto del principio de independencia judicial, con un enfoque más bien formativo, tal y como lo sugiere la Dirección de Planificación. 4. Se declara este acuerdo firme. Comuníquese a la Dirección </w:t>
      </w:r>
      <w:r w:rsidRPr="004E74A6">
        <w:rPr>
          <w:rFonts w:cs="Arial"/>
          <w:i/>
          <w:iCs/>
          <w:sz w:val="22"/>
          <w:szCs w:val="22"/>
        </w:rPr>
        <w:lastRenderedPageBreak/>
        <w:t>de Planificación, al Magistrado Luis Guillermo Rivas Loáiciga, Presidente de la Sala Primera de la Corte Suprema de Justicia y Coordinador de la Comisión de la Jurisdicción Agraria y a la Escuela Judicial”.</w:t>
      </w:r>
    </w:p>
    <w:p w14:paraId="58E5232A" w14:textId="77777777" w:rsidR="003B7591" w:rsidRPr="004E74A6" w:rsidRDefault="003B7591" w:rsidP="00CE62C1">
      <w:pPr>
        <w:spacing w:line="276" w:lineRule="auto"/>
        <w:rPr>
          <w:rFonts w:cs="Arial"/>
          <w:szCs w:val="24"/>
        </w:rPr>
      </w:pPr>
    </w:p>
    <w:p w14:paraId="6982D86D" w14:textId="77777777" w:rsidR="00A90726" w:rsidRPr="004E74A6" w:rsidRDefault="00A90726" w:rsidP="00CE62C1">
      <w:pPr>
        <w:spacing w:line="276" w:lineRule="auto"/>
        <w:rPr>
          <w:rFonts w:cs="Arial"/>
          <w:szCs w:val="24"/>
        </w:rPr>
      </w:pPr>
      <w:r w:rsidRPr="004E74A6">
        <w:rPr>
          <w:rFonts w:cs="Arial"/>
          <w:szCs w:val="24"/>
        </w:rPr>
        <w:t>Adicionalmente, respecto al plazo de atención de este informe, el Consejo Superior en sesión 39-2022 celebrada el 10 de mayo de 2022, artículo XL acordó:</w:t>
      </w:r>
    </w:p>
    <w:p w14:paraId="5BB5B0BA" w14:textId="77777777" w:rsidR="00A90726" w:rsidRPr="004E74A6" w:rsidRDefault="00A90726" w:rsidP="00CE62C1">
      <w:pPr>
        <w:spacing w:line="276" w:lineRule="auto"/>
        <w:rPr>
          <w:rFonts w:cs="Arial"/>
          <w:szCs w:val="24"/>
        </w:rPr>
      </w:pPr>
    </w:p>
    <w:p w14:paraId="6449B552" w14:textId="74F913B7" w:rsidR="00A90726" w:rsidRPr="00832773" w:rsidRDefault="00A90726" w:rsidP="00CE62C1">
      <w:pPr>
        <w:spacing w:line="276" w:lineRule="auto"/>
        <w:ind w:left="567" w:right="476"/>
        <w:rPr>
          <w:b/>
          <w:bCs/>
          <w:i/>
          <w:iCs/>
          <w:color w:val="000000"/>
          <w:sz w:val="22"/>
          <w:szCs w:val="22"/>
          <w:lang w:eastAsia="en-US"/>
        </w:rPr>
      </w:pPr>
      <w:r w:rsidRPr="00832773">
        <w:rPr>
          <w:b/>
          <w:bCs/>
          <w:i/>
          <w:iCs/>
          <w:sz w:val="22"/>
          <w:szCs w:val="22"/>
          <w:lang w:eastAsia="ar-SA"/>
        </w:rPr>
        <w:t xml:space="preserve">“Se acordó: 1) </w:t>
      </w:r>
      <w:r w:rsidRPr="00832773">
        <w:rPr>
          <w:i/>
          <w:iCs/>
          <w:sz w:val="22"/>
          <w:szCs w:val="22"/>
          <w:lang w:eastAsia="ar-SA"/>
        </w:rPr>
        <w:t xml:space="preserve">Tener por rendido el informe Nº 361-PLA-MI-2022 de la Dirección de Planificación, relacionado con la actualización del cronograma de la Dirección de Planificación para atender las solicitudes de modificación de las matrices y demás oportunidades de mejora en las herramientas del Modelo de Sostenibilidad para la materia de Cobro Judicial. </w:t>
      </w:r>
      <w:r w:rsidRPr="00832773">
        <w:rPr>
          <w:b/>
          <w:bCs/>
          <w:i/>
          <w:iCs/>
          <w:sz w:val="22"/>
          <w:szCs w:val="22"/>
          <w:lang w:eastAsia="ar-SA"/>
        </w:rPr>
        <w:t>2)</w:t>
      </w:r>
      <w:r w:rsidRPr="00832773">
        <w:rPr>
          <w:i/>
          <w:iCs/>
          <w:sz w:val="22"/>
          <w:szCs w:val="22"/>
          <w:lang w:eastAsia="ar-SA"/>
        </w:rPr>
        <w:t xml:space="preserve"> Tomar nota del avance en los estudios citados en el oficio N° 10-PLA-MI-2022 de la Dirección de Planificación, aprobado por el Consejo Superior en sesión celebrada 09-2022 el 01 de febrero de 2022, artículo XXXIX, así como de la actualización del cronograma para la atención de los estudios “</w:t>
      </w:r>
      <w:r w:rsidRPr="00832773">
        <w:rPr>
          <w:b/>
          <w:bCs/>
          <w:i/>
          <w:iCs/>
          <w:sz w:val="22"/>
          <w:szCs w:val="22"/>
          <w:lang w:eastAsia="es-CR"/>
        </w:rPr>
        <w:t>Factibilidad de incrementar la cuantía en materia civil</w:t>
      </w:r>
      <w:r w:rsidRPr="00832773">
        <w:rPr>
          <w:i/>
          <w:iCs/>
          <w:sz w:val="22"/>
          <w:szCs w:val="22"/>
          <w:lang w:eastAsia="ar-SA"/>
        </w:rPr>
        <w:t>” y “</w:t>
      </w:r>
      <w:r w:rsidRPr="00832773">
        <w:rPr>
          <w:b/>
          <w:bCs/>
          <w:i/>
          <w:iCs/>
          <w:sz w:val="22"/>
          <w:szCs w:val="22"/>
          <w:lang w:eastAsia="es-CR"/>
        </w:rPr>
        <w:t>Modificación y estandarización matrices en materia de Cobro a nivel nacional</w:t>
      </w:r>
      <w:r w:rsidRPr="00832773">
        <w:rPr>
          <w:i/>
          <w:iCs/>
          <w:sz w:val="22"/>
          <w:szCs w:val="22"/>
          <w:lang w:eastAsia="ar-SA"/>
        </w:rPr>
        <w:t>”,</w:t>
      </w:r>
      <w:r w:rsidRPr="00832773">
        <w:rPr>
          <w:b/>
          <w:bCs/>
          <w:i/>
          <w:iCs/>
          <w:sz w:val="22"/>
          <w:szCs w:val="22"/>
          <w:lang w:eastAsia="ar-SA"/>
        </w:rPr>
        <w:t xml:space="preserve"> </w:t>
      </w:r>
      <w:r w:rsidRPr="00832773">
        <w:rPr>
          <w:i/>
          <w:iCs/>
          <w:sz w:val="22"/>
          <w:szCs w:val="22"/>
          <w:lang w:eastAsia="ar-SA"/>
        </w:rPr>
        <w:t xml:space="preserve">antes de finalizar el primer semestre 2022. </w:t>
      </w:r>
      <w:r w:rsidRPr="00832773">
        <w:rPr>
          <w:b/>
          <w:bCs/>
          <w:i/>
          <w:iCs/>
          <w:sz w:val="22"/>
          <w:szCs w:val="22"/>
          <w:lang w:eastAsia="ar-SA"/>
        </w:rPr>
        <w:t xml:space="preserve">3) </w:t>
      </w:r>
      <w:r w:rsidRPr="00832773">
        <w:rPr>
          <w:i/>
          <w:iCs/>
          <w:snapToGrid w:val="0"/>
          <w:sz w:val="22"/>
          <w:szCs w:val="22"/>
          <w:lang w:eastAsia="ar-SA"/>
        </w:rPr>
        <w:t xml:space="preserve">Hacer este acuerdo de conocimiento de la Comisión de la Jurisdicción Civil, de los despachos que tramitan materia Civil y de Cobro, las Administraciones Regionales del país, del Centro de Apoyo, Coordinación y Mejoramiento de la Función Jurisdiccional, la Sala Primera, </w:t>
      </w:r>
      <w:r w:rsidRPr="00832773">
        <w:rPr>
          <w:i/>
          <w:iCs/>
          <w:sz w:val="22"/>
          <w:szCs w:val="22"/>
          <w:lang w:eastAsia="ar-SA"/>
        </w:rPr>
        <w:t xml:space="preserve">la Inspección Judicial, la Oficina de Control Interno y la Auditoría Judicial, para lo que a cada una corresponda. </w:t>
      </w:r>
      <w:r w:rsidRPr="00832773">
        <w:rPr>
          <w:b/>
          <w:bCs/>
          <w:i/>
          <w:iCs/>
          <w:sz w:val="22"/>
          <w:szCs w:val="22"/>
          <w:lang w:eastAsia="ar-SA"/>
        </w:rPr>
        <w:t>4)</w:t>
      </w:r>
      <w:r w:rsidRPr="00832773">
        <w:rPr>
          <w:i/>
          <w:iCs/>
          <w:sz w:val="22"/>
          <w:szCs w:val="22"/>
          <w:lang w:eastAsia="ar-SA"/>
        </w:rPr>
        <w:t xml:space="preserve"> La Dirección de Planificación realizará el seguimiento correspondiente e informará oportunamente a este Consejo lo pertinente.</w:t>
      </w:r>
      <w:r w:rsidRPr="00832773">
        <w:rPr>
          <w:b/>
          <w:bCs/>
          <w:i/>
          <w:iCs/>
          <w:sz w:val="22"/>
          <w:szCs w:val="22"/>
          <w:lang w:eastAsia="ar-SA"/>
        </w:rPr>
        <w:t xml:space="preserve"> Se declara acuerdo firme.</w:t>
      </w:r>
      <w:r w:rsidRPr="00832773">
        <w:rPr>
          <w:b/>
          <w:bCs/>
          <w:i/>
          <w:iCs/>
          <w:sz w:val="22"/>
          <w:szCs w:val="22"/>
          <w:lang w:eastAsia="zh-CN"/>
        </w:rPr>
        <w:t>”</w:t>
      </w:r>
    </w:p>
    <w:p w14:paraId="7ABDFE40" w14:textId="77777777" w:rsidR="00A90726" w:rsidRDefault="00A90726" w:rsidP="00CE62C1">
      <w:pPr>
        <w:spacing w:line="276" w:lineRule="auto"/>
        <w:rPr>
          <w:rFonts w:cs="Arial"/>
          <w:szCs w:val="24"/>
        </w:rPr>
      </w:pPr>
    </w:p>
    <w:p w14:paraId="7B38C378" w14:textId="6BDBCEAB" w:rsidR="00C26A09" w:rsidRDefault="00C26A09" w:rsidP="00CE62C1">
      <w:pPr>
        <w:spacing w:line="276" w:lineRule="auto"/>
        <w:rPr>
          <w:rFonts w:cs="Book Antiqua"/>
          <w:color w:val="000000" w:themeColor="text1"/>
          <w:szCs w:val="24"/>
        </w:rPr>
      </w:pPr>
      <w:r>
        <w:rPr>
          <w:rFonts w:cs="Book Antiqua"/>
          <w:color w:val="000000" w:themeColor="text1"/>
          <w:szCs w:val="24"/>
        </w:rPr>
        <w:t>El preliminar de este informe fue puesto en consulta mediante los siguientes oficios:</w:t>
      </w:r>
    </w:p>
    <w:p w14:paraId="4062B432" w14:textId="77777777" w:rsidR="00C26A09" w:rsidRDefault="00C26A09" w:rsidP="00CE62C1">
      <w:pPr>
        <w:spacing w:line="276" w:lineRule="auto"/>
        <w:rPr>
          <w:rFonts w:cs="Book Antiqua"/>
          <w:color w:val="000000" w:themeColor="text1"/>
          <w:szCs w:val="24"/>
        </w:rPr>
      </w:pPr>
    </w:p>
    <w:tbl>
      <w:tblPr>
        <w:tblStyle w:val="Tablaconcuadrcula"/>
        <w:tblW w:w="8926" w:type="dxa"/>
        <w:jc w:val="center"/>
        <w:tblInd w:w="0" w:type="dxa"/>
        <w:tblLook w:val="04A0" w:firstRow="1" w:lastRow="0" w:firstColumn="1" w:lastColumn="0" w:noHBand="0" w:noVBand="1"/>
      </w:tblPr>
      <w:tblGrid>
        <w:gridCol w:w="2122"/>
        <w:gridCol w:w="1984"/>
        <w:gridCol w:w="4820"/>
      </w:tblGrid>
      <w:tr w:rsidR="00C26A09" w14:paraId="47335C56" w14:textId="77777777" w:rsidTr="00832773">
        <w:trPr>
          <w:jc w:val="center"/>
        </w:trPr>
        <w:tc>
          <w:tcPr>
            <w:tcW w:w="2122" w:type="dxa"/>
            <w:shd w:val="clear" w:color="auto" w:fill="F2F2F2" w:themeFill="background1" w:themeFillShade="F2"/>
            <w:vAlign w:val="center"/>
          </w:tcPr>
          <w:p w14:paraId="67FE938F" w14:textId="51E76F4F" w:rsidR="00C26A09" w:rsidRPr="00832773" w:rsidRDefault="00C26A09" w:rsidP="00832773">
            <w:pPr>
              <w:spacing w:line="276" w:lineRule="auto"/>
              <w:jc w:val="center"/>
              <w:rPr>
                <w:rFonts w:cs="Book Antiqua"/>
                <w:b/>
                <w:bCs/>
                <w:color w:val="000000" w:themeColor="text1"/>
                <w:szCs w:val="24"/>
              </w:rPr>
            </w:pPr>
            <w:r w:rsidRPr="00832773">
              <w:rPr>
                <w:rFonts w:cs="Book Antiqua"/>
                <w:b/>
                <w:bCs/>
                <w:color w:val="000000" w:themeColor="text1"/>
                <w:szCs w:val="24"/>
              </w:rPr>
              <w:t>Oficio</w:t>
            </w:r>
          </w:p>
        </w:tc>
        <w:tc>
          <w:tcPr>
            <w:tcW w:w="1984" w:type="dxa"/>
            <w:shd w:val="clear" w:color="auto" w:fill="F2F2F2" w:themeFill="background1" w:themeFillShade="F2"/>
            <w:vAlign w:val="center"/>
          </w:tcPr>
          <w:p w14:paraId="2C6FB250" w14:textId="2994CA55" w:rsidR="00C26A09" w:rsidRPr="00832773" w:rsidRDefault="00C26A09" w:rsidP="00832773">
            <w:pPr>
              <w:spacing w:line="276" w:lineRule="auto"/>
              <w:jc w:val="center"/>
              <w:rPr>
                <w:rFonts w:cs="Book Antiqua"/>
                <w:b/>
                <w:bCs/>
                <w:color w:val="000000" w:themeColor="text1"/>
                <w:szCs w:val="24"/>
              </w:rPr>
            </w:pPr>
            <w:r w:rsidRPr="00832773">
              <w:rPr>
                <w:rFonts w:cs="Book Antiqua"/>
                <w:b/>
                <w:bCs/>
                <w:color w:val="000000" w:themeColor="text1"/>
                <w:szCs w:val="24"/>
              </w:rPr>
              <w:t>Fecha</w:t>
            </w:r>
          </w:p>
        </w:tc>
        <w:tc>
          <w:tcPr>
            <w:tcW w:w="4820" w:type="dxa"/>
            <w:shd w:val="clear" w:color="auto" w:fill="F2F2F2" w:themeFill="background1" w:themeFillShade="F2"/>
            <w:vAlign w:val="center"/>
          </w:tcPr>
          <w:p w14:paraId="541866FA" w14:textId="3223A8FA" w:rsidR="00C26A09" w:rsidRPr="00832773" w:rsidRDefault="006D40CF" w:rsidP="00832773">
            <w:pPr>
              <w:spacing w:line="276" w:lineRule="auto"/>
              <w:jc w:val="center"/>
              <w:rPr>
                <w:rFonts w:cs="Book Antiqua"/>
                <w:b/>
                <w:bCs/>
                <w:color w:val="000000" w:themeColor="text1"/>
                <w:szCs w:val="24"/>
              </w:rPr>
            </w:pPr>
            <w:r w:rsidRPr="00832773">
              <w:rPr>
                <w:rFonts w:cs="Book Antiqua"/>
                <w:b/>
                <w:bCs/>
                <w:color w:val="000000" w:themeColor="text1"/>
                <w:szCs w:val="24"/>
              </w:rPr>
              <w:t>Destinatarios</w:t>
            </w:r>
          </w:p>
        </w:tc>
      </w:tr>
      <w:tr w:rsidR="00C26A09" w14:paraId="2080813C" w14:textId="77777777" w:rsidTr="00832773">
        <w:trPr>
          <w:jc w:val="center"/>
        </w:trPr>
        <w:tc>
          <w:tcPr>
            <w:tcW w:w="2122" w:type="dxa"/>
            <w:vAlign w:val="center"/>
          </w:tcPr>
          <w:p w14:paraId="186A2F14" w14:textId="79FCC126" w:rsidR="00C26A09" w:rsidRDefault="006D40CF" w:rsidP="00832773">
            <w:pPr>
              <w:spacing w:line="276" w:lineRule="auto"/>
              <w:jc w:val="left"/>
              <w:rPr>
                <w:rFonts w:cs="Book Antiqua"/>
                <w:color w:val="000000" w:themeColor="text1"/>
                <w:szCs w:val="24"/>
              </w:rPr>
            </w:pPr>
            <w:r w:rsidRPr="00AE079F">
              <w:rPr>
                <w:rFonts w:cs="Book Antiqua"/>
                <w:color w:val="000000" w:themeColor="text1"/>
                <w:szCs w:val="24"/>
              </w:rPr>
              <w:t>779-PLA-MI-2022</w:t>
            </w:r>
          </w:p>
        </w:tc>
        <w:tc>
          <w:tcPr>
            <w:tcW w:w="1984" w:type="dxa"/>
            <w:vAlign w:val="center"/>
          </w:tcPr>
          <w:p w14:paraId="3C9CD1F5" w14:textId="74C2C759" w:rsidR="00C26A09" w:rsidRDefault="006D40CF" w:rsidP="00832773">
            <w:pPr>
              <w:spacing w:line="276" w:lineRule="auto"/>
              <w:jc w:val="left"/>
              <w:rPr>
                <w:rFonts w:cs="Book Antiqua"/>
                <w:color w:val="000000" w:themeColor="text1"/>
                <w:szCs w:val="24"/>
              </w:rPr>
            </w:pPr>
            <w:r w:rsidRPr="00AE079F">
              <w:rPr>
                <w:rFonts w:cs="Book Antiqua"/>
                <w:color w:val="000000" w:themeColor="text1"/>
                <w:szCs w:val="24"/>
              </w:rPr>
              <w:t>02 de setiembre de 2022</w:t>
            </w:r>
          </w:p>
        </w:tc>
        <w:tc>
          <w:tcPr>
            <w:tcW w:w="4820" w:type="dxa"/>
            <w:vAlign w:val="center"/>
          </w:tcPr>
          <w:p w14:paraId="1719BDA0" w14:textId="77777777" w:rsidR="006D40CF" w:rsidRPr="00B72534" w:rsidRDefault="006D40CF" w:rsidP="00B72534">
            <w:pPr>
              <w:pStyle w:val="Prrafodelista"/>
              <w:numPr>
                <w:ilvl w:val="0"/>
                <w:numId w:val="64"/>
              </w:numPr>
              <w:spacing w:line="276" w:lineRule="auto"/>
              <w:jc w:val="left"/>
              <w:rPr>
                <w:rFonts w:cs="Book Antiqua"/>
                <w:color w:val="000000" w:themeColor="text1"/>
              </w:rPr>
            </w:pPr>
            <w:r w:rsidRPr="00B72534">
              <w:rPr>
                <w:rFonts w:cs="Book Antiqua"/>
                <w:color w:val="000000" w:themeColor="text1"/>
              </w:rPr>
              <w:t>Sala Primera</w:t>
            </w:r>
          </w:p>
          <w:p w14:paraId="1A32D5C3" w14:textId="77777777" w:rsidR="006D40CF" w:rsidRPr="00B72534" w:rsidRDefault="006D40CF" w:rsidP="00B72534">
            <w:pPr>
              <w:pStyle w:val="Prrafodelista"/>
              <w:numPr>
                <w:ilvl w:val="0"/>
                <w:numId w:val="64"/>
              </w:numPr>
              <w:spacing w:line="276" w:lineRule="auto"/>
              <w:jc w:val="left"/>
              <w:rPr>
                <w:color w:val="000000" w:themeColor="text1"/>
              </w:rPr>
            </w:pPr>
            <w:r w:rsidRPr="00B72534">
              <w:rPr>
                <w:color w:val="000000" w:themeColor="text1"/>
              </w:rPr>
              <w:t>Centro de Apoyo, Coordinación y Mejoramiento de la Función Jurisdiccional</w:t>
            </w:r>
          </w:p>
          <w:p w14:paraId="672F669D" w14:textId="7B602C87" w:rsidR="00C26A09" w:rsidRPr="00B72534" w:rsidRDefault="006D40CF" w:rsidP="00B72534">
            <w:pPr>
              <w:pStyle w:val="Prrafodelista"/>
              <w:numPr>
                <w:ilvl w:val="0"/>
                <w:numId w:val="64"/>
              </w:numPr>
              <w:spacing w:line="276" w:lineRule="auto"/>
              <w:jc w:val="left"/>
              <w:rPr>
                <w:rFonts w:cs="Book Antiqua"/>
                <w:color w:val="000000" w:themeColor="text1"/>
              </w:rPr>
            </w:pPr>
            <w:r w:rsidRPr="00B72534">
              <w:rPr>
                <w:color w:val="000000" w:themeColor="text1"/>
              </w:rPr>
              <w:t>Comisión de la Jurisdicción Civil</w:t>
            </w:r>
          </w:p>
        </w:tc>
      </w:tr>
      <w:tr w:rsidR="00C26A09" w14:paraId="79BED0B7" w14:textId="77777777" w:rsidTr="00832773">
        <w:trPr>
          <w:jc w:val="center"/>
        </w:trPr>
        <w:tc>
          <w:tcPr>
            <w:tcW w:w="2122" w:type="dxa"/>
            <w:vAlign w:val="center"/>
          </w:tcPr>
          <w:p w14:paraId="7CEA995C" w14:textId="249506FD" w:rsidR="00C26A09" w:rsidRDefault="006D40CF" w:rsidP="00832773">
            <w:pPr>
              <w:spacing w:line="276" w:lineRule="auto"/>
              <w:jc w:val="left"/>
              <w:rPr>
                <w:rFonts w:cs="Book Antiqua"/>
                <w:color w:val="000000" w:themeColor="text1"/>
                <w:szCs w:val="24"/>
              </w:rPr>
            </w:pPr>
            <w:r w:rsidRPr="00AE079F">
              <w:rPr>
                <w:color w:val="000000" w:themeColor="text1"/>
                <w:szCs w:val="24"/>
              </w:rPr>
              <w:t>998-PLA-MI(NPL)-2022</w:t>
            </w:r>
          </w:p>
        </w:tc>
        <w:tc>
          <w:tcPr>
            <w:tcW w:w="1984" w:type="dxa"/>
            <w:vAlign w:val="center"/>
          </w:tcPr>
          <w:p w14:paraId="4F0A51F6" w14:textId="4096C444" w:rsidR="00C26A09" w:rsidRDefault="006D40CF" w:rsidP="00832773">
            <w:pPr>
              <w:spacing w:line="276" w:lineRule="auto"/>
              <w:jc w:val="left"/>
              <w:rPr>
                <w:rFonts w:cs="Book Antiqua"/>
                <w:color w:val="000000" w:themeColor="text1"/>
                <w:szCs w:val="24"/>
              </w:rPr>
            </w:pPr>
            <w:r w:rsidRPr="00AE079F">
              <w:rPr>
                <w:color w:val="000000" w:themeColor="text1"/>
                <w:szCs w:val="24"/>
              </w:rPr>
              <w:t>26 de octubre de 2022</w:t>
            </w:r>
          </w:p>
        </w:tc>
        <w:tc>
          <w:tcPr>
            <w:tcW w:w="4820" w:type="dxa"/>
            <w:vAlign w:val="center"/>
          </w:tcPr>
          <w:p w14:paraId="6B024D9D" w14:textId="77777777" w:rsidR="006D40CF" w:rsidRPr="00B72534" w:rsidRDefault="006D40CF" w:rsidP="00B72534">
            <w:pPr>
              <w:pStyle w:val="Prrafodelista"/>
              <w:numPr>
                <w:ilvl w:val="0"/>
                <w:numId w:val="64"/>
              </w:numPr>
              <w:spacing w:line="276" w:lineRule="auto"/>
              <w:jc w:val="left"/>
              <w:rPr>
                <w:color w:val="000000" w:themeColor="text1"/>
              </w:rPr>
            </w:pPr>
            <w:r w:rsidRPr="00B72534">
              <w:rPr>
                <w:color w:val="000000" w:themeColor="text1"/>
              </w:rPr>
              <w:t>Comisión de la Jurisdicción Contenciosa-Administrativa</w:t>
            </w:r>
          </w:p>
          <w:p w14:paraId="59F727CD" w14:textId="52686F01" w:rsidR="00C26A09" w:rsidRPr="00B72534" w:rsidRDefault="006D40CF" w:rsidP="00B72534">
            <w:pPr>
              <w:pStyle w:val="Prrafodelista"/>
              <w:numPr>
                <w:ilvl w:val="0"/>
                <w:numId w:val="64"/>
              </w:numPr>
              <w:spacing w:line="276" w:lineRule="auto"/>
              <w:jc w:val="left"/>
              <w:rPr>
                <w:rFonts w:cs="Book Antiqua"/>
                <w:color w:val="000000" w:themeColor="text1"/>
              </w:rPr>
            </w:pPr>
            <w:r w:rsidRPr="00B72534">
              <w:rPr>
                <w:color w:val="000000" w:themeColor="text1"/>
              </w:rPr>
              <w:t>Comisión de la Jurisdicción Agraria</w:t>
            </w:r>
          </w:p>
        </w:tc>
      </w:tr>
      <w:tr w:rsidR="006D40CF" w14:paraId="127800EC" w14:textId="77777777" w:rsidTr="00832773">
        <w:trPr>
          <w:jc w:val="center"/>
        </w:trPr>
        <w:tc>
          <w:tcPr>
            <w:tcW w:w="2122" w:type="dxa"/>
            <w:vAlign w:val="center"/>
          </w:tcPr>
          <w:p w14:paraId="46F6098B" w14:textId="09572D0A" w:rsidR="006D40CF" w:rsidRPr="00AE079F" w:rsidRDefault="006D40CF" w:rsidP="00832773">
            <w:pPr>
              <w:spacing w:line="276" w:lineRule="auto"/>
              <w:jc w:val="left"/>
              <w:rPr>
                <w:color w:val="000000" w:themeColor="text1"/>
                <w:szCs w:val="24"/>
              </w:rPr>
            </w:pPr>
            <w:r w:rsidRPr="00AE079F">
              <w:rPr>
                <w:color w:val="000000" w:themeColor="text1"/>
                <w:szCs w:val="24"/>
              </w:rPr>
              <w:t>1027-PLA-MI(NPL)-2022</w:t>
            </w:r>
          </w:p>
        </w:tc>
        <w:tc>
          <w:tcPr>
            <w:tcW w:w="1984" w:type="dxa"/>
            <w:vAlign w:val="center"/>
          </w:tcPr>
          <w:p w14:paraId="67D8FFFF" w14:textId="396381C9" w:rsidR="006D40CF" w:rsidRPr="00AE079F" w:rsidRDefault="006D40CF" w:rsidP="00832773">
            <w:pPr>
              <w:spacing w:line="276" w:lineRule="auto"/>
              <w:jc w:val="left"/>
              <w:rPr>
                <w:color w:val="000000" w:themeColor="text1"/>
                <w:szCs w:val="24"/>
              </w:rPr>
            </w:pPr>
            <w:r w:rsidRPr="00AE079F">
              <w:rPr>
                <w:color w:val="000000" w:themeColor="text1"/>
                <w:szCs w:val="24"/>
              </w:rPr>
              <w:t>26 de octubre de 2022.</w:t>
            </w:r>
          </w:p>
        </w:tc>
        <w:tc>
          <w:tcPr>
            <w:tcW w:w="4820" w:type="dxa"/>
            <w:vAlign w:val="center"/>
          </w:tcPr>
          <w:p w14:paraId="0AE1C610" w14:textId="3288A7D7" w:rsidR="006D40CF" w:rsidRPr="00B72534" w:rsidRDefault="006D40CF" w:rsidP="00B72534">
            <w:pPr>
              <w:pStyle w:val="Prrafodelista"/>
              <w:numPr>
                <w:ilvl w:val="0"/>
                <w:numId w:val="64"/>
              </w:numPr>
              <w:spacing w:line="276" w:lineRule="auto"/>
              <w:jc w:val="left"/>
              <w:rPr>
                <w:rFonts w:cs="Book Antiqua"/>
                <w:color w:val="000000" w:themeColor="text1"/>
              </w:rPr>
            </w:pPr>
            <w:r w:rsidRPr="00B72534">
              <w:rPr>
                <w:color w:val="000000" w:themeColor="text1"/>
              </w:rPr>
              <w:t>Sala Segunda</w:t>
            </w:r>
          </w:p>
        </w:tc>
      </w:tr>
    </w:tbl>
    <w:p w14:paraId="71E862E3" w14:textId="05D5A6FA" w:rsidR="002C344D" w:rsidRPr="004E74A6" w:rsidRDefault="002C344D" w:rsidP="00CE62C1">
      <w:pPr>
        <w:widowControl w:val="0"/>
        <w:spacing w:line="276" w:lineRule="auto"/>
        <w:rPr>
          <w:rFonts w:cs="Book Antiqua"/>
          <w:snapToGrid w:val="0"/>
          <w:szCs w:val="24"/>
        </w:rPr>
      </w:pPr>
      <w:r w:rsidRPr="004E74A6">
        <w:rPr>
          <w:rFonts w:cs="Book Antiqua"/>
          <w:snapToGrid w:val="0"/>
          <w:szCs w:val="24"/>
        </w:rPr>
        <w:lastRenderedPageBreak/>
        <w:t>Atentamente,</w:t>
      </w:r>
    </w:p>
    <w:p w14:paraId="7B26A016" w14:textId="3BA97E24" w:rsidR="002C344D" w:rsidRDefault="002C344D" w:rsidP="00CE62C1">
      <w:pPr>
        <w:widowControl w:val="0"/>
        <w:spacing w:line="276" w:lineRule="auto"/>
        <w:jc w:val="center"/>
        <w:rPr>
          <w:rFonts w:cs="Book Antiqua"/>
          <w:b/>
          <w:bCs/>
          <w:snapToGrid w:val="0"/>
          <w:szCs w:val="24"/>
        </w:rPr>
      </w:pPr>
    </w:p>
    <w:p w14:paraId="70590032" w14:textId="77777777" w:rsidR="000255D7" w:rsidRPr="004E74A6" w:rsidRDefault="000255D7" w:rsidP="00CE62C1">
      <w:pPr>
        <w:widowControl w:val="0"/>
        <w:spacing w:line="276" w:lineRule="auto"/>
        <w:jc w:val="center"/>
        <w:rPr>
          <w:rFonts w:cs="Book Antiqua"/>
          <w:b/>
          <w:bCs/>
          <w:snapToGrid w:val="0"/>
          <w:szCs w:val="24"/>
        </w:rPr>
      </w:pPr>
    </w:p>
    <w:p w14:paraId="721FFBDF" w14:textId="51ABEC80" w:rsidR="002C344D" w:rsidRPr="004E74A6" w:rsidRDefault="000255D7" w:rsidP="00CE62C1">
      <w:pPr>
        <w:spacing w:line="276" w:lineRule="auto"/>
        <w:rPr>
          <w:rFonts w:cs="Book Antiqua"/>
          <w:bCs/>
          <w:snapToGrid w:val="0"/>
          <w:szCs w:val="24"/>
        </w:rPr>
      </w:pPr>
      <w:r>
        <w:rPr>
          <w:rFonts w:cs="Book Antiqua"/>
          <w:bCs/>
          <w:snapToGrid w:val="0"/>
          <w:szCs w:val="24"/>
        </w:rPr>
        <w:t>Máster</w:t>
      </w:r>
      <w:r w:rsidR="00CE62C1" w:rsidRPr="004E74A6">
        <w:rPr>
          <w:rFonts w:cs="Book Antiqua"/>
          <w:bCs/>
          <w:snapToGrid w:val="0"/>
          <w:szCs w:val="24"/>
        </w:rPr>
        <w:t xml:space="preserve"> </w:t>
      </w:r>
      <w:r w:rsidR="00D96FDB" w:rsidRPr="004E74A6">
        <w:rPr>
          <w:rFonts w:cs="Book Antiqua"/>
          <w:bCs/>
          <w:snapToGrid w:val="0"/>
          <w:szCs w:val="24"/>
        </w:rPr>
        <w:t>Yesenia Salazar Guzmán</w:t>
      </w:r>
      <w:r>
        <w:rPr>
          <w:rFonts w:cs="Book Antiqua"/>
          <w:bCs/>
          <w:snapToGrid w:val="0"/>
          <w:szCs w:val="24"/>
        </w:rPr>
        <w:t>, Jefa a.i.</w:t>
      </w:r>
    </w:p>
    <w:p w14:paraId="500E9472" w14:textId="1FF601A3" w:rsidR="002C344D" w:rsidRPr="004E74A6" w:rsidRDefault="002C344D" w:rsidP="00CE62C1">
      <w:pPr>
        <w:spacing w:line="276" w:lineRule="auto"/>
        <w:rPr>
          <w:rFonts w:cs="Book Antiqua"/>
          <w:bCs/>
          <w:snapToGrid w:val="0"/>
          <w:szCs w:val="24"/>
        </w:rPr>
      </w:pPr>
      <w:r w:rsidRPr="004E74A6">
        <w:rPr>
          <w:rFonts w:cs="Book Antiqua"/>
          <w:bCs/>
          <w:snapToGrid w:val="0"/>
          <w:szCs w:val="24"/>
        </w:rPr>
        <w:t>Subproceso de Modernización Institucional</w:t>
      </w:r>
      <w:r w:rsidR="00D96FDB" w:rsidRPr="004E74A6">
        <w:rPr>
          <w:rFonts w:cs="Book Antiqua"/>
          <w:bCs/>
          <w:snapToGrid w:val="0"/>
          <w:szCs w:val="24"/>
        </w:rPr>
        <w:t xml:space="preserve"> – </w:t>
      </w:r>
      <w:r w:rsidR="000255D7">
        <w:rPr>
          <w:rFonts w:cs="Book Antiqua"/>
          <w:bCs/>
          <w:snapToGrid w:val="0"/>
          <w:szCs w:val="24"/>
        </w:rPr>
        <w:t>No Penal</w:t>
      </w:r>
    </w:p>
    <w:p w14:paraId="6EE42FAA" w14:textId="6748DCF6" w:rsidR="002249F5" w:rsidRPr="004E74A6" w:rsidRDefault="00837E78" w:rsidP="00CE62C1">
      <w:pPr>
        <w:spacing w:line="276" w:lineRule="auto"/>
        <w:ind w:right="74"/>
        <w:rPr>
          <w:szCs w:val="24"/>
        </w:rPr>
      </w:pPr>
      <w:r w:rsidRPr="004E74A6">
        <w:rPr>
          <w:szCs w:val="24"/>
        </w:rPr>
        <w:br w:type="page"/>
      </w:r>
    </w:p>
    <w:p w14:paraId="43058CBC" w14:textId="7151C645" w:rsidR="002249F5" w:rsidRPr="004E74A6" w:rsidRDefault="00312187" w:rsidP="00CE62C1">
      <w:pPr>
        <w:spacing w:line="276" w:lineRule="auto"/>
        <w:ind w:right="74"/>
        <w:jc w:val="center"/>
        <w:rPr>
          <w:rFonts w:cs="Calibri"/>
          <w:szCs w:val="24"/>
        </w:rPr>
      </w:pPr>
      <w:r w:rsidRPr="004E74A6">
        <w:rPr>
          <w:noProof/>
          <w:szCs w:val="24"/>
        </w:rPr>
        <w:lastRenderedPageBreak/>
        <mc:AlternateContent>
          <mc:Choice Requires="wpg">
            <w:drawing>
              <wp:anchor distT="0" distB="0" distL="0" distR="0" simplePos="0" relativeHeight="251653120" behindDoc="0" locked="0" layoutInCell="1" allowOverlap="1" wp14:anchorId="4F7DDB59" wp14:editId="03ADD361">
                <wp:simplePos x="0" y="0"/>
                <wp:positionH relativeFrom="column">
                  <wp:posOffset>-1059612</wp:posOffset>
                </wp:positionH>
                <wp:positionV relativeFrom="paragraph">
                  <wp:posOffset>-1390650</wp:posOffset>
                </wp:positionV>
                <wp:extent cx="8228330" cy="10742930"/>
                <wp:effectExtent l="0" t="1270" r="1270" b="0"/>
                <wp:wrapNone/>
                <wp:docPr id="1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8330" cy="10742930"/>
                          <a:chOff x="-1800" y="-2265"/>
                          <a:chExt cx="12958" cy="16918"/>
                        </a:xfrm>
                      </wpg:grpSpPr>
                      <pic:pic xmlns:pic="http://schemas.openxmlformats.org/drawingml/2006/picture">
                        <pic:nvPicPr>
                          <pic:cNvPr id="13" name="0 Imag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1800" y="-2265"/>
                            <a:ext cx="12246" cy="2756"/>
                          </a:xfrm>
                          <a:prstGeom prst="rect">
                            <a:avLst/>
                          </a:prstGeom>
                          <a:noFill/>
                          <a:ln>
                            <a:noFill/>
                          </a:ln>
                          <a:extLst>
                            <a:ext uri="{909E8E84-426E-40DD-AFC4-6F175D3DCCD1}">
                              <a14:hiddenFill xmlns:a14="http://schemas.microsoft.com/office/drawing/2010/main">
                                <a:blipFill dpi="0" rotWithShape="0">
                                  <a:blip/>
                                  <a:srcRect/>
                                  <a:stretch>
                                    <a:fillRect/>
                                  </a:stretch>
                                </a:blipFill>
                              </a14:hiddenFill>
                            </a:ext>
                            <a:ext uri="{91240B29-F687-4F45-9708-019B960494DF}">
                              <a14:hiddenLine xmlns:a14="http://schemas.microsoft.com/office/drawing/2010/main" w="9525">
                                <a:solidFill>
                                  <a:srgbClr val="3465A4"/>
                                </a:solidFill>
                                <a:round/>
                                <a:headEnd/>
                                <a:tailEnd/>
                              </a14:hiddenLine>
                            </a:ext>
                          </a:extLst>
                        </pic:spPr>
                      </pic:pic>
                      <pic:pic xmlns:pic="http://schemas.openxmlformats.org/drawingml/2006/picture">
                        <pic:nvPicPr>
                          <pic:cNvPr id="14" name="0 Imag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1800" y="13845"/>
                            <a:ext cx="12958" cy="808"/>
                          </a:xfrm>
                          <a:prstGeom prst="rect">
                            <a:avLst/>
                          </a:prstGeom>
                          <a:noFill/>
                          <a:ln>
                            <a:noFill/>
                          </a:ln>
                          <a:extLst>
                            <a:ext uri="{909E8E84-426E-40DD-AFC4-6F175D3DCCD1}">
                              <a14:hiddenFill xmlns:a14="http://schemas.microsoft.com/office/drawing/2010/main">
                                <a:blipFill dpi="0" rotWithShape="0">
                                  <a:blip/>
                                  <a:srcRect/>
                                  <a:stretch>
                                    <a:fillRect/>
                                  </a:stretch>
                                </a:blipFill>
                              </a14:hiddenFill>
                            </a:ext>
                            <a:ext uri="{91240B29-F687-4F45-9708-019B960494DF}">
                              <a14:hiddenLine xmlns:a14="http://schemas.microsoft.com/office/drawing/2010/main" w="9525">
                                <a:solidFill>
                                  <a:srgbClr val="3465A4"/>
                                </a:solidFill>
                                <a:round/>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E2B461F" id="Group 2" o:spid="_x0000_s1026" style="position:absolute;margin-left:-83.45pt;margin-top:-109.5pt;width:647.9pt;height:845.9pt;z-index:251653120;mso-wrap-distance-left:0;mso-wrap-distance-right:0" coordorigin="-1800,-2265" coordsize="12958,1691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1800;top:-2265;width:12246;height:27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" strokecolor="#3465a4">
                  <v:fill recolor="t" type="frame"/>
                  <v:stroke joinstyle="round"/>
                  <v:imagedata r:id="rId10" o:title=""/>
                </v:shape>
                <v:shape id="0 Imagen" o:spid="_x0000_s1028" type="#_x0000_t75" style="position:absolute;left:-1800;top:13845;width:12958;height:8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" strokecolor="#3465a4">
                  <v:fill recolor="t" type="frame"/>
                  <v:stroke joinstyle="round"/>
                  <v:imagedata r:id="rId11" o:title=""/>
                </v:shape>
              </v:group>
            </w:pict>
          </mc:Fallback>
        </mc:AlternateContent>
      </w:r>
    </w:p>
    <w:p w14:paraId="46F4EB6D" w14:textId="77777777" w:rsidR="002249F5" w:rsidRPr="004E74A6" w:rsidRDefault="002249F5" w:rsidP="00CE62C1">
      <w:pPr>
        <w:spacing w:line="276" w:lineRule="auto"/>
        <w:ind w:right="74"/>
        <w:jc w:val="center"/>
        <w:rPr>
          <w:rFonts w:cs="Calibri"/>
          <w:szCs w:val="24"/>
        </w:rPr>
      </w:pPr>
    </w:p>
    <w:p w14:paraId="3CF89A5A" w14:textId="77777777" w:rsidR="002249F5" w:rsidRPr="004E74A6" w:rsidRDefault="002249F5" w:rsidP="00CE62C1">
      <w:pPr>
        <w:spacing w:line="276" w:lineRule="auto"/>
        <w:ind w:right="74"/>
        <w:jc w:val="center"/>
        <w:rPr>
          <w:rFonts w:cs="Calibri"/>
          <w:szCs w:val="24"/>
        </w:rPr>
      </w:pPr>
    </w:p>
    <w:p w14:paraId="28463BCC" w14:textId="77777777" w:rsidR="002249F5" w:rsidRPr="004E74A6" w:rsidRDefault="002249F5" w:rsidP="00832773">
      <w:pPr>
        <w:spacing w:line="276" w:lineRule="auto"/>
        <w:rPr>
          <w:rFonts w:cs="Calibri"/>
          <w:szCs w:val="24"/>
        </w:rPr>
      </w:pPr>
    </w:p>
    <w:p w14:paraId="2970D76E" w14:textId="19A8A4F7" w:rsidR="002249F5" w:rsidRPr="004E74A6" w:rsidRDefault="005A199D" w:rsidP="00832773">
      <w:pPr>
        <w:spacing w:line="276" w:lineRule="auto"/>
        <w:rPr>
          <w:rFonts w:cs="Calibri"/>
          <w:szCs w:val="24"/>
        </w:rPr>
      </w:pPr>
      <w:r w:rsidRPr="004E74A6">
        <w:rPr>
          <w:noProof/>
          <w:szCs w:val="24"/>
        </w:rPr>
        <w:drawing>
          <wp:anchor distT="0" distB="0" distL="114935" distR="114935" simplePos="0" relativeHeight="251657216" behindDoc="0" locked="0" layoutInCell="1" allowOverlap="1" wp14:anchorId="2A54C983" wp14:editId="5C99F714">
            <wp:simplePos x="0" y="0"/>
            <wp:positionH relativeFrom="column">
              <wp:posOffset>4080510</wp:posOffset>
            </wp:positionH>
            <wp:positionV relativeFrom="paragraph">
              <wp:posOffset>58420</wp:posOffset>
            </wp:positionV>
            <wp:extent cx="1661160" cy="876300"/>
            <wp:effectExtent l="0" t="0" r="0" b="0"/>
            <wp:wrapNone/>
            <wp:docPr id="11"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61160" cy="876300"/>
                    </a:xfrm>
                    <a:prstGeom prst="rect">
                      <a:avLst/>
                    </a:prstGeom>
                    <a:solidFill>
                      <a:srgbClr val="FFFFFF">
                        <a:alpha val="0"/>
                      </a:srgbClr>
                    </a:solidFill>
                  </pic:spPr>
                </pic:pic>
              </a:graphicData>
            </a:graphic>
            <wp14:sizeRelH relativeFrom="page">
              <wp14:pctWidth>0</wp14:pctWidth>
            </wp14:sizeRelH>
            <wp14:sizeRelV relativeFrom="page">
              <wp14:pctHeight>0</wp14:pctHeight>
            </wp14:sizeRelV>
          </wp:anchor>
        </w:drawing>
      </w:r>
      <w:r w:rsidRPr="004E74A6">
        <w:rPr>
          <w:noProof/>
          <w:szCs w:val="24"/>
        </w:rPr>
        <w:drawing>
          <wp:anchor distT="0" distB="0" distL="114935" distR="114935" simplePos="0" relativeHeight="251655168" behindDoc="0" locked="0" layoutInCell="1" allowOverlap="1" wp14:anchorId="11C37AD0" wp14:editId="20FA1911">
            <wp:simplePos x="0" y="0"/>
            <wp:positionH relativeFrom="column">
              <wp:posOffset>-86360</wp:posOffset>
            </wp:positionH>
            <wp:positionV relativeFrom="paragraph">
              <wp:posOffset>180340</wp:posOffset>
            </wp:positionV>
            <wp:extent cx="1844040" cy="807720"/>
            <wp:effectExtent l="0" t="0" r="0" b="0"/>
            <wp:wrapNone/>
            <wp:docPr id="3"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844040" cy="807720"/>
                    </a:xfrm>
                    <a:prstGeom prst="rect">
                      <a:avLst/>
                    </a:prstGeom>
                    <a:solidFill>
                      <a:srgbClr val="FFFFFF">
                        <a:alpha val="0"/>
                      </a:srgbClr>
                    </a:solidFill>
                  </pic:spPr>
                </pic:pic>
              </a:graphicData>
            </a:graphic>
            <wp14:sizeRelH relativeFrom="page">
              <wp14:pctWidth>0</wp14:pctWidth>
            </wp14:sizeRelH>
            <wp14:sizeRelV relativeFrom="page">
              <wp14:pctHeight>0</wp14:pctHeight>
            </wp14:sizeRelV>
          </wp:anchor>
        </w:drawing>
      </w:r>
    </w:p>
    <w:p w14:paraId="69055406" w14:textId="77777777" w:rsidR="002249F5" w:rsidRPr="004E74A6" w:rsidRDefault="002249F5" w:rsidP="00832773">
      <w:pPr>
        <w:spacing w:line="276" w:lineRule="auto"/>
        <w:rPr>
          <w:rFonts w:cs="Calibri"/>
          <w:szCs w:val="24"/>
        </w:rPr>
      </w:pPr>
    </w:p>
    <w:p w14:paraId="0C756BCF" w14:textId="77777777" w:rsidR="002249F5" w:rsidRPr="004E74A6" w:rsidRDefault="002249F5" w:rsidP="00832773">
      <w:pPr>
        <w:spacing w:line="276" w:lineRule="auto"/>
        <w:rPr>
          <w:rFonts w:cs="Calibri"/>
          <w:szCs w:val="24"/>
        </w:rPr>
      </w:pPr>
    </w:p>
    <w:p w14:paraId="0FB5A0D2" w14:textId="77777777" w:rsidR="002249F5" w:rsidRPr="004E74A6" w:rsidRDefault="002249F5" w:rsidP="00832773">
      <w:pPr>
        <w:spacing w:line="276" w:lineRule="auto"/>
        <w:rPr>
          <w:rFonts w:cs="Calibri"/>
          <w:sz w:val="28"/>
          <w:szCs w:val="28"/>
        </w:rPr>
      </w:pPr>
    </w:p>
    <w:p w14:paraId="45E749BE" w14:textId="77777777" w:rsidR="002249F5" w:rsidRPr="004E74A6" w:rsidRDefault="002249F5" w:rsidP="00832773">
      <w:pPr>
        <w:spacing w:line="276" w:lineRule="auto"/>
        <w:rPr>
          <w:rFonts w:cs="Calibri"/>
          <w:sz w:val="28"/>
          <w:szCs w:val="28"/>
        </w:rPr>
      </w:pPr>
    </w:p>
    <w:p w14:paraId="5504D35E" w14:textId="77777777" w:rsidR="002249F5" w:rsidRPr="004E74A6" w:rsidRDefault="002249F5" w:rsidP="00832773">
      <w:pPr>
        <w:spacing w:line="276" w:lineRule="auto"/>
        <w:rPr>
          <w:rFonts w:cs="Calibri"/>
          <w:sz w:val="28"/>
          <w:szCs w:val="28"/>
        </w:rPr>
      </w:pPr>
    </w:p>
    <w:p w14:paraId="352D92B8" w14:textId="77777777" w:rsidR="002249F5" w:rsidRPr="004E74A6" w:rsidRDefault="002249F5" w:rsidP="00832773">
      <w:pPr>
        <w:spacing w:line="276" w:lineRule="auto"/>
        <w:rPr>
          <w:rFonts w:cs="Calibri"/>
          <w:sz w:val="28"/>
          <w:szCs w:val="28"/>
        </w:rPr>
      </w:pPr>
    </w:p>
    <w:p w14:paraId="306260F4" w14:textId="77777777" w:rsidR="00494557" w:rsidRPr="004E74A6" w:rsidRDefault="00494557" w:rsidP="00CE62C1">
      <w:pPr>
        <w:spacing w:line="276" w:lineRule="auto"/>
        <w:jc w:val="center"/>
        <w:rPr>
          <w:b/>
          <w:bCs/>
          <w:i/>
          <w:sz w:val="36"/>
          <w:szCs w:val="36"/>
        </w:rPr>
      </w:pPr>
      <w:r w:rsidRPr="004E74A6">
        <w:rPr>
          <w:b/>
          <w:bCs/>
          <w:sz w:val="36"/>
          <w:szCs w:val="36"/>
        </w:rPr>
        <w:t xml:space="preserve">Subproceso de Modernización Institucional </w:t>
      </w:r>
    </w:p>
    <w:p w14:paraId="492E4EC0" w14:textId="68D462DE" w:rsidR="00494557" w:rsidRPr="004E74A6" w:rsidRDefault="00494557" w:rsidP="00CE62C1">
      <w:pPr>
        <w:spacing w:line="276" w:lineRule="auto"/>
        <w:jc w:val="center"/>
        <w:rPr>
          <w:b/>
          <w:bCs/>
          <w:i/>
          <w:sz w:val="36"/>
          <w:szCs w:val="36"/>
        </w:rPr>
      </w:pPr>
      <w:r w:rsidRPr="004E74A6">
        <w:rPr>
          <w:b/>
          <w:bCs/>
          <w:sz w:val="36"/>
          <w:szCs w:val="36"/>
        </w:rPr>
        <w:t>Proceso de Ejecuci</w:t>
      </w:r>
      <w:r w:rsidR="00194F64">
        <w:rPr>
          <w:b/>
          <w:bCs/>
          <w:sz w:val="36"/>
          <w:szCs w:val="36"/>
        </w:rPr>
        <w:t>ón</w:t>
      </w:r>
      <w:r w:rsidRPr="004E74A6">
        <w:rPr>
          <w:b/>
          <w:bCs/>
          <w:sz w:val="36"/>
          <w:szCs w:val="36"/>
        </w:rPr>
        <w:t xml:space="preserve"> de la Operaciones </w:t>
      </w:r>
    </w:p>
    <w:p w14:paraId="108FFAFD" w14:textId="77777777" w:rsidR="00494557" w:rsidRPr="004E74A6" w:rsidRDefault="00494557" w:rsidP="00CE62C1">
      <w:pPr>
        <w:spacing w:line="276" w:lineRule="auto"/>
        <w:jc w:val="center"/>
        <w:rPr>
          <w:b/>
          <w:bCs/>
          <w:i/>
          <w:sz w:val="36"/>
          <w:szCs w:val="36"/>
        </w:rPr>
      </w:pPr>
      <w:r w:rsidRPr="004E74A6">
        <w:rPr>
          <w:b/>
          <w:bCs/>
          <w:sz w:val="36"/>
          <w:szCs w:val="36"/>
        </w:rPr>
        <w:t>Dirección de Planificación</w:t>
      </w:r>
    </w:p>
    <w:p w14:paraId="7E9C6A36" w14:textId="77777777" w:rsidR="002249F5" w:rsidRPr="004E74A6" w:rsidRDefault="002249F5" w:rsidP="00CE62C1">
      <w:pPr>
        <w:spacing w:line="276" w:lineRule="auto"/>
        <w:ind w:right="74"/>
        <w:jc w:val="center"/>
        <w:rPr>
          <w:rFonts w:cs="Calibri"/>
          <w:sz w:val="28"/>
          <w:szCs w:val="28"/>
        </w:rPr>
      </w:pPr>
    </w:p>
    <w:p w14:paraId="51A3A38F" w14:textId="77777777" w:rsidR="002249F5" w:rsidRPr="004E74A6" w:rsidRDefault="002249F5" w:rsidP="00CE62C1">
      <w:pPr>
        <w:spacing w:line="276" w:lineRule="auto"/>
        <w:ind w:right="74"/>
        <w:jc w:val="center"/>
        <w:rPr>
          <w:rFonts w:cs="Calibri"/>
          <w:sz w:val="28"/>
          <w:szCs w:val="28"/>
        </w:rPr>
      </w:pPr>
    </w:p>
    <w:p w14:paraId="0DC68E3A" w14:textId="77777777" w:rsidR="002249F5" w:rsidRPr="004E74A6" w:rsidRDefault="002249F5" w:rsidP="00CE62C1">
      <w:pPr>
        <w:spacing w:line="276" w:lineRule="auto"/>
        <w:ind w:right="74"/>
        <w:jc w:val="center"/>
        <w:rPr>
          <w:rFonts w:cs="Calibri"/>
          <w:sz w:val="28"/>
          <w:szCs w:val="28"/>
        </w:rPr>
      </w:pPr>
    </w:p>
    <w:p w14:paraId="79A870F3" w14:textId="1EFAE0C9" w:rsidR="002249F5" w:rsidRPr="004E74A6" w:rsidRDefault="00234BB6" w:rsidP="00CE62C1">
      <w:pPr>
        <w:spacing w:line="276" w:lineRule="auto"/>
        <w:ind w:right="74"/>
        <w:jc w:val="center"/>
        <w:rPr>
          <w:rFonts w:cs="Calibri"/>
          <w:sz w:val="28"/>
          <w:szCs w:val="28"/>
        </w:rPr>
      </w:pPr>
      <w:r>
        <w:rPr>
          <w:rFonts w:cs="Calibri"/>
          <w:b/>
          <w:sz w:val="32"/>
          <w:szCs w:val="32"/>
        </w:rPr>
        <w:t>Viabilidad técnica</w:t>
      </w:r>
      <w:r w:rsidRPr="004E74A6">
        <w:rPr>
          <w:rFonts w:cs="Calibri"/>
          <w:b/>
          <w:sz w:val="32"/>
          <w:szCs w:val="32"/>
        </w:rPr>
        <w:t xml:space="preserve"> </w:t>
      </w:r>
      <w:r w:rsidR="008C3266" w:rsidRPr="004E74A6">
        <w:rPr>
          <w:rFonts w:cs="Calibri"/>
          <w:b/>
          <w:sz w:val="32"/>
          <w:szCs w:val="32"/>
        </w:rPr>
        <w:t xml:space="preserve">de incrementar la cuantía en materia </w:t>
      </w:r>
      <w:r w:rsidR="00AA690C" w:rsidRPr="004E74A6">
        <w:rPr>
          <w:rFonts w:cs="Calibri"/>
          <w:b/>
          <w:sz w:val="32"/>
          <w:szCs w:val="32"/>
        </w:rPr>
        <w:t>C</w:t>
      </w:r>
      <w:r w:rsidR="008C3266" w:rsidRPr="004E74A6">
        <w:rPr>
          <w:rFonts w:cs="Calibri"/>
          <w:b/>
          <w:sz w:val="32"/>
          <w:szCs w:val="32"/>
        </w:rPr>
        <w:t>ivil</w:t>
      </w:r>
    </w:p>
    <w:p w14:paraId="4E020F51" w14:textId="77777777" w:rsidR="002249F5" w:rsidRPr="004E74A6" w:rsidRDefault="002249F5" w:rsidP="00CE62C1">
      <w:pPr>
        <w:spacing w:line="276" w:lineRule="auto"/>
        <w:ind w:right="74"/>
        <w:rPr>
          <w:rFonts w:cs="Calibri"/>
          <w:sz w:val="28"/>
          <w:szCs w:val="28"/>
        </w:rPr>
      </w:pPr>
    </w:p>
    <w:p w14:paraId="1CD7447C" w14:textId="77777777" w:rsidR="002249F5" w:rsidRPr="004E74A6" w:rsidRDefault="002249F5" w:rsidP="00CE62C1">
      <w:pPr>
        <w:spacing w:line="276" w:lineRule="auto"/>
        <w:ind w:right="74"/>
        <w:jc w:val="center"/>
        <w:rPr>
          <w:rFonts w:cs="Calibri"/>
          <w:sz w:val="28"/>
          <w:szCs w:val="28"/>
        </w:rPr>
      </w:pPr>
    </w:p>
    <w:p w14:paraId="688EB08A" w14:textId="77777777" w:rsidR="002249F5" w:rsidRPr="004E74A6" w:rsidRDefault="002249F5" w:rsidP="00CE62C1">
      <w:pPr>
        <w:spacing w:line="276" w:lineRule="auto"/>
        <w:ind w:right="74"/>
        <w:jc w:val="center"/>
        <w:rPr>
          <w:rFonts w:cs="Calibri"/>
          <w:sz w:val="28"/>
          <w:szCs w:val="28"/>
        </w:rPr>
      </w:pPr>
    </w:p>
    <w:p w14:paraId="45178A8E" w14:textId="77777777" w:rsidR="002249F5" w:rsidRPr="004E74A6" w:rsidRDefault="002249F5" w:rsidP="00CE62C1">
      <w:pPr>
        <w:spacing w:line="276" w:lineRule="auto"/>
        <w:ind w:right="74"/>
        <w:jc w:val="center"/>
        <w:rPr>
          <w:rFonts w:cs="Calibri"/>
          <w:sz w:val="28"/>
          <w:szCs w:val="28"/>
        </w:rPr>
      </w:pPr>
    </w:p>
    <w:p w14:paraId="332B3D0F" w14:textId="6F80D75D" w:rsidR="002249F5" w:rsidRPr="004E74A6" w:rsidRDefault="0011237D" w:rsidP="00CE62C1">
      <w:pPr>
        <w:spacing w:line="276" w:lineRule="auto"/>
        <w:ind w:right="74"/>
        <w:jc w:val="center"/>
        <w:rPr>
          <w:rFonts w:cs="Calibri"/>
          <w:sz w:val="28"/>
          <w:szCs w:val="28"/>
        </w:rPr>
      </w:pPr>
      <w:r w:rsidRPr="004E74A6">
        <w:rPr>
          <w:rFonts w:cs="Calibri"/>
          <w:sz w:val="28"/>
          <w:szCs w:val="28"/>
        </w:rPr>
        <w:t xml:space="preserve">Noviembre </w:t>
      </w:r>
      <w:r w:rsidR="002249F5" w:rsidRPr="004E74A6">
        <w:rPr>
          <w:rFonts w:cs="Calibri"/>
          <w:sz w:val="28"/>
          <w:szCs w:val="28"/>
        </w:rPr>
        <w:t>202</w:t>
      </w:r>
      <w:r w:rsidR="00F24567" w:rsidRPr="004E74A6">
        <w:rPr>
          <w:rFonts w:cs="Calibri"/>
          <w:sz w:val="28"/>
          <w:szCs w:val="28"/>
        </w:rPr>
        <w:t>2</w:t>
      </w:r>
    </w:p>
    <w:p w14:paraId="1CD22944" w14:textId="77777777" w:rsidR="002249F5" w:rsidRPr="004E74A6" w:rsidRDefault="002249F5" w:rsidP="00CE62C1">
      <w:pPr>
        <w:spacing w:line="276" w:lineRule="auto"/>
        <w:ind w:right="74"/>
        <w:jc w:val="center"/>
        <w:rPr>
          <w:rFonts w:cs="Calibri"/>
          <w:sz w:val="28"/>
          <w:szCs w:val="28"/>
        </w:rPr>
      </w:pPr>
    </w:p>
    <w:p w14:paraId="4585CDC0" w14:textId="77777777" w:rsidR="002249F5" w:rsidRPr="004E74A6" w:rsidRDefault="002249F5" w:rsidP="00CE62C1">
      <w:pPr>
        <w:spacing w:line="276" w:lineRule="auto"/>
        <w:ind w:right="74"/>
        <w:jc w:val="center"/>
        <w:rPr>
          <w:rFonts w:cs="Calibri"/>
          <w:sz w:val="28"/>
          <w:szCs w:val="28"/>
        </w:rPr>
      </w:pPr>
    </w:p>
    <w:p w14:paraId="3933137F" w14:textId="77777777" w:rsidR="002249F5" w:rsidRPr="004E74A6" w:rsidRDefault="002249F5" w:rsidP="00CE62C1">
      <w:pPr>
        <w:spacing w:line="276" w:lineRule="auto"/>
        <w:ind w:right="74"/>
        <w:jc w:val="center"/>
        <w:rPr>
          <w:rFonts w:cs="Calibri"/>
          <w:sz w:val="28"/>
          <w:szCs w:val="28"/>
        </w:rPr>
      </w:pPr>
    </w:p>
    <w:p w14:paraId="777FB352" w14:textId="5165F755" w:rsidR="00494557" w:rsidRPr="004E74A6" w:rsidRDefault="00494557" w:rsidP="00CE62C1">
      <w:pPr>
        <w:spacing w:line="276" w:lineRule="auto"/>
        <w:ind w:right="74"/>
        <w:jc w:val="center"/>
        <w:rPr>
          <w:rFonts w:cs="Calibri"/>
          <w:sz w:val="28"/>
          <w:szCs w:val="28"/>
        </w:rPr>
      </w:pPr>
    </w:p>
    <w:p w14:paraId="4FCE66FF" w14:textId="0A8F48CE" w:rsidR="00CE62C1" w:rsidRPr="004E74A6" w:rsidRDefault="00CE62C1" w:rsidP="00CE62C1">
      <w:pPr>
        <w:spacing w:line="276" w:lineRule="auto"/>
        <w:ind w:right="74"/>
        <w:jc w:val="center"/>
        <w:rPr>
          <w:rFonts w:cs="Calibri"/>
          <w:sz w:val="28"/>
          <w:szCs w:val="28"/>
        </w:rPr>
      </w:pPr>
    </w:p>
    <w:p w14:paraId="35E8C627" w14:textId="77777777" w:rsidR="00CE62C1" w:rsidRPr="004E74A6" w:rsidRDefault="00CE62C1" w:rsidP="00CE62C1">
      <w:pPr>
        <w:spacing w:line="276" w:lineRule="auto"/>
        <w:ind w:right="74"/>
        <w:jc w:val="center"/>
        <w:rPr>
          <w:rFonts w:cs="Calibri"/>
          <w:sz w:val="28"/>
          <w:szCs w:val="28"/>
        </w:rPr>
      </w:pPr>
    </w:p>
    <w:p w14:paraId="579260D6" w14:textId="77777777" w:rsidR="00494557" w:rsidRPr="004E74A6" w:rsidRDefault="00494557" w:rsidP="00CE62C1">
      <w:pPr>
        <w:keepNext/>
        <w:keepLines/>
        <w:numPr>
          <w:ilvl w:val="0"/>
          <w:numId w:val="3"/>
        </w:numPr>
        <w:shd w:val="clear" w:color="auto" w:fill="2F86BB"/>
        <w:spacing w:before="120" w:after="120" w:line="276" w:lineRule="auto"/>
        <w:outlineLvl w:val="0"/>
        <w:rPr>
          <w:b/>
          <w:color w:val="FFFFFF"/>
          <w:szCs w:val="24"/>
          <w:lang w:eastAsia="en-US"/>
        </w:rPr>
      </w:pPr>
      <w:r w:rsidRPr="004E74A6">
        <w:rPr>
          <w:b/>
          <w:color w:val="FFFFFF"/>
          <w:szCs w:val="24"/>
          <w:lang w:eastAsia="en-US"/>
        </w:rPr>
        <w:lastRenderedPageBreak/>
        <w:t>Antecedentes</w:t>
      </w:r>
    </w:p>
    <w:p w14:paraId="2599CDD5" w14:textId="77777777" w:rsidR="006B0164" w:rsidRPr="004E74A6" w:rsidRDefault="006B0164" w:rsidP="00CE62C1">
      <w:pPr>
        <w:numPr>
          <w:ilvl w:val="1"/>
          <w:numId w:val="3"/>
        </w:numPr>
        <w:spacing w:line="276" w:lineRule="auto"/>
        <w:contextualSpacing/>
        <w:rPr>
          <w:rFonts w:eastAsia="Calibri"/>
          <w:szCs w:val="24"/>
          <w:lang w:eastAsia="en-US"/>
        </w:rPr>
      </w:pPr>
      <w:r w:rsidRPr="004E74A6">
        <w:rPr>
          <w:rFonts w:eastAsia="Calibri"/>
          <w:szCs w:val="24"/>
          <w:lang w:eastAsia="en-US"/>
        </w:rPr>
        <w:t xml:space="preserve">El artículo 59 de la Ley Orgánica del Poder Judicial, incisos 13 y 14, establece como atribución de la Corte Plena, la fijación del monto para establecer la competencia debido a la cuantía, en todos los asuntos de carácter patrimonial y la procedencia del recurso de casación, monto que podrá disminuirse o aumentarse, por un período mínimo de dos años, considerando el índice inflacionario según el Banco Central de Costa Rica. </w:t>
      </w:r>
    </w:p>
    <w:p w14:paraId="187A20EC" w14:textId="77777777" w:rsidR="006B0164" w:rsidRPr="004E74A6" w:rsidRDefault="006B0164" w:rsidP="00CE62C1">
      <w:pPr>
        <w:spacing w:after="160" w:line="276" w:lineRule="auto"/>
        <w:contextualSpacing/>
        <w:rPr>
          <w:rFonts w:eastAsia="Calibri"/>
          <w:szCs w:val="24"/>
          <w:lang w:eastAsia="en-US"/>
        </w:rPr>
      </w:pPr>
    </w:p>
    <w:p w14:paraId="204DCE96" w14:textId="77777777" w:rsidR="006B0164" w:rsidRPr="004E74A6" w:rsidRDefault="006B0164" w:rsidP="00CE62C1">
      <w:pPr>
        <w:numPr>
          <w:ilvl w:val="1"/>
          <w:numId w:val="3"/>
        </w:numPr>
        <w:spacing w:after="160" w:line="276" w:lineRule="auto"/>
        <w:contextualSpacing/>
        <w:rPr>
          <w:rFonts w:eastAsia="Calibri"/>
          <w:szCs w:val="24"/>
          <w:lang w:eastAsia="en-US"/>
        </w:rPr>
      </w:pPr>
      <w:r w:rsidRPr="004E74A6">
        <w:rPr>
          <w:rFonts w:eastAsia="Calibri"/>
          <w:szCs w:val="24"/>
          <w:lang w:eastAsia="en-US"/>
        </w:rPr>
        <w:t>De conformidad con el artículo 114 de la Ley Orgánica del Poder Judicial, el monto de la cuantía es revisable cada dos años. El artículo indica literalmente:</w:t>
      </w:r>
    </w:p>
    <w:p w14:paraId="63FB0397" w14:textId="77777777" w:rsidR="006B0164" w:rsidRPr="004E74A6" w:rsidRDefault="006B0164" w:rsidP="00CE62C1">
      <w:pPr>
        <w:spacing w:after="160" w:line="276" w:lineRule="auto"/>
        <w:contextualSpacing/>
        <w:rPr>
          <w:rFonts w:eastAsia="Calibri"/>
          <w:szCs w:val="24"/>
          <w:lang w:eastAsia="en-US"/>
        </w:rPr>
      </w:pPr>
    </w:p>
    <w:p w14:paraId="2FC5B36A" w14:textId="77777777" w:rsidR="006B0164" w:rsidRPr="004E74A6" w:rsidRDefault="006B0164" w:rsidP="00CE62C1">
      <w:pPr>
        <w:spacing w:line="276" w:lineRule="auto"/>
        <w:ind w:left="567" w:right="476"/>
        <w:contextualSpacing/>
        <w:rPr>
          <w:rFonts w:eastAsia="Calibri"/>
          <w:i/>
          <w:iCs/>
          <w:sz w:val="22"/>
          <w:szCs w:val="22"/>
          <w:lang w:eastAsia="en-US"/>
        </w:rPr>
      </w:pPr>
      <w:r w:rsidRPr="004E74A6">
        <w:rPr>
          <w:rFonts w:eastAsia="Calibri"/>
          <w:i/>
          <w:iCs/>
          <w:sz w:val="22"/>
          <w:szCs w:val="22"/>
          <w:lang w:eastAsia="en-US"/>
        </w:rPr>
        <w:t>“</w:t>
      </w:r>
      <w:r w:rsidRPr="004E74A6">
        <w:rPr>
          <w:rFonts w:eastAsia="Calibri"/>
          <w:b/>
          <w:bCs/>
          <w:i/>
          <w:iCs/>
          <w:sz w:val="22"/>
          <w:szCs w:val="22"/>
          <w:lang w:eastAsia="en-US"/>
        </w:rPr>
        <w:t>ARTICULO 114.-</w:t>
      </w:r>
      <w:r w:rsidRPr="004E74A6">
        <w:rPr>
          <w:rFonts w:eastAsia="Calibri"/>
          <w:i/>
          <w:iCs/>
          <w:sz w:val="22"/>
          <w:szCs w:val="22"/>
          <w:lang w:eastAsia="en-US"/>
        </w:rPr>
        <w:t xml:space="preserve"> Existirá el número de juzgados de menor cuantía, de asuntos sumarios y contravencionales que se requieran para garantizar la eficiencia y el buen servicio.</w:t>
      </w:r>
    </w:p>
    <w:p w14:paraId="4E80B124" w14:textId="77777777" w:rsidR="006B0164" w:rsidRPr="004E74A6" w:rsidRDefault="006B0164" w:rsidP="00CE62C1">
      <w:pPr>
        <w:spacing w:line="276" w:lineRule="auto"/>
        <w:ind w:left="567" w:right="476"/>
        <w:contextualSpacing/>
        <w:rPr>
          <w:rFonts w:eastAsia="Calibri"/>
          <w:i/>
          <w:iCs/>
          <w:sz w:val="22"/>
          <w:szCs w:val="22"/>
          <w:lang w:eastAsia="en-US"/>
        </w:rPr>
      </w:pPr>
      <w:r w:rsidRPr="004E74A6">
        <w:rPr>
          <w:rFonts w:eastAsia="Calibri"/>
          <w:i/>
          <w:iCs/>
          <w:sz w:val="22"/>
          <w:szCs w:val="22"/>
          <w:lang w:eastAsia="en-US"/>
        </w:rPr>
        <w:t>La Corte les fijará a estos juzgados su competencia territorial, por materia y cuantía, así como la sede.</w:t>
      </w:r>
    </w:p>
    <w:p w14:paraId="3A187E6E" w14:textId="77777777" w:rsidR="006B0164" w:rsidRPr="004E74A6" w:rsidRDefault="006B0164" w:rsidP="00CE62C1">
      <w:pPr>
        <w:spacing w:line="276" w:lineRule="auto"/>
        <w:ind w:left="567" w:right="476"/>
        <w:contextualSpacing/>
        <w:rPr>
          <w:rFonts w:eastAsia="Calibri"/>
          <w:i/>
          <w:iCs/>
          <w:sz w:val="22"/>
          <w:szCs w:val="22"/>
          <w:lang w:eastAsia="en-US"/>
        </w:rPr>
      </w:pPr>
      <w:r w:rsidRPr="004E74A6">
        <w:rPr>
          <w:rFonts w:eastAsia="Calibri"/>
          <w:i/>
          <w:iCs/>
          <w:sz w:val="22"/>
          <w:szCs w:val="22"/>
          <w:lang w:eastAsia="en-US"/>
        </w:rPr>
        <w:t>La determinación de la cuantía se revisará cada dos años, para lo cual, previamente, se solicitará al Banco Central de Costa Rica un informe sobre el índice inflacionario. Transcurrido un mes sin recibir este informe, se prescindirá de él y se realizará la fijación correspondiente, que regirá un mes después de su primera publicación en el Boletín Judicial.”.</w:t>
      </w:r>
    </w:p>
    <w:p w14:paraId="58B71F52" w14:textId="77777777" w:rsidR="006B0164" w:rsidRPr="004E74A6" w:rsidRDefault="006B0164" w:rsidP="00CE62C1">
      <w:pPr>
        <w:spacing w:after="160" w:line="276" w:lineRule="auto"/>
        <w:contextualSpacing/>
        <w:rPr>
          <w:rFonts w:eastAsia="Calibri"/>
          <w:szCs w:val="24"/>
          <w:lang w:eastAsia="en-US"/>
        </w:rPr>
      </w:pPr>
    </w:p>
    <w:p w14:paraId="04397312" w14:textId="198E3366" w:rsidR="006B0164" w:rsidRPr="004E74A6" w:rsidRDefault="006B0164" w:rsidP="00CE62C1">
      <w:pPr>
        <w:numPr>
          <w:ilvl w:val="1"/>
          <w:numId w:val="3"/>
        </w:numPr>
        <w:spacing w:after="160" w:line="276" w:lineRule="auto"/>
        <w:contextualSpacing/>
        <w:rPr>
          <w:rFonts w:eastAsia="Calibri"/>
          <w:szCs w:val="24"/>
          <w:lang w:eastAsia="en-US"/>
        </w:rPr>
      </w:pPr>
      <w:r w:rsidRPr="004E74A6">
        <w:rPr>
          <w:rFonts w:eastAsia="Calibri"/>
          <w:szCs w:val="24"/>
          <w:lang w:eastAsia="en-US"/>
        </w:rPr>
        <w:t>El último incremento de la cuantía en materia Civil</w:t>
      </w:r>
      <w:r w:rsidR="006A0EE1">
        <w:rPr>
          <w:rFonts w:eastAsia="Calibri"/>
          <w:szCs w:val="24"/>
          <w:lang w:eastAsia="en-US"/>
        </w:rPr>
        <w:t>,</w:t>
      </w:r>
      <w:r w:rsidRPr="004E74A6">
        <w:rPr>
          <w:rFonts w:eastAsia="Calibri"/>
          <w:szCs w:val="24"/>
          <w:lang w:eastAsia="en-US"/>
        </w:rPr>
        <w:t xml:space="preserve"> se estableció en acuerdo de Corte Plena de sesión 38-13, del 9 de setiembre del 2013, artículo XXV, para fijarse en la suma de más de ¢3.000.000.00</w:t>
      </w:r>
      <w:r w:rsidR="00CF6626">
        <w:rPr>
          <w:rFonts w:eastAsia="Calibri"/>
          <w:szCs w:val="24"/>
          <w:lang w:eastAsia="en-US"/>
        </w:rPr>
        <w:t>,</w:t>
      </w:r>
      <w:r w:rsidRPr="004E74A6">
        <w:rPr>
          <w:rFonts w:eastAsia="Calibri"/>
          <w:szCs w:val="24"/>
          <w:lang w:eastAsia="en-US"/>
        </w:rPr>
        <w:t xml:space="preserve"> para los procesos civiles de mayor cuantía e interposición del recurso de </w:t>
      </w:r>
      <w:r w:rsidR="00CF6626">
        <w:rPr>
          <w:rFonts w:eastAsia="Calibri"/>
          <w:szCs w:val="24"/>
          <w:lang w:eastAsia="en-US"/>
        </w:rPr>
        <w:t>c</w:t>
      </w:r>
      <w:r w:rsidRPr="004E74A6">
        <w:rPr>
          <w:rFonts w:eastAsia="Calibri"/>
          <w:szCs w:val="24"/>
          <w:lang w:eastAsia="en-US"/>
        </w:rPr>
        <w:t>asación, utilizando como criterio el Índice de Precios al Consumidor.</w:t>
      </w:r>
    </w:p>
    <w:p w14:paraId="2B002AB2" w14:textId="77777777" w:rsidR="00051409" w:rsidRPr="004E74A6" w:rsidRDefault="00051409" w:rsidP="00CE62C1">
      <w:pPr>
        <w:spacing w:after="160" w:line="276" w:lineRule="auto"/>
        <w:contextualSpacing/>
        <w:rPr>
          <w:rFonts w:eastAsia="Calibri"/>
          <w:szCs w:val="24"/>
          <w:lang w:eastAsia="en-US"/>
        </w:rPr>
      </w:pPr>
    </w:p>
    <w:p w14:paraId="4072A822" w14:textId="77777777" w:rsidR="00051409" w:rsidRPr="004E74A6" w:rsidRDefault="00051409" w:rsidP="00CE62C1">
      <w:pPr>
        <w:numPr>
          <w:ilvl w:val="1"/>
          <w:numId w:val="3"/>
        </w:numPr>
        <w:spacing w:after="160" w:line="276" w:lineRule="auto"/>
        <w:contextualSpacing/>
        <w:rPr>
          <w:rFonts w:eastAsia="Calibri"/>
          <w:szCs w:val="24"/>
          <w:lang w:eastAsia="en-US"/>
        </w:rPr>
      </w:pPr>
      <w:r w:rsidRPr="004E74A6">
        <w:rPr>
          <w:rFonts w:cs="Calibri"/>
          <w:bCs/>
          <w:szCs w:val="24"/>
        </w:rPr>
        <w:t>Correo electrónico remitido el 4 de julio 2018, por parte del Magistrado Luis Guillermo Rivas Loáiciga, presidente de la Sala Primera de la Corte Suprema de Justicia, donde solicita la revisión del monto de la cuantía en materia Civil, para efecto de establecer el tope entre menor y mayor cuantía y por consiguiente el acceso al recurso de Casación.</w:t>
      </w:r>
    </w:p>
    <w:p w14:paraId="09A90668" w14:textId="77777777" w:rsidR="00051409" w:rsidRPr="004E74A6" w:rsidRDefault="00051409" w:rsidP="00CE62C1">
      <w:pPr>
        <w:spacing w:after="160" w:line="276" w:lineRule="auto"/>
        <w:contextualSpacing/>
        <w:rPr>
          <w:rFonts w:eastAsia="Calibri"/>
          <w:szCs w:val="24"/>
          <w:lang w:eastAsia="en-US"/>
        </w:rPr>
      </w:pPr>
    </w:p>
    <w:p w14:paraId="34678665" w14:textId="77777777" w:rsidR="00051409" w:rsidRPr="00832773" w:rsidRDefault="00051409" w:rsidP="00CE62C1">
      <w:pPr>
        <w:numPr>
          <w:ilvl w:val="1"/>
          <w:numId w:val="3"/>
        </w:numPr>
        <w:spacing w:after="160" w:line="276" w:lineRule="auto"/>
        <w:contextualSpacing/>
        <w:rPr>
          <w:rFonts w:cs="Calibri"/>
          <w:bCs/>
          <w:szCs w:val="24"/>
        </w:rPr>
      </w:pPr>
      <w:r w:rsidRPr="00832773">
        <w:rPr>
          <w:rFonts w:cs="Calibri"/>
          <w:bCs/>
          <w:szCs w:val="24"/>
        </w:rPr>
        <w:t xml:space="preserve">Reunión sostenida el 24 de octubre 2018, con el Magistrado Luis Guillermo Rivas Loáiciga, en su condición de presidente de la Sala Primera, argumentó que los </w:t>
      </w:r>
      <w:r w:rsidRPr="00832773">
        <w:rPr>
          <w:rFonts w:cs="Calibri"/>
          <w:bCs/>
          <w:szCs w:val="24"/>
        </w:rPr>
        <w:lastRenderedPageBreak/>
        <w:t>costos para atención del recurso de Casación son importantes, considerando principalmente los rubros salariales de los Magistrados y Profesionales en Derecho 3B, quienes estudian las causas, aspecto que debe ser consecuente con la cuantía del recurso.</w:t>
      </w:r>
    </w:p>
    <w:p w14:paraId="029B9687" w14:textId="77777777" w:rsidR="00051409" w:rsidRPr="00832773" w:rsidRDefault="00051409" w:rsidP="00CE62C1">
      <w:pPr>
        <w:spacing w:after="160" w:line="276" w:lineRule="auto"/>
        <w:contextualSpacing/>
        <w:rPr>
          <w:rFonts w:cs="Calibri"/>
          <w:bCs/>
          <w:szCs w:val="24"/>
        </w:rPr>
      </w:pPr>
    </w:p>
    <w:p w14:paraId="25EA779C" w14:textId="5E0E47B0" w:rsidR="006B0164" w:rsidRPr="00832773" w:rsidRDefault="006B0164" w:rsidP="00CE62C1">
      <w:pPr>
        <w:numPr>
          <w:ilvl w:val="1"/>
          <w:numId w:val="3"/>
        </w:numPr>
        <w:spacing w:after="160" w:line="276" w:lineRule="auto"/>
        <w:contextualSpacing/>
        <w:rPr>
          <w:rFonts w:cs="Calibri"/>
          <w:bCs/>
          <w:szCs w:val="24"/>
        </w:rPr>
      </w:pPr>
      <w:r w:rsidRPr="004E74A6">
        <w:rPr>
          <w:rFonts w:eastAsia="Calibri"/>
          <w:szCs w:val="24"/>
          <w:lang w:eastAsia="en-US"/>
        </w:rPr>
        <w:t>El pasado 8 de octubre 2018</w:t>
      </w:r>
      <w:r w:rsidR="00CF6626">
        <w:rPr>
          <w:rFonts w:eastAsia="Calibri"/>
          <w:szCs w:val="24"/>
          <w:lang w:eastAsia="en-US"/>
        </w:rPr>
        <w:t>,</w:t>
      </w:r>
      <w:r w:rsidRPr="004E74A6">
        <w:rPr>
          <w:rFonts w:eastAsia="Calibri"/>
          <w:szCs w:val="24"/>
          <w:lang w:eastAsia="en-US"/>
        </w:rPr>
        <w:t xml:space="preserve"> entró en vigencia el nuevo Código Procesal Civil que, en lo sustantivo a las resoluciones impugnables, establece una limitación de las que son objeto de recurso, respecto a la normativa reformada. En el caso concreto del recurso de casación, conforme al numeral 69.1 de la Ley 9342 indica:</w:t>
      </w:r>
      <w:r w:rsidRPr="004E74A6">
        <w:rPr>
          <w:rFonts w:eastAsia="Calibri"/>
          <w:i/>
          <w:iCs/>
          <w:szCs w:val="24"/>
          <w:lang w:eastAsia="en-US"/>
        </w:rPr>
        <w:t>” podrá interponerse contra sentencias dictadas en procesos ordinarios de mayor cuantía o inestimables y en los supuestos que la ley señale expresamente”.</w:t>
      </w:r>
      <w:r w:rsidR="00051409" w:rsidRPr="004E74A6">
        <w:rPr>
          <w:rFonts w:eastAsia="Calibri"/>
          <w:i/>
          <w:iCs/>
          <w:szCs w:val="24"/>
          <w:lang w:eastAsia="en-US"/>
        </w:rPr>
        <w:t xml:space="preserve"> </w:t>
      </w:r>
    </w:p>
    <w:p w14:paraId="2EFB68DA" w14:textId="77777777" w:rsidR="006B0164" w:rsidRPr="004E74A6" w:rsidRDefault="006B0164" w:rsidP="00CE62C1">
      <w:pPr>
        <w:spacing w:after="160" w:line="276" w:lineRule="auto"/>
        <w:contextualSpacing/>
        <w:rPr>
          <w:rFonts w:eastAsia="Calibri"/>
          <w:szCs w:val="24"/>
          <w:lang w:eastAsia="en-US"/>
        </w:rPr>
      </w:pPr>
    </w:p>
    <w:p w14:paraId="7DF2411E" w14:textId="59733AAB" w:rsidR="006B0164" w:rsidRPr="004E74A6" w:rsidRDefault="006B0164" w:rsidP="00CE62C1">
      <w:pPr>
        <w:numPr>
          <w:ilvl w:val="1"/>
          <w:numId w:val="3"/>
        </w:numPr>
        <w:spacing w:after="160" w:line="276" w:lineRule="auto"/>
        <w:contextualSpacing/>
        <w:rPr>
          <w:rFonts w:eastAsia="Calibri"/>
          <w:szCs w:val="24"/>
          <w:lang w:eastAsia="en-US"/>
        </w:rPr>
      </w:pPr>
      <w:r w:rsidRPr="004E74A6">
        <w:rPr>
          <w:rFonts w:eastAsia="Calibri"/>
          <w:szCs w:val="24"/>
          <w:lang w:eastAsia="en-US"/>
        </w:rPr>
        <w:t>En línea con lo anterior, la Dirección de Planificación</w:t>
      </w:r>
      <w:r w:rsidR="00CF6626">
        <w:rPr>
          <w:rFonts w:eastAsia="Calibri"/>
          <w:szCs w:val="24"/>
          <w:lang w:eastAsia="en-US"/>
        </w:rPr>
        <w:t>,</w:t>
      </w:r>
      <w:r w:rsidRPr="004E74A6">
        <w:rPr>
          <w:rFonts w:eastAsia="Calibri"/>
          <w:szCs w:val="24"/>
          <w:lang w:eastAsia="en-US"/>
        </w:rPr>
        <w:t xml:space="preserve"> emitió los informes de formulación del Presupuesto número </w:t>
      </w:r>
      <w:r w:rsidR="006A624C" w:rsidRPr="00832773">
        <w:rPr>
          <w:rFonts w:cs="Calibri"/>
          <w:bCs/>
          <w:szCs w:val="24"/>
        </w:rPr>
        <w:t>31-PLA-PI-2016</w:t>
      </w:r>
      <w:r w:rsidR="006A624C" w:rsidRPr="00832773">
        <w:rPr>
          <w:bCs/>
          <w:szCs w:val="24"/>
          <w:vertAlign w:val="superscript"/>
        </w:rPr>
        <w:footnoteReference w:id="2"/>
      </w:r>
      <w:r w:rsidR="006A624C" w:rsidRPr="00832773">
        <w:rPr>
          <w:rFonts w:cs="Calibri"/>
          <w:bCs/>
          <w:szCs w:val="24"/>
        </w:rPr>
        <w:t>, 24-PLA-MI-2017</w:t>
      </w:r>
      <w:r w:rsidR="006A624C" w:rsidRPr="00832773">
        <w:rPr>
          <w:bCs/>
          <w:szCs w:val="24"/>
          <w:vertAlign w:val="superscript"/>
        </w:rPr>
        <w:footnoteReference w:id="3"/>
      </w:r>
      <w:r w:rsidR="006A624C" w:rsidRPr="00832773">
        <w:rPr>
          <w:rFonts w:cs="Calibri"/>
          <w:bCs/>
          <w:szCs w:val="24"/>
        </w:rPr>
        <w:t>, 32-PLA-MI-2018</w:t>
      </w:r>
      <w:r w:rsidR="006A624C" w:rsidRPr="00832773">
        <w:rPr>
          <w:bCs/>
          <w:szCs w:val="24"/>
          <w:vertAlign w:val="superscript"/>
        </w:rPr>
        <w:footnoteReference w:id="4"/>
      </w:r>
      <w:r w:rsidR="006A624C" w:rsidRPr="00832773">
        <w:rPr>
          <w:rFonts w:cs="Calibri"/>
          <w:bCs/>
          <w:szCs w:val="24"/>
        </w:rPr>
        <w:t xml:space="preserve"> y 555-PLA-RH-MI-2019</w:t>
      </w:r>
      <w:r w:rsidR="006A624C" w:rsidRPr="00832773">
        <w:rPr>
          <w:bCs/>
          <w:szCs w:val="24"/>
          <w:vertAlign w:val="superscript"/>
        </w:rPr>
        <w:footnoteReference w:id="5"/>
      </w:r>
      <w:r w:rsidR="006A624C" w:rsidRPr="00832773">
        <w:rPr>
          <w:rFonts w:cs="Calibri"/>
          <w:bCs/>
          <w:szCs w:val="24"/>
        </w:rPr>
        <w:t xml:space="preserve">, </w:t>
      </w:r>
      <w:r w:rsidR="006A624C" w:rsidRPr="004E74A6">
        <w:rPr>
          <w:szCs w:val="24"/>
        </w:rPr>
        <w:t>690-PLA-RH-OI-2020</w:t>
      </w:r>
      <w:r w:rsidR="006A624C" w:rsidRPr="004E74A6">
        <w:rPr>
          <w:rStyle w:val="Refdenotaalpie"/>
          <w:szCs w:val="24"/>
        </w:rPr>
        <w:footnoteReference w:id="6"/>
      </w:r>
      <w:r w:rsidR="006A624C" w:rsidRPr="004E74A6">
        <w:rPr>
          <w:szCs w:val="24"/>
        </w:rPr>
        <w:t xml:space="preserve"> y 248-PLA-RH-OI-2021</w:t>
      </w:r>
      <w:r w:rsidR="006A624C" w:rsidRPr="004E74A6">
        <w:rPr>
          <w:rStyle w:val="Refdenotaalpie"/>
          <w:szCs w:val="24"/>
        </w:rPr>
        <w:footnoteReference w:id="7"/>
      </w:r>
      <w:r w:rsidR="006A624C" w:rsidRPr="004E74A6">
        <w:rPr>
          <w:szCs w:val="24"/>
        </w:rPr>
        <w:t xml:space="preserve"> </w:t>
      </w:r>
      <w:r w:rsidRPr="004E74A6">
        <w:rPr>
          <w:rFonts w:eastAsia="Calibri"/>
          <w:szCs w:val="24"/>
          <w:lang w:eastAsia="en-US"/>
        </w:rPr>
        <w:t xml:space="preserve">para los años 2017 al 2022, informes que incluyen la recomendación técnica de recurso humano prevista para la reestructuración a nivel nacional de la Jurisdicción Civil, conforme a las reglas </w:t>
      </w:r>
      <w:r w:rsidRPr="004E74A6">
        <w:rPr>
          <w:rFonts w:eastAsia="Calibri"/>
          <w:b/>
          <w:bCs/>
          <w:szCs w:val="24"/>
          <w:lang w:eastAsia="en-US"/>
        </w:rPr>
        <w:t>actuales</w:t>
      </w:r>
      <w:r w:rsidRPr="004E74A6">
        <w:rPr>
          <w:rFonts w:eastAsia="Calibri"/>
          <w:szCs w:val="24"/>
          <w:lang w:eastAsia="en-US"/>
        </w:rPr>
        <w:t xml:space="preserve"> de competencia debido a la cuantía. </w:t>
      </w:r>
    </w:p>
    <w:p w14:paraId="51B91881" w14:textId="77777777" w:rsidR="006B0164" w:rsidRPr="004E74A6" w:rsidRDefault="006B0164" w:rsidP="00CE62C1">
      <w:pPr>
        <w:spacing w:after="160" w:line="276" w:lineRule="auto"/>
        <w:contextualSpacing/>
        <w:rPr>
          <w:rFonts w:eastAsia="Calibri"/>
          <w:szCs w:val="24"/>
          <w:lang w:eastAsia="en-US"/>
        </w:rPr>
      </w:pPr>
    </w:p>
    <w:p w14:paraId="44EDE966" w14:textId="7F568241" w:rsidR="006B0164" w:rsidRPr="004E74A6" w:rsidRDefault="006B0164" w:rsidP="00CE62C1">
      <w:pPr>
        <w:numPr>
          <w:ilvl w:val="1"/>
          <w:numId w:val="3"/>
        </w:numPr>
        <w:spacing w:after="160" w:line="276" w:lineRule="auto"/>
        <w:contextualSpacing/>
        <w:rPr>
          <w:rFonts w:eastAsia="Calibri"/>
          <w:szCs w:val="24"/>
          <w:lang w:eastAsia="en-US"/>
        </w:rPr>
      </w:pPr>
      <w:r w:rsidRPr="004E74A6">
        <w:rPr>
          <w:rFonts w:eastAsia="Calibri"/>
          <w:szCs w:val="24"/>
          <w:lang w:eastAsia="en-US"/>
        </w:rPr>
        <w:t xml:space="preserve">En ese sentido, se analizó la necesidad de plazas en virtud de la creación de los Tribunales Colegiados de Primera Instancia Civil, Juzgados Civiles y el reforzamiento en los Juzgados Mixtos del país, con base </w:t>
      </w:r>
      <w:r w:rsidR="003B22E6">
        <w:rPr>
          <w:rFonts w:eastAsia="Calibri"/>
          <w:szCs w:val="24"/>
          <w:lang w:eastAsia="en-US"/>
        </w:rPr>
        <w:t>en</w:t>
      </w:r>
      <w:r w:rsidRPr="004E74A6">
        <w:rPr>
          <w:rFonts w:eastAsia="Calibri"/>
          <w:szCs w:val="24"/>
          <w:lang w:eastAsia="en-US"/>
        </w:rPr>
        <w:t xml:space="preserve"> parámetros históricos de ingreso de procesos nuevos en mayor y menor cuantía, según el monto fijado de ¢3.000.000.00. Sobre el particular, para la creación de Tribunales Colegiados de Primera Instancia a partir de 2018 y para el conocimiento de los asuntos ordinarios de mayor cuantía, se estableció una entrada de 90 asuntos por despacho y para la asignación de recurso humano se estableció que cada plaza juzgadora conozca en promedio 36 expedientes; con la asignación lineal de una plaza técnica por cada Jueza o Juez. No hubo modificación a la cantidad de plazas integrantes de los </w:t>
      </w:r>
      <w:r w:rsidRPr="004E74A6">
        <w:rPr>
          <w:rFonts w:eastAsia="Calibri"/>
          <w:szCs w:val="24"/>
          <w:lang w:eastAsia="en-US"/>
        </w:rPr>
        <w:lastRenderedPageBreak/>
        <w:t xml:space="preserve">Tribunales de Apelación Civil y de Trabajo a nivel nacional. Esa carga de trabajo por plaza y estructura mínima en esos tribunales está siendo analizada en este momento por la Dirección de Planificación. </w:t>
      </w:r>
    </w:p>
    <w:p w14:paraId="761FD467" w14:textId="77777777" w:rsidR="006B0164" w:rsidRPr="004E74A6" w:rsidRDefault="006B0164" w:rsidP="00CE62C1">
      <w:pPr>
        <w:spacing w:after="160" w:line="276" w:lineRule="auto"/>
        <w:contextualSpacing/>
        <w:rPr>
          <w:rFonts w:eastAsia="Calibri"/>
          <w:szCs w:val="24"/>
          <w:lang w:eastAsia="en-US"/>
        </w:rPr>
      </w:pPr>
    </w:p>
    <w:p w14:paraId="3E247844" w14:textId="77777777" w:rsidR="006B0164" w:rsidRPr="004E74A6" w:rsidRDefault="006B0164" w:rsidP="00CE62C1">
      <w:pPr>
        <w:numPr>
          <w:ilvl w:val="1"/>
          <w:numId w:val="3"/>
        </w:numPr>
        <w:spacing w:after="160" w:line="276" w:lineRule="auto"/>
        <w:contextualSpacing/>
        <w:rPr>
          <w:rFonts w:eastAsia="Calibri"/>
          <w:szCs w:val="24"/>
          <w:lang w:eastAsia="en-US"/>
        </w:rPr>
      </w:pPr>
      <w:r w:rsidRPr="004E74A6">
        <w:rPr>
          <w:rFonts w:eastAsia="Calibri"/>
          <w:szCs w:val="24"/>
          <w:lang w:eastAsia="en-US"/>
        </w:rPr>
        <w:t xml:space="preserve">La Ley 9342 reformó varios artículos de la Ley Orgánica del Poder Judicial entre ellos los artículos 95 bis y 105 que establecen: </w:t>
      </w:r>
    </w:p>
    <w:p w14:paraId="1826A47E" w14:textId="77777777" w:rsidR="006B0164" w:rsidRPr="004E74A6" w:rsidRDefault="006B0164" w:rsidP="00CE62C1">
      <w:pPr>
        <w:spacing w:after="160" w:line="276" w:lineRule="auto"/>
        <w:contextualSpacing/>
        <w:rPr>
          <w:rFonts w:eastAsia="Calibri"/>
          <w:szCs w:val="24"/>
          <w:lang w:eastAsia="en-US"/>
        </w:rPr>
      </w:pPr>
    </w:p>
    <w:p w14:paraId="1D813CCF" w14:textId="50EB46C2" w:rsidR="006B0164" w:rsidRPr="004E74A6" w:rsidRDefault="006B0164" w:rsidP="00CE62C1">
      <w:pPr>
        <w:spacing w:line="276" w:lineRule="auto"/>
        <w:ind w:left="567" w:right="476"/>
        <w:contextualSpacing/>
        <w:rPr>
          <w:rFonts w:eastAsia="Calibri"/>
          <w:i/>
          <w:iCs/>
          <w:sz w:val="22"/>
          <w:szCs w:val="22"/>
          <w:lang w:eastAsia="en-US"/>
        </w:rPr>
      </w:pPr>
      <w:r w:rsidRPr="004E74A6">
        <w:rPr>
          <w:rFonts w:eastAsia="Calibri"/>
          <w:i/>
          <w:iCs/>
          <w:sz w:val="22"/>
          <w:szCs w:val="22"/>
          <w:lang w:eastAsia="en-US"/>
        </w:rPr>
        <w:t>“</w:t>
      </w:r>
      <w:r w:rsidRPr="004E74A6">
        <w:rPr>
          <w:rFonts w:eastAsia="Calibri"/>
          <w:b/>
          <w:bCs/>
          <w:i/>
          <w:iCs/>
          <w:sz w:val="22"/>
          <w:szCs w:val="22"/>
          <w:lang w:eastAsia="en-US"/>
        </w:rPr>
        <w:t xml:space="preserve">Artículo 95 </w:t>
      </w:r>
      <w:r w:rsidR="00CE51A6" w:rsidRPr="004E74A6">
        <w:rPr>
          <w:rFonts w:eastAsia="Calibri"/>
          <w:b/>
          <w:bCs/>
          <w:i/>
          <w:iCs/>
          <w:sz w:val="22"/>
          <w:szCs w:val="22"/>
          <w:lang w:eastAsia="en-US"/>
        </w:rPr>
        <w:t>bis. -</w:t>
      </w:r>
      <w:r w:rsidRPr="004E74A6">
        <w:rPr>
          <w:rFonts w:eastAsia="Calibri"/>
          <w:i/>
          <w:iCs/>
          <w:sz w:val="22"/>
          <w:szCs w:val="22"/>
          <w:lang w:eastAsia="en-US"/>
        </w:rPr>
        <w:t xml:space="preserve"> Los tribunales colegiados de primera instancia civiles conocerán:</w:t>
      </w:r>
    </w:p>
    <w:p w14:paraId="02068C2C" w14:textId="77777777" w:rsidR="006B0164" w:rsidRPr="004E74A6" w:rsidRDefault="006B0164" w:rsidP="00CE62C1">
      <w:pPr>
        <w:spacing w:line="276" w:lineRule="auto"/>
        <w:ind w:left="567" w:right="476"/>
        <w:contextualSpacing/>
        <w:rPr>
          <w:rFonts w:eastAsia="Calibri"/>
          <w:i/>
          <w:iCs/>
          <w:sz w:val="22"/>
          <w:szCs w:val="22"/>
          <w:lang w:eastAsia="en-US"/>
        </w:rPr>
      </w:pPr>
      <w:r w:rsidRPr="004E74A6">
        <w:rPr>
          <w:rFonts w:eastAsia="Calibri"/>
          <w:i/>
          <w:iCs/>
          <w:sz w:val="22"/>
          <w:szCs w:val="22"/>
          <w:lang w:eastAsia="en-US"/>
        </w:rPr>
        <w:t>1.- De los procesos ordinarios de mayor cuantía.</w:t>
      </w:r>
    </w:p>
    <w:p w14:paraId="503C2596" w14:textId="77777777" w:rsidR="006B0164" w:rsidRPr="004E74A6" w:rsidRDefault="006B0164" w:rsidP="00CE62C1">
      <w:pPr>
        <w:spacing w:line="276" w:lineRule="auto"/>
        <w:ind w:left="567" w:right="476"/>
        <w:contextualSpacing/>
        <w:rPr>
          <w:rFonts w:eastAsia="Calibri"/>
          <w:i/>
          <w:iCs/>
          <w:sz w:val="22"/>
          <w:szCs w:val="22"/>
          <w:lang w:eastAsia="en-US"/>
        </w:rPr>
      </w:pPr>
      <w:r w:rsidRPr="004E74A6">
        <w:rPr>
          <w:rFonts w:eastAsia="Calibri"/>
          <w:i/>
          <w:iCs/>
          <w:sz w:val="22"/>
          <w:szCs w:val="22"/>
          <w:lang w:eastAsia="en-US"/>
        </w:rPr>
        <w:t>2.- De los cuestionamientos de competencia subjetiva de sus integrantes.</w:t>
      </w:r>
    </w:p>
    <w:p w14:paraId="2E7ACEC7" w14:textId="77777777" w:rsidR="006B0164" w:rsidRPr="004E74A6" w:rsidRDefault="006B0164" w:rsidP="00CE62C1">
      <w:pPr>
        <w:spacing w:line="276" w:lineRule="auto"/>
        <w:ind w:left="567" w:right="476"/>
        <w:contextualSpacing/>
        <w:rPr>
          <w:rFonts w:eastAsia="Calibri"/>
          <w:i/>
          <w:iCs/>
          <w:sz w:val="22"/>
          <w:szCs w:val="22"/>
          <w:lang w:eastAsia="en-US"/>
        </w:rPr>
      </w:pPr>
      <w:r w:rsidRPr="004E74A6">
        <w:rPr>
          <w:rFonts w:eastAsia="Calibri"/>
          <w:i/>
          <w:iCs/>
          <w:sz w:val="22"/>
          <w:szCs w:val="22"/>
          <w:lang w:eastAsia="en-US"/>
        </w:rPr>
        <w:t>3.- De los demás procesos que determine la ley”.</w:t>
      </w:r>
    </w:p>
    <w:p w14:paraId="385B6642" w14:textId="77777777" w:rsidR="006B0164" w:rsidRPr="004E74A6" w:rsidRDefault="006B0164" w:rsidP="00CE62C1">
      <w:pPr>
        <w:spacing w:line="276" w:lineRule="auto"/>
        <w:ind w:left="567" w:right="476"/>
        <w:contextualSpacing/>
        <w:rPr>
          <w:rFonts w:eastAsia="Calibri"/>
          <w:i/>
          <w:iCs/>
          <w:sz w:val="22"/>
          <w:szCs w:val="22"/>
          <w:lang w:eastAsia="en-US"/>
        </w:rPr>
      </w:pPr>
    </w:p>
    <w:p w14:paraId="256ED422" w14:textId="77777777" w:rsidR="006B0164" w:rsidRPr="004E74A6" w:rsidRDefault="006B0164" w:rsidP="00CE62C1">
      <w:pPr>
        <w:spacing w:line="276" w:lineRule="auto"/>
        <w:ind w:left="567" w:right="476"/>
        <w:contextualSpacing/>
        <w:rPr>
          <w:rFonts w:eastAsia="Calibri"/>
          <w:i/>
          <w:iCs/>
          <w:sz w:val="22"/>
          <w:szCs w:val="22"/>
          <w:lang w:eastAsia="en-US"/>
        </w:rPr>
      </w:pPr>
      <w:r w:rsidRPr="004E74A6">
        <w:rPr>
          <w:rFonts w:eastAsia="Calibri"/>
          <w:i/>
          <w:iCs/>
          <w:sz w:val="22"/>
          <w:szCs w:val="22"/>
          <w:lang w:eastAsia="en-US"/>
        </w:rPr>
        <w:t>“</w:t>
      </w:r>
      <w:r w:rsidRPr="004E74A6">
        <w:rPr>
          <w:rFonts w:eastAsia="Calibri"/>
          <w:b/>
          <w:bCs/>
          <w:i/>
          <w:iCs/>
          <w:sz w:val="22"/>
          <w:szCs w:val="22"/>
          <w:lang w:eastAsia="en-US"/>
        </w:rPr>
        <w:t>Artículo 105.-</w:t>
      </w:r>
      <w:r w:rsidRPr="004E74A6">
        <w:rPr>
          <w:rFonts w:eastAsia="Calibri"/>
          <w:i/>
          <w:iCs/>
          <w:sz w:val="22"/>
          <w:szCs w:val="22"/>
          <w:lang w:eastAsia="en-US"/>
        </w:rPr>
        <w:t xml:space="preserve"> Los juzgados civiles conocerán:</w:t>
      </w:r>
    </w:p>
    <w:p w14:paraId="7CC2CAD5" w14:textId="7AA999AD" w:rsidR="006B0164" w:rsidRPr="004E74A6" w:rsidRDefault="006B0164" w:rsidP="00CE62C1">
      <w:pPr>
        <w:spacing w:line="276" w:lineRule="auto"/>
        <w:ind w:left="567" w:right="476"/>
        <w:contextualSpacing/>
        <w:rPr>
          <w:rFonts w:eastAsia="Calibri"/>
          <w:i/>
          <w:iCs/>
          <w:sz w:val="22"/>
          <w:szCs w:val="22"/>
          <w:lang w:eastAsia="en-US"/>
        </w:rPr>
      </w:pPr>
      <w:r w:rsidRPr="004E74A6">
        <w:rPr>
          <w:rFonts w:eastAsia="Calibri"/>
          <w:i/>
          <w:iCs/>
          <w:sz w:val="22"/>
          <w:szCs w:val="22"/>
          <w:lang w:eastAsia="en-US"/>
        </w:rPr>
        <w:t xml:space="preserve">1) De todos los procesos civiles y comerciales, con excepción del ordinario de mayor cuantía. Además de los monitorios arrendaticios y desahucios que sean interpuestos a favor o en contra del Estado, un </w:t>
      </w:r>
      <w:r w:rsidR="003B22E6" w:rsidRPr="004E74A6">
        <w:rPr>
          <w:rFonts w:eastAsia="Calibri"/>
          <w:i/>
          <w:iCs/>
          <w:sz w:val="22"/>
          <w:szCs w:val="22"/>
          <w:lang w:eastAsia="en-US"/>
        </w:rPr>
        <w:t>ente o empresa públicos</w:t>
      </w:r>
      <w:r w:rsidRPr="004E74A6">
        <w:rPr>
          <w:rFonts w:eastAsia="Calibri"/>
          <w:i/>
          <w:iCs/>
          <w:sz w:val="22"/>
          <w:szCs w:val="22"/>
          <w:lang w:eastAsia="en-US"/>
        </w:rPr>
        <w:t>.</w:t>
      </w:r>
    </w:p>
    <w:p w14:paraId="57EC4530" w14:textId="77777777" w:rsidR="006B0164" w:rsidRPr="004E74A6" w:rsidRDefault="006B0164" w:rsidP="00CE62C1">
      <w:pPr>
        <w:spacing w:line="276" w:lineRule="auto"/>
        <w:ind w:left="567" w:right="476"/>
        <w:contextualSpacing/>
        <w:rPr>
          <w:rFonts w:eastAsia="Calibri"/>
          <w:i/>
          <w:iCs/>
          <w:sz w:val="22"/>
          <w:szCs w:val="22"/>
          <w:lang w:eastAsia="en-US"/>
        </w:rPr>
      </w:pPr>
      <w:r w:rsidRPr="004E74A6">
        <w:rPr>
          <w:rFonts w:eastAsia="Calibri"/>
          <w:i/>
          <w:iCs/>
          <w:sz w:val="22"/>
          <w:szCs w:val="22"/>
          <w:lang w:eastAsia="en-US"/>
        </w:rPr>
        <w:t>2) De los cuestionamientos sobre competencia subjetiva, cuando corresponda.</w:t>
      </w:r>
    </w:p>
    <w:p w14:paraId="1E272D5D" w14:textId="77777777" w:rsidR="006B0164" w:rsidRPr="004E74A6" w:rsidRDefault="006B0164" w:rsidP="00CE62C1">
      <w:pPr>
        <w:spacing w:line="276" w:lineRule="auto"/>
        <w:ind w:left="567" w:right="476"/>
        <w:contextualSpacing/>
        <w:rPr>
          <w:rFonts w:eastAsia="Calibri"/>
          <w:i/>
          <w:iCs/>
          <w:sz w:val="22"/>
          <w:szCs w:val="22"/>
          <w:lang w:eastAsia="en-US"/>
        </w:rPr>
      </w:pPr>
      <w:r w:rsidRPr="004E74A6">
        <w:rPr>
          <w:rFonts w:eastAsia="Calibri"/>
          <w:i/>
          <w:iCs/>
          <w:sz w:val="22"/>
          <w:szCs w:val="22"/>
          <w:lang w:eastAsia="en-US"/>
        </w:rPr>
        <w:t>3) De los demás procesos que determine la ley.”</w:t>
      </w:r>
    </w:p>
    <w:p w14:paraId="600403FA" w14:textId="6D066A7F" w:rsidR="006B0164" w:rsidRPr="004E74A6" w:rsidRDefault="006B0164" w:rsidP="00CE62C1">
      <w:pPr>
        <w:spacing w:line="276" w:lineRule="auto"/>
        <w:ind w:left="567" w:right="476"/>
        <w:contextualSpacing/>
        <w:rPr>
          <w:rFonts w:eastAsia="Calibri"/>
          <w:i/>
          <w:iCs/>
          <w:sz w:val="22"/>
          <w:szCs w:val="22"/>
          <w:lang w:eastAsia="en-US"/>
        </w:rPr>
      </w:pPr>
      <w:r w:rsidRPr="004E74A6">
        <w:rPr>
          <w:rFonts w:eastAsia="Calibri"/>
          <w:i/>
          <w:iCs/>
          <w:sz w:val="22"/>
          <w:szCs w:val="22"/>
          <w:lang w:eastAsia="en-US"/>
        </w:rPr>
        <w:t xml:space="preserve">5) Los artículos 758, 764, 775 y 799 de la Ley </w:t>
      </w:r>
      <w:r w:rsidR="00D468C5" w:rsidRPr="004E74A6">
        <w:rPr>
          <w:rFonts w:eastAsia="Calibri"/>
          <w:i/>
          <w:iCs/>
          <w:sz w:val="22"/>
          <w:szCs w:val="22"/>
          <w:lang w:eastAsia="en-US"/>
        </w:rPr>
        <w:t>N°</w:t>
      </w:r>
      <w:r w:rsidRPr="004E74A6">
        <w:rPr>
          <w:rFonts w:eastAsia="Calibri"/>
          <w:i/>
          <w:iCs/>
          <w:sz w:val="22"/>
          <w:szCs w:val="22"/>
          <w:lang w:eastAsia="en-US"/>
        </w:rPr>
        <w:t xml:space="preserve"> 7130, Código Procesal Civil, de 16 de agosto de 1989”.</w:t>
      </w:r>
    </w:p>
    <w:p w14:paraId="15197AB2" w14:textId="77777777" w:rsidR="006B0164" w:rsidRPr="004E74A6" w:rsidRDefault="006B0164" w:rsidP="00CE62C1">
      <w:pPr>
        <w:spacing w:after="160" w:line="276" w:lineRule="auto"/>
        <w:contextualSpacing/>
        <w:rPr>
          <w:rFonts w:eastAsia="Calibri"/>
          <w:szCs w:val="24"/>
          <w:lang w:eastAsia="en-US"/>
        </w:rPr>
      </w:pPr>
    </w:p>
    <w:p w14:paraId="0D84AF39" w14:textId="4AC89DD0" w:rsidR="006B0164" w:rsidRPr="004E74A6" w:rsidRDefault="006B0164" w:rsidP="00CE62C1">
      <w:pPr>
        <w:numPr>
          <w:ilvl w:val="1"/>
          <w:numId w:val="3"/>
        </w:numPr>
        <w:spacing w:after="160" w:line="276" w:lineRule="auto"/>
        <w:contextualSpacing/>
        <w:rPr>
          <w:rFonts w:eastAsia="Calibri"/>
          <w:szCs w:val="24"/>
          <w:lang w:eastAsia="en-US"/>
        </w:rPr>
      </w:pPr>
      <w:r w:rsidRPr="004E74A6">
        <w:rPr>
          <w:rFonts w:eastAsia="Calibri"/>
          <w:szCs w:val="24"/>
          <w:lang w:eastAsia="en-US"/>
        </w:rPr>
        <w:t>Debe considerarse que a nivel nacional y desde el 2016</w:t>
      </w:r>
      <w:r w:rsidR="00162B59">
        <w:rPr>
          <w:rFonts w:eastAsia="Calibri"/>
          <w:szCs w:val="24"/>
          <w:lang w:eastAsia="en-US"/>
        </w:rPr>
        <w:t>,</w:t>
      </w:r>
      <w:r w:rsidRPr="004E74A6">
        <w:rPr>
          <w:rFonts w:eastAsia="Calibri"/>
          <w:szCs w:val="24"/>
          <w:lang w:eastAsia="en-US"/>
        </w:rPr>
        <w:t xml:space="preserve"> se desarrollan planes de trabajo para descongestionar y reducir el circulante en materia Civil, tanto en Primera</w:t>
      </w:r>
      <w:r w:rsidR="00162B59">
        <w:rPr>
          <w:rFonts w:eastAsia="Calibri"/>
          <w:szCs w:val="24"/>
          <w:lang w:eastAsia="en-US"/>
        </w:rPr>
        <w:t xml:space="preserve">; </w:t>
      </w:r>
      <w:r w:rsidR="008D51C4">
        <w:rPr>
          <w:rFonts w:eastAsia="Calibri"/>
          <w:szCs w:val="24"/>
          <w:lang w:eastAsia="en-US"/>
        </w:rPr>
        <w:t xml:space="preserve">así </w:t>
      </w:r>
      <w:r w:rsidR="008D51C4" w:rsidRPr="004E74A6">
        <w:rPr>
          <w:rFonts w:eastAsia="Calibri"/>
          <w:szCs w:val="24"/>
          <w:lang w:eastAsia="en-US"/>
        </w:rPr>
        <w:t>como</w:t>
      </w:r>
      <w:r w:rsidR="00162B59">
        <w:rPr>
          <w:rFonts w:eastAsia="Calibri"/>
          <w:szCs w:val="24"/>
          <w:lang w:eastAsia="en-US"/>
        </w:rPr>
        <w:t>,</w:t>
      </w:r>
      <w:r w:rsidRPr="004E74A6">
        <w:rPr>
          <w:rFonts w:eastAsia="Calibri"/>
          <w:szCs w:val="24"/>
          <w:lang w:eastAsia="en-US"/>
        </w:rPr>
        <w:t xml:space="preserve"> en Segunda instancia, lo que incrementa la cantidad de asuntos terminados anualmente y </w:t>
      </w:r>
      <w:r w:rsidR="008D51C4" w:rsidRPr="004E74A6">
        <w:rPr>
          <w:rFonts w:eastAsia="Calibri"/>
          <w:szCs w:val="24"/>
          <w:lang w:eastAsia="en-US"/>
        </w:rPr>
        <w:t>que,</w:t>
      </w:r>
      <w:r w:rsidRPr="004E74A6">
        <w:rPr>
          <w:rFonts w:eastAsia="Calibri"/>
          <w:szCs w:val="24"/>
          <w:lang w:eastAsia="en-US"/>
        </w:rPr>
        <w:t xml:space="preserve"> además</w:t>
      </w:r>
      <w:r w:rsidR="00162B59">
        <w:rPr>
          <w:rFonts w:eastAsia="Calibri"/>
          <w:szCs w:val="24"/>
          <w:lang w:eastAsia="en-US"/>
        </w:rPr>
        <w:t>;</w:t>
      </w:r>
      <w:r w:rsidRPr="004E74A6">
        <w:rPr>
          <w:rFonts w:eastAsia="Calibri"/>
          <w:szCs w:val="24"/>
          <w:lang w:eastAsia="en-US"/>
        </w:rPr>
        <w:t xml:space="preserve"> contribuye a un incremento en la cantidad de asuntos que ingresan a Sala Primera, cuyo efecto es temporal. </w:t>
      </w:r>
    </w:p>
    <w:p w14:paraId="3642C5CB" w14:textId="77777777" w:rsidR="006B0164" w:rsidRPr="004E74A6" w:rsidRDefault="006B0164" w:rsidP="00CE62C1">
      <w:pPr>
        <w:spacing w:after="160" w:line="276" w:lineRule="auto"/>
        <w:contextualSpacing/>
        <w:rPr>
          <w:rFonts w:eastAsia="Calibri"/>
          <w:szCs w:val="24"/>
          <w:lang w:eastAsia="en-US"/>
        </w:rPr>
      </w:pPr>
    </w:p>
    <w:p w14:paraId="3AAADD67" w14:textId="44537B0C" w:rsidR="006B0164" w:rsidRPr="004E74A6" w:rsidRDefault="006B0164" w:rsidP="00CE62C1">
      <w:pPr>
        <w:spacing w:after="160" w:line="276" w:lineRule="auto"/>
        <w:contextualSpacing/>
        <w:rPr>
          <w:rFonts w:eastAsia="Calibri"/>
          <w:szCs w:val="24"/>
          <w:lang w:eastAsia="en-US"/>
        </w:rPr>
      </w:pPr>
      <w:r w:rsidRPr="004E74A6">
        <w:rPr>
          <w:rFonts w:eastAsia="Calibri"/>
          <w:szCs w:val="24"/>
          <w:lang w:eastAsia="en-US"/>
        </w:rPr>
        <w:t>El CACMFJ</w:t>
      </w:r>
      <w:r w:rsidR="00162B59">
        <w:rPr>
          <w:rFonts w:eastAsia="Calibri"/>
          <w:szCs w:val="24"/>
          <w:lang w:eastAsia="en-US"/>
        </w:rPr>
        <w:t>,</w:t>
      </w:r>
      <w:r w:rsidRPr="004E74A6">
        <w:rPr>
          <w:rFonts w:eastAsia="Calibri"/>
          <w:szCs w:val="24"/>
          <w:lang w:eastAsia="en-US"/>
        </w:rPr>
        <w:t xml:space="preserve"> cuenta además con una sección de descongestionamiento en esta instancia desde el 2017 (Civil y Trabajo) y a partir de 2019 y hasta el 11 de mayo 2020</w:t>
      </w:r>
      <w:r w:rsidR="00162B59">
        <w:rPr>
          <w:rFonts w:eastAsia="Calibri"/>
          <w:szCs w:val="24"/>
          <w:lang w:eastAsia="en-US"/>
        </w:rPr>
        <w:t>,</w:t>
      </w:r>
      <w:r w:rsidRPr="004E74A6">
        <w:rPr>
          <w:rFonts w:eastAsia="Calibri"/>
          <w:szCs w:val="24"/>
          <w:lang w:eastAsia="en-US"/>
        </w:rPr>
        <w:t xml:space="preserve"> una sección Civil especializada de apoyo se destacó colaborando con el fallo de asuntos del Tribunal de Apelación Primero Civil de San José, en la actualidad este Tribunal solamente mantiene un recurso de Juez 5 de apoyo. Del 12 de mayo y hasta el 31 de agosto la sección de descongestionamiento colaboró con el fallo de asuntos civiles del Tribunal de Apelaciones de Alajuela y posteriormente con Cartago.</w:t>
      </w:r>
    </w:p>
    <w:p w14:paraId="47FC9E65" w14:textId="36E1CE98" w:rsidR="006B0164" w:rsidRDefault="006B0164" w:rsidP="00CE62C1">
      <w:pPr>
        <w:spacing w:after="160" w:line="276" w:lineRule="auto"/>
        <w:contextualSpacing/>
        <w:rPr>
          <w:rFonts w:eastAsia="Calibri"/>
          <w:szCs w:val="24"/>
          <w:lang w:eastAsia="en-US"/>
        </w:rPr>
      </w:pPr>
    </w:p>
    <w:p w14:paraId="0FBF5EEF" w14:textId="77777777" w:rsidR="00194F64" w:rsidRPr="004E74A6" w:rsidRDefault="00194F64" w:rsidP="00CE62C1">
      <w:pPr>
        <w:spacing w:after="160" w:line="276" w:lineRule="auto"/>
        <w:contextualSpacing/>
        <w:rPr>
          <w:rFonts w:eastAsia="Calibri"/>
          <w:szCs w:val="24"/>
          <w:lang w:eastAsia="en-US"/>
        </w:rPr>
      </w:pPr>
    </w:p>
    <w:p w14:paraId="0483BAAA" w14:textId="760F5523" w:rsidR="00C04355" w:rsidRDefault="006B0164" w:rsidP="00CE62C1">
      <w:pPr>
        <w:spacing w:after="160" w:line="276" w:lineRule="auto"/>
        <w:contextualSpacing/>
        <w:rPr>
          <w:rFonts w:eastAsia="Calibri"/>
          <w:szCs w:val="24"/>
          <w:lang w:eastAsia="en-US"/>
        </w:rPr>
      </w:pPr>
      <w:r w:rsidRPr="004E74A6">
        <w:rPr>
          <w:rFonts w:eastAsia="Calibri"/>
          <w:szCs w:val="24"/>
          <w:lang w:eastAsia="en-US"/>
        </w:rPr>
        <w:lastRenderedPageBreak/>
        <w:t xml:space="preserve">Según información proporcionada por el Centro de Apoyo, Coordinación y Mejoramiento de la Función Jurisdiccional, en </w:t>
      </w:r>
      <w:r w:rsidR="00162B59">
        <w:rPr>
          <w:rFonts w:eastAsia="Calibri"/>
          <w:szCs w:val="24"/>
          <w:lang w:eastAsia="en-US"/>
        </w:rPr>
        <w:t>s</w:t>
      </w:r>
      <w:r w:rsidRPr="004E74A6">
        <w:rPr>
          <w:rFonts w:eastAsia="Calibri"/>
          <w:szCs w:val="24"/>
          <w:lang w:eastAsia="en-US"/>
        </w:rPr>
        <w:t xml:space="preserve">egunda </w:t>
      </w:r>
      <w:r w:rsidR="00162B59">
        <w:rPr>
          <w:rFonts w:eastAsia="Calibri"/>
          <w:szCs w:val="24"/>
          <w:lang w:eastAsia="en-US"/>
        </w:rPr>
        <w:t>i</w:t>
      </w:r>
      <w:r w:rsidRPr="004E74A6">
        <w:rPr>
          <w:rFonts w:eastAsia="Calibri"/>
          <w:szCs w:val="24"/>
          <w:lang w:eastAsia="en-US"/>
        </w:rPr>
        <w:t>nstancia se han fallado de 2017 al 13 de marzo 2020 un total de 2972 expedientes y en Primera Instancia de junio 2016 al 13 de marzo 2020, un total de 3184 asuntos más 153 resoluciones. Se aclara que el nuevo Código Procesal Civil entró en vigencia el 8 de octubre de 2018 y se varió la estructura de las oficinas y nombre de algunas de las citadas en la información aportada por el CACMFJ</w:t>
      </w:r>
      <w:r w:rsidR="00C04355">
        <w:rPr>
          <w:rFonts w:eastAsia="Calibri"/>
          <w:szCs w:val="24"/>
          <w:lang w:eastAsia="en-US"/>
        </w:rPr>
        <w:t>:</w:t>
      </w:r>
    </w:p>
    <w:p w14:paraId="41556AB3" w14:textId="454220D1" w:rsidR="006B0164" w:rsidRPr="004E74A6" w:rsidRDefault="006B0164" w:rsidP="00CE62C1">
      <w:pPr>
        <w:spacing w:after="160" w:line="276" w:lineRule="auto"/>
        <w:contextualSpacing/>
        <w:rPr>
          <w:rFonts w:eastAsia="Calibri"/>
          <w:szCs w:val="24"/>
          <w:lang w:eastAsia="en-US"/>
        </w:rPr>
      </w:pPr>
    </w:p>
    <w:p w14:paraId="4B1067BD" w14:textId="14F1CA92" w:rsidR="006B0164" w:rsidRPr="004E74A6" w:rsidRDefault="006B0164" w:rsidP="00832773">
      <w:pPr>
        <w:spacing w:after="160" w:line="276" w:lineRule="auto"/>
        <w:contextualSpacing/>
        <w:rPr>
          <w:rFonts w:eastAsia="Calibri"/>
          <w:b/>
          <w:bCs/>
          <w:i/>
          <w:iCs/>
          <w:sz w:val="22"/>
          <w:szCs w:val="22"/>
          <w:lang w:eastAsia="en-US"/>
        </w:rPr>
      </w:pPr>
      <w:r w:rsidRPr="004E74A6">
        <w:rPr>
          <w:rFonts w:eastAsia="Calibri"/>
          <w:szCs w:val="24"/>
          <w:lang w:eastAsia="en-US"/>
        </w:rPr>
        <w:t xml:space="preserve"> </w:t>
      </w:r>
      <w:r w:rsidRPr="004E74A6">
        <w:rPr>
          <w:rFonts w:eastAsia="Calibri"/>
          <w:b/>
          <w:bCs/>
          <w:i/>
          <w:iCs/>
          <w:sz w:val="22"/>
          <w:szCs w:val="22"/>
          <w:lang w:eastAsia="en-US"/>
        </w:rPr>
        <w:t>Segunda Instancia: Reportan el fallo de 483 asuntos en materia Civil y 149 en Trabajo</w:t>
      </w:r>
    </w:p>
    <w:p w14:paraId="792A2AF2" w14:textId="2F02F4BA" w:rsidR="006B0164" w:rsidRPr="004E74A6" w:rsidRDefault="006B0164" w:rsidP="00CE62C1">
      <w:pPr>
        <w:spacing w:after="160" w:line="276" w:lineRule="auto"/>
        <w:contextualSpacing/>
        <w:rPr>
          <w:rFonts w:eastAsia="Calibri"/>
          <w:szCs w:val="24"/>
          <w:lang w:eastAsia="en-US"/>
        </w:rPr>
      </w:pPr>
      <w:r w:rsidRPr="004E74A6">
        <w:rPr>
          <w:rFonts w:eastAsia="Calibri"/>
          <w:szCs w:val="24"/>
          <w:lang w:eastAsia="en-US"/>
        </w:rPr>
        <w:t xml:space="preserve"> </w:t>
      </w:r>
      <w:r w:rsidR="005A199D" w:rsidRPr="004E74A6">
        <w:rPr>
          <w:noProof/>
        </w:rPr>
        <w:drawing>
          <wp:inline distT="0" distB="0" distL="0" distR="0" wp14:anchorId="2924823F" wp14:editId="0F223975">
            <wp:extent cx="5348605" cy="220853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348605" cy="2208530"/>
                    </a:xfrm>
                    <a:prstGeom prst="rect">
                      <a:avLst/>
                    </a:prstGeom>
                    <a:noFill/>
                    <a:ln>
                      <a:noFill/>
                    </a:ln>
                  </pic:spPr>
                </pic:pic>
              </a:graphicData>
            </a:graphic>
          </wp:inline>
        </w:drawing>
      </w:r>
    </w:p>
    <w:p w14:paraId="1A734EB5" w14:textId="183E9E36" w:rsidR="00B32800" w:rsidRPr="004E74A6" w:rsidRDefault="00B32800" w:rsidP="00832773">
      <w:pPr>
        <w:spacing w:line="276" w:lineRule="auto"/>
        <w:jc w:val="left"/>
        <w:rPr>
          <w:rFonts w:eastAsia="Calibri"/>
          <w:b/>
          <w:bCs/>
          <w:i/>
          <w:iCs/>
          <w:sz w:val="22"/>
          <w:szCs w:val="22"/>
          <w:lang w:eastAsia="en-US"/>
        </w:rPr>
      </w:pPr>
    </w:p>
    <w:p w14:paraId="78AEE9DB" w14:textId="77777777" w:rsidR="00194F64" w:rsidRDefault="00194F64" w:rsidP="00CE62C1">
      <w:pPr>
        <w:spacing w:after="160" w:line="276" w:lineRule="auto"/>
        <w:contextualSpacing/>
        <w:jc w:val="center"/>
        <w:rPr>
          <w:rFonts w:eastAsia="Calibri"/>
          <w:b/>
          <w:bCs/>
          <w:i/>
          <w:iCs/>
          <w:sz w:val="22"/>
          <w:szCs w:val="22"/>
          <w:lang w:eastAsia="en-US"/>
        </w:rPr>
      </w:pPr>
    </w:p>
    <w:p w14:paraId="7F9CA646" w14:textId="77777777" w:rsidR="00194F64" w:rsidRDefault="00194F64" w:rsidP="00CE62C1">
      <w:pPr>
        <w:spacing w:after="160" w:line="276" w:lineRule="auto"/>
        <w:contextualSpacing/>
        <w:jc w:val="center"/>
        <w:rPr>
          <w:rFonts w:eastAsia="Calibri"/>
          <w:b/>
          <w:bCs/>
          <w:i/>
          <w:iCs/>
          <w:sz w:val="22"/>
          <w:szCs w:val="22"/>
          <w:lang w:eastAsia="en-US"/>
        </w:rPr>
      </w:pPr>
    </w:p>
    <w:p w14:paraId="217FFAE9" w14:textId="77777777" w:rsidR="00194F64" w:rsidRDefault="00194F64" w:rsidP="00CE62C1">
      <w:pPr>
        <w:spacing w:after="160" w:line="276" w:lineRule="auto"/>
        <w:contextualSpacing/>
        <w:jc w:val="center"/>
        <w:rPr>
          <w:rFonts w:eastAsia="Calibri"/>
          <w:b/>
          <w:bCs/>
          <w:i/>
          <w:iCs/>
          <w:sz w:val="22"/>
          <w:szCs w:val="22"/>
          <w:lang w:eastAsia="en-US"/>
        </w:rPr>
      </w:pPr>
    </w:p>
    <w:p w14:paraId="5C15C47A" w14:textId="77777777" w:rsidR="00194F64" w:rsidRDefault="00194F64" w:rsidP="00CE62C1">
      <w:pPr>
        <w:spacing w:after="160" w:line="276" w:lineRule="auto"/>
        <w:contextualSpacing/>
        <w:jc w:val="center"/>
        <w:rPr>
          <w:rFonts w:eastAsia="Calibri"/>
          <w:b/>
          <w:bCs/>
          <w:i/>
          <w:iCs/>
          <w:sz w:val="22"/>
          <w:szCs w:val="22"/>
          <w:lang w:eastAsia="en-US"/>
        </w:rPr>
      </w:pPr>
    </w:p>
    <w:p w14:paraId="2EEB980F" w14:textId="77777777" w:rsidR="00194F64" w:rsidRDefault="00194F64" w:rsidP="00CE62C1">
      <w:pPr>
        <w:spacing w:after="160" w:line="276" w:lineRule="auto"/>
        <w:contextualSpacing/>
        <w:jc w:val="center"/>
        <w:rPr>
          <w:rFonts w:eastAsia="Calibri"/>
          <w:b/>
          <w:bCs/>
          <w:i/>
          <w:iCs/>
          <w:sz w:val="22"/>
          <w:szCs w:val="22"/>
          <w:lang w:eastAsia="en-US"/>
        </w:rPr>
      </w:pPr>
    </w:p>
    <w:p w14:paraId="5AD87CED" w14:textId="77777777" w:rsidR="00194F64" w:rsidRDefault="00194F64" w:rsidP="00CE62C1">
      <w:pPr>
        <w:spacing w:after="160" w:line="276" w:lineRule="auto"/>
        <w:contextualSpacing/>
        <w:jc w:val="center"/>
        <w:rPr>
          <w:rFonts w:eastAsia="Calibri"/>
          <w:b/>
          <w:bCs/>
          <w:i/>
          <w:iCs/>
          <w:sz w:val="22"/>
          <w:szCs w:val="22"/>
          <w:lang w:eastAsia="en-US"/>
        </w:rPr>
      </w:pPr>
    </w:p>
    <w:p w14:paraId="55B9C67D" w14:textId="77777777" w:rsidR="00194F64" w:rsidRDefault="00194F64" w:rsidP="00CE62C1">
      <w:pPr>
        <w:spacing w:after="160" w:line="276" w:lineRule="auto"/>
        <w:contextualSpacing/>
        <w:jc w:val="center"/>
        <w:rPr>
          <w:rFonts w:eastAsia="Calibri"/>
          <w:b/>
          <w:bCs/>
          <w:i/>
          <w:iCs/>
          <w:sz w:val="22"/>
          <w:szCs w:val="22"/>
          <w:lang w:eastAsia="en-US"/>
        </w:rPr>
      </w:pPr>
    </w:p>
    <w:p w14:paraId="54F1A8D8" w14:textId="77777777" w:rsidR="00194F64" w:rsidRDefault="00194F64" w:rsidP="00CE62C1">
      <w:pPr>
        <w:spacing w:after="160" w:line="276" w:lineRule="auto"/>
        <w:contextualSpacing/>
        <w:jc w:val="center"/>
        <w:rPr>
          <w:rFonts w:eastAsia="Calibri"/>
          <w:b/>
          <w:bCs/>
          <w:i/>
          <w:iCs/>
          <w:sz w:val="22"/>
          <w:szCs w:val="22"/>
          <w:lang w:eastAsia="en-US"/>
        </w:rPr>
      </w:pPr>
    </w:p>
    <w:p w14:paraId="25E82DDC" w14:textId="77777777" w:rsidR="00194F64" w:rsidRDefault="00194F64" w:rsidP="00CE62C1">
      <w:pPr>
        <w:spacing w:after="160" w:line="276" w:lineRule="auto"/>
        <w:contextualSpacing/>
        <w:jc w:val="center"/>
        <w:rPr>
          <w:rFonts w:eastAsia="Calibri"/>
          <w:b/>
          <w:bCs/>
          <w:i/>
          <w:iCs/>
          <w:sz w:val="22"/>
          <w:szCs w:val="22"/>
          <w:lang w:eastAsia="en-US"/>
        </w:rPr>
      </w:pPr>
    </w:p>
    <w:p w14:paraId="07286EB7" w14:textId="77777777" w:rsidR="00194F64" w:rsidRDefault="00194F64" w:rsidP="00CE62C1">
      <w:pPr>
        <w:spacing w:after="160" w:line="276" w:lineRule="auto"/>
        <w:contextualSpacing/>
        <w:jc w:val="center"/>
        <w:rPr>
          <w:rFonts w:eastAsia="Calibri"/>
          <w:b/>
          <w:bCs/>
          <w:i/>
          <w:iCs/>
          <w:sz w:val="22"/>
          <w:szCs w:val="22"/>
          <w:lang w:eastAsia="en-US"/>
        </w:rPr>
      </w:pPr>
    </w:p>
    <w:p w14:paraId="764215F5" w14:textId="77777777" w:rsidR="00194F64" w:rsidRDefault="00194F64" w:rsidP="00CE62C1">
      <w:pPr>
        <w:spacing w:after="160" w:line="276" w:lineRule="auto"/>
        <w:contextualSpacing/>
        <w:jc w:val="center"/>
        <w:rPr>
          <w:rFonts w:eastAsia="Calibri"/>
          <w:b/>
          <w:bCs/>
          <w:i/>
          <w:iCs/>
          <w:sz w:val="22"/>
          <w:szCs w:val="22"/>
          <w:lang w:eastAsia="en-US"/>
        </w:rPr>
      </w:pPr>
    </w:p>
    <w:p w14:paraId="2CCE4E46" w14:textId="77777777" w:rsidR="00194F64" w:rsidRDefault="00194F64" w:rsidP="00CE62C1">
      <w:pPr>
        <w:spacing w:after="160" w:line="276" w:lineRule="auto"/>
        <w:contextualSpacing/>
        <w:jc w:val="center"/>
        <w:rPr>
          <w:rFonts w:eastAsia="Calibri"/>
          <w:b/>
          <w:bCs/>
          <w:i/>
          <w:iCs/>
          <w:sz w:val="22"/>
          <w:szCs w:val="22"/>
          <w:lang w:eastAsia="en-US"/>
        </w:rPr>
      </w:pPr>
    </w:p>
    <w:p w14:paraId="176C347E" w14:textId="77777777" w:rsidR="00194F64" w:rsidRDefault="00194F64" w:rsidP="00CE62C1">
      <w:pPr>
        <w:spacing w:after="160" w:line="276" w:lineRule="auto"/>
        <w:contextualSpacing/>
        <w:jc w:val="center"/>
        <w:rPr>
          <w:rFonts w:eastAsia="Calibri"/>
          <w:b/>
          <w:bCs/>
          <w:i/>
          <w:iCs/>
          <w:sz w:val="22"/>
          <w:szCs w:val="22"/>
          <w:lang w:eastAsia="en-US"/>
        </w:rPr>
      </w:pPr>
    </w:p>
    <w:p w14:paraId="3B45240C" w14:textId="77777777" w:rsidR="00194F64" w:rsidRDefault="00194F64" w:rsidP="00CE62C1">
      <w:pPr>
        <w:spacing w:after="160" w:line="276" w:lineRule="auto"/>
        <w:contextualSpacing/>
        <w:jc w:val="center"/>
        <w:rPr>
          <w:rFonts w:eastAsia="Calibri"/>
          <w:b/>
          <w:bCs/>
          <w:i/>
          <w:iCs/>
          <w:sz w:val="22"/>
          <w:szCs w:val="22"/>
          <w:lang w:eastAsia="en-US"/>
        </w:rPr>
      </w:pPr>
    </w:p>
    <w:p w14:paraId="0EC6A2A2" w14:textId="77777777" w:rsidR="00194F64" w:rsidRDefault="00194F64" w:rsidP="00CE62C1">
      <w:pPr>
        <w:spacing w:after="160" w:line="276" w:lineRule="auto"/>
        <w:contextualSpacing/>
        <w:jc w:val="center"/>
        <w:rPr>
          <w:rFonts w:eastAsia="Calibri"/>
          <w:b/>
          <w:bCs/>
          <w:i/>
          <w:iCs/>
          <w:sz w:val="22"/>
          <w:szCs w:val="22"/>
          <w:lang w:eastAsia="en-US"/>
        </w:rPr>
      </w:pPr>
    </w:p>
    <w:p w14:paraId="1244AB6A" w14:textId="77777777" w:rsidR="00194F64" w:rsidRDefault="00194F64" w:rsidP="00CE62C1">
      <w:pPr>
        <w:spacing w:after="160" w:line="276" w:lineRule="auto"/>
        <w:contextualSpacing/>
        <w:jc w:val="center"/>
        <w:rPr>
          <w:rFonts w:eastAsia="Calibri"/>
          <w:b/>
          <w:bCs/>
          <w:i/>
          <w:iCs/>
          <w:sz w:val="22"/>
          <w:szCs w:val="22"/>
          <w:lang w:eastAsia="en-US"/>
        </w:rPr>
      </w:pPr>
    </w:p>
    <w:p w14:paraId="53D5E275" w14:textId="77777777" w:rsidR="00194F64" w:rsidRDefault="00194F64" w:rsidP="00CE62C1">
      <w:pPr>
        <w:spacing w:after="160" w:line="276" w:lineRule="auto"/>
        <w:contextualSpacing/>
        <w:jc w:val="center"/>
        <w:rPr>
          <w:rFonts w:eastAsia="Calibri"/>
          <w:b/>
          <w:bCs/>
          <w:i/>
          <w:iCs/>
          <w:sz w:val="22"/>
          <w:szCs w:val="22"/>
          <w:lang w:eastAsia="en-US"/>
        </w:rPr>
      </w:pPr>
    </w:p>
    <w:p w14:paraId="7E2BCF24" w14:textId="6F70C22B" w:rsidR="006B0164" w:rsidRPr="004E74A6" w:rsidRDefault="006B0164" w:rsidP="00CE62C1">
      <w:pPr>
        <w:spacing w:after="160" w:line="276" w:lineRule="auto"/>
        <w:contextualSpacing/>
        <w:jc w:val="center"/>
        <w:rPr>
          <w:rFonts w:eastAsia="Calibri"/>
          <w:b/>
          <w:bCs/>
          <w:i/>
          <w:iCs/>
          <w:sz w:val="22"/>
          <w:szCs w:val="22"/>
          <w:lang w:eastAsia="en-US"/>
        </w:rPr>
      </w:pPr>
      <w:r w:rsidRPr="004E74A6">
        <w:rPr>
          <w:rFonts w:eastAsia="Calibri"/>
          <w:b/>
          <w:bCs/>
          <w:i/>
          <w:iCs/>
          <w:sz w:val="22"/>
          <w:szCs w:val="22"/>
          <w:lang w:eastAsia="en-US"/>
        </w:rPr>
        <w:lastRenderedPageBreak/>
        <w:t xml:space="preserve">Primera Instancia: Desde el 2016 y hasta setiembre 2021 se </w:t>
      </w:r>
      <w:r w:rsidR="008C3266" w:rsidRPr="004E74A6">
        <w:rPr>
          <w:rFonts w:eastAsia="Calibri"/>
          <w:b/>
          <w:bCs/>
          <w:i/>
          <w:iCs/>
          <w:sz w:val="22"/>
          <w:szCs w:val="22"/>
          <w:lang w:eastAsia="en-US"/>
        </w:rPr>
        <w:t>fallar</w:t>
      </w:r>
      <w:r w:rsidR="00806A05" w:rsidRPr="004E74A6">
        <w:rPr>
          <w:rFonts w:eastAsia="Calibri"/>
          <w:b/>
          <w:bCs/>
          <w:i/>
          <w:iCs/>
          <w:sz w:val="22"/>
          <w:szCs w:val="22"/>
          <w:lang w:eastAsia="en-US"/>
        </w:rPr>
        <w:t>o</w:t>
      </w:r>
      <w:r w:rsidR="008C3266" w:rsidRPr="004E74A6">
        <w:rPr>
          <w:rFonts w:eastAsia="Calibri"/>
          <w:b/>
          <w:bCs/>
          <w:i/>
          <w:iCs/>
          <w:sz w:val="22"/>
          <w:szCs w:val="22"/>
          <w:lang w:eastAsia="en-US"/>
        </w:rPr>
        <w:t>n</w:t>
      </w:r>
      <w:r w:rsidRPr="004E74A6">
        <w:rPr>
          <w:rFonts w:eastAsia="Calibri"/>
          <w:b/>
          <w:bCs/>
          <w:i/>
          <w:iCs/>
          <w:sz w:val="22"/>
          <w:szCs w:val="22"/>
          <w:lang w:eastAsia="en-US"/>
        </w:rPr>
        <w:t xml:space="preserve"> 3114 asuntos con planes de descongestionamiento</w:t>
      </w:r>
    </w:p>
    <w:p w14:paraId="1A026DAA" w14:textId="77777777" w:rsidR="00B32800" w:rsidRPr="004E74A6" w:rsidRDefault="00B32800" w:rsidP="00CE62C1">
      <w:pPr>
        <w:spacing w:after="160" w:line="276" w:lineRule="auto"/>
        <w:contextualSpacing/>
        <w:jc w:val="center"/>
        <w:rPr>
          <w:rFonts w:eastAsia="Calibri"/>
          <w:b/>
          <w:bCs/>
          <w:i/>
          <w:iCs/>
          <w:sz w:val="22"/>
          <w:szCs w:val="22"/>
          <w:lang w:eastAsia="en-US"/>
        </w:rPr>
      </w:pPr>
    </w:p>
    <w:p w14:paraId="71B689E4" w14:textId="5F87783E" w:rsidR="006B0164" w:rsidRPr="004E74A6" w:rsidRDefault="005A199D" w:rsidP="00CE62C1">
      <w:pPr>
        <w:spacing w:after="160" w:line="276" w:lineRule="auto"/>
        <w:contextualSpacing/>
        <w:jc w:val="center"/>
        <w:rPr>
          <w:rFonts w:eastAsia="Calibri"/>
          <w:szCs w:val="24"/>
          <w:lang w:eastAsia="en-US"/>
        </w:rPr>
      </w:pPr>
      <w:r w:rsidRPr="004E74A6">
        <w:rPr>
          <w:noProof/>
          <w:sz w:val="22"/>
          <w:szCs w:val="18"/>
        </w:rPr>
        <w:drawing>
          <wp:inline distT="0" distB="0" distL="0" distR="0" wp14:anchorId="78A569AC" wp14:editId="4B6AE63C">
            <wp:extent cx="3450590" cy="3381375"/>
            <wp:effectExtent l="0" t="0" r="0" b="952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450590" cy="3381375"/>
                    </a:xfrm>
                    <a:prstGeom prst="rect">
                      <a:avLst/>
                    </a:prstGeom>
                    <a:noFill/>
                    <a:ln>
                      <a:noFill/>
                    </a:ln>
                  </pic:spPr>
                </pic:pic>
              </a:graphicData>
            </a:graphic>
          </wp:inline>
        </w:drawing>
      </w:r>
    </w:p>
    <w:p w14:paraId="02D4ECBD" w14:textId="77777777" w:rsidR="006B0164" w:rsidRPr="004E74A6" w:rsidRDefault="006B0164" w:rsidP="00CE62C1">
      <w:pPr>
        <w:spacing w:after="160" w:line="276" w:lineRule="auto"/>
        <w:contextualSpacing/>
        <w:rPr>
          <w:rFonts w:eastAsia="Calibri"/>
          <w:szCs w:val="24"/>
          <w:lang w:eastAsia="en-US"/>
        </w:rPr>
      </w:pPr>
    </w:p>
    <w:p w14:paraId="3D8ABA58" w14:textId="77777777" w:rsidR="006B0164" w:rsidRPr="004E74A6" w:rsidRDefault="006B0164" w:rsidP="00CE62C1">
      <w:pPr>
        <w:spacing w:after="160" w:line="276" w:lineRule="auto"/>
        <w:contextualSpacing/>
        <w:rPr>
          <w:rFonts w:eastAsia="Calibri"/>
          <w:szCs w:val="24"/>
          <w:lang w:eastAsia="en-US"/>
        </w:rPr>
      </w:pPr>
      <w:r w:rsidRPr="004E74A6">
        <w:rPr>
          <w:rFonts w:eastAsia="Calibri"/>
          <w:szCs w:val="24"/>
          <w:lang w:eastAsia="en-US"/>
        </w:rPr>
        <w:t>El detalle por oficina y por año se adjunta a continuación:</w:t>
      </w:r>
    </w:p>
    <w:p w14:paraId="0E1B97D8" w14:textId="77777777" w:rsidR="006B0164" w:rsidRPr="004E74A6" w:rsidRDefault="006B0164" w:rsidP="00CE62C1">
      <w:pPr>
        <w:spacing w:after="160" w:line="276" w:lineRule="auto"/>
        <w:contextualSpacing/>
        <w:rPr>
          <w:rFonts w:eastAsia="Calibri"/>
          <w:szCs w:val="24"/>
          <w:lang w:eastAsia="en-US"/>
        </w:rPr>
      </w:pPr>
    </w:p>
    <w:p w14:paraId="539CE3BA" w14:textId="23533EC8" w:rsidR="006B0164" w:rsidRPr="004E74A6" w:rsidRDefault="00194F64" w:rsidP="00CE62C1">
      <w:pPr>
        <w:spacing w:after="160" w:line="276" w:lineRule="auto"/>
        <w:contextualSpacing/>
        <w:jc w:val="center"/>
        <w:rPr>
          <w:rFonts w:eastAsia="Calibri"/>
          <w:szCs w:val="24"/>
          <w:lang w:eastAsia="en-US"/>
        </w:rPr>
      </w:pPr>
      <w:r w:rsidRPr="004E74A6">
        <w:rPr>
          <w:rFonts w:eastAsia="Calibri"/>
          <w:szCs w:val="24"/>
          <w:lang w:eastAsia="en-US"/>
        </w:rPr>
        <w:object w:dxaOrig="1155" w:dyaOrig="752" w14:anchorId="7CD3F3E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9.3pt;height:40.8pt" o:ole="">
            <v:imagedata r:id="rId16" o:title=""/>
          </v:shape>
          <o:OLEObject Type="Embed" ProgID="Excel.Sheet.12" ShapeID="_x0000_i1025" DrawAspect="Icon" ObjectID="_1739708492" r:id="rId17"/>
        </w:object>
      </w:r>
    </w:p>
    <w:p w14:paraId="44D9417E" w14:textId="77777777" w:rsidR="006B0164" w:rsidRPr="004E74A6" w:rsidRDefault="006B0164" w:rsidP="00CE62C1">
      <w:pPr>
        <w:spacing w:after="160" w:line="276" w:lineRule="auto"/>
        <w:contextualSpacing/>
        <w:rPr>
          <w:rFonts w:eastAsia="Calibri"/>
          <w:szCs w:val="24"/>
          <w:lang w:eastAsia="en-US"/>
        </w:rPr>
      </w:pPr>
    </w:p>
    <w:p w14:paraId="5DB26054" w14:textId="1AF4F1F2" w:rsidR="006B0164" w:rsidRPr="004E74A6" w:rsidRDefault="006B0164" w:rsidP="00CE62C1">
      <w:pPr>
        <w:numPr>
          <w:ilvl w:val="1"/>
          <w:numId w:val="3"/>
        </w:numPr>
        <w:spacing w:after="160" w:line="276" w:lineRule="auto"/>
        <w:contextualSpacing/>
        <w:rPr>
          <w:rFonts w:eastAsia="Calibri"/>
          <w:szCs w:val="24"/>
          <w:lang w:eastAsia="en-US"/>
        </w:rPr>
      </w:pPr>
      <w:r w:rsidRPr="004E74A6">
        <w:rPr>
          <w:rFonts w:eastAsia="Calibri"/>
          <w:szCs w:val="24"/>
          <w:lang w:eastAsia="en-US"/>
        </w:rPr>
        <w:t>En el análisis estadístico debe considerarse que durante setiembre 2018</w:t>
      </w:r>
      <w:r w:rsidR="00C04355">
        <w:rPr>
          <w:rFonts w:eastAsia="Calibri"/>
          <w:szCs w:val="24"/>
          <w:lang w:eastAsia="en-US"/>
        </w:rPr>
        <w:t>,</w:t>
      </w:r>
      <w:r w:rsidRPr="004E74A6">
        <w:rPr>
          <w:rFonts w:eastAsia="Calibri"/>
          <w:szCs w:val="24"/>
          <w:lang w:eastAsia="en-US"/>
        </w:rPr>
        <w:t xml:space="preserve"> la Dirección de Tecnología de la Información</w:t>
      </w:r>
      <w:r w:rsidR="00C04355">
        <w:rPr>
          <w:rFonts w:eastAsia="Calibri"/>
          <w:szCs w:val="24"/>
          <w:lang w:eastAsia="en-US"/>
        </w:rPr>
        <w:t xml:space="preserve"> y Comunicaciones,</w:t>
      </w:r>
      <w:r w:rsidRPr="004E74A6">
        <w:rPr>
          <w:rFonts w:eastAsia="Calibri"/>
          <w:szCs w:val="24"/>
          <w:lang w:eastAsia="en-US"/>
        </w:rPr>
        <w:t xml:space="preserve"> realizó migraciones de datos, por lo que aún en 2019</w:t>
      </w:r>
      <w:r w:rsidR="004D68AC">
        <w:rPr>
          <w:rFonts w:eastAsia="Calibri"/>
          <w:szCs w:val="24"/>
          <w:lang w:eastAsia="en-US"/>
        </w:rPr>
        <w:t>,</w:t>
      </w:r>
      <w:r w:rsidRPr="004E74A6">
        <w:rPr>
          <w:rFonts w:eastAsia="Calibri"/>
          <w:szCs w:val="24"/>
          <w:lang w:eastAsia="en-US"/>
        </w:rPr>
        <w:t xml:space="preserve"> se encontraban depurando los asuntos migrados.  Durante los meses de octubre hasta la segunda semana de diciembre 2018</w:t>
      </w:r>
      <w:r w:rsidR="00EC573A">
        <w:rPr>
          <w:rFonts w:eastAsia="Calibri"/>
          <w:szCs w:val="24"/>
          <w:lang w:eastAsia="en-US"/>
        </w:rPr>
        <w:t>,</w:t>
      </w:r>
      <w:r w:rsidRPr="004E74A6">
        <w:rPr>
          <w:rFonts w:eastAsia="Calibri"/>
          <w:szCs w:val="24"/>
          <w:lang w:eastAsia="en-US"/>
        </w:rPr>
        <w:t xml:space="preserve"> en algunas zonas el personal, de forma total o parcial, se unieron al movimiento de huelga a nivel nacional; además en el 2020-2022 se han dado cierres parciales y limitación servicios ofrecidos según los lineamientos establecidos por la institución para ser aplicados debido al COVID-19, sesión del Consejo Superior 32-21, del 13 de abril de 2021, artículo LXVII.</w:t>
      </w:r>
    </w:p>
    <w:p w14:paraId="1F266364" w14:textId="77777777" w:rsidR="006B0164" w:rsidRPr="004E74A6" w:rsidRDefault="006B0164" w:rsidP="00CE62C1">
      <w:pPr>
        <w:spacing w:after="160" w:line="276" w:lineRule="auto"/>
        <w:contextualSpacing/>
        <w:rPr>
          <w:rFonts w:eastAsia="Calibri"/>
          <w:szCs w:val="24"/>
          <w:lang w:eastAsia="en-US"/>
        </w:rPr>
      </w:pPr>
    </w:p>
    <w:p w14:paraId="1EBFA3E2" w14:textId="77777777" w:rsidR="006B0164" w:rsidRPr="004E74A6" w:rsidRDefault="006B0164" w:rsidP="00CE62C1">
      <w:pPr>
        <w:numPr>
          <w:ilvl w:val="1"/>
          <w:numId w:val="3"/>
        </w:numPr>
        <w:spacing w:after="160" w:line="276" w:lineRule="auto"/>
        <w:contextualSpacing/>
        <w:rPr>
          <w:rFonts w:eastAsia="Calibri"/>
          <w:szCs w:val="24"/>
          <w:lang w:eastAsia="en-US"/>
        </w:rPr>
      </w:pPr>
      <w:r w:rsidRPr="004E74A6">
        <w:rPr>
          <w:rFonts w:eastAsia="Calibri"/>
          <w:szCs w:val="24"/>
          <w:lang w:eastAsia="en-US"/>
        </w:rPr>
        <w:lastRenderedPageBreak/>
        <w:t xml:space="preserve">Debe considerarse que, en los informes de Presupuesto, para </w:t>
      </w:r>
      <w:r w:rsidR="002F53AE" w:rsidRPr="004E74A6">
        <w:rPr>
          <w:szCs w:val="24"/>
        </w:rPr>
        <w:t>2018</w:t>
      </w:r>
      <w:r w:rsidR="002F53AE" w:rsidRPr="004E74A6">
        <w:rPr>
          <w:szCs w:val="24"/>
          <w:vertAlign w:val="superscript"/>
        </w:rPr>
        <w:footnoteReference w:id="8"/>
      </w:r>
      <w:r w:rsidRPr="004E74A6">
        <w:rPr>
          <w:rFonts w:eastAsia="Calibri"/>
          <w:szCs w:val="24"/>
          <w:lang w:eastAsia="en-US"/>
        </w:rPr>
        <w:t xml:space="preserve"> se incluyó como </w:t>
      </w:r>
      <w:r w:rsidRPr="004E74A6">
        <w:rPr>
          <w:rFonts w:eastAsia="Calibri"/>
          <w:b/>
          <w:bCs/>
          <w:szCs w:val="24"/>
          <w:u w:val="single"/>
          <w:lang w:eastAsia="en-US"/>
        </w:rPr>
        <w:t>recurso humano</w:t>
      </w:r>
      <w:r w:rsidRPr="004E74A6">
        <w:rPr>
          <w:rFonts w:eastAsia="Calibri"/>
          <w:szCs w:val="24"/>
          <w:lang w:eastAsia="en-US"/>
        </w:rPr>
        <w:t xml:space="preserve"> adicional para la Sala Primera de un Profesional en Derecho 3B para la reducción de circulante en asuntos de Auxilio Internacional.</w:t>
      </w:r>
    </w:p>
    <w:p w14:paraId="38FEE38D" w14:textId="77777777" w:rsidR="006B0164" w:rsidRPr="004E74A6" w:rsidRDefault="006B0164" w:rsidP="00CE62C1">
      <w:pPr>
        <w:spacing w:after="160" w:line="276" w:lineRule="auto"/>
        <w:contextualSpacing/>
        <w:rPr>
          <w:rFonts w:eastAsia="Calibri"/>
          <w:szCs w:val="24"/>
          <w:lang w:eastAsia="en-US"/>
        </w:rPr>
      </w:pPr>
      <w:r w:rsidRPr="004E74A6">
        <w:rPr>
          <w:rFonts w:eastAsia="Calibri"/>
          <w:szCs w:val="24"/>
          <w:lang w:eastAsia="en-US"/>
        </w:rPr>
        <w:t xml:space="preserve"> </w:t>
      </w:r>
    </w:p>
    <w:p w14:paraId="256C78E2" w14:textId="77777777" w:rsidR="006B0164" w:rsidRPr="004E74A6" w:rsidRDefault="006B0164" w:rsidP="00CE62C1">
      <w:pPr>
        <w:spacing w:after="160" w:line="276" w:lineRule="auto"/>
        <w:contextualSpacing/>
        <w:rPr>
          <w:rFonts w:eastAsia="Calibri"/>
          <w:szCs w:val="24"/>
          <w:lang w:eastAsia="en-US"/>
        </w:rPr>
      </w:pPr>
      <w:r w:rsidRPr="004E74A6">
        <w:rPr>
          <w:rFonts w:eastAsia="Calibri"/>
          <w:szCs w:val="24"/>
          <w:lang w:eastAsia="en-US"/>
        </w:rPr>
        <w:t xml:space="preserve">En </w:t>
      </w:r>
      <w:r w:rsidR="002F53AE" w:rsidRPr="004E74A6">
        <w:rPr>
          <w:szCs w:val="24"/>
        </w:rPr>
        <w:t>2019</w:t>
      </w:r>
      <w:r w:rsidR="002F53AE" w:rsidRPr="004E74A6">
        <w:rPr>
          <w:szCs w:val="24"/>
          <w:vertAlign w:val="superscript"/>
        </w:rPr>
        <w:footnoteReference w:id="9"/>
      </w:r>
      <w:r w:rsidR="002F53AE" w:rsidRPr="004E74A6">
        <w:rPr>
          <w:szCs w:val="24"/>
        </w:rPr>
        <w:t xml:space="preserve">, </w:t>
      </w:r>
      <w:r w:rsidRPr="004E74A6">
        <w:rPr>
          <w:rFonts w:eastAsia="Calibri"/>
          <w:szCs w:val="24"/>
          <w:lang w:eastAsia="en-US"/>
        </w:rPr>
        <w:t xml:space="preserve">se mantuvo ese recurso y se adicionaron 4 Profesionales en Derecho más (1 Profesional por cada Magistrados o Magistrada) y 2 Técnicos Judiciales 3 para contrarrestar efecto de la entrada en vigencia de la nueva norma.  </w:t>
      </w:r>
    </w:p>
    <w:p w14:paraId="4D6635B7" w14:textId="77777777" w:rsidR="006B0164" w:rsidRPr="004E74A6" w:rsidRDefault="006B0164" w:rsidP="00CE62C1">
      <w:pPr>
        <w:spacing w:after="160" w:line="276" w:lineRule="auto"/>
        <w:contextualSpacing/>
        <w:rPr>
          <w:rFonts w:eastAsia="Calibri"/>
          <w:szCs w:val="24"/>
          <w:lang w:eastAsia="en-US"/>
        </w:rPr>
      </w:pPr>
    </w:p>
    <w:p w14:paraId="65278F7C" w14:textId="77777777" w:rsidR="006B0164" w:rsidRPr="004E74A6" w:rsidRDefault="006B0164" w:rsidP="00CE62C1">
      <w:pPr>
        <w:spacing w:after="160" w:line="276" w:lineRule="auto"/>
        <w:contextualSpacing/>
        <w:rPr>
          <w:rFonts w:eastAsia="Calibri"/>
          <w:szCs w:val="24"/>
          <w:lang w:eastAsia="en-US"/>
        </w:rPr>
      </w:pPr>
      <w:r w:rsidRPr="004E74A6">
        <w:rPr>
          <w:rFonts w:eastAsia="Calibri"/>
          <w:szCs w:val="24"/>
          <w:lang w:eastAsia="en-US"/>
        </w:rPr>
        <w:t xml:space="preserve">A partir de enero </w:t>
      </w:r>
      <w:r w:rsidR="002F53AE" w:rsidRPr="004E74A6">
        <w:rPr>
          <w:szCs w:val="24"/>
        </w:rPr>
        <w:t>2020</w:t>
      </w:r>
      <w:r w:rsidR="002F53AE" w:rsidRPr="004E74A6">
        <w:rPr>
          <w:szCs w:val="24"/>
          <w:vertAlign w:val="superscript"/>
        </w:rPr>
        <w:footnoteReference w:id="10"/>
      </w:r>
      <w:r w:rsidR="002F53AE" w:rsidRPr="004E74A6">
        <w:rPr>
          <w:szCs w:val="24"/>
        </w:rPr>
        <w:t xml:space="preserve"> </w:t>
      </w:r>
      <w:r w:rsidRPr="004E74A6">
        <w:rPr>
          <w:rFonts w:eastAsia="Calibri"/>
          <w:szCs w:val="24"/>
          <w:lang w:eastAsia="en-US"/>
        </w:rPr>
        <w:t xml:space="preserve"> se mantienen esos 5 Profesionales de forma ordinaria y 2 Profesionales de forma extraordinaria (antes plazas de Técnicos Judiciales 3) las cuales se dieron de forma ordinaria a partir de enero 2021. </w:t>
      </w:r>
    </w:p>
    <w:p w14:paraId="39B8785D" w14:textId="77777777" w:rsidR="006B0164" w:rsidRPr="004E74A6" w:rsidRDefault="006B0164" w:rsidP="00CE62C1">
      <w:pPr>
        <w:spacing w:after="160" w:line="276" w:lineRule="auto"/>
        <w:contextualSpacing/>
        <w:rPr>
          <w:rFonts w:eastAsia="Calibri"/>
          <w:szCs w:val="24"/>
          <w:lang w:eastAsia="en-US"/>
        </w:rPr>
      </w:pPr>
    </w:p>
    <w:p w14:paraId="74EE6C56" w14:textId="164544B4" w:rsidR="006B0164" w:rsidRPr="004E74A6" w:rsidRDefault="006B0164" w:rsidP="00CE62C1">
      <w:pPr>
        <w:numPr>
          <w:ilvl w:val="1"/>
          <w:numId w:val="3"/>
        </w:numPr>
        <w:spacing w:after="160" w:line="276" w:lineRule="auto"/>
        <w:contextualSpacing/>
        <w:rPr>
          <w:rFonts w:eastAsia="Calibri"/>
          <w:szCs w:val="24"/>
          <w:lang w:eastAsia="en-US"/>
        </w:rPr>
      </w:pPr>
      <w:r w:rsidRPr="004E74A6">
        <w:rPr>
          <w:rFonts w:eastAsia="Calibri"/>
          <w:szCs w:val="24"/>
          <w:lang w:eastAsia="en-US"/>
        </w:rPr>
        <w:t>La Sala Primera</w:t>
      </w:r>
      <w:r w:rsidR="00EC573A">
        <w:rPr>
          <w:rFonts w:eastAsia="Calibri"/>
          <w:szCs w:val="24"/>
          <w:lang w:eastAsia="en-US"/>
        </w:rPr>
        <w:t>,</w:t>
      </w:r>
      <w:r w:rsidRPr="004E74A6">
        <w:rPr>
          <w:rFonts w:eastAsia="Calibri"/>
          <w:szCs w:val="24"/>
          <w:lang w:eastAsia="en-US"/>
        </w:rPr>
        <w:t xml:space="preserve"> también ha contado con apoyo de plazas de Profesional en Derecho 3B durante los siguientes periodos </w:t>
      </w:r>
      <w:r w:rsidR="00A53899" w:rsidRPr="004E74A6">
        <w:rPr>
          <w:rFonts w:eastAsia="Calibri"/>
          <w:szCs w:val="24"/>
          <w:lang w:eastAsia="en-US"/>
        </w:rPr>
        <w:t>para mejorar</w:t>
      </w:r>
      <w:r w:rsidRPr="004E74A6">
        <w:rPr>
          <w:rFonts w:eastAsia="Calibri"/>
          <w:szCs w:val="24"/>
          <w:lang w:eastAsia="en-US"/>
        </w:rPr>
        <w:t xml:space="preserve"> la estadística de la oficina:</w:t>
      </w:r>
    </w:p>
    <w:p w14:paraId="79BF164D" w14:textId="77777777" w:rsidR="006B0164" w:rsidRPr="004E74A6" w:rsidRDefault="006B0164" w:rsidP="00CE62C1">
      <w:pPr>
        <w:spacing w:after="160" w:line="276" w:lineRule="auto"/>
        <w:contextualSpacing/>
        <w:rPr>
          <w:rFonts w:eastAsia="Calibri"/>
          <w:szCs w:val="24"/>
          <w:lang w:eastAsia="en-US"/>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07"/>
        <w:gridCol w:w="2207"/>
        <w:gridCol w:w="2208"/>
        <w:gridCol w:w="2208"/>
      </w:tblGrid>
      <w:tr w:rsidR="002F53AE" w:rsidRPr="004E74A6" w14:paraId="49110E88" w14:textId="77777777" w:rsidTr="0010720C">
        <w:trPr>
          <w:trHeight w:val="292"/>
          <w:tblHeader/>
          <w:jc w:val="center"/>
        </w:trPr>
        <w:tc>
          <w:tcPr>
            <w:tcW w:w="1250" w:type="pct"/>
            <w:shd w:val="clear" w:color="auto" w:fill="D9D9D9"/>
            <w:vAlign w:val="center"/>
          </w:tcPr>
          <w:p w14:paraId="32C779F1" w14:textId="77777777" w:rsidR="002F53AE" w:rsidRPr="00832773" w:rsidRDefault="002F53AE" w:rsidP="00CE62C1">
            <w:pPr>
              <w:tabs>
                <w:tab w:val="left" w:pos="0"/>
              </w:tabs>
              <w:spacing w:line="276" w:lineRule="auto"/>
              <w:jc w:val="center"/>
              <w:rPr>
                <w:b/>
                <w:bCs/>
                <w:i/>
                <w:sz w:val="20"/>
              </w:rPr>
            </w:pPr>
            <w:r w:rsidRPr="00832773">
              <w:rPr>
                <w:b/>
                <w:bCs/>
                <w:i/>
                <w:sz w:val="20"/>
              </w:rPr>
              <w:t>Periodo</w:t>
            </w:r>
          </w:p>
        </w:tc>
        <w:tc>
          <w:tcPr>
            <w:tcW w:w="1250" w:type="pct"/>
            <w:shd w:val="clear" w:color="auto" w:fill="D9D9D9"/>
            <w:vAlign w:val="center"/>
          </w:tcPr>
          <w:p w14:paraId="299DD0AB" w14:textId="77777777" w:rsidR="002F53AE" w:rsidRPr="00832773" w:rsidRDefault="002F53AE" w:rsidP="00CE62C1">
            <w:pPr>
              <w:tabs>
                <w:tab w:val="left" w:pos="0"/>
              </w:tabs>
              <w:spacing w:line="276" w:lineRule="auto"/>
              <w:jc w:val="center"/>
              <w:rPr>
                <w:b/>
                <w:bCs/>
                <w:i/>
                <w:sz w:val="20"/>
              </w:rPr>
            </w:pPr>
            <w:r w:rsidRPr="00832773">
              <w:rPr>
                <w:b/>
                <w:bCs/>
                <w:i/>
                <w:sz w:val="20"/>
              </w:rPr>
              <w:t>Cantidad de Plazas</w:t>
            </w:r>
          </w:p>
        </w:tc>
        <w:tc>
          <w:tcPr>
            <w:tcW w:w="1250" w:type="pct"/>
            <w:shd w:val="clear" w:color="auto" w:fill="D9D9D9"/>
            <w:vAlign w:val="center"/>
          </w:tcPr>
          <w:p w14:paraId="265AF9DA" w14:textId="77777777" w:rsidR="002F53AE" w:rsidRPr="00832773" w:rsidRDefault="002F53AE" w:rsidP="00CE62C1">
            <w:pPr>
              <w:tabs>
                <w:tab w:val="left" w:pos="0"/>
              </w:tabs>
              <w:spacing w:line="276" w:lineRule="auto"/>
              <w:jc w:val="center"/>
              <w:rPr>
                <w:b/>
                <w:bCs/>
                <w:i/>
                <w:sz w:val="20"/>
              </w:rPr>
            </w:pPr>
            <w:r w:rsidRPr="00832773">
              <w:rPr>
                <w:b/>
                <w:bCs/>
                <w:i/>
                <w:sz w:val="20"/>
              </w:rPr>
              <w:t>Plan de trabajo</w:t>
            </w:r>
          </w:p>
        </w:tc>
        <w:tc>
          <w:tcPr>
            <w:tcW w:w="1250" w:type="pct"/>
            <w:shd w:val="clear" w:color="auto" w:fill="D9D9D9"/>
            <w:vAlign w:val="center"/>
          </w:tcPr>
          <w:p w14:paraId="0B2FEFD9" w14:textId="77777777" w:rsidR="002F53AE" w:rsidRPr="00832773" w:rsidRDefault="002F53AE" w:rsidP="00CE62C1">
            <w:pPr>
              <w:tabs>
                <w:tab w:val="left" w:pos="0"/>
              </w:tabs>
              <w:spacing w:line="276" w:lineRule="auto"/>
              <w:jc w:val="center"/>
              <w:rPr>
                <w:b/>
                <w:bCs/>
                <w:i/>
                <w:sz w:val="20"/>
              </w:rPr>
            </w:pPr>
            <w:r w:rsidRPr="00832773">
              <w:rPr>
                <w:b/>
                <w:bCs/>
                <w:i/>
                <w:sz w:val="20"/>
              </w:rPr>
              <w:t>Sesión acuerdo Consejo Superior</w:t>
            </w:r>
          </w:p>
        </w:tc>
      </w:tr>
      <w:tr w:rsidR="002F53AE" w:rsidRPr="004E74A6" w14:paraId="6E50AE1E" w14:textId="77777777" w:rsidTr="002F53AE">
        <w:trPr>
          <w:trHeight w:val="303"/>
          <w:jc w:val="center"/>
        </w:trPr>
        <w:tc>
          <w:tcPr>
            <w:tcW w:w="1250" w:type="pct"/>
            <w:shd w:val="clear" w:color="auto" w:fill="auto"/>
            <w:vAlign w:val="center"/>
          </w:tcPr>
          <w:p w14:paraId="2E6741D0" w14:textId="77777777" w:rsidR="002F53AE" w:rsidRPr="00832773" w:rsidRDefault="002F53AE" w:rsidP="00CE62C1">
            <w:pPr>
              <w:tabs>
                <w:tab w:val="left" w:pos="0"/>
              </w:tabs>
              <w:spacing w:line="276" w:lineRule="auto"/>
              <w:rPr>
                <w:iCs/>
                <w:sz w:val="20"/>
              </w:rPr>
            </w:pPr>
            <w:r w:rsidRPr="004E74A6">
              <w:rPr>
                <w:rFonts w:cs="Arial"/>
                <w:iCs/>
                <w:sz w:val="20"/>
                <w:shd w:val="clear" w:color="auto" w:fill="FFFFFF"/>
              </w:rPr>
              <w:t>1 </w:t>
            </w:r>
            <w:r w:rsidRPr="004E74A6">
              <w:rPr>
                <w:iCs/>
                <w:sz w:val="20"/>
              </w:rPr>
              <w:t>de</w:t>
            </w:r>
            <w:r w:rsidRPr="004E74A6">
              <w:rPr>
                <w:rFonts w:cs="Arial"/>
                <w:iCs/>
                <w:sz w:val="20"/>
                <w:shd w:val="clear" w:color="auto" w:fill="FFFFFF"/>
              </w:rPr>
              <w:t> setiembre al 23 </w:t>
            </w:r>
            <w:r w:rsidRPr="004E74A6">
              <w:rPr>
                <w:iCs/>
                <w:sz w:val="20"/>
              </w:rPr>
              <w:t>de</w:t>
            </w:r>
            <w:r w:rsidRPr="004E74A6">
              <w:rPr>
                <w:rFonts w:cs="Arial"/>
                <w:iCs/>
                <w:sz w:val="20"/>
                <w:shd w:val="clear" w:color="auto" w:fill="FFFFFF"/>
              </w:rPr>
              <w:t> diciembre </w:t>
            </w:r>
            <w:r w:rsidRPr="004E74A6">
              <w:rPr>
                <w:iCs/>
                <w:sz w:val="20"/>
              </w:rPr>
              <w:t>de</w:t>
            </w:r>
            <w:r w:rsidRPr="004E74A6">
              <w:rPr>
                <w:rFonts w:cs="Arial"/>
                <w:iCs/>
                <w:sz w:val="20"/>
                <w:shd w:val="clear" w:color="auto" w:fill="FFFFFF"/>
              </w:rPr>
              <w:t> 2016.</w:t>
            </w:r>
          </w:p>
        </w:tc>
        <w:tc>
          <w:tcPr>
            <w:tcW w:w="1250" w:type="pct"/>
            <w:shd w:val="clear" w:color="auto" w:fill="auto"/>
            <w:vAlign w:val="center"/>
          </w:tcPr>
          <w:p w14:paraId="4A548A33" w14:textId="77777777" w:rsidR="002F53AE" w:rsidRPr="00832773" w:rsidRDefault="002F53AE" w:rsidP="00CE62C1">
            <w:pPr>
              <w:tabs>
                <w:tab w:val="left" w:pos="0"/>
              </w:tabs>
              <w:spacing w:line="276" w:lineRule="auto"/>
              <w:rPr>
                <w:iCs/>
                <w:sz w:val="20"/>
              </w:rPr>
            </w:pPr>
            <w:r w:rsidRPr="00832773">
              <w:rPr>
                <w:iCs/>
                <w:sz w:val="20"/>
              </w:rPr>
              <w:t>1 plaza de Profesional en Derecho 3B (plaza 102120).</w:t>
            </w:r>
          </w:p>
        </w:tc>
        <w:tc>
          <w:tcPr>
            <w:tcW w:w="1250" w:type="pct"/>
            <w:vMerge w:val="restart"/>
            <w:shd w:val="clear" w:color="auto" w:fill="auto"/>
            <w:vAlign w:val="center"/>
          </w:tcPr>
          <w:p w14:paraId="2846A4DD" w14:textId="77777777" w:rsidR="002F53AE" w:rsidRPr="00832773" w:rsidRDefault="002F53AE" w:rsidP="00CE62C1">
            <w:pPr>
              <w:tabs>
                <w:tab w:val="left" w:pos="0"/>
              </w:tabs>
              <w:spacing w:line="276" w:lineRule="auto"/>
              <w:rPr>
                <w:iCs/>
                <w:sz w:val="20"/>
              </w:rPr>
            </w:pPr>
            <w:r w:rsidRPr="004E74A6">
              <w:rPr>
                <w:rFonts w:cs="Arial"/>
                <w:iCs/>
                <w:sz w:val="20"/>
                <w:shd w:val="clear" w:color="auto" w:fill="FFFFFF"/>
              </w:rPr>
              <w:t>Disminución del circulante </w:t>
            </w:r>
            <w:r w:rsidRPr="004E74A6">
              <w:rPr>
                <w:iCs/>
                <w:sz w:val="20"/>
              </w:rPr>
              <w:t>de</w:t>
            </w:r>
            <w:r w:rsidRPr="004E74A6">
              <w:rPr>
                <w:rFonts w:cs="Arial"/>
                <w:iCs/>
                <w:sz w:val="20"/>
                <w:shd w:val="clear" w:color="auto" w:fill="FFFFFF"/>
              </w:rPr>
              <w:t> recursos </w:t>
            </w:r>
            <w:r w:rsidRPr="004E74A6">
              <w:rPr>
                <w:iCs/>
                <w:sz w:val="20"/>
              </w:rPr>
              <w:t>de</w:t>
            </w:r>
            <w:r w:rsidRPr="004E74A6">
              <w:rPr>
                <w:rFonts w:cs="Arial"/>
                <w:iCs/>
                <w:sz w:val="20"/>
                <w:shd w:val="clear" w:color="auto" w:fill="FFFFFF"/>
              </w:rPr>
              <w:t> casación en fase </w:t>
            </w:r>
            <w:r w:rsidRPr="004E74A6">
              <w:rPr>
                <w:iCs/>
                <w:sz w:val="20"/>
              </w:rPr>
              <w:t>de</w:t>
            </w:r>
            <w:r w:rsidRPr="004E74A6">
              <w:rPr>
                <w:rFonts w:cs="Arial"/>
                <w:iCs/>
                <w:sz w:val="20"/>
                <w:shd w:val="clear" w:color="auto" w:fill="FFFFFF"/>
              </w:rPr>
              <w:t> admisión, así como, </w:t>
            </w:r>
            <w:r w:rsidRPr="004E74A6">
              <w:rPr>
                <w:iCs/>
                <w:sz w:val="20"/>
              </w:rPr>
              <w:t>con</w:t>
            </w:r>
            <w:r w:rsidRPr="004E74A6">
              <w:rPr>
                <w:rFonts w:cs="Arial"/>
                <w:iCs/>
                <w:sz w:val="20"/>
                <w:shd w:val="clear" w:color="auto" w:fill="FFFFFF"/>
              </w:rPr>
              <w:t> el proceso </w:t>
            </w:r>
            <w:r w:rsidRPr="004E74A6">
              <w:rPr>
                <w:iCs/>
                <w:sz w:val="20"/>
              </w:rPr>
              <w:t>de</w:t>
            </w:r>
            <w:r w:rsidRPr="004E74A6">
              <w:rPr>
                <w:rFonts w:cs="Arial"/>
                <w:iCs/>
                <w:sz w:val="20"/>
                <w:shd w:val="clear" w:color="auto" w:fill="FFFFFF"/>
              </w:rPr>
              <w:t> la entrada en vigencia del nuevo Código Procesal Civil. </w:t>
            </w:r>
          </w:p>
        </w:tc>
        <w:tc>
          <w:tcPr>
            <w:tcW w:w="1250" w:type="pct"/>
            <w:shd w:val="clear" w:color="auto" w:fill="auto"/>
            <w:vAlign w:val="center"/>
          </w:tcPr>
          <w:p w14:paraId="392F8010" w14:textId="77777777" w:rsidR="002F53AE" w:rsidRPr="00832773" w:rsidRDefault="002F53AE" w:rsidP="00CE62C1">
            <w:pPr>
              <w:tabs>
                <w:tab w:val="left" w:pos="0"/>
              </w:tabs>
              <w:spacing w:line="276" w:lineRule="auto"/>
              <w:rPr>
                <w:iCs/>
                <w:sz w:val="20"/>
              </w:rPr>
            </w:pPr>
            <w:r w:rsidRPr="004E74A6">
              <w:rPr>
                <w:rFonts w:cs="Arial"/>
                <w:iCs/>
                <w:sz w:val="20"/>
                <w:shd w:val="clear" w:color="auto" w:fill="FFFFFF"/>
              </w:rPr>
              <w:t>83-16 celebrada el 6 </w:t>
            </w:r>
            <w:r w:rsidRPr="004E74A6">
              <w:rPr>
                <w:iCs/>
                <w:sz w:val="20"/>
              </w:rPr>
              <w:t>de</w:t>
            </w:r>
            <w:r w:rsidRPr="004E74A6">
              <w:rPr>
                <w:rFonts w:cs="Arial"/>
                <w:iCs/>
                <w:sz w:val="20"/>
                <w:shd w:val="clear" w:color="auto" w:fill="FFFFFF"/>
              </w:rPr>
              <w:t> setiembre del 2016, artículo X.</w:t>
            </w:r>
          </w:p>
        </w:tc>
      </w:tr>
      <w:tr w:rsidR="002F53AE" w:rsidRPr="004E74A6" w14:paraId="47E4DE81" w14:textId="77777777" w:rsidTr="002F53AE">
        <w:trPr>
          <w:trHeight w:val="303"/>
          <w:jc w:val="center"/>
        </w:trPr>
        <w:tc>
          <w:tcPr>
            <w:tcW w:w="1250" w:type="pct"/>
            <w:shd w:val="clear" w:color="auto" w:fill="auto"/>
            <w:vAlign w:val="center"/>
          </w:tcPr>
          <w:p w14:paraId="2834999B" w14:textId="77777777" w:rsidR="002F53AE" w:rsidRPr="004E74A6" w:rsidRDefault="002F53AE" w:rsidP="00CE62C1">
            <w:pPr>
              <w:tabs>
                <w:tab w:val="left" w:pos="0"/>
              </w:tabs>
              <w:spacing w:line="276" w:lineRule="auto"/>
              <w:rPr>
                <w:rFonts w:cs="Arial"/>
                <w:iCs/>
                <w:sz w:val="20"/>
                <w:shd w:val="clear" w:color="auto" w:fill="FFFFFF"/>
              </w:rPr>
            </w:pPr>
            <w:r w:rsidRPr="004E74A6">
              <w:rPr>
                <w:rFonts w:cs="Arial"/>
                <w:iCs/>
                <w:sz w:val="20"/>
                <w:shd w:val="clear" w:color="auto" w:fill="FFFFFF"/>
              </w:rPr>
              <w:t>Todo 2017.</w:t>
            </w:r>
          </w:p>
        </w:tc>
        <w:tc>
          <w:tcPr>
            <w:tcW w:w="1250" w:type="pct"/>
            <w:shd w:val="clear" w:color="auto" w:fill="auto"/>
            <w:vAlign w:val="center"/>
          </w:tcPr>
          <w:p w14:paraId="04F58795" w14:textId="77777777" w:rsidR="002F53AE" w:rsidRPr="00832773" w:rsidRDefault="002F53AE" w:rsidP="00CE62C1">
            <w:pPr>
              <w:tabs>
                <w:tab w:val="left" w:pos="0"/>
              </w:tabs>
              <w:spacing w:line="276" w:lineRule="auto"/>
              <w:rPr>
                <w:iCs/>
                <w:sz w:val="20"/>
              </w:rPr>
            </w:pPr>
            <w:r w:rsidRPr="00832773">
              <w:rPr>
                <w:iCs/>
                <w:sz w:val="20"/>
              </w:rPr>
              <w:t>1 plaza de Profesional en Derecho 3B (plaza 102120).</w:t>
            </w:r>
          </w:p>
        </w:tc>
        <w:tc>
          <w:tcPr>
            <w:tcW w:w="1250" w:type="pct"/>
            <w:vMerge/>
            <w:shd w:val="clear" w:color="auto" w:fill="auto"/>
            <w:vAlign w:val="center"/>
          </w:tcPr>
          <w:p w14:paraId="5A5F226A" w14:textId="77777777" w:rsidR="002F53AE" w:rsidRPr="004E74A6" w:rsidRDefault="002F53AE" w:rsidP="00CE62C1">
            <w:pPr>
              <w:tabs>
                <w:tab w:val="left" w:pos="0"/>
              </w:tabs>
              <w:spacing w:line="276" w:lineRule="auto"/>
              <w:rPr>
                <w:rFonts w:cs="Arial"/>
                <w:iCs/>
                <w:sz w:val="20"/>
                <w:shd w:val="clear" w:color="auto" w:fill="FFFFFF"/>
              </w:rPr>
            </w:pPr>
          </w:p>
        </w:tc>
        <w:tc>
          <w:tcPr>
            <w:tcW w:w="1250" w:type="pct"/>
            <w:shd w:val="clear" w:color="auto" w:fill="auto"/>
            <w:vAlign w:val="center"/>
          </w:tcPr>
          <w:p w14:paraId="0EB81AB2" w14:textId="77777777" w:rsidR="002F53AE" w:rsidRPr="004E74A6" w:rsidRDefault="002F53AE" w:rsidP="00CE62C1">
            <w:pPr>
              <w:tabs>
                <w:tab w:val="left" w:pos="0"/>
              </w:tabs>
              <w:spacing w:line="276" w:lineRule="auto"/>
              <w:rPr>
                <w:rFonts w:cs="Arial"/>
                <w:iCs/>
                <w:sz w:val="20"/>
                <w:shd w:val="clear" w:color="auto" w:fill="FFFFFF"/>
              </w:rPr>
            </w:pPr>
            <w:r w:rsidRPr="004E74A6">
              <w:rPr>
                <w:rFonts w:cs="Arial"/>
                <w:iCs/>
                <w:sz w:val="20"/>
                <w:shd w:val="clear" w:color="auto" w:fill="FFFFFF"/>
              </w:rPr>
              <w:t>1-17 celebrada el 10 de enero del 2017, artículo LXXXIII, 32-17 celebrada el 04 de abril de 2017, artículo XLIX, 63-17 celebrada el 4 de julio del 2017, artículo XCV y 93-17 celebrada el 10 de octubre del 2017, artículo LXXV.</w:t>
            </w:r>
          </w:p>
        </w:tc>
      </w:tr>
      <w:tr w:rsidR="002F53AE" w:rsidRPr="004E74A6" w14:paraId="18E60FE6" w14:textId="77777777" w:rsidTr="002F53AE">
        <w:trPr>
          <w:trHeight w:val="292"/>
          <w:jc w:val="center"/>
        </w:trPr>
        <w:tc>
          <w:tcPr>
            <w:tcW w:w="1250" w:type="pct"/>
            <w:shd w:val="clear" w:color="auto" w:fill="auto"/>
            <w:vAlign w:val="center"/>
          </w:tcPr>
          <w:p w14:paraId="3238CB6A" w14:textId="77777777" w:rsidR="002F53AE" w:rsidRPr="00832773" w:rsidRDefault="002F53AE" w:rsidP="00CE62C1">
            <w:pPr>
              <w:tabs>
                <w:tab w:val="left" w:pos="0"/>
              </w:tabs>
              <w:spacing w:line="276" w:lineRule="auto"/>
              <w:rPr>
                <w:iCs/>
                <w:sz w:val="20"/>
              </w:rPr>
            </w:pPr>
            <w:r w:rsidRPr="004E74A6">
              <w:rPr>
                <w:rFonts w:cs="Arial"/>
                <w:iCs/>
                <w:sz w:val="20"/>
                <w:shd w:val="clear" w:color="auto" w:fill="FFFFFF"/>
              </w:rPr>
              <w:t>Todo 2018.</w:t>
            </w:r>
          </w:p>
        </w:tc>
        <w:tc>
          <w:tcPr>
            <w:tcW w:w="1250" w:type="pct"/>
            <w:shd w:val="clear" w:color="auto" w:fill="auto"/>
            <w:vAlign w:val="center"/>
          </w:tcPr>
          <w:p w14:paraId="47E05F19" w14:textId="77777777" w:rsidR="002F53AE" w:rsidRPr="00832773" w:rsidRDefault="002F53AE" w:rsidP="00CE62C1">
            <w:pPr>
              <w:tabs>
                <w:tab w:val="left" w:pos="0"/>
              </w:tabs>
              <w:spacing w:line="276" w:lineRule="auto"/>
              <w:rPr>
                <w:iCs/>
                <w:sz w:val="20"/>
              </w:rPr>
            </w:pPr>
            <w:r w:rsidRPr="00832773">
              <w:rPr>
                <w:iCs/>
                <w:sz w:val="20"/>
              </w:rPr>
              <w:t>1 plaza de Profesional en Derecho 3B (363453).</w:t>
            </w:r>
          </w:p>
        </w:tc>
        <w:tc>
          <w:tcPr>
            <w:tcW w:w="1250" w:type="pct"/>
            <w:shd w:val="clear" w:color="auto" w:fill="auto"/>
            <w:vAlign w:val="center"/>
          </w:tcPr>
          <w:p w14:paraId="05AD27C3" w14:textId="77777777" w:rsidR="002F53AE" w:rsidRPr="00832773" w:rsidRDefault="002F53AE" w:rsidP="00CE62C1">
            <w:pPr>
              <w:tabs>
                <w:tab w:val="left" w:pos="0"/>
              </w:tabs>
              <w:spacing w:line="276" w:lineRule="auto"/>
              <w:rPr>
                <w:iCs/>
                <w:sz w:val="20"/>
              </w:rPr>
            </w:pPr>
            <w:r w:rsidRPr="004E74A6">
              <w:rPr>
                <w:rFonts w:cs="Arial"/>
                <w:iCs/>
                <w:sz w:val="20"/>
                <w:shd w:val="clear" w:color="auto" w:fill="FFFFFF"/>
              </w:rPr>
              <w:t>Redacción </w:t>
            </w:r>
            <w:r w:rsidRPr="004E74A6">
              <w:rPr>
                <w:iCs/>
                <w:sz w:val="20"/>
              </w:rPr>
              <w:t>de</w:t>
            </w:r>
            <w:r w:rsidRPr="004E74A6">
              <w:rPr>
                <w:rFonts w:cs="Arial"/>
                <w:iCs/>
                <w:sz w:val="20"/>
                <w:shd w:val="clear" w:color="auto" w:fill="FFFFFF"/>
              </w:rPr>
              <w:t> proyectos </w:t>
            </w:r>
            <w:r w:rsidRPr="004E74A6">
              <w:rPr>
                <w:iCs/>
                <w:sz w:val="20"/>
              </w:rPr>
              <w:t>de</w:t>
            </w:r>
            <w:r w:rsidRPr="004E74A6">
              <w:rPr>
                <w:rFonts w:cs="Arial"/>
                <w:iCs/>
                <w:sz w:val="20"/>
                <w:shd w:val="clear" w:color="auto" w:fill="FFFFFF"/>
              </w:rPr>
              <w:t> competencia.</w:t>
            </w:r>
          </w:p>
        </w:tc>
        <w:tc>
          <w:tcPr>
            <w:tcW w:w="1250" w:type="pct"/>
            <w:shd w:val="clear" w:color="auto" w:fill="auto"/>
            <w:vAlign w:val="center"/>
          </w:tcPr>
          <w:p w14:paraId="5EDB29F9" w14:textId="77777777" w:rsidR="002F53AE" w:rsidRPr="00832773" w:rsidRDefault="002F53AE" w:rsidP="00CE62C1">
            <w:pPr>
              <w:tabs>
                <w:tab w:val="left" w:pos="0"/>
              </w:tabs>
              <w:spacing w:line="276" w:lineRule="auto"/>
              <w:rPr>
                <w:iCs/>
                <w:sz w:val="20"/>
              </w:rPr>
            </w:pPr>
            <w:r w:rsidRPr="004E74A6">
              <w:rPr>
                <w:rFonts w:cs="Arial"/>
                <w:iCs/>
                <w:sz w:val="20"/>
                <w:shd w:val="clear" w:color="auto" w:fill="FFFFFF"/>
              </w:rPr>
              <w:t>14-17 celebrada el 21 </w:t>
            </w:r>
            <w:r w:rsidRPr="004E74A6">
              <w:rPr>
                <w:iCs/>
                <w:sz w:val="20"/>
              </w:rPr>
              <w:t>de</w:t>
            </w:r>
            <w:r w:rsidRPr="004E74A6">
              <w:rPr>
                <w:rFonts w:cs="Arial"/>
                <w:iCs/>
                <w:sz w:val="20"/>
                <w:shd w:val="clear" w:color="auto" w:fill="FFFFFF"/>
              </w:rPr>
              <w:t> diciembre </w:t>
            </w:r>
            <w:r w:rsidRPr="004E74A6">
              <w:rPr>
                <w:iCs/>
                <w:sz w:val="20"/>
              </w:rPr>
              <w:t>de</w:t>
            </w:r>
            <w:r w:rsidRPr="004E74A6">
              <w:rPr>
                <w:rFonts w:cs="Arial"/>
                <w:iCs/>
                <w:sz w:val="20"/>
                <w:shd w:val="clear" w:color="auto" w:fill="FFFFFF"/>
              </w:rPr>
              <w:t xml:space="preserve"> 2017, artículo CXXIV, </w:t>
            </w:r>
            <w:r w:rsidRPr="004E74A6">
              <w:rPr>
                <w:rFonts w:cs="Arial"/>
                <w:iCs/>
                <w:sz w:val="20"/>
                <w:shd w:val="clear" w:color="auto" w:fill="FFFFFF"/>
              </w:rPr>
              <w:lastRenderedPageBreak/>
              <w:t>sesión 29-18 celebrada el 12 </w:t>
            </w:r>
            <w:r w:rsidRPr="004E74A6">
              <w:rPr>
                <w:iCs/>
                <w:sz w:val="20"/>
              </w:rPr>
              <w:t>de</w:t>
            </w:r>
            <w:r w:rsidRPr="004E74A6">
              <w:rPr>
                <w:rFonts w:cs="Arial"/>
                <w:iCs/>
                <w:sz w:val="20"/>
                <w:shd w:val="clear" w:color="auto" w:fill="FFFFFF"/>
              </w:rPr>
              <w:t> abril </w:t>
            </w:r>
            <w:r w:rsidRPr="004E74A6">
              <w:rPr>
                <w:iCs/>
                <w:sz w:val="20"/>
              </w:rPr>
              <w:t>de</w:t>
            </w:r>
            <w:r w:rsidRPr="004E74A6">
              <w:rPr>
                <w:rFonts w:cs="Arial"/>
                <w:iCs/>
                <w:sz w:val="20"/>
                <w:shd w:val="clear" w:color="auto" w:fill="FFFFFF"/>
              </w:rPr>
              <w:t> 2018, artículo XLIII y 57-18 celebrada el 26 </w:t>
            </w:r>
            <w:r w:rsidRPr="004E74A6">
              <w:rPr>
                <w:iCs/>
                <w:sz w:val="20"/>
              </w:rPr>
              <w:t>de</w:t>
            </w:r>
            <w:r w:rsidRPr="004E74A6">
              <w:rPr>
                <w:rFonts w:cs="Arial"/>
                <w:iCs/>
                <w:sz w:val="20"/>
                <w:shd w:val="clear" w:color="auto" w:fill="FFFFFF"/>
              </w:rPr>
              <w:t> junio </w:t>
            </w:r>
            <w:r w:rsidRPr="004E74A6">
              <w:rPr>
                <w:iCs/>
                <w:sz w:val="20"/>
              </w:rPr>
              <w:t>de</w:t>
            </w:r>
            <w:r w:rsidRPr="004E74A6">
              <w:rPr>
                <w:rFonts w:cs="Arial"/>
                <w:iCs/>
                <w:sz w:val="20"/>
                <w:shd w:val="clear" w:color="auto" w:fill="FFFFFF"/>
              </w:rPr>
              <w:t> 2018, artículo XXII.</w:t>
            </w:r>
          </w:p>
        </w:tc>
      </w:tr>
      <w:tr w:rsidR="002F53AE" w:rsidRPr="004E74A6" w14:paraId="61DA47E7" w14:textId="77777777" w:rsidTr="002F53AE">
        <w:trPr>
          <w:trHeight w:val="303"/>
          <w:jc w:val="center"/>
        </w:trPr>
        <w:tc>
          <w:tcPr>
            <w:tcW w:w="1250" w:type="pct"/>
            <w:shd w:val="clear" w:color="auto" w:fill="auto"/>
            <w:vAlign w:val="center"/>
          </w:tcPr>
          <w:p w14:paraId="4CFCA73F" w14:textId="77777777" w:rsidR="002F53AE" w:rsidRPr="00832773" w:rsidRDefault="002F53AE" w:rsidP="00CE62C1">
            <w:pPr>
              <w:tabs>
                <w:tab w:val="left" w:pos="0"/>
              </w:tabs>
              <w:spacing w:line="276" w:lineRule="auto"/>
              <w:rPr>
                <w:iCs/>
                <w:sz w:val="20"/>
              </w:rPr>
            </w:pPr>
            <w:r w:rsidRPr="004E74A6">
              <w:rPr>
                <w:rFonts w:cs="Arial"/>
                <w:iCs/>
                <w:sz w:val="20"/>
                <w:shd w:val="clear" w:color="auto" w:fill="FFFFFF"/>
              </w:rPr>
              <w:lastRenderedPageBreak/>
              <w:t>Todo el 2018.</w:t>
            </w:r>
          </w:p>
        </w:tc>
        <w:tc>
          <w:tcPr>
            <w:tcW w:w="1250" w:type="pct"/>
            <w:shd w:val="clear" w:color="auto" w:fill="auto"/>
            <w:vAlign w:val="center"/>
          </w:tcPr>
          <w:p w14:paraId="13A8FAAD" w14:textId="77777777" w:rsidR="002F53AE" w:rsidRPr="00832773" w:rsidRDefault="002F53AE" w:rsidP="00CE62C1">
            <w:pPr>
              <w:tabs>
                <w:tab w:val="left" w:pos="0"/>
              </w:tabs>
              <w:spacing w:line="276" w:lineRule="auto"/>
              <w:rPr>
                <w:iCs/>
                <w:sz w:val="20"/>
              </w:rPr>
            </w:pPr>
            <w:r w:rsidRPr="00832773">
              <w:rPr>
                <w:iCs/>
                <w:sz w:val="20"/>
              </w:rPr>
              <w:t>1 plaza de Profesional en Derecho 3B (102120).</w:t>
            </w:r>
          </w:p>
        </w:tc>
        <w:tc>
          <w:tcPr>
            <w:tcW w:w="1250" w:type="pct"/>
            <w:shd w:val="clear" w:color="auto" w:fill="auto"/>
            <w:vAlign w:val="center"/>
          </w:tcPr>
          <w:p w14:paraId="54A569B5" w14:textId="77777777" w:rsidR="002F53AE" w:rsidRPr="00832773" w:rsidRDefault="002F53AE" w:rsidP="00CE62C1">
            <w:pPr>
              <w:tabs>
                <w:tab w:val="left" w:pos="0"/>
              </w:tabs>
              <w:spacing w:line="276" w:lineRule="auto"/>
              <w:rPr>
                <w:iCs/>
                <w:sz w:val="20"/>
              </w:rPr>
            </w:pPr>
            <w:r w:rsidRPr="00832773">
              <w:rPr>
                <w:iCs/>
                <w:sz w:val="20"/>
              </w:rPr>
              <w:t>Reducción circulante por el nuevo CPC.</w:t>
            </w:r>
          </w:p>
        </w:tc>
        <w:tc>
          <w:tcPr>
            <w:tcW w:w="1250" w:type="pct"/>
            <w:shd w:val="clear" w:color="auto" w:fill="auto"/>
            <w:vAlign w:val="center"/>
          </w:tcPr>
          <w:p w14:paraId="68D51AB2" w14:textId="77777777" w:rsidR="002F53AE" w:rsidRPr="00832773" w:rsidRDefault="002F53AE" w:rsidP="00CE62C1">
            <w:pPr>
              <w:keepNext/>
              <w:widowControl w:val="0"/>
              <w:shd w:val="clear" w:color="auto" w:fill="FFFFFF"/>
              <w:autoSpaceDE w:val="0"/>
              <w:autoSpaceDN w:val="0"/>
              <w:adjustRightInd w:val="0"/>
              <w:spacing w:line="276" w:lineRule="auto"/>
              <w:outlineLvl w:val="1"/>
              <w:rPr>
                <w:rFonts w:cs="Arial"/>
                <w:iCs/>
                <w:sz w:val="20"/>
                <w:shd w:val="clear" w:color="auto" w:fill="FFFFFF"/>
              </w:rPr>
            </w:pPr>
            <w:r w:rsidRPr="00832773">
              <w:rPr>
                <w:rFonts w:cs="Arial"/>
                <w:iCs/>
                <w:sz w:val="20"/>
                <w:shd w:val="clear" w:color="auto" w:fill="FFFFFF"/>
              </w:rPr>
              <w:t xml:space="preserve">114-17 del 21 de diciembre de 2017, artículo </w:t>
            </w:r>
            <w:r w:rsidRPr="00832773">
              <w:rPr>
                <w:rFonts w:cs="Arial"/>
                <w:iCs/>
                <w:sz w:val="20"/>
              </w:rPr>
              <w:t>CXXVIII,</w:t>
            </w:r>
            <w:r w:rsidRPr="00832773">
              <w:rPr>
                <w:rFonts w:cs="Arial"/>
                <w:iCs/>
                <w:sz w:val="20"/>
                <w:shd w:val="clear" w:color="auto" w:fill="FFFFFF"/>
              </w:rPr>
              <w:t xml:space="preserve"> sesión 29-18 celebrada el 12 </w:t>
            </w:r>
            <w:r w:rsidRPr="00832773">
              <w:rPr>
                <w:rFonts w:cs="Arial"/>
                <w:iCs/>
                <w:sz w:val="20"/>
              </w:rPr>
              <w:t>de</w:t>
            </w:r>
            <w:r w:rsidRPr="00832773">
              <w:rPr>
                <w:rFonts w:cs="Arial"/>
                <w:iCs/>
                <w:sz w:val="20"/>
                <w:shd w:val="clear" w:color="auto" w:fill="FFFFFF"/>
              </w:rPr>
              <w:t> abril </w:t>
            </w:r>
            <w:r w:rsidRPr="00832773">
              <w:rPr>
                <w:rFonts w:cs="Arial"/>
                <w:iCs/>
                <w:sz w:val="20"/>
              </w:rPr>
              <w:t>de</w:t>
            </w:r>
            <w:r w:rsidRPr="00832773">
              <w:rPr>
                <w:rFonts w:cs="Arial"/>
                <w:iCs/>
                <w:sz w:val="20"/>
                <w:shd w:val="clear" w:color="auto" w:fill="FFFFFF"/>
              </w:rPr>
              <w:t> 2018, artículo XLIII y 57-18 celebrada el 26 </w:t>
            </w:r>
            <w:r w:rsidRPr="00832773">
              <w:rPr>
                <w:rFonts w:cs="Arial"/>
                <w:iCs/>
                <w:sz w:val="20"/>
              </w:rPr>
              <w:t>de</w:t>
            </w:r>
            <w:r w:rsidRPr="00832773">
              <w:rPr>
                <w:rFonts w:cs="Arial"/>
                <w:iCs/>
                <w:sz w:val="20"/>
                <w:shd w:val="clear" w:color="auto" w:fill="FFFFFF"/>
              </w:rPr>
              <w:t> junio </w:t>
            </w:r>
            <w:r w:rsidRPr="00832773">
              <w:rPr>
                <w:rFonts w:cs="Arial"/>
                <w:iCs/>
                <w:sz w:val="20"/>
              </w:rPr>
              <w:t>de</w:t>
            </w:r>
            <w:r w:rsidRPr="00832773">
              <w:rPr>
                <w:rFonts w:cs="Arial"/>
                <w:iCs/>
                <w:sz w:val="20"/>
                <w:shd w:val="clear" w:color="auto" w:fill="FFFFFF"/>
              </w:rPr>
              <w:t> 2018, artículo XXII.</w:t>
            </w:r>
          </w:p>
          <w:p w14:paraId="526E059D" w14:textId="77777777" w:rsidR="002F53AE" w:rsidRPr="00832773" w:rsidRDefault="002F53AE" w:rsidP="00CE62C1">
            <w:pPr>
              <w:keepNext/>
              <w:widowControl w:val="0"/>
              <w:shd w:val="clear" w:color="auto" w:fill="FFFFFF"/>
              <w:autoSpaceDE w:val="0"/>
              <w:autoSpaceDN w:val="0"/>
              <w:adjustRightInd w:val="0"/>
              <w:spacing w:line="276" w:lineRule="auto"/>
              <w:outlineLvl w:val="1"/>
              <w:rPr>
                <w:rFonts w:cs="Arial"/>
                <w:iCs/>
                <w:sz w:val="20"/>
              </w:rPr>
            </w:pPr>
          </w:p>
        </w:tc>
      </w:tr>
      <w:tr w:rsidR="002F53AE" w:rsidRPr="004E74A6" w14:paraId="1CB3379E" w14:textId="77777777" w:rsidTr="002F53AE">
        <w:trPr>
          <w:trHeight w:val="292"/>
          <w:jc w:val="center"/>
        </w:trPr>
        <w:tc>
          <w:tcPr>
            <w:tcW w:w="1250" w:type="pct"/>
            <w:shd w:val="clear" w:color="auto" w:fill="auto"/>
            <w:vAlign w:val="center"/>
          </w:tcPr>
          <w:p w14:paraId="0E054A07" w14:textId="77777777" w:rsidR="002F53AE" w:rsidRPr="00832773" w:rsidRDefault="002F53AE" w:rsidP="00CE62C1">
            <w:pPr>
              <w:tabs>
                <w:tab w:val="left" w:pos="0"/>
              </w:tabs>
              <w:spacing w:line="276" w:lineRule="auto"/>
              <w:rPr>
                <w:iCs/>
                <w:sz w:val="20"/>
              </w:rPr>
            </w:pPr>
            <w:r w:rsidRPr="004E74A6">
              <w:rPr>
                <w:rFonts w:cs="Arial"/>
                <w:iCs/>
                <w:sz w:val="20"/>
                <w:shd w:val="clear" w:color="auto" w:fill="FFFFFF"/>
              </w:rPr>
              <w:t>16 </w:t>
            </w:r>
            <w:r w:rsidRPr="004E74A6">
              <w:rPr>
                <w:iCs/>
                <w:sz w:val="20"/>
              </w:rPr>
              <w:t>de</w:t>
            </w:r>
            <w:r w:rsidRPr="004E74A6">
              <w:rPr>
                <w:rFonts w:cs="Arial"/>
                <w:iCs/>
                <w:sz w:val="20"/>
                <w:shd w:val="clear" w:color="auto" w:fill="FFFFFF"/>
              </w:rPr>
              <w:t> julio </w:t>
            </w:r>
            <w:r w:rsidRPr="004E74A6">
              <w:rPr>
                <w:iCs/>
                <w:sz w:val="20"/>
              </w:rPr>
              <w:t>al último día laboral del 2018.</w:t>
            </w:r>
          </w:p>
        </w:tc>
        <w:tc>
          <w:tcPr>
            <w:tcW w:w="1250" w:type="pct"/>
            <w:shd w:val="clear" w:color="auto" w:fill="auto"/>
            <w:vAlign w:val="center"/>
          </w:tcPr>
          <w:p w14:paraId="7BF5B19A" w14:textId="77777777" w:rsidR="002F53AE" w:rsidRPr="00832773" w:rsidRDefault="002F53AE" w:rsidP="00CE62C1">
            <w:pPr>
              <w:tabs>
                <w:tab w:val="left" w:pos="0"/>
              </w:tabs>
              <w:spacing w:line="276" w:lineRule="auto"/>
              <w:rPr>
                <w:iCs/>
                <w:sz w:val="20"/>
              </w:rPr>
            </w:pPr>
            <w:r w:rsidRPr="00832773">
              <w:rPr>
                <w:iCs/>
                <w:sz w:val="20"/>
              </w:rPr>
              <w:t>1 Técnico Judicial 3 (42915).</w:t>
            </w:r>
          </w:p>
        </w:tc>
        <w:tc>
          <w:tcPr>
            <w:tcW w:w="1250" w:type="pct"/>
            <w:vMerge w:val="restart"/>
            <w:shd w:val="clear" w:color="auto" w:fill="auto"/>
            <w:vAlign w:val="center"/>
          </w:tcPr>
          <w:p w14:paraId="1BAB5097" w14:textId="77777777" w:rsidR="002F53AE" w:rsidRPr="00832773" w:rsidRDefault="002F53AE" w:rsidP="00CE62C1">
            <w:pPr>
              <w:tabs>
                <w:tab w:val="left" w:pos="0"/>
              </w:tabs>
              <w:spacing w:line="276" w:lineRule="auto"/>
              <w:rPr>
                <w:iCs/>
                <w:sz w:val="20"/>
              </w:rPr>
            </w:pPr>
            <w:r w:rsidRPr="004E74A6">
              <w:rPr>
                <w:rFonts w:cs="Arial"/>
                <w:iCs/>
                <w:sz w:val="20"/>
                <w:shd w:val="clear" w:color="auto" w:fill="FFFFFF"/>
              </w:rPr>
              <w:t>Redacción </w:t>
            </w:r>
            <w:r w:rsidRPr="004E74A6">
              <w:rPr>
                <w:iCs/>
                <w:sz w:val="20"/>
              </w:rPr>
              <w:t>de</w:t>
            </w:r>
            <w:r w:rsidRPr="004E74A6">
              <w:rPr>
                <w:rFonts w:cs="Arial"/>
                <w:iCs/>
                <w:sz w:val="20"/>
                <w:shd w:val="clear" w:color="auto" w:fill="FFFFFF"/>
              </w:rPr>
              <w:t> proyectos </w:t>
            </w:r>
            <w:r w:rsidRPr="004E74A6">
              <w:rPr>
                <w:iCs/>
                <w:sz w:val="20"/>
              </w:rPr>
              <w:t>de</w:t>
            </w:r>
            <w:r w:rsidRPr="004E74A6">
              <w:rPr>
                <w:rFonts w:cs="Arial"/>
                <w:iCs/>
                <w:sz w:val="20"/>
                <w:shd w:val="clear" w:color="auto" w:fill="FFFFFF"/>
              </w:rPr>
              <w:t> conflictos de competencia.</w:t>
            </w:r>
          </w:p>
        </w:tc>
        <w:tc>
          <w:tcPr>
            <w:tcW w:w="1250" w:type="pct"/>
            <w:shd w:val="clear" w:color="auto" w:fill="auto"/>
            <w:vAlign w:val="center"/>
          </w:tcPr>
          <w:p w14:paraId="163F7D36" w14:textId="77777777" w:rsidR="002F53AE" w:rsidRPr="00832773" w:rsidRDefault="002F53AE" w:rsidP="00CE62C1">
            <w:pPr>
              <w:tabs>
                <w:tab w:val="left" w:pos="0"/>
              </w:tabs>
              <w:spacing w:line="276" w:lineRule="auto"/>
              <w:rPr>
                <w:iCs/>
                <w:sz w:val="20"/>
              </w:rPr>
            </w:pPr>
            <w:r w:rsidRPr="004E74A6">
              <w:rPr>
                <w:rFonts w:cs="Arial"/>
                <w:iCs/>
                <w:sz w:val="20"/>
                <w:shd w:val="clear" w:color="auto" w:fill="FFFFFF"/>
              </w:rPr>
              <w:t>57-18 celebrada el 26 </w:t>
            </w:r>
            <w:r w:rsidRPr="004E74A6">
              <w:rPr>
                <w:iCs/>
                <w:sz w:val="20"/>
              </w:rPr>
              <w:t>de</w:t>
            </w:r>
            <w:r w:rsidRPr="004E74A6">
              <w:rPr>
                <w:rFonts w:cs="Arial"/>
                <w:iCs/>
                <w:sz w:val="20"/>
                <w:shd w:val="clear" w:color="auto" w:fill="FFFFFF"/>
              </w:rPr>
              <w:t> junio </w:t>
            </w:r>
            <w:r w:rsidRPr="004E74A6">
              <w:rPr>
                <w:iCs/>
                <w:sz w:val="20"/>
              </w:rPr>
              <w:t>de</w:t>
            </w:r>
            <w:r w:rsidRPr="004E74A6">
              <w:rPr>
                <w:rFonts w:cs="Arial"/>
                <w:iCs/>
                <w:sz w:val="20"/>
                <w:shd w:val="clear" w:color="auto" w:fill="FFFFFF"/>
              </w:rPr>
              <w:t> 2018, artículo XXII.</w:t>
            </w:r>
          </w:p>
        </w:tc>
      </w:tr>
      <w:tr w:rsidR="002F53AE" w:rsidRPr="004E74A6" w14:paraId="549B17D3" w14:textId="77777777" w:rsidTr="002F53AE">
        <w:trPr>
          <w:trHeight w:val="1787"/>
          <w:jc w:val="center"/>
        </w:trPr>
        <w:tc>
          <w:tcPr>
            <w:tcW w:w="1250" w:type="pct"/>
            <w:shd w:val="clear" w:color="auto" w:fill="auto"/>
            <w:vAlign w:val="center"/>
          </w:tcPr>
          <w:p w14:paraId="22696850" w14:textId="77777777" w:rsidR="002F53AE" w:rsidRPr="00832773" w:rsidRDefault="002F53AE" w:rsidP="00CE62C1">
            <w:pPr>
              <w:tabs>
                <w:tab w:val="left" w:pos="0"/>
              </w:tabs>
              <w:spacing w:line="276" w:lineRule="auto"/>
              <w:rPr>
                <w:iCs/>
                <w:sz w:val="20"/>
              </w:rPr>
            </w:pPr>
            <w:r w:rsidRPr="004E74A6">
              <w:rPr>
                <w:rFonts w:cs="Arial"/>
                <w:iCs/>
                <w:sz w:val="20"/>
                <w:shd w:val="clear" w:color="auto" w:fill="FFFFFF"/>
              </w:rPr>
              <w:t>1 de abril al 31 de diciembre de 2019.</w:t>
            </w:r>
          </w:p>
        </w:tc>
        <w:tc>
          <w:tcPr>
            <w:tcW w:w="1250" w:type="pct"/>
            <w:shd w:val="clear" w:color="auto" w:fill="auto"/>
            <w:vAlign w:val="center"/>
          </w:tcPr>
          <w:p w14:paraId="40D39C94" w14:textId="77777777" w:rsidR="002F53AE" w:rsidRPr="00832773" w:rsidRDefault="002F53AE" w:rsidP="00CE62C1">
            <w:pPr>
              <w:tabs>
                <w:tab w:val="left" w:pos="0"/>
              </w:tabs>
              <w:spacing w:line="276" w:lineRule="auto"/>
              <w:rPr>
                <w:iCs/>
                <w:sz w:val="20"/>
              </w:rPr>
            </w:pPr>
            <w:r w:rsidRPr="00832773">
              <w:rPr>
                <w:iCs/>
                <w:sz w:val="20"/>
              </w:rPr>
              <w:t>1 plaza de Profesional en Derecho 3B (363453).</w:t>
            </w:r>
          </w:p>
        </w:tc>
        <w:tc>
          <w:tcPr>
            <w:tcW w:w="1250" w:type="pct"/>
            <w:vMerge/>
            <w:shd w:val="clear" w:color="auto" w:fill="auto"/>
            <w:vAlign w:val="center"/>
          </w:tcPr>
          <w:p w14:paraId="112AB99A" w14:textId="77777777" w:rsidR="002F53AE" w:rsidRPr="00832773" w:rsidRDefault="002F53AE" w:rsidP="00CE62C1">
            <w:pPr>
              <w:tabs>
                <w:tab w:val="left" w:pos="0"/>
              </w:tabs>
              <w:spacing w:line="276" w:lineRule="auto"/>
              <w:rPr>
                <w:iCs/>
                <w:sz w:val="20"/>
              </w:rPr>
            </w:pPr>
          </w:p>
        </w:tc>
        <w:tc>
          <w:tcPr>
            <w:tcW w:w="1250" w:type="pct"/>
            <w:shd w:val="clear" w:color="auto" w:fill="auto"/>
            <w:vAlign w:val="center"/>
          </w:tcPr>
          <w:p w14:paraId="2F1F08A3" w14:textId="77777777" w:rsidR="002F53AE" w:rsidRPr="00832773" w:rsidRDefault="002F53AE" w:rsidP="00CE62C1">
            <w:pPr>
              <w:keepNext/>
              <w:widowControl w:val="0"/>
              <w:shd w:val="clear" w:color="auto" w:fill="FFFFFF"/>
              <w:autoSpaceDE w:val="0"/>
              <w:autoSpaceDN w:val="0"/>
              <w:adjustRightInd w:val="0"/>
              <w:spacing w:after="75" w:line="276" w:lineRule="auto"/>
              <w:outlineLvl w:val="3"/>
              <w:rPr>
                <w:iCs/>
                <w:sz w:val="20"/>
              </w:rPr>
            </w:pPr>
            <w:r w:rsidRPr="00832773">
              <w:rPr>
                <w:rFonts w:cs="Book Antiqua"/>
                <w:iCs/>
                <w:sz w:val="20"/>
              </w:rPr>
              <w:t xml:space="preserve">25-19 del 19 de marzo de 2019, artículo LII, sesión 57-19 del 25 de junio 2019, artículo LIII y 084 - 2019, del 26 de </w:t>
            </w:r>
            <w:r w:rsidRPr="00832773">
              <w:rPr>
                <w:rFonts w:cs="Book Antiqua"/>
                <w:iCs/>
                <w:sz w:val="20"/>
                <w:u w:color="000000"/>
              </w:rPr>
              <w:t>setiembre</w:t>
            </w:r>
            <w:r w:rsidRPr="00832773">
              <w:rPr>
                <w:rFonts w:cs="Book Antiqua"/>
                <w:iCs/>
                <w:sz w:val="20"/>
              </w:rPr>
              <w:t xml:space="preserve"> de 2019, artículo XXXII.</w:t>
            </w:r>
          </w:p>
        </w:tc>
      </w:tr>
      <w:tr w:rsidR="002F53AE" w:rsidRPr="004E74A6" w14:paraId="0543C7F9" w14:textId="77777777" w:rsidTr="002F53AE">
        <w:trPr>
          <w:trHeight w:val="1787"/>
          <w:jc w:val="center"/>
        </w:trPr>
        <w:tc>
          <w:tcPr>
            <w:tcW w:w="1250" w:type="pct"/>
            <w:shd w:val="clear" w:color="auto" w:fill="auto"/>
            <w:vAlign w:val="center"/>
          </w:tcPr>
          <w:p w14:paraId="5CEDE5D9" w14:textId="77777777" w:rsidR="002F53AE" w:rsidRPr="00832773" w:rsidRDefault="002F53AE" w:rsidP="00CE62C1">
            <w:pPr>
              <w:tabs>
                <w:tab w:val="left" w:pos="0"/>
              </w:tabs>
              <w:spacing w:line="276" w:lineRule="auto"/>
              <w:rPr>
                <w:iCs/>
                <w:sz w:val="20"/>
              </w:rPr>
            </w:pPr>
            <w:r w:rsidRPr="004E74A6">
              <w:rPr>
                <w:rFonts w:cs="Arial"/>
                <w:iCs/>
                <w:sz w:val="20"/>
                <w:shd w:val="clear" w:color="auto" w:fill="FFFFFF"/>
              </w:rPr>
              <w:t>1 </w:t>
            </w:r>
            <w:r w:rsidRPr="004E74A6">
              <w:rPr>
                <w:iCs/>
                <w:sz w:val="20"/>
              </w:rPr>
              <w:t>de</w:t>
            </w:r>
            <w:r w:rsidRPr="004E74A6">
              <w:rPr>
                <w:rFonts w:cs="Arial"/>
                <w:iCs/>
                <w:sz w:val="20"/>
                <w:shd w:val="clear" w:color="auto" w:fill="FFFFFF"/>
              </w:rPr>
              <w:t> julio y hasta el 31 de diciembre 2019.</w:t>
            </w:r>
          </w:p>
        </w:tc>
        <w:tc>
          <w:tcPr>
            <w:tcW w:w="1250" w:type="pct"/>
            <w:shd w:val="clear" w:color="auto" w:fill="auto"/>
            <w:vAlign w:val="center"/>
          </w:tcPr>
          <w:p w14:paraId="2D979AC3" w14:textId="77777777" w:rsidR="002F53AE" w:rsidRPr="00832773" w:rsidRDefault="002F53AE" w:rsidP="00CE62C1">
            <w:pPr>
              <w:tabs>
                <w:tab w:val="left" w:pos="0"/>
              </w:tabs>
              <w:spacing w:line="276" w:lineRule="auto"/>
              <w:rPr>
                <w:iCs/>
                <w:sz w:val="20"/>
              </w:rPr>
            </w:pPr>
            <w:r w:rsidRPr="00832773">
              <w:rPr>
                <w:iCs/>
                <w:sz w:val="20"/>
              </w:rPr>
              <w:t>Técnico Judicial 3 (42915).</w:t>
            </w:r>
          </w:p>
        </w:tc>
        <w:tc>
          <w:tcPr>
            <w:tcW w:w="1250" w:type="pct"/>
            <w:vMerge/>
            <w:shd w:val="clear" w:color="auto" w:fill="auto"/>
            <w:vAlign w:val="center"/>
          </w:tcPr>
          <w:p w14:paraId="2C18F804" w14:textId="77777777" w:rsidR="002F53AE" w:rsidRPr="00832773" w:rsidRDefault="002F53AE" w:rsidP="00CE62C1">
            <w:pPr>
              <w:tabs>
                <w:tab w:val="left" w:pos="0"/>
              </w:tabs>
              <w:spacing w:line="276" w:lineRule="auto"/>
              <w:rPr>
                <w:iCs/>
                <w:sz w:val="20"/>
              </w:rPr>
            </w:pPr>
          </w:p>
        </w:tc>
        <w:tc>
          <w:tcPr>
            <w:tcW w:w="1250" w:type="pct"/>
            <w:shd w:val="clear" w:color="auto" w:fill="auto"/>
            <w:vAlign w:val="center"/>
          </w:tcPr>
          <w:p w14:paraId="54EF8EBD" w14:textId="77777777" w:rsidR="002F53AE" w:rsidRPr="00832773" w:rsidRDefault="002F53AE" w:rsidP="00CE62C1">
            <w:pPr>
              <w:tabs>
                <w:tab w:val="left" w:pos="0"/>
              </w:tabs>
              <w:spacing w:line="276" w:lineRule="auto"/>
              <w:rPr>
                <w:iCs/>
                <w:sz w:val="20"/>
              </w:rPr>
            </w:pPr>
            <w:r w:rsidRPr="00832773">
              <w:rPr>
                <w:iCs/>
                <w:sz w:val="20"/>
              </w:rPr>
              <w:t xml:space="preserve">57-19 del 25 de junio 2019, artículo LIII y </w:t>
            </w:r>
            <w:r w:rsidRPr="004E74A6">
              <w:rPr>
                <w:iCs/>
                <w:sz w:val="20"/>
              </w:rPr>
              <w:t>084 - 2019, del 26 de setiembre de 2019, artículo XXXII.</w:t>
            </w:r>
          </w:p>
        </w:tc>
      </w:tr>
      <w:tr w:rsidR="002F53AE" w:rsidRPr="004E74A6" w14:paraId="581619AC" w14:textId="77777777" w:rsidTr="002F53AE">
        <w:trPr>
          <w:trHeight w:val="1787"/>
          <w:jc w:val="center"/>
        </w:trPr>
        <w:tc>
          <w:tcPr>
            <w:tcW w:w="1250" w:type="pct"/>
            <w:shd w:val="clear" w:color="auto" w:fill="auto"/>
            <w:vAlign w:val="center"/>
          </w:tcPr>
          <w:p w14:paraId="145B50BC" w14:textId="77777777" w:rsidR="002F53AE" w:rsidRPr="00832773" w:rsidRDefault="002F53AE" w:rsidP="00CE62C1">
            <w:pPr>
              <w:tabs>
                <w:tab w:val="left" w:pos="0"/>
              </w:tabs>
              <w:spacing w:line="276" w:lineRule="auto"/>
              <w:rPr>
                <w:iCs/>
                <w:sz w:val="20"/>
              </w:rPr>
            </w:pPr>
            <w:r w:rsidRPr="00832773">
              <w:rPr>
                <w:iCs/>
                <w:sz w:val="20"/>
              </w:rPr>
              <w:t>12 de agosto al 20 de diciembre de 2019.</w:t>
            </w:r>
          </w:p>
        </w:tc>
        <w:tc>
          <w:tcPr>
            <w:tcW w:w="1250" w:type="pct"/>
            <w:shd w:val="clear" w:color="auto" w:fill="auto"/>
            <w:vAlign w:val="center"/>
          </w:tcPr>
          <w:p w14:paraId="0E34F565" w14:textId="77777777" w:rsidR="002F53AE" w:rsidRPr="00832773" w:rsidRDefault="002F53AE" w:rsidP="00CE62C1">
            <w:pPr>
              <w:tabs>
                <w:tab w:val="left" w:pos="0"/>
              </w:tabs>
              <w:spacing w:line="276" w:lineRule="auto"/>
              <w:rPr>
                <w:iCs/>
                <w:sz w:val="20"/>
              </w:rPr>
            </w:pPr>
            <w:r w:rsidRPr="00832773">
              <w:rPr>
                <w:iCs/>
                <w:sz w:val="20"/>
              </w:rPr>
              <w:t>5 plazas de Profesional en Derecho 3B (</w:t>
            </w:r>
            <w:r w:rsidRPr="004E74A6">
              <w:rPr>
                <w:rFonts w:cs="Arial"/>
                <w:iCs/>
                <w:sz w:val="20"/>
                <w:shd w:val="clear" w:color="auto" w:fill="FFFFFF"/>
              </w:rPr>
              <w:t>363452, 363454, 369938, 19840 y 109764</w:t>
            </w:r>
            <w:r w:rsidRPr="00832773">
              <w:rPr>
                <w:iCs/>
                <w:sz w:val="20"/>
              </w:rPr>
              <w:t>).</w:t>
            </w:r>
          </w:p>
        </w:tc>
        <w:tc>
          <w:tcPr>
            <w:tcW w:w="1250" w:type="pct"/>
            <w:shd w:val="clear" w:color="auto" w:fill="auto"/>
            <w:vAlign w:val="center"/>
          </w:tcPr>
          <w:p w14:paraId="20B6E6E8" w14:textId="77777777" w:rsidR="002F53AE" w:rsidRPr="00832773" w:rsidRDefault="002F53AE" w:rsidP="00CE62C1">
            <w:pPr>
              <w:tabs>
                <w:tab w:val="left" w:pos="0"/>
              </w:tabs>
              <w:spacing w:line="276" w:lineRule="auto"/>
              <w:rPr>
                <w:iCs/>
                <w:sz w:val="20"/>
              </w:rPr>
            </w:pPr>
            <w:r w:rsidRPr="00832773">
              <w:rPr>
                <w:iCs/>
                <w:sz w:val="20"/>
              </w:rPr>
              <w:t>Reducción de circulante, oficio 1010-PLA-MI-2019.</w:t>
            </w:r>
          </w:p>
        </w:tc>
        <w:tc>
          <w:tcPr>
            <w:tcW w:w="1250" w:type="pct"/>
            <w:shd w:val="clear" w:color="auto" w:fill="auto"/>
            <w:vAlign w:val="center"/>
          </w:tcPr>
          <w:p w14:paraId="23C50323" w14:textId="77777777" w:rsidR="002F53AE" w:rsidRPr="00832773" w:rsidRDefault="002F53AE" w:rsidP="00CE62C1">
            <w:pPr>
              <w:tabs>
                <w:tab w:val="left" w:pos="0"/>
              </w:tabs>
              <w:spacing w:line="276" w:lineRule="auto"/>
              <w:rPr>
                <w:iCs/>
                <w:sz w:val="20"/>
              </w:rPr>
            </w:pPr>
            <w:r w:rsidRPr="004E74A6">
              <w:rPr>
                <w:iCs/>
                <w:sz w:val="20"/>
              </w:rPr>
              <w:t>68-19 celebrada el 01 de agosto del 2019</w:t>
            </w:r>
            <w:bookmarkStart w:id="1" w:name="_Toc15306094"/>
            <w:r w:rsidRPr="004E74A6">
              <w:rPr>
                <w:iCs/>
                <w:sz w:val="20"/>
              </w:rPr>
              <w:t>, artículo XLIII</w:t>
            </w:r>
            <w:bookmarkEnd w:id="1"/>
            <w:r w:rsidRPr="004E74A6">
              <w:rPr>
                <w:iCs/>
                <w:sz w:val="20"/>
              </w:rPr>
              <w:t>.</w:t>
            </w:r>
          </w:p>
        </w:tc>
      </w:tr>
      <w:tr w:rsidR="002F53AE" w:rsidRPr="004E74A6" w14:paraId="45BEBFF5" w14:textId="77777777" w:rsidTr="002F53AE">
        <w:trPr>
          <w:trHeight w:val="1787"/>
          <w:jc w:val="center"/>
        </w:trPr>
        <w:tc>
          <w:tcPr>
            <w:tcW w:w="1250" w:type="pct"/>
            <w:vMerge w:val="restart"/>
            <w:shd w:val="clear" w:color="auto" w:fill="auto"/>
            <w:vAlign w:val="center"/>
          </w:tcPr>
          <w:p w14:paraId="62E3D205" w14:textId="77777777" w:rsidR="002F53AE" w:rsidRPr="00832773" w:rsidRDefault="002F53AE" w:rsidP="00CE62C1">
            <w:pPr>
              <w:tabs>
                <w:tab w:val="left" w:pos="0"/>
              </w:tabs>
              <w:spacing w:line="276" w:lineRule="auto"/>
              <w:rPr>
                <w:iCs/>
                <w:sz w:val="20"/>
              </w:rPr>
            </w:pPr>
            <w:r w:rsidRPr="00832773">
              <w:rPr>
                <w:iCs/>
                <w:sz w:val="20"/>
              </w:rPr>
              <w:lastRenderedPageBreak/>
              <w:t>Enero 2020-setiembre 2021.</w:t>
            </w:r>
          </w:p>
        </w:tc>
        <w:tc>
          <w:tcPr>
            <w:tcW w:w="1250" w:type="pct"/>
            <w:shd w:val="clear" w:color="auto" w:fill="auto"/>
            <w:vAlign w:val="center"/>
          </w:tcPr>
          <w:p w14:paraId="58FCF14B" w14:textId="77777777" w:rsidR="002F53AE" w:rsidRPr="00832773" w:rsidRDefault="002F53AE" w:rsidP="00CE62C1">
            <w:pPr>
              <w:tabs>
                <w:tab w:val="left" w:pos="0"/>
              </w:tabs>
              <w:spacing w:line="276" w:lineRule="auto"/>
              <w:rPr>
                <w:iCs/>
                <w:sz w:val="20"/>
              </w:rPr>
            </w:pPr>
            <w:r w:rsidRPr="00832773">
              <w:rPr>
                <w:iCs/>
                <w:sz w:val="20"/>
              </w:rPr>
              <w:t>2 plazas de Profesional en Derecho 3B.</w:t>
            </w:r>
          </w:p>
        </w:tc>
        <w:tc>
          <w:tcPr>
            <w:tcW w:w="1250" w:type="pct"/>
            <w:shd w:val="clear" w:color="auto" w:fill="auto"/>
            <w:vAlign w:val="center"/>
          </w:tcPr>
          <w:p w14:paraId="7AC19E2A" w14:textId="77777777" w:rsidR="002F53AE" w:rsidRPr="00832773" w:rsidRDefault="002F53AE" w:rsidP="00CE62C1">
            <w:pPr>
              <w:tabs>
                <w:tab w:val="left" w:pos="0"/>
              </w:tabs>
              <w:spacing w:line="276" w:lineRule="auto"/>
              <w:rPr>
                <w:iCs/>
                <w:sz w:val="20"/>
              </w:rPr>
            </w:pPr>
            <w:r w:rsidRPr="00832773">
              <w:rPr>
                <w:iCs/>
                <w:sz w:val="20"/>
              </w:rPr>
              <w:t>Admisibilidad.</w:t>
            </w:r>
          </w:p>
        </w:tc>
        <w:tc>
          <w:tcPr>
            <w:tcW w:w="1250" w:type="pct"/>
            <w:vMerge w:val="restart"/>
            <w:shd w:val="clear" w:color="auto" w:fill="auto"/>
            <w:vAlign w:val="center"/>
          </w:tcPr>
          <w:p w14:paraId="70DD9BE1" w14:textId="77777777" w:rsidR="002F53AE" w:rsidRPr="004E74A6" w:rsidRDefault="002F53AE" w:rsidP="00CE62C1">
            <w:pPr>
              <w:tabs>
                <w:tab w:val="left" w:pos="0"/>
              </w:tabs>
              <w:spacing w:line="276" w:lineRule="auto"/>
              <w:rPr>
                <w:iCs/>
                <w:sz w:val="20"/>
              </w:rPr>
            </w:pPr>
            <w:r w:rsidRPr="004E74A6">
              <w:rPr>
                <w:iCs/>
                <w:sz w:val="20"/>
              </w:rPr>
              <w:t>06-2020 celebrada el 23 de enero de 2020, artículo LIV.</w:t>
            </w:r>
          </w:p>
          <w:p w14:paraId="00B1F2DD" w14:textId="77777777" w:rsidR="002F53AE" w:rsidRPr="004E74A6" w:rsidRDefault="002F53AE" w:rsidP="00CE62C1">
            <w:pPr>
              <w:tabs>
                <w:tab w:val="left" w:pos="0"/>
              </w:tabs>
              <w:spacing w:line="276" w:lineRule="auto"/>
              <w:rPr>
                <w:iCs/>
                <w:sz w:val="20"/>
              </w:rPr>
            </w:pPr>
            <w:r w:rsidRPr="004E74A6">
              <w:rPr>
                <w:iCs/>
                <w:sz w:val="20"/>
              </w:rPr>
              <w:t>Última prórroga aprobada por el Consejo Superior en sesión 53-2021 celebrada el 29 de junio de 2021, artículo LXI.</w:t>
            </w:r>
          </w:p>
        </w:tc>
      </w:tr>
      <w:tr w:rsidR="002F53AE" w:rsidRPr="004E74A6" w14:paraId="715A6E2F" w14:textId="77777777" w:rsidTr="002F53AE">
        <w:trPr>
          <w:trHeight w:val="1787"/>
          <w:jc w:val="center"/>
        </w:trPr>
        <w:tc>
          <w:tcPr>
            <w:tcW w:w="1250" w:type="pct"/>
            <w:vMerge/>
            <w:shd w:val="clear" w:color="auto" w:fill="auto"/>
            <w:vAlign w:val="center"/>
          </w:tcPr>
          <w:p w14:paraId="41D6F245" w14:textId="77777777" w:rsidR="002F53AE" w:rsidRPr="00832773" w:rsidRDefault="002F53AE" w:rsidP="00CE62C1">
            <w:pPr>
              <w:tabs>
                <w:tab w:val="left" w:pos="0"/>
              </w:tabs>
              <w:spacing w:line="276" w:lineRule="auto"/>
              <w:rPr>
                <w:iCs/>
                <w:sz w:val="20"/>
              </w:rPr>
            </w:pPr>
          </w:p>
        </w:tc>
        <w:tc>
          <w:tcPr>
            <w:tcW w:w="1250" w:type="pct"/>
            <w:shd w:val="clear" w:color="auto" w:fill="auto"/>
            <w:vAlign w:val="center"/>
          </w:tcPr>
          <w:p w14:paraId="6E192551" w14:textId="77777777" w:rsidR="002F53AE" w:rsidRPr="00832773" w:rsidRDefault="002F53AE" w:rsidP="00CE62C1">
            <w:pPr>
              <w:tabs>
                <w:tab w:val="left" w:pos="0"/>
              </w:tabs>
              <w:spacing w:line="276" w:lineRule="auto"/>
              <w:rPr>
                <w:iCs/>
                <w:sz w:val="20"/>
              </w:rPr>
            </w:pPr>
            <w:r w:rsidRPr="00832773">
              <w:rPr>
                <w:iCs/>
                <w:sz w:val="20"/>
              </w:rPr>
              <w:t>1 plazas de Profesional en Derecho 3B.</w:t>
            </w:r>
          </w:p>
        </w:tc>
        <w:tc>
          <w:tcPr>
            <w:tcW w:w="1250" w:type="pct"/>
            <w:shd w:val="clear" w:color="auto" w:fill="auto"/>
            <w:vAlign w:val="center"/>
          </w:tcPr>
          <w:p w14:paraId="55B995FA" w14:textId="77777777" w:rsidR="002F53AE" w:rsidRPr="00832773" w:rsidRDefault="002F53AE" w:rsidP="00CE62C1">
            <w:pPr>
              <w:tabs>
                <w:tab w:val="left" w:pos="0"/>
              </w:tabs>
              <w:spacing w:line="276" w:lineRule="auto"/>
              <w:rPr>
                <w:iCs/>
                <w:sz w:val="20"/>
              </w:rPr>
            </w:pPr>
            <w:r w:rsidRPr="00832773">
              <w:rPr>
                <w:iCs/>
                <w:sz w:val="20"/>
              </w:rPr>
              <w:t>Conflictos de competencia</w:t>
            </w:r>
          </w:p>
        </w:tc>
        <w:tc>
          <w:tcPr>
            <w:tcW w:w="1250" w:type="pct"/>
            <w:vMerge/>
            <w:shd w:val="clear" w:color="auto" w:fill="auto"/>
            <w:vAlign w:val="center"/>
          </w:tcPr>
          <w:p w14:paraId="4BBB73E8" w14:textId="77777777" w:rsidR="002F53AE" w:rsidRPr="004E74A6" w:rsidRDefault="002F53AE" w:rsidP="00CE62C1">
            <w:pPr>
              <w:tabs>
                <w:tab w:val="left" w:pos="0"/>
              </w:tabs>
              <w:spacing w:line="276" w:lineRule="auto"/>
              <w:rPr>
                <w:iCs/>
                <w:sz w:val="20"/>
              </w:rPr>
            </w:pPr>
          </w:p>
        </w:tc>
      </w:tr>
      <w:tr w:rsidR="002F53AE" w:rsidRPr="004E74A6" w14:paraId="06024697" w14:textId="77777777" w:rsidTr="002F53AE">
        <w:trPr>
          <w:trHeight w:val="1787"/>
          <w:jc w:val="center"/>
        </w:trPr>
        <w:tc>
          <w:tcPr>
            <w:tcW w:w="1250" w:type="pct"/>
            <w:shd w:val="clear" w:color="auto" w:fill="auto"/>
            <w:vAlign w:val="center"/>
          </w:tcPr>
          <w:p w14:paraId="3541F849" w14:textId="65221D0D" w:rsidR="002F53AE" w:rsidRPr="00832773" w:rsidRDefault="002F53AE" w:rsidP="00CE62C1">
            <w:pPr>
              <w:tabs>
                <w:tab w:val="left" w:pos="0"/>
              </w:tabs>
              <w:spacing w:line="276" w:lineRule="auto"/>
              <w:rPr>
                <w:iCs/>
                <w:sz w:val="20"/>
              </w:rPr>
            </w:pPr>
            <w:r w:rsidRPr="00832773">
              <w:rPr>
                <w:iCs/>
                <w:sz w:val="20"/>
              </w:rPr>
              <w:t>2 de noviembre de 2020 y hasta el 30 de octubre de 202</w:t>
            </w:r>
            <w:r w:rsidR="00A53899" w:rsidRPr="00832773">
              <w:rPr>
                <w:iCs/>
                <w:sz w:val="20"/>
              </w:rPr>
              <w:t>1.</w:t>
            </w:r>
          </w:p>
        </w:tc>
        <w:tc>
          <w:tcPr>
            <w:tcW w:w="1250" w:type="pct"/>
            <w:shd w:val="clear" w:color="auto" w:fill="auto"/>
            <w:vAlign w:val="center"/>
          </w:tcPr>
          <w:p w14:paraId="3EDEE20F" w14:textId="68C164FF" w:rsidR="002F53AE" w:rsidRPr="00832773" w:rsidRDefault="002F53AE" w:rsidP="00CE62C1">
            <w:pPr>
              <w:tabs>
                <w:tab w:val="left" w:pos="0"/>
              </w:tabs>
              <w:spacing w:line="276" w:lineRule="auto"/>
              <w:rPr>
                <w:iCs/>
                <w:sz w:val="20"/>
              </w:rPr>
            </w:pPr>
            <w:r w:rsidRPr="00832773">
              <w:rPr>
                <w:iCs/>
                <w:sz w:val="20"/>
              </w:rPr>
              <w:t>1 plaza de Profesional en Derecho 3B.</w:t>
            </w:r>
          </w:p>
        </w:tc>
        <w:tc>
          <w:tcPr>
            <w:tcW w:w="1250" w:type="pct"/>
            <w:shd w:val="clear" w:color="auto" w:fill="auto"/>
            <w:vAlign w:val="center"/>
          </w:tcPr>
          <w:p w14:paraId="0793359D" w14:textId="77777777" w:rsidR="002F53AE" w:rsidRPr="00832773" w:rsidRDefault="002F53AE" w:rsidP="00CE62C1">
            <w:pPr>
              <w:tabs>
                <w:tab w:val="left" w:pos="0"/>
              </w:tabs>
              <w:spacing w:line="276" w:lineRule="auto"/>
              <w:rPr>
                <w:iCs/>
                <w:sz w:val="20"/>
              </w:rPr>
            </w:pPr>
            <w:r w:rsidRPr="00832773">
              <w:rPr>
                <w:iCs/>
                <w:sz w:val="20"/>
              </w:rPr>
              <w:t>Admisibilidad</w:t>
            </w:r>
          </w:p>
        </w:tc>
        <w:tc>
          <w:tcPr>
            <w:tcW w:w="1250" w:type="pct"/>
            <w:shd w:val="clear" w:color="auto" w:fill="auto"/>
            <w:vAlign w:val="center"/>
          </w:tcPr>
          <w:p w14:paraId="357C8B8C" w14:textId="77777777" w:rsidR="002F53AE" w:rsidRPr="004E74A6" w:rsidRDefault="002F53AE" w:rsidP="00CE62C1">
            <w:pPr>
              <w:tabs>
                <w:tab w:val="left" w:pos="0"/>
              </w:tabs>
              <w:spacing w:line="276" w:lineRule="auto"/>
              <w:rPr>
                <w:iCs/>
                <w:sz w:val="20"/>
              </w:rPr>
            </w:pPr>
            <w:r w:rsidRPr="004E74A6">
              <w:rPr>
                <w:iCs/>
                <w:sz w:val="20"/>
              </w:rPr>
              <w:t>Última prórroga permisos aprobada por Consejo Superior en sesión 53-2021 celebrada el 29 de junio de 2021, artículo LXI.</w:t>
            </w:r>
          </w:p>
        </w:tc>
      </w:tr>
      <w:tr w:rsidR="00E61F94" w:rsidRPr="004E74A6" w14:paraId="7BBD2917" w14:textId="77777777" w:rsidTr="002F53AE">
        <w:trPr>
          <w:trHeight w:val="1787"/>
          <w:jc w:val="center"/>
        </w:trPr>
        <w:tc>
          <w:tcPr>
            <w:tcW w:w="1250" w:type="pct"/>
            <w:shd w:val="clear" w:color="auto" w:fill="auto"/>
            <w:vAlign w:val="center"/>
          </w:tcPr>
          <w:p w14:paraId="205AC255" w14:textId="3BDE531A" w:rsidR="00E61F94" w:rsidRPr="00832773" w:rsidRDefault="00E61F94" w:rsidP="00CE62C1">
            <w:pPr>
              <w:tabs>
                <w:tab w:val="left" w:pos="0"/>
              </w:tabs>
              <w:spacing w:line="276" w:lineRule="auto"/>
              <w:rPr>
                <w:iCs/>
                <w:sz w:val="20"/>
              </w:rPr>
            </w:pPr>
            <w:r w:rsidRPr="00832773">
              <w:rPr>
                <w:iCs/>
                <w:sz w:val="20"/>
              </w:rPr>
              <w:t>4 de noviembre 2020 al 30 de junio 2022</w:t>
            </w:r>
            <w:r w:rsidR="00691017" w:rsidRPr="00832773">
              <w:rPr>
                <w:iCs/>
                <w:sz w:val="20"/>
              </w:rPr>
              <w:t>. Y del 1 de julio al 30 de junio 2023</w:t>
            </w:r>
          </w:p>
        </w:tc>
        <w:tc>
          <w:tcPr>
            <w:tcW w:w="1250" w:type="pct"/>
            <w:shd w:val="clear" w:color="auto" w:fill="auto"/>
            <w:vAlign w:val="center"/>
          </w:tcPr>
          <w:p w14:paraId="54DE088D" w14:textId="77777777" w:rsidR="00E61F94" w:rsidRPr="00832773" w:rsidRDefault="00E61F94" w:rsidP="00CE62C1">
            <w:pPr>
              <w:tabs>
                <w:tab w:val="left" w:pos="0"/>
              </w:tabs>
              <w:spacing w:line="276" w:lineRule="auto"/>
              <w:rPr>
                <w:iCs/>
                <w:sz w:val="20"/>
              </w:rPr>
            </w:pPr>
            <w:r w:rsidRPr="00832773">
              <w:rPr>
                <w:iCs/>
                <w:sz w:val="20"/>
              </w:rPr>
              <w:t>1 plaza de Profesional en Derecho 3B.</w:t>
            </w:r>
          </w:p>
        </w:tc>
        <w:tc>
          <w:tcPr>
            <w:tcW w:w="1250" w:type="pct"/>
            <w:shd w:val="clear" w:color="auto" w:fill="auto"/>
            <w:vAlign w:val="center"/>
          </w:tcPr>
          <w:p w14:paraId="64FAE29C" w14:textId="77777777" w:rsidR="00E61F94" w:rsidRPr="00832773" w:rsidRDefault="00E61F94" w:rsidP="00CE62C1">
            <w:pPr>
              <w:tabs>
                <w:tab w:val="left" w:pos="0"/>
              </w:tabs>
              <w:spacing w:line="276" w:lineRule="auto"/>
              <w:rPr>
                <w:iCs/>
                <w:sz w:val="20"/>
              </w:rPr>
            </w:pPr>
            <w:r w:rsidRPr="00832773">
              <w:rPr>
                <w:iCs/>
                <w:sz w:val="20"/>
              </w:rPr>
              <w:t>Admisibilidad</w:t>
            </w:r>
          </w:p>
        </w:tc>
        <w:tc>
          <w:tcPr>
            <w:tcW w:w="1250" w:type="pct"/>
            <w:shd w:val="clear" w:color="auto" w:fill="auto"/>
            <w:vAlign w:val="center"/>
          </w:tcPr>
          <w:p w14:paraId="2FE63641" w14:textId="77777777" w:rsidR="00691017" w:rsidRPr="004E74A6" w:rsidRDefault="00E61F94" w:rsidP="00CE62C1">
            <w:pPr>
              <w:tabs>
                <w:tab w:val="left" w:pos="0"/>
              </w:tabs>
              <w:spacing w:line="276" w:lineRule="auto"/>
              <w:rPr>
                <w:iCs/>
                <w:sz w:val="20"/>
              </w:rPr>
            </w:pPr>
            <w:r w:rsidRPr="004E74A6">
              <w:rPr>
                <w:iCs/>
                <w:sz w:val="20"/>
              </w:rPr>
              <w:t xml:space="preserve">Este plan de trabajo se </w:t>
            </w:r>
            <w:r w:rsidR="00691017" w:rsidRPr="004E74A6">
              <w:rPr>
                <w:iCs/>
                <w:sz w:val="20"/>
              </w:rPr>
              <w:t>recomendó</w:t>
            </w:r>
            <w:r w:rsidRPr="004E74A6">
              <w:rPr>
                <w:iCs/>
                <w:sz w:val="20"/>
              </w:rPr>
              <w:t xml:space="preserve"> prorrogarlo hasta el 30 de junio de 2023, oficio </w:t>
            </w:r>
            <w:r w:rsidR="0059188A" w:rsidRPr="004E74A6">
              <w:rPr>
                <w:iCs/>
                <w:sz w:val="20"/>
              </w:rPr>
              <w:t>482</w:t>
            </w:r>
            <w:r w:rsidRPr="004E74A6">
              <w:rPr>
                <w:iCs/>
                <w:sz w:val="20"/>
              </w:rPr>
              <w:t>-PLA-MI-2022</w:t>
            </w:r>
            <w:r w:rsidR="00691017" w:rsidRPr="004E74A6">
              <w:rPr>
                <w:iCs/>
                <w:sz w:val="20"/>
              </w:rPr>
              <w:t xml:space="preserve">, que fue aprobado por Corte Plena en sesión del 13 de junio 2022. </w:t>
            </w:r>
          </w:p>
          <w:p w14:paraId="07D46F44" w14:textId="3B2C5C85" w:rsidR="00E61F94" w:rsidRPr="004E74A6" w:rsidRDefault="00E61F94" w:rsidP="00CE62C1">
            <w:pPr>
              <w:tabs>
                <w:tab w:val="left" w:pos="0"/>
              </w:tabs>
              <w:spacing w:line="276" w:lineRule="auto"/>
              <w:rPr>
                <w:iCs/>
                <w:sz w:val="20"/>
              </w:rPr>
            </w:pPr>
            <w:r w:rsidRPr="004E74A6">
              <w:rPr>
                <w:iCs/>
                <w:sz w:val="20"/>
              </w:rPr>
              <w:t xml:space="preserve">Plan implica reasignación de plaza de Juez 5 a Profesional en </w:t>
            </w:r>
            <w:r w:rsidR="0059188A" w:rsidRPr="004E74A6">
              <w:rPr>
                <w:iCs/>
                <w:sz w:val="20"/>
              </w:rPr>
              <w:t>D</w:t>
            </w:r>
            <w:r w:rsidRPr="004E74A6">
              <w:rPr>
                <w:iCs/>
                <w:sz w:val="20"/>
              </w:rPr>
              <w:t xml:space="preserve">erecho 3B. </w:t>
            </w:r>
          </w:p>
        </w:tc>
      </w:tr>
    </w:tbl>
    <w:p w14:paraId="22DE49B3" w14:textId="77777777" w:rsidR="002F53AE" w:rsidRPr="004E74A6" w:rsidRDefault="002F53AE" w:rsidP="00CE62C1">
      <w:pPr>
        <w:spacing w:after="160" w:line="276" w:lineRule="auto"/>
        <w:contextualSpacing/>
        <w:rPr>
          <w:rFonts w:eastAsia="Calibri"/>
          <w:szCs w:val="24"/>
          <w:lang w:eastAsia="en-US"/>
        </w:rPr>
      </w:pPr>
    </w:p>
    <w:p w14:paraId="44BE12B2" w14:textId="77777777" w:rsidR="006B0164" w:rsidRPr="004E74A6" w:rsidRDefault="006B0164" w:rsidP="00CE62C1">
      <w:pPr>
        <w:spacing w:after="160" w:line="276" w:lineRule="auto"/>
        <w:contextualSpacing/>
        <w:rPr>
          <w:rFonts w:eastAsia="Calibri"/>
          <w:szCs w:val="24"/>
          <w:lang w:eastAsia="en-US"/>
        </w:rPr>
      </w:pPr>
    </w:p>
    <w:p w14:paraId="4AE0191F" w14:textId="5C456936" w:rsidR="006B0164" w:rsidRPr="004E74A6" w:rsidRDefault="006B0164" w:rsidP="00CE62C1">
      <w:pPr>
        <w:numPr>
          <w:ilvl w:val="1"/>
          <w:numId w:val="3"/>
        </w:numPr>
        <w:spacing w:after="160" w:line="276" w:lineRule="auto"/>
        <w:contextualSpacing/>
        <w:rPr>
          <w:rFonts w:eastAsia="Calibri"/>
          <w:szCs w:val="24"/>
          <w:lang w:eastAsia="en-US"/>
        </w:rPr>
      </w:pPr>
      <w:r w:rsidRPr="004E74A6">
        <w:rPr>
          <w:rFonts w:eastAsia="Calibri"/>
          <w:szCs w:val="24"/>
          <w:lang w:eastAsia="en-US"/>
        </w:rPr>
        <w:t>En abril de 2019</w:t>
      </w:r>
      <w:r w:rsidR="003B2569">
        <w:rPr>
          <w:rFonts w:eastAsia="Calibri"/>
          <w:szCs w:val="24"/>
          <w:lang w:eastAsia="en-US"/>
        </w:rPr>
        <w:t>,</w:t>
      </w:r>
      <w:r w:rsidRPr="004E74A6">
        <w:rPr>
          <w:rFonts w:eastAsia="Calibri"/>
          <w:szCs w:val="24"/>
          <w:lang w:eastAsia="en-US"/>
        </w:rPr>
        <w:t xml:space="preserve"> se liberan por parte de la Dirección de Tecnología de la Información</w:t>
      </w:r>
      <w:r w:rsidR="003B2569">
        <w:rPr>
          <w:rFonts w:eastAsia="Calibri"/>
          <w:szCs w:val="24"/>
          <w:lang w:eastAsia="en-US"/>
        </w:rPr>
        <w:t xml:space="preserve"> y Comunicaciones</w:t>
      </w:r>
      <w:r w:rsidRPr="004E74A6">
        <w:rPr>
          <w:rFonts w:eastAsia="Calibri"/>
          <w:szCs w:val="24"/>
          <w:lang w:eastAsia="en-US"/>
        </w:rPr>
        <w:t xml:space="preserve"> las mejoras 259 y 314-17 “</w:t>
      </w:r>
      <w:r w:rsidRPr="004E74A6">
        <w:rPr>
          <w:rFonts w:eastAsia="Calibri"/>
          <w:i/>
          <w:iCs/>
          <w:szCs w:val="24"/>
          <w:lang w:eastAsia="en-US"/>
        </w:rPr>
        <w:t>Cuantía y casos complejos</w:t>
      </w:r>
      <w:r w:rsidRPr="004E74A6">
        <w:rPr>
          <w:rFonts w:eastAsia="Calibri"/>
          <w:szCs w:val="24"/>
          <w:lang w:eastAsia="en-US"/>
        </w:rPr>
        <w:t>”, pero se liberó únicamente para la materia de Trabajo.  Por lo que en febrero y marzo 2020, la Dirección de Planificación detect</w:t>
      </w:r>
      <w:r w:rsidR="00E61F94" w:rsidRPr="004E74A6">
        <w:rPr>
          <w:rFonts w:eastAsia="Calibri"/>
          <w:szCs w:val="24"/>
          <w:lang w:eastAsia="en-US"/>
        </w:rPr>
        <w:t>ó</w:t>
      </w:r>
      <w:r w:rsidRPr="004E74A6">
        <w:rPr>
          <w:rFonts w:eastAsia="Calibri"/>
          <w:szCs w:val="24"/>
          <w:lang w:eastAsia="en-US"/>
        </w:rPr>
        <w:t xml:space="preserve"> que la mejora no estaba en uso en materia </w:t>
      </w:r>
      <w:r w:rsidRPr="004E74A6">
        <w:rPr>
          <w:rFonts w:eastAsia="Calibri"/>
          <w:szCs w:val="24"/>
          <w:lang w:eastAsia="en-US"/>
        </w:rPr>
        <w:lastRenderedPageBreak/>
        <w:t>Civil y procedió a realizar las coordinaciones necesarias y finalmente en marzo 2020 se instala en los contextos Civiles y Cobratorios del país.</w:t>
      </w:r>
    </w:p>
    <w:p w14:paraId="123087AA" w14:textId="77777777" w:rsidR="006B0164" w:rsidRPr="004E74A6" w:rsidRDefault="006B0164" w:rsidP="00CE62C1">
      <w:pPr>
        <w:spacing w:after="160" w:line="276" w:lineRule="auto"/>
        <w:contextualSpacing/>
        <w:rPr>
          <w:rFonts w:eastAsia="Calibri"/>
          <w:szCs w:val="24"/>
          <w:lang w:eastAsia="en-US"/>
        </w:rPr>
      </w:pPr>
    </w:p>
    <w:p w14:paraId="6AD15095" w14:textId="5CCF24EF" w:rsidR="006B0164" w:rsidRPr="004E74A6" w:rsidRDefault="006B0164" w:rsidP="00CE62C1">
      <w:pPr>
        <w:numPr>
          <w:ilvl w:val="1"/>
          <w:numId w:val="3"/>
        </w:numPr>
        <w:spacing w:after="160" w:line="276" w:lineRule="auto"/>
        <w:contextualSpacing/>
        <w:rPr>
          <w:rFonts w:eastAsia="Calibri"/>
          <w:szCs w:val="24"/>
          <w:lang w:eastAsia="en-US"/>
        </w:rPr>
      </w:pPr>
      <w:r w:rsidRPr="004E74A6">
        <w:rPr>
          <w:rFonts w:eastAsia="Calibri"/>
          <w:szCs w:val="24"/>
          <w:lang w:eastAsia="en-US"/>
        </w:rPr>
        <w:t>Para 2020, se aprueba el plan de trabajo propuesto por la Dirección de Planificación</w:t>
      </w:r>
      <w:r w:rsidR="00786B1E" w:rsidRPr="004E74A6">
        <w:rPr>
          <w:rFonts w:eastAsia="Calibri"/>
          <w:szCs w:val="24"/>
          <w:lang w:eastAsia="en-US"/>
        </w:rPr>
        <w:t xml:space="preserve"> para la Sala Primera</w:t>
      </w:r>
      <w:r w:rsidRPr="004E74A6">
        <w:rPr>
          <w:rFonts w:eastAsia="Calibri"/>
          <w:szCs w:val="24"/>
          <w:lang w:eastAsia="en-US"/>
        </w:rPr>
        <w:t xml:space="preserve"> mediante oficio 23-PLA-MI-2020</w:t>
      </w:r>
      <w:r w:rsidR="00330C70">
        <w:rPr>
          <w:rFonts w:eastAsia="Calibri"/>
          <w:szCs w:val="24"/>
          <w:lang w:eastAsia="en-US"/>
        </w:rPr>
        <w:t>,</w:t>
      </w:r>
      <w:r w:rsidRPr="004E74A6">
        <w:rPr>
          <w:rFonts w:eastAsia="Calibri"/>
          <w:szCs w:val="24"/>
          <w:lang w:eastAsia="en-US"/>
        </w:rPr>
        <w:t xml:space="preserve"> que incluye 2 permisos con goce de salario y sustitución sobre plazas de Profesional en Derecho 3B por todo 2020, acuerdo del Consejo Superior en sesión 06-2020 celebrada el 23 de enero de 2020, artículo LIV.</w:t>
      </w:r>
    </w:p>
    <w:p w14:paraId="7B0D5D6F" w14:textId="77777777" w:rsidR="006B0164" w:rsidRPr="004E74A6" w:rsidRDefault="006B0164" w:rsidP="00CE62C1">
      <w:pPr>
        <w:spacing w:after="160" w:line="276" w:lineRule="auto"/>
        <w:contextualSpacing/>
        <w:rPr>
          <w:rFonts w:eastAsia="Calibri"/>
          <w:szCs w:val="24"/>
          <w:lang w:eastAsia="en-US"/>
        </w:rPr>
      </w:pPr>
    </w:p>
    <w:p w14:paraId="4AC66E86" w14:textId="65647870" w:rsidR="006B0164" w:rsidRPr="004E74A6" w:rsidRDefault="006B0164" w:rsidP="00CE62C1">
      <w:pPr>
        <w:numPr>
          <w:ilvl w:val="1"/>
          <w:numId w:val="3"/>
        </w:numPr>
        <w:spacing w:after="160" w:line="276" w:lineRule="auto"/>
        <w:contextualSpacing/>
        <w:rPr>
          <w:rFonts w:eastAsia="Calibri"/>
          <w:szCs w:val="24"/>
          <w:lang w:eastAsia="en-US"/>
        </w:rPr>
      </w:pPr>
      <w:r w:rsidRPr="004E74A6">
        <w:rPr>
          <w:rFonts w:eastAsia="Calibri"/>
          <w:szCs w:val="24"/>
          <w:lang w:eastAsia="en-US"/>
        </w:rPr>
        <w:t>Informe 690-PLA-RH-OI-2020</w:t>
      </w:r>
      <w:r w:rsidR="00330C70">
        <w:rPr>
          <w:rFonts w:eastAsia="Calibri"/>
          <w:szCs w:val="24"/>
          <w:lang w:eastAsia="en-US"/>
        </w:rPr>
        <w:t xml:space="preserve"> de esta </w:t>
      </w:r>
      <w:r w:rsidR="008D51C4">
        <w:rPr>
          <w:rFonts w:eastAsia="Calibri"/>
          <w:szCs w:val="24"/>
          <w:lang w:eastAsia="en-US"/>
        </w:rPr>
        <w:t xml:space="preserve">Dirección, </w:t>
      </w:r>
      <w:r w:rsidR="008D51C4" w:rsidRPr="004E74A6">
        <w:rPr>
          <w:rFonts w:eastAsia="Calibri"/>
          <w:szCs w:val="24"/>
          <w:lang w:eastAsia="en-US"/>
        </w:rPr>
        <w:t>“</w:t>
      </w:r>
      <w:r w:rsidRPr="004E74A6">
        <w:rPr>
          <w:rFonts w:eastAsia="Calibri"/>
          <w:i/>
          <w:iCs/>
          <w:szCs w:val="24"/>
          <w:lang w:eastAsia="en-US"/>
        </w:rPr>
        <w:t>Continuidad de las plazas otorgadas como resultado de la promulgación del Nuevo Código Procesal Civil</w:t>
      </w:r>
      <w:r w:rsidRPr="004E74A6">
        <w:rPr>
          <w:rFonts w:eastAsia="Calibri"/>
          <w:szCs w:val="24"/>
          <w:lang w:eastAsia="en-US"/>
        </w:rPr>
        <w:t>” es aprobado por el Consejo Superior en sesión 48-20 del 14 de mayo de 2020, artículo VIII. Y por Corte Plena en sesión 31-20, de 2 de junio 2020, artículo I; incluy</w:t>
      </w:r>
      <w:r w:rsidR="00E61F94" w:rsidRPr="004E74A6">
        <w:rPr>
          <w:rFonts w:eastAsia="Calibri"/>
          <w:szCs w:val="24"/>
          <w:lang w:eastAsia="en-US"/>
        </w:rPr>
        <w:t>ó</w:t>
      </w:r>
      <w:r w:rsidRPr="004E74A6">
        <w:rPr>
          <w:rFonts w:eastAsia="Calibri"/>
          <w:szCs w:val="24"/>
          <w:lang w:eastAsia="en-US"/>
        </w:rPr>
        <w:t xml:space="preserve"> un recurso de Profesional en derecho 3B de forma ordinaria a partir de 2021.</w:t>
      </w:r>
    </w:p>
    <w:p w14:paraId="398AE69E" w14:textId="77777777" w:rsidR="006B0164" w:rsidRPr="004E74A6" w:rsidRDefault="006B0164" w:rsidP="00CE62C1">
      <w:pPr>
        <w:spacing w:after="160" w:line="276" w:lineRule="auto"/>
        <w:contextualSpacing/>
        <w:rPr>
          <w:rFonts w:eastAsia="Calibri"/>
          <w:szCs w:val="24"/>
          <w:lang w:eastAsia="en-US"/>
        </w:rPr>
      </w:pPr>
    </w:p>
    <w:p w14:paraId="20BE105F" w14:textId="3160C185" w:rsidR="006B0164" w:rsidRPr="004E74A6" w:rsidRDefault="006B0164" w:rsidP="00CE62C1">
      <w:pPr>
        <w:numPr>
          <w:ilvl w:val="1"/>
          <w:numId w:val="3"/>
        </w:numPr>
        <w:spacing w:after="160" w:line="276" w:lineRule="auto"/>
        <w:contextualSpacing/>
        <w:rPr>
          <w:rFonts w:eastAsia="Calibri"/>
          <w:szCs w:val="24"/>
          <w:lang w:eastAsia="en-US"/>
        </w:rPr>
      </w:pPr>
      <w:r w:rsidRPr="004E74A6">
        <w:rPr>
          <w:rFonts w:eastAsia="Calibri"/>
          <w:szCs w:val="24"/>
          <w:lang w:eastAsia="en-US"/>
        </w:rPr>
        <w:t>La Dirección Jurídica</w:t>
      </w:r>
      <w:r w:rsidR="00330C70">
        <w:rPr>
          <w:rFonts w:eastAsia="Calibri"/>
          <w:szCs w:val="24"/>
          <w:lang w:eastAsia="en-US"/>
        </w:rPr>
        <w:t>,</w:t>
      </w:r>
      <w:r w:rsidRPr="004E74A6">
        <w:rPr>
          <w:rFonts w:eastAsia="Calibri"/>
          <w:szCs w:val="24"/>
          <w:lang w:eastAsia="en-US"/>
        </w:rPr>
        <w:t xml:space="preserve"> en el informe </w:t>
      </w:r>
      <w:r w:rsidRPr="004E74A6">
        <w:rPr>
          <w:rFonts w:eastAsia="Calibri"/>
          <w:b/>
          <w:bCs/>
          <w:szCs w:val="24"/>
          <w:lang w:eastAsia="en-US"/>
        </w:rPr>
        <w:t>DJ-C-361-2020 (anexo 1)</w:t>
      </w:r>
      <w:r w:rsidRPr="004E74A6">
        <w:rPr>
          <w:rFonts w:eastAsia="Calibri"/>
          <w:szCs w:val="24"/>
          <w:lang w:eastAsia="en-US"/>
        </w:rPr>
        <w:t xml:space="preserve"> suscrito por </w:t>
      </w:r>
      <w:r w:rsidR="00445C73" w:rsidRPr="004E74A6">
        <w:rPr>
          <w:rFonts w:eastAsia="Calibri"/>
          <w:szCs w:val="24"/>
          <w:lang w:eastAsia="en-US"/>
        </w:rPr>
        <w:t>los másteres</w:t>
      </w:r>
      <w:r w:rsidRPr="004E74A6">
        <w:rPr>
          <w:rFonts w:eastAsia="Calibri"/>
          <w:szCs w:val="24"/>
          <w:lang w:eastAsia="en-US"/>
        </w:rPr>
        <w:t xml:space="preserve"> Rodrigo Campos Hidalgo y Argili Gómez Siu, por su orden; Director y Subdirectora de la Dirección Jurídica, con relación a las competencias de la Corte Suprema de Justicia para definir la cuantía en relación con el oficio 837-PLA-2020, concluye: </w:t>
      </w:r>
    </w:p>
    <w:p w14:paraId="3686BF3D" w14:textId="77777777" w:rsidR="006B0164" w:rsidRPr="004E74A6" w:rsidRDefault="006B0164" w:rsidP="00CE62C1">
      <w:pPr>
        <w:spacing w:after="160" w:line="276" w:lineRule="auto"/>
        <w:contextualSpacing/>
        <w:rPr>
          <w:rFonts w:eastAsia="Calibri"/>
          <w:szCs w:val="24"/>
          <w:lang w:eastAsia="en-US"/>
        </w:rPr>
      </w:pPr>
    </w:p>
    <w:p w14:paraId="6A635FDF" w14:textId="77777777" w:rsidR="006B0164" w:rsidRPr="004E74A6" w:rsidRDefault="006B0164" w:rsidP="00832773">
      <w:pPr>
        <w:spacing w:line="276" w:lineRule="auto"/>
        <w:ind w:left="567" w:right="476"/>
        <w:contextualSpacing/>
        <w:rPr>
          <w:rFonts w:eastAsia="Calibri"/>
          <w:i/>
          <w:iCs/>
          <w:szCs w:val="24"/>
          <w:lang w:eastAsia="en-US"/>
        </w:rPr>
      </w:pPr>
      <w:r w:rsidRPr="004E74A6">
        <w:rPr>
          <w:rFonts w:eastAsia="Calibri"/>
          <w:i/>
          <w:iCs/>
          <w:szCs w:val="24"/>
          <w:lang w:eastAsia="en-US"/>
        </w:rPr>
        <w:t xml:space="preserve">“Con base en todo lo expuesto, se puede concluir que: </w:t>
      </w:r>
    </w:p>
    <w:p w14:paraId="0161F09E" w14:textId="77777777" w:rsidR="006B0164" w:rsidRPr="004E74A6" w:rsidRDefault="006B0164" w:rsidP="00832773">
      <w:pPr>
        <w:spacing w:line="276" w:lineRule="auto"/>
        <w:ind w:left="567" w:right="476"/>
        <w:contextualSpacing/>
        <w:rPr>
          <w:rFonts w:eastAsia="Calibri"/>
          <w:i/>
          <w:iCs/>
          <w:szCs w:val="24"/>
          <w:lang w:eastAsia="en-US"/>
        </w:rPr>
      </w:pPr>
    </w:p>
    <w:p w14:paraId="25588184" w14:textId="77777777" w:rsidR="006B0164" w:rsidRPr="004E74A6" w:rsidRDefault="006B0164" w:rsidP="00832773">
      <w:pPr>
        <w:spacing w:line="276" w:lineRule="auto"/>
        <w:ind w:left="567" w:right="476"/>
        <w:contextualSpacing/>
        <w:rPr>
          <w:rFonts w:eastAsia="Calibri"/>
          <w:i/>
          <w:iCs/>
          <w:szCs w:val="24"/>
          <w:lang w:eastAsia="en-US"/>
        </w:rPr>
      </w:pPr>
      <w:r w:rsidRPr="004E74A6">
        <w:rPr>
          <w:rFonts w:eastAsia="Calibri"/>
          <w:i/>
          <w:iCs/>
          <w:szCs w:val="24"/>
          <w:lang w:eastAsia="en-US"/>
        </w:rPr>
        <w:t>1.</w:t>
      </w:r>
      <w:r w:rsidRPr="004E74A6">
        <w:rPr>
          <w:rFonts w:eastAsia="Calibri"/>
          <w:i/>
          <w:iCs/>
          <w:szCs w:val="24"/>
          <w:lang w:eastAsia="en-US"/>
        </w:rPr>
        <w:tab/>
        <w:t>La determinación de límites económicos como cuantía de los procesos judiciales en materia laboral, constituye una potestad discrecional concedida por ley a la Corte Suprema de Justicia, como parte del ejercicio de gobierno administrativo del Poder Judicial (artículos 46 y 114 de la Ley Orgánica del Poder Judicial; 16 y 158.4 de la Ley General de la Administración Pública).</w:t>
      </w:r>
    </w:p>
    <w:p w14:paraId="4F6D6D8F" w14:textId="77777777" w:rsidR="006B0164" w:rsidRPr="004E74A6" w:rsidRDefault="006B0164" w:rsidP="00832773">
      <w:pPr>
        <w:spacing w:line="276" w:lineRule="auto"/>
        <w:ind w:left="567" w:right="476"/>
        <w:contextualSpacing/>
        <w:rPr>
          <w:rFonts w:eastAsia="Calibri"/>
          <w:i/>
          <w:iCs/>
          <w:szCs w:val="24"/>
          <w:lang w:eastAsia="en-US"/>
        </w:rPr>
      </w:pPr>
    </w:p>
    <w:p w14:paraId="3410ECAA" w14:textId="77777777" w:rsidR="006B0164" w:rsidRPr="004E74A6" w:rsidRDefault="006B0164" w:rsidP="00832773">
      <w:pPr>
        <w:spacing w:line="276" w:lineRule="auto"/>
        <w:ind w:left="567" w:right="476"/>
        <w:contextualSpacing/>
        <w:rPr>
          <w:rFonts w:eastAsia="Calibri"/>
          <w:i/>
          <w:iCs/>
          <w:szCs w:val="24"/>
          <w:lang w:eastAsia="en-US"/>
        </w:rPr>
      </w:pPr>
      <w:r w:rsidRPr="004E74A6">
        <w:rPr>
          <w:rFonts w:eastAsia="Calibri"/>
          <w:i/>
          <w:iCs/>
          <w:szCs w:val="24"/>
          <w:lang w:eastAsia="en-US"/>
        </w:rPr>
        <w:t>2.</w:t>
      </w:r>
      <w:r w:rsidRPr="004E74A6">
        <w:rPr>
          <w:rFonts w:eastAsia="Calibri"/>
          <w:i/>
          <w:iCs/>
          <w:szCs w:val="24"/>
          <w:lang w:eastAsia="en-US"/>
        </w:rPr>
        <w:tab/>
        <w:t xml:space="preserve">En atención a lo establecido en el artículo 114 de la Ley Orgánica del Poder Judicial, se sugiere que más allá de la realidad inflacionaria del país, adicionar a lo indicado por el Departamento de Planificación en su informe, algún análisis integral de la situación económica del país y la respectiva valoración por parte de órganos especializados; esto como parte de los elementos o insumos a tomar en cuenta para la fijación de cuantía de los procesos judiciales, en virtud del impacto de la fijación de cuantía en las personas en una materia de tan alta </w:t>
      </w:r>
      <w:r w:rsidRPr="004E74A6">
        <w:rPr>
          <w:rFonts w:eastAsia="Calibri"/>
          <w:i/>
          <w:iCs/>
          <w:szCs w:val="24"/>
          <w:lang w:eastAsia="en-US"/>
        </w:rPr>
        <w:lastRenderedPageBreak/>
        <w:t xml:space="preserve">sensibilidad social, como lo es la jurisdicción laboral (artículos 4 y 113 de la Ley General de la Administración Pública y 1 del Código de Trabajo). </w:t>
      </w:r>
    </w:p>
    <w:p w14:paraId="08541286" w14:textId="77777777" w:rsidR="006B0164" w:rsidRPr="004E74A6" w:rsidRDefault="006B0164" w:rsidP="00832773">
      <w:pPr>
        <w:spacing w:line="276" w:lineRule="auto"/>
        <w:ind w:left="567" w:right="476"/>
        <w:contextualSpacing/>
        <w:rPr>
          <w:rFonts w:eastAsia="Calibri"/>
          <w:i/>
          <w:iCs/>
          <w:szCs w:val="24"/>
          <w:lang w:eastAsia="en-US"/>
        </w:rPr>
      </w:pPr>
    </w:p>
    <w:p w14:paraId="1C574D36" w14:textId="77777777" w:rsidR="006B0164" w:rsidRPr="004E74A6" w:rsidRDefault="006B0164" w:rsidP="00832773">
      <w:pPr>
        <w:spacing w:line="276" w:lineRule="auto"/>
        <w:ind w:left="567" w:right="476"/>
        <w:contextualSpacing/>
        <w:rPr>
          <w:rFonts w:eastAsia="Calibri"/>
          <w:i/>
          <w:iCs/>
          <w:szCs w:val="24"/>
          <w:lang w:eastAsia="en-US"/>
        </w:rPr>
      </w:pPr>
      <w:r w:rsidRPr="004E74A6">
        <w:rPr>
          <w:rFonts w:eastAsia="Calibri"/>
          <w:i/>
          <w:iCs/>
          <w:szCs w:val="24"/>
          <w:lang w:eastAsia="en-US"/>
        </w:rPr>
        <w:t>3.</w:t>
      </w:r>
      <w:r w:rsidRPr="004E74A6">
        <w:rPr>
          <w:rFonts w:eastAsia="Calibri"/>
          <w:i/>
          <w:iCs/>
          <w:szCs w:val="24"/>
          <w:lang w:eastAsia="en-US"/>
        </w:rPr>
        <w:tab/>
        <w:t xml:space="preserve">En ejercicio de su legítima potestad discrecional para decidir sobre una eventual modificación a la cuantía de los procesos laborales, la Corte Suprema de Justicia   puede tomar en cuenta en su análisis y fundamentación los más variados criterios sin estar obligados o restringidos a decidir, únicamente, de entre las opciones o escenarios que les ofrece la Dirección de Planificación, sino que, de manera justificada, podrían crear y elegir cualquier otra alternativa siempre que sea conforme a Derecho.  </w:t>
      </w:r>
    </w:p>
    <w:p w14:paraId="5C39E2BD" w14:textId="77777777" w:rsidR="006B0164" w:rsidRPr="004E74A6" w:rsidRDefault="006B0164" w:rsidP="00832773">
      <w:pPr>
        <w:spacing w:line="276" w:lineRule="auto"/>
        <w:ind w:left="567" w:right="476"/>
        <w:contextualSpacing/>
        <w:rPr>
          <w:rFonts w:eastAsia="Calibri"/>
          <w:i/>
          <w:iCs/>
          <w:szCs w:val="24"/>
          <w:lang w:eastAsia="en-US"/>
        </w:rPr>
      </w:pPr>
    </w:p>
    <w:p w14:paraId="33BC497F" w14:textId="41F29F84" w:rsidR="006B0164" w:rsidRPr="004E74A6" w:rsidRDefault="006B0164" w:rsidP="00832773">
      <w:pPr>
        <w:spacing w:line="276" w:lineRule="auto"/>
        <w:ind w:left="567" w:right="476"/>
        <w:contextualSpacing/>
        <w:rPr>
          <w:rFonts w:eastAsia="Calibri"/>
          <w:i/>
          <w:iCs/>
          <w:szCs w:val="24"/>
          <w:lang w:eastAsia="en-US"/>
        </w:rPr>
      </w:pPr>
      <w:r w:rsidRPr="004E74A6">
        <w:rPr>
          <w:rFonts w:eastAsia="Calibri"/>
          <w:i/>
          <w:iCs/>
          <w:szCs w:val="24"/>
          <w:lang w:eastAsia="en-US"/>
        </w:rPr>
        <w:t>4.</w:t>
      </w:r>
      <w:r w:rsidRPr="004E74A6">
        <w:rPr>
          <w:rFonts w:eastAsia="Calibri"/>
          <w:i/>
          <w:iCs/>
          <w:szCs w:val="24"/>
          <w:lang w:eastAsia="en-US"/>
        </w:rPr>
        <w:tab/>
        <w:t xml:space="preserve">La referencia del artículo 114 de la Ley Orgánica del Poder Judicial sobre el denominado “índice inflacionario” fue previsto por el legislador como un referente a tomar en consideración, </w:t>
      </w:r>
      <w:r w:rsidR="00330C70" w:rsidRPr="004E74A6">
        <w:rPr>
          <w:rFonts w:eastAsia="Calibri"/>
          <w:i/>
          <w:iCs/>
          <w:szCs w:val="24"/>
          <w:lang w:eastAsia="en-US"/>
        </w:rPr>
        <w:t>más</w:t>
      </w:r>
      <w:r w:rsidRPr="004E74A6">
        <w:rPr>
          <w:rFonts w:eastAsia="Calibri"/>
          <w:i/>
          <w:iCs/>
          <w:szCs w:val="24"/>
          <w:lang w:eastAsia="en-US"/>
        </w:rPr>
        <w:t xml:space="preserve"> sin que la norma indique que el mismo obligue o vincule al Poder Judicial en la respectiva toma de decisiones, sino que es solamente un factor objetivo, que por excelencia demuestra la inflación en nuestro país, pero no que necesariamente determinará el contenido del acto administrativo respectivo de fijación de cuantías, el cual como dijimos ut supra, posee carácter discrecional”.</w:t>
      </w:r>
    </w:p>
    <w:p w14:paraId="595C68FF" w14:textId="77777777" w:rsidR="006B0164" w:rsidRPr="004E74A6" w:rsidRDefault="006B0164" w:rsidP="00CE62C1">
      <w:pPr>
        <w:spacing w:after="160" w:line="276" w:lineRule="auto"/>
        <w:contextualSpacing/>
        <w:rPr>
          <w:rFonts w:eastAsia="Calibri"/>
          <w:szCs w:val="24"/>
          <w:lang w:eastAsia="en-US"/>
        </w:rPr>
      </w:pPr>
    </w:p>
    <w:p w14:paraId="4934F300" w14:textId="77777777" w:rsidR="00E61F94" w:rsidRPr="004E74A6" w:rsidRDefault="00E61F94" w:rsidP="00CE62C1">
      <w:pPr>
        <w:spacing w:after="160" w:line="276" w:lineRule="auto"/>
        <w:contextualSpacing/>
        <w:rPr>
          <w:rFonts w:eastAsia="Calibri"/>
          <w:szCs w:val="24"/>
          <w:lang w:eastAsia="en-US"/>
        </w:rPr>
      </w:pPr>
    </w:p>
    <w:p w14:paraId="2C967AD5" w14:textId="7122FE95" w:rsidR="006B0164" w:rsidRPr="004E74A6" w:rsidRDefault="006B0164" w:rsidP="00CE62C1">
      <w:pPr>
        <w:numPr>
          <w:ilvl w:val="1"/>
          <w:numId w:val="3"/>
        </w:numPr>
        <w:spacing w:after="160" w:line="276" w:lineRule="auto"/>
        <w:contextualSpacing/>
        <w:rPr>
          <w:rFonts w:eastAsia="Calibri"/>
          <w:szCs w:val="24"/>
          <w:lang w:eastAsia="en-US"/>
        </w:rPr>
      </w:pPr>
      <w:r w:rsidRPr="004E74A6">
        <w:rPr>
          <w:rFonts w:eastAsia="Calibri"/>
          <w:szCs w:val="24"/>
          <w:lang w:eastAsia="en-US"/>
        </w:rPr>
        <w:t>La Dirección de Planificación</w:t>
      </w:r>
      <w:r w:rsidR="00330C70">
        <w:rPr>
          <w:rFonts w:eastAsia="Calibri"/>
          <w:szCs w:val="24"/>
          <w:lang w:eastAsia="en-US"/>
        </w:rPr>
        <w:t>,</w:t>
      </w:r>
      <w:r w:rsidRPr="004E74A6">
        <w:rPr>
          <w:rFonts w:eastAsia="Calibri"/>
          <w:szCs w:val="24"/>
          <w:lang w:eastAsia="en-US"/>
        </w:rPr>
        <w:t xml:space="preserve"> mediante oficio 1561-PLA-EV-2021</w:t>
      </w:r>
      <w:r w:rsidR="00330C70">
        <w:rPr>
          <w:rFonts w:eastAsia="Calibri"/>
          <w:szCs w:val="24"/>
          <w:lang w:eastAsia="en-US"/>
        </w:rPr>
        <w:t>,</w:t>
      </w:r>
      <w:r w:rsidRPr="004E74A6">
        <w:rPr>
          <w:rFonts w:eastAsia="Calibri"/>
          <w:szCs w:val="24"/>
          <w:lang w:eastAsia="en-US"/>
        </w:rPr>
        <w:t xml:space="preserve"> solicita el criterio de la Dirección Jurídica, sobre el nuevo escenario de </w:t>
      </w:r>
      <w:r w:rsidRPr="004E74A6">
        <w:rPr>
          <w:rFonts w:eastAsia="Calibri"/>
          <w:i/>
          <w:iCs/>
          <w:szCs w:val="24"/>
          <w:lang w:eastAsia="en-US"/>
        </w:rPr>
        <w:t>“cuantías diferenciadas”</w:t>
      </w:r>
      <w:r w:rsidRPr="004E74A6">
        <w:rPr>
          <w:rFonts w:eastAsia="Calibri"/>
          <w:szCs w:val="24"/>
          <w:lang w:eastAsia="en-US"/>
        </w:rPr>
        <w:t xml:space="preserve">  en atención a lo expuesto por la Comisión de la Jurisdicción Civil en el oficio 088-CJC-2020 y por decisión unánime de la Sala Primera según oficio PS1-61-2020 sobre la creación de cuantías para las distintas Jurisdicciones de manera que se pueda aplicar a determinados procesos o materias especializadas, bajo criterios técnicos y de conveniencia.</w:t>
      </w:r>
    </w:p>
    <w:p w14:paraId="23F302D7" w14:textId="77777777" w:rsidR="006B0164" w:rsidRPr="004E74A6" w:rsidRDefault="006B0164" w:rsidP="00CE62C1">
      <w:pPr>
        <w:spacing w:after="160" w:line="276" w:lineRule="auto"/>
        <w:contextualSpacing/>
        <w:rPr>
          <w:rFonts w:eastAsia="Calibri"/>
          <w:szCs w:val="24"/>
          <w:lang w:eastAsia="en-US"/>
        </w:rPr>
      </w:pPr>
      <w:r w:rsidRPr="004E74A6">
        <w:rPr>
          <w:rFonts w:eastAsia="Calibri"/>
          <w:szCs w:val="24"/>
          <w:lang w:eastAsia="en-US"/>
        </w:rPr>
        <w:t xml:space="preserve"> </w:t>
      </w:r>
    </w:p>
    <w:p w14:paraId="3CC0B431" w14:textId="7BB96847" w:rsidR="006B0164" w:rsidRPr="004E74A6" w:rsidRDefault="006B0164" w:rsidP="00CE62C1">
      <w:pPr>
        <w:numPr>
          <w:ilvl w:val="1"/>
          <w:numId w:val="3"/>
        </w:numPr>
        <w:spacing w:after="160" w:line="276" w:lineRule="auto"/>
        <w:contextualSpacing/>
        <w:rPr>
          <w:rFonts w:eastAsia="Calibri"/>
          <w:szCs w:val="24"/>
          <w:lang w:eastAsia="en-US"/>
        </w:rPr>
      </w:pPr>
      <w:r w:rsidRPr="004E74A6">
        <w:rPr>
          <w:rFonts w:eastAsia="Calibri"/>
          <w:szCs w:val="24"/>
          <w:lang w:eastAsia="en-US"/>
        </w:rPr>
        <w:t>La Corte Plena</w:t>
      </w:r>
      <w:r w:rsidR="00330C70">
        <w:rPr>
          <w:rFonts w:eastAsia="Calibri"/>
          <w:szCs w:val="24"/>
          <w:lang w:eastAsia="en-US"/>
        </w:rPr>
        <w:t>,</w:t>
      </w:r>
      <w:r w:rsidRPr="004E74A6">
        <w:rPr>
          <w:rFonts w:eastAsia="Calibri"/>
          <w:szCs w:val="24"/>
          <w:lang w:eastAsia="en-US"/>
        </w:rPr>
        <w:t xml:space="preserve"> conoce el informe de la Dirección de Planificación </w:t>
      </w:r>
      <w:r w:rsidR="000C00F7">
        <w:rPr>
          <w:rFonts w:eastAsia="Calibri"/>
          <w:szCs w:val="24"/>
          <w:lang w:eastAsia="en-US"/>
        </w:rPr>
        <w:t>N°</w:t>
      </w:r>
      <w:r w:rsidRPr="004E74A6">
        <w:rPr>
          <w:rFonts w:eastAsia="Calibri"/>
          <w:szCs w:val="24"/>
          <w:lang w:eastAsia="en-US"/>
        </w:rPr>
        <w:t xml:space="preserve">1913-PLA-EV-2020 con el </w:t>
      </w:r>
      <w:r w:rsidRPr="004E74A6">
        <w:rPr>
          <w:rFonts w:eastAsia="Calibri"/>
          <w:i/>
          <w:iCs/>
          <w:szCs w:val="24"/>
          <w:lang w:eastAsia="en-US"/>
        </w:rPr>
        <w:t>“análisis sobre la cuantía en materia Civil para la admisión del Recurso de Casación”,</w:t>
      </w:r>
      <w:r w:rsidRPr="004E74A6">
        <w:rPr>
          <w:rFonts w:eastAsia="Calibri"/>
          <w:szCs w:val="24"/>
          <w:lang w:eastAsia="en-US"/>
        </w:rPr>
        <w:t xml:space="preserve"> donde </w:t>
      </w:r>
      <w:r w:rsidR="00E61F94" w:rsidRPr="004E74A6">
        <w:rPr>
          <w:rFonts w:eastAsia="Calibri"/>
          <w:szCs w:val="24"/>
          <w:lang w:eastAsia="en-US"/>
        </w:rPr>
        <w:t>acordó</w:t>
      </w:r>
      <w:r w:rsidRPr="004E74A6">
        <w:rPr>
          <w:rFonts w:eastAsia="Calibri"/>
          <w:szCs w:val="24"/>
          <w:lang w:eastAsia="en-US"/>
        </w:rPr>
        <w:t>:</w:t>
      </w:r>
    </w:p>
    <w:p w14:paraId="47CD9D95" w14:textId="77777777" w:rsidR="006B0164" w:rsidRPr="004E74A6" w:rsidRDefault="006B0164" w:rsidP="00CE62C1">
      <w:pPr>
        <w:spacing w:after="160" w:line="276" w:lineRule="auto"/>
        <w:contextualSpacing/>
        <w:rPr>
          <w:rFonts w:eastAsia="Calibri"/>
          <w:sz w:val="22"/>
          <w:szCs w:val="22"/>
          <w:lang w:eastAsia="en-US"/>
        </w:rPr>
      </w:pPr>
    </w:p>
    <w:p w14:paraId="3623388B" w14:textId="77777777" w:rsidR="006B0164" w:rsidRPr="004E74A6" w:rsidRDefault="006B0164" w:rsidP="00CE62C1">
      <w:pPr>
        <w:spacing w:line="276" w:lineRule="auto"/>
        <w:ind w:left="567" w:right="476"/>
        <w:contextualSpacing/>
        <w:rPr>
          <w:rFonts w:eastAsia="Calibri"/>
          <w:i/>
          <w:iCs/>
          <w:sz w:val="22"/>
          <w:szCs w:val="22"/>
          <w:lang w:eastAsia="en-US"/>
        </w:rPr>
      </w:pPr>
      <w:r w:rsidRPr="004E74A6">
        <w:rPr>
          <w:rFonts w:eastAsia="Calibri"/>
          <w:i/>
          <w:iCs/>
          <w:sz w:val="22"/>
          <w:szCs w:val="22"/>
          <w:lang w:eastAsia="en-US"/>
        </w:rPr>
        <w:t xml:space="preserve">“Sin objeción alguna, </w:t>
      </w:r>
      <w:r w:rsidRPr="004E74A6">
        <w:rPr>
          <w:rFonts w:eastAsia="Calibri"/>
          <w:b/>
          <w:bCs/>
          <w:i/>
          <w:iCs/>
          <w:sz w:val="22"/>
          <w:szCs w:val="22"/>
          <w:lang w:eastAsia="en-US"/>
        </w:rPr>
        <w:t>se acordó: 1)</w:t>
      </w:r>
      <w:r w:rsidRPr="004E74A6">
        <w:rPr>
          <w:rFonts w:eastAsia="Calibri"/>
          <w:i/>
          <w:iCs/>
          <w:sz w:val="22"/>
          <w:szCs w:val="22"/>
          <w:lang w:eastAsia="en-US"/>
        </w:rPr>
        <w:t xml:space="preserve"> Tener por conocido el oficio Nº 1913-PLA-EV-2020 referente a revisión del monto de la cuantía en materia civil, para efecto de establecer el tope entre menor y mayor cuantía y por consiguiente el acceso al recurso de casación. 2) </w:t>
      </w:r>
      <w:r w:rsidRPr="004E74A6">
        <w:rPr>
          <w:rFonts w:eastAsia="Calibri"/>
          <w:i/>
          <w:iCs/>
          <w:sz w:val="22"/>
          <w:szCs w:val="22"/>
          <w:lang w:eastAsia="en-US"/>
        </w:rPr>
        <w:lastRenderedPageBreak/>
        <w:t>Tener por hecha la exposición de la licenciada Nacira Valverde Bermúdez, jefa de la Dirección de Planificación y el máster Jorge Rodríguez Salazar, Jefe interino del Subproceso de Evaluación de esa Dirección. 3) Reiterar a la Dirección Jurídica la remisión del informe solicitado por la Dirección de Planificación mediante oficio Nº 1561-PLAV-2020, con el fin de que este sea analizado junto con una propuesta más integral por los señores magistrados y señoras magistradas de la Sala Primera y la Dirección de Planificación.”</w:t>
      </w:r>
    </w:p>
    <w:p w14:paraId="003CF70E" w14:textId="77777777" w:rsidR="006B0164" w:rsidRPr="004E74A6" w:rsidRDefault="006B0164" w:rsidP="00CE62C1">
      <w:pPr>
        <w:spacing w:after="160" w:line="276" w:lineRule="auto"/>
        <w:contextualSpacing/>
        <w:rPr>
          <w:rFonts w:eastAsia="Calibri"/>
          <w:szCs w:val="24"/>
          <w:lang w:eastAsia="en-US"/>
        </w:rPr>
      </w:pPr>
    </w:p>
    <w:p w14:paraId="1B79A2B5" w14:textId="0FAD5AF5" w:rsidR="006B0164" w:rsidRPr="006B358C" w:rsidRDefault="006B0164" w:rsidP="006B358C">
      <w:pPr>
        <w:spacing w:after="160" w:line="276" w:lineRule="auto"/>
        <w:contextualSpacing/>
        <w:rPr>
          <w:rFonts w:eastAsia="Calibri"/>
          <w:szCs w:val="24"/>
          <w:lang w:eastAsia="en-US"/>
        </w:rPr>
      </w:pPr>
      <w:r w:rsidRPr="006B358C">
        <w:rPr>
          <w:rFonts w:eastAsia="Calibri"/>
          <w:szCs w:val="24"/>
          <w:lang w:eastAsia="en-US"/>
        </w:rPr>
        <w:t>En respuesta al oficio 1561-PLA-EV-2021 de la Dirección de Planificación</w:t>
      </w:r>
      <w:r w:rsidR="00184760" w:rsidRPr="006B358C">
        <w:rPr>
          <w:rFonts w:eastAsia="Calibri"/>
          <w:szCs w:val="24"/>
          <w:lang w:eastAsia="en-US"/>
        </w:rPr>
        <w:t>,</w:t>
      </w:r>
      <w:r w:rsidR="00245A34" w:rsidRPr="006B358C">
        <w:rPr>
          <w:rFonts w:eastAsia="Calibri"/>
          <w:szCs w:val="24"/>
          <w:lang w:eastAsia="en-US"/>
        </w:rPr>
        <w:t xml:space="preserve"> reiterado mediante oficio 202-PLA-MI-2021,</w:t>
      </w:r>
      <w:r w:rsidRPr="006B358C">
        <w:rPr>
          <w:rFonts w:eastAsia="Calibri"/>
          <w:szCs w:val="24"/>
          <w:lang w:eastAsia="en-US"/>
        </w:rPr>
        <w:t xml:space="preserve"> la Dirección Jurídica emite el criterio </w:t>
      </w:r>
      <w:r w:rsidRPr="006B358C">
        <w:rPr>
          <w:rFonts w:eastAsia="Calibri"/>
          <w:b/>
          <w:bCs/>
          <w:szCs w:val="24"/>
          <w:lang w:eastAsia="en-US"/>
        </w:rPr>
        <w:t>DJ-C-111-2021</w:t>
      </w:r>
      <w:r w:rsidRPr="006B358C">
        <w:rPr>
          <w:rFonts w:eastAsia="Calibri"/>
          <w:szCs w:val="24"/>
          <w:lang w:eastAsia="en-US"/>
        </w:rPr>
        <w:t xml:space="preserve"> del 3 de marzo 2021 (</w:t>
      </w:r>
      <w:r w:rsidRPr="006B358C">
        <w:rPr>
          <w:rFonts w:eastAsia="Calibri"/>
          <w:b/>
          <w:bCs/>
          <w:szCs w:val="24"/>
          <w:lang w:eastAsia="en-US"/>
        </w:rPr>
        <w:t>anexo 2),</w:t>
      </w:r>
      <w:r w:rsidRPr="006B358C">
        <w:rPr>
          <w:rFonts w:eastAsia="Calibri"/>
          <w:szCs w:val="24"/>
          <w:lang w:eastAsia="en-US"/>
        </w:rPr>
        <w:t xml:space="preserve"> dictamen sobre el cual la Dirección de Planificación solicita aclaración mediante oficio 322-PLA-MI-2021 del 18 de marzo del </w:t>
      </w:r>
      <w:r w:rsidR="00245A34" w:rsidRPr="006B358C">
        <w:rPr>
          <w:rFonts w:eastAsia="Calibri"/>
          <w:szCs w:val="24"/>
          <w:lang w:eastAsia="en-US"/>
        </w:rPr>
        <w:t>2021</w:t>
      </w:r>
      <w:r w:rsidRPr="006B358C">
        <w:rPr>
          <w:rFonts w:eastAsia="Calibri"/>
          <w:szCs w:val="24"/>
          <w:lang w:eastAsia="en-US"/>
        </w:rPr>
        <w:t>, específicamente sobre un nuevo escenario (</w:t>
      </w:r>
      <w:r w:rsidRPr="00B72534">
        <w:rPr>
          <w:rFonts w:eastAsia="Calibri"/>
          <w:b/>
          <w:bCs/>
          <w:szCs w:val="24"/>
          <w:u w:val="single"/>
          <w:lang w:eastAsia="en-US"/>
        </w:rPr>
        <w:t>elevar el monto de la cuantía solamente para acceder al recurso de casación en los sentencias dictadas por los Tribunales Colegiados Civiles en procesos ordinarios</w:t>
      </w:r>
      <w:r w:rsidRPr="006B358C">
        <w:rPr>
          <w:rFonts w:eastAsia="Calibri"/>
          <w:szCs w:val="24"/>
          <w:lang w:eastAsia="en-US"/>
        </w:rPr>
        <w:t>).  La Dirección Jurídica emit</w:t>
      </w:r>
      <w:r w:rsidR="00245A34" w:rsidRPr="006B358C">
        <w:rPr>
          <w:rFonts w:eastAsia="Calibri"/>
          <w:szCs w:val="24"/>
          <w:lang w:eastAsia="en-US"/>
        </w:rPr>
        <w:t>ió</w:t>
      </w:r>
      <w:r w:rsidRPr="006B358C">
        <w:rPr>
          <w:rFonts w:eastAsia="Calibri"/>
          <w:szCs w:val="24"/>
          <w:lang w:eastAsia="en-US"/>
        </w:rPr>
        <w:t xml:space="preserve"> entonces el criterio </w:t>
      </w:r>
      <w:r w:rsidRPr="006B358C">
        <w:rPr>
          <w:rFonts w:eastAsia="Calibri"/>
          <w:b/>
          <w:bCs/>
          <w:szCs w:val="24"/>
          <w:lang w:eastAsia="en-US"/>
        </w:rPr>
        <w:t>DJ-C-376-2021</w:t>
      </w:r>
      <w:r w:rsidRPr="006B358C">
        <w:rPr>
          <w:rFonts w:eastAsia="Calibri"/>
          <w:szCs w:val="24"/>
          <w:lang w:eastAsia="en-US"/>
        </w:rPr>
        <w:t xml:space="preserve"> del 6 de julio 2021 (anexo 3). </w:t>
      </w:r>
    </w:p>
    <w:p w14:paraId="2463B04E" w14:textId="77777777" w:rsidR="006B0164" w:rsidRPr="004E74A6" w:rsidRDefault="006B0164" w:rsidP="00CE62C1">
      <w:pPr>
        <w:spacing w:after="160" w:line="276" w:lineRule="auto"/>
        <w:contextualSpacing/>
        <w:rPr>
          <w:rFonts w:eastAsia="Calibri"/>
          <w:szCs w:val="24"/>
          <w:lang w:eastAsia="en-US"/>
        </w:rPr>
      </w:pPr>
    </w:p>
    <w:p w14:paraId="1F6F5CCE" w14:textId="77777777" w:rsidR="006B0164" w:rsidRPr="004E74A6" w:rsidRDefault="006B0164" w:rsidP="00CE62C1">
      <w:pPr>
        <w:spacing w:after="160" w:line="276" w:lineRule="auto"/>
        <w:contextualSpacing/>
        <w:rPr>
          <w:rFonts w:eastAsia="Calibri"/>
          <w:szCs w:val="24"/>
          <w:lang w:eastAsia="en-US"/>
        </w:rPr>
      </w:pPr>
      <w:r w:rsidRPr="004E74A6">
        <w:rPr>
          <w:rFonts w:eastAsia="Calibri"/>
          <w:szCs w:val="24"/>
          <w:lang w:eastAsia="en-US"/>
        </w:rPr>
        <w:t>En el oficio DJ-C-111-2021 se establece las únicas 2 posibilidades de Corte Plena para variar la cuantía de conformidad con la Ley Orgánica del Poder Judicial a saber:</w:t>
      </w:r>
    </w:p>
    <w:p w14:paraId="0E4814B8" w14:textId="77777777" w:rsidR="006B0164" w:rsidRPr="004E74A6" w:rsidRDefault="006B0164" w:rsidP="00CE62C1">
      <w:pPr>
        <w:spacing w:after="160" w:line="276" w:lineRule="auto"/>
        <w:contextualSpacing/>
        <w:rPr>
          <w:rFonts w:eastAsia="Calibri"/>
          <w:szCs w:val="24"/>
          <w:lang w:eastAsia="en-US"/>
        </w:rPr>
      </w:pPr>
    </w:p>
    <w:p w14:paraId="7E4F8E10" w14:textId="77777777" w:rsidR="006B0164" w:rsidRPr="004E74A6" w:rsidRDefault="006B0164" w:rsidP="00832773">
      <w:pPr>
        <w:spacing w:line="276" w:lineRule="auto"/>
        <w:ind w:left="567" w:right="476"/>
        <w:contextualSpacing/>
        <w:rPr>
          <w:rFonts w:eastAsia="Calibri"/>
          <w:i/>
          <w:iCs/>
          <w:sz w:val="22"/>
          <w:szCs w:val="22"/>
          <w:lang w:eastAsia="en-US"/>
        </w:rPr>
      </w:pPr>
      <w:r w:rsidRPr="004E74A6">
        <w:rPr>
          <w:rFonts w:eastAsia="Calibri"/>
          <w:i/>
          <w:iCs/>
          <w:sz w:val="22"/>
          <w:szCs w:val="22"/>
          <w:lang w:eastAsia="en-US"/>
        </w:rPr>
        <w:t>“Al respecto considera esta unidad asesora que lo planteado por la Dirección de Planificación se encuentra limitado conforme al análisis hecho, en la propia Ley Orgánica del Poder Judicial, toda vez que la misma permite únicamente que la Corte Suprema de Justicia pueda realizar una fijación de cuantía en los dos supuestos indicados, a saber:</w:t>
      </w:r>
    </w:p>
    <w:p w14:paraId="4D09F6FE" w14:textId="77777777" w:rsidR="006B0164" w:rsidRPr="004E74A6" w:rsidRDefault="006B0164" w:rsidP="00832773">
      <w:pPr>
        <w:spacing w:line="276" w:lineRule="auto"/>
        <w:ind w:left="567" w:right="476"/>
        <w:contextualSpacing/>
        <w:rPr>
          <w:rFonts w:eastAsia="Calibri"/>
          <w:i/>
          <w:iCs/>
          <w:sz w:val="22"/>
          <w:szCs w:val="22"/>
          <w:lang w:eastAsia="en-US"/>
        </w:rPr>
      </w:pPr>
    </w:p>
    <w:p w14:paraId="12555FCB" w14:textId="77777777" w:rsidR="006B0164" w:rsidRPr="004E74A6" w:rsidRDefault="006B0164" w:rsidP="00832773">
      <w:pPr>
        <w:numPr>
          <w:ilvl w:val="0"/>
          <w:numId w:val="4"/>
        </w:numPr>
        <w:spacing w:line="276" w:lineRule="auto"/>
        <w:ind w:left="567" w:right="476" w:firstLine="0"/>
        <w:contextualSpacing/>
        <w:rPr>
          <w:rFonts w:eastAsia="Calibri"/>
          <w:b/>
          <w:bCs/>
          <w:i/>
          <w:iCs/>
          <w:sz w:val="22"/>
          <w:szCs w:val="22"/>
          <w:lang w:eastAsia="en-US"/>
        </w:rPr>
      </w:pPr>
      <w:r w:rsidRPr="004E74A6">
        <w:rPr>
          <w:rFonts w:eastAsia="Calibri"/>
          <w:b/>
          <w:bCs/>
          <w:i/>
          <w:iCs/>
          <w:sz w:val="22"/>
          <w:szCs w:val="22"/>
          <w:lang w:eastAsia="en-US"/>
        </w:rPr>
        <w:t>La fijación de los topes de menor cuantía para diferenciarlo de la mayor cuantía en procesos ordinarios para efectos de determinación de la competencia de los respectivos órganos jurisdiccionales.</w:t>
      </w:r>
    </w:p>
    <w:p w14:paraId="7048A956" w14:textId="1ADF6858" w:rsidR="006B0164" w:rsidRPr="004E74A6" w:rsidRDefault="006B0164" w:rsidP="00832773">
      <w:pPr>
        <w:numPr>
          <w:ilvl w:val="0"/>
          <w:numId w:val="4"/>
        </w:numPr>
        <w:spacing w:line="276" w:lineRule="auto"/>
        <w:ind w:left="567" w:right="476" w:firstLine="0"/>
        <w:contextualSpacing/>
        <w:rPr>
          <w:rFonts w:eastAsia="Calibri"/>
          <w:b/>
          <w:bCs/>
          <w:i/>
          <w:iCs/>
          <w:sz w:val="22"/>
          <w:szCs w:val="22"/>
          <w:lang w:eastAsia="en-US"/>
        </w:rPr>
      </w:pPr>
      <w:r w:rsidRPr="004E74A6">
        <w:rPr>
          <w:rFonts w:eastAsia="Calibri"/>
          <w:b/>
          <w:bCs/>
          <w:i/>
          <w:iCs/>
          <w:sz w:val="22"/>
          <w:szCs w:val="22"/>
          <w:lang w:eastAsia="en-US"/>
        </w:rPr>
        <w:t>La fijación del monto mínimo para que en un proceso ordinario se pueda interponer el recurso de casación ante Sala Primera.</w:t>
      </w:r>
    </w:p>
    <w:p w14:paraId="2E954A18" w14:textId="77777777" w:rsidR="006B0164" w:rsidRPr="004E74A6" w:rsidRDefault="006B0164" w:rsidP="00832773">
      <w:pPr>
        <w:spacing w:line="276" w:lineRule="auto"/>
        <w:ind w:left="567" w:right="476"/>
        <w:contextualSpacing/>
        <w:rPr>
          <w:rFonts w:eastAsia="Calibri"/>
          <w:i/>
          <w:iCs/>
          <w:sz w:val="22"/>
          <w:szCs w:val="22"/>
          <w:lang w:eastAsia="en-US"/>
        </w:rPr>
      </w:pPr>
    </w:p>
    <w:p w14:paraId="30484C51" w14:textId="77777777" w:rsidR="006B0164" w:rsidRPr="004E74A6" w:rsidRDefault="006B0164" w:rsidP="00832773">
      <w:pPr>
        <w:spacing w:line="276" w:lineRule="auto"/>
        <w:ind w:left="567" w:right="476"/>
        <w:contextualSpacing/>
        <w:rPr>
          <w:rFonts w:eastAsia="Calibri"/>
          <w:i/>
          <w:iCs/>
          <w:sz w:val="22"/>
          <w:szCs w:val="22"/>
          <w:lang w:eastAsia="en-US"/>
        </w:rPr>
      </w:pPr>
      <w:r w:rsidRPr="004E74A6">
        <w:rPr>
          <w:rFonts w:eastAsia="Calibri"/>
          <w:i/>
          <w:iCs/>
          <w:sz w:val="22"/>
          <w:szCs w:val="22"/>
          <w:lang w:eastAsia="en-US"/>
        </w:rPr>
        <w:t>Cualquier otra posibilidad de fijar otros tipos de cuantía para otros fines, escapa lo que hasta el momento disponen las normas de cita y consecuentemente resultan jurídicamente improcedentes de no operar un cambio normativo en tal sentido.</w:t>
      </w:r>
    </w:p>
    <w:p w14:paraId="60A491D8" w14:textId="77777777" w:rsidR="006B0164" w:rsidRPr="004E74A6" w:rsidRDefault="006B0164" w:rsidP="00832773">
      <w:pPr>
        <w:spacing w:line="276" w:lineRule="auto"/>
        <w:ind w:left="567" w:right="476"/>
        <w:contextualSpacing/>
        <w:rPr>
          <w:rFonts w:eastAsia="Calibri"/>
          <w:i/>
          <w:iCs/>
          <w:sz w:val="22"/>
          <w:szCs w:val="22"/>
          <w:lang w:eastAsia="en-US"/>
        </w:rPr>
      </w:pPr>
    </w:p>
    <w:p w14:paraId="247C042E" w14:textId="77777777" w:rsidR="006B0164" w:rsidRPr="004E74A6" w:rsidRDefault="006B0164" w:rsidP="00832773">
      <w:pPr>
        <w:spacing w:line="276" w:lineRule="auto"/>
        <w:ind w:left="567" w:right="476"/>
        <w:contextualSpacing/>
        <w:rPr>
          <w:rFonts w:eastAsia="Calibri"/>
          <w:i/>
          <w:iCs/>
          <w:sz w:val="22"/>
          <w:szCs w:val="22"/>
          <w:lang w:eastAsia="en-US"/>
        </w:rPr>
      </w:pPr>
      <w:r w:rsidRPr="004E74A6">
        <w:rPr>
          <w:rFonts w:eastAsia="Calibri"/>
          <w:i/>
          <w:iCs/>
          <w:sz w:val="22"/>
          <w:szCs w:val="22"/>
          <w:lang w:eastAsia="en-US"/>
        </w:rPr>
        <w:t xml:space="preserve">(…) Con base en todo lo expuesto, se puede concluir que: </w:t>
      </w:r>
    </w:p>
    <w:p w14:paraId="44B92417" w14:textId="77777777" w:rsidR="006B0164" w:rsidRPr="004E74A6" w:rsidRDefault="006B0164" w:rsidP="00832773">
      <w:pPr>
        <w:spacing w:line="276" w:lineRule="auto"/>
        <w:ind w:left="567" w:right="476"/>
        <w:contextualSpacing/>
        <w:rPr>
          <w:rFonts w:eastAsia="Calibri"/>
          <w:i/>
          <w:iCs/>
          <w:sz w:val="22"/>
          <w:szCs w:val="22"/>
          <w:lang w:eastAsia="en-US"/>
        </w:rPr>
      </w:pPr>
    </w:p>
    <w:p w14:paraId="0DAA55DC" w14:textId="07B2A634" w:rsidR="006B0164" w:rsidRPr="004E74A6" w:rsidRDefault="006B0164" w:rsidP="00832773">
      <w:pPr>
        <w:spacing w:line="276" w:lineRule="auto"/>
        <w:ind w:left="567" w:right="476"/>
        <w:contextualSpacing/>
        <w:rPr>
          <w:rFonts w:eastAsia="Calibri"/>
          <w:i/>
          <w:iCs/>
          <w:sz w:val="22"/>
          <w:szCs w:val="22"/>
          <w:lang w:eastAsia="en-US"/>
        </w:rPr>
      </w:pPr>
      <w:r w:rsidRPr="004E74A6">
        <w:rPr>
          <w:rFonts w:eastAsia="Calibri"/>
          <w:i/>
          <w:iCs/>
          <w:sz w:val="22"/>
          <w:szCs w:val="22"/>
          <w:lang w:eastAsia="en-US"/>
        </w:rPr>
        <w:lastRenderedPageBreak/>
        <w:t>1.La determinación de límites económicos como cuantía de los procesos judiciales en materia civil, constituye una potestad concedida por ley a la Corte Suprema de Justicia, como parte del ejercicio de gobierno administrativo del Poder Judicial (artículos 46, 59 y 114 de la Ley Orgánica del Poder Judicial; 16 y 158.4 de la Ley General de la Administración Pública).</w:t>
      </w:r>
    </w:p>
    <w:p w14:paraId="5AAC81AE" w14:textId="77777777" w:rsidR="006B0164" w:rsidRPr="004E74A6" w:rsidRDefault="006B0164" w:rsidP="00832773">
      <w:pPr>
        <w:spacing w:line="276" w:lineRule="auto"/>
        <w:ind w:left="567" w:right="476"/>
        <w:contextualSpacing/>
        <w:rPr>
          <w:rFonts w:eastAsia="Calibri"/>
          <w:i/>
          <w:iCs/>
          <w:sz w:val="22"/>
          <w:szCs w:val="22"/>
          <w:lang w:eastAsia="en-US"/>
        </w:rPr>
      </w:pPr>
    </w:p>
    <w:p w14:paraId="26F7E939" w14:textId="6B9ECF23" w:rsidR="006B0164" w:rsidRPr="004E74A6" w:rsidRDefault="006B0164" w:rsidP="00832773">
      <w:pPr>
        <w:spacing w:line="276" w:lineRule="auto"/>
        <w:ind w:left="567" w:right="476"/>
        <w:contextualSpacing/>
        <w:rPr>
          <w:rFonts w:eastAsia="Calibri"/>
          <w:i/>
          <w:iCs/>
          <w:sz w:val="22"/>
          <w:szCs w:val="22"/>
          <w:lang w:eastAsia="en-US"/>
        </w:rPr>
      </w:pPr>
      <w:r w:rsidRPr="004E74A6">
        <w:rPr>
          <w:rFonts w:eastAsia="Calibri"/>
          <w:i/>
          <w:iCs/>
          <w:sz w:val="22"/>
          <w:szCs w:val="22"/>
          <w:lang w:eastAsia="en-US"/>
        </w:rPr>
        <w:t>2.La existencia de la potestad de fijación de cuantía como de reserva de ley, se establece en la Ley Orgánica del Poder Judicial y el Código Procesal Civil para la delimitación de la competencia objetiva en los procesos ordinarios exclusivamente y a efecto de deslindar las competencias de los tribunales y juzgados en materia civil, en mayor o menor cuantía; así como el acceso al recurso de casación.</w:t>
      </w:r>
    </w:p>
    <w:p w14:paraId="0FBAF099" w14:textId="77777777" w:rsidR="006B0164" w:rsidRPr="004E74A6" w:rsidRDefault="006B0164" w:rsidP="00832773">
      <w:pPr>
        <w:spacing w:line="276" w:lineRule="auto"/>
        <w:ind w:left="567" w:right="476"/>
        <w:contextualSpacing/>
        <w:rPr>
          <w:rFonts w:eastAsia="Calibri"/>
          <w:i/>
          <w:iCs/>
          <w:sz w:val="22"/>
          <w:szCs w:val="22"/>
          <w:lang w:eastAsia="en-US"/>
        </w:rPr>
      </w:pPr>
    </w:p>
    <w:p w14:paraId="11ACDC9A" w14:textId="467D5F09" w:rsidR="006B0164" w:rsidRPr="004E74A6" w:rsidRDefault="006B0164" w:rsidP="00832773">
      <w:pPr>
        <w:spacing w:line="276" w:lineRule="auto"/>
        <w:ind w:left="567" w:right="476"/>
        <w:contextualSpacing/>
        <w:rPr>
          <w:rFonts w:eastAsia="Calibri"/>
          <w:i/>
          <w:iCs/>
          <w:sz w:val="22"/>
          <w:szCs w:val="22"/>
          <w:lang w:eastAsia="en-US"/>
        </w:rPr>
      </w:pPr>
      <w:r w:rsidRPr="004E74A6">
        <w:rPr>
          <w:rFonts w:eastAsia="Calibri"/>
          <w:i/>
          <w:iCs/>
          <w:sz w:val="22"/>
          <w:szCs w:val="22"/>
          <w:lang w:eastAsia="en-US"/>
        </w:rPr>
        <w:t>3.No se advierte la existencia de norma que habilite a la Corte Suprema de Justicia a realizar otro tipo de fijación de competencias en materia civil, ni a establecer cuantías diferenciadas según lo planteado por la Dirección de Planificación. En este sentido se requeriría una reforma legal que así lo permita”.</w:t>
      </w:r>
    </w:p>
    <w:p w14:paraId="2F97AA35" w14:textId="77777777" w:rsidR="006B0164" w:rsidRPr="004E74A6" w:rsidRDefault="006B0164" w:rsidP="00CE62C1">
      <w:pPr>
        <w:spacing w:after="160" w:line="276" w:lineRule="auto"/>
        <w:contextualSpacing/>
        <w:rPr>
          <w:rFonts w:eastAsia="Calibri"/>
          <w:szCs w:val="24"/>
          <w:lang w:eastAsia="en-US"/>
        </w:rPr>
      </w:pPr>
    </w:p>
    <w:p w14:paraId="686977D0" w14:textId="25E18F02" w:rsidR="006B0164" w:rsidRPr="004E74A6" w:rsidRDefault="006B0164" w:rsidP="00CE62C1">
      <w:pPr>
        <w:spacing w:after="160" w:line="276" w:lineRule="auto"/>
        <w:contextualSpacing/>
        <w:rPr>
          <w:rFonts w:eastAsia="Calibri"/>
          <w:szCs w:val="24"/>
          <w:lang w:eastAsia="en-US"/>
        </w:rPr>
      </w:pPr>
      <w:r w:rsidRPr="004E74A6">
        <w:rPr>
          <w:rFonts w:eastAsia="Calibri"/>
          <w:szCs w:val="24"/>
          <w:lang w:eastAsia="en-US"/>
        </w:rPr>
        <w:t xml:space="preserve">Por su parte en el criterio </w:t>
      </w:r>
      <w:r w:rsidRPr="004E74A6">
        <w:rPr>
          <w:rFonts w:eastAsia="Calibri"/>
          <w:b/>
          <w:bCs/>
          <w:szCs w:val="24"/>
          <w:lang w:eastAsia="en-US"/>
        </w:rPr>
        <w:t>DJ-C-376-2021</w:t>
      </w:r>
      <w:r w:rsidRPr="004E74A6">
        <w:rPr>
          <w:rFonts w:eastAsia="Calibri"/>
          <w:szCs w:val="24"/>
          <w:lang w:eastAsia="en-US"/>
        </w:rPr>
        <w:t xml:space="preserve"> del 6 de julio 2021 indic</w:t>
      </w:r>
      <w:r w:rsidR="00245A34" w:rsidRPr="004E74A6">
        <w:rPr>
          <w:rFonts w:eastAsia="Calibri"/>
          <w:szCs w:val="24"/>
          <w:lang w:eastAsia="en-US"/>
        </w:rPr>
        <w:t>ó</w:t>
      </w:r>
      <w:r w:rsidRPr="004E74A6">
        <w:rPr>
          <w:rFonts w:eastAsia="Calibri"/>
          <w:szCs w:val="24"/>
          <w:lang w:eastAsia="en-US"/>
        </w:rPr>
        <w:t>:</w:t>
      </w:r>
    </w:p>
    <w:p w14:paraId="3126481F" w14:textId="77777777" w:rsidR="006B0164" w:rsidRPr="004E74A6" w:rsidRDefault="006B0164" w:rsidP="00CE62C1">
      <w:pPr>
        <w:spacing w:after="160" w:line="276" w:lineRule="auto"/>
        <w:contextualSpacing/>
        <w:rPr>
          <w:rFonts w:eastAsia="Calibri"/>
          <w:szCs w:val="24"/>
          <w:lang w:eastAsia="en-US"/>
        </w:rPr>
      </w:pPr>
    </w:p>
    <w:p w14:paraId="24A993C5" w14:textId="77777777" w:rsidR="006B0164" w:rsidRPr="004E74A6" w:rsidRDefault="006B0164" w:rsidP="00832773">
      <w:pPr>
        <w:spacing w:line="276" w:lineRule="auto"/>
        <w:ind w:left="567" w:right="476"/>
        <w:contextualSpacing/>
        <w:rPr>
          <w:rFonts w:eastAsia="Calibri"/>
          <w:i/>
          <w:iCs/>
          <w:sz w:val="22"/>
          <w:szCs w:val="22"/>
          <w:lang w:eastAsia="en-US"/>
        </w:rPr>
      </w:pPr>
      <w:r w:rsidRPr="004E74A6">
        <w:rPr>
          <w:rFonts w:eastAsia="Calibri"/>
          <w:i/>
          <w:iCs/>
          <w:sz w:val="22"/>
          <w:szCs w:val="22"/>
          <w:lang w:eastAsia="en-US"/>
        </w:rPr>
        <w:t>“Siendo de trascendente importancia que dicho numeral 69 en su inciso 1 estipula claramente lo siguiente:</w:t>
      </w:r>
    </w:p>
    <w:p w14:paraId="1896C37C" w14:textId="77777777" w:rsidR="006B0164" w:rsidRPr="004E74A6" w:rsidRDefault="006B0164" w:rsidP="00832773">
      <w:pPr>
        <w:spacing w:line="276" w:lineRule="auto"/>
        <w:ind w:left="567" w:right="476"/>
        <w:contextualSpacing/>
        <w:rPr>
          <w:rFonts w:eastAsia="Calibri"/>
          <w:i/>
          <w:iCs/>
          <w:sz w:val="22"/>
          <w:szCs w:val="22"/>
          <w:lang w:eastAsia="en-US"/>
        </w:rPr>
      </w:pPr>
    </w:p>
    <w:p w14:paraId="6AD63A7F" w14:textId="77777777" w:rsidR="006B0164" w:rsidRPr="004E74A6" w:rsidRDefault="006B0164" w:rsidP="00832773">
      <w:pPr>
        <w:spacing w:line="276" w:lineRule="auto"/>
        <w:ind w:left="567" w:right="476"/>
        <w:contextualSpacing/>
        <w:rPr>
          <w:rFonts w:eastAsia="Calibri"/>
          <w:i/>
          <w:iCs/>
          <w:sz w:val="22"/>
          <w:szCs w:val="22"/>
          <w:lang w:eastAsia="en-US"/>
        </w:rPr>
      </w:pPr>
      <w:r w:rsidRPr="004E74A6">
        <w:rPr>
          <w:rFonts w:eastAsia="Calibri"/>
          <w:i/>
          <w:iCs/>
          <w:sz w:val="22"/>
          <w:szCs w:val="22"/>
          <w:lang w:eastAsia="en-US"/>
        </w:rPr>
        <w:t>“</w:t>
      </w:r>
      <w:r w:rsidRPr="004E74A6">
        <w:rPr>
          <w:rFonts w:eastAsia="Calibri"/>
          <w:b/>
          <w:bCs/>
          <w:i/>
          <w:iCs/>
          <w:sz w:val="22"/>
          <w:szCs w:val="22"/>
          <w:lang w:eastAsia="en-US"/>
        </w:rPr>
        <w:t>69.1 Resoluciones contra las que procede.</w:t>
      </w:r>
      <w:r w:rsidRPr="004E74A6">
        <w:rPr>
          <w:rFonts w:eastAsia="Calibri"/>
          <w:i/>
          <w:iCs/>
          <w:sz w:val="22"/>
          <w:szCs w:val="22"/>
          <w:lang w:eastAsia="en-US"/>
        </w:rPr>
        <w:t xml:space="preserve"> El recurso de casación podrá interponerse contra sentencias dictadas </w:t>
      </w:r>
      <w:r w:rsidRPr="004E74A6">
        <w:rPr>
          <w:rFonts w:eastAsia="Calibri"/>
          <w:b/>
          <w:bCs/>
          <w:i/>
          <w:iCs/>
          <w:sz w:val="22"/>
          <w:szCs w:val="22"/>
          <w:lang w:eastAsia="en-US"/>
        </w:rPr>
        <w:t>en procesos ordinarios de mayor cuantía</w:t>
      </w:r>
      <w:r w:rsidRPr="004E74A6">
        <w:rPr>
          <w:rFonts w:eastAsia="Calibri"/>
          <w:i/>
          <w:iCs/>
          <w:sz w:val="22"/>
          <w:szCs w:val="22"/>
          <w:lang w:eastAsia="en-US"/>
        </w:rPr>
        <w:t xml:space="preserve"> o inestimables y en los supuestos que la ley señale expresamente. La modificación del monto fijado para establecer la mayor cuantía, luego de iniciado un proceso, no impedirá el acceso al recurso” (las negrillas no son del original).</w:t>
      </w:r>
    </w:p>
    <w:p w14:paraId="378EFACC" w14:textId="77777777" w:rsidR="006B0164" w:rsidRPr="004E74A6" w:rsidRDefault="006B0164" w:rsidP="00832773">
      <w:pPr>
        <w:spacing w:line="276" w:lineRule="auto"/>
        <w:ind w:left="567" w:right="476"/>
        <w:contextualSpacing/>
        <w:rPr>
          <w:rFonts w:eastAsia="Calibri"/>
          <w:i/>
          <w:iCs/>
          <w:sz w:val="22"/>
          <w:szCs w:val="22"/>
          <w:lang w:eastAsia="en-US"/>
        </w:rPr>
      </w:pPr>
    </w:p>
    <w:p w14:paraId="033823E1" w14:textId="77777777" w:rsidR="006B0164" w:rsidRPr="004E74A6" w:rsidRDefault="006B0164" w:rsidP="00832773">
      <w:pPr>
        <w:spacing w:line="276" w:lineRule="auto"/>
        <w:ind w:left="567" w:right="476"/>
        <w:contextualSpacing/>
        <w:rPr>
          <w:rFonts w:eastAsia="Calibri"/>
          <w:i/>
          <w:iCs/>
          <w:sz w:val="22"/>
          <w:szCs w:val="22"/>
          <w:lang w:eastAsia="en-US"/>
        </w:rPr>
      </w:pPr>
      <w:r w:rsidRPr="004E74A6">
        <w:rPr>
          <w:rFonts w:eastAsia="Calibri"/>
          <w:i/>
          <w:iCs/>
          <w:sz w:val="22"/>
          <w:szCs w:val="22"/>
          <w:lang w:eastAsia="en-US"/>
        </w:rPr>
        <w:t xml:space="preserve">En otros términos, es requisito indispensable para que una sentencia pueda ser objeto del recurso de casación, que pertenezca a un </w:t>
      </w:r>
      <w:r w:rsidRPr="004E74A6">
        <w:rPr>
          <w:rFonts w:eastAsia="Calibri"/>
          <w:b/>
          <w:bCs/>
          <w:i/>
          <w:iCs/>
          <w:sz w:val="22"/>
          <w:szCs w:val="22"/>
          <w:u w:val="single"/>
          <w:lang w:eastAsia="en-US"/>
        </w:rPr>
        <w:t>proceso ordinario de mayor cuantía</w:t>
      </w:r>
      <w:r w:rsidRPr="004E74A6">
        <w:rPr>
          <w:rFonts w:eastAsia="Calibri"/>
          <w:i/>
          <w:iCs/>
          <w:sz w:val="22"/>
          <w:szCs w:val="22"/>
          <w:lang w:eastAsia="en-US"/>
        </w:rPr>
        <w:t>.</w:t>
      </w:r>
    </w:p>
    <w:p w14:paraId="1BC511F5" w14:textId="77777777" w:rsidR="006B0164" w:rsidRPr="004E74A6" w:rsidRDefault="006B0164" w:rsidP="00832773">
      <w:pPr>
        <w:spacing w:line="276" w:lineRule="auto"/>
        <w:ind w:left="567" w:right="476"/>
        <w:contextualSpacing/>
        <w:rPr>
          <w:rFonts w:eastAsia="Calibri"/>
          <w:i/>
          <w:iCs/>
          <w:sz w:val="22"/>
          <w:szCs w:val="22"/>
          <w:lang w:eastAsia="en-US"/>
        </w:rPr>
      </w:pPr>
    </w:p>
    <w:p w14:paraId="724EA5B7" w14:textId="77777777" w:rsidR="006B0164" w:rsidRPr="004E74A6" w:rsidRDefault="006B0164" w:rsidP="00832773">
      <w:pPr>
        <w:spacing w:line="276" w:lineRule="auto"/>
        <w:ind w:left="567" w:right="476"/>
        <w:contextualSpacing/>
        <w:rPr>
          <w:rFonts w:eastAsia="Calibri"/>
          <w:i/>
          <w:iCs/>
          <w:sz w:val="22"/>
          <w:szCs w:val="22"/>
          <w:lang w:eastAsia="en-US"/>
        </w:rPr>
      </w:pPr>
      <w:r w:rsidRPr="004E74A6">
        <w:rPr>
          <w:rFonts w:eastAsia="Calibri"/>
          <w:i/>
          <w:iCs/>
          <w:sz w:val="22"/>
          <w:szCs w:val="22"/>
          <w:lang w:eastAsia="en-US"/>
        </w:rPr>
        <w:t>Si bien es cierto el artículo 59 inciso 14 de la Ley Orgánica del Poder Judicial establece como parte de las competencias que corresponde a la Corte Suprema de Justicia:</w:t>
      </w:r>
    </w:p>
    <w:p w14:paraId="4E3859C9" w14:textId="77777777" w:rsidR="006B0164" w:rsidRPr="004E74A6" w:rsidRDefault="006B0164" w:rsidP="00832773">
      <w:pPr>
        <w:spacing w:line="276" w:lineRule="auto"/>
        <w:ind w:left="567" w:right="476"/>
        <w:contextualSpacing/>
        <w:rPr>
          <w:rFonts w:eastAsia="Calibri"/>
          <w:i/>
          <w:iCs/>
          <w:sz w:val="22"/>
          <w:szCs w:val="22"/>
          <w:lang w:eastAsia="en-US"/>
        </w:rPr>
      </w:pPr>
    </w:p>
    <w:p w14:paraId="62D95B0B" w14:textId="77777777" w:rsidR="006B0164" w:rsidRPr="004E74A6" w:rsidRDefault="006B0164" w:rsidP="00832773">
      <w:pPr>
        <w:spacing w:line="276" w:lineRule="auto"/>
        <w:ind w:left="567" w:right="476"/>
        <w:contextualSpacing/>
        <w:rPr>
          <w:rFonts w:eastAsia="Calibri"/>
          <w:i/>
          <w:iCs/>
          <w:sz w:val="22"/>
          <w:szCs w:val="22"/>
          <w:lang w:eastAsia="en-US"/>
        </w:rPr>
      </w:pPr>
      <w:r w:rsidRPr="004E74A6">
        <w:rPr>
          <w:rFonts w:eastAsia="Calibri"/>
          <w:i/>
          <w:iCs/>
          <w:sz w:val="22"/>
          <w:szCs w:val="22"/>
          <w:lang w:eastAsia="en-US"/>
        </w:rPr>
        <w:t>“14.- Establecer los montos para determinar la procedencia del recurso de casación, por votación mínima de dos terceras partes de la totalidad de los Magistrados. Este monto podrá disminuirse o aumentarse, una vez transcurrido el plazo aquí fijado, para lo cual previamente se solicitará al Banco Central de Costa Rica, un informe sobre el índice inflacionario.</w:t>
      </w:r>
    </w:p>
    <w:p w14:paraId="4786ABD5" w14:textId="77777777" w:rsidR="006B0164" w:rsidRPr="004E74A6" w:rsidRDefault="006B0164" w:rsidP="00832773">
      <w:pPr>
        <w:spacing w:line="276" w:lineRule="auto"/>
        <w:ind w:left="567" w:right="476"/>
        <w:contextualSpacing/>
        <w:rPr>
          <w:rFonts w:eastAsia="Calibri"/>
          <w:i/>
          <w:iCs/>
          <w:sz w:val="22"/>
          <w:szCs w:val="22"/>
          <w:lang w:eastAsia="en-US"/>
        </w:rPr>
      </w:pPr>
    </w:p>
    <w:p w14:paraId="147AE75E" w14:textId="77777777" w:rsidR="006B0164" w:rsidRPr="004E74A6" w:rsidRDefault="006B0164" w:rsidP="00832773">
      <w:pPr>
        <w:spacing w:line="276" w:lineRule="auto"/>
        <w:ind w:left="567" w:right="476"/>
        <w:contextualSpacing/>
        <w:rPr>
          <w:rFonts w:eastAsia="Calibri"/>
          <w:i/>
          <w:iCs/>
          <w:sz w:val="22"/>
          <w:szCs w:val="22"/>
          <w:lang w:eastAsia="en-US"/>
        </w:rPr>
      </w:pPr>
      <w:r w:rsidRPr="004E74A6">
        <w:rPr>
          <w:rFonts w:eastAsia="Calibri"/>
          <w:i/>
          <w:iCs/>
          <w:sz w:val="22"/>
          <w:szCs w:val="22"/>
          <w:lang w:eastAsia="en-US"/>
        </w:rPr>
        <w:t>Si transcurriere un mes sin haberse recibido el informe, la Corte prescindirá de él y hará la fijación que corresponda. La fijación que se realice, tanto en este caso como en el del inciso anterior, regirá un mes después de su primera publicación en el Boletín Judicial, por un período mínimo de dos años.”</w:t>
      </w:r>
    </w:p>
    <w:p w14:paraId="2E86A080" w14:textId="4F527E63" w:rsidR="00B32800" w:rsidRPr="004E74A6" w:rsidRDefault="00B32800" w:rsidP="00832773">
      <w:pPr>
        <w:spacing w:line="276" w:lineRule="auto"/>
        <w:ind w:left="567" w:right="476"/>
        <w:contextualSpacing/>
        <w:rPr>
          <w:rFonts w:eastAsia="Calibri"/>
          <w:sz w:val="22"/>
          <w:szCs w:val="22"/>
          <w:lang w:eastAsia="en-US"/>
        </w:rPr>
      </w:pPr>
    </w:p>
    <w:p w14:paraId="1A247441" w14:textId="77777777" w:rsidR="006B0164" w:rsidRPr="004E74A6" w:rsidRDefault="006B0164" w:rsidP="00832773">
      <w:pPr>
        <w:shd w:val="clear" w:color="auto" w:fill="BDD6EE" w:themeFill="accent5" w:themeFillTint="66"/>
        <w:spacing w:line="276" w:lineRule="auto"/>
        <w:ind w:left="567" w:right="476"/>
        <w:contextualSpacing/>
        <w:rPr>
          <w:rFonts w:eastAsia="Calibri"/>
          <w:i/>
          <w:iCs/>
          <w:sz w:val="22"/>
          <w:szCs w:val="22"/>
          <w:lang w:eastAsia="en-US"/>
        </w:rPr>
      </w:pPr>
      <w:r w:rsidRPr="004E74A6">
        <w:rPr>
          <w:rFonts w:eastAsia="Calibri"/>
          <w:i/>
          <w:iCs/>
          <w:sz w:val="22"/>
          <w:szCs w:val="22"/>
          <w:lang w:eastAsia="en-US"/>
        </w:rPr>
        <w:t>Se debe tener presente que, con la reciente reforma al Código Procesal Civil, ahora se debe observar el requisito contemplado en el artículo 69.1 de esta nueva normativa, en cuanto a que el recurso de casación en materia civil es posible cuando se trate de un proceso ordinario de mayor cuantía o inestimables; esto por cuanto, no puede obviarse, que el Código Procesal Civil es de creación y vigencia posterior a la Ley Orgánica del Poder Judicial.</w:t>
      </w:r>
    </w:p>
    <w:p w14:paraId="038C9937" w14:textId="77777777" w:rsidR="006B0164" w:rsidRPr="004E74A6" w:rsidRDefault="006B0164" w:rsidP="00832773">
      <w:pPr>
        <w:shd w:val="clear" w:color="auto" w:fill="BDD6EE" w:themeFill="accent5" w:themeFillTint="66"/>
        <w:spacing w:line="276" w:lineRule="auto"/>
        <w:ind w:left="567" w:right="476"/>
        <w:contextualSpacing/>
        <w:rPr>
          <w:rFonts w:eastAsia="Calibri"/>
          <w:i/>
          <w:iCs/>
          <w:sz w:val="22"/>
          <w:szCs w:val="22"/>
          <w:lang w:eastAsia="en-US"/>
        </w:rPr>
      </w:pPr>
    </w:p>
    <w:p w14:paraId="43DE7DEA" w14:textId="77777777" w:rsidR="006B0164" w:rsidRPr="004E74A6" w:rsidRDefault="006B0164" w:rsidP="00832773">
      <w:pPr>
        <w:shd w:val="clear" w:color="auto" w:fill="BDD6EE" w:themeFill="accent5" w:themeFillTint="66"/>
        <w:spacing w:line="276" w:lineRule="auto"/>
        <w:ind w:left="567" w:right="476"/>
        <w:contextualSpacing/>
        <w:rPr>
          <w:rFonts w:eastAsia="Calibri"/>
          <w:i/>
          <w:iCs/>
          <w:sz w:val="22"/>
          <w:szCs w:val="22"/>
          <w:lang w:eastAsia="en-US"/>
        </w:rPr>
      </w:pPr>
      <w:r w:rsidRPr="004E74A6">
        <w:rPr>
          <w:rFonts w:eastAsia="Calibri"/>
          <w:i/>
          <w:iCs/>
          <w:sz w:val="22"/>
          <w:szCs w:val="22"/>
          <w:lang w:eastAsia="en-US"/>
        </w:rPr>
        <w:t>De manera que, con esta nueva normativa el legislador limitó la competencia de la Corte Suprema de Justicia en cuanto a la determinación de la procedencia del recurso de casación, al establecer como requisito indispensable para que una sentencia pueda ser objeto de dicho recurso en materia civil, que pertenezca a un proceso ordinario de mayor cuantía o de cuantía inestimable.</w:t>
      </w:r>
    </w:p>
    <w:p w14:paraId="499156EB" w14:textId="77777777" w:rsidR="006B0164" w:rsidRPr="004E74A6" w:rsidRDefault="006B0164" w:rsidP="00832773">
      <w:pPr>
        <w:spacing w:line="276" w:lineRule="auto"/>
        <w:ind w:left="567" w:right="476"/>
        <w:contextualSpacing/>
        <w:rPr>
          <w:rFonts w:eastAsia="Calibri"/>
          <w:i/>
          <w:iCs/>
          <w:sz w:val="22"/>
          <w:szCs w:val="22"/>
          <w:lang w:eastAsia="en-US"/>
        </w:rPr>
      </w:pPr>
    </w:p>
    <w:p w14:paraId="67C05833" w14:textId="77777777" w:rsidR="006B0164" w:rsidRPr="004E74A6" w:rsidRDefault="006B0164" w:rsidP="00832773">
      <w:pPr>
        <w:spacing w:line="276" w:lineRule="auto"/>
        <w:ind w:left="567" w:right="476"/>
        <w:contextualSpacing/>
        <w:rPr>
          <w:rFonts w:eastAsia="Calibri"/>
          <w:i/>
          <w:iCs/>
          <w:sz w:val="22"/>
          <w:szCs w:val="22"/>
          <w:lang w:eastAsia="en-US"/>
        </w:rPr>
      </w:pPr>
      <w:r w:rsidRPr="004E74A6">
        <w:rPr>
          <w:rFonts w:eastAsia="Calibri"/>
          <w:i/>
          <w:iCs/>
          <w:sz w:val="22"/>
          <w:szCs w:val="22"/>
          <w:lang w:eastAsia="en-US"/>
        </w:rPr>
        <w:t>No obstante lo anterior, se debe tener presente lo externado en el criterio DJ-C-111-2021, en el sentido de que la fijación de los límites económicos como cuantía de los procesos judiciales en materia civil, constituye una potestad concedida por ley a la Corte Suprema de Justicia, como parte del ejercicio de gobierno administrativo del Poder Judicial (artículos 46 y 114 de la Ley Orgánica del Poder Judicial; 16 y 158.4 de la Ley General de la Administración Pública), con la finalidad de distribuir la competencia de los órganos jurisdiccionales, para lo cual la Corte podrá tomar en consideración múltiples factores, en orden a aumentar o disminuir los montos de cuantía; ahora bien, para ello se debe tener presente la precaución señalada en dicho criterio, en cuanto a la no existencia de norma legal que habilite a la Corte para realizar otro tipo de fijación de competencias en esta material, ni tampoco que pueda a establecer cuantías diferenciadas; siendo que para ello se requeriría una reforma legal que así lo permita”.</w:t>
      </w:r>
    </w:p>
    <w:p w14:paraId="59048CC5" w14:textId="77777777" w:rsidR="006B0164" w:rsidRPr="004E74A6" w:rsidRDefault="006B0164" w:rsidP="00CE62C1">
      <w:pPr>
        <w:spacing w:after="160" w:line="276" w:lineRule="auto"/>
        <w:contextualSpacing/>
        <w:rPr>
          <w:rFonts w:eastAsia="Calibri"/>
          <w:szCs w:val="24"/>
          <w:lang w:eastAsia="en-US"/>
        </w:rPr>
      </w:pPr>
    </w:p>
    <w:p w14:paraId="1E993F27" w14:textId="4233969E" w:rsidR="00245A34" w:rsidRPr="004E74A6" w:rsidRDefault="006B0164" w:rsidP="00CE62C1">
      <w:pPr>
        <w:numPr>
          <w:ilvl w:val="1"/>
          <w:numId w:val="3"/>
        </w:numPr>
        <w:spacing w:after="160" w:line="276" w:lineRule="auto"/>
        <w:contextualSpacing/>
        <w:rPr>
          <w:rFonts w:eastAsia="Calibri"/>
          <w:szCs w:val="24"/>
          <w:lang w:eastAsia="en-US"/>
        </w:rPr>
      </w:pPr>
      <w:r w:rsidRPr="004E74A6">
        <w:rPr>
          <w:rFonts w:eastAsia="Calibri"/>
          <w:szCs w:val="24"/>
          <w:lang w:eastAsia="en-US"/>
        </w:rPr>
        <w:t>La Dirección de Planificación</w:t>
      </w:r>
      <w:r w:rsidR="005230C9">
        <w:rPr>
          <w:rFonts w:eastAsia="Calibri"/>
          <w:szCs w:val="24"/>
          <w:lang w:eastAsia="en-US"/>
        </w:rPr>
        <w:t>,</w:t>
      </w:r>
      <w:r w:rsidRPr="004E74A6">
        <w:rPr>
          <w:rFonts w:eastAsia="Calibri"/>
          <w:szCs w:val="24"/>
          <w:lang w:eastAsia="en-US"/>
        </w:rPr>
        <w:t xml:space="preserve"> </w:t>
      </w:r>
      <w:r w:rsidR="00245A34" w:rsidRPr="004E74A6">
        <w:rPr>
          <w:rFonts w:eastAsia="Calibri"/>
          <w:szCs w:val="24"/>
          <w:lang w:eastAsia="en-US"/>
        </w:rPr>
        <w:t>remite</w:t>
      </w:r>
      <w:r w:rsidRPr="004E74A6">
        <w:rPr>
          <w:rFonts w:eastAsia="Calibri"/>
          <w:szCs w:val="24"/>
          <w:lang w:eastAsia="en-US"/>
        </w:rPr>
        <w:t xml:space="preserve"> en conocimiento de la Sala Primera ambos criterios de la Dirección Jurídica</w:t>
      </w:r>
      <w:r w:rsidR="005230C9">
        <w:rPr>
          <w:rFonts w:eastAsia="Calibri"/>
          <w:szCs w:val="24"/>
          <w:lang w:eastAsia="en-US"/>
        </w:rPr>
        <w:t>,</w:t>
      </w:r>
      <w:r w:rsidRPr="004E74A6">
        <w:rPr>
          <w:rFonts w:eastAsia="Calibri"/>
          <w:szCs w:val="24"/>
          <w:lang w:eastAsia="en-US"/>
        </w:rPr>
        <w:t xml:space="preserve"> mediante oficio 964-PLA-2021 del 26 de agosto del 2021 (</w:t>
      </w:r>
      <w:r w:rsidRPr="004E74A6">
        <w:rPr>
          <w:rFonts w:eastAsia="Calibri"/>
          <w:b/>
          <w:bCs/>
          <w:szCs w:val="24"/>
          <w:lang w:eastAsia="en-US"/>
        </w:rPr>
        <w:t>anexo 4</w:t>
      </w:r>
      <w:r w:rsidRPr="004E74A6">
        <w:rPr>
          <w:rFonts w:eastAsia="Calibri"/>
          <w:szCs w:val="24"/>
          <w:lang w:eastAsia="en-US"/>
        </w:rPr>
        <w:t>) y solicit</w:t>
      </w:r>
      <w:r w:rsidR="00245A34" w:rsidRPr="004E74A6">
        <w:rPr>
          <w:rFonts w:eastAsia="Calibri"/>
          <w:szCs w:val="24"/>
          <w:lang w:eastAsia="en-US"/>
        </w:rPr>
        <w:t>ó</w:t>
      </w:r>
      <w:r w:rsidRPr="004E74A6">
        <w:rPr>
          <w:rFonts w:eastAsia="Calibri"/>
          <w:szCs w:val="24"/>
          <w:lang w:eastAsia="en-US"/>
        </w:rPr>
        <w:t xml:space="preserve"> espacio de reunión para obtener retroalimentación de parte de la Sala respecto a la información que se requiere para la nueva propuesta a presentar en conjunto a Corte Plena en atención del acuerdo en sesión 2-2021 celebrada el 11 de enero del año en curso, artículo XLII. </w:t>
      </w:r>
    </w:p>
    <w:p w14:paraId="78188FFC" w14:textId="6D924A4A" w:rsidR="006B0164" w:rsidRPr="004E74A6" w:rsidRDefault="006B0164" w:rsidP="00CE62C1">
      <w:pPr>
        <w:spacing w:after="160" w:line="276" w:lineRule="auto"/>
        <w:contextualSpacing/>
        <w:rPr>
          <w:rFonts w:eastAsia="Calibri"/>
          <w:szCs w:val="24"/>
          <w:lang w:eastAsia="en-US"/>
        </w:rPr>
      </w:pPr>
      <w:r w:rsidRPr="004E74A6">
        <w:rPr>
          <w:rFonts w:eastAsia="Calibri"/>
          <w:szCs w:val="24"/>
          <w:lang w:eastAsia="en-US"/>
        </w:rPr>
        <w:lastRenderedPageBreak/>
        <w:t>La sesión de trabajo</w:t>
      </w:r>
      <w:r w:rsidR="005230C9">
        <w:rPr>
          <w:rFonts w:eastAsia="Calibri"/>
          <w:szCs w:val="24"/>
          <w:lang w:eastAsia="en-US"/>
        </w:rPr>
        <w:t>,</w:t>
      </w:r>
      <w:r w:rsidRPr="004E74A6">
        <w:rPr>
          <w:rFonts w:eastAsia="Calibri"/>
          <w:szCs w:val="24"/>
          <w:lang w:eastAsia="en-US"/>
        </w:rPr>
        <w:t xml:space="preserve"> se llevó a cabo el 5 de octubre de 2021 (minuta 939-PLA-MI-MNTA-2021-</w:t>
      </w:r>
      <w:r w:rsidRPr="004E74A6">
        <w:rPr>
          <w:rFonts w:eastAsia="Calibri"/>
          <w:b/>
          <w:bCs/>
          <w:szCs w:val="24"/>
          <w:lang w:eastAsia="en-US"/>
        </w:rPr>
        <w:t>anexo 5</w:t>
      </w:r>
      <w:r w:rsidRPr="004E74A6">
        <w:rPr>
          <w:rFonts w:eastAsia="Calibri"/>
          <w:szCs w:val="24"/>
          <w:lang w:eastAsia="en-US"/>
        </w:rPr>
        <w:t>).</w:t>
      </w:r>
    </w:p>
    <w:p w14:paraId="6158A810" w14:textId="77777777" w:rsidR="006B0164" w:rsidRPr="004E74A6" w:rsidRDefault="006B0164" w:rsidP="00CE62C1">
      <w:pPr>
        <w:spacing w:after="160" w:line="276" w:lineRule="auto"/>
        <w:contextualSpacing/>
        <w:rPr>
          <w:rFonts w:eastAsia="Calibri"/>
          <w:szCs w:val="24"/>
          <w:lang w:eastAsia="en-US"/>
        </w:rPr>
      </w:pPr>
    </w:p>
    <w:p w14:paraId="624DFAB0" w14:textId="77777777" w:rsidR="00987070" w:rsidRPr="004E74A6" w:rsidRDefault="0026249C" w:rsidP="00CE62C1">
      <w:pPr>
        <w:numPr>
          <w:ilvl w:val="2"/>
          <w:numId w:val="3"/>
        </w:numPr>
        <w:spacing w:after="160" w:line="276" w:lineRule="auto"/>
        <w:contextualSpacing/>
        <w:rPr>
          <w:rFonts w:eastAsia="Calibri"/>
          <w:szCs w:val="24"/>
          <w:lang w:eastAsia="en-US"/>
        </w:rPr>
      </w:pPr>
      <w:r w:rsidRPr="004E74A6">
        <w:rPr>
          <w:rFonts w:eastAsia="Calibri"/>
          <w:szCs w:val="24"/>
          <w:lang w:eastAsia="en-US"/>
        </w:rPr>
        <w:t xml:space="preserve">En esa sesión se </w:t>
      </w:r>
      <w:r w:rsidR="00987070" w:rsidRPr="004E74A6">
        <w:rPr>
          <w:rFonts w:eastAsia="Calibri"/>
          <w:szCs w:val="24"/>
          <w:lang w:eastAsia="en-US"/>
        </w:rPr>
        <w:t xml:space="preserve">acordó lo siguiente: </w:t>
      </w:r>
      <w:r w:rsidRPr="004E74A6">
        <w:rPr>
          <w:rFonts w:eastAsia="Calibri"/>
          <w:szCs w:val="24"/>
          <w:lang w:eastAsia="en-US"/>
        </w:rPr>
        <w:t xml:space="preserve"> </w:t>
      </w:r>
    </w:p>
    <w:p w14:paraId="02D9002E" w14:textId="77777777" w:rsidR="00987070" w:rsidRPr="004E74A6" w:rsidRDefault="00987070" w:rsidP="00CE62C1">
      <w:pPr>
        <w:numPr>
          <w:ilvl w:val="0"/>
          <w:numId w:val="12"/>
        </w:numPr>
        <w:spacing w:after="160" w:line="276" w:lineRule="auto"/>
        <w:contextualSpacing/>
        <w:rPr>
          <w:rFonts w:eastAsia="Calibri"/>
          <w:i/>
          <w:iCs/>
          <w:sz w:val="22"/>
          <w:szCs w:val="22"/>
          <w:lang w:eastAsia="en-US"/>
        </w:rPr>
      </w:pPr>
      <w:r w:rsidRPr="004E74A6">
        <w:rPr>
          <w:rFonts w:eastAsia="Calibri"/>
          <w:i/>
          <w:iCs/>
          <w:sz w:val="22"/>
          <w:szCs w:val="22"/>
          <w:lang w:eastAsia="en-US"/>
        </w:rPr>
        <w:t xml:space="preserve">La Dirección de Planificación desglosará la información estadística con mayor detalle (si se trata de casaciones o conflictos de competencia), detalle por cada materia competencia de la Sala.  </w:t>
      </w:r>
    </w:p>
    <w:p w14:paraId="22D120BB" w14:textId="77777777" w:rsidR="00987070" w:rsidRPr="004E74A6" w:rsidRDefault="00987070" w:rsidP="00CE62C1">
      <w:pPr>
        <w:numPr>
          <w:ilvl w:val="0"/>
          <w:numId w:val="12"/>
        </w:numPr>
        <w:spacing w:after="160" w:line="276" w:lineRule="auto"/>
        <w:contextualSpacing/>
        <w:rPr>
          <w:rFonts w:eastAsia="Calibri"/>
          <w:i/>
          <w:iCs/>
          <w:sz w:val="22"/>
          <w:szCs w:val="22"/>
          <w:lang w:eastAsia="en-US"/>
        </w:rPr>
      </w:pPr>
      <w:r w:rsidRPr="004E74A6">
        <w:rPr>
          <w:rFonts w:eastAsia="Calibri"/>
          <w:i/>
          <w:iCs/>
          <w:sz w:val="22"/>
          <w:szCs w:val="22"/>
          <w:lang w:eastAsia="en-US"/>
        </w:rPr>
        <w:t>La Dirección de Planificación incluirá en el nuevo informe de cuantía civil, el escenario de una cuantía diferente solamente para el recurso de casación de las sentencias dictadas por los Tribunales Colegiados de Primera Instancia para valoración de Corte Plena y presentación de la Sala Primera.</w:t>
      </w:r>
    </w:p>
    <w:p w14:paraId="4D3C66D2" w14:textId="77777777" w:rsidR="00987070" w:rsidRPr="004E74A6" w:rsidRDefault="00987070" w:rsidP="00CE62C1">
      <w:pPr>
        <w:numPr>
          <w:ilvl w:val="0"/>
          <w:numId w:val="12"/>
        </w:numPr>
        <w:spacing w:after="160" w:line="276" w:lineRule="auto"/>
        <w:contextualSpacing/>
        <w:rPr>
          <w:rFonts w:eastAsia="Calibri"/>
          <w:i/>
          <w:iCs/>
          <w:sz w:val="22"/>
          <w:szCs w:val="22"/>
          <w:lang w:eastAsia="en-US"/>
        </w:rPr>
      </w:pPr>
      <w:r w:rsidRPr="004E74A6">
        <w:rPr>
          <w:rFonts w:eastAsia="Calibri"/>
          <w:i/>
          <w:iCs/>
          <w:sz w:val="22"/>
          <w:szCs w:val="22"/>
          <w:lang w:eastAsia="en-US"/>
        </w:rPr>
        <w:t xml:space="preserve">La Dirección de Planificación reiterara como efecto de un posible incremento general de cuantía en todas las instancias, la posibilidad de requerir traslados de personal entre tribunales y juzgados Civiles. </w:t>
      </w:r>
    </w:p>
    <w:p w14:paraId="2768A3AF" w14:textId="2CAC422E" w:rsidR="00987070" w:rsidRPr="004E74A6" w:rsidRDefault="00987070" w:rsidP="00CE62C1">
      <w:pPr>
        <w:numPr>
          <w:ilvl w:val="0"/>
          <w:numId w:val="12"/>
        </w:numPr>
        <w:spacing w:after="160" w:line="276" w:lineRule="auto"/>
        <w:contextualSpacing/>
        <w:rPr>
          <w:rFonts w:eastAsia="Calibri"/>
          <w:i/>
          <w:iCs/>
          <w:sz w:val="22"/>
          <w:szCs w:val="22"/>
          <w:lang w:eastAsia="en-US"/>
        </w:rPr>
      </w:pPr>
      <w:r w:rsidRPr="004E74A6">
        <w:rPr>
          <w:rFonts w:eastAsia="Calibri"/>
          <w:i/>
          <w:iCs/>
          <w:sz w:val="22"/>
          <w:szCs w:val="22"/>
          <w:lang w:eastAsia="en-US"/>
        </w:rPr>
        <w:t>La Comisión de la Jurisdicción Civil solicitará al Consejo Superior la emisión de una directriz en donde los Juzgados y Tribunales en primera Instancia Civil y Cobro se avoquen a actualizar a la mayor brevedad la información, además coordinaran para que el Centro de Apoyo, Coordinación y Mejor miento De la Función Jurisdiccional apoye a las oficinas y garantice que se actualice la información rápidamente</w:t>
      </w:r>
      <w:r w:rsidR="002D358A" w:rsidRPr="004E74A6">
        <w:rPr>
          <w:rStyle w:val="Refdenotaalpie"/>
          <w:rFonts w:eastAsia="Calibri"/>
          <w:i/>
          <w:iCs/>
          <w:sz w:val="22"/>
          <w:szCs w:val="22"/>
          <w:lang w:eastAsia="en-US"/>
        </w:rPr>
        <w:footnoteReference w:id="11"/>
      </w:r>
      <w:r w:rsidRPr="004E74A6">
        <w:rPr>
          <w:rFonts w:eastAsia="Calibri"/>
          <w:i/>
          <w:iCs/>
          <w:sz w:val="22"/>
          <w:szCs w:val="22"/>
          <w:lang w:eastAsia="en-US"/>
        </w:rPr>
        <w:t xml:space="preserve">. </w:t>
      </w:r>
    </w:p>
    <w:p w14:paraId="1A230C49" w14:textId="77777777" w:rsidR="00987070" w:rsidRPr="004E74A6" w:rsidRDefault="00987070" w:rsidP="00CE62C1">
      <w:pPr>
        <w:spacing w:after="160" w:line="276" w:lineRule="auto"/>
        <w:contextualSpacing/>
        <w:rPr>
          <w:rFonts w:eastAsia="Calibri"/>
          <w:szCs w:val="24"/>
          <w:lang w:eastAsia="en-US"/>
        </w:rPr>
      </w:pPr>
    </w:p>
    <w:p w14:paraId="73702D66" w14:textId="63B43B98" w:rsidR="006B0164" w:rsidRPr="004E74A6" w:rsidRDefault="006B0164" w:rsidP="00CE62C1">
      <w:pPr>
        <w:numPr>
          <w:ilvl w:val="1"/>
          <w:numId w:val="3"/>
        </w:numPr>
        <w:spacing w:after="160" w:line="276" w:lineRule="auto"/>
        <w:contextualSpacing/>
        <w:rPr>
          <w:rFonts w:eastAsia="Calibri"/>
          <w:szCs w:val="24"/>
          <w:lang w:eastAsia="en-US"/>
        </w:rPr>
      </w:pPr>
      <w:r w:rsidRPr="004E74A6">
        <w:rPr>
          <w:rFonts w:eastAsia="Calibri"/>
          <w:szCs w:val="24"/>
          <w:lang w:eastAsia="en-US"/>
        </w:rPr>
        <w:t>Entre los acuerdos de la sesión de trabajo con la Sala Primera del 5 de octubre 2021</w:t>
      </w:r>
      <w:r w:rsidR="00245A34" w:rsidRPr="004E74A6">
        <w:rPr>
          <w:rFonts w:eastAsia="Calibri"/>
          <w:szCs w:val="24"/>
          <w:lang w:eastAsia="en-US"/>
        </w:rPr>
        <w:t>, se incluyó</w:t>
      </w:r>
      <w:r w:rsidRPr="004E74A6">
        <w:rPr>
          <w:rFonts w:eastAsia="Calibri"/>
          <w:szCs w:val="24"/>
          <w:lang w:eastAsia="en-US"/>
        </w:rPr>
        <w:t xml:space="preserve"> la </w:t>
      </w:r>
      <w:r w:rsidR="00245A34" w:rsidRPr="004E74A6">
        <w:rPr>
          <w:rFonts w:eastAsia="Calibri"/>
          <w:szCs w:val="24"/>
          <w:lang w:eastAsia="en-US"/>
        </w:rPr>
        <w:t xml:space="preserve">emisión </w:t>
      </w:r>
      <w:r w:rsidRPr="004E74A6">
        <w:rPr>
          <w:rFonts w:eastAsia="Calibri"/>
          <w:szCs w:val="24"/>
          <w:lang w:eastAsia="en-US"/>
        </w:rPr>
        <w:t>de una propuesta de circular por parte de la Comisión de la Jurisdicción Civil al Consejo Superior en donde solicitar</w:t>
      </w:r>
      <w:r w:rsidR="00786B1E" w:rsidRPr="004E74A6">
        <w:rPr>
          <w:rFonts w:eastAsia="Calibri"/>
          <w:szCs w:val="24"/>
          <w:lang w:eastAsia="en-US"/>
        </w:rPr>
        <w:t>á</w:t>
      </w:r>
      <w:r w:rsidRPr="004E74A6">
        <w:rPr>
          <w:rFonts w:eastAsia="Calibri"/>
          <w:szCs w:val="24"/>
          <w:lang w:eastAsia="en-US"/>
        </w:rPr>
        <w:t xml:space="preserve"> a las oficinas (Juzgados, Tribunales Colegiados y la misma Sala) depurar la información registrada en la variable </w:t>
      </w:r>
      <w:r w:rsidRPr="004E74A6">
        <w:rPr>
          <w:rFonts w:eastAsia="Calibri"/>
          <w:i/>
          <w:iCs/>
          <w:szCs w:val="24"/>
          <w:lang w:eastAsia="en-US"/>
        </w:rPr>
        <w:t>cuantía</w:t>
      </w:r>
      <w:r w:rsidRPr="004E74A6">
        <w:rPr>
          <w:rFonts w:eastAsia="Calibri"/>
          <w:szCs w:val="24"/>
          <w:lang w:eastAsia="en-US"/>
        </w:rPr>
        <w:t>, ya que se detect</w:t>
      </w:r>
      <w:r w:rsidR="00245A34" w:rsidRPr="004E74A6">
        <w:rPr>
          <w:rFonts w:eastAsia="Calibri"/>
          <w:szCs w:val="24"/>
          <w:lang w:eastAsia="en-US"/>
        </w:rPr>
        <w:t>ó</w:t>
      </w:r>
      <w:r w:rsidRPr="004E74A6">
        <w:rPr>
          <w:rFonts w:eastAsia="Calibri"/>
          <w:szCs w:val="24"/>
          <w:lang w:eastAsia="en-US"/>
        </w:rPr>
        <w:t xml:space="preserve"> inconsistencias, por ejemplo </w:t>
      </w:r>
      <w:r w:rsidR="00245A34" w:rsidRPr="004E74A6">
        <w:rPr>
          <w:rFonts w:eastAsia="Calibri"/>
          <w:szCs w:val="24"/>
          <w:lang w:eastAsia="en-US"/>
        </w:rPr>
        <w:t xml:space="preserve">registro del dato de </w:t>
      </w:r>
      <w:r w:rsidRPr="004E74A6">
        <w:rPr>
          <w:rFonts w:eastAsia="Calibri"/>
          <w:szCs w:val="24"/>
          <w:lang w:eastAsia="en-US"/>
        </w:rPr>
        <w:t>tipo de cuantía pero el rango  en “</w:t>
      </w:r>
      <w:r w:rsidRPr="004E74A6">
        <w:rPr>
          <w:rFonts w:eastAsia="Calibri"/>
          <w:i/>
          <w:iCs/>
          <w:szCs w:val="24"/>
          <w:lang w:eastAsia="en-US"/>
        </w:rPr>
        <w:t>blanco</w:t>
      </w:r>
      <w:r w:rsidRPr="004E74A6">
        <w:rPr>
          <w:rFonts w:eastAsia="Calibri"/>
          <w:szCs w:val="24"/>
          <w:lang w:eastAsia="en-US"/>
        </w:rPr>
        <w:t xml:space="preserve">” (el sistema registra estos casos como </w:t>
      </w:r>
      <w:r w:rsidRPr="004E74A6">
        <w:rPr>
          <w:rFonts w:eastAsia="Calibri"/>
          <w:i/>
          <w:iCs/>
          <w:szCs w:val="24"/>
          <w:lang w:eastAsia="en-US"/>
        </w:rPr>
        <w:t>“expedientes cuantía cero”</w:t>
      </w:r>
      <w:r w:rsidRPr="004E74A6">
        <w:rPr>
          <w:rFonts w:eastAsia="Calibri"/>
          <w:szCs w:val="24"/>
          <w:lang w:eastAsia="en-US"/>
        </w:rPr>
        <w:t xml:space="preserve">) o asuntos en donde tipo de cuantía </w:t>
      </w:r>
      <w:r w:rsidR="00245A34" w:rsidRPr="004E74A6">
        <w:rPr>
          <w:rFonts w:eastAsia="Calibri"/>
          <w:szCs w:val="24"/>
          <w:lang w:eastAsia="en-US"/>
        </w:rPr>
        <w:t xml:space="preserve">se indicó </w:t>
      </w:r>
      <w:r w:rsidRPr="004E74A6">
        <w:rPr>
          <w:rFonts w:eastAsia="Calibri"/>
          <w:i/>
          <w:iCs/>
          <w:szCs w:val="24"/>
          <w:lang w:eastAsia="en-US"/>
        </w:rPr>
        <w:t>“no aplica”</w:t>
      </w:r>
      <w:r w:rsidRPr="004E74A6">
        <w:rPr>
          <w:rFonts w:eastAsia="Calibri"/>
          <w:szCs w:val="24"/>
          <w:lang w:eastAsia="en-US"/>
        </w:rPr>
        <w:t xml:space="preserve">, siendo que esta opción no </w:t>
      </w:r>
      <w:r w:rsidR="00786B1E" w:rsidRPr="004E74A6">
        <w:rPr>
          <w:rFonts w:eastAsia="Calibri"/>
          <w:szCs w:val="24"/>
          <w:lang w:eastAsia="en-US"/>
        </w:rPr>
        <w:t>se debe utilizar</w:t>
      </w:r>
      <w:r w:rsidRPr="004E74A6">
        <w:rPr>
          <w:rFonts w:eastAsia="Calibri"/>
          <w:szCs w:val="24"/>
          <w:lang w:eastAsia="en-US"/>
        </w:rPr>
        <w:t xml:space="preserve"> en materia Civil o Cobro. </w:t>
      </w:r>
    </w:p>
    <w:p w14:paraId="318AA255" w14:textId="77777777" w:rsidR="00245A34" w:rsidRPr="004E74A6" w:rsidRDefault="00245A34" w:rsidP="00CE62C1">
      <w:pPr>
        <w:spacing w:after="160" w:line="276" w:lineRule="auto"/>
        <w:contextualSpacing/>
        <w:rPr>
          <w:rFonts w:eastAsia="Calibri"/>
          <w:szCs w:val="24"/>
          <w:lang w:eastAsia="en-US"/>
        </w:rPr>
      </w:pPr>
    </w:p>
    <w:p w14:paraId="2E826F85" w14:textId="389F3E38" w:rsidR="006B0164" w:rsidRPr="004E74A6" w:rsidRDefault="006B0164" w:rsidP="00CE62C1">
      <w:pPr>
        <w:spacing w:after="160" w:line="276" w:lineRule="auto"/>
        <w:contextualSpacing/>
        <w:rPr>
          <w:rFonts w:eastAsia="Calibri"/>
          <w:szCs w:val="24"/>
          <w:lang w:eastAsia="en-US"/>
        </w:rPr>
      </w:pPr>
      <w:r w:rsidRPr="004E74A6">
        <w:rPr>
          <w:rFonts w:eastAsia="Calibri"/>
          <w:szCs w:val="24"/>
          <w:lang w:eastAsia="en-US"/>
        </w:rPr>
        <w:t>En el caso de la Sala</w:t>
      </w:r>
      <w:r w:rsidR="00E2728C" w:rsidRPr="004E74A6">
        <w:rPr>
          <w:rFonts w:eastAsia="Calibri"/>
          <w:szCs w:val="24"/>
          <w:lang w:eastAsia="en-US"/>
        </w:rPr>
        <w:t xml:space="preserve"> Primera</w:t>
      </w:r>
      <w:r w:rsidRPr="004E74A6">
        <w:rPr>
          <w:rFonts w:eastAsia="Calibri"/>
          <w:szCs w:val="24"/>
          <w:lang w:eastAsia="en-US"/>
        </w:rPr>
        <w:t xml:space="preserve"> se reporta</w:t>
      </w:r>
      <w:r w:rsidR="00245A34" w:rsidRPr="004E74A6">
        <w:rPr>
          <w:rFonts w:eastAsia="Calibri"/>
          <w:szCs w:val="24"/>
          <w:lang w:eastAsia="en-US"/>
        </w:rPr>
        <w:t>ro</w:t>
      </w:r>
      <w:r w:rsidRPr="004E74A6">
        <w:rPr>
          <w:rFonts w:eastAsia="Calibri"/>
          <w:szCs w:val="24"/>
          <w:lang w:eastAsia="en-US"/>
        </w:rPr>
        <w:t xml:space="preserve">n en 2020, un total de 73 asuntos con el dato del tipo de </w:t>
      </w:r>
      <w:r w:rsidR="005047C1" w:rsidRPr="004E74A6">
        <w:rPr>
          <w:rFonts w:eastAsia="Calibri"/>
          <w:szCs w:val="24"/>
          <w:lang w:eastAsia="en-US"/>
        </w:rPr>
        <w:t>cuantía,</w:t>
      </w:r>
      <w:r w:rsidRPr="004E74A6">
        <w:rPr>
          <w:rFonts w:eastAsia="Calibri"/>
          <w:szCs w:val="24"/>
          <w:lang w:eastAsia="en-US"/>
        </w:rPr>
        <w:t xml:space="preserve"> pero el rango en blanco y 15 </w:t>
      </w:r>
      <w:r w:rsidR="00245A34" w:rsidRPr="004E74A6">
        <w:rPr>
          <w:rFonts w:eastAsia="Calibri"/>
          <w:szCs w:val="24"/>
          <w:lang w:eastAsia="en-US"/>
        </w:rPr>
        <w:t xml:space="preserve">casos con </w:t>
      </w:r>
      <w:r w:rsidRPr="004E74A6">
        <w:rPr>
          <w:rFonts w:eastAsia="Calibri"/>
          <w:szCs w:val="24"/>
          <w:lang w:eastAsia="en-US"/>
        </w:rPr>
        <w:t xml:space="preserve">cuantía de menos de ¢3.000.001. Para el primer semestre 2021, el dato de los asuntos sin rango fue de 62 casos y 3 con cuantía menor a ¢3.000.001. Además de algunos asuntos </w:t>
      </w:r>
      <w:r w:rsidR="00C26143" w:rsidRPr="004E74A6">
        <w:rPr>
          <w:rFonts w:eastAsia="Calibri"/>
          <w:szCs w:val="24"/>
          <w:lang w:eastAsia="en-US"/>
        </w:rPr>
        <w:t>A</w:t>
      </w:r>
      <w:r w:rsidRPr="004E74A6">
        <w:rPr>
          <w:rFonts w:eastAsia="Calibri"/>
          <w:szCs w:val="24"/>
          <w:lang w:eastAsia="en-US"/>
        </w:rPr>
        <w:t xml:space="preserve">grarios en donde no se estimó la cuantía, pese a que todos son estimables. Para la depuración </w:t>
      </w:r>
      <w:r w:rsidRPr="004E74A6">
        <w:rPr>
          <w:rFonts w:eastAsia="Calibri"/>
          <w:szCs w:val="24"/>
          <w:lang w:eastAsia="en-US"/>
        </w:rPr>
        <w:lastRenderedPageBreak/>
        <w:t xml:space="preserve">de la información se coordinó con el Lic. Erick Monge Sandi, </w:t>
      </w:r>
      <w:r w:rsidR="00994C43">
        <w:rPr>
          <w:rFonts w:eastAsia="Calibri"/>
          <w:szCs w:val="24"/>
          <w:lang w:eastAsia="en-US"/>
        </w:rPr>
        <w:t>S</w:t>
      </w:r>
      <w:r w:rsidRPr="004E74A6">
        <w:rPr>
          <w:rFonts w:eastAsia="Calibri"/>
          <w:szCs w:val="24"/>
          <w:lang w:eastAsia="en-US"/>
        </w:rPr>
        <w:t>ecretario de</w:t>
      </w:r>
      <w:r w:rsidR="00994C43">
        <w:rPr>
          <w:rFonts w:eastAsia="Calibri"/>
          <w:szCs w:val="24"/>
          <w:lang w:eastAsia="en-US"/>
        </w:rPr>
        <w:t xml:space="preserve"> la Sala Primera</w:t>
      </w:r>
      <w:r w:rsidRPr="004E74A6">
        <w:rPr>
          <w:rFonts w:eastAsia="Calibri"/>
          <w:szCs w:val="24"/>
          <w:lang w:eastAsia="en-US"/>
        </w:rPr>
        <w:t xml:space="preserve">.  </w:t>
      </w:r>
    </w:p>
    <w:p w14:paraId="79AC2BF2" w14:textId="77777777" w:rsidR="006B0164" w:rsidRPr="004E74A6" w:rsidRDefault="006B0164" w:rsidP="00CE62C1">
      <w:pPr>
        <w:spacing w:line="276" w:lineRule="auto"/>
        <w:contextualSpacing/>
        <w:rPr>
          <w:rFonts w:eastAsia="Calibri"/>
          <w:szCs w:val="24"/>
          <w:lang w:eastAsia="en-US"/>
        </w:rPr>
      </w:pPr>
    </w:p>
    <w:p w14:paraId="3536EC5A" w14:textId="77777777" w:rsidR="009A0AA3" w:rsidRPr="004E74A6" w:rsidRDefault="00245A34" w:rsidP="00CE62C1">
      <w:pPr>
        <w:numPr>
          <w:ilvl w:val="2"/>
          <w:numId w:val="3"/>
        </w:numPr>
        <w:spacing w:line="276" w:lineRule="auto"/>
        <w:contextualSpacing/>
        <w:rPr>
          <w:rFonts w:eastAsia="Calibri"/>
          <w:szCs w:val="24"/>
          <w:lang w:eastAsia="en-US"/>
        </w:rPr>
      </w:pPr>
      <w:r w:rsidRPr="004E74A6">
        <w:rPr>
          <w:rFonts w:eastAsia="Calibri"/>
          <w:szCs w:val="24"/>
          <w:lang w:eastAsia="en-US"/>
        </w:rPr>
        <w:t xml:space="preserve">La circular que emitió el Consejo Superior fue </w:t>
      </w:r>
      <w:r w:rsidR="002B0B96" w:rsidRPr="004E74A6">
        <w:rPr>
          <w:rFonts w:eastAsia="Calibri"/>
          <w:szCs w:val="24"/>
          <w:lang w:eastAsia="en-US"/>
        </w:rPr>
        <w:t>la circular 297-2</w:t>
      </w:r>
      <w:r w:rsidR="00D50D16" w:rsidRPr="004E74A6">
        <w:rPr>
          <w:rFonts w:eastAsia="Calibri"/>
          <w:szCs w:val="24"/>
          <w:lang w:eastAsia="en-US"/>
        </w:rPr>
        <w:t xml:space="preserve">021 </w:t>
      </w:r>
      <w:r w:rsidR="00D50D16" w:rsidRPr="004E74A6">
        <w:rPr>
          <w:rFonts w:eastAsia="Calibri"/>
          <w:i/>
          <w:iCs/>
          <w:szCs w:val="24"/>
          <w:lang w:eastAsia="en-US"/>
        </w:rPr>
        <w:t>“Obligación de mantener información actualizada en los sistemas y depurar datos pendientes sobre cuantía en procesos Civiles y Cobratorios</w:t>
      </w:r>
      <w:r w:rsidR="00D50D16" w:rsidRPr="004E74A6">
        <w:rPr>
          <w:rFonts w:eastAsia="Calibri"/>
          <w:szCs w:val="24"/>
          <w:lang w:eastAsia="en-US"/>
        </w:rPr>
        <w:t xml:space="preserve">”, </w:t>
      </w:r>
      <w:r w:rsidR="002B0B96" w:rsidRPr="004E74A6">
        <w:rPr>
          <w:rFonts w:eastAsia="Calibri"/>
          <w:szCs w:val="24"/>
          <w:lang w:eastAsia="en-US"/>
        </w:rPr>
        <w:t>comunicada el 16 de noviembre de 2021 (</w:t>
      </w:r>
      <w:r w:rsidR="002B0B96" w:rsidRPr="00832773">
        <w:rPr>
          <w:rFonts w:eastAsia="Calibri"/>
          <w:b/>
          <w:bCs/>
          <w:szCs w:val="24"/>
          <w:lang w:eastAsia="en-US"/>
        </w:rPr>
        <w:t>anexo 6</w:t>
      </w:r>
      <w:r w:rsidR="002B0B96" w:rsidRPr="004E74A6">
        <w:rPr>
          <w:rFonts w:eastAsia="Calibri"/>
          <w:szCs w:val="24"/>
          <w:lang w:eastAsia="en-US"/>
        </w:rPr>
        <w:t>)</w:t>
      </w:r>
      <w:r w:rsidRPr="004E74A6">
        <w:rPr>
          <w:rFonts w:eastAsia="Calibri"/>
          <w:szCs w:val="24"/>
          <w:lang w:eastAsia="en-US"/>
        </w:rPr>
        <w:t xml:space="preserve">.  </w:t>
      </w:r>
    </w:p>
    <w:p w14:paraId="4CFD498F" w14:textId="77777777" w:rsidR="009A0AA3" w:rsidRPr="004E74A6" w:rsidRDefault="009A0AA3" w:rsidP="00CE62C1">
      <w:pPr>
        <w:spacing w:line="276" w:lineRule="auto"/>
        <w:contextualSpacing/>
        <w:rPr>
          <w:rFonts w:eastAsia="Calibri"/>
          <w:szCs w:val="24"/>
          <w:lang w:eastAsia="en-US"/>
        </w:rPr>
      </w:pPr>
    </w:p>
    <w:p w14:paraId="6D3F2DAF" w14:textId="6D9A0E9C" w:rsidR="009A38DB" w:rsidRPr="004E74A6" w:rsidRDefault="00245A34" w:rsidP="00CE62C1">
      <w:pPr>
        <w:spacing w:line="276" w:lineRule="auto"/>
        <w:contextualSpacing/>
        <w:rPr>
          <w:rFonts w:eastAsia="Calibri"/>
          <w:szCs w:val="24"/>
          <w:lang w:eastAsia="en-US"/>
        </w:rPr>
      </w:pPr>
      <w:r w:rsidRPr="004E74A6">
        <w:rPr>
          <w:rFonts w:eastAsia="Calibri"/>
          <w:szCs w:val="24"/>
          <w:lang w:eastAsia="en-US"/>
        </w:rPr>
        <w:t xml:space="preserve">Respecto a la depuración de la información, el Centro de Apoyo, Coordinación y Mejoramiento de la Función </w:t>
      </w:r>
      <w:r w:rsidR="0026249C" w:rsidRPr="004E74A6">
        <w:rPr>
          <w:rFonts w:eastAsia="Calibri"/>
          <w:szCs w:val="24"/>
          <w:lang w:eastAsia="en-US"/>
        </w:rPr>
        <w:t>Jurisdiccional</w:t>
      </w:r>
      <w:r w:rsidR="00994C43">
        <w:rPr>
          <w:rFonts w:eastAsia="Calibri"/>
          <w:szCs w:val="24"/>
          <w:lang w:eastAsia="en-US"/>
        </w:rPr>
        <w:t>,</w:t>
      </w:r>
      <w:r w:rsidRPr="004E74A6">
        <w:rPr>
          <w:rFonts w:eastAsia="Calibri"/>
          <w:szCs w:val="24"/>
          <w:lang w:eastAsia="en-US"/>
        </w:rPr>
        <w:t xml:space="preserve"> </w:t>
      </w:r>
      <w:r w:rsidR="005D7D8B" w:rsidRPr="004E74A6">
        <w:rPr>
          <w:rFonts w:eastAsia="Calibri"/>
          <w:szCs w:val="24"/>
          <w:lang w:eastAsia="en-US"/>
        </w:rPr>
        <w:t xml:space="preserve">mediante oficio 12-CACMFJ-JEF-2022 del 13 de enero del 2022, </w:t>
      </w:r>
      <w:r w:rsidR="0031755A" w:rsidRPr="004E74A6">
        <w:rPr>
          <w:rFonts w:eastAsia="Calibri"/>
          <w:szCs w:val="24"/>
          <w:lang w:eastAsia="en-US"/>
        </w:rPr>
        <w:t xml:space="preserve">comunicó al Consejo Superior </w:t>
      </w:r>
      <w:r w:rsidR="009A0AA3" w:rsidRPr="004E74A6">
        <w:rPr>
          <w:rFonts w:eastAsia="Calibri"/>
          <w:szCs w:val="24"/>
          <w:lang w:eastAsia="en-US"/>
        </w:rPr>
        <w:t xml:space="preserve">el resultado del seguimiento realizado por ese Centro a las oficinas civiles, conforme a lo solicitado en el acuerdo del Consejo Superior, en sesión </w:t>
      </w:r>
      <w:r w:rsidR="000D26D2" w:rsidRPr="004E74A6">
        <w:rPr>
          <w:rFonts w:eastAsia="Calibri"/>
          <w:szCs w:val="24"/>
          <w:lang w:eastAsia="en-US"/>
        </w:rPr>
        <w:t>9</w:t>
      </w:r>
      <w:r w:rsidR="009A0AA3" w:rsidRPr="004E74A6">
        <w:rPr>
          <w:rFonts w:eastAsia="Calibri"/>
          <w:szCs w:val="24"/>
          <w:lang w:eastAsia="en-US"/>
        </w:rPr>
        <w:t xml:space="preserve">6-2021 celebrada el 9 de noviembre del 2021 artículo XL, donde acogió la propuesta de circular de la Comisión de la Jurisdicción Civil; en cuanto a la obligatoriedad de completar la información referente a la cuantía en materia Civil y Cobro, tanto el tipo de cuantía como el rango (circular 247-2021) y de actualizar los datos incompletos desde el primero de enero 2020. </w:t>
      </w:r>
    </w:p>
    <w:p w14:paraId="447ADEAB" w14:textId="77777777" w:rsidR="009A38DB" w:rsidRPr="004E74A6" w:rsidRDefault="009A38DB" w:rsidP="00CE62C1">
      <w:pPr>
        <w:spacing w:line="276" w:lineRule="auto"/>
        <w:contextualSpacing/>
        <w:rPr>
          <w:rFonts w:eastAsia="Calibri"/>
          <w:szCs w:val="24"/>
          <w:lang w:eastAsia="en-US"/>
        </w:rPr>
      </w:pPr>
    </w:p>
    <w:p w14:paraId="20A418B4" w14:textId="7DC8257D" w:rsidR="003B0EA7" w:rsidRPr="004E74A6" w:rsidRDefault="00ED3593" w:rsidP="00832773">
      <w:pPr>
        <w:spacing w:line="276" w:lineRule="auto"/>
        <w:ind w:left="567" w:right="476"/>
        <w:rPr>
          <w:i/>
          <w:iCs/>
          <w:sz w:val="22"/>
          <w:szCs w:val="18"/>
        </w:rPr>
      </w:pPr>
      <w:r w:rsidRPr="004E74A6">
        <w:rPr>
          <w:i/>
          <w:iCs/>
          <w:sz w:val="22"/>
          <w:szCs w:val="18"/>
        </w:rPr>
        <w:t>“</w:t>
      </w:r>
      <w:r w:rsidR="003B0EA7" w:rsidRPr="004E74A6">
        <w:rPr>
          <w:i/>
          <w:iCs/>
          <w:sz w:val="22"/>
          <w:szCs w:val="18"/>
        </w:rPr>
        <w:t>En atención al seguimiento del reporte construido por la Dirección de Planificación de las cuantías en SIGMA, del periodo de enero del 2020 hasta octubre del 2021, se informa:</w:t>
      </w:r>
    </w:p>
    <w:p w14:paraId="02532832" w14:textId="77777777" w:rsidR="00B32800" w:rsidRPr="004E74A6" w:rsidRDefault="00B32800" w:rsidP="00832773">
      <w:pPr>
        <w:spacing w:line="276" w:lineRule="auto"/>
        <w:ind w:left="567" w:right="476"/>
        <w:rPr>
          <w:i/>
          <w:iCs/>
          <w:sz w:val="22"/>
          <w:szCs w:val="18"/>
        </w:rPr>
      </w:pPr>
    </w:p>
    <w:p w14:paraId="47F92F23" w14:textId="52F1C762" w:rsidR="009A38DB" w:rsidRPr="004E74A6" w:rsidRDefault="005A199D" w:rsidP="00832773">
      <w:pPr>
        <w:spacing w:line="276" w:lineRule="auto"/>
        <w:ind w:right="-143"/>
        <w:jc w:val="center"/>
        <w:rPr>
          <w:rFonts w:eastAsia="Calibri"/>
          <w:szCs w:val="24"/>
          <w:lang w:eastAsia="en-US"/>
        </w:rPr>
      </w:pPr>
      <w:r w:rsidRPr="004E74A6">
        <w:rPr>
          <w:noProof/>
        </w:rPr>
        <w:drawing>
          <wp:inline distT="0" distB="0" distL="0" distR="0" wp14:anchorId="2AF830BE" wp14:editId="5A824991">
            <wp:extent cx="3667028" cy="3082290"/>
            <wp:effectExtent l="0" t="0" r="0" b="381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677651" cy="3091219"/>
                    </a:xfrm>
                    <a:prstGeom prst="rect">
                      <a:avLst/>
                    </a:prstGeom>
                    <a:noFill/>
                    <a:ln>
                      <a:noFill/>
                    </a:ln>
                  </pic:spPr>
                </pic:pic>
              </a:graphicData>
            </a:graphic>
          </wp:inline>
        </w:drawing>
      </w:r>
    </w:p>
    <w:p w14:paraId="2C868DC9" w14:textId="77777777" w:rsidR="009A38DB" w:rsidRPr="004E74A6" w:rsidRDefault="009A38DB" w:rsidP="00CE62C1">
      <w:pPr>
        <w:spacing w:line="276" w:lineRule="auto"/>
        <w:contextualSpacing/>
        <w:rPr>
          <w:rFonts w:eastAsia="Calibri"/>
          <w:szCs w:val="24"/>
          <w:lang w:eastAsia="en-US"/>
        </w:rPr>
      </w:pPr>
    </w:p>
    <w:p w14:paraId="5D1EE703" w14:textId="7257998F" w:rsidR="00245A34" w:rsidRPr="004E74A6" w:rsidRDefault="005047C1" w:rsidP="00CE62C1">
      <w:pPr>
        <w:spacing w:line="276" w:lineRule="auto"/>
        <w:contextualSpacing/>
        <w:rPr>
          <w:rFonts w:eastAsia="Calibri"/>
          <w:szCs w:val="24"/>
          <w:lang w:eastAsia="en-US"/>
        </w:rPr>
      </w:pPr>
      <w:r w:rsidRPr="004E74A6">
        <w:rPr>
          <w:rFonts w:eastAsia="Calibri"/>
          <w:szCs w:val="24"/>
          <w:lang w:eastAsia="en-US"/>
        </w:rPr>
        <w:t>Finalmente,</w:t>
      </w:r>
      <w:r w:rsidR="009A0AA3" w:rsidRPr="004E74A6">
        <w:rPr>
          <w:rFonts w:eastAsia="Calibri"/>
          <w:szCs w:val="24"/>
          <w:lang w:eastAsia="en-US"/>
        </w:rPr>
        <w:t xml:space="preserve"> el Consejo Superior en sesión </w:t>
      </w:r>
      <w:r w:rsidR="009A38DB" w:rsidRPr="004E74A6">
        <w:rPr>
          <w:rFonts w:eastAsia="Calibri"/>
          <w:szCs w:val="24"/>
          <w:lang w:eastAsia="en-US"/>
        </w:rPr>
        <w:t xml:space="preserve">6-2022 celebrada el 19 de enero de 2022, artículo XIX </w:t>
      </w:r>
      <w:r w:rsidR="009A0AA3" w:rsidRPr="004E74A6">
        <w:rPr>
          <w:rFonts w:eastAsia="Calibri"/>
          <w:szCs w:val="24"/>
          <w:lang w:eastAsia="en-US"/>
        </w:rPr>
        <w:t xml:space="preserve">acordó: </w:t>
      </w:r>
    </w:p>
    <w:p w14:paraId="1E6036A8" w14:textId="77777777" w:rsidR="009A0AA3" w:rsidRPr="004E74A6" w:rsidRDefault="009A0AA3" w:rsidP="00CE62C1">
      <w:pPr>
        <w:spacing w:line="276" w:lineRule="auto"/>
        <w:contextualSpacing/>
        <w:rPr>
          <w:rFonts w:eastAsia="Calibri"/>
          <w:szCs w:val="24"/>
          <w:lang w:eastAsia="en-US"/>
        </w:rPr>
      </w:pPr>
    </w:p>
    <w:p w14:paraId="3016245E" w14:textId="6FF27CF4" w:rsidR="00725AD3" w:rsidRPr="004E74A6" w:rsidRDefault="009A38DB" w:rsidP="00832773">
      <w:pPr>
        <w:keepNext/>
        <w:tabs>
          <w:tab w:val="num" w:pos="567"/>
        </w:tabs>
        <w:spacing w:after="240" w:line="276" w:lineRule="auto"/>
        <w:ind w:left="567" w:right="476"/>
        <w:rPr>
          <w:i/>
          <w:iCs/>
          <w:sz w:val="22"/>
          <w:szCs w:val="18"/>
        </w:rPr>
      </w:pPr>
      <w:r w:rsidRPr="004E74A6">
        <w:rPr>
          <w:rFonts w:eastAsia="Calibri"/>
          <w:szCs w:val="24"/>
          <w:lang w:eastAsia="en-US"/>
        </w:rPr>
        <w:t>“</w:t>
      </w:r>
      <w:r w:rsidR="00725AD3" w:rsidRPr="004E74A6">
        <w:rPr>
          <w:b/>
          <w:i/>
          <w:iCs/>
          <w:sz w:val="22"/>
          <w:szCs w:val="18"/>
        </w:rPr>
        <w:t xml:space="preserve">Se acordó: 1.) </w:t>
      </w:r>
      <w:r w:rsidR="00725AD3" w:rsidRPr="004E74A6">
        <w:rPr>
          <w:bCs/>
          <w:i/>
          <w:iCs/>
          <w:sz w:val="22"/>
          <w:szCs w:val="18"/>
        </w:rPr>
        <w:t>Tener por recibido el informe presentado por la</w:t>
      </w:r>
      <w:r w:rsidR="00725AD3" w:rsidRPr="004E74A6">
        <w:rPr>
          <w:i/>
          <w:iCs/>
          <w:sz w:val="22"/>
          <w:szCs w:val="18"/>
          <w:lang w:eastAsia="es-CR"/>
        </w:rPr>
        <w:t xml:space="preserve"> máster Maricruz Chacón Cubillo, Directora del Centro de Apoyo, Coordinación y Mejoramiento de la Función Jurisdiccional, mediante oficio N° 12-CACMFJ-JEF-2022 del 13 de enero del 2022, sobre el seguimiento dado a la obligatoriedad de completar la información referente a la cuantía en materia Civil y Cobro, tanto el tipo de cuantía como el rango. </w:t>
      </w:r>
      <w:r w:rsidR="00725AD3" w:rsidRPr="004E74A6">
        <w:rPr>
          <w:b/>
          <w:bCs/>
          <w:i/>
          <w:iCs/>
          <w:sz w:val="22"/>
          <w:szCs w:val="18"/>
          <w:lang w:eastAsia="es-CR"/>
        </w:rPr>
        <w:t>2.)</w:t>
      </w:r>
      <w:r w:rsidR="00725AD3" w:rsidRPr="004E74A6">
        <w:rPr>
          <w:i/>
          <w:iCs/>
          <w:sz w:val="22"/>
          <w:szCs w:val="18"/>
          <w:lang w:eastAsia="es-CR"/>
        </w:rPr>
        <w:t xml:space="preserve"> Hacer este acuerdo de conocimiento de la Comisión de la Jurisdicción Civil y la Dirección de Tecnología de la Información.</w:t>
      </w:r>
      <w:r w:rsidR="00725AD3" w:rsidRPr="004E74A6">
        <w:rPr>
          <w:i/>
          <w:iCs/>
          <w:sz w:val="22"/>
          <w:szCs w:val="18"/>
        </w:rPr>
        <w:t>”</w:t>
      </w:r>
    </w:p>
    <w:p w14:paraId="1B413836" w14:textId="77777777" w:rsidR="00725AD3" w:rsidRPr="004E74A6" w:rsidRDefault="00725AD3" w:rsidP="00CE62C1">
      <w:pPr>
        <w:spacing w:line="276" w:lineRule="auto"/>
        <w:contextualSpacing/>
        <w:rPr>
          <w:rFonts w:eastAsia="Calibri"/>
          <w:szCs w:val="24"/>
          <w:lang w:eastAsia="en-US"/>
        </w:rPr>
      </w:pPr>
    </w:p>
    <w:p w14:paraId="3AC2987F" w14:textId="25371278" w:rsidR="00C97D31" w:rsidRPr="004E74A6" w:rsidRDefault="002C1D19" w:rsidP="00CE62C1">
      <w:pPr>
        <w:numPr>
          <w:ilvl w:val="1"/>
          <w:numId w:val="3"/>
        </w:numPr>
        <w:spacing w:line="276" w:lineRule="auto"/>
        <w:contextualSpacing/>
        <w:rPr>
          <w:rFonts w:eastAsia="Calibri"/>
          <w:szCs w:val="24"/>
          <w:lang w:eastAsia="en-US"/>
        </w:rPr>
      </w:pPr>
      <w:r w:rsidRPr="004E74A6">
        <w:rPr>
          <w:rFonts w:eastAsia="Calibri"/>
          <w:szCs w:val="24"/>
          <w:lang w:eastAsia="en-US"/>
        </w:rPr>
        <w:t>Está</w:t>
      </w:r>
      <w:r w:rsidR="007C03B5" w:rsidRPr="004E74A6">
        <w:rPr>
          <w:rFonts w:eastAsia="Calibri"/>
          <w:szCs w:val="24"/>
          <w:lang w:eastAsia="en-US"/>
        </w:rPr>
        <w:t xml:space="preserve"> pendiente de parte de las Comisiones Jurisdiccionales en materia Civil y Agraria, informar el cumplimiento de la recomendación 5.6 del oficio 1913-PLA-EV-2020 (</w:t>
      </w:r>
      <w:r w:rsidR="00F158BC" w:rsidRPr="004E74A6">
        <w:rPr>
          <w:rFonts w:eastAsia="Calibri"/>
          <w:b/>
          <w:bCs/>
          <w:szCs w:val="24"/>
          <w:lang w:eastAsia="en-US"/>
        </w:rPr>
        <w:t>anexo 7</w:t>
      </w:r>
      <w:r w:rsidR="007C03B5" w:rsidRPr="004E74A6">
        <w:rPr>
          <w:rFonts w:eastAsia="Calibri"/>
          <w:szCs w:val="24"/>
          <w:lang w:eastAsia="en-US"/>
        </w:rPr>
        <w:t>)</w:t>
      </w:r>
      <w:r w:rsidR="00956132" w:rsidRPr="004E74A6">
        <w:rPr>
          <w:rFonts w:eastAsia="Calibri"/>
          <w:szCs w:val="24"/>
          <w:lang w:eastAsia="en-US"/>
        </w:rPr>
        <w:t xml:space="preserve">. Al respecto se han recibido los oficios </w:t>
      </w:r>
      <w:r w:rsidR="00C97D31" w:rsidRPr="004E74A6">
        <w:rPr>
          <w:szCs w:val="24"/>
        </w:rPr>
        <w:t>CJC-80-2022 el 27 de enero de 2022 (</w:t>
      </w:r>
      <w:r w:rsidR="00C97D31" w:rsidRPr="004E74A6">
        <w:rPr>
          <w:b/>
          <w:bCs/>
          <w:szCs w:val="24"/>
        </w:rPr>
        <w:t>anexo 8</w:t>
      </w:r>
      <w:r w:rsidR="00C97D31" w:rsidRPr="004E74A6">
        <w:rPr>
          <w:szCs w:val="24"/>
        </w:rPr>
        <w:t>) donde la Comisión Civil mostraba anuencia a las recomendaciones emitidas por esta Dirección en el oficio 68-PLA-MI-2022 y el oficio CJC-121-2022 recibido el 6 de abril de 2022 (</w:t>
      </w:r>
      <w:r w:rsidR="00C97D31" w:rsidRPr="004E74A6">
        <w:rPr>
          <w:b/>
          <w:bCs/>
          <w:szCs w:val="24"/>
        </w:rPr>
        <w:t>anexo 9</w:t>
      </w:r>
      <w:r w:rsidR="00C97D31" w:rsidRPr="004E74A6">
        <w:rPr>
          <w:szCs w:val="24"/>
        </w:rPr>
        <w:t>), en donde se comunica el acuerdo de la Comisión de la Jurisdicción Civil en sesión 06-2022 celebrada el 22 de marzo de 2022, artículo IV donde se acordó</w:t>
      </w:r>
      <w:r w:rsidRPr="004E74A6">
        <w:rPr>
          <w:szCs w:val="24"/>
        </w:rPr>
        <w:t xml:space="preserve"> comunicar al Magistrado Luis Guillermo Rivas Loáiciga, Presidente de la Sala Primera de la Corte Suprema de Justicia y Coordinador de la Comisión de la Jurisdicción Agraria, la anuencia de la Comisión de la Jurisdicción Civil en establecer las coordinaciones que sean necesarias en forma previa a la entrada en vigencia del Código Procesal Agrario,  sobre cómo interpretar la norma en el artículo 2 de la Ley 9606 relacionada con la competencia de los Juzgados Agrarios en asuntos cobratorios en donde el bien dado en garantía se dedique a la actividad agraria. También acordaron solicitar colaboración Escuela Judicial y el Departamento de Prensa y Comunicación Organizacional.</w:t>
      </w:r>
    </w:p>
    <w:p w14:paraId="4CCC4761" w14:textId="77777777" w:rsidR="00E021FD" w:rsidRPr="004E74A6" w:rsidRDefault="00E021FD" w:rsidP="00CE62C1">
      <w:pPr>
        <w:spacing w:line="276" w:lineRule="auto"/>
        <w:contextualSpacing/>
        <w:rPr>
          <w:szCs w:val="24"/>
        </w:rPr>
      </w:pPr>
    </w:p>
    <w:p w14:paraId="34DB736F" w14:textId="388ABE60" w:rsidR="00E2728C" w:rsidRPr="004E74A6" w:rsidRDefault="00A905D1" w:rsidP="00CE62C1">
      <w:pPr>
        <w:pStyle w:val="Prrafodelista"/>
        <w:numPr>
          <w:ilvl w:val="1"/>
          <w:numId w:val="3"/>
        </w:numPr>
        <w:spacing w:line="276" w:lineRule="auto"/>
        <w:contextualSpacing/>
        <w:rPr>
          <w:rFonts w:ascii="Book Antiqua" w:hAnsi="Book Antiqua" w:cs="Times New Roman"/>
          <w:lang w:val="es-CR"/>
        </w:rPr>
      </w:pPr>
      <w:r w:rsidRPr="004E74A6">
        <w:rPr>
          <w:rFonts w:ascii="Book Antiqua" w:hAnsi="Book Antiqua" w:cs="Times New Roman"/>
          <w:lang w:val="es-CR"/>
        </w:rPr>
        <w:t>Se conoció</w:t>
      </w:r>
      <w:r w:rsidR="00E2728C" w:rsidRPr="004E74A6">
        <w:rPr>
          <w:rFonts w:ascii="Book Antiqua" w:hAnsi="Book Antiqua" w:cs="Times New Roman"/>
          <w:lang w:val="es-CR"/>
        </w:rPr>
        <w:t xml:space="preserve"> por parte de la Comisión de la Jurisdicción Civil</w:t>
      </w:r>
      <w:r w:rsidRPr="004E74A6">
        <w:rPr>
          <w:rFonts w:ascii="Book Antiqua" w:hAnsi="Book Antiqua" w:cs="Times New Roman"/>
          <w:lang w:val="es-CR"/>
        </w:rPr>
        <w:t xml:space="preserve"> e</w:t>
      </w:r>
      <w:r w:rsidR="008952DF" w:rsidRPr="004E74A6">
        <w:rPr>
          <w:rFonts w:ascii="Book Antiqua" w:hAnsi="Book Antiqua" w:cs="Times New Roman"/>
          <w:lang w:val="es-CR"/>
        </w:rPr>
        <w:t>l criterio</w:t>
      </w:r>
      <w:r w:rsidR="00EF768D" w:rsidRPr="004E74A6">
        <w:rPr>
          <w:rFonts w:ascii="Book Antiqua" w:hAnsi="Book Antiqua" w:cs="Times New Roman"/>
          <w:lang w:val="es-CR"/>
        </w:rPr>
        <w:t xml:space="preserve"> DJ-AJ-C-247-2021 del 12 de mayo de </w:t>
      </w:r>
      <w:r w:rsidR="00590ECA" w:rsidRPr="004E74A6">
        <w:rPr>
          <w:rFonts w:ascii="Book Antiqua" w:hAnsi="Book Antiqua" w:cs="Times New Roman"/>
          <w:lang w:val="es-CR"/>
        </w:rPr>
        <w:t>2021 (</w:t>
      </w:r>
      <w:r w:rsidR="00BD7F27" w:rsidRPr="004E74A6">
        <w:rPr>
          <w:rFonts w:ascii="Book Antiqua" w:hAnsi="Book Antiqua" w:cs="Times New Roman"/>
          <w:lang w:val="es-CR"/>
        </w:rPr>
        <w:t>anexo 10)</w:t>
      </w:r>
      <w:r w:rsidR="00590ECA">
        <w:rPr>
          <w:rFonts w:ascii="Book Antiqua" w:hAnsi="Book Antiqua" w:cs="Times New Roman"/>
          <w:lang w:val="es-CR"/>
        </w:rPr>
        <w:t>,</w:t>
      </w:r>
      <w:r w:rsidR="00BD7F27" w:rsidRPr="004E74A6">
        <w:rPr>
          <w:rFonts w:ascii="Book Antiqua" w:hAnsi="Book Antiqua" w:cs="Times New Roman"/>
          <w:lang w:val="es-CR"/>
        </w:rPr>
        <w:t xml:space="preserve"> </w:t>
      </w:r>
      <w:r w:rsidR="008952DF" w:rsidRPr="004E74A6">
        <w:rPr>
          <w:rFonts w:ascii="Book Antiqua" w:hAnsi="Book Antiqua" w:cs="Times New Roman"/>
          <w:lang w:val="es-CR"/>
        </w:rPr>
        <w:t>en donde concluye que las personas juzgadoras Civiles por su competencia espec</w:t>
      </w:r>
      <w:r w:rsidR="00BD7F27" w:rsidRPr="004E74A6">
        <w:rPr>
          <w:rFonts w:ascii="Book Antiqua" w:hAnsi="Book Antiqua" w:cs="Times New Roman"/>
          <w:lang w:val="es-CR"/>
        </w:rPr>
        <w:t>í</w:t>
      </w:r>
      <w:r w:rsidR="008952DF" w:rsidRPr="004E74A6">
        <w:rPr>
          <w:rFonts w:ascii="Book Antiqua" w:hAnsi="Book Antiqua" w:cs="Times New Roman"/>
          <w:lang w:val="es-CR"/>
        </w:rPr>
        <w:t>fica no pueden firmar asuntos en materia de Cobro Judicial como parte de planes de trabajo desarrollados en la primera instancia, para generar carga de trabajo para las plazas civiles y reducirlos plazos de esper</w:t>
      </w:r>
      <w:r w:rsidR="00A46ABD" w:rsidRPr="004E74A6">
        <w:rPr>
          <w:rFonts w:ascii="Book Antiqua" w:hAnsi="Book Antiqua" w:cs="Times New Roman"/>
          <w:lang w:val="es-CR"/>
        </w:rPr>
        <w:t>a</w:t>
      </w:r>
      <w:r w:rsidR="008952DF" w:rsidRPr="004E74A6">
        <w:rPr>
          <w:rFonts w:ascii="Book Antiqua" w:hAnsi="Book Antiqua" w:cs="Times New Roman"/>
          <w:lang w:val="es-CR"/>
        </w:rPr>
        <w:t xml:space="preserve"> en materia cobratoria. </w:t>
      </w:r>
    </w:p>
    <w:p w14:paraId="36198A81" w14:textId="4F4790CF" w:rsidR="008952DF" w:rsidRPr="004E74A6" w:rsidRDefault="00A905D1" w:rsidP="00CE62C1">
      <w:pPr>
        <w:pStyle w:val="Prrafodelista"/>
        <w:spacing w:line="276" w:lineRule="auto"/>
        <w:ind w:left="0"/>
        <w:contextualSpacing/>
        <w:rPr>
          <w:rFonts w:ascii="Book Antiqua" w:hAnsi="Book Antiqua" w:cs="Times New Roman"/>
          <w:lang w:val="es-CR"/>
        </w:rPr>
      </w:pPr>
      <w:r w:rsidRPr="004E74A6">
        <w:rPr>
          <w:rFonts w:ascii="Book Antiqua" w:hAnsi="Book Antiqua" w:cs="Times New Roman"/>
          <w:lang w:val="es-CR"/>
        </w:rPr>
        <w:lastRenderedPageBreak/>
        <w:t>Se conversó en sesiones de Comisión la posibilidad de solicitar una a</w:t>
      </w:r>
      <w:r w:rsidR="008952DF" w:rsidRPr="004E74A6">
        <w:rPr>
          <w:rFonts w:ascii="Book Antiqua" w:hAnsi="Book Antiqua" w:cs="Times New Roman"/>
          <w:lang w:val="es-CR"/>
        </w:rPr>
        <w:t xml:space="preserve">mpliación </w:t>
      </w:r>
      <w:r w:rsidRPr="004E74A6">
        <w:rPr>
          <w:rFonts w:ascii="Book Antiqua" w:hAnsi="Book Antiqua" w:cs="Times New Roman"/>
          <w:lang w:val="es-CR"/>
        </w:rPr>
        <w:t xml:space="preserve">al dictamen, </w:t>
      </w:r>
      <w:r w:rsidR="008952DF" w:rsidRPr="004E74A6">
        <w:rPr>
          <w:rFonts w:ascii="Book Antiqua" w:hAnsi="Book Antiqua" w:cs="Times New Roman"/>
          <w:lang w:val="es-CR"/>
        </w:rPr>
        <w:t>que será de gran utilidad en caso de aprobarse un cambio en la cuantía que genere desequilibrio en la carga de trabajo entre las oficinas de primera instancia Civil</w:t>
      </w:r>
      <w:r w:rsidRPr="004E74A6">
        <w:rPr>
          <w:rFonts w:ascii="Book Antiqua" w:hAnsi="Book Antiqua" w:cs="Times New Roman"/>
          <w:lang w:val="es-CR"/>
        </w:rPr>
        <w:t xml:space="preserve"> de manera que los planes de trabajo puedan hacer uso </w:t>
      </w:r>
      <w:r w:rsidR="00F3352E" w:rsidRPr="004E74A6">
        <w:rPr>
          <w:rFonts w:ascii="Book Antiqua" w:hAnsi="Book Antiqua" w:cs="Times New Roman"/>
          <w:lang w:val="es-CR"/>
        </w:rPr>
        <w:t>también</w:t>
      </w:r>
      <w:r w:rsidRPr="004E74A6">
        <w:rPr>
          <w:rFonts w:ascii="Book Antiqua" w:hAnsi="Book Antiqua" w:cs="Times New Roman"/>
          <w:lang w:val="es-CR"/>
        </w:rPr>
        <w:t xml:space="preserve"> del recurso juzgado Civil en planes de descongestionamiento Civiles y de Cobro</w:t>
      </w:r>
      <w:r w:rsidR="008952DF" w:rsidRPr="004E74A6">
        <w:rPr>
          <w:rFonts w:ascii="Book Antiqua" w:hAnsi="Book Antiqua" w:cs="Times New Roman"/>
          <w:lang w:val="es-CR"/>
        </w:rPr>
        <w:t>:</w:t>
      </w:r>
    </w:p>
    <w:p w14:paraId="305B4EFD" w14:textId="4B39BC56" w:rsidR="008952DF" w:rsidRPr="004E74A6" w:rsidRDefault="008952DF" w:rsidP="00CE62C1">
      <w:pPr>
        <w:pStyle w:val="Prrafodelista"/>
        <w:spacing w:line="276" w:lineRule="auto"/>
        <w:ind w:left="0"/>
        <w:contextualSpacing/>
        <w:rPr>
          <w:rFonts w:ascii="Book Antiqua" w:hAnsi="Book Antiqua" w:cs="Times New Roman"/>
          <w:lang w:val="es-CR"/>
        </w:rPr>
      </w:pPr>
      <w:r w:rsidRPr="004E74A6">
        <w:rPr>
          <w:rFonts w:ascii="Book Antiqua" w:hAnsi="Book Antiqua" w:cs="Times New Roman"/>
          <w:lang w:val="es-CR"/>
        </w:rPr>
        <w:t xml:space="preserve"> </w:t>
      </w:r>
    </w:p>
    <w:p w14:paraId="4DC359EA" w14:textId="77777777" w:rsidR="008952DF" w:rsidRPr="00832773" w:rsidRDefault="008952DF" w:rsidP="00832773">
      <w:pPr>
        <w:pStyle w:val="Prrafodelista"/>
        <w:shd w:val="clear" w:color="auto" w:fill="FFFFFF"/>
        <w:suppressAutoHyphens/>
        <w:spacing w:line="276" w:lineRule="auto"/>
        <w:ind w:left="567" w:right="618"/>
        <w:contextualSpacing/>
        <w:rPr>
          <w:rFonts w:ascii="Book Antiqua" w:eastAsia="Calibri" w:hAnsi="Book Antiqua"/>
          <w:i/>
          <w:iCs/>
          <w:sz w:val="22"/>
          <w:szCs w:val="22"/>
          <w:lang w:val="es-CR" w:eastAsia="es-CR"/>
        </w:rPr>
      </w:pPr>
      <w:r w:rsidRPr="00832773">
        <w:rPr>
          <w:rFonts w:ascii="Book Antiqua" w:eastAsia="Calibri" w:hAnsi="Book Antiqua"/>
          <w:i/>
          <w:iCs/>
          <w:sz w:val="22"/>
          <w:szCs w:val="22"/>
          <w:lang w:val="es-CR" w:eastAsia="es-CR"/>
        </w:rPr>
        <w:t>“…</w:t>
      </w:r>
    </w:p>
    <w:p w14:paraId="4580C17E" w14:textId="6C4C7F7A" w:rsidR="008952DF" w:rsidRPr="00832773" w:rsidRDefault="008952DF" w:rsidP="00832773">
      <w:pPr>
        <w:pStyle w:val="Prrafodelista"/>
        <w:shd w:val="clear" w:color="auto" w:fill="FFFFFF"/>
        <w:suppressAutoHyphens/>
        <w:spacing w:line="276" w:lineRule="auto"/>
        <w:ind w:left="567" w:right="618"/>
        <w:contextualSpacing/>
        <w:rPr>
          <w:rFonts w:ascii="Book Antiqua" w:hAnsi="Book Antiqua"/>
          <w:i/>
          <w:iCs/>
          <w:color w:val="000000" w:themeColor="text1"/>
          <w:sz w:val="22"/>
          <w:szCs w:val="22"/>
          <w:lang w:val="es-CR" w:eastAsia="ar-SA"/>
        </w:rPr>
      </w:pPr>
      <w:r w:rsidRPr="00832773">
        <w:rPr>
          <w:rFonts w:ascii="Book Antiqua" w:eastAsia="Calibri" w:hAnsi="Book Antiqua"/>
          <w:i/>
          <w:iCs/>
          <w:sz w:val="22"/>
          <w:szCs w:val="22"/>
          <w:lang w:val="es-CR" w:eastAsia="es-CR"/>
        </w:rPr>
        <w:t>4.“</w:t>
      </w:r>
      <w:r w:rsidRPr="00832773">
        <w:rPr>
          <w:rFonts w:ascii="Book Antiqua" w:hAnsi="Book Antiqua"/>
          <w:i/>
          <w:iCs/>
          <w:color w:val="000000" w:themeColor="text1"/>
          <w:sz w:val="22"/>
          <w:szCs w:val="22"/>
          <w:lang w:val="es-CR"/>
        </w:rPr>
        <w:t xml:space="preserve">La materia Civil no abarca la materia de Cobro, porque esta última corresponde a una </w:t>
      </w:r>
      <w:r w:rsidRPr="00832773">
        <w:rPr>
          <w:rFonts w:ascii="Book Antiqua" w:hAnsi="Book Antiqua"/>
          <w:i/>
          <w:iCs/>
          <w:color w:val="000000" w:themeColor="text1"/>
          <w:sz w:val="22"/>
          <w:szCs w:val="22"/>
          <w:u w:val="single"/>
          <w:lang w:val="es-CR"/>
        </w:rPr>
        <w:t>especialización realizada por el legislador</w:t>
      </w:r>
      <w:r w:rsidRPr="00832773">
        <w:rPr>
          <w:rFonts w:ascii="Book Antiqua" w:hAnsi="Book Antiqua"/>
          <w:i/>
          <w:iCs/>
          <w:color w:val="000000" w:themeColor="text1"/>
          <w:sz w:val="22"/>
          <w:szCs w:val="22"/>
          <w:lang w:val="es-CR"/>
        </w:rPr>
        <w:t xml:space="preserve"> cuando aprobó la Ley de Cobro Judicial.</w:t>
      </w:r>
    </w:p>
    <w:p w14:paraId="778BD22A" w14:textId="57B52AC5" w:rsidR="008952DF" w:rsidRPr="00832773" w:rsidRDefault="008952DF" w:rsidP="00832773">
      <w:pPr>
        <w:pStyle w:val="Prrafodelista"/>
        <w:shd w:val="clear" w:color="auto" w:fill="FFFFFF"/>
        <w:suppressAutoHyphens/>
        <w:spacing w:line="276" w:lineRule="auto"/>
        <w:ind w:left="567" w:right="618"/>
        <w:contextualSpacing/>
        <w:rPr>
          <w:rFonts w:ascii="Book Antiqua" w:hAnsi="Book Antiqua"/>
          <w:i/>
          <w:iCs/>
          <w:color w:val="000000" w:themeColor="text1"/>
          <w:sz w:val="22"/>
          <w:szCs w:val="22"/>
          <w:lang w:val="es-CR"/>
        </w:rPr>
      </w:pPr>
      <w:r w:rsidRPr="00832773">
        <w:rPr>
          <w:rFonts w:ascii="Book Antiqua" w:hAnsi="Book Antiqua"/>
          <w:b/>
          <w:bCs/>
          <w:i/>
          <w:iCs/>
          <w:color w:val="000000" w:themeColor="text1"/>
          <w:sz w:val="22"/>
          <w:szCs w:val="22"/>
          <w:lang w:val="es-CR"/>
        </w:rPr>
        <w:t>5.El puesto de Juez o Jueza Civil se encuentra delimitado y con facultad únicamente para dirigir los procesos civiles y comerciales</w:t>
      </w:r>
      <w:r w:rsidRPr="00832773">
        <w:rPr>
          <w:rFonts w:ascii="Book Antiqua" w:hAnsi="Book Antiqua"/>
          <w:i/>
          <w:iCs/>
          <w:color w:val="000000" w:themeColor="text1"/>
          <w:sz w:val="22"/>
          <w:szCs w:val="22"/>
          <w:lang w:val="es-CR"/>
        </w:rPr>
        <w:t xml:space="preserve">, </w:t>
      </w:r>
      <w:r w:rsidRPr="00832773">
        <w:rPr>
          <w:rFonts w:ascii="Book Antiqua" w:hAnsi="Book Antiqua"/>
          <w:i/>
          <w:iCs/>
          <w:color w:val="000000" w:themeColor="text1"/>
          <w:sz w:val="22"/>
          <w:szCs w:val="22"/>
          <w:u w:val="single"/>
          <w:lang w:val="es-CR"/>
        </w:rPr>
        <w:t>salvo</w:t>
      </w:r>
      <w:r w:rsidRPr="00832773">
        <w:rPr>
          <w:rFonts w:ascii="Book Antiqua" w:hAnsi="Book Antiqua"/>
          <w:i/>
          <w:iCs/>
          <w:color w:val="000000" w:themeColor="text1"/>
          <w:sz w:val="22"/>
          <w:szCs w:val="22"/>
          <w:lang w:val="es-CR"/>
        </w:rPr>
        <w:t xml:space="preserve"> el ordinario de mayor cuantía y </w:t>
      </w:r>
      <w:r w:rsidRPr="00832773">
        <w:rPr>
          <w:rFonts w:ascii="Book Antiqua" w:hAnsi="Book Antiqua"/>
          <w:i/>
          <w:iCs/>
          <w:color w:val="000000" w:themeColor="text1"/>
          <w:sz w:val="22"/>
          <w:szCs w:val="22"/>
          <w:u w:val="single"/>
          <w:lang w:val="es-CR"/>
        </w:rPr>
        <w:t>cualquier otro proceso que por disposición de ley</w:t>
      </w:r>
      <w:r w:rsidRPr="00832773">
        <w:rPr>
          <w:rFonts w:ascii="Book Antiqua" w:hAnsi="Book Antiqua"/>
          <w:i/>
          <w:iCs/>
          <w:color w:val="000000" w:themeColor="text1"/>
          <w:sz w:val="22"/>
          <w:szCs w:val="22"/>
          <w:lang w:val="es-CR"/>
        </w:rPr>
        <w:t xml:space="preserve"> o por acuerdo de la Corte Suprema de Justicia según lo dispuesto por el artículo 185 del Código Procesal Civil y del 59 de la Ley Orgánica del Poder Judicial, se le haya otorgado </w:t>
      </w:r>
      <w:r w:rsidRPr="00832773">
        <w:rPr>
          <w:rFonts w:ascii="Book Antiqua" w:hAnsi="Book Antiqua"/>
          <w:i/>
          <w:iCs/>
          <w:color w:val="000000" w:themeColor="text1"/>
          <w:sz w:val="22"/>
          <w:szCs w:val="22"/>
          <w:u w:val="single"/>
          <w:lang w:val="es-CR"/>
        </w:rPr>
        <w:t>competencia en razón de la materia a tribunales o juzgados especializados</w:t>
      </w:r>
      <w:r w:rsidRPr="00832773">
        <w:rPr>
          <w:rFonts w:ascii="Book Antiqua" w:hAnsi="Book Antiqua"/>
          <w:i/>
          <w:iCs/>
          <w:color w:val="000000" w:themeColor="text1"/>
          <w:sz w:val="22"/>
          <w:szCs w:val="22"/>
          <w:lang w:val="es-CR"/>
        </w:rPr>
        <w:t>.</w:t>
      </w:r>
    </w:p>
    <w:p w14:paraId="5C36A4ED" w14:textId="77777777" w:rsidR="00B32800" w:rsidRPr="00832773" w:rsidRDefault="00B32800" w:rsidP="00832773">
      <w:pPr>
        <w:pStyle w:val="Prrafodelista"/>
        <w:shd w:val="clear" w:color="auto" w:fill="FFFFFF"/>
        <w:suppressAutoHyphens/>
        <w:spacing w:line="276" w:lineRule="auto"/>
        <w:ind w:left="567" w:right="618"/>
        <w:contextualSpacing/>
        <w:rPr>
          <w:rFonts w:ascii="Book Antiqua" w:hAnsi="Book Antiqua"/>
          <w:i/>
          <w:iCs/>
          <w:color w:val="000000" w:themeColor="text1"/>
          <w:sz w:val="22"/>
          <w:szCs w:val="22"/>
          <w:lang w:val="es-CR"/>
        </w:rPr>
      </w:pPr>
    </w:p>
    <w:p w14:paraId="4A0A9BD4" w14:textId="41D486D9" w:rsidR="008952DF" w:rsidRPr="00832773" w:rsidRDefault="008952DF" w:rsidP="00832773">
      <w:pPr>
        <w:pStyle w:val="Prrafodelista"/>
        <w:suppressAutoHyphens/>
        <w:spacing w:line="276" w:lineRule="auto"/>
        <w:ind w:left="567" w:right="618"/>
        <w:contextualSpacing/>
        <w:rPr>
          <w:rFonts w:ascii="Book Antiqua" w:hAnsi="Book Antiqua"/>
          <w:i/>
          <w:iCs/>
          <w:color w:val="000000" w:themeColor="text1"/>
          <w:sz w:val="22"/>
          <w:szCs w:val="22"/>
          <w:lang w:val="es-CR"/>
        </w:rPr>
      </w:pPr>
      <w:r w:rsidRPr="00832773">
        <w:rPr>
          <w:rFonts w:ascii="Book Antiqua" w:hAnsi="Book Antiqua"/>
          <w:i/>
          <w:iCs/>
          <w:color w:val="000000" w:themeColor="text1"/>
          <w:sz w:val="22"/>
          <w:szCs w:val="22"/>
          <w:lang w:val="es-CR"/>
        </w:rPr>
        <w:t xml:space="preserve">6.La decisión de modificar para que la firma del proveído de los asuntos de </w:t>
      </w:r>
      <w:r w:rsidR="00CE51A6" w:rsidRPr="00832773">
        <w:rPr>
          <w:rFonts w:ascii="Book Antiqua" w:hAnsi="Book Antiqua"/>
          <w:i/>
          <w:iCs/>
          <w:color w:val="000000" w:themeColor="text1"/>
          <w:sz w:val="22"/>
          <w:szCs w:val="22"/>
          <w:lang w:val="es-CR"/>
        </w:rPr>
        <w:t>cobro sea</w:t>
      </w:r>
      <w:r w:rsidRPr="00832773">
        <w:rPr>
          <w:rFonts w:ascii="Book Antiqua" w:hAnsi="Book Antiqua"/>
          <w:i/>
          <w:iCs/>
          <w:color w:val="000000" w:themeColor="text1"/>
          <w:sz w:val="22"/>
          <w:szCs w:val="22"/>
          <w:lang w:val="es-CR"/>
        </w:rPr>
        <w:t xml:space="preserve"> asumida por las plazas de personas juzgadoras civiles, no se encuentra dentro de la esfera del poder de dirección que tiene la parte empleadora en uso de su poder de ius variandi, por cuanto existe una imposibilidad legal para realizar dicha modificación.  Realizar un cambio como el antes descrito, evidentemente constituye un ius variandi abusivo, que va en contra de lo dispuesto en la ley, siendo que además, la definición de las competencias (por la materia), es un tema reservado a la ley y que como se señaló supra, la competencia de las personas juzgadoras está ligada o sujeta al tipo de procesos que conoce el despacho en el cual la persona juzgadora se encuentra nombrada.</w:t>
      </w:r>
    </w:p>
    <w:p w14:paraId="4EFE05A1" w14:textId="4129D893" w:rsidR="008952DF" w:rsidRPr="00832773" w:rsidRDefault="008952DF" w:rsidP="00CE62C1">
      <w:pPr>
        <w:pStyle w:val="Prrafodelista"/>
        <w:spacing w:line="276" w:lineRule="auto"/>
        <w:ind w:left="567" w:right="618"/>
        <w:contextualSpacing/>
        <w:jc w:val="right"/>
        <w:rPr>
          <w:rFonts w:ascii="Book Antiqua" w:eastAsia="Calibri" w:hAnsi="Book Antiqua"/>
          <w:i/>
          <w:iCs/>
          <w:sz w:val="22"/>
          <w:szCs w:val="22"/>
          <w:lang w:val="es-CR" w:eastAsia="es-CR"/>
        </w:rPr>
      </w:pPr>
      <w:r w:rsidRPr="00832773">
        <w:rPr>
          <w:rFonts w:ascii="Book Antiqua" w:eastAsia="Calibri" w:hAnsi="Book Antiqua"/>
          <w:i/>
          <w:iCs/>
          <w:sz w:val="22"/>
          <w:szCs w:val="22"/>
          <w:lang w:val="es-CR" w:eastAsia="es-CR"/>
        </w:rPr>
        <w:t>…”</w:t>
      </w:r>
    </w:p>
    <w:p w14:paraId="2FD5127C" w14:textId="0E6B6E40" w:rsidR="00A905D1" w:rsidRPr="004E74A6" w:rsidRDefault="00A905D1" w:rsidP="00A905D1">
      <w:pPr>
        <w:spacing w:line="276" w:lineRule="auto"/>
        <w:ind w:right="618"/>
        <w:contextualSpacing/>
        <w:rPr>
          <w:i/>
          <w:iCs/>
          <w:sz w:val="22"/>
          <w:szCs w:val="22"/>
        </w:rPr>
      </w:pPr>
    </w:p>
    <w:p w14:paraId="4A713975" w14:textId="1DFA8A89" w:rsidR="00A905D1" w:rsidRPr="004E74A6" w:rsidRDefault="00A905D1" w:rsidP="00832773">
      <w:pPr>
        <w:spacing w:line="276" w:lineRule="auto"/>
        <w:ind w:right="51"/>
        <w:contextualSpacing/>
        <w:rPr>
          <w:szCs w:val="24"/>
        </w:rPr>
      </w:pPr>
      <w:r w:rsidRPr="00832773">
        <w:rPr>
          <w:szCs w:val="24"/>
        </w:rPr>
        <w:t xml:space="preserve">Sin embargo, la Comisión de la Jurisdicción Civil </w:t>
      </w:r>
      <w:r w:rsidR="00DF3688" w:rsidRPr="004E74A6">
        <w:rPr>
          <w:szCs w:val="24"/>
        </w:rPr>
        <w:t>en sesión 11-2021 del 25 de noviembre 2021, artículo XVII dispuso:</w:t>
      </w:r>
    </w:p>
    <w:p w14:paraId="70143217" w14:textId="4635A998" w:rsidR="00DF3688" w:rsidRPr="00832773" w:rsidRDefault="00DF3688" w:rsidP="00A905D1">
      <w:pPr>
        <w:spacing w:line="276" w:lineRule="auto"/>
        <w:ind w:right="618"/>
        <w:contextualSpacing/>
        <w:rPr>
          <w:sz w:val="22"/>
          <w:szCs w:val="22"/>
        </w:rPr>
      </w:pPr>
    </w:p>
    <w:p w14:paraId="30026F15" w14:textId="29F5F6E8" w:rsidR="00DF3688" w:rsidRPr="00832773" w:rsidRDefault="00DF3688" w:rsidP="00832773">
      <w:pPr>
        <w:spacing w:line="276" w:lineRule="auto"/>
        <w:ind w:left="567" w:right="618"/>
        <w:contextualSpacing/>
        <w:rPr>
          <w:rFonts w:cs="Segoe UI"/>
          <w:i/>
          <w:iCs/>
          <w:color w:val="242424"/>
          <w:sz w:val="22"/>
          <w:szCs w:val="22"/>
          <w:shd w:val="clear" w:color="auto" w:fill="FFFFFF"/>
        </w:rPr>
      </w:pPr>
      <w:r w:rsidRPr="00832773">
        <w:rPr>
          <w:rFonts w:cs="Segoe UI"/>
          <w:i/>
          <w:iCs/>
          <w:color w:val="242424"/>
          <w:sz w:val="22"/>
          <w:szCs w:val="22"/>
          <w:shd w:val="clear" w:color="auto" w:fill="FFFFFF"/>
        </w:rPr>
        <w:t>La Secretaría General de la Corte remitió comunicado electrónico que contiene el acuerdo</w:t>
      </w:r>
      <w:r w:rsidRPr="00832773">
        <w:rPr>
          <w:rFonts w:cs="Segoe UI"/>
          <w:i/>
          <w:iCs/>
          <w:color w:val="242424"/>
          <w:sz w:val="22"/>
          <w:szCs w:val="22"/>
        </w:rPr>
        <w:br/>
      </w:r>
      <w:r w:rsidRPr="00832773">
        <w:rPr>
          <w:rFonts w:cs="Segoe UI"/>
          <w:i/>
          <w:iCs/>
          <w:color w:val="242424"/>
          <w:sz w:val="22"/>
          <w:szCs w:val="22"/>
          <w:shd w:val="clear" w:color="auto" w:fill="FFFFFF"/>
        </w:rPr>
        <w:t>tomado por el Consejo Superior en sesión 81-2021 de 16 de setiembre de 2021, artículo XV, donde dispuso:</w:t>
      </w:r>
    </w:p>
    <w:p w14:paraId="4AB8B87E" w14:textId="77777777" w:rsidR="00DF3688" w:rsidRPr="004E74A6" w:rsidRDefault="00DF3688" w:rsidP="00DF3688">
      <w:pPr>
        <w:spacing w:line="276" w:lineRule="auto"/>
        <w:ind w:left="567" w:right="618"/>
        <w:contextualSpacing/>
        <w:rPr>
          <w:rFonts w:cs="Segoe UI"/>
          <w:i/>
          <w:iCs/>
          <w:color w:val="242424"/>
          <w:sz w:val="22"/>
          <w:szCs w:val="22"/>
          <w:shd w:val="clear" w:color="auto" w:fill="FFFFFF"/>
        </w:rPr>
      </w:pPr>
      <w:r w:rsidRPr="00832773">
        <w:rPr>
          <w:rFonts w:cs="Segoe UI"/>
          <w:i/>
          <w:iCs/>
          <w:color w:val="242424"/>
          <w:sz w:val="22"/>
          <w:szCs w:val="22"/>
        </w:rPr>
        <w:br/>
      </w:r>
      <w:r w:rsidRPr="00832773">
        <w:rPr>
          <w:rFonts w:cs="Segoe UI"/>
          <w:i/>
          <w:iCs/>
          <w:color w:val="242424"/>
          <w:sz w:val="22"/>
          <w:szCs w:val="22"/>
          <w:shd w:val="clear" w:color="auto" w:fill="FFFFFF"/>
        </w:rPr>
        <w:t>“Analizada por este Consejo la gestión anterior, se acordó: 1) Tener por rendido el</w:t>
      </w:r>
      <w:r w:rsidRPr="00832773">
        <w:rPr>
          <w:rFonts w:cs="Segoe UI"/>
          <w:i/>
          <w:iCs/>
          <w:color w:val="242424"/>
          <w:sz w:val="22"/>
          <w:szCs w:val="22"/>
        </w:rPr>
        <w:br/>
      </w:r>
      <w:r w:rsidRPr="00832773">
        <w:rPr>
          <w:rFonts w:cs="Segoe UI"/>
          <w:i/>
          <w:iCs/>
          <w:color w:val="242424"/>
          <w:sz w:val="22"/>
          <w:szCs w:val="22"/>
          <w:shd w:val="clear" w:color="auto" w:fill="FFFFFF"/>
        </w:rPr>
        <w:t>criterio jurídico N° DJ-AJ-C-509-2021 del 6 de setiembre de 2021, suscrito por el máster</w:t>
      </w:r>
      <w:r w:rsidRPr="00832773">
        <w:rPr>
          <w:rFonts w:cs="Segoe UI"/>
          <w:i/>
          <w:iCs/>
          <w:color w:val="242424"/>
          <w:sz w:val="22"/>
          <w:szCs w:val="22"/>
        </w:rPr>
        <w:br/>
      </w:r>
      <w:r w:rsidRPr="00832773">
        <w:rPr>
          <w:rFonts w:cs="Segoe UI"/>
          <w:i/>
          <w:iCs/>
          <w:color w:val="242424"/>
          <w:sz w:val="22"/>
          <w:szCs w:val="22"/>
          <w:shd w:val="clear" w:color="auto" w:fill="FFFFFF"/>
        </w:rPr>
        <w:t>Rodrigo Alberto Campos Hidalgo, Director Jurídico interino, en el que comunica la</w:t>
      </w:r>
      <w:r w:rsidRPr="00832773">
        <w:rPr>
          <w:rFonts w:cs="Segoe UI"/>
          <w:i/>
          <w:iCs/>
          <w:color w:val="242424"/>
          <w:sz w:val="22"/>
          <w:szCs w:val="22"/>
        </w:rPr>
        <w:br/>
      </w:r>
      <w:r w:rsidRPr="00832773">
        <w:rPr>
          <w:rFonts w:cs="Segoe UI"/>
          <w:i/>
          <w:iCs/>
          <w:color w:val="242424"/>
          <w:sz w:val="22"/>
          <w:szCs w:val="22"/>
          <w:shd w:val="clear" w:color="auto" w:fill="FFFFFF"/>
        </w:rPr>
        <w:t>ampliación del criterio N° DJ-AJ-C-247-2021 del 12 de mayo de 2021, respecto a las</w:t>
      </w:r>
      <w:r w:rsidRPr="00832773">
        <w:rPr>
          <w:rFonts w:cs="Segoe UI"/>
          <w:i/>
          <w:iCs/>
          <w:color w:val="242424"/>
          <w:sz w:val="22"/>
          <w:szCs w:val="22"/>
        </w:rPr>
        <w:br/>
      </w:r>
      <w:r w:rsidRPr="00832773">
        <w:rPr>
          <w:rFonts w:cs="Segoe UI"/>
          <w:i/>
          <w:iCs/>
          <w:color w:val="242424"/>
          <w:sz w:val="22"/>
          <w:szCs w:val="22"/>
          <w:shd w:val="clear" w:color="auto" w:fill="FFFFFF"/>
        </w:rPr>
        <w:lastRenderedPageBreak/>
        <w:t>consultas planteadas por este Consejo en relación al informe de la Dirección de</w:t>
      </w:r>
      <w:r w:rsidRPr="00832773">
        <w:rPr>
          <w:rFonts w:cs="Segoe UI"/>
          <w:i/>
          <w:iCs/>
          <w:color w:val="242424"/>
          <w:sz w:val="22"/>
          <w:szCs w:val="22"/>
        </w:rPr>
        <w:br/>
      </w:r>
      <w:r w:rsidRPr="00832773">
        <w:rPr>
          <w:rFonts w:cs="Segoe UI"/>
          <w:i/>
          <w:iCs/>
          <w:color w:val="242424"/>
          <w:sz w:val="22"/>
          <w:szCs w:val="22"/>
          <w:shd w:val="clear" w:color="auto" w:fill="FFFFFF"/>
        </w:rPr>
        <w:t>Planificación en oficio N° 2047-PLA-EV-2020 del 16 de diciembre del 2020,</w:t>
      </w:r>
      <w:r w:rsidRPr="00832773">
        <w:rPr>
          <w:rFonts w:cs="Segoe UI"/>
          <w:i/>
          <w:iCs/>
          <w:color w:val="242424"/>
          <w:sz w:val="22"/>
          <w:szCs w:val="22"/>
        </w:rPr>
        <w:br/>
      </w:r>
      <w:r w:rsidRPr="00832773">
        <w:rPr>
          <w:rFonts w:cs="Segoe UI"/>
          <w:i/>
          <w:iCs/>
          <w:color w:val="242424"/>
          <w:sz w:val="22"/>
          <w:szCs w:val="22"/>
          <w:shd w:val="clear" w:color="auto" w:fill="FFFFFF"/>
        </w:rPr>
        <w:t>relacionado con el Plan de Trabajo para que el recurso humano de los juzgados</w:t>
      </w:r>
      <w:r w:rsidRPr="00832773">
        <w:rPr>
          <w:rFonts w:cs="Segoe UI"/>
          <w:i/>
          <w:iCs/>
          <w:color w:val="242424"/>
          <w:sz w:val="22"/>
          <w:szCs w:val="22"/>
        </w:rPr>
        <w:br/>
      </w:r>
      <w:r w:rsidRPr="00832773">
        <w:rPr>
          <w:rFonts w:cs="Segoe UI"/>
          <w:i/>
          <w:iCs/>
          <w:color w:val="242424"/>
          <w:sz w:val="22"/>
          <w:szCs w:val="22"/>
          <w:shd w:val="clear" w:color="auto" w:fill="FFFFFF"/>
        </w:rPr>
        <w:t>civiles en el Primero y Segundo Circuito Judicial de Alajuela, mediante el cual se</w:t>
      </w:r>
      <w:r w:rsidRPr="00832773">
        <w:rPr>
          <w:rFonts w:cs="Segoe UI"/>
          <w:i/>
          <w:iCs/>
          <w:color w:val="242424"/>
          <w:sz w:val="22"/>
          <w:szCs w:val="22"/>
        </w:rPr>
        <w:br/>
      </w:r>
      <w:r w:rsidRPr="00832773">
        <w:rPr>
          <w:rFonts w:cs="Segoe UI"/>
          <w:i/>
          <w:iCs/>
          <w:color w:val="242424"/>
          <w:sz w:val="22"/>
          <w:szCs w:val="22"/>
          <w:shd w:val="clear" w:color="auto" w:fill="FFFFFF"/>
        </w:rPr>
        <w:t>concluye: A) Que la decisión de modificar para que la firma del proveído de los</w:t>
      </w:r>
      <w:r w:rsidRPr="00832773">
        <w:rPr>
          <w:rFonts w:cs="Segoe UI"/>
          <w:i/>
          <w:iCs/>
          <w:color w:val="242424"/>
          <w:sz w:val="22"/>
          <w:szCs w:val="22"/>
        </w:rPr>
        <w:br/>
      </w:r>
      <w:r w:rsidRPr="00832773">
        <w:rPr>
          <w:rFonts w:cs="Segoe UI"/>
          <w:i/>
          <w:iCs/>
          <w:color w:val="242424"/>
          <w:sz w:val="22"/>
          <w:szCs w:val="22"/>
          <w:shd w:val="clear" w:color="auto" w:fill="FFFFFF"/>
        </w:rPr>
        <w:t>asuntos de cobro sea asumida por las plazas de personas juzgadoras civiles, no se</w:t>
      </w:r>
      <w:r w:rsidRPr="00832773">
        <w:rPr>
          <w:rFonts w:cs="Segoe UI"/>
          <w:i/>
          <w:iCs/>
          <w:color w:val="242424"/>
          <w:sz w:val="22"/>
          <w:szCs w:val="22"/>
        </w:rPr>
        <w:br/>
      </w:r>
      <w:r w:rsidRPr="00832773">
        <w:rPr>
          <w:rFonts w:cs="Segoe UI"/>
          <w:i/>
          <w:iCs/>
          <w:color w:val="242424"/>
          <w:sz w:val="22"/>
          <w:szCs w:val="22"/>
          <w:shd w:val="clear" w:color="auto" w:fill="FFFFFF"/>
        </w:rPr>
        <w:t>encuentra dentro de la esfera del poder de dirección que tiene la parte</w:t>
      </w:r>
      <w:r w:rsidRPr="00832773">
        <w:rPr>
          <w:rFonts w:cs="Segoe UI"/>
          <w:i/>
          <w:iCs/>
          <w:color w:val="242424"/>
          <w:sz w:val="22"/>
          <w:szCs w:val="22"/>
        </w:rPr>
        <w:br/>
      </w:r>
      <w:r w:rsidRPr="00832773">
        <w:rPr>
          <w:rFonts w:cs="Segoe UI"/>
          <w:i/>
          <w:iCs/>
          <w:color w:val="242424"/>
          <w:sz w:val="22"/>
          <w:szCs w:val="22"/>
          <w:shd w:val="clear" w:color="auto" w:fill="FFFFFF"/>
        </w:rPr>
        <w:t>empleadora en uso de su poder de ius variandi, por cuanto existe una imposibilidad</w:t>
      </w:r>
      <w:r w:rsidRPr="00832773">
        <w:rPr>
          <w:rFonts w:cs="Segoe UI"/>
          <w:i/>
          <w:iCs/>
          <w:color w:val="242424"/>
          <w:sz w:val="22"/>
          <w:szCs w:val="22"/>
        </w:rPr>
        <w:br/>
      </w:r>
      <w:r w:rsidRPr="00832773">
        <w:rPr>
          <w:rFonts w:cs="Segoe UI"/>
          <w:i/>
          <w:iCs/>
          <w:color w:val="242424"/>
          <w:sz w:val="22"/>
          <w:szCs w:val="22"/>
          <w:shd w:val="clear" w:color="auto" w:fill="FFFFFF"/>
        </w:rPr>
        <w:t>legal para realizar dicha modificación. Por lo que evidentemente constituye un ius</w:t>
      </w:r>
      <w:r w:rsidRPr="00832773">
        <w:rPr>
          <w:rFonts w:cs="Segoe UI"/>
          <w:i/>
          <w:iCs/>
          <w:color w:val="242424"/>
          <w:sz w:val="22"/>
          <w:szCs w:val="22"/>
        </w:rPr>
        <w:br/>
      </w:r>
      <w:r w:rsidRPr="00832773">
        <w:rPr>
          <w:rFonts w:cs="Segoe UI"/>
          <w:i/>
          <w:iCs/>
          <w:color w:val="242424"/>
          <w:sz w:val="22"/>
          <w:szCs w:val="22"/>
          <w:shd w:val="clear" w:color="auto" w:fill="FFFFFF"/>
        </w:rPr>
        <w:t>variandi abusivo. B) La definición de las competencias por la materia, es un tema</w:t>
      </w:r>
      <w:r w:rsidRPr="00832773">
        <w:rPr>
          <w:rFonts w:cs="Segoe UI"/>
          <w:i/>
          <w:iCs/>
          <w:color w:val="242424"/>
          <w:sz w:val="22"/>
          <w:szCs w:val="22"/>
        </w:rPr>
        <w:br/>
      </w:r>
      <w:r w:rsidRPr="00832773">
        <w:rPr>
          <w:rFonts w:cs="Segoe UI"/>
          <w:i/>
          <w:iCs/>
          <w:color w:val="242424"/>
          <w:sz w:val="22"/>
          <w:szCs w:val="22"/>
          <w:shd w:val="clear" w:color="auto" w:fill="FFFFFF"/>
        </w:rPr>
        <w:t>reservado a la ley por lo que la competencia de las personas juzgadoras está ligada</w:t>
      </w:r>
      <w:r w:rsidRPr="00832773">
        <w:rPr>
          <w:rFonts w:cs="Segoe UI"/>
          <w:i/>
          <w:iCs/>
          <w:color w:val="242424"/>
          <w:sz w:val="22"/>
          <w:szCs w:val="22"/>
        </w:rPr>
        <w:br/>
      </w:r>
      <w:r w:rsidRPr="00832773">
        <w:rPr>
          <w:rFonts w:cs="Segoe UI"/>
          <w:i/>
          <w:iCs/>
          <w:color w:val="242424"/>
          <w:sz w:val="22"/>
          <w:szCs w:val="22"/>
          <w:shd w:val="clear" w:color="auto" w:fill="FFFFFF"/>
        </w:rPr>
        <w:t>o sujeta al tipo de procesos que conoce el despacho en el cual la persona</w:t>
      </w:r>
      <w:r w:rsidRPr="00832773">
        <w:rPr>
          <w:rFonts w:cs="Segoe UI"/>
          <w:i/>
          <w:iCs/>
          <w:color w:val="242424"/>
          <w:sz w:val="22"/>
          <w:szCs w:val="22"/>
        </w:rPr>
        <w:br/>
      </w:r>
      <w:r w:rsidRPr="00832773">
        <w:rPr>
          <w:rFonts w:cs="Segoe UI"/>
          <w:i/>
          <w:iCs/>
          <w:color w:val="242424"/>
          <w:sz w:val="22"/>
          <w:szCs w:val="22"/>
          <w:shd w:val="clear" w:color="auto" w:fill="FFFFFF"/>
        </w:rPr>
        <w:t>juzgadora se encuentra nombrada. C) La persona Juzgadora en materia civil está</w:t>
      </w:r>
      <w:r w:rsidRPr="00832773">
        <w:rPr>
          <w:rFonts w:cs="Segoe UI"/>
          <w:i/>
          <w:iCs/>
          <w:color w:val="242424"/>
          <w:sz w:val="22"/>
          <w:szCs w:val="22"/>
        </w:rPr>
        <w:br/>
      </w:r>
      <w:r w:rsidRPr="00832773">
        <w:rPr>
          <w:rFonts w:cs="Segoe UI"/>
          <w:i/>
          <w:iCs/>
          <w:color w:val="242424"/>
          <w:sz w:val="22"/>
          <w:szCs w:val="22"/>
          <w:shd w:val="clear" w:color="auto" w:fill="FFFFFF"/>
        </w:rPr>
        <w:t>facultada únicamente para resolver los procesos dispuestos por la ley y, por ello,</w:t>
      </w:r>
      <w:r w:rsidRPr="00832773">
        <w:rPr>
          <w:rFonts w:cs="Segoe UI"/>
          <w:i/>
          <w:iCs/>
          <w:color w:val="242424"/>
          <w:sz w:val="22"/>
          <w:szCs w:val="22"/>
        </w:rPr>
        <w:br/>
      </w:r>
      <w:r w:rsidRPr="00832773">
        <w:rPr>
          <w:rFonts w:cs="Segoe UI"/>
          <w:i/>
          <w:iCs/>
          <w:color w:val="242424"/>
          <w:sz w:val="22"/>
          <w:szCs w:val="22"/>
          <w:shd w:val="clear" w:color="auto" w:fill="FFFFFF"/>
        </w:rPr>
        <w:t>existe imposibilidad legal para modificar la función en el sentido de que la firma del</w:t>
      </w:r>
      <w:r w:rsidRPr="00832773">
        <w:rPr>
          <w:rFonts w:cs="Segoe UI"/>
          <w:i/>
          <w:iCs/>
          <w:color w:val="242424"/>
          <w:sz w:val="22"/>
          <w:szCs w:val="22"/>
        </w:rPr>
        <w:br/>
      </w:r>
      <w:r w:rsidRPr="00832773">
        <w:rPr>
          <w:rFonts w:cs="Segoe UI"/>
          <w:i/>
          <w:iCs/>
          <w:color w:val="242424"/>
          <w:sz w:val="22"/>
          <w:szCs w:val="22"/>
          <w:shd w:val="clear" w:color="auto" w:fill="FFFFFF"/>
        </w:rPr>
        <w:t>proveído de los asuntos correspondientes a la materia de cobro sea asumida por los</w:t>
      </w:r>
      <w:r w:rsidRPr="00832773">
        <w:rPr>
          <w:rFonts w:cs="Segoe UI"/>
          <w:i/>
          <w:iCs/>
          <w:color w:val="242424"/>
          <w:sz w:val="22"/>
          <w:szCs w:val="22"/>
        </w:rPr>
        <w:br/>
      </w:r>
      <w:r w:rsidRPr="00832773">
        <w:rPr>
          <w:rFonts w:cs="Segoe UI"/>
          <w:i/>
          <w:iCs/>
          <w:color w:val="242424"/>
          <w:sz w:val="22"/>
          <w:szCs w:val="22"/>
          <w:shd w:val="clear" w:color="auto" w:fill="FFFFFF"/>
        </w:rPr>
        <w:t>jueces o juezas civiles. 2) Hacer de conocimiento de la Dirección de Planificación a</w:t>
      </w:r>
      <w:r w:rsidRPr="00832773">
        <w:rPr>
          <w:rFonts w:cs="Segoe UI"/>
          <w:i/>
          <w:iCs/>
          <w:color w:val="242424"/>
          <w:sz w:val="22"/>
          <w:szCs w:val="22"/>
        </w:rPr>
        <w:br/>
      </w:r>
      <w:r w:rsidRPr="00832773">
        <w:rPr>
          <w:rFonts w:cs="Segoe UI"/>
          <w:i/>
          <w:iCs/>
          <w:color w:val="242424"/>
          <w:sz w:val="22"/>
          <w:szCs w:val="22"/>
          <w:shd w:val="clear" w:color="auto" w:fill="FFFFFF"/>
        </w:rPr>
        <w:t>fin de que se realicen los ajustes correspondientes en relación con el Plan de Trabajo</w:t>
      </w:r>
      <w:r w:rsidRPr="00832773">
        <w:rPr>
          <w:rFonts w:cs="Segoe UI"/>
          <w:i/>
          <w:iCs/>
          <w:color w:val="242424"/>
          <w:sz w:val="22"/>
          <w:szCs w:val="22"/>
        </w:rPr>
        <w:br/>
      </w:r>
      <w:r w:rsidRPr="00832773">
        <w:rPr>
          <w:rFonts w:cs="Segoe UI"/>
          <w:i/>
          <w:iCs/>
          <w:color w:val="242424"/>
          <w:sz w:val="22"/>
          <w:szCs w:val="22"/>
          <w:shd w:val="clear" w:color="auto" w:fill="FFFFFF"/>
        </w:rPr>
        <w:t>para que el recurso humano de los juzgados civiles en el Primero y Segundo Circuito</w:t>
      </w:r>
      <w:r w:rsidRPr="00832773">
        <w:rPr>
          <w:rFonts w:cs="Segoe UI"/>
          <w:i/>
          <w:iCs/>
          <w:color w:val="242424"/>
          <w:sz w:val="22"/>
          <w:szCs w:val="22"/>
        </w:rPr>
        <w:br/>
      </w:r>
      <w:r w:rsidRPr="00832773">
        <w:rPr>
          <w:rFonts w:cs="Segoe UI"/>
          <w:i/>
          <w:iCs/>
          <w:color w:val="242424"/>
          <w:sz w:val="22"/>
          <w:szCs w:val="22"/>
          <w:shd w:val="clear" w:color="auto" w:fill="FFFFFF"/>
        </w:rPr>
        <w:t>Judicial de Alajuela en concordancia con el presente criterio. La Comisión de</w:t>
      </w:r>
      <w:r w:rsidRPr="00832773">
        <w:rPr>
          <w:rFonts w:cs="Segoe UI"/>
          <w:i/>
          <w:iCs/>
          <w:color w:val="242424"/>
          <w:sz w:val="22"/>
          <w:szCs w:val="22"/>
        </w:rPr>
        <w:br/>
      </w:r>
      <w:r w:rsidRPr="00832773">
        <w:rPr>
          <w:rFonts w:cs="Segoe UI"/>
          <w:i/>
          <w:iCs/>
          <w:color w:val="242424"/>
          <w:sz w:val="22"/>
          <w:szCs w:val="22"/>
          <w:shd w:val="clear" w:color="auto" w:fill="FFFFFF"/>
        </w:rPr>
        <w:t>Asuntos Civiles, tomará nota para lo de su cargo.”</w:t>
      </w:r>
      <w:r w:rsidRPr="00832773">
        <w:rPr>
          <w:rFonts w:cs="Segoe UI"/>
          <w:i/>
          <w:iCs/>
          <w:color w:val="242424"/>
          <w:sz w:val="22"/>
          <w:szCs w:val="22"/>
        </w:rPr>
        <w:br/>
      </w:r>
      <w:r w:rsidRPr="00832773">
        <w:rPr>
          <w:rFonts w:cs="Segoe UI"/>
          <w:i/>
          <w:iCs/>
          <w:color w:val="242424"/>
          <w:sz w:val="22"/>
          <w:szCs w:val="22"/>
          <w:shd w:val="clear" w:color="auto" w:fill="FFFFFF"/>
        </w:rPr>
        <w:t>N° 8901-2021.docx</w:t>
      </w:r>
    </w:p>
    <w:p w14:paraId="2D5805DC" w14:textId="50F1854C" w:rsidR="00DF3688" w:rsidRPr="004E74A6" w:rsidRDefault="00DF3688" w:rsidP="00DF3688">
      <w:pPr>
        <w:spacing w:line="276" w:lineRule="auto"/>
        <w:ind w:left="567" w:right="618"/>
        <w:contextualSpacing/>
        <w:rPr>
          <w:rFonts w:cs="Segoe UI"/>
          <w:i/>
          <w:iCs/>
          <w:color w:val="242424"/>
          <w:sz w:val="22"/>
          <w:szCs w:val="22"/>
          <w:shd w:val="clear" w:color="auto" w:fill="FFFFFF"/>
        </w:rPr>
      </w:pPr>
      <w:r w:rsidRPr="00832773">
        <w:rPr>
          <w:rFonts w:cs="Segoe UI"/>
          <w:i/>
          <w:iCs/>
          <w:color w:val="242424"/>
          <w:sz w:val="22"/>
          <w:szCs w:val="22"/>
          <w:shd w:val="clear" w:color="auto" w:fill="FFFFFF"/>
        </w:rPr>
        <w:t>La Magistrada Rojas indica tiene sus reservas sobre el criterio de la Dirección Jurídica y que</w:t>
      </w:r>
      <w:r w:rsidRPr="004E74A6">
        <w:rPr>
          <w:rFonts w:cs="Segoe UI"/>
          <w:i/>
          <w:iCs/>
          <w:color w:val="242424"/>
          <w:sz w:val="22"/>
          <w:szCs w:val="22"/>
          <w:shd w:val="clear" w:color="auto" w:fill="FFFFFF"/>
        </w:rPr>
        <w:t xml:space="preserve"> </w:t>
      </w:r>
      <w:r w:rsidRPr="00832773">
        <w:rPr>
          <w:rFonts w:cs="Segoe UI"/>
          <w:i/>
          <w:iCs/>
          <w:color w:val="242424"/>
          <w:sz w:val="22"/>
          <w:szCs w:val="22"/>
          <w:shd w:val="clear" w:color="auto" w:fill="FFFFFF"/>
        </w:rPr>
        <w:t>estima no es vinculante.</w:t>
      </w:r>
    </w:p>
    <w:p w14:paraId="476E7FA3" w14:textId="77777777" w:rsidR="00DF3688" w:rsidRPr="004E74A6" w:rsidRDefault="00DF3688" w:rsidP="00DF3688">
      <w:pPr>
        <w:spacing w:line="276" w:lineRule="auto"/>
        <w:ind w:left="567" w:right="618"/>
        <w:contextualSpacing/>
        <w:rPr>
          <w:rFonts w:cs="Segoe UI"/>
          <w:i/>
          <w:iCs/>
          <w:color w:val="242424"/>
          <w:sz w:val="22"/>
          <w:szCs w:val="22"/>
          <w:shd w:val="clear" w:color="auto" w:fill="FFFFFF"/>
        </w:rPr>
      </w:pPr>
      <w:r w:rsidRPr="00832773">
        <w:rPr>
          <w:rFonts w:cs="Segoe UI"/>
          <w:i/>
          <w:iCs/>
          <w:color w:val="242424"/>
          <w:sz w:val="22"/>
          <w:szCs w:val="22"/>
          <w:shd w:val="clear" w:color="auto" w:fill="FFFFFF"/>
        </w:rPr>
        <w:t>El señor Dixon Li señalo que en el informe 1219-PLA-EV-2021 se atendió el criterio de la</w:t>
      </w:r>
      <w:r w:rsidRPr="004E74A6">
        <w:rPr>
          <w:rFonts w:cs="Segoe UI"/>
          <w:i/>
          <w:iCs/>
          <w:color w:val="242424"/>
          <w:sz w:val="22"/>
          <w:szCs w:val="22"/>
          <w:shd w:val="clear" w:color="auto" w:fill="FFFFFF"/>
        </w:rPr>
        <w:t xml:space="preserve"> </w:t>
      </w:r>
      <w:r w:rsidRPr="00832773">
        <w:rPr>
          <w:rFonts w:cs="Segoe UI"/>
          <w:i/>
          <w:iCs/>
          <w:color w:val="242424"/>
          <w:sz w:val="22"/>
          <w:szCs w:val="22"/>
          <w:shd w:val="clear" w:color="auto" w:fill="FFFFFF"/>
        </w:rPr>
        <w:t>Dirección Jurídica.</w:t>
      </w:r>
    </w:p>
    <w:p w14:paraId="13B7F893" w14:textId="19F4091C" w:rsidR="00DF3688" w:rsidRPr="00832773" w:rsidRDefault="00DF3688" w:rsidP="00860BDA">
      <w:pPr>
        <w:spacing w:line="276" w:lineRule="auto"/>
        <w:ind w:left="567" w:right="618"/>
        <w:contextualSpacing/>
        <w:rPr>
          <w:rFonts w:cs="Segoe UI"/>
          <w:i/>
          <w:iCs/>
          <w:color w:val="242424"/>
          <w:sz w:val="22"/>
          <w:szCs w:val="22"/>
          <w:shd w:val="clear" w:color="auto" w:fill="FFFFFF"/>
        </w:rPr>
      </w:pPr>
      <w:r w:rsidRPr="00832773">
        <w:rPr>
          <w:rFonts w:cs="Segoe UI"/>
          <w:i/>
          <w:iCs/>
          <w:color w:val="242424"/>
          <w:sz w:val="22"/>
          <w:szCs w:val="22"/>
          <w:shd w:val="clear" w:color="auto" w:fill="FFFFFF"/>
        </w:rPr>
        <w:t>SE ACUERDA: 1. Se toma nota del oficio 8901-2021 que contiene el acuerdo tomado por el</w:t>
      </w:r>
      <w:r w:rsidRPr="004E74A6">
        <w:rPr>
          <w:rFonts w:cs="Segoe UI"/>
          <w:i/>
          <w:iCs/>
          <w:color w:val="242424"/>
          <w:sz w:val="22"/>
          <w:szCs w:val="22"/>
          <w:shd w:val="clear" w:color="auto" w:fill="FFFFFF"/>
        </w:rPr>
        <w:t xml:space="preserve"> </w:t>
      </w:r>
      <w:r w:rsidRPr="00832773">
        <w:rPr>
          <w:rFonts w:cs="Segoe UI"/>
          <w:i/>
          <w:iCs/>
          <w:color w:val="242424"/>
          <w:sz w:val="22"/>
          <w:szCs w:val="22"/>
          <w:shd w:val="clear" w:color="auto" w:fill="FFFFFF"/>
        </w:rPr>
        <w:t>Consejo Superior en sesión 81-2021 de 16 de setiembre de 2021, artículo XV. 2. Comunicar</w:t>
      </w:r>
      <w:r w:rsidRPr="004E74A6">
        <w:rPr>
          <w:rFonts w:cs="Segoe UI"/>
          <w:i/>
          <w:iCs/>
          <w:color w:val="242424"/>
          <w:sz w:val="22"/>
          <w:szCs w:val="22"/>
          <w:shd w:val="clear" w:color="auto" w:fill="FFFFFF"/>
        </w:rPr>
        <w:t xml:space="preserve"> </w:t>
      </w:r>
      <w:r w:rsidRPr="00832773">
        <w:rPr>
          <w:rFonts w:cs="Segoe UI"/>
          <w:i/>
          <w:iCs/>
          <w:color w:val="242424"/>
          <w:sz w:val="22"/>
          <w:szCs w:val="22"/>
          <w:shd w:val="clear" w:color="auto" w:fill="FFFFFF"/>
        </w:rPr>
        <w:t>al Consejo Superior y a la Dirección de Planificación que la Comisión de la Jurisdicción Civil</w:t>
      </w:r>
      <w:r w:rsidRPr="004E74A6">
        <w:rPr>
          <w:rFonts w:cs="Segoe UI"/>
          <w:i/>
          <w:iCs/>
          <w:color w:val="242424"/>
          <w:sz w:val="22"/>
          <w:szCs w:val="22"/>
          <w:shd w:val="clear" w:color="auto" w:fill="FFFFFF"/>
        </w:rPr>
        <w:t xml:space="preserve"> </w:t>
      </w:r>
      <w:r w:rsidRPr="00832773">
        <w:rPr>
          <w:rFonts w:cs="Segoe UI"/>
          <w:i/>
          <w:iCs/>
          <w:color w:val="242424"/>
          <w:sz w:val="22"/>
          <w:szCs w:val="22"/>
          <w:shd w:val="clear" w:color="auto" w:fill="FFFFFF"/>
        </w:rPr>
        <w:t>tiene sus reservas acerca del criterio de la Dirección Jurídica sobre la firma del proveído, el</w:t>
      </w:r>
      <w:r w:rsidRPr="004E74A6">
        <w:rPr>
          <w:rFonts w:cs="Segoe UI"/>
          <w:i/>
          <w:iCs/>
          <w:color w:val="242424"/>
          <w:sz w:val="22"/>
          <w:szCs w:val="22"/>
          <w:shd w:val="clear" w:color="auto" w:fill="FFFFFF"/>
        </w:rPr>
        <w:t xml:space="preserve"> </w:t>
      </w:r>
      <w:r w:rsidRPr="00832773">
        <w:rPr>
          <w:rFonts w:cs="Segoe UI"/>
          <w:i/>
          <w:iCs/>
          <w:color w:val="242424"/>
          <w:sz w:val="22"/>
          <w:szCs w:val="22"/>
          <w:shd w:val="clear" w:color="auto" w:fill="FFFFFF"/>
        </w:rPr>
        <w:t>cual de por sí, no es vinculante y no puede tratarse como tal. 3. Se declara este acuerdo</w:t>
      </w:r>
      <w:r w:rsidRPr="004E74A6">
        <w:rPr>
          <w:rFonts w:cs="Segoe UI"/>
          <w:i/>
          <w:iCs/>
          <w:color w:val="242424"/>
          <w:sz w:val="22"/>
          <w:szCs w:val="22"/>
          <w:shd w:val="clear" w:color="auto" w:fill="FFFFFF"/>
        </w:rPr>
        <w:t xml:space="preserve"> </w:t>
      </w:r>
      <w:r w:rsidRPr="00832773">
        <w:rPr>
          <w:rFonts w:cs="Segoe UI"/>
          <w:i/>
          <w:iCs/>
          <w:color w:val="242424"/>
          <w:sz w:val="22"/>
          <w:szCs w:val="22"/>
          <w:shd w:val="clear" w:color="auto" w:fill="FFFFFF"/>
        </w:rPr>
        <w:t>firme por su urgencia, y se dispone su comunicación al Consejo Superior mediante la</w:t>
      </w:r>
      <w:r w:rsidRPr="004E74A6">
        <w:rPr>
          <w:rFonts w:cs="Segoe UI"/>
          <w:i/>
          <w:iCs/>
          <w:color w:val="242424"/>
          <w:sz w:val="22"/>
          <w:szCs w:val="22"/>
          <w:shd w:val="clear" w:color="auto" w:fill="FFFFFF"/>
        </w:rPr>
        <w:t xml:space="preserve"> </w:t>
      </w:r>
      <w:r w:rsidRPr="00832773">
        <w:rPr>
          <w:rFonts w:cs="Segoe UI"/>
          <w:i/>
          <w:iCs/>
          <w:color w:val="242424"/>
          <w:sz w:val="22"/>
          <w:szCs w:val="22"/>
          <w:shd w:val="clear" w:color="auto" w:fill="FFFFFF"/>
        </w:rPr>
        <w:t xml:space="preserve">Secretaría General de la Corte y a la </w:t>
      </w:r>
      <w:r w:rsidR="00F0204A" w:rsidRPr="004E74A6">
        <w:rPr>
          <w:rFonts w:cs="Segoe UI"/>
          <w:i/>
          <w:iCs/>
          <w:color w:val="242424"/>
          <w:sz w:val="22"/>
          <w:szCs w:val="22"/>
          <w:shd w:val="clear" w:color="auto" w:fill="FFFFFF"/>
        </w:rPr>
        <w:t>Dirección</w:t>
      </w:r>
      <w:r w:rsidRPr="00832773">
        <w:rPr>
          <w:rFonts w:cs="Segoe UI"/>
          <w:i/>
          <w:iCs/>
          <w:color w:val="242424"/>
          <w:sz w:val="22"/>
          <w:szCs w:val="22"/>
          <w:shd w:val="clear" w:color="auto" w:fill="FFFFFF"/>
        </w:rPr>
        <w:t xml:space="preserve"> de Planificación.</w:t>
      </w:r>
    </w:p>
    <w:p w14:paraId="497CF28A" w14:textId="4B9C325B" w:rsidR="00DF3688" w:rsidRDefault="00DF3688" w:rsidP="00A905D1">
      <w:pPr>
        <w:spacing w:line="276" w:lineRule="auto"/>
        <w:ind w:right="618"/>
        <w:contextualSpacing/>
        <w:rPr>
          <w:rFonts w:ascii="Segoe UI" w:hAnsi="Segoe UI" w:cs="Segoe UI"/>
          <w:color w:val="242424"/>
          <w:sz w:val="21"/>
          <w:szCs w:val="21"/>
          <w:shd w:val="clear" w:color="auto" w:fill="FFFFFF"/>
        </w:rPr>
      </w:pPr>
    </w:p>
    <w:p w14:paraId="4244B3A3" w14:textId="60AC413D" w:rsidR="00194F64" w:rsidRDefault="00194F64" w:rsidP="00A905D1">
      <w:pPr>
        <w:spacing w:line="276" w:lineRule="auto"/>
        <w:ind w:right="618"/>
        <w:contextualSpacing/>
        <w:rPr>
          <w:rFonts w:ascii="Segoe UI" w:hAnsi="Segoe UI" w:cs="Segoe UI"/>
          <w:color w:val="242424"/>
          <w:sz w:val="21"/>
          <w:szCs w:val="21"/>
          <w:shd w:val="clear" w:color="auto" w:fill="FFFFFF"/>
        </w:rPr>
      </w:pPr>
    </w:p>
    <w:p w14:paraId="4B4FB6DF" w14:textId="4C277090" w:rsidR="00194F64" w:rsidRDefault="00194F64" w:rsidP="00A905D1">
      <w:pPr>
        <w:spacing w:line="276" w:lineRule="auto"/>
        <w:ind w:right="618"/>
        <w:contextualSpacing/>
        <w:rPr>
          <w:rFonts w:ascii="Segoe UI" w:hAnsi="Segoe UI" w:cs="Segoe UI"/>
          <w:color w:val="242424"/>
          <w:sz w:val="21"/>
          <w:szCs w:val="21"/>
          <w:shd w:val="clear" w:color="auto" w:fill="FFFFFF"/>
        </w:rPr>
      </w:pPr>
    </w:p>
    <w:p w14:paraId="20161F34" w14:textId="0BB7CE08" w:rsidR="00194F64" w:rsidRDefault="00194F64" w:rsidP="00A905D1">
      <w:pPr>
        <w:spacing w:line="276" w:lineRule="auto"/>
        <w:ind w:right="618"/>
        <w:contextualSpacing/>
        <w:rPr>
          <w:rFonts w:ascii="Segoe UI" w:hAnsi="Segoe UI" w:cs="Segoe UI"/>
          <w:color w:val="242424"/>
          <w:sz w:val="21"/>
          <w:szCs w:val="21"/>
          <w:shd w:val="clear" w:color="auto" w:fill="FFFFFF"/>
        </w:rPr>
      </w:pPr>
    </w:p>
    <w:p w14:paraId="2567CEF7" w14:textId="77777777" w:rsidR="00194F64" w:rsidRPr="004E74A6" w:rsidRDefault="00194F64" w:rsidP="00A905D1">
      <w:pPr>
        <w:spacing w:line="276" w:lineRule="auto"/>
        <w:ind w:right="618"/>
        <w:contextualSpacing/>
        <w:rPr>
          <w:rFonts w:ascii="Segoe UI" w:hAnsi="Segoe UI" w:cs="Segoe UI"/>
          <w:color w:val="242424"/>
          <w:sz w:val="21"/>
          <w:szCs w:val="21"/>
          <w:shd w:val="clear" w:color="auto" w:fill="FFFFFF"/>
        </w:rPr>
      </w:pPr>
    </w:p>
    <w:p w14:paraId="718B3705" w14:textId="6C2880F5" w:rsidR="00DF3688" w:rsidRPr="00832773" w:rsidRDefault="00DF3688" w:rsidP="00832773">
      <w:pPr>
        <w:spacing w:line="276" w:lineRule="auto"/>
        <w:ind w:right="51"/>
        <w:contextualSpacing/>
        <w:rPr>
          <w:szCs w:val="24"/>
        </w:rPr>
      </w:pPr>
      <w:r w:rsidRPr="00832773">
        <w:rPr>
          <w:szCs w:val="24"/>
        </w:rPr>
        <w:lastRenderedPageBreak/>
        <w:t>Posteriormente, el Consejo Superior del Poder Judicial, en sesión 4-2022 celebrada el 13 de enero de 2022, artículo XL</w:t>
      </w:r>
      <w:r w:rsidR="00D8169C" w:rsidRPr="004E74A6">
        <w:rPr>
          <w:szCs w:val="24"/>
        </w:rPr>
        <w:t xml:space="preserve"> (referencia interna 228-22)</w:t>
      </w:r>
      <w:r w:rsidRPr="00832773">
        <w:rPr>
          <w:szCs w:val="24"/>
        </w:rPr>
        <w:t xml:space="preserve"> acordó:</w:t>
      </w:r>
    </w:p>
    <w:p w14:paraId="4034B353" w14:textId="07ED19FE" w:rsidR="00DF3688" w:rsidRPr="004E74A6" w:rsidRDefault="00DF3688" w:rsidP="00DF3688">
      <w:pPr>
        <w:spacing w:line="276" w:lineRule="auto"/>
        <w:ind w:right="618"/>
        <w:contextualSpacing/>
        <w:rPr>
          <w:rFonts w:ascii="Segoe UI" w:hAnsi="Segoe UI" w:cs="Segoe UI"/>
          <w:color w:val="242424"/>
          <w:sz w:val="21"/>
          <w:szCs w:val="21"/>
          <w:shd w:val="clear" w:color="auto" w:fill="FFFFFF"/>
        </w:rPr>
      </w:pPr>
    </w:p>
    <w:p w14:paraId="7B9714AA" w14:textId="77777777" w:rsidR="00DF3688" w:rsidRPr="00832773" w:rsidRDefault="00DF3688" w:rsidP="00832773">
      <w:pPr>
        <w:tabs>
          <w:tab w:val="left" w:pos="8222"/>
        </w:tabs>
        <w:spacing w:line="276" w:lineRule="auto"/>
        <w:ind w:left="567" w:right="618"/>
        <w:rPr>
          <w:i/>
          <w:iCs/>
          <w:sz w:val="22"/>
          <w:szCs w:val="22"/>
          <w:lang w:eastAsia="ar-SA"/>
        </w:rPr>
      </w:pPr>
      <w:r w:rsidRPr="00832773">
        <w:rPr>
          <w:b/>
          <w:bCs/>
          <w:i/>
          <w:iCs/>
          <w:sz w:val="22"/>
          <w:szCs w:val="22"/>
          <w:lang w:eastAsia="ar-SA"/>
        </w:rPr>
        <w:t>Se acordó:</w:t>
      </w:r>
      <w:r w:rsidRPr="00832773">
        <w:rPr>
          <w:i/>
          <w:iCs/>
          <w:sz w:val="22"/>
          <w:szCs w:val="22"/>
          <w:lang w:eastAsia="ar-SA"/>
        </w:rPr>
        <w:t xml:space="preserve"> Tomar nota del acuerdo tomado por la Comisión de la Jurisdicción Civil en sesión N° 11-2021 celebrada el 25 de noviembre de 2021, artículo XVIII, y </w:t>
      </w:r>
      <w:r w:rsidRPr="00832773">
        <w:rPr>
          <w:i/>
          <w:iCs/>
          <w:sz w:val="22"/>
          <w:szCs w:val="22"/>
          <w:lang w:eastAsia="es-CR"/>
        </w:rPr>
        <w:t>sus reservas en cuanto al criterio de la Dirección Jurídica N° DJ-AJ-C-509-2021, sobre la firma del proveído.</w:t>
      </w:r>
    </w:p>
    <w:p w14:paraId="2A0C2027" w14:textId="77777777" w:rsidR="00DF3688" w:rsidRPr="00832773" w:rsidRDefault="00DF3688" w:rsidP="00832773">
      <w:pPr>
        <w:tabs>
          <w:tab w:val="left" w:pos="8222"/>
        </w:tabs>
        <w:spacing w:line="276" w:lineRule="auto"/>
        <w:ind w:left="567" w:right="618"/>
        <w:rPr>
          <w:i/>
          <w:iCs/>
          <w:sz w:val="22"/>
          <w:szCs w:val="22"/>
          <w:lang w:eastAsia="ar-SA"/>
        </w:rPr>
      </w:pPr>
      <w:r w:rsidRPr="00832773">
        <w:rPr>
          <w:i/>
          <w:iCs/>
          <w:sz w:val="22"/>
          <w:szCs w:val="22"/>
          <w:lang w:eastAsia="ar-SA"/>
        </w:rPr>
        <w:t>Hacer este acuerdo de conocimiento de las Direcciones de Planificación y Jurídica.”</w:t>
      </w:r>
    </w:p>
    <w:p w14:paraId="2E0AE856" w14:textId="77777777" w:rsidR="00DF3688" w:rsidRPr="004E74A6" w:rsidRDefault="00DF3688" w:rsidP="00DF3688">
      <w:pPr>
        <w:spacing w:line="276" w:lineRule="auto"/>
        <w:ind w:right="618"/>
        <w:contextualSpacing/>
        <w:rPr>
          <w:rFonts w:ascii="Segoe UI" w:hAnsi="Segoe UI" w:cs="Segoe UI"/>
          <w:color w:val="242424"/>
          <w:sz w:val="21"/>
          <w:szCs w:val="21"/>
          <w:shd w:val="clear" w:color="auto" w:fill="FFFFFF"/>
        </w:rPr>
      </w:pPr>
    </w:p>
    <w:p w14:paraId="0376A2B5" w14:textId="2C9C7433" w:rsidR="00860BDA" w:rsidRPr="00832773" w:rsidRDefault="00855EF9" w:rsidP="00832773">
      <w:pPr>
        <w:spacing w:line="276" w:lineRule="auto"/>
        <w:ind w:right="51"/>
        <w:contextualSpacing/>
        <w:rPr>
          <w:szCs w:val="24"/>
        </w:rPr>
      </w:pPr>
      <w:r>
        <w:rPr>
          <w:szCs w:val="24"/>
        </w:rPr>
        <w:t>F</w:t>
      </w:r>
      <w:r w:rsidR="00860BDA" w:rsidRPr="00832773">
        <w:rPr>
          <w:szCs w:val="24"/>
        </w:rPr>
        <w:t xml:space="preserve">inalmente, la </w:t>
      </w:r>
      <w:r>
        <w:rPr>
          <w:szCs w:val="24"/>
        </w:rPr>
        <w:t>comisión</w:t>
      </w:r>
      <w:r w:rsidRPr="00832773">
        <w:rPr>
          <w:szCs w:val="24"/>
        </w:rPr>
        <w:t xml:space="preserve"> </w:t>
      </w:r>
      <w:r w:rsidR="00860BDA" w:rsidRPr="00832773">
        <w:rPr>
          <w:szCs w:val="24"/>
        </w:rPr>
        <w:t xml:space="preserve">de la Jurisdicción Civil </w:t>
      </w:r>
      <w:r>
        <w:rPr>
          <w:szCs w:val="24"/>
        </w:rPr>
        <w:t xml:space="preserve">mediante </w:t>
      </w:r>
      <w:r w:rsidR="00DF3688" w:rsidRPr="00832773">
        <w:rPr>
          <w:szCs w:val="24"/>
        </w:rPr>
        <w:t>acta 05-2022 del 22 de marzo del 2022</w:t>
      </w:r>
      <w:r w:rsidR="00860BDA" w:rsidRPr="00832773">
        <w:rPr>
          <w:szCs w:val="24"/>
        </w:rPr>
        <w:t xml:space="preserve">, artículo </w:t>
      </w:r>
      <w:r w:rsidR="00DF3688" w:rsidRPr="00832773">
        <w:rPr>
          <w:szCs w:val="24"/>
        </w:rPr>
        <w:t>XVI</w:t>
      </w:r>
      <w:r>
        <w:rPr>
          <w:szCs w:val="24"/>
        </w:rPr>
        <w:t>,</w:t>
      </w:r>
      <w:r w:rsidR="00860BDA" w:rsidRPr="00832773">
        <w:rPr>
          <w:szCs w:val="24"/>
        </w:rPr>
        <w:t xml:space="preserve"> acordó:</w:t>
      </w:r>
    </w:p>
    <w:p w14:paraId="1E6B52D6" w14:textId="77777777" w:rsidR="00860BDA" w:rsidRPr="004E74A6" w:rsidRDefault="00860BDA" w:rsidP="00A905D1">
      <w:pPr>
        <w:spacing w:line="276" w:lineRule="auto"/>
        <w:ind w:right="618"/>
        <w:contextualSpacing/>
        <w:rPr>
          <w:rFonts w:ascii="Segoe UI" w:hAnsi="Segoe UI" w:cs="Segoe UI"/>
          <w:color w:val="242424"/>
          <w:sz w:val="21"/>
          <w:szCs w:val="21"/>
          <w:shd w:val="clear" w:color="auto" w:fill="FFFFFF"/>
        </w:rPr>
      </w:pPr>
    </w:p>
    <w:p w14:paraId="385E2042" w14:textId="71A5558C" w:rsidR="00DF3688" w:rsidRPr="00832773" w:rsidRDefault="00860BDA" w:rsidP="00832773">
      <w:pPr>
        <w:spacing w:line="276" w:lineRule="auto"/>
        <w:ind w:left="567" w:right="618"/>
        <w:contextualSpacing/>
        <w:rPr>
          <w:i/>
          <w:iCs/>
          <w:sz w:val="22"/>
          <w:szCs w:val="22"/>
        </w:rPr>
      </w:pPr>
      <w:r w:rsidRPr="00832773">
        <w:rPr>
          <w:rFonts w:cs="Segoe UI"/>
          <w:i/>
          <w:iCs/>
          <w:color w:val="242424"/>
          <w:sz w:val="22"/>
          <w:szCs w:val="22"/>
          <w:shd w:val="clear" w:color="auto" w:fill="FFFFFF"/>
        </w:rPr>
        <w:t>“</w:t>
      </w:r>
      <w:r w:rsidR="00DF3688" w:rsidRPr="00832773">
        <w:rPr>
          <w:rFonts w:cs="Segoe UI"/>
          <w:i/>
          <w:iCs/>
          <w:color w:val="242424"/>
          <w:sz w:val="22"/>
          <w:szCs w:val="22"/>
          <w:shd w:val="clear" w:color="auto" w:fill="FFFFFF"/>
        </w:rPr>
        <w:t>SE ACUERDA: Se tiene por rendido el Oficio 866-2022 que contiene acuerdo del Consejo</w:t>
      </w:r>
      <w:r w:rsidRPr="004E74A6">
        <w:rPr>
          <w:rFonts w:cs="Segoe UI"/>
          <w:i/>
          <w:iCs/>
          <w:color w:val="242424"/>
          <w:sz w:val="22"/>
          <w:szCs w:val="22"/>
          <w:shd w:val="clear" w:color="auto" w:fill="FFFFFF"/>
        </w:rPr>
        <w:t xml:space="preserve"> </w:t>
      </w:r>
      <w:r w:rsidR="00DF3688" w:rsidRPr="00832773">
        <w:rPr>
          <w:rFonts w:cs="Segoe UI"/>
          <w:i/>
          <w:iCs/>
          <w:color w:val="242424"/>
          <w:sz w:val="22"/>
          <w:szCs w:val="22"/>
          <w:shd w:val="clear" w:color="auto" w:fill="FFFFFF"/>
        </w:rPr>
        <w:t>Superior donde se dispuso a tomar nota del acuerdo tomado por la Comisión de la</w:t>
      </w:r>
      <w:r w:rsidRPr="004E74A6">
        <w:rPr>
          <w:rFonts w:cs="Segoe UI"/>
          <w:i/>
          <w:iCs/>
          <w:color w:val="242424"/>
          <w:sz w:val="22"/>
          <w:szCs w:val="22"/>
          <w:shd w:val="clear" w:color="auto" w:fill="FFFFFF"/>
        </w:rPr>
        <w:t xml:space="preserve"> </w:t>
      </w:r>
      <w:r w:rsidR="00DF3688" w:rsidRPr="00832773">
        <w:rPr>
          <w:rFonts w:cs="Segoe UI"/>
          <w:i/>
          <w:iCs/>
          <w:color w:val="242424"/>
          <w:sz w:val="22"/>
          <w:szCs w:val="22"/>
          <w:shd w:val="clear" w:color="auto" w:fill="FFFFFF"/>
        </w:rPr>
        <w:t>Jurisdicción Civil en sesión N° 11-2021 celebrada el 25 de noviembre de 2021, artículo XVIII,</w:t>
      </w:r>
      <w:r w:rsidRPr="00832773">
        <w:rPr>
          <w:rFonts w:cs="Segoe UI"/>
          <w:i/>
          <w:iCs/>
          <w:color w:val="242424"/>
          <w:sz w:val="22"/>
          <w:szCs w:val="22"/>
          <w:shd w:val="clear" w:color="auto" w:fill="FFFFFF"/>
        </w:rPr>
        <w:t xml:space="preserve"> </w:t>
      </w:r>
      <w:r w:rsidR="00DF3688" w:rsidRPr="00832773">
        <w:rPr>
          <w:rFonts w:cs="Segoe UI"/>
          <w:i/>
          <w:iCs/>
          <w:color w:val="242424"/>
          <w:sz w:val="22"/>
          <w:szCs w:val="22"/>
          <w:shd w:val="clear" w:color="auto" w:fill="FFFFFF"/>
        </w:rPr>
        <w:t>y sus reservas en cuanto al criterio de la Dirección Jurídica N° DJ-AJ-C-509-2021, sobre la</w:t>
      </w:r>
      <w:r w:rsidRPr="00832773">
        <w:rPr>
          <w:rFonts w:cs="Segoe UI"/>
          <w:i/>
          <w:iCs/>
          <w:color w:val="242424"/>
          <w:sz w:val="22"/>
          <w:szCs w:val="22"/>
          <w:shd w:val="clear" w:color="auto" w:fill="FFFFFF"/>
        </w:rPr>
        <w:t xml:space="preserve"> </w:t>
      </w:r>
      <w:r w:rsidR="00DF3688" w:rsidRPr="00832773">
        <w:rPr>
          <w:rFonts w:cs="Segoe UI"/>
          <w:i/>
          <w:iCs/>
          <w:color w:val="242424"/>
          <w:sz w:val="22"/>
          <w:szCs w:val="22"/>
          <w:shd w:val="clear" w:color="auto" w:fill="FFFFFF"/>
        </w:rPr>
        <w:t>firma del proveído; además de hacer ese acuerdo de conocimiento de las Direcciones de</w:t>
      </w:r>
      <w:r w:rsidRPr="00832773">
        <w:rPr>
          <w:rFonts w:cs="Segoe UI"/>
          <w:i/>
          <w:iCs/>
          <w:color w:val="242424"/>
          <w:sz w:val="22"/>
          <w:szCs w:val="22"/>
          <w:shd w:val="clear" w:color="auto" w:fill="FFFFFF"/>
        </w:rPr>
        <w:t xml:space="preserve"> </w:t>
      </w:r>
      <w:r w:rsidR="00DF3688" w:rsidRPr="00832773">
        <w:rPr>
          <w:rFonts w:cs="Segoe UI"/>
          <w:i/>
          <w:iCs/>
          <w:color w:val="242424"/>
          <w:sz w:val="22"/>
          <w:szCs w:val="22"/>
          <w:shd w:val="clear" w:color="auto" w:fill="FFFFFF"/>
        </w:rPr>
        <w:t>Planificación y Jurídica.</w:t>
      </w:r>
    </w:p>
    <w:p w14:paraId="61E837B3" w14:textId="0A4EC757" w:rsidR="00E2728C" w:rsidRPr="004E74A6" w:rsidRDefault="00E2728C" w:rsidP="00832773">
      <w:pPr>
        <w:pStyle w:val="Prrafodelista"/>
        <w:spacing w:line="276" w:lineRule="auto"/>
        <w:rPr>
          <w:rFonts w:ascii="Book Antiqua" w:hAnsi="Book Antiqua" w:cs="Times New Roman"/>
          <w:lang w:val="es-CR"/>
        </w:rPr>
      </w:pPr>
    </w:p>
    <w:p w14:paraId="533531C1" w14:textId="22674719" w:rsidR="00C97D31" w:rsidRPr="004E74A6" w:rsidRDefault="002B3BB4" w:rsidP="00CE62C1">
      <w:pPr>
        <w:pStyle w:val="Prrafodelista"/>
        <w:numPr>
          <w:ilvl w:val="1"/>
          <w:numId w:val="3"/>
        </w:numPr>
        <w:spacing w:line="276" w:lineRule="auto"/>
        <w:contextualSpacing/>
        <w:rPr>
          <w:rFonts w:ascii="Book Antiqua" w:hAnsi="Book Antiqua" w:cs="Times New Roman"/>
          <w:lang w:val="es-CR"/>
        </w:rPr>
      </w:pPr>
      <w:r w:rsidRPr="004E74A6">
        <w:rPr>
          <w:rFonts w:ascii="Book Antiqua" w:hAnsi="Book Antiqua" w:cs="Times New Roman"/>
          <w:lang w:val="es-CR"/>
        </w:rPr>
        <w:t>Sesión de trabajo del 17 de junio de 202</w:t>
      </w:r>
      <w:r w:rsidR="003160C4" w:rsidRPr="004E74A6">
        <w:rPr>
          <w:rFonts w:ascii="Book Antiqua" w:hAnsi="Book Antiqua" w:cs="Times New Roman"/>
          <w:lang w:val="es-CR"/>
        </w:rPr>
        <w:t>2</w:t>
      </w:r>
      <w:r w:rsidRPr="004E74A6">
        <w:rPr>
          <w:rFonts w:ascii="Book Antiqua" w:hAnsi="Book Antiqua" w:cs="Times New Roman"/>
          <w:lang w:val="es-CR"/>
        </w:rPr>
        <w:t xml:space="preserve"> entre el equipo de la Dirección de Planificación, los licenciados Luis Diego Romero Trejos y Minor Delgado</w:t>
      </w:r>
      <w:r w:rsidR="003160C4" w:rsidRPr="004E74A6">
        <w:rPr>
          <w:rFonts w:ascii="Book Antiqua" w:hAnsi="Book Antiqua" w:cs="Times New Roman"/>
          <w:lang w:val="es-CR"/>
        </w:rPr>
        <w:t xml:space="preserve"> Sánchez y los licenciados Fabricio Miguel Abarca Fallas y Ana Yancy García Rodríguez </w:t>
      </w:r>
      <w:r w:rsidRPr="004E74A6">
        <w:rPr>
          <w:rFonts w:ascii="Book Antiqua" w:hAnsi="Book Antiqua" w:cs="Times New Roman"/>
          <w:lang w:val="es-CR"/>
        </w:rPr>
        <w:t xml:space="preserve"> profesionales del </w:t>
      </w:r>
      <w:r w:rsidR="003160C4" w:rsidRPr="004E74A6">
        <w:rPr>
          <w:rFonts w:ascii="Book Antiqua" w:hAnsi="Book Antiqua" w:cs="Times New Roman"/>
          <w:lang w:val="es-CR"/>
        </w:rPr>
        <w:t xml:space="preserve">Centro de Apoyo, Coordinación y Mejoramiento de la Función Jurisdiccional a cargo del seguimiento de la materia, donde </w:t>
      </w:r>
      <w:r w:rsidRPr="004E74A6">
        <w:rPr>
          <w:rFonts w:ascii="Book Antiqua" w:hAnsi="Book Antiqua" w:cs="Times New Roman"/>
          <w:lang w:val="es-CR"/>
        </w:rPr>
        <w:t xml:space="preserve">se llevó a cabo una revisión de los elementos más relevantes </w:t>
      </w:r>
      <w:r w:rsidR="003160C4" w:rsidRPr="004E74A6">
        <w:rPr>
          <w:rFonts w:ascii="Book Antiqua" w:hAnsi="Book Antiqua" w:cs="Times New Roman"/>
          <w:lang w:val="es-CR"/>
        </w:rPr>
        <w:t>de este informe y del antecedente ya aprobado por Corte</w:t>
      </w:r>
      <w:r w:rsidR="00EF768D" w:rsidRPr="004E74A6">
        <w:rPr>
          <w:rFonts w:ascii="Book Antiqua" w:hAnsi="Book Antiqua" w:cs="Times New Roman"/>
          <w:lang w:val="es-CR"/>
        </w:rPr>
        <w:t xml:space="preserve">: </w:t>
      </w:r>
      <w:r w:rsidR="003160C4" w:rsidRPr="004E74A6">
        <w:rPr>
          <w:rFonts w:ascii="Book Antiqua" w:hAnsi="Book Antiqua" w:cs="Times New Roman"/>
          <w:lang w:val="es-CR"/>
        </w:rPr>
        <w:t>informe 1913-PLA-EV-2020</w:t>
      </w:r>
      <w:r w:rsidR="00855EF9">
        <w:rPr>
          <w:rFonts w:ascii="Book Antiqua" w:hAnsi="Book Antiqua" w:cs="Times New Roman"/>
          <w:lang w:val="es-CR"/>
        </w:rPr>
        <w:t xml:space="preserve"> de esta Dirección</w:t>
      </w:r>
      <w:r w:rsidR="003160C4" w:rsidRPr="004E74A6">
        <w:rPr>
          <w:rFonts w:ascii="Book Antiqua" w:hAnsi="Book Antiqua" w:cs="Times New Roman"/>
          <w:lang w:val="es-CR"/>
        </w:rPr>
        <w:t xml:space="preserve">. Como parte de la retroalimentación, </w:t>
      </w:r>
      <w:r w:rsidRPr="004E74A6">
        <w:rPr>
          <w:rFonts w:ascii="Book Antiqua" w:hAnsi="Book Antiqua" w:cs="Times New Roman"/>
          <w:lang w:val="es-CR"/>
        </w:rPr>
        <w:t>se hicieron consultas por parte de la Dirección de Planificación a los jueces Gestores sobre elementos técnico</w:t>
      </w:r>
      <w:r w:rsidR="003160C4" w:rsidRPr="004E74A6">
        <w:rPr>
          <w:rFonts w:ascii="Book Antiqua" w:hAnsi="Book Antiqua" w:cs="Times New Roman"/>
          <w:lang w:val="es-CR"/>
        </w:rPr>
        <w:t>-jurídico</w:t>
      </w:r>
      <w:r w:rsidRPr="004E74A6">
        <w:rPr>
          <w:rFonts w:ascii="Book Antiqua" w:hAnsi="Book Antiqua" w:cs="Times New Roman"/>
          <w:lang w:val="es-CR"/>
        </w:rPr>
        <w:t xml:space="preserve"> en cuanto al </w:t>
      </w:r>
      <w:r w:rsidR="003160C4" w:rsidRPr="004E74A6">
        <w:rPr>
          <w:rFonts w:ascii="Book Antiqua" w:hAnsi="Book Antiqua" w:cs="Times New Roman"/>
          <w:lang w:val="es-CR"/>
        </w:rPr>
        <w:t>“</w:t>
      </w:r>
      <w:r w:rsidRPr="004E74A6">
        <w:rPr>
          <w:rFonts w:ascii="Book Antiqua" w:hAnsi="Book Antiqua" w:cs="Times New Roman"/>
          <w:lang w:val="es-CR"/>
        </w:rPr>
        <w:t>recurso</w:t>
      </w:r>
      <w:r w:rsidR="003160C4" w:rsidRPr="004E74A6">
        <w:rPr>
          <w:rFonts w:ascii="Book Antiqua" w:hAnsi="Book Antiqua" w:cs="Times New Roman"/>
          <w:lang w:val="es-CR"/>
        </w:rPr>
        <w:t>”</w:t>
      </w:r>
      <w:r w:rsidRPr="004E74A6">
        <w:rPr>
          <w:rFonts w:ascii="Book Antiqua" w:hAnsi="Book Antiqua" w:cs="Times New Roman"/>
          <w:lang w:val="es-CR"/>
        </w:rPr>
        <w:t xml:space="preserve"> de revisión y los asuntos creados como</w:t>
      </w:r>
      <w:r w:rsidR="003160C4" w:rsidRPr="004E74A6">
        <w:rPr>
          <w:rFonts w:ascii="Book Antiqua" w:hAnsi="Book Antiqua" w:cs="Times New Roman"/>
          <w:lang w:val="es-CR"/>
        </w:rPr>
        <w:t xml:space="preserve"> carpeta</w:t>
      </w:r>
      <w:r w:rsidRPr="004E74A6">
        <w:rPr>
          <w:rFonts w:ascii="Book Antiqua" w:hAnsi="Book Antiqua" w:cs="Times New Roman"/>
          <w:lang w:val="es-CR"/>
        </w:rPr>
        <w:t xml:space="preserve"> </w:t>
      </w:r>
      <w:r w:rsidR="003160C4" w:rsidRPr="004E74A6">
        <w:rPr>
          <w:rFonts w:ascii="Book Antiqua" w:hAnsi="Book Antiqua" w:cs="Times New Roman"/>
          <w:lang w:val="es-CR"/>
        </w:rPr>
        <w:t>“</w:t>
      </w:r>
      <w:r w:rsidRPr="004E74A6">
        <w:rPr>
          <w:rFonts w:ascii="Book Antiqua" w:hAnsi="Book Antiqua" w:cs="Times New Roman"/>
          <w:i/>
          <w:iCs/>
          <w:lang w:val="es-CR"/>
        </w:rPr>
        <w:t>principal</w:t>
      </w:r>
      <w:r w:rsidR="003160C4" w:rsidRPr="004E74A6">
        <w:rPr>
          <w:rFonts w:ascii="Book Antiqua" w:hAnsi="Book Antiqua" w:cs="Times New Roman"/>
          <w:lang w:val="es-CR"/>
        </w:rPr>
        <w:t>”</w:t>
      </w:r>
      <w:r w:rsidRPr="004E74A6">
        <w:rPr>
          <w:rFonts w:ascii="Book Antiqua" w:hAnsi="Book Antiqua" w:cs="Times New Roman"/>
          <w:lang w:val="es-CR"/>
        </w:rPr>
        <w:t xml:space="preserve"> en la Sala Primera.</w:t>
      </w:r>
      <w:r w:rsidR="00F95271" w:rsidRPr="004E74A6">
        <w:rPr>
          <w:rFonts w:ascii="Book Antiqua" w:hAnsi="Book Antiqua" w:cs="Times New Roman"/>
          <w:lang w:val="es-CR"/>
        </w:rPr>
        <w:t xml:space="preserve"> La minuta </w:t>
      </w:r>
      <w:r w:rsidR="00C008B1" w:rsidRPr="004E74A6">
        <w:rPr>
          <w:rFonts w:ascii="Book Antiqua" w:hAnsi="Book Antiqua" w:cs="Times New Roman"/>
          <w:lang w:val="es-CR"/>
        </w:rPr>
        <w:t>533-PLA-MI-MNTA-2022</w:t>
      </w:r>
      <w:r w:rsidR="00DA54C9" w:rsidRPr="004E74A6">
        <w:rPr>
          <w:rFonts w:ascii="Book Antiqua" w:hAnsi="Book Antiqua" w:cs="Times New Roman"/>
          <w:lang w:val="es-CR"/>
        </w:rPr>
        <w:t xml:space="preserve"> </w:t>
      </w:r>
      <w:r w:rsidR="00EF768D" w:rsidRPr="004E74A6">
        <w:rPr>
          <w:rFonts w:ascii="Book Antiqua" w:hAnsi="Book Antiqua" w:cs="Times New Roman"/>
          <w:lang w:val="es-CR"/>
        </w:rPr>
        <w:t xml:space="preserve">se adjunta en el anexo </w:t>
      </w:r>
      <w:r w:rsidR="00BD7F27" w:rsidRPr="004E74A6">
        <w:rPr>
          <w:rFonts w:ascii="Book Antiqua" w:hAnsi="Book Antiqua" w:cs="Times New Roman"/>
          <w:lang w:val="es-CR"/>
        </w:rPr>
        <w:t>11</w:t>
      </w:r>
      <w:r w:rsidR="00EF768D" w:rsidRPr="004E74A6">
        <w:rPr>
          <w:rFonts w:ascii="Book Antiqua" w:hAnsi="Book Antiqua" w:cs="Times New Roman"/>
          <w:lang w:val="es-CR"/>
        </w:rPr>
        <w:t>.</w:t>
      </w:r>
      <w:r w:rsidR="00F95271" w:rsidRPr="004E74A6">
        <w:rPr>
          <w:rFonts w:ascii="Book Antiqua" w:hAnsi="Book Antiqua" w:cs="Times New Roman"/>
          <w:lang w:val="es-CR"/>
        </w:rPr>
        <w:t xml:space="preserve"> </w:t>
      </w:r>
    </w:p>
    <w:p w14:paraId="41E702D0" w14:textId="77777777" w:rsidR="00C41C1D" w:rsidRPr="004E74A6" w:rsidRDefault="00C41C1D" w:rsidP="00832773">
      <w:pPr>
        <w:spacing w:line="276" w:lineRule="auto"/>
        <w:contextualSpacing/>
      </w:pPr>
    </w:p>
    <w:p w14:paraId="646C84BF" w14:textId="18B714F1" w:rsidR="003E7B17" w:rsidRPr="00832773" w:rsidRDefault="00D87276" w:rsidP="00CE62C1">
      <w:pPr>
        <w:pStyle w:val="Prrafodelista"/>
        <w:numPr>
          <w:ilvl w:val="1"/>
          <w:numId w:val="3"/>
        </w:numPr>
        <w:spacing w:line="276" w:lineRule="auto"/>
        <w:contextualSpacing/>
        <w:rPr>
          <w:lang w:val="es-CR"/>
        </w:rPr>
      </w:pPr>
      <w:r w:rsidRPr="00832773">
        <w:rPr>
          <w:rFonts w:ascii="Book Antiqua" w:hAnsi="Book Antiqua"/>
          <w:color w:val="000000"/>
          <w:lang w:val="es-CR"/>
        </w:rPr>
        <w:t>E</w:t>
      </w:r>
      <w:r w:rsidR="004B62E0" w:rsidRPr="004E74A6">
        <w:rPr>
          <w:rFonts w:ascii="Book Antiqua" w:hAnsi="Book Antiqua" w:cs="Times New Roman"/>
          <w:lang w:val="es-CR"/>
        </w:rPr>
        <w:t>n el oficio 1913-PLA-2020</w:t>
      </w:r>
      <w:r w:rsidR="00855EF9">
        <w:rPr>
          <w:rFonts w:ascii="Book Antiqua" w:hAnsi="Book Antiqua" w:cs="Times New Roman"/>
          <w:lang w:val="es-CR"/>
        </w:rPr>
        <w:t xml:space="preserve"> de esta Dirección,</w:t>
      </w:r>
      <w:r w:rsidRPr="004E74A6">
        <w:rPr>
          <w:rFonts w:ascii="Book Antiqua" w:hAnsi="Book Antiqua" w:cs="Times New Roman"/>
          <w:lang w:val="es-CR"/>
        </w:rPr>
        <w:t xml:space="preserve"> se recomendó</w:t>
      </w:r>
      <w:r w:rsidR="004B62E0" w:rsidRPr="004E74A6">
        <w:rPr>
          <w:rFonts w:ascii="Book Antiqua" w:hAnsi="Book Antiqua" w:cs="Times New Roman"/>
          <w:lang w:val="es-CR"/>
        </w:rPr>
        <w:t xml:space="preserve"> implementar una mejora a nivel de sistema en relación con la cuantía </w:t>
      </w:r>
      <w:r w:rsidR="00E959B0" w:rsidRPr="004E74A6">
        <w:rPr>
          <w:rFonts w:ascii="Book Antiqua" w:hAnsi="Book Antiqua" w:cs="Times New Roman"/>
          <w:lang w:val="es-CR"/>
        </w:rPr>
        <w:t>Agraria</w:t>
      </w:r>
      <w:r w:rsidR="004B62E0" w:rsidRPr="004E74A6">
        <w:rPr>
          <w:rFonts w:ascii="Book Antiqua" w:hAnsi="Book Antiqua" w:cs="Times New Roman"/>
          <w:lang w:val="es-CR"/>
        </w:rPr>
        <w:t xml:space="preserve"> para precisamente poder medir el impacto y comportamiento a nivel de cuantía, llevando un ejercicio similar al ejecutado en materia civil. Sobre dicho punto se recibieron los oficios </w:t>
      </w:r>
      <w:r w:rsidR="003E7B17" w:rsidRPr="00832773">
        <w:rPr>
          <w:rFonts w:ascii="Book Antiqua" w:hAnsi="Book Antiqua" w:cs="Times New Roman"/>
          <w:lang w:val="es-CR"/>
        </w:rPr>
        <w:t>1631 y 1633-DTI-2020 de la Dirección de Tecnología de la Información</w:t>
      </w:r>
      <w:r w:rsidR="002D769F" w:rsidRPr="00832773">
        <w:rPr>
          <w:rFonts w:ascii="Book Antiqua" w:hAnsi="Book Antiqua" w:cs="Times New Roman"/>
          <w:lang w:val="es-CR"/>
        </w:rPr>
        <w:t xml:space="preserve"> (anexo 18)</w:t>
      </w:r>
      <w:r w:rsidR="004B62E0" w:rsidRPr="00832773">
        <w:rPr>
          <w:rFonts w:ascii="Book Antiqua" w:hAnsi="Book Antiqua" w:cs="Times New Roman"/>
          <w:lang w:val="es-CR"/>
        </w:rPr>
        <w:t>, en donde indicaron lo siguiente:</w:t>
      </w:r>
    </w:p>
    <w:p w14:paraId="16817C31" w14:textId="00860EBD" w:rsidR="003E7B17" w:rsidRPr="00832773" w:rsidRDefault="003E7B17" w:rsidP="00832773">
      <w:pPr>
        <w:pStyle w:val="Textoindependiente"/>
        <w:spacing w:after="0" w:line="276" w:lineRule="auto"/>
        <w:ind w:left="567" w:right="618"/>
        <w:rPr>
          <w:color w:val="000000"/>
          <w:highlight w:val="green"/>
        </w:rPr>
      </w:pPr>
      <w:r w:rsidRPr="004E74A6">
        <w:rPr>
          <w:i/>
          <w:iCs/>
          <w:sz w:val="22"/>
          <w:szCs w:val="22"/>
        </w:rPr>
        <w:lastRenderedPageBreak/>
        <w:t>“Referente al punto 5.7, la mejora en mención se encuentra aplicada y en producción en todo el país desde el año 2019, en su momento solo se autorizó habilitarla para la materia laboral, la misma quedó instalada para estas materias en julio del 2019.  Se van a realizar las coordinaciones pertinentes con las Unidades Regional de país, para que se implemente en la materia Agraria y capacitar al personal judicial”.</w:t>
      </w:r>
    </w:p>
    <w:p w14:paraId="15B064B5" w14:textId="77777777" w:rsidR="00194F64" w:rsidRDefault="00194F64" w:rsidP="00E959B0">
      <w:pPr>
        <w:spacing w:line="276" w:lineRule="auto"/>
        <w:contextualSpacing/>
        <w:rPr>
          <w:szCs w:val="24"/>
        </w:rPr>
      </w:pPr>
    </w:p>
    <w:p w14:paraId="3CACF649" w14:textId="1A7BAD34" w:rsidR="002A5C13" w:rsidRPr="004E74A6" w:rsidRDefault="00E959B0" w:rsidP="00E959B0">
      <w:pPr>
        <w:spacing w:line="276" w:lineRule="auto"/>
        <w:contextualSpacing/>
        <w:rPr>
          <w:szCs w:val="24"/>
        </w:rPr>
      </w:pPr>
      <w:r w:rsidRPr="004E74A6">
        <w:rPr>
          <w:szCs w:val="24"/>
        </w:rPr>
        <w:t xml:space="preserve">En materia Agraria según informó DTIC se aplicará hasta en el nuevo sistema de Gestión SIAGPJ. </w:t>
      </w:r>
    </w:p>
    <w:p w14:paraId="54412CA3" w14:textId="77777777" w:rsidR="00E959B0" w:rsidRPr="004E74A6" w:rsidRDefault="00E959B0" w:rsidP="00832773">
      <w:pPr>
        <w:spacing w:line="276" w:lineRule="auto"/>
        <w:contextualSpacing/>
        <w:rPr>
          <w:szCs w:val="24"/>
        </w:rPr>
      </w:pPr>
    </w:p>
    <w:p w14:paraId="58109DF4" w14:textId="6264DEFA" w:rsidR="004B6018" w:rsidRPr="004E74A6" w:rsidRDefault="00D22F53" w:rsidP="00CE62C1">
      <w:pPr>
        <w:pStyle w:val="Prrafodelista"/>
        <w:numPr>
          <w:ilvl w:val="1"/>
          <w:numId w:val="3"/>
        </w:numPr>
        <w:spacing w:line="276" w:lineRule="auto"/>
        <w:contextualSpacing/>
        <w:rPr>
          <w:rFonts w:ascii="Book Antiqua" w:hAnsi="Book Antiqua" w:cs="Times New Roman"/>
          <w:lang w:val="es-CR"/>
        </w:rPr>
      </w:pPr>
      <w:r w:rsidRPr="00832773">
        <w:rPr>
          <w:rFonts w:ascii="Book Antiqua" w:hAnsi="Book Antiqua" w:cs="Times New Roman"/>
          <w:lang w:val="es-CR"/>
        </w:rPr>
        <w:t>La magistra</w:t>
      </w:r>
      <w:r w:rsidR="002A741E" w:rsidRPr="004E74A6">
        <w:rPr>
          <w:rFonts w:ascii="Book Antiqua" w:hAnsi="Book Antiqua" w:cs="Times New Roman"/>
          <w:lang w:val="es-CR"/>
        </w:rPr>
        <w:t>da de la Sala Primera, Doctora Iris Rocío Rojas Morales, presentó ante Corte Plena una propuesta para la reforma a los artículos 49 y 54 de la Ley Orgánica del Poder Judicial</w:t>
      </w:r>
      <w:r w:rsidR="006E5816" w:rsidRPr="004E74A6">
        <w:rPr>
          <w:rFonts w:ascii="Book Antiqua" w:hAnsi="Book Antiqua" w:cs="Times New Roman"/>
          <w:lang w:val="es-CR"/>
        </w:rPr>
        <w:t xml:space="preserve">, y que según </w:t>
      </w:r>
      <w:r w:rsidR="00F0204A" w:rsidRPr="00832773">
        <w:rPr>
          <w:rFonts w:ascii="Book Antiqua" w:hAnsi="Book Antiqua" w:cs="Times New Roman"/>
          <w:lang w:val="es-CR"/>
        </w:rPr>
        <w:t xml:space="preserve">consulta a la Secretaría el 22 de noviembre 2022, informan que está </w:t>
      </w:r>
      <w:r w:rsidR="00F0204A" w:rsidRPr="004E74A6">
        <w:rPr>
          <w:rFonts w:ascii="Book Antiqua" w:hAnsi="Book Antiqua" w:cs="Times New Roman"/>
          <w:lang w:val="es-CR"/>
        </w:rPr>
        <w:t>pendiente de ser conocido</w:t>
      </w:r>
      <w:r w:rsidR="00A47102" w:rsidRPr="004E74A6">
        <w:rPr>
          <w:rFonts w:ascii="Book Antiqua" w:hAnsi="Book Antiqua" w:cs="Times New Roman"/>
          <w:lang w:val="es-CR"/>
        </w:rPr>
        <w:t xml:space="preserve"> por Corte Plena, esta </w:t>
      </w:r>
      <w:r w:rsidR="008D51C4" w:rsidRPr="004E74A6">
        <w:rPr>
          <w:rFonts w:ascii="Book Antiqua" w:hAnsi="Book Antiqua" w:cs="Times New Roman"/>
          <w:lang w:val="es-CR"/>
        </w:rPr>
        <w:t>agendado,</w:t>
      </w:r>
      <w:r w:rsidR="00A47102" w:rsidRPr="004E74A6">
        <w:rPr>
          <w:rFonts w:ascii="Book Antiqua" w:hAnsi="Book Antiqua" w:cs="Times New Roman"/>
          <w:lang w:val="es-CR"/>
        </w:rPr>
        <w:t xml:space="preserve"> pero no se ha logrado llegar a ese punto en las sesiones</w:t>
      </w:r>
      <w:r w:rsidR="00A618DF" w:rsidRPr="004E74A6">
        <w:rPr>
          <w:rFonts w:ascii="Book Antiqua" w:hAnsi="Book Antiqua" w:cs="Times New Roman"/>
          <w:lang w:val="es-CR"/>
        </w:rPr>
        <w:t>:</w:t>
      </w:r>
    </w:p>
    <w:p w14:paraId="25E82B5E" w14:textId="77777777" w:rsidR="00A618DF" w:rsidRPr="004E74A6" w:rsidRDefault="00A618DF" w:rsidP="00CE62C1">
      <w:pPr>
        <w:spacing w:line="276" w:lineRule="auto"/>
        <w:contextualSpacing/>
      </w:pPr>
    </w:p>
    <w:p w14:paraId="7A614CEA" w14:textId="6B63D500" w:rsidR="00A618DF" w:rsidRPr="00832773" w:rsidRDefault="00A618DF" w:rsidP="00832773">
      <w:pPr>
        <w:spacing w:line="276" w:lineRule="auto"/>
        <w:ind w:left="567" w:right="476"/>
        <w:contextualSpacing/>
        <w:rPr>
          <w:i/>
          <w:iCs/>
          <w:sz w:val="22"/>
          <w:szCs w:val="18"/>
        </w:rPr>
      </w:pPr>
      <w:r w:rsidRPr="00832773">
        <w:rPr>
          <w:i/>
          <w:iCs/>
          <w:sz w:val="22"/>
          <w:szCs w:val="18"/>
        </w:rPr>
        <w:t>“</w:t>
      </w:r>
      <w:r w:rsidRPr="00832773">
        <w:rPr>
          <w:rFonts w:cs="Tahoma"/>
          <w:i/>
          <w:iCs/>
          <w:sz w:val="22"/>
          <w:szCs w:val="22"/>
        </w:rPr>
        <w:t xml:space="preserve">En mi condición de Magistrada integrante de la Sala Primera de la Corte Suprema de Justicia, solicito que Corte Plena  </w:t>
      </w:r>
      <w:r w:rsidRPr="00832773">
        <w:rPr>
          <w:rFonts w:cs="Tahoma"/>
          <w:b/>
          <w:i/>
          <w:iCs/>
          <w:sz w:val="22"/>
          <w:szCs w:val="22"/>
        </w:rPr>
        <w:t>proponga a la Asamblea Legislativa</w:t>
      </w:r>
      <w:r w:rsidRPr="00832773">
        <w:rPr>
          <w:rFonts w:cs="Tahoma"/>
          <w:i/>
          <w:iCs/>
          <w:sz w:val="22"/>
          <w:szCs w:val="22"/>
        </w:rPr>
        <w:t xml:space="preserve"> </w:t>
      </w:r>
      <w:r w:rsidRPr="00832773">
        <w:rPr>
          <w:rFonts w:cs="Tahoma"/>
          <w:b/>
          <w:i/>
          <w:iCs/>
          <w:sz w:val="22"/>
          <w:szCs w:val="22"/>
        </w:rPr>
        <w:t>reformar  la Ley Orgánica del Poder Judicial</w:t>
      </w:r>
      <w:r w:rsidRPr="00832773">
        <w:rPr>
          <w:rFonts w:cs="Tahoma"/>
          <w:i/>
          <w:iCs/>
          <w:sz w:val="22"/>
          <w:szCs w:val="22"/>
        </w:rPr>
        <w:t xml:space="preserve">, en dos extremos puntuales que de seguido expondré y que, pretenden establecer a lo interno de  la Sala Primera, con una persona  magistrada integrante adicional, (que además integraría  la Corte Plena promoviendo su conformación impar), </w:t>
      </w:r>
      <w:r w:rsidRPr="00832773">
        <w:rPr>
          <w:rFonts w:cs="Tahoma"/>
          <w:b/>
          <w:i/>
          <w:iCs/>
          <w:sz w:val="22"/>
          <w:szCs w:val="22"/>
        </w:rPr>
        <w:t xml:space="preserve"> dos cámaras especializadas por materias;</w:t>
      </w:r>
      <w:r w:rsidRPr="00832773">
        <w:rPr>
          <w:rFonts w:cs="Tahoma"/>
          <w:i/>
          <w:iCs/>
          <w:sz w:val="22"/>
          <w:szCs w:val="22"/>
        </w:rPr>
        <w:t xml:space="preserve"> manteniendo un Pleno integrado por cinco miembros que se conformarían, por estricto rol, para el conocimiento de los asuntos que la propuesta de reforma determina y, además,  de toda aquella materia residual que no corresponda a las Cámaras Primera y Segunda”</w:t>
      </w:r>
    </w:p>
    <w:p w14:paraId="6CAFA9C3" w14:textId="35BD84B7" w:rsidR="003E7B17" w:rsidRPr="004E74A6" w:rsidRDefault="003E7B17" w:rsidP="00CE62C1">
      <w:pPr>
        <w:spacing w:line="276" w:lineRule="auto"/>
        <w:contextualSpacing/>
        <w:rPr>
          <w:szCs w:val="24"/>
        </w:rPr>
      </w:pPr>
    </w:p>
    <w:p w14:paraId="4AB3D4BD" w14:textId="38DF47B4" w:rsidR="0037274C" w:rsidRPr="004E74A6" w:rsidRDefault="0037274C" w:rsidP="00CE62C1">
      <w:pPr>
        <w:pStyle w:val="Prrafodelista"/>
        <w:numPr>
          <w:ilvl w:val="1"/>
          <w:numId w:val="3"/>
        </w:numPr>
        <w:spacing w:line="276" w:lineRule="auto"/>
        <w:contextualSpacing/>
        <w:rPr>
          <w:rFonts w:ascii="Book Antiqua" w:hAnsi="Book Antiqua" w:cs="Times New Roman"/>
          <w:lang w:val="es-CR"/>
        </w:rPr>
      </w:pPr>
      <w:r w:rsidRPr="00832773">
        <w:rPr>
          <w:rFonts w:ascii="Book Antiqua" w:hAnsi="Book Antiqua" w:cs="Times New Roman"/>
          <w:lang w:val="es-CR"/>
        </w:rPr>
        <w:t>En s</w:t>
      </w:r>
      <w:r w:rsidRPr="004E74A6">
        <w:rPr>
          <w:rFonts w:ascii="Book Antiqua" w:hAnsi="Book Antiqua" w:cs="Times New Roman"/>
          <w:lang w:val="es-CR"/>
        </w:rPr>
        <w:t>esión extraordinaria de la Comisión de la Jurisdicción Civil, acta CJC-15-2022 del 1 de noviembre de 2022</w:t>
      </w:r>
      <w:r w:rsidR="00016912" w:rsidRPr="004E74A6">
        <w:rPr>
          <w:rFonts w:ascii="Book Antiqua" w:hAnsi="Book Antiqua" w:cs="Times New Roman"/>
          <w:lang w:val="es-CR"/>
        </w:rPr>
        <w:t xml:space="preserve"> oficio 317-CJC-2022</w:t>
      </w:r>
      <w:r w:rsidRPr="004E74A6">
        <w:rPr>
          <w:rFonts w:ascii="Book Antiqua" w:hAnsi="Book Antiqua" w:cs="Times New Roman"/>
          <w:lang w:val="es-CR"/>
        </w:rPr>
        <w:t>,</w:t>
      </w:r>
      <w:r w:rsidR="00DE7666" w:rsidRPr="004E74A6">
        <w:rPr>
          <w:rFonts w:ascii="Book Antiqua" w:hAnsi="Book Antiqua" w:cs="Times New Roman"/>
          <w:lang w:val="es-CR"/>
        </w:rPr>
        <w:t xml:space="preserve"> se ac</w:t>
      </w:r>
      <w:r w:rsidR="00016912" w:rsidRPr="004E74A6">
        <w:rPr>
          <w:rFonts w:ascii="Book Antiqua" w:hAnsi="Book Antiqua" w:cs="Times New Roman"/>
          <w:lang w:val="es-CR"/>
        </w:rPr>
        <w:t>ordó</w:t>
      </w:r>
      <w:r w:rsidR="00DE7666" w:rsidRPr="004E74A6">
        <w:rPr>
          <w:rFonts w:ascii="Book Antiqua" w:hAnsi="Book Antiqua" w:cs="Times New Roman"/>
          <w:lang w:val="es-CR"/>
        </w:rPr>
        <w:t xml:space="preserve"> lo siguiente:</w:t>
      </w:r>
    </w:p>
    <w:p w14:paraId="04F29406" w14:textId="39B43FA6" w:rsidR="00DE7666" w:rsidRPr="004E74A6" w:rsidRDefault="00DE7666" w:rsidP="00CE62C1">
      <w:pPr>
        <w:spacing w:line="276" w:lineRule="auto"/>
        <w:contextualSpacing/>
      </w:pPr>
    </w:p>
    <w:p w14:paraId="52FA840B" w14:textId="2EF188AC" w:rsidR="00DE7666" w:rsidRPr="00832773" w:rsidRDefault="00016912" w:rsidP="00832773">
      <w:pPr>
        <w:spacing w:line="276" w:lineRule="auto"/>
        <w:ind w:left="851"/>
        <w:contextualSpacing/>
        <w:rPr>
          <w:i/>
          <w:iCs/>
          <w:sz w:val="22"/>
          <w:szCs w:val="18"/>
        </w:rPr>
      </w:pPr>
      <w:r w:rsidRPr="004E74A6">
        <w:rPr>
          <w:i/>
          <w:iCs/>
          <w:sz w:val="22"/>
          <w:szCs w:val="18"/>
        </w:rPr>
        <w:t>“</w:t>
      </w:r>
      <w:r w:rsidR="00DE7666" w:rsidRPr="00832773">
        <w:rPr>
          <w:i/>
          <w:iCs/>
          <w:sz w:val="22"/>
          <w:szCs w:val="18"/>
        </w:rPr>
        <w:t xml:space="preserve">1. Tener por remitido el Oficio 779-PLA-MI-2022 de la Dirección de Planificación, así como el informe de recomendaciones del Equipo Gestor Civil, las manifestaciones de las personas integrantes de la Comisión de la Jurisdicción Civil, incluyendo el comunicado enviado por el juez Guillermo Guilá el 28 de octubre de 2022. 2. Comunicar a la Dirección de Planificación que la Comisión de la Jurisdicción Civil, desde una perspectiva integral, comparte la propuesta expuesta en el Oficio 779-PLA-MI-2022 de no hacer modificaciones por el momento a la cuantía en la materia Civil, en atención al impacto negativo que podría tener en los despachos que actualmente tienen una mayor carga de trabajo, incrementando los procesos de su conocimiento; y disminuir la carga de despachos que en este momento tienen menores cargas de trabajo. Aunado al hecho de que, estadísticamente, según informe </w:t>
      </w:r>
      <w:r w:rsidR="00DE7666" w:rsidRPr="00832773">
        <w:rPr>
          <w:i/>
          <w:iCs/>
          <w:sz w:val="22"/>
          <w:szCs w:val="18"/>
        </w:rPr>
        <w:lastRenderedPageBreak/>
        <w:t>de la Dirección de Planificación, se reporta una tendencia a la baja en la cantidad de recursos de casación civil que han ingresado a la Primera desde 2019 a la actualidad, lo cual es coherente con las proyecciones por lo que resta del 2022; pese a la eficiente gestión que se ha reportado estadísticamente en los despachos civiles. 3. Instar a impulsar las reformas procesales que se estimen necesarias para plantearlas a Corte Plena a fin de que los magistrados y magistradas valoren la pertinencia de su aprobación y eventual remisión al Ministerio de Justicia para que se considere trasladar las eventuales propuestas a la Asamblea Legislativa. 4. Se declara firme este acuerdo. Comuníquese a la Dirección de Planificación.</w:t>
      </w:r>
    </w:p>
    <w:p w14:paraId="7DA27097" w14:textId="77777777" w:rsidR="004545D8" w:rsidRDefault="004545D8" w:rsidP="004545D8">
      <w:pPr>
        <w:pStyle w:val="Prrafodelista"/>
        <w:spacing w:line="276" w:lineRule="auto"/>
        <w:ind w:left="0"/>
        <w:contextualSpacing/>
        <w:rPr>
          <w:rFonts w:ascii="Book Antiqua" w:hAnsi="Book Antiqua"/>
        </w:rPr>
      </w:pPr>
    </w:p>
    <w:p w14:paraId="17075C29" w14:textId="6FBE968C" w:rsidR="004545D8" w:rsidRPr="006B6716" w:rsidRDefault="004545D8" w:rsidP="00832773">
      <w:pPr>
        <w:pStyle w:val="Prrafodelista"/>
        <w:numPr>
          <w:ilvl w:val="1"/>
          <w:numId w:val="3"/>
        </w:numPr>
        <w:spacing w:line="276" w:lineRule="auto"/>
        <w:contextualSpacing/>
      </w:pPr>
      <w:r w:rsidRPr="00832773">
        <w:rPr>
          <w:rFonts w:ascii="Book Antiqua" w:hAnsi="Book Antiqua" w:cs="Times New Roman"/>
          <w:lang w:val="es-CR"/>
        </w:rPr>
        <w:t>Circular</w:t>
      </w:r>
      <w:r w:rsidRPr="00AE079F">
        <w:rPr>
          <w:rFonts w:ascii="Book Antiqua" w:hAnsi="Book Antiqua"/>
        </w:rPr>
        <w:t xml:space="preserve"> 22-2022 “</w:t>
      </w:r>
      <w:r w:rsidRPr="00AE079F">
        <w:rPr>
          <w:rFonts w:ascii="Book Antiqua" w:hAnsi="Book Antiqua"/>
          <w:i/>
          <w:iCs/>
        </w:rPr>
        <w:t>Inconsistencias en materia de Cobro Judicial</w:t>
      </w:r>
      <w:r w:rsidRPr="00AE079F">
        <w:rPr>
          <w:rFonts w:ascii="Book Antiqua" w:hAnsi="Book Antiqua"/>
        </w:rPr>
        <w:t xml:space="preserve">”, reporte en SIGMA que hace 2 meses se actualizó e incluyó como inconsistencia la variable cuantía cuando no se completa o se completa incorrectamente. </w:t>
      </w:r>
    </w:p>
    <w:p w14:paraId="32A4DB95" w14:textId="77777777" w:rsidR="00494557" w:rsidRPr="004E74A6" w:rsidRDefault="00494557" w:rsidP="00CE62C1">
      <w:pPr>
        <w:keepNext/>
        <w:keepLines/>
        <w:numPr>
          <w:ilvl w:val="0"/>
          <w:numId w:val="2"/>
        </w:numPr>
        <w:shd w:val="clear" w:color="auto" w:fill="2F86BB"/>
        <w:spacing w:before="240" w:line="276" w:lineRule="auto"/>
        <w:outlineLvl w:val="0"/>
        <w:rPr>
          <w:b/>
          <w:color w:val="FFFFFF"/>
          <w:szCs w:val="32"/>
          <w:lang w:eastAsia="en-US"/>
        </w:rPr>
      </w:pPr>
      <w:r w:rsidRPr="004E74A6">
        <w:rPr>
          <w:b/>
          <w:color w:val="FFFFFF"/>
          <w:szCs w:val="32"/>
          <w:lang w:eastAsia="en-US"/>
        </w:rPr>
        <w:t>Información relevante</w:t>
      </w:r>
    </w:p>
    <w:p w14:paraId="7988AE47" w14:textId="77777777" w:rsidR="00494557" w:rsidRPr="004E74A6" w:rsidRDefault="00494557" w:rsidP="00CE62C1">
      <w:pPr>
        <w:spacing w:line="276" w:lineRule="auto"/>
        <w:rPr>
          <w:lang w:eastAsia="en-US"/>
        </w:rPr>
      </w:pPr>
    </w:p>
    <w:p w14:paraId="0B92E11E" w14:textId="1A605EA2" w:rsidR="00494557" w:rsidRPr="004E74A6" w:rsidRDefault="007C5C58" w:rsidP="00CE62C1">
      <w:pPr>
        <w:keepNext/>
        <w:keepLines/>
        <w:numPr>
          <w:ilvl w:val="1"/>
          <w:numId w:val="2"/>
        </w:numPr>
        <w:shd w:val="clear" w:color="auto" w:fill="D9E2F3"/>
        <w:spacing w:before="240" w:line="276" w:lineRule="auto"/>
        <w:outlineLvl w:val="1"/>
        <w:rPr>
          <w:b/>
          <w:color w:val="1F3864"/>
          <w:szCs w:val="22"/>
          <w:lang w:eastAsia="en-US"/>
        </w:rPr>
      </w:pPr>
      <w:r w:rsidRPr="00832773">
        <w:rPr>
          <w:b/>
          <w:color w:val="1F3864"/>
          <w:szCs w:val="22"/>
          <w:lang w:eastAsia="en-US"/>
        </w:rPr>
        <w:t xml:space="preserve">Escenarios </w:t>
      </w:r>
      <w:r w:rsidR="00CB5EB6" w:rsidRPr="00832773">
        <w:rPr>
          <w:b/>
          <w:color w:val="1F3864"/>
          <w:szCs w:val="22"/>
          <w:lang w:eastAsia="en-US"/>
        </w:rPr>
        <w:t>planteados inicialmente</w:t>
      </w:r>
      <w:r w:rsidR="00881A16" w:rsidRPr="00832773">
        <w:rPr>
          <w:b/>
          <w:color w:val="1F3864"/>
          <w:szCs w:val="22"/>
          <w:lang w:eastAsia="en-US"/>
        </w:rPr>
        <w:t>-oficio 913-PLA-EV-2020</w:t>
      </w:r>
      <w:r w:rsidR="00B60D11">
        <w:rPr>
          <w:b/>
          <w:color w:val="1F3864"/>
          <w:szCs w:val="22"/>
          <w:lang w:eastAsia="en-US"/>
        </w:rPr>
        <w:t xml:space="preserve"> de la Dirección de Planificación</w:t>
      </w:r>
    </w:p>
    <w:p w14:paraId="1CD2F12D" w14:textId="77777777" w:rsidR="00881A16" w:rsidRPr="00832773" w:rsidRDefault="00881A16" w:rsidP="00CE62C1">
      <w:pPr>
        <w:tabs>
          <w:tab w:val="left" w:pos="0"/>
        </w:tabs>
        <w:spacing w:line="276" w:lineRule="auto"/>
        <w:rPr>
          <w:szCs w:val="24"/>
        </w:rPr>
      </w:pPr>
    </w:p>
    <w:p w14:paraId="637B0471" w14:textId="1BECA4A8" w:rsidR="007C5C58" w:rsidRPr="00832773" w:rsidRDefault="007C5C58" w:rsidP="00CE62C1">
      <w:pPr>
        <w:tabs>
          <w:tab w:val="left" w:pos="0"/>
        </w:tabs>
        <w:spacing w:line="276" w:lineRule="auto"/>
        <w:rPr>
          <w:szCs w:val="24"/>
        </w:rPr>
      </w:pPr>
      <w:r w:rsidRPr="00832773">
        <w:rPr>
          <w:szCs w:val="24"/>
        </w:rPr>
        <w:t>Según el acta de Corte Plena 02-2021, artículo XLII, se presentó el oficio 1913-PLA-EV-2020</w:t>
      </w:r>
      <w:r w:rsidR="002A5C13" w:rsidRPr="00832773">
        <w:rPr>
          <w:szCs w:val="24"/>
        </w:rPr>
        <w:t xml:space="preserve"> (anexo 7)</w:t>
      </w:r>
      <w:r w:rsidRPr="00832773">
        <w:rPr>
          <w:szCs w:val="24"/>
        </w:rPr>
        <w:t xml:space="preserve"> realizado por la Dirección de Planificación, en el cual se establecieron 5 escenarios para fijar un nuevo monto el cual diferenciaría la menor y la mayor cuantía</w:t>
      </w:r>
      <w:r w:rsidR="00881A16" w:rsidRPr="00832773">
        <w:rPr>
          <w:szCs w:val="24"/>
        </w:rPr>
        <w:t xml:space="preserve"> en materia Civil</w:t>
      </w:r>
      <w:r w:rsidRPr="00832773">
        <w:rPr>
          <w:szCs w:val="24"/>
        </w:rPr>
        <w:t>:</w:t>
      </w:r>
    </w:p>
    <w:p w14:paraId="01664CA1" w14:textId="77777777" w:rsidR="007C5C58" w:rsidRPr="00832773" w:rsidRDefault="007C5C58" w:rsidP="00CE62C1">
      <w:pPr>
        <w:tabs>
          <w:tab w:val="left" w:pos="0"/>
        </w:tabs>
        <w:spacing w:line="276" w:lineRule="auto"/>
        <w:rPr>
          <w:b/>
          <w:bCs/>
          <w:szCs w:val="24"/>
        </w:rPr>
      </w:pPr>
    </w:p>
    <w:p w14:paraId="4C966D57" w14:textId="77777777" w:rsidR="007C5C58" w:rsidRPr="00832773" w:rsidRDefault="007C5C58" w:rsidP="00832773">
      <w:pPr>
        <w:pStyle w:val="NormalWeb"/>
        <w:shd w:val="clear" w:color="auto" w:fill="FFFFFF"/>
        <w:spacing w:line="276" w:lineRule="auto"/>
        <w:ind w:left="567" w:right="476"/>
        <w:rPr>
          <w:rFonts w:ascii="Book Antiqua" w:eastAsia="Times New Roman" w:hAnsi="Book Antiqua" w:cs="Calibri"/>
          <w:bCs/>
          <w:i/>
          <w:iCs/>
          <w:color w:val="auto"/>
          <w:sz w:val="22"/>
          <w:szCs w:val="22"/>
          <w:lang w:val="es-CR"/>
        </w:rPr>
      </w:pPr>
      <w:r w:rsidRPr="00832773">
        <w:rPr>
          <w:rFonts w:ascii="Book Antiqua" w:eastAsia="Times New Roman" w:hAnsi="Book Antiqua" w:cs="Calibri"/>
          <w:b/>
          <w:i/>
          <w:iCs/>
          <w:color w:val="auto"/>
          <w:sz w:val="22"/>
          <w:szCs w:val="22"/>
          <w:lang w:val="es-CR"/>
        </w:rPr>
        <w:t>“Escenario a.</w:t>
      </w:r>
      <w:r w:rsidRPr="00832773">
        <w:rPr>
          <w:rFonts w:ascii="Book Antiqua" w:eastAsia="Times New Roman" w:hAnsi="Book Antiqua" w:cs="Calibri"/>
          <w:bCs/>
          <w:i/>
          <w:iCs/>
          <w:color w:val="auto"/>
          <w:sz w:val="22"/>
          <w:szCs w:val="22"/>
          <w:lang w:val="es-CR"/>
        </w:rPr>
        <w:t xml:space="preserve"> </w:t>
      </w:r>
      <w:r w:rsidRPr="00832773">
        <w:rPr>
          <w:rFonts w:ascii="Book Antiqua" w:eastAsia="Times New Roman" w:hAnsi="Book Antiqua" w:cs="Calibri"/>
          <w:b/>
          <w:i/>
          <w:iCs/>
          <w:color w:val="auto"/>
          <w:sz w:val="22"/>
          <w:szCs w:val="22"/>
          <w:lang w:val="es-CR"/>
        </w:rPr>
        <w:t>Criterio experto:</w:t>
      </w:r>
      <w:r w:rsidRPr="00832773">
        <w:rPr>
          <w:rFonts w:ascii="Book Antiqua" w:eastAsia="Times New Roman" w:hAnsi="Book Antiqua" w:cs="Calibri"/>
          <w:bCs/>
          <w:i/>
          <w:iCs/>
          <w:color w:val="auto"/>
          <w:sz w:val="22"/>
          <w:szCs w:val="22"/>
          <w:lang w:val="es-CR"/>
        </w:rPr>
        <w:t> Se establezca la cuantía del recurso de Casación en materia Civil, dentro del rango indicado por el Magistrado Luis Guillermo Rivas Loáiciga, Presidente de la Sala Primera como criterio experto, en un rango de entre </w:t>
      </w:r>
      <w:r w:rsidRPr="00832773">
        <w:rPr>
          <w:rFonts w:ascii="Times New Roman" w:eastAsia="Times New Roman" w:hAnsi="Times New Roman" w:cs="Times New Roman"/>
          <w:bCs/>
          <w:i/>
          <w:iCs/>
          <w:color w:val="auto"/>
          <w:sz w:val="22"/>
          <w:szCs w:val="22"/>
          <w:lang w:val="es-CR"/>
        </w:rPr>
        <w:t>₡</w:t>
      </w:r>
      <w:r w:rsidRPr="00832773">
        <w:rPr>
          <w:rFonts w:ascii="Book Antiqua" w:eastAsia="Times New Roman" w:hAnsi="Book Antiqua" w:cs="Calibri"/>
          <w:bCs/>
          <w:i/>
          <w:iCs/>
          <w:color w:val="auto"/>
          <w:sz w:val="22"/>
          <w:szCs w:val="22"/>
          <w:lang w:val="es-CR"/>
        </w:rPr>
        <w:t>20 y </w:t>
      </w:r>
      <w:r w:rsidRPr="00832773">
        <w:rPr>
          <w:rFonts w:ascii="Times New Roman" w:eastAsia="Times New Roman" w:hAnsi="Times New Roman" w:cs="Times New Roman"/>
          <w:bCs/>
          <w:i/>
          <w:iCs/>
          <w:color w:val="auto"/>
          <w:sz w:val="22"/>
          <w:szCs w:val="22"/>
          <w:lang w:val="es-CR"/>
        </w:rPr>
        <w:t>₡</w:t>
      </w:r>
      <w:r w:rsidRPr="00832773">
        <w:rPr>
          <w:rFonts w:ascii="Book Antiqua" w:eastAsia="Times New Roman" w:hAnsi="Book Antiqua" w:cs="Calibri"/>
          <w:bCs/>
          <w:i/>
          <w:iCs/>
          <w:color w:val="auto"/>
          <w:sz w:val="22"/>
          <w:szCs w:val="22"/>
          <w:lang w:val="es-CR"/>
        </w:rPr>
        <w:t>50 millones de colones. Según oficio actualizado al 28 de agosto de 2020, número PS1-61-2020 “El Magistrado Luis Guillermo Rivas Loáiciga y la Magistrada Rocío Rojas Morales optaron por respaldar el escenario de aprobar en forma i</w:t>
      </w:r>
      <w:r w:rsidR="008957FA" w:rsidRPr="00832773">
        <w:rPr>
          <w:rFonts w:ascii="Book Antiqua" w:eastAsia="Times New Roman" w:hAnsi="Book Antiqua" w:cs="Calibri"/>
          <w:bCs/>
          <w:i/>
          <w:iCs/>
          <w:color w:val="auto"/>
          <w:sz w:val="22"/>
          <w:szCs w:val="22"/>
          <w:lang w:val="es-CR"/>
        </w:rPr>
        <w:t>n</w:t>
      </w:r>
      <w:r w:rsidRPr="00832773">
        <w:rPr>
          <w:rFonts w:ascii="Book Antiqua" w:eastAsia="Times New Roman" w:hAnsi="Book Antiqua" w:cs="Calibri"/>
          <w:bCs/>
          <w:i/>
          <w:iCs/>
          <w:color w:val="auto"/>
          <w:sz w:val="22"/>
          <w:szCs w:val="22"/>
          <w:lang w:val="es-CR"/>
        </w:rPr>
        <w:t>mediata el aumento de la Cuantía a 20 millones de colones, estrictamente para el recurso de Casación, en el entendido de que para los demás procedim</w:t>
      </w:r>
      <w:r w:rsidR="008957FA" w:rsidRPr="00832773">
        <w:rPr>
          <w:rFonts w:ascii="Book Antiqua" w:eastAsia="Times New Roman" w:hAnsi="Book Antiqua" w:cs="Calibri"/>
          <w:bCs/>
          <w:i/>
          <w:iCs/>
          <w:color w:val="auto"/>
          <w:sz w:val="22"/>
          <w:szCs w:val="22"/>
          <w:lang w:val="es-CR"/>
        </w:rPr>
        <w:t>i</w:t>
      </w:r>
      <w:r w:rsidRPr="00832773">
        <w:rPr>
          <w:rFonts w:ascii="Book Antiqua" w:eastAsia="Times New Roman" w:hAnsi="Book Antiqua" w:cs="Calibri"/>
          <w:bCs/>
          <w:i/>
          <w:iCs/>
          <w:color w:val="auto"/>
          <w:sz w:val="22"/>
          <w:szCs w:val="22"/>
          <w:lang w:val="es-CR"/>
        </w:rPr>
        <w:t>entos se puede mantener en 3 millones a la espera del nuevo informe que la Dirección de Planificación debe rendir”.</w:t>
      </w:r>
    </w:p>
    <w:p w14:paraId="41ED8CEE" w14:textId="77777777" w:rsidR="007C5C58" w:rsidRPr="00832773" w:rsidRDefault="007C5C58" w:rsidP="00832773">
      <w:pPr>
        <w:pStyle w:val="NormalWeb"/>
        <w:shd w:val="clear" w:color="auto" w:fill="FFFFFF"/>
        <w:spacing w:line="276" w:lineRule="auto"/>
        <w:ind w:left="567" w:right="476"/>
        <w:rPr>
          <w:rFonts w:ascii="Book Antiqua" w:eastAsia="Times New Roman" w:hAnsi="Book Antiqua" w:cs="Calibri"/>
          <w:bCs/>
          <w:i/>
          <w:iCs/>
          <w:color w:val="auto"/>
          <w:sz w:val="22"/>
          <w:szCs w:val="22"/>
          <w:lang w:val="es-CR"/>
        </w:rPr>
      </w:pPr>
    </w:p>
    <w:p w14:paraId="51446219" w14:textId="77777777" w:rsidR="007C5C58" w:rsidRPr="00832773" w:rsidRDefault="007C5C58" w:rsidP="00832773">
      <w:pPr>
        <w:pStyle w:val="NormalWeb"/>
        <w:shd w:val="clear" w:color="auto" w:fill="FFFFFF"/>
        <w:spacing w:line="276" w:lineRule="auto"/>
        <w:ind w:left="567" w:right="476"/>
        <w:rPr>
          <w:rFonts w:ascii="Book Antiqua" w:eastAsia="Times New Roman" w:hAnsi="Book Antiqua" w:cs="Calibri"/>
          <w:bCs/>
          <w:i/>
          <w:iCs/>
          <w:color w:val="auto"/>
          <w:sz w:val="22"/>
          <w:szCs w:val="22"/>
          <w:lang w:val="es-CR"/>
        </w:rPr>
      </w:pPr>
      <w:r w:rsidRPr="00832773">
        <w:rPr>
          <w:rFonts w:ascii="Book Antiqua" w:eastAsia="Times New Roman" w:hAnsi="Book Antiqua" w:cs="Calibri"/>
          <w:b/>
          <w:i/>
          <w:iCs/>
          <w:color w:val="auto"/>
          <w:sz w:val="22"/>
          <w:szCs w:val="22"/>
          <w:lang w:val="es-CR"/>
        </w:rPr>
        <w:t>Escenario b. Actualización del monto de la cuantía en materia Civil, según el Índice de Precios al Consumidor</w:t>
      </w:r>
      <w:r w:rsidRPr="00832773">
        <w:rPr>
          <w:rFonts w:ascii="Book Antiqua" w:eastAsia="Times New Roman" w:hAnsi="Book Antiqua" w:cs="Calibri"/>
          <w:bCs/>
          <w:i/>
          <w:iCs/>
          <w:color w:val="auto"/>
          <w:sz w:val="22"/>
          <w:szCs w:val="22"/>
          <w:lang w:val="es-CR"/>
        </w:rPr>
        <w:t>: según datos a agosto 2020 resulta en un incremento de ¢372.189, es decir, sugiere una nueva cuantía de ¢3.372.189.</w:t>
      </w:r>
    </w:p>
    <w:p w14:paraId="225DC9F9" w14:textId="77777777" w:rsidR="007C5C58" w:rsidRPr="00832773" w:rsidRDefault="007C5C58" w:rsidP="00832773">
      <w:pPr>
        <w:pStyle w:val="NormalWeb"/>
        <w:shd w:val="clear" w:color="auto" w:fill="FFFFFF"/>
        <w:spacing w:line="276" w:lineRule="auto"/>
        <w:ind w:left="567" w:right="476"/>
        <w:rPr>
          <w:rFonts w:ascii="Book Antiqua" w:eastAsia="Times New Roman" w:hAnsi="Book Antiqua" w:cs="Calibri"/>
          <w:bCs/>
          <w:i/>
          <w:iCs/>
          <w:color w:val="auto"/>
          <w:sz w:val="22"/>
          <w:szCs w:val="22"/>
          <w:lang w:val="es-CR"/>
        </w:rPr>
      </w:pPr>
      <w:r w:rsidRPr="00832773">
        <w:rPr>
          <w:rFonts w:ascii="Book Antiqua" w:eastAsia="Times New Roman" w:hAnsi="Book Antiqua" w:cs="Calibri"/>
          <w:b/>
          <w:i/>
          <w:iCs/>
          <w:color w:val="auto"/>
          <w:sz w:val="22"/>
          <w:szCs w:val="22"/>
          <w:lang w:val="es-CR"/>
        </w:rPr>
        <w:lastRenderedPageBreak/>
        <w:t>Escenario c. Costo del Recurso de Casación en materia Civil para la Sala Primera:</w:t>
      </w:r>
      <w:r w:rsidRPr="00832773">
        <w:rPr>
          <w:rFonts w:ascii="Book Antiqua" w:eastAsia="Times New Roman" w:hAnsi="Book Antiqua" w:cs="Calibri"/>
          <w:bCs/>
          <w:i/>
          <w:iCs/>
          <w:color w:val="auto"/>
          <w:sz w:val="22"/>
          <w:szCs w:val="22"/>
          <w:lang w:val="es-CR"/>
        </w:rPr>
        <w:t xml:space="preserve"> Aprobar la propuesta de fijar la cuantía del recurso de Casación, conforme al costo unitario de cada recurso en promedio resuelto anualmente, sea de </w:t>
      </w:r>
      <w:r w:rsidRPr="00832773">
        <w:rPr>
          <w:rFonts w:ascii="Times New Roman" w:eastAsia="Times New Roman" w:hAnsi="Times New Roman" w:cs="Times New Roman"/>
          <w:bCs/>
          <w:i/>
          <w:iCs/>
          <w:color w:val="auto"/>
          <w:sz w:val="22"/>
          <w:szCs w:val="22"/>
          <w:lang w:val="es-CR"/>
        </w:rPr>
        <w:t>₡</w:t>
      </w:r>
      <w:r w:rsidRPr="00832773">
        <w:rPr>
          <w:rFonts w:ascii="Book Antiqua" w:eastAsia="Times New Roman" w:hAnsi="Book Antiqua" w:cs="Calibri"/>
          <w:bCs/>
          <w:i/>
          <w:iCs/>
          <w:color w:val="auto"/>
          <w:sz w:val="22"/>
          <w:szCs w:val="22"/>
          <w:lang w:val="es-CR"/>
        </w:rPr>
        <w:t>14.310.525,50 (seg</w:t>
      </w:r>
      <w:r w:rsidRPr="00832773">
        <w:rPr>
          <w:rFonts w:ascii="Book Antiqua" w:eastAsia="Times New Roman" w:hAnsi="Book Antiqua" w:cs="Book Antiqua"/>
          <w:bCs/>
          <w:i/>
          <w:iCs/>
          <w:color w:val="auto"/>
          <w:sz w:val="22"/>
          <w:szCs w:val="22"/>
          <w:lang w:val="es-CR"/>
        </w:rPr>
        <w:t>ú</w:t>
      </w:r>
      <w:r w:rsidRPr="00832773">
        <w:rPr>
          <w:rFonts w:ascii="Book Antiqua" w:eastAsia="Times New Roman" w:hAnsi="Book Antiqua" w:cs="Calibri"/>
          <w:bCs/>
          <w:i/>
          <w:iCs/>
          <w:color w:val="auto"/>
          <w:sz w:val="22"/>
          <w:szCs w:val="22"/>
          <w:lang w:val="es-CR"/>
        </w:rPr>
        <w:t xml:space="preserve">n dato del costo de la justicia 2018) o </w:t>
      </w:r>
      <w:r w:rsidRPr="00832773">
        <w:rPr>
          <w:rFonts w:ascii="Times New Roman" w:eastAsia="Times New Roman" w:hAnsi="Times New Roman" w:cs="Times New Roman"/>
          <w:bCs/>
          <w:i/>
          <w:iCs/>
          <w:color w:val="auto"/>
          <w:sz w:val="22"/>
          <w:szCs w:val="22"/>
          <w:lang w:val="es-CR"/>
        </w:rPr>
        <w:t>₡</w:t>
      </w:r>
      <w:r w:rsidRPr="00832773">
        <w:rPr>
          <w:rFonts w:ascii="Book Antiqua" w:eastAsia="Times New Roman" w:hAnsi="Book Antiqua" w:cs="Calibri"/>
          <w:bCs/>
          <w:i/>
          <w:iCs/>
          <w:color w:val="auto"/>
          <w:sz w:val="22"/>
          <w:szCs w:val="22"/>
          <w:lang w:val="es-CR"/>
        </w:rPr>
        <w:t>12,223,789.33 (costo de la justicia definitivo del 2019). Este escenario propondría un monto muy parecido al aprobado para la materia laboral.</w:t>
      </w:r>
    </w:p>
    <w:p w14:paraId="031A196C" w14:textId="77777777" w:rsidR="007C5C58" w:rsidRPr="00832773" w:rsidRDefault="007C5C58" w:rsidP="00832773">
      <w:pPr>
        <w:pStyle w:val="NormalWeb"/>
        <w:shd w:val="clear" w:color="auto" w:fill="FFFFFF"/>
        <w:spacing w:line="276" w:lineRule="auto"/>
        <w:ind w:left="567" w:right="476"/>
        <w:rPr>
          <w:rFonts w:ascii="Book Antiqua" w:eastAsia="Times New Roman" w:hAnsi="Book Antiqua" w:cs="Calibri"/>
          <w:bCs/>
          <w:i/>
          <w:iCs/>
          <w:color w:val="auto"/>
          <w:sz w:val="22"/>
          <w:szCs w:val="22"/>
          <w:lang w:val="es-CR"/>
        </w:rPr>
      </w:pPr>
    </w:p>
    <w:p w14:paraId="1B4DEE0C" w14:textId="7FBEE0C3" w:rsidR="007C5C58" w:rsidRPr="00832773" w:rsidRDefault="007C5C58" w:rsidP="00832773">
      <w:pPr>
        <w:pStyle w:val="NormalWeb"/>
        <w:shd w:val="clear" w:color="auto" w:fill="FFFFFF"/>
        <w:spacing w:line="276" w:lineRule="auto"/>
        <w:ind w:left="567" w:right="476"/>
        <w:rPr>
          <w:rFonts w:ascii="Book Antiqua" w:eastAsia="Times New Roman" w:hAnsi="Book Antiqua" w:cs="Calibri"/>
          <w:bCs/>
          <w:i/>
          <w:iCs/>
          <w:color w:val="auto"/>
          <w:sz w:val="22"/>
          <w:szCs w:val="22"/>
          <w:lang w:val="es-CR"/>
        </w:rPr>
      </w:pPr>
      <w:r w:rsidRPr="00832773">
        <w:rPr>
          <w:rFonts w:ascii="Book Antiqua" w:eastAsia="Times New Roman" w:hAnsi="Book Antiqua" w:cs="Calibri"/>
          <w:b/>
          <w:i/>
          <w:iCs/>
          <w:color w:val="auto"/>
          <w:sz w:val="22"/>
          <w:szCs w:val="22"/>
          <w:lang w:val="es-CR"/>
        </w:rPr>
        <w:t>Escenario d. Cuantía de los asuntos ingresados en la Sala Primera y distribución asuntos por cuantía en primera instancia Civil</w:t>
      </w:r>
      <w:r w:rsidRPr="00832773">
        <w:rPr>
          <w:rFonts w:ascii="Book Antiqua" w:eastAsia="Times New Roman" w:hAnsi="Book Antiqua" w:cs="Calibri"/>
          <w:bCs/>
          <w:i/>
          <w:iCs/>
          <w:color w:val="auto"/>
          <w:sz w:val="22"/>
          <w:szCs w:val="22"/>
          <w:lang w:val="es-CR"/>
        </w:rPr>
        <w:t>: Esta Dirección mantiene el criterio que no es posible recomendar un monto para fijar la cuantía de los procesos Civiles, en espera de contar con al menos 6 meses de información, una vez que la Dirección de Tecnología de Información implante la mejoras correspondientes (fecha estimada a finales de marzo 2021)</w:t>
      </w:r>
      <w:hyperlink r:id="rId19" w:anchor="_ftn7" w:history="1">
        <w:r w:rsidRPr="00832773">
          <w:rPr>
            <w:rFonts w:ascii="Book Antiqua" w:eastAsia="Times New Roman" w:hAnsi="Book Antiqua" w:cs="Calibri"/>
            <w:bCs/>
            <w:i/>
            <w:iCs/>
            <w:color w:val="auto"/>
            <w:sz w:val="22"/>
            <w:szCs w:val="22"/>
            <w:lang w:val="es-CR"/>
          </w:rPr>
          <w:t>[7]</w:t>
        </w:r>
      </w:hyperlink>
      <w:r w:rsidRPr="00832773">
        <w:rPr>
          <w:rFonts w:ascii="Book Antiqua" w:eastAsia="Times New Roman" w:hAnsi="Book Antiqua" w:cs="Calibri"/>
          <w:bCs/>
          <w:i/>
          <w:iCs/>
          <w:color w:val="auto"/>
          <w:sz w:val="22"/>
          <w:szCs w:val="22"/>
          <w:lang w:val="es-CR"/>
        </w:rPr>
        <w:t> y se disponga con mayor cantidad de datos de la cuantía de los procesos que ingresan a la Sala Primera por materia y en los Tribunales Colegiados de Primera Instancia (principales, incidentes, medidas cautelares y pruebas anticipadas), que permitan valorar nuevamente el impacto que tendría un incremento en la cuantía tanto en el ingreso en la Sala como en la distribución de competencias entre ambas oficinas de primera instancia como en la distribución del trabajo en los Tribunales de Apelación Civil (artículo 95 de la Ley Orgánica del Poder Judicial</w:t>
      </w:r>
      <w:hyperlink r:id="rId20" w:anchor="_ftn8" w:history="1">
        <w:r w:rsidRPr="00832773">
          <w:rPr>
            <w:rFonts w:ascii="Book Antiqua" w:eastAsia="Times New Roman" w:hAnsi="Book Antiqua" w:cs="Calibri"/>
            <w:bCs/>
            <w:i/>
            <w:iCs/>
            <w:color w:val="auto"/>
            <w:sz w:val="22"/>
            <w:szCs w:val="22"/>
            <w:lang w:val="es-CR"/>
          </w:rPr>
          <w:t>[8]</w:t>
        </w:r>
      </w:hyperlink>
      <w:r w:rsidRPr="00832773">
        <w:rPr>
          <w:rFonts w:ascii="Book Antiqua" w:eastAsia="Times New Roman" w:hAnsi="Book Antiqua" w:cs="Calibri"/>
          <w:bCs/>
          <w:i/>
          <w:iCs/>
          <w:color w:val="auto"/>
          <w:sz w:val="22"/>
          <w:szCs w:val="22"/>
          <w:lang w:val="es-CR"/>
        </w:rPr>
        <w:t>). Inclusive considerando que la información obtenida está influenciada de factores externos como la huelga nacional en 2018 y el impacto en la carga de trabajo en la Jurisdicción por la emergencia nacional por Covid-19 en los años 2019 y 2020. Se considera oportuno esperar al 2021, y contar con ese año como tiempo prudencial para la toma de decisiones a partir de información que permita visualizar el impacto real de la emergencia nacional y de las diferentes evaluaciones estadísticas complementarias que deben de desarrollarse previo a aprobarse un incremento en la cuantía de los procesos civiles.</w:t>
      </w:r>
    </w:p>
    <w:p w14:paraId="0D28BBB8" w14:textId="77777777" w:rsidR="00B32800" w:rsidRPr="00832773" w:rsidRDefault="00B32800" w:rsidP="00832773">
      <w:pPr>
        <w:pStyle w:val="NormalWeb"/>
        <w:shd w:val="clear" w:color="auto" w:fill="FFFFFF"/>
        <w:spacing w:line="276" w:lineRule="auto"/>
        <w:ind w:left="567" w:right="476"/>
        <w:rPr>
          <w:rFonts w:ascii="Book Antiqua" w:eastAsia="Times New Roman" w:hAnsi="Book Antiqua" w:cs="Calibri"/>
          <w:bCs/>
          <w:i/>
          <w:iCs/>
          <w:color w:val="auto"/>
          <w:sz w:val="22"/>
          <w:szCs w:val="22"/>
          <w:lang w:val="es-CR"/>
        </w:rPr>
      </w:pPr>
    </w:p>
    <w:p w14:paraId="17B2037A" w14:textId="77777777" w:rsidR="007C5C58" w:rsidRPr="00832773" w:rsidRDefault="007C5C58" w:rsidP="00832773">
      <w:pPr>
        <w:pStyle w:val="NormalWeb"/>
        <w:shd w:val="clear" w:color="auto" w:fill="FFFFFF"/>
        <w:spacing w:line="276" w:lineRule="auto"/>
        <w:ind w:left="567" w:right="476"/>
        <w:rPr>
          <w:rFonts w:ascii="Book Antiqua" w:eastAsia="Times New Roman" w:hAnsi="Book Antiqua" w:cs="Calibri"/>
          <w:bCs/>
          <w:i/>
          <w:iCs/>
          <w:color w:val="auto"/>
          <w:sz w:val="22"/>
          <w:szCs w:val="22"/>
          <w:lang w:val="es-CR"/>
        </w:rPr>
      </w:pPr>
      <w:r w:rsidRPr="00832773">
        <w:rPr>
          <w:rFonts w:ascii="Book Antiqua" w:eastAsia="Times New Roman" w:hAnsi="Book Antiqua" w:cs="Calibri"/>
          <w:bCs/>
          <w:i/>
          <w:iCs/>
          <w:color w:val="auto"/>
          <w:sz w:val="22"/>
          <w:szCs w:val="22"/>
          <w:lang w:val="es-CR"/>
        </w:rPr>
        <w:t>De aprobarse este escenario, y esperar para realizar una nueva valoración en 2021, se incluirá dentro del análisis las solicitudes realizadas por la Sala Primera mediante oficio PS1-61-2020 de incluir un escenario de “cuantías diferenciadas” y el criterio que emita la Dirección Jurídica al respecto.</w:t>
      </w:r>
    </w:p>
    <w:p w14:paraId="233C23E2" w14:textId="77777777" w:rsidR="007C5C58" w:rsidRPr="00832773" w:rsidRDefault="007C5C58" w:rsidP="00832773">
      <w:pPr>
        <w:pStyle w:val="NormalWeb"/>
        <w:shd w:val="clear" w:color="auto" w:fill="FFFFFF"/>
        <w:spacing w:line="276" w:lineRule="auto"/>
        <w:ind w:left="567" w:right="476"/>
        <w:rPr>
          <w:rFonts w:ascii="Book Antiqua" w:eastAsia="Times New Roman" w:hAnsi="Book Antiqua" w:cs="Calibri"/>
          <w:bCs/>
          <w:i/>
          <w:iCs/>
          <w:color w:val="auto"/>
          <w:sz w:val="22"/>
          <w:szCs w:val="22"/>
          <w:lang w:val="es-CR"/>
        </w:rPr>
      </w:pPr>
    </w:p>
    <w:p w14:paraId="5539504B" w14:textId="6EB64A26" w:rsidR="007C5C58" w:rsidRPr="00832773" w:rsidRDefault="007C5C58" w:rsidP="00832773">
      <w:pPr>
        <w:pStyle w:val="NormalWeb"/>
        <w:shd w:val="clear" w:color="auto" w:fill="FFFFFF"/>
        <w:spacing w:line="276" w:lineRule="auto"/>
        <w:ind w:left="567" w:right="476"/>
        <w:rPr>
          <w:rFonts w:ascii="Book Antiqua" w:eastAsia="Times New Roman" w:hAnsi="Book Antiqua" w:cs="Calibri"/>
          <w:bCs/>
          <w:i/>
          <w:iCs/>
          <w:color w:val="auto"/>
          <w:sz w:val="22"/>
          <w:szCs w:val="22"/>
          <w:lang w:val="es-CR"/>
        </w:rPr>
      </w:pPr>
      <w:r w:rsidRPr="00832773">
        <w:rPr>
          <w:rFonts w:ascii="Book Antiqua" w:eastAsia="Times New Roman" w:hAnsi="Book Antiqua" w:cs="Calibri"/>
          <w:b/>
          <w:i/>
          <w:iCs/>
          <w:color w:val="auto"/>
          <w:sz w:val="22"/>
          <w:szCs w:val="22"/>
          <w:lang w:val="es-CR"/>
        </w:rPr>
        <w:t>Escenario e. Reformas Legales:</w:t>
      </w:r>
      <w:r w:rsidRPr="00832773">
        <w:rPr>
          <w:rFonts w:ascii="Book Antiqua" w:eastAsia="Times New Roman" w:hAnsi="Book Antiqua" w:cs="Calibri"/>
          <w:bCs/>
          <w:i/>
          <w:iCs/>
          <w:color w:val="auto"/>
          <w:sz w:val="22"/>
          <w:szCs w:val="22"/>
          <w:lang w:val="es-CR"/>
        </w:rPr>
        <w:t> Se somete a valoración de la Sala Primera conforme a las políticas de contención del gasto institucionales la necesidad de iniciativas de reformas legales para regular la entrada en la Sala Primera y maximizar el recurso humano actual que incluya la matera Contenciosa Administrativa, cuyo Código Procesal entró en vigencia desde hace doce años:</w:t>
      </w:r>
    </w:p>
    <w:p w14:paraId="62477882" w14:textId="2B142BCD" w:rsidR="00B32800" w:rsidRDefault="00B32800" w:rsidP="00832773">
      <w:pPr>
        <w:pStyle w:val="NormalWeb"/>
        <w:shd w:val="clear" w:color="auto" w:fill="FFFFFF"/>
        <w:spacing w:line="276" w:lineRule="auto"/>
        <w:ind w:left="567" w:right="476"/>
        <w:rPr>
          <w:rFonts w:ascii="Book Antiqua" w:eastAsia="Times New Roman" w:hAnsi="Book Antiqua" w:cs="Calibri"/>
          <w:bCs/>
          <w:i/>
          <w:iCs/>
          <w:color w:val="auto"/>
          <w:sz w:val="22"/>
          <w:szCs w:val="22"/>
          <w:lang w:val="es-CR"/>
        </w:rPr>
      </w:pPr>
    </w:p>
    <w:p w14:paraId="3FE12C38" w14:textId="77777777" w:rsidR="00194F64" w:rsidRPr="00832773" w:rsidRDefault="00194F64" w:rsidP="00832773">
      <w:pPr>
        <w:pStyle w:val="NormalWeb"/>
        <w:shd w:val="clear" w:color="auto" w:fill="FFFFFF"/>
        <w:spacing w:line="276" w:lineRule="auto"/>
        <w:ind w:left="567" w:right="476"/>
        <w:rPr>
          <w:rFonts w:ascii="Book Antiqua" w:eastAsia="Times New Roman" w:hAnsi="Book Antiqua" w:cs="Calibri"/>
          <w:bCs/>
          <w:i/>
          <w:iCs/>
          <w:color w:val="auto"/>
          <w:sz w:val="22"/>
          <w:szCs w:val="22"/>
          <w:lang w:val="es-CR"/>
        </w:rPr>
      </w:pPr>
    </w:p>
    <w:p w14:paraId="12CA3A1F" w14:textId="2D5A5C6D" w:rsidR="007C5C58" w:rsidRPr="00832773" w:rsidRDefault="007C5C58" w:rsidP="00832773">
      <w:pPr>
        <w:numPr>
          <w:ilvl w:val="0"/>
          <w:numId w:val="1"/>
        </w:numPr>
        <w:shd w:val="clear" w:color="auto" w:fill="FFFFFF"/>
        <w:spacing w:line="276" w:lineRule="auto"/>
        <w:ind w:left="567" w:right="476" w:firstLine="0"/>
        <w:rPr>
          <w:rFonts w:cs="Calibri"/>
          <w:bCs/>
          <w:i/>
          <w:iCs/>
          <w:sz w:val="22"/>
          <w:szCs w:val="22"/>
        </w:rPr>
      </w:pPr>
      <w:r w:rsidRPr="00832773">
        <w:rPr>
          <w:rFonts w:cs="Calibri"/>
          <w:bCs/>
          <w:i/>
          <w:iCs/>
          <w:sz w:val="22"/>
          <w:szCs w:val="22"/>
        </w:rPr>
        <w:lastRenderedPageBreak/>
        <w:t>Fijación de cuantía en materia Contencioso-Administrativa para acceder al recurso de casación.</w:t>
      </w:r>
    </w:p>
    <w:p w14:paraId="732467D0" w14:textId="77777777" w:rsidR="007C5C58" w:rsidRPr="00832773" w:rsidRDefault="007C5C58" w:rsidP="00832773">
      <w:pPr>
        <w:numPr>
          <w:ilvl w:val="0"/>
          <w:numId w:val="1"/>
        </w:numPr>
        <w:shd w:val="clear" w:color="auto" w:fill="FFFFFF"/>
        <w:spacing w:line="276" w:lineRule="auto"/>
        <w:ind w:left="567" w:right="476" w:firstLine="0"/>
        <w:rPr>
          <w:rFonts w:cs="Calibri"/>
          <w:bCs/>
          <w:i/>
          <w:iCs/>
          <w:sz w:val="22"/>
          <w:szCs w:val="22"/>
        </w:rPr>
      </w:pPr>
      <w:r w:rsidRPr="00832773">
        <w:rPr>
          <w:rFonts w:cs="Calibri"/>
          <w:bCs/>
          <w:i/>
          <w:iCs/>
          <w:sz w:val="22"/>
          <w:szCs w:val="22"/>
        </w:rPr>
        <w:t>Reducción de los procesos que tendrán recurso ante la Sala o Tribunal de Casación como un recurso extraordinario en materia Contencioso-Administrativa.</w:t>
      </w:r>
    </w:p>
    <w:p w14:paraId="56AF8B60" w14:textId="77777777" w:rsidR="007C5C58" w:rsidRPr="00832773" w:rsidRDefault="007C5C58" w:rsidP="00832773">
      <w:pPr>
        <w:numPr>
          <w:ilvl w:val="0"/>
          <w:numId w:val="1"/>
        </w:numPr>
        <w:shd w:val="clear" w:color="auto" w:fill="FFFFFF"/>
        <w:spacing w:line="276" w:lineRule="auto"/>
        <w:ind w:left="567" w:right="476" w:firstLine="0"/>
        <w:rPr>
          <w:rFonts w:cs="Calibri"/>
          <w:bCs/>
          <w:i/>
          <w:iCs/>
          <w:sz w:val="22"/>
          <w:szCs w:val="22"/>
        </w:rPr>
      </w:pPr>
      <w:r w:rsidRPr="00832773">
        <w:rPr>
          <w:rFonts w:cs="Calibri"/>
          <w:bCs/>
          <w:i/>
          <w:iCs/>
          <w:sz w:val="22"/>
          <w:szCs w:val="22"/>
        </w:rPr>
        <w:t>Ampliar las competencias del Tribunal de Apelación Contencioso Administrativo, de manera que se aporte mayor carga de trabajo al recurso actual; estableciendo procesos que puedan ser conocidos de forma unipersonal incluyendo resoluciones de fondo.</w:t>
      </w:r>
    </w:p>
    <w:p w14:paraId="2782C29C" w14:textId="77777777" w:rsidR="007C5C58" w:rsidRPr="00832773" w:rsidRDefault="007C5C58" w:rsidP="00832773">
      <w:pPr>
        <w:numPr>
          <w:ilvl w:val="0"/>
          <w:numId w:val="1"/>
        </w:numPr>
        <w:shd w:val="clear" w:color="auto" w:fill="FFFFFF"/>
        <w:spacing w:line="276" w:lineRule="auto"/>
        <w:ind w:left="567" w:right="476" w:firstLine="0"/>
        <w:rPr>
          <w:rFonts w:cs="Calibri"/>
          <w:bCs/>
          <w:i/>
          <w:iCs/>
          <w:sz w:val="22"/>
          <w:szCs w:val="22"/>
        </w:rPr>
      </w:pPr>
      <w:r w:rsidRPr="00832773">
        <w:rPr>
          <w:rFonts w:cs="Calibri"/>
          <w:bCs/>
          <w:i/>
          <w:iCs/>
          <w:sz w:val="22"/>
          <w:szCs w:val="22"/>
        </w:rPr>
        <w:t>Modificar la distribución de competencias entre los Juzgados Civiles y Cobratorios y entre estos y los Tribunales Colegiados de Primera Instancia Civil y consecuentemente el órgano superior, valorando las estructuras y cargas de trabajo actuales.</w:t>
      </w:r>
    </w:p>
    <w:p w14:paraId="5E70A141" w14:textId="77777777" w:rsidR="007C5C58" w:rsidRPr="00832773" w:rsidRDefault="007C5C58" w:rsidP="00832773">
      <w:pPr>
        <w:numPr>
          <w:ilvl w:val="0"/>
          <w:numId w:val="1"/>
        </w:numPr>
        <w:shd w:val="clear" w:color="auto" w:fill="FFFFFF"/>
        <w:spacing w:line="276" w:lineRule="auto"/>
        <w:ind w:left="567" w:right="476" w:firstLine="0"/>
        <w:rPr>
          <w:rFonts w:cs="Calibri"/>
          <w:bCs/>
          <w:i/>
          <w:iCs/>
          <w:sz w:val="22"/>
          <w:szCs w:val="22"/>
        </w:rPr>
      </w:pPr>
      <w:r w:rsidRPr="00832773">
        <w:rPr>
          <w:rFonts w:cs="Calibri"/>
          <w:bCs/>
          <w:i/>
          <w:iCs/>
          <w:sz w:val="22"/>
          <w:szCs w:val="22"/>
        </w:rPr>
        <w:t>Definir procesos que puedan ser conocidos de forma unipersonal por los Tribunales Colegiados de Primera Instancia Civil. Esto maximizaría el recurso institucional y equilibraría cargas en Primera Instancia entre Juzgados y Tribunales.</w:t>
      </w:r>
    </w:p>
    <w:p w14:paraId="21E71880" w14:textId="77777777" w:rsidR="00881A16" w:rsidRPr="00832773" w:rsidRDefault="00881A16" w:rsidP="00832773">
      <w:pPr>
        <w:pStyle w:val="NormalWeb"/>
        <w:shd w:val="clear" w:color="auto" w:fill="FFFFFF"/>
        <w:spacing w:line="276" w:lineRule="auto"/>
        <w:ind w:left="567" w:right="476"/>
        <w:rPr>
          <w:rFonts w:ascii="Book Antiqua" w:eastAsia="Times New Roman" w:hAnsi="Book Antiqua" w:cs="Calibri"/>
          <w:bCs/>
          <w:i/>
          <w:iCs/>
          <w:color w:val="auto"/>
          <w:sz w:val="22"/>
          <w:szCs w:val="22"/>
          <w:lang w:val="es-CR"/>
        </w:rPr>
      </w:pPr>
    </w:p>
    <w:p w14:paraId="39A3B0D4" w14:textId="77777777" w:rsidR="007C5C58" w:rsidRPr="00832773" w:rsidRDefault="007C5C58" w:rsidP="00832773">
      <w:pPr>
        <w:pStyle w:val="NormalWeb"/>
        <w:shd w:val="clear" w:color="auto" w:fill="FFFFFF"/>
        <w:spacing w:line="276" w:lineRule="auto"/>
        <w:ind w:left="567" w:right="476"/>
        <w:rPr>
          <w:rFonts w:ascii="Book Antiqua" w:eastAsia="Times New Roman" w:hAnsi="Book Antiqua" w:cs="Calibri"/>
          <w:bCs/>
          <w:i/>
          <w:iCs/>
          <w:color w:val="auto"/>
          <w:sz w:val="22"/>
          <w:szCs w:val="22"/>
          <w:lang w:val="es-CR"/>
        </w:rPr>
      </w:pPr>
      <w:r w:rsidRPr="00832773">
        <w:rPr>
          <w:rFonts w:ascii="Book Antiqua" w:eastAsia="Times New Roman" w:hAnsi="Book Antiqua" w:cs="Calibri"/>
          <w:bCs/>
          <w:i/>
          <w:iCs/>
          <w:color w:val="auto"/>
          <w:sz w:val="22"/>
          <w:szCs w:val="22"/>
          <w:lang w:val="es-CR"/>
        </w:rPr>
        <w:t>5.3. Esta Dirección recomienda valorar el escenario E, es decir, que no se eleve la cuantía en materia Civil, hasta tanto se dé una reforma legal que modifique la distribución de competencias entre los Juzgados y Tribunales Colegiados de Primera Instancia Civil (solo conocen procesos ordinarios de mayor cuantía) y consecuentemente el órgano superior y se definan nuevos procesos que puedan ser conocidos de forma unipersonal por los Tribunales Colegiados de Primera Instancia Civil en lugar de por Juzgados Civiles. Considerando además otras posibilidades de distribución de competencias incluso entre materia Civil y Cobratoria, dada las bajas cargas de trabajo que presentan algunos Juzgados y Tribunales Civiles a nivel nacional.</w:t>
      </w:r>
    </w:p>
    <w:p w14:paraId="57C3960C" w14:textId="77777777" w:rsidR="00881A16" w:rsidRPr="00832773" w:rsidRDefault="00881A16" w:rsidP="00832773">
      <w:pPr>
        <w:pStyle w:val="NormalWeb"/>
        <w:shd w:val="clear" w:color="auto" w:fill="FFFFFF"/>
        <w:spacing w:line="276" w:lineRule="auto"/>
        <w:ind w:left="567" w:right="476"/>
        <w:rPr>
          <w:rFonts w:ascii="Book Antiqua" w:eastAsia="Times New Roman" w:hAnsi="Book Antiqua" w:cs="Calibri"/>
          <w:bCs/>
          <w:i/>
          <w:iCs/>
          <w:color w:val="auto"/>
          <w:sz w:val="22"/>
          <w:szCs w:val="22"/>
          <w:lang w:val="es-CR"/>
        </w:rPr>
      </w:pPr>
    </w:p>
    <w:p w14:paraId="05602CD2" w14:textId="362F354E" w:rsidR="007C5C58" w:rsidRPr="00832773" w:rsidRDefault="007C5C58" w:rsidP="00832773">
      <w:pPr>
        <w:pStyle w:val="NormalWeb"/>
        <w:shd w:val="clear" w:color="auto" w:fill="FFFFFF"/>
        <w:spacing w:line="276" w:lineRule="auto"/>
        <w:ind w:left="567" w:right="476"/>
        <w:rPr>
          <w:rFonts w:ascii="Book Antiqua" w:eastAsia="Times New Roman" w:hAnsi="Book Antiqua" w:cs="Calibri"/>
          <w:bCs/>
          <w:i/>
          <w:iCs/>
          <w:color w:val="auto"/>
          <w:sz w:val="22"/>
          <w:szCs w:val="22"/>
          <w:lang w:val="es-CR"/>
        </w:rPr>
      </w:pPr>
      <w:r w:rsidRPr="00832773">
        <w:rPr>
          <w:rFonts w:ascii="Book Antiqua" w:eastAsia="Times New Roman" w:hAnsi="Book Antiqua" w:cs="Calibri"/>
          <w:bCs/>
          <w:i/>
          <w:iCs/>
          <w:color w:val="auto"/>
          <w:sz w:val="22"/>
          <w:szCs w:val="22"/>
          <w:lang w:val="es-CR"/>
        </w:rPr>
        <w:t>Hasta tanto se logre contar con las reformas legales necesarias, se sugiere implementar el escenario D conforme se expuso anteriormente y reservar la modificación en el monto de cuantía civil, para valorar nuevas alternativas en 2021, incluyendo cuantías diferenciadas por procesos y/o traslados de asuntos que puedan ser conocidos por las oficinas civiles en lugar de por los Juzgados de Cobro sin que requier</w:t>
      </w:r>
      <w:r w:rsidR="00881A16" w:rsidRPr="00832773">
        <w:rPr>
          <w:rFonts w:ascii="Book Antiqua" w:eastAsia="Times New Roman" w:hAnsi="Book Antiqua" w:cs="Calibri"/>
          <w:bCs/>
          <w:i/>
          <w:iCs/>
          <w:color w:val="auto"/>
          <w:sz w:val="22"/>
          <w:szCs w:val="22"/>
          <w:lang w:val="es-CR"/>
        </w:rPr>
        <w:t>a</w:t>
      </w:r>
      <w:r w:rsidRPr="00832773">
        <w:rPr>
          <w:rFonts w:ascii="Book Antiqua" w:eastAsia="Times New Roman" w:hAnsi="Book Antiqua" w:cs="Calibri"/>
          <w:bCs/>
          <w:i/>
          <w:iCs/>
          <w:color w:val="auto"/>
          <w:sz w:val="22"/>
          <w:szCs w:val="22"/>
          <w:lang w:val="es-CR"/>
        </w:rPr>
        <w:t>n de Ley y aprobación por parte de la Asamblea Legislativa.”</w:t>
      </w:r>
    </w:p>
    <w:p w14:paraId="55A41B53" w14:textId="77777777" w:rsidR="007C5C58" w:rsidRPr="00832773" w:rsidRDefault="007C5C58" w:rsidP="00CE62C1">
      <w:pPr>
        <w:pStyle w:val="NormalWeb"/>
        <w:shd w:val="clear" w:color="auto" w:fill="FFFFFF"/>
        <w:spacing w:line="276" w:lineRule="auto"/>
        <w:rPr>
          <w:rFonts w:ascii="Book Antiqua" w:eastAsia="Times New Roman" w:hAnsi="Book Antiqua" w:cs="Calibri"/>
          <w:bCs/>
          <w:color w:val="auto"/>
          <w:lang w:val="es-CR"/>
        </w:rPr>
      </w:pPr>
    </w:p>
    <w:p w14:paraId="13B93159" w14:textId="618DC3BF" w:rsidR="00494557" w:rsidRDefault="003D5F11" w:rsidP="00CE62C1">
      <w:pPr>
        <w:spacing w:line="276" w:lineRule="auto"/>
        <w:rPr>
          <w:rFonts w:eastAsia="Calibri"/>
          <w:lang w:eastAsia="en-US"/>
        </w:rPr>
      </w:pPr>
      <w:r w:rsidRPr="00832773">
        <w:rPr>
          <w:rFonts w:eastAsia="Calibri"/>
          <w:lang w:eastAsia="en-US"/>
        </w:rPr>
        <w:t>Finalmente, la Corte Plena optó por acoger el escenario D</w:t>
      </w:r>
      <w:r w:rsidR="007D43FF">
        <w:rPr>
          <w:rFonts w:eastAsia="Calibri"/>
          <w:lang w:eastAsia="en-US"/>
        </w:rPr>
        <w:t>,</w:t>
      </w:r>
      <w:r w:rsidRPr="00832773">
        <w:rPr>
          <w:rFonts w:eastAsia="Calibri"/>
          <w:lang w:eastAsia="en-US"/>
        </w:rPr>
        <w:t xml:space="preserve"> con la finalidad de implementar la mejora tecnológica en el sistema </w:t>
      </w:r>
      <w:r w:rsidR="00CB5EB6" w:rsidRPr="00832773">
        <w:rPr>
          <w:rFonts w:eastAsia="Calibri"/>
          <w:lang w:eastAsia="en-US"/>
        </w:rPr>
        <w:t xml:space="preserve">correspondiente </w:t>
      </w:r>
      <w:r w:rsidRPr="00832773">
        <w:rPr>
          <w:rFonts w:eastAsia="Calibri"/>
          <w:lang w:eastAsia="en-US"/>
        </w:rPr>
        <w:t xml:space="preserve">y de esta forma </w:t>
      </w:r>
      <w:r w:rsidR="00CB5EB6" w:rsidRPr="00832773">
        <w:rPr>
          <w:rFonts w:eastAsia="Calibri"/>
          <w:lang w:eastAsia="en-US"/>
        </w:rPr>
        <w:t>brindar un mayor tiempo de recolección de</w:t>
      </w:r>
      <w:r w:rsidRPr="00832773">
        <w:rPr>
          <w:rFonts w:eastAsia="Calibri"/>
          <w:lang w:eastAsia="en-US"/>
        </w:rPr>
        <w:t xml:space="preserve"> datos que permit</w:t>
      </w:r>
      <w:r w:rsidR="00CB5EB6" w:rsidRPr="00832773">
        <w:rPr>
          <w:rFonts w:eastAsia="Calibri"/>
          <w:lang w:eastAsia="en-US"/>
        </w:rPr>
        <w:t>iera</w:t>
      </w:r>
      <w:r w:rsidRPr="00832773">
        <w:rPr>
          <w:rFonts w:eastAsia="Calibri"/>
          <w:lang w:eastAsia="en-US"/>
        </w:rPr>
        <w:t xml:space="preserve"> </w:t>
      </w:r>
      <w:r w:rsidR="008957FA" w:rsidRPr="00832773">
        <w:rPr>
          <w:rFonts w:eastAsia="Calibri"/>
          <w:lang w:eastAsia="en-US"/>
        </w:rPr>
        <w:t>dotar de</w:t>
      </w:r>
      <w:r w:rsidRPr="00832773">
        <w:rPr>
          <w:rFonts w:eastAsia="Calibri"/>
          <w:lang w:eastAsia="en-US"/>
        </w:rPr>
        <w:t xml:space="preserve"> mayor validez y robustez </w:t>
      </w:r>
      <w:r w:rsidR="008957FA" w:rsidRPr="00832773">
        <w:rPr>
          <w:rFonts w:eastAsia="Calibri"/>
          <w:lang w:eastAsia="en-US"/>
        </w:rPr>
        <w:t>e</w:t>
      </w:r>
      <w:r w:rsidRPr="00832773">
        <w:rPr>
          <w:rFonts w:eastAsia="Calibri"/>
          <w:lang w:eastAsia="en-US"/>
        </w:rPr>
        <w:t>l análisis de las cuantías</w:t>
      </w:r>
      <w:r w:rsidR="00881A16" w:rsidRPr="00832773">
        <w:rPr>
          <w:rFonts w:eastAsia="Calibri"/>
          <w:lang w:eastAsia="en-US"/>
        </w:rPr>
        <w:t xml:space="preserve"> en 2021</w:t>
      </w:r>
      <w:r w:rsidR="00CB5EB6" w:rsidRPr="00832773">
        <w:rPr>
          <w:rFonts w:eastAsia="Calibri"/>
          <w:lang w:eastAsia="en-US"/>
        </w:rPr>
        <w:t>.</w:t>
      </w:r>
    </w:p>
    <w:p w14:paraId="0E18D18C" w14:textId="77777777" w:rsidR="007D43FF" w:rsidRPr="00832773" w:rsidRDefault="007D43FF" w:rsidP="00CE62C1">
      <w:pPr>
        <w:spacing w:line="276" w:lineRule="auto"/>
        <w:rPr>
          <w:rFonts w:eastAsia="Calibri"/>
          <w:lang w:eastAsia="en-US"/>
        </w:rPr>
      </w:pPr>
    </w:p>
    <w:p w14:paraId="42A6CFEA" w14:textId="06C5595F" w:rsidR="00CB5EB6" w:rsidRPr="00832773" w:rsidRDefault="00CB5EB6" w:rsidP="00CE62C1">
      <w:pPr>
        <w:spacing w:line="276" w:lineRule="auto"/>
        <w:rPr>
          <w:rFonts w:eastAsia="Calibri"/>
          <w:lang w:eastAsia="en-US"/>
        </w:rPr>
      </w:pPr>
      <w:r w:rsidRPr="00832773">
        <w:rPr>
          <w:rFonts w:eastAsia="Calibri"/>
          <w:lang w:eastAsia="en-US"/>
        </w:rPr>
        <w:t xml:space="preserve">Asimismo, se quedó a la espera del </w:t>
      </w:r>
      <w:r w:rsidR="008957FA" w:rsidRPr="00832773">
        <w:rPr>
          <w:rFonts w:eastAsia="Calibri"/>
          <w:lang w:eastAsia="en-US"/>
        </w:rPr>
        <w:t>criterio</w:t>
      </w:r>
      <w:r w:rsidRPr="00832773">
        <w:rPr>
          <w:rFonts w:eastAsia="Calibri"/>
          <w:lang w:eastAsia="en-US"/>
        </w:rPr>
        <w:t xml:space="preserve"> </w:t>
      </w:r>
      <w:r w:rsidR="00805207" w:rsidRPr="00832773">
        <w:rPr>
          <w:rFonts w:eastAsia="Calibri"/>
          <w:lang w:eastAsia="en-US"/>
        </w:rPr>
        <w:t>de</w:t>
      </w:r>
      <w:r w:rsidRPr="00832773">
        <w:rPr>
          <w:rFonts w:eastAsia="Calibri"/>
          <w:lang w:eastAsia="en-US"/>
        </w:rPr>
        <w:t xml:space="preserve"> la Dirección Jurídica en relación con la posibilidad de aplicar cuantías diferenciadas.</w:t>
      </w:r>
    </w:p>
    <w:p w14:paraId="148320C6" w14:textId="77777777" w:rsidR="00CB5EB6" w:rsidRPr="00832773" w:rsidRDefault="00CB5EB6" w:rsidP="00CE62C1">
      <w:pPr>
        <w:spacing w:line="276" w:lineRule="auto"/>
        <w:rPr>
          <w:rFonts w:eastAsia="Calibri"/>
          <w:lang w:eastAsia="en-US"/>
        </w:rPr>
      </w:pPr>
    </w:p>
    <w:p w14:paraId="058CFA77" w14:textId="73954BA9" w:rsidR="00805207" w:rsidRDefault="00805207" w:rsidP="00CE62C1">
      <w:pPr>
        <w:spacing w:after="160" w:line="276" w:lineRule="auto"/>
        <w:contextualSpacing/>
        <w:rPr>
          <w:rFonts w:eastAsia="Calibri"/>
          <w:szCs w:val="24"/>
          <w:lang w:eastAsia="en-US"/>
        </w:rPr>
      </w:pPr>
      <w:r w:rsidRPr="00832773">
        <w:rPr>
          <w:rFonts w:eastAsia="Calibri"/>
          <w:lang w:eastAsia="en-US"/>
        </w:rPr>
        <w:lastRenderedPageBreak/>
        <w:t>Es importante mencionar</w:t>
      </w:r>
      <w:r w:rsidR="007D43FF">
        <w:rPr>
          <w:rFonts w:eastAsia="Calibri"/>
          <w:lang w:eastAsia="en-US"/>
        </w:rPr>
        <w:t>,</w:t>
      </w:r>
      <w:r w:rsidRPr="00832773">
        <w:rPr>
          <w:rFonts w:eastAsia="Calibri"/>
          <w:lang w:eastAsia="en-US"/>
        </w:rPr>
        <w:t xml:space="preserve"> que esta Dirección en cumplimiento de lo acordado por Corte Plena y poder presentar una propuesta conjunta de incremento de cuantía, basado en datos de cuantía actualizados de al </w:t>
      </w:r>
      <w:r w:rsidR="008743A6" w:rsidRPr="00832773">
        <w:rPr>
          <w:rFonts w:eastAsia="Calibri"/>
          <w:lang w:eastAsia="en-US"/>
        </w:rPr>
        <w:t>menos</w:t>
      </w:r>
      <w:r w:rsidRPr="00832773">
        <w:rPr>
          <w:rFonts w:eastAsia="Calibri"/>
          <w:lang w:eastAsia="en-US"/>
        </w:rPr>
        <w:t xml:space="preserve"> 6 meses, procedió a realizar el análisis de esa información la cual detectó que cierta porción de datos no se actualizó o se registró de forma errónea en los sistemas. Esta situación se comunicó a la Sala Primera en sesión de trabajo d</w:t>
      </w:r>
      <w:r w:rsidRPr="004E74A6">
        <w:rPr>
          <w:rFonts w:eastAsia="Calibri"/>
          <w:szCs w:val="24"/>
          <w:lang w:eastAsia="en-US"/>
        </w:rPr>
        <w:t>el 5 de octubre de 2021 (minuta 939-PLA-MI-MNTA-2021-</w:t>
      </w:r>
      <w:r w:rsidRPr="004E74A6">
        <w:rPr>
          <w:rFonts w:eastAsia="Calibri"/>
          <w:b/>
          <w:bCs/>
          <w:szCs w:val="24"/>
          <w:lang w:eastAsia="en-US"/>
        </w:rPr>
        <w:t>anexo 5</w:t>
      </w:r>
      <w:r w:rsidRPr="004E74A6">
        <w:rPr>
          <w:rFonts w:eastAsia="Calibri"/>
          <w:szCs w:val="24"/>
          <w:lang w:eastAsia="en-US"/>
        </w:rPr>
        <w:t xml:space="preserve">). </w:t>
      </w:r>
    </w:p>
    <w:p w14:paraId="295DF407" w14:textId="77777777" w:rsidR="007D43FF" w:rsidRPr="004E74A6" w:rsidRDefault="007D43FF" w:rsidP="00CE62C1">
      <w:pPr>
        <w:spacing w:after="160" w:line="276" w:lineRule="auto"/>
        <w:contextualSpacing/>
        <w:rPr>
          <w:rFonts w:eastAsia="Calibri"/>
          <w:szCs w:val="24"/>
          <w:lang w:eastAsia="en-US"/>
        </w:rPr>
      </w:pPr>
    </w:p>
    <w:p w14:paraId="0C7152FE" w14:textId="358BF3F4" w:rsidR="00805207" w:rsidRPr="004E74A6" w:rsidRDefault="00805207" w:rsidP="00CE62C1">
      <w:pPr>
        <w:spacing w:after="160" w:line="276" w:lineRule="auto"/>
        <w:contextualSpacing/>
        <w:rPr>
          <w:rFonts w:eastAsia="Calibri"/>
          <w:szCs w:val="24"/>
          <w:lang w:eastAsia="en-US"/>
        </w:rPr>
      </w:pPr>
      <w:r w:rsidRPr="004E74A6">
        <w:rPr>
          <w:rFonts w:eastAsia="Calibri"/>
          <w:szCs w:val="24"/>
          <w:lang w:eastAsia="en-US"/>
        </w:rPr>
        <w:t xml:space="preserve">Al respecto la Sala acordó la necesidad de actualizar la información faltante, y para ello coordinó con la Comisión de la Jurisdicción Civil y esta a su vez con el Consejo Superior y finalmente se emitió la circular </w:t>
      </w:r>
      <w:r w:rsidR="000D26D2" w:rsidRPr="004E74A6">
        <w:rPr>
          <w:rFonts w:eastAsia="Calibri"/>
          <w:szCs w:val="24"/>
          <w:lang w:eastAsia="en-US"/>
        </w:rPr>
        <w:t>297-2021,</w:t>
      </w:r>
      <w:r w:rsidRPr="004E74A6">
        <w:rPr>
          <w:rFonts w:eastAsia="Calibri"/>
          <w:szCs w:val="24"/>
          <w:lang w:eastAsia="en-US"/>
        </w:rPr>
        <w:t xml:space="preserve"> con la obligatoriedad de actualizar la información por parte de las oficinas </w:t>
      </w:r>
      <w:r w:rsidR="002A5C13" w:rsidRPr="004E74A6">
        <w:rPr>
          <w:rFonts w:eastAsia="Calibri"/>
          <w:szCs w:val="24"/>
          <w:lang w:eastAsia="en-US"/>
        </w:rPr>
        <w:t>C</w:t>
      </w:r>
      <w:r w:rsidRPr="004E74A6">
        <w:rPr>
          <w:rFonts w:eastAsia="Calibri"/>
          <w:szCs w:val="24"/>
          <w:lang w:eastAsia="en-US"/>
        </w:rPr>
        <w:t>iviles</w:t>
      </w:r>
      <w:r w:rsidR="002A5C13" w:rsidRPr="004E74A6">
        <w:rPr>
          <w:rFonts w:eastAsia="Calibri"/>
          <w:szCs w:val="24"/>
          <w:lang w:eastAsia="en-US"/>
        </w:rPr>
        <w:t xml:space="preserve"> y Cobratorias</w:t>
      </w:r>
      <w:r w:rsidR="000D26D2" w:rsidRPr="004E74A6">
        <w:rPr>
          <w:rFonts w:eastAsia="Calibri"/>
          <w:szCs w:val="24"/>
          <w:lang w:eastAsia="en-US"/>
        </w:rPr>
        <w:t xml:space="preserve"> incluso desde enero 2020</w:t>
      </w:r>
      <w:r w:rsidRPr="004E74A6">
        <w:rPr>
          <w:rFonts w:eastAsia="Calibri"/>
          <w:szCs w:val="24"/>
          <w:lang w:eastAsia="en-US"/>
        </w:rPr>
        <w:t xml:space="preserve">. Según </w:t>
      </w:r>
      <w:r w:rsidR="002A5C13" w:rsidRPr="004E74A6">
        <w:rPr>
          <w:rFonts w:eastAsia="Calibri"/>
          <w:szCs w:val="24"/>
          <w:lang w:eastAsia="en-US"/>
        </w:rPr>
        <w:t xml:space="preserve">acuerdo del Consejo Superior en sesión </w:t>
      </w:r>
      <w:r w:rsidR="00A85305" w:rsidRPr="004E74A6">
        <w:rPr>
          <w:rFonts w:eastAsia="Calibri"/>
          <w:szCs w:val="24"/>
          <w:lang w:eastAsia="en-US"/>
        </w:rPr>
        <w:t xml:space="preserve">6-2022 celebrada el 19 de enero de 2022, artículo XIX </w:t>
      </w:r>
      <w:r w:rsidR="002A5C13" w:rsidRPr="004E74A6">
        <w:rPr>
          <w:rFonts w:eastAsia="Calibri"/>
          <w:b/>
          <w:bCs/>
          <w:szCs w:val="24"/>
          <w:lang w:eastAsia="en-US"/>
        </w:rPr>
        <w:t>a octubre 2021</w:t>
      </w:r>
      <w:r w:rsidR="002A5C13" w:rsidRPr="004E74A6">
        <w:rPr>
          <w:rFonts w:eastAsia="Calibri"/>
          <w:szCs w:val="24"/>
          <w:lang w:eastAsia="en-US"/>
        </w:rPr>
        <w:t xml:space="preserve"> la mayoría de</w:t>
      </w:r>
      <w:r w:rsidR="00414CFF" w:rsidRPr="004E74A6">
        <w:rPr>
          <w:rFonts w:eastAsia="Calibri"/>
          <w:szCs w:val="24"/>
          <w:lang w:eastAsia="en-US"/>
        </w:rPr>
        <w:t xml:space="preserve"> </w:t>
      </w:r>
      <w:r w:rsidR="002A5C13" w:rsidRPr="004E74A6">
        <w:rPr>
          <w:rFonts w:eastAsia="Calibri"/>
          <w:szCs w:val="24"/>
          <w:lang w:eastAsia="en-US"/>
        </w:rPr>
        <w:t xml:space="preserve">las </w:t>
      </w:r>
      <w:r w:rsidR="00414CFF" w:rsidRPr="004E74A6">
        <w:rPr>
          <w:rFonts w:eastAsia="Calibri"/>
          <w:szCs w:val="24"/>
          <w:lang w:eastAsia="en-US"/>
        </w:rPr>
        <w:t>oficinas</w:t>
      </w:r>
      <w:r w:rsidR="002A5C13" w:rsidRPr="004E74A6">
        <w:rPr>
          <w:rFonts w:eastAsia="Calibri"/>
          <w:szCs w:val="24"/>
          <w:lang w:eastAsia="en-US"/>
        </w:rPr>
        <w:t xml:space="preserve"> habían </w:t>
      </w:r>
      <w:r w:rsidR="00414CFF" w:rsidRPr="004E74A6">
        <w:rPr>
          <w:rFonts w:eastAsia="Calibri"/>
          <w:szCs w:val="24"/>
          <w:lang w:eastAsia="en-US"/>
        </w:rPr>
        <w:t>finalizado</w:t>
      </w:r>
      <w:r w:rsidR="002A5C13" w:rsidRPr="004E74A6">
        <w:rPr>
          <w:rFonts w:eastAsia="Calibri"/>
          <w:szCs w:val="24"/>
          <w:lang w:eastAsia="en-US"/>
        </w:rPr>
        <w:t xml:space="preserve"> el proceso de actualización, salvo </w:t>
      </w:r>
      <w:r w:rsidR="00414CFF" w:rsidRPr="004E74A6">
        <w:rPr>
          <w:rFonts w:eastAsia="Calibri"/>
          <w:szCs w:val="24"/>
          <w:lang w:eastAsia="en-US"/>
        </w:rPr>
        <w:t>3 despachos se encontraban a esa fecha finalizando la labor de actualización</w:t>
      </w:r>
      <w:r w:rsidR="00414CFF" w:rsidRPr="004E74A6">
        <w:rPr>
          <w:rFonts w:eastAsia="Calibri"/>
          <w:i/>
          <w:iCs/>
          <w:szCs w:val="24"/>
          <w:lang w:eastAsia="en-US"/>
        </w:rPr>
        <w:t>: el Juzgado Primero Civil de San José, el Juzgado Civil de Cartago y el Tribunal Segundo Colegiado de Primera Instancia Civil de San José.</w:t>
      </w:r>
    </w:p>
    <w:p w14:paraId="728990BE" w14:textId="77777777" w:rsidR="00805207" w:rsidRPr="004E74A6" w:rsidRDefault="00805207" w:rsidP="00CE62C1">
      <w:pPr>
        <w:spacing w:after="160" w:line="276" w:lineRule="auto"/>
        <w:contextualSpacing/>
        <w:rPr>
          <w:rFonts w:eastAsia="Calibri"/>
          <w:szCs w:val="24"/>
          <w:lang w:eastAsia="en-US"/>
        </w:rPr>
      </w:pPr>
    </w:p>
    <w:p w14:paraId="2282CB40" w14:textId="77777777" w:rsidR="00881A16" w:rsidRPr="00832773" w:rsidRDefault="00F74AF9" w:rsidP="00CE62C1">
      <w:pPr>
        <w:spacing w:line="276" w:lineRule="auto"/>
        <w:rPr>
          <w:rFonts w:eastAsia="Calibri"/>
          <w:lang w:eastAsia="en-US"/>
        </w:rPr>
      </w:pPr>
      <w:r w:rsidRPr="00832773">
        <w:rPr>
          <w:rFonts w:eastAsia="Calibri"/>
          <w:lang w:eastAsia="en-US"/>
        </w:rPr>
        <w:t xml:space="preserve">Actualmente, se cuenta con la información necesaria para fundamentar la actualización de los escenarios propuestos inicialmente y la inclusión del escenario adicional de la Sala Primera los cuales se incluyen en los siguientes apartados. </w:t>
      </w:r>
    </w:p>
    <w:p w14:paraId="0EBC2467" w14:textId="26936EA3" w:rsidR="00CB5EB6" w:rsidRPr="004E74A6" w:rsidRDefault="00F74AF9" w:rsidP="00CE62C1">
      <w:pPr>
        <w:keepNext/>
        <w:keepLines/>
        <w:numPr>
          <w:ilvl w:val="1"/>
          <w:numId w:val="2"/>
        </w:numPr>
        <w:shd w:val="clear" w:color="auto" w:fill="D9E2F3"/>
        <w:spacing w:before="240" w:after="240" w:line="276" w:lineRule="auto"/>
        <w:outlineLvl w:val="1"/>
        <w:rPr>
          <w:b/>
          <w:color w:val="1F3864"/>
          <w:szCs w:val="22"/>
          <w:lang w:eastAsia="en-US"/>
        </w:rPr>
      </w:pPr>
      <w:r w:rsidRPr="00832773">
        <w:rPr>
          <w:b/>
          <w:color w:val="1F3864"/>
          <w:szCs w:val="22"/>
          <w:lang w:eastAsia="en-US"/>
        </w:rPr>
        <w:t>Actualización de</w:t>
      </w:r>
      <w:r w:rsidR="00CB5EB6" w:rsidRPr="00832773">
        <w:rPr>
          <w:b/>
          <w:color w:val="1F3864"/>
          <w:szCs w:val="22"/>
          <w:lang w:eastAsia="en-US"/>
        </w:rPr>
        <w:t xml:space="preserve"> escenarios</w:t>
      </w:r>
    </w:p>
    <w:p w14:paraId="62CD4833" w14:textId="67B65401" w:rsidR="00EC1668" w:rsidRPr="00832773" w:rsidRDefault="008957FA" w:rsidP="00CE62C1">
      <w:pPr>
        <w:spacing w:line="276" w:lineRule="auto"/>
        <w:rPr>
          <w:rFonts w:eastAsia="Calibri"/>
          <w:lang w:eastAsia="en-US"/>
        </w:rPr>
      </w:pPr>
      <w:r w:rsidRPr="00832773">
        <w:rPr>
          <w:rFonts w:eastAsia="Calibri"/>
          <w:lang w:eastAsia="en-US"/>
        </w:rPr>
        <w:t xml:space="preserve">Una vez </w:t>
      </w:r>
      <w:r w:rsidR="00F74AF9" w:rsidRPr="00832773">
        <w:rPr>
          <w:rFonts w:eastAsia="Calibri"/>
          <w:lang w:eastAsia="en-US"/>
        </w:rPr>
        <w:t xml:space="preserve">citados </w:t>
      </w:r>
      <w:r w:rsidR="00EC1668" w:rsidRPr="00832773">
        <w:rPr>
          <w:rFonts w:eastAsia="Calibri"/>
          <w:lang w:eastAsia="en-US"/>
        </w:rPr>
        <w:t xml:space="preserve">los 5 escenarios </w:t>
      </w:r>
      <w:r w:rsidR="00F74AF9" w:rsidRPr="00832773">
        <w:rPr>
          <w:rFonts w:eastAsia="Calibri"/>
          <w:lang w:eastAsia="en-US"/>
        </w:rPr>
        <w:t xml:space="preserve">iniciales </w:t>
      </w:r>
      <w:r w:rsidR="00EC1668" w:rsidRPr="00832773">
        <w:rPr>
          <w:rFonts w:eastAsia="Calibri"/>
          <w:lang w:eastAsia="en-US"/>
        </w:rPr>
        <w:t xml:space="preserve">en el punto 2.1. del presente informe, se </w:t>
      </w:r>
      <w:r w:rsidR="00640788" w:rsidRPr="00832773">
        <w:rPr>
          <w:rFonts w:eastAsia="Calibri"/>
          <w:lang w:eastAsia="en-US"/>
        </w:rPr>
        <w:t>analizó</w:t>
      </w:r>
      <w:r w:rsidR="00EC1668" w:rsidRPr="00832773">
        <w:rPr>
          <w:rFonts w:eastAsia="Calibri"/>
          <w:lang w:eastAsia="en-US"/>
        </w:rPr>
        <w:t xml:space="preserve"> cada uno de ellos </w:t>
      </w:r>
      <w:r w:rsidR="00640788" w:rsidRPr="00832773">
        <w:rPr>
          <w:rFonts w:eastAsia="Calibri"/>
          <w:lang w:eastAsia="en-US"/>
        </w:rPr>
        <w:t>con</w:t>
      </w:r>
      <w:r w:rsidR="00EC1668" w:rsidRPr="00832773">
        <w:rPr>
          <w:rFonts w:eastAsia="Calibri"/>
          <w:lang w:eastAsia="en-US"/>
        </w:rPr>
        <w:t xml:space="preserve"> las actualizaciones requeridas</w:t>
      </w:r>
      <w:r w:rsidR="00FB7C7D">
        <w:rPr>
          <w:rFonts w:eastAsia="Calibri"/>
          <w:lang w:eastAsia="en-US"/>
        </w:rPr>
        <w:t>;</w:t>
      </w:r>
      <w:r w:rsidR="00EC1668" w:rsidRPr="00832773">
        <w:rPr>
          <w:rFonts w:eastAsia="Calibri"/>
          <w:lang w:eastAsia="en-US"/>
        </w:rPr>
        <w:t xml:space="preserve"> así como</w:t>
      </w:r>
      <w:r w:rsidR="00FB7C7D">
        <w:rPr>
          <w:rFonts w:eastAsia="Calibri"/>
          <w:lang w:eastAsia="en-US"/>
        </w:rPr>
        <w:t>,</w:t>
      </w:r>
      <w:r w:rsidR="00EC1668" w:rsidRPr="00832773">
        <w:rPr>
          <w:rFonts w:eastAsia="Calibri"/>
          <w:lang w:eastAsia="en-US"/>
        </w:rPr>
        <w:t xml:space="preserve"> la nueva información </w:t>
      </w:r>
      <w:r w:rsidRPr="00832773">
        <w:rPr>
          <w:rFonts w:eastAsia="Calibri"/>
          <w:lang w:eastAsia="en-US"/>
        </w:rPr>
        <w:t>que se encuentra disponible.</w:t>
      </w:r>
    </w:p>
    <w:p w14:paraId="7857C2FC" w14:textId="77777777" w:rsidR="00EC1668" w:rsidRPr="00832773" w:rsidRDefault="00EC1668" w:rsidP="00CE62C1">
      <w:pPr>
        <w:spacing w:line="276" w:lineRule="auto"/>
        <w:rPr>
          <w:rFonts w:eastAsia="Calibri"/>
          <w:lang w:eastAsia="en-US"/>
        </w:rPr>
      </w:pPr>
    </w:p>
    <w:p w14:paraId="59E0446B" w14:textId="77777777" w:rsidR="00811DD9" w:rsidRPr="00832773" w:rsidRDefault="00811DD9" w:rsidP="00CE62C1">
      <w:pPr>
        <w:spacing w:line="276" w:lineRule="auto"/>
        <w:rPr>
          <w:rFonts w:eastAsia="Calibri"/>
          <w:lang w:eastAsia="en-US"/>
        </w:rPr>
      </w:pPr>
    </w:p>
    <w:p w14:paraId="4A56E41C" w14:textId="21612015" w:rsidR="00141F4E" w:rsidRPr="00832773" w:rsidRDefault="00141F4E" w:rsidP="00F0204A">
      <w:pPr>
        <w:pStyle w:val="Descripcin"/>
        <w:keepNext/>
        <w:spacing w:line="276" w:lineRule="auto"/>
        <w:jc w:val="center"/>
        <w:rPr>
          <w:rFonts w:ascii="Book Antiqua" w:hAnsi="Book Antiqua"/>
          <w:i/>
          <w:iCs/>
          <w:sz w:val="22"/>
          <w:szCs w:val="22"/>
          <w:lang w:val="es-CR"/>
        </w:rPr>
      </w:pPr>
      <w:r w:rsidRPr="00832773">
        <w:rPr>
          <w:rFonts w:ascii="Book Antiqua" w:hAnsi="Book Antiqua"/>
          <w:i/>
          <w:iCs/>
          <w:sz w:val="22"/>
          <w:szCs w:val="22"/>
          <w:lang w:val="es-CR"/>
        </w:rPr>
        <w:lastRenderedPageBreak/>
        <w:t xml:space="preserve">Ilustración </w:t>
      </w:r>
      <w:r w:rsidRPr="00832773">
        <w:rPr>
          <w:rFonts w:ascii="Book Antiqua" w:hAnsi="Book Antiqua"/>
          <w:i/>
          <w:iCs/>
          <w:sz w:val="22"/>
          <w:szCs w:val="22"/>
          <w:lang w:val="es-CR"/>
        </w:rPr>
        <w:fldChar w:fldCharType="begin"/>
      </w:r>
      <w:r w:rsidRPr="00832773">
        <w:rPr>
          <w:rFonts w:ascii="Book Antiqua" w:hAnsi="Book Antiqua"/>
          <w:i/>
          <w:iCs/>
          <w:sz w:val="22"/>
          <w:szCs w:val="22"/>
          <w:lang w:val="es-CR"/>
        </w:rPr>
        <w:instrText xml:space="preserve"> SEQ Ilustración \* ARABIC </w:instrText>
      </w:r>
      <w:r w:rsidRPr="00832773">
        <w:rPr>
          <w:rFonts w:ascii="Book Antiqua" w:hAnsi="Book Antiqua"/>
          <w:i/>
          <w:iCs/>
          <w:sz w:val="22"/>
          <w:szCs w:val="22"/>
          <w:lang w:val="es-CR"/>
        </w:rPr>
        <w:fldChar w:fldCharType="separate"/>
      </w:r>
      <w:r w:rsidR="00755589" w:rsidRPr="00832773">
        <w:rPr>
          <w:rFonts w:ascii="Book Antiqua" w:hAnsi="Book Antiqua"/>
          <w:i/>
          <w:iCs/>
          <w:noProof/>
          <w:sz w:val="22"/>
          <w:szCs w:val="22"/>
          <w:lang w:val="es-CR"/>
        </w:rPr>
        <w:t>1</w:t>
      </w:r>
      <w:r w:rsidRPr="00832773">
        <w:rPr>
          <w:rFonts w:ascii="Book Antiqua" w:hAnsi="Book Antiqua"/>
          <w:i/>
          <w:iCs/>
          <w:sz w:val="22"/>
          <w:szCs w:val="22"/>
          <w:lang w:val="es-CR"/>
        </w:rPr>
        <w:fldChar w:fldCharType="end"/>
      </w:r>
    </w:p>
    <w:p w14:paraId="2E8873CF" w14:textId="542C80D2" w:rsidR="00141F4E" w:rsidRPr="00832773" w:rsidRDefault="00141F4E" w:rsidP="00832773">
      <w:pPr>
        <w:pStyle w:val="Descripcin"/>
        <w:keepNext/>
        <w:spacing w:line="276" w:lineRule="auto"/>
        <w:jc w:val="center"/>
        <w:rPr>
          <w:rFonts w:ascii="Book Antiqua" w:hAnsi="Book Antiqua"/>
          <w:i/>
          <w:iCs/>
          <w:sz w:val="22"/>
          <w:szCs w:val="22"/>
          <w:lang w:val="es-CR"/>
        </w:rPr>
      </w:pPr>
      <w:r w:rsidRPr="00832773">
        <w:rPr>
          <w:rFonts w:ascii="Book Antiqua" w:hAnsi="Book Antiqua"/>
          <w:i/>
          <w:iCs/>
          <w:sz w:val="22"/>
          <w:szCs w:val="22"/>
          <w:lang w:val="es-CR"/>
        </w:rPr>
        <w:t>Actualización de escenarios incluidos anteriormente en el informe 1913-PLA-EV-2020</w:t>
      </w:r>
    </w:p>
    <w:p w14:paraId="0BAD94EA" w14:textId="37247D73" w:rsidR="00640788" w:rsidRPr="00832773" w:rsidRDefault="00BD7F27" w:rsidP="00CE62C1">
      <w:pPr>
        <w:spacing w:line="276" w:lineRule="auto"/>
        <w:jc w:val="center"/>
        <w:rPr>
          <w:rFonts w:eastAsia="Calibri"/>
          <w:lang w:eastAsia="en-US"/>
        </w:rPr>
      </w:pPr>
      <w:r w:rsidRPr="004E74A6">
        <w:rPr>
          <w:noProof/>
        </w:rPr>
        <w:drawing>
          <wp:inline distT="0" distB="0" distL="0" distR="0" wp14:anchorId="5441B652" wp14:editId="006F56BC">
            <wp:extent cx="5613400" cy="3255645"/>
            <wp:effectExtent l="0" t="0" r="6350" b="1905"/>
            <wp:docPr id="24" name="Imagen 24" descr="Escala de tiem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descr="Escala de tiempo&#10;&#10;Descripción generada automáticamente"/>
                    <pic:cNvPicPr/>
                  </pic:nvPicPr>
                  <pic:blipFill>
                    <a:blip r:embed="rId21"/>
                    <a:stretch>
                      <a:fillRect/>
                    </a:stretch>
                  </pic:blipFill>
                  <pic:spPr>
                    <a:xfrm>
                      <a:off x="0" y="0"/>
                      <a:ext cx="5613400" cy="3255645"/>
                    </a:xfrm>
                    <a:prstGeom prst="rect">
                      <a:avLst/>
                    </a:prstGeom>
                  </pic:spPr>
                </pic:pic>
              </a:graphicData>
            </a:graphic>
          </wp:inline>
        </w:drawing>
      </w:r>
    </w:p>
    <w:p w14:paraId="1D3698E5" w14:textId="03ACD398" w:rsidR="00640788" w:rsidRPr="00832773" w:rsidRDefault="00141F4E" w:rsidP="00CE62C1">
      <w:pPr>
        <w:spacing w:line="276" w:lineRule="auto"/>
        <w:jc w:val="left"/>
        <w:rPr>
          <w:rFonts w:eastAsia="Calibri"/>
          <w:i/>
          <w:iCs/>
          <w:sz w:val="20"/>
          <w:szCs w:val="16"/>
          <w:lang w:eastAsia="en-US"/>
        </w:rPr>
      </w:pPr>
      <w:r w:rsidRPr="00832773">
        <w:rPr>
          <w:rFonts w:eastAsia="Calibri"/>
          <w:b/>
          <w:bCs/>
          <w:i/>
          <w:iCs/>
          <w:sz w:val="20"/>
          <w:szCs w:val="16"/>
          <w:lang w:eastAsia="en-US"/>
        </w:rPr>
        <w:t>Fuente</w:t>
      </w:r>
      <w:r w:rsidRPr="00832773">
        <w:rPr>
          <w:rFonts w:eastAsia="Calibri"/>
          <w:i/>
          <w:iCs/>
          <w:sz w:val="20"/>
          <w:szCs w:val="16"/>
          <w:lang w:eastAsia="en-US"/>
        </w:rPr>
        <w:t>: Subproceso de Modernización Institucional</w:t>
      </w:r>
    </w:p>
    <w:p w14:paraId="62E75863" w14:textId="77777777" w:rsidR="00F0204A" w:rsidRPr="00832773" w:rsidRDefault="00F0204A" w:rsidP="00F0204A">
      <w:pPr>
        <w:pStyle w:val="Textoindependiente"/>
        <w:widowControl w:val="0"/>
        <w:spacing w:line="276" w:lineRule="auto"/>
        <w:rPr>
          <w:rFonts w:eastAsia="Calibri"/>
          <w:i/>
          <w:iCs/>
          <w:sz w:val="20"/>
          <w:szCs w:val="16"/>
          <w:lang w:eastAsia="en-US"/>
        </w:rPr>
      </w:pPr>
      <w:r w:rsidRPr="00832773">
        <w:rPr>
          <w:rFonts w:eastAsia="Calibri"/>
          <w:b/>
          <w:bCs/>
          <w:i/>
          <w:iCs/>
          <w:sz w:val="20"/>
          <w:szCs w:val="16"/>
          <w:lang w:eastAsia="en-US"/>
        </w:rPr>
        <w:t>Nota respecto al escenario A:</w:t>
      </w:r>
      <w:r w:rsidRPr="00832773">
        <w:rPr>
          <w:rFonts w:eastAsia="Calibri"/>
          <w:i/>
          <w:iCs/>
          <w:sz w:val="20"/>
          <w:szCs w:val="16"/>
          <w:lang w:eastAsia="en-US"/>
        </w:rPr>
        <w:t xml:space="preserve"> Como parte de las observaciones recibidas por parte de la Sala Primera mediante oficio PS1-43-2022 (anexo 22), se recomendó a Corte Plena que el límite se establezca en 40 millones de colones y no 20 millones de colones como se había recomendado inicialmente para el escenario A. </w:t>
      </w:r>
    </w:p>
    <w:p w14:paraId="52945265" w14:textId="7AC7CDAB" w:rsidR="00640788" w:rsidRPr="00832773" w:rsidRDefault="00640788" w:rsidP="00CE62C1">
      <w:pPr>
        <w:spacing w:line="276" w:lineRule="auto"/>
        <w:rPr>
          <w:rFonts w:eastAsia="Calibri"/>
          <w:i/>
          <w:iCs/>
          <w:sz w:val="20"/>
          <w:szCs w:val="16"/>
          <w:lang w:eastAsia="en-US"/>
        </w:rPr>
      </w:pPr>
    </w:p>
    <w:p w14:paraId="0533A781" w14:textId="5D547990" w:rsidR="00F0204A" w:rsidRPr="00832773" w:rsidRDefault="00F0204A">
      <w:pPr>
        <w:spacing w:line="276" w:lineRule="auto"/>
        <w:rPr>
          <w:rFonts w:eastAsia="Calibri"/>
          <w:i/>
          <w:iCs/>
          <w:sz w:val="20"/>
          <w:szCs w:val="16"/>
          <w:lang w:eastAsia="en-US"/>
        </w:rPr>
      </w:pPr>
    </w:p>
    <w:p w14:paraId="25BDE237" w14:textId="5D8E7DAF" w:rsidR="00B32800" w:rsidRPr="00832773" w:rsidRDefault="002B782F" w:rsidP="00CE62C1">
      <w:pPr>
        <w:spacing w:line="276" w:lineRule="auto"/>
        <w:outlineLvl w:val="2"/>
        <w:rPr>
          <w:rFonts w:eastAsia="Calibri"/>
          <w:lang w:eastAsia="en-US"/>
        </w:rPr>
      </w:pPr>
      <w:r w:rsidRPr="004E74A6">
        <w:rPr>
          <w:rFonts w:eastAsia="Calibri"/>
          <w:b/>
          <w:bCs/>
          <w:color w:val="2F5496"/>
          <w:lang w:eastAsia="en-US"/>
        </w:rPr>
        <w:t xml:space="preserve">Escenario A. </w:t>
      </w:r>
      <w:r w:rsidRPr="004E74A6">
        <w:rPr>
          <w:rFonts w:eastAsia="Calibri"/>
          <w:b/>
          <w:bCs/>
          <w:i/>
          <w:iCs/>
          <w:color w:val="2F5496"/>
          <w:lang w:eastAsia="en-US"/>
        </w:rPr>
        <w:t>Criterio experto – ahora con cuantías diferenciadas</w:t>
      </w:r>
    </w:p>
    <w:p w14:paraId="3085F1F4" w14:textId="77777777" w:rsidR="002B782F" w:rsidRPr="004E74A6" w:rsidRDefault="002B782F" w:rsidP="00CE62C1">
      <w:pPr>
        <w:spacing w:line="276" w:lineRule="auto"/>
        <w:rPr>
          <w:rFonts w:eastAsia="Calibri"/>
          <w:lang w:eastAsia="en-US"/>
        </w:rPr>
      </w:pPr>
    </w:p>
    <w:p w14:paraId="235B626E" w14:textId="720FE073" w:rsidR="00640788" w:rsidRPr="00832773" w:rsidRDefault="00640788" w:rsidP="00CE62C1">
      <w:pPr>
        <w:spacing w:line="276" w:lineRule="auto"/>
        <w:rPr>
          <w:rFonts w:eastAsia="Calibri"/>
          <w:lang w:eastAsia="en-US"/>
        </w:rPr>
      </w:pPr>
      <w:r w:rsidRPr="004E74A6">
        <w:rPr>
          <w:rFonts w:eastAsia="Calibri"/>
          <w:lang w:eastAsia="en-US"/>
        </w:rPr>
        <w:t>Magistrados Rivas y Rojas</w:t>
      </w:r>
      <w:r w:rsidR="00312187" w:rsidRPr="004E74A6">
        <w:rPr>
          <w:rFonts w:eastAsia="Calibri"/>
          <w:lang w:eastAsia="en-US"/>
        </w:rPr>
        <w:t xml:space="preserve"> de la Sala Primera</w:t>
      </w:r>
      <w:r w:rsidR="002D0621">
        <w:rPr>
          <w:rFonts w:eastAsia="Calibri"/>
          <w:lang w:eastAsia="en-US"/>
        </w:rPr>
        <w:t>,</w:t>
      </w:r>
      <w:r w:rsidR="00312187" w:rsidRPr="004E74A6">
        <w:rPr>
          <w:rFonts w:eastAsia="Calibri"/>
          <w:lang w:eastAsia="en-US"/>
        </w:rPr>
        <w:t xml:space="preserve"> </w:t>
      </w:r>
      <w:r w:rsidR="00F0204A" w:rsidRPr="004E74A6">
        <w:rPr>
          <w:rFonts w:eastAsia="Calibri"/>
          <w:lang w:eastAsia="en-US"/>
        </w:rPr>
        <w:t xml:space="preserve">propusieron inicialmente </w:t>
      </w:r>
      <w:r w:rsidR="00312187" w:rsidRPr="004E74A6">
        <w:rPr>
          <w:rFonts w:eastAsia="Calibri"/>
          <w:lang w:eastAsia="en-US"/>
        </w:rPr>
        <w:t>elevar la cuantía a</w:t>
      </w:r>
      <w:r w:rsidR="00312187" w:rsidRPr="004E74A6">
        <w:rPr>
          <w:rFonts w:eastAsia="Calibri"/>
          <w:b/>
          <w:bCs/>
          <w:lang w:eastAsia="en-US"/>
        </w:rPr>
        <w:t xml:space="preserve"> </w:t>
      </w:r>
      <w:r w:rsidRPr="00832773">
        <w:rPr>
          <w:rFonts w:eastAsia="Calibri"/>
          <w:lang w:eastAsia="en-US"/>
        </w:rPr>
        <w:t>20 millones de colones, estrictamente para el recurso de Casación, en el entendido de que para los demás procedimientos se pued</w:t>
      </w:r>
      <w:r w:rsidR="00877F70" w:rsidRPr="00832773">
        <w:rPr>
          <w:rFonts w:eastAsia="Calibri"/>
          <w:lang w:eastAsia="en-US"/>
        </w:rPr>
        <w:t>a</w:t>
      </w:r>
      <w:r w:rsidRPr="00832773">
        <w:rPr>
          <w:rFonts w:eastAsia="Calibri"/>
          <w:lang w:eastAsia="en-US"/>
        </w:rPr>
        <w:t xml:space="preserve"> mantener en 3 millones de colones</w:t>
      </w:r>
      <w:r w:rsidR="00E831FD" w:rsidRPr="00832773">
        <w:rPr>
          <w:rFonts w:eastAsia="Calibri"/>
          <w:lang w:eastAsia="en-US"/>
        </w:rPr>
        <w:t>.</w:t>
      </w:r>
      <w:r w:rsidR="00F0204A" w:rsidRPr="00832773">
        <w:rPr>
          <w:rFonts w:eastAsia="Calibri"/>
          <w:lang w:eastAsia="en-US"/>
        </w:rPr>
        <w:t xml:space="preserve"> Por lo que este escenario realiza algunas proyecciones utilizando ese rango. </w:t>
      </w:r>
    </w:p>
    <w:p w14:paraId="1A80DFE3" w14:textId="65DCFAF8" w:rsidR="00F0204A" w:rsidRPr="00832773" w:rsidRDefault="00F0204A" w:rsidP="00CE62C1">
      <w:pPr>
        <w:spacing w:line="276" w:lineRule="auto"/>
        <w:rPr>
          <w:rFonts w:eastAsia="Calibri"/>
          <w:lang w:eastAsia="en-US"/>
        </w:rPr>
      </w:pPr>
    </w:p>
    <w:p w14:paraId="6994EE82" w14:textId="546C25E1" w:rsidR="00F0204A" w:rsidRPr="004E74A6" w:rsidRDefault="00F0204A" w:rsidP="00CE62C1">
      <w:pPr>
        <w:spacing w:line="276" w:lineRule="auto"/>
        <w:rPr>
          <w:rFonts w:eastAsia="Calibri"/>
          <w:b/>
          <w:bCs/>
          <w:lang w:eastAsia="en-US"/>
        </w:rPr>
      </w:pPr>
      <w:r w:rsidRPr="00832773">
        <w:rPr>
          <w:rFonts w:eastAsia="Calibri"/>
          <w:lang w:eastAsia="en-US"/>
        </w:rPr>
        <w:t>Posteriormente</w:t>
      </w:r>
      <w:r w:rsidR="00E23D96">
        <w:rPr>
          <w:rFonts w:eastAsia="Calibri"/>
          <w:lang w:eastAsia="en-US"/>
        </w:rPr>
        <w:t>,</w:t>
      </w:r>
      <w:r w:rsidRPr="00832773">
        <w:rPr>
          <w:rFonts w:eastAsia="Calibri"/>
          <w:lang w:eastAsia="en-US"/>
        </w:rPr>
        <w:t xml:space="preserve"> mediante oficio PS1-43-2022 (anexo 22), la Sala Primera recomendó a Corte Plena</w:t>
      </w:r>
      <w:r w:rsidR="00E23D96">
        <w:rPr>
          <w:rFonts w:eastAsia="Calibri"/>
          <w:lang w:eastAsia="en-US"/>
        </w:rPr>
        <w:t>,</w:t>
      </w:r>
      <w:r w:rsidRPr="00832773">
        <w:rPr>
          <w:rFonts w:eastAsia="Calibri"/>
          <w:lang w:eastAsia="en-US"/>
        </w:rPr>
        <w:t xml:space="preserve"> que el límite se establezca en 40 millones.</w:t>
      </w:r>
    </w:p>
    <w:p w14:paraId="24D69C50" w14:textId="2686D7BE" w:rsidR="00640788" w:rsidRPr="00832773" w:rsidRDefault="00640788" w:rsidP="00CE62C1">
      <w:pPr>
        <w:spacing w:line="276" w:lineRule="auto"/>
        <w:rPr>
          <w:rFonts w:eastAsia="Calibri"/>
          <w:lang w:eastAsia="en-US"/>
        </w:rPr>
      </w:pPr>
    </w:p>
    <w:p w14:paraId="10298ED3" w14:textId="2599B01B" w:rsidR="00140EE1" w:rsidRPr="004E74A6" w:rsidRDefault="00140EE1" w:rsidP="00CE62C1">
      <w:pPr>
        <w:spacing w:line="276" w:lineRule="auto"/>
        <w:rPr>
          <w:rFonts w:eastAsia="Calibri"/>
          <w:szCs w:val="24"/>
          <w:lang w:eastAsia="en-US"/>
        </w:rPr>
      </w:pPr>
      <w:r w:rsidRPr="00832773">
        <w:rPr>
          <w:rFonts w:eastAsia="Calibri"/>
          <w:lang w:eastAsia="en-US"/>
        </w:rPr>
        <w:lastRenderedPageBreak/>
        <w:t>El</w:t>
      </w:r>
      <w:r w:rsidRPr="004E74A6">
        <w:rPr>
          <w:rFonts w:eastAsia="Calibri"/>
          <w:szCs w:val="24"/>
          <w:lang w:eastAsia="en-US"/>
        </w:rPr>
        <w:t xml:space="preserve"> oficio DJ-C-111-2021, de la Dirección Jurídica se citan las únicas 2 posibilidades de Corte Plena</w:t>
      </w:r>
      <w:r w:rsidR="00E23D96">
        <w:rPr>
          <w:rFonts w:eastAsia="Calibri"/>
          <w:szCs w:val="24"/>
          <w:lang w:eastAsia="en-US"/>
        </w:rPr>
        <w:t>,</w:t>
      </w:r>
      <w:r w:rsidRPr="004E74A6">
        <w:rPr>
          <w:rFonts w:eastAsia="Calibri"/>
          <w:szCs w:val="24"/>
          <w:lang w:eastAsia="en-US"/>
        </w:rPr>
        <w:t xml:space="preserve"> para variar la cuantía de conformidad con la Ley Orgánica del Poder Judicial a saber:</w:t>
      </w:r>
    </w:p>
    <w:p w14:paraId="2558E548" w14:textId="77777777" w:rsidR="00140EE1" w:rsidRPr="004E74A6" w:rsidRDefault="00140EE1" w:rsidP="00CE62C1">
      <w:pPr>
        <w:spacing w:after="160" w:line="276" w:lineRule="auto"/>
        <w:contextualSpacing/>
        <w:rPr>
          <w:rFonts w:eastAsia="Calibri"/>
          <w:szCs w:val="24"/>
          <w:lang w:eastAsia="en-US"/>
        </w:rPr>
      </w:pPr>
    </w:p>
    <w:p w14:paraId="5E60D093" w14:textId="77777777" w:rsidR="00140EE1" w:rsidRPr="004E74A6" w:rsidRDefault="00140EE1" w:rsidP="00832773">
      <w:pPr>
        <w:spacing w:line="276" w:lineRule="auto"/>
        <w:ind w:left="567" w:right="476"/>
        <w:contextualSpacing/>
        <w:rPr>
          <w:rFonts w:eastAsia="Calibri"/>
          <w:i/>
          <w:iCs/>
          <w:sz w:val="22"/>
          <w:szCs w:val="22"/>
          <w:lang w:eastAsia="en-US"/>
        </w:rPr>
      </w:pPr>
      <w:r w:rsidRPr="004E74A6">
        <w:rPr>
          <w:rFonts w:eastAsia="Calibri"/>
          <w:i/>
          <w:iCs/>
          <w:sz w:val="22"/>
          <w:szCs w:val="22"/>
          <w:lang w:eastAsia="en-US"/>
        </w:rPr>
        <w:t>“Al respecto considera esta unidad asesora que lo planteado por la Dirección de Planificación se encuentra limitado conforme al análisis hecho, en la propia Ley Orgánica del Poder Judicial, toda vez que la misma permite únicamente que la Corte Suprema de Justicia pueda realizar una fijación de cuantía en los dos supuestos indicados, a saber:</w:t>
      </w:r>
    </w:p>
    <w:p w14:paraId="432E73F0" w14:textId="77777777" w:rsidR="00140EE1" w:rsidRPr="004E74A6" w:rsidRDefault="00140EE1" w:rsidP="00832773">
      <w:pPr>
        <w:spacing w:line="276" w:lineRule="auto"/>
        <w:ind w:left="567" w:right="476"/>
        <w:contextualSpacing/>
        <w:rPr>
          <w:rFonts w:eastAsia="Calibri"/>
          <w:i/>
          <w:iCs/>
          <w:sz w:val="22"/>
          <w:szCs w:val="22"/>
          <w:lang w:eastAsia="en-US"/>
        </w:rPr>
      </w:pPr>
    </w:p>
    <w:p w14:paraId="6822A48A" w14:textId="77777777" w:rsidR="00140EE1" w:rsidRPr="004E74A6" w:rsidRDefault="00140EE1" w:rsidP="00832773">
      <w:pPr>
        <w:numPr>
          <w:ilvl w:val="0"/>
          <w:numId w:val="4"/>
        </w:numPr>
        <w:spacing w:line="276" w:lineRule="auto"/>
        <w:ind w:left="567" w:right="476" w:firstLine="0"/>
        <w:contextualSpacing/>
        <w:rPr>
          <w:rFonts w:eastAsia="Calibri"/>
          <w:b/>
          <w:bCs/>
          <w:i/>
          <w:iCs/>
          <w:sz w:val="22"/>
          <w:szCs w:val="22"/>
          <w:lang w:eastAsia="en-US"/>
        </w:rPr>
      </w:pPr>
      <w:r w:rsidRPr="004E74A6">
        <w:rPr>
          <w:rFonts w:eastAsia="Calibri"/>
          <w:b/>
          <w:bCs/>
          <w:i/>
          <w:iCs/>
          <w:sz w:val="22"/>
          <w:szCs w:val="22"/>
          <w:lang w:eastAsia="en-US"/>
        </w:rPr>
        <w:t>La fijación de los topes de menor cuantía para diferenciarlo de la mayor cuantía en procesos ordinarios para efectos de determinación de la competencia de los respectivos órganos jurisdiccionales.</w:t>
      </w:r>
    </w:p>
    <w:p w14:paraId="140F209F" w14:textId="77777777" w:rsidR="00140EE1" w:rsidRPr="004E74A6" w:rsidRDefault="00140EE1" w:rsidP="00832773">
      <w:pPr>
        <w:numPr>
          <w:ilvl w:val="0"/>
          <w:numId w:val="4"/>
        </w:numPr>
        <w:spacing w:line="276" w:lineRule="auto"/>
        <w:ind w:left="567" w:right="476" w:firstLine="0"/>
        <w:contextualSpacing/>
        <w:rPr>
          <w:rFonts w:eastAsia="Calibri"/>
          <w:b/>
          <w:bCs/>
          <w:i/>
          <w:iCs/>
          <w:sz w:val="22"/>
          <w:szCs w:val="22"/>
          <w:lang w:eastAsia="en-US"/>
        </w:rPr>
      </w:pPr>
      <w:r w:rsidRPr="004E74A6">
        <w:rPr>
          <w:rFonts w:eastAsia="Calibri"/>
          <w:b/>
          <w:bCs/>
          <w:i/>
          <w:iCs/>
          <w:sz w:val="22"/>
          <w:szCs w:val="22"/>
          <w:lang w:eastAsia="en-US"/>
        </w:rPr>
        <w:t>La fijación del monto mínimo para que en un proceso ordinario se pueda interponer el recurso de casación ante Sala Primera.</w:t>
      </w:r>
    </w:p>
    <w:p w14:paraId="2363291D" w14:textId="77777777" w:rsidR="00140EE1" w:rsidRPr="004E74A6" w:rsidRDefault="00140EE1" w:rsidP="00832773">
      <w:pPr>
        <w:spacing w:line="276" w:lineRule="auto"/>
        <w:ind w:left="567" w:right="476"/>
        <w:contextualSpacing/>
        <w:rPr>
          <w:rFonts w:eastAsia="Calibri"/>
          <w:i/>
          <w:iCs/>
          <w:sz w:val="22"/>
          <w:szCs w:val="22"/>
          <w:lang w:eastAsia="en-US"/>
        </w:rPr>
      </w:pPr>
    </w:p>
    <w:p w14:paraId="2E2CFD9A" w14:textId="77777777" w:rsidR="00140EE1" w:rsidRPr="004E74A6" w:rsidRDefault="00140EE1" w:rsidP="00832773">
      <w:pPr>
        <w:spacing w:line="276" w:lineRule="auto"/>
        <w:ind w:left="567" w:right="476"/>
        <w:contextualSpacing/>
        <w:rPr>
          <w:rFonts w:eastAsia="Calibri"/>
          <w:i/>
          <w:iCs/>
          <w:sz w:val="22"/>
          <w:szCs w:val="22"/>
          <w:lang w:eastAsia="en-US"/>
        </w:rPr>
      </w:pPr>
      <w:r w:rsidRPr="004E74A6">
        <w:rPr>
          <w:rFonts w:eastAsia="Calibri"/>
          <w:i/>
          <w:iCs/>
          <w:sz w:val="22"/>
          <w:szCs w:val="22"/>
          <w:lang w:eastAsia="en-US"/>
        </w:rPr>
        <w:t>Cualquier otra posibilidad de fijar otros tipos de cuantía para otros fines, escapa lo que hasta el momento disponen las normas de cita y consecuentemente resultan jurídicamente improcedentes de no operar un cambio normativo en tal sentido.</w:t>
      </w:r>
    </w:p>
    <w:p w14:paraId="0F09BC0A" w14:textId="77777777" w:rsidR="00140EE1" w:rsidRPr="004E74A6" w:rsidRDefault="00140EE1" w:rsidP="00832773">
      <w:pPr>
        <w:spacing w:line="276" w:lineRule="auto"/>
        <w:ind w:left="567" w:right="476"/>
        <w:contextualSpacing/>
        <w:rPr>
          <w:rFonts w:eastAsia="Calibri"/>
          <w:i/>
          <w:iCs/>
          <w:sz w:val="22"/>
          <w:szCs w:val="22"/>
          <w:lang w:eastAsia="en-US"/>
        </w:rPr>
      </w:pPr>
    </w:p>
    <w:p w14:paraId="037F7CDD" w14:textId="77777777" w:rsidR="00140EE1" w:rsidRPr="004E74A6" w:rsidRDefault="00140EE1" w:rsidP="00832773">
      <w:pPr>
        <w:spacing w:line="276" w:lineRule="auto"/>
        <w:ind w:left="567" w:right="476"/>
        <w:contextualSpacing/>
        <w:rPr>
          <w:rFonts w:eastAsia="Calibri"/>
          <w:i/>
          <w:iCs/>
          <w:sz w:val="22"/>
          <w:szCs w:val="22"/>
          <w:lang w:eastAsia="en-US"/>
        </w:rPr>
      </w:pPr>
      <w:r w:rsidRPr="004E74A6">
        <w:rPr>
          <w:rFonts w:eastAsia="Calibri"/>
          <w:i/>
          <w:iCs/>
          <w:sz w:val="22"/>
          <w:szCs w:val="22"/>
          <w:lang w:eastAsia="en-US"/>
        </w:rPr>
        <w:t xml:space="preserve">(…) Con base en todo lo expuesto, se puede concluir que: </w:t>
      </w:r>
    </w:p>
    <w:p w14:paraId="4CE5EAB9" w14:textId="77777777" w:rsidR="00140EE1" w:rsidRPr="004E74A6" w:rsidRDefault="00140EE1" w:rsidP="00832773">
      <w:pPr>
        <w:spacing w:line="276" w:lineRule="auto"/>
        <w:ind w:left="567" w:right="476"/>
        <w:contextualSpacing/>
        <w:rPr>
          <w:rFonts w:eastAsia="Calibri"/>
          <w:i/>
          <w:iCs/>
          <w:sz w:val="22"/>
          <w:szCs w:val="22"/>
          <w:lang w:eastAsia="en-US"/>
        </w:rPr>
      </w:pPr>
    </w:p>
    <w:p w14:paraId="2B6A9D24" w14:textId="77777777" w:rsidR="00140EE1" w:rsidRPr="004E74A6" w:rsidRDefault="00140EE1" w:rsidP="00832773">
      <w:pPr>
        <w:spacing w:line="276" w:lineRule="auto"/>
        <w:ind w:left="567" w:right="476"/>
        <w:contextualSpacing/>
        <w:rPr>
          <w:rFonts w:eastAsia="Calibri"/>
          <w:i/>
          <w:iCs/>
          <w:sz w:val="22"/>
          <w:szCs w:val="22"/>
          <w:lang w:eastAsia="en-US"/>
        </w:rPr>
      </w:pPr>
      <w:r w:rsidRPr="004E74A6">
        <w:rPr>
          <w:rFonts w:eastAsia="Calibri"/>
          <w:i/>
          <w:iCs/>
          <w:sz w:val="22"/>
          <w:szCs w:val="22"/>
          <w:lang w:eastAsia="en-US"/>
        </w:rPr>
        <w:t>1.</w:t>
      </w:r>
      <w:r w:rsidRPr="004E74A6">
        <w:rPr>
          <w:rFonts w:eastAsia="Calibri"/>
          <w:i/>
          <w:iCs/>
          <w:sz w:val="22"/>
          <w:szCs w:val="22"/>
          <w:lang w:eastAsia="en-US"/>
        </w:rPr>
        <w:tab/>
        <w:t>La determinación de límites económicos como cuantía de los procesos judiciales en materia civil, constituye una potestad concedida por ley a la Corte Suprema de Justicia, como parte del ejercicio de gobierno administrativo del Poder Judicial (artículos 46, 59 y 114 de la Ley Orgánica del Poder Judicial; 16 y 158.4 de la Ley General de la Administración Pública).</w:t>
      </w:r>
    </w:p>
    <w:p w14:paraId="341B3111" w14:textId="77777777" w:rsidR="00140EE1" w:rsidRPr="004E74A6" w:rsidRDefault="00140EE1" w:rsidP="00832773">
      <w:pPr>
        <w:spacing w:line="276" w:lineRule="auto"/>
        <w:ind w:left="567" w:right="476"/>
        <w:contextualSpacing/>
        <w:rPr>
          <w:rFonts w:eastAsia="Calibri"/>
          <w:i/>
          <w:iCs/>
          <w:sz w:val="22"/>
          <w:szCs w:val="22"/>
          <w:lang w:eastAsia="en-US"/>
        </w:rPr>
      </w:pPr>
    </w:p>
    <w:p w14:paraId="12361B7E" w14:textId="77777777" w:rsidR="00140EE1" w:rsidRPr="004E74A6" w:rsidRDefault="00140EE1" w:rsidP="00832773">
      <w:pPr>
        <w:spacing w:line="276" w:lineRule="auto"/>
        <w:ind w:left="567" w:right="476"/>
        <w:contextualSpacing/>
        <w:rPr>
          <w:rFonts w:eastAsia="Calibri"/>
          <w:i/>
          <w:iCs/>
          <w:sz w:val="22"/>
          <w:szCs w:val="22"/>
          <w:lang w:eastAsia="en-US"/>
        </w:rPr>
      </w:pPr>
      <w:r w:rsidRPr="004E74A6">
        <w:rPr>
          <w:rFonts w:eastAsia="Calibri"/>
          <w:i/>
          <w:iCs/>
          <w:sz w:val="22"/>
          <w:szCs w:val="22"/>
          <w:lang w:eastAsia="en-US"/>
        </w:rPr>
        <w:t>2.</w:t>
      </w:r>
      <w:r w:rsidRPr="004E74A6">
        <w:rPr>
          <w:rFonts w:eastAsia="Calibri"/>
          <w:i/>
          <w:iCs/>
          <w:sz w:val="22"/>
          <w:szCs w:val="22"/>
          <w:lang w:eastAsia="en-US"/>
        </w:rPr>
        <w:tab/>
        <w:t>La existencia de la potestad de fijación de cuantía como de reserva de ley, se establece en la Ley Orgánica del Poder Judicial y el Código Procesal Civil para la delimitación de la competencia objetiva en los procesos ordinarios exclusivamente y a efecto de deslindar las competencias de los tribunales y juzgados en materia civil, en mayor o menor cuantía; así como el acceso al recurso de casación.</w:t>
      </w:r>
    </w:p>
    <w:p w14:paraId="40C95ABC" w14:textId="77777777" w:rsidR="00140EE1" w:rsidRPr="004E74A6" w:rsidRDefault="00140EE1" w:rsidP="00832773">
      <w:pPr>
        <w:spacing w:line="276" w:lineRule="auto"/>
        <w:ind w:left="567" w:right="476"/>
        <w:contextualSpacing/>
        <w:rPr>
          <w:rFonts w:eastAsia="Calibri"/>
          <w:i/>
          <w:iCs/>
          <w:sz w:val="22"/>
          <w:szCs w:val="22"/>
          <w:lang w:eastAsia="en-US"/>
        </w:rPr>
      </w:pPr>
    </w:p>
    <w:p w14:paraId="07AAAD5A" w14:textId="662291CA" w:rsidR="00140EE1" w:rsidRPr="004E74A6" w:rsidRDefault="00140EE1" w:rsidP="00832773">
      <w:pPr>
        <w:spacing w:line="276" w:lineRule="auto"/>
        <w:ind w:left="567" w:right="476"/>
        <w:contextualSpacing/>
        <w:rPr>
          <w:rFonts w:eastAsia="Calibri"/>
          <w:i/>
          <w:iCs/>
          <w:szCs w:val="24"/>
          <w:lang w:eastAsia="en-US"/>
        </w:rPr>
      </w:pPr>
      <w:r w:rsidRPr="004E74A6">
        <w:rPr>
          <w:rFonts w:eastAsia="Calibri"/>
          <w:i/>
          <w:iCs/>
          <w:sz w:val="22"/>
          <w:szCs w:val="22"/>
          <w:lang w:eastAsia="en-US"/>
        </w:rPr>
        <w:t>3.</w:t>
      </w:r>
      <w:r w:rsidRPr="004E74A6">
        <w:rPr>
          <w:rFonts w:eastAsia="Calibri"/>
          <w:i/>
          <w:iCs/>
          <w:sz w:val="22"/>
          <w:szCs w:val="22"/>
          <w:lang w:eastAsia="en-US"/>
        </w:rPr>
        <w:tab/>
      </w:r>
      <w:r w:rsidRPr="004E74A6">
        <w:rPr>
          <w:rFonts w:eastAsia="Calibri"/>
          <w:i/>
          <w:iCs/>
          <w:sz w:val="22"/>
          <w:szCs w:val="22"/>
          <w:shd w:val="clear" w:color="auto" w:fill="E2EFD9"/>
          <w:lang w:eastAsia="en-US"/>
        </w:rPr>
        <w:t xml:space="preserve">No se advierte la existencia de norma que habilite a la Corte Suprema de Justicia a realizar otro tipo de fijación de competencias en materia civil, ni a establecer cuantías diferenciadas según lo planteado por la Dirección de Planificación. En este sentido se requeriría una reforma legal que así lo permita”. </w:t>
      </w:r>
      <w:r w:rsidRPr="004E74A6">
        <w:rPr>
          <w:rFonts w:eastAsia="Calibri"/>
          <w:lang w:eastAsia="en-US"/>
        </w:rPr>
        <w:t>(Lo resaltado no es del original).</w:t>
      </w:r>
    </w:p>
    <w:p w14:paraId="39C8FB03" w14:textId="77777777" w:rsidR="00140EE1" w:rsidRPr="00832773" w:rsidRDefault="00140EE1" w:rsidP="00CE62C1">
      <w:pPr>
        <w:spacing w:line="276" w:lineRule="auto"/>
        <w:rPr>
          <w:rFonts w:eastAsia="Calibri"/>
          <w:lang w:eastAsia="en-US"/>
        </w:rPr>
      </w:pPr>
    </w:p>
    <w:p w14:paraId="6E526719" w14:textId="77777777" w:rsidR="00140EE1" w:rsidRPr="00832773" w:rsidRDefault="00140EE1" w:rsidP="00CE62C1">
      <w:pPr>
        <w:spacing w:line="276" w:lineRule="auto"/>
        <w:rPr>
          <w:rFonts w:eastAsia="Calibri"/>
          <w:lang w:eastAsia="en-US"/>
        </w:rPr>
      </w:pPr>
    </w:p>
    <w:p w14:paraId="6A4A0F15" w14:textId="387ADF2D" w:rsidR="00140EE1" w:rsidRPr="004E74A6" w:rsidRDefault="00140EE1" w:rsidP="00CE62C1">
      <w:pPr>
        <w:spacing w:line="276" w:lineRule="auto"/>
        <w:rPr>
          <w:rFonts w:eastAsia="Calibri"/>
          <w:lang w:eastAsia="en-US"/>
        </w:rPr>
      </w:pPr>
      <w:r w:rsidRPr="004E74A6">
        <w:rPr>
          <w:rFonts w:eastAsia="Calibri"/>
          <w:lang w:eastAsia="en-US"/>
        </w:rPr>
        <w:lastRenderedPageBreak/>
        <w:t xml:space="preserve">Por su parte en el criterio </w:t>
      </w:r>
      <w:r w:rsidRPr="004E74A6">
        <w:rPr>
          <w:rFonts w:eastAsia="Calibri"/>
          <w:b/>
          <w:bCs/>
          <w:lang w:eastAsia="en-US"/>
        </w:rPr>
        <w:t>DJ-C-376-2021</w:t>
      </w:r>
      <w:r w:rsidR="00E23D96">
        <w:rPr>
          <w:rFonts w:eastAsia="Calibri"/>
          <w:b/>
          <w:bCs/>
          <w:lang w:eastAsia="en-US"/>
        </w:rPr>
        <w:t>,</w:t>
      </w:r>
      <w:r w:rsidRPr="004E74A6">
        <w:rPr>
          <w:rFonts w:eastAsia="Calibri"/>
          <w:lang w:eastAsia="en-US"/>
        </w:rPr>
        <w:t xml:space="preserve"> del 6 de julio 2021, la Dirección Jurídica amplió el criterio e indicó:</w:t>
      </w:r>
    </w:p>
    <w:p w14:paraId="36319323" w14:textId="77777777" w:rsidR="00140EE1" w:rsidRPr="00832773" w:rsidRDefault="00140EE1" w:rsidP="00CE62C1">
      <w:pPr>
        <w:spacing w:line="276" w:lineRule="auto"/>
        <w:rPr>
          <w:rFonts w:eastAsia="Calibri"/>
          <w:lang w:eastAsia="en-US"/>
        </w:rPr>
      </w:pPr>
    </w:p>
    <w:p w14:paraId="26E67EE2" w14:textId="77777777" w:rsidR="00140EE1" w:rsidRPr="004E74A6" w:rsidRDefault="00140EE1" w:rsidP="00832773">
      <w:pPr>
        <w:spacing w:line="276" w:lineRule="auto"/>
        <w:ind w:left="567" w:right="618"/>
        <w:rPr>
          <w:rFonts w:eastAsia="Calibri"/>
          <w:sz w:val="22"/>
          <w:szCs w:val="18"/>
          <w:lang w:eastAsia="en-US"/>
        </w:rPr>
      </w:pPr>
      <w:r w:rsidRPr="004E74A6">
        <w:rPr>
          <w:rFonts w:eastAsia="Calibri"/>
          <w:i/>
          <w:iCs/>
          <w:sz w:val="22"/>
          <w:szCs w:val="18"/>
          <w:lang w:eastAsia="en-US"/>
        </w:rPr>
        <w:t>“Siendo de trascendente importancia que dicho numeral 69 en su inciso 1 estipula claramente lo siguiente:</w:t>
      </w:r>
    </w:p>
    <w:p w14:paraId="739E5D6B" w14:textId="77777777" w:rsidR="00140EE1" w:rsidRPr="004E74A6" w:rsidRDefault="00140EE1" w:rsidP="00832773">
      <w:pPr>
        <w:spacing w:line="276" w:lineRule="auto"/>
        <w:ind w:left="567" w:right="618"/>
        <w:rPr>
          <w:rFonts w:eastAsia="Calibri"/>
          <w:sz w:val="22"/>
          <w:szCs w:val="18"/>
          <w:lang w:eastAsia="en-US"/>
        </w:rPr>
      </w:pPr>
      <w:r w:rsidRPr="004E74A6">
        <w:rPr>
          <w:rFonts w:eastAsia="Calibri"/>
          <w:b/>
          <w:bCs/>
          <w:i/>
          <w:iCs/>
          <w:sz w:val="22"/>
          <w:szCs w:val="18"/>
          <w:lang w:eastAsia="en-US"/>
        </w:rPr>
        <w:t> </w:t>
      </w:r>
    </w:p>
    <w:p w14:paraId="1D72D05A" w14:textId="77777777" w:rsidR="00140EE1" w:rsidRPr="004E74A6" w:rsidRDefault="00140EE1" w:rsidP="00832773">
      <w:pPr>
        <w:spacing w:line="276" w:lineRule="auto"/>
        <w:ind w:left="567" w:right="618"/>
        <w:rPr>
          <w:rFonts w:eastAsia="Calibri"/>
          <w:sz w:val="22"/>
          <w:szCs w:val="18"/>
          <w:lang w:eastAsia="en-US"/>
        </w:rPr>
      </w:pPr>
      <w:r w:rsidRPr="004E74A6">
        <w:rPr>
          <w:rFonts w:eastAsia="Calibri"/>
          <w:b/>
          <w:bCs/>
          <w:i/>
          <w:iCs/>
          <w:sz w:val="22"/>
          <w:szCs w:val="18"/>
          <w:lang w:eastAsia="en-US"/>
        </w:rPr>
        <w:t>“69.1 Resoluciones contra las que procede. </w:t>
      </w:r>
      <w:r w:rsidRPr="004E74A6">
        <w:rPr>
          <w:rFonts w:eastAsia="Calibri"/>
          <w:i/>
          <w:iCs/>
          <w:sz w:val="22"/>
          <w:szCs w:val="18"/>
          <w:lang w:eastAsia="en-US"/>
        </w:rPr>
        <w:t xml:space="preserve">El recurso de casación podrá interponerse contra sentencias dictadas </w:t>
      </w:r>
      <w:r w:rsidRPr="004E74A6">
        <w:rPr>
          <w:rFonts w:eastAsia="Calibri"/>
          <w:b/>
          <w:bCs/>
          <w:i/>
          <w:iCs/>
          <w:sz w:val="22"/>
          <w:szCs w:val="18"/>
          <w:lang w:eastAsia="en-US"/>
        </w:rPr>
        <w:t>en procesos ordinarios de mayor cuantía</w:t>
      </w:r>
      <w:r w:rsidRPr="004E74A6">
        <w:rPr>
          <w:rFonts w:eastAsia="Calibri"/>
          <w:i/>
          <w:iCs/>
          <w:sz w:val="22"/>
          <w:szCs w:val="18"/>
          <w:lang w:eastAsia="en-US"/>
        </w:rPr>
        <w:t xml:space="preserve"> o inestimables y en los supuestos que la ley señale expresamente. La modificación del monto fijado para establecer la mayor cuantía, luego de iniciado un proceso, no impedirá el acceso al recurso” (las negrillas no son del original).</w:t>
      </w:r>
    </w:p>
    <w:p w14:paraId="58AFD78C" w14:textId="77777777" w:rsidR="00140EE1" w:rsidRPr="004E74A6" w:rsidRDefault="00140EE1" w:rsidP="00832773">
      <w:pPr>
        <w:spacing w:line="276" w:lineRule="auto"/>
        <w:ind w:left="567" w:right="618"/>
        <w:rPr>
          <w:rFonts w:eastAsia="Calibri"/>
          <w:sz w:val="22"/>
          <w:szCs w:val="18"/>
          <w:lang w:eastAsia="en-US"/>
        </w:rPr>
      </w:pPr>
      <w:r w:rsidRPr="004E74A6">
        <w:rPr>
          <w:rFonts w:eastAsia="Calibri"/>
          <w:i/>
          <w:iCs/>
          <w:sz w:val="22"/>
          <w:szCs w:val="18"/>
          <w:lang w:eastAsia="en-US"/>
        </w:rPr>
        <w:t> </w:t>
      </w:r>
    </w:p>
    <w:p w14:paraId="6CED014E" w14:textId="77777777" w:rsidR="00140EE1" w:rsidRPr="004E74A6" w:rsidRDefault="00140EE1" w:rsidP="00832773">
      <w:pPr>
        <w:spacing w:line="276" w:lineRule="auto"/>
        <w:ind w:left="567" w:right="618"/>
        <w:rPr>
          <w:rFonts w:eastAsia="Calibri"/>
          <w:sz w:val="22"/>
          <w:szCs w:val="18"/>
          <w:lang w:eastAsia="en-US"/>
        </w:rPr>
      </w:pPr>
      <w:r w:rsidRPr="004E74A6">
        <w:rPr>
          <w:rFonts w:eastAsia="Calibri"/>
          <w:i/>
          <w:iCs/>
          <w:sz w:val="22"/>
          <w:szCs w:val="18"/>
          <w:lang w:eastAsia="en-US"/>
        </w:rPr>
        <w:t xml:space="preserve">En otros términos, es requisito indispensable para que una sentencia pueda ser objeto del recurso de casación, que pertenezca a un </w:t>
      </w:r>
      <w:r w:rsidRPr="004E74A6">
        <w:rPr>
          <w:rFonts w:eastAsia="Calibri"/>
          <w:b/>
          <w:bCs/>
          <w:i/>
          <w:iCs/>
          <w:sz w:val="22"/>
          <w:szCs w:val="18"/>
          <w:u w:val="single"/>
          <w:lang w:eastAsia="en-US"/>
        </w:rPr>
        <w:t>proceso ordinario de mayor cuantía</w:t>
      </w:r>
      <w:r w:rsidRPr="004E74A6">
        <w:rPr>
          <w:rFonts w:eastAsia="Calibri"/>
          <w:i/>
          <w:iCs/>
          <w:sz w:val="22"/>
          <w:szCs w:val="18"/>
          <w:lang w:eastAsia="en-US"/>
        </w:rPr>
        <w:t>.</w:t>
      </w:r>
    </w:p>
    <w:p w14:paraId="5B57F94E" w14:textId="77777777" w:rsidR="00140EE1" w:rsidRPr="004E74A6" w:rsidRDefault="00140EE1" w:rsidP="00832773">
      <w:pPr>
        <w:spacing w:line="276" w:lineRule="auto"/>
        <w:ind w:left="567" w:right="618"/>
        <w:rPr>
          <w:rFonts w:eastAsia="Calibri"/>
          <w:sz w:val="22"/>
          <w:szCs w:val="18"/>
          <w:lang w:eastAsia="en-US"/>
        </w:rPr>
      </w:pPr>
      <w:r w:rsidRPr="004E74A6">
        <w:rPr>
          <w:rFonts w:eastAsia="Calibri"/>
          <w:i/>
          <w:iCs/>
          <w:sz w:val="22"/>
          <w:szCs w:val="18"/>
          <w:lang w:eastAsia="en-US"/>
        </w:rPr>
        <w:t xml:space="preserve">Se debe tener presente que, con la reciente </w:t>
      </w:r>
      <w:r w:rsidRPr="004E74A6">
        <w:rPr>
          <w:rFonts w:eastAsia="Calibri"/>
          <w:b/>
          <w:bCs/>
          <w:i/>
          <w:iCs/>
          <w:sz w:val="22"/>
          <w:szCs w:val="18"/>
          <w:lang w:eastAsia="en-US"/>
        </w:rPr>
        <w:t xml:space="preserve">reforma al Código Procesal Civil, </w:t>
      </w:r>
      <w:r w:rsidRPr="004E74A6">
        <w:rPr>
          <w:rFonts w:eastAsia="Calibri"/>
          <w:i/>
          <w:iCs/>
          <w:sz w:val="22"/>
          <w:szCs w:val="18"/>
          <w:lang w:eastAsia="en-US"/>
        </w:rPr>
        <w:t xml:space="preserve">ahora se debe observar </w:t>
      </w:r>
      <w:r w:rsidRPr="004E74A6">
        <w:rPr>
          <w:rFonts w:eastAsia="Calibri"/>
          <w:b/>
          <w:bCs/>
          <w:i/>
          <w:iCs/>
          <w:sz w:val="22"/>
          <w:szCs w:val="18"/>
          <w:lang w:eastAsia="en-US"/>
        </w:rPr>
        <w:t xml:space="preserve">el requisito contemplado en el artículo 69.1 </w:t>
      </w:r>
      <w:r w:rsidRPr="004E74A6">
        <w:rPr>
          <w:rFonts w:eastAsia="Calibri"/>
          <w:i/>
          <w:iCs/>
          <w:sz w:val="22"/>
          <w:szCs w:val="18"/>
          <w:lang w:eastAsia="en-US"/>
        </w:rPr>
        <w:t xml:space="preserve">de esta nueva normativa, en cuanto a que </w:t>
      </w:r>
      <w:r w:rsidRPr="004E74A6">
        <w:rPr>
          <w:rFonts w:eastAsia="Calibri"/>
          <w:b/>
          <w:bCs/>
          <w:i/>
          <w:iCs/>
          <w:sz w:val="22"/>
          <w:szCs w:val="18"/>
          <w:lang w:eastAsia="en-US"/>
        </w:rPr>
        <w:t>el recurso de casación en materia civil</w:t>
      </w:r>
      <w:r w:rsidRPr="004E74A6">
        <w:rPr>
          <w:rFonts w:eastAsia="Calibri"/>
          <w:i/>
          <w:iCs/>
          <w:sz w:val="22"/>
          <w:szCs w:val="18"/>
          <w:lang w:eastAsia="en-US"/>
        </w:rPr>
        <w:t xml:space="preserve"> es posible cuando se trate de un </w:t>
      </w:r>
      <w:r w:rsidRPr="004E74A6">
        <w:rPr>
          <w:rFonts w:eastAsia="Calibri"/>
          <w:b/>
          <w:bCs/>
          <w:i/>
          <w:iCs/>
          <w:sz w:val="22"/>
          <w:szCs w:val="18"/>
          <w:lang w:eastAsia="en-US"/>
        </w:rPr>
        <w:t xml:space="preserve">proceso ordinario de mayor cuantía o inestimables; </w:t>
      </w:r>
      <w:r w:rsidRPr="00832773">
        <w:rPr>
          <w:rFonts w:eastAsia="Calibri"/>
          <w:i/>
          <w:iCs/>
          <w:sz w:val="22"/>
          <w:szCs w:val="18"/>
          <w:lang w:eastAsia="en-US"/>
        </w:rPr>
        <w:t>esto por cuanto, no puede obviarse, que el Código Procesal Civil es de creación y vigencia posterior a la Ley Orgánica del Poder Judicial.</w:t>
      </w:r>
    </w:p>
    <w:p w14:paraId="59041BCC" w14:textId="77777777" w:rsidR="00140EE1" w:rsidRPr="00832773" w:rsidRDefault="00140EE1" w:rsidP="00832773">
      <w:pPr>
        <w:spacing w:line="276" w:lineRule="auto"/>
        <w:ind w:left="567" w:right="618"/>
        <w:rPr>
          <w:rFonts w:eastAsia="Calibri"/>
          <w:sz w:val="22"/>
          <w:szCs w:val="18"/>
          <w:lang w:eastAsia="en-US"/>
        </w:rPr>
      </w:pPr>
    </w:p>
    <w:p w14:paraId="0DAB419F" w14:textId="77777777" w:rsidR="00140EE1" w:rsidRPr="004E74A6" w:rsidRDefault="00140EE1" w:rsidP="00832773">
      <w:pPr>
        <w:shd w:val="clear" w:color="auto" w:fill="E2EFD9"/>
        <w:spacing w:line="276" w:lineRule="auto"/>
        <w:ind w:left="567" w:right="618"/>
        <w:rPr>
          <w:rFonts w:eastAsia="Calibri"/>
          <w:sz w:val="22"/>
          <w:szCs w:val="18"/>
          <w:lang w:eastAsia="en-US"/>
        </w:rPr>
      </w:pPr>
      <w:r w:rsidRPr="00832773">
        <w:rPr>
          <w:rFonts w:eastAsia="Calibri"/>
          <w:i/>
          <w:iCs/>
          <w:sz w:val="22"/>
          <w:szCs w:val="18"/>
          <w:lang w:eastAsia="en-US"/>
        </w:rPr>
        <w:t>De manera que, con esta nueva normativa el legislador limitó la competencia de la Corte Suprema de Justicia en cuanto a la determinación de la procedencia del recurso de casación, al establecer como requisito indispensable para que una sentencia pueda ser objeto de dicho recurso en materia civil, que pertenezca a un proceso ordinario de mayor cuantía o de cuantía inestimable.</w:t>
      </w:r>
    </w:p>
    <w:p w14:paraId="7E012270" w14:textId="77777777" w:rsidR="00140EE1" w:rsidRPr="004E74A6" w:rsidRDefault="00140EE1" w:rsidP="00832773">
      <w:pPr>
        <w:spacing w:line="276" w:lineRule="auto"/>
        <w:ind w:left="567" w:right="618"/>
        <w:rPr>
          <w:rFonts w:eastAsia="Calibri"/>
          <w:sz w:val="22"/>
          <w:szCs w:val="18"/>
          <w:lang w:eastAsia="en-US"/>
        </w:rPr>
      </w:pPr>
      <w:r w:rsidRPr="004E74A6">
        <w:rPr>
          <w:rFonts w:eastAsia="Calibri"/>
          <w:i/>
          <w:iCs/>
          <w:sz w:val="22"/>
          <w:szCs w:val="18"/>
          <w:lang w:eastAsia="en-US"/>
        </w:rPr>
        <w:t> </w:t>
      </w:r>
    </w:p>
    <w:p w14:paraId="0C930CF0" w14:textId="77777777" w:rsidR="00140EE1" w:rsidRPr="004E74A6" w:rsidRDefault="00140EE1" w:rsidP="00832773">
      <w:pPr>
        <w:spacing w:line="276" w:lineRule="auto"/>
        <w:ind w:left="567" w:right="618"/>
        <w:rPr>
          <w:rFonts w:eastAsia="Calibri"/>
          <w:sz w:val="22"/>
          <w:szCs w:val="18"/>
          <w:lang w:eastAsia="en-US"/>
        </w:rPr>
      </w:pPr>
      <w:r w:rsidRPr="00832773">
        <w:rPr>
          <w:rFonts w:eastAsia="Calibri"/>
          <w:i/>
          <w:iCs/>
          <w:sz w:val="22"/>
          <w:szCs w:val="18"/>
          <w:lang w:eastAsia="en-US"/>
        </w:rPr>
        <w:t xml:space="preserve">No obstante lo anterior, se debe tener presente lo externado en el criterio DJ-C-111-2021, en el sentido de que </w:t>
      </w:r>
      <w:r w:rsidRPr="00832773">
        <w:rPr>
          <w:rFonts w:eastAsia="Calibri"/>
          <w:b/>
          <w:bCs/>
          <w:i/>
          <w:iCs/>
          <w:sz w:val="22"/>
          <w:szCs w:val="18"/>
          <w:lang w:eastAsia="en-US"/>
        </w:rPr>
        <w:t>la fijación de los límites económicos como cuantía de los procesos judiciales en materia civil, constituye una potestad concedida por ley a la Corte Suprema de Justicia</w:t>
      </w:r>
      <w:r w:rsidRPr="00832773">
        <w:rPr>
          <w:rFonts w:eastAsia="Calibri"/>
          <w:i/>
          <w:iCs/>
          <w:sz w:val="22"/>
          <w:szCs w:val="18"/>
          <w:lang w:eastAsia="en-US"/>
        </w:rPr>
        <w:t xml:space="preserve">, como parte del ejercicio de gobierno administrativo del Poder Judicial (artículos 46 y 114 de la Ley Orgánica del Poder Judicial; 16 y 158.4 de la Ley General de la Administración Pública), con la finalidad de distribuir la competencia de los órganos jurisdiccionales, para lo cual la Corte podrá tomar en consideración múltiples factores, en orden a aumentar o disminuir los montos de cuantía; ahora bien, para ello se debe tener presente la precaución señalada en dicho criterio, </w:t>
      </w:r>
      <w:r w:rsidRPr="00832773">
        <w:rPr>
          <w:rFonts w:eastAsia="Calibri"/>
          <w:i/>
          <w:iCs/>
          <w:sz w:val="22"/>
          <w:szCs w:val="18"/>
          <w:shd w:val="clear" w:color="auto" w:fill="E2EFD9"/>
          <w:lang w:eastAsia="en-US"/>
        </w:rPr>
        <w:t xml:space="preserve">en cuanto a la no existencia de norma legal que habilite a la Corte para realizar otro tipo de fijación de competencias en esta material, ni tampoco que pueda a establecer </w:t>
      </w:r>
      <w:r w:rsidRPr="00832773">
        <w:rPr>
          <w:rFonts w:eastAsia="Calibri"/>
          <w:i/>
          <w:iCs/>
          <w:sz w:val="22"/>
          <w:szCs w:val="18"/>
          <w:shd w:val="clear" w:color="auto" w:fill="E2EFD9"/>
          <w:lang w:eastAsia="en-US"/>
        </w:rPr>
        <w:lastRenderedPageBreak/>
        <w:t>cuantías diferenciadas; siendo que para ello se requeriría una reforma legal que así lo permita”.</w:t>
      </w:r>
    </w:p>
    <w:p w14:paraId="00641C8C" w14:textId="77777777" w:rsidR="00140EE1" w:rsidRPr="00832773" w:rsidRDefault="00140EE1" w:rsidP="00CE62C1">
      <w:pPr>
        <w:spacing w:line="276" w:lineRule="auto"/>
        <w:rPr>
          <w:rFonts w:eastAsia="Calibri"/>
          <w:lang w:eastAsia="en-US"/>
        </w:rPr>
      </w:pPr>
    </w:p>
    <w:p w14:paraId="1BA7D3AB" w14:textId="77777777" w:rsidR="00140EE1" w:rsidRPr="00832773" w:rsidRDefault="00140EE1" w:rsidP="00CE62C1">
      <w:pPr>
        <w:spacing w:line="276" w:lineRule="auto"/>
        <w:rPr>
          <w:rFonts w:eastAsia="Calibri"/>
          <w:lang w:eastAsia="en-US"/>
        </w:rPr>
      </w:pPr>
    </w:p>
    <w:p w14:paraId="5D052BF2" w14:textId="47BC612E" w:rsidR="00312187" w:rsidRPr="00832773" w:rsidRDefault="00140EE1" w:rsidP="00CE62C1">
      <w:pPr>
        <w:spacing w:line="276" w:lineRule="auto"/>
        <w:rPr>
          <w:rFonts w:eastAsia="Calibri"/>
          <w:lang w:eastAsia="en-US"/>
        </w:rPr>
      </w:pPr>
      <w:r w:rsidRPr="00832773">
        <w:rPr>
          <w:rFonts w:eastAsia="Calibri"/>
          <w:lang w:eastAsia="en-US"/>
        </w:rPr>
        <w:t>En concordancia con lo expuesto por la Dirección Jurídica, este cambio en el escenario de criterio experto, en donde lo que se propone es una cuantía “</w:t>
      </w:r>
      <w:r w:rsidRPr="00832773">
        <w:rPr>
          <w:rFonts w:eastAsia="Calibri"/>
          <w:i/>
          <w:iCs/>
          <w:lang w:eastAsia="en-US"/>
        </w:rPr>
        <w:t>diferenciada</w:t>
      </w:r>
      <w:r w:rsidRPr="00832773">
        <w:rPr>
          <w:rFonts w:eastAsia="Calibri"/>
          <w:lang w:eastAsia="en-US"/>
        </w:rPr>
        <w:t xml:space="preserve">” y solamente para acceder al recurso de casación en procesos ordinarios de 20 millones de colones y para el resto de </w:t>
      </w:r>
      <w:r w:rsidR="0059188A" w:rsidRPr="00832773">
        <w:rPr>
          <w:rFonts w:eastAsia="Calibri"/>
          <w:lang w:eastAsia="en-US"/>
        </w:rPr>
        <w:t>los procesos</w:t>
      </w:r>
      <w:r w:rsidRPr="00832773">
        <w:rPr>
          <w:rFonts w:eastAsia="Calibri"/>
          <w:lang w:eastAsia="en-US"/>
        </w:rPr>
        <w:t xml:space="preserve"> mantener el monto actual de 3 millones de colones</w:t>
      </w:r>
      <w:r w:rsidR="00312187" w:rsidRPr="00832773">
        <w:rPr>
          <w:rFonts w:eastAsia="Calibri"/>
          <w:lang w:eastAsia="en-US"/>
        </w:rPr>
        <w:t xml:space="preserve"> requiere de reforma legal</w:t>
      </w:r>
      <w:r w:rsidRPr="00832773">
        <w:rPr>
          <w:rFonts w:eastAsia="Calibri"/>
          <w:lang w:eastAsia="en-US"/>
        </w:rPr>
        <w:t xml:space="preserve">. </w:t>
      </w:r>
    </w:p>
    <w:p w14:paraId="25CD78F9" w14:textId="77777777" w:rsidR="0059188A" w:rsidRPr="00832773" w:rsidRDefault="0059188A" w:rsidP="00CE62C1">
      <w:pPr>
        <w:spacing w:line="276" w:lineRule="auto"/>
        <w:rPr>
          <w:rFonts w:eastAsia="Calibri"/>
          <w:lang w:eastAsia="en-US"/>
        </w:rPr>
      </w:pPr>
    </w:p>
    <w:p w14:paraId="1070126E" w14:textId="6BC992E9" w:rsidR="00140EE1" w:rsidRPr="00832773" w:rsidRDefault="00140EE1" w:rsidP="00CE62C1">
      <w:pPr>
        <w:spacing w:line="276" w:lineRule="auto"/>
        <w:rPr>
          <w:rFonts w:eastAsia="Calibri"/>
          <w:lang w:eastAsia="en-US"/>
        </w:rPr>
      </w:pPr>
      <w:r w:rsidRPr="00832773">
        <w:rPr>
          <w:rFonts w:eastAsia="Calibri"/>
          <w:lang w:eastAsia="en-US"/>
        </w:rPr>
        <w:t>Esta nueva propuesta se consider</w:t>
      </w:r>
      <w:r w:rsidR="00CE0969" w:rsidRPr="00832773">
        <w:rPr>
          <w:rFonts w:eastAsia="Calibri"/>
          <w:lang w:eastAsia="en-US"/>
        </w:rPr>
        <w:t>ó</w:t>
      </w:r>
      <w:r w:rsidRPr="00832773">
        <w:rPr>
          <w:rFonts w:eastAsia="Calibri"/>
          <w:lang w:eastAsia="en-US"/>
        </w:rPr>
        <w:t xml:space="preserve"> en la actualización de 2 </w:t>
      </w:r>
      <w:r w:rsidR="00CE0969" w:rsidRPr="00832773">
        <w:rPr>
          <w:rFonts w:eastAsia="Calibri"/>
          <w:lang w:eastAsia="en-US"/>
        </w:rPr>
        <w:t xml:space="preserve">de los </w:t>
      </w:r>
      <w:r w:rsidRPr="00832773">
        <w:rPr>
          <w:rFonts w:eastAsia="Calibri"/>
          <w:lang w:eastAsia="en-US"/>
        </w:rPr>
        <w:t>escenarios</w:t>
      </w:r>
      <w:r w:rsidR="00CE0969" w:rsidRPr="00832773">
        <w:rPr>
          <w:rFonts w:eastAsia="Calibri"/>
          <w:lang w:eastAsia="en-US"/>
        </w:rPr>
        <w:t xml:space="preserve"> iniciales</w:t>
      </w:r>
      <w:r w:rsidRPr="00832773">
        <w:rPr>
          <w:rFonts w:eastAsia="Calibri"/>
          <w:lang w:eastAsia="en-US"/>
        </w:rPr>
        <w:t xml:space="preserve">: </w:t>
      </w:r>
    </w:p>
    <w:p w14:paraId="367FB684" w14:textId="77777777" w:rsidR="00140EE1" w:rsidRPr="00832773" w:rsidRDefault="00140EE1" w:rsidP="00CE62C1">
      <w:pPr>
        <w:spacing w:line="276" w:lineRule="auto"/>
        <w:rPr>
          <w:rFonts w:eastAsia="Calibri"/>
          <w:lang w:eastAsia="en-US"/>
        </w:rPr>
      </w:pPr>
    </w:p>
    <w:p w14:paraId="5C89B467" w14:textId="77777777" w:rsidR="00140EE1" w:rsidRPr="00832773" w:rsidRDefault="00140EE1" w:rsidP="00CE62C1">
      <w:pPr>
        <w:numPr>
          <w:ilvl w:val="0"/>
          <w:numId w:val="11"/>
        </w:numPr>
        <w:spacing w:line="276" w:lineRule="auto"/>
        <w:rPr>
          <w:rFonts w:eastAsia="Calibri"/>
          <w:lang w:eastAsia="en-US"/>
        </w:rPr>
      </w:pPr>
      <w:r w:rsidRPr="00832773">
        <w:rPr>
          <w:rFonts w:eastAsia="Calibri"/>
          <w:lang w:eastAsia="en-US"/>
        </w:rPr>
        <w:t>Se adiciona como oportunidad de mejora en el escenario E “</w:t>
      </w:r>
      <w:r w:rsidRPr="00832773">
        <w:rPr>
          <w:rFonts w:eastAsia="Calibri"/>
          <w:i/>
          <w:iCs/>
          <w:lang w:eastAsia="en-US"/>
        </w:rPr>
        <w:t xml:space="preserve">reformas legales”. </w:t>
      </w:r>
    </w:p>
    <w:p w14:paraId="29DAB414" w14:textId="3255378B" w:rsidR="00140EE1" w:rsidRPr="00832773" w:rsidRDefault="00140EE1" w:rsidP="00CE62C1">
      <w:pPr>
        <w:numPr>
          <w:ilvl w:val="0"/>
          <w:numId w:val="11"/>
        </w:numPr>
        <w:spacing w:line="276" w:lineRule="auto"/>
        <w:rPr>
          <w:rFonts w:eastAsia="Calibri"/>
          <w:lang w:eastAsia="en-US"/>
        </w:rPr>
      </w:pPr>
      <w:r w:rsidRPr="00832773">
        <w:rPr>
          <w:rFonts w:eastAsia="Calibri"/>
          <w:lang w:eastAsia="en-US"/>
        </w:rPr>
        <w:t xml:space="preserve">Y como actualización al escenario A </w:t>
      </w:r>
      <w:r w:rsidRPr="00832773">
        <w:rPr>
          <w:rFonts w:eastAsia="Calibri"/>
          <w:i/>
          <w:iCs/>
          <w:lang w:eastAsia="en-US"/>
        </w:rPr>
        <w:t xml:space="preserve">“criterio experto” </w:t>
      </w:r>
      <w:r w:rsidRPr="00832773">
        <w:rPr>
          <w:rFonts w:eastAsia="Calibri"/>
          <w:lang w:eastAsia="en-US"/>
        </w:rPr>
        <w:t xml:space="preserve">según solicitud de Sala </w:t>
      </w:r>
      <w:r w:rsidR="00312187" w:rsidRPr="00832773">
        <w:rPr>
          <w:rFonts w:eastAsia="Calibri"/>
          <w:lang w:eastAsia="en-US"/>
        </w:rPr>
        <w:t>P</w:t>
      </w:r>
      <w:r w:rsidRPr="00832773">
        <w:rPr>
          <w:rFonts w:eastAsia="Calibri"/>
          <w:lang w:eastAsia="en-US"/>
        </w:rPr>
        <w:t xml:space="preserve">rimera en sesión de trabajo del 5 de octubre de 2021 (minuta </w:t>
      </w:r>
      <w:r w:rsidRPr="004E74A6">
        <w:rPr>
          <w:sz w:val="22"/>
          <w:szCs w:val="22"/>
        </w:rPr>
        <w:t>939-PLA-MI-</w:t>
      </w:r>
      <w:r w:rsidRPr="004E74A6">
        <w:rPr>
          <w:rFonts w:cs="Calibri"/>
          <w:color w:val="000000"/>
          <w:szCs w:val="24"/>
          <w:lang w:eastAsia="es-CR"/>
        </w:rPr>
        <w:t xml:space="preserve">MNTA-2021 </w:t>
      </w:r>
      <w:r w:rsidR="00312187" w:rsidRPr="004E74A6">
        <w:rPr>
          <w:rFonts w:cs="Calibri"/>
          <w:color w:val="000000"/>
          <w:szCs w:val="24"/>
          <w:lang w:eastAsia="es-CR"/>
        </w:rPr>
        <w:t>-</w:t>
      </w:r>
      <w:r w:rsidRPr="004E74A6">
        <w:rPr>
          <w:rFonts w:cs="Calibri"/>
          <w:color w:val="000000"/>
          <w:szCs w:val="24"/>
          <w:lang w:eastAsia="es-CR"/>
        </w:rPr>
        <w:t>anexo 5)</w:t>
      </w:r>
      <w:r w:rsidRPr="00832773">
        <w:rPr>
          <w:rFonts w:eastAsia="Calibri"/>
          <w:lang w:eastAsia="en-US"/>
        </w:rPr>
        <w:t xml:space="preserve">, para que sea considerado entre las opciones de Corte Plena, donde se acordó entre otras cosas literalmente lo siguiente: </w:t>
      </w:r>
    </w:p>
    <w:p w14:paraId="463B22E1" w14:textId="77777777" w:rsidR="00140EE1" w:rsidRPr="00832773" w:rsidRDefault="00140EE1" w:rsidP="00CE62C1">
      <w:pPr>
        <w:spacing w:line="276" w:lineRule="auto"/>
        <w:rPr>
          <w:rFonts w:eastAsia="Calibri"/>
          <w:lang w:eastAsia="en-US"/>
        </w:rPr>
      </w:pPr>
    </w:p>
    <w:p w14:paraId="65B5F3BE" w14:textId="77777777" w:rsidR="00140EE1" w:rsidRPr="00832773" w:rsidRDefault="00140EE1" w:rsidP="00832773">
      <w:pPr>
        <w:spacing w:line="276" w:lineRule="auto"/>
        <w:ind w:left="1134" w:right="618"/>
        <w:rPr>
          <w:rFonts w:eastAsia="Calibri"/>
          <w:i/>
          <w:iCs/>
          <w:sz w:val="22"/>
          <w:szCs w:val="22"/>
          <w:lang w:eastAsia="en-US"/>
        </w:rPr>
      </w:pPr>
      <w:r w:rsidRPr="00832773">
        <w:rPr>
          <w:rFonts w:eastAsia="Calibri"/>
          <w:i/>
          <w:iCs/>
          <w:sz w:val="22"/>
          <w:szCs w:val="22"/>
          <w:lang w:eastAsia="en-US"/>
        </w:rPr>
        <w:t>“…</w:t>
      </w:r>
    </w:p>
    <w:p w14:paraId="1054B058" w14:textId="77777777" w:rsidR="00140EE1" w:rsidRPr="004E74A6" w:rsidRDefault="00140EE1" w:rsidP="00832773">
      <w:pPr>
        <w:suppressAutoHyphens/>
        <w:spacing w:line="276" w:lineRule="auto"/>
        <w:ind w:left="1134" w:right="618"/>
        <w:rPr>
          <w:rFonts w:cs="Arial"/>
          <w:i/>
          <w:iCs/>
          <w:sz w:val="22"/>
          <w:szCs w:val="22"/>
        </w:rPr>
      </w:pPr>
      <w:r w:rsidRPr="004E74A6">
        <w:rPr>
          <w:rFonts w:cs="Arial"/>
          <w:i/>
          <w:iCs/>
          <w:sz w:val="22"/>
          <w:szCs w:val="22"/>
        </w:rPr>
        <w:t>2.La Dirección de Planificación incluirá en el nuevo informe de cuantía civil, el escenario de una cuantía diferente solamente para el recurso de casación de las sentencias dictadas por los Tribunales Colegiados de Primera Instancia para valoración de Corte Plena y presentación de la Sala Primera.</w:t>
      </w:r>
    </w:p>
    <w:p w14:paraId="1BFDDE29" w14:textId="77777777" w:rsidR="00140EE1" w:rsidRPr="004E74A6" w:rsidRDefault="00140EE1" w:rsidP="00832773">
      <w:pPr>
        <w:suppressAutoHyphens/>
        <w:spacing w:line="276" w:lineRule="auto"/>
        <w:ind w:left="1134" w:right="618"/>
        <w:rPr>
          <w:rFonts w:cs="Arial"/>
          <w:i/>
          <w:iCs/>
          <w:sz w:val="22"/>
          <w:szCs w:val="22"/>
        </w:rPr>
      </w:pPr>
      <w:r w:rsidRPr="004E74A6">
        <w:rPr>
          <w:rFonts w:cs="Arial"/>
          <w:i/>
          <w:iCs/>
          <w:sz w:val="22"/>
          <w:szCs w:val="22"/>
        </w:rPr>
        <w:t xml:space="preserve">3.La Dirección de Planificación reiterara como efecto de un posible incremento general de cuantía en todas las instancias, la posibilidad de requerir traslados de personal entre tribunales y juzgados Civiles. </w:t>
      </w:r>
    </w:p>
    <w:p w14:paraId="75409B97" w14:textId="77777777" w:rsidR="00140EE1" w:rsidRPr="004E74A6" w:rsidRDefault="00140EE1" w:rsidP="00832773">
      <w:pPr>
        <w:suppressAutoHyphens/>
        <w:spacing w:line="276" w:lineRule="auto"/>
        <w:ind w:left="1134" w:right="618"/>
        <w:jc w:val="right"/>
        <w:rPr>
          <w:rFonts w:cs="Arial"/>
          <w:i/>
          <w:iCs/>
          <w:sz w:val="22"/>
          <w:szCs w:val="22"/>
        </w:rPr>
      </w:pPr>
      <w:r w:rsidRPr="004E74A6">
        <w:rPr>
          <w:rFonts w:cs="Arial"/>
          <w:i/>
          <w:iCs/>
          <w:sz w:val="22"/>
          <w:szCs w:val="22"/>
        </w:rPr>
        <w:t>…”</w:t>
      </w:r>
    </w:p>
    <w:p w14:paraId="25EA39D3" w14:textId="77777777" w:rsidR="00140EE1" w:rsidRPr="00832773" w:rsidRDefault="00140EE1" w:rsidP="00CE62C1">
      <w:pPr>
        <w:spacing w:line="276" w:lineRule="auto"/>
        <w:rPr>
          <w:rFonts w:eastAsia="Calibri"/>
          <w:lang w:eastAsia="en-US"/>
        </w:rPr>
      </w:pPr>
    </w:p>
    <w:p w14:paraId="0A17173F" w14:textId="792E62FB" w:rsidR="001F5D0A" w:rsidRPr="00832773" w:rsidRDefault="001F5D0A" w:rsidP="00CE62C1">
      <w:pPr>
        <w:spacing w:line="276" w:lineRule="auto"/>
        <w:rPr>
          <w:rFonts w:eastAsia="Calibri"/>
          <w:lang w:eastAsia="en-US"/>
        </w:rPr>
      </w:pPr>
      <w:r w:rsidRPr="00832773">
        <w:rPr>
          <w:rFonts w:eastAsia="Calibri"/>
          <w:lang w:eastAsia="en-US"/>
        </w:rPr>
        <w:t xml:space="preserve">Como se </w:t>
      </w:r>
      <w:r w:rsidR="00925852" w:rsidRPr="00832773">
        <w:rPr>
          <w:rFonts w:eastAsia="Calibri"/>
          <w:lang w:eastAsia="en-US"/>
        </w:rPr>
        <w:t>explica</w:t>
      </w:r>
      <w:r w:rsidRPr="00832773">
        <w:rPr>
          <w:rFonts w:eastAsia="Calibri"/>
          <w:lang w:eastAsia="en-US"/>
        </w:rPr>
        <w:t xml:space="preserve"> más adelante, en el apartado “</w:t>
      </w:r>
      <w:r w:rsidR="00CC62BD" w:rsidRPr="00832773">
        <w:rPr>
          <w:rFonts w:eastAsia="Calibri"/>
          <w:i/>
          <w:iCs/>
          <w:lang w:eastAsia="en-US"/>
        </w:rPr>
        <w:t>Análisis de datos Primera y Segunda Instancia Civil</w:t>
      </w:r>
      <w:r w:rsidRPr="00832773">
        <w:rPr>
          <w:rFonts w:eastAsia="Calibri"/>
          <w:i/>
          <w:iCs/>
          <w:lang w:eastAsia="en-US"/>
        </w:rPr>
        <w:t>”</w:t>
      </w:r>
      <w:r w:rsidRPr="00832773">
        <w:rPr>
          <w:rFonts w:eastAsia="Calibri"/>
          <w:lang w:eastAsia="en-US"/>
        </w:rPr>
        <w:t>, el incrementar la cuantía a 20 millones de colones resulta en una disminución en la entrada actual de casaciones civiles</w:t>
      </w:r>
      <w:r w:rsidR="00877F70" w:rsidRPr="00832773">
        <w:rPr>
          <w:rFonts w:eastAsia="Calibri"/>
          <w:lang w:eastAsia="en-US"/>
        </w:rPr>
        <w:t xml:space="preserve"> para Sala Primera</w:t>
      </w:r>
      <w:r w:rsidRPr="00832773">
        <w:rPr>
          <w:rFonts w:eastAsia="Calibri"/>
          <w:lang w:eastAsia="en-US"/>
        </w:rPr>
        <w:t xml:space="preserve"> del 43% o 153 </w:t>
      </w:r>
      <w:r w:rsidR="00925852" w:rsidRPr="00832773">
        <w:rPr>
          <w:rFonts w:eastAsia="Calibri"/>
          <w:lang w:eastAsia="en-US"/>
        </w:rPr>
        <w:t>casaciones</w:t>
      </w:r>
      <w:r w:rsidRPr="00832773">
        <w:rPr>
          <w:rFonts w:eastAsia="Calibri"/>
          <w:lang w:eastAsia="en-US"/>
        </w:rPr>
        <w:t xml:space="preserve"> menos por año (14 por mes). </w:t>
      </w:r>
    </w:p>
    <w:p w14:paraId="5E62EFE5" w14:textId="77777777" w:rsidR="001F5D0A" w:rsidRPr="00832773" w:rsidRDefault="001F5D0A" w:rsidP="00CE62C1">
      <w:pPr>
        <w:spacing w:line="276" w:lineRule="auto"/>
        <w:rPr>
          <w:rFonts w:eastAsia="Calibri"/>
          <w:lang w:eastAsia="en-US"/>
        </w:rPr>
      </w:pPr>
    </w:p>
    <w:p w14:paraId="76B08DAC" w14:textId="7D6C09A3" w:rsidR="00925852" w:rsidRPr="00832773" w:rsidRDefault="00925852" w:rsidP="00CE62C1">
      <w:pPr>
        <w:spacing w:line="276" w:lineRule="auto"/>
        <w:rPr>
          <w:rFonts w:eastAsia="Calibri"/>
          <w:lang w:eastAsia="en-US"/>
        </w:rPr>
      </w:pPr>
      <w:r w:rsidRPr="00832773">
        <w:rPr>
          <w:rFonts w:eastAsia="Calibri"/>
          <w:lang w:eastAsia="en-US"/>
        </w:rPr>
        <w:t xml:space="preserve">Sin embargo, el incremento en el monto de la cuantía Civil </w:t>
      </w:r>
      <w:r w:rsidR="00877F70" w:rsidRPr="00832773">
        <w:rPr>
          <w:rFonts w:eastAsia="Calibri"/>
          <w:lang w:eastAsia="en-US"/>
        </w:rPr>
        <w:t xml:space="preserve">(sino fuera diferenciada) </w:t>
      </w:r>
      <w:r w:rsidRPr="00832773">
        <w:rPr>
          <w:rFonts w:eastAsia="Calibri"/>
          <w:lang w:eastAsia="en-US"/>
        </w:rPr>
        <w:t xml:space="preserve">no solamente impacta la entrada en Sala Primera, sino también la distribución de competencia entre los Juzgados y Tribunales Colegiados en primera instancia; así </w:t>
      </w:r>
      <w:r w:rsidRPr="00832773">
        <w:rPr>
          <w:rFonts w:eastAsia="Calibri"/>
          <w:lang w:eastAsia="en-US"/>
        </w:rPr>
        <w:lastRenderedPageBreak/>
        <w:t>como la entrada en los Tribunales de Apelación (a entrada en segunda instancia se vería incrementada en 153 apelaciones de sentencia al año-14 por mes- en promedio</w:t>
      </w:r>
      <w:r w:rsidR="00877F70" w:rsidRPr="00832773">
        <w:rPr>
          <w:rFonts w:eastAsia="Calibri"/>
          <w:lang w:eastAsia="en-US"/>
        </w:rPr>
        <w:t xml:space="preserve"> + apelaciones obre puntos que actualmente no tengan apelación y que por el cambio de cuantía si contarían con el recurso</w:t>
      </w:r>
      <w:r w:rsidR="00877F70" w:rsidRPr="00832773">
        <w:rPr>
          <w:rStyle w:val="Refdenotaalpie"/>
          <w:rFonts w:eastAsia="Calibri"/>
          <w:lang w:eastAsia="en-US"/>
        </w:rPr>
        <w:footnoteReference w:id="12"/>
      </w:r>
      <w:r w:rsidRPr="00832773">
        <w:rPr>
          <w:rFonts w:eastAsia="Calibri"/>
          <w:lang w:eastAsia="en-US"/>
        </w:rPr>
        <w:t xml:space="preserve">). </w:t>
      </w:r>
    </w:p>
    <w:p w14:paraId="71B29ECA" w14:textId="77777777" w:rsidR="00925852" w:rsidRPr="00832773" w:rsidRDefault="00925852" w:rsidP="00CE62C1">
      <w:pPr>
        <w:spacing w:line="276" w:lineRule="auto"/>
        <w:rPr>
          <w:rFonts w:eastAsia="Calibri"/>
          <w:lang w:eastAsia="en-US"/>
        </w:rPr>
      </w:pPr>
    </w:p>
    <w:p w14:paraId="25B91A89" w14:textId="6E37E755" w:rsidR="00140EE1" w:rsidRPr="00832773" w:rsidRDefault="00140EE1" w:rsidP="00CE62C1">
      <w:pPr>
        <w:spacing w:line="276" w:lineRule="auto"/>
        <w:rPr>
          <w:rFonts w:eastAsia="Calibri"/>
          <w:lang w:eastAsia="en-US"/>
        </w:rPr>
      </w:pPr>
      <w:r w:rsidRPr="00832773">
        <w:rPr>
          <w:rFonts w:eastAsia="Calibri"/>
          <w:lang w:eastAsia="en-US"/>
        </w:rPr>
        <w:t xml:space="preserve">Por lo anterior, este informe incluye también el análisis del posible impacto a nivel de estructuras, cargas de trabajo, en caso de que Corte Plena se aleje del criterio emitido por la Dirección Jurídica y apruebe la propuesta de cuantías diferenciadas.   </w:t>
      </w:r>
    </w:p>
    <w:p w14:paraId="493BCD2A" w14:textId="77777777" w:rsidR="00140EE1" w:rsidRPr="00832773" w:rsidRDefault="00140EE1" w:rsidP="00CE62C1">
      <w:pPr>
        <w:spacing w:line="276" w:lineRule="auto"/>
        <w:rPr>
          <w:rFonts w:eastAsia="Calibri"/>
          <w:lang w:eastAsia="en-US"/>
        </w:rPr>
      </w:pPr>
    </w:p>
    <w:p w14:paraId="62C44BC2" w14:textId="39695CE8" w:rsidR="00140EE1" w:rsidRDefault="00140EE1" w:rsidP="00194F64">
      <w:pPr>
        <w:spacing w:line="240" w:lineRule="auto"/>
        <w:rPr>
          <w:lang w:eastAsia="es-CR"/>
        </w:rPr>
      </w:pPr>
      <w:r w:rsidRPr="004E74A6">
        <w:rPr>
          <w:lang w:eastAsia="es-CR"/>
        </w:rPr>
        <w:t>Para llevar a cabo un análisis integral sobre el comportamiento actual y posible impacto sobre la estructura de la materia Civil en caso de realizarse una modificación en la cuantía incluso de forma diferenciada para el recurso de casación Civil, entonces debe primero observarse la distribución actual de oficinas según instancia a través de la siguiente imagen.</w:t>
      </w:r>
    </w:p>
    <w:p w14:paraId="1A1E0C39" w14:textId="77777777" w:rsidR="00194F64" w:rsidRPr="004E74A6" w:rsidRDefault="00194F64" w:rsidP="00194F64">
      <w:pPr>
        <w:spacing w:line="240" w:lineRule="auto"/>
        <w:rPr>
          <w:lang w:eastAsia="es-CR"/>
        </w:rPr>
      </w:pPr>
    </w:p>
    <w:p w14:paraId="7F2861B2" w14:textId="042D1B5D" w:rsidR="00B5045D" w:rsidRPr="00832773" w:rsidRDefault="00B5045D" w:rsidP="00F0204A">
      <w:pPr>
        <w:pStyle w:val="Descripcin"/>
        <w:keepNext/>
        <w:spacing w:line="276" w:lineRule="auto"/>
        <w:jc w:val="center"/>
        <w:rPr>
          <w:rFonts w:ascii="Book Antiqua" w:hAnsi="Book Antiqua"/>
          <w:b w:val="0"/>
          <w:bCs w:val="0"/>
          <w:sz w:val="20"/>
          <w:szCs w:val="16"/>
          <w:lang w:val="es-CR"/>
        </w:rPr>
      </w:pPr>
      <w:r w:rsidRPr="00832773">
        <w:rPr>
          <w:rFonts w:ascii="Book Antiqua" w:hAnsi="Book Antiqua"/>
          <w:b w:val="0"/>
          <w:bCs w:val="0"/>
          <w:sz w:val="20"/>
          <w:szCs w:val="16"/>
          <w:lang w:val="es-CR"/>
        </w:rPr>
        <w:t xml:space="preserve">Ilustración </w:t>
      </w:r>
      <w:r w:rsidRPr="00832773">
        <w:rPr>
          <w:rFonts w:ascii="Book Antiqua" w:hAnsi="Book Antiqua"/>
          <w:b w:val="0"/>
          <w:bCs w:val="0"/>
          <w:sz w:val="20"/>
          <w:szCs w:val="16"/>
          <w:lang w:val="es-CR"/>
        </w:rPr>
        <w:fldChar w:fldCharType="begin"/>
      </w:r>
      <w:r w:rsidRPr="00832773">
        <w:rPr>
          <w:rFonts w:ascii="Book Antiqua" w:hAnsi="Book Antiqua"/>
          <w:b w:val="0"/>
          <w:bCs w:val="0"/>
          <w:sz w:val="20"/>
          <w:szCs w:val="16"/>
          <w:lang w:val="es-CR"/>
        </w:rPr>
        <w:instrText xml:space="preserve"> SEQ Ilustración \* ARABIC </w:instrText>
      </w:r>
      <w:r w:rsidRPr="00832773">
        <w:rPr>
          <w:rFonts w:ascii="Book Antiqua" w:hAnsi="Book Antiqua"/>
          <w:b w:val="0"/>
          <w:bCs w:val="0"/>
          <w:sz w:val="20"/>
          <w:szCs w:val="16"/>
          <w:lang w:val="es-CR"/>
        </w:rPr>
        <w:fldChar w:fldCharType="separate"/>
      </w:r>
      <w:r w:rsidR="00755589" w:rsidRPr="00832773">
        <w:rPr>
          <w:rFonts w:ascii="Book Antiqua" w:hAnsi="Book Antiqua"/>
          <w:b w:val="0"/>
          <w:bCs w:val="0"/>
          <w:noProof/>
          <w:sz w:val="20"/>
          <w:szCs w:val="16"/>
          <w:lang w:val="es-CR"/>
        </w:rPr>
        <w:t>2</w:t>
      </w:r>
      <w:r w:rsidRPr="00832773">
        <w:rPr>
          <w:rFonts w:ascii="Book Antiqua" w:hAnsi="Book Antiqua"/>
          <w:b w:val="0"/>
          <w:bCs w:val="0"/>
          <w:sz w:val="20"/>
          <w:szCs w:val="16"/>
          <w:lang w:val="es-CR"/>
        </w:rPr>
        <w:fldChar w:fldCharType="end"/>
      </w:r>
      <w:r w:rsidRPr="00832773">
        <w:rPr>
          <w:rFonts w:ascii="Book Antiqua" w:hAnsi="Book Antiqua"/>
          <w:b w:val="0"/>
          <w:bCs w:val="0"/>
          <w:sz w:val="20"/>
          <w:szCs w:val="16"/>
          <w:lang w:val="es-CR"/>
        </w:rPr>
        <w:t xml:space="preserve"> Cantidad y tipo de oficinas según instancia al 2022</w:t>
      </w:r>
    </w:p>
    <w:p w14:paraId="23C77B53" w14:textId="57BCE32C" w:rsidR="00140EE1" w:rsidRPr="004E74A6" w:rsidRDefault="005A199D" w:rsidP="00CE62C1">
      <w:pPr>
        <w:spacing w:after="160" w:line="276" w:lineRule="auto"/>
        <w:rPr>
          <w:rFonts w:cs="Calibri"/>
          <w:color w:val="000000"/>
          <w:szCs w:val="24"/>
          <w:lang w:eastAsia="es-CR"/>
        </w:rPr>
      </w:pPr>
      <w:r w:rsidRPr="004E74A6">
        <w:rPr>
          <w:rFonts w:cs="Calibri"/>
          <w:noProof/>
          <w:color w:val="000000"/>
          <w:szCs w:val="24"/>
          <w:lang w:eastAsia="es-CR"/>
        </w:rPr>
        <w:drawing>
          <wp:inline distT="0" distB="0" distL="0" distR="0" wp14:anchorId="6BC8C48F" wp14:editId="006280EC">
            <wp:extent cx="5598795" cy="212217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598795" cy="2122170"/>
                    </a:xfrm>
                    <a:prstGeom prst="rect">
                      <a:avLst/>
                    </a:prstGeom>
                    <a:noFill/>
                    <a:ln>
                      <a:noFill/>
                    </a:ln>
                  </pic:spPr>
                </pic:pic>
              </a:graphicData>
            </a:graphic>
          </wp:inline>
        </w:drawing>
      </w:r>
    </w:p>
    <w:p w14:paraId="36D2F279" w14:textId="2ED284E6" w:rsidR="00140EE1" w:rsidRPr="004E74A6" w:rsidRDefault="00927D49" w:rsidP="00CE62C1">
      <w:pPr>
        <w:spacing w:after="160" w:line="276" w:lineRule="auto"/>
        <w:rPr>
          <w:rFonts w:cs="Calibri"/>
          <w:i/>
          <w:iCs/>
          <w:color w:val="000000"/>
          <w:sz w:val="20"/>
          <w:lang w:eastAsia="es-CR"/>
        </w:rPr>
      </w:pPr>
      <w:r w:rsidRPr="004E74A6">
        <w:rPr>
          <w:rFonts w:cs="Calibri"/>
          <w:b/>
          <w:bCs/>
          <w:i/>
          <w:iCs/>
          <w:color w:val="000000"/>
          <w:sz w:val="20"/>
          <w:lang w:eastAsia="es-CR"/>
        </w:rPr>
        <w:t>Fuente</w:t>
      </w:r>
      <w:r w:rsidRPr="004E74A6">
        <w:rPr>
          <w:rFonts w:cs="Calibri"/>
          <w:i/>
          <w:iCs/>
          <w:color w:val="000000"/>
          <w:sz w:val="20"/>
          <w:lang w:eastAsia="es-CR"/>
        </w:rPr>
        <w:t xml:space="preserve">: </w:t>
      </w:r>
      <w:r w:rsidR="00B5045D" w:rsidRPr="004E74A6">
        <w:rPr>
          <w:rFonts w:cs="Calibri"/>
          <w:i/>
          <w:iCs/>
          <w:color w:val="000000"/>
          <w:sz w:val="20"/>
          <w:lang w:eastAsia="es-CR"/>
        </w:rPr>
        <w:t>Detalle de oficinas no presupuestarias por Oficina presupuestaria, periodo presupuestario 2023, tomado de página web www.planificacion.poder-judicial.go.cr, Documentación Estándar, Códigos de Oficinas.</w:t>
      </w:r>
    </w:p>
    <w:p w14:paraId="64E195D0" w14:textId="0811BF9B" w:rsidR="00140EE1" w:rsidRPr="004E74A6" w:rsidRDefault="00140EE1" w:rsidP="00CE62C1">
      <w:pPr>
        <w:spacing w:after="160" w:line="276" w:lineRule="auto"/>
        <w:rPr>
          <w:rFonts w:cs="Calibri"/>
          <w:color w:val="000000"/>
          <w:szCs w:val="24"/>
          <w:lang w:eastAsia="es-CR"/>
        </w:rPr>
      </w:pPr>
      <w:r w:rsidRPr="004E74A6">
        <w:rPr>
          <w:rFonts w:cs="Calibri"/>
          <w:color w:val="000000"/>
          <w:szCs w:val="24"/>
          <w:lang w:eastAsia="es-CR"/>
        </w:rPr>
        <w:lastRenderedPageBreak/>
        <w:t>A nivel general en la estructura de la materia Civil</w:t>
      </w:r>
      <w:r w:rsidR="007A02FC">
        <w:rPr>
          <w:rFonts w:cs="Calibri"/>
          <w:color w:val="000000"/>
          <w:szCs w:val="24"/>
          <w:lang w:eastAsia="es-CR"/>
        </w:rPr>
        <w:t>,</w:t>
      </w:r>
      <w:r w:rsidRPr="004E74A6">
        <w:rPr>
          <w:rFonts w:cs="Calibri"/>
          <w:color w:val="000000"/>
          <w:szCs w:val="24"/>
          <w:lang w:eastAsia="es-CR"/>
        </w:rPr>
        <w:t xml:space="preserve"> se pueden encontrar en la primera instancia (40 oficinas): los juzgados especializados (13 oficinas), los juzgados mixtos (5 oficinas), los juzgados de civil y trabajo (10 oficinas) y los Tribunales Colegiados de Primera Instancia Civil (12 oficinas); en la segunda instancia </w:t>
      </w:r>
      <w:r w:rsidR="00605440" w:rsidRPr="004E74A6">
        <w:rPr>
          <w:rFonts w:cs="Calibri"/>
          <w:color w:val="000000"/>
          <w:szCs w:val="24"/>
          <w:lang w:eastAsia="es-CR"/>
        </w:rPr>
        <w:t xml:space="preserve">(10 oficinas) </w:t>
      </w:r>
      <w:r w:rsidRPr="004E74A6">
        <w:rPr>
          <w:rFonts w:cs="Calibri"/>
          <w:color w:val="000000"/>
          <w:szCs w:val="24"/>
          <w:lang w:eastAsia="es-CR"/>
        </w:rPr>
        <w:t>se encuentran los Tribunales de Apelación Civil y Trabajo (9 oficinas) y la Sala Primera (1 oficina).</w:t>
      </w:r>
    </w:p>
    <w:p w14:paraId="3D3D46EC" w14:textId="77777777" w:rsidR="00140EE1" w:rsidRPr="004E74A6" w:rsidRDefault="00140EE1" w:rsidP="00CE62C1">
      <w:pPr>
        <w:spacing w:after="160" w:line="276" w:lineRule="auto"/>
        <w:rPr>
          <w:rFonts w:cs="Calibri"/>
          <w:color w:val="000000"/>
          <w:szCs w:val="24"/>
          <w:lang w:eastAsia="es-CR"/>
        </w:rPr>
      </w:pPr>
      <w:r w:rsidRPr="004E74A6">
        <w:rPr>
          <w:rFonts w:eastAsia="Calibri"/>
          <w:b/>
          <w:bCs/>
          <w:i/>
          <w:iCs/>
          <w:szCs w:val="24"/>
          <w:lang w:eastAsia="en-US"/>
        </w:rPr>
        <w:t>Actualmente</w:t>
      </w:r>
      <w:r w:rsidRPr="004E74A6">
        <w:rPr>
          <w:rFonts w:cs="Calibri"/>
          <w:color w:val="000000"/>
          <w:szCs w:val="24"/>
          <w:lang w:eastAsia="es-CR"/>
        </w:rPr>
        <w:t xml:space="preserve"> la Ley Orgánica del Poder Judicial, en los artículos 95 bis y 105 establece la distribución de competencias en primera instancia Civil entre Juzgados y Tribunales Colegiados así:</w:t>
      </w:r>
    </w:p>
    <w:p w14:paraId="72D696F6" w14:textId="77777777" w:rsidR="00140EE1" w:rsidRPr="004E74A6" w:rsidRDefault="00140EE1" w:rsidP="00CE62C1">
      <w:pPr>
        <w:spacing w:after="160" w:line="276" w:lineRule="auto"/>
        <w:contextualSpacing/>
        <w:rPr>
          <w:rFonts w:eastAsia="Calibri"/>
          <w:szCs w:val="24"/>
          <w:lang w:eastAsia="en-US"/>
        </w:rPr>
      </w:pPr>
    </w:p>
    <w:p w14:paraId="2D6A434B" w14:textId="26BEE815" w:rsidR="00140EE1" w:rsidRPr="004E74A6" w:rsidRDefault="00140EE1" w:rsidP="00832773">
      <w:pPr>
        <w:spacing w:line="276" w:lineRule="auto"/>
        <w:ind w:left="567" w:right="476"/>
        <w:contextualSpacing/>
        <w:rPr>
          <w:rFonts w:eastAsia="Calibri"/>
          <w:i/>
          <w:iCs/>
          <w:sz w:val="22"/>
          <w:szCs w:val="22"/>
          <w:lang w:eastAsia="en-US"/>
        </w:rPr>
      </w:pPr>
      <w:r w:rsidRPr="004E74A6">
        <w:rPr>
          <w:rFonts w:eastAsia="Calibri"/>
          <w:i/>
          <w:iCs/>
          <w:sz w:val="22"/>
          <w:szCs w:val="22"/>
          <w:lang w:eastAsia="en-US"/>
        </w:rPr>
        <w:t>“</w:t>
      </w:r>
      <w:r w:rsidRPr="004E74A6">
        <w:rPr>
          <w:rFonts w:eastAsia="Calibri"/>
          <w:b/>
          <w:bCs/>
          <w:i/>
          <w:iCs/>
          <w:sz w:val="22"/>
          <w:szCs w:val="22"/>
          <w:lang w:eastAsia="en-US"/>
        </w:rPr>
        <w:t xml:space="preserve">Artículo 95 </w:t>
      </w:r>
      <w:r w:rsidR="007A01C6" w:rsidRPr="004E74A6">
        <w:rPr>
          <w:rFonts w:eastAsia="Calibri"/>
          <w:b/>
          <w:bCs/>
          <w:i/>
          <w:iCs/>
          <w:sz w:val="22"/>
          <w:szCs w:val="22"/>
          <w:lang w:eastAsia="en-US"/>
        </w:rPr>
        <w:t>bis. -</w:t>
      </w:r>
      <w:r w:rsidRPr="004E74A6">
        <w:rPr>
          <w:rFonts w:eastAsia="Calibri"/>
          <w:i/>
          <w:iCs/>
          <w:sz w:val="22"/>
          <w:szCs w:val="22"/>
          <w:lang w:eastAsia="en-US"/>
        </w:rPr>
        <w:t xml:space="preserve"> Los tribunales colegiados de primera instancia civiles conocerán:</w:t>
      </w:r>
    </w:p>
    <w:p w14:paraId="60A46BB0" w14:textId="77777777" w:rsidR="00140EE1" w:rsidRPr="004E74A6" w:rsidRDefault="00140EE1" w:rsidP="00832773">
      <w:pPr>
        <w:spacing w:line="276" w:lineRule="auto"/>
        <w:ind w:left="567" w:right="476"/>
        <w:contextualSpacing/>
        <w:rPr>
          <w:rFonts w:eastAsia="Calibri"/>
          <w:i/>
          <w:iCs/>
          <w:sz w:val="22"/>
          <w:szCs w:val="22"/>
          <w:lang w:eastAsia="en-US"/>
        </w:rPr>
      </w:pPr>
      <w:r w:rsidRPr="004E74A6">
        <w:rPr>
          <w:rFonts w:eastAsia="Calibri"/>
          <w:i/>
          <w:iCs/>
          <w:sz w:val="22"/>
          <w:szCs w:val="22"/>
          <w:lang w:eastAsia="en-US"/>
        </w:rPr>
        <w:t>1.- De los procesos ordinarios de mayor cuantía.</w:t>
      </w:r>
    </w:p>
    <w:p w14:paraId="1EC417CE" w14:textId="77777777" w:rsidR="00140EE1" w:rsidRPr="004E74A6" w:rsidRDefault="00140EE1" w:rsidP="00832773">
      <w:pPr>
        <w:spacing w:line="276" w:lineRule="auto"/>
        <w:ind w:left="567" w:right="476"/>
        <w:contextualSpacing/>
        <w:rPr>
          <w:rFonts w:eastAsia="Calibri"/>
          <w:i/>
          <w:iCs/>
          <w:sz w:val="22"/>
          <w:szCs w:val="22"/>
          <w:lang w:eastAsia="en-US"/>
        </w:rPr>
      </w:pPr>
      <w:r w:rsidRPr="004E74A6">
        <w:rPr>
          <w:rFonts w:eastAsia="Calibri"/>
          <w:i/>
          <w:iCs/>
          <w:sz w:val="22"/>
          <w:szCs w:val="22"/>
          <w:lang w:eastAsia="en-US"/>
        </w:rPr>
        <w:t>2.- De los cuestionamientos de competencia subjetiva de sus integrantes.</w:t>
      </w:r>
    </w:p>
    <w:p w14:paraId="63D1FDA5" w14:textId="77777777" w:rsidR="00140EE1" w:rsidRPr="004E74A6" w:rsidRDefault="00140EE1" w:rsidP="00832773">
      <w:pPr>
        <w:spacing w:line="276" w:lineRule="auto"/>
        <w:ind w:left="567" w:right="476"/>
        <w:contextualSpacing/>
        <w:rPr>
          <w:rFonts w:eastAsia="Calibri"/>
          <w:i/>
          <w:iCs/>
          <w:sz w:val="22"/>
          <w:szCs w:val="22"/>
          <w:lang w:eastAsia="en-US"/>
        </w:rPr>
      </w:pPr>
      <w:r w:rsidRPr="004E74A6">
        <w:rPr>
          <w:rFonts w:eastAsia="Calibri"/>
          <w:i/>
          <w:iCs/>
          <w:sz w:val="22"/>
          <w:szCs w:val="22"/>
          <w:lang w:eastAsia="en-US"/>
        </w:rPr>
        <w:t>3.- De los demás procesos que determine la ley”.</w:t>
      </w:r>
    </w:p>
    <w:p w14:paraId="09FC8B8C" w14:textId="77777777" w:rsidR="00140EE1" w:rsidRPr="004E74A6" w:rsidRDefault="00140EE1" w:rsidP="00832773">
      <w:pPr>
        <w:spacing w:line="276" w:lineRule="auto"/>
        <w:ind w:left="567" w:right="476"/>
        <w:contextualSpacing/>
        <w:rPr>
          <w:rFonts w:eastAsia="Calibri"/>
          <w:i/>
          <w:iCs/>
          <w:sz w:val="22"/>
          <w:szCs w:val="22"/>
          <w:lang w:eastAsia="en-US"/>
        </w:rPr>
      </w:pPr>
    </w:p>
    <w:p w14:paraId="38821CDA" w14:textId="77777777" w:rsidR="00140EE1" w:rsidRPr="004E74A6" w:rsidRDefault="00140EE1" w:rsidP="00832773">
      <w:pPr>
        <w:spacing w:line="276" w:lineRule="auto"/>
        <w:ind w:left="567" w:right="476"/>
        <w:contextualSpacing/>
        <w:rPr>
          <w:rFonts w:eastAsia="Calibri"/>
          <w:i/>
          <w:iCs/>
          <w:sz w:val="22"/>
          <w:szCs w:val="22"/>
          <w:lang w:eastAsia="en-US"/>
        </w:rPr>
      </w:pPr>
      <w:r w:rsidRPr="004E74A6">
        <w:rPr>
          <w:rFonts w:eastAsia="Calibri"/>
          <w:i/>
          <w:iCs/>
          <w:sz w:val="22"/>
          <w:szCs w:val="22"/>
          <w:lang w:eastAsia="en-US"/>
        </w:rPr>
        <w:t>“</w:t>
      </w:r>
      <w:r w:rsidRPr="004E74A6">
        <w:rPr>
          <w:rFonts w:eastAsia="Calibri"/>
          <w:b/>
          <w:bCs/>
          <w:i/>
          <w:iCs/>
          <w:sz w:val="22"/>
          <w:szCs w:val="22"/>
          <w:lang w:eastAsia="en-US"/>
        </w:rPr>
        <w:t>Artículo 105.-</w:t>
      </w:r>
      <w:r w:rsidRPr="004E74A6">
        <w:rPr>
          <w:rFonts w:eastAsia="Calibri"/>
          <w:i/>
          <w:iCs/>
          <w:sz w:val="22"/>
          <w:szCs w:val="22"/>
          <w:lang w:eastAsia="en-US"/>
        </w:rPr>
        <w:t xml:space="preserve"> Los juzgados civiles conocerán:</w:t>
      </w:r>
    </w:p>
    <w:p w14:paraId="7299AA5D" w14:textId="77777777" w:rsidR="00140EE1" w:rsidRPr="004E74A6" w:rsidRDefault="00140EE1" w:rsidP="00832773">
      <w:pPr>
        <w:spacing w:line="276" w:lineRule="auto"/>
        <w:ind w:left="567" w:right="476"/>
        <w:contextualSpacing/>
        <w:rPr>
          <w:rFonts w:eastAsia="Calibri"/>
          <w:i/>
          <w:iCs/>
          <w:sz w:val="22"/>
          <w:szCs w:val="22"/>
          <w:lang w:eastAsia="en-US"/>
        </w:rPr>
      </w:pPr>
      <w:r w:rsidRPr="004E74A6">
        <w:rPr>
          <w:rFonts w:eastAsia="Calibri"/>
          <w:i/>
          <w:iCs/>
          <w:sz w:val="22"/>
          <w:szCs w:val="22"/>
          <w:lang w:eastAsia="en-US"/>
        </w:rPr>
        <w:t>1) De todos los procesos civiles y comerciales, con excepción del ordinario de mayor cuantía. Además de los monitorios arrendaticios y desahucios que sean interpuestos a favor o en contra del Estado, un ente público o empresa pública.</w:t>
      </w:r>
    </w:p>
    <w:p w14:paraId="0C29A374" w14:textId="77777777" w:rsidR="00140EE1" w:rsidRPr="004E74A6" w:rsidRDefault="00140EE1" w:rsidP="00832773">
      <w:pPr>
        <w:spacing w:line="276" w:lineRule="auto"/>
        <w:ind w:left="567" w:right="476"/>
        <w:contextualSpacing/>
        <w:rPr>
          <w:rFonts w:eastAsia="Calibri"/>
          <w:i/>
          <w:iCs/>
          <w:sz w:val="22"/>
          <w:szCs w:val="22"/>
          <w:lang w:eastAsia="en-US"/>
        </w:rPr>
      </w:pPr>
      <w:r w:rsidRPr="004E74A6">
        <w:rPr>
          <w:rFonts w:eastAsia="Calibri"/>
          <w:i/>
          <w:iCs/>
          <w:sz w:val="22"/>
          <w:szCs w:val="22"/>
          <w:lang w:eastAsia="en-US"/>
        </w:rPr>
        <w:t>2) De los cuestionamientos sobre competencia subjetiva, cuando corresponda.</w:t>
      </w:r>
    </w:p>
    <w:p w14:paraId="347061BF" w14:textId="77777777" w:rsidR="00140EE1" w:rsidRPr="004E74A6" w:rsidRDefault="00140EE1" w:rsidP="00832773">
      <w:pPr>
        <w:spacing w:line="276" w:lineRule="auto"/>
        <w:ind w:left="567" w:right="476"/>
        <w:contextualSpacing/>
        <w:rPr>
          <w:rFonts w:eastAsia="Calibri"/>
          <w:i/>
          <w:iCs/>
          <w:sz w:val="22"/>
          <w:szCs w:val="22"/>
          <w:lang w:eastAsia="en-US"/>
        </w:rPr>
      </w:pPr>
      <w:r w:rsidRPr="004E74A6">
        <w:rPr>
          <w:rFonts w:eastAsia="Calibri"/>
          <w:i/>
          <w:iCs/>
          <w:sz w:val="22"/>
          <w:szCs w:val="22"/>
          <w:lang w:eastAsia="en-US"/>
        </w:rPr>
        <w:t>3) De los demás procesos que determine la ley.”</w:t>
      </w:r>
    </w:p>
    <w:p w14:paraId="5662B699" w14:textId="286631CD" w:rsidR="00140EE1" w:rsidRPr="004E74A6" w:rsidRDefault="00140EE1" w:rsidP="00832773">
      <w:pPr>
        <w:spacing w:line="276" w:lineRule="auto"/>
        <w:ind w:left="567" w:right="476"/>
        <w:contextualSpacing/>
        <w:rPr>
          <w:rFonts w:eastAsia="Calibri"/>
          <w:i/>
          <w:iCs/>
          <w:sz w:val="22"/>
          <w:szCs w:val="22"/>
          <w:lang w:eastAsia="en-US"/>
        </w:rPr>
      </w:pPr>
      <w:r w:rsidRPr="004E74A6">
        <w:rPr>
          <w:rFonts w:eastAsia="Calibri"/>
          <w:i/>
          <w:iCs/>
          <w:sz w:val="22"/>
          <w:szCs w:val="22"/>
          <w:lang w:eastAsia="en-US"/>
        </w:rPr>
        <w:t xml:space="preserve">5) Los artículos 758, 764, 775 y 799 de la Ley </w:t>
      </w:r>
      <w:r w:rsidR="005047C1" w:rsidRPr="004E74A6">
        <w:rPr>
          <w:rFonts w:eastAsia="Calibri"/>
          <w:i/>
          <w:iCs/>
          <w:sz w:val="22"/>
          <w:szCs w:val="22"/>
          <w:lang w:eastAsia="en-US"/>
        </w:rPr>
        <w:t>N°</w:t>
      </w:r>
      <w:r w:rsidRPr="004E74A6">
        <w:rPr>
          <w:rFonts w:eastAsia="Calibri"/>
          <w:i/>
          <w:iCs/>
          <w:sz w:val="22"/>
          <w:szCs w:val="22"/>
          <w:lang w:eastAsia="en-US"/>
        </w:rPr>
        <w:t xml:space="preserve"> 7130, Código Procesal Civil, de 16 de agosto de 1989”.</w:t>
      </w:r>
    </w:p>
    <w:p w14:paraId="18147D67" w14:textId="0DC79551" w:rsidR="0053744C" w:rsidRDefault="0053744C" w:rsidP="00CE62C1">
      <w:pPr>
        <w:spacing w:after="160" w:line="276" w:lineRule="auto"/>
        <w:rPr>
          <w:rFonts w:cs="Calibri"/>
          <w:color w:val="000000"/>
          <w:szCs w:val="24"/>
          <w:lang w:eastAsia="es-CR"/>
        </w:rPr>
      </w:pPr>
    </w:p>
    <w:p w14:paraId="3CB7F727" w14:textId="78916BE1" w:rsidR="00194F64" w:rsidRDefault="00194F64" w:rsidP="00CE62C1">
      <w:pPr>
        <w:spacing w:after="160" w:line="276" w:lineRule="auto"/>
        <w:rPr>
          <w:rFonts w:cs="Calibri"/>
          <w:color w:val="000000"/>
          <w:szCs w:val="24"/>
          <w:lang w:eastAsia="es-CR"/>
        </w:rPr>
      </w:pPr>
    </w:p>
    <w:p w14:paraId="7DE49956" w14:textId="45DB6929" w:rsidR="00194F64" w:rsidRDefault="00194F64" w:rsidP="00CE62C1">
      <w:pPr>
        <w:spacing w:after="160" w:line="276" w:lineRule="auto"/>
        <w:rPr>
          <w:rFonts w:cs="Calibri"/>
          <w:color w:val="000000"/>
          <w:szCs w:val="24"/>
          <w:lang w:eastAsia="es-CR"/>
        </w:rPr>
      </w:pPr>
    </w:p>
    <w:p w14:paraId="0D5E198C" w14:textId="6E06C68E" w:rsidR="00194F64" w:rsidRDefault="00194F64" w:rsidP="00CE62C1">
      <w:pPr>
        <w:spacing w:after="160" w:line="276" w:lineRule="auto"/>
        <w:rPr>
          <w:rFonts w:cs="Calibri"/>
          <w:color w:val="000000"/>
          <w:szCs w:val="24"/>
          <w:lang w:eastAsia="es-CR"/>
        </w:rPr>
      </w:pPr>
    </w:p>
    <w:p w14:paraId="14FC265B" w14:textId="285832C6" w:rsidR="00194F64" w:rsidRDefault="00194F64" w:rsidP="00CE62C1">
      <w:pPr>
        <w:spacing w:after="160" w:line="276" w:lineRule="auto"/>
        <w:rPr>
          <w:rFonts w:cs="Calibri"/>
          <w:color w:val="000000"/>
          <w:szCs w:val="24"/>
          <w:lang w:eastAsia="es-CR"/>
        </w:rPr>
      </w:pPr>
    </w:p>
    <w:p w14:paraId="5AA094DE" w14:textId="5D7BF8AA" w:rsidR="00194F64" w:rsidRDefault="00194F64" w:rsidP="00CE62C1">
      <w:pPr>
        <w:spacing w:after="160" w:line="276" w:lineRule="auto"/>
        <w:rPr>
          <w:rFonts w:cs="Calibri"/>
          <w:color w:val="000000"/>
          <w:szCs w:val="24"/>
          <w:lang w:eastAsia="es-CR"/>
        </w:rPr>
      </w:pPr>
    </w:p>
    <w:p w14:paraId="77FF80CC" w14:textId="1FFD19A8" w:rsidR="00194F64" w:rsidRDefault="00194F64" w:rsidP="00CE62C1">
      <w:pPr>
        <w:spacing w:after="160" w:line="276" w:lineRule="auto"/>
        <w:rPr>
          <w:rFonts w:cs="Calibri"/>
          <w:color w:val="000000"/>
          <w:szCs w:val="24"/>
          <w:lang w:eastAsia="es-CR"/>
        </w:rPr>
      </w:pPr>
    </w:p>
    <w:p w14:paraId="4BCE0C23" w14:textId="3AB466D8" w:rsidR="00194F64" w:rsidRDefault="00194F64" w:rsidP="00CE62C1">
      <w:pPr>
        <w:spacing w:after="160" w:line="276" w:lineRule="auto"/>
        <w:rPr>
          <w:rFonts w:cs="Calibri"/>
          <w:color w:val="000000"/>
          <w:szCs w:val="24"/>
          <w:lang w:eastAsia="es-CR"/>
        </w:rPr>
      </w:pPr>
    </w:p>
    <w:p w14:paraId="35DA34ED" w14:textId="77777777" w:rsidR="00194F64" w:rsidRPr="004E74A6" w:rsidRDefault="00194F64" w:rsidP="00CE62C1">
      <w:pPr>
        <w:spacing w:after="160" w:line="276" w:lineRule="auto"/>
        <w:rPr>
          <w:rFonts w:cs="Calibri"/>
          <w:color w:val="000000"/>
          <w:szCs w:val="24"/>
          <w:lang w:eastAsia="es-CR"/>
        </w:rPr>
      </w:pPr>
    </w:p>
    <w:p w14:paraId="24040019" w14:textId="0F3E641E" w:rsidR="00140EE1" w:rsidRPr="004E74A6" w:rsidRDefault="00140EE1" w:rsidP="00CE62C1">
      <w:pPr>
        <w:spacing w:line="276" w:lineRule="auto"/>
        <w:rPr>
          <w:rFonts w:cs="Calibri"/>
          <w:color w:val="000000"/>
          <w:szCs w:val="24"/>
          <w:lang w:eastAsia="es-CR"/>
        </w:rPr>
      </w:pPr>
      <w:r w:rsidRPr="004E74A6">
        <w:rPr>
          <w:rFonts w:cs="Calibri"/>
          <w:color w:val="000000"/>
          <w:szCs w:val="24"/>
          <w:lang w:eastAsia="es-CR"/>
        </w:rPr>
        <w:lastRenderedPageBreak/>
        <w:t xml:space="preserve">Ahora bien, es importante tomar las posibles implicaciones de cada escenario.  </w:t>
      </w:r>
    </w:p>
    <w:p w14:paraId="2D1CD297" w14:textId="77777777" w:rsidR="0053744C" w:rsidRPr="004E74A6" w:rsidRDefault="0053744C" w:rsidP="00CE62C1">
      <w:pPr>
        <w:spacing w:line="276" w:lineRule="auto"/>
        <w:rPr>
          <w:rFonts w:cs="Calibri"/>
          <w:color w:val="000000"/>
          <w:szCs w:val="24"/>
          <w:lang w:eastAsia="es-CR"/>
        </w:rPr>
      </w:pPr>
    </w:p>
    <w:p w14:paraId="1EC3ABC0" w14:textId="543F1D44" w:rsidR="00140EE1" w:rsidRPr="004E74A6" w:rsidRDefault="00312187" w:rsidP="00CE62C1">
      <w:pPr>
        <w:shd w:val="clear" w:color="auto" w:fill="FFF2CC" w:themeFill="accent4" w:themeFillTint="33"/>
        <w:spacing w:line="276" w:lineRule="auto"/>
        <w:rPr>
          <w:lang w:eastAsia="es-CR"/>
        </w:rPr>
      </w:pPr>
      <w:r w:rsidRPr="004E74A6">
        <w:rPr>
          <w:b/>
          <w:bCs/>
          <w:lang w:eastAsia="es-CR"/>
        </w:rPr>
        <w:t xml:space="preserve">Escenario </w:t>
      </w:r>
      <w:r w:rsidR="00140EE1" w:rsidRPr="004E74A6">
        <w:rPr>
          <w:b/>
          <w:bCs/>
          <w:lang w:eastAsia="es-CR"/>
        </w:rPr>
        <w:t xml:space="preserve">A.1 </w:t>
      </w:r>
      <w:r w:rsidR="00140EE1" w:rsidRPr="004E74A6">
        <w:rPr>
          <w:lang w:eastAsia="es-CR"/>
        </w:rPr>
        <w:t xml:space="preserve">Fijar un solo monto </w:t>
      </w:r>
      <w:r w:rsidR="00A71CDD" w:rsidRPr="004E74A6">
        <w:rPr>
          <w:lang w:eastAsia="es-CR"/>
        </w:rPr>
        <w:t xml:space="preserve">para dividir menor y </w:t>
      </w:r>
      <w:r w:rsidR="00140EE1" w:rsidRPr="004E74A6">
        <w:rPr>
          <w:lang w:eastAsia="es-CR"/>
        </w:rPr>
        <w:t xml:space="preserve">mayor cuantía. En este escenario la recomendación del criterio experto de 20 millones de colones </w:t>
      </w:r>
    </w:p>
    <w:p w14:paraId="23D0C29E" w14:textId="77777777" w:rsidR="0052365D" w:rsidRPr="004E74A6" w:rsidRDefault="0052365D" w:rsidP="00832773">
      <w:pPr>
        <w:spacing w:line="276" w:lineRule="auto"/>
        <w:rPr>
          <w:lang w:eastAsia="es-CR"/>
        </w:rPr>
      </w:pPr>
    </w:p>
    <w:p w14:paraId="1C62095D" w14:textId="009C29CE" w:rsidR="00230CC3" w:rsidRPr="004E74A6" w:rsidRDefault="0052365D" w:rsidP="00CE62C1">
      <w:pPr>
        <w:spacing w:line="276" w:lineRule="auto"/>
        <w:rPr>
          <w:lang w:eastAsia="es-CR"/>
        </w:rPr>
      </w:pPr>
      <w:r w:rsidRPr="004E74A6">
        <w:rPr>
          <w:lang w:eastAsia="es-CR"/>
        </w:rPr>
        <w:t xml:space="preserve">En la siguiente ilustración se muestra el escenario, en versión 1, se utiliza el monto de 20 millones de colones por tratarse del criterio experto y solamente como ejemplo, el monto será eventualmente el que defina la Corte Plena conforme a sus competencias. </w:t>
      </w:r>
    </w:p>
    <w:p w14:paraId="01FC84CE" w14:textId="77777777" w:rsidR="00B32800" w:rsidRPr="004E74A6" w:rsidRDefault="00B32800" w:rsidP="00CE62C1">
      <w:pPr>
        <w:spacing w:line="276" w:lineRule="auto"/>
        <w:rPr>
          <w:lang w:eastAsia="es-CR"/>
        </w:rPr>
      </w:pPr>
    </w:p>
    <w:p w14:paraId="0ACB0363" w14:textId="77777777" w:rsidR="0053744C" w:rsidRPr="004E74A6" w:rsidRDefault="0053744C" w:rsidP="00CE62C1">
      <w:pPr>
        <w:spacing w:line="276" w:lineRule="auto"/>
        <w:rPr>
          <w:lang w:eastAsia="es-CR"/>
        </w:rPr>
      </w:pPr>
    </w:p>
    <w:p w14:paraId="47F2AB7F" w14:textId="62110866" w:rsidR="00516574" w:rsidRPr="004E74A6" w:rsidRDefault="00230CC3" w:rsidP="00F0204A">
      <w:pPr>
        <w:spacing w:line="276" w:lineRule="auto"/>
        <w:jc w:val="center"/>
        <w:rPr>
          <w:b/>
          <w:bCs/>
          <w:i/>
          <w:iCs/>
          <w:sz w:val="22"/>
          <w:szCs w:val="22"/>
        </w:rPr>
      </w:pPr>
      <w:r w:rsidRPr="004E74A6">
        <w:rPr>
          <w:b/>
          <w:bCs/>
          <w:i/>
          <w:iCs/>
          <w:sz w:val="22"/>
          <w:szCs w:val="22"/>
        </w:rPr>
        <w:t xml:space="preserve">Ilustración </w:t>
      </w:r>
      <w:r w:rsidRPr="004E74A6">
        <w:rPr>
          <w:b/>
          <w:bCs/>
          <w:i/>
          <w:iCs/>
          <w:sz w:val="22"/>
          <w:szCs w:val="22"/>
        </w:rPr>
        <w:fldChar w:fldCharType="begin"/>
      </w:r>
      <w:r w:rsidRPr="004E74A6">
        <w:rPr>
          <w:b/>
          <w:bCs/>
          <w:i/>
          <w:iCs/>
          <w:sz w:val="22"/>
          <w:szCs w:val="22"/>
        </w:rPr>
        <w:instrText xml:space="preserve"> SEQ Ilustración \* ARABIC </w:instrText>
      </w:r>
      <w:r w:rsidRPr="004E74A6">
        <w:rPr>
          <w:b/>
          <w:bCs/>
          <w:i/>
          <w:iCs/>
          <w:sz w:val="22"/>
          <w:szCs w:val="22"/>
        </w:rPr>
        <w:fldChar w:fldCharType="separate"/>
      </w:r>
      <w:r w:rsidR="00755589" w:rsidRPr="004E74A6">
        <w:rPr>
          <w:b/>
          <w:bCs/>
          <w:i/>
          <w:iCs/>
          <w:noProof/>
          <w:sz w:val="22"/>
          <w:szCs w:val="22"/>
        </w:rPr>
        <w:t>3</w:t>
      </w:r>
      <w:r w:rsidRPr="004E74A6">
        <w:rPr>
          <w:b/>
          <w:bCs/>
          <w:i/>
          <w:iCs/>
          <w:sz w:val="22"/>
          <w:szCs w:val="22"/>
        </w:rPr>
        <w:fldChar w:fldCharType="end"/>
      </w:r>
      <w:r w:rsidRPr="004E74A6">
        <w:rPr>
          <w:b/>
          <w:bCs/>
          <w:i/>
          <w:iCs/>
          <w:sz w:val="22"/>
          <w:szCs w:val="22"/>
        </w:rPr>
        <w:t xml:space="preserve"> </w:t>
      </w:r>
    </w:p>
    <w:p w14:paraId="645DAD43" w14:textId="01F064B8" w:rsidR="00230CC3" w:rsidRPr="004E74A6" w:rsidRDefault="00230CC3" w:rsidP="00832773">
      <w:pPr>
        <w:spacing w:line="276" w:lineRule="auto"/>
        <w:jc w:val="center"/>
        <w:rPr>
          <w:b/>
          <w:bCs/>
          <w:i/>
          <w:iCs/>
          <w:sz w:val="22"/>
          <w:szCs w:val="22"/>
        </w:rPr>
      </w:pPr>
      <w:r w:rsidRPr="004E74A6">
        <w:rPr>
          <w:b/>
          <w:bCs/>
          <w:i/>
          <w:iCs/>
          <w:sz w:val="22"/>
          <w:szCs w:val="22"/>
        </w:rPr>
        <w:t xml:space="preserve">Escenario A.1 Fijar </w:t>
      </w:r>
      <w:r w:rsidR="00E37316" w:rsidRPr="004E74A6">
        <w:rPr>
          <w:b/>
          <w:bCs/>
          <w:i/>
          <w:iCs/>
          <w:sz w:val="22"/>
          <w:szCs w:val="22"/>
        </w:rPr>
        <w:t>un solo monto para dividir menor y mayor cuantía</w:t>
      </w:r>
    </w:p>
    <w:p w14:paraId="0EF8AF8E" w14:textId="1EA037A0" w:rsidR="007C748A" w:rsidRPr="004E74A6" w:rsidRDefault="0052365D" w:rsidP="00832773">
      <w:pPr>
        <w:spacing w:line="276" w:lineRule="auto"/>
        <w:jc w:val="center"/>
        <w:rPr>
          <w:lang w:eastAsia="es-CR"/>
        </w:rPr>
      </w:pPr>
      <w:r w:rsidRPr="004E74A6">
        <w:rPr>
          <w:noProof/>
        </w:rPr>
        <w:drawing>
          <wp:inline distT="0" distB="0" distL="0" distR="0" wp14:anchorId="6B36F47F" wp14:editId="629DDD68">
            <wp:extent cx="4839238" cy="3628334"/>
            <wp:effectExtent l="0" t="0" r="0" b="0"/>
            <wp:docPr id="17" name="Imagen 17"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7" descr="Imagen que contiene Texto&#10;&#10;Descripción generada automáticamen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848007" cy="3634909"/>
                    </a:xfrm>
                    <a:prstGeom prst="rect">
                      <a:avLst/>
                    </a:prstGeom>
                    <a:noFill/>
                    <a:ln>
                      <a:noFill/>
                    </a:ln>
                  </pic:spPr>
                </pic:pic>
              </a:graphicData>
            </a:graphic>
          </wp:inline>
        </w:drawing>
      </w:r>
    </w:p>
    <w:p w14:paraId="7390C86A" w14:textId="37F62E92" w:rsidR="00230CC3" w:rsidRPr="004E74A6" w:rsidRDefault="00230CC3" w:rsidP="00832773">
      <w:pPr>
        <w:spacing w:line="276" w:lineRule="auto"/>
        <w:jc w:val="center"/>
        <w:rPr>
          <w:i/>
          <w:iCs/>
          <w:sz w:val="20"/>
          <w:lang w:eastAsia="es-CR"/>
        </w:rPr>
      </w:pPr>
      <w:r w:rsidRPr="004E74A6">
        <w:rPr>
          <w:b/>
          <w:bCs/>
          <w:i/>
          <w:iCs/>
          <w:sz w:val="20"/>
          <w:lang w:eastAsia="es-CR"/>
        </w:rPr>
        <w:t>Fuente</w:t>
      </w:r>
      <w:r w:rsidRPr="004E74A6">
        <w:rPr>
          <w:i/>
          <w:iCs/>
          <w:sz w:val="20"/>
          <w:lang w:eastAsia="es-CR"/>
        </w:rPr>
        <w:t xml:space="preserve">: </w:t>
      </w:r>
      <w:r w:rsidR="00C551A2" w:rsidRPr="004E74A6">
        <w:rPr>
          <w:i/>
          <w:iCs/>
          <w:sz w:val="20"/>
          <w:lang w:eastAsia="es-CR"/>
        </w:rPr>
        <w:t>Subproceso de Modernización Institucional, Dirección de Planificación.</w:t>
      </w:r>
    </w:p>
    <w:p w14:paraId="246B6AC2" w14:textId="77777777" w:rsidR="00E17B95" w:rsidRPr="004E74A6" w:rsidRDefault="00E17B95" w:rsidP="00CE62C1">
      <w:pPr>
        <w:spacing w:after="160" w:line="276" w:lineRule="auto"/>
        <w:rPr>
          <w:rFonts w:cs="Calibri"/>
          <w:color w:val="000000"/>
          <w:szCs w:val="24"/>
          <w:lang w:eastAsia="es-CR"/>
        </w:rPr>
      </w:pPr>
    </w:p>
    <w:p w14:paraId="53A09EE5" w14:textId="28F9100B" w:rsidR="00140EE1" w:rsidRPr="004E74A6" w:rsidRDefault="00140EE1" w:rsidP="00CE62C1">
      <w:pPr>
        <w:spacing w:after="160" w:line="276" w:lineRule="auto"/>
        <w:rPr>
          <w:rFonts w:cs="Calibri"/>
          <w:color w:val="000000"/>
          <w:szCs w:val="24"/>
          <w:lang w:eastAsia="es-CR"/>
        </w:rPr>
      </w:pPr>
      <w:r w:rsidRPr="004E74A6">
        <w:rPr>
          <w:rFonts w:cs="Calibri"/>
          <w:color w:val="000000"/>
          <w:szCs w:val="24"/>
          <w:lang w:eastAsia="es-CR"/>
        </w:rPr>
        <w:t xml:space="preserve">El principal impacto </w:t>
      </w:r>
      <w:r w:rsidR="006A3E1D" w:rsidRPr="004E74A6">
        <w:rPr>
          <w:rFonts w:cs="Calibri"/>
          <w:color w:val="000000"/>
          <w:szCs w:val="24"/>
          <w:lang w:eastAsia="es-CR"/>
        </w:rPr>
        <w:t>de esta versión del escenario “</w:t>
      </w:r>
      <w:r w:rsidR="006A3E1D" w:rsidRPr="004E74A6">
        <w:rPr>
          <w:rFonts w:cs="Calibri"/>
          <w:i/>
          <w:iCs/>
          <w:color w:val="000000"/>
          <w:szCs w:val="24"/>
          <w:lang w:eastAsia="es-CR"/>
        </w:rPr>
        <w:t>A. Criterio experto</w:t>
      </w:r>
      <w:r w:rsidR="006A3E1D" w:rsidRPr="004E74A6">
        <w:rPr>
          <w:rFonts w:cs="Calibri"/>
          <w:color w:val="000000"/>
          <w:szCs w:val="24"/>
          <w:lang w:eastAsia="es-CR"/>
        </w:rPr>
        <w:t xml:space="preserve">” </w:t>
      </w:r>
      <w:r w:rsidRPr="004E74A6">
        <w:rPr>
          <w:rFonts w:cs="Calibri"/>
          <w:color w:val="000000"/>
          <w:szCs w:val="24"/>
          <w:lang w:eastAsia="es-CR"/>
        </w:rPr>
        <w:t xml:space="preserve">sería una distribución de la entrada o carga de trabajo entre Tribunales Colegidos y Juzgados en la </w:t>
      </w:r>
      <w:r w:rsidR="00875BDD" w:rsidRPr="004E74A6">
        <w:rPr>
          <w:rFonts w:cs="Calibri"/>
          <w:color w:val="000000"/>
          <w:szCs w:val="24"/>
          <w:lang w:eastAsia="es-CR"/>
        </w:rPr>
        <w:t>P</w:t>
      </w:r>
      <w:r w:rsidRPr="004E74A6">
        <w:rPr>
          <w:rFonts w:cs="Calibri"/>
          <w:color w:val="000000"/>
          <w:szCs w:val="24"/>
          <w:lang w:eastAsia="es-CR"/>
        </w:rPr>
        <w:t xml:space="preserve">rimera </w:t>
      </w:r>
      <w:r w:rsidR="00875BDD" w:rsidRPr="004E74A6">
        <w:rPr>
          <w:rFonts w:cs="Calibri"/>
          <w:color w:val="000000"/>
          <w:szCs w:val="24"/>
          <w:lang w:eastAsia="es-CR"/>
        </w:rPr>
        <w:t>I</w:t>
      </w:r>
      <w:r w:rsidRPr="004E74A6">
        <w:rPr>
          <w:rFonts w:cs="Calibri"/>
          <w:color w:val="000000"/>
          <w:szCs w:val="24"/>
          <w:lang w:eastAsia="es-CR"/>
        </w:rPr>
        <w:t xml:space="preserve">nstancia Civil. </w:t>
      </w:r>
      <w:r w:rsidR="006A3E1D" w:rsidRPr="004E74A6">
        <w:rPr>
          <w:rFonts w:cs="Calibri"/>
          <w:color w:val="000000"/>
          <w:szCs w:val="24"/>
          <w:lang w:eastAsia="es-CR"/>
        </w:rPr>
        <w:t>Una</w:t>
      </w:r>
      <w:r w:rsidRPr="004E74A6">
        <w:rPr>
          <w:rFonts w:cs="Calibri"/>
          <w:color w:val="000000"/>
          <w:szCs w:val="24"/>
          <w:lang w:eastAsia="es-CR"/>
        </w:rPr>
        <w:t xml:space="preserve"> porción de la entrada actual en los Tribunales </w:t>
      </w:r>
      <w:r w:rsidRPr="004E74A6">
        <w:rPr>
          <w:rFonts w:cs="Calibri"/>
          <w:color w:val="000000"/>
          <w:szCs w:val="24"/>
          <w:lang w:eastAsia="es-CR"/>
        </w:rPr>
        <w:lastRenderedPageBreak/>
        <w:t xml:space="preserve">Colegiados (por ejemplo, en caso de fijarse en 20 millones, entonces el total de procesos ordinarios con una pretensión estimada entre </w:t>
      </w:r>
      <w:r w:rsidRPr="00832773">
        <w:rPr>
          <w:rFonts w:cs="Calibri"/>
          <w:color w:val="000000"/>
          <w:szCs w:val="24"/>
          <w:lang w:eastAsia="es-CR"/>
        </w:rPr>
        <w:t>¢</w:t>
      </w:r>
      <w:r w:rsidRPr="004E74A6">
        <w:rPr>
          <w:rFonts w:cs="Calibri"/>
          <w:color w:val="000000"/>
          <w:szCs w:val="24"/>
          <w:lang w:eastAsia="es-CR"/>
        </w:rPr>
        <w:t xml:space="preserve">3.000.001 y </w:t>
      </w:r>
      <w:r w:rsidRPr="00832773">
        <w:rPr>
          <w:rFonts w:cs="Calibri"/>
          <w:color w:val="000000"/>
          <w:szCs w:val="24"/>
          <w:lang w:eastAsia="es-CR"/>
        </w:rPr>
        <w:t>¢</w:t>
      </w:r>
      <w:r w:rsidRPr="004E74A6">
        <w:rPr>
          <w:rFonts w:cs="Calibri"/>
          <w:color w:val="000000"/>
          <w:szCs w:val="24"/>
          <w:lang w:eastAsia="es-CR"/>
        </w:rPr>
        <w:t xml:space="preserve">20.000.000) dejaría de entrar en Tribunales Colegiados (que actualmente enfrentan baja carga </w:t>
      </w:r>
      <w:r w:rsidR="005925EA" w:rsidRPr="004E74A6">
        <w:rPr>
          <w:rFonts w:cs="Calibri"/>
          <w:color w:val="000000"/>
          <w:szCs w:val="24"/>
          <w:lang w:eastAsia="es-CR"/>
        </w:rPr>
        <w:t xml:space="preserve">de </w:t>
      </w:r>
      <w:r w:rsidR="005047C1" w:rsidRPr="004E74A6">
        <w:rPr>
          <w:rFonts w:cs="Calibri"/>
          <w:color w:val="000000"/>
          <w:szCs w:val="24"/>
          <w:lang w:eastAsia="es-CR"/>
        </w:rPr>
        <w:t>trabajo,</w:t>
      </w:r>
      <w:r w:rsidR="00764CAC" w:rsidRPr="004E74A6">
        <w:rPr>
          <w:rFonts w:cs="Calibri"/>
          <w:color w:val="000000"/>
          <w:szCs w:val="24"/>
          <w:lang w:eastAsia="es-CR"/>
        </w:rPr>
        <w:t xml:space="preserve"> pero tienen una estructura mínima que </w:t>
      </w:r>
      <w:r w:rsidR="000B066F" w:rsidRPr="004E74A6">
        <w:rPr>
          <w:rFonts w:cs="Calibri"/>
          <w:color w:val="000000"/>
          <w:szCs w:val="24"/>
          <w:lang w:eastAsia="es-CR"/>
        </w:rPr>
        <w:t xml:space="preserve">requiere </w:t>
      </w:r>
      <w:r w:rsidR="00764CAC" w:rsidRPr="004E74A6">
        <w:rPr>
          <w:rFonts w:cs="Calibri"/>
          <w:color w:val="000000"/>
          <w:szCs w:val="24"/>
          <w:lang w:eastAsia="es-CR"/>
        </w:rPr>
        <w:t>mantener de 3 personas juzgadoras independientemente</w:t>
      </w:r>
      <w:r w:rsidR="000B066F" w:rsidRPr="004E74A6">
        <w:rPr>
          <w:rFonts w:cs="Calibri"/>
          <w:color w:val="000000"/>
          <w:szCs w:val="24"/>
          <w:lang w:eastAsia="es-CR"/>
        </w:rPr>
        <w:t xml:space="preserve"> de la carga de trabajo</w:t>
      </w:r>
      <w:r w:rsidRPr="004E74A6">
        <w:rPr>
          <w:rFonts w:cs="Calibri"/>
          <w:color w:val="000000"/>
          <w:szCs w:val="24"/>
          <w:lang w:eastAsia="es-CR"/>
        </w:rPr>
        <w:t xml:space="preserve">) y se trasladaría a los Juzgados Civiles (que en la mayoría también enfrentan baja carga laboral). </w:t>
      </w:r>
    </w:p>
    <w:p w14:paraId="75E931DC" w14:textId="573FCF85" w:rsidR="00530D4E" w:rsidRPr="004E74A6" w:rsidRDefault="00530D4E" w:rsidP="00CE62C1">
      <w:pPr>
        <w:spacing w:after="160" w:line="276" w:lineRule="auto"/>
        <w:rPr>
          <w:rFonts w:cs="Calibri"/>
          <w:color w:val="000000"/>
          <w:szCs w:val="24"/>
          <w:lang w:eastAsia="es-CR"/>
        </w:rPr>
      </w:pPr>
      <w:r w:rsidRPr="004E74A6">
        <w:rPr>
          <w:rFonts w:cs="Calibri"/>
          <w:color w:val="000000"/>
          <w:szCs w:val="24"/>
          <w:lang w:eastAsia="es-CR"/>
        </w:rPr>
        <w:t xml:space="preserve">La disminución sobre la entrada de los Tribunales Colegiados de Primera Instancia Civil tendría una repercusión sobre el </w:t>
      </w:r>
      <w:r w:rsidR="007F2B87" w:rsidRPr="004E74A6">
        <w:rPr>
          <w:rFonts w:cs="Calibri"/>
          <w:color w:val="000000"/>
          <w:szCs w:val="24"/>
          <w:lang w:eastAsia="es-CR"/>
        </w:rPr>
        <w:t>circulante,</w:t>
      </w:r>
      <w:r w:rsidR="00356316" w:rsidRPr="004E74A6">
        <w:rPr>
          <w:rFonts w:cs="Calibri"/>
          <w:color w:val="000000"/>
          <w:szCs w:val="24"/>
          <w:lang w:eastAsia="es-CR"/>
        </w:rPr>
        <w:t xml:space="preserve"> así como audiencias y cumplimiento de cuotas, situación en donde debe valorarse el riesgo y posibles implicaciones en el cumplimiento legal de los Tribunales ante la utilización de un escenario como el A.1 para establecer el límite de cuantía.</w:t>
      </w:r>
    </w:p>
    <w:p w14:paraId="53FC8F3B" w14:textId="258A28B5" w:rsidR="00140EE1" w:rsidRPr="004E74A6" w:rsidRDefault="00140EE1" w:rsidP="00CE62C1">
      <w:pPr>
        <w:spacing w:after="160" w:line="276" w:lineRule="auto"/>
        <w:rPr>
          <w:rFonts w:cs="Calibri"/>
          <w:color w:val="000000"/>
          <w:szCs w:val="24"/>
          <w:lang w:eastAsia="es-CR"/>
        </w:rPr>
      </w:pPr>
      <w:r w:rsidRPr="004E74A6">
        <w:rPr>
          <w:rFonts w:cs="Calibri"/>
          <w:color w:val="000000"/>
          <w:szCs w:val="24"/>
          <w:lang w:eastAsia="es-CR"/>
        </w:rPr>
        <w:t xml:space="preserve">Otro efecto sería, </w:t>
      </w:r>
      <w:r w:rsidR="00213160" w:rsidRPr="004E74A6">
        <w:rPr>
          <w:rFonts w:cs="Calibri"/>
          <w:color w:val="000000"/>
          <w:szCs w:val="24"/>
          <w:lang w:eastAsia="es-CR"/>
        </w:rPr>
        <w:t>que,</w:t>
      </w:r>
      <w:r w:rsidRPr="004E74A6">
        <w:rPr>
          <w:rFonts w:cs="Calibri"/>
          <w:color w:val="000000"/>
          <w:szCs w:val="24"/>
          <w:lang w:eastAsia="es-CR"/>
        </w:rPr>
        <w:t xml:space="preserve"> al entrar menos asuntos en Tribunales de Primera Instancia</w:t>
      </w:r>
      <w:r w:rsidR="006A3E1D" w:rsidRPr="004E74A6">
        <w:rPr>
          <w:rFonts w:cs="Calibri"/>
          <w:color w:val="000000"/>
          <w:szCs w:val="24"/>
          <w:lang w:eastAsia="es-CR"/>
        </w:rPr>
        <w:t xml:space="preserve"> Civil</w:t>
      </w:r>
      <w:r w:rsidRPr="004E74A6">
        <w:rPr>
          <w:rFonts w:cs="Calibri"/>
          <w:color w:val="000000"/>
          <w:szCs w:val="24"/>
          <w:lang w:eastAsia="es-CR"/>
        </w:rPr>
        <w:t>, se dicta</w:t>
      </w:r>
      <w:r w:rsidR="006A3E1D" w:rsidRPr="004E74A6">
        <w:rPr>
          <w:rFonts w:cs="Calibri"/>
          <w:color w:val="000000"/>
          <w:szCs w:val="24"/>
          <w:lang w:eastAsia="es-CR"/>
        </w:rPr>
        <w:t>ra</w:t>
      </w:r>
      <w:r w:rsidRPr="004E74A6">
        <w:rPr>
          <w:rFonts w:cs="Calibri"/>
          <w:color w:val="000000"/>
          <w:szCs w:val="24"/>
          <w:lang w:eastAsia="es-CR"/>
        </w:rPr>
        <w:t xml:space="preserve">n menos sentencias en ordinarios y entrarían entonces menos recursos ante Sala Primera. </w:t>
      </w:r>
    </w:p>
    <w:p w14:paraId="3301E47D" w14:textId="2F26E7B9" w:rsidR="004E6C16" w:rsidRPr="004E74A6" w:rsidRDefault="00140EE1" w:rsidP="00CE62C1">
      <w:pPr>
        <w:spacing w:after="160" w:line="276" w:lineRule="auto"/>
        <w:rPr>
          <w:rFonts w:cs="Calibri"/>
          <w:color w:val="000000"/>
          <w:szCs w:val="24"/>
          <w:lang w:eastAsia="es-CR"/>
        </w:rPr>
      </w:pPr>
      <w:r w:rsidRPr="004E74A6">
        <w:rPr>
          <w:rFonts w:cs="Calibri"/>
          <w:color w:val="000000"/>
          <w:szCs w:val="24"/>
          <w:lang w:eastAsia="es-CR"/>
        </w:rPr>
        <w:t xml:space="preserve">Consecuentemente, al entrar más asuntos en Juzgados, se dictarían ahí más sentencias </w:t>
      </w:r>
      <w:r w:rsidR="000B066F" w:rsidRPr="004E74A6">
        <w:rPr>
          <w:rFonts w:cs="Calibri"/>
          <w:color w:val="000000"/>
          <w:szCs w:val="24"/>
          <w:lang w:eastAsia="es-CR"/>
        </w:rPr>
        <w:t xml:space="preserve">o incidentes </w:t>
      </w:r>
      <w:r w:rsidRPr="004E74A6">
        <w:rPr>
          <w:rFonts w:cs="Calibri"/>
          <w:color w:val="000000"/>
          <w:szCs w:val="24"/>
          <w:lang w:eastAsia="es-CR"/>
        </w:rPr>
        <w:t xml:space="preserve">que tendrían </w:t>
      </w:r>
      <w:r w:rsidR="00213160" w:rsidRPr="004E74A6">
        <w:rPr>
          <w:rFonts w:cs="Calibri"/>
          <w:color w:val="000000"/>
          <w:szCs w:val="24"/>
          <w:lang w:eastAsia="es-CR"/>
        </w:rPr>
        <w:t>apelación,</w:t>
      </w:r>
      <w:r w:rsidRPr="004E74A6">
        <w:rPr>
          <w:rFonts w:cs="Calibri"/>
          <w:color w:val="000000"/>
          <w:szCs w:val="24"/>
          <w:lang w:eastAsia="es-CR"/>
        </w:rPr>
        <w:t xml:space="preserve"> pero ante los Tribunales de </w:t>
      </w:r>
      <w:r w:rsidR="004E6C16" w:rsidRPr="004E74A6">
        <w:rPr>
          <w:rFonts w:cs="Calibri"/>
          <w:color w:val="000000"/>
          <w:szCs w:val="24"/>
          <w:lang w:eastAsia="es-CR"/>
        </w:rPr>
        <w:t xml:space="preserve">Apelación en </w:t>
      </w:r>
      <w:r w:rsidRPr="004E74A6">
        <w:rPr>
          <w:rFonts w:cs="Calibri"/>
          <w:color w:val="000000"/>
          <w:szCs w:val="24"/>
          <w:lang w:eastAsia="es-CR"/>
        </w:rPr>
        <w:t>Segunda instancia donde se debería visualizar en condiciones normales un incremento</w:t>
      </w:r>
      <w:r w:rsidR="004E6C16" w:rsidRPr="004E74A6">
        <w:rPr>
          <w:rFonts w:cs="Calibri"/>
          <w:color w:val="000000"/>
          <w:szCs w:val="24"/>
          <w:lang w:eastAsia="es-CR"/>
        </w:rPr>
        <w:t xml:space="preserve"> de</w:t>
      </w:r>
      <w:r w:rsidRPr="004E74A6">
        <w:rPr>
          <w:rFonts w:cs="Calibri"/>
          <w:color w:val="000000"/>
          <w:szCs w:val="24"/>
          <w:lang w:eastAsia="es-CR"/>
        </w:rPr>
        <w:t xml:space="preserve"> la entrada en materia Civil. </w:t>
      </w:r>
    </w:p>
    <w:p w14:paraId="1B0FB4AF" w14:textId="064CFAC4" w:rsidR="00140EE1" w:rsidRPr="004E74A6" w:rsidRDefault="00140EE1" w:rsidP="00CE62C1">
      <w:pPr>
        <w:spacing w:after="160" w:line="276" w:lineRule="auto"/>
        <w:rPr>
          <w:rFonts w:cs="Calibri"/>
          <w:color w:val="000000"/>
          <w:szCs w:val="24"/>
          <w:lang w:eastAsia="es-CR"/>
        </w:rPr>
      </w:pPr>
      <w:r w:rsidRPr="004E74A6">
        <w:rPr>
          <w:rFonts w:cs="Calibri"/>
          <w:color w:val="000000"/>
          <w:szCs w:val="24"/>
          <w:lang w:eastAsia="es-CR"/>
        </w:rPr>
        <w:t xml:space="preserve">Más recursos civiles entrando en Tribunales </w:t>
      </w:r>
      <w:r w:rsidR="004E6C16" w:rsidRPr="004E74A6">
        <w:rPr>
          <w:rFonts w:cs="Calibri"/>
          <w:color w:val="000000"/>
          <w:szCs w:val="24"/>
          <w:lang w:eastAsia="es-CR"/>
        </w:rPr>
        <w:t>de Apelación</w:t>
      </w:r>
      <w:r w:rsidR="00B72534">
        <w:rPr>
          <w:rFonts w:cs="Calibri"/>
          <w:color w:val="000000"/>
          <w:szCs w:val="24"/>
          <w:lang w:eastAsia="es-CR"/>
        </w:rPr>
        <w:t>,</w:t>
      </w:r>
      <w:r w:rsidR="004E6C16" w:rsidRPr="004E74A6">
        <w:rPr>
          <w:rFonts w:cs="Calibri"/>
          <w:color w:val="000000"/>
          <w:szCs w:val="24"/>
          <w:lang w:eastAsia="es-CR"/>
        </w:rPr>
        <w:t xml:space="preserve"> </w:t>
      </w:r>
      <w:r w:rsidRPr="004E74A6">
        <w:rPr>
          <w:rFonts w:cs="Calibri"/>
          <w:color w:val="000000"/>
          <w:szCs w:val="24"/>
          <w:lang w:eastAsia="es-CR"/>
        </w:rPr>
        <w:t>que son en su mayoría mixtos, implica una variación en la distribución de los asuntos terminados/cuota (deber de fallar más recursos civiles que laborales en caso de que la proporción de la entrada varíe entre ambas materias).</w:t>
      </w:r>
    </w:p>
    <w:p w14:paraId="4A01FCE9" w14:textId="77777777" w:rsidR="00B72534" w:rsidRDefault="00B72534" w:rsidP="00CE62C1">
      <w:pPr>
        <w:shd w:val="clear" w:color="auto" w:fill="FFF2CC" w:themeFill="accent4" w:themeFillTint="33"/>
        <w:spacing w:after="120" w:line="276" w:lineRule="auto"/>
        <w:rPr>
          <w:b/>
          <w:bCs/>
          <w:lang w:eastAsia="es-CR"/>
        </w:rPr>
      </w:pPr>
    </w:p>
    <w:p w14:paraId="65DACBE3" w14:textId="3FC0296C" w:rsidR="00140EE1" w:rsidRPr="004E74A6" w:rsidRDefault="006A3E1D" w:rsidP="00CE62C1">
      <w:pPr>
        <w:shd w:val="clear" w:color="auto" w:fill="FFF2CC" w:themeFill="accent4" w:themeFillTint="33"/>
        <w:spacing w:after="120" w:line="276" w:lineRule="auto"/>
        <w:rPr>
          <w:lang w:eastAsia="es-CR"/>
        </w:rPr>
      </w:pPr>
      <w:r w:rsidRPr="004E74A6">
        <w:rPr>
          <w:b/>
          <w:bCs/>
          <w:lang w:eastAsia="es-CR"/>
        </w:rPr>
        <w:t xml:space="preserve">Escenario </w:t>
      </w:r>
      <w:r w:rsidR="00140EE1" w:rsidRPr="004E74A6">
        <w:rPr>
          <w:b/>
          <w:bCs/>
          <w:lang w:eastAsia="es-CR"/>
        </w:rPr>
        <w:t xml:space="preserve">A.2. </w:t>
      </w:r>
      <w:r w:rsidR="00140EE1" w:rsidRPr="004E74A6">
        <w:rPr>
          <w:rFonts w:cs="Calibri"/>
          <w:color w:val="000000"/>
          <w:szCs w:val="24"/>
          <w:lang w:eastAsia="es-CR"/>
        </w:rPr>
        <w:t>Mantener el monto de cuantía actual de 3 millones para todos los efectos, salvo para accesar al recurso de casación ante Sala Primera (apelación sentencias dictadas en procesos ordinarios o inestimables por parte de los Tribunales Colegidos de Primera Instancia Civil).</w:t>
      </w:r>
    </w:p>
    <w:p w14:paraId="6D776CE3" w14:textId="1452A41B" w:rsidR="00230CC3" w:rsidRDefault="00230CC3" w:rsidP="00832773">
      <w:pPr>
        <w:spacing w:line="276" w:lineRule="auto"/>
        <w:rPr>
          <w:lang w:eastAsia="es-CR"/>
        </w:rPr>
      </w:pPr>
    </w:p>
    <w:p w14:paraId="416E5096" w14:textId="40166DD9" w:rsidR="00194F64" w:rsidRDefault="00194F64" w:rsidP="00832773">
      <w:pPr>
        <w:spacing w:line="276" w:lineRule="auto"/>
        <w:rPr>
          <w:lang w:eastAsia="es-CR"/>
        </w:rPr>
      </w:pPr>
    </w:p>
    <w:p w14:paraId="3780F221" w14:textId="68D59CB9" w:rsidR="00194F64" w:rsidRDefault="00194F64" w:rsidP="00832773">
      <w:pPr>
        <w:spacing w:line="276" w:lineRule="auto"/>
        <w:rPr>
          <w:lang w:eastAsia="es-CR"/>
        </w:rPr>
      </w:pPr>
    </w:p>
    <w:p w14:paraId="65EA6302" w14:textId="6BE542F4" w:rsidR="00194F64" w:rsidRDefault="00194F64" w:rsidP="00832773">
      <w:pPr>
        <w:spacing w:line="276" w:lineRule="auto"/>
        <w:rPr>
          <w:lang w:eastAsia="es-CR"/>
        </w:rPr>
      </w:pPr>
    </w:p>
    <w:p w14:paraId="554674D0" w14:textId="77777777" w:rsidR="00194F64" w:rsidRPr="004E74A6" w:rsidRDefault="00194F64" w:rsidP="00832773">
      <w:pPr>
        <w:spacing w:line="276" w:lineRule="auto"/>
        <w:rPr>
          <w:lang w:eastAsia="es-CR"/>
        </w:rPr>
      </w:pPr>
    </w:p>
    <w:p w14:paraId="6C6A2330" w14:textId="2E5B3F70" w:rsidR="00516574" w:rsidRPr="004E74A6" w:rsidRDefault="00230CC3" w:rsidP="00F0204A">
      <w:pPr>
        <w:spacing w:line="276" w:lineRule="auto"/>
        <w:jc w:val="center"/>
        <w:rPr>
          <w:b/>
          <w:bCs/>
          <w:i/>
          <w:iCs/>
          <w:sz w:val="22"/>
          <w:szCs w:val="22"/>
        </w:rPr>
      </w:pPr>
      <w:r w:rsidRPr="004E74A6">
        <w:rPr>
          <w:b/>
          <w:bCs/>
          <w:i/>
          <w:iCs/>
          <w:sz w:val="22"/>
          <w:szCs w:val="22"/>
        </w:rPr>
        <w:lastRenderedPageBreak/>
        <w:t xml:space="preserve">Ilustración </w:t>
      </w:r>
      <w:r w:rsidRPr="004E74A6">
        <w:rPr>
          <w:b/>
          <w:bCs/>
          <w:i/>
          <w:iCs/>
          <w:sz w:val="22"/>
          <w:szCs w:val="22"/>
        </w:rPr>
        <w:fldChar w:fldCharType="begin"/>
      </w:r>
      <w:r w:rsidRPr="004E74A6">
        <w:rPr>
          <w:b/>
          <w:bCs/>
          <w:i/>
          <w:iCs/>
          <w:sz w:val="22"/>
          <w:szCs w:val="22"/>
        </w:rPr>
        <w:instrText xml:space="preserve"> SEQ Ilustración \* ARABIC </w:instrText>
      </w:r>
      <w:r w:rsidRPr="004E74A6">
        <w:rPr>
          <w:b/>
          <w:bCs/>
          <w:i/>
          <w:iCs/>
          <w:sz w:val="22"/>
          <w:szCs w:val="22"/>
        </w:rPr>
        <w:fldChar w:fldCharType="separate"/>
      </w:r>
      <w:r w:rsidR="00755589" w:rsidRPr="004E74A6">
        <w:rPr>
          <w:b/>
          <w:bCs/>
          <w:i/>
          <w:iCs/>
          <w:noProof/>
          <w:sz w:val="22"/>
          <w:szCs w:val="22"/>
        </w:rPr>
        <w:t>4</w:t>
      </w:r>
      <w:r w:rsidRPr="004E74A6">
        <w:rPr>
          <w:b/>
          <w:bCs/>
          <w:i/>
          <w:iCs/>
          <w:sz w:val="22"/>
          <w:szCs w:val="22"/>
        </w:rPr>
        <w:fldChar w:fldCharType="end"/>
      </w:r>
      <w:r w:rsidRPr="004E74A6">
        <w:rPr>
          <w:b/>
          <w:bCs/>
          <w:i/>
          <w:iCs/>
          <w:sz w:val="22"/>
          <w:szCs w:val="22"/>
        </w:rPr>
        <w:t xml:space="preserve"> </w:t>
      </w:r>
    </w:p>
    <w:p w14:paraId="718C1A9B" w14:textId="23F54969" w:rsidR="00230CC3" w:rsidRPr="004E74A6" w:rsidRDefault="00230CC3" w:rsidP="00832773">
      <w:pPr>
        <w:spacing w:line="276" w:lineRule="auto"/>
        <w:jc w:val="center"/>
        <w:rPr>
          <w:b/>
          <w:bCs/>
          <w:i/>
          <w:iCs/>
          <w:sz w:val="20"/>
        </w:rPr>
      </w:pPr>
      <w:r w:rsidRPr="004E74A6">
        <w:rPr>
          <w:b/>
          <w:bCs/>
          <w:i/>
          <w:iCs/>
          <w:sz w:val="22"/>
          <w:szCs w:val="22"/>
        </w:rPr>
        <w:t>Escenario A.2 Mantener límite de cuantía</w:t>
      </w:r>
      <w:r w:rsidR="00E37316" w:rsidRPr="004E74A6">
        <w:rPr>
          <w:b/>
          <w:bCs/>
          <w:i/>
          <w:iCs/>
          <w:sz w:val="22"/>
          <w:szCs w:val="22"/>
        </w:rPr>
        <w:t xml:space="preserve">, salvo para accesar al </w:t>
      </w:r>
      <w:r w:rsidRPr="004E74A6">
        <w:rPr>
          <w:b/>
          <w:bCs/>
          <w:i/>
          <w:iCs/>
          <w:sz w:val="22"/>
          <w:szCs w:val="22"/>
        </w:rPr>
        <w:t>recu</w:t>
      </w:r>
      <w:r w:rsidR="00936BC0" w:rsidRPr="004E74A6">
        <w:rPr>
          <w:b/>
          <w:bCs/>
          <w:i/>
          <w:iCs/>
          <w:sz w:val="22"/>
          <w:szCs w:val="22"/>
        </w:rPr>
        <w:t>r</w:t>
      </w:r>
      <w:r w:rsidRPr="004E74A6">
        <w:rPr>
          <w:b/>
          <w:bCs/>
          <w:i/>
          <w:iCs/>
          <w:sz w:val="22"/>
          <w:szCs w:val="22"/>
        </w:rPr>
        <w:t xml:space="preserve">so de </w:t>
      </w:r>
      <w:r w:rsidR="00E37316" w:rsidRPr="004E74A6">
        <w:rPr>
          <w:b/>
          <w:bCs/>
          <w:i/>
          <w:iCs/>
          <w:sz w:val="22"/>
          <w:szCs w:val="22"/>
        </w:rPr>
        <w:t>casación</w:t>
      </w:r>
    </w:p>
    <w:p w14:paraId="49C999AD" w14:textId="77777777" w:rsidR="00516574" w:rsidRPr="004E74A6" w:rsidRDefault="00516574" w:rsidP="00832773">
      <w:pPr>
        <w:spacing w:line="276" w:lineRule="auto"/>
        <w:jc w:val="center"/>
        <w:rPr>
          <w:b/>
          <w:bCs/>
          <w:i/>
          <w:iCs/>
          <w:sz w:val="20"/>
        </w:rPr>
      </w:pPr>
    </w:p>
    <w:p w14:paraId="27DF8B75" w14:textId="00E1B579" w:rsidR="00230CC3" w:rsidRPr="004E74A6" w:rsidRDefault="0052365D" w:rsidP="00832773">
      <w:pPr>
        <w:spacing w:line="276" w:lineRule="auto"/>
        <w:jc w:val="center"/>
        <w:rPr>
          <w:lang w:eastAsia="es-CR"/>
        </w:rPr>
      </w:pPr>
      <w:r w:rsidRPr="004E74A6">
        <w:rPr>
          <w:noProof/>
        </w:rPr>
        <w:drawing>
          <wp:inline distT="0" distB="0" distL="0" distR="0" wp14:anchorId="3BF778F3" wp14:editId="1F19BA98">
            <wp:extent cx="4595854" cy="3445851"/>
            <wp:effectExtent l="0" t="0" r="0" b="2540"/>
            <wp:docPr id="16" name="Imagen 16"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descr="Diagrama&#10;&#10;Descripción generada automáticament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601843" cy="3450341"/>
                    </a:xfrm>
                    <a:prstGeom prst="rect">
                      <a:avLst/>
                    </a:prstGeom>
                    <a:noFill/>
                    <a:ln>
                      <a:noFill/>
                    </a:ln>
                  </pic:spPr>
                </pic:pic>
              </a:graphicData>
            </a:graphic>
          </wp:inline>
        </w:drawing>
      </w:r>
    </w:p>
    <w:p w14:paraId="0E8387FB" w14:textId="0AE0D8C0" w:rsidR="00936BC0" w:rsidRPr="004E74A6" w:rsidRDefault="00C551A2" w:rsidP="00832773">
      <w:pPr>
        <w:spacing w:line="276" w:lineRule="auto"/>
        <w:jc w:val="center"/>
        <w:rPr>
          <w:lang w:eastAsia="es-CR"/>
        </w:rPr>
      </w:pPr>
      <w:r w:rsidRPr="004E74A6">
        <w:rPr>
          <w:b/>
          <w:bCs/>
          <w:i/>
          <w:iCs/>
          <w:sz w:val="20"/>
          <w:lang w:eastAsia="es-CR"/>
        </w:rPr>
        <w:t>Fuente</w:t>
      </w:r>
      <w:r w:rsidRPr="004E74A6">
        <w:rPr>
          <w:i/>
          <w:iCs/>
          <w:sz w:val="20"/>
          <w:lang w:eastAsia="es-CR"/>
        </w:rPr>
        <w:t>: Subproceso de Modernización Institucional, Dirección de Planificación.</w:t>
      </w:r>
    </w:p>
    <w:p w14:paraId="33FC0B00" w14:textId="77777777" w:rsidR="00F0204A" w:rsidRPr="004E74A6" w:rsidRDefault="00F0204A" w:rsidP="00CE62C1">
      <w:pPr>
        <w:spacing w:after="160" w:line="276" w:lineRule="auto"/>
        <w:rPr>
          <w:rFonts w:cs="Calibri"/>
          <w:color w:val="000000"/>
          <w:szCs w:val="24"/>
          <w:lang w:eastAsia="es-CR"/>
        </w:rPr>
      </w:pPr>
    </w:p>
    <w:p w14:paraId="798013F2" w14:textId="7AD762F3" w:rsidR="006A3E1D" w:rsidRPr="004E74A6" w:rsidRDefault="00140EE1" w:rsidP="00CE62C1">
      <w:pPr>
        <w:spacing w:after="160" w:line="276" w:lineRule="auto"/>
        <w:rPr>
          <w:rFonts w:cs="Calibri"/>
          <w:color w:val="000000"/>
          <w:szCs w:val="24"/>
          <w:lang w:eastAsia="es-CR"/>
        </w:rPr>
      </w:pPr>
      <w:r w:rsidRPr="004E74A6">
        <w:rPr>
          <w:rFonts w:cs="Calibri"/>
          <w:color w:val="000000"/>
          <w:szCs w:val="24"/>
          <w:lang w:eastAsia="es-CR"/>
        </w:rPr>
        <w:t xml:space="preserve">Esta versión del escenario </w:t>
      </w:r>
      <w:r w:rsidR="006A3E1D" w:rsidRPr="004E74A6">
        <w:rPr>
          <w:rFonts w:cs="Calibri"/>
          <w:color w:val="000000"/>
          <w:szCs w:val="24"/>
          <w:lang w:eastAsia="es-CR"/>
        </w:rPr>
        <w:t>“</w:t>
      </w:r>
      <w:r w:rsidRPr="004E74A6">
        <w:rPr>
          <w:rFonts w:cs="Calibri"/>
          <w:i/>
          <w:iCs/>
          <w:color w:val="000000"/>
          <w:szCs w:val="24"/>
          <w:lang w:eastAsia="es-CR"/>
        </w:rPr>
        <w:t>A</w:t>
      </w:r>
      <w:r w:rsidR="006A3E1D" w:rsidRPr="004E74A6">
        <w:rPr>
          <w:rFonts w:cs="Calibri"/>
          <w:i/>
          <w:iCs/>
          <w:color w:val="000000"/>
          <w:szCs w:val="24"/>
          <w:lang w:eastAsia="es-CR"/>
        </w:rPr>
        <w:t>. Criterio experto</w:t>
      </w:r>
      <w:r w:rsidR="006A3E1D" w:rsidRPr="004E74A6">
        <w:rPr>
          <w:rFonts w:cs="Calibri"/>
          <w:color w:val="000000"/>
          <w:szCs w:val="24"/>
          <w:lang w:eastAsia="es-CR"/>
        </w:rPr>
        <w:t>”</w:t>
      </w:r>
      <w:r w:rsidRPr="004E74A6">
        <w:rPr>
          <w:rFonts w:cs="Calibri"/>
          <w:color w:val="000000"/>
          <w:szCs w:val="24"/>
          <w:lang w:eastAsia="es-CR"/>
        </w:rPr>
        <w:t xml:space="preserve">, no impactaría la distribución de </w:t>
      </w:r>
      <w:r w:rsidR="0052365D" w:rsidRPr="004E74A6">
        <w:rPr>
          <w:rFonts w:cs="Calibri"/>
          <w:color w:val="000000"/>
          <w:szCs w:val="24"/>
          <w:lang w:eastAsia="es-CR"/>
        </w:rPr>
        <w:t xml:space="preserve">la </w:t>
      </w:r>
      <w:r w:rsidRPr="004E74A6">
        <w:rPr>
          <w:rFonts w:cs="Calibri"/>
          <w:color w:val="000000"/>
          <w:szCs w:val="24"/>
          <w:lang w:eastAsia="es-CR"/>
        </w:rPr>
        <w:t xml:space="preserve">entrada entre Juzgados </w:t>
      </w:r>
      <w:r w:rsidR="006A3E1D" w:rsidRPr="004E74A6">
        <w:rPr>
          <w:rFonts w:cs="Calibri"/>
          <w:color w:val="000000"/>
          <w:szCs w:val="24"/>
          <w:lang w:eastAsia="es-CR"/>
        </w:rPr>
        <w:t xml:space="preserve">y </w:t>
      </w:r>
      <w:r w:rsidRPr="004E74A6">
        <w:rPr>
          <w:rFonts w:cs="Calibri"/>
          <w:color w:val="000000"/>
          <w:szCs w:val="24"/>
          <w:lang w:eastAsia="es-CR"/>
        </w:rPr>
        <w:t>Tribunales Colegiados</w:t>
      </w:r>
      <w:r w:rsidR="006A3E1D" w:rsidRPr="004E74A6">
        <w:rPr>
          <w:rFonts w:cs="Calibri"/>
          <w:color w:val="000000"/>
          <w:szCs w:val="24"/>
          <w:lang w:eastAsia="es-CR"/>
        </w:rPr>
        <w:t xml:space="preserve"> de Primera Instancia</w:t>
      </w:r>
      <w:r w:rsidRPr="004E74A6">
        <w:rPr>
          <w:rFonts w:cs="Calibri"/>
          <w:color w:val="000000"/>
          <w:szCs w:val="24"/>
          <w:lang w:eastAsia="es-CR"/>
        </w:rPr>
        <w:t>.</w:t>
      </w:r>
    </w:p>
    <w:p w14:paraId="15CCBD60" w14:textId="39DFADB5" w:rsidR="00140EE1" w:rsidRPr="004E74A6" w:rsidRDefault="00140EE1" w:rsidP="00CE62C1">
      <w:pPr>
        <w:spacing w:after="160" w:line="276" w:lineRule="auto"/>
        <w:rPr>
          <w:rFonts w:cs="Calibri"/>
          <w:color w:val="000000"/>
          <w:szCs w:val="24"/>
          <w:lang w:eastAsia="es-CR"/>
        </w:rPr>
      </w:pPr>
      <w:r w:rsidRPr="004E74A6">
        <w:rPr>
          <w:rFonts w:cs="Calibri"/>
          <w:color w:val="000000"/>
          <w:szCs w:val="24"/>
          <w:lang w:eastAsia="es-CR"/>
        </w:rPr>
        <w:t xml:space="preserve">El impacto sería en la etapa conclusiva únicamente en lo que respecta a los recursos que dispondrían los procesos ordinarios estimables en caso de inconformidad con la sentencia. </w:t>
      </w:r>
    </w:p>
    <w:p w14:paraId="6A89D3A7" w14:textId="77777777" w:rsidR="00140EE1" w:rsidRPr="004E74A6" w:rsidRDefault="00140EE1" w:rsidP="00CE62C1">
      <w:pPr>
        <w:spacing w:after="160" w:line="276" w:lineRule="auto"/>
        <w:rPr>
          <w:rFonts w:cs="Calibri"/>
          <w:color w:val="000000"/>
          <w:szCs w:val="24"/>
          <w:lang w:eastAsia="es-CR"/>
        </w:rPr>
      </w:pPr>
      <w:r w:rsidRPr="004E74A6">
        <w:rPr>
          <w:rFonts w:cs="Calibri"/>
          <w:color w:val="000000"/>
          <w:szCs w:val="24"/>
          <w:lang w:eastAsia="es-CR"/>
        </w:rPr>
        <w:t xml:space="preserve">La sentencia dictada en procesos ordinarios con una pretensión estimada entre </w:t>
      </w:r>
      <w:r w:rsidRPr="00832773">
        <w:rPr>
          <w:rFonts w:cs="Calibri"/>
          <w:color w:val="000000"/>
          <w:szCs w:val="24"/>
          <w:lang w:eastAsia="es-CR"/>
        </w:rPr>
        <w:t>¢</w:t>
      </w:r>
      <w:r w:rsidRPr="004E74A6">
        <w:rPr>
          <w:rFonts w:cs="Calibri"/>
          <w:color w:val="000000"/>
          <w:szCs w:val="24"/>
          <w:lang w:eastAsia="es-CR"/>
        </w:rPr>
        <w:t xml:space="preserve">3.000.001 y </w:t>
      </w:r>
      <w:r w:rsidRPr="00832773">
        <w:rPr>
          <w:rFonts w:cs="Calibri"/>
          <w:color w:val="000000"/>
          <w:szCs w:val="24"/>
          <w:lang w:eastAsia="es-CR"/>
        </w:rPr>
        <w:t>¢</w:t>
      </w:r>
      <w:r w:rsidRPr="004E74A6">
        <w:rPr>
          <w:rFonts w:cs="Calibri"/>
          <w:color w:val="000000"/>
          <w:szCs w:val="24"/>
          <w:lang w:eastAsia="es-CR"/>
        </w:rPr>
        <w:t xml:space="preserve">20.000.000, se emitiría en forma colegiada y contaría con recurso de apelación ante el Tribunal de Apelación como última instancia. </w:t>
      </w:r>
    </w:p>
    <w:p w14:paraId="4489AE52" w14:textId="702DC229" w:rsidR="00140EE1" w:rsidRPr="004E74A6" w:rsidRDefault="00140EE1" w:rsidP="00CE62C1">
      <w:pPr>
        <w:spacing w:after="160" w:line="276" w:lineRule="auto"/>
        <w:rPr>
          <w:rFonts w:cs="Calibri"/>
          <w:color w:val="000000"/>
          <w:szCs w:val="24"/>
          <w:lang w:eastAsia="es-CR"/>
        </w:rPr>
      </w:pPr>
      <w:r w:rsidRPr="004E74A6">
        <w:rPr>
          <w:rFonts w:cs="Calibri"/>
          <w:color w:val="000000"/>
          <w:szCs w:val="24"/>
          <w:lang w:eastAsia="es-CR"/>
        </w:rPr>
        <w:t xml:space="preserve">La sentencia dictada en procesos ordinarios con una pretensión estimada </w:t>
      </w:r>
      <w:r w:rsidR="00C620F7" w:rsidRPr="004E74A6">
        <w:rPr>
          <w:rFonts w:cs="Calibri"/>
          <w:color w:val="000000"/>
          <w:szCs w:val="24"/>
          <w:lang w:eastAsia="es-CR"/>
        </w:rPr>
        <w:t>en ¢</w:t>
      </w:r>
      <w:r w:rsidRPr="004E74A6">
        <w:rPr>
          <w:rFonts w:cs="Calibri"/>
          <w:color w:val="000000"/>
          <w:szCs w:val="24"/>
          <w:lang w:eastAsia="es-CR"/>
        </w:rPr>
        <w:t xml:space="preserve">20.000.001 o más, se emitiría en forma colegiada y contaría con recurso de casación ante Sala Primera como última instancia. </w:t>
      </w:r>
    </w:p>
    <w:p w14:paraId="70F154E8" w14:textId="6E35924A" w:rsidR="00140EE1" w:rsidRPr="004E74A6" w:rsidRDefault="00140EE1" w:rsidP="00CE62C1">
      <w:pPr>
        <w:spacing w:after="160" w:line="276" w:lineRule="auto"/>
        <w:rPr>
          <w:rFonts w:cs="Calibri"/>
          <w:color w:val="000000"/>
          <w:szCs w:val="24"/>
          <w:lang w:eastAsia="es-CR"/>
        </w:rPr>
      </w:pPr>
      <w:r w:rsidRPr="004E74A6">
        <w:rPr>
          <w:rFonts w:cs="Calibri"/>
          <w:color w:val="000000"/>
          <w:szCs w:val="24"/>
          <w:lang w:eastAsia="es-CR"/>
        </w:rPr>
        <w:lastRenderedPageBreak/>
        <w:t xml:space="preserve">Es así </w:t>
      </w:r>
      <w:r w:rsidR="0032319D" w:rsidRPr="004E74A6">
        <w:rPr>
          <w:rFonts w:cs="Calibri"/>
          <w:color w:val="000000"/>
          <w:szCs w:val="24"/>
          <w:lang w:eastAsia="es-CR"/>
        </w:rPr>
        <w:t>como</w:t>
      </w:r>
      <w:r w:rsidRPr="004E74A6">
        <w:rPr>
          <w:rFonts w:cs="Calibri"/>
          <w:color w:val="000000"/>
          <w:szCs w:val="24"/>
          <w:lang w:eastAsia="es-CR"/>
        </w:rPr>
        <w:t xml:space="preserve"> a continuación</w:t>
      </w:r>
      <w:r w:rsidR="00B72534">
        <w:rPr>
          <w:rFonts w:cs="Calibri"/>
          <w:color w:val="000000"/>
          <w:szCs w:val="24"/>
          <w:lang w:eastAsia="es-CR"/>
        </w:rPr>
        <w:t>,</w:t>
      </w:r>
      <w:r w:rsidRPr="004E74A6">
        <w:rPr>
          <w:rFonts w:cs="Calibri"/>
          <w:color w:val="000000"/>
          <w:szCs w:val="24"/>
          <w:lang w:eastAsia="es-CR"/>
        </w:rPr>
        <w:t xml:space="preserve"> se incluyó el análisis y la distinción entre los procesos ordinarios de menor y mayor cuantía, según cada oficina, y posteriormente se observará el comportamiento</w:t>
      </w:r>
      <w:r w:rsidR="001B1692" w:rsidRPr="004E74A6">
        <w:rPr>
          <w:rFonts w:cs="Calibri"/>
          <w:color w:val="000000"/>
          <w:szCs w:val="24"/>
          <w:lang w:eastAsia="es-CR"/>
        </w:rPr>
        <w:t xml:space="preserve"> de la cuantía</w:t>
      </w:r>
      <w:r w:rsidRPr="004E74A6">
        <w:rPr>
          <w:rFonts w:cs="Calibri"/>
          <w:color w:val="000000"/>
          <w:szCs w:val="24"/>
          <w:lang w:eastAsia="es-CR"/>
        </w:rPr>
        <w:t xml:space="preserve"> a nivel de la primera y segunda instancia Civil</w:t>
      </w:r>
      <w:r w:rsidR="00F03C09">
        <w:rPr>
          <w:rFonts w:cs="Calibri"/>
          <w:color w:val="000000"/>
          <w:szCs w:val="24"/>
          <w:lang w:eastAsia="es-CR"/>
        </w:rPr>
        <w:t>,</w:t>
      </w:r>
      <w:r w:rsidRPr="004E74A6">
        <w:rPr>
          <w:rFonts w:cs="Calibri"/>
          <w:color w:val="000000"/>
          <w:szCs w:val="24"/>
          <w:lang w:eastAsia="es-CR"/>
        </w:rPr>
        <w:t xml:space="preserve"> para visualizar el impacto numéricamente de ambas versiones del escenario A.</w:t>
      </w:r>
    </w:p>
    <w:p w14:paraId="369C8851" w14:textId="0AFC383E" w:rsidR="00D92D45" w:rsidRDefault="008647ED" w:rsidP="00CE62C1">
      <w:pPr>
        <w:spacing w:after="160" w:line="276" w:lineRule="auto"/>
        <w:rPr>
          <w:rFonts w:cs="Calibri"/>
          <w:color w:val="000000"/>
          <w:szCs w:val="24"/>
          <w:lang w:eastAsia="es-CR"/>
        </w:rPr>
      </w:pPr>
      <w:r w:rsidRPr="004E74A6">
        <w:rPr>
          <w:rFonts w:cs="Calibri"/>
          <w:color w:val="000000"/>
          <w:szCs w:val="24"/>
          <w:lang w:eastAsia="es-CR"/>
        </w:rPr>
        <w:t>El análisis se realizó utilizando la información oficial, extraída de SIGMA sobre la cuantía de los asuntos</w:t>
      </w:r>
      <w:r w:rsidR="001B1692" w:rsidRPr="004E74A6">
        <w:rPr>
          <w:rFonts w:cs="Calibri"/>
          <w:color w:val="000000"/>
          <w:szCs w:val="24"/>
          <w:lang w:eastAsia="es-CR"/>
        </w:rPr>
        <w:t>;</w:t>
      </w:r>
      <w:r w:rsidRPr="004E74A6">
        <w:rPr>
          <w:rFonts w:cs="Calibri"/>
          <w:color w:val="000000"/>
          <w:szCs w:val="24"/>
          <w:lang w:eastAsia="es-CR"/>
        </w:rPr>
        <w:t xml:space="preserve"> se consideró únicamente los asuntos entrados</w:t>
      </w:r>
      <w:r w:rsidRPr="004E74A6">
        <w:rPr>
          <w:rStyle w:val="Refdenotaalpie"/>
          <w:color w:val="000000"/>
          <w:szCs w:val="24"/>
          <w:lang w:eastAsia="es-CR"/>
        </w:rPr>
        <w:footnoteReference w:id="13"/>
      </w:r>
      <w:r w:rsidRPr="004E74A6">
        <w:rPr>
          <w:rFonts w:cs="Calibri"/>
          <w:color w:val="000000"/>
          <w:szCs w:val="24"/>
          <w:lang w:eastAsia="es-CR"/>
        </w:rPr>
        <w:t xml:space="preserve"> pues específicamente la cuantía lo que diferencia es la entrada y competencia de los casos ordinarios estimables, específicamente si debe interponerse en un Juzgado o un Tribunal. </w:t>
      </w:r>
    </w:p>
    <w:p w14:paraId="09064C7D" w14:textId="77777777" w:rsidR="00194F64" w:rsidRPr="004E74A6" w:rsidRDefault="00194F64" w:rsidP="00CE62C1">
      <w:pPr>
        <w:spacing w:after="160" w:line="276" w:lineRule="auto"/>
        <w:rPr>
          <w:rFonts w:cs="Calibri"/>
          <w:color w:val="000000"/>
          <w:szCs w:val="24"/>
          <w:lang w:eastAsia="es-CR"/>
        </w:rPr>
      </w:pPr>
    </w:p>
    <w:p w14:paraId="5FAFC7A8" w14:textId="6215CE96" w:rsidR="00CC62BD" w:rsidRPr="004E74A6" w:rsidRDefault="00CC62BD" w:rsidP="00CE62C1">
      <w:pPr>
        <w:spacing w:after="160" w:line="276" w:lineRule="auto"/>
        <w:outlineLvl w:val="2"/>
        <w:rPr>
          <w:rFonts w:cs="Calibri"/>
          <w:b/>
          <w:bCs/>
          <w:color w:val="000000"/>
          <w:sz w:val="28"/>
          <w:szCs w:val="28"/>
          <w:lang w:eastAsia="es-CR"/>
        </w:rPr>
      </w:pPr>
      <w:r w:rsidRPr="004E74A6">
        <w:rPr>
          <w:rFonts w:cs="Calibri"/>
          <w:b/>
          <w:bCs/>
          <w:color w:val="000000"/>
          <w:sz w:val="28"/>
          <w:szCs w:val="28"/>
          <w:lang w:eastAsia="es-CR"/>
        </w:rPr>
        <w:t xml:space="preserve">Análisis de datos </w:t>
      </w:r>
      <w:r w:rsidR="00F0204A" w:rsidRPr="004E74A6">
        <w:rPr>
          <w:rFonts w:cs="Calibri"/>
          <w:b/>
          <w:bCs/>
          <w:color w:val="000000"/>
          <w:sz w:val="28"/>
          <w:szCs w:val="28"/>
          <w:lang w:eastAsia="es-CR"/>
        </w:rPr>
        <w:t xml:space="preserve">de la </w:t>
      </w:r>
      <w:r w:rsidRPr="004E74A6">
        <w:rPr>
          <w:rFonts w:cs="Calibri"/>
          <w:b/>
          <w:bCs/>
          <w:color w:val="000000"/>
          <w:sz w:val="28"/>
          <w:szCs w:val="28"/>
          <w:lang w:eastAsia="es-CR"/>
        </w:rPr>
        <w:t>Primera y Segunda Instancia Civil</w:t>
      </w:r>
    </w:p>
    <w:p w14:paraId="6E66A684" w14:textId="67DD79F5" w:rsidR="00D92D45" w:rsidRPr="004E74A6" w:rsidRDefault="00D92D45" w:rsidP="00CE62C1">
      <w:pPr>
        <w:spacing w:line="276" w:lineRule="auto"/>
        <w:outlineLvl w:val="2"/>
        <w:rPr>
          <w:rFonts w:eastAsia="Calibri"/>
          <w:b/>
          <w:bCs/>
          <w:color w:val="70AD47" w:themeColor="accent6"/>
          <w:sz w:val="28"/>
          <w:szCs w:val="22"/>
          <w:lang w:eastAsia="en-US"/>
        </w:rPr>
      </w:pPr>
      <w:r w:rsidRPr="004E74A6">
        <w:rPr>
          <w:rFonts w:eastAsia="Calibri"/>
          <w:b/>
          <w:bCs/>
          <w:color w:val="70AD47" w:themeColor="accent6"/>
          <w:sz w:val="28"/>
          <w:szCs w:val="22"/>
          <w:lang w:eastAsia="en-US"/>
        </w:rPr>
        <w:t>Primera Instancia Civil</w:t>
      </w:r>
      <w:r w:rsidRPr="004E74A6">
        <w:rPr>
          <w:rStyle w:val="Refdenotaalpie"/>
          <w:b/>
          <w:bCs/>
          <w:color w:val="70AD47" w:themeColor="accent6"/>
          <w:sz w:val="28"/>
          <w:szCs w:val="28"/>
          <w:lang w:eastAsia="es-CR"/>
        </w:rPr>
        <w:footnoteReference w:id="14"/>
      </w:r>
    </w:p>
    <w:p w14:paraId="0012DAF5" w14:textId="77777777" w:rsidR="00D92D45" w:rsidRPr="004E74A6" w:rsidRDefault="00D92D45" w:rsidP="00CE62C1">
      <w:pPr>
        <w:spacing w:line="276" w:lineRule="auto"/>
        <w:rPr>
          <w:rFonts w:cs="Calibri"/>
          <w:color w:val="000000"/>
          <w:szCs w:val="24"/>
          <w:lang w:eastAsia="es-CR"/>
        </w:rPr>
      </w:pPr>
    </w:p>
    <w:p w14:paraId="38677619" w14:textId="062F0D55" w:rsidR="008647ED" w:rsidRPr="004E74A6" w:rsidRDefault="00CE0969" w:rsidP="00CE62C1">
      <w:pPr>
        <w:spacing w:line="276" w:lineRule="auto"/>
        <w:rPr>
          <w:rFonts w:cs="Calibri"/>
          <w:color w:val="000000"/>
          <w:szCs w:val="24"/>
          <w:lang w:eastAsia="es-CR"/>
        </w:rPr>
      </w:pPr>
      <w:r w:rsidRPr="004E74A6">
        <w:rPr>
          <w:rFonts w:cs="Calibri"/>
          <w:color w:val="000000"/>
          <w:szCs w:val="24"/>
          <w:lang w:eastAsia="es-CR"/>
        </w:rPr>
        <w:t xml:space="preserve">Constituida por los Juzgados Civiles </w:t>
      </w:r>
      <w:r w:rsidR="008647ED" w:rsidRPr="004E74A6">
        <w:rPr>
          <w:rFonts w:cs="Calibri"/>
          <w:color w:val="000000"/>
          <w:szCs w:val="24"/>
          <w:lang w:eastAsia="es-CR"/>
        </w:rPr>
        <w:t xml:space="preserve">competentes para resolver </w:t>
      </w:r>
      <w:r w:rsidRPr="004E74A6">
        <w:rPr>
          <w:rFonts w:cs="Calibri"/>
          <w:color w:val="000000"/>
          <w:szCs w:val="24"/>
          <w:lang w:eastAsia="es-CR"/>
        </w:rPr>
        <w:t>todos los procesos civiles, salvo los</w:t>
      </w:r>
      <w:r w:rsidR="008647ED" w:rsidRPr="004E74A6">
        <w:rPr>
          <w:rFonts w:cs="Calibri"/>
          <w:color w:val="000000"/>
          <w:szCs w:val="24"/>
          <w:lang w:eastAsia="es-CR"/>
        </w:rPr>
        <w:t xml:space="preserve"> ordinarios de </w:t>
      </w:r>
      <w:r w:rsidRPr="004E74A6">
        <w:rPr>
          <w:rFonts w:cs="Calibri"/>
          <w:color w:val="000000"/>
          <w:szCs w:val="24"/>
          <w:lang w:eastAsia="es-CR"/>
        </w:rPr>
        <w:t>mayor</w:t>
      </w:r>
      <w:r w:rsidR="008647ED" w:rsidRPr="004E74A6">
        <w:rPr>
          <w:rFonts w:cs="Calibri"/>
          <w:color w:val="000000"/>
          <w:szCs w:val="24"/>
          <w:lang w:eastAsia="es-CR"/>
        </w:rPr>
        <w:t xml:space="preserve"> cuantía </w:t>
      </w:r>
      <w:r w:rsidR="008647ED" w:rsidRPr="004E74A6">
        <w:t>(</w:t>
      </w:r>
      <w:r w:rsidRPr="004E74A6">
        <w:t>pretensiones</w:t>
      </w:r>
      <w:r w:rsidR="0053744C" w:rsidRPr="004E74A6">
        <w:t xml:space="preserve"> valoradas en más</w:t>
      </w:r>
      <w:r w:rsidRPr="004E74A6">
        <w:t xml:space="preserve"> </w:t>
      </w:r>
      <w:r w:rsidR="008647ED" w:rsidRPr="004E74A6">
        <w:rPr>
          <w:rFonts w:ascii="Times New Roman" w:hAnsi="Times New Roman"/>
          <w:lang w:eastAsia="es-CR"/>
        </w:rPr>
        <w:t>₡</w:t>
      </w:r>
      <w:r w:rsidR="008647ED" w:rsidRPr="004E74A6">
        <w:t>3.000.00</w:t>
      </w:r>
      <w:r w:rsidR="0053744C" w:rsidRPr="004E74A6">
        <w:t>0</w:t>
      </w:r>
      <w:r w:rsidR="008647ED" w:rsidRPr="004E74A6">
        <w:t>)</w:t>
      </w:r>
      <w:r w:rsidRPr="004E74A6">
        <w:t xml:space="preserve"> o de cuantía </w:t>
      </w:r>
      <w:r w:rsidR="00097A20" w:rsidRPr="004E74A6">
        <w:t>inestimable, y</w:t>
      </w:r>
      <w:r w:rsidR="005146A8" w:rsidRPr="004E74A6">
        <w:t xml:space="preserve"> por los Tribunales Colegiados que conocen los ordinarios de mayor cuantía e inestimables.</w:t>
      </w:r>
    </w:p>
    <w:p w14:paraId="7A58B255" w14:textId="0DD6DA86" w:rsidR="008647ED" w:rsidRPr="004E74A6" w:rsidRDefault="008647ED" w:rsidP="00CE62C1">
      <w:pPr>
        <w:spacing w:after="160" w:line="276" w:lineRule="auto"/>
        <w:rPr>
          <w:rFonts w:cs="Calibri"/>
          <w:color w:val="000000"/>
          <w:szCs w:val="24"/>
          <w:lang w:eastAsia="es-CR"/>
        </w:rPr>
      </w:pPr>
    </w:p>
    <w:p w14:paraId="0867FD83" w14:textId="77777777" w:rsidR="00240338" w:rsidRPr="004E74A6" w:rsidRDefault="00240338" w:rsidP="00CE62C1">
      <w:pPr>
        <w:numPr>
          <w:ilvl w:val="1"/>
          <w:numId w:val="21"/>
        </w:numPr>
        <w:shd w:val="clear" w:color="auto" w:fill="D0CECE" w:themeFill="background2" w:themeFillShade="E6"/>
        <w:spacing w:after="160" w:line="276" w:lineRule="auto"/>
        <w:outlineLvl w:val="4"/>
        <w:rPr>
          <w:rFonts w:cs="Calibri"/>
          <w:color w:val="000000"/>
          <w:szCs w:val="24"/>
          <w:lang w:eastAsia="es-CR"/>
        </w:rPr>
      </w:pPr>
      <w:r w:rsidRPr="004E74A6">
        <w:rPr>
          <w:rFonts w:cs="Calibri"/>
          <w:color w:val="000000"/>
          <w:szCs w:val="24"/>
          <w:lang w:eastAsia="es-CR"/>
        </w:rPr>
        <w:t>Tribunales Colegiados de Primera Instancia Civil</w:t>
      </w:r>
    </w:p>
    <w:p w14:paraId="60799A71" w14:textId="77777777" w:rsidR="008647ED" w:rsidRPr="004E74A6" w:rsidRDefault="007038F3" w:rsidP="00CE62C1">
      <w:pPr>
        <w:spacing w:after="160" w:line="276" w:lineRule="auto"/>
        <w:rPr>
          <w:lang w:eastAsia="es-CR"/>
        </w:rPr>
      </w:pPr>
      <w:r w:rsidRPr="004E74A6">
        <w:rPr>
          <w:rFonts w:cs="Calibri"/>
          <w:color w:val="000000"/>
          <w:szCs w:val="24"/>
          <w:lang w:eastAsia="es-CR"/>
        </w:rPr>
        <w:t>S</w:t>
      </w:r>
      <w:r w:rsidR="008647ED" w:rsidRPr="004E74A6">
        <w:rPr>
          <w:rFonts w:cs="Calibri"/>
          <w:color w:val="000000"/>
          <w:szCs w:val="24"/>
          <w:lang w:eastAsia="es-CR"/>
        </w:rPr>
        <w:t xml:space="preserve">e analizarán los Tribunales de Primera Instancia que atienden la materia Civil </w:t>
      </w:r>
      <w:r w:rsidR="005146A8" w:rsidRPr="004E74A6">
        <w:rPr>
          <w:rFonts w:cs="Calibri"/>
          <w:color w:val="000000"/>
          <w:szCs w:val="24"/>
          <w:lang w:eastAsia="es-CR"/>
        </w:rPr>
        <w:t>en primera instancia (ordinarios de mayor cuantía o inestimables)</w:t>
      </w:r>
      <w:r w:rsidR="008647ED" w:rsidRPr="004E74A6">
        <w:rPr>
          <w:rFonts w:cs="Calibri"/>
          <w:color w:val="000000"/>
          <w:szCs w:val="24"/>
          <w:lang w:eastAsia="es-CR"/>
        </w:rPr>
        <w:t xml:space="preserve">; se analizará </w:t>
      </w:r>
      <w:r w:rsidR="008647ED" w:rsidRPr="004E74A6">
        <w:rPr>
          <w:lang w:eastAsia="es-CR"/>
        </w:rPr>
        <w:t>según tipo de caso, la clase de asunto, los procedimientos y la cuantía de los mismos; haciéndose énfasis en los asuntos ordinarios</w:t>
      </w:r>
      <w:r w:rsidRPr="004E74A6">
        <w:rPr>
          <w:lang w:eastAsia="es-CR"/>
        </w:rPr>
        <w:t xml:space="preserve"> (carpetas principales)</w:t>
      </w:r>
      <w:r w:rsidR="008647ED" w:rsidRPr="004E74A6">
        <w:rPr>
          <w:lang w:eastAsia="es-CR"/>
        </w:rPr>
        <w:t>, esto según los parámetros indicados para establecer la cuantía</w:t>
      </w:r>
      <w:r w:rsidR="001C4EE1" w:rsidRPr="004E74A6">
        <w:rPr>
          <w:lang w:eastAsia="es-CR"/>
        </w:rPr>
        <w:t xml:space="preserve"> y como medio para proyectar el </w:t>
      </w:r>
      <w:r w:rsidR="001C4EE1" w:rsidRPr="004E74A6">
        <w:rPr>
          <w:lang w:eastAsia="es-CR"/>
        </w:rPr>
        <w:lastRenderedPageBreak/>
        <w:t>posible impacto en los Juzgados y Sala Primera en caso de aprobarse el escenario A en cualquiera de</w:t>
      </w:r>
      <w:r w:rsidRPr="004E74A6">
        <w:rPr>
          <w:lang w:eastAsia="es-CR"/>
        </w:rPr>
        <w:t xml:space="preserve"> </w:t>
      </w:r>
      <w:r w:rsidR="001C4EE1" w:rsidRPr="004E74A6">
        <w:rPr>
          <w:lang w:eastAsia="es-CR"/>
        </w:rPr>
        <w:t>las 2 versi</w:t>
      </w:r>
      <w:r w:rsidRPr="004E74A6">
        <w:rPr>
          <w:lang w:eastAsia="es-CR"/>
        </w:rPr>
        <w:t>ones explicadas</w:t>
      </w:r>
      <w:r w:rsidR="001C4EE1" w:rsidRPr="004E74A6">
        <w:rPr>
          <w:lang w:eastAsia="es-CR"/>
        </w:rPr>
        <w:t xml:space="preserve"> líneas atrás.</w:t>
      </w:r>
    </w:p>
    <w:p w14:paraId="3426C023" w14:textId="561F187F" w:rsidR="008647ED" w:rsidRPr="004E74A6" w:rsidRDefault="008647ED" w:rsidP="00CE62C1">
      <w:pPr>
        <w:spacing w:after="160" w:line="276" w:lineRule="auto"/>
        <w:rPr>
          <w:rFonts w:cs="Calibri"/>
          <w:color w:val="000000"/>
          <w:szCs w:val="24"/>
          <w:lang w:eastAsia="es-CR"/>
        </w:rPr>
      </w:pPr>
    </w:p>
    <w:p w14:paraId="4DA5C572" w14:textId="77777777" w:rsidR="008647ED" w:rsidRPr="004E74A6" w:rsidRDefault="008647ED" w:rsidP="00CE62C1">
      <w:pPr>
        <w:numPr>
          <w:ilvl w:val="2"/>
          <w:numId w:val="21"/>
        </w:numPr>
        <w:spacing w:after="160" w:line="276" w:lineRule="auto"/>
        <w:ind w:left="1225" w:hanging="505"/>
        <w:outlineLvl w:val="5"/>
        <w:rPr>
          <w:rFonts w:cs="Calibri"/>
          <w:color w:val="000000"/>
          <w:szCs w:val="24"/>
          <w:lang w:eastAsia="es-CR"/>
        </w:rPr>
      </w:pPr>
      <w:r w:rsidRPr="004E74A6">
        <w:rPr>
          <w:rFonts w:cs="Calibri"/>
          <w:color w:val="000000"/>
          <w:szCs w:val="24"/>
          <w:lang w:eastAsia="es-CR"/>
        </w:rPr>
        <w:t>Tribunal Primero Colegiado Primera Instancia Civil Primer Circuito Judicial San José</w:t>
      </w:r>
    </w:p>
    <w:p w14:paraId="3DBAF03F" w14:textId="2CD4B8F6" w:rsidR="008647ED" w:rsidRPr="004E74A6" w:rsidRDefault="008647ED" w:rsidP="00CE62C1">
      <w:pPr>
        <w:spacing w:after="160" w:line="276" w:lineRule="auto"/>
        <w:rPr>
          <w:rFonts w:cs="Calibri"/>
          <w:color w:val="000000"/>
          <w:szCs w:val="24"/>
          <w:lang w:eastAsia="es-CR"/>
        </w:rPr>
      </w:pPr>
      <w:bookmarkStart w:id="2" w:name="_Hlk105403207"/>
      <w:r w:rsidRPr="004E74A6">
        <w:rPr>
          <w:rFonts w:cs="Calibri"/>
          <w:color w:val="000000"/>
          <w:szCs w:val="24"/>
          <w:lang w:eastAsia="es-CR"/>
        </w:rPr>
        <w:t xml:space="preserve">Para el caso de este Tribunal, según la tabla por tipo de </w:t>
      </w:r>
      <w:r w:rsidR="007038F3" w:rsidRPr="004E74A6">
        <w:rPr>
          <w:rFonts w:cs="Calibri"/>
          <w:color w:val="000000"/>
          <w:szCs w:val="24"/>
          <w:lang w:eastAsia="es-CR"/>
        </w:rPr>
        <w:t>carpeta</w:t>
      </w:r>
      <w:r w:rsidRPr="004E74A6">
        <w:rPr>
          <w:rFonts w:cs="Calibri"/>
          <w:color w:val="000000"/>
          <w:szCs w:val="24"/>
          <w:lang w:eastAsia="es-CR"/>
        </w:rPr>
        <w:t xml:space="preserve"> </w:t>
      </w:r>
      <w:r w:rsidR="007038F3" w:rsidRPr="004E74A6">
        <w:rPr>
          <w:rFonts w:cs="Calibri"/>
          <w:color w:val="000000"/>
          <w:szCs w:val="24"/>
          <w:lang w:eastAsia="es-CR"/>
        </w:rPr>
        <w:t>p</w:t>
      </w:r>
      <w:r w:rsidRPr="004E74A6">
        <w:rPr>
          <w:rFonts w:cs="Calibri"/>
          <w:color w:val="000000"/>
          <w:szCs w:val="24"/>
          <w:lang w:eastAsia="es-CR"/>
        </w:rPr>
        <w:t>rincipal representa el 94% de los asuntos que ingresan</w:t>
      </w:r>
      <w:r w:rsidR="00CE0969" w:rsidRPr="004E74A6">
        <w:rPr>
          <w:rFonts w:cs="Calibri"/>
          <w:color w:val="000000"/>
          <w:szCs w:val="24"/>
          <w:lang w:eastAsia="es-CR"/>
        </w:rPr>
        <w:t xml:space="preserve">, </w:t>
      </w:r>
      <w:r w:rsidR="003D78F2" w:rsidRPr="004E74A6">
        <w:rPr>
          <w:rFonts w:cs="Calibri"/>
          <w:color w:val="000000"/>
          <w:szCs w:val="24"/>
          <w:lang w:eastAsia="es-CR"/>
        </w:rPr>
        <w:t>a nivel</w:t>
      </w:r>
      <w:r w:rsidRPr="004E74A6">
        <w:rPr>
          <w:rFonts w:cs="Calibri"/>
          <w:color w:val="000000"/>
          <w:szCs w:val="24"/>
          <w:lang w:eastAsia="es-CR"/>
        </w:rPr>
        <w:t xml:space="preserve"> general ha experimentado una ligera disminución para el 2021</w:t>
      </w:r>
      <w:r w:rsidR="007038F3" w:rsidRPr="004E74A6">
        <w:rPr>
          <w:rFonts w:cs="Calibri"/>
          <w:color w:val="000000"/>
          <w:szCs w:val="24"/>
          <w:lang w:eastAsia="es-CR"/>
        </w:rPr>
        <w:t>.</w:t>
      </w:r>
    </w:p>
    <w:bookmarkEnd w:id="2"/>
    <w:p w14:paraId="1E2B1C81" w14:textId="77777777" w:rsidR="00B32800" w:rsidRPr="004E74A6" w:rsidRDefault="00B32800" w:rsidP="00CE62C1">
      <w:pPr>
        <w:spacing w:after="160" w:line="276" w:lineRule="auto"/>
        <w:rPr>
          <w:rFonts w:cs="Calibri"/>
          <w:color w:val="000000"/>
          <w:szCs w:val="24"/>
          <w:lang w:eastAsia="es-CR"/>
        </w:rPr>
      </w:pPr>
    </w:p>
    <w:p w14:paraId="0D1060DF" w14:textId="7550F6CD" w:rsidR="001F369B" w:rsidRPr="00832773" w:rsidRDefault="001F369B" w:rsidP="00F0204A">
      <w:pPr>
        <w:pStyle w:val="Descripcin"/>
        <w:keepNext/>
        <w:spacing w:line="276" w:lineRule="auto"/>
        <w:jc w:val="center"/>
        <w:rPr>
          <w:rFonts w:ascii="Book Antiqua" w:hAnsi="Book Antiqua"/>
          <w:i/>
          <w:iCs/>
          <w:sz w:val="20"/>
          <w:szCs w:val="16"/>
          <w:lang w:val="es-CR"/>
        </w:rPr>
      </w:pPr>
      <w:r w:rsidRPr="00832773">
        <w:rPr>
          <w:rFonts w:ascii="Book Antiqua" w:hAnsi="Book Antiqua"/>
          <w:i/>
          <w:iCs/>
          <w:sz w:val="20"/>
          <w:szCs w:val="16"/>
          <w:lang w:val="es-CR"/>
        </w:rPr>
        <w:t xml:space="preserve">Tabla </w:t>
      </w:r>
      <w:r w:rsidRPr="00832773">
        <w:rPr>
          <w:rFonts w:ascii="Book Antiqua" w:hAnsi="Book Antiqua"/>
          <w:i/>
          <w:iCs/>
          <w:sz w:val="20"/>
          <w:szCs w:val="16"/>
          <w:lang w:val="es-CR"/>
        </w:rPr>
        <w:fldChar w:fldCharType="begin"/>
      </w:r>
      <w:r w:rsidRPr="00832773">
        <w:rPr>
          <w:rFonts w:ascii="Book Antiqua" w:hAnsi="Book Antiqua"/>
          <w:i/>
          <w:iCs/>
          <w:sz w:val="20"/>
          <w:szCs w:val="16"/>
          <w:lang w:val="es-CR"/>
        </w:rPr>
        <w:instrText xml:space="preserve"> SEQ Tabla \* ARABIC </w:instrText>
      </w:r>
      <w:r w:rsidRPr="00832773">
        <w:rPr>
          <w:rFonts w:ascii="Book Antiqua" w:hAnsi="Book Antiqua"/>
          <w:i/>
          <w:iCs/>
          <w:sz w:val="20"/>
          <w:szCs w:val="16"/>
          <w:lang w:val="es-CR"/>
        </w:rPr>
        <w:fldChar w:fldCharType="separate"/>
      </w:r>
      <w:r w:rsidR="00374B51">
        <w:rPr>
          <w:rFonts w:ascii="Book Antiqua" w:hAnsi="Book Antiqua"/>
          <w:i/>
          <w:iCs/>
          <w:noProof/>
          <w:sz w:val="20"/>
          <w:szCs w:val="16"/>
          <w:lang w:val="es-CR"/>
        </w:rPr>
        <w:t>1</w:t>
      </w:r>
      <w:r w:rsidRPr="00832773">
        <w:rPr>
          <w:rFonts w:ascii="Book Antiqua" w:hAnsi="Book Antiqua"/>
          <w:i/>
          <w:iCs/>
          <w:sz w:val="20"/>
          <w:szCs w:val="16"/>
          <w:lang w:val="es-CR"/>
        </w:rPr>
        <w:fldChar w:fldCharType="end"/>
      </w:r>
      <w:r w:rsidRPr="00832773">
        <w:rPr>
          <w:rFonts w:ascii="Book Antiqua" w:hAnsi="Book Antiqua"/>
          <w:i/>
          <w:iCs/>
          <w:sz w:val="20"/>
          <w:szCs w:val="16"/>
          <w:lang w:val="es-CR"/>
        </w:rPr>
        <w:t xml:space="preserve"> Cantidad de entrados por tipo de </w:t>
      </w:r>
      <w:r w:rsidR="007038F3" w:rsidRPr="00832773">
        <w:rPr>
          <w:rFonts w:ascii="Book Antiqua" w:hAnsi="Book Antiqua"/>
          <w:i/>
          <w:iCs/>
          <w:sz w:val="20"/>
          <w:szCs w:val="16"/>
          <w:lang w:val="es-CR"/>
        </w:rPr>
        <w:t>carpeta</w:t>
      </w:r>
      <w:r w:rsidRPr="00832773">
        <w:rPr>
          <w:rFonts w:ascii="Book Antiqua" w:hAnsi="Book Antiqua"/>
          <w:i/>
          <w:iCs/>
          <w:sz w:val="20"/>
          <w:szCs w:val="16"/>
          <w:lang w:val="es-CR"/>
        </w:rPr>
        <w:t xml:space="preserve"> del 2019 al 2021 para el Tribunal Primero Colegiado Primera Instancia Civil</w:t>
      </w:r>
      <w:r w:rsidR="003D78F2" w:rsidRPr="00832773">
        <w:rPr>
          <w:rFonts w:ascii="Book Antiqua" w:hAnsi="Book Antiqua"/>
          <w:i/>
          <w:iCs/>
          <w:sz w:val="20"/>
          <w:szCs w:val="16"/>
          <w:lang w:val="es-CR"/>
        </w:rPr>
        <w:t xml:space="preserve"> del</w:t>
      </w:r>
      <w:r w:rsidRPr="00832773">
        <w:rPr>
          <w:rFonts w:ascii="Book Antiqua" w:hAnsi="Book Antiqua"/>
          <w:i/>
          <w:iCs/>
          <w:sz w:val="20"/>
          <w:szCs w:val="16"/>
          <w:lang w:val="es-CR"/>
        </w:rPr>
        <w:t xml:space="preserve"> Primer Circuito Judicial de San José</w:t>
      </w:r>
    </w:p>
    <w:tbl>
      <w:tblPr>
        <w:tblW w:w="4672" w:type="pct"/>
        <w:jc w:val="center"/>
        <w:tblLayout w:type="fixed"/>
        <w:tblCellMar>
          <w:left w:w="70" w:type="dxa"/>
          <w:right w:w="70" w:type="dxa"/>
        </w:tblCellMar>
        <w:tblLook w:val="04A0" w:firstRow="1" w:lastRow="0" w:firstColumn="1" w:lastColumn="0" w:noHBand="0" w:noVBand="1"/>
      </w:tblPr>
      <w:tblGrid>
        <w:gridCol w:w="4632"/>
        <w:gridCol w:w="839"/>
        <w:gridCol w:w="838"/>
        <w:gridCol w:w="838"/>
        <w:gridCol w:w="1113"/>
      </w:tblGrid>
      <w:tr w:rsidR="00873A04" w:rsidRPr="004E74A6" w14:paraId="25803518" w14:textId="77777777" w:rsidTr="00620C25">
        <w:trPr>
          <w:trHeight w:val="454"/>
          <w:tblHeader/>
          <w:jc w:val="center"/>
        </w:trPr>
        <w:tc>
          <w:tcPr>
            <w:tcW w:w="2804" w:type="pct"/>
            <w:tcBorders>
              <w:top w:val="single" w:sz="4" w:space="0" w:color="auto"/>
              <w:bottom w:val="single" w:sz="4" w:space="0" w:color="auto"/>
              <w:right w:val="single" w:sz="4" w:space="0" w:color="auto"/>
            </w:tcBorders>
            <w:shd w:val="clear" w:color="auto" w:fill="auto"/>
            <w:noWrap/>
            <w:vAlign w:val="center"/>
            <w:hideMark/>
          </w:tcPr>
          <w:p w14:paraId="4D6A7546" w14:textId="7587F6BD" w:rsidR="008647ED" w:rsidRPr="004E74A6" w:rsidRDefault="008647ED" w:rsidP="00CE62C1">
            <w:pPr>
              <w:spacing w:line="276" w:lineRule="auto"/>
              <w:jc w:val="center"/>
              <w:rPr>
                <w:sz w:val="20"/>
                <w:lang w:eastAsia="es-CR"/>
              </w:rPr>
            </w:pPr>
            <w:r w:rsidRPr="004E74A6">
              <w:rPr>
                <w:sz w:val="20"/>
                <w:lang w:eastAsia="es-CR"/>
              </w:rPr>
              <w:t xml:space="preserve">Tipo De </w:t>
            </w:r>
            <w:r w:rsidR="003A7A44" w:rsidRPr="004E74A6">
              <w:rPr>
                <w:sz w:val="20"/>
                <w:lang w:eastAsia="es-CR"/>
              </w:rPr>
              <w:t>Carpeta</w:t>
            </w:r>
          </w:p>
        </w:tc>
        <w:tc>
          <w:tcPr>
            <w:tcW w:w="50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21E71C"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2019</w:t>
            </w:r>
          </w:p>
        </w:tc>
        <w:tc>
          <w:tcPr>
            <w:tcW w:w="5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ABC722"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2020</w:t>
            </w:r>
          </w:p>
        </w:tc>
        <w:tc>
          <w:tcPr>
            <w:tcW w:w="5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033267"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2021</w:t>
            </w:r>
          </w:p>
        </w:tc>
        <w:tc>
          <w:tcPr>
            <w:tcW w:w="674" w:type="pct"/>
            <w:tcBorders>
              <w:top w:val="single" w:sz="4" w:space="0" w:color="auto"/>
              <w:left w:val="single" w:sz="4" w:space="0" w:color="auto"/>
              <w:bottom w:val="single" w:sz="4" w:space="0" w:color="auto"/>
            </w:tcBorders>
            <w:shd w:val="clear" w:color="auto" w:fill="auto"/>
            <w:noWrap/>
            <w:vAlign w:val="center"/>
            <w:hideMark/>
          </w:tcPr>
          <w:p w14:paraId="79B16518" w14:textId="44537D7B" w:rsidR="008647ED" w:rsidRPr="004E74A6" w:rsidRDefault="00873A04" w:rsidP="00CE62C1">
            <w:pPr>
              <w:spacing w:line="276" w:lineRule="auto"/>
              <w:jc w:val="center"/>
              <w:rPr>
                <w:rFonts w:cs="Calibri"/>
                <w:color w:val="000000"/>
                <w:sz w:val="20"/>
                <w:lang w:eastAsia="es-CR"/>
              </w:rPr>
            </w:pPr>
            <w:r w:rsidRPr="004E74A6">
              <w:rPr>
                <w:rFonts w:cs="Calibri"/>
                <w:color w:val="000000"/>
                <w:sz w:val="20"/>
                <w:lang w:eastAsia="es-CR"/>
              </w:rPr>
              <w:t>Promedio</w:t>
            </w:r>
          </w:p>
        </w:tc>
      </w:tr>
      <w:tr w:rsidR="00873A04" w:rsidRPr="004E74A6" w14:paraId="2A9CD486" w14:textId="77777777" w:rsidTr="00620C25">
        <w:trPr>
          <w:trHeight w:val="288"/>
          <w:jc w:val="center"/>
        </w:trPr>
        <w:tc>
          <w:tcPr>
            <w:tcW w:w="2804" w:type="pct"/>
            <w:tcBorders>
              <w:top w:val="single" w:sz="4" w:space="0" w:color="auto"/>
              <w:right w:val="single" w:sz="4" w:space="0" w:color="auto"/>
            </w:tcBorders>
            <w:shd w:val="clear" w:color="auto" w:fill="auto"/>
            <w:noWrap/>
            <w:vAlign w:val="bottom"/>
          </w:tcPr>
          <w:p w14:paraId="4281986F" w14:textId="77777777" w:rsidR="008647ED" w:rsidRPr="004E74A6" w:rsidRDefault="008647ED" w:rsidP="00CE62C1">
            <w:pPr>
              <w:spacing w:line="276" w:lineRule="auto"/>
              <w:jc w:val="left"/>
              <w:rPr>
                <w:rFonts w:cs="Calibri"/>
                <w:color w:val="000000"/>
                <w:sz w:val="20"/>
                <w:lang w:eastAsia="es-CR"/>
              </w:rPr>
            </w:pPr>
          </w:p>
        </w:tc>
        <w:tc>
          <w:tcPr>
            <w:tcW w:w="508" w:type="pct"/>
            <w:tcBorders>
              <w:top w:val="single" w:sz="4" w:space="0" w:color="auto"/>
              <w:left w:val="single" w:sz="4" w:space="0" w:color="auto"/>
              <w:right w:val="single" w:sz="4" w:space="0" w:color="auto"/>
            </w:tcBorders>
            <w:shd w:val="clear" w:color="auto" w:fill="auto"/>
            <w:noWrap/>
            <w:vAlign w:val="center"/>
          </w:tcPr>
          <w:p w14:paraId="00C1B571" w14:textId="77777777" w:rsidR="008647ED" w:rsidRPr="004E74A6" w:rsidRDefault="008647ED" w:rsidP="00CE62C1">
            <w:pPr>
              <w:spacing w:line="276" w:lineRule="auto"/>
              <w:jc w:val="center"/>
              <w:rPr>
                <w:rFonts w:cs="Calibri"/>
                <w:color w:val="000000"/>
                <w:sz w:val="20"/>
                <w:lang w:eastAsia="es-CR"/>
              </w:rPr>
            </w:pPr>
          </w:p>
        </w:tc>
        <w:tc>
          <w:tcPr>
            <w:tcW w:w="507" w:type="pct"/>
            <w:tcBorders>
              <w:top w:val="single" w:sz="4" w:space="0" w:color="auto"/>
              <w:left w:val="single" w:sz="4" w:space="0" w:color="auto"/>
              <w:right w:val="single" w:sz="4" w:space="0" w:color="auto"/>
            </w:tcBorders>
            <w:shd w:val="clear" w:color="auto" w:fill="auto"/>
            <w:noWrap/>
            <w:vAlign w:val="center"/>
          </w:tcPr>
          <w:p w14:paraId="225A5EBC" w14:textId="77777777" w:rsidR="008647ED" w:rsidRPr="004E74A6" w:rsidRDefault="008647ED" w:rsidP="00CE62C1">
            <w:pPr>
              <w:spacing w:line="276" w:lineRule="auto"/>
              <w:jc w:val="center"/>
              <w:rPr>
                <w:rFonts w:cs="Calibri"/>
                <w:color w:val="000000"/>
                <w:sz w:val="20"/>
                <w:lang w:eastAsia="es-CR"/>
              </w:rPr>
            </w:pPr>
          </w:p>
        </w:tc>
        <w:tc>
          <w:tcPr>
            <w:tcW w:w="507" w:type="pct"/>
            <w:tcBorders>
              <w:top w:val="single" w:sz="4" w:space="0" w:color="auto"/>
              <w:left w:val="single" w:sz="4" w:space="0" w:color="auto"/>
              <w:right w:val="single" w:sz="4" w:space="0" w:color="auto"/>
            </w:tcBorders>
            <w:shd w:val="clear" w:color="auto" w:fill="auto"/>
            <w:noWrap/>
            <w:vAlign w:val="center"/>
          </w:tcPr>
          <w:p w14:paraId="7FF10BFD" w14:textId="77777777" w:rsidR="008647ED" w:rsidRPr="004E74A6" w:rsidRDefault="008647ED" w:rsidP="00CE62C1">
            <w:pPr>
              <w:spacing w:line="276" w:lineRule="auto"/>
              <w:jc w:val="center"/>
              <w:rPr>
                <w:rFonts w:cs="Calibri"/>
                <w:color w:val="000000"/>
                <w:sz w:val="20"/>
                <w:lang w:eastAsia="es-CR"/>
              </w:rPr>
            </w:pPr>
          </w:p>
        </w:tc>
        <w:tc>
          <w:tcPr>
            <w:tcW w:w="674" w:type="pct"/>
            <w:tcBorders>
              <w:top w:val="single" w:sz="4" w:space="0" w:color="auto"/>
              <w:left w:val="single" w:sz="4" w:space="0" w:color="auto"/>
            </w:tcBorders>
            <w:shd w:val="clear" w:color="auto" w:fill="auto"/>
            <w:noWrap/>
            <w:vAlign w:val="center"/>
          </w:tcPr>
          <w:p w14:paraId="5D65EF5E" w14:textId="77777777" w:rsidR="008647ED" w:rsidRPr="004E74A6" w:rsidRDefault="008647ED" w:rsidP="00CE62C1">
            <w:pPr>
              <w:spacing w:line="276" w:lineRule="auto"/>
              <w:jc w:val="center"/>
              <w:rPr>
                <w:rFonts w:cs="Calibri"/>
                <w:color w:val="000000"/>
                <w:sz w:val="20"/>
                <w:lang w:eastAsia="es-CR"/>
              </w:rPr>
            </w:pPr>
          </w:p>
        </w:tc>
      </w:tr>
      <w:tr w:rsidR="007D0D3C" w:rsidRPr="004E74A6" w14:paraId="6A901285" w14:textId="77777777" w:rsidTr="00620C25">
        <w:trPr>
          <w:trHeight w:val="288"/>
          <w:jc w:val="center"/>
        </w:trPr>
        <w:tc>
          <w:tcPr>
            <w:tcW w:w="2804" w:type="pct"/>
            <w:tcBorders>
              <w:right w:val="single" w:sz="4" w:space="0" w:color="auto"/>
            </w:tcBorders>
            <w:shd w:val="clear" w:color="auto" w:fill="auto"/>
            <w:noWrap/>
            <w:vAlign w:val="bottom"/>
          </w:tcPr>
          <w:p w14:paraId="0A9DD2C0" w14:textId="212C4DBB" w:rsidR="007D0D3C" w:rsidRPr="004E74A6" w:rsidRDefault="007D0D3C" w:rsidP="00CE62C1">
            <w:pPr>
              <w:spacing w:line="276" w:lineRule="auto"/>
              <w:jc w:val="center"/>
              <w:rPr>
                <w:rFonts w:cs="Calibri"/>
                <w:color w:val="000000"/>
                <w:sz w:val="20"/>
                <w:lang w:eastAsia="es-CR"/>
              </w:rPr>
            </w:pPr>
            <w:r w:rsidRPr="004E74A6">
              <w:rPr>
                <w:rFonts w:cs="Calibri"/>
                <w:color w:val="000000"/>
                <w:sz w:val="20"/>
                <w:lang w:eastAsia="es-CR"/>
              </w:rPr>
              <w:t>Total General</w:t>
            </w:r>
          </w:p>
        </w:tc>
        <w:tc>
          <w:tcPr>
            <w:tcW w:w="508" w:type="pct"/>
            <w:tcBorders>
              <w:left w:val="single" w:sz="4" w:space="0" w:color="auto"/>
              <w:right w:val="single" w:sz="4" w:space="0" w:color="auto"/>
            </w:tcBorders>
            <w:shd w:val="clear" w:color="auto" w:fill="auto"/>
            <w:noWrap/>
            <w:vAlign w:val="center"/>
          </w:tcPr>
          <w:p w14:paraId="63AAB583" w14:textId="3BAED0FB" w:rsidR="007D0D3C" w:rsidRPr="004E74A6" w:rsidRDefault="007D0D3C" w:rsidP="00CE62C1">
            <w:pPr>
              <w:spacing w:line="276" w:lineRule="auto"/>
              <w:jc w:val="center"/>
              <w:rPr>
                <w:rFonts w:cs="Calibri"/>
                <w:color w:val="000000"/>
                <w:sz w:val="20"/>
                <w:lang w:eastAsia="es-CR"/>
              </w:rPr>
            </w:pPr>
            <w:r w:rsidRPr="004E74A6">
              <w:rPr>
                <w:rFonts w:cs="Calibri"/>
                <w:color w:val="000000"/>
                <w:sz w:val="20"/>
                <w:lang w:eastAsia="es-CR"/>
              </w:rPr>
              <w:t>478</w:t>
            </w:r>
          </w:p>
        </w:tc>
        <w:tc>
          <w:tcPr>
            <w:tcW w:w="507" w:type="pct"/>
            <w:tcBorders>
              <w:left w:val="single" w:sz="4" w:space="0" w:color="auto"/>
              <w:right w:val="single" w:sz="4" w:space="0" w:color="auto"/>
            </w:tcBorders>
            <w:shd w:val="clear" w:color="auto" w:fill="auto"/>
            <w:noWrap/>
            <w:vAlign w:val="center"/>
          </w:tcPr>
          <w:p w14:paraId="27025169" w14:textId="3C94030D" w:rsidR="007D0D3C" w:rsidRPr="004E74A6" w:rsidRDefault="007D0D3C" w:rsidP="00CE62C1">
            <w:pPr>
              <w:spacing w:line="276" w:lineRule="auto"/>
              <w:jc w:val="center"/>
              <w:rPr>
                <w:rFonts w:cs="Calibri"/>
                <w:color w:val="000000"/>
                <w:sz w:val="20"/>
                <w:lang w:eastAsia="es-CR"/>
              </w:rPr>
            </w:pPr>
            <w:r w:rsidRPr="004E74A6">
              <w:rPr>
                <w:rFonts w:cs="Calibri"/>
                <w:color w:val="000000"/>
                <w:sz w:val="20"/>
                <w:lang w:eastAsia="es-CR"/>
              </w:rPr>
              <w:t>441</w:t>
            </w:r>
          </w:p>
        </w:tc>
        <w:tc>
          <w:tcPr>
            <w:tcW w:w="507" w:type="pct"/>
            <w:tcBorders>
              <w:left w:val="single" w:sz="4" w:space="0" w:color="auto"/>
              <w:right w:val="single" w:sz="4" w:space="0" w:color="auto"/>
            </w:tcBorders>
            <w:shd w:val="clear" w:color="auto" w:fill="auto"/>
            <w:noWrap/>
            <w:vAlign w:val="center"/>
          </w:tcPr>
          <w:p w14:paraId="1EF9F56D" w14:textId="1545E9B5" w:rsidR="007D0D3C" w:rsidRPr="004E74A6" w:rsidRDefault="007D0D3C" w:rsidP="00CE62C1">
            <w:pPr>
              <w:spacing w:line="276" w:lineRule="auto"/>
              <w:jc w:val="center"/>
              <w:rPr>
                <w:rFonts w:cs="Calibri"/>
                <w:color w:val="000000"/>
                <w:sz w:val="20"/>
                <w:lang w:eastAsia="es-CR"/>
              </w:rPr>
            </w:pPr>
            <w:r w:rsidRPr="004E74A6">
              <w:rPr>
                <w:rFonts w:cs="Calibri"/>
                <w:color w:val="000000"/>
                <w:sz w:val="20"/>
                <w:lang w:eastAsia="es-CR"/>
              </w:rPr>
              <w:t>430</w:t>
            </w:r>
          </w:p>
        </w:tc>
        <w:tc>
          <w:tcPr>
            <w:tcW w:w="674" w:type="pct"/>
            <w:tcBorders>
              <w:left w:val="single" w:sz="4" w:space="0" w:color="auto"/>
            </w:tcBorders>
            <w:shd w:val="clear" w:color="auto" w:fill="auto"/>
            <w:noWrap/>
            <w:vAlign w:val="center"/>
          </w:tcPr>
          <w:p w14:paraId="764906A0" w14:textId="36239261" w:rsidR="007D0D3C" w:rsidRPr="004E74A6" w:rsidRDefault="007D0D3C" w:rsidP="00CE62C1">
            <w:pPr>
              <w:spacing w:line="276" w:lineRule="auto"/>
              <w:jc w:val="center"/>
              <w:rPr>
                <w:rFonts w:cs="Calibri"/>
                <w:color w:val="000000"/>
                <w:sz w:val="20"/>
              </w:rPr>
            </w:pPr>
            <w:r w:rsidRPr="004E74A6">
              <w:rPr>
                <w:rFonts w:cs="Calibri"/>
                <w:color w:val="000000"/>
                <w:sz w:val="20"/>
              </w:rPr>
              <w:t>450</w:t>
            </w:r>
          </w:p>
        </w:tc>
      </w:tr>
      <w:tr w:rsidR="007D0D3C" w:rsidRPr="004E74A6" w14:paraId="565A6FD7" w14:textId="77777777" w:rsidTr="00620C25">
        <w:trPr>
          <w:trHeight w:val="288"/>
          <w:jc w:val="center"/>
        </w:trPr>
        <w:tc>
          <w:tcPr>
            <w:tcW w:w="2804" w:type="pct"/>
            <w:tcBorders>
              <w:right w:val="single" w:sz="4" w:space="0" w:color="auto"/>
            </w:tcBorders>
            <w:shd w:val="clear" w:color="auto" w:fill="auto"/>
            <w:noWrap/>
            <w:vAlign w:val="bottom"/>
          </w:tcPr>
          <w:p w14:paraId="348F1823" w14:textId="77777777" w:rsidR="007D0D3C" w:rsidRPr="004E74A6" w:rsidRDefault="007D0D3C" w:rsidP="00CE62C1">
            <w:pPr>
              <w:spacing w:line="276" w:lineRule="auto"/>
              <w:jc w:val="left"/>
              <w:rPr>
                <w:rFonts w:cs="Calibri"/>
                <w:color w:val="000000"/>
                <w:sz w:val="20"/>
                <w:lang w:eastAsia="es-CR"/>
              </w:rPr>
            </w:pPr>
          </w:p>
        </w:tc>
        <w:tc>
          <w:tcPr>
            <w:tcW w:w="508" w:type="pct"/>
            <w:tcBorders>
              <w:left w:val="single" w:sz="4" w:space="0" w:color="auto"/>
              <w:right w:val="single" w:sz="4" w:space="0" w:color="auto"/>
            </w:tcBorders>
            <w:shd w:val="clear" w:color="auto" w:fill="auto"/>
            <w:noWrap/>
            <w:vAlign w:val="center"/>
          </w:tcPr>
          <w:p w14:paraId="709DC443" w14:textId="77777777" w:rsidR="007D0D3C" w:rsidRPr="004E74A6" w:rsidRDefault="007D0D3C" w:rsidP="00CE62C1">
            <w:pPr>
              <w:spacing w:line="276" w:lineRule="auto"/>
              <w:jc w:val="center"/>
              <w:rPr>
                <w:rFonts w:cs="Calibri"/>
                <w:color w:val="000000"/>
                <w:sz w:val="20"/>
                <w:lang w:eastAsia="es-CR"/>
              </w:rPr>
            </w:pPr>
          </w:p>
        </w:tc>
        <w:tc>
          <w:tcPr>
            <w:tcW w:w="507" w:type="pct"/>
            <w:tcBorders>
              <w:left w:val="single" w:sz="4" w:space="0" w:color="auto"/>
              <w:right w:val="single" w:sz="4" w:space="0" w:color="auto"/>
            </w:tcBorders>
            <w:shd w:val="clear" w:color="auto" w:fill="auto"/>
            <w:noWrap/>
            <w:vAlign w:val="center"/>
          </w:tcPr>
          <w:p w14:paraId="6F7F3E77" w14:textId="77777777" w:rsidR="007D0D3C" w:rsidRPr="004E74A6" w:rsidRDefault="007D0D3C" w:rsidP="00CE62C1">
            <w:pPr>
              <w:spacing w:line="276" w:lineRule="auto"/>
              <w:jc w:val="center"/>
              <w:rPr>
                <w:rFonts w:cs="Calibri"/>
                <w:color w:val="000000"/>
                <w:sz w:val="20"/>
                <w:lang w:eastAsia="es-CR"/>
              </w:rPr>
            </w:pPr>
          </w:p>
        </w:tc>
        <w:tc>
          <w:tcPr>
            <w:tcW w:w="507" w:type="pct"/>
            <w:tcBorders>
              <w:left w:val="single" w:sz="4" w:space="0" w:color="auto"/>
              <w:right w:val="single" w:sz="4" w:space="0" w:color="auto"/>
            </w:tcBorders>
            <w:shd w:val="clear" w:color="auto" w:fill="auto"/>
            <w:noWrap/>
            <w:vAlign w:val="center"/>
          </w:tcPr>
          <w:p w14:paraId="7F8C4C72" w14:textId="77777777" w:rsidR="007D0D3C" w:rsidRPr="004E74A6" w:rsidRDefault="007D0D3C" w:rsidP="00CE62C1">
            <w:pPr>
              <w:spacing w:line="276" w:lineRule="auto"/>
              <w:jc w:val="center"/>
              <w:rPr>
                <w:rFonts w:cs="Calibri"/>
                <w:color w:val="000000"/>
                <w:sz w:val="20"/>
                <w:lang w:eastAsia="es-CR"/>
              </w:rPr>
            </w:pPr>
          </w:p>
        </w:tc>
        <w:tc>
          <w:tcPr>
            <w:tcW w:w="674" w:type="pct"/>
            <w:tcBorders>
              <w:left w:val="single" w:sz="4" w:space="0" w:color="auto"/>
            </w:tcBorders>
            <w:shd w:val="clear" w:color="auto" w:fill="auto"/>
            <w:noWrap/>
            <w:vAlign w:val="center"/>
          </w:tcPr>
          <w:p w14:paraId="445D9CF0" w14:textId="77777777" w:rsidR="007D0D3C" w:rsidRPr="004E74A6" w:rsidRDefault="007D0D3C" w:rsidP="00CE62C1">
            <w:pPr>
              <w:spacing w:line="276" w:lineRule="auto"/>
              <w:jc w:val="center"/>
              <w:rPr>
                <w:rFonts w:cs="Calibri"/>
                <w:color w:val="000000"/>
                <w:sz w:val="20"/>
              </w:rPr>
            </w:pPr>
          </w:p>
        </w:tc>
      </w:tr>
      <w:tr w:rsidR="007D0D3C" w:rsidRPr="004E74A6" w14:paraId="1DF84719" w14:textId="77777777" w:rsidTr="00620C25">
        <w:trPr>
          <w:trHeight w:val="288"/>
          <w:jc w:val="center"/>
        </w:trPr>
        <w:tc>
          <w:tcPr>
            <w:tcW w:w="2804" w:type="pct"/>
            <w:tcBorders>
              <w:right w:val="single" w:sz="4" w:space="0" w:color="auto"/>
            </w:tcBorders>
            <w:shd w:val="clear" w:color="auto" w:fill="auto"/>
            <w:noWrap/>
            <w:vAlign w:val="bottom"/>
            <w:hideMark/>
          </w:tcPr>
          <w:p w14:paraId="5D91D751" w14:textId="77777777" w:rsidR="007D0D3C" w:rsidRPr="004E74A6" w:rsidRDefault="007D0D3C" w:rsidP="00CE62C1">
            <w:pPr>
              <w:spacing w:line="276" w:lineRule="auto"/>
              <w:jc w:val="left"/>
              <w:rPr>
                <w:rFonts w:cs="Calibri"/>
                <w:color w:val="000000"/>
                <w:sz w:val="20"/>
                <w:lang w:eastAsia="es-CR"/>
              </w:rPr>
            </w:pPr>
            <w:r w:rsidRPr="004E74A6">
              <w:rPr>
                <w:rFonts w:cs="Calibri"/>
                <w:color w:val="000000"/>
                <w:sz w:val="20"/>
                <w:lang w:eastAsia="es-CR"/>
              </w:rPr>
              <w:t>Comisiones Recibidas</w:t>
            </w:r>
          </w:p>
        </w:tc>
        <w:tc>
          <w:tcPr>
            <w:tcW w:w="508" w:type="pct"/>
            <w:tcBorders>
              <w:left w:val="single" w:sz="4" w:space="0" w:color="auto"/>
              <w:right w:val="single" w:sz="4" w:space="0" w:color="auto"/>
            </w:tcBorders>
            <w:shd w:val="clear" w:color="auto" w:fill="auto"/>
            <w:noWrap/>
            <w:vAlign w:val="center"/>
            <w:hideMark/>
          </w:tcPr>
          <w:p w14:paraId="3EFE38EF" w14:textId="77777777" w:rsidR="007D0D3C" w:rsidRPr="004E74A6" w:rsidRDefault="007D0D3C" w:rsidP="00CE62C1">
            <w:pPr>
              <w:spacing w:line="276" w:lineRule="auto"/>
              <w:jc w:val="center"/>
              <w:rPr>
                <w:rFonts w:cs="Calibri"/>
                <w:color w:val="000000"/>
                <w:sz w:val="20"/>
                <w:lang w:eastAsia="es-CR"/>
              </w:rPr>
            </w:pPr>
            <w:r w:rsidRPr="004E74A6">
              <w:rPr>
                <w:rFonts w:cs="Calibri"/>
                <w:color w:val="000000"/>
                <w:sz w:val="20"/>
                <w:lang w:eastAsia="es-CR"/>
              </w:rPr>
              <w:t>1</w:t>
            </w:r>
          </w:p>
        </w:tc>
        <w:tc>
          <w:tcPr>
            <w:tcW w:w="507" w:type="pct"/>
            <w:tcBorders>
              <w:left w:val="single" w:sz="4" w:space="0" w:color="auto"/>
              <w:right w:val="single" w:sz="4" w:space="0" w:color="auto"/>
            </w:tcBorders>
            <w:shd w:val="clear" w:color="auto" w:fill="auto"/>
            <w:noWrap/>
            <w:vAlign w:val="center"/>
            <w:hideMark/>
          </w:tcPr>
          <w:p w14:paraId="39DB01FD" w14:textId="77777777" w:rsidR="007D0D3C" w:rsidRPr="004E74A6" w:rsidRDefault="007D0D3C" w:rsidP="00CE62C1">
            <w:pPr>
              <w:spacing w:line="276" w:lineRule="auto"/>
              <w:jc w:val="center"/>
              <w:rPr>
                <w:rFonts w:cs="Calibri"/>
                <w:color w:val="000000"/>
                <w:sz w:val="20"/>
                <w:lang w:eastAsia="es-CR"/>
              </w:rPr>
            </w:pPr>
            <w:r w:rsidRPr="004E74A6">
              <w:rPr>
                <w:rFonts w:cs="Calibri"/>
                <w:color w:val="000000"/>
                <w:sz w:val="20"/>
                <w:lang w:eastAsia="es-CR"/>
              </w:rPr>
              <w:t>1</w:t>
            </w:r>
          </w:p>
        </w:tc>
        <w:tc>
          <w:tcPr>
            <w:tcW w:w="507" w:type="pct"/>
            <w:tcBorders>
              <w:left w:val="single" w:sz="4" w:space="0" w:color="auto"/>
              <w:right w:val="single" w:sz="4" w:space="0" w:color="auto"/>
            </w:tcBorders>
            <w:shd w:val="clear" w:color="auto" w:fill="auto"/>
            <w:noWrap/>
            <w:vAlign w:val="center"/>
            <w:hideMark/>
          </w:tcPr>
          <w:p w14:paraId="21E82699" w14:textId="77777777" w:rsidR="007D0D3C" w:rsidRPr="004E74A6" w:rsidRDefault="007D0D3C" w:rsidP="00CE62C1">
            <w:pPr>
              <w:spacing w:line="276" w:lineRule="auto"/>
              <w:jc w:val="center"/>
              <w:rPr>
                <w:rFonts w:cs="Calibri"/>
                <w:color w:val="000000"/>
                <w:sz w:val="20"/>
                <w:lang w:eastAsia="es-CR"/>
              </w:rPr>
            </w:pPr>
            <w:r w:rsidRPr="004E74A6">
              <w:rPr>
                <w:rFonts w:cs="Calibri"/>
                <w:color w:val="000000"/>
                <w:sz w:val="20"/>
                <w:lang w:eastAsia="es-CR"/>
              </w:rPr>
              <w:t>1</w:t>
            </w:r>
          </w:p>
        </w:tc>
        <w:tc>
          <w:tcPr>
            <w:tcW w:w="674" w:type="pct"/>
            <w:tcBorders>
              <w:left w:val="single" w:sz="4" w:space="0" w:color="auto"/>
            </w:tcBorders>
            <w:shd w:val="clear" w:color="auto" w:fill="auto"/>
            <w:noWrap/>
            <w:vAlign w:val="center"/>
            <w:hideMark/>
          </w:tcPr>
          <w:p w14:paraId="621D6D55" w14:textId="6A03F244" w:rsidR="007D0D3C" w:rsidRPr="004E74A6" w:rsidRDefault="007D0D3C" w:rsidP="00CE62C1">
            <w:pPr>
              <w:spacing w:line="276" w:lineRule="auto"/>
              <w:jc w:val="center"/>
              <w:rPr>
                <w:rFonts w:cs="Calibri"/>
                <w:color w:val="000000"/>
                <w:sz w:val="20"/>
                <w:lang w:eastAsia="es-CR"/>
              </w:rPr>
            </w:pPr>
            <w:r w:rsidRPr="004E74A6">
              <w:rPr>
                <w:rFonts w:cs="Calibri"/>
                <w:color w:val="000000"/>
                <w:sz w:val="20"/>
              </w:rPr>
              <w:t>1,0</w:t>
            </w:r>
          </w:p>
        </w:tc>
      </w:tr>
      <w:tr w:rsidR="007D0D3C" w:rsidRPr="004E74A6" w14:paraId="2BB76168" w14:textId="77777777" w:rsidTr="00620C25">
        <w:trPr>
          <w:trHeight w:val="288"/>
          <w:jc w:val="center"/>
        </w:trPr>
        <w:tc>
          <w:tcPr>
            <w:tcW w:w="2804" w:type="pct"/>
            <w:tcBorders>
              <w:right w:val="single" w:sz="4" w:space="0" w:color="auto"/>
            </w:tcBorders>
            <w:shd w:val="clear" w:color="auto" w:fill="auto"/>
            <w:noWrap/>
            <w:vAlign w:val="bottom"/>
            <w:hideMark/>
          </w:tcPr>
          <w:p w14:paraId="58CC4F2A" w14:textId="77777777" w:rsidR="007D0D3C" w:rsidRPr="004E74A6" w:rsidRDefault="007D0D3C" w:rsidP="00CE62C1">
            <w:pPr>
              <w:spacing w:line="276" w:lineRule="auto"/>
              <w:jc w:val="left"/>
              <w:rPr>
                <w:rFonts w:cs="Calibri"/>
                <w:color w:val="000000"/>
                <w:sz w:val="20"/>
                <w:lang w:eastAsia="es-CR"/>
              </w:rPr>
            </w:pPr>
            <w:r w:rsidRPr="004E74A6">
              <w:rPr>
                <w:rFonts w:cs="Calibri"/>
                <w:color w:val="000000"/>
                <w:sz w:val="20"/>
                <w:lang w:eastAsia="es-CR"/>
              </w:rPr>
              <w:t>Consulta</w:t>
            </w:r>
          </w:p>
        </w:tc>
        <w:tc>
          <w:tcPr>
            <w:tcW w:w="508" w:type="pct"/>
            <w:tcBorders>
              <w:left w:val="single" w:sz="4" w:space="0" w:color="auto"/>
              <w:right w:val="single" w:sz="4" w:space="0" w:color="auto"/>
            </w:tcBorders>
            <w:shd w:val="clear" w:color="auto" w:fill="auto"/>
            <w:noWrap/>
            <w:vAlign w:val="center"/>
            <w:hideMark/>
          </w:tcPr>
          <w:p w14:paraId="3105EA3B" w14:textId="77777777" w:rsidR="007D0D3C" w:rsidRPr="004E74A6" w:rsidRDefault="007D0D3C" w:rsidP="00CE62C1">
            <w:pPr>
              <w:spacing w:line="276" w:lineRule="auto"/>
              <w:jc w:val="center"/>
              <w:rPr>
                <w:rFonts w:cs="Calibri"/>
                <w:color w:val="000000"/>
                <w:sz w:val="20"/>
                <w:lang w:eastAsia="es-CR"/>
              </w:rPr>
            </w:pPr>
            <w:r w:rsidRPr="004E74A6">
              <w:rPr>
                <w:rFonts w:cs="Calibri"/>
                <w:color w:val="000000"/>
                <w:sz w:val="20"/>
                <w:lang w:eastAsia="es-CR"/>
              </w:rPr>
              <w:t>1</w:t>
            </w:r>
          </w:p>
        </w:tc>
        <w:tc>
          <w:tcPr>
            <w:tcW w:w="507" w:type="pct"/>
            <w:tcBorders>
              <w:left w:val="single" w:sz="4" w:space="0" w:color="auto"/>
              <w:right w:val="single" w:sz="4" w:space="0" w:color="auto"/>
            </w:tcBorders>
            <w:shd w:val="clear" w:color="auto" w:fill="auto"/>
            <w:noWrap/>
            <w:vAlign w:val="center"/>
            <w:hideMark/>
          </w:tcPr>
          <w:p w14:paraId="4AF7A975" w14:textId="5FC223E1" w:rsidR="007D0D3C" w:rsidRPr="004E74A6" w:rsidRDefault="007D0D3C" w:rsidP="00CE62C1">
            <w:pPr>
              <w:spacing w:line="276" w:lineRule="auto"/>
              <w:jc w:val="center"/>
              <w:rPr>
                <w:rFonts w:cs="Calibri"/>
                <w:color w:val="000000"/>
                <w:sz w:val="20"/>
                <w:lang w:eastAsia="es-CR"/>
              </w:rPr>
            </w:pPr>
            <w:r w:rsidRPr="004E74A6">
              <w:rPr>
                <w:rFonts w:cs="Calibri"/>
                <w:color w:val="000000"/>
                <w:sz w:val="20"/>
                <w:lang w:eastAsia="es-CR"/>
              </w:rPr>
              <w:t>0</w:t>
            </w:r>
          </w:p>
        </w:tc>
        <w:tc>
          <w:tcPr>
            <w:tcW w:w="507" w:type="pct"/>
            <w:tcBorders>
              <w:left w:val="single" w:sz="4" w:space="0" w:color="auto"/>
              <w:right w:val="single" w:sz="4" w:space="0" w:color="auto"/>
            </w:tcBorders>
            <w:shd w:val="clear" w:color="auto" w:fill="auto"/>
            <w:noWrap/>
            <w:vAlign w:val="center"/>
            <w:hideMark/>
          </w:tcPr>
          <w:p w14:paraId="1A2CC70C" w14:textId="35E75A09" w:rsidR="007D0D3C" w:rsidRPr="004E74A6" w:rsidRDefault="007D0D3C" w:rsidP="00CE62C1">
            <w:pPr>
              <w:spacing w:line="276" w:lineRule="auto"/>
              <w:jc w:val="center"/>
              <w:rPr>
                <w:sz w:val="20"/>
                <w:lang w:eastAsia="es-CR"/>
              </w:rPr>
            </w:pPr>
            <w:r w:rsidRPr="004E74A6">
              <w:rPr>
                <w:sz w:val="20"/>
                <w:lang w:eastAsia="es-CR"/>
              </w:rPr>
              <w:t>0</w:t>
            </w:r>
          </w:p>
        </w:tc>
        <w:tc>
          <w:tcPr>
            <w:tcW w:w="674" w:type="pct"/>
            <w:tcBorders>
              <w:left w:val="single" w:sz="4" w:space="0" w:color="auto"/>
            </w:tcBorders>
            <w:shd w:val="clear" w:color="auto" w:fill="auto"/>
            <w:noWrap/>
            <w:vAlign w:val="center"/>
            <w:hideMark/>
          </w:tcPr>
          <w:p w14:paraId="42DCCD28" w14:textId="17262E7A" w:rsidR="007D0D3C" w:rsidRPr="004E74A6" w:rsidRDefault="007D0D3C" w:rsidP="00CE62C1">
            <w:pPr>
              <w:spacing w:line="276" w:lineRule="auto"/>
              <w:jc w:val="center"/>
              <w:rPr>
                <w:rFonts w:cs="Calibri"/>
                <w:color w:val="000000"/>
                <w:sz w:val="20"/>
                <w:lang w:eastAsia="es-CR"/>
              </w:rPr>
            </w:pPr>
            <w:r w:rsidRPr="004E74A6">
              <w:rPr>
                <w:rFonts w:cs="Calibri"/>
                <w:color w:val="000000"/>
                <w:sz w:val="20"/>
              </w:rPr>
              <w:t>0,3</w:t>
            </w:r>
          </w:p>
        </w:tc>
      </w:tr>
      <w:tr w:rsidR="007D0D3C" w:rsidRPr="004E74A6" w14:paraId="408ACB94" w14:textId="77777777" w:rsidTr="00620C25">
        <w:trPr>
          <w:trHeight w:val="288"/>
          <w:jc w:val="center"/>
        </w:trPr>
        <w:tc>
          <w:tcPr>
            <w:tcW w:w="2804" w:type="pct"/>
            <w:tcBorders>
              <w:right w:val="single" w:sz="4" w:space="0" w:color="auto"/>
            </w:tcBorders>
            <w:shd w:val="clear" w:color="auto" w:fill="auto"/>
            <w:noWrap/>
            <w:vAlign w:val="bottom"/>
            <w:hideMark/>
          </w:tcPr>
          <w:p w14:paraId="35209F82" w14:textId="77777777" w:rsidR="007D0D3C" w:rsidRPr="004E74A6" w:rsidRDefault="007D0D3C" w:rsidP="00CE62C1">
            <w:pPr>
              <w:spacing w:line="276" w:lineRule="auto"/>
              <w:jc w:val="left"/>
              <w:rPr>
                <w:rFonts w:cs="Calibri"/>
                <w:color w:val="000000"/>
                <w:sz w:val="20"/>
                <w:lang w:eastAsia="es-CR"/>
              </w:rPr>
            </w:pPr>
            <w:r w:rsidRPr="004E74A6">
              <w:rPr>
                <w:rFonts w:cs="Calibri"/>
                <w:color w:val="000000"/>
                <w:sz w:val="20"/>
                <w:lang w:eastAsia="es-CR"/>
              </w:rPr>
              <w:t>Incidentes Procesales</w:t>
            </w:r>
          </w:p>
        </w:tc>
        <w:tc>
          <w:tcPr>
            <w:tcW w:w="508" w:type="pct"/>
            <w:tcBorders>
              <w:left w:val="single" w:sz="4" w:space="0" w:color="auto"/>
              <w:right w:val="single" w:sz="4" w:space="0" w:color="auto"/>
            </w:tcBorders>
            <w:shd w:val="clear" w:color="auto" w:fill="auto"/>
            <w:noWrap/>
            <w:vAlign w:val="center"/>
            <w:hideMark/>
          </w:tcPr>
          <w:p w14:paraId="3F941811" w14:textId="77777777" w:rsidR="007D0D3C" w:rsidRPr="004E74A6" w:rsidRDefault="007D0D3C" w:rsidP="00CE62C1">
            <w:pPr>
              <w:spacing w:line="276" w:lineRule="auto"/>
              <w:jc w:val="center"/>
              <w:rPr>
                <w:rFonts w:cs="Calibri"/>
                <w:color w:val="000000"/>
                <w:sz w:val="20"/>
                <w:lang w:eastAsia="es-CR"/>
              </w:rPr>
            </w:pPr>
            <w:r w:rsidRPr="004E74A6">
              <w:rPr>
                <w:rFonts w:cs="Calibri"/>
                <w:color w:val="000000"/>
                <w:sz w:val="20"/>
                <w:lang w:eastAsia="es-CR"/>
              </w:rPr>
              <w:t>15</w:t>
            </w:r>
          </w:p>
        </w:tc>
        <w:tc>
          <w:tcPr>
            <w:tcW w:w="507" w:type="pct"/>
            <w:tcBorders>
              <w:left w:val="single" w:sz="4" w:space="0" w:color="auto"/>
              <w:right w:val="single" w:sz="4" w:space="0" w:color="auto"/>
            </w:tcBorders>
            <w:shd w:val="clear" w:color="auto" w:fill="auto"/>
            <w:noWrap/>
            <w:vAlign w:val="center"/>
            <w:hideMark/>
          </w:tcPr>
          <w:p w14:paraId="2F6C15D9" w14:textId="77777777" w:rsidR="007D0D3C" w:rsidRPr="004E74A6" w:rsidRDefault="007D0D3C" w:rsidP="00CE62C1">
            <w:pPr>
              <w:spacing w:line="276" w:lineRule="auto"/>
              <w:jc w:val="center"/>
              <w:rPr>
                <w:rFonts w:cs="Calibri"/>
                <w:color w:val="000000"/>
                <w:sz w:val="20"/>
                <w:lang w:eastAsia="es-CR"/>
              </w:rPr>
            </w:pPr>
            <w:r w:rsidRPr="004E74A6">
              <w:rPr>
                <w:rFonts w:cs="Calibri"/>
                <w:color w:val="000000"/>
                <w:sz w:val="20"/>
                <w:lang w:eastAsia="es-CR"/>
              </w:rPr>
              <w:t>20</w:t>
            </w:r>
          </w:p>
        </w:tc>
        <w:tc>
          <w:tcPr>
            <w:tcW w:w="507" w:type="pct"/>
            <w:tcBorders>
              <w:left w:val="single" w:sz="4" w:space="0" w:color="auto"/>
              <w:right w:val="single" w:sz="4" w:space="0" w:color="auto"/>
            </w:tcBorders>
            <w:shd w:val="clear" w:color="auto" w:fill="auto"/>
            <w:noWrap/>
            <w:vAlign w:val="center"/>
            <w:hideMark/>
          </w:tcPr>
          <w:p w14:paraId="608EFF38" w14:textId="77777777" w:rsidR="007D0D3C" w:rsidRPr="004E74A6" w:rsidRDefault="007D0D3C" w:rsidP="00CE62C1">
            <w:pPr>
              <w:spacing w:line="276" w:lineRule="auto"/>
              <w:jc w:val="center"/>
              <w:rPr>
                <w:rFonts w:cs="Calibri"/>
                <w:color w:val="000000"/>
                <w:sz w:val="20"/>
                <w:lang w:eastAsia="es-CR"/>
              </w:rPr>
            </w:pPr>
            <w:r w:rsidRPr="004E74A6">
              <w:rPr>
                <w:rFonts w:cs="Calibri"/>
                <w:color w:val="000000"/>
                <w:sz w:val="20"/>
                <w:lang w:eastAsia="es-CR"/>
              </w:rPr>
              <w:t>12</w:t>
            </w:r>
          </w:p>
        </w:tc>
        <w:tc>
          <w:tcPr>
            <w:tcW w:w="674" w:type="pct"/>
            <w:tcBorders>
              <w:left w:val="single" w:sz="4" w:space="0" w:color="auto"/>
            </w:tcBorders>
            <w:shd w:val="clear" w:color="auto" w:fill="auto"/>
            <w:noWrap/>
            <w:vAlign w:val="center"/>
            <w:hideMark/>
          </w:tcPr>
          <w:p w14:paraId="68E1FBEE" w14:textId="4150663C" w:rsidR="007D0D3C" w:rsidRPr="004E74A6" w:rsidRDefault="007D0D3C" w:rsidP="00CE62C1">
            <w:pPr>
              <w:spacing w:line="276" w:lineRule="auto"/>
              <w:jc w:val="center"/>
              <w:rPr>
                <w:rFonts w:cs="Calibri"/>
                <w:color w:val="000000"/>
                <w:sz w:val="20"/>
                <w:lang w:eastAsia="es-CR"/>
              </w:rPr>
            </w:pPr>
            <w:r w:rsidRPr="004E74A6">
              <w:rPr>
                <w:rFonts w:cs="Calibri"/>
                <w:color w:val="000000"/>
                <w:sz w:val="20"/>
              </w:rPr>
              <w:t>15,7</w:t>
            </w:r>
          </w:p>
        </w:tc>
      </w:tr>
      <w:tr w:rsidR="007D0D3C" w:rsidRPr="004E74A6" w14:paraId="74514CCE" w14:textId="77777777" w:rsidTr="00620C25">
        <w:trPr>
          <w:trHeight w:val="288"/>
          <w:jc w:val="center"/>
        </w:trPr>
        <w:tc>
          <w:tcPr>
            <w:tcW w:w="2804" w:type="pct"/>
            <w:tcBorders>
              <w:right w:val="single" w:sz="4" w:space="0" w:color="auto"/>
            </w:tcBorders>
            <w:shd w:val="clear" w:color="auto" w:fill="auto"/>
            <w:noWrap/>
            <w:vAlign w:val="bottom"/>
            <w:hideMark/>
          </w:tcPr>
          <w:p w14:paraId="27B0B8BF" w14:textId="77777777" w:rsidR="007D0D3C" w:rsidRPr="004E74A6" w:rsidRDefault="007D0D3C" w:rsidP="00CE62C1">
            <w:pPr>
              <w:spacing w:line="276" w:lineRule="auto"/>
              <w:jc w:val="left"/>
              <w:rPr>
                <w:rFonts w:cs="Calibri"/>
                <w:color w:val="000000"/>
                <w:sz w:val="20"/>
                <w:lang w:eastAsia="es-CR"/>
              </w:rPr>
            </w:pPr>
            <w:r w:rsidRPr="004E74A6">
              <w:rPr>
                <w:rFonts w:cs="Calibri"/>
                <w:color w:val="000000"/>
                <w:sz w:val="20"/>
                <w:lang w:eastAsia="es-CR"/>
              </w:rPr>
              <w:t>Legajo Apelación Por Inadmisión</w:t>
            </w:r>
          </w:p>
        </w:tc>
        <w:tc>
          <w:tcPr>
            <w:tcW w:w="508" w:type="pct"/>
            <w:tcBorders>
              <w:left w:val="single" w:sz="4" w:space="0" w:color="auto"/>
              <w:right w:val="single" w:sz="4" w:space="0" w:color="auto"/>
            </w:tcBorders>
            <w:shd w:val="clear" w:color="auto" w:fill="auto"/>
            <w:noWrap/>
            <w:vAlign w:val="center"/>
            <w:hideMark/>
          </w:tcPr>
          <w:p w14:paraId="41AC31E8" w14:textId="0775E94F" w:rsidR="007D0D3C" w:rsidRPr="004E74A6" w:rsidRDefault="007D0D3C" w:rsidP="00CE62C1">
            <w:pPr>
              <w:spacing w:line="276" w:lineRule="auto"/>
              <w:jc w:val="center"/>
              <w:rPr>
                <w:sz w:val="20"/>
                <w:lang w:eastAsia="es-CR"/>
              </w:rPr>
            </w:pPr>
            <w:r w:rsidRPr="004E74A6">
              <w:rPr>
                <w:sz w:val="20"/>
                <w:lang w:eastAsia="es-CR"/>
              </w:rPr>
              <w:t>0</w:t>
            </w:r>
          </w:p>
        </w:tc>
        <w:tc>
          <w:tcPr>
            <w:tcW w:w="507" w:type="pct"/>
            <w:tcBorders>
              <w:left w:val="single" w:sz="4" w:space="0" w:color="auto"/>
              <w:right w:val="single" w:sz="4" w:space="0" w:color="auto"/>
            </w:tcBorders>
            <w:shd w:val="clear" w:color="auto" w:fill="auto"/>
            <w:noWrap/>
            <w:vAlign w:val="center"/>
            <w:hideMark/>
          </w:tcPr>
          <w:p w14:paraId="060365CE" w14:textId="77777777" w:rsidR="007D0D3C" w:rsidRPr="004E74A6" w:rsidRDefault="007D0D3C" w:rsidP="00CE62C1">
            <w:pPr>
              <w:spacing w:line="276" w:lineRule="auto"/>
              <w:jc w:val="center"/>
              <w:rPr>
                <w:rFonts w:cs="Calibri"/>
                <w:color w:val="000000"/>
                <w:sz w:val="20"/>
                <w:lang w:eastAsia="es-CR"/>
              </w:rPr>
            </w:pPr>
            <w:r w:rsidRPr="004E74A6">
              <w:rPr>
                <w:rFonts w:cs="Calibri"/>
                <w:color w:val="000000"/>
                <w:sz w:val="20"/>
                <w:lang w:eastAsia="es-CR"/>
              </w:rPr>
              <w:t>1</w:t>
            </w:r>
          </w:p>
        </w:tc>
        <w:tc>
          <w:tcPr>
            <w:tcW w:w="507" w:type="pct"/>
            <w:tcBorders>
              <w:left w:val="single" w:sz="4" w:space="0" w:color="auto"/>
              <w:right w:val="single" w:sz="4" w:space="0" w:color="auto"/>
            </w:tcBorders>
            <w:shd w:val="clear" w:color="auto" w:fill="auto"/>
            <w:noWrap/>
            <w:vAlign w:val="center"/>
            <w:hideMark/>
          </w:tcPr>
          <w:p w14:paraId="4B653F1E" w14:textId="77777777" w:rsidR="007D0D3C" w:rsidRPr="004E74A6" w:rsidRDefault="007D0D3C" w:rsidP="00CE62C1">
            <w:pPr>
              <w:spacing w:line="276" w:lineRule="auto"/>
              <w:jc w:val="center"/>
              <w:rPr>
                <w:rFonts w:cs="Calibri"/>
                <w:color w:val="000000"/>
                <w:sz w:val="20"/>
                <w:lang w:eastAsia="es-CR"/>
              </w:rPr>
            </w:pPr>
            <w:r w:rsidRPr="004E74A6">
              <w:rPr>
                <w:rFonts w:cs="Calibri"/>
                <w:color w:val="000000"/>
                <w:sz w:val="20"/>
                <w:lang w:eastAsia="es-CR"/>
              </w:rPr>
              <w:t>1</w:t>
            </w:r>
          </w:p>
        </w:tc>
        <w:tc>
          <w:tcPr>
            <w:tcW w:w="674" w:type="pct"/>
            <w:tcBorders>
              <w:left w:val="single" w:sz="4" w:space="0" w:color="auto"/>
            </w:tcBorders>
            <w:shd w:val="clear" w:color="auto" w:fill="auto"/>
            <w:noWrap/>
            <w:vAlign w:val="center"/>
            <w:hideMark/>
          </w:tcPr>
          <w:p w14:paraId="06332CFB" w14:textId="6B64274B" w:rsidR="007D0D3C" w:rsidRPr="004E74A6" w:rsidRDefault="007D0D3C" w:rsidP="00CE62C1">
            <w:pPr>
              <w:spacing w:line="276" w:lineRule="auto"/>
              <w:jc w:val="center"/>
              <w:rPr>
                <w:rFonts w:cs="Calibri"/>
                <w:color w:val="000000"/>
                <w:sz w:val="20"/>
                <w:lang w:eastAsia="es-CR"/>
              </w:rPr>
            </w:pPr>
            <w:r w:rsidRPr="004E74A6">
              <w:rPr>
                <w:rFonts w:cs="Calibri"/>
                <w:color w:val="000000"/>
                <w:sz w:val="20"/>
              </w:rPr>
              <w:t>0,7</w:t>
            </w:r>
          </w:p>
        </w:tc>
      </w:tr>
      <w:tr w:rsidR="007D0D3C" w:rsidRPr="004E74A6" w14:paraId="0F4FA544" w14:textId="77777777" w:rsidTr="00620C25">
        <w:trPr>
          <w:trHeight w:val="288"/>
          <w:jc w:val="center"/>
        </w:trPr>
        <w:tc>
          <w:tcPr>
            <w:tcW w:w="2804" w:type="pct"/>
            <w:tcBorders>
              <w:right w:val="single" w:sz="4" w:space="0" w:color="auto"/>
            </w:tcBorders>
            <w:shd w:val="clear" w:color="auto" w:fill="auto"/>
            <w:noWrap/>
            <w:vAlign w:val="bottom"/>
            <w:hideMark/>
          </w:tcPr>
          <w:p w14:paraId="6DFC80CE" w14:textId="77777777" w:rsidR="007D0D3C" w:rsidRPr="004E74A6" w:rsidRDefault="007D0D3C" w:rsidP="00CE62C1">
            <w:pPr>
              <w:spacing w:line="276" w:lineRule="auto"/>
              <w:jc w:val="left"/>
              <w:rPr>
                <w:rFonts w:cs="Calibri"/>
                <w:color w:val="000000"/>
                <w:sz w:val="20"/>
                <w:lang w:eastAsia="es-CR"/>
              </w:rPr>
            </w:pPr>
            <w:r w:rsidRPr="004E74A6">
              <w:rPr>
                <w:rFonts w:cs="Calibri"/>
                <w:color w:val="000000"/>
                <w:sz w:val="20"/>
                <w:lang w:eastAsia="es-CR"/>
              </w:rPr>
              <w:t>Legajo De Ejecución Provisional</w:t>
            </w:r>
          </w:p>
        </w:tc>
        <w:tc>
          <w:tcPr>
            <w:tcW w:w="508" w:type="pct"/>
            <w:tcBorders>
              <w:left w:val="single" w:sz="4" w:space="0" w:color="auto"/>
              <w:right w:val="single" w:sz="4" w:space="0" w:color="auto"/>
            </w:tcBorders>
            <w:shd w:val="clear" w:color="auto" w:fill="auto"/>
            <w:noWrap/>
            <w:vAlign w:val="center"/>
            <w:hideMark/>
          </w:tcPr>
          <w:p w14:paraId="0AE6565A" w14:textId="51842D9A" w:rsidR="007D0D3C" w:rsidRPr="004E74A6" w:rsidRDefault="007D0D3C" w:rsidP="00CE62C1">
            <w:pPr>
              <w:spacing w:line="276" w:lineRule="auto"/>
              <w:jc w:val="center"/>
              <w:rPr>
                <w:sz w:val="20"/>
                <w:lang w:eastAsia="es-CR"/>
              </w:rPr>
            </w:pPr>
            <w:r w:rsidRPr="004E74A6">
              <w:rPr>
                <w:sz w:val="20"/>
                <w:lang w:eastAsia="es-CR"/>
              </w:rPr>
              <w:t>0</w:t>
            </w:r>
          </w:p>
        </w:tc>
        <w:tc>
          <w:tcPr>
            <w:tcW w:w="507" w:type="pct"/>
            <w:tcBorders>
              <w:left w:val="single" w:sz="4" w:space="0" w:color="auto"/>
              <w:right w:val="single" w:sz="4" w:space="0" w:color="auto"/>
            </w:tcBorders>
            <w:shd w:val="clear" w:color="auto" w:fill="auto"/>
            <w:noWrap/>
            <w:vAlign w:val="center"/>
            <w:hideMark/>
          </w:tcPr>
          <w:p w14:paraId="418B6362" w14:textId="77777777" w:rsidR="007D0D3C" w:rsidRPr="004E74A6" w:rsidRDefault="007D0D3C" w:rsidP="00CE62C1">
            <w:pPr>
              <w:spacing w:line="276" w:lineRule="auto"/>
              <w:jc w:val="center"/>
              <w:rPr>
                <w:rFonts w:cs="Calibri"/>
                <w:color w:val="000000"/>
                <w:sz w:val="20"/>
                <w:lang w:eastAsia="es-CR"/>
              </w:rPr>
            </w:pPr>
            <w:r w:rsidRPr="004E74A6">
              <w:rPr>
                <w:rFonts w:cs="Calibri"/>
                <w:color w:val="000000"/>
                <w:sz w:val="20"/>
                <w:lang w:eastAsia="es-CR"/>
              </w:rPr>
              <w:t>1</w:t>
            </w:r>
          </w:p>
        </w:tc>
        <w:tc>
          <w:tcPr>
            <w:tcW w:w="507" w:type="pct"/>
            <w:tcBorders>
              <w:left w:val="single" w:sz="4" w:space="0" w:color="auto"/>
              <w:right w:val="single" w:sz="4" w:space="0" w:color="auto"/>
            </w:tcBorders>
            <w:shd w:val="clear" w:color="auto" w:fill="auto"/>
            <w:noWrap/>
            <w:vAlign w:val="center"/>
            <w:hideMark/>
          </w:tcPr>
          <w:p w14:paraId="1B707248" w14:textId="77777777" w:rsidR="007D0D3C" w:rsidRPr="004E74A6" w:rsidRDefault="007D0D3C" w:rsidP="00CE62C1">
            <w:pPr>
              <w:spacing w:line="276" w:lineRule="auto"/>
              <w:jc w:val="center"/>
              <w:rPr>
                <w:rFonts w:cs="Calibri"/>
                <w:color w:val="000000"/>
                <w:sz w:val="20"/>
                <w:lang w:eastAsia="es-CR"/>
              </w:rPr>
            </w:pPr>
            <w:r w:rsidRPr="004E74A6">
              <w:rPr>
                <w:rFonts w:cs="Calibri"/>
                <w:color w:val="000000"/>
                <w:sz w:val="20"/>
                <w:lang w:eastAsia="es-CR"/>
              </w:rPr>
              <w:t>6</w:t>
            </w:r>
          </w:p>
        </w:tc>
        <w:tc>
          <w:tcPr>
            <w:tcW w:w="674" w:type="pct"/>
            <w:tcBorders>
              <w:left w:val="single" w:sz="4" w:space="0" w:color="auto"/>
            </w:tcBorders>
            <w:shd w:val="clear" w:color="auto" w:fill="auto"/>
            <w:noWrap/>
            <w:vAlign w:val="center"/>
            <w:hideMark/>
          </w:tcPr>
          <w:p w14:paraId="43DCF92A" w14:textId="64235B15" w:rsidR="007D0D3C" w:rsidRPr="004E74A6" w:rsidRDefault="007D0D3C" w:rsidP="00CE62C1">
            <w:pPr>
              <w:spacing w:line="276" w:lineRule="auto"/>
              <w:jc w:val="center"/>
              <w:rPr>
                <w:rFonts w:cs="Calibri"/>
                <w:color w:val="000000"/>
                <w:sz w:val="20"/>
                <w:lang w:eastAsia="es-CR"/>
              </w:rPr>
            </w:pPr>
            <w:r w:rsidRPr="004E74A6">
              <w:rPr>
                <w:rFonts w:cs="Calibri"/>
                <w:color w:val="000000"/>
                <w:sz w:val="20"/>
              </w:rPr>
              <w:t>2,3</w:t>
            </w:r>
          </w:p>
        </w:tc>
      </w:tr>
      <w:tr w:rsidR="007D0D3C" w:rsidRPr="004E74A6" w14:paraId="7C7C9BD8" w14:textId="77777777" w:rsidTr="00620C25">
        <w:trPr>
          <w:trHeight w:val="288"/>
          <w:jc w:val="center"/>
        </w:trPr>
        <w:tc>
          <w:tcPr>
            <w:tcW w:w="2804" w:type="pct"/>
            <w:tcBorders>
              <w:right w:val="single" w:sz="4" w:space="0" w:color="auto"/>
            </w:tcBorders>
            <w:shd w:val="clear" w:color="auto" w:fill="auto"/>
            <w:noWrap/>
            <w:vAlign w:val="bottom"/>
            <w:hideMark/>
          </w:tcPr>
          <w:p w14:paraId="7D83CF7B" w14:textId="77777777" w:rsidR="007D0D3C" w:rsidRPr="004E74A6" w:rsidRDefault="007D0D3C" w:rsidP="00CE62C1">
            <w:pPr>
              <w:spacing w:line="276" w:lineRule="auto"/>
              <w:jc w:val="left"/>
              <w:rPr>
                <w:rFonts w:cs="Calibri"/>
                <w:color w:val="000000"/>
                <w:sz w:val="20"/>
                <w:lang w:eastAsia="es-CR"/>
              </w:rPr>
            </w:pPr>
            <w:r w:rsidRPr="004E74A6">
              <w:rPr>
                <w:rFonts w:cs="Calibri"/>
                <w:color w:val="000000"/>
                <w:sz w:val="20"/>
                <w:lang w:eastAsia="es-CR"/>
              </w:rPr>
              <w:t>Legajo De Medidas Cautelares</w:t>
            </w:r>
          </w:p>
        </w:tc>
        <w:tc>
          <w:tcPr>
            <w:tcW w:w="508" w:type="pct"/>
            <w:tcBorders>
              <w:left w:val="single" w:sz="4" w:space="0" w:color="auto"/>
              <w:right w:val="single" w:sz="4" w:space="0" w:color="auto"/>
            </w:tcBorders>
            <w:shd w:val="clear" w:color="auto" w:fill="auto"/>
            <w:noWrap/>
            <w:vAlign w:val="center"/>
            <w:hideMark/>
          </w:tcPr>
          <w:p w14:paraId="44BBA136" w14:textId="77777777" w:rsidR="007D0D3C" w:rsidRPr="004E74A6" w:rsidRDefault="007D0D3C" w:rsidP="00CE62C1">
            <w:pPr>
              <w:spacing w:line="276" w:lineRule="auto"/>
              <w:jc w:val="center"/>
              <w:rPr>
                <w:rFonts w:cs="Calibri"/>
                <w:color w:val="000000"/>
                <w:sz w:val="20"/>
                <w:lang w:eastAsia="es-CR"/>
              </w:rPr>
            </w:pPr>
            <w:r w:rsidRPr="004E74A6">
              <w:rPr>
                <w:rFonts w:cs="Calibri"/>
                <w:color w:val="000000"/>
                <w:sz w:val="20"/>
                <w:lang w:eastAsia="es-CR"/>
              </w:rPr>
              <w:t>1</w:t>
            </w:r>
          </w:p>
        </w:tc>
        <w:tc>
          <w:tcPr>
            <w:tcW w:w="507" w:type="pct"/>
            <w:tcBorders>
              <w:left w:val="single" w:sz="4" w:space="0" w:color="auto"/>
              <w:right w:val="single" w:sz="4" w:space="0" w:color="auto"/>
            </w:tcBorders>
            <w:shd w:val="clear" w:color="auto" w:fill="auto"/>
            <w:noWrap/>
            <w:vAlign w:val="center"/>
            <w:hideMark/>
          </w:tcPr>
          <w:p w14:paraId="6D247473" w14:textId="77777777" w:rsidR="007D0D3C" w:rsidRPr="004E74A6" w:rsidRDefault="007D0D3C" w:rsidP="00CE62C1">
            <w:pPr>
              <w:spacing w:line="276" w:lineRule="auto"/>
              <w:jc w:val="center"/>
              <w:rPr>
                <w:rFonts w:cs="Calibri"/>
                <w:color w:val="000000"/>
                <w:sz w:val="20"/>
                <w:lang w:eastAsia="es-CR"/>
              </w:rPr>
            </w:pPr>
            <w:r w:rsidRPr="004E74A6">
              <w:rPr>
                <w:rFonts w:cs="Calibri"/>
                <w:color w:val="000000"/>
                <w:sz w:val="20"/>
                <w:lang w:eastAsia="es-CR"/>
              </w:rPr>
              <w:t>2</w:t>
            </w:r>
          </w:p>
        </w:tc>
        <w:tc>
          <w:tcPr>
            <w:tcW w:w="507" w:type="pct"/>
            <w:tcBorders>
              <w:left w:val="single" w:sz="4" w:space="0" w:color="auto"/>
              <w:right w:val="single" w:sz="4" w:space="0" w:color="auto"/>
            </w:tcBorders>
            <w:shd w:val="clear" w:color="auto" w:fill="auto"/>
            <w:noWrap/>
            <w:vAlign w:val="center"/>
            <w:hideMark/>
          </w:tcPr>
          <w:p w14:paraId="2A9445D5" w14:textId="77777777" w:rsidR="007D0D3C" w:rsidRPr="004E74A6" w:rsidRDefault="007D0D3C" w:rsidP="00CE62C1">
            <w:pPr>
              <w:spacing w:line="276" w:lineRule="auto"/>
              <w:jc w:val="center"/>
              <w:rPr>
                <w:rFonts w:cs="Calibri"/>
                <w:color w:val="000000"/>
                <w:sz w:val="20"/>
                <w:lang w:eastAsia="es-CR"/>
              </w:rPr>
            </w:pPr>
            <w:r w:rsidRPr="004E74A6">
              <w:rPr>
                <w:rFonts w:cs="Calibri"/>
                <w:color w:val="000000"/>
                <w:sz w:val="20"/>
                <w:lang w:eastAsia="es-CR"/>
              </w:rPr>
              <w:t>1</w:t>
            </w:r>
          </w:p>
        </w:tc>
        <w:tc>
          <w:tcPr>
            <w:tcW w:w="674" w:type="pct"/>
            <w:tcBorders>
              <w:left w:val="single" w:sz="4" w:space="0" w:color="auto"/>
            </w:tcBorders>
            <w:shd w:val="clear" w:color="auto" w:fill="auto"/>
            <w:noWrap/>
            <w:vAlign w:val="center"/>
            <w:hideMark/>
          </w:tcPr>
          <w:p w14:paraId="1547BF25" w14:textId="7029D2B6" w:rsidR="007D0D3C" w:rsidRPr="004E74A6" w:rsidRDefault="007D0D3C" w:rsidP="00CE62C1">
            <w:pPr>
              <w:spacing w:line="276" w:lineRule="auto"/>
              <w:jc w:val="center"/>
              <w:rPr>
                <w:rFonts w:cs="Calibri"/>
                <w:color w:val="000000"/>
                <w:sz w:val="20"/>
                <w:lang w:eastAsia="es-CR"/>
              </w:rPr>
            </w:pPr>
            <w:r w:rsidRPr="004E74A6">
              <w:rPr>
                <w:rFonts w:cs="Calibri"/>
                <w:color w:val="000000"/>
                <w:sz w:val="20"/>
              </w:rPr>
              <w:t>1,3</w:t>
            </w:r>
          </w:p>
        </w:tc>
      </w:tr>
      <w:tr w:rsidR="007D0D3C" w:rsidRPr="004E74A6" w14:paraId="0FB4D335" w14:textId="77777777" w:rsidTr="00620C25">
        <w:trPr>
          <w:trHeight w:val="288"/>
          <w:jc w:val="center"/>
        </w:trPr>
        <w:tc>
          <w:tcPr>
            <w:tcW w:w="2804" w:type="pct"/>
            <w:tcBorders>
              <w:right w:val="single" w:sz="4" w:space="0" w:color="auto"/>
            </w:tcBorders>
            <w:shd w:val="clear" w:color="auto" w:fill="auto"/>
            <w:noWrap/>
            <w:vAlign w:val="bottom"/>
            <w:hideMark/>
          </w:tcPr>
          <w:p w14:paraId="5373B084" w14:textId="77777777" w:rsidR="007D0D3C" w:rsidRPr="004E74A6" w:rsidRDefault="007D0D3C" w:rsidP="00CE62C1">
            <w:pPr>
              <w:spacing w:line="276" w:lineRule="auto"/>
              <w:jc w:val="left"/>
              <w:rPr>
                <w:rFonts w:cs="Calibri"/>
                <w:color w:val="000000"/>
                <w:sz w:val="20"/>
                <w:lang w:eastAsia="es-CR"/>
              </w:rPr>
            </w:pPr>
            <w:r w:rsidRPr="004E74A6">
              <w:rPr>
                <w:rFonts w:cs="Calibri"/>
                <w:color w:val="000000"/>
                <w:sz w:val="20"/>
                <w:lang w:eastAsia="es-CR"/>
              </w:rPr>
              <w:t>Legajo Ejec. Sentencia Acuerdos En Conciliación</w:t>
            </w:r>
          </w:p>
        </w:tc>
        <w:tc>
          <w:tcPr>
            <w:tcW w:w="508" w:type="pct"/>
            <w:tcBorders>
              <w:left w:val="single" w:sz="4" w:space="0" w:color="auto"/>
              <w:right w:val="single" w:sz="4" w:space="0" w:color="auto"/>
            </w:tcBorders>
            <w:shd w:val="clear" w:color="auto" w:fill="auto"/>
            <w:noWrap/>
            <w:vAlign w:val="center"/>
            <w:hideMark/>
          </w:tcPr>
          <w:p w14:paraId="1847AC52" w14:textId="77777777" w:rsidR="007D0D3C" w:rsidRPr="004E74A6" w:rsidRDefault="007D0D3C" w:rsidP="00CE62C1">
            <w:pPr>
              <w:spacing w:line="276" w:lineRule="auto"/>
              <w:jc w:val="center"/>
              <w:rPr>
                <w:rFonts w:cs="Calibri"/>
                <w:color w:val="000000"/>
                <w:sz w:val="20"/>
                <w:lang w:eastAsia="es-CR"/>
              </w:rPr>
            </w:pPr>
            <w:r w:rsidRPr="004E74A6">
              <w:rPr>
                <w:rFonts w:cs="Calibri"/>
                <w:color w:val="000000"/>
                <w:sz w:val="20"/>
                <w:lang w:eastAsia="es-CR"/>
              </w:rPr>
              <w:t>1</w:t>
            </w:r>
          </w:p>
        </w:tc>
        <w:tc>
          <w:tcPr>
            <w:tcW w:w="507" w:type="pct"/>
            <w:tcBorders>
              <w:left w:val="single" w:sz="4" w:space="0" w:color="auto"/>
              <w:right w:val="single" w:sz="4" w:space="0" w:color="auto"/>
            </w:tcBorders>
            <w:shd w:val="clear" w:color="auto" w:fill="auto"/>
            <w:noWrap/>
            <w:vAlign w:val="center"/>
            <w:hideMark/>
          </w:tcPr>
          <w:p w14:paraId="10AA7CA4" w14:textId="56D645BC" w:rsidR="007D0D3C" w:rsidRPr="004E74A6" w:rsidRDefault="007D0D3C" w:rsidP="00CE62C1">
            <w:pPr>
              <w:spacing w:line="276" w:lineRule="auto"/>
              <w:jc w:val="center"/>
              <w:rPr>
                <w:rFonts w:cs="Calibri"/>
                <w:color w:val="000000"/>
                <w:sz w:val="20"/>
                <w:lang w:eastAsia="es-CR"/>
              </w:rPr>
            </w:pPr>
            <w:r w:rsidRPr="004E74A6">
              <w:rPr>
                <w:rFonts w:cs="Calibri"/>
                <w:color w:val="000000"/>
                <w:sz w:val="20"/>
                <w:lang w:eastAsia="es-CR"/>
              </w:rPr>
              <w:t>0</w:t>
            </w:r>
          </w:p>
        </w:tc>
        <w:tc>
          <w:tcPr>
            <w:tcW w:w="507" w:type="pct"/>
            <w:tcBorders>
              <w:left w:val="single" w:sz="4" w:space="0" w:color="auto"/>
              <w:right w:val="single" w:sz="4" w:space="0" w:color="auto"/>
            </w:tcBorders>
            <w:shd w:val="clear" w:color="auto" w:fill="auto"/>
            <w:noWrap/>
            <w:vAlign w:val="center"/>
            <w:hideMark/>
          </w:tcPr>
          <w:p w14:paraId="777C518D" w14:textId="6B71BB38" w:rsidR="007D0D3C" w:rsidRPr="004E74A6" w:rsidRDefault="007D0D3C" w:rsidP="00CE62C1">
            <w:pPr>
              <w:spacing w:line="276" w:lineRule="auto"/>
              <w:jc w:val="center"/>
              <w:rPr>
                <w:sz w:val="20"/>
                <w:lang w:eastAsia="es-CR"/>
              </w:rPr>
            </w:pPr>
            <w:r w:rsidRPr="004E74A6">
              <w:rPr>
                <w:sz w:val="20"/>
                <w:lang w:eastAsia="es-CR"/>
              </w:rPr>
              <w:t>0</w:t>
            </w:r>
          </w:p>
        </w:tc>
        <w:tc>
          <w:tcPr>
            <w:tcW w:w="674" w:type="pct"/>
            <w:tcBorders>
              <w:left w:val="single" w:sz="4" w:space="0" w:color="auto"/>
            </w:tcBorders>
            <w:shd w:val="clear" w:color="auto" w:fill="auto"/>
            <w:noWrap/>
            <w:vAlign w:val="center"/>
            <w:hideMark/>
          </w:tcPr>
          <w:p w14:paraId="77519457" w14:textId="0D9D5DFA" w:rsidR="007D0D3C" w:rsidRPr="004E74A6" w:rsidRDefault="007D0D3C" w:rsidP="00CE62C1">
            <w:pPr>
              <w:spacing w:line="276" w:lineRule="auto"/>
              <w:jc w:val="center"/>
              <w:rPr>
                <w:rFonts w:cs="Calibri"/>
                <w:color w:val="000000"/>
                <w:sz w:val="20"/>
                <w:lang w:eastAsia="es-CR"/>
              </w:rPr>
            </w:pPr>
            <w:r w:rsidRPr="004E74A6">
              <w:rPr>
                <w:rFonts w:cs="Calibri"/>
                <w:color w:val="000000"/>
                <w:sz w:val="20"/>
              </w:rPr>
              <w:t>0,3</w:t>
            </w:r>
          </w:p>
        </w:tc>
      </w:tr>
      <w:tr w:rsidR="007D0D3C" w:rsidRPr="004E74A6" w14:paraId="627A9F7C" w14:textId="77777777" w:rsidTr="00620C25">
        <w:trPr>
          <w:trHeight w:val="288"/>
          <w:jc w:val="center"/>
        </w:trPr>
        <w:tc>
          <w:tcPr>
            <w:tcW w:w="2804" w:type="pct"/>
            <w:tcBorders>
              <w:right w:val="single" w:sz="4" w:space="0" w:color="auto"/>
            </w:tcBorders>
            <w:shd w:val="clear" w:color="auto" w:fill="auto"/>
            <w:noWrap/>
            <w:vAlign w:val="bottom"/>
            <w:hideMark/>
          </w:tcPr>
          <w:p w14:paraId="271746A3" w14:textId="77777777" w:rsidR="007D0D3C" w:rsidRPr="004E74A6" w:rsidRDefault="007D0D3C" w:rsidP="00CE62C1">
            <w:pPr>
              <w:spacing w:line="276" w:lineRule="auto"/>
              <w:jc w:val="left"/>
              <w:rPr>
                <w:rFonts w:cs="Calibri"/>
                <w:color w:val="000000"/>
                <w:sz w:val="20"/>
                <w:lang w:eastAsia="es-CR"/>
              </w:rPr>
            </w:pPr>
            <w:r w:rsidRPr="004E74A6">
              <w:rPr>
                <w:rFonts w:cs="Calibri"/>
                <w:color w:val="000000"/>
                <w:sz w:val="20"/>
                <w:lang w:eastAsia="es-CR"/>
              </w:rPr>
              <w:t>Legajo Embargo Preventivo</w:t>
            </w:r>
          </w:p>
        </w:tc>
        <w:tc>
          <w:tcPr>
            <w:tcW w:w="508" w:type="pct"/>
            <w:tcBorders>
              <w:left w:val="single" w:sz="4" w:space="0" w:color="auto"/>
              <w:right w:val="single" w:sz="4" w:space="0" w:color="auto"/>
            </w:tcBorders>
            <w:shd w:val="clear" w:color="auto" w:fill="auto"/>
            <w:noWrap/>
            <w:vAlign w:val="center"/>
            <w:hideMark/>
          </w:tcPr>
          <w:p w14:paraId="42FD9F66" w14:textId="77777777" w:rsidR="007D0D3C" w:rsidRPr="004E74A6" w:rsidRDefault="007D0D3C" w:rsidP="00CE62C1">
            <w:pPr>
              <w:spacing w:line="276" w:lineRule="auto"/>
              <w:jc w:val="center"/>
              <w:rPr>
                <w:rFonts w:cs="Calibri"/>
                <w:color w:val="000000"/>
                <w:sz w:val="20"/>
                <w:lang w:eastAsia="es-CR"/>
              </w:rPr>
            </w:pPr>
            <w:r w:rsidRPr="004E74A6">
              <w:rPr>
                <w:rFonts w:cs="Calibri"/>
                <w:color w:val="000000"/>
                <w:sz w:val="20"/>
                <w:lang w:eastAsia="es-CR"/>
              </w:rPr>
              <w:t>1</w:t>
            </w:r>
          </w:p>
        </w:tc>
        <w:tc>
          <w:tcPr>
            <w:tcW w:w="507" w:type="pct"/>
            <w:tcBorders>
              <w:left w:val="single" w:sz="4" w:space="0" w:color="auto"/>
              <w:right w:val="single" w:sz="4" w:space="0" w:color="auto"/>
            </w:tcBorders>
            <w:shd w:val="clear" w:color="auto" w:fill="auto"/>
            <w:noWrap/>
            <w:vAlign w:val="center"/>
            <w:hideMark/>
          </w:tcPr>
          <w:p w14:paraId="16D8F123" w14:textId="753E2080" w:rsidR="007D0D3C" w:rsidRPr="004E74A6" w:rsidRDefault="007D0D3C" w:rsidP="00CE62C1">
            <w:pPr>
              <w:spacing w:line="276" w:lineRule="auto"/>
              <w:jc w:val="center"/>
              <w:rPr>
                <w:rFonts w:cs="Calibri"/>
                <w:color w:val="000000"/>
                <w:sz w:val="20"/>
                <w:lang w:eastAsia="es-CR"/>
              </w:rPr>
            </w:pPr>
            <w:r w:rsidRPr="004E74A6">
              <w:rPr>
                <w:rFonts w:cs="Calibri"/>
                <w:color w:val="000000"/>
                <w:sz w:val="20"/>
                <w:lang w:eastAsia="es-CR"/>
              </w:rPr>
              <w:t>0</w:t>
            </w:r>
          </w:p>
        </w:tc>
        <w:tc>
          <w:tcPr>
            <w:tcW w:w="507" w:type="pct"/>
            <w:tcBorders>
              <w:left w:val="single" w:sz="4" w:space="0" w:color="auto"/>
              <w:right w:val="single" w:sz="4" w:space="0" w:color="auto"/>
            </w:tcBorders>
            <w:shd w:val="clear" w:color="auto" w:fill="auto"/>
            <w:noWrap/>
            <w:vAlign w:val="center"/>
            <w:hideMark/>
          </w:tcPr>
          <w:p w14:paraId="1BA78078" w14:textId="052842C4" w:rsidR="007D0D3C" w:rsidRPr="004E74A6" w:rsidRDefault="007D0D3C" w:rsidP="00CE62C1">
            <w:pPr>
              <w:spacing w:line="276" w:lineRule="auto"/>
              <w:jc w:val="center"/>
              <w:rPr>
                <w:sz w:val="20"/>
                <w:lang w:eastAsia="es-CR"/>
              </w:rPr>
            </w:pPr>
            <w:r w:rsidRPr="004E74A6">
              <w:rPr>
                <w:sz w:val="20"/>
                <w:lang w:eastAsia="es-CR"/>
              </w:rPr>
              <w:t>0</w:t>
            </w:r>
          </w:p>
        </w:tc>
        <w:tc>
          <w:tcPr>
            <w:tcW w:w="674" w:type="pct"/>
            <w:tcBorders>
              <w:left w:val="single" w:sz="4" w:space="0" w:color="auto"/>
            </w:tcBorders>
            <w:shd w:val="clear" w:color="auto" w:fill="auto"/>
            <w:noWrap/>
            <w:vAlign w:val="center"/>
            <w:hideMark/>
          </w:tcPr>
          <w:p w14:paraId="03F82A47" w14:textId="30235804" w:rsidR="007D0D3C" w:rsidRPr="004E74A6" w:rsidRDefault="007D0D3C" w:rsidP="00CE62C1">
            <w:pPr>
              <w:spacing w:line="276" w:lineRule="auto"/>
              <w:jc w:val="center"/>
              <w:rPr>
                <w:rFonts w:cs="Calibri"/>
                <w:color w:val="000000"/>
                <w:sz w:val="20"/>
                <w:lang w:eastAsia="es-CR"/>
              </w:rPr>
            </w:pPr>
            <w:r w:rsidRPr="004E74A6">
              <w:rPr>
                <w:rFonts w:cs="Calibri"/>
                <w:color w:val="000000"/>
                <w:sz w:val="20"/>
              </w:rPr>
              <w:t>0,3</w:t>
            </w:r>
          </w:p>
        </w:tc>
      </w:tr>
      <w:tr w:rsidR="007D0D3C" w:rsidRPr="004E74A6" w14:paraId="6AE75CCD" w14:textId="77777777" w:rsidTr="00620C25">
        <w:trPr>
          <w:trHeight w:val="288"/>
          <w:jc w:val="center"/>
        </w:trPr>
        <w:tc>
          <w:tcPr>
            <w:tcW w:w="2804" w:type="pct"/>
            <w:tcBorders>
              <w:right w:val="single" w:sz="4" w:space="0" w:color="auto"/>
            </w:tcBorders>
            <w:shd w:val="clear" w:color="auto" w:fill="auto"/>
            <w:noWrap/>
            <w:vAlign w:val="bottom"/>
            <w:hideMark/>
          </w:tcPr>
          <w:p w14:paraId="15455302" w14:textId="77777777" w:rsidR="007D0D3C" w:rsidRPr="004E74A6" w:rsidRDefault="007D0D3C" w:rsidP="00CE62C1">
            <w:pPr>
              <w:spacing w:line="276" w:lineRule="auto"/>
              <w:jc w:val="left"/>
              <w:rPr>
                <w:rFonts w:cs="Calibri"/>
                <w:color w:val="000000"/>
                <w:sz w:val="20"/>
                <w:lang w:eastAsia="es-CR"/>
              </w:rPr>
            </w:pPr>
            <w:r w:rsidRPr="004E74A6">
              <w:rPr>
                <w:rFonts w:cs="Calibri"/>
                <w:color w:val="000000"/>
                <w:sz w:val="20"/>
                <w:lang w:eastAsia="es-CR"/>
              </w:rPr>
              <w:t>Legajo Medida Cautelar Anticipada</w:t>
            </w:r>
          </w:p>
        </w:tc>
        <w:tc>
          <w:tcPr>
            <w:tcW w:w="508" w:type="pct"/>
            <w:tcBorders>
              <w:left w:val="single" w:sz="4" w:space="0" w:color="auto"/>
              <w:right w:val="single" w:sz="4" w:space="0" w:color="auto"/>
            </w:tcBorders>
            <w:shd w:val="clear" w:color="auto" w:fill="auto"/>
            <w:noWrap/>
            <w:vAlign w:val="center"/>
            <w:hideMark/>
          </w:tcPr>
          <w:p w14:paraId="1F8E29FA" w14:textId="3C06BA29" w:rsidR="007D0D3C" w:rsidRPr="004E74A6" w:rsidRDefault="007D0D3C" w:rsidP="00CE62C1">
            <w:pPr>
              <w:spacing w:line="276" w:lineRule="auto"/>
              <w:jc w:val="center"/>
              <w:rPr>
                <w:sz w:val="20"/>
                <w:lang w:eastAsia="es-CR"/>
              </w:rPr>
            </w:pPr>
            <w:r w:rsidRPr="004E74A6">
              <w:rPr>
                <w:sz w:val="20"/>
                <w:lang w:eastAsia="es-CR"/>
              </w:rPr>
              <w:t>0</w:t>
            </w:r>
          </w:p>
        </w:tc>
        <w:tc>
          <w:tcPr>
            <w:tcW w:w="507" w:type="pct"/>
            <w:tcBorders>
              <w:left w:val="single" w:sz="4" w:space="0" w:color="auto"/>
              <w:right w:val="single" w:sz="4" w:space="0" w:color="auto"/>
            </w:tcBorders>
            <w:shd w:val="clear" w:color="auto" w:fill="auto"/>
            <w:noWrap/>
            <w:vAlign w:val="center"/>
            <w:hideMark/>
          </w:tcPr>
          <w:p w14:paraId="2BED22C7" w14:textId="77777777" w:rsidR="007D0D3C" w:rsidRPr="004E74A6" w:rsidRDefault="007D0D3C" w:rsidP="00CE62C1">
            <w:pPr>
              <w:spacing w:line="276" w:lineRule="auto"/>
              <w:jc w:val="center"/>
              <w:rPr>
                <w:rFonts w:cs="Calibri"/>
                <w:color w:val="000000"/>
                <w:sz w:val="20"/>
                <w:lang w:eastAsia="es-CR"/>
              </w:rPr>
            </w:pPr>
            <w:r w:rsidRPr="004E74A6">
              <w:rPr>
                <w:rFonts w:cs="Calibri"/>
                <w:color w:val="000000"/>
                <w:sz w:val="20"/>
                <w:lang w:eastAsia="es-CR"/>
              </w:rPr>
              <w:t>1</w:t>
            </w:r>
          </w:p>
        </w:tc>
        <w:tc>
          <w:tcPr>
            <w:tcW w:w="507" w:type="pct"/>
            <w:tcBorders>
              <w:left w:val="single" w:sz="4" w:space="0" w:color="auto"/>
              <w:right w:val="single" w:sz="4" w:space="0" w:color="auto"/>
            </w:tcBorders>
            <w:shd w:val="clear" w:color="auto" w:fill="auto"/>
            <w:noWrap/>
            <w:vAlign w:val="center"/>
            <w:hideMark/>
          </w:tcPr>
          <w:p w14:paraId="435C06A8" w14:textId="74961092" w:rsidR="007D0D3C" w:rsidRPr="004E74A6" w:rsidRDefault="007D0D3C" w:rsidP="00CE62C1">
            <w:pPr>
              <w:spacing w:line="276" w:lineRule="auto"/>
              <w:jc w:val="center"/>
              <w:rPr>
                <w:rFonts w:cs="Calibri"/>
                <w:color w:val="000000"/>
                <w:sz w:val="20"/>
                <w:lang w:eastAsia="es-CR"/>
              </w:rPr>
            </w:pPr>
            <w:r w:rsidRPr="004E74A6">
              <w:rPr>
                <w:rFonts w:cs="Calibri"/>
                <w:color w:val="000000"/>
                <w:sz w:val="20"/>
                <w:lang w:eastAsia="es-CR"/>
              </w:rPr>
              <w:t>0</w:t>
            </w:r>
          </w:p>
        </w:tc>
        <w:tc>
          <w:tcPr>
            <w:tcW w:w="674" w:type="pct"/>
            <w:tcBorders>
              <w:left w:val="single" w:sz="4" w:space="0" w:color="auto"/>
            </w:tcBorders>
            <w:shd w:val="clear" w:color="auto" w:fill="auto"/>
            <w:noWrap/>
            <w:vAlign w:val="center"/>
            <w:hideMark/>
          </w:tcPr>
          <w:p w14:paraId="3C78371E" w14:textId="7691B2C6" w:rsidR="007D0D3C" w:rsidRPr="004E74A6" w:rsidRDefault="007D0D3C" w:rsidP="00CE62C1">
            <w:pPr>
              <w:spacing w:line="276" w:lineRule="auto"/>
              <w:jc w:val="center"/>
              <w:rPr>
                <w:rFonts w:cs="Calibri"/>
                <w:color w:val="000000"/>
                <w:sz w:val="20"/>
                <w:lang w:eastAsia="es-CR"/>
              </w:rPr>
            </w:pPr>
            <w:r w:rsidRPr="004E74A6">
              <w:rPr>
                <w:rFonts w:cs="Calibri"/>
                <w:color w:val="000000"/>
                <w:sz w:val="20"/>
              </w:rPr>
              <w:t>0,3</w:t>
            </w:r>
          </w:p>
        </w:tc>
      </w:tr>
      <w:tr w:rsidR="007D0D3C" w:rsidRPr="004E74A6" w14:paraId="61146FC2" w14:textId="77777777" w:rsidTr="00620C25">
        <w:trPr>
          <w:trHeight w:val="288"/>
          <w:jc w:val="center"/>
        </w:trPr>
        <w:tc>
          <w:tcPr>
            <w:tcW w:w="2804" w:type="pct"/>
            <w:tcBorders>
              <w:right w:val="single" w:sz="4" w:space="0" w:color="auto"/>
            </w:tcBorders>
            <w:shd w:val="clear" w:color="auto" w:fill="auto"/>
            <w:noWrap/>
            <w:vAlign w:val="bottom"/>
            <w:hideMark/>
          </w:tcPr>
          <w:p w14:paraId="48E01BAF" w14:textId="77777777" w:rsidR="007D0D3C" w:rsidRPr="004E74A6" w:rsidRDefault="007D0D3C" w:rsidP="00CE62C1">
            <w:pPr>
              <w:spacing w:line="276" w:lineRule="auto"/>
              <w:jc w:val="left"/>
              <w:rPr>
                <w:rFonts w:cs="Calibri"/>
                <w:color w:val="000000"/>
                <w:sz w:val="20"/>
                <w:lang w:eastAsia="es-CR"/>
              </w:rPr>
            </w:pPr>
            <w:r w:rsidRPr="004E74A6">
              <w:rPr>
                <w:rFonts w:cs="Calibri"/>
                <w:color w:val="000000"/>
                <w:sz w:val="20"/>
                <w:lang w:eastAsia="es-CR"/>
              </w:rPr>
              <w:t>Legajo Pruebas Parte Actora</w:t>
            </w:r>
          </w:p>
        </w:tc>
        <w:tc>
          <w:tcPr>
            <w:tcW w:w="508" w:type="pct"/>
            <w:tcBorders>
              <w:left w:val="single" w:sz="4" w:space="0" w:color="auto"/>
              <w:right w:val="single" w:sz="4" w:space="0" w:color="auto"/>
            </w:tcBorders>
            <w:shd w:val="clear" w:color="auto" w:fill="auto"/>
            <w:noWrap/>
            <w:vAlign w:val="center"/>
            <w:hideMark/>
          </w:tcPr>
          <w:p w14:paraId="5892E21D" w14:textId="77777777" w:rsidR="007D0D3C" w:rsidRPr="004E74A6" w:rsidRDefault="007D0D3C" w:rsidP="00CE62C1">
            <w:pPr>
              <w:spacing w:line="276" w:lineRule="auto"/>
              <w:jc w:val="center"/>
              <w:rPr>
                <w:rFonts w:cs="Calibri"/>
                <w:color w:val="000000"/>
                <w:sz w:val="20"/>
                <w:lang w:eastAsia="es-CR"/>
              </w:rPr>
            </w:pPr>
            <w:r w:rsidRPr="004E74A6">
              <w:rPr>
                <w:rFonts w:cs="Calibri"/>
                <w:color w:val="000000"/>
                <w:sz w:val="20"/>
                <w:lang w:eastAsia="es-CR"/>
              </w:rPr>
              <w:t>1</w:t>
            </w:r>
          </w:p>
        </w:tc>
        <w:tc>
          <w:tcPr>
            <w:tcW w:w="507" w:type="pct"/>
            <w:tcBorders>
              <w:left w:val="single" w:sz="4" w:space="0" w:color="auto"/>
              <w:right w:val="single" w:sz="4" w:space="0" w:color="auto"/>
            </w:tcBorders>
            <w:shd w:val="clear" w:color="auto" w:fill="auto"/>
            <w:noWrap/>
            <w:vAlign w:val="center"/>
            <w:hideMark/>
          </w:tcPr>
          <w:p w14:paraId="15F94EB3" w14:textId="692079F4" w:rsidR="007D0D3C" w:rsidRPr="004E74A6" w:rsidRDefault="007D0D3C" w:rsidP="00CE62C1">
            <w:pPr>
              <w:spacing w:line="276" w:lineRule="auto"/>
              <w:jc w:val="center"/>
              <w:rPr>
                <w:rFonts w:cs="Calibri"/>
                <w:color w:val="000000"/>
                <w:sz w:val="20"/>
                <w:lang w:eastAsia="es-CR"/>
              </w:rPr>
            </w:pPr>
            <w:r w:rsidRPr="004E74A6">
              <w:rPr>
                <w:rFonts w:cs="Calibri"/>
                <w:color w:val="000000"/>
                <w:sz w:val="20"/>
                <w:lang w:eastAsia="es-CR"/>
              </w:rPr>
              <w:t>0</w:t>
            </w:r>
          </w:p>
        </w:tc>
        <w:tc>
          <w:tcPr>
            <w:tcW w:w="507" w:type="pct"/>
            <w:tcBorders>
              <w:left w:val="single" w:sz="4" w:space="0" w:color="auto"/>
              <w:right w:val="single" w:sz="4" w:space="0" w:color="auto"/>
            </w:tcBorders>
            <w:shd w:val="clear" w:color="auto" w:fill="auto"/>
            <w:noWrap/>
            <w:vAlign w:val="center"/>
            <w:hideMark/>
          </w:tcPr>
          <w:p w14:paraId="184CEC8A" w14:textId="77777777" w:rsidR="007D0D3C" w:rsidRPr="004E74A6" w:rsidRDefault="007D0D3C" w:rsidP="00CE62C1">
            <w:pPr>
              <w:spacing w:line="276" w:lineRule="auto"/>
              <w:jc w:val="center"/>
              <w:rPr>
                <w:rFonts w:cs="Calibri"/>
                <w:color w:val="000000"/>
                <w:sz w:val="20"/>
                <w:lang w:eastAsia="es-CR"/>
              </w:rPr>
            </w:pPr>
            <w:r w:rsidRPr="004E74A6">
              <w:rPr>
                <w:rFonts w:cs="Calibri"/>
                <w:color w:val="000000"/>
                <w:sz w:val="20"/>
                <w:lang w:eastAsia="es-CR"/>
              </w:rPr>
              <w:t>1</w:t>
            </w:r>
          </w:p>
        </w:tc>
        <w:tc>
          <w:tcPr>
            <w:tcW w:w="674" w:type="pct"/>
            <w:tcBorders>
              <w:left w:val="single" w:sz="4" w:space="0" w:color="auto"/>
            </w:tcBorders>
            <w:shd w:val="clear" w:color="auto" w:fill="auto"/>
            <w:noWrap/>
            <w:vAlign w:val="center"/>
            <w:hideMark/>
          </w:tcPr>
          <w:p w14:paraId="5A1B36DC" w14:textId="43A1A247" w:rsidR="007D0D3C" w:rsidRPr="004E74A6" w:rsidRDefault="007D0D3C" w:rsidP="00CE62C1">
            <w:pPr>
              <w:spacing w:line="276" w:lineRule="auto"/>
              <w:jc w:val="center"/>
              <w:rPr>
                <w:rFonts w:cs="Calibri"/>
                <w:color w:val="000000"/>
                <w:sz w:val="20"/>
                <w:lang w:eastAsia="es-CR"/>
              </w:rPr>
            </w:pPr>
            <w:r w:rsidRPr="004E74A6">
              <w:rPr>
                <w:rFonts w:cs="Calibri"/>
                <w:color w:val="000000"/>
                <w:sz w:val="20"/>
              </w:rPr>
              <w:t>0,7</w:t>
            </w:r>
          </w:p>
        </w:tc>
      </w:tr>
      <w:tr w:rsidR="007D0D3C" w:rsidRPr="004E74A6" w14:paraId="35F24229" w14:textId="77777777" w:rsidTr="00620C25">
        <w:trPr>
          <w:trHeight w:val="288"/>
          <w:jc w:val="center"/>
        </w:trPr>
        <w:tc>
          <w:tcPr>
            <w:tcW w:w="2804" w:type="pct"/>
            <w:tcBorders>
              <w:right w:val="single" w:sz="4" w:space="0" w:color="auto"/>
            </w:tcBorders>
            <w:shd w:val="clear" w:color="auto" w:fill="auto"/>
            <w:noWrap/>
            <w:vAlign w:val="bottom"/>
            <w:hideMark/>
          </w:tcPr>
          <w:p w14:paraId="68105D82" w14:textId="77777777" w:rsidR="007D0D3C" w:rsidRPr="004E74A6" w:rsidRDefault="007D0D3C" w:rsidP="00CE62C1">
            <w:pPr>
              <w:spacing w:line="276" w:lineRule="auto"/>
              <w:jc w:val="left"/>
              <w:rPr>
                <w:rFonts w:cs="Calibri"/>
                <w:color w:val="000000"/>
                <w:sz w:val="20"/>
                <w:lang w:eastAsia="es-CR"/>
              </w:rPr>
            </w:pPr>
            <w:r w:rsidRPr="004E74A6">
              <w:rPr>
                <w:rFonts w:cs="Calibri"/>
                <w:color w:val="000000"/>
                <w:sz w:val="20"/>
                <w:lang w:eastAsia="es-CR"/>
              </w:rPr>
              <w:t>Legajo Pruebas Parte Demandada</w:t>
            </w:r>
          </w:p>
        </w:tc>
        <w:tc>
          <w:tcPr>
            <w:tcW w:w="508" w:type="pct"/>
            <w:tcBorders>
              <w:left w:val="single" w:sz="4" w:space="0" w:color="auto"/>
              <w:right w:val="single" w:sz="4" w:space="0" w:color="auto"/>
            </w:tcBorders>
            <w:shd w:val="clear" w:color="auto" w:fill="auto"/>
            <w:noWrap/>
            <w:vAlign w:val="center"/>
            <w:hideMark/>
          </w:tcPr>
          <w:p w14:paraId="56E043FA" w14:textId="77777777" w:rsidR="007D0D3C" w:rsidRPr="004E74A6" w:rsidRDefault="007D0D3C" w:rsidP="00CE62C1">
            <w:pPr>
              <w:spacing w:line="276" w:lineRule="auto"/>
              <w:jc w:val="center"/>
              <w:rPr>
                <w:rFonts w:cs="Calibri"/>
                <w:color w:val="000000"/>
                <w:sz w:val="20"/>
                <w:lang w:eastAsia="es-CR"/>
              </w:rPr>
            </w:pPr>
            <w:r w:rsidRPr="004E74A6">
              <w:rPr>
                <w:rFonts w:cs="Calibri"/>
                <w:color w:val="000000"/>
                <w:sz w:val="20"/>
                <w:lang w:eastAsia="es-CR"/>
              </w:rPr>
              <w:t>1</w:t>
            </w:r>
          </w:p>
        </w:tc>
        <w:tc>
          <w:tcPr>
            <w:tcW w:w="507" w:type="pct"/>
            <w:tcBorders>
              <w:left w:val="single" w:sz="4" w:space="0" w:color="auto"/>
              <w:right w:val="single" w:sz="4" w:space="0" w:color="auto"/>
            </w:tcBorders>
            <w:shd w:val="clear" w:color="auto" w:fill="auto"/>
            <w:noWrap/>
            <w:vAlign w:val="center"/>
            <w:hideMark/>
          </w:tcPr>
          <w:p w14:paraId="749CC268" w14:textId="1DF37549" w:rsidR="007D0D3C" w:rsidRPr="004E74A6" w:rsidRDefault="007D0D3C" w:rsidP="00CE62C1">
            <w:pPr>
              <w:spacing w:line="276" w:lineRule="auto"/>
              <w:jc w:val="center"/>
              <w:rPr>
                <w:rFonts w:cs="Calibri"/>
                <w:color w:val="000000"/>
                <w:sz w:val="20"/>
                <w:lang w:eastAsia="es-CR"/>
              </w:rPr>
            </w:pPr>
            <w:r w:rsidRPr="004E74A6">
              <w:rPr>
                <w:rFonts w:cs="Calibri"/>
                <w:color w:val="000000"/>
                <w:sz w:val="20"/>
                <w:lang w:eastAsia="es-CR"/>
              </w:rPr>
              <w:t>0</w:t>
            </w:r>
          </w:p>
        </w:tc>
        <w:tc>
          <w:tcPr>
            <w:tcW w:w="507" w:type="pct"/>
            <w:tcBorders>
              <w:left w:val="single" w:sz="4" w:space="0" w:color="auto"/>
              <w:right w:val="single" w:sz="4" w:space="0" w:color="auto"/>
            </w:tcBorders>
            <w:shd w:val="clear" w:color="auto" w:fill="auto"/>
            <w:noWrap/>
            <w:vAlign w:val="center"/>
            <w:hideMark/>
          </w:tcPr>
          <w:p w14:paraId="3CDB01E6" w14:textId="1FE73DB9" w:rsidR="007D0D3C" w:rsidRPr="004E74A6" w:rsidRDefault="007D0D3C" w:rsidP="00CE62C1">
            <w:pPr>
              <w:spacing w:line="276" w:lineRule="auto"/>
              <w:jc w:val="center"/>
              <w:rPr>
                <w:sz w:val="20"/>
                <w:lang w:eastAsia="es-CR"/>
              </w:rPr>
            </w:pPr>
            <w:r w:rsidRPr="004E74A6">
              <w:rPr>
                <w:sz w:val="20"/>
                <w:lang w:eastAsia="es-CR"/>
              </w:rPr>
              <w:t>0</w:t>
            </w:r>
          </w:p>
        </w:tc>
        <w:tc>
          <w:tcPr>
            <w:tcW w:w="674" w:type="pct"/>
            <w:tcBorders>
              <w:left w:val="single" w:sz="4" w:space="0" w:color="auto"/>
            </w:tcBorders>
            <w:shd w:val="clear" w:color="auto" w:fill="auto"/>
            <w:noWrap/>
            <w:vAlign w:val="center"/>
            <w:hideMark/>
          </w:tcPr>
          <w:p w14:paraId="38E4A09C" w14:textId="3A8FE11A" w:rsidR="007D0D3C" w:rsidRPr="004E74A6" w:rsidRDefault="007D0D3C" w:rsidP="00CE62C1">
            <w:pPr>
              <w:spacing w:line="276" w:lineRule="auto"/>
              <w:jc w:val="center"/>
              <w:rPr>
                <w:rFonts w:cs="Calibri"/>
                <w:color w:val="000000"/>
                <w:sz w:val="20"/>
                <w:lang w:eastAsia="es-CR"/>
              </w:rPr>
            </w:pPr>
            <w:r w:rsidRPr="004E74A6">
              <w:rPr>
                <w:rFonts w:cs="Calibri"/>
                <w:color w:val="000000"/>
                <w:sz w:val="20"/>
              </w:rPr>
              <w:t>0,3</w:t>
            </w:r>
          </w:p>
        </w:tc>
      </w:tr>
      <w:tr w:rsidR="007D0D3C" w:rsidRPr="004E74A6" w14:paraId="02BF5CD8" w14:textId="77777777" w:rsidTr="005526E8">
        <w:trPr>
          <w:trHeight w:val="288"/>
          <w:jc w:val="center"/>
        </w:trPr>
        <w:tc>
          <w:tcPr>
            <w:tcW w:w="2804" w:type="pct"/>
            <w:tcBorders>
              <w:right w:val="single" w:sz="4" w:space="0" w:color="auto"/>
            </w:tcBorders>
            <w:shd w:val="clear" w:color="auto" w:fill="C5E0B3" w:themeFill="accent6" w:themeFillTint="66"/>
            <w:noWrap/>
            <w:vAlign w:val="bottom"/>
            <w:hideMark/>
          </w:tcPr>
          <w:p w14:paraId="29E0EF4B" w14:textId="77777777" w:rsidR="007D0D3C" w:rsidRPr="004E74A6" w:rsidRDefault="007D0D3C" w:rsidP="00CE62C1">
            <w:pPr>
              <w:spacing w:line="276" w:lineRule="auto"/>
              <w:jc w:val="left"/>
              <w:rPr>
                <w:rFonts w:cs="Calibri"/>
                <w:color w:val="000000"/>
                <w:sz w:val="20"/>
                <w:lang w:eastAsia="es-CR"/>
              </w:rPr>
            </w:pPr>
            <w:r w:rsidRPr="004E74A6">
              <w:rPr>
                <w:rFonts w:cs="Calibri"/>
                <w:color w:val="000000"/>
                <w:sz w:val="20"/>
                <w:lang w:eastAsia="es-CR"/>
              </w:rPr>
              <w:t>Principal</w:t>
            </w:r>
          </w:p>
        </w:tc>
        <w:tc>
          <w:tcPr>
            <w:tcW w:w="508" w:type="pct"/>
            <w:tcBorders>
              <w:left w:val="single" w:sz="4" w:space="0" w:color="auto"/>
              <w:right w:val="single" w:sz="4" w:space="0" w:color="auto"/>
            </w:tcBorders>
            <w:shd w:val="clear" w:color="auto" w:fill="C5E0B3" w:themeFill="accent6" w:themeFillTint="66"/>
            <w:noWrap/>
            <w:vAlign w:val="center"/>
            <w:hideMark/>
          </w:tcPr>
          <w:p w14:paraId="3548E644" w14:textId="77777777" w:rsidR="007D0D3C" w:rsidRPr="004E74A6" w:rsidRDefault="007D0D3C" w:rsidP="00CE62C1">
            <w:pPr>
              <w:spacing w:line="276" w:lineRule="auto"/>
              <w:jc w:val="center"/>
              <w:rPr>
                <w:rFonts w:cs="Calibri"/>
                <w:color w:val="000000"/>
                <w:sz w:val="20"/>
                <w:lang w:eastAsia="es-CR"/>
              </w:rPr>
            </w:pPr>
            <w:r w:rsidRPr="004E74A6">
              <w:rPr>
                <w:rFonts w:cs="Calibri"/>
                <w:color w:val="000000"/>
                <w:sz w:val="20"/>
                <w:lang w:eastAsia="es-CR"/>
              </w:rPr>
              <w:t>450</w:t>
            </w:r>
          </w:p>
        </w:tc>
        <w:tc>
          <w:tcPr>
            <w:tcW w:w="507" w:type="pct"/>
            <w:tcBorders>
              <w:left w:val="single" w:sz="4" w:space="0" w:color="auto"/>
              <w:right w:val="single" w:sz="4" w:space="0" w:color="auto"/>
            </w:tcBorders>
            <w:shd w:val="clear" w:color="auto" w:fill="C5E0B3" w:themeFill="accent6" w:themeFillTint="66"/>
            <w:noWrap/>
            <w:vAlign w:val="center"/>
            <w:hideMark/>
          </w:tcPr>
          <w:p w14:paraId="48B68642" w14:textId="77777777" w:rsidR="007D0D3C" w:rsidRPr="004E74A6" w:rsidRDefault="007D0D3C" w:rsidP="00CE62C1">
            <w:pPr>
              <w:spacing w:line="276" w:lineRule="auto"/>
              <w:jc w:val="center"/>
              <w:rPr>
                <w:rFonts w:cs="Calibri"/>
                <w:color w:val="000000"/>
                <w:sz w:val="20"/>
                <w:lang w:eastAsia="es-CR"/>
              </w:rPr>
            </w:pPr>
            <w:r w:rsidRPr="004E74A6">
              <w:rPr>
                <w:rFonts w:cs="Calibri"/>
                <w:color w:val="000000"/>
                <w:sz w:val="20"/>
                <w:lang w:eastAsia="es-CR"/>
              </w:rPr>
              <w:t>414</w:t>
            </w:r>
          </w:p>
        </w:tc>
        <w:tc>
          <w:tcPr>
            <w:tcW w:w="507" w:type="pct"/>
            <w:tcBorders>
              <w:left w:val="single" w:sz="4" w:space="0" w:color="auto"/>
              <w:right w:val="single" w:sz="4" w:space="0" w:color="auto"/>
            </w:tcBorders>
            <w:shd w:val="clear" w:color="auto" w:fill="C5E0B3" w:themeFill="accent6" w:themeFillTint="66"/>
            <w:noWrap/>
            <w:vAlign w:val="center"/>
            <w:hideMark/>
          </w:tcPr>
          <w:p w14:paraId="1D497DBA" w14:textId="77777777" w:rsidR="007D0D3C" w:rsidRPr="004E74A6" w:rsidRDefault="007D0D3C" w:rsidP="00CE62C1">
            <w:pPr>
              <w:spacing w:line="276" w:lineRule="auto"/>
              <w:jc w:val="center"/>
              <w:rPr>
                <w:rFonts w:cs="Calibri"/>
                <w:color w:val="000000"/>
                <w:sz w:val="20"/>
                <w:lang w:eastAsia="es-CR"/>
              </w:rPr>
            </w:pPr>
            <w:r w:rsidRPr="004E74A6">
              <w:rPr>
                <w:rFonts w:cs="Calibri"/>
                <w:color w:val="000000"/>
                <w:sz w:val="20"/>
                <w:lang w:eastAsia="es-CR"/>
              </w:rPr>
              <w:t>404</w:t>
            </w:r>
          </w:p>
        </w:tc>
        <w:tc>
          <w:tcPr>
            <w:tcW w:w="674" w:type="pct"/>
            <w:tcBorders>
              <w:left w:val="single" w:sz="4" w:space="0" w:color="auto"/>
            </w:tcBorders>
            <w:shd w:val="clear" w:color="auto" w:fill="C5E0B3" w:themeFill="accent6" w:themeFillTint="66"/>
            <w:noWrap/>
            <w:vAlign w:val="center"/>
            <w:hideMark/>
          </w:tcPr>
          <w:p w14:paraId="276903B1" w14:textId="7367EA97" w:rsidR="007D0D3C" w:rsidRPr="004E74A6" w:rsidRDefault="007D0D3C" w:rsidP="00CE62C1">
            <w:pPr>
              <w:spacing w:line="276" w:lineRule="auto"/>
              <w:jc w:val="center"/>
              <w:rPr>
                <w:rFonts w:cs="Calibri"/>
                <w:color w:val="000000"/>
                <w:sz w:val="20"/>
                <w:lang w:eastAsia="es-CR"/>
              </w:rPr>
            </w:pPr>
            <w:r w:rsidRPr="004E74A6">
              <w:rPr>
                <w:rFonts w:cs="Calibri"/>
                <w:color w:val="000000"/>
                <w:sz w:val="20"/>
              </w:rPr>
              <w:t>423</w:t>
            </w:r>
          </w:p>
        </w:tc>
      </w:tr>
      <w:tr w:rsidR="007D0D3C" w:rsidRPr="004E74A6" w14:paraId="4D35A9EE" w14:textId="77777777" w:rsidTr="00620C25">
        <w:trPr>
          <w:trHeight w:val="288"/>
          <w:jc w:val="center"/>
        </w:trPr>
        <w:tc>
          <w:tcPr>
            <w:tcW w:w="2804" w:type="pct"/>
            <w:tcBorders>
              <w:right w:val="single" w:sz="4" w:space="0" w:color="auto"/>
            </w:tcBorders>
            <w:shd w:val="clear" w:color="auto" w:fill="auto"/>
            <w:noWrap/>
            <w:vAlign w:val="bottom"/>
            <w:hideMark/>
          </w:tcPr>
          <w:p w14:paraId="02597F26" w14:textId="77777777" w:rsidR="007D0D3C" w:rsidRPr="004E74A6" w:rsidRDefault="007D0D3C" w:rsidP="00CE62C1">
            <w:pPr>
              <w:spacing w:line="276" w:lineRule="auto"/>
              <w:jc w:val="left"/>
              <w:rPr>
                <w:rFonts w:cs="Calibri"/>
                <w:color w:val="000000"/>
                <w:sz w:val="20"/>
                <w:lang w:eastAsia="es-CR"/>
              </w:rPr>
            </w:pPr>
            <w:r w:rsidRPr="004E74A6">
              <w:rPr>
                <w:rFonts w:cs="Calibri"/>
                <w:color w:val="000000"/>
                <w:sz w:val="20"/>
                <w:lang w:eastAsia="es-CR"/>
              </w:rPr>
              <w:t>Recurso</w:t>
            </w:r>
          </w:p>
        </w:tc>
        <w:tc>
          <w:tcPr>
            <w:tcW w:w="508" w:type="pct"/>
            <w:tcBorders>
              <w:left w:val="single" w:sz="4" w:space="0" w:color="auto"/>
              <w:right w:val="single" w:sz="4" w:space="0" w:color="auto"/>
            </w:tcBorders>
            <w:shd w:val="clear" w:color="auto" w:fill="auto"/>
            <w:noWrap/>
            <w:vAlign w:val="center"/>
            <w:hideMark/>
          </w:tcPr>
          <w:p w14:paraId="3E6F7C85" w14:textId="44A65C02" w:rsidR="007D0D3C" w:rsidRPr="004E74A6" w:rsidRDefault="007D0D3C" w:rsidP="00CE62C1">
            <w:pPr>
              <w:spacing w:line="276" w:lineRule="auto"/>
              <w:jc w:val="center"/>
              <w:rPr>
                <w:sz w:val="20"/>
                <w:lang w:eastAsia="es-CR"/>
              </w:rPr>
            </w:pPr>
            <w:r w:rsidRPr="004E74A6">
              <w:rPr>
                <w:sz w:val="20"/>
                <w:lang w:eastAsia="es-CR"/>
              </w:rPr>
              <w:t>0</w:t>
            </w:r>
          </w:p>
        </w:tc>
        <w:tc>
          <w:tcPr>
            <w:tcW w:w="507" w:type="pct"/>
            <w:tcBorders>
              <w:left w:val="single" w:sz="4" w:space="0" w:color="auto"/>
              <w:right w:val="single" w:sz="4" w:space="0" w:color="auto"/>
            </w:tcBorders>
            <w:shd w:val="clear" w:color="auto" w:fill="auto"/>
            <w:noWrap/>
            <w:vAlign w:val="center"/>
            <w:hideMark/>
          </w:tcPr>
          <w:p w14:paraId="5608CF21" w14:textId="77777777" w:rsidR="007D0D3C" w:rsidRPr="004E74A6" w:rsidRDefault="007D0D3C" w:rsidP="00CE62C1">
            <w:pPr>
              <w:spacing w:line="276" w:lineRule="auto"/>
              <w:jc w:val="center"/>
              <w:rPr>
                <w:rFonts w:cs="Calibri"/>
                <w:color w:val="000000"/>
                <w:sz w:val="20"/>
                <w:lang w:eastAsia="es-CR"/>
              </w:rPr>
            </w:pPr>
            <w:r w:rsidRPr="004E74A6">
              <w:rPr>
                <w:rFonts w:cs="Calibri"/>
                <w:color w:val="000000"/>
                <w:sz w:val="20"/>
                <w:lang w:eastAsia="es-CR"/>
              </w:rPr>
              <w:t>1</w:t>
            </w:r>
          </w:p>
        </w:tc>
        <w:tc>
          <w:tcPr>
            <w:tcW w:w="507" w:type="pct"/>
            <w:tcBorders>
              <w:left w:val="single" w:sz="4" w:space="0" w:color="auto"/>
              <w:right w:val="single" w:sz="4" w:space="0" w:color="auto"/>
            </w:tcBorders>
            <w:shd w:val="clear" w:color="auto" w:fill="auto"/>
            <w:noWrap/>
            <w:vAlign w:val="center"/>
            <w:hideMark/>
          </w:tcPr>
          <w:p w14:paraId="2AFF0EDD" w14:textId="0537B1A3" w:rsidR="007D0D3C" w:rsidRPr="004E74A6" w:rsidRDefault="007D0D3C" w:rsidP="00CE62C1">
            <w:pPr>
              <w:spacing w:line="276" w:lineRule="auto"/>
              <w:jc w:val="center"/>
              <w:rPr>
                <w:rFonts w:cs="Calibri"/>
                <w:color w:val="000000"/>
                <w:sz w:val="20"/>
                <w:lang w:eastAsia="es-CR"/>
              </w:rPr>
            </w:pPr>
            <w:r w:rsidRPr="004E74A6">
              <w:rPr>
                <w:rFonts w:cs="Calibri"/>
                <w:color w:val="000000"/>
                <w:sz w:val="20"/>
                <w:lang w:eastAsia="es-CR"/>
              </w:rPr>
              <w:t>0</w:t>
            </w:r>
          </w:p>
        </w:tc>
        <w:tc>
          <w:tcPr>
            <w:tcW w:w="674" w:type="pct"/>
            <w:tcBorders>
              <w:left w:val="single" w:sz="4" w:space="0" w:color="auto"/>
            </w:tcBorders>
            <w:shd w:val="clear" w:color="auto" w:fill="auto"/>
            <w:noWrap/>
            <w:vAlign w:val="center"/>
            <w:hideMark/>
          </w:tcPr>
          <w:p w14:paraId="15EA0104" w14:textId="1EF19CCF" w:rsidR="007D0D3C" w:rsidRPr="004E74A6" w:rsidRDefault="007D0D3C" w:rsidP="00CE62C1">
            <w:pPr>
              <w:spacing w:line="276" w:lineRule="auto"/>
              <w:jc w:val="center"/>
              <w:rPr>
                <w:rFonts w:cs="Calibri"/>
                <w:color w:val="000000"/>
                <w:sz w:val="20"/>
                <w:lang w:eastAsia="es-CR"/>
              </w:rPr>
            </w:pPr>
            <w:r w:rsidRPr="004E74A6">
              <w:rPr>
                <w:rFonts w:cs="Calibri"/>
                <w:color w:val="000000"/>
                <w:sz w:val="20"/>
              </w:rPr>
              <w:t>0</w:t>
            </w:r>
          </w:p>
        </w:tc>
      </w:tr>
      <w:tr w:rsidR="007D0D3C" w:rsidRPr="004E74A6" w14:paraId="443A78C9" w14:textId="77777777" w:rsidTr="003D78F2">
        <w:trPr>
          <w:trHeight w:val="288"/>
          <w:jc w:val="center"/>
        </w:trPr>
        <w:tc>
          <w:tcPr>
            <w:tcW w:w="2804" w:type="pct"/>
            <w:tcBorders>
              <w:bottom w:val="single" w:sz="4" w:space="0" w:color="auto"/>
              <w:right w:val="single" w:sz="4" w:space="0" w:color="auto"/>
            </w:tcBorders>
            <w:shd w:val="clear" w:color="auto" w:fill="auto"/>
            <w:noWrap/>
            <w:vAlign w:val="bottom"/>
            <w:hideMark/>
          </w:tcPr>
          <w:p w14:paraId="1EC4E123" w14:textId="77777777" w:rsidR="007D0D3C" w:rsidRPr="004E74A6" w:rsidRDefault="007D0D3C" w:rsidP="00CE62C1">
            <w:pPr>
              <w:spacing w:line="276" w:lineRule="auto"/>
              <w:jc w:val="left"/>
              <w:rPr>
                <w:rFonts w:cs="Calibri"/>
                <w:color w:val="000000"/>
                <w:sz w:val="20"/>
                <w:lang w:eastAsia="es-CR"/>
              </w:rPr>
            </w:pPr>
            <w:r w:rsidRPr="004E74A6">
              <w:rPr>
                <w:rFonts w:cs="Calibri"/>
                <w:color w:val="000000"/>
                <w:sz w:val="20"/>
                <w:lang w:eastAsia="es-CR"/>
              </w:rPr>
              <w:t>Tercerías</w:t>
            </w:r>
          </w:p>
        </w:tc>
        <w:tc>
          <w:tcPr>
            <w:tcW w:w="508" w:type="pct"/>
            <w:tcBorders>
              <w:left w:val="single" w:sz="4" w:space="0" w:color="auto"/>
              <w:bottom w:val="single" w:sz="4" w:space="0" w:color="auto"/>
              <w:right w:val="single" w:sz="4" w:space="0" w:color="auto"/>
            </w:tcBorders>
            <w:shd w:val="clear" w:color="auto" w:fill="auto"/>
            <w:noWrap/>
            <w:vAlign w:val="center"/>
            <w:hideMark/>
          </w:tcPr>
          <w:p w14:paraId="01FDAEBF" w14:textId="77777777" w:rsidR="007D0D3C" w:rsidRPr="004E74A6" w:rsidRDefault="007D0D3C" w:rsidP="00CE62C1">
            <w:pPr>
              <w:spacing w:line="276" w:lineRule="auto"/>
              <w:jc w:val="center"/>
              <w:rPr>
                <w:rFonts w:cs="Calibri"/>
                <w:color w:val="000000"/>
                <w:sz w:val="20"/>
                <w:lang w:eastAsia="es-CR"/>
              </w:rPr>
            </w:pPr>
            <w:r w:rsidRPr="004E74A6">
              <w:rPr>
                <w:rFonts w:cs="Calibri"/>
                <w:color w:val="000000"/>
                <w:sz w:val="20"/>
                <w:lang w:eastAsia="es-CR"/>
              </w:rPr>
              <w:t>6</w:t>
            </w:r>
          </w:p>
        </w:tc>
        <w:tc>
          <w:tcPr>
            <w:tcW w:w="507" w:type="pct"/>
            <w:tcBorders>
              <w:left w:val="single" w:sz="4" w:space="0" w:color="auto"/>
              <w:bottom w:val="single" w:sz="4" w:space="0" w:color="auto"/>
              <w:right w:val="single" w:sz="4" w:space="0" w:color="auto"/>
            </w:tcBorders>
            <w:shd w:val="clear" w:color="auto" w:fill="auto"/>
            <w:noWrap/>
            <w:vAlign w:val="center"/>
            <w:hideMark/>
          </w:tcPr>
          <w:p w14:paraId="7C257D3F" w14:textId="3D248F7E" w:rsidR="007D0D3C" w:rsidRPr="004E74A6" w:rsidRDefault="007D0D3C" w:rsidP="00CE62C1">
            <w:pPr>
              <w:spacing w:line="276" w:lineRule="auto"/>
              <w:jc w:val="center"/>
              <w:rPr>
                <w:rFonts w:cs="Calibri"/>
                <w:color w:val="000000"/>
                <w:sz w:val="20"/>
                <w:lang w:eastAsia="es-CR"/>
              </w:rPr>
            </w:pPr>
            <w:r w:rsidRPr="004E74A6">
              <w:rPr>
                <w:rFonts w:cs="Calibri"/>
                <w:color w:val="000000"/>
                <w:sz w:val="20"/>
                <w:lang w:eastAsia="es-CR"/>
              </w:rPr>
              <w:t>0</w:t>
            </w:r>
          </w:p>
        </w:tc>
        <w:tc>
          <w:tcPr>
            <w:tcW w:w="507" w:type="pct"/>
            <w:tcBorders>
              <w:left w:val="single" w:sz="4" w:space="0" w:color="auto"/>
              <w:bottom w:val="single" w:sz="4" w:space="0" w:color="auto"/>
              <w:right w:val="single" w:sz="4" w:space="0" w:color="auto"/>
            </w:tcBorders>
            <w:shd w:val="clear" w:color="auto" w:fill="auto"/>
            <w:noWrap/>
            <w:vAlign w:val="center"/>
            <w:hideMark/>
          </w:tcPr>
          <w:p w14:paraId="4542CC01" w14:textId="77777777" w:rsidR="007D0D3C" w:rsidRPr="004E74A6" w:rsidRDefault="007D0D3C" w:rsidP="00CE62C1">
            <w:pPr>
              <w:spacing w:line="276" w:lineRule="auto"/>
              <w:jc w:val="center"/>
              <w:rPr>
                <w:rFonts w:cs="Calibri"/>
                <w:color w:val="000000"/>
                <w:sz w:val="20"/>
                <w:lang w:eastAsia="es-CR"/>
              </w:rPr>
            </w:pPr>
            <w:r w:rsidRPr="004E74A6">
              <w:rPr>
                <w:rFonts w:cs="Calibri"/>
                <w:color w:val="000000"/>
                <w:sz w:val="20"/>
                <w:lang w:eastAsia="es-CR"/>
              </w:rPr>
              <w:t>4</w:t>
            </w:r>
          </w:p>
        </w:tc>
        <w:tc>
          <w:tcPr>
            <w:tcW w:w="674" w:type="pct"/>
            <w:tcBorders>
              <w:left w:val="single" w:sz="4" w:space="0" w:color="auto"/>
              <w:bottom w:val="single" w:sz="4" w:space="0" w:color="auto"/>
            </w:tcBorders>
            <w:shd w:val="clear" w:color="auto" w:fill="auto"/>
            <w:noWrap/>
            <w:vAlign w:val="bottom"/>
            <w:hideMark/>
          </w:tcPr>
          <w:p w14:paraId="2E992558" w14:textId="0944AAEC" w:rsidR="007D0D3C" w:rsidRPr="004E74A6" w:rsidRDefault="007D0D3C" w:rsidP="00CE62C1">
            <w:pPr>
              <w:spacing w:line="276" w:lineRule="auto"/>
              <w:jc w:val="center"/>
              <w:rPr>
                <w:rFonts w:cs="Calibri"/>
                <w:color w:val="000000"/>
                <w:sz w:val="20"/>
                <w:lang w:eastAsia="es-CR"/>
              </w:rPr>
            </w:pPr>
            <w:r w:rsidRPr="004E74A6">
              <w:rPr>
                <w:rFonts w:cs="Calibri"/>
                <w:color w:val="000000"/>
                <w:sz w:val="20"/>
              </w:rPr>
              <w:t>3,3</w:t>
            </w:r>
          </w:p>
        </w:tc>
      </w:tr>
    </w:tbl>
    <w:p w14:paraId="10DED6CE" w14:textId="77777777" w:rsidR="003E4755" w:rsidRPr="004E74A6" w:rsidRDefault="003E4755" w:rsidP="00832773">
      <w:pPr>
        <w:spacing w:line="276" w:lineRule="auto"/>
        <w:ind w:left="340" w:right="340"/>
        <w:rPr>
          <w:rFonts w:cs="Calibri"/>
          <w:i/>
          <w:iCs/>
          <w:color w:val="000000"/>
          <w:sz w:val="20"/>
          <w:lang w:eastAsia="es-CR"/>
        </w:rPr>
      </w:pPr>
      <w:r w:rsidRPr="004E74A6">
        <w:rPr>
          <w:rFonts w:cs="Calibri"/>
          <w:b/>
          <w:bCs/>
          <w:i/>
          <w:iCs/>
          <w:color w:val="000000"/>
          <w:sz w:val="20"/>
          <w:lang w:eastAsia="es-CR"/>
        </w:rPr>
        <w:t>Fuente</w:t>
      </w:r>
      <w:r w:rsidRPr="004E74A6">
        <w:rPr>
          <w:rFonts w:cs="Calibri"/>
          <w:i/>
          <w:iCs/>
          <w:color w:val="000000"/>
          <w:sz w:val="20"/>
          <w:lang w:eastAsia="es-CR"/>
        </w:rPr>
        <w:t>: Subproceso de Modernización Institucional con datos extraídos del sistema SIGMA, Dirección de Planificación.</w:t>
      </w:r>
    </w:p>
    <w:p w14:paraId="4C3C914F" w14:textId="77777777" w:rsidR="003A7A44" w:rsidRPr="004E74A6" w:rsidRDefault="003A7A44" w:rsidP="00CE62C1">
      <w:pPr>
        <w:spacing w:after="160" w:line="276" w:lineRule="auto"/>
        <w:rPr>
          <w:rFonts w:cs="Calibri"/>
          <w:color w:val="000000"/>
          <w:szCs w:val="24"/>
          <w:lang w:eastAsia="es-CR"/>
        </w:rPr>
      </w:pPr>
    </w:p>
    <w:p w14:paraId="32F90596" w14:textId="426A5B1C" w:rsidR="008647ED" w:rsidRPr="004E74A6" w:rsidRDefault="007038F3" w:rsidP="00CE62C1">
      <w:pPr>
        <w:spacing w:after="160" w:line="276" w:lineRule="auto"/>
        <w:rPr>
          <w:rFonts w:cs="Calibri"/>
          <w:color w:val="000000"/>
          <w:szCs w:val="24"/>
          <w:lang w:eastAsia="es-CR"/>
        </w:rPr>
      </w:pPr>
      <w:bookmarkStart w:id="3" w:name="_Hlk105403236"/>
      <w:r w:rsidRPr="004E74A6">
        <w:rPr>
          <w:rFonts w:cs="Calibri"/>
          <w:color w:val="000000"/>
          <w:szCs w:val="24"/>
          <w:lang w:eastAsia="es-CR"/>
        </w:rPr>
        <w:t>S</w:t>
      </w:r>
      <w:r w:rsidR="008647ED" w:rsidRPr="004E74A6">
        <w:rPr>
          <w:rFonts w:cs="Calibri"/>
          <w:color w:val="000000"/>
          <w:szCs w:val="24"/>
          <w:lang w:eastAsia="es-CR"/>
        </w:rPr>
        <w:t xml:space="preserve">e puede observar aún más a detalle para determinar la clase de </w:t>
      </w:r>
      <w:r w:rsidR="009D159C" w:rsidRPr="004E74A6">
        <w:rPr>
          <w:rFonts w:cs="Calibri"/>
          <w:color w:val="000000"/>
          <w:szCs w:val="24"/>
          <w:lang w:eastAsia="es-CR"/>
        </w:rPr>
        <w:t xml:space="preserve">esos </w:t>
      </w:r>
      <w:r w:rsidR="008647ED" w:rsidRPr="004E74A6">
        <w:rPr>
          <w:rFonts w:cs="Calibri"/>
          <w:color w:val="000000"/>
          <w:szCs w:val="24"/>
          <w:lang w:eastAsia="es-CR"/>
        </w:rPr>
        <w:t xml:space="preserve">asuntos </w:t>
      </w:r>
      <w:r w:rsidRPr="004E74A6">
        <w:rPr>
          <w:rFonts w:cs="Calibri"/>
          <w:color w:val="000000"/>
          <w:szCs w:val="24"/>
          <w:lang w:eastAsia="es-CR"/>
        </w:rPr>
        <w:t>principales</w:t>
      </w:r>
      <w:r w:rsidR="008647ED" w:rsidRPr="004E74A6">
        <w:rPr>
          <w:rFonts w:cs="Calibri"/>
          <w:color w:val="000000"/>
          <w:szCs w:val="24"/>
          <w:lang w:eastAsia="es-CR"/>
        </w:rPr>
        <w:t xml:space="preserve">, que tal y como lo refleja la siguiente tabla, el 79% está compuesto por </w:t>
      </w:r>
      <w:r w:rsidR="008647ED" w:rsidRPr="004E74A6">
        <w:rPr>
          <w:rFonts w:cs="Calibri"/>
          <w:color w:val="000000"/>
          <w:szCs w:val="24"/>
          <w:lang w:eastAsia="es-CR"/>
        </w:rPr>
        <w:lastRenderedPageBreak/>
        <w:t xml:space="preserve">los asuntos ordinarios, seguido de un 8% de medidas cautelares, ambos procesos </w:t>
      </w:r>
      <w:r w:rsidR="003D78F2" w:rsidRPr="004E74A6">
        <w:rPr>
          <w:rFonts w:cs="Calibri"/>
          <w:color w:val="000000"/>
          <w:szCs w:val="24"/>
          <w:lang w:eastAsia="es-CR"/>
        </w:rPr>
        <w:t>los de mayor representación.</w:t>
      </w:r>
    </w:p>
    <w:bookmarkEnd w:id="3"/>
    <w:p w14:paraId="0E5D8AC3" w14:textId="77777777" w:rsidR="00194F64" w:rsidRDefault="00194F64" w:rsidP="00F0204A">
      <w:pPr>
        <w:pStyle w:val="Descripcin"/>
        <w:keepNext/>
        <w:spacing w:line="276" w:lineRule="auto"/>
        <w:jc w:val="center"/>
        <w:rPr>
          <w:rFonts w:ascii="Book Antiqua" w:hAnsi="Book Antiqua"/>
          <w:i/>
          <w:iCs/>
          <w:sz w:val="20"/>
          <w:szCs w:val="16"/>
          <w:lang w:val="es-CR"/>
        </w:rPr>
      </w:pPr>
    </w:p>
    <w:p w14:paraId="39EE50AF" w14:textId="35A11FDA" w:rsidR="00873A04" w:rsidRDefault="00873A04" w:rsidP="00F0204A">
      <w:pPr>
        <w:pStyle w:val="Descripcin"/>
        <w:keepNext/>
        <w:spacing w:line="276" w:lineRule="auto"/>
        <w:jc w:val="center"/>
        <w:rPr>
          <w:rFonts w:ascii="Book Antiqua" w:hAnsi="Book Antiqua"/>
          <w:i/>
          <w:iCs/>
          <w:sz w:val="20"/>
          <w:szCs w:val="16"/>
          <w:lang w:val="es-CR"/>
        </w:rPr>
      </w:pPr>
      <w:r w:rsidRPr="00832773">
        <w:rPr>
          <w:rFonts w:ascii="Book Antiqua" w:hAnsi="Book Antiqua"/>
          <w:i/>
          <w:iCs/>
          <w:sz w:val="20"/>
          <w:szCs w:val="16"/>
          <w:lang w:val="es-CR"/>
        </w:rPr>
        <w:t xml:space="preserve">Tabla </w:t>
      </w:r>
      <w:r w:rsidRPr="00832773">
        <w:rPr>
          <w:rFonts w:ascii="Book Antiqua" w:hAnsi="Book Antiqua"/>
          <w:i/>
          <w:iCs/>
          <w:sz w:val="20"/>
          <w:szCs w:val="16"/>
          <w:lang w:val="es-CR"/>
        </w:rPr>
        <w:fldChar w:fldCharType="begin"/>
      </w:r>
      <w:r w:rsidRPr="00832773">
        <w:rPr>
          <w:rFonts w:ascii="Book Antiqua" w:hAnsi="Book Antiqua"/>
          <w:i/>
          <w:iCs/>
          <w:sz w:val="20"/>
          <w:szCs w:val="16"/>
          <w:lang w:val="es-CR"/>
        </w:rPr>
        <w:instrText xml:space="preserve"> SEQ Tabla \* ARABIC </w:instrText>
      </w:r>
      <w:r w:rsidRPr="00832773">
        <w:rPr>
          <w:rFonts w:ascii="Book Antiqua" w:hAnsi="Book Antiqua"/>
          <w:i/>
          <w:iCs/>
          <w:sz w:val="20"/>
          <w:szCs w:val="16"/>
          <w:lang w:val="es-CR"/>
        </w:rPr>
        <w:fldChar w:fldCharType="separate"/>
      </w:r>
      <w:r w:rsidR="00374B51">
        <w:rPr>
          <w:rFonts w:ascii="Book Antiqua" w:hAnsi="Book Antiqua"/>
          <w:i/>
          <w:iCs/>
          <w:noProof/>
          <w:sz w:val="20"/>
          <w:szCs w:val="16"/>
          <w:lang w:val="es-CR"/>
        </w:rPr>
        <w:t>2</w:t>
      </w:r>
      <w:r w:rsidRPr="00832773">
        <w:rPr>
          <w:rFonts w:ascii="Book Antiqua" w:hAnsi="Book Antiqua"/>
          <w:i/>
          <w:iCs/>
          <w:sz w:val="20"/>
          <w:szCs w:val="16"/>
          <w:lang w:val="es-CR"/>
        </w:rPr>
        <w:fldChar w:fldCharType="end"/>
      </w:r>
      <w:r w:rsidRPr="00832773">
        <w:rPr>
          <w:rFonts w:ascii="Book Antiqua" w:hAnsi="Book Antiqua"/>
          <w:i/>
          <w:iCs/>
          <w:sz w:val="20"/>
          <w:szCs w:val="16"/>
          <w:lang w:val="es-CR"/>
        </w:rPr>
        <w:t xml:space="preserve"> Cantidad de principales según clase de asunto del 2019 al 2021 para el Tribunal Primero Colegiado de Primera Instancia Civil</w:t>
      </w:r>
      <w:r w:rsidR="001F2CA2" w:rsidRPr="00832773">
        <w:rPr>
          <w:rFonts w:ascii="Book Antiqua" w:hAnsi="Book Antiqua"/>
          <w:i/>
          <w:iCs/>
          <w:sz w:val="20"/>
          <w:szCs w:val="16"/>
          <w:lang w:val="es-CR"/>
        </w:rPr>
        <w:t xml:space="preserve"> Primer Circuito Judicial de San José</w:t>
      </w:r>
    </w:p>
    <w:p w14:paraId="014FACD7" w14:textId="77777777" w:rsidR="00194F64" w:rsidRPr="00194F64" w:rsidRDefault="00194F64" w:rsidP="00194F64"/>
    <w:tbl>
      <w:tblPr>
        <w:tblW w:w="3946" w:type="pct"/>
        <w:jc w:val="center"/>
        <w:tblCellMar>
          <w:left w:w="70" w:type="dxa"/>
          <w:right w:w="70" w:type="dxa"/>
        </w:tblCellMar>
        <w:tblLook w:val="04A0" w:firstRow="1" w:lastRow="0" w:firstColumn="1" w:lastColumn="0" w:noHBand="0" w:noVBand="1"/>
      </w:tblPr>
      <w:tblGrid>
        <w:gridCol w:w="3349"/>
        <w:gridCol w:w="838"/>
        <w:gridCol w:w="837"/>
        <w:gridCol w:w="837"/>
        <w:gridCol w:w="1116"/>
      </w:tblGrid>
      <w:tr w:rsidR="00620C25" w:rsidRPr="004E74A6" w14:paraId="5E0419BC" w14:textId="77777777" w:rsidTr="00620C25">
        <w:trPr>
          <w:trHeight w:val="454"/>
          <w:tblHeader/>
          <w:jc w:val="center"/>
        </w:trPr>
        <w:tc>
          <w:tcPr>
            <w:tcW w:w="2399" w:type="pct"/>
            <w:tcBorders>
              <w:top w:val="single" w:sz="4" w:space="0" w:color="auto"/>
              <w:left w:val="nil"/>
              <w:bottom w:val="single" w:sz="4" w:space="0" w:color="auto"/>
              <w:right w:val="single" w:sz="4" w:space="0" w:color="auto"/>
            </w:tcBorders>
            <w:shd w:val="clear" w:color="auto" w:fill="auto"/>
            <w:noWrap/>
            <w:vAlign w:val="center"/>
            <w:hideMark/>
          </w:tcPr>
          <w:p w14:paraId="16581C7E"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Principal</w:t>
            </w:r>
          </w:p>
        </w:tc>
        <w:tc>
          <w:tcPr>
            <w:tcW w:w="60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D49CED0"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2019</w:t>
            </w:r>
          </w:p>
        </w:tc>
        <w:tc>
          <w:tcPr>
            <w:tcW w:w="60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38FCE84"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2020</w:t>
            </w:r>
          </w:p>
        </w:tc>
        <w:tc>
          <w:tcPr>
            <w:tcW w:w="60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EF26655"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2021</w:t>
            </w:r>
          </w:p>
        </w:tc>
        <w:tc>
          <w:tcPr>
            <w:tcW w:w="800" w:type="pct"/>
            <w:tcBorders>
              <w:top w:val="single" w:sz="4" w:space="0" w:color="auto"/>
              <w:left w:val="single" w:sz="4" w:space="0" w:color="auto"/>
              <w:bottom w:val="single" w:sz="4" w:space="0" w:color="auto"/>
              <w:right w:val="nil"/>
            </w:tcBorders>
            <w:shd w:val="clear" w:color="auto" w:fill="auto"/>
            <w:noWrap/>
            <w:vAlign w:val="center"/>
          </w:tcPr>
          <w:p w14:paraId="144CB68E" w14:textId="4867C3F3" w:rsidR="008647ED" w:rsidRPr="004E74A6" w:rsidRDefault="00FA3414" w:rsidP="00CE62C1">
            <w:pPr>
              <w:spacing w:line="276" w:lineRule="auto"/>
              <w:jc w:val="center"/>
              <w:rPr>
                <w:rFonts w:cs="Calibri"/>
                <w:color w:val="000000"/>
                <w:sz w:val="20"/>
                <w:lang w:eastAsia="es-CR"/>
              </w:rPr>
            </w:pPr>
            <w:r w:rsidRPr="004E74A6">
              <w:rPr>
                <w:rFonts w:cs="Calibri"/>
                <w:color w:val="000000"/>
                <w:sz w:val="20"/>
                <w:lang w:eastAsia="es-CR"/>
              </w:rPr>
              <w:t>Promedio</w:t>
            </w:r>
          </w:p>
        </w:tc>
      </w:tr>
      <w:tr w:rsidR="00620C25" w:rsidRPr="004E74A6" w14:paraId="47A13C46" w14:textId="77777777" w:rsidTr="00620C25">
        <w:trPr>
          <w:trHeight w:val="288"/>
          <w:jc w:val="center"/>
        </w:trPr>
        <w:tc>
          <w:tcPr>
            <w:tcW w:w="2399" w:type="pct"/>
            <w:tcBorders>
              <w:top w:val="single" w:sz="4" w:space="0" w:color="auto"/>
              <w:left w:val="nil"/>
              <w:bottom w:val="nil"/>
              <w:right w:val="single" w:sz="4" w:space="0" w:color="auto"/>
            </w:tcBorders>
            <w:shd w:val="clear" w:color="auto" w:fill="auto"/>
            <w:noWrap/>
            <w:vAlign w:val="center"/>
          </w:tcPr>
          <w:p w14:paraId="5E5C2B52" w14:textId="77777777" w:rsidR="008647ED" w:rsidRPr="004E74A6" w:rsidRDefault="008647ED" w:rsidP="00CE62C1">
            <w:pPr>
              <w:spacing w:line="276" w:lineRule="auto"/>
              <w:ind w:firstLineChars="100" w:firstLine="200"/>
              <w:jc w:val="center"/>
              <w:rPr>
                <w:rFonts w:cs="Calibri"/>
                <w:color w:val="000000"/>
                <w:sz w:val="20"/>
                <w:lang w:eastAsia="es-CR"/>
              </w:rPr>
            </w:pPr>
          </w:p>
        </w:tc>
        <w:tc>
          <w:tcPr>
            <w:tcW w:w="600" w:type="pct"/>
            <w:tcBorders>
              <w:top w:val="single" w:sz="4" w:space="0" w:color="auto"/>
              <w:left w:val="single" w:sz="4" w:space="0" w:color="auto"/>
              <w:bottom w:val="nil"/>
              <w:right w:val="single" w:sz="4" w:space="0" w:color="auto"/>
            </w:tcBorders>
            <w:shd w:val="clear" w:color="auto" w:fill="auto"/>
            <w:noWrap/>
            <w:vAlign w:val="center"/>
          </w:tcPr>
          <w:p w14:paraId="10F6C375" w14:textId="77777777" w:rsidR="008647ED" w:rsidRPr="004E74A6" w:rsidRDefault="008647ED" w:rsidP="00CE62C1">
            <w:pPr>
              <w:spacing w:line="276" w:lineRule="auto"/>
              <w:jc w:val="center"/>
              <w:rPr>
                <w:rFonts w:cs="Calibri"/>
                <w:color w:val="000000"/>
                <w:sz w:val="20"/>
                <w:lang w:eastAsia="es-CR"/>
              </w:rPr>
            </w:pPr>
          </w:p>
        </w:tc>
        <w:tc>
          <w:tcPr>
            <w:tcW w:w="600" w:type="pct"/>
            <w:tcBorders>
              <w:top w:val="single" w:sz="4" w:space="0" w:color="auto"/>
              <w:left w:val="single" w:sz="4" w:space="0" w:color="auto"/>
              <w:bottom w:val="nil"/>
              <w:right w:val="single" w:sz="4" w:space="0" w:color="auto"/>
            </w:tcBorders>
            <w:shd w:val="clear" w:color="auto" w:fill="auto"/>
            <w:noWrap/>
            <w:vAlign w:val="center"/>
          </w:tcPr>
          <w:p w14:paraId="65B50ABC" w14:textId="77777777" w:rsidR="008647ED" w:rsidRPr="004E74A6" w:rsidRDefault="008647ED" w:rsidP="00CE62C1">
            <w:pPr>
              <w:spacing w:line="276" w:lineRule="auto"/>
              <w:jc w:val="center"/>
              <w:rPr>
                <w:rFonts w:cs="Calibri"/>
                <w:color w:val="000000"/>
                <w:sz w:val="20"/>
                <w:lang w:eastAsia="es-CR"/>
              </w:rPr>
            </w:pPr>
          </w:p>
        </w:tc>
        <w:tc>
          <w:tcPr>
            <w:tcW w:w="600" w:type="pct"/>
            <w:tcBorders>
              <w:top w:val="single" w:sz="4" w:space="0" w:color="auto"/>
              <w:left w:val="single" w:sz="4" w:space="0" w:color="auto"/>
              <w:bottom w:val="nil"/>
              <w:right w:val="single" w:sz="4" w:space="0" w:color="auto"/>
            </w:tcBorders>
            <w:shd w:val="clear" w:color="auto" w:fill="auto"/>
            <w:noWrap/>
            <w:vAlign w:val="center"/>
          </w:tcPr>
          <w:p w14:paraId="6D69C714" w14:textId="77777777" w:rsidR="008647ED" w:rsidRPr="004E74A6" w:rsidRDefault="008647ED" w:rsidP="00CE62C1">
            <w:pPr>
              <w:spacing w:line="276" w:lineRule="auto"/>
              <w:jc w:val="center"/>
              <w:rPr>
                <w:sz w:val="20"/>
                <w:lang w:eastAsia="es-CR"/>
              </w:rPr>
            </w:pPr>
          </w:p>
        </w:tc>
        <w:tc>
          <w:tcPr>
            <w:tcW w:w="800" w:type="pct"/>
            <w:tcBorders>
              <w:top w:val="single" w:sz="4" w:space="0" w:color="auto"/>
              <w:left w:val="single" w:sz="4" w:space="0" w:color="auto"/>
              <w:bottom w:val="nil"/>
              <w:right w:val="nil"/>
            </w:tcBorders>
            <w:shd w:val="clear" w:color="auto" w:fill="auto"/>
            <w:noWrap/>
            <w:vAlign w:val="center"/>
          </w:tcPr>
          <w:p w14:paraId="0E0742FA" w14:textId="77777777" w:rsidR="008647ED" w:rsidRPr="004E74A6" w:rsidRDefault="008647ED" w:rsidP="00CE62C1">
            <w:pPr>
              <w:spacing w:line="276" w:lineRule="auto"/>
              <w:jc w:val="center"/>
              <w:rPr>
                <w:rFonts w:cs="Calibri"/>
                <w:color w:val="000000"/>
                <w:sz w:val="20"/>
                <w:lang w:eastAsia="es-CR"/>
              </w:rPr>
            </w:pPr>
          </w:p>
        </w:tc>
      </w:tr>
      <w:tr w:rsidR="00FA3414" w:rsidRPr="004E74A6" w14:paraId="5D798518" w14:textId="77777777" w:rsidTr="00620C25">
        <w:trPr>
          <w:trHeight w:val="288"/>
          <w:jc w:val="center"/>
        </w:trPr>
        <w:tc>
          <w:tcPr>
            <w:tcW w:w="2399" w:type="pct"/>
            <w:tcBorders>
              <w:top w:val="nil"/>
              <w:left w:val="nil"/>
              <w:bottom w:val="nil"/>
              <w:right w:val="single" w:sz="4" w:space="0" w:color="auto"/>
            </w:tcBorders>
            <w:shd w:val="clear" w:color="auto" w:fill="auto"/>
            <w:noWrap/>
            <w:vAlign w:val="center"/>
          </w:tcPr>
          <w:p w14:paraId="0F921FE6" w14:textId="77777777" w:rsidR="00FA3414" w:rsidRPr="004E74A6" w:rsidRDefault="00FA3414" w:rsidP="00CE62C1">
            <w:pPr>
              <w:spacing w:line="276" w:lineRule="auto"/>
              <w:jc w:val="center"/>
              <w:rPr>
                <w:rFonts w:cs="Calibri"/>
                <w:color w:val="000000"/>
                <w:sz w:val="20"/>
                <w:lang w:eastAsia="es-CR"/>
              </w:rPr>
            </w:pPr>
            <w:r w:rsidRPr="004E74A6">
              <w:rPr>
                <w:rFonts w:cs="Calibri"/>
                <w:color w:val="000000"/>
                <w:sz w:val="20"/>
                <w:lang w:eastAsia="es-CR"/>
              </w:rPr>
              <w:t>Total</w:t>
            </w:r>
          </w:p>
        </w:tc>
        <w:tc>
          <w:tcPr>
            <w:tcW w:w="600" w:type="pct"/>
            <w:tcBorders>
              <w:top w:val="nil"/>
              <w:left w:val="single" w:sz="4" w:space="0" w:color="auto"/>
              <w:bottom w:val="nil"/>
              <w:right w:val="single" w:sz="4" w:space="0" w:color="auto"/>
            </w:tcBorders>
            <w:shd w:val="clear" w:color="auto" w:fill="auto"/>
            <w:noWrap/>
            <w:vAlign w:val="center"/>
          </w:tcPr>
          <w:p w14:paraId="73DE858E" w14:textId="77777777" w:rsidR="00FA3414" w:rsidRPr="004E74A6" w:rsidRDefault="00FA3414" w:rsidP="00CE62C1">
            <w:pPr>
              <w:spacing w:line="276" w:lineRule="auto"/>
              <w:jc w:val="center"/>
              <w:rPr>
                <w:rFonts w:cs="Calibri"/>
                <w:color w:val="000000"/>
                <w:sz w:val="20"/>
                <w:lang w:eastAsia="es-CR"/>
              </w:rPr>
            </w:pPr>
            <w:r w:rsidRPr="004E74A6">
              <w:rPr>
                <w:rFonts w:cs="Calibri"/>
                <w:color w:val="000000"/>
                <w:sz w:val="20"/>
                <w:lang w:eastAsia="es-CR"/>
              </w:rPr>
              <w:t>450</w:t>
            </w:r>
          </w:p>
        </w:tc>
        <w:tc>
          <w:tcPr>
            <w:tcW w:w="600" w:type="pct"/>
            <w:tcBorders>
              <w:top w:val="nil"/>
              <w:left w:val="single" w:sz="4" w:space="0" w:color="auto"/>
              <w:bottom w:val="nil"/>
              <w:right w:val="single" w:sz="4" w:space="0" w:color="auto"/>
            </w:tcBorders>
            <w:shd w:val="clear" w:color="auto" w:fill="auto"/>
            <w:noWrap/>
            <w:vAlign w:val="center"/>
          </w:tcPr>
          <w:p w14:paraId="3AB691F8" w14:textId="77777777" w:rsidR="00FA3414" w:rsidRPr="004E74A6" w:rsidRDefault="00FA3414" w:rsidP="00CE62C1">
            <w:pPr>
              <w:spacing w:line="276" w:lineRule="auto"/>
              <w:jc w:val="center"/>
              <w:rPr>
                <w:rFonts w:cs="Calibri"/>
                <w:color w:val="000000"/>
                <w:sz w:val="20"/>
                <w:lang w:eastAsia="es-CR"/>
              </w:rPr>
            </w:pPr>
            <w:r w:rsidRPr="004E74A6">
              <w:rPr>
                <w:rFonts w:cs="Calibri"/>
                <w:color w:val="000000"/>
                <w:sz w:val="20"/>
                <w:lang w:eastAsia="es-CR"/>
              </w:rPr>
              <w:t>414</w:t>
            </w:r>
          </w:p>
        </w:tc>
        <w:tc>
          <w:tcPr>
            <w:tcW w:w="600" w:type="pct"/>
            <w:tcBorders>
              <w:top w:val="nil"/>
              <w:left w:val="single" w:sz="4" w:space="0" w:color="auto"/>
              <w:bottom w:val="nil"/>
              <w:right w:val="single" w:sz="4" w:space="0" w:color="auto"/>
            </w:tcBorders>
            <w:shd w:val="clear" w:color="auto" w:fill="auto"/>
            <w:noWrap/>
            <w:vAlign w:val="center"/>
          </w:tcPr>
          <w:p w14:paraId="090ABAD4" w14:textId="77777777" w:rsidR="00FA3414" w:rsidRPr="004E74A6" w:rsidRDefault="00FA3414" w:rsidP="00CE62C1">
            <w:pPr>
              <w:spacing w:line="276" w:lineRule="auto"/>
              <w:jc w:val="center"/>
              <w:rPr>
                <w:sz w:val="20"/>
                <w:lang w:eastAsia="es-CR"/>
              </w:rPr>
            </w:pPr>
            <w:r w:rsidRPr="004E74A6">
              <w:rPr>
                <w:rFonts w:cs="Calibri"/>
                <w:color w:val="000000"/>
                <w:sz w:val="20"/>
                <w:lang w:eastAsia="es-CR"/>
              </w:rPr>
              <w:t>404</w:t>
            </w:r>
          </w:p>
        </w:tc>
        <w:tc>
          <w:tcPr>
            <w:tcW w:w="800" w:type="pct"/>
            <w:tcBorders>
              <w:top w:val="nil"/>
              <w:left w:val="single" w:sz="4" w:space="0" w:color="auto"/>
              <w:bottom w:val="nil"/>
              <w:right w:val="nil"/>
            </w:tcBorders>
            <w:shd w:val="clear" w:color="auto" w:fill="auto"/>
            <w:noWrap/>
            <w:vAlign w:val="center"/>
          </w:tcPr>
          <w:p w14:paraId="7BAE016C" w14:textId="116D0559" w:rsidR="00FA3414" w:rsidRPr="004E74A6" w:rsidRDefault="00FA3414" w:rsidP="00CE62C1">
            <w:pPr>
              <w:spacing w:line="276" w:lineRule="auto"/>
              <w:jc w:val="center"/>
              <w:rPr>
                <w:rFonts w:cs="Calibri"/>
                <w:color w:val="000000"/>
                <w:sz w:val="20"/>
                <w:lang w:eastAsia="es-CR"/>
              </w:rPr>
            </w:pPr>
            <w:r w:rsidRPr="004E74A6">
              <w:rPr>
                <w:rFonts w:cs="Calibri"/>
                <w:color w:val="000000"/>
                <w:sz w:val="20"/>
              </w:rPr>
              <w:t>423</w:t>
            </w:r>
          </w:p>
        </w:tc>
      </w:tr>
      <w:tr w:rsidR="00FA3414" w:rsidRPr="004E74A6" w14:paraId="6F7172F3" w14:textId="77777777" w:rsidTr="00620C25">
        <w:trPr>
          <w:trHeight w:val="288"/>
          <w:jc w:val="center"/>
        </w:trPr>
        <w:tc>
          <w:tcPr>
            <w:tcW w:w="2399" w:type="pct"/>
            <w:tcBorders>
              <w:top w:val="nil"/>
              <w:left w:val="nil"/>
              <w:bottom w:val="nil"/>
              <w:right w:val="single" w:sz="4" w:space="0" w:color="auto"/>
            </w:tcBorders>
            <w:shd w:val="clear" w:color="auto" w:fill="auto"/>
            <w:noWrap/>
            <w:vAlign w:val="bottom"/>
          </w:tcPr>
          <w:p w14:paraId="19F3C31C" w14:textId="77777777" w:rsidR="00FA3414" w:rsidRPr="004E74A6" w:rsidRDefault="00FA3414" w:rsidP="00CE62C1">
            <w:pPr>
              <w:spacing w:line="276" w:lineRule="auto"/>
              <w:ind w:firstLineChars="100" w:firstLine="200"/>
              <w:jc w:val="left"/>
              <w:rPr>
                <w:rFonts w:cs="Calibri"/>
                <w:color w:val="000000"/>
                <w:sz w:val="20"/>
                <w:lang w:eastAsia="es-CR"/>
              </w:rPr>
            </w:pPr>
          </w:p>
        </w:tc>
        <w:tc>
          <w:tcPr>
            <w:tcW w:w="600" w:type="pct"/>
            <w:tcBorders>
              <w:top w:val="nil"/>
              <w:left w:val="single" w:sz="4" w:space="0" w:color="auto"/>
              <w:bottom w:val="nil"/>
              <w:right w:val="single" w:sz="4" w:space="0" w:color="auto"/>
            </w:tcBorders>
            <w:shd w:val="clear" w:color="auto" w:fill="auto"/>
            <w:noWrap/>
            <w:vAlign w:val="center"/>
          </w:tcPr>
          <w:p w14:paraId="3790D766" w14:textId="77777777" w:rsidR="00FA3414" w:rsidRPr="004E74A6" w:rsidRDefault="00FA3414" w:rsidP="00CE62C1">
            <w:pPr>
              <w:spacing w:line="276" w:lineRule="auto"/>
              <w:jc w:val="center"/>
              <w:rPr>
                <w:rFonts w:cs="Calibri"/>
                <w:color w:val="000000"/>
                <w:sz w:val="20"/>
                <w:lang w:eastAsia="es-CR"/>
              </w:rPr>
            </w:pPr>
          </w:p>
        </w:tc>
        <w:tc>
          <w:tcPr>
            <w:tcW w:w="600" w:type="pct"/>
            <w:tcBorders>
              <w:top w:val="nil"/>
              <w:left w:val="single" w:sz="4" w:space="0" w:color="auto"/>
              <w:bottom w:val="nil"/>
              <w:right w:val="single" w:sz="4" w:space="0" w:color="auto"/>
            </w:tcBorders>
            <w:shd w:val="clear" w:color="auto" w:fill="auto"/>
            <w:noWrap/>
            <w:vAlign w:val="center"/>
          </w:tcPr>
          <w:p w14:paraId="4AA42FCF" w14:textId="77777777" w:rsidR="00FA3414" w:rsidRPr="004E74A6" w:rsidRDefault="00FA3414" w:rsidP="00CE62C1">
            <w:pPr>
              <w:spacing w:line="276" w:lineRule="auto"/>
              <w:jc w:val="center"/>
              <w:rPr>
                <w:rFonts w:cs="Calibri"/>
                <w:color w:val="000000"/>
                <w:sz w:val="20"/>
                <w:lang w:eastAsia="es-CR"/>
              </w:rPr>
            </w:pPr>
          </w:p>
        </w:tc>
        <w:tc>
          <w:tcPr>
            <w:tcW w:w="600" w:type="pct"/>
            <w:tcBorders>
              <w:top w:val="nil"/>
              <w:left w:val="single" w:sz="4" w:space="0" w:color="auto"/>
              <w:bottom w:val="nil"/>
              <w:right w:val="single" w:sz="4" w:space="0" w:color="auto"/>
            </w:tcBorders>
            <w:shd w:val="clear" w:color="auto" w:fill="auto"/>
            <w:noWrap/>
            <w:vAlign w:val="center"/>
          </w:tcPr>
          <w:p w14:paraId="17CAE42E" w14:textId="77777777" w:rsidR="00FA3414" w:rsidRPr="004E74A6" w:rsidRDefault="00FA3414" w:rsidP="00CE62C1">
            <w:pPr>
              <w:spacing w:line="276" w:lineRule="auto"/>
              <w:jc w:val="center"/>
              <w:rPr>
                <w:sz w:val="20"/>
                <w:lang w:eastAsia="es-CR"/>
              </w:rPr>
            </w:pPr>
          </w:p>
        </w:tc>
        <w:tc>
          <w:tcPr>
            <w:tcW w:w="800" w:type="pct"/>
            <w:tcBorders>
              <w:top w:val="nil"/>
              <w:left w:val="single" w:sz="4" w:space="0" w:color="auto"/>
              <w:bottom w:val="nil"/>
              <w:right w:val="nil"/>
            </w:tcBorders>
            <w:shd w:val="clear" w:color="auto" w:fill="auto"/>
            <w:noWrap/>
            <w:vAlign w:val="center"/>
          </w:tcPr>
          <w:p w14:paraId="5DA0733A" w14:textId="77777777" w:rsidR="00FA3414" w:rsidRPr="004E74A6" w:rsidRDefault="00FA3414" w:rsidP="00CE62C1">
            <w:pPr>
              <w:spacing w:line="276" w:lineRule="auto"/>
              <w:jc w:val="center"/>
              <w:rPr>
                <w:rFonts w:cs="Calibri"/>
                <w:color w:val="000000"/>
                <w:sz w:val="20"/>
                <w:lang w:eastAsia="es-CR"/>
              </w:rPr>
            </w:pPr>
          </w:p>
        </w:tc>
      </w:tr>
      <w:tr w:rsidR="00FA3414" w:rsidRPr="004E74A6" w14:paraId="6B2A83AF" w14:textId="77777777" w:rsidTr="00620C25">
        <w:trPr>
          <w:trHeight w:val="288"/>
          <w:jc w:val="center"/>
        </w:trPr>
        <w:tc>
          <w:tcPr>
            <w:tcW w:w="2399" w:type="pct"/>
            <w:tcBorders>
              <w:top w:val="nil"/>
              <w:left w:val="nil"/>
              <w:bottom w:val="nil"/>
              <w:right w:val="single" w:sz="4" w:space="0" w:color="auto"/>
            </w:tcBorders>
            <w:shd w:val="clear" w:color="auto" w:fill="auto"/>
            <w:noWrap/>
            <w:vAlign w:val="bottom"/>
            <w:hideMark/>
          </w:tcPr>
          <w:p w14:paraId="6E53D048" w14:textId="77777777" w:rsidR="00FA3414" w:rsidRPr="004E74A6" w:rsidRDefault="00FA3414" w:rsidP="00CE62C1">
            <w:pPr>
              <w:spacing w:line="276" w:lineRule="auto"/>
              <w:ind w:firstLineChars="100" w:firstLine="200"/>
              <w:jc w:val="left"/>
              <w:rPr>
                <w:rFonts w:cs="Calibri"/>
                <w:color w:val="000000"/>
                <w:sz w:val="20"/>
                <w:lang w:eastAsia="es-CR"/>
              </w:rPr>
            </w:pPr>
            <w:r w:rsidRPr="004E74A6">
              <w:rPr>
                <w:rFonts w:cs="Calibri"/>
                <w:color w:val="000000"/>
                <w:sz w:val="20"/>
                <w:lang w:eastAsia="es-CR"/>
              </w:rPr>
              <w:t>Actividad Preparatoria</w:t>
            </w:r>
          </w:p>
        </w:tc>
        <w:tc>
          <w:tcPr>
            <w:tcW w:w="600" w:type="pct"/>
            <w:tcBorders>
              <w:top w:val="nil"/>
              <w:left w:val="single" w:sz="4" w:space="0" w:color="auto"/>
              <w:bottom w:val="nil"/>
              <w:right w:val="single" w:sz="4" w:space="0" w:color="auto"/>
            </w:tcBorders>
            <w:shd w:val="clear" w:color="auto" w:fill="auto"/>
            <w:noWrap/>
            <w:vAlign w:val="center"/>
            <w:hideMark/>
          </w:tcPr>
          <w:p w14:paraId="206A4BAD" w14:textId="77777777" w:rsidR="00FA3414" w:rsidRPr="004E74A6" w:rsidRDefault="00FA3414" w:rsidP="00CE62C1">
            <w:pPr>
              <w:spacing w:line="276" w:lineRule="auto"/>
              <w:jc w:val="center"/>
              <w:rPr>
                <w:rFonts w:cs="Calibri"/>
                <w:color w:val="000000"/>
                <w:sz w:val="20"/>
                <w:lang w:eastAsia="es-CR"/>
              </w:rPr>
            </w:pPr>
            <w:r w:rsidRPr="004E74A6">
              <w:rPr>
                <w:rFonts w:cs="Calibri"/>
                <w:color w:val="000000"/>
                <w:sz w:val="20"/>
                <w:lang w:eastAsia="es-CR"/>
              </w:rPr>
              <w:t>1</w:t>
            </w:r>
          </w:p>
        </w:tc>
        <w:tc>
          <w:tcPr>
            <w:tcW w:w="600" w:type="pct"/>
            <w:tcBorders>
              <w:top w:val="nil"/>
              <w:left w:val="single" w:sz="4" w:space="0" w:color="auto"/>
              <w:bottom w:val="nil"/>
              <w:right w:val="single" w:sz="4" w:space="0" w:color="auto"/>
            </w:tcBorders>
            <w:shd w:val="clear" w:color="auto" w:fill="auto"/>
            <w:noWrap/>
            <w:vAlign w:val="center"/>
            <w:hideMark/>
          </w:tcPr>
          <w:p w14:paraId="28E5E685" w14:textId="77777777" w:rsidR="00FA3414" w:rsidRPr="004E74A6" w:rsidRDefault="00FA3414" w:rsidP="00CE62C1">
            <w:pPr>
              <w:spacing w:line="276" w:lineRule="auto"/>
              <w:jc w:val="center"/>
              <w:rPr>
                <w:rFonts w:cs="Calibri"/>
                <w:color w:val="000000"/>
                <w:sz w:val="20"/>
                <w:lang w:eastAsia="es-CR"/>
              </w:rPr>
            </w:pPr>
          </w:p>
        </w:tc>
        <w:tc>
          <w:tcPr>
            <w:tcW w:w="600" w:type="pct"/>
            <w:tcBorders>
              <w:top w:val="nil"/>
              <w:left w:val="single" w:sz="4" w:space="0" w:color="auto"/>
              <w:bottom w:val="nil"/>
              <w:right w:val="single" w:sz="4" w:space="0" w:color="auto"/>
            </w:tcBorders>
            <w:shd w:val="clear" w:color="auto" w:fill="auto"/>
            <w:noWrap/>
            <w:vAlign w:val="center"/>
            <w:hideMark/>
          </w:tcPr>
          <w:p w14:paraId="16C93869" w14:textId="77777777" w:rsidR="00FA3414" w:rsidRPr="004E74A6" w:rsidRDefault="00FA3414" w:rsidP="00CE62C1">
            <w:pPr>
              <w:spacing w:line="276" w:lineRule="auto"/>
              <w:jc w:val="center"/>
              <w:rPr>
                <w:sz w:val="20"/>
                <w:lang w:eastAsia="es-CR"/>
              </w:rPr>
            </w:pPr>
          </w:p>
        </w:tc>
        <w:tc>
          <w:tcPr>
            <w:tcW w:w="800" w:type="pct"/>
            <w:tcBorders>
              <w:top w:val="nil"/>
              <w:left w:val="single" w:sz="4" w:space="0" w:color="auto"/>
              <w:bottom w:val="nil"/>
              <w:right w:val="nil"/>
            </w:tcBorders>
            <w:shd w:val="clear" w:color="auto" w:fill="auto"/>
            <w:noWrap/>
            <w:vAlign w:val="center"/>
            <w:hideMark/>
          </w:tcPr>
          <w:p w14:paraId="4085E18C" w14:textId="35BCFA55" w:rsidR="00FA3414" w:rsidRPr="004E74A6" w:rsidRDefault="00FA3414" w:rsidP="00CE62C1">
            <w:pPr>
              <w:spacing w:line="276" w:lineRule="auto"/>
              <w:jc w:val="center"/>
              <w:rPr>
                <w:rFonts w:cs="Calibri"/>
                <w:color w:val="000000"/>
                <w:sz w:val="20"/>
                <w:lang w:eastAsia="es-CR"/>
              </w:rPr>
            </w:pPr>
            <w:r w:rsidRPr="004E74A6">
              <w:rPr>
                <w:rFonts w:cs="Calibri"/>
                <w:color w:val="000000"/>
                <w:sz w:val="20"/>
              </w:rPr>
              <w:t>1</w:t>
            </w:r>
          </w:p>
        </w:tc>
      </w:tr>
      <w:tr w:rsidR="00FA3414" w:rsidRPr="004E74A6" w14:paraId="2DD42D37" w14:textId="77777777" w:rsidTr="00620C25">
        <w:trPr>
          <w:trHeight w:val="288"/>
          <w:jc w:val="center"/>
        </w:trPr>
        <w:tc>
          <w:tcPr>
            <w:tcW w:w="2399" w:type="pct"/>
            <w:tcBorders>
              <w:top w:val="nil"/>
              <w:left w:val="nil"/>
              <w:bottom w:val="nil"/>
              <w:right w:val="single" w:sz="4" w:space="0" w:color="auto"/>
            </w:tcBorders>
            <w:shd w:val="clear" w:color="auto" w:fill="auto"/>
            <w:noWrap/>
            <w:vAlign w:val="bottom"/>
            <w:hideMark/>
          </w:tcPr>
          <w:p w14:paraId="590AC9E2" w14:textId="77777777" w:rsidR="00FA3414" w:rsidRPr="004E74A6" w:rsidRDefault="00FA3414" w:rsidP="00CE62C1">
            <w:pPr>
              <w:spacing w:line="276" w:lineRule="auto"/>
              <w:ind w:firstLineChars="100" w:firstLine="200"/>
              <w:jc w:val="left"/>
              <w:rPr>
                <w:rFonts w:cs="Calibri"/>
                <w:color w:val="000000"/>
                <w:sz w:val="20"/>
                <w:lang w:eastAsia="es-CR"/>
              </w:rPr>
            </w:pPr>
            <w:r w:rsidRPr="004E74A6">
              <w:rPr>
                <w:rFonts w:cs="Calibri"/>
                <w:color w:val="000000"/>
                <w:sz w:val="20"/>
                <w:lang w:eastAsia="es-CR"/>
              </w:rPr>
              <w:t>Confesión, Prueba Anticipada</w:t>
            </w:r>
          </w:p>
        </w:tc>
        <w:tc>
          <w:tcPr>
            <w:tcW w:w="600" w:type="pct"/>
            <w:tcBorders>
              <w:top w:val="nil"/>
              <w:left w:val="single" w:sz="4" w:space="0" w:color="auto"/>
              <w:bottom w:val="nil"/>
              <w:right w:val="single" w:sz="4" w:space="0" w:color="auto"/>
            </w:tcBorders>
            <w:shd w:val="clear" w:color="auto" w:fill="auto"/>
            <w:noWrap/>
            <w:vAlign w:val="center"/>
            <w:hideMark/>
          </w:tcPr>
          <w:p w14:paraId="0DEFBFF1" w14:textId="77777777" w:rsidR="00FA3414" w:rsidRPr="004E74A6" w:rsidRDefault="00FA3414" w:rsidP="00CE62C1">
            <w:pPr>
              <w:spacing w:line="276" w:lineRule="auto"/>
              <w:jc w:val="center"/>
              <w:rPr>
                <w:sz w:val="20"/>
                <w:lang w:eastAsia="es-CR"/>
              </w:rPr>
            </w:pPr>
          </w:p>
        </w:tc>
        <w:tc>
          <w:tcPr>
            <w:tcW w:w="600" w:type="pct"/>
            <w:tcBorders>
              <w:top w:val="nil"/>
              <w:left w:val="single" w:sz="4" w:space="0" w:color="auto"/>
              <w:bottom w:val="nil"/>
              <w:right w:val="single" w:sz="4" w:space="0" w:color="auto"/>
            </w:tcBorders>
            <w:shd w:val="clear" w:color="auto" w:fill="auto"/>
            <w:noWrap/>
            <w:vAlign w:val="center"/>
            <w:hideMark/>
          </w:tcPr>
          <w:p w14:paraId="41A3360D" w14:textId="77777777" w:rsidR="00FA3414" w:rsidRPr="004E74A6" w:rsidRDefault="00FA3414" w:rsidP="00CE62C1">
            <w:pPr>
              <w:spacing w:line="276" w:lineRule="auto"/>
              <w:jc w:val="center"/>
              <w:rPr>
                <w:rFonts w:cs="Calibri"/>
                <w:color w:val="000000"/>
                <w:sz w:val="20"/>
                <w:lang w:eastAsia="es-CR"/>
              </w:rPr>
            </w:pPr>
            <w:r w:rsidRPr="004E74A6">
              <w:rPr>
                <w:rFonts w:cs="Calibri"/>
                <w:color w:val="000000"/>
                <w:sz w:val="20"/>
                <w:lang w:eastAsia="es-CR"/>
              </w:rPr>
              <w:t>1</w:t>
            </w:r>
          </w:p>
        </w:tc>
        <w:tc>
          <w:tcPr>
            <w:tcW w:w="600" w:type="pct"/>
            <w:tcBorders>
              <w:top w:val="nil"/>
              <w:left w:val="single" w:sz="4" w:space="0" w:color="auto"/>
              <w:bottom w:val="nil"/>
              <w:right w:val="single" w:sz="4" w:space="0" w:color="auto"/>
            </w:tcBorders>
            <w:shd w:val="clear" w:color="auto" w:fill="auto"/>
            <w:noWrap/>
            <w:vAlign w:val="center"/>
            <w:hideMark/>
          </w:tcPr>
          <w:p w14:paraId="2D5D5EB9" w14:textId="77777777" w:rsidR="00FA3414" w:rsidRPr="004E74A6" w:rsidRDefault="00FA3414" w:rsidP="00CE62C1">
            <w:pPr>
              <w:spacing w:line="276" w:lineRule="auto"/>
              <w:jc w:val="center"/>
              <w:rPr>
                <w:rFonts w:cs="Calibri"/>
                <w:color w:val="000000"/>
                <w:sz w:val="20"/>
                <w:lang w:eastAsia="es-CR"/>
              </w:rPr>
            </w:pPr>
          </w:p>
        </w:tc>
        <w:tc>
          <w:tcPr>
            <w:tcW w:w="800" w:type="pct"/>
            <w:tcBorders>
              <w:top w:val="nil"/>
              <w:left w:val="single" w:sz="4" w:space="0" w:color="auto"/>
              <w:bottom w:val="nil"/>
              <w:right w:val="nil"/>
            </w:tcBorders>
            <w:shd w:val="clear" w:color="auto" w:fill="auto"/>
            <w:noWrap/>
            <w:vAlign w:val="center"/>
            <w:hideMark/>
          </w:tcPr>
          <w:p w14:paraId="7207BC6A" w14:textId="78BBEE44" w:rsidR="00FA3414" w:rsidRPr="004E74A6" w:rsidRDefault="00FA3414" w:rsidP="00CE62C1">
            <w:pPr>
              <w:spacing w:line="276" w:lineRule="auto"/>
              <w:jc w:val="center"/>
              <w:rPr>
                <w:rFonts w:cs="Calibri"/>
                <w:color w:val="000000"/>
                <w:sz w:val="20"/>
                <w:lang w:eastAsia="es-CR"/>
              </w:rPr>
            </w:pPr>
            <w:r w:rsidRPr="004E74A6">
              <w:rPr>
                <w:rFonts w:cs="Calibri"/>
                <w:color w:val="000000"/>
                <w:sz w:val="20"/>
              </w:rPr>
              <w:t>1</w:t>
            </w:r>
          </w:p>
        </w:tc>
      </w:tr>
      <w:tr w:rsidR="00FA3414" w:rsidRPr="004E74A6" w14:paraId="02D4B7D7" w14:textId="77777777" w:rsidTr="00620C25">
        <w:trPr>
          <w:trHeight w:val="288"/>
          <w:jc w:val="center"/>
        </w:trPr>
        <w:tc>
          <w:tcPr>
            <w:tcW w:w="2399" w:type="pct"/>
            <w:tcBorders>
              <w:top w:val="nil"/>
              <w:left w:val="nil"/>
              <w:bottom w:val="nil"/>
              <w:right w:val="single" w:sz="4" w:space="0" w:color="auto"/>
            </w:tcBorders>
            <w:shd w:val="clear" w:color="auto" w:fill="auto"/>
            <w:noWrap/>
            <w:vAlign w:val="bottom"/>
            <w:hideMark/>
          </w:tcPr>
          <w:p w14:paraId="3FD75073" w14:textId="77777777" w:rsidR="00FA3414" w:rsidRPr="004E74A6" w:rsidRDefault="00FA3414" w:rsidP="00CE62C1">
            <w:pPr>
              <w:spacing w:line="276" w:lineRule="auto"/>
              <w:ind w:firstLineChars="100" w:firstLine="200"/>
              <w:jc w:val="left"/>
              <w:rPr>
                <w:rFonts w:cs="Calibri"/>
                <w:color w:val="000000"/>
                <w:sz w:val="20"/>
                <w:lang w:eastAsia="es-CR"/>
              </w:rPr>
            </w:pPr>
            <w:r w:rsidRPr="004E74A6">
              <w:rPr>
                <w:rFonts w:cs="Calibri"/>
                <w:color w:val="000000"/>
                <w:sz w:val="20"/>
                <w:lang w:eastAsia="es-CR"/>
              </w:rPr>
              <w:t>Conocimiento</w:t>
            </w:r>
          </w:p>
        </w:tc>
        <w:tc>
          <w:tcPr>
            <w:tcW w:w="600" w:type="pct"/>
            <w:tcBorders>
              <w:top w:val="nil"/>
              <w:left w:val="single" w:sz="4" w:space="0" w:color="auto"/>
              <w:bottom w:val="nil"/>
              <w:right w:val="single" w:sz="4" w:space="0" w:color="auto"/>
            </w:tcBorders>
            <w:shd w:val="clear" w:color="auto" w:fill="auto"/>
            <w:noWrap/>
            <w:vAlign w:val="center"/>
            <w:hideMark/>
          </w:tcPr>
          <w:p w14:paraId="423631D4" w14:textId="77777777" w:rsidR="00FA3414" w:rsidRPr="004E74A6" w:rsidRDefault="00FA3414" w:rsidP="00CE62C1">
            <w:pPr>
              <w:spacing w:line="276" w:lineRule="auto"/>
              <w:jc w:val="center"/>
              <w:rPr>
                <w:rFonts w:cs="Calibri"/>
                <w:color w:val="000000"/>
                <w:sz w:val="20"/>
                <w:lang w:eastAsia="es-CR"/>
              </w:rPr>
            </w:pPr>
            <w:r w:rsidRPr="004E74A6">
              <w:rPr>
                <w:rFonts w:cs="Calibri"/>
                <w:color w:val="000000"/>
                <w:sz w:val="20"/>
                <w:lang w:eastAsia="es-CR"/>
              </w:rPr>
              <w:t>3</w:t>
            </w:r>
          </w:p>
        </w:tc>
        <w:tc>
          <w:tcPr>
            <w:tcW w:w="600" w:type="pct"/>
            <w:tcBorders>
              <w:top w:val="nil"/>
              <w:left w:val="single" w:sz="4" w:space="0" w:color="auto"/>
              <w:bottom w:val="nil"/>
              <w:right w:val="single" w:sz="4" w:space="0" w:color="auto"/>
            </w:tcBorders>
            <w:shd w:val="clear" w:color="auto" w:fill="auto"/>
            <w:noWrap/>
            <w:vAlign w:val="center"/>
            <w:hideMark/>
          </w:tcPr>
          <w:p w14:paraId="34227AFE" w14:textId="77777777" w:rsidR="00FA3414" w:rsidRPr="004E74A6" w:rsidRDefault="00FA3414" w:rsidP="00CE62C1">
            <w:pPr>
              <w:spacing w:line="276" w:lineRule="auto"/>
              <w:jc w:val="center"/>
              <w:rPr>
                <w:rFonts w:cs="Calibri"/>
                <w:color w:val="000000"/>
                <w:sz w:val="20"/>
                <w:lang w:eastAsia="es-CR"/>
              </w:rPr>
            </w:pPr>
          </w:p>
        </w:tc>
        <w:tc>
          <w:tcPr>
            <w:tcW w:w="600" w:type="pct"/>
            <w:tcBorders>
              <w:top w:val="nil"/>
              <w:left w:val="single" w:sz="4" w:space="0" w:color="auto"/>
              <w:bottom w:val="nil"/>
              <w:right w:val="single" w:sz="4" w:space="0" w:color="auto"/>
            </w:tcBorders>
            <w:shd w:val="clear" w:color="auto" w:fill="auto"/>
            <w:noWrap/>
            <w:vAlign w:val="center"/>
            <w:hideMark/>
          </w:tcPr>
          <w:p w14:paraId="29D5281C" w14:textId="77777777" w:rsidR="00FA3414" w:rsidRPr="004E74A6" w:rsidRDefault="00FA3414" w:rsidP="00CE62C1">
            <w:pPr>
              <w:spacing w:line="276" w:lineRule="auto"/>
              <w:jc w:val="center"/>
              <w:rPr>
                <w:sz w:val="20"/>
                <w:lang w:eastAsia="es-CR"/>
              </w:rPr>
            </w:pPr>
          </w:p>
        </w:tc>
        <w:tc>
          <w:tcPr>
            <w:tcW w:w="800" w:type="pct"/>
            <w:tcBorders>
              <w:top w:val="nil"/>
              <w:left w:val="single" w:sz="4" w:space="0" w:color="auto"/>
              <w:bottom w:val="nil"/>
              <w:right w:val="nil"/>
            </w:tcBorders>
            <w:shd w:val="clear" w:color="auto" w:fill="auto"/>
            <w:noWrap/>
            <w:vAlign w:val="center"/>
            <w:hideMark/>
          </w:tcPr>
          <w:p w14:paraId="717078BC" w14:textId="00254247" w:rsidR="00FA3414" w:rsidRPr="004E74A6" w:rsidRDefault="00FA3414" w:rsidP="00CE62C1">
            <w:pPr>
              <w:spacing w:line="276" w:lineRule="auto"/>
              <w:jc w:val="center"/>
              <w:rPr>
                <w:rFonts w:cs="Calibri"/>
                <w:color w:val="000000"/>
                <w:sz w:val="20"/>
                <w:lang w:eastAsia="es-CR"/>
              </w:rPr>
            </w:pPr>
            <w:r w:rsidRPr="004E74A6">
              <w:rPr>
                <w:rFonts w:cs="Calibri"/>
                <w:color w:val="000000"/>
                <w:sz w:val="20"/>
              </w:rPr>
              <w:t>3</w:t>
            </w:r>
          </w:p>
        </w:tc>
      </w:tr>
      <w:tr w:rsidR="00FA3414" w:rsidRPr="004E74A6" w14:paraId="2D6012B5" w14:textId="77777777" w:rsidTr="00620C25">
        <w:trPr>
          <w:trHeight w:val="288"/>
          <w:jc w:val="center"/>
        </w:trPr>
        <w:tc>
          <w:tcPr>
            <w:tcW w:w="2399" w:type="pct"/>
            <w:tcBorders>
              <w:top w:val="nil"/>
              <w:left w:val="nil"/>
              <w:bottom w:val="nil"/>
              <w:right w:val="single" w:sz="4" w:space="0" w:color="auto"/>
            </w:tcBorders>
            <w:shd w:val="clear" w:color="auto" w:fill="auto"/>
            <w:noWrap/>
            <w:vAlign w:val="bottom"/>
            <w:hideMark/>
          </w:tcPr>
          <w:p w14:paraId="359D6A2E" w14:textId="77777777" w:rsidR="00FA3414" w:rsidRPr="004E74A6" w:rsidRDefault="00FA3414" w:rsidP="00CE62C1">
            <w:pPr>
              <w:spacing w:line="276" w:lineRule="auto"/>
              <w:ind w:firstLineChars="100" w:firstLine="200"/>
              <w:jc w:val="left"/>
              <w:rPr>
                <w:rFonts w:cs="Calibri"/>
                <w:color w:val="000000"/>
                <w:sz w:val="20"/>
                <w:lang w:eastAsia="es-CR"/>
              </w:rPr>
            </w:pPr>
            <w:r w:rsidRPr="004E74A6">
              <w:rPr>
                <w:rFonts w:cs="Calibri"/>
                <w:color w:val="000000"/>
                <w:sz w:val="20"/>
                <w:lang w:eastAsia="es-CR"/>
              </w:rPr>
              <w:t>Embargo Preventivo</w:t>
            </w:r>
          </w:p>
        </w:tc>
        <w:tc>
          <w:tcPr>
            <w:tcW w:w="600" w:type="pct"/>
            <w:tcBorders>
              <w:top w:val="nil"/>
              <w:left w:val="single" w:sz="4" w:space="0" w:color="auto"/>
              <w:bottom w:val="nil"/>
              <w:right w:val="single" w:sz="4" w:space="0" w:color="auto"/>
            </w:tcBorders>
            <w:shd w:val="clear" w:color="auto" w:fill="auto"/>
            <w:noWrap/>
            <w:vAlign w:val="center"/>
            <w:hideMark/>
          </w:tcPr>
          <w:p w14:paraId="72FF2D98" w14:textId="77777777" w:rsidR="00FA3414" w:rsidRPr="004E74A6" w:rsidRDefault="00FA3414" w:rsidP="00CE62C1">
            <w:pPr>
              <w:spacing w:line="276" w:lineRule="auto"/>
              <w:jc w:val="center"/>
              <w:rPr>
                <w:sz w:val="20"/>
                <w:lang w:eastAsia="es-CR"/>
              </w:rPr>
            </w:pPr>
          </w:p>
        </w:tc>
        <w:tc>
          <w:tcPr>
            <w:tcW w:w="600" w:type="pct"/>
            <w:tcBorders>
              <w:top w:val="nil"/>
              <w:left w:val="single" w:sz="4" w:space="0" w:color="auto"/>
              <w:bottom w:val="nil"/>
              <w:right w:val="single" w:sz="4" w:space="0" w:color="auto"/>
            </w:tcBorders>
            <w:shd w:val="clear" w:color="auto" w:fill="auto"/>
            <w:noWrap/>
            <w:vAlign w:val="center"/>
            <w:hideMark/>
          </w:tcPr>
          <w:p w14:paraId="42850A9E" w14:textId="77777777" w:rsidR="00FA3414" w:rsidRPr="004E74A6" w:rsidRDefault="00FA3414" w:rsidP="00CE62C1">
            <w:pPr>
              <w:spacing w:line="276" w:lineRule="auto"/>
              <w:jc w:val="center"/>
              <w:rPr>
                <w:rFonts w:cs="Calibri"/>
                <w:color w:val="000000"/>
                <w:sz w:val="20"/>
                <w:lang w:eastAsia="es-CR"/>
              </w:rPr>
            </w:pPr>
            <w:r w:rsidRPr="004E74A6">
              <w:rPr>
                <w:rFonts w:cs="Calibri"/>
                <w:color w:val="000000"/>
                <w:sz w:val="20"/>
                <w:lang w:eastAsia="es-CR"/>
              </w:rPr>
              <w:t>2</w:t>
            </w:r>
          </w:p>
        </w:tc>
        <w:tc>
          <w:tcPr>
            <w:tcW w:w="600" w:type="pct"/>
            <w:tcBorders>
              <w:top w:val="nil"/>
              <w:left w:val="single" w:sz="4" w:space="0" w:color="auto"/>
              <w:bottom w:val="nil"/>
              <w:right w:val="single" w:sz="4" w:space="0" w:color="auto"/>
            </w:tcBorders>
            <w:shd w:val="clear" w:color="auto" w:fill="auto"/>
            <w:noWrap/>
            <w:vAlign w:val="center"/>
            <w:hideMark/>
          </w:tcPr>
          <w:p w14:paraId="04F5268B" w14:textId="77777777" w:rsidR="00FA3414" w:rsidRPr="004E74A6" w:rsidRDefault="00FA3414" w:rsidP="00CE62C1">
            <w:pPr>
              <w:spacing w:line="276" w:lineRule="auto"/>
              <w:jc w:val="center"/>
              <w:rPr>
                <w:rFonts w:cs="Calibri"/>
                <w:color w:val="000000"/>
                <w:sz w:val="20"/>
                <w:lang w:eastAsia="es-CR"/>
              </w:rPr>
            </w:pPr>
          </w:p>
        </w:tc>
        <w:tc>
          <w:tcPr>
            <w:tcW w:w="800" w:type="pct"/>
            <w:tcBorders>
              <w:top w:val="nil"/>
              <w:left w:val="single" w:sz="4" w:space="0" w:color="auto"/>
              <w:bottom w:val="nil"/>
              <w:right w:val="nil"/>
            </w:tcBorders>
            <w:shd w:val="clear" w:color="auto" w:fill="auto"/>
            <w:noWrap/>
            <w:vAlign w:val="center"/>
            <w:hideMark/>
          </w:tcPr>
          <w:p w14:paraId="4BD45F7D" w14:textId="441DD0C5" w:rsidR="00FA3414" w:rsidRPr="004E74A6" w:rsidRDefault="00FA3414" w:rsidP="00CE62C1">
            <w:pPr>
              <w:spacing w:line="276" w:lineRule="auto"/>
              <w:jc w:val="center"/>
              <w:rPr>
                <w:rFonts w:cs="Calibri"/>
                <w:color w:val="000000"/>
                <w:sz w:val="20"/>
                <w:lang w:eastAsia="es-CR"/>
              </w:rPr>
            </w:pPr>
            <w:r w:rsidRPr="004E74A6">
              <w:rPr>
                <w:rFonts w:cs="Calibri"/>
                <w:color w:val="000000"/>
                <w:sz w:val="20"/>
              </w:rPr>
              <w:t>2</w:t>
            </w:r>
          </w:p>
        </w:tc>
      </w:tr>
      <w:tr w:rsidR="00FA3414" w:rsidRPr="004E74A6" w14:paraId="3329DB11" w14:textId="77777777" w:rsidTr="00620C25">
        <w:trPr>
          <w:trHeight w:val="288"/>
          <w:jc w:val="center"/>
        </w:trPr>
        <w:tc>
          <w:tcPr>
            <w:tcW w:w="2399" w:type="pct"/>
            <w:tcBorders>
              <w:top w:val="nil"/>
              <w:left w:val="nil"/>
              <w:bottom w:val="nil"/>
              <w:right w:val="single" w:sz="4" w:space="0" w:color="auto"/>
            </w:tcBorders>
            <w:shd w:val="clear" w:color="auto" w:fill="auto"/>
            <w:noWrap/>
            <w:vAlign w:val="bottom"/>
            <w:hideMark/>
          </w:tcPr>
          <w:p w14:paraId="59BA6A7E" w14:textId="77777777" w:rsidR="00FA3414" w:rsidRPr="004E74A6" w:rsidRDefault="00FA3414" w:rsidP="00CE62C1">
            <w:pPr>
              <w:spacing w:line="276" w:lineRule="auto"/>
              <w:ind w:firstLineChars="100" w:firstLine="200"/>
              <w:jc w:val="left"/>
              <w:rPr>
                <w:rFonts w:cs="Calibri"/>
                <w:color w:val="000000"/>
                <w:sz w:val="20"/>
                <w:lang w:eastAsia="es-CR"/>
              </w:rPr>
            </w:pPr>
            <w:r w:rsidRPr="004E74A6">
              <w:rPr>
                <w:rFonts w:cs="Calibri"/>
                <w:color w:val="000000"/>
                <w:sz w:val="20"/>
                <w:lang w:eastAsia="es-CR"/>
              </w:rPr>
              <w:t>Exequatur</w:t>
            </w:r>
          </w:p>
        </w:tc>
        <w:tc>
          <w:tcPr>
            <w:tcW w:w="600" w:type="pct"/>
            <w:tcBorders>
              <w:top w:val="nil"/>
              <w:left w:val="single" w:sz="4" w:space="0" w:color="auto"/>
              <w:bottom w:val="nil"/>
              <w:right w:val="single" w:sz="4" w:space="0" w:color="auto"/>
            </w:tcBorders>
            <w:shd w:val="clear" w:color="auto" w:fill="auto"/>
            <w:noWrap/>
            <w:vAlign w:val="center"/>
            <w:hideMark/>
          </w:tcPr>
          <w:p w14:paraId="5F943B37" w14:textId="77777777" w:rsidR="00FA3414" w:rsidRPr="004E74A6" w:rsidRDefault="00FA3414" w:rsidP="00CE62C1">
            <w:pPr>
              <w:spacing w:line="276" w:lineRule="auto"/>
              <w:jc w:val="center"/>
              <w:rPr>
                <w:sz w:val="20"/>
                <w:lang w:eastAsia="es-CR"/>
              </w:rPr>
            </w:pPr>
          </w:p>
        </w:tc>
        <w:tc>
          <w:tcPr>
            <w:tcW w:w="600" w:type="pct"/>
            <w:tcBorders>
              <w:top w:val="nil"/>
              <w:left w:val="single" w:sz="4" w:space="0" w:color="auto"/>
              <w:bottom w:val="nil"/>
              <w:right w:val="single" w:sz="4" w:space="0" w:color="auto"/>
            </w:tcBorders>
            <w:shd w:val="clear" w:color="auto" w:fill="auto"/>
            <w:noWrap/>
            <w:vAlign w:val="center"/>
            <w:hideMark/>
          </w:tcPr>
          <w:p w14:paraId="54B085D8" w14:textId="77777777" w:rsidR="00FA3414" w:rsidRPr="004E74A6" w:rsidRDefault="00FA3414" w:rsidP="00CE62C1">
            <w:pPr>
              <w:spacing w:line="276" w:lineRule="auto"/>
              <w:jc w:val="center"/>
              <w:rPr>
                <w:sz w:val="20"/>
                <w:lang w:eastAsia="es-CR"/>
              </w:rPr>
            </w:pPr>
          </w:p>
        </w:tc>
        <w:tc>
          <w:tcPr>
            <w:tcW w:w="600" w:type="pct"/>
            <w:tcBorders>
              <w:top w:val="nil"/>
              <w:left w:val="single" w:sz="4" w:space="0" w:color="auto"/>
              <w:bottom w:val="nil"/>
              <w:right w:val="single" w:sz="4" w:space="0" w:color="auto"/>
            </w:tcBorders>
            <w:shd w:val="clear" w:color="auto" w:fill="auto"/>
            <w:noWrap/>
            <w:vAlign w:val="center"/>
            <w:hideMark/>
          </w:tcPr>
          <w:p w14:paraId="130B99A5" w14:textId="77777777" w:rsidR="00FA3414" w:rsidRPr="004E74A6" w:rsidRDefault="00FA3414" w:rsidP="00CE62C1">
            <w:pPr>
              <w:spacing w:line="276" w:lineRule="auto"/>
              <w:jc w:val="center"/>
              <w:rPr>
                <w:rFonts w:cs="Calibri"/>
                <w:color w:val="000000"/>
                <w:sz w:val="20"/>
                <w:lang w:eastAsia="es-CR"/>
              </w:rPr>
            </w:pPr>
            <w:r w:rsidRPr="004E74A6">
              <w:rPr>
                <w:rFonts w:cs="Calibri"/>
                <w:color w:val="000000"/>
                <w:sz w:val="20"/>
                <w:lang w:eastAsia="es-CR"/>
              </w:rPr>
              <w:t>2</w:t>
            </w:r>
          </w:p>
        </w:tc>
        <w:tc>
          <w:tcPr>
            <w:tcW w:w="800" w:type="pct"/>
            <w:tcBorders>
              <w:top w:val="nil"/>
              <w:left w:val="single" w:sz="4" w:space="0" w:color="auto"/>
              <w:bottom w:val="nil"/>
              <w:right w:val="nil"/>
            </w:tcBorders>
            <w:shd w:val="clear" w:color="auto" w:fill="auto"/>
            <w:noWrap/>
            <w:vAlign w:val="center"/>
            <w:hideMark/>
          </w:tcPr>
          <w:p w14:paraId="3F12112E" w14:textId="708226BD" w:rsidR="00FA3414" w:rsidRPr="004E74A6" w:rsidRDefault="00FA3414" w:rsidP="00CE62C1">
            <w:pPr>
              <w:spacing w:line="276" w:lineRule="auto"/>
              <w:jc w:val="center"/>
              <w:rPr>
                <w:rFonts w:cs="Calibri"/>
                <w:color w:val="000000"/>
                <w:sz w:val="20"/>
                <w:lang w:eastAsia="es-CR"/>
              </w:rPr>
            </w:pPr>
            <w:r w:rsidRPr="004E74A6">
              <w:rPr>
                <w:rFonts w:cs="Calibri"/>
                <w:color w:val="000000"/>
                <w:sz w:val="20"/>
              </w:rPr>
              <w:t>2</w:t>
            </w:r>
          </w:p>
        </w:tc>
      </w:tr>
      <w:tr w:rsidR="00FA3414" w:rsidRPr="004E74A6" w14:paraId="30B98289" w14:textId="77777777" w:rsidTr="00620C25">
        <w:trPr>
          <w:trHeight w:val="288"/>
          <w:jc w:val="center"/>
        </w:trPr>
        <w:tc>
          <w:tcPr>
            <w:tcW w:w="2399" w:type="pct"/>
            <w:tcBorders>
              <w:top w:val="nil"/>
              <w:left w:val="nil"/>
              <w:bottom w:val="nil"/>
              <w:right w:val="single" w:sz="4" w:space="0" w:color="auto"/>
            </w:tcBorders>
            <w:shd w:val="clear" w:color="auto" w:fill="auto"/>
            <w:noWrap/>
            <w:vAlign w:val="bottom"/>
            <w:hideMark/>
          </w:tcPr>
          <w:p w14:paraId="67C5EE58" w14:textId="77777777" w:rsidR="00FA3414" w:rsidRPr="004E74A6" w:rsidRDefault="00FA3414" w:rsidP="00CE62C1">
            <w:pPr>
              <w:spacing w:line="276" w:lineRule="auto"/>
              <w:ind w:firstLineChars="100" w:firstLine="200"/>
              <w:jc w:val="left"/>
              <w:rPr>
                <w:rFonts w:cs="Calibri"/>
                <w:color w:val="000000"/>
                <w:sz w:val="20"/>
                <w:lang w:eastAsia="es-CR"/>
              </w:rPr>
            </w:pPr>
            <w:r w:rsidRPr="004E74A6">
              <w:rPr>
                <w:rFonts w:cs="Calibri"/>
                <w:color w:val="000000"/>
                <w:sz w:val="20"/>
                <w:lang w:eastAsia="es-CR"/>
              </w:rPr>
              <w:t>Incidente</w:t>
            </w:r>
          </w:p>
        </w:tc>
        <w:tc>
          <w:tcPr>
            <w:tcW w:w="600" w:type="pct"/>
            <w:tcBorders>
              <w:top w:val="nil"/>
              <w:left w:val="single" w:sz="4" w:space="0" w:color="auto"/>
              <w:bottom w:val="nil"/>
              <w:right w:val="single" w:sz="4" w:space="0" w:color="auto"/>
            </w:tcBorders>
            <w:shd w:val="clear" w:color="auto" w:fill="auto"/>
            <w:noWrap/>
            <w:vAlign w:val="center"/>
            <w:hideMark/>
          </w:tcPr>
          <w:p w14:paraId="2F5597A3" w14:textId="77777777" w:rsidR="00FA3414" w:rsidRPr="004E74A6" w:rsidRDefault="00FA3414" w:rsidP="00CE62C1">
            <w:pPr>
              <w:spacing w:line="276" w:lineRule="auto"/>
              <w:jc w:val="center"/>
              <w:rPr>
                <w:rFonts w:cs="Calibri"/>
                <w:color w:val="000000"/>
                <w:sz w:val="20"/>
                <w:lang w:eastAsia="es-CR"/>
              </w:rPr>
            </w:pPr>
            <w:r w:rsidRPr="004E74A6">
              <w:rPr>
                <w:rFonts w:cs="Calibri"/>
                <w:color w:val="000000"/>
                <w:sz w:val="20"/>
                <w:lang w:eastAsia="es-CR"/>
              </w:rPr>
              <w:t>1</w:t>
            </w:r>
          </w:p>
        </w:tc>
        <w:tc>
          <w:tcPr>
            <w:tcW w:w="600" w:type="pct"/>
            <w:tcBorders>
              <w:top w:val="nil"/>
              <w:left w:val="single" w:sz="4" w:space="0" w:color="auto"/>
              <w:bottom w:val="nil"/>
              <w:right w:val="single" w:sz="4" w:space="0" w:color="auto"/>
            </w:tcBorders>
            <w:shd w:val="clear" w:color="auto" w:fill="auto"/>
            <w:noWrap/>
            <w:vAlign w:val="center"/>
            <w:hideMark/>
          </w:tcPr>
          <w:p w14:paraId="01A710C0" w14:textId="77777777" w:rsidR="00FA3414" w:rsidRPr="004E74A6" w:rsidRDefault="00FA3414" w:rsidP="00CE62C1">
            <w:pPr>
              <w:spacing w:line="276" w:lineRule="auto"/>
              <w:jc w:val="center"/>
              <w:rPr>
                <w:rFonts w:cs="Calibri"/>
                <w:color w:val="000000"/>
                <w:sz w:val="20"/>
                <w:lang w:eastAsia="es-CR"/>
              </w:rPr>
            </w:pPr>
          </w:p>
        </w:tc>
        <w:tc>
          <w:tcPr>
            <w:tcW w:w="600" w:type="pct"/>
            <w:tcBorders>
              <w:top w:val="nil"/>
              <w:left w:val="single" w:sz="4" w:space="0" w:color="auto"/>
              <w:bottom w:val="nil"/>
              <w:right w:val="single" w:sz="4" w:space="0" w:color="auto"/>
            </w:tcBorders>
            <w:shd w:val="clear" w:color="auto" w:fill="auto"/>
            <w:noWrap/>
            <w:vAlign w:val="center"/>
            <w:hideMark/>
          </w:tcPr>
          <w:p w14:paraId="013A42A3" w14:textId="77777777" w:rsidR="00FA3414" w:rsidRPr="004E74A6" w:rsidRDefault="00FA3414" w:rsidP="00CE62C1">
            <w:pPr>
              <w:spacing w:line="276" w:lineRule="auto"/>
              <w:jc w:val="center"/>
              <w:rPr>
                <w:sz w:val="20"/>
                <w:lang w:eastAsia="es-CR"/>
              </w:rPr>
            </w:pPr>
          </w:p>
        </w:tc>
        <w:tc>
          <w:tcPr>
            <w:tcW w:w="800" w:type="pct"/>
            <w:tcBorders>
              <w:top w:val="nil"/>
              <w:left w:val="single" w:sz="4" w:space="0" w:color="auto"/>
              <w:bottom w:val="nil"/>
              <w:right w:val="nil"/>
            </w:tcBorders>
            <w:shd w:val="clear" w:color="auto" w:fill="auto"/>
            <w:noWrap/>
            <w:vAlign w:val="center"/>
            <w:hideMark/>
          </w:tcPr>
          <w:p w14:paraId="331B1320" w14:textId="5CF76584" w:rsidR="00FA3414" w:rsidRPr="004E74A6" w:rsidRDefault="00FA3414" w:rsidP="00CE62C1">
            <w:pPr>
              <w:spacing w:line="276" w:lineRule="auto"/>
              <w:jc w:val="center"/>
              <w:rPr>
                <w:rFonts w:cs="Calibri"/>
                <w:color w:val="000000"/>
                <w:sz w:val="20"/>
                <w:lang w:eastAsia="es-CR"/>
              </w:rPr>
            </w:pPr>
            <w:r w:rsidRPr="004E74A6">
              <w:rPr>
                <w:rFonts w:cs="Calibri"/>
                <w:color w:val="000000"/>
                <w:sz w:val="20"/>
              </w:rPr>
              <w:t>1</w:t>
            </w:r>
          </w:p>
        </w:tc>
      </w:tr>
      <w:tr w:rsidR="00FA3414" w:rsidRPr="004E74A6" w14:paraId="355F9706" w14:textId="77777777" w:rsidTr="00620C25">
        <w:trPr>
          <w:trHeight w:val="288"/>
          <w:jc w:val="center"/>
        </w:trPr>
        <w:tc>
          <w:tcPr>
            <w:tcW w:w="2399" w:type="pct"/>
            <w:tcBorders>
              <w:top w:val="nil"/>
              <w:left w:val="nil"/>
              <w:bottom w:val="nil"/>
              <w:right w:val="single" w:sz="4" w:space="0" w:color="auto"/>
            </w:tcBorders>
            <w:shd w:val="clear" w:color="auto" w:fill="auto"/>
            <w:noWrap/>
            <w:vAlign w:val="bottom"/>
            <w:hideMark/>
          </w:tcPr>
          <w:p w14:paraId="57D18D09" w14:textId="77777777" w:rsidR="00FA3414" w:rsidRPr="004E74A6" w:rsidRDefault="00FA3414" w:rsidP="00CE62C1">
            <w:pPr>
              <w:spacing w:line="276" w:lineRule="auto"/>
              <w:ind w:firstLineChars="100" w:firstLine="200"/>
              <w:jc w:val="left"/>
              <w:rPr>
                <w:rFonts w:cs="Calibri"/>
                <w:color w:val="000000"/>
                <w:sz w:val="20"/>
                <w:lang w:eastAsia="es-CR"/>
              </w:rPr>
            </w:pPr>
            <w:r w:rsidRPr="004E74A6">
              <w:rPr>
                <w:rFonts w:cs="Calibri"/>
                <w:color w:val="000000"/>
                <w:sz w:val="20"/>
                <w:lang w:eastAsia="es-CR"/>
              </w:rPr>
              <w:t>Medida Cautelar</w:t>
            </w:r>
          </w:p>
        </w:tc>
        <w:tc>
          <w:tcPr>
            <w:tcW w:w="600" w:type="pct"/>
            <w:tcBorders>
              <w:top w:val="nil"/>
              <w:left w:val="single" w:sz="4" w:space="0" w:color="auto"/>
              <w:bottom w:val="nil"/>
              <w:right w:val="single" w:sz="4" w:space="0" w:color="auto"/>
            </w:tcBorders>
            <w:shd w:val="clear" w:color="auto" w:fill="auto"/>
            <w:noWrap/>
            <w:vAlign w:val="center"/>
            <w:hideMark/>
          </w:tcPr>
          <w:p w14:paraId="1D1C6A80" w14:textId="77777777" w:rsidR="00FA3414" w:rsidRPr="004E74A6" w:rsidRDefault="00FA3414" w:rsidP="00CE62C1">
            <w:pPr>
              <w:spacing w:line="276" w:lineRule="auto"/>
              <w:jc w:val="center"/>
              <w:rPr>
                <w:rFonts w:cs="Calibri"/>
                <w:color w:val="000000"/>
                <w:sz w:val="20"/>
                <w:lang w:eastAsia="es-CR"/>
              </w:rPr>
            </w:pPr>
            <w:r w:rsidRPr="004E74A6">
              <w:rPr>
                <w:rFonts w:cs="Calibri"/>
                <w:color w:val="000000"/>
                <w:sz w:val="20"/>
                <w:lang w:eastAsia="es-CR"/>
              </w:rPr>
              <w:t>45</w:t>
            </w:r>
          </w:p>
        </w:tc>
        <w:tc>
          <w:tcPr>
            <w:tcW w:w="600" w:type="pct"/>
            <w:tcBorders>
              <w:top w:val="nil"/>
              <w:left w:val="single" w:sz="4" w:space="0" w:color="auto"/>
              <w:bottom w:val="nil"/>
              <w:right w:val="single" w:sz="4" w:space="0" w:color="auto"/>
            </w:tcBorders>
            <w:shd w:val="clear" w:color="auto" w:fill="auto"/>
            <w:noWrap/>
            <w:vAlign w:val="center"/>
            <w:hideMark/>
          </w:tcPr>
          <w:p w14:paraId="662E7296" w14:textId="77777777" w:rsidR="00FA3414" w:rsidRPr="004E74A6" w:rsidRDefault="00FA3414" w:rsidP="00CE62C1">
            <w:pPr>
              <w:spacing w:line="276" w:lineRule="auto"/>
              <w:jc w:val="center"/>
              <w:rPr>
                <w:rFonts w:cs="Calibri"/>
                <w:color w:val="000000"/>
                <w:sz w:val="20"/>
                <w:lang w:eastAsia="es-CR"/>
              </w:rPr>
            </w:pPr>
            <w:r w:rsidRPr="004E74A6">
              <w:rPr>
                <w:rFonts w:cs="Calibri"/>
                <w:color w:val="000000"/>
                <w:sz w:val="20"/>
                <w:lang w:eastAsia="es-CR"/>
              </w:rPr>
              <w:t>37</w:t>
            </w:r>
          </w:p>
        </w:tc>
        <w:tc>
          <w:tcPr>
            <w:tcW w:w="600" w:type="pct"/>
            <w:tcBorders>
              <w:top w:val="nil"/>
              <w:left w:val="single" w:sz="4" w:space="0" w:color="auto"/>
              <w:bottom w:val="nil"/>
              <w:right w:val="single" w:sz="4" w:space="0" w:color="auto"/>
            </w:tcBorders>
            <w:shd w:val="clear" w:color="auto" w:fill="auto"/>
            <w:noWrap/>
            <w:vAlign w:val="center"/>
            <w:hideMark/>
          </w:tcPr>
          <w:p w14:paraId="1EEEC647" w14:textId="77777777" w:rsidR="00FA3414" w:rsidRPr="004E74A6" w:rsidRDefault="00FA3414" w:rsidP="00CE62C1">
            <w:pPr>
              <w:spacing w:line="276" w:lineRule="auto"/>
              <w:jc w:val="center"/>
              <w:rPr>
                <w:rFonts w:cs="Calibri"/>
                <w:color w:val="000000"/>
                <w:sz w:val="20"/>
                <w:lang w:eastAsia="es-CR"/>
              </w:rPr>
            </w:pPr>
            <w:r w:rsidRPr="004E74A6">
              <w:rPr>
                <w:rFonts w:cs="Calibri"/>
                <w:color w:val="000000"/>
                <w:sz w:val="20"/>
                <w:lang w:eastAsia="es-CR"/>
              </w:rPr>
              <w:t>24</w:t>
            </w:r>
          </w:p>
        </w:tc>
        <w:tc>
          <w:tcPr>
            <w:tcW w:w="800" w:type="pct"/>
            <w:tcBorders>
              <w:top w:val="nil"/>
              <w:left w:val="single" w:sz="4" w:space="0" w:color="auto"/>
              <w:bottom w:val="nil"/>
              <w:right w:val="nil"/>
            </w:tcBorders>
            <w:shd w:val="clear" w:color="auto" w:fill="auto"/>
            <w:noWrap/>
            <w:vAlign w:val="center"/>
            <w:hideMark/>
          </w:tcPr>
          <w:p w14:paraId="493946D8" w14:textId="50D9F7F4" w:rsidR="00FA3414" w:rsidRPr="004E74A6" w:rsidRDefault="00FA3414" w:rsidP="00CE62C1">
            <w:pPr>
              <w:spacing w:line="276" w:lineRule="auto"/>
              <w:jc w:val="center"/>
              <w:rPr>
                <w:rFonts w:cs="Calibri"/>
                <w:color w:val="000000"/>
                <w:sz w:val="20"/>
                <w:lang w:eastAsia="es-CR"/>
              </w:rPr>
            </w:pPr>
            <w:r w:rsidRPr="004E74A6">
              <w:rPr>
                <w:rFonts w:cs="Calibri"/>
                <w:color w:val="000000"/>
                <w:sz w:val="20"/>
              </w:rPr>
              <w:t>35</w:t>
            </w:r>
          </w:p>
        </w:tc>
      </w:tr>
      <w:tr w:rsidR="00FA3414" w:rsidRPr="004E74A6" w14:paraId="5FCC5673" w14:textId="77777777" w:rsidTr="00620C25">
        <w:trPr>
          <w:trHeight w:val="288"/>
          <w:jc w:val="center"/>
        </w:trPr>
        <w:tc>
          <w:tcPr>
            <w:tcW w:w="2399" w:type="pct"/>
            <w:tcBorders>
              <w:top w:val="nil"/>
              <w:left w:val="nil"/>
              <w:bottom w:val="nil"/>
              <w:right w:val="single" w:sz="4" w:space="0" w:color="auto"/>
            </w:tcBorders>
            <w:shd w:val="clear" w:color="auto" w:fill="auto"/>
            <w:noWrap/>
            <w:vAlign w:val="bottom"/>
            <w:hideMark/>
          </w:tcPr>
          <w:p w14:paraId="2F3190C1" w14:textId="77777777" w:rsidR="00FA3414" w:rsidRPr="004E74A6" w:rsidRDefault="00FA3414" w:rsidP="00CE62C1">
            <w:pPr>
              <w:spacing w:line="276" w:lineRule="auto"/>
              <w:ind w:firstLineChars="100" w:firstLine="200"/>
              <w:jc w:val="left"/>
              <w:rPr>
                <w:rFonts w:cs="Calibri"/>
                <w:color w:val="000000"/>
                <w:sz w:val="20"/>
                <w:lang w:eastAsia="es-CR"/>
              </w:rPr>
            </w:pPr>
            <w:r w:rsidRPr="004E74A6">
              <w:rPr>
                <w:rFonts w:cs="Calibri"/>
                <w:color w:val="000000"/>
                <w:sz w:val="20"/>
                <w:lang w:eastAsia="es-CR"/>
              </w:rPr>
              <w:t>Monitorio</w:t>
            </w:r>
          </w:p>
        </w:tc>
        <w:tc>
          <w:tcPr>
            <w:tcW w:w="600" w:type="pct"/>
            <w:tcBorders>
              <w:top w:val="nil"/>
              <w:left w:val="single" w:sz="4" w:space="0" w:color="auto"/>
              <w:bottom w:val="nil"/>
              <w:right w:val="single" w:sz="4" w:space="0" w:color="auto"/>
            </w:tcBorders>
            <w:shd w:val="clear" w:color="auto" w:fill="auto"/>
            <w:noWrap/>
            <w:vAlign w:val="center"/>
            <w:hideMark/>
          </w:tcPr>
          <w:p w14:paraId="1B8B1235" w14:textId="77777777" w:rsidR="00FA3414" w:rsidRPr="004E74A6" w:rsidRDefault="00FA3414" w:rsidP="00CE62C1">
            <w:pPr>
              <w:spacing w:line="276" w:lineRule="auto"/>
              <w:jc w:val="center"/>
              <w:rPr>
                <w:rFonts w:cs="Calibri"/>
                <w:color w:val="000000"/>
                <w:sz w:val="20"/>
                <w:lang w:eastAsia="es-CR"/>
              </w:rPr>
            </w:pPr>
            <w:r w:rsidRPr="004E74A6">
              <w:rPr>
                <w:rFonts w:cs="Calibri"/>
                <w:color w:val="000000"/>
                <w:sz w:val="20"/>
                <w:lang w:eastAsia="es-CR"/>
              </w:rPr>
              <w:t>1</w:t>
            </w:r>
          </w:p>
        </w:tc>
        <w:tc>
          <w:tcPr>
            <w:tcW w:w="600" w:type="pct"/>
            <w:tcBorders>
              <w:top w:val="nil"/>
              <w:left w:val="single" w:sz="4" w:space="0" w:color="auto"/>
              <w:bottom w:val="nil"/>
              <w:right w:val="single" w:sz="4" w:space="0" w:color="auto"/>
            </w:tcBorders>
            <w:shd w:val="clear" w:color="auto" w:fill="auto"/>
            <w:noWrap/>
            <w:vAlign w:val="center"/>
            <w:hideMark/>
          </w:tcPr>
          <w:p w14:paraId="414649C7" w14:textId="77777777" w:rsidR="00FA3414" w:rsidRPr="004E74A6" w:rsidRDefault="00FA3414" w:rsidP="00CE62C1">
            <w:pPr>
              <w:spacing w:line="276" w:lineRule="auto"/>
              <w:jc w:val="center"/>
              <w:rPr>
                <w:rFonts w:cs="Calibri"/>
                <w:color w:val="000000"/>
                <w:sz w:val="20"/>
                <w:lang w:eastAsia="es-CR"/>
              </w:rPr>
            </w:pPr>
          </w:p>
        </w:tc>
        <w:tc>
          <w:tcPr>
            <w:tcW w:w="600" w:type="pct"/>
            <w:tcBorders>
              <w:top w:val="nil"/>
              <w:left w:val="single" w:sz="4" w:space="0" w:color="auto"/>
              <w:bottom w:val="nil"/>
              <w:right w:val="single" w:sz="4" w:space="0" w:color="auto"/>
            </w:tcBorders>
            <w:shd w:val="clear" w:color="auto" w:fill="auto"/>
            <w:noWrap/>
            <w:vAlign w:val="center"/>
            <w:hideMark/>
          </w:tcPr>
          <w:p w14:paraId="40893EEB" w14:textId="77777777" w:rsidR="00FA3414" w:rsidRPr="004E74A6" w:rsidRDefault="00FA3414" w:rsidP="00CE62C1">
            <w:pPr>
              <w:spacing w:line="276" w:lineRule="auto"/>
              <w:jc w:val="center"/>
              <w:rPr>
                <w:rFonts w:cs="Calibri"/>
                <w:color w:val="000000"/>
                <w:sz w:val="20"/>
                <w:lang w:eastAsia="es-CR"/>
              </w:rPr>
            </w:pPr>
            <w:r w:rsidRPr="004E74A6">
              <w:rPr>
                <w:rFonts w:cs="Calibri"/>
                <w:color w:val="000000"/>
                <w:sz w:val="20"/>
                <w:lang w:eastAsia="es-CR"/>
              </w:rPr>
              <w:t>1</w:t>
            </w:r>
          </w:p>
        </w:tc>
        <w:tc>
          <w:tcPr>
            <w:tcW w:w="800" w:type="pct"/>
            <w:tcBorders>
              <w:top w:val="nil"/>
              <w:left w:val="single" w:sz="4" w:space="0" w:color="auto"/>
              <w:bottom w:val="nil"/>
              <w:right w:val="nil"/>
            </w:tcBorders>
            <w:shd w:val="clear" w:color="auto" w:fill="auto"/>
            <w:noWrap/>
            <w:vAlign w:val="center"/>
            <w:hideMark/>
          </w:tcPr>
          <w:p w14:paraId="6C3F9F3A" w14:textId="048B6BFC" w:rsidR="00FA3414" w:rsidRPr="004E74A6" w:rsidRDefault="00FA3414" w:rsidP="00CE62C1">
            <w:pPr>
              <w:spacing w:line="276" w:lineRule="auto"/>
              <w:jc w:val="center"/>
              <w:rPr>
                <w:rFonts w:cs="Calibri"/>
                <w:color w:val="000000"/>
                <w:sz w:val="20"/>
                <w:lang w:eastAsia="es-CR"/>
              </w:rPr>
            </w:pPr>
            <w:r w:rsidRPr="004E74A6">
              <w:rPr>
                <w:rFonts w:cs="Calibri"/>
                <w:color w:val="000000"/>
                <w:sz w:val="20"/>
              </w:rPr>
              <w:t>1</w:t>
            </w:r>
          </w:p>
        </w:tc>
      </w:tr>
      <w:tr w:rsidR="00FA3414" w:rsidRPr="004E74A6" w14:paraId="43C4C884" w14:textId="77777777" w:rsidTr="00620C25">
        <w:trPr>
          <w:trHeight w:val="288"/>
          <w:jc w:val="center"/>
        </w:trPr>
        <w:tc>
          <w:tcPr>
            <w:tcW w:w="2399" w:type="pct"/>
            <w:tcBorders>
              <w:top w:val="nil"/>
              <w:left w:val="nil"/>
              <w:bottom w:val="nil"/>
              <w:right w:val="single" w:sz="4" w:space="0" w:color="auto"/>
            </w:tcBorders>
            <w:shd w:val="clear" w:color="auto" w:fill="auto"/>
            <w:noWrap/>
            <w:vAlign w:val="bottom"/>
            <w:hideMark/>
          </w:tcPr>
          <w:p w14:paraId="3D1D66A6" w14:textId="77777777" w:rsidR="00FA3414" w:rsidRPr="004E74A6" w:rsidRDefault="00FA3414" w:rsidP="00CE62C1">
            <w:pPr>
              <w:spacing w:line="276" w:lineRule="auto"/>
              <w:ind w:firstLineChars="100" w:firstLine="200"/>
              <w:jc w:val="left"/>
              <w:rPr>
                <w:rFonts w:cs="Calibri"/>
                <w:color w:val="000000"/>
                <w:sz w:val="20"/>
                <w:lang w:eastAsia="es-CR"/>
              </w:rPr>
            </w:pPr>
            <w:r w:rsidRPr="004E74A6">
              <w:rPr>
                <w:rFonts w:cs="Calibri"/>
                <w:color w:val="000000"/>
                <w:sz w:val="20"/>
                <w:lang w:eastAsia="es-CR"/>
              </w:rPr>
              <w:t>No Contencioso</w:t>
            </w:r>
          </w:p>
        </w:tc>
        <w:tc>
          <w:tcPr>
            <w:tcW w:w="600" w:type="pct"/>
            <w:tcBorders>
              <w:top w:val="nil"/>
              <w:left w:val="single" w:sz="4" w:space="0" w:color="auto"/>
              <w:bottom w:val="nil"/>
              <w:right w:val="single" w:sz="4" w:space="0" w:color="auto"/>
            </w:tcBorders>
            <w:shd w:val="clear" w:color="auto" w:fill="auto"/>
            <w:noWrap/>
            <w:vAlign w:val="center"/>
            <w:hideMark/>
          </w:tcPr>
          <w:p w14:paraId="2BF7C539" w14:textId="77777777" w:rsidR="00FA3414" w:rsidRPr="004E74A6" w:rsidRDefault="00FA3414" w:rsidP="00CE62C1">
            <w:pPr>
              <w:spacing w:line="276" w:lineRule="auto"/>
              <w:jc w:val="center"/>
              <w:rPr>
                <w:rFonts w:cs="Calibri"/>
                <w:color w:val="000000"/>
                <w:sz w:val="20"/>
                <w:lang w:eastAsia="es-CR"/>
              </w:rPr>
            </w:pPr>
            <w:r w:rsidRPr="004E74A6">
              <w:rPr>
                <w:rFonts w:cs="Calibri"/>
                <w:color w:val="000000"/>
                <w:sz w:val="20"/>
                <w:lang w:eastAsia="es-CR"/>
              </w:rPr>
              <w:t>8</w:t>
            </w:r>
          </w:p>
        </w:tc>
        <w:tc>
          <w:tcPr>
            <w:tcW w:w="600" w:type="pct"/>
            <w:tcBorders>
              <w:top w:val="nil"/>
              <w:left w:val="single" w:sz="4" w:space="0" w:color="auto"/>
              <w:bottom w:val="nil"/>
              <w:right w:val="single" w:sz="4" w:space="0" w:color="auto"/>
            </w:tcBorders>
            <w:shd w:val="clear" w:color="auto" w:fill="auto"/>
            <w:noWrap/>
            <w:vAlign w:val="center"/>
            <w:hideMark/>
          </w:tcPr>
          <w:p w14:paraId="5B55EA28" w14:textId="77777777" w:rsidR="00FA3414" w:rsidRPr="004E74A6" w:rsidRDefault="00FA3414" w:rsidP="00CE62C1">
            <w:pPr>
              <w:spacing w:line="276" w:lineRule="auto"/>
              <w:jc w:val="center"/>
              <w:rPr>
                <w:rFonts w:cs="Calibri"/>
                <w:color w:val="000000"/>
                <w:sz w:val="20"/>
                <w:lang w:eastAsia="es-CR"/>
              </w:rPr>
            </w:pPr>
            <w:r w:rsidRPr="004E74A6">
              <w:rPr>
                <w:rFonts w:cs="Calibri"/>
                <w:color w:val="000000"/>
                <w:sz w:val="20"/>
                <w:lang w:eastAsia="es-CR"/>
              </w:rPr>
              <w:t>2</w:t>
            </w:r>
          </w:p>
        </w:tc>
        <w:tc>
          <w:tcPr>
            <w:tcW w:w="600" w:type="pct"/>
            <w:tcBorders>
              <w:top w:val="nil"/>
              <w:left w:val="single" w:sz="4" w:space="0" w:color="auto"/>
              <w:bottom w:val="nil"/>
              <w:right w:val="single" w:sz="4" w:space="0" w:color="auto"/>
            </w:tcBorders>
            <w:shd w:val="clear" w:color="auto" w:fill="auto"/>
            <w:noWrap/>
            <w:vAlign w:val="center"/>
            <w:hideMark/>
          </w:tcPr>
          <w:p w14:paraId="0A04E131" w14:textId="77777777" w:rsidR="00FA3414" w:rsidRPr="004E74A6" w:rsidRDefault="00FA3414" w:rsidP="00CE62C1">
            <w:pPr>
              <w:spacing w:line="276" w:lineRule="auto"/>
              <w:jc w:val="center"/>
              <w:rPr>
                <w:rFonts w:cs="Calibri"/>
                <w:color w:val="000000"/>
                <w:sz w:val="20"/>
                <w:lang w:eastAsia="es-CR"/>
              </w:rPr>
            </w:pPr>
            <w:r w:rsidRPr="004E74A6">
              <w:rPr>
                <w:rFonts w:cs="Calibri"/>
                <w:color w:val="000000"/>
                <w:sz w:val="20"/>
                <w:lang w:eastAsia="es-CR"/>
              </w:rPr>
              <w:t>1</w:t>
            </w:r>
          </w:p>
        </w:tc>
        <w:tc>
          <w:tcPr>
            <w:tcW w:w="800" w:type="pct"/>
            <w:tcBorders>
              <w:top w:val="nil"/>
              <w:left w:val="single" w:sz="4" w:space="0" w:color="auto"/>
              <w:bottom w:val="nil"/>
              <w:right w:val="nil"/>
            </w:tcBorders>
            <w:shd w:val="clear" w:color="auto" w:fill="auto"/>
            <w:noWrap/>
            <w:vAlign w:val="center"/>
            <w:hideMark/>
          </w:tcPr>
          <w:p w14:paraId="783FD469" w14:textId="4E2F999A" w:rsidR="00FA3414" w:rsidRPr="004E74A6" w:rsidRDefault="00FA3414" w:rsidP="00CE62C1">
            <w:pPr>
              <w:spacing w:line="276" w:lineRule="auto"/>
              <w:jc w:val="center"/>
              <w:rPr>
                <w:rFonts w:cs="Calibri"/>
                <w:color w:val="000000"/>
                <w:sz w:val="20"/>
                <w:lang w:eastAsia="es-CR"/>
              </w:rPr>
            </w:pPr>
            <w:r w:rsidRPr="004E74A6">
              <w:rPr>
                <w:rFonts w:cs="Calibri"/>
                <w:color w:val="000000"/>
                <w:sz w:val="20"/>
              </w:rPr>
              <w:t>4</w:t>
            </w:r>
          </w:p>
        </w:tc>
      </w:tr>
      <w:tr w:rsidR="00FA3414" w:rsidRPr="004E74A6" w14:paraId="70B83E56" w14:textId="77777777" w:rsidTr="007038F3">
        <w:trPr>
          <w:trHeight w:val="288"/>
          <w:jc w:val="center"/>
        </w:trPr>
        <w:tc>
          <w:tcPr>
            <w:tcW w:w="2399" w:type="pct"/>
            <w:tcBorders>
              <w:top w:val="nil"/>
              <w:left w:val="nil"/>
              <w:bottom w:val="nil"/>
              <w:right w:val="single" w:sz="4" w:space="0" w:color="auto"/>
            </w:tcBorders>
            <w:shd w:val="clear" w:color="auto" w:fill="C5E0B3" w:themeFill="accent6" w:themeFillTint="66"/>
            <w:noWrap/>
            <w:vAlign w:val="bottom"/>
            <w:hideMark/>
          </w:tcPr>
          <w:p w14:paraId="6F4D39E8" w14:textId="77777777" w:rsidR="00FA3414" w:rsidRPr="004E74A6" w:rsidRDefault="00FA3414" w:rsidP="00CE62C1">
            <w:pPr>
              <w:spacing w:line="276" w:lineRule="auto"/>
              <w:ind w:firstLineChars="100" w:firstLine="200"/>
              <w:jc w:val="left"/>
              <w:rPr>
                <w:rFonts w:cs="Calibri"/>
                <w:color w:val="000000"/>
                <w:sz w:val="20"/>
                <w:lang w:eastAsia="es-CR"/>
              </w:rPr>
            </w:pPr>
            <w:r w:rsidRPr="004E74A6">
              <w:rPr>
                <w:rFonts w:cs="Calibri"/>
                <w:color w:val="000000"/>
                <w:sz w:val="20"/>
                <w:lang w:eastAsia="es-CR"/>
              </w:rPr>
              <w:t>Ordinario</w:t>
            </w:r>
          </w:p>
        </w:tc>
        <w:tc>
          <w:tcPr>
            <w:tcW w:w="600" w:type="pct"/>
            <w:tcBorders>
              <w:top w:val="nil"/>
              <w:left w:val="single" w:sz="4" w:space="0" w:color="auto"/>
              <w:bottom w:val="nil"/>
              <w:right w:val="single" w:sz="4" w:space="0" w:color="auto"/>
            </w:tcBorders>
            <w:shd w:val="clear" w:color="auto" w:fill="C5E0B3" w:themeFill="accent6" w:themeFillTint="66"/>
            <w:noWrap/>
            <w:vAlign w:val="center"/>
            <w:hideMark/>
          </w:tcPr>
          <w:p w14:paraId="00B35DD7" w14:textId="77777777" w:rsidR="00FA3414" w:rsidRPr="004E74A6" w:rsidRDefault="00FA3414" w:rsidP="00CE62C1">
            <w:pPr>
              <w:spacing w:line="276" w:lineRule="auto"/>
              <w:jc w:val="center"/>
              <w:rPr>
                <w:rFonts w:cs="Calibri"/>
                <w:color w:val="000000"/>
                <w:sz w:val="20"/>
                <w:lang w:eastAsia="es-CR"/>
              </w:rPr>
            </w:pPr>
            <w:r w:rsidRPr="004E74A6">
              <w:rPr>
                <w:rFonts w:cs="Calibri"/>
                <w:color w:val="000000"/>
                <w:sz w:val="20"/>
                <w:lang w:eastAsia="es-CR"/>
              </w:rPr>
              <w:t>336</w:t>
            </w:r>
          </w:p>
        </w:tc>
        <w:tc>
          <w:tcPr>
            <w:tcW w:w="600" w:type="pct"/>
            <w:tcBorders>
              <w:top w:val="nil"/>
              <w:left w:val="single" w:sz="4" w:space="0" w:color="auto"/>
              <w:bottom w:val="nil"/>
              <w:right w:val="single" w:sz="4" w:space="0" w:color="auto"/>
            </w:tcBorders>
            <w:shd w:val="clear" w:color="auto" w:fill="C5E0B3" w:themeFill="accent6" w:themeFillTint="66"/>
            <w:noWrap/>
            <w:vAlign w:val="center"/>
            <w:hideMark/>
          </w:tcPr>
          <w:p w14:paraId="7C23AB96" w14:textId="77777777" w:rsidR="00FA3414" w:rsidRPr="004E74A6" w:rsidRDefault="00FA3414" w:rsidP="00CE62C1">
            <w:pPr>
              <w:spacing w:line="276" w:lineRule="auto"/>
              <w:jc w:val="center"/>
              <w:rPr>
                <w:rFonts w:cs="Calibri"/>
                <w:color w:val="000000"/>
                <w:sz w:val="20"/>
                <w:lang w:eastAsia="es-CR"/>
              </w:rPr>
            </w:pPr>
            <w:r w:rsidRPr="004E74A6">
              <w:rPr>
                <w:rFonts w:cs="Calibri"/>
                <w:color w:val="000000"/>
                <w:sz w:val="20"/>
                <w:lang w:eastAsia="es-CR"/>
              </w:rPr>
              <w:t>328</w:t>
            </w:r>
          </w:p>
        </w:tc>
        <w:tc>
          <w:tcPr>
            <w:tcW w:w="600" w:type="pct"/>
            <w:tcBorders>
              <w:top w:val="nil"/>
              <w:left w:val="single" w:sz="4" w:space="0" w:color="auto"/>
              <w:bottom w:val="nil"/>
              <w:right w:val="single" w:sz="4" w:space="0" w:color="auto"/>
            </w:tcBorders>
            <w:shd w:val="clear" w:color="auto" w:fill="C5E0B3" w:themeFill="accent6" w:themeFillTint="66"/>
            <w:noWrap/>
            <w:vAlign w:val="center"/>
            <w:hideMark/>
          </w:tcPr>
          <w:p w14:paraId="7F7A9951" w14:textId="77777777" w:rsidR="00FA3414" w:rsidRPr="004E74A6" w:rsidRDefault="00FA3414" w:rsidP="00CE62C1">
            <w:pPr>
              <w:spacing w:line="276" w:lineRule="auto"/>
              <w:jc w:val="center"/>
              <w:rPr>
                <w:rFonts w:cs="Calibri"/>
                <w:color w:val="000000"/>
                <w:sz w:val="20"/>
                <w:lang w:eastAsia="es-CR"/>
              </w:rPr>
            </w:pPr>
            <w:r w:rsidRPr="004E74A6">
              <w:rPr>
                <w:rFonts w:cs="Calibri"/>
                <w:color w:val="000000"/>
                <w:sz w:val="20"/>
                <w:lang w:eastAsia="es-CR"/>
              </w:rPr>
              <w:t>334</w:t>
            </w:r>
          </w:p>
        </w:tc>
        <w:tc>
          <w:tcPr>
            <w:tcW w:w="800" w:type="pct"/>
            <w:tcBorders>
              <w:top w:val="nil"/>
              <w:left w:val="single" w:sz="4" w:space="0" w:color="auto"/>
              <w:bottom w:val="nil"/>
              <w:right w:val="nil"/>
            </w:tcBorders>
            <w:shd w:val="clear" w:color="auto" w:fill="C5E0B3" w:themeFill="accent6" w:themeFillTint="66"/>
            <w:noWrap/>
            <w:vAlign w:val="center"/>
            <w:hideMark/>
          </w:tcPr>
          <w:p w14:paraId="1D58BF86" w14:textId="7B5563B4" w:rsidR="00FA3414" w:rsidRPr="004E74A6" w:rsidRDefault="00FA3414" w:rsidP="00CE62C1">
            <w:pPr>
              <w:spacing w:line="276" w:lineRule="auto"/>
              <w:jc w:val="center"/>
              <w:rPr>
                <w:rFonts w:cs="Calibri"/>
                <w:color w:val="000000"/>
                <w:sz w:val="20"/>
                <w:lang w:eastAsia="es-CR"/>
              </w:rPr>
            </w:pPr>
            <w:r w:rsidRPr="004E74A6">
              <w:rPr>
                <w:rFonts w:cs="Calibri"/>
                <w:color w:val="000000"/>
                <w:sz w:val="20"/>
              </w:rPr>
              <w:t>333</w:t>
            </w:r>
          </w:p>
        </w:tc>
      </w:tr>
      <w:tr w:rsidR="00FA3414" w:rsidRPr="004E74A6" w14:paraId="3EA9956E" w14:textId="77777777" w:rsidTr="00620C25">
        <w:trPr>
          <w:trHeight w:val="288"/>
          <w:jc w:val="center"/>
        </w:trPr>
        <w:tc>
          <w:tcPr>
            <w:tcW w:w="2399" w:type="pct"/>
            <w:tcBorders>
              <w:top w:val="nil"/>
              <w:left w:val="nil"/>
              <w:bottom w:val="nil"/>
              <w:right w:val="single" w:sz="4" w:space="0" w:color="auto"/>
            </w:tcBorders>
            <w:shd w:val="clear" w:color="auto" w:fill="auto"/>
            <w:noWrap/>
            <w:vAlign w:val="bottom"/>
            <w:hideMark/>
          </w:tcPr>
          <w:p w14:paraId="673C4E18" w14:textId="77777777" w:rsidR="00FA3414" w:rsidRPr="004E74A6" w:rsidRDefault="00FA3414" w:rsidP="00CE62C1">
            <w:pPr>
              <w:spacing w:line="276" w:lineRule="auto"/>
              <w:ind w:firstLineChars="100" w:firstLine="200"/>
              <w:jc w:val="left"/>
              <w:rPr>
                <w:rFonts w:cs="Calibri"/>
                <w:color w:val="000000"/>
                <w:sz w:val="20"/>
                <w:lang w:eastAsia="es-CR"/>
              </w:rPr>
            </w:pPr>
            <w:r w:rsidRPr="004E74A6">
              <w:rPr>
                <w:rFonts w:cs="Calibri"/>
                <w:color w:val="000000"/>
                <w:sz w:val="20"/>
                <w:lang w:eastAsia="es-CR"/>
              </w:rPr>
              <w:t>Procesos De Ejecución</w:t>
            </w:r>
          </w:p>
        </w:tc>
        <w:tc>
          <w:tcPr>
            <w:tcW w:w="600" w:type="pct"/>
            <w:tcBorders>
              <w:top w:val="nil"/>
              <w:left w:val="single" w:sz="4" w:space="0" w:color="auto"/>
              <w:bottom w:val="nil"/>
              <w:right w:val="single" w:sz="4" w:space="0" w:color="auto"/>
            </w:tcBorders>
            <w:shd w:val="clear" w:color="auto" w:fill="auto"/>
            <w:noWrap/>
            <w:vAlign w:val="center"/>
            <w:hideMark/>
          </w:tcPr>
          <w:p w14:paraId="0F8CDB71" w14:textId="77777777" w:rsidR="00FA3414" w:rsidRPr="004E74A6" w:rsidRDefault="00FA3414" w:rsidP="00CE62C1">
            <w:pPr>
              <w:spacing w:line="276" w:lineRule="auto"/>
              <w:jc w:val="center"/>
              <w:rPr>
                <w:rFonts w:cs="Calibri"/>
                <w:color w:val="000000"/>
                <w:sz w:val="20"/>
                <w:lang w:eastAsia="es-CR"/>
              </w:rPr>
            </w:pPr>
            <w:r w:rsidRPr="004E74A6">
              <w:rPr>
                <w:rFonts w:cs="Calibri"/>
                <w:color w:val="000000"/>
                <w:sz w:val="20"/>
                <w:lang w:eastAsia="es-CR"/>
              </w:rPr>
              <w:t>7</w:t>
            </w:r>
          </w:p>
        </w:tc>
        <w:tc>
          <w:tcPr>
            <w:tcW w:w="600" w:type="pct"/>
            <w:tcBorders>
              <w:top w:val="nil"/>
              <w:left w:val="single" w:sz="4" w:space="0" w:color="auto"/>
              <w:bottom w:val="nil"/>
              <w:right w:val="single" w:sz="4" w:space="0" w:color="auto"/>
            </w:tcBorders>
            <w:shd w:val="clear" w:color="auto" w:fill="auto"/>
            <w:noWrap/>
            <w:vAlign w:val="center"/>
            <w:hideMark/>
          </w:tcPr>
          <w:p w14:paraId="29CB4708" w14:textId="77777777" w:rsidR="00FA3414" w:rsidRPr="004E74A6" w:rsidRDefault="00FA3414" w:rsidP="00CE62C1">
            <w:pPr>
              <w:spacing w:line="276" w:lineRule="auto"/>
              <w:jc w:val="center"/>
              <w:rPr>
                <w:rFonts w:cs="Calibri"/>
                <w:color w:val="000000"/>
                <w:sz w:val="20"/>
                <w:lang w:eastAsia="es-CR"/>
              </w:rPr>
            </w:pPr>
            <w:r w:rsidRPr="004E74A6">
              <w:rPr>
                <w:rFonts w:cs="Calibri"/>
                <w:color w:val="000000"/>
                <w:sz w:val="20"/>
                <w:lang w:eastAsia="es-CR"/>
              </w:rPr>
              <w:t>11</w:t>
            </w:r>
          </w:p>
        </w:tc>
        <w:tc>
          <w:tcPr>
            <w:tcW w:w="600" w:type="pct"/>
            <w:tcBorders>
              <w:top w:val="nil"/>
              <w:left w:val="single" w:sz="4" w:space="0" w:color="auto"/>
              <w:bottom w:val="nil"/>
              <w:right w:val="single" w:sz="4" w:space="0" w:color="auto"/>
            </w:tcBorders>
            <w:shd w:val="clear" w:color="auto" w:fill="auto"/>
            <w:noWrap/>
            <w:vAlign w:val="center"/>
            <w:hideMark/>
          </w:tcPr>
          <w:p w14:paraId="7670D498" w14:textId="77777777" w:rsidR="00FA3414" w:rsidRPr="004E74A6" w:rsidRDefault="00FA3414" w:rsidP="00CE62C1">
            <w:pPr>
              <w:spacing w:line="276" w:lineRule="auto"/>
              <w:jc w:val="center"/>
              <w:rPr>
                <w:rFonts w:cs="Calibri"/>
                <w:color w:val="000000"/>
                <w:sz w:val="20"/>
                <w:lang w:eastAsia="es-CR"/>
              </w:rPr>
            </w:pPr>
            <w:r w:rsidRPr="004E74A6">
              <w:rPr>
                <w:rFonts w:cs="Calibri"/>
                <w:color w:val="000000"/>
                <w:sz w:val="20"/>
                <w:lang w:eastAsia="es-CR"/>
              </w:rPr>
              <w:t>10</w:t>
            </w:r>
          </w:p>
        </w:tc>
        <w:tc>
          <w:tcPr>
            <w:tcW w:w="800" w:type="pct"/>
            <w:tcBorders>
              <w:top w:val="nil"/>
              <w:left w:val="single" w:sz="4" w:space="0" w:color="auto"/>
              <w:bottom w:val="nil"/>
              <w:right w:val="nil"/>
            </w:tcBorders>
            <w:shd w:val="clear" w:color="auto" w:fill="auto"/>
            <w:noWrap/>
            <w:vAlign w:val="center"/>
            <w:hideMark/>
          </w:tcPr>
          <w:p w14:paraId="6198D17D" w14:textId="25D4BC8D" w:rsidR="00FA3414" w:rsidRPr="004E74A6" w:rsidRDefault="00FA3414" w:rsidP="00CE62C1">
            <w:pPr>
              <w:spacing w:line="276" w:lineRule="auto"/>
              <w:jc w:val="center"/>
              <w:rPr>
                <w:rFonts w:cs="Calibri"/>
                <w:color w:val="000000"/>
                <w:sz w:val="20"/>
                <w:lang w:eastAsia="es-CR"/>
              </w:rPr>
            </w:pPr>
            <w:r w:rsidRPr="004E74A6">
              <w:rPr>
                <w:rFonts w:cs="Calibri"/>
                <w:color w:val="000000"/>
                <w:sz w:val="20"/>
              </w:rPr>
              <w:t>9</w:t>
            </w:r>
          </w:p>
        </w:tc>
      </w:tr>
      <w:tr w:rsidR="00FA3414" w:rsidRPr="004E74A6" w14:paraId="4434E809" w14:textId="77777777" w:rsidTr="00620C25">
        <w:trPr>
          <w:trHeight w:val="288"/>
          <w:jc w:val="center"/>
        </w:trPr>
        <w:tc>
          <w:tcPr>
            <w:tcW w:w="2399" w:type="pct"/>
            <w:tcBorders>
              <w:top w:val="nil"/>
              <w:left w:val="nil"/>
              <w:bottom w:val="nil"/>
              <w:right w:val="single" w:sz="4" w:space="0" w:color="auto"/>
            </w:tcBorders>
            <w:shd w:val="clear" w:color="auto" w:fill="auto"/>
            <w:noWrap/>
            <w:vAlign w:val="bottom"/>
            <w:hideMark/>
          </w:tcPr>
          <w:p w14:paraId="0AD681D1" w14:textId="77777777" w:rsidR="00FA3414" w:rsidRPr="004E74A6" w:rsidRDefault="00FA3414" w:rsidP="00CE62C1">
            <w:pPr>
              <w:spacing w:line="276" w:lineRule="auto"/>
              <w:ind w:firstLineChars="100" w:firstLine="200"/>
              <w:jc w:val="left"/>
              <w:rPr>
                <w:rFonts w:cs="Calibri"/>
                <w:color w:val="000000"/>
                <w:sz w:val="20"/>
                <w:lang w:eastAsia="es-CR"/>
              </w:rPr>
            </w:pPr>
            <w:r w:rsidRPr="004E74A6">
              <w:rPr>
                <w:rFonts w:cs="Calibri"/>
                <w:color w:val="000000"/>
                <w:sz w:val="20"/>
                <w:lang w:eastAsia="es-CR"/>
              </w:rPr>
              <w:t>Procesos Otras Materias</w:t>
            </w:r>
          </w:p>
        </w:tc>
        <w:tc>
          <w:tcPr>
            <w:tcW w:w="600" w:type="pct"/>
            <w:tcBorders>
              <w:top w:val="nil"/>
              <w:left w:val="single" w:sz="4" w:space="0" w:color="auto"/>
              <w:bottom w:val="nil"/>
              <w:right w:val="single" w:sz="4" w:space="0" w:color="auto"/>
            </w:tcBorders>
            <w:shd w:val="clear" w:color="auto" w:fill="auto"/>
            <w:noWrap/>
            <w:vAlign w:val="center"/>
            <w:hideMark/>
          </w:tcPr>
          <w:p w14:paraId="623EF522" w14:textId="77777777" w:rsidR="00FA3414" w:rsidRPr="004E74A6" w:rsidRDefault="00FA3414" w:rsidP="00CE62C1">
            <w:pPr>
              <w:spacing w:line="276" w:lineRule="auto"/>
              <w:jc w:val="center"/>
              <w:rPr>
                <w:rFonts w:cs="Calibri"/>
                <w:color w:val="000000"/>
                <w:sz w:val="20"/>
                <w:lang w:eastAsia="es-CR"/>
              </w:rPr>
            </w:pPr>
            <w:r w:rsidRPr="004E74A6">
              <w:rPr>
                <w:rFonts w:cs="Calibri"/>
                <w:color w:val="000000"/>
                <w:sz w:val="20"/>
                <w:lang w:eastAsia="es-CR"/>
              </w:rPr>
              <w:t>7</w:t>
            </w:r>
          </w:p>
        </w:tc>
        <w:tc>
          <w:tcPr>
            <w:tcW w:w="600" w:type="pct"/>
            <w:tcBorders>
              <w:top w:val="nil"/>
              <w:left w:val="single" w:sz="4" w:space="0" w:color="auto"/>
              <w:bottom w:val="nil"/>
              <w:right w:val="single" w:sz="4" w:space="0" w:color="auto"/>
            </w:tcBorders>
            <w:shd w:val="clear" w:color="auto" w:fill="auto"/>
            <w:noWrap/>
            <w:vAlign w:val="center"/>
            <w:hideMark/>
          </w:tcPr>
          <w:p w14:paraId="244EFAC3" w14:textId="77777777" w:rsidR="00FA3414" w:rsidRPr="004E74A6" w:rsidRDefault="00FA3414" w:rsidP="00CE62C1">
            <w:pPr>
              <w:spacing w:line="276" w:lineRule="auto"/>
              <w:jc w:val="center"/>
              <w:rPr>
                <w:rFonts w:cs="Calibri"/>
                <w:color w:val="000000"/>
                <w:sz w:val="20"/>
                <w:lang w:eastAsia="es-CR"/>
              </w:rPr>
            </w:pPr>
            <w:r w:rsidRPr="004E74A6">
              <w:rPr>
                <w:rFonts w:cs="Calibri"/>
                <w:color w:val="000000"/>
                <w:sz w:val="20"/>
                <w:lang w:eastAsia="es-CR"/>
              </w:rPr>
              <w:t>4</w:t>
            </w:r>
          </w:p>
        </w:tc>
        <w:tc>
          <w:tcPr>
            <w:tcW w:w="600" w:type="pct"/>
            <w:tcBorders>
              <w:top w:val="nil"/>
              <w:left w:val="single" w:sz="4" w:space="0" w:color="auto"/>
              <w:bottom w:val="nil"/>
              <w:right w:val="single" w:sz="4" w:space="0" w:color="auto"/>
            </w:tcBorders>
            <w:shd w:val="clear" w:color="auto" w:fill="auto"/>
            <w:noWrap/>
            <w:vAlign w:val="center"/>
            <w:hideMark/>
          </w:tcPr>
          <w:p w14:paraId="04F6C36A" w14:textId="77777777" w:rsidR="00FA3414" w:rsidRPr="004E74A6" w:rsidRDefault="00FA3414" w:rsidP="00CE62C1">
            <w:pPr>
              <w:spacing w:line="276" w:lineRule="auto"/>
              <w:jc w:val="center"/>
              <w:rPr>
                <w:rFonts w:cs="Calibri"/>
                <w:color w:val="000000"/>
                <w:sz w:val="20"/>
                <w:lang w:eastAsia="es-CR"/>
              </w:rPr>
            </w:pPr>
            <w:r w:rsidRPr="004E74A6">
              <w:rPr>
                <w:rFonts w:cs="Calibri"/>
                <w:color w:val="000000"/>
                <w:sz w:val="20"/>
                <w:lang w:eastAsia="es-CR"/>
              </w:rPr>
              <w:t>6</w:t>
            </w:r>
          </w:p>
        </w:tc>
        <w:tc>
          <w:tcPr>
            <w:tcW w:w="800" w:type="pct"/>
            <w:tcBorders>
              <w:top w:val="nil"/>
              <w:left w:val="single" w:sz="4" w:space="0" w:color="auto"/>
              <w:bottom w:val="nil"/>
              <w:right w:val="nil"/>
            </w:tcBorders>
            <w:shd w:val="clear" w:color="auto" w:fill="auto"/>
            <w:noWrap/>
            <w:vAlign w:val="center"/>
            <w:hideMark/>
          </w:tcPr>
          <w:p w14:paraId="09B3724F" w14:textId="07AB2BEE" w:rsidR="00FA3414" w:rsidRPr="004E74A6" w:rsidRDefault="00FA3414" w:rsidP="00CE62C1">
            <w:pPr>
              <w:spacing w:line="276" w:lineRule="auto"/>
              <w:jc w:val="center"/>
              <w:rPr>
                <w:rFonts w:cs="Calibri"/>
                <w:color w:val="000000"/>
                <w:sz w:val="20"/>
                <w:lang w:eastAsia="es-CR"/>
              </w:rPr>
            </w:pPr>
            <w:r w:rsidRPr="004E74A6">
              <w:rPr>
                <w:rFonts w:cs="Calibri"/>
                <w:color w:val="000000"/>
                <w:sz w:val="20"/>
              </w:rPr>
              <w:t>6</w:t>
            </w:r>
          </w:p>
        </w:tc>
      </w:tr>
      <w:tr w:rsidR="00FA3414" w:rsidRPr="004E74A6" w14:paraId="2FA2D79F" w14:textId="77777777" w:rsidTr="00620C25">
        <w:trPr>
          <w:trHeight w:val="288"/>
          <w:jc w:val="center"/>
        </w:trPr>
        <w:tc>
          <w:tcPr>
            <w:tcW w:w="2399" w:type="pct"/>
            <w:tcBorders>
              <w:top w:val="nil"/>
              <w:left w:val="nil"/>
              <w:bottom w:val="nil"/>
              <w:right w:val="single" w:sz="4" w:space="0" w:color="auto"/>
            </w:tcBorders>
            <w:shd w:val="clear" w:color="auto" w:fill="auto"/>
            <w:noWrap/>
            <w:vAlign w:val="bottom"/>
            <w:hideMark/>
          </w:tcPr>
          <w:p w14:paraId="3CB688F9" w14:textId="77777777" w:rsidR="00FA3414" w:rsidRPr="004E74A6" w:rsidRDefault="00FA3414" w:rsidP="00CE62C1">
            <w:pPr>
              <w:spacing w:line="276" w:lineRule="auto"/>
              <w:ind w:firstLineChars="100" w:firstLine="200"/>
              <w:jc w:val="left"/>
              <w:rPr>
                <w:rFonts w:cs="Calibri"/>
                <w:color w:val="000000"/>
                <w:sz w:val="20"/>
                <w:lang w:eastAsia="es-CR"/>
              </w:rPr>
            </w:pPr>
            <w:r w:rsidRPr="004E74A6">
              <w:rPr>
                <w:rFonts w:cs="Calibri"/>
                <w:color w:val="000000"/>
                <w:sz w:val="20"/>
                <w:lang w:eastAsia="es-CR"/>
              </w:rPr>
              <w:t>Prueba Anticipada</w:t>
            </w:r>
          </w:p>
        </w:tc>
        <w:tc>
          <w:tcPr>
            <w:tcW w:w="600" w:type="pct"/>
            <w:tcBorders>
              <w:top w:val="nil"/>
              <w:left w:val="single" w:sz="4" w:space="0" w:color="auto"/>
              <w:bottom w:val="nil"/>
              <w:right w:val="single" w:sz="4" w:space="0" w:color="auto"/>
            </w:tcBorders>
            <w:shd w:val="clear" w:color="auto" w:fill="auto"/>
            <w:noWrap/>
            <w:vAlign w:val="center"/>
            <w:hideMark/>
          </w:tcPr>
          <w:p w14:paraId="41B17AEB" w14:textId="77777777" w:rsidR="00FA3414" w:rsidRPr="004E74A6" w:rsidRDefault="00FA3414" w:rsidP="00CE62C1">
            <w:pPr>
              <w:spacing w:line="276" w:lineRule="auto"/>
              <w:jc w:val="center"/>
              <w:rPr>
                <w:rFonts w:cs="Calibri"/>
                <w:color w:val="000000"/>
                <w:sz w:val="20"/>
                <w:lang w:eastAsia="es-CR"/>
              </w:rPr>
            </w:pPr>
            <w:r w:rsidRPr="004E74A6">
              <w:rPr>
                <w:rFonts w:cs="Calibri"/>
                <w:color w:val="000000"/>
                <w:sz w:val="20"/>
                <w:lang w:eastAsia="es-CR"/>
              </w:rPr>
              <w:t>33</w:t>
            </w:r>
          </w:p>
        </w:tc>
        <w:tc>
          <w:tcPr>
            <w:tcW w:w="600" w:type="pct"/>
            <w:tcBorders>
              <w:top w:val="nil"/>
              <w:left w:val="single" w:sz="4" w:space="0" w:color="auto"/>
              <w:bottom w:val="nil"/>
              <w:right w:val="single" w:sz="4" w:space="0" w:color="auto"/>
            </w:tcBorders>
            <w:shd w:val="clear" w:color="auto" w:fill="auto"/>
            <w:noWrap/>
            <w:vAlign w:val="center"/>
            <w:hideMark/>
          </w:tcPr>
          <w:p w14:paraId="50C567A1" w14:textId="77777777" w:rsidR="00FA3414" w:rsidRPr="004E74A6" w:rsidRDefault="00FA3414" w:rsidP="00CE62C1">
            <w:pPr>
              <w:spacing w:line="276" w:lineRule="auto"/>
              <w:jc w:val="center"/>
              <w:rPr>
                <w:rFonts w:cs="Calibri"/>
                <w:color w:val="000000"/>
                <w:sz w:val="20"/>
                <w:lang w:eastAsia="es-CR"/>
              </w:rPr>
            </w:pPr>
            <w:r w:rsidRPr="004E74A6">
              <w:rPr>
                <w:rFonts w:cs="Calibri"/>
                <w:color w:val="000000"/>
                <w:sz w:val="20"/>
                <w:lang w:eastAsia="es-CR"/>
              </w:rPr>
              <w:t>23</w:t>
            </w:r>
          </w:p>
        </w:tc>
        <w:tc>
          <w:tcPr>
            <w:tcW w:w="600" w:type="pct"/>
            <w:tcBorders>
              <w:top w:val="nil"/>
              <w:left w:val="single" w:sz="4" w:space="0" w:color="auto"/>
              <w:bottom w:val="nil"/>
              <w:right w:val="single" w:sz="4" w:space="0" w:color="auto"/>
            </w:tcBorders>
            <w:shd w:val="clear" w:color="auto" w:fill="auto"/>
            <w:noWrap/>
            <w:vAlign w:val="center"/>
            <w:hideMark/>
          </w:tcPr>
          <w:p w14:paraId="402578A9" w14:textId="77777777" w:rsidR="00FA3414" w:rsidRPr="004E74A6" w:rsidRDefault="00FA3414" w:rsidP="00CE62C1">
            <w:pPr>
              <w:spacing w:line="276" w:lineRule="auto"/>
              <w:jc w:val="center"/>
              <w:rPr>
                <w:rFonts w:cs="Calibri"/>
                <w:color w:val="000000"/>
                <w:sz w:val="20"/>
                <w:lang w:eastAsia="es-CR"/>
              </w:rPr>
            </w:pPr>
            <w:r w:rsidRPr="004E74A6">
              <w:rPr>
                <w:rFonts w:cs="Calibri"/>
                <w:color w:val="000000"/>
                <w:sz w:val="20"/>
                <w:lang w:eastAsia="es-CR"/>
              </w:rPr>
              <w:t>23</w:t>
            </w:r>
          </w:p>
        </w:tc>
        <w:tc>
          <w:tcPr>
            <w:tcW w:w="800" w:type="pct"/>
            <w:tcBorders>
              <w:top w:val="nil"/>
              <w:left w:val="single" w:sz="4" w:space="0" w:color="auto"/>
              <w:bottom w:val="nil"/>
              <w:right w:val="nil"/>
            </w:tcBorders>
            <w:shd w:val="clear" w:color="auto" w:fill="auto"/>
            <w:noWrap/>
            <w:vAlign w:val="center"/>
            <w:hideMark/>
          </w:tcPr>
          <w:p w14:paraId="7892B7D1" w14:textId="21BD1FFC" w:rsidR="00FA3414" w:rsidRPr="004E74A6" w:rsidRDefault="00FA3414" w:rsidP="00CE62C1">
            <w:pPr>
              <w:spacing w:line="276" w:lineRule="auto"/>
              <w:jc w:val="center"/>
              <w:rPr>
                <w:rFonts w:cs="Calibri"/>
                <w:color w:val="000000"/>
                <w:sz w:val="20"/>
                <w:lang w:eastAsia="es-CR"/>
              </w:rPr>
            </w:pPr>
            <w:r w:rsidRPr="004E74A6">
              <w:rPr>
                <w:rFonts w:cs="Calibri"/>
                <w:color w:val="000000"/>
                <w:sz w:val="20"/>
              </w:rPr>
              <w:t>26</w:t>
            </w:r>
          </w:p>
        </w:tc>
      </w:tr>
      <w:tr w:rsidR="00FA3414" w:rsidRPr="004E74A6" w14:paraId="7D8EA2E3" w14:textId="77777777" w:rsidTr="00620C25">
        <w:trPr>
          <w:trHeight w:val="288"/>
          <w:jc w:val="center"/>
        </w:trPr>
        <w:tc>
          <w:tcPr>
            <w:tcW w:w="2399" w:type="pct"/>
            <w:tcBorders>
              <w:top w:val="nil"/>
              <w:left w:val="nil"/>
              <w:bottom w:val="nil"/>
              <w:right w:val="single" w:sz="4" w:space="0" w:color="auto"/>
            </w:tcBorders>
            <w:shd w:val="clear" w:color="auto" w:fill="auto"/>
            <w:noWrap/>
            <w:vAlign w:val="bottom"/>
            <w:hideMark/>
          </w:tcPr>
          <w:p w14:paraId="1536AAA2" w14:textId="77777777" w:rsidR="00FA3414" w:rsidRPr="004E74A6" w:rsidRDefault="00FA3414" w:rsidP="00CE62C1">
            <w:pPr>
              <w:spacing w:line="276" w:lineRule="auto"/>
              <w:ind w:firstLineChars="100" w:firstLine="200"/>
              <w:jc w:val="left"/>
              <w:rPr>
                <w:rFonts w:cs="Calibri"/>
                <w:color w:val="000000"/>
                <w:sz w:val="20"/>
                <w:lang w:eastAsia="es-CR"/>
              </w:rPr>
            </w:pPr>
            <w:r w:rsidRPr="004E74A6">
              <w:rPr>
                <w:rFonts w:cs="Calibri"/>
                <w:color w:val="000000"/>
                <w:sz w:val="20"/>
                <w:lang w:eastAsia="es-CR"/>
              </w:rPr>
              <w:t>Revisión</w:t>
            </w:r>
          </w:p>
        </w:tc>
        <w:tc>
          <w:tcPr>
            <w:tcW w:w="600" w:type="pct"/>
            <w:tcBorders>
              <w:top w:val="nil"/>
              <w:left w:val="single" w:sz="4" w:space="0" w:color="auto"/>
              <w:bottom w:val="nil"/>
              <w:right w:val="single" w:sz="4" w:space="0" w:color="auto"/>
            </w:tcBorders>
            <w:shd w:val="clear" w:color="auto" w:fill="auto"/>
            <w:noWrap/>
            <w:vAlign w:val="center"/>
            <w:hideMark/>
          </w:tcPr>
          <w:p w14:paraId="6D3CC158" w14:textId="77777777" w:rsidR="00FA3414" w:rsidRPr="004E74A6" w:rsidRDefault="00FA3414" w:rsidP="00CE62C1">
            <w:pPr>
              <w:spacing w:line="276" w:lineRule="auto"/>
              <w:jc w:val="center"/>
              <w:rPr>
                <w:sz w:val="20"/>
                <w:lang w:eastAsia="es-CR"/>
              </w:rPr>
            </w:pPr>
          </w:p>
        </w:tc>
        <w:tc>
          <w:tcPr>
            <w:tcW w:w="600" w:type="pct"/>
            <w:tcBorders>
              <w:top w:val="nil"/>
              <w:left w:val="single" w:sz="4" w:space="0" w:color="auto"/>
              <w:bottom w:val="nil"/>
              <w:right w:val="single" w:sz="4" w:space="0" w:color="auto"/>
            </w:tcBorders>
            <w:shd w:val="clear" w:color="auto" w:fill="auto"/>
            <w:noWrap/>
            <w:vAlign w:val="center"/>
            <w:hideMark/>
          </w:tcPr>
          <w:p w14:paraId="4ED24B86" w14:textId="77777777" w:rsidR="00FA3414" w:rsidRPr="004E74A6" w:rsidRDefault="00FA3414" w:rsidP="00CE62C1">
            <w:pPr>
              <w:spacing w:line="276" w:lineRule="auto"/>
              <w:jc w:val="center"/>
              <w:rPr>
                <w:rFonts w:cs="Calibri"/>
                <w:color w:val="000000"/>
                <w:sz w:val="20"/>
                <w:lang w:eastAsia="es-CR"/>
              </w:rPr>
            </w:pPr>
            <w:r w:rsidRPr="004E74A6">
              <w:rPr>
                <w:rFonts w:cs="Calibri"/>
                <w:color w:val="000000"/>
                <w:sz w:val="20"/>
                <w:lang w:eastAsia="es-CR"/>
              </w:rPr>
              <w:t>1</w:t>
            </w:r>
          </w:p>
        </w:tc>
        <w:tc>
          <w:tcPr>
            <w:tcW w:w="600" w:type="pct"/>
            <w:tcBorders>
              <w:top w:val="nil"/>
              <w:left w:val="single" w:sz="4" w:space="0" w:color="auto"/>
              <w:bottom w:val="nil"/>
              <w:right w:val="single" w:sz="4" w:space="0" w:color="auto"/>
            </w:tcBorders>
            <w:shd w:val="clear" w:color="auto" w:fill="auto"/>
            <w:noWrap/>
            <w:vAlign w:val="center"/>
            <w:hideMark/>
          </w:tcPr>
          <w:p w14:paraId="74A82593" w14:textId="77777777" w:rsidR="00FA3414" w:rsidRPr="004E74A6" w:rsidRDefault="00FA3414" w:rsidP="00CE62C1">
            <w:pPr>
              <w:spacing w:line="276" w:lineRule="auto"/>
              <w:jc w:val="center"/>
              <w:rPr>
                <w:rFonts w:cs="Calibri"/>
                <w:color w:val="000000"/>
                <w:sz w:val="20"/>
                <w:lang w:eastAsia="es-CR"/>
              </w:rPr>
            </w:pPr>
          </w:p>
        </w:tc>
        <w:tc>
          <w:tcPr>
            <w:tcW w:w="800" w:type="pct"/>
            <w:tcBorders>
              <w:top w:val="nil"/>
              <w:left w:val="single" w:sz="4" w:space="0" w:color="auto"/>
              <w:bottom w:val="nil"/>
              <w:right w:val="nil"/>
            </w:tcBorders>
            <w:shd w:val="clear" w:color="auto" w:fill="auto"/>
            <w:noWrap/>
            <w:vAlign w:val="center"/>
            <w:hideMark/>
          </w:tcPr>
          <w:p w14:paraId="71B666B2" w14:textId="39BABADA" w:rsidR="00FA3414" w:rsidRPr="004E74A6" w:rsidRDefault="00FA3414" w:rsidP="00CE62C1">
            <w:pPr>
              <w:spacing w:line="276" w:lineRule="auto"/>
              <w:jc w:val="center"/>
              <w:rPr>
                <w:rFonts w:cs="Calibri"/>
                <w:color w:val="000000"/>
                <w:sz w:val="20"/>
                <w:lang w:eastAsia="es-CR"/>
              </w:rPr>
            </w:pPr>
            <w:r w:rsidRPr="004E74A6">
              <w:rPr>
                <w:rFonts w:cs="Calibri"/>
                <w:color w:val="000000"/>
                <w:sz w:val="20"/>
              </w:rPr>
              <w:t>1</w:t>
            </w:r>
          </w:p>
        </w:tc>
      </w:tr>
      <w:tr w:rsidR="00FA3414" w:rsidRPr="004E74A6" w14:paraId="590490C6" w14:textId="77777777" w:rsidTr="00620C25">
        <w:trPr>
          <w:trHeight w:val="288"/>
          <w:jc w:val="center"/>
        </w:trPr>
        <w:tc>
          <w:tcPr>
            <w:tcW w:w="2399" w:type="pct"/>
            <w:tcBorders>
              <w:top w:val="nil"/>
              <w:left w:val="nil"/>
              <w:bottom w:val="nil"/>
              <w:right w:val="single" w:sz="4" w:space="0" w:color="auto"/>
            </w:tcBorders>
            <w:shd w:val="clear" w:color="auto" w:fill="auto"/>
            <w:noWrap/>
            <w:vAlign w:val="bottom"/>
            <w:hideMark/>
          </w:tcPr>
          <w:p w14:paraId="640BD1C7" w14:textId="77777777" w:rsidR="00FA3414" w:rsidRPr="004E74A6" w:rsidRDefault="00FA3414" w:rsidP="00CE62C1">
            <w:pPr>
              <w:spacing w:line="276" w:lineRule="auto"/>
              <w:ind w:firstLineChars="100" w:firstLine="200"/>
              <w:jc w:val="left"/>
              <w:rPr>
                <w:rFonts w:cs="Calibri"/>
                <w:color w:val="000000"/>
                <w:sz w:val="20"/>
                <w:lang w:eastAsia="es-CR"/>
              </w:rPr>
            </w:pPr>
            <w:r w:rsidRPr="004E74A6">
              <w:rPr>
                <w:rFonts w:cs="Calibri"/>
                <w:color w:val="000000"/>
                <w:sz w:val="20"/>
                <w:lang w:eastAsia="es-CR"/>
              </w:rPr>
              <w:t>Sucesorio</w:t>
            </w:r>
          </w:p>
        </w:tc>
        <w:tc>
          <w:tcPr>
            <w:tcW w:w="600" w:type="pct"/>
            <w:tcBorders>
              <w:top w:val="nil"/>
              <w:left w:val="single" w:sz="4" w:space="0" w:color="auto"/>
              <w:bottom w:val="nil"/>
              <w:right w:val="single" w:sz="4" w:space="0" w:color="auto"/>
            </w:tcBorders>
            <w:shd w:val="clear" w:color="auto" w:fill="auto"/>
            <w:noWrap/>
            <w:vAlign w:val="center"/>
            <w:hideMark/>
          </w:tcPr>
          <w:p w14:paraId="347BAE1D" w14:textId="77777777" w:rsidR="00FA3414" w:rsidRPr="004E74A6" w:rsidRDefault="00FA3414" w:rsidP="00CE62C1">
            <w:pPr>
              <w:spacing w:line="276" w:lineRule="auto"/>
              <w:jc w:val="center"/>
              <w:rPr>
                <w:rFonts w:cs="Calibri"/>
                <w:color w:val="000000"/>
                <w:sz w:val="20"/>
                <w:lang w:eastAsia="es-CR"/>
              </w:rPr>
            </w:pPr>
            <w:r w:rsidRPr="004E74A6">
              <w:rPr>
                <w:rFonts w:cs="Calibri"/>
                <w:color w:val="000000"/>
                <w:sz w:val="20"/>
                <w:lang w:eastAsia="es-CR"/>
              </w:rPr>
              <w:t>2</w:t>
            </w:r>
          </w:p>
        </w:tc>
        <w:tc>
          <w:tcPr>
            <w:tcW w:w="600" w:type="pct"/>
            <w:tcBorders>
              <w:top w:val="nil"/>
              <w:left w:val="single" w:sz="4" w:space="0" w:color="auto"/>
              <w:bottom w:val="nil"/>
              <w:right w:val="single" w:sz="4" w:space="0" w:color="auto"/>
            </w:tcBorders>
            <w:shd w:val="clear" w:color="auto" w:fill="auto"/>
            <w:noWrap/>
            <w:vAlign w:val="center"/>
            <w:hideMark/>
          </w:tcPr>
          <w:p w14:paraId="07D35AD1" w14:textId="77777777" w:rsidR="00FA3414" w:rsidRPr="004E74A6" w:rsidRDefault="00FA3414" w:rsidP="00CE62C1">
            <w:pPr>
              <w:spacing w:line="276" w:lineRule="auto"/>
              <w:jc w:val="center"/>
              <w:rPr>
                <w:rFonts w:cs="Calibri"/>
                <w:color w:val="000000"/>
                <w:sz w:val="20"/>
                <w:lang w:eastAsia="es-CR"/>
              </w:rPr>
            </w:pPr>
            <w:r w:rsidRPr="004E74A6">
              <w:rPr>
                <w:rFonts w:cs="Calibri"/>
                <w:color w:val="000000"/>
                <w:sz w:val="20"/>
                <w:lang w:eastAsia="es-CR"/>
              </w:rPr>
              <w:t>1</w:t>
            </w:r>
          </w:p>
        </w:tc>
        <w:tc>
          <w:tcPr>
            <w:tcW w:w="600" w:type="pct"/>
            <w:tcBorders>
              <w:top w:val="nil"/>
              <w:left w:val="single" w:sz="4" w:space="0" w:color="auto"/>
              <w:bottom w:val="nil"/>
              <w:right w:val="single" w:sz="4" w:space="0" w:color="auto"/>
            </w:tcBorders>
            <w:shd w:val="clear" w:color="auto" w:fill="auto"/>
            <w:noWrap/>
            <w:vAlign w:val="center"/>
            <w:hideMark/>
          </w:tcPr>
          <w:p w14:paraId="524FB3F4" w14:textId="77777777" w:rsidR="00FA3414" w:rsidRPr="004E74A6" w:rsidRDefault="00FA3414" w:rsidP="00CE62C1">
            <w:pPr>
              <w:spacing w:line="276" w:lineRule="auto"/>
              <w:jc w:val="center"/>
              <w:rPr>
                <w:rFonts w:cs="Calibri"/>
                <w:color w:val="000000"/>
                <w:sz w:val="20"/>
                <w:lang w:eastAsia="es-CR"/>
              </w:rPr>
            </w:pPr>
          </w:p>
        </w:tc>
        <w:tc>
          <w:tcPr>
            <w:tcW w:w="800" w:type="pct"/>
            <w:tcBorders>
              <w:top w:val="nil"/>
              <w:left w:val="single" w:sz="4" w:space="0" w:color="auto"/>
              <w:bottom w:val="nil"/>
              <w:right w:val="nil"/>
            </w:tcBorders>
            <w:shd w:val="clear" w:color="auto" w:fill="auto"/>
            <w:noWrap/>
            <w:vAlign w:val="center"/>
            <w:hideMark/>
          </w:tcPr>
          <w:p w14:paraId="56B7820A" w14:textId="2E91A4FB" w:rsidR="00FA3414" w:rsidRPr="004E74A6" w:rsidRDefault="00FA3414" w:rsidP="00CE62C1">
            <w:pPr>
              <w:spacing w:line="276" w:lineRule="auto"/>
              <w:jc w:val="center"/>
              <w:rPr>
                <w:rFonts w:cs="Calibri"/>
                <w:color w:val="000000"/>
                <w:sz w:val="20"/>
                <w:lang w:eastAsia="es-CR"/>
              </w:rPr>
            </w:pPr>
            <w:r w:rsidRPr="004E74A6">
              <w:rPr>
                <w:rFonts w:cs="Calibri"/>
                <w:color w:val="000000"/>
                <w:sz w:val="20"/>
              </w:rPr>
              <w:t>2</w:t>
            </w:r>
          </w:p>
        </w:tc>
      </w:tr>
      <w:tr w:rsidR="00FA3414" w:rsidRPr="004E74A6" w14:paraId="5009B980" w14:textId="77777777" w:rsidTr="00620C25">
        <w:trPr>
          <w:trHeight w:val="288"/>
          <w:jc w:val="center"/>
        </w:trPr>
        <w:tc>
          <w:tcPr>
            <w:tcW w:w="2399" w:type="pct"/>
            <w:tcBorders>
              <w:top w:val="nil"/>
              <w:left w:val="nil"/>
              <w:right w:val="single" w:sz="4" w:space="0" w:color="auto"/>
            </w:tcBorders>
            <w:shd w:val="clear" w:color="auto" w:fill="auto"/>
            <w:noWrap/>
            <w:vAlign w:val="bottom"/>
            <w:hideMark/>
          </w:tcPr>
          <w:p w14:paraId="1F32DF49" w14:textId="77777777" w:rsidR="00FA3414" w:rsidRPr="004E74A6" w:rsidRDefault="00FA3414" w:rsidP="00CE62C1">
            <w:pPr>
              <w:spacing w:line="276" w:lineRule="auto"/>
              <w:ind w:firstLineChars="100" w:firstLine="200"/>
              <w:jc w:val="left"/>
              <w:rPr>
                <w:rFonts w:cs="Calibri"/>
                <w:color w:val="000000"/>
                <w:sz w:val="20"/>
                <w:lang w:eastAsia="es-CR"/>
              </w:rPr>
            </w:pPr>
            <w:r w:rsidRPr="004E74A6">
              <w:rPr>
                <w:rFonts w:cs="Calibri"/>
                <w:color w:val="000000"/>
                <w:sz w:val="20"/>
                <w:lang w:eastAsia="es-CR"/>
              </w:rPr>
              <w:t>Sumario</w:t>
            </w:r>
          </w:p>
        </w:tc>
        <w:tc>
          <w:tcPr>
            <w:tcW w:w="600" w:type="pct"/>
            <w:tcBorders>
              <w:top w:val="nil"/>
              <w:left w:val="single" w:sz="4" w:space="0" w:color="auto"/>
              <w:right w:val="single" w:sz="4" w:space="0" w:color="auto"/>
            </w:tcBorders>
            <w:shd w:val="clear" w:color="auto" w:fill="auto"/>
            <w:noWrap/>
            <w:vAlign w:val="center"/>
            <w:hideMark/>
          </w:tcPr>
          <w:p w14:paraId="7DACC7CF" w14:textId="77777777" w:rsidR="00FA3414" w:rsidRPr="004E74A6" w:rsidRDefault="00FA3414" w:rsidP="00CE62C1">
            <w:pPr>
              <w:spacing w:line="276" w:lineRule="auto"/>
              <w:jc w:val="center"/>
              <w:rPr>
                <w:rFonts w:cs="Calibri"/>
                <w:color w:val="000000"/>
                <w:sz w:val="20"/>
                <w:lang w:eastAsia="es-CR"/>
              </w:rPr>
            </w:pPr>
            <w:r w:rsidRPr="004E74A6">
              <w:rPr>
                <w:rFonts w:cs="Calibri"/>
                <w:color w:val="000000"/>
                <w:sz w:val="20"/>
                <w:lang w:eastAsia="es-CR"/>
              </w:rPr>
              <w:t>6</w:t>
            </w:r>
          </w:p>
        </w:tc>
        <w:tc>
          <w:tcPr>
            <w:tcW w:w="600" w:type="pct"/>
            <w:tcBorders>
              <w:top w:val="nil"/>
              <w:left w:val="single" w:sz="4" w:space="0" w:color="auto"/>
              <w:right w:val="single" w:sz="4" w:space="0" w:color="auto"/>
            </w:tcBorders>
            <w:shd w:val="clear" w:color="auto" w:fill="auto"/>
            <w:noWrap/>
            <w:vAlign w:val="center"/>
            <w:hideMark/>
          </w:tcPr>
          <w:p w14:paraId="687A5DA9" w14:textId="77777777" w:rsidR="00FA3414" w:rsidRPr="004E74A6" w:rsidRDefault="00FA3414" w:rsidP="00CE62C1">
            <w:pPr>
              <w:spacing w:line="276" w:lineRule="auto"/>
              <w:jc w:val="center"/>
              <w:rPr>
                <w:rFonts w:cs="Calibri"/>
                <w:color w:val="000000"/>
                <w:sz w:val="20"/>
                <w:lang w:eastAsia="es-CR"/>
              </w:rPr>
            </w:pPr>
            <w:r w:rsidRPr="004E74A6">
              <w:rPr>
                <w:rFonts w:cs="Calibri"/>
                <w:color w:val="000000"/>
                <w:sz w:val="20"/>
                <w:lang w:eastAsia="es-CR"/>
              </w:rPr>
              <w:t>4</w:t>
            </w:r>
          </w:p>
        </w:tc>
        <w:tc>
          <w:tcPr>
            <w:tcW w:w="600" w:type="pct"/>
            <w:tcBorders>
              <w:top w:val="nil"/>
              <w:left w:val="single" w:sz="4" w:space="0" w:color="auto"/>
              <w:right w:val="single" w:sz="4" w:space="0" w:color="auto"/>
            </w:tcBorders>
            <w:shd w:val="clear" w:color="auto" w:fill="auto"/>
            <w:noWrap/>
            <w:vAlign w:val="center"/>
            <w:hideMark/>
          </w:tcPr>
          <w:p w14:paraId="39681A33" w14:textId="77777777" w:rsidR="00FA3414" w:rsidRPr="004E74A6" w:rsidRDefault="00FA3414" w:rsidP="00CE62C1">
            <w:pPr>
              <w:spacing w:line="276" w:lineRule="auto"/>
              <w:jc w:val="center"/>
              <w:rPr>
                <w:rFonts w:cs="Calibri"/>
                <w:color w:val="000000"/>
                <w:sz w:val="20"/>
                <w:lang w:eastAsia="es-CR"/>
              </w:rPr>
            </w:pPr>
            <w:r w:rsidRPr="004E74A6">
              <w:rPr>
                <w:rFonts w:cs="Calibri"/>
                <w:color w:val="000000"/>
                <w:sz w:val="20"/>
                <w:lang w:eastAsia="es-CR"/>
              </w:rPr>
              <w:t>3</w:t>
            </w:r>
          </w:p>
        </w:tc>
        <w:tc>
          <w:tcPr>
            <w:tcW w:w="800" w:type="pct"/>
            <w:tcBorders>
              <w:top w:val="nil"/>
              <w:left w:val="single" w:sz="4" w:space="0" w:color="auto"/>
              <w:right w:val="nil"/>
            </w:tcBorders>
            <w:shd w:val="clear" w:color="auto" w:fill="auto"/>
            <w:noWrap/>
            <w:vAlign w:val="center"/>
            <w:hideMark/>
          </w:tcPr>
          <w:p w14:paraId="69C1EF64" w14:textId="6B27861C" w:rsidR="00FA3414" w:rsidRPr="004E74A6" w:rsidRDefault="00FA3414" w:rsidP="00CE62C1">
            <w:pPr>
              <w:spacing w:line="276" w:lineRule="auto"/>
              <w:jc w:val="center"/>
              <w:rPr>
                <w:rFonts w:cs="Calibri"/>
                <w:color w:val="000000"/>
                <w:sz w:val="20"/>
                <w:lang w:eastAsia="es-CR"/>
              </w:rPr>
            </w:pPr>
            <w:r w:rsidRPr="004E74A6">
              <w:rPr>
                <w:rFonts w:cs="Calibri"/>
                <w:color w:val="000000"/>
                <w:sz w:val="20"/>
              </w:rPr>
              <w:t>4</w:t>
            </w:r>
          </w:p>
        </w:tc>
      </w:tr>
      <w:tr w:rsidR="00620C25" w:rsidRPr="004E74A6" w14:paraId="4D3A1F1E" w14:textId="77777777" w:rsidTr="00620C25">
        <w:trPr>
          <w:trHeight w:val="288"/>
          <w:jc w:val="center"/>
        </w:trPr>
        <w:tc>
          <w:tcPr>
            <w:tcW w:w="2399" w:type="pct"/>
            <w:tcBorders>
              <w:top w:val="nil"/>
              <w:left w:val="nil"/>
              <w:bottom w:val="single" w:sz="4" w:space="0" w:color="auto"/>
              <w:right w:val="single" w:sz="4" w:space="0" w:color="auto"/>
            </w:tcBorders>
            <w:shd w:val="clear" w:color="auto" w:fill="auto"/>
            <w:noWrap/>
            <w:vAlign w:val="bottom"/>
          </w:tcPr>
          <w:p w14:paraId="201E4C1A" w14:textId="77777777" w:rsidR="008647ED" w:rsidRPr="004E74A6" w:rsidRDefault="008647ED" w:rsidP="00CE62C1">
            <w:pPr>
              <w:spacing w:line="276" w:lineRule="auto"/>
              <w:ind w:firstLineChars="100" w:firstLine="200"/>
              <w:jc w:val="left"/>
              <w:rPr>
                <w:rFonts w:cs="Calibri"/>
                <w:color w:val="000000"/>
                <w:sz w:val="20"/>
                <w:lang w:eastAsia="es-CR"/>
              </w:rPr>
            </w:pPr>
          </w:p>
        </w:tc>
        <w:tc>
          <w:tcPr>
            <w:tcW w:w="600" w:type="pct"/>
            <w:tcBorders>
              <w:top w:val="nil"/>
              <w:left w:val="single" w:sz="4" w:space="0" w:color="auto"/>
              <w:bottom w:val="single" w:sz="4" w:space="0" w:color="auto"/>
              <w:right w:val="single" w:sz="4" w:space="0" w:color="auto"/>
            </w:tcBorders>
            <w:shd w:val="clear" w:color="auto" w:fill="auto"/>
            <w:noWrap/>
            <w:vAlign w:val="center"/>
          </w:tcPr>
          <w:p w14:paraId="455A4ACD" w14:textId="77777777" w:rsidR="008647ED" w:rsidRPr="004E74A6" w:rsidRDefault="008647ED" w:rsidP="00CE62C1">
            <w:pPr>
              <w:spacing w:line="276" w:lineRule="auto"/>
              <w:jc w:val="center"/>
              <w:rPr>
                <w:rFonts w:cs="Calibri"/>
                <w:color w:val="000000"/>
                <w:sz w:val="20"/>
                <w:lang w:eastAsia="es-CR"/>
              </w:rPr>
            </w:pPr>
          </w:p>
        </w:tc>
        <w:tc>
          <w:tcPr>
            <w:tcW w:w="600" w:type="pct"/>
            <w:tcBorders>
              <w:top w:val="nil"/>
              <w:left w:val="single" w:sz="4" w:space="0" w:color="auto"/>
              <w:bottom w:val="single" w:sz="4" w:space="0" w:color="auto"/>
              <w:right w:val="single" w:sz="4" w:space="0" w:color="auto"/>
            </w:tcBorders>
            <w:shd w:val="clear" w:color="auto" w:fill="auto"/>
            <w:noWrap/>
            <w:vAlign w:val="center"/>
          </w:tcPr>
          <w:p w14:paraId="33F46DA5" w14:textId="77777777" w:rsidR="008647ED" w:rsidRPr="004E74A6" w:rsidRDefault="008647ED" w:rsidP="00CE62C1">
            <w:pPr>
              <w:spacing w:line="276" w:lineRule="auto"/>
              <w:jc w:val="center"/>
              <w:rPr>
                <w:rFonts w:cs="Calibri"/>
                <w:color w:val="000000"/>
                <w:sz w:val="20"/>
                <w:lang w:eastAsia="es-CR"/>
              </w:rPr>
            </w:pPr>
          </w:p>
        </w:tc>
        <w:tc>
          <w:tcPr>
            <w:tcW w:w="600" w:type="pct"/>
            <w:tcBorders>
              <w:top w:val="nil"/>
              <w:left w:val="single" w:sz="4" w:space="0" w:color="auto"/>
              <w:bottom w:val="single" w:sz="4" w:space="0" w:color="auto"/>
              <w:right w:val="single" w:sz="4" w:space="0" w:color="auto"/>
            </w:tcBorders>
            <w:shd w:val="clear" w:color="auto" w:fill="auto"/>
            <w:noWrap/>
            <w:vAlign w:val="center"/>
          </w:tcPr>
          <w:p w14:paraId="431F1E3F" w14:textId="77777777" w:rsidR="008647ED" w:rsidRPr="004E74A6" w:rsidRDefault="008647ED" w:rsidP="00CE62C1">
            <w:pPr>
              <w:spacing w:line="276" w:lineRule="auto"/>
              <w:jc w:val="center"/>
              <w:rPr>
                <w:rFonts w:cs="Calibri"/>
                <w:color w:val="000000"/>
                <w:sz w:val="20"/>
                <w:lang w:eastAsia="es-CR"/>
              </w:rPr>
            </w:pPr>
          </w:p>
        </w:tc>
        <w:tc>
          <w:tcPr>
            <w:tcW w:w="800" w:type="pct"/>
            <w:tcBorders>
              <w:top w:val="nil"/>
              <w:left w:val="single" w:sz="4" w:space="0" w:color="auto"/>
              <w:bottom w:val="single" w:sz="4" w:space="0" w:color="auto"/>
              <w:right w:val="nil"/>
            </w:tcBorders>
            <w:shd w:val="clear" w:color="auto" w:fill="auto"/>
            <w:noWrap/>
            <w:vAlign w:val="center"/>
          </w:tcPr>
          <w:p w14:paraId="1BD81F6B" w14:textId="77777777" w:rsidR="008647ED" w:rsidRPr="004E74A6" w:rsidRDefault="008647ED" w:rsidP="00CE62C1">
            <w:pPr>
              <w:spacing w:line="276" w:lineRule="auto"/>
              <w:jc w:val="center"/>
              <w:rPr>
                <w:rFonts w:cs="Calibri"/>
                <w:color w:val="000000"/>
                <w:sz w:val="20"/>
                <w:lang w:eastAsia="es-CR"/>
              </w:rPr>
            </w:pPr>
          </w:p>
        </w:tc>
      </w:tr>
    </w:tbl>
    <w:p w14:paraId="001BB8CF" w14:textId="77777777" w:rsidR="003E4755" w:rsidRPr="004E74A6" w:rsidRDefault="003E4755" w:rsidP="00832773">
      <w:pPr>
        <w:spacing w:line="276" w:lineRule="auto"/>
        <w:ind w:left="964" w:right="964"/>
        <w:rPr>
          <w:rFonts w:cs="Calibri"/>
          <w:i/>
          <w:iCs/>
          <w:color w:val="000000"/>
          <w:sz w:val="20"/>
          <w:lang w:eastAsia="es-CR"/>
        </w:rPr>
      </w:pPr>
      <w:r w:rsidRPr="004E74A6">
        <w:rPr>
          <w:rFonts w:cs="Calibri"/>
          <w:b/>
          <w:bCs/>
          <w:i/>
          <w:iCs/>
          <w:color w:val="000000"/>
          <w:sz w:val="20"/>
          <w:lang w:eastAsia="es-CR"/>
        </w:rPr>
        <w:t>Fuente</w:t>
      </w:r>
      <w:r w:rsidRPr="004E74A6">
        <w:rPr>
          <w:rFonts w:cs="Calibri"/>
          <w:i/>
          <w:iCs/>
          <w:color w:val="000000"/>
          <w:sz w:val="20"/>
          <w:lang w:eastAsia="es-CR"/>
        </w:rPr>
        <w:t>: Subproceso de Modernización Institucional con datos extraídos del sistema SIGMA, Dirección de Planificación.</w:t>
      </w:r>
    </w:p>
    <w:p w14:paraId="49C8942B" w14:textId="77777777" w:rsidR="008647ED" w:rsidRPr="004E74A6" w:rsidRDefault="008647ED" w:rsidP="00CE62C1">
      <w:pPr>
        <w:spacing w:after="160" w:line="276" w:lineRule="auto"/>
        <w:rPr>
          <w:rFonts w:cs="Calibri"/>
          <w:color w:val="000000"/>
          <w:szCs w:val="24"/>
          <w:lang w:eastAsia="es-CR"/>
        </w:rPr>
      </w:pPr>
    </w:p>
    <w:p w14:paraId="52061AA1" w14:textId="77777777" w:rsidR="00194F64" w:rsidRDefault="00194F64" w:rsidP="00CE62C1">
      <w:pPr>
        <w:spacing w:after="160" w:line="276" w:lineRule="auto"/>
        <w:rPr>
          <w:rFonts w:cs="Calibri"/>
          <w:color w:val="000000"/>
          <w:szCs w:val="24"/>
          <w:lang w:eastAsia="es-CR"/>
        </w:rPr>
      </w:pPr>
    </w:p>
    <w:p w14:paraId="4538A650" w14:textId="77777777" w:rsidR="00194F64" w:rsidRDefault="00194F64" w:rsidP="00CE62C1">
      <w:pPr>
        <w:spacing w:after="160" w:line="276" w:lineRule="auto"/>
        <w:rPr>
          <w:rFonts w:cs="Calibri"/>
          <w:color w:val="000000"/>
          <w:szCs w:val="24"/>
          <w:lang w:eastAsia="es-CR"/>
        </w:rPr>
      </w:pPr>
    </w:p>
    <w:p w14:paraId="2A015815" w14:textId="77777777" w:rsidR="00194F64" w:rsidRDefault="00194F64" w:rsidP="00CE62C1">
      <w:pPr>
        <w:spacing w:after="160" w:line="276" w:lineRule="auto"/>
        <w:rPr>
          <w:rFonts w:cs="Calibri"/>
          <w:color w:val="000000"/>
          <w:szCs w:val="24"/>
          <w:lang w:eastAsia="es-CR"/>
        </w:rPr>
      </w:pPr>
    </w:p>
    <w:p w14:paraId="6D844E28" w14:textId="77777777" w:rsidR="00194F64" w:rsidRDefault="00194F64" w:rsidP="00CE62C1">
      <w:pPr>
        <w:spacing w:after="160" w:line="276" w:lineRule="auto"/>
        <w:rPr>
          <w:rFonts w:cs="Calibri"/>
          <w:color w:val="000000"/>
          <w:szCs w:val="24"/>
          <w:lang w:eastAsia="es-CR"/>
        </w:rPr>
      </w:pPr>
    </w:p>
    <w:p w14:paraId="1C240589" w14:textId="77777777" w:rsidR="00194F64" w:rsidRDefault="00194F64" w:rsidP="00CE62C1">
      <w:pPr>
        <w:spacing w:after="160" w:line="276" w:lineRule="auto"/>
        <w:rPr>
          <w:rFonts w:cs="Calibri"/>
          <w:color w:val="000000"/>
          <w:szCs w:val="24"/>
          <w:lang w:eastAsia="es-CR"/>
        </w:rPr>
      </w:pPr>
    </w:p>
    <w:p w14:paraId="408C9650" w14:textId="2CF5208D" w:rsidR="008647ED" w:rsidRDefault="005526E8" w:rsidP="00CE62C1">
      <w:pPr>
        <w:spacing w:after="160" w:line="276" w:lineRule="auto"/>
        <w:rPr>
          <w:rFonts w:cs="Calibri"/>
          <w:color w:val="000000"/>
          <w:szCs w:val="24"/>
          <w:lang w:eastAsia="es-CR"/>
        </w:rPr>
      </w:pPr>
      <w:r w:rsidRPr="004E74A6">
        <w:rPr>
          <w:rFonts w:cs="Calibri"/>
          <w:color w:val="000000"/>
          <w:szCs w:val="24"/>
          <w:lang w:eastAsia="es-CR"/>
        </w:rPr>
        <w:lastRenderedPageBreak/>
        <w:t xml:space="preserve">A </w:t>
      </w:r>
      <w:r w:rsidR="00F03C09" w:rsidRPr="004E74A6">
        <w:rPr>
          <w:rFonts w:cs="Calibri"/>
          <w:color w:val="000000"/>
          <w:szCs w:val="24"/>
          <w:lang w:eastAsia="es-CR"/>
        </w:rPr>
        <w:t>continuación,</w:t>
      </w:r>
      <w:r w:rsidRPr="004E74A6">
        <w:rPr>
          <w:rFonts w:cs="Calibri"/>
          <w:color w:val="000000"/>
          <w:szCs w:val="24"/>
          <w:lang w:eastAsia="es-CR"/>
        </w:rPr>
        <w:t xml:space="preserve"> se detallan los procedimientos asociados a los</w:t>
      </w:r>
      <w:r w:rsidR="009D159C" w:rsidRPr="004E74A6">
        <w:rPr>
          <w:rFonts w:cs="Calibri"/>
          <w:color w:val="000000"/>
          <w:szCs w:val="24"/>
          <w:lang w:eastAsia="es-CR"/>
        </w:rPr>
        <w:t xml:space="preserve"> 333</w:t>
      </w:r>
      <w:r w:rsidRPr="004E74A6">
        <w:rPr>
          <w:rFonts w:cs="Calibri"/>
          <w:color w:val="000000"/>
          <w:szCs w:val="24"/>
          <w:lang w:eastAsia="es-CR"/>
        </w:rPr>
        <w:t xml:space="preserve"> asuntos principales con clase “</w:t>
      </w:r>
      <w:r w:rsidRPr="004E74A6">
        <w:rPr>
          <w:rFonts w:cs="Calibri"/>
          <w:i/>
          <w:iCs/>
          <w:color w:val="000000"/>
          <w:szCs w:val="24"/>
          <w:lang w:eastAsia="es-CR"/>
        </w:rPr>
        <w:t>ordinario</w:t>
      </w:r>
      <w:r w:rsidRPr="004E74A6">
        <w:rPr>
          <w:rFonts w:cs="Calibri"/>
          <w:color w:val="000000"/>
          <w:szCs w:val="24"/>
          <w:lang w:eastAsia="es-CR"/>
        </w:rPr>
        <w:t>”:</w:t>
      </w:r>
    </w:p>
    <w:p w14:paraId="52EE9B83" w14:textId="77777777" w:rsidR="00194F64" w:rsidRPr="004E74A6" w:rsidRDefault="00194F64" w:rsidP="00CE62C1">
      <w:pPr>
        <w:spacing w:after="160" w:line="276" w:lineRule="auto"/>
        <w:rPr>
          <w:rFonts w:cs="Calibri"/>
          <w:color w:val="000000"/>
          <w:szCs w:val="24"/>
          <w:lang w:eastAsia="es-CR"/>
        </w:rPr>
      </w:pPr>
    </w:p>
    <w:p w14:paraId="33A8260C" w14:textId="1BAB2EEF" w:rsidR="00772BDB" w:rsidRPr="00832773" w:rsidRDefault="00772BDB" w:rsidP="00F0204A">
      <w:pPr>
        <w:pStyle w:val="Descripcin"/>
        <w:keepNext/>
        <w:spacing w:line="276" w:lineRule="auto"/>
        <w:jc w:val="center"/>
        <w:rPr>
          <w:rFonts w:ascii="Book Antiqua" w:hAnsi="Book Antiqua"/>
          <w:i/>
          <w:iCs/>
          <w:sz w:val="20"/>
          <w:szCs w:val="16"/>
          <w:lang w:val="es-CR"/>
        </w:rPr>
      </w:pPr>
      <w:r w:rsidRPr="00832773">
        <w:rPr>
          <w:rFonts w:ascii="Book Antiqua" w:hAnsi="Book Antiqua"/>
          <w:i/>
          <w:iCs/>
          <w:sz w:val="20"/>
          <w:szCs w:val="16"/>
          <w:lang w:val="es-CR"/>
        </w:rPr>
        <w:t xml:space="preserve">Tabla </w:t>
      </w:r>
      <w:r w:rsidRPr="00832773">
        <w:rPr>
          <w:rFonts w:ascii="Book Antiqua" w:hAnsi="Book Antiqua"/>
          <w:i/>
          <w:iCs/>
          <w:sz w:val="20"/>
          <w:szCs w:val="16"/>
          <w:lang w:val="es-CR"/>
        </w:rPr>
        <w:fldChar w:fldCharType="begin"/>
      </w:r>
      <w:r w:rsidRPr="00832773">
        <w:rPr>
          <w:rFonts w:ascii="Book Antiqua" w:hAnsi="Book Antiqua"/>
          <w:i/>
          <w:iCs/>
          <w:sz w:val="20"/>
          <w:szCs w:val="16"/>
          <w:lang w:val="es-CR"/>
        </w:rPr>
        <w:instrText xml:space="preserve"> SEQ Tabla \* ARABIC </w:instrText>
      </w:r>
      <w:r w:rsidRPr="00832773">
        <w:rPr>
          <w:rFonts w:ascii="Book Antiqua" w:hAnsi="Book Antiqua"/>
          <w:i/>
          <w:iCs/>
          <w:sz w:val="20"/>
          <w:szCs w:val="16"/>
          <w:lang w:val="es-CR"/>
        </w:rPr>
        <w:fldChar w:fldCharType="separate"/>
      </w:r>
      <w:r w:rsidR="00374B51">
        <w:rPr>
          <w:rFonts w:ascii="Book Antiqua" w:hAnsi="Book Antiqua"/>
          <w:i/>
          <w:iCs/>
          <w:noProof/>
          <w:sz w:val="20"/>
          <w:szCs w:val="16"/>
          <w:lang w:val="es-CR"/>
        </w:rPr>
        <w:t>3</w:t>
      </w:r>
      <w:r w:rsidRPr="00832773">
        <w:rPr>
          <w:rFonts w:ascii="Book Antiqua" w:hAnsi="Book Antiqua"/>
          <w:i/>
          <w:iCs/>
          <w:sz w:val="20"/>
          <w:szCs w:val="16"/>
          <w:lang w:val="es-CR"/>
        </w:rPr>
        <w:fldChar w:fldCharType="end"/>
      </w:r>
      <w:r w:rsidRPr="00832773">
        <w:rPr>
          <w:rFonts w:ascii="Book Antiqua" w:hAnsi="Book Antiqua"/>
          <w:i/>
          <w:iCs/>
          <w:sz w:val="20"/>
          <w:szCs w:val="16"/>
          <w:lang w:val="es-CR"/>
        </w:rPr>
        <w:t xml:space="preserve"> Cantidad de asuntos ordinarios según procedimiento del 2019 al 2021 para el Tribunal Primero Colegiado de Primera Instancia Civil</w:t>
      </w:r>
      <w:r w:rsidR="001F2CA2" w:rsidRPr="00832773">
        <w:rPr>
          <w:rFonts w:ascii="Book Antiqua" w:hAnsi="Book Antiqua"/>
          <w:i/>
          <w:iCs/>
          <w:sz w:val="20"/>
          <w:szCs w:val="16"/>
          <w:lang w:val="es-CR"/>
        </w:rPr>
        <w:t xml:space="preserve"> Primer Circuito Judicial de San José</w:t>
      </w:r>
    </w:p>
    <w:p w14:paraId="40B647E1" w14:textId="77777777" w:rsidR="00662185" w:rsidRPr="00832773" w:rsidRDefault="00662185" w:rsidP="00832773">
      <w:pPr>
        <w:spacing w:line="276" w:lineRule="auto"/>
      </w:pPr>
    </w:p>
    <w:tbl>
      <w:tblPr>
        <w:tblW w:w="5019" w:type="pct"/>
        <w:tblCellMar>
          <w:left w:w="70" w:type="dxa"/>
          <w:right w:w="70" w:type="dxa"/>
        </w:tblCellMar>
        <w:tblLook w:val="04A0" w:firstRow="1" w:lastRow="0" w:firstColumn="1" w:lastColumn="0" w:noHBand="0" w:noVBand="1"/>
      </w:tblPr>
      <w:tblGrid>
        <w:gridCol w:w="5398"/>
        <w:gridCol w:w="820"/>
        <w:gridCol w:w="822"/>
        <w:gridCol w:w="823"/>
        <w:gridCol w:w="1011"/>
      </w:tblGrid>
      <w:tr w:rsidR="0075213E" w:rsidRPr="004E74A6" w14:paraId="0A43251E" w14:textId="77777777" w:rsidTr="004367F6">
        <w:trPr>
          <w:trHeight w:val="454"/>
          <w:tblHeader/>
        </w:trPr>
        <w:tc>
          <w:tcPr>
            <w:tcW w:w="3019" w:type="pct"/>
            <w:tcBorders>
              <w:top w:val="single" w:sz="4" w:space="0" w:color="auto"/>
              <w:left w:val="nil"/>
              <w:bottom w:val="single" w:sz="4" w:space="0" w:color="auto"/>
              <w:right w:val="single" w:sz="4" w:space="0" w:color="auto"/>
            </w:tcBorders>
            <w:shd w:val="clear" w:color="auto" w:fill="auto"/>
            <w:noWrap/>
            <w:vAlign w:val="center"/>
            <w:hideMark/>
          </w:tcPr>
          <w:p w14:paraId="6C6F49CF"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Ordinario</w:t>
            </w:r>
          </w:p>
        </w:tc>
        <w:tc>
          <w:tcPr>
            <w:tcW w:w="47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46F86BC"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2019</w:t>
            </w:r>
          </w:p>
        </w:tc>
        <w:tc>
          <w:tcPr>
            <w:tcW w:w="47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5908994"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2020</w:t>
            </w:r>
          </w:p>
        </w:tc>
        <w:tc>
          <w:tcPr>
            <w:tcW w:w="47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4FABDD8"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2021</w:t>
            </w:r>
          </w:p>
        </w:tc>
        <w:tc>
          <w:tcPr>
            <w:tcW w:w="566" w:type="pct"/>
            <w:tcBorders>
              <w:top w:val="single" w:sz="4" w:space="0" w:color="auto"/>
              <w:left w:val="single" w:sz="4" w:space="0" w:color="auto"/>
              <w:bottom w:val="single" w:sz="4" w:space="0" w:color="auto"/>
              <w:right w:val="nil"/>
            </w:tcBorders>
            <w:shd w:val="clear" w:color="auto" w:fill="auto"/>
            <w:noWrap/>
            <w:vAlign w:val="center"/>
          </w:tcPr>
          <w:p w14:paraId="3251E175" w14:textId="393644D6" w:rsidR="008647ED" w:rsidRPr="004E74A6" w:rsidRDefault="00772BDB" w:rsidP="00CE62C1">
            <w:pPr>
              <w:spacing w:line="276" w:lineRule="auto"/>
              <w:jc w:val="center"/>
              <w:rPr>
                <w:rFonts w:cs="Calibri"/>
                <w:color w:val="000000"/>
                <w:sz w:val="20"/>
                <w:lang w:eastAsia="es-CR"/>
              </w:rPr>
            </w:pPr>
            <w:r w:rsidRPr="004E74A6">
              <w:rPr>
                <w:rFonts w:cs="Calibri"/>
                <w:color w:val="000000"/>
                <w:sz w:val="20"/>
                <w:lang w:eastAsia="es-CR"/>
              </w:rPr>
              <w:t>Promedio</w:t>
            </w:r>
          </w:p>
        </w:tc>
      </w:tr>
      <w:tr w:rsidR="0075213E" w:rsidRPr="004E74A6" w14:paraId="23CE63BC" w14:textId="77777777" w:rsidTr="00941062">
        <w:trPr>
          <w:trHeight w:val="288"/>
        </w:trPr>
        <w:tc>
          <w:tcPr>
            <w:tcW w:w="3019" w:type="pct"/>
            <w:tcBorders>
              <w:top w:val="single" w:sz="4" w:space="0" w:color="auto"/>
              <w:left w:val="nil"/>
              <w:bottom w:val="nil"/>
              <w:right w:val="single" w:sz="4" w:space="0" w:color="auto"/>
            </w:tcBorders>
            <w:shd w:val="clear" w:color="auto" w:fill="auto"/>
            <w:noWrap/>
            <w:vAlign w:val="center"/>
          </w:tcPr>
          <w:p w14:paraId="4CF39AAF" w14:textId="77777777" w:rsidR="008647ED" w:rsidRPr="004E74A6" w:rsidRDefault="008647ED" w:rsidP="00CE62C1">
            <w:pPr>
              <w:spacing w:line="276" w:lineRule="auto"/>
              <w:ind w:firstLineChars="200" w:firstLine="402"/>
              <w:jc w:val="center"/>
              <w:rPr>
                <w:rFonts w:cs="Calibri"/>
                <w:b/>
                <w:bCs/>
                <w:color w:val="000000"/>
                <w:sz w:val="20"/>
                <w:lang w:eastAsia="es-CR"/>
              </w:rPr>
            </w:pPr>
          </w:p>
        </w:tc>
        <w:tc>
          <w:tcPr>
            <w:tcW w:w="471" w:type="pct"/>
            <w:tcBorders>
              <w:top w:val="single" w:sz="4" w:space="0" w:color="auto"/>
              <w:left w:val="single" w:sz="4" w:space="0" w:color="auto"/>
              <w:bottom w:val="nil"/>
              <w:right w:val="single" w:sz="4" w:space="0" w:color="auto"/>
            </w:tcBorders>
            <w:shd w:val="clear" w:color="auto" w:fill="auto"/>
            <w:noWrap/>
            <w:vAlign w:val="center"/>
          </w:tcPr>
          <w:p w14:paraId="3881FA8D" w14:textId="77777777" w:rsidR="008647ED" w:rsidRPr="004E74A6" w:rsidRDefault="008647ED" w:rsidP="00CE62C1">
            <w:pPr>
              <w:spacing w:line="276" w:lineRule="auto"/>
              <w:jc w:val="center"/>
              <w:rPr>
                <w:rFonts w:cs="Calibri"/>
                <w:b/>
                <w:bCs/>
                <w:color w:val="000000"/>
                <w:sz w:val="20"/>
                <w:lang w:eastAsia="es-CR"/>
              </w:rPr>
            </w:pPr>
          </w:p>
        </w:tc>
        <w:tc>
          <w:tcPr>
            <w:tcW w:w="472" w:type="pct"/>
            <w:tcBorders>
              <w:top w:val="single" w:sz="4" w:space="0" w:color="auto"/>
              <w:left w:val="single" w:sz="4" w:space="0" w:color="auto"/>
              <w:bottom w:val="nil"/>
              <w:right w:val="single" w:sz="4" w:space="0" w:color="auto"/>
            </w:tcBorders>
            <w:shd w:val="clear" w:color="auto" w:fill="auto"/>
            <w:noWrap/>
            <w:vAlign w:val="center"/>
          </w:tcPr>
          <w:p w14:paraId="6D75B7EE" w14:textId="77777777" w:rsidR="008647ED" w:rsidRPr="004E74A6" w:rsidRDefault="008647ED" w:rsidP="00CE62C1">
            <w:pPr>
              <w:spacing w:line="276" w:lineRule="auto"/>
              <w:jc w:val="center"/>
              <w:rPr>
                <w:rFonts w:cs="Calibri"/>
                <w:b/>
                <w:bCs/>
                <w:color w:val="000000"/>
                <w:sz w:val="20"/>
                <w:lang w:eastAsia="es-CR"/>
              </w:rPr>
            </w:pPr>
          </w:p>
        </w:tc>
        <w:tc>
          <w:tcPr>
            <w:tcW w:w="472" w:type="pct"/>
            <w:tcBorders>
              <w:top w:val="single" w:sz="4" w:space="0" w:color="auto"/>
              <w:left w:val="single" w:sz="4" w:space="0" w:color="auto"/>
              <w:bottom w:val="nil"/>
              <w:right w:val="single" w:sz="4" w:space="0" w:color="auto"/>
            </w:tcBorders>
            <w:shd w:val="clear" w:color="auto" w:fill="auto"/>
            <w:noWrap/>
            <w:vAlign w:val="center"/>
          </w:tcPr>
          <w:p w14:paraId="581E14F4" w14:textId="77777777" w:rsidR="008647ED" w:rsidRPr="004E74A6" w:rsidRDefault="008647ED" w:rsidP="00CE62C1">
            <w:pPr>
              <w:spacing w:line="276" w:lineRule="auto"/>
              <w:jc w:val="center"/>
              <w:rPr>
                <w:rFonts w:cs="Calibri"/>
                <w:b/>
                <w:bCs/>
                <w:color w:val="000000"/>
                <w:sz w:val="20"/>
                <w:lang w:eastAsia="es-CR"/>
              </w:rPr>
            </w:pPr>
          </w:p>
        </w:tc>
        <w:tc>
          <w:tcPr>
            <w:tcW w:w="566" w:type="pct"/>
            <w:tcBorders>
              <w:top w:val="single" w:sz="4" w:space="0" w:color="auto"/>
              <w:left w:val="single" w:sz="4" w:space="0" w:color="auto"/>
              <w:bottom w:val="nil"/>
              <w:right w:val="nil"/>
            </w:tcBorders>
            <w:shd w:val="clear" w:color="auto" w:fill="auto"/>
            <w:noWrap/>
            <w:vAlign w:val="center"/>
          </w:tcPr>
          <w:p w14:paraId="1516B946" w14:textId="77777777" w:rsidR="008647ED" w:rsidRPr="004E74A6" w:rsidRDefault="008647ED" w:rsidP="00CE62C1">
            <w:pPr>
              <w:spacing w:line="276" w:lineRule="auto"/>
              <w:jc w:val="center"/>
              <w:rPr>
                <w:rFonts w:cs="Calibri"/>
                <w:b/>
                <w:bCs/>
                <w:color w:val="000000"/>
                <w:sz w:val="20"/>
                <w:lang w:eastAsia="es-CR"/>
              </w:rPr>
            </w:pPr>
          </w:p>
        </w:tc>
      </w:tr>
      <w:tr w:rsidR="00772BDB" w:rsidRPr="004E74A6" w14:paraId="3DF5B76C" w14:textId="77777777" w:rsidTr="00941062">
        <w:trPr>
          <w:trHeight w:val="288"/>
        </w:trPr>
        <w:tc>
          <w:tcPr>
            <w:tcW w:w="3019" w:type="pct"/>
            <w:tcBorders>
              <w:top w:val="nil"/>
              <w:left w:val="nil"/>
              <w:bottom w:val="nil"/>
              <w:right w:val="single" w:sz="4" w:space="0" w:color="auto"/>
            </w:tcBorders>
            <w:shd w:val="clear" w:color="auto" w:fill="auto"/>
            <w:noWrap/>
            <w:vAlign w:val="center"/>
          </w:tcPr>
          <w:p w14:paraId="3FD4EAB4" w14:textId="77777777" w:rsidR="00772BDB" w:rsidRPr="004E74A6" w:rsidRDefault="00772BDB" w:rsidP="00CE62C1">
            <w:pPr>
              <w:spacing w:line="276" w:lineRule="auto"/>
              <w:jc w:val="center"/>
              <w:rPr>
                <w:rFonts w:cs="Calibri"/>
                <w:color w:val="000000"/>
                <w:sz w:val="20"/>
                <w:lang w:eastAsia="es-CR"/>
              </w:rPr>
            </w:pPr>
            <w:r w:rsidRPr="004E74A6">
              <w:rPr>
                <w:rFonts w:cs="Calibri"/>
                <w:color w:val="000000"/>
                <w:sz w:val="20"/>
                <w:lang w:eastAsia="es-CR"/>
              </w:rPr>
              <w:t>Total</w:t>
            </w:r>
          </w:p>
        </w:tc>
        <w:tc>
          <w:tcPr>
            <w:tcW w:w="471" w:type="pct"/>
            <w:tcBorders>
              <w:top w:val="nil"/>
              <w:left w:val="single" w:sz="4" w:space="0" w:color="auto"/>
              <w:bottom w:val="nil"/>
              <w:right w:val="single" w:sz="4" w:space="0" w:color="auto"/>
            </w:tcBorders>
            <w:shd w:val="clear" w:color="auto" w:fill="auto"/>
            <w:noWrap/>
            <w:vAlign w:val="center"/>
          </w:tcPr>
          <w:p w14:paraId="663CD933" w14:textId="77777777" w:rsidR="00772BDB" w:rsidRPr="004E74A6" w:rsidRDefault="00772BDB" w:rsidP="00CE62C1">
            <w:pPr>
              <w:spacing w:line="276" w:lineRule="auto"/>
              <w:jc w:val="center"/>
              <w:rPr>
                <w:rFonts w:cs="Calibri"/>
                <w:color w:val="000000"/>
                <w:sz w:val="20"/>
                <w:lang w:eastAsia="es-CR"/>
              </w:rPr>
            </w:pPr>
            <w:r w:rsidRPr="004E74A6">
              <w:rPr>
                <w:rFonts w:cs="Calibri"/>
                <w:color w:val="000000"/>
                <w:sz w:val="20"/>
                <w:lang w:eastAsia="es-CR"/>
              </w:rPr>
              <w:t>336</w:t>
            </w:r>
          </w:p>
        </w:tc>
        <w:tc>
          <w:tcPr>
            <w:tcW w:w="472" w:type="pct"/>
            <w:tcBorders>
              <w:top w:val="nil"/>
              <w:left w:val="single" w:sz="4" w:space="0" w:color="auto"/>
              <w:bottom w:val="nil"/>
              <w:right w:val="single" w:sz="4" w:space="0" w:color="auto"/>
            </w:tcBorders>
            <w:shd w:val="clear" w:color="auto" w:fill="auto"/>
            <w:noWrap/>
            <w:vAlign w:val="center"/>
          </w:tcPr>
          <w:p w14:paraId="47656340" w14:textId="77777777" w:rsidR="00772BDB" w:rsidRPr="004E74A6" w:rsidRDefault="00772BDB" w:rsidP="00CE62C1">
            <w:pPr>
              <w:spacing w:line="276" w:lineRule="auto"/>
              <w:jc w:val="center"/>
              <w:rPr>
                <w:rFonts w:cs="Calibri"/>
                <w:color w:val="000000"/>
                <w:sz w:val="20"/>
                <w:lang w:eastAsia="es-CR"/>
              </w:rPr>
            </w:pPr>
            <w:r w:rsidRPr="004E74A6">
              <w:rPr>
                <w:rFonts w:cs="Calibri"/>
                <w:color w:val="000000"/>
                <w:sz w:val="20"/>
                <w:lang w:eastAsia="es-CR"/>
              </w:rPr>
              <w:t>328</w:t>
            </w:r>
          </w:p>
        </w:tc>
        <w:tc>
          <w:tcPr>
            <w:tcW w:w="472" w:type="pct"/>
            <w:tcBorders>
              <w:top w:val="nil"/>
              <w:left w:val="single" w:sz="4" w:space="0" w:color="auto"/>
              <w:bottom w:val="nil"/>
              <w:right w:val="single" w:sz="4" w:space="0" w:color="auto"/>
            </w:tcBorders>
            <w:shd w:val="clear" w:color="auto" w:fill="auto"/>
            <w:noWrap/>
            <w:vAlign w:val="center"/>
          </w:tcPr>
          <w:p w14:paraId="179D7368" w14:textId="77777777" w:rsidR="00772BDB" w:rsidRPr="004E74A6" w:rsidRDefault="00772BDB" w:rsidP="00CE62C1">
            <w:pPr>
              <w:spacing w:line="276" w:lineRule="auto"/>
              <w:jc w:val="center"/>
              <w:rPr>
                <w:rFonts w:cs="Calibri"/>
                <w:color w:val="000000"/>
                <w:sz w:val="20"/>
                <w:lang w:eastAsia="es-CR"/>
              </w:rPr>
            </w:pPr>
            <w:r w:rsidRPr="004E74A6">
              <w:rPr>
                <w:rFonts w:cs="Calibri"/>
                <w:color w:val="000000"/>
                <w:sz w:val="20"/>
                <w:lang w:eastAsia="es-CR"/>
              </w:rPr>
              <w:t>334</w:t>
            </w:r>
          </w:p>
        </w:tc>
        <w:tc>
          <w:tcPr>
            <w:tcW w:w="566" w:type="pct"/>
            <w:tcBorders>
              <w:top w:val="nil"/>
              <w:left w:val="single" w:sz="4" w:space="0" w:color="auto"/>
              <w:bottom w:val="nil"/>
              <w:right w:val="nil"/>
            </w:tcBorders>
            <w:shd w:val="clear" w:color="auto" w:fill="auto"/>
            <w:noWrap/>
            <w:vAlign w:val="center"/>
          </w:tcPr>
          <w:p w14:paraId="0E611881" w14:textId="15FA22C4" w:rsidR="00772BDB" w:rsidRPr="004E74A6" w:rsidRDefault="00772BDB" w:rsidP="00CE62C1">
            <w:pPr>
              <w:spacing w:line="276" w:lineRule="auto"/>
              <w:jc w:val="center"/>
              <w:rPr>
                <w:rFonts w:cs="Calibri"/>
                <w:color w:val="000000"/>
                <w:sz w:val="20"/>
                <w:lang w:eastAsia="es-CR"/>
              </w:rPr>
            </w:pPr>
            <w:r w:rsidRPr="004E74A6">
              <w:rPr>
                <w:rFonts w:cs="Calibri"/>
                <w:color w:val="000000"/>
                <w:sz w:val="20"/>
              </w:rPr>
              <w:t>333</w:t>
            </w:r>
          </w:p>
        </w:tc>
      </w:tr>
      <w:tr w:rsidR="00772BDB" w:rsidRPr="004E74A6" w14:paraId="6FA72E5C" w14:textId="77777777" w:rsidTr="00941062">
        <w:trPr>
          <w:trHeight w:val="288"/>
        </w:trPr>
        <w:tc>
          <w:tcPr>
            <w:tcW w:w="3019" w:type="pct"/>
            <w:tcBorders>
              <w:top w:val="nil"/>
              <w:left w:val="nil"/>
              <w:bottom w:val="nil"/>
              <w:right w:val="single" w:sz="4" w:space="0" w:color="auto"/>
            </w:tcBorders>
            <w:shd w:val="clear" w:color="auto" w:fill="auto"/>
            <w:noWrap/>
            <w:vAlign w:val="bottom"/>
          </w:tcPr>
          <w:p w14:paraId="168A8AAC" w14:textId="77777777" w:rsidR="00772BDB" w:rsidRPr="004E74A6" w:rsidRDefault="00772BDB" w:rsidP="00CE62C1">
            <w:pPr>
              <w:spacing w:line="276" w:lineRule="auto"/>
              <w:ind w:firstLineChars="200" w:firstLine="400"/>
              <w:jc w:val="left"/>
              <w:rPr>
                <w:rFonts w:cs="Calibri"/>
                <w:color w:val="000000"/>
                <w:sz w:val="20"/>
                <w:lang w:eastAsia="es-CR"/>
              </w:rPr>
            </w:pPr>
          </w:p>
        </w:tc>
        <w:tc>
          <w:tcPr>
            <w:tcW w:w="471" w:type="pct"/>
            <w:tcBorders>
              <w:top w:val="nil"/>
              <w:left w:val="single" w:sz="4" w:space="0" w:color="auto"/>
              <w:bottom w:val="nil"/>
              <w:right w:val="single" w:sz="4" w:space="0" w:color="auto"/>
            </w:tcBorders>
            <w:shd w:val="clear" w:color="auto" w:fill="auto"/>
            <w:noWrap/>
            <w:vAlign w:val="center"/>
          </w:tcPr>
          <w:p w14:paraId="5BF69331" w14:textId="77777777" w:rsidR="00772BDB" w:rsidRPr="004E74A6" w:rsidRDefault="00772BDB" w:rsidP="00CE62C1">
            <w:pPr>
              <w:spacing w:line="276" w:lineRule="auto"/>
              <w:jc w:val="center"/>
              <w:rPr>
                <w:rFonts w:cs="Calibri"/>
                <w:color w:val="000000"/>
                <w:sz w:val="20"/>
                <w:lang w:eastAsia="es-CR"/>
              </w:rPr>
            </w:pPr>
          </w:p>
        </w:tc>
        <w:tc>
          <w:tcPr>
            <w:tcW w:w="472" w:type="pct"/>
            <w:tcBorders>
              <w:top w:val="nil"/>
              <w:left w:val="single" w:sz="4" w:space="0" w:color="auto"/>
              <w:bottom w:val="nil"/>
              <w:right w:val="single" w:sz="4" w:space="0" w:color="auto"/>
            </w:tcBorders>
            <w:shd w:val="clear" w:color="auto" w:fill="auto"/>
            <w:noWrap/>
            <w:vAlign w:val="center"/>
          </w:tcPr>
          <w:p w14:paraId="1D79AD2C" w14:textId="77777777" w:rsidR="00772BDB" w:rsidRPr="004E74A6" w:rsidRDefault="00772BDB" w:rsidP="00CE62C1">
            <w:pPr>
              <w:spacing w:line="276" w:lineRule="auto"/>
              <w:jc w:val="center"/>
              <w:rPr>
                <w:rFonts w:cs="Calibri"/>
                <w:color w:val="000000"/>
                <w:sz w:val="20"/>
                <w:lang w:eastAsia="es-CR"/>
              </w:rPr>
            </w:pPr>
          </w:p>
        </w:tc>
        <w:tc>
          <w:tcPr>
            <w:tcW w:w="472" w:type="pct"/>
            <w:tcBorders>
              <w:top w:val="nil"/>
              <w:left w:val="single" w:sz="4" w:space="0" w:color="auto"/>
              <w:bottom w:val="nil"/>
              <w:right w:val="single" w:sz="4" w:space="0" w:color="auto"/>
            </w:tcBorders>
            <w:shd w:val="clear" w:color="auto" w:fill="auto"/>
            <w:noWrap/>
            <w:vAlign w:val="center"/>
          </w:tcPr>
          <w:p w14:paraId="5FF539D0" w14:textId="77777777" w:rsidR="00772BDB" w:rsidRPr="004E74A6" w:rsidRDefault="00772BDB" w:rsidP="00CE62C1">
            <w:pPr>
              <w:spacing w:line="276" w:lineRule="auto"/>
              <w:jc w:val="center"/>
              <w:rPr>
                <w:rFonts w:cs="Calibri"/>
                <w:color w:val="000000"/>
                <w:sz w:val="20"/>
                <w:lang w:eastAsia="es-CR"/>
              </w:rPr>
            </w:pPr>
          </w:p>
        </w:tc>
        <w:tc>
          <w:tcPr>
            <w:tcW w:w="566" w:type="pct"/>
            <w:tcBorders>
              <w:top w:val="nil"/>
              <w:left w:val="single" w:sz="4" w:space="0" w:color="auto"/>
              <w:bottom w:val="nil"/>
              <w:right w:val="nil"/>
            </w:tcBorders>
            <w:shd w:val="clear" w:color="auto" w:fill="auto"/>
            <w:noWrap/>
            <w:vAlign w:val="center"/>
          </w:tcPr>
          <w:p w14:paraId="5DB7CFAE" w14:textId="77777777" w:rsidR="00772BDB" w:rsidRPr="004E74A6" w:rsidRDefault="00772BDB" w:rsidP="00CE62C1">
            <w:pPr>
              <w:spacing w:line="276" w:lineRule="auto"/>
              <w:jc w:val="center"/>
              <w:rPr>
                <w:rFonts w:cs="Calibri"/>
                <w:color w:val="000000"/>
                <w:sz w:val="20"/>
                <w:lang w:eastAsia="es-CR"/>
              </w:rPr>
            </w:pPr>
          </w:p>
        </w:tc>
      </w:tr>
      <w:tr w:rsidR="00772BDB" w:rsidRPr="004E74A6" w14:paraId="3E593E97" w14:textId="77777777" w:rsidTr="00941062">
        <w:trPr>
          <w:trHeight w:val="288"/>
        </w:trPr>
        <w:tc>
          <w:tcPr>
            <w:tcW w:w="3019" w:type="pct"/>
            <w:tcBorders>
              <w:top w:val="nil"/>
              <w:left w:val="nil"/>
              <w:bottom w:val="nil"/>
              <w:right w:val="single" w:sz="4" w:space="0" w:color="auto"/>
            </w:tcBorders>
            <w:shd w:val="clear" w:color="auto" w:fill="auto"/>
            <w:noWrap/>
            <w:vAlign w:val="bottom"/>
            <w:hideMark/>
          </w:tcPr>
          <w:p w14:paraId="7BAA6BB1" w14:textId="77777777" w:rsidR="00772BDB" w:rsidRPr="004E74A6" w:rsidRDefault="00772BDB" w:rsidP="00CE62C1">
            <w:pPr>
              <w:spacing w:line="276" w:lineRule="auto"/>
              <w:ind w:firstLineChars="200" w:firstLine="400"/>
              <w:jc w:val="left"/>
              <w:rPr>
                <w:rFonts w:cs="Calibri"/>
                <w:color w:val="000000"/>
                <w:sz w:val="20"/>
                <w:lang w:eastAsia="es-CR"/>
              </w:rPr>
            </w:pPr>
            <w:r w:rsidRPr="004E74A6">
              <w:rPr>
                <w:rFonts w:cs="Calibri"/>
                <w:color w:val="000000"/>
                <w:sz w:val="20"/>
                <w:lang w:eastAsia="es-CR"/>
              </w:rPr>
              <w:t>Disolución de asociación</w:t>
            </w:r>
          </w:p>
        </w:tc>
        <w:tc>
          <w:tcPr>
            <w:tcW w:w="471" w:type="pct"/>
            <w:tcBorders>
              <w:top w:val="nil"/>
              <w:left w:val="single" w:sz="4" w:space="0" w:color="auto"/>
              <w:bottom w:val="nil"/>
              <w:right w:val="single" w:sz="4" w:space="0" w:color="auto"/>
            </w:tcBorders>
            <w:shd w:val="clear" w:color="auto" w:fill="auto"/>
            <w:noWrap/>
            <w:vAlign w:val="center"/>
            <w:hideMark/>
          </w:tcPr>
          <w:p w14:paraId="53F25146" w14:textId="77777777" w:rsidR="00772BDB" w:rsidRPr="004E74A6" w:rsidRDefault="00772BDB" w:rsidP="00CE62C1">
            <w:pPr>
              <w:spacing w:line="276" w:lineRule="auto"/>
              <w:jc w:val="center"/>
              <w:rPr>
                <w:rFonts w:cs="Calibri"/>
                <w:color w:val="000000"/>
                <w:sz w:val="20"/>
                <w:lang w:eastAsia="es-CR"/>
              </w:rPr>
            </w:pPr>
            <w:r w:rsidRPr="004E74A6">
              <w:rPr>
                <w:rFonts w:cs="Calibri"/>
                <w:color w:val="000000"/>
                <w:sz w:val="20"/>
                <w:lang w:eastAsia="es-CR"/>
              </w:rPr>
              <w:t>3</w:t>
            </w:r>
          </w:p>
        </w:tc>
        <w:tc>
          <w:tcPr>
            <w:tcW w:w="472" w:type="pct"/>
            <w:tcBorders>
              <w:top w:val="nil"/>
              <w:left w:val="single" w:sz="4" w:space="0" w:color="auto"/>
              <w:bottom w:val="nil"/>
              <w:right w:val="single" w:sz="4" w:space="0" w:color="auto"/>
            </w:tcBorders>
            <w:shd w:val="clear" w:color="auto" w:fill="auto"/>
            <w:noWrap/>
            <w:vAlign w:val="center"/>
            <w:hideMark/>
          </w:tcPr>
          <w:p w14:paraId="1224BA88" w14:textId="77777777" w:rsidR="00772BDB" w:rsidRPr="004E74A6" w:rsidRDefault="00772BDB" w:rsidP="00CE62C1">
            <w:pPr>
              <w:spacing w:line="276" w:lineRule="auto"/>
              <w:jc w:val="center"/>
              <w:rPr>
                <w:rFonts w:cs="Calibri"/>
                <w:color w:val="000000"/>
                <w:sz w:val="20"/>
                <w:lang w:eastAsia="es-CR"/>
              </w:rPr>
            </w:pPr>
            <w:r w:rsidRPr="004E74A6">
              <w:rPr>
                <w:rFonts w:cs="Calibri"/>
                <w:color w:val="000000"/>
                <w:sz w:val="20"/>
                <w:lang w:eastAsia="es-CR"/>
              </w:rPr>
              <w:t>2</w:t>
            </w:r>
          </w:p>
        </w:tc>
        <w:tc>
          <w:tcPr>
            <w:tcW w:w="472" w:type="pct"/>
            <w:tcBorders>
              <w:top w:val="nil"/>
              <w:left w:val="single" w:sz="4" w:space="0" w:color="auto"/>
              <w:bottom w:val="nil"/>
              <w:right w:val="single" w:sz="4" w:space="0" w:color="auto"/>
            </w:tcBorders>
            <w:shd w:val="clear" w:color="auto" w:fill="auto"/>
            <w:noWrap/>
            <w:vAlign w:val="center"/>
            <w:hideMark/>
          </w:tcPr>
          <w:p w14:paraId="2614AD8D" w14:textId="77777777" w:rsidR="00772BDB" w:rsidRPr="004E74A6" w:rsidRDefault="00772BDB" w:rsidP="00CE62C1">
            <w:pPr>
              <w:spacing w:line="276" w:lineRule="auto"/>
              <w:jc w:val="center"/>
              <w:rPr>
                <w:rFonts w:cs="Calibri"/>
                <w:color w:val="000000"/>
                <w:sz w:val="20"/>
                <w:lang w:eastAsia="es-CR"/>
              </w:rPr>
            </w:pPr>
          </w:p>
        </w:tc>
        <w:tc>
          <w:tcPr>
            <w:tcW w:w="566" w:type="pct"/>
            <w:tcBorders>
              <w:top w:val="nil"/>
              <w:left w:val="single" w:sz="4" w:space="0" w:color="auto"/>
              <w:bottom w:val="nil"/>
              <w:right w:val="nil"/>
            </w:tcBorders>
            <w:shd w:val="clear" w:color="auto" w:fill="auto"/>
            <w:noWrap/>
            <w:vAlign w:val="center"/>
            <w:hideMark/>
          </w:tcPr>
          <w:p w14:paraId="0252D244" w14:textId="06B6318E" w:rsidR="00772BDB" w:rsidRPr="004E74A6" w:rsidRDefault="00772BDB" w:rsidP="00CE62C1">
            <w:pPr>
              <w:spacing w:line="276" w:lineRule="auto"/>
              <w:jc w:val="center"/>
              <w:rPr>
                <w:rFonts w:cs="Calibri"/>
                <w:color w:val="000000"/>
                <w:sz w:val="20"/>
                <w:lang w:eastAsia="es-CR"/>
              </w:rPr>
            </w:pPr>
            <w:r w:rsidRPr="004E74A6">
              <w:rPr>
                <w:rFonts w:cs="Calibri"/>
                <w:color w:val="000000"/>
                <w:sz w:val="20"/>
              </w:rPr>
              <w:t>3</w:t>
            </w:r>
          </w:p>
        </w:tc>
      </w:tr>
      <w:tr w:rsidR="00772BDB" w:rsidRPr="004E74A6" w14:paraId="03ABDC32" w14:textId="77777777" w:rsidTr="00941062">
        <w:trPr>
          <w:trHeight w:val="288"/>
        </w:trPr>
        <w:tc>
          <w:tcPr>
            <w:tcW w:w="3019" w:type="pct"/>
            <w:tcBorders>
              <w:top w:val="nil"/>
              <w:left w:val="nil"/>
              <w:bottom w:val="nil"/>
              <w:right w:val="single" w:sz="4" w:space="0" w:color="auto"/>
            </w:tcBorders>
            <w:shd w:val="clear" w:color="auto" w:fill="auto"/>
            <w:noWrap/>
            <w:vAlign w:val="bottom"/>
            <w:hideMark/>
          </w:tcPr>
          <w:p w14:paraId="00C2F011" w14:textId="77777777" w:rsidR="00772BDB" w:rsidRPr="004E74A6" w:rsidRDefault="00772BDB" w:rsidP="00CE62C1">
            <w:pPr>
              <w:spacing w:line="276" w:lineRule="auto"/>
              <w:ind w:firstLineChars="200" w:firstLine="400"/>
              <w:jc w:val="left"/>
              <w:rPr>
                <w:rFonts w:cs="Calibri"/>
                <w:color w:val="000000"/>
                <w:sz w:val="20"/>
                <w:lang w:eastAsia="es-CR"/>
              </w:rPr>
            </w:pPr>
            <w:r w:rsidRPr="004E74A6">
              <w:rPr>
                <w:rFonts w:cs="Calibri"/>
                <w:color w:val="000000"/>
                <w:sz w:val="20"/>
                <w:lang w:eastAsia="es-CR"/>
              </w:rPr>
              <w:t>Ejecución de sentencia</w:t>
            </w:r>
          </w:p>
        </w:tc>
        <w:tc>
          <w:tcPr>
            <w:tcW w:w="471" w:type="pct"/>
            <w:tcBorders>
              <w:top w:val="nil"/>
              <w:left w:val="single" w:sz="4" w:space="0" w:color="auto"/>
              <w:bottom w:val="nil"/>
              <w:right w:val="single" w:sz="4" w:space="0" w:color="auto"/>
            </w:tcBorders>
            <w:shd w:val="clear" w:color="auto" w:fill="auto"/>
            <w:noWrap/>
            <w:vAlign w:val="center"/>
            <w:hideMark/>
          </w:tcPr>
          <w:p w14:paraId="5180720C" w14:textId="77777777" w:rsidR="00772BDB" w:rsidRPr="004E74A6" w:rsidRDefault="00772BDB" w:rsidP="00CE62C1">
            <w:pPr>
              <w:spacing w:line="276" w:lineRule="auto"/>
              <w:jc w:val="center"/>
              <w:rPr>
                <w:rFonts w:cs="Calibri"/>
                <w:color w:val="000000"/>
                <w:sz w:val="20"/>
                <w:lang w:eastAsia="es-CR"/>
              </w:rPr>
            </w:pPr>
            <w:r w:rsidRPr="004E74A6">
              <w:rPr>
                <w:rFonts w:cs="Calibri"/>
                <w:color w:val="000000"/>
                <w:sz w:val="20"/>
                <w:lang w:eastAsia="es-CR"/>
              </w:rPr>
              <w:t>2</w:t>
            </w:r>
          </w:p>
        </w:tc>
        <w:tc>
          <w:tcPr>
            <w:tcW w:w="472" w:type="pct"/>
            <w:tcBorders>
              <w:top w:val="nil"/>
              <w:left w:val="single" w:sz="4" w:space="0" w:color="auto"/>
              <w:bottom w:val="nil"/>
              <w:right w:val="single" w:sz="4" w:space="0" w:color="auto"/>
            </w:tcBorders>
            <w:shd w:val="clear" w:color="auto" w:fill="auto"/>
            <w:noWrap/>
            <w:vAlign w:val="center"/>
            <w:hideMark/>
          </w:tcPr>
          <w:p w14:paraId="47A42734" w14:textId="77777777" w:rsidR="00772BDB" w:rsidRPr="004E74A6" w:rsidRDefault="00772BDB" w:rsidP="00CE62C1">
            <w:pPr>
              <w:spacing w:line="276" w:lineRule="auto"/>
              <w:jc w:val="center"/>
              <w:rPr>
                <w:rFonts w:cs="Calibri"/>
                <w:color w:val="000000"/>
                <w:sz w:val="20"/>
                <w:lang w:eastAsia="es-CR"/>
              </w:rPr>
            </w:pPr>
            <w:r w:rsidRPr="004E74A6">
              <w:rPr>
                <w:rFonts w:cs="Calibri"/>
                <w:color w:val="000000"/>
                <w:sz w:val="20"/>
                <w:lang w:eastAsia="es-CR"/>
              </w:rPr>
              <w:t>1</w:t>
            </w:r>
          </w:p>
        </w:tc>
        <w:tc>
          <w:tcPr>
            <w:tcW w:w="472" w:type="pct"/>
            <w:tcBorders>
              <w:top w:val="nil"/>
              <w:left w:val="single" w:sz="4" w:space="0" w:color="auto"/>
              <w:bottom w:val="nil"/>
              <w:right w:val="single" w:sz="4" w:space="0" w:color="auto"/>
            </w:tcBorders>
            <w:shd w:val="clear" w:color="auto" w:fill="auto"/>
            <w:noWrap/>
            <w:vAlign w:val="center"/>
            <w:hideMark/>
          </w:tcPr>
          <w:p w14:paraId="7F80C9F5" w14:textId="77777777" w:rsidR="00772BDB" w:rsidRPr="004E74A6" w:rsidRDefault="00772BDB" w:rsidP="00CE62C1">
            <w:pPr>
              <w:spacing w:line="276" w:lineRule="auto"/>
              <w:jc w:val="center"/>
              <w:rPr>
                <w:rFonts w:cs="Calibri"/>
                <w:color w:val="000000"/>
                <w:sz w:val="20"/>
                <w:lang w:eastAsia="es-CR"/>
              </w:rPr>
            </w:pPr>
          </w:p>
        </w:tc>
        <w:tc>
          <w:tcPr>
            <w:tcW w:w="566" w:type="pct"/>
            <w:tcBorders>
              <w:top w:val="nil"/>
              <w:left w:val="single" w:sz="4" w:space="0" w:color="auto"/>
              <w:bottom w:val="nil"/>
              <w:right w:val="nil"/>
            </w:tcBorders>
            <w:shd w:val="clear" w:color="auto" w:fill="auto"/>
            <w:noWrap/>
            <w:vAlign w:val="center"/>
            <w:hideMark/>
          </w:tcPr>
          <w:p w14:paraId="0AD0B491" w14:textId="55FFF536" w:rsidR="00772BDB" w:rsidRPr="004E74A6" w:rsidRDefault="00772BDB" w:rsidP="00CE62C1">
            <w:pPr>
              <w:spacing w:line="276" w:lineRule="auto"/>
              <w:jc w:val="center"/>
              <w:rPr>
                <w:rFonts w:cs="Calibri"/>
                <w:color w:val="000000"/>
                <w:sz w:val="20"/>
                <w:lang w:eastAsia="es-CR"/>
              </w:rPr>
            </w:pPr>
            <w:r w:rsidRPr="004E74A6">
              <w:rPr>
                <w:rFonts w:cs="Calibri"/>
                <w:color w:val="000000"/>
                <w:sz w:val="20"/>
              </w:rPr>
              <w:t>2</w:t>
            </w:r>
          </w:p>
        </w:tc>
      </w:tr>
      <w:tr w:rsidR="00772BDB" w:rsidRPr="004E74A6" w14:paraId="54C622F4" w14:textId="77777777" w:rsidTr="00941062">
        <w:trPr>
          <w:trHeight w:val="288"/>
        </w:trPr>
        <w:tc>
          <w:tcPr>
            <w:tcW w:w="3019" w:type="pct"/>
            <w:tcBorders>
              <w:top w:val="nil"/>
              <w:left w:val="nil"/>
              <w:bottom w:val="nil"/>
              <w:right w:val="single" w:sz="4" w:space="0" w:color="auto"/>
            </w:tcBorders>
            <w:shd w:val="clear" w:color="auto" w:fill="auto"/>
            <w:noWrap/>
            <w:vAlign w:val="bottom"/>
            <w:hideMark/>
          </w:tcPr>
          <w:p w14:paraId="732B2282" w14:textId="77777777" w:rsidR="00772BDB" w:rsidRPr="004E74A6" w:rsidRDefault="00772BDB" w:rsidP="00CE62C1">
            <w:pPr>
              <w:spacing w:line="276" w:lineRule="auto"/>
              <w:ind w:firstLineChars="200" w:firstLine="400"/>
              <w:jc w:val="left"/>
              <w:rPr>
                <w:rFonts w:cs="Calibri"/>
                <w:color w:val="000000"/>
                <w:sz w:val="20"/>
                <w:lang w:eastAsia="es-CR"/>
              </w:rPr>
            </w:pPr>
            <w:r w:rsidRPr="004E74A6">
              <w:rPr>
                <w:rFonts w:cs="Calibri"/>
                <w:color w:val="000000"/>
                <w:sz w:val="20"/>
                <w:lang w:eastAsia="es-CR"/>
              </w:rPr>
              <w:t>Embargo preventivo</w:t>
            </w:r>
          </w:p>
        </w:tc>
        <w:tc>
          <w:tcPr>
            <w:tcW w:w="471" w:type="pct"/>
            <w:tcBorders>
              <w:top w:val="nil"/>
              <w:left w:val="single" w:sz="4" w:space="0" w:color="auto"/>
              <w:bottom w:val="nil"/>
              <w:right w:val="single" w:sz="4" w:space="0" w:color="auto"/>
            </w:tcBorders>
            <w:shd w:val="clear" w:color="auto" w:fill="auto"/>
            <w:noWrap/>
            <w:vAlign w:val="center"/>
            <w:hideMark/>
          </w:tcPr>
          <w:p w14:paraId="58D7C5D8" w14:textId="77777777" w:rsidR="00772BDB" w:rsidRPr="004E74A6" w:rsidRDefault="00772BDB" w:rsidP="00CE62C1">
            <w:pPr>
              <w:spacing w:line="276" w:lineRule="auto"/>
              <w:jc w:val="center"/>
              <w:rPr>
                <w:rFonts w:cs="Calibri"/>
                <w:color w:val="000000"/>
                <w:sz w:val="20"/>
                <w:lang w:eastAsia="es-CR"/>
              </w:rPr>
            </w:pPr>
            <w:r w:rsidRPr="004E74A6">
              <w:rPr>
                <w:rFonts w:cs="Calibri"/>
                <w:color w:val="000000"/>
                <w:sz w:val="20"/>
                <w:lang w:eastAsia="es-CR"/>
              </w:rPr>
              <w:t>1</w:t>
            </w:r>
          </w:p>
        </w:tc>
        <w:tc>
          <w:tcPr>
            <w:tcW w:w="472" w:type="pct"/>
            <w:tcBorders>
              <w:top w:val="nil"/>
              <w:left w:val="single" w:sz="4" w:space="0" w:color="auto"/>
              <w:bottom w:val="nil"/>
              <w:right w:val="single" w:sz="4" w:space="0" w:color="auto"/>
            </w:tcBorders>
            <w:shd w:val="clear" w:color="auto" w:fill="auto"/>
            <w:noWrap/>
            <w:vAlign w:val="center"/>
            <w:hideMark/>
          </w:tcPr>
          <w:p w14:paraId="68CDC99B" w14:textId="77777777" w:rsidR="00772BDB" w:rsidRPr="004E74A6" w:rsidRDefault="00772BDB" w:rsidP="00CE62C1">
            <w:pPr>
              <w:spacing w:line="276" w:lineRule="auto"/>
              <w:jc w:val="center"/>
              <w:rPr>
                <w:rFonts w:cs="Calibri"/>
                <w:color w:val="000000"/>
                <w:sz w:val="20"/>
                <w:lang w:eastAsia="es-CR"/>
              </w:rPr>
            </w:pPr>
          </w:p>
        </w:tc>
        <w:tc>
          <w:tcPr>
            <w:tcW w:w="472" w:type="pct"/>
            <w:tcBorders>
              <w:top w:val="nil"/>
              <w:left w:val="single" w:sz="4" w:space="0" w:color="auto"/>
              <w:bottom w:val="nil"/>
              <w:right w:val="single" w:sz="4" w:space="0" w:color="auto"/>
            </w:tcBorders>
            <w:shd w:val="clear" w:color="auto" w:fill="auto"/>
            <w:noWrap/>
            <w:vAlign w:val="center"/>
            <w:hideMark/>
          </w:tcPr>
          <w:p w14:paraId="39BC2CDB" w14:textId="77777777" w:rsidR="00772BDB" w:rsidRPr="004E74A6" w:rsidRDefault="00772BDB" w:rsidP="00CE62C1">
            <w:pPr>
              <w:spacing w:line="276" w:lineRule="auto"/>
              <w:jc w:val="center"/>
              <w:rPr>
                <w:sz w:val="20"/>
                <w:lang w:eastAsia="es-CR"/>
              </w:rPr>
            </w:pPr>
          </w:p>
        </w:tc>
        <w:tc>
          <w:tcPr>
            <w:tcW w:w="566" w:type="pct"/>
            <w:tcBorders>
              <w:top w:val="nil"/>
              <w:left w:val="single" w:sz="4" w:space="0" w:color="auto"/>
              <w:bottom w:val="nil"/>
              <w:right w:val="nil"/>
            </w:tcBorders>
            <w:shd w:val="clear" w:color="auto" w:fill="auto"/>
            <w:noWrap/>
            <w:vAlign w:val="center"/>
            <w:hideMark/>
          </w:tcPr>
          <w:p w14:paraId="03119678" w14:textId="568C01D9" w:rsidR="00772BDB" w:rsidRPr="004E74A6" w:rsidRDefault="00772BDB" w:rsidP="00CE62C1">
            <w:pPr>
              <w:spacing w:line="276" w:lineRule="auto"/>
              <w:jc w:val="center"/>
              <w:rPr>
                <w:rFonts w:cs="Calibri"/>
                <w:color w:val="000000"/>
                <w:sz w:val="20"/>
                <w:lang w:eastAsia="es-CR"/>
              </w:rPr>
            </w:pPr>
            <w:r w:rsidRPr="004E74A6">
              <w:rPr>
                <w:rFonts w:cs="Calibri"/>
                <w:color w:val="000000"/>
                <w:sz w:val="20"/>
              </w:rPr>
              <w:t>1</w:t>
            </w:r>
          </w:p>
        </w:tc>
      </w:tr>
      <w:tr w:rsidR="00772BDB" w:rsidRPr="004E74A6" w14:paraId="4517006F" w14:textId="77777777" w:rsidTr="00941062">
        <w:trPr>
          <w:trHeight w:val="288"/>
        </w:trPr>
        <w:tc>
          <w:tcPr>
            <w:tcW w:w="3019" w:type="pct"/>
            <w:tcBorders>
              <w:top w:val="nil"/>
              <w:left w:val="nil"/>
              <w:bottom w:val="nil"/>
              <w:right w:val="single" w:sz="4" w:space="0" w:color="auto"/>
            </w:tcBorders>
            <w:shd w:val="clear" w:color="auto" w:fill="auto"/>
            <w:noWrap/>
            <w:vAlign w:val="bottom"/>
            <w:hideMark/>
          </w:tcPr>
          <w:p w14:paraId="5037CEAC" w14:textId="77777777" w:rsidR="00772BDB" w:rsidRPr="004E74A6" w:rsidRDefault="00772BDB" w:rsidP="00CE62C1">
            <w:pPr>
              <w:spacing w:line="276" w:lineRule="auto"/>
              <w:ind w:firstLineChars="200" w:firstLine="400"/>
              <w:jc w:val="left"/>
              <w:rPr>
                <w:rFonts w:cs="Calibri"/>
                <w:color w:val="000000"/>
                <w:sz w:val="20"/>
                <w:lang w:eastAsia="es-CR"/>
              </w:rPr>
            </w:pPr>
            <w:r w:rsidRPr="004E74A6">
              <w:rPr>
                <w:rFonts w:cs="Calibri"/>
                <w:color w:val="000000"/>
                <w:sz w:val="20"/>
                <w:lang w:eastAsia="es-CR"/>
              </w:rPr>
              <w:t>Interdicto</w:t>
            </w:r>
          </w:p>
        </w:tc>
        <w:tc>
          <w:tcPr>
            <w:tcW w:w="471" w:type="pct"/>
            <w:tcBorders>
              <w:top w:val="nil"/>
              <w:left w:val="single" w:sz="4" w:space="0" w:color="auto"/>
              <w:bottom w:val="nil"/>
              <w:right w:val="single" w:sz="4" w:space="0" w:color="auto"/>
            </w:tcBorders>
            <w:shd w:val="clear" w:color="auto" w:fill="auto"/>
            <w:noWrap/>
            <w:vAlign w:val="center"/>
            <w:hideMark/>
          </w:tcPr>
          <w:p w14:paraId="080079C6" w14:textId="77777777" w:rsidR="00772BDB" w:rsidRPr="004E74A6" w:rsidRDefault="00772BDB" w:rsidP="00CE62C1">
            <w:pPr>
              <w:spacing w:line="276" w:lineRule="auto"/>
              <w:jc w:val="center"/>
              <w:rPr>
                <w:sz w:val="20"/>
                <w:lang w:eastAsia="es-CR"/>
              </w:rPr>
            </w:pPr>
          </w:p>
        </w:tc>
        <w:tc>
          <w:tcPr>
            <w:tcW w:w="472" w:type="pct"/>
            <w:tcBorders>
              <w:top w:val="nil"/>
              <w:left w:val="single" w:sz="4" w:space="0" w:color="auto"/>
              <w:bottom w:val="nil"/>
              <w:right w:val="single" w:sz="4" w:space="0" w:color="auto"/>
            </w:tcBorders>
            <w:shd w:val="clear" w:color="auto" w:fill="auto"/>
            <w:noWrap/>
            <w:vAlign w:val="center"/>
            <w:hideMark/>
          </w:tcPr>
          <w:p w14:paraId="154C59E1" w14:textId="77777777" w:rsidR="00772BDB" w:rsidRPr="004E74A6" w:rsidRDefault="00772BDB" w:rsidP="00CE62C1">
            <w:pPr>
              <w:spacing w:line="276" w:lineRule="auto"/>
              <w:jc w:val="center"/>
              <w:rPr>
                <w:rFonts w:cs="Calibri"/>
                <w:color w:val="000000"/>
                <w:sz w:val="20"/>
                <w:lang w:eastAsia="es-CR"/>
              </w:rPr>
            </w:pPr>
            <w:r w:rsidRPr="004E74A6">
              <w:rPr>
                <w:rFonts w:cs="Calibri"/>
                <w:color w:val="000000"/>
                <w:sz w:val="20"/>
                <w:lang w:eastAsia="es-CR"/>
              </w:rPr>
              <w:t>1</w:t>
            </w:r>
          </w:p>
        </w:tc>
        <w:tc>
          <w:tcPr>
            <w:tcW w:w="472" w:type="pct"/>
            <w:tcBorders>
              <w:top w:val="nil"/>
              <w:left w:val="single" w:sz="4" w:space="0" w:color="auto"/>
              <w:bottom w:val="nil"/>
              <w:right w:val="single" w:sz="4" w:space="0" w:color="auto"/>
            </w:tcBorders>
            <w:shd w:val="clear" w:color="auto" w:fill="auto"/>
            <w:noWrap/>
            <w:vAlign w:val="center"/>
            <w:hideMark/>
          </w:tcPr>
          <w:p w14:paraId="2D20C204" w14:textId="77777777" w:rsidR="00772BDB" w:rsidRPr="004E74A6" w:rsidRDefault="00772BDB" w:rsidP="00CE62C1">
            <w:pPr>
              <w:spacing w:line="276" w:lineRule="auto"/>
              <w:jc w:val="center"/>
              <w:rPr>
                <w:rFonts w:cs="Calibri"/>
                <w:color w:val="000000"/>
                <w:sz w:val="20"/>
                <w:lang w:eastAsia="es-CR"/>
              </w:rPr>
            </w:pPr>
          </w:p>
        </w:tc>
        <w:tc>
          <w:tcPr>
            <w:tcW w:w="566" w:type="pct"/>
            <w:tcBorders>
              <w:top w:val="nil"/>
              <w:left w:val="single" w:sz="4" w:space="0" w:color="auto"/>
              <w:bottom w:val="nil"/>
              <w:right w:val="nil"/>
            </w:tcBorders>
            <w:shd w:val="clear" w:color="auto" w:fill="auto"/>
            <w:noWrap/>
            <w:vAlign w:val="center"/>
            <w:hideMark/>
          </w:tcPr>
          <w:p w14:paraId="5CBFCC8C" w14:textId="46900389" w:rsidR="00772BDB" w:rsidRPr="004E74A6" w:rsidRDefault="00772BDB" w:rsidP="00CE62C1">
            <w:pPr>
              <w:spacing w:line="276" w:lineRule="auto"/>
              <w:jc w:val="center"/>
              <w:rPr>
                <w:rFonts w:cs="Calibri"/>
                <w:color w:val="000000"/>
                <w:sz w:val="20"/>
                <w:lang w:eastAsia="es-CR"/>
              </w:rPr>
            </w:pPr>
            <w:r w:rsidRPr="004E74A6">
              <w:rPr>
                <w:rFonts w:cs="Calibri"/>
                <w:color w:val="000000"/>
                <w:sz w:val="20"/>
              </w:rPr>
              <w:t>1</w:t>
            </w:r>
          </w:p>
        </w:tc>
      </w:tr>
      <w:tr w:rsidR="00772BDB" w:rsidRPr="004E74A6" w14:paraId="36A69A2A" w14:textId="77777777" w:rsidTr="00941062">
        <w:trPr>
          <w:trHeight w:val="288"/>
        </w:trPr>
        <w:tc>
          <w:tcPr>
            <w:tcW w:w="3019" w:type="pct"/>
            <w:tcBorders>
              <w:top w:val="nil"/>
              <w:left w:val="nil"/>
              <w:bottom w:val="nil"/>
              <w:right w:val="single" w:sz="4" w:space="0" w:color="auto"/>
            </w:tcBorders>
            <w:shd w:val="clear" w:color="auto" w:fill="auto"/>
            <w:noWrap/>
            <w:vAlign w:val="bottom"/>
            <w:hideMark/>
          </w:tcPr>
          <w:p w14:paraId="1E78798B" w14:textId="77777777" w:rsidR="00772BDB" w:rsidRPr="004E74A6" w:rsidRDefault="00772BDB" w:rsidP="00CE62C1">
            <w:pPr>
              <w:spacing w:line="276" w:lineRule="auto"/>
              <w:ind w:firstLineChars="200" w:firstLine="400"/>
              <w:jc w:val="left"/>
              <w:rPr>
                <w:rFonts w:cs="Calibri"/>
                <w:color w:val="000000"/>
                <w:sz w:val="20"/>
                <w:lang w:eastAsia="es-CR"/>
              </w:rPr>
            </w:pPr>
            <w:r w:rsidRPr="004E74A6">
              <w:rPr>
                <w:rFonts w:cs="Calibri"/>
                <w:color w:val="000000"/>
                <w:sz w:val="20"/>
                <w:lang w:eastAsia="es-CR"/>
              </w:rPr>
              <w:t>Liquidación persona jurídica</w:t>
            </w:r>
          </w:p>
        </w:tc>
        <w:tc>
          <w:tcPr>
            <w:tcW w:w="471" w:type="pct"/>
            <w:tcBorders>
              <w:top w:val="nil"/>
              <w:left w:val="single" w:sz="4" w:space="0" w:color="auto"/>
              <w:bottom w:val="nil"/>
              <w:right w:val="single" w:sz="4" w:space="0" w:color="auto"/>
            </w:tcBorders>
            <w:shd w:val="clear" w:color="auto" w:fill="auto"/>
            <w:noWrap/>
            <w:vAlign w:val="center"/>
            <w:hideMark/>
          </w:tcPr>
          <w:p w14:paraId="0EDB8D76" w14:textId="77777777" w:rsidR="00772BDB" w:rsidRPr="004E74A6" w:rsidRDefault="00772BDB" w:rsidP="00CE62C1">
            <w:pPr>
              <w:spacing w:line="276" w:lineRule="auto"/>
              <w:jc w:val="center"/>
              <w:rPr>
                <w:rFonts w:cs="Calibri"/>
                <w:color w:val="000000"/>
                <w:sz w:val="20"/>
                <w:lang w:eastAsia="es-CR"/>
              </w:rPr>
            </w:pPr>
            <w:r w:rsidRPr="004E74A6">
              <w:rPr>
                <w:rFonts w:cs="Calibri"/>
                <w:color w:val="000000"/>
                <w:sz w:val="20"/>
                <w:lang w:eastAsia="es-CR"/>
              </w:rPr>
              <w:t>1</w:t>
            </w:r>
          </w:p>
        </w:tc>
        <w:tc>
          <w:tcPr>
            <w:tcW w:w="472" w:type="pct"/>
            <w:tcBorders>
              <w:top w:val="nil"/>
              <w:left w:val="single" w:sz="4" w:space="0" w:color="auto"/>
              <w:bottom w:val="nil"/>
              <w:right w:val="single" w:sz="4" w:space="0" w:color="auto"/>
            </w:tcBorders>
            <w:shd w:val="clear" w:color="auto" w:fill="auto"/>
            <w:noWrap/>
            <w:vAlign w:val="center"/>
            <w:hideMark/>
          </w:tcPr>
          <w:p w14:paraId="17CE91AE" w14:textId="77777777" w:rsidR="00772BDB" w:rsidRPr="004E74A6" w:rsidRDefault="00772BDB" w:rsidP="00CE62C1">
            <w:pPr>
              <w:spacing w:line="276" w:lineRule="auto"/>
              <w:jc w:val="center"/>
              <w:rPr>
                <w:rFonts w:cs="Calibri"/>
                <w:color w:val="000000"/>
                <w:sz w:val="20"/>
                <w:lang w:eastAsia="es-CR"/>
              </w:rPr>
            </w:pPr>
            <w:r w:rsidRPr="004E74A6">
              <w:rPr>
                <w:rFonts w:cs="Calibri"/>
                <w:color w:val="000000"/>
                <w:sz w:val="20"/>
                <w:lang w:eastAsia="es-CR"/>
              </w:rPr>
              <w:t>1</w:t>
            </w:r>
          </w:p>
        </w:tc>
        <w:tc>
          <w:tcPr>
            <w:tcW w:w="472" w:type="pct"/>
            <w:tcBorders>
              <w:top w:val="nil"/>
              <w:left w:val="single" w:sz="4" w:space="0" w:color="auto"/>
              <w:bottom w:val="nil"/>
              <w:right w:val="single" w:sz="4" w:space="0" w:color="auto"/>
            </w:tcBorders>
            <w:shd w:val="clear" w:color="auto" w:fill="auto"/>
            <w:noWrap/>
            <w:vAlign w:val="center"/>
            <w:hideMark/>
          </w:tcPr>
          <w:p w14:paraId="6AB78152" w14:textId="77777777" w:rsidR="00772BDB" w:rsidRPr="004E74A6" w:rsidRDefault="00772BDB" w:rsidP="00CE62C1">
            <w:pPr>
              <w:spacing w:line="276" w:lineRule="auto"/>
              <w:jc w:val="center"/>
              <w:rPr>
                <w:rFonts w:cs="Calibri"/>
                <w:color w:val="000000"/>
                <w:sz w:val="20"/>
                <w:lang w:eastAsia="es-CR"/>
              </w:rPr>
            </w:pPr>
            <w:r w:rsidRPr="004E74A6">
              <w:rPr>
                <w:rFonts w:cs="Calibri"/>
                <w:color w:val="000000"/>
                <w:sz w:val="20"/>
                <w:lang w:eastAsia="es-CR"/>
              </w:rPr>
              <w:t>1</w:t>
            </w:r>
          </w:p>
        </w:tc>
        <w:tc>
          <w:tcPr>
            <w:tcW w:w="566" w:type="pct"/>
            <w:tcBorders>
              <w:top w:val="nil"/>
              <w:left w:val="single" w:sz="4" w:space="0" w:color="auto"/>
              <w:bottom w:val="nil"/>
              <w:right w:val="nil"/>
            </w:tcBorders>
            <w:shd w:val="clear" w:color="auto" w:fill="auto"/>
            <w:noWrap/>
            <w:vAlign w:val="center"/>
            <w:hideMark/>
          </w:tcPr>
          <w:p w14:paraId="1CE92113" w14:textId="60D70BA3" w:rsidR="00772BDB" w:rsidRPr="004E74A6" w:rsidRDefault="00772BDB" w:rsidP="00CE62C1">
            <w:pPr>
              <w:spacing w:line="276" w:lineRule="auto"/>
              <w:jc w:val="center"/>
              <w:rPr>
                <w:rFonts w:cs="Calibri"/>
                <w:color w:val="000000"/>
                <w:sz w:val="20"/>
                <w:lang w:eastAsia="es-CR"/>
              </w:rPr>
            </w:pPr>
            <w:r w:rsidRPr="004E74A6">
              <w:rPr>
                <w:rFonts w:cs="Calibri"/>
                <w:color w:val="000000"/>
                <w:sz w:val="20"/>
              </w:rPr>
              <w:t>1</w:t>
            </w:r>
          </w:p>
        </w:tc>
      </w:tr>
      <w:tr w:rsidR="00772BDB" w:rsidRPr="004E74A6" w14:paraId="2F426552" w14:textId="77777777" w:rsidTr="00941062">
        <w:trPr>
          <w:trHeight w:val="288"/>
        </w:trPr>
        <w:tc>
          <w:tcPr>
            <w:tcW w:w="3019" w:type="pct"/>
            <w:tcBorders>
              <w:top w:val="nil"/>
              <w:left w:val="nil"/>
              <w:bottom w:val="nil"/>
              <w:right w:val="single" w:sz="4" w:space="0" w:color="auto"/>
            </w:tcBorders>
            <w:shd w:val="clear" w:color="auto" w:fill="auto"/>
            <w:noWrap/>
            <w:vAlign w:val="bottom"/>
            <w:hideMark/>
          </w:tcPr>
          <w:p w14:paraId="307502F1" w14:textId="77777777" w:rsidR="00772BDB" w:rsidRPr="004E74A6" w:rsidRDefault="00772BDB" w:rsidP="00CE62C1">
            <w:pPr>
              <w:spacing w:line="276" w:lineRule="auto"/>
              <w:ind w:firstLineChars="200" w:firstLine="400"/>
              <w:jc w:val="left"/>
              <w:rPr>
                <w:rFonts w:cs="Calibri"/>
                <w:color w:val="000000"/>
                <w:sz w:val="20"/>
                <w:lang w:eastAsia="es-CR"/>
              </w:rPr>
            </w:pPr>
            <w:r w:rsidRPr="004E74A6">
              <w:rPr>
                <w:rFonts w:cs="Calibri"/>
                <w:color w:val="000000"/>
                <w:sz w:val="20"/>
                <w:lang w:eastAsia="es-CR"/>
              </w:rPr>
              <w:t>Monitorio arrendaticio</w:t>
            </w:r>
          </w:p>
        </w:tc>
        <w:tc>
          <w:tcPr>
            <w:tcW w:w="471" w:type="pct"/>
            <w:tcBorders>
              <w:top w:val="nil"/>
              <w:left w:val="single" w:sz="4" w:space="0" w:color="auto"/>
              <w:bottom w:val="nil"/>
              <w:right w:val="single" w:sz="4" w:space="0" w:color="auto"/>
            </w:tcBorders>
            <w:shd w:val="clear" w:color="auto" w:fill="auto"/>
            <w:noWrap/>
            <w:vAlign w:val="center"/>
            <w:hideMark/>
          </w:tcPr>
          <w:p w14:paraId="13FEAE8C" w14:textId="77777777" w:rsidR="00772BDB" w:rsidRPr="004E74A6" w:rsidRDefault="00772BDB" w:rsidP="00CE62C1">
            <w:pPr>
              <w:spacing w:line="276" w:lineRule="auto"/>
              <w:jc w:val="center"/>
              <w:rPr>
                <w:rFonts w:cs="Calibri"/>
                <w:color w:val="000000"/>
                <w:sz w:val="20"/>
                <w:lang w:eastAsia="es-CR"/>
              </w:rPr>
            </w:pPr>
            <w:r w:rsidRPr="004E74A6">
              <w:rPr>
                <w:rFonts w:cs="Calibri"/>
                <w:color w:val="000000"/>
                <w:sz w:val="20"/>
                <w:lang w:eastAsia="es-CR"/>
              </w:rPr>
              <w:t>1</w:t>
            </w:r>
          </w:p>
        </w:tc>
        <w:tc>
          <w:tcPr>
            <w:tcW w:w="472" w:type="pct"/>
            <w:tcBorders>
              <w:top w:val="nil"/>
              <w:left w:val="single" w:sz="4" w:space="0" w:color="auto"/>
              <w:bottom w:val="nil"/>
              <w:right w:val="single" w:sz="4" w:space="0" w:color="auto"/>
            </w:tcBorders>
            <w:shd w:val="clear" w:color="auto" w:fill="auto"/>
            <w:noWrap/>
            <w:vAlign w:val="center"/>
            <w:hideMark/>
          </w:tcPr>
          <w:p w14:paraId="2C7ADFEA" w14:textId="77777777" w:rsidR="00772BDB" w:rsidRPr="004E74A6" w:rsidRDefault="00772BDB" w:rsidP="00CE62C1">
            <w:pPr>
              <w:spacing w:line="276" w:lineRule="auto"/>
              <w:jc w:val="center"/>
              <w:rPr>
                <w:rFonts w:cs="Calibri"/>
                <w:color w:val="000000"/>
                <w:sz w:val="20"/>
                <w:lang w:eastAsia="es-CR"/>
              </w:rPr>
            </w:pPr>
            <w:r w:rsidRPr="004E74A6">
              <w:rPr>
                <w:rFonts w:cs="Calibri"/>
                <w:color w:val="000000"/>
                <w:sz w:val="20"/>
                <w:lang w:eastAsia="es-CR"/>
              </w:rPr>
              <w:t>1</w:t>
            </w:r>
          </w:p>
        </w:tc>
        <w:tc>
          <w:tcPr>
            <w:tcW w:w="472" w:type="pct"/>
            <w:tcBorders>
              <w:top w:val="nil"/>
              <w:left w:val="single" w:sz="4" w:space="0" w:color="auto"/>
              <w:bottom w:val="nil"/>
              <w:right w:val="single" w:sz="4" w:space="0" w:color="auto"/>
            </w:tcBorders>
            <w:shd w:val="clear" w:color="auto" w:fill="auto"/>
            <w:noWrap/>
            <w:vAlign w:val="center"/>
            <w:hideMark/>
          </w:tcPr>
          <w:p w14:paraId="00ECF08C" w14:textId="77777777" w:rsidR="00772BDB" w:rsidRPr="004E74A6" w:rsidRDefault="00772BDB" w:rsidP="00CE62C1">
            <w:pPr>
              <w:spacing w:line="276" w:lineRule="auto"/>
              <w:jc w:val="center"/>
              <w:rPr>
                <w:rFonts w:cs="Calibri"/>
                <w:color w:val="000000"/>
                <w:sz w:val="20"/>
                <w:lang w:eastAsia="es-CR"/>
              </w:rPr>
            </w:pPr>
          </w:p>
        </w:tc>
        <w:tc>
          <w:tcPr>
            <w:tcW w:w="566" w:type="pct"/>
            <w:tcBorders>
              <w:top w:val="nil"/>
              <w:left w:val="single" w:sz="4" w:space="0" w:color="auto"/>
              <w:bottom w:val="nil"/>
              <w:right w:val="nil"/>
            </w:tcBorders>
            <w:shd w:val="clear" w:color="auto" w:fill="auto"/>
            <w:noWrap/>
            <w:vAlign w:val="center"/>
            <w:hideMark/>
          </w:tcPr>
          <w:p w14:paraId="1CD4EADA" w14:textId="017654A0" w:rsidR="00772BDB" w:rsidRPr="004E74A6" w:rsidRDefault="00772BDB" w:rsidP="00CE62C1">
            <w:pPr>
              <w:spacing w:line="276" w:lineRule="auto"/>
              <w:jc w:val="center"/>
              <w:rPr>
                <w:rFonts w:cs="Calibri"/>
                <w:color w:val="000000"/>
                <w:sz w:val="20"/>
                <w:lang w:eastAsia="es-CR"/>
              </w:rPr>
            </w:pPr>
            <w:r w:rsidRPr="004E74A6">
              <w:rPr>
                <w:rFonts w:cs="Calibri"/>
                <w:color w:val="000000"/>
                <w:sz w:val="20"/>
              </w:rPr>
              <w:t>1</w:t>
            </w:r>
          </w:p>
        </w:tc>
      </w:tr>
      <w:tr w:rsidR="00772BDB" w:rsidRPr="004E74A6" w14:paraId="398F50B2" w14:textId="77777777" w:rsidTr="00941062">
        <w:trPr>
          <w:trHeight w:val="288"/>
        </w:trPr>
        <w:tc>
          <w:tcPr>
            <w:tcW w:w="3019" w:type="pct"/>
            <w:tcBorders>
              <w:top w:val="nil"/>
              <w:left w:val="nil"/>
              <w:bottom w:val="nil"/>
              <w:right w:val="single" w:sz="4" w:space="0" w:color="auto"/>
            </w:tcBorders>
            <w:shd w:val="clear" w:color="auto" w:fill="auto"/>
            <w:noWrap/>
            <w:vAlign w:val="bottom"/>
            <w:hideMark/>
          </w:tcPr>
          <w:p w14:paraId="2135BBA4" w14:textId="77777777" w:rsidR="00772BDB" w:rsidRPr="004E74A6" w:rsidRDefault="00772BDB" w:rsidP="00CE62C1">
            <w:pPr>
              <w:spacing w:line="276" w:lineRule="auto"/>
              <w:ind w:firstLineChars="200" w:firstLine="400"/>
              <w:jc w:val="left"/>
              <w:rPr>
                <w:rFonts w:cs="Calibri"/>
                <w:color w:val="000000"/>
                <w:sz w:val="20"/>
                <w:lang w:eastAsia="es-CR"/>
              </w:rPr>
            </w:pPr>
            <w:r w:rsidRPr="004E74A6">
              <w:rPr>
                <w:rFonts w:cs="Calibri"/>
                <w:color w:val="000000"/>
                <w:sz w:val="20"/>
                <w:lang w:eastAsia="es-CR"/>
              </w:rPr>
              <w:t>No contenciosos Especiales</w:t>
            </w:r>
          </w:p>
        </w:tc>
        <w:tc>
          <w:tcPr>
            <w:tcW w:w="471" w:type="pct"/>
            <w:tcBorders>
              <w:top w:val="nil"/>
              <w:left w:val="single" w:sz="4" w:space="0" w:color="auto"/>
              <w:bottom w:val="nil"/>
              <w:right w:val="single" w:sz="4" w:space="0" w:color="auto"/>
            </w:tcBorders>
            <w:shd w:val="clear" w:color="auto" w:fill="auto"/>
            <w:noWrap/>
            <w:vAlign w:val="center"/>
            <w:hideMark/>
          </w:tcPr>
          <w:p w14:paraId="256C514B" w14:textId="77777777" w:rsidR="00772BDB" w:rsidRPr="004E74A6" w:rsidRDefault="00772BDB" w:rsidP="00CE62C1">
            <w:pPr>
              <w:spacing w:line="276" w:lineRule="auto"/>
              <w:jc w:val="center"/>
              <w:rPr>
                <w:rFonts w:cs="Calibri"/>
                <w:color w:val="000000"/>
                <w:sz w:val="20"/>
                <w:lang w:eastAsia="es-CR"/>
              </w:rPr>
            </w:pPr>
            <w:r w:rsidRPr="004E74A6">
              <w:rPr>
                <w:rFonts w:cs="Calibri"/>
                <w:color w:val="000000"/>
                <w:sz w:val="20"/>
                <w:lang w:eastAsia="es-CR"/>
              </w:rPr>
              <w:t>2</w:t>
            </w:r>
          </w:p>
        </w:tc>
        <w:tc>
          <w:tcPr>
            <w:tcW w:w="472" w:type="pct"/>
            <w:tcBorders>
              <w:top w:val="nil"/>
              <w:left w:val="single" w:sz="4" w:space="0" w:color="auto"/>
              <w:bottom w:val="nil"/>
              <w:right w:val="single" w:sz="4" w:space="0" w:color="auto"/>
            </w:tcBorders>
            <w:shd w:val="clear" w:color="auto" w:fill="auto"/>
            <w:noWrap/>
            <w:vAlign w:val="center"/>
            <w:hideMark/>
          </w:tcPr>
          <w:p w14:paraId="477769BF" w14:textId="77777777" w:rsidR="00772BDB" w:rsidRPr="004E74A6" w:rsidRDefault="00772BDB" w:rsidP="00CE62C1">
            <w:pPr>
              <w:spacing w:line="276" w:lineRule="auto"/>
              <w:jc w:val="center"/>
              <w:rPr>
                <w:rFonts w:cs="Calibri"/>
                <w:color w:val="000000"/>
                <w:sz w:val="20"/>
                <w:lang w:eastAsia="es-CR"/>
              </w:rPr>
            </w:pPr>
          </w:p>
        </w:tc>
        <w:tc>
          <w:tcPr>
            <w:tcW w:w="472" w:type="pct"/>
            <w:tcBorders>
              <w:top w:val="nil"/>
              <w:left w:val="single" w:sz="4" w:space="0" w:color="auto"/>
              <w:bottom w:val="nil"/>
              <w:right w:val="single" w:sz="4" w:space="0" w:color="auto"/>
            </w:tcBorders>
            <w:shd w:val="clear" w:color="auto" w:fill="auto"/>
            <w:noWrap/>
            <w:vAlign w:val="center"/>
            <w:hideMark/>
          </w:tcPr>
          <w:p w14:paraId="4B20AF1F" w14:textId="77777777" w:rsidR="00772BDB" w:rsidRPr="004E74A6" w:rsidRDefault="00772BDB" w:rsidP="00CE62C1">
            <w:pPr>
              <w:spacing w:line="276" w:lineRule="auto"/>
              <w:jc w:val="center"/>
              <w:rPr>
                <w:sz w:val="20"/>
                <w:lang w:eastAsia="es-CR"/>
              </w:rPr>
            </w:pPr>
          </w:p>
        </w:tc>
        <w:tc>
          <w:tcPr>
            <w:tcW w:w="566" w:type="pct"/>
            <w:tcBorders>
              <w:top w:val="nil"/>
              <w:left w:val="single" w:sz="4" w:space="0" w:color="auto"/>
              <w:bottom w:val="nil"/>
              <w:right w:val="nil"/>
            </w:tcBorders>
            <w:shd w:val="clear" w:color="auto" w:fill="auto"/>
            <w:noWrap/>
            <w:vAlign w:val="center"/>
            <w:hideMark/>
          </w:tcPr>
          <w:p w14:paraId="3FEB1B9E" w14:textId="147B905E" w:rsidR="00772BDB" w:rsidRPr="004E74A6" w:rsidRDefault="00772BDB" w:rsidP="00CE62C1">
            <w:pPr>
              <w:spacing w:line="276" w:lineRule="auto"/>
              <w:jc w:val="center"/>
              <w:rPr>
                <w:rFonts w:cs="Calibri"/>
                <w:color w:val="000000"/>
                <w:sz w:val="20"/>
                <w:lang w:eastAsia="es-CR"/>
              </w:rPr>
            </w:pPr>
            <w:r w:rsidRPr="004E74A6">
              <w:rPr>
                <w:rFonts w:cs="Calibri"/>
                <w:color w:val="000000"/>
                <w:sz w:val="20"/>
              </w:rPr>
              <w:t>2</w:t>
            </w:r>
          </w:p>
        </w:tc>
      </w:tr>
      <w:tr w:rsidR="00772BDB" w:rsidRPr="004E74A6" w14:paraId="1A07F126" w14:textId="77777777" w:rsidTr="00EA4D94">
        <w:trPr>
          <w:trHeight w:val="288"/>
        </w:trPr>
        <w:tc>
          <w:tcPr>
            <w:tcW w:w="3019" w:type="pct"/>
            <w:tcBorders>
              <w:top w:val="nil"/>
              <w:left w:val="nil"/>
              <w:bottom w:val="nil"/>
              <w:right w:val="single" w:sz="4" w:space="0" w:color="auto"/>
            </w:tcBorders>
            <w:shd w:val="clear" w:color="auto" w:fill="C5E0B3" w:themeFill="accent6" w:themeFillTint="66"/>
            <w:noWrap/>
            <w:vAlign w:val="bottom"/>
            <w:hideMark/>
          </w:tcPr>
          <w:p w14:paraId="4A177D67" w14:textId="77777777" w:rsidR="00772BDB" w:rsidRPr="004E74A6" w:rsidRDefault="00772BDB" w:rsidP="00CE62C1">
            <w:pPr>
              <w:spacing w:line="276" w:lineRule="auto"/>
              <w:ind w:firstLineChars="200" w:firstLine="400"/>
              <w:jc w:val="left"/>
              <w:rPr>
                <w:rFonts w:cs="Calibri"/>
                <w:color w:val="000000"/>
                <w:sz w:val="20"/>
                <w:lang w:eastAsia="es-CR"/>
              </w:rPr>
            </w:pPr>
            <w:r w:rsidRPr="004E74A6">
              <w:rPr>
                <w:rFonts w:cs="Calibri"/>
                <w:color w:val="000000"/>
                <w:sz w:val="20"/>
                <w:lang w:eastAsia="es-CR"/>
              </w:rPr>
              <w:t>Ordinario</w:t>
            </w:r>
          </w:p>
        </w:tc>
        <w:tc>
          <w:tcPr>
            <w:tcW w:w="471" w:type="pct"/>
            <w:tcBorders>
              <w:top w:val="nil"/>
              <w:left w:val="single" w:sz="4" w:space="0" w:color="auto"/>
              <w:bottom w:val="nil"/>
              <w:right w:val="single" w:sz="4" w:space="0" w:color="auto"/>
            </w:tcBorders>
            <w:shd w:val="clear" w:color="auto" w:fill="C5E0B3" w:themeFill="accent6" w:themeFillTint="66"/>
            <w:noWrap/>
            <w:vAlign w:val="center"/>
            <w:hideMark/>
          </w:tcPr>
          <w:p w14:paraId="0232AFDD" w14:textId="77777777" w:rsidR="00772BDB" w:rsidRPr="004E74A6" w:rsidRDefault="00772BDB" w:rsidP="00CE62C1">
            <w:pPr>
              <w:spacing w:line="276" w:lineRule="auto"/>
              <w:jc w:val="center"/>
              <w:rPr>
                <w:rFonts w:cs="Calibri"/>
                <w:color w:val="000000"/>
                <w:sz w:val="20"/>
                <w:lang w:eastAsia="es-CR"/>
              </w:rPr>
            </w:pPr>
            <w:r w:rsidRPr="004E74A6">
              <w:rPr>
                <w:rFonts w:cs="Calibri"/>
                <w:color w:val="000000"/>
                <w:sz w:val="20"/>
                <w:lang w:eastAsia="es-CR"/>
              </w:rPr>
              <w:t>319</w:t>
            </w:r>
          </w:p>
        </w:tc>
        <w:tc>
          <w:tcPr>
            <w:tcW w:w="472" w:type="pct"/>
            <w:tcBorders>
              <w:top w:val="nil"/>
              <w:left w:val="single" w:sz="4" w:space="0" w:color="auto"/>
              <w:bottom w:val="nil"/>
              <w:right w:val="single" w:sz="4" w:space="0" w:color="auto"/>
            </w:tcBorders>
            <w:shd w:val="clear" w:color="auto" w:fill="C5E0B3" w:themeFill="accent6" w:themeFillTint="66"/>
            <w:noWrap/>
            <w:vAlign w:val="center"/>
            <w:hideMark/>
          </w:tcPr>
          <w:p w14:paraId="6D9163C9" w14:textId="77777777" w:rsidR="00772BDB" w:rsidRPr="004E74A6" w:rsidRDefault="00772BDB" w:rsidP="00CE62C1">
            <w:pPr>
              <w:spacing w:line="276" w:lineRule="auto"/>
              <w:jc w:val="center"/>
              <w:rPr>
                <w:rFonts w:cs="Calibri"/>
                <w:color w:val="000000"/>
                <w:sz w:val="20"/>
                <w:lang w:eastAsia="es-CR"/>
              </w:rPr>
            </w:pPr>
            <w:r w:rsidRPr="004E74A6">
              <w:rPr>
                <w:rFonts w:cs="Calibri"/>
                <w:color w:val="000000"/>
                <w:sz w:val="20"/>
                <w:lang w:eastAsia="es-CR"/>
              </w:rPr>
              <w:t>318</w:t>
            </w:r>
          </w:p>
        </w:tc>
        <w:tc>
          <w:tcPr>
            <w:tcW w:w="472" w:type="pct"/>
            <w:tcBorders>
              <w:top w:val="nil"/>
              <w:left w:val="single" w:sz="4" w:space="0" w:color="auto"/>
              <w:bottom w:val="nil"/>
              <w:right w:val="single" w:sz="4" w:space="0" w:color="auto"/>
            </w:tcBorders>
            <w:shd w:val="clear" w:color="auto" w:fill="C5E0B3" w:themeFill="accent6" w:themeFillTint="66"/>
            <w:noWrap/>
            <w:vAlign w:val="center"/>
            <w:hideMark/>
          </w:tcPr>
          <w:p w14:paraId="7DAE0031" w14:textId="77777777" w:rsidR="00772BDB" w:rsidRPr="004E74A6" w:rsidRDefault="00772BDB" w:rsidP="00CE62C1">
            <w:pPr>
              <w:spacing w:line="276" w:lineRule="auto"/>
              <w:jc w:val="center"/>
              <w:rPr>
                <w:rFonts w:cs="Calibri"/>
                <w:color w:val="000000"/>
                <w:sz w:val="20"/>
                <w:lang w:eastAsia="es-CR"/>
              </w:rPr>
            </w:pPr>
            <w:r w:rsidRPr="004E74A6">
              <w:rPr>
                <w:rFonts w:cs="Calibri"/>
                <w:color w:val="000000"/>
                <w:sz w:val="20"/>
                <w:lang w:eastAsia="es-CR"/>
              </w:rPr>
              <w:t>330</w:t>
            </w:r>
          </w:p>
        </w:tc>
        <w:tc>
          <w:tcPr>
            <w:tcW w:w="566" w:type="pct"/>
            <w:tcBorders>
              <w:top w:val="nil"/>
              <w:left w:val="single" w:sz="4" w:space="0" w:color="auto"/>
              <w:bottom w:val="nil"/>
              <w:right w:val="nil"/>
            </w:tcBorders>
            <w:shd w:val="clear" w:color="auto" w:fill="C5E0B3" w:themeFill="accent6" w:themeFillTint="66"/>
            <w:noWrap/>
            <w:vAlign w:val="center"/>
            <w:hideMark/>
          </w:tcPr>
          <w:p w14:paraId="174A5768" w14:textId="2C02B11F" w:rsidR="00772BDB" w:rsidRPr="004E74A6" w:rsidRDefault="00772BDB" w:rsidP="00CE62C1">
            <w:pPr>
              <w:spacing w:line="276" w:lineRule="auto"/>
              <w:jc w:val="center"/>
              <w:rPr>
                <w:rFonts w:cs="Calibri"/>
                <w:color w:val="000000"/>
                <w:sz w:val="20"/>
                <w:lang w:eastAsia="es-CR"/>
              </w:rPr>
            </w:pPr>
            <w:r w:rsidRPr="004E74A6">
              <w:rPr>
                <w:rFonts w:cs="Calibri"/>
                <w:color w:val="000000"/>
                <w:sz w:val="20"/>
              </w:rPr>
              <w:t>322</w:t>
            </w:r>
          </w:p>
        </w:tc>
      </w:tr>
      <w:tr w:rsidR="00772BDB" w:rsidRPr="004E74A6" w14:paraId="004BED22" w14:textId="77777777" w:rsidTr="00941062">
        <w:trPr>
          <w:trHeight w:val="288"/>
        </w:trPr>
        <w:tc>
          <w:tcPr>
            <w:tcW w:w="3019" w:type="pct"/>
            <w:tcBorders>
              <w:top w:val="nil"/>
              <w:left w:val="nil"/>
              <w:bottom w:val="nil"/>
              <w:right w:val="single" w:sz="4" w:space="0" w:color="auto"/>
            </w:tcBorders>
            <w:shd w:val="clear" w:color="auto" w:fill="auto"/>
            <w:noWrap/>
            <w:vAlign w:val="bottom"/>
            <w:hideMark/>
          </w:tcPr>
          <w:p w14:paraId="3DBAF368" w14:textId="77777777" w:rsidR="00772BDB" w:rsidRPr="004E74A6" w:rsidRDefault="00772BDB" w:rsidP="00CE62C1">
            <w:pPr>
              <w:spacing w:line="276" w:lineRule="auto"/>
              <w:ind w:firstLineChars="200" w:firstLine="400"/>
              <w:jc w:val="left"/>
              <w:rPr>
                <w:rFonts w:cs="Calibri"/>
                <w:color w:val="000000"/>
                <w:sz w:val="20"/>
                <w:lang w:eastAsia="es-CR"/>
              </w:rPr>
            </w:pPr>
            <w:r w:rsidRPr="004E74A6">
              <w:rPr>
                <w:rFonts w:cs="Calibri"/>
                <w:color w:val="000000"/>
                <w:sz w:val="20"/>
                <w:lang w:eastAsia="es-CR"/>
              </w:rPr>
              <w:t>Pago por consignación</w:t>
            </w:r>
          </w:p>
        </w:tc>
        <w:tc>
          <w:tcPr>
            <w:tcW w:w="471" w:type="pct"/>
            <w:tcBorders>
              <w:top w:val="nil"/>
              <w:left w:val="single" w:sz="4" w:space="0" w:color="auto"/>
              <w:bottom w:val="nil"/>
              <w:right w:val="single" w:sz="4" w:space="0" w:color="auto"/>
            </w:tcBorders>
            <w:shd w:val="clear" w:color="auto" w:fill="auto"/>
            <w:noWrap/>
            <w:vAlign w:val="center"/>
            <w:hideMark/>
          </w:tcPr>
          <w:p w14:paraId="4818A3E3" w14:textId="77777777" w:rsidR="00772BDB" w:rsidRPr="004E74A6" w:rsidRDefault="00772BDB" w:rsidP="00CE62C1">
            <w:pPr>
              <w:spacing w:line="276" w:lineRule="auto"/>
              <w:jc w:val="center"/>
              <w:rPr>
                <w:rFonts w:cs="Calibri"/>
                <w:color w:val="000000"/>
                <w:sz w:val="20"/>
                <w:lang w:eastAsia="es-CR"/>
              </w:rPr>
            </w:pPr>
            <w:r w:rsidRPr="004E74A6">
              <w:rPr>
                <w:rFonts w:cs="Calibri"/>
                <w:color w:val="000000"/>
                <w:sz w:val="20"/>
                <w:lang w:eastAsia="es-CR"/>
              </w:rPr>
              <w:t>1</w:t>
            </w:r>
          </w:p>
        </w:tc>
        <w:tc>
          <w:tcPr>
            <w:tcW w:w="472" w:type="pct"/>
            <w:tcBorders>
              <w:top w:val="nil"/>
              <w:left w:val="single" w:sz="4" w:space="0" w:color="auto"/>
              <w:bottom w:val="nil"/>
              <w:right w:val="single" w:sz="4" w:space="0" w:color="auto"/>
            </w:tcBorders>
            <w:shd w:val="clear" w:color="auto" w:fill="auto"/>
            <w:noWrap/>
            <w:vAlign w:val="center"/>
            <w:hideMark/>
          </w:tcPr>
          <w:p w14:paraId="745423C3" w14:textId="77777777" w:rsidR="00772BDB" w:rsidRPr="004E74A6" w:rsidRDefault="00772BDB" w:rsidP="00CE62C1">
            <w:pPr>
              <w:spacing w:line="276" w:lineRule="auto"/>
              <w:jc w:val="center"/>
              <w:rPr>
                <w:rFonts w:cs="Calibri"/>
                <w:color w:val="000000"/>
                <w:sz w:val="20"/>
                <w:lang w:eastAsia="es-CR"/>
              </w:rPr>
            </w:pPr>
            <w:r w:rsidRPr="004E74A6">
              <w:rPr>
                <w:rFonts w:cs="Calibri"/>
                <w:color w:val="000000"/>
                <w:sz w:val="20"/>
                <w:lang w:eastAsia="es-CR"/>
              </w:rPr>
              <w:t>1</w:t>
            </w:r>
          </w:p>
        </w:tc>
        <w:tc>
          <w:tcPr>
            <w:tcW w:w="472" w:type="pct"/>
            <w:tcBorders>
              <w:top w:val="nil"/>
              <w:left w:val="single" w:sz="4" w:space="0" w:color="auto"/>
              <w:bottom w:val="nil"/>
              <w:right w:val="single" w:sz="4" w:space="0" w:color="auto"/>
            </w:tcBorders>
            <w:shd w:val="clear" w:color="auto" w:fill="auto"/>
            <w:noWrap/>
            <w:vAlign w:val="center"/>
            <w:hideMark/>
          </w:tcPr>
          <w:p w14:paraId="5AECEA0C" w14:textId="77777777" w:rsidR="00772BDB" w:rsidRPr="004E74A6" w:rsidRDefault="00772BDB" w:rsidP="00CE62C1">
            <w:pPr>
              <w:spacing w:line="276" w:lineRule="auto"/>
              <w:jc w:val="center"/>
              <w:rPr>
                <w:rFonts w:cs="Calibri"/>
                <w:color w:val="000000"/>
                <w:sz w:val="20"/>
                <w:lang w:eastAsia="es-CR"/>
              </w:rPr>
            </w:pPr>
          </w:p>
        </w:tc>
        <w:tc>
          <w:tcPr>
            <w:tcW w:w="566" w:type="pct"/>
            <w:tcBorders>
              <w:top w:val="nil"/>
              <w:left w:val="single" w:sz="4" w:space="0" w:color="auto"/>
              <w:bottom w:val="nil"/>
              <w:right w:val="nil"/>
            </w:tcBorders>
            <w:shd w:val="clear" w:color="auto" w:fill="auto"/>
            <w:noWrap/>
            <w:vAlign w:val="center"/>
            <w:hideMark/>
          </w:tcPr>
          <w:p w14:paraId="4DDBB217" w14:textId="21A88349" w:rsidR="00772BDB" w:rsidRPr="004E74A6" w:rsidRDefault="00772BDB" w:rsidP="00CE62C1">
            <w:pPr>
              <w:spacing w:line="276" w:lineRule="auto"/>
              <w:jc w:val="center"/>
              <w:rPr>
                <w:rFonts w:cs="Calibri"/>
                <w:color w:val="000000"/>
                <w:sz w:val="20"/>
                <w:lang w:eastAsia="es-CR"/>
              </w:rPr>
            </w:pPr>
            <w:r w:rsidRPr="004E74A6">
              <w:rPr>
                <w:rFonts w:cs="Calibri"/>
                <w:color w:val="000000"/>
                <w:sz w:val="20"/>
              </w:rPr>
              <w:t>1</w:t>
            </w:r>
          </w:p>
        </w:tc>
      </w:tr>
      <w:tr w:rsidR="00772BDB" w:rsidRPr="004E74A6" w14:paraId="77AE075E" w14:textId="77777777" w:rsidTr="00941062">
        <w:trPr>
          <w:trHeight w:val="288"/>
        </w:trPr>
        <w:tc>
          <w:tcPr>
            <w:tcW w:w="3019" w:type="pct"/>
            <w:tcBorders>
              <w:top w:val="nil"/>
              <w:left w:val="nil"/>
              <w:bottom w:val="nil"/>
              <w:right w:val="single" w:sz="4" w:space="0" w:color="auto"/>
            </w:tcBorders>
            <w:shd w:val="clear" w:color="auto" w:fill="auto"/>
            <w:noWrap/>
            <w:vAlign w:val="bottom"/>
            <w:hideMark/>
          </w:tcPr>
          <w:p w14:paraId="7BD4DD7B" w14:textId="77777777" w:rsidR="00772BDB" w:rsidRPr="004E74A6" w:rsidRDefault="00772BDB" w:rsidP="00CE62C1">
            <w:pPr>
              <w:spacing w:line="276" w:lineRule="auto"/>
              <w:ind w:firstLineChars="200" w:firstLine="400"/>
              <w:jc w:val="left"/>
              <w:rPr>
                <w:rFonts w:cs="Calibri"/>
                <w:color w:val="000000"/>
                <w:sz w:val="20"/>
                <w:lang w:eastAsia="es-CR"/>
              </w:rPr>
            </w:pPr>
            <w:r w:rsidRPr="004E74A6">
              <w:rPr>
                <w:rFonts w:cs="Calibri"/>
                <w:color w:val="000000"/>
                <w:sz w:val="20"/>
                <w:lang w:eastAsia="es-CR"/>
              </w:rPr>
              <w:t>Sucesorio</w:t>
            </w:r>
          </w:p>
        </w:tc>
        <w:tc>
          <w:tcPr>
            <w:tcW w:w="471" w:type="pct"/>
            <w:tcBorders>
              <w:top w:val="nil"/>
              <w:left w:val="single" w:sz="4" w:space="0" w:color="auto"/>
              <w:bottom w:val="nil"/>
              <w:right w:val="single" w:sz="4" w:space="0" w:color="auto"/>
            </w:tcBorders>
            <w:shd w:val="clear" w:color="auto" w:fill="auto"/>
            <w:noWrap/>
            <w:vAlign w:val="center"/>
            <w:hideMark/>
          </w:tcPr>
          <w:p w14:paraId="3041B75D" w14:textId="77777777" w:rsidR="00772BDB" w:rsidRPr="004E74A6" w:rsidRDefault="00772BDB" w:rsidP="00CE62C1">
            <w:pPr>
              <w:spacing w:line="276" w:lineRule="auto"/>
              <w:jc w:val="center"/>
              <w:rPr>
                <w:sz w:val="20"/>
                <w:lang w:eastAsia="es-CR"/>
              </w:rPr>
            </w:pPr>
          </w:p>
        </w:tc>
        <w:tc>
          <w:tcPr>
            <w:tcW w:w="472" w:type="pct"/>
            <w:tcBorders>
              <w:top w:val="nil"/>
              <w:left w:val="single" w:sz="4" w:space="0" w:color="auto"/>
              <w:bottom w:val="nil"/>
              <w:right w:val="single" w:sz="4" w:space="0" w:color="auto"/>
            </w:tcBorders>
            <w:shd w:val="clear" w:color="auto" w:fill="auto"/>
            <w:noWrap/>
            <w:vAlign w:val="center"/>
            <w:hideMark/>
          </w:tcPr>
          <w:p w14:paraId="6424406D" w14:textId="77777777" w:rsidR="00772BDB" w:rsidRPr="004E74A6" w:rsidRDefault="00772BDB" w:rsidP="00CE62C1">
            <w:pPr>
              <w:spacing w:line="276" w:lineRule="auto"/>
              <w:jc w:val="center"/>
              <w:rPr>
                <w:sz w:val="20"/>
                <w:lang w:eastAsia="es-CR"/>
              </w:rPr>
            </w:pPr>
          </w:p>
        </w:tc>
        <w:tc>
          <w:tcPr>
            <w:tcW w:w="472" w:type="pct"/>
            <w:tcBorders>
              <w:top w:val="nil"/>
              <w:left w:val="single" w:sz="4" w:space="0" w:color="auto"/>
              <w:bottom w:val="nil"/>
              <w:right w:val="single" w:sz="4" w:space="0" w:color="auto"/>
            </w:tcBorders>
            <w:shd w:val="clear" w:color="auto" w:fill="auto"/>
            <w:noWrap/>
            <w:vAlign w:val="center"/>
            <w:hideMark/>
          </w:tcPr>
          <w:p w14:paraId="5DC8870A" w14:textId="77777777" w:rsidR="00772BDB" w:rsidRPr="004E74A6" w:rsidRDefault="00772BDB" w:rsidP="00CE62C1">
            <w:pPr>
              <w:spacing w:line="276" w:lineRule="auto"/>
              <w:jc w:val="center"/>
              <w:rPr>
                <w:rFonts w:cs="Calibri"/>
                <w:color w:val="000000"/>
                <w:sz w:val="20"/>
                <w:lang w:eastAsia="es-CR"/>
              </w:rPr>
            </w:pPr>
            <w:r w:rsidRPr="004E74A6">
              <w:rPr>
                <w:rFonts w:cs="Calibri"/>
                <w:color w:val="000000"/>
                <w:sz w:val="20"/>
                <w:lang w:eastAsia="es-CR"/>
              </w:rPr>
              <w:t>1</w:t>
            </w:r>
          </w:p>
        </w:tc>
        <w:tc>
          <w:tcPr>
            <w:tcW w:w="566" w:type="pct"/>
            <w:tcBorders>
              <w:top w:val="nil"/>
              <w:left w:val="single" w:sz="4" w:space="0" w:color="auto"/>
              <w:bottom w:val="nil"/>
              <w:right w:val="nil"/>
            </w:tcBorders>
            <w:shd w:val="clear" w:color="auto" w:fill="auto"/>
            <w:noWrap/>
            <w:vAlign w:val="center"/>
            <w:hideMark/>
          </w:tcPr>
          <w:p w14:paraId="70F1649E" w14:textId="0A683EA3" w:rsidR="00772BDB" w:rsidRPr="004E74A6" w:rsidRDefault="00772BDB" w:rsidP="00CE62C1">
            <w:pPr>
              <w:spacing w:line="276" w:lineRule="auto"/>
              <w:jc w:val="center"/>
              <w:rPr>
                <w:rFonts w:cs="Calibri"/>
                <w:color w:val="000000"/>
                <w:sz w:val="20"/>
                <w:lang w:eastAsia="es-CR"/>
              </w:rPr>
            </w:pPr>
            <w:r w:rsidRPr="004E74A6">
              <w:rPr>
                <w:rFonts w:cs="Calibri"/>
                <w:color w:val="000000"/>
                <w:sz w:val="20"/>
              </w:rPr>
              <w:t>1</w:t>
            </w:r>
          </w:p>
        </w:tc>
      </w:tr>
      <w:tr w:rsidR="00772BDB" w:rsidRPr="004E74A6" w14:paraId="55FEF38C" w14:textId="77777777" w:rsidTr="00941062">
        <w:trPr>
          <w:trHeight w:val="288"/>
        </w:trPr>
        <w:tc>
          <w:tcPr>
            <w:tcW w:w="3019" w:type="pct"/>
            <w:tcBorders>
              <w:top w:val="nil"/>
              <w:left w:val="nil"/>
              <w:bottom w:val="nil"/>
              <w:right w:val="single" w:sz="4" w:space="0" w:color="auto"/>
            </w:tcBorders>
            <w:shd w:val="clear" w:color="auto" w:fill="auto"/>
            <w:noWrap/>
            <w:vAlign w:val="bottom"/>
            <w:hideMark/>
          </w:tcPr>
          <w:p w14:paraId="6A5D98A8" w14:textId="77777777" w:rsidR="00772BDB" w:rsidRPr="004E74A6" w:rsidRDefault="00772BDB" w:rsidP="00CE62C1">
            <w:pPr>
              <w:spacing w:line="276" w:lineRule="auto"/>
              <w:ind w:firstLineChars="200" w:firstLine="400"/>
              <w:jc w:val="left"/>
              <w:rPr>
                <w:rFonts w:cs="Calibri"/>
                <w:color w:val="000000"/>
                <w:sz w:val="20"/>
                <w:lang w:eastAsia="es-CR"/>
              </w:rPr>
            </w:pPr>
            <w:r w:rsidRPr="004E74A6">
              <w:rPr>
                <w:rFonts w:cs="Calibri"/>
                <w:color w:val="000000"/>
                <w:sz w:val="20"/>
                <w:lang w:eastAsia="es-CR"/>
              </w:rPr>
              <w:t>Sumario de cobro de obligación dineraria no monitoria</w:t>
            </w:r>
          </w:p>
        </w:tc>
        <w:tc>
          <w:tcPr>
            <w:tcW w:w="471" w:type="pct"/>
            <w:tcBorders>
              <w:top w:val="nil"/>
              <w:left w:val="single" w:sz="4" w:space="0" w:color="auto"/>
              <w:bottom w:val="nil"/>
              <w:right w:val="single" w:sz="4" w:space="0" w:color="auto"/>
            </w:tcBorders>
            <w:shd w:val="clear" w:color="auto" w:fill="auto"/>
            <w:noWrap/>
            <w:vAlign w:val="center"/>
            <w:hideMark/>
          </w:tcPr>
          <w:p w14:paraId="23B65A72" w14:textId="77777777" w:rsidR="00772BDB" w:rsidRPr="004E74A6" w:rsidRDefault="00772BDB" w:rsidP="00CE62C1">
            <w:pPr>
              <w:spacing w:line="276" w:lineRule="auto"/>
              <w:jc w:val="center"/>
              <w:rPr>
                <w:sz w:val="20"/>
                <w:lang w:eastAsia="es-CR"/>
              </w:rPr>
            </w:pPr>
          </w:p>
        </w:tc>
        <w:tc>
          <w:tcPr>
            <w:tcW w:w="472" w:type="pct"/>
            <w:tcBorders>
              <w:top w:val="nil"/>
              <w:left w:val="single" w:sz="4" w:space="0" w:color="auto"/>
              <w:bottom w:val="nil"/>
              <w:right w:val="single" w:sz="4" w:space="0" w:color="auto"/>
            </w:tcBorders>
            <w:shd w:val="clear" w:color="auto" w:fill="auto"/>
            <w:noWrap/>
            <w:vAlign w:val="center"/>
            <w:hideMark/>
          </w:tcPr>
          <w:p w14:paraId="25B89318" w14:textId="77777777" w:rsidR="00772BDB" w:rsidRPr="004E74A6" w:rsidRDefault="00772BDB" w:rsidP="00CE62C1">
            <w:pPr>
              <w:spacing w:line="276" w:lineRule="auto"/>
              <w:jc w:val="center"/>
              <w:rPr>
                <w:rFonts w:cs="Calibri"/>
                <w:color w:val="000000"/>
                <w:sz w:val="20"/>
                <w:lang w:eastAsia="es-CR"/>
              </w:rPr>
            </w:pPr>
            <w:r w:rsidRPr="004E74A6">
              <w:rPr>
                <w:rFonts w:cs="Calibri"/>
                <w:color w:val="000000"/>
                <w:sz w:val="20"/>
                <w:lang w:eastAsia="es-CR"/>
              </w:rPr>
              <w:t>1</w:t>
            </w:r>
          </w:p>
        </w:tc>
        <w:tc>
          <w:tcPr>
            <w:tcW w:w="472" w:type="pct"/>
            <w:tcBorders>
              <w:top w:val="nil"/>
              <w:left w:val="single" w:sz="4" w:space="0" w:color="auto"/>
              <w:bottom w:val="nil"/>
              <w:right w:val="single" w:sz="4" w:space="0" w:color="auto"/>
            </w:tcBorders>
            <w:shd w:val="clear" w:color="auto" w:fill="auto"/>
            <w:noWrap/>
            <w:vAlign w:val="center"/>
            <w:hideMark/>
          </w:tcPr>
          <w:p w14:paraId="34EFC4BB" w14:textId="77777777" w:rsidR="00772BDB" w:rsidRPr="004E74A6" w:rsidRDefault="00772BDB" w:rsidP="00CE62C1">
            <w:pPr>
              <w:spacing w:line="276" w:lineRule="auto"/>
              <w:jc w:val="center"/>
              <w:rPr>
                <w:rFonts w:cs="Calibri"/>
                <w:color w:val="000000"/>
                <w:sz w:val="20"/>
                <w:lang w:eastAsia="es-CR"/>
              </w:rPr>
            </w:pPr>
          </w:p>
        </w:tc>
        <w:tc>
          <w:tcPr>
            <w:tcW w:w="566" w:type="pct"/>
            <w:tcBorders>
              <w:top w:val="nil"/>
              <w:left w:val="single" w:sz="4" w:space="0" w:color="auto"/>
              <w:bottom w:val="nil"/>
              <w:right w:val="nil"/>
            </w:tcBorders>
            <w:shd w:val="clear" w:color="auto" w:fill="auto"/>
            <w:noWrap/>
            <w:vAlign w:val="center"/>
            <w:hideMark/>
          </w:tcPr>
          <w:p w14:paraId="6D5AF892" w14:textId="5E02A5F9" w:rsidR="00772BDB" w:rsidRPr="004E74A6" w:rsidRDefault="00772BDB" w:rsidP="00CE62C1">
            <w:pPr>
              <w:spacing w:line="276" w:lineRule="auto"/>
              <w:jc w:val="center"/>
              <w:rPr>
                <w:rFonts w:cs="Calibri"/>
                <w:color w:val="000000"/>
                <w:sz w:val="20"/>
                <w:lang w:eastAsia="es-CR"/>
              </w:rPr>
            </w:pPr>
            <w:r w:rsidRPr="004E74A6">
              <w:rPr>
                <w:rFonts w:cs="Calibri"/>
                <w:color w:val="000000"/>
                <w:sz w:val="20"/>
              </w:rPr>
              <w:t>1</w:t>
            </w:r>
          </w:p>
        </w:tc>
      </w:tr>
      <w:tr w:rsidR="00772BDB" w:rsidRPr="004E74A6" w14:paraId="5FAF01F8" w14:textId="77777777" w:rsidTr="00941062">
        <w:trPr>
          <w:trHeight w:val="288"/>
        </w:trPr>
        <w:tc>
          <w:tcPr>
            <w:tcW w:w="3019" w:type="pct"/>
            <w:tcBorders>
              <w:top w:val="nil"/>
              <w:left w:val="nil"/>
              <w:bottom w:val="nil"/>
              <w:right w:val="single" w:sz="4" w:space="0" w:color="auto"/>
            </w:tcBorders>
            <w:shd w:val="clear" w:color="auto" w:fill="auto"/>
            <w:noWrap/>
            <w:vAlign w:val="bottom"/>
            <w:hideMark/>
          </w:tcPr>
          <w:p w14:paraId="30D21B1A" w14:textId="77777777" w:rsidR="00772BDB" w:rsidRPr="004E74A6" w:rsidRDefault="00772BDB" w:rsidP="00CE62C1">
            <w:pPr>
              <w:spacing w:line="276" w:lineRule="auto"/>
              <w:ind w:firstLineChars="200" w:firstLine="400"/>
              <w:jc w:val="left"/>
              <w:rPr>
                <w:rFonts w:cs="Calibri"/>
                <w:color w:val="000000"/>
                <w:sz w:val="20"/>
                <w:lang w:eastAsia="es-CR"/>
              </w:rPr>
            </w:pPr>
            <w:r w:rsidRPr="004E74A6">
              <w:rPr>
                <w:rFonts w:cs="Calibri"/>
                <w:color w:val="000000"/>
                <w:sz w:val="20"/>
                <w:lang w:eastAsia="es-CR"/>
              </w:rPr>
              <w:t>Sumario de controversia en condominios</w:t>
            </w:r>
          </w:p>
        </w:tc>
        <w:tc>
          <w:tcPr>
            <w:tcW w:w="471" w:type="pct"/>
            <w:tcBorders>
              <w:top w:val="nil"/>
              <w:left w:val="single" w:sz="4" w:space="0" w:color="auto"/>
              <w:bottom w:val="nil"/>
              <w:right w:val="single" w:sz="4" w:space="0" w:color="auto"/>
            </w:tcBorders>
            <w:shd w:val="clear" w:color="auto" w:fill="auto"/>
            <w:noWrap/>
            <w:vAlign w:val="center"/>
            <w:hideMark/>
          </w:tcPr>
          <w:p w14:paraId="076674BD" w14:textId="77777777" w:rsidR="00772BDB" w:rsidRPr="004E74A6" w:rsidRDefault="00772BDB" w:rsidP="00CE62C1">
            <w:pPr>
              <w:spacing w:line="276" w:lineRule="auto"/>
              <w:jc w:val="center"/>
              <w:rPr>
                <w:sz w:val="20"/>
                <w:lang w:eastAsia="es-CR"/>
              </w:rPr>
            </w:pPr>
          </w:p>
        </w:tc>
        <w:tc>
          <w:tcPr>
            <w:tcW w:w="472" w:type="pct"/>
            <w:tcBorders>
              <w:top w:val="nil"/>
              <w:left w:val="single" w:sz="4" w:space="0" w:color="auto"/>
              <w:bottom w:val="nil"/>
              <w:right w:val="single" w:sz="4" w:space="0" w:color="auto"/>
            </w:tcBorders>
            <w:shd w:val="clear" w:color="auto" w:fill="auto"/>
            <w:noWrap/>
            <w:vAlign w:val="center"/>
            <w:hideMark/>
          </w:tcPr>
          <w:p w14:paraId="0099244C" w14:textId="77777777" w:rsidR="00772BDB" w:rsidRPr="004E74A6" w:rsidRDefault="00772BDB" w:rsidP="00CE62C1">
            <w:pPr>
              <w:spacing w:line="276" w:lineRule="auto"/>
              <w:jc w:val="center"/>
              <w:rPr>
                <w:rFonts w:cs="Calibri"/>
                <w:color w:val="000000"/>
                <w:sz w:val="20"/>
                <w:lang w:eastAsia="es-CR"/>
              </w:rPr>
            </w:pPr>
            <w:r w:rsidRPr="004E74A6">
              <w:rPr>
                <w:rFonts w:cs="Calibri"/>
                <w:color w:val="000000"/>
                <w:sz w:val="20"/>
                <w:lang w:eastAsia="es-CR"/>
              </w:rPr>
              <w:t>1</w:t>
            </w:r>
          </w:p>
        </w:tc>
        <w:tc>
          <w:tcPr>
            <w:tcW w:w="472" w:type="pct"/>
            <w:tcBorders>
              <w:top w:val="nil"/>
              <w:left w:val="single" w:sz="4" w:space="0" w:color="auto"/>
              <w:bottom w:val="nil"/>
              <w:right w:val="single" w:sz="4" w:space="0" w:color="auto"/>
            </w:tcBorders>
            <w:shd w:val="clear" w:color="auto" w:fill="auto"/>
            <w:noWrap/>
            <w:vAlign w:val="center"/>
            <w:hideMark/>
          </w:tcPr>
          <w:p w14:paraId="0E121C7A" w14:textId="77777777" w:rsidR="00772BDB" w:rsidRPr="004E74A6" w:rsidRDefault="00772BDB" w:rsidP="00CE62C1">
            <w:pPr>
              <w:spacing w:line="276" w:lineRule="auto"/>
              <w:jc w:val="center"/>
              <w:rPr>
                <w:rFonts w:cs="Calibri"/>
                <w:color w:val="000000"/>
                <w:sz w:val="20"/>
                <w:lang w:eastAsia="es-CR"/>
              </w:rPr>
            </w:pPr>
          </w:p>
        </w:tc>
        <w:tc>
          <w:tcPr>
            <w:tcW w:w="566" w:type="pct"/>
            <w:tcBorders>
              <w:top w:val="nil"/>
              <w:left w:val="single" w:sz="4" w:space="0" w:color="auto"/>
              <w:bottom w:val="nil"/>
              <w:right w:val="nil"/>
            </w:tcBorders>
            <w:shd w:val="clear" w:color="auto" w:fill="auto"/>
            <w:noWrap/>
            <w:vAlign w:val="center"/>
            <w:hideMark/>
          </w:tcPr>
          <w:p w14:paraId="67DB35E2" w14:textId="4D60C50F" w:rsidR="00772BDB" w:rsidRPr="004E74A6" w:rsidRDefault="00772BDB" w:rsidP="00CE62C1">
            <w:pPr>
              <w:spacing w:line="276" w:lineRule="auto"/>
              <w:jc w:val="center"/>
              <w:rPr>
                <w:rFonts w:cs="Calibri"/>
                <w:color w:val="000000"/>
                <w:sz w:val="20"/>
                <w:lang w:eastAsia="es-CR"/>
              </w:rPr>
            </w:pPr>
            <w:r w:rsidRPr="004E74A6">
              <w:rPr>
                <w:rFonts w:cs="Calibri"/>
                <w:color w:val="000000"/>
                <w:sz w:val="20"/>
              </w:rPr>
              <w:t>1</w:t>
            </w:r>
          </w:p>
        </w:tc>
      </w:tr>
      <w:tr w:rsidR="00772BDB" w:rsidRPr="004E74A6" w14:paraId="37032C98" w14:textId="77777777" w:rsidTr="00941062">
        <w:trPr>
          <w:trHeight w:val="288"/>
        </w:trPr>
        <w:tc>
          <w:tcPr>
            <w:tcW w:w="3019" w:type="pct"/>
            <w:tcBorders>
              <w:top w:val="nil"/>
              <w:left w:val="nil"/>
              <w:bottom w:val="nil"/>
              <w:right w:val="single" w:sz="4" w:space="0" w:color="auto"/>
            </w:tcBorders>
            <w:shd w:val="clear" w:color="auto" w:fill="auto"/>
            <w:noWrap/>
            <w:vAlign w:val="bottom"/>
            <w:hideMark/>
          </w:tcPr>
          <w:p w14:paraId="57EB679A" w14:textId="77777777" w:rsidR="00772BDB" w:rsidRPr="004E74A6" w:rsidRDefault="00772BDB" w:rsidP="00CE62C1">
            <w:pPr>
              <w:spacing w:line="276" w:lineRule="auto"/>
              <w:ind w:firstLineChars="200" w:firstLine="400"/>
              <w:jc w:val="left"/>
              <w:rPr>
                <w:rFonts w:cs="Calibri"/>
                <w:color w:val="000000"/>
                <w:sz w:val="20"/>
                <w:lang w:eastAsia="es-CR"/>
              </w:rPr>
            </w:pPr>
            <w:r w:rsidRPr="004E74A6">
              <w:rPr>
                <w:rFonts w:cs="Calibri"/>
                <w:color w:val="000000"/>
                <w:sz w:val="20"/>
                <w:lang w:eastAsia="es-CR"/>
              </w:rPr>
              <w:t>Sumario de defensa del consumidor</w:t>
            </w:r>
          </w:p>
        </w:tc>
        <w:tc>
          <w:tcPr>
            <w:tcW w:w="471" w:type="pct"/>
            <w:tcBorders>
              <w:top w:val="nil"/>
              <w:left w:val="single" w:sz="4" w:space="0" w:color="auto"/>
              <w:bottom w:val="nil"/>
              <w:right w:val="single" w:sz="4" w:space="0" w:color="auto"/>
            </w:tcBorders>
            <w:shd w:val="clear" w:color="auto" w:fill="auto"/>
            <w:noWrap/>
            <w:vAlign w:val="center"/>
            <w:hideMark/>
          </w:tcPr>
          <w:p w14:paraId="7CF256FC" w14:textId="77777777" w:rsidR="00772BDB" w:rsidRPr="004E74A6" w:rsidRDefault="00772BDB" w:rsidP="00CE62C1">
            <w:pPr>
              <w:spacing w:line="276" w:lineRule="auto"/>
              <w:jc w:val="center"/>
              <w:rPr>
                <w:rFonts w:cs="Calibri"/>
                <w:color w:val="000000"/>
                <w:sz w:val="20"/>
                <w:lang w:eastAsia="es-CR"/>
              </w:rPr>
            </w:pPr>
            <w:r w:rsidRPr="004E74A6">
              <w:rPr>
                <w:rFonts w:cs="Calibri"/>
                <w:color w:val="000000"/>
                <w:sz w:val="20"/>
                <w:lang w:eastAsia="es-CR"/>
              </w:rPr>
              <w:t>2</w:t>
            </w:r>
          </w:p>
        </w:tc>
        <w:tc>
          <w:tcPr>
            <w:tcW w:w="472" w:type="pct"/>
            <w:tcBorders>
              <w:top w:val="nil"/>
              <w:left w:val="single" w:sz="4" w:space="0" w:color="auto"/>
              <w:bottom w:val="nil"/>
              <w:right w:val="single" w:sz="4" w:space="0" w:color="auto"/>
            </w:tcBorders>
            <w:shd w:val="clear" w:color="auto" w:fill="auto"/>
            <w:noWrap/>
            <w:vAlign w:val="center"/>
            <w:hideMark/>
          </w:tcPr>
          <w:p w14:paraId="77FFEBCB" w14:textId="77777777" w:rsidR="00772BDB" w:rsidRPr="004E74A6" w:rsidRDefault="00772BDB" w:rsidP="00CE62C1">
            <w:pPr>
              <w:spacing w:line="276" w:lineRule="auto"/>
              <w:jc w:val="center"/>
              <w:rPr>
                <w:rFonts w:cs="Calibri"/>
                <w:color w:val="000000"/>
                <w:sz w:val="20"/>
                <w:lang w:eastAsia="es-CR"/>
              </w:rPr>
            </w:pPr>
            <w:r w:rsidRPr="004E74A6">
              <w:rPr>
                <w:rFonts w:cs="Calibri"/>
                <w:color w:val="000000"/>
                <w:sz w:val="20"/>
                <w:lang w:eastAsia="es-CR"/>
              </w:rPr>
              <w:t>1</w:t>
            </w:r>
          </w:p>
        </w:tc>
        <w:tc>
          <w:tcPr>
            <w:tcW w:w="472" w:type="pct"/>
            <w:tcBorders>
              <w:top w:val="nil"/>
              <w:left w:val="single" w:sz="4" w:space="0" w:color="auto"/>
              <w:bottom w:val="nil"/>
              <w:right w:val="single" w:sz="4" w:space="0" w:color="auto"/>
            </w:tcBorders>
            <w:shd w:val="clear" w:color="auto" w:fill="auto"/>
            <w:noWrap/>
            <w:vAlign w:val="center"/>
            <w:hideMark/>
          </w:tcPr>
          <w:p w14:paraId="3005BA77" w14:textId="77777777" w:rsidR="00772BDB" w:rsidRPr="004E74A6" w:rsidRDefault="00772BDB" w:rsidP="00CE62C1">
            <w:pPr>
              <w:spacing w:line="276" w:lineRule="auto"/>
              <w:jc w:val="center"/>
              <w:rPr>
                <w:rFonts w:cs="Calibri"/>
                <w:color w:val="000000"/>
                <w:sz w:val="20"/>
                <w:lang w:eastAsia="es-CR"/>
              </w:rPr>
            </w:pPr>
          </w:p>
        </w:tc>
        <w:tc>
          <w:tcPr>
            <w:tcW w:w="566" w:type="pct"/>
            <w:tcBorders>
              <w:top w:val="nil"/>
              <w:left w:val="single" w:sz="4" w:space="0" w:color="auto"/>
              <w:bottom w:val="nil"/>
              <w:right w:val="nil"/>
            </w:tcBorders>
            <w:shd w:val="clear" w:color="auto" w:fill="auto"/>
            <w:noWrap/>
            <w:vAlign w:val="center"/>
            <w:hideMark/>
          </w:tcPr>
          <w:p w14:paraId="66CF3A79" w14:textId="589942DE" w:rsidR="00772BDB" w:rsidRPr="004E74A6" w:rsidRDefault="00772BDB" w:rsidP="00CE62C1">
            <w:pPr>
              <w:spacing w:line="276" w:lineRule="auto"/>
              <w:jc w:val="center"/>
              <w:rPr>
                <w:rFonts w:cs="Calibri"/>
                <w:color w:val="000000"/>
                <w:sz w:val="20"/>
                <w:lang w:eastAsia="es-CR"/>
              </w:rPr>
            </w:pPr>
            <w:r w:rsidRPr="004E74A6">
              <w:rPr>
                <w:rFonts w:cs="Calibri"/>
                <w:color w:val="000000"/>
                <w:sz w:val="20"/>
              </w:rPr>
              <w:t>2</w:t>
            </w:r>
          </w:p>
        </w:tc>
      </w:tr>
      <w:tr w:rsidR="00772BDB" w:rsidRPr="004E74A6" w14:paraId="5BA1A0A6" w14:textId="77777777" w:rsidTr="00941062">
        <w:trPr>
          <w:trHeight w:val="288"/>
        </w:trPr>
        <w:tc>
          <w:tcPr>
            <w:tcW w:w="3019" w:type="pct"/>
            <w:tcBorders>
              <w:top w:val="nil"/>
              <w:left w:val="nil"/>
              <w:bottom w:val="nil"/>
              <w:right w:val="single" w:sz="4" w:space="0" w:color="auto"/>
            </w:tcBorders>
            <w:shd w:val="clear" w:color="auto" w:fill="auto"/>
            <w:noWrap/>
            <w:vAlign w:val="bottom"/>
            <w:hideMark/>
          </w:tcPr>
          <w:p w14:paraId="0FD287A2" w14:textId="77777777" w:rsidR="00772BDB" w:rsidRPr="004E74A6" w:rsidRDefault="00772BDB" w:rsidP="00CE62C1">
            <w:pPr>
              <w:spacing w:line="276" w:lineRule="auto"/>
              <w:ind w:firstLineChars="200" w:firstLine="400"/>
              <w:jc w:val="left"/>
              <w:rPr>
                <w:rFonts w:cs="Calibri"/>
                <w:color w:val="000000"/>
                <w:sz w:val="20"/>
                <w:lang w:eastAsia="es-CR"/>
              </w:rPr>
            </w:pPr>
            <w:r w:rsidRPr="004E74A6">
              <w:rPr>
                <w:rFonts w:cs="Calibri"/>
                <w:color w:val="000000"/>
                <w:sz w:val="20"/>
                <w:lang w:eastAsia="es-CR"/>
              </w:rPr>
              <w:t>Sumario de derribo</w:t>
            </w:r>
          </w:p>
        </w:tc>
        <w:tc>
          <w:tcPr>
            <w:tcW w:w="471" w:type="pct"/>
            <w:tcBorders>
              <w:top w:val="nil"/>
              <w:left w:val="single" w:sz="4" w:space="0" w:color="auto"/>
              <w:bottom w:val="nil"/>
              <w:right w:val="single" w:sz="4" w:space="0" w:color="auto"/>
            </w:tcBorders>
            <w:shd w:val="clear" w:color="auto" w:fill="auto"/>
            <w:noWrap/>
            <w:vAlign w:val="center"/>
            <w:hideMark/>
          </w:tcPr>
          <w:p w14:paraId="1AA9FF1C" w14:textId="77777777" w:rsidR="00772BDB" w:rsidRPr="004E74A6" w:rsidRDefault="00772BDB" w:rsidP="00CE62C1">
            <w:pPr>
              <w:spacing w:line="276" w:lineRule="auto"/>
              <w:jc w:val="center"/>
              <w:rPr>
                <w:rFonts w:cs="Calibri"/>
                <w:color w:val="000000"/>
                <w:sz w:val="20"/>
                <w:lang w:eastAsia="es-CR"/>
              </w:rPr>
            </w:pPr>
            <w:r w:rsidRPr="004E74A6">
              <w:rPr>
                <w:rFonts w:cs="Calibri"/>
                <w:color w:val="000000"/>
                <w:sz w:val="20"/>
                <w:lang w:eastAsia="es-CR"/>
              </w:rPr>
              <w:t>1</w:t>
            </w:r>
          </w:p>
        </w:tc>
        <w:tc>
          <w:tcPr>
            <w:tcW w:w="472" w:type="pct"/>
            <w:tcBorders>
              <w:top w:val="nil"/>
              <w:left w:val="single" w:sz="4" w:space="0" w:color="auto"/>
              <w:bottom w:val="nil"/>
              <w:right w:val="single" w:sz="4" w:space="0" w:color="auto"/>
            </w:tcBorders>
            <w:shd w:val="clear" w:color="auto" w:fill="auto"/>
            <w:noWrap/>
            <w:vAlign w:val="center"/>
            <w:hideMark/>
          </w:tcPr>
          <w:p w14:paraId="06ACA3ED" w14:textId="77777777" w:rsidR="00772BDB" w:rsidRPr="004E74A6" w:rsidRDefault="00772BDB" w:rsidP="00CE62C1">
            <w:pPr>
              <w:spacing w:line="276" w:lineRule="auto"/>
              <w:jc w:val="center"/>
              <w:rPr>
                <w:rFonts w:cs="Calibri"/>
                <w:color w:val="000000"/>
                <w:sz w:val="20"/>
                <w:lang w:eastAsia="es-CR"/>
              </w:rPr>
            </w:pPr>
          </w:p>
        </w:tc>
        <w:tc>
          <w:tcPr>
            <w:tcW w:w="472" w:type="pct"/>
            <w:tcBorders>
              <w:top w:val="nil"/>
              <w:left w:val="single" w:sz="4" w:space="0" w:color="auto"/>
              <w:bottom w:val="nil"/>
              <w:right w:val="single" w:sz="4" w:space="0" w:color="auto"/>
            </w:tcBorders>
            <w:shd w:val="clear" w:color="auto" w:fill="auto"/>
            <w:noWrap/>
            <w:vAlign w:val="center"/>
            <w:hideMark/>
          </w:tcPr>
          <w:p w14:paraId="28196AE7" w14:textId="77777777" w:rsidR="00772BDB" w:rsidRPr="004E74A6" w:rsidRDefault="00772BDB" w:rsidP="00CE62C1">
            <w:pPr>
              <w:spacing w:line="276" w:lineRule="auto"/>
              <w:jc w:val="center"/>
              <w:rPr>
                <w:rFonts w:cs="Calibri"/>
                <w:color w:val="000000"/>
                <w:sz w:val="20"/>
                <w:lang w:eastAsia="es-CR"/>
              </w:rPr>
            </w:pPr>
            <w:r w:rsidRPr="004E74A6">
              <w:rPr>
                <w:rFonts w:cs="Calibri"/>
                <w:color w:val="000000"/>
                <w:sz w:val="20"/>
                <w:lang w:eastAsia="es-CR"/>
              </w:rPr>
              <w:t>1</w:t>
            </w:r>
          </w:p>
        </w:tc>
        <w:tc>
          <w:tcPr>
            <w:tcW w:w="566" w:type="pct"/>
            <w:tcBorders>
              <w:top w:val="nil"/>
              <w:left w:val="single" w:sz="4" w:space="0" w:color="auto"/>
              <w:bottom w:val="nil"/>
              <w:right w:val="nil"/>
            </w:tcBorders>
            <w:shd w:val="clear" w:color="auto" w:fill="auto"/>
            <w:noWrap/>
            <w:vAlign w:val="center"/>
            <w:hideMark/>
          </w:tcPr>
          <w:p w14:paraId="7226F569" w14:textId="487178ED" w:rsidR="00772BDB" w:rsidRPr="004E74A6" w:rsidRDefault="00772BDB" w:rsidP="00CE62C1">
            <w:pPr>
              <w:spacing w:line="276" w:lineRule="auto"/>
              <w:jc w:val="center"/>
              <w:rPr>
                <w:rFonts w:cs="Calibri"/>
                <w:color w:val="000000"/>
                <w:sz w:val="20"/>
                <w:lang w:eastAsia="es-CR"/>
              </w:rPr>
            </w:pPr>
            <w:r w:rsidRPr="004E74A6">
              <w:rPr>
                <w:rFonts w:cs="Calibri"/>
                <w:color w:val="000000"/>
                <w:sz w:val="20"/>
              </w:rPr>
              <w:t>1</w:t>
            </w:r>
          </w:p>
        </w:tc>
      </w:tr>
      <w:tr w:rsidR="00772BDB" w:rsidRPr="004E74A6" w14:paraId="2FA85AC8" w14:textId="77777777" w:rsidTr="00941062">
        <w:trPr>
          <w:trHeight w:val="288"/>
        </w:trPr>
        <w:tc>
          <w:tcPr>
            <w:tcW w:w="3019" w:type="pct"/>
            <w:tcBorders>
              <w:top w:val="nil"/>
              <w:left w:val="nil"/>
              <w:bottom w:val="nil"/>
              <w:right w:val="single" w:sz="4" w:space="0" w:color="auto"/>
            </w:tcBorders>
            <w:shd w:val="clear" w:color="auto" w:fill="auto"/>
            <w:noWrap/>
            <w:vAlign w:val="bottom"/>
            <w:hideMark/>
          </w:tcPr>
          <w:p w14:paraId="629CE289" w14:textId="77777777" w:rsidR="00772BDB" w:rsidRPr="004E74A6" w:rsidRDefault="00772BDB" w:rsidP="00CE62C1">
            <w:pPr>
              <w:spacing w:line="276" w:lineRule="auto"/>
              <w:ind w:firstLineChars="200" w:firstLine="400"/>
              <w:jc w:val="left"/>
              <w:rPr>
                <w:rFonts w:cs="Calibri"/>
                <w:color w:val="000000"/>
                <w:sz w:val="20"/>
                <w:lang w:eastAsia="es-CR"/>
              </w:rPr>
            </w:pPr>
            <w:r w:rsidRPr="004E74A6">
              <w:rPr>
                <w:rFonts w:cs="Calibri"/>
                <w:color w:val="000000"/>
                <w:sz w:val="20"/>
                <w:lang w:eastAsia="es-CR"/>
              </w:rPr>
              <w:t>Sumario de desahucio</w:t>
            </w:r>
          </w:p>
        </w:tc>
        <w:tc>
          <w:tcPr>
            <w:tcW w:w="471" w:type="pct"/>
            <w:tcBorders>
              <w:top w:val="nil"/>
              <w:left w:val="single" w:sz="4" w:space="0" w:color="auto"/>
              <w:bottom w:val="nil"/>
              <w:right w:val="single" w:sz="4" w:space="0" w:color="auto"/>
            </w:tcBorders>
            <w:shd w:val="clear" w:color="auto" w:fill="auto"/>
            <w:noWrap/>
            <w:vAlign w:val="center"/>
            <w:hideMark/>
          </w:tcPr>
          <w:p w14:paraId="37AB80A1" w14:textId="77777777" w:rsidR="00772BDB" w:rsidRPr="004E74A6" w:rsidRDefault="00772BDB" w:rsidP="00CE62C1">
            <w:pPr>
              <w:spacing w:line="276" w:lineRule="auto"/>
              <w:jc w:val="center"/>
              <w:rPr>
                <w:rFonts w:cs="Calibri"/>
                <w:color w:val="000000"/>
                <w:sz w:val="20"/>
                <w:lang w:eastAsia="es-CR"/>
              </w:rPr>
            </w:pPr>
            <w:r w:rsidRPr="004E74A6">
              <w:rPr>
                <w:rFonts w:cs="Calibri"/>
                <w:color w:val="000000"/>
                <w:sz w:val="20"/>
                <w:lang w:eastAsia="es-CR"/>
              </w:rPr>
              <w:t>2</w:t>
            </w:r>
          </w:p>
        </w:tc>
        <w:tc>
          <w:tcPr>
            <w:tcW w:w="472" w:type="pct"/>
            <w:tcBorders>
              <w:top w:val="nil"/>
              <w:left w:val="single" w:sz="4" w:space="0" w:color="auto"/>
              <w:bottom w:val="nil"/>
              <w:right w:val="single" w:sz="4" w:space="0" w:color="auto"/>
            </w:tcBorders>
            <w:shd w:val="clear" w:color="auto" w:fill="auto"/>
            <w:noWrap/>
            <w:vAlign w:val="center"/>
            <w:hideMark/>
          </w:tcPr>
          <w:p w14:paraId="497278AE" w14:textId="77777777" w:rsidR="00772BDB" w:rsidRPr="004E74A6" w:rsidRDefault="00772BDB" w:rsidP="00CE62C1">
            <w:pPr>
              <w:spacing w:line="276" w:lineRule="auto"/>
              <w:jc w:val="center"/>
              <w:rPr>
                <w:rFonts w:cs="Calibri"/>
                <w:color w:val="000000"/>
                <w:sz w:val="20"/>
                <w:lang w:eastAsia="es-CR"/>
              </w:rPr>
            </w:pPr>
          </w:p>
        </w:tc>
        <w:tc>
          <w:tcPr>
            <w:tcW w:w="472" w:type="pct"/>
            <w:tcBorders>
              <w:top w:val="nil"/>
              <w:left w:val="single" w:sz="4" w:space="0" w:color="auto"/>
              <w:bottom w:val="nil"/>
              <w:right w:val="single" w:sz="4" w:space="0" w:color="auto"/>
            </w:tcBorders>
            <w:shd w:val="clear" w:color="auto" w:fill="auto"/>
            <w:noWrap/>
            <w:vAlign w:val="center"/>
            <w:hideMark/>
          </w:tcPr>
          <w:p w14:paraId="478C7D08" w14:textId="77777777" w:rsidR="00772BDB" w:rsidRPr="004E74A6" w:rsidRDefault="00772BDB" w:rsidP="00CE62C1">
            <w:pPr>
              <w:spacing w:line="276" w:lineRule="auto"/>
              <w:jc w:val="center"/>
              <w:rPr>
                <w:sz w:val="20"/>
                <w:lang w:eastAsia="es-CR"/>
              </w:rPr>
            </w:pPr>
          </w:p>
        </w:tc>
        <w:tc>
          <w:tcPr>
            <w:tcW w:w="566" w:type="pct"/>
            <w:tcBorders>
              <w:top w:val="nil"/>
              <w:left w:val="single" w:sz="4" w:space="0" w:color="auto"/>
              <w:bottom w:val="nil"/>
              <w:right w:val="nil"/>
            </w:tcBorders>
            <w:shd w:val="clear" w:color="auto" w:fill="auto"/>
            <w:noWrap/>
            <w:vAlign w:val="center"/>
            <w:hideMark/>
          </w:tcPr>
          <w:p w14:paraId="73A5833B" w14:textId="579ED11A" w:rsidR="00772BDB" w:rsidRPr="004E74A6" w:rsidRDefault="00772BDB" w:rsidP="00CE62C1">
            <w:pPr>
              <w:spacing w:line="276" w:lineRule="auto"/>
              <w:jc w:val="center"/>
              <w:rPr>
                <w:rFonts w:cs="Calibri"/>
                <w:color w:val="000000"/>
                <w:sz w:val="20"/>
                <w:lang w:eastAsia="es-CR"/>
              </w:rPr>
            </w:pPr>
            <w:r w:rsidRPr="004E74A6">
              <w:rPr>
                <w:rFonts w:cs="Calibri"/>
                <w:color w:val="000000"/>
                <w:sz w:val="20"/>
              </w:rPr>
              <w:t>2</w:t>
            </w:r>
          </w:p>
        </w:tc>
      </w:tr>
      <w:tr w:rsidR="00772BDB" w:rsidRPr="004E74A6" w14:paraId="342AE30C" w14:textId="77777777" w:rsidTr="009603EE">
        <w:trPr>
          <w:trHeight w:val="187"/>
        </w:trPr>
        <w:tc>
          <w:tcPr>
            <w:tcW w:w="3019" w:type="pct"/>
            <w:tcBorders>
              <w:top w:val="nil"/>
              <w:left w:val="nil"/>
              <w:right w:val="single" w:sz="4" w:space="0" w:color="auto"/>
            </w:tcBorders>
            <w:shd w:val="clear" w:color="auto" w:fill="auto"/>
            <w:noWrap/>
            <w:vAlign w:val="bottom"/>
            <w:hideMark/>
          </w:tcPr>
          <w:p w14:paraId="68AF774E" w14:textId="77777777" w:rsidR="00772BDB" w:rsidRPr="004E74A6" w:rsidRDefault="00772BDB" w:rsidP="00CE62C1">
            <w:pPr>
              <w:spacing w:line="276" w:lineRule="auto"/>
              <w:ind w:firstLineChars="200" w:firstLine="400"/>
              <w:jc w:val="left"/>
              <w:rPr>
                <w:rFonts w:cs="Calibri"/>
                <w:color w:val="000000"/>
                <w:sz w:val="20"/>
                <w:lang w:eastAsia="es-CR"/>
              </w:rPr>
            </w:pPr>
            <w:r w:rsidRPr="004E74A6">
              <w:rPr>
                <w:rFonts w:cs="Calibri"/>
                <w:color w:val="000000"/>
                <w:sz w:val="20"/>
                <w:lang w:eastAsia="es-CR"/>
              </w:rPr>
              <w:t>Sumarios Especiales</w:t>
            </w:r>
          </w:p>
        </w:tc>
        <w:tc>
          <w:tcPr>
            <w:tcW w:w="471" w:type="pct"/>
            <w:tcBorders>
              <w:top w:val="nil"/>
              <w:left w:val="single" w:sz="4" w:space="0" w:color="auto"/>
              <w:right w:val="single" w:sz="4" w:space="0" w:color="auto"/>
            </w:tcBorders>
            <w:shd w:val="clear" w:color="auto" w:fill="auto"/>
            <w:noWrap/>
            <w:vAlign w:val="center"/>
            <w:hideMark/>
          </w:tcPr>
          <w:p w14:paraId="2E80E492" w14:textId="77777777" w:rsidR="00772BDB" w:rsidRPr="004E74A6" w:rsidRDefault="00772BDB" w:rsidP="00CE62C1">
            <w:pPr>
              <w:spacing w:line="276" w:lineRule="auto"/>
              <w:jc w:val="center"/>
              <w:rPr>
                <w:rFonts w:cs="Calibri"/>
                <w:color w:val="000000"/>
                <w:sz w:val="20"/>
                <w:lang w:eastAsia="es-CR"/>
              </w:rPr>
            </w:pPr>
            <w:r w:rsidRPr="004E74A6">
              <w:rPr>
                <w:rFonts w:cs="Calibri"/>
                <w:color w:val="000000"/>
                <w:sz w:val="20"/>
                <w:lang w:eastAsia="es-CR"/>
              </w:rPr>
              <w:t>1</w:t>
            </w:r>
          </w:p>
        </w:tc>
        <w:tc>
          <w:tcPr>
            <w:tcW w:w="472" w:type="pct"/>
            <w:tcBorders>
              <w:top w:val="nil"/>
              <w:left w:val="single" w:sz="4" w:space="0" w:color="auto"/>
              <w:right w:val="single" w:sz="4" w:space="0" w:color="auto"/>
            </w:tcBorders>
            <w:shd w:val="clear" w:color="auto" w:fill="auto"/>
            <w:noWrap/>
            <w:vAlign w:val="center"/>
            <w:hideMark/>
          </w:tcPr>
          <w:p w14:paraId="21CD8AD6" w14:textId="77777777" w:rsidR="00772BDB" w:rsidRPr="004E74A6" w:rsidRDefault="00772BDB" w:rsidP="00CE62C1">
            <w:pPr>
              <w:spacing w:line="276" w:lineRule="auto"/>
              <w:jc w:val="center"/>
              <w:rPr>
                <w:rFonts w:cs="Calibri"/>
                <w:color w:val="000000"/>
                <w:sz w:val="20"/>
                <w:lang w:eastAsia="es-CR"/>
              </w:rPr>
            </w:pPr>
          </w:p>
        </w:tc>
        <w:tc>
          <w:tcPr>
            <w:tcW w:w="472" w:type="pct"/>
            <w:tcBorders>
              <w:top w:val="nil"/>
              <w:left w:val="single" w:sz="4" w:space="0" w:color="auto"/>
              <w:right w:val="single" w:sz="4" w:space="0" w:color="auto"/>
            </w:tcBorders>
            <w:shd w:val="clear" w:color="auto" w:fill="auto"/>
            <w:noWrap/>
            <w:vAlign w:val="center"/>
            <w:hideMark/>
          </w:tcPr>
          <w:p w14:paraId="6553E664" w14:textId="77777777" w:rsidR="00772BDB" w:rsidRPr="004E74A6" w:rsidRDefault="00772BDB" w:rsidP="00CE62C1">
            <w:pPr>
              <w:spacing w:line="276" w:lineRule="auto"/>
              <w:jc w:val="center"/>
              <w:rPr>
                <w:rFonts w:cs="Calibri"/>
                <w:color w:val="000000"/>
                <w:sz w:val="20"/>
                <w:lang w:eastAsia="es-CR"/>
              </w:rPr>
            </w:pPr>
            <w:r w:rsidRPr="004E74A6">
              <w:rPr>
                <w:rFonts w:cs="Calibri"/>
                <w:color w:val="000000"/>
                <w:sz w:val="20"/>
                <w:lang w:eastAsia="es-CR"/>
              </w:rPr>
              <w:t>1</w:t>
            </w:r>
          </w:p>
        </w:tc>
        <w:tc>
          <w:tcPr>
            <w:tcW w:w="566" w:type="pct"/>
            <w:tcBorders>
              <w:top w:val="nil"/>
              <w:left w:val="single" w:sz="4" w:space="0" w:color="auto"/>
              <w:right w:val="nil"/>
            </w:tcBorders>
            <w:shd w:val="clear" w:color="auto" w:fill="auto"/>
            <w:noWrap/>
            <w:vAlign w:val="center"/>
            <w:hideMark/>
          </w:tcPr>
          <w:p w14:paraId="5EBA8270" w14:textId="678BFDEE" w:rsidR="00772BDB" w:rsidRPr="004E74A6" w:rsidRDefault="00772BDB" w:rsidP="00CE62C1">
            <w:pPr>
              <w:spacing w:line="276" w:lineRule="auto"/>
              <w:jc w:val="center"/>
              <w:rPr>
                <w:rFonts w:cs="Calibri"/>
                <w:color w:val="000000"/>
                <w:sz w:val="20"/>
                <w:lang w:eastAsia="es-CR"/>
              </w:rPr>
            </w:pPr>
            <w:r w:rsidRPr="004E74A6">
              <w:rPr>
                <w:rFonts w:cs="Calibri"/>
                <w:color w:val="000000"/>
                <w:sz w:val="20"/>
              </w:rPr>
              <w:t>1</w:t>
            </w:r>
          </w:p>
        </w:tc>
      </w:tr>
      <w:tr w:rsidR="0075213E" w:rsidRPr="004E74A6" w14:paraId="11608EDF" w14:textId="77777777" w:rsidTr="00941062">
        <w:trPr>
          <w:trHeight w:val="288"/>
        </w:trPr>
        <w:tc>
          <w:tcPr>
            <w:tcW w:w="3019" w:type="pct"/>
            <w:tcBorders>
              <w:top w:val="nil"/>
              <w:left w:val="nil"/>
              <w:bottom w:val="single" w:sz="4" w:space="0" w:color="auto"/>
              <w:right w:val="single" w:sz="4" w:space="0" w:color="auto"/>
            </w:tcBorders>
            <w:shd w:val="clear" w:color="auto" w:fill="auto"/>
            <w:noWrap/>
            <w:vAlign w:val="bottom"/>
          </w:tcPr>
          <w:p w14:paraId="6C550D76" w14:textId="77777777" w:rsidR="008647ED" w:rsidRPr="004E74A6" w:rsidRDefault="008647ED" w:rsidP="00CE62C1">
            <w:pPr>
              <w:spacing w:line="276" w:lineRule="auto"/>
              <w:ind w:firstLineChars="200" w:firstLine="400"/>
              <w:jc w:val="left"/>
              <w:rPr>
                <w:rFonts w:cs="Calibri"/>
                <w:color w:val="000000"/>
                <w:sz w:val="20"/>
                <w:lang w:eastAsia="es-CR"/>
              </w:rPr>
            </w:pPr>
          </w:p>
        </w:tc>
        <w:tc>
          <w:tcPr>
            <w:tcW w:w="471" w:type="pct"/>
            <w:tcBorders>
              <w:top w:val="nil"/>
              <w:left w:val="single" w:sz="4" w:space="0" w:color="auto"/>
              <w:bottom w:val="single" w:sz="4" w:space="0" w:color="auto"/>
              <w:right w:val="single" w:sz="4" w:space="0" w:color="auto"/>
            </w:tcBorders>
            <w:shd w:val="clear" w:color="auto" w:fill="auto"/>
            <w:noWrap/>
            <w:vAlign w:val="center"/>
          </w:tcPr>
          <w:p w14:paraId="15F25A5C" w14:textId="77777777" w:rsidR="008647ED" w:rsidRPr="004E74A6" w:rsidRDefault="008647ED" w:rsidP="00CE62C1">
            <w:pPr>
              <w:spacing w:line="276" w:lineRule="auto"/>
              <w:jc w:val="center"/>
              <w:rPr>
                <w:rFonts w:cs="Calibri"/>
                <w:color w:val="000000"/>
                <w:sz w:val="20"/>
                <w:lang w:eastAsia="es-CR"/>
              </w:rPr>
            </w:pPr>
          </w:p>
        </w:tc>
        <w:tc>
          <w:tcPr>
            <w:tcW w:w="472" w:type="pct"/>
            <w:tcBorders>
              <w:top w:val="nil"/>
              <w:left w:val="single" w:sz="4" w:space="0" w:color="auto"/>
              <w:bottom w:val="single" w:sz="4" w:space="0" w:color="auto"/>
              <w:right w:val="single" w:sz="4" w:space="0" w:color="auto"/>
            </w:tcBorders>
            <w:shd w:val="clear" w:color="auto" w:fill="auto"/>
            <w:noWrap/>
            <w:vAlign w:val="center"/>
          </w:tcPr>
          <w:p w14:paraId="0D8143E2" w14:textId="77777777" w:rsidR="008647ED" w:rsidRPr="004E74A6" w:rsidRDefault="008647ED" w:rsidP="00CE62C1">
            <w:pPr>
              <w:spacing w:line="276" w:lineRule="auto"/>
              <w:jc w:val="center"/>
              <w:rPr>
                <w:rFonts w:cs="Calibri"/>
                <w:color w:val="000000"/>
                <w:sz w:val="20"/>
                <w:lang w:eastAsia="es-CR"/>
              </w:rPr>
            </w:pPr>
          </w:p>
        </w:tc>
        <w:tc>
          <w:tcPr>
            <w:tcW w:w="472" w:type="pct"/>
            <w:tcBorders>
              <w:top w:val="nil"/>
              <w:left w:val="single" w:sz="4" w:space="0" w:color="auto"/>
              <w:bottom w:val="single" w:sz="4" w:space="0" w:color="auto"/>
              <w:right w:val="single" w:sz="4" w:space="0" w:color="auto"/>
            </w:tcBorders>
            <w:shd w:val="clear" w:color="auto" w:fill="auto"/>
            <w:noWrap/>
            <w:vAlign w:val="center"/>
          </w:tcPr>
          <w:p w14:paraId="3315DB04" w14:textId="77777777" w:rsidR="008647ED" w:rsidRPr="004E74A6" w:rsidRDefault="008647ED" w:rsidP="00CE62C1">
            <w:pPr>
              <w:spacing w:line="276" w:lineRule="auto"/>
              <w:jc w:val="center"/>
              <w:rPr>
                <w:rFonts w:cs="Calibri"/>
                <w:color w:val="000000"/>
                <w:sz w:val="20"/>
                <w:lang w:eastAsia="es-CR"/>
              </w:rPr>
            </w:pPr>
          </w:p>
        </w:tc>
        <w:tc>
          <w:tcPr>
            <w:tcW w:w="566" w:type="pct"/>
            <w:tcBorders>
              <w:top w:val="nil"/>
              <w:left w:val="single" w:sz="4" w:space="0" w:color="auto"/>
              <w:bottom w:val="single" w:sz="4" w:space="0" w:color="auto"/>
              <w:right w:val="nil"/>
            </w:tcBorders>
            <w:shd w:val="clear" w:color="auto" w:fill="auto"/>
            <w:noWrap/>
            <w:vAlign w:val="center"/>
          </w:tcPr>
          <w:p w14:paraId="687FFED8" w14:textId="77777777" w:rsidR="008647ED" w:rsidRPr="004E74A6" w:rsidRDefault="008647ED" w:rsidP="00CE62C1">
            <w:pPr>
              <w:spacing w:line="276" w:lineRule="auto"/>
              <w:jc w:val="center"/>
              <w:rPr>
                <w:rFonts w:cs="Calibri"/>
                <w:color w:val="000000"/>
                <w:sz w:val="20"/>
                <w:lang w:eastAsia="es-CR"/>
              </w:rPr>
            </w:pPr>
          </w:p>
        </w:tc>
      </w:tr>
    </w:tbl>
    <w:p w14:paraId="1F349EA7" w14:textId="77777777" w:rsidR="003E4755" w:rsidRPr="004E74A6" w:rsidRDefault="003E4755" w:rsidP="00832773">
      <w:pPr>
        <w:spacing w:line="276" w:lineRule="auto"/>
        <w:rPr>
          <w:rFonts w:cs="Calibri"/>
          <w:i/>
          <w:iCs/>
          <w:color w:val="000000"/>
          <w:sz w:val="20"/>
          <w:lang w:eastAsia="es-CR"/>
        </w:rPr>
      </w:pPr>
      <w:r w:rsidRPr="004E74A6">
        <w:rPr>
          <w:rFonts w:cs="Calibri"/>
          <w:b/>
          <w:bCs/>
          <w:i/>
          <w:iCs/>
          <w:color w:val="000000"/>
          <w:sz w:val="20"/>
          <w:lang w:eastAsia="es-CR"/>
        </w:rPr>
        <w:t>Fuente</w:t>
      </w:r>
      <w:r w:rsidRPr="004E74A6">
        <w:rPr>
          <w:rFonts w:cs="Calibri"/>
          <w:i/>
          <w:iCs/>
          <w:color w:val="000000"/>
          <w:sz w:val="20"/>
          <w:lang w:eastAsia="es-CR"/>
        </w:rPr>
        <w:t>: Subproceso de Modernización Institucional con datos extraídos del sistema SIGMA, Dirección de Planificación.</w:t>
      </w:r>
    </w:p>
    <w:p w14:paraId="4055B1CA" w14:textId="12F83B47" w:rsidR="008647ED" w:rsidRPr="004E74A6" w:rsidRDefault="008647ED" w:rsidP="00CE62C1">
      <w:pPr>
        <w:spacing w:after="160" w:line="276" w:lineRule="auto"/>
        <w:rPr>
          <w:rFonts w:cs="Calibri"/>
          <w:color w:val="000000"/>
          <w:szCs w:val="24"/>
          <w:lang w:eastAsia="es-CR"/>
        </w:rPr>
      </w:pPr>
    </w:p>
    <w:p w14:paraId="348CCCF1" w14:textId="189EFF63" w:rsidR="005526E8" w:rsidRPr="004E74A6" w:rsidRDefault="005526E8" w:rsidP="00CE62C1">
      <w:pPr>
        <w:spacing w:after="160" w:line="276" w:lineRule="auto"/>
        <w:rPr>
          <w:rFonts w:cs="Calibri"/>
          <w:color w:val="000000"/>
          <w:szCs w:val="24"/>
          <w:lang w:eastAsia="es-CR"/>
        </w:rPr>
      </w:pPr>
      <w:bookmarkStart w:id="4" w:name="_Hlk105403257"/>
      <w:bookmarkStart w:id="5" w:name="_Hlk105403272"/>
      <w:r w:rsidRPr="004E74A6">
        <w:rPr>
          <w:rFonts w:cs="Calibri"/>
          <w:color w:val="000000"/>
          <w:szCs w:val="24"/>
          <w:lang w:eastAsia="es-CR"/>
        </w:rPr>
        <w:t>Como se observa de los 333 registros, solo 322 tienen el procedimiento correcto, ya que según la fórmula estadística la clase “</w:t>
      </w:r>
      <w:r w:rsidRPr="004E74A6">
        <w:rPr>
          <w:rFonts w:cs="Calibri"/>
          <w:i/>
          <w:iCs/>
          <w:color w:val="000000"/>
          <w:szCs w:val="24"/>
          <w:lang w:eastAsia="es-CR"/>
        </w:rPr>
        <w:t>ordinario</w:t>
      </w:r>
      <w:r w:rsidRPr="004E74A6">
        <w:rPr>
          <w:rFonts w:cs="Calibri"/>
          <w:color w:val="000000"/>
          <w:szCs w:val="24"/>
          <w:lang w:eastAsia="es-CR"/>
        </w:rPr>
        <w:t>” solamente tiene como asociado el procedimiento “</w:t>
      </w:r>
      <w:r w:rsidRPr="004E74A6">
        <w:rPr>
          <w:rFonts w:cs="Calibri"/>
          <w:i/>
          <w:iCs/>
          <w:color w:val="000000"/>
          <w:szCs w:val="24"/>
          <w:lang w:eastAsia="es-CR"/>
        </w:rPr>
        <w:t>ordinario</w:t>
      </w:r>
      <w:r w:rsidRPr="004E74A6">
        <w:rPr>
          <w:rFonts w:cs="Calibri"/>
          <w:color w:val="000000"/>
          <w:szCs w:val="24"/>
          <w:lang w:eastAsia="es-CR"/>
        </w:rPr>
        <w:t xml:space="preserve">”. </w:t>
      </w:r>
    </w:p>
    <w:bookmarkEnd w:id="4"/>
    <w:p w14:paraId="329275BD" w14:textId="51579C90" w:rsidR="008647ED" w:rsidRPr="004E74A6" w:rsidRDefault="00F03C09" w:rsidP="00CE62C1">
      <w:pPr>
        <w:spacing w:after="160" w:line="276" w:lineRule="auto"/>
        <w:rPr>
          <w:rFonts w:cs="Calibri"/>
          <w:color w:val="000000"/>
          <w:szCs w:val="24"/>
          <w:lang w:eastAsia="es-CR"/>
        </w:rPr>
      </w:pPr>
      <w:r>
        <w:rPr>
          <w:rFonts w:cs="Calibri"/>
          <w:color w:val="000000"/>
          <w:szCs w:val="24"/>
          <w:lang w:eastAsia="es-CR"/>
        </w:rPr>
        <w:t>En</w:t>
      </w:r>
      <w:r w:rsidR="008647ED" w:rsidRPr="004E74A6">
        <w:rPr>
          <w:rFonts w:cs="Calibri"/>
          <w:color w:val="000000"/>
          <w:szCs w:val="24"/>
          <w:lang w:eastAsia="es-CR"/>
        </w:rPr>
        <w:t xml:space="preserve"> la siguiente tabla se puede observar el detalle de la cuantía según los procedimientos ordinarios del Tribunal.</w:t>
      </w:r>
    </w:p>
    <w:p w14:paraId="613CF16B" w14:textId="7FB27044" w:rsidR="00643850" w:rsidRPr="004E74A6" w:rsidRDefault="003D78F2" w:rsidP="00CE62C1">
      <w:pPr>
        <w:spacing w:line="276" w:lineRule="auto"/>
        <w:rPr>
          <w:rFonts w:cs="Calibri"/>
          <w:color w:val="000000"/>
          <w:szCs w:val="24"/>
          <w:lang w:eastAsia="es-CR"/>
        </w:rPr>
      </w:pPr>
      <w:r w:rsidRPr="004E74A6">
        <w:rPr>
          <w:rFonts w:cs="Calibri"/>
          <w:color w:val="000000"/>
          <w:szCs w:val="24"/>
          <w:lang w:eastAsia="es-CR"/>
        </w:rPr>
        <w:lastRenderedPageBreak/>
        <w:t>De esos 322 ordinarios</w:t>
      </w:r>
      <w:r w:rsidR="005526E8" w:rsidRPr="004E74A6">
        <w:rPr>
          <w:rFonts w:cs="Calibri"/>
          <w:color w:val="000000"/>
          <w:szCs w:val="24"/>
          <w:lang w:eastAsia="es-CR"/>
        </w:rPr>
        <w:t xml:space="preserve"> que ingresan en promedio por año, </w:t>
      </w:r>
      <w:r w:rsidRPr="004E74A6">
        <w:rPr>
          <w:rFonts w:cs="Calibri"/>
          <w:color w:val="000000"/>
          <w:szCs w:val="24"/>
          <w:lang w:eastAsia="es-CR"/>
        </w:rPr>
        <w:t xml:space="preserve">220 </w:t>
      </w:r>
      <w:r w:rsidR="00643850" w:rsidRPr="004E74A6">
        <w:rPr>
          <w:rFonts w:cs="Calibri"/>
          <w:color w:val="000000"/>
          <w:szCs w:val="24"/>
          <w:lang w:eastAsia="es-CR"/>
        </w:rPr>
        <w:t xml:space="preserve">asuntos </w:t>
      </w:r>
      <w:r w:rsidRPr="004E74A6">
        <w:rPr>
          <w:rFonts w:cs="Calibri"/>
          <w:color w:val="000000"/>
          <w:szCs w:val="24"/>
          <w:lang w:eastAsia="es-CR"/>
        </w:rPr>
        <w:t xml:space="preserve">son estimables (68%), 14 </w:t>
      </w:r>
      <w:r w:rsidR="00643850" w:rsidRPr="004E74A6">
        <w:rPr>
          <w:rFonts w:cs="Calibri"/>
          <w:color w:val="000000"/>
          <w:szCs w:val="24"/>
          <w:lang w:eastAsia="es-CR"/>
        </w:rPr>
        <w:t>inestimables (4%),</w:t>
      </w:r>
      <w:r w:rsidRPr="004E74A6">
        <w:rPr>
          <w:rFonts w:cs="Calibri"/>
          <w:color w:val="000000"/>
          <w:szCs w:val="24"/>
          <w:lang w:eastAsia="es-CR"/>
        </w:rPr>
        <w:t xml:space="preserve"> hay</w:t>
      </w:r>
      <w:r w:rsidR="00643850" w:rsidRPr="004E74A6">
        <w:rPr>
          <w:rFonts w:cs="Calibri"/>
          <w:color w:val="000000"/>
          <w:szCs w:val="24"/>
          <w:lang w:eastAsia="es-CR"/>
        </w:rPr>
        <w:t xml:space="preserve"> </w:t>
      </w:r>
      <w:r w:rsidRPr="004E74A6">
        <w:rPr>
          <w:rFonts w:cs="Calibri"/>
          <w:color w:val="000000"/>
          <w:szCs w:val="24"/>
          <w:lang w:eastAsia="es-CR"/>
        </w:rPr>
        <w:t xml:space="preserve">65 sin actualizar </w:t>
      </w:r>
      <w:r w:rsidR="00D648B5" w:rsidRPr="004E74A6">
        <w:rPr>
          <w:rFonts w:cs="Calibri"/>
          <w:color w:val="000000"/>
          <w:szCs w:val="24"/>
          <w:lang w:eastAsia="es-CR"/>
        </w:rPr>
        <w:t xml:space="preserve">(20%) </w:t>
      </w:r>
      <w:r w:rsidRPr="004E74A6">
        <w:rPr>
          <w:rFonts w:cs="Calibri"/>
          <w:color w:val="000000"/>
          <w:szCs w:val="24"/>
          <w:lang w:eastAsia="es-CR"/>
        </w:rPr>
        <w:t xml:space="preserve">y </w:t>
      </w:r>
      <w:r w:rsidR="00643850" w:rsidRPr="004E74A6">
        <w:rPr>
          <w:rFonts w:cs="Calibri"/>
          <w:color w:val="000000"/>
          <w:szCs w:val="24"/>
          <w:lang w:eastAsia="es-CR"/>
        </w:rPr>
        <w:t xml:space="preserve">23 </w:t>
      </w:r>
      <w:r w:rsidRPr="004E74A6">
        <w:rPr>
          <w:rFonts w:cs="Calibri"/>
          <w:color w:val="000000"/>
          <w:szCs w:val="24"/>
          <w:lang w:eastAsia="es-CR"/>
        </w:rPr>
        <w:t xml:space="preserve">en que </w:t>
      </w:r>
      <w:r w:rsidR="00D648B5" w:rsidRPr="004E74A6">
        <w:rPr>
          <w:rFonts w:cs="Calibri"/>
          <w:color w:val="000000"/>
          <w:szCs w:val="24"/>
          <w:lang w:eastAsia="es-CR"/>
        </w:rPr>
        <w:t>indicaron</w:t>
      </w:r>
      <w:r w:rsidR="00643850" w:rsidRPr="004E74A6">
        <w:rPr>
          <w:rFonts w:cs="Calibri"/>
          <w:color w:val="000000"/>
          <w:szCs w:val="24"/>
          <w:lang w:eastAsia="es-CR"/>
        </w:rPr>
        <w:t xml:space="preserve"> “</w:t>
      </w:r>
      <w:r w:rsidR="00643850" w:rsidRPr="004E74A6">
        <w:rPr>
          <w:rFonts w:cs="Calibri"/>
          <w:i/>
          <w:iCs/>
          <w:color w:val="000000"/>
          <w:szCs w:val="24"/>
          <w:lang w:eastAsia="es-CR"/>
        </w:rPr>
        <w:t>no aplica</w:t>
      </w:r>
      <w:r w:rsidR="00643850" w:rsidRPr="004E74A6">
        <w:rPr>
          <w:rFonts w:cs="Calibri"/>
          <w:color w:val="000000"/>
          <w:szCs w:val="24"/>
          <w:lang w:eastAsia="es-CR"/>
        </w:rPr>
        <w:t>” (7%)</w:t>
      </w:r>
      <w:r w:rsidR="00D648B5" w:rsidRPr="004E74A6">
        <w:rPr>
          <w:rFonts w:cs="Calibri"/>
          <w:color w:val="000000"/>
          <w:szCs w:val="24"/>
          <w:lang w:eastAsia="es-CR"/>
        </w:rPr>
        <w:t>.</w:t>
      </w:r>
    </w:p>
    <w:p w14:paraId="11CE4553" w14:textId="77777777" w:rsidR="001A21A4" w:rsidRPr="004E74A6" w:rsidRDefault="001A21A4" w:rsidP="00CE62C1">
      <w:pPr>
        <w:spacing w:line="276" w:lineRule="auto"/>
        <w:rPr>
          <w:rFonts w:cs="Calibri"/>
          <w:color w:val="000000"/>
          <w:szCs w:val="24"/>
          <w:lang w:eastAsia="es-CR"/>
        </w:rPr>
      </w:pPr>
    </w:p>
    <w:p w14:paraId="6329E162" w14:textId="475DDB8C" w:rsidR="001A21A4" w:rsidRPr="004E74A6" w:rsidRDefault="001A21A4" w:rsidP="00CE62C1">
      <w:pPr>
        <w:spacing w:line="276" w:lineRule="auto"/>
        <w:rPr>
          <w:rFonts w:cs="Calibri"/>
          <w:color w:val="000000"/>
          <w:szCs w:val="24"/>
          <w:lang w:eastAsia="es-CR"/>
        </w:rPr>
      </w:pPr>
      <w:r w:rsidRPr="004E74A6">
        <w:rPr>
          <w:rFonts w:cs="Calibri"/>
          <w:color w:val="000000"/>
          <w:szCs w:val="24"/>
          <w:lang w:eastAsia="es-CR"/>
        </w:rPr>
        <w:t xml:space="preserve">De lo anterior, el 7% que indicaron </w:t>
      </w:r>
      <w:r w:rsidR="00D648B5" w:rsidRPr="004E74A6">
        <w:rPr>
          <w:rFonts w:cs="Calibri"/>
          <w:i/>
          <w:iCs/>
          <w:color w:val="000000"/>
          <w:szCs w:val="24"/>
          <w:lang w:eastAsia="es-CR"/>
        </w:rPr>
        <w:t>“</w:t>
      </w:r>
      <w:r w:rsidRPr="004E74A6">
        <w:rPr>
          <w:rFonts w:cs="Calibri"/>
          <w:i/>
          <w:iCs/>
          <w:color w:val="000000"/>
          <w:szCs w:val="24"/>
          <w:lang w:eastAsia="es-CR"/>
        </w:rPr>
        <w:t>no aplica cuantía</w:t>
      </w:r>
      <w:r w:rsidR="00D648B5" w:rsidRPr="004E74A6">
        <w:rPr>
          <w:rFonts w:cs="Calibri"/>
          <w:color w:val="000000"/>
          <w:szCs w:val="24"/>
          <w:lang w:eastAsia="es-CR"/>
        </w:rPr>
        <w:t>”</w:t>
      </w:r>
      <w:r w:rsidR="005526E8" w:rsidRPr="004E74A6">
        <w:rPr>
          <w:rFonts w:cs="Calibri"/>
          <w:color w:val="000000"/>
          <w:szCs w:val="24"/>
          <w:lang w:eastAsia="es-CR"/>
        </w:rPr>
        <w:t xml:space="preserve"> </w:t>
      </w:r>
      <w:r w:rsidR="00D648B5" w:rsidRPr="004E74A6">
        <w:rPr>
          <w:rFonts w:cs="Calibri"/>
          <w:color w:val="000000"/>
          <w:szCs w:val="24"/>
          <w:lang w:eastAsia="es-CR"/>
        </w:rPr>
        <w:t>es un dato erróneo</w:t>
      </w:r>
      <w:r w:rsidRPr="004E74A6">
        <w:rPr>
          <w:rFonts w:cs="Calibri"/>
          <w:color w:val="000000"/>
          <w:szCs w:val="24"/>
          <w:lang w:eastAsia="es-CR"/>
        </w:rPr>
        <w:t xml:space="preserve"> ya que desde el inicio en el uso de la mejora se les indicó a las oficinas </w:t>
      </w:r>
      <w:r w:rsidR="00D648B5" w:rsidRPr="004E74A6">
        <w:rPr>
          <w:rFonts w:cs="Calibri"/>
          <w:color w:val="000000"/>
          <w:szCs w:val="24"/>
          <w:lang w:eastAsia="es-CR"/>
        </w:rPr>
        <w:t>civiles por parte del Centro</w:t>
      </w:r>
      <w:r w:rsidR="005526E8" w:rsidRPr="004E74A6">
        <w:rPr>
          <w:rFonts w:cs="Calibri"/>
          <w:color w:val="000000"/>
          <w:szCs w:val="24"/>
          <w:lang w:eastAsia="es-CR"/>
        </w:rPr>
        <w:t xml:space="preserve"> de Apoyo</w:t>
      </w:r>
      <w:r w:rsidR="00D648B5" w:rsidRPr="004E74A6">
        <w:rPr>
          <w:rFonts w:cs="Calibri"/>
          <w:color w:val="000000"/>
          <w:szCs w:val="24"/>
          <w:lang w:eastAsia="es-CR"/>
        </w:rPr>
        <w:t xml:space="preserve"> y los gestores </w:t>
      </w:r>
      <w:r w:rsidRPr="004E74A6">
        <w:rPr>
          <w:rFonts w:cs="Calibri"/>
          <w:color w:val="000000"/>
          <w:szCs w:val="24"/>
          <w:lang w:eastAsia="es-CR"/>
        </w:rPr>
        <w:t xml:space="preserve">que esta opción solo aplica para materia de Trabajo, no así para Civil donde los asuntos son estimables o inestimables solamente. </w:t>
      </w:r>
    </w:p>
    <w:p w14:paraId="37786773" w14:textId="06EB7BF9" w:rsidR="001A21A4" w:rsidRPr="004E74A6" w:rsidRDefault="001A21A4" w:rsidP="00CE62C1">
      <w:pPr>
        <w:spacing w:line="276" w:lineRule="auto"/>
        <w:rPr>
          <w:rFonts w:cs="Calibri"/>
          <w:color w:val="000000"/>
          <w:szCs w:val="24"/>
          <w:lang w:eastAsia="es-CR"/>
        </w:rPr>
      </w:pPr>
    </w:p>
    <w:p w14:paraId="60F14B0F" w14:textId="09BECD4F" w:rsidR="007038F3" w:rsidRPr="004E74A6" w:rsidRDefault="001A21A4" w:rsidP="00CE62C1">
      <w:pPr>
        <w:spacing w:line="276" w:lineRule="auto"/>
        <w:rPr>
          <w:rFonts w:cs="Calibri"/>
          <w:color w:val="000000"/>
          <w:szCs w:val="24"/>
          <w:lang w:eastAsia="es-CR"/>
        </w:rPr>
      </w:pPr>
      <w:r w:rsidRPr="004E74A6">
        <w:rPr>
          <w:rFonts w:cs="Calibri"/>
          <w:color w:val="000000"/>
          <w:szCs w:val="24"/>
          <w:lang w:eastAsia="es-CR"/>
        </w:rPr>
        <w:t xml:space="preserve">De los 220 ordinarios estimables, la distribución de esos asuntos por rango de cuantía es el siguiente: </w:t>
      </w:r>
    </w:p>
    <w:p w14:paraId="77D70306" w14:textId="2A54F658" w:rsidR="009D159C" w:rsidRPr="004E74A6" w:rsidRDefault="009D159C" w:rsidP="00CE62C1">
      <w:pPr>
        <w:spacing w:line="276" w:lineRule="auto"/>
        <w:rPr>
          <w:rFonts w:cs="Calibri"/>
          <w:color w:val="000000"/>
          <w:szCs w:val="24"/>
          <w:lang w:eastAsia="es-CR"/>
        </w:rPr>
      </w:pPr>
    </w:p>
    <w:bookmarkEnd w:id="5"/>
    <w:p w14:paraId="5E72B671" w14:textId="54EC8D9B" w:rsidR="00A24ABB" w:rsidRDefault="001F2CA2" w:rsidP="00F0204A">
      <w:pPr>
        <w:pStyle w:val="Descripcin"/>
        <w:keepNext/>
        <w:spacing w:line="276" w:lineRule="auto"/>
        <w:jc w:val="center"/>
        <w:rPr>
          <w:rFonts w:ascii="Book Antiqua" w:hAnsi="Book Antiqua"/>
          <w:i/>
          <w:iCs/>
          <w:sz w:val="20"/>
          <w:szCs w:val="16"/>
          <w:lang w:val="es-CR"/>
        </w:rPr>
      </w:pPr>
      <w:r w:rsidRPr="00832773">
        <w:rPr>
          <w:rFonts w:ascii="Book Antiqua" w:hAnsi="Book Antiqua"/>
          <w:i/>
          <w:iCs/>
          <w:sz w:val="20"/>
          <w:szCs w:val="16"/>
          <w:lang w:val="es-CR"/>
        </w:rPr>
        <w:t xml:space="preserve">Tabla </w:t>
      </w:r>
      <w:r w:rsidRPr="00832773">
        <w:rPr>
          <w:rFonts w:ascii="Book Antiqua" w:hAnsi="Book Antiqua"/>
          <w:i/>
          <w:iCs/>
          <w:sz w:val="20"/>
          <w:szCs w:val="16"/>
          <w:lang w:val="es-CR"/>
        </w:rPr>
        <w:fldChar w:fldCharType="begin"/>
      </w:r>
      <w:r w:rsidRPr="00832773">
        <w:rPr>
          <w:rFonts w:ascii="Book Antiqua" w:hAnsi="Book Antiqua"/>
          <w:i/>
          <w:iCs/>
          <w:sz w:val="20"/>
          <w:szCs w:val="16"/>
          <w:lang w:val="es-CR"/>
        </w:rPr>
        <w:instrText xml:space="preserve"> SEQ Tabla \* ARABIC </w:instrText>
      </w:r>
      <w:r w:rsidRPr="00832773">
        <w:rPr>
          <w:rFonts w:ascii="Book Antiqua" w:hAnsi="Book Antiqua"/>
          <w:i/>
          <w:iCs/>
          <w:sz w:val="20"/>
          <w:szCs w:val="16"/>
          <w:lang w:val="es-CR"/>
        </w:rPr>
        <w:fldChar w:fldCharType="separate"/>
      </w:r>
      <w:r w:rsidR="00374B51">
        <w:rPr>
          <w:rFonts w:ascii="Book Antiqua" w:hAnsi="Book Antiqua"/>
          <w:i/>
          <w:iCs/>
          <w:noProof/>
          <w:sz w:val="20"/>
          <w:szCs w:val="16"/>
          <w:lang w:val="es-CR"/>
        </w:rPr>
        <w:t>4</w:t>
      </w:r>
      <w:r w:rsidRPr="00832773">
        <w:rPr>
          <w:rFonts w:ascii="Book Antiqua" w:hAnsi="Book Antiqua"/>
          <w:i/>
          <w:iCs/>
          <w:sz w:val="20"/>
          <w:szCs w:val="16"/>
          <w:lang w:val="es-CR"/>
        </w:rPr>
        <w:fldChar w:fldCharType="end"/>
      </w:r>
      <w:r w:rsidRPr="00832773">
        <w:rPr>
          <w:rFonts w:ascii="Book Antiqua" w:hAnsi="Book Antiqua"/>
          <w:i/>
          <w:iCs/>
          <w:sz w:val="20"/>
          <w:szCs w:val="16"/>
          <w:lang w:val="es-CR"/>
        </w:rPr>
        <w:t xml:space="preserve"> </w:t>
      </w:r>
      <w:bookmarkStart w:id="6" w:name="_Hlk105405214"/>
      <w:r w:rsidR="00A24ABB" w:rsidRPr="00832773">
        <w:rPr>
          <w:rFonts w:ascii="Book Antiqua" w:hAnsi="Book Antiqua"/>
          <w:i/>
          <w:iCs/>
          <w:sz w:val="20"/>
          <w:szCs w:val="16"/>
          <w:lang w:val="es-CR"/>
        </w:rPr>
        <w:t xml:space="preserve">Cantidad de entrados ordinarios estimables por </w:t>
      </w:r>
      <w:r w:rsidR="007B36C2" w:rsidRPr="00832773">
        <w:rPr>
          <w:rFonts w:ascii="Book Antiqua" w:hAnsi="Book Antiqua"/>
          <w:i/>
          <w:iCs/>
          <w:sz w:val="20"/>
          <w:szCs w:val="16"/>
          <w:lang w:val="es-CR"/>
        </w:rPr>
        <w:t xml:space="preserve">rango de </w:t>
      </w:r>
      <w:r w:rsidR="00A24ABB" w:rsidRPr="00832773">
        <w:rPr>
          <w:rFonts w:ascii="Book Antiqua" w:hAnsi="Book Antiqua"/>
          <w:i/>
          <w:iCs/>
          <w:sz w:val="20"/>
          <w:szCs w:val="16"/>
          <w:lang w:val="es-CR"/>
        </w:rPr>
        <w:t xml:space="preserve">cuantía del 2019 al 2021 </w:t>
      </w:r>
      <w:r w:rsidR="007B36C2" w:rsidRPr="00832773">
        <w:rPr>
          <w:rFonts w:ascii="Book Antiqua" w:hAnsi="Book Antiqua"/>
          <w:i/>
          <w:iCs/>
          <w:sz w:val="20"/>
          <w:szCs w:val="16"/>
          <w:lang w:val="es-CR"/>
        </w:rPr>
        <w:t>en</w:t>
      </w:r>
      <w:r w:rsidR="00A24ABB" w:rsidRPr="00832773">
        <w:rPr>
          <w:rFonts w:ascii="Book Antiqua" w:hAnsi="Book Antiqua"/>
          <w:i/>
          <w:iCs/>
          <w:sz w:val="20"/>
          <w:szCs w:val="16"/>
          <w:lang w:val="es-CR"/>
        </w:rPr>
        <w:t xml:space="preserve"> el Tribunal Primero Colegiado Primera Instancia Civil Primer Circuito Judicial de San José</w:t>
      </w:r>
    </w:p>
    <w:p w14:paraId="12014D27" w14:textId="77777777" w:rsidR="00194F64" w:rsidRPr="00194F64" w:rsidRDefault="00194F64" w:rsidP="00194F64"/>
    <w:tbl>
      <w:tblPr>
        <w:tblW w:w="8865" w:type="dxa"/>
        <w:jc w:val="center"/>
        <w:tblCellMar>
          <w:left w:w="70" w:type="dxa"/>
          <w:right w:w="70" w:type="dxa"/>
        </w:tblCellMar>
        <w:tblLook w:val="04A0" w:firstRow="1" w:lastRow="0" w:firstColumn="1" w:lastColumn="0" w:noHBand="0" w:noVBand="1"/>
      </w:tblPr>
      <w:tblGrid>
        <w:gridCol w:w="2800"/>
        <w:gridCol w:w="850"/>
        <w:gridCol w:w="850"/>
        <w:gridCol w:w="850"/>
        <w:gridCol w:w="1134"/>
        <w:gridCol w:w="2381"/>
      </w:tblGrid>
      <w:tr w:rsidR="007B36C2" w:rsidRPr="004E74A6" w14:paraId="439A18C3" w14:textId="77777777" w:rsidTr="0037796E">
        <w:trPr>
          <w:trHeight w:val="1095"/>
          <w:tblHeader/>
          <w:jc w:val="center"/>
        </w:trPr>
        <w:tc>
          <w:tcPr>
            <w:tcW w:w="2800" w:type="dxa"/>
            <w:tcBorders>
              <w:top w:val="single" w:sz="8" w:space="0" w:color="auto"/>
              <w:left w:val="nil"/>
              <w:bottom w:val="single" w:sz="8" w:space="0" w:color="auto"/>
              <w:right w:val="nil"/>
            </w:tcBorders>
            <w:shd w:val="clear" w:color="auto" w:fill="auto"/>
            <w:vAlign w:val="center"/>
            <w:hideMark/>
          </w:tcPr>
          <w:bookmarkEnd w:id="6"/>
          <w:p w14:paraId="071857C4" w14:textId="77777777" w:rsidR="007B36C2" w:rsidRPr="004E74A6" w:rsidRDefault="007B36C2" w:rsidP="00832773">
            <w:pPr>
              <w:spacing w:line="276" w:lineRule="auto"/>
              <w:jc w:val="center"/>
              <w:rPr>
                <w:rFonts w:cs="Calibri"/>
                <w:color w:val="000000"/>
                <w:sz w:val="20"/>
                <w:lang w:eastAsia="es-CR"/>
              </w:rPr>
            </w:pPr>
            <w:r w:rsidRPr="004E74A6">
              <w:rPr>
                <w:rFonts w:cs="Calibri"/>
                <w:color w:val="000000"/>
                <w:sz w:val="20"/>
                <w:lang w:eastAsia="es-CR"/>
              </w:rPr>
              <w:t>Rango de cuantía Ordinario Estimable</w:t>
            </w:r>
          </w:p>
        </w:tc>
        <w:tc>
          <w:tcPr>
            <w:tcW w:w="85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4BEBA789" w14:textId="77777777" w:rsidR="007B36C2" w:rsidRPr="004E74A6" w:rsidRDefault="007B36C2" w:rsidP="00832773">
            <w:pPr>
              <w:spacing w:line="276" w:lineRule="auto"/>
              <w:jc w:val="center"/>
              <w:rPr>
                <w:rFonts w:cs="Calibri"/>
                <w:color w:val="000000"/>
                <w:sz w:val="20"/>
                <w:lang w:eastAsia="es-CR"/>
              </w:rPr>
            </w:pPr>
            <w:r w:rsidRPr="004E74A6">
              <w:rPr>
                <w:rFonts w:cs="Calibri"/>
                <w:color w:val="000000"/>
                <w:sz w:val="20"/>
                <w:lang w:eastAsia="es-CR"/>
              </w:rPr>
              <w:t>2019</w:t>
            </w:r>
          </w:p>
        </w:tc>
        <w:tc>
          <w:tcPr>
            <w:tcW w:w="850" w:type="dxa"/>
            <w:tcBorders>
              <w:top w:val="single" w:sz="8" w:space="0" w:color="auto"/>
              <w:left w:val="nil"/>
              <w:bottom w:val="single" w:sz="8" w:space="0" w:color="auto"/>
              <w:right w:val="single" w:sz="8" w:space="0" w:color="auto"/>
            </w:tcBorders>
            <w:shd w:val="clear" w:color="auto" w:fill="auto"/>
            <w:noWrap/>
            <w:vAlign w:val="center"/>
            <w:hideMark/>
          </w:tcPr>
          <w:p w14:paraId="2A87087D" w14:textId="77777777" w:rsidR="007B36C2" w:rsidRPr="004E74A6" w:rsidRDefault="007B36C2" w:rsidP="00832773">
            <w:pPr>
              <w:spacing w:line="276" w:lineRule="auto"/>
              <w:jc w:val="center"/>
              <w:rPr>
                <w:rFonts w:cs="Calibri"/>
                <w:color w:val="000000"/>
                <w:sz w:val="20"/>
                <w:lang w:eastAsia="es-CR"/>
              </w:rPr>
            </w:pPr>
            <w:r w:rsidRPr="004E74A6">
              <w:rPr>
                <w:rFonts w:cs="Calibri"/>
                <w:color w:val="000000"/>
                <w:sz w:val="20"/>
                <w:lang w:eastAsia="es-CR"/>
              </w:rPr>
              <w:t>2020</w:t>
            </w:r>
          </w:p>
        </w:tc>
        <w:tc>
          <w:tcPr>
            <w:tcW w:w="850" w:type="dxa"/>
            <w:tcBorders>
              <w:top w:val="single" w:sz="8" w:space="0" w:color="auto"/>
              <w:left w:val="nil"/>
              <w:bottom w:val="single" w:sz="8" w:space="0" w:color="auto"/>
              <w:right w:val="single" w:sz="8" w:space="0" w:color="auto"/>
            </w:tcBorders>
            <w:shd w:val="clear" w:color="auto" w:fill="auto"/>
            <w:noWrap/>
            <w:vAlign w:val="center"/>
            <w:hideMark/>
          </w:tcPr>
          <w:p w14:paraId="195D7576" w14:textId="77777777" w:rsidR="007B36C2" w:rsidRPr="004E74A6" w:rsidRDefault="007B36C2" w:rsidP="00832773">
            <w:pPr>
              <w:spacing w:line="276" w:lineRule="auto"/>
              <w:jc w:val="center"/>
              <w:rPr>
                <w:rFonts w:cs="Calibri"/>
                <w:color w:val="000000"/>
                <w:sz w:val="20"/>
                <w:lang w:eastAsia="es-CR"/>
              </w:rPr>
            </w:pPr>
            <w:r w:rsidRPr="004E74A6">
              <w:rPr>
                <w:rFonts w:cs="Calibri"/>
                <w:color w:val="000000"/>
                <w:sz w:val="20"/>
                <w:lang w:eastAsia="es-CR"/>
              </w:rPr>
              <w:t>2021</w:t>
            </w:r>
          </w:p>
        </w:tc>
        <w:tc>
          <w:tcPr>
            <w:tcW w:w="1134" w:type="dxa"/>
            <w:tcBorders>
              <w:top w:val="single" w:sz="8" w:space="0" w:color="auto"/>
              <w:left w:val="nil"/>
              <w:bottom w:val="single" w:sz="8" w:space="0" w:color="auto"/>
              <w:right w:val="single" w:sz="8" w:space="0" w:color="auto"/>
            </w:tcBorders>
            <w:shd w:val="clear" w:color="auto" w:fill="auto"/>
            <w:noWrap/>
            <w:vAlign w:val="center"/>
            <w:hideMark/>
          </w:tcPr>
          <w:p w14:paraId="316FDF5F" w14:textId="77777777" w:rsidR="007B36C2" w:rsidRPr="004E74A6" w:rsidRDefault="007B36C2" w:rsidP="00832773">
            <w:pPr>
              <w:spacing w:line="276" w:lineRule="auto"/>
              <w:jc w:val="center"/>
              <w:rPr>
                <w:rFonts w:cs="Calibri"/>
                <w:color w:val="000000"/>
                <w:sz w:val="20"/>
                <w:lang w:eastAsia="es-CR"/>
              </w:rPr>
            </w:pPr>
            <w:r w:rsidRPr="004E74A6">
              <w:rPr>
                <w:rFonts w:cs="Calibri"/>
                <w:color w:val="000000"/>
                <w:sz w:val="20"/>
                <w:lang w:eastAsia="es-CR"/>
              </w:rPr>
              <w:t>Promedio</w:t>
            </w:r>
          </w:p>
        </w:tc>
        <w:tc>
          <w:tcPr>
            <w:tcW w:w="2381" w:type="dxa"/>
            <w:tcBorders>
              <w:top w:val="single" w:sz="8" w:space="0" w:color="auto"/>
              <w:left w:val="nil"/>
              <w:bottom w:val="single" w:sz="8" w:space="0" w:color="auto"/>
              <w:right w:val="nil"/>
            </w:tcBorders>
            <w:shd w:val="clear" w:color="auto" w:fill="auto"/>
            <w:vAlign w:val="center"/>
            <w:hideMark/>
          </w:tcPr>
          <w:p w14:paraId="2BD91F7F" w14:textId="65D0A75D" w:rsidR="007B36C2" w:rsidRPr="004E74A6" w:rsidRDefault="007B36C2" w:rsidP="00832773">
            <w:pPr>
              <w:spacing w:line="276" w:lineRule="auto"/>
              <w:jc w:val="center"/>
              <w:rPr>
                <w:rFonts w:cs="Calibri"/>
                <w:color w:val="000000"/>
                <w:sz w:val="20"/>
                <w:lang w:eastAsia="es-CR"/>
              </w:rPr>
            </w:pPr>
            <w:r w:rsidRPr="004E74A6">
              <w:rPr>
                <w:rFonts w:cs="Calibri"/>
                <w:color w:val="000000"/>
                <w:sz w:val="20"/>
                <w:lang w:eastAsia="es-CR"/>
              </w:rPr>
              <w:t>Pérdida porcentual en la entrada en caso de elevarse la cuantía según rango escenario A1</w:t>
            </w:r>
          </w:p>
        </w:tc>
      </w:tr>
      <w:tr w:rsidR="007B36C2" w:rsidRPr="004E74A6" w14:paraId="364F91A7" w14:textId="77777777" w:rsidTr="00386BC3">
        <w:trPr>
          <w:trHeight w:val="300"/>
          <w:jc w:val="center"/>
        </w:trPr>
        <w:tc>
          <w:tcPr>
            <w:tcW w:w="2800" w:type="dxa"/>
            <w:tcBorders>
              <w:top w:val="nil"/>
              <w:left w:val="nil"/>
              <w:bottom w:val="nil"/>
              <w:right w:val="single" w:sz="8" w:space="0" w:color="auto"/>
            </w:tcBorders>
            <w:shd w:val="clear" w:color="auto" w:fill="auto"/>
            <w:noWrap/>
            <w:vAlign w:val="center"/>
            <w:hideMark/>
          </w:tcPr>
          <w:p w14:paraId="09B4D193" w14:textId="77777777" w:rsidR="007B36C2" w:rsidRPr="004E74A6" w:rsidRDefault="007B36C2" w:rsidP="00832773">
            <w:pPr>
              <w:spacing w:line="276" w:lineRule="auto"/>
              <w:jc w:val="center"/>
              <w:rPr>
                <w:rFonts w:cs="Calibri"/>
                <w:color w:val="000000"/>
                <w:sz w:val="20"/>
                <w:lang w:eastAsia="es-CR"/>
              </w:rPr>
            </w:pPr>
            <w:r w:rsidRPr="004E74A6">
              <w:rPr>
                <w:rFonts w:cs="Calibri"/>
                <w:color w:val="000000"/>
                <w:sz w:val="20"/>
                <w:lang w:eastAsia="es-CR"/>
              </w:rPr>
              <w:t> </w:t>
            </w:r>
          </w:p>
        </w:tc>
        <w:tc>
          <w:tcPr>
            <w:tcW w:w="850" w:type="dxa"/>
            <w:tcBorders>
              <w:top w:val="nil"/>
              <w:left w:val="nil"/>
              <w:bottom w:val="nil"/>
              <w:right w:val="single" w:sz="8" w:space="0" w:color="auto"/>
            </w:tcBorders>
            <w:shd w:val="clear" w:color="auto" w:fill="auto"/>
            <w:noWrap/>
            <w:vAlign w:val="center"/>
            <w:hideMark/>
          </w:tcPr>
          <w:p w14:paraId="78D8BAFB" w14:textId="77777777" w:rsidR="007B36C2" w:rsidRPr="004E74A6" w:rsidRDefault="007B36C2" w:rsidP="00832773">
            <w:pPr>
              <w:spacing w:line="276" w:lineRule="auto"/>
              <w:jc w:val="center"/>
              <w:rPr>
                <w:rFonts w:cs="Calibri"/>
                <w:color w:val="000000"/>
                <w:sz w:val="20"/>
                <w:lang w:eastAsia="es-CR"/>
              </w:rPr>
            </w:pPr>
            <w:r w:rsidRPr="004E74A6">
              <w:rPr>
                <w:rFonts w:cs="Calibri"/>
                <w:color w:val="000000"/>
                <w:sz w:val="20"/>
                <w:lang w:eastAsia="es-CR"/>
              </w:rPr>
              <w:t> </w:t>
            </w:r>
          </w:p>
        </w:tc>
        <w:tc>
          <w:tcPr>
            <w:tcW w:w="850" w:type="dxa"/>
            <w:tcBorders>
              <w:top w:val="nil"/>
              <w:left w:val="nil"/>
              <w:bottom w:val="nil"/>
              <w:right w:val="single" w:sz="8" w:space="0" w:color="auto"/>
            </w:tcBorders>
            <w:shd w:val="clear" w:color="auto" w:fill="auto"/>
            <w:noWrap/>
            <w:vAlign w:val="center"/>
            <w:hideMark/>
          </w:tcPr>
          <w:p w14:paraId="2D8A336F" w14:textId="77777777" w:rsidR="007B36C2" w:rsidRPr="004E74A6" w:rsidRDefault="007B36C2" w:rsidP="00832773">
            <w:pPr>
              <w:spacing w:line="276" w:lineRule="auto"/>
              <w:jc w:val="center"/>
              <w:rPr>
                <w:rFonts w:cs="Calibri"/>
                <w:color w:val="000000"/>
                <w:sz w:val="20"/>
                <w:lang w:eastAsia="es-CR"/>
              </w:rPr>
            </w:pPr>
            <w:r w:rsidRPr="004E74A6">
              <w:rPr>
                <w:rFonts w:cs="Calibri"/>
                <w:color w:val="000000"/>
                <w:sz w:val="20"/>
                <w:lang w:eastAsia="es-CR"/>
              </w:rPr>
              <w:t> </w:t>
            </w:r>
          </w:p>
        </w:tc>
        <w:tc>
          <w:tcPr>
            <w:tcW w:w="850" w:type="dxa"/>
            <w:tcBorders>
              <w:top w:val="nil"/>
              <w:left w:val="nil"/>
              <w:bottom w:val="nil"/>
              <w:right w:val="single" w:sz="8" w:space="0" w:color="auto"/>
            </w:tcBorders>
            <w:shd w:val="clear" w:color="auto" w:fill="auto"/>
            <w:noWrap/>
            <w:vAlign w:val="center"/>
            <w:hideMark/>
          </w:tcPr>
          <w:p w14:paraId="29E3F3BB" w14:textId="77777777" w:rsidR="007B36C2" w:rsidRPr="004E74A6" w:rsidRDefault="007B36C2" w:rsidP="00832773">
            <w:pPr>
              <w:spacing w:line="276" w:lineRule="auto"/>
              <w:jc w:val="center"/>
              <w:rPr>
                <w:rFonts w:cs="Calibri"/>
                <w:color w:val="000000"/>
                <w:sz w:val="20"/>
                <w:lang w:eastAsia="es-CR"/>
              </w:rPr>
            </w:pPr>
            <w:r w:rsidRPr="004E74A6">
              <w:rPr>
                <w:rFonts w:cs="Calibri"/>
                <w:color w:val="000000"/>
                <w:sz w:val="20"/>
                <w:lang w:eastAsia="es-CR"/>
              </w:rPr>
              <w:t> </w:t>
            </w:r>
          </w:p>
        </w:tc>
        <w:tc>
          <w:tcPr>
            <w:tcW w:w="1134" w:type="dxa"/>
            <w:tcBorders>
              <w:top w:val="nil"/>
              <w:left w:val="nil"/>
              <w:bottom w:val="nil"/>
              <w:right w:val="single" w:sz="8" w:space="0" w:color="auto"/>
            </w:tcBorders>
            <w:shd w:val="clear" w:color="auto" w:fill="auto"/>
            <w:noWrap/>
            <w:vAlign w:val="center"/>
            <w:hideMark/>
          </w:tcPr>
          <w:p w14:paraId="290A0E93" w14:textId="77777777" w:rsidR="007B36C2" w:rsidRPr="004E74A6" w:rsidRDefault="007B36C2" w:rsidP="00832773">
            <w:pPr>
              <w:spacing w:line="276" w:lineRule="auto"/>
              <w:jc w:val="center"/>
              <w:rPr>
                <w:rFonts w:cs="Calibri"/>
                <w:color w:val="000000"/>
                <w:sz w:val="20"/>
                <w:lang w:eastAsia="es-CR"/>
              </w:rPr>
            </w:pPr>
            <w:r w:rsidRPr="004E74A6">
              <w:rPr>
                <w:rFonts w:cs="Calibri"/>
                <w:color w:val="000000"/>
                <w:sz w:val="20"/>
                <w:lang w:eastAsia="es-CR"/>
              </w:rPr>
              <w:t> </w:t>
            </w:r>
          </w:p>
        </w:tc>
        <w:tc>
          <w:tcPr>
            <w:tcW w:w="2381" w:type="dxa"/>
            <w:tcBorders>
              <w:top w:val="nil"/>
              <w:left w:val="nil"/>
              <w:bottom w:val="nil"/>
              <w:right w:val="nil"/>
            </w:tcBorders>
            <w:shd w:val="clear" w:color="auto" w:fill="auto"/>
            <w:noWrap/>
            <w:vAlign w:val="bottom"/>
            <w:hideMark/>
          </w:tcPr>
          <w:p w14:paraId="01DDD561" w14:textId="77777777" w:rsidR="007B36C2" w:rsidRPr="004E74A6" w:rsidRDefault="007B36C2" w:rsidP="00832773">
            <w:pPr>
              <w:spacing w:line="276" w:lineRule="auto"/>
              <w:jc w:val="center"/>
              <w:rPr>
                <w:rFonts w:cs="Calibri"/>
                <w:color w:val="000000"/>
                <w:sz w:val="20"/>
                <w:lang w:eastAsia="es-CR"/>
              </w:rPr>
            </w:pPr>
          </w:p>
        </w:tc>
      </w:tr>
      <w:tr w:rsidR="004367F6" w:rsidRPr="004E74A6" w14:paraId="286A1214" w14:textId="77777777" w:rsidTr="00386BC3">
        <w:trPr>
          <w:trHeight w:val="300"/>
          <w:jc w:val="center"/>
        </w:trPr>
        <w:tc>
          <w:tcPr>
            <w:tcW w:w="2800" w:type="dxa"/>
            <w:tcBorders>
              <w:top w:val="nil"/>
              <w:left w:val="nil"/>
              <w:bottom w:val="nil"/>
              <w:right w:val="single" w:sz="8" w:space="0" w:color="auto"/>
            </w:tcBorders>
            <w:shd w:val="clear" w:color="auto" w:fill="auto"/>
            <w:noWrap/>
            <w:vAlign w:val="center"/>
            <w:hideMark/>
          </w:tcPr>
          <w:p w14:paraId="25937BFA" w14:textId="77777777" w:rsidR="004367F6" w:rsidRPr="004E74A6" w:rsidRDefault="004367F6" w:rsidP="00832773">
            <w:pPr>
              <w:spacing w:line="276" w:lineRule="auto"/>
              <w:jc w:val="center"/>
              <w:rPr>
                <w:rFonts w:cs="Calibri"/>
                <w:color w:val="000000"/>
                <w:sz w:val="20"/>
                <w:lang w:eastAsia="es-CR"/>
              </w:rPr>
            </w:pPr>
            <w:r w:rsidRPr="004E74A6">
              <w:rPr>
                <w:rFonts w:cs="Calibri"/>
                <w:color w:val="000000"/>
                <w:sz w:val="20"/>
                <w:lang w:eastAsia="es-CR"/>
              </w:rPr>
              <w:t>Total</w:t>
            </w:r>
          </w:p>
        </w:tc>
        <w:tc>
          <w:tcPr>
            <w:tcW w:w="850" w:type="dxa"/>
            <w:tcBorders>
              <w:top w:val="nil"/>
              <w:left w:val="nil"/>
              <w:bottom w:val="nil"/>
              <w:right w:val="single" w:sz="8" w:space="0" w:color="auto"/>
            </w:tcBorders>
            <w:shd w:val="clear" w:color="auto" w:fill="auto"/>
            <w:noWrap/>
            <w:vAlign w:val="center"/>
            <w:hideMark/>
          </w:tcPr>
          <w:p w14:paraId="2607FB2A" w14:textId="77777777" w:rsidR="004367F6" w:rsidRPr="004E74A6" w:rsidRDefault="004367F6" w:rsidP="00832773">
            <w:pPr>
              <w:spacing w:line="276" w:lineRule="auto"/>
              <w:jc w:val="center"/>
              <w:rPr>
                <w:rFonts w:cs="Calibri"/>
                <w:color w:val="000000"/>
                <w:sz w:val="20"/>
                <w:lang w:eastAsia="es-CR"/>
              </w:rPr>
            </w:pPr>
            <w:r w:rsidRPr="004E74A6">
              <w:rPr>
                <w:rFonts w:cs="Calibri"/>
                <w:color w:val="000000"/>
                <w:sz w:val="20"/>
                <w:lang w:eastAsia="es-CR"/>
              </w:rPr>
              <w:t>144</w:t>
            </w:r>
          </w:p>
        </w:tc>
        <w:tc>
          <w:tcPr>
            <w:tcW w:w="850" w:type="dxa"/>
            <w:tcBorders>
              <w:top w:val="nil"/>
              <w:left w:val="nil"/>
              <w:bottom w:val="nil"/>
              <w:right w:val="single" w:sz="8" w:space="0" w:color="auto"/>
            </w:tcBorders>
            <w:shd w:val="clear" w:color="auto" w:fill="auto"/>
            <w:noWrap/>
            <w:vAlign w:val="center"/>
            <w:hideMark/>
          </w:tcPr>
          <w:p w14:paraId="1B3B4FD4" w14:textId="77777777" w:rsidR="004367F6" w:rsidRPr="004E74A6" w:rsidRDefault="004367F6" w:rsidP="00832773">
            <w:pPr>
              <w:spacing w:line="276" w:lineRule="auto"/>
              <w:jc w:val="center"/>
              <w:rPr>
                <w:rFonts w:cs="Calibri"/>
                <w:color w:val="000000"/>
                <w:sz w:val="20"/>
                <w:lang w:eastAsia="es-CR"/>
              </w:rPr>
            </w:pPr>
            <w:r w:rsidRPr="004E74A6">
              <w:rPr>
                <w:rFonts w:cs="Calibri"/>
                <w:color w:val="000000"/>
                <w:sz w:val="20"/>
                <w:lang w:eastAsia="es-CR"/>
              </w:rPr>
              <w:t>233</w:t>
            </w:r>
          </w:p>
        </w:tc>
        <w:tc>
          <w:tcPr>
            <w:tcW w:w="850" w:type="dxa"/>
            <w:tcBorders>
              <w:top w:val="nil"/>
              <w:left w:val="nil"/>
              <w:bottom w:val="nil"/>
              <w:right w:val="single" w:sz="8" w:space="0" w:color="auto"/>
            </w:tcBorders>
            <w:shd w:val="clear" w:color="auto" w:fill="auto"/>
            <w:noWrap/>
            <w:vAlign w:val="center"/>
            <w:hideMark/>
          </w:tcPr>
          <w:p w14:paraId="4D723C20" w14:textId="77777777" w:rsidR="004367F6" w:rsidRPr="004E74A6" w:rsidRDefault="004367F6" w:rsidP="00832773">
            <w:pPr>
              <w:spacing w:line="276" w:lineRule="auto"/>
              <w:jc w:val="center"/>
              <w:rPr>
                <w:rFonts w:cs="Calibri"/>
                <w:color w:val="000000"/>
                <w:sz w:val="20"/>
                <w:lang w:eastAsia="es-CR"/>
              </w:rPr>
            </w:pPr>
            <w:r w:rsidRPr="004E74A6">
              <w:rPr>
                <w:rFonts w:cs="Calibri"/>
                <w:color w:val="000000"/>
                <w:sz w:val="20"/>
                <w:lang w:eastAsia="es-CR"/>
              </w:rPr>
              <w:t>283</w:t>
            </w:r>
          </w:p>
        </w:tc>
        <w:tc>
          <w:tcPr>
            <w:tcW w:w="1134" w:type="dxa"/>
            <w:tcBorders>
              <w:top w:val="nil"/>
              <w:left w:val="nil"/>
              <w:bottom w:val="nil"/>
              <w:right w:val="single" w:sz="8" w:space="0" w:color="auto"/>
            </w:tcBorders>
            <w:shd w:val="clear" w:color="auto" w:fill="auto"/>
            <w:noWrap/>
            <w:vAlign w:val="center"/>
            <w:hideMark/>
          </w:tcPr>
          <w:p w14:paraId="327975BC" w14:textId="7690A330" w:rsidR="004367F6" w:rsidRPr="004E74A6" w:rsidRDefault="004367F6" w:rsidP="00832773">
            <w:pPr>
              <w:spacing w:line="276" w:lineRule="auto"/>
              <w:jc w:val="center"/>
              <w:rPr>
                <w:rFonts w:cs="Calibri"/>
                <w:color w:val="000000"/>
                <w:sz w:val="20"/>
                <w:lang w:eastAsia="es-CR"/>
              </w:rPr>
            </w:pPr>
            <w:r w:rsidRPr="004E74A6">
              <w:rPr>
                <w:rFonts w:cs="Calibri"/>
                <w:color w:val="000000"/>
                <w:sz w:val="20"/>
              </w:rPr>
              <w:t>220</w:t>
            </w:r>
          </w:p>
        </w:tc>
        <w:tc>
          <w:tcPr>
            <w:tcW w:w="2381" w:type="dxa"/>
            <w:tcBorders>
              <w:top w:val="nil"/>
              <w:left w:val="nil"/>
              <w:bottom w:val="nil"/>
              <w:right w:val="nil"/>
            </w:tcBorders>
            <w:shd w:val="clear" w:color="auto" w:fill="auto"/>
            <w:noWrap/>
            <w:vAlign w:val="bottom"/>
            <w:hideMark/>
          </w:tcPr>
          <w:p w14:paraId="78A68C87" w14:textId="77777777" w:rsidR="004367F6" w:rsidRPr="004E74A6" w:rsidRDefault="004367F6" w:rsidP="00832773">
            <w:pPr>
              <w:spacing w:line="276" w:lineRule="auto"/>
              <w:jc w:val="center"/>
              <w:rPr>
                <w:rFonts w:cs="Calibri"/>
                <w:b/>
                <w:bCs/>
                <w:color w:val="000000"/>
                <w:sz w:val="20"/>
                <w:lang w:eastAsia="es-CR"/>
              </w:rPr>
            </w:pPr>
          </w:p>
        </w:tc>
      </w:tr>
      <w:tr w:rsidR="004367F6" w:rsidRPr="004E74A6" w14:paraId="59434B0F" w14:textId="77777777" w:rsidTr="00386BC3">
        <w:trPr>
          <w:trHeight w:val="300"/>
          <w:jc w:val="center"/>
        </w:trPr>
        <w:tc>
          <w:tcPr>
            <w:tcW w:w="2800" w:type="dxa"/>
            <w:tcBorders>
              <w:top w:val="nil"/>
              <w:left w:val="nil"/>
              <w:bottom w:val="nil"/>
              <w:right w:val="single" w:sz="8" w:space="0" w:color="auto"/>
            </w:tcBorders>
            <w:shd w:val="clear" w:color="auto" w:fill="auto"/>
            <w:noWrap/>
            <w:vAlign w:val="center"/>
            <w:hideMark/>
          </w:tcPr>
          <w:p w14:paraId="084446A3" w14:textId="77777777" w:rsidR="004367F6" w:rsidRPr="004E74A6" w:rsidRDefault="004367F6" w:rsidP="00832773">
            <w:pPr>
              <w:spacing w:line="276" w:lineRule="auto"/>
              <w:jc w:val="left"/>
              <w:rPr>
                <w:rFonts w:cs="Calibri"/>
                <w:color w:val="000000"/>
                <w:sz w:val="20"/>
                <w:lang w:eastAsia="es-CR"/>
              </w:rPr>
            </w:pPr>
            <w:r w:rsidRPr="004E74A6">
              <w:rPr>
                <w:rFonts w:cs="Calibri"/>
                <w:color w:val="000000"/>
                <w:sz w:val="20"/>
                <w:lang w:eastAsia="es-CR"/>
              </w:rPr>
              <w:t> </w:t>
            </w:r>
          </w:p>
        </w:tc>
        <w:tc>
          <w:tcPr>
            <w:tcW w:w="850" w:type="dxa"/>
            <w:tcBorders>
              <w:top w:val="nil"/>
              <w:left w:val="nil"/>
              <w:bottom w:val="nil"/>
              <w:right w:val="single" w:sz="8" w:space="0" w:color="auto"/>
            </w:tcBorders>
            <w:shd w:val="clear" w:color="auto" w:fill="auto"/>
            <w:noWrap/>
            <w:vAlign w:val="center"/>
            <w:hideMark/>
          </w:tcPr>
          <w:p w14:paraId="3E5685A0" w14:textId="77777777" w:rsidR="004367F6" w:rsidRPr="004E74A6" w:rsidRDefault="004367F6" w:rsidP="00832773">
            <w:pPr>
              <w:spacing w:line="276" w:lineRule="auto"/>
              <w:jc w:val="center"/>
              <w:rPr>
                <w:rFonts w:cs="Calibri"/>
                <w:color w:val="000000"/>
                <w:sz w:val="20"/>
                <w:lang w:eastAsia="es-CR"/>
              </w:rPr>
            </w:pPr>
            <w:r w:rsidRPr="004E74A6">
              <w:rPr>
                <w:rFonts w:cs="Calibri"/>
                <w:color w:val="000000"/>
                <w:sz w:val="20"/>
                <w:lang w:eastAsia="es-CR"/>
              </w:rPr>
              <w:t> </w:t>
            </w:r>
          </w:p>
        </w:tc>
        <w:tc>
          <w:tcPr>
            <w:tcW w:w="850" w:type="dxa"/>
            <w:tcBorders>
              <w:top w:val="nil"/>
              <w:left w:val="nil"/>
              <w:bottom w:val="nil"/>
              <w:right w:val="single" w:sz="8" w:space="0" w:color="auto"/>
            </w:tcBorders>
            <w:shd w:val="clear" w:color="auto" w:fill="auto"/>
            <w:noWrap/>
            <w:vAlign w:val="center"/>
            <w:hideMark/>
          </w:tcPr>
          <w:p w14:paraId="18511DA0" w14:textId="77777777" w:rsidR="004367F6" w:rsidRPr="004E74A6" w:rsidRDefault="004367F6" w:rsidP="00832773">
            <w:pPr>
              <w:spacing w:line="276" w:lineRule="auto"/>
              <w:jc w:val="center"/>
              <w:rPr>
                <w:rFonts w:cs="Calibri"/>
                <w:color w:val="000000"/>
                <w:sz w:val="20"/>
                <w:lang w:eastAsia="es-CR"/>
              </w:rPr>
            </w:pPr>
            <w:r w:rsidRPr="004E74A6">
              <w:rPr>
                <w:rFonts w:cs="Calibri"/>
                <w:color w:val="000000"/>
                <w:sz w:val="20"/>
                <w:lang w:eastAsia="es-CR"/>
              </w:rPr>
              <w:t> </w:t>
            </w:r>
          </w:p>
        </w:tc>
        <w:tc>
          <w:tcPr>
            <w:tcW w:w="850" w:type="dxa"/>
            <w:tcBorders>
              <w:top w:val="nil"/>
              <w:left w:val="nil"/>
              <w:bottom w:val="nil"/>
              <w:right w:val="single" w:sz="8" w:space="0" w:color="auto"/>
            </w:tcBorders>
            <w:shd w:val="clear" w:color="auto" w:fill="auto"/>
            <w:noWrap/>
            <w:vAlign w:val="center"/>
            <w:hideMark/>
          </w:tcPr>
          <w:p w14:paraId="7AEA3613" w14:textId="77777777" w:rsidR="004367F6" w:rsidRPr="004E74A6" w:rsidRDefault="004367F6" w:rsidP="00832773">
            <w:pPr>
              <w:spacing w:line="276" w:lineRule="auto"/>
              <w:jc w:val="center"/>
              <w:rPr>
                <w:rFonts w:cs="Calibri"/>
                <w:color w:val="000000"/>
                <w:sz w:val="20"/>
                <w:lang w:eastAsia="es-CR"/>
              </w:rPr>
            </w:pPr>
            <w:r w:rsidRPr="004E74A6">
              <w:rPr>
                <w:rFonts w:cs="Calibri"/>
                <w:color w:val="000000"/>
                <w:sz w:val="20"/>
                <w:lang w:eastAsia="es-CR"/>
              </w:rPr>
              <w:t> </w:t>
            </w:r>
          </w:p>
        </w:tc>
        <w:tc>
          <w:tcPr>
            <w:tcW w:w="1134" w:type="dxa"/>
            <w:tcBorders>
              <w:top w:val="nil"/>
              <w:left w:val="nil"/>
              <w:bottom w:val="nil"/>
              <w:right w:val="single" w:sz="8" w:space="0" w:color="auto"/>
            </w:tcBorders>
            <w:shd w:val="clear" w:color="auto" w:fill="auto"/>
            <w:noWrap/>
            <w:vAlign w:val="center"/>
            <w:hideMark/>
          </w:tcPr>
          <w:p w14:paraId="06296487" w14:textId="6C521CA3" w:rsidR="004367F6" w:rsidRPr="004E74A6" w:rsidRDefault="004367F6" w:rsidP="00832773">
            <w:pPr>
              <w:spacing w:line="276" w:lineRule="auto"/>
              <w:jc w:val="center"/>
              <w:rPr>
                <w:rFonts w:cs="Calibri"/>
                <w:color w:val="000000"/>
                <w:sz w:val="20"/>
                <w:lang w:eastAsia="es-CR"/>
              </w:rPr>
            </w:pPr>
            <w:r w:rsidRPr="004E74A6">
              <w:rPr>
                <w:rFonts w:cs="Calibri"/>
                <w:color w:val="000000"/>
                <w:sz w:val="20"/>
              </w:rPr>
              <w:t> </w:t>
            </w:r>
          </w:p>
        </w:tc>
        <w:tc>
          <w:tcPr>
            <w:tcW w:w="2381" w:type="dxa"/>
            <w:tcBorders>
              <w:top w:val="nil"/>
              <w:left w:val="nil"/>
              <w:bottom w:val="nil"/>
              <w:right w:val="nil"/>
            </w:tcBorders>
            <w:shd w:val="clear" w:color="auto" w:fill="auto"/>
            <w:noWrap/>
            <w:vAlign w:val="bottom"/>
            <w:hideMark/>
          </w:tcPr>
          <w:p w14:paraId="7D0238A0" w14:textId="77777777" w:rsidR="004367F6" w:rsidRPr="004E74A6" w:rsidRDefault="004367F6" w:rsidP="00832773">
            <w:pPr>
              <w:spacing w:line="276" w:lineRule="auto"/>
              <w:jc w:val="center"/>
              <w:rPr>
                <w:rFonts w:cs="Calibri"/>
                <w:color w:val="000000"/>
                <w:sz w:val="20"/>
                <w:lang w:eastAsia="es-CR"/>
              </w:rPr>
            </w:pPr>
          </w:p>
        </w:tc>
      </w:tr>
      <w:tr w:rsidR="00386BC3" w:rsidRPr="004E74A6" w14:paraId="1619B4F0" w14:textId="77777777" w:rsidTr="00386BC3">
        <w:trPr>
          <w:trHeight w:val="300"/>
          <w:jc w:val="center"/>
        </w:trPr>
        <w:tc>
          <w:tcPr>
            <w:tcW w:w="2800" w:type="dxa"/>
            <w:tcBorders>
              <w:top w:val="nil"/>
              <w:left w:val="nil"/>
              <w:bottom w:val="nil"/>
              <w:right w:val="single" w:sz="8" w:space="0" w:color="auto"/>
            </w:tcBorders>
            <w:shd w:val="clear" w:color="000000" w:fill="C6E0B4"/>
            <w:noWrap/>
            <w:vAlign w:val="center"/>
            <w:hideMark/>
          </w:tcPr>
          <w:p w14:paraId="05A35EE3" w14:textId="77777777" w:rsidR="00386BC3" w:rsidRPr="004E74A6" w:rsidRDefault="00386BC3" w:rsidP="00832773">
            <w:pPr>
              <w:spacing w:line="276" w:lineRule="auto"/>
              <w:jc w:val="left"/>
              <w:rPr>
                <w:rFonts w:cs="Calibri"/>
                <w:color w:val="000000"/>
                <w:sz w:val="20"/>
                <w:lang w:eastAsia="es-CR"/>
              </w:rPr>
            </w:pPr>
            <w:r w:rsidRPr="004E74A6">
              <w:rPr>
                <w:rFonts w:cs="Calibri"/>
                <w:color w:val="000000"/>
                <w:sz w:val="20"/>
                <w:lang w:eastAsia="es-CR"/>
              </w:rPr>
              <w:t>Menos de ¢3.000.001</w:t>
            </w:r>
          </w:p>
        </w:tc>
        <w:tc>
          <w:tcPr>
            <w:tcW w:w="850" w:type="dxa"/>
            <w:tcBorders>
              <w:top w:val="nil"/>
              <w:left w:val="nil"/>
              <w:bottom w:val="nil"/>
              <w:right w:val="single" w:sz="8" w:space="0" w:color="auto"/>
            </w:tcBorders>
            <w:shd w:val="clear" w:color="000000" w:fill="C6E0B4"/>
            <w:noWrap/>
            <w:vAlign w:val="center"/>
            <w:hideMark/>
          </w:tcPr>
          <w:p w14:paraId="677BD52C" w14:textId="77777777" w:rsidR="00386BC3" w:rsidRPr="004E74A6" w:rsidRDefault="00386BC3" w:rsidP="00832773">
            <w:pPr>
              <w:spacing w:line="276" w:lineRule="auto"/>
              <w:jc w:val="center"/>
              <w:rPr>
                <w:rFonts w:cs="Calibri"/>
                <w:color w:val="000000"/>
                <w:sz w:val="20"/>
                <w:lang w:eastAsia="es-CR"/>
              </w:rPr>
            </w:pPr>
            <w:r w:rsidRPr="004E74A6">
              <w:rPr>
                <w:rFonts w:cs="Calibri"/>
                <w:color w:val="000000"/>
                <w:sz w:val="20"/>
                <w:lang w:eastAsia="es-CR"/>
              </w:rPr>
              <w:t>1</w:t>
            </w:r>
          </w:p>
        </w:tc>
        <w:tc>
          <w:tcPr>
            <w:tcW w:w="850" w:type="dxa"/>
            <w:tcBorders>
              <w:top w:val="nil"/>
              <w:left w:val="nil"/>
              <w:bottom w:val="nil"/>
              <w:right w:val="single" w:sz="8" w:space="0" w:color="auto"/>
            </w:tcBorders>
            <w:shd w:val="clear" w:color="000000" w:fill="C6E0B4"/>
            <w:noWrap/>
            <w:vAlign w:val="center"/>
            <w:hideMark/>
          </w:tcPr>
          <w:p w14:paraId="14ADE75B" w14:textId="77777777" w:rsidR="00386BC3" w:rsidRPr="004E74A6" w:rsidRDefault="00386BC3" w:rsidP="00832773">
            <w:pPr>
              <w:spacing w:line="276" w:lineRule="auto"/>
              <w:jc w:val="center"/>
              <w:rPr>
                <w:rFonts w:cs="Calibri"/>
                <w:color w:val="000000"/>
                <w:sz w:val="20"/>
                <w:lang w:eastAsia="es-CR"/>
              </w:rPr>
            </w:pPr>
            <w:r w:rsidRPr="004E74A6">
              <w:rPr>
                <w:rFonts w:cs="Calibri"/>
                <w:color w:val="000000"/>
                <w:sz w:val="20"/>
                <w:lang w:eastAsia="es-CR"/>
              </w:rPr>
              <w:t>8</w:t>
            </w:r>
          </w:p>
        </w:tc>
        <w:tc>
          <w:tcPr>
            <w:tcW w:w="850" w:type="dxa"/>
            <w:tcBorders>
              <w:top w:val="nil"/>
              <w:left w:val="nil"/>
              <w:bottom w:val="nil"/>
              <w:right w:val="single" w:sz="8" w:space="0" w:color="auto"/>
            </w:tcBorders>
            <w:shd w:val="clear" w:color="000000" w:fill="C6E0B4"/>
            <w:noWrap/>
            <w:vAlign w:val="center"/>
            <w:hideMark/>
          </w:tcPr>
          <w:p w14:paraId="6E9156E3" w14:textId="77777777" w:rsidR="00386BC3" w:rsidRPr="004E74A6" w:rsidRDefault="00386BC3" w:rsidP="00832773">
            <w:pPr>
              <w:spacing w:line="276" w:lineRule="auto"/>
              <w:jc w:val="center"/>
              <w:rPr>
                <w:rFonts w:cs="Calibri"/>
                <w:color w:val="000000"/>
                <w:sz w:val="20"/>
                <w:lang w:eastAsia="es-CR"/>
              </w:rPr>
            </w:pPr>
            <w:r w:rsidRPr="004E74A6">
              <w:rPr>
                <w:rFonts w:cs="Calibri"/>
                <w:color w:val="000000"/>
                <w:sz w:val="20"/>
                <w:lang w:eastAsia="es-CR"/>
              </w:rPr>
              <w:t>9</w:t>
            </w:r>
          </w:p>
        </w:tc>
        <w:tc>
          <w:tcPr>
            <w:tcW w:w="1134" w:type="dxa"/>
            <w:tcBorders>
              <w:top w:val="nil"/>
              <w:left w:val="nil"/>
              <w:bottom w:val="nil"/>
              <w:right w:val="single" w:sz="8" w:space="0" w:color="auto"/>
            </w:tcBorders>
            <w:shd w:val="clear" w:color="000000" w:fill="C6E0B4"/>
            <w:noWrap/>
            <w:vAlign w:val="center"/>
            <w:hideMark/>
          </w:tcPr>
          <w:p w14:paraId="58BF3195" w14:textId="13B71ED4" w:rsidR="00386BC3" w:rsidRPr="004E74A6" w:rsidRDefault="00386BC3" w:rsidP="00832773">
            <w:pPr>
              <w:spacing w:line="276" w:lineRule="auto"/>
              <w:jc w:val="center"/>
              <w:rPr>
                <w:rFonts w:cs="Calibri"/>
                <w:color w:val="000000"/>
                <w:sz w:val="20"/>
                <w:lang w:eastAsia="es-CR"/>
              </w:rPr>
            </w:pPr>
            <w:r w:rsidRPr="004E74A6">
              <w:rPr>
                <w:rFonts w:cs="Calibri"/>
                <w:color w:val="000000"/>
                <w:sz w:val="20"/>
              </w:rPr>
              <w:t>6</w:t>
            </w:r>
          </w:p>
        </w:tc>
        <w:tc>
          <w:tcPr>
            <w:tcW w:w="2381" w:type="dxa"/>
            <w:tcBorders>
              <w:top w:val="nil"/>
              <w:left w:val="nil"/>
              <w:bottom w:val="nil"/>
              <w:right w:val="nil"/>
            </w:tcBorders>
            <w:shd w:val="clear" w:color="000000" w:fill="C6E0B4"/>
            <w:noWrap/>
            <w:vAlign w:val="center"/>
            <w:hideMark/>
          </w:tcPr>
          <w:p w14:paraId="39DE095B" w14:textId="64D4563D" w:rsidR="00386BC3" w:rsidRPr="004E74A6" w:rsidRDefault="00386BC3" w:rsidP="00832773">
            <w:pPr>
              <w:spacing w:line="276" w:lineRule="auto"/>
              <w:jc w:val="center"/>
              <w:rPr>
                <w:rFonts w:cs="Calibri"/>
                <w:color w:val="000000"/>
                <w:sz w:val="20"/>
                <w:lang w:eastAsia="es-CR"/>
              </w:rPr>
            </w:pPr>
            <w:r w:rsidRPr="004E74A6">
              <w:rPr>
                <w:rFonts w:cs="Calibri"/>
                <w:color w:val="000000"/>
                <w:sz w:val="20"/>
              </w:rPr>
              <w:t>3%</w:t>
            </w:r>
          </w:p>
        </w:tc>
      </w:tr>
      <w:tr w:rsidR="00386BC3" w:rsidRPr="004E74A6" w14:paraId="2C4B3394" w14:textId="77777777" w:rsidTr="00386BC3">
        <w:trPr>
          <w:trHeight w:val="300"/>
          <w:jc w:val="center"/>
        </w:trPr>
        <w:tc>
          <w:tcPr>
            <w:tcW w:w="2800" w:type="dxa"/>
            <w:tcBorders>
              <w:top w:val="nil"/>
              <w:left w:val="nil"/>
              <w:bottom w:val="nil"/>
              <w:right w:val="single" w:sz="8" w:space="0" w:color="auto"/>
            </w:tcBorders>
            <w:shd w:val="clear" w:color="000000" w:fill="C6E0B4"/>
            <w:noWrap/>
            <w:vAlign w:val="center"/>
            <w:hideMark/>
          </w:tcPr>
          <w:p w14:paraId="733F1C99" w14:textId="77777777" w:rsidR="00386BC3" w:rsidRPr="004E74A6" w:rsidRDefault="00386BC3" w:rsidP="00832773">
            <w:pPr>
              <w:spacing w:line="276" w:lineRule="auto"/>
              <w:jc w:val="left"/>
              <w:rPr>
                <w:rFonts w:cs="Calibri"/>
                <w:color w:val="000000"/>
                <w:sz w:val="20"/>
                <w:lang w:eastAsia="es-CR"/>
              </w:rPr>
            </w:pPr>
            <w:r w:rsidRPr="004E74A6">
              <w:rPr>
                <w:rFonts w:cs="Calibri"/>
                <w:color w:val="000000"/>
                <w:sz w:val="20"/>
                <w:lang w:eastAsia="es-CR"/>
              </w:rPr>
              <w:t>De ¢3.000.001 a ¢4.000.000</w:t>
            </w:r>
          </w:p>
        </w:tc>
        <w:tc>
          <w:tcPr>
            <w:tcW w:w="850" w:type="dxa"/>
            <w:tcBorders>
              <w:top w:val="nil"/>
              <w:left w:val="nil"/>
              <w:bottom w:val="nil"/>
              <w:right w:val="single" w:sz="8" w:space="0" w:color="auto"/>
            </w:tcBorders>
            <w:shd w:val="clear" w:color="000000" w:fill="C6E0B4"/>
            <w:noWrap/>
            <w:vAlign w:val="center"/>
            <w:hideMark/>
          </w:tcPr>
          <w:p w14:paraId="57390960" w14:textId="77777777" w:rsidR="00386BC3" w:rsidRPr="004E74A6" w:rsidRDefault="00386BC3" w:rsidP="00832773">
            <w:pPr>
              <w:spacing w:line="276" w:lineRule="auto"/>
              <w:jc w:val="center"/>
              <w:rPr>
                <w:rFonts w:cs="Calibri"/>
                <w:color w:val="000000"/>
                <w:sz w:val="20"/>
                <w:lang w:eastAsia="es-CR"/>
              </w:rPr>
            </w:pPr>
            <w:r w:rsidRPr="004E74A6">
              <w:rPr>
                <w:rFonts w:cs="Calibri"/>
                <w:color w:val="000000"/>
                <w:sz w:val="20"/>
                <w:lang w:eastAsia="es-CR"/>
              </w:rPr>
              <w:t>10</w:t>
            </w:r>
          </w:p>
        </w:tc>
        <w:tc>
          <w:tcPr>
            <w:tcW w:w="850" w:type="dxa"/>
            <w:tcBorders>
              <w:top w:val="nil"/>
              <w:left w:val="nil"/>
              <w:bottom w:val="nil"/>
              <w:right w:val="single" w:sz="8" w:space="0" w:color="auto"/>
            </w:tcBorders>
            <w:shd w:val="clear" w:color="000000" w:fill="C6E0B4"/>
            <w:noWrap/>
            <w:vAlign w:val="center"/>
            <w:hideMark/>
          </w:tcPr>
          <w:p w14:paraId="42298204" w14:textId="77777777" w:rsidR="00386BC3" w:rsidRPr="004E74A6" w:rsidRDefault="00386BC3" w:rsidP="00832773">
            <w:pPr>
              <w:spacing w:line="276" w:lineRule="auto"/>
              <w:jc w:val="center"/>
              <w:rPr>
                <w:rFonts w:cs="Calibri"/>
                <w:color w:val="000000"/>
                <w:sz w:val="20"/>
                <w:lang w:eastAsia="es-CR"/>
              </w:rPr>
            </w:pPr>
            <w:r w:rsidRPr="004E74A6">
              <w:rPr>
                <w:rFonts w:cs="Calibri"/>
                <w:color w:val="000000"/>
                <w:sz w:val="20"/>
                <w:lang w:eastAsia="es-CR"/>
              </w:rPr>
              <w:t>8</w:t>
            </w:r>
          </w:p>
        </w:tc>
        <w:tc>
          <w:tcPr>
            <w:tcW w:w="850" w:type="dxa"/>
            <w:tcBorders>
              <w:top w:val="nil"/>
              <w:left w:val="nil"/>
              <w:bottom w:val="nil"/>
              <w:right w:val="single" w:sz="8" w:space="0" w:color="auto"/>
            </w:tcBorders>
            <w:shd w:val="clear" w:color="000000" w:fill="C6E0B4"/>
            <w:noWrap/>
            <w:vAlign w:val="center"/>
            <w:hideMark/>
          </w:tcPr>
          <w:p w14:paraId="4D6D9AA2" w14:textId="77777777" w:rsidR="00386BC3" w:rsidRPr="004E74A6" w:rsidRDefault="00386BC3" w:rsidP="00832773">
            <w:pPr>
              <w:spacing w:line="276" w:lineRule="auto"/>
              <w:jc w:val="center"/>
              <w:rPr>
                <w:rFonts w:cs="Calibri"/>
                <w:color w:val="000000"/>
                <w:sz w:val="20"/>
                <w:lang w:eastAsia="es-CR"/>
              </w:rPr>
            </w:pPr>
            <w:r w:rsidRPr="004E74A6">
              <w:rPr>
                <w:rFonts w:cs="Calibri"/>
                <w:color w:val="000000"/>
                <w:sz w:val="20"/>
                <w:lang w:eastAsia="es-CR"/>
              </w:rPr>
              <w:t>16</w:t>
            </w:r>
          </w:p>
        </w:tc>
        <w:tc>
          <w:tcPr>
            <w:tcW w:w="1134" w:type="dxa"/>
            <w:tcBorders>
              <w:top w:val="nil"/>
              <w:left w:val="nil"/>
              <w:bottom w:val="nil"/>
              <w:right w:val="single" w:sz="8" w:space="0" w:color="auto"/>
            </w:tcBorders>
            <w:shd w:val="clear" w:color="000000" w:fill="C6E0B4"/>
            <w:noWrap/>
            <w:vAlign w:val="center"/>
            <w:hideMark/>
          </w:tcPr>
          <w:p w14:paraId="00D22820" w14:textId="218DFEC0" w:rsidR="00386BC3" w:rsidRPr="004E74A6" w:rsidRDefault="00386BC3" w:rsidP="00832773">
            <w:pPr>
              <w:spacing w:line="276" w:lineRule="auto"/>
              <w:jc w:val="center"/>
              <w:rPr>
                <w:rFonts w:cs="Calibri"/>
                <w:color w:val="000000"/>
                <w:sz w:val="20"/>
                <w:lang w:eastAsia="es-CR"/>
              </w:rPr>
            </w:pPr>
            <w:r w:rsidRPr="004E74A6">
              <w:rPr>
                <w:rFonts w:cs="Calibri"/>
                <w:color w:val="000000"/>
                <w:sz w:val="20"/>
              </w:rPr>
              <w:t>11</w:t>
            </w:r>
          </w:p>
        </w:tc>
        <w:tc>
          <w:tcPr>
            <w:tcW w:w="2381" w:type="dxa"/>
            <w:tcBorders>
              <w:top w:val="nil"/>
              <w:left w:val="nil"/>
              <w:bottom w:val="nil"/>
              <w:right w:val="nil"/>
            </w:tcBorders>
            <w:shd w:val="clear" w:color="000000" w:fill="C6E0B4"/>
            <w:noWrap/>
            <w:vAlign w:val="center"/>
            <w:hideMark/>
          </w:tcPr>
          <w:p w14:paraId="1959FCFD" w14:textId="5365BEF3" w:rsidR="00386BC3" w:rsidRPr="004E74A6" w:rsidRDefault="00386BC3" w:rsidP="00832773">
            <w:pPr>
              <w:spacing w:line="276" w:lineRule="auto"/>
              <w:jc w:val="center"/>
              <w:rPr>
                <w:rFonts w:cs="Calibri"/>
                <w:color w:val="000000"/>
                <w:sz w:val="20"/>
                <w:lang w:eastAsia="es-CR"/>
              </w:rPr>
            </w:pPr>
            <w:r w:rsidRPr="004E74A6">
              <w:rPr>
                <w:rFonts w:cs="Calibri"/>
                <w:color w:val="000000"/>
                <w:sz w:val="20"/>
              </w:rPr>
              <w:t>8%</w:t>
            </w:r>
          </w:p>
        </w:tc>
      </w:tr>
      <w:tr w:rsidR="00386BC3" w:rsidRPr="004E74A6" w14:paraId="0A2F8EB1" w14:textId="77777777" w:rsidTr="00386BC3">
        <w:trPr>
          <w:trHeight w:val="300"/>
          <w:jc w:val="center"/>
        </w:trPr>
        <w:tc>
          <w:tcPr>
            <w:tcW w:w="2800" w:type="dxa"/>
            <w:tcBorders>
              <w:top w:val="nil"/>
              <w:left w:val="nil"/>
              <w:bottom w:val="nil"/>
              <w:right w:val="single" w:sz="8" w:space="0" w:color="auto"/>
            </w:tcBorders>
            <w:shd w:val="clear" w:color="000000" w:fill="C6E0B4"/>
            <w:noWrap/>
            <w:vAlign w:val="center"/>
            <w:hideMark/>
          </w:tcPr>
          <w:p w14:paraId="5C06868C" w14:textId="77777777" w:rsidR="00386BC3" w:rsidRPr="00832773" w:rsidRDefault="00386BC3" w:rsidP="00832773">
            <w:pPr>
              <w:spacing w:line="276" w:lineRule="auto"/>
              <w:jc w:val="left"/>
              <w:rPr>
                <w:rFonts w:cs="Calibri"/>
                <w:b/>
                <w:bCs/>
                <w:color w:val="000000"/>
                <w:sz w:val="20"/>
                <w:lang w:eastAsia="es-CR"/>
              </w:rPr>
            </w:pPr>
            <w:r w:rsidRPr="00832773">
              <w:rPr>
                <w:rFonts w:cs="Calibri"/>
                <w:b/>
                <w:bCs/>
                <w:color w:val="000000"/>
                <w:sz w:val="20"/>
                <w:lang w:eastAsia="es-CR"/>
              </w:rPr>
              <w:t>De ¢4.000.001 a ¢5.000.000</w:t>
            </w:r>
          </w:p>
        </w:tc>
        <w:tc>
          <w:tcPr>
            <w:tcW w:w="850" w:type="dxa"/>
            <w:tcBorders>
              <w:top w:val="nil"/>
              <w:left w:val="nil"/>
              <w:bottom w:val="nil"/>
              <w:right w:val="single" w:sz="8" w:space="0" w:color="auto"/>
            </w:tcBorders>
            <w:shd w:val="clear" w:color="000000" w:fill="C6E0B4"/>
            <w:noWrap/>
            <w:vAlign w:val="center"/>
            <w:hideMark/>
          </w:tcPr>
          <w:p w14:paraId="01649FE3" w14:textId="77777777" w:rsidR="00386BC3" w:rsidRPr="00832773" w:rsidRDefault="00386BC3" w:rsidP="00832773">
            <w:pPr>
              <w:spacing w:line="276" w:lineRule="auto"/>
              <w:jc w:val="center"/>
              <w:rPr>
                <w:rFonts w:cs="Calibri"/>
                <w:b/>
                <w:bCs/>
                <w:color w:val="000000"/>
                <w:sz w:val="20"/>
                <w:lang w:eastAsia="es-CR"/>
              </w:rPr>
            </w:pPr>
            <w:r w:rsidRPr="00832773">
              <w:rPr>
                <w:rFonts w:cs="Calibri"/>
                <w:b/>
                <w:bCs/>
                <w:color w:val="000000"/>
                <w:sz w:val="20"/>
                <w:lang w:eastAsia="es-CR"/>
              </w:rPr>
              <w:t>8</w:t>
            </w:r>
          </w:p>
        </w:tc>
        <w:tc>
          <w:tcPr>
            <w:tcW w:w="850" w:type="dxa"/>
            <w:tcBorders>
              <w:top w:val="nil"/>
              <w:left w:val="nil"/>
              <w:bottom w:val="nil"/>
              <w:right w:val="single" w:sz="8" w:space="0" w:color="auto"/>
            </w:tcBorders>
            <w:shd w:val="clear" w:color="000000" w:fill="C6E0B4"/>
            <w:noWrap/>
            <w:vAlign w:val="center"/>
            <w:hideMark/>
          </w:tcPr>
          <w:p w14:paraId="0C567C5E" w14:textId="77777777" w:rsidR="00386BC3" w:rsidRPr="00832773" w:rsidRDefault="00386BC3" w:rsidP="00832773">
            <w:pPr>
              <w:spacing w:line="276" w:lineRule="auto"/>
              <w:jc w:val="center"/>
              <w:rPr>
                <w:rFonts w:cs="Calibri"/>
                <w:b/>
                <w:bCs/>
                <w:color w:val="000000"/>
                <w:sz w:val="20"/>
                <w:lang w:eastAsia="es-CR"/>
              </w:rPr>
            </w:pPr>
            <w:r w:rsidRPr="00832773">
              <w:rPr>
                <w:rFonts w:cs="Calibri"/>
                <w:b/>
                <w:bCs/>
                <w:color w:val="000000"/>
                <w:sz w:val="20"/>
                <w:lang w:eastAsia="es-CR"/>
              </w:rPr>
              <w:t>14</w:t>
            </w:r>
          </w:p>
        </w:tc>
        <w:tc>
          <w:tcPr>
            <w:tcW w:w="850" w:type="dxa"/>
            <w:tcBorders>
              <w:top w:val="nil"/>
              <w:left w:val="nil"/>
              <w:bottom w:val="nil"/>
              <w:right w:val="single" w:sz="8" w:space="0" w:color="auto"/>
            </w:tcBorders>
            <w:shd w:val="clear" w:color="000000" w:fill="C6E0B4"/>
            <w:noWrap/>
            <w:vAlign w:val="center"/>
            <w:hideMark/>
          </w:tcPr>
          <w:p w14:paraId="6CEDDEC4" w14:textId="77777777" w:rsidR="00386BC3" w:rsidRPr="00832773" w:rsidRDefault="00386BC3" w:rsidP="00832773">
            <w:pPr>
              <w:spacing w:line="276" w:lineRule="auto"/>
              <w:jc w:val="center"/>
              <w:rPr>
                <w:rFonts w:cs="Calibri"/>
                <w:b/>
                <w:bCs/>
                <w:color w:val="000000"/>
                <w:sz w:val="20"/>
                <w:lang w:eastAsia="es-CR"/>
              </w:rPr>
            </w:pPr>
            <w:r w:rsidRPr="00832773">
              <w:rPr>
                <w:rFonts w:cs="Calibri"/>
                <w:b/>
                <w:bCs/>
                <w:color w:val="000000"/>
                <w:sz w:val="20"/>
                <w:lang w:eastAsia="es-CR"/>
              </w:rPr>
              <w:t>17</w:t>
            </w:r>
          </w:p>
        </w:tc>
        <w:tc>
          <w:tcPr>
            <w:tcW w:w="1134" w:type="dxa"/>
            <w:tcBorders>
              <w:top w:val="nil"/>
              <w:left w:val="nil"/>
              <w:bottom w:val="nil"/>
              <w:right w:val="single" w:sz="8" w:space="0" w:color="auto"/>
            </w:tcBorders>
            <w:shd w:val="clear" w:color="000000" w:fill="C6E0B4"/>
            <w:noWrap/>
            <w:vAlign w:val="center"/>
            <w:hideMark/>
          </w:tcPr>
          <w:p w14:paraId="7C87E884" w14:textId="52638B9E" w:rsidR="00386BC3" w:rsidRPr="00832773" w:rsidRDefault="00386BC3" w:rsidP="00832773">
            <w:pPr>
              <w:spacing w:line="276" w:lineRule="auto"/>
              <w:jc w:val="center"/>
              <w:rPr>
                <w:rFonts w:cs="Calibri"/>
                <w:b/>
                <w:bCs/>
                <w:color w:val="000000"/>
                <w:sz w:val="20"/>
                <w:lang w:eastAsia="es-CR"/>
              </w:rPr>
            </w:pPr>
            <w:r w:rsidRPr="00832773">
              <w:rPr>
                <w:rFonts w:cs="Calibri"/>
                <w:b/>
                <w:bCs/>
                <w:color w:val="000000"/>
                <w:sz w:val="20"/>
              </w:rPr>
              <w:t>13</w:t>
            </w:r>
          </w:p>
        </w:tc>
        <w:tc>
          <w:tcPr>
            <w:tcW w:w="2381" w:type="dxa"/>
            <w:tcBorders>
              <w:top w:val="nil"/>
              <w:left w:val="nil"/>
              <w:bottom w:val="nil"/>
              <w:right w:val="nil"/>
            </w:tcBorders>
            <w:shd w:val="clear" w:color="000000" w:fill="C6E0B4"/>
            <w:noWrap/>
            <w:vAlign w:val="center"/>
            <w:hideMark/>
          </w:tcPr>
          <w:p w14:paraId="04F01A5A" w14:textId="259359F2" w:rsidR="00386BC3" w:rsidRPr="00832773" w:rsidRDefault="00386BC3" w:rsidP="00832773">
            <w:pPr>
              <w:spacing w:line="276" w:lineRule="auto"/>
              <w:jc w:val="center"/>
              <w:rPr>
                <w:rFonts w:cs="Calibri"/>
                <w:b/>
                <w:bCs/>
                <w:color w:val="000000"/>
                <w:sz w:val="20"/>
                <w:lang w:eastAsia="es-CR"/>
              </w:rPr>
            </w:pPr>
            <w:r w:rsidRPr="00832773">
              <w:rPr>
                <w:rFonts w:cs="Calibri"/>
                <w:b/>
                <w:bCs/>
                <w:color w:val="000000"/>
                <w:sz w:val="20"/>
              </w:rPr>
              <w:t>14%</w:t>
            </w:r>
          </w:p>
        </w:tc>
      </w:tr>
      <w:tr w:rsidR="00386BC3" w:rsidRPr="004E74A6" w14:paraId="48F86F02" w14:textId="77777777" w:rsidTr="00386BC3">
        <w:trPr>
          <w:trHeight w:val="300"/>
          <w:jc w:val="center"/>
        </w:trPr>
        <w:tc>
          <w:tcPr>
            <w:tcW w:w="2800" w:type="dxa"/>
            <w:tcBorders>
              <w:top w:val="nil"/>
              <w:left w:val="nil"/>
              <w:bottom w:val="nil"/>
              <w:right w:val="single" w:sz="8" w:space="0" w:color="auto"/>
            </w:tcBorders>
            <w:shd w:val="clear" w:color="000000" w:fill="C6E0B4"/>
            <w:noWrap/>
            <w:vAlign w:val="center"/>
            <w:hideMark/>
          </w:tcPr>
          <w:p w14:paraId="5D81E548" w14:textId="77777777" w:rsidR="00386BC3" w:rsidRPr="004E74A6" w:rsidRDefault="00386BC3" w:rsidP="00832773">
            <w:pPr>
              <w:spacing w:line="276" w:lineRule="auto"/>
              <w:jc w:val="left"/>
              <w:rPr>
                <w:rFonts w:cs="Calibri"/>
                <w:color w:val="000000"/>
                <w:sz w:val="20"/>
                <w:lang w:eastAsia="es-CR"/>
              </w:rPr>
            </w:pPr>
            <w:r w:rsidRPr="004E74A6">
              <w:rPr>
                <w:rFonts w:cs="Calibri"/>
                <w:color w:val="000000"/>
                <w:sz w:val="20"/>
                <w:lang w:eastAsia="es-CR"/>
              </w:rPr>
              <w:t>De ¢5.000.001 a ¢6.000.000</w:t>
            </w:r>
          </w:p>
        </w:tc>
        <w:tc>
          <w:tcPr>
            <w:tcW w:w="850" w:type="dxa"/>
            <w:tcBorders>
              <w:top w:val="nil"/>
              <w:left w:val="nil"/>
              <w:bottom w:val="nil"/>
              <w:right w:val="single" w:sz="8" w:space="0" w:color="auto"/>
            </w:tcBorders>
            <w:shd w:val="clear" w:color="000000" w:fill="C6E0B4"/>
            <w:noWrap/>
            <w:vAlign w:val="center"/>
            <w:hideMark/>
          </w:tcPr>
          <w:p w14:paraId="5B45D1D9" w14:textId="77777777" w:rsidR="00386BC3" w:rsidRPr="004E74A6" w:rsidRDefault="00386BC3" w:rsidP="00832773">
            <w:pPr>
              <w:spacing w:line="276" w:lineRule="auto"/>
              <w:jc w:val="center"/>
              <w:rPr>
                <w:rFonts w:cs="Calibri"/>
                <w:color w:val="000000"/>
                <w:sz w:val="20"/>
                <w:lang w:eastAsia="es-CR"/>
              </w:rPr>
            </w:pPr>
            <w:r w:rsidRPr="004E74A6">
              <w:rPr>
                <w:rFonts w:cs="Calibri"/>
                <w:color w:val="000000"/>
                <w:sz w:val="20"/>
                <w:lang w:eastAsia="es-CR"/>
              </w:rPr>
              <w:t>6</w:t>
            </w:r>
          </w:p>
        </w:tc>
        <w:tc>
          <w:tcPr>
            <w:tcW w:w="850" w:type="dxa"/>
            <w:tcBorders>
              <w:top w:val="nil"/>
              <w:left w:val="nil"/>
              <w:bottom w:val="nil"/>
              <w:right w:val="single" w:sz="8" w:space="0" w:color="auto"/>
            </w:tcBorders>
            <w:shd w:val="clear" w:color="000000" w:fill="C6E0B4"/>
            <w:noWrap/>
            <w:vAlign w:val="center"/>
            <w:hideMark/>
          </w:tcPr>
          <w:p w14:paraId="209051BE" w14:textId="77777777" w:rsidR="00386BC3" w:rsidRPr="004E74A6" w:rsidRDefault="00386BC3" w:rsidP="00832773">
            <w:pPr>
              <w:spacing w:line="276" w:lineRule="auto"/>
              <w:jc w:val="center"/>
              <w:rPr>
                <w:rFonts w:cs="Calibri"/>
                <w:color w:val="000000"/>
                <w:sz w:val="20"/>
                <w:lang w:eastAsia="es-CR"/>
              </w:rPr>
            </w:pPr>
            <w:r w:rsidRPr="004E74A6">
              <w:rPr>
                <w:rFonts w:cs="Calibri"/>
                <w:color w:val="000000"/>
                <w:sz w:val="20"/>
                <w:lang w:eastAsia="es-CR"/>
              </w:rPr>
              <w:t>12</w:t>
            </w:r>
          </w:p>
        </w:tc>
        <w:tc>
          <w:tcPr>
            <w:tcW w:w="850" w:type="dxa"/>
            <w:tcBorders>
              <w:top w:val="nil"/>
              <w:left w:val="nil"/>
              <w:bottom w:val="nil"/>
              <w:right w:val="single" w:sz="8" w:space="0" w:color="auto"/>
            </w:tcBorders>
            <w:shd w:val="clear" w:color="000000" w:fill="C6E0B4"/>
            <w:noWrap/>
            <w:vAlign w:val="center"/>
            <w:hideMark/>
          </w:tcPr>
          <w:p w14:paraId="5B9CACAE" w14:textId="77777777" w:rsidR="00386BC3" w:rsidRPr="004E74A6" w:rsidRDefault="00386BC3" w:rsidP="00832773">
            <w:pPr>
              <w:spacing w:line="276" w:lineRule="auto"/>
              <w:jc w:val="center"/>
              <w:rPr>
                <w:rFonts w:cs="Calibri"/>
                <w:color w:val="000000"/>
                <w:sz w:val="20"/>
                <w:lang w:eastAsia="es-CR"/>
              </w:rPr>
            </w:pPr>
            <w:r w:rsidRPr="004E74A6">
              <w:rPr>
                <w:rFonts w:cs="Calibri"/>
                <w:color w:val="000000"/>
                <w:sz w:val="20"/>
                <w:lang w:eastAsia="es-CR"/>
              </w:rPr>
              <w:t>15</w:t>
            </w:r>
          </w:p>
        </w:tc>
        <w:tc>
          <w:tcPr>
            <w:tcW w:w="1134" w:type="dxa"/>
            <w:tcBorders>
              <w:top w:val="nil"/>
              <w:left w:val="nil"/>
              <w:bottom w:val="nil"/>
              <w:right w:val="single" w:sz="8" w:space="0" w:color="auto"/>
            </w:tcBorders>
            <w:shd w:val="clear" w:color="000000" w:fill="C6E0B4"/>
            <w:noWrap/>
            <w:vAlign w:val="center"/>
            <w:hideMark/>
          </w:tcPr>
          <w:p w14:paraId="24997411" w14:textId="47D590B1" w:rsidR="00386BC3" w:rsidRPr="004E74A6" w:rsidRDefault="00386BC3" w:rsidP="00832773">
            <w:pPr>
              <w:spacing w:line="276" w:lineRule="auto"/>
              <w:jc w:val="center"/>
              <w:rPr>
                <w:rFonts w:cs="Calibri"/>
                <w:color w:val="000000"/>
                <w:sz w:val="20"/>
                <w:lang w:eastAsia="es-CR"/>
              </w:rPr>
            </w:pPr>
            <w:r w:rsidRPr="004E74A6">
              <w:rPr>
                <w:rFonts w:cs="Calibri"/>
                <w:color w:val="000000"/>
                <w:sz w:val="20"/>
              </w:rPr>
              <w:t>11</w:t>
            </w:r>
          </w:p>
        </w:tc>
        <w:tc>
          <w:tcPr>
            <w:tcW w:w="2381" w:type="dxa"/>
            <w:tcBorders>
              <w:top w:val="nil"/>
              <w:left w:val="nil"/>
              <w:bottom w:val="nil"/>
              <w:right w:val="nil"/>
            </w:tcBorders>
            <w:shd w:val="clear" w:color="000000" w:fill="C6E0B4"/>
            <w:noWrap/>
            <w:vAlign w:val="center"/>
            <w:hideMark/>
          </w:tcPr>
          <w:p w14:paraId="2E067663" w14:textId="71994E21" w:rsidR="00386BC3" w:rsidRPr="004E74A6" w:rsidRDefault="00386BC3" w:rsidP="00832773">
            <w:pPr>
              <w:spacing w:line="276" w:lineRule="auto"/>
              <w:jc w:val="center"/>
              <w:rPr>
                <w:rFonts w:cs="Calibri"/>
                <w:color w:val="000000"/>
                <w:sz w:val="20"/>
                <w:lang w:eastAsia="es-CR"/>
              </w:rPr>
            </w:pPr>
            <w:r w:rsidRPr="004E74A6">
              <w:rPr>
                <w:rFonts w:cs="Calibri"/>
                <w:color w:val="000000"/>
                <w:sz w:val="20"/>
              </w:rPr>
              <w:t>19%</w:t>
            </w:r>
          </w:p>
        </w:tc>
      </w:tr>
      <w:tr w:rsidR="00386BC3" w:rsidRPr="004E74A6" w14:paraId="7A2D7C1C" w14:textId="77777777" w:rsidTr="00386BC3">
        <w:trPr>
          <w:trHeight w:val="300"/>
          <w:jc w:val="center"/>
        </w:trPr>
        <w:tc>
          <w:tcPr>
            <w:tcW w:w="2800" w:type="dxa"/>
            <w:tcBorders>
              <w:top w:val="nil"/>
              <w:left w:val="nil"/>
              <w:bottom w:val="nil"/>
              <w:right w:val="single" w:sz="8" w:space="0" w:color="auto"/>
            </w:tcBorders>
            <w:shd w:val="clear" w:color="000000" w:fill="C6E0B4"/>
            <w:noWrap/>
            <w:vAlign w:val="center"/>
            <w:hideMark/>
          </w:tcPr>
          <w:p w14:paraId="7DC77EA8" w14:textId="77777777" w:rsidR="00386BC3" w:rsidRPr="004E74A6" w:rsidRDefault="00386BC3" w:rsidP="00832773">
            <w:pPr>
              <w:spacing w:line="276" w:lineRule="auto"/>
              <w:jc w:val="left"/>
              <w:rPr>
                <w:rFonts w:cs="Calibri"/>
                <w:color w:val="000000"/>
                <w:sz w:val="20"/>
                <w:lang w:eastAsia="es-CR"/>
              </w:rPr>
            </w:pPr>
            <w:r w:rsidRPr="004E74A6">
              <w:rPr>
                <w:rFonts w:cs="Calibri"/>
                <w:color w:val="000000"/>
                <w:sz w:val="20"/>
                <w:lang w:eastAsia="es-CR"/>
              </w:rPr>
              <w:t>De ¢6.000.001 a ¢7.000.000</w:t>
            </w:r>
          </w:p>
        </w:tc>
        <w:tc>
          <w:tcPr>
            <w:tcW w:w="850" w:type="dxa"/>
            <w:tcBorders>
              <w:top w:val="nil"/>
              <w:left w:val="nil"/>
              <w:bottom w:val="nil"/>
              <w:right w:val="single" w:sz="8" w:space="0" w:color="auto"/>
            </w:tcBorders>
            <w:shd w:val="clear" w:color="000000" w:fill="C6E0B4"/>
            <w:noWrap/>
            <w:vAlign w:val="center"/>
            <w:hideMark/>
          </w:tcPr>
          <w:p w14:paraId="6952F88D" w14:textId="77777777" w:rsidR="00386BC3" w:rsidRPr="004E74A6" w:rsidRDefault="00386BC3" w:rsidP="00832773">
            <w:pPr>
              <w:spacing w:line="276" w:lineRule="auto"/>
              <w:jc w:val="center"/>
              <w:rPr>
                <w:rFonts w:cs="Calibri"/>
                <w:color w:val="000000"/>
                <w:sz w:val="20"/>
                <w:lang w:eastAsia="es-CR"/>
              </w:rPr>
            </w:pPr>
            <w:r w:rsidRPr="004E74A6">
              <w:rPr>
                <w:rFonts w:cs="Calibri"/>
                <w:color w:val="000000"/>
                <w:sz w:val="20"/>
                <w:lang w:eastAsia="es-CR"/>
              </w:rPr>
              <w:t>7</w:t>
            </w:r>
          </w:p>
        </w:tc>
        <w:tc>
          <w:tcPr>
            <w:tcW w:w="850" w:type="dxa"/>
            <w:tcBorders>
              <w:top w:val="nil"/>
              <w:left w:val="nil"/>
              <w:bottom w:val="nil"/>
              <w:right w:val="single" w:sz="8" w:space="0" w:color="auto"/>
            </w:tcBorders>
            <w:shd w:val="clear" w:color="000000" w:fill="C6E0B4"/>
            <w:noWrap/>
            <w:vAlign w:val="center"/>
            <w:hideMark/>
          </w:tcPr>
          <w:p w14:paraId="2F162D70" w14:textId="77777777" w:rsidR="00386BC3" w:rsidRPr="004E74A6" w:rsidRDefault="00386BC3" w:rsidP="00832773">
            <w:pPr>
              <w:spacing w:line="276" w:lineRule="auto"/>
              <w:jc w:val="center"/>
              <w:rPr>
                <w:rFonts w:cs="Calibri"/>
                <w:color w:val="000000"/>
                <w:sz w:val="20"/>
                <w:lang w:eastAsia="es-CR"/>
              </w:rPr>
            </w:pPr>
            <w:r w:rsidRPr="004E74A6">
              <w:rPr>
                <w:rFonts w:cs="Calibri"/>
                <w:color w:val="000000"/>
                <w:sz w:val="20"/>
                <w:lang w:eastAsia="es-CR"/>
              </w:rPr>
              <w:t>3</w:t>
            </w:r>
          </w:p>
        </w:tc>
        <w:tc>
          <w:tcPr>
            <w:tcW w:w="850" w:type="dxa"/>
            <w:tcBorders>
              <w:top w:val="nil"/>
              <w:left w:val="nil"/>
              <w:bottom w:val="nil"/>
              <w:right w:val="single" w:sz="8" w:space="0" w:color="auto"/>
            </w:tcBorders>
            <w:shd w:val="clear" w:color="000000" w:fill="C6E0B4"/>
            <w:noWrap/>
            <w:vAlign w:val="center"/>
            <w:hideMark/>
          </w:tcPr>
          <w:p w14:paraId="00D9F0F7" w14:textId="77777777" w:rsidR="00386BC3" w:rsidRPr="004E74A6" w:rsidRDefault="00386BC3" w:rsidP="00832773">
            <w:pPr>
              <w:spacing w:line="276" w:lineRule="auto"/>
              <w:jc w:val="center"/>
              <w:rPr>
                <w:rFonts w:cs="Calibri"/>
                <w:color w:val="000000"/>
                <w:sz w:val="20"/>
                <w:lang w:eastAsia="es-CR"/>
              </w:rPr>
            </w:pPr>
            <w:r w:rsidRPr="004E74A6">
              <w:rPr>
                <w:rFonts w:cs="Calibri"/>
                <w:color w:val="000000"/>
                <w:sz w:val="20"/>
                <w:lang w:eastAsia="es-CR"/>
              </w:rPr>
              <w:t>8</w:t>
            </w:r>
          </w:p>
        </w:tc>
        <w:tc>
          <w:tcPr>
            <w:tcW w:w="1134" w:type="dxa"/>
            <w:tcBorders>
              <w:top w:val="nil"/>
              <w:left w:val="nil"/>
              <w:bottom w:val="nil"/>
              <w:right w:val="single" w:sz="8" w:space="0" w:color="auto"/>
            </w:tcBorders>
            <w:shd w:val="clear" w:color="000000" w:fill="C6E0B4"/>
            <w:noWrap/>
            <w:vAlign w:val="center"/>
            <w:hideMark/>
          </w:tcPr>
          <w:p w14:paraId="43FDEDF3" w14:textId="532260CD" w:rsidR="00386BC3" w:rsidRPr="004E74A6" w:rsidRDefault="00386BC3" w:rsidP="00832773">
            <w:pPr>
              <w:spacing w:line="276" w:lineRule="auto"/>
              <w:jc w:val="center"/>
              <w:rPr>
                <w:rFonts w:cs="Calibri"/>
                <w:color w:val="000000"/>
                <w:sz w:val="20"/>
                <w:lang w:eastAsia="es-CR"/>
              </w:rPr>
            </w:pPr>
            <w:r w:rsidRPr="004E74A6">
              <w:rPr>
                <w:rFonts w:cs="Calibri"/>
                <w:color w:val="000000"/>
                <w:sz w:val="20"/>
              </w:rPr>
              <w:t>6</w:t>
            </w:r>
          </w:p>
        </w:tc>
        <w:tc>
          <w:tcPr>
            <w:tcW w:w="2381" w:type="dxa"/>
            <w:tcBorders>
              <w:top w:val="nil"/>
              <w:left w:val="nil"/>
              <w:bottom w:val="nil"/>
              <w:right w:val="nil"/>
            </w:tcBorders>
            <w:shd w:val="clear" w:color="000000" w:fill="C6E0B4"/>
            <w:noWrap/>
            <w:vAlign w:val="center"/>
            <w:hideMark/>
          </w:tcPr>
          <w:p w14:paraId="7F9E6249" w14:textId="2825335E" w:rsidR="00386BC3" w:rsidRPr="004E74A6" w:rsidRDefault="00386BC3" w:rsidP="00832773">
            <w:pPr>
              <w:spacing w:line="276" w:lineRule="auto"/>
              <w:jc w:val="center"/>
              <w:rPr>
                <w:rFonts w:cs="Calibri"/>
                <w:color w:val="000000"/>
                <w:sz w:val="20"/>
                <w:lang w:eastAsia="es-CR"/>
              </w:rPr>
            </w:pPr>
            <w:r w:rsidRPr="004E74A6">
              <w:rPr>
                <w:rFonts w:cs="Calibri"/>
                <w:color w:val="000000"/>
                <w:sz w:val="20"/>
              </w:rPr>
              <w:t>22%</w:t>
            </w:r>
          </w:p>
        </w:tc>
      </w:tr>
      <w:tr w:rsidR="00386BC3" w:rsidRPr="004E74A6" w14:paraId="3B409B7E" w14:textId="77777777" w:rsidTr="00386BC3">
        <w:trPr>
          <w:trHeight w:val="300"/>
          <w:jc w:val="center"/>
        </w:trPr>
        <w:tc>
          <w:tcPr>
            <w:tcW w:w="2800" w:type="dxa"/>
            <w:tcBorders>
              <w:top w:val="nil"/>
              <w:left w:val="nil"/>
              <w:bottom w:val="nil"/>
              <w:right w:val="single" w:sz="8" w:space="0" w:color="auto"/>
            </w:tcBorders>
            <w:shd w:val="clear" w:color="000000" w:fill="C6E0B4"/>
            <w:noWrap/>
            <w:vAlign w:val="center"/>
            <w:hideMark/>
          </w:tcPr>
          <w:p w14:paraId="3DFF2619" w14:textId="77777777" w:rsidR="00386BC3" w:rsidRPr="004E74A6" w:rsidRDefault="00386BC3" w:rsidP="00832773">
            <w:pPr>
              <w:spacing w:line="276" w:lineRule="auto"/>
              <w:jc w:val="left"/>
              <w:rPr>
                <w:rFonts w:cs="Calibri"/>
                <w:color w:val="000000"/>
                <w:sz w:val="20"/>
                <w:lang w:eastAsia="es-CR"/>
              </w:rPr>
            </w:pPr>
            <w:r w:rsidRPr="004E74A6">
              <w:rPr>
                <w:rFonts w:cs="Calibri"/>
                <w:color w:val="000000"/>
                <w:sz w:val="20"/>
                <w:lang w:eastAsia="es-CR"/>
              </w:rPr>
              <w:t>De ¢7.000.001 a ¢8.000.000</w:t>
            </w:r>
          </w:p>
        </w:tc>
        <w:tc>
          <w:tcPr>
            <w:tcW w:w="850" w:type="dxa"/>
            <w:tcBorders>
              <w:top w:val="nil"/>
              <w:left w:val="nil"/>
              <w:bottom w:val="nil"/>
              <w:right w:val="single" w:sz="8" w:space="0" w:color="auto"/>
            </w:tcBorders>
            <w:shd w:val="clear" w:color="000000" w:fill="C6E0B4"/>
            <w:noWrap/>
            <w:vAlign w:val="center"/>
            <w:hideMark/>
          </w:tcPr>
          <w:p w14:paraId="00656487" w14:textId="77777777" w:rsidR="00386BC3" w:rsidRPr="004E74A6" w:rsidRDefault="00386BC3" w:rsidP="00832773">
            <w:pPr>
              <w:spacing w:line="276" w:lineRule="auto"/>
              <w:jc w:val="center"/>
              <w:rPr>
                <w:rFonts w:cs="Calibri"/>
                <w:color w:val="000000"/>
                <w:sz w:val="20"/>
                <w:lang w:eastAsia="es-CR"/>
              </w:rPr>
            </w:pPr>
            <w:r w:rsidRPr="004E74A6">
              <w:rPr>
                <w:rFonts w:cs="Calibri"/>
                <w:color w:val="000000"/>
                <w:sz w:val="20"/>
                <w:lang w:eastAsia="es-CR"/>
              </w:rPr>
              <w:t>4</w:t>
            </w:r>
          </w:p>
        </w:tc>
        <w:tc>
          <w:tcPr>
            <w:tcW w:w="850" w:type="dxa"/>
            <w:tcBorders>
              <w:top w:val="nil"/>
              <w:left w:val="nil"/>
              <w:bottom w:val="nil"/>
              <w:right w:val="single" w:sz="8" w:space="0" w:color="auto"/>
            </w:tcBorders>
            <w:shd w:val="clear" w:color="000000" w:fill="C6E0B4"/>
            <w:noWrap/>
            <w:vAlign w:val="center"/>
            <w:hideMark/>
          </w:tcPr>
          <w:p w14:paraId="4CCE418B" w14:textId="77777777" w:rsidR="00386BC3" w:rsidRPr="004E74A6" w:rsidRDefault="00386BC3" w:rsidP="00832773">
            <w:pPr>
              <w:spacing w:line="276" w:lineRule="auto"/>
              <w:jc w:val="center"/>
              <w:rPr>
                <w:rFonts w:cs="Calibri"/>
                <w:color w:val="000000"/>
                <w:sz w:val="20"/>
                <w:lang w:eastAsia="es-CR"/>
              </w:rPr>
            </w:pPr>
            <w:r w:rsidRPr="004E74A6">
              <w:rPr>
                <w:rFonts w:cs="Calibri"/>
                <w:color w:val="000000"/>
                <w:sz w:val="20"/>
                <w:lang w:eastAsia="es-CR"/>
              </w:rPr>
              <w:t>6</w:t>
            </w:r>
          </w:p>
        </w:tc>
        <w:tc>
          <w:tcPr>
            <w:tcW w:w="850" w:type="dxa"/>
            <w:tcBorders>
              <w:top w:val="nil"/>
              <w:left w:val="nil"/>
              <w:bottom w:val="nil"/>
              <w:right w:val="single" w:sz="8" w:space="0" w:color="auto"/>
            </w:tcBorders>
            <w:shd w:val="clear" w:color="000000" w:fill="C6E0B4"/>
            <w:noWrap/>
            <w:vAlign w:val="center"/>
            <w:hideMark/>
          </w:tcPr>
          <w:p w14:paraId="1FB55BAC" w14:textId="77777777" w:rsidR="00386BC3" w:rsidRPr="004E74A6" w:rsidRDefault="00386BC3" w:rsidP="00832773">
            <w:pPr>
              <w:spacing w:line="276" w:lineRule="auto"/>
              <w:jc w:val="center"/>
              <w:rPr>
                <w:rFonts w:cs="Calibri"/>
                <w:color w:val="000000"/>
                <w:sz w:val="20"/>
                <w:lang w:eastAsia="es-CR"/>
              </w:rPr>
            </w:pPr>
            <w:r w:rsidRPr="004E74A6">
              <w:rPr>
                <w:rFonts w:cs="Calibri"/>
                <w:color w:val="000000"/>
                <w:sz w:val="20"/>
                <w:lang w:eastAsia="es-CR"/>
              </w:rPr>
              <w:t>11</w:t>
            </w:r>
          </w:p>
        </w:tc>
        <w:tc>
          <w:tcPr>
            <w:tcW w:w="1134" w:type="dxa"/>
            <w:tcBorders>
              <w:top w:val="nil"/>
              <w:left w:val="nil"/>
              <w:bottom w:val="nil"/>
              <w:right w:val="single" w:sz="8" w:space="0" w:color="auto"/>
            </w:tcBorders>
            <w:shd w:val="clear" w:color="000000" w:fill="C6E0B4"/>
            <w:noWrap/>
            <w:vAlign w:val="center"/>
            <w:hideMark/>
          </w:tcPr>
          <w:p w14:paraId="0B8AA61C" w14:textId="38BB35A2" w:rsidR="00386BC3" w:rsidRPr="004E74A6" w:rsidRDefault="00386BC3" w:rsidP="00832773">
            <w:pPr>
              <w:spacing w:line="276" w:lineRule="auto"/>
              <w:jc w:val="center"/>
              <w:rPr>
                <w:rFonts w:cs="Calibri"/>
                <w:color w:val="000000"/>
                <w:sz w:val="20"/>
                <w:lang w:eastAsia="es-CR"/>
              </w:rPr>
            </w:pPr>
            <w:bookmarkStart w:id="7" w:name="RANGE!F11"/>
            <w:r w:rsidRPr="004E74A6">
              <w:rPr>
                <w:rFonts w:cs="Calibri"/>
                <w:color w:val="000000"/>
                <w:sz w:val="20"/>
              </w:rPr>
              <w:t>7</w:t>
            </w:r>
            <w:bookmarkEnd w:id="7"/>
          </w:p>
        </w:tc>
        <w:tc>
          <w:tcPr>
            <w:tcW w:w="2381" w:type="dxa"/>
            <w:tcBorders>
              <w:top w:val="nil"/>
              <w:left w:val="nil"/>
              <w:bottom w:val="nil"/>
              <w:right w:val="nil"/>
            </w:tcBorders>
            <w:shd w:val="clear" w:color="000000" w:fill="C6E0B4"/>
            <w:noWrap/>
            <w:vAlign w:val="center"/>
            <w:hideMark/>
          </w:tcPr>
          <w:p w14:paraId="611344BB" w14:textId="79635B55" w:rsidR="00386BC3" w:rsidRPr="004E74A6" w:rsidRDefault="00386BC3" w:rsidP="00832773">
            <w:pPr>
              <w:spacing w:line="276" w:lineRule="auto"/>
              <w:jc w:val="center"/>
              <w:rPr>
                <w:rFonts w:cs="Calibri"/>
                <w:color w:val="000000"/>
                <w:sz w:val="20"/>
                <w:lang w:eastAsia="es-CR"/>
              </w:rPr>
            </w:pPr>
            <w:r w:rsidRPr="004E74A6">
              <w:rPr>
                <w:rFonts w:cs="Calibri"/>
                <w:color w:val="000000"/>
                <w:sz w:val="20"/>
              </w:rPr>
              <w:t>25%</w:t>
            </w:r>
          </w:p>
        </w:tc>
      </w:tr>
      <w:tr w:rsidR="00386BC3" w:rsidRPr="004E74A6" w14:paraId="7024F9BA" w14:textId="77777777" w:rsidTr="00386BC3">
        <w:trPr>
          <w:trHeight w:val="300"/>
          <w:jc w:val="center"/>
        </w:trPr>
        <w:tc>
          <w:tcPr>
            <w:tcW w:w="2800" w:type="dxa"/>
            <w:tcBorders>
              <w:top w:val="nil"/>
              <w:left w:val="nil"/>
              <w:bottom w:val="nil"/>
              <w:right w:val="single" w:sz="8" w:space="0" w:color="auto"/>
            </w:tcBorders>
            <w:shd w:val="clear" w:color="000000" w:fill="C6E0B4"/>
            <w:noWrap/>
            <w:vAlign w:val="center"/>
            <w:hideMark/>
          </w:tcPr>
          <w:p w14:paraId="3899F748" w14:textId="77777777" w:rsidR="00386BC3" w:rsidRPr="004E74A6" w:rsidRDefault="00386BC3" w:rsidP="00832773">
            <w:pPr>
              <w:spacing w:line="276" w:lineRule="auto"/>
              <w:jc w:val="left"/>
              <w:rPr>
                <w:rFonts w:cs="Calibri"/>
                <w:color w:val="000000"/>
                <w:sz w:val="20"/>
                <w:lang w:eastAsia="es-CR"/>
              </w:rPr>
            </w:pPr>
            <w:r w:rsidRPr="004E74A6">
              <w:rPr>
                <w:rFonts w:cs="Calibri"/>
                <w:color w:val="000000"/>
                <w:sz w:val="20"/>
                <w:lang w:eastAsia="es-CR"/>
              </w:rPr>
              <w:t>De ¢8.000.001 a ¢9.000.000</w:t>
            </w:r>
          </w:p>
        </w:tc>
        <w:tc>
          <w:tcPr>
            <w:tcW w:w="850" w:type="dxa"/>
            <w:tcBorders>
              <w:top w:val="nil"/>
              <w:left w:val="nil"/>
              <w:bottom w:val="nil"/>
              <w:right w:val="single" w:sz="8" w:space="0" w:color="auto"/>
            </w:tcBorders>
            <w:shd w:val="clear" w:color="000000" w:fill="C6E0B4"/>
            <w:noWrap/>
            <w:vAlign w:val="center"/>
            <w:hideMark/>
          </w:tcPr>
          <w:p w14:paraId="05B05C14" w14:textId="77777777" w:rsidR="00386BC3" w:rsidRPr="004E74A6" w:rsidRDefault="00386BC3" w:rsidP="00832773">
            <w:pPr>
              <w:spacing w:line="276" w:lineRule="auto"/>
              <w:jc w:val="center"/>
              <w:rPr>
                <w:rFonts w:cs="Calibri"/>
                <w:color w:val="000000"/>
                <w:sz w:val="20"/>
                <w:lang w:eastAsia="es-CR"/>
              </w:rPr>
            </w:pPr>
            <w:r w:rsidRPr="004E74A6">
              <w:rPr>
                <w:rFonts w:cs="Calibri"/>
                <w:color w:val="000000"/>
                <w:sz w:val="20"/>
                <w:lang w:eastAsia="es-CR"/>
              </w:rPr>
              <w:t>5</w:t>
            </w:r>
          </w:p>
        </w:tc>
        <w:tc>
          <w:tcPr>
            <w:tcW w:w="850" w:type="dxa"/>
            <w:tcBorders>
              <w:top w:val="nil"/>
              <w:left w:val="nil"/>
              <w:bottom w:val="nil"/>
              <w:right w:val="single" w:sz="8" w:space="0" w:color="auto"/>
            </w:tcBorders>
            <w:shd w:val="clear" w:color="000000" w:fill="C6E0B4"/>
            <w:noWrap/>
            <w:vAlign w:val="center"/>
            <w:hideMark/>
          </w:tcPr>
          <w:p w14:paraId="59C9135A" w14:textId="77777777" w:rsidR="00386BC3" w:rsidRPr="004E74A6" w:rsidRDefault="00386BC3" w:rsidP="00832773">
            <w:pPr>
              <w:spacing w:line="276" w:lineRule="auto"/>
              <w:jc w:val="center"/>
              <w:rPr>
                <w:rFonts w:cs="Calibri"/>
                <w:color w:val="000000"/>
                <w:sz w:val="20"/>
                <w:lang w:eastAsia="es-CR"/>
              </w:rPr>
            </w:pPr>
            <w:r w:rsidRPr="004E74A6">
              <w:rPr>
                <w:rFonts w:cs="Calibri"/>
                <w:color w:val="000000"/>
                <w:sz w:val="20"/>
                <w:lang w:eastAsia="es-CR"/>
              </w:rPr>
              <w:t>8</w:t>
            </w:r>
          </w:p>
        </w:tc>
        <w:tc>
          <w:tcPr>
            <w:tcW w:w="850" w:type="dxa"/>
            <w:tcBorders>
              <w:top w:val="nil"/>
              <w:left w:val="nil"/>
              <w:bottom w:val="nil"/>
              <w:right w:val="single" w:sz="8" w:space="0" w:color="auto"/>
            </w:tcBorders>
            <w:shd w:val="clear" w:color="000000" w:fill="C6E0B4"/>
            <w:noWrap/>
            <w:vAlign w:val="center"/>
            <w:hideMark/>
          </w:tcPr>
          <w:p w14:paraId="11F8445B" w14:textId="77777777" w:rsidR="00386BC3" w:rsidRPr="004E74A6" w:rsidRDefault="00386BC3" w:rsidP="00832773">
            <w:pPr>
              <w:spacing w:line="276" w:lineRule="auto"/>
              <w:jc w:val="center"/>
              <w:rPr>
                <w:rFonts w:cs="Calibri"/>
                <w:color w:val="000000"/>
                <w:sz w:val="20"/>
                <w:lang w:eastAsia="es-CR"/>
              </w:rPr>
            </w:pPr>
            <w:r w:rsidRPr="004E74A6">
              <w:rPr>
                <w:rFonts w:cs="Calibri"/>
                <w:color w:val="000000"/>
                <w:sz w:val="20"/>
                <w:lang w:eastAsia="es-CR"/>
              </w:rPr>
              <w:t>4</w:t>
            </w:r>
          </w:p>
        </w:tc>
        <w:tc>
          <w:tcPr>
            <w:tcW w:w="1134" w:type="dxa"/>
            <w:tcBorders>
              <w:top w:val="nil"/>
              <w:left w:val="nil"/>
              <w:bottom w:val="nil"/>
              <w:right w:val="single" w:sz="8" w:space="0" w:color="auto"/>
            </w:tcBorders>
            <w:shd w:val="clear" w:color="000000" w:fill="C6E0B4"/>
            <w:noWrap/>
            <w:vAlign w:val="center"/>
            <w:hideMark/>
          </w:tcPr>
          <w:p w14:paraId="7C6316AB" w14:textId="431D7C07" w:rsidR="00386BC3" w:rsidRPr="004E74A6" w:rsidRDefault="00386BC3" w:rsidP="00832773">
            <w:pPr>
              <w:spacing w:line="276" w:lineRule="auto"/>
              <w:jc w:val="center"/>
              <w:rPr>
                <w:rFonts w:cs="Calibri"/>
                <w:color w:val="000000"/>
                <w:sz w:val="20"/>
                <w:lang w:eastAsia="es-CR"/>
              </w:rPr>
            </w:pPr>
            <w:bookmarkStart w:id="8" w:name="RANGE!F12"/>
            <w:r w:rsidRPr="004E74A6">
              <w:rPr>
                <w:rFonts w:cs="Calibri"/>
                <w:color w:val="000000"/>
                <w:sz w:val="20"/>
              </w:rPr>
              <w:t>6</w:t>
            </w:r>
            <w:bookmarkEnd w:id="8"/>
          </w:p>
        </w:tc>
        <w:tc>
          <w:tcPr>
            <w:tcW w:w="2381" w:type="dxa"/>
            <w:tcBorders>
              <w:top w:val="nil"/>
              <w:left w:val="nil"/>
              <w:bottom w:val="nil"/>
              <w:right w:val="nil"/>
            </w:tcBorders>
            <w:shd w:val="clear" w:color="000000" w:fill="C6E0B4"/>
            <w:noWrap/>
            <w:vAlign w:val="center"/>
            <w:hideMark/>
          </w:tcPr>
          <w:p w14:paraId="0069A67F" w14:textId="53CE719E" w:rsidR="00386BC3" w:rsidRPr="004E74A6" w:rsidRDefault="00386BC3" w:rsidP="00832773">
            <w:pPr>
              <w:spacing w:line="276" w:lineRule="auto"/>
              <w:jc w:val="center"/>
              <w:rPr>
                <w:rFonts w:cs="Calibri"/>
                <w:color w:val="000000"/>
                <w:sz w:val="20"/>
                <w:lang w:eastAsia="es-CR"/>
              </w:rPr>
            </w:pPr>
            <w:r w:rsidRPr="004E74A6">
              <w:rPr>
                <w:rFonts w:cs="Calibri"/>
                <w:color w:val="000000"/>
                <w:sz w:val="20"/>
              </w:rPr>
              <w:t>27%</w:t>
            </w:r>
          </w:p>
        </w:tc>
      </w:tr>
      <w:tr w:rsidR="00386BC3" w:rsidRPr="004E74A6" w14:paraId="122864A0" w14:textId="77777777" w:rsidTr="00386BC3">
        <w:trPr>
          <w:trHeight w:val="300"/>
          <w:jc w:val="center"/>
        </w:trPr>
        <w:tc>
          <w:tcPr>
            <w:tcW w:w="2800" w:type="dxa"/>
            <w:tcBorders>
              <w:top w:val="nil"/>
              <w:left w:val="nil"/>
              <w:bottom w:val="nil"/>
              <w:right w:val="single" w:sz="8" w:space="0" w:color="auto"/>
            </w:tcBorders>
            <w:shd w:val="clear" w:color="000000" w:fill="C6E0B4"/>
            <w:noWrap/>
            <w:vAlign w:val="center"/>
            <w:hideMark/>
          </w:tcPr>
          <w:p w14:paraId="558D3920" w14:textId="77777777" w:rsidR="00386BC3" w:rsidRPr="004E74A6" w:rsidRDefault="00386BC3" w:rsidP="00832773">
            <w:pPr>
              <w:spacing w:line="276" w:lineRule="auto"/>
              <w:jc w:val="left"/>
              <w:rPr>
                <w:rFonts w:cs="Calibri"/>
                <w:color w:val="000000"/>
                <w:sz w:val="20"/>
                <w:lang w:eastAsia="es-CR"/>
              </w:rPr>
            </w:pPr>
            <w:r w:rsidRPr="004E74A6">
              <w:rPr>
                <w:rFonts w:cs="Calibri"/>
                <w:color w:val="000000"/>
                <w:sz w:val="20"/>
                <w:lang w:eastAsia="es-CR"/>
              </w:rPr>
              <w:t>De ¢9.000.001 a ¢10.000.000</w:t>
            </w:r>
          </w:p>
        </w:tc>
        <w:tc>
          <w:tcPr>
            <w:tcW w:w="850" w:type="dxa"/>
            <w:tcBorders>
              <w:top w:val="nil"/>
              <w:left w:val="nil"/>
              <w:bottom w:val="nil"/>
              <w:right w:val="single" w:sz="8" w:space="0" w:color="auto"/>
            </w:tcBorders>
            <w:shd w:val="clear" w:color="000000" w:fill="C6E0B4"/>
            <w:noWrap/>
            <w:vAlign w:val="center"/>
            <w:hideMark/>
          </w:tcPr>
          <w:p w14:paraId="25D55FB6" w14:textId="77777777" w:rsidR="00386BC3" w:rsidRPr="004E74A6" w:rsidRDefault="00386BC3" w:rsidP="00832773">
            <w:pPr>
              <w:spacing w:line="276" w:lineRule="auto"/>
              <w:jc w:val="center"/>
              <w:rPr>
                <w:rFonts w:cs="Calibri"/>
                <w:color w:val="000000"/>
                <w:sz w:val="20"/>
                <w:lang w:eastAsia="es-CR"/>
              </w:rPr>
            </w:pPr>
            <w:r w:rsidRPr="004E74A6">
              <w:rPr>
                <w:rFonts w:cs="Calibri"/>
                <w:color w:val="000000"/>
                <w:sz w:val="20"/>
                <w:lang w:eastAsia="es-CR"/>
              </w:rPr>
              <w:t>5</w:t>
            </w:r>
          </w:p>
        </w:tc>
        <w:tc>
          <w:tcPr>
            <w:tcW w:w="850" w:type="dxa"/>
            <w:tcBorders>
              <w:top w:val="nil"/>
              <w:left w:val="nil"/>
              <w:bottom w:val="nil"/>
              <w:right w:val="single" w:sz="8" w:space="0" w:color="auto"/>
            </w:tcBorders>
            <w:shd w:val="clear" w:color="000000" w:fill="C6E0B4"/>
            <w:noWrap/>
            <w:vAlign w:val="center"/>
            <w:hideMark/>
          </w:tcPr>
          <w:p w14:paraId="05C58FDA" w14:textId="77777777" w:rsidR="00386BC3" w:rsidRPr="004E74A6" w:rsidRDefault="00386BC3" w:rsidP="00832773">
            <w:pPr>
              <w:spacing w:line="276" w:lineRule="auto"/>
              <w:jc w:val="center"/>
              <w:rPr>
                <w:rFonts w:cs="Calibri"/>
                <w:color w:val="000000"/>
                <w:sz w:val="20"/>
                <w:lang w:eastAsia="es-CR"/>
              </w:rPr>
            </w:pPr>
            <w:r w:rsidRPr="004E74A6">
              <w:rPr>
                <w:rFonts w:cs="Calibri"/>
                <w:color w:val="000000"/>
                <w:sz w:val="20"/>
                <w:lang w:eastAsia="es-CR"/>
              </w:rPr>
              <w:t>4</w:t>
            </w:r>
          </w:p>
        </w:tc>
        <w:tc>
          <w:tcPr>
            <w:tcW w:w="850" w:type="dxa"/>
            <w:tcBorders>
              <w:top w:val="nil"/>
              <w:left w:val="nil"/>
              <w:bottom w:val="nil"/>
              <w:right w:val="single" w:sz="8" w:space="0" w:color="auto"/>
            </w:tcBorders>
            <w:shd w:val="clear" w:color="000000" w:fill="C6E0B4"/>
            <w:noWrap/>
            <w:vAlign w:val="center"/>
            <w:hideMark/>
          </w:tcPr>
          <w:p w14:paraId="072C63A8" w14:textId="77777777" w:rsidR="00386BC3" w:rsidRPr="004E74A6" w:rsidRDefault="00386BC3" w:rsidP="00832773">
            <w:pPr>
              <w:spacing w:line="276" w:lineRule="auto"/>
              <w:jc w:val="center"/>
              <w:rPr>
                <w:rFonts w:cs="Calibri"/>
                <w:color w:val="000000"/>
                <w:sz w:val="20"/>
                <w:lang w:eastAsia="es-CR"/>
              </w:rPr>
            </w:pPr>
            <w:r w:rsidRPr="004E74A6">
              <w:rPr>
                <w:rFonts w:cs="Calibri"/>
                <w:color w:val="000000"/>
                <w:sz w:val="20"/>
                <w:lang w:eastAsia="es-CR"/>
              </w:rPr>
              <w:t>19</w:t>
            </w:r>
          </w:p>
        </w:tc>
        <w:tc>
          <w:tcPr>
            <w:tcW w:w="1134" w:type="dxa"/>
            <w:tcBorders>
              <w:top w:val="nil"/>
              <w:left w:val="nil"/>
              <w:bottom w:val="nil"/>
              <w:right w:val="single" w:sz="8" w:space="0" w:color="auto"/>
            </w:tcBorders>
            <w:shd w:val="clear" w:color="000000" w:fill="C6E0B4"/>
            <w:noWrap/>
            <w:vAlign w:val="center"/>
            <w:hideMark/>
          </w:tcPr>
          <w:p w14:paraId="4CF7E61E" w14:textId="7C76DA48" w:rsidR="00386BC3" w:rsidRPr="004E74A6" w:rsidRDefault="00386BC3" w:rsidP="00832773">
            <w:pPr>
              <w:spacing w:line="276" w:lineRule="auto"/>
              <w:jc w:val="center"/>
              <w:rPr>
                <w:rFonts w:cs="Calibri"/>
                <w:color w:val="000000"/>
                <w:sz w:val="20"/>
                <w:lang w:eastAsia="es-CR"/>
              </w:rPr>
            </w:pPr>
            <w:r w:rsidRPr="004E74A6">
              <w:rPr>
                <w:rFonts w:cs="Calibri"/>
                <w:color w:val="000000"/>
                <w:sz w:val="20"/>
              </w:rPr>
              <w:t>9</w:t>
            </w:r>
          </w:p>
        </w:tc>
        <w:tc>
          <w:tcPr>
            <w:tcW w:w="2381" w:type="dxa"/>
            <w:tcBorders>
              <w:top w:val="nil"/>
              <w:left w:val="nil"/>
              <w:bottom w:val="nil"/>
              <w:right w:val="nil"/>
            </w:tcBorders>
            <w:shd w:val="clear" w:color="000000" w:fill="C6E0B4"/>
            <w:noWrap/>
            <w:vAlign w:val="center"/>
            <w:hideMark/>
          </w:tcPr>
          <w:p w14:paraId="5D43EEAE" w14:textId="6C529284" w:rsidR="00386BC3" w:rsidRPr="004E74A6" w:rsidRDefault="00386BC3" w:rsidP="00832773">
            <w:pPr>
              <w:spacing w:line="276" w:lineRule="auto"/>
              <w:jc w:val="center"/>
              <w:rPr>
                <w:rFonts w:cs="Calibri"/>
                <w:color w:val="000000"/>
                <w:sz w:val="20"/>
                <w:lang w:eastAsia="es-CR"/>
              </w:rPr>
            </w:pPr>
            <w:r w:rsidRPr="004E74A6">
              <w:rPr>
                <w:rFonts w:cs="Calibri"/>
                <w:color w:val="000000"/>
                <w:sz w:val="20"/>
              </w:rPr>
              <w:t>32%</w:t>
            </w:r>
          </w:p>
        </w:tc>
      </w:tr>
      <w:tr w:rsidR="00386BC3" w:rsidRPr="004E74A6" w14:paraId="119A7FDC" w14:textId="77777777" w:rsidTr="00386BC3">
        <w:trPr>
          <w:trHeight w:val="300"/>
          <w:jc w:val="center"/>
        </w:trPr>
        <w:tc>
          <w:tcPr>
            <w:tcW w:w="2800" w:type="dxa"/>
            <w:tcBorders>
              <w:top w:val="nil"/>
              <w:left w:val="nil"/>
              <w:bottom w:val="nil"/>
              <w:right w:val="single" w:sz="8" w:space="0" w:color="auto"/>
            </w:tcBorders>
            <w:shd w:val="clear" w:color="000000" w:fill="C6E0B4"/>
            <w:noWrap/>
            <w:vAlign w:val="center"/>
            <w:hideMark/>
          </w:tcPr>
          <w:p w14:paraId="32A918AE" w14:textId="77777777" w:rsidR="00386BC3" w:rsidRPr="004E74A6" w:rsidRDefault="00386BC3" w:rsidP="00832773">
            <w:pPr>
              <w:spacing w:line="276" w:lineRule="auto"/>
              <w:jc w:val="left"/>
              <w:rPr>
                <w:rFonts w:cs="Calibri"/>
                <w:color w:val="000000"/>
                <w:sz w:val="20"/>
                <w:lang w:eastAsia="es-CR"/>
              </w:rPr>
            </w:pPr>
            <w:r w:rsidRPr="004E74A6">
              <w:rPr>
                <w:rFonts w:cs="Calibri"/>
                <w:color w:val="000000"/>
                <w:sz w:val="20"/>
                <w:lang w:eastAsia="es-CR"/>
              </w:rPr>
              <w:t>De ¢10.000.001 a ¢15.000.000</w:t>
            </w:r>
          </w:p>
        </w:tc>
        <w:tc>
          <w:tcPr>
            <w:tcW w:w="850" w:type="dxa"/>
            <w:tcBorders>
              <w:top w:val="nil"/>
              <w:left w:val="nil"/>
              <w:bottom w:val="nil"/>
              <w:right w:val="single" w:sz="8" w:space="0" w:color="auto"/>
            </w:tcBorders>
            <w:shd w:val="clear" w:color="000000" w:fill="C6E0B4"/>
            <w:noWrap/>
            <w:vAlign w:val="center"/>
            <w:hideMark/>
          </w:tcPr>
          <w:p w14:paraId="1C249ACA" w14:textId="77777777" w:rsidR="00386BC3" w:rsidRPr="004E74A6" w:rsidRDefault="00386BC3" w:rsidP="00832773">
            <w:pPr>
              <w:spacing w:line="276" w:lineRule="auto"/>
              <w:jc w:val="center"/>
              <w:rPr>
                <w:rFonts w:cs="Calibri"/>
                <w:color w:val="000000"/>
                <w:sz w:val="20"/>
                <w:lang w:eastAsia="es-CR"/>
              </w:rPr>
            </w:pPr>
            <w:r w:rsidRPr="004E74A6">
              <w:rPr>
                <w:rFonts w:cs="Calibri"/>
                <w:color w:val="000000"/>
                <w:sz w:val="20"/>
                <w:lang w:eastAsia="es-CR"/>
              </w:rPr>
              <w:t>16</w:t>
            </w:r>
          </w:p>
        </w:tc>
        <w:tc>
          <w:tcPr>
            <w:tcW w:w="850" w:type="dxa"/>
            <w:tcBorders>
              <w:top w:val="nil"/>
              <w:left w:val="nil"/>
              <w:bottom w:val="nil"/>
              <w:right w:val="single" w:sz="8" w:space="0" w:color="auto"/>
            </w:tcBorders>
            <w:shd w:val="clear" w:color="000000" w:fill="C6E0B4"/>
            <w:noWrap/>
            <w:vAlign w:val="center"/>
            <w:hideMark/>
          </w:tcPr>
          <w:p w14:paraId="4352E71D" w14:textId="77777777" w:rsidR="00386BC3" w:rsidRPr="004E74A6" w:rsidRDefault="00386BC3" w:rsidP="00832773">
            <w:pPr>
              <w:spacing w:line="276" w:lineRule="auto"/>
              <w:jc w:val="center"/>
              <w:rPr>
                <w:rFonts w:cs="Calibri"/>
                <w:color w:val="000000"/>
                <w:sz w:val="20"/>
                <w:lang w:eastAsia="es-CR"/>
              </w:rPr>
            </w:pPr>
            <w:r w:rsidRPr="004E74A6">
              <w:rPr>
                <w:rFonts w:cs="Calibri"/>
                <w:color w:val="000000"/>
                <w:sz w:val="20"/>
                <w:lang w:eastAsia="es-CR"/>
              </w:rPr>
              <w:t>20</w:t>
            </w:r>
          </w:p>
        </w:tc>
        <w:tc>
          <w:tcPr>
            <w:tcW w:w="850" w:type="dxa"/>
            <w:tcBorders>
              <w:top w:val="nil"/>
              <w:left w:val="nil"/>
              <w:bottom w:val="nil"/>
              <w:right w:val="single" w:sz="8" w:space="0" w:color="auto"/>
            </w:tcBorders>
            <w:shd w:val="clear" w:color="000000" w:fill="C6E0B4"/>
            <w:noWrap/>
            <w:vAlign w:val="center"/>
            <w:hideMark/>
          </w:tcPr>
          <w:p w14:paraId="5E79120F" w14:textId="77777777" w:rsidR="00386BC3" w:rsidRPr="004E74A6" w:rsidRDefault="00386BC3" w:rsidP="00832773">
            <w:pPr>
              <w:spacing w:line="276" w:lineRule="auto"/>
              <w:jc w:val="center"/>
              <w:rPr>
                <w:rFonts w:cs="Calibri"/>
                <w:color w:val="000000"/>
                <w:sz w:val="20"/>
                <w:lang w:eastAsia="es-CR"/>
              </w:rPr>
            </w:pPr>
            <w:r w:rsidRPr="004E74A6">
              <w:rPr>
                <w:rFonts w:cs="Calibri"/>
                <w:color w:val="000000"/>
                <w:sz w:val="20"/>
                <w:lang w:eastAsia="es-CR"/>
              </w:rPr>
              <w:t>25</w:t>
            </w:r>
          </w:p>
        </w:tc>
        <w:tc>
          <w:tcPr>
            <w:tcW w:w="1134" w:type="dxa"/>
            <w:tcBorders>
              <w:top w:val="nil"/>
              <w:left w:val="nil"/>
              <w:bottom w:val="nil"/>
              <w:right w:val="single" w:sz="8" w:space="0" w:color="auto"/>
            </w:tcBorders>
            <w:shd w:val="clear" w:color="000000" w:fill="C6E0B4"/>
            <w:noWrap/>
            <w:vAlign w:val="center"/>
            <w:hideMark/>
          </w:tcPr>
          <w:p w14:paraId="65B6B113" w14:textId="19D5BD8C" w:rsidR="00386BC3" w:rsidRPr="004E74A6" w:rsidRDefault="00386BC3" w:rsidP="00832773">
            <w:pPr>
              <w:spacing w:line="276" w:lineRule="auto"/>
              <w:jc w:val="center"/>
              <w:rPr>
                <w:rFonts w:cs="Calibri"/>
                <w:color w:val="000000"/>
                <w:sz w:val="20"/>
                <w:lang w:eastAsia="es-CR"/>
              </w:rPr>
            </w:pPr>
            <w:r w:rsidRPr="004E74A6">
              <w:rPr>
                <w:rFonts w:cs="Calibri"/>
                <w:color w:val="000000"/>
                <w:sz w:val="20"/>
              </w:rPr>
              <w:t>20</w:t>
            </w:r>
          </w:p>
        </w:tc>
        <w:tc>
          <w:tcPr>
            <w:tcW w:w="2381" w:type="dxa"/>
            <w:tcBorders>
              <w:top w:val="nil"/>
              <w:left w:val="nil"/>
              <w:bottom w:val="nil"/>
              <w:right w:val="nil"/>
            </w:tcBorders>
            <w:shd w:val="clear" w:color="000000" w:fill="C6E0B4"/>
            <w:noWrap/>
            <w:vAlign w:val="center"/>
            <w:hideMark/>
          </w:tcPr>
          <w:p w14:paraId="2CB407C3" w14:textId="40730682" w:rsidR="00386BC3" w:rsidRPr="004E74A6" w:rsidRDefault="00386BC3" w:rsidP="00832773">
            <w:pPr>
              <w:spacing w:line="276" w:lineRule="auto"/>
              <w:jc w:val="center"/>
              <w:rPr>
                <w:rFonts w:cs="Calibri"/>
                <w:color w:val="000000"/>
                <w:sz w:val="20"/>
                <w:lang w:eastAsia="es-CR"/>
              </w:rPr>
            </w:pPr>
            <w:r w:rsidRPr="004E74A6">
              <w:rPr>
                <w:rFonts w:cs="Calibri"/>
                <w:color w:val="000000"/>
                <w:sz w:val="20"/>
              </w:rPr>
              <w:t>41%</w:t>
            </w:r>
          </w:p>
        </w:tc>
      </w:tr>
      <w:tr w:rsidR="00386BC3" w:rsidRPr="004E74A6" w14:paraId="6816A295" w14:textId="77777777" w:rsidTr="00386BC3">
        <w:trPr>
          <w:trHeight w:val="300"/>
          <w:jc w:val="center"/>
        </w:trPr>
        <w:tc>
          <w:tcPr>
            <w:tcW w:w="2800" w:type="dxa"/>
            <w:tcBorders>
              <w:top w:val="nil"/>
              <w:left w:val="nil"/>
              <w:bottom w:val="nil"/>
              <w:right w:val="single" w:sz="8" w:space="0" w:color="auto"/>
            </w:tcBorders>
            <w:shd w:val="clear" w:color="000000" w:fill="C6E0B4"/>
            <w:noWrap/>
            <w:vAlign w:val="center"/>
            <w:hideMark/>
          </w:tcPr>
          <w:p w14:paraId="6F27E15A" w14:textId="77777777" w:rsidR="00386BC3" w:rsidRPr="004E74A6" w:rsidRDefault="00386BC3" w:rsidP="00832773">
            <w:pPr>
              <w:spacing w:line="276" w:lineRule="auto"/>
              <w:jc w:val="left"/>
              <w:rPr>
                <w:rFonts w:cs="Calibri"/>
                <w:color w:val="000000"/>
                <w:sz w:val="20"/>
                <w:lang w:eastAsia="es-CR"/>
              </w:rPr>
            </w:pPr>
            <w:r w:rsidRPr="004E74A6">
              <w:rPr>
                <w:rFonts w:cs="Calibri"/>
                <w:color w:val="000000"/>
                <w:sz w:val="20"/>
                <w:lang w:eastAsia="es-CR"/>
              </w:rPr>
              <w:t>De ¢15.000.001 a ¢20.000.000</w:t>
            </w:r>
          </w:p>
        </w:tc>
        <w:tc>
          <w:tcPr>
            <w:tcW w:w="850" w:type="dxa"/>
            <w:tcBorders>
              <w:top w:val="nil"/>
              <w:left w:val="nil"/>
              <w:bottom w:val="nil"/>
              <w:right w:val="single" w:sz="8" w:space="0" w:color="auto"/>
            </w:tcBorders>
            <w:shd w:val="clear" w:color="000000" w:fill="C6E0B4"/>
            <w:noWrap/>
            <w:vAlign w:val="center"/>
            <w:hideMark/>
          </w:tcPr>
          <w:p w14:paraId="67FD3001" w14:textId="77777777" w:rsidR="00386BC3" w:rsidRPr="004E74A6" w:rsidRDefault="00386BC3" w:rsidP="00832773">
            <w:pPr>
              <w:spacing w:line="276" w:lineRule="auto"/>
              <w:jc w:val="center"/>
              <w:rPr>
                <w:rFonts w:cs="Calibri"/>
                <w:color w:val="000000"/>
                <w:sz w:val="20"/>
                <w:lang w:eastAsia="es-CR"/>
              </w:rPr>
            </w:pPr>
            <w:r w:rsidRPr="004E74A6">
              <w:rPr>
                <w:rFonts w:cs="Calibri"/>
                <w:color w:val="000000"/>
                <w:sz w:val="20"/>
                <w:lang w:eastAsia="es-CR"/>
              </w:rPr>
              <w:t>14</w:t>
            </w:r>
          </w:p>
        </w:tc>
        <w:tc>
          <w:tcPr>
            <w:tcW w:w="850" w:type="dxa"/>
            <w:tcBorders>
              <w:top w:val="nil"/>
              <w:left w:val="nil"/>
              <w:bottom w:val="nil"/>
              <w:right w:val="single" w:sz="8" w:space="0" w:color="auto"/>
            </w:tcBorders>
            <w:shd w:val="clear" w:color="000000" w:fill="C6E0B4"/>
            <w:noWrap/>
            <w:vAlign w:val="center"/>
            <w:hideMark/>
          </w:tcPr>
          <w:p w14:paraId="77278F5F" w14:textId="77777777" w:rsidR="00386BC3" w:rsidRPr="004E74A6" w:rsidRDefault="00386BC3" w:rsidP="00832773">
            <w:pPr>
              <w:spacing w:line="276" w:lineRule="auto"/>
              <w:jc w:val="center"/>
              <w:rPr>
                <w:rFonts w:cs="Calibri"/>
                <w:color w:val="000000"/>
                <w:sz w:val="20"/>
                <w:lang w:eastAsia="es-CR"/>
              </w:rPr>
            </w:pPr>
            <w:r w:rsidRPr="004E74A6">
              <w:rPr>
                <w:rFonts w:cs="Calibri"/>
                <w:color w:val="000000"/>
                <w:sz w:val="20"/>
                <w:lang w:eastAsia="es-CR"/>
              </w:rPr>
              <w:t>13</w:t>
            </w:r>
          </w:p>
        </w:tc>
        <w:tc>
          <w:tcPr>
            <w:tcW w:w="850" w:type="dxa"/>
            <w:tcBorders>
              <w:top w:val="nil"/>
              <w:left w:val="nil"/>
              <w:bottom w:val="nil"/>
              <w:right w:val="single" w:sz="8" w:space="0" w:color="auto"/>
            </w:tcBorders>
            <w:shd w:val="clear" w:color="000000" w:fill="C6E0B4"/>
            <w:noWrap/>
            <w:vAlign w:val="center"/>
            <w:hideMark/>
          </w:tcPr>
          <w:p w14:paraId="43B416C3" w14:textId="77777777" w:rsidR="00386BC3" w:rsidRPr="004E74A6" w:rsidRDefault="00386BC3" w:rsidP="00832773">
            <w:pPr>
              <w:spacing w:line="276" w:lineRule="auto"/>
              <w:jc w:val="center"/>
              <w:rPr>
                <w:rFonts w:cs="Calibri"/>
                <w:color w:val="000000"/>
                <w:sz w:val="20"/>
                <w:lang w:eastAsia="es-CR"/>
              </w:rPr>
            </w:pPr>
            <w:r w:rsidRPr="004E74A6">
              <w:rPr>
                <w:rFonts w:cs="Calibri"/>
                <w:color w:val="000000"/>
                <w:sz w:val="20"/>
                <w:lang w:eastAsia="es-CR"/>
              </w:rPr>
              <w:t>16</w:t>
            </w:r>
          </w:p>
        </w:tc>
        <w:tc>
          <w:tcPr>
            <w:tcW w:w="1134" w:type="dxa"/>
            <w:tcBorders>
              <w:top w:val="nil"/>
              <w:left w:val="nil"/>
              <w:bottom w:val="nil"/>
              <w:right w:val="single" w:sz="8" w:space="0" w:color="auto"/>
            </w:tcBorders>
            <w:shd w:val="clear" w:color="000000" w:fill="C6E0B4"/>
            <w:noWrap/>
            <w:vAlign w:val="center"/>
            <w:hideMark/>
          </w:tcPr>
          <w:p w14:paraId="6EDA1C5D" w14:textId="10393C42" w:rsidR="00386BC3" w:rsidRPr="004E74A6" w:rsidRDefault="00386BC3" w:rsidP="00832773">
            <w:pPr>
              <w:spacing w:line="276" w:lineRule="auto"/>
              <w:jc w:val="center"/>
              <w:rPr>
                <w:rFonts w:cs="Calibri"/>
                <w:color w:val="000000"/>
                <w:sz w:val="20"/>
                <w:lang w:eastAsia="es-CR"/>
              </w:rPr>
            </w:pPr>
            <w:r w:rsidRPr="004E74A6">
              <w:rPr>
                <w:rFonts w:cs="Calibri"/>
                <w:color w:val="000000"/>
                <w:sz w:val="20"/>
              </w:rPr>
              <w:t>14</w:t>
            </w:r>
          </w:p>
        </w:tc>
        <w:tc>
          <w:tcPr>
            <w:tcW w:w="2381" w:type="dxa"/>
            <w:tcBorders>
              <w:top w:val="nil"/>
              <w:left w:val="nil"/>
              <w:bottom w:val="nil"/>
              <w:right w:val="nil"/>
            </w:tcBorders>
            <w:shd w:val="clear" w:color="000000" w:fill="C6E0B4"/>
            <w:noWrap/>
            <w:vAlign w:val="center"/>
            <w:hideMark/>
          </w:tcPr>
          <w:p w14:paraId="407F20B5" w14:textId="41A2DAED" w:rsidR="00386BC3" w:rsidRPr="004E74A6" w:rsidRDefault="00386BC3" w:rsidP="00832773">
            <w:pPr>
              <w:spacing w:line="276" w:lineRule="auto"/>
              <w:jc w:val="center"/>
              <w:rPr>
                <w:rFonts w:cs="Calibri"/>
                <w:color w:val="000000"/>
                <w:sz w:val="20"/>
                <w:lang w:eastAsia="es-CR"/>
              </w:rPr>
            </w:pPr>
            <w:r w:rsidRPr="004E74A6">
              <w:rPr>
                <w:rFonts w:cs="Calibri"/>
                <w:color w:val="000000"/>
                <w:sz w:val="20"/>
              </w:rPr>
              <w:t>47%</w:t>
            </w:r>
          </w:p>
        </w:tc>
      </w:tr>
      <w:tr w:rsidR="00386BC3" w:rsidRPr="004E74A6" w14:paraId="655928A7" w14:textId="77777777" w:rsidTr="00386BC3">
        <w:trPr>
          <w:trHeight w:val="300"/>
          <w:jc w:val="center"/>
        </w:trPr>
        <w:tc>
          <w:tcPr>
            <w:tcW w:w="2800" w:type="dxa"/>
            <w:tcBorders>
              <w:top w:val="nil"/>
              <w:left w:val="nil"/>
              <w:bottom w:val="nil"/>
              <w:right w:val="single" w:sz="8" w:space="0" w:color="auto"/>
            </w:tcBorders>
            <w:shd w:val="clear" w:color="auto" w:fill="auto"/>
            <w:noWrap/>
            <w:vAlign w:val="center"/>
            <w:hideMark/>
          </w:tcPr>
          <w:p w14:paraId="47681E5F" w14:textId="77777777" w:rsidR="00386BC3" w:rsidRPr="004E74A6" w:rsidRDefault="00386BC3" w:rsidP="00832773">
            <w:pPr>
              <w:spacing w:line="276" w:lineRule="auto"/>
              <w:jc w:val="left"/>
              <w:rPr>
                <w:rFonts w:cs="Calibri"/>
                <w:color w:val="000000"/>
                <w:sz w:val="20"/>
                <w:lang w:eastAsia="es-CR"/>
              </w:rPr>
            </w:pPr>
            <w:r w:rsidRPr="004E74A6">
              <w:rPr>
                <w:rFonts w:cs="Calibri"/>
                <w:color w:val="000000"/>
                <w:sz w:val="20"/>
                <w:lang w:eastAsia="es-CR"/>
              </w:rPr>
              <w:t>De ¢20.000.001 a ¢25.000.000</w:t>
            </w:r>
          </w:p>
        </w:tc>
        <w:tc>
          <w:tcPr>
            <w:tcW w:w="850" w:type="dxa"/>
            <w:tcBorders>
              <w:top w:val="nil"/>
              <w:left w:val="nil"/>
              <w:bottom w:val="nil"/>
              <w:right w:val="single" w:sz="8" w:space="0" w:color="auto"/>
            </w:tcBorders>
            <w:shd w:val="clear" w:color="auto" w:fill="auto"/>
            <w:noWrap/>
            <w:vAlign w:val="center"/>
            <w:hideMark/>
          </w:tcPr>
          <w:p w14:paraId="0062001A" w14:textId="77777777" w:rsidR="00386BC3" w:rsidRPr="004E74A6" w:rsidRDefault="00386BC3" w:rsidP="00832773">
            <w:pPr>
              <w:spacing w:line="276" w:lineRule="auto"/>
              <w:jc w:val="center"/>
              <w:rPr>
                <w:rFonts w:cs="Calibri"/>
                <w:color w:val="000000"/>
                <w:sz w:val="20"/>
                <w:lang w:eastAsia="es-CR"/>
              </w:rPr>
            </w:pPr>
            <w:r w:rsidRPr="004E74A6">
              <w:rPr>
                <w:rFonts w:cs="Calibri"/>
                <w:color w:val="000000"/>
                <w:sz w:val="20"/>
                <w:lang w:eastAsia="es-CR"/>
              </w:rPr>
              <w:t>11</w:t>
            </w:r>
          </w:p>
        </w:tc>
        <w:tc>
          <w:tcPr>
            <w:tcW w:w="850" w:type="dxa"/>
            <w:tcBorders>
              <w:top w:val="nil"/>
              <w:left w:val="nil"/>
              <w:bottom w:val="nil"/>
              <w:right w:val="single" w:sz="8" w:space="0" w:color="auto"/>
            </w:tcBorders>
            <w:shd w:val="clear" w:color="auto" w:fill="auto"/>
            <w:noWrap/>
            <w:vAlign w:val="center"/>
            <w:hideMark/>
          </w:tcPr>
          <w:p w14:paraId="4AAA93E7" w14:textId="77777777" w:rsidR="00386BC3" w:rsidRPr="004E74A6" w:rsidRDefault="00386BC3" w:rsidP="00832773">
            <w:pPr>
              <w:spacing w:line="276" w:lineRule="auto"/>
              <w:jc w:val="center"/>
              <w:rPr>
                <w:rFonts w:cs="Calibri"/>
                <w:color w:val="000000"/>
                <w:sz w:val="20"/>
                <w:lang w:eastAsia="es-CR"/>
              </w:rPr>
            </w:pPr>
            <w:r w:rsidRPr="004E74A6">
              <w:rPr>
                <w:rFonts w:cs="Calibri"/>
                <w:color w:val="000000"/>
                <w:sz w:val="20"/>
                <w:lang w:eastAsia="es-CR"/>
              </w:rPr>
              <w:t>18</w:t>
            </w:r>
          </w:p>
        </w:tc>
        <w:tc>
          <w:tcPr>
            <w:tcW w:w="850" w:type="dxa"/>
            <w:tcBorders>
              <w:top w:val="nil"/>
              <w:left w:val="nil"/>
              <w:bottom w:val="nil"/>
              <w:right w:val="single" w:sz="8" w:space="0" w:color="auto"/>
            </w:tcBorders>
            <w:shd w:val="clear" w:color="auto" w:fill="auto"/>
            <w:noWrap/>
            <w:vAlign w:val="center"/>
            <w:hideMark/>
          </w:tcPr>
          <w:p w14:paraId="0CF8D013" w14:textId="77777777" w:rsidR="00386BC3" w:rsidRPr="004E74A6" w:rsidRDefault="00386BC3" w:rsidP="00832773">
            <w:pPr>
              <w:spacing w:line="276" w:lineRule="auto"/>
              <w:jc w:val="center"/>
              <w:rPr>
                <w:rFonts w:cs="Calibri"/>
                <w:color w:val="000000"/>
                <w:sz w:val="20"/>
                <w:lang w:eastAsia="es-CR"/>
              </w:rPr>
            </w:pPr>
            <w:r w:rsidRPr="004E74A6">
              <w:rPr>
                <w:rFonts w:cs="Calibri"/>
                <w:color w:val="000000"/>
                <w:sz w:val="20"/>
                <w:lang w:eastAsia="es-CR"/>
              </w:rPr>
              <w:t>15</w:t>
            </w:r>
          </w:p>
        </w:tc>
        <w:tc>
          <w:tcPr>
            <w:tcW w:w="1134" w:type="dxa"/>
            <w:tcBorders>
              <w:top w:val="nil"/>
              <w:left w:val="nil"/>
              <w:bottom w:val="nil"/>
              <w:right w:val="single" w:sz="8" w:space="0" w:color="auto"/>
            </w:tcBorders>
            <w:shd w:val="clear" w:color="auto" w:fill="auto"/>
            <w:noWrap/>
            <w:vAlign w:val="center"/>
            <w:hideMark/>
          </w:tcPr>
          <w:p w14:paraId="405331E2" w14:textId="12C4BF1A" w:rsidR="00386BC3" w:rsidRPr="004E74A6" w:rsidRDefault="00386BC3" w:rsidP="00832773">
            <w:pPr>
              <w:spacing w:line="276" w:lineRule="auto"/>
              <w:jc w:val="center"/>
              <w:rPr>
                <w:rFonts w:cs="Calibri"/>
                <w:color w:val="000000"/>
                <w:sz w:val="20"/>
                <w:lang w:eastAsia="es-CR"/>
              </w:rPr>
            </w:pPr>
            <w:r w:rsidRPr="004E74A6">
              <w:rPr>
                <w:rFonts w:cs="Calibri"/>
                <w:color w:val="000000"/>
                <w:sz w:val="20"/>
              </w:rPr>
              <w:t>15</w:t>
            </w:r>
          </w:p>
        </w:tc>
        <w:tc>
          <w:tcPr>
            <w:tcW w:w="2381" w:type="dxa"/>
            <w:tcBorders>
              <w:top w:val="nil"/>
              <w:left w:val="nil"/>
              <w:bottom w:val="nil"/>
              <w:right w:val="nil"/>
            </w:tcBorders>
            <w:shd w:val="clear" w:color="auto" w:fill="auto"/>
            <w:noWrap/>
            <w:vAlign w:val="center"/>
            <w:hideMark/>
          </w:tcPr>
          <w:p w14:paraId="52AD81CB" w14:textId="13965968" w:rsidR="00386BC3" w:rsidRPr="004E74A6" w:rsidRDefault="00386BC3" w:rsidP="00832773">
            <w:pPr>
              <w:spacing w:line="276" w:lineRule="auto"/>
              <w:jc w:val="center"/>
              <w:rPr>
                <w:rFonts w:cs="Calibri"/>
                <w:color w:val="000000"/>
                <w:sz w:val="20"/>
                <w:lang w:eastAsia="es-CR"/>
              </w:rPr>
            </w:pPr>
            <w:r w:rsidRPr="004E74A6">
              <w:rPr>
                <w:rFonts w:cs="Calibri"/>
                <w:color w:val="000000"/>
                <w:sz w:val="20"/>
              </w:rPr>
              <w:t>54%</w:t>
            </w:r>
          </w:p>
        </w:tc>
      </w:tr>
      <w:tr w:rsidR="00386BC3" w:rsidRPr="004E74A6" w14:paraId="3CE20FFC" w14:textId="77777777" w:rsidTr="00386BC3">
        <w:trPr>
          <w:trHeight w:val="300"/>
          <w:jc w:val="center"/>
        </w:trPr>
        <w:tc>
          <w:tcPr>
            <w:tcW w:w="2800" w:type="dxa"/>
            <w:tcBorders>
              <w:top w:val="nil"/>
              <w:left w:val="nil"/>
              <w:bottom w:val="nil"/>
              <w:right w:val="single" w:sz="8" w:space="0" w:color="auto"/>
            </w:tcBorders>
            <w:shd w:val="clear" w:color="auto" w:fill="auto"/>
            <w:noWrap/>
            <w:vAlign w:val="center"/>
            <w:hideMark/>
          </w:tcPr>
          <w:p w14:paraId="28797BB1" w14:textId="77777777" w:rsidR="00386BC3" w:rsidRPr="004E74A6" w:rsidRDefault="00386BC3" w:rsidP="00832773">
            <w:pPr>
              <w:spacing w:line="276" w:lineRule="auto"/>
              <w:jc w:val="left"/>
              <w:rPr>
                <w:rFonts w:cs="Calibri"/>
                <w:color w:val="000000"/>
                <w:sz w:val="20"/>
                <w:lang w:eastAsia="es-CR"/>
              </w:rPr>
            </w:pPr>
            <w:r w:rsidRPr="004E74A6">
              <w:rPr>
                <w:rFonts w:cs="Calibri"/>
                <w:color w:val="000000"/>
                <w:sz w:val="20"/>
                <w:lang w:eastAsia="es-CR"/>
              </w:rPr>
              <w:t>De ¢25.000.001 a ¢30.000.000</w:t>
            </w:r>
          </w:p>
        </w:tc>
        <w:tc>
          <w:tcPr>
            <w:tcW w:w="850" w:type="dxa"/>
            <w:tcBorders>
              <w:top w:val="nil"/>
              <w:left w:val="nil"/>
              <w:bottom w:val="nil"/>
              <w:right w:val="single" w:sz="8" w:space="0" w:color="auto"/>
            </w:tcBorders>
            <w:shd w:val="clear" w:color="auto" w:fill="auto"/>
            <w:noWrap/>
            <w:vAlign w:val="center"/>
            <w:hideMark/>
          </w:tcPr>
          <w:p w14:paraId="578AF3CA" w14:textId="77777777" w:rsidR="00386BC3" w:rsidRPr="004E74A6" w:rsidRDefault="00386BC3" w:rsidP="00832773">
            <w:pPr>
              <w:spacing w:line="276" w:lineRule="auto"/>
              <w:jc w:val="center"/>
              <w:rPr>
                <w:rFonts w:cs="Calibri"/>
                <w:color w:val="000000"/>
                <w:sz w:val="20"/>
                <w:lang w:eastAsia="es-CR"/>
              </w:rPr>
            </w:pPr>
            <w:r w:rsidRPr="004E74A6">
              <w:rPr>
                <w:rFonts w:cs="Calibri"/>
                <w:color w:val="000000"/>
                <w:sz w:val="20"/>
                <w:lang w:eastAsia="es-CR"/>
              </w:rPr>
              <w:t>4</w:t>
            </w:r>
          </w:p>
        </w:tc>
        <w:tc>
          <w:tcPr>
            <w:tcW w:w="850" w:type="dxa"/>
            <w:tcBorders>
              <w:top w:val="nil"/>
              <w:left w:val="nil"/>
              <w:bottom w:val="nil"/>
              <w:right w:val="single" w:sz="8" w:space="0" w:color="auto"/>
            </w:tcBorders>
            <w:shd w:val="clear" w:color="auto" w:fill="auto"/>
            <w:noWrap/>
            <w:vAlign w:val="center"/>
            <w:hideMark/>
          </w:tcPr>
          <w:p w14:paraId="08B778F5" w14:textId="77777777" w:rsidR="00386BC3" w:rsidRPr="004E74A6" w:rsidRDefault="00386BC3" w:rsidP="00832773">
            <w:pPr>
              <w:spacing w:line="276" w:lineRule="auto"/>
              <w:jc w:val="center"/>
              <w:rPr>
                <w:rFonts w:cs="Calibri"/>
                <w:color w:val="000000"/>
                <w:sz w:val="20"/>
                <w:lang w:eastAsia="es-CR"/>
              </w:rPr>
            </w:pPr>
            <w:r w:rsidRPr="004E74A6">
              <w:rPr>
                <w:rFonts w:cs="Calibri"/>
                <w:color w:val="000000"/>
                <w:sz w:val="20"/>
                <w:lang w:eastAsia="es-CR"/>
              </w:rPr>
              <w:t>12</w:t>
            </w:r>
          </w:p>
        </w:tc>
        <w:tc>
          <w:tcPr>
            <w:tcW w:w="850" w:type="dxa"/>
            <w:tcBorders>
              <w:top w:val="nil"/>
              <w:left w:val="nil"/>
              <w:bottom w:val="nil"/>
              <w:right w:val="single" w:sz="8" w:space="0" w:color="auto"/>
            </w:tcBorders>
            <w:shd w:val="clear" w:color="auto" w:fill="auto"/>
            <w:noWrap/>
            <w:vAlign w:val="center"/>
            <w:hideMark/>
          </w:tcPr>
          <w:p w14:paraId="01A80A0D" w14:textId="77777777" w:rsidR="00386BC3" w:rsidRPr="004E74A6" w:rsidRDefault="00386BC3" w:rsidP="00832773">
            <w:pPr>
              <w:spacing w:line="276" w:lineRule="auto"/>
              <w:jc w:val="center"/>
              <w:rPr>
                <w:rFonts w:cs="Calibri"/>
                <w:color w:val="000000"/>
                <w:sz w:val="20"/>
                <w:lang w:eastAsia="es-CR"/>
              </w:rPr>
            </w:pPr>
            <w:r w:rsidRPr="004E74A6">
              <w:rPr>
                <w:rFonts w:cs="Calibri"/>
                <w:color w:val="000000"/>
                <w:sz w:val="20"/>
                <w:lang w:eastAsia="es-CR"/>
              </w:rPr>
              <w:t>17</w:t>
            </w:r>
          </w:p>
        </w:tc>
        <w:tc>
          <w:tcPr>
            <w:tcW w:w="1134" w:type="dxa"/>
            <w:tcBorders>
              <w:top w:val="nil"/>
              <w:left w:val="nil"/>
              <w:bottom w:val="nil"/>
              <w:right w:val="single" w:sz="8" w:space="0" w:color="auto"/>
            </w:tcBorders>
            <w:shd w:val="clear" w:color="auto" w:fill="auto"/>
            <w:noWrap/>
            <w:vAlign w:val="center"/>
            <w:hideMark/>
          </w:tcPr>
          <w:p w14:paraId="26964D4C" w14:textId="692CB166" w:rsidR="00386BC3" w:rsidRPr="004E74A6" w:rsidRDefault="00386BC3" w:rsidP="00832773">
            <w:pPr>
              <w:spacing w:line="276" w:lineRule="auto"/>
              <w:jc w:val="center"/>
              <w:rPr>
                <w:rFonts w:cs="Calibri"/>
                <w:color w:val="000000"/>
                <w:sz w:val="20"/>
                <w:lang w:eastAsia="es-CR"/>
              </w:rPr>
            </w:pPr>
            <w:r w:rsidRPr="004E74A6">
              <w:rPr>
                <w:rFonts w:cs="Calibri"/>
                <w:color w:val="000000"/>
                <w:sz w:val="20"/>
              </w:rPr>
              <w:t>11</w:t>
            </w:r>
          </w:p>
        </w:tc>
        <w:tc>
          <w:tcPr>
            <w:tcW w:w="2381" w:type="dxa"/>
            <w:tcBorders>
              <w:top w:val="nil"/>
              <w:left w:val="nil"/>
              <w:bottom w:val="nil"/>
              <w:right w:val="nil"/>
            </w:tcBorders>
            <w:shd w:val="clear" w:color="auto" w:fill="auto"/>
            <w:noWrap/>
            <w:vAlign w:val="center"/>
            <w:hideMark/>
          </w:tcPr>
          <w:p w14:paraId="6F201567" w14:textId="6EA67F23" w:rsidR="00386BC3" w:rsidRPr="004E74A6" w:rsidRDefault="00386BC3" w:rsidP="00832773">
            <w:pPr>
              <w:spacing w:line="276" w:lineRule="auto"/>
              <w:jc w:val="center"/>
              <w:rPr>
                <w:rFonts w:cs="Calibri"/>
                <w:color w:val="000000"/>
                <w:sz w:val="20"/>
                <w:lang w:eastAsia="es-CR"/>
              </w:rPr>
            </w:pPr>
            <w:r w:rsidRPr="004E74A6">
              <w:rPr>
                <w:rFonts w:cs="Calibri"/>
                <w:color w:val="000000"/>
                <w:sz w:val="20"/>
              </w:rPr>
              <w:t>59%</w:t>
            </w:r>
          </w:p>
        </w:tc>
      </w:tr>
      <w:tr w:rsidR="00386BC3" w:rsidRPr="004E74A6" w14:paraId="5CB67DD5" w14:textId="77777777" w:rsidTr="00386BC3">
        <w:trPr>
          <w:trHeight w:val="300"/>
          <w:jc w:val="center"/>
        </w:trPr>
        <w:tc>
          <w:tcPr>
            <w:tcW w:w="2800" w:type="dxa"/>
            <w:tcBorders>
              <w:top w:val="nil"/>
              <w:left w:val="nil"/>
              <w:bottom w:val="nil"/>
              <w:right w:val="single" w:sz="8" w:space="0" w:color="auto"/>
            </w:tcBorders>
            <w:shd w:val="clear" w:color="auto" w:fill="auto"/>
            <w:noWrap/>
            <w:vAlign w:val="center"/>
            <w:hideMark/>
          </w:tcPr>
          <w:p w14:paraId="478C06A5" w14:textId="77777777" w:rsidR="00386BC3" w:rsidRPr="004E74A6" w:rsidRDefault="00386BC3" w:rsidP="00832773">
            <w:pPr>
              <w:spacing w:line="276" w:lineRule="auto"/>
              <w:jc w:val="left"/>
              <w:rPr>
                <w:rFonts w:cs="Calibri"/>
                <w:color w:val="000000"/>
                <w:sz w:val="20"/>
                <w:lang w:eastAsia="es-CR"/>
              </w:rPr>
            </w:pPr>
            <w:r w:rsidRPr="004E74A6">
              <w:rPr>
                <w:rFonts w:cs="Calibri"/>
                <w:color w:val="000000"/>
                <w:sz w:val="20"/>
                <w:lang w:eastAsia="es-CR"/>
              </w:rPr>
              <w:t>De ¢30.000.001 a ¢35.000.000</w:t>
            </w:r>
          </w:p>
        </w:tc>
        <w:tc>
          <w:tcPr>
            <w:tcW w:w="850" w:type="dxa"/>
            <w:tcBorders>
              <w:top w:val="nil"/>
              <w:left w:val="nil"/>
              <w:bottom w:val="nil"/>
              <w:right w:val="single" w:sz="8" w:space="0" w:color="auto"/>
            </w:tcBorders>
            <w:shd w:val="clear" w:color="auto" w:fill="auto"/>
            <w:noWrap/>
            <w:vAlign w:val="center"/>
            <w:hideMark/>
          </w:tcPr>
          <w:p w14:paraId="61E7C873" w14:textId="77777777" w:rsidR="00386BC3" w:rsidRPr="004E74A6" w:rsidRDefault="00386BC3" w:rsidP="00832773">
            <w:pPr>
              <w:spacing w:line="276" w:lineRule="auto"/>
              <w:jc w:val="center"/>
              <w:rPr>
                <w:rFonts w:cs="Calibri"/>
                <w:color w:val="000000"/>
                <w:sz w:val="20"/>
                <w:lang w:eastAsia="es-CR"/>
              </w:rPr>
            </w:pPr>
            <w:r w:rsidRPr="004E74A6">
              <w:rPr>
                <w:rFonts w:cs="Calibri"/>
                <w:color w:val="000000"/>
                <w:sz w:val="20"/>
                <w:lang w:eastAsia="es-CR"/>
              </w:rPr>
              <w:t>6</w:t>
            </w:r>
          </w:p>
        </w:tc>
        <w:tc>
          <w:tcPr>
            <w:tcW w:w="850" w:type="dxa"/>
            <w:tcBorders>
              <w:top w:val="nil"/>
              <w:left w:val="nil"/>
              <w:bottom w:val="nil"/>
              <w:right w:val="single" w:sz="8" w:space="0" w:color="auto"/>
            </w:tcBorders>
            <w:shd w:val="clear" w:color="auto" w:fill="auto"/>
            <w:noWrap/>
            <w:vAlign w:val="center"/>
            <w:hideMark/>
          </w:tcPr>
          <w:p w14:paraId="1401BBD2" w14:textId="77777777" w:rsidR="00386BC3" w:rsidRPr="004E74A6" w:rsidRDefault="00386BC3" w:rsidP="00832773">
            <w:pPr>
              <w:spacing w:line="276" w:lineRule="auto"/>
              <w:jc w:val="center"/>
              <w:rPr>
                <w:rFonts w:cs="Calibri"/>
                <w:color w:val="000000"/>
                <w:sz w:val="20"/>
                <w:lang w:eastAsia="es-CR"/>
              </w:rPr>
            </w:pPr>
            <w:r w:rsidRPr="004E74A6">
              <w:rPr>
                <w:rFonts w:cs="Calibri"/>
                <w:color w:val="000000"/>
                <w:sz w:val="20"/>
                <w:lang w:eastAsia="es-CR"/>
              </w:rPr>
              <w:t>5</w:t>
            </w:r>
          </w:p>
        </w:tc>
        <w:tc>
          <w:tcPr>
            <w:tcW w:w="850" w:type="dxa"/>
            <w:tcBorders>
              <w:top w:val="nil"/>
              <w:left w:val="nil"/>
              <w:bottom w:val="nil"/>
              <w:right w:val="single" w:sz="8" w:space="0" w:color="auto"/>
            </w:tcBorders>
            <w:shd w:val="clear" w:color="auto" w:fill="auto"/>
            <w:noWrap/>
            <w:vAlign w:val="center"/>
            <w:hideMark/>
          </w:tcPr>
          <w:p w14:paraId="218F2B2D" w14:textId="77777777" w:rsidR="00386BC3" w:rsidRPr="004E74A6" w:rsidRDefault="00386BC3" w:rsidP="00832773">
            <w:pPr>
              <w:spacing w:line="276" w:lineRule="auto"/>
              <w:jc w:val="center"/>
              <w:rPr>
                <w:rFonts w:cs="Calibri"/>
                <w:color w:val="000000"/>
                <w:sz w:val="20"/>
                <w:lang w:eastAsia="es-CR"/>
              </w:rPr>
            </w:pPr>
            <w:r w:rsidRPr="004E74A6">
              <w:rPr>
                <w:rFonts w:cs="Calibri"/>
                <w:color w:val="000000"/>
                <w:sz w:val="20"/>
                <w:lang w:eastAsia="es-CR"/>
              </w:rPr>
              <w:t>11</w:t>
            </w:r>
          </w:p>
        </w:tc>
        <w:tc>
          <w:tcPr>
            <w:tcW w:w="1134" w:type="dxa"/>
            <w:tcBorders>
              <w:top w:val="nil"/>
              <w:left w:val="nil"/>
              <w:bottom w:val="nil"/>
              <w:right w:val="single" w:sz="8" w:space="0" w:color="auto"/>
            </w:tcBorders>
            <w:shd w:val="clear" w:color="auto" w:fill="auto"/>
            <w:noWrap/>
            <w:vAlign w:val="center"/>
            <w:hideMark/>
          </w:tcPr>
          <w:p w14:paraId="0C78268E" w14:textId="46B28DC6" w:rsidR="00386BC3" w:rsidRPr="004E74A6" w:rsidRDefault="00386BC3" w:rsidP="00832773">
            <w:pPr>
              <w:spacing w:line="276" w:lineRule="auto"/>
              <w:jc w:val="center"/>
              <w:rPr>
                <w:rFonts w:cs="Calibri"/>
                <w:color w:val="000000"/>
                <w:sz w:val="20"/>
                <w:lang w:eastAsia="es-CR"/>
              </w:rPr>
            </w:pPr>
            <w:r w:rsidRPr="004E74A6">
              <w:rPr>
                <w:rFonts w:cs="Calibri"/>
                <w:color w:val="000000"/>
                <w:sz w:val="20"/>
              </w:rPr>
              <w:t>7</w:t>
            </w:r>
          </w:p>
        </w:tc>
        <w:tc>
          <w:tcPr>
            <w:tcW w:w="2381" w:type="dxa"/>
            <w:tcBorders>
              <w:top w:val="nil"/>
              <w:left w:val="nil"/>
              <w:bottom w:val="nil"/>
              <w:right w:val="nil"/>
            </w:tcBorders>
            <w:shd w:val="clear" w:color="auto" w:fill="auto"/>
            <w:noWrap/>
            <w:vAlign w:val="center"/>
            <w:hideMark/>
          </w:tcPr>
          <w:p w14:paraId="786BDAD1" w14:textId="32DD6D91" w:rsidR="00386BC3" w:rsidRPr="004E74A6" w:rsidRDefault="00386BC3" w:rsidP="00832773">
            <w:pPr>
              <w:spacing w:line="276" w:lineRule="auto"/>
              <w:jc w:val="center"/>
              <w:rPr>
                <w:rFonts w:cs="Calibri"/>
                <w:color w:val="000000"/>
                <w:sz w:val="20"/>
                <w:lang w:eastAsia="es-CR"/>
              </w:rPr>
            </w:pPr>
            <w:r w:rsidRPr="004E74A6">
              <w:rPr>
                <w:rFonts w:cs="Calibri"/>
                <w:color w:val="000000"/>
                <w:sz w:val="20"/>
              </w:rPr>
              <w:t>62%</w:t>
            </w:r>
          </w:p>
        </w:tc>
      </w:tr>
      <w:tr w:rsidR="00386BC3" w:rsidRPr="004E74A6" w14:paraId="7E6B85ED" w14:textId="77777777" w:rsidTr="00386BC3">
        <w:trPr>
          <w:trHeight w:val="300"/>
          <w:jc w:val="center"/>
        </w:trPr>
        <w:tc>
          <w:tcPr>
            <w:tcW w:w="2800" w:type="dxa"/>
            <w:tcBorders>
              <w:top w:val="nil"/>
              <w:left w:val="nil"/>
              <w:bottom w:val="nil"/>
              <w:right w:val="single" w:sz="8" w:space="0" w:color="auto"/>
            </w:tcBorders>
            <w:shd w:val="clear" w:color="auto" w:fill="auto"/>
            <w:noWrap/>
            <w:vAlign w:val="center"/>
            <w:hideMark/>
          </w:tcPr>
          <w:p w14:paraId="60064299" w14:textId="77777777" w:rsidR="00386BC3" w:rsidRPr="004E74A6" w:rsidRDefault="00386BC3" w:rsidP="00832773">
            <w:pPr>
              <w:spacing w:line="276" w:lineRule="auto"/>
              <w:jc w:val="left"/>
              <w:rPr>
                <w:rFonts w:cs="Calibri"/>
                <w:color w:val="000000"/>
                <w:sz w:val="20"/>
                <w:lang w:eastAsia="es-CR"/>
              </w:rPr>
            </w:pPr>
            <w:r w:rsidRPr="004E74A6">
              <w:rPr>
                <w:rFonts w:cs="Calibri"/>
                <w:color w:val="000000"/>
                <w:sz w:val="20"/>
                <w:lang w:eastAsia="es-CR"/>
              </w:rPr>
              <w:t>De ¢35.000.001 a ¢40.000.000</w:t>
            </w:r>
          </w:p>
        </w:tc>
        <w:tc>
          <w:tcPr>
            <w:tcW w:w="850" w:type="dxa"/>
            <w:tcBorders>
              <w:top w:val="nil"/>
              <w:left w:val="nil"/>
              <w:bottom w:val="nil"/>
              <w:right w:val="single" w:sz="8" w:space="0" w:color="auto"/>
            </w:tcBorders>
            <w:shd w:val="clear" w:color="auto" w:fill="auto"/>
            <w:noWrap/>
            <w:vAlign w:val="center"/>
            <w:hideMark/>
          </w:tcPr>
          <w:p w14:paraId="6B35C8D6" w14:textId="77777777" w:rsidR="00386BC3" w:rsidRPr="004E74A6" w:rsidRDefault="00386BC3" w:rsidP="00832773">
            <w:pPr>
              <w:spacing w:line="276" w:lineRule="auto"/>
              <w:jc w:val="center"/>
              <w:rPr>
                <w:rFonts w:cs="Calibri"/>
                <w:color w:val="000000"/>
                <w:sz w:val="20"/>
                <w:lang w:eastAsia="es-CR"/>
              </w:rPr>
            </w:pPr>
            <w:r w:rsidRPr="004E74A6">
              <w:rPr>
                <w:rFonts w:cs="Calibri"/>
                <w:color w:val="000000"/>
                <w:sz w:val="20"/>
                <w:lang w:eastAsia="es-CR"/>
              </w:rPr>
              <w:t>1</w:t>
            </w:r>
          </w:p>
        </w:tc>
        <w:tc>
          <w:tcPr>
            <w:tcW w:w="850" w:type="dxa"/>
            <w:tcBorders>
              <w:top w:val="nil"/>
              <w:left w:val="nil"/>
              <w:bottom w:val="nil"/>
              <w:right w:val="single" w:sz="8" w:space="0" w:color="auto"/>
            </w:tcBorders>
            <w:shd w:val="clear" w:color="auto" w:fill="auto"/>
            <w:noWrap/>
            <w:vAlign w:val="center"/>
            <w:hideMark/>
          </w:tcPr>
          <w:p w14:paraId="0966B11B" w14:textId="77777777" w:rsidR="00386BC3" w:rsidRPr="004E74A6" w:rsidRDefault="00386BC3" w:rsidP="00832773">
            <w:pPr>
              <w:spacing w:line="276" w:lineRule="auto"/>
              <w:jc w:val="center"/>
              <w:rPr>
                <w:rFonts w:cs="Calibri"/>
                <w:color w:val="000000"/>
                <w:sz w:val="20"/>
                <w:lang w:eastAsia="es-CR"/>
              </w:rPr>
            </w:pPr>
            <w:r w:rsidRPr="004E74A6">
              <w:rPr>
                <w:rFonts w:cs="Calibri"/>
                <w:color w:val="000000"/>
                <w:sz w:val="20"/>
                <w:lang w:eastAsia="es-CR"/>
              </w:rPr>
              <w:t>1</w:t>
            </w:r>
          </w:p>
        </w:tc>
        <w:tc>
          <w:tcPr>
            <w:tcW w:w="850" w:type="dxa"/>
            <w:tcBorders>
              <w:top w:val="nil"/>
              <w:left w:val="nil"/>
              <w:bottom w:val="nil"/>
              <w:right w:val="single" w:sz="8" w:space="0" w:color="auto"/>
            </w:tcBorders>
            <w:shd w:val="clear" w:color="auto" w:fill="auto"/>
            <w:noWrap/>
            <w:vAlign w:val="center"/>
            <w:hideMark/>
          </w:tcPr>
          <w:p w14:paraId="43A519EC" w14:textId="77777777" w:rsidR="00386BC3" w:rsidRPr="004E74A6" w:rsidRDefault="00386BC3" w:rsidP="00832773">
            <w:pPr>
              <w:spacing w:line="276" w:lineRule="auto"/>
              <w:jc w:val="center"/>
              <w:rPr>
                <w:rFonts w:cs="Calibri"/>
                <w:color w:val="000000"/>
                <w:sz w:val="20"/>
                <w:lang w:eastAsia="es-CR"/>
              </w:rPr>
            </w:pPr>
            <w:r w:rsidRPr="004E74A6">
              <w:rPr>
                <w:rFonts w:cs="Calibri"/>
                <w:color w:val="000000"/>
                <w:sz w:val="20"/>
                <w:lang w:eastAsia="es-CR"/>
              </w:rPr>
              <w:t>7</w:t>
            </w:r>
          </w:p>
        </w:tc>
        <w:tc>
          <w:tcPr>
            <w:tcW w:w="1134" w:type="dxa"/>
            <w:tcBorders>
              <w:top w:val="nil"/>
              <w:left w:val="nil"/>
              <w:bottom w:val="nil"/>
              <w:right w:val="single" w:sz="8" w:space="0" w:color="auto"/>
            </w:tcBorders>
            <w:shd w:val="clear" w:color="auto" w:fill="auto"/>
            <w:noWrap/>
            <w:vAlign w:val="center"/>
            <w:hideMark/>
          </w:tcPr>
          <w:p w14:paraId="2FE046A8" w14:textId="4ED871EE" w:rsidR="00386BC3" w:rsidRPr="004E74A6" w:rsidRDefault="00386BC3" w:rsidP="00832773">
            <w:pPr>
              <w:spacing w:line="276" w:lineRule="auto"/>
              <w:jc w:val="center"/>
              <w:rPr>
                <w:rFonts w:cs="Calibri"/>
                <w:color w:val="000000"/>
                <w:sz w:val="20"/>
                <w:lang w:eastAsia="es-CR"/>
              </w:rPr>
            </w:pPr>
            <w:r w:rsidRPr="004E74A6">
              <w:rPr>
                <w:rFonts w:cs="Calibri"/>
                <w:color w:val="000000"/>
                <w:sz w:val="20"/>
              </w:rPr>
              <w:t>3</w:t>
            </w:r>
          </w:p>
        </w:tc>
        <w:tc>
          <w:tcPr>
            <w:tcW w:w="2381" w:type="dxa"/>
            <w:tcBorders>
              <w:top w:val="nil"/>
              <w:left w:val="nil"/>
              <w:bottom w:val="nil"/>
              <w:right w:val="nil"/>
            </w:tcBorders>
            <w:shd w:val="clear" w:color="auto" w:fill="auto"/>
            <w:noWrap/>
            <w:vAlign w:val="center"/>
            <w:hideMark/>
          </w:tcPr>
          <w:p w14:paraId="4A035F4A" w14:textId="51F6B56A" w:rsidR="00386BC3" w:rsidRPr="004E74A6" w:rsidRDefault="00386BC3" w:rsidP="00832773">
            <w:pPr>
              <w:spacing w:line="276" w:lineRule="auto"/>
              <w:jc w:val="center"/>
              <w:rPr>
                <w:rFonts w:cs="Calibri"/>
                <w:color w:val="000000"/>
                <w:sz w:val="20"/>
                <w:lang w:eastAsia="es-CR"/>
              </w:rPr>
            </w:pPr>
            <w:r w:rsidRPr="004E74A6">
              <w:rPr>
                <w:rFonts w:cs="Calibri"/>
                <w:color w:val="000000"/>
                <w:sz w:val="20"/>
              </w:rPr>
              <w:t>64%</w:t>
            </w:r>
          </w:p>
        </w:tc>
      </w:tr>
      <w:tr w:rsidR="00386BC3" w:rsidRPr="004E74A6" w14:paraId="6DE1E10A" w14:textId="77777777" w:rsidTr="00386BC3">
        <w:trPr>
          <w:trHeight w:val="300"/>
          <w:jc w:val="center"/>
        </w:trPr>
        <w:tc>
          <w:tcPr>
            <w:tcW w:w="2800" w:type="dxa"/>
            <w:tcBorders>
              <w:top w:val="nil"/>
              <w:left w:val="nil"/>
              <w:bottom w:val="nil"/>
              <w:right w:val="single" w:sz="8" w:space="0" w:color="auto"/>
            </w:tcBorders>
            <w:shd w:val="clear" w:color="auto" w:fill="auto"/>
            <w:noWrap/>
            <w:vAlign w:val="center"/>
            <w:hideMark/>
          </w:tcPr>
          <w:p w14:paraId="7DFDD273" w14:textId="77777777" w:rsidR="00386BC3" w:rsidRPr="004E74A6" w:rsidRDefault="00386BC3" w:rsidP="00832773">
            <w:pPr>
              <w:spacing w:line="276" w:lineRule="auto"/>
              <w:jc w:val="left"/>
              <w:rPr>
                <w:rFonts w:cs="Calibri"/>
                <w:color w:val="000000"/>
                <w:sz w:val="20"/>
                <w:lang w:eastAsia="es-CR"/>
              </w:rPr>
            </w:pPr>
            <w:r w:rsidRPr="004E74A6">
              <w:rPr>
                <w:rFonts w:cs="Calibri"/>
                <w:color w:val="000000"/>
                <w:sz w:val="20"/>
                <w:lang w:eastAsia="es-CR"/>
              </w:rPr>
              <w:t>De ¢40.000.001 a ¢45.000.000</w:t>
            </w:r>
          </w:p>
        </w:tc>
        <w:tc>
          <w:tcPr>
            <w:tcW w:w="850" w:type="dxa"/>
            <w:tcBorders>
              <w:top w:val="nil"/>
              <w:left w:val="nil"/>
              <w:bottom w:val="nil"/>
              <w:right w:val="single" w:sz="8" w:space="0" w:color="auto"/>
            </w:tcBorders>
            <w:shd w:val="clear" w:color="auto" w:fill="auto"/>
            <w:noWrap/>
            <w:vAlign w:val="center"/>
            <w:hideMark/>
          </w:tcPr>
          <w:p w14:paraId="0D7F81A3" w14:textId="77777777" w:rsidR="00386BC3" w:rsidRPr="004E74A6" w:rsidRDefault="00386BC3" w:rsidP="00832773">
            <w:pPr>
              <w:spacing w:line="276" w:lineRule="auto"/>
              <w:jc w:val="center"/>
              <w:rPr>
                <w:rFonts w:cs="Calibri"/>
                <w:color w:val="000000"/>
                <w:sz w:val="20"/>
                <w:lang w:eastAsia="es-CR"/>
              </w:rPr>
            </w:pPr>
            <w:r w:rsidRPr="004E74A6">
              <w:rPr>
                <w:rFonts w:cs="Calibri"/>
                <w:color w:val="000000"/>
                <w:sz w:val="20"/>
                <w:lang w:eastAsia="es-CR"/>
              </w:rPr>
              <w:t>3</w:t>
            </w:r>
          </w:p>
        </w:tc>
        <w:tc>
          <w:tcPr>
            <w:tcW w:w="850" w:type="dxa"/>
            <w:tcBorders>
              <w:top w:val="nil"/>
              <w:left w:val="nil"/>
              <w:bottom w:val="nil"/>
              <w:right w:val="single" w:sz="8" w:space="0" w:color="auto"/>
            </w:tcBorders>
            <w:shd w:val="clear" w:color="auto" w:fill="auto"/>
            <w:noWrap/>
            <w:vAlign w:val="center"/>
            <w:hideMark/>
          </w:tcPr>
          <w:p w14:paraId="6F9D076E" w14:textId="77777777" w:rsidR="00386BC3" w:rsidRPr="004E74A6" w:rsidRDefault="00386BC3" w:rsidP="00832773">
            <w:pPr>
              <w:spacing w:line="276" w:lineRule="auto"/>
              <w:jc w:val="center"/>
              <w:rPr>
                <w:rFonts w:cs="Calibri"/>
                <w:color w:val="000000"/>
                <w:sz w:val="20"/>
                <w:lang w:eastAsia="es-CR"/>
              </w:rPr>
            </w:pPr>
            <w:r w:rsidRPr="004E74A6">
              <w:rPr>
                <w:rFonts w:cs="Calibri"/>
                <w:color w:val="000000"/>
                <w:sz w:val="20"/>
                <w:lang w:eastAsia="es-CR"/>
              </w:rPr>
              <w:t>4</w:t>
            </w:r>
          </w:p>
        </w:tc>
        <w:tc>
          <w:tcPr>
            <w:tcW w:w="850" w:type="dxa"/>
            <w:tcBorders>
              <w:top w:val="nil"/>
              <w:left w:val="nil"/>
              <w:bottom w:val="nil"/>
              <w:right w:val="single" w:sz="8" w:space="0" w:color="auto"/>
            </w:tcBorders>
            <w:shd w:val="clear" w:color="auto" w:fill="auto"/>
            <w:noWrap/>
            <w:vAlign w:val="center"/>
            <w:hideMark/>
          </w:tcPr>
          <w:p w14:paraId="7632F028" w14:textId="77777777" w:rsidR="00386BC3" w:rsidRPr="004E74A6" w:rsidRDefault="00386BC3" w:rsidP="00832773">
            <w:pPr>
              <w:spacing w:line="276" w:lineRule="auto"/>
              <w:jc w:val="center"/>
              <w:rPr>
                <w:rFonts w:cs="Calibri"/>
                <w:color w:val="000000"/>
                <w:sz w:val="20"/>
                <w:lang w:eastAsia="es-CR"/>
              </w:rPr>
            </w:pPr>
            <w:r w:rsidRPr="004E74A6">
              <w:rPr>
                <w:rFonts w:cs="Calibri"/>
                <w:color w:val="000000"/>
                <w:sz w:val="20"/>
                <w:lang w:eastAsia="es-CR"/>
              </w:rPr>
              <w:t>8</w:t>
            </w:r>
          </w:p>
        </w:tc>
        <w:tc>
          <w:tcPr>
            <w:tcW w:w="1134" w:type="dxa"/>
            <w:tcBorders>
              <w:top w:val="nil"/>
              <w:left w:val="nil"/>
              <w:bottom w:val="nil"/>
              <w:right w:val="single" w:sz="8" w:space="0" w:color="auto"/>
            </w:tcBorders>
            <w:shd w:val="clear" w:color="auto" w:fill="auto"/>
            <w:noWrap/>
            <w:vAlign w:val="center"/>
            <w:hideMark/>
          </w:tcPr>
          <w:p w14:paraId="1B342FA3" w14:textId="32B0BD02" w:rsidR="00386BC3" w:rsidRPr="004E74A6" w:rsidRDefault="00386BC3" w:rsidP="00832773">
            <w:pPr>
              <w:spacing w:line="276" w:lineRule="auto"/>
              <w:jc w:val="center"/>
              <w:rPr>
                <w:rFonts w:cs="Calibri"/>
                <w:color w:val="000000"/>
                <w:sz w:val="20"/>
                <w:lang w:eastAsia="es-CR"/>
              </w:rPr>
            </w:pPr>
            <w:r w:rsidRPr="004E74A6">
              <w:rPr>
                <w:rFonts w:cs="Calibri"/>
                <w:color w:val="000000"/>
                <w:sz w:val="20"/>
              </w:rPr>
              <w:t>5</w:t>
            </w:r>
          </w:p>
        </w:tc>
        <w:tc>
          <w:tcPr>
            <w:tcW w:w="2381" w:type="dxa"/>
            <w:tcBorders>
              <w:top w:val="nil"/>
              <w:left w:val="nil"/>
              <w:bottom w:val="nil"/>
              <w:right w:val="nil"/>
            </w:tcBorders>
            <w:shd w:val="clear" w:color="auto" w:fill="auto"/>
            <w:noWrap/>
            <w:vAlign w:val="center"/>
            <w:hideMark/>
          </w:tcPr>
          <w:p w14:paraId="3C14327E" w14:textId="4120D881" w:rsidR="00386BC3" w:rsidRPr="004E74A6" w:rsidRDefault="00386BC3" w:rsidP="00832773">
            <w:pPr>
              <w:spacing w:line="276" w:lineRule="auto"/>
              <w:jc w:val="center"/>
              <w:rPr>
                <w:rFonts w:cs="Calibri"/>
                <w:color w:val="000000"/>
                <w:sz w:val="20"/>
                <w:lang w:eastAsia="es-CR"/>
              </w:rPr>
            </w:pPr>
            <w:r w:rsidRPr="004E74A6">
              <w:rPr>
                <w:rFonts w:cs="Calibri"/>
                <w:color w:val="000000"/>
                <w:sz w:val="20"/>
              </w:rPr>
              <w:t>66%</w:t>
            </w:r>
          </w:p>
        </w:tc>
      </w:tr>
      <w:tr w:rsidR="00386BC3" w:rsidRPr="004E74A6" w14:paraId="6C7D84E1" w14:textId="77777777" w:rsidTr="00386BC3">
        <w:trPr>
          <w:trHeight w:val="300"/>
          <w:jc w:val="center"/>
        </w:trPr>
        <w:tc>
          <w:tcPr>
            <w:tcW w:w="2800" w:type="dxa"/>
            <w:tcBorders>
              <w:top w:val="nil"/>
              <w:left w:val="nil"/>
              <w:bottom w:val="nil"/>
              <w:right w:val="single" w:sz="8" w:space="0" w:color="auto"/>
            </w:tcBorders>
            <w:shd w:val="clear" w:color="auto" w:fill="auto"/>
            <w:noWrap/>
            <w:vAlign w:val="center"/>
            <w:hideMark/>
          </w:tcPr>
          <w:p w14:paraId="0D833199" w14:textId="77777777" w:rsidR="00386BC3" w:rsidRPr="004E74A6" w:rsidRDefault="00386BC3" w:rsidP="00832773">
            <w:pPr>
              <w:spacing w:line="276" w:lineRule="auto"/>
              <w:jc w:val="left"/>
              <w:rPr>
                <w:rFonts w:cs="Calibri"/>
                <w:color w:val="000000"/>
                <w:sz w:val="20"/>
                <w:lang w:eastAsia="es-CR"/>
              </w:rPr>
            </w:pPr>
            <w:r w:rsidRPr="004E74A6">
              <w:rPr>
                <w:rFonts w:cs="Calibri"/>
                <w:color w:val="000000"/>
                <w:sz w:val="20"/>
                <w:lang w:eastAsia="es-CR"/>
              </w:rPr>
              <w:t>De ¢45.000.001 a ¢50.000.000</w:t>
            </w:r>
          </w:p>
        </w:tc>
        <w:tc>
          <w:tcPr>
            <w:tcW w:w="850" w:type="dxa"/>
            <w:tcBorders>
              <w:top w:val="nil"/>
              <w:left w:val="nil"/>
              <w:bottom w:val="nil"/>
              <w:right w:val="single" w:sz="8" w:space="0" w:color="auto"/>
            </w:tcBorders>
            <w:shd w:val="clear" w:color="auto" w:fill="auto"/>
            <w:noWrap/>
            <w:vAlign w:val="center"/>
            <w:hideMark/>
          </w:tcPr>
          <w:p w14:paraId="7D1282E2" w14:textId="77777777" w:rsidR="00386BC3" w:rsidRPr="004E74A6" w:rsidRDefault="00386BC3" w:rsidP="00832773">
            <w:pPr>
              <w:spacing w:line="276" w:lineRule="auto"/>
              <w:jc w:val="center"/>
              <w:rPr>
                <w:rFonts w:cs="Calibri"/>
                <w:color w:val="000000"/>
                <w:sz w:val="20"/>
                <w:lang w:eastAsia="es-CR"/>
              </w:rPr>
            </w:pPr>
            <w:r w:rsidRPr="004E74A6">
              <w:rPr>
                <w:rFonts w:cs="Calibri"/>
                <w:color w:val="000000"/>
                <w:sz w:val="20"/>
                <w:lang w:eastAsia="es-CR"/>
              </w:rPr>
              <w:t>4</w:t>
            </w:r>
          </w:p>
        </w:tc>
        <w:tc>
          <w:tcPr>
            <w:tcW w:w="850" w:type="dxa"/>
            <w:tcBorders>
              <w:top w:val="nil"/>
              <w:left w:val="nil"/>
              <w:bottom w:val="nil"/>
              <w:right w:val="single" w:sz="8" w:space="0" w:color="auto"/>
            </w:tcBorders>
            <w:shd w:val="clear" w:color="auto" w:fill="auto"/>
            <w:noWrap/>
            <w:vAlign w:val="center"/>
            <w:hideMark/>
          </w:tcPr>
          <w:p w14:paraId="4A34232B" w14:textId="77777777" w:rsidR="00386BC3" w:rsidRPr="004E74A6" w:rsidRDefault="00386BC3" w:rsidP="00832773">
            <w:pPr>
              <w:spacing w:line="276" w:lineRule="auto"/>
              <w:jc w:val="center"/>
              <w:rPr>
                <w:rFonts w:cs="Calibri"/>
                <w:color w:val="000000"/>
                <w:sz w:val="20"/>
                <w:lang w:eastAsia="es-CR"/>
              </w:rPr>
            </w:pPr>
            <w:r w:rsidRPr="004E74A6">
              <w:rPr>
                <w:rFonts w:cs="Calibri"/>
                <w:color w:val="000000"/>
                <w:sz w:val="20"/>
                <w:lang w:eastAsia="es-CR"/>
              </w:rPr>
              <w:t>2</w:t>
            </w:r>
          </w:p>
        </w:tc>
        <w:tc>
          <w:tcPr>
            <w:tcW w:w="850" w:type="dxa"/>
            <w:tcBorders>
              <w:top w:val="nil"/>
              <w:left w:val="nil"/>
              <w:bottom w:val="nil"/>
              <w:right w:val="single" w:sz="8" w:space="0" w:color="auto"/>
            </w:tcBorders>
            <w:shd w:val="clear" w:color="auto" w:fill="auto"/>
            <w:noWrap/>
            <w:vAlign w:val="center"/>
            <w:hideMark/>
          </w:tcPr>
          <w:p w14:paraId="4D360741" w14:textId="77777777" w:rsidR="00386BC3" w:rsidRPr="004E74A6" w:rsidRDefault="00386BC3" w:rsidP="00832773">
            <w:pPr>
              <w:spacing w:line="276" w:lineRule="auto"/>
              <w:jc w:val="center"/>
              <w:rPr>
                <w:rFonts w:cs="Calibri"/>
                <w:color w:val="000000"/>
                <w:sz w:val="20"/>
                <w:lang w:eastAsia="es-CR"/>
              </w:rPr>
            </w:pPr>
            <w:r w:rsidRPr="004E74A6">
              <w:rPr>
                <w:rFonts w:cs="Calibri"/>
                <w:color w:val="000000"/>
                <w:sz w:val="20"/>
                <w:lang w:eastAsia="es-CR"/>
              </w:rPr>
              <w:t>6</w:t>
            </w:r>
          </w:p>
        </w:tc>
        <w:tc>
          <w:tcPr>
            <w:tcW w:w="1134" w:type="dxa"/>
            <w:tcBorders>
              <w:top w:val="nil"/>
              <w:left w:val="nil"/>
              <w:bottom w:val="nil"/>
              <w:right w:val="single" w:sz="8" w:space="0" w:color="auto"/>
            </w:tcBorders>
            <w:shd w:val="clear" w:color="auto" w:fill="auto"/>
            <w:noWrap/>
            <w:vAlign w:val="center"/>
            <w:hideMark/>
          </w:tcPr>
          <w:p w14:paraId="2CC13243" w14:textId="29F26C5B" w:rsidR="00386BC3" w:rsidRPr="004E74A6" w:rsidRDefault="00386BC3" w:rsidP="00832773">
            <w:pPr>
              <w:spacing w:line="276" w:lineRule="auto"/>
              <w:jc w:val="center"/>
              <w:rPr>
                <w:rFonts w:cs="Calibri"/>
                <w:color w:val="000000"/>
                <w:sz w:val="20"/>
                <w:lang w:eastAsia="es-CR"/>
              </w:rPr>
            </w:pPr>
            <w:r w:rsidRPr="004E74A6">
              <w:rPr>
                <w:rFonts w:cs="Calibri"/>
                <w:color w:val="000000"/>
                <w:sz w:val="20"/>
              </w:rPr>
              <w:t>4</w:t>
            </w:r>
          </w:p>
        </w:tc>
        <w:tc>
          <w:tcPr>
            <w:tcW w:w="2381" w:type="dxa"/>
            <w:tcBorders>
              <w:top w:val="nil"/>
              <w:left w:val="nil"/>
              <w:bottom w:val="nil"/>
              <w:right w:val="nil"/>
            </w:tcBorders>
            <w:shd w:val="clear" w:color="auto" w:fill="auto"/>
            <w:noWrap/>
            <w:vAlign w:val="center"/>
            <w:hideMark/>
          </w:tcPr>
          <w:p w14:paraId="0AB21287" w14:textId="4830160B" w:rsidR="00386BC3" w:rsidRPr="004E74A6" w:rsidRDefault="00386BC3" w:rsidP="00832773">
            <w:pPr>
              <w:spacing w:line="276" w:lineRule="auto"/>
              <w:jc w:val="center"/>
              <w:rPr>
                <w:rFonts w:cs="Calibri"/>
                <w:color w:val="000000"/>
                <w:sz w:val="20"/>
                <w:lang w:eastAsia="es-CR"/>
              </w:rPr>
            </w:pPr>
            <w:r w:rsidRPr="004E74A6">
              <w:rPr>
                <w:rFonts w:cs="Calibri"/>
                <w:color w:val="000000"/>
                <w:sz w:val="20"/>
              </w:rPr>
              <w:t>68%</w:t>
            </w:r>
          </w:p>
        </w:tc>
      </w:tr>
      <w:tr w:rsidR="00386BC3" w:rsidRPr="004E74A6" w14:paraId="316CD289" w14:textId="77777777" w:rsidTr="00386BC3">
        <w:trPr>
          <w:trHeight w:val="300"/>
          <w:jc w:val="center"/>
        </w:trPr>
        <w:tc>
          <w:tcPr>
            <w:tcW w:w="2800" w:type="dxa"/>
            <w:tcBorders>
              <w:top w:val="nil"/>
              <w:left w:val="nil"/>
              <w:bottom w:val="nil"/>
              <w:right w:val="single" w:sz="8" w:space="0" w:color="auto"/>
            </w:tcBorders>
            <w:shd w:val="clear" w:color="auto" w:fill="auto"/>
            <w:noWrap/>
            <w:vAlign w:val="center"/>
            <w:hideMark/>
          </w:tcPr>
          <w:p w14:paraId="265FA2A7" w14:textId="77777777" w:rsidR="00386BC3" w:rsidRPr="004E74A6" w:rsidRDefault="00386BC3" w:rsidP="00832773">
            <w:pPr>
              <w:spacing w:line="276" w:lineRule="auto"/>
              <w:jc w:val="left"/>
              <w:rPr>
                <w:rFonts w:cs="Calibri"/>
                <w:color w:val="000000"/>
                <w:sz w:val="20"/>
                <w:lang w:eastAsia="es-CR"/>
              </w:rPr>
            </w:pPr>
            <w:r w:rsidRPr="004E74A6">
              <w:rPr>
                <w:rFonts w:cs="Calibri"/>
                <w:color w:val="000000"/>
                <w:sz w:val="20"/>
                <w:lang w:eastAsia="es-CR"/>
              </w:rPr>
              <w:lastRenderedPageBreak/>
              <w:t>De ¢50.000.001 a ¢55.000.000</w:t>
            </w:r>
          </w:p>
        </w:tc>
        <w:tc>
          <w:tcPr>
            <w:tcW w:w="850" w:type="dxa"/>
            <w:tcBorders>
              <w:top w:val="nil"/>
              <w:left w:val="nil"/>
              <w:bottom w:val="nil"/>
              <w:right w:val="single" w:sz="8" w:space="0" w:color="auto"/>
            </w:tcBorders>
            <w:shd w:val="clear" w:color="auto" w:fill="auto"/>
            <w:noWrap/>
            <w:vAlign w:val="center"/>
            <w:hideMark/>
          </w:tcPr>
          <w:p w14:paraId="3DEF9E56" w14:textId="77777777" w:rsidR="00386BC3" w:rsidRPr="004E74A6" w:rsidRDefault="00386BC3" w:rsidP="00832773">
            <w:pPr>
              <w:spacing w:line="276" w:lineRule="auto"/>
              <w:jc w:val="center"/>
              <w:rPr>
                <w:rFonts w:cs="Calibri"/>
                <w:color w:val="000000"/>
                <w:sz w:val="20"/>
                <w:lang w:eastAsia="es-CR"/>
              </w:rPr>
            </w:pPr>
            <w:r w:rsidRPr="004E74A6">
              <w:rPr>
                <w:rFonts w:cs="Calibri"/>
                <w:color w:val="000000"/>
                <w:sz w:val="20"/>
                <w:lang w:eastAsia="es-CR"/>
              </w:rPr>
              <w:t>6</w:t>
            </w:r>
          </w:p>
        </w:tc>
        <w:tc>
          <w:tcPr>
            <w:tcW w:w="850" w:type="dxa"/>
            <w:tcBorders>
              <w:top w:val="nil"/>
              <w:left w:val="nil"/>
              <w:bottom w:val="nil"/>
              <w:right w:val="single" w:sz="8" w:space="0" w:color="auto"/>
            </w:tcBorders>
            <w:shd w:val="clear" w:color="auto" w:fill="auto"/>
            <w:noWrap/>
            <w:vAlign w:val="center"/>
            <w:hideMark/>
          </w:tcPr>
          <w:p w14:paraId="2C9A0F87" w14:textId="77777777" w:rsidR="00386BC3" w:rsidRPr="004E74A6" w:rsidRDefault="00386BC3" w:rsidP="00832773">
            <w:pPr>
              <w:spacing w:line="276" w:lineRule="auto"/>
              <w:jc w:val="center"/>
              <w:rPr>
                <w:rFonts w:cs="Calibri"/>
                <w:color w:val="000000"/>
                <w:sz w:val="20"/>
                <w:lang w:eastAsia="es-CR"/>
              </w:rPr>
            </w:pPr>
            <w:r w:rsidRPr="004E74A6">
              <w:rPr>
                <w:rFonts w:cs="Calibri"/>
                <w:color w:val="000000"/>
                <w:sz w:val="20"/>
                <w:lang w:eastAsia="es-CR"/>
              </w:rPr>
              <w:t>4</w:t>
            </w:r>
          </w:p>
        </w:tc>
        <w:tc>
          <w:tcPr>
            <w:tcW w:w="850" w:type="dxa"/>
            <w:tcBorders>
              <w:top w:val="nil"/>
              <w:left w:val="nil"/>
              <w:bottom w:val="nil"/>
              <w:right w:val="single" w:sz="8" w:space="0" w:color="auto"/>
            </w:tcBorders>
            <w:shd w:val="clear" w:color="auto" w:fill="auto"/>
            <w:noWrap/>
            <w:vAlign w:val="center"/>
            <w:hideMark/>
          </w:tcPr>
          <w:p w14:paraId="2D52700E" w14:textId="77777777" w:rsidR="00386BC3" w:rsidRPr="004E74A6" w:rsidRDefault="00386BC3" w:rsidP="00832773">
            <w:pPr>
              <w:spacing w:line="276" w:lineRule="auto"/>
              <w:jc w:val="center"/>
              <w:rPr>
                <w:rFonts w:cs="Calibri"/>
                <w:color w:val="000000"/>
                <w:sz w:val="20"/>
                <w:lang w:eastAsia="es-CR"/>
              </w:rPr>
            </w:pPr>
            <w:r w:rsidRPr="004E74A6">
              <w:rPr>
                <w:rFonts w:cs="Calibri"/>
                <w:color w:val="000000"/>
                <w:sz w:val="20"/>
                <w:lang w:eastAsia="es-CR"/>
              </w:rPr>
              <w:t>5</w:t>
            </w:r>
          </w:p>
        </w:tc>
        <w:tc>
          <w:tcPr>
            <w:tcW w:w="1134" w:type="dxa"/>
            <w:tcBorders>
              <w:top w:val="nil"/>
              <w:left w:val="nil"/>
              <w:bottom w:val="nil"/>
              <w:right w:val="single" w:sz="8" w:space="0" w:color="auto"/>
            </w:tcBorders>
            <w:shd w:val="clear" w:color="auto" w:fill="auto"/>
            <w:noWrap/>
            <w:vAlign w:val="center"/>
            <w:hideMark/>
          </w:tcPr>
          <w:p w14:paraId="4EA1A3E6" w14:textId="5BAB8ADE" w:rsidR="00386BC3" w:rsidRPr="004E74A6" w:rsidRDefault="00386BC3" w:rsidP="00832773">
            <w:pPr>
              <w:spacing w:line="276" w:lineRule="auto"/>
              <w:jc w:val="center"/>
              <w:rPr>
                <w:rFonts w:cs="Calibri"/>
                <w:color w:val="000000"/>
                <w:sz w:val="20"/>
                <w:lang w:eastAsia="es-CR"/>
              </w:rPr>
            </w:pPr>
            <w:r w:rsidRPr="004E74A6">
              <w:rPr>
                <w:rFonts w:cs="Calibri"/>
                <w:color w:val="000000"/>
                <w:sz w:val="20"/>
              </w:rPr>
              <w:t>5</w:t>
            </w:r>
          </w:p>
        </w:tc>
        <w:tc>
          <w:tcPr>
            <w:tcW w:w="2381" w:type="dxa"/>
            <w:tcBorders>
              <w:top w:val="nil"/>
              <w:left w:val="nil"/>
              <w:bottom w:val="nil"/>
              <w:right w:val="nil"/>
            </w:tcBorders>
            <w:shd w:val="clear" w:color="auto" w:fill="auto"/>
            <w:noWrap/>
            <w:vAlign w:val="center"/>
            <w:hideMark/>
          </w:tcPr>
          <w:p w14:paraId="2A198E17" w14:textId="2CD77D19" w:rsidR="00386BC3" w:rsidRPr="004E74A6" w:rsidRDefault="00386BC3" w:rsidP="00832773">
            <w:pPr>
              <w:spacing w:line="276" w:lineRule="auto"/>
              <w:jc w:val="center"/>
              <w:rPr>
                <w:rFonts w:cs="Calibri"/>
                <w:color w:val="000000"/>
                <w:sz w:val="20"/>
                <w:lang w:eastAsia="es-CR"/>
              </w:rPr>
            </w:pPr>
            <w:r w:rsidRPr="004E74A6">
              <w:rPr>
                <w:rFonts w:cs="Calibri"/>
                <w:color w:val="000000"/>
                <w:sz w:val="20"/>
              </w:rPr>
              <w:t>70%</w:t>
            </w:r>
          </w:p>
        </w:tc>
      </w:tr>
      <w:tr w:rsidR="00386BC3" w:rsidRPr="004E74A6" w14:paraId="316FB03B" w14:textId="77777777" w:rsidTr="00386BC3">
        <w:trPr>
          <w:trHeight w:val="300"/>
          <w:jc w:val="center"/>
        </w:trPr>
        <w:tc>
          <w:tcPr>
            <w:tcW w:w="2800" w:type="dxa"/>
            <w:tcBorders>
              <w:top w:val="nil"/>
              <w:left w:val="nil"/>
              <w:bottom w:val="nil"/>
              <w:right w:val="single" w:sz="8" w:space="0" w:color="auto"/>
            </w:tcBorders>
            <w:shd w:val="clear" w:color="auto" w:fill="auto"/>
            <w:noWrap/>
            <w:vAlign w:val="center"/>
            <w:hideMark/>
          </w:tcPr>
          <w:p w14:paraId="36D5A4DE" w14:textId="77777777" w:rsidR="00386BC3" w:rsidRPr="004E74A6" w:rsidRDefault="00386BC3" w:rsidP="00832773">
            <w:pPr>
              <w:spacing w:line="276" w:lineRule="auto"/>
              <w:jc w:val="left"/>
              <w:rPr>
                <w:rFonts w:cs="Calibri"/>
                <w:color w:val="000000"/>
                <w:sz w:val="20"/>
                <w:lang w:eastAsia="es-CR"/>
              </w:rPr>
            </w:pPr>
            <w:r w:rsidRPr="004E74A6">
              <w:rPr>
                <w:rFonts w:cs="Calibri"/>
                <w:color w:val="000000"/>
                <w:sz w:val="20"/>
                <w:lang w:eastAsia="es-CR"/>
              </w:rPr>
              <w:t>De ¢55.000.001 a ¢60.000.000</w:t>
            </w:r>
          </w:p>
        </w:tc>
        <w:tc>
          <w:tcPr>
            <w:tcW w:w="850" w:type="dxa"/>
            <w:tcBorders>
              <w:top w:val="nil"/>
              <w:left w:val="nil"/>
              <w:bottom w:val="nil"/>
              <w:right w:val="single" w:sz="8" w:space="0" w:color="auto"/>
            </w:tcBorders>
            <w:shd w:val="clear" w:color="auto" w:fill="auto"/>
            <w:noWrap/>
            <w:vAlign w:val="center"/>
            <w:hideMark/>
          </w:tcPr>
          <w:p w14:paraId="3D229CFC" w14:textId="77777777" w:rsidR="00386BC3" w:rsidRPr="004E74A6" w:rsidRDefault="00386BC3" w:rsidP="00832773">
            <w:pPr>
              <w:spacing w:line="276" w:lineRule="auto"/>
              <w:jc w:val="center"/>
              <w:rPr>
                <w:rFonts w:cs="Calibri"/>
                <w:color w:val="000000"/>
                <w:sz w:val="20"/>
                <w:lang w:eastAsia="es-CR"/>
              </w:rPr>
            </w:pPr>
            <w:r w:rsidRPr="004E74A6">
              <w:rPr>
                <w:rFonts w:cs="Calibri"/>
                <w:color w:val="000000"/>
                <w:sz w:val="20"/>
                <w:lang w:eastAsia="es-CR"/>
              </w:rPr>
              <w:t>4</w:t>
            </w:r>
          </w:p>
        </w:tc>
        <w:tc>
          <w:tcPr>
            <w:tcW w:w="850" w:type="dxa"/>
            <w:tcBorders>
              <w:top w:val="nil"/>
              <w:left w:val="nil"/>
              <w:bottom w:val="nil"/>
              <w:right w:val="single" w:sz="8" w:space="0" w:color="auto"/>
            </w:tcBorders>
            <w:shd w:val="clear" w:color="auto" w:fill="auto"/>
            <w:noWrap/>
            <w:vAlign w:val="center"/>
            <w:hideMark/>
          </w:tcPr>
          <w:p w14:paraId="73ED3C32" w14:textId="77777777" w:rsidR="00386BC3" w:rsidRPr="004E74A6" w:rsidRDefault="00386BC3" w:rsidP="00832773">
            <w:pPr>
              <w:spacing w:line="276" w:lineRule="auto"/>
              <w:jc w:val="center"/>
              <w:rPr>
                <w:rFonts w:cs="Calibri"/>
                <w:color w:val="000000"/>
                <w:sz w:val="20"/>
                <w:lang w:eastAsia="es-CR"/>
              </w:rPr>
            </w:pPr>
            <w:r w:rsidRPr="004E74A6">
              <w:rPr>
                <w:rFonts w:cs="Calibri"/>
                <w:color w:val="000000"/>
                <w:sz w:val="20"/>
                <w:lang w:eastAsia="es-CR"/>
              </w:rPr>
              <w:t>6</w:t>
            </w:r>
          </w:p>
        </w:tc>
        <w:tc>
          <w:tcPr>
            <w:tcW w:w="850" w:type="dxa"/>
            <w:tcBorders>
              <w:top w:val="nil"/>
              <w:left w:val="nil"/>
              <w:bottom w:val="nil"/>
              <w:right w:val="single" w:sz="8" w:space="0" w:color="auto"/>
            </w:tcBorders>
            <w:shd w:val="clear" w:color="auto" w:fill="auto"/>
            <w:noWrap/>
            <w:vAlign w:val="center"/>
            <w:hideMark/>
          </w:tcPr>
          <w:p w14:paraId="6F2B4365" w14:textId="77777777" w:rsidR="00386BC3" w:rsidRPr="004E74A6" w:rsidRDefault="00386BC3" w:rsidP="00832773">
            <w:pPr>
              <w:spacing w:line="276" w:lineRule="auto"/>
              <w:jc w:val="center"/>
              <w:rPr>
                <w:rFonts w:cs="Calibri"/>
                <w:color w:val="000000"/>
                <w:sz w:val="20"/>
                <w:lang w:eastAsia="es-CR"/>
              </w:rPr>
            </w:pPr>
            <w:r w:rsidRPr="004E74A6">
              <w:rPr>
                <w:rFonts w:cs="Calibri"/>
                <w:color w:val="000000"/>
                <w:sz w:val="20"/>
                <w:lang w:eastAsia="es-CR"/>
              </w:rPr>
              <w:t>7</w:t>
            </w:r>
          </w:p>
        </w:tc>
        <w:tc>
          <w:tcPr>
            <w:tcW w:w="1134" w:type="dxa"/>
            <w:tcBorders>
              <w:top w:val="nil"/>
              <w:left w:val="nil"/>
              <w:bottom w:val="nil"/>
              <w:right w:val="single" w:sz="8" w:space="0" w:color="auto"/>
            </w:tcBorders>
            <w:shd w:val="clear" w:color="auto" w:fill="auto"/>
            <w:noWrap/>
            <w:vAlign w:val="center"/>
            <w:hideMark/>
          </w:tcPr>
          <w:p w14:paraId="69C575FF" w14:textId="6B38A6CD" w:rsidR="00386BC3" w:rsidRPr="004E74A6" w:rsidRDefault="00386BC3" w:rsidP="00832773">
            <w:pPr>
              <w:spacing w:line="276" w:lineRule="auto"/>
              <w:jc w:val="center"/>
              <w:rPr>
                <w:rFonts w:cs="Calibri"/>
                <w:color w:val="000000"/>
                <w:sz w:val="20"/>
                <w:lang w:eastAsia="es-CR"/>
              </w:rPr>
            </w:pPr>
            <w:r w:rsidRPr="004E74A6">
              <w:rPr>
                <w:rFonts w:cs="Calibri"/>
                <w:color w:val="000000"/>
                <w:sz w:val="20"/>
              </w:rPr>
              <w:t>6</w:t>
            </w:r>
          </w:p>
        </w:tc>
        <w:tc>
          <w:tcPr>
            <w:tcW w:w="2381" w:type="dxa"/>
            <w:tcBorders>
              <w:top w:val="nil"/>
              <w:left w:val="nil"/>
              <w:bottom w:val="nil"/>
              <w:right w:val="nil"/>
            </w:tcBorders>
            <w:shd w:val="clear" w:color="auto" w:fill="auto"/>
            <w:noWrap/>
            <w:vAlign w:val="center"/>
            <w:hideMark/>
          </w:tcPr>
          <w:p w14:paraId="574C9EA9" w14:textId="7561567E" w:rsidR="00386BC3" w:rsidRPr="004E74A6" w:rsidRDefault="00386BC3" w:rsidP="00832773">
            <w:pPr>
              <w:spacing w:line="276" w:lineRule="auto"/>
              <w:jc w:val="center"/>
              <w:rPr>
                <w:rFonts w:cs="Calibri"/>
                <w:color w:val="000000"/>
                <w:sz w:val="20"/>
                <w:lang w:eastAsia="es-CR"/>
              </w:rPr>
            </w:pPr>
            <w:r w:rsidRPr="004E74A6">
              <w:rPr>
                <w:rFonts w:cs="Calibri"/>
                <w:color w:val="000000"/>
                <w:sz w:val="20"/>
              </w:rPr>
              <w:t>73%</w:t>
            </w:r>
          </w:p>
        </w:tc>
      </w:tr>
      <w:tr w:rsidR="00386BC3" w:rsidRPr="004E74A6" w14:paraId="09392E93" w14:textId="77777777" w:rsidTr="00386BC3">
        <w:trPr>
          <w:trHeight w:val="300"/>
          <w:jc w:val="center"/>
        </w:trPr>
        <w:tc>
          <w:tcPr>
            <w:tcW w:w="2800" w:type="dxa"/>
            <w:tcBorders>
              <w:top w:val="nil"/>
              <w:left w:val="nil"/>
              <w:bottom w:val="nil"/>
              <w:right w:val="single" w:sz="8" w:space="0" w:color="auto"/>
            </w:tcBorders>
            <w:shd w:val="clear" w:color="auto" w:fill="auto"/>
            <w:noWrap/>
            <w:vAlign w:val="center"/>
            <w:hideMark/>
          </w:tcPr>
          <w:p w14:paraId="24C8A46C" w14:textId="77777777" w:rsidR="00386BC3" w:rsidRPr="004E74A6" w:rsidRDefault="00386BC3" w:rsidP="00832773">
            <w:pPr>
              <w:spacing w:line="276" w:lineRule="auto"/>
              <w:jc w:val="left"/>
              <w:rPr>
                <w:rFonts w:cs="Calibri"/>
                <w:color w:val="000000"/>
                <w:sz w:val="20"/>
                <w:lang w:eastAsia="es-CR"/>
              </w:rPr>
            </w:pPr>
            <w:r w:rsidRPr="004E74A6">
              <w:rPr>
                <w:rFonts w:cs="Calibri"/>
                <w:color w:val="000000"/>
                <w:sz w:val="20"/>
                <w:lang w:eastAsia="es-CR"/>
              </w:rPr>
              <w:t>De ¢60.000.001 a ¢65.000.000</w:t>
            </w:r>
          </w:p>
        </w:tc>
        <w:tc>
          <w:tcPr>
            <w:tcW w:w="850" w:type="dxa"/>
            <w:tcBorders>
              <w:top w:val="nil"/>
              <w:left w:val="nil"/>
              <w:bottom w:val="nil"/>
              <w:right w:val="single" w:sz="8" w:space="0" w:color="auto"/>
            </w:tcBorders>
            <w:shd w:val="clear" w:color="auto" w:fill="auto"/>
            <w:noWrap/>
            <w:vAlign w:val="center"/>
            <w:hideMark/>
          </w:tcPr>
          <w:p w14:paraId="405886AC" w14:textId="77777777" w:rsidR="00386BC3" w:rsidRPr="004E74A6" w:rsidRDefault="00386BC3" w:rsidP="00832773">
            <w:pPr>
              <w:spacing w:line="276" w:lineRule="auto"/>
              <w:jc w:val="center"/>
              <w:rPr>
                <w:rFonts w:cs="Calibri"/>
                <w:color w:val="000000"/>
                <w:sz w:val="20"/>
                <w:lang w:eastAsia="es-CR"/>
              </w:rPr>
            </w:pPr>
            <w:r w:rsidRPr="004E74A6">
              <w:rPr>
                <w:rFonts w:cs="Calibri"/>
                <w:color w:val="000000"/>
                <w:sz w:val="20"/>
                <w:lang w:eastAsia="es-CR"/>
              </w:rPr>
              <w:t>3</w:t>
            </w:r>
          </w:p>
        </w:tc>
        <w:tc>
          <w:tcPr>
            <w:tcW w:w="850" w:type="dxa"/>
            <w:tcBorders>
              <w:top w:val="nil"/>
              <w:left w:val="nil"/>
              <w:bottom w:val="nil"/>
              <w:right w:val="single" w:sz="8" w:space="0" w:color="auto"/>
            </w:tcBorders>
            <w:shd w:val="clear" w:color="auto" w:fill="auto"/>
            <w:noWrap/>
            <w:vAlign w:val="center"/>
            <w:hideMark/>
          </w:tcPr>
          <w:p w14:paraId="1F333A3F" w14:textId="77777777" w:rsidR="00386BC3" w:rsidRPr="004E74A6" w:rsidRDefault="00386BC3" w:rsidP="00832773">
            <w:pPr>
              <w:spacing w:line="276" w:lineRule="auto"/>
              <w:jc w:val="center"/>
              <w:rPr>
                <w:rFonts w:cs="Calibri"/>
                <w:color w:val="000000"/>
                <w:sz w:val="20"/>
                <w:lang w:eastAsia="es-CR"/>
              </w:rPr>
            </w:pPr>
            <w:r w:rsidRPr="004E74A6">
              <w:rPr>
                <w:rFonts w:cs="Calibri"/>
                <w:color w:val="000000"/>
                <w:sz w:val="20"/>
                <w:lang w:eastAsia="es-CR"/>
              </w:rPr>
              <w:t>7</w:t>
            </w:r>
          </w:p>
        </w:tc>
        <w:tc>
          <w:tcPr>
            <w:tcW w:w="850" w:type="dxa"/>
            <w:tcBorders>
              <w:top w:val="nil"/>
              <w:left w:val="nil"/>
              <w:bottom w:val="nil"/>
              <w:right w:val="single" w:sz="8" w:space="0" w:color="auto"/>
            </w:tcBorders>
            <w:shd w:val="clear" w:color="auto" w:fill="auto"/>
            <w:noWrap/>
            <w:vAlign w:val="center"/>
            <w:hideMark/>
          </w:tcPr>
          <w:p w14:paraId="0B4E3A7D" w14:textId="44834670" w:rsidR="00386BC3" w:rsidRPr="004E74A6" w:rsidRDefault="00386BC3" w:rsidP="00832773">
            <w:pPr>
              <w:spacing w:line="276" w:lineRule="auto"/>
              <w:jc w:val="center"/>
              <w:rPr>
                <w:rFonts w:cs="Calibri"/>
                <w:color w:val="000000"/>
                <w:sz w:val="20"/>
                <w:lang w:eastAsia="es-CR"/>
              </w:rPr>
            </w:pPr>
            <w:r w:rsidRPr="004E74A6">
              <w:rPr>
                <w:rFonts w:cs="Calibri"/>
                <w:color w:val="000000"/>
                <w:sz w:val="20"/>
                <w:lang w:eastAsia="es-CR"/>
              </w:rPr>
              <w:t>0 </w:t>
            </w:r>
          </w:p>
        </w:tc>
        <w:tc>
          <w:tcPr>
            <w:tcW w:w="1134" w:type="dxa"/>
            <w:tcBorders>
              <w:top w:val="nil"/>
              <w:left w:val="nil"/>
              <w:bottom w:val="nil"/>
              <w:right w:val="single" w:sz="8" w:space="0" w:color="auto"/>
            </w:tcBorders>
            <w:shd w:val="clear" w:color="auto" w:fill="auto"/>
            <w:noWrap/>
            <w:vAlign w:val="center"/>
            <w:hideMark/>
          </w:tcPr>
          <w:p w14:paraId="53267858" w14:textId="4EBAE223" w:rsidR="00386BC3" w:rsidRPr="004E74A6" w:rsidRDefault="00386BC3" w:rsidP="00832773">
            <w:pPr>
              <w:spacing w:line="276" w:lineRule="auto"/>
              <w:jc w:val="center"/>
              <w:rPr>
                <w:rFonts w:cs="Calibri"/>
                <w:color w:val="000000"/>
                <w:sz w:val="20"/>
                <w:lang w:eastAsia="es-CR"/>
              </w:rPr>
            </w:pPr>
            <w:r w:rsidRPr="004E74A6">
              <w:rPr>
                <w:rFonts w:cs="Calibri"/>
                <w:color w:val="000000"/>
                <w:sz w:val="20"/>
              </w:rPr>
              <w:t>3</w:t>
            </w:r>
          </w:p>
        </w:tc>
        <w:tc>
          <w:tcPr>
            <w:tcW w:w="2381" w:type="dxa"/>
            <w:tcBorders>
              <w:top w:val="nil"/>
              <w:left w:val="nil"/>
              <w:bottom w:val="nil"/>
              <w:right w:val="nil"/>
            </w:tcBorders>
            <w:shd w:val="clear" w:color="auto" w:fill="auto"/>
            <w:noWrap/>
            <w:vAlign w:val="center"/>
            <w:hideMark/>
          </w:tcPr>
          <w:p w14:paraId="05E3A4E2" w14:textId="5D743578" w:rsidR="00386BC3" w:rsidRPr="004E74A6" w:rsidRDefault="00386BC3" w:rsidP="00832773">
            <w:pPr>
              <w:spacing w:line="276" w:lineRule="auto"/>
              <w:jc w:val="center"/>
              <w:rPr>
                <w:rFonts w:cs="Calibri"/>
                <w:color w:val="000000"/>
                <w:sz w:val="20"/>
                <w:lang w:eastAsia="es-CR"/>
              </w:rPr>
            </w:pPr>
            <w:r w:rsidRPr="004E74A6">
              <w:rPr>
                <w:rFonts w:cs="Calibri"/>
                <w:color w:val="000000"/>
                <w:sz w:val="20"/>
              </w:rPr>
              <w:t>74%</w:t>
            </w:r>
          </w:p>
        </w:tc>
      </w:tr>
      <w:tr w:rsidR="00386BC3" w:rsidRPr="004E74A6" w14:paraId="7232D4AF" w14:textId="77777777" w:rsidTr="00386BC3">
        <w:trPr>
          <w:trHeight w:val="300"/>
          <w:jc w:val="center"/>
        </w:trPr>
        <w:tc>
          <w:tcPr>
            <w:tcW w:w="2800" w:type="dxa"/>
            <w:tcBorders>
              <w:top w:val="nil"/>
              <w:left w:val="nil"/>
              <w:bottom w:val="nil"/>
              <w:right w:val="single" w:sz="8" w:space="0" w:color="auto"/>
            </w:tcBorders>
            <w:shd w:val="clear" w:color="auto" w:fill="auto"/>
            <w:noWrap/>
            <w:vAlign w:val="center"/>
            <w:hideMark/>
          </w:tcPr>
          <w:p w14:paraId="71BC60EA" w14:textId="77777777" w:rsidR="00386BC3" w:rsidRPr="004E74A6" w:rsidRDefault="00386BC3" w:rsidP="00832773">
            <w:pPr>
              <w:spacing w:line="276" w:lineRule="auto"/>
              <w:jc w:val="left"/>
              <w:rPr>
                <w:rFonts w:cs="Calibri"/>
                <w:color w:val="000000"/>
                <w:sz w:val="20"/>
                <w:lang w:eastAsia="es-CR"/>
              </w:rPr>
            </w:pPr>
            <w:r w:rsidRPr="004E74A6">
              <w:rPr>
                <w:rFonts w:cs="Calibri"/>
                <w:color w:val="000000"/>
                <w:sz w:val="20"/>
                <w:lang w:eastAsia="es-CR"/>
              </w:rPr>
              <w:t>De ¢65.000.001 a ¢70.000.000</w:t>
            </w:r>
          </w:p>
        </w:tc>
        <w:tc>
          <w:tcPr>
            <w:tcW w:w="850" w:type="dxa"/>
            <w:tcBorders>
              <w:top w:val="nil"/>
              <w:left w:val="nil"/>
              <w:bottom w:val="nil"/>
              <w:right w:val="single" w:sz="8" w:space="0" w:color="auto"/>
            </w:tcBorders>
            <w:shd w:val="clear" w:color="auto" w:fill="auto"/>
            <w:noWrap/>
            <w:vAlign w:val="center"/>
            <w:hideMark/>
          </w:tcPr>
          <w:p w14:paraId="62DEF4F4" w14:textId="77777777" w:rsidR="00386BC3" w:rsidRPr="004E74A6" w:rsidRDefault="00386BC3" w:rsidP="00832773">
            <w:pPr>
              <w:spacing w:line="276" w:lineRule="auto"/>
              <w:jc w:val="center"/>
              <w:rPr>
                <w:rFonts w:cs="Calibri"/>
                <w:color w:val="000000"/>
                <w:sz w:val="20"/>
                <w:lang w:eastAsia="es-CR"/>
              </w:rPr>
            </w:pPr>
            <w:r w:rsidRPr="004E74A6">
              <w:rPr>
                <w:rFonts w:cs="Calibri"/>
                <w:color w:val="000000"/>
                <w:sz w:val="20"/>
                <w:lang w:eastAsia="es-CR"/>
              </w:rPr>
              <w:t>2</w:t>
            </w:r>
          </w:p>
        </w:tc>
        <w:tc>
          <w:tcPr>
            <w:tcW w:w="850" w:type="dxa"/>
            <w:tcBorders>
              <w:top w:val="nil"/>
              <w:left w:val="nil"/>
              <w:bottom w:val="nil"/>
              <w:right w:val="single" w:sz="8" w:space="0" w:color="auto"/>
            </w:tcBorders>
            <w:shd w:val="clear" w:color="auto" w:fill="auto"/>
            <w:noWrap/>
            <w:vAlign w:val="center"/>
            <w:hideMark/>
          </w:tcPr>
          <w:p w14:paraId="1E682FE6" w14:textId="77777777" w:rsidR="00386BC3" w:rsidRPr="004E74A6" w:rsidRDefault="00386BC3" w:rsidP="00832773">
            <w:pPr>
              <w:spacing w:line="276" w:lineRule="auto"/>
              <w:jc w:val="center"/>
              <w:rPr>
                <w:rFonts w:cs="Calibri"/>
                <w:color w:val="000000"/>
                <w:sz w:val="20"/>
                <w:lang w:eastAsia="es-CR"/>
              </w:rPr>
            </w:pPr>
            <w:r w:rsidRPr="004E74A6">
              <w:rPr>
                <w:rFonts w:cs="Calibri"/>
                <w:color w:val="000000"/>
                <w:sz w:val="20"/>
                <w:lang w:eastAsia="es-CR"/>
              </w:rPr>
              <w:t>5</w:t>
            </w:r>
          </w:p>
        </w:tc>
        <w:tc>
          <w:tcPr>
            <w:tcW w:w="850" w:type="dxa"/>
            <w:tcBorders>
              <w:top w:val="nil"/>
              <w:left w:val="nil"/>
              <w:bottom w:val="nil"/>
              <w:right w:val="single" w:sz="8" w:space="0" w:color="auto"/>
            </w:tcBorders>
            <w:shd w:val="clear" w:color="auto" w:fill="auto"/>
            <w:noWrap/>
            <w:vAlign w:val="center"/>
            <w:hideMark/>
          </w:tcPr>
          <w:p w14:paraId="1E025CAE" w14:textId="77777777" w:rsidR="00386BC3" w:rsidRPr="004E74A6" w:rsidRDefault="00386BC3" w:rsidP="00832773">
            <w:pPr>
              <w:spacing w:line="276" w:lineRule="auto"/>
              <w:jc w:val="center"/>
              <w:rPr>
                <w:rFonts w:cs="Calibri"/>
                <w:color w:val="000000"/>
                <w:sz w:val="20"/>
                <w:lang w:eastAsia="es-CR"/>
              </w:rPr>
            </w:pPr>
            <w:r w:rsidRPr="004E74A6">
              <w:rPr>
                <w:rFonts w:cs="Calibri"/>
                <w:color w:val="000000"/>
                <w:sz w:val="20"/>
                <w:lang w:eastAsia="es-CR"/>
              </w:rPr>
              <w:t>3</w:t>
            </w:r>
          </w:p>
        </w:tc>
        <w:tc>
          <w:tcPr>
            <w:tcW w:w="1134" w:type="dxa"/>
            <w:tcBorders>
              <w:top w:val="nil"/>
              <w:left w:val="nil"/>
              <w:bottom w:val="nil"/>
              <w:right w:val="single" w:sz="8" w:space="0" w:color="auto"/>
            </w:tcBorders>
            <w:shd w:val="clear" w:color="auto" w:fill="auto"/>
            <w:noWrap/>
            <w:vAlign w:val="center"/>
            <w:hideMark/>
          </w:tcPr>
          <w:p w14:paraId="5BAA35AF" w14:textId="05CF1ACD" w:rsidR="00386BC3" w:rsidRPr="004E74A6" w:rsidRDefault="00386BC3" w:rsidP="00832773">
            <w:pPr>
              <w:spacing w:line="276" w:lineRule="auto"/>
              <w:jc w:val="center"/>
              <w:rPr>
                <w:rFonts w:cs="Calibri"/>
                <w:color w:val="000000"/>
                <w:sz w:val="20"/>
                <w:lang w:eastAsia="es-CR"/>
              </w:rPr>
            </w:pPr>
            <w:r w:rsidRPr="004E74A6">
              <w:rPr>
                <w:rFonts w:cs="Calibri"/>
                <w:color w:val="000000"/>
                <w:sz w:val="20"/>
              </w:rPr>
              <w:t>3</w:t>
            </w:r>
          </w:p>
        </w:tc>
        <w:tc>
          <w:tcPr>
            <w:tcW w:w="2381" w:type="dxa"/>
            <w:tcBorders>
              <w:top w:val="nil"/>
              <w:left w:val="nil"/>
              <w:bottom w:val="nil"/>
              <w:right w:val="nil"/>
            </w:tcBorders>
            <w:shd w:val="clear" w:color="auto" w:fill="auto"/>
            <w:noWrap/>
            <w:vAlign w:val="center"/>
            <w:hideMark/>
          </w:tcPr>
          <w:p w14:paraId="2BDA5670" w14:textId="3F2813AD" w:rsidR="00386BC3" w:rsidRPr="004E74A6" w:rsidRDefault="00386BC3" w:rsidP="00832773">
            <w:pPr>
              <w:spacing w:line="276" w:lineRule="auto"/>
              <w:jc w:val="center"/>
              <w:rPr>
                <w:rFonts w:cs="Calibri"/>
                <w:color w:val="000000"/>
                <w:sz w:val="20"/>
                <w:lang w:eastAsia="es-CR"/>
              </w:rPr>
            </w:pPr>
            <w:r w:rsidRPr="004E74A6">
              <w:rPr>
                <w:rFonts w:cs="Calibri"/>
                <w:color w:val="000000"/>
                <w:sz w:val="20"/>
              </w:rPr>
              <w:t>76%</w:t>
            </w:r>
          </w:p>
        </w:tc>
      </w:tr>
      <w:tr w:rsidR="00386BC3" w:rsidRPr="004E74A6" w14:paraId="7A3987A0" w14:textId="77777777" w:rsidTr="00386BC3">
        <w:trPr>
          <w:trHeight w:val="300"/>
          <w:jc w:val="center"/>
        </w:trPr>
        <w:tc>
          <w:tcPr>
            <w:tcW w:w="2800" w:type="dxa"/>
            <w:tcBorders>
              <w:top w:val="nil"/>
              <w:left w:val="nil"/>
              <w:bottom w:val="nil"/>
              <w:right w:val="single" w:sz="8" w:space="0" w:color="auto"/>
            </w:tcBorders>
            <w:shd w:val="clear" w:color="auto" w:fill="auto"/>
            <w:noWrap/>
            <w:vAlign w:val="center"/>
            <w:hideMark/>
          </w:tcPr>
          <w:p w14:paraId="23164126" w14:textId="77777777" w:rsidR="00386BC3" w:rsidRPr="004E74A6" w:rsidRDefault="00386BC3" w:rsidP="00832773">
            <w:pPr>
              <w:spacing w:line="276" w:lineRule="auto"/>
              <w:jc w:val="left"/>
              <w:rPr>
                <w:rFonts w:cs="Calibri"/>
                <w:color w:val="000000"/>
                <w:sz w:val="20"/>
                <w:lang w:eastAsia="es-CR"/>
              </w:rPr>
            </w:pPr>
            <w:r w:rsidRPr="004E74A6">
              <w:rPr>
                <w:rFonts w:cs="Calibri"/>
                <w:color w:val="000000"/>
                <w:sz w:val="20"/>
                <w:lang w:eastAsia="es-CR"/>
              </w:rPr>
              <w:t>De ¢70.000.001 a ¢75.000.000</w:t>
            </w:r>
          </w:p>
        </w:tc>
        <w:tc>
          <w:tcPr>
            <w:tcW w:w="850" w:type="dxa"/>
            <w:tcBorders>
              <w:top w:val="nil"/>
              <w:left w:val="nil"/>
              <w:bottom w:val="nil"/>
              <w:right w:val="single" w:sz="8" w:space="0" w:color="auto"/>
            </w:tcBorders>
            <w:shd w:val="clear" w:color="auto" w:fill="auto"/>
            <w:noWrap/>
            <w:vAlign w:val="center"/>
            <w:hideMark/>
          </w:tcPr>
          <w:p w14:paraId="27CE2726" w14:textId="77777777" w:rsidR="00386BC3" w:rsidRPr="004E74A6" w:rsidRDefault="00386BC3" w:rsidP="00832773">
            <w:pPr>
              <w:spacing w:line="276" w:lineRule="auto"/>
              <w:jc w:val="center"/>
              <w:rPr>
                <w:rFonts w:cs="Calibri"/>
                <w:color w:val="000000"/>
                <w:sz w:val="20"/>
                <w:lang w:eastAsia="es-CR"/>
              </w:rPr>
            </w:pPr>
            <w:r w:rsidRPr="004E74A6">
              <w:rPr>
                <w:rFonts w:cs="Calibri"/>
                <w:color w:val="000000"/>
                <w:sz w:val="20"/>
                <w:lang w:eastAsia="es-CR"/>
              </w:rPr>
              <w:t>2</w:t>
            </w:r>
          </w:p>
        </w:tc>
        <w:tc>
          <w:tcPr>
            <w:tcW w:w="850" w:type="dxa"/>
            <w:tcBorders>
              <w:top w:val="nil"/>
              <w:left w:val="nil"/>
              <w:bottom w:val="nil"/>
              <w:right w:val="single" w:sz="8" w:space="0" w:color="auto"/>
            </w:tcBorders>
            <w:shd w:val="clear" w:color="auto" w:fill="auto"/>
            <w:noWrap/>
            <w:vAlign w:val="center"/>
            <w:hideMark/>
          </w:tcPr>
          <w:p w14:paraId="2AC09634" w14:textId="77777777" w:rsidR="00386BC3" w:rsidRPr="004E74A6" w:rsidRDefault="00386BC3" w:rsidP="00832773">
            <w:pPr>
              <w:spacing w:line="276" w:lineRule="auto"/>
              <w:jc w:val="center"/>
              <w:rPr>
                <w:rFonts w:cs="Calibri"/>
                <w:color w:val="000000"/>
                <w:sz w:val="20"/>
                <w:lang w:eastAsia="es-CR"/>
              </w:rPr>
            </w:pPr>
            <w:r w:rsidRPr="004E74A6">
              <w:rPr>
                <w:rFonts w:cs="Calibri"/>
                <w:color w:val="000000"/>
                <w:sz w:val="20"/>
                <w:lang w:eastAsia="es-CR"/>
              </w:rPr>
              <w:t>2</w:t>
            </w:r>
          </w:p>
        </w:tc>
        <w:tc>
          <w:tcPr>
            <w:tcW w:w="850" w:type="dxa"/>
            <w:tcBorders>
              <w:top w:val="nil"/>
              <w:left w:val="nil"/>
              <w:bottom w:val="nil"/>
              <w:right w:val="single" w:sz="8" w:space="0" w:color="auto"/>
            </w:tcBorders>
            <w:shd w:val="clear" w:color="auto" w:fill="auto"/>
            <w:noWrap/>
            <w:vAlign w:val="center"/>
            <w:hideMark/>
          </w:tcPr>
          <w:p w14:paraId="394F019D" w14:textId="77777777" w:rsidR="00386BC3" w:rsidRPr="004E74A6" w:rsidRDefault="00386BC3" w:rsidP="00832773">
            <w:pPr>
              <w:spacing w:line="276" w:lineRule="auto"/>
              <w:jc w:val="center"/>
              <w:rPr>
                <w:rFonts w:cs="Calibri"/>
                <w:color w:val="000000"/>
                <w:sz w:val="20"/>
                <w:lang w:eastAsia="es-CR"/>
              </w:rPr>
            </w:pPr>
            <w:r w:rsidRPr="004E74A6">
              <w:rPr>
                <w:rFonts w:cs="Calibri"/>
                <w:color w:val="000000"/>
                <w:sz w:val="20"/>
                <w:lang w:eastAsia="es-CR"/>
              </w:rPr>
              <w:t>4</w:t>
            </w:r>
          </w:p>
        </w:tc>
        <w:tc>
          <w:tcPr>
            <w:tcW w:w="1134" w:type="dxa"/>
            <w:tcBorders>
              <w:top w:val="nil"/>
              <w:left w:val="nil"/>
              <w:bottom w:val="nil"/>
              <w:right w:val="single" w:sz="8" w:space="0" w:color="auto"/>
            </w:tcBorders>
            <w:shd w:val="clear" w:color="auto" w:fill="auto"/>
            <w:noWrap/>
            <w:vAlign w:val="center"/>
            <w:hideMark/>
          </w:tcPr>
          <w:p w14:paraId="26FDAAC5" w14:textId="45002378" w:rsidR="00386BC3" w:rsidRPr="004E74A6" w:rsidRDefault="00386BC3" w:rsidP="00832773">
            <w:pPr>
              <w:spacing w:line="276" w:lineRule="auto"/>
              <w:jc w:val="center"/>
              <w:rPr>
                <w:rFonts w:cs="Calibri"/>
                <w:color w:val="000000"/>
                <w:sz w:val="20"/>
                <w:lang w:eastAsia="es-CR"/>
              </w:rPr>
            </w:pPr>
            <w:r w:rsidRPr="004E74A6">
              <w:rPr>
                <w:rFonts w:cs="Calibri"/>
                <w:color w:val="000000"/>
                <w:sz w:val="20"/>
              </w:rPr>
              <w:t>3</w:t>
            </w:r>
          </w:p>
        </w:tc>
        <w:tc>
          <w:tcPr>
            <w:tcW w:w="2381" w:type="dxa"/>
            <w:tcBorders>
              <w:top w:val="nil"/>
              <w:left w:val="nil"/>
              <w:bottom w:val="nil"/>
              <w:right w:val="nil"/>
            </w:tcBorders>
            <w:shd w:val="clear" w:color="auto" w:fill="auto"/>
            <w:noWrap/>
            <w:vAlign w:val="center"/>
            <w:hideMark/>
          </w:tcPr>
          <w:p w14:paraId="6C8D0D06" w14:textId="15555123" w:rsidR="00386BC3" w:rsidRPr="004E74A6" w:rsidRDefault="00386BC3" w:rsidP="00832773">
            <w:pPr>
              <w:spacing w:line="276" w:lineRule="auto"/>
              <w:jc w:val="center"/>
              <w:rPr>
                <w:rFonts w:cs="Calibri"/>
                <w:color w:val="000000"/>
                <w:sz w:val="20"/>
                <w:lang w:eastAsia="es-CR"/>
              </w:rPr>
            </w:pPr>
            <w:r w:rsidRPr="004E74A6">
              <w:rPr>
                <w:rFonts w:cs="Calibri"/>
                <w:color w:val="000000"/>
                <w:sz w:val="20"/>
              </w:rPr>
              <w:t>77%</w:t>
            </w:r>
          </w:p>
        </w:tc>
      </w:tr>
      <w:tr w:rsidR="00386BC3" w:rsidRPr="004E74A6" w14:paraId="46468AED" w14:textId="77777777" w:rsidTr="00386BC3">
        <w:trPr>
          <w:trHeight w:val="300"/>
          <w:jc w:val="center"/>
        </w:trPr>
        <w:tc>
          <w:tcPr>
            <w:tcW w:w="2800" w:type="dxa"/>
            <w:tcBorders>
              <w:top w:val="nil"/>
              <w:left w:val="nil"/>
              <w:bottom w:val="nil"/>
              <w:right w:val="single" w:sz="8" w:space="0" w:color="auto"/>
            </w:tcBorders>
            <w:shd w:val="clear" w:color="auto" w:fill="auto"/>
            <w:noWrap/>
            <w:vAlign w:val="center"/>
            <w:hideMark/>
          </w:tcPr>
          <w:p w14:paraId="0C150D6C" w14:textId="77777777" w:rsidR="00386BC3" w:rsidRPr="004E74A6" w:rsidRDefault="00386BC3" w:rsidP="00832773">
            <w:pPr>
              <w:spacing w:line="276" w:lineRule="auto"/>
              <w:jc w:val="left"/>
              <w:rPr>
                <w:rFonts w:cs="Calibri"/>
                <w:color w:val="000000"/>
                <w:sz w:val="20"/>
                <w:lang w:eastAsia="es-CR"/>
              </w:rPr>
            </w:pPr>
            <w:r w:rsidRPr="004E74A6">
              <w:rPr>
                <w:rFonts w:cs="Calibri"/>
                <w:color w:val="000000"/>
                <w:sz w:val="20"/>
                <w:lang w:eastAsia="es-CR"/>
              </w:rPr>
              <w:t>De ¢75.000.001 a ¢80.000.000</w:t>
            </w:r>
          </w:p>
        </w:tc>
        <w:tc>
          <w:tcPr>
            <w:tcW w:w="850" w:type="dxa"/>
            <w:tcBorders>
              <w:top w:val="nil"/>
              <w:left w:val="nil"/>
              <w:bottom w:val="nil"/>
              <w:right w:val="single" w:sz="8" w:space="0" w:color="auto"/>
            </w:tcBorders>
            <w:shd w:val="clear" w:color="auto" w:fill="auto"/>
            <w:noWrap/>
            <w:vAlign w:val="center"/>
            <w:hideMark/>
          </w:tcPr>
          <w:p w14:paraId="1EB0AB4C" w14:textId="77777777" w:rsidR="00386BC3" w:rsidRPr="004E74A6" w:rsidRDefault="00386BC3" w:rsidP="00832773">
            <w:pPr>
              <w:spacing w:line="276" w:lineRule="auto"/>
              <w:jc w:val="center"/>
              <w:rPr>
                <w:rFonts w:cs="Calibri"/>
                <w:color w:val="000000"/>
                <w:sz w:val="20"/>
                <w:lang w:eastAsia="es-CR"/>
              </w:rPr>
            </w:pPr>
            <w:r w:rsidRPr="004E74A6">
              <w:rPr>
                <w:rFonts w:cs="Calibri"/>
                <w:color w:val="000000"/>
                <w:sz w:val="20"/>
                <w:lang w:eastAsia="es-CR"/>
              </w:rPr>
              <w:t>2</w:t>
            </w:r>
          </w:p>
        </w:tc>
        <w:tc>
          <w:tcPr>
            <w:tcW w:w="850" w:type="dxa"/>
            <w:tcBorders>
              <w:top w:val="nil"/>
              <w:left w:val="nil"/>
              <w:bottom w:val="nil"/>
              <w:right w:val="single" w:sz="8" w:space="0" w:color="auto"/>
            </w:tcBorders>
            <w:shd w:val="clear" w:color="auto" w:fill="auto"/>
            <w:noWrap/>
            <w:vAlign w:val="center"/>
            <w:hideMark/>
          </w:tcPr>
          <w:p w14:paraId="7AA84BE3" w14:textId="77777777" w:rsidR="00386BC3" w:rsidRPr="004E74A6" w:rsidRDefault="00386BC3" w:rsidP="00832773">
            <w:pPr>
              <w:spacing w:line="276" w:lineRule="auto"/>
              <w:jc w:val="center"/>
              <w:rPr>
                <w:rFonts w:cs="Calibri"/>
                <w:color w:val="000000"/>
                <w:sz w:val="20"/>
                <w:lang w:eastAsia="es-CR"/>
              </w:rPr>
            </w:pPr>
            <w:r w:rsidRPr="004E74A6">
              <w:rPr>
                <w:rFonts w:cs="Calibri"/>
                <w:color w:val="000000"/>
                <w:sz w:val="20"/>
                <w:lang w:eastAsia="es-CR"/>
              </w:rPr>
              <w:t>1</w:t>
            </w:r>
          </w:p>
        </w:tc>
        <w:tc>
          <w:tcPr>
            <w:tcW w:w="850" w:type="dxa"/>
            <w:tcBorders>
              <w:top w:val="nil"/>
              <w:left w:val="nil"/>
              <w:bottom w:val="nil"/>
              <w:right w:val="single" w:sz="8" w:space="0" w:color="auto"/>
            </w:tcBorders>
            <w:shd w:val="clear" w:color="auto" w:fill="auto"/>
            <w:noWrap/>
            <w:vAlign w:val="center"/>
            <w:hideMark/>
          </w:tcPr>
          <w:p w14:paraId="25743608" w14:textId="77777777" w:rsidR="00386BC3" w:rsidRPr="004E74A6" w:rsidRDefault="00386BC3" w:rsidP="00832773">
            <w:pPr>
              <w:spacing w:line="276" w:lineRule="auto"/>
              <w:jc w:val="center"/>
              <w:rPr>
                <w:rFonts w:cs="Calibri"/>
                <w:color w:val="000000"/>
                <w:sz w:val="20"/>
                <w:lang w:eastAsia="es-CR"/>
              </w:rPr>
            </w:pPr>
            <w:r w:rsidRPr="004E74A6">
              <w:rPr>
                <w:rFonts w:cs="Calibri"/>
                <w:color w:val="000000"/>
                <w:sz w:val="20"/>
                <w:lang w:eastAsia="es-CR"/>
              </w:rPr>
              <w:t>2</w:t>
            </w:r>
          </w:p>
        </w:tc>
        <w:tc>
          <w:tcPr>
            <w:tcW w:w="1134" w:type="dxa"/>
            <w:tcBorders>
              <w:top w:val="nil"/>
              <w:left w:val="nil"/>
              <w:bottom w:val="nil"/>
              <w:right w:val="single" w:sz="8" w:space="0" w:color="auto"/>
            </w:tcBorders>
            <w:shd w:val="clear" w:color="auto" w:fill="auto"/>
            <w:noWrap/>
            <w:vAlign w:val="center"/>
            <w:hideMark/>
          </w:tcPr>
          <w:p w14:paraId="7649A067" w14:textId="6EDB393B" w:rsidR="00386BC3" w:rsidRPr="004E74A6" w:rsidRDefault="00386BC3" w:rsidP="00832773">
            <w:pPr>
              <w:spacing w:line="276" w:lineRule="auto"/>
              <w:jc w:val="center"/>
              <w:rPr>
                <w:rFonts w:cs="Calibri"/>
                <w:color w:val="000000"/>
                <w:sz w:val="20"/>
                <w:lang w:eastAsia="es-CR"/>
              </w:rPr>
            </w:pPr>
            <w:r w:rsidRPr="004E74A6">
              <w:rPr>
                <w:rFonts w:cs="Calibri"/>
                <w:color w:val="000000"/>
                <w:sz w:val="20"/>
              </w:rPr>
              <w:t>2</w:t>
            </w:r>
          </w:p>
        </w:tc>
        <w:tc>
          <w:tcPr>
            <w:tcW w:w="2381" w:type="dxa"/>
            <w:tcBorders>
              <w:top w:val="nil"/>
              <w:left w:val="nil"/>
              <w:bottom w:val="nil"/>
              <w:right w:val="nil"/>
            </w:tcBorders>
            <w:shd w:val="clear" w:color="auto" w:fill="auto"/>
            <w:noWrap/>
            <w:vAlign w:val="center"/>
            <w:hideMark/>
          </w:tcPr>
          <w:p w14:paraId="019B84E9" w14:textId="4551B7DA" w:rsidR="00386BC3" w:rsidRPr="004E74A6" w:rsidRDefault="00386BC3" w:rsidP="00832773">
            <w:pPr>
              <w:spacing w:line="276" w:lineRule="auto"/>
              <w:jc w:val="center"/>
              <w:rPr>
                <w:rFonts w:cs="Calibri"/>
                <w:color w:val="000000"/>
                <w:sz w:val="20"/>
                <w:lang w:eastAsia="es-CR"/>
              </w:rPr>
            </w:pPr>
            <w:r w:rsidRPr="004E74A6">
              <w:rPr>
                <w:rFonts w:cs="Calibri"/>
                <w:color w:val="000000"/>
                <w:sz w:val="20"/>
              </w:rPr>
              <w:t>78%</w:t>
            </w:r>
          </w:p>
        </w:tc>
      </w:tr>
      <w:tr w:rsidR="00386BC3" w:rsidRPr="004E74A6" w14:paraId="0CB66A2D" w14:textId="77777777" w:rsidTr="00386BC3">
        <w:trPr>
          <w:trHeight w:val="300"/>
          <w:jc w:val="center"/>
        </w:trPr>
        <w:tc>
          <w:tcPr>
            <w:tcW w:w="2800" w:type="dxa"/>
            <w:tcBorders>
              <w:top w:val="nil"/>
              <w:left w:val="nil"/>
              <w:bottom w:val="nil"/>
              <w:right w:val="single" w:sz="8" w:space="0" w:color="auto"/>
            </w:tcBorders>
            <w:shd w:val="clear" w:color="auto" w:fill="auto"/>
            <w:noWrap/>
            <w:vAlign w:val="center"/>
            <w:hideMark/>
          </w:tcPr>
          <w:p w14:paraId="1B4C8D5A" w14:textId="77777777" w:rsidR="00386BC3" w:rsidRPr="004E74A6" w:rsidRDefault="00386BC3" w:rsidP="00832773">
            <w:pPr>
              <w:spacing w:line="276" w:lineRule="auto"/>
              <w:jc w:val="left"/>
              <w:rPr>
                <w:rFonts w:cs="Calibri"/>
                <w:color w:val="000000"/>
                <w:sz w:val="20"/>
                <w:lang w:eastAsia="es-CR"/>
              </w:rPr>
            </w:pPr>
            <w:r w:rsidRPr="004E74A6">
              <w:rPr>
                <w:rFonts w:cs="Calibri"/>
                <w:color w:val="000000"/>
                <w:sz w:val="20"/>
                <w:lang w:eastAsia="es-CR"/>
              </w:rPr>
              <w:t>De ¢80.000.001 a ¢85.000.000</w:t>
            </w:r>
          </w:p>
        </w:tc>
        <w:tc>
          <w:tcPr>
            <w:tcW w:w="850" w:type="dxa"/>
            <w:tcBorders>
              <w:top w:val="nil"/>
              <w:left w:val="nil"/>
              <w:bottom w:val="nil"/>
              <w:right w:val="single" w:sz="8" w:space="0" w:color="auto"/>
            </w:tcBorders>
            <w:shd w:val="clear" w:color="auto" w:fill="auto"/>
            <w:noWrap/>
            <w:vAlign w:val="center"/>
            <w:hideMark/>
          </w:tcPr>
          <w:p w14:paraId="62D7802C" w14:textId="38B823D8" w:rsidR="00386BC3" w:rsidRPr="004E74A6" w:rsidRDefault="00386BC3" w:rsidP="00832773">
            <w:pPr>
              <w:spacing w:line="276" w:lineRule="auto"/>
              <w:jc w:val="center"/>
              <w:rPr>
                <w:rFonts w:cs="Calibri"/>
                <w:color w:val="000000"/>
                <w:sz w:val="20"/>
                <w:lang w:eastAsia="es-CR"/>
              </w:rPr>
            </w:pPr>
            <w:r w:rsidRPr="004E74A6">
              <w:rPr>
                <w:rFonts w:cs="Calibri"/>
                <w:color w:val="000000"/>
                <w:sz w:val="20"/>
                <w:lang w:eastAsia="es-CR"/>
              </w:rPr>
              <w:t>0 </w:t>
            </w:r>
          </w:p>
        </w:tc>
        <w:tc>
          <w:tcPr>
            <w:tcW w:w="850" w:type="dxa"/>
            <w:tcBorders>
              <w:top w:val="nil"/>
              <w:left w:val="nil"/>
              <w:bottom w:val="nil"/>
              <w:right w:val="single" w:sz="8" w:space="0" w:color="auto"/>
            </w:tcBorders>
            <w:shd w:val="clear" w:color="auto" w:fill="auto"/>
            <w:noWrap/>
            <w:vAlign w:val="center"/>
            <w:hideMark/>
          </w:tcPr>
          <w:p w14:paraId="005D06F5" w14:textId="77777777" w:rsidR="00386BC3" w:rsidRPr="004E74A6" w:rsidRDefault="00386BC3" w:rsidP="00832773">
            <w:pPr>
              <w:spacing w:line="276" w:lineRule="auto"/>
              <w:jc w:val="center"/>
              <w:rPr>
                <w:rFonts w:cs="Calibri"/>
                <w:color w:val="000000"/>
                <w:sz w:val="20"/>
                <w:lang w:eastAsia="es-CR"/>
              </w:rPr>
            </w:pPr>
            <w:r w:rsidRPr="004E74A6">
              <w:rPr>
                <w:rFonts w:cs="Calibri"/>
                <w:color w:val="000000"/>
                <w:sz w:val="20"/>
                <w:lang w:eastAsia="es-CR"/>
              </w:rPr>
              <w:t>4</w:t>
            </w:r>
          </w:p>
        </w:tc>
        <w:tc>
          <w:tcPr>
            <w:tcW w:w="850" w:type="dxa"/>
            <w:tcBorders>
              <w:top w:val="nil"/>
              <w:left w:val="nil"/>
              <w:bottom w:val="nil"/>
              <w:right w:val="single" w:sz="8" w:space="0" w:color="auto"/>
            </w:tcBorders>
            <w:shd w:val="clear" w:color="auto" w:fill="auto"/>
            <w:noWrap/>
            <w:vAlign w:val="center"/>
            <w:hideMark/>
          </w:tcPr>
          <w:p w14:paraId="0BE098DC" w14:textId="77777777" w:rsidR="00386BC3" w:rsidRPr="004E74A6" w:rsidRDefault="00386BC3" w:rsidP="00832773">
            <w:pPr>
              <w:spacing w:line="276" w:lineRule="auto"/>
              <w:jc w:val="center"/>
              <w:rPr>
                <w:rFonts w:cs="Calibri"/>
                <w:color w:val="000000"/>
                <w:sz w:val="20"/>
                <w:lang w:eastAsia="es-CR"/>
              </w:rPr>
            </w:pPr>
            <w:r w:rsidRPr="004E74A6">
              <w:rPr>
                <w:rFonts w:cs="Calibri"/>
                <w:color w:val="000000"/>
                <w:sz w:val="20"/>
                <w:lang w:eastAsia="es-CR"/>
              </w:rPr>
              <w:t>3</w:t>
            </w:r>
          </w:p>
        </w:tc>
        <w:tc>
          <w:tcPr>
            <w:tcW w:w="1134" w:type="dxa"/>
            <w:tcBorders>
              <w:top w:val="nil"/>
              <w:left w:val="nil"/>
              <w:bottom w:val="nil"/>
              <w:right w:val="single" w:sz="8" w:space="0" w:color="auto"/>
            </w:tcBorders>
            <w:shd w:val="clear" w:color="auto" w:fill="auto"/>
            <w:noWrap/>
            <w:vAlign w:val="center"/>
            <w:hideMark/>
          </w:tcPr>
          <w:p w14:paraId="4254D7B6" w14:textId="1AABD588" w:rsidR="00386BC3" w:rsidRPr="004E74A6" w:rsidRDefault="00386BC3" w:rsidP="00832773">
            <w:pPr>
              <w:spacing w:line="276" w:lineRule="auto"/>
              <w:jc w:val="center"/>
              <w:rPr>
                <w:rFonts w:cs="Calibri"/>
                <w:color w:val="000000"/>
                <w:sz w:val="20"/>
                <w:lang w:eastAsia="es-CR"/>
              </w:rPr>
            </w:pPr>
            <w:r w:rsidRPr="004E74A6">
              <w:rPr>
                <w:rFonts w:cs="Calibri"/>
                <w:color w:val="000000"/>
                <w:sz w:val="20"/>
              </w:rPr>
              <w:t>2</w:t>
            </w:r>
          </w:p>
        </w:tc>
        <w:tc>
          <w:tcPr>
            <w:tcW w:w="2381" w:type="dxa"/>
            <w:tcBorders>
              <w:top w:val="nil"/>
              <w:left w:val="nil"/>
              <w:bottom w:val="nil"/>
              <w:right w:val="nil"/>
            </w:tcBorders>
            <w:shd w:val="clear" w:color="auto" w:fill="auto"/>
            <w:noWrap/>
            <w:vAlign w:val="center"/>
            <w:hideMark/>
          </w:tcPr>
          <w:p w14:paraId="4BE43447" w14:textId="0922CDB8" w:rsidR="00386BC3" w:rsidRPr="004E74A6" w:rsidRDefault="00386BC3" w:rsidP="00832773">
            <w:pPr>
              <w:spacing w:line="276" w:lineRule="auto"/>
              <w:jc w:val="center"/>
              <w:rPr>
                <w:rFonts w:cs="Calibri"/>
                <w:color w:val="000000"/>
                <w:sz w:val="20"/>
                <w:lang w:eastAsia="es-CR"/>
              </w:rPr>
            </w:pPr>
            <w:r w:rsidRPr="004E74A6">
              <w:rPr>
                <w:rFonts w:cs="Calibri"/>
                <w:color w:val="000000"/>
                <w:sz w:val="20"/>
              </w:rPr>
              <w:t>79%</w:t>
            </w:r>
          </w:p>
        </w:tc>
      </w:tr>
      <w:tr w:rsidR="00386BC3" w:rsidRPr="004E74A6" w14:paraId="5D022EED" w14:textId="77777777" w:rsidTr="00386BC3">
        <w:trPr>
          <w:trHeight w:val="300"/>
          <w:jc w:val="center"/>
        </w:trPr>
        <w:tc>
          <w:tcPr>
            <w:tcW w:w="2800" w:type="dxa"/>
            <w:tcBorders>
              <w:top w:val="nil"/>
              <w:left w:val="nil"/>
              <w:bottom w:val="nil"/>
              <w:right w:val="single" w:sz="8" w:space="0" w:color="auto"/>
            </w:tcBorders>
            <w:shd w:val="clear" w:color="auto" w:fill="auto"/>
            <w:noWrap/>
            <w:vAlign w:val="center"/>
            <w:hideMark/>
          </w:tcPr>
          <w:p w14:paraId="4D1406C8" w14:textId="77777777" w:rsidR="00386BC3" w:rsidRPr="004E74A6" w:rsidRDefault="00386BC3" w:rsidP="00832773">
            <w:pPr>
              <w:spacing w:line="276" w:lineRule="auto"/>
              <w:jc w:val="left"/>
              <w:rPr>
                <w:rFonts w:cs="Calibri"/>
                <w:color w:val="000000"/>
                <w:sz w:val="20"/>
                <w:lang w:eastAsia="es-CR"/>
              </w:rPr>
            </w:pPr>
            <w:r w:rsidRPr="004E74A6">
              <w:rPr>
                <w:rFonts w:cs="Calibri"/>
                <w:color w:val="000000"/>
                <w:sz w:val="20"/>
                <w:lang w:eastAsia="es-CR"/>
              </w:rPr>
              <w:t>De ¢85.000.001 a ¢90.000.000</w:t>
            </w:r>
          </w:p>
        </w:tc>
        <w:tc>
          <w:tcPr>
            <w:tcW w:w="850" w:type="dxa"/>
            <w:tcBorders>
              <w:top w:val="nil"/>
              <w:left w:val="nil"/>
              <w:bottom w:val="nil"/>
              <w:right w:val="single" w:sz="8" w:space="0" w:color="auto"/>
            </w:tcBorders>
            <w:shd w:val="clear" w:color="auto" w:fill="auto"/>
            <w:noWrap/>
            <w:vAlign w:val="center"/>
            <w:hideMark/>
          </w:tcPr>
          <w:p w14:paraId="1454F69C" w14:textId="77777777" w:rsidR="00386BC3" w:rsidRPr="004E74A6" w:rsidRDefault="00386BC3" w:rsidP="00832773">
            <w:pPr>
              <w:spacing w:line="276" w:lineRule="auto"/>
              <w:jc w:val="center"/>
              <w:rPr>
                <w:rFonts w:cs="Calibri"/>
                <w:color w:val="000000"/>
                <w:sz w:val="20"/>
                <w:lang w:eastAsia="es-CR"/>
              </w:rPr>
            </w:pPr>
            <w:r w:rsidRPr="004E74A6">
              <w:rPr>
                <w:rFonts w:cs="Calibri"/>
                <w:color w:val="000000"/>
                <w:sz w:val="20"/>
                <w:lang w:eastAsia="es-CR"/>
              </w:rPr>
              <w:t>1</w:t>
            </w:r>
          </w:p>
        </w:tc>
        <w:tc>
          <w:tcPr>
            <w:tcW w:w="850" w:type="dxa"/>
            <w:tcBorders>
              <w:top w:val="nil"/>
              <w:left w:val="nil"/>
              <w:bottom w:val="nil"/>
              <w:right w:val="single" w:sz="8" w:space="0" w:color="auto"/>
            </w:tcBorders>
            <w:shd w:val="clear" w:color="auto" w:fill="auto"/>
            <w:noWrap/>
            <w:vAlign w:val="center"/>
            <w:hideMark/>
          </w:tcPr>
          <w:p w14:paraId="1A856AE2" w14:textId="77777777" w:rsidR="00386BC3" w:rsidRPr="004E74A6" w:rsidRDefault="00386BC3" w:rsidP="00832773">
            <w:pPr>
              <w:spacing w:line="276" w:lineRule="auto"/>
              <w:jc w:val="center"/>
              <w:rPr>
                <w:rFonts w:cs="Calibri"/>
                <w:color w:val="000000"/>
                <w:sz w:val="20"/>
                <w:lang w:eastAsia="es-CR"/>
              </w:rPr>
            </w:pPr>
            <w:r w:rsidRPr="004E74A6">
              <w:rPr>
                <w:rFonts w:cs="Calibri"/>
                <w:color w:val="000000"/>
                <w:sz w:val="20"/>
                <w:lang w:eastAsia="es-CR"/>
              </w:rPr>
              <w:t>1</w:t>
            </w:r>
          </w:p>
        </w:tc>
        <w:tc>
          <w:tcPr>
            <w:tcW w:w="850" w:type="dxa"/>
            <w:tcBorders>
              <w:top w:val="nil"/>
              <w:left w:val="nil"/>
              <w:bottom w:val="nil"/>
              <w:right w:val="single" w:sz="8" w:space="0" w:color="auto"/>
            </w:tcBorders>
            <w:shd w:val="clear" w:color="auto" w:fill="auto"/>
            <w:noWrap/>
            <w:vAlign w:val="center"/>
            <w:hideMark/>
          </w:tcPr>
          <w:p w14:paraId="0B621A06" w14:textId="0B43D65C" w:rsidR="00386BC3" w:rsidRPr="004E74A6" w:rsidRDefault="00386BC3" w:rsidP="00832773">
            <w:pPr>
              <w:spacing w:line="276" w:lineRule="auto"/>
              <w:jc w:val="center"/>
              <w:rPr>
                <w:rFonts w:cs="Calibri"/>
                <w:color w:val="000000"/>
                <w:sz w:val="20"/>
                <w:lang w:eastAsia="es-CR"/>
              </w:rPr>
            </w:pPr>
            <w:r w:rsidRPr="004E74A6">
              <w:rPr>
                <w:rFonts w:cs="Calibri"/>
                <w:color w:val="000000"/>
                <w:sz w:val="20"/>
                <w:lang w:eastAsia="es-CR"/>
              </w:rPr>
              <w:t>0 </w:t>
            </w:r>
          </w:p>
        </w:tc>
        <w:tc>
          <w:tcPr>
            <w:tcW w:w="1134" w:type="dxa"/>
            <w:tcBorders>
              <w:top w:val="nil"/>
              <w:left w:val="nil"/>
              <w:bottom w:val="nil"/>
              <w:right w:val="single" w:sz="8" w:space="0" w:color="auto"/>
            </w:tcBorders>
            <w:shd w:val="clear" w:color="auto" w:fill="auto"/>
            <w:noWrap/>
            <w:vAlign w:val="center"/>
            <w:hideMark/>
          </w:tcPr>
          <w:p w14:paraId="4D8D1B51" w14:textId="1B21C510" w:rsidR="00386BC3" w:rsidRPr="004E74A6" w:rsidRDefault="00386BC3" w:rsidP="00832773">
            <w:pPr>
              <w:spacing w:line="276" w:lineRule="auto"/>
              <w:jc w:val="center"/>
              <w:rPr>
                <w:rFonts w:cs="Calibri"/>
                <w:color w:val="000000"/>
                <w:sz w:val="20"/>
                <w:lang w:eastAsia="es-CR"/>
              </w:rPr>
            </w:pPr>
            <w:r w:rsidRPr="004E74A6">
              <w:rPr>
                <w:rFonts w:cs="Calibri"/>
                <w:color w:val="000000"/>
                <w:sz w:val="20"/>
              </w:rPr>
              <w:t>1</w:t>
            </w:r>
          </w:p>
        </w:tc>
        <w:tc>
          <w:tcPr>
            <w:tcW w:w="2381" w:type="dxa"/>
            <w:tcBorders>
              <w:top w:val="nil"/>
              <w:left w:val="nil"/>
              <w:bottom w:val="nil"/>
              <w:right w:val="nil"/>
            </w:tcBorders>
            <w:shd w:val="clear" w:color="auto" w:fill="auto"/>
            <w:noWrap/>
            <w:vAlign w:val="center"/>
            <w:hideMark/>
          </w:tcPr>
          <w:p w14:paraId="395DC2AD" w14:textId="4221119A" w:rsidR="00386BC3" w:rsidRPr="004E74A6" w:rsidRDefault="00386BC3" w:rsidP="00832773">
            <w:pPr>
              <w:spacing w:line="276" w:lineRule="auto"/>
              <w:jc w:val="center"/>
              <w:rPr>
                <w:rFonts w:cs="Calibri"/>
                <w:color w:val="000000"/>
                <w:sz w:val="20"/>
                <w:lang w:eastAsia="es-CR"/>
              </w:rPr>
            </w:pPr>
            <w:r w:rsidRPr="004E74A6">
              <w:rPr>
                <w:rFonts w:cs="Calibri"/>
                <w:color w:val="000000"/>
                <w:sz w:val="20"/>
              </w:rPr>
              <w:t>79%</w:t>
            </w:r>
          </w:p>
        </w:tc>
      </w:tr>
      <w:tr w:rsidR="00386BC3" w:rsidRPr="004E74A6" w14:paraId="141F88DA" w14:textId="77777777" w:rsidTr="00386BC3">
        <w:trPr>
          <w:trHeight w:val="300"/>
          <w:jc w:val="center"/>
        </w:trPr>
        <w:tc>
          <w:tcPr>
            <w:tcW w:w="2800" w:type="dxa"/>
            <w:tcBorders>
              <w:top w:val="nil"/>
              <w:left w:val="nil"/>
              <w:bottom w:val="nil"/>
              <w:right w:val="single" w:sz="8" w:space="0" w:color="auto"/>
            </w:tcBorders>
            <w:shd w:val="clear" w:color="auto" w:fill="auto"/>
            <w:noWrap/>
            <w:vAlign w:val="center"/>
            <w:hideMark/>
          </w:tcPr>
          <w:p w14:paraId="37CF3043" w14:textId="77777777" w:rsidR="00386BC3" w:rsidRPr="004E74A6" w:rsidRDefault="00386BC3" w:rsidP="00832773">
            <w:pPr>
              <w:spacing w:line="276" w:lineRule="auto"/>
              <w:jc w:val="left"/>
              <w:rPr>
                <w:rFonts w:cs="Calibri"/>
                <w:color w:val="000000"/>
                <w:sz w:val="20"/>
                <w:lang w:eastAsia="es-CR"/>
              </w:rPr>
            </w:pPr>
            <w:r w:rsidRPr="004E74A6">
              <w:rPr>
                <w:rFonts w:cs="Calibri"/>
                <w:color w:val="000000"/>
                <w:sz w:val="20"/>
                <w:lang w:eastAsia="es-CR"/>
              </w:rPr>
              <w:t>De ¢90.000.001 a ¢95.000.000</w:t>
            </w:r>
          </w:p>
        </w:tc>
        <w:tc>
          <w:tcPr>
            <w:tcW w:w="850" w:type="dxa"/>
            <w:tcBorders>
              <w:top w:val="nil"/>
              <w:left w:val="nil"/>
              <w:bottom w:val="nil"/>
              <w:right w:val="single" w:sz="8" w:space="0" w:color="auto"/>
            </w:tcBorders>
            <w:shd w:val="clear" w:color="auto" w:fill="auto"/>
            <w:noWrap/>
            <w:vAlign w:val="center"/>
            <w:hideMark/>
          </w:tcPr>
          <w:p w14:paraId="227B3EFA" w14:textId="5CFEDED9" w:rsidR="00386BC3" w:rsidRPr="004E74A6" w:rsidRDefault="00386BC3" w:rsidP="00832773">
            <w:pPr>
              <w:spacing w:line="276" w:lineRule="auto"/>
              <w:jc w:val="center"/>
              <w:rPr>
                <w:rFonts w:cs="Calibri"/>
                <w:color w:val="000000"/>
                <w:sz w:val="20"/>
                <w:lang w:eastAsia="es-CR"/>
              </w:rPr>
            </w:pPr>
            <w:r w:rsidRPr="004E74A6">
              <w:rPr>
                <w:rFonts w:cs="Calibri"/>
                <w:color w:val="000000"/>
                <w:sz w:val="20"/>
                <w:lang w:eastAsia="es-CR"/>
              </w:rPr>
              <w:t>0 </w:t>
            </w:r>
          </w:p>
        </w:tc>
        <w:tc>
          <w:tcPr>
            <w:tcW w:w="850" w:type="dxa"/>
            <w:tcBorders>
              <w:top w:val="nil"/>
              <w:left w:val="nil"/>
              <w:bottom w:val="nil"/>
              <w:right w:val="single" w:sz="8" w:space="0" w:color="auto"/>
            </w:tcBorders>
            <w:shd w:val="clear" w:color="auto" w:fill="auto"/>
            <w:noWrap/>
            <w:vAlign w:val="center"/>
            <w:hideMark/>
          </w:tcPr>
          <w:p w14:paraId="6D2BBEFB" w14:textId="77777777" w:rsidR="00386BC3" w:rsidRPr="004E74A6" w:rsidRDefault="00386BC3" w:rsidP="00832773">
            <w:pPr>
              <w:spacing w:line="276" w:lineRule="auto"/>
              <w:jc w:val="center"/>
              <w:rPr>
                <w:rFonts w:cs="Calibri"/>
                <w:color w:val="000000"/>
                <w:sz w:val="20"/>
                <w:lang w:eastAsia="es-CR"/>
              </w:rPr>
            </w:pPr>
            <w:r w:rsidRPr="004E74A6">
              <w:rPr>
                <w:rFonts w:cs="Calibri"/>
                <w:color w:val="000000"/>
                <w:sz w:val="20"/>
                <w:lang w:eastAsia="es-CR"/>
              </w:rPr>
              <w:t>2</w:t>
            </w:r>
          </w:p>
        </w:tc>
        <w:tc>
          <w:tcPr>
            <w:tcW w:w="850" w:type="dxa"/>
            <w:tcBorders>
              <w:top w:val="nil"/>
              <w:left w:val="nil"/>
              <w:bottom w:val="nil"/>
              <w:right w:val="single" w:sz="8" w:space="0" w:color="auto"/>
            </w:tcBorders>
            <w:shd w:val="clear" w:color="auto" w:fill="auto"/>
            <w:noWrap/>
            <w:vAlign w:val="center"/>
            <w:hideMark/>
          </w:tcPr>
          <w:p w14:paraId="424A8BEF" w14:textId="77777777" w:rsidR="00386BC3" w:rsidRPr="004E74A6" w:rsidRDefault="00386BC3" w:rsidP="00832773">
            <w:pPr>
              <w:spacing w:line="276" w:lineRule="auto"/>
              <w:jc w:val="center"/>
              <w:rPr>
                <w:rFonts w:cs="Calibri"/>
                <w:color w:val="000000"/>
                <w:sz w:val="20"/>
                <w:lang w:eastAsia="es-CR"/>
              </w:rPr>
            </w:pPr>
            <w:r w:rsidRPr="004E74A6">
              <w:rPr>
                <w:rFonts w:cs="Calibri"/>
                <w:color w:val="000000"/>
                <w:sz w:val="20"/>
                <w:lang w:eastAsia="es-CR"/>
              </w:rPr>
              <w:t>3</w:t>
            </w:r>
          </w:p>
        </w:tc>
        <w:tc>
          <w:tcPr>
            <w:tcW w:w="1134" w:type="dxa"/>
            <w:tcBorders>
              <w:top w:val="nil"/>
              <w:left w:val="nil"/>
              <w:bottom w:val="nil"/>
              <w:right w:val="single" w:sz="8" w:space="0" w:color="auto"/>
            </w:tcBorders>
            <w:shd w:val="clear" w:color="auto" w:fill="auto"/>
            <w:noWrap/>
            <w:vAlign w:val="center"/>
            <w:hideMark/>
          </w:tcPr>
          <w:p w14:paraId="40E72744" w14:textId="6826FD8C" w:rsidR="00386BC3" w:rsidRPr="004E74A6" w:rsidRDefault="00386BC3" w:rsidP="00832773">
            <w:pPr>
              <w:spacing w:line="276" w:lineRule="auto"/>
              <w:jc w:val="center"/>
              <w:rPr>
                <w:rFonts w:cs="Calibri"/>
                <w:color w:val="000000"/>
                <w:sz w:val="20"/>
                <w:lang w:eastAsia="es-CR"/>
              </w:rPr>
            </w:pPr>
            <w:r w:rsidRPr="004E74A6">
              <w:rPr>
                <w:rFonts w:cs="Calibri"/>
                <w:color w:val="000000"/>
                <w:sz w:val="20"/>
              </w:rPr>
              <w:t>2</w:t>
            </w:r>
          </w:p>
        </w:tc>
        <w:tc>
          <w:tcPr>
            <w:tcW w:w="2381" w:type="dxa"/>
            <w:tcBorders>
              <w:top w:val="nil"/>
              <w:left w:val="nil"/>
              <w:bottom w:val="nil"/>
              <w:right w:val="nil"/>
            </w:tcBorders>
            <w:shd w:val="clear" w:color="auto" w:fill="auto"/>
            <w:noWrap/>
            <w:vAlign w:val="center"/>
            <w:hideMark/>
          </w:tcPr>
          <w:p w14:paraId="7EDA3491" w14:textId="5042AA31" w:rsidR="00386BC3" w:rsidRPr="004E74A6" w:rsidRDefault="00386BC3" w:rsidP="00832773">
            <w:pPr>
              <w:spacing w:line="276" w:lineRule="auto"/>
              <w:jc w:val="center"/>
              <w:rPr>
                <w:rFonts w:cs="Calibri"/>
                <w:color w:val="000000"/>
                <w:sz w:val="20"/>
                <w:lang w:eastAsia="es-CR"/>
              </w:rPr>
            </w:pPr>
            <w:r w:rsidRPr="004E74A6">
              <w:rPr>
                <w:rFonts w:cs="Calibri"/>
                <w:color w:val="000000"/>
                <w:sz w:val="20"/>
              </w:rPr>
              <w:t>80%</w:t>
            </w:r>
          </w:p>
        </w:tc>
      </w:tr>
      <w:tr w:rsidR="00386BC3" w:rsidRPr="004E74A6" w14:paraId="0323CDA1" w14:textId="77777777" w:rsidTr="00386BC3">
        <w:trPr>
          <w:trHeight w:val="300"/>
          <w:jc w:val="center"/>
        </w:trPr>
        <w:tc>
          <w:tcPr>
            <w:tcW w:w="2800" w:type="dxa"/>
            <w:tcBorders>
              <w:top w:val="nil"/>
              <w:left w:val="nil"/>
              <w:bottom w:val="nil"/>
              <w:right w:val="single" w:sz="8" w:space="0" w:color="auto"/>
            </w:tcBorders>
            <w:shd w:val="clear" w:color="auto" w:fill="auto"/>
            <w:noWrap/>
            <w:vAlign w:val="center"/>
            <w:hideMark/>
          </w:tcPr>
          <w:p w14:paraId="18D1D582" w14:textId="77777777" w:rsidR="00386BC3" w:rsidRPr="004E74A6" w:rsidRDefault="00386BC3" w:rsidP="00832773">
            <w:pPr>
              <w:spacing w:line="276" w:lineRule="auto"/>
              <w:jc w:val="left"/>
              <w:rPr>
                <w:rFonts w:cs="Calibri"/>
                <w:color w:val="000000"/>
                <w:sz w:val="20"/>
                <w:lang w:eastAsia="es-CR"/>
              </w:rPr>
            </w:pPr>
            <w:r w:rsidRPr="004E74A6">
              <w:rPr>
                <w:rFonts w:cs="Calibri"/>
                <w:color w:val="000000"/>
                <w:sz w:val="20"/>
                <w:lang w:eastAsia="es-CR"/>
              </w:rPr>
              <w:t>De ¢95.000.001 a ¢100.000.000</w:t>
            </w:r>
          </w:p>
        </w:tc>
        <w:tc>
          <w:tcPr>
            <w:tcW w:w="850" w:type="dxa"/>
            <w:tcBorders>
              <w:top w:val="nil"/>
              <w:left w:val="nil"/>
              <w:bottom w:val="nil"/>
              <w:right w:val="single" w:sz="8" w:space="0" w:color="auto"/>
            </w:tcBorders>
            <w:shd w:val="clear" w:color="auto" w:fill="auto"/>
            <w:noWrap/>
            <w:vAlign w:val="center"/>
            <w:hideMark/>
          </w:tcPr>
          <w:p w14:paraId="44F8AC8D" w14:textId="77777777" w:rsidR="00386BC3" w:rsidRPr="004E74A6" w:rsidRDefault="00386BC3" w:rsidP="00832773">
            <w:pPr>
              <w:spacing w:line="276" w:lineRule="auto"/>
              <w:jc w:val="center"/>
              <w:rPr>
                <w:rFonts w:cs="Calibri"/>
                <w:color w:val="000000"/>
                <w:sz w:val="20"/>
                <w:lang w:eastAsia="es-CR"/>
              </w:rPr>
            </w:pPr>
            <w:r w:rsidRPr="004E74A6">
              <w:rPr>
                <w:rFonts w:cs="Calibri"/>
                <w:color w:val="000000"/>
                <w:sz w:val="20"/>
                <w:lang w:eastAsia="es-CR"/>
              </w:rPr>
              <w:t>3</w:t>
            </w:r>
          </w:p>
        </w:tc>
        <w:tc>
          <w:tcPr>
            <w:tcW w:w="850" w:type="dxa"/>
            <w:tcBorders>
              <w:top w:val="nil"/>
              <w:left w:val="nil"/>
              <w:bottom w:val="nil"/>
              <w:right w:val="single" w:sz="8" w:space="0" w:color="auto"/>
            </w:tcBorders>
            <w:shd w:val="clear" w:color="auto" w:fill="auto"/>
            <w:noWrap/>
            <w:vAlign w:val="center"/>
            <w:hideMark/>
          </w:tcPr>
          <w:p w14:paraId="13006C46" w14:textId="77777777" w:rsidR="00386BC3" w:rsidRPr="004E74A6" w:rsidRDefault="00386BC3" w:rsidP="00832773">
            <w:pPr>
              <w:spacing w:line="276" w:lineRule="auto"/>
              <w:jc w:val="center"/>
              <w:rPr>
                <w:rFonts w:cs="Calibri"/>
                <w:color w:val="000000"/>
                <w:sz w:val="20"/>
                <w:lang w:eastAsia="es-CR"/>
              </w:rPr>
            </w:pPr>
            <w:r w:rsidRPr="004E74A6">
              <w:rPr>
                <w:rFonts w:cs="Calibri"/>
                <w:color w:val="000000"/>
                <w:sz w:val="20"/>
                <w:lang w:eastAsia="es-CR"/>
              </w:rPr>
              <w:t>6</w:t>
            </w:r>
          </w:p>
        </w:tc>
        <w:tc>
          <w:tcPr>
            <w:tcW w:w="850" w:type="dxa"/>
            <w:tcBorders>
              <w:top w:val="nil"/>
              <w:left w:val="nil"/>
              <w:bottom w:val="nil"/>
              <w:right w:val="single" w:sz="8" w:space="0" w:color="auto"/>
            </w:tcBorders>
            <w:shd w:val="clear" w:color="auto" w:fill="auto"/>
            <w:noWrap/>
            <w:vAlign w:val="center"/>
            <w:hideMark/>
          </w:tcPr>
          <w:p w14:paraId="1246851C" w14:textId="77777777" w:rsidR="00386BC3" w:rsidRPr="004E74A6" w:rsidRDefault="00386BC3" w:rsidP="00832773">
            <w:pPr>
              <w:spacing w:line="276" w:lineRule="auto"/>
              <w:jc w:val="center"/>
              <w:rPr>
                <w:rFonts w:cs="Calibri"/>
                <w:color w:val="000000"/>
                <w:sz w:val="20"/>
                <w:lang w:eastAsia="es-CR"/>
              </w:rPr>
            </w:pPr>
            <w:r w:rsidRPr="004E74A6">
              <w:rPr>
                <w:rFonts w:cs="Calibri"/>
                <w:color w:val="000000"/>
                <w:sz w:val="20"/>
                <w:lang w:eastAsia="es-CR"/>
              </w:rPr>
              <w:t>8</w:t>
            </w:r>
          </w:p>
        </w:tc>
        <w:tc>
          <w:tcPr>
            <w:tcW w:w="1134" w:type="dxa"/>
            <w:tcBorders>
              <w:top w:val="nil"/>
              <w:left w:val="nil"/>
              <w:bottom w:val="nil"/>
              <w:right w:val="single" w:sz="8" w:space="0" w:color="auto"/>
            </w:tcBorders>
            <w:shd w:val="clear" w:color="auto" w:fill="auto"/>
            <w:noWrap/>
            <w:vAlign w:val="center"/>
            <w:hideMark/>
          </w:tcPr>
          <w:p w14:paraId="366D482F" w14:textId="51D02559" w:rsidR="00386BC3" w:rsidRPr="004E74A6" w:rsidRDefault="00386BC3" w:rsidP="00832773">
            <w:pPr>
              <w:spacing w:line="276" w:lineRule="auto"/>
              <w:jc w:val="center"/>
              <w:rPr>
                <w:rFonts w:cs="Calibri"/>
                <w:color w:val="000000"/>
                <w:sz w:val="20"/>
                <w:lang w:eastAsia="es-CR"/>
              </w:rPr>
            </w:pPr>
            <w:r w:rsidRPr="004E74A6">
              <w:rPr>
                <w:rFonts w:cs="Calibri"/>
                <w:color w:val="000000"/>
                <w:sz w:val="20"/>
              </w:rPr>
              <w:t>6</w:t>
            </w:r>
          </w:p>
        </w:tc>
        <w:tc>
          <w:tcPr>
            <w:tcW w:w="2381" w:type="dxa"/>
            <w:tcBorders>
              <w:top w:val="nil"/>
              <w:left w:val="nil"/>
              <w:bottom w:val="nil"/>
              <w:right w:val="nil"/>
            </w:tcBorders>
            <w:shd w:val="clear" w:color="auto" w:fill="auto"/>
            <w:noWrap/>
            <w:vAlign w:val="center"/>
            <w:hideMark/>
          </w:tcPr>
          <w:p w14:paraId="1976F1B8" w14:textId="03DC9DC5" w:rsidR="00386BC3" w:rsidRPr="004E74A6" w:rsidRDefault="00386BC3" w:rsidP="00832773">
            <w:pPr>
              <w:spacing w:line="276" w:lineRule="auto"/>
              <w:jc w:val="center"/>
              <w:rPr>
                <w:rFonts w:cs="Calibri"/>
                <w:color w:val="000000"/>
                <w:sz w:val="20"/>
                <w:lang w:eastAsia="es-CR"/>
              </w:rPr>
            </w:pPr>
            <w:r w:rsidRPr="004E74A6">
              <w:rPr>
                <w:rFonts w:cs="Calibri"/>
                <w:color w:val="000000"/>
                <w:sz w:val="20"/>
              </w:rPr>
              <w:t>82%</w:t>
            </w:r>
          </w:p>
        </w:tc>
      </w:tr>
      <w:tr w:rsidR="00386BC3" w:rsidRPr="004E74A6" w14:paraId="7BDE9509" w14:textId="77777777" w:rsidTr="00386BC3">
        <w:trPr>
          <w:trHeight w:val="300"/>
          <w:jc w:val="center"/>
        </w:trPr>
        <w:tc>
          <w:tcPr>
            <w:tcW w:w="2800" w:type="dxa"/>
            <w:tcBorders>
              <w:top w:val="nil"/>
              <w:left w:val="nil"/>
              <w:bottom w:val="nil"/>
              <w:right w:val="single" w:sz="8" w:space="0" w:color="auto"/>
            </w:tcBorders>
            <w:shd w:val="clear" w:color="auto" w:fill="auto"/>
            <w:noWrap/>
            <w:vAlign w:val="center"/>
            <w:hideMark/>
          </w:tcPr>
          <w:p w14:paraId="0F944C4B" w14:textId="77777777" w:rsidR="00386BC3" w:rsidRPr="004E74A6" w:rsidRDefault="00386BC3" w:rsidP="00832773">
            <w:pPr>
              <w:spacing w:line="276" w:lineRule="auto"/>
              <w:jc w:val="left"/>
              <w:rPr>
                <w:rFonts w:cs="Calibri"/>
                <w:color w:val="000000"/>
                <w:sz w:val="20"/>
                <w:lang w:eastAsia="es-CR"/>
              </w:rPr>
            </w:pPr>
            <w:r w:rsidRPr="004E74A6">
              <w:rPr>
                <w:rFonts w:cs="Calibri"/>
                <w:color w:val="000000"/>
                <w:sz w:val="20"/>
                <w:lang w:eastAsia="es-CR"/>
              </w:rPr>
              <w:t>Más de ¢100.000.000</w:t>
            </w:r>
          </w:p>
        </w:tc>
        <w:tc>
          <w:tcPr>
            <w:tcW w:w="850" w:type="dxa"/>
            <w:tcBorders>
              <w:top w:val="nil"/>
              <w:left w:val="nil"/>
              <w:bottom w:val="nil"/>
              <w:right w:val="single" w:sz="8" w:space="0" w:color="auto"/>
            </w:tcBorders>
            <w:shd w:val="clear" w:color="auto" w:fill="auto"/>
            <w:noWrap/>
            <w:vAlign w:val="center"/>
            <w:hideMark/>
          </w:tcPr>
          <w:p w14:paraId="473F9292" w14:textId="77777777" w:rsidR="00386BC3" w:rsidRPr="004E74A6" w:rsidRDefault="00386BC3" w:rsidP="00832773">
            <w:pPr>
              <w:spacing w:line="276" w:lineRule="auto"/>
              <w:jc w:val="center"/>
              <w:rPr>
                <w:rFonts w:cs="Calibri"/>
                <w:color w:val="000000"/>
                <w:sz w:val="20"/>
                <w:lang w:eastAsia="es-CR"/>
              </w:rPr>
            </w:pPr>
            <w:r w:rsidRPr="004E74A6">
              <w:rPr>
                <w:rFonts w:cs="Calibri"/>
                <w:color w:val="000000"/>
                <w:sz w:val="20"/>
                <w:lang w:eastAsia="es-CR"/>
              </w:rPr>
              <w:t>15</w:t>
            </w:r>
          </w:p>
        </w:tc>
        <w:tc>
          <w:tcPr>
            <w:tcW w:w="850" w:type="dxa"/>
            <w:tcBorders>
              <w:top w:val="nil"/>
              <w:left w:val="nil"/>
              <w:bottom w:val="nil"/>
              <w:right w:val="single" w:sz="8" w:space="0" w:color="auto"/>
            </w:tcBorders>
            <w:shd w:val="clear" w:color="auto" w:fill="auto"/>
            <w:noWrap/>
            <w:vAlign w:val="center"/>
            <w:hideMark/>
          </w:tcPr>
          <w:p w14:paraId="6CE6B3CB" w14:textId="77777777" w:rsidR="00386BC3" w:rsidRPr="004E74A6" w:rsidRDefault="00386BC3" w:rsidP="00832773">
            <w:pPr>
              <w:spacing w:line="276" w:lineRule="auto"/>
              <w:jc w:val="center"/>
              <w:rPr>
                <w:rFonts w:cs="Calibri"/>
                <w:color w:val="000000"/>
                <w:sz w:val="20"/>
                <w:lang w:eastAsia="es-CR"/>
              </w:rPr>
            </w:pPr>
            <w:r w:rsidRPr="004E74A6">
              <w:rPr>
                <w:rFonts w:cs="Calibri"/>
                <w:color w:val="000000"/>
                <w:sz w:val="20"/>
                <w:lang w:eastAsia="es-CR"/>
              </w:rPr>
              <w:t>43</w:t>
            </w:r>
          </w:p>
        </w:tc>
        <w:tc>
          <w:tcPr>
            <w:tcW w:w="850" w:type="dxa"/>
            <w:tcBorders>
              <w:top w:val="nil"/>
              <w:left w:val="nil"/>
              <w:bottom w:val="nil"/>
              <w:right w:val="single" w:sz="8" w:space="0" w:color="auto"/>
            </w:tcBorders>
            <w:shd w:val="clear" w:color="auto" w:fill="auto"/>
            <w:noWrap/>
            <w:vAlign w:val="center"/>
            <w:hideMark/>
          </w:tcPr>
          <w:p w14:paraId="698C5AE5" w14:textId="77777777" w:rsidR="00386BC3" w:rsidRPr="004E74A6" w:rsidRDefault="00386BC3" w:rsidP="00832773">
            <w:pPr>
              <w:spacing w:line="276" w:lineRule="auto"/>
              <w:jc w:val="center"/>
              <w:rPr>
                <w:rFonts w:cs="Calibri"/>
                <w:color w:val="000000"/>
                <w:sz w:val="20"/>
                <w:lang w:eastAsia="es-CR"/>
              </w:rPr>
            </w:pPr>
            <w:r w:rsidRPr="004E74A6">
              <w:rPr>
                <w:rFonts w:cs="Calibri"/>
                <w:color w:val="000000"/>
                <w:sz w:val="20"/>
                <w:lang w:eastAsia="es-CR"/>
              </w:rPr>
              <w:t>44</w:t>
            </w:r>
          </w:p>
        </w:tc>
        <w:tc>
          <w:tcPr>
            <w:tcW w:w="1134" w:type="dxa"/>
            <w:tcBorders>
              <w:top w:val="nil"/>
              <w:left w:val="nil"/>
              <w:bottom w:val="nil"/>
              <w:right w:val="single" w:sz="8" w:space="0" w:color="auto"/>
            </w:tcBorders>
            <w:shd w:val="clear" w:color="auto" w:fill="auto"/>
            <w:noWrap/>
            <w:vAlign w:val="center"/>
            <w:hideMark/>
          </w:tcPr>
          <w:p w14:paraId="4887EF9D" w14:textId="5C2C875C" w:rsidR="00386BC3" w:rsidRPr="004E74A6" w:rsidRDefault="00386BC3" w:rsidP="00832773">
            <w:pPr>
              <w:spacing w:line="276" w:lineRule="auto"/>
              <w:jc w:val="center"/>
              <w:rPr>
                <w:rFonts w:cs="Calibri"/>
                <w:color w:val="000000"/>
                <w:sz w:val="20"/>
                <w:lang w:eastAsia="es-CR"/>
              </w:rPr>
            </w:pPr>
            <w:r w:rsidRPr="004E74A6">
              <w:rPr>
                <w:rFonts w:cs="Calibri"/>
                <w:color w:val="000000"/>
                <w:sz w:val="20"/>
              </w:rPr>
              <w:t>34</w:t>
            </w:r>
          </w:p>
        </w:tc>
        <w:tc>
          <w:tcPr>
            <w:tcW w:w="2381" w:type="dxa"/>
            <w:tcBorders>
              <w:top w:val="nil"/>
              <w:left w:val="nil"/>
              <w:bottom w:val="nil"/>
              <w:right w:val="nil"/>
            </w:tcBorders>
            <w:shd w:val="clear" w:color="auto" w:fill="auto"/>
            <w:noWrap/>
            <w:vAlign w:val="center"/>
            <w:hideMark/>
          </w:tcPr>
          <w:p w14:paraId="22002D82" w14:textId="48BC3483" w:rsidR="00386BC3" w:rsidRPr="004E74A6" w:rsidRDefault="00386BC3" w:rsidP="00832773">
            <w:pPr>
              <w:spacing w:line="276" w:lineRule="auto"/>
              <w:jc w:val="center"/>
              <w:rPr>
                <w:rFonts w:cs="Calibri"/>
                <w:color w:val="000000"/>
                <w:sz w:val="20"/>
                <w:lang w:eastAsia="es-CR"/>
              </w:rPr>
            </w:pPr>
            <w:r w:rsidRPr="004E74A6">
              <w:rPr>
                <w:rFonts w:cs="Calibri"/>
                <w:color w:val="000000"/>
                <w:sz w:val="20"/>
              </w:rPr>
              <w:t>98%</w:t>
            </w:r>
          </w:p>
        </w:tc>
      </w:tr>
      <w:tr w:rsidR="00386BC3" w:rsidRPr="004E74A6" w14:paraId="0DF8177D" w14:textId="77777777" w:rsidTr="00386BC3">
        <w:trPr>
          <w:trHeight w:val="315"/>
          <w:jc w:val="center"/>
        </w:trPr>
        <w:tc>
          <w:tcPr>
            <w:tcW w:w="2800" w:type="dxa"/>
            <w:tcBorders>
              <w:top w:val="nil"/>
              <w:left w:val="nil"/>
              <w:bottom w:val="single" w:sz="8" w:space="0" w:color="auto"/>
              <w:right w:val="single" w:sz="8" w:space="0" w:color="auto"/>
            </w:tcBorders>
            <w:shd w:val="clear" w:color="auto" w:fill="auto"/>
            <w:noWrap/>
            <w:vAlign w:val="center"/>
            <w:hideMark/>
          </w:tcPr>
          <w:p w14:paraId="25087F0B" w14:textId="77777777" w:rsidR="00386BC3" w:rsidRPr="004E74A6" w:rsidRDefault="00386BC3" w:rsidP="00832773">
            <w:pPr>
              <w:spacing w:line="276" w:lineRule="auto"/>
              <w:jc w:val="left"/>
              <w:rPr>
                <w:rFonts w:cs="Calibri"/>
                <w:color w:val="ED7D31"/>
                <w:sz w:val="20"/>
                <w:lang w:eastAsia="es-CR"/>
              </w:rPr>
            </w:pPr>
            <w:r w:rsidRPr="004E74A6">
              <w:rPr>
                <w:rFonts w:cs="Calibri"/>
                <w:color w:val="ED7D31"/>
                <w:sz w:val="20"/>
                <w:lang w:eastAsia="es-CR"/>
              </w:rPr>
              <w:t>Expedientes Cuantía Cero</w:t>
            </w:r>
          </w:p>
        </w:tc>
        <w:tc>
          <w:tcPr>
            <w:tcW w:w="850" w:type="dxa"/>
            <w:tcBorders>
              <w:top w:val="nil"/>
              <w:left w:val="nil"/>
              <w:bottom w:val="single" w:sz="8" w:space="0" w:color="auto"/>
              <w:right w:val="single" w:sz="8" w:space="0" w:color="auto"/>
            </w:tcBorders>
            <w:shd w:val="clear" w:color="auto" w:fill="auto"/>
            <w:noWrap/>
            <w:vAlign w:val="center"/>
            <w:hideMark/>
          </w:tcPr>
          <w:p w14:paraId="51FE9DBD" w14:textId="77777777" w:rsidR="00386BC3" w:rsidRPr="004E74A6" w:rsidRDefault="00386BC3" w:rsidP="00832773">
            <w:pPr>
              <w:spacing w:line="276" w:lineRule="auto"/>
              <w:jc w:val="center"/>
              <w:rPr>
                <w:rFonts w:cs="Calibri"/>
                <w:color w:val="ED7D31"/>
                <w:sz w:val="20"/>
                <w:lang w:eastAsia="es-CR"/>
              </w:rPr>
            </w:pPr>
            <w:r w:rsidRPr="004E74A6">
              <w:rPr>
                <w:rFonts w:cs="Calibri"/>
                <w:color w:val="ED7D31"/>
                <w:sz w:val="20"/>
                <w:lang w:eastAsia="es-CR"/>
              </w:rPr>
              <w:t>1</w:t>
            </w:r>
          </w:p>
        </w:tc>
        <w:tc>
          <w:tcPr>
            <w:tcW w:w="850" w:type="dxa"/>
            <w:tcBorders>
              <w:top w:val="nil"/>
              <w:left w:val="nil"/>
              <w:bottom w:val="single" w:sz="8" w:space="0" w:color="auto"/>
              <w:right w:val="single" w:sz="8" w:space="0" w:color="auto"/>
            </w:tcBorders>
            <w:shd w:val="clear" w:color="auto" w:fill="auto"/>
            <w:noWrap/>
            <w:vAlign w:val="center"/>
            <w:hideMark/>
          </w:tcPr>
          <w:p w14:paraId="2FF64636" w14:textId="77777777" w:rsidR="00386BC3" w:rsidRPr="004E74A6" w:rsidRDefault="00386BC3" w:rsidP="00832773">
            <w:pPr>
              <w:spacing w:line="276" w:lineRule="auto"/>
              <w:jc w:val="center"/>
              <w:rPr>
                <w:rFonts w:cs="Calibri"/>
                <w:color w:val="ED7D31"/>
                <w:sz w:val="20"/>
                <w:lang w:eastAsia="es-CR"/>
              </w:rPr>
            </w:pPr>
            <w:r w:rsidRPr="004E74A6">
              <w:rPr>
                <w:rFonts w:cs="Calibri"/>
                <w:color w:val="ED7D31"/>
                <w:sz w:val="20"/>
                <w:lang w:eastAsia="es-CR"/>
              </w:rPr>
              <w:t>14</w:t>
            </w:r>
          </w:p>
        </w:tc>
        <w:tc>
          <w:tcPr>
            <w:tcW w:w="850" w:type="dxa"/>
            <w:tcBorders>
              <w:top w:val="nil"/>
              <w:left w:val="nil"/>
              <w:bottom w:val="single" w:sz="8" w:space="0" w:color="auto"/>
              <w:right w:val="single" w:sz="8" w:space="0" w:color="auto"/>
            </w:tcBorders>
            <w:shd w:val="clear" w:color="auto" w:fill="auto"/>
            <w:noWrap/>
            <w:vAlign w:val="center"/>
            <w:hideMark/>
          </w:tcPr>
          <w:p w14:paraId="15F04456" w14:textId="34B69F02" w:rsidR="00386BC3" w:rsidRPr="004E74A6" w:rsidRDefault="00386BC3" w:rsidP="00832773">
            <w:pPr>
              <w:spacing w:line="276" w:lineRule="auto"/>
              <w:jc w:val="center"/>
              <w:rPr>
                <w:rFonts w:cs="Calibri"/>
                <w:color w:val="ED7D31"/>
                <w:sz w:val="20"/>
                <w:lang w:eastAsia="es-CR"/>
              </w:rPr>
            </w:pPr>
            <w:r w:rsidRPr="004E74A6">
              <w:rPr>
                <w:rFonts w:cs="Calibri"/>
                <w:color w:val="ED7D31"/>
                <w:sz w:val="20"/>
                <w:lang w:eastAsia="es-CR"/>
              </w:rPr>
              <w:t> 0</w:t>
            </w:r>
          </w:p>
        </w:tc>
        <w:tc>
          <w:tcPr>
            <w:tcW w:w="1134" w:type="dxa"/>
            <w:tcBorders>
              <w:top w:val="nil"/>
              <w:left w:val="nil"/>
              <w:bottom w:val="single" w:sz="8" w:space="0" w:color="auto"/>
              <w:right w:val="single" w:sz="8" w:space="0" w:color="auto"/>
            </w:tcBorders>
            <w:shd w:val="clear" w:color="auto" w:fill="auto"/>
            <w:noWrap/>
            <w:vAlign w:val="center"/>
            <w:hideMark/>
          </w:tcPr>
          <w:p w14:paraId="3D7A4BFE" w14:textId="5F8B9287" w:rsidR="00386BC3" w:rsidRPr="004E74A6" w:rsidRDefault="00386BC3" w:rsidP="00832773">
            <w:pPr>
              <w:spacing w:line="276" w:lineRule="auto"/>
              <w:jc w:val="center"/>
              <w:rPr>
                <w:rFonts w:cs="Calibri"/>
                <w:color w:val="ED7D31" w:themeColor="accent2"/>
                <w:sz w:val="20"/>
                <w:lang w:eastAsia="es-CR"/>
              </w:rPr>
            </w:pPr>
            <w:r w:rsidRPr="004E74A6">
              <w:rPr>
                <w:rFonts w:cs="Calibri"/>
                <w:color w:val="ED7D31" w:themeColor="accent2"/>
                <w:sz w:val="20"/>
              </w:rPr>
              <w:t>5</w:t>
            </w:r>
          </w:p>
        </w:tc>
        <w:tc>
          <w:tcPr>
            <w:tcW w:w="2381" w:type="dxa"/>
            <w:tcBorders>
              <w:top w:val="nil"/>
              <w:left w:val="nil"/>
              <w:bottom w:val="single" w:sz="8" w:space="0" w:color="auto"/>
              <w:right w:val="nil"/>
            </w:tcBorders>
            <w:shd w:val="clear" w:color="auto" w:fill="auto"/>
            <w:noWrap/>
            <w:vAlign w:val="center"/>
            <w:hideMark/>
          </w:tcPr>
          <w:p w14:paraId="17C22452" w14:textId="245A395B" w:rsidR="00386BC3" w:rsidRPr="004E74A6" w:rsidRDefault="00386BC3" w:rsidP="00832773">
            <w:pPr>
              <w:spacing w:line="276" w:lineRule="auto"/>
              <w:jc w:val="center"/>
              <w:rPr>
                <w:rFonts w:cs="Calibri"/>
                <w:color w:val="ED7D31" w:themeColor="accent2"/>
                <w:sz w:val="20"/>
                <w:lang w:eastAsia="es-CR"/>
              </w:rPr>
            </w:pPr>
            <w:r w:rsidRPr="004E74A6">
              <w:rPr>
                <w:rFonts w:cs="Calibri"/>
                <w:color w:val="ED7D31" w:themeColor="accent2"/>
                <w:sz w:val="20"/>
              </w:rPr>
              <w:t>100%</w:t>
            </w:r>
          </w:p>
        </w:tc>
      </w:tr>
    </w:tbl>
    <w:p w14:paraId="20FC7433" w14:textId="77777777" w:rsidR="00A24ABB" w:rsidRPr="004E74A6" w:rsidRDefault="00A24ABB" w:rsidP="00832773">
      <w:pPr>
        <w:spacing w:line="276" w:lineRule="auto"/>
        <w:ind w:left="1191" w:right="1191"/>
        <w:rPr>
          <w:rFonts w:cs="Calibri"/>
          <w:b/>
          <w:bCs/>
          <w:color w:val="000000"/>
          <w:sz w:val="20"/>
          <w:lang w:eastAsia="es-CR"/>
        </w:rPr>
      </w:pPr>
    </w:p>
    <w:p w14:paraId="534BB6E4" w14:textId="1EEA639E" w:rsidR="003E4755" w:rsidRPr="004E74A6" w:rsidRDefault="003E4755" w:rsidP="00832773">
      <w:pPr>
        <w:spacing w:line="276" w:lineRule="auto"/>
        <w:ind w:right="51"/>
        <w:rPr>
          <w:rFonts w:cs="Calibri"/>
          <w:i/>
          <w:iCs/>
          <w:color w:val="000000"/>
          <w:sz w:val="20"/>
          <w:lang w:eastAsia="es-CR"/>
        </w:rPr>
      </w:pPr>
      <w:r w:rsidRPr="004E74A6">
        <w:rPr>
          <w:rFonts w:cs="Calibri"/>
          <w:b/>
          <w:bCs/>
          <w:i/>
          <w:iCs/>
          <w:color w:val="000000"/>
          <w:sz w:val="20"/>
          <w:lang w:eastAsia="es-CR"/>
        </w:rPr>
        <w:t>Fuente</w:t>
      </w:r>
      <w:r w:rsidRPr="004E74A6">
        <w:rPr>
          <w:rFonts w:cs="Calibri"/>
          <w:i/>
          <w:iCs/>
          <w:color w:val="000000"/>
          <w:sz w:val="20"/>
          <w:lang w:eastAsia="es-CR"/>
        </w:rPr>
        <w:t>: Subproceso de Modernización Institucional con datos extraídos del sistema SIGMA, Dirección de Planificación.</w:t>
      </w:r>
    </w:p>
    <w:p w14:paraId="222F9F67" w14:textId="77777777" w:rsidR="00662185" w:rsidRPr="004E74A6" w:rsidRDefault="00662185" w:rsidP="00CE62C1">
      <w:pPr>
        <w:spacing w:after="160" w:line="276" w:lineRule="auto"/>
        <w:rPr>
          <w:rFonts w:cs="Calibri"/>
          <w:color w:val="000000"/>
          <w:szCs w:val="24"/>
          <w:lang w:eastAsia="es-CR"/>
        </w:rPr>
      </w:pPr>
      <w:bookmarkStart w:id="9" w:name="_Hlk105404353"/>
    </w:p>
    <w:p w14:paraId="70DBE441" w14:textId="3AC22D82" w:rsidR="00C41157" w:rsidRPr="004E74A6" w:rsidRDefault="00C41157" w:rsidP="00CE62C1">
      <w:pPr>
        <w:spacing w:after="160" w:line="276" w:lineRule="auto"/>
        <w:rPr>
          <w:rFonts w:cs="Calibri"/>
          <w:color w:val="000000"/>
          <w:szCs w:val="24"/>
          <w:lang w:eastAsia="es-CR"/>
        </w:rPr>
      </w:pPr>
      <w:r w:rsidRPr="004E74A6">
        <w:rPr>
          <w:rFonts w:cs="Calibri"/>
          <w:color w:val="000000"/>
          <w:szCs w:val="24"/>
          <w:lang w:eastAsia="es-CR"/>
        </w:rPr>
        <w:t>Como se observa en 2019</w:t>
      </w:r>
      <w:r w:rsidR="00D92FCA">
        <w:rPr>
          <w:rFonts w:cs="Calibri"/>
          <w:color w:val="000000"/>
          <w:szCs w:val="24"/>
          <w:lang w:eastAsia="es-CR"/>
        </w:rPr>
        <w:t>,</w:t>
      </w:r>
      <w:r w:rsidRPr="004E74A6">
        <w:rPr>
          <w:rFonts w:cs="Calibri"/>
          <w:color w:val="000000"/>
          <w:szCs w:val="24"/>
          <w:lang w:eastAsia="es-CR"/>
        </w:rPr>
        <w:t xml:space="preserve"> se reportó</w:t>
      </w:r>
      <w:r w:rsidR="009F75A7" w:rsidRPr="004E74A6">
        <w:rPr>
          <w:rFonts w:cs="Calibri"/>
          <w:color w:val="000000"/>
          <w:szCs w:val="24"/>
          <w:lang w:eastAsia="es-CR"/>
        </w:rPr>
        <w:t xml:space="preserve"> un asunto</w:t>
      </w:r>
      <w:r w:rsidRPr="004E74A6">
        <w:rPr>
          <w:rFonts w:cs="Calibri"/>
          <w:color w:val="000000"/>
          <w:szCs w:val="24"/>
          <w:lang w:eastAsia="es-CR"/>
        </w:rPr>
        <w:t xml:space="preserve"> con el rango de cuantía </w:t>
      </w:r>
      <w:r w:rsidRPr="004E74A6">
        <w:rPr>
          <w:rFonts w:cs="Calibri"/>
          <w:i/>
          <w:iCs/>
          <w:color w:val="000000"/>
          <w:szCs w:val="24"/>
          <w:lang w:eastAsia="es-CR"/>
        </w:rPr>
        <w:t>“</w:t>
      </w:r>
      <w:r w:rsidR="00D05FC7" w:rsidRPr="004E74A6">
        <w:rPr>
          <w:rFonts w:cs="Calibri"/>
          <w:i/>
          <w:iCs/>
          <w:color w:val="000000"/>
          <w:szCs w:val="24"/>
          <w:lang w:eastAsia="es-CR"/>
        </w:rPr>
        <w:t>expedientes</w:t>
      </w:r>
      <w:r w:rsidRPr="004E74A6">
        <w:rPr>
          <w:rFonts w:cs="Calibri"/>
          <w:i/>
          <w:iCs/>
          <w:color w:val="000000"/>
          <w:szCs w:val="24"/>
          <w:lang w:eastAsia="es-CR"/>
        </w:rPr>
        <w:t xml:space="preserve"> cuantía cero”</w:t>
      </w:r>
      <w:r w:rsidRPr="004E74A6">
        <w:rPr>
          <w:rFonts w:cs="Calibri"/>
          <w:color w:val="000000"/>
          <w:szCs w:val="24"/>
          <w:lang w:eastAsia="es-CR"/>
        </w:rPr>
        <w:t xml:space="preserve"> y 14 en 2020, eso sucedió porque el </w:t>
      </w:r>
      <w:r w:rsidR="007B36C2" w:rsidRPr="004E74A6">
        <w:rPr>
          <w:rFonts w:cs="Calibri"/>
          <w:color w:val="000000"/>
          <w:szCs w:val="24"/>
          <w:lang w:eastAsia="es-CR"/>
        </w:rPr>
        <w:t>Tribunal</w:t>
      </w:r>
      <w:r w:rsidRPr="004E74A6">
        <w:rPr>
          <w:rFonts w:cs="Calibri"/>
          <w:color w:val="000000"/>
          <w:szCs w:val="24"/>
          <w:lang w:eastAsia="es-CR"/>
        </w:rPr>
        <w:t xml:space="preserve"> indicó que el proceso era estimable pero no completo la opción de rango. Para 2021 la situación se corrigió con una mejora de la Dirección de Tecnología de la </w:t>
      </w:r>
      <w:r w:rsidR="009F75A7" w:rsidRPr="004E74A6">
        <w:rPr>
          <w:rFonts w:cs="Calibri"/>
          <w:color w:val="000000"/>
          <w:szCs w:val="24"/>
          <w:lang w:eastAsia="es-CR"/>
        </w:rPr>
        <w:t>I</w:t>
      </w:r>
      <w:r w:rsidRPr="004E74A6">
        <w:rPr>
          <w:rFonts w:cs="Calibri"/>
          <w:color w:val="000000"/>
          <w:szCs w:val="24"/>
          <w:lang w:eastAsia="es-CR"/>
        </w:rPr>
        <w:t>nformación</w:t>
      </w:r>
      <w:r w:rsidR="00D92FCA">
        <w:rPr>
          <w:rFonts w:cs="Calibri"/>
          <w:color w:val="000000"/>
          <w:szCs w:val="24"/>
          <w:lang w:eastAsia="es-CR"/>
        </w:rPr>
        <w:t xml:space="preserve"> y Comunicaciones,</w:t>
      </w:r>
      <w:r w:rsidRPr="004E74A6">
        <w:rPr>
          <w:rFonts w:cs="Calibri"/>
          <w:color w:val="000000"/>
          <w:szCs w:val="24"/>
          <w:lang w:eastAsia="es-CR"/>
        </w:rPr>
        <w:t xml:space="preserve"> que ligó el cam</w:t>
      </w:r>
      <w:r w:rsidR="009F75A7" w:rsidRPr="004E74A6">
        <w:rPr>
          <w:rFonts w:cs="Calibri"/>
          <w:color w:val="000000"/>
          <w:szCs w:val="24"/>
          <w:lang w:eastAsia="es-CR"/>
        </w:rPr>
        <w:t>p</w:t>
      </w:r>
      <w:r w:rsidRPr="004E74A6">
        <w:rPr>
          <w:rFonts w:cs="Calibri"/>
          <w:color w:val="000000"/>
          <w:szCs w:val="24"/>
          <w:lang w:eastAsia="es-CR"/>
        </w:rPr>
        <w:t xml:space="preserve">o estimable con el de rango. </w:t>
      </w:r>
    </w:p>
    <w:p w14:paraId="63813EE4" w14:textId="12AEEBF7" w:rsidR="009F75A7" w:rsidRPr="004E74A6" w:rsidRDefault="008647ED" w:rsidP="00CE62C1">
      <w:pPr>
        <w:spacing w:after="160" w:line="276" w:lineRule="auto"/>
        <w:rPr>
          <w:rFonts w:cs="Calibri"/>
          <w:color w:val="000000"/>
          <w:szCs w:val="24"/>
          <w:lang w:eastAsia="es-CR"/>
        </w:rPr>
      </w:pPr>
      <w:r w:rsidRPr="004E74A6">
        <w:rPr>
          <w:rFonts w:cs="Calibri"/>
          <w:color w:val="000000"/>
          <w:szCs w:val="24"/>
          <w:lang w:eastAsia="es-CR"/>
        </w:rPr>
        <w:t xml:space="preserve">De </w:t>
      </w:r>
      <w:r w:rsidR="002A6DC7" w:rsidRPr="004E74A6">
        <w:rPr>
          <w:rFonts w:cs="Calibri"/>
          <w:color w:val="000000"/>
          <w:szCs w:val="24"/>
          <w:lang w:eastAsia="es-CR"/>
        </w:rPr>
        <w:t xml:space="preserve">elevarse </w:t>
      </w:r>
      <w:r w:rsidRPr="004E74A6">
        <w:rPr>
          <w:rFonts w:cs="Calibri"/>
          <w:color w:val="000000"/>
          <w:szCs w:val="24"/>
          <w:lang w:eastAsia="es-CR"/>
        </w:rPr>
        <w:t xml:space="preserve">cuantía según escenario A.1 este Tribunal perdería un </w:t>
      </w:r>
      <w:r w:rsidR="00E53596" w:rsidRPr="004E74A6">
        <w:rPr>
          <w:rFonts w:cs="Calibri"/>
          <w:color w:val="000000"/>
          <w:szCs w:val="24"/>
          <w:lang w:eastAsia="es-CR"/>
        </w:rPr>
        <w:t>4</w:t>
      </w:r>
      <w:r w:rsidR="00D139C1" w:rsidRPr="004E74A6">
        <w:rPr>
          <w:rFonts w:cs="Calibri"/>
          <w:color w:val="000000"/>
          <w:szCs w:val="24"/>
          <w:lang w:eastAsia="es-CR"/>
        </w:rPr>
        <w:t>7</w:t>
      </w:r>
      <w:r w:rsidRPr="004E74A6">
        <w:rPr>
          <w:rFonts w:cs="Calibri"/>
          <w:color w:val="000000"/>
          <w:szCs w:val="24"/>
          <w:lang w:eastAsia="es-CR"/>
        </w:rPr>
        <w:t xml:space="preserve">% de su entrada actual </w:t>
      </w:r>
      <w:r w:rsidR="00674E32" w:rsidRPr="004E74A6">
        <w:rPr>
          <w:rFonts w:cs="Calibri"/>
          <w:color w:val="000000"/>
          <w:szCs w:val="24"/>
          <w:lang w:eastAsia="es-CR"/>
        </w:rPr>
        <w:t xml:space="preserve">de asuntos ordinarios estimables </w:t>
      </w:r>
      <w:r w:rsidR="009F75A7" w:rsidRPr="004E74A6">
        <w:rPr>
          <w:rFonts w:cs="Calibri"/>
          <w:color w:val="000000"/>
          <w:szCs w:val="24"/>
          <w:lang w:eastAsia="es-CR"/>
        </w:rPr>
        <w:t xml:space="preserve">que se trasladarían a conocimiento de los Juzgados Civiles y por ende </w:t>
      </w:r>
      <w:r w:rsidR="009F75A7" w:rsidRPr="004E74A6">
        <w:rPr>
          <w:rFonts w:cs="Calibri"/>
          <w:b/>
          <w:bCs/>
          <w:color w:val="000000"/>
          <w:szCs w:val="24"/>
          <w:lang w:eastAsia="es-CR"/>
        </w:rPr>
        <w:t xml:space="preserve">las apelaciones </w:t>
      </w:r>
      <w:r w:rsidR="007B36C2" w:rsidRPr="004E74A6">
        <w:rPr>
          <w:rFonts w:cs="Calibri"/>
          <w:b/>
          <w:bCs/>
          <w:color w:val="000000"/>
          <w:szCs w:val="24"/>
          <w:lang w:eastAsia="es-CR"/>
        </w:rPr>
        <w:t xml:space="preserve">de sentencia </w:t>
      </w:r>
      <w:r w:rsidR="009F75A7" w:rsidRPr="004E74A6">
        <w:rPr>
          <w:rFonts w:cs="Calibri"/>
          <w:color w:val="000000"/>
          <w:szCs w:val="24"/>
          <w:lang w:eastAsia="es-CR"/>
        </w:rPr>
        <w:t xml:space="preserve">en esos procesos se conocerían en los Tribunales de Apelación. </w:t>
      </w:r>
    </w:p>
    <w:bookmarkEnd w:id="9"/>
    <w:p w14:paraId="39F22FD1" w14:textId="633F0FB7" w:rsidR="00E021FD" w:rsidRPr="004E74A6" w:rsidRDefault="0053744C" w:rsidP="00CE62C1">
      <w:pPr>
        <w:spacing w:after="160" w:line="276" w:lineRule="auto"/>
        <w:rPr>
          <w:rFonts w:cs="Calibri"/>
          <w:color w:val="000000"/>
          <w:szCs w:val="24"/>
          <w:lang w:eastAsia="es-CR"/>
        </w:rPr>
      </w:pPr>
      <w:r w:rsidRPr="004E74A6">
        <w:rPr>
          <w:rFonts w:cs="Calibri"/>
          <w:color w:val="000000"/>
          <w:szCs w:val="24"/>
          <w:lang w:eastAsia="es-CR"/>
        </w:rPr>
        <w:t xml:space="preserve">De elevarse cuantía según escenario A.2, </w:t>
      </w:r>
      <w:r w:rsidR="00D7467E" w:rsidRPr="004E74A6">
        <w:rPr>
          <w:rFonts w:cs="Calibri"/>
          <w:color w:val="000000"/>
          <w:szCs w:val="24"/>
          <w:lang w:eastAsia="es-CR"/>
        </w:rPr>
        <w:t>no se modificaría la entrada de ordinarios, sino que el efecto sería en el recurso del que dispondrían las sentencias en los ordinarios</w:t>
      </w:r>
      <w:r w:rsidRPr="004E74A6">
        <w:rPr>
          <w:rFonts w:cs="Calibri"/>
          <w:color w:val="000000"/>
          <w:szCs w:val="24"/>
          <w:lang w:eastAsia="es-CR"/>
        </w:rPr>
        <w:t xml:space="preserve"> estimados hasta en 20 millones de colones</w:t>
      </w:r>
      <w:r w:rsidR="00D7467E" w:rsidRPr="004E74A6">
        <w:rPr>
          <w:rFonts w:cs="Calibri"/>
          <w:color w:val="000000"/>
          <w:szCs w:val="24"/>
          <w:lang w:eastAsia="es-CR"/>
        </w:rPr>
        <w:t xml:space="preserve">, </w:t>
      </w:r>
      <w:r w:rsidR="00D92FCA" w:rsidRPr="004E74A6">
        <w:rPr>
          <w:rFonts w:cs="Calibri"/>
          <w:color w:val="000000"/>
          <w:szCs w:val="24"/>
          <w:lang w:eastAsia="es-CR"/>
        </w:rPr>
        <w:t>que,</w:t>
      </w:r>
      <w:r w:rsidR="00D7467E" w:rsidRPr="004E74A6">
        <w:rPr>
          <w:rFonts w:cs="Calibri"/>
          <w:color w:val="000000"/>
          <w:szCs w:val="24"/>
          <w:lang w:eastAsia="es-CR"/>
        </w:rPr>
        <w:t xml:space="preserve"> pese a que se mantendrían en trámite en estos tribunales de primera instancia, </w:t>
      </w:r>
      <w:r w:rsidRPr="004E74A6">
        <w:rPr>
          <w:rFonts w:cs="Calibri"/>
          <w:color w:val="000000"/>
          <w:szCs w:val="24"/>
          <w:lang w:eastAsia="es-CR"/>
        </w:rPr>
        <w:t>dejarían de disponer recurso de casación ante la Sala Primera y pasarían a disponer únicamente de recurso de apelación ante el Tribunal de Apelación en Segunda Instancia</w:t>
      </w:r>
      <w:r w:rsidR="00D7467E" w:rsidRPr="004E74A6">
        <w:rPr>
          <w:rFonts w:cs="Calibri"/>
          <w:color w:val="000000"/>
          <w:szCs w:val="24"/>
          <w:lang w:eastAsia="es-CR"/>
        </w:rPr>
        <w:t>.</w:t>
      </w:r>
    </w:p>
    <w:p w14:paraId="4FE2B043" w14:textId="77777777" w:rsidR="008647ED" w:rsidRPr="004E74A6" w:rsidRDefault="008647ED" w:rsidP="00CE62C1">
      <w:pPr>
        <w:numPr>
          <w:ilvl w:val="2"/>
          <w:numId w:val="21"/>
        </w:numPr>
        <w:spacing w:after="160" w:line="276" w:lineRule="auto"/>
        <w:ind w:left="1225" w:hanging="505"/>
        <w:outlineLvl w:val="5"/>
        <w:rPr>
          <w:rFonts w:cs="Calibri"/>
          <w:color w:val="000000"/>
          <w:szCs w:val="24"/>
          <w:lang w:eastAsia="es-CR"/>
        </w:rPr>
      </w:pPr>
      <w:r w:rsidRPr="004E74A6">
        <w:rPr>
          <w:rFonts w:cs="Calibri"/>
          <w:color w:val="000000"/>
          <w:szCs w:val="24"/>
          <w:lang w:eastAsia="es-CR"/>
        </w:rPr>
        <w:lastRenderedPageBreak/>
        <w:t>Tribunal Segundo Colegiado Primera Instancia Civil Primer Circuito Judicial San José</w:t>
      </w:r>
    </w:p>
    <w:p w14:paraId="3F7BBF9D" w14:textId="31340A6F" w:rsidR="008647ED" w:rsidRPr="004E74A6" w:rsidRDefault="008647ED" w:rsidP="00CE62C1">
      <w:pPr>
        <w:spacing w:after="160" w:line="276" w:lineRule="auto"/>
        <w:rPr>
          <w:rFonts w:cs="Calibri"/>
          <w:color w:val="000000"/>
          <w:szCs w:val="24"/>
          <w:lang w:eastAsia="es-CR"/>
        </w:rPr>
      </w:pPr>
      <w:r w:rsidRPr="004E74A6">
        <w:rPr>
          <w:rFonts w:cs="Calibri"/>
          <w:color w:val="000000"/>
          <w:szCs w:val="24"/>
          <w:lang w:eastAsia="es-CR"/>
        </w:rPr>
        <w:t xml:space="preserve">Para el caso de este Tribunal, según la tabla </w:t>
      </w:r>
      <w:r w:rsidR="00FB2E07" w:rsidRPr="004E74A6">
        <w:rPr>
          <w:rFonts w:cs="Calibri"/>
          <w:color w:val="000000"/>
          <w:szCs w:val="24"/>
          <w:lang w:eastAsia="es-CR"/>
        </w:rPr>
        <w:t>por tipo de carpeta</w:t>
      </w:r>
      <w:r w:rsidR="00D648B5" w:rsidRPr="004E74A6">
        <w:rPr>
          <w:rFonts w:cs="Calibri"/>
          <w:color w:val="000000"/>
          <w:szCs w:val="24"/>
          <w:lang w:eastAsia="es-CR"/>
        </w:rPr>
        <w:t>, los</w:t>
      </w:r>
      <w:r w:rsidR="00FB2E07" w:rsidRPr="004E74A6">
        <w:rPr>
          <w:rFonts w:cs="Calibri"/>
          <w:color w:val="000000"/>
          <w:szCs w:val="24"/>
          <w:lang w:eastAsia="es-CR"/>
        </w:rPr>
        <w:t xml:space="preserve"> principal</w:t>
      </w:r>
      <w:r w:rsidR="00D648B5" w:rsidRPr="004E74A6">
        <w:rPr>
          <w:rFonts w:cs="Calibri"/>
          <w:color w:val="000000"/>
          <w:szCs w:val="24"/>
          <w:lang w:eastAsia="es-CR"/>
        </w:rPr>
        <w:t>es</w:t>
      </w:r>
      <w:r w:rsidR="00FB2E07" w:rsidRPr="004E74A6">
        <w:rPr>
          <w:rFonts w:cs="Calibri"/>
          <w:color w:val="000000"/>
          <w:szCs w:val="24"/>
          <w:lang w:eastAsia="es-CR"/>
        </w:rPr>
        <w:t xml:space="preserve"> representa</w:t>
      </w:r>
      <w:r w:rsidR="00D648B5" w:rsidRPr="004E74A6">
        <w:rPr>
          <w:rFonts w:cs="Calibri"/>
          <w:color w:val="000000"/>
          <w:szCs w:val="24"/>
          <w:lang w:eastAsia="es-CR"/>
        </w:rPr>
        <w:t>n</w:t>
      </w:r>
      <w:r w:rsidR="00FB2E07" w:rsidRPr="004E74A6">
        <w:rPr>
          <w:rFonts w:cs="Calibri"/>
          <w:color w:val="000000"/>
          <w:szCs w:val="24"/>
          <w:lang w:eastAsia="es-CR"/>
        </w:rPr>
        <w:t xml:space="preserve"> </w:t>
      </w:r>
      <w:r w:rsidRPr="004E74A6">
        <w:rPr>
          <w:rFonts w:cs="Calibri"/>
          <w:color w:val="000000"/>
          <w:szCs w:val="24"/>
          <w:lang w:eastAsia="es-CR"/>
        </w:rPr>
        <w:t>el 92,4% de los asuntos que ingresan y ha experimentado una ligera disminución para el año 2021</w:t>
      </w:r>
      <w:r w:rsidR="00D92FCA">
        <w:rPr>
          <w:rFonts w:cs="Calibri"/>
          <w:color w:val="000000"/>
          <w:szCs w:val="24"/>
          <w:lang w:eastAsia="es-CR"/>
        </w:rPr>
        <w:t>:</w:t>
      </w:r>
    </w:p>
    <w:p w14:paraId="367D7C42" w14:textId="6AC9BDD7" w:rsidR="00FA3414" w:rsidRPr="00832773" w:rsidRDefault="00FA3414" w:rsidP="00F0204A">
      <w:pPr>
        <w:pStyle w:val="Descripcin"/>
        <w:keepNext/>
        <w:spacing w:line="276" w:lineRule="auto"/>
        <w:jc w:val="center"/>
        <w:rPr>
          <w:rFonts w:ascii="Book Antiqua" w:hAnsi="Book Antiqua"/>
          <w:i/>
          <w:iCs/>
          <w:sz w:val="20"/>
          <w:szCs w:val="16"/>
          <w:lang w:val="es-CR"/>
        </w:rPr>
      </w:pPr>
      <w:r w:rsidRPr="00832773">
        <w:rPr>
          <w:rFonts w:ascii="Book Antiqua" w:hAnsi="Book Antiqua"/>
          <w:i/>
          <w:iCs/>
          <w:sz w:val="20"/>
          <w:szCs w:val="16"/>
          <w:lang w:val="es-CR"/>
        </w:rPr>
        <w:t xml:space="preserve">Tabla </w:t>
      </w:r>
      <w:r w:rsidRPr="00832773">
        <w:rPr>
          <w:rFonts w:ascii="Book Antiqua" w:hAnsi="Book Antiqua"/>
          <w:i/>
          <w:iCs/>
          <w:sz w:val="20"/>
          <w:szCs w:val="16"/>
          <w:lang w:val="es-CR"/>
        </w:rPr>
        <w:fldChar w:fldCharType="begin"/>
      </w:r>
      <w:r w:rsidRPr="00832773">
        <w:rPr>
          <w:rFonts w:ascii="Book Antiqua" w:hAnsi="Book Antiqua"/>
          <w:i/>
          <w:iCs/>
          <w:sz w:val="20"/>
          <w:szCs w:val="16"/>
          <w:lang w:val="es-CR"/>
        </w:rPr>
        <w:instrText xml:space="preserve"> SEQ Tabla \* ARABIC </w:instrText>
      </w:r>
      <w:r w:rsidRPr="00832773">
        <w:rPr>
          <w:rFonts w:ascii="Book Antiqua" w:hAnsi="Book Antiqua"/>
          <w:i/>
          <w:iCs/>
          <w:sz w:val="20"/>
          <w:szCs w:val="16"/>
          <w:lang w:val="es-CR"/>
        </w:rPr>
        <w:fldChar w:fldCharType="separate"/>
      </w:r>
      <w:r w:rsidR="00374B51">
        <w:rPr>
          <w:rFonts w:ascii="Book Antiqua" w:hAnsi="Book Antiqua"/>
          <w:i/>
          <w:iCs/>
          <w:noProof/>
          <w:sz w:val="20"/>
          <w:szCs w:val="16"/>
          <w:lang w:val="es-CR"/>
        </w:rPr>
        <w:t>5</w:t>
      </w:r>
      <w:r w:rsidRPr="00832773">
        <w:rPr>
          <w:rFonts w:ascii="Book Antiqua" w:hAnsi="Book Antiqua"/>
          <w:i/>
          <w:iCs/>
          <w:sz w:val="20"/>
          <w:szCs w:val="16"/>
          <w:lang w:val="es-CR"/>
        </w:rPr>
        <w:fldChar w:fldCharType="end"/>
      </w:r>
      <w:r w:rsidRPr="00832773">
        <w:rPr>
          <w:rFonts w:ascii="Book Antiqua" w:hAnsi="Book Antiqua"/>
          <w:i/>
          <w:iCs/>
          <w:sz w:val="20"/>
          <w:szCs w:val="16"/>
          <w:lang w:val="es-CR"/>
        </w:rPr>
        <w:t xml:space="preserve"> Cantidad de entrados por tipo de</w:t>
      </w:r>
      <w:r w:rsidR="00FB2E07" w:rsidRPr="00832773">
        <w:rPr>
          <w:rFonts w:ascii="Book Antiqua" w:hAnsi="Book Antiqua"/>
          <w:i/>
          <w:iCs/>
          <w:sz w:val="20"/>
          <w:szCs w:val="16"/>
          <w:lang w:val="es-CR"/>
        </w:rPr>
        <w:t xml:space="preserve"> carpeta</w:t>
      </w:r>
      <w:r w:rsidRPr="00832773">
        <w:rPr>
          <w:rFonts w:ascii="Book Antiqua" w:hAnsi="Book Antiqua"/>
          <w:i/>
          <w:iCs/>
          <w:sz w:val="20"/>
          <w:szCs w:val="16"/>
          <w:lang w:val="es-CR"/>
        </w:rPr>
        <w:t xml:space="preserve"> del 2019 al 2021 para el Tribunal Segundo Colegiado Primera Instancia Civil Primer Circuito Judicial de San José</w:t>
      </w:r>
    </w:p>
    <w:p w14:paraId="68FCFC89" w14:textId="77777777" w:rsidR="00662185" w:rsidRPr="00832773" w:rsidRDefault="00662185" w:rsidP="00832773">
      <w:pPr>
        <w:spacing w:line="276" w:lineRule="auto"/>
      </w:pPr>
    </w:p>
    <w:tbl>
      <w:tblPr>
        <w:tblW w:w="4672" w:type="pct"/>
        <w:jc w:val="center"/>
        <w:tblLayout w:type="fixed"/>
        <w:tblCellMar>
          <w:left w:w="70" w:type="dxa"/>
          <w:right w:w="70" w:type="dxa"/>
        </w:tblCellMar>
        <w:tblLook w:val="04A0" w:firstRow="1" w:lastRow="0" w:firstColumn="1" w:lastColumn="0" w:noHBand="0" w:noVBand="1"/>
      </w:tblPr>
      <w:tblGrid>
        <w:gridCol w:w="4646"/>
        <w:gridCol w:w="834"/>
        <w:gridCol w:w="834"/>
        <w:gridCol w:w="834"/>
        <w:gridCol w:w="1112"/>
      </w:tblGrid>
      <w:tr w:rsidR="00FA3414" w:rsidRPr="004E74A6" w14:paraId="0B42D582" w14:textId="77777777" w:rsidTr="0010143F">
        <w:trPr>
          <w:trHeight w:val="454"/>
          <w:tblHeader/>
          <w:jc w:val="center"/>
        </w:trPr>
        <w:tc>
          <w:tcPr>
            <w:tcW w:w="2812" w:type="pct"/>
            <w:tcBorders>
              <w:top w:val="single" w:sz="4" w:space="0" w:color="auto"/>
              <w:bottom w:val="single" w:sz="4" w:space="0" w:color="auto"/>
              <w:right w:val="single" w:sz="4" w:space="0" w:color="auto"/>
            </w:tcBorders>
            <w:shd w:val="clear" w:color="auto" w:fill="auto"/>
            <w:noWrap/>
            <w:vAlign w:val="center"/>
            <w:hideMark/>
          </w:tcPr>
          <w:p w14:paraId="11642A79" w14:textId="424C03FF" w:rsidR="008647ED" w:rsidRPr="004E74A6" w:rsidRDefault="008647ED" w:rsidP="00CE62C1">
            <w:pPr>
              <w:spacing w:line="276" w:lineRule="auto"/>
              <w:jc w:val="center"/>
              <w:rPr>
                <w:sz w:val="20"/>
                <w:lang w:eastAsia="es-CR"/>
              </w:rPr>
            </w:pPr>
            <w:r w:rsidRPr="004E74A6">
              <w:rPr>
                <w:sz w:val="20"/>
                <w:lang w:eastAsia="es-CR"/>
              </w:rPr>
              <w:t xml:space="preserve">Tipo De </w:t>
            </w:r>
            <w:r w:rsidR="00FB2E07" w:rsidRPr="004E74A6">
              <w:rPr>
                <w:sz w:val="20"/>
                <w:lang w:eastAsia="es-CR"/>
              </w:rPr>
              <w:t>Carpeta</w:t>
            </w:r>
          </w:p>
        </w:tc>
        <w:tc>
          <w:tcPr>
            <w:tcW w:w="5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BE2FA2"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2019</w:t>
            </w:r>
          </w:p>
        </w:tc>
        <w:tc>
          <w:tcPr>
            <w:tcW w:w="5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364538"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2020</w:t>
            </w:r>
          </w:p>
        </w:tc>
        <w:tc>
          <w:tcPr>
            <w:tcW w:w="5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0A80B6"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2021</w:t>
            </w:r>
          </w:p>
        </w:tc>
        <w:tc>
          <w:tcPr>
            <w:tcW w:w="673" w:type="pct"/>
            <w:tcBorders>
              <w:top w:val="single" w:sz="4" w:space="0" w:color="auto"/>
              <w:left w:val="single" w:sz="4" w:space="0" w:color="auto"/>
              <w:bottom w:val="single" w:sz="4" w:space="0" w:color="auto"/>
            </w:tcBorders>
            <w:shd w:val="clear" w:color="auto" w:fill="auto"/>
            <w:noWrap/>
            <w:vAlign w:val="center"/>
            <w:hideMark/>
          </w:tcPr>
          <w:p w14:paraId="7BF89A42" w14:textId="3AE96252" w:rsidR="008647ED" w:rsidRPr="004E74A6" w:rsidRDefault="00FA3414" w:rsidP="00CE62C1">
            <w:pPr>
              <w:spacing w:line="276" w:lineRule="auto"/>
              <w:jc w:val="center"/>
              <w:rPr>
                <w:rFonts w:cs="Calibri"/>
                <w:color w:val="000000"/>
                <w:sz w:val="20"/>
                <w:lang w:eastAsia="es-CR"/>
              </w:rPr>
            </w:pPr>
            <w:r w:rsidRPr="004E74A6">
              <w:rPr>
                <w:rFonts w:cs="Calibri"/>
                <w:color w:val="000000"/>
                <w:sz w:val="20"/>
                <w:lang w:eastAsia="es-CR"/>
              </w:rPr>
              <w:t>Promedio</w:t>
            </w:r>
          </w:p>
        </w:tc>
      </w:tr>
      <w:tr w:rsidR="00FA3414" w:rsidRPr="004E74A6" w14:paraId="3E571729" w14:textId="77777777" w:rsidTr="0010143F">
        <w:trPr>
          <w:trHeight w:val="288"/>
          <w:jc w:val="center"/>
        </w:trPr>
        <w:tc>
          <w:tcPr>
            <w:tcW w:w="2812" w:type="pct"/>
            <w:tcBorders>
              <w:top w:val="single" w:sz="4" w:space="0" w:color="auto"/>
              <w:right w:val="single" w:sz="4" w:space="0" w:color="auto"/>
            </w:tcBorders>
            <w:shd w:val="clear" w:color="auto" w:fill="auto"/>
            <w:noWrap/>
            <w:vAlign w:val="bottom"/>
          </w:tcPr>
          <w:p w14:paraId="1E0595B3" w14:textId="77777777" w:rsidR="008647ED" w:rsidRPr="004E74A6" w:rsidRDefault="008647ED" w:rsidP="00CE62C1">
            <w:pPr>
              <w:spacing w:line="276" w:lineRule="auto"/>
              <w:jc w:val="left"/>
              <w:rPr>
                <w:rFonts w:cs="Calibri"/>
                <w:color w:val="000000"/>
                <w:sz w:val="20"/>
                <w:lang w:eastAsia="es-CR"/>
              </w:rPr>
            </w:pPr>
          </w:p>
        </w:tc>
        <w:tc>
          <w:tcPr>
            <w:tcW w:w="505" w:type="pct"/>
            <w:tcBorders>
              <w:top w:val="single" w:sz="4" w:space="0" w:color="auto"/>
              <w:left w:val="single" w:sz="4" w:space="0" w:color="auto"/>
              <w:right w:val="single" w:sz="4" w:space="0" w:color="auto"/>
            </w:tcBorders>
            <w:shd w:val="clear" w:color="auto" w:fill="auto"/>
            <w:noWrap/>
            <w:vAlign w:val="center"/>
          </w:tcPr>
          <w:p w14:paraId="574CB3B7" w14:textId="77777777" w:rsidR="008647ED" w:rsidRPr="004E74A6" w:rsidRDefault="008647ED" w:rsidP="00CE62C1">
            <w:pPr>
              <w:spacing w:line="276" w:lineRule="auto"/>
              <w:jc w:val="center"/>
              <w:rPr>
                <w:rFonts w:cs="Calibri"/>
                <w:color w:val="000000"/>
                <w:sz w:val="20"/>
                <w:lang w:eastAsia="es-CR"/>
              </w:rPr>
            </w:pPr>
          </w:p>
        </w:tc>
        <w:tc>
          <w:tcPr>
            <w:tcW w:w="505" w:type="pct"/>
            <w:tcBorders>
              <w:top w:val="single" w:sz="4" w:space="0" w:color="auto"/>
              <w:left w:val="single" w:sz="4" w:space="0" w:color="auto"/>
              <w:right w:val="single" w:sz="4" w:space="0" w:color="auto"/>
            </w:tcBorders>
            <w:shd w:val="clear" w:color="auto" w:fill="auto"/>
            <w:noWrap/>
            <w:vAlign w:val="center"/>
          </w:tcPr>
          <w:p w14:paraId="34975C75" w14:textId="77777777" w:rsidR="008647ED" w:rsidRPr="004E74A6" w:rsidRDefault="008647ED" w:rsidP="00CE62C1">
            <w:pPr>
              <w:spacing w:line="276" w:lineRule="auto"/>
              <w:jc w:val="center"/>
              <w:rPr>
                <w:rFonts w:cs="Calibri"/>
                <w:color w:val="000000"/>
                <w:sz w:val="20"/>
                <w:lang w:eastAsia="es-CR"/>
              </w:rPr>
            </w:pPr>
          </w:p>
        </w:tc>
        <w:tc>
          <w:tcPr>
            <w:tcW w:w="505" w:type="pct"/>
            <w:tcBorders>
              <w:top w:val="single" w:sz="4" w:space="0" w:color="auto"/>
              <w:left w:val="single" w:sz="4" w:space="0" w:color="auto"/>
              <w:right w:val="single" w:sz="4" w:space="0" w:color="auto"/>
            </w:tcBorders>
            <w:shd w:val="clear" w:color="auto" w:fill="auto"/>
            <w:noWrap/>
            <w:vAlign w:val="center"/>
          </w:tcPr>
          <w:p w14:paraId="2DC2BA57" w14:textId="77777777" w:rsidR="008647ED" w:rsidRPr="004E74A6" w:rsidRDefault="008647ED" w:rsidP="00CE62C1">
            <w:pPr>
              <w:spacing w:line="276" w:lineRule="auto"/>
              <w:jc w:val="center"/>
              <w:rPr>
                <w:rFonts w:cs="Calibri"/>
                <w:color w:val="000000"/>
                <w:sz w:val="20"/>
                <w:lang w:eastAsia="es-CR"/>
              </w:rPr>
            </w:pPr>
          </w:p>
        </w:tc>
        <w:tc>
          <w:tcPr>
            <w:tcW w:w="673" w:type="pct"/>
            <w:tcBorders>
              <w:top w:val="single" w:sz="4" w:space="0" w:color="auto"/>
              <w:left w:val="single" w:sz="4" w:space="0" w:color="auto"/>
            </w:tcBorders>
            <w:shd w:val="clear" w:color="auto" w:fill="auto"/>
            <w:noWrap/>
            <w:vAlign w:val="center"/>
          </w:tcPr>
          <w:p w14:paraId="22735A2C" w14:textId="77777777" w:rsidR="008647ED" w:rsidRPr="004E74A6" w:rsidRDefault="008647ED" w:rsidP="00CE62C1">
            <w:pPr>
              <w:spacing w:line="276" w:lineRule="auto"/>
              <w:jc w:val="center"/>
              <w:rPr>
                <w:rFonts w:cs="Calibri"/>
                <w:color w:val="000000"/>
                <w:sz w:val="20"/>
                <w:lang w:eastAsia="es-CR"/>
              </w:rPr>
            </w:pPr>
          </w:p>
        </w:tc>
      </w:tr>
      <w:tr w:rsidR="00DE6E30" w:rsidRPr="004E74A6" w14:paraId="77D39B1B" w14:textId="77777777" w:rsidTr="0010143F">
        <w:trPr>
          <w:trHeight w:val="288"/>
          <w:jc w:val="center"/>
        </w:trPr>
        <w:tc>
          <w:tcPr>
            <w:tcW w:w="2812" w:type="pct"/>
            <w:tcBorders>
              <w:right w:val="single" w:sz="4" w:space="0" w:color="auto"/>
            </w:tcBorders>
            <w:shd w:val="clear" w:color="auto" w:fill="auto"/>
            <w:noWrap/>
            <w:vAlign w:val="bottom"/>
          </w:tcPr>
          <w:p w14:paraId="3EBCC884" w14:textId="6449DC51" w:rsidR="00DE6E30" w:rsidRPr="004E74A6" w:rsidRDefault="00DE6E30" w:rsidP="00CE62C1">
            <w:pPr>
              <w:spacing w:line="276" w:lineRule="auto"/>
              <w:jc w:val="center"/>
              <w:rPr>
                <w:rFonts w:cs="Calibri"/>
                <w:color w:val="000000"/>
                <w:sz w:val="20"/>
                <w:lang w:eastAsia="es-CR"/>
              </w:rPr>
            </w:pPr>
            <w:r w:rsidRPr="004E74A6">
              <w:rPr>
                <w:rFonts w:cs="Calibri"/>
                <w:color w:val="000000"/>
                <w:sz w:val="20"/>
                <w:lang w:eastAsia="es-CR"/>
              </w:rPr>
              <w:t>Total General</w:t>
            </w:r>
          </w:p>
        </w:tc>
        <w:tc>
          <w:tcPr>
            <w:tcW w:w="505" w:type="pct"/>
            <w:tcBorders>
              <w:left w:val="single" w:sz="4" w:space="0" w:color="auto"/>
              <w:right w:val="single" w:sz="4" w:space="0" w:color="auto"/>
            </w:tcBorders>
            <w:shd w:val="clear" w:color="auto" w:fill="auto"/>
            <w:noWrap/>
            <w:vAlign w:val="center"/>
          </w:tcPr>
          <w:p w14:paraId="6B653509" w14:textId="0095EFF0" w:rsidR="00DE6E30" w:rsidRPr="004E74A6" w:rsidRDefault="00DE6E30" w:rsidP="00CE62C1">
            <w:pPr>
              <w:spacing w:line="276" w:lineRule="auto"/>
              <w:jc w:val="center"/>
              <w:rPr>
                <w:rFonts w:cs="Calibri"/>
                <w:color w:val="000000"/>
                <w:sz w:val="20"/>
                <w:lang w:eastAsia="es-CR"/>
              </w:rPr>
            </w:pPr>
            <w:r w:rsidRPr="004E74A6">
              <w:rPr>
                <w:rFonts w:cs="Calibri"/>
                <w:color w:val="000000"/>
                <w:sz w:val="20"/>
                <w:lang w:eastAsia="es-CR"/>
              </w:rPr>
              <w:t>458</w:t>
            </w:r>
          </w:p>
        </w:tc>
        <w:tc>
          <w:tcPr>
            <w:tcW w:w="505" w:type="pct"/>
            <w:tcBorders>
              <w:left w:val="single" w:sz="4" w:space="0" w:color="auto"/>
              <w:right w:val="single" w:sz="4" w:space="0" w:color="auto"/>
            </w:tcBorders>
            <w:shd w:val="clear" w:color="auto" w:fill="auto"/>
            <w:noWrap/>
            <w:vAlign w:val="center"/>
          </w:tcPr>
          <w:p w14:paraId="24B0863E" w14:textId="13227BDE" w:rsidR="00DE6E30" w:rsidRPr="004E74A6" w:rsidRDefault="00DE6E30" w:rsidP="00CE62C1">
            <w:pPr>
              <w:spacing w:line="276" w:lineRule="auto"/>
              <w:jc w:val="center"/>
              <w:rPr>
                <w:rFonts w:cs="Calibri"/>
                <w:color w:val="000000"/>
                <w:sz w:val="20"/>
                <w:lang w:eastAsia="es-CR"/>
              </w:rPr>
            </w:pPr>
            <w:r w:rsidRPr="004E74A6">
              <w:rPr>
                <w:rFonts w:cs="Calibri"/>
                <w:color w:val="000000"/>
                <w:sz w:val="20"/>
                <w:lang w:eastAsia="es-CR"/>
              </w:rPr>
              <w:t>356</w:t>
            </w:r>
          </w:p>
        </w:tc>
        <w:tc>
          <w:tcPr>
            <w:tcW w:w="505" w:type="pct"/>
            <w:tcBorders>
              <w:left w:val="single" w:sz="4" w:space="0" w:color="auto"/>
              <w:right w:val="single" w:sz="4" w:space="0" w:color="auto"/>
            </w:tcBorders>
            <w:shd w:val="clear" w:color="auto" w:fill="auto"/>
            <w:noWrap/>
            <w:vAlign w:val="center"/>
          </w:tcPr>
          <w:p w14:paraId="231AC8A0" w14:textId="2CF6B789" w:rsidR="00DE6E30" w:rsidRPr="004E74A6" w:rsidRDefault="00DE6E30" w:rsidP="00CE62C1">
            <w:pPr>
              <w:spacing w:line="276" w:lineRule="auto"/>
              <w:jc w:val="center"/>
              <w:rPr>
                <w:rFonts w:cs="Calibri"/>
                <w:color w:val="000000"/>
                <w:sz w:val="20"/>
                <w:lang w:eastAsia="es-CR"/>
              </w:rPr>
            </w:pPr>
            <w:r w:rsidRPr="004E74A6">
              <w:rPr>
                <w:rFonts w:cs="Calibri"/>
                <w:color w:val="000000"/>
                <w:sz w:val="20"/>
                <w:lang w:eastAsia="es-CR"/>
              </w:rPr>
              <w:t>345</w:t>
            </w:r>
          </w:p>
        </w:tc>
        <w:tc>
          <w:tcPr>
            <w:tcW w:w="673" w:type="pct"/>
            <w:tcBorders>
              <w:left w:val="single" w:sz="4" w:space="0" w:color="auto"/>
            </w:tcBorders>
            <w:shd w:val="clear" w:color="auto" w:fill="auto"/>
            <w:noWrap/>
            <w:vAlign w:val="center"/>
          </w:tcPr>
          <w:p w14:paraId="558F5C45" w14:textId="0FEBD77B" w:rsidR="00DE6E30" w:rsidRPr="004E74A6" w:rsidRDefault="00DE6E30" w:rsidP="00CE62C1">
            <w:pPr>
              <w:spacing w:line="276" w:lineRule="auto"/>
              <w:jc w:val="center"/>
              <w:rPr>
                <w:rFonts w:cs="Calibri"/>
                <w:color w:val="000000"/>
                <w:sz w:val="20"/>
                <w:lang w:eastAsia="es-CR"/>
              </w:rPr>
            </w:pPr>
            <w:r w:rsidRPr="004E74A6">
              <w:rPr>
                <w:rFonts w:cs="Calibri"/>
                <w:color w:val="000000"/>
                <w:sz w:val="20"/>
              </w:rPr>
              <w:t>386</w:t>
            </w:r>
          </w:p>
        </w:tc>
      </w:tr>
      <w:tr w:rsidR="00DE6E30" w:rsidRPr="004E74A6" w14:paraId="0B1DE829" w14:textId="77777777" w:rsidTr="0010143F">
        <w:trPr>
          <w:trHeight w:val="288"/>
          <w:jc w:val="center"/>
        </w:trPr>
        <w:tc>
          <w:tcPr>
            <w:tcW w:w="2812" w:type="pct"/>
            <w:tcBorders>
              <w:right w:val="single" w:sz="4" w:space="0" w:color="auto"/>
            </w:tcBorders>
            <w:shd w:val="clear" w:color="auto" w:fill="auto"/>
            <w:noWrap/>
            <w:vAlign w:val="bottom"/>
          </w:tcPr>
          <w:p w14:paraId="0A9A7DB3" w14:textId="77777777" w:rsidR="00DE6E30" w:rsidRPr="004E74A6" w:rsidRDefault="00DE6E30" w:rsidP="00CE62C1">
            <w:pPr>
              <w:spacing w:line="276" w:lineRule="auto"/>
              <w:jc w:val="left"/>
              <w:rPr>
                <w:rFonts w:cs="Calibri"/>
                <w:color w:val="000000"/>
                <w:sz w:val="20"/>
                <w:lang w:eastAsia="es-CR"/>
              </w:rPr>
            </w:pPr>
          </w:p>
        </w:tc>
        <w:tc>
          <w:tcPr>
            <w:tcW w:w="505" w:type="pct"/>
            <w:tcBorders>
              <w:left w:val="single" w:sz="4" w:space="0" w:color="auto"/>
              <w:right w:val="single" w:sz="4" w:space="0" w:color="auto"/>
            </w:tcBorders>
            <w:shd w:val="clear" w:color="auto" w:fill="auto"/>
            <w:noWrap/>
            <w:vAlign w:val="center"/>
          </w:tcPr>
          <w:p w14:paraId="63D50515" w14:textId="77777777" w:rsidR="00DE6E30" w:rsidRPr="004E74A6" w:rsidRDefault="00DE6E30" w:rsidP="00CE62C1">
            <w:pPr>
              <w:spacing w:line="276" w:lineRule="auto"/>
              <w:jc w:val="center"/>
              <w:rPr>
                <w:rFonts w:cs="Calibri"/>
                <w:color w:val="000000"/>
                <w:sz w:val="20"/>
                <w:lang w:eastAsia="es-CR"/>
              </w:rPr>
            </w:pPr>
          </w:p>
        </w:tc>
        <w:tc>
          <w:tcPr>
            <w:tcW w:w="505" w:type="pct"/>
            <w:tcBorders>
              <w:left w:val="single" w:sz="4" w:space="0" w:color="auto"/>
              <w:right w:val="single" w:sz="4" w:space="0" w:color="auto"/>
            </w:tcBorders>
            <w:shd w:val="clear" w:color="auto" w:fill="auto"/>
            <w:noWrap/>
            <w:vAlign w:val="center"/>
          </w:tcPr>
          <w:p w14:paraId="7E30D449" w14:textId="77777777" w:rsidR="00DE6E30" w:rsidRPr="004E74A6" w:rsidRDefault="00DE6E30" w:rsidP="00CE62C1">
            <w:pPr>
              <w:spacing w:line="276" w:lineRule="auto"/>
              <w:jc w:val="center"/>
              <w:rPr>
                <w:rFonts w:cs="Calibri"/>
                <w:color w:val="000000"/>
                <w:sz w:val="20"/>
                <w:lang w:eastAsia="es-CR"/>
              </w:rPr>
            </w:pPr>
          </w:p>
        </w:tc>
        <w:tc>
          <w:tcPr>
            <w:tcW w:w="505" w:type="pct"/>
            <w:tcBorders>
              <w:left w:val="single" w:sz="4" w:space="0" w:color="auto"/>
              <w:right w:val="single" w:sz="4" w:space="0" w:color="auto"/>
            </w:tcBorders>
            <w:shd w:val="clear" w:color="auto" w:fill="auto"/>
            <w:noWrap/>
            <w:vAlign w:val="center"/>
          </w:tcPr>
          <w:p w14:paraId="324CF6AC" w14:textId="77777777" w:rsidR="00DE6E30" w:rsidRPr="004E74A6" w:rsidRDefault="00DE6E30" w:rsidP="00CE62C1">
            <w:pPr>
              <w:spacing w:line="276" w:lineRule="auto"/>
              <w:jc w:val="center"/>
              <w:rPr>
                <w:rFonts w:cs="Calibri"/>
                <w:color w:val="000000"/>
                <w:sz w:val="20"/>
                <w:lang w:eastAsia="es-CR"/>
              </w:rPr>
            </w:pPr>
          </w:p>
        </w:tc>
        <w:tc>
          <w:tcPr>
            <w:tcW w:w="673" w:type="pct"/>
            <w:tcBorders>
              <w:left w:val="single" w:sz="4" w:space="0" w:color="auto"/>
            </w:tcBorders>
            <w:shd w:val="clear" w:color="auto" w:fill="auto"/>
            <w:noWrap/>
            <w:vAlign w:val="bottom"/>
          </w:tcPr>
          <w:p w14:paraId="4D9FEB97" w14:textId="77777777" w:rsidR="00DE6E30" w:rsidRPr="004E74A6" w:rsidRDefault="00DE6E30" w:rsidP="00CE62C1">
            <w:pPr>
              <w:spacing w:line="276" w:lineRule="auto"/>
              <w:jc w:val="center"/>
              <w:rPr>
                <w:rFonts w:cs="Calibri"/>
                <w:color w:val="000000"/>
                <w:sz w:val="20"/>
                <w:lang w:eastAsia="es-CR"/>
              </w:rPr>
            </w:pPr>
          </w:p>
        </w:tc>
      </w:tr>
      <w:tr w:rsidR="00DE6E30" w:rsidRPr="004E74A6" w14:paraId="0F5D1DC0" w14:textId="77777777" w:rsidTr="0010143F">
        <w:trPr>
          <w:trHeight w:val="288"/>
          <w:jc w:val="center"/>
        </w:trPr>
        <w:tc>
          <w:tcPr>
            <w:tcW w:w="2812" w:type="pct"/>
            <w:tcBorders>
              <w:right w:val="single" w:sz="4" w:space="0" w:color="auto"/>
            </w:tcBorders>
            <w:shd w:val="clear" w:color="auto" w:fill="auto"/>
            <w:noWrap/>
            <w:vAlign w:val="bottom"/>
            <w:hideMark/>
          </w:tcPr>
          <w:p w14:paraId="2E205D2F" w14:textId="77777777" w:rsidR="00DE6E30" w:rsidRPr="004E74A6" w:rsidRDefault="00DE6E30" w:rsidP="00CE62C1">
            <w:pPr>
              <w:spacing w:line="276" w:lineRule="auto"/>
              <w:jc w:val="left"/>
              <w:rPr>
                <w:rFonts w:cs="Calibri"/>
                <w:color w:val="000000"/>
                <w:sz w:val="20"/>
                <w:lang w:eastAsia="es-CR"/>
              </w:rPr>
            </w:pPr>
            <w:r w:rsidRPr="004E74A6">
              <w:rPr>
                <w:rFonts w:cs="Calibri"/>
                <w:color w:val="000000"/>
                <w:sz w:val="20"/>
                <w:lang w:eastAsia="es-CR"/>
              </w:rPr>
              <w:t>Comisiones Recibidas</w:t>
            </w:r>
          </w:p>
        </w:tc>
        <w:tc>
          <w:tcPr>
            <w:tcW w:w="505" w:type="pct"/>
            <w:tcBorders>
              <w:left w:val="single" w:sz="4" w:space="0" w:color="auto"/>
              <w:right w:val="single" w:sz="4" w:space="0" w:color="auto"/>
            </w:tcBorders>
            <w:shd w:val="clear" w:color="auto" w:fill="auto"/>
            <w:noWrap/>
            <w:vAlign w:val="center"/>
            <w:hideMark/>
          </w:tcPr>
          <w:p w14:paraId="2AA38D05" w14:textId="77777777" w:rsidR="00DE6E30" w:rsidRPr="004E74A6" w:rsidRDefault="00DE6E30" w:rsidP="00CE62C1">
            <w:pPr>
              <w:spacing w:line="276" w:lineRule="auto"/>
              <w:jc w:val="center"/>
              <w:rPr>
                <w:rFonts w:cs="Calibri"/>
                <w:color w:val="000000"/>
                <w:sz w:val="20"/>
                <w:lang w:eastAsia="es-CR"/>
              </w:rPr>
            </w:pPr>
            <w:r w:rsidRPr="004E74A6">
              <w:rPr>
                <w:rFonts w:cs="Calibri"/>
                <w:color w:val="000000"/>
                <w:sz w:val="20"/>
                <w:lang w:eastAsia="es-CR"/>
              </w:rPr>
              <w:t>1</w:t>
            </w:r>
          </w:p>
        </w:tc>
        <w:tc>
          <w:tcPr>
            <w:tcW w:w="505" w:type="pct"/>
            <w:tcBorders>
              <w:left w:val="single" w:sz="4" w:space="0" w:color="auto"/>
              <w:right w:val="single" w:sz="4" w:space="0" w:color="auto"/>
            </w:tcBorders>
            <w:shd w:val="clear" w:color="auto" w:fill="auto"/>
            <w:noWrap/>
            <w:vAlign w:val="center"/>
            <w:hideMark/>
          </w:tcPr>
          <w:p w14:paraId="5F65D474" w14:textId="16285B02" w:rsidR="00DE6E30" w:rsidRPr="004E74A6" w:rsidRDefault="00DE6E30" w:rsidP="00CE62C1">
            <w:pPr>
              <w:spacing w:line="276" w:lineRule="auto"/>
              <w:jc w:val="center"/>
              <w:rPr>
                <w:rFonts w:cs="Calibri"/>
                <w:color w:val="000000"/>
                <w:sz w:val="20"/>
                <w:lang w:eastAsia="es-CR"/>
              </w:rPr>
            </w:pPr>
            <w:r w:rsidRPr="004E74A6">
              <w:rPr>
                <w:rFonts w:cs="Calibri"/>
                <w:color w:val="000000"/>
                <w:sz w:val="20"/>
                <w:lang w:eastAsia="es-CR"/>
              </w:rPr>
              <w:t>0</w:t>
            </w:r>
          </w:p>
        </w:tc>
        <w:tc>
          <w:tcPr>
            <w:tcW w:w="505" w:type="pct"/>
            <w:tcBorders>
              <w:left w:val="single" w:sz="4" w:space="0" w:color="auto"/>
              <w:right w:val="single" w:sz="4" w:space="0" w:color="auto"/>
            </w:tcBorders>
            <w:shd w:val="clear" w:color="auto" w:fill="auto"/>
            <w:noWrap/>
            <w:vAlign w:val="center"/>
            <w:hideMark/>
          </w:tcPr>
          <w:p w14:paraId="60944599" w14:textId="77777777" w:rsidR="00DE6E30" w:rsidRPr="004E74A6" w:rsidRDefault="00DE6E30" w:rsidP="00CE62C1">
            <w:pPr>
              <w:spacing w:line="276" w:lineRule="auto"/>
              <w:jc w:val="center"/>
              <w:rPr>
                <w:rFonts w:cs="Calibri"/>
                <w:color w:val="000000"/>
                <w:sz w:val="20"/>
                <w:lang w:eastAsia="es-CR"/>
              </w:rPr>
            </w:pPr>
            <w:r w:rsidRPr="004E74A6">
              <w:rPr>
                <w:rFonts w:cs="Calibri"/>
                <w:color w:val="000000"/>
                <w:sz w:val="20"/>
                <w:lang w:eastAsia="es-CR"/>
              </w:rPr>
              <w:t>1</w:t>
            </w:r>
          </w:p>
        </w:tc>
        <w:tc>
          <w:tcPr>
            <w:tcW w:w="673" w:type="pct"/>
            <w:tcBorders>
              <w:left w:val="single" w:sz="4" w:space="0" w:color="auto"/>
            </w:tcBorders>
            <w:shd w:val="clear" w:color="auto" w:fill="auto"/>
            <w:noWrap/>
            <w:vAlign w:val="center"/>
            <w:hideMark/>
          </w:tcPr>
          <w:p w14:paraId="333EE828" w14:textId="52187FA6" w:rsidR="00DE6E30" w:rsidRPr="004E74A6" w:rsidRDefault="00DE6E30" w:rsidP="00CE62C1">
            <w:pPr>
              <w:spacing w:line="276" w:lineRule="auto"/>
              <w:jc w:val="center"/>
              <w:rPr>
                <w:rFonts w:cs="Calibri"/>
                <w:color w:val="000000"/>
                <w:sz w:val="20"/>
                <w:lang w:eastAsia="es-CR"/>
              </w:rPr>
            </w:pPr>
            <w:r w:rsidRPr="004E74A6">
              <w:rPr>
                <w:rFonts w:cs="Calibri"/>
                <w:color w:val="000000"/>
                <w:sz w:val="20"/>
              </w:rPr>
              <w:t>0,7</w:t>
            </w:r>
          </w:p>
        </w:tc>
      </w:tr>
      <w:tr w:rsidR="00DE6E30" w:rsidRPr="004E74A6" w14:paraId="462E188D" w14:textId="77777777" w:rsidTr="0010143F">
        <w:trPr>
          <w:trHeight w:val="288"/>
          <w:jc w:val="center"/>
        </w:trPr>
        <w:tc>
          <w:tcPr>
            <w:tcW w:w="2812" w:type="pct"/>
            <w:tcBorders>
              <w:right w:val="single" w:sz="4" w:space="0" w:color="auto"/>
            </w:tcBorders>
            <w:shd w:val="clear" w:color="auto" w:fill="auto"/>
            <w:noWrap/>
            <w:vAlign w:val="bottom"/>
            <w:hideMark/>
          </w:tcPr>
          <w:p w14:paraId="024B12B7" w14:textId="77777777" w:rsidR="00DE6E30" w:rsidRPr="004E74A6" w:rsidRDefault="00DE6E30" w:rsidP="00CE62C1">
            <w:pPr>
              <w:spacing w:line="276" w:lineRule="auto"/>
              <w:jc w:val="left"/>
              <w:rPr>
                <w:rFonts w:cs="Calibri"/>
                <w:color w:val="000000"/>
                <w:sz w:val="20"/>
                <w:lang w:eastAsia="es-CR"/>
              </w:rPr>
            </w:pPr>
            <w:r w:rsidRPr="004E74A6">
              <w:rPr>
                <w:rFonts w:cs="Calibri"/>
                <w:color w:val="000000"/>
                <w:sz w:val="20"/>
                <w:lang w:eastAsia="es-CR"/>
              </w:rPr>
              <w:t>Consulta</w:t>
            </w:r>
          </w:p>
        </w:tc>
        <w:tc>
          <w:tcPr>
            <w:tcW w:w="505" w:type="pct"/>
            <w:tcBorders>
              <w:left w:val="single" w:sz="4" w:space="0" w:color="auto"/>
              <w:right w:val="single" w:sz="4" w:space="0" w:color="auto"/>
            </w:tcBorders>
            <w:shd w:val="clear" w:color="auto" w:fill="auto"/>
            <w:noWrap/>
            <w:vAlign w:val="center"/>
            <w:hideMark/>
          </w:tcPr>
          <w:p w14:paraId="1519A04B" w14:textId="77777777" w:rsidR="00DE6E30" w:rsidRPr="004E74A6" w:rsidRDefault="00DE6E30" w:rsidP="00CE62C1">
            <w:pPr>
              <w:spacing w:line="276" w:lineRule="auto"/>
              <w:jc w:val="center"/>
              <w:rPr>
                <w:rFonts w:cs="Calibri"/>
                <w:color w:val="000000"/>
                <w:sz w:val="20"/>
                <w:lang w:eastAsia="es-CR"/>
              </w:rPr>
            </w:pPr>
            <w:r w:rsidRPr="004E74A6">
              <w:rPr>
                <w:rFonts w:cs="Calibri"/>
                <w:color w:val="000000"/>
                <w:sz w:val="20"/>
                <w:lang w:eastAsia="es-CR"/>
              </w:rPr>
              <w:t>1</w:t>
            </w:r>
          </w:p>
        </w:tc>
        <w:tc>
          <w:tcPr>
            <w:tcW w:w="505" w:type="pct"/>
            <w:tcBorders>
              <w:left w:val="single" w:sz="4" w:space="0" w:color="auto"/>
              <w:right w:val="single" w:sz="4" w:space="0" w:color="auto"/>
            </w:tcBorders>
            <w:shd w:val="clear" w:color="auto" w:fill="auto"/>
            <w:noWrap/>
            <w:vAlign w:val="center"/>
            <w:hideMark/>
          </w:tcPr>
          <w:p w14:paraId="13271E5D" w14:textId="73BD2346" w:rsidR="00DE6E30" w:rsidRPr="004E74A6" w:rsidRDefault="00DE6E30" w:rsidP="00CE62C1">
            <w:pPr>
              <w:spacing w:line="276" w:lineRule="auto"/>
              <w:jc w:val="center"/>
              <w:rPr>
                <w:rFonts w:cs="Calibri"/>
                <w:color w:val="000000"/>
                <w:sz w:val="20"/>
                <w:lang w:eastAsia="es-CR"/>
              </w:rPr>
            </w:pPr>
            <w:r w:rsidRPr="004E74A6">
              <w:rPr>
                <w:rFonts w:cs="Calibri"/>
                <w:color w:val="000000"/>
                <w:sz w:val="20"/>
                <w:lang w:eastAsia="es-CR"/>
              </w:rPr>
              <w:t>0</w:t>
            </w:r>
          </w:p>
        </w:tc>
        <w:tc>
          <w:tcPr>
            <w:tcW w:w="505" w:type="pct"/>
            <w:tcBorders>
              <w:left w:val="single" w:sz="4" w:space="0" w:color="auto"/>
              <w:right w:val="single" w:sz="4" w:space="0" w:color="auto"/>
            </w:tcBorders>
            <w:shd w:val="clear" w:color="auto" w:fill="auto"/>
            <w:noWrap/>
            <w:vAlign w:val="center"/>
            <w:hideMark/>
          </w:tcPr>
          <w:p w14:paraId="5EC49A58" w14:textId="25381653" w:rsidR="00DE6E30" w:rsidRPr="004E74A6" w:rsidRDefault="00DE6E30" w:rsidP="00CE62C1">
            <w:pPr>
              <w:spacing w:line="276" w:lineRule="auto"/>
              <w:jc w:val="center"/>
              <w:rPr>
                <w:sz w:val="20"/>
                <w:lang w:eastAsia="es-CR"/>
              </w:rPr>
            </w:pPr>
            <w:r w:rsidRPr="004E74A6">
              <w:rPr>
                <w:sz w:val="20"/>
                <w:lang w:eastAsia="es-CR"/>
              </w:rPr>
              <w:t>0</w:t>
            </w:r>
          </w:p>
        </w:tc>
        <w:tc>
          <w:tcPr>
            <w:tcW w:w="673" w:type="pct"/>
            <w:tcBorders>
              <w:left w:val="single" w:sz="4" w:space="0" w:color="auto"/>
            </w:tcBorders>
            <w:shd w:val="clear" w:color="auto" w:fill="auto"/>
            <w:noWrap/>
            <w:vAlign w:val="center"/>
            <w:hideMark/>
          </w:tcPr>
          <w:p w14:paraId="37620387" w14:textId="5E531B40" w:rsidR="00DE6E30" w:rsidRPr="004E74A6" w:rsidRDefault="00DE6E30" w:rsidP="00CE62C1">
            <w:pPr>
              <w:spacing w:line="276" w:lineRule="auto"/>
              <w:jc w:val="center"/>
              <w:rPr>
                <w:rFonts w:cs="Calibri"/>
                <w:color w:val="000000"/>
                <w:sz w:val="20"/>
                <w:lang w:eastAsia="es-CR"/>
              </w:rPr>
            </w:pPr>
            <w:r w:rsidRPr="004E74A6">
              <w:rPr>
                <w:rFonts w:cs="Calibri"/>
                <w:color w:val="000000"/>
                <w:sz w:val="20"/>
              </w:rPr>
              <w:t>0,3</w:t>
            </w:r>
          </w:p>
        </w:tc>
      </w:tr>
      <w:tr w:rsidR="00DE6E30" w:rsidRPr="004E74A6" w14:paraId="66C999BE" w14:textId="77777777" w:rsidTr="0010143F">
        <w:trPr>
          <w:trHeight w:val="288"/>
          <w:jc w:val="center"/>
        </w:trPr>
        <w:tc>
          <w:tcPr>
            <w:tcW w:w="2812" w:type="pct"/>
            <w:tcBorders>
              <w:right w:val="single" w:sz="4" w:space="0" w:color="auto"/>
            </w:tcBorders>
            <w:shd w:val="clear" w:color="auto" w:fill="auto"/>
            <w:noWrap/>
            <w:vAlign w:val="bottom"/>
            <w:hideMark/>
          </w:tcPr>
          <w:p w14:paraId="7170B023" w14:textId="77777777" w:rsidR="00DE6E30" w:rsidRPr="004E74A6" w:rsidRDefault="00DE6E30" w:rsidP="00CE62C1">
            <w:pPr>
              <w:spacing w:line="276" w:lineRule="auto"/>
              <w:jc w:val="left"/>
              <w:rPr>
                <w:rFonts w:cs="Calibri"/>
                <w:color w:val="000000"/>
                <w:sz w:val="20"/>
                <w:lang w:eastAsia="es-CR"/>
              </w:rPr>
            </w:pPr>
            <w:r w:rsidRPr="004E74A6">
              <w:rPr>
                <w:rFonts w:cs="Calibri"/>
                <w:color w:val="000000"/>
                <w:sz w:val="20"/>
                <w:lang w:eastAsia="es-CR"/>
              </w:rPr>
              <w:t>Incidentes Procesales</w:t>
            </w:r>
          </w:p>
        </w:tc>
        <w:tc>
          <w:tcPr>
            <w:tcW w:w="505" w:type="pct"/>
            <w:tcBorders>
              <w:left w:val="single" w:sz="4" w:space="0" w:color="auto"/>
              <w:right w:val="single" w:sz="4" w:space="0" w:color="auto"/>
            </w:tcBorders>
            <w:shd w:val="clear" w:color="auto" w:fill="auto"/>
            <w:noWrap/>
            <w:vAlign w:val="center"/>
            <w:hideMark/>
          </w:tcPr>
          <w:p w14:paraId="0B222388" w14:textId="77777777" w:rsidR="00DE6E30" w:rsidRPr="004E74A6" w:rsidRDefault="00DE6E30" w:rsidP="00CE62C1">
            <w:pPr>
              <w:spacing w:line="276" w:lineRule="auto"/>
              <w:jc w:val="center"/>
              <w:rPr>
                <w:rFonts w:cs="Calibri"/>
                <w:color w:val="000000"/>
                <w:sz w:val="20"/>
                <w:lang w:eastAsia="es-CR"/>
              </w:rPr>
            </w:pPr>
            <w:r w:rsidRPr="004E74A6">
              <w:rPr>
                <w:rFonts w:cs="Calibri"/>
                <w:color w:val="000000"/>
                <w:sz w:val="20"/>
                <w:lang w:eastAsia="es-CR"/>
              </w:rPr>
              <w:t>30</w:t>
            </w:r>
          </w:p>
        </w:tc>
        <w:tc>
          <w:tcPr>
            <w:tcW w:w="505" w:type="pct"/>
            <w:tcBorders>
              <w:left w:val="single" w:sz="4" w:space="0" w:color="auto"/>
              <w:right w:val="single" w:sz="4" w:space="0" w:color="auto"/>
            </w:tcBorders>
            <w:shd w:val="clear" w:color="auto" w:fill="auto"/>
            <w:noWrap/>
            <w:vAlign w:val="center"/>
            <w:hideMark/>
          </w:tcPr>
          <w:p w14:paraId="37B9D2C7" w14:textId="77777777" w:rsidR="00DE6E30" w:rsidRPr="004E74A6" w:rsidRDefault="00DE6E30" w:rsidP="00CE62C1">
            <w:pPr>
              <w:spacing w:line="276" w:lineRule="auto"/>
              <w:jc w:val="center"/>
              <w:rPr>
                <w:rFonts w:cs="Calibri"/>
                <w:color w:val="000000"/>
                <w:sz w:val="20"/>
                <w:lang w:eastAsia="es-CR"/>
              </w:rPr>
            </w:pPr>
            <w:r w:rsidRPr="004E74A6">
              <w:rPr>
                <w:rFonts w:cs="Calibri"/>
                <w:color w:val="000000"/>
                <w:sz w:val="20"/>
                <w:lang w:eastAsia="es-CR"/>
              </w:rPr>
              <w:t>17</w:t>
            </w:r>
          </w:p>
        </w:tc>
        <w:tc>
          <w:tcPr>
            <w:tcW w:w="505" w:type="pct"/>
            <w:tcBorders>
              <w:left w:val="single" w:sz="4" w:space="0" w:color="auto"/>
              <w:right w:val="single" w:sz="4" w:space="0" w:color="auto"/>
            </w:tcBorders>
            <w:shd w:val="clear" w:color="auto" w:fill="auto"/>
            <w:noWrap/>
            <w:vAlign w:val="center"/>
            <w:hideMark/>
          </w:tcPr>
          <w:p w14:paraId="6ED7E2DF" w14:textId="77777777" w:rsidR="00DE6E30" w:rsidRPr="004E74A6" w:rsidRDefault="00DE6E30" w:rsidP="00CE62C1">
            <w:pPr>
              <w:spacing w:line="276" w:lineRule="auto"/>
              <w:jc w:val="center"/>
              <w:rPr>
                <w:rFonts w:cs="Calibri"/>
                <w:color w:val="000000"/>
                <w:sz w:val="20"/>
                <w:lang w:eastAsia="es-CR"/>
              </w:rPr>
            </w:pPr>
            <w:r w:rsidRPr="004E74A6">
              <w:rPr>
                <w:rFonts w:cs="Calibri"/>
                <w:color w:val="000000"/>
                <w:sz w:val="20"/>
                <w:lang w:eastAsia="es-CR"/>
              </w:rPr>
              <w:t>12</w:t>
            </w:r>
          </w:p>
        </w:tc>
        <w:tc>
          <w:tcPr>
            <w:tcW w:w="673" w:type="pct"/>
            <w:tcBorders>
              <w:left w:val="single" w:sz="4" w:space="0" w:color="auto"/>
            </w:tcBorders>
            <w:shd w:val="clear" w:color="auto" w:fill="auto"/>
            <w:noWrap/>
            <w:vAlign w:val="center"/>
            <w:hideMark/>
          </w:tcPr>
          <w:p w14:paraId="6B278942" w14:textId="55F8C65B" w:rsidR="00DE6E30" w:rsidRPr="004E74A6" w:rsidRDefault="00DE6E30" w:rsidP="00CE62C1">
            <w:pPr>
              <w:spacing w:line="276" w:lineRule="auto"/>
              <w:jc w:val="center"/>
              <w:rPr>
                <w:rFonts w:cs="Calibri"/>
                <w:color w:val="000000"/>
                <w:sz w:val="20"/>
                <w:lang w:eastAsia="es-CR"/>
              </w:rPr>
            </w:pPr>
            <w:r w:rsidRPr="004E74A6">
              <w:rPr>
                <w:rFonts w:cs="Calibri"/>
                <w:color w:val="000000"/>
                <w:sz w:val="20"/>
              </w:rPr>
              <w:t>19,7</w:t>
            </w:r>
          </w:p>
        </w:tc>
      </w:tr>
      <w:tr w:rsidR="00DE6E30" w:rsidRPr="004E74A6" w14:paraId="599390D3" w14:textId="77777777" w:rsidTr="0010143F">
        <w:trPr>
          <w:trHeight w:val="288"/>
          <w:jc w:val="center"/>
        </w:trPr>
        <w:tc>
          <w:tcPr>
            <w:tcW w:w="2812" w:type="pct"/>
            <w:tcBorders>
              <w:right w:val="single" w:sz="4" w:space="0" w:color="auto"/>
            </w:tcBorders>
            <w:shd w:val="clear" w:color="auto" w:fill="auto"/>
            <w:noWrap/>
            <w:vAlign w:val="bottom"/>
            <w:hideMark/>
          </w:tcPr>
          <w:p w14:paraId="5F1BF619" w14:textId="77777777" w:rsidR="00DE6E30" w:rsidRPr="004E74A6" w:rsidRDefault="00DE6E30" w:rsidP="00CE62C1">
            <w:pPr>
              <w:spacing w:line="276" w:lineRule="auto"/>
              <w:jc w:val="left"/>
              <w:rPr>
                <w:rFonts w:cs="Calibri"/>
                <w:color w:val="000000"/>
                <w:sz w:val="20"/>
                <w:lang w:eastAsia="es-CR"/>
              </w:rPr>
            </w:pPr>
            <w:r w:rsidRPr="004E74A6">
              <w:rPr>
                <w:rFonts w:cs="Calibri"/>
                <w:color w:val="000000"/>
                <w:sz w:val="20"/>
                <w:lang w:eastAsia="es-CR"/>
              </w:rPr>
              <w:t>Legajo De Ejecución Provisional</w:t>
            </w:r>
          </w:p>
        </w:tc>
        <w:tc>
          <w:tcPr>
            <w:tcW w:w="505" w:type="pct"/>
            <w:tcBorders>
              <w:left w:val="single" w:sz="4" w:space="0" w:color="auto"/>
              <w:right w:val="single" w:sz="4" w:space="0" w:color="auto"/>
            </w:tcBorders>
            <w:shd w:val="clear" w:color="auto" w:fill="auto"/>
            <w:noWrap/>
            <w:vAlign w:val="center"/>
            <w:hideMark/>
          </w:tcPr>
          <w:p w14:paraId="4EBD0262" w14:textId="39FF2C51" w:rsidR="00DE6E30" w:rsidRPr="004E74A6" w:rsidRDefault="00DE6E30" w:rsidP="00CE62C1">
            <w:pPr>
              <w:spacing w:line="276" w:lineRule="auto"/>
              <w:jc w:val="center"/>
              <w:rPr>
                <w:sz w:val="20"/>
                <w:lang w:eastAsia="es-CR"/>
              </w:rPr>
            </w:pPr>
            <w:r w:rsidRPr="004E74A6">
              <w:rPr>
                <w:sz w:val="20"/>
                <w:lang w:eastAsia="es-CR"/>
              </w:rPr>
              <w:t>0</w:t>
            </w:r>
          </w:p>
        </w:tc>
        <w:tc>
          <w:tcPr>
            <w:tcW w:w="505" w:type="pct"/>
            <w:tcBorders>
              <w:left w:val="single" w:sz="4" w:space="0" w:color="auto"/>
              <w:right w:val="single" w:sz="4" w:space="0" w:color="auto"/>
            </w:tcBorders>
            <w:shd w:val="clear" w:color="auto" w:fill="auto"/>
            <w:noWrap/>
            <w:vAlign w:val="center"/>
            <w:hideMark/>
          </w:tcPr>
          <w:p w14:paraId="4411599F" w14:textId="77777777" w:rsidR="00DE6E30" w:rsidRPr="004E74A6" w:rsidRDefault="00DE6E30" w:rsidP="00CE62C1">
            <w:pPr>
              <w:spacing w:line="276" w:lineRule="auto"/>
              <w:jc w:val="center"/>
              <w:rPr>
                <w:rFonts w:cs="Calibri"/>
                <w:color w:val="000000"/>
                <w:sz w:val="20"/>
                <w:lang w:eastAsia="es-CR"/>
              </w:rPr>
            </w:pPr>
            <w:r w:rsidRPr="004E74A6">
              <w:rPr>
                <w:rFonts w:cs="Calibri"/>
                <w:color w:val="000000"/>
                <w:sz w:val="20"/>
                <w:lang w:eastAsia="es-CR"/>
              </w:rPr>
              <w:t>7</w:t>
            </w:r>
          </w:p>
        </w:tc>
        <w:tc>
          <w:tcPr>
            <w:tcW w:w="505" w:type="pct"/>
            <w:tcBorders>
              <w:left w:val="single" w:sz="4" w:space="0" w:color="auto"/>
              <w:right w:val="single" w:sz="4" w:space="0" w:color="auto"/>
            </w:tcBorders>
            <w:shd w:val="clear" w:color="auto" w:fill="auto"/>
            <w:noWrap/>
            <w:vAlign w:val="center"/>
            <w:hideMark/>
          </w:tcPr>
          <w:p w14:paraId="68A7F171" w14:textId="77777777" w:rsidR="00DE6E30" w:rsidRPr="004E74A6" w:rsidRDefault="00DE6E30" w:rsidP="00CE62C1">
            <w:pPr>
              <w:spacing w:line="276" w:lineRule="auto"/>
              <w:jc w:val="center"/>
              <w:rPr>
                <w:rFonts w:cs="Calibri"/>
                <w:color w:val="000000"/>
                <w:sz w:val="20"/>
                <w:lang w:eastAsia="es-CR"/>
              </w:rPr>
            </w:pPr>
            <w:r w:rsidRPr="004E74A6">
              <w:rPr>
                <w:rFonts w:cs="Calibri"/>
                <w:color w:val="000000"/>
                <w:sz w:val="20"/>
                <w:lang w:eastAsia="es-CR"/>
              </w:rPr>
              <w:t>3</w:t>
            </w:r>
          </w:p>
        </w:tc>
        <w:tc>
          <w:tcPr>
            <w:tcW w:w="673" w:type="pct"/>
            <w:tcBorders>
              <w:left w:val="single" w:sz="4" w:space="0" w:color="auto"/>
            </w:tcBorders>
            <w:shd w:val="clear" w:color="auto" w:fill="auto"/>
            <w:noWrap/>
            <w:vAlign w:val="center"/>
            <w:hideMark/>
          </w:tcPr>
          <w:p w14:paraId="0DE65D3C" w14:textId="4644D066" w:rsidR="00DE6E30" w:rsidRPr="004E74A6" w:rsidRDefault="00DE6E30" w:rsidP="00CE62C1">
            <w:pPr>
              <w:spacing w:line="276" w:lineRule="auto"/>
              <w:jc w:val="center"/>
              <w:rPr>
                <w:rFonts w:cs="Calibri"/>
                <w:color w:val="000000"/>
                <w:sz w:val="20"/>
                <w:lang w:eastAsia="es-CR"/>
              </w:rPr>
            </w:pPr>
            <w:r w:rsidRPr="004E74A6">
              <w:rPr>
                <w:rFonts w:cs="Calibri"/>
                <w:color w:val="000000"/>
                <w:sz w:val="20"/>
              </w:rPr>
              <w:t>3,3</w:t>
            </w:r>
          </w:p>
        </w:tc>
      </w:tr>
      <w:tr w:rsidR="00DE6E30" w:rsidRPr="004E74A6" w14:paraId="4456C793" w14:textId="77777777" w:rsidTr="0010143F">
        <w:trPr>
          <w:trHeight w:val="288"/>
          <w:jc w:val="center"/>
        </w:trPr>
        <w:tc>
          <w:tcPr>
            <w:tcW w:w="2812" w:type="pct"/>
            <w:tcBorders>
              <w:right w:val="single" w:sz="4" w:space="0" w:color="auto"/>
            </w:tcBorders>
            <w:shd w:val="clear" w:color="auto" w:fill="auto"/>
            <w:noWrap/>
            <w:vAlign w:val="bottom"/>
            <w:hideMark/>
          </w:tcPr>
          <w:p w14:paraId="0D27DA2E" w14:textId="77777777" w:rsidR="00DE6E30" w:rsidRPr="004E74A6" w:rsidRDefault="00DE6E30" w:rsidP="00CE62C1">
            <w:pPr>
              <w:spacing w:line="276" w:lineRule="auto"/>
              <w:jc w:val="left"/>
              <w:rPr>
                <w:rFonts w:cs="Calibri"/>
                <w:color w:val="000000"/>
                <w:sz w:val="20"/>
                <w:lang w:eastAsia="es-CR"/>
              </w:rPr>
            </w:pPr>
            <w:r w:rsidRPr="004E74A6">
              <w:rPr>
                <w:rFonts w:cs="Calibri"/>
                <w:color w:val="000000"/>
                <w:sz w:val="20"/>
                <w:lang w:eastAsia="es-CR"/>
              </w:rPr>
              <w:t>Legajo De Medidas Cautelares</w:t>
            </w:r>
          </w:p>
        </w:tc>
        <w:tc>
          <w:tcPr>
            <w:tcW w:w="505" w:type="pct"/>
            <w:tcBorders>
              <w:left w:val="single" w:sz="4" w:space="0" w:color="auto"/>
              <w:right w:val="single" w:sz="4" w:space="0" w:color="auto"/>
            </w:tcBorders>
            <w:shd w:val="clear" w:color="auto" w:fill="auto"/>
            <w:noWrap/>
            <w:vAlign w:val="center"/>
            <w:hideMark/>
          </w:tcPr>
          <w:p w14:paraId="4CE9BCED" w14:textId="67669034" w:rsidR="00DE6E30" w:rsidRPr="004E74A6" w:rsidRDefault="00DE6E30" w:rsidP="00CE62C1">
            <w:pPr>
              <w:spacing w:line="276" w:lineRule="auto"/>
              <w:jc w:val="center"/>
              <w:rPr>
                <w:sz w:val="20"/>
                <w:lang w:eastAsia="es-CR"/>
              </w:rPr>
            </w:pPr>
            <w:r w:rsidRPr="004E74A6">
              <w:rPr>
                <w:sz w:val="20"/>
                <w:lang w:eastAsia="es-CR"/>
              </w:rPr>
              <w:t>0</w:t>
            </w:r>
          </w:p>
        </w:tc>
        <w:tc>
          <w:tcPr>
            <w:tcW w:w="505" w:type="pct"/>
            <w:tcBorders>
              <w:left w:val="single" w:sz="4" w:space="0" w:color="auto"/>
              <w:right w:val="single" w:sz="4" w:space="0" w:color="auto"/>
            </w:tcBorders>
            <w:shd w:val="clear" w:color="auto" w:fill="auto"/>
            <w:noWrap/>
            <w:vAlign w:val="center"/>
            <w:hideMark/>
          </w:tcPr>
          <w:p w14:paraId="3E019C00" w14:textId="77777777" w:rsidR="00DE6E30" w:rsidRPr="004E74A6" w:rsidRDefault="00DE6E30" w:rsidP="00CE62C1">
            <w:pPr>
              <w:spacing w:line="276" w:lineRule="auto"/>
              <w:jc w:val="center"/>
              <w:rPr>
                <w:rFonts w:cs="Calibri"/>
                <w:color w:val="000000"/>
                <w:sz w:val="20"/>
                <w:lang w:eastAsia="es-CR"/>
              </w:rPr>
            </w:pPr>
            <w:r w:rsidRPr="004E74A6">
              <w:rPr>
                <w:rFonts w:cs="Calibri"/>
                <w:color w:val="000000"/>
                <w:sz w:val="20"/>
                <w:lang w:eastAsia="es-CR"/>
              </w:rPr>
              <w:t>4</w:t>
            </w:r>
          </w:p>
        </w:tc>
        <w:tc>
          <w:tcPr>
            <w:tcW w:w="505" w:type="pct"/>
            <w:tcBorders>
              <w:left w:val="single" w:sz="4" w:space="0" w:color="auto"/>
              <w:right w:val="single" w:sz="4" w:space="0" w:color="auto"/>
            </w:tcBorders>
            <w:shd w:val="clear" w:color="auto" w:fill="auto"/>
            <w:noWrap/>
            <w:vAlign w:val="center"/>
            <w:hideMark/>
          </w:tcPr>
          <w:p w14:paraId="5ECA85EA" w14:textId="77777777" w:rsidR="00DE6E30" w:rsidRPr="004E74A6" w:rsidRDefault="00DE6E30" w:rsidP="00CE62C1">
            <w:pPr>
              <w:spacing w:line="276" w:lineRule="auto"/>
              <w:jc w:val="center"/>
              <w:rPr>
                <w:rFonts w:cs="Calibri"/>
                <w:color w:val="000000"/>
                <w:sz w:val="20"/>
                <w:lang w:eastAsia="es-CR"/>
              </w:rPr>
            </w:pPr>
            <w:r w:rsidRPr="004E74A6">
              <w:rPr>
                <w:rFonts w:cs="Calibri"/>
                <w:color w:val="000000"/>
                <w:sz w:val="20"/>
                <w:lang w:eastAsia="es-CR"/>
              </w:rPr>
              <w:t>2</w:t>
            </w:r>
          </w:p>
        </w:tc>
        <w:tc>
          <w:tcPr>
            <w:tcW w:w="673" w:type="pct"/>
            <w:tcBorders>
              <w:left w:val="single" w:sz="4" w:space="0" w:color="auto"/>
            </w:tcBorders>
            <w:shd w:val="clear" w:color="auto" w:fill="auto"/>
            <w:noWrap/>
            <w:vAlign w:val="center"/>
            <w:hideMark/>
          </w:tcPr>
          <w:p w14:paraId="1A803AA7" w14:textId="4CAE79FB" w:rsidR="00DE6E30" w:rsidRPr="004E74A6" w:rsidRDefault="00DE6E30" w:rsidP="00CE62C1">
            <w:pPr>
              <w:spacing w:line="276" w:lineRule="auto"/>
              <w:jc w:val="center"/>
              <w:rPr>
                <w:rFonts w:cs="Calibri"/>
                <w:color w:val="000000"/>
                <w:sz w:val="20"/>
                <w:lang w:eastAsia="es-CR"/>
              </w:rPr>
            </w:pPr>
            <w:r w:rsidRPr="004E74A6">
              <w:rPr>
                <w:rFonts w:cs="Calibri"/>
                <w:color w:val="000000"/>
                <w:sz w:val="20"/>
              </w:rPr>
              <w:t>2,0</w:t>
            </w:r>
          </w:p>
        </w:tc>
      </w:tr>
      <w:tr w:rsidR="00DE6E30" w:rsidRPr="004E74A6" w14:paraId="15723E71" w14:textId="77777777" w:rsidTr="0010143F">
        <w:trPr>
          <w:trHeight w:val="288"/>
          <w:jc w:val="center"/>
        </w:trPr>
        <w:tc>
          <w:tcPr>
            <w:tcW w:w="2812" w:type="pct"/>
            <w:tcBorders>
              <w:right w:val="single" w:sz="4" w:space="0" w:color="auto"/>
            </w:tcBorders>
            <w:shd w:val="clear" w:color="auto" w:fill="auto"/>
            <w:noWrap/>
            <w:vAlign w:val="bottom"/>
            <w:hideMark/>
          </w:tcPr>
          <w:p w14:paraId="50332100" w14:textId="77777777" w:rsidR="00DE6E30" w:rsidRPr="004E74A6" w:rsidRDefault="00DE6E30" w:rsidP="00CE62C1">
            <w:pPr>
              <w:spacing w:line="276" w:lineRule="auto"/>
              <w:jc w:val="left"/>
              <w:rPr>
                <w:rFonts w:cs="Calibri"/>
                <w:color w:val="000000"/>
                <w:sz w:val="20"/>
                <w:lang w:eastAsia="es-CR"/>
              </w:rPr>
            </w:pPr>
            <w:r w:rsidRPr="004E74A6">
              <w:rPr>
                <w:rFonts w:cs="Calibri"/>
                <w:color w:val="000000"/>
                <w:sz w:val="20"/>
                <w:lang w:eastAsia="es-CR"/>
              </w:rPr>
              <w:t>Legajo Ejec. Sentencia Acuerdos En Conciliación</w:t>
            </w:r>
          </w:p>
        </w:tc>
        <w:tc>
          <w:tcPr>
            <w:tcW w:w="505" w:type="pct"/>
            <w:tcBorders>
              <w:left w:val="single" w:sz="4" w:space="0" w:color="auto"/>
              <w:right w:val="single" w:sz="4" w:space="0" w:color="auto"/>
            </w:tcBorders>
            <w:shd w:val="clear" w:color="auto" w:fill="auto"/>
            <w:noWrap/>
            <w:vAlign w:val="center"/>
            <w:hideMark/>
          </w:tcPr>
          <w:p w14:paraId="5485EB98" w14:textId="77777777" w:rsidR="00DE6E30" w:rsidRPr="004E74A6" w:rsidRDefault="00DE6E30" w:rsidP="00CE62C1">
            <w:pPr>
              <w:spacing w:line="276" w:lineRule="auto"/>
              <w:jc w:val="center"/>
              <w:rPr>
                <w:rFonts w:cs="Calibri"/>
                <w:color w:val="000000"/>
                <w:sz w:val="20"/>
                <w:lang w:eastAsia="es-CR"/>
              </w:rPr>
            </w:pPr>
            <w:r w:rsidRPr="004E74A6">
              <w:rPr>
                <w:rFonts w:cs="Calibri"/>
                <w:color w:val="000000"/>
                <w:sz w:val="20"/>
                <w:lang w:eastAsia="es-CR"/>
              </w:rPr>
              <w:t>1</w:t>
            </w:r>
          </w:p>
        </w:tc>
        <w:tc>
          <w:tcPr>
            <w:tcW w:w="505" w:type="pct"/>
            <w:tcBorders>
              <w:left w:val="single" w:sz="4" w:space="0" w:color="auto"/>
              <w:right w:val="single" w:sz="4" w:space="0" w:color="auto"/>
            </w:tcBorders>
            <w:shd w:val="clear" w:color="auto" w:fill="auto"/>
            <w:noWrap/>
            <w:vAlign w:val="center"/>
            <w:hideMark/>
          </w:tcPr>
          <w:p w14:paraId="30AC03F5" w14:textId="0D53EAE2" w:rsidR="00DE6E30" w:rsidRPr="004E74A6" w:rsidRDefault="00DE6E30" w:rsidP="00CE62C1">
            <w:pPr>
              <w:spacing w:line="276" w:lineRule="auto"/>
              <w:jc w:val="center"/>
              <w:rPr>
                <w:rFonts w:cs="Calibri"/>
                <w:color w:val="000000"/>
                <w:sz w:val="20"/>
                <w:lang w:eastAsia="es-CR"/>
              </w:rPr>
            </w:pPr>
            <w:r w:rsidRPr="004E74A6">
              <w:rPr>
                <w:rFonts w:cs="Calibri"/>
                <w:color w:val="000000"/>
                <w:sz w:val="20"/>
                <w:lang w:eastAsia="es-CR"/>
              </w:rPr>
              <w:t>0</w:t>
            </w:r>
          </w:p>
        </w:tc>
        <w:tc>
          <w:tcPr>
            <w:tcW w:w="505" w:type="pct"/>
            <w:tcBorders>
              <w:left w:val="single" w:sz="4" w:space="0" w:color="auto"/>
              <w:right w:val="single" w:sz="4" w:space="0" w:color="auto"/>
            </w:tcBorders>
            <w:shd w:val="clear" w:color="auto" w:fill="auto"/>
            <w:noWrap/>
            <w:vAlign w:val="center"/>
            <w:hideMark/>
          </w:tcPr>
          <w:p w14:paraId="52208A65" w14:textId="64B70C41" w:rsidR="00DE6E30" w:rsidRPr="004E74A6" w:rsidRDefault="00DE6E30" w:rsidP="00CE62C1">
            <w:pPr>
              <w:spacing w:line="276" w:lineRule="auto"/>
              <w:jc w:val="center"/>
              <w:rPr>
                <w:sz w:val="20"/>
                <w:lang w:eastAsia="es-CR"/>
              </w:rPr>
            </w:pPr>
            <w:r w:rsidRPr="004E74A6">
              <w:rPr>
                <w:sz w:val="20"/>
                <w:lang w:eastAsia="es-CR"/>
              </w:rPr>
              <w:t>0</w:t>
            </w:r>
          </w:p>
        </w:tc>
        <w:tc>
          <w:tcPr>
            <w:tcW w:w="673" w:type="pct"/>
            <w:tcBorders>
              <w:left w:val="single" w:sz="4" w:space="0" w:color="auto"/>
            </w:tcBorders>
            <w:shd w:val="clear" w:color="auto" w:fill="auto"/>
            <w:noWrap/>
            <w:vAlign w:val="center"/>
            <w:hideMark/>
          </w:tcPr>
          <w:p w14:paraId="456A2DF7" w14:textId="471F5FAD" w:rsidR="00DE6E30" w:rsidRPr="004E74A6" w:rsidRDefault="00DE6E30" w:rsidP="00CE62C1">
            <w:pPr>
              <w:spacing w:line="276" w:lineRule="auto"/>
              <w:jc w:val="center"/>
              <w:rPr>
                <w:rFonts w:cs="Calibri"/>
                <w:color w:val="000000"/>
                <w:sz w:val="20"/>
                <w:lang w:eastAsia="es-CR"/>
              </w:rPr>
            </w:pPr>
            <w:r w:rsidRPr="004E74A6">
              <w:rPr>
                <w:rFonts w:cs="Calibri"/>
                <w:color w:val="000000"/>
                <w:sz w:val="20"/>
              </w:rPr>
              <w:t>0,3</w:t>
            </w:r>
          </w:p>
        </w:tc>
      </w:tr>
      <w:tr w:rsidR="00DE6E30" w:rsidRPr="004E74A6" w14:paraId="3DADCCB9" w14:textId="77777777" w:rsidTr="0010143F">
        <w:trPr>
          <w:trHeight w:val="288"/>
          <w:jc w:val="center"/>
        </w:trPr>
        <w:tc>
          <w:tcPr>
            <w:tcW w:w="2812" w:type="pct"/>
            <w:tcBorders>
              <w:right w:val="single" w:sz="4" w:space="0" w:color="auto"/>
            </w:tcBorders>
            <w:shd w:val="clear" w:color="auto" w:fill="auto"/>
            <w:noWrap/>
            <w:vAlign w:val="bottom"/>
            <w:hideMark/>
          </w:tcPr>
          <w:p w14:paraId="5AD22321" w14:textId="77777777" w:rsidR="00DE6E30" w:rsidRPr="004E74A6" w:rsidRDefault="00DE6E30" w:rsidP="00CE62C1">
            <w:pPr>
              <w:spacing w:line="276" w:lineRule="auto"/>
              <w:jc w:val="left"/>
              <w:rPr>
                <w:rFonts w:cs="Calibri"/>
                <w:color w:val="000000"/>
                <w:sz w:val="20"/>
                <w:lang w:eastAsia="es-CR"/>
              </w:rPr>
            </w:pPr>
            <w:r w:rsidRPr="004E74A6">
              <w:rPr>
                <w:rFonts w:cs="Calibri"/>
                <w:color w:val="000000"/>
                <w:sz w:val="20"/>
                <w:lang w:eastAsia="es-CR"/>
              </w:rPr>
              <w:t>Legajo Embargo Preventivo</w:t>
            </w:r>
          </w:p>
        </w:tc>
        <w:tc>
          <w:tcPr>
            <w:tcW w:w="505" w:type="pct"/>
            <w:tcBorders>
              <w:left w:val="single" w:sz="4" w:space="0" w:color="auto"/>
              <w:right w:val="single" w:sz="4" w:space="0" w:color="auto"/>
            </w:tcBorders>
            <w:shd w:val="clear" w:color="auto" w:fill="auto"/>
            <w:noWrap/>
            <w:vAlign w:val="center"/>
            <w:hideMark/>
          </w:tcPr>
          <w:p w14:paraId="4A9A9E07" w14:textId="7D0BA45D" w:rsidR="00DE6E30" w:rsidRPr="004E74A6" w:rsidRDefault="00DE6E30" w:rsidP="00CE62C1">
            <w:pPr>
              <w:spacing w:line="276" w:lineRule="auto"/>
              <w:jc w:val="center"/>
              <w:rPr>
                <w:sz w:val="20"/>
                <w:lang w:eastAsia="es-CR"/>
              </w:rPr>
            </w:pPr>
            <w:r w:rsidRPr="004E74A6">
              <w:rPr>
                <w:sz w:val="20"/>
                <w:lang w:eastAsia="es-CR"/>
              </w:rPr>
              <w:t>0</w:t>
            </w:r>
          </w:p>
        </w:tc>
        <w:tc>
          <w:tcPr>
            <w:tcW w:w="505" w:type="pct"/>
            <w:tcBorders>
              <w:left w:val="single" w:sz="4" w:space="0" w:color="auto"/>
              <w:right w:val="single" w:sz="4" w:space="0" w:color="auto"/>
            </w:tcBorders>
            <w:shd w:val="clear" w:color="auto" w:fill="auto"/>
            <w:noWrap/>
            <w:vAlign w:val="center"/>
            <w:hideMark/>
          </w:tcPr>
          <w:p w14:paraId="28AD41BE" w14:textId="77777777" w:rsidR="00DE6E30" w:rsidRPr="004E74A6" w:rsidRDefault="00DE6E30" w:rsidP="00CE62C1">
            <w:pPr>
              <w:spacing w:line="276" w:lineRule="auto"/>
              <w:jc w:val="center"/>
              <w:rPr>
                <w:rFonts w:cs="Calibri"/>
                <w:color w:val="000000"/>
                <w:sz w:val="20"/>
                <w:lang w:eastAsia="es-CR"/>
              </w:rPr>
            </w:pPr>
            <w:r w:rsidRPr="004E74A6">
              <w:rPr>
                <w:rFonts w:cs="Calibri"/>
                <w:color w:val="000000"/>
                <w:sz w:val="20"/>
                <w:lang w:eastAsia="es-CR"/>
              </w:rPr>
              <w:t>1</w:t>
            </w:r>
          </w:p>
        </w:tc>
        <w:tc>
          <w:tcPr>
            <w:tcW w:w="505" w:type="pct"/>
            <w:tcBorders>
              <w:left w:val="single" w:sz="4" w:space="0" w:color="auto"/>
              <w:right w:val="single" w:sz="4" w:space="0" w:color="auto"/>
            </w:tcBorders>
            <w:shd w:val="clear" w:color="auto" w:fill="auto"/>
            <w:noWrap/>
            <w:vAlign w:val="center"/>
            <w:hideMark/>
          </w:tcPr>
          <w:p w14:paraId="19BFEFA4" w14:textId="5D5E12FF" w:rsidR="00DE6E30" w:rsidRPr="004E74A6" w:rsidRDefault="00DE6E30" w:rsidP="00CE62C1">
            <w:pPr>
              <w:spacing w:line="276" w:lineRule="auto"/>
              <w:jc w:val="center"/>
              <w:rPr>
                <w:rFonts w:cs="Calibri"/>
                <w:color w:val="000000"/>
                <w:sz w:val="20"/>
                <w:lang w:eastAsia="es-CR"/>
              </w:rPr>
            </w:pPr>
            <w:r w:rsidRPr="004E74A6">
              <w:rPr>
                <w:rFonts w:cs="Calibri"/>
                <w:color w:val="000000"/>
                <w:sz w:val="20"/>
                <w:lang w:eastAsia="es-CR"/>
              </w:rPr>
              <w:t>0</w:t>
            </w:r>
          </w:p>
        </w:tc>
        <w:tc>
          <w:tcPr>
            <w:tcW w:w="673" w:type="pct"/>
            <w:tcBorders>
              <w:left w:val="single" w:sz="4" w:space="0" w:color="auto"/>
            </w:tcBorders>
            <w:shd w:val="clear" w:color="auto" w:fill="auto"/>
            <w:noWrap/>
            <w:vAlign w:val="center"/>
            <w:hideMark/>
          </w:tcPr>
          <w:p w14:paraId="73592358" w14:textId="1CB8E75A" w:rsidR="00DE6E30" w:rsidRPr="004E74A6" w:rsidRDefault="00DE6E30" w:rsidP="00CE62C1">
            <w:pPr>
              <w:spacing w:line="276" w:lineRule="auto"/>
              <w:jc w:val="center"/>
              <w:rPr>
                <w:rFonts w:cs="Calibri"/>
                <w:color w:val="000000"/>
                <w:sz w:val="20"/>
                <w:lang w:eastAsia="es-CR"/>
              </w:rPr>
            </w:pPr>
            <w:r w:rsidRPr="004E74A6">
              <w:rPr>
                <w:rFonts w:cs="Calibri"/>
                <w:color w:val="000000"/>
                <w:sz w:val="20"/>
              </w:rPr>
              <w:t>0,3</w:t>
            </w:r>
          </w:p>
        </w:tc>
      </w:tr>
      <w:tr w:rsidR="00DE6E30" w:rsidRPr="004E74A6" w14:paraId="6EF454B8" w14:textId="77777777" w:rsidTr="0010143F">
        <w:trPr>
          <w:trHeight w:val="288"/>
          <w:jc w:val="center"/>
        </w:trPr>
        <w:tc>
          <w:tcPr>
            <w:tcW w:w="2812" w:type="pct"/>
            <w:tcBorders>
              <w:right w:val="single" w:sz="4" w:space="0" w:color="auto"/>
            </w:tcBorders>
            <w:shd w:val="clear" w:color="auto" w:fill="auto"/>
            <w:noWrap/>
            <w:vAlign w:val="bottom"/>
            <w:hideMark/>
          </w:tcPr>
          <w:p w14:paraId="4F93A275" w14:textId="77777777" w:rsidR="00DE6E30" w:rsidRPr="004E74A6" w:rsidRDefault="00DE6E30" w:rsidP="00CE62C1">
            <w:pPr>
              <w:spacing w:line="276" w:lineRule="auto"/>
              <w:jc w:val="left"/>
              <w:rPr>
                <w:rFonts w:cs="Calibri"/>
                <w:color w:val="000000"/>
                <w:sz w:val="20"/>
                <w:lang w:eastAsia="es-CR"/>
              </w:rPr>
            </w:pPr>
            <w:r w:rsidRPr="004E74A6">
              <w:rPr>
                <w:rFonts w:cs="Calibri"/>
                <w:color w:val="000000"/>
                <w:sz w:val="20"/>
                <w:lang w:eastAsia="es-CR"/>
              </w:rPr>
              <w:t>Legajo Medida Cautelar Anticipada</w:t>
            </w:r>
          </w:p>
        </w:tc>
        <w:tc>
          <w:tcPr>
            <w:tcW w:w="505" w:type="pct"/>
            <w:tcBorders>
              <w:left w:val="single" w:sz="4" w:space="0" w:color="auto"/>
              <w:right w:val="single" w:sz="4" w:space="0" w:color="auto"/>
            </w:tcBorders>
            <w:shd w:val="clear" w:color="auto" w:fill="auto"/>
            <w:noWrap/>
            <w:vAlign w:val="center"/>
            <w:hideMark/>
          </w:tcPr>
          <w:p w14:paraId="6DCC46C1" w14:textId="42AD7AEC" w:rsidR="00DE6E30" w:rsidRPr="004E74A6" w:rsidRDefault="00DE6E30" w:rsidP="00CE62C1">
            <w:pPr>
              <w:spacing w:line="276" w:lineRule="auto"/>
              <w:jc w:val="center"/>
              <w:rPr>
                <w:sz w:val="20"/>
                <w:lang w:eastAsia="es-CR"/>
              </w:rPr>
            </w:pPr>
            <w:r w:rsidRPr="004E74A6">
              <w:rPr>
                <w:sz w:val="20"/>
                <w:lang w:eastAsia="es-CR"/>
              </w:rPr>
              <w:t>0</w:t>
            </w:r>
          </w:p>
        </w:tc>
        <w:tc>
          <w:tcPr>
            <w:tcW w:w="505" w:type="pct"/>
            <w:tcBorders>
              <w:left w:val="single" w:sz="4" w:space="0" w:color="auto"/>
              <w:right w:val="single" w:sz="4" w:space="0" w:color="auto"/>
            </w:tcBorders>
            <w:shd w:val="clear" w:color="auto" w:fill="auto"/>
            <w:noWrap/>
            <w:vAlign w:val="center"/>
            <w:hideMark/>
          </w:tcPr>
          <w:p w14:paraId="50C35BAA" w14:textId="77777777" w:rsidR="00DE6E30" w:rsidRPr="004E74A6" w:rsidRDefault="00DE6E30" w:rsidP="00CE62C1">
            <w:pPr>
              <w:spacing w:line="276" w:lineRule="auto"/>
              <w:jc w:val="center"/>
              <w:rPr>
                <w:rFonts w:cs="Calibri"/>
                <w:color w:val="000000"/>
                <w:sz w:val="20"/>
                <w:lang w:eastAsia="es-CR"/>
              </w:rPr>
            </w:pPr>
            <w:r w:rsidRPr="004E74A6">
              <w:rPr>
                <w:rFonts w:cs="Calibri"/>
                <w:color w:val="000000"/>
                <w:sz w:val="20"/>
                <w:lang w:eastAsia="es-CR"/>
              </w:rPr>
              <w:t>1</w:t>
            </w:r>
          </w:p>
        </w:tc>
        <w:tc>
          <w:tcPr>
            <w:tcW w:w="505" w:type="pct"/>
            <w:tcBorders>
              <w:left w:val="single" w:sz="4" w:space="0" w:color="auto"/>
              <w:right w:val="single" w:sz="4" w:space="0" w:color="auto"/>
            </w:tcBorders>
            <w:shd w:val="clear" w:color="auto" w:fill="auto"/>
            <w:noWrap/>
            <w:vAlign w:val="center"/>
            <w:hideMark/>
          </w:tcPr>
          <w:p w14:paraId="71A064D8" w14:textId="14518262" w:rsidR="00DE6E30" w:rsidRPr="004E74A6" w:rsidRDefault="00DE6E30" w:rsidP="00CE62C1">
            <w:pPr>
              <w:spacing w:line="276" w:lineRule="auto"/>
              <w:jc w:val="center"/>
              <w:rPr>
                <w:rFonts w:cs="Calibri"/>
                <w:color w:val="000000"/>
                <w:sz w:val="20"/>
                <w:lang w:eastAsia="es-CR"/>
              </w:rPr>
            </w:pPr>
            <w:r w:rsidRPr="004E74A6">
              <w:rPr>
                <w:rFonts w:cs="Calibri"/>
                <w:color w:val="000000"/>
                <w:sz w:val="20"/>
                <w:lang w:eastAsia="es-CR"/>
              </w:rPr>
              <w:t>0</w:t>
            </w:r>
          </w:p>
        </w:tc>
        <w:tc>
          <w:tcPr>
            <w:tcW w:w="673" w:type="pct"/>
            <w:tcBorders>
              <w:left w:val="single" w:sz="4" w:space="0" w:color="auto"/>
            </w:tcBorders>
            <w:shd w:val="clear" w:color="auto" w:fill="auto"/>
            <w:noWrap/>
            <w:vAlign w:val="center"/>
            <w:hideMark/>
          </w:tcPr>
          <w:p w14:paraId="31499560" w14:textId="413B23F7" w:rsidR="00DE6E30" w:rsidRPr="004E74A6" w:rsidRDefault="00DE6E30" w:rsidP="00CE62C1">
            <w:pPr>
              <w:spacing w:line="276" w:lineRule="auto"/>
              <w:jc w:val="center"/>
              <w:rPr>
                <w:rFonts w:cs="Calibri"/>
                <w:color w:val="000000"/>
                <w:sz w:val="20"/>
                <w:lang w:eastAsia="es-CR"/>
              </w:rPr>
            </w:pPr>
            <w:r w:rsidRPr="004E74A6">
              <w:rPr>
                <w:rFonts w:cs="Calibri"/>
                <w:color w:val="000000"/>
                <w:sz w:val="20"/>
              </w:rPr>
              <w:t>0,3</w:t>
            </w:r>
          </w:p>
        </w:tc>
      </w:tr>
      <w:tr w:rsidR="00DE6E30" w:rsidRPr="004E74A6" w14:paraId="6D6F7B52" w14:textId="77777777" w:rsidTr="0010143F">
        <w:trPr>
          <w:trHeight w:val="288"/>
          <w:jc w:val="center"/>
        </w:trPr>
        <w:tc>
          <w:tcPr>
            <w:tcW w:w="2812" w:type="pct"/>
            <w:tcBorders>
              <w:right w:val="single" w:sz="4" w:space="0" w:color="auto"/>
            </w:tcBorders>
            <w:shd w:val="clear" w:color="auto" w:fill="auto"/>
            <w:noWrap/>
            <w:vAlign w:val="bottom"/>
            <w:hideMark/>
          </w:tcPr>
          <w:p w14:paraId="2E6316AC" w14:textId="77777777" w:rsidR="00DE6E30" w:rsidRPr="004E74A6" w:rsidRDefault="00DE6E30" w:rsidP="00CE62C1">
            <w:pPr>
              <w:spacing w:line="276" w:lineRule="auto"/>
              <w:jc w:val="left"/>
              <w:rPr>
                <w:rFonts w:cs="Calibri"/>
                <w:color w:val="000000"/>
                <w:sz w:val="20"/>
                <w:lang w:eastAsia="es-CR"/>
              </w:rPr>
            </w:pPr>
            <w:r w:rsidRPr="004E74A6">
              <w:rPr>
                <w:rFonts w:cs="Calibri"/>
                <w:color w:val="000000"/>
                <w:sz w:val="20"/>
                <w:lang w:eastAsia="es-CR"/>
              </w:rPr>
              <w:t>Legajo Pruebas Parte Actora</w:t>
            </w:r>
          </w:p>
        </w:tc>
        <w:tc>
          <w:tcPr>
            <w:tcW w:w="505" w:type="pct"/>
            <w:tcBorders>
              <w:left w:val="single" w:sz="4" w:space="0" w:color="auto"/>
              <w:right w:val="single" w:sz="4" w:space="0" w:color="auto"/>
            </w:tcBorders>
            <w:shd w:val="clear" w:color="auto" w:fill="auto"/>
            <w:noWrap/>
            <w:vAlign w:val="center"/>
            <w:hideMark/>
          </w:tcPr>
          <w:p w14:paraId="2A6999D4" w14:textId="77777777" w:rsidR="00DE6E30" w:rsidRPr="004E74A6" w:rsidRDefault="00DE6E30" w:rsidP="00CE62C1">
            <w:pPr>
              <w:spacing w:line="276" w:lineRule="auto"/>
              <w:jc w:val="center"/>
              <w:rPr>
                <w:rFonts w:cs="Calibri"/>
                <w:color w:val="000000"/>
                <w:sz w:val="20"/>
                <w:lang w:eastAsia="es-CR"/>
              </w:rPr>
            </w:pPr>
            <w:r w:rsidRPr="004E74A6">
              <w:rPr>
                <w:rFonts w:cs="Calibri"/>
                <w:color w:val="000000"/>
                <w:sz w:val="20"/>
                <w:lang w:eastAsia="es-CR"/>
              </w:rPr>
              <w:t>1</w:t>
            </w:r>
          </w:p>
        </w:tc>
        <w:tc>
          <w:tcPr>
            <w:tcW w:w="505" w:type="pct"/>
            <w:tcBorders>
              <w:left w:val="single" w:sz="4" w:space="0" w:color="auto"/>
              <w:right w:val="single" w:sz="4" w:space="0" w:color="auto"/>
            </w:tcBorders>
            <w:shd w:val="clear" w:color="auto" w:fill="auto"/>
            <w:noWrap/>
            <w:vAlign w:val="center"/>
            <w:hideMark/>
          </w:tcPr>
          <w:p w14:paraId="303F2F96" w14:textId="7ACAB001" w:rsidR="00DE6E30" w:rsidRPr="004E74A6" w:rsidRDefault="00DE6E30" w:rsidP="00CE62C1">
            <w:pPr>
              <w:spacing w:line="276" w:lineRule="auto"/>
              <w:jc w:val="center"/>
              <w:rPr>
                <w:rFonts w:cs="Calibri"/>
                <w:color w:val="000000"/>
                <w:sz w:val="20"/>
                <w:lang w:eastAsia="es-CR"/>
              </w:rPr>
            </w:pPr>
            <w:r w:rsidRPr="004E74A6">
              <w:rPr>
                <w:rFonts w:cs="Calibri"/>
                <w:color w:val="000000"/>
                <w:sz w:val="20"/>
                <w:lang w:eastAsia="es-CR"/>
              </w:rPr>
              <w:t>0</w:t>
            </w:r>
          </w:p>
        </w:tc>
        <w:tc>
          <w:tcPr>
            <w:tcW w:w="505" w:type="pct"/>
            <w:tcBorders>
              <w:left w:val="single" w:sz="4" w:space="0" w:color="auto"/>
              <w:right w:val="single" w:sz="4" w:space="0" w:color="auto"/>
            </w:tcBorders>
            <w:shd w:val="clear" w:color="auto" w:fill="auto"/>
            <w:noWrap/>
            <w:vAlign w:val="center"/>
            <w:hideMark/>
          </w:tcPr>
          <w:p w14:paraId="0311519B" w14:textId="1603AA7E" w:rsidR="00DE6E30" w:rsidRPr="004E74A6" w:rsidRDefault="00DE6E30" w:rsidP="00CE62C1">
            <w:pPr>
              <w:spacing w:line="276" w:lineRule="auto"/>
              <w:jc w:val="center"/>
              <w:rPr>
                <w:sz w:val="20"/>
                <w:lang w:eastAsia="es-CR"/>
              </w:rPr>
            </w:pPr>
            <w:r w:rsidRPr="004E74A6">
              <w:rPr>
                <w:sz w:val="20"/>
                <w:lang w:eastAsia="es-CR"/>
              </w:rPr>
              <w:t>0</w:t>
            </w:r>
          </w:p>
        </w:tc>
        <w:tc>
          <w:tcPr>
            <w:tcW w:w="673" w:type="pct"/>
            <w:tcBorders>
              <w:left w:val="single" w:sz="4" w:space="0" w:color="auto"/>
            </w:tcBorders>
            <w:shd w:val="clear" w:color="auto" w:fill="auto"/>
            <w:noWrap/>
            <w:vAlign w:val="center"/>
            <w:hideMark/>
          </w:tcPr>
          <w:p w14:paraId="4A745F0E" w14:textId="5F3403A4" w:rsidR="00DE6E30" w:rsidRPr="004E74A6" w:rsidRDefault="00DE6E30" w:rsidP="00CE62C1">
            <w:pPr>
              <w:spacing w:line="276" w:lineRule="auto"/>
              <w:jc w:val="center"/>
              <w:rPr>
                <w:rFonts w:cs="Calibri"/>
                <w:color w:val="000000"/>
                <w:sz w:val="20"/>
                <w:lang w:eastAsia="es-CR"/>
              </w:rPr>
            </w:pPr>
            <w:r w:rsidRPr="004E74A6">
              <w:rPr>
                <w:rFonts w:cs="Calibri"/>
                <w:color w:val="000000"/>
                <w:sz w:val="20"/>
              </w:rPr>
              <w:t>0,3</w:t>
            </w:r>
          </w:p>
        </w:tc>
      </w:tr>
      <w:tr w:rsidR="00DE6E30" w:rsidRPr="004E74A6" w14:paraId="02C03B50" w14:textId="77777777" w:rsidTr="0010143F">
        <w:trPr>
          <w:trHeight w:val="288"/>
          <w:jc w:val="center"/>
        </w:trPr>
        <w:tc>
          <w:tcPr>
            <w:tcW w:w="2812" w:type="pct"/>
            <w:tcBorders>
              <w:right w:val="single" w:sz="4" w:space="0" w:color="auto"/>
            </w:tcBorders>
            <w:shd w:val="clear" w:color="auto" w:fill="auto"/>
            <w:noWrap/>
            <w:vAlign w:val="bottom"/>
            <w:hideMark/>
          </w:tcPr>
          <w:p w14:paraId="68DAE475" w14:textId="77777777" w:rsidR="00DE6E30" w:rsidRPr="004E74A6" w:rsidRDefault="00DE6E30" w:rsidP="00CE62C1">
            <w:pPr>
              <w:spacing w:line="276" w:lineRule="auto"/>
              <w:jc w:val="left"/>
              <w:rPr>
                <w:rFonts w:cs="Calibri"/>
                <w:color w:val="000000"/>
                <w:sz w:val="20"/>
                <w:lang w:eastAsia="es-CR"/>
              </w:rPr>
            </w:pPr>
            <w:r w:rsidRPr="004E74A6">
              <w:rPr>
                <w:rFonts w:cs="Calibri"/>
                <w:color w:val="000000"/>
                <w:sz w:val="20"/>
                <w:lang w:eastAsia="es-CR"/>
              </w:rPr>
              <w:t>Legajo Pruebas Parte Demandada</w:t>
            </w:r>
          </w:p>
        </w:tc>
        <w:tc>
          <w:tcPr>
            <w:tcW w:w="505" w:type="pct"/>
            <w:tcBorders>
              <w:left w:val="single" w:sz="4" w:space="0" w:color="auto"/>
              <w:right w:val="single" w:sz="4" w:space="0" w:color="auto"/>
            </w:tcBorders>
            <w:shd w:val="clear" w:color="auto" w:fill="auto"/>
            <w:noWrap/>
            <w:vAlign w:val="center"/>
            <w:hideMark/>
          </w:tcPr>
          <w:p w14:paraId="307B5D75" w14:textId="77777777" w:rsidR="00DE6E30" w:rsidRPr="004E74A6" w:rsidRDefault="00DE6E30" w:rsidP="00CE62C1">
            <w:pPr>
              <w:spacing w:line="276" w:lineRule="auto"/>
              <w:jc w:val="center"/>
              <w:rPr>
                <w:rFonts w:cs="Calibri"/>
                <w:color w:val="000000"/>
                <w:sz w:val="20"/>
                <w:lang w:eastAsia="es-CR"/>
              </w:rPr>
            </w:pPr>
            <w:r w:rsidRPr="004E74A6">
              <w:rPr>
                <w:rFonts w:cs="Calibri"/>
                <w:color w:val="000000"/>
                <w:sz w:val="20"/>
                <w:lang w:eastAsia="es-CR"/>
              </w:rPr>
              <w:t>1</w:t>
            </w:r>
          </w:p>
        </w:tc>
        <w:tc>
          <w:tcPr>
            <w:tcW w:w="505" w:type="pct"/>
            <w:tcBorders>
              <w:left w:val="single" w:sz="4" w:space="0" w:color="auto"/>
              <w:right w:val="single" w:sz="4" w:space="0" w:color="auto"/>
            </w:tcBorders>
            <w:shd w:val="clear" w:color="auto" w:fill="auto"/>
            <w:noWrap/>
            <w:vAlign w:val="center"/>
            <w:hideMark/>
          </w:tcPr>
          <w:p w14:paraId="07BD1C23" w14:textId="4CCF0149" w:rsidR="00DE6E30" w:rsidRPr="004E74A6" w:rsidRDefault="00DE6E30" w:rsidP="00CE62C1">
            <w:pPr>
              <w:spacing w:line="276" w:lineRule="auto"/>
              <w:jc w:val="center"/>
              <w:rPr>
                <w:rFonts w:cs="Calibri"/>
                <w:color w:val="000000"/>
                <w:sz w:val="20"/>
                <w:lang w:eastAsia="es-CR"/>
              </w:rPr>
            </w:pPr>
            <w:r w:rsidRPr="004E74A6">
              <w:rPr>
                <w:rFonts w:cs="Calibri"/>
                <w:color w:val="000000"/>
                <w:sz w:val="20"/>
                <w:lang w:eastAsia="es-CR"/>
              </w:rPr>
              <w:t>0</w:t>
            </w:r>
          </w:p>
        </w:tc>
        <w:tc>
          <w:tcPr>
            <w:tcW w:w="505" w:type="pct"/>
            <w:tcBorders>
              <w:left w:val="single" w:sz="4" w:space="0" w:color="auto"/>
              <w:right w:val="single" w:sz="4" w:space="0" w:color="auto"/>
            </w:tcBorders>
            <w:shd w:val="clear" w:color="auto" w:fill="auto"/>
            <w:noWrap/>
            <w:vAlign w:val="center"/>
            <w:hideMark/>
          </w:tcPr>
          <w:p w14:paraId="7CED1AE4" w14:textId="25B062CA" w:rsidR="00DE6E30" w:rsidRPr="004E74A6" w:rsidRDefault="00DE6E30" w:rsidP="00CE62C1">
            <w:pPr>
              <w:spacing w:line="276" w:lineRule="auto"/>
              <w:jc w:val="center"/>
              <w:rPr>
                <w:sz w:val="20"/>
                <w:lang w:eastAsia="es-CR"/>
              </w:rPr>
            </w:pPr>
            <w:r w:rsidRPr="004E74A6">
              <w:rPr>
                <w:sz w:val="20"/>
                <w:lang w:eastAsia="es-CR"/>
              </w:rPr>
              <w:t>0</w:t>
            </w:r>
          </w:p>
        </w:tc>
        <w:tc>
          <w:tcPr>
            <w:tcW w:w="673" w:type="pct"/>
            <w:tcBorders>
              <w:left w:val="single" w:sz="4" w:space="0" w:color="auto"/>
            </w:tcBorders>
            <w:shd w:val="clear" w:color="auto" w:fill="auto"/>
            <w:noWrap/>
            <w:vAlign w:val="center"/>
            <w:hideMark/>
          </w:tcPr>
          <w:p w14:paraId="2F2D952A" w14:textId="6D23DE2C" w:rsidR="00DE6E30" w:rsidRPr="004E74A6" w:rsidRDefault="00DE6E30" w:rsidP="00CE62C1">
            <w:pPr>
              <w:spacing w:line="276" w:lineRule="auto"/>
              <w:jc w:val="center"/>
              <w:rPr>
                <w:rFonts w:cs="Calibri"/>
                <w:color w:val="000000"/>
                <w:sz w:val="20"/>
                <w:lang w:eastAsia="es-CR"/>
              </w:rPr>
            </w:pPr>
            <w:r w:rsidRPr="004E74A6">
              <w:rPr>
                <w:rFonts w:cs="Calibri"/>
                <w:color w:val="000000"/>
                <w:sz w:val="20"/>
              </w:rPr>
              <w:t>0,3</w:t>
            </w:r>
          </w:p>
        </w:tc>
      </w:tr>
      <w:tr w:rsidR="00DE6E30" w:rsidRPr="004E74A6" w14:paraId="396348B2" w14:textId="77777777" w:rsidTr="0010143F">
        <w:trPr>
          <w:trHeight w:val="288"/>
          <w:jc w:val="center"/>
        </w:trPr>
        <w:tc>
          <w:tcPr>
            <w:tcW w:w="2812" w:type="pct"/>
            <w:tcBorders>
              <w:right w:val="single" w:sz="4" w:space="0" w:color="auto"/>
            </w:tcBorders>
            <w:shd w:val="clear" w:color="auto" w:fill="auto"/>
            <w:noWrap/>
            <w:vAlign w:val="bottom"/>
            <w:hideMark/>
          </w:tcPr>
          <w:p w14:paraId="23B01161" w14:textId="77777777" w:rsidR="00DE6E30" w:rsidRPr="004E74A6" w:rsidRDefault="00DE6E30" w:rsidP="00CE62C1">
            <w:pPr>
              <w:spacing w:line="276" w:lineRule="auto"/>
              <w:jc w:val="left"/>
              <w:rPr>
                <w:rFonts w:cs="Calibri"/>
                <w:color w:val="000000"/>
                <w:sz w:val="20"/>
                <w:lang w:eastAsia="es-CR"/>
              </w:rPr>
            </w:pPr>
            <w:r w:rsidRPr="004E74A6">
              <w:rPr>
                <w:rFonts w:cs="Calibri"/>
                <w:color w:val="000000"/>
                <w:sz w:val="20"/>
                <w:lang w:eastAsia="es-CR"/>
              </w:rPr>
              <w:t>Principal</w:t>
            </w:r>
          </w:p>
        </w:tc>
        <w:tc>
          <w:tcPr>
            <w:tcW w:w="505" w:type="pct"/>
            <w:tcBorders>
              <w:left w:val="single" w:sz="4" w:space="0" w:color="auto"/>
              <w:right w:val="single" w:sz="4" w:space="0" w:color="auto"/>
            </w:tcBorders>
            <w:shd w:val="clear" w:color="auto" w:fill="auto"/>
            <w:noWrap/>
            <w:vAlign w:val="center"/>
            <w:hideMark/>
          </w:tcPr>
          <w:p w14:paraId="34977B40" w14:textId="77777777" w:rsidR="00DE6E30" w:rsidRPr="004E74A6" w:rsidRDefault="00DE6E30" w:rsidP="00CE62C1">
            <w:pPr>
              <w:spacing w:line="276" w:lineRule="auto"/>
              <w:jc w:val="center"/>
              <w:rPr>
                <w:rFonts w:cs="Calibri"/>
                <w:color w:val="000000"/>
                <w:sz w:val="20"/>
                <w:lang w:eastAsia="es-CR"/>
              </w:rPr>
            </w:pPr>
            <w:r w:rsidRPr="004E74A6">
              <w:rPr>
                <w:rFonts w:cs="Calibri"/>
                <w:color w:val="000000"/>
                <w:sz w:val="20"/>
                <w:lang w:eastAsia="es-CR"/>
              </w:rPr>
              <w:t>422</w:t>
            </w:r>
          </w:p>
        </w:tc>
        <w:tc>
          <w:tcPr>
            <w:tcW w:w="505" w:type="pct"/>
            <w:tcBorders>
              <w:left w:val="single" w:sz="4" w:space="0" w:color="auto"/>
              <w:right w:val="single" w:sz="4" w:space="0" w:color="auto"/>
            </w:tcBorders>
            <w:shd w:val="clear" w:color="auto" w:fill="auto"/>
            <w:noWrap/>
            <w:vAlign w:val="center"/>
            <w:hideMark/>
          </w:tcPr>
          <w:p w14:paraId="32601BE5" w14:textId="77777777" w:rsidR="00DE6E30" w:rsidRPr="004E74A6" w:rsidRDefault="00DE6E30" w:rsidP="00CE62C1">
            <w:pPr>
              <w:spacing w:line="276" w:lineRule="auto"/>
              <w:jc w:val="center"/>
              <w:rPr>
                <w:rFonts w:cs="Calibri"/>
                <w:color w:val="000000"/>
                <w:sz w:val="20"/>
                <w:lang w:eastAsia="es-CR"/>
              </w:rPr>
            </w:pPr>
            <w:r w:rsidRPr="004E74A6">
              <w:rPr>
                <w:rFonts w:cs="Calibri"/>
                <w:color w:val="000000"/>
                <w:sz w:val="20"/>
                <w:lang w:eastAsia="es-CR"/>
              </w:rPr>
              <w:t>324</w:t>
            </w:r>
          </w:p>
        </w:tc>
        <w:tc>
          <w:tcPr>
            <w:tcW w:w="505" w:type="pct"/>
            <w:tcBorders>
              <w:left w:val="single" w:sz="4" w:space="0" w:color="auto"/>
              <w:right w:val="single" w:sz="4" w:space="0" w:color="auto"/>
            </w:tcBorders>
            <w:shd w:val="clear" w:color="auto" w:fill="auto"/>
            <w:noWrap/>
            <w:vAlign w:val="center"/>
            <w:hideMark/>
          </w:tcPr>
          <w:p w14:paraId="2C1AEB45" w14:textId="77777777" w:rsidR="00DE6E30" w:rsidRPr="004E74A6" w:rsidRDefault="00DE6E30" w:rsidP="00CE62C1">
            <w:pPr>
              <w:spacing w:line="276" w:lineRule="auto"/>
              <w:jc w:val="center"/>
              <w:rPr>
                <w:rFonts w:cs="Calibri"/>
                <w:color w:val="000000"/>
                <w:sz w:val="20"/>
                <w:lang w:eastAsia="es-CR"/>
              </w:rPr>
            </w:pPr>
            <w:r w:rsidRPr="004E74A6">
              <w:rPr>
                <w:rFonts w:cs="Calibri"/>
                <w:color w:val="000000"/>
                <w:sz w:val="20"/>
                <w:lang w:eastAsia="es-CR"/>
              </w:rPr>
              <w:t>325</w:t>
            </w:r>
          </w:p>
        </w:tc>
        <w:tc>
          <w:tcPr>
            <w:tcW w:w="673" w:type="pct"/>
            <w:tcBorders>
              <w:left w:val="single" w:sz="4" w:space="0" w:color="auto"/>
            </w:tcBorders>
            <w:shd w:val="clear" w:color="auto" w:fill="auto"/>
            <w:noWrap/>
            <w:vAlign w:val="center"/>
            <w:hideMark/>
          </w:tcPr>
          <w:p w14:paraId="1FC0900F" w14:textId="5291C9CA" w:rsidR="00DE6E30" w:rsidRPr="004E74A6" w:rsidRDefault="00DE6E30" w:rsidP="00CE62C1">
            <w:pPr>
              <w:spacing w:line="276" w:lineRule="auto"/>
              <w:jc w:val="center"/>
              <w:rPr>
                <w:rFonts w:cs="Calibri"/>
                <w:color w:val="000000"/>
                <w:sz w:val="20"/>
                <w:lang w:eastAsia="es-CR"/>
              </w:rPr>
            </w:pPr>
            <w:r w:rsidRPr="004E74A6">
              <w:rPr>
                <w:rFonts w:cs="Calibri"/>
                <w:color w:val="000000"/>
                <w:sz w:val="20"/>
              </w:rPr>
              <w:t>357</w:t>
            </w:r>
          </w:p>
        </w:tc>
      </w:tr>
      <w:tr w:rsidR="00DE6E30" w:rsidRPr="004E74A6" w14:paraId="1343ED5C" w14:textId="77777777" w:rsidTr="0010143F">
        <w:trPr>
          <w:trHeight w:val="288"/>
          <w:jc w:val="center"/>
        </w:trPr>
        <w:tc>
          <w:tcPr>
            <w:tcW w:w="2812" w:type="pct"/>
            <w:tcBorders>
              <w:right w:val="single" w:sz="4" w:space="0" w:color="auto"/>
            </w:tcBorders>
            <w:shd w:val="clear" w:color="auto" w:fill="auto"/>
            <w:noWrap/>
            <w:vAlign w:val="bottom"/>
            <w:hideMark/>
          </w:tcPr>
          <w:p w14:paraId="30E8A5D0" w14:textId="77777777" w:rsidR="00DE6E30" w:rsidRPr="004E74A6" w:rsidRDefault="00DE6E30" w:rsidP="00CE62C1">
            <w:pPr>
              <w:spacing w:line="276" w:lineRule="auto"/>
              <w:jc w:val="left"/>
              <w:rPr>
                <w:rFonts w:cs="Calibri"/>
                <w:color w:val="000000"/>
                <w:sz w:val="20"/>
                <w:lang w:eastAsia="es-CR"/>
              </w:rPr>
            </w:pPr>
            <w:r w:rsidRPr="004E74A6">
              <w:rPr>
                <w:rFonts w:cs="Calibri"/>
                <w:color w:val="000000"/>
                <w:sz w:val="20"/>
                <w:lang w:eastAsia="es-CR"/>
              </w:rPr>
              <w:t>Tercerías</w:t>
            </w:r>
          </w:p>
        </w:tc>
        <w:tc>
          <w:tcPr>
            <w:tcW w:w="505" w:type="pct"/>
            <w:tcBorders>
              <w:left w:val="single" w:sz="4" w:space="0" w:color="auto"/>
              <w:right w:val="single" w:sz="4" w:space="0" w:color="auto"/>
            </w:tcBorders>
            <w:shd w:val="clear" w:color="auto" w:fill="auto"/>
            <w:noWrap/>
            <w:vAlign w:val="center"/>
            <w:hideMark/>
          </w:tcPr>
          <w:p w14:paraId="682DEB89" w14:textId="77777777" w:rsidR="00DE6E30" w:rsidRPr="004E74A6" w:rsidRDefault="00DE6E30" w:rsidP="00CE62C1">
            <w:pPr>
              <w:spacing w:line="276" w:lineRule="auto"/>
              <w:jc w:val="center"/>
              <w:rPr>
                <w:rFonts w:cs="Calibri"/>
                <w:color w:val="000000"/>
                <w:sz w:val="20"/>
                <w:lang w:eastAsia="es-CR"/>
              </w:rPr>
            </w:pPr>
            <w:r w:rsidRPr="004E74A6">
              <w:rPr>
                <w:rFonts w:cs="Calibri"/>
                <w:color w:val="000000"/>
                <w:sz w:val="20"/>
                <w:lang w:eastAsia="es-CR"/>
              </w:rPr>
              <w:t>1</w:t>
            </w:r>
          </w:p>
        </w:tc>
        <w:tc>
          <w:tcPr>
            <w:tcW w:w="505" w:type="pct"/>
            <w:tcBorders>
              <w:left w:val="single" w:sz="4" w:space="0" w:color="auto"/>
              <w:right w:val="single" w:sz="4" w:space="0" w:color="auto"/>
            </w:tcBorders>
            <w:shd w:val="clear" w:color="auto" w:fill="auto"/>
            <w:noWrap/>
            <w:vAlign w:val="center"/>
            <w:hideMark/>
          </w:tcPr>
          <w:p w14:paraId="44B1D1D8" w14:textId="77777777" w:rsidR="00DE6E30" w:rsidRPr="004E74A6" w:rsidRDefault="00DE6E30" w:rsidP="00CE62C1">
            <w:pPr>
              <w:spacing w:line="276" w:lineRule="auto"/>
              <w:jc w:val="center"/>
              <w:rPr>
                <w:rFonts w:cs="Calibri"/>
                <w:color w:val="000000"/>
                <w:sz w:val="20"/>
                <w:lang w:eastAsia="es-CR"/>
              </w:rPr>
            </w:pPr>
            <w:r w:rsidRPr="004E74A6">
              <w:rPr>
                <w:rFonts w:cs="Calibri"/>
                <w:color w:val="000000"/>
                <w:sz w:val="20"/>
                <w:lang w:eastAsia="es-CR"/>
              </w:rPr>
              <w:t>2</w:t>
            </w:r>
          </w:p>
        </w:tc>
        <w:tc>
          <w:tcPr>
            <w:tcW w:w="505" w:type="pct"/>
            <w:tcBorders>
              <w:left w:val="single" w:sz="4" w:space="0" w:color="auto"/>
              <w:right w:val="single" w:sz="4" w:space="0" w:color="auto"/>
            </w:tcBorders>
            <w:shd w:val="clear" w:color="auto" w:fill="auto"/>
            <w:noWrap/>
            <w:vAlign w:val="center"/>
            <w:hideMark/>
          </w:tcPr>
          <w:p w14:paraId="74CC1499" w14:textId="77777777" w:rsidR="00DE6E30" w:rsidRPr="004E74A6" w:rsidRDefault="00DE6E30" w:rsidP="00CE62C1">
            <w:pPr>
              <w:spacing w:line="276" w:lineRule="auto"/>
              <w:jc w:val="center"/>
              <w:rPr>
                <w:rFonts w:cs="Calibri"/>
                <w:color w:val="000000"/>
                <w:sz w:val="20"/>
                <w:lang w:eastAsia="es-CR"/>
              </w:rPr>
            </w:pPr>
            <w:r w:rsidRPr="004E74A6">
              <w:rPr>
                <w:rFonts w:cs="Calibri"/>
                <w:color w:val="000000"/>
                <w:sz w:val="20"/>
                <w:lang w:eastAsia="es-CR"/>
              </w:rPr>
              <w:t>2</w:t>
            </w:r>
          </w:p>
        </w:tc>
        <w:tc>
          <w:tcPr>
            <w:tcW w:w="673" w:type="pct"/>
            <w:tcBorders>
              <w:left w:val="single" w:sz="4" w:space="0" w:color="auto"/>
            </w:tcBorders>
            <w:shd w:val="clear" w:color="auto" w:fill="auto"/>
            <w:noWrap/>
            <w:vAlign w:val="center"/>
            <w:hideMark/>
          </w:tcPr>
          <w:p w14:paraId="543F1636" w14:textId="564748F6" w:rsidR="00DE6E30" w:rsidRPr="004E74A6" w:rsidRDefault="00DE6E30" w:rsidP="00CE62C1">
            <w:pPr>
              <w:spacing w:line="276" w:lineRule="auto"/>
              <w:jc w:val="center"/>
              <w:rPr>
                <w:rFonts w:cs="Calibri"/>
                <w:color w:val="000000"/>
                <w:sz w:val="20"/>
                <w:lang w:eastAsia="es-CR"/>
              </w:rPr>
            </w:pPr>
            <w:r w:rsidRPr="004E74A6">
              <w:rPr>
                <w:rFonts w:cs="Calibri"/>
                <w:color w:val="000000"/>
                <w:sz w:val="20"/>
              </w:rPr>
              <w:t>1,7</w:t>
            </w:r>
          </w:p>
        </w:tc>
      </w:tr>
      <w:tr w:rsidR="00DE6E30" w:rsidRPr="004E74A6" w14:paraId="6760D85C" w14:textId="77777777" w:rsidTr="0010143F">
        <w:trPr>
          <w:trHeight w:val="288"/>
          <w:jc w:val="center"/>
        </w:trPr>
        <w:tc>
          <w:tcPr>
            <w:tcW w:w="2812" w:type="pct"/>
            <w:tcBorders>
              <w:bottom w:val="single" w:sz="4" w:space="0" w:color="auto"/>
              <w:right w:val="single" w:sz="4" w:space="0" w:color="auto"/>
            </w:tcBorders>
            <w:shd w:val="clear" w:color="auto" w:fill="auto"/>
            <w:noWrap/>
            <w:vAlign w:val="bottom"/>
          </w:tcPr>
          <w:p w14:paraId="27310329" w14:textId="77777777" w:rsidR="00DE6E30" w:rsidRPr="004E74A6" w:rsidRDefault="00DE6E30" w:rsidP="00CE62C1">
            <w:pPr>
              <w:spacing w:line="276" w:lineRule="auto"/>
              <w:jc w:val="left"/>
              <w:rPr>
                <w:rFonts w:cs="Calibri"/>
                <w:color w:val="000000"/>
                <w:sz w:val="20"/>
                <w:lang w:eastAsia="es-CR"/>
              </w:rPr>
            </w:pPr>
          </w:p>
        </w:tc>
        <w:tc>
          <w:tcPr>
            <w:tcW w:w="505" w:type="pct"/>
            <w:tcBorders>
              <w:left w:val="single" w:sz="4" w:space="0" w:color="auto"/>
              <w:bottom w:val="single" w:sz="4" w:space="0" w:color="auto"/>
              <w:right w:val="single" w:sz="4" w:space="0" w:color="auto"/>
            </w:tcBorders>
            <w:shd w:val="clear" w:color="auto" w:fill="auto"/>
            <w:noWrap/>
            <w:vAlign w:val="center"/>
          </w:tcPr>
          <w:p w14:paraId="1E52F2AB" w14:textId="77777777" w:rsidR="00DE6E30" w:rsidRPr="004E74A6" w:rsidRDefault="00DE6E30" w:rsidP="00CE62C1">
            <w:pPr>
              <w:spacing w:line="276" w:lineRule="auto"/>
              <w:jc w:val="center"/>
              <w:rPr>
                <w:rFonts w:cs="Calibri"/>
                <w:color w:val="000000"/>
                <w:sz w:val="20"/>
                <w:lang w:eastAsia="es-CR"/>
              </w:rPr>
            </w:pPr>
          </w:p>
        </w:tc>
        <w:tc>
          <w:tcPr>
            <w:tcW w:w="505" w:type="pct"/>
            <w:tcBorders>
              <w:left w:val="single" w:sz="4" w:space="0" w:color="auto"/>
              <w:bottom w:val="single" w:sz="4" w:space="0" w:color="auto"/>
              <w:right w:val="single" w:sz="4" w:space="0" w:color="auto"/>
            </w:tcBorders>
            <w:shd w:val="clear" w:color="auto" w:fill="auto"/>
            <w:noWrap/>
            <w:vAlign w:val="center"/>
          </w:tcPr>
          <w:p w14:paraId="6F345B7E" w14:textId="77777777" w:rsidR="00DE6E30" w:rsidRPr="004E74A6" w:rsidRDefault="00DE6E30" w:rsidP="00CE62C1">
            <w:pPr>
              <w:spacing w:line="276" w:lineRule="auto"/>
              <w:jc w:val="center"/>
              <w:rPr>
                <w:rFonts w:cs="Calibri"/>
                <w:color w:val="000000"/>
                <w:sz w:val="20"/>
                <w:lang w:eastAsia="es-CR"/>
              </w:rPr>
            </w:pPr>
          </w:p>
        </w:tc>
        <w:tc>
          <w:tcPr>
            <w:tcW w:w="505" w:type="pct"/>
            <w:tcBorders>
              <w:left w:val="single" w:sz="4" w:space="0" w:color="auto"/>
              <w:bottom w:val="single" w:sz="4" w:space="0" w:color="auto"/>
              <w:right w:val="single" w:sz="4" w:space="0" w:color="auto"/>
            </w:tcBorders>
            <w:shd w:val="clear" w:color="auto" w:fill="auto"/>
            <w:noWrap/>
            <w:vAlign w:val="center"/>
          </w:tcPr>
          <w:p w14:paraId="46A6D4A7" w14:textId="77777777" w:rsidR="00DE6E30" w:rsidRPr="004E74A6" w:rsidRDefault="00DE6E30" w:rsidP="00CE62C1">
            <w:pPr>
              <w:spacing w:line="276" w:lineRule="auto"/>
              <w:jc w:val="center"/>
              <w:rPr>
                <w:rFonts w:cs="Calibri"/>
                <w:color w:val="000000"/>
                <w:sz w:val="20"/>
                <w:lang w:eastAsia="es-CR"/>
              </w:rPr>
            </w:pPr>
          </w:p>
        </w:tc>
        <w:tc>
          <w:tcPr>
            <w:tcW w:w="673" w:type="pct"/>
            <w:tcBorders>
              <w:left w:val="single" w:sz="4" w:space="0" w:color="auto"/>
              <w:bottom w:val="single" w:sz="4" w:space="0" w:color="auto"/>
            </w:tcBorders>
            <w:shd w:val="clear" w:color="auto" w:fill="auto"/>
            <w:noWrap/>
            <w:vAlign w:val="center"/>
          </w:tcPr>
          <w:p w14:paraId="0938E975" w14:textId="77777777" w:rsidR="00DE6E30" w:rsidRPr="004E74A6" w:rsidRDefault="00DE6E30" w:rsidP="00CE62C1">
            <w:pPr>
              <w:spacing w:line="276" w:lineRule="auto"/>
              <w:jc w:val="center"/>
              <w:rPr>
                <w:rFonts w:cs="Calibri"/>
                <w:color w:val="000000"/>
                <w:sz w:val="20"/>
                <w:lang w:eastAsia="es-CR"/>
              </w:rPr>
            </w:pPr>
          </w:p>
        </w:tc>
      </w:tr>
    </w:tbl>
    <w:p w14:paraId="55A369FB" w14:textId="77777777" w:rsidR="003E4755" w:rsidRPr="004E74A6" w:rsidRDefault="003E4755" w:rsidP="00832773">
      <w:pPr>
        <w:spacing w:line="276" w:lineRule="auto"/>
        <w:ind w:left="227" w:right="283"/>
        <w:rPr>
          <w:rFonts w:cs="Calibri"/>
          <w:i/>
          <w:iCs/>
          <w:color w:val="000000"/>
          <w:sz w:val="20"/>
          <w:lang w:eastAsia="es-CR"/>
        </w:rPr>
      </w:pPr>
      <w:r w:rsidRPr="004E74A6">
        <w:rPr>
          <w:rFonts w:cs="Calibri"/>
          <w:b/>
          <w:bCs/>
          <w:i/>
          <w:iCs/>
          <w:color w:val="000000"/>
          <w:sz w:val="20"/>
          <w:lang w:eastAsia="es-CR"/>
        </w:rPr>
        <w:t>Fuente</w:t>
      </w:r>
      <w:r w:rsidRPr="004E74A6">
        <w:rPr>
          <w:rFonts w:cs="Calibri"/>
          <w:i/>
          <w:iCs/>
          <w:color w:val="000000"/>
          <w:sz w:val="20"/>
          <w:lang w:eastAsia="es-CR"/>
        </w:rPr>
        <w:t>: Subproceso de Modernización Institucional con datos extraídos del sistema SIGMA, Dirección de Planificación.</w:t>
      </w:r>
    </w:p>
    <w:p w14:paraId="7737119F" w14:textId="3D4F20BC" w:rsidR="00FA3414" w:rsidRPr="004E74A6" w:rsidRDefault="00FA3414" w:rsidP="00832773">
      <w:pPr>
        <w:spacing w:line="276" w:lineRule="auto"/>
        <w:rPr>
          <w:rFonts w:cs="Calibri"/>
          <w:i/>
          <w:iCs/>
          <w:color w:val="000000"/>
          <w:sz w:val="20"/>
          <w:lang w:eastAsia="es-CR"/>
        </w:rPr>
      </w:pPr>
    </w:p>
    <w:p w14:paraId="3FA1EF86" w14:textId="56F97C7A" w:rsidR="008647ED" w:rsidRDefault="00FB2E07" w:rsidP="00CE62C1">
      <w:pPr>
        <w:spacing w:after="160" w:line="276" w:lineRule="auto"/>
        <w:rPr>
          <w:rFonts w:cs="Calibri"/>
          <w:color w:val="000000"/>
          <w:szCs w:val="24"/>
          <w:lang w:eastAsia="es-CR"/>
        </w:rPr>
      </w:pPr>
      <w:r w:rsidRPr="004E74A6">
        <w:rPr>
          <w:rFonts w:cs="Calibri"/>
          <w:color w:val="000000"/>
          <w:szCs w:val="24"/>
          <w:lang w:eastAsia="es-CR"/>
        </w:rPr>
        <w:t>Se puede observar aún más a detalle para determinar la clase de asuntos principales</w:t>
      </w:r>
      <w:r w:rsidR="008647ED" w:rsidRPr="004E74A6">
        <w:rPr>
          <w:rFonts w:cs="Calibri"/>
          <w:color w:val="000000"/>
          <w:szCs w:val="24"/>
          <w:lang w:eastAsia="es-CR"/>
        </w:rPr>
        <w:t xml:space="preserve">, que tal y como lo refleja la siguiente tabla, el 80% está compuesto </w:t>
      </w:r>
      <w:r w:rsidR="00DD0CE6" w:rsidRPr="004E74A6">
        <w:rPr>
          <w:rFonts w:cs="Calibri"/>
          <w:color w:val="000000"/>
          <w:szCs w:val="24"/>
          <w:lang w:eastAsia="es-CR"/>
        </w:rPr>
        <w:t>son</w:t>
      </w:r>
      <w:r w:rsidR="008647ED" w:rsidRPr="004E74A6">
        <w:rPr>
          <w:rFonts w:cs="Calibri"/>
          <w:color w:val="000000"/>
          <w:szCs w:val="24"/>
          <w:lang w:eastAsia="es-CR"/>
        </w:rPr>
        <w:t xml:space="preserve"> asuntos ordinarios, seguido de un 8% de medidas cautelares, ambos procesos siendo de </w:t>
      </w:r>
      <w:r w:rsidR="00DD0CE6" w:rsidRPr="004E74A6">
        <w:rPr>
          <w:rFonts w:cs="Calibri"/>
          <w:color w:val="000000"/>
          <w:szCs w:val="24"/>
          <w:lang w:eastAsia="es-CR"/>
        </w:rPr>
        <w:t>mayor representación</w:t>
      </w:r>
      <w:r w:rsidR="008647ED" w:rsidRPr="004E74A6">
        <w:rPr>
          <w:rFonts w:cs="Calibri"/>
          <w:color w:val="000000"/>
          <w:szCs w:val="24"/>
          <w:lang w:eastAsia="es-CR"/>
        </w:rPr>
        <w:t xml:space="preserve"> a través de los años.</w:t>
      </w:r>
    </w:p>
    <w:p w14:paraId="3C292DB6" w14:textId="12CB6D58" w:rsidR="00194F64" w:rsidRDefault="00194F64" w:rsidP="00CE62C1">
      <w:pPr>
        <w:spacing w:after="160" w:line="276" w:lineRule="auto"/>
        <w:rPr>
          <w:rFonts w:cs="Calibri"/>
          <w:color w:val="000000"/>
          <w:szCs w:val="24"/>
          <w:lang w:eastAsia="es-CR"/>
        </w:rPr>
      </w:pPr>
    </w:p>
    <w:p w14:paraId="212E94B9" w14:textId="130C4930" w:rsidR="00194F64" w:rsidRDefault="00194F64" w:rsidP="00CE62C1">
      <w:pPr>
        <w:spacing w:after="160" w:line="276" w:lineRule="auto"/>
        <w:rPr>
          <w:rFonts w:cs="Calibri"/>
          <w:color w:val="000000"/>
          <w:szCs w:val="24"/>
          <w:lang w:eastAsia="es-CR"/>
        </w:rPr>
      </w:pPr>
    </w:p>
    <w:p w14:paraId="596070F5" w14:textId="63DA3B85" w:rsidR="00194F64" w:rsidRDefault="00194F64" w:rsidP="00CE62C1">
      <w:pPr>
        <w:spacing w:after="160" w:line="276" w:lineRule="auto"/>
        <w:rPr>
          <w:rFonts w:cs="Calibri"/>
          <w:color w:val="000000"/>
          <w:szCs w:val="24"/>
          <w:lang w:eastAsia="es-CR"/>
        </w:rPr>
      </w:pPr>
    </w:p>
    <w:p w14:paraId="462A5953" w14:textId="77777777" w:rsidR="00194F64" w:rsidRPr="004E74A6" w:rsidRDefault="00194F64" w:rsidP="00CE62C1">
      <w:pPr>
        <w:spacing w:after="160" w:line="276" w:lineRule="auto"/>
        <w:rPr>
          <w:rFonts w:cs="Calibri"/>
          <w:color w:val="000000"/>
          <w:szCs w:val="24"/>
          <w:lang w:eastAsia="es-CR"/>
        </w:rPr>
      </w:pPr>
    </w:p>
    <w:p w14:paraId="5E86D00F" w14:textId="7A197F3C" w:rsidR="00D31F3D" w:rsidRPr="00832773" w:rsidRDefault="00D31F3D" w:rsidP="00F0204A">
      <w:pPr>
        <w:pStyle w:val="Descripcin"/>
        <w:keepNext/>
        <w:spacing w:line="276" w:lineRule="auto"/>
        <w:jc w:val="center"/>
        <w:rPr>
          <w:rFonts w:ascii="Book Antiqua" w:hAnsi="Book Antiqua"/>
          <w:i/>
          <w:iCs/>
          <w:sz w:val="20"/>
          <w:szCs w:val="16"/>
          <w:lang w:val="es-CR"/>
        </w:rPr>
      </w:pPr>
      <w:r w:rsidRPr="00832773">
        <w:rPr>
          <w:rFonts w:ascii="Book Antiqua" w:hAnsi="Book Antiqua"/>
          <w:i/>
          <w:iCs/>
          <w:sz w:val="20"/>
          <w:szCs w:val="16"/>
          <w:lang w:val="es-CR"/>
        </w:rPr>
        <w:lastRenderedPageBreak/>
        <w:t xml:space="preserve">Tabla </w:t>
      </w:r>
      <w:r w:rsidRPr="00832773">
        <w:rPr>
          <w:rFonts w:ascii="Book Antiqua" w:hAnsi="Book Antiqua"/>
          <w:i/>
          <w:iCs/>
          <w:sz w:val="20"/>
          <w:szCs w:val="16"/>
          <w:lang w:val="es-CR"/>
        </w:rPr>
        <w:fldChar w:fldCharType="begin"/>
      </w:r>
      <w:r w:rsidRPr="00832773">
        <w:rPr>
          <w:rFonts w:ascii="Book Antiqua" w:hAnsi="Book Antiqua"/>
          <w:i/>
          <w:iCs/>
          <w:sz w:val="20"/>
          <w:szCs w:val="16"/>
          <w:lang w:val="es-CR"/>
        </w:rPr>
        <w:instrText xml:space="preserve"> SEQ Tabla \* ARABIC </w:instrText>
      </w:r>
      <w:r w:rsidRPr="00832773">
        <w:rPr>
          <w:rFonts w:ascii="Book Antiqua" w:hAnsi="Book Antiqua"/>
          <w:i/>
          <w:iCs/>
          <w:sz w:val="20"/>
          <w:szCs w:val="16"/>
          <w:lang w:val="es-CR"/>
        </w:rPr>
        <w:fldChar w:fldCharType="separate"/>
      </w:r>
      <w:r w:rsidR="00374B51">
        <w:rPr>
          <w:rFonts w:ascii="Book Antiqua" w:hAnsi="Book Antiqua"/>
          <w:i/>
          <w:iCs/>
          <w:noProof/>
          <w:sz w:val="20"/>
          <w:szCs w:val="16"/>
          <w:lang w:val="es-CR"/>
        </w:rPr>
        <w:t>6</w:t>
      </w:r>
      <w:r w:rsidRPr="00832773">
        <w:rPr>
          <w:rFonts w:ascii="Book Antiqua" w:hAnsi="Book Antiqua"/>
          <w:i/>
          <w:iCs/>
          <w:sz w:val="20"/>
          <w:szCs w:val="16"/>
          <w:lang w:val="es-CR"/>
        </w:rPr>
        <w:fldChar w:fldCharType="end"/>
      </w:r>
      <w:r w:rsidRPr="00832773">
        <w:rPr>
          <w:rFonts w:ascii="Book Antiqua" w:hAnsi="Book Antiqua"/>
          <w:i/>
          <w:iCs/>
          <w:sz w:val="20"/>
          <w:szCs w:val="16"/>
          <w:lang w:val="es-CR"/>
        </w:rPr>
        <w:t xml:space="preserve"> Cantidad de principales según clase de asuntos del 2019 al 2021 para el Tribunal Segundo Colegiado de Primera Instancia Civil Primer Circuito Judicial de San José</w:t>
      </w:r>
    </w:p>
    <w:tbl>
      <w:tblPr>
        <w:tblW w:w="3945" w:type="pct"/>
        <w:jc w:val="center"/>
        <w:tblCellMar>
          <w:left w:w="70" w:type="dxa"/>
          <w:right w:w="70" w:type="dxa"/>
        </w:tblCellMar>
        <w:tblLook w:val="04A0" w:firstRow="1" w:lastRow="0" w:firstColumn="1" w:lastColumn="0" w:noHBand="0" w:noVBand="1"/>
      </w:tblPr>
      <w:tblGrid>
        <w:gridCol w:w="3349"/>
        <w:gridCol w:w="836"/>
        <w:gridCol w:w="837"/>
        <w:gridCol w:w="837"/>
        <w:gridCol w:w="1116"/>
      </w:tblGrid>
      <w:tr w:rsidR="00D31F3D" w:rsidRPr="004E74A6" w14:paraId="5C4D5C90" w14:textId="77777777" w:rsidTr="00D31F3D">
        <w:trPr>
          <w:trHeight w:val="454"/>
          <w:tblHeader/>
          <w:jc w:val="center"/>
        </w:trPr>
        <w:tc>
          <w:tcPr>
            <w:tcW w:w="2401" w:type="pct"/>
            <w:tcBorders>
              <w:top w:val="single" w:sz="4" w:space="0" w:color="auto"/>
              <w:bottom w:val="single" w:sz="4" w:space="0" w:color="auto"/>
              <w:right w:val="single" w:sz="4" w:space="0" w:color="auto"/>
            </w:tcBorders>
            <w:shd w:val="clear" w:color="auto" w:fill="auto"/>
            <w:noWrap/>
            <w:vAlign w:val="center"/>
            <w:hideMark/>
          </w:tcPr>
          <w:p w14:paraId="2B90392F"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Principal</w:t>
            </w:r>
          </w:p>
        </w:tc>
        <w:tc>
          <w:tcPr>
            <w:tcW w:w="59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6EE8322"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2019</w:t>
            </w:r>
          </w:p>
        </w:tc>
        <w:tc>
          <w:tcPr>
            <w:tcW w:w="60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7299EFF"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2020</w:t>
            </w:r>
          </w:p>
        </w:tc>
        <w:tc>
          <w:tcPr>
            <w:tcW w:w="60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2C568D7"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2021</w:t>
            </w:r>
          </w:p>
        </w:tc>
        <w:tc>
          <w:tcPr>
            <w:tcW w:w="800" w:type="pct"/>
            <w:tcBorders>
              <w:top w:val="single" w:sz="4" w:space="0" w:color="auto"/>
              <w:left w:val="single" w:sz="4" w:space="0" w:color="auto"/>
              <w:bottom w:val="single" w:sz="4" w:space="0" w:color="auto"/>
            </w:tcBorders>
            <w:shd w:val="clear" w:color="auto" w:fill="auto"/>
            <w:noWrap/>
            <w:vAlign w:val="center"/>
          </w:tcPr>
          <w:p w14:paraId="5A53CF87" w14:textId="681B03D5" w:rsidR="008647ED" w:rsidRPr="004E74A6" w:rsidRDefault="00D31F3D" w:rsidP="00CE62C1">
            <w:pPr>
              <w:spacing w:line="276" w:lineRule="auto"/>
              <w:jc w:val="center"/>
              <w:rPr>
                <w:rFonts w:cs="Calibri"/>
                <w:color w:val="000000"/>
                <w:sz w:val="20"/>
                <w:lang w:eastAsia="es-CR"/>
              </w:rPr>
            </w:pPr>
            <w:r w:rsidRPr="004E74A6">
              <w:rPr>
                <w:rFonts w:cs="Calibri"/>
                <w:color w:val="000000"/>
                <w:sz w:val="20"/>
                <w:lang w:eastAsia="es-CR"/>
              </w:rPr>
              <w:t>Promedio</w:t>
            </w:r>
          </w:p>
        </w:tc>
      </w:tr>
      <w:tr w:rsidR="00D31F3D" w:rsidRPr="004E74A6" w14:paraId="1C8FD7F3" w14:textId="77777777" w:rsidTr="00D31F3D">
        <w:trPr>
          <w:trHeight w:val="288"/>
          <w:jc w:val="center"/>
        </w:trPr>
        <w:tc>
          <w:tcPr>
            <w:tcW w:w="2401" w:type="pct"/>
            <w:tcBorders>
              <w:top w:val="single" w:sz="4" w:space="0" w:color="auto"/>
              <w:right w:val="single" w:sz="4" w:space="0" w:color="auto"/>
            </w:tcBorders>
            <w:shd w:val="clear" w:color="auto" w:fill="auto"/>
            <w:noWrap/>
            <w:vAlign w:val="center"/>
          </w:tcPr>
          <w:p w14:paraId="1EE4D715" w14:textId="77777777" w:rsidR="008647ED" w:rsidRPr="004E74A6" w:rsidRDefault="008647ED" w:rsidP="00CE62C1">
            <w:pPr>
              <w:spacing w:line="276" w:lineRule="auto"/>
              <w:ind w:firstLineChars="100" w:firstLine="200"/>
              <w:jc w:val="center"/>
              <w:rPr>
                <w:rFonts w:cs="Calibri"/>
                <w:color w:val="000000"/>
                <w:sz w:val="20"/>
                <w:lang w:eastAsia="es-CR"/>
              </w:rPr>
            </w:pPr>
          </w:p>
        </w:tc>
        <w:tc>
          <w:tcPr>
            <w:tcW w:w="599" w:type="pct"/>
            <w:tcBorders>
              <w:top w:val="single" w:sz="4" w:space="0" w:color="auto"/>
              <w:left w:val="single" w:sz="4" w:space="0" w:color="auto"/>
              <w:right w:val="single" w:sz="4" w:space="0" w:color="auto"/>
            </w:tcBorders>
            <w:shd w:val="clear" w:color="auto" w:fill="auto"/>
            <w:noWrap/>
            <w:vAlign w:val="center"/>
          </w:tcPr>
          <w:p w14:paraId="4C1C0124" w14:textId="77777777" w:rsidR="008647ED" w:rsidRPr="004E74A6" w:rsidRDefault="008647ED" w:rsidP="00CE62C1">
            <w:pPr>
              <w:spacing w:line="276" w:lineRule="auto"/>
              <w:jc w:val="center"/>
              <w:rPr>
                <w:sz w:val="20"/>
                <w:lang w:eastAsia="es-CR"/>
              </w:rPr>
            </w:pPr>
          </w:p>
        </w:tc>
        <w:tc>
          <w:tcPr>
            <w:tcW w:w="600" w:type="pct"/>
            <w:tcBorders>
              <w:top w:val="single" w:sz="4" w:space="0" w:color="auto"/>
              <w:left w:val="single" w:sz="4" w:space="0" w:color="auto"/>
              <w:right w:val="single" w:sz="4" w:space="0" w:color="auto"/>
            </w:tcBorders>
            <w:shd w:val="clear" w:color="auto" w:fill="auto"/>
            <w:noWrap/>
            <w:vAlign w:val="center"/>
          </w:tcPr>
          <w:p w14:paraId="6964AAFA" w14:textId="77777777" w:rsidR="008647ED" w:rsidRPr="004E74A6" w:rsidRDefault="008647ED" w:rsidP="00CE62C1">
            <w:pPr>
              <w:spacing w:line="276" w:lineRule="auto"/>
              <w:jc w:val="center"/>
              <w:rPr>
                <w:rFonts w:cs="Calibri"/>
                <w:color w:val="000000"/>
                <w:sz w:val="20"/>
                <w:lang w:eastAsia="es-CR"/>
              </w:rPr>
            </w:pPr>
          </w:p>
        </w:tc>
        <w:tc>
          <w:tcPr>
            <w:tcW w:w="600" w:type="pct"/>
            <w:tcBorders>
              <w:top w:val="single" w:sz="4" w:space="0" w:color="auto"/>
              <w:left w:val="single" w:sz="4" w:space="0" w:color="auto"/>
              <w:right w:val="single" w:sz="4" w:space="0" w:color="auto"/>
            </w:tcBorders>
            <w:shd w:val="clear" w:color="auto" w:fill="auto"/>
            <w:noWrap/>
            <w:vAlign w:val="center"/>
          </w:tcPr>
          <w:p w14:paraId="56001E0C" w14:textId="77777777" w:rsidR="008647ED" w:rsidRPr="004E74A6" w:rsidRDefault="008647ED" w:rsidP="00CE62C1">
            <w:pPr>
              <w:spacing w:line="276" w:lineRule="auto"/>
              <w:jc w:val="center"/>
              <w:rPr>
                <w:rFonts w:cs="Calibri"/>
                <w:color w:val="000000"/>
                <w:sz w:val="20"/>
                <w:lang w:eastAsia="es-CR"/>
              </w:rPr>
            </w:pPr>
          </w:p>
        </w:tc>
        <w:tc>
          <w:tcPr>
            <w:tcW w:w="800" w:type="pct"/>
            <w:tcBorders>
              <w:top w:val="single" w:sz="4" w:space="0" w:color="auto"/>
              <w:left w:val="single" w:sz="4" w:space="0" w:color="auto"/>
            </w:tcBorders>
            <w:shd w:val="clear" w:color="auto" w:fill="auto"/>
            <w:noWrap/>
            <w:vAlign w:val="center"/>
          </w:tcPr>
          <w:p w14:paraId="5D8D9B68" w14:textId="77777777" w:rsidR="008647ED" w:rsidRPr="004E74A6" w:rsidRDefault="008647ED" w:rsidP="00CE62C1">
            <w:pPr>
              <w:spacing w:line="276" w:lineRule="auto"/>
              <w:jc w:val="center"/>
              <w:rPr>
                <w:rFonts w:cs="Calibri"/>
                <w:color w:val="000000"/>
                <w:sz w:val="20"/>
                <w:lang w:eastAsia="es-CR"/>
              </w:rPr>
            </w:pPr>
          </w:p>
        </w:tc>
      </w:tr>
      <w:tr w:rsidR="00D31F3D" w:rsidRPr="004E74A6" w14:paraId="7EBE89FA" w14:textId="77777777" w:rsidTr="00D31F3D">
        <w:trPr>
          <w:trHeight w:val="288"/>
          <w:jc w:val="center"/>
        </w:trPr>
        <w:tc>
          <w:tcPr>
            <w:tcW w:w="2401" w:type="pct"/>
            <w:tcBorders>
              <w:right w:val="single" w:sz="4" w:space="0" w:color="auto"/>
            </w:tcBorders>
            <w:shd w:val="clear" w:color="auto" w:fill="auto"/>
            <w:noWrap/>
            <w:vAlign w:val="center"/>
          </w:tcPr>
          <w:p w14:paraId="555C3FB8" w14:textId="77777777" w:rsidR="00D31F3D" w:rsidRPr="004E74A6" w:rsidRDefault="00D31F3D" w:rsidP="00CE62C1">
            <w:pPr>
              <w:spacing w:line="276" w:lineRule="auto"/>
              <w:jc w:val="center"/>
              <w:rPr>
                <w:rFonts w:cs="Calibri"/>
                <w:color w:val="000000"/>
                <w:sz w:val="20"/>
                <w:lang w:eastAsia="es-CR"/>
              </w:rPr>
            </w:pPr>
            <w:r w:rsidRPr="004E74A6">
              <w:rPr>
                <w:rFonts w:cs="Calibri"/>
                <w:color w:val="000000"/>
                <w:sz w:val="20"/>
                <w:lang w:eastAsia="es-CR"/>
              </w:rPr>
              <w:t>Total</w:t>
            </w:r>
          </w:p>
        </w:tc>
        <w:tc>
          <w:tcPr>
            <w:tcW w:w="599" w:type="pct"/>
            <w:tcBorders>
              <w:left w:val="single" w:sz="4" w:space="0" w:color="auto"/>
              <w:right w:val="single" w:sz="4" w:space="0" w:color="auto"/>
            </w:tcBorders>
            <w:shd w:val="clear" w:color="auto" w:fill="auto"/>
            <w:noWrap/>
            <w:vAlign w:val="center"/>
          </w:tcPr>
          <w:p w14:paraId="4F0569C2" w14:textId="77777777" w:rsidR="00D31F3D" w:rsidRPr="004E74A6" w:rsidRDefault="00D31F3D" w:rsidP="00CE62C1">
            <w:pPr>
              <w:spacing w:line="276" w:lineRule="auto"/>
              <w:jc w:val="center"/>
              <w:rPr>
                <w:sz w:val="20"/>
                <w:lang w:eastAsia="es-CR"/>
              </w:rPr>
            </w:pPr>
            <w:r w:rsidRPr="004E74A6">
              <w:rPr>
                <w:rFonts w:cs="Calibri"/>
                <w:color w:val="000000"/>
                <w:sz w:val="20"/>
                <w:lang w:eastAsia="es-CR"/>
              </w:rPr>
              <w:t>422</w:t>
            </w:r>
          </w:p>
        </w:tc>
        <w:tc>
          <w:tcPr>
            <w:tcW w:w="600" w:type="pct"/>
            <w:tcBorders>
              <w:left w:val="single" w:sz="4" w:space="0" w:color="auto"/>
              <w:right w:val="single" w:sz="4" w:space="0" w:color="auto"/>
            </w:tcBorders>
            <w:shd w:val="clear" w:color="auto" w:fill="auto"/>
            <w:noWrap/>
            <w:vAlign w:val="center"/>
          </w:tcPr>
          <w:p w14:paraId="1DB7113E" w14:textId="77777777" w:rsidR="00D31F3D" w:rsidRPr="004E74A6" w:rsidRDefault="00D31F3D" w:rsidP="00CE62C1">
            <w:pPr>
              <w:spacing w:line="276" w:lineRule="auto"/>
              <w:jc w:val="center"/>
              <w:rPr>
                <w:rFonts w:cs="Calibri"/>
                <w:color w:val="000000"/>
                <w:sz w:val="20"/>
                <w:lang w:eastAsia="es-CR"/>
              </w:rPr>
            </w:pPr>
            <w:r w:rsidRPr="004E74A6">
              <w:rPr>
                <w:rFonts w:cs="Calibri"/>
                <w:color w:val="000000"/>
                <w:sz w:val="20"/>
                <w:lang w:eastAsia="es-CR"/>
              </w:rPr>
              <w:t>324</w:t>
            </w:r>
          </w:p>
        </w:tc>
        <w:tc>
          <w:tcPr>
            <w:tcW w:w="600" w:type="pct"/>
            <w:tcBorders>
              <w:left w:val="single" w:sz="4" w:space="0" w:color="auto"/>
              <w:right w:val="single" w:sz="4" w:space="0" w:color="auto"/>
            </w:tcBorders>
            <w:shd w:val="clear" w:color="auto" w:fill="auto"/>
            <w:noWrap/>
            <w:vAlign w:val="center"/>
          </w:tcPr>
          <w:p w14:paraId="131D423B" w14:textId="77777777" w:rsidR="00D31F3D" w:rsidRPr="004E74A6" w:rsidRDefault="00D31F3D" w:rsidP="00CE62C1">
            <w:pPr>
              <w:spacing w:line="276" w:lineRule="auto"/>
              <w:jc w:val="center"/>
              <w:rPr>
                <w:rFonts w:cs="Calibri"/>
                <w:color w:val="000000"/>
                <w:sz w:val="20"/>
                <w:lang w:eastAsia="es-CR"/>
              </w:rPr>
            </w:pPr>
            <w:r w:rsidRPr="004E74A6">
              <w:rPr>
                <w:rFonts w:cs="Calibri"/>
                <w:color w:val="000000"/>
                <w:sz w:val="20"/>
                <w:lang w:eastAsia="es-CR"/>
              </w:rPr>
              <w:t>325</w:t>
            </w:r>
          </w:p>
        </w:tc>
        <w:tc>
          <w:tcPr>
            <w:tcW w:w="800" w:type="pct"/>
            <w:tcBorders>
              <w:left w:val="single" w:sz="4" w:space="0" w:color="auto"/>
            </w:tcBorders>
            <w:shd w:val="clear" w:color="auto" w:fill="auto"/>
            <w:noWrap/>
            <w:vAlign w:val="center"/>
          </w:tcPr>
          <w:p w14:paraId="64828894" w14:textId="05F4AAFD" w:rsidR="00D31F3D" w:rsidRPr="004E74A6" w:rsidRDefault="00D31F3D" w:rsidP="00CE62C1">
            <w:pPr>
              <w:spacing w:line="276" w:lineRule="auto"/>
              <w:jc w:val="center"/>
              <w:rPr>
                <w:rFonts w:cs="Calibri"/>
                <w:color w:val="000000"/>
                <w:sz w:val="20"/>
                <w:lang w:eastAsia="es-CR"/>
              </w:rPr>
            </w:pPr>
            <w:r w:rsidRPr="004E74A6">
              <w:rPr>
                <w:rFonts w:cs="Calibri"/>
                <w:color w:val="000000"/>
                <w:sz w:val="20"/>
              </w:rPr>
              <w:t>357</w:t>
            </w:r>
          </w:p>
        </w:tc>
      </w:tr>
      <w:tr w:rsidR="00D31F3D" w:rsidRPr="004E74A6" w14:paraId="13B713C5" w14:textId="77777777" w:rsidTr="00D31F3D">
        <w:trPr>
          <w:trHeight w:val="288"/>
          <w:jc w:val="center"/>
        </w:trPr>
        <w:tc>
          <w:tcPr>
            <w:tcW w:w="2401" w:type="pct"/>
            <w:tcBorders>
              <w:right w:val="single" w:sz="4" w:space="0" w:color="auto"/>
            </w:tcBorders>
            <w:shd w:val="clear" w:color="auto" w:fill="auto"/>
            <w:noWrap/>
            <w:vAlign w:val="bottom"/>
          </w:tcPr>
          <w:p w14:paraId="6EC03175" w14:textId="77777777" w:rsidR="00D31F3D" w:rsidRPr="004E74A6" w:rsidRDefault="00D31F3D" w:rsidP="00CE62C1">
            <w:pPr>
              <w:spacing w:line="276" w:lineRule="auto"/>
              <w:ind w:firstLineChars="100" w:firstLine="200"/>
              <w:jc w:val="left"/>
              <w:rPr>
                <w:rFonts w:cs="Calibri"/>
                <w:color w:val="000000"/>
                <w:sz w:val="20"/>
                <w:lang w:eastAsia="es-CR"/>
              </w:rPr>
            </w:pPr>
          </w:p>
        </w:tc>
        <w:tc>
          <w:tcPr>
            <w:tcW w:w="599" w:type="pct"/>
            <w:tcBorders>
              <w:left w:val="single" w:sz="4" w:space="0" w:color="auto"/>
              <w:right w:val="single" w:sz="4" w:space="0" w:color="auto"/>
            </w:tcBorders>
            <w:shd w:val="clear" w:color="auto" w:fill="auto"/>
            <w:noWrap/>
            <w:vAlign w:val="center"/>
          </w:tcPr>
          <w:p w14:paraId="5E36363C" w14:textId="77777777" w:rsidR="00D31F3D" w:rsidRPr="004E74A6" w:rsidRDefault="00D31F3D" w:rsidP="00CE62C1">
            <w:pPr>
              <w:spacing w:line="276" w:lineRule="auto"/>
              <w:jc w:val="center"/>
              <w:rPr>
                <w:sz w:val="20"/>
                <w:lang w:eastAsia="es-CR"/>
              </w:rPr>
            </w:pPr>
          </w:p>
        </w:tc>
        <w:tc>
          <w:tcPr>
            <w:tcW w:w="600" w:type="pct"/>
            <w:tcBorders>
              <w:left w:val="single" w:sz="4" w:space="0" w:color="auto"/>
              <w:right w:val="single" w:sz="4" w:space="0" w:color="auto"/>
            </w:tcBorders>
            <w:shd w:val="clear" w:color="auto" w:fill="auto"/>
            <w:noWrap/>
            <w:vAlign w:val="center"/>
          </w:tcPr>
          <w:p w14:paraId="60CB88D1" w14:textId="77777777" w:rsidR="00D31F3D" w:rsidRPr="004E74A6" w:rsidRDefault="00D31F3D" w:rsidP="00CE62C1">
            <w:pPr>
              <w:spacing w:line="276" w:lineRule="auto"/>
              <w:jc w:val="center"/>
              <w:rPr>
                <w:rFonts w:cs="Calibri"/>
                <w:color w:val="000000"/>
                <w:sz w:val="20"/>
                <w:lang w:eastAsia="es-CR"/>
              </w:rPr>
            </w:pPr>
          </w:p>
        </w:tc>
        <w:tc>
          <w:tcPr>
            <w:tcW w:w="600" w:type="pct"/>
            <w:tcBorders>
              <w:left w:val="single" w:sz="4" w:space="0" w:color="auto"/>
              <w:right w:val="single" w:sz="4" w:space="0" w:color="auto"/>
            </w:tcBorders>
            <w:shd w:val="clear" w:color="auto" w:fill="auto"/>
            <w:noWrap/>
            <w:vAlign w:val="center"/>
          </w:tcPr>
          <w:p w14:paraId="7B4C9EC7" w14:textId="77777777" w:rsidR="00D31F3D" w:rsidRPr="004E74A6" w:rsidRDefault="00D31F3D" w:rsidP="00CE62C1">
            <w:pPr>
              <w:spacing w:line="276" w:lineRule="auto"/>
              <w:jc w:val="center"/>
              <w:rPr>
                <w:rFonts w:cs="Calibri"/>
                <w:color w:val="000000"/>
                <w:sz w:val="20"/>
                <w:lang w:eastAsia="es-CR"/>
              </w:rPr>
            </w:pPr>
          </w:p>
        </w:tc>
        <w:tc>
          <w:tcPr>
            <w:tcW w:w="800" w:type="pct"/>
            <w:tcBorders>
              <w:left w:val="single" w:sz="4" w:space="0" w:color="auto"/>
            </w:tcBorders>
            <w:shd w:val="clear" w:color="auto" w:fill="auto"/>
            <w:noWrap/>
            <w:vAlign w:val="center"/>
          </w:tcPr>
          <w:p w14:paraId="457424DD" w14:textId="77777777" w:rsidR="00D31F3D" w:rsidRPr="004E74A6" w:rsidRDefault="00D31F3D" w:rsidP="00CE62C1">
            <w:pPr>
              <w:spacing w:line="276" w:lineRule="auto"/>
              <w:jc w:val="center"/>
              <w:rPr>
                <w:rFonts w:cs="Calibri"/>
                <w:color w:val="000000"/>
                <w:sz w:val="20"/>
                <w:lang w:eastAsia="es-CR"/>
              </w:rPr>
            </w:pPr>
          </w:p>
        </w:tc>
      </w:tr>
      <w:tr w:rsidR="00D31F3D" w:rsidRPr="004E74A6" w14:paraId="2CBE1754" w14:textId="77777777" w:rsidTr="00D31F3D">
        <w:trPr>
          <w:trHeight w:val="288"/>
          <w:jc w:val="center"/>
        </w:trPr>
        <w:tc>
          <w:tcPr>
            <w:tcW w:w="2401" w:type="pct"/>
            <w:tcBorders>
              <w:right w:val="single" w:sz="4" w:space="0" w:color="auto"/>
            </w:tcBorders>
            <w:shd w:val="clear" w:color="auto" w:fill="auto"/>
            <w:noWrap/>
            <w:vAlign w:val="bottom"/>
            <w:hideMark/>
          </w:tcPr>
          <w:p w14:paraId="717E2C1A" w14:textId="77777777" w:rsidR="00D31F3D" w:rsidRPr="004E74A6" w:rsidRDefault="00D31F3D" w:rsidP="00CE62C1">
            <w:pPr>
              <w:spacing w:line="276" w:lineRule="auto"/>
              <w:ind w:firstLineChars="100" w:firstLine="200"/>
              <w:jc w:val="left"/>
              <w:rPr>
                <w:rFonts w:cs="Calibri"/>
                <w:color w:val="000000"/>
                <w:sz w:val="20"/>
                <w:lang w:eastAsia="es-CR"/>
              </w:rPr>
            </w:pPr>
            <w:r w:rsidRPr="004E74A6">
              <w:rPr>
                <w:rFonts w:cs="Calibri"/>
                <w:color w:val="000000"/>
                <w:sz w:val="20"/>
                <w:lang w:eastAsia="es-CR"/>
              </w:rPr>
              <w:t>Abreviado</w:t>
            </w:r>
          </w:p>
        </w:tc>
        <w:tc>
          <w:tcPr>
            <w:tcW w:w="599" w:type="pct"/>
            <w:tcBorders>
              <w:left w:val="single" w:sz="4" w:space="0" w:color="auto"/>
              <w:right w:val="single" w:sz="4" w:space="0" w:color="auto"/>
            </w:tcBorders>
            <w:shd w:val="clear" w:color="auto" w:fill="auto"/>
            <w:noWrap/>
            <w:vAlign w:val="center"/>
            <w:hideMark/>
          </w:tcPr>
          <w:p w14:paraId="106EE2DA" w14:textId="1EBF0384" w:rsidR="00D31F3D" w:rsidRPr="004E74A6" w:rsidRDefault="00DE6E30" w:rsidP="00CE62C1">
            <w:pPr>
              <w:spacing w:line="276" w:lineRule="auto"/>
              <w:jc w:val="center"/>
              <w:rPr>
                <w:sz w:val="20"/>
                <w:lang w:eastAsia="es-CR"/>
              </w:rPr>
            </w:pPr>
            <w:r w:rsidRPr="004E74A6">
              <w:rPr>
                <w:sz w:val="20"/>
                <w:lang w:eastAsia="es-CR"/>
              </w:rPr>
              <w:t>0</w:t>
            </w:r>
          </w:p>
        </w:tc>
        <w:tc>
          <w:tcPr>
            <w:tcW w:w="600" w:type="pct"/>
            <w:tcBorders>
              <w:left w:val="single" w:sz="4" w:space="0" w:color="auto"/>
              <w:right w:val="single" w:sz="4" w:space="0" w:color="auto"/>
            </w:tcBorders>
            <w:shd w:val="clear" w:color="auto" w:fill="auto"/>
            <w:noWrap/>
            <w:vAlign w:val="center"/>
            <w:hideMark/>
          </w:tcPr>
          <w:p w14:paraId="09016CFC" w14:textId="77777777" w:rsidR="00D31F3D" w:rsidRPr="004E74A6" w:rsidRDefault="00D31F3D" w:rsidP="00CE62C1">
            <w:pPr>
              <w:spacing w:line="276" w:lineRule="auto"/>
              <w:jc w:val="center"/>
              <w:rPr>
                <w:rFonts w:cs="Calibri"/>
                <w:color w:val="000000"/>
                <w:sz w:val="20"/>
                <w:lang w:eastAsia="es-CR"/>
              </w:rPr>
            </w:pPr>
            <w:r w:rsidRPr="004E74A6">
              <w:rPr>
                <w:rFonts w:cs="Calibri"/>
                <w:color w:val="000000"/>
                <w:sz w:val="20"/>
                <w:lang w:eastAsia="es-CR"/>
              </w:rPr>
              <w:t>1</w:t>
            </w:r>
          </w:p>
        </w:tc>
        <w:tc>
          <w:tcPr>
            <w:tcW w:w="600" w:type="pct"/>
            <w:tcBorders>
              <w:left w:val="single" w:sz="4" w:space="0" w:color="auto"/>
              <w:right w:val="single" w:sz="4" w:space="0" w:color="auto"/>
            </w:tcBorders>
            <w:shd w:val="clear" w:color="auto" w:fill="auto"/>
            <w:noWrap/>
            <w:vAlign w:val="center"/>
            <w:hideMark/>
          </w:tcPr>
          <w:p w14:paraId="16BEC455" w14:textId="20F69474" w:rsidR="00D31F3D" w:rsidRPr="004E74A6" w:rsidRDefault="00DE6E30" w:rsidP="00CE62C1">
            <w:pPr>
              <w:spacing w:line="276" w:lineRule="auto"/>
              <w:jc w:val="center"/>
              <w:rPr>
                <w:rFonts w:cs="Calibri"/>
                <w:color w:val="000000"/>
                <w:sz w:val="20"/>
                <w:lang w:eastAsia="es-CR"/>
              </w:rPr>
            </w:pPr>
            <w:r w:rsidRPr="004E74A6">
              <w:rPr>
                <w:rFonts w:cs="Calibri"/>
                <w:color w:val="000000"/>
                <w:sz w:val="20"/>
                <w:lang w:eastAsia="es-CR"/>
              </w:rPr>
              <w:t>0</w:t>
            </w:r>
          </w:p>
        </w:tc>
        <w:tc>
          <w:tcPr>
            <w:tcW w:w="800" w:type="pct"/>
            <w:tcBorders>
              <w:left w:val="single" w:sz="4" w:space="0" w:color="auto"/>
            </w:tcBorders>
            <w:shd w:val="clear" w:color="auto" w:fill="auto"/>
            <w:noWrap/>
            <w:vAlign w:val="center"/>
            <w:hideMark/>
          </w:tcPr>
          <w:p w14:paraId="2F7EC0FB" w14:textId="529BD18F" w:rsidR="00D31F3D" w:rsidRPr="004E74A6" w:rsidRDefault="00DE6E30" w:rsidP="00CE62C1">
            <w:pPr>
              <w:spacing w:line="276" w:lineRule="auto"/>
              <w:jc w:val="center"/>
              <w:rPr>
                <w:rFonts w:cs="Calibri"/>
                <w:color w:val="000000"/>
                <w:sz w:val="20"/>
                <w:lang w:eastAsia="es-CR"/>
              </w:rPr>
            </w:pPr>
            <w:r w:rsidRPr="004E74A6">
              <w:rPr>
                <w:rFonts w:cs="Calibri"/>
                <w:color w:val="000000"/>
                <w:sz w:val="20"/>
              </w:rPr>
              <w:t>0,3</w:t>
            </w:r>
          </w:p>
        </w:tc>
      </w:tr>
      <w:tr w:rsidR="00D31F3D" w:rsidRPr="004E74A6" w14:paraId="15EFC680" w14:textId="77777777" w:rsidTr="00D31F3D">
        <w:trPr>
          <w:trHeight w:val="288"/>
          <w:jc w:val="center"/>
        </w:trPr>
        <w:tc>
          <w:tcPr>
            <w:tcW w:w="2401" w:type="pct"/>
            <w:tcBorders>
              <w:right w:val="single" w:sz="4" w:space="0" w:color="auto"/>
            </w:tcBorders>
            <w:shd w:val="clear" w:color="auto" w:fill="auto"/>
            <w:noWrap/>
            <w:vAlign w:val="bottom"/>
            <w:hideMark/>
          </w:tcPr>
          <w:p w14:paraId="1391C98F" w14:textId="77777777" w:rsidR="00D31F3D" w:rsidRPr="004E74A6" w:rsidRDefault="00D31F3D" w:rsidP="00CE62C1">
            <w:pPr>
              <w:spacing w:line="276" w:lineRule="auto"/>
              <w:ind w:firstLineChars="100" w:firstLine="200"/>
              <w:jc w:val="left"/>
              <w:rPr>
                <w:rFonts w:cs="Calibri"/>
                <w:color w:val="000000"/>
                <w:sz w:val="20"/>
                <w:lang w:eastAsia="es-CR"/>
              </w:rPr>
            </w:pPr>
            <w:r w:rsidRPr="004E74A6">
              <w:rPr>
                <w:rFonts w:cs="Calibri"/>
                <w:color w:val="000000"/>
                <w:sz w:val="20"/>
                <w:lang w:eastAsia="es-CR"/>
              </w:rPr>
              <w:t>Actividad Preparatoria</w:t>
            </w:r>
          </w:p>
        </w:tc>
        <w:tc>
          <w:tcPr>
            <w:tcW w:w="599" w:type="pct"/>
            <w:tcBorders>
              <w:left w:val="single" w:sz="4" w:space="0" w:color="auto"/>
              <w:right w:val="single" w:sz="4" w:space="0" w:color="auto"/>
            </w:tcBorders>
            <w:shd w:val="clear" w:color="auto" w:fill="auto"/>
            <w:noWrap/>
            <w:vAlign w:val="center"/>
            <w:hideMark/>
          </w:tcPr>
          <w:p w14:paraId="5AEE36D5" w14:textId="77777777" w:rsidR="00D31F3D" w:rsidRPr="004E74A6" w:rsidRDefault="00D31F3D" w:rsidP="00CE62C1">
            <w:pPr>
              <w:spacing w:line="276" w:lineRule="auto"/>
              <w:jc w:val="center"/>
              <w:rPr>
                <w:rFonts w:cs="Calibri"/>
                <w:color w:val="000000"/>
                <w:sz w:val="20"/>
                <w:lang w:eastAsia="es-CR"/>
              </w:rPr>
            </w:pPr>
            <w:r w:rsidRPr="004E74A6">
              <w:rPr>
                <w:rFonts w:cs="Calibri"/>
                <w:color w:val="000000"/>
                <w:sz w:val="20"/>
                <w:lang w:eastAsia="es-CR"/>
              </w:rPr>
              <w:t>1</w:t>
            </w:r>
          </w:p>
        </w:tc>
        <w:tc>
          <w:tcPr>
            <w:tcW w:w="600" w:type="pct"/>
            <w:tcBorders>
              <w:left w:val="single" w:sz="4" w:space="0" w:color="auto"/>
              <w:right w:val="single" w:sz="4" w:space="0" w:color="auto"/>
            </w:tcBorders>
            <w:shd w:val="clear" w:color="auto" w:fill="auto"/>
            <w:noWrap/>
            <w:vAlign w:val="center"/>
            <w:hideMark/>
          </w:tcPr>
          <w:p w14:paraId="7FBA78F2" w14:textId="2EA9F424" w:rsidR="00D31F3D" w:rsidRPr="004E74A6" w:rsidRDefault="00DE6E30" w:rsidP="00CE62C1">
            <w:pPr>
              <w:spacing w:line="276" w:lineRule="auto"/>
              <w:jc w:val="center"/>
              <w:rPr>
                <w:rFonts w:cs="Calibri"/>
                <w:color w:val="000000"/>
                <w:sz w:val="20"/>
                <w:lang w:eastAsia="es-CR"/>
              </w:rPr>
            </w:pPr>
            <w:r w:rsidRPr="004E74A6">
              <w:rPr>
                <w:rFonts w:cs="Calibri"/>
                <w:color w:val="000000"/>
                <w:sz w:val="20"/>
                <w:lang w:eastAsia="es-CR"/>
              </w:rPr>
              <w:t>0</w:t>
            </w:r>
          </w:p>
        </w:tc>
        <w:tc>
          <w:tcPr>
            <w:tcW w:w="600" w:type="pct"/>
            <w:tcBorders>
              <w:left w:val="single" w:sz="4" w:space="0" w:color="auto"/>
              <w:right w:val="single" w:sz="4" w:space="0" w:color="auto"/>
            </w:tcBorders>
            <w:shd w:val="clear" w:color="auto" w:fill="auto"/>
            <w:noWrap/>
            <w:vAlign w:val="center"/>
            <w:hideMark/>
          </w:tcPr>
          <w:p w14:paraId="2FBEC783" w14:textId="77777777" w:rsidR="00D31F3D" w:rsidRPr="004E74A6" w:rsidRDefault="00D31F3D" w:rsidP="00CE62C1">
            <w:pPr>
              <w:spacing w:line="276" w:lineRule="auto"/>
              <w:jc w:val="center"/>
              <w:rPr>
                <w:rFonts w:cs="Calibri"/>
                <w:color w:val="000000"/>
                <w:sz w:val="20"/>
                <w:lang w:eastAsia="es-CR"/>
              </w:rPr>
            </w:pPr>
            <w:r w:rsidRPr="004E74A6">
              <w:rPr>
                <w:rFonts w:cs="Calibri"/>
                <w:color w:val="000000"/>
                <w:sz w:val="20"/>
                <w:lang w:eastAsia="es-CR"/>
              </w:rPr>
              <w:t>1</w:t>
            </w:r>
          </w:p>
        </w:tc>
        <w:tc>
          <w:tcPr>
            <w:tcW w:w="800" w:type="pct"/>
            <w:tcBorders>
              <w:left w:val="single" w:sz="4" w:space="0" w:color="auto"/>
            </w:tcBorders>
            <w:shd w:val="clear" w:color="auto" w:fill="auto"/>
            <w:noWrap/>
            <w:vAlign w:val="center"/>
            <w:hideMark/>
          </w:tcPr>
          <w:p w14:paraId="44F8C023" w14:textId="28713C23" w:rsidR="00D31F3D" w:rsidRPr="004E74A6" w:rsidRDefault="00DE6E30" w:rsidP="00CE62C1">
            <w:pPr>
              <w:spacing w:line="276" w:lineRule="auto"/>
              <w:jc w:val="center"/>
              <w:rPr>
                <w:rFonts w:cs="Calibri"/>
                <w:color w:val="000000"/>
                <w:sz w:val="20"/>
                <w:lang w:eastAsia="es-CR"/>
              </w:rPr>
            </w:pPr>
            <w:r w:rsidRPr="004E74A6">
              <w:rPr>
                <w:rFonts w:cs="Calibri"/>
                <w:color w:val="000000"/>
                <w:sz w:val="20"/>
              </w:rPr>
              <w:t>0,7</w:t>
            </w:r>
          </w:p>
        </w:tc>
      </w:tr>
      <w:tr w:rsidR="00D31F3D" w:rsidRPr="004E74A6" w14:paraId="7B6FA8F6" w14:textId="77777777" w:rsidTr="00D31F3D">
        <w:trPr>
          <w:trHeight w:val="288"/>
          <w:jc w:val="center"/>
        </w:trPr>
        <w:tc>
          <w:tcPr>
            <w:tcW w:w="2401" w:type="pct"/>
            <w:tcBorders>
              <w:right w:val="single" w:sz="4" w:space="0" w:color="auto"/>
            </w:tcBorders>
            <w:shd w:val="clear" w:color="auto" w:fill="auto"/>
            <w:noWrap/>
            <w:vAlign w:val="bottom"/>
            <w:hideMark/>
          </w:tcPr>
          <w:p w14:paraId="2A9ED06D" w14:textId="77777777" w:rsidR="00D31F3D" w:rsidRPr="004E74A6" w:rsidRDefault="00D31F3D" w:rsidP="00CE62C1">
            <w:pPr>
              <w:spacing w:line="276" w:lineRule="auto"/>
              <w:ind w:firstLineChars="100" w:firstLine="200"/>
              <w:jc w:val="left"/>
              <w:rPr>
                <w:rFonts w:cs="Calibri"/>
                <w:color w:val="000000"/>
                <w:sz w:val="20"/>
                <w:lang w:eastAsia="es-CR"/>
              </w:rPr>
            </w:pPr>
            <w:r w:rsidRPr="004E74A6">
              <w:rPr>
                <w:rFonts w:cs="Calibri"/>
                <w:color w:val="000000"/>
                <w:sz w:val="20"/>
                <w:lang w:eastAsia="es-CR"/>
              </w:rPr>
              <w:t>Confesión, Prueba Anticipada</w:t>
            </w:r>
          </w:p>
        </w:tc>
        <w:tc>
          <w:tcPr>
            <w:tcW w:w="599" w:type="pct"/>
            <w:tcBorders>
              <w:left w:val="single" w:sz="4" w:space="0" w:color="auto"/>
              <w:right w:val="single" w:sz="4" w:space="0" w:color="auto"/>
            </w:tcBorders>
            <w:shd w:val="clear" w:color="auto" w:fill="auto"/>
            <w:noWrap/>
            <w:vAlign w:val="center"/>
            <w:hideMark/>
          </w:tcPr>
          <w:p w14:paraId="29AEBAB8" w14:textId="4F1A7D39" w:rsidR="00D31F3D" w:rsidRPr="004E74A6" w:rsidRDefault="00DE6E30" w:rsidP="00CE62C1">
            <w:pPr>
              <w:spacing w:line="276" w:lineRule="auto"/>
              <w:jc w:val="center"/>
              <w:rPr>
                <w:sz w:val="20"/>
                <w:lang w:eastAsia="es-CR"/>
              </w:rPr>
            </w:pPr>
            <w:r w:rsidRPr="004E74A6">
              <w:rPr>
                <w:sz w:val="20"/>
                <w:lang w:eastAsia="es-CR"/>
              </w:rPr>
              <w:t>0</w:t>
            </w:r>
          </w:p>
        </w:tc>
        <w:tc>
          <w:tcPr>
            <w:tcW w:w="600" w:type="pct"/>
            <w:tcBorders>
              <w:left w:val="single" w:sz="4" w:space="0" w:color="auto"/>
              <w:right w:val="single" w:sz="4" w:space="0" w:color="auto"/>
            </w:tcBorders>
            <w:shd w:val="clear" w:color="auto" w:fill="auto"/>
            <w:noWrap/>
            <w:vAlign w:val="center"/>
            <w:hideMark/>
          </w:tcPr>
          <w:p w14:paraId="2F3DE582" w14:textId="4907E64A" w:rsidR="00D31F3D" w:rsidRPr="004E74A6" w:rsidRDefault="00DE6E30" w:rsidP="00CE62C1">
            <w:pPr>
              <w:spacing w:line="276" w:lineRule="auto"/>
              <w:jc w:val="center"/>
              <w:rPr>
                <w:sz w:val="20"/>
                <w:lang w:eastAsia="es-CR"/>
              </w:rPr>
            </w:pPr>
            <w:r w:rsidRPr="004E74A6">
              <w:rPr>
                <w:sz w:val="20"/>
                <w:lang w:eastAsia="es-CR"/>
              </w:rPr>
              <w:t>0</w:t>
            </w:r>
          </w:p>
        </w:tc>
        <w:tc>
          <w:tcPr>
            <w:tcW w:w="600" w:type="pct"/>
            <w:tcBorders>
              <w:left w:val="single" w:sz="4" w:space="0" w:color="auto"/>
              <w:right w:val="single" w:sz="4" w:space="0" w:color="auto"/>
            </w:tcBorders>
            <w:shd w:val="clear" w:color="auto" w:fill="auto"/>
            <w:noWrap/>
            <w:vAlign w:val="center"/>
            <w:hideMark/>
          </w:tcPr>
          <w:p w14:paraId="749A7CB2" w14:textId="77777777" w:rsidR="00D31F3D" w:rsidRPr="004E74A6" w:rsidRDefault="00D31F3D" w:rsidP="00CE62C1">
            <w:pPr>
              <w:spacing w:line="276" w:lineRule="auto"/>
              <w:jc w:val="center"/>
              <w:rPr>
                <w:rFonts w:cs="Calibri"/>
                <w:color w:val="000000"/>
                <w:sz w:val="20"/>
                <w:lang w:eastAsia="es-CR"/>
              </w:rPr>
            </w:pPr>
            <w:r w:rsidRPr="004E74A6">
              <w:rPr>
                <w:rFonts w:cs="Calibri"/>
                <w:color w:val="000000"/>
                <w:sz w:val="20"/>
                <w:lang w:eastAsia="es-CR"/>
              </w:rPr>
              <w:t>1</w:t>
            </w:r>
          </w:p>
        </w:tc>
        <w:tc>
          <w:tcPr>
            <w:tcW w:w="800" w:type="pct"/>
            <w:tcBorders>
              <w:left w:val="single" w:sz="4" w:space="0" w:color="auto"/>
            </w:tcBorders>
            <w:shd w:val="clear" w:color="auto" w:fill="auto"/>
            <w:noWrap/>
            <w:vAlign w:val="center"/>
            <w:hideMark/>
          </w:tcPr>
          <w:p w14:paraId="65AEBC03" w14:textId="7429AA72" w:rsidR="00D31F3D" w:rsidRPr="004E74A6" w:rsidRDefault="00DE6E30" w:rsidP="00CE62C1">
            <w:pPr>
              <w:spacing w:line="276" w:lineRule="auto"/>
              <w:jc w:val="center"/>
              <w:rPr>
                <w:rFonts w:cs="Calibri"/>
                <w:color w:val="000000"/>
                <w:sz w:val="20"/>
                <w:lang w:eastAsia="es-CR"/>
              </w:rPr>
            </w:pPr>
            <w:r w:rsidRPr="004E74A6">
              <w:rPr>
                <w:rFonts w:cs="Calibri"/>
                <w:color w:val="000000"/>
                <w:sz w:val="20"/>
              </w:rPr>
              <w:t>0,3</w:t>
            </w:r>
          </w:p>
        </w:tc>
      </w:tr>
      <w:tr w:rsidR="00D31F3D" w:rsidRPr="004E74A6" w14:paraId="64F8F88A" w14:textId="77777777" w:rsidTr="00D31F3D">
        <w:trPr>
          <w:trHeight w:val="288"/>
          <w:jc w:val="center"/>
        </w:trPr>
        <w:tc>
          <w:tcPr>
            <w:tcW w:w="2401" w:type="pct"/>
            <w:tcBorders>
              <w:right w:val="single" w:sz="4" w:space="0" w:color="auto"/>
            </w:tcBorders>
            <w:shd w:val="clear" w:color="auto" w:fill="auto"/>
            <w:noWrap/>
            <w:vAlign w:val="bottom"/>
            <w:hideMark/>
          </w:tcPr>
          <w:p w14:paraId="05B1D876" w14:textId="77777777" w:rsidR="00D31F3D" w:rsidRPr="004E74A6" w:rsidRDefault="00D31F3D" w:rsidP="00CE62C1">
            <w:pPr>
              <w:spacing w:line="276" w:lineRule="auto"/>
              <w:ind w:firstLineChars="100" w:firstLine="200"/>
              <w:jc w:val="left"/>
              <w:rPr>
                <w:rFonts w:cs="Calibri"/>
                <w:color w:val="000000"/>
                <w:sz w:val="20"/>
                <w:lang w:eastAsia="es-CR"/>
              </w:rPr>
            </w:pPr>
            <w:r w:rsidRPr="004E74A6">
              <w:rPr>
                <w:rFonts w:cs="Calibri"/>
                <w:color w:val="000000"/>
                <w:sz w:val="20"/>
                <w:lang w:eastAsia="es-CR"/>
              </w:rPr>
              <w:t>Conocimiento</w:t>
            </w:r>
          </w:p>
        </w:tc>
        <w:tc>
          <w:tcPr>
            <w:tcW w:w="599" w:type="pct"/>
            <w:tcBorders>
              <w:left w:val="single" w:sz="4" w:space="0" w:color="auto"/>
              <w:right w:val="single" w:sz="4" w:space="0" w:color="auto"/>
            </w:tcBorders>
            <w:shd w:val="clear" w:color="auto" w:fill="auto"/>
            <w:noWrap/>
            <w:vAlign w:val="center"/>
            <w:hideMark/>
          </w:tcPr>
          <w:p w14:paraId="12C9DA59" w14:textId="0CB75B51" w:rsidR="00D31F3D" w:rsidRPr="004E74A6" w:rsidRDefault="00DE6E30" w:rsidP="00CE62C1">
            <w:pPr>
              <w:spacing w:line="276" w:lineRule="auto"/>
              <w:jc w:val="center"/>
              <w:rPr>
                <w:sz w:val="20"/>
                <w:lang w:eastAsia="es-CR"/>
              </w:rPr>
            </w:pPr>
            <w:r w:rsidRPr="004E74A6">
              <w:rPr>
                <w:sz w:val="20"/>
                <w:lang w:eastAsia="es-CR"/>
              </w:rPr>
              <w:t>0</w:t>
            </w:r>
          </w:p>
        </w:tc>
        <w:tc>
          <w:tcPr>
            <w:tcW w:w="600" w:type="pct"/>
            <w:tcBorders>
              <w:left w:val="single" w:sz="4" w:space="0" w:color="auto"/>
              <w:right w:val="single" w:sz="4" w:space="0" w:color="auto"/>
            </w:tcBorders>
            <w:shd w:val="clear" w:color="auto" w:fill="auto"/>
            <w:noWrap/>
            <w:vAlign w:val="center"/>
            <w:hideMark/>
          </w:tcPr>
          <w:p w14:paraId="64CA33A3" w14:textId="77777777" w:rsidR="00D31F3D" w:rsidRPr="004E74A6" w:rsidRDefault="00D31F3D" w:rsidP="00CE62C1">
            <w:pPr>
              <w:spacing w:line="276" w:lineRule="auto"/>
              <w:jc w:val="center"/>
              <w:rPr>
                <w:rFonts w:cs="Calibri"/>
                <w:color w:val="000000"/>
                <w:sz w:val="20"/>
                <w:lang w:eastAsia="es-CR"/>
              </w:rPr>
            </w:pPr>
            <w:r w:rsidRPr="004E74A6">
              <w:rPr>
                <w:rFonts w:cs="Calibri"/>
                <w:color w:val="000000"/>
                <w:sz w:val="20"/>
                <w:lang w:eastAsia="es-CR"/>
              </w:rPr>
              <w:t>3</w:t>
            </w:r>
          </w:p>
        </w:tc>
        <w:tc>
          <w:tcPr>
            <w:tcW w:w="600" w:type="pct"/>
            <w:tcBorders>
              <w:left w:val="single" w:sz="4" w:space="0" w:color="auto"/>
              <w:right w:val="single" w:sz="4" w:space="0" w:color="auto"/>
            </w:tcBorders>
            <w:shd w:val="clear" w:color="auto" w:fill="auto"/>
            <w:noWrap/>
            <w:vAlign w:val="center"/>
            <w:hideMark/>
          </w:tcPr>
          <w:p w14:paraId="3C2BF3F8" w14:textId="4642D377" w:rsidR="00D31F3D" w:rsidRPr="004E74A6" w:rsidRDefault="00DE6E30" w:rsidP="00CE62C1">
            <w:pPr>
              <w:spacing w:line="276" w:lineRule="auto"/>
              <w:jc w:val="center"/>
              <w:rPr>
                <w:rFonts w:cs="Calibri"/>
                <w:color w:val="000000"/>
                <w:sz w:val="20"/>
                <w:lang w:eastAsia="es-CR"/>
              </w:rPr>
            </w:pPr>
            <w:r w:rsidRPr="004E74A6">
              <w:rPr>
                <w:rFonts w:cs="Calibri"/>
                <w:color w:val="000000"/>
                <w:sz w:val="20"/>
                <w:lang w:eastAsia="es-CR"/>
              </w:rPr>
              <w:t>0</w:t>
            </w:r>
          </w:p>
        </w:tc>
        <w:tc>
          <w:tcPr>
            <w:tcW w:w="800" w:type="pct"/>
            <w:tcBorders>
              <w:left w:val="single" w:sz="4" w:space="0" w:color="auto"/>
            </w:tcBorders>
            <w:shd w:val="clear" w:color="auto" w:fill="auto"/>
            <w:noWrap/>
            <w:vAlign w:val="center"/>
            <w:hideMark/>
          </w:tcPr>
          <w:p w14:paraId="7D3B3F51" w14:textId="365ABD53" w:rsidR="00D31F3D" w:rsidRPr="004E74A6" w:rsidRDefault="00DE6E30" w:rsidP="00CE62C1">
            <w:pPr>
              <w:spacing w:line="276" w:lineRule="auto"/>
              <w:jc w:val="center"/>
              <w:rPr>
                <w:rFonts w:cs="Calibri"/>
                <w:color w:val="000000"/>
                <w:sz w:val="20"/>
                <w:lang w:eastAsia="es-CR"/>
              </w:rPr>
            </w:pPr>
            <w:r w:rsidRPr="004E74A6">
              <w:rPr>
                <w:rFonts w:cs="Calibri"/>
                <w:color w:val="000000"/>
                <w:sz w:val="20"/>
              </w:rPr>
              <w:t>1</w:t>
            </w:r>
          </w:p>
        </w:tc>
      </w:tr>
      <w:tr w:rsidR="00D31F3D" w:rsidRPr="004E74A6" w14:paraId="0055A3D7" w14:textId="77777777" w:rsidTr="00D31F3D">
        <w:trPr>
          <w:trHeight w:val="288"/>
          <w:jc w:val="center"/>
        </w:trPr>
        <w:tc>
          <w:tcPr>
            <w:tcW w:w="2401" w:type="pct"/>
            <w:tcBorders>
              <w:right w:val="single" w:sz="4" w:space="0" w:color="auto"/>
            </w:tcBorders>
            <w:shd w:val="clear" w:color="auto" w:fill="auto"/>
            <w:noWrap/>
            <w:vAlign w:val="bottom"/>
            <w:hideMark/>
          </w:tcPr>
          <w:p w14:paraId="3E63B88C" w14:textId="77777777" w:rsidR="00D31F3D" w:rsidRPr="004E74A6" w:rsidRDefault="00D31F3D" w:rsidP="00CE62C1">
            <w:pPr>
              <w:spacing w:line="276" w:lineRule="auto"/>
              <w:ind w:firstLineChars="100" w:firstLine="200"/>
              <w:jc w:val="left"/>
              <w:rPr>
                <w:rFonts w:cs="Calibri"/>
                <w:color w:val="000000"/>
                <w:sz w:val="20"/>
                <w:lang w:eastAsia="es-CR"/>
              </w:rPr>
            </w:pPr>
            <w:r w:rsidRPr="004E74A6">
              <w:rPr>
                <w:rFonts w:cs="Calibri"/>
                <w:color w:val="000000"/>
                <w:sz w:val="20"/>
                <w:lang w:eastAsia="es-CR"/>
              </w:rPr>
              <w:t>Embargo Preventivo</w:t>
            </w:r>
          </w:p>
        </w:tc>
        <w:tc>
          <w:tcPr>
            <w:tcW w:w="599" w:type="pct"/>
            <w:tcBorders>
              <w:left w:val="single" w:sz="4" w:space="0" w:color="auto"/>
              <w:right w:val="single" w:sz="4" w:space="0" w:color="auto"/>
            </w:tcBorders>
            <w:shd w:val="clear" w:color="auto" w:fill="auto"/>
            <w:noWrap/>
            <w:vAlign w:val="center"/>
            <w:hideMark/>
          </w:tcPr>
          <w:p w14:paraId="12ABBAB7" w14:textId="77777777" w:rsidR="00D31F3D" w:rsidRPr="004E74A6" w:rsidRDefault="00D31F3D" w:rsidP="00CE62C1">
            <w:pPr>
              <w:spacing w:line="276" w:lineRule="auto"/>
              <w:jc w:val="center"/>
              <w:rPr>
                <w:rFonts w:cs="Calibri"/>
                <w:color w:val="000000"/>
                <w:sz w:val="20"/>
                <w:lang w:eastAsia="es-CR"/>
              </w:rPr>
            </w:pPr>
            <w:r w:rsidRPr="004E74A6">
              <w:rPr>
                <w:rFonts w:cs="Calibri"/>
                <w:color w:val="000000"/>
                <w:sz w:val="20"/>
                <w:lang w:eastAsia="es-CR"/>
              </w:rPr>
              <w:t>3</w:t>
            </w:r>
          </w:p>
        </w:tc>
        <w:tc>
          <w:tcPr>
            <w:tcW w:w="600" w:type="pct"/>
            <w:tcBorders>
              <w:left w:val="single" w:sz="4" w:space="0" w:color="auto"/>
              <w:right w:val="single" w:sz="4" w:space="0" w:color="auto"/>
            </w:tcBorders>
            <w:shd w:val="clear" w:color="auto" w:fill="auto"/>
            <w:noWrap/>
            <w:vAlign w:val="center"/>
            <w:hideMark/>
          </w:tcPr>
          <w:p w14:paraId="6126A883" w14:textId="7136F928" w:rsidR="00D31F3D" w:rsidRPr="004E74A6" w:rsidRDefault="00DE6E30" w:rsidP="00CE62C1">
            <w:pPr>
              <w:spacing w:line="276" w:lineRule="auto"/>
              <w:jc w:val="center"/>
              <w:rPr>
                <w:rFonts w:cs="Calibri"/>
                <w:color w:val="000000"/>
                <w:sz w:val="20"/>
                <w:lang w:eastAsia="es-CR"/>
              </w:rPr>
            </w:pPr>
            <w:r w:rsidRPr="004E74A6">
              <w:rPr>
                <w:rFonts w:cs="Calibri"/>
                <w:color w:val="000000"/>
                <w:sz w:val="20"/>
                <w:lang w:eastAsia="es-CR"/>
              </w:rPr>
              <w:t>0</w:t>
            </w:r>
          </w:p>
        </w:tc>
        <w:tc>
          <w:tcPr>
            <w:tcW w:w="600" w:type="pct"/>
            <w:tcBorders>
              <w:left w:val="single" w:sz="4" w:space="0" w:color="auto"/>
              <w:right w:val="single" w:sz="4" w:space="0" w:color="auto"/>
            </w:tcBorders>
            <w:shd w:val="clear" w:color="auto" w:fill="auto"/>
            <w:noWrap/>
            <w:vAlign w:val="center"/>
            <w:hideMark/>
          </w:tcPr>
          <w:p w14:paraId="231BA5F9" w14:textId="65015F5A" w:rsidR="00D31F3D" w:rsidRPr="004E74A6" w:rsidRDefault="00DE6E30" w:rsidP="00CE62C1">
            <w:pPr>
              <w:spacing w:line="276" w:lineRule="auto"/>
              <w:jc w:val="center"/>
              <w:rPr>
                <w:sz w:val="20"/>
                <w:lang w:eastAsia="es-CR"/>
              </w:rPr>
            </w:pPr>
            <w:r w:rsidRPr="004E74A6">
              <w:rPr>
                <w:sz w:val="20"/>
                <w:lang w:eastAsia="es-CR"/>
              </w:rPr>
              <w:t>0</w:t>
            </w:r>
          </w:p>
        </w:tc>
        <w:tc>
          <w:tcPr>
            <w:tcW w:w="800" w:type="pct"/>
            <w:tcBorders>
              <w:left w:val="single" w:sz="4" w:space="0" w:color="auto"/>
            </w:tcBorders>
            <w:shd w:val="clear" w:color="auto" w:fill="auto"/>
            <w:noWrap/>
            <w:vAlign w:val="center"/>
            <w:hideMark/>
          </w:tcPr>
          <w:p w14:paraId="76BB0903" w14:textId="476ECE6B" w:rsidR="00D31F3D" w:rsidRPr="004E74A6" w:rsidRDefault="00DE6E30" w:rsidP="00CE62C1">
            <w:pPr>
              <w:spacing w:line="276" w:lineRule="auto"/>
              <w:jc w:val="center"/>
              <w:rPr>
                <w:rFonts w:cs="Calibri"/>
                <w:color w:val="000000"/>
                <w:sz w:val="20"/>
                <w:lang w:eastAsia="es-CR"/>
              </w:rPr>
            </w:pPr>
            <w:r w:rsidRPr="004E74A6">
              <w:rPr>
                <w:rFonts w:cs="Calibri"/>
                <w:color w:val="000000"/>
                <w:sz w:val="20"/>
              </w:rPr>
              <w:t>1</w:t>
            </w:r>
          </w:p>
        </w:tc>
      </w:tr>
      <w:tr w:rsidR="00D31F3D" w:rsidRPr="004E74A6" w14:paraId="25CDBA26" w14:textId="77777777" w:rsidTr="00D31F3D">
        <w:trPr>
          <w:trHeight w:val="288"/>
          <w:jc w:val="center"/>
        </w:trPr>
        <w:tc>
          <w:tcPr>
            <w:tcW w:w="2401" w:type="pct"/>
            <w:tcBorders>
              <w:right w:val="single" w:sz="4" w:space="0" w:color="auto"/>
            </w:tcBorders>
            <w:shd w:val="clear" w:color="auto" w:fill="auto"/>
            <w:noWrap/>
            <w:vAlign w:val="bottom"/>
            <w:hideMark/>
          </w:tcPr>
          <w:p w14:paraId="707B2A5F" w14:textId="77777777" w:rsidR="00D31F3D" w:rsidRPr="004E74A6" w:rsidRDefault="00D31F3D" w:rsidP="00CE62C1">
            <w:pPr>
              <w:spacing w:line="276" w:lineRule="auto"/>
              <w:ind w:firstLineChars="100" w:firstLine="200"/>
              <w:jc w:val="left"/>
              <w:rPr>
                <w:rFonts w:cs="Calibri"/>
                <w:color w:val="000000"/>
                <w:sz w:val="20"/>
                <w:lang w:eastAsia="es-CR"/>
              </w:rPr>
            </w:pPr>
            <w:r w:rsidRPr="004E74A6">
              <w:rPr>
                <w:rFonts w:cs="Calibri"/>
                <w:color w:val="000000"/>
                <w:sz w:val="20"/>
                <w:lang w:eastAsia="es-CR"/>
              </w:rPr>
              <w:t>Exequatur</w:t>
            </w:r>
          </w:p>
        </w:tc>
        <w:tc>
          <w:tcPr>
            <w:tcW w:w="599" w:type="pct"/>
            <w:tcBorders>
              <w:left w:val="single" w:sz="4" w:space="0" w:color="auto"/>
              <w:right w:val="single" w:sz="4" w:space="0" w:color="auto"/>
            </w:tcBorders>
            <w:shd w:val="clear" w:color="auto" w:fill="auto"/>
            <w:noWrap/>
            <w:vAlign w:val="center"/>
            <w:hideMark/>
          </w:tcPr>
          <w:p w14:paraId="4015725A" w14:textId="10E09519" w:rsidR="00D31F3D" w:rsidRPr="004E74A6" w:rsidRDefault="00DE6E30" w:rsidP="00CE62C1">
            <w:pPr>
              <w:spacing w:line="276" w:lineRule="auto"/>
              <w:jc w:val="center"/>
              <w:rPr>
                <w:sz w:val="20"/>
                <w:lang w:eastAsia="es-CR"/>
              </w:rPr>
            </w:pPr>
            <w:r w:rsidRPr="004E74A6">
              <w:rPr>
                <w:sz w:val="20"/>
                <w:lang w:eastAsia="es-CR"/>
              </w:rPr>
              <w:t>0</w:t>
            </w:r>
          </w:p>
        </w:tc>
        <w:tc>
          <w:tcPr>
            <w:tcW w:w="600" w:type="pct"/>
            <w:tcBorders>
              <w:left w:val="single" w:sz="4" w:space="0" w:color="auto"/>
              <w:right w:val="single" w:sz="4" w:space="0" w:color="auto"/>
            </w:tcBorders>
            <w:shd w:val="clear" w:color="auto" w:fill="auto"/>
            <w:noWrap/>
            <w:vAlign w:val="center"/>
            <w:hideMark/>
          </w:tcPr>
          <w:p w14:paraId="11D0C7E1" w14:textId="00B3E839" w:rsidR="00D31F3D" w:rsidRPr="004E74A6" w:rsidRDefault="00DE6E30" w:rsidP="00CE62C1">
            <w:pPr>
              <w:spacing w:line="276" w:lineRule="auto"/>
              <w:jc w:val="center"/>
              <w:rPr>
                <w:sz w:val="20"/>
                <w:lang w:eastAsia="es-CR"/>
              </w:rPr>
            </w:pPr>
            <w:r w:rsidRPr="004E74A6">
              <w:rPr>
                <w:sz w:val="20"/>
                <w:lang w:eastAsia="es-CR"/>
              </w:rPr>
              <w:t>0</w:t>
            </w:r>
          </w:p>
        </w:tc>
        <w:tc>
          <w:tcPr>
            <w:tcW w:w="600" w:type="pct"/>
            <w:tcBorders>
              <w:left w:val="single" w:sz="4" w:space="0" w:color="auto"/>
              <w:right w:val="single" w:sz="4" w:space="0" w:color="auto"/>
            </w:tcBorders>
            <w:shd w:val="clear" w:color="auto" w:fill="auto"/>
            <w:noWrap/>
            <w:vAlign w:val="center"/>
            <w:hideMark/>
          </w:tcPr>
          <w:p w14:paraId="1190CCC5" w14:textId="77777777" w:rsidR="00D31F3D" w:rsidRPr="004E74A6" w:rsidRDefault="00D31F3D" w:rsidP="00CE62C1">
            <w:pPr>
              <w:spacing w:line="276" w:lineRule="auto"/>
              <w:jc w:val="center"/>
              <w:rPr>
                <w:rFonts w:cs="Calibri"/>
                <w:color w:val="000000"/>
                <w:sz w:val="20"/>
                <w:lang w:eastAsia="es-CR"/>
              </w:rPr>
            </w:pPr>
            <w:r w:rsidRPr="004E74A6">
              <w:rPr>
                <w:rFonts w:cs="Calibri"/>
                <w:color w:val="000000"/>
                <w:sz w:val="20"/>
                <w:lang w:eastAsia="es-CR"/>
              </w:rPr>
              <w:t>1</w:t>
            </w:r>
          </w:p>
        </w:tc>
        <w:tc>
          <w:tcPr>
            <w:tcW w:w="800" w:type="pct"/>
            <w:tcBorders>
              <w:left w:val="single" w:sz="4" w:space="0" w:color="auto"/>
            </w:tcBorders>
            <w:shd w:val="clear" w:color="auto" w:fill="auto"/>
            <w:noWrap/>
            <w:vAlign w:val="center"/>
            <w:hideMark/>
          </w:tcPr>
          <w:p w14:paraId="7B0C66B9" w14:textId="4B8AE758" w:rsidR="00D31F3D" w:rsidRPr="004E74A6" w:rsidRDefault="00DE6E30" w:rsidP="00CE62C1">
            <w:pPr>
              <w:spacing w:line="276" w:lineRule="auto"/>
              <w:jc w:val="center"/>
              <w:rPr>
                <w:rFonts w:cs="Calibri"/>
                <w:color w:val="000000"/>
                <w:sz w:val="20"/>
                <w:lang w:eastAsia="es-CR"/>
              </w:rPr>
            </w:pPr>
            <w:r w:rsidRPr="004E74A6">
              <w:rPr>
                <w:rFonts w:cs="Calibri"/>
                <w:color w:val="000000"/>
                <w:sz w:val="20"/>
                <w:lang w:eastAsia="es-CR"/>
              </w:rPr>
              <w:t>0,3</w:t>
            </w:r>
          </w:p>
        </w:tc>
      </w:tr>
      <w:tr w:rsidR="00D31F3D" w:rsidRPr="004E74A6" w14:paraId="4BF17BF9" w14:textId="77777777" w:rsidTr="00D31F3D">
        <w:trPr>
          <w:trHeight w:val="288"/>
          <w:jc w:val="center"/>
        </w:trPr>
        <w:tc>
          <w:tcPr>
            <w:tcW w:w="2401" w:type="pct"/>
            <w:tcBorders>
              <w:right w:val="single" w:sz="4" w:space="0" w:color="auto"/>
            </w:tcBorders>
            <w:shd w:val="clear" w:color="auto" w:fill="auto"/>
            <w:noWrap/>
            <w:vAlign w:val="bottom"/>
            <w:hideMark/>
          </w:tcPr>
          <w:p w14:paraId="606B0FDB" w14:textId="77777777" w:rsidR="00D31F3D" w:rsidRPr="004E74A6" w:rsidRDefault="00D31F3D" w:rsidP="00CE62C1">
            <w:pPr>
              <w:spacing w:line="276" w:lineRule="auto"/>
              <w:ind w:firstLineChars="100" w:firstLine="200"/>
              <w:jc w:val="left"/>
              <w:rPr>
                <w:rFonts w:cs="Calibri"/>
                <w:color w:val="000000"/>
                <w:sz w:val="20"/>
                <w:lang w:eastAsia="es-CR"/>
              </w:rPr>
            </w:pPr>
            <w:r w:rsidRPr="004E74A6">
              <w:rPr>
                <w:rFonts w:cs="Calibri"/>
                <w:color w:val="000000"/>
                <w:sz w:val="20"/>
                <w:lang w:eastAsia="es-CR"/>
              </w:rPr>
              <w:t>Medida Cautelar</w:t>
            </w:r>
          </w:p>
        </w:tc>
        <w:tc>
          <w:tcPr>
            <w:tcW w:w="599" w:type="pct"/>
            <w:tcBorders>
              <w:left w:val="single" w:sz="4" w:space="0" w:color="auto"/>
              <w:right w:val="single" w:sz="4" w:space="0" w:color="auto"/>
            </w:tcBorders>
            <w:shd w:val="clear" w:color="auto" w:fill="auto"/>
            <w:noWrap/>
            <w:vAlign w:val="center"/>
            <w:hideMark/>
          </w:tcPr>
          <w:p w14:paraId="064C2C6A" w14:textId="77777777" w:rsidR="00D31F3D" w:rsidRPr="004E74A6" w:rsidRDefault="00D31F3D" w:rsidP="00CE62C1">
            <w:pPr>
              <w:spacing w:line="276" w:lineRule="auto"/>
              <w:jc w:val="center"/>
              <w:rPr>
                <w:rFonts w:cs="Calibri"/>
                <w:color w:val="000000"/>
                <w:sz w:val="20"/>
                <w:lang w:eastAsia="es-CR"/>
              </w:rPr>
            </w:pPr>
            <w:r w:rsidRPr="004E74A6">
              <w:rPr>
                <w:rFonts w:cs="Calibri"/>
                <w:color w:val="000000"/>
                <w:sz w:val="20"/>
                <w:lang w:eastAsia="es-CR"/>
              </w:rPr>
              <w:t>34</w:t>
            </w:r>
          </w:p>
        </w:tc>
        <w:tc>
          <w:tcPr>
            <w:tcW w:w="600" w:type="pct"/>
            <w:tcBorders>
              <w:left w:val="single" w:sz="4" w:space="0" w:color="auto"/>
              <w:right w:val="single" w:sz="4" w:space="0" w:color="auto"/>
            </w:tcBorders>
            <w:shd w:val="clear" w:color="auto" w:fill="auto"/>
            <w:noWrap/>
            <w:vAlign w:val="center"/>
            <w:hideMark/>
          </w:tcPr>
          <w:p w14:paraId="3350888B" w14:textId="77777777" w:rsidR="00D31F3D" w:rsidRPr="004E74A6" w:rsidRDefault="00D31F3D" w:rsidP="00CE62C1">
            <w:pPr>
              <w:spacing w:line="276" w:lineRule="auto"/>
              <w:jc w:val="center"/>
              <w:rPr>
                <w:rFonts w:cs="Calibri"/>
                <w:color w:val="000000"/>
                <w:sz w:val="20"/>
                <w:lang w:eastAsia="es-CR"/>
              </w:rPr>
            </w:pPr>
            <w:r w:rsidRPr="004E74A6">
              <w:rPr>
                <w:rFonts w:cs="Calibri"/>
                <w:color w:val="000000"/>
                <w:sz w:val="20"/>
                <w:lang w:eastAsia="es-CR"/>
              </w:rPr>
              <w:t>27</w:t>
            </w:r>
          </w:p>
        </w:tc>
        <w:tc>
          <w:tcPr>
            <w:tcW w:w="600" w:type="pct"/>
            <w:tcBorders>
              <w:left w:val="single" w:sz="4" w:space="0" w:color="auto"/>
              <w:right w:val="single" w:sz="4" w:space="0" w:color="auto"/>
            </w:tcBorders>
            <w:shd w:val="clear" w:color="auto" w:fill="auto"/>
            <w:noWrap/>
            <w:vAlign w:val="center"/>
            <w:hideMark/>
          </w:tcPr>
          <w:p w14:paraId="33931284" w14:textId="77777777" w:rsidR="00D31F3D" w:rsidRPr="004E74A6" w:rsidRDefault="00D31F3D" w:rsidP="00CE62C1">
            <w:pPr>
              <w:spacing w:line="276" w:lineRule="auto"/>
              <w:jc w:val="center"/>
              <w:rPr>
                <w:rFonts w:cs="Calibri"/>
                <w:color w:val="000000"/>
                <w:sz w:val="20"/>
                <w:lang w:eastAsia="es-CR"/>
              </w:rPr>
            </w:pPr>
            <w:r w:rsidRPr="004E74A6">
              <w:rPr>
                <w:rFonts w:cs="Calibri"/>
                <w:color w:val="000000"/>
                <w:sz w:val="20"/>
                <w:lang w:eastAsia="es-CR"/>
              </w:rPr>
              <w:t>23</w:t>
            </w:r>
          </w:p>
        </w:tc>
        <w:tc>
          <w:tcPr>
            <w:tcW w:w="800" w:type="pct"/>
            <w:tcBorders>
              <w:left w:val="single" w:sz="4" w:space="0" w:color="auto"/>
            </w:tcBorders>
            <w:shd w:val="clear" w:color="auto" w:fill="auto"/>
            <w:noWrap/>
            <w:vAlign w:val="center"/>
            <w:hideMark/>
          </w:tcPr>
          <w:p w14:paraId="2C3A1983" w14:textId="3F67DD07" w:rsidR="00D31F3D" w:rsidRPr="004E74A6" w:rsidRDefault="00D31F3D" w:rsidP="00CE62C1">
            <w:pPr>
              <w:spacing w:line="276" w:lineRule="auto"/>
              <w:jc w:val="center"/>
              <w:rPr>
                <w:rFonts w:cs="Calibri"/>
                <w:color w:val="000000"/>
                <w:sz w:val="20"/>
                <w:lang w:eastAsia="es-CR"/>
              </w:rPr>
            </w:pPr>
            <w:r w:rsidRPr="004E74A6">
              <w:rPr>
                <w:rFonts w:cs="Calibri"/>
                <w:color w:val="000000"/>
                <w:sz w:val="20"/>
              </w:rPr>
              <w:t>28</w:t>
            </w:r>
          </w:p>
        </w:tc>
      </w:tr>
      <w:tr w:rsidR="00D31F3D" w:rsidRPr="004E74A6" w14:paraId="4BC898D2" w14:textId="77777777" w:rsidTr="00D31F3D">
        <w:trPr>
          <w:trHeight w:val="288"/>
          <w:jc w:val="center"/>
        </w:trPr>
        <w:tc>
          <w:tcPr>
            <w:tcW w:w="2401" w:type="pct"/>
            <w:tcBorders>
              <w:right w:val="single" w:sz="4" w:space="0" w:color="auto"/>
            </w:tcBorders>
            <w:shd w:val="clear" w:color="auto" w:fill="auto"/>
            <w:noWrap/>
            <w:vAlign w:val="bottom"/>
            <w:hideMark/>
          </w:tcPr>
          <w:p w14:paraId="0A2DE0F1" w14:textId="77777777" w:rsidR="00D31F3D" w:rsidRPr="004E74A6" w:rsidRDefault="00D31F3D" w:rsidP="00CE62C1">
            <w:pPr>
              <w:spacing w:line="276" w:lineRule="auto"/>
              <w:ind w:firstLineChars="100" w:firstLine="200"/>
              <w:jc w:val="left"/>
              <w:rPr>
                <w:rFonts w:cs="Calibri"/>
                <w:color w:val="000000"/>
                <w:sz w:val="20"/>
                <w:lang w:eastAsia="es-CR"/>
              </w:rPr>
            </w:pPr>
            <w:r w:rsidRPr="004E74A6">
              <w:rPr>
                <w:rFonts w:cs="Calibri"/>
                <w:color w:val="000000"/>
                <w:sz w:val="20"/>
                <w:lang w:eastAsia="es-CR"/>
              </w:rPr>
              <w:t>Monitorio</w:t>
            </w:r>
          </w:p>
        </w:tc>
        <w:tc>
          <w:tcPr>
            <w:tcW w:w="599" w:type="pct"/>
            <w:tcBorders>
              <w:left w:val="single" w:sz="4" w:space="0" w:color="auto"/>
              <w:right w:val="single" w:sz="4" w:space="0" w:color="auto"/>
            </w:tcBorders>
            <w:shd w:val="clear" w:color="auto" w:fill="auto"/>
            <w:noWrap/>
            <w:vAlign w:val="center"/>
            <w:hideMark/>
          </w:tcPr>
          <w:p w14:paraId="1D1B3D18" w14:textId="77777777" w:rsidR="00D31F3D" w:rsidRPr="004E74A6" w:rsidRDefault="00D31F3D" w:rsidP="00CE62C1">
            <w:pPr>
              <w:spacing w:line="276" w:lineRule="auto"/>
              <w:jc w:val="center"/>
              <w:rPr>
                <w:rFonts w:cs="Calibri"/>
                <w:color w:val="000000"/>
                <w:sz w:val="20"/>
                <w:lang w:eastAsia="es-CR"/>
              </w:rPr>
            </w:pPr>
            <w:r w:rsidRPr="004E74A6">
              <w:rPr>
                <w:rFonts w:cs="Calibri"/>
                <w:color w:val="000000"/>
                <w:sz w:val="20"/>
                <w:lang w:eastAsia="es-CR"/>
              </w:rPr>
              <w:t>1</w:t>
            </w:r>
          </w:p>
        </w:tc>
        <w:tc>
          <w:tcPr>
            <w:tcW w:w="600" w:type="pct"/>
            <w:tcBorders>
              <w:left w:val="single" w:sz="4" w:space="0" w:color="auto"/>
              <w:right w:val="single" w:sz="4" w:space="0" w:color="auto"/>
            </w:tcBorders>
            <w:shd w:val="clear" w:color="auto" w:fill="auto"/>
            <w:noWrap/>
            <w:vAlign w:val="center"/>
            <w:hideMark/>
          </w:tcPr>
          <w:p w14:paraId="39037665" w14:textId="12C49104" w:rsidR="00D31F3D" w:rsidRPr="004E74A6" w:rsidRDefault="00DE6E30" w:rsidP="00CE62C1">
            <w:pPr>
              <w:spacing w:line="276" w:lineRule="auto"/>
              <w:jc w:val="center"/>
              <w:rPr>
                <w:rFonts w:cs="Calibri"/>
                <w:color w:val="000000"/>
                <w:sz w:val="20"/>
                <w:lang w:eastAsia="es-CR"/>
              </w:rPr>
            </w:pPr>
            <w:r w:rsidRPr="004E74A6">
              <w:rPr>
                <w:rFonts w:cs="Calibri"/>
                <w:color w:val="000000"/>
                <w:sz w:val="20"/>
                <w:lang w:eastAsia="es-CR"/>
              </w:rPr>
              <w:t>0</w:t>
            </w:r>
          </w:p>
        </w:tc>
        <w:tc>
          <w:tcPr>
            <w:tcW w:w="600" w:type="pct"/>
            <w:tcBorders>
              <w:left w:val="single" w:sz="4" w:space="0" w:color="auto"/>
              <w:right w:val="single" w:sz="4" w:space="0" w:color="auto"/>
            </w:tcBorders>
            <w:shd w:val="clear" w:color="auto" w:fill="auto"/>
            <w:noWrap/>
            <w:vAlign w:val="center"/>
            <w:hideMark/>
          </w:tcPr>
          <w:p w14:paraId="54E1CEC4" w14:textId="19FBF686" w:rsidR="00D31F3D" w:rsidRPr="004E74A6" w:rsidRDefault="00DE6E30" w:rsidP="00CE62C1">
            <w:pPr>
              <w:spacing w:line="276" w:lineRule="auto"/>
              <w:jc w:val="center"/>
              <w:rPr>
                <w:sz w:val="20"/>
                <w:lang w:eastAsia="es-CR"/>
              </w:rPr>
            </w:pPr>
            <w:r w:rsidRPr="004E74A6">
              <w:rPr>
                <w:sz w:val="20"/>
                <w:lang w:eastAsia="es-CR"/>
              </w:rPr>
              <w:t>0</w:t>
            </w:r>
          </w:p>
        </w:tc>
        <w:tc>
          <w:tcPr>
            <w:tcW w:w="800" w:type="pct"/>
            <w:tcBorders>
              <w:left w:val="single" w:sz="4" w:space="0" w:color="auto"/>
            </w:tcBorders>
            <w:shd w:val="clear" w:color="auto" w:fill="auto"/>
            <w:noWrap/>
            <w:vAlign w:val="center"/>
            <w:hideMark/>
          </w:tcPr>
          <w:p w14:paraId="75C61961" w14:textId="11298566" w:rsidR="00D31F3D" w:rsidRPr="004E74A6" w:rsidRDefault="00DE6E30" w:rsidP="00CE62C1">
            <w:pPr>
              <w:spacing w:line="276" w:lineRule="auto"/>
              <w:jc w:val="center"/>
              <w:rPr>
                <w:rFonts w:cs="Calibri"/>
                <w:color w:val="000000"/>
                <w:sz w:val="20"/>
                <w:lang w:eastAsia="es-CR"/>
              </w:rPr>
            </w:pPr>
            <w:r w:rsidRPr="004E74A6">
              <w:rPr>
                <w:rFonts w:cs="Calibri"/>
                <w:color w:val="000000"/>
                <w:sz w:val="20"/>
              </w:rPr>
              <w:t>0,3</w:t>
            </w:r>
          </w:p>
        </w:tc>
      </w:tr>
      <w:tr w:rsidR="00D31F3D" w:rsidRPr="004E74A6" w14:paraId="60C705B2" w14:textId="77777777" w:rsidTr="00EA4D94">
        <w:trPr>
          <w:trHeight w:val="288"/>
          <w:jc w:val="center"/>
        </w:trPr>
        <w:tc>
          <w:tcPr>
            <w:tcW w:w="2401" w:type="pct"/>
            <w:tcBorders>
              <w:right w:val="single" w:sz="4" w:space="0" w:color="auto"/>
            </w:tcBorders>
            <w:shd w:val="clear" w:color="auto" w:fill="C5E0B3" w:themeFill="accent6" w:themeFillTint="66"/>
            <w:noWrap/>
            <w:vAlign w:val="bottom"/>
            <w:hideMark/>
          </w:tcPr>
          <w:p w14:paraId="699B906B" w14:textId="77777777" w:rsidR="00D31F3D" w:rsidRPr="004E74A6" w:rsidRDefault="00D31F3D" w:rsidP="00CE62C1">
            <w:pPr>
              <w:spacing w:line="276" w:lineRule="auto"/>
              <w:ind w:firstLineChars="100" w:firstLine="200"/>
              <w:jc w:val="left"/>
              <w:rPr>
                <w:rFonts w:cs="Calibri"/>
                <w:color w:val="000000"/>
                <w:sz w:val="20"/>
                <w:lang w:eastAsia="es-CR"/>
              </w:rPr>
            </w:pPr>
            <w:r w:rsidRPr="004E74A6">
              <w:rPr>
                <w:rFonts w:cs="Calibri"/>
                <w:color w:val="000000"/>
                <w:sz w:val="20"/>
                <w:lang w:eastAsia="es-CR"/>
              </w:rPr>
              <w:t>Ordinario</w:t>
            </w:r>
          </w:p>
        </w:tc>
        <w:tc>
          <w:tcPr>
            <w:tcW w:w="599" w:type="pct"/>
            <w:tcBorders>
              <w:left w:val="single" w:sz="4" w:space="0" w:color="auto"/>
              <w:right w:val="single" w:sz="4" w:space="0" w:color="auto"/>
            </w:tcBorders>
            <w:shd w:val="clear" w:color="auto" w:fill="C5E0B3" w:themeFill="accent6" w:themeFillTint="66"/>
            <w:noWrap/>
            <w:vAlign w:val="center"/>
            <w:hideMark/>
          </w:tcPr>
          <w:p w14:paraId="10005ACD" w14:textId="77777777" w:rsidR="00D31F3D" w:rsidRPr="004E74A6" w:rsidRDefault="00D31F3D" w:rsidP="00CE62C1">
            <w:pPr>
              <w:spacing w:line="276" w:lineRule="auto"/>
              <w:jc w:val="center"/>
              <w:rPr>
                <w:rFonts w:cs="Calibri"/>
                <w:color w:val="000000"/>
                <w:sz w:val="20"/>
                <w:lang w:eastAsia="es-CR"/>
              </w:rPr>
            </w:pPr>
            <w:r w:rsidRPr="004E74A6">
              <w:rPr>
                <w:rFonts w:cs="Calibri"/>
                <w:color w:val="000000"/>
                <w:sz w:val="20"/>
                <w:lang w:eastAsia="es-CR"/>
              </w:rPr>
              <w:t>331</w:t>
            </w:r>
          </w:p>
        </w:tc>
        <w:tc>
          <w:tcPr>
            <w:tcW w:w="600" w:type="pct"/>
            <w:tcBorders>
              <w:left w:val="single" w:sz="4" w:space="0" w:color="auto"/>
              <w:right w:val="single" w:sz="4" w:space="0" w:color="auto"/>
            </w:tcBorders>
            <w:shd w:val="clear" w:color="auto" w:fill="C5E0B3" w:themeFill="accent6" w:themeFillTint="66"/>
            <w:noWrap/>
            <w:vAlign w:val="center"/>
            <w:hideMark/>
          </w:tcPr>
          <w:p w14:paraId="78A81C99" w14:textId="77777777" w:rsidR="00D31F3D" w:rsidRPr="004E74A6" w:rsidRDefault="00D31F3D" w:rsidP="00CE62C1">
            <w:pPr>
              <w:spacing w:line="276" w:lineRule="auto"/>
              <w:jc w:val="center"/>
              <w:rPr>
                <w:rFonts w:cs="Calibri"/>
                <w:color w:val="000000"/>
                <w:sz w:val="20"/>
                <w:lang w:eastAsia="es-CR"/>
              </w:rPr>
            </w:pPr>
            <w:r w:rsidRPr="004E74A6">
              <w:rPr>
                <w:rFonts w:cs="Calibri"/>
                <w:color w:val="000000"/>
                <w:sz w:val="20"/>
                <w:lang w:eastAsia="es-CR"/>
              </w:rPr>
              <w:t>259</w:t>
            </w:r>
          </w:p>
        </w:tc>
        <w:tc>
          <w:tcPr>
            <w:tcW w:w="600" w:type="pct"/>
            <w:tcBorders>
              <w:left w:val="single" w:sz="4" w:space="0" w:color="auto"/>
              <w:right w:val="single" w:sz="4" w:space="0" w:color="auto"/>
            </w:tcBorders>
            <w:shd w:val="clear" w:color="auto" w:fill="C5E0B3" w:themeFill="accent6" w:themeFillTint="66"/>
            <w:noWrap/>
            <w:vAlign w:val="center"/>
            <w:hideMark/>
          </w:tcPr>
          <w:p w14:paraId="645E0746" w14:textId="77777777" w:rsidR="00D31F3D" w:rsidRPr="004E74A6" w:rsidRDefault="00D31F3D" w:rsidP="00CE62C1">
            <w:pPr>
              <w:spacing w:line="276" w:lineRule="auto"/>
              <w:jc w:val="center"/>
              <w:rPr>
                <w:rFonts w:cs="Calibri"/>
                <w:color w:val="000000"/>
                <w:sz w:val="20"/>
                <w:lang w:eastAsia="es-CR"/>
              </w:rPr>
            </w:pPr>
            <w:r w:rsidRPr="004E74A6">
              <w:rPr>
                <w:rFonts w:cs="Calibri"/>
                <w:color w:val="000000"/>
                <w:sz w:val="20"/>
                <w:lang w:eastAsia="es-CR"/>
              </w:rPr>
              <w:t>269</w:t>
            </w:r>
          </w:p>
        </w:tc>
        <w:tc>
          <w:tcPr>
            <w:tcW w:w="800" w:type="pct"/>
            <w:tcBorders>
              <w:left w:val="single" w:sz="4" w:space="0" w:color="auto"/>
            </w:tcBorders>
            <w:shd w:val="clear" w:color="auto" w:fill="C5E0B3" w:themeFill="accent6" w:themeFillTint="66"/>
            <w:noWrap/>
            <w:vAlign w:val="center"/>
            <w:hideMark/>
          </w:tcPr>
          <w:p w14:paraId="064A05A4" w14:textId="407B973E" w:rsidR="00D31F3D" w:rsidRPr="004E74A6" w:rsidRDefault="00D31F3D" w:rsidP="00CE62C1">
            <w:pPr>
              <w:spacing w:line="276" w:lineRule="auto"/>
              <w:jc w:val="center"/>
              <w:rPr>
                <w:rFonts w:cs="Calibri"/>
                <w:color w:val="000000"/>
                <w:sz w:val="20"/>
                <w:lang w:eastAsia="es-CR"/>
              </w:rPr>
            </w:pPr>
            <w:r w:rsidRPr="004E74A6">
              <w:rPr>
                <w:rFonts w:cs="Calibri"/>
                <w:color w:val="000000"/>
                <w:sz w:val="20"/>
              </w:rPr>
              <w:t>286</w:t>
            </w:r>
          </w:p>
        </w:tc>
      </w:tr>
      <w:tr w:rsidR="00D31F3D" w:rsidRPr="004E74A6" w14:paraId="2D8045AA" w14:textId="77777777" w:rsidTr="00D31F3D">
        <w:trPr>
          <w:trHeight w:val="288"/>
          <w:jc w:val="center"/>
        </w:trPr>
        <w:tc>
          <w:tcPr>
            <w:tcW w:w="2401" w:type="pct"/>
            <w:tcBorders>
              <w:right w:val="single" w:sz="4" w:space="0" w:color="auto"/>
            </w:tcBorders>
            <w:shd w:val="clear" w:color="auto" w:fill="auto"/>
            <w:noWrap/>
            <w:vAlign w:val="bottom"/>
            <w:hideMark/>
          </w:tcPr>
          <w:p w14:paraId="4E326271" w14:textId="77777777" w:rsidR="00D31F3D" w:rsidRPr="004E74A6" w:rsidRDefault="00D31F3D" w:rsidP="00CE62C1">
            <w:pPr>
              <w:spacing w:line="276" w:lineRule="auto"/>
              <w:ind w:firstLineChars="100" w:firstLine="200"/>
              <w:jc w:val="left"/>
              <w:rPr>
                <w:rFonts w:cs="Calibri"/>
                <w:color w:val="000000"/>
                <w:sz w:val="20"/>
                <w:lang w:eastAsia="es-CR"/>
              </w:rPr>
            </w:pPr>
            <w:r w:rsidRPr="004E74A6">
              <w:rPr>
                <w:rFonts w:cs="Calibri"/>
                <w:color w:val="000000"/>
                <w:sz w:val="20"/>
                <w:lang w:eastAsia="es-CR"/>
              </w:rPr>
              <w:t>Procesos De Ejecución</w:t>
            </w:r>
          </w:p>
        </w:tc>
        <w:tc>
          <w:tcPr>
            <w:tcW w:w="599" w:type="pct"/>
            <w:tcBorders>
              <w:left w:val="single" w:sz="4" w:space="0" w:color="auto"/>
              <w:right w:val="single" w:sz="4" w:space="0" w:color="auto"/>
            </w:tcBorders>
            <w:shd w:val="clear" w:color="auto" w:fill="auto"/>
            <w:noWrap/>
            <w:vAlign w:val="center"/>
            <w:hideMark/>
          </w:tcPr>
          <w:p w14:paraId="7DF76EA6" w14:textId="77777777" w:rsidR="00D31F3D" w:rsidRPr="004E74A6" w:rsidRDefault="00D31F3D" w:rsidP="00CE62C1">
            <w:pPr>
              <w:spacing w:line="276" w:lineRule="auto"/>
              <w:jc w:val="center"/>
              <w:rPr>
                <w:rFonts w:cs="Calibri"/>
                <w:color w:val="000000"/>
                <w:sz w:val="20"/>
                <w:lang w:eastAsia="es-CR"/>
              </w:rPr>
            </w:pPr>
            <w:r w:rsidRPr="004E74A6">
              <w:rPr>
                <w:rFonts w:cs="Calibri"/>
                <w:color w:val="000000"/>
                <w:sz w:val="20"/>
                <w:lang w:eastAsia="es-CR"/>
              </w:rPr>
              <w:t>8</w:t>
            </w:r>
          </w:p>
        </w:tc>
        <w:tc>
          <w:tcPr>
            <w:tcW w:w="600" w:type="pct"/>
            <w:tcBorders>
              <w:left w:val="single" w:sz="4" w:space="0" w:color="auto"/>
              <w:right w:val="single" w:sz="4" w:space="0" w:color="auto"/>
            </w:tcBorders>
            <w:shd w:val="clear" w:color="auto" w:fill="auto"/>
            <w:noWrap/>
            <w:vAlign w:val="center"/>
            <w:hideMark/>
          </w:tcPr>
          <w:p w14:paraId="185CE233" w14:textId="77777777" w:rsidR="00D31F3D" w:rsidRPr="004E74A6" w:rsidRDefault="00D31F3D" w:rsidP="00CE62C1">
            <w:pPr>
              <w:spacing w:line="276" w:lineRule="auto"/>
              <w:jc w:val="center"/>
              <w:rPr>
                <w:rFonts w:cs="Calibri"/>
                <w:color w:val="000000"/>
                <w:sz w:val="20"/>
                <w:lang w:eastAsia="es-CR"/>
              </w:rPr>
            </w:pPr>
            <w:r w:rsidRPr="004E74A6">
              <w:rPr>
                <w:rFonts w:cs="Calibri"/>
                <w:color w:val="000000"/>
                <w:sz w:val="20"/>
                <w:lang w:eastAsia="es-CR"/>
              </w:rPr>
              <w:t>6</w:t>
            </w:r>
          </w:p>
        </w:tc>
        <w:tc>
          <w:tcPr>
            <w:tcW w:w="600" w:type="pct"/>
            <w:tcBorders>
              <w:left w:val="single" w:sz="4" w:space="0" w:color="auto"/>
              <w:right w:val="single" w:sz="4" w:space="0" w:color="auto"/>
            </w:tcBorders>
            <w:shd w:val="clear" w:color="auto" w:fill="auto"/>
            <w:noWrap/>
            <w:vAlign w:val="center"/>
            <w:hideMark/>
          </w:tcPr>
          <w:p w14:paraId="3E5E76CD" w14:textId="77777777" w:rsidR="00D31F3D" w:rsidRPr="004E74A6" w:rsidRDefault="00D31F3D" w:rsidP="00CE62C1">
            <w:pPr>
              <w:spacing w:line="276" w:lineRule="auto"/>
              <w:jc w:val="center"/>
              <w:rPr>
                <w:rFonts w:cs="Calibri"/>
                <w:color w:val="000000"/>
                <w:sz w:val="20"/>
                <w:lang w:eastAsia="es-CR"/>
              </w:rPr>
            </w:pPr>
            <w:r w:rsidRPr="004E74A6">
              <w:rPr>
                <w:rFonts w:cs="Calibri"/>
                <w:color w:val="000000"/>
                <w:sz w:val="20"/>
                <w:lang w:eastAsia="es-CR"/>
              </w:rPr>
              <w:t>8</w:t>
            </w:r>
          </w:p>
        </w:tc>
        <w:tc>
          <w:tcPr>
            <w:tcW w:w="800" w:type="pct"/>
            <w:tcBorders>
              <w:left w:val="single" w:sz="4" w:space="0" w:color="auto"/>
            </w:tcBorders>
            <w:shd w:val="clear" w:color="auto" w:fill="auto"/>
            <w:noWrap/>
            <w:vAlign w:val="center"/>
            <w:hideMark/>
          </w:tcPr>
          <w:p w14:paraId="490059C2" w14:textId="6BA3F828" w:rsidR="00D31F3D" w:rsidRPr="004E74A6" w:rsidRDefault="00D31F3D" w:rsidP="00CE62C1">
            <w:pPr>
              <w:spacing w:line="276" w:lineRule="auto"/>
              <w:jc w:val="center"/>
              <w:rPr>
                <w:rFonts w:cs="Calibri"/>
                <w:color w:val="000000"/>
                <w:sz w:val="20"/>
                <w:lang w:eastAsia="es-CR"/>
              </w:rPr>
            </w:pPr>
            <w:r w:rsidRPr="004E74A6">
              <w:rPr>
                <w:rFonts w:cs="Calibri"/>
                <w:color w:val="000000"/>
                <w:sz w:val="20"/>
              </w:rPr>
              <w:t>7</w:t>
            </w:r>
            <w:r w:rsidR="00DE6E30" w:rsidRPr="004E74A6">
              <w:rPr>
                <w:rFonts w:cs="Calibri"/>
                <w:color w:val="000000"/>
                <w:sz w:val="20"/>
              </w:rPr>
              <w:t>,3</w:t>
            </w:r>
          </w:p>
        </w:tc>
      </w:tr>
      <w:tr w:rsidR="00D31F3D" w:rsidRPr="004E74A6" w14:paraId="3033C21E" w14:textId="77777777" w:rsidTr="00D31F3D">
        <w:trPr>
          <w:trHeight w:val="288"/>
          <w:jc w:val="center"/>
        </w:trPr>
        <w:tc>
          <w:tcPr>
            <w:tcW w:w="2401" w:type="pct"/>
            <w:tcBorders>
              <w:right w:val="single" w:sz="4" w:space="0" w:color="auto"/>
            </w:tcBorders>
            <w:shd w:val="clear" w:color="auto" w:fill="auto"/>
            <w:noWrap/>
            <w:vAlign w:val="bottom"/>
            <w:hideMark/>
          </w:tcPr>
          <w:p w14:paraId="2CFD4A99" w14:textId="77777777" w:rsidR="00D31F3D" w:rsidRPr="004E74A6" w:rsidRDefault="00D31F3D" w:rsidP="00CE62C1">
            <w:pPr>
              <w:spacing w:line="276" w:lineRule="auto"/>
              <w:ind w:firstLineChars="100" w:firstLine="200"/>
              <w:jc w:val="left"/>
              <w:rPr>
                <w:rFonts w:cs="Calibri"/>
                <w:color w:val="000000"/>
                <w:sz w:val="20"/>
                <w:lang w:eastAsia="es-CR"/>
              </w:rPr>
            </w:pPr>
            <w:r w:rsidRPr="004E74A6">
              <w:rPr>
                <w:rFonts w:cs="Calibri"/>
                <w:color w:val="000000"/>
                <w:sz w:val="20"/>
                <w:lang w:eastAsia="es-CR"/>
              </w:rPr>
              <w:t>Procesos Otras Materias</w:t>
            </w:r>
          </w:p>
        </w:tc>
        <w:tc>
          <w:tcPr>
            <w:tcW w:w="599" w:type="pct"/>
            <w:tcBorders>
              <w:left w:val="single" w:sz="4" w:space="0" w:color="auto"/>
              <w:right w:val="single" w:sz="4" w:space="0" w:color="auto"/>
            </w:tcBorders>
            <w:shd w:val="clear" w:color="auto" w:fill="auto"/>
            <w:noWrap/>
            <w:vAlign w:val="center"/>
            <w:hideMark/>
          </w:tcPr>
          <w:p w14:paraId="0C23A022" w14:textId="77777777" w:rsidR="00D31F3D" w:rsidRPr="004E74A6" w:rsidRDefault="00D31F3D" w:rsidP="00CE62C1">
            <w:pPr>
              <w:spacing w:line="276" w:lineRule="auto"/>
              <w:jc w:val="center"/>
              <w:rPr>
                <w:rFonts w:cs="Calibri"/>
                <w:color w:val="000000"/>
                <w:sz w:val="20"/>
                <w:lang w:eastAsia="es-CR"/>
              </w:rPr>
            </w:pPr>
            <w:r w:rsidRPr="004E74A6">
              <w:rPr>
                <w:rFonts w:cs="Calibri"/>
                <w:color w:val="000000"/>
                <w:sz w:val="20"/>
                <w:lang w:eastAsia="es-CR"/>
              </w:rPr>
              <w:t>10</w:t>
            </w:r>
          </w:p>
        </w:tc>
        <w:tc>
          <w:tcPr>
            <w:tcW w:w="600" w:type="pct"/>
            <w:tcBorders>
              <w:left w:val="single" w:sz="4" w:space="0" w:color="auto"/>
              <w:right w:val="single" w:sz="4" w:space="0" w:color="auto"/>
            </w:tcBorders>
            <w:shd w:val="clear" w:color="auto" w:fill="auto"/>
            <w:noWrap/>
            <w:vAlign w:val="center"/>
            <w:hideMark/>
          </w:tcPr>
          <w:p w14:paraId="4DC2F5F1" w14:textId="77777777" w:rsidR="00D31F3D" w:rsidRPr="004E74A6" w:rsidRDefault="00D31F3D" w:rsidP="00CE62C1">
            <w:pPr>
              <w:spacing w:line="276" w:lineRule="auto"/>
              <w:jc w:val="center"/>
              <w:rPr>
                <w:rFonts w:cs="Calibri"/>
                <w:color w:val="000000"/>
                <w:sz w:val="20"/>
                <w:lang w:eastAsia="es-CR"/>
              </w:rPr>
            </w:pPr>
            <w:r w:rsidRPr="004E74A6">
              <w:rPr>
                <w:rFonts w:cs="Calibri"/>
                <w:color w:val="000000"/>
                <w:sz w:val="20"/>
                <w:lang w:eastAsia="es-CR"/>
              </w:rPr>
              <w:t>4</w:t>
            </w:r>
          </w:p>
        </w:tc>
        <w:tc>
          <w:tcPr>
            <w:tcW w:w="600" w:type="pct"/>
            <w:tcBorders>
              <w:left w:val="single" w:sz="4" w:space="0" w:color="auto"/>
              <w:right w:val="single" w:sz="4" w:space="0" w:color="auto"/>
            </w:tcBorders>
            <w:shd w:val="clear" w:color="auto" w:fill="auto"/>
            <w:noWrap/>
            <w:vAlign w:val="center"/>
            <w:hideMark/>
          </w:tcPr>
          <w:p w14:paraId="4B62043A" w14:textId="77777777" w:rsidR="00D31F3D" w:rsidRPr="004E74A6" w:rsidRDefault="00D31F3D" w:rsidP="00CE62C1">
            <w:pPr>
              <w:spacing w:line="276" w:lineRule="auto"/>
              <w:jc w:val="center"/>
              <w:rPr>
                <w:rFonts w:cs="Calibri"/>
                <w:color w:val="000000"/>
                <w:sz w:val="20"/>
                <w:lang w:eastAsia="es-CR"/>
              </w:rPr>
            </w:pPr>
            <w:r w:rsidRPr="004E74A6">
              <w:rPr>
                <w:rFonts w:cs="Calibri"/>
                <w:color w:val="000000"/>
                <w:sz w:val="20"/>
                <w:lang w:eastAsia="es-CR"/>
              </w:rPr>
              <w:t>4</w:t>
            </w:r>
          </w:p>
        </w:tc>
        <w:tc>
          <w:tcPr>
            <w:tcW w:w="800" w:type="pct"/>
            <w:tcBorders>
              <w:left w:val="single" w:sz="4" w:space="0" w:color="auto"/>
            </w:tcBorders>
            <w:shd w:val="clear" w:color="auto" w:fill="auto"/>
            <w:noWrap/>
            <w:vAlign w:val="center"/>
            <w:hideMark/>
          </w:tcPr>
          <w:p w14:paraId="0A491192" w14:textId="5A617A55" w:rsidR="00D31F3D" w:rsidRPr="004E74A6" w:rsidRDefault="00D31F3D" w:rsidP="00CE62C1">
            <w:pPr>
              <w:spacing w:line="276" w:lineRule="auto"/>
              <w:jc w:val="center"/>
              <w:rPr>
                <w:rFonts w:cs="Calibri"/>
                <w:color w:val="000000"/>
                <w:sz w:val="20"/>
                <w:lang w:eastAsia="es-CR"/>
              </w:rPr>
            </w:pPr>
            <w:r w:rsidRPr="004E74A6">
              <w:rPr>
                <w:rFonts w:cs="Calibri"/>
                <w:color w:val="000000"/>
                <w:sz w:val="20"/>
              </w:rPr>
              <w:t>6</w:t>
            </w:r>
          </w:p>
        </w:tc>
      </w:tr>
      <w:tr w:rsidR="00D31F3D" w:rsidRPr="004E74A6" w14:paraId="00563AD7" w14:textId="77777777" w:rsidTr="00D31F3D">
        <w:trPr>
          <w:trHeight w:val="288"/>
          <w:jc w:val="center"/>
        </w:trPr>
        <w:tc>
          <w:tcPr>
            <w:tcW w:w="2401" w:type="pct"/>
            <w:tcBorders>
              <w:right w:val="single" w:sz="4" w:space="0" w:color="auto"/>
            </w:tcBorders>
            <w:shd w:val="clear" w:color="auto" w:fill="auto"/>
            <w:noWrap/>
            <w:vAlign w:val="bottom"/>
            <w:hideMark/>
          </w:tcPr>
          <w:p w14:paraId="4CAAB597" w14:textId="77777777" w:rsidR="00D31F3D" w:rsidRPr="004E74A6" w:rsidRDefault="00D31F3D" w:rsidP="00CE62C1">
            <w:pPr>
              <w:spacing w:line="276" w:lineRule="auto"/>
              <w:ind w:firstLineChars="100" w:firstLine="200"/>
              <w:jc w:val="left"/>
              <w:rPr>
                <w:rFonts w:cs="Calibri"/>
                <w:color w:val="000000"/>
                <w:sz w:val="20"/>
                <w:lang w:eastAsia="es-CR"/>
              </w:rPr>
            </w:pPr>
            <w:r w:rsidRPr="004E74A6">
              <w:rPr>
                <w:rFonts w:cs="Calibri"/>
                <w:color w:val="000000"/>
                <w:sz w:val="20"/>
                <w:lang w:eastAsia="es-CR"/>
              </w:rPr>
              <w:t>Prueba Anticipada</w:t>
            </w:r>
          </w:p>
        </w:tc>
        <w:tc>
          <w:tcPr>
            <w:tcW w:w="599" w:type="pct"/>
            <w:tcBorders>
              <w:left w:val="single" w:sz="4" w:space="0" w:color="auto"/>
              <w:right w:val="single" w:sz="4" w:space="0" w:color="auto"/>
            </w:tcBorders>
            <w:shd w:val="clear" w:color="auto" w:fill="auto"/>
            <w:noWrap/>
            <w:vAlign w:val="center"/>
            <w:hideMark/>
          </w:tcPr>
          <w:p w14:paraId="4C0540A4" w14:textId="77777777" w:rsidR="00D31F3D" w:rsidRPr="004E74A6" w:rsidRDefault="00D31F3D" w:rsidP="00CE62C1">
            <w:pPr>
              <w:spacing w:line="276" w:lineRule="auto"/>
              <w:jc w:val="center"/>
              <w:rPr>
                <w:rFonts w:cs="Calibri"/>
                <w:color w:val="000000"/>
                <w:sz w:val="20"/>
                <w:lang w:eastAsia="es-CR"/>
              </w:rPr>
            </w:pPr>
            <w:r w:rsidRPr="004E74A6">
              <w:rPr>
                <w:rFonts w:cs="Calibri"/>
                <w:color w:val="000000"/>
                <w:sz w:val="20"/>
                <w:lang w:eastAsia="es-CR"/>
              </w:rPr>
              <w:t>31</w:t>
            </w:r>
          </w:p>
        </w:tc>
        <w:tc>
          <w:tcPr>
            <w:tcW w:w="600" w:type="pct"/>
            <w:tcBorders>
              <w:left w:val="single" w:sz="4" w:space="0" w:color="auto"/>
              <w:right w:val="single" w:sz="4" w:space="0" w:color="auto"/>
            </w:tcBorders>
            <w:shd w:val="clear" w:color="auto" w:fill="auto"/>
            <w:noWrap/>
            <w:vAlign w:val="center"/>
            <w:hideMark/>
          </w:tcPr>
          <w:p w14:paraId="008DA4CE" w14:textId="77777777" w:rsidR="00D31F3D" w:rsidRPr="004E74A6" w:rsidRDefault="00D31F3D" w:rsidP="00CE62C1">
            <w:pPr>
              <w:spacing w:line="276" w:lineRule="auto"/>
              <w:jc w:val="center"/>
              <w:rPr>
                <w:rFonts w:cs="Calibri"/>
                <w:color w:val="000000"/>
                <w:sz w:val="20"/>
                <w:lang w:eastAsia="es-CR"/>
              </w:rPr>
            </w:pPr>
            <w:r w:rsidRPr="004E74A6">
              <w:rPr>
                <w:rFonts w:cs="Calibri"/>
                <w:color w:val="000000"/>
                <w:sz w:val="20"/>
                <w:lang w:eastAsia="es-CR"/>
              </w:rPr>
              <w:t>22</w:t>
            </w:r>
          </w:p>
        </w:tc>
        <w:tc>
          <w:tcPr>
            <w:tcW w:w="600" w:type="pct"/>
            <w:tcBorders>
              <w:left w:val="single" w:sz="4" w:space="0" w:color="auto"/>
              <w:right w:val="single" w:sz="4" w:space="0" w:color="auto"/>
            </w:tcBorders>
            <w:shd w:val="clear" w:color="auto" w:fill="auto"/>
            <w:noWrap/>
            <w:vAlign w:val="center"/>
            <w:hideMark/>
          </w:tcPr>
          <w:p w14:paraId="54F8226A" w14:textId="77777777" w:rsidR="00D31F3D" w:rsidRPr="004E74A6" w:rsidRDefault="00D31F3D" w:rsidP="00CE62C1">
            <w:pPr>
              <w:spacing w:line="276" w:lineRule="auto"/>
              <w:jc w:val="center"/>
              <w:rPr>
                <w:rFonts w:cs="Calibri"/>
                <w:color w:val="000000"/>
                <w:sz w:val="20"/>
                <w:lang w:eastAsia="es-CR"/>
              </w:rPr>
            </w:pPr>
            <w:r w:rsidRPr="004E74A6">
              <w:rPr>
                <w:rFonts w:cs="Calibri"/>
                <w:color w:val="000000"/>
                <w:sz w:val="20"/>
                <w:lang w:eastAsia="es-CR"/>
              </w:rPr>
              <w:t>17</w:t>
            </w:r>
          </w:p>
        </w:tc>
        <w:tc>
          <w:tcPr>
            <w:tcW w:w="800" w:type="pct"/>
            <w:tcBorders>
              <w:left w:val="single" w:sz="4" w:space="0" w:color="auto"/>
            </w:tcBorders>
            <w:shd w:val="clear" w:color="auto" w:fill="auto"/>
            <w:noWrap/>
            <w:vAlign w:val="center"/>
            <w:hideMark/>
          </w:tcPr>
          <w:p w14:paraId="4E4D2376" w14:textId="358BD2E9" w:rsidR="00D31F3D" w:rsidRPr="004E74A6" w:rsidRDefault="00D31F3D" w:rsidP="00CE62C1">
            <w:pPr>
              <w:spacing w:line="276" w:lineRule="auto"/>
              <w:jc w:val="center"/>
              <w:rPr>
                <w:rFonts w:cs="Calibri"/>
                <w:color w:val="000000"/>
                <w:sz w:val="20"/>
                <w:lang w:eastAsia="es-CR"/>
              </w:rPr>
            </w:pPr>
            <w:r w:rsidRPr="004E74A6">
              <w:rPr>
                <w:rFonts w:cs="Calibri"/>
                <w:color w:val="000000"/>
                <w:sz w:val="20"/>
              </w:rPr>
              <w:t>23</w:t>
            </w:r>
          </w:p>
        </w:tc>
      </w:tr>
      <w:tr w:rsidR="00D31F3D" w:rsidRPr="004E74A6" w14:paraId="5C3EBC14" w14:textId="77777777" w:rsidTr="00D31F3D">
        <w:trPr>
          <w:trHeight w:val="288"/>
          <w:jc w:val="center"/>
        </w:trPr>
        <w:tc>
          <w:tcPr>
            <w:tcW w:w="2401" w:type="pct"/>
            <w:tcBorders>
              <w:right w:val="single" w:sz="4" w:space="0" w:color="auto"/>
            </w:tcBorders>
            <w:shd w:val="clear" w:color="auto" w:fill="auto"/>
            <w:noWrap/>
            <w:vAlign w:val="bottom"/>
            <w:hideMark/>
          </w:tcPr>
          <w:p w14:paraId="071BFCD6" w14:textId="77777777" w:rsidR="00D31F3D" w:rsidRPr="004E74A6" w:rsidRDefault="00D31F3D" w:rsidP="00CE62C1">
            <w:pPr>
              <w:spacing w:line="276" w:lineRule="auto"/>
              <w:ind w:firstLineChars="100" w:firstLine="200"/>
              <w:jc w:val="left"/>
              <w:rPr>
                <w:rFonts w:cs="Calibri"/>
                <w:color w:val="000000"/>
                <w:sz w:val="20"/>
                <w:lang w:eastAsia="es-CR"/>
              </w:rPr>
            </w:pPr>
            <w:r w:rsidRPr="004E74A6">
              <w:rPr>
                <w:rFonts w:cs="Calibri"/>
                <w:color w:val="000000"/>
                <w:sz w:val="20"/>
                <w:lang w:eastAsia="es-CR"/>
              </w:rPr>
              <w:t>Pruebas Anticipadas Mixtas</w:t>
            </w:r>
          </w:p>
        </w:tc>
        <w:tc>
          <w:tcPr>
            <w:tcW w:w="599" w:type="pct"/>
            <w:tcBorders>
              <w:left w:val="single" w:sz="4" w:space="0" w:color="auto"/>
              <w:right w:val="single" w:sz="4" w:space="0" w:color="auto"/>
            </w:tcBorders>
            <w:shd w:val="clear" w:color="auto" w:fill="auto"/>
            <w:noWrap/>
            <w:vAlign w:val="center"/>
            <w:hideMark/>
          </w:tcPr>
          <w:p w14:paraId="57BF5018" w14:textId="77777777" w:rsidR="00D31F3D" w:rsidRPr="004E74A6" w:rsidRDefault="00D31F3D" w:rsidP="00CE62C1">
            <w:pPr>
              <w:spacing w:line="276" w:lineRule="auto"/>
              <w:jc w:val="center"/>
              <w:rPr>
                <w:rFonts w:cs="Calibri"/>
                <w:color w:val="000000"/>
                <w:sz w:val="20"/>
                <w:lang w:eastAsia="es-CR"/>
              </w:rPr>
            </w:pPr>
            <w:r w:rsidRPr="004E74A6">
              <w:rPr>
                <w:rFonts w:cs="Calibri"/>
                <w:color w:val="000000"/>
                <w:sz w:val="20"/>
                <w:lang w:eastAsia="es-CR"/>
              </w:rPr>
              <w:t>1</w:t>
            </w:r>
          </w:p>
        </w:tc>
        <w:tc>
          <w:tcPr>
            <w:tcW w:w="600" w:type="pct"/>
            <w:tcBorders>
              <w:left w:val="single" w:sz="4" w:space="0" w:color="auto"/>
              <w:right w:val="single" w:sz="4" w:space="0" w:color="auto"/>
            </w:tcBorders>
            <w:shd w:val="clear" w:color="auto" w:fill="auto"/>
            <w:noWrap/>
            <w:vAlign w:val="center"/>
            <w:hideMark/>
          </w:tcPr>
          <w:p w14:paraId="61709355" w14:textId="722D2704" w:rsidR="00D31F3D" w:rsidRPr="004E74A6" w:rsidRDefault="00DE6E30" w:rsidP="00CE62C1">
            <w:pPr>
              <w:spacing w:line="276" w:lineRule="auto"/>
              <w:jc w:val="center"/>
              <w:rPr>
                <w:rFonts w:cs="Calibri"/>
                <w:color w:val="000000"/>
                <w:sz w:val="20"/>
                <w:lang w:eastAsia="es-CR"/>
              </w:rPr>
            </w:pPr>
            <w:r w:rsidRPr="004E74A6">
              <w:rPr>
                <w:rFonts w:cs="Calibri"/>
                <w:color w:val="000000"/>
                <w:sz w:val="20"/>
                <w:lang w:eastAsia="es-CR"/>
              </w:rPr>
              <w:t>0</w:t>
            </w:r>
          </w:p>
        </w:tc>
        <w:tc>
          <w:tcPr>
            <w:tcW w:w="600" w:type="pct"/>
            <w:tcBorders>
              <w:left w:val="single" w:sz="4" w:space="0" w:color="auto"/>
              <w:right w:val="single" w:sz="4" w:space="0" w:color="auto"/>
            </w:tcBorders>
            <w:shd w:val="clear" w:color="auto" w:fill="auto"/>
            <w:noWrap/>
            <w:vAlign w:val="center"/>
            <w:hideMark/>
          </w:tcPr>
          <w:p w14:paraId="36D100A4" w14:textId="77777777" w:rsidR="00D31F3D" w:rsidRPr="004E74A6" w:rsidRDefault="00D31F3D" w:rsidP="00CE62C1">
            <w:pPr>
              <w:spacing w:line="276" w:lineRule="auto"/>
              <w:jc w:val="center"/>
              <w:rPr>
                <w:rFonts w:cs="Calibri"/>
                <w:color w:val="000000"/>
                <w:sz w:val="20"/>
                <w:lang w:eastAsia="es-CR"/>
              </w:rPr>
            </w:pPr>
            <w:r w:rsidRPr="004E74A6">
              <w:rPr>
                <w:rFonts w:cs="Calibri"/>
                <w:color w:val="000000"/>
                <w:sz w:val="20"/>
                <w:lang w:eastAsia="es-CR"/>
              </w:rPr>
              <w:t>1</w:t>
            </w:r>
          </w:p>
        </w:tc>
        <w:tc>
          <w:tcPr>
            <w:tcW w:w="800" w:type="pct"/>
            <w:tcBorders>
              <w:left w:val="single" w:sz="4" w:space="0" w:color="auto"/>
            </w:tcBorders>
            <w:shd w:val="clear" w:color="auto" w:fill="auto"/>
            <w:noWrap/>
            <w:vAlign w:val="center"/>
            <w:hideMark/>
          </w:tcPr>
          <w:p w14:paraId="0B12687A" w14:textId="7F744862" w:rsidR="00D31F3D" w:rsidRPr="004E74A6" w:rsidRDefault="00DE6E30" w:rsidP="00CE62C1">
            <w:pPr>
              <w:spacing w:line="276" w:lineRule="auto"/>
              <w:jc w:val="center"/>
              <w:rPr>
                <w:rFonts w:cs="Calibri"/>
                <w:color w:val="000000"/>
                <w:sz w:val="20"/>
                <w:lang w:eastAsia="es-CR"/>
              </w:rPr>
            </w:pPr>
            <w:r w:rsidRPr="004E74A6">
              <w:rPr>
                <w:rFonts w:cs="Calibri"/>
                <w:color w:val="000000"/>
                <w:sz w:val="20"/>
              </w:rPr>
              <w:t>0,7</w:t>
            </w:r>
          </w:p>
        </w:tc>
      </w:tr>
      <w:tr w:rsidR="00D31F3D" w:rsidRPr="004E74A6" w14:paraId="774537A9" w14:textId="77777777" w:rsidTr="00D31F3D">
        <w:trPr>
          <w:trHeight w:val="288"/>
          <w:jc w:val="center"/>
        </w:trPr>
        <w:tc>
          <w:tcPr>
            <w:tcW w:w="2401" w:type="pct"/>
            <w:tcBorders>
              <w:right w:val="single" w:sz="4" w:space="0" w:color="auto"/>
            </w:tcBorders>
            <w:shd w:val="clear" w:color="auto" w:fill="auto"/>
            <w:noWrap/>
            <w:vAlign w:val="bottom"/>
            <w:hideMark/>
          </w:tcPr>
          <w:p w14:paraId="6DC22819" w14:textId="77777777" w:rsidR="00D31F3D" w:rsidRPr="004E74A6" w:rsidRDefault="00D31F3D" w:rsidP="00CE62C1">
            <w:pPr>
              <w:spacing w:line="276" w:lineRule="auto"/>
              <w:ind w:firstLineChars="100" w:firstLine="200"/>
              <w:jc w:val="left"/>
              <w:rPr>
                <w:rFonts w:cs="Calibri"/>
                <w:color w:val="000000"/>
                <w:sz w:val="20"/>
                <w:lang w:eastAsia="es-CR"/>
              </w:rPr>
            </w:pPr>
            <w:r w:rsidRPr="004E74A6">
              <w:rPr>
                <w:rFonts w:cs="Calibri"/>
                <w:color w:val="000000"/>
                <w:sz w:val="20"/>
                <w:lang w:eastAsia="es-CR"/>
              </w:rPr>
              <w:t>Sumario</w:t>
            </w:r>
          </w:p>
        </w:tc>
        <w:tc>
          <w:tcPr>
            <w:tcW w:w="599" w:type="pct"/>
            <w:tcBorders>
              <w:left w:val="single" w:sz="4" w:space="0" w:color="auto"/>
              <w:right w:val="single" w:sz="4" w:space="0" w:color="auto"/>
            </w:tcBorders>
            <w:shd w:val="clear" w:color="auto" w:fill="auto"/>
            <w:noWrap/>
            <w:vAlign w:val="center"/>
            <w:hideMark/>
          </w:tcPr>
          <w:p w14:paraId="4C89494F" w14:textId="77777777" w:rsidR="00D31F3D" w:rsidRPr="004E74A6" w:rsidRDefault="00D31F3D" w:rsidP="00CE62C1">
            <w:pPr>
              <w:spacing w:line="276" w:lineRule="auto"/>
              <w:jc w:val="center"/>
              <w:rPr>
                <w:rFonts w:cs="Calibri"/>
                <w:color w:val="000000"/>
                <w:sz w:val="20"/>
                <w:lang w:eastAsia="es-CR"/>
              </w:rPr>
            </w:pPr>
            <w:r w:rsidRPr="004E74A6">
              <w:rPr>
                <w:rFonts w:cs="Calibri"/>
                <w:color w:val="000000"/>
                <w:sz w:val="20"/>
                <w:lang w:eastAsia="es-CR"/>
              </w:rPr>
              <w:t>2</w:t>
            </w:r>
          </w:p>
        </w:tc>
        <w:tc>
          <w:tcPr>
            <w:tcW w:w="600" w:type="pct"/>
            <w:tcBorders>
              <w:left w:val="single" w:sz="4" w:space="0" w:color="auto"/>
              <w:right w:val="single" w:sz="4" w:space="0" w:color="auto"/>
            </w:tcBorders>
            <w:shd w:val="clear" w:color="auto" w:fill="auto"/>
            <w:noWrap/>
            <w:vAlign w:val="center"/>
            <w:hideMark/>
          </w:tcPr>
          <w:p w14:paraId="49CE29D9" w14:textId="77777777" w:rsidR="00D31F3D" w:rsidRPr="004E74A6" w:rsidRDefault="00D31F3D" w:rsidP="00CE62C1">
            <w:pPr>
              <w:spacing w:line="276" w:lineRule="auto"/>
              <w:jc w:val="center"/>
              <w:rPr>
                <w:rFonts w:cs="Calibri"/>
                <w:color w:val="000000"/>
                <w:sz w:val="20"/>
                <w:lang w:eastAsia="es-CR"/>
              </w:rPr>
            </w:pPr>
            <w:r w:rsidRPr="004E74A6">
              <w:rPr>
                <w:rFonts w:cs="Calibri"/>
                <w:color w:val="000000"/>
                <w:sz w:val="20"/>
                <w:lang w:eastAsia="es-CR"/>
              </w:rPr>
              <w:t>2</w:t>
            </w:r>
          </w:p>
        </w:tc>
        <w:tc>
          <w:tcPr>
            <w:tcW w:w="600" w:type="pct"/>
            <w:tcBorders>
              <w:left w:val="single" w:sz="4" w:space="0" w:color="auto"/>
              <w:right w:val="single" w:sz="4" w:space="0" w:color="auto"/>
            </w:tcBorders>
            <w:shd w:val="clear" w:color="auto" w:fill="auto"/>
            <w:noWrap/>
            <w:vAlign w:val="center"/>
            <w:hideMark/>
          </w:tcPr>
          <w:p w14:paraId="052854FC" w14:textId="493EACB7" w:rsidR="00D31F3D" w:rsidRPr="004E74A6" w:rsidRDefault="00DE6E30" w:rsidP="00CE62C1">
            <w:pPr>
              <w:spacing w:line="276" w:lineRule="auto"/>
              <w:jc w:val="center"/>
              <w:rPr>
                <w:rFonts w:cs="Calibri"/>
                <w:color w:val="000000"/>
                <w:sz w:val="20"/>
                <w:lang w:eastAsia="es-CR"/>
              </w:rPr>
            </w:pPr>
            <w:r w:rsidRPr="004E74A6">
              <w:rPr>
                <w:rFonts w:cs="Calibri"/>
                <w:color w:val="000000"/>
                <w:sz w:val="20"/>
                <w:lang w:eastAsia="es-CR"/>
              </w:rPr>
              <w:t>0</w:t>
            </w:r>
          </w:p>
        </w:tc>
        <w:tc>
          <w:tcPr>
            <w:tcW w:w="800" w:type="pct"/>
            <w:tcBorders>
              <w:left w:val="single" w:sz="4" w:space="0" w:color="auto"/>
            </w:tcBorders>
            <w:shd w:val="clear" w:color="auto" w:fill="auto"/>
            <w:noWrap/>
            <w:vAlign w:val="center"/>
            <w:hideMark/>
          </w:tcPr>
          <w:p w14:paraId="7750F147" w14:textId="792B7BBF" w:rsidR="00D31F3D" w:rsidRPr="004E74A6" w:rsidRDefault="00DE6E30" w:rsidP="00CE62C1">
            <w:pPr>
              <w:spacing w:line="276" w:lineRule="auto"/>
              <w:jc w:val="center"/>
              <w:rPr>
                <w:rFonts w:cs="Calibri"/>
                <w:color w:val="000000"/>
                <w:sz w:val="20"/>
                <w:lang w:eastAsia="es-CR"/>
              </w:rPr>
            </w:pPr>
            <w:r w:rsidRPr="004E74A6">
              <w:rPr>
                <w:rFonts w:cs="Calibri"/>
                <w:color w:val="000000"/>
                <w:sz w:val="20"/>
              </w:rPr>
              <w:t>1,3</w:t>
            </w:r>
          </w:p>
        </w:tc>
      </w:tr>
      <w:tr w:rsidR="00D31F3D" w:rsidRPr="004E74A6" w14:paraId="5F437A0B" w14:textId="77777777" w:rsidTr="00D31F3D">
        <w:trPr>
          <w:trHeight w:val="288"/>
          <w:jc w:val="center"/>
        </w:trPr>
        <w:tc>
          <w:tcPr>
            <w:tcW w:w="2401" w:type="pct"/>
            <w:tcBorders>
              <w:bottom w:val="single" w:sz="4" w:space="0" w:color="auto"/>
              <w:right w:val="single" w:sz="4" w:space="0" w:color="auto"/>
            </w:tcBorders>
            <w:shd w:val="clear" w:color="auto" w:fill="auto"/>
            <w:noWrap/>
            <w:vAlign w:val="bottom"/>
          </w:tcPr>
          <w:p w14:paraId="35754CCD" w14:textId="77777777" w:rsidR="008647ED" w:rsidRPr="004E74A6" w:rsidRDefault="008647ED" w:rsidP="00CE62C1">
            <w:pPr>
              <w:spacing w:line="276" w:lineRule="auto"/>
              <w:ind w:firstLineChars="100" w:firstLine="200"/>
              <w:jc w:val="left"/>
              <w:rPr>
                <w:rFonts w:cs="Calibri"/>
                <w:color w:val="000000"/>
                <w:sz w:val="20"/>
                <w:lang w:eastAsia="es-CR"/>
              </w:rPr>
            </w:pPr>
          </w:p>
        </w:tc>
        <w:tc>
          <w:tcPr>
            <w:tcW w:w="599" w:type="pct"/>
            <w:tcBorders>
              <w:left w:val="single" w:sz="4" w:space="0" w:color="auto"/>
              <w:bottom w:val="single" w:sz="4" w:space="0" w:color="auto"/>
              <w:right w:val="single" w:sz="4" w:space="0" w:color="auto"/>
            </w:tcBorders>
            <w:shd w:val="clear" w:color="auto" w:fill="auto"/>
            <w:noWrap/>
            <w:vAlign w:val="center"/>
          </w:tcPr>
          <w:p w14:paraId="7010186E" w14:textId="77777777" w:rsidR="008647ED" w:rsidRPr="004E74A6" w:rsidRDefault="008647ED" w:rsidP="00CE62C1">
            <w:pPr>
              <w:spacing w:line="276" w:lineRule="auto"/>
              <w:jc w:val="center"/>
              <w:rPr>
                <w:rFonts w:cs="Calibri"/>
                <w:color w:val="000000"/>
                <w:sz w:val="20"/>
                <w:lang w:eastAsia="es-CR"/>
              </w:rPr>
            </w:pPr>
          </w:p>
        </w:tc>
        <w:tc>
          <w:tcPr>
            <w:tcW w:w="600" w:type="pct"/>
            <w:tcBorders>
              <w:left w:val="single" w:sz="4" w:space="0" w:color="auto"/>
              <w:bottom w:val="single" w:sz="4" w:space="0" w:color="auto"/>
              <w:right w:val="single" w:sz="4" w:space="0" w:color="auto"/>
            </w:tcBorders>
            <w:shd w:val="clear" w:color="auto" w:fill="auto"/>
            <w:noWrap/>
            <w:vAlign w:val="center"/>
          </w:tcPr>
          <w:p w14:paraId="34862A80" w14:textId="77777777" w:rsidR="008647ED" w:rsidRPr="004E74A6" w:rsidRDefault="008647ED" w:rsidP="00CE62C1">
            <w:pPr>
              <w:spacing w:line="276" w:lineRule="auto"/>
              <w:jc w:val="center"/>
              <w:rPr>
                <w:rFonts w:cs="Calibri"/>
                <w:color w:val="000000"/>
                <w:sz w:val="20"/>
                <w:lang w:eastAsia="es-CR"/>
              </w:rPr>
            </w:pPr>
          </w:p>
        </w:tc>
        <w:tc>
          <w:tcPr>
            <w:tcW w:w="600" w:type="pct"/>
            <w:tcBorders>
              <w:left w:val="single" w:sz="4" w:space="0" w:color="auto"/>
              <w:bottom w:val="single" w:sz="4" w:space="0" w:color="auto"/>
              <w:right w:val="single" w:sz="4" w:space="0" w:color="auto"/>
            </w:tcBorders>
            <w:shd w:val="clear" w:color="auto" w:fill="auto"/>
            <w:noWrap/>
            <w:vAlign w:val="center"/>
          </w:tcPr>
          <w:p w14:paraId="1A1931C4" w14:textId="77777777" w:rsidR="008647ED" w:rsidRPr="004E74A6" w:rsidRDefault="008647ED" w:rsidP="00CE62C1">
            <w:pPr>
              <w:spacing w:line="276" w:lineRule="auto"/>
              <w:jc w:val="center"/>
              <w:rPr>
                <w:rFonts w:cs="Calibri"/>
                <w:color w:val="000000"/>
                <w:sz w:val="20"/>
                <w:lang w:eastAsia="es-CR"/>
              </w:rPr>
            </w:pPr>
          </w:p>
        </w:tc>
        <w:tc>
          <w:tcPr>
            <w:tcW w:w="800" w:type="pct"/>
            <w:tcBorders>
              <w:left w:val="single" w:sz="4" w:space="0" w:color="auto"/>
              <w:bottom w:val="single" w:sz="4" w:space="0" w:color="auto"/>
            </w:tcBorders>
            <w:shd w:val="clear" w:color="auto" w:fill="auto"/>
            <w:noWrap/>
            <w:vAlign w:val="center"/>
          </w:tcPr>
          <w:p w14:paraId="5396E7B2" w14:textId="77777777" w:rsidR="008647ED" w:rsidRPr="004E74A6" w:rsidRDefault="008647ED" w:rsidP="00CE62C1">
            <w:pPr>
              <w:spacing w:line="276" w:lineRule="auto"/>
              <w:jc w:val="center"/>
              <w:rPr>
                <w:rFonts w:cs="Calibri"/>
                <w:color w:val="000000"/>
                <w:sz w:val="20"/>
                <w:lang w:eastAsia="es-CR"/>
              </w:rPr>
            </w:pPr>
          </w:p>
        </w:tc>
      </w:tr>
    </w:tbl>
    <w:p w14:paraId="489BFB17" w14:textId="77777777" w:rsidR="003E4755" w:rsidRPr="004E74A6" w:rsidRDefault="003E4755" w:rsidP="00832773">
      <w:pPr>
        <w:spacing w:line="276" w:lineRule="auto"/>
        <w:ind w:left="907" w:right="964"/>
        <w:rPr>
          <w:rFonts w:cs="Calibri"/>
          <w:i/>
          <w:iCs/>
          <w:color w:val="000000"/>
          <w:sz w:val="20"/>
          <w:lang w:eastAsia="es-CR"/>
        </w:rPr>
      </w:pPr>
      <w:r w:rsidRPr="004E74A6">
        <w:rPr>
          <w:rFonts w:cs="Calibri"/>
          <w:i/>
          <w:iCs/>
          <w:color w:val="000000"/>
          <w:sz w:val="20"/>
          <w:lang w:eastAsia="es-CR"/>
        </w:rPr>
        <w:t>Fuente: Subproceso de Modernización Institucional con datos extraídos del sistema SIGMA, Dirección de Planificación.</w:t>
      </w:r>
    </w:p>
    <w:p w14:paraId="6C42992D" w14:textId="613C0FFF" w:rsidR="00D31F3D" w:rsidRPr="004E74A6" w:rsidRDefault="00D31F3D" w:rsidP="00832773">
      <w:pPr>
        <w:spacing w:line="276" w:lineRule="auto"/>
        <w:rPr>
          <w:rFonts w:cs="Calibri"/>
          <w:i/>
          <w:iCs/>
          <w:color w:val="000000"/>
          <w:sz w:val="20"/>
          <w:lang w:eastAsia="es-CR"/>
        </w:rPr>
      </w:pPr>
    </w:p>
    <w:p w14:paraId="495EF73F" w14:textId="008B51FC" w:rsidR="009D159C" w:rsidRPr="004E74A6" w:rsidRDefault="003459C2" w:rsidP="00CE62C1">
      <w:pPr>
        <w:spacing w:after="160" w:line="276" w:lineRule="auto"/>
        <w:rPr>
          <w:rFonts w:cs="Calibri"/>
          <w:color w:val="000000"/>
          <w:szCs w:val="24"/>
          <w:lang w:eastAsia="es-CR"/>
        </w:rPr>
      </w:pPr>
      <w:r w:rsidRPr="004E74A6">
        <w:rPr>
          <w:rFonts w:cs="Calibri"/>
          <w:color w:val="000000"/>
          <w:szCs w:val="24"/>
          <w:lang w:eastAsia="es-CR"/>
        </w:rPr>
        <w:t>Con un mayor detalle es posible observar que dentro de</w:t>
      </w:r>
      <w:r w:rsidR="009D159C" w:rsidRPr="004E74A6">
        <w:rPr>
          <w:rFonts w:cs="Calibri"/>
          <w:color w:val="000000"/>
          <w:szCs w:val="24"/>
          <w:lang w:eastAsia="es-CR"/>
        </w:rPr>
        <w:t xml:space="preserve"> </w:t>
      </w:r>
      <w:r w:rsidR="00416943" w:rsidRPr="004E74A6">
        <w:rPr>
          <w:rFonts w:cs="Calibri"/>
          <w:color w:val="000000"/>
          <w:szCs w:val="24"/>
          <w:lang w:eastAsia="es-CR"/>
        </w:rPr>
        <w:t>las 286 carpetas</w:t>
      </w:r>
      <w:r w:rsidR="009D159C" w:rsidRPr="004E74A6">
        <w:rPr>
          <w:rFonts w:cs="Calibri"/>
          <w:color w:val="000000"/>
          <w:szCs w:val="24"/>
          <w:lang w:eastAsia="es-CR"/>
        </w:rPr>
        <w:t xml:space="preserve"> con </w:t>
      </w:r>
      <w:r w:rsidRPr="004E74A6">
        <w:rPr>
          <w:rFonts w:cs="Calibri"/>
          <w:color w:val="000000"/>
          <w:szCs w:val="24"/>
          <w:lang w:eastAsia="es-CR"/>
        </w:rPr>
        <w:t xml:space="preserve">clase de asunto ordinario, los procedimientos ordinarios son la mayoría con el 95% de los asuntos. </w:t>
      </w:r>
    </w:p>
    <w:p w14:paraId="528B2C40" w14:textId="61B1903B" w:rsidR="003459C2" w:rsidRDefault="003459C2" w:rsidP="00CE62C1">
      <w:pPr>
        <w:spacing w:after="160" w:line="276" w:lineRule="auto"/>
        <w:rPr>
          <w:rFonts w:cs="Calibri"/>
          <w:color w:val="000000"/>
          <w:szCs w:val="24"/>
          <w:lang w:eastAsia="es-CR"/>
        </w:rPr>
      </w:pPr>
      <w:r w:rsidRPr="004E74A6">
        <w:rPr>
          <w:rFonts w:cs="Calibri"/>
          <w:color w:val="000000"/>
          <w:szCs w:val="24"/>
          <w:lang w:eastAsia="es-CR"/>
        </w:rPr>
        <w:t>Como se observa de los 286 registros, solo 273 tienen el procedimiento correcto, ya que según la fórmula estadística la clase “</w:t>
      </w:r>
      <w:r w:rsidRPr="004E74A6">
        <w:rPr>
          <w:rFonts w:cs="Calibri"/>
          <w:i/>
          <w:iCs/>
          <w:color w:val="000000"/>
          <w:szCs w:val="24"/>
          <w:lang w:eastAsia="es-CR"/>
        </w:rPr>
        <w:t>ordinario</w:t>
      </w:r>
      <w:r w:rsidRPr="004E74A6">
        <w:rPr>
          <w:rFonts w:cs="Calibri"/>
          <w:color w:val="000000"/>
          <w:szCs w:val="24"/>
          <w:lang w:eastAsia="es-CR"/>
        </w:rPr>
        <w:t>” solamente tiene como procedimiento asociado “</w:t>
      </w:r>
      <w:r w:rsidRPr="004E74A6">
        <w:rPr>
          <w:rFonts w:cs="Calibri"/>
          <w:i/>
          <w:iCs/>
          <w:color w:val="000000"/>
          <w:szCs w:val="24"/>
          <w:lang w:eastAsia="es-CR"/>
        </w:rPr>
        <w:t>ordinario</w:t>
      </w:r>
      <w:r w:rsidRPr="004E74A6">
        <w:rPr>
          <w:rFonts w:cs="Calibri"/>
          <w:color w:val="000000"/>
          <w:szCs w:val="24"/>
          <w:lang w:eastAsia="es-CR"/>
        </w:rPr>
        <w:t xml:space="preserve">”. </w:t>
      </w:r>
    </w:p>
    <w:p w14:paraId="73F7016B" w14:textId="65FE6BD7" w:rsidR="00194F64" w:rsidRDefault="00194F64" w:rsidP="00CE62C1">
      <w:pPr>
        <w:spacing w:after="160" w:line="276" w:lineRule="auto"/>
        <w:rPr>
          <w:rFonts w:cs="Calibri"/>
          <w:color w:val="000000"/>
          <w:szCs w:val="24"/>
          <w:lang w:eastAsia="es-CR"/>
        </w:rPr>
      </w:pPr>
    </w:p>
    <w:p w14:paraId="6C7C0E9D" w14:textId="6E49925F" w:rsidR="00194F64" w:rsidRDefault="00194F64" w:rsidP="00CE62C1">
      <w:pPr>
        <w:spacing w:after="160" w:line="276" w:lineRule="auto"/>
        <w:rPr>
          <w:rFonts w:cs="Calibri"/>
          <w:color w:val="000000"/>
          <w:szCs w:val="24"/>
          <w:lang w:eastAsia="es-CR"/>
        </w:rPr>
      </w:pPr>
    </w:p>
    <w:p w14:paraId="178131BD" w14:textId="525DD070" w:rsidR="00194F64" w:rsidRDefault="00194F64" w:rsidP="00CE62C1">
      <w:pPr>
        <w:spacing w:after="160" w:line="276" w:lineRule="auto"/>
        <w:rPr>
          <w:rFonts w:cs="Calibri"/>
          <w:color w:val="000000"/>
          <w:szCs w:val="24"/>
          <w:lang w:eastAsia="es-CR"/>
        </w:rPr>
      </w:pPr>
    </w:p>
    <w:p w14:paraId="74123C0A" w14:textId="7A96464A" w:rsidR="00194F64" w:rsidRDefault="00194F64" w:rsidP="00CE62C1">
      <w:pPr>
        <w:spacing w:after="160" w:line="276" w:lineRule="auto"/>
        <w:rPr>
          <w:rFonts w:cs="Calibri"/>
          <w:color w:val="000000"/>
          <w:szCs w:val="24"/>
          <w:lang w:eastAsia="es-CR"/>
        </w:rPr>
      </w:pPr>
    </w:p>
    <w:p w14:paraId="72136C0E" w14:textId="6E2559EE" w:rsidR="00194F64" w:rsidRDefault="00194F64" w:rsidP="00CE62C1">
      <w:pPr>
        <w:spacing w:after="160" w:line="276" w:lineRule="auto"/>
        <w:rPr>
          <w:rFonts w:cs="Calibri"/>
          <w:color w:val="000000"/>
          <w:szCs w:val="24"/>
          <w:lang w:eastAsia="es-CR"/>
        </w:rPr>
      </w:pPr>
    </w:p>
    <w:p w14:paraId="5898E6C5" w14:textId="77777777" w:rsidR="00194F64" w:rsidRDefault="00194F64" w:rsidP="00F0204A">
      <w:pPr>
        <w:pStyle w:val="Descripcin"/>
        <w:keepNext/>
        <w:spacing w:line="276" w:lineRule="auto"/>
        <w:jc w:val="center"/>
        <w:rPr>
          <w:rFonts w:ascii="Book Antiqua" w:hAnsi="Book Antiqua"/>
          <w:i/>
          <w:iCs/>
          <w:sz w:val="20"/>
          <w:szCs w:val="16"/>
          <w:lang w:val="es-CR"/>
        </w:rPr>
      </w:pPr>
    </w:p>
    <w:p w14:paraId="3FF7F81E" w14:textId="7CD9EC81" w:rsidR="00D31F3D" w:rsidRDefault="00D31F3D" w:rsidP="00F0204A">
      <w:pPr>
        <w:pStyle w:val="Descripcin"/>
        <w:keepNext/>
        <w:spacing w:line="276" w:lineRule="auto"/>
        <w:jc w:val="center"/>
        <w:rPr>
          <w:rFonts w:ascii="Book Antiqua" w:hAnsi="Book Antiqua"/>
          <w:i/>
          <w:iCs/>
          <w:sz w:val="20"/>
          <w:szCs w:val="16"/>
          <w:lang w:val="es-CR"/>
        </w:rPr>
      </w:pPr>
      <w:r w:rsidRPr="00832773">
        <w:rPr>
          <w:rFonts w:ascii="Book Antiqua" w:hAnsi="Book Antiqua"/>
          <w:i/>
          <w:iCs/>
          <w:sz w:val="20"/>
          <w:szCs w:val="16"/>
          <w:lang w:val="es-CR"/>
        </w:rPr>
        <w:t xml:space="preserve">Tabla </w:t>
      </w:r>
      <w:r w:rsidRPr="00832773">
        <w:rPr>
          <w:rFonts w:ascii="Book Antiqua" w:hAnsi="Book Antiqua"/>
          <w:i/>
          <w:iCs/>
          <w:sz w:val="20"/>
          <w:szCs w:val="16"/>
          <w:lang w:val="es-CR"/>
        </w:rPr>
        <w:fldChar w:fldCharType="begin"/>
      </w:r>
      <w:r w:rsidRPr="00832773">
        <w:rPr>
          <w:rFonts w:ascii="Book Antiqua" w:hAnsi="Book Antiqua"/>
          <w:i/>
          <w:iCs/>
          <w:sz w:val="20"/>
          <w:szCs w:val="16"/>
          <w:lang w:val="es-CR"/>
        </w:rPr>
        <w:instrText xml:space="preserve"> SEQ Tabla \* ARABIC </w:instrText>
      </w:r>
      <w:r w:rsidRPr="00832773">
        <w:rPr>
          <w:rFonts w:ascii="Book Antiqua" w:hAnsi="Book Antiqua"/>
          <w:i/>
          <w:iCs/>
          <w:sz w:val="20"/>
          <w:szCs w:val="16"/>
          <w:lang w:val="es-CR"/>
        </w:rPr>
        <w:fldChar w:fldCharType="separate"/>
      </w:r>
      <w:r w:rsidR="00374B51">
        <w:rPr>
          <w:rFonts w:ascii="Book Antiqua" w:hAnsi="Book Antiqua"/>
          <w:i/>
          <w:iCs/>
          <w:noProof/>
          <w:sz w:val="20"/>
          <w:szCs w:val="16"/>
          <w:lang w:val="es-CR"/>
        </w:rPr>
        <w:t>7</w:t>
      </w:r>
      <w:r w:rsidRPr="00832773">
        <w:rPr>
          <w:rFonts w:ascii="Book Antiqua" w:hAnsi="Book Antiqua"/>
          <w:i/>
          <w:iCs/>
          <w:sz w:val="20"/>
          <w:szCs w:val="16"/>
          <w:lang w:val="es-CR"/>
        </w:rPr>
        <w:fldChar w:fldCharType="end"/>
      </w:r>
      <w:r w:rsidRPr="00832773">
        <w:rPr>
          <w:rFonts w:ascii="Book Antiqua" w:hAnsi="Book Antiqua"/>
          <w:i/>
          <w:iCs/>
          <w:sz w:val="20"/>
          <w:szCs w:val="16"/>
          <w:lang w:val="es-CR"/>
        </w:rPr>
        <w:t xml:space="preserve"> Cantidad de asuntos ordinarios según procedimiento del 2019 al 2021 para el Tribunal Segundo Colegiado de Primera Instancia Civil Primer Circuito Judicial de San José</w:t>
      </w:r>
    </w:p>
    <w:p w14:paraId="4F530201" w14:textId="77777777" w:rsidR="00194F64" w:rsidRPr="00194F64" w:rsidRDefault="00194F64" w:rsidP="00194F64"/>
    <w:tbl>
      <w:tblPr>
        <w:tblW w:w="5204" w:type="pct"/>
        <w:tblCellMar>
          <w:left w:w="70" w:type="dxa"/>
          <w:right w:w="70" w:type="dxa"/>
        </w:tblCellMar>
        <w:tblLook w:val="04A0" w:firstRow="1" w:lastRow="0" w:firstColumn="1" w:lastColumn="0" w:noHBand="0" w:noVBand="1"/>
      </w:tblPr>
      <w:tblGrid>
        <w:gridCol w:w="5659"/>
        <w:gridCol w:w="816"/>
        <w:gridCol w:w="816"/>
        <w:gridCol w:w="816"/>
        <w:gridCol w:w="1094"/>
      </w:tblGrid>
      <w:tr w:rsidR="001F1695" w:rsidRPr="004E74A6" w14:paraId="30BDA3B6" w14:textId="77777777" w:rsidTr="003459C2">
        <w:trPr>
          <w:trHeight w:val="454"/>
          <w:tblHeader/>
        </w:trPr>
        <w:tc>
          <w:tcPr>
            <w:tcW w:w="3033" w:type="pct"/>
            <w:tcBorders>
              <w:top w:val="single" w:sz="4" w:space="0" w:color="auto"/>
              <w:left w:val="nil"/>
              <w:bottom w:val="single" w:sz="4" w:space="0" w:color="auto"/>
              <w:right w:val="single" w:sz="4" w:space="0" w:color="auto"/>
            </w:tcBorders>
            <w:shd w:val="clear" w:color="auto" w:fill="auto"/>
            <w:noWrap/>
            <w:vAlign w:val="center"/>
            <w:hideMark/>
          </w:tcPr>
          <w:p w14:paraId="7479F23B"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Ordinario</w:t>
            </w:r>
          </w:p>
        </w:tc>
        <w:tc>
          <w:tcPr>
            <w:tcW w:w="45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54EC815"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2019</w:t>
            </w:r>
          </w:p>
        </w:tc>
        <w:tc>
          <w:tcPr>
            <w:tcW w:w="45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A5E90D7"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2020</w:t>
            </w:r>
          </w:p>
        </w:tc>
        <w:tc>
          <w:tcPr>
            <w:tcW w:w="45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8E75F52"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2021</w:t>
            </w:r>
          </w:p>
        </w:tc>
        <w:tc>
          <w:tcPr>
            <w:tcW w:w="607" w:type="pct"/>
            <w:tcBorders>
              <w:top w:val="single" w:sz="4" w:space="0" w:color="auto"/>
              <w:left w:val="single" w:sz="4" w:space="0" w:color="auto"/>
              <w:bottom w:val="single" w:sz="4" w:space="0" w:color="auto"/>
              <w:right w:val="nil"/>
            </w:tcBorders>
            <w:shd w:val="clear" w:color="auto" w:fill="auto"/>
            <w:noWrap/>
            <w:vAlign w:val="center"/>
          </w:tcPr>
          <w:p w14:paraId="3F40B71D" w14:textId="072E2F0D" w:rsidR="008647ED" w:rsidRPr="004E74A6" w:rsidRDefault="001F1695" w:rsidP="00CE62C1">
            <w:pPr>
              <w:spacing w:line="276" w:lineRule="auto"/>
              <w:jc w:val="center"/>
              <w:rPr>
                <w:rFonts w:cs="Calibri"/>
                <w:color w:val="000000"/>
                <w:sz w:val="20"/>
                <w:lang w:eastAsia="es-CR"/>
              </w:rPr>
            </w:pPr>
            <w:r w:rsidRPr="004E74A6">
              <w:rPr>
                <w:rFonts w:cs="Calibri"/>
                <w:color w:val="000000"/>
                <w:sz w:val="20"/>
                <w:lang w:eastAsia="es-CR"/>
              </w:rPr>
              <w:t>Promedio</w:t>
            </w:r>
          </w:p>
        </w:tc>
      </w:tr>
      <w:tr w:rsidR="001F1695" w:rsidRPr="004E74A6" w14:paraId="18A222B3" w14:textId="77777777" w:rsidTr="00941062">
        <w:trPr>
          <w:trHeight w:val="288"/>
        </w:trPr>
        <w:tc>
          <w:tcPr>
            <w:tcW w:w="3033" w:type="pct"/>
            <w:tcBorders>
              <w:top w:val="single" w:sz="4" w:space="0" w:color="auto"/>
              <w:left w:val="nil"/>
              <w:bottom w:val="nil"/>
              <w:right w:val="single" w:sz="4" w:space="0" w:color="auto"/>
            </w:tcBorders>
            <w:shd w:val="clear" w:color="auto" w:fill="auto"/>
            <w:noWrap/>
            <w:vAlign w:val="center"/>
          </w:tcPr>
          <w:p w14:paraId="763E3E3A" w14:textId="77777777" w:rsidR="008647ED" w:rsidRPr="004E74A6" w:rsidRDefault="008647ED" w:rsidP="00CE62C1">
            <w:pPr>
              <w:spacing w:line="276" w:lineRule="auto"/>
              <w:ind w:firstLineChars="200" w:firstLine="400"/>
              <w:jc w:val="center"/>
              <w:rPr>
                <w:rFonts w:cs="Calibri"/>
                <w:color w:val="000000"/>
                <w:sz w:val="20"/>
                <w:lang w:eastAsia="es-CR"/>
              </w:rPr>
            </w:pPr>
          </w:p>
        </w:tc>
        <w:tc>
          <w:tcPr>
            <w:tcW w:w="454" w:type="pct"/>
            <w:tcBorders>
              <w:top w:val="single" w:sz="4" w:space="0" w:color="auto"/>
              <w:left w:val="single" w:sz="4" w:space="0" w:color="auto"/>
              <w:bottom w:val="nil"/>
              <w:right w:val="single" w:sz="4" w:space="0" w:color="auto"/>
            </w:tcBorders>
            <w:shd w:val="clear" w:color="auto" w:fill="auto"/>
            <w:noWrap/>
            <w:vAlign w:val="center"/>
          </w:tcPr>
          <w:p w14:paraId="4CE6315A" w14:textId="77777777" w:rsidR="008647ED" w:rsidRPr="004E74A6" w:rsidRDefault="008647ED" w:rsidP="00CE62C1">
            <w:pPr>
              <w:spacing w:line="276" w:lineRule="auto"/>
              <w:jc w:val="center"/>
              <w:rPr>
                <w:sz w:val="20"/>
                <w:lang w:eastAsia="es-CR"/>
              </w:rPr>
            </w:pPr>
          </w:p>
        </w:tc>
        <w:tc>
          <w:tcPr>
            <w:tcW w:w="454" w:type="pct"/>
            <w:tcBorders>
              <w:top w:val="single" w:sz="4" w:space="0" w:color="auto"/>
              <w:left w:val="single" w:sz="4" w:space="0" w:color="auto"/>
              <w:bottom w:val="nil"/>
              <w:right w:val="single" w:sz="4" w:space="0" w:color="auto"/>
            </w:tcBorders>
            <w:shd w:val="clear" w:color="auto" w:fill="auto"/>
            <w:noWrap/>
            <w:vAlign w:val="center"/>
          </w:tcPr>
          <w:p w14:paraId="36003452" w14:textId="77777777" w:rsidR="008647ED" w:rsidRPr="004E74A6" w:rsidRDefault="008647ED" w:rsidP="00CE62C1">
            <w:pPr>
              <w:spacing w:line="276" w:lineRule="auto"/>
              <w:jc w:val="center"/>
              <w:rPr>
                <w:sz w:val="20"/>
                <w:lang w:eastAsia="es-CR"/>
              </w:rPr>
            </w:pPr>
          </w:p>
        </w:tc>
        <w:tc>
          <w:tcPr>
            <w:tcW w:w="454" w:type="pct"/>
            <w:tcBorders>
              <w:top w:val="single" w:sz="4" w:space="0" w:color="auto"/>
              <w:left w:val="single" w:sz="4" w:space="0" w:color="auto"/>
              <w:bottom w:val="nil"/>
              <w:right w:val="single" w:sz="4" w:space="0" w:color="auto"/>
            </w:tcBorders>
            <w:shd w:val="clear" w:color="auto" w:fill="auto"/>
            <w:noWrap/>
            <w:vAlign w:val="center"/>
          </w:tcPr>
          <w:p w14:paraId="40E3F379" w14:textId="77777777" w:rsidR="008647ED" w:rsidRPr="004E74A6" w:rsidRDefault="008647ED" w:rsidP="00CE62C1">
            <w:pPr>
              <w:spacing w:line="276" w:lineRule="auto"/>
              <w:jc w:val="center"/>
              <w:rPr>
                <w:rFonts w:cs="Calibri"/>
                <w:color w:val="000000"/>
                <w:sz w:val="20"/>
                <w:lang w:eastAsia="es-CR"/>
              </w:rPr>
            </w:pPr>
          </w:p>
        </w:tc>
        <w:tc>
          <w:tcPr>
            <w:tcW w:w="607" w:type="pct"/>
            <w:tcBorders>
              <w:top w:val="single" w:sz="4" w:space="0" w:color="auto"/>
              <w:left w:val="single" w:sz="4" w:space="0" w:color="auto"/>
              <w:bottom w:val="nil"/>
              <w:right w:val="nil"/>
            </w:tcBorders>
            <w:shd w:val="clear" w:color="auto" w:fill="auto"/>
            <w:noWrap/>
            <w:vAlign w:val="center"/>
          </w:tcPr>
          <w:p w14:paraId="04003FF4" w14:textId="77777777" w:rsidR="008647ED" w:rsidRPr="004E74A6" w:rsidRDefault="008647ED" w:rsidP="00CE62C1">
            <w:pPr>
              <w:spacing w:line="276" w:lineRule="auto"/>
              <w:jc w:val="center"/>
              <w:rPr>
                <w:rFonts w:cs="Calibri"/>
                <w:color w:val="000000"/>
                <w:sz w:val="20"/>
                <w:lang w:eastAsia="es-CR"/>
              </w:rPr>
            </w:pPr>
          </w:p>
        </w:tc>
      </w:tr>
      <w:tr w:rsidR="001F1695" w:rsidRPr="004E74A6" w14:paraId="303EF110" w14:textId="77777777" w:rsidTr="00941062">
        <w:trPr>
          <w:trHeight w:val="288"/>
        </w:trPr>
        <w:tc>
          <w:tcPr>
            <w:tcW w:w="3033" w:type="pct"/>
            <w:tcBorders>
              <w:top w:val="nil"/>
              <w:left w:val="nil"/>
              <w:bottom w:val="nil"/>
              <w:right w:val="single" w:sz="4" w:space="0" w:color="auto"/>
            </w:tcBorders>
            <w:shd w:val="clear" w:color="auto" w:fill="auto"/>
            <w:noWrap/>
            <w:vAlign w:val="center"/>
          </w:tcPr>
          <w:p w14:paraId="1F19E334" w14:textId="77777777" w:rsidR="001F1695" w:rsidRPr="004E74A6" w:rsidRDefault="001F1695" w:rsidP="00CE62C1">
            <w:pPr>
              <w:spacing w:line="276" w:lineRule="auto"/>
              <w:jc w:val="center"/>
              <w:rPr>
                <w:rFonts w:cs="Calibri"/>
                <w:color w:val="000000"/>
                <w:sz w:val="20"/>
                <w:lang w:eastAsia="es-CR"/>
              </w:rPr>
            </w:pPr>
            <w:r w:rsidRPr="004E74A6">
              <w:rPr>
                <w:rFonts w:cs="Calibri"/>
                <w:color w:val="000000"/>
                <w:sz w:val="20"/>
                <w:lang w:eastAsia="es-CR"/>
              </w:rPr>
              <w:t>Total</w:t>
            </w:r>
          </w:p>
        </w:tc>
        <w:tc>
          <w:tcPr>
            <w:tcW w:w="454" w:type="pct"/>
            <w:tcBorders>
              <w:top w:val="nil"/>
              <w:left w:val="single" w:sz="4" w:space="0" w:color="auto"/>
              <w:bottom w:val="nil"/>
              <w:right w:val="single" w:sz="4" w:space="0" w:color="auto"/>
            </w:tcBorders>
            <w:shd w:val="clear" w:color="auto" w:fill="auto"/>
            <w:noWrap/>
            <w:vAlign w:val="center"/>
          </w:tcPr>
          <w:p w14:paraId="3F2E01E1" w14:textId="77777777" w:rsidR="001F1695" w:rsidRPr="004E74A6" w:rsidRDefault="001F1695" w:rsidP="00CE62C1">
            <w:pPr>
              <w:spacing w:line="276" w:lineRule="auto"/>
              <w:jc w:val="center"/>
              <w:rPr>
                <w:sz w:val="20"/>
                <w:lang w:eastAsia="es-CR"/>
              </w:rPr>
            </w:pPr>
            <w:r w:rsidRPr="004E74A6">
              <w:rPr>
                <w:rFonts w:cs="Calibri"/>
                <w:color w:val="000000"/>
                <w:sz w:val="20"/>
                <w:lang w:eastAsia="es-CR"/>
              </w:rPr>
              <w:t>331</w:t>
            </w:r>
          </w:p>
        </w:tc>
        <w:tc>
          <w:tcPr>
            <w:tcW w:w="454" w:type="pct"/>
            <w:tcBorders>
              <w:top w:val="nil"/>
              <w:left w:val="single" w:sz="4" w:space="0" w:color="auto"/>
              <w:bottom w:val="nil"/>
              <w:right w:val="single" w:sz="4" w:space="0" w:color="auto"/>
            </w:tcBorders>
            <w:shd w:val="clear" w:color="auto" w:fill="auto"/>
            <w:noWrap/>
            <w:vAlign w:val="center"/>
          </w:tcPr>
          <w:p w14:paraId="630AF339" w14:textId="77777777" w:rsidR="001F1695" w:rsidRPr="004E74A6" w:rsidRDefault="001F1695" w:rsidP="00CE62C1">
            <w:pPr>
              <w:spacing w:line="276" w:lineRule="auto"/>
              <w:jc w:val="center"/>
              <w:rPr>
                <w:sz w:val="20"/>
                <w:lang w:eastAsia="es-CR"/>
              </w:rPr>
            </w:pPr>
            <w:r w:rsidRPr="004E74A6">
              <w:rPr>
                <w:rFonts w:cs="Calibri"/>
                <w:color w:val="000000"/>
                <w:sz w:val="20"/>
                <w:lang w:eastAsia="es-CR"/>
              </w:rPr>
              <w:t>259</w:t>
            </w:r>
          </w:p>
        </w:tc>
        <w:tc>
          <w:tcPr>
            <w:tcW w:w="454" w:type="pct"/>
            <w:tcBorders>
              <w:top w:val="nil"/>
              <w:left w:val="single" w:sz="4" w:space="0" w:color="auto"/>
              <w:bottom w:val="nil"/>
              <w:right w:val="single" w:sz="4" w:space="0" w:color="auto"/>
            </w:tcBorders>
            <w:shd w:val="clear" w:color="auto" w:fill="auto"/>
            <w:noWrap/>
            <w:vAlign w:val="center"/>
          </w:tcPr>
          <w:p w14:paraId="3621AD6C" w14:textId="77777777" w:rsidR="001F1695" w:rsidRPr="004E74A6" w:rsidRDefault="001F1695" w:rsidP="00CE62C1">
            <w:pPr>
              <w:spacing w:line="276" w:lineRule="auto"/>
              <w:jc w:val="center"/>
              <w:rPr>
                <w:rFonts w:cs="Calibri"/>
                <w:color w:val="000000"/>
                <w:sz w:val="20"/>
                <w:lang w:eastAsia="es-CR"/>
              </w:rPr>
            </w:pPr>
            <w:r w:rsidRPr="004E74A6">
              <w:rPr>
                <w:rFonts w:cs="Calibri"/>
                <w:color w:val="000000"/>
                <w:sz w:val="20"/>
                <w:lang w:eastAsia="es-CR"/>
              </w:rPr>
              <w:t>269</w:t>
            </w:r>
          </w:p>
        </w:tc>
        <w:tc>
          <w:tcPr>
            <w:tcW w:w="607" w:type="pct"/>
            <w:tcBorders>
              <w:top w:val="nil"/>
              <w:left w:val="single" w:sz="4" w:space="0" w:color="auto"/>
              <w:bottom w:val="nil"/>
              <w:right w:val="nil"/>
            </w:tcBorders>
            <w:shd w:val="clear" w:color="auto" w:fill="auto"/>
            <w:noWrap/>
            <w:vAlign w:val="center"/>
          </w:tcPr>
          <w:p w14:paraId="4506C84C" w14:textId="349D495B" w:rsidR="001F1695" w:rsidRPr="004E74A6" w:rsidRDefault="001F1695" w:rsidP="00CE62C1">
            <w:pPr>
              <w:spacing w:line="276" w:lineRule="auto"/>
              <w:jc w:val="center"/>
              <w:rPr>
                <w:rFonts w:cs="Calibri"/>
                <w:color w:val="000000"/>
                <w:sz w:val="20"/>
                <w:lang w:eastAsia="es-CR"/>
              </w:rPr>
            </w:pPr>
            <w:r w:rsidRPr="004E74A6">
              <w:rPr>
                <w:rFonts w:cs="Calibri"/>
                <w:color w:val="000000"/>
                <w:sz w:val="20"/>
              </w:rPr>
              <w:t>286</w:t>
            </w:r>
          </w:p>
        </w:tc>
      </w:tr>
      <w:tr w:rsidR="001F1695" w:rsidRPr="004E74A6" w14:paraId="5AB9F828" w14:textId="77777777" w:rsidTr="00941062">
        <w:trPr>
          <w:trHeight w:val="288"/>
        </w:trPr>
        <w:tc>
          <w:tcPr>
            <w:tcW w:w="3033" w:type="pct"/>
            <w:tcBorders>
              <w:top w:val="nil"/>
              <w:left w:val="nil"/>
              <w:bottom w:val="nil"/>
              <w:right w:val="single" w:sz="4" w:space="0" w:color="auto"/>
            </w:tcBorders>
            <w:shd w:val="clear" w:color="auto" w:fill="auto"/>
            <w:noWrap/>
            <w:vAlign w:val="bottom"/>
          </w:tcPr>
          <w:p w14:paraId="79B2CA67" w14:textId="77777777" w:rsidR="001F1695" w:rsidRPr="004E74A6" w:rsidRDefault="001F1695" w:rsidP="00CE62C1">
            <w:pPr>
              <w:spacing w:line="276" w:lineRule="auto"/>
              <w:ind w:firstLineChars="200" w:firstLine="400"/>
              <w:jc w:val="left"/>
              <w:rPr>
                <w:rFonts w:cs="Calibri"/>
                <w:color w:val="000000"/>
                <w:sz w:val="20"/>
                <w:lang w:eastAsia="es-CR"/>
              </w:rPr>
            </w:pPr>
          </w:p>
        </w:tc>
        <w:tc>
          <w:tcPr>
            <w:tcW w:w="454" w:type="pct"/>
            <w:tcBorders>
              <w:top w:val="nil"/>
              <w:left w:val="single" w:sz="4" w:space="0" w:color="auto"/>
              <w:bottom w:val="nil"/>
              <w:right w:val="single" w:sz="4" w:space="0" w:color="auto"/>
            </w:tcBorders>
            <w:shd w:val="clear" w:color="auto" w:fill="auto"/>
            <w:noWrap/>
            <w:vAlign w:val="center"/>
          </w:tcPr>
          <w:p w14:paraId="5B0BB838" w14:textId="77777777" w:rsidR="001F1695" w:rsidRPr="004E74A6" w:rsidRDefault="001F1695" w:rsidP="00CE62C1">
            <w:pPr>
              <w:spacing w:line="276" w:lineRule="auto"/>
              <w:jc w:val="center"/>
              <w:rPr>
                <w:sz w:val="20"/>
                <w:lang w:eastAsia="es-CR"/>
              </w:rPr>
            </w:pPr>
          </w:p>
        </w:tc>
        <w:tc>
          <w:tcPr>
            <w:tcW w:w="454" w:type="pct"/>
            <w:tcBorders>
              <w:top w:val="nil"/>
              <w:left w:val="single" w:sz="4" w:space="0" w:color="auto"/>
              <w:bottom w:val="nil"/>
              <w:right w:val="single" w:sz="4" w:space="0" w:color="auto"/>
            </w:tcBorders>
            <w:shd w:val="clear" w:color="auto" w:fill="auto"/>
            <w:noWrap/>
            <w:vAlign w:val="center"/>
          </w:tcPr>
          <w:p w14:paraId="6BA71E46" w14:textId="77777777" w:rsidR="001F1695" w:rsidRPr="004E74A6" w:rsidRDefault="001F1695" w:rsidP="00CE62C1">
            <w:pPr>
              <w:spacing w:line="276" w:lineRule="auto"/>
              <w:jc w:val="center"/>
              <w:rPr>
                <w:sz w:val="20"/>
                <w:lang w:eastAsia="es-CR"/>
              </w:rPr>
            </w:pPr>
          </w:p>
        </w:tc>
        <w:tc>
          <w:tcPr>
            <w:tcW w:w="454" w:type="pct"/>
            <w:tcBorders>
              <w:top w:val="nil"/>
              <w:left w:val="single" w:sz="4" w:space="0" w:color="auto"/>
              <w:bottom w:val="nil"/>
              <w:right w:val="single" w:sz="4" w:space="0" w:color="auto"/>
            </w:tcBorders>
            <w:shd w:val="clear" w:color="auto" w:fill="auto"/>
            <w:noWrap/>
            <w:vAlign w:val="center"/>
          </w:tcPr>
          <w:p w14:paraId="05414CC8" w14:textId="77777777" w:rsidR="001F1695" w:rsidRPr="004E74A6" w:rsidRDefault="001F1695" w:rsidP="00CE62C1">
            <w:pPr>
              <w:spacing w:line="276" w:lineRule="auto"/>
              <w:jc w:val="center"/>
              <w:rPr>
                <w:rFonts w:cs="Calibri"/>
                <w:color w:val="000000"/>
                <w:sz w:val="20"/>
                <w:lang w:eastAsia="es-CR"/>
              </w:rPr>
            </w:pPr>
          </w:p>
        </w:tc>
        <w:tc>
          <w:tcPr>
            <w:tcW w:w="607" w:type="pct"/>
            <w:tcBorders>
              <w:top w:val="nil"/>
              <w:left w:val="single" w:sz="4" w:space="0" w:color="auto"/>
              <w:bottom w:val="nil"/>
              <w:right w:val="nil"/>
            </w:tcBorders>
            <w:shd w:val="clear" w:color="auto" w:fill="auto"/>
            <w:noWrap/>
            <w:vAlign w:val="center"/>
          </w:tcPr>
          <w:p w14:paraId="352B571E" w14:textId="77777777" w:rsidR="001F1695" w:rsidRPr="004E74A6" w:rsidRDefault="001F1695" w:rsidP="00CE62C1">
            <w:pPr>
              <w:spacing w:line="276" w:lineRule="auto"/>
              <w:jc w:val="center"/>
              <w:rPr>
                <w:rFonts w:cs="Calibri"/>
                <w:color w:val="000000"/>
                <w:sz w:val="20"/>
                <w:lang w:eastAsia="es-CR"/>
              </w:rPr>
            </w:pPr>
          </w:p>
        </w:tc>
      </w:tr>
      <w:tr w:rsidR="001F1695" w:rsidRPr="004E74A6" w14:paraId="38FEAED1" w14:textId="77777777" w:rsidTr="00941062">
        <w:trPr>
          <w:trHeight w:val="288"/>
        </w:trPr>
        <w:tc>
          <w:tcPr>
            <w:tcW w:w="3033" w:type="pct"/>
            <w:tcBorders>
              <w:top w:val="nil"/>
              <w:left w:val="nil"/>
              <w:bottom w:val="nil"/>
              <w:right w:val="single" w:sz="4" w:space="0" w:color="auto"/>
            </w:tcBorders>
            <w:shd w:val="clear" w:color="auto" w:fill="auto"/>
            <w:noWrap/>
            <w:vAlign w:val="bottom"/>
            <w:hideMark/>
          </w:tcPr>
          <w:p w14:paraId="2B7203B4" w14:textId="77777777" w:rsidR="001F1695" w:rsidRPr="004E74A6" w:rsidRDefault="001F1695" w:rsidP="00CE62C1">
            <w:pPr>
              <w:spacing w:line="276" w:lineRule="auto"/>
              <w:ind w:firstLineChars="200" w:firstLine="400"/>
              <w:jc w:val="left"/>
              <w:rPr>
                <w:rFonts w:cs="Calibri"/>
                <w:color w:val="000000"/>
                <w:sz w:val="20"/>
                <w:lang w:eastAsia="es-CR"/>
              </w:rPr>
            </w:pPr>
            <w:r w:rsidRPr="004E74A6">
              <w:rPr>
                <w:rFonts w:cs="Calibri"/>
                <w:color w:val="000000"/>
                <w:sz w:val="20"/>
                <w:lang w:eastAsia="es-CR"/>
              </w:rPr>
              <w:t>-Sin Clasificación-</w:t>
            </w:r>
          </w:p>
        </w:tc>
        <w:tc>
          <w:tcPr>
            <w:tcW w:w="454" w:type="pct"/>
            <w:tcBorders>
              <w:top w:val="nil"/>
              <w:left w:val="single" w:sz="4" w:space="0" w:color="auto"/>
              <w:bottom w:val="nil"/>
              <w:right w:val="single" w:sz="4" w:space="0" w:color="auto"/>
            </w:tcBorders>
            <w:shd w:val="clear" w:color="auto" w:fill="auto"/>
            <w:noWrap/>
            <w:vAlign w:val="center"/>
            <w:hideMark/>
          </w:tcPr>
          <w:p w14:paraId="5004DCD1" w14:textId="231F7BCD" w:rsidR="001F1695" w:rsidRPr="004E74A6" w:rsidRDefault="006532A4" w:rsidP="00CE62C1">
            <w:pPr>
              <w:spacing w:line="276" w:lineRule="auto"/>
              <w:jc w:val="center"/>
              <w:rPr>
                <w:sz w:val="20"/>
                <w:lang w:eastAsia="es-CR"/>
              </w:rPr>
            </w:pPr>
            <w:r w:rsidRPr="004E74A6">
              <w:rPr>
                <w:sz w:val="20"/>
                <w:lang w:eastAsia="es-CR"/>
              </w:rPr>
              <w:t>0</w:t>
            </w:r>
          </w:p>
        </w:tc>
        <w:tc>
          <w:tcPr>
            <w:tcW w:w="454" w:type="pct"/>
            <w:tcBorders>
              <w:top w:val="nil"/>
              <w:left w:val="single" w:sz="4" w:space="0" w:color="auto"/>
              <w:bottom w:val="nil"/>
              <w:right w:val="single" w:sz="4" w:space="0" w:color="auto"/>
            </w:tcBorders>
            <w:shd w:val="clear" w:color="auto" w:fill="auto"/>
            <w:noWrap/>
            <w:vAlign w:val="center"/>
            <w:hideMark/>
          </w:tcPr>
          <w:p w14:paraId="65982241" w14:textId="77CA3350" w:rsidR="001F1695" w:rsidRPr="004E74A6" w:rsidRDefault="006532A4" w:rsidP="00CE62C1">
            <w:pPr>
              <w:spacing w:line="276" w:lineRule="auto"/>
              <w:jc w:val="center"/>
              <w:rPr>
                <w:sz w:val="20"/>
                <w:lang w:eastAsia="es-CR"/>
              </w:rPr>
            </w:pPr>
            <w:r w:rsidRPr="004E74A6">
              <w:rPr>
                <w:sz w:val="20"/>
                <w:lang w:eastAsia="es-CR"/>
              </w:rPr>
              <w:t>0</w:t>
            </w:r>
          </w:p>
        </w:tc>
        <w:tc>
          <w:tcPr>
            <w:tcW w:w="454" w:type="pct"/>
            <w:tcBorders>
              <w:top w:val="nil"/>
              <w:left w:val="single" w:sz="4" w:space="0" w:color="auto"/>
              <w:bottom w:val="nil"/>
              <w:right w:val="single" w:sz="4" w:space="0" w:color="auto"/>
            </w:tcBorders>
            <w:shd w:val="clear" w:color="auto" w:fill="auto"/>
            <w:noWrap/>
            <w:vAlign w:val="center"/>
            <w:hideMark/>
          </w:tcPr>
          <w:p w14:paraId="1866F9C6" w14:textId="77777777" w:rsidR="001F1695" w:rsidRPr="004E74A6" w:rsidRDefault="001F1695" w:rsidP="00CE62C1">
            <w:pPr>
              <w:spacing w:line="276" w:lineRule="auto"/>
              <w:jc w:val="center"/>
              <w:rPr>
                <w:rFonts w:cs="Calibri"/>
                <w:color w:val="000000"/>
                <w:sz w:val="20"/>
                <w:lang w:eastAsia="es-CR"/>
              </w:rPr>
            </w:pPr>
            <w:r w:rsidRPr="004E74A6">
              <w:rPr>
                <w:rFonts w:cs="Calibri"/>
                <w:color w:val="000000"/>
                <w:sz w:val="20"/>
                <w:lang w:eastAsia="es-CR"/>
              </w:rPr>
              <w:t>2</w:t>
            </w:r>
          </w:p>
        </w:tc>
        <w:tc>
          <w:tcPr>
            <w:tcW w:w="607" w:type="pct"/>
            <w:tcBorders>
              <w:top w:val="nil"/>
              <w:left w:val="single" w:sz="4" w:space="0" w:color="auto"/>
              <w:bottom w:val="nil"/>
              <w:right w:val="nil"/>
            </w:tcBorders>
            <w:shd w:val="clear" w:color="auto" w:fill="auto"/>
            <w:noWrap/>
            <w:vAlign w:val="center"/>
            <w:hideMark/>
          </w:tcPr>
          <w:p w14:paraId="4188D275" w14:textId="6DC87907" w:rsidR="001F1695" w:rsidRPr="004E74A6" w:rsidRDefault="006532A4" w:rsidP="00CE62C1">
            <w:pPr>
              <w:spacing w:line="276" w:lineRule="auto"/>
              <w:jc w:val="center"/>
              <w:rPr>
                <w:rFonts w:cs="Calibri"/>
                <w:color w:val="000000"/>
                <w:sz w:val="20"/>
                <w:lang w:eastAsia="es-CR"/>
              </w:rPr>
            </w:pPr>
            <w:r w:rsidRPr="004E74A6">
              <w:rPr>
                <w:rFonts w:cs="Calibri"/>
                <w:color w:val="000000"/>
                <w:sz w:val="20"/>
              </w:rPr>
              <w:t>0,7</w:t>
            </w:r>
          </w:p>
        </w:tc>
      </w:tr>
      <w:tr w:rsidR="001F1695" w:rsidRPr="004E74A6" w14:paraId="301E38F1" w14:textId="77777777" w:rsidTr="00941062">
        <w:trPr>
          <w:trHeight w:val="288"/>
        </w:trPr>
        <w:tc>
          <w:tcPr>
            <w:tcW w:w="3033" w:type="pct"/>
            <w:tcBorders>
              <w:top w:val="nil"/>
              <w:left w:val="nil"/>
              <w:bottom w:val="nil"/>
              <w:right w:val="single" w:sz="4" w:space="0" w:color="auto"/>
            </w:tcBorders>
            <w:shd w:val="clear" w:color="auto" w:fill="auto"/>
            <w:noWrap/>
            <w:vAlign w:val="bottom"/>
            <w:hideMark/>
          </w:tcPr>
          <w:p w14:paraId="1D855960" w14:textId="77777777" w:rsidR="001F1695" w:rsidRPr="004E74A6" w:rsidRDefault="001F1695" w:rsidP="00CE62C1">
            <w:pPr>
              <w:spacing w:line="276" w:lineRule="auto"/>
              <w:ind w:firstLineChars="200" w:firstLine="400"/>
              <w:jc w:val="left"/>
              <w:rPr>
                <w:rFonts w:cs="Calibri"/>
                <w:color w:val="000000"/>
                <w:sz w:val="20"/>
                <w:lang w:eastAsia="es-CR"/>
              </w:rPr>
            </w:pPr>
            <w:r w:rsidRPr="004E74A6">
              <w:rPr>
                <w:rFonts w:cs="Calibri"/>
                <w:color w:val="000000"/>
                <w:sz w:val="20"/>
                <w:lang w:eastAsia="es-CR"/>
              </w:rPr>
              <w:t>Disolución De Asociación</w:t>
            </w:r>
          </w:p>
        </w:tc>
        <w:tc>
          <w:tcPr>
            <w:tcW w:w="454" w:type="pct"/>
            <w:tcBorders>
              <w:top w:val="nil"/>
              <w:left w:val="single" w:sz="4" w:space="0" w:color="auto"/>
              <w:bottom w:val="nil"/>
              <w:right w:val="single" w:sz="4" w:space="0" w:color="auto"/>
            </w:tcBorders>
            <w:shd w:val="clear" w:color="auto" w:fill="auto"/>
            <w:noWrap/>
            <w:vAlign w:val="center"/>
            <w:hideMark/>
          </w:tcPr>
          <w:p w14:paraId="1FC27C5D" w14:textId="77777777" w:rsidR="001F1695" w:rsidRPr="004E74A6" w:rsidRDefault="001F1695" w:rsidP="00CE62C1">
            <w:pPr>
              <w:spacing w:line="276" w:lineRule="auto"/>
              <w:jc w:val="center"/>
              <w:rPr>
                <w:rFonts w:cs="Calibri"/>
                <w:color w:val="000000"/>
                <w:sz w:val="20"/>
                <w:lang w:eastAsia="es-CR"/>
              </w:rPr>
            </w:pPr>
            <w:r w:rsidRPr="004E74A6">
              <w:rPr>
                <w:rFonts w:cs="Calibri"/>
                <w:color w:val="000000"/>
                <w:sz w:val="20"/>
                <w:lang w:eastAsia="es-CR"/>
              </w:rPr>
              <w:t>1</w:t>
            </w:r>
          </w:p>
        </w:tc>
        <w:tc>
          <w:tcPr>
            <w:tcW w:w="454" w:type="pct"/>
            <w:tcBorders>
              <w:top w:val="nil"/>
              <w:left w:val="single" w:sz="4" w:space="0" w:color="auto"/>
              <w:bottom w:val="nil"/>
              <w:right w:val="single" w:sz="4" w:space="0" w:color="auto"/>
            </w:tcBorders>
            <w:shd w:val="clear" w:color="auto" w:fill="auto"/>
            <w:noWrap/>
            <w:vAlign w:val="center"/>
            <w:hideMark/>
          </w:tcPr>
          <w:p w14:paraId="0329B004" w14:textId="77777777" w:rsidR="001F1695" w:rsidRPr="004E74A6" w:rsidRDefault="001F1695" w:rsidP="00CE62C1">
            <w:pPr>
              <w:spacing w:line="276" w:lineRule="auto"/>
              <w:jc w:val="center"/>
              <w:rPr>
                <w:rFonts w:cs="Calibri"/>
                <w:color w:val="000000"/>
                <w:sz w:val="20"/>
                <w:lang w:eastAsia="es-CR"/>
              </w:rPr>
            </w:pPr>
            <w:r w:rsidRPr="004E74A6">
              <w:rPr>
                <w:rFonts w:cs="Calibri"/>
                <w:color w:val="000000"/>
                <w:sz w:val="20"/>
                <w:lang w:eastAsia="es-CR"/>
              </w:rPr>
              <w:t>1</w:t>
            </w:r>
          </w:p>
        </w:tc>
        <w:tc>
          <w:tcPr>
            <w:tcW w:w="454" w:type="pct"/>
            <w:tcBorders>
              <w:top w:val="nil"/>
              <w:left w:val="single" w:sz="4" w:space="0" w:color="auto"/>
              <w:bottom w:val="nil"/>
              <w:right w:val="single" w:sz="4" w:space="0" w:color="auto"/>
            </w:tcBorders>
            <w:shd w:val="clear" w:color="auto" w:fill="auto"/>
            <w:noWrap/>
            <w:vAlign w:val="center"/>
            <w:hideMark/>
          </w:tcPr>
          <w:p w14:paraId="71522DB7" w14:textId="09DD2524" w:rsidR="001F1695" w:rsidRPr="004E74A6" w:rsidRDefault="006532A4" w:rsidP="00CE62C1">
            <w:pPr>
              <w:spacing w:line="276" w:lineRule="auto"/>
              <w:jc w:val="center"/>
              <w:rPr>
                <w:rFonts w:cs="Calibri"/>
                <w:color w:val="000000"/>
                <w:sz w:val="20"/>
                <w:lang w:eastAsia="es-CR"/>
              </w:rPr>
            </w:pPr>
            <w:r w:rsidRPr="004E74A6">
              <w:rPr>
                <w:rFonts w:cs="Calibri"/>
                <w:color w:val="000000"/>
                <w:sz w:val="20"/>
                <w:lang w:eastAsia="es-CR"/>
              </w:rPr>
              <w:t>0</w:t>
            </w:r>
          </w:p>
        </w:tc>
        <w:tc>
          <w:tcPr>
            <w:tcW w:w="607" w:type="pct"/>
            <w:tcBorders>
              <w:top w:val="nil"/>
              <w:left w:val="single" w:sz="4" w:space="0" w:color="auto"/>
              <w:bottom w:val="nil"/>
              <w:right w:val="nil"/>
            </w:tcBorders>
            <w:shd w:val="clear" w:color="auto" w:fill="auto"/>
            <w:noWrap/>
            <w:vAlign w:val="center"/>
            <w:hideMark/>
          </w:tcPr>
          <w:p w14:paraId="78B0C263" w14:textId="6212281C" w:rsidR="001F1695" w:rsidRPr="004E74A6" w:rsidRDefault="006532A4" w:rsidP="00CE62C1">
            <w:pPr>
              <w:spacing w:line="276" w:lineRule="auto"/>
              <w:jc w:val="center"/>
              <w:rPr>
                <w:rFonts w:cs="Calibri"/>
                <w:color w:val="000000"/>
                <w:sz w:val="20"/>
                <w:lang w:eastAsia="es-CR"/>
              </w:rPr>
            </w:pPr>
            <w:r w:rsidRPr="004E74A6">
              <w:rPr>
                <w:rFonts w:cs="Calibri"/>
                <w:color w:val="000000"/>
                <w:sz w:val="20"/>
              </w:rPr>
              <w:t>0,7</w:t>
            </w:r>
          </w:p>
        </w:tc>
      </w:tr>
      <w:tr w:rsidR="001F1695" w:rsidRPr="004E74A6" w14:paraId="278E1F36" w14:textId="77777777" w:rsidTr="00941062">
        <w:trPr>
          <w:trHeight w:val="288"/>
        </w:trPr>
        <w:tc>
          <w:tcPr>
            <w:tcW w:w="3033" w:type="pct"/>
            <w:tcBorders>
              <w:top w:val="nil"/>
              <w:left w:val="nil"/>
              <w:bottom w:val="nil"/>
              <w:right w:val="single" w:sz="4" w:space="0" w:color="auto"/>
            </w:tcBorders>
            <w:shd w:val="clear" w:color="auto" w:fill="auto"/>
            <w:noWrap/>
            <w:vAlign w:val="bottom"/>
            <w:hideMark/>
          </w:tcPr>
          <w:p w14:paraId="127B3B76" w14:textId="77777777" w:rsidR="001F1695" w:rsidRPr="004E74A6" w:rsidRDefault="001F1695" w:rsidP="00CE62C1">
            <w:pPr>
              <w:spacing w:line="276" w:lineRule="auto"/>
              <w:ind w:firstLineChars="200" w:firstLine="400"/>
              <w:jc w:val="left"/>
              <w:rPr>
                <w:rFonts w:cs="Calibri"/>
                <w:color w:val="000000"/>
                <w:sz w:val="20"/>
                <w:lang w:eastAsia="es-CR"/>
              </w:rPr>
            </w:pPr>
            <w:r w:rsidRPr="004E74A6">
              <w:rPr>
                <w:rFonts w:cs="Calibri"/>
                <w:color w:val="000000"/>
                <w:sz w:val="20"/>
                <w:lang w:eastAsia="es-CR"/>
              </w:rPr>
              <w:t>Disolución De Fundación</w:t>
            </w:r>
          </w:p>
        </w:tc>
        <w:tc>
          <w:tcPr>
            <w:tcW w:w="454" w:type="pct"/>
            <w:tcBorders>
              <w:top w:val="nil"/>
              <w:left w:val="single" w:sz="4" w:space="0" w:color="auto"/>
              <w:bottom w:val="nil"/>
              <w:right w:val="single" w:sz="4" w:space="0" w:color="auto"/>
            </w:tcBorders>
            <w:shd w:val="clear" w:color="auto" w:fill="auto"/>
            <w:noWrap/>
            <w:vAlign w:val="center"/>
            <w:hideMark/>
          </w:tcPr>
          <w:p w14:paraId="1CA4E367" w14:textId="77777777" w:rsidR="001F1695" w:rsidRPr="004E74A6" w:rsidRDefault="001F1695" w:rsidP="00CE62C1">
            <w:pPr>
              <w:spacing w:line="276" w:lineRule="auto"/>
              <w:jc w:val="center"/>
              <w:rPr>
                <w:rFonts w:cs="Calibri"/>
                <w:color w:val="000000"/>
                <w:sz w:val="20"/>
                <w:lang w:eastAsia="es-CR"/>
              </w:rPr>
            </w:pPr>
            <w:r w:rsidRPr="004E74A6">
              <w:rPr>
                <w:rFonts w:cs="Calibri"/>
                <w:color w:val="000000"/>
                <w:sz w:val="20"/>
                <w:lang w:eastAsia="es-CR"/>
              </w:rPr>
              <w:t>1</w:t>
            </w:r>
          </w:p>
        </w:tc>
        <w:tc>
          <w:tcPr>
            <w:tcW w:w="454" w:type="pct"/>
            <w:tcBorders>
              <w:top w:val="nil"/>
              <w:left w:val="single" w:sz="4" w:space="0" w:color="auto"/>
              <w:bottom w:val="nil"/>
              <w:right w:val="single" w:sz="4" w:space="0" w:color="auto"/>
            </w:tcBorders>
            <w:shd w:val="clear" w:color="auto" w:fill="auto"/>
            <w:noWrap/>
            <w:vAlign w:val="center"/>
            <w:hideMark/>
          </w:tcPr>
          <w:p w14:paraId="7CB4AF78" w14:textId="41095DCC" w:rsidR="001F1695" w:rsidRPr="004E74A6" w:rsidRDefault="006532A4" w:rsidP="00CE62C1">
            <w:pPr>
              <w:spacing w:line="276" w:lineRule="auto"/>
              <w:jc w:val="center"/>
              <w:rPr>
                <w:rFonts w:cs="Calibri"/>
                <w:color w:val="000000"/>
                <w:sz w:val="20"/>
                <w:lang w:eastAsia="es-CR"/>
              </w:rPr>
            </w:pPr>
            <w:r w:rsidRPr="004E74A6">
              <w:rPr>
                <w:rFonts w:cs="Calibri"/>
                <w:color w:val="000000"/>
                <w:sz w:val="20"/>
                <w:lang w:eastAsia="es-CR"/>
              </w:rPr>
              <w:t>0</w:t>
            </w:r>
          </w:p>
        </w:tc>
        <w:tc>
          <w:tcPr>
            <w:tcW w:w="454" w:type="pct"/>
            <w:tcBorders>
              <w:top w:val="nil"/>
              <w:left w:val="single" w:sz="4" w:space="0" w:color="auto"/>
              <w:bottom w:val="nil"/>
              <w:right w:val="single" w:sz="4" w:space="0" w:color="auto"/>
            </w:tcBorders>
            <w:shd w:val="clear" w:color="auto" w:fill="auto"/>
            <w:noWrap/>
            <w:vAlign w:val="center"/>
            <w:hideMark/>
          </w:tcPr>
          <w:p w14:paraId="3ABC929E" w14:textId="03E69C5D" w:rsidR="001F1695" w:rsidRPr="004E74A6" w:rsidRDefault="006532A4" w:rsidP="00CE62C1">
            <w:pPr>
              <w:spacing w:line="276" w:lineRule="auto"/>
              <w:jc w:val="center"/>
              <w:rPr>
                <w:sz w:val="20"/>
                <w:lang w:eastAsia="es-CR"/>
              </w:rPr>
            </w:pPr>
            <w:r w:rsidRPr="004E74A6">
              <w:rPr>
                <w:sz w:val="20"/>
                <w:lang w:eastAsia="es-CR"/>
              </w:rPr>
              <w:t>0</w:t>
            </w:r>
          </w:p>
        </w:tc>
        <w:tc>
          <w:tcPr>
            <w:tcW w:w="607" w:type="pct"/>
            <w:tcBorders>
              <w:top w:val="nil"/>
              <w:left w:val="single" w:sz="4" w:space="0" w:color="auto"/>
              <w:bottom w:val="nil"/>
              <w:right w:val="nil"/>
            </w:tcBorders>
            <w:shd w:val="clear" w:color="auto" w:fill="auto"/>
            <w:noWrap/>
            <w:vAlign w:val="center"/>
            <w:hideMark/>
          </w:tcPr>
          <w:p w14:paraId="6F519355" w14:textId="482D296E" w:rsidR="001F1695" w:rsidRPr="004E74A6" w:rsidRDefault="006532A4" w:rsidP="00CE62C1">
            <w:pPr>
              <w:spacing w:line="276" w:lineRule="auto"/>
              <w:jc w:val="center"/>
              <w:rPr>
                <w:rFonts w:cs="Calibri"/>
                <w:color w:val="000000"/>
                <w:sz w:val="20"/>
                <w:lang w:eastAsia="es-CR"/>
              </w:rPr>
            </w:pPr>
            <w:r w:rsidRPr="004E74A6">
              <w:rPr>
                <w:rFonts w:cs="Calibri"/>
                <w:color w:val="000000"/>
                <w:sz w:val="20"/>
              </w:rPr>
              <w:t>0,3</w:t>
            </w:r>
          </w:p>
        </w:tc>
      </w:tr>
      <w:tr w:rsidR="001F1695" w:rsidRPr="004E74A6" w14:paraId="51765A25" w14:textId="77777777" w:rsidTr="00941062">
        <w:trPr>
          <w:trHeight w:val="288"/>
        </w:trPr>
        <w:tc>
          <w:tcPr>
            <w:tcW w:w="3033" w:type="pct"/>
            <w:tcBorders>
              <w:top w:val="nil"/>
              <w:left w:val="nil"/>
              <w:bottom w:val="nil"/>
              <w:right w:val="single" w:sz="4" w:space="0" w:color="auto"/>
            </w:tcBorders>
            <w:shd w:val="clear" w:color="auto" w:fill="auto"/>
            <w:noWrap/>
            <w:vAlign w:val="bottom"/>
            <w:hideMark/>
          </w:tcPr>
          <w:p w14:paraId="125033DC" w14:textId="77777777" w:rsidR="001F1695" w:rsidRPr="004E74A6" w:rsidRDefault="001F1695" w:rsidP="00CE62C1">
            <w:pPr>
              <w:spacing w:line="276" w:lineRule="auto"/>
              <w:ind w:firstLineChars="200" w:firstLine="400"/>
              <w:jc w:val="left"/>
              <w:rPr>
                <w:rFonts w:cs="Calibri"/>
                <w:color w:val="000000"/>
                <w:sz w:val="20"/>
                <w:lang w:eastAsia="es-CR"/>
              </w:rPr>
            </w:pPr>
            <w:r w:rsidRPr="004E74A6">
              <w:rPr>
                <w:rFonts w:cs="Calibri"/>
                <w:color w:val="000000"/>
                <w:sz w:val="20"/>
                <w:lang w:eastAsia="es-CR"/>
              </w:rPr>
              <w:t>Ejecución De Sentencia</w:t>
            </w:r>
          </w:p>
        </w:tc>
        <w:tc>
          <w:tcPr>
            <w:tcW w:w="454" w:type="pct"/>
            <w:tcBorders>
              <w:top w:val="nil"/>
              <w:left w:val="single" w:sz="4" w:space="0" w:color="auto"/>
              <w:bottom w:val="nil"/>
              <w:right w:val="single" w:sz="4" w:space="0" w:color="auto"/>
            </w:tcBorders>
            <w:shd w:val="clear" w:color="auto" w:fill="auto"/>
            <w:noWrap/>
            <w:vAlign w:val="center"/>
            <w:hideMark/>
          </w:tcPr>
          <w:p w14:paraId="29E23F36" w14:textId="77777777" w:rsidR="001F1695" w:rsidRPr="004E74A6" w:rsidRDefault="001F1695" w:rsidP="00CE62C1">
            <w:pPr>
              <w:spacing w:line="276" w:lineRule="auto"/>
              <w:jc w:val="center"/>
              <w:rPr>
                <w:rFonts w:cs="Calibri"/>
                <w:color w:val="000000"/>
                <w:sz w:val="20"/>
                <w:lang w:eastAsia="es-CR"/>
              </w:rPr>
            </w:pPr>
            <w:r w:rsidRPr="004E74A6">
              <w:rPr>
                <w:rFonts w:cs="Calibri"/>
                <w:color w:val="000000"/>
                <w:sz w:val="20"/>
                <w:lang w:eastAsia="es-CR"/>
              </w:rPr>
              <w:t>1</w:t>
            </w:r>
          </w:p>
        </w:tc>
        <w:tc>
          <w:tcPr>
            <w:tcW w:w="454" w:type="pct"/>
            <w:tcBorders>
              <w:top w:val="nil"/>
              <w:left w:val="single" w:sz="4" w:space="0" w:color="auto"/>
              <w:bottom w:val="nil"/>
              <w:right w:val="single" w:sz="4" w:space="0" w:color="auto"/>
            </w:tcBorders>
            <w:shd w:val="clear" w:color="auto" w:fill="auto"/>
            <w:noWrap/>
            <w:vAlign w:val="center"/>
            <w:hideMark/>
          </w:tcPr>
          <w:p w14:paraId="679FCE9C" w14:textId="77777777" w:rsidR="001F1695" w:rsidRPr="004E74A6" w:rsidRDefault="001F1695" w:rsidP="00CE62C1">
            <w:pPr>
              <w:spacing w:line="276" w:lineRule="auto"/>
              <w:jc w:val="center"/>
              <w:rPr>
                <w:rFonts w:cs="Calibri"/>
                <w:color w:val="000000"/>
                <w:sz w:val="20"/>
                <w:lang w:eastAsia="es-CR"/>
              </w:rPr>
            </w:pPr>
            <w:r w:rsidRPr="004E74A6">
              <w:rPr>
                <w:rFonts w:cs="Calibri"/>
                <w:color w:val="000000"/>
                <w:sz w:val="20"/>
                <w:lang w:eastAsia="es-CR"/>
              </w:rPr>
              <w:t>1</w:t>
            </w:r>
          </w:p>
        </w:tc>
        <w:tc>
          <w:tcPr>
            <w:tcW w:w="454" w:type="pct"/>
            <w:tcBorders>
              <w:top w:val="nil"/>
              <w:left w:val="single" w:sz="4" w:space="0" w:color="auto"/>
              <w:bottom w:val="nil"/>
              <w:right w:val="single" w:sz="4" w:space="0" w:color="auto"/>
            </w:tcBorders>
            <w:shd w:val="clear" w:color="auto" w:fill="auto"/>
            <w:noWrap/>
            <w:vAlign w:val="center"/>
            <w:hideMark/>
          </w:tcPr>
          <w:p w14:paraId="78C62843" w14:textId="1F6035ED" w:rsidR="001F1695" w:rsidRPr="004E74A6" w:rsidRDefault="006532A4" w:rsidP="00CE62C1">
            <w:pPr>
              <w:spacing w:line="276" w:lineRule="auto"/>
              <w:jc w:val="center"/>
              <w:rPr>
                <w:rFonts w:cs="Calibri"/>
                <w:color w:val="000000"/>
                <w:sz w:val="20"/>
                <w:lang w:eastAsia="es-CR"/>
              </w:rPr>
            </w:pPr>
            <w:r w:rsidRPr="004E74A6">
              <w:rPr>
                <w:rFonts w:cs="Calibri"/>
                <w:color w:val="000000"/>
                <w:sz w:val="20"/>
                <w:lang w:eastAsia="es-CR"/>
              </w:rPr>
              <w:t>0</w:t>
            </w:r>
          </w:p>
        </w:tc>
        <w:tc>
          <w:tcPr>
            <w:tcW w:w="607" w:type="pct"/>
            <w:tcBorders>
              <w:top w:val="nil"/>
              <w:left w:val="single" w:sz="4" w:space="0" w:color="auto"/>
              <w:bottom w:val="nil"/>
              <w:right w:val="nil"/>
            </w:tcBorders>
            <w:shd w:val="clear" w:color="auto" w:fill="auto"/>
            <w:noWrap/>
            <w:vAlign w:val="center"/>
            <w:hideMark/>
          </w:tcPr>
          <w:p w14:paraId="65037A43" w14:textId="4C030991" w:rsidR="001F1695" w:rsidRPr="004E74A6" w:rsidRDefault="006532A4" w:rsidP="00CE62C1">
            <w:pPr>
              <w:spacing w:line="276" w:lineRule="auto"/>
              <w:jc w:val="center"/>
              <w:rPr>
                <w:rFonts w:cs="Calibri"/>
                <w:color w:val="000000"/>
                <w:sz w:val="20"/>
                <w:lang w:eastAsia="es-CR"/>
              </w:rPr>
            </w:pPr>
            <w:r w:rsidRPr="004E74A6">
              <w:rPr>
                <w:rFonts w:cs="Calibri"/>
                <w:color w:val="000000"/>
                <w:sz w:val="20"/>
              </w:rPr>
              <w:t>0,7</w:t>
            </w:r>
          </w:p>
        </w:tc>
      </w:tr>
      <w:tr w:rsidR="001F1695" w:rsidRPr="004E74A6" w14:paraId="4131FCE1" w14:textId="77777777" w:rsidTr="00941062">
        <w:trPr>
          <w:trHeight w:val="288"/>
        </w:trPr>
        <w:tc>
          <w:tcPr>
            <w:tcW w:w="3033" w:type="pct"/>
            <w:tcBorders>
              <w:top w:val="nil"/>
              <w:left w:val="nil"/>
              <w:bottom w:val="nil"/>
              <w:right w:val="single" w:sz="4" w:space="0" w:color="auto"/>
            </w:tcBorders>
            <w:shd w:val="clear" w:color="auto" w:fill="auto"/>
            <w:noWrap/>
            <w:vAlign w:val="bottom"/>
            <w:hideMark/>
          </w:tcPr>
          <w:p w14:paraId="446D164E" w14:textId="77777777" w:rsidR="001F1695" w:rsidRPr="004E74A6" w:rsidRDefault="001F1695" w:rsidP="00CE62C1">
            <w:pPr>
              <w:spacing w:line="276" w:lineRule="auto"/>
              <w:ind w:firstLineChars="200" w:firstLine="400"/>
              <w:jc w:val="left"/>
              <w:rPr>
                <w:rFonts w:cs="Calibri"/>
                <w:color w:val="000000"/>
                <w:sz w:val="20"/>
                <w:lang w:eastAsia="es-CR"/>
              </w:rPr>
            </w:pPr>
            <w:r w:rsidRPr="004E74A6">
              <w:rPr>
                <w:rFonts w:cs="Calibri"/>
                <w:color w:val="000000"/>
                <w:sz w:val="20"/>
                <w:lang w:eastAsia="es-CR"/>
              </w:rPr>
              <w:t>Incidente De Cobro Honorarios Abogado</w:t>
            </w:r>
          </w:p>
        </w:tc>
        <w:tc>
          <w:tcPr>
            <w:tcW w:w="454" w:type="pct"/>
            <w:tcBorders>
              <w:top w:val="nil"/>
              <w:left w:val="single" w:sz="4" w:space="0" w:color="auto"/>
              <w:bottom w:val="nil"/>
              <w:right w:val="single" w:sz="4" w:space="0" w:color="auto"/>
            </w:tcBorders>
            <w:shd w:val="clear" w:color="auto" w:fill="auto"/>
            <w:noWrap/>
            <w:vAlign w:val="center"/>
            <w:hideMark/>
          </w:tcPr>
          <w:p w14:paraId="27FD9883" w14:textId="5955E73F" w:rsidR="001F1695" w:rsidRPr="004E74A6" w:rsidRDefault="006532A4" w:rsidP="00CE62C1">
            <w:pPr>
              <w:spacing w:line="276" w:lineRule="auto"/>
              <w:jc w:val="center"/>
              <w:rPr>
                <w:sz w:val="20"/>
                <w:lang w:eastAsia="es-CR"/>
              </w:rPr>
            </w:pPr>
            <w:r w:rsidRPr="004E74A6">
              <w:rPr>
                <w:sz w:val="20"/>
                <w:lang w:eastAsia="es-CR"/>
              </w:rPr>
              <w:t>0</w:t>
            </w:r>
          </w:p>
        </w:tc>
        <w:tc>
          <w:tcPr>
            <w:tcW w:w="454" w:type="pct"/>
            <w:tcBorders>
              <w:top w:val="nil"/>
              <w:left w:val="single" w:sz="4" w:space="0" w:color="auto"/>
              <w:bottom w:val="nil"/>
              <w:right w:val="single" w:sz="4" w:space="0" w:color="auto"/>
            </w:tcBorders>
            <w:shd w:val="clear" w:color="auto" w:fill="auto"/>
            <w:noWrap/>
            <w:vAlign w:val="center"/>
            <w:hideMark/>
          </w:tcPr>
          <w:p w14:paraId="46D09BD4" w14:textId="77777777" w:rsidR="001F1695" w:rsidRPr="004E74A6" w:rsidRDefault="001F1695" w:rsidP="00CE62C1">
            <w:pPr>
              <w:spacing w:line="276" w:lineRule="auto"/>
              <w:jc w:val="center"/>
              <w:rPr>
                <w:rFonts w:cs="Calibri"/>
                <w:color w:val="000000"/>
                <w:sz w:val="20"/>
                <w:lang w:eastAsia="es-CR"/>
              </w:rPr>
            </w:pPr>
            <w:r w:rsidRPr="004E74A6">
              <w:rPr>
                <w:rFonts w:cs="Calibri"/>
                <w:color w:val="000000"/>
                <w:sz w:val="20"/>
                <w:lang w:eastAsia="es-CR"/>
              </w:rPr>
              <w:t>1</w:t>
            </w:r>
          </w:p>
        </w:tc>
        <w:tc>
          <w:tcPr>
            <w:tcW w:w="454" w:type="pct"/>
            <w:tcBorders>
              <w:top w:val="nil"/>
              <w:left w:val="single" w:sz="4" w:space="0" w:color="auto"/>
              <w:bottom w:val="nil"/>
              <w:right w:val="single" w:sz="4" w:space="0" w:color="auto"/>
            </w:tcBorders>
            <w:shd w:val="clear" w:color="auto" w:fill="auto"/>
            <w:noWrap/>
            <w:vAlign w:val="center"/>
            <w:hideMark/>
          </w:tcPr>
          <w:p w14:paraId="4BF6DD5F" w14:textId="49017E45" w:rsidR="001F1695" w:rsidRPr="004E74A6" w:rsidRDefault="006532A4" w:rsidP="00CE62C1">
            <w:pPr>
              <w:spacing w:line="276" w:lineRule="auto"/>
              <w:jc w:val="center"/>
              <w:rPr>
                <w:rFonts w:cs="Calibri"/>
                <w:color w:val="000000"/>
                <w:sz w:val="20"/>
                <w:lang w:eastAsia="es-CR"/>
              </w:rPr>
            </w:pPr>
            <w:r w:rsidRPr="004E74A6">
              <w:rPr>
                <w:rFonts w:cs="Calibri"/>
                <w:color w:val="000000"/>
                <w:sz w:val="20"/>
                <w:lang w:eastAsia="es-CR"/>
              </w:rPr>
              <w:t>0</w:t>
            </w:r>
          </w:p>
        </w:tc>
        <w:tc>
          <w:tcPr>
            <w:tcW w:w="607" w:type="pct"/>
            <w:tcBorders>
              <w:top w:val="nil"/>
              <w:left w:val="single" w:sz="4" w:space="0" w:color="auto"/>
              <w:bottom w:val="nil"/>
              <w:right w:val="nil"/>
            </w:tcBorders>
            <w:shd w:val="clear" w:color="auto" w:fill="auto"/>
            <w:noWrap/>
            <w:vAlign w:val="center"/>
            <w:hideMark/>
          </w:tcPr>
          <w:p w14:paraId="589758AE" w14:textId="48A4895F" w:rsidR="001F1695" w:rsidRPr="004E74A6" w:rsidRDefault="006532A4" w:rsidP="00CE62C1">
            <w:pPr>
              <w:spacing w:line="276" w:lineRule="auto"/>
              <w:jc w:val="center"/>
              <w:rPr>
                <w:rFonts w:cs="Calibri"/>
                <w:color w:val="000000"/>
                <w:sz w:val="20"/>
                <w:lang w:eastAsia="es-CR"/>
              </w:rPr>
            </w:pPr>
            <w:r w:rsidRPr="004E74A6">
              <w:rPr>
                <w:rFonts w:cs="Calibri"/>
                <w:color w:val="000000"/>
                <w:sz w:val="20"/>
              </w:rPr>
              <w:t>0,3</w:t>
            </w:r>
          </w:p>
        </w:tc>
      </w:tr>
      <w:tr w:rsidR="001F1695" w:rsidRPr="004E74A6" w14:paraId="2FE17B6A" w14:textId="77777777" w:rsidTr="00941062">
        <w:trPr>
          <w:trHeight w:val="288"/>
        </w:trPr>
        <w:tc>
          <w:tcPr>
            <w:tcW w:w="3033" w:type="pct"/>
            <w:tcBorders>
              <w:top w:val="nil"/>
              <w:left w:val="nil"/>
              <w:bottom w:val="nil"/>
              <w:right w:val="single" w:sz="4" w:space="0" w:color="auto"/>
            </w:tcBorders>
            <w:shd w:val="clear" w:color="auto" w:fill="auto"/>
            <w:noWrap/>
            <w:vAlign w:val="bottom"/>
            <w:hideMark/>
          </w:tcPr>
          <w:p w14:paraId="35BF0C45" w14:textId="77777777" w:rsidR="001F1695" w:rsidRPr="004E74A6" w:rsidRDefault="001F1695" w:rsidP="00CE62C1">
            <w:pPr>
              <w:spacing w:line="276" w:lineRule="auto"/>
              <w:ind w:firstLineChars="200" w:firstLine="400"/>
              <w:jc w:val="left"/>
              <w:rPr>
                <w:rFonts w:cs="Calibri"/>
                <w:color w:val="000000"/>
                <w:sz w:val="20"/>
                <w:lang w:eastAsia="es-CR"/>
              </w:rPr>
            </w:pPr>
            <w:r w:rsidRPr="004E74A6">
              <w:rPr>
                <w:rFonts w:cs="Calibri"/>
                <w:color w:val="000000"/>
                <w:sz w:val="20"/>
                <w:lang w:eastAsia="es-CR"/>
              </w:rPr>
              <w:t>Información Posesoria</w:t>
            </w:r>
          </w:p>
        </w:tc>
        <w:tc>
          <w:tcPr>
            <w:tcW w:w="454" w:type="pct"/>
            <w:tcBorders>
              <w:top w:val="nil"/>
              <w:left w:val="single" w:sz="4" w:space="0" w:color="auto"/>
              <w:bottom w:val="nil"/>
              <w:right w:val="single" w:sz="4" w:space="0" w:color="auto"/>
            </w:tcBorders>
            <w:shd w:val="clear" w:color="auto" w:fill="auto"/>
            <w:noWrap/>
            <w:vAlign w:val="center"/>
            <w:hideMark/>
          </w:tcPr>
          <w:p w14:paraId="7D46864F" w14:textId="4F952EFB" w:rsidR="001F1695" w:rsidRPr="004E74A6" w:rsidRDefault="006532A4" w:rsidP="00CE62C1">
            <w:pPr>
              <w:spacing w:line="276" w:lineRule="auto"/>
              <w:jc w:val="center"/>
              <w:rPr>
                <w:sz w:val="20"/>
                <w:lang w:eastAsia="es-CR"/>
              </w:rPr>
            </w:pPr>
            <w:r w:rsidRPr="004E74A6">
              <w:rPr>
                <w:sz w:val="20"/>
                <w:lang w:eastAsia="es-CR"/>
              </w:rPr>
              <w:t>0</w:t>
            </w:r>
          </w:p>
        </w:tc>
        <w:tc>
          <w:tcPr>
            <w:tcW w:w="454" w:type="pct"/>
            <w:tcBorders>
              <w:top w:val="nil"/>
              <w:left w:val="single" w:sz="4" w:space="0" w:color="auto"/>
              <w:bottom w:val="nil"/>
              <w:right w:val="single" w:sz="4" w:space="0" w:color="auto"/>
            </w:tcBorders>
            <w:shd w:val="clear" w:color="auto" w:fill="auto"/>
            <w:noWrap/>
            <w:vAlign w:val="center"/>
            <w:hideMark/>
          </w:tcPr>
          <w:p w14:paraId="159B7D56" w14:textId="29383DE2" w:rsidR="001F1695" w:rsidRPr="004E74A6" w:rsidRDefault="006532A4" w:rsidP="00CE62C1">
            <w:pPr>
              <w:spacing w:line="276" w:lineRule="auto"/>
              <w:jc w:val="center"/>
              <w:rPr>
                <w:sz w:val="20"/>
                <w:lang w:eastAsia="es-CR"/>
              </w:rPr>
            </w:pPr>
            <w:r w:rsidRPr="004E74A6">
              <w:rPr>
                <w:sz w:val="20"/>
                <w:lang w:eastAsia="es-CR"/>
              </w:rPr>
              <w:t>0</w:t>
            </w:r>
          </w:p>
        </w:tc>
        <w:tc>
          <w:tcPr>
            <w:tcW w:w="454" w:type="pct"/>
            <w:tcBorders>
              <w:top w:val="nil"/>
              <w:left w:val="single" w:sz="4" w:space="0" w:color="auto"/>
              <w:bottom w:val="nil"/>
              <w:right w:val="single" w:sz="4" w:space="0" w:color="auto"/>
            </w:tcBorders>
            <w:shd w:val="clear" w:color="auto" w:fill="auto"/>
            <w:noWrap/>
            <w:vAlign w:val="center"/>
            <w:hideMark/>
          </w:tcPr>
          <w:p w14:paraId="092410CE" w14:textId="77777777" w:rsidR="001F1695" w:rsidRPr="004E74A6" w:rsidRDefault="001F1695" w:rsidP="00CE62C1">
            <w:pPr>
              <w:spacing w:line="276" w:lineRule="auto"/>
              <w:jc w:val="center"/>
              <w:rPr>
                <w:rFonts w:cs="Calibri"/>
                <w:color w:val="000000"/>
                <w:sz w:val="20"/>
                <w:lang w:eastAsia="es-CR"/>
              </w:rPr>
            </w:pPr>
            <w:r w:rsidRPr="004E74A6">
              <w:rPr>
                <w:rFonts w:cs="Calibri"/>
                <w:color w:val="000000"/>
                <w:sz w:val="20"/>
                <w:lang w:eastAsia="es-CR"/>
              </w:rPr>
              <w:t>1</w:t>
            </w:r>
          </w:p>
        </w:tc>
        <w:tc>
          <w:tcPr>
            <w:tcW w:w="607" w:type="pct"/>
            <w:tcBorders>
              <w:top w:val="nil"/>
              <w:left w:val="single" w:sz="4" w:space="0" w:color="auto"/>
              <w:bottom w:val="nil"/>
              <w:right w:val="nil"/>
            </w:tcBorders>
            <w:shd w:val="clear" w:color="auto" w:fill="auto"/>
            <w:noWrap/>
            <w:vAlign w:val="center"/>
            <w:hideMark/>
          </w:tcPr>
          <w:p w14:paraId="47A56A07" w14:textId="31036A00" w:rsidR="001F1695" w:rsidRPr="004E74A6" w:rsidRDefault="006532A4" w:rsidP="00CE62C1">
            <w:pPr>
              <w:spacing w:line="276" w:lineRule="auto"/>
              <w:jc w:val="center"/>
              <w:rPr>
                <w:rFonts w:cs="Calibri"/>
                <w:color w:val="000000"/>
                <w:sz w:val="20"/>
                <w:lang w:eastAsia="es-CR"/>
              </w:rPr>
            </w:pPr>
            <w:r w:rsidRPr="004E74A6">
              <w:rPr>
                <w:rFonts w:cs="Calibri"/>
                <w:color w:val="000000"/>
                <w:sz w:val="20"/>
              </w:rPr>
              <w:t>0,3</w:t>
            </w:r>
          </w:p>
        </w:tc>
      </w:tr>
      <w:tr w:rsidR="001F1695" w:rsidRPr="004E74A6" w14:paraId="7272D13F" w14:textId="77777777" w:rsidTr="00941062">
        <w:trPr>
          <w:trHeight w:val="288"/>
        </w:trPr>
        <w:tc>
          <w:tcPr>
            <w:tcW w:w="3033" w:type="pct"/>
            <w:tcBorders>
              <w:top w:val="nil"/>
              <w:left w:val="nil"/>
              <w:bottom w:val="nil"/>
              <w:right w:val="single" w:sz="4" w:space="0" w:color="auto"/>
            </w:tcBorders>
            <w:shd w:val="clear" w:color="auto" w:fill="auto"/>
            <w:noWrap/>
            <w:vAlign w:val="bottom"/>
            <w:hideMark/>
          </w:tcPr>
          <w:p w14:paraId="7848686C" w14:textId="77777777" w:rsidR="001F1695" w:rsidRPr="004E74A6" w:rsidRDefault="001F1695" w:rsidP="00CE62C1">
            <w:pPr>
              <w:spacing w:line="276" w:lineRule="auto"/>
              <w:ind w:firstLineChars="200" w:firstLine="400"/>
              <w:jc w:val="left"/>
              <w:rPr>
                <w:rFonts w:cs="Calibri"/>
                <w:color w:val="000000"/>
                <w:sz w:val="20"/>
                <w:lang w:eastAsia="es-CR"/>
              </w:rPr>
            </w:pPr>
            <w:r w:rsidRPr="004E74A6">
              <w:rPr>
                <w:rFonts w:cs="Calibri"/>
                <w:color w:val="000000"/>
                <w:sz w:val="20"/>
                <w:lang w:eastAsia="es-CR"/>
              </w:rPr>
              <w:t>Interdicto</w:t>
            </w:r>
          </w:p>
        </w:tc>
        <w:tc>
          <w:tcPr>
            <w:tcW w:w="454" w:type="pct"/>
            <w:tcBorders>
              <w:top w:val="nil"/>
              <w:left w:val="single" w:sz="4" w:space="0" w:color="auto"/>
              <w:bottom w:val="nil"/>
              <w:right w:val="single" w:sz="4" w:space="0" w:color="auto"/>
            </w:tcBorders>
            <w:shd w:val="clear" w:color="auto" w:fill="auto"/>
            <w:noWrap/>
            <w:vAlign w:val="center"/>
            <w:hideMark/>
          </w:tcPr>
          <w:p w14:paraId="0CDAEC0D" w14:textId="4D8A65FC" w:rsidR="001F1695" w:rsidRPr="004E74A6" w:rsidRDefault="006532A4" w:rsidP="00CE62C1">
            <w:pPr>
              <w:spacing w:line="276" w:lineRule="auto"/>
              <w:jc w:val="center"/>
              <w:rPr>
                <w:sz w:val="20"/>
                <w:lang w:eastAsia="es-CR"/>
              </w:rPr>
            </w:pPr>
            <w:r w:rsidRPr="004E74A6">
              <w:rPr>
                <w:sz w:val="20"/>
                <w:lang w:eastAsia="es-CR"/>
              </w:rPr>
              <w:t>0</w:t>
            </w:r>
          </w:p>
        </w:tc>
        <w:tc>
          <w:tcPr>
            <w:tcW w:w="454" w:type="pct"/>
            <w:tcBorders>
              <w:top w:val="nil"/>
              <w:left w:val="single" w:sz="4" w:space="0" w:color="auto"/>
              <w:bottom w:val="nil"/>
              <w:right w:val="single" w:sz="4" w:space="0" w:color="auto"/>
            </w:tcBorders>
            <w:shd w:val="clear" w:color="auto" w:fill="auto"/>
            <w:noWrap/>
            <w:vAlign w:val="center"/>
            <w:hideMark/>
          </w:tcPr>
          <w:p w14:paraId="459E6917" w14:textId="6DAAD3C0" w:rsidR="001F1695" w:rsidRPr="004E74A6" w:rsidRDefault="006532A4" w:rsidP="00CE62C1">
            <w:pPr>
              <w:spacing w:line="276" w:lineRule="auto"/>
              <w:jc w:val="center"/>
              <w:rPr>
                <w:sz w:val="20"/>
                <w:lang w:eastAsia="es-CR"/>
              </w:rPr>
            </w:pPr>
            <w:r w:rsidRPr="004E74A6">
              <w:rPr>
                <w:sz w:val="20"/>
                <w:lang w:eastAsia="es-CR"/>
              </w:rPr>
              <w:t>0</w:t>
            </w:r>
          </w:p>
        </w:tc>
        <w:tc>
          <w:tcPr>
            <w:tcW w:w="454" w:type="pct"/>
            <w:tcBorders>
              <w:top w:val="nil"/>
              <w:left w:val="single" w:sz="4" w:space="0" w:color="auto"/>
              <w:bottom w:val="nil"/>
              <w:right w:val="single" w:sz="4" w:space="0" w:color="auto"/>
            </w:tcBorders>
            <w:shd w:val="clear" w:color="auto" w:fill="auto"/>
            <w:noWrap/>
            <w:vAlign w:val="center"/>
            <w:hideMark/>
          </w:tcPr>
          <w:p w14:paraId="6932844D" w14:textId="77777777" w:rsidR="001F1695" w:rsidRPr="004E74A6" w:rsidRDefault="001F1695" w:rsidP="00CE62C1">
            <w:pPr>
              <w:spacing w:line="276" w:lineRule="auto"/>
              <w:jc w:val="center"/>
              <w:rPr>
                <w:rFonts w:cs="Calibri"/>
                <w:color w:val="000000"/>
                <w:sz w:val="20"/>
                <w:lang w:eastAsia="es-CR"/>
              </w:rPr>
            </w:pPr>
            <w:r w:rsidRPr="004E74A6">
              <w:rPr>
                <w:rFonts w:cs="Calibri"/>
                <w:color w:val="000000"/>
                <w:sz w:val="20"/>
                <w:lang w:eastAsia="es-CR"/>
              </w:rPr>
              <w:t>1</w:t>
            </w:r>
          </w:p>
        </w:tc>
        <w:tc>
          <w:tcPr>
            <w:tcW w:w="607" w:type="pct"/>
            <w:tcBorders>
              <w:top w:val="nil"/>
              <w:left w:val="single" w:sz="4" w:space="0" w:color="auto"/>
              <w:bottom w:val="nil"/>
              <w:right w:val="nil"/>
            </w:tcBorders>
            <w:shd w:val="clear" w:color="auto" w:fill="auto"/>
            <w:noWrap/>
            <w:vAlign w:val="center"/>
            <w:hideMark/>
          </w:tcPr>
          <w:p w14:paraId="520A5BDB" w14:textId="6C28CB84" w:rsidR="001F1695" w:rsidRPr="004E74A6" w:rsidRDefault="006532A4" w:rsidP="00CE62C1">
            <w:pPr>
              <w:spacing w:line="276" w:lineRule="auto"/>
              <w:jc w:val="center"/>
              <w:rPr>
                <w:rFonts w:cs="Calibri"/>
                <w:color w:val="000000"/>
                <w:sz w:val="20"/>
                <w:lang w:eastAsia="es-CR"/>
              </w:rPr>
            </w:pPr>
            <w:r w:rsidRPr="004E74A6">
              <w:rPr>
                <w:rFonts w:cs="Calibri"/>
                <w:color w:val="000000"/>
                <w:sz w:val="20"/>
              </w:rPr>
              <w:t>0,3</w:t>
            </w:r>
          </w:p>
        </w:tc>
      </w:tr>
      <w:tr w:rsidR="001F1695" w:rsidRPr="004E74A6" w14:paraId="59D1E2AF" w14:textId="77777777" w:rsidTr="00941062">
        <w:trPr>
          <w:trHeight w:val="288"/>
        </w:trPr>
        <w:tc>
          <w:tcPr>
            <w:tcW w:w="3033" w:type="pct"/>
            <w:tcBorders>
              <w:top w:val="nil"/>
              <w:left w:val="nil"/>
              <w:bottom w:val="nil"/>
              <w:right w:val="single" w:sz="4" w:space="0" w:color="auto"/>
            </w:tcBorders>
            <w:shd w:val="clear" w:color="auto" w:fill="auto"/>
            <w:noWrap/>
            <w:vAlign w:val="bottom"/>
            <w:hideMark/>
          </w:tcPr>
          <w:p w14:paraId="39D26548" w14:textId="77777777" w:rsidR="001F1695" w:rsidRPr="004E74A6" w:rsidRDefault="001F1695" w:rsidP="00CE62C1">
            <w:pPr>
              <w:spacing w:line="276" w:lineRule="auto"/>
              <w:ind w:firstLineChars="200" w:firstLine="400"/>
              <w:jc w:val="left"/>
              <w:rPr>
                <w:rFonts w:cs="Calibri"/>
                <w:color w:val="000000"/>
                <w:sz w:val="20"/>
                <w:lang w:eastAsia="es-CR"/>
              </w:rPr>
            </w:pPr>
            <w:r w:rsidRPr="004E74A6">
              <w:rPr>
                <w:rFonts w:cs="Calibri"/>
                <w:color w:val="000000"/>
                <w:sz w:val="20"/>
                <w:lang w:eastAsia="es-CR"/>
              </w:rPr>
              <w:t>Liquidación Persona Jurídica</w:t>
            </w:r>
          </w:p>
        </w:tc>
        <w:tc>
          <w:tcPr>
            <w:tcW w:w="454" w:type="pct"/>
            <w:tcBorders>
              <w:top w:val="nil"/>
              <w:left w:val="single" w:sz="4" w:space="0" w:color="auto"/>
              <w:bottom w:val="nil"/>
              <w:right w:val="single" w:sz="4" w:space="0" w:color="auto"/>
            </w:tcBorders>
            <w:shd w:val="clear" w:color="auto" w:fill="auto"/>
            <w:noWrap/>
            <w:vAlign w:val="center"/>
            <w:hideMark/>
          </w:tcPr>
          <w:p w14:paraId="57845DB0" w14:textId="77777777" w:rsidR="001F1695" w:rsidRPr="004E74A6" w:rsidRDefault="001F1695" w:rsidP="00CE62C1">
            <w:pPr>
              <w:spacing w:line="276" w:lineRule="auto"/>
              <w:jc w:val="center"/>
              <w:rPr>
                <w:rFonts w:cs="Calibri"/>
                <w:color w:val="000000"/>
                <w:sz w:val="20"/>
                <w:lang w:eastAsia="es-CR"/>
              </w:rPr>
            </w:pPr>
            <w:r w:rsidRPr="004E74A6">
              <w:rPr>
                <w:rFonts w:cs="Calibri"/>
                <w:color w:val="000000"/>
                <w:sz w:val="20"/>
                <w:lang w:eastAsia="es-CR"/>
              </w:rPr>
              <w:t>1</w:t>
            </w:r>
          </w:p>
        </w:tc>
        <w:tc>
          <w:tcPr>
            <w:tcW w:w="454" w:type="pct"/>
            <w:tcBorders>
              <w:top w:val="nil"/>
              <w:left w:val="single" w:sz="4" w:space="0" w:color="auto"/>
              <w:bottom w:val="nil"/>
              <w:right w:val="single" w:sz="4" w:space="0" w:color="auto"/>
            </w:tcBorders>
            <w:shd w:val="clear" w:color="auto" w:fill="auto"/>
            <w:noWrap/>
            <w:vAlign w:val="center"/>
            <w:hideMark/>
          </w:tcPr>
          <w:p w14:paraId="0C0AFD4F" w14:textId="77777777" w:rsidR="001F1695" w:rsidRPr="004E74A6" w:rsidRDefault="001F1695" w:rsidP="00CE62C1">
            <w:pPr>
              <w:spacing w:line="276" w:lineRule="auto"/>
              <w:jc w:val="center"/>
              <w:rPr>
                <w:rFonts w:cs="Calibri"/>
                <w:color w:val="000000"/>
                <w:sz w:val="20"/>
                <w:lang w:eastAsia="es-CR"/>
              </w:rPr>
            </w:pPr>
            <w:r w:rsidRPr="004E74A6">
              <w:rPr>
                <w:rFonts w:cs="Calibri"/>
                <w:color w:val="000000"/>
                <w:sz w:val="20"/>
                <w:lang w:eastAsia="es-CR"/>
              </w:rPr>
              <w:t>2</w:t>
            </w:r>
          </w:p>
        </w:tc>
        <w:tc>
          <w:tcPr>
            <w:tcW w:w="454" w:type="pct"/>
            <w:tcBorders>
              <w:top w:val="nil"/>
              <w:left w:val="single" w:sz="4" w:space="0" w:color="auto"/>
              <w:bottom w:val="nil"/>
              <w:right w:val="single" w:sz="4" w:space="0" w:color="auto"/>
            </w:tcBorders>
            <w:shd w:val="clear" w:color="auto" w:fill="auto"/>
            <w:noWrap/>
            <w:vAlign w:val="center"/>
            <w:hideMark/>
          </w:tcPr>
          <w:p w14:paraId="1CA48768" w14:textId="51774A7D" w:rsidR="001F1695" w:rsidRPr="004E74A6" w:rsidRDefault="006532A4" w:rsidP="00CE62C1">
            <w:pPr>
              <w:spacing w:line="276" w:lineRule="auto"/>
              <w:jc w:val="center"/>
              <w:rPr>
                <w:rFonts w:cs="Calibri"/>
                <w:color w:val="000000"/>
                <w:sz w:val="20"/>
                <w:lang w:eastAsia="es-CR"/>
              </w:rPr>
            </w:pPr>
            <w:r w:rsidRPr="004E74A6">
              <w:rPr>
                <w:rFonts w:cs="Calibri"/>
                <w:color w:val="000000"/>
                <w:sz w:val="20"/>
                <w:lang w:eastAsia="es-CR"/>
              </w:rPr>
              <w:t>0</w:t>
            </w:r>
          </w:p>
        </w:tc>
        <w:tc>
          <w:tcPr>
            <w:tcW w:w="607" w:type="pct"/>
            <w:tcBorders>
              <w:top w:val="nil"/>
              <w:left w:val="single" w:sz="4" w:space="0" w:color="auto"/>
              <w:bottom w:val="nil"/>
              <w:right w:val="nil"/>
            </w:tcBorders>
            <w:shd w:val="clear" w:color="auto" w:fill="auto"/>
            <w:noWrap/>
            <w:vAlign w:val="center"/>
            <w:hideMark/>
          </w:tcPr>
          <w:p w14:paraId="6EEB7419" w14:textId="51080D12" w:rsidR="001F1695" w:rsidRPr="004E74A6" w:rsidRDefault="006532A4" w:rsidP="00CE62C1">
            <w:pPr>
              <w:spacing w:line="276" w:lineRule="auto"/>
              <w:jc w:val="center"/>
              <w:rPr>
                <w:rFonts w:cs="Calibri"/>
                <w:color w:val="000000"/>
                <w:sz w:val="20"/>
                <w:lang w:eastAsia="es-CR"/>
              </w:rPr>
            </w:pPr>
            <w:r w:rsidRPr="004E74A6">
              <w:rPr>
                <w:rFonts w:cs="Calibri"/>
                <w:color w:val="000000"/>
                <w:sz w:val="20"/>
              </w:rPr>
              <w:t>1</w:t>
            </w:r>
          </w:p>
        </w:tc>
      </w:tr>
      <w:tr w:rsidR="001F1695" w:rsidRPr="004E74A6" w14:paraId="2AAACC0C" w14:textId="77777777" w:rsidTr="00941062">
        <w:trPr>
          <w:trHeight w:val="288"/>
        </w:trPr>
        <w:tc>
          <w:tcPr>
            <w:tcW w:w="3033" w:type="pct"/>
            <w:tcBorders>
              <w:top w:val="nil"/>
              <w:left w:val="nil"/>
              <w:bottom w:val="nil"/>
              <w:right w:val="single" w:sz="4" w:space="0" w:color="auto"/>
            </w:tcBorders>
            <w:shd w:val="clear" w:color="auto" w:fill="auto"/>
            <w:noWrap/>
            <w:vAlign w:val="bottom"/>
            <w:hideMark/>
          </w:tcPr>
          <w:p w14:paraId="63F23A4D" w14:textId="77777777" w:rsidR="001F1695" w:rsidRPr="004E74A6" w:rsidRDefault="001F1695" w:rsidP="00CE62C1">
            <w:pPr>
              <w:spacing w:line="276" w:lineRule="auto"/>
              <w:ind w:firstLineChars="200" w:firstLine="400"/>
              <w:jc w:val="left"/>
              <w:rPr>
                <w:rFonts w:cs="Calibri"/>
                <w:color w:val="000000"/>
                <w:sz w:val="20"/>
                <w:lang w:eastAsia="es-CR"/>
              </w:rPr>
            </w:pPr>
            <w:r w:rsidRPr="004E74A6">
              <w:rPr>
                <w:rFonts w:cs="Calibri"/>
                <w:color w:val="000000"/>
                <w:sz w:val="20"/>
                <w:lang w:eastAsia="es-CR"/>
              </w:rPr>
              <w:t>Localización De Derechos</w:t>
            </w:r>
          </w:p>
        </w:tc>
        <w:tc>
          <w:tcPr>
            <w:tcW w:w="454" w:type="pct"/>
            <w:tcBorders>
              <w:top w:val="nil"/>
              <w:left w:val="single" w:sz="4" w:space="0" w:color="auto"/>
              <w:bottom w:val="nil"/>
              <w:right w:val="single" w:sz="4" w:space="0" w:color="auto"/>
            </w:tcBorders>
            <w:shd w:val="clear" w:color="auto" w:fill="auto"/>
            <w:noWrap/>
            <w:vAlign w:val="center"/>
            <w:hideMark/>
          </w:tcPr>
          <w:p w14:paraId="5EB376EF" w14:textId="65EFAD4A" w:rsidR="001F1695" w:rsidRPr="004E74A6" w:rsidRDefault="006532A4" w:rsidP="00CE62C1">
            <w:pPr>
              <w:spacing w:line="276" w:lineRule="auto"/>
              <w:jc w:val="center"/>
              <w:rPr>
                <w:sz w:val="20"/>
                <w:lang w:eastAsia="es-CR"/>
              </w:rPr>
            </w:pPr>
            <w:r w:rsidRPr="004E74A6">
              <w:rPr>
                <w:sz w:val="20"/>
                <w:lang w:eastAsia="es-CR"/>
              </w:rPr>
              <w:t>0</w:t>
            </w:r>
          </w:p>
        </w:tc>
        <w:tc>
          <w:tcPr>
            <w:tcW w:w="454" w:type="pct"/>
            <w:tcBorders>
              <w:top w:val="nil"/>
              <w:left w:val="single" w:sz="4" w:space="0" w:color="auto"/>
              <w:bottom w:val="nil"/>
              <w:right w:val="single" w:sz="4" w:space="0" w:color="auto"/>
            </w:tcBorders>
            <w:shd w:val="clear" w:color="auto" w:fill="auto"/>
            <w:noWrap/>
            <w:vAlign w:val="center"/>
            <w:hideMark/>
          </w:tcPr>
          <w:p w14:paraId="25E69C4C" w14:textId="6871845C" w:rsidR="001F1695" w:rsidRPr="004E74A6" w:rsidRDefault="006532A4" w:rsidP="00CE62C1">
            <w:pPr>
              <w:spacing w:line="276" w:lineRule="auto"/>
              <w:jc w:val="center"/>
              <w:rPr>
                <w:sz w:val="20"/>
                <w:lang w:eastAsia="es-CR"/>
              </w:rPr>
            </w:pPr>
            <w:r w:rsidRPr="004E74A6">
              <w:rPr>
                <w:sz w:val="20"/>
                <w:lang w:eastAsia="es-CR"/>
              </w:rPr>
              <w:t>0</w:t>
            </w:r>
          </w:p>
        </w:tc>
        <w:tc>
          <w:tcPr>
            <w:tcW w:w="454" w:type="pct"/>
            <w:tcBorders>
              <w:top w:val="nil"/>
              <w:left w:val="single" w:sz="4" w:space="0" w:color="auto"/>
              <w:bottom w:val="nil"/>
              <w:right w:val="single" w:sz="4" w:space="0" w:color="auto"/>
            </w:tcBorders>
            <w:shd w:val="clear" w:color="auto" w:fill="auto"/>
            <w:noWrap/>
            <w:vAlign w:val="center"/>
            <w:hideMark/>
          </w:tcPr>
          <w:p w14:paraId="1B06D18D" w14:textId="77777777" w:rsidR="001F1695" w:rsidRPr="004E74A6" w:rsidRDefault="001F1695" w:rsidP="00CE62C1">
            <w:pPr>
              <w:spacing w:line="276" w:lineRule="auto"/>
              <w:jc w:val="center"/>
              <w:rPr>
                <w:rFonts w:cs="Calibri"/>
                <w:color w:val="000000"/>
                <w:sz w:val="20"/>
                <w:lang w:eastAsia="es-CR"/>
              </w:rPr>
            </w:pPr>
            <w:r w:rsidRPr="004E74A6">
              <w:rPr>
                <w:rFonts w:cs="Calibri"/>
                <w:color w:val="000000"/>
                <w:sz w:val="20"/>
                <w:lang w:eastAsia="es-CR"/>
              </w:rPr>
              <w:t>1</w:t>
            </w:r>
          </w:p>
        </w:tc>
        <w:tc>
          <w:tcPr>
            <w:tcW w:w="607" w:type="pct"/>
            <w:tcBorders>
              <w:top w:val="nil"/>
              <w:left w:val="single" w:sz="4" w:space="0" w:color="auto"/>
              <w:bottom w:val="nil"/>
              <w:right w:val="nil"/>
            </w:tcBorders>
            <w:shd w:val="clear" w:color="auto" w:fill="auto"/>
            <w:noWrap/>
            <w:vAlign w:val="center"/>
            <w:hideMark/>
          </w:tcPr>
          <w:p w14:paraId="6FA1BBB4" w14:textId="3EA2A5CC" w:rsidR="001F1695" w:rsidRPr="004E74A6" w:rsidRDefault="006532A4" w:rsidP="00CE62C1">
            <w:pPr>
              <w:spacing w:line="276" w:lineRule="auto"/>
              <w:jc w:val="center"/>
              <w:rPr>
                <w:rFonts w:cs="Calibri"/>
                <w:color w:val="000000"/>
                <w:sz w:val="20"/>
                <w:lang w:eastAsia="es-CR"/>
              </w:rPr>
            </w:pPr>
            <w:r w:rsidRPr="004E74A6">
              <w:rPr>
                <w:rFonts w:cs="Calibri"/>
                <w:color w:val="000000"/>
                <w:sz w:val="20"/>
              </w:rPr>
              <w:t>0,3</w:t>
            </w:r>
          </w:p>
        </w:tc>
      </w:tr>
      <w:tr w:rsidR="001F1695" w:rsidRPr="004E74A6" w14:paraId="14002A35" w14:textId="77777777" w:rsidTr="00941062">
        <w:trPr>
          <w:trHeight w:val="288"/>
        </w:trPr>
        <w:tc>
          <w:tcPr>
            <w:tcW w:w="3033" w:type="pct"/>
            <w:tcBorders>
              <w:top w:val="nil"/>
              <w:left w:val="nil"/>
              <w:bottom w:val="nil"/>
              <w:right w:val="single" w:sz="4" w:space="0" w:color="auto"/>
            </w:tcBorders>
            <w:shd w:val="clear" w:color="auto" w:fill="auto"/>
            <w:noWrap/>
            <w:vAlign w:val="bottom"/>
            <w:hideMark/>
          </w:tcPr>
          <w:p w14:paraId="7562B250" w14:textId="77777777" w:rsidR="001F1695" w:rsidRPr="004E74A6" w:rsidRDefault="001F1695" w:rsidP="00CE62C1">
            <w:pPr>
              <w:spacing w:line="276" w:lineRule="auto"/>
              <w:ind w:firstLineChars="200" w:firstLine="400"/>
              <w:jc w:val="left"/>
              <w:rPr>
                <w:rFonts w:cs="Calibri"/>
                <w:color w:val="000000"/>
                <w:sz w:val="20"/>
                <w:lang w:eastAsia="es-CR"/>
              </w:rPr>
            </w:pPr>
            <w:r w:rsidRPr="004E74A6">
              <w:rPr>
                <w:rFonts w:cs="Calibri"/>
                <w:color w:val="000000"/>
                <w:sz w:val="20"/>
                <w:lang w:eastAsia="es-CR"/>
              </w:rPr>
              <w:t>Monitorio Arrendaticio</w:t>
            </w:r>
          </w:p>
        </w:tc>
        <w:tc>
          <w:tcPr>
            <w:tcW w:w="454" w:type="pct"/>
            <w:tcBorders>
              <w:top w:val="nil"/>
              <w:left w:val="single" w:sz="4" w:space="0" w:color="auto"/>
              <w:bottom w:val="nil"/>
              <w:right w:val="single" w:sz="4" w:space="0" w:color="auto"/>
            </w:tcBorders>
            <w:shd w:val="clear" w:color="auto" w:fill="auto"/>
            <w:noWrap/>
            <w:vAlign w:val="center"/>
            <w:hideMark/>
          </w:tcPr>
          <w:p w14:paraId="665F8B9D" w14:textId="36D7D0FE" w:rsidR="001F1695" w:rsidRPr="004E74A6" w:rsidRDefault="006532A4" w:rsidP="00CE62C1">
            <w:pPr>
              <w:spacing w:line="276" w:lineRule="auto"/>
              <w:jc w:val="center"/>
              <w:rPr>
                <w:sz w:val="20"/>
                <w:lang w:eastAsia="es-CR"/>
              </w:rPr>
            </w:pPr>
            <w:r w:rsidRPr="004E74A6">
              <w:rPr>
                <w:sz w:val="20"/>
                <w:lang w:eastAsia="es-CR"/>
              </w:rPr>
              <w:t>0</w:t>
            </w:r>
          </w:p>
        </w:tc>
        <w:tc>
          <w:tcPr>
            <w:tcW w:w="454" w:type="pct"/>
            <w:tcBorders>
              <w:top w:val="nil"/>
              <w:left w:val="single" w:sz="4" w:space="0" w:color="auto"/>
              <w:bottom w:val="nil"/>
              <w:right w:val="single" w:sz="4" w:space="0" w:color="auto"/>
            </w:tcBorders>
            <w:shd w:val="clear" w:color="auto" w:fill="auto"/>
            <w:noWrap/>
            <w:vAlign w:val="center"/>
            <w:hideMark/>
          </w:tcPr>
          <w:p w14:paraId="7A7BFD3E" w14:textId="10796356" w:rsidR="001F1695" w:rsidRPr="004E74A6" w:rsidRDefault="006532A4" w:rsidP="00CE62C1">
            <w:pPr>
              <w:spacing w:line="276" w:lineRule="auto"/>
              <w:jc w:val="center"/>
              <w:rPr>
                <w:sz w:val="20"/>
                <w:lang w:eastAsia="es-CR"/>
              </w:rPr>
            </w:pPr>
            <w:r w:rsidRPr="004E74A6">
              <w:rPr>
                <w:sz w:val="20"/>
                <w:lang w:eastAsia="es-CR"/>
              </w:rPr>
              <w:t>0</w:t>
            </w:r>
          </w:p>
        </w:tc>
        <w:tc>
          <w:tcPr>
            <w:tcW w:w="454" w:type="pct"/>
            <w:tcBorders>
              <w:top w:val="nil"/>
              <w:left w:val="single" w:sz="4" w:space="0" w:color="auto"/>
              <w:bottom w:val="nil"/>
              <w:right w:val="single" w:sz="4" w:space="0" w:color="auto"/>
            </w:tcBorders>
            <w:shd w:val="clear" w:color="auto" w:fill="auto"/>
            <w:noWrap/>
            <w:vAlign w:val="center"/>
            <w:hideMark/>
          </w:tcPr>
          <w:p w14:paraId="01AF335B" w14:textId="77777777" w:rsidR="001F1695" w:rsidRPr="004E74A6" w:rsidRDefault="001F1695" w:rsidP="00CE62C1">
            <w:pPr>
              <w:spacing w:line="276" w:lineRule="auto"/>
              <w:jc w:val="center"/>
              <w:rPr>
                <w:rFonts w:cs="Calibri"/>
                <w:color w:val="000000"/>
                <w:sz w:val="20"/>
                <w:lang w:eastAsia="es-CR"/>
              </w:rPr>
            </w:pPr>
            <w:r w:rsidRPr="004E74A6">
              <w:rPr>
                <w:rFonts w:cs="Calibri"/>
                <w:color w:val="000000"/>
                <w:sz w:val="20"/>
                <w:lang w:eastAsia="es-CR"/>
              </w:rPr>
              <w:t>1</w:t>
            </w:r>
          </w:p>
        </w:tc>
        <w:tc>
          <w:tcPr>
            <w:tcW w:w="607" w:type="pct"/>
            <w:tcBorders>
              <w:top w:val="nil"/>
              <w:left w:val="single" w:sz="4" w:space="0" w:color="auto"/>
              <w:bottom w:val="nil"/>
              <w:right w:val="nil"/>
            </w:tcBorders>
            <w:shd w:val="clear" w:color="auto" w:fill="auto"/>
            <w:noWrap/>
            <w:vAlign w:val="center"/>
            <w:hideMark/>
          </w:tcPr>
          <w:p w14:paraId="3951D90A" w14:textId="60C9584E" w:rsidR="001F1695" w:rsidRPr="004E74A6" w:rsidRDefault="006532A4" w:rsidP="00CE62C1">
            <w:pPr>
              <w:spacing w:line="276" w:lineRule="auto"/>
              <w:jc w:val="center"/>
              <w:rPr>
                <w:rFonts w:cs="Calibri"/>
                <w:color w:val="000000"/>
                <w:sz w:val="20"/>
                <w:lang w:eastAsia="es-CR"/>
              </w:rPr>
            </w:pPr>
            <w:r w:rsidRPr="004E74A6">
              <w:rPr>
                <w:rFonts w:cs="Calibri"/>
                <w:color w:val="000000"/>
                <w:sz w:val="20"/>
              </w:rPr>
              <w:t>0,3</w:t>
            </w:r>
          </w:p>
        </w:tc>
      </w:tr>
      <w:tr w:rsidR="001F1695" w:rsidRPr="004E74A6" w14:paraId="417A5589" w14:textId="77777777" w:rsidTr="00941062">
        <w:trPr>
          <w:trHeight w:val="288"/>
        </w:trPr>
        <w:tc>
          <w:tcPr>
            <w:tcW w:w="3033" w:type="pct"/>
            <w:tcBorders>
              <w:top w:val="nil"/>
              <w:left w:val="nil"/>
              <w:bottom w:val="nil"/>
              <w:right w:val="single" w:sz="4" w:space="0" w:color="auto"/>
            </w:tcBorders>
            <w:shd w:val="clear" w:color="auto" w:fill="auto"/>
            <w:noWrap/>
            <w:vAlign w:val="bottom"/>
            <w:hideMark/>
          </w:tcPr>
          <w:p w14:paraId="655FE800" w14:textId="77777777" w:rsidR="001F1695" w:rsidRPr="004E74A6" w:rsidRDefault="001F1695" w:rsidP="00CE62C1">
            <w:pPr>
              <w:spacing w:line="276" w:lineRule="auto"/>
              <w:ind w:firstLineChars="200" w:firstLine="400"/>
              <w:jc w:val="left"/>
              <w:rPr>
                <w:rFonts w:cs="Calibri"/>
                <w:color w:val="000000"/>
                <w:sz w:val="20"/>
                <w:lang w:eastAsia="es-CR"/>
              </w:rPr>
            </w:pPr>
            <w:r w:rsidRPr="004E74A6">
              <w:rPr>
                <w:rFonts w:cs="Calibri"/>
                <w:color w:val="000000"/>
                <w:sz w:val="20"/>
                <w:lang w:eastAsia="es-CR"/>
              </w:rPr>
              <w:t>No Contenciosos Especiales</w:t>
            </w:r>
          </w:p>
        </w:tc>
        <w:tc>
          <w:tcPr>
            <w:tcW w:w="454" w:type="pct"/>
            <w:tcBorders>
              <w:top w:val="nil"/>
              <w:left w:val="single" w:sz="4" w:space="0" w:color="auto"/>
              <w:bottom w:val="nil"/>
              <w:right w:val="single" w:sz="4" w:space="0" w:color="auto"/>
            </w:tcBorders>
            <w:shd w:val="clear" w:color="auto" w:fill="auto"/>
            <w:noWrap/>
            <w:vAlign w:val="center"/>
            <w:hideMark/>
          </w:tcPr>
          <w:p w14:paraId="2B544369" w14:textId="1BE4A386" w:rsidR="001F1695" w:rsidRPr="004E74A6" w:rsidRDefault="006532A4" w:rsidP="00CE62C1">
            <w:pPr>
              <w:spacing w:line="276" w:lineRule="auto"/>
              <w:jc w:val="center"/>
              <w:rPr>
                <w:sz w:val="20"/>
                <w:lang w:eastAsia="es-CR"/>
              </w:rPr>
            </w:pPr>
            <w:r w:rsidRPr="004E74A6">
              <w:rPr>
                <w:sz w:val="20"/>
                <w:lang w:eastAsia="es-CR"/>
              </w:rPr>
              <w:t>0</w:t>
            </w:r>
          </w:p>
        </w:tc>
        <w:tc>
          <w:tcPr>
            <w:tcW w:w="454" w:type="pct"/>
            <w:tcBorders>
              <w:top w:val="nil"/>
              <w:left w:val="single" w:sz="4" w:space="0" w:color="auto"/>
              <w:bottom w:val="nil"/>
              <w:right w:val="single" w:sz="4" w:space="0" w:color="auto"/>
            </w:tcBorders>
            <w:shd w:val="clear" w:color="auto" w:fill="auto"/>
            <w:noWrap/>
            <w:vAlign w:val="center"/>
            <w:hideMark/>
          </w:tcPr>
          <w:p w14:paraId="5AAACCD7" w14:textId="77777777" w:rsidR="001F1695" w:rsidRPr="004E74A6" w:rsidRDefault="001F1695" w:rsidP="00CE62C1">
            <w:pPr>
              <w:spacing w:line="276" w:lineRule="auto"/>
              <w:jc w:val="center"/>
              <w:rPr>
                <w:rFonts w:cs="Calibri"/>
                <w:color w:val="000000"/>
                <w:sz w:val="20"/>
                <w:lang w:eastAsia="es-CR"/>
              </w:rPr>
            </w:pPr>
            <w:r w:rsidRPr="004E74A6">
              <w:rPr>
                <w:rFonts w:cs="Calibri"/>
                <w:color w:val="000000"/>
                <w:sz w:val="20"/>
                <w:lang w:eastAsia="es-CR"/>
              </w:rPr>
              <w:t>1</w:t>
            </w:r>
          </w:p>
        </w:tc>
        <w:tc>
          <w:tcPr>
            <w:tcW w:w="454" w:type="pct"/>
            <w:tcBorders>
              <w:top w:val="nil"/>
              <w:left w:val="single" w:sz="4" w:space="0" w:color="auto"/>
              <w:bottom w:val="nil"/>
              <w:right w:val="single" w:sz="4" w:space="0" w:color="auto"/>
            </w:tcBorders>
            <w:shd w:val="clear" w:color="auto" w:fill="auto"/>
            <w:noWrap/>
            <w:vAlign w:val="center"/>
            <w:hideMark/>
          </w:tcPr>
          <w:p w14:paraId="658128B3" w14:textId="2D6217E2" w:rsidR="001F1695" w:rsidRPr="004E74A6" w:rsidRDefault="006532A4" w:rsidP="00CE62C1">
            <w:pPr>
              <w:spacing w:line="276" w:lineRule="auto"/>
              <w:jc w:val="center"/>
              <w:rPr>
                <w:rFonts w:cs="Calibri"/>
                <w:color w:val="000000"/>
                <w:sz w:val="20"/>
                <w:lang w:eastAsia="es-CR"/>
              </w:rPr>
            </w:pPr>
            <w:r w:rsidRPr="004E74A6">
              <w:rPr>
                <w:rFonts w:cs="Calibri"/>
                <w:color w:val="000000"/>
                <w:sz w:val="20"/>
                <w:lang w:eastAsia="es-CR"/>
              </w:rPr>
              <w:t>0</w:t>
            </w:r>
          </w:p>
        </w:tc>
        <w:tc>
          <w:tcPr>
            <w:tcW w:w="607" w:type="pct"/>
            <w:tcBorders>
              <w:top w:val="nil"/>
              <w:left w:val="single" w:sz="4" w:space="0" w:color="auto"/>
              <w:bottom w:val="nil"/>
              <w:right w:val="nil"/>
            </w:tcBorders>
            <w:shd w:val="clear" w:color="auto" w:fill="auto"/>
            <w:noWrap/>
            <w:vAlign w:val="center"/>
            <w:hideMark/>
          </w:tcPr>
          <w:p w14:paraId="270337A4" w14:textId="78AE83A3" w:rsidR="001F1695" w:rsidRPr="004E74A6" w:rsidRDefault="006532A4" w:rsidP="00CE62C1">
            <w:pPr>
              <w:spacing w:line="276" w:lineRule="auto"/>
              <w:jc w:val="center"/>
              <w:rPr>
                <w:rFonts w:cs="Calibri"/>
                <w:color w:val="000000"/>
                <w:sz w:val="20"/>
                <w:lang w:eastAsia="es-CR"/>
              </w:rPr>
            </w:pPr>
            <w:r w:rsidRPr="004E74A6">
              <w:rPr>
                <w:rFonts w:cs="Calibri"/>
                <w:color w:val="000000"/>
                <w:sz w:val="20"/>
              </w:rPr>
              <w:t>0,3</w:t>
            </w:r>
          </w:p>
        </w:tc>
      </w:tr>
      <w:tr w:rsidR="001F1695" w:rsidRPr="004E74A6" w14:paraId="60C803C5" w14:textId="77777777" w:rsidTr="00EA4D94">
        <w:trPr>
          <w:trHeight w:val="288"/>
        </w:trPr>
        <w:tc>
          <w:tcPr>
            <w:tcW w:w="3033" w:type="pct"/>
            <w:tcBorders>
              <w:top w:val="nil"/>
              <w:left w:val="nil"/>
              <w:bottom w:val="nil"/>
              <w:right w:val="single" w:sz="4" w:space="0" w:color="auto"/>
            </w:tcBorders>
            <w:shd w:val="clear" w:color="auto" w:fill="C5E0B3" w:themeFill="accent6" w:themeFillTint="66"/>
            <w:noWrap/>
            <w:vAlign w:val="bottom"/>
            <w:hideMark/>
          </w:tcPr>
          <w:p w14:paraId="0D304323" w14:textId="77777777" w:rsidR="001F1695" w:rsidRPr="004E74A6" w:rsidRDefault="001F1695" w:rsidP="00CE62C1">
            <w:pPr>
              <w:spacing w:line="276" w:lineRule="auto"/>
              <w:ind w:firstLineChars="200" w:firstLine="400"/>
              <w:jc w:val="left"/>
              <w:rPr>
                <w:rFonts w:cs="Calibri"/>
                <w:color w:val="000000"/>
                <w:sz w:val="20"/>
                <w:lang w:eastAsia="es-CR"/>
              </w:rPr>
            </w:pPr>
            <w:r w:rsidRPr="004E74A6">
              <w:rPr>
                <w:rFonts w:cs="Calibri"/>
                <w:color w:val="000000"/>
                <w:sz w:val="20"/>
                <w:lang w:eastAsia="es-CR"/>
              </w:rPr>
              <w:t>Ordinario</w:t>
            </w:r>
          </w:p>
        </w:tc>
        <w:tc>
          <w:tcPr>
            <w:tcW w:w="454" w:type="pct"/>
            <w:tcBorders>
              <w:top w:val="nil"/>
              <w:left w:val="single" w:sz="4" w:space="0" w:color="auto"/>
              <w:bottom w:val="nil"/>
              <w:right w:val="single" w:sz="4" w:space="0" w:color="auto"/>
            </w:tcBorders>
            <w:shd w:val="clear" w:color="auto" w:fill="C5E0B3" w:themeFill="accent6" w:themeFillTint="66"/>
            <w:noWrap/>
            <w:vAlign w:val="center"/>
            <w:hideMark/>
          </w:tcPr>
          <w:p w14:paraId="0F8C4B71" w14:textId="77777777" w:rsidR="001F1695" w:rsidRPr="004E74A6" w:rsidRDefault="001F1695" w:rsidP="00CE62C1">
            <w:pPr>
              <w:spacing w:line="276" w:lineRule="auto"/>
              <w:jc w:val="center"/>
              <w:rPr>
                <w:rFonts w:cs="Calibri"/>
                <w:color w:val="000000"/>
                <w:sz w:val="20"/>
                <w:lang w:eastAsia="es-CR"/>
              </w:rPr>
            </w:pPr>
            <w:r w:rsidRPr="004E74A6">
              <w:rPr>
                <w:rFonts w:cs="Calibri"/>
                <w:color w:val="000000"/>
                <w:sz w:val="20"/>
                <w:lang w:eastAsia="es-CR"/>
              </w:rPr>
              <w:t>322</w:t>
            </w:r>
          </w:p>
        </w:tc>
        <w:tc>
          <w:tcPr>
            <w:tcW w:w="454" w:type="pct"/>
            <w:tcBorders>
              <w:top w:val="nil"/>
              <w:left w:val="single" w:sz="4" w:space="0" w:color="auto"/>
              <w:bottom w:val="nil"/>
              <w:right w:val="single" w:sz="4" w:space="0" w:color="auto"/>
            </w:tcBorders>
            <w:shd w:val="clear" w:color="auto" w:fill="C5E0B3" w:themeFill="accent6" w:themeFillTint="66"/>
            <w:noWrap/>
            <w:vAlign w:val="center"/>
            <w:hideMark/>
          </w:tcPr>
          <w:p w14:paraId="1436EA99" w14:textId="77777777" w:rsidR="001F1695" w:rsidRPr="004E74A6" w:rsidRDefault="001F1695" w:rsidP="00CE62C1">
            <w:pPr>
              <w:spacing w:line="276" w:lineRule="auto"/>
              <w:jc w:val="center"/>
              <w:rPr>
                <w:rFonts w:cs="Calibri"/>
                <w:color w:val="000000"/>
                <w:sz w:val="20"/>
                <w:lang w:eastAsia="es-CR"/>
              </w:rPr>
            </w:pPr>
            <w:r w:rsidRPr="004E74A6">
              <w:rPr>
                <w:rFonts w:cs="Calibri"/>
                <w:color w:val="000000"/>
                <w:sz w:val="20"/>
                <w:lang w:eastAsia="es-CR"/>
              </w:rPr>
              <w:t>249</w:t>
            </w:r>
          </w:p>
        </w:tc>
        <w:tc>
          <w:tcPr>
            <w:tcW w:w="454" w:type="pct"/>
            <w:tcBorders>
              <w:top w:val="nil"/>
              <w:left w:val="single" w:sz="4" w:space="0" w:color="auto"/>
              <w:bottom w:val="nil"/>
              <w:right w:val="single" w:sz="4" w:space="0" w:color="auto"/>
            </w:tcBorders>
            <w:shd w:val="clear" w:color="auto" w:fill="C5E0B3" w:themeFill="accent6" w:themeFillTint="66"/>
            <w:noWrap/>
            <w:vAlign w:val="center"/>
            <w:hideMark/>
          </w:tcPr>
          <w:p w14:paraId="19D29A12" w14:textId="77777777" w:rsidR="001F1695" w:rsidRPr="004E74A6" w:rsidRDefault="001F1695" w:rsidP="00CE62C1">
            <w:pPr>
              <w:spacing w:line="276" w:lineRule="auto"/>
              <w:jc w:val="center"/>
              <w:rPr>
                <w:rFonts w:cs="Calibri"/>
                <w:color w:val="000000"/>
                <w:sz w:val="20"/>
                <w:lang w:eastAsia="es-CR"/>
              </w:rPr>
            </w:pPr>
            <w:r w:rsidRPr="004E74A6">
              <w:rPr>
                <w:rFonts w:cs="Calibri"/>
                <w:color w:val="000000"/>
                <w:sz w:val="20"/>
                <w:lang w:eastAsia="es-CR"/>
              </w:rPr>
              <w:t>249</w:t>
            </w:r>
          </w:p>
        </w:tc>
        <w:tc>
          <w:tcPr>
            <w:tcW w:w="607" w:type="pct"/>
            <w:tcBorders>
              <w:top w:val="nil"/>
              <w:left w:val="single" w:sz="4" w:space="0" w:color="auto"/>
              <w:bottom w:val="nil"/>
              <w:right w:val="nil"/>
            </w:tcBorders>
            <w:shd w:val="clear" w:color="auto" w:fill="C5E0B3" w:themeFill="accent6" w:themeFillTint="66"/>
            <w:noWrap/>
            <w:vAlign w:val="center"/>
            <w:hideMark/>
          </w:tcPr>
          <w:p w14:paraId="3F6D57A4" w14:textId="2D0A933F" w:rsidR="001F1695" w:rsidRPr="004E74A6" w:rsidRDefault="001F1695" w:rsidP="00CE62C1">
            <w:pPr>
              <w:spacing w:line="276" w:lineRule="auto"/>
              <w:jc w:val="center"/>
              <w:rPr>
                <w:rFonts w:cs="Calibri"/>
                <w:color w:val="000000"/>
                <w:sz w:val="20"/>
                <w:lang w:eastAsia="es-CR"/>
              </w:rPr>
            </w:pPr>
            <w:r w:rsidRPr="004E74A6">
              <w:rPr>
                <w:rFonts w:cs="Calibri"/>
                <w:color w:val="000000"/>
                <w:sz w:val="20"/>
              </w:rPr>
              <w:t>273</w:t>
            </w:r>
          </w:p>
        </w:tc>
      </w:tr>
      <w:tr w:rsidR="001F1695" w:rsidRPr="004E74A6" w14:paraId="7E0F9151" w14:textId="77777777" w:rsidTr="00941062">
        <w:trPr>
          <w:trHeight w:val="288"/>
        </w:trPr>
        <w:tc>
          <w:tcPr>
            <w:tcW w:w="3033" w:type="pct"/>
            <w:tcBorders>
              <w:top w:val="nil"/>
              <w:left w:val="nil"/>
              <w:bottom w:val="nil"/>
              <w:right w:val="single" w:sz="4" w:space="0" w:color="auto"/>
            </w:tcBorders>
            <w:shd w:val="clear" w:color="auto" w:fill="auto"/>
            <w:noWrap/>
            <w:vAlign w:val="bottom"/>
            <w:hideMark/>
          </w:tcPr>
          <w:p w14:paraId="74458A8F" w14:textId="77777777" w:rsidR="001F1695" w:rsidRPr="004E74A6" w:rsidRDefault="001F1695" w:rsidP="00CE62C1">
            <w:pPr>
              <w:spacing w:line="276" w:lineRule="auto"/>
              <w:ind w:firstLineChars="200" w:firstLine="400"/>
              <w:jc w:val="left"/>
              <w:rPr>
                <w:rFonts w:cs="Calibri"/>
                <w:color w:val="000000"/>
                <w:sz w:val="20"/>
                <w:lang w:eastAsia="es-CR"/>
              </w:rPr>
            </w:pPr>
            <w:r w:rsidRPr="004E74A6">
              <w:rPr>
                <w:rFonts w:cs="Calibri"/>
                <w:color w:val="000000"/>
                <w:sz w:val="20"/>
                <w:lang w:eastAsia="es-CR"/>
              </w:rPr>
              <w:t>Otras Jurisdicciones</w:t>
            </w:r>
          </w:p>
        </w:tc>
        <w:tc>
          <w:tcPr>
            <w:tcW w:w="454" w:type="pct"/>
            <w:tcBorders>
              <w:top w:val="nil"/>
              <w:left w:val="single" w:sz="4" w:space="0" w:color="auto"/>
              <w:bottom w:val="nil"/>
              <w:right w:val="single" w:sz="4" w:space="0" w:color="auto"/>
            </w:tcBorders>
            <w:shd w:val="clear" w:color="auto" w:fill="auto"/>
            <w:noWrap/>
            <w:vAlign w:val="center"/>
            <w:hideMark/>
          </w:tcPr>
          <w:p w14:paraId="2AE182AB" w14:textId="1EC2EB34" w:rsidR="001F1695" w:rsidRPr="004E74A6" w:rsidRDefault="006532A4" w:rsidP="00CE62C1">
            <w:pPr>
              <w:spacing w:line="276" w:lineRule="auto"/>
              <w:jc w:val="center"/>
              <w:rPr>
                <w:sz w:val="20"/>
                <w:lang w:eastAsia="es-CR"/>
              </w:rPr>
            </w:pPr>
            <w:r w:rsidRPr="004E74A6">
              <w:rPr>
                <w:sz w:val="20"/>
                <w:lang w:eastAsia="es-CR"/>
              </w:rPr>
              <w:t>0</w:t>
            </w:r>
          </w:p>
        </w:tc>
        <w:tc>
          <w:tcPr>
            <w:tcW w:w="454" w:type="pct"/>
            <w:tcBorders>
              <w:top w:val="nil"/>
              <w:left w:val="single" w:sz="4" w:space="0" w:color="auto"/>
              <w:bottom w:val="nil"/>
              <w:right w:val="single" w:sz="4" w:space="0" w:color="auto"/>
            </w:tcBorders>
            <w:shd w:val="clear" w:color="auto" w:fill="auto"/>
            <w:noWrap/>
            <w:vAlign w:val="center"/>
            <w:hideMark/>
          </w:tcPr>
          <w:p w14:paraId="285E9132" w14:textId="273B0887" w:rsidR="001F1695" w:rsidRPr="004E74A6" w:rsidRDefault="006532A4" w:rsidP="00CE62C1">
            <w:pPr>
              <w:spacing w:line="276" w:lineRule="auto"/>
              <w:jc w:val="center"/>
              <w:rPr>
                <w:sz w:val="20"/>
                <w:lang w:eastAsia="es-CR"/>
              </w:rPr>
            </w:pPr>
            <w:r w:rsidRPr="004E74A6">
              <w:rPr>
                <w:sz w:val="20"/>
                <w:lang w:eastAsia="es-CR"/>
              </w:rPr>
              <w:t>0</w:t>
            </w:r>
          </w:p>
        </w:tc>
        <w:tc>
          <w:tcPr>
            <w:tcW w:w="454" w:type="pct"/>
            <w:tcBorders>
              <w:top w:val="nil"/>
              <w:left w:val="single" w:sz="4" w:space="0" w:color="auto"/>
              <w:bottom w:val="nil"/>
              <w:right w:val="single" w:sz="4" w:space="0" w:color="auto"/>
            </w:tcBorders>
            <w:shd w:val="clear" w:color="auto" w:fill="auto"/>
            <w:noWrap/>
            <w:vAlign w:val="center"/>
            <w:hideMark/>
          </w:tcPr>
          <w:p w14:paraId="4EF4F20C" w14:textId="77777777" w:rsidR="001F1695" w:rsidRPr="004E74A6" w:rsidRDefault="001F1695" w:rsidP="00CE62C1">
            <w:pPr>
              <w:spacing w:line="276" w:lineRule="auto"/>
              <w:jc w:val="center"/>
              <w:rPr>
                <w:rFonts w:cs="Calibri"/>
                <w:color w:val="000000"/>
                <w:sz w:val="20"/>
                <w:lang w:eastAsia="es-CR"/>
              </w:rPr>
            </w:pPr>
            <w:r w:rsidRPr="004E74A6">
              <w:rPr>
                <w:rFonts w:cs="Calibri"/>
                <w:color w:val="000000"/>
                <w:sz w:val="20"/>
                <w:lang w:eastAsia="es-CR"/>
              </w:rPr>
              <w:t>2</w:t>
            </w:r>
          </w:p>
        </w:tc>
        <w:tc>
          <w:tcPr>
            <w:tcW w:w="607" w:type="pct"/>
            <w:tcBorders>
              <w:top w:val="nil"/>
              <w:left w:val="single" w:sz="4" w:space="0" w:color="auto"/>
              <w:bottom w:val="nil"/>
              <w:right w:val="nil"/>
            </w:tcBorders>
            <w:shd w:val="clear" w:color="auto" w:fill="auto"/>
            <w:noWrap/>
            <w:vAlign w:val="center"/>
            <w:hideMark/>
          </w:tcPr>
          <w:p w14:paraId="25F689C2" w14:textId="5DF5DBB1" w:rsidR="001F1695" w:rsidRPr="004E74A6" w:rsidRDefault="006532A4" w:rsidP="00CE62C1">
            <w:pPr>
              <w:spacing w:line="276" w:lineRule="auto"/>
              <w:jc w:val="center"/>
              <w:rPr>
                <w:rFonts w:cs="Calibri"/>
                <w:color w:val="000000"/>
                <w:sz w:val="20"/>
                <w:lang w:eastAsia="es-CR"/>
              </w:rPr>
            </w:pPr>
            <w:r w:rsidRPr="004E74A6">
              <w:rPr>
                <w:rFonts w:cs="Calibri"/>
                <w:color w:val="000000"/>
                <w:sz w:val="20"/>
              </w:rPr>
              <w:t>0,7</w:t>
            </w:r>
          </w:p>
        </w:tc>
      </w:tr>
      <w:tr w:rsidR="001F1695" w:rsidRPr="004E74A6" w14:paraId="21868A13" w14:textId="77777777" w:rsidTr="00941062">
        <w:trPr>
          <w:trHeight w:val="288"/>
        </w:trPr>
        <w:tc>
          <w:tcPr>
            <w:tcW w:w="3033" w:type="pct"/>
            <w:tcBorders>
              <w:top w:val="nil"/>
              <w:left w:val="nil"/>
              <w:bottom w:val="nil"/>
              <w:right w:val="single" w:sz="4" w:space="0" w:color="auto"/>
            </w:tcBorders>
            <w:shd w:val="clear" w:color="auto" w:fill="auto"/>
            <w:noWrap/>
            <w:vAlign w:val="bottom"/>
            <w:hideMark/>
          </w:tcPr>
          <w:p w14:paraId="3646D952" w14:textId="77777777" w:rsidR="001F1695" w:rsidRPr="004E74A6" w:rsidRDefault="001F1695" w:rsidP="00CE62C1">
            <w:pPr>
              <w:spacing w:line="276" w:lineRule="auto"/>
              <w:ind w:firstLineChars="200" w:firstLine="400"/>
              <w:jc w:val="left"/>
              <w:rPr>
                <w:rFonts w:cs="Calibri"/>
                <w:color w:val="000000"/>
                <w:sz w:val="20"/>
                <w:lang w:eastAsia="es-CR"/>
              </w:rPr>
            </w:pPr>
            <w:r w:rsidRPr="004E74A6">
              <w:rPr>
                <w:rFonts w:cs="Calibri"/>
                <w:color w:val="000000"/>
                <w:sz w:val="20"/>
                <w:lang w:eastAsia="es-CR"/>
              </w:rPr>
              <w:t>Sucesorio</w:t>
            </w:r>
          </w:p>
        </w:tc>
        <w:tc>
          <w:tcPr>
            <w:tcW w:w="454" w:type="pct"/>
            <w:tcBorders>
              <w:top w:val="nil"/>
              <w:left w:val="single" w:sz="4" w:space="0" w:color="auto"/>
              <w:bottom w:val="nil"/>
              <w:right w:val="single" w:sz="4" w:space="0" w:color="auto"/>
            </w:tcBorders>
            <w:shd w:val="clear" w:color="auto" w:fill="auto"/>
            <w:noWrap/>
            <w:vAlign w:val="center"/>
            <w:hideMark/>
          </w:tcPr>
          <w:p w14:paraId="570BF33B" w14:textId="36C5DA4C" w:rsidR="001F1695" w:rsidRPr="004E74A6" w:rsidRDefault="006532A4" w:rsidP="00CE62C1">
            <w:pPr>
              <w:spacing w:line="276" w:lineRule="auto"/>
              <w:jc w:val="center"/>
              <w:rPr>
                <w:sz w:val="20"/>
                <w:lang w:eastAsia="es-CR"/>
              </w:rPr>
            </w:pPr>
            <w:r w:rsidRPr="004E74A6">
              <w:rPr>
                <w:sz w:val="20"/>
                <w:lang w:eastAsia="es-CR"/>
              </w:rPr>
              <w:t>0</w:t>
            </w:r>
          </w:p>
        </w:tc>
        <w:tc>
          <w:tcPr>
            <w:tcW w:w="454" w:type="pct"/>
            <w:tcBorders>
              <w:top w:val="nil"/>
              <w:left w:val="single" w:sz="4" w:space="0" w:color="auto"/>
              <w:bottom w:val="nil"/>
              <w:right w:val="single" w:sz="4" w:space="0" w:color="auto"/>
            </w:tcBorders>
            <w:shd w:val="clear" w:color="auto" w:fill="auto"/>
            <w:noWrap/>
            <w:vAlign w:val="center"/>
            <w:hideMark/>
          </w:tcPr>
          <w:p w14:paraId="007F137A" w14:textId="5F54561F" w:rsidR="001F1695" w:rsidRPr="004E74A6" w:rsidRDefault="006532A4" w:rsidP="00CE62C1">
            <w:pPr>
              <w:spacing w:line="276" w:lineRule="auto"/>
              <w:jc w:val="center"/>
              <w:rPr>
                <w:sz w:val="20"/>
                <w:lang w:eastAsia="es-CR"/>
              </w:rPr>
            </w:pPr>
            <w:r w:rsidRPr="004E74A6">
              <w:rPr>
                <w:sz w:val="20"/>
                <w:lang w:eastAsia="es-CR"/>
              </w:rPr>
              <w:t>0</w:t>
            </w:r>
          </w:p>
        </w:tc>
        <w:tc>
          <w:tcPr>
            <w:tcW w:w="454" w:type="pct"/>
            <w:tcBorders>
              <w:top w:val="nil"/>
              <w:left w:val="single" w:sz="4" w:space="0" w:color="auto"/>
              <w:bottom w:val="nil"/>
              <w:right w:val="single" w:sz="4" w:space="0" w:color="auto"/>
            </w:tcBorders>
            <w:shd w:val="clear" w:color="auto" w:fill="auto"/>
            <w:noWrap/>
            <w:vAlign w:val="center"/>
            <w:hideMark/>
          </w:tcPr>
          <w:p w14:paraId="261AD828" w14:textId="77777777" w:rsidR="001F1695" w:rsidRPr="004E74A6" w:rsidRDefault="001F1695" w:rsidP="00CE62C1">
            <w:pPr>
              <w:spacing w:line="276" w:lineRule="auto"/>
              <w:jc w:val="center"/>
              <w:rPr>
                <w:rFonts w:cs="Calibri"/>
                <w:color w:val="000000"/>
                <w:sz w:val="20"/>
                <w:lang w:eastAsia="es-CR"/>
              </w:rPr>
            </w:pPr>
            <w:r w:rsidRPr="004E74A6">
              <w:rPr>
                <w:rFonts w:cs="Calibri"/>
                <w:color w:val="000000"/>
                <w:sz w:val="20"/>
                <w:lang w:eastAsia="es-CR"/>
              </w:rPr>
              <w:t>1</w:t>
            </w:r>
          </w:p>
        </w:tc>
        <w:tc>
          <w:tcPr>
            <w:tcW w:w="607" w:type="pct"/>
            <w:tcBorders>
              <w:top w:val="nil"/>
              <w:left w:val="single" w:sz="4" w:space="0" w:color="auto"/>
              <w:bottom w:val="nil"/>
              <w:right w:val="nil"/>
            </w:tcBorders>
            <w:shd w:val="clear" w:color="auto" w:fill="auto"/>
            <w:noWrap/>
            <w:vAlign w:val="center"/>
            <w:hideMark/>
          </w:tcPr>
          <w:p w14:paraId="6EE35025" w14:textId="5E165469" w:rsidR="001F1695" w:rsidRPr="004E74A6" w:rsidRDefault="006532A4" w:rsidP="00CE62C1">
            <w:pPr>
              <w:spacing w:line="276" w:lineRule="auto"/>
              <w:jc w:val="center"/>
              <w:rPr>
                <w:rFonts w:cs="Calibri"/>
                <w:color w:val="000000"/>
                <w:sz w:val="20"/>
                <w:lang w:eastAsia="es-CR"/>
              </w:rPr>
            </w:pPr>
            <w:r w:rsidRPr="004E74A6">
              <w:rPr>
                <w:rFonts w:cs="Calibri"/>
                <w:color w:val="000000"/>
                <w:sz w:val="20"/>
              </w:rPr>
              <w:t>0,3</w:t>
            </w:r>
          </w:p>
        </w:tc>
      </w:tr>
      <w:tr w:rsidR="001F1695" w:rsidRPr="004E74A6" w14:paraId="573EAB7F" w14:textId="77777777" w:rsidTr="00941062">
        <w:trPr>
          <w:trHeight w:val="288"/>
        </w:trPr>
        <w:tc>
          <w:tcPr>
            <w:tcW w:w="3033" w:type="pct"/>
            <w:tcBorders>
              <w:top w:val="nil"/>
              <w:left w:val="nil"/>
              <w:bottom w:val="nil"/>
              <w:right w:val="single" w:sz="4" w:space="0" w:color="auto"/>
            </w:tcBorders>
            <w:shd w:val="clear" w:color="auto" w:fill="auto"/>
            <w:noWrap/>
            <w:vAlign w:val="bottom"/>
            <w:hideMark/>
          </w:tcPr>
          <w:p w14:paraId="416BC90E" w14:textId="77777777" w:rsidR="001F1695" w:rsidRPr="004E74A6" w:rsidRDefault="001F1695" w:rsidP="00CE62C1">
            <w:pPr>
              <w:spacing w:line="276" w:lineRule="auto"/>
              <w:ind w:firstLineChars="200" w:firstLine="400"/>
              <w:jc w:val="left"/>
              <w:rPr>
                <w:rFonts w:cs="Calibri"/>
                <w:color w:val="000000"/>
                <w:sz w:val="20"/>
                <w:lang w:eastAsia="es-CR"/>
              </w:rPr>
            </w:pPr>
            <w:r w:rsidRPr="004E74A6">
              <w:rPr>
                <w:rFonts w:cs="Calibri"/>
                <w:color w:val="000000"/>
                <w:sz w:val="20"/>
                <w:lang w:eastAsia="es-CR"/>
              </w:rPr>
              <w:t>Sumario De Cobro De Obligación Dineraria No Monitoria</w:t>
            </w:r>
          </w:p>
        </w:tc>
        <w:tc>
          <w:tcPr>
            <w:tcW w:w="454" w:type="pct"/>
            <w:tcBorders>
              <w:top w:val="nil"/>
              <w:left w:val="single" w:sz="4" w:space="0" w:color="auto"/>
              <w:bottom w:val="nil"/>
              <w:right w:val="single" w:sz="4" w:space="0" w:color="auto"/>
            </w:tcBorders>
            <w:shd w:val="clear" w:color="auto" w:fill="auto"/>
            <w:noWrap/>
            <w:vAlign w:val="center"/>
            <w:hideMark/>
          </w:tcPr>
          <w:p w14:paraId="5F0CE2DE" w14:textId="77777777" w:rsidR="001F1695" w:rsidRPr="004E74A6" w:rsidRDefault="001F1695" w:rsidP="00CE62C1">
            <w:pPr>
              <w:spacing w:line="276" w:lineRule="auto"/>
              <w:jc w:val="center"/>
              <w:rPr>
                <w:rFonts w:cs="Calibri"/>
                <w:color w:val="000000"/>
                <w:sz w:val="20"/>
                <w:lang w:eastAsia="es-CR"/>
              </w:rPr>
            </w:pPr>
            <w:r w:rsidRPr="004E74A6">
              <w:rPr>
                <w:rFonts w:cs="Calibri"/>
                <w:color w:val="000000"/>
                <w:sz w:val="20"/>
                <w:lang w:eastAsia="es-CR"/>
              </w:rPr>
              <w:t>3</w:t>
            </w:r>
          </w:p>
        </w:tc>
        <w:tc>
          <w:tcPr>
            <w:tcW w:w="454" w:type="pct"/>
            <w:tcBorders>
              <w:top w:val="nil"/>
              <w:left w:val="single" w:sz="4" w:space="0" w:color="auto"/>
              <w:bottom w:val="nil"/>
              <w:right w:val="single" w:sz="4" w:space="0" w:color="auto"/>
            </w:tcBorders>
            <w:shd w:val="clear" w:color="auto" w:fill="auto"/>
            <w:noWrap/>
            <w:vAlign w:val="center"/>
            <w:hideMark/>
          </w:tcPr>
          <w:p w14:paraId="0C68551D" w14:textId="77777777" w:rsidR="001F1695" w:rsidRPr="004E74A6" w:rsidRDefault="001F1695" w:rsidP="00CE62C1">
            <w:pPr>
              <w:spacing w:line="276" w:lineRule="auto"/>
              <w:jc w:val="center"/>
              <w:rPr>
                <w:rFonts w:cs="Calibri"/>
                <w:color w:val="000000"/>
                <w:sz w:val="20"/>
                <w:lang w:eastAsia="es-CR"/>
              </w:rPr>
            </w:pPr>
            <w:r w:rsidRPr="004E74A6">
              <w:rPr>
                <w:rFonts w:cs="Calibri"/>
                <w:color w:val="000000"/>
                <w:sz w:val="20"/>
                <w:lang w:eastAsia="es-CR"/>
              </w:rPr>
              <w:t>2</w:t>
            </w:r>
          </w:p>
        </w:tc>
        <w:tc>
          <w:tcPr>
            <w:tcW w:w="454" w:type="pct"/>
            <w:tcBorders>
              <w:top w:val="nil"/>
              <w:left w:val="single" w:sz="4" w:space="0" w:color="auto"/>
              <w:bottom w:val="nil"/>
              <w:right w:val="single" w:sz="4" w:space="0" w:color="auto"/>
            </w:tcBorders>
            <w:shd w:val="clear" w:color="auto" w:fill="auto"/>
            <w:noWrap/>
            <w:vAlign w:val="center"/>
            <w:hideMark/>
          </w:tcPr>
          <w:p w14:paraId="1995F3AF" w14:textId="77777777" w:rsidR="001F1695" w:rsidRPr="004E74A6" w:rsidRDefault="001F1695" w:rsidP="00CE62C1">
            <w:pPr>
              <w:spacing w:line="276" w:lineRule="auto"/>
              <w:jc w:val="center"/>
              <w:rPr>
                <w:rFonts w:cs="Calibri"/>
                <w:color w:val="000000"/>
                <w:sz w:val="20"/>
                <w:lang w:eastAsia="es-CR"/>
              </w:rPr>
            </w:pPr>
            <w:r w:rsidRPr="004E74A6">
              <w:rPr>
                <w:rFonts w:cs="Calibri"/>
                <w:color w:val="000000"/>
                <w:sz w:val="20"/>
                <w:lang w:eastAsia="es-CR"/>
              </w:rPr>
              <w:t>5</w:t>
            </w:r>
          </w:p>
        </w:tc>
        <w:tc>
          <w:tcPr>
            <w:tcW w:w="607" w:type="pct"/>
            <w:tcBorders>
              <w:top w:val="nil"/>
              <w:left w:val="single" w:sz="4" w:space="0" w:color="auto"/>
              <w:bottom w:val="nil"/>
              <w:right w:val="nil"/>
            </w:tcBorders>
            <w:shd w:val="clear" w:color="auto" w:fill="auto"/>
            <w:noWrap/>
            <w:vAlign w:val="center"/>
            <w:hideMark/>
          </w:tcPr>
          <w:p w14:paraId="28B23241" w14:textId="786E76AB" w:rsidR="001F1695" w:rsidRPr="004E74A6" w:rsidRDefault="001F1695" w:rsidP="00CE62C1">
            <w:pPr>
              <w:spacing w:line="276" w:lineRule="auto"/>
              <w:jc w:val="center"/>
              <w:rPr>
                <w:rFonts w:cs="Calibri"/>
                <w:color w:val="000000"/>
                <w:sz w:val="20"/>
                <w:lang w:eastAsia="es-CR"/>
              </w:rPr>
            </w:pPr>
            <w:r w:rsidRPr="004E74A6">
              <w:rPr>
                <w:rFonts w:cs="Calibri"/>
                <w:color w:val="000000"/>
                <w:sz w:val="20"/>
              </w:rPr>
              <w:t>3</w:t>
            </w:r>
          </w:p>
        </w:tc>
      </w:tr>
      <w:tr w:rsidR="001F1695" w:rsidRPr="004E74A6" w14:paraId="40A63F51" w14:textId="77777777" w:rsidTr="00941062">
        <w:trPr>
          <w:trHeight w:val="288"/>
        </w:trPr>
        <w:tc>
          <w:tcPr>
            <w:tcW w:w="3033" w:type="pct"/>
            <w:tcBorders>
              <w:top w:val="nil"/>
              <w:left w:val="nil"/>
              <w:bottom w:val="nil"/>
              <w:right w:val="single" w:sz="4" w:space="0" w:color="auto"/>
            </w:tcBorders>
            <w:shd w:val="clear" w:color="auto" w:fill="auto"/>
            <w:noWrap/>
            <w:vAlign w:val="bottom"/>
            <w:hideMark/>
          </w:tcPr>
          <w:p w14:paraId="1A4616B5" w14:textId="77777777" w:rsidR="001F1695" w:rsidRPr="004E74A6" w:rsidRDefault="001F1695" w:rsidP="00CE62C1">
            <w:pPr>
              <w:spacing w:line="276" w:lineRule="auto"/>
              <w:ind w:firstLineChars="200" w:firstLine="400"/>
              <w:jc w:val="left"/>
              <w:rPr>
                <w:rFonts w:cs="Calibri"/>
                <w:color w:val="000000"/>
                <w:sz w:val="20"/>
                <w:lang w:eastAsia="es-CR"/>
              </w:rPr>
            </w:pPr>
            <w:r w:rsidRPr="004E74A6">
              <w:rPr>
                <w:rFonts w:cs="Calibri"/>
                <w:color w:val="000000"/>
                <w:sz w:val="20"/>
                <w:lang w:eastAsia="es-CR"/>
              </w:rPr>
              <w:t>Sumario De Controversia En Condominios</w:t>
            </w:r>
          </w:p>
        </w:tc>
        <w:tc>
          <w:tcPr>
            <w:tcW w:w="454" w:type="pct"/>
            <w:tcBorders>
              <w:top w:val="nil"/>
              <w:left w:val="single" w:sz="4" w:space="0" w:color="auto"/>
              <w:bottom w:val="nil"/>
              <w:right w:val="single" w:sz="4" w:space="0" w:color="auto"/>
            </w:tcBorders>
            <w:shd w:val="clear" w:color="auto" w:fill="auto"/>
            <w:noWrap/>
            <w:vAlign w:val="center"/>
            <w:hideMark/>
          </w:tcPr>
          <w:p w14:paraId="0DE1E2FE" w14:textId="523D261F" w:rsidR="001F1695" w:rsidRPr="004E74A6" w:rsidRDefault="006532A4" w:rsidP="00CE62C1">
            <w:pPr>
              <w:spacing w:line="276" w:lineRule="auto"/>
              <w:jc w:val="center"/>
              <w:rPr>
                <w:sz w:val="20"/>
                <w:lang w:eastAsia="es-CR"/>
              </w:rPr>
            </w:pPr>
            <w:r w:rsidRPr="004E74A6">
              <w:rPr>
                <w:sz w:val="20"/>
                <w:lang w:eastAsia="es-CR"/>
              </w:rPr>
              <w:t>0</w:t>
            </w:r>
          </w:p>
        </w:tc>
        <w:tc>
          <w:tcPr>
            <w:tcW w:w="454" w:type="pct"/>
            <w:tcBorders>
              <w:top w:val="nil"/>
              <w:left w:val="single" w:sz="4" w:space="0" w:color="auto"/>
              <w:bottom w:val="nil"/>
              <w:right w:val="single" w:sz="4" w:space="0" w:color="auto"/>
            </w:tcBorders>
            <w:shd w:val="clear" w:color="auto" w:fill="auto"/>
            <w:noWrap/>
            <w:vAlign w:val="center"/>
            <w:hideMark/>
          </w:tcPr>
          <w:p w14:paraId="2DCDD775" w14:textId="4178CC29" w:rsidR="001F1695" w:rsidRPr="004E74A6" w:rsidRDefault="006532A4" w:rsidP="00CE62C1">
            <w:pPr>
              <w:spacing w:line="276" w:lineRule="auto"/>
              <w:jc w:val="center"/>
              <w:rPr>
                <w:sz w:val="20"/>
                <w:lang w:eastAsia="es-CR"/>
              </w:rPr>
            </w:pPr>
            <w:r w:rsidRPr="004E74A6">
              <w:rPr>
                <w:sz w:val="20"/>
                <w:lang w:eastAsia="es-CR"/>
              </w:rPr>
              <w:t>0</w:t>
            </w:r>
          </w:p>
        </w:tc>
        <w:tc>
          <w:tcPr>
            <w:tcW w:w="454" w:type="pct"/>
            <w:tcBorders>
              <w:top w:val="nil"/>
              <w:left w:val="single" w:sz="4" w:space="0" w:color="auto"/>
              <w:bottom w:val="nil"/>
              <w:right w:val="single" w:sz="4" w:space="0" w:color="auto"/>
            </w:tcBorders>
            <w:shd w:val="clear" w:color="auto" w:fill="auto"/>
            <w:noWrap/>
            <w:vAlign w:val="center"/>
            <w:hideMark/>
          </w:tcPr>
          <w:p w14:paraId="4CCF6B49" w14:textId="77777777" w:rsidR="001F1695" w:rsidRPr="004E74A6" w:rsidRDefault="001F1695" w:rsidP="00CE62C1">
            <w:pPr>
              <w:spacing w:line="276" w:lineRule="auto"/>
              <w:jc w:val="center"/>
              <w:rPr>
                <w:rFonts w:cs="Calibri"/>
                <w:color w:val="000000"/>
                <w:sz w:val="20"/>
                <w:lang w:eastAsia="es-CR"/>
              </w:rPr>
            </w:pPr>
            <w:r w:rsidRPr="004E74A6">
              <w:rPr>
                <w:rFonts w:cs="Calibri"/>
                <w:color w:val="000000"/>
                <w:sz w:val="20"/>
                <w:lang w:eastAsia="es-CR"/>
              </w:rPr>
              <w:t>1</w:t>
            </w:r>
          </w:p>
        </w:tc>
        <w:tc>
          <w:tcPr>
            <w:tcW w:w="607" w:type="pct"/>
            <w:tcBorders>
              <w:top w:val="nil"/>
              <w:left w:val="single" w:sz="4" w:space="0" w:color="auto"/>
              <w:bottom w:val="nil"/>
              <w:right w:val="nil"/>
            </w:tcBorders>
            <w:shd w:val="clear" w:color="auto" w:fill="auto"/>
            <w:noWrap/>
            <w:vAlign w:val="center"/>
            <w:hideMark/>
          </w:tcPr>
          <w:p w14:paraId="4C53A9CF" w14:textId="63937440" w:rsidR="001F1695" w:rsidRPr="004E74A6" w:rsidRDefault="006532A4" w:rsidP="00CE62C1">
            <w:pPr>
              <w:spacing w:line="276" w:lineRule="auto"/>
              <w:jc w:val="center"/>
              <w:rPr>
                <w:rFonts w:cs="Calibri"/>
                <w:color w:val="000000"/>
                <w:sz w:val="20"/>
                <w:lang w:eastAsia="es-CR"/>
              </w:rPr>
            </w:pPr>
            <w:r w:rsidRPr="004E74A6">
              <w:rPr>
                <w:rFonts w:cs="Calibri"/>
                <w:color w:val="000000"/>
                <w:sz w:val="20"/>
              </w:rPr>
              <w:t>0,3</w:t>
            </w:r>
          </w:p>
        </w:tc>
      </w:tr>
      <w:tr w:rsidR="001F1695" w:rsidRPr="004E74A6" w14:paraId="1A6E837E" w14:textId="77777777" w:rsidTr="00941062">
        <w:trPr>
          <w:trHeight w:val="288"/>
        </w:trPr>
        <w:tc>
          <w:tcPr>
            <w:tcW w:w="3033" w:type="pct"/>
            <w:tcBorders>
              <w:top w:val="nil"/>
              <w:left w:val="nil"/>
              <w:bottom w:val="nil"/>
              <w:right w:val="single" w:sz="4" w:space="0" w:color="auto"/>
            </w:tcBorders>
            <w:shd w:val="clear" w:color="auto" w:fill="auto"/>
            <w:noWrap/>
            <w:vAlign w:val="bottom"/>
            <w:hideMark/>
          </w:tcPr>
          <w:p w14:paraId="44D7ED74" w14:textId="77777777" w:rsidR="001F1695" w:rsidRPr="004E74A6" w:rsidRDefault="001F1695" w:rsidP="00CE62C1">
            <w:pPr>
              <w:spacing w:line="276" w:lineRule="auto"/>
              <w:ind w:firstLineChars="200" w:firstLine="400"/>
              <w:jc w:val="left"/>
              <w:rPr>
                <w:rFonts w:cs="Calibri"/>
                <w:color w:val="000000"/>
                <w:sz w:val="20"/>
                <w:lang w:eastAsia="es-CR"/>
              </w:rPr>
            </w:pPr>
            <w:r w:rsidRPr="004E74A6">
              <w:rPr>
                <w:rFonts w:cs="Calibri"/>
                <w:color w:val="000000"/>
                <w:sz w:val="20"/>
                <w:lang w:eastAsia="es-CR"/>
              </w:rPr>
              <w:t>Sumario De Defensa Del Consumidor</w:t>
            </w:r>
          </w:p>
        </w:tc>
        <w:tc>
          <w:tcPr>
            <w:tcW w:w="454" w:type="pct"/>
            <w:tcBorders>
              <w:top w:val="nil"/>
              <w:left w:val="single" w:sz="4" w:space="0" w:color="auto"/>
              <w:bottom w:val="nil"/>
              <w:right w:val="single" w:sz="4" w:space="0" w:color="auto"/>
            </w:tcBorders>
            <w:shd w:val="clear" w:color="auto" w:fill="auto"/>
            <w:noWrap/>
            <w:vAlign w:val="center"/>
            <w:hideMark/>
          </w:tcPr>
          <w:p w14:paraId="2ABD4B9E" w14:textId="77777777" w:rsidR="001F1695" w:rsidRPr="004E74A6" w:rsidRDefault="001F1695" w:rsidP="00CE62C1">
            <w:pPr>
              <w:spacing w:line="276" w:lineRule="auto"/>
              <w:jc w:val="center"/>
              <w:rPr>
                <w:rFonts w:cs="Calibri"/>
                <w:color w:val="000000"/>
                <w:sz w:val="20"/>
                <w:lang w:eastAsia="es-CR"/>
              </w:rPr>
            </w:pPr>
            <w:r w:rsidRPr="004E74A6">
              <w:rPr>
                <w:rFonts w:cs="Calibri"/>
                <w:color w:val="000000"/>
                <w:sz w:val="20"/>
                <w:lang w:eastAsia="es-CR"/>
              </w:rPr>
              <w:t>1</w:t>
            </w:r>
          </w:p>
        </w:tc>
        <w:tc>
          <w:tcPr>
            <w:tcW w:w="454" w:type="pct"/>
            <w:tcBorders>
              <w:top w:val="nil"/>
              <w:left w:val="single" w:sz="4" w:space="0" w:color="auto"/>
              <w:bottom w:val="nil"/>
              <w:right w:val="single" w:sz="4" w:space="0" w:color="auto"/>
            </w:tcBorders>
            <w:shd w:val="clear" w:color="auto" w:fill="auto"/>
            <w:noWrap/>
            <w:vAlign w:val="center"/>
            <w:hideMark/>
          </w:tcPr>
          <w:p w14:paraId="3B0AA306" w14:textId="77777777" w:rsidR="001F1695" w:rsidRPr="004E74A6" w:rsidRDefault="001F1695" w:rsidP="00CE62C1">
            <w:pPr>
              <w:spacing w:line="276" w:lineRule="auto"/>
              <w:jc w:val="center"/>
              <w:rPr>
                <w:rFonts w:cs="Calibri"/>
                <w:color w:val="000000"/>
                <w:sz w:val="20"/>
                <w:lang w:eastAsia="es-CR"/>
              </w:rPr>
            </w:pPr>
            <w:r w:rsidRPr="004E74A6">
              <w:rPr>
                <w:rFonts w:cs="Calibri"/>
                <w:color w:val="000000"/>
                <w:sz w:val="20"/>
                <w:lang w:eastAsia="es-CR"/>
              </w:rPr>
              <w:t>1</w:t>
            </w:r>
          </w:p>
        </w:tc>
        <w:tc>
          <w:tcPr>
            <w:tcW w:w="454" w:type="pct"/>
            <w:tcBorders>
              <w:top w:val="nil"/>
              <w:left w:val="single" w:sz="4" w:space="0" w:color="auto"/>
              <w:bottom w:val="nil"/>
              <w:right w:val="single" w:sz="4" w:space="0" w:color="auto"/>
            </w:tcBorders>
            <w:shd w:val="clear" w:color="auto" w:fill="auto"/>
            <w:noWrap/>
            <w:vAlign w:val="center"/>
            <w:hideMark/>
          </w:tcPr>
          <w:p w14:paraId="221CE09E" w14:textId="77777777" w:rsidR="001F1695" w:rsidRPr="004E74A6" w:rsidRDefault="001F1695" w:rsidP="00CE62C1">
            <w:pPr>
              <w:spacing w:line="276" w:lineRule="auto"/>
              <w:jc w:val="center"/>
              <w:rPr>
                <w:rFonts w:cs="Calibri"/>
                <w:color w:val="000000"/>
                <w:sz w:val="20"/>
                <w:lang w:eastAsia="es-CR"/>
              </w:rPr>
            </w:pPr>
            <w:r w:rsidRPr="004E74A6">
              <w:rPr>
                <w:rFonts w:cs="Calibri"/>
                <w:color w:val="000000"/>
                <w:sz w:val="20"/>
                <w:lang w:eastAsia="es-CR"/>
              </w:rPr>
              <w:t>2</w:t>
            </w:r>
          </w:p>
        </w:tc>
        <w:tc>
          <w:tcPr>
            <w:tcW w:w="607" w:type="pct"/>
            <w:tcBorders>
              <w:top w:val="nil"/>
              <w:left w:val="single" w:sz="4" w:space="0" w:color="auto"/>
              <w:bottom w:val="nil"/>
              <w:right w:val="nil"/>
            </w:tcBorders>
            <w:shd w:val="clear" w:color="auto" w:fill="auto"/>
            <w:noWrap/>
            <w:vAlign w:val="center"/>
            <w:hideMark/>
          </w:tcPr>
          <w:p w14:paraId="48E1D328" w14:textId="5EF9FE6E" w:rsidR="001F1695" w:rsidRPr="004E74A6" w:rsidRDefault="001F1695" w:rsidP="00CE62C1">
            <w:pPr>
              <w:spacing w:line="276" w:lineRule="auto"/>
              <w:jc w:val="center"/>
              <w:rPr>
                <w:rFonts w:cs="Calibri"/>
                <w:color w:val="000000"/>
                <w:sz w:val="20"/>
                <w:lang w:eastAsia="es-CR"/>
              </w:rPr>
            </w:pPr>
            <w:r w:rsidRPr="004E74A6">
              <w:rPr>
                <w:rFonts w:cs="Calibri"/>
                <w:color w:val="000000"/>
                <w:sz w:val="20"/>
              </w:rPr>
              <w:t>1</w:t>
            </w:r>
            <w:r w:rsidR="006532A4" w:rsidRPr="004E74A6">
              <w:rPr>
                <w:rFonts w:cs="Calibri"/>
                <w:color w:val="000000"/>
                <w:sz w:val="20"/>
              </w:rPr>
              <w:t>,3</w:t>
            </w:r>
          </w:p>
        </w:tc>
      </w:tr>
      <w:tr w:rsidR="001F1695" w:rsidRPr="004E74A6" w14:paraId="59EAF104" w14:textId="77777777" w:rsidTr="00941062">
        <w:trPr>
          <w:trHeight w:val="288"/>
        </w:trPr>
        <w:tc>
          <w:tcPr>
            <w:tcW w:w="3033" w:type="pct"/>
            <w:tcBorders>
              <w:top w:val="nil"/>
              <w:left w:val="nil"/>
              <w:bottom w:val="nil"/>
              <w:right w:val="single" w:sz="4" w:space="0" w:color="auto"/>
            </w:tcBorders>
            <w:shd w:val="clear" w:color="auto" w:fill="auto"/>
            <w:noWrap/>
            <w:vAlign w:val="bottom"/>
            <w:hideMark/>
          </w:tcPr>
          <w:p w14:paraId="1CB74A13" w14:textId="77777777" w:rsidR="001F1695" w:rsidRPr="004E74A6" w:rsidRDefault="001F1695" w:rsidP="00CE62C1">
            <w:pPr>
              <w:spacing w:line="276" w:lineRule="auto"/>
              <w:ind w:firstLineChars="200" w:firstLine="400"/>
              <w:jc w:val="left"/>
              <w:rPr>
                <w:rFonts w:cs="Calibri"/>
                <w:color w:val="000000"/>
                <w:sz w:val="20"/>
                <w:lang w:eastAsia="es-CR"/>
              </w:rPr>
            </w:pPr>
            <w:r w:rsidRPr="004E74A6">
              <w:rPr>
                <w:rFonts w:cs="Calibri"/>
                <w:color w:val="000000"/>
                <w:sz w:val="20"/>
                <w:lang w:eastAsia="es-CR"/>
              </w:rPr>
              <w:t>Sumario De Derribo</w:t>
            </w:r>
          </w:p>
        </w:tc>
        <w:tc>
          <w:tcPr>
            <w:tcW w:w="454" w:type="pct"/>
            <w:tcBorders>
              <w:top w:val="nil"/>
              <w:left w:val="single" w:sz="4" w:space="0" w:color="auto"/>
              <w:bottom w:val="nil"/>
              <w:right w:val="single" w:sz="4" w:space="0" w:color="auto"/>
            </w:tcBorders>
            <w:shd w:val="clear" w:color="auto" w:fill="auto"/>
            <w:noWrap/>
            <w:vAlign w:val="center"/>
            <w:hideMark/>
          </w:tcPr>
          <w:p w14:paraId="3EA17173" w14:textId="77777777" w:rsidR="001F1695" w:rsidRPr="004E74A6" w:rsidRDefault="001F1695" w:rsidP="00CE62C1">
            <w:pPr>
              <w:spacing w:line="276" w:lineRule="auto"/>
              <w:jc w:val="center"/>
              <w:rPr>
                <w:rFonts w:cs="Calibri"/>
                <w:color w:val="000000"/>
                <w:sz w:val="20"/>
                <w:lang w:eastAsia="es-CR"/>
              </w:rPr>
            </w:pPr>
            <w:r w:rsidRPr="004E74A6">
              <w:rPr>
                <w:rFonts w:cs="Calibri"/>
                <w:color w:val="000000"/>
                <w:sz w:val="20"/>
                <w:lang w:eastAsia="es-CR"/>
              </w:rPr>
              <w:t>1</w:t>
            </w:r>
          </w:p>
        </w:tc>
        <w:tc>
          <w:tcPr>
            <w:tcW w:w="454" w:type="pct"/>
            <w:tcBorders>
              <w:top w:val="nil"/>
              <w:left w:val="single" w:sz="4" w:space="0" w:color="auto"/>
              <w:bottom w:val="nil"/>
              <w:right w:val="single" w:sz="4" w:space="0" w:color="auto"/>
            </w:tcBorders>
            <w:shd w:val="clear" w:color="auto" w:fill="auto"/>
            <w:noWrap/>
            <w:vAlign w:val="center"/>
            <w:hideMark/>
          </w:tcPr>
          <w:p w14:paraId="528A2B9B" w14:textId="0EEC5C51" w:rsidR="001F1695" w:rsidRPr="004E74A6" w:rsidRDefault="006532A4" w:rsidP="00CE62C1">
            <w:pPr>
              <w:spacing w:line="276" w:lineRule="auto"/>
              <w:jc w:val="center"/>
              <w:rPr>
                <w:rFonts w:cs="Calibri"/>
                <w:color w:val="000000"/>
                <w:sz w:val="20"/>
                <w:lang w:eastAsia="es-CR"/>
              </w:rPr>
            </w:pPr>
            <w:r w:rsidRPr="004E74A6">
              <w:rPr>
                <w:rFonts w:cs="Calibri"/>
                <w:color w:val="000000"/>
                <w:sz w:val="20"/>
                <w:lang w:eastAsia="es-CR"/>
              </w:rPr>
              <w:t>0</w:t>
            </w:r>
          </w:p>
        </w:tc>
        <w:tc>
          <w:tcPr>
            <w:tcW w:w="454" w:type="pct"/>
            <w:tcBorders>
              <w:top w:val="nil"/>
              <w:left w:val="single" w:sz="4" w:space="0" w:color="auto"/>
              <w:bottom w:val="nil"/>
              <w:right w:val="single" w:sz="4" w:space="0" w:color="auto"/>
            </w:tcBorders>
            <w:shd w:val="clear" w:color="auto" w:fill="auto"/>
            <w:noWrap/>
            <w:vAlign w:val="center"/>
            <w:hideMark/>
          </w:tcPr>
          <w:p w14:paraId="19B7C98E" w14:textId="1C9E35DE" w:rsidR="001F1695" w:rsidRPr="004E74A6" w:rsidRDefault="006532A4" w:rsidP="00CE62C1">
            <w:pPr>
              <w:spacing w:line="276" w:lineRule="auto"/>
              <w:jc w:val="center"/>
              <w:rPr>
                <w:sz w:val="20"/>
                <w:lang w:eastAsia="es-CR"/>
              </w:rPr>
            </w:pPr>
            <w:r w:rsidRPr="004E74A6">
              <w:rPr>
                <w:sz w:val="20"/>
                <w:lang w:eastAsia="es-CR"/>
              </w:rPr>
              <w:t>0</w:t>
            </w:r>
          </w:p>
        </w:tc>
        <w:tc>
          <w:tcPr>
            <w:tcW w:w="607" w:type="pct"/>
            <w:tcBorders>
              <w:top w:val="nil"/>
              <w:left w:val="single" w:sz="4" w:space="0" w:color="auto"/>
              <w:bottom w:val="nil"/>
              <w:right w:val="nil"/>
            </w:tcBorders>
            <w:shd w:val="clear" w:color="auto" w:fill="auto"/>
            <w:noWrap/>
            <w:vAlign w:val="center"/>
            <w:hideMark/>
          </w:tcPr>
          <w:p w14:paraId="3ABC03CF" w14:textId="58D733AD" w:rsidR="001F1695" w:rsidRPr="004E74A6" w:rsidRDefault="006532A4" w:rsidP="00CE62C1">
            <w:pPr>
              <w:spacing w:line="276" w:lineRule="auto"/>
              <w:jc w:val="center"/>
              <w:rPr>
                <w:rFonts w:cs="Calibri"/>
                <w:color w:val="000000"/>
                <w:sz w:val="20"/>
                <w:lang w:eastAsia="es-CR"/>
              </w:rPr>
            </w:pPr>
            <w:r w:rsidRPr="004E74A6">
              <w:rPr>
                <w:rFonts w:cs="Calibri"/>
                <w:color w:val="000000"/>
                <w:sz w:val="20"/>
              </w:rPr>
              <w:t>0,3</w:t>
            </w:r>
          </w:p>
        </w:tc>
      </w:tr>
      <w:tr w:rsidR="001F1695" w:rsidRPr="004E74A6" w14:paraId="7070E4DF" w14:textId="77777777" w:rsidTr="00941062">
        <w:trPr>
          <w:trHeight w:val="288"/>
        </w:trPr>
        <w:tc>
          <w:tcPr>
            <w:tcW w:w="3033" w:type="pct"/>
            <w:tcBorders>
              <w:top w:val="nil"/>
              <w:left w:val="nil"/>
              <w:right w:val="single" w:sz="4" w:space="0" w:color="auto"/>
            </w:tcBorders>
            <w:shd w:val="clear" w:color="auto" w:fill="auto"/>
            <w:noWrap/>
            <w:vAlign w:val="bottom"/>
            <w:hideMark/>
          </w:tcPr>
          <w:p w14:paraId="252D17F9" w14:textId="77777777" w:rsidR="001F1695" w:rsidRPr="004E74A6" w:rsidRDefault="001F1695" w:rsidP="00CE62C1">
            <w:pPr>
              <w:spacing w:line="276" w:lineRule="auto"/>
              <w:ind w:firstLineChars="200" w:firstLine="400"/>
              <w:jc w:val="left"/>
              <w:rPr>
                <w:rFonts w:cs="Calibri"/>
                <w:color w:val="000000"/>
                <w:sz w:val="20"/>
                <w:lang w:eastAsia="es-CR"/>
              </w:rPr>
            </w:pPr>
            <w:r w:rsidRPr="004E74A6">
              <w:rPr>
                <w:rFonts w:cs="Calibri"/>
                <w:color w:val="000000"/>
                <w:sz w:val="20"/>
                <w:lang w:eastAsia="es-CR"/>
              </w:rPr>
              <w:t>Sumarios Especiales</w:t>
            </w:r>
          </w:p>
        </w:tc>
        <w:tc>
          <w:tcPr>
            <w:tcW w:w="454" w:type="pct"/>
            <w:tcBorders>
              <w:top w:val="nil"/>
              <w:left w:val="single" w:sz="4" w:space="0" w:color="auto"/>
              <w:right w:val="single" w:sz="4" w:space="0" w:color="auto"/>
            </w:tcBorders>
            <w:shd w:val="clear" w:color="auto" w:fill="auto"/>
            <w:noWrap/>
            <w:vAlign w:val="center"/>
            <w:hideMark/>
          </w:tcPr>
          <w:p w14:paraId="4DFD660D" w14:textId="7C854017" w:rsidR="001F1695" w:rsidRPr="004E74A6" w:rsidRDefault="006532A4" w:rsidP="00CE62C1">
            <w:pPr>
              <w:spacing w:line="276" w:lineRule="auto"/>
              <w:jc w:val="center"/>
              <w:rPr>
                <w:sz w:val="20"/>
                <w:lang w:eastAsia="es-CR"/>
              </w:rPr>
            </w:pPr>
            <w:r w:rsidRPr="004E74A6">
              <w:rPr>
                <w:sz w:val="20"/>
                <w:lang w:eastAsia="es-CR"/>
              </w:rPr>
              <w:t>0</w:t>
            </w:r>
          </w:p>
        </w:tc>
        <w:tc>
          <w:tcPr>
            <w:tcW w:w="454" w:type="pct"/>
            <w:tcBorders>
              <w:top w:val="nil"/>
              <w:left w:val="single" w:sz="4" w:space="0" w:color="auto"/>
              <w:right w:val="single" w:sz="4" w:space="0" w:color="auto"/>
            </w:tcBorders>
            <w:shd w:val="clear" w:color="auto" w:fill="auto"/>
            <w:noWrap/>
            <w:vAlign w:val="center"/>
            <w:hideMark/>
          </w:tcPr>
          <w:p w14:paraId="0D40DC37" w14:textId="77777777" w:rsidR="001F1695" w:rsidRPr="004E74A6" w:rsidRDefault="001F1695" w:rsidP="00CE62C1">
            <w:pPr>
              <w:spacing w:line="276" w:lineRule="auto"/>
              <w:jc w:val="center"/>
              <w:rPr>
                <w:rFonts w:cs="Calibri"/>
                <w:color w:val="000000"/>
                <w:sz w:val="20"/>
                <w:lang w:eastAsia="es-CR"/>
              </w:rPr>
            </w:pPr>
            <w:r w:rsidRPr="004E74A6">
              <w:rPr>
                <w:rFonts w:cs="Calibri"/>
                <w:color w:val="000000"/>
                <w:sz w:val="20"/>
                <w:lang w:eastAsia="es-CR"/>
              </w:rPr>
              <w:t>1</w:t>
            </w:r>
          </w:p>
        </w:tc>
        <w:tc>
          <w:tcPr>
            <w:tcW w:w="454" w:type="pct"/>
            <w:tcBorders>
              <w:top w:val="nil"/>
              <w:left w:val="single" w:sz="4" w:space="0" w:color="auto"/>
              <w:right w:val="single" w:sz="4" w:space="0" w:color="auto"/>
            </w:tcBorders>
            <w:shd w:val="clear" w:color="auto" w:fill="auto"/>
            <w:noWrap/>
            <w:vAlign w:val="center"/>
            <w:hideMark/>
          </w:tcPr>
          <w:p w14:paraId="0C4CD525" w14:textId="77777777" w:rsidR="001F1695" w:rsidRPr="004E74A6" w:rsidRDefault="001F1695" w:rsidP="00CE62C1">
            <w:pPr>
              <w:spacing w:line="276" w:lineRule="auto"/>
              <w:jc w:val="center"/>
              <w:rPr>
                <w:rFonts w:cs="Calibri"/>
                <w:color w:val="000000"/>
                <w:sz w:val="20"/>
                <w:lang w:eastAsia="es-CR"/>
              </w:rPr>
            </w:pPr>
            <w:r w:rsidRPr="004E74A6">
              <w:rPr>
                <w:rFonts w:cs="Calibri"/>
                <w:color w:val="000000"/>
                <w:sz w:val="20"/>
                <w:lang w:eastAsia="es-CR"/>
              </w:rPr>
              <w:t>3</w:t>
            </w:r>
          </w:p>
        </w:tc>
        <w:tc>
          <w:tcPr>
            <w:tcW w:w="607" w:type="pct"/>
            <w:tcBorders>
              <w:top w:val="nil"/>
              <w:left w:val="single" w:sz="4" w:space="0" w:color="auto"/>
              <w:right w:val="nil"/>
            </w:tcBorders>
            <w:shd w:val="clear" w:color="auto" w:fill="auto"/>
            <w:noWrap/>
            <w:vAlign w:val="center"/>
            <w:hideMark/>
          </w:tcPr>
          <w:p w14:paraId="7A999187" w14:textId="52F7B262" w:rsidR="001F1695" w:rsidRPr="004E74A6" w:rsidRDefault="006532A4" w:rsidP="00CE62C1">
            <w:pPr>
              <w:spacing w:line="276" w:lineRule="auto"/>
              <w:jc w:val="center"/>
              <w:rPr>
                <w:rFonts w:cs="Calibri"/>
                <w:color w:val="000000"/>
                <w:sz w:val="20"/>
                <w:lang w:eastAsia="es-CR"/>
              </w:rPr>
            </w:pPr>
            <w:r w:rsidRPr="004E74A6">
              <w:rPr>
                <w:rFonts w:cs="Calibri"/>
                <w:color w:val="000000"/>
                <w:sz w:val="20"/>
              </w:rPr>
              <w:t>1,3</w:t>
            </w:r>
          </w:p>
        </w:tc>
      </w:tr>
      <w:tr w:rsidR="001F1695" w:rsidRPr="004E74A6" w14:paraId="350F7CA1" w14:textId="77777777" w:rsidTr="00941062">
        <w:trPr>
          <w:trHeight w:val="288"/>
        </w:trPr>
        <w:tc>
          <w:tcPr>
            <w:tcW w:w="3033" w:type="pct"/>
            <w:tcBorders>
              <w:top w:val="nil"/>
              <w:left w:val="nil"/>
              <w:bottom w:val="single" w:sz="4" w:space="0" w:color="auto"/>
              <w:right w:val="single" w:sz="4" w:space="0" w:color="auto"/>
            </w:tcBorders>
            <w:shd w:val="clear" w:color="auto" w:fill="auto"/>
            <w:noWrap/>
            <w:vAlign w:val="bottom"/>
          </w:tcPr>
          <w:p w14:paraId="36093087" w14:textId="77777777" w:rsidR="008647ED" w:rsidRPr="004E74A6" w:rsidRDefault="008647ED" w:rsidP="00CE62C1">
            <w:pPr>
              <w:spacing w:line="276" w:lineRule="auto"/>
              <w:ind w:firstLineChars="200" w:firstLine="400"/>
              <w:jc w:val="left"/>
              <w:rPr>
                <w:rFonts w:cs="Calibri"/>
                <w:color w:val="000000"/>
                <w:sz w:val="20"/>
                <w:lang w:eastAsia="es-CR"/>
              </w:rPr>
            </w:pPr>
          </w:p>
        </w:tc>
        <w:tc>
          <w:tcPr>
            <w:tcW w:w="454" w:type="pct"/>
            <w:tcBorders>
              <w:top w:val="nil"/>
              <w:left w:val="single" w:sz="4" w:space="0" w:color="auto"/>
              <w:bottom w:val="single" w:sz="4" w:space="0" w:color="auto"/>
              <w:right w:val="single" w:sz="4" w:space="0" w:color="auto"/>
            </w:tcBorders>
            <w:shd w:val="clear" w:color="auto" w:fill="auto"/>
            <w:noWrap/>
            <w:vAlign w:val="center"/>
          </w:tcPr>
          <w:p w14:paraId="19978C14" w14:textId="77777777" w:rsidR="008647ED" w:rsidRPr="004E74A6" w:rsidRDefault="008647ED" w:rsidP="00CE62C1">
            <w:pPr>
              <w:spacing w:line="276" w:lineRule="auto"/>
              <w:jc w:val="center"/>
              <w:rPr>
                <w:sz w:val="20"/>
                <w:lang w:eastAsia="es-CR"/>
              </w:rPr>
            </w:pPr>
          </w:p>
        </w:tc>
        <w:tc>
          <w:tcPr>
            <w:tcW w:w="454" w:type="pct"/>
            <w:tcBorders>
              <w:top w:val="nil"/>
              <w:left w:val="single" w:sz="4" w:space="0" w:color="auto"/>
              <w:bottom w:val="single" w:sz="4" w:space="0" w:color="auto"/>
              <w:right w:val="single" w:sz="4" w:space="0" w:color="auto"/>
            </w:tcBorders>
            <w:shd w:val="clear" w:color="auto" w:fill="auto"/>
            <w:noWrap/>
            <w:vAlign w:val="center"/>
          </w:tcPr>
          <w:p w14:paraId="65E5975B" w14:textId="77777777" w:rsidR="008647ED" w:rsidRPr="004E74A6" w:rsidRDefault="008647ED" w:rsidP="00CE62C1">
            <w:pPr>
              <w:spacing w:line="276" w:lineRule="auto"/>
              <w:jc w:val="center"/>
              <w:rPr>
                <w:rFonts w:cs="Calibri"/>
                <w:color w:val="000000"/>
                <w:sz w:val="20"/>
                <w:lang w:eastAsia="es-CR"/>
              </w:rPr>
            </w:pPr>
          </w:p>
        </w:tc>
        <w:tc>
          <w:tcPr>
            <w:tcW w:w="454" w:type="pct"/>
            <w:tcBorders>
              <w:top w:val="nil"/>
              <w:left w:val="single" w:sz="4" w:space="0" w:color="auto"/>
              <w:bottom w:val="single" w:sz="4" w:space="0" w:color="auto"/>
              <w:right w:val="single" w:sz="4" w:space="0" w:color="auto"/>
            </w:tcBorders>
            <w:shd w:val="clear" w:color="auto" w:fill="auto"/>
            <w:noWrap/>
            <w:vAlign w:val="center"/>
          </w:tcPr>
          <w:p w14:paraId="33EC71D3" w14:textId="77777777" w:rsidR="008647ED" w:rsidRPr="004E74A6" w:rsidRDefault="008647ED" w:rsidP="00CE62C1">
            <w:pPr>
              <w:spacing w:line="276" w:lineRule="auto"/>
              <w:jc w:val="center"/>
              <w:rPr>
                <w:rFonts w:cs="Calibri"/>
                <w:color w:val="000000"/>
                <w:sz w:val="20"/>
                <w:lang w:eastAsia="es-CR"/>
              </w:rPr>
            </w:pPr>
          </w:p>
        </w:tc>
        <w:tc>
          <w:tcPr>
            <w:tcW w:w="607" w:type="pct"/>
            <w:tcBorders>
              <w:top w:val="nil"/>
              <w:left w:val="single" w:sz="4" w:space="0" w:color="auto"/>
              <w:bottom w:val="single" w:sz="4" w:space="0" w:color="auto"/>
              <w:right w:val="nil"/>
            </w:tcBorders>
            <w:shd w:val="clear" w:color="auto" w:fill="auto"/>
            <w:noWrap/>
            <w:vAlign w:val="center"/>
          </w:tcPr>
          <w:p w14:paraId="10D7777C" w14:textId="77777777" w:rsidR="008647ED" w:rsidRPr="004E74A6" w:rsidRDefault="008647ED" w:rsidP="00CE62C1">
            <w:pPr>
              <w:spacing w:line="276" w:lineRule="auto"/>
              <w:jc w:val="center"/>
              <w:rPr>
                <w:rFonts w:cs="Calibri"/>
                <w:color w:val="000000"/>
                <w:sz w:val="20"/>
                <w:lang w:eastAsia="es-CR"/>
              </w:rPr>
            </w:pPr>
          </w:p>
        </w:tc>
      </w:tr>
    </w:tbl>
    <w:p w14:paraId="1A278740" w14:textId="77777777" w:rsidR="003E4755" w:rsidRPr="004E74A6" w:rsidRDefault="003E4755" w:rsidP="00832773">
      <w:pPr>
        <w:spacing w:line="276" w:lineRule="auto"/>
        <w:rPr>
          <w:rFonts w:cs="Calibri"/>
          <w:i/>
          <w:iCs/>
          <w:color w:val="000000"/>
          <w:sz w:val="20"/>
          <w:lang w:eastAsia="es-CR"/>
        </w:rPr>
      </w:pPr>
      <w:r w:rsidRPr="004E74A6">
        <w:rPr>
          <w:rFonts w:cs="Calibri"/>
          <w:i/>
          <w:iCs/>
          <w:color w:val="000000"/>
          <w:sz w:val="20"/>
          <w:lang w:eastAsia="es-CR"/>
        </w:rPr>
        <w:t>Fuente: Subproceso de Modernización Institucional con datos extraídos del sistema SIGMA, Dirección de Planificación.</w:t>
      </w:r>
    </w:p>
    <w:p w14:paraId="2E2D0940" w14:textId="77777777" w:rsidR="008647ED" w:rsidRPr="004E74A6" w:rsidRDefault="008647ED" w:rsidP="00CE62C1">
      <w:pPr>
        <w:spacing w:after="160" w:line="276" w:lineRule="auto"/>
        <w:rPr>
          <w:rFonts w:cs="Calibri"/>
          <w:color w:val="000000"/>
          <w:szCs w:val="24"/>
          <w:lang w:eastAsia="es-CR"/>
        </w:rPr>
      </w:pPr>
    </w:p>
    <w:p w14:paraId="78B05566" w14:textId="5FFCE084" w:rsidR="003459C2" w:rsidRPr="004E74A6" w:rsidRDefault="007B0ADF" w:rsidP="00CE62C1">
      <w:pPr>
        <w:spacing w:after="160" w:line="276" w:lineRule="auto"/>
        <w:rPr>
          <w:rFonts w:cs="Calibri"/>
          <w:color w:val="000000"/>
          <w:szCs w:val="24"/>
          <w:lang w:eastAsia="es-CR"/>
        </w:rPr>
      </w:pPr>
      <w:r>
        <w:rPr>
          <w:rFonts w:cs="Calibri"/>
          <w:color w:val="000000"/>
          <w:szCs w:val="24"/>
          <w:lang w:eastAsia="es-CR"/>
        </w:rPr>
        <w:t>En</w:t>
      </w:r>
      <w:r w:rsidR="003459C2" w:rsidRPr="004E74A6">
        <w:rPr>
          <w:rFonts w:cs="Calibri"/>
          <w:color w:val="000000"/>
          <w:szCs w:val="24"/>
          <w:lang w:eastAsia="es-CR"/>
        </w:rPr>
        <w:t xml:space="preserve"> la siguiente tabla</w:t>
      </w:r>
      <w:r>
        <w:rPr>
          <w:rFonts w:cs="Calibri"/>
          <w:color w:val="000000"/>
          <w:szCs w:val="24"/>
          <w:lang w:eastAsia="es-CR"/>
        </w:rPr>
        <w:t>,</w:t>
      </w:r>
      <w:r w:rsidR="003459C2" w:rsidRPr="004E74A6">
        <w:rPr>
          <w:rFonts w:cs="Calibri"/>
          <w:color w:val="000000"/>
          <w:szCs w:val="24"/>
          <w:lang w:eastAsia="es-CR"/>
        </w:rPr>
        <w:t xml:space="preserve"> se puede observar el detalle de la cuantía según los procedimientos ordinarios del Tribunal.</w:t>
      </w:r>
    </w:p>
    <w:p w14:paraId="1FC92577" w14:textId="5A652564" w:rsidR="003459C2" w:rsidRPr="004E74A6" w:rsidRDefault="003459C2" w:rsidP="00CE62C1">
      <w:pPr>
        <w:spacing w:line="276" w:lineRule="auto"/>
        <w:rPr>
          <w:rFonts w:cs="Calibri"/>
          <w:color w:val="000000"/>
          <w:szCs w:val="24"/>
          <w:lang w:eastAsia="es-CR"/>
        </w:rPr>
      </w:pPr>
      <w:r w:rsidRPr="004E74A6">
        <w:rPr>
          <w:rFonts w:cs="Calibri"/>
          <w:color w:val="000000"/>
          <w:szCs w:val="24"/>
          <w:lang w:eastAsia="es-CR"/>
        </w:rPr>
        <w:t>De los</w:t>
      </w:r>
      <w:r w:rsidR="00437C8E" w:rsidRPr="004E74A6">
        <w:rPr>
          <w:rFonts w:cs="Calibri"/>
          <w:color w:val="000000"/>
          <w:szCs w:val="24"/>
          <w:lang w:eastAsia="es-CR"/>
        </w:rPr>
        <w:t xml:space="preserve"> 273</w:t>
      </w:r>
      <w:r w:rsidRPr="004E74A6">
        <w:rPr>
          <w:rFonts w:cs="Calibri"/>
          <w:color w:val="000000"/>
          <w:szCs w:val="24"/>
          <w:lang w:eastAsia="es-CR"/>
        </w:rPr>
        <w:t xml:space="preserve"> procesos ordinarios ingresados </w:t>
      </w:r>
      <w:r w:rsidR="00437C8E" w:rsidRPr="004E74A6">
        <w:rPr>
          <w:rFonts w:cs="Calibri"/>
          <w:color w:val="000000"/>
          <w:szCs w:val="24"/>
          <w:lang w:eastAsia="es-CR"/>
        </w:rPr>
        <w:t xml:space="preserve">anualmente </w:t>
      </w:r>
      <w:r w:rsidRPr="004E74A6">
        <w:rPr>
          <w:rFonts w:cs="Calibri"/>
          <w:color w:val="000000"/>
          <w:szCs w:val="24"/>
          <w:lang w:eastAsia="es-CR"/>
        </w:rPr>
        <w:t xml:space="preserve">en el Tribunal, en promedio </w:t>
      </w:r>
      <w:r w:rsidR="00851C6B" w:rsidRPr="004E74A6">
        <w:rPr>
          <w:rFonts w:cs="Calibri"/>
          <w:color w:val="000000"/>
          <w:szCs w:val="24"/>
          <w:lang w:eastAsia="es-CR"/>
        </w:rPr>
        <w:t>11</w:t>
      </w:r>
      <w:r w:rsidRPr="004E74A6">
        <w:rPr>
          <w:rFonts w:cs="Calibri"/>
          <w:color w:val="000000"/>
          <w:szCs w:val="24"/>
          <w:lang w:eastAsia="es-CR"/>
        </w:rPr>
        <w:t xml:space="preserve"> asuntos son inestimables (4%), </w:t>
      </w:r>
      <w:r w:rsidR="00851C6B" w:rsidRPr="004E74A6">
        <w:rPr>
          <w:rFonts w:cs="Calibri"/>
          <w:color w:val="000000"/>
          <w:szCs w:val="24"/>
          <w:lang w:eastAsia="es-CR"/>
        </w:rPr>
        <w:t>140</w:t>
      </w:r>
      <w:r w:rsidRPr="004E74A6">
        <w:rPr>
          <w:rFonts w:cs="Calibri"/>
          <w:color w:val="000000"/>
          <w:szCs w:val="24"/>
          <w:lang w:eastAsia="es-CR"/>
        </w:rPr>
        <w:t xml:space="preserve"> estimables (</w:t>
      </w:r>
      <w:r w:rsidR="00851C6B" w:rsidRPr="004E74A6">
        <w:rPr>
          <w:rFonts w:cs="Calibri"/>
          <w:color w:val="000000"/>
          <w:szCs w:val="24"/>
          <w:lang w:eastAsia="es-CR"/>
        </w:rPr>
        <w:t>51</w:t>
      </w:r>
      <w:r w:rsidRPr="004E74A6">
        <w:rPr>
          <w:rFonts w:cs="Calibri"/>
          <w:color w:val="000000"/>
          <w:szCs w:val="24"/>
          <w:lang w:eastAsia="es-CR"/>
        </w:rPr>
        <w:t xml:space="preserve">%), </w:t>
      </w:r>
      <w:r w:rsidR="00851C6B" w:rsidRPr="004E74A6">
        <w:rPr>
          <w:rFonts w:cs="Calibri"/>
          <w:color w:val="000000"/>
          <w:szCs w:val="24"/>
          <w:lang w:eastAsia="es-CR"/>
        </w:rPr>
        <w:t>33</w:t>
      </w:r>
      <w:r w:rsidRPr="004E74A6">
        <w:rPr>
          <w:rFonts w:cs="Calibri"/>
          <w:color w:val="000000"/>
          <w:szCs w:val="24"/>
          <w:lang w:eastAsia="es-CR"/>
        </w:rPr>
        <w:t xml:space="preserve"> casos “no aplica” (</w:t>
      </w:r>
      <w:r w:rsidR="00851C6B" w:rsidRPr="004E74A6">
        <w:rPr>
          <w:rFonts w:cs="Calibri"/>
          <w:color w:val="000000"/>
          <w:szCs w:val="24"/>
          <w:lang w:eastAsia="es-CR"/>
        </w:rPr>
        <w:t>12</w:t>
      </w:r>
      <w:r w:rsidRPr="004E74A6">
        <w:rPr>
          <w:rFonts w:cs="Calibri"/>
          <w:color w:val="000000"/>
          <w:szCs w:val="24"/>
          <w:lang w:eastAsia="es-CR"/>
        </w:rPr>
        <w:t xml:space="preserve">%) y sin actualizar </w:t>
      </w:r>
      <w:r w:rsidR="00851C6B" w:rsidRPr="004E74A6">
        <w:rPr>
          <w:rFonts w:cs="Calibri"/>
          <w:color w:val="000000"/>
          <w:szCs w:val="24"/>
          <w:lang w:eastAsia="es-CR"/>
        </w:rPr>
        <w:t>89</w:t>
      </w:r>
      <w:r w:rsidRPr="004E74A6">
        <w:rPr>
          <w:rFonts w:cs="Calibri"/>
          <w:color w:val="000000"/>
          <w:szCs w:val="24"/>
          <w:lang w:eastAsia="es-CR"/>
        </w:rPr>
        <w:t xml:space="preserve"> casos (</w:t>
      </w:r>
      <w:r w:rsidR="00851C6B" w:rsidRPr="004E74A6">
        <w:rPr>
          <w:rFonts w:cs="Calibri"/>
          <w:color w:val="000000"/>
          <w:szCs w:val="24"/>
          <w:lang w:eastAsia="es-CR"/>
        </w:rPr>
        <w:t>33</w:t>
      </w:r>
      <w:r w:rsidRPr="004E74A6">
        <w:rPr>
          <w:rFonts w:cs="Calibri"/>
          <w:color w:val="000000"/>
          <w:szCs w:val="24"/>
          <w:lang w:eastAsia="es-CR"/>
        </w:rPr>
        <w:t>%).</w:t>
      </w:r>
    </w:p>
    <w:p w14:paraId="02AF0001" w14:textId="77777777" w:rsidR="003459C2" w:rsidRPr="004E74A6" w:rsidRDefault="003459C2" w:rsidP="00CE62C1">
      <w:pPr>
        <w:spacing w:line="276" w:lineRule="auto"/>
        <w:rPr>
          <w:rFonts w:cs="Calibri"/>
          <w:color w:val="000000"/>
          <w:szCs w:val="24"/>
          <w:lang w:eastAsia="es-CR"/>
        </w:rPr>
      </w:pPr>
    </w:p>
    <w:p w14:paraId="0E9FDB91" w14:textId="54216E87" w:rsidR="003459C2" w:rsidRPr="004E74A6" w:rsidRDefault="003459C2" w:rsidP="00CE62C1">
      <w:pPr>
        <w:spacing w:line="276" w:lineRule="auto"/>
        <w:rPr>
          <w:rFonts w:cs="Calibri"/>
          <w:color w:val="000000"/>
          <w:szCs w:val="24"/>
          <w:lang w:eastAsia="es-CR"/>
        </w:rPr>
      </w:pPr>
      <w:r w:rsidRPr="004E74A6">
        <w:rPr>
          <w:rFonts w:cs="Calibri"/>
          <w:color w:val="000000"/>
          <w:szCs w:val="24"/>
          <w:lang w:eastAsia="es-CR"/>
        </w:rPr>
        <w:lastRenderedPageBreak/>
        <w:t xml:space="preserve">De lo anterior, el </w:t>
      </w:r>
      <w:r w:rsidR="00851C6B" w:rsidRPr="004E74A6">
        <w:rPr>
          <w:rFonts w:cs="Calibri"/>
          <w:color w:val="000000"/>
          <w:szCs w:val="24"/>
          <w:lang w:eastAsia="es-CR"/>
        </w:rPr>
        <w:t>12</w:t>
      </w:r>
      <w:r w:rsidRPr="004E74A6">
        <w:rPr>
          <w:rFonts w:cs="Calibri"/>
          <w:color w:val="000000"/>
          <w:szCs w:val="24"/>
          <w:lang w:eastAsia="es-CR"/>
        </w:rPr>
        <w:t xml:space="preserve">% que indicaron no aplica cuantía, se debe a una actualización </w:t>
      </w:r>
      <w:r w:rsidR="00437C8E" w:rsidRPr="004E74A6">
        <w:rPr>
          <w:rFonts w:cs="Calibri"/>
          <w:color w:val="000000"/>
          <w:szCs w:val="24"/>
          <w:lang w:eastAsia="es-CR"/>
        </w:rPr>
        <w:t>errónea de la información</w:t>
      </w:r>
      <w:r w:rsidRPr="004E74A6">
        <w:rPr>
          <w:rFonts w:cs="Calibri"/>
          <w:color w:val="000000"/>
          <w:szCs w:val="24"/>
          <w:lang w:eastAsia="es-CR"/>
        </w:rPr>
        <w:t>, ya que desde el inicio en el uso de la mejora se les indicó a las oficinas</w:t>
      </w:r>
      <w:r w:rsidR="00437C8E" w:rsidRPr="004E74A6">
        <w:rPr>
          <w:rFonts w:cs="Calibri"/>
          <w:color w:val="000000"/>
          <w:szCs w:val="24"/>
          <w:lang w:eastAsia="es-CR"/>
        </w:rPr>
        <w:t xml:space="preserve"> por parte del Centro y los gestores</w:t>
      </w:r>
      <w:r w:rsidRPr="004E74A6">
        <w:rPr>
          <w:rFonts w:cs="Calibri"/>
          <w:color w:val="000000"/>
          <w:szCs w:val="24"/>
          <w:lang w:eastAsia="es-CR"/>
        </w:rPr>
        <w:t xml:space="preserve"> que esta opción solo aplica para materia de Trabajo, no así para Civil donde los asuntos son estimables o inestimables solamente. </w:t>
      </w:r>
    </w:p>
    <w:p w14:paraId="25B6FBCF" w14:textId="77777777" w:rsidR="003459C2" w:rsidRPr="004E74A6" w:rsidRDefault="003459C2" w:rsidP="00CE62C1">
      <w:pPr>
        <w:spacing w:line="276" w:lineRule="auto"/>
        <w:rPr>
          <w:rFonts w:cs="Calibri"/>
          <w:color w:val="000000"/>
          <w:szCs w:val="24"/>
          <w:lang w:eastAsia="es-CR"/>
        </w:rPr>
      </w:pPr>
    </w:p>
    <w:p w14:paraId="77E6EC2B" w14:textId="166C3B92" w:rsidR="003459C2" w:rsidRPr="004E74A6" w:rsidRDefault="003459C2" w:rsidP="00CE62C1">
      <w:pPr>
        <w:spacing w:line="276" w:lineRule="auto"/>
        <w:rPr>
          <w:rFonts w:cs="Calibri"/>
          <w:color w:val="000000"/>
          <w:szCs w:val="24"/>
          <w:lang w:eastAsia="es-CR"/>
        </w:rPr>
      </w:pPr>
      <w:r w:rsidRPr="004E74A6">
        <w:rPr>
          <w:rFonts w:cs="Calibri"/>
          <w:color w:val="000000"/>
          <w:szCs w:val="24"/>
          <w:lang w:eastAsia="es-CR"/>
        </w:rPr>
        <w:t xml:space="preserve">De los </w:t>
      </w:r>
      <w:r w:rsidR="00851C6B" w:rsidRPr="004E74A6">
        <w:rPr>
          <w:rFonts w:cs="Calibri"/>
          <w:color w:val="000000"/>
          <w:szCs w:val="24"/>
          <w:lang w:eastAsia="es-CR"/>
        </w:rPr>
        <w:t>140</w:t>
      </w:r>
      <w:r w:rsidRPr="004E74A6">
        <w:rPr>
          <w:rFonts w:cs="Calibri"/>
          <w:color w:val="000000"/>
          <w:szCs w:val="24"/>
          <w:lang w:eastAsia="es-CR"/>
        </w:rPr>
        <w:t xml:space="preserve"> ordinarios estimables, la distribución de esos asuntos por rango de cuantía es el siguiente: </w:t>
      </w:r>
    </w:p>
    <w:p w14:paraId="7E40AA8F" w14:textId="77777777" w:rsidR="008647ED" w:rsidRPr="004E74A6" w:rsidRDefault="008647ED" w:rsidP="00CE62C1">
      <w:pPr>
        <w:spacing w:after="160" w:line="276" w:lineRule="auto"/>
        <w:rPr>
          <w:rFonts w:cs="Calibri"/>
          <w:color w:val="000000"/>
          <w:szCs w:val="24"/>
          <w:lang w:eastAsia="es-CR"/>
        </w:rPr>
      </w:pPr>
    </w:p>
    <w:p w14:paraId="4AFDD534" w14:textId="3E80C4FE" w:rsidR="001F1695" w:rsidRDefault="001F1695" w:rsidP="00F0204A">
      <w:pPr>
        <w:pStyle w:val="Descripcin"/>
        <w:keepNext/>
        <w:spacing w:line="276" w:lineRule="auto"/>
        <w:jc w:val="center"/>
        <w:rPr>
          <w:rFonts w:ascii="Book Antiqua" w:hAnsi="Book Antiqua"/>
          <w:i/>
          <w:iCs/>
          <w:sz w:val="20"/>
          <w:szCs w:val="16"/>
          <w:lang w:val="es-CR"/>
        </w:rPr>
      </w:pPr>
      <w:r w:rsidRPr="00832773">
        <w:rPr>
          <w:rFonts w:ascii="Book Antiqua" w:hAnsi="Book Antiqua"/>
          <w:i/>
          <w:iCs/>
          <w:sz w:val="20"/>
          <w:szCs w:val="16"/>
          <w:lang w:val="es-CR"/>
        </w:rPr>
        <w:t xml:space="preserve">Tabla </w:t>
      </w:r>
      <w:r w:rsidRPr="00832773">
        <w:rPr>
          <w:rFonts w:ascii="Book Antiqua" w:hAnsi="Book Antiqua"/>
          <w:i/>
          <w:iCs/>
          <w:sz w:val="20"/>
          <w:szCs w:val="16"/>
          <w:lang w:val="es-CR"/>
        </w:rPr>
        <w:fldChar w:fldCharType="begin"/>
      </w:r>
      <w:r w:rsidRPr="00832773">
        <w:rPr>
          <w:rFonts w:ascii="Book Antiqua" w:hAnsi="Book Antiqua"/>
          <w:i/>
          <w:iCs/>
          <w:sz w:val="20"/>
          <w:szCs w:val="16"/>
          <w:lang w:val="es-CR"/>
        </w:rPr>
        <w:instrText xml:space="preserve"> SEQ Tabla \* ARABIC </w:instrText>
      </w:r>
      <w:r w:rsidRPr="00832773">
        <w:rPr>
          <w:rFonts w:ascii="Book Antiqua" w:hAnsi="Book Antiqua"/>
          <w:i/>
          <w:iCs/>
          <w:sz w:val="20"/>
          <w:szCs w:val="16"/>
          <w:lang w:val="es-CR"/>
        </w:rPr>
        <w:fldChar w:fldCharType="separate"/>
      </w:r>
      <w:r w:rsidR="00374B51">
        <w:rPr>
          <w:rFonts w:ascii="Book Antiqua" w:hAnsi="Book Antiqua"/>
          <w:i/>
          <w:iCs/>
          <w:noProof/>
          <w:sz w:val="20"/>
          <w:szCs w:val="16"/>
          <w:lang w:val="es-CR"/>
        </w:rPr>
        <w:t>8</w:t>
      </w:r>
      <w:r w:rsidRPr="00832773">
        <w:rPr>
          <w:rFonts w:ascii="Book Antiqua" w:hAnsi="Book Antiqua"/>
          <w:i/>
          <w:iCs/>
          <w:sz w:val="20"/>
          <w:szCs w:val="16"/>
          <w:lang w:val="es-CR"/>
        </w:rPr>
        <w:fldChar w:fldCharType="end"/>
      </w:r>
      <w:r w:rsidRPr="00832773">
        <w:rPr>
          <w:rFonts w:ascii="Book Antiqua" w:hAnsi="Book Antiqua"/>
          <w:i/>
          <w:iCs/>
          <w:sz w:val="20"/>
          <w:szCs w:val="16"/>
          <w:lang w:val="es-CR"/>
        </w:rPr>
        <w:t xml:space="preserve"> </w:t>
      </w:r>
      <w:r w:rsidR="00C35CA7" w:rsidRPr="00832773">
        <w:rPr>
          <w:rFonts w:ascii="Book Antiqua" w:hAnsi="Book Antiqua"/>
          <w:i/>
          <w:iCs/>
          <w:sz w:val="20"/>
          <w:szCs w:val="16"/>
          <w:lang w:val="es-CR"/>
        </w:rPr>
        <w:t xml:space="preserve">Cantidad de entrados ordinarios estimables por cuantía del 2019 al 2021 </w:t>
      </w:r>
      <w:r w:rsidRPr="00832773">
        <w:rPr>
          <w:rFonts w:ascii="Book Antiqua" w:hAnsi="Book Antiqua"/>
          <w:i/>
          <w:iCs/>
          <w:sz w:val="20"/>
          <w:szCs w:val="16"/>
          <w:lang w:val="es-CR"/>
        </w:rPr>
        <w:t>Tribunal Segundo Colegiado Primera Instancia Civil Primer Circuito Judicial de San José</w:t>
      </w:r>
    </w:p>
    <w:p w14:paraId="6D121BF0" w14:textId="77777777" w:rsidR="00194F64" w:rsidRPr="00194F64" w:rsidRDefault="00194F64" w:rsidP="00194F64"/>
    <w:tbl>
      <w:tblPr>
        <w:tblW w:w="8900" w:type="dxa"/>
        <w:jc w:val="center"/>
        <w:tblCellMar>
          <w:left w:w="70" w:type="dxa"/>
          <w:right w:w="70" w:type="dxa"/>
        </w:tblCellMar>
        <w:tblLook w:val="04A0" w:firstRow="1" w:lastRow="0" w:firstColumn="1" w:lastColumn="0" w:noHBand="0" w:noVBand="1"/>
      </w:tblPr>
      <w:tblGrid>
        <w:gridCol w:w="2835"/>
        <w:gridCol w:w="850"/>
        <w:gridCol w:w="850"/>
        <w:gridCol w:w="850"/>
        <w:gridCol w:w="1134"/>
        <w:gridCol w:w="2381"/>
      </w:tblGrid>
      <w:tr w:rsidR="00BE7C62" w:rsidRPr="004E74A6" w14:paraId="7379E5E3" w14:textId="12E6FEB2" w:rsidTr="00101E63">
        <w:trPr>
          <w:trHeight w:val="454"/>
          <w:tblHeader/>
          <w:jc w:val="center"/>
        </w:trPr>
        <w:tc>
          <w:tcPr>
            <w:tcW w:w="2835" w:type="dxa"/>
            <w:tcBorders>
              <w:top w:val="single" w:sz="4" w:space="0" w:color="000000"/>
              <w:left w:val="nil"/>
              <w:bottom w:val="single" w:sz="4" w:space="0" w:color="000000"/>
              <w:right w:val="single" w:sz="4" w:space="0" w:color="000000"/>
            </w:tcBorders>
            <w:shd w:val="clear" w:color="auto" w:fill="auto"/>
            <w:noWrap/>
            <w:vAlign w:val="center"/>
            <w:hideMark/>
          </w:tcPr>
          <w:p w14:paraId="6EB2B0B7" w14:textId="77777777" w:rsidR="00BE7C62" w:rsidRPr="004E74A6" w:rsidRDefault="00BE7C62" w:rsidP="00832773">
            <w:pPr>
              <w:spacing w:line="276" w:lineRule="auto"/>
              <w:jc w:val="center"/>
              <w:rPr>
                <w:rFonts w:cs="Calibri"/>
                <w:color w:val="000000"/>
                <w:sz w:val="20"/>
                <w:lang w:eastAsia="es-CR"/>
              </w:rPr>
            </w:pPr>
            <w:r w:rsidRPr="004E74A6">
              <w:rPr>
                <w:rFonts w:cs="Calibri"/>
                <w:color w:val="000000"/>
                <w:sz w:val="20"/>
                <w:lang w:eastAsia="es-CR"/>
              </w:rPr>
              <w:t>Ordinario Estimable</w:t>
            </w:r>
          </w:p>
        </w:tc>
        <w:tc>
          <w:tcPr>
            <w:tcW w:w="850" w:type="dxa"/>
            <w:tcBorders>
              <w:top w:val="single" w:sz="4" w:space="0" w:color="000000"/>
              <w:left w:val="nil"/>
              <w:bottom w:val="single" w:sz="4" w:space="0" w:color="000000"/>
              <w:right w:val="single" w:sz="4" w:space="0" w:color="000000"/>
            </w:tcBorders>
            <w:shd w:val="clear" w:color="auto" w:fill="auto"/>
            <w:noWrap/>
            <w:vAlign w:val="center"/>
            <w:hideMark/>
          </w:tcPr>
          <w:p w14:paraId="58323C03" w14:textId="77777777" w:rsidR="00BE7C62" w:rsidRPr="004E74A6" w:rsidRDefault="00BE7C62" w:rsidP="00832773">
            <w:pPr>
              <w:spacing w:line="276" w:lineRule="auto"/>
              <w:jc w:val="center"/>
              <w:rPr>
                <w:rFonts w:cs="Calibri"/>
                <w:color w:val="000000"/>
                <w:sz w:val="20"/>
                <w:lang w:eastAsia="es-CR"/>
              </w:rPr>
            </w:pPr>
            <w:r w:rsidRPr="004E74A6">
              <w:rPr>
                <w:rFonts w:cs="Calibri"/>
                <w:color w:val="000000"/>
                <w:sz w:val="20"/>
                <w:lang w:eastAsia="es-CR"/>
              </w:rPr>
              <w:t>2019</w:t>
            </w:r>
          </w:p>
        </w:tc>
        <w:tc>
          <w:tcPr>
            <w:tcW w:w="850" w:type="dxa"/>
            <w:tcBorders>
              <w:top w:val="single" w:sz="4" w:space="0" w:color="000000"/>
              <w:left w:val="nil"/>
              <w:bottom w:val="single" w:sz="4" w:space="0" w:color="000000"/>
              <w:right w:val="single" w:sz="4" w:space="0" w:color="000000"/>
            </w:tcBorders>
            <w:shd w:val="clear" w:color="auto" w:fill="auto"/>
            <w:noWrap/>
            <w:vAlign w:val="center"/>
            <w:hideMark/>
          </w:tcPr>
          <w:p w14:paraId="1A352FB6" w14:textId="77777777" w:rsidR="00BE7C62" w:rsidRPr="004E74A6" w:rsidRDefault="00BE7C62" w:rsidP="00832773">
            <w:pPr>
              <w:spacing w:line="276" w:lineRule="auto"/>
              <w:jc w:val="center"/>
              <w:rPr>
                <w:rFonts w:cs="Calibri"/>
                <w:color w:val="000000"/>
                <w:sz w:val="20"/>
                <w:lang w:eastAsia="es-CR"/>
              </w:rPr>
            </w:pPr>
            <w:r w:rsidRPr="004E74A6">
              <w:rPr>
                <w:rFonts w:cs="Calibri"/>
                <w:color w:val="000000"/>
                <w:sz w:val="20"/>
                <w:lang w:eastAsia="es-CR"/>
              </w:rPr>
              <w:t>2020</w:t>
            </w:r>
          </w:p>
        </w:tc>
        <w:tc>
          <w:tcPr>
            <w:tcW w:w="850" w:type="dxa"/>
            <w:tcBorders>
              <w:top w:val="single" w:sz="4" w:space="0" w:color="000000"/>
              <w:left w:val="nil"/>
              <w:bottom w:val="single" w:sz="4" w:space="0" w:color="000000"/>
              <w:right w:val="single" w:sz="4" w:space="0" w:color="000000"/>
            </w:tcBorders>
            <w:shd w:val="clear" w:color="auto" w:fill="auto"/>
            <w:noWrap/>
            <w:vAlign w:val="center"/>
            <w:hideMark/>
          </w:tcPr>
          <w:p w14:paraId="05740CD2" w14:textId="77777777" w:rsidR="00BE7C62" w:rsidRPr="004E74A6" w:rsidRDefault="00BE7C62" w:rsidP="00832773">
            <w:pPr>
              <w:spacing w:line="276" w:lineRule="auto"/>
              <w:jc w:val="center"/>
              <w:rPr>
                <w:rFonts w:cs="Calibri"/>
                <w:color w:val="000000"/>
                <w:sz w:val="20"/>
                <w:lang w:eastAsia="es-CR"/>
              </w:rPr>
            </w:pPr>
            <w:r w:rsidRPr="004E74A6">
              <w:rPr>
                <w:rFonts w:cs="Calibri"/>
                <w:color w:val="000000"/>
                <w:sz w:val="20"/>
                <w:lang w:eastAsia="es-CR"/>
              </w:rPr>
              <w:t>2021</w:t>
            </w:r>
          </w:p>
        </w:tc>
        <w:tc>
          <w:tcPr>
            <w:tcW w:w="1134" w:type="dxa"/>
            <w:tcBorders>
              <w:top w:val="single" w:sz="4" w:space="0" w:color="000000"/>
              <w:left w:val="nil"/>
              <w:bottom w:val="single" w:sz="4" w:space="0" w:color="000000"/>
              <w:right w:val="single" w:sz="4" w:space="0" w:color="auto"/>
            </w:tcBorders>
            <w:shd w:val="clear" w:color="auto" w:fill="auto"/>
            <w:noWrap/>
            <w:vAlign w:val="center"/>
            <w:hideMark/>
          </w:tcPr>
          <w:p w14:paraId="501C9481" w14:textId="77777777" w:rsidR="00BE7C62" w:rsidRPr="004E74A6" w:rsidRDefault="00BE7C62" w:rsidP="00832773">
            <w:pPr>
              <w:spacing w:line="276" w:lineRule="auto"/>
              <w:jc w:val="center"/>
              <w:rPr>
                <w:rFonts w:cs="Calibri"/>
                <w:color w:val="000000"/>
                <w:sz w:val="20"/>
                <w:lang w:eastAsia="es-CR"/>
              </w:rPr>
            </w:pPr>
            <w:r w:rsidRPr="004E74A6">
              <w:rPr>
                <w:rFonts w:cs="Calibri"/>
                <w:color w:val="000000"/>
                <w:sz w:val="20"/>
                <w:lang w:eastAsia="es-CR"/>
              </w:rPr>
              <w:t>Promedio</w:t>
            </w:r>
          </w:p>
        </w:tc>
        <w:tc>
          <w:tcPr>
            <w:tcW w:w="2381" w:type="dxa"/>
            <w:tcBorders>
              <w:top w:val="single" w:sz="4" w:space="0" w:color="000000"/>
              <w:left w:val="single" w:sz="4" w:space="0" w:color="auto"/>
              <w:bottom w:val="single" w:sz="4" w:space="0" w:color="000000"/>
              <w:right w:val="nil"/>
            </w:tcBorders>
          </w:tcPr>
          <w:p w14:paraId="3F193AB7" w14:textId="77777777"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Pérdida porcentual en la entrada en caso de elevarse la cuantía según rango escenario A1</w:t>
            </w:r>
          </w:p>
          <w:p w14:paraId="42C5C0F7" w14:textId="77777777" w:rsidR="00BE7C62" w:rsidRPr="004E74A6" w:rsidRDefault="00BE7C62" w:rsidP="00832773">
            <w:pPr>
              <w:spacing w:line="276" w:lineRule="auto"/>
              <w:jc w:val="center"/>
              <w:rPr>
                <w:rFonts w:cs="Calibri"/>
                <w:color w:val="000000"/>
                <w:sz w:val="20"/>
                <w:lang w:eastAsia="es-CR"/>
              </w:rPr>
            </w:pPr>
          </w:p>
        </w:tc>
      </w:tr>
      <w:tr w:rsidR="00BE7C62" w:rsidRPr="004E74A6" w14:paraId="3BC34C90" w14:textId="4A39C2E5" w:rsidTr="00101E63">
        <w:trPr>
          <w:trHeight w:val="276"/>
          <w:jc w:val="center"/>
        </w:trPr>
        <w:tc>
          <w:tcPr>
            <w:tcW w:w="2835" w:type="dxa"/>
            <w:tcBorders>
              <w:top w:val="nil"/>
              <w:left w:val="nil"/>
              <w:bottom w:val="nil"/>
              <w:right w:val="single" w:sz="4" w:space="0" w:color="000000"/>
            </w:tcBorders>
            <w:shd w:val="clear" w:color="auto" w:fill="auto"/>
            <w:noWrap/>
            <w:vAlign w:val="center"/>
            <w:hideMark/>
          </w:tcPr>
          <w:p w14:paraId="26752B2E" w14:textId="77777777" w:rsidR="00BE7C62" w:rsidRPr="004E74A6" w:rsidRDefault="00BE7C62" w:rsidP="00832773">
            <w:pPr>
              <w:spacing w:line="276" w:lineRule="auto"/>
              <w:jc w:val="center"/>
              <w:rPr>
                <w:rFonts w:cs="Calibri"/>
                <w:color w:val="000000"/>
                <w:sz w:val="20"/>
                <w:lang w:eastAsia="es-CR"/>
              </w:rPr>
            </w:pPr>
            <w:r w:rsidRPr="004E74A6">
              <w:rPr>
                <w:rFonts w:cs="Calibri"/>
                <w:color w:val="000000"/>
                <w:sz w:val="20"/>
                <w:lang w:eastAsia="es-CR"/>
              </w:rPr>
              <w:t> </w:t>
            </w:r>
          </w:p>
        </w:tc>
        <w:tc>
          <w:tcPr>
            <w:tcW w:w="850" w:type="dxa"/>
            <w:tcBorders>
              <w:top w:val="nil"/>
              <w:left w:val="nil"/>
              <w:bottom w:val="nil"/>
              <w:right w:val="single" w:sz="4" w:space="0" w:color="000000"/>
            </w:tcBorders>
            <w:shd w:val="clear" w:color="auto" w:fill="auto"/>
            <w:noWrap/>
            <w:vAlign w:val="center"/>
            <w:hideMark/>
          </w:tcPr>
          <w:p w14:paraId="780644F8" w14:textId="77777777" w:rsidR="00BE7C62" w:rsidRPr="004E74A6" w:rsidRDefault="00BE7C62" w:rsidP="00832773">
            <w:pPr>
              <w:spacing w:line="276" w:lineRule="auto"/>
              <w:jc w:val="center"/>
              <w:rPr>
                <w:rFonts w:cs="Calibri"/>
                <w:color w:val="000000"/>
                <w:sz w:val="20"/>
                <w:lang w:eastAsia="es-CR"/>
              </w:rPr>
            </w:pPr>
            <w:r w:rsidRPr="004E74A6">
              <w:rPr>
                <w:rFonts w:cs="Calibri"/>
                <w:color w:val="000000"/>
                <w:sz w:val="20"/>
                <w:lang w:eastAsia="es-CR"/>
              </w:rPr>
              <w:t> </w:t>
            </w:r>
          </w:p>
        </w:tc>
        <w:tc>
          <w:tcPr>
            <w:tcW w:w="850" w:type="dxa"/>
            <w:tcBorders>
              <w:top w:val="nil"/>
              <w:left w:val="nil"/>
              <w:bottom w:val="nil"/>
              <w:right w:val="single" w:sz="4" w:space="0" w:color="000000"/>
            </w:tcBorders>
            <w:shd w:val="clear" w:color="auto" w:fill="auto"/>
            <w:noWrap/>
            <w:vAlign w:val="center"/>
            <w:hideMark/>
          </w:tcPr>
          <w:p w14:paraId="2390E651" w14:textId="77777777" w:rsidR="00BE7C62" w:rsidRPr="004E74A6" w:rsidRDefault="00BE7C62" w:rsidP="00832773">
            <w:pPr>
              <w:spacing w:line="276" w:lineRule="auto"/>
              <w:jc w:val="center"/>
              <w:rPr>
                <w:rFonts w:cs="Calibri"/>
                <w:color w:val="000000"/>
                <w:sz w:val="20"/>
                <w:lang w:eastAsia="es-CR"/>
              </w:rPr>
            </w:pPr>
            <w:r w:rsidRPr="004E74A6">
              <w:rPr>
                <w:rFonts w:cs="Calibri"/>
                <w:color w:val="000000"/>
                <w:sz w:val="20"/>
                <w:lang w:eastAsia="es-CR"/>
              </w:rPr>
              <w:t> </w:t>
            </w:r>
          </w:p>
        </w:tc>
        <w:tc>
          <w:tcPr>
            <w:tcW w:w="850" w:type="dxa"/>
            <w:tcBorders>
              <w:top w:val="nil"/>
              <w:left w:val="nil"/>
              <w:bottom w:val="nil"/>
              <w:right w:val="single" w:sz="4" w:space="0" w:color="000000"/>
            </w:tcBorders>
            <w:shd w:val="clear" w:color="auto" w:fill="auto"/>
            <w:noWrap/>
            <w:vAlign w:val="center"/>
            <w:hideMark/>
          </w:tcPr>
          <w:p w14:paraId="08E06D99" w14:textId="77777777" w:rsidR="00BE7C62" w:rsidRPr="004E74A6" w:rsidRDefault="00BE7C62" w:rsidP="00832773">
            <w:pPr>
              <w:spacing w:line="276" w:lineRule="auto"/>
              <w:jc w:val="center"/>
              <w:rPr>
                <w:rFonts w:cs="Calibri"/>
                <w:color w:val="000000"/>
                <w:sz w:val="20"/>
                <w:lang w:eastAsia="es-CR"/>
              </w:rPr>
            </w:pPr>
            <w:r w:rsidRPr="004E74A6">
              <w:rPr>
                <w:rFonts w:cs="Calibri"/>
                <w:color w:val="000000"/>
                <w:sz w:val="20"/>
                <w:lang w:eastAsia="es-CR"/>
              </w:rPr>
              <w:t> </w:t>
            </w:r>
          </w:p>
        </w:tc>
        <w:tc>
          <w:tcPr>
            <w:tcW w:w="1134" w:type="dxa"/>
            <w:tcBorders>
              <w:top w:val="nil"/>
              <w:left w:val="nil"/>
              <w:bottom w:val="nil"/>
              <w:right w:val="single" w:sz="4" w:space="0" w:color="auto"/>
            </w:tcBorders>
            <w:shd w:val="clear" w:color="auto" w:fill="auto"/>
            <w:noWrap/>
            <w:vAlign w:val="center"/>
            <w:hideMark/>
          </w:tcPr>
          <w:p w14:paraId="24D93497" w14:textId="77777777" w:rsidR="00BE7C62" w:rsidRPr="004E74A6" w:rsidRDefault="00BE7C62" w:rsidP="00832773">
            <w:pPr>
              <w:spacing w:line="276" w:lineRule="auto"/>
              <w:jc w:val="center"/>
              <w:rPr>
                <w:rFonts w:cs="Calibri"/>
                <w:color w:val="000000"/>
                <w:sz w:val="20"/>
                <w:lang w:eastAsia="es-CR"/>
              </w:rPr>
            </w:pPr>
            <w:r w:rsidRPr="004E74A6">
              <w:rPr>
                <w:rFonts w:cs="Calibri"/>
                <w:color w:val="000000"/>
                <w:sz w:val="20"/>
                <w:lang w:eastAsia="es-CR"/>
              </w:rPr>
              <w:t> </w:t>
            </w:r>
          </w:p>
        </w:tc>
        <w:tc>
          <w:tcPr>
            <w:tcW w:w="2381" w:type="dxa"/>
            <w:tcBorders>
              <w:top w:val="nil"/>
              <w:left w:val="single" w:sz="4" w:space="0" w:color="auto"/>
              <w:bottom w:val="nil"/>
              <w:right w:val="nil"/>
            </w:tcBorders>
          </w:tcPr>
          <w:p w14:paraId="24F69C31" w14:textId="77777777" w:rsidR="00BE7C62" w:rsidRPr="004E74A6" w:rsidRDefault="00BE7C62" w:rsidP="00832773">
            <w:pPr>
              <w:spacing w:line="276" w:lineRule="auto"/>
              <w:jc w:val="center"/>
              <w:rPr>
                <w:rFonts w:cs="Calibri"/>
                <w:color w:val="000000"/>
                <w:sz w:val="20"/>
                <w:lang w:eastAsia="es-CR"/>
              </w:rPr>
            </w:pPr>
          </w:p>
        </w:tc>
      </w:tr>
      <w:tr w:rsidR="00BE7C62" w:rsidRPr="004E74A6" w14:paraId="6FB4423F" w14:textId="2057BCD5" w:rsidTr="00101E63">
        <w:trPr>
          <w:trHeight w:val="276"/>
          <w:jc w:val="center"/>
        </w:trPr>
        <w:tc>
          <w:tcPr>
            <w:tcW w:w="2835" w:type="dxa"/>
            <w:tcBorders>
              <w:top w:val="nil"/>
              <w:left w:val="nil"/>
              <w:bottom w:val="nil"/>
              <w:right w:val="single" w:sz="4" w:space="0" w:color="000000"/>
            </w:tcBorders>
            <w:shd w:val="clear" w:color="auto" w:fill="auto"/>
            <w:noWrap/>
            <w:vAlign w:val="center"/>
            <w:hideMark/>
          </w:tcPr>
          <w:p w14:paraId="4E5D03A2" w14:textId="77777777" w:rsidR="00BE7C62" w:rsidRPr="004E74A6" w:rsidRDefault="00BE7C62" w:rsidP="00832773">
            <w:pPr>
              <w:spacing w:line="276" w:lineRule="auto"/>
              <w:jc w:val="center"/>
              <w:rPr>
                <w:rFonts w:cs="Calibri"/>
                <w:color w:val="000000"/>
                <w:sz w:val="20"/>
                <w:lang w:eastAsia="es-CR"/>
              </w:rPr>
            </w:pPr>
            <w:r w:rsidRPr="004E74A6">
              <w:rPr>
                <w:rFonts w:cs="Calibri"/>
                <w:color w:val="000000"/>
                <w:sz w:val="20"/>
                <w:lang w:eastAsia="es-CR"/>
              </w:rPr>
              <w:t>Total</w:t>
            </w:r>
          </w:p>
        </w:tc>
        <w:tc>
          <w:tcPr>
            <w:tcW w:w="850" w:type="dxa"/>
            <w:tcBorders>
              <w:top w:val="nil"/>
              <w:left w:val="nil"/>
              <w:bottom w:val="nil"/>
              <w:right w:val="single" w:sz="4" w:space="0" w:color="000000"/>
            </w:tcBorders>
            <w:shd w:val="clear" w:color="auto" w:fill="auto"/>
            <w:noWrap/>
            <w:vAlign w:val="center"/>
            <w:hideMark/>
          </w:tcPr>
          <w:p w14:paraId="61613717" w14:textId="77777777" w:rsidR="00BE7C62" w:rsidRPr="004E74A6" w:rsidRDefault="00BE7C62" w:rsidP="00832773">
            <w:pPr>
              <w:spacing w:line="276" w:lineRule="auto"/>
              <w:jc w:val="center"/>
              <w:rPr>
                <w:rFonts w:cs="Calibri"/>
                <w:color w:val="000000"/>
                <w:sz w:val="20"/>
                <w:lang w:eastAsia="es-CR"/>
              </w:rPr>
            </w:pPr>
            <w:r w:rsidRPr="004E74A6">
              <w:rPr>
                <w:rFonts w:cs="Calibri"/>
                <w:color w:val="000000"/>
                <w:sz w:val="20"/>
                <w:lang w:eastAsia="es-CR"/>
              </w:rPr>
              <w:t>115</w:t>
            </w:r>
          </w:p>
        </w:tc>
        <w:tc>
          <w:tcPr>
            <w:tcW w:w="850" w:type="dxa"/>
            <w:tcBorders>
              <w:top w:val="nil"/>
              <w:left w:val="nil"/>
              <w:bottom w:val="nil"/>
              <w:right w:val="single" w:sz="4" w:space="0" w:color="000000"/>
            </w:tcBorders>
            <w:shd w:val="clear" w:color="auto" w:fill="auto"/>
            <w:noWrap/>
            <w:vAlign w:val="center"/>
            <w:hideMark/>
          </w:tcPr>
          <w:p w14:paraId="698B5401" w14:textId="77777777" w:rsidR="00BE7C62" w:rsidRPr="004E74A6" w:rsidRDefault="00BE7C62" w:rsidP="00832773">
            <w:pPr>
              <w:spacing w:line="276" w:lineRule="auto"/>
              <w:jc w:val="center"/>
              <w:rPr>
                <w:rFonts w:cs="Calibri"/>
                <w:color w:val="000000"/>
                <w:sz w:val="20"/>
                <w:lang w:eastAsia="es-CR"/>
              </w:rPr>
            </w:pPr>
            <w:r w:rsidRPr="004E74A6">
              <w:rPr>
                <w:rFonts w:cs="Calibri"/>
                <w:color w:val="000000"/>
                <w:sz w:val="20"/>
                <w:lang w:eastAsia="es-CR"/>
              </w:rPr>
              <w:t>174</w:t>
            </w:r>
          </w:p>
        </w:tc>
        <w:tc>
          <w:tcPr>
            <w:tcW w:w="850" w:type="dxa"/>
            <w:tcBorders>
              <w:top w:val="nil"/>
              <w:left w:val="nil"/>
              <w:bottom w:val="nil"/>
              <w:right w:val="single" w:sz="4" w:space="0" w:color="000000"/>
            </w:tcBorders>
            <w:shd w:val="clear" w:color="auto" w:fill="auto"/>
            <w:noWrap/>
            <w:vAlign w:val="center"/>
            <w:hideMark/>
          </w:tcPr>
          <w:p w14:paraId="2122A4B9" w14:textId="77777777" w:rsidR="00BE7C62" w:rsidRPr="004E74A6" w:rsidRDefault="00BE7C62" w:rsidP="00832773">
            <w:pPr>
              <w:spacing w:line="276" w:lineRule="auto"/>
              <w:jc w:val="center"/>
              <w:rPr>
                <w:rFonts w:cs="Calibri"/>
                <w:color w:val="000000"/>
                <w:sz w:val="20"/>
                <w:lang w:eastAsia="es-CR"/>
              </w:rPr>
            </w:pPr>
            <w:r w:rsidRPr="004E74A6">
              <w:rPr>
                <w:rFonts w:cs="Calibri"/>
                <w:color w:val="000000"/>
                <w:sz w:val="20"/>
                <w:lang w:eastAsia="es-CR"/>
              </w:rPr>
              <w:t>131</w:t>
            </w:r>
          </w:p>
        </w:tc>
        <w:tc>
          <w:tcPr>
            <w:tcW w:w="1134" w:type="dxa"/>
            <w:tcBorders>
              <w:top w:val="nil"/>
              <w:left w:val="nil"/>
              <w:bottom w:val="nil"/>
              <w:right w:val="single" w:sz="4" w:space="0" w:color="auto"/>
            </w:tcBorders>
            <w:shd w:val="clear" w:color="auto" w:fill="auto"/>
            <w:noWrap/>
            <w:vAlign w:val="center"/>
            <w:hideMark/>
          </w:tcPr>
          <w:p w14:paraId="4916186F" w14:textId="77777777" w:rsidR="00BE7C62" w:rsidRPr="004E74A6" w:rsidRDefault="00BE7C62" w:rsidP="00832773">
            <w:pPr>
              <w:spacing w:line="276" w:lineRule="auto"/>
              <w:jc w:val="center"/>
              <w:rPr>
                <w:rFonts w:cs="Calibri"/>
                <w:color w:val="000000"/>
                <w:sz w:val="20"/>
                <w:lang w:eastAsia="es-CR"/>
              </w:rPr>
            </w:pPr>
            <w:r w:rsidRPr="004E74A6">
              <w:rPr>
                <w:rFonts w:cs="Calibri"/>
                <w:color w:val="000000"/>
                <w:sz w:val="20"/>
                <w:lang w:eastAsia="es-CR"/>
              </w:rPr>
              <w:t>140</w:t>
            </w:r>
          </w:p>
        </w:tc>
        <w:tc>
          <w:tcPr>
            <w:tcW w:w="2381" w:type="dxa"/>
            <w:tcBorders>
              <w:top w:val="nil"/>
              <w:left w:val="single" w:sz="4" w:space="0" w:color="auto"/>
              <w:bottom w:val="nil"/>
              <w:right w:val="nil"/>
            </w:tcBorders>
          </w:tcPr>
          <w:p w14:paraId="60F3FCB0" w14:textId="77777777" w:rsidR="00BE7C62" w:rsidRPr="004E74A6" w:rsidRDefault="00BE7C62" w:rsidP="00832773">
            <w:pPr>
              <w:spacing w:line="276" w:lineRule="auto"/>
              <w:jc w:val="center"/>
              <w:rPr>
                <w:rFonts w:cs="Calibri"/>
                <w:color w:val="000000"/>
                <w:sz w:val="20"/>
                <w:lang w:eastAsia="es-CR"/>
              </w:rPr>
            </w:pPr>
          </w:p>
        </w:tc>
      </w:tr>
      <w:tr w:rsidR="00BE7C62" w:rsidRPr="004E74A6" w14:paraId="046B5C54" w14:textId="31DF7A23" w:rsidTr="00101E63">
        <w:trPr>
          <w:trHeight w:val="276"/>
          <w:jc w:val="center"/>
        </w:trPr>
        <w:tc>
          <w:tcPr>
            <w:tcW w:w="2835" w:type="dxa"/>
            <w:tcBorders>
              <w:top w:val="nil"/>
              <w:left w:val="nil"/>
              <w:bottom w:val="nil"/>
              <w:right w:val="single" w:sz="4" w:space="0" w:color="000000"/>
            </w:tcBorders>
            <w:shd w:val="clear" w:color="auto" w:fill="auto"/>
            <w:noWrap/>
            <w:vAlign w:val="center"/>
            <w:hideMark/>
          </w:tcPr>
          <w:p w14:paraId="715E689D" w14:textId="77777777" w:rsidR="00BE7C62" w:rsidRPr="004E74A6" w:rsidRDefault="00BE7C62" w:rsidP="00832773">
            <w:pPr>
              <w:spacing w:line="276" w:lineRule="auto"/>
              <w:jc w:val="center"/>
              <w:rPr>
                <w:rFonts w:cs="Calibri"/>
                <w:color w:val="000000"/>
                <w:sz w:val="20"/>
                <w:lang w:eastAsia="es-CR"/>
              </w:rPr>
            </w:pPr>
            <w:r w:rsidRPr="004E74A6">
              <w:rPr>
                <w:rFonts w:cs="Calibri"/>
                <w:color w:val="000000"/>
                <w:sz w:val="20"/>
                <w:lang w:eastAsia="es-CR"/>
              </w:rPr>
              <w:t> </w:t>
            </w:r>
          </w:p>
        </w:tc>
        <w:tc>
          <w:tcPr>
            <w:tcW w:w="850" w:type="dxa"/>
            <w:tcBorders>
              <w:top w:val="nil"/>
              <w:left w:val="nil"/>
              <w:bottom w:val="nil"/>
              <w:right w:val="single" w:sz="4" w:space="0" w:color="000000"/>
            </w:tcBorders>
            <w:shd w:val="clear" w:color="auto" w:fill="auto"/>
            <w:noWrap/>
            <w:vAlign w:val="center"/>
            <w:hideMark/>
          </w:tcPr>
          <w:p w14:paraId="4DE04772" w14:textId="77777777" w:rsidR="00BE7C62" w:rsidRPr="004E74A6" w:rsidRDefault="00BE7C62" w:rsidP="00832773">
            <w:pPr>
              <w:spacing w:line="276" w:lineRule="auto"/>
              <w:jc w:val="center"/>
              <w:rPr>
                <w:rFonts w:cs="Calibri"/>
                <w:color w:val="000000"/>
                <w:sz w:val="20"/>
                <w:lang w:eastAsia="es-CR"/>
              </w:rPr>
            </w:pPr>
            <w:r w:rsidRPr="004E74A6">
              <w:rPr>
                <w:rFonts w:cs="Calibri"/>
                <w:color w:val="000000"/>
                <w:sz w:val="20"/>
                <w:lang w:eastAsia="es-CR"/>
              </w:rPr>
              <w:t> </w:t>
            </w:r>
          </w:p>
        </w:tc>
        <w:tc>
          <w:tcPr>
            <w:tcW w:w="850" w:type="dxa"/>
            <w:tcBorders>
              <w:top w:val="nil"/>
              <w:left w:val="nil"/>
              <w:bottom w:val="nil"/>
              <w:right w:val="single" w:sz="4" w:space="0" w:color="000000"/>
            </w:tcBorders>
            <w:shd w:val="clear" w:color="auto" w:fill="auto"/>
            <w:noWrap/>
            <w:vAlign w:val="center"/>
            <w:hideMark/>
          </w:tcPr>
          <w:p w14:paraId="3021B65C" w14:textId="77777777" w:rsidR="00BE7C62" w:rsidRPr="004E74A6" w:rsidRDefault="00BE7C62" w:rsidP="00832773">
            <w:pPr>
              <w:spacing w:line="276" w:lineRule="auto"/>
              <w:jc w:val="center"/>
              <w:rPr>
                <w:rFonts w:cs="Calibri"/>
                <w:color w:val="000000"/>
                <w:sz w:val="20"/>
                <w:lang w:eastAsia="es-CR"/>
              </w:rPr>
            </w:pPr>
            <w:r w:rsidRPr="004E74A6">
              <w:rPr>
                <w:rFonts w:cs="Calibri"/>
                <w:color w:val="000000"/>
                <w:sz w:val="20"/>
                <w:lang w:eastAsia="es-CR"/>
              </w:rPr>
              <w:t> </w:t>
            </w:r>
          </w:p>
        </w:tc>
        <w:tc>
          <w:tcPr>
            <w:tcW w:w="850" w:type="dxa"/>
            <w:tcBorders>
              <w:top w:val="nil"/>
              <w:left w:val="nil"/>
              <w:bottom w:val="nil"/>
              <w:right w:val="single" w:sz="4" w:space="0" w:color="000000"/>
            </w:tcBorders>
            <w:shd w:val="clear" w:color="auto" w:fill="auto"/>
            <w:noWrap/>
            <w:vAlign w:val="center"/>
            <w:hideMark/>
          </w:tcPr>
          <w:p w14:paraId="185DA803" w14:textId="77777777" w:rsidR="00BE7C62" w:rsidRPr="004E74A6" w:rsidRDefault="00BE7C62" w:rsidP="00832773">
            <w:pPr>
              <w:spacing w:line="276" w:lineRule="auto"/>
              <w:jc w:val="center"/>
              <w:rPr>
                <w:rFonts w:cs="Calibri"/>
                <w:color w:val="000000"/>
                <w:sz w:val="20"/>
                <w:lang w:eastAsia="es-CR"/>
              </w:rPr>
            </w:pPr>
            <w:r w:rsidRPr="004E74A6">
              <w:rPr>
                <w:rFonts w:cs="Calibri"/>
                <w:color w:val="000000"/>
                <w:sz w:val="20"/>
                <w:lang w:eastAsia="es-CR"/>
              </w:rPr>
              <w:t> </w:t>
            </w:r>
          </w:p>
        </w:tc>
        <w:tc>
          <w:tcPr>
            <w:tcW w:w="1134" w:type="dxa"/>
            <w:tcBorders>
              <w:top w:val="nil"/>
              <w:left w:val="nil"/>
              <w:bottom w:val="nil"/>
              <w:right w:val="single" w:sz="4" w:space="0" w:color="auto"/>
            </w:tcBorders>
            <w:shd w:val="clear" w:color="auto" w:fill="auto"/>
            <w:noWrap/>
            <w:vAlign w:val="center"/>
            <w:hideMark/>
          </w:tcPr>
          <w:p w14:paraId="5C034498" w14:textId="77777777" w:rsidR="00BE7C62" w:rsidRPr="004E74A6" w:rsidRDefault="00BE7C62" w:rsidP="00832773">
            <w:pPr>
              <w:spacing w:line="276" w:lineRule="auto"/>
              <w:jc w:val="center"/>
              <w:rPr>
                <w:rFonts w:cs="Calibri"/>
                <w:color w:val="000000"/>
                <w:sz w:val="20"/>
                <w:lang w:eastAsia="es-CR"/>
              </w:rPr>
            </w:pPr>
            <w:r w:rsidRPr="004E74A6">
              <w:rPr>
                <w:rFonts w:cs="Calibri"/>
                <w:color w:val="000000"/>
                <w:sz w:val="20"/>
                <w:lang w:eastAsia="es-CR"/>
              </w:rPr>
              <w:t> </w:t>
            </w:r>
          </w:p>
        </w:tc>
        <w:tc>
          <w:tcPr>
            <w:tcW w:w="2381" w:type="dxa"/>
            <w:tcBorders>
              <w:top w:val="nil"/>
              <w:left w:val="single" w:sz="4" w:space="0" w:color="auto"/>
              <w:bottom w:val="nil"/>
              <w:right w:val="nil"/>
            </w:tcBorders>
          </w:tcPr>
          <w:p w14:paraId="655D624F" w14:textId="77777777" w:rsidR="00BE7C62" w:rsidRPr="004E74A6" w:rsidRDefault="00BE7C62" w:rsidP="00832773">
            <w:pPr>
              <w:spacing w:line="276" w:lineRule="auto"/>
              <w:jc w:val="center"/>
              <w:rPr>
                <w:rFonts w:cs="Calibri"/>
                <w:color w:val="000000"/>
                <w:sz w:val="20"/>
                <w:lang w:eastAsia="es-CR"/>
              </w:rPr>
            </w:pPr>
          </w:p>
        </w:tc>
      </w:tr>
      <w:tr w:rsidR="00BE7C62" w:rsidRPr="004E74A6" w14:paraId="171255C5" w14:textId="5C7ECA11" w:rsidTr="00101E63">
        <w:trPr>
          <w:trHeight w:val="276"/>
          <w:jc w:val="center"/>
        </w:trPr>
        <w:tc>
          <w:tcPr>
            <w:tcW w:w="2835" w:type="dxa"/>
            <w:tcBorders>
              <w:top w:val="nil"/>
              <w:left w:val="nil"/>
              <w:bottom w:val="nil"/>
              <w:right w:val="single" w:sz="4" w:space="0" w:color="000000"/>
            </w:tcBorders>
            <w:shd w:val="clear" w:color="auto" w:fill="C5E0B3" w:themeFill="accent6" w:themeFillTint="66"/>
            <w:noWrap/>
            <w:vAlign w:val="center"/>
            <w:hideMark/>
          </w:tcPr>
          <w:p w14:paraId="25C1C594" w14:textId="77777777" w:rsidR="00BE7C62" w:rsidRPr="004E74A6" w:rsidRDefault="00BE7C62" w:rsidP="00832773">
            <w:pPr>
              <w:spacing w:line="276" w:lineRule="auto"/>
              <w:jc w:val="left"/>
              <w:rPr>
                <w:rFonts w:cs="Calibri"/>
                <w:color w:val="000000"/>
                <w:sz w:val="20"/>
                <w:lang w:eastAsia="es-CR"/>
              </w:rPr>
            </w:pPr>
            <w:r w:rsidRPr="004E74A6">
              <w:rPr>
                <w:rFonts w:cs="Calibri"/>
                <w:color w:val="000000"/>
                <w:sz w:val="20"/>
                <w:lang w:eastAsia="es-CR"/>
              </w:rPr>
              <w:t>Menos de ¢3.000.001</w:t>
            </w:r>
          </w:p>
        </w:tc>
        <w:tc>
          <w:tcPr>
            <w:tcW w:w="850" w:type="dxa"/>
            <w:tcBorders>
              <w:top w:val="nil"/>
              <w:left w:val="nil"/>
              <w:bottom w:val="nil"/>
              <w:right w:val="single" w:sz="4" w:space="0" w:color="000000"/>
            </w:tcBorders>
            <w:shd w:val="clear" w:color="auto" w:fill="C5E0B3" w:themeFill="accent6" w:themeFillTint="66"/>
            <w:noWrap/>
            <w:vAlign w:val="center"/>
            <w:hideMark/>
          </w:tcPr>
          <w:p w14:paraId="15C5880C" w14:textId="78083D7C"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4</w:t>
            </w:r>
          </w:p>
        </w:tc>
        <w:tc>
          <w:tcPr>
            <w:tcW w:w="850" w:type="dxa"/>
            <w:tcBorders>
              <w:top w:val="nil"/>
              <w:left w:val="nil"/>
              <w:bottom w:val="nil"/>
              <w:right w:val="single" w:sz="4" w:space="0" w:color="000000"/>
            </w:tcBorders>
            <w:shd w:val="clear" w:color="auto" w:fill="C5E0B3" w:themeFill="accent6" w:themeFillTint="66"/>
            <w:noWrap/>
            <w:vAlign w:val="center"/>
            <w:hideMark/>
          </w:tcPr>
          <w:p w14:paraId="5601008F" w14:textId="79010A99"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4</w:t>
            </w:r>
          </w:p>
        </w:tc>
        <w:tc>
          <w:tcPr>
            <w:tcW w:w="850" w:type="dxa"/>
            <w:tcBorders>
              <w:top w:val="nil"/>
              <w:left w:val="nil"/>
              <w:bottom w:val="nil"/>
              <w:right w:val="single" w:sz="4" w:space="0" w:color="000000"/>
            </w:tcBorders>
            <w:shd w:val="clear" w:color="auto" w:fill="C5E0B3" w:themeFill="accent6" w:themeFillTint="66"/>
            <w:noWrap/>
            <w:vAlign w:val="center"/>
            <w:hideMark/>
          </w:tcPr>
          <w:p w14:paraId="7F7F63BC" w14:textId="04C78FBE"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5</w:t>
            </w:r>
          </w:p>
        </w:tc>
        <w:tc>
          <w:tcPr>
            <w:tcW w:w="1134" w:type="dxa"/>
            <w:tcBorders>
              <w:top w:val="nil"/>
              <w:left w:val="nil"/>
              <w:bottom w:val="nil"/>
              <w:right w:val="single" w:sz="4" w:space="0" w:color="auto"/>
            </w:tcBorders>
            <w:shd w:val="clear" w:color="auto" w:fill="C5E0B3" w:themeFill="accent6" w:themeFillTint="66"/>
            <w:noWrap/>
            <w:vAlign w:val="center"/>
            <w:hideMark/>
          </w:tcPr>
          <w:p w14:paraId="552211D1" w14:textId="5A1BF77A"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4,3</w:t>
            </w:r>
          </w:p>
        </w:tc>
        <w:tc>
          <w:tcPr>
            <w:tcW w:w="2381" w:type="dxa"/>
            <w:tcBorders>
              <w:top w:val="nil"/>
              <w:left w:val="single" w:sz="4" w:space="0" w:color="auto"/>
              <w:bottom w:val="nil"/>
              <w:right w:val="nil"/>
            </w:tcBorders>
            <w:shd w:val="clear" w:color="auto" w:fill="C5E0B3" w:themeFill="accent6" w:themeFillTint="66"/>
            <w:vAlign w:val="center"/>
          </w:tcPr>
          <w:p w14:paraId="071AE40B" w14:textId="5A26B532"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3%</w:t>
            </w:r>
          </w:p>
        </w:tc>
      </w:tr>
      <w:tr w:rsidR="00BE7C62" w:rsidRPr="004E74A6" w14:paraId="6755CD14" w14:textId="42BF6F83" w:rsidTr="00101E63">
        <w:trPr>
          <w:trHeight w:val="276"/>
          <w:jc w:val="center"/>
        </w:trPr>
        <w:tc>
          <w:tcPr>
            <w:tcW w:w="2835" w:type="dxa"/>
            <w:tcBorders>
              <w:top w:val="nil"/>
              <w:left w:val="nil"/>
              <w:bottom w:val="nil"/>
              <w:right w:val="single" w:sz="4" w:space="0" w:color="000000"/>
            </w:tcBorders>
            <w:shd w:val="clear" w:color="auto" w:fill="C5E0B3" w:themeFill="accent6" w:themeFillTint="66"/>
            <w:noWrap/>
            <w:vAlign w:val="center"/>
            <w:hideMark/>
          </w:tcPr>
          <w:p w14:paraId="35712E0D" w14:textId="77777777" w:rsidR="00BE7C62" w:rsidRPr="004E74A6" w:rsidRDefault="00BE7C62" w:rsidP="00832773">
            <w:pPr>
              <w:spacing w:line="276" w:lineRule="auto"/>
              <w:jc w:val="left"/>
              <w:rPr>
                <w:rFonts w:cs="Calibri"/>
                <w:color w:val="000000"/>
                <w:sz w:val="20"/>
                <w:lang w:eastAsia="es-CR"/>
              </w:rPr>
            </w:pPr>
            <w:r w:rsidRPr="004E74A6">
              <w:rPr>
                <w:rFonts w:cs="Calibri"/>
                <w:color w:val="000000"/>
                <w:sz w:val="20"/>
                <w:lang w:eastAsia="es-CR"/>
              </w:rPr>
              <w:t>De ¢3.000.001 a ¢4.000.000</w:t>
            </w:r>
          </w:p>
        </w:tc>
        <w:tc>
          <w:tcPr>
            <w:tcW w:w="850" w:type="dxa"/>
            <w:tcBorders>
              <w:top w:val="nil"/>
              <w:left w:val="nil"/>
              <w:bottom w:val="nil"/>
              <w:right w:val="single" w:sz="4" w:space="0" w:color="000000"/>
            </w:tcBorders>
            <w:shd w:val="clear" w:color="auto" w:fill="C5E0B3" w:themeFill="accent6" w:themeFillTint="66"/>
            <w:noWrap/>
            <w:vAlign w:val="center"/>
            <w:hideMark/>
          </w:tcPr>
          <w:p w14:paraId="52006723" w14:textId="41E98923"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2</w:t>
            </w:r>
          </w:p>
        </w:tc>
        <w:tc>
          <w:tcPr>
            <w:tcW w:w="850" w:type="dxa"/>
            <w:tcBorders>
              <w:top w:val="nil"/>
              <w:left w:val="nil"/>
              <w:bottom w:val="nil"/>
              <w:right w:val="single" w:sz="4" w:space="0" w:color="000000"/>
            </w:tcBorders>
            <w:shd w:val="clear" w:color="auto" w:fill="C5E0B3" w:themeFill="accent6" w:themeFillTint="66"/>
            <w:noWrap/>
            <w:vAlign w:val="center"/>
            <w:hideMark/>
          </w:tcPr>
          <w:p w14:paraId="74818F51" w14:textId="016A6666"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8</w:t>
            </w:r>
          </w:p>
        </w:tc>
        <w:tc>
          <w:tcPr>
            <w:tcW w:w="850" w:type="dxa"/>
            <w:tcBorders>
              <w:top w:val="nil"/>
              <w:left w:val="nil"/>
              <w:bottom w:val="nil"/>
              <w:right w:val="single" w:sz="4" w:space="0" w:color="000000"/>
            </w:tcBorders>
            <w:shd w:val="clear" w:color="auto" w:fill="C5E0B3" w:themeFill="accent6" w:themeFillTint="66"/>
            <w:noWrap/>
            <w:vAlign w:val="center"/>
            <w:hideMark/>
          </w:tcPr>
          <w:p w14:paraId="2963FBF5" w14:textId="61FE78E2"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14</w:t>
            </w:r>
          </w:p>
        </w:tc>
        <w:tc>
          <w:tcPr>
            <w:tcW w:w="1134" w:type="dxa"/>
            <w:tcBorders>
              <w:top w:val="nil"/>
              <w:left w:val="nil"/>
              <w:bottom w:val="nil"/>
              <w:right w:val="single" w:sz="4" w:space="0" w:color="auto"/>
            </w:tcBorders>
            <w:shd w:val="clear" w:color="auto" w:fill="C5E0B3" w:themeFill="accent6" w:themeFillTint="66"/>
            <w:noWrap/>
            <w:vAlign w:val="center"/>
            <w:hideMark/>
          </w:tcPr>
          <w:p w14:paraId="7BC59E46" w14:textId="46B6C8AC"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8,0</w:t>
            </w:r>
          </w:p>
        </w:tc>
        <w:tc>
          <w:tcPr>
            <w:tcW w:w="2381" w:type="dxa"/>
            <w:tcBorders>
              <w:top w:val="nil"/>
              <w:left w:val="single" w:sz="4" w:space="0" w:color="auto"/>
              <w:bottom w:val="nil"/>
              <w:right w:val="nil"/>
            </w:tcBorders>
            <w:shd w:val="clear" w:color="auto" w:fill="C5E0B3" w:themeFill="accent6" w:themeFillTint="66"/>
            <w:vAlign w:val="center"/>
          </w:tcPr>
          <w:p w14:paraId="4525D9F8" w14:textId="1A0225F8"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9%</w:t>
            </w:r>
          </w:p>
        </w:tc>
      </w:tr>
      <w:tr w:rsidR="00BE7C62" w:rsidRPr="004E74A6" w14:paraId="40BA7A63" w14:textId="01C272FB" w:rsidTr="00101E63">
        <w:trPr>
          <w:trHeight w:val="276"/>
          <w:jc w:val="center"/>
        </w:trPr>
        <w:tc>
          <w:tcPr>
            <w:tcW w:w="2835" w:type="dxa"/>
            <w:tcBorders>
              <w:top w:val="nil"/>
              <w:left w:val="nil"/>
              <w:bottom w:val="nil"/>
              <w:right w:val="single" w:sz="4" w:space="0" w:color="000000"/>
            </w:tcBorders>
            <w:shd w:val="clear" w:color="auto" w:fill="C5E0B3" w:themeFill="accent6" w:themeFillTint="66"/>
            <w:noWrap/>
            <w:vAlign w:val="center"/>
            <w:hideMark/>
          </w:tcPr>
          <w:p w14:paraId="61A95699" w14:textId="77777777" w:rsidR="00BE7C62" w:rsidRPr="00832773" w:rsidRDefault="00BE7C62" w:rsidP="00832773">
            <w:pPr>
              <w:spacing w:line="276" w:lineRule="auto"/>
              <w:jc w:val="left"/>
              <w:rPr>
                <w:rFonts w:cs="Calibri"/>
                <w:b/>
                <w:bCs/>
                <w:color w:val="000000"/>
                <w:sz w:val="20"/>
                <w:lang w:eastAsia="es-CR"/>
              </w:rPr>
            </w:pPr>
            <w:r w:rsidRPr="00832773">
              <w:rPr>
                <w:rFonts w:cs="Calibri"/>
                <w:b/>
                <w:bCs/>
                <w:color w:val="000000"/>
                <w:sz w:val="20"/>
                <w:lang w:eastAsia="es-CR"/>
              </w:rPr>
              <w:t>De ¢4.000.001 a ¢5.000.000</w:t>
            </w:r>
          </w:p>
        </w:tc>
        <w:tc>
          <w:tcPr>
            <w:tcW w:w="850" w:type="dxa"/>
            <w:tcBorders>
              <w:top w:val="nil"/>
              <w:left w:val="nil"/>
              <w:bottom w:val="nil"/>
              <w:right w:val="single" w:sz="4" w:space="0" w:color="000000"/>
            </w:tcBorders>
            <w:shd w:val="clear" w:color="auto" w:fill="C5E0B3" w:themeFill="accent6" w:themeFillTint="66"/>
            <w:noWrap/>
            <w:vAlign w:val="center"/>
            <w:hideMark/>
          </w:tcPr>
          <w:p w14:paraId="386C1FB9" w14:textId="64205D68" w:rsidR="00BE7C62" w:rsidRPr="00832773" w:rsidRDefault="00BE7C62" w:rsidP="00832773">
            <w:pPr>
              <w:spacing w:line="276" w:lineRule="auto"/>
              <w:jc w:val="center"/>
              <w:rPr>
                <w:rFonts w:cs="Calibri"/>
                <w:b/>
                <w:bCs/>
                <w:color w:val="000000"/>
                <w:sz w:val="20"/>
                <w:lang w:eastAsia="es-CR"/>
              </w:rPr>
            </w:pPr>
            <w:r w:rsidRPr="00832773">
              <w:rPr>
                <w:rFonts w:cs="Calibri"/>
                <w:b/>
                <w:bCs/>
                <w:color w:val="000000"/>
                <w:sz w:val="20"/>
              </w:rPr>
              <w:t>8</w:t>
            </w:r>
          </w:p>
        </w:tc>
        <w:tc>
          <w:tcPr>
            <w:tcW w:w="850" w:type="dxa"/>
            <w:tcBorders>
              <w:top w:val="nil"/>
              <w:left w:val="nil"/>
              <w:bottom w:val="nil"/>
              <w:right w:val="single" w:sz="4" w:space="0" w:color="000000"/>
            </w:tcBorders>
            <w:shd w:val="clear" w:color="auto" w:fill="C5E0B3" w:themeFill="accent6" w:themeFillTint="66"/>
            <w:noWrap/>
            <w:vAlign w:val="center"/>
            <w:hideMark/>
          </w:tcPr>
          <w:p w14:paraId="2709C484" w14:textId="15ED506E" w:rsidR="00BE7C62" w:rsidRPr="00832773" w:rsidRDefault="00BE7C62" w:rsidP="00832773">
            <w:pPr>
              <w:spacing w:line="276" w:lineRule="auto"/>
              <w:jc w:val="center"/>
              <w:rPr>
                <w:rFonts w:cs="Calibri"/>
                <w:b/>
                <w:bCs/>
                <w:color w:val="000000"/>
                <w:sz w:val="20"/>
                <w:lang w:eastAsia="es-CR"/>
              </w:rPr>
            </w:pPr>
            <w:r w:rsidRPr="00832773">
              <w:rPr>
                <w:rFonts w:cs="Calibri"/>
                <w:b/>
                <w:bCs/>
                <w:color w:val="000000"/>
                <w:sz w:val="20"/>
              </w:rPr>
              <w:t>6</w:t>
            </w:r>
          </w:p>
        </w:tc>
        <w:tc>
          <w:tcPr>
            <w:tcW w:w="850" w:type="dxa"/>
            <w:tcBorders>
              <w:top w:val="nil"/>
              <w:left w:val="nil"/>
              <w:bottom w:val="nil"/>
              <w:right w:val="single" w:sz="4" w:space="0" w:color="000000"/>
            </w:tcBorders>
            <w:shd w:val="clear" w:color="auto" w:fill="C5E0B3" w:themeFill="accent6" w:themeFillTint="66"/>
            <w:noWrap/>
            <w:vAlign w:val="center"/>
            <w:hideMark/>
          </w:tcPr>
          <w:p w14:paraId="3CC4BA4B" w14:textId="68909544" w:rsidR="00BE7C62" w:rsidRPr="00832773" w:rsidRDefault="00BE7C62" w:rsidP="00832773">
            <w:pPr>
              <w:spacing w:line="276" w:lineRule="auto"/>
              <w:jc w:val="center"/>
              <w:rPr>
                <w:rFonts w:cs="Calibri"/>
                <w:b/>
                <w:bCs/>
                <w:color w:val="000000"/>
                <w:sz w:val="20"/>
                <w:lang w:eastAsia="es-CR"/>
              </w:rPr>
            </w:pPr>
            <w:r w:rsidRPr="00832773">
              <w:rPr>
                <w:rFonts w:cs="Calibri"/>
                <w:b/>
                <w:bCs/>
                <w:color w:val="000000"/>
                <w:sz w:val="20"/>
              </w:rPr>
              <w:t>7</w:t>
            </w:r>
          </w:p>
        </w:tc>
        <w:tc>
          <w:tcPr>
            <w:tcW w:w="1134" w:type="dxa"/>
            <w:tcBorders>
              <w:top w:val="nil"/>
              <w:left w:val="nil"/>
              <w:bottom w:val="nil"/>
              <w:right w:val="single" w:sz="4" w:space="0" w:color="auto"/>
            </w:tcBorders>
            <w:shd w:val="clear" w:color="auto" w:fill="C5E0B3" w:themeFill="accent6" w:themeFillTint="66"/>
            <w:noWrap/>
            <w:vAlign w:val="center"/>
            <w:hideMark/>
          </w:tcPr>
          <w:p w14:paraId="622BADE1" w14:textId="647617A5" w:rsidR="00BE7C62" w:rsidRPr="00832773" w:rsidRDefault="00BE7C62" w:rsidP="00832773">
            <w:pPr>
              <w:spacing w:line="276" w:lineRule="auto"/>
              <w:jc w:val="center"/>
              <w:rPr>
                <w:rFonts w:cs="Calibri"/>
                <w:b/>
                <w:bCs/>
                <w:color w:val="000000"/>
                <w:sz w:val="20"/>
                <w:lang w:eastAsia="es-CR"/>
              </w:rPr>
            </w:pPr>
            <w:r w:rsidRPr="00832773">
              <w:rPr>
                <w:rFonts w:cs="Calibri"/>
                <w:b/>
                <w:bCs/>
                <w:color w:val="000000"/>
                <w:sz w:val="20"/>
              </w:rPr>
              <w:t>7,0</w:t>
            </w:r>
          </w:p>
        </w:tc>
        <w:tc>
          <w:tcPr>
            <w:tcW w:w="2381" w:type="dxa"/>
            <w:tcBorders>
              <w:top w:val="nil"/>
              <w:left w:val="single" w:sz="4" w:space="0" w:color="auto"/>
              <w:bottom w:val="nil"/>
              <w:right w:val="nil"/>
            </w:tcBorders>
            <w:shd w:val="clear" w:color="auto" w:fill="C5E0B3" w:themeFill="accent6" w:themeFillTint="66"/>
            <w:vAlign w:val="center"/>
          </w:tcPr>
          <w:p w14:paraId="1BC1A755" w14:textId="5F7756A9" w:rsidR="00BE7C62" w:rsidRPr="00832773" w:rsidRDefault="00BE7C62" w:rsidP="00832773">
            <w:pPr>
              <w:spacing w:line="276" w:lineRule="auto"/>
              <w:jc w:val="center"/>
              <w:rPr>
                <w:rFonts w:cs="Calibri"/>
                <w:b/>
                <w:bCs/>
                <w:color w:val="000000"/>
                <w:sz w:val="20"/>
                <w:lang w:eastAsia="es-CR"/>
              </w:rPr>
            </w:pPr>
            <w:r w:rsidRPr="00832773">
              <w:rPr>
                <w:rFonts w:cs="Calibri"/>
                <w:b/>
                <w:bCs/>
                <w:color w:val="000000"/>
                <w:sz w:val="20"/>
              </w:rPr>
              <w:t>14%</w:t>
            </w:r>
          </w:p>
        </w:tc>
      </w:tr>
      <w:tr w:rsidR="00BE7C62" w:rsidRPr="004E74A6" w14:paraId="359E115D" w14:textId="309E8D09" w:rsidTr="00101E63">
        <w:trPr>
          <w:trHeight w:val="276"/>
          <w:jc w:val="center"/>
        </w:trPr>
        <w:tc>
          <w:tcPr>
            <w:tcW w:w="2835" w:type="dxa"/>
            <w:tcBorders>
              <w:top w:val="nil"/>
              <w:left w:val="nil"/>
              <w:bottom w:val="nil"/>
              <w:right w:val="single" w:sz="4" w:space="0" w:color="000000"/>
            </w:tcBorders>
            <w:shd w:val="clear" w:color="auto" w:fill="C5E0B3" w:themeFill="accent6" w:themeFillTint="66"/>
            <w:noWrap/>
            <w:vAlign w:val="center"/>
            <w:hideMark/>
          </w:tcPr>
          <w:p w14:paraId="4CF60626" w14:textId="77777777" w:rsidR="00BE7C62" w:rsidRPr="004E74A6" w:rsidRDefault="00BE7C62" w:rsidP="00832773">
            <w:pPr>
              <w:spacing w:line="276" w:lineRule="auto"/>
              <w:jc w:val="left"/>
              <w:rPr>
                <w:rFonts w:cs="Calibri"/>
                <w:color w:val="000000"/>
                <w:sz w:val="20"/>
                <w:lang w:eastAsia="es-CR"/>
              </w:rPr>
            </w:pPr>
            <w:r w:rsidRPr="004E74A6">
              <w:rPr>
                <w:rFonts w:cs="Calibri"/>
                <w:color w:val="000000"/>
                <w:sz w:val="20"/>
                <w:lang w:eastAsia="es-CR"/>
              </w:rPr>
              <w:t>De ¢5.000.001 a ¢6.000.000</w:t>
            </w:r>
          </w:p>
        </w:tc>
        <w:tc>
          <w:tcPr>
            <w:tcW w:w="850" w:type="dxa"/>
            <w:tcBorders>
              <w:top w:val="nil"/>
              <w:left w:val="nil"/>
              <w:bottom w:val="nil"/>
              <w:right w:val="single" w:sz="4" w:space="0" w:color="000000"/>
            </w:tcBorders>
            <w:shd w:val="clear" w:color="auto" w:fill="C5E0B3" w:themeFill="accent6" w:themeFillTint="66"/>
            <w:noWrap/>
            <w:vAlign w:val="center"/>
            <w:hideMark/>
          </w:tcPr>
          <w:p w14:paraId="1556C603" w14:textId="4558F4B0"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2</w:t>
            </w:r>
          </w:p>
        </w:tc>
        <w:tc>
          <w:tcPr>
            <w:tcW w:w="850" w:type="dxa"/>
            <w:tcBorders>
              <w:top w:val="nil"/>
              <w:left w:val="nil"/>
              <w:bottom w:val="nil"/>
              <w:right w:val="single" w:sz="4" w:space="0" w:color="000000"/>
            </w:tcBorders>
            <w:shd w:val="clear" w:color="auto" w:fill="C5E0B3" w:themeFill="accent6" w:themeFillTint="66"/>
            <w:noWrap/>
            <w:vAlign w:val="center"/>
            <w:hideMark/>
          </w:tcPr>
          <w:p w14:paraId="3CF70B46" w14:textId="77B357C1"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12</w:t>
            </w:r>
          </w:p>
        </w:tc>
        <w:tc>
          <w:tcPr>
            <w:tcW w:w="850" w:type="dxa"/>
            <w:tcBorders>
              <w:top w:val="nil"/>
              <w:left w:val="nil"/>
              <w:bottom w:val="nil"/>
              <w:right w:val="single" w:sz="4" w:space="0" w:color="000000"/>
            </w:tcBorders>
            <w:shd w:val="clear" w:color="auto" w:fill="C5E0B3" w:themeFill="accent6" w:themeFillTint="66"/>
            <w:noWrap/>
            <w:vAlign w:val="center"/>
            <w:hideMark/>
          </w:tcPr>
          <w:p w14:paraId="6C786062" w14:textId="7AC8755A"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7</w:t>
            </w:r>
          </w:p>
        </w:tc>
        <w:tc>
          <w:tcPr>
            <w:tcW w:w="1134" w:type="dxa"/>
            <w:tcBorders>
              <w:top w:val="nil"/>
              <w:left w:val="nil"/>
              <w:bottom w:val="nil"/>
              <w:right w:val="single" w:sz="4" w:space="0" w:color="auto"/>
            </w:tcBorders>
            <w:shd w:val="clear" w:color="auto" w:fill="C5E0B3" w:themeFill="accent6" w:themeFillTint="66"/>
            <w:noWrap/>
            <w:vAlign w:val="center"/>
            <w:hideMark/>
          </w:tcPr>
          <w:p w14:paraId="61167547" w14:textId="11716419"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7,0</w:t>
            </w:r>
          </w:p>
        </w:tc>
        <w:tc>
          <w:tcPr>
            <w:tcW w:w="2381" w:type="dxa"/>
            <w:tcBorders>
              <w:top w:val="nil"/>
              <w:left w:val="single" w:sz="4" w:space="0" w:color="auto"/>
              <w:bottom w:val="nil"/>
              <w:right w:val="nil"/>
            </w:tcBorders>
            <w:shd w:val="clear" w:color="auto" w:fill="C5E0B3" w:themeFill="accent6" w:themeFillTint="66"/>
            <w:vAlign w:val="center"/>
          </w:tcPr>
          <w:p w14:paraId="4D9560A5" w14:textId="00447ABF"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19%</w:t>
            </w:r>
          </w:p>
        </w:tc>
      </w:tr>
      <w:tr w:rsidR="00BE7C62" w:rsidRPr="004E74A6" w14:paraId="5B923825" w14:textId="09064921" w:rsidTr="00101E63">
        <w:trPr>
          <w:trHeight w:val="276"/>
          <w:jc w:val="center"/>
        </w:trPr>
        <w:tc>
          <w:tcPr>
            <w:tcW w:w="2835" w:type="dxa"/>
            <w:tcBorders>
              <w:top w:val="nil"/>
              <w:left w:val="nil"/>
              <w:bottom w:val="nil"/>
              <w:right w:val="single" w:sz="4" w:space="0" w:color="000000"/>
            </w:tcBorders>
            <w:shd w:val="clear" w:color="auto" w:fill="C5E0B3" w:themeFill="accent6" w:themeFillTint="66"/>
            <w:noWrap/>
            <w:vAlign w:val="center"/>
            <w:hideMark/>
          </w:tcPr>
          <w:p w14:paraId="0C0CFE32" w14:textId="77777777" w:rsidR="00BE7C62" w:rsidRPr="004E74A6" w:rsidRDefault="00BE7C62" w:rsidP="00832773">
            <w:pPr>
              <w:spacing w:line="276" w:lineRule="auto"/>
              <w:jc w:val="left"/>
              <w:rPr>
                <w:rFonts w:cs="Calibri"/>
                <w:color w:val="000000"/>
                <w:sz w:val="20"/>
                <w:lang w:eastAsia="es-CR"/>
              </w:rPr>
            </w:pPr>
            <w:r w:rsidRPr="004E74A6">
              <w:rPr>
                <w:rFonts w:cs="Calibri"/>
                <w:color w:val="000000"/>
                <w:sz w:val="20"/>
                <w:lang w:eastAsia="es-CR"/>
              </w:rPr>
              <w:t>De ¢6.000.001 a ¢7.000.000</w:t>
            </w:r>
          </w:p>
        </w:tc>
        <w:tc>
          <w:tcPr>
            <w:tcW w:w="850" w:type="dxa"/>
            <w:tcBorders>
              <w:top w:val="nil"/>
              <w:left w:val="nil"/>
              <w:bottom w:val="nil"/>
              <w:right w:val="single" w:sz="4" w:space="0" w:color="000000"/>
            </w:tcBorders>
            <w:shd w:val="clear" w:color="auto" w:fill="C5E0B3" w:themeFill="accent6" w:themeFillTint="66"/>
            <w:noWrap/>
            <w:vAlign w:val="center"/>
            <w:hideMark/>
          </w:tcPr>
          <w:p w14:paraId="69807CBC" w14:textId="664AA8F7"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3</w:t>
            </w:r>
          </w:p>
        </w:tc>
        <w:tc>
          <w:tcPr>
            <w:tcW w:w="850" w:type="dxa"/>
            <w:tcBorders>
              <w:top w:val="nil"/>
              <w:left w:val="nil"/>
              <w:bottom w:val="nil"/>
              <w:right w:val="single" w:sz="4" w:space="0" w:color="000000"/>
            </w:tcBorders>
            <w:shd w:val="clear" w:color="auto" w:fill="C5E0B3" w:themeFill="accent6" w:themeFillTint="66"/>
            <w:noWrap/>
            <w:vAlign w:val="center"/>
            <w:hideMark/>
          </w:tcPr>
          <w:p w14:paraId="013E1776" w14:textId="2A661BB2"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6</w:t>
            </w:r>
          </w:p>
        </w:tc>
        <w:tc>
          <w:tcPr>
            <w:tcW w:w="850" w:type="dxa"/>
            <w:tcBorders>
              <w:top w:val="nil"/>
              <w:left w:val="nil"/>
              <w:bottom w:val="nil"/>
              <w:right w:val="single" w:sz="4" w:space="0" w:color="000000"/>
            </w:tcBorders>
            <w:shd w:val="clear" w:color="auto" w:fill="C5E0B3" w:themeFill="accent6" w:themeFillTint="66"/>
            <w:noWrap/>
            <w:vAlign w:val="center"/>
            <w:hideMark/>
          </w:tcPr>
          <w:p w14:paraId="4616B134" w14:textId="239D3406"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4</w:t>
            </w:r>
          </w:p>
        </w:tc>
        <w:tc>
          <w:tcPr>
            <w:tcW w:w="1134" w:type="dxa"/>
            <w:tcBorders>
              <w:top w:val="nil"/>
              <w:left w:val="nil"/>
              <w:bottom w:val="nil"/>
              <w:right w:val="single" w:sz="4" w:space="0" w:color="auto"/>
            </w:tcBorders>
            <w:shd w:val="clear" w:color="auto" w:fill="C5E0B3" w:themeFill="accent6" w:themeFillTint="66"/>
            <w:noWrap/>
            <w:vAlign w:val="center"/>
            <w:hideMark/>
          </w:tcPr>
          <w:p w14:paraId="6F98FF97" w14:textId="4B07E95E"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4,3</w:t>
            </w:r>
          </w:p>
        </w:tc>
        <w:tc>
          <w:tcPr>
            <w:tcW w:w="2381" w:type="dxa"/>
            <w:tcBorders>
              <w:top w:val="nil"/>
              <w:left w:val="single" w:sz="4" w:space="0" w:color="auto"/>
              <w:bottom w:val="nil"/>
              <w:right w:val="nil"/>
            </w:tcBorders>
            <w:shd w:val="clear" w:color="auto" w:fill="C5E0B3" w:themeFill="accent6" w:themeFillTint="66"/>
            <w:vAlign w:val="center"/>
          </w:tcPr>
          <w:p w14:paraId="51301E1A" w14:textId="5E25B3B2"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22%</w:t>
            </w:r>
          </w:p>
        </w:tc>
      </w:tr>
      <w:tr w:rsidR="00BE7C62" w:rsidRPr="004E74A6" w14:paraId="524F8527" w14:textId="01305679" w:rsidTr="00101E63">
        <w:trPr>
          <w:trHeight w:val="276"/>
          <w:jc w:val="center"/>
        </w:trPr>
        <w:tc>
          <w:tcPr>
            <w:tcW w:w="2835" w:type="dxa"/>
            <w:tcBorders>
              <w:top w:val="nil"/>
              <w:left w:val="nil"/>
              <w:bottom w:val="nil"/>
              <w:right w:val="single" w:sz="4" w:space="0" w:color="000000"/>
            </w:tcBorders>
            <w:shd w:val="clear" w:color="auto" w:fill="C5E0B3" w:themeFill="accent6" w:themeFillTint="66"/>
            <w:noWrap/>
            <w:vAlign w:val="center"/>
            <w:hideMark/>
          </w:tcPr>
          <w:p w14:paraId="1380B9B0" w14:textId="77777777" w:rsidR="00BE7C62" w:rsidRPr="004E74A6" w:rsidRDefault="00BE7C62" w:rsidP="00832773">
            <w:pPr>
              <w:spacing w:line="276" w:lineRule="auto"/>
              <w:jc w:val="left"/>
              <w:rPr>
                <w:rFonts w:cs="Calibri"/>
                <w:color w:val="000000"/>
                <w:sz w:val="20"/>
                <w:lang w:eastAsia="es-CR"/>
              </w:rPr>
            </w:pPr>
            <w:r w:rsidRPr="004E74A6">
              <w:rPr>
                <w:rFonts w:cs="Calibri"/>
                <w:color w:val="000000"/>
                <w:sz w:val="20"/>
                <w:lang w:eastAsia="es-CR"/>
              </w:rPr>
              <w:t>De ¢7.000.001 a ¢8.000.000</w:t>
            </w:r>
          </w:p>
        </w:tc>
        <w:tc>
          <w:tcPr>
            <w:tcW w:w="850" w:type="dxa"/>
            <w:tcBorders>
              <w:top w:val="nil"/>
              <w:left w:val="nil"/>
              <w:bottom w:val="nil"/>
              <w:right w:val="single" w:sz="4" w:space="0" w:color="000000"/>
            </w:tcBorders>
            <w:shd w:val="clear" w:color="auto" w:fill="C5E0B3" w:themeFill="accent6" w:themeFillTint="66"/>
            <w:noWrap/>
            <w:vAlign w:val="center"/>
            <w:hideMark/>
          </w:tcPr>
          <w:p w14:paraId="4C604B09" w14:textId="0BE6F19E"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0</w:t>
            </w:r>
          </w:p>
        </w:tc>
        <w:tc>
          <w:tcPr>
            <w:tcW w:w="850" w:type="dxa"/>
            <w:tcBorders>
              <w:top w:val="nil"/>
              <w:left w:val="nil"/>
              <w:bottom w:val="nil"/>
              <w:right w:val="single" w:sz="4" w:space="0" w:color="000000"/>
            </w:tcBorders>
            <w:shd w:val="clear" w:color="auto" w:fill="C5E0B3" w:themeFill="accent6" w:themeFillTint="66"/>
            <w:noWrap/>
            <w:vAlign w:val="center"/>
            <w:hideMark/>
          </w:tcPr>
          <w:p w14:paraId="252B77A8" w14:textId="071EA272"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6</w:t>
            </w:r>
          </w:p>
        </w:tc>
        <w:tc>
          <w:tcPr>
            <w:tcW w:w="850" w:type="dxa"/>
            <w:tcBorders>
              <w:top w:val="nil"/>
              <w:left w:val="nil"/>
              <w:bottom w:val="nil"/>
              <w:right w:val="single" w:sz="4" w:space="0" w:color="000000"/>
            </w:tcBorders>
            <w:shd w:val="clear" w:color="auto" w:fill="C5E0B3" w:themeFill="accent6" w:themeFillTint="66"/>
            <w:noWrap/>
            <w:vAlign w:val="center"/>
            <w:hideMark/>
          </w:tcPr>
          <w:p w14:paraId="0F9A2447" w14:textId="71B9E91F"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5</w:t>
            </w:r>
          </w:p>
        </w:tc>
        <w:tc>
          <w:tcPr>
            <w:tcW w:w="1134" w:type="dxa"/>
            <w:tcBorders>
              <w:top w:val="nil"/>
              <w:left w:val="nil"/>
              <w:bottom w:val="nil"/>
              <w:right w:val="single" w:sz="4" w:space="0" w:color="auto"/>
            </w:tcBorders>
            <w:shd w:val="clear" w:color="auto" w:fill="C5E0B3" w:themeFill="accent6" w:themeFillTint="66"/>
            <w:noWrap/>
            <w:vAlign w:val="center"/>
            <w:hideMark/>
          </w:tcPr>
          <w:p w14:paraId="276E6CC5" w14:textId="6EE36CED"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3,7</w:t>
            </w:r>
          </w:p>
        </w:tc>
        <w:tc>
          <w:tcPr>
            <w:tcW w:w="2381" w:type="dxa"/>
            <w:tcBorders>
              <w:top w:val="nil"/>
              <w:left w:val="single" w:sz="4" w:space="0" w:color="auto"/>
              <w:bottom w:val="nil"/>
              <w:right w:val="nil"/>
            </w:tcBorders>
            <w:shd w:val="clear" w:color="auto" w:fill="C5E0B3" w:themeFill="accent6" w:themeFillTint="66"/>
            <w:vAlign w:val="center"/>
          </w:tcPr>
          <w:p w14:paraId="36720AF7" w14:textId="676BAA5A"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25%</w:t>
            </w:r>
          </w:p>
        </w:tc>
      </w:tr>
      <w:tr w:rsidR="00BE7C62" w:rsidRPr="004E74A6" w14:paraId="35D2C787" w14:textId="4B1BBA11" w:rsidTr="00101E63">
        <w:trPr>
          <w:trHeight w:val="276"/>
          <w:jc w:val="center"/>
        </w:trPr>
        <w:tc>
          <w:tcPr>
            <w:tcW w:w="2835" w:type="dxa"/>
            <w:tcBorders>
              <w:top w:val="nil"/>
              <w:left w:val="nil"/>
              <w:bottom w:val="nil"/>
              <w:right w:val="single" w:sz="4" w:space="0" w:color="000000"/>
            </w:tcBorders>
            <w:shd w:val="clear" w:color="auto" w:fill="C5E0B3" w:themeFill="accent6" w:themeFillTint="66"/>
            <w:noWrap/>
            <w:vAlign w:val="center"/>
            <w:hideMark/>
          </w:tcPr>
          <w:p w14:paraId="4FB3FCDD" w14:textId="77777777" w:rsidR="00BE7C62" w:rsidRPr="004E74A6" w:rsidRDefault="00BE7C62" w:rsidP="00832773">
            <w:pPr>
              <w:spacing w:line="276" w:lineRule="auto"/>
              <w:jc w:val="left"/>
              <w:rPr>
                <w:rFonts w:cs="Calibri"/>
                <w:color w:val="000000"/>
                <w:sz w:val="20"/>
                <w:lang w:eastAsia="es-CR"/>
              </w:rPr>
            </w:pPr>
            <w:r w:rsidRPr="004E74A6">
              <w:rPr>
                <w:rFonts w:cs="Calibri"/>
                <w:color w:val="000000"/>
                <w:sz w:val="20"/>
                <w:lang w:eastAsia="es-CR"/>
              </w:rPr>
              <w:t>De ¢8.000.001 a ¢9.000.000</w:t>
            </w:r>
          </w:p>
        </w:tc>
        <w:tc>
          <w:tcPr>
            <w:tcW w:w="850" w:type="dxa"/>
            <w:tcBorders>
              <w:top w:val="nil"/>
              <w:left w:val="nil"/>
              <w:bottom w:val="nil"/>
              <w:right w:val="single" w:sz="4" w:space="0" w:color="000000"/>
            </w:tcBorders>
            <w:shd w:val="clear" w:color="auto" w:fill="C5E0B3" w:themeFill="accent6" w:themeFillTint="66"/>
            <w:noWrap/>
            <w:vAlign w:val="center"/>
            <w:hideMark/>
          </w:tcPr>
          <w:p w14:paraId="46F88001" w14:textId="3ACCF972"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2</w:t>
            </w:r>
          </w:p>
        </w:tc>
        <w:tc>
          <w:tcPr>
            <w:tcW w:w="850" w:type="dxa"/>
            <w:tcBorders>
              <w:top w:val="nil"/>
              <w:left w:val="nil"/>
              <w:bottom w:val="nil"/>
              <w:right w:val="single" w:sz="4" w:space="0" w:color="000000"/>
            </w:tcBorders>
            <w:shd w:val="clear" w:color="auto" w:fill="C5E0B3" w:themeFill="accent6" w:themeFillTint="66"/>
            <w:noWrap/>
            <w:vAlign w:val="center"/>
            <w:hideMark/>
          </w:tcPr>
          <w:p w14:paraId="46537869" w14:textId="2D23788D"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3</w:t>
            </w:r>
          </w:p>
        </w:tc>
        <w:tc>
          <w:tcPr>
            <w:tcW w:w="850" w:type="dxa"/>
            <w:tcBorders>
              <w:top w:val="nil"/>
              <w:left w:val="nil"/>
              <w:bottom w:val="nil"/>
              <w:right w:val="single" w:sz="4" w:space="0" w:color="000000"/>
            </w:tcBorders>
            <w:shd w:val="clear" w:color="auto" w:fill="C5E0B3" w:themeFill="accent6" w:themeFillTint="66"/>
            <w:noWrap/>
            <w:vAlign w:val="center"/>
            <w:hideMark/>
          </w:tcPr>
          <w:p w14:paraId="0B3F2A04" w14:textId="2A84F9B3"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3</w:t>
            </w:r>
          </w:p>
        </w:tc>
        <w:tc>
          <w:tcPr>
            <w:tcW w:w="1134" w:type="dxa"/>
            <w:tcBorders>
              <w:top w:val="nil"/>
              <w:left w:val="nil"/>
              <w:bottom w:val="nil"/>
              <w:right w:val="single" w:sz="4" w:space="0" w:color="auto"/>
            </w:tcBorders>
            <w:shd w:val="clear" w:color="auto" w:fill="C5E0B3" w:themeFill="accent6" w:themeFillTint="66"/>
            <w:noWrap/>
            <w:vAlign w:val="center"/>
            <w:hideMark/>
          </w:tcPr>
          <w:p w14:paraId="113B9513" w14:textId="3170326B"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2,7</w:t>
            </w:r>
          </w:p>
        </w:tc>
        <w:tc>
          <w:tcPr>
            <w:tcW w:w="2381" w:type="dxa"/>
            <w:tcBorders>
              <w:top w:val="nil"/>
              <w:left w:val="single" w:sz="4" w:space="0" w:color="auto"/>
              <w:bottom w:val="nil"/>
              <w:right w:val="nil"/>
            </w:tcBorders>
            <w:shd w:val="clear" w:color="auto" w:fill="C5E0B3" w:themeFill="accent6" w:themeFillTint="66"/>
            <w:vAlign w:val="center"/>
          </w:tcPr>
          <w:p w14:paraId="01BE0DE6" w14:textId="28731C22"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26%</w:t>
            </w:r>
          </w:p>
        </w:tc>
      </w:tr>
      <w:tr w:rsidR="00BE7C62" w:rsidRPr="004E74A6" w14:paraId="4B921CC5" w14:textId="26FDC5E4" w:rsidTr="00101E63">
        <w:trPr>
          <w:trHeight w:val="276"/>
          <w:jc w:val="center"/>
        </w:trPr>
        <w:tc>
          <w:tcPr>
            <w:tcW w:w="2835" w:type="dxa"/>
            <w:tcBorders>
              <w:top w:val="nil"/>
              <w:left w:val="nil"/>
              <w:bottom w:val="nil"/>
              <w:right w:val="single" w:sz="4" w:space="0" w:color="000000"/>
            </w:tcBorders>
            <w:shd w:val="clear" w:color="auto" w:fill="C5E0B3" w:themeFill="accent6" w:themeFillTint="66"/>
            <w:noWrap/>
            <w:vAlign w:val="center"/>
            <w:hideMark/>
          </w:tcPr>
          <w:p w14:paraId="723D66C6" w14:textId="77777777" w:rsidR="00BE7C62" w:rsidRPr="004E74A6" w:rsidRDefault="00BE7C62" w:rsidP="00832773">
            <w:pPr>
              <w:spacing w:line="276" w:lineRule="auto"/>
              <w:jc w:val="left"/>
              <w:rPr>
                <w:rFonts w:cs="Calibri"/>
                <w:color w:val="000000"/>
                <w:sz w:val="20"/>
                <w:lang w:eastAsia="es-CR"/>
              </w:rPr>
            </w:pPr>
            <w:r w:rsidRPr="004E74A6">
              <w:rPr>
                <w:rFonts w:cs="Calibri"/>
                <w:color w:val="000000"/>
                <w:sz w:val="20"/>
                <w:lang w:eastAsia="es-CR"/>
              </w:rPr>
              <w:t>De ¢9.000.001 a ¢10.000.000</w:t>
            </w:r>
          </w:p>
        </w:tc>
        <w:tc>
          <w:tcPr>
            <w:tcW w:w="850" w:type="dxa"/>
            <w:tcBorders>
              <w:top w:val="nil"/>
              <w:left w:val="nil"/>
              <w:bottom w:val="nil"/>
              <w:right w:val="single" w:sz="4" w:space="0" w:color="000000"/>
            </w:tcBorders>
            <w:shd w:val="clear" w:color="auto" w:fill="C5E0B3" w:themeFill="accent6" w:themeFillTint="66"/>
            <w:noWrap/>
            <w:vAlign w:val="center"/>
            <w:hideMark/>
          </w:tcPr>
          <w:p w14:paraId="389CA6E0" w14:textId="2DCF865B"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6</w:t>
            </w:r>
          </w:p>
        </w:tc>
        <w:tc>
          <w:tcPr>
            <w:tcW w:w="850" w:type="dxa"/>
            <w:tcBorders>
              <w:top w:val="nil"/>
              <w:left w:val="nil"/>
              <w:bottom w:val="nil"/>
              <w:right w:val="single" w:sz="4" w:space="0" w:color="000000"/>
            </w:tcBorders>
            <w:shd w:val="clear" w:color="auto" w:fill="C5E0B3" w:themeFill="accent6" w:themeFillTint="66"/>
            <w:noWrap/>
            <w:vAlign w:val="center"/>
            <w:hideMark/>
          </w:tcPr>
          <w:p w14:paraId="6CBABD68" w14:textId="0A062BE0"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3</w:t>
            </w:r>
          </w:p>
        </w:tc>
        <w:tc>
          <w:tcPr>
            <w:tcW w:w="850" w:type="dxa"/>
            <w:tcBorders>
              <w:top w:val="nil"/>
              <w:left w:val="nil"/>
              <w:bottom w:val="nil"/>
              <w:right w:val="single" w:sz="4" w:space="0" w:color="000000"/>
            </w:tcBorders>
            <w:shd w:val="clear" w:color="auto" w:fill="C5E0B3" w:themeFill="accent6" w:themeFillTint="66"/>
            <w:noWrap/>
            <w:vAlign w:val="center"/>
            <w:hideMark/>
          </w:tcPr>
          <w:p w14:paraId="53013D69" w14:textId="5DB03114"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10</w:t>
            </w:r>
          </w:p>
        </w:tc>
        <w:tc>
          <w:tcPr>
            <w:tcW w:w="1134" w:type="dxa"/>
            <w:tcBorders>
              <w:top w:val="nil"/>
              <w:left w:val="nil"/>
              <w:bottom w:val="nil"/>
              <w:right w:val="single" w:sz="4" w:space="0" w:color="auto"/>
            </w:tcBorders>
            <w:shd w:val="clear" w:color="auto" w:fill="C5E0B3" w:themeFill="accent6" w:themeFillTint="66"/>
            <w:noWrap/>
            <w:vAlign w:val="center"/>
            <w:hideMark/>
          </w:tcPr>
          <w:p w14:paraId="719DBE15" w14:textId="7D134566"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6,3</w:t>
            </w:r>
          </w:p>
        </w:tc>
        <w:tc>
          <w:tcPr>
            <w:tcW w:w="2381" w:type="dxa"/>
            <w:tcBorders>
              <w:top w:val="nil"/>
              <w:left w:val="single" w:sz="4" w:space="0" w:color="auto"/>
              <w:bottom w:val="nil"/>
              <w:right w:val="nil"/>
            </w:tcBorders>
            <w:shd w:val="clear" w:color="auto" w:fill="C5E0B3" w:themeFill="accent6" w:themeFillTint="66"/>
            <w:vAlign w:val="center"/>
          </w:tcPr>
          <w:p w14:paraId="709D8601" w14:textId="630B0B3B"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31%</w:t>
            </w:r>
          </w:p>
        </w:tc>
      </w:tr>
      <w:tr w:rsidR="00BE7C62" w:rsidRPr="004E74A6" w14:paraId="3FE106D0" w14:textId="54D5256E" w:rsidTr="00101E63">
        <w:trPr>
          <w:trHeight w:val="276"/>
          <w:jc w:val="center"/>
        </w:trPr>
        <w:tc>
          <w:tcPr>
            <w:tcW w:w="2835" w:type="dxa"/>
            <w:tcBorders>
              <w:top w:val="nil"/>
              <w:left w:val="nil"/>
              <w:bottom w:val="nil"/>
              <w:right w:val="single" w:sz="4" w:space="0" w:color="000000"/>
            </w:tcBorders>
            <w:shd w:val="clear" w:color="auto" w:fill="C5E0B3" w:themeFill="accent6" w:themeFillTint="66"/>
            <w:noWrap/>
            <w:vAlign w:val="center"/>
            <w:hideMark/>
          </w:tcPr>
          <w:p w14:paraId="3F669632" w14:textId="77777777" w:rsidR="00BE7C62" w:rsidRPr="004E74A6" w:rsidRDefault="00BE7C62" w:rsidP="00832773">
            <w:pPr>
              <w:spacing w:line="276" w:lineRule="auto"/>
              <w:jc w:val="left"/>
              <w:rPr>
                <w:rFonts w:cs="Calibri"/>
                <w:color w:val="000000"/>
                <w:sz w:val="20"/>
                <w:lang w:eastAsia="es-CR"/>
              </w:rPr>
            </w:pPr>
            <w:r w:rsidRPr="004E74A6">
              <w:rPr>
                <w:rFonts w:cs="Calibri"/>
                <w:color w:val="000000"/>
                <w:sz w:val="20"/>
                <w:lang w:eastAsia="es-CR"/>
              </w:rPr>
              <w:t>De ¢10.000.001 a ¢15.000.000</w:t>
            </w:r>
          </w:p>
        </w:tc>
        <w:tc>
          <w:tcPr>
            <w:tcW w:w="850" w:type="dxa"/>
            <w:tcBorders>
              <w:top w:val="nil"/>
              <w:left w:val="nil"/>
              <w:bottom w:val="nil"/>
              <w:right w:val="single" w:sz="4" w:space="0" w:color="000000"/>
            </w:tcBorders>
            <w:shd w:val="clear" w:color="auto" w:fill="C5E0B3" w:themeFill="accent6" w:themeFillTint="66"/>
            <w:noWrap/>
            <w:vAlign w:val="center"/>
            <w:hideMark/>
          </w:tcPr>
          <w:p w14:paraId="5D9CD3D4" w14:textId="0FEC4BA9"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9</w:t>
            </w:r>
          </w:p>
        </w:tc>
        <w:tc>
          <w:tcPr>
            <w:tcW w:w="850" w:type="dxa"/>
            <w:tcBorders>
              <w:top w:val="nil"/>
              <w:left w:val="nil"/>
              <w:bottom w:val="nil"/>
              <w:right w:val="single" w:sz="4" w:space="0" w:color="000000"/>
            </w:tcBorders>
            <w:shd w:val="clear" w:color="auto" w:fill="C5E0B3" w:themeFill="accent6" w:themeFillTint="66"/>
            <w:noWrap/>
            <w:vAlign w:val="center"/>
            <w:hideMark/>
          </w:tcPr>
          <w:p w14:paraId="647759C9" w14:textId="079CD89B"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12</w:t>
            </w:r>
          </w:p>
        </w:tc>
        <w:tc>
          <w:tcPr>
            <w:tcW w:w="850" w:type="dxa"/>
            <w:tcBorders>
              <w:top w:val="nil"/>
              <w:left w:val="nil"/>
              <w:bottom w:val="nil"/>
              <w:right w:val="single" w:sz="4" w:space="0" w:color="000000"/>
            </w:tcBorders>
            <w:shd w:val="clear" w:color="auto" w:fill="C5E0B3" w:themeFill="accent6" w:themeFillTint="66"/>
            <w:noWrap/>
            <w:vAlign w:val="center"/>
            <w:hideMark/>
          </w:tcPr>
          <w:p w14:paraId="51BC51D4" w14:textId="3CC6C1E1"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10</w:t>
            </w:r>
          </w:p>
        </w:tc>
        <w:tc>
          <w:tcPr>
            <w:tcW w:w="1134" w:type="dxa"/>
            <w:tcBorders>
              <w:top w:val="nil"/>
              <w:left w:val="nil"/>
              <w:bottom w:val="nil"/>
              <w:right w:val="single" w:sz="4" w:space="0" w:color="auto"/>
            </w:tcBorders>
            <w:shd w:val="clear" w:color="auto" w:fill="C5E0B3" w:themeFill="accent6" w:themeFillTint="66"/>
            <w:noWrap/>
            <w:vAlign w:val="center"/>
            <w:hideMark/>
          </w:tcPr>
          <w:p w14:paraId="409C1BBD" w14:textId="559A5268"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10,3</w:t>
            </w:r>
          </w:p>
        </w:tc>
        <w:tc>
          <w:tcPr>
            <w:tcW w:w="2381" w:type="dxa"/>
            <w:tcBorders>
              <w:top w:val="nil"/>
              <w:left w:val="single" w:sz="4" w:space="0" w:color="auto"/>
              <w:bottom w:val="nil"/>
              <w:right w:val="nil"/>
            </w:tcBorders>
            <w:shd w:val="clear" w:color="auto" w:fill="C5E0B3" w:themeFill="accent6" w:themeFillTint="66"/>
            <w:vAlign w:val="center"/>
          </w:tcPr>
          <w:p w14:paraId="1009E214" w14:textId="39BAD031"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38%</w:t>
            </w:r>
          </w:p>
        </w:tc>
      </w:tr>
      <w:tr w:rsidR="00BE7C62" w:rsidRPr="004E74A6" w14:paraId="77E0EF11" w14:textId="71274F69" w:rsidTr="00101E63">
        <w:trPr>
          <w:trHeight w:val="276"/>
          <w:jc w:val="center"/>
        </w:trPr>
        <w:tc>
          <w:tcPr>
            <w:tcW w:w="2835" w:type="dxa"/>
            <w:tcBorders>
              <w:top w:val="nil"/>
              <w:left w:val="nil"/>
              <w:bottom w:val="nil"/>
              <w:right w:val="single" w:sz="4" w:space="0" w:color="000000"/>
            </w:tcBorders>
            <w:shd w:val="clear" w:color="auto" w:fill="C5E0B3" w:themeFill="accent6" w:themeFillTint="66"/>
            <w:noWrap/>
            <w:vAlign w:val="center"/>
            <w:hideMark/>
          </w:tcPr>
          <w:p w14:paraId="36CF3BA5" w14:textId="77777777" w:rsidR="00BE7C62" w:rsidRPr="004E74A6" w:rsidRDefault="00BE7C62" w:rsidP="00832773">
            <w:pPr>
              <w:spacing w:line="276" w:lineRule="auto"/>
              <w:jc w:val="left"/>
              <w:rPr>
                <w:rFonts w:cs="Calibri"/>
                <w:color w:val="000000"/>
                <w:sz w:val="20"/>
                <w:lang w:eastAsia="es-CR"/>
              </w:rPr>
            </w:pPr>
            <w:r w:rsidRPr="004E74A6">
              <w:rPr>
                <w:rFonts w:cs="Calibri"/>
                <w:color w:val="000000"/>
                <w:sz w:val="20"/>
                <w:lang w:eastAsia="es-CR"/>
              </w:rPr>
              <w:t>De ¢15.000.001 a ¢20.000.000</w:t>
            </w:r>
          </w:p>
        </w:tc>
        <w:tc>
          <w:tcPr>
            <w:tcW w:w="850" w:type="dxa"/>
            <w:tcBorders>
              <w:top w:val="nil"/>
              <w:left w:val="nil"/>
              <w:bottom w:val="nil"/>
              <w:right w:val="single" w:sz="4" w:space="0" w:color="000000"/>
            </w:tcBorders>
            <w:shd w:val="clear" w:color="auto" w:fill="C5E0B3" w:themeFill="accent6" w:themeFillTint="66"/>
            <w:noWrap/>
            <w:vAlign w:val="center"/>
            <w:hideMark/>
          </w:tcPr>
          <w:p w14:paraId="472FF9DD" w14:textId="7FF21711"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7</w:t>
            </w:r>
          </w:p>
        </w:tc>
        <w:tc>
          <w:tcPr>
            <w:tcW w:w="850" w:type="dxa"/>
            <w:tcBorders>
              <w:top w:val="nil"/>
              <w:left w:val="nil"/>
              <w:bottom w:val="nil"/>
              <w:right w:val="single" w:sz="4" w:space="0" w:color="000000"/>
            </w:tcBorders>
            <w:shd w:val="clear" w:color="auto" w:fill="C5E0B3" w:themeFill="accent6" w:themeFillTint="66"/>
            <w:noWrap/>
            <w:vAlign w:val="center"/>
            <w:hideMark/>
          </w:tcPr>
          <w:p w14:paraId="169173B9" w14:textId="18B7B90E"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10</w:t>
            </w:r>
          </w:p>
        </w:tc>
        <w:tc>
          <w:tcPr>
            <w:tcW w:w="850" w:type="dxa"/>
            <w:tcBorders>
              <w:top w:val="nil"/>
              <w:left w:val="nil"/>
              <w:bottom w:val="nil"/>
              <w:right w:val="single" w:sz="4" w:space="0" w:color="000000"/>
            </w:tcBorders>
            <w:shd w:val="clear" w:color="auto" w:fill="C5E0B3" w:themeFill="accent6" w:themeFillTint="66"/>
            <w:noWrap/>
            <w:vAlign w:val="center"/>
            <w:hideMark/>
          </w:tcPr>
          <w:p w14:paraId="65112AEA" w14:textId="371546AA"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6</w:t>
            </w:r>
          </w:p>
        </w:tc>
        <w:tc>
          <w:tcPr>
            <w:tcW w:w="1134" w:type="dxa"/>
            <w:tcBorders>
              <w:top w:val="nil"/>
              <w:left w:val="nil"/>
              <w:bottom w:val="nil"/>
              <w:right w:val="single" w:sz="4" w:space="0" w:color="auto"/>
            </w:tcBorders>
            <w:shd w:val="clear" w:color="auto" w:fill="C5E0B3" w:themeFill="accent6" w:themeFillTint="66"/>
            <w:noWrap/>
            <w:vAlign w:val="center"/>
            <w:hideMark/>
          </w:tcPr>
          <w:p w14:paraId="5EA84160" w14:textId="53AD5FD1"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7,7</w:t>
            </w:r>
          </w:p>
        </w:tc>
        <w:tc>
          <w:tcPr>
            <w:tcW w:w="2381" w:type="dxa"/>
            <w:tcBorders>
              <w:top w:val="nil"/>
              <w:left w:val="single" w:sz="4" w:space="0" w:color="auto"/>
              <w:bottom w:val="nil"/>
              <w:right w:val="nil"/>
            </w:tcBorders>
            <w:shd w:val="clear" w:color="auto" w:fill="C5E0B3" w:themeFill="accent6" w:themeFillTint="66"/>
            <w:vAlign w:val="center"/>
          </w:tcPr>
          <w:p w14:paraId="0C1E5161" w14:textId="4ED1C802"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44%</w:t>
            </w:r>
          </w:p>
        </w:tc>
      </w:tr>
      <w:tr w:rsidR="00BE7C62" w:rsidRPr="004E74A6" w14:paraId="0E7ABE83" w14:textId="13270921" w:rsidTr="00101E63">
        <w:trPr>
          <w:trHeight w:val="276"/>
          <w:jc w:val="center"/>
        </w:trPr>
        <w:tc>
          <w:tcPr>
            <w:tcW w:w="2835" w:type="dxa"/>
            <w:tcBorders>
              <w:top w:val="nil"/>
              <w:left w:val="nil"/>
              <w:bottom w:val="nil"/>
              <w:right w:val="single" w:sz="4" w:space="0" w:color="000000"/>
            </w:tcBorders>
            <w:shd w:val="clear" w:color="auto" w:fill="auto"/>
            <w:noWrap/>
            <w:vAlign w:val="center"/>
            <w:hideMark/>
          </w:tcPr>
          <w:p w14:paraId="0B404E4C" w14:textId="77777777" w:rsidR="00BE7C62" w:rsidRPr="004E74A6" w:rsidRDefault="00BE7C62" w:rsidP="00832773">
            <w:pPr>
              <w:spacing w:line="276" w:lineRule="auto"/>
              <w:jc w:val="left"/>
              <w:rPr>
                <w:rFonts w:cs="Calibri"/>
                <w:color w:val="000000"/>
                <w:sz w:val="20"/>
                <w:lang w:eastAsia="es-CR"/>
              </w:rPr>
            </w:pPr>
            <w:r w:rsidRPr="004E74A6">
              <w:rPr>
                <w:rFonts w:cs="Calibri"/>
                <w:color w:val="000000"/>
                <w:sz w:val="20"/>
                <w:lang w:eastAsia="es-CR"/>
              </w:rPr>
              <w:t>De ¢20.000.001 a ¢25.000.000</w:t>
            </w:r>
          </w:p>
        </w:tc>
        <w:tc>
          <w:tcPr>
            <w:tcW w:w="850" w:type="dxa"/>
            <w:tcBorders>
              <w:top w:val="nil"/>
              <w:left w:val="nil"/>
              <w:bottom w:val="nil"/>
              <w:right w:val="single" w:sz="4" w:space="0" w:color="000000"/>
            </w:tcBorders>
            <w:shd w:val="clear" w:color="auto" w:fill="auto"/>
            <w:noWrap/>
            <w:vAlign w:val="center"/>
            <w:hideMark/>
          </w:tcPr>
          <w:p w14:paraId="3D087B79" w14:textId="1EE563D4"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3</w:t>
            </w:r>
          </w:p>
        </w:tc>
        <w:tc>
          <w:tcPr>
            <w:tcW w:w="850" w:type="dxa"/>
            <w:tcBorders>
              <w:top w:val="nil"/>
              <w:left w:val="nil"/>
              <w:bottom w:val="nil"/>
              <w:right w:val="single" w:sz="4" w:space="0" w:color="000000"/>
            </w:tcBorders>
            <w:shd w:val="clear" w:color="auto" w:fill="auto"/>
            <w:noWrap/>
            <w:vAlign w:val="center"/>
            <w:hideMark/>
          </w:tcPr>
          <w:p w14:paraId="09759DD6" w14:textId="1253AC62"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10</w:t>
            </w:r>
          </w:p>
        </w:tc>
        <w:tc>
          <w:tcPr>
            <w:tcW w:w="850" w:type="dxa"/>
            <w:tcBorders>
              <w:top w:val="nil"/>
              <w:left w:val="nil"/>
              <w:bottom w:val="nil"/>
              <w:right w:val="single" w:sz="4" w:space="0" w:color="000000"/>
            </w:tcBorders>
            <w:shd w:val="clear" w:color="auto" w:fill="auto"/>
            <w:noWrap/>
            <w:vAlign w:val="center"/>
            <w:hideMark/>
          </w:tcPr>
          <w:p w14:paraId="0034DC29" w14:textId="00FB841B"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6</w:t>
            </w:r>
          </w:p>
        </w:tc>
        <w:tc>
          <w:tcPr>
            <w:tcW w:w="1134" w:type="dxa"/>
            <w:tcBorders>
              <w:top w:val="nil"/>
              <w:left w:val="nil"/>
              <w:bottom w:val="nil"/>
              <w:right w:val="single" w:sz="4" w:space="0" w:color="auto"/>
            </w:tcBorders>
            <w:shd w:val="clear" w:color="auto" w:fill="auto"/>
            <w:noWrap/>
            <w:vAlign w:val="center"/>
            <w:hideMark/>
          </w:tcPr>
          <w:p w14:paraId="06EEB3F7" w14:textId="60DA0DA5"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6,3</w:t>
            </w:r>
          </w:p>
        </w:tc>
        <w:tc>
          <w:tcPr>
            <w:tcW w:w="2381" w:type="dxa"/>
            <w:tcBorders>
              <w:top w:val="nil"/>
              <w:left w:val="single" w:sz="4" w:space="0" w:color="auto"/>
              <w:bottom w:val="nil"/>
              <w:right w:val="nil"/>
            </w:tcBorders>
            <w:vAlign w:val="center"/>
          </w:tcPr>
          <w:p w14:paraId="5B95E8F7" w14:textId="60F2D741"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48%</w:t>
            </w:r>
          </w:p>
        </w:tc>
      </w:tr>
      <w:tr w:rsidR="00BE7C62" w:rsidRPr="004E74A6" w14:paraId="506C48BA" w14:textId="516683DE" w:rsidTr="00101E63">
        <w:trPr>
          <w:trHeight w:val="276"/>
          <w:jc w:val="center"/>
        </w:trPr>
        <w:tc>
          <w:tcPr>
            <w:tcW w:w="2835" w:type="dxa"/>
            <w:tcBorders>
              <w:top w:val="nil"/>
              <w:left w:val="nil"/>
              <w:bottom w:val="nil"/>
              <w:right w:val="single" w:sz="4" w:space="0" w:color="000000"/>
            </w:tcBorders>
            <w:shd w:val="clear" w:color="auto" w:fill="auto"/>
            <w:noWrap/>
            <w:vAlign w:val="center"/>
            <w:hideMark/>
          </w:tcPr>
          <w:p w14:paraId="15EB56CA" w14:textId="77777777" w:rsidR="00BE7C62" w:rsidRPr="004E74A6" w:rsidRDefault="00BE7C62" w:rsidP="00832773">
            <w:pPr>
              <w:spacing w:line="276" w:lineRule="auto"/>
              <w:jc w:val="left"/>
              <w:rPr>
                <w:rFonts w:cs="Calibri"/>
                <w:color w:val="000000"/>
                <w:sz w:val="20"/>
                <w:lang w:eastAsia="es-CR"/>
              </w:rPr>
            </w:pPr>
            <w:r w:rsidRPr="004E74A6">
              <w:rPr>
                <w:rFonts w:cs="Calibri"/>
                <w:color w:val="000000"/>
                <w:sz w:val="20"/>
                <w:lang w:eastAsia="es-CR"/>
              </w:rPr>
              <w:t>De ¢25.000.001 a ¢30.000.000</w:t>
            </w:r>
          </w:p>
        </w:tc>
        <w:tc>
          <w:tcPr>
            <w:tcW w:w="850" w:type="dxa"/>
            <w:tcBorders>
              <w:top w:val="nil"/>
              <w:left w:val="nil"/>
              <w:bottom w:val="nil"/>
              <w:right w:val="single" w:sz="4" w:space="0" w:color="000000"/>
            </w:tcBorders>
            <w:shd w:val="clear" w:color="auto" w:fill="auto"/>
            <w:noWrap/>
            <w:vAlign w:val="center"/>
            <w:hideMark/>
          </w:tcPr>
          <w:p w14:paraId="006D3840" w14:textId="47C64B6E"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3</w:t>
            </w:r>
          </w:p>
        </w:tc>
        <w:tc>
          <w:tcPr>
            <w:tcW w:w="850" w:type="dxa"/>
            <w:tcBorders>
              <w:top w:val="nil"/>
              <w:left w:val="nil"/>
              <w:bottom w:val="nil"/>
              <w:right w:val="single" w:sz="4" w:space="0" w:color="000000"/>
            </w:tcBorders>
            <w:shd w:val="clear" w:color="auto" w:fill="auto"/>
            <w:noWrap/>
            <w:vAlign w:val="center"/>
            <w:hideMark/>
          </w:tcPr>
          <w:p w14:paraId="79139533" w14:textId="027625B0"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7</w:t>
            </w:r>
          </w:p>
        </w:tc>
        <w:tc>
          <w:tcPr>
            <w:tcW w:w="850" w:type="dxa"/>
            <w:tcBorders>
              <w:top w:val="nil"/>
              <w:left w:val="nil"/>
              <w:bottom w:val="nil"/>
              <w:right w:val="single" w:sz="4" w:space="0" w:color="000000"/>
            </w:tcBorders>
            <w:shd w:val="clear" w:color="auto" w:fill="auto"/>
            <w:noWrap/>
            <w:vAlign w:val="center"/>
            <w:hideMark/>
          </w:tcPr>
          <w:p w14:paraId="7F4FB295" w14:textId="058E46B5"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7</w:t>
            </w:r>
          </w:p>
        </w:tc>
        <w:tc>
          <w:tcPr>
            <w:tcW w:w="1134" w:type="dxa"/>
            <w:tcBorders>
              <w:top w:val="nil"/>
              <w:left w:val="nil"/>
              <w:bottom w:val="nil"/>
              <w:right w:val="single" w:sz="4" w:space="0" w:color="auto"/>
            </w:tcBorders>
            <w:shd w:val="clear" w:color="auto" w:fill="auto"/>
            <w:noWrap/>
            <w:vAlign w:val="center"/>
            <w:hideMark/>
          </w:tcPr>
          <w:p w14:paraId="2F83053A" w14:textId="01E8CE23"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5,7</w:t>
            </w:r>
          </w:p>
        </w:tc>
        <w:tc>
          <w:tcPr>
            <w:tcW w:w="2381" w:type="dxa"/>
            <w:tcBorders>
              <w:top w:val="nil"/>
              <w:left w:val="single" w:sz="4" w:space="0" w:color="auto"/>
              <w:bottom w:val="nil"/>
              <w:right w:val="nil"/>
            </w:tcBorders>
            <w:vAlign w:val="center"/>
          </w:tcPr>
          <w:p w14:paraId="64DDC778" w14:textId="5F38D358"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52%</w:t>
            </w:r>
          </w:p>
        </w:tc>
      </w:tr>
      <w:tr w:rsidR="00BE7C62" w:rsidRPr="004E74A6" w14:paraId="68650A54" w14:textId="0DDD9FB5" w:rsidTr="00101E63">
        <w:trPr>
          <w:trHeight w:val="276"/>
          <w:jc w:val="center"/>
        </w:trPr>
        <w:tc>
          <w:tcPr>
            <w:tcW w:w="2835" w:type="dxa"/>
            <w:tcBorders>
              <w:top w:val="nil"/>
              <w:left w:val="nil"/>
              <w:bottom w:val="nil"/>
              <w:right w:val="single" w:sz="4" w:space="0" w:color="000000"/>
            </w:tcBorders>
            <w:shd w:val="clear" w:color="auto" w:fill="auto"/>
            <w:noWrap/>
            <w:vAlign w:val="center"/>
            <w:hideMark/>
          </w:tcPr>
          <w:p w14:paraId="652EEC6C" w14:textId="77777777" w:rsidR="00BE7C62" w:rsidRPr="004E74A6" w:rsidRDefault="00BE7C62" w:rsidP="00832773">
            <w:pPr>
              <w:spacing w:line="276" w:lineRule="auto"/>
              <w:jc w:val="left"/>
              <w:rPr>
                <w:rFonts w:cs="Calibri"/>
                <w:color w:val="000000"/>
                <w:sz w:val="20"/>
                <w:lang w:eastAsia="es-CR"/>
              </w:rPr>
            </w:pPr>
            <w:r w:rsidRPr="004E74A6">
              <w:rPr>
                <w:rFonts w:cs="Calibri"/>
                <w:color w:val="000000"/>
                <w:sz w:val="20"/>
                <w:lang w:eastAsia="es-CR"/>
              </w:rPr>
              <w:t>De ¢30.000.001 a ¢35.000.000</w:t>
            </w:r>
          </w:p>
        </w:tc>
        <w:tc>
          <w:tcPr>
            <w:tcW w:w="850" w:type="dxa"/>
            <w:tcBorders>
              <w:top w:val="nil"/>
              <w:left w:val="nil"/>
              <w:bottom w:val="nil"/>
              <w:right w:val="single" w:sz="4" w:space="0" w:color="000000"/>
            </w:tcBorders>
            <w:shd w:val="clear" w:color="auto" w:fill="auto"/>
            <w:noWrap/>
            <w:vAlign w:val="center"/>
            <w:hideMark/>
          </w:tcPr>
          <w:p w14:paraId="5430D7CE" w14:textId="2945B56E"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3</w:t>
            </w:r>
          </w:p>
        </w:tc>
        <w:tc>
          <w:tcPr>
            <w:tcW w:w="850" w:type="dxa"/>
            <w:tcBorders>
              <w:top w:val="nil"/>
              <w:left w:val="nil"/>
              <w:bottom w:val="nil"/>
              <w:right w:val="single" w:sz="4" w:space="0" w:color="000000"/>
            </w:tcBorders>
            <w:shd w:val="clear" w:color="auto" w:fill="auto"/>
            <w:noWrap/>
            <w:vAlign w:val="center"/>
            <w:hideMark/>
          </w:tcPr>
          <w:p w14:paraId="70D3DB3D" w14:textId="35A5CC7C"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5</w:t>
            </w:r>
          </w:p>
        </w:tc>
        <w:tc>
          <w:tcPr>
            <w:tcW w:w="850" w:type="dxa"/>
            <w:tcBorders>
              <w:top w:val="nil"/>
              <w:left w:val="nil"/>
              <w:bottom w:val="nil"/>
              <w:right w:val="single" w:sz="4" w:space="0" w:color="000000"/>
            </w:tcBorders>
            <w:shd w:val="clear" w:color="auto" w:fill="auto"/>
            <w:noWrap/>
            <w:vAlign w:val="center"/>
            <w:hideMark/>
          </w:tcPr>
          <w:p w14:paraId="0A8EB876" w14:textId="5BB9AC7F"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5</w:t>
            </w:r>
          </w:p>
        </w:tc>
        <w:tc>
          <w:tcPr>
            <w:tcW w:w="1134" w:type="dxa"/>
            <w:tcBorders>
              <w:top w:val="nil"/>
              <w:left w:val="nil"/>
              <w:bottom w:val="nil"/>
              <w:right w:val="single" w:sz="4" w:space="0" w:color="auto"/>
            </w:tcBorders>
            <w:shd w:val="clear" w:color="auto" w:fill="auto"/>
            <w:noWrap/>
            <w:vAlign w:val="center"/>
            <w:hideMark/>
          </w:tcPr>
          <w:p w14:paraId="20473FBD" w14:textId="1FC87C49"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4,3</w:t>
            </w:r>
          </w:p>
        </w:tc>
        <w:tc>
          <w:tcPr>
            <w:tcW w:w="2381" w:type="dxa"/>
            <w:tcBorders>
              <w:top w:val="nil"/>
              <w:left w:val="single" w:sz="4" w:space="0" w:color="auto"/>
              <w:bottom w:val="nil"/>
              <w:right w:val="nil"/>
            </w:tcBorders>
            <w:vAlign w:val="center"/>
          </w:tcPr>
          <w:p w14:paraId="0A44AD50" w14:textId="2210C50A"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55%</w:t>
            </w:r>
          </w:p>
        </w:tc>
      </w:tr>
      <w:tr w:rsidR="00BE7C62" w:rsidRPr="004E74A6" w14:paraId="5B31C116" w14:textId="2D53C135" w:rsidTr="00101E63">
        <w:trPr>
          <w:trHeight w:val="276"/>
          <w:jc w:val="center"/>
        </w:trPr>
        <w:tc>
          <w:tcPr>
            <w:tcW w:w="2835" w:type="dxa"/>
            <w:tcBorders>
              <w:top w:val="nil"/>
              <w:left w:val="nil"/>
              <w:bottom w:val="nil"/>
              <w:right w:val="single" w:sz="4" w:space="0" w:color="000000"/>
            </w:tcBorders>
            <w:shd w:val="clear" w:color="auto" w:fill="auto"/>
            <w:noWrap/>
            <w:vAlign w:val="center"/>
            <w:hideMark/>
          </w:tcPr>
          <w:p w14:paraId="074A1C19" w14:textId="77777777" w:rsidR="00BE7C62" w:rsidRPr="004E74A6" w:rsidRDefault="00BE7C62" w:rsidP="00832773">
            <w:pPr>
              <w:spacing w:line="276" w:lineRule="auto"/>
              <w:jc w:val="left"/>
              <w:rPr>
                <w:rFonts w:cs="Calibri"/>
                <w:color w:val="000000"/>
                <w:sz w:val="20"/>
                <w:lang w:eastAsia="es-CR"/>
              </w:rPr>
            </w:pPr>
            <w:r w:rsidRPr="004E74A6">
              <w:rPr>
                <w:rFonts w:cs="Calibri"/>
                <w:color w:val="000000"/>
                <w:sz w:val="20"/>
                <w:lang w:eastAsia="es-CR"/>
              </w:rPr>
              <w:t>De ¢35.000.001 a ¢40.000.000</w:t>
            </w:r>
          </w:p>
        </w:tc>
        <w:tc>
          <w:tcPr>
            <w:tcW w:w="850" w:type="dxa"/>
            <w:tcBorders>
              <w:top w:val="nil"/>
              <w:left w:val="nil"/>
              <w:bottom w:val="nil"/>
              <w:right w:val="single" w:sz="4" w:space="0" w:color="000000"/>
            </w:tcBorders>
            <w:shd w:val="clear" w:color="auto" w:fill="auto"/>
            <w:noWrap/>
            <w:vAlign w:val="center"/>
            <w:hideMark/>
          </w:tcPr>
          <w:p w14:paraId="4124ADEB" w14:textId="7318827A"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2</w:t>
            </w:r>
          </w:p>
        </w:tc>
        <w:tc>
          <w:tcPr>
            <w:tcW w:w="850" w:type="dxa"/>
            <w:tcBorders>
              <w:top w:val="nil"/>
              <w:left w:val="nil"/>
              <w:bottom w:val="nil"/>
              <w:right w:val="single" w:sz="4" w:space="0" w:color="000000"/>
            </w:tcBorders>
            <w:shd w:val="clear" w:color="auto" w:fill="auto"/>
            <w:noWrap/>
            <w:vAlign w:val="center"/>
            <w:hideMark/>
          </w:tcPr>
          <w:p w14:paraId="3730EB1C" w14:textId="0ABD0A97"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6</w:t>
            </w:r>
          </w:p>
        </w:tc>
        <w:tc>
          <w:tcPr>
            <w:tcW w:w="850" w:type="dxa"/>
            <w:tcBorders>
              <w:top w:val="nil"/>
              <w:left w:val="nil"/>
              <w:bottom w:val="nil"/>
              <w:right w:val="single" w:sz="4" w:space="0" w:color="000000"/>
            </w:tcBorders>
            <w:shd w:val="clear" w:color="auto" w:fill="auto"/>
            <w:noWrap/>
            <w:vAlign w:val="center"/>
            <w:hideMark/>
          </w:tcPr>
          <w:p w14:paraId="6AB869BC" w14:textId="2B4CC002"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4</w:t>
            </w:r>
          </w:p>
        </w:tc>
        <w:tc>
          <w:tcPr>
            <w:tcW w:w="1134" w:type="dxa"/>
            <w:tcBorders>
              <w:top w:val="nil"/>
              <w:left w:val="nil"/>
              <w:bottom w:val="nil"/>
              <w:right w:val="single" w:sz="4" w:space="0" w:color="auto"/>
            </w:tcBorders>
            <w:shd w:val="clear" w:color="auto" w:fill="auto"/>
            <w:noWrap/>
            <w:vAlign w:val="center"/>
            <w:hideMark/>
          </w:tcPr>
          <w:p w14:paraId="3FBD45F6" w14:textId="4914D6EE"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4,0</w:t>
            </w:r>
          </w:p>
        </w:tc>
        <w:tc>
          <w:tcPr>
            <w:tcW w:w="2381" w:type="dxa"/>
            <w:tcBorders>
              <w:top w:val="nil"/>
              <w:left w:val="single" w:sz="4" w:space="0" w:color="auto"/>
              <w:bottom w:val="nil"/>
              <w:right w:val="nil"/>
            </w:tcBorders>
            <w:vAlign w:val="center"/>
          </w:tcPr>
          <w:p w14:paraId="0127CF85" w14:textId="7863E3F3"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58%</w:t>
            </w:r>
          </w:p>
        </w:tc>
      </w:tr>
      <w:tr w:rsidR="00BE7C62" w:rsidRPr="004E74A6" w14:paraId="193056C0" w14:textId="3B48CD2D" w:rsidTr="00101E63">
        <w:trPr>
          <w:trHeight w:val="276"/>
          <w:jc w:val="center"/>
        </w:trPr>
        <w:tc>
          <w:tcPr>
            <w:tcW w:w="2835" w:type="dxa"/>
            <w:tcBorders>
              <w:top w:val="nil"/>
              <w:left w:val="nil"/>
              <w:bottom w:val="nil"/>
              <w:right w:val="single" w:sz="4" w:space="0" w:color="000000"/>
            </w:tcBorders>
            <w:shd w:val="clear" w:color="auto" w:fill="auto"/>
            <w:noWrap/>
            <w:vAlign w:val="center"/>
            <w:hideMark/>
          </w:tcPr>
          <w:p w14:paraId="1EC95737" w14:textId="77777777" w:rsidR="00BE7C62" w:rsidRPr="004E74A6" w:rsidRDefault="00BE7C62" w:rsidP="00832773">
            <w:pPr>
              <w:spacing w:line="276" w:lineRule="auto"/>
              <w:jc w:val="left"/>
              <w:rPr>
                <w:rFonts w:cs="Calibri"/>
                <w:color w:val="000000"/>
                <w:sz w:val="20"/>
                <w:lang w:eastAsia="es-CR"/>
              </w:rPr>
            </w:pPr>
            <w:r w:rsidRPr="004E74A6">
              <w:rPr>
                <w:rFonts w:cs="Calibri"/>
                <w:color w:val="000000"/>
                <w:sz w:val="20"/>
                <w:lang w:eastAsia="es-CR"/>
              </w:rPr>
              <w:t>De ¢40.000.001 a ¢45.000.000</w:t>
            </w:r>
          </w:p>
        </w:tc>
        <w:tc>
          <w:tcPr>
            <w:tcW w:w="850" w:type="dxa"/>
            <w:tcBorders>
              <w:top w:val="nil"/>
              <w:left w:val="nil"/>
              <w:bottom w:val="nil"/>
              <w:right w:val="single" w:sz="4" w:space="0" w:color="000000"/>
            </w:tcBorders>
            <w:shd w:val="clear" w:color="auto" w:fill="auto"/>
            <w:noWrap/>
            <w:vAlign w:val="center"/>
            <w:hideMark/>
          </w:tcPr>
          <w:p w14:paraId="2D2393E0" w14:textId="1B1AC7A0"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3</w:t>
            </w:r>
          </w:p>
        </w:tc>
        <w:tc>
          <w:tcPr>
            <w:tcW w:w="850" w:type="dxa"/>
            <w:tcBorders>
              <w:top w:val="nil"/>
              <w:left w:val="nil"/>
              <w:bottom w:val="nil"/>
              <w:right w:val="single" w:sz="4" w:space="0" w:color="000000"/>
            </w:tcBorders>
            <w:shd w:val="clear" w:color="auto" w:fill="auto"/>
            <w:noWrap/>
            <w:vAlign w:val="center"/>
            <w:hideMark/>
          </w:tcPr>
          <w:p w14:paraId="48ECC95F" w14:textId="6EA022EB"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2</w:t>
            </w:r>
          </w:p>
        </w:tc>
        <w:tc>
          <w:tcPr>
            <w:tcW w:w="850" w:type="dxa"/>
            <w:tcBorders>
              <w:top w:val="nil"/>
              <w:left w:val="nil"/>
              <w:bottom w:val="nil"/>
              <w:right w:val="single" w:sz="4" w:space="0" w:color="000000"/>
            </w:tcBorders>
            <w:shd w:val="clear" w:color="auto" w:fill="auto"/>
            <w:noWrap/>
            <w:vAlign w:val="center"/>
            <w:hideMark/>
          </w:tcPr>
          <w:p w14:paraId="3EF628EA" w14:textId="132A6E3E"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1</w:t>
            </w:r>
          </w:p>
        </w:tc>
        <w:tc>
          <w:tcPr>
            <w:tcW w:w="1134" w:type="dxa"/>
            <w:tcBorders>
              <w:top w:val="nil"/>
              <w:left w:val="nil"/>
              <w:bottom w:val="nil"/>
              <w:right w:val="single" w:sz="4" w:space="0" w:color="auto"/>
            </w:tcBorders>
            <w:shd w:val="clear" w:color="auto" w:fill="auto"/>
            <w:noWrap/>
            <w:vAlign w:val="center"/>
            <w:hideMark/>
          </w:tcPr>
          <w:p w14:paraId="048C65F7" w14:textId="29F93682"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2,0</w:t>
            </w:r>
          </w:p>
        </w:tc>
        <w:tc>
          <w:tcPr>
            <w:tcW w:w="2381" w:type="dxa"/>
            <w:tcBorders>
              <w:top w:val="nil"/>
              <w:left w:val="single" w:sz="4" w:space="0" w:color="auto"/>
              <w:bottom w:val="nil"/>
              <w:right w:val="nil"/>
            </w:tcBorders>
            <w:vAlign w:val="center"/>
          </w:tcPr>
          <w:p w14:paraId="72F40D36" w14:textId="2B2CE0E2"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60%</w:t>
            </w:r>
          </w:p>
        </w:tc>
      </w:tr>
      <w:tr w:rsidR="00BE7C62" w:rsidRPr="004E74A6" w14:paraId="4FDE616F" w14:textId="7E2556A9" w:rsidTr="00101E63">
        <w:trPr>
          <w:trHeight w:val="276"/>
          <w:jc w:val="center"/>
        </w:trPr>
        <w:tc>
          <w:tcPr>
            <w:tcW w:w="2835" w:type="dxa"/>
            <w:tcBorders>
              <w:top w:val="nil"/>
              <w:left w:val="nil"/>
              <w:bottom w:val="nil"/>
              <w:right w:val="single" w:sz="4" w:space="0" w:color="000000"/>
            </w:tcBorders>
            <w:shd w:val="clear" w:color="auto" w:fill="auto"/>
            <w:noWrap/>
            <w:vAlign w:val="center"/>
            <w:hideMark/>
          </w:tcPr>
          <w:p w14:paraId="6E7CC90E" w14:textId="77777777" w:rsidR="00BE7C62" w:rsidRPr="004E74A6" w:rsidRDefault="00BE7C62" w:rsidP="00832773">
            <w:pPr>
              <w:spacing w:line="276" w:lineRule="auto"/>
              <w:jc w:val="left"/>
              <w:rPr>
                <w:rFonts w:cs="Calibri"/>
                <w:color w:val="000000"/>
                <w:sz w:val="20"/>
                <w:lang w:eastAsia="es-CR"/>
              </w:rPr>
            </w:pPr>
            <w:r w:rsidRPr="004E74A6">
              <w:rPr>
                <w:rFonts w:cs="Calibri"/>
                <w:color w:val="000000"/>
                <w:sz w:val="20"/>
                <w:lang w:eastAsia="es-CR"/>
              </w:rPr>
              <w:t>De ¢45.000.001 a ¢50.000.000</w:t>
            </w:r>
          </w:p>
        </w:tc>
        <w:tc>
          <w:tcPr>
            <w:tcW w:w="850" w:type="dxa"/>
            <w:tcBorders>
              <w:top w:val="nil"/>
              <w:left w:val="nil"/>
              <w:bottom w:val="nil"/>
              <w:right w:val="single" w:sz="4" w:space="0" w:color="000000"/>
            </w:tcBorders>
            <w:shd w:val="clear" w:color="auto" w:fill="auto"/>
            <w:noWrap/>
            <w:vAlign w:val="center"/>
            <w:hideMark/>
          </w:tcPr>
          <w:p w14:paraId="443A1EF6" w14:textId="78C88077"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3</w:t>
            </w:r>
          </w:p>
        </w:tc>
        <w:tc>
          <w:tcPr>
            <w:tcW w:w="850" w:type="dxa"/>
            <w:tcBorders>
              <w:top w:val="nil"/>
              <w:left w:val="nil"/>
              <w:bottom w:val="nil"/>
              <w:right w:val="single" w:sz="4" w:space="0" w:color="000000"/>
            </w:tcBorders>
            <w:shd w:val="clear" w:color="auto" w:fill="auto"/>
            <w:noWrap/>
            <w:vAlign w:val="center"/>
            <w:hideMark/>
          </w:tcPr>
          <w:p w14:paraId="04C2AD65" w14:textId="6209D575"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3</w:t>
            </w:r>
          </w:p>
        </w:tc>
        <w:tc>
          <w:tcPr>
            <w:tcW w:w="850" w:type="dxa"/>
            <w:tcBorders>
              <w:top w:val="nil"/>
              <w:left w:val="nil"/>
              <w:bottom w:val="nil"/>
              <w:right w:val="single" w:sz="4" w:space="0" w:color="000000"/>
            </w:tcBorders>
            <w:shd w:val="clear" w:color="auto" w:fill="auto"/>
            <w:noWrap/>
            <w:vAlign w:val="center"/>
            <w:hideMark/>
          </w:tcPr>
          <w:p w14:paraId="3B82AFFE" w14:textId="1E60FBE0"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2</w:t>
            </w:r>
          </w:p>
        </w:tc>
        <w:tc>
          <w:tcPr>
            <w:tcW w:w="1134" w:type="dxa"/>
            <w:tcBorders>
              <w:top w:val="nil"/>
              <w:left w:val="nil"/>
              <w:bottom w:val="nil"/>
              <w:right w:val="single" w:sz="4" w:space="0" w:color="auto"/>
            </w:tcBorders>
            <w:shd w:val="clear" w:color="auto" w:fill="auto"/>
            <w:noWrap/>
            <w:vAlign w:val="center"/>
            <w:hideMark/>
          </w:tcPr>
          <w:p w14:paraId="1FA674DF" w14:textId="1567F741"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2,7</w:t>
            </w:r>
          </w:p>
        </w:tc>
        <w:tc>
          <w:tcPr>
            <w:tcW w:w="2381" w:type="dxa"/>
            <w:tcBorders>
              <w:top w:val="nil"/>
              <w:left w:val="single" w:sz="4" w:space="0" w:color="auto"/>
              <w:bottom w:val="nil"/>
              <w:right w:val="nil"/>
            </w:tcBorders>
            <w:vAlign w:val="center"/>
          </w:tcPr>
          <w:p w14:paraId="797A7A37" w14:textId="73BBFE76"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62%</w:t>
            </w:r>
          </w:p>
        </w:tc>
      </w:tr>
      <w:tr w:rsidR="00BE7C62" w:rsidRPr="004E74A6" w14:paraId="45F8163E" w14:textId="0DB42617" w:rsidTr="00101E63">
        <w:trPr>
          <w:trHeight w:val="276"/>
          <w:jc w:val="center"/>
        </w:trPr>
        <w:tc>
          <w:tcPr>
            <w:tcW w:w="2835" w:type="dxa"/>
            <w:tcBorders>
              <w:top w:val="nil"/>
              <w:left w:val="nil"/>
              <w:bottom w:val="nil"/>
              <w:right w:val="single" w:sz="4" w:space="0" w:color="000000"/>
            </w:tcBorders>
            <w:shd w:val="clear" w:color="auto" w:fill="auto"/>
            <w:noWrap/>
            <w:vAlign w:val="center"/>
            <w:hideMark/>
          </w:tcPr>
          <w:p w14:paraId="214CB1AC" w14:textId="77777777" w:rsidR="00BE7C62" w:rsidRPr="004E74A6" w:rsidRDefault="00BE7C62" w:rsidP="00832773">
            <w:pPr>
              <w:spacing w:line="276" w:lineRule="auto"/>
              <w:jc w:val="left"/>
              <w:rPr>
                <w:rFonts w:cs="Calibri"/>
                <w:color w:val="000000"/>
                <w:sz w:val="20"/>
                <w:lang w:eastAsia="es-CR"/>
              </w:rPr>
            </w:pPr>
            <w:r w:rsidRPr="004E74A6">
              <w:rPr>
                <w:rFonts w:cs="Calibri"/>
                <w:color w:val="000000"/>
                <w:sz w:val="20"/>
                <w:lang w:eastAsia="es-CR"/>
              </w:rPr>
              <w:t>De ¢50.000.001 a ¢55.000.000</w:t>
            </w:r>
          </w:p>
        </w:tc>
        <w:tc>
          <w:tcPr>
            <w:tcW w:w="850" w:type="dxa"/>
            <w:tcBorders>
              <w:top w:val="nil"/>
              <w:left w:val="nil"/>
              <w:bottom w:val="nil"/>
              <w:right w:val="single" w:sz="4" w:space="0" w:color="000000"/>
            </w:tcBorders>
            <w:shd w:val="clear" w:color="auto" w:fill="auto"/>
            <w:noWrap/>
            <w:vAlign w:val="center"/>
            <w:hideMark/>
          </w:tcPr>
          <w:p w14:paraId="1648DEDD" w14:textId="1F8EE4D1"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0</w:t>
            </w:r>
          </w:p>
        </w:tc>
        <w:tc>
          <w:tcPr>
            <w:tcW w:w="850" w:type="dxa"/>
            <w:tcBorders>
              <w:top w:val="nil"/>
              <w:left w:val="nil"/>
              <w:bottom w:val="nil"/>
              <w:right w:val="single" w:sz="4" w:space="0" w:color="000000"/>
            </w:tcBorders>
            <w:shd w:val="clear" w:color="auto" w:fill="auto"/>
            <w:noWrap/>
            <w:vAlign w:val="center"/>
            <w:hideMark/>
          </w:tcPr>
          <w:p w14:paraId="049A93CA" w14:textId="6426788C"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2</w:t>
            </w:r>
          </w:p>
        </w:tc>
        <w:tc>
          <w:tcPr>
            <w:tcW w:w="850" w:type="dxa"/>
            <w:tcBorders>
              <w:top w:val="nil"/>
              <w:left w:val="nil"/>
              <w:bottom w:val="nil"/>
              <w:right w:val="single" w:sz="4" w:space="0" w:color="000000"/>
            </w:tcBorders>
            <w:shd w:val="clear" w:color="auto" w:fill="auto"/>
            <w:noWrap/>
            <w:vAlign w:val="center"/>
            <w:hideMark/>
          </w:tcPr>
          <w:p w14:paraId="39245525" w14:textId="0CE0FEC3"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3</w:t>
            </w:r>
          </w:p>
        </w:tc>
        <w:tc>
          <w:tcPr>
            <w:tcW w:w="1134" w:type="dxa"/>
            <w:tcBorders>
              <w:top w:val="nil"/>
              <w:left w:val="nil"/>
              <w:bottom w:val="nil"/>
              <w:right w:val="single" w:sz="4" w:space="0" w:color="auto"/>
            </w:tcBorders>
            <w:shd w:val="clear" w:color="auto" w:fill="auto"/>
            <w:noWrap/>
            <w:vAlign w:val="center"/>
            <w:hideMark/>
          </w:tcPr>
          <w:p w14:paraId="41E33F16" w14:textId="6EB3E623"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1,7</w:t>
            </w:r>
          </w:p>
        </w:tc>
        <w:tc>
          <w:tcPr>
            <w:tcW w:w="2381" w:type="dxa"/>
            <w:tcBorders>
              <w:top w:val="nil"/>
              <w:left w:val="single" w:sz="4" w:space="0" w:color="auto"/>
              <w:bottom w:val="nil"/>
              <w:right w:val="nil"/>
            </w:tcBorders>
            <w:vAlign w:val="center"/>
          </w:tcPr>
          <w:p w14:paraId="5325FAB9" w14:textId="0E1DF632"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63%</w:t>
            </w:r>
          </w:p>
        </w:tc>
      </w:tr>
      <w:tr w:rsidR="00BE7C62" w:rsidRPr="004E74A6" w14:paraId="6A6450B1" w14:textId="4065397D" w:rsidTr="00101E63">
        <w:trPr>
          <w:trHeight w:val="276"/>
          <w:jc w:val="center"/>
        </w:trPr>
        <w:tc>
          <w:tcPr>
            <w:tcW w:w="2835" w:type="dxa"/>
            <w:tcBorders>
              <w:top w:val="nil"/>
              <w:left w:val="nil"/>
              <w:bottom w:val="nil"/>
              <w:right w:val="single" w:sz="4" w:space="0" w:color="000000"/>
            </w:tcBorders>
            <w:shd w:val="clear" w:color="auto" w:fill="auto"/>
            <w:noWrap/>
            <w:vAlign w:val="center"/>
            <w:hideMark/>
          </w:tcPr>
          <w:p w14:paraId="597A2DE6" w14:textId="77777777" w:rsidR="00BE7C62" w:rsidRPr="004E74A6" w:rsidRDefault="00BE7C62" w:rsidP="00832773">
            <w:pPr>
              <w:spacing w:line="276" w:lineRule="auto"/>
              <w:jc w:val="left"/>
              <w:rPr>
                <w:rFonts w:cs="Calibri"/>
                <w:color w:val="000000"/>
                <w:sz w:val="20"/>
                <w:lang w:eastAsia="es-CR"/>
              </w:rPr>
            </w:pPr>
            <w:r w:rsidRPr="004E74A6">
              <w:rPr>
                <w:rFonts w:cs="Calibri"/>
                <w:color w:val="000000"/>
                <w:sz w:val="20"/>
                <w:lang w:eastAsia="es-CR"/>
              </w:rPr>
              <w:t>De ¢55.000.001 a ¢60.000.000</w:t>
            </w:r>
          </w:p>
        </w:tc>
        <w:tc>
          <w:tcPr>
            <w:tcW w:w="850" w:type="dxa"/>
            <w:tcBorders>
              <w:top w:val="nil"/>
              <w:left w:val="nil"/>
              <w:bottom w:val="nil"/>
              <w:right w:val="single" w:sz="4" w:space="0" w:color="000000"/>
            </w:tcBorders>
            <w:shd w:val="clear" w:color="auto" w:fill="auto"/>
            <w:noWrap/>
            <w:vAlign w:val="center"/>
            <w:hideMark/>
          </w:tcPr>
          <w:p w14:paraId="3F3FC78B" w14:textId="77CAF676"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1</w:t>
            </w:r>
          </w:p>
        </w:tc>
        <w:tc>
          <w:tcPr>
            <w:tcW w:w="850" w:type="dxa"/>
            <w:tcBorders>
              <w:top w:val="nil"/>
              <w:left w:val="nil"/>
              <w:bottom w:val="nil"/>
              <w:right w:val="single" w:sz="4" w:space="0" w:color="000000"/>
            </w:tcBorders>
            <w:shd w:val="clear" w:color="auto" w:fill="auto"/>
            <w:noWrap/>
            <w:vAlign w:val="center"/>
            <w:hideMark/>
          </w:tcPr>
          <w:p w14:paraId="0CD6E40F" w14:textId="74C34ADD"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1</w:t>
            </w:r>
          </w:p>
        </w:tc>
        <w:tc>
          <w:tcPr>
            <w:tcW w:w="850" w:type="dxa"/>
            <w:tcBorders>
              <w:top w:val="nil"/>
              <w:left w:val="nil"/>
              <w:bottom w:val="nil"/>
              <w:right w:val="single" w:sz="4" w:space="0" w:color="000000"/>
            </w:tcBorders>
            <w:shd w:val="clear" w:color="auto" w:fill="auto"/>
            <w:noWrap/>
            <w:vAlign w:val="center"/>
            <w:hideMark/>
          </w:tcPr>
          <w:p w14:paraId="2AF7CEA5" w14:textId="643D2DE0"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1</w:t>
            </w:r>
          </w:p>
        </w:tc>
        <w:tc>
          <w:tcPr>
            <w:tcW w:w="1134" w:type="dxa"/>
            <w:tcBorders>
              <w:top w:val="nil"/>
              <w:left w:val="nil"/>
              <w:bottom w:val="nil"/>
              <w:right w:val="single" w:sz="4" w:space="0" w:color="auto"/>
            </w:tcBorders>
            <w:shd w:val="clear" w:color="auto" w:fill="auto"/>
            <w:noWrap/>
            <w:vAlign w:val="center"/>
            <w:hideMark/>
          </w:tcPr>
          <w:p w14:paraId="7FBF5672" w14:textId="55313FD0"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1,0</w:t>
            </w:r>
          </w:p>
        </w:tc>
        <w:tc>
          <w:tcPr>
            <w:tcW w:w="2381" w:type="dxa"/>
            <w:tcBorders>
              <w:top w:val="nil"/>
              <w:left w:val="single" w:sz="4" w:space="0" w:color="auto"/>
              <w:bottom w:val="nil"/>
              <w:right w:val="nil"/>
            </w:tcBorders>
            <w:vAlign w:val="center"/>
          </w:tcPr>
          <w:p w14:paraId="065B586A" w14:textId="2E7AA36C"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64%</w:t>
            </w:r>
          </w:p>
        </w:tc>
      </w:tr>
      <w:tr w:rsidR="00BE7C62" w:rsidRPr="004E74A6" w14:paraId="2C7C4CA7" w14:textId="6A0EE552" w:rsidTr="00101E63">
        <w:trPr>
          <w:trHeight w:val="276"/>
          <w:jc w:val="center"/>
        </w:trPr>
        <w:tc>
          <w:tcPr>
            <w:tcW w:w="2835" w:type="dxa"/>
            <w:tcBorders>
              <w:top w:val="nil"/>
              <w:left w:val="nil"/>
              <w:bottom w:val="nil"/>
              <w:right w:val="single" w:sz="4" w:space="0" w:color="000000"/>
            </w:tcBorders>
            <w:shd w:val="clear" w:color="auto" w:fill="auto"/>
            <w:noWrap/>
            <w:vAlign w:val="center"/>
            <w:hideMark/>
          </w:tcPr>
          <w:p w14:paraId="25788B1E" w14:textId="77777777" w:rsidR="00BE7C62" w:rsidRPr="004E74A6" w:rsidRDefault="00BE7C62" w:rsidP="00832773">
            <w:pPr>
              <w:spacing w:line="276" w:lineRule="auto"/>
              <w:jc w:val="left"/>
              <w:rPr>
                <w:rFonts w:cs="Calibri"/>
                <w:color w:val="000000"/>
                <w:sz w:val="20"/>
                <w:lang w:eastAsia="es-CR"/>
              </w:rPr>
            </w:pPr>
            <w:r w:rsidRPr="004E74A6">
              <w:rPr>
                <w:rFonts w:cs="Calibri"/>
                <w:color w:val="000000"/>
                <w:sz w:val="20"/>
                <w:lang w:eastAsia="es-CR"/>
              </w:rPr>
              <w:t>De ¢60.000.001 a ¢65.000.000</w:t>
            </w:r>
          </w:p>
        </w:tc>
        <w:tc>
          <w:tcPr>
            <w:tcW w:w="850" w:type="dxa"/>
            <w:tcBorders>
              <w:top w:val="nil"/>
              <w:left w:val="nil"/>
              <w:bottom w:val="nil"/>
              <w:right w:val="single" w:sz="4" w:space="0" w:color="000000"/>
            </w:tcBorders>
            <w:shd w:val="clear" w:color="auto" w:fill="auto"/>
            <w:noWrap/>
            <w:vAlign w:val="center"/>
            <w:hideMark/>
          </w:tcPr>
          <w:p w14:paraId="1C7DB832" w14:textId="424D915E"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1</w:t>
            </w:r>
          </w:p>
        </w:tc>
        <w:tc>
          <w:tcPr>
            <w:tcW w:w="850" w:type="dxa"/>
            <w:tcBorders>
              <w:top w:val="nil"/>
              <w:left w:val="nil"/>
              <w:bottom w:val="nil"/>
              <w:right w:val="single" w:sz="4" w:space="0" w:color="000000"/>
            </w:tcBorders>
            <w:shd w:val="clear" w:color="auto" w:fill="auto"/>
            <w:noWrap/>
            <w:vAlign w:val="center"/>
            <w:hideMark/>
          </w:tcPr>
          <w:p w14:paraId="1E1015C8" w14:textId="74A030A2"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3</w:t>
            </w:r>
          </w:p>
        </w:tc>
        <w:tc>
          <w:tcPr>
            <w:tcW w:w="850" w:type="dxa"/>
            <w:tcBorders>
              <w:top w:val="nil"/>
              <w:left w:val="nil"/>
              <w:bottom w:val="nil"/>
              <w:right w:val="single" w:sz="4" w:space="0" w:color="000000"/>
            </w:tcBorders>
            <w:shd w:val="clear" w:color="auto" w:fill="auto"/>
            <w:noWrap/>
            <w:vAlign w:val="center"/>
            <w:hideMark/>
          </w:tcPr>
          <w:p w14:paraId="6A20554C" w14:textId="2285066D"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2</w:t>
            </w:r>
          </w:p>
        </w:tc>
        <w:tc>
          <w:tcPr>
            <w:tcW w:w="1134" w:type="dxa"/>
            <w:tcBorders>
              <w:top w:val="nil"/>
              <w:left w:val="nil"/>
              <w:bottom w:val="nil"/>
              <w:right w:val="single" w:sz="4" w:space="0" w:color="auto"/>
            </w:tcBorders>
            <w:shd w:val="clear" w:color="auto" w:fill="auto"/>
            <w:noWrap/>
            <w:vAlign w:val="center"/>
            <w:hideMark/>
          </w:tcPr>
          <w:p w14:paraId="757534ED" w14:textId="0F3335AC"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2,0</w:t>
            </w:r>
          </w:p>
        </w:tc>
        <w:tc>
          <w:tcPr>
            <w:tcW w:w="2381" w:type="dxa"/>
            <w:tcBorders>
              <w:top w:val="nil"/>
              <w:left w:val="single" w:sz="4" w:space="0" w:color="auto"/>
              <w:bottom w:val="nil"/>
              <w:right w:val="nil"/>
            </w:tcBorders>
            <w:vAlign w:val="center"/>
          </w:tcPr>
          <w:p w14:paraId="58806D6E" w14:textId="31DC361C"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65%</w:t>
            </w:r>
          </w:p>
        </w:tc>
      </w:tr>
      <w:tr w:rsidR="00BE7C62" w:rsidRPr="004E74A6" w14:paraId="3AE2BE79" w14:textId="632B5DDC" w:rsidTr="00101E63">
        <w:trPr>
          <w:trHeight w:val="276"/>
          <w:jc w:val="center"/>
        </w:trPr>
        <w:tc>
          <w:tcPr>
            <w:tcW w:w="2835" w:type="dxa"/>
            <w:tcBorders>
              <w:top w:val="nil"/>
              <w:left w:val="nil"/>
              <w:bottom w:val="nil"/>
              <w:right w:val="single" w:sz="4" w:space="0" w:color="000000"/>
            </w:tcBorders>
            <w:shd w:val="clear" w:color="auto" w:fill="auto"/>
            <w:noWrap/>
            <w:vAlign w:val="center"/>
            <w:hideMark/>
          </w:tcPr>
          <w:p w14:paraId="37957384" w14:textId="77777777" w:rsidR="00BE7C62" w:rsidRPr="004E74A6" w:rsidRDefault="00BE7C62" w:rsidP="00832773">
            <w:pPr>
              <w:spacing w:line="276" w:lineRule="auto"/>
              <w:jc w:val="left"/>
              <w:rPr>
                <w:rFonts w:cs="Calibri"/>
                <w:color w:val="000000"/>
                <w:sz w:val="20"/>
                <w:lang w:eastAsia="es-CR"/>
              </w:rPr>
            </w:pPr>
            <w:r w:rsidRPr="004E74A6">
              <w:rPr>
                <w:rFonts w:cs="Calibri"/>
                <w:color w:val="000000"/>
                <w:sz w:val="20"/>
                <w:lang w:eastAsia="es-CR"/>
              </w:rPr>
              <w:lastRenderedPageBreak/>
              <w:t>De ¢65.000.001 a ¢70.000.000</w:t>
            </w:r>
          </w:p>
        </w:tc>
        <w:tc>
          <w:tcPr>
            <w:tcW w:w="850" w:type="dxa"/>
            <w:tcBorders>
              <w:top w:val="nil"/>
              <w:left w:val="nil"/>
              <w:bottom w:val="nil"/>
              <w:right w:val="single" w:sz="4" w:space="0" w:color="000000"/>
            </w:tcBorders>
            <w:shd w:val="clear" w:color="auto" w:fill="auto"/>
            <w:noWrap/>
            <w:vAlign w:val="center"/>
            <w:hideMark/>
          </w:tcPr>
          <w:p w14:paraId="7B7D686A" w14:textId="752CAFE9"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2</w:t>
            </w:r>
          </w:p>
        </w:tc>
        <w:tc>
          <w:tcPr>
            <w:tcW w:w="850" w:type="dxa"/>
            <w:tcBorders>
              <w:top w:val="nil"/>
              <w:left w:val="nil"/>
              <w:bottom w:val="nil"/>
              <w:right w:val="single" w:sz="4" w:space="0" w:color="000000"/>
            </w:tcBorders>
            <w:shd w:val="clear" w:color="auto" w:fill="auto"/>
            <w:noWrap/>
            <w:vAlign w:val="center"/>
            <w:hideMark/>
          </w:tcPr>
          <w:p w14:paraId="151BA611" w14:textId="22D10B3D"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2</w:t>
            </w:r>
          </w:p>
        </w:tc>
        <w:tc>
          <w:tcPr>
            <w:tcW w:w="850" w:type="dxa"/>
            <w:tcBorders>
              <w:top w:val="nil"/>
              <w:left w:val="nil"/>
              <w:bottom w:val="nil"/>
              <w:right w:val="single" w:sz="4" w:space="0" w:color="000000"/>
            </w:tcBorders>
            <w:shd w:val="clear" w:color="auto" w:fill="auto"/>
            <w:noWrap/>
            <w:vAlign w:val="center"/>
            <w:hideMark/>
          </w:tcPr>
          <w:p w14:paraId="60BEA1E1" w14:textId="136C784A"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3</w:t>
            </w:r>
          </w:p>
        </w:tc>
        <w:tc>
          <w:tcPr>
            <w:tcW w:w="1134" w:type="dxa"/>
            <w:tcBorders>
              <w:top w:val="nil"/>
              <w:left w:val="nil"/>
              <w:bottom w:val="nil"/>
              <w:right w:val="single" w:sz="4" w:space="0" w:color="auto"/>
            </w:tcBorders>
            <w:shd w:val="clear" w:color="auto" w:fill="auto"/>
            <w:noWrap/>
            <w:vAlign w:val="center"/>
            <w:hideMark/>
          </w:tcPr>
          <w:p w14:paraId="0C552E6D" w14:textId="5ADE6E2A"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2,3</w:t>
            </w:r>
          </w:p>
        </w:tc>
        <w:tc>
          <w:tcPr>
            <w:tcW w:w="2381" w:type="dxa"/>
            <w:tcBorders>
              <w:top w:val="nil"/>
              <w:left w:val="single" w:sz="4" w:space="0" w:color="auto"/>
              <w:bottom w:val="nil"/>
              <w:right w:val="nil"/>
            </w:tcBorders>
            <w:vAlign w:val="center"/>
          </w:tcPr>
          <w:p w14:paraId="11BCA45B" w14:textId="68149BC6"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67%</w:t>
            </w:r>
          </w:p>
        </w:tc>
      </w:tr>
      <w:tr w:rsidR="00BE7C62" w:rsidRPr="004E74A6" w14:paraId="37702004" w14:textId="60A5B35C" w:rsidTr="00101E63">
        <w:trPr>
          <w:trHeight w:val="276"/>
          <w:jc w:val="center"/>
        </w:trPr>
        <w:tc>
          <w:tcPr>
            <w:tcW w:w="2835" w:type="dxa"/>
            <w:tcBorders>
              <w:top w:val="nil"/>
              <w:left w:val="nil"/>
              <w:bottom w:val="nil"/>
              <w:right w:val="single" w:sz="4" w:space="0" w:color="000000"/>
            </w:tcBorders>
            <w:shd w:val="clear" w:color="auto" w:fill="auto"/>
            <w:noWrap/>
            <w:vAlign w:val="center"/>
            <w:hideMark/>
          </w:tcPr>
          <w:p w14:paraId="27B20E9C" w14:textId="77777777" w:rsidR="00BE7C62" w:rsidRPr="004E74A6" w:rsidRDefault="00BE7C62" w:rsidP="00832773">
            <w:pPr>
              <w:spacing w:line="276" w:lineRule="auto"/>
              <w:jc w:val="left"/>
              <w:rPr>
                <w:rFonts w:cs="Calibri"/>
                <w:color w:val="000000"/>
                <w:sz w:val="20"/>
                <w:lang w:eastAsia="es-CR"/>
              </w:rPr>
            </w:pPr>
            <w:r w:rsidRPr="004E74A6">
              <w:rPr>
                <w:rFonts w:cs="Calibri"/>
                <w:color w:val="000000"/>
                <w:sz w:val="20"/>
                <w:lang w:eastAsia="es-CR"/>
              </w:rPr>
              <w:t>De ¢70.000.001 a ¢75.000.000</w:t>
            </w:r>
          </w:p>
        </w:tc>
        <w:tc>
          <w:tcPr>
            <w:tcW w:w="850" w:type="dxa"/>
            <w:tcBorders>
              <w:top w:val="nil"/>
              <w:left w:val="nil"/>
              <w:bottom w:val="nil"/>
              <w:right w:val="single" w:sz="4" w:space="0" w:color="000000"/>
            </w:tcBorders>
            <w:shd w:val="clear" w:color="auto" w:fill="auto"/>
            <w:noWrap/>
            <w:vAlign w:val="center"/>
            <w:hideMark/>
          </w:tcPr>
          <w:p w14:paraId="74E74AAA" w14:textId="6E20546D"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2</w:t>
            </w:r>
          </w:p>
        </w:tc>
        <w:tc>
          <w:tcPr>
            <w:tcW w:w="850" w:type="dxa"/>
            <w:tcBorders>
              <w:top w:val="nil"/>
              <w:left w:val="nil"/>
              <w:bottom w:val="nil"/>
              <w:right w:val="single" w:sz="4" w:space="0" w:color="000000"/>
            </w:tcBorders>
            <w:shd w:val="clear" w:color="auto" w:fill="auto"/>
            <w:noWrap/>
            <w:vAlign w:val="center"/>
            <w:hideMark/>
          </w:tcPr>
          <w:p w14:paraId="68284D59" w14:textId="50DA3F04"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1</w:t>
            </w:r>
          </w:p>
        </w:tc>
        <w:tc>
          <w:tcPr>
            <w:tcW w:w="850" w:type="dxa"/>
            <w:tcBorders>
              <w:top w:val="nil"/>
              <w:left w:val="nil"/>
              <w:bottom w:val="nil"/>
              <w:right w:val="single" w:sz="4" w:space="0" w:color="000000"/>
            </w:tcBorders>
            <w:shd w:val="clear" w:color="auto" w:fill="auto"/>
            <w:noWrap/>
            <w:vAlign w:val="center"/>
            <w:hideMark/>
          </w:tcPr>
          <w:p w14:paraId="6D2C3741" w14:textId="0A3BF4CF"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1</w:t>
            </w:r>
          </w:p>
        </w:tc>
        <w:tc>
          <w:tcPr>
            <w:tcW w:w="1134" w:type="dxa"/>
            <w:tcBorders>
              <w:top w:val="nil"/>
              <w:left w:val="nil"/>
              <w:bottom w:val="nil"/>
              <w:right w:val="single" w:sz="4" w:space="0" w:color="auto"/>
            </w:tcBorders>
            <w:shd w:val="clear" w:color="auto" w:fill="auto"/>
            <w:noWrap/>
            <w:vAlign w:val="center"/>
            <w:hideMark/>
          </w:tcPr>
          <w:p w14:paraId="5450B658" w14:textId="52AB66B2"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1,3</w:t>
            </w:r>
          </w:p>
        </w:tc>
        <w:tc>
          <w:tcPr>
            <w:tcW w:w="2381" w:type="dxa"/>
            <w:tcBorders>
              <w:top w:val="nil"/>
              <w:left w:val="single" w:sz="4" w:space="0" w:color="auto"/>
              <w:bottom w:val="nil"/>
              <w:right w:val="nil"/>
            </w:tcBorders>
            <w:vAlign w:val="center"/>
          </w:tcPr>
          <w:p w14:paraId="4FDECC21" w14:textId="79A8DF55"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68%</w:t>
            </w:r>
          </w:p>
        </w:tc>
      </w:tr>
      <w:tr w:rsidR="00BE7C62" w:rsidRPr="004E74A6" w14:paraId="583C0B65" w14:textId="26818290" w:rsidTr="00101E63">
        <w:trPr>
          <w:trHeight w:val="276"/>
          <w:jc w:val="center"/>
        </w:trPr>
        <w:tc>
          <w:tcPr>
            <w:tcW w:w="2835" w:type="dxa"/>
            <w:tcBorders>
              <w:top w:val="nil"/>
              <w:left w:val="nil"/>
              <w:bottom w:val="nil"/>
              <w:right w:val="single" w:sz="4" w:space="0" w:color="000000"/>
            </w:tcBorders>
            <w:shd w:val="clear" w:color="auto" w:fill="auto"/>
            <w:noWrap/>
            <w:vAlign w:val="center"/>
            <w:hideMark/>
          </w:tcPr>
          <w:p w14:paraId="63890F52" w14:textId="77777777" w:rsidR="00BE7C62" w:rsidRPr="004E74A6" w:rsidRDefault="00BE7C62" w:rsidP="00832773">
            <w:pPr>
              <w:spacing w:line="276" w:lineRule="auto"/>
              <w:jc w:val="left"/>
              <w:rPr>
                <w:rFonts w:cs="Calibri"/>
                <w:color w:val="000000"/>
                <w:sz w:val="20"/>
                <w:lang w:eastAsia="es-CR"/>
              </w:rPr>
            </w:pPr>
            <w:r w:rsidRPr="004E74A6">
              <w:rPr>
                <w:rFonts w:cs="Calibri"/>
                <w:color w:val="000000"/>
                <w:sz w:val="20"/>
                <w:lang w:eastAsia="es-CR"/>
              </w:rPr>
              <w:t>De ¢75.000.001 a ¢80.000.000</w:t>
            </w:r>
          </w:p>
        </w:tc>
        <w:tc>
          <w:tcPr>
            <w:tcW w:w="850" w:type="dxa"/>
            <w:tcBorders>
              <w:top w:val="nil"/>
              <w:left w:val="nil"/>
              <w:bottom w:val="nil"/>
              <w:right w:val="single" w:sz="4" w:space="0" w:color="000000"/>
            </w:tcBorders>
            <w:shd w:val="clear" w:color="auto" w:fill="auto"/>
            <w:noWrap/>
            <w:vAlign w:val="center"/>
            <w:hideMark/>
          </w:tcPr>
          <w:p w14:paraId="1C1D9CC6" w14:textId="6496FB25"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2</w:t>
            </w:r>
          </w:p>
        </w:tc>
        <w:tc>
          <w:tcPr>
            <w:tcW w:w="850" w:type="dxa"/>
            <w:tcBorders>
              <w:top w:val="nil"/>
              <w:left w:val="nil"/>
              <w:bottom w:val="nil"/>
              <w:right w:val="single" w:sz="4" w:space="0" w:color="000000"/>
            </w:tcBorders>
            <w:shd w:val="clear" w:color="auto" w:fill="auto"/>
            <w:noWrap/>
            <w:vAlign w:val="center"/>
            <w:hideMark/>
          </w:tcPr>
          <w:p w14:paraId="3714258E" w14:textId="63CC323F"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0</w:t>
            </w:r>
          </w:p>
        </w:tc>
        <w:tc>
          <w:tcPr>
            <w:tcW w:w="850" w:type="dxa"/>
            <w:tcBorders>
              <w:top w:val="nil"/>
              <w:left w:val="nil"/>
              <w:bottom w:val="nil"/>
              <w:right w:val="single" w:sz="4" w:space="0" w:color="000000"/>
            </w:tcBorders>
            <w:shd w:val="clear" w:color="auto" w:fill="auto"/>
            <w:noWrap/>
            <w:vAlign w:val="center"/>
            <w:hideMark/>
          </w:tcPr>
          <w:p w14:paraId="1AF19952" w14:textId="2F8E464C"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0</w:t>
            </w:r>
          </w:p>
        </w:tc>
        <w:tc>
          <w:tcPr>
            <w:tcW w:w="1134" w:type="dxa"/>
            <w:tcBorders>
              <w:top w:val="nil"/>
              <w:left w:val="nil"/>
              <w:bottom w:val="nil"/>
              <w:right w:val="single" w:sz="4" w:space="0" w:color="auto"/>
            </w:tcBorders>
            <w:shd w:val="clear" w:color="auto" w:fill="auto"/>
            <w:noWrap/>
            <w:vAlign w:val="center"/>
            <w:hideMark/>
          </w:tcPr>
          <w:p w14:paraId="4193A55F" w14:textId="26548CD7"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0,7</w:t>
            </w:r>
          </w:p>
        </w:tc>
        <w:tc>
          <w:tcPr>
            <w:tcW w:w="2381" w:type="dxa"/>
            <w:tcBorders>
              <w:top w:val="nil"/>
              <w:left w:val="single" w:sz="4" w:space="0" w:color="auto"/>
              <w:bottom w:val="nil"/>
              <w:right w:val="nil"/>
            </w:tcBorders>
            <w:vAlign w:val="center"/>
          </w:tcPr>
          <w:p w14:paraId="517A872F" w14:textId="5E8CA900"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68%</w:t>
            </w:r>
          </w:p>
        </w:tc>
      </w:tr>
      <w:tr w:rsidR="00BE7C62" w:rsidRPr="004E74A6" w14:paraId="6C5B1C06" w14:textId="01EC2326" w:rsidTr="00101E63">
        <w:trPr>
          <w:trHeight w:val="276"/>
          <w:jc w:val="center"/>
        </w:trPr>
        <w:tc>
          <w:tcPr>
            <w:tcW w:w="2835" w:type="dxa"/>
            <w:tcBorders>
              <w:top w:val="nil"/>
              <w:left w:val="nil"/>
              <w:bottom w:val="nil"/>
              <w:right w:val="single" w:sz="4" w:space="0" w:color="000000"/>
            </w:tcBorders>
            <w:shd w:val="clear" w:color="auto" w:fill="auto"/>
            <w:noWrap/>
            <w:vAlign w:val="center"/>
            <w:hideMark/>
          </w:tcPr>
          <w:p w14:paraId="128E1263" w14:textId="77777777" w:rsidR="00BE7C62" w:rsidRPr="004E74A6" w:rsidRDefault="00BE7C62" w:rsidP="00832773">
            <w:pPr>
              <w:spacing w:line="276" w:lineRule="auto"/>
              <w:jc w:val="left"/>
              <w:rPr>
                <w:rFonts w:cs="Calibri"/>
                <w:color w:val="000000"/>
                <w:sz w:val="20"/>
                <w:lang w:eastAsia="es-CR"/>
              </w:rPr>
            </w:pPr>
            <w:r w:rsidRPr="004E74A6">
              <w:rPr>
                <w:rFonts w:cs="Calibri"/>
                <w:color w:val="000000"/>
                <w:sz w:val="20"/>
                <w:lang w:eastAsia="es-CR"/>
              </w:rPr>
              <w:t>De ¢80.000.001 a ¢85.000.000</w:t>
            </w:r>
          </w:p>
        </w:tc>
        <w:tc>
          <w:tcPr>
            <w:tcW w:w="850" w:type="dxa"/>
            <w:tcBorders>
              <w:top w:val="nil"/>
              <w:left w:val="nil"/>
              <w:bottom w:val="nil"/>
              <w:right w:val="single" w:sz="4" w:space="0" w:color="000000"/>
            </w:tcBorders>
            <w:shd w:val="clear" w:color="auto" w:fill="auto"/>
            <w:noWrap/>
            <w:vAlign w:val="center"/>
            <w:hideMark/>
          </w:tcPr>
          <w:p w14:paraId="6F641AA2" w14:textId="1EDD8AA0"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1</w:t>
            </w:r>
          </w:p>
        </w:tc>
        <w:tc>
          <w:tcPr>
            <w:tcW w:w="850" w:type="dxa"/>
            <w:tcBorders>
              <w:top w:val="nil"/>
              <w:left w:val="nil"/>
              <w:bottom w:val="nil"/>
              <w:right w:val="single" w:sz="4" w:space="0" w:color="000000"/>
            </w:tcBorders>
            <w:shd w:val="clear" w:color="auto" w:fill="auto"/>
            <w:noWrap/>
            <w:vAlign w:val="center"/>
            <w:hideMark/>
          </w:tcPr>
          <w:p w14:paraId="6E5E9B4E" w14:textId="2E78C4C2"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0</w:t>
            </w:r>
          </w:p>
        </w:tc>
        <w:tc>
          <w:tcPr>
            <w:tcW w:w="850" w:type="dxa"/>
            <w:tcBorders>
              <w:top w:val="nil"/>
              <w:left w:val="nil"/>
              <w:bottom w:val="nil"/>
              <w:right w:val="single" w:sz="4" w:space="0" w:color="000000"/>
            </w:tcBorders>
            <w:shd w:val="clear" w:color="auto" w:fill="auto"/>
            <w:noWrap/>
            <w:vAlign w:val="center"/>
            <w:hideMark/>
          </w:tcPr>
          <w:p w14:paraId="3E78F340" w14:textId="13603AEC"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0</w:t>
            </w:r>
          </w:p>
        </w:tc>
        <w:tc>
          <w:tcPr>
            <w:tcW w:w="1134" w:type="dxa"/>
            <w:tcBorders>
              <w:top w:val="nil"/>
              <w:left w:val="nil"/>
              <w:bottom w:val="nil"/>
              <w:right w:val="single" w:sz="4" w:space="0" w:color="auto"/>
            </w:tcBorders>
            <w:shd w:val="clear" w:color="auto" w:fill="auto"/>
            <w:noWrap/>
            <w:vAlign w:val="center"/>
            <w:hideMark/>
          </w:tcPr>
          <w:p w14:paraId="4118B817" w14:textId="246B0C0F"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0,3</w:t>
            </w:r>
          </w:p>
        </w:tc>
        <w:tc>
          <w:tcPr>
            <w:tcW w:w="2381" w:type="dxa"/>
            <w:tcBorders>
              <w:top w:val="nil"/>
              <w:left w:val="single" w:sz="4" w:space="0" w:color="auto"/>
              <w:bottom w:val="nil"/>
              <w:right w:val="nil"/>
            </w:tcBorders>
            <w:vAlign w:val="center"/>
          </w:tcPr>
          <w:p w14:paraId="5B0D1D2E" w14:textId="553C5F35"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68%</w:t>
            </w:r>
          </w:p>
        </w:tc>
      </w:tr>
      <w:tr w:rsidR="00BE7C62" w:rsidRPr="004E74A6" w14:paraId="163387DE" w14:textId="35E543BD" w:rsidTr="00101E63">
        <w:trPr>
          <w:trHeight w:val="276"/>
          <w:jc w:val="center"/>
        </w:trPr>
        <w:tc>
          <w:tcPr>
            <w:tcW w:w="2835" w:type="dxa"/>
            <w:tcBorders>
              <w:top w:val="nil"/>
              <w:left w:val="nil"/>
              <w:bottom w:val="nil"/>
              <w:right w:val="single" w:sz="4" w:space="0" w:color="000000"/>
            </w:tcBorders>
            <w:shd w:val="clear" w:color="auto" w:fill="auto"/>
            <w:noWrap/>
            <w:vAlign w:val="center"/>
            <w:hideMark/>
          </w:tcPr>
          <w:p w14:paraId="7E4F11EE" w14:textId="77777777" w:rsidR="00BE7C62" w:rsidRPr="004E74A6" w:rsidRDefault="00BE7C62" w:rsidP="00832773">
            <w:pPr>
              <w:spacing w:line="276" w:lineRule="auto"/>
              <w:jc w:val="left"/>
              <w:rPr>
                <w:rFonts w:cs="Calibri"/>
                <w:color w:val="000000"/>
                <w:sz w:val="20"/>
                <w:lang w:eastAsia="es-CR"/>
              </w:rPr>
            </w:pPr>
            <w:r w:rsidRPr="004E74A6">
              <w:rPr>
                <w:rFonts w:cs="Calibri"/>
                <w:color w:val="000000"/>
                <w:sz w:val="20"/>
                <w:lang w:eastAsia="es-CR"/>
              </w:rPr>
              <w:t>De ¢85.000.001 a ¢90.000.000</w:t>
            </w:r>
          </w:p>
        </w:tc>
        <w:tc>
          <w:tcPr>
            <w:tcW w:w="850" w:type="dxa"/>
            <w:tcBorders>
              <w:top w:val="nil"/>
              <w:left w:val="nil"/>
              <w:bottom w:val="nil"/>
              <w:right w:val="single" w:sz="4" w:space="0" w:color="000000"/>
            </w:tcBorders>
            <w:shd w:val="clear" w:color="auto" w:fill="auto"/>
            <w:noWrap/>
            <w:vAlign w:val="center"/>
            <w:hideMark/>
          </w:tcPr>
          <w:p w14:paraId="3A6FCC20" w14:textId="3FD97913"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2</w:t>
            </w:r>
          </w:p>
        </w:tc>
        <w:tc>
          <w:tcPr>
            <w:tcW w:w="850" w:type="dxa"/>
            <w:tcBorders>
              <w:top w:val="nil"/>
              <w:left w:val="nil"/>
              <w:bottom w:val="nil"/>
              <w:right w:val="single" w:sz="4" w:space="0" w:color="000000"/>
            </w:tcBorders>
            <w:shd w:val="clear" w:color="auto" w:fill="auto"/>
            <w:noWrap/>
            <w:vAlign w:val="center"/>
            <w:hideMark/>
          </w:tcPr>
          <w:p w14:paraId="6DF6BA6B" w14:textId="3AABBDB7"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0</w:t>
            </w:r>
          </w:p>
        </w:tc>
        <w:tc>
          <w:tcPr>
            <w:tcW w:w="850" w:type="dxa"/>
            <w:tcBorders>
              <w:top w:val="nil"/>
              <w:left w:val="nil"/>
              <w:bottom w:val="nil"/>
              <w:right w:val="single" w:sz="4" w:space="0" w:color="000000"/>
            </w:tcBorders>
            <w:shd w:val="clear" w:color="auto" w:fill="auto"/>
            <w:noWrap/>
            <w:vAlign w:val="center"/>
            <w:hideMark/>
          </w:tcPr>
          <w:p w14:paraId="2D5A900F" w14:textId="4F7985BD"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2</w:t>
            </w:r>
          </w:p>
        </w:tc>
        <w:tc>
          <w:tcPr>
            <w:tcW w:w="1134" w:type="dxa"/>
            <w:tcBorders>
              <w:top w:val="nil"/>
              <w:left w:val="nil"/>
              <w:bottom w:val="nil"/>
              <w:right w:val="single" w:sz="4" w:space="0" w:color="auto"/>
            </w:tcBorders>
            <w:shd w:val="clear" w:color="auto" w:fill="auto"/>
            <w:noWrap/>
            <w:vAlign w:val="center"/>
            <w:hideMark/>
          </w:tcPr>
          <w:p w14:paraId="06556C97" w14:textId="701493B3"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1,3</w:t>
            </w:r>
          </w:p>
        </w:tc>
        <w:tc>
          <w:tcPr>
            <w:tcW w:w="2381" w:type="dxa"/>
            <w:tcBorders>
              <w:top w:val="nil"/>
              <w:left w:val="single" w:sz="4" w:space="0" w:color="auto"/>
              <w:bottom w:val="nil"/>
              <w:right w:val="nil"/>
            </w:tcBorders>
            <w:vAlign w:val="center"/>
          </w:tcPr>
          <w:p w14:paraId="37647257" w14:textId="081D57EA"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69%</w:t>
            </w:r>
          </w:p>
        </w:tc>
      </w:tr>
      <w:tr w:rsidR="00BE7C62" w:rsidRPr="004E74A6" w14:paraId="21DA9B48" w14:textId="611C0EAA" w:rsidTr="00101E63">
        <w:trPr>
          <w:trHeight w:val="276"/>
          <w:jc w:val="center"/>
        </w:trPr>
        <w:tc>
          <w:tcPr>
            <w:tcW w:w="2835" w:type="dxa"/>
            <w:tcBorders>
              <w:top w:val="nil"/>
              <w:left w:val="nil"/>
              <w:bottom w:val="nil"/>
              <w:right w:val="single" w:sz="4" w:space="0" w:color="000000"/>
            </w:tcBorders>
            <w:shd w:val="clear" w:color="auto" w:fill="auto"/>
            <w:noWrap/>
            <w:vAlign w:val="center"/>
            <w:hideMark/>
          </w:tcPr>
          <w:p w14:paraId="51F00D2A" w14:textId="77777777" w:rsidR="00BE7C62" w:rsidRPr="004E74A6" w:rsidRDefault="00BE7C62" w:rsidP="00832773">
            <w:pPr>
              <w:spacing w:line="276" w:lineRule="auto"/>
              <w:jc w:val="left"/>
              <w:rPr>
                <w:rFonts w:cs="Calibri"/>
                <w:color w:val="000000"/>
                <w:sz w:val="20"/>
                <w:lang w:eastAsia="es-CR"/>
              </w:rPr>
            </w:pPr>
            <w:r w:rsidRPr="004E74A6">
              <w:rPr>
                <w:rFonts w:cs="Calibri"/>
                <w:color w:val="000000"/>
                <w:sz w:val="20"/>
                <w:lang w:eastAsia="es-CR"/>
              </w:rPr>
              <w:t>De ¢90.000.001 a ¢95.000.000</w:t>
            </w:r>
          </w:p>
        </w:tc>
        <w:tc>
          <w:tcPr>
            <w:tcW w:w="850" w:type="dxa"/>
            <w:tcBorders>
              <w:top w:val="nil"/>
              <w:left w:val="nil"/>
              <w:bottom w:val="nil"/>
              <w:right w:val="single" w:sz="4" w:space="0" w:color="000000"/>
            </w:tcBorders>
            <w:shd w:val="clear" w:color="auto" w:fill="auto"/>
            <w:noWrap/>
            <w:vAlign w:val="center"/>
            <w:hideMark/>
          </w:tcPr>
          <w:p w14:paraId="0135E2F9" w14:textId="4073B0D6"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1</w:t>
            </w:r>
          </w:p>
        </w:tc>
        <w:tc>
          <w:tcPr>
            <w:tcW w:w="850" w:type="dxa"/>
            <w:tcBorders>
              <w:top w:val="nil"/>
              <w:left w:val="nil"/>
              <w:bottom w:val="nil"/>
              <w:right w:val="single" w:sz="4" w:space="0" w:color="000000"/>
            </w:tcBorders>
            <w:shd w:val="clear" w:color="auto" w:fill="auto"/>
            <w:noWrap/>
            <w:vAlign w:val="center"/>
            <w:hideMark/>
          </w:tcPr>
          <w:p w14:paraId="0B510E5A" w14:textId="76ABF0DD"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1</w:t>
            </w:r>
          </w:p>
        </w:tc>
        <w:tc>
          <w:tcPr>
            <w:tcW w:w="850" w:type="dxa"/>
            <w:tcBorders>
              <w:top w:val="nil"/>
              <w:left w:val="nil"/>
              <w:bottom w:val="nil"/>
              <w:right w:val="single" w:sz="4" w:space="0" w:color="000000"/>
            </w:tcBorders>
            <w:shd w:val="clear" w:color="auto" w:fill="auto"/>
            <w:noWrap/>
            <w:vAlign w:val="center"/>
            <w:hideMark/>
          </w:tcPr>
          <w:p w14:paraId="3FA04666" w14:textId="7C7BF182"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0</w:t>
            </w:r>
          </w:p>
        </w:tc>
        <w:tc>
          <w:tcPr>
            <w:tcW w:w="1134" w:type="dxa"/>
            <w:tcBorders>
              <w:top w:val="nil"/>
              <w:left w:val="nil"/>
              <w:bottom w:val="nil"/>
              <w:right w:val="single" w:sz="4" w:space="0" w:color="auto"/>
            </w:tcBorders>
            <w:shd w:val="clear" w:color="auto" w:fill="auto"/>
            <w:noWrap/>
            <w:vAlign w:val="center"/>
            <w:hideMark/>
          </w:tcPr>
          <w:p w14:paraId="02B982C6" w14:textId="52D6F366"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0,7</w:t>
            </w:r>
          </w:p>
        </w:tc>
        <w:tc>
          <w:tcPr>
            <w:tcW w:w="2381" w:type="dxa"/>
            <w:tcBorders>
              <w:top w:val="nil"/>
              <w:left w:val="single" w:sz="4" w:space="0" w:color="auto"/>
              <w:bottom w:val="nil"/>
              <w:right w:val="nil"/>
            </w:tcBorders>
            <w:vAlign w:val="center"/>
          </w:tcPr>
          <w:p w14:paraId="0C6B82B4" w14:textId="68C24F72"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70%</w:t>
            </w:r>
          </w:p>
        </w:tc>
      </w:tr>
      <w:tr w:rsidR="00BE7C62" w:rsidRPr="004E74A6" w14:paraId="21C46D6B" w14:textId="398D3286" w:rsidTr="00101E63">
        <w:trPr>
          <w:trHeight w:val="276"/>
          <w:jc w:val="center"/>
        </w:trPr>
        <w:tc>
          <w:tcPr>
            <w:tcW w:w="2835" w:type="dxa"/>
            <w:tcBorders>
              <w:top w:val="nil"/>
              <w:left w:val="nil"/>
              <w:bottom w:val="nil"/>
              <w:right w:val="single" w:sz="4" w:space="0" w:color="000000"/>
            </w:tcBorders>
            <w:shd w:val="clear" w:color="auto" w:fill="auto"/>
            <w:noWrap/>
            <w:vAlign w:val="center"/>
            <w:hideMark/>
          </w:tcPr>
          <w:p w14:paraId="5A83D939" w14:textId="77777777" w:rsidR="00BE7C62" w:rsidRPr="004E74A6" w:rsidRDefault="00BE7C62" w:rsidP="00832773">
            <w:pPr>
              <w:spacing w:line="276" w:lineRule="auto"/>
              <w:jc w:val="left"/>
              <w:rPr>
                <w:rFonts w:cs="Calibri"/>
                <w:color w:val="000000"/>
                <w:sz w:val="20"/>
                <w:lang w:eastAsia="es-CR"/>
              </w:rPr>
            </w:pPr>
            <w:r w:rsidRPr="004E74A6">
              <w:rPr>
                <w:rFonts w:cs="Calibri"/>
                <w:color w:val="000000"/>
                <w:sz w:val="20"/>
                <w:lang w:eastAsia="es-CR"/>
              </w:rPr>
              <w:t>De ¢95.000.001 a ¢100.000.000</w:t>
            </w:r>
          </w:p>
        </w:tc>
        <w:tc>
          <w:tcPr>
            <w:tcW w:w="850" w:type="dxa"/>
            <w:tcBorders>
              <w:top w:val="nil"/>
              <w:left w:val="nil"/>
              <w:bottom w:val="nil"/>
              <w:right w:val="single" w:sz="4" w:space="0" w:color="000000"/>
            </w:tcBorders>
            <w:shd w:val="clear" w:color="auto" w:fill="auto"/>
            <w:noWrap/>
            <w:vAlign w:val="center"/>
            <w:hideMark/>
          </w:tcPr>
          <w:p w14:paraId="0F3135CE" w14:textId="2A576B19"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4</w:t>
            </w:r>
          </w:p>
        </w:tc>
        <w:tc>
          <w:tcPr>
            <w:tcW w:w="850" w:type="dxa"/>
            <w:tcBorders>
              <w:top w:val="nil"/>
              <w:left w:val="nil"/>
              <w:bottom w:val="nil"/>
              <w:right w:val="single" w:sz="4" w:space="0" w:color="000000"/>
            </w:tcBorders>
            <w:shd w:val="clear" w:color="auto" w:fill="auto"/>
            <w:noWrap/>
            <w:vAlign w:val="center"/>
            <w:hideMark/>
          </w:tcPr>
          <w:p w14:paraId="6DE9C7FF" w14:textId="02896002"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2</w:t>
            </w:r>
          </w:p>
        </w:tc>
        <w:tc>
          <w:tcPr>
            <w:tcW w:w="850" w:type="dxa"/>
            <w:tcBorders>
              <w:top w:val="nil"/>
              <w:left w:val="nil"/>
              <w:bottom w:val="nil"/>
              <w:right w:val="single" w:sz="4" w:space="0" w:color="000000"/>
            </w:tcBorders>
            <w:shd w:val="clear" w:color="auto" w:fill="auto"/>
            <w:noWrap/>
            <w:vAlign w:val="center"/>
            <w:hideMark/>
          </w:tcPr>
          <w:p w14:paraId="3CAA6943" w14:textId="66228138"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3</w:t>
            </w:r>
          </w:p>
        </w:tc>
        <w:tc>
          <w:tcPr>
            <w:tcW w:w="1134" w:type="dxa"/>
            <w:tcBorders>
              <w:top w:val="nil"/>
              <w:left w:val="nil"/>
              <w:bottom w:val="nil"/>
              <w:right w:val="single" w:sz="4" w:space="0" w:color="auto"/>
            </w:tcBorders>
            <w:shd w:val="clear" w:color="auto" w:fill="auto"/>
            <w:noWrap/>
            <w:vAlign w:val="center"/>
            <w:hideMark/>
          </w:tcPr>
          <w:p w14:paraId="70951145" w14:textId="04F44D7D"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3,0</w:t>
            </w:r>
          </w:p>
        </w:tc>
        <w:tc>
          <w:tcPr>
            <w:tcW w:w="2381" w:type="dxa"/>
            <w:tcBorders>
              <w:top w:val="nil"/>
              <w:left w:val="single" w:sz="4" w:space="0" w:color="auto"/>
              <w:bottom w:val="nil"/>
              <w:right w:val="nil"/>
            </w:tcBorders>
            <w:vAlign w:val="center"/>
          </w:tcPr>
          <w:p w14:paraId="78D80F39" w14:textId="016EC566"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72%</w:t>
            </w:r>
          </w:p>
        </w:tc>
      </w:tr>
      <w:tr w:rsidR="00BE7C62" w:rsidRPr="004E74A6" w14:paraId="446899B0" w14:textId="5E3B84CB" w:rsidTr="00101E63">
        <w:trPr>
          <w:trHeight w:val="276"/>
          <w:jc w:val="center"/>
        </w:trPr>
        <w:tc>
          <w:tcPr>
            <w:tcW w:w="2835" w:type="dxa"/>
            <w:tcBorders>
              <w:top w:val="nil"/>
              <w:left w:val="nil"/>
              <w:bottom w:val="nil"/>
              <w:right w:val="single" w:sz="4" w:space="0" w:color="000000"/>
            </w:tcBorders>
            <w:shd w:val="clear" w:color="auto" w:fill="auto"/>
            <w:noWrap/>
            <w:vAlign w:val="center"/>
            <w:hideMark/>
          </w:tcPr>
          <w:p w14:paraId="07A66456" w14:textId="77777777" w:rsidR="00BE7C62" w:rsidRPr="004E74A6" w:rsidRDefault="00BE7C62" w:rsidP="00832773">
            <w:pPr>
              <w:spacing w:line="276" w:lineRule="auto"/>
              <w:jc w:val="left"/>
              <w:rPr>
                <w:rFonts w:cs="Calibri"/>
                <w:color w:val="000000"/>
                <w:sz w:val="20"/>
                <w:lang w:eastAsia="es-CR"/>
              </w:rPr>
            </w:pPr>
            <w:r w:rsidRPr="004E74A6">
              <w:rPr>
                <w:rFonts w:cs="Calibri"/>
                <w:color w:val="000000"/>
                <w:sz w:val="20"/>
                <w:lang w:eastAsia="es-CR"/>
              </w:rPr>
              <w:t>Más de ¢100.000.000</w:t>
            </w:r>
          </w:p>
        </w:tc>
        <w:tc>
          <w:tcPr>
            <w:tcW w:w="850" w:type="dxa"/>
            <w:tcBorders>
              <w:top w:val="nil"/>
              <w:left w:val="nil"/>
              <w:bottom w:val="nil"/>
              <w:right w:val="single" w:sz="4" w:space="0" w:color="000000"/>
            </w:tcBorders>
            <w:shd w:val="clear" w:color="auto" w:fill="auto"/>
            <w:noWrap/>
            <w:vAlign w:val="center"/>
            <w:hideMark/>
          </w:tcPr>
          <w:p w14:paraId="1563EF24" w14:textId="52BCCAF7"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17</w:t>
            </w:r>
          </w:p>
        </w:tc>
        <w:tc>
          <w:tcPr>
            <w:tcW w:w="850" w:type="dxa"/>
            <w:tcBorders>
              <w:top w:val="nil"/>
              <w:left w:val="nil"/>
              <w:bottom w:val="nil"/>
              <w:right w:val="single" w:sz="4" w:space="0" w:color="000000"/>
            </w:tcBorders>
            <w:shd w:val="clear" w:color="auto" w:fill="auto"/>
            <w:noWrap/>
            <w:vAlign w:val="center"/>
            <w:hideMark/>
          </w:tcPr>
          <w:p w14:paraId="35D9FEE3" w14:textId="714ACB9F"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23</w:t>
            </w:r>
          </w:p>
        </w:tc>
        <w:tc>
          <w:tcPr>
            <w:tcW w:w="850" w:type="dxa"/>
            <w:tcBorders>
              <w:top w:val="nil"/>
              <w:left w:val="nil"/>
              <w:bottom w:val="nil"/>
              <w:right w:val="single" w:sz="4" w:space="0" w:color="000000"/>
            </w:tcBorders>
            <w:shd w:val="clear" w:color="auto" w:fill="auto"/>
            <w:noWrap/>
            <w:vAlign w:val="center"/>
            <w:hideMark/>
          </w:tcPr>
          <w:p w14:paraId="071416E5" w14:textId="0D3DF959"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19</w:t>
            </w:r>
          </w:p>
        </w:tc>
        <w:tc>
          <w:tcPr>
            <w:tcW w:w="1134" w:type="dxa"/>
            <w:tcBorders>
              <w:top w:val="nil"/>
              <w:left w:val="nil"/>
              <w:bottom w:val="nil"/>
              <w:right w:val="single" w:sz="4" w:space="0" w:color="auto"/>
            </w:tcBorders>
            <w:shd w:val="clear" w:color="auto" w:fill="auto"/>
            <w:noWrap/>
            <w:vAlign w:val="center"/>
            <w:hideMark/>
          </w:tcPr>
          <w:p w14:paraId="28BF0D29" w14:textId="3C77D3C3"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19,7</w:t>
            </w:r>
          </w:p>
        </w:tc>
        <w:tc>
          <w:tcPr>
            <w:tcW w:w="2381" w:type="dxa"/>
            <w:tcBorders>
              <w:top w:val="nil"/>
              <w:left w:val="single" w:sz="4" w:space="0" w:color="auto"/>
              <w:bottom w:val="nil"/>
              <w:right w:val="nil"/>
            </w:tcBorders>
            <w:vAlign w:val="center"/>
          </w:tcPr>
          <w:p w14:paraId="2C62584F" w14:textId="11978CA2" w:rsidR="00BE7C62" w:rsidRPr="004E74A6" w:rsidRDefault="00BE7C62" w:rsidP="00832773">
            <w:pPr>
              <w:spacing w:line="276" w:lineRule="auto"/>
              <w:jc w:val="center"/>
              <w:rPr>
                <w:rFonts w:cs="Calibri"/>
                <w:color w:val="000000"/>
                <w:sz w:val="20"/>
                <w:lang w:eastAsia="es-CR"/>
              </w:rPr>
            </w:pPr>
            <w:r w:rsidRPr="004E74A6">
              <w:rPr>
                <w:rFonts w:cs="Calibri"/>
                <w:color w:val="000000"/>
                <w:sz w:val="20"/>
              </w:rPr>
              <w:t>86%</w:t>
            </w:r>
          </w:p>
        </w:tc>
      </w:tr>
      <w:tr w:rsidR="00BE7C62" w:rsidRPr="004E74A6" w14:paraId="6880BBAA" w14:textId="37EFFEAA" w:rsidTr="00101E63">
        <w:trPr>
          <w:trHeight w:val="276"/>
          <w:jc w:val="center"/>
        </w:trPr>
        <w:tc>
          <w:tcPr>
            <w:tcW w:w="2835" w:type="dxa"/>
            <w:tcBorders>
              <w:top w:val="nil"/>
              <w:left w:val="nil"/>
              <w:bottom w:val="nil"/>
              <w:right w:val="single" w:sz="4" w:space="0" w:color="000000"/>
            </w:tcBorders>
            <w:shd w:val="clear" w:color="auto" w:fill="auto"/>
            <w:noWrap/>
            <w:vAlign w:val="center"/>
            <w:hideMark/>
          </w:tcPr>
          <w:p w14:paraId="7BDCCCD3" w14:textId="77777777" w:rsidR="00BE7C62" w:rsidRPr="004E74A6" w:rsidRDefault="00BE7C62" w:rsidP="00832773">
            <w:pPr>
              <w:spacing w:line="276" w:lineRule="auto"/>
              <w:jc w:val="left"/>
              <w:rPr>
                <w:rFonts w:cs="Calibri"/>
                <w:color w:val="ED7D31" w:themeColor="accent2"/>
                <w:sz w:val="20"/>
                <w:lang w:eastAsia="es-CR"/>
              </w:rPr>
            </w:pPr>
            <w:r w:rsidRPr="004E74A6">
              <w:rPr>
                <w:rFonts w:cs="Calibri"/>
                <w:color w:val="ED7D31" w:themeColor="accent2"/>
                <w:sz w:val="20"/>
                <w:lang w:eastAsia="es-CR"/>
              </w:rPr>
              <w:t>Expedientes Cuantía Cero</w:t>
            </w:r>
          </w:p>
        </w:tc>
        <w:tc>
          <w:tcPr>
            <w:tcW w:w="850" w:type="dxa"/>
            <w:tcBorders>
              <w:top w:val="nil"/>
              <w:left w:val="nil"/>
              <w:bottom w:val="nil"/>
              <w:right w:val="single" w:sz="4" w:space="0" w:color="000000"/>
            </w:tcBorders>
            <w:shd w:val="clear" w:color="auto" w:fill="auto"/>
            <w:noWrap/>
            <w:vAlign w:val="center"/>
            <w:hideMark/>
          </w:tcPr>
          <w:p w14:paraId="60AABD53" w14:textId="77777777" w:rsidR="00BE7C62" w:rsidRPr="004E74A6" w:rsidRDefault="00BE7C62" w:rsidP="00832773">
            <w:pPr>
              <w:spacing w:line="276" w:lineRule="auto"/>
              <w:jc w:val="center"/>
              <w:rPr>
                <w:rFonts w:cs="Calibri"/>
                <w:color w:val="ED7D31" w:themeColor="accent2"/>
                <w:sz w:val="20"/>
                <w:lang w:eastAsia="es-CR"/>
              </w:rPr>
            </w:pPr>
            <w:r w:rsidRPr="004E74A6">
              <w:rPr>
                <w:rFonts w:cs="Calibri"/>
                <w:color w:val="ED7D31" w:themeColor="accent2"/>
                <w:sz w:val="20"/>
                <w:lang w:eastAsia="es-CR"/>
              </w:rPr>
              <w:t>22</w:t>
            </w:r>
          </w:p>
        </w:tc>
        <w:tc>
          <w:tcPr>
            <w:tcW w:w="850" w:type="dxa"/>
            <w:tcBorders>
              <w:top w:val="nil"/>
              <w:left w:val="nil"/>
              <w:bottom w:val="nil"/>
              <w:right w:val="single" w:sz="4" w:space="0" w:color="000000"/>
            </w:tcBorders>
            <w:shd w:val="clear" w:color="auto" w:fill="auto"/>
            <w:noWrap/>
            <w:vAlign w:val="center"/>
            <w:hideMark/>
          </w:tcPr>
          <w:p w14:paraId="112E10F7" w14:textId="77777777" w:rsidR="00BE7C62" w:rsidRPr="004E74A6" w:rsidRDefault="00BE7C62" w:rsidP="00832773">
            <w:pPr>
              <w:spacing w:line="276" w:lineRule="auto"/>
              <w:jc w:val="center"/>
              <w:rPr>
                <w:rFonts w:cs="Calibri"/>
                <w:color w:val="ED7D31" w:themeColor="accent2"/>
                <w:sz w:val="20"/>
                <w:lang w:eastAsia="es-CR"/>
              </w:rPr>
            </w:pPr>
            <w:r w:rsidRPr="004E74A6">
              <w:rPr>
                <w:rFonts w:cs="Calibri"/>
                <w:color w:val="ED7D31" w:themeColor="accent2"/>
                <w:sz w:val="20"/>
                <w:lang w:eastAsia="es-CR"/>
              </w:rPr>
              <w:t>36</w:t>
            </w:r>
          </w:p>
        </w:tc>
        <w:tc>
          <w:tcPr>
            <w:tcW w:w="850" w:type="dxa"/>
            <w:tcBorders>
              <w:top w:val="nil"/>
              <w:left w:val="nil"/>
              <w:bottom w:val="nil"/>
              <w:right w:val="single" w:sz="4" w:space="0" w:color="000000"/>
            </w:tcBorders>
            <w:shd w:val="clear" w:color="auto" w:fill="auto"/>
            <w:noWrap/>
            <w:vAlign w:val="center"/>
            <w:hideMark/>
          </w:tcPr>
          <w:p w14:paraId="2F4D9837" w14:textId="77777777" w:rsidR="00BE7C62" w:rsidRPr="004E74A6" w:rsidRDefault="00BE7C62" w:rsidP="00832773">
            <w:pPr>
              <w:spacing w:line="276" w:lineRule="auto"/>
              <w:jc w:val="center"/>
              <w:rPr>
                <w:rFonts w:cs="Calibri"/>
                <w:color w:val="ED7D31" w:themeColor="accent2"/>
                <w:sz w:val="20"/>
                <w:lang w:eastAsia="es-CR"/>
              </w:rPr>
            </w:pPr>
            <w:r w:rsidRPr="004E74A6">
              <w:rPr>
                <w:rFonts w:cs="Calibri"/>
                <w:color w:val="ED7D31" w:themeColor="accent2"/>
                <w:sz w:val="20"/>
                <w:lang w:eastAsia="es-CR"/>
              </w:rPr>
              <w:t>1</w:t>
            </w:r>
          </w:p>
        </w:tc>
        <w:tc>
          <w:tcPr>
            <w:tcW w:w="1134" w:type="dxa"/>
            <w:tcBorders>
              <w:top w:val="nil"/>
              <w:left w:val="nil"/>
              <w:bottom w:val="nil"/>
              <w:right w:val="single" w:sz="4" w:space="0" w:color="auto"/>
            </w:tcBorders>
            <w:shd w:val="clear" w:color="auto" w:fill="auto"/>
            <w:noWrap/>
            <w:vAlign w:val="center"/>
            <w:hideMark/>
          </w:tcPr>
          <w:p w14:paraId="4ED55091" w14:textId="77777777" w:rsidR="00BE7C62" w:rsidRPr="004E74A6" w:rsidRDefault="00BE7C62" w:rsidP="00832773">
            <w:pPr>
              <w:spacing w:line="276" w:lineRule="auto"/>
              <w:jc w:val="center"/>
              <w:rPr>
                <w:rFonts w:cs="Calibri"/>
                <w:color w:val="ED7D31" w:themeColor="accent2"/>
                <w:sz w:val="20"/>
                <w:lang w:eastAsia="es-CR"/>
              </w:rPr>
            </w:pPr>
            <w:r w:rsidRPr="004E74A6">
              <w:rPr>
                <w:rFonts w:cs="Calibri"/>
                <w:color w:val="ED7D31" w:themeColor="accent2"/>
                <w:sz w:val="20"/>
                <w:lang w:eastAsia="es-CR"/>
              </w:rPr>
              <w:t>19</w:t>
            </w:r>
          </w:p>
        </w:tc>
        <w:tc>
          <w:tcPr>
            <w:tcW w:w="2381" w:type="dxa"/>
            <w:tcBorders>
              <w:top w:val="nil"/>
              <w:left w:val="single" w:sz="4" w:space="0" w:color="auto"/>
              <w:bottom w:val="nil"/>
              <w:right w:val="nil"/>
            </w:tcBorders>
            <w:vAlign w:val="center"/>
          </w:tcPr>
          <w:p w14:paraId="0D099973" w14:textId="7DFAEDA1" w:rsidR="00BE7C62" w:rsidRPr="004E74A6" w:rsidRDefault="00BE7C62" w:rsidP="00832773">
            <w:pPr>
              <w:spacing w:line="276" w:lineRule="auto"/>
              <w:jc w:val="center"/>
              <w:rPr>
                <w:rFonts w:cs="Calibri"/>
                <w:color w:val="ED7D31" w:themeColor="accent2"/>
                <w:sz w:val="20"/>
                <w:lang w:eastAsia="es-CR"/>
              </w:rPr>
            </w:pPr>
            <w:r w:rsidRPr="004E74A6">
              <w:rPr>
                <w:rFonts w:cs="Calibri"/>
                <w:color w:val="ED7D31" w:themeColor="accent2"/>
                <w:sz w:val="20"/>
              </w:rPr>
              <w:t>100%</w:t>
            </w:r>
          </w:p>
        </w:tc>
      </w:tr>
      <w:tr w:rsidR="00BE7C62" w:rsidRPr="004E74A6" w14:paraId="1EAE48DE" w14:textId="55DF232F" w:rsidTr="00101E63">
        <w:trPr>
          <w:trHeight w:val="276"/>
          <w:jc w:val="center"/>
        </w:trPr>
        <w:tc>
          <w:tcPr>
            <w:tcW w:w="2835" w:type="dxa"/>
            <w:tcBorders>
              <w:top w:val="nil"/>
              <w:left w:val="nil"/>
              <w:bottom w:val="single" w:sz="4" w:space="0" w:color="000000"/>
              <w:right w:val="single" w:sz="4" w:space="0" w:color="000000"/>
            </w:tcBorders>
            <w:shd w:val="clear" w:color="auto" w:fill="auto"/>
            <w:noWrap/>
            <w:vAlign w:val="center"/>
            <w:hideMark/>
          </w:tcPr>
          <w:p w14:paraId="2DAC65AA" w14:textId="77777777" w:rsidR="00BE7C62" w:rsidRPr="004E74A6" w:rsidRDefault="00BE7C62" w:rsidP="00832773">
            <w:pPr>
              <w:spacing w:line="276" w:lineRule="auto"/>
              <w:jc w:val="left"/>
              <w:rPr>
                <w:rFonts w:cs="Calibri"/>
                <w:color w:val="000000"/>
                <w:sz w:val="20"/>
                <w:lang w:eastAsia="es-CR"/>
              </w:rPr>
            </w:pPr>
            <w:r w:rsidRPr="004E74A6">
              <w:rPr>
                <w:rFonts w:cs="Calibri"/>
                <w:color w:val="000000"/>
                <w:sz w:val="20"/>
                <w:lang w:eastAsia="es-CR"/>
              </w:rPr>
              <w:t> </w:t>
            </w:r>
          </w:p>
        </w:tc>
        <w:tc>
          <w:tcPr>
            <w:tcW w:w="850" w:type="dxa"/>
            <w:tcBorders>
              <w:top w:val="nil"/>
              <w:left w:val="nil"/>
              <w:bottom w:val="single" w:sz="4" w:space="0" w:color="000000"/>
              <w:right w:val="single" w:sz="4" w:space="0" w:color="000000"/>
            </w:tcBorders>
            <w:shd w:val="clear" w:color="auto" w:fill="auto"/>
            <w:noWrap/>
            <w:vAlign w:val="center"/>
            <w:hideMark/>
          </w:tcPr>
          <w:p w14:paraId="49C4FCBB" w14:textId="77777777" w:rsidR="00BE7C62" w:rsidRPr="004E74A6" w:rsidRDefault="00BE7C62" w:rsidP="00832773">
            <w:pPr>
              <w:spacing w:line="276" w:lineRule="auto"/>
              <w:jc w:val="left"/>
              <w:rPr>
                <w:rFonts w:cs="Calibri"/>
                <w:color w:val="000000"/>
                <w:sz w:val="20"/>
                <w:lang w:eastAsia="es-CR"/>
              </w:rPr>
            </w:pPr>
            <w:r w:rsidRPr="004E74A6">
              <w:rPr>
                <w:rFonts w:cs="Calibri"/>
                <w:color w:val="000000"/>
                <w:sz w:val="20"/>
                <w:lang w:eastAsia="es-CR"/>
              </w:rPr>
              <w:t> </w:t>
            </w:r>
          </w:p>
        </w:tc>
        <w:tc>
          <w:tcPr>
            <w:tcW w:w="850" w:type="dxa"/>
            <w:tcBorders>
              <w:top w:val="nil"/>
              <w:left w:val="nil"/>
              <w:bottom w:val="single" w:sz="4" w:space="0" w:color="000000"/>
              <w:right w:val="single" w:sz="4" w:space="0" w:color="000000"/>
            </w:tcBorders>
            <w:shd w:val="clear" w:color="auto" w:fill="auto"/>
            <w:noWrap/>
            <w:vAlign w:val="center"/>
            <w:hideMark/>
          </w:tcPr>
          <w:p w14:paraId="252060D6" w14:textId="77777777" w:rsidR="00BE7C62" w:rsidRPr="004E74A6" w:rsidRDefault="00BE7C62" w:rsidP="00832773">
            <w:pPr>
              <w:spacing w:line="276" w:lineRule="auto"/>
              <w:jc w:val="left"/>
              <w:rPr>
                <w:rFonts w:cs="Calibri"/>
                <w:color w:val="000000"/>
                <w:sz w:val="20"/>
                <w:lang w:eastAsia="es-CR"/>
              </w:rPr>
            </w:pPr>
            <w:r w:rsidRPr="004E74A6">
              <w:rPr>
                <w:rFonts w:cs="Calibri"/>
                <w:color w:val="000000"/>
                <w:sz w:val="20"/>
                <w:lang w:eastAsia="es-CR"/>
              </w:rPr>
              <w:t> </w:t>
            </w:r>
          </w:p>
        </w:tc>
        <w:tc>
          <w:tcPr>
            <w:tcW w:w="850" w:type="dxa"/>
            <w:tcBorders>
              <w:top w:val="nil"/>
              <w:left w:val="nil"/>
              <w:bottom w:val="single" w:sz="4" w:space="0" w:color="000000"/>
              <w:right w:val="single" w:sz="4" w:space="0" w:color="000000"/>
            </w:tcBorders>
            <w:shd w:val="clear" w:color="auto" w:fill="auto"/>
            <w:noWrap/>
            <w:vAlign w:val="center"/>
            <w:hideMark/>
          </w:tcPr>
          <w:p w14:paraId="662FAF7B" w14:textId="77777777" w:rsidR="00BE7C62" w:rsidRPr="004E74A6" w:rsidRDefault="00BE7C62" w:rsidP="00832773">
            <w:pPr>
              <w:spacing w:line="276" w:lineRule="auto"/>
              <w:jc w:val="left"/>
              <w:rPr>
                <w:rFonts w:cs="Calibri"/>
                <w:color w:val="000000"/>
                <w:sz w:val="20"/>
                <w:lang w:eastAsia="es-CR"/>
              </w:rPr>
            </w:pPr>
            <w:r w:rsidRPr="004E74A6">
              <w:rPr>
                <w:rFonts w:cs="Calibri"/>
                <w:color w:val="000000"/>
                <w:sz w:val="20"/>
                <w:lang w:eastAsia="es-CR"/>
              </w:rPr>
              <w:t> </w:t>
            </w:r>
          </w:p>
        </w:tc>
        <w:tc>
          <w:tcPr>
            <w:tcW w:w="1134" w:type="dxa"/>
            <w:tcBorders>
              <w:top w:val="nil"/>
              <w:left w:val="nil"/>
              <w:bottom w:val="single" w:sz="4" w:space="0" w:color="000000"/>
              <w:right w:val="single" w:sz="4" w:space="0" w:color="auto"/>
            </w:tcBorders>
            <w:shd w:val="clear" w:color="auto" w:fill="auto"/>
            <w:noWrap/>
            <w:vAlign w:val="center"/>
            <w:hideMark/>
          </w:tcPr>
          <w:p w14:paraId="4E6BF54C" w14:textId="77777777" w:rsidR="00BE7C62" w:rsidRPr="004E74A6" w:rsidRDefault="00BE7C62" w:rsidP="00832773">
            <w:pPr>
              <w:spacing w:line="276" w:lineRule="auto"/>
              <w:jc w:val="left"/>
              <w:rPr>
                <w:rFonts w:cs="Calibri"/>
                <w:color w:val="000000"/>
                <w:sz w:val="20"/>
                <w:lang w:eastAsia="es-CR"/>
              </w:rPr>
            </w:pPr>
            <w:r w:rsidRPr="004E74A6">
              <w:rPr>
                <w:rFonts w:cs="Calibri"/>
                <w:color w:val="000000"/>
                <w:sz w:val="20"/>
                <w:lang w:eastAsia="es-CR"/>
              </w:rPr>
              <w:t> </w:t>
            </w:r>
          </w:p>
        </w:tc>
        <w:tc>
          <w:tcPr>
            <w:tcW w:w="2381" w:type="dxa"/>
            <w:tcBorders>
              <w:top w:val="nil"/>
              <w:left w:val="single" w:sz="4" w:space="0" w:color="auto"/>
              <w:bottom w:val="single" w:sz="4" w:space="0" w:color="000000"/>
              <w:right w:val="nil"/>
            </w:tcBorders>
          </w:tcPr>
          <w:p w14:paraId="6C5594DE" w14:textId="77777777" w:rsidR="00BE7C62" w:rsidRPr="004E74A6" w:rsidRDefault="00BE7C62" w:rsidP="00832773">
            <w:pPr>
              <w:spacing w:line="276" w:lineRule="auto"/>
              <w:jc w:val="left"/>
              <w:rPr>
                <w:rFonts w:cs="Calibri"/>
                <w:color w:val="000000"/>
                <w:sz w:val="20"/>
                <w:lang w:eastAsia="es-CR"/>
              </w:rPr>
            </w:pPr>
          </w:p>
        </w:tc>
      </w:tr>
    </w:tbl>
    <w:p w14:paraId="70971CF8" w14:textId="3B138575" w:rsidR="003E4755" w:rsidRPr="004E74A6" w:rsidRDefault="003E4755" w:rsidP="00832773">
      <w:pPr>
        <w:spacing w:line="276" w:lineRule="auto"/>
        <w:ind w:left="57" w:right="57"/>
        <w:rPr>
          <w:rFonts w:cs="Calibri"/>
          <w:i/>
          <w:iCs/>
          <w:color w:val="000000"/>
          <w:sz w:val="20"/>
          <w:lang w:eastAsia="es-CR"/>
        </w:rPr>
      </w:pPr>
      <w:r w:rsidRPr="004E74A6">
        <w:rPr>
          <w:rFonts w:cs="Calibri"/>
          <w:b/>
          <w:bCs/>
          <w:i/>
          <w:iCs/>
          <w:color w:val="000000"/>
          <w:sz w:val="20"/>
          <w:lang w:eastAsia="es-CR"/>
        </w:rPr>
        <w:t>Fuente</w:t>
      </w:r>
      <w:r w:rsidRPr="004E74A6">
        <w:rPr>
          <w:rFonts w:cs="Calibri"/>
          <w:i/>
          <w:iCs/>
          <w:color w:val="000000"/>
          <w:sz w:val="20"/>
          <w:lang w:eastAsia="es-CR"/>
        </w:rPr>
        <w:t>: Subproceso de Modernización Institucional con datos extraídos del sistema SIGMA, Dirección de Planificación.</w:t>
      </w:r>
    </w:p>
    <w:p w14:paraId="3944470C" w14:textId="77777777" w:rsidR="008647ED" w:rsidRPr="004E74A6" w:rsidRDefault="008647ED" w:rsidP="00CE62C1">
      <w:pPr>
        <w:spacing w:after="160" w:line="276" w:lineRule="auto"/>
        <w:rPr>
          <w:rFonts w:cs="Calibri"/>
          <w:color w:val="000000"/>
          <w:szCs w:val="24"/>
          <w:lang w:eastAsia="es-CR"/>
        </w:rPr>
      </w:pPr>
    </w:p>
    <w:p w14:paraId="717E157C" w14:textId="77777777" w:rsidR="00B86E99" w:rsidRPr="004E74A6" w:rsidRDefault="00B86E99" w:rsidP="00CE62C1">
      <w:pPr>
        <w:spacing w:after="160" w:line="276" w:lineRule="auto"/>
        <w:rPr>
          <w:rFonts w:cs="Calibri"/>
          <w:color w:val="000000"/>
          <w:szCs w:val="24"/>
          <w:lang w:eastAsia="es-CR"/>
        </w:rPr>
      </w:pPr>
      <w:r w:rsidRPr="004E74A6">
        <w:rPr>
          <w:rFonts w:cs="Calibri"/>
          <w:color w:val="000000"/>
          <w:szCs w:val="24"/>
          <w:lang w:eastAsia="es-CR"/>
        </w:rPr>
        <w:t xml:space="preserve">Para el 2019 se reportaron 22 asuntos con el rango de cuantía </w:t>
      </w:r>
      <w:r w:rsidRPr="004E74A6">
        <w:rPr>
          <w:rFonts w:cs="Calibri"/>
          <w:i/>
          <w:iCs/>
          <w:color w:val="000000"/>
          <w:szCs w:val="24"/>
          <w:lang w:eastAsia="es-CR"/>
        </w:rPr>
        <w:t>“expedientes cuantía cero”</w:t>
      </w:r>
      <w:r w:rsidRPr="004E74A6">
        <w:rPr>
          <w:rFonts w:cs="Calibri"/>
          <w:color w:val="000000"/>
          <w:szCs w:val="24"/>
          <w:lang w:eastAsia="es-CR"/>
        </w:rPr>
        <w:t>, 36 en 2020 y 1 en 2021, eso sucedió porque el Tribunal indicó que el proceso era estimable pero no completó la opción de rango.</w:t>
      </w:r>
    </w:p>
    <w:p w14:paraId="7CF5B3C6" w14:textId="77777777" w:rsidR="00D7467E" w:rsidRPr="004E74A6" w:rsidRDefault="00C35CA7" w:rsidP="00CE62C1">
      <w:pPr>
        <w:spacing w:after="160" w:line="276" w:lineRule="auto"/>
        <w:rPr>
          <w:rFonts w:cs="Calibri"/>
          <w:color w:val="000000"/>
          <w:szCs w:val="24"/>
          <w:lang w:eastAsia="es-CR"/>
        </w:rPr>
      </w:pPr>
      <w:r w:rsidRPr="004E74A6">
        <w:rPr>
          <w:rFonts w:cs="Calibri"/>
          <w:color w:val="000000"/>
          <w:szCs w:val="24"/>
          <w:lang w:eastAsia="es-CR"/>
        </w:rPr>
        <w:t>De elevarse cuantía según escenario A.1 este Tribunal perdería un 4</w:t>
      </w:r>
      <w:r w:rsidR="00B86E99" w:rsidRPr="004E74A6">
        <w:rPr>
          <w:rFonts w:cs="Calibri"/>
          <w:color w:val="000000"/>
          <w:szCs w:val="24"/>
          <w:lang w:eastAsia="es-CR"/>
        </w:rPr>
        <w:t>4</w:t>
      </w:r>
      <w:r w:rsidRPr="004E74A6">
        <w:rPr>
          <w:rFonts w:cs="Calibri"/>
          <w:color w:val="000000"/>
          <w:szCs w:val="24"/>
          <w:lang w:eastAsia="es-CR"/>
        </w:rPr>
        <w:t xml:space="preserve">% </w:t>
      </w:r>
      <w:r w:rsidR="00D7467E" w:rsidRPr="004E74A6">
        <w:rPr>
          <w:rFonts w:cs="Calibri"/>
          <w:color w:val="000000"/>
          <w:szCs w:val="24"/>
          <w:lang w:eastAsia="es-CR"/>
        </w:rPr>
        <w:t xml:space="preserve">de su entrada actual de asuntos ordinarios estimables que se trasladarían a conocimiento de los Juzgados Civiles y por ende </w:t>
      </w:r>
      <w:r w:rsidR="00D7467E" w:rsidRPr="004E74A6">
        <w:rPr>
          <w:rFonts w:cs="Calibri"/>
          <w:b/>
          <w:bCs/>
          <w:color w:val="000000"/>
          <w:szCs w:val="24"/>
          <w:lang w:eastAsia="es-CR"/>
        </w:rPr>
        <w:t xml:space="preserve">las apelaciones de sentencia </w:t>
      </w:r>
      <w:r w:rsidR="00D7467E" w:rsidRPr="004E74A6">
        <w:rPr>
          <w:rFonts w:cs="Calibri"/>
          <w:color w:val="000000"/>
          <w:szCs w:val="24"/>
          <w:lang w:eastAsia="es-CR"/>
        </w:rPr>
        <w:t xml:space="preserve">en esos procesos se conocerían en los Tribunales de Apelación. </w:t>
      </w:r>
    </w:p>
    <w:p w14:paraId="78FEBBE5" w14:textId="4FAEDB95" w:rsidR="00D7467E" w:rsidRPr="004E74A6" w:rsidRDefault="00D7467E" w:rsidP="00CE62C1">
      <w:pPr>
        <w:spacing w:after="160" w:line="276" w:lineRule="auto"/>
        <w:rPr>
          <w:rFonts w:cs="Calibri"/>
          <w:color w:val="000000"/>
          <w:szCs w:val="24"/>
          <w:lang w:eastAsia="es-CR"/>
        </w:rPr>
      </w:pPr>
      <w:r w:rsidRPr="004E74A6">
        <w:rPr>
          <w:rFonts w:cs="Calibri"/>
          <w:color w:val="000000"/>
          <w:szCs w:val="24"/>
          <w:lang w:eastAsia="es-CR"/>
        </w:rPr>
        <w:t xml:space="preserve">De elevarse cuantía según escenario A.2, no se modificaría la entrada de ordinarios, sino que el efecto sería en el recurso del que dispondrían las sentencias en los ordinarios estimados hasta en 20 millones de colones, </w:t>
      </w:r>
      <w:r w:rsidR="00553F9F" w:rsidRPr="004E74A6">
        <w:rPr>
          <w:rFonts w:cs="Calibri"/>
          <w:color w:val="000000"/>
          <w:szCs w:val="24"/>
          <w:lang w:eastAsia="es-CR"/>
        </w:rPr>
        <w:t>que,</w:t>
      </w:r>
      <w:r w:rsidRPr="004E74A6">
        <w:rPr>
          <w:rFonts w:cs="Calibri"/>
          <w:color w:val="000000"/>
          <w:szCs w:val="24"/>
          <w:lang w:eastAsia="es-CR"/>
        </w:rPr>
        <w:t xml:space="preserve"> pese a que se mantendrían en trámite en estos tribunales de primera instancia, dejarían de disponer recurso de casación ante la Sala Primera y pasarían a disponer únicamente de recurso de apelación ante el Tribunal de Apelación en Segunda Instancia.</w:t>
      </w:r>
    </w:p>
    <w:p w14:paraId="1CADE661" w14:textId="5DCFDCD8" w:rsidR="00F0204A" w:rsidRPr="004E74A6" w:rsidRDefault="00F0204A">
      <w:pPr>
        <w:spacing w:after="160" w:line="276" w:lineRule="auto"/>
        <w:rPr>
          <w:rFonts w:cs="Calibri"/>
          <w:color w:val="000000"/>
          <w:szCs w:val="24"/>
          <w:lang w:eastAsia="es-CR"/>
        </w:rPr>
      </w:pPr>
    </w:p>
    <w:p w14:paraId="0A5844AE" w14:textId="2983BF59" w:rsidR="00F0204A" w:rsidRPr="004E74A6" w:rsidRDefault="00F0204A">
      <w:pPr>
        <w:spacing w:after="160" w:line="276" w:lineRule="auto"/>
        <w:rPr>
          <w:rFonts w:cs="Calibri"/>
          <w:color w:val="000000"/>
          <w:szCs w:val="24"/>
          <w:lang w:eastAsia="es-CR"/>
        </w:rPr>
      </w:pPr>
    </w:p>
    <w:p w14:paraId="3E5092CC" w14:textId="060566E3" w:rsidR="00F0204A" w:rsidRPr="004E74A6" w:rsidRDefault="00F0204A">
      <w:pPr>
        <w:spacing w:after="160" w:line="276" w:lineRule="auto"/>
        <w:rPr>
          <w:rFonts w:cs="Calibri"/>
          <w:color w:val="000000"/>
          <w:szCs w:val="24"/>
          <w:lang w:eastAsia="es-CR"/>
        </w:rPr>
      </w:pPr>
    </w:p>
    <w:p w14:paraId="054DAFCA" w14:textId="77777777" w:rsidR="008647ED" w:rsidRPr="004E74A6" w:rsidRDefault="008647ED" w:rsidP="00CE62C1">
      <w:pPr>
        <w:numPr>
          <w:ilvl w:val="2"/>
          <w:numId w:val="21"/>
        </w:numPr>
        <w:spacing w:after="160" w:line="276" w:lineRule="auto"/>
        <w:ind w:left="1225" w:hanging="505"/>
        <w:outlineLvl w:val="5"/>
        <w:rPr>
          <w:rFonts w:cs="Calibri"/>
          <w:color w:val="000000"/>
          <w:szCs w:val="24"/>
          <w:lang w:eastAsia="es-CR"/>
        </w:rPr>
      </w:pPr>
      <w:r w:rsidRPr="004E74A6">
        <w:rPr>
          <w:rFonts w:cs="Calibri"/>
          <w:color w:val="000000"/>
          <w:szCs w:val="24"/>
          <w:lang w:eastAsia="es-CR"/>
        </w:rPr>
        <w:lastRenderedPageBreak/>
        <w:t>Tribunal Colegiado Primera Instancia Civil Tercer Circuito Judicial San José, Hatillo</w:t>
      </w:r>
    </w:p>
    <w:p w14:paraId="7101BAA0" w14:textId="2BCB9792" w:rsidR="008647ED" w:rsidRPr="004E74A6" w:rsidRDefault="009608FE" w:rsidP="00CE62C1">
      <w:pPr>
        <w:spacing w:after="160" w:line="276" w:lineRule="auto"/>
        <w:rPr>
          <w:rFonts w:cs="Calibri"/>
          <w:color w:val="000000"/>
          <w:szCs w:val="24"/>
          <w:lang w:eastAsia="es-CR"/>
        </w:rPr>
      </w:pPr>
      <w:r w:rsidRPr="004E74A6">
        <w:rPr>
          <w:rFonts w:cs="Calibri"/>
          <w:color w:val="000000"/>
          <w:szCs w:val="24"/>
          <w:lang w:eastAsia="es-CR"/>
        </w:rPr>
        <w:t xml:space="preserve">Para el caso de este Tribunal, según la tabla por tipo de carpeta principal representa </w:t>
      </w:r>
      <w:r w:rsidR="008647ED" w:rsidRPr="004E74A6">
        <w:rPr>
          <w:rFonts w:cs="Calibri"/>
          <w:color w:val="000000"/>
          <w:szCs w:val="24"/>
          <w:lang w:eastAsia="es-CR"/>
        </w:rPr>
        <w:t>el 95,3% de los asuntos que ingresan y que para el 2021 tuvo un aumento en relación con el 2020.</w:t>
      </w:r>
    </w:p>
    <w:p w14:paraId="2F0DD0C8" w14:textId="5AF05768" w:rsidR="00C16883" w:rsidRPr="00832773" w:rsidRDefault="00C16883" w:rsidP="00F0204A">
      <w:pPr>
        <w:pStyle w:val="Descripcin"/>
        <w:keepNext/>
        <w:spacing w:line="276" w:lineRule="auto"/>
        <w:jc w:val="center"/>
        <w:rPr>
          <w:rFonts w:ascii="Book Antiqua" w:hAnsi="Book Antiqua"/>
          <w:i/>
          <w:iCs/>
          <w:sz w:val="20"/>
          <w:szCs w:val="16"/>
          <w:lang w:val="es-CR"/>
        </w:rPr>
      </w:pPr>
      <w:r w:rsidRPr="00832773">
        <w:rPr>
          <w:rFonts w:ascii="Book Antiqua" w:hAnsi="Book Antiqua"/>
          <w:i/>
          <w:iCs/>
          <w:sz w:val="20"/>
          <w:szCs w:val="16"/>
          <w:lang w:val="es-CR"/>
        </w:rPr>
        <w:t xml:space="preserve">Tabla </w:t>
      </w:r>
      <w:r w:rsidRPr="00832773">
        <w:rPr>
          <w:rFonts w:ascii="Book Antiqua" w:hAnsi="Book Antiqua"/>
          <w:i/>
          <w:iCs/>
          <w:sz w:val="20"/>
          <w:szCs w:val="16"/>
          <w:lang w:val="es-CR"/>
        </w:rPr>
        <w:fldChar w:fldCharType="begin"/>
      </w:r>
      <w:r w:rsidRPr="00832773">
        <w:rPr>
          <w:rFonts w:ascii="Book Antiqua" w:hAnsi="Book Antiqua"/>
          <w:i/>
          <w:iCs/>
          <w:sz w:val="20"/>
          <w:szCs w:val="16"/>
          <w:lang w:val="es-CR"/>
        </w:rPr>
        <w:instrText xml:space="preserve"> SEQ Tabla \* ARABIC </w:instrText>
      </w:r>
      <w:r w:rsidRPr="00832773">
        <w:rPr>
          <w:rFonts w:ascii="Book Antiqua" w:hAnsi="Book Antiqua"/>
          <w:i/>
          <w:iCs/>
          <w:sz w:val="20"/>
          <w:szCs w:val="16"/>
          <w:lang w:val="es-CR"/>
        </w:rPr>
        <w:fldChar w:fldCharType="separate"/>
      </w:r>
      <w:r w:rsidR="00374B51">
        <w:rPr>
          <w:rFonts w:ascii="Book Antiqua" w:hAnsi="Book Antiqua"/>
          <w:i/>
          <w:iCs/>
          <w:noProof/>
          <w:sz w:val="20"/>
          <w:szCs w:val="16"/>
          <w:lang w:val="es-CR"/>
        </w:rPr>
        <w:t>9</w:t>
      </w:r>
      <w:r w:rsidRPr="00832773">
        <w:rPr>
          <w:rFonts w:ascii="Book Antiqua" w:hAnsi="Book Antiqua"/>
          <w:i/>
          <w:iCs/>
          <w:sz w:val="20"/>
          <w:szCs w:val="16"/>
          <w:lang w:val="es-CR"/>
        </w:rPr>
        <w:fldChar w:fldCharType="end"/>
      </w:r>
      <w:r w:rsidRPr="00832773">
        <w:rPr>
          <w:rFonts w:ascii="Book Antiqua" w:hAnsi="Book Antiqua"/>
          <w:i/>
          <w:iCs/>
          <w:sz w:val="20"/>
          <w:szCs w:val="16"/>
          <w:lang w:val="es-CR"/>
        </w:rPr>
        <w:t xml:space="preserve"> Cantidad de entrados por </w:t>
      </w:r>
      <w:r w:rsidR="00767FE4" w:rsidRPr="00832773">
        <w:rPr>
          <w:rFonts w:ascii="Book Antiqua" w:hAnsi="Book Antiqua"/>
          <w:i/>
          <w:iCs/>
          <w:sz w:val="20"/>
          <w:szCs w:val="16"/>
          <w:lang w:val="es-CR"/>
        </w:rPr>
        <w:t>Tipo</w:t>
      </w:r>
      <w:r w:rsidRPr="00832773">
        <w:rPr>
          <w:rFonts w:ascii="Book Antiqua" w:hAnsi="Book Antiqua"/>
          <w:i/>
          <w:iCs/>
          <w:sz w:val="20"/>
          <w:szCs w:val="16"/>
          <w:lang w:val="es-CR"/>
        </w:rPr>
        <w:t xml:space="preserve"> de asunto del 2019 al 2021 para el Tribunal Colegiado Primera Instancia Civil Tercer Circuito Judicial San José, Hatillo</w:t>
      </w:r>
    </w:p>
    <w:tbl>
      <w:tblPr>
        <w:tblW w:w="3955" w:type="pct"/>
        <w:jc w:val="center"/>
        <w:tblLayout w:type="fixed"/>
        <w:tblCellMar>
          <w:left w:w="70" w:type="dxa"/>
          <w:right w:w="70" w:type="dxa"/>
        </w:tblCellMar>
        <w:tblLook w:val="04A0" w:firstRow="1" w:lastRow="0" w:firstColumn="1" w:lastColumn="0" w:noHBand="0" w:noVBand="1"/>
      </w:tblPr>
      <w:tblGrid>
        <w:gridCol w:w="3356"/>
        <w:gridCol w:w="842"/>
        <w:gridCol w:w="839"/>
        <w:gridCol w:w="836"/>
        <w:gridCol w:w="1119"/>
      </w:tblGrid>
      <w:tr w:rsidR="00767FE4" w:rsidRPr="004E74A6" w14:paraId="683AF8BF" w14:textId="77777777" w:rsidTr="00767FE4">
        <w:trPr>
          <w:trHeight w:val="454"/>
          <w:tblHeader/>
          <w:jc w:val="center"/>
        </w:trPr>
        <w:tc>
          <w:tcPr>
            <w:tcW w:w="2400" w:type="pct"/>
            <w:tcBorders>
              <w:top w:val="single" w:sz="4" w:space="0" w:color="auto"/>
              <w:bottom w:val="single" w:sz="4" w:space="0" w:color="auto"/>
              <w:right w:val="single" w:sz="4" w:space="0" w:color="auto"/>
            </w:tcBorders>
            <w:shd w:val="clear" w:color="auto" w:fill="auto"/>
            <w:noWrap/>
            <w:vAlign w:val="center"/>
            <w:hideMark/>
          </w:tcPr>
          <w:p w14:paraId="37CAACDF" w14:textId="20662CCE" w:rsidR="008647ED" w:rsidRPr="004E74A6" w:rsidRDefault="00767FE4" w:rsidP="00CE62C1">
            <w:pPr>
              <w:spacing w:line="276" w:lineRule="auto"/>
              <w:jc w:val="center"/>
              <w:rPr>
                <w:sz w:val="20"/>
                <w:lang w:eastAsia="es-CR"/>
              </w:rPr>
            </w:pPr>
            <w:r w:rsidRPr="004E74A6">
              <w:rPr>
                <w:sz w:val="20"/>
                <w:lang w:eastAsia="es-CR"/>
              </w:rPr>
              <w:t>Tipo</w:t>
            </w:r>
            <w:r w:rsidR="008647ED" w:rsidRPr="004E74A6">
              <w:rPr>
                <w:sz w:val="20"/>
                <w:lang w:eastAsia="es-CR"/>
              </w:rPr>
              <w:t xml:space="preserve"> De </w:t>
            </w:r>
            <w:r w:rsidR="007D0D3C" w:rsidRPr="004E74A6">
              <w:rPr>
                <w:sz w:val="20"/>
                <w:lang w:eastAsia="es-CR"/>
              </w:rPr>
              <w:t>Carpeta</w:t>
            </w:r>
          </w:p>
        </w:tc>
        <w:tc>
          <w:tcPr>
            <w:tcW w:w="60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56BD07"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2019</w:t>
            </w:r>
          </w:p>
        </w:tc>
        <w:tc>
          <w:tcPr>
            <w:tcW w:w="6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9EA377"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2020</w:t>
            </w:r>
          </w:p>
        </w:tc>
        <w:tc>
          <w:tcPr>
            <w:tcW w:w="59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F1D1B1"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2021</w:t>
            </w:r>
          </w:p>
        </w:tc>
        <w:tc>
          <w:tcPr>
            <w:tcW w:w="800" w:type="pct"/>
            <w:tcBorders>
              <w:top w:val="single" w:sz="4" w:space="0" w:color="auto"/>
              <w:left w:val="single" w:sz="4" w:space="0" w:color="auto"/>
              <w:bottom w:val="single" w:sz="4" w:space="0" w:color="auto"/>
            </w:tcBorders>
            <w:shd w:val="clear" w:color="auto" w:fill="auto"/>
            <w:noWrap/>
            <w:vAlign w:val="center"/>
            <w:hideMark/>
          </w:tcPr>
          <w:p w14:paraId="6B063563" w14:textId="41EB6EA3" w:rsidR="008647ED" w:rsidRPr="004E74A6" w:rsidRDefault="00767FE4" w:rsidP="00CE62C1">
            <w:pPr>
              <w:spacing w:line="276" w:lineRule="auto"/>
              <w:jc w:val="center"/>
              <w:rPr>
                <w:rFonts w:cs="Calibri"/>
                <w:color w:val="000000"/>
                <w:sz w:val="20"/>
                <w:lang w:eastAsia="es-CR"/>
              </w:rPr>
            </w:pPr>
            <w:r w:rsidRPr="004E74A6">
              <w:rPr>
                <w:rFonts w:cs="Calibri"/>
                <w:color w:val="000000"/>
                <w:sz w:val="20"/>
                <w:lang w:eastAsia="es-CR"/>
              </w:rPr>
              <w:t>Promedio</w:t>
            </w:r>
          </w:p>
        </w:tc>
      </w:tr>
      <w:tr w:rsidR="00767FE4" w:rsidRPr="004E74A6" w14:paraId="3F3FBFA5" w14:textId="77777777" w:rsidTr="00767FE4">
        <w:trPr>
          <w:trHeight w:val="288"/>
          <w:jc w:val="center"/>
        </w:trPr>
        <w:tc>
          <w:tcPr>
            <w:tcW w:w="2400" w:type="pct"/>
            <w:tcBorders>
              <w:top w:val="single" w:sz="4" w:space="0" w:color="auto"/>
              <w:right w:val="single" w:sz="4" w:space="0" w:color="auto"/>
            </w:tcBorders>
            <w:shd w:val="clear" w:color="auto" w:fill="auto"/>
            <w:noWrap/>
            <w:vAlign w:val="bottom"/>
          </w:tcPr>
          <w:p w14:paraId="396592E0" w14:textId="1521AB58" w:rsidR="008647ED" w:rsidRPr="004E74A6" w:rsidRDefault="008647ED" w:rsidP="00CE62C1">
            <w:pPr>
              <w:spacing w:line="276" w:lineRule="auto"/>
              <w:jc w:val="left"/>
              <w:rPr>
                <w:rFonts w:cs="Calibri"/>
                <w:color w:val="000000"/>
                <w:sz w:val="20"/>
                <w:lang w:eastAsia="es-CR"/>
              </w:rPr>
            </w:pPr>
          </w:p>
        </w:tc>
        <w:tc>
          <w:tcPr>
            <w:tcW w:w="602" w:type="pct"/>
            <w:tcBorders>
              <w:top w:val="single" w:sz="4" w:space="0" w:color="auto"/>
              <w:left w:val="single" w:sz="4" w:space="0" w:color="auto"/>
              <w:right w:val="single" w:sz="4" w:space="0" w:color="auto"/>
            </w:tcBorders>
            <w:shd w:val="clear" w:color="auto" w:fill="auto"/>
            <w:noWrap/>
            <w:vAlign w:val="center"/>
          </w:tcPr>
          <w:p w14:paraId="08C06CE7" w14:textId="77777777" w:rsidR="008647ED" w:rsidRPr="004E74A6" w:rsidRDefault="008647ED" w:rsidP="00CE62C1">
            <w:pPr>
              <w:spacing w:line="276" w:lineRule="auto"/>
              <w:jc w:val="center"/>
              <w:rPr>
                <w:sz w:val="20"/>
                <w:lang w:eastAsia="es-CR"/>
              </w:rPr>
            </w:pPr>
          </w:p>
        </w:tc>
        <w:tc>
          <w:tcPr>
            <w:tcW w:w="600" w:type="pct"/>
            <w:tcBorders>
              <w:top w:val="single" w:sz="4" w:space="0" w:color="auto"/>
              <w:left w:val="single" w:sz="4" w:space="0" w:color="auto"/>
              <w:right w:val="single" w:sz="4" w:space="0" w:color="auto"/>
            </w:tcBorders>
            <w:shd w:val="clear" w:color="auto" w:fill="auto"/>
            <w:noWrap/>
            <w:vAlign w:val="center"/>
          </w:tcPr>
          <w:p w14:paraId="591E7F02" w14:textId="77777777" w:rsidR="008647ED" w:rsidRPr="004E74A6" w:rsidRDefault="008647ED" w:rsidP="00CE62C1">
            <w:pPr>
              <w:spacing w:line="276" w:lineRule="auto"/>
              <w:jc w:val="center"/>
              <w:rPr>
                <w:rFonts w:cs="Calibri"/>
                <w:color w:val="000000"/>
                <w:sz w:val="20"/>
                <w:lang w:eastAsia="es-CR"/>
              </w:rPr>
            </w:pPr>
          </w:p>
        </w:tc>
        <w:tc>
          <w:tcPr>
            <w:tcW w:w="598" w:type="pct"/>
            <w:tcBorders>
              <w:top w:val="single" w:sz="4" w:space="0" w:color="auto"/>
              <w:left w:val="single" w:sz="4" w:space="0" w:color="auto"/>
              <w:right w:val="single" w:sz="4" w:space="0" w:color="auto"/>
            </w:tcBorders>
            <w:shd w:val="clear" w:color="auto" w:fill="auto"/>
            <w:noWrap/>
            <w:vAlign w:val="center"/>
          </w:tcPr>
          <w:p w14:paraId="01FB4633" w14:textId="77777777" w:rsidR="008647ED" w:rsidRPr="004E74A6" w:rsidRDefault="008647ED" w:rsidP="00CE62C1">
            <w:pPr>
              <w:spacing w:line="276" w:lineRule="auto"/>
              <w:jc w:val="center"/>
              <w:rPr>
                <w:rFonts w:cs="Calibri"/>
                <w:color w:val="000000"/>
                <w:sz w:val="20"/>
                <w:lang w:eastAsia="es-CR"/>
              </w:rPr>
            </w:pPr>
          </w:p>
        </w:tc>
        <w:tc>
          <w:tcPr>
            <w:tcW w:w="800" w:type="pct"/>
            <w:tcBorders>
              <w:top w:val="single" w:sz="4" w:space="0" w:color="auto"/>
              <w:left w:val="single" w:sz="4" w:space="0" w:color="auto"/>
            </w:tcBorders>
            <w:shd w:val="clear" w:color="auto" w:fill="auto"/>
            <w:noWrap/>
            <w:vAlign w:val="center"/>
          </w:tcPr>
          <w:p w14:paraId="1FC0B72B" w14:textId="77777777" w:rsidR="008647ED" w:rsidRPr="004E74A6" w:rsidRDefault="008647ED" w:rsidP="00CE62C1">
            <w:pPr>
              <w:spacing w:line="276" w:lineRule="auto"/>
              <w:jc w:val="center"/>
              <w:rPr>
                <w:rFonts w:cs="Calibri"/>
                <w:color w:val="000000"/>
                <w:sz w:val="20"/>
                <w:lang w:eastAsia="es-CR"/>
              </w:rPr>
            </w:pPr>
          </w:p>
        </w:tc>
      </w:tr>
      <w:tr w:rsidR="007D0D3C" w:rsidRPr="004E74A6" w14:paraId="62FABF61" w14:textId="77777777" w:rsidTr="00767FE4">
        <w:trPr>
          <w:trHeight w:val="288"/>
          <w:jc w:val="center"/>
        </w:trPr>
        <w:tc>
          <w:tcPr>
            <w:tcW w:w="2400" w:type="pct"/>
            <w:tcBorders>
              <w:right w:val="single" w:sz="4" w:space="0" w:color="auto"/>
            </w:tcBorders>
            <w:shd w:val="clear" w:color="auto" w:fill="auto"/>
            <w:noWrap/>
            <w:vAlign w:val="bottom"/>
          </w:tcPr>
          <w:p w14:paraId="4EFC168B" w14:textId="5BC5A698" w:rsidR="007D0D3C" w:rsidRPr="004E74A6" w:rsidRDefault="007D0D3C" w:rsidP="00CE62C1">
            <w:pPr>
              <w:spacing w:line="276" w:lineRule="auto"/>
              <w:jc w:val="center"/>
              <w:rPr>
                <w:rFonts w:cs="Calibri"/>
                <w:color w:val="000000"/>
                <w:sz w:val="20"/>
                <w:lang w:eastAsia="es-CR"/>
              </w:rPr>
            </w:pPr>
            <w:r w:rsidRPr="004E74A6">
              <w:rPr>
                <w:rFonts w:cs="Calibri"/>
                <w:color w:val="000000"/>
                <w:sz w:val="20"/>
                <w:lang w:eastAsia="es-CR"/>
              </w:rPr>
              <w:t>Total General</w:t>
            </w:r>
          </w:p>
        </w:tc>
        <w:tc>
          <w:tcPr>
            <w:tcW w:w="602" w:type="pct"/>
            <w:tcBorders>
              <w:left w:val="single" w:sz="4" w:space="0" w:color="auto"/>
              <w:right w:val="single" w:sz="4" w:space="0" w:color="auto"/>
            </w:tcBorders>
            <w:shd w:val="clear" w:color="auto" w:fill="auto"/>
            <w:noWrap/>
            <w:vAlign w:val="center"/>
          </w:tcPr>
          <w:p w14:paraId="37F9A8F7" w14:textId="48950D8E" w:rsidR="007D0D3C" w:rsidRPr="004E74A6" w:rsidRDefault="007D0D3C" w:rsidP="00CE62C1">
            <w:pPr>
              <w:spacing w:line="276" w:lineRule="auto"/>
              <w:jc w:val="center"/>
              <w:rPr>
                <w:sz w:val="20"/>
                <w:lang w:eastAsia="es-CR"/>
              </w:rPr>
            </w:pPr>
            <w:r w:rsidRPr="004E74A6">
              <w:rPr>
                <w:rFonts w:cs="Calibri"/>
                <w:color w:val="000000"/>
                <w:sz w:val="20"/>
                <w:lang w:eastAsia="es-CR"/>
              </w:rPr>
              <w:t>159</w:t>
            </w:r>
          </w:p>
        </w:tc>
        <w:tc>
          <w:tcPr>
            <w:tcW w:w="600" w:type="pct"/>
            <w:tcBorders>
              <w:left w:val="single" w:sz="4" w:space="0" w:color="auto"/>
              <w:right w:val="single" w:sz="4" w:space="0" w:color="auto"/>
            </w:tcBorders>
            <w:shd w:val="clear" w:color="auto" w:fill="auto"/>
            <w:noWrap/>
            <w:vAlign w:val="center"/>
          </w:tcPr>
          <w:p w14:paraId="7FD3D6BB" w14:textId="1935CF7D" w:rsidR="007D0D3C" w:rsidRPr="004E74A6" w:rsidRDefault="007D0D3C" w:rsidP="00CE62C1">
            <w:pPr>
              <w:spacing w:line="276" w:lineRule="auto"/>
              <w:jc w:val="center"/>
              <w:rPr>
                <w:rFonts w:cs="Calibri"/>
                <w:color w:val="000000"/>
                <w:sz w:val="20"/>
                <w:lang w:eastAsia="es-CR"/>
              </w:rPr>
            </w:pPr>
            <w:r w:rsidRPr="004E74A6">
              <w:rPr>
                <w:rFonts w:cs="Calibri"/>
                <w:color w:val="000000"/>
                <w:sz w:val="20"/>
                <w:lang w:eastAsia="es-CR"/>
              </w:rPr>
              <w:t>105</w:t>
            </w:r>
          </w:p>
        </w:tc>
        <w:tc>
          <w:tcPr>
            <w:tcW w:w="598" w:type="pct"/>
            <w:tcBorders>
              <w:left w:val="single" w:sz="4" w:space="0" w:color="auto"/>
              <w:right w:val="single" w:sz="4" w:space="0" w:color="auto"/>
            </w:tcBorders>
            <w:shd w:val="clear" w:color="auto" w:fill="auto"/>
            <w:noWrap/>
            <w:vAlign w:val="center"/>
          </w:tcPr>
          <w:p w14:paraId="7CE1BD50" w14:textId="4065AC27" w:rsidR="007D0D3C" w:rsidRPr="004E74A6" w:rsidRDefault="007D0D3C" w:rsidP="00CE62C1">
            <w:pPr>
              <w:spacing w:line="276" w:lineRule="auto"/>
              <w:jc w:val="center"/>
              <w:rPr>
                <w:rFonts w:cs="Calibri"/>
                <w:color w:val="000000"/>
                <w:sz w:val="20"/>
                <w:lang w:eastAsia="es-CR"/>
              </w:rPr>
            </w:pPr>
            <w:r w:rsidRPr="004E74A6">
              <w:rPr>
                <w:rFonts w:cs="Calibri"/>
                <w:color w:val="000000"/>
                <w:sz w:val="20"/>
                <w:lang w:eastAsia="es-CR"/>
              </w:rPr>
              <w:t>181</w:t>
            </w:r>
          </w:p>
        </w:tc>
        <w:tc>
          <w:tcPr>
            <w:tcW w:w="800" w:type="pct"/>
            <w:tcBorders>
              <w:left w:val="single" w:sz="4" w:space="0" w:color="auto"/>
            </w:tcBorders>
            <w:shd w:val="clear" w:color="auto" w:fill="auto"/>
            <w:noWrap/>
            <w:vAlign w:val="center"/>
          </w:tcPr>
          <w:p w14:paraId="7B28B027" w14:textId="178A216C" w:rsidR="007D0D3C" w:rsidRPr="004E74A6" w:rsidRDefault="007D0D3C" w:rsidP="00CE62C1">
            <w:pPr>
              <w:spacing w:line="276" w:lineRule="auto"/>
              <w:jc w:val="center"/>
              <w:rPr>
                <w:rFonts w:cs="Calibri"/>
                <w:color w:val="000000"/>
                <w:sz w:val="20"/>
              </w:rPr>
            </w:pPr>
            <w:r w:rsidRPr="004E74A6">
              <w:rPr>
                <w:rFonts w:cs="Calibri"/>
                <w:color w:val="000000"/>
                <w:sz w:val="20"/>
              </w:rPr>
              <w:t>148</w:t>
            </w:r>
          </w:p>
        </w:tc>
      </w:tr>
      <w:tr w:rsidR="007D0D3C" w:rsidRPr="004E74A6" w14:paraId="316CF54A" w14:textId="77777777" w:rsidTr="00767FE4">
        <w:trPr>
          <w:trHeight w:val="288"/>
          <w:jc w:val="center"/>
        </w:trPr>
        <w:tc>
          <w:tcPr>
            <w:tcW w:w="2400" w:type="pct"/>
            <w:tcBorders>
              <w:right w:val="single" w:sz="4" w:space="0" w:color="auto"/>
            </w:tcBorders>
            <w:shd w:val="clear" w:color="auto" w:fill="auto"/>
            <w:noWrap/>
            <w:vAlign w:val="bottom"/>
          </w:tcPr>
          <w:p w14:paraId="7829F90E" w14:textId="77777777" w:rsidR="007D0D3C" w:rsidRPr="004E74A6" w:rsidRDefault="007D0D3C" w:rsidP="00CE62C1">
            <w:pPr>
              <w:spacing w:line="276" w:lineRule="auto"/>
              <w:jc w:val="left"/>
              <w:rPr>
                <w:rFonts w:cs="Calibri"/>
                <w:color w:val="000000"/>
                <w:sz w:val="20"/>
                <w:lang w:eastAsia="es-CR"/>
              </w:rPr>
            </w:pPr>
          </w:p>
        </w:tc>
        <w:tc>
          <w:tcPr>
            <w:tcW w:w="602" w:type="pct"/>
            <w:tcBorders>
              <w:left w:val="single" w:sz="4" w:space="0" w:color="auto"/>
              <w:right w:val="single" w:sz="4" w:space="0" w:color="auto"/>
            </w:tcBorders>
            <w:shd w:val="clear" w:color="auto" w:fill="auto"/>
            <w:noWrap/>
            <w:vAlign w:val="center"/>
          </w:tcPr>
          <w:p w14:paraId="7D447CAD" w14:textId="77777777" w:rsidR="007D0D3C" w:rsidRPr="004E74A6" w:rsidRDefault="007D0D3C" w:rsidP="00CE62C1">
            <w:pPr>
              <w:spacing w:line="276" w:lineRule="auto"/>
              <w:jc w:val="center"/>
              <w:rPr>
                <w:sz w:val="20"/>
                <w:lang w:eastAsia="es-CR"/>
              </w:rPr>
            </w:pPr>
          </w:p>
        </w:tc>
        <w:tc>
          <w:tcPr>
            <w:tcW w:w="600" w:type="pct"/>
            <w:tcBorders>
              <w:left w:val="single" w:sz="4" w:space="0" w:color="auto"/>
              <w:right w:val="single" w:sz="4" w:space="0" w:color="auto"/>
            </w:tcBorders>
            <w:shd w:val="clear" w:color="auto" w:fill="auto"/>
            <w:noWrap/>
            <w:vAlign w:val="center"/>
          </w:tcPr>
          <w:p w14:paraId="476FFCF2" w14:textId="77777777" w:rsidR="007D0D3C" w:rsidRPr="004E74A6" w:rsidRDefault="007D0D3C" w:rsidP="00CE62C1">
            <w:pPr>
              <w:spacing w:line="276" w:lineRule="auto"/>
              <w:jc w:val="center"/>
              <w:rPr>
                <w:rFonts w:cs="Calibri"/>
                <w:color w:val="000000"/>
                <w:sz w:val="20"/>
                <w:lang w:eastAsia="es-CR"/>
              </w:rPr>
            </w:pPr>
          </w:p>
        </w:tc>
        <w:tc>
          <w:tcPr>
            <w:tcW w:w="598" w:type="pct"/>
            <w:tcBorders>
              <w:left w:val="single" w:sz="4" w:space="0" w:color="auto"/>
              <w:right w:val="single" w:sz="4" w:space="0" w:color="auto"/>
            </w:tcBorders>
            <w:shd w:val="clear" w:color="auto" w:fill="auto"/>
            <w:noWrap/>
            <w:vAlign w:val="center"/>
          </w:tcPr>
          <w:p w14:paraId="2E47B2BF" w14:textId="77777777" w:rsidR="007D0D3C" w:rsidRPr="004E74A6" w:rsidRDefault="007D0D3C" w:rsidP="00CE62C1">
            <w:pPr>
              <w:spacing w:line="276" w:lineRule="auto"/>
              <w:jc w:val="center"/>
              <w:rPr>
                <w:rFonts w:cs="Calibri"/>
                <w:color w:val="000000"/>
                <w:sz w:val="20"/>
                <w:lang w:eastAsia="es-CR"/>
              </w:rPr>
            </w:pPr>
          </w:p>
        </w:tc>
        <w:tc>
          <w:tcPr>
            <w:tcW w:w="800" w:type="pct"/>
            <w:tcBorders>
              <w:left w:val="single" w:sz="4" w:space="0" w:color="auto"/>
            </w:tcBorders>
            <w:shd w:val="clear" w:color="auto" w:fill="auto"/>
            <w:noWrap/>
            <w:vAlign w:val="center"/>
          </w:tcPr>
          <w:p w14:paraId="0FA11345" w14:textId="77777777" w:rsidR="007D0D3C" w:rsidRPr="004E74A6" w:rsidRDefault="007D0D3C" w:rsidP="00CE62C1">
            <w:pPr>
              <w:spacing w:line="276" w:lineRule="auto"/>
              <w:jc w:val="center"/>
              <w:rPr>
                <w:rFonts w:cs="Calibri"/>
                <w:color w:val="000000"/>
                <w:sz w:val="20"/>
              </w:rPr>
            </w:pPr>
          </w:p>
        </w:tc>
      </w:tr>
      <w:tr w:rsidR="007D0D3C" w:rsidRPr="004E74A6" w14:paraId="5FDD37FD" w14:textId="77777777" w:rsidTr="00767FE4">
        <w:trPr>
          <w:trHeight w:val="288"/>
          <w:jc w:val="center"/>
        </w:trPr>
        <w:tc>
          <w:tcPr>
            <w:tcW w:w="2400" w:type="pct"/>
            <w:tcBorders>
              <w:right w:val="single" w:sz="4" w:space="0" w:color="auto"/>
            </w:tcBorders>
            <w:shd w:val="clear" w:color="auto" w:fill="auto"/>
            <w:noWrap/>
            <w:vAlign w:val="bottom"/>
            <w:hideMark/>
          </w:tcPr>
          <w:p w14:paraId="0BA7F150" w14:textId="77777777" w:rsidR="007D0D3C" w:rsidRPr="004E74A6" w:rsidRDefault="007D0D3C" w:rsidP="00CE62C1">
            <w:pPr>
              <w:spacing w:line="276" w:lineRule="auto"/>
              <w:jc w:val="left"/>
              <w:rPr>
                <w:rFonts w:cs="Calibri"/>
                <w:color w:val="000000"/>
                <w:sz w:val="20"/>
                <w:lang w:eastAsia="es-CR"/>
              </w:rPr>
            </w:pPr>
            <w:r w:rsidRPr="004E74A6">
              <w:rPr>
                <w:rFonts w:cs="Calibri"/>
                <w:color w:val="000000"/>
                <w:sz w:val="20"/>
                <w:lang w:eastAsia="es-CR"/>
              </w:rPr>
              <w:t>Comisiones Recibidas</w:t>
            </w:r>
          </w:p>
        </w:tc>
        <w:tc>
          <w:tcPr>
            <w:tcW w:w="602" w:type="pct"/>
            <w:tcBorders>
              <w:left w:val="single" w:sz="4" w:space="0" w:color="auto"/>
              <w:right w:val="single" w:sz="4" w:space="0" w:color="auto"/>
            </w:tcBorders>
            <w:shd w:val="clear" w:color="auto" w:fill="auto"/>
            <w:noWrap/>
            <w:vAlign w:val="center"/>
            <w:hideMark/>
          </w:tcPr>
          <w:p w14:paraId="44E151C5" w14:textId="666612F4" w:rsidR="007D0D3C" w:rsidRPr="004E74A6" w:rsidRDefault="007D0D3C" w:rsidP="00CE62C1">
            <w:pPr>
              <w:spacing w:line="276" w:lineRule="auto"/>
              <w:jc w:val="center"/>
              <w:rPr>
                <w:sz w:val="20"/>
                <w:lang w:eastAsia="es-CR"/>
              </w:rPr>
            </w:pPr>
            <w:r w:rsidRPr="004E74A6">
              <w:rPr>
                <w:sz w:val="20"/>
                <w:lang w:eastAsia="es-CR"/>
              </w:rPr>
              <w:t>0</w:t>
            </w:r>
          </w:p>
        </w:tc>
        <w:tc>
          <w:tcPr>
            <w:tcW w:w="600" w:type="pct"/>
            <w:tcBorders>
              <w:left w:val="single" w:sz="4" w:space="0" w:color="auto"/>
              <w:right w:val="single" w:sz="4" w:space="0" w:color="auto"/>
            </w:tcBorders>
            <w:shd w:val="clear" w:color="auto" w:fill="auto"/>
            <w:noWrap/>
            <w:vAlign w:val="center"/>
            <w:hideMark/>
          </w:tcPr>
          <w:p w14:paraId="130AC5E4" w14:textId="77777777" w:rsidR="007D0D3C" w:rsidRPr="004E74A6" w:rsidRDefault="007D0D3C" w:rsidP="00CE62C1">
            <w:pPr>
              <w:spacing w:line="276" w:lineRule="auto"/>
              <w:jc w:val="center"/>
              <w:rPr>
                <w:rFonts w:cs="Calibri"/>
                <w:color w:val="000000"/>
                <w:sz w:val="20"/>
                <w:lang w:eastAsia="es-CR"/>
              </w:rPr>
            </w:pPr>
            <w:r w:rsidRPr="004E74A6">
              <w:rPr>
                <w:rFonts w:cs="Calibri"/>
                <w:color w:val="000000"/>
                <w:sz w:val="20"/>
                <w:lang w:eastAsia="es-CR"/>
              </w:rPr>
              <w:t>1</w:t>
            </w:r>
          </w:p>
        </w:tc>
        <w:tc>
          <w:tcPr>
            <w:tcW w:w="598" w:type="pct"/>
            <w:tcBorders>
              <w:left w:val="single" w:sz="4" w:space="0" w:color="auto"/>
              <w:right w:val="single" w:sz="4" w:space="0" w:color="auto"/>
            </w:tcBorders>
            <w:shd w:val="clear" w:color="auto" w:fill="auto"/>
            <w:noWrap/>
            <w:vAlign w:val="center"/>
            <w:hideMark/>
          </w:tcPr>
          <w:p w14:paraId="1F566EB5" w14:textId="77777777" w:rsidR="007D0D3C" w:rsidRPr="004E74A6" w:rsidRDefault="007D0D3C" w:rsidP="00CE62C1">
            <w:pPr>
              <w:spacing w:line="276" w:lineRule="auto"/>
              <w:jc w:val="center"/>
              <w:rPr>
                <w:rFonts w:cs="Calibri"/>
                <w:color w:val="000000"/>
                <w:sz w:val="20"/>
                <w:lang w:eastAsia="es-CR"/>
              </w:rPr>
            </w:pPr>
            <w:r w:rsidRPr="004E74A6">
              <w:rPr>
                <w:rFonts w:cs="Calibri"/>
                <w:color w:val="000000"/>
                <w:sz w:val="20"/>
                <w:lang w:eastAsia="es-CR"/>
              </w:rPr>
              <w:t>1</w:t>
            </w:r>
          </w:p>
        </w:tc>
        <w:tc>
          <w:tcPr>
            <w:tcW w:w="800" w:type="pct"/>
            <w:tcBorders>
              <w:left w:val="single" w:sz="4" w:space="0" w:color="auto"/>
            </w:tcBorders>
            <w:shd w:val="clear" w:color="auto" w:fill="auto"/>
            <w:noWrap/>
            <w:vAlign w:val="center"/>
            <w:hideMark/>
          </w:tcPr>
          <w:p w14:paraId="51E1D60B" w14:textId="342A5C4B" w:rsidR="007D0D3C" w:rsidRPr="004E74A6" w:rsidRDefault="007D0D3C" w:rsidP="00CE62C1">
            <w:pPr>
              <w:spacing w:line="276" w:lineRule="auto"/>
              <w:jc w:val="center"/>
              <w:rPr>
                <w:rFonts w:cs="Calibri"/>
                <w:color w:val="000000"/>
                <w:sz w:val="20"/>
                <w:lang w:eastAsia="es-CR"/>
              </w:rPr>
            </w:pPr>
            <w:r w:rsidRPr="004E74A6">
              <w:rPr>
                <w:rFonts w:cs="Calibri"/>
                <w:color w:val="000000"/>
                <w:sz w:val="20"/>
              </w:rPr>
              <w:t>0,7</w:t>
            </w:r>
          </w:p>
        </w:tc>
      </w:tr>
      <w:tr w:rsidR="007D0D3C" w:rsidRPr="004E74A6" w14:paraId="72876618" w14:textId="77777777" w:rsidTr="00767FE4">
        <w:trPr>
          <w:trHeight w:val="288"/>
          <w:jc w:val="center"/>
        </w:trPr>
        <w:tc>
          <w:tcPr>
            <w:tcW w:w="2400" w:type="pct"/>
            <w:tcBorders>
              <w:right w:val="single" w:sz="4" w:space="0" w:color="auto"/>
            </w:tcBorders>
            <w:shd w:val="clear" w:color="auto" w:fill="auto"/>
            <w:noWrap/>
            <w:vAlign w:val="bottom"/>
            <w:hideMark/>
          </w:tcPr>
          <w:p w14:paraId="44B9D680" w14:textId="77777777" w:rsidR="007D0D3C" w:rsidRPr="004E74A6" w:rsidRDefault="007D0D3C" w:rsidP="00CE62C1">
            <w:pPr>
              <w:spacing w:line="276" w:lineRule="auto"/>
              <w:jc w:val="left"/>
              <w:rPr>
                <w:rFonts w:cs="Calibri"/>
                <w:color w:val="000000"/>
                <w:sz w:val="20"/>
                <w:lang w:eastAsia="es-CR"/>
              </w:rPr>
            </w:pPr>
            <w:r w:rsidRPr="004E74A6">
              <w:rPr>
                <w:rFonts w:cs="Calibri"/>
                <w:color w:val="000000"/>
                <w:sz w:val="20"/>
                <w:lang w:eastAsia="es-CR"/>
              </w:rPr>
              <w:t>Incidentes Procesales</w:t>
            </w:r>
          </w:p>
        </w:tc>
        <w:tc>
          <w:tcPr>
            <w:tcW w:w="602" w:type="pct"/>
            <w:tcBorders>
              <w:left w:val="single" w:sz="4" w:space="0" w:color="auto"/>
              <w:right w:val="single" w:sz="4" w:space="0" w:color="auto"/>
            </w:tcBorders>
            <w:shd w:val="clear" w:color="auto" w:fill="auto"/>
            <w:noWrap/>
            <w:vAlign w:val="center"/>
            <w:hideMark/>
          </w:tcPr>
          <w:p w14:paraId="2866D46D" w14:textId="77777777" w:rsidR="007D0D3C" w:rsidRPr="004E74A6" w:rsidRDefault="007D0D3C" w:rsidP="00CE62C1">
            <w:pPr>
              <w:spacing w:line="276" w:lineRule="auto"/>
              <w:jc w:val="center"/>
              <w:rPr>
                <w:rFonts w:cs="Calibri"/>
                <w:color w:val="000000"/>
                <w:sz w:val="20"/>
                <w:lang w:eastAsia="es-CR"/>
              </w:rPr>
            </w:pPr>
            <w:r w:rsidRPr="004E74A6">
              <w:rPr>
                <w:rFonts w:cs="Calibri"/>
                <w:color w:val="000000"/>
                <w:sz w:val="20"/>
                <w:lang w:eastAsia="es-CR"/>
              </w:rPr>
              <w:t>4</w:t>
            </w:r>
          </w:p>
        </w:tc>
        <w:tc>
          <w:tcPr>
            <w:tcW w:w="600" w:type="pct"/>
            <w:tcBorders>
              <w:left w:val="single" w:sz="4" w:space="0" w:color="auto"/>
              <w:right w:val="single" w:sz="4" w:space="0" w:color="auto"/>
            </w:tcBorders>
            <w:shd w:val="clear" w:color="auto" w:fill="auto"/>
            <w:noWrap/>
            <w:vAlign w:val="center"/>
            <w:hideMark/>
          </w:tcPr>
          <w:p w14:paraId="0BF030F8" w14:textId="77777777" w:rsidR="007D0D3C" w:rsidRPr="004E74A6" w:rsidRDefault="007D0D3C" w:rsidP="00CE62C1">
            <w:pPr>
              <w:spacing w:line="276" w:lineRule="auto"/>
              <w:jc w:val="center"/>
              <w:rPr>
                <w:rFonts w:cs="Calibri"/>
                <w:color w:val="000000"/>
                <w:sz w:val="20"/>
                <w:lang w:eastAsia="es-CR"/>
              </w:rPr>
            </w:pPr>
            <w:r w:rsidRPr="004E74A6">
              <w:rPr>
                <w:rFonts w:cs="Calibri"/>
                <w:color w:val="000000"/>
                <w:sz w:val="20"/>
                <w:lang w:eastAsia="es-CR"/>
              </w:rPr>
              <w:t>3</w:t>
            </w:r>
          </w:p>
        </w:tc>
        <w:tc>
          <w:tcPr>
            <w:tcW w:w="598" w:type="pct"/>
            <w:tcBorders>
              <w:left w:val="single" w:sz="4" w:space="0" w:color="auto"/>
              <w:right w:val="single" w:sz="4" w:space="0" w:color="auto"/>
            </w:tcBorders>
            <w:shd w:val="clear" w:color="auto" w:fill="auto"/>
            <w:noWrap/>
            <w:vAlign w:val="center"/>
            <w:hideMark/>
          </w:tcPr>
          <w:p w14:paraId="189345A1" w14:textId="77777777" w:rsidR="007D0D3C" w:rsidRPr="004E74A6" w:rsidRDefault="007D0D3C" w:rsidP="00CE62C1">
            <w:pPr>
              <w:spacing w:line="276" w:lineRule="auto"/>
              <w:jc w:val="center"/>
              <w:rPr>
                <w:rFonts w:cs="Calibri"/>
                <w:color w:val="000000"/>
                <w:sz w:val="20"/>
                <w:lang w:eastAsia="es-CR"/>
              </w:rPr>
            </w:pPr>
            <w:r w:rsidRPr="004E74A6">
              <w:rPr>
                <w:rFonts w:cs="Calibri"/>
                <w:color w:val="000000"/>
                <w:sz w:val="20"/>
                <w:lang w:eastAsia="es-CR"/>
              </w:rPr>
              <w:t>7</w:t>
            </w:r>
          </w:p>
        </w:tc>
        <w:tc>
          <w:tcPr>
            <w:tcW w:w="800" w:type="pct"/>
            <w:tcBorders>
              <w:left w:val="single" w:sz="4" w:space="0" w:color="auto"/>
            </w:tcBorders>
            <w:shd w:val="clear" w:color="auto" w:fill="auto"/>
            <w:noWrap/>
            <w:vAlign w:val="center"/>
            <w:hideMark/>
          </w:tcPr>
          <w:p w14:paraId="64E2F96B" w14:textId="5D1DAAD3" w:rsidR="007D0D3C" w:rsidRPr="004E74A6" w:rsidRDefault="007D0D3C" w:rsidP="00CE62C1">
            <w:pPr>
              <w:spacing w:line="276" w:lineRule="auto"/>
              <w:jc w:val="center"/>
              <w:rPr>
                <w:rFonts w:cs="Calibri"/>
                <w:color w:val="000000"/>
                <w:sz w:val="20"/>
                <w:lang w:eastAsia="es-CR"/>
              </w:rPr>
            </w:pPr>
            <w:r w:rsidRPr="004E74A6">
              <w:rPr>
                <w:rFonts w:cs="Calibri"/>
                <w:color w:val="000000"/>
                <w:sz w:val="20"/>
              </w:rPr>
              <w:t>4,7</w:t>
            </w:r>
          </w:p>
        </w:tc>
      </w:tr>
      <w:tr w:rsidR="007D0D3C" w:rsidRPr="004E74A6" w14:paraId="48AE456A" w14:textId="77777777" w:rsidTr="00767FE4">
        <w:trPr>
          <w:trHeight w:val="288"/>
          <w:jc w:val="center"/>
        </w:trPr>
        <w:tc>
          <w:tcPr>
            <w:tcW w:w="2400" w:type="pct"/>
            <w:tcBorders>
              <w:right w:val="single" w:sz="4" w:space="0" w:color="auto"/>
            </w:tcBorders>
            <w:shd w:val="clear" w:color="auto" w:fill="auto"/>
            <w:noWrap/>
            <w:vAlign w:val="bottom"/>
            <w:hideMark/>
          </w:tcPr>
          <w:p w14:paraId="4F6499F5" w14:textId="77777777" w:rsidR="007D0D3C" w:rsidRPr="004E74A6" w:rsidRDefault="007D0D3C" w:rsidP="00CE62C1">
            <w:pPr>
              <w:spacing w:line="276" w:lineRule="auto"/>
              <w:jc w:val="left"/>
              <w:rPr>
                <w:rFonts w:cs="Calibri"/>
                <w:color w:val="000000"/>
                <w:sz w:val="20"/>
                <w:lang w:eastAsia="es-CR"/>
              </w:rPr>
            </w:pPr>
            <w:r w:rsidRPr="004E74A6">
              <w:rPr>
                <w:rFonts w:cs="Calibri"/>
                <w:color w:val="000000"/>
                <w:sz w:val="20"/>
                <w:lang w:eastAsia="es-CR"/>
              </w:rPr>
              <w:t>Legajo Apelación Por Inadmisión</w:t>
            </w:r>
          </w:p>
        </w:tc>
        <w:tc>
          <w:tcPr>
            <w:tcW w:w="602" w:type="pct"/>
            <w:tcBorders>
              <w:left w:val="single" w:sz="4" w:space="0" w:color="auto"/>
              <w:right w:val="single" w:sz="4" w:space="0" w:color="auto"/>
            </w:tcBorders>
            <w:shd w:val="clear" w:color="auto" w:fill="auto"/>
            <w:noWrap/>
            <w:vAlign w:val="center"/>
            <w:hideMark/>
          </w:tcPr>
          <w:p w14:paraId="617333ED" w14:textId="036A8B45" w:rsidR="007D0D3C" w:rsidRPr="004E74A6" w:rsidRDefault="007D0D3C" w:rsidP="00CE62C1">
            <w:pPr>
              <w:spacing w:line="276" w:lineRule="auto"/>
              <w:jc w:val="center"/>
              <w:rPr>
                <w:sz w:val="20"/>
                <w:lang w:eastAsia="es-CR"/>
              </w:rPr>
            </w:pPr>
            <w:r w:rsidRPr="004E74A6">
              <w:rPr>
                <w:sz w:val="20"/>
                <w:lang w:eastAsia="es-CR"/>
              </w:rPr>
              <w:t>0</w:t>
            </w:r>
          </w:p>
        </w:tc>
        <w:tc>
          <w:tcPr>
            <w:tcW w:w="600" w:type="pct"/>
            <w:tcBorders>
              <w:left w:val="single" w:sz="4" w:space="0" w:color="auto"/>
              <w:right w:val="single" w:sz="4" w:space="0" w:color="auto"/>
            </w:tcBorders>
            <w:shd w:val="clear" w:color="auto" w:fill="auto"/>
            <w:noWrap/>
            <w:vAlign w:val="center"/>
            <w:hideMark/>
          </w:tcPr>
          <w:p w14:paraId="1B9C08D4" w14:textId="74F20303" w:rsidR="007D0D3C" w:rsidRPr="004E74A6" w:rsidRDefault="007D0D3C" w:rsidP="00CE62C1">
            <w:pPr>
              <w:spacing w:line="276" w:lineRule="auto"/>
              <w:jc w:val="center"/>
              <w:rPr>
                <w:sz w:val="20"/>
                <w:lang w:eastAsia="es-CR"/>
              </w:rPr>
            </w:pPr>
            <w:r w:rsidRPr="004E74A6">
              <w:rPr>
                <w:sz w:val="20"/>
                <w:lang w:eastAsia="es-CR"/>
              </w:rPr>
              <w:t>0</w:t>
            </w:r>
          </w:p>
        </w:tc>
        <w:tc>
          <w:tcPr>
            <w:tcW w:w="598" w:type="pct"/>
            <w:tcBorders>
              <w:left w:val="single" w:sz="4" w:space="0" w:color="auto"/>
              <w:right w:val="single" w:sz="4" w:space="0" w:color="auto"/>
            </w:tcBorders>
            <w:shd w:val="clear" w:color="auto" w:fill="auto"/>
            <w:noWrap/>
            <w:vAlign w:val="center"/>
            <w:hideMark/>
          </w:tcPr>
          <w:p w14:paraId="4C0B7EE9" w14:textId="77777777" w:rsidR="007D0D3C" w:rsidRPr="004E74A6" w:rsidRDefault="007D0D3C" w:rsidP="00CE62C1">
            <w:pPr>
              <w:spacing w:line="276" w:lineRule="auto"/>
              <w:jc w:val="center"/>
              <w:rPr>
                <w:rFonts w:cs="Calibri"/>
                <w:color w:val="000000"/>
                <w:sz w:val="20"/>
                <w:lang w:eastAsia="es-CR"/>
              </w:rPr>
            </w:pPr>
            <w:r w:rsidRPr="004E74A6">
              <w:rPr>
                <w:rFonts w:cs="Calibri"/>
                <w:color w:val="000000"/>
                <w:sz w:val="20"/>
                <w:lang w:eastAsia="es-CR"/>
              </w:rPr>
              <w:t>1</w:t>
            </w:r>
          </w:p>
        </w:tc>
        <w:tc>
          <w:tcPr>
            <w:tcW w:w="800" w:type="pct"/>
            <w:tcBorders>
              <w:left w:val="single" w:sz="4" w:space="0" w:color="auto"/>
            </w:tcBorders>
            <w:shd w:val="clear" w:color="auto" w:fill="auto"/>
            <w:noWrap/>
            <w:vAlign w:val="center"/>
            <w:hideMark/>
          </w:tcPr>
          <w:p w14:paraId="70109EF0" w14:textId="503E0B49" w:rsidR="007D0D3C" w:rsidRPr="004E74A6" w:rsidRDefault="007D0D3C" w:rsidP="00CE62C1">
            <w:pPr>
              <w:spacing w:line="276" w:lineRule="auto"/>
              <w:jc w:val="center"/>
              <w:rPr>
                <w:rFonts w:cs="Calibri"/>
                <w:color w:val="000000"/>
                <w:sz w:val="20"/>
                <w:lang w:eastAsia="es-CR"/>
              </w:rPr>
            </w:pPr>
            <w:r w:rsidRPr="004E74A6">
              <w:rPr>
                <w:rFonts w:cs="Calibri"/>
                <w:color w:val="000000"/>
                <w:sz w:val="20"/>
              </w:rPr>
              <w:t>0,3</w:t>
            </w:r>
          </w:p>
        </w:tc>
      </w:tr>
      <w:tr w:rsidR="007D0D3C" w:rsidRPr="004E74A6" w14:paraId="026EC242" w14:textId="77777777" w:rsidTr="00767FE4">
        <w:trPr>
          <w:trHeight w:val="288"/>
          <w:jc w:val="center"/>
        </w:trPr>
        <w:tc>
          <w:tcPr>
            <w:tcW w:w="2400" w:type="pct"/>
            <w:tcBorders>
              <w:right w:val="single" w:sz="4" w:space="0" w:color="auto"/>
            </w:tcBorders>
            <w:shd w:val="clear" w:color="auto" w:fill="auto"/>
            <w:noWrap/>
            <w:vAlign w:val="bottom"/>
            <w:hideMark/>
          </w:tcPr>
          <w:p w14:paraId="60A9C075" w14:textId="77777777" w:rsidR="007D0D3C" w:rsidRPr="004E74A6" w:rsidRDefault="007D0D3C" w:rsidP="00CE62C1">
            <w:pPr>
              <w:spacing w:line="276" w:lineRule="auto"/>
              <w:jc w:val="left"/>
              <w:rPr>
                <w:rFonts w:cs="Calibri"/>
                <w:color w:val="000000"/>
                <w:sz w:val="20"/>
                <w:lang w:eastAsia="es-CR"/>
              </w:rPr>
            </w:pPr>
            <w:r w:rsidRPr="004E74A6">
              <w:rPr>
                <w:rFonts w:cs="Calibri"/>
                <w:color w:val="000000"/>
                <w:sz w:val="20"/>
                <w:lang w:eastAsia="es-CR"/>
              </w:rPr>
              <w:t>Legajo De Medidas Cautelares</w:t>
            </w:r>
          </w:p>
        </w:tc>
        <w:tc>
          <w:tcPr>
            <w:tcW w:w="602" w:type="pct"/>
            <w:tcBorders>
              <w:left w:val="single" w:sz="4" w:space="0" w:color="auto"/>
              <w:right w:val="single" w:sz="4" w:space="0" w:color="auto"/>
            </w:tcBorders>
            <w:shd w:val="clear" w:color="auto" w:fill="auto"/>
            <w:noWrap/>
            <w:vAlign w:val="center"/>
            <w:hideMark/>
          </w:tcPr>
          <w:p w14:paraId="6B49373F" w14:textId="296D8F3D" w:rsidR="007D0D3C" w:rsidRPr="004E74A6" w:rsidRDefault="007D0D3C" w:rsidP="00CE62C1">
            <w:pPr>
              <w:spacing w:line="276" w:lineRule="auto"/>
              <w:jc w:val="center"/>
              <w:rPr>
                <w:sz w:val="20"/>
                <w:lang w:eastAsia="es-CR"/>
              </w:rPr>
            </w:pPr>
            <w:r w:rsidRPr="004E74A6">
              <w:rPr>
                <w:sz w:val="20"/>
                <w:lang w:eastAsia="es-CR"/>
              </w:rPr>
              <w:t>0</w:t>
            </w:r>
          </w:p>
        </w:tc>
        <w:tc>
          <w:tcPr>
            <w:tcW w:w="600" w:type="pct"/>
            <w:tcBorders>
              <w:left w:val="single" w:sz="4" w:space="0" w:color="auto"/>
              <w:right w:val="single" w:sz="4" w:space="0" w:color="auto"/>
            </w:tcBorders>
            <w:shd w:val="clear" w:color="auto" w:fill="auto"/>
            <w:noWrap/>
            <w:vAlign w:val="center"/>
            <w:hideMark/>
          </w:tcPr>
          <w:p w14:paraId="72D9578E" w14:textId="77777777" w:rsidR="007D0D3C" w:rsidRPr="004E74A6" w:rsidRDefault="007D0D3C" w:rsidP="00CE62C1">
            <w:pPr>
              <w:spacing w:line="276" w:lineRule="auto"/>
              <w:jc w:val="center"/>
              <w:rPr>
                <w:rFonts w:cs="Calibri"/>
                <w:color w:val="000000"/>
                <w:sz w:val="20"/>
                <w:lang w:eastAsia="es-CR"/>
              </w:rPr>
            </w:pPr>
            <w:r w:rsidRPr="004E74A6">
              <w:rPr>
                <w:rFonts w:cs="Calibri"/>
                <w:color w:val="000000"/>
                <w:sz w:val="20"/>
                <w:lang w:eastAsia="es-CR"/>
              </w:rPr>
              <w:t>1</w:t>
            </w:r>
          </w:p>
        </w:tc>
        <w:tc>
          <w:tcPr>
            <w:tcW w:w="598" w:type="pct"/>
            <w:tcBorders>
              <w:left w:val="single" w:sz="4" w:space="0" w:color="auto"/>
              <w:right w:val="single" w:sz="4" w:space="0" w:color="auto"/>
            </w:tcBorders>
            <w:shd w:val="clear" w:color="auto" w:fill="auto"/>
            <w:noWrap/>
            <w:vAlign w:val="center"/>
            <w:hideMark/>
          </w:tcPr>
          <w:p w14:paraId="1700E38A" w14:textId="14FE52CE" w:rsidR="007D0D3C" w:rsidRPr="004E74A6" w:rsidRDefault="007D0D3C" w:rsidP="00CE62C1">
            <w:pPr>
              <w:spacing w:line="276" w:lineRule="auto"/>
              <w:jc w:val="center"/>
              <w:rPr>
                <w:rFonts w:cs="Calibri"/>
                <w:color w:val="000000"/>
                <w:sz w:val="20"/>
                <w:lang w:eastAsia="es-CR"/>
              </w:rPr>
            </w:pPr>
            <w:r w:rsidRPr="004E74A6">
              <w:rPr>
                <w:rFonts w:cs="Calibri"/>
                <w:color w:val="000000"/>
                <w:sz w:val="20"/>
                <w:lang w:eastAsia="es-CR"/>
              </w:rPr>
              <w:t>0</w:t>
            </w:r>
          </w:p>
        </w:tc>
        <w:tc>
          <w:tcPr>
            <w:tcW w:w="800" w:type="pct"/>
            <w:tcBorders>
              <w:left w:val="single" w:sz="4" w:space="0" w:color="auto"/>
            </w:tcBorders>
            <w:shd w:val="clear" w:color="auto" w:fill="auto"/>
            <w:noWrap/>
            <w:vAlign w:val="center"/>
            <w:hideMark/>
          </w:tcPr>
          <w:p w14:paraId="1825EFD7" w14:textId="33975616" w:rsidR="007D0D3C" w:rsidRPr="004E74A6" w:rsidRDefault="007D0D3C" w:rsidP="00CE62C1">
            <w:pPr>
              <w:spacing w:line="276" w:lineRule="auto"/>
              <w:jc w:val="center"/>
              <w:rPr>
                <w:rFonts w:cs="Calibri"/>
                <w:color w:val="000000"/>
                <w:sz w:val="20"/>
                <w:lang w:eastAsia="es-CR"/>
              </w:rPr>
            </w:pPr>
            <w:r w:rsidRPr="004E74A6">
              <w:rPr>
                <w:rFonts w:cs="Calibri"/>
                <w:color w:val="000000"/>
                <w:sz w:val="20"/>
              </w:rPr>
              <w:t>0,3</w:t>
            </w:r>
          </w:p>
        </w:tc>
      </w:tr>
      <w:tr w:rsidR="007D0D3C" w:rsidRPr="004E74A6" w14:paraId="29AEFAD2" w14:textId="77777777" w:rsidTr="00767FE4">
        <w:trPr>
          <w:trHeight w:val="288"/>
          <w:jc w:val="center"/>
        </w:trPr>
        <w:tc>
          <w:tcPr>
            <w:tcW w:w="2400" w:type="pct"/>
            <w:tcBorders>
              <w:right w:val="single" w:sz="4" w:space="0" w:color="auto"/>
            </w:tcBorders>
            <w:shd w:val="clear" w:color="auto" w:fill="auto"/>
            <w:noWrap/>
            <w:vAlign w:val="bottom"/>
            <w:hideMark/>
          </w:tcPr>
          <w:p w14:paraId="6E1F0576" w14:textId="77777777" w:rsidR="007D0D3C" w:rsidRPr="004E74A6" w:rsidRDefault="007D0D3C" w:rsidP="00CE62C1">
            <w:pPr>
              <w:spacing w:line="276" w:lineRule="auto"/>
              <w:jc w:val="left"/>
              <w:rPr>
                <w:rFonts w:cs="Calibri"/>
                <w:color w:val="000000"/>
                <w:sz w:val="20"/>
                <w:lang w:eastAsia="es-CR"/>
              </w:rPr>
            </w:pPr>
            <w:r w:rsidRPr="004E74A6">
              <w:rPr>
                <w:rFonts w:cs="Calibri"/>
                <w:color w:val="000000"/>
                <w:sz w:val="20"/>
                <w:lang w:eastAsia="es-CR"/>
              </w:rPr>
              <w:t>Legajo Medida Cautelar Anticipada</w:t>
            </w:r>
          </w:p>
        </w:tc>
        <w:tc>
          <w:tcPr>
            <w:tcW w:w="602" w:type="pct"/>
            <w:tcBorders>
              <w:left w:val="single" w:sz="4" w:space="0" w:color="auto"/>
              <w:right w:val="single" w:sz="4" w:space="0" w:color="auto"/>
            </w:tcBorders>
            <w:shd w:val="clear" w:color="auto" w:fill="auto"/>
            <w:noWrap/>
            <w:vAlign w:val="center"/>
            <w:hideMark/>
          </w:tcPr>
          <w:p w14:paraId="37217582" w14:textId="6B1CE156" w:rsidR="007D0D3C" w:rsidRPr="004E74A6" w:rsidRDefault="007D0D3C" w:rsidP="00CE62C1">
            <w:pPr>
              <w:spacing w:line="276" w:lineRule="auto"/>
              <w:jc w:val="center"/>
              <w:rPr>
                <w:sz w:val="20"/>
                <w:lang w:eastAsia="es-CR"/>
              </w:rPr>
            </w:pPr>
            <w:r w:rsidRPr="004E74A6">
              <w:rPr>
                <w:sz w:val="20"/>
                <w:lang w:eastAsia="es-CR"/>
              </w:rPr>
              <w:t>0</w:t>
            </w:r>
          </w:p>
        </w:tc>
        <w:tc>
          <w:tcPr>
            <w:tcW w:w="600" w:type="pct"/>
            <w:tcBorders>
              <w:left w:val="single" w:sz="4" w:space="0" w:color="auto"/>
              <w:right w:val="single" w:sz="4" w:space="0" w:color="auto"/>
            </w:tcBorders>
            <w:shd w:val="clear" w:color="auto" w:fill="auto"/>
            <w:noWrap/>
            <w:vAlign w:val="center"/>
            <w:hideMark/>
          </w:tcPr>
          <w:p w14:paraId="19A5CD87" w14:textId="4DFD99B3" w:rsidR="007D0D3C" w:rsidRPr="004E74A6" w:rsidRDefault="007D0D3C" w:rsidP="00CE62C1">
            <w:pPr>
              <w:spacing w:line="276" w:lineRule="auto"/>
              <w:jc w:val="center"/>
              <w:rPr>
                <w:sz w:val="20"/>
                <w:lang w:eastAsia="es-CR"/>
              </w:rPr>
            </w:pPr>
            <w:r w:rsidRPr="004E74A6">
              <w:rPr>
                <w:sz w:val="20"/>
                <w:lang w:eastAsia="es-CR"/>
              </w:rPr>
              <w:t>0</w:t>
            </w:r>
          </w:p>
        </w:tc>
        <w:tc>
          <w:tcPr>
            <w:tcW w:w="598" w:type="pct"/>
            <w:tcBorders>
              <w:left w:val="single" w:sz="4" w:space="0" w:color="auto"/>
              <w:right w:val="single" w:sz="4" w:space="0" w:color="auto"/>
            </w:tcBorders>
            <w:shd w:val="clear" w:color="auto" w:fill="auto"/>
            <w:noWrap/>
            <w:vAlign w:val="center"/>
            <w:hideMark/>
          </w:tcPr>
          <w:p w14:paraId="08CA6A98" w14:textId="77777777" w:rsidR="007D0D3C" w:rsidRPr="004E74A6" w:rsidRDefault="007D0D3C" w:rsidP="00CE62C1">
            <w:pPr>
              <w:spacing w:line="276" w:lineRule="auto"/>
              <w:jc w:val="center"/>
              <w:rPr>
                <w:rFonts w:cs="Calibri"/>
                <w:color w:val="000000"/>
                <w:sz w:val="20"/>
                <w:lang w:eastAsia="es-CR"/>
              </w:rPr>
            </w:pPr>
            <w:r w:rsidRPr="004E74A6">
              <w:rPr>
                <w:rFonts w:cs="Calibri"/>
                <w:color w:val="000000"/>
                <w:sz w:val="20"/>
                <w:lang w:eastAsia="es-CR"/>
              </w:rPr>
              <w:t>1</w:t>
            </w:r>
          </w:p>
        </w:tc>
        <w:tc>
          <w:tcPr>
            <w:tcW w:w="800" w:type="pct"/>
            <w:tcBorders>
              <w:left w:val="single" w:sz="4" w:space="0" w:color="auto"/>
            </w:tcBorders>
            <w:shd w:val="clear" w:color="auto" w:fill="auto"/>
            <w:noWrap/>
            <w:vAlign w:val="center"/>
            <w:hideMark/>
          </w:tcPr>
          <w:p w14:paraId="586805AF" w14:textId="339DCB6D" w:rsidR="007D0D3C" w:rsidRPr="004E74A6" w:rsidRDefault="007D0D3C" w:rsidP="00CE62C1">
            <w:pPr>
              <w:spacing w:line="276" w:lineRule="auto"/>
              <w:jc w:val="center"/>
              <w:rPr>
                <w:rFonts w:cs="Calibri"/>
                <w:color w:val="000000"/>
                <w:sz w:val="20"/>
                <w:lang w:eastAsia="es-CR"/>
              </w:rPr>
            </w:pPr>
            <w:r w:rsidRPr="004E74A6">
              <w:rPr>
                <w:rFonts w:cs="Calibri"/>
                <w:color w:val="000000"/>
                <w:sz w:val="20"/>
              </w:rPr>
              <w:t>0,3</w:t>
            </w:r>
          </w:p>
        </w:tc>
      </w:tr>
      <w:tr w:rsidR="007D0D3C" w:rsidRPr="004E74A6" w14:paraId="2A124ED2" w14:textId="77777777" w:rsidTr="00767FE4">
        <w:trPr>
          <w:trHeight w:val="288"/>
          <w:jc w:val="center"/>
        </w:trPr>
        <w:tc>
          <w:tcPr>
            <w:tcW w:w="2400" w:type="pct"/>
            <w:tcBorders>
              <w:right w:val="single" w:sz="4" w:space="0" w:color="auto"/>
            </w:tcBorders>
            <w:shd w:val="clear" w:color="auto" w:fill="auto"/>
            <w:noWrap/>
            <w:vAlign w:val="bottom"/>
            <w:hideMark/>
          </w:tcPr>
          <w:p w14:paraId="38D90183" w14:textId="77777777" w:rsidR="007D0D3C" w:rsidRPr="004E74A6" w:rsidRDefault="007D0D3C" w:rsidP="00CE62C1">
            <w:pPr>
              <w:spacing w:line="276" w:lineRule="auto"/>
              <w:jc w:val="left"/>
              <w:rPr>
                <w:rFonts w:cs="Calibri"/>
                <w:color w:val="000000"/>
                <w:sz w:val="20"/>
                <w:lang w:eastAsia="es-CR"/>
              </w:rPr>
            </w:pPr>
            <w:r w:rsidRPr="004E74A6">
              <w:rPr>
                <w:rFonts w:cs="Calibri"/>
                <w:color w:val="000000"/>
                <w:sz w:val="20"/>
                <w:lang w:eastAsia="es-CR"/>
              </w:rPr>
              <w:t>Principal</w:t>
            </w:r>
          </w:p>
        </w:tc>
        <w:tc>
          <w:tcPr>
            <w:tcW w:w="602" w:type="pct"/>
            <w:tcBorders>
              <w:left w:val="single" w:sz="4" w:space="0" w:color="auto"/>
              <w:right w:val="single" w:sz="4" w:space="0" w:color="auto"/>
            </w:tcBorders>
            <w:shd w:val="clear" w:color="auto" w:fill="auto"/>
            <w:noWrap/>
            <w:vAlign w:val="center"/>
            <w:hideMark/>
          </w:tcPr>
          <w:p w14:paraId="781BD368" w14:textId="40B3DC10" w:rsidR="007D0D3C" w:rsidRPr="004E74A6" w:rsidRDefault="007D0D3C" w:rsidP="00CE62C1">
            <w:pPr>
              <w:spacing w:line="276" w:lineRule="auto"/>
              <w:jc w:val="center"/>
              <w:rPr>
                <w:rFonts w:cs="Calibri"/>
                <w:color w:val="000000"/>
                <w:sz w:val="20"/>
                <w:lang w:eastAsia="es-CR"/>
              </w:rPr>
            </w:pPr>
            <w:r w:rsidRPr="004E74A6">
              <w:rPr>
                <w:rFonts w:cs="Calibri"/>
                <w:color w:val="000000"/>
                <w:sz w:val="20"/>
                <w:lang w:eastAsia="es-CR"/>
              </w:rPr>
              <w:t>155</w:t>
            </w:r>
          </w:p>
        </w:tc>
        <w:tc>
          <w:tcPr>
            <w:tcW w:w="600" w:type="pct"/>
            <w:tcBorders>
              <w:left w:val="single" w:sz="4" w:space="0" w:color="auto"/>
              <w:right w:val="single" w:sz="4" w:space="0" w:color="auto"/>
            </w:tcBorders>
            <w:shd w:val="clear" w:color="auto" w:fill="auto"/>
            <w:noWrap/>
            <w:vAlign w:val="center"/>
            <w:hideMark/>
          </w:tcPr>
          <w:p w14:paraId="5E8A2E4C" w14:textId="77777777" w:rsidR="007D0D3C" w:rsidRPr="004E74A6" w:rsidRDefault="007D0D3C" w:rsidP="00CE62C1">
            <w:pPr>
              <w:spacing w:line="276" w:lineRule="auto"/>
              <w:jc w:val="center"/>
              <w:rPr>
                <w:rFonts w:cs="Calibri"/>
                <w:color w:val="000000"/>
                <w:sz w:val="20"/>
                <w:lang w:eastAsia="es-CR"/>
              </w:rPr>
            </w:pPr>
            <w:r w:rsidRPr="004E74A6">
              <w:rPr>
                <w:rFonts w:cs="Calibri"/>
                <w:color w:val="000000"/>
                <w:sz w:val="20"/>
                <w:lang w:eastAsia="es-CR"/>
              </w:rPr>
              <w:t>98</w:t>
            </w:r>
          </w:p>
        </w:tc>
        <w:tc>
          <w:tcPr>
            <w:tcW w:w="598" w:type="pct"/>
            <w:tcBorders>
              <w:left w:val="single" w:sz="4" w:space="0" w:color="auto"/>
              <w:right w:val="single" w:sz="4" w:space="0" w:color="auto"/>
            </w:tcBorders>
            <w:shd w:val="clear" w:color="auto" w:fill="auto"/>
            <w:noWrap/>
            <w:vAlign w:val="center"/>
            <w:hideMark/>
          </w:tcPr>
          <w:p w14:paraId="761EFAA3" w14:textId="6F7962A5" w:rsidR="007D0D3C" w:rsidRPr="004E74A6" w:rsidRDefault="007D0D3C" w:rsidP="00CE62C1">
            <w:pPr>
              <w:spacing w:line="276" w:lineRule="auto"/>
              <w:jc w:val="center"/>
              <w:rPr>
                <w:rFonts w:cs="Calibri"/>
                <w:color w:val="000000"/>
                <w:sz w:val="20"/>
                <w:lang w:eastAsia="es-CR"/>
              </w:rPr>
            </w:pPr>
            <w:r w:rsidRPr="004E74A6">
              <w:rPr>
                <w:rFonts w:cs="Calibri"/>
                <w:color w:val="000000"/>
                <w:sz w:val="20"/>
                <w:lang w:eastAsia="es-CR"/>
              </w:rPr>
              <w:t>171</w:t>
            </w:r>
          </w:p>
        </w:tc>
        <w:tc>
          <w:tcPr>
            <w:tcW w:w="800" w:type="pct"/>
            <w:tcBorders>
              <w:left w:val="single" w:sz="4" w:space="0" w:color="auto"/>
            </w:tcBorders>
            <w:shd w:val="clear" w:color="auto" w:fill="auto"/>
            <w:noWrap/>
            <w:vAlign w:val="center"/>
            <w:hideMark/>
          </w:tcPr>
          <w:p w14:paraId="1D824809" w14:textId="51E5AE61" w:rsidR="007D0D3C" w:rsidRPr="004E74A6" w:rsidRDefault="007D0D3C" w:rsidP="00CE62C1">
            <w:pPr>
              <w:spacing w:line="276" w:lineRule="auto"/>
              <w:jc w:val="center"/>
              <w:rPr>
                <w:rFonts w:cs="Calibri"/>
                <w:color w:val="000000"/>
                <w:sz w:val="20"/>
                <w:lang w:eastAsia="es-CR"/>
              </w:rPr>
            </w:pPr>
            <w:r w:rsidRPr="004E74A6">
              <w:rPr>
                <w:rFonts w:cs="Calibri"/>
                <w:color w:val="000000"/>
                <w:sz w:val="20"/>
              </w:rPr>
              <w:t>141</w:t>
            </w:r>
          </w:p>
        </w:tc>
      </w:tr>
      <w:tr w:rsidR="007D0D3C" w:rsidRPr="004E74A6" w14:paraId="7DE594A5" w14:textId="77777777" w:rsidTr="00767FE4">
        <w:trPr>
          <w:trHeight w:val="288"/>
          <w:jc w:val="center"/>
        </w:trPr>
        <w:tc>
          <w:tcPr>
            <w:tcW w:w="2400" w:type="pct"/>
            <w:tcBorders>
              <w:right w:val="single" w:sz="4" w:space="0" w:color="auto"/>
            </w:tcBorders>
            <w:shd w:val="clear" w:color="auto" w:fill="auto"/>
            <w:noWrap/>
            <w:vAlign w:val="bottom"/>
            <w:hideMark/>
          </w:tcPr>
          <w:p w14:paraId="1B66A80E" w14:textId="77777777" w:rsidR="007D0D3C" w:rsidRPr="004E74A6" w:rsidRDefault="007D0D3C" w:rsidP="00CE62C1">
            <w:pPr>
              <w:spacing w:line="276" w:lineRule="auto"/>
              <w:jc w:val="left"/>
              <w:rPr>
                <w:rFonts w:cs="Calibri"/>
                <w:color w:val="000000"/>
                <w:sz w:val="20"/>
                <w:lang w:eastAsia="es-CR"/>
              </w:rPr>
            </w:pPr>
            <w:r w:rsidRPr="004E74A6">
              <w:rPr>
                <w:rFonts w:cs="Calibri"/>
                <w:color w:val="000000"/>
                <w:sz w:val="20"/>
                <w:lang w:eastAsia="es-CR"/>
              </w:rPr>
              <w:t>Recurso</w:t>
            </w:r>
          </w:p>
        </w:tc>
        <w:tc>
          <w:tcPr>
            <w:tcW w:w="602" w:type="pct"/>
            <w:tcBorders>
              <w:left w:val="single" w:sz="4" w:space="0" w:color="auto"/>
              <w:right w:val="single" w:sz="4" w:space="0" w:color="auto"/>
            </w:tcBorders>
            <w:shd w:val="clear" w:color="auto" w:fill="auto"/>
            <w:noWrap/>
            <w:vAlign w:val="center"/>
            <w:hideMark/>
          </w:tcPr>
          <w:p w14:paraId="4C49EBCA" w14:textId="7DF2C2D5" w:rsidR="007D0D3C" w:rsidRPr="004E74A6" w:rsidRDefault="007D0D3C" w:rsidP="00CE62C1">
            <w:pPr>
              <w:spacing w:line="276" w:lineRule="auto"/>
              <w:jc w:val="center"/>
              <w:rPr>
                <w:sz w:val="20"/>
                <w:lang w:eastAsia="es-CR"/>
              </w:rPr>
            </w:pPr>
            <w:r w:rsidRPr="004E74A6">
              <w:rPr>
                <w:sz w:val="20"/>
                <w:lang w:eastAsia="es-CR"/>
              </w:rPr>
              <w:t>0</w:t>
            </w:r>
          </w:p>
        </w:tc>
        <w:tc>
          <w:tcPr>
            <w:tcW w:w="600" w:type="pct"/>
            <w:tcBorders>
              <w:left w:val="single" w:sz="4" w:space="0" w:color="auto"/>
              <w:right w:val="single" w:sz="4" w:space="0" w:color="auto"/>
            </w:tcBorders>
            <w:shd w:val="clear" w:color="auto" w:fill="auto"/>
            <w:noWrap/>
            <w:vAlign w:val="center"/>
            <w:hideMark/>
          </w:tcPr>
          <w:p w14:paraId="4AE781E5" w14:textId="77777777" w:rsidR="007D0D3C" w:rsidRPr="004E74A6" w:rsidRDefault="007D0D3C" w:rsidP="00CE62C1">
            <w:pPr>
              <w:spacing w:line="276" w:lineRule="auto"/>
              <w:jc w:val="center"/>
              <w:rPr>
                <w:rFonts w:cs="Calibri"/>
                <w:color w:val="000000"/>
                <w:sz w:val="20"/>
                <w:lang w:eastAsia="es-CR"/>
              </w:rPr>
            </w:pPr>
            <w:r w:rsidRPr="004E74A6">
              <w:rPr>
                <w:rFonts w:cs="Calibri"/>
                <w:color w:val="000000"/>
                <w:sz w:val="20"/>
                <w:lang w:eastAsia="es-CR"/>
              </w:rPr>
              <w:t>1</w:t>
            </w:r>
          </w:p>
        </w:tc>
        <w:tc>
          <w:tcPr>
            <w:tcW w:w="598" w:type="pct"/>
            <w:tcBorders>
              <w:left w:val="single" w:sz="4" w:space="0" w:color="auto"/>
              <w:right w:val="single" w:sz="4" w:space="0" w:color="auto"/>
            </w:tcBorders>
            <w:shd w:val="clear" w:color="auto" w:fill="auto"/>
            <w:noWrap/>
            <w:vAlign w:val="center"/>
            <w:hideMark/>
          </w:tcPr>
          <w:p w14:paraId="2E6EFC0B" w14:textId="7BBB5617" w:rsidR="007D0D3C" w:rsidRPr="004E74A6" w:rsidRDefault="007D0D3C" w:rsidP="00CE62C1">
            <w:pPr>
              <w:spacing w:line="276" w:lineRule="auto"/>
              <w:jc w:val="center"/>
              <w:rPr>
                <w:rFonts w:cs="Calibri"/>
                <w:color w:val="000000"/>
                <w:sz w:val="20"/>
                <w:lang w:eastAsia="es-CR"/>
              </w:rPr>
            </w:pPr>
            <w:r w:rsidRPr="004E74A6">
              <w:rPr>
                <w:rFonts w:cs="Calibri"/>
                <w:color w:val="000000"/>
                <w:sz w:val="20"/>
                <w:lang w:eastAsia="es-CR"/>
              </w:rPr>
              <w:t>0</w:t>
            </w:r>
          </w:p>
        </w:tc>
        <w:tc>
          <w:tcPr>
            <w:tcW w:w="800" w:type="pct"/>
            <w:tcBorders>
              <w:left w:val="single" w:sz="4" w:space="0" w:color="auto"/>
            </w:tcBorders>
            <w:shd w:val="clear" w:color="auto" w:fill="auto"/>
            <w:noWrap/>
            <w:vAlign w:val="center"/>
            <w:hideMark/>
          </w:tcPr>
          <w:p w14:paraId="72C80144" w14:textId="5FE1F250" w:rsidR="007D0D3C" w:rsidRPr="004E74A6" w:rsidRDefault="007D0D3C" w:rsidP="00CE62C1">
            <w:pPr>
              <w:spacing w:line="276" w:lineRule="auto"/>
              <w:jc w:val="center"/>
              <w:rPr>
                <w:rFonts w:cs="Calibri"/>
                <w:color w:val="000000"/>
                <w:sz w:val="20"/>
                <w:lang w:eastAsia="es-CR"/>
              </w:rPr>
            </w:pPr>
            <w:r w:rsidRPr="004E74A6">
              <w:rPr>
                <w:rFonts w:cs="Calibri"/>
                <w:color w:val="000000"/>
                <w:sz w:val="20"/>
              </w:rPr>
              <w:t>0,3</w:t>
            </w:r>
          </w:p>
        </w:tc>
      </w:tr>
      <w:tr w:rsidR="007D0D3C" w:rsidRPr="004E74A6" w14:paraId="2BB15C5C" w14:textId="77777777" w:rsidTr="00767FE4">
        <w:trPr>
          <w:trHeight w:val="288"/>
          <w:jc w:val="center"/>
        </w:trPr>
        <w:tc>
          <w:tcPr>
            <w:tcW w:w="2400" w:type="pct"/>
            <w:tcBorders>
              <w:right w:val="single" w:sz="4" w:space="0" w:color="auto"/>
            </w:tcBorders>
            <w:shd w:val="clear" w:color="auto" w:fill="auto"/>
            <w:noWrap/>
            <w:vAlign w:val="bottom"/>
            <w:hideMark/>
          </w:tcPr>
          <w:p w14:paraId="6B848363" w14:textId="77777777" w:rsidR="007D0D3C" w:rsidRPr="004E74A6" w:rsidRDefault="007D0D3C" w:rsidP="00CE62C1">
            <w:pPr>
              <w:spacing w:line="276" w:lineRule="auto"/>
              <w:jc w:val="left"/>
              <w:rPr>
                <w:rFonts w:cs="Calibri"/>
                <w:color w:val="000000"/>
                <w:sz w:val="20"/>
                <w:lang w:eastAsia="es-CR"/>
              </w:rPr>
            </w:pPr>
            <w:r w:rsidRPr="004E74A6">
              <w:rPr>
                <w:rFonts w:cs="Calibri"/>
                <w:color w:val="000000"/>
                <w:sz w:val="20"/>
                <w:lang w:eastAsia="es-CR"/>
              </w:rPr>
              <w:t>Tercerías</w:t>
            </w:r>
          </w:p>
        </w:tc>
        <w:tc>
          <w:tcPr>
            <w:tcW w:w="602" w:type="pct"/>
            <w:tcBorders>
              <w:left w:val="single" w:sz="4" w:space="0" w:color="auto"/>
              <w:right w:val="single" w:sz="4" w:space="0" w:color="auto"/>
            </w:tcBorders>
            <w:shd w:val="clear" w:color="auto" w:fill="auto"/>
            <w:noWrap/>
            <w:vAlign w:val="center"/>
            <w:hideMark/>
          </w:tcPr>
          <w:p w14:paraId="55B15A22" w14:textId="65296834" w:rsidR="007D0D3C" w:rsidRPr="004E74A6" w:rsidRDefault="007D0D3C" w:rsidP="00CE62C1">
            <w:pPr>
              <w:spacing w:line="276" w:lineRule="auto"/>
              <w:jc w:val="center"/>
              <w:rPr>
                <w:sz w:val="20"/>
                <w:lang w:eastAsia="es-CR"/>
              </w:rPr>
            </w:pPr>
            <w:r w:rsidRPr="004E74A6">
              <w:rPr>
                <w:sz w:val="20"/>
                <w:lang w:eastAsia="es-CR"/>
              </w:rPr>
              <w:t>0</w:t>
            </w:r>
          </w:p>
        </w:tc>
        <w:tc>
          <w:tcPr>
            <w:tcW w:w="600" w:type="pct"/>
            <w:tcBorders>
              <w:left w:val="single" w:sz="4" w:space="0" w:color="auto"/>
              <w:right w:val="single" w:sz="4" w:space="0" w:color="auto"/>
            </w:tcBorders>
            <w:shd w:val="clear" w:color="auto" w:fill="auto"/>
            <w:noWrap/>
            <w:vAlign w:val="center"/>
            <w:hideMark/>
          </w:tcPr>
          <w:p w14:paraId="0FDBBD38" w14:textId="77777777" w:rsidR="007D0D3C" w:rsidRPr="004E74A6" w:rsidRDefault="007D0D3C" w:rsidP="00CE62C1">
            <w:pPr>
              <w:spacing w:line="276" w:lineRule="auto"/>
              <w:jc w:val="center"/>
              <w:rPr>
                <w:rFonts w:cs="Calibri"/>
                <w:color w:val="000000"/>
                <w:sz w:val="20"/>
                <w:lang w:eastAsia="es-CR"/>
              </w:rPr>
            </w:pPr>
            <w:r w:rsidRPr="004E74A6">
              <w:rPr>
                <w:rFonts w:cs="Calibri"/>
                <w:color w:val="000000"/>
                <w:sz w:val="20"/>
                <w:lang w:eastAsia="es-CR"/>
              </w:rPr>
              <w:t>1</w:t>
            </w:r>
          </w:p>
        </w:tc>
        <w:tc>
          <w:tcPr>
            <w:tcW w:w="598" w:type="pct"/>
            <w:tcBorders>
              <w:left w:val="single" w:sz="4" w:space="0" w:color="auto"/>
              <w:right w:val="single" w:sz="4" w:space="0" w:color="auto"/>
            </w:tcBorders>
            <w:shd w:val="clear" w:color="auto" w:fill="auto"/>
            <w:noWrap/>
            <w:vAlign w:val="center"/>
            <w:hideMark/>
          </w:tcPr>
          <w:p w14:paraId="7BF6D246" w14:textId="5CE2A578" w:rsidR="007D0D3C" w:rsidRPr="004E74A6" w:rsidRDefault="007D0D3C" w:rsidP="00CE62C1">
            <w:pPr>
              <w:spacing w:line="276" w:lineRule="auto"/>
              <w:jc w:val="center"/>
              <w:rPr>
                <w:rFonts w:cs="Calibri"/>
                <w:color w:val="000000"/>
                <w:sz w:val="20"/>
                <w:lang w:eastAsia="es-CR"/>
              </w:rPr>
            </w:pPr>
            <w:r w:rsidRPr="004E74A6">
              <w:rPr>
                <w:rFonts w:cs="Calibri"/>
                <w:color w:val="000000"/>
                <w:sz w:val="20"/>
                <w:lang w:eastAsia="es-CR"/>
              </w:rPr>
              <w:t>0</w:t>
            </w:r>
          </w:p>
        </w:tc>
        <w:tc>
          <w:tcPr>
            <w:tcW w:w="800" w:type="pct"/>
            <w:tcBorders>
              <w:left w:val="single" w:sz="4" w:space="0" w:color="auto"/>
            </w:tcBorders>
            <w:shd w:val="clear" w:color="auto" w:fill="auto"/>
            <w:noWrap/>
            <w:vAlign w:val="center"/>
            <w:hideMark/>
          </w:tcPr>
          <w:p w14:paraId="46EDCBD4" w14:textId="5E923B19" w:rsidR="007D0D3C" w:rsidRPr="004E74A6" w:rsidRDefault="007D0D3C" w:rsidP="00CE62C1">
            <w:pPr>
              <w:spacing w:line="276" w:lineRule="auto"/>
              <w:jc w:val="center"/>
              <w:rPr>
                <w:rFonts w:cs="Calibri"/>
                <w:color w:val="000000"/>
                <w:sz w:val="20"/>
                <w:lang w:eastAsia="es-CR"/>
              </w:rPr>
            </w:pPr>
            <w:r w:rsidRPr="004E74A6">
              <w:rPr>
                <w:rFonts w:cs="Calibri"/>
                <w:color w:val="000000"/>
                <w:sz w:val="20"/>
              </w:rPr>
              <w:t>0,3</w:t>
            </w:r>
          </w:p>
        </w:tc>
      </w:tr>
      <w:tr w:rsidR="007D0D3C" w:rsidRPr="004E74A6" w14:paraId="1B9306A9" w14:textId="77777777" w:rsidTr="00767FE4">
        <w:trPr>
          <w:trHeight w:val="288"/>
          <w:jc w:val="center"/>
        </w:trPr>
        <w:tc>
          <w:tcPr>
            <w:tcW w:w="2400" w:type="pct"/>
            <w:tcBorders>
              <w:bottom w:val="single" w:sz="4" w:space="0" w:color="auto"/>
              <w:right w:val="single" w:sz="4" w:space="0" w:color="auto"/>
            </w:tcBorders>
            <w:shd w:val="clear" w:color="auto" w:fill="auto"/>
            <w:noWrap/>
            <w:vAlign w:val="bottom"/>
          </w:tcPr>
          <w:p w14:paraId="4EB9F2E8" w14:textId="77777777" w:rsidR="007D0D3C" w:rsidRPr="004E74A6" w:rsidRDefault="007D0D3C" w:rsidP="00CE62C1">
            <w:pPr>
              <w:spacing w:line="276" w:lineRule="auto"/>
              <w:jc w:val="left"/>
              <w:rPr>
                <w:rFonts w:cs="Calibri"/>
                <w:color w:val="000000"/>
                <w:sz w:val="20"/>
                <w:lang w:eastAsia="es-CR"/>
              </w:rPr>
            </w:pPr>
          </w:p>
        </w:tc>
        <w:tc>
          <w:tcPr>
            <w:tcW w:w="602" w:type="pct"/>
            <w:tcBorders>
              <w:left w:val="single" w:sz="4" w:space="0" w:color="auto"/>
              <w:bottom w:val="single" w:sz="4" w:space="0" w:color="auto"/>
              <w:right w:val="single" w:sz="4" w:space="0" w:color="auto"/>
            </w:tcBorders>
            <w:shd w:val="clear" w:color="auto" w:fill="auto"/>
            <w:noWrap/>
            <w:vAlign w:val="center"/>
          </w:tcPr>
          <w:p w14:paraId="4EA89F33" w14:textId="77777777" w:rsidR="007D0D3C" w:rsidRPr="004E74A6" w:rsidRDefault="007D0D3C" w:rsidP="00CE62C1">
            <w:pPr>
              <w:spacing w:line="276" w:lineRule="auto"/>
              <w:jc w:val="center"/>
              <w:rPr>
                <w:rFonts w:cs="Calibri"/>
                <w:color w:val="000000"/>
                <w:sz w:val="20"/>
                <w:lang w:eastAsia="es-CR"/>
              </w:rPr>
            </w:pPr>
          </w:p>
        </w:tc>
        <w:tc>
          <w:tcPr>
            <w:tcW w:w="600" w:type="pct"/>
            <w:tcBorders>
              <w:left w:val="single" w:sz="4" w:space="0" w:color="auto"/>
              <w:bottom w:val="single" w:sz="4" w:space="0" w:color="auto"/>
              <w:right w:val="single" w:sz="4" w:space="0" w:color="auto"/>
            </w:tcBorders>
            <w:shd w:val="clear" w:color="auto" w:fill="auto"/>
            <w:noWrap/>
            <w:vAlign w:val="center"/>
          </w:tcPr>
          <w:p w14:paraId="35F0371A" w14:textId="77777777" w:rsidR="007D0D3C" w:rsidRPr="004E74A6" w:rsidRDefault="007D0D3C" w:rsidP="00CE62C1">
            <w:pPr>
              <w:spacing w:line="276" w:lineRule="auto"/>
              <w:jc w:val="center"/>
              <w:rPr>
                <w:rFonts w:cs="Calibri"/>
                <w:color w:val="000000"/>
                <w:sz w:val="20"/>
                <w:lang w:eastAsia="es-CR"/>
              </w:rPr>
            </w:pPr>
          </w:p>
        </w:tc>
        <w:tc>
          <w:tcPr>
            <w:tcW w:w="598" w:type="pct"/>
            <w:tcBorders>
              <w:left w:val="single" w:sz="4" w:space="0" w:color="auto"/>
              <w:bottom w:val="single" w:sz="4" w:space="0" w:color="auto"/>
              <w:right w:val="single" w:sz="4" w:space="0" w:color="auto"/>
            </w:tcBorders>
            <w:shd w:val="clear" w:color="auto" w:fill="auto"/>
            <w:noWrap/>
            <w:vAlign w:val="center"/>
          </w:tcPr>
          <w:p w14:paraId="5B7EB689" w14:textId="77777777" w:rsidR="007D0D3C" w:rsidRPr="004E74A6" w:rsidRDefault="007D0D3C" w:rsidP="00CE62C1">
            <w:pPr>
              <w:spacing w:line="276" w:lineRule="auto"/>
              <w:jc w:val="center"/>
              <w:rPr>
                <w:rFonts w:cs="Calibri"/>
                <w:color w:val="000000"/>
                <w:sz w:val="20"/>
                <w:lang w:eastAsia="es-CR"/>
              </w:rPr>
            </w:pPr>
          </w:p>
        </w:tc>
        <w:tc>
          <w:tcPr>
            <w:tcW w:w="800" w:type="pct"/>
            <w:tcBorders>
              <w:left w:val="single" w:sz="4" w:space="0" w:color="auto"/>
              <w:bottom w:val="single" w:sz="4" w:space="0" w:color="auto"/>
            </w:tcBorders>
            <w:shd w:val="clear" w:color="auto" w:fill="auto"/>
            <w:noWrap/>
            <w:vAlign w:val="center"/>
          </w:tcPr>
          <w:p w14:paraId="272D9AA9" w14:textId="77777777" w:rsidR="007D0D3C" w:rsidRPr="004E74A6" w:rsidRDefault="007D0D3C" w:rsidP="00CE62C1">
            <w:pPr>
              <w:spacing w:line="276" w:lineRule="auto"/>
              <w:jc w:val="center"/>
              <w:rPr>
                <w:rFonts w:cs="Calibri"/>
                <w:color w:val="000000"/>
                <w:sz w:val="20"/>
                <w:lang w:eastAsia="es-CR"/>
              </w:rPr>
            </w:pPr>
          </w:p>
        </w:tc>
      </w:tr>
    </w:tbl>
    <w:p w14:paraId="2CCD2F17" w14:textId="77777777" w:rsidR="003E4755" w:rsidRPr="004E74A6" w:rsidRDefault="003E4755" w:rsidP="00832773">
      <w:pPr>
        <w:spacing w:line="276" w:lineRule="auto"/>
        <w:ind w:left="907" w:right="907"/>
        <w:rPr>
          <w:rFonts w:cs="Calibri"/>
          <w:i/>
          <w:iCs/>
          <w:color w:val="000000"/>
          <w:sz w:val="20"/>
          <w:lang w:eastAsia="es-CR"/>
        </w:rPr>
      </w:pPr>
      <w:r w:rsidRPr="004E74A6">
        <w:rPr>
          <w:rFonts w:cs="Calibri"/>
          <w:b/>
          <w:bCs/>
          <w:i/>
          <w:iCs/>
          <w:color w:val="000000"/>
          <w:sz w:val="20"/>
          <w:lang w:eastAsia="es-CR"/>
        </w:rPr>
        <w:t>Fuente</w:t>
      </w:r>
      <w:r w:rsidRPr="004E74A6">
        <w:rPr>
          <w:rFonts w:cs="Calibri"/>
          <w:i/>
          <w:iCs/>
          <w:color w:val="000000"/>
          <w:sz w:val="20"/>
          <w:lang w:eastAsia="es-CR"/>
        </w:rPr>
        <w:t>: Subproceso de Modernización Institucional con datos extraídos del sistema SIGMA, Dirección de Planificación.</w:t>
      </w:r>
    </w:p>
    <w:p w14:paraId="5F51077F" w14:textId="77777777" w:rsidR="00553F9F" w:rsidRDefault="00553F9F" w:rsidP="00CE62C1">
      <w:pPr>
        <w:spacing w:after="160" w:line="276" w:lineRule="auto"/>
        <w:rPr>
          <w:rFonts w:cs="Calibri"/>
          <w:color w:val="000000"/>
          <w:szCs w:val="24"/>
          <w:lang w:eastAsia="es-CR"/>
        </w:rPr>
      </w:pPr>
    </w:p>
    <w:p w14:paraId="49F3B2D8" w14:textId="6AC6B3F5" w:rsidR="008647ED" w:rsidRDefault="00CF59BD" w:rsidP="00CE62C1">
      <w:pPr>
        <w:spacing w:after="160" w:line="276" w:lineRule="auto"/>
        <w:rPr>
          <w:rFonts w:cs="Calibri"/>
          <w:color w:val="000000"/>
          <w:szCs w:val="24"/>
          <w:lang w:eastAsia="es-CR"/>
        </w:rPr>
      </w:pPr>
      <w:r w:rsidRPr="004E74A6">
        <w:rPr>
          <w:rFonts w:cs="Calibri"/>
          <w:color w:val="000000"/>
          <w:szCs w:val="24"/>
          <w:lang w:eastAsia="es-CR"/>
        </w:rPr>
        <w:t xml:space="preserve">De esos 141 principales ingresados al Tribunal en Hatillo, </w:t>
      </w:r>
      <w:r w:rsidR="008647ED" w:rsidRPr="004E74A6">
        <w:rPr>
          <w:rFonts w:cs="Calibri"/>
          <w:color w:val="000000"/>
          <w:szCs w:val="24"/>
          <w:lang w:eastAsia="es-CR"/>
        </w:rPr>
        <w:t>tal y como lo refleja la siguiente tabla</w:t>
      </w:r>
      <w:r w:rsidRPr="004E74A6">
        <w:rPr>
          <w:rFonts w:cs="Calibri"/>
          <w:color w:val="000000"/>
          <w:szCs w:val="24"/>
          <w:lang w:eastAsia="es-CR"/>
        </w:rPr>
        <w:t xml:space="preserve"> las clases de asunto que refleja el sistema son: </w:t>
      </w:r>
      <w:r w:rsidR="008647ED" w:rsidRPr="004E74A6">
        <w:rPr>
          <w:rFonts w:cs="Calibri"/>
          <w:color w:val="000000"/>
          <w:szCs w:val="24"/>
          <w:lang w:eastAsia="es-CR"/>
        </w:rPr>
        <w:t>el 89,</w:t>
      </w:r>
      <w:r w:rsidR="007E2D10" w:rsidRPr="004E74A6">
        <w:rPr>
          <w:rFonts w:cs="Calibri"/>
          <w:color w:val="000000"/>
          <w:szCs w:val="24"/>
          <w:lang w:eastAsia="es-CR"/>
        </w:rPr>
        <w:t>4</w:t>
      </w:r>
      <w:r w:rsidR="008647ED" w:rsidRPr="004E74A6">
        <w:rPr>
          <w:rFonts w:cs="Calibri"/>
          <w:color w:val="000000"/>
          <w:szCs w:val="24"/>
          <w:lang w:eastAsia="es-CR"/>
        </w:rPr>
        <w:t>% ordinarios seguido de un 3,5% de prueba anticipada</w:t>
      </w:r>
      <w:r w:rsidRPr="004E74A6">
        <w:rPr>
          <w:rFonts w:cs="Calibri"/>
          <w:color w:val="000000"/>
          <w:szCs w:val="24"/>
          <w:lang w:eastAsia="es-CR"/>
        </w:rPr>
        <w:t>.</w:t>
      </w:r>
    </w:p>
    <w:p w14:paraId="63F29BE3" w14:textId="6D53443B" w:rsidR="00194F64" w:rsidRDefault="00194F64" w:rsidP="00CE62C1">
      <w:pPr>
        <w:spacing w:after="160" w:line="276" w:lineRule="auto"/>
        <w:rPr>
          <w:rFonts w:cs="Calibri"/>
          <w:color w:val="000000"/>
          <w:szCs w:val="24"/>
          <w:lang w:eastAsia="es-CR"/>
        </w:rPr>
      </w:pPr>
    </w:p>
    <w:p w14:paraId="2E6D736F" w14:textId="37F247A9" w:rsidR="00194F64" w:rsidRDefault="00194F64" w:rsidP="00CE62C1">
      <w:pPr>
        <w:spacing w:after="160" w:line="276" w:lineRule="auto"/>
        <w:rPr>
          <w:rFonts w:cs="Calibri"/>
          <w:color w:val="000000"/>
          <w:szCs w:val="24"/>
          <w:lang w:eastAsia="es-CR"/>
        </w:rPr>
      </w:pPr>
    </w:p>
    <w:p w14:paraId="64B3EC2B" w14:textId="65781C4A" w:rsidR="00194F64" w:rsidRDefault="00194F64" w:rsidP="00CE62C1">
      <w:pPr>
        <w:spacing w:after="160" w:line="276" w:lineRule="auto"/>
        <w:rPr>
          <w:rFonts w:cs="Calibri"/>
          <w:color w:val="000000"/>
          <w:szCs w:val="24"/>
          <w:lang w:eastAsia="es-CR"/>
        </w:rPr>
      </w:pPr>
    </w:p>
    <w:p w14:paraId="4BE22796" w14:textId="3E158421" w:rsidR="00194F64" w:rsidRDefault="00194F64" w:rsidP="00CE62C1">
      <w:pPr>
        <w:spacing w:after="160" w:line="276" w:lineRule="auto"/>
        <w:rPr>
          <w:rFonts w:cs="Calibri"/>
          <w:color w:val="000000"/>
          <w:szCs w:val="24"/>
          <w:lang w:eastAsia="es-CR"/>
        </w:rPr>
      </w:pPr>
    </w:p>
    <w:p w14:paraId="5A7AA946" w14:textId="2EBCC09E" w:rsidR="00194F64" w:rsidRDefault="00194F64" w:rsidP="00CE62C1">
      <w:pPr>
        <w:spacing w:after="160" w:line="276" w:lineRule="auto"/>
        <w:rPr>
          <w:rFonts w:cs="Calibri"/>
          <w:color w:val="000000"/>
          <w:szCs w:val="24"/>
          <w:lang w:eastAsia="es-CR"/>
        </w:rPr>
      </w:pPr>
    </w:p>
    <w:p w14:paraId="1A362D3D" w14:textId="2B724DB6" w:rsidR="00194F64" w:rsidRDefault="00194F64" w:rsidP="00CE62C1">
      <w:pPr>
        <w:spacing w:after="160" w:line="276" w:lineRule="auto"/>
        <w:rPr>
          <w:rFonts w:cs="Calibri"/>
          <w:color w:val="000000"/>
          <w:szCs w:val="24"/>
          <w:lang w:eastAsia="es-CR"/>
        </w:rPr>
      </w:pPr>
    </w:p>
    <w:p w14:paraId="5B1BFCB5" w14:textId="77777777" w:rsidR="00194F64" w:rsidRPr="004E74A6" w:rsidRDefault="00194F64" w:rsidP="00CE62C1">
      <w:pPr>
        <w:spacing w:after="160" w:line="276" w:lineRule="auto"/>
        <w:rPr>
          <w:rFonts w:cs="Calibri"/>
          <w:color w:val="000000"/>
          <w:szCs w:val="24"/>
          <w:lang w:eastAsia="es-CR"/>
        </w:rPr>
      </w:pPr>
    </w:p>
    <w:p w14:paraId="513F290D" w14:textId="4B7757D5" w:rsidR="00767FE4" w:rsidRPr="00832773" w:rsidRDefault="00767FE4" w:rsidP="00F0204A">
      <w:pPr>
        <w:pStyle w:val="Descripcin"/>
        <w:keepNext/>
        <w:spacing w:line="276" w:lineRule="auto"/>
        <w:jc w:val="center"/>
        <w:rPr>
          <w:rFonts w:ascii="Book Antiqua" w:hAnsi="Book Antiqua"/>
          <w:i/>
          <w:iCs/>
          <w:sz w:val="20"/>
          <w:szCs w:val="16"/>
          <w:lang w:val="es-CR"/>
        </w:rPr>
      </w:pPr>
      <w:r w:rsidRPr="00832773">
        <w:rPr>
          <w:rFonts w:ascii="Book Antiqua" w:hAnsi="Book Antiqua"/>
          <w:i/>
          <w:iCs/>
          <w:sz w:val="20"/>
          <w:szCs w:val="16"/>
          <w:lang w:val="es-CR"/>
        </w:rPr>
        <w:lastRenderedPageBreak/>
        <w:t xml:space="preserve">Tabla </w:t>
      </w:r>
      <w:r w:rsidRPr="00832773">
        <w:rPr>
          <w:rFonts w:ascii="Book Antiqua" w:hAnsi="Book Antiqua"/>
          <w:i/>
          <w:iCs/>
          <w:sz w:val="20"/>
          <w:szCs w:val="16"/>
          <w:lang w:val="es-CR"/>
        </w:rPr>
        <w:fldChar w:fldCharType="begin"/>
      </w:r>
      <w:r w:rsidRPr="00832773">
        <w:rPr>
          <w:rFonts w:ascii="Book Antiqua" w:hAnsi="Book Antiqua"/>
          <w:i/>
          <w:iCs/>
          <w:sz w:val="20"/>
          <w:szCs w:val="16"/>
          <w:lang w:val="es-CR"/>
        </w:rPr>
        <w:instrText xml:space="preserve"> SEQ Tabla \* ARABIC </w:instrText>
      </w:r>
      <w:r w:rsidRPr="00832773">
        <w:rPr>
          <w:rFonts w:ascii="Book Antiqua" w:hAnsi="Book Antiqua"/>
          <w:i/>
          <w:iCs/>
          <w:sz w:val="20"/>
          <w:szCs w:val="16"/>
          <w:lang w:val="es-CR"/>
        </w:rPr>
        <w:fldChar w:fldCharType="separate"/>
      </w:r>
      <w:r w:rsidR="00374B51">
        <w:rPr>
          <w:rFonts w:ascii="Book Antiqua" w:hAnsi="Book Antiqua"/>
          <w:i/>
          <w:iCs/>
          <w:noProof/>
          <w:sz w:val="20"/>
          <w:szCs w:val="16"/>
          <w:lang w:val="es-CR"/>
        </w:rPr>
        <w:t>10</w:t>
      </w:r>
      <w:r w:rsidRPr="00832773">
        <w:rPr>
          <w:rFonts w:ascii="Book Antiqua" w:hAnsi="Book Antiqua"/>
          <w:i/>
          <w:iCs/>
          <w:sz w:val="20"/>
          <w:szCs w:val="16"/>
          <w:lang w:val="es-CR"/>
        </w:rPr>
        <w:fldChar w:fldCharType="end"/>
      </w:r>
      <w:r w:rsidRPr="00832773">
        <w:rPr>
          <w:rFonts w:ascii="Book Antiqua" w:hAnsi="Book Antiqua"/>
          <w:i/>
          <w:iCs/>
          <w:sz w:val="20"/>
          <w:szCs w:val="16"/>
          <w:lang w:val="es-CR"/>
        </w:rPr>
        <w:t xml:space="preserve"> Cantidad de principales según clase de asuntos del 2019 al 2021 para el Tribunal Colegiado Primera Instancia Civil Tercer Circuito Judicial San José, Hatillo</w:t>
      </w:r>
    </w:p>
    <w:p w14:paraId="6F9260F2" w14:textId="77777777" w:rsidR="00662185" w:rsidRPr="00832773" w:rsidRDefault="00662185" w:rsidP="00832773">
      <w:pPr>
        <w:spacing w:line="276" w:lineRule="auto"/>
      </w:pPr>
    </w:p>
    <w:tbl>
      <w:tblPr>
        <w:tblW w:w="3953" w:type="pct"/>
        <w:jc w:val="center"/>
        <w:tblCellMar>
          <w:left w:w="70" w:type="dxa"/>
          <w:right w:w="70" w:type="dxa"/>
        </w:tblCellMar>
        <w:tblLook w:val="04A0" w:firstRow="1" w:lastRow="0" w:firstColumn="1" w:lastColumn="0" w:noHBand="0" w:noVBand="1"/>
      </w:tblPr>
      <w:tblGrid>
        <w:gridCol w:w="3357"/>
        <w:gridCol w:w="839"/>
        <w:gridCol w:w="839"/>
        <w:gridCol w:w="837"/>
        <w:gridCol w:w="1117"/>
      </w:tblGrid>
      <w:tr w:rsidR="00767FE4" w:rsidRPr="004E74A6" w14:paraId="5A2788B9" w14:textId="77777777" w:rsidTr="00767FE4">
        <w:trPr>
          <w:trHeight w:val="454"/>
          <w:tblHeader/>
          <w:jc w:val="center"/>
        </w:trPr>
        <w:tc>
          <w:tcPr>
            <w:tcW w:w="2401" w:type="pct"/>
            <w:tcBorders>
              <w:top w:val="single" w:sz="4" w:space="0" w:color="auto"/>
              <w:left w:val="nil"/>
              <w:bottom w:val="single" w:sz="4" w:space="0" w:color="auto"/>
              <w:right w:val="single" w:sz="4" w:space="0" w:color="auto"/>
            </w:tcBorders>
            <w:shd w:val="clear" w:color="auto" w:fill="auto"/>
            <w:noWrap/>
            <w:vAlign w:val="center"/>
            <w:hideMark/>
          </w:tcPr>
          <w:p w14:paraId="1188A022"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Principal</w:t>
            </w:r>
          </w:p>
        </w:tc>
        <w:tc>
          <w:tcPr>
            <w:tcW w:w="60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173F2B9"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2019</w:t>
            </w:r>
          </w:p>
        </w:tc>
        <w:tc>
          <w:tcPr>
            <w:tcW w:w="60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83369CB"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2020</w:t>
            </w:r>
          </w:p>
        </w:tc>
        <w:tc>
          <w:tcPr>
            <w:tcW w:w="59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76E4846"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2021</w:t>
            </w:r>
          </w:p>
        </w:tc>
        <w:tc>
          <w:tcPr>
            <w:tcW w:w="799" w:type="pct"/>
            <w:tcBorders>
              <w:top w:val="single" w:sz="4" w:space="0" w:color="auto"/>
              <w:left w:val="single" w:sz="4" w:space="0" w:color="auto"/>
              <w:bottom w:val="single" w:sz="4" w:space="0" w:color="auto"/>
              <w:right w:val="nil"/>
            </w:tcBorders>
            <w:shd w:val="clear" w:color="auto" w:fill="auto"/>
            <w:noWrap/>
            <w:vAlign w:val="center"/>
          </w:tcPr>
          <w:p w14:paraId="2CD74966" w14:textId="2B172B0A" w:rsidR="008647ED" w:rsidRPr="004E74A6" w:rsidRDefault="0017586F" w:rsidP="00CE62C1">
            <w:pPr>
              <w:spacing w:line="276" w:lineRule="auto"/>
              <w:jc w:val="center"/>
              <w:rPr>
                <w:rFonts w:cs="Calibri"/>
                <w:color w:val="000000"/>
                <w:sz w:val="20"/>
                <w:lang w:eastAsia="es-CR"/>
              </w:rPr>
            </w:pPr>
            <w:r w:rsidRPr="004E74A6">
              <w:rPr>
                <w:rFonts w:cs="Calibri"/>
                <w:color w:val="000000"/>
                <w:sz w:val="20"/>
                <w:lang w:eastAsia="es-CR"/>
              </w:rPr>
              <w:t>Promedio</w:t>
            </w:r>
          </w:p>
        </w:tc>
      </w:tr>
      <w:tr w:rsidR="00767FE4" w:rsidRPr="004E74A6" w14:paraId="665D3D5A" w14:textId="77777777" w:rsidTr="00767FE4">
        <w:trPr>
          <w:trHeight w:val="288"/>
          <w:jc w:val="center"/>
        </w:trPr>
        <w:tc>
          <w:tcPr>
            <w:tcW w:w="2401" w:type="pct"/>
            <w:tcBorders>
              <w:top w:val="single" w:sz="4" w:space="0" w:color="auto"/>
              <w:left w:val="nil"/>
              <w:bottom w:val="nil"/>
              <w:right w:val="single" w:sz="4" w:space="0" w:color="auto"/>
            </w:tcBorders>
            <w:shd w:val="clear" w:color="auto" w:fill="auto"/>
            <w:noWrap/>
            <w:vAlign w:val="center"/>
          </w:tcPr>
          <w:p w14:paraId="39B503AA" w14:textId="77777777" w:rsidR="008647ED" w:rsidRPr="004E74A6" w:rsidRDefault="008647ED" w:rsidP="00CE62C1">
            <w:pPr>
              <w:spacing w:line="276" w:lineRule="auto"/>
              <w:ind w:firstLineChars="100" w:firstLine="200"/>
              <w:jc w:val="center"/>
              <w:rPr>
                <w:rFonts w:cs="Calibri"/>
                <w:color w:val="000000"/>
                <w:sz w:val="20"/>
                <w:lang w:eastAsia="es-CR"/>
              </w:rPr>
            </w:pPr>
          </w:p>
        </w:tc>
        <w:tc>
          <w:tcPr>
            <w:tcW w:w="600" w:type="pct"/>
            <w:tcBorders>
              <w:top w:val="single" w:sz="4" w:space="0" w:color="auto"/>
              <w:left w:val="single" w:sz="4" w:space="0" w:color="auto"/>
              <w:bottom w:val="nil"/>
              <w:right w:val="single" w:sz="4" w:space="0" w:color="auto"/>
            </w:tcBorders>
            <w:shd w:val="clear" w:color="auto" w:fill="auto"/>
            <w:noWrap/>
            <w:vAlign w:val="center"/>
          </w:tcPr>
          <w:p w14:paraId="705A5E28" w14:textId="77777777" w:rsidR="008647ED" w:rsidRPr="004E74A6" w:rsidRDefault="008647ED" w:rsidP="00CE62C1">
            <w:pPr>
              <w:spacing w:line="276" w:lineRule="auto"/>
              <w:jc w:val="center"/>
              <w:rPr>
                <w:rFonts w:cs="Calibri"/>
                <w:color w:val="000000"/>
                <w:sz w:val="20"/>
                <w:lang w:eastAsia="es-CR"/>
              </w:rPr>
            </w:pPr>
          </w:p>
        </w:tc>
        <w:tc>
          <w:tcPr>
            <w:tcW w:w="600" w:type="pct"/>
            <w:tcBorders>
              <w:top w:val="single" w:sz="4" w:space="0" w:color="auto"/>
              <w:left w:val="single" w:sz="4" w:space="0" w:color="auto"/>
              <w:bottom w:val="nil"/>
              <w:right w:val="single" w:sz="4" w:space="0" w:color="auto"/>
            </w:tcBorders>
            <w:shd w:val="clear" w:color="auto" w:fill="auto"/>
            <w:noWrap/>
            <w:vAlign w:val="center"/>
          </w:tcPr>
          <w:p w14:paraId="55DB16B9" w14:textId="77777777" w:rsidR="008647ED" w:rsidRPr="004E74A6" w:rsidRDefault="008647ED" w:rsidP="00CE62C1">
            <w:pPr>
              <w:spacing w:line="276" w:lineRule="auto"/>
              <w:jc w:val="center"/>
              <w:rPr>
                <w:rFonts w:cs="Calibri"/>
                <w:color w:val="000000"/>
                <w:sz w:val="20"/>
                <w:lang w:eastAsia="es-CR"/>
              </w:rPr>
            </w:pPr>
          </w:p>
        </w:tc>
        <w:tc>
          <w:tcPr>
            <w:tcW w:w="599" w:type="pct"/>
            <w:tcBorders>
              <w:top w:val="single" w:sz="4" w:space="0" w:color="auto"/>
              <w:left w:val="single" w:sz="4" w:space="0" w:color="auto"/>
              <w:bottom w:val="nil"/>
              <w:right w:val="single" w:sz="4" w:space="0" w:color="auto"/>
            </w:tcBorders>
            <w:shd w:val="clear" w:color="auto" w:fill="auto"/>
            <w:noWrap/>
            <w:vAlign w:val="center"/>
          </w:tcPr>
          <w:p w14:paraId="51038A27" w14:textId="77777777" w:rsidR="008647ED" w:rsidRPr="004E74A6" w:rsidRDefault="008647ED" w:rsidP="00CE62C1">
            <w:pPr>
              <w:spacing w:line="276" w:lineRule="auto"/>
              <w:jc w:val="center"/>
              <w:rPr>
                <w:rFonts w:cs="Calibri"/>
                <w:color w:val="000000"/>
                <w:sz w:val="20"/>
                <w:lang w:eastAsia="es-CR"/>
              </w:rPr>
            </w:pPr>
          </w:p>
        </w:tc>
        <w:tc>
          <w:tcPr>
            <w:tcW w:w="799" w:type="pct"/>
            <w:tcBorders>
              <w:top w:val="single" w:sz="4" w:space="0" w:color="auto"/>
              <w:left w:val="single" w:sz="4" w:space="0" w:color="auto"/>
              <w:bottom w:val="nil"/>
              <w:right w:val="nil"/>
            </w:tcBorders>
            <w:shd w:val="clear" w:color="auto" w:fill="auto"/>
            <w:noWrap/>
            <w:vAlign w:val="center"/>
          </w:tcPr>
          <w:p w14:paraId="0FD7D6EF" w14:textId="77777777" w:rsidR="008647ED" w:rsidRPr="004E74A6" w:rsidRDefault="008647ED" w:rsidP="00CE62C1">
            <w:pPr>
              <w:spacing w:line="276" w:lineRule="auto"/>
              <w:jc w:val="center"/>
              <w:rPr>
                <w:rFonts w:cs="Calibri"/>
                <w:color w:val="000000"/>
                <w:sz w:val="20"/>
                <w:lang w:eastAsia="es-CR"/>
              </w:rPr>
            </w:pPr>
          </w:p>
        </w:tc>
      </w:tr>
      <w:tr w:rsidR="0017586F" w:rsidRPr="004E74A6" w14:paraId="03748793" w14:textId="77777777" w:rsidTr="00767FE4">
        <w:trPr>
          <w:trHeight w:val="288"/>
          <w:jc w:val="center"/>
        </w:trPr>
        <w:tc>
          <w:tcPr>
            <w:tcW w:w="2401" w:type="pct"/>
            <w:tcBorders>
              <w:top w:val="nil"/>
              <w:left w:val="nil"/>
              <w:bottom w:val="nil"/>
              <w:right w:val="single" w:sz="4" w:space="0" w:color="auto"/>
            </w:tcBorders>
            <w:shd w:val="clear" w:color="auto" w:fill="auto"/>
            <w:noWrap/>
            <w:vAlign w:val="center"/>
          </w:tcPr>
          <w:p w14:paraId="22079E2F" w14:textId="77777777" w:rsidR="0017586F" w:rsidRPr="004E74A6" w:rsidRDefault="0017586F" w:rsidP="00CE62C1">
            <w:pPr>
              <w:spacing w:line="276" w:lineRule="auto"/>
              <w:ind w:firstLineChars="100" w:firstLine="200"/>
              <w:jc w:val="center"/>
              <w:rPr>
                <w:rFonts w:cs="Calibri"/>
                <w:color w:val="000000"/>
                <w:sz w:val="20"/>
                <w:lang w:eastAsia="es-CR"/>
              </w:rPr>
            </w:pPr>
            <w:r w:rsidRPr="004E74A6">
              <w:rPr>
                <w:rFonts w:cs="Calibri"/>
                <w:color w:val="000000"/>
                <w:sz w:val="20"/>
                <w:lang w:eastAsia="es-CR"/>
              </w:rPr>
              <w:t>Total</w:t>
            </w:r>
          </w:p>
        </w:tc>
        <w:tc>
          <w:tcPr>
            <w:tcW w:w="600" w:type="pct"/>
            <w:tcBorders>
              <w:top w:val="nil"/>
              <w:left w:val="single" w:sz="4" w:space="0" w:color="auto"/>
              <w:bottom w:val="nil"/>
              <w:right w:val="single" w:sz="4" w:space="0" w:color="auto"/>
            </w:tcBorders>
            <w:shd w:val="clear" w:color="auto" w:fill="auto"/>
            <w:noWrap/>
            <w:vAlign w:val="center"/>
          </w:tcPr>
          <w:p w14:paraId="194C278D" w14:textId="1D1ED9B5" w:rsidR="0017586F" w:rsidRPr="004E74A6" w:rsidRDefault="0017586F" w:rsidP="00CE62C1">
            <w:pPr>
              <w:spacing w:line="276" w:lineRule="auto"/>
              <w:jc w:val="center"/>
              <w:rPr>
                <w:rFonts w:cs="Calibri"/>
                <w:color w:val="000000"/>
                <w:sz w:val="20"/>
                <w:lang w:eastAsia="es-CR"/>
              </w:rPr>
            </w:pPr>
            <w:r w:rsidRPr="004E74A6">
              <w:rPr>
                <w:rFonts w:cs="Calibri"/>
                <w:color w:val="000000"/>
                <w:sz w:val="20"/>
                <w:lang w:eastAsia="es-CR"/>
              </w:rPr>
              <w:t>15</w:t>
            </w:r>
            <w:r w:rsidR="00671082" w:rsidRPr="004E74A6">
              <w:rPr>
                <w:rFonts w:cs="Calibri"/>
                <w:color w:val="000000"/>
                <w:sz w:val="20"/>
                <w:lang w:eastAsia="es-CR"/>
              </w:rPr>
              <w:t>5</w:t>
            </w:r>
          </w:p>
        </w:tc>
        <w:tc>
          <w:tcPr>
            <w:tcW w:w="600" w:type="pct"/>
            <w:tcBorders>
              <w:top w:val="nil"/>
              <w:left w:val="single" w:sz="4" w:space="0" w:color="auto"/>
              <w:bottom w:val="nil"/>
              <w:right w:val="single" w:sz="4" w:space="0" w:color="auto"/>
            </w:tcBorders>
            <w:shd w:val="clear" w:color="auto" w:fill="auto"/>
            <w:noWrap/>
            <w:vAlign w:val="center"/>
          </w:tcPr>
          <w:p w14:paraId="199601B9" w14:textId="77777777" w:rsidR="0017586F" w:rsidRPr="004E74A6" w:rsidRDefault="0017586F" w:rsidP="00CE62C1">
            <w:pPr>
              <w:spacing w:line="276" w:lineRule="auto"/>
              <w:jc w:val="center"/>
              <w:rPr>
                <w:rFonts w:cs="Calibri"/>
                <w:color w:val="000000"/>
                <w:sz w:val="20"/>
                <w:lang w:eastAsia="es-CR"/>
              </w:rPr>
            </w:pPr>
            <w:r w:rsidRPr="004E74A6">
              <w:rPr>
                <w:rFonts w:cs="Calibri"/>
                <w:color w:val="000000"/>
                <w:sz w:val="20"/>
                <w:lang w:eastAsia="es-CR"/>
              </w:rPr>
              <w:t>98</w:t>
            </w:r>
          </w:p>
        </w:tc>
        <w:tc>
          <w:tcPr>
            <w:tcW w:w="599" w:type="pct"/>
            <w:tcBorders>
              <w:top w:val="nil"/>
              <w:left w:val="single" w:sz="4" w:space="0" w:color="auto"/>
              <w:bottom w:val="nil"/>
              <w:right w:val="single" w:sz="4" w:space="0" w:color="auto"/>
            </w:tcBorders>
            <w:shd w:val="clear" w:color="auto" w:fill="auto"/>
            <w:noWrap/>
            <w:vAlign w:val="center"/>
          </w:tcPr>
          <w:p w14:paraId="2ACCE436" w14:textId="6E7A5804" w:rsidR="0017586F" w:rsidRPr="004E74A6" w:rsidRDefault="0017586F" w:rsidP="00CE62C1">
            <w:pPr>
              <w:spacing w:line="276" w:lineRule="auto"/>
              <w:jc w:val="center"/>
              <w:rPr>
                <w:rFonts w:cs="Calibri"/>
                <w:color w:val="000000"/>
                <w:sz w:val="20"/>
                <w:lang w:eastAsia="es-CR"/>
              </w:rPr>
            </w:pPr>
            <w:r w:rsidRPr="004E74A6">
              <w:rPr>
                <w:rFonts w:cs="Calibri"/>
                <w:color w:val="000000"/>
                <w:sz w:val="20"/>
                <w:lang w:eastAsia="es-CR"/>
              </w:rPr>
              <w:t>17</w:t>
            </w:r>
            <w:r w:rsidR="00671082" w:rsidRPr="004E74A6">
              <w:rPr>
                <w:rFonts w:cs="Calibri"/>
                <w:color w:val="000000"/>
                <w:sz w:val="20"/>
                <w:lang w:eastAsia="es-CR"/>
              </w:rPr>
              <w:t>1</w:t>
            </w:r>
          </w:p>
        </w:tc>
        <w:tc>
          <w:tcPr>
            <w:tcW w:w="799" w:type="pct"/>
            <w:tcBorders>
              <w:top w:val="nil"/>
              <w:left w:val="single" w:sz="4" w:space="0" w:color="auto"/>
              <w:bottom w:val="nil"/>
              <w:right w:val="nil"/>
            </w:tcBorders>
            <w:shd w:val="clear" w:color="auto" w:fill="auto"/>
            <w:noWrap/>
            <w:vAlign w:val="center"/>
          </w:tcPr>
          <w:p w14:paraId="115BA278" w14:textId="1DA047B3" w:rsidR="0017586F" w:rsidRPr="004E74A6" w:rsidRDefault="0017586F" w:rsidP="00CE62C1">
            <w:pPr>
              <w:spacing w:line="276" w:lineRule="auto"/>
              <w:jc w:val="center"/>
              <w:rPr>
                <w:rFonts w:cs="Calibri"/>
                <w:color w:val="000000"/>
                <w:sz w:val="20"/>
                <w:lang w:eastAsia="es-CR"/>
              </w:rPr>
            </w:pPr>
            <w:r w:rsidRPr="004E74A6">
              <w:rPr>
                <w:rFonts w:cs="Calibri"/>
                <w:color w:val="000000"/>
                <w:sz w:val="20"/>
              </w:rPr>
              <w:t>14</w:t>
            </w:r>
            <w:r w:rsidR="00671082" w:rsidRPr="004E74A6">
              <w:rPr>
                <w:rFonts w:cs="Calibri"/>
                <w:color w:val="000000"/>
                <w:sz w:val="20"/>
              </w:rPr>
              <w:t>1</w:t>
            </w:r>
          </w:p>
        </w:tc>
      </w:tr>
      <w:tr w:rsidR="0017586F" w:rsidRPr="004E74A6" w14:paraId="224E1EEB" w14:textId="77777777" w:rsidTr="00767FE4">
        <w:trPr>
          <w:trHeight w:val="288"/>
          <w:jc w:val="center"/>
        </w:trPr>
        <w:tc>
          <w:tcPr>
            <w:tcW w:w="2401" w:type="pct"/>
            <w:tcBorders>
              <w:top w:val="nil"/>
              <w:left w:val="nil"/>
              <w:bottom w:val="nil"/>
              <w:right w:val="single" w:sz="4" w:space="0" w:color="auto"/>
            </w:tcBorders>
            <w:shd w:val="clear" w:color="auto" w:fill="auto"/>
            <w:noWrap/>
            <w:vAlign w:val="bottom"/>
          </w:tcPr>
          <w:p w14:paraId="2881CBCD" w14:textId="77777777" w:rsidR="0017586F" w:rsidRPr="004E74A6" w:rsidRDefault="0017586F" w:rsidP="00CE62C1">
            <w:pPr>
              <w:spacing w:line="276" w:lineRule="auto"/>
              <w:ind w:firstLineChars="100" w:firstLine="200"/>
              <w:jc w:val="left"/>
              <w:rPr>
                <w:rFonts w:cs="Calibri"/>
                <w:color w:val="000000"/>
                <w:sz w:val="20"/>
                <w:lang w:eastAsia="es-CR"/>
              </w:rPr>
            </w:pPr>
          </w:p>
        </w:tc>
        <w:tc>
          <w:tcPr>
            <w:tcW w:w="600" w:type="pct"/>
            <w:tcBorders>
              <w:top w:val="nil"/>
              <w:left w:val="single" w:sz="4" w:space="0" w:color="auto"/>
              <w:bottom w:val="nil"/>
              <w:right w:val="single" w:sz="4" w:space="0" w:color="auto"/>
            </w:tcBorders>
            <w:shd w:val="clear" w:color="auto" w:fill="auto"/>
            <w:noWrap/>
            <w:vAlign w:val="center"/>
          </w:tcPr>
          <w:p w14:paraId="16743032" w14:textId="77777777" w:rsidR="0017586F" w:rsidRPr="004E74A6" w:rsidRDefault="0017586F" w:rsidP="00CE62C1">
            <w:pPr>
              <w:spacing w:line="276" w:lineRule="auto"/>
              <w:jc w:val="center"/>
              <w:rPr>
                <w:rFonts w:cs="Calibri"/>
                <w:color w:val="000000"/>
                <w:sz w:val="20"/>
                <w:lang w:eastAsia="es-CR"/>
              </w:rPr>
            </w:pPr>
          </w:p>
        </w:tc>
        <w:tc>
          <w:tcPr>
            <w:tcW w:w="600" w:type="pct"/>
            <w:tcBorders>
              <w:top w:val="nil"/>
              <w:left w:val="single" w:sz="4" w:space="0" w:color="auto"/>
              <w:bottom w:val="nil"/>
              <w:right w:val="single" w:sz="4" w:space="0" w:color="auto"/>
            </w:tcBorders>
            <w:shd w:val="clear" w:color="auto" w:fill="auto"/>
            <w:noWrap/>
            <w:vAlign w:val="center"/>
          </w:tcPr>
          <w:p w14:paraId="0269B4E7" w14:textId="77777777" w:rsidR="0017586F" w:rsidRPr="004E74A6" w:rsidRDefault="0017586F" w:rsidP="00CE62C1">
            <w:pPr>
              <w:spacing w:line="276" w:lineRule="auto"/>
              <w:jc w:val="center"/>
              <w:rPr>
                <w:rFonts w:cs="Calibri"/>
                <w:color w:val="000000"/>
                <w:sz w:val="20"/>
                <w:lang w:eastAsia="es-CR"/>
              </w:rPr>
            </w:pPr>
          </w:p>
        </w:tc>
        <w:tc>
          <w:tcPr>
            <w:tcW w:w="599" w:type="pct"/>
            <w:tcBorders>
              <w:top w:val="nil"/>
              <w:left w:val="single" w:sz="4" w:space="0" w:color="auto"/>
              <w:bottom w:val="nil"/>
              <w:right w:val="single" w:sz="4" w:space="0" w:color="auto"/>
            </w:tcBorders>
            <w:shd w:val="clear" w:color="auto" w:fill="auto"/>
            <w:noWrap/>
            <w:vAlign w:val="center"/>
          </w:tcPr>
          <w:p w14:paraId="2C4DA104" w14:textId="77777777" w:rsidR="0017586F" w:rsidRPr="004E74A6" w:rsidRDefault="0017586F" w:rsidP="00CE62C1">
            <w:pPr>
              <w:spacing w:line="276" w:lineRule="auto"/>
              <w:jc w:val="center"/>
              <w:rPr>
                <w:rFonts w:cs="Calibri"/>
                <w:color w:val="000000"/>
                <w:sz w:val="20"/>
                <w:lang w:eastAsia="es-CR"/>
              </w:rPr>
            </w:pPr>
          </w:p>
        </w:tc>
        <w:tc>
          <w:tcPr>
            <w:tcW w:w="799" w:type="pct"/>
            <w:tcBorders>
              <w:top w:val="nil"/>
              <w:left w:val="single" w:sz="4" w:space="0" w:color="auto"/>
              <w:bottom w:val="nil"/>
              <w:right w:val="nil"/>
            </w:tcBorders>
            <w:shd w:val="clear" w:color="auto" w:fill="auto"/>
            <w:noWrap/>
            <w:vAlign w:val="center"/>
          </w:tcPr>
          <w:p w14:paraId="3926D88B" w14:textId="77777777" w:rsidR="0017586F" w:rsidRPr="004E74A6" w:rsidRDefault="0017586F" w:rsidP="00CE62C1">
            <w:pPr>
              <w:spacing w:line="276" w:lineRule="auto"/>
              <w:jc w:val="center"/>
              <w:rPr>
                <w:rFonts w:cs="Calibri"/>
                <w:color w:val="000000"/>
                <w:sz w:val="20"/>
                <w:lang w:eastAsia="es-CR"/>
              </w:rPr>
            </w:pPr>
          </w:p>
        </w:tc>
      </w:tr>
      <w:tr w:rsidR="0017586F" w:rsidRPr="004E74A6" w14:paraId="5E42575A" w14:textId="77777777" w:rsidTr="00767FE4">
        <w:trPr>
          <w:trHeight w:val="288"/>
          <w:jc w:val="center"/>
        </w:trPr>
        <w:tc>
          <w:tcPr>
            <w:tcW w:w="2401" w:type="pct"/>
            <w:tcBorders>
              <w:top w:val="nil"/>
              <w:left w:val="nil"/>
              <w:bottom w:val="nil"/>
              <w:right w:val="single" w:sz="4" w:space="0" w:color="auto"/>
            </w:tcBorders>
            <w:shd w:val="clear" w:color="auto" w:fill="auto"/>
            <w:noWrap/>
            <w:vAlign w:val="bottom"/>
            <w:hideMark/>
          </w:tcPr>
          <w:p w14:paraId="2A04EFB8" w14:textId="77777777" w:rsidR="0017586F" w:rsidRPr="004E74A6" w:rsidRDefault="0017586F" w:rsidP="00CE62C1">
            <w:pPr>
              <w:spacing w:line="276" w:lineRule="auto"/>
              <w:ind w:firstLineChars="100" w:firstLine="200"/>
              <w:jc w:val="left"/>
              <w:rPr>
                <w:rFonts w:cs="Calibri"/>
                <w:color w:val="000000"/>
                <w:sz w:val="20"/>
                <w:lang w:eastAsia="es-CR"/>
              </w:rPr>
            </w:pPr>
            <w:r w:rsidRPr="004E74A6">
              <w:rPr>
                <w:rFonts w:cs="Calibri"/>
                <w:color w:val="000000"/>
                <w:sz w:val="20"/>
                <w:lang w:eastAsia="es-CR"/>
              </w:rPr>
              <w:t>Medida Cautelar</w:t>
            </w:r>
          </w:p>
        </w:tc>
        <w:tc>
          <w:tcPr>
            <w:tcW w:w="600" w:type="pct"/>
            <w:tcBorders>
              <w:top w:val="nil"/>
              <w:left w:val="single" w:sz="4" w:space="0" w:color="auto"/>
              <w:bottom w:val="nil"/>
              <w:right w:val="single" w:sz="4" w:space="0" w:color="auto"/>
            </w:tcBorders>
            <w:shd w:val="clear" w:color="auto" w:fill="auto"/>
            <w:noWrap/>
            <w:vAlign w:val="center"/>
            <w:hideMark/>
          </w:tcPr>
          <w:p w14:paraId="1A6D3139" w14:textId="77777777" w:rsidR="0017586F" w:rsidRPr="004E74A6" w:rsidRDefault="0017586F" w:rsidP="00CE62C1">
            <w:pPr>
              <w:spacing w:line="276" w:lineRule="auto"/>
              <w:jc w:val="center"/>
              <w:rPr>
                <w:rFonts w:cs="Calibri"/>
                <w:color w:val="000000"/>
                <w:sz w:val="20"/>
                <w:lang w:eastAsia="es-CR"/>
              </w:rPr>
            </w:pPr>
            <w:r w:rsidRPr="004E74A6">
              <w:rPr>
                <w:rFonts w:cs="Calibri"/>
                <w:color w:val="000000"/>
                <w:sz w:val="20"/>
                <w:lang w:eastAsia="es-CR"/>
              </w:rPr>
              <w:t>10</w:t>
            </w:r>
          </w:p>
        </w:tc>
        <w:tc>
          <w:tcPr>
            <w:tcW w:w="600" w:type="pct"/>
            <w:tcBorders>
              <w:top w:val="nil"/>
              <w:left w:val="single" w:sz="4" w:space="0" w:color="auto"/>
              <w:bottom w:val="nil"/>
              <w:right w:val="single" w:sz="4" w:space="0" w:color="auto"/>
            </w:tcBorders>
            <w:shd w:val="clear" w:color="auto" w:fill="auto"/>
            <w:noWrap/>
            <w:vAlign w:val="center"/>
            <w:hideMark/>
          </w:tcPr>
          <w:p w14:paraId="6A062734" w14:textId="77777777" w:rsidR="0017586F" w:rsidRPr="004E74A6" w:rsidRDefault="0017586F" w:rsidP="00CE62C1">
            <w:pPr>
              <w:spacing w:line="276" w:lineRule="auto"/>
              <w:jc w:val="center"/>
              <w:rPr>
                <w:rFonts w:cs="Calibri"/>
                <w:color w:val="000000"/>
                <w:sz w:val="20"/>
                <w:lang w:eastAsia="es-CR"/>
              </w:rPr>
            </w:pPr>
            <w:r w:rsidRPr="004E74A6">
              <w:rPr>
                <w:rFonts w:cs="Calibri"/>
                <w:color w:val="000000"/>
                <w:sz w:val="20"/>
                <w:lang w:eastAsia="es-CR"/>
              </w:rPr>
              <w:t>2</w:t>
            </w:r>
          </w:p>
        </w:tc>
        <w:tc>
          <w:tcPr>
            <w:tcW w:w="599" w:type="pct"/>
            <w:tcBorders>
              <w:top w:val="nil"/>
              <w:left w:val="single" w:sz="4" w:space="0" w:color="auto"/>
              <w:bottom w:val="nil"/>
              <w:right w:val="single" w:sz="4" w:space="0" w:color="auto"/>
            </w:tcBorders>
            <w:shd w:val="clear" w:color="auto" w:fill="auto"/>
            <w:noWrap/>
            <w:vAlign w:val="center"/>
            <w:hideMark/>
          </w:tcPr>
          <w:p w14:paraId="091AEB62" w14:textId="77777777" w:rsidR="0017586F" w:rsidRPr="004E74A6" w:rsidRDefault="0017586F" w:rsidP="00CE62C1">
            <w:pPr>
              <w:spacing w:line="276" w:lineRule="auto"/>
              <w:jc w:val="center"/>
              <w:rPr>
                <w:rFonts w:cs="Calibri"/>
                <w:color w:val="000000"/>
                <w:sz w:val="20"/>
                <w:lang w:eastAsia="es-CR"/>
              </w:rPr>
            </w:pPr>
            <w:r w:rsidRPr="004E74A6">
              <w:rPr>
                <w:rFonts w:cs="Calibri"/>
                <w:color w:val="000000"/>
                <w:sz w:val="20"/>
                <w:lang w:eastAsia="es-CR"/>
              </w:rPr>
              <w:t>2</w:t>
            </w:r>
          </w:p>
        </w:tc>
        <w:tc>
          <w:tcPr>
            <w:tcW w:w="799" w:type="pct"/>
            <w:tcBorders>
              <w:top w:val="nil"/>
              <w:left w:val="single" w:sz="4" w:space="0" w:color="auto"/>
              <w:bottom w:val="nil"/>
              <w:right w:val="nil"/>
            </w:tcBorders>
            <w:shd w:val="clear" w:color="auto" w:fill="auto"/>
            <w:noWrap/>
            <w:vAlign w:val="center"/>
            <w:hideMark/>
          </w:tcPr>
          <w:p w14:paraId="68C4BAE2" w14:textId="1EB99E60" w:rsidR="0017586F" w:rsidRPr="004E74A6" w:rsidRDefault="0017586F" w:rsidP="00CE62C1">
            <w:pPr>
              <w:spacing w:line="276" w:lineRule="auto"/>
              <w:jc w:val="center"/>
              <w:rPr>
                <w:rFonts w:cs="Calibri"/>
                <w:color w:val="000000"/>
                <w:sz w:val="20"/>
                <w:lang w:eastAsia="es-CR"/>
              </w:rPr>
            </w:pPr>
            <w:r w:rsidRPr="004E74A6">
              <w:rPr>
                <w:rFonts w:cs="Calibri"/>
                <w:color w:val="000000"/>
                <w:sz w:val="20"/>
              </w:rPr>
              <w:t>5</w:t>
            </w:r>
          </w:p>
        </w:tc>
      </w:tr>
      <w:tr w:rsidR="0017586F" w:rsidRPr="004E74A6" w14:paraId="4217836F" w14:textId="77777777" w:rsidTr="00EA4D94">
        <w:trPr>
          <w:trHeight w:val="288"/>
          <w:jc w:val="center"/>
        </w:trPr>
        <w:tc>
          <w:tcPr>
            <w:tcW w:w="2401" w:type="pct"/>
            <w:tcBorders>
              <w:top w:val="nil"/>
              <w:left w:val="nil"/>
              <w:bottom w:val="nil"/>
              <w:right w:val="single" w:sz="4" w:space="0" w:color="auto"/>
            </w:tcBorders>
            <w:shd w:val="clear" w:color="auto" w:fill="C5E0B3" w:themeFill="accent6" w:themeFillTint="66"/>
            <w:noWrap/>
            <w:vAlign w:val="bottom"/>
            <w:hideMark/>
          </w:tcPr>
          <w:p w14:paraId="321DFD13" w14:textId="77777777" w:rsidR="0017586F" w:rsidRPr="004E74A6" w:rsidRDefault="0017586F" w:rsidP="00CE62C1">
            <w:pPr>
              <w:spacing w:line="276" w:lineRule="auto"/>
              <w:ind w:firstLineChars="100" w:firstLine="200"/>
              <w:jc w:val="left"/>
              <w:rPr>
                <w:rFonts w:cs="Calibri"/>
                <w:color w:val="000000"/>
                <w:sz w:val="20"/>
                <w:lang w:eastAsia="es-CR"/>
              </w:rPr>
            </w:pPr>
            <w:r w:rsidRPr="004E74A6">
              <w:rPr>
                <w:rFonts w:cs="Calibri"/>
                <w:color w:val="000000"/>
                <w:sz w:val="20"/>
                <w:lang w:eastAsia="es-CR"/>
              </w:rPr>
              <w:t>Ordinario</w:t>
            </w:r>
          </w:p>
        </w:tc>
        <w:tc>
          <w:tcPr>
            <w:tcW w:w="600" w:type="pct"/>
            <w:tcBorders>
              <w:top w:val="nil"/>
              <w:left w:val="single" w:sz="4" w:space="0" w:color="auto"/>
              <w:bottom w:val="nil"/>
              <w:right w:val="single" w:sz="4" w:space="0" w:color="auto"/>
            </w:tcBorders>
            <w:shd w:val="clear" w:color="auto" w:fill="C5E0B3" w:themeFill="accent6" w:themeFillTint="66"/>
            <w:noWrap/>
            <w:vAlign w:val="center"/>
            <w:hideMark/>
          </w:tcPr>
          <w:p w14:paraId="43829286" w14:textId="7F857951" w:rsidR="0017586F" w:rsidRPr="004E74A6" w:rsidRDefault="0017586F" w:rsidP="00CE62C1">
            <w:pPr>
              <w:spacing w:line="276" w:lineRule="auto"/>
              <w:jc w:val="center"/>
              <w:rPr>
                <w:rFonts w:cs="Calibri"/>
                <w:color w:val="000000"/>
                <w:sz w:val="20"/>
                <w:lang w:eastAsia="es-CR"/>
              </w:rPr>
            </w:pPr>
            <w:r w:rsidRPr="004E74A6">
              <w:rPr>
                <w:rFonts w:cs="Calibri"/>
                <w:color w:val="000000"/>
                <w:sz w:val="20"/>
                <w:lang w:eastAsia="es-CR"/>
              </w:rPr>
              <w:t>1</w:t>
            </w:r>
            <w:r w:rsidR="00671082" w:rsidRPr="004E74A6">
              <w:rPr>
                <w:rFonts w:cs="Calibri"/>
                <w:color w:val="000000"/>
                <w:sz w:val="20"/>
                <w:lang w:eastAsia="es-CR"/>
              </w:rPr>
              <w:t>29</w:t>
            </w:r>
          </w:p>
        </w:tc>
        <w:tc>
          <w:tcPr>
            <w:tcW w:w="600" w:type="pct"/>
            <w:tcBorders>
              <w:top w:val="nil"/>
              <w:left w:val="single" w:sz="4" w:space="0" w:color="auto"/>
              <w:bottom w:val="nil"/>
              <w:right w:val="single" w:sz="4" w:space="0" w:color="auto"/>
            </w:tcBorders>
            <w:shd w:val="clear" w:color="auto" w:fill="C5E0B3" w:themeFill="accent6" w:themeFillTint="66"/>
            <w:noWrap/>
            <w:vAlign w:val="center"/>
            <w:hideMark/>
          </w:tcPr>
          <w:p w14:paraId="033C099B" w14:textId="77777777" w:rsidR="0017586F" w:rsidRPr="004E74A6" w:rsidRDefault="0017586F" w:rsidP="00CE62C1">
            <w:pPr>
              <w:spacing w:line="276" w:lineRule="auto"/>
              <w:jc w:val="center"/>
              <w:rPr>
                <w:rFonts w:cs="Calibri"/>
                <w:color w:val="000000"/>
                <w:sz w:val="20"/>
                <w:lang w:eastAsia="es-CR"/>
              </w:rPr>
            </w:pPr>
            <w:r w:rsidRPr="004E74A6">
              <w:rPr>
                <w:rFonts w:cs="Calibri"/>
                <w:color w:val="000000"/>
                <w:sz w:val="20"/>
                <w:lang w:eastAsia="es-CR"/>
              </w:rPr>
              <w:t>87</w:t>
            </w:r>
          </w:p>
        </w:tc>
        <w:tc>
          <w:tcPr>
            <w:tcW w:w="599" w:type="pct"/>
            <w:tcBorders>
              <w:top w:val="nil"/>
              <w:left w:val="single" w:sz="4" w:space="0" w:color="auto"/>
              <w:bottom w:val="nil"/>
              <w:right w:val="single" w:sz="4" w:space="0" w:color="auto"/>
            </w:tcBorders>
            <w:shd w:val="clear" w:color="auto" w:fill="C5E0B3" w:themeFill="accent6" w:themeFillTint="66"/>
            <w:noWrap/>
            <w:vAlign w:val="center"/>
            <w:hideMark/>
          </w:tcPr>
          <w:p w14:paraId="31493A81" w14:textId="21825440" w:rsidR="0017586F" w:rsidRPr="004E74A6" w:rsidRDefault="0017586F" w:rsidP="00CE62C1">
            <w:pPr>
              <w:spacing w:line="276" w:lineRule="auto"/>
              <w:jc w:val="center"/>
              <w:rPr>
                <w:rFonts w:cs="Calibri"/>
                <w:color w:val="000000"/>
                <w:sz w:val="20"/>
                <w:lang w:eastAsia="es-CR"/>
              </w:rPr>
            </w:pPr>
            <w:r w:rsidRPr="004E74A6">
              <w:rPr>
                <w:rFonts w:cs="Calibri"/>
                <w:color w:val="000000"/>
                <w:sz w:val="20"/>
                <w:lang w:eastAsia="es-CR"/>
              </w:rPr>
              <w:t>16</w:t>
            </w:r>
            <w:r w:rsidR="00671082" w:rsidRPr="004E74A6">
              <w:rPr>
                <w:rFonts w:cs="Calibri"/>
                <w:color w:val="000000"/>
                <w:sz w:val="20"/>
                <w:lang w:eastAsia="es-CR"/>
              </w:rPr>
              <w:t>3</w:t>
            </w:r>
          </w:p>
        </w:tc>
        <w:tc>
          <w:tcPr>
            <w:tcW w:w="799" w:type="pct"/>
            <w:tcBorders>
              <w:top w:val="nil"/>
              <w:left w:val="single" w:sz="4" w:space="0" w:color="auto"/>
              <w:bottom w:val="nil"/>
              <w:right w:val="nil"/>
            </w:tcBorders>
            <w:shd w:val="clear" w:color="auto" w:fill="C5E0B3" w:themeFill="accent6" w:themeFillTint="66"/>
            <w:noWrap/>
            <w:vAlign w:val="center"/>
            <w:hideMark/>
          </w:tcPr>
          <w:p w14:paraId="61562D5F" w14:textId="79CE2B1A" w:rsidR="0017586F" w:rsidRPr="004E74A6" w:rsidRDefault="0017586F" w:rsidP="00CE62C1">
            <w:pPr>
              <w:spacing w:line="276" w:lineRule="auto"/>
              <w:jc w:val="center"/>
              <w:rPr>
                <w:rFonts w:cs="Calibri"/>
                <w:color w:val="000000"/>
                <w:sz w:val="20"/>
                <w:lang w:eastAsia="es-CR"/>
              </w:rPr>
            </w:pPr>
            <w:r w:rsidRPr="004E74A6">
              <w:rPr>
                <w:rFonts w:cs="Calibri"/>
                <w:color w:val="000000"/>
                <w:sz w:val="20"/>
              </w:rPr>
              <w:t>12</w:t>
            </w:r>
            <w:r w:rsidR="00671082" w:rsidRPr="004E74A6">
              <w:rPr>
                <w:rFonts w:cs="Calibri"/>
                <w:color w:val="000000"/>
                <w:sz w:val="20"/>
              </w:rPr>
              <w:t>6</w:t>
            </w:r>
          </w:p>
        </w:tc>
      </w:tr>
      <w:tr w:rsidR="0017586F" w:rsidRPr="004E74A6" w14:paraId="16113195" w14:textId="77777777" w:rsidTr="00767FE4">
        <w:trPr>
          <w:trHeight w:val="288"/>
          <w:jc w:val="center"/>
        </w:trPr>
        <w:tc>
          <w:tcPr>
            <w:tcW w:w="2401" w:type="pct"/>
            <w:tcBorders>
              <w:top w:val="nil"/>
              <w:left w:val="nil"/>
              <w:bottom w:val="nil"/>
              <w:right w:val="single" w:sz="4" w:space="0" w:color="auto"/>
            </w:tcBorders>
            <w:shd w:val="clear" w:color="auto" w:fill="auto"/>
            <w:noWrap/>
            <w:vAlign w:val="bottom"/>
            <w:hideMark/>
          </w:tcPr>
          <w:p w14:paraId="1B19FEB6" w14:textId="77777777" w:rsidR="0017586F" w:rsidRPr="004E74A6" w:rsidRDefault="0017586F" w:rsidP="00CE62C1">
            <w:pPr>
              <w:spacing w:line="276" w:lineRule="auto"/>
              <w:ind w:firstLineChars="100" w:firstLine="200"/>
              <w:jc w:val="left"/>
              <w:rPr>
                <w:rFonts w:cs="Calibri"/>
                <w:color w:val="000000"/>
                <w:sz w:val="20"/>
                <w:lang w:eastAsia="es-CR"/>
              </w:rPr>
            </w:pPr>
            <w:r w:rsidRPr="004E74A6">
              <w:rPr>
                <w:rFonts w:cs="Calibri"/>
                <w:color w:val="000000"/>
                <w:sz w:val="20"/>
                <w:lang w:eastAsia="es-CR"/>
              </w:rPr>
              <w:t>Procesos De Ejecución</w:t>
            </w:r>
          </w:p>
        </w:tc>
        <w:tc>
          <w:tcPr>
            <w:tcW w:w="600" w:type="pct"/>
            <w:tcBorders>
              <w:top w:val="nil"/>
              <w:left w:val="single" w:sz="4" w:space="0" w:color="auto"/>
              <w:bottom w:val="nil"/>
              <w:right w:val="single" w:sz="4" w:space="0" w:color="auto"/>
            </w:tcBorders>
            <w:shd w:val="clear" w:color="auto" w:fill="auto"/>
            <w:noWrap/>
            <w:vAlign w:val="center"/>
            <w:hideMark/>
          </w:tcPr>
          <w:p w14:paraId="4F4D473C" w14:textId="77777777" w:rsidR="0017586F" w:rsidRPr="004E74A6" w:rsidRDefault="0017586F" w:rsidP="00CE62C1">
            <w:pPr>
              <w:spacing w:line="276" w:lineRule="auto"/>
              <w:jc w:val="center"/>
              <w:rPr>
                <w:rFonts w:cs="Calibri"/>
                <w:color w:val="000000"/>
                <w:sz w:val="20"/>
                <w:lang w:eastAsia="es-CR"/>
              </w:rPr>
            </w:pPr>
            <w:r w:rsidRPr="004E74A6">
              <w:rPr>
                <w:rFonts w:cs="Calibri"/>
                <w:color w:val="000000"/>
                <w:sz w:val="20"/>
                <w:lang w:eastAsia="es-CR"/>
              </w:rPr>
              <w:t>1</w:t>
            </w:r>
          </w:p>
        </w:tc>
        <w:tc>
          <w:tcPr>
            <w:tcW w:w="600" w:type="pct"/>
            <w:tcBorders>
              <w:top w:val="nil"/>
              <w:left w:val="single" w:sz="4" w:space="0" w:color="auto"/>
              <w:bottom w:val="nil"/>
              <w:right w:val="single" w:sz="4" w:space="0" w:color="auto"/>
            </w:tcBorders>
            <w:shd w:val="clear" w:color="auto" w:fill="auto"/>
            <w:noWrap/>
            <w:vAlign w:val="center"/>
            <w:hideMark/>
          </w:tcPr>
          <w:p w14:paraId="62B2AEB3" w14:textId="77777777" w:rsidR="0017586F" w:rsidRPr="004E74A6" w:rsidRDefault="0017586F" w:rsidP="00CE62C1">
            <w:pPr>
              <w:spacing w:line="276" w:lineRule="auto"/>
              <w:jc w:val="center"/>
              <w:rPr>
                <w:rFonts w:cs="Calibri"/>
                <w:color w:val="000000"/>
                <w:sz w:val="20"/>
                <w:lang w:eastAsia="es-CR"/>
              </w:rPr>
            </w:pPr>
            <w:r w:rsidRPr="004E74A6">
              <w:rPr>
                <w:rFonts w:cs="Calibri"/>
                <w:color w:val="000000"/>
                <w:sz w:val="20"/>
                <w:lang w:eastAsia="es-CR"/>
              </w:rPr>
              <w:t>2</w:t>
            </w:r>
          </w:p>
        </w:tc>
        <w:tc>
          <w:tcPr>
            <w:tcW w:w="599" w:type="pct"/>
            <w:tcBorders>
              <w:top w:val="nil"/>
              <w:left w:val="single" w:sz="4" w:space="0" w:color="auto"/>
              <w:bottom w:val="nil"/>
              <w:right w:val="single" w:sz="4" w:space="0" w:color="auto"/>
            </w:tcBorders>
            <w:shd w:val="clear" w:color="auto" w:fill="auto"/>
            <w:noWrap/>
            <w:vAlign w:val="center"/>
            <w:hideMark/>
          </w:tcPr>
          <w:p w14:paraId="7BE4E410" w14:textId="77777777" w:rsidR="0017586F" w:rsidRPr="004E74A6" w:rsidRDefault="0017586F" w:rsidP="00CE62C1">
            <w:pPr>
              <w:spacing w:line="276" w:lineRule="auto"/>
              <w:jc w:val="center"/>
              <w:rPr>
                <w:rFonts w:cs="Calibri"/>
                <w:color w:val="000000"/>
                <w:sz w:val="20"/>
                <w:lang w:eastAsia="es-CR"/>
              </w:rPr>
            </w:pPr>
            <w:r w:rsidRPr="004E74A6">
              <w:rPr>
                <w:rFonts w:cs="Calibri"/>
                <w:color w:val="000000"/>
                <w:sz w:val="20"/>
                <w:lang w:eastAsia="es-CR"/>
              </w:rPr>
              <w:t>2</w:t>
            </w:r>
          </w:p>
        </w:tc>
        <w:tc>
          <w:tcPr>
            <w:tcW w:w="799" w:type="pct"/>
            <w:tcBorders>
              <w:top w:val="nil"/>
              <w:left w:val="single" w:sz="4" w:space="0" w:color="auto"/>
              <w:bottom w:val="nil"/>
              <w:right w:val="nil"/>
            </w:tcBorders>
            <w:shd w:val="clear" w:color="auto" w:fill="auto"/>
            <w:noWrap/>
            <w:vAlign w:val="center"/>
            <w:hideMark/>
          </w:tcPr>
          <w:p w14:paraId="170E2E41" w14:textId="2737B90E" w:rsidR="0017586F" w:rsidRPr="004E74A6" w:rsidRDefault="0017586F" w:rsidP="00CE62C1">
            <w:pPr>
              <w:spacing w:line="276" w:lineRule="auto"/>
              <w:jc w:val="center"/>
              <w:rPr>
                <w:rFonts w:cs="Calibri"/>
                <w:color w:val="000000"/>
                <w:sz w:val="20"/>
                <w:lang w:eastAsia="es-CR"/>
              </w:rPr>
            </w:pPr>
            <w:r w:rsidRPr="004E74A6">
              <w:rPr>
                <w:rFonts w:cs="Calibri"/>
                <w:color w:val="000000"/>
                <w:sz w:val="20"/>
              </w:rPr>
              <w:t>2</w:t>
            </w:r>
          </w:p>
        </w:tc>
      </w:tr>
      <w:tr w:rsidR="0017586F" w:rsidRPr="004E74A6" w14:paraId="358E9F1E" w14:textId="77777777" w:rsidTr="00767FE4">
        <w:trPr>
          <w:trHeight w:val="288"/>
          <w:jc w:val="center"/>
        </w:trPr>
        <w:tc>
          <w:tcPr>
            <w:tcW w:w="2401" w:type="pct"/>
            <w:tcBorders>
              <w:top w:val="nil"/>
              <w:left w:val="nil"/>
              <w:bottom w:val="nil"/>
              <w:right w:val="single" w:sz="4" w:space="0" w:color="auto"/>
            </w:tcBorders>
            <w:shd w:val="clear" w:color="auto" w:fill="auto"/>
            <w:noWrap/>
            <w:vAlign w:val="bottom"/>
            <w:hideMark/>
          </w:tcPr>
          <w:p w14:paraId="2CA7DCEC" w14:textId="77777777" w:rsidR="0017586F" w:rsidRPr="004E74A6" w:rsidRDefault="0017586F" w:rsidP="00CE62C1">
            <w:pPr>
              <w:spacing w:line="276" w:lineRule="auto"/>
              <w:ind w:firstLineChars="100" w:firstLine="200"/>
              <w:jc w:val="left"/>
              <w:rPr>
                <w:rFonts w:cs="Calibri"/>
                <w:color w:val="000000"/>
                <w:sz w:val="20"/>
                <w:lang w:eastAsia="es-CR"/>
              </w:rPr>
            </w:pPr>
            <w:r w:rsidRPr="004E74A6">
              <w:rPr>
                <w:rFonts w:cs="Calibri"/>
                <w:color w:val="000000"/>
                <w:sz w:val="20"/>
                <w:lang w:eastAsia="es-CR"/>
              </w:rPr>
              <w:t>Procesos Otras Materias</w:t>
            </w:r>
          </w:p>
        </w:tc>
        <w:tc>
          <w:tcPr>
            <w:tcW w:w="600" w:type="pct"/>
            <w:tcBorders>
              <w:top w:val="nil"/>
              <w:left w:val="single" w:sz="4" w:space="0" w:color="auto"/>
              <w:bottom w:val="nil"/>
              <w:right w:val="single" w:sz="4" w:space="0" w:color="auto"/>
            </w:tcBorders>
            <w:shd w:val="clear" w:color="auto" w:fill="auto"/>
            <w:noWrap/>
            <w:vAlign w:val="center"/>
            <w:hideMark/>
          </w:tcPr>
          <w:p w14:paraId="3ED321A0" w14:textId="77777777" w:rsidR="0017586F" w:rsidRPr="004E74A6" w:rsidRDefault="0017586F" w:rsidP="00CE62C1">
            <w:pPr>
              <w:spacing w:line="276" w:lineRule="auto"/>
              <w:jc w:val="center"/>
              <w:rPr>
                <w:rFonts w:cs="Calibri"/>
                <w:color w:val="000000"/>
                <w:sz w:val="20"/>
                <w:lang w:eastAsia="es-CR"/>
              </w:rPr>
            </w:pPr>
            <w:r w:rsidRPr="004E74A6">
              <w:rPr>
                <w:rFonts w:cs="Calibri"/>
                <w:color w:val="000000"/>
                <w:sz w:val="20"/>
                <w:lang w:eastAsia="es-CR"/>
              </w:rPr>
              <w:t>3</w:t>
            </w:r>
          </w:p>
        </w:tc>
        <w:tc>
          <w:tcPr>
            <w:tcW w:w="600" w:type="pct"/>
            <w:tcBorders>
              <w:top w:val="nil"/>
              <w:left w:val="single" w:sz="4" w:space="0" w:color="auto"/>
              <w:bottom w:val="nil"/>
              <w:right w:val="single" w:sz="4" w:space="0" w:color="auto"/>
            </w:tcBorders>
            <w:shd w:val="clear" w:color="auto" w:fill="auto"/>
            <w:noWrap/>
            <w:vAlign w:val="center"/>
            <w:hideMark/>
          </w:tcPr>
          <w:p w14:paraId="44BDD370" w14:textId="77777777" w:rsidR="0017586F" w:rsidRPr="004E74A6" w:rsidRDefault="0017586F" w:rsidP="00CE62C1">
            <w:pPr>
              <w:spacing w:line="276" w:lineRule="auto"/>
              <w:jc w:val="center"/>
              <w:rPr>
                <w:rFonts w:cs="Calibri"/>
                <w:color w:val="000000"/>
                <w:sz w:val="20"/>
                <w:lang w:eastAsia="es-CR"/>
              </w:rPr>
            </w:pPr>
          </w:p>
        </w:tc>
        <w:tc>
          <w:tcPr>
            <w:tcW w:w="599" w:type="pct"/>
            <w:tcBorders>
              <w:top w:val="nil"/>
              <w:left w:val="single" w:sz="4" w:space="0" w:color="auto"/>
              <w:bottom w:val="nil"/>
              <w:right w:val="single" w:sz="4" w:space="0" w:color="auto"/>
            </w:tcBorders>
            <w:shd w:val="clear" w:color="auto" w:fill="auto"/>
            <w:noWrap/>
            <w:vAlign w:val="center"/>
            <w:hideMark/>
          </w:tcPr>
          <w:p w14:paraId="41654123" w14:textId="77777777" w:rsidR="0017586F" w:rsidRPr="004E74A6" w:rsidRDefault="0017586F" w:rsidP="00CE62C1">
            <w:pPr>
              <w:spacing w:line="276" w:lineRule="auto"/>
              <w:jc w:val="center"/>
              <w:rPr>
                <w:rFonts w:cs="Calibri"/>
                <w:color w:val="000000"/>
                <w:sz w:val="20"/>
                <w:lang w:eastAsia="es-CR"/>
              </w:rPr>
            </w:pPr>
            <w:r w:rsidRPr="004E74A6">
              <w:rPr>
                <w:rFonts w:cs="Calibri"/>
                <w:color w:val="000000"/>
                <w:sz w:val="20"/>
                <w:lang w:eastAsia="es-CR"/>
              </w:rPr>
              <w:t>1</w:t>
            </w:r>
          </w:p>
        </w:tc>
        <w:tc>
          <w:tcPr>
            <w:tcW w:w="799" w:type="pct"/>
            <w:tcBorders>
              <w:top w:val="nil"/>
              <w:left w:val="single" w:sz="4" w:space="0" w:color="auto"/>
              <w:bottom w:val="nil"/>
              <w:right w:val="nil"/>
            </w:tcBorders>
            <w:shd w:val="clear" w:color="auto" w:fill="auto"/>
            <w:noWrap/>
            <w:vAlign w:val="center"/>
            <w:hideMark/>
          </w:tcPr>
          <w:p w14:paraId="6480A033" w14:textId="1C5B46B9" w:rsidR="0017586F" w:rsidRPr="004E74A6" w:rsidRDefault="0017586F" w:rsidP="00CE62C1">
            <w:pPr>
              <w:spacing w:line="276" w:lineRule="auto"/>
              <w:jc w:val="center"/>
              <w:rPr>
                <w:rFonts w:cs="Calibri"/>
                <w:color w:val="000000"/>
                <w:sz w:val="20"/>
                <w:lang w:eastAsia="es-CR"/>
              </w:rPr>
            </w:pPr>
            <w:r w:rsidRPr="004E74A6">
              <w:rPr>
                <w:rFonts w:cs="Calibri"/>
                <w:color w:val="000000"/>
                <w:sz w:val="20"/>
              </w:rPr>
              <w:t>2</w:t>
            </w:r>
          </w:p>
        </w:tc>
      </w:tr>
      <w:tr w:rsidR="0017586F" w:rsidRPr="004E74A6" w14:paraId="219F34C1" w14:textId="77777777" w:rsidTr="00767FE4">
        <w:trPr>
          <w:trHeight w:val="288"/>
          <w:jc w:val="center"/>
        </w:trPr>
        <w:tc>
          <w:tcPr>
            <w:tcW w:w="2401" w:type="pct"/>
            <w:tcBorders>
              <w:top w:val="nil"/>
              <w:left w:val="nil"/>
              <w:bottom w:val="nil"/>
              <w:right w:val="single" w:sz="4" w:space="0" w:color="auto"/>
            </w:tcBorders>
            <w:shd w:val="clear" w:color="auto" w:fill="auto"/>
            <w:noWrap/>
            <w:vAlign w:val="bottom"/>
            <w:hideMark/>
          </w:tcPr>
          <w:p w14:paraId="3B7B0C87" w14:textId="77777777" w:rsidR="0017586F" w:rsidRPr="004E74A6" w:rsidRDefault="0017586F" w:rsidP="00CE62C1">
            <w:pPr>
              <w:spacing w:line="276" w:lineRule="auto"/>
              <w:ind w:firstLineChars="100" w:firstLine="200"/>
              <w:jc w:val="left"/>
              <w:rPr>
                <w:rFonts w:cs="Calibri"/>
                <w:color w:val="000000"/>
                <w:sz w:val="20"/>
                <w:lang w:eastAsia="es-CR"/>
              </w:rPr>
            </w:pPr>
            <w:r w:rsidRPr="004E74A6">
              <w:rPr>
                <w:rFonts w:cs="Calibri"/>
                <w:color w:val="000000"/>
                <w:sz w:val="20"/>
                <w:lang w:eastAsia="es-CR"/>
              </w:rPr>
              <w:t>Prueba Anticipada</w:t>
            </w:r>
          </w:p>
        </w:tc>
        <w:tc>
          <w:tcPr>
            <w:tcW w:w="600" w:type="pct"/>
            <w:tcBorders>
              <w:top w:val="nil"/>
              <w:left w:val="single" w:sz="4" w:space="0" w:color="auto"/>
              <w:bottom w:val="nil"/>
              <w:right w:val="single" w:sz="4" w:space="0" w:color="auto"/>
            </w:tcBorders>
            <w:shd w:val="clear" w:color="auto" w:fill="auto"/>
            <w:noWrap/>
            <w:vAlign w:val="center"/>
            <w:hideMark/>
          </w:tcPr>
          <w:p w14:paraId="7A9C6D95" w14:textId="77777777" w:rsidR="0017586F" w:rsidRPr="004E74A6" w:rsidRDefault="0017586F" w:rsidP="00CE62C1">
            <w:pPr>
              <w:spacing w:line="276" w:lineRule="auto"/>
              <w:jc w:val="center"/>
              <w:rPr>
                <w:rFonts w:cs="Calibri"/>
                <w:color w:val="000000"/>
                <w:sz w:val="20"/>
                <w:lang w:eastAsia="es-CR"/>
              </w:rPr>
            </w:pPr>
            <w:r w:rsidRPr="004E74A6">
              <w:rPr>
                <w:rFonts w:cs="Calibri"/>
                <w:color w:val="000000"/>
                <w:sz w:val="20"/>
                <w:lang w:eastAsia="es-CR"/>
              </w:rPr>
              <w:t>10</w:t>
            </w:r>
          </w:p>
        </w:tc>
        <w:tc>
          <w:tcPr>
            <w:tcW w:w="600" w:type="pct"/>
            <w:tcBorders>
              <w:top w:val="nil"/>
              <w:left w:val="single" w:sz="4" w:space="0" w:color="auto"/>
              <w:bottom w:val="nil"/>
              <w:right w:val="single" w:sz="4" w:space="0" w:color="auto"/>
            </w:tcBorders>
            <w:shd w:val="clear" w:color="auto" w:fill="auto"/>
            <w:noWrap/>
            <w:vAlign w:val="center"/>
            <w:hideMark/>
          </w:tcPr>
          <w:p w14:paraId="5E24E576" w14:textId="77777777" w:rsidR="0017586F" w:rsidRPr="004E74A6" w:rsidRDefault="0017586F" w:rsidP="00CE62C1">
            <w:pPr>
              <w:spacing w:line="276" w:lineRule="auto"/>
              <w:jc w:val="center"/>
              <w:rPr>
                <w:rFonts w:cs="Calibri"/>
                <w:color w:val="000000"/>
                <w:sz w:val="20"/>
                <w:lang w:eastAsia="es-CR"/>
              </w:rPr>
            </w:pPr>
            <w:r w:rsidRPr="004E74A6">
              <w:rPr>
                <w:rFonts w:cs="Calibri"/>
                <w:color w:val="000000"/>
                <w:sz w:val="20"/>
                <w:lang w:eastAsia="es-CR"/>
              </w:rPr>
              <w:t>3</w:t>
            </w:r>
          </w:p>
        </w:tc>
        <w:tc>
          <w:tcPr>
            <w:tcW w:w="599" w:type="pct"/>
            <w:tcBorders>
              <w:top w:val="nil"/>
              <w:left w:val="single" w:sz="4" w:space="0" w:color="auto"/>
              <w:bottom w:val="nil"/>
              <w:right w:val="single" w:sz="4" w:space="0" w:color="auto"/>
            </w:tcBorders>
            <w:shd w:val="clear" w:color="auto" w:fill="auto"/>
            <w:noWrap/>
            <w:vAlign w:val="center"/>
            <w:hideMark/>
          </w:tcPr>
          <w:p w14:paraId="4883D548" w14:textId="77777777" w:rsidR="0017586F" w:rsidRPr="004E74A6" w:rsidRDefault="0017586F" w:rsidP="00CE62C1">
            <w:pPr>
              <w:spacing w:line="276" w:lineRule="auto"/>
              <w:jc w:val="center"/>
              <w:rPr>
                <w:rFonts w:cs="Calibri"/>
                <w:color w:val="000000"/>
                <w:sz w:val="20"/>
                <w:lang w:eastAsia="es-CR"/>
              </w:rPr>
            </w:pPr>
            <w:r w:rsidRPr="004E74A6">
              <w:rPr>
                <w:rFonts w:cs="Calibri"/>
                <w:color w:val="000000"/>
                <w:sz w:val="20"/>
                <w:lang w:eastAsia="es-CR"/>
              </w:rPr>
              <w:t>2</w:t>
            </w:r>
          </w:p>
        </w:tc>
        <w:tc>
          <w:tcPr>
            <w:tcW w:w="799" w:type="pct"/>
            <w:tcBorders>
              <w:top w:val="nil"/>
              <w:left w:val="single" w:sz="4" w:space="0" w:color="auto"/>
              <w:bottom w:val="nil"/>
              <w:right w:val="nil"/>
            </w:tcBorders>
            <w:shd w:val="clear" w:color="auto" w:fill="auto"/>
            <w:noWrap/>
            <w:vAlign w:val="center"/>
            <w:hideMark/>
          </w:tcPr>
          <w:p w14:paraId="0499F6D6" w14:textId="58CEC1E7" w:rsidR="0017586F" w:rsidRPr="004E74A6" w:rsidRDefault="0017586F" w:rsidP="00CE62C1">
            <w:pPr>
              <w:spacing w:line="276" w:lineRule="auto"/>
              <w:jc w:val="center"/>
              <w:rPr>
                <w:rFonts w:cs="Calibri"/>
                <w:color w:val="000000"/>
                <w:sz w:val="20"/>
                <w:lang w:eastAsia="es-CR"/>
              </w:rPr>
            </w:pPr>
            <w:r w:rsidRPr="004E74A6">
              <w:rPr>
                <w:rFonts w:cs="Calibri"/>
                <w:color w:val="000000"/>
                <w:sz w:val="20"/>
              </w:rPr>
              <w:t>5</w:t>
            </w:r>
          </w:p>
        </w:tc>
      </w:tr>
      <w:tr w:rsidR="0017586F" w:rsidRPr="004E74A6" w14:paraId="315CACE1" w14:textId="77777777" w:rsidTr="00767FE4">
        <w:trPr>
          <w:trHeight w:val="288"/>
          <w:jc w:val="center"/>
        </w:trPr>
        <w:tc>
          <w:tcPr>
            <w:tcW w:w="2401" w:type="pct"/>
            <w:tcBorders>
              <w:top w:val="nil"/>
              <w:left w:val="nil"/>
              <w:bottom w:val="nil"/>
              <w:right w:val="single" w:sz="4" w:space="0" w:color="auto"/>
            </w:tcBorders>
            <w:shd w:val="clear" w:color="auto" w:fill="auto"/>
            <w:noWrap/>
            <w:vAlign w:val="bottom"/>
            <w:hideMark/>
          </w:tcPr>
          <w:p w14:paraId="73B78EC0" w14:textId="77777777" w:rsidR="0017586F" w:rsidRPr="004E74A6" w:rsidRDefault="0017586F" w:rsidP="00CE62C1">
            <w:pPr>
              <w:spacing w:line="276" w:lineRule="auto"/>
              <w:ind w:firstLineChars="100" w:firstLine="200"/>
              <w:jc w:val="left"/>
              <w:rPr>
                <w:rFonts w:cs="Calibri"/>
                <w:color w:val="000000"/>
                <w:sz w:val="20"/>
                <w:lang w:eastAsia="es-CR"/>
              </w:rPr>
            </w:pPr>
            <w:r w:rsidRPr="004E74A6">
              <w:rPr>
                <w:rFonts w:cs="Calibri"/>
                <w:color w:val="000000"/>
                <w:sz w:val="20"/>
                <w:lang w:eastAsia="es-CR"/>
              </w:rPr>
              <w:t>Sucesorio</w:t>
            </w:r>
          </w:p>
        </w:tc>
        <w:tc>
          <w:tcPr>
            <w:tcW w:w="600" w:type="pct"/>
            <w:tcBorders>
              <w:top w:val="nil"/>
              <w:left w:val="single" w:sz="4" w:space="0" w:color="auto"/>
              <w:bottom w:val="nil"/>
              <w:right w:val="single" w:sz="4" w:space="0" w:color="auto"/>
            </w:tcBorders>
            <w:shd w:val="clear" w:color="auto" w:fill="auto"/>
            <w:noWrap/>
            <w:vAlign w:val="center"/>
            <w:hideMark/>
          </w:tcPr>
          <w:p w14:paraId="63EC5642" w14:textId="77777777" w:rsidR="0017586F" w:rsidRPr="004E74A6" w:rsidRDefault="0017586F" w:rsidP="00CE62C1">
            <w:pPr>
              <w:spacing w:line="276" w:lineRule="auto"/>
              <w:jc w:val="center"/>
              <w:rPr>
                <w:sz w:val="20"/>
                <w:lang w:eastAsia="es-CR"/>
              </w:rPr>
            </w:pPr>
          </w:p>
        </w:tc>
        <w:tc>
          <w:tcPr>
            <w:tcW w:w="600" w:type="pct"/>
            <w:tcBorders>
              <w:top w:val="nil"/>
              <w:left w:val="single" w:sz="4" w:space="0" w:color="auto"/>
              <w:bottom w:val="nil"/>
              <w:right w:val="single" w:sz="4" w:space="0" w:color="auto"/>
            </w:tcBorders>
            <w:shd w:val="clear" w:color="auto" w:fill="auto"/>
            <w:noWrap/>
            <w:vAlign w:val="center"/>
            <w:hideMark/>
          </w:tcPr>
          <w:p w14:paraId="7CB5FB36" w14:textId="77777777" w:rsidR="0017586F" w:rsidRPr="004E74A6" w:rsidRDefault="0017586F" w:rsidP="00CE62C1">
            <w:pPr>
              <w:spacing w:line="276" w:lineRule="auto"/>
              <w:jc w:val="center"/>
              <w:rPr>
                <w:rFonts w:cs="Calibri"/>
                <w:color w:val="000000"/>
                <w:sz w:val="20"/>
                <w:lang w:eastAsia="es-CR"/>
              </w:rPr>
            </w:pPr>
            <w:r w:rsidRPr="004E74A6">
              <w:rPr>
                <w:rFonts w:cs="Calibri"/>
                <w:color w:val="000000"/>
                <w:sz w:val="20"/>
                <w:lang w:eastAsia="es-CR"/>
              </w:rPr>
              <w:t>2</w:t>
            </w:r>
          </w:p>
        </w:tc>
        <w:tc>
          <w:tcPr>
            <w:tcW w:w="599" w:type="pct"/>
            <w:tcBorders>
              <w:top w:val="nil"/>
              <w:left w:val="single" w:sz="4" w:space="0" w:color="auto"/>
              <w:bottom w:val="nil"/>
              <w:right w:val="single" w:sz="4" w:space="0" w:color="auto"/>
            </w:tcBorders>
            <w:shd w:val="clear" w:color="auto" w:fill="auto"/>
            <w:noWrap/>
            <w:vAlign w:val="center"/>
            <w:hideMark/>
          </w:tcPr>
          <w:p w14:paraId="6C7353A1" w14:textId="77777777" w:rsidR="0017586F" w:rsidRPr="004E74A6" w:rsidRDefault="0017586F" w:rsidP="00CE62C1">
            <w:pPr>
              <w:spacing w:line="276" w:lineRule="auto"/>
              <w:jc w:val="center"/>
              <w:rPr>
                <w:rFonts w:cs="Calibri"/>
                <w:color w:val="000000"/>
                <w:sz w:val="20"/>
                <w:lang w:eastAsia="es-CR"/>
              </w:rPr>
            </w:pPr>
          </w:p>
        </w:tc>
        <w:tc>
          <w:tcPr>
            <w:tcW w:w="799" w:type="pct"/>
            <w:tcBorders>
              <w:top w:val="nil"/>
              <w:left w:val="single" w:sz="4" w:space="0" w:color="auto"/>
              <w:bottom w:val="nil"/>
              <w:right w:val="nil"/>
            </w:tcBorders>
            <w:shd w:val="clear" w:color="auto" w:fill="auto"/>
            <w:noWrap/>
            <w:vAlign w:val="center"/>
            <w:hideMark/>
          </w:tcPr>
          <w:p w14:paraId="1F5C4200" w14:textId="6415B175" w:rsidR="0017586F" w:rsidRPr="004E74A6" w:rsidRDefault="0017586F" w:rsidP="00CE62C1">
            <w:pPr>
              <w:spacing w:line="276" w:lineRule="auto"/>
              <w:jc w:val="center"/>
              <w:rPr>
                <w:rFonts w:cs="Calibri"/>
                <w:color w:val="000000"/>
                <w:sz w:val="20"/>
                <w:lang w:eastAsia="es-CR"/>
              </w:rPr>
            </w:pPr>
            <w:r w:rsidRPr="004E74A6">
              <w:rPr>
                <w:rFonts w:cs="Calibri"/>
                <w:color w:val="000000"/>
                <w:sz w:val="20"/>
              </w:rPr>
              <w:t>2</w:t>
            </w:r>
          </w:p>
        </w:tc>
      </w:tr>
      <w:tr w:rsidR="0017586F" w:rsidRPr="004E74A6" w14:paraId="4A8F17EC" w14:textId="77777777" w:rsidTr="00767FE4">
        <w:trPr>
          <w:trHeight w:val="288"/>
          <w:jc w:val="center"/>
        </w:trPr>
        <w:tc>
          <w:tcPr>
            <w:tcW w:w="2401" w:type="pct"/>
            <w:tcBorders>
              <w:top w:val="nil"/>
              <w:left w:val="nil"/>
              <w:right w:val="single" w:sz="4" w:space="0" w:color="auto"/>
            </w:tcBorders>
            <w:shd w:val="clear" w:color="auto" w:fill="auto"/>
            <w:noWrap/>
            <w:vAlign w:val="bottom"/>
            <w:hideMark/>
          </w:tcPr>
          <w:p w14:paraId="4B60F407" w14:textId="77777777" w:rsidR="0017586F" w:rsidRPr="004E74A6" w:rsidRDefault="0017586F" w:rsidP="00CE62C1">
            <w:pPr>
              <w:spacing w:line="276" w:lineRule="auto"/>
              <w:ind w:firstLineChars="100" w:firstLine="200"/>
              <w:jc w:val="left"/>
              <w:rPr>
                <w:rFonts w:cs="Calibri"/>
                <w:color w:val="000000"/>
                <w:sz w:val="20"/>
                <w:lang w:eastAsia="es-CR"/>
              </w:rPr>
            </w:pPr>
            <w:r w:rsidRPr="004E74A6">
              <w:rPr>
                <w:rFonts w:cs="Calibri"/>
                <w:color w:val="000000"/>
                <w:sz w:val="20"/>
                <w:lang w:eastAsia="es-CR"/>
              </w:rPr>
              <w:t>Sumario</w:t>
            </w:r>
          </w:p>
        </w:tc>
        <w:tc>
          <w:tcPr>
            <w:tcW w:w="600" w:type="pct"/>
            <w:tcBorders>
              <w:top w:val="nil"/>
              <w:left w:val="single" w:sz="4" w:space="0" w:color="auto"/>
              <w:right w:val="single" w:sz="4" w:space="0" w:color="auto"/>
            </w:tcBorders>
            <w:shd w:val="clear" w:color="auto" w:fill="auto"/>
            <w:noWrap/>
            <w:vAlign w:val="center"/>
            <w:hideMark/>
          </w:tcPr>
          <w:p w14:paraId="617E8489" w14:textId="77777777" w:rsidR="0017586F" w:rsidRPr="004E74A6" w:rsidRDefault="0017586F" w:rsidP="00CE62C1">
            <w:pPr>
              <w:spacing w:line="276" w:lineRule="auto"/>
              <w:jc w:val="center"/>
              <w:rPr>
                <w:rFonts w:cs="Calibri"/>
                <w:color w:val="000000"/>
                <w:sz w:val="20"/>
                <w:lang w:eastAsia="es-CR"/>
              </w:rPr>
            </w:pPr>
            <w:r w:rsidRPr="004E74A6">
              <w:rPr>
                <w:rFonts w:cs="Calibri"/>
                <w:color w:val="000000"/>
                <w:sz w:val="20"/>
                <w:lang w:eastAsia="es-CR"/>
              </w:rPr>
              <w:t>2</w:t>
            </w:r>
          </w:p>
        </w:tc>
        <w:tc>
          <w:tcPr>
            <w:tcW w:w="600" w:type="pct"/>
            <w:tcBorders>
              <w:top w:val="nil"/>
              <w:left w:val="single" w:sz="4" w:space="0" w:color="auto"/>
              <w:right w:val="single" w:sz="4" w:space="0" w:color="auto"/>
            </w:tcBorders>
            <w:shd w:val="clear" w:color="auto" w:fill="auto"/>
            <w:noWrap/>
            <w:vAlign w:val="center"/>
            <w:hideMark/>
          </w:tcPr>
          <w:p w14:paraId="4DAF6D5C" w14:textId="77777777" w:rsidR="0017586F" w:rsidRPr="004E74A6" w:rsidRDefault="0017586F" w:rsidP="00CE62C1">
            <w:pPr>
              <w:spacing w:line="276" w:lineRule="auto"/>
              <w:jc w:val="center"/>
              <w:rPr>
                <w:rFonts w:cs="Calibri"/>
                <w:color w:val="000000"/>
                <w:sz w:val="20"/>
                <w:lang w:eastAsia="es-CR"/>
              </w:rPr>
            </w:pPr>
            <w:r w:rsidRPr="004E74A6">
              <w:rPr>
                <w:rFonts w:cs="Calibri"/>
                <w:color w:val="000000"/>
                <w:sz w:val="20"/>
                <w:lang w:eastAsia="es-CR"/>
              </w:rPr>
              <w:t>2</w:t>
            </w:r>
          </w:p>
        </w:tc>
        <w:tc>
          <w:tcPr>
            <w:tcW w:w="599" w:type="pct"/>
            <w:tcBorders>
              <w:top w:val="nil"/>
              <w:left w:val="single" w:sz="4" w:space="0" w:color="auto"/>
              <w:right w:val="single" w:sz="4" w:space="0" w:color="auto"/>
            </w:tcBorders>
            <w:shd w:val="clear" w:color="auto" w:fill="auto"/>
            <w:noWrap/>
            <w:vAlign w:val="center"/>
            <w:hideMark/>
          </w:tcPr>
          <w:p w14:paraId="5E034A59" w14:textId="77777777" w:rsidR="0017586F" w:rsidRPr="004E74A6" w:rsidRDefault="0017586F" w:rsidP="00CE62C1">
            <w:pPr>
              <w:spacing w:line="276" w:lineRule="auto"/>
              <w:jc w:val="center"/>
              <w:rPr>
                <w:rFonts w:cs="Calibri"/>
                <w:color w:val="000000"/>
                <w:sz w:val="20"/>
                <w:lang w:eastAsia="es-CR"/>
              </w:rPr>
            </w:pPr>
            <w:r w:rsidRPr="004E74A6">
              <w:rPr>
                <w:rFonts w:cs="Calibri"/>
                <w:color w:val="000000"/>
                <w:sz w:val="20"/>
                <w:lang w:eastAsia="es-CR"/>
              </w:rPr>
              <w:t>1</w:t>
            </w:r>
          </w:p>
        </w:tc>
        <w:tc>
          <w:tcPr>
            <w:tcW w:w="799" w:type="pct"/>
            <w:tcBorders>
              <w:top w:val="nil"/>
              <w:left w:val="single" w:sz="4" w:space="0" w:color="auto"/>
              <w:right w:val="nil"/>
            </w:tcBorders>
            <w:shd w:val="clear" w:color="auto" w:fill="auto"/>
            <w:noWrap/>
            <w:vAlign w:val="center"/>
            <w:hideMark/>
          </w:tcPr>
          <w:p w14:paraId="3F480FB3" w14:textId="238C24CB" w:rsidR="0017586F" w:rsidRPr="004E74A6" w:rsidRDefault="0017586F" w:rsidP="00CE62C1">
            <w:pPr>
              <w:spacing w:line="276" w:lineRule="auto"/>
              <w:jc w:val="center"/>
              <w:rPr>
                <w:rFonts w:cs="Calibri"/>
                <w:color w:val="000000"/>
                <w:sz w:val="20"/>
                <w:lang w:eastAsia="es-CR"/>
              </w:rPr>
            </w:pPr>
            <w:r w:rsidRPr="004E74A6">
              <w:rPr>
                <w:rFonts w:cs="Calibri"/>
                <w:color w:val="000000"/>
                <w:sz w:val="20"/>
              </w:rPr>
              <w:t>2</w:t>
            </w:r>
          </w:p>
        </w:tc>
      </w:tr>
      <w:tr w:rsidR="00767FE4" w:rsidRPr="004E74A6" w14:paraId="2F02AEA6" w14:textId="77777777" w:rsidTr="00767FE4">
        <w:trPr>
          <w:trHeight w:val="288"/>
          <w:jc w:val="center"/>
        </w:trPr>
        <w:tc>
          <w:tcPr>
            <w:tcW w:w="2401" w:type="pct"/>
            <w:tcBorders>
              <w:top w:val="nil"/>
              <w:left w:val="nil"/>
              <w:bottom w:val="single" w:sz="4" w:space="0" w:color="auto"/>
              <w:right w:val="single" w:sz="4" w:space="0" w:color="auto"/>
            </w:tcBorders>
            <w:shd w:val="clear" w:color="auto" w:fill="auto"/>
            <w:noWrap/>
            <w:vAlign w:val="bottom"/>
          </w:tcPr>
          <w:p w14:paraId="6E95A707" w14:textId="77777777" w:rsidR="008647ED" w:rsidRPr="004E74A6" w:rsidRDefault="008647ED" w:rsidP="00CE62C1">
            <w:pPr>
              <w:spacing w:line="276" w:lineRule="auto"/>
              <w:ind w:firstLineChars="100" w:firstLine="200"/>
              <w:jc w:val="left"/>
              <w:rPr>
                <w:rFonts w:cs="Calibri"/>
                <w:color w:val="000000"/>
                <w:sz w:val="20"/>
                <w:lang w:eastAsia="es-CR"/>
              </w:rPr>
            </w:pPr>
          </w:p>
        </w:tc>
        <w:tc>
          <w:tcPr>
            <w:tcW w:w="600" w:type="pct"/>
            <w:tcBorders>
              <w:top w:val="nil"/>
              <w:left w:val="single" w:sz="4" w:space="0" w:color="auto"/>
              <w:bottom w:val="single" w:sz="4" w:space="0" w:color="auto"/>
              <w:right w:val="single" w:sz="4" w:space="0" w:color="auto"/>
            </w:tcBorders>
            <w:shd w:val="clear" w:color="auto" w:fill="auto"/>
            <w:noWrap/>
            <w:vAlign w:val="center"/>
          </w:tcPr>
          <w:p w14:paraId="7E359FC4" w14:textId="77777777" w:rsidR="008647ED" w:rsidRPr="004E74A6" w:rsidRDefault="008647ED" w:rsidP="00CE62C1">
            <w:pPr>
              <w:spacing w:line="276" w:lineRule="auto"/>
              <w:jc w:val="center"/>
              <w:rPr>
                <w:rFonts w:cs="Calibri"/>
                <w:color w:val="000000"/>
                <w:sz w:val="20"/>
                <w:lang w:eastAsia="es-CR"/>
              </w:rPr>
            </w:pPr>
          </w:p>
        </w:tc>
        <w:tc>
          <w:tcPr>
            <w:tcW w:w="600" w:type="pct"/>
            <w:tcBorders>
              <w:top w:val="nil"/>
              <w:left w:val="single" w:sz="4" w:space="0" w:color="auto"/>
              <w:bottom w:val="single" w:sz="4" w:space="0" w:color="auto"/>
              <w:right w:val="single" w:sz="4" w:space="0" w:color="auto"/>
            </w:tcBorders>
            <w:shd w:val="clear" w:color="auto" w:fill="auto"/>
            <w:noWrap/>
            <w:vAlign w:val="center"/>
          </w:tcPr>
          <w:p w14:paraId="6A3F1584" w14:textId="77777777" w:rsidR="008647ED" w:rsidRPr="004E74A6" w:rsidRDefault="008647ED" w:rsidP="00CE62C1">
            <w:pPr>
              <w:spacing w:line="276" w:lineRule="auto"/>
              <w:jc w:val="center"/>
              <w:rPr>
                <w:rFonts w:cs="Calibri"/>
                <w:color w:val="000000"/>
                <w:sz w:val="20"/>
                <w:lang w:eastAsia="es-CR"/>
              </w:rPr>
            </w:pPr>
          </w:p>
        </w:tc>
        <w:tc>
          <w:tcPr>
            <w:tcW w:w="599" w:type="pct"/>
            <w:tcBorders>
              <w:top w:val="nil"/>
              <w:left w:val="single" w:sz="4" w:space="0" w:color="auto"/>
              <w:bottom w:val="single" w:sz="4" w:space="0" w:color="auto"/>
              <w:right w:val="single" w:sz="4" w:space="0" w:color="auto"/>
            </w:tcBorders>
            <w:shd w:val="clear" w:color="auto" w:fill="auto"/>
            <w:noWrap/>
            <w:vAlign w:val="center"/>
          </w:tcPr>
          <w:p w14:paraId="112957C6" w14:textId="77777777" w:rsidR="008647ED" w:rsidRPr="004E74A6" w:rsidRDefault="008647ED" w:rsidP="00CE62C1">
            <w:pPr>
              <w:spacing w:line="276" w:lineRule="auto"/>
              <w:jc w:val="center"/>
              <w:rPr>
                <w:rFonts w:cs="Calibri"/>
                <w:color w:val="000000"/>
                <w:sz w:val="20"/>
                <w:lang w:eastAsia="es-CR"/>
              </w:rPr>
            </w:pPr>
          </w:p>
        </w:tc>
        <w:tc>
          <w:tcPr>
            <w:tcW w:w="799" w:type="pct"/>
            <w:tcBorders>
              <w:top w:val="nil"/>
              <w:left w:val="single" w:sz="4" w:space="0" w:color="auto"/>
              <w:bottom w:val="single" w:sz="4" w:space="0" w:color="auto"/>
              <w:right w:val="nil"/>
            </w:tcBorders>
            <w:shd w:val="clear" w:color="auto" w:fill="auto"/>
            <w:noWrap/>
            <w:vAlign w:val="center"/>
          </w:tcPr>
          <w:p w14:paraId="7A191334" w14:textId="77777777" w:rsidR="008647ED" w:rsidRPr="004E74A6" w:rsidRDefault="008647ED" w:rsidP="00CE62C1">
            <w:pPr>
              <w:spacing w:line="276" w:lineRule="auto"/>
              <w:jc w:val="center"/>
              <w:rPr>
                <w:rFonts w:cs="Calibri"/>
                <w:color w:val="000000"/>
                <w:sz w:val="20"/>
                <w:lang w:eastAsia="es-CR"/>
              </w:rPr>
            </w:pPr>
          </w:p>
        </w:tc>
      </w:tr>
    </w:tbl>
    <w:p w14:paraId="6855168B" w14:textId="77777777" w:rsidR="003E4755" w:rsidRPr="004E74A6" w:rsidRDefault="003E4755" w:rsidP="00832773">
      <w:pPr>
        <w:spacing w:line="276" w:lineRule="auto"/>
        <w:ind w:left="907" w:right="964"/>
        <w:rPr>
          <w:rFonts w:cs="Calibri"/>
          <w:i/>
          <w:iCs/>
          <w:color w:val="000000"/>
          <w:sz w:val="20"/>
          <w:lang w:eastAsia="es-CR"/>
        </w:rPr>
      </w:pPr>
      <w:r w:rsidRPr="004E74A6">
        <w:rPr>
          <w:rFonts w:cs="Calibri"/>
          <w:i/>
          <w:iCs/>
          <w:color w:val="000000"/>
          <w:sz w:val="20"/>
          <w:lang w:eastAsia="es-CR"/>
        </w:rPr>
        <w:t>Fuente: Subproceso de Modernización Institucional con datos extraídos del sistema SIGMA, Dirección de Planificación.</w:t>
      </w:r>
    </w:p>
    <w:p w14:paraId="14F2DA6B" w14:textId="77777777" w:rsidR="008647ED" w:rsidRPr="004E74A6" w:rsidRDefault="008647ED" w:rsidP="00CE62C1">
      <w:pPr>
        <w:spacing w:after="160" w:line="276" w:lineRule="auto"/>
        <w:rPr>
          <w:rFonts w:cs="Calibri"/>
          <w:color w:val="000000"/>
          <w:szCs w:val="24"/>
          <w:lang w:eastAsia="es-CR"/>
        </w:rPr>
      </w:pPr>
    </w:p>
    <w:p w14:paraId="4BD97CA2" w14:textId="43C603F1" w:rsidR="009608FE" w:rsidRDefault="009608FE" w:rsidP="00CE62C1">
      <w:pPr>
        <w:spacing w:after="160" w:line="276" w:lineRule="auto"/>
        <w:rPr>
          <w:rFonts w:cs="Calibri"/>
          <w:color w:val="000000"/>
          <w:szCs w:val="24"/>
          <w:lang w:eastAsia="es-CR"/>
        </w:rPr>
      </w:pPr>
      <w:r w:rsidRPr="004E74A6">
        <w:rPr>
          <w:rFonts w:cs="Calibri"/>
          <w:color w:val="000000"/>
          <w:szCs w:val="24"/>
          <w:lang w:eastAsia="es-CR"/>
        </w:rPr>
        <w:t xml:space="preserve">Con un mayor detalle es posible observar que dentro de la clase de asunto </w:t>
      </w:r>
      <w:r w:rsidR="00CF59BD" w:rsidRPr="004E74A6">
        <w:rPr>
          <w:rFonts w:cs="Calibri"/>
          <w:color w:val="000000"/>
          <w:szCs w:val="24"/>
          <w:lang w:eastAsia="es-CR"/>
        </w:rPr>
        <w:t>“</w:t>
      </w:r>
      <w:r w:rsidRPr="004E74A6">
        <w:rPr>
          <w:rFonts w:cs="Calibri"/>
          <w:i/>
          <w:iCs/>
          <w:color w:val="000000"/>
          <w:szCs w:val="24"/>
          <w:lang w:eastAsia="es-CR"/>
        </w:rPr>
        <w:t>ordinario</w:t>
      </w:r>
      <w:r w:rsidR="00CF59BD" w:rsidRPr="004E74A6">
        <w:rPr>
          <w:rFonts w:cs="Calibri"/>
          <w:i/>
          <w:iCs/>
          <w:color w:val="000000"/>
          <w:szCs w:val="24"/>
          <w:lang w:eastAsia="es-CR"/>
        </w:rPr>
        <w:t>”</w:t>
      </w:r>
      <w:r w:rsidRPr="004E74A6">
        <w:rPr>
          <w:rFonts w:cs="Calibri"/>
          <w:color w:val="000000"/>
          <w:szCs w:val="24"/>
          <w:lang w:eastAsia="es-CR"/>
        </w:rPr>
        <w:t xml:space="preserve">, los procedimientos </w:t>
      </w:r>
      <w:r w:rsidR="00CF59BD" w:rsidRPr="004E74A6">
        <w:rPr>
          <w:rFonts w:cs="Calibri"/>
          <w:color w:val="000000"/>
          <w:szCs w:val="24"/>
          <w:lang w:eastAsia="es-CR"/>
        </w:rPr>
        <w:t>“</w:t>
      </w:r>
      <w:r w:rsidRPr="004E74A6">
        <w:rPr>
          <w:rFonts w:cs="Calibri"/>
          <w:color w:val="000000"/>
          <w:szCs w:val="24"/>
          <w:lang w:eastAsia="es-CR"/>
        </w:rPr>
        <w:t>ordinarios</w:t>
      </w:r>
      <w:r w:rsidR="00CF59BD" w:rsidRPr="004E74A6">
        <w:rPr>
          <w:rFonts w:cs="Calibri"/>
          <w:color w:val="000000"/>
          <w:szCs w:val="24"/>
          <w:lang w:eastAsia="es-CR"/>
        </w:rPr>
        <w:t>”</w:t>
      </w:r>
      <w:r w:rsidRPr="004E74A6">
        <w:rPr>
          <w:rFonts w:cs="Calibri"/>
          <w:color w:val="000000"/>
          <w:szCs w:val="24"/>
          <w:lang w:eastAsia="es-CR"/>
        </w:rPr>
        <w:t xml:space="preserve"> </w:t>
      </w:r>
      <w:r w:rsidR="00CF59BD" w:rsidRPr="004E74A6">
        <w:rPr>
          <w:rFonts w:cs="Calibri"/>
          <w:color w:val="000000"/>
          <w:szCs w:val="24"/>
          <w:lang w:eastAsia="es-CR"/>
        </w:rPr>
        <w:t>representan</w:t>
      </w:r>
      <w:r w:rsidR="00C63ADE" w:rsidRPr="004E74A6">
        <w:rPr>
          <w:rFonts w:cs="Calibri"/>
          <w:color w:val="000000"/>
          <w:szCs w:val="24"/>
          <w:lang w:eastAsia="es-CR"/>
        </w:rPr>
        <w:t xml:space="preserve"> solo</w:t>
      </w:r>
      <w:r w:rsidRPr="004E74A6">
        <w:rPr>
          <w:rFonts w:cs="Calibri"/>
          <w:color w:val="000000"/>
          <w:szCs w:val="24"/>
          <w:lang w:eastAsia="es-CR"/>
        </w:rPr>
        <w:t xml:space="preserve"> el 98% de los asuntos.</w:t>
      </w:r>
      <w:r w:rsidR="00C63ADE" w:rsidRPr="004E74A6">
        <w:rPr>
          <w:rFonts w:cs="Calibri"/>
          <w:color w:val="000000"/>
          <w:szCs w:val="24"/>
          <w:lang w:eastAsia="es-CR"/>
        </w:rPr>
        <w:t xml:space="preserve"> D</w:t>
      </w:r>
      <w:r w:rsidRPr="004E74A6">
        <w:rPr>
          <w:rFonts w:cs="Calibri"/>
          <w:color w:val="000000"/>
          <w:szCs w:val="24"/>
          <w:lang w:eastAsia="es-CR"/>
        </w:rPr>
        <w:t>e los 12</w:t>
      </w:r>
      <w:r w:rsidR="00753465" w:rsidRPr="004E74A6">
        <w:rPr>
          <w:rFonts w:cs="Calibri"/>
          <w:color w:val="000000"/>
          <w:szCs w:val="24"/>
          <w:lang w:eastAsia="es-CR"/>
        </w:rPr>
        <w:t>6</w:t>
      </w:r>
      <w:r w:rsidRPr="004E74A6">
        <w:rPr>
          <w:rFonts w:cs="Calibri"/>
          <w:color w:val="000000"/>
          <w:szCs w:val="24"/>
          <w:lang w:eastAsia="es-CR"/>
        </w:rPr>
        <w:t xml:space="preserve"> registros, solo 12</w:t>
      </w:r>
      <w:r w:rsidR="00753465" w:rsidRPr="004E74A6">
        <w:rPr>
          <w:rFonts w:cs="Calibri"/>
          <w:color w:val="000000"/>
          <w:szCs w:val="24"/>
          <w:lang w:eastAsia="es-CR"/>
        </w:rPr>
        <w:t>4</w:t>
      </w:r>
      <w:r w:rsidRPr="004E74A6">
        <w:rPr>
          <w:rFonts w:cs="Calibri"/>
          <w:color w:val="000000"/>
          <w:szCs w:val="24"/>
          <w:lang w:eastAsia="es-CR"/>
        </w:rPr>
        <w:t xml:space="preserve"> tienen el procedimiento correcto, ya que según la fórmula estadística la clase “</w:t>
      </w:r>
      <w:r w:rsidRPr="004E74A6">
        <w:rPr>
          <w:rFonts w:cs="Calibri"/>
          <w:i/>
          <w:iCs/>
          <w:color w:val="000000"/>
          <w:szCs w:val="24"/>
          <w:lang w:eastAsia="es-CR"/>
        </w:rPr>
        <w:t>ordinario</w:t>
      </w:r>
      <w:r w:rsidRPr="004E74A6">
        <w:rPr>
          <w:rFonts w:cs="Calibri"/>
          <w:color w:val="000000"/>
          <w:szCs w:val="24"/>
          <w:lang w:eastAsia="es-CR"/>
        </w:rPr>
        <w:t>” solamente tiene como procedimiento asociado “</w:t>
      </w:r>
      <w:r w:rsidRPr="004E74A6">
        <w:rPr>
          <w:rFonts w:cs="Calibri"/>
          <w:i/>
          <w:iCs/>
          <w:color w:val="000000"/>
          <w:szCs w:val="24"/>
          <w:lang w:eastAsia="es-CR"/>
        </w:rPr>
        <w:t>ordinario</w:t>
      </w:r>
      <w:r w:rsidRPr="004E74A6">
        <w:rPr>
          <w:rFonts w:cs="Calibri"/>
          <w:color w:val="000000"/>
          <w:szCs w:val="24"/>
          <w:lang w:eastAsia="es-CR"/>
        </w:rPr>
        <w:t xml:space="preserve">”. </w:t>
      </w:r>
    </w:p>
    <w:p w14:paraId="1E92179C" w14:textId="65A07417" w:rsidR="00194F64" w:rsidRDefault="00194F64" w:rsidP="00CE62C1">
      <w:pPr>
        <w:spacing w:after="160" w:line="276" w:lineRule="auto"/>
        <w:rPr>
          <w:rFonts w:cs="Calibri"/>
          <w:color w:val="000000"/>
          <w:szCs w:val="24"/>
          <w:lang w:eastAsia="es-CR"/>
        </w:rPr>
      </w:pPr>
    </w:p>
    <w:p w14:paraId="57928DF1" w14:textId="2C5C2C7F" w:rsidR="00194F64" w:rsidRDefault="00194F64" w:rsidP="00CE62C1">
      <w:pPr>
        <w:spacing w:after="160" w:line="276" w:lineRule="auto"/>
        <w:rPr>
          <w:rFonts w:cs="Calibri"/>
          <w:color w:val="000000"/>
          <w:szCs w:val="24"/>
          <w:lang w:eastAsia="es-CR"/>
        </w:rPr>
      </w:pPr>
    </w:p>
    <w:p w14:paraId="6723C4B9" w14:textId="623EDD13" w:rsidR="00194F64" w:rsidRDefault="00194F64" w:rsidP="00CE62C1">
      <w:pPr>
        <w:spacing w:after="160" w:line="276" w:lineRule="auto"/>
        <w:rPr>
          <w:rFonts w:cs="Calibri"/>
          <w:color w:val="000000"/>
          <w:szCs w:val="24"/>
          <w:lang w:eastAsia="es-CR"/>
        </w:rPr>
      </w:pPr>
    </w:p>
    <w:p w14:paraId="20B40303" w14:textId="34E44D27" w:rsidR="00194F64" w:rsidRDefault="00194F64" w:rsidP="00CE62C1">
      <w:pPr>
        <w:spacing w:after="160" w:line="276" w:lineRule="auto"/>
        <w:rPr>
          <w:rFonts w:cs="Calibri"/>
          <w:color w:val="000000"/>
          <w:szCs w:val="24"/>
          <w:lang w:eastAsia="es-CR"/>
        </w:rPr>
      </w:pPr>
    </w:p>
    <w:p w14:paraId="35709A73" w14:textId="3BE1F9FB" w:rsidR="00194F64" w:rsidRDefault="00194F64" w:rsidP="00CE62C1">
      <w:pPr>
        <w:spacing w:after="160" w:line="276" w:lineRule="auto"/>
        <w:rPr>
          <w:rFonts w:cs="Calibri"/>
          <w:color w:val="000000"/>
          <w:szCs w:val="24"/>
          <w:lang w:eastAsia="es-CR"/>
        </w:rPr>
      </w:pPr>
    </w:p>
    <w:p w14:paraId="673FE19B" w14:textId="18BEE5D5" w:rsidR="00194F64" w:rsidRDefault="00194F64" w:rsidP="00CE62C1">
      <w:pPr>
        <w:spacing w:after="160" w:line="276" w:lineRule="auto"/>
        <w:rPr>
          <w:rFonts w:cs="Calibri"/>
          <w:color w:val="000000"/>
          <w:szCs w:val="24"/>
          <w:lang w:eastAsia="es-CR"/>
        </w:rPr>
      </w:pPr>
    </w:p>
    <w:p w14:paraId="6E83CCC8" w14:textId="5153FB88" w:rsidR="00194F64" w:rsidRDefault="00194F64" w:rsidP="00CE62C1">
      <w:pPr>
        <w:spacing w:after="160" w:line="276" w:lineRule="auto"/>
        <w:rPr>
          <w:rFonts w:cs="Calibri"/>
          <w:color w:val="000000"/>
          <w:szCs w:val="24"/>
          <w:lang w:eastAsia="es-CR"/>
        </w:rPr>
      </w:pPr>
    </w:p>
    <w:p w14:paraId="1DE57962" w14:textId="076E6A70" w:rsidR="00194F64" w:rsidRDefault="00194F64" w:rsidP="00CE62C1">
      <w:pPr>
        <w:spacing w:after="160" w:line="276" w:lineRule="auto"/>
        <w:rPr>
          <w:rFonts w:cs="Calibri"/>
          <w:color w:val="000000"/>
          <w:szCs w:val="24"/>
          <w:lang w:eastAsia="es-CR"/>
        </w:rPr>
      </w:pPr>
    </w:p>
    <w:p w14:paraId="31F60941" w14:textId="77777777" w:rsidR="00194F64" w:rsidRPr="004E74A6" w:rsidRDefault="00194F64" w:rsidP="00CE62C1">
      <w:pPr>
        <w:spacing w:after="160" w:line="276" w:lineRule="auto"/>
        <w:rPr>
          <w:rFonts w:cs="Calibri"/>
          <w:color w:val="000000"/>
          <w:szCs w:val="24"/>
          <w:lang w:eastAsia="es-CR"/>
        </w:rPr>
      </w:pPr>
    </w:p>
    <w:p w14:paraId="4932F7D8" w14:textId="77777777" w:rsidR="00662185" w:rsidRPr="00832773" w:rsidRDefault="00662185" w:rsidP="00832773">
      <w:pPr>
        <w:spacing w:line="276" w:lineRule="auto"/>
      </w:pPr>
    </w:p>
    <w:p w14:paraId="7483F8FA" w14:textId="5BBA916E" w:rsidR="00A05E91" w:rsidRDefault="00A05E91" w:rsidP="00F0204A">
      <w:pPr>
        <w:pStyle w:val="Descripcin"/>
        <w:keepNext/>
        <w:spacing w:line="276" w:lineRule="auto"/>
        <w:jc w:val="center"/>
        <w:rPr>
          <w:rFonts w:ascii="Book Antiqua" w:hAnsi="Book Antiqua"/>
          <w:i/>
          <w:iCs/>
          <w:sz w:val="20"/>
          <w:szCs w:val="16"/>
          <w:lang w:val="es-CR"/>
        </w:rPr>
      </w:pPr>
      <w:r w:rsidRPr="00832773">
        <w:rPr>
          <w:rFonts w:ascii="Book Antiqua" w:hAnsi="Book Antiqua"/>
          <w:i/>
          <w:iCs/>
          <w:sz w:val="20"/>
          <w:szCs w:val="16"/>
          <w:lang w:val="es-CR"/>
        </w:rPr>
        <w:t xml:space="preserve">Tabla </w:t>
      </w:r>
      <w:r w:rsidRPr="00832773">
        <w:rPr>
          <w:rFonts w:ascii="Book Antiqua" w:hAnsi="Book Antiqua"/>
          <w:i/>
          <w:iCs/>
          <w:sz w:val="20"/>
          <w:szCs w:val="16"/>
          <w:lang w:val="es-CR"/>
        </w:rPr>
        <w:fldChar w:fldCharType="begin"/>
      </w:r>
      <w:r w:rsidRPr="00832773">
        <w:rPr>
          <w:rFonts w:ascii="Book Antiqua" w:hAnsi="Book Antiqua"/>
          <w:i/>
          <w:iCs/>
          <w:sz w:val="20"/>
          <w:szCs w:val="16"/>
          <w:lang w:val="es-CR"/>
        </w:rPr>
        <w:instrText xml:space="preserve"> SEQ Tabla \* ARABIC </w:instrText>
      </w:r>
      <w:r w:rsidRPr="00832773">
        <w:rPr>
          <w:rFonts w:ascii="Book Antiqua" w:hAnsi="Book Antiqua"/>
          <w:i/>
          <w:iCs/>
          <w:sz w:val="20"/>
          <w:szCs w:val="16"/>
          <w:lang w:val="es-CR"/>
        </w:rPr>
        <w:fldChar w:fldCharType="separate"/>
      </w:r>
      <w:r w:rsidR="00374B51">
        <w:rPr>
          <w:rFonts w:ascii="Book Antiqua" w:hAnsi="Book Antiqua"/>
          <w:i/>
          <w:iCs/>
          <w:noProof/>
          <w:sz w:val="20"/>
          <w:szCs w:val="16"/>
          <w:lang w:val="es-CR"/>
        </w:rPr>
        <w:t>11</w:t>
      </w:r>
      <w:r w:rsidRPr="00832773">
        <w:rPr>
          <w:rFonts w:ascii="Book Antiqua" w:hAnsi="Book Antiqua"/>
          <w:i/>
          <w:iCs/>
          <w:sz w:val="20"/>
          <w:szCs w:val="16"/>
          <w:lang w:val="es-CR"/>
        </w:rPr>
        <w:fldChar w:fldCharType="end"/>
      </w:r>
      <w:r w:rsidRPr="00832773">
        <w:rPr>
          <w:rFonts w:ascii="Book Antiqua" w:hAnsi="Book Antiqua"/>
          <w:i/>
          <w:iCs/>
          <w:sz w:val="20"/>
          <w:szCs w:val="16"/>
          <w:lang w:val="es-CR"/>
        </w:rPr>
        <w:t xml:space="preserve"> </w:t>
      </w:r>
      <w:r w:rsidR="004562FD" w:rsidRPr="00832773">
        <w:rPr>
          <w:rFonts w:ascii="Book Antiqua" w:hAnsi="Book Antiqua"/>
          <w:i/>
          <w:iCs/>
          <w:sz w:val="20"/>
          <w:szCs w:val="16"/>
          <w:lang w:val="es-CR"/>
        </w:rPr>
        <w:t xml:space="preserve">Cantidad de entrados ordinarios estimables por cuantía del 2019 al 2021 </w:t>
      </w:r>
      <w:r w:rsidRPr="00832773">
        <w:rPr>
          <w:rFonts w:ascii="Book Antiqua" w:hAnsi="Book Antiqua"/>
          <w:i/>
          <w:iCs/>
          <w:sz w:val="20"/>
          <w:szCs w:val="16"/>
          <w:lang w:val="es-CR"/>
        </w:rPr>
        <w:t>para el Tribunal Colegiado Primera Instancia Civil Tercer Circuito Judicial San José, Hatillo</w:t>
      </w:r>
    </w:p>
    <w:p w14:paraId="1F6A1576" w14:textId="77777777" w:rsidR="00194F64" w:rsidRPr="00194F64" w:rsidRDefault="00194F64" w:rsidP="00194F64"/>
    <w:tbl>
      <w:tblPr>
        <w:tblW w:w="5168" w:type="pct"/>
        <w:tblCellMar>
          <w:left w:w="70" w:type="dxa"/>
          <w:right w:w="70" w:type="dxa"/>
        </w:tblCellMar>
        <w:tblLook w:val="04A0" w:firstRow="1" w:lastRow="0" w:firstColumn="1" w:lastColumn="0" w:noHBand="0" w:noVBand="1"/>
      </w:tblPr>
      <w:tblGrid>
        <w:gridCol w:w="5521"/>
        <w:gridCol w:w="837"/>
        <w:gridCol w:w="831"/>
        <w:gridCol w:w="831"/>
        <w:gridCol w:w="1117"/>
      </w:tblGrid>
      <w:tr w:rsidR="00A05E91" w:rsidRPr="004E74A6" w14:paraId="77600299" w14:textId="77777777" w:rsidTr="00FB5DE0">
        <w:trPr>
          <w:trHeight w:val="454"/>
          <w:tblHeader/>
        </w:trPr>
        <w:tc>
          <w:tcPr>
            <w:tcW w:w="3021" w:type="pct"/>
            <w:tcBorders>
              <w:top w:val="single" w:sz="4" w:space="0" w:color="auto"/>
              <w:left w:val="nil"/>
              <w:bottom w:val="single" w:sz="4" w:space="0" w:color="auto"/>
              <w:right w:val="single" w:sz="4" w:space="0" w:color="auto"/>
            </w:tcBorders>
            <w:shd w:val="clear" w:color="auto" w:fill="auto"/>
            <w:noWrap/>
            <w:vAlign w:val="center"/>
            <w:hideMark/>
          </w:tcPr>
          <w:p w14:paraId="7894F984" w14:textId="77777777" w:rsidR="008647ED" w:rsidRPr="004E74A6" w:rsidRDefault="008647ED" w:rsidP="00CE62C1">
            <w:pPr>
              <w:spacing w:line="276" w:lineRule="auto"/>
              <w:ind w:firstLineChars="100" w:firstLine="200"/>
              <w:jc w:val="center"/>
              <w:rPr>
                <w:rFonts w:cs="Calibri"/>
                <w:color w:val="000000"/>
                <w:sz w:val="20"/>
                <w:lang w:eastAsia="es-CR"/>
              </w:rPr>
            </w:pPr>
            <w:r w:rsidRPr="004E74A6">
              <w:rPr>
                <w:rFonts w:cs="Calibri"/>
                <w:color w:val="000000"/>
                <w:sz w:val="20"/>
                <w:lang w:eastAsia="es-CR"/>
              </w:rPr>
              <w:t>Ordinario</w:t>
            </w:r>
          </w:p>
        </w:tc>
        <w:tc>
          <w:tcPr>
            <w:tcW w:w="4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63546E6"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2019</w:t>
            </w:r>
          </w:p>
        </w:tc>
        <w:tc>
          <w:tcPr>
            <w:tcW w:w="45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4EDA877"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2020</w:t>
            </w:r>
          </w:p>
        </w:tc>
        <w:tc>
          <w:tcPr>
            <w:tcW w:w="45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C64BEEF"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2021</w:t>
            </w:r>
          </w:p>
        </w:tc>
        <w:tc>
          <w:tcPr>
            <w:tcW w:w="611" w:type="pct"/>
            <w:tcBorders>
              <w:top w:val="single" w:sz="4" w:space="0" w:color="auto"/>
              <w:left w:val="single" w:sz="4" w:space="0" w:color="auto"/>
              <w:bottom w:val="single" w:sz="4" w:space="0" w:color="auto"/>
              <w:right w:val="nil"/>
            </w:tcBorders>
            <w:shd w:val="clear" w:color="auto" w:fill="auto"/>
            <w:noWrap/>
            <w:vAlign w:val="center"/>
          </w:tcPr>
          <w:p w14:paraId="6FFDD1A1" w14:textId="5EEA2580" w:rsidR="008647ED" w:rsidRPr="004E74A6" w:rsidRDefault="00A05E91" w:rsidP="00CE62C1">
            <w:pPr>
              <w:spacing w:line="276" w:lineRule="auto"/>
              <w:jc w:val="center"/>
              <w:rPr>
                <w:rFonts w:cs="Calibri"/>
                <w:color w:val="000000"/>
                <w:sz w:val="20"/>
                <w:lang w:eastAsia="es-CR"/>
              </w:rPr>
            </w:pPr>
            <w:r w:rsidRPr="004E74A6">
              <w:rPr>
                <w:rFonts w:cs="Calibri"/>
                <w:color w:val="000000"/>
                <w:sz w:val="20"/>
                <w:lang w:eastAsia="es-CR"/>
              </w:rPr>
              <w:t>Promedio</w:t>
            </w:r>
          </w:p>
        </w:tc>
      </w:tr>
      <w:tr w:rsidR="00A05E91" w:rsidRPr="004E74A6" w14:paraId="2F5131F3" w14:textId="77777777" w:rsidTr="00A05E91">
        <w:trPr>
          <w:trHeight w:val="288"/>
        </w:trPr>
        <w:tc>
          <w:tcPr>
            <w:tcW w:w="3021" w:type="pct"/>
            <w:tcBorders>
              <w:top w:val="single" w:sz="4" w:space="0" w:color="auto"/>
              <w:left w:val="nil"/>
              <w:bottom w:val="nil"/>
              <w:right w:val="single" w:sz="4" w:space="0" w:color="auto"/>
            </w:tcBorders>
            <w:shd w:val="clear" w:color="auto" w:fill="auto"/>
            <w:noWrap/>
            <w:vAlign w:val="center"/>
          </w:tcPr>
          <w:p w14:paraId="3950A430" w14:textId="77777777" w:rsidR="008647ED" w:rsidRPr="004E74A6" w:rsidRDefault="008647ED" w:rsidP="00CE62C1">
            <w:pPr>
              <w:spacing w:line="276" w:lineRule="auto"/>
              <w:ind w:firstLineChars="200" w:firstLine="400"/>
              <w:jc w:val="center"/>
              <w:rPr>
                <w:rFonts w:cs="Calibri"/>
                <w:color w:val="000000"/>
                <w:sz w:val="20"/>
                <w:lang w:eastAsia="es-CR"/>
              </w:rPr>
            </w:pPr>
          </w:p>
        </w:tc>
        <w:tc>
          <w:tcPr>
            <w:tcW w:w="458" w:type="pct"/>
            <w:tcBorders>
              <w:top w:val="single" w:sz="4" w:space="0" w:color="auto"/>
              <w:left w:val="single" w:sz="4" w:space="0" w:color="auto"/>
              <w:bottom w:val="nil"/>
              <w:right w:val="single" w:sz="4" w:space="0" w:color="auto"/>
            </w:tcBorders>
            <w:shd w:val="clear" w:color="auto" w:fill="auto"/>
            <w:noWrap/>
            <w:vAlign w:val="center"/>
          </w:tcPr>
          <w:p w14:paraId="65B7A1F9" w14:textId="77777777" w:rsidR="008647ED" w:rsidRPr="004E74A6" w:rsidRDefault="008647ED" w:rsidP="00CE62C1">
            <w:pPr>
              <w:spacing w:line="276" w:lineRule="auto"/>
              <w:jc w:val="center"/>
              <w:rPr>
                <w:sz w:val="20"/>
                <w:lang w:eastAsia="es-CR"/>
              </w:rPr>
            </w:pPr>
          </w:p>
        </w:tc>
        <w:tc>
          <w:tcPr>
            <w:tcW w:w="455" w:type="pct"/>
            <w:tcBorders>
              <w:top w:val="single" w:sz="4" w:space="0" w:color="auto"/>
              <w:left w:val="single" w:sz="4" w:space="0" w:color="auto"/>
              <w:bottom w:val="nil"/>
              <w:right w:val="single" w:sz="4" w:space="0" w:color="auto"/>
            </w:tcBorders>
            <w:shd w:val="clear" w:color="auto" w:fill="auto"/>
            <w:noWrap/>
            <w:vAlign w:val="center"/>
          </w:tcPr>
          <w:p w14:paraId="50CDB3CF" w14:textId="77777777" w:rsidR="008647ED" w:rsidRPr="004E74A6" w:rsidRDefault="008647ED" w:rsidP="00CE62C1">
            <w:pPr>
              <w:spacing w:line="276" w:lineRule="auto"/>
              <w:jc w:val="center"/>
              <w:rPr>
                <w:sz w:val="20"/>
                <w:lang w:eastAsia="es-CR"/>
              </w:rPr>
            </w:pPr>
          </w:p>
        </w:tc>
        <w:tc>
          <w:tcPr>
            <w:tcW w:w="455" w:type="pct"/>
            <w:tcBorders>
              <w:top w:val="single" w:sz="4" w:space="0" w:color="auto"/>
              <w:left w:val="single" w:sz="4" w:space="0" w:color="auto"/>
              <w:bottom w:val="nil"/>
              <w:right w:val="single" w:sz="4" w:space="0" w:color="auto"/>
            </w:tcBorders>
            <w:shd w:val="clear" w:color="auto" w:fill="auto"/>
            <w:noWrap/>
            <w:vAlign w:val="center"/>
          </w:tcPr>
          <w:p w14:paraId="7E77EAAE" w14:textId="77777777" w:rsidR="008647ED" w:rsidRPr="004E74A6" w:rsidRDefault="008647ED" w:rsidP="00CE62C1">
            <w:pPr>
              <w:spacing w:line="276" w:lineRule="auto"/>
              <w:jc w:val="center"/>
              <w:rPr>
                <w:rFonts w:cs="Calibri"/>
                <w:color w:val="000000"/>
                <w:sz w:val="20"/>
                <w:lang w:eastAsia="es-CR"/>
              </w:rPr>
            </w:pPr>
          </w:p>
        </w:tc>
        <w:tc>
          <w:tcPr>
            <w:tcW w:w="611" w:type="pct"/>
            <w:tcBorders>
              <w:top w:val="single" w:sz="4" w:space="0" w:color="auto"/>
              <w:left w:val="single" w:sz="4" w:space="0" w:color="auto"/>
              <w:bottom w:val="nil"/>
              <w:right w:val="nil"/>
            </w:tcBorders>
            <w:shd w:val="clear" w:color="auto" w:fill="auto"/>
            <w:noWrap/>
            <w:vAlign w:val="center"/>
          </w:tcPr>
          <w:p w14:paraId="59731749" w14:textId="77777777" w:rsidR="008647ED" w:rsidRPr="004E74A6" w:rsidRDefault="008647ED" w:rsidP="00CE62C1">
            <w:pPr>
              <w:spacing w:line="276" w:lineRule="auto"/>
              <w:jc w:val="center"/>
              <w:rPr>
                <w:rFonts w:cs="Calibri"/>
                <w:color w:val="000000"/>
                <w:sz w:val="20"/>
                <w:lang w:eastAsia="es-CR"/>
              </w:rPr>
            </w:pPr>
          </w:p>
        </w:tc>
      </w:tr>
      <w:tr w:rsidR="00A05E91" w:rsidRPr="004E74A6" w14:paraId="3787680D" w14:textId="77777777" w:rsidTr="00A05E91">
        <w:trPr>
          <w:trHeight w:val="288"/>
        </w:trPr>
        <w:tc>
          <w:tcPr>
            <w:tcW w:w="3021" w:type="pct"/>
            <w:tcBorders>
              <w:top w:val="nil"/>
              <w:left w:val="nil"/>
              <w:bottom w:val="nil"/>
              <w:right w:val="single" w:sz="4" w:space="0" w:color="auto"/>
            </w:tcBorders>
            <w:shd w:val="clear" w:color="auto" w:fill="auto"/>
            <w:noWrap/>
            <w:vAlign w:val="center"/>
          </w:tcPr>
          <w:p w14:paraId="58F5F65E" w14:textId="77777777" w:rsidR="00A05E91" w:rsidRPr="004E74A6" w:rsidRDefault="00A05E91" w:rsidP="00CE62C1">
            <w:pPr>
              <w:spacing w:line="276" w:lineRule="auto"/>
              <w:ind w:firstLineChars="200" w:firstLine="400"/>
              <w:jc w:val="center"/>
              <w:rPr>
                <w:rFonts w:cs="Calibri"/>
                <w:color w:val="000000"/>
                <w:sz w:val="20"/>
                <w:lang w:eastAsia="es-CR"/>
              </w:rPr>
            </w:pPr>
            <w:r w:rsidRPr="004E74A6">
              <w:rPr>
                <w:rFonts w:cs="Calibri"/>
                <w:color w:val="000000"/>
                <w:sz w:val="20"/>
                <w:lang w:eastAsia="es-CR"/>
              </w:rPr>
              <w:t>Total</w:t>
            </w:r>
          </w:p>
        </w:tc>
        <w:tc>
          <w:tcPr>
            <w:tcW w:w="458" w:type="pct"/>
            <w:tcBorders>
              <w:top w:val="nil"/>
              <w:left w:val="single" w:sz="4" w:space="0" w:color="auto"/>
              <w:bottom w:val="nil"/>
              <w:right w:val="single" w:sz="4" w:space="0" w:color="auto"/>
            </w:tcBorders>
            <w:shd w:val="clear" w:color="auto" w:fill="auto"/>
            <w:noWrap/>
            <w:vAlign w:val="center"/>
          </w:tcPr>
          <w:p w14:paraId="6EF94BBD" w14:textId="60D652C7" w:rsidR="00A05E91" w:rsidRPr="004E74A6" w:rsidRDefault="00A05E91" w:rsidP="00CE62C1">
            <w:pPr>
              <w:spacing w:line="276" w:lineRule="auto"/>
              <w:jc w:val="center"/>
              <w:rPr>
                <w:sz w:val="20"/>
                <w:lang w:eastAsia="es-CR"/>
              </w:rPr>
            </w:pPr>
            <w:r w:rsidRPr="004E74A6">
              <w:rPr>
                <w:rFonts w:cs="Calibri"/>
                <w:color w:val="000000"/>
                <w:sz w:val="20"/>
                <w:lang w:eastAsia="es-CR"/>
              </w:rPr>
              <w:t>1</w:t>
            </w:r>
            <w:r w:rsidR="00553846" w:rsidRPr="004E74A6">
              <w:rPr>
                <w:rFonts w:cs="Calibri"/>
                <w:color w:val="000000"/>
                <w:sz w:val="20"/>
                <w:lang w:eastAsia="es-CR"/>
              </w:rPr>
              <w:t>29</w:t>
            </w:r>
          </w:p>
        </w:tc>
        <w:tc>
          <w:tcPr>
            <w:tcW w:w="455" w:type="pct"/>
            <w:tcBorders>
              <w:top w:val="nil"/>
              <w:left w:val="single" w:sz="4" w:space="0" w:color="auto"/>
              <w:bottom w:val="nil"/>
              <w:right w:val="single" w:sz="4" w:space="0" w:color="auto"/>
            </w:tcBorders>
            <w:shd w:val="clear" w:color="auto" w:fill="auto"/>
            <w:noWrap/>
            <w:vAlign w:val="center"/>
          </w:tcPr>
          <w:p w14:paraId="6CDB7876" w14:textId="77777777" w:rsidR="00A05E91" w:rsidRPr="004E74A6" w:rsidRDefault="00A05E91" w:rsidP="00CE62C1">
            <w:pPr>
              <w:spacing w:line="276" w:lineRule="auto"/>
              <w:jc w:val="center"/>
              <w:rPr>
                <w:sz w:val="20"/>
                <w:lang w:eastAsia="es-CR"/>
              </w:rPr>
            </w:pPr>
            <w:r w:rsidRPr="004E74A6">
              <w:rPr>
                <w:rFonts w:cs="Calibri"/>
                <w:color w:val="000000"/>
                <w:sz w:val="20"/>
                <w:lang w:eastAsia="es-CR"/>
              </w:rPr>
              <w:t>87</w:t>
            </w:r>
          </w:p>
        </w:tc>
        <w:tc>
          <w:tcPr>
            <w:tcW w:w="455" w:type="pct"/>
            <w:tcBorders>
              <w:top w:val="nil"/>
              <w:left w:val="single" w:sz="4" w:space="0" w:color="auto"/>
              <w:bottom w:val="nil"/>
              <w:right w:val="single" w:sz="4" w:space="0" w:color="auto"/>
            </w:tcBorders>
            <w:shd w:val="clear" w:color="auto" w:fill="auto"/>
            <w:noWrap/>
            <w:vAlign w:val="center"/>
          </w:tcPr>
          <w:p w14:paraId="3AA928CD" w14:textId="4495C6FA" w:rsidR="00A05E91" w:rsidRPr="004E74A6" w:rsidRDefault="00A05E91" w:rsidP="00CE62C1">
            <w:pPr>
              <w:spacing w:line="276" w:lineRule="auto"/>
              <w:jc w:val="center"/>
              <w:rPr>
                <w:rFonts w:cs="Calibri"/>
                <w:color w:val="000000"/>
                <w:sz w:val="20"/>
                <w:lang w:eastAsia="es-CR"/>
              </w:rPr>
            </w:pPr>
            <w:r w:rsidRPr="004E74A6">
              <w:rPr>
                <w:rFonts w:cs="Calibri"/>
                <w:color w:val="000000"/>
                <w:sz w:val="20"/>
                <w:lang w:eastAsia="es-CR"/>
              </w:rPr>
              <w:t>16</w:t>
            </w:r>
            <w:r w:rsidR="00553846" w:rsidRPr="004E74A6">
              <w:rPr>
                <w:rFonts w:cs="Calibri"/>
                <w:color w:val="000000"/>
                <w:sz w:val="20"/>
                <w:lang w:eastAsia="es-CR"/>
              </w:rPr>
              <w:t>3</w:t>
            </w:r>
          </w:p>
        </w:tc>
        <w:tc>
          <w:tcPr>
            <w:tcW w:w="611" w:type="pct"/>
            <w:tcBorders>
              <w:top w:val="nil"/>
              <w:left w:val="single" w:sz="4" w:space="0" w:color="auto"/>
              <w:bottom w:val="nil"/>
              <w:right w:val="nil"/>
            </w:tcBorders>
            <w:shd w:val="clear" w:color="auto" w:fill="auto"/>
            <w:noWrap/>
            <w:vAlign w:val="center"/>
          </w:tcPr>
          <w:p w14:paraId="068F038A" w14:textId="70A394F3" w:rsidR="00A05E91" w:rsidRPr="004E74A6" w:rsidRDefault="00A05E91" w:rsidP="00CE62C1">
            <w:pPr>
              <w:spacing w:line="276" w:lineRule="auto"/>
              <w:jc w:val="center"/>
              <w:rPr>
                <w:rFonts w:cs="Calibri"/>
                <w:color w:val="000000"/>
                <w:sz w:val="20"/>
                <w:lang w:eastAsia="es-CR"/>
              </w:rPr>
            </w:pPr>
            <w:r w:rsidRPr="004E74A6">
              <w:rPr>
                <w:rFonts w:cs="Calibri"/>
                <w:color w:val="000000"/>
                <w:sz w:val="20"/>
              </w:rPr>
              <w:t>12</w:t>
            </w:r>
            <w:r w:rsidR="00553846" w:rsidRPr="004E74A6">
              <w:rPr>
                <w:rFonts w:cs="Calibri"/>
                <w:color w:val="000000"/>
                <w:sz w:val="20"/>
              </w:rPr>
              <w:t>6</w:t>
            </w:r>
          </w:p>
        </w:tc>
      </w:tr>
      <w:tr w:rsidR="00A05E91" w:rsidRPr="004E74A6" w14:paraId="622EAD58" w14:textId="77777777" w:rsidTr="00A05E91">
        <w:trPr>
          <w:trHeight w:val="288"/>
        </w:trPr>
        <w:tc>
          <w:tcPr>
            <w:tcW w:w="3021" w:type="pct"/>
            <w:tcBorders>
              <w:top w:val="nil"/>
              <w:left w:val="nil"/>
              <w:bottom w:val="nil"/>
              <w:right w:val="single" w:sz="4" w:space="0" w:color="auto"/>
            </w:tcBorders>
            <w:shd w:val="clear" w:color="auto" w:fill="auto"/>
            <w:noWrap/>
            <w:vAlign w:val="bottom"/>
          </w:tcPr>
          <w:p w14:paraId="60AF86EC" w14:textId="77777777" w:rsidR="00A05E91" w:rsidRPr="004E74A6" w:rsidRDefault="00A05E91" w:rsidP="00CE62C1">
            <w:pPr>
              <w:spacing w:line="276" w:lineRule="auto"/>
              <w:ind w:firstLineChars="200" w:firstLine="400"/>
              <w:jc w:val="left"/>
              <w:rPr>
                <w:rFonts w:cs="Calibri"/>
                <w:color w:val="000000"/>
                <w:sz w:val="20"/>
                <w:lang w:eastAsia="es-CR"/>
              </w:rPr>
            </w:pPr>
          </w:p>
        </w:tc>
        <w:tc>
          <w:tcPr>
            <w:tcW w:w="458" w:type="pct"/>
            <w:tcBorders>
              <w:top w:val="nil"/>
              <w:left w:val="single" w:sz="4" w:space="0" w:color="auto"/>
              <w:bottom w:val="nil"/>
              <w:right w:val="single" w:sz="4" w:space="0" w:color="auto"/>
            </w:tcBorders>
            <w:shd w:val="clear" w:color="auto" w:fill="auto"/>
            <w:noWrap/>
            <w:vAlign w:val="center"/>
          </w:tcPr>
          <w:p w14:paraId="48D80185" w14:textId="77777777" w:rsidR="00A05E91" w:rsidRPr="004E74A6" w:rsidRDefault="00A05E91" w:rsidP="00CE62C1">
            <w:pPr>
              <w:spacing w:line="276" w:lineRule="auto"/>
              <w:jc w:val="center"/>
              <w:rPr>
                <w:sz w:val="20"/>
                <w:lang w:eastAsia="es-CR"/>
              </w:rPr>
            </w:pPr>
          </w:p>
        </w:tc>
        <w:tc>
          <w:tcPr>
            <w:tcW w:w="455" w:type="pct"/>
            <w:tcBorders>
              <w:top w:val="nil"/>
              <w:left w:val="single" w:sz="4" w:space="0" w:color="auto"/>
              <w:bottom w:val="nil"/>
              <w:right w:val="single" w:sz="4" w:space="0" w:color="auto"/>
            </w:tcBorders>
            <w:shd w:val="clear" w:color="auto" w:fill="auto"/>
            <w:noWrap/>
            <w:vAlign w:val="center"/>
          </w:tcPr>
          <w:p w14:paraId="21BF39D6" w14:textId="77777777" w:rsidR="00A05E91" w:rsidRPr="004E74A6" w:rsidRDefault="00A05E91" w:rsidP="00CE62C1">
            <w:pPr>
              <w:spacing w:line="276" w:lineRule="auto"/>
              <w:jc w:val="center"/>
              <w:rPr>
                <w:sz w:val="20"/>
                <w:lang w:eastAsia="es-CR"/>
              </w:rPr>
            </w:pPr>
          </w:p>
        </w:tc>
        <w:tc>
          <w:tcPr>
            <w:tcW w:w="455" w:type="pct"/>
            <w:tcBorders>
              <w:top w:val="nil"/>
              <w:left w:val="single" w:sz="4" w:space="0" w:color="auto"/>
              <w:bottom w:val="nil"/>
              <w:right w:val="single" w:sz="4" w:space="0" w:color="auto"/>
            </w:tcBorders>
            <w:shd w:val="clear" w:color="auto" w:fill="auto"/>
            <w:noWrap/>
            <w:vAlign w:val="center"/>
          </w:tcPr>
          <w:p w14:paraId="401A9D82" w14:textId="77777777" w:rsidR="00A05E91" w:rsidRPr="004E74A6" w:rsidRDefault="00A05E91" w:rsidP="00CE62C1">
            <w:pPr>
              <w:spacing w:line="276" w:lineRule="auto"/>
              <w:jc w:val="center"/>
              <w:rPr>
                <w:rFonts w:cs="Calibri"/>
                <w:color w:val="000000"/>
                <w:sz w:val="20"/>
                <w:lang w:eastAsia="es-CR"/>
              </w:rPr>
            </w:pPr>
          </w:p>
        </w:tc>
        <w:tc>
          <w:tcPr>
            <w:tcW w:w="611" w:type="pct"/>
            <w:tcBorders>
              <w:top w:val="nil"/>
              <w:left w:val="single" w:sz="4" w:space="0" w:color="auto"/>
              <w:bottom w:val="nil"/>
              <w:right w:val="nil"/>
            </w:tcBorders>
            <w:shd w:val="clear" w:color="auto" w:fill="auto"/>
            <w:noWrap/>
            <w:vAlign w:val="center"/>
          </w:tcPr>
          <w:p w14:paraId="58196B1A" w14:textId="77777777" w:rsidR="00A05E91" w:rsidRPr="004E74A6" w:rsidRDefault="00A05E91" w:rsidP="00CE62C1">
            <w:pPr>
              <w:spacing w:line="276" w:lineRule="auto"/>
              <w:jc w:val="center"/>
              <w:rPr>
                <w:rFonts w:cs="Calibri"/>
                <w:color w:val="000000"/>
                <w:sz w:val="20"/>
                <w:lang w:eastAsia="es-CR"/>
              </w:rPr>
            </w:pPr>
          </w:p>
        </w:tc>
      </w:tr>
      <w:tr w:rsidR="00A05E91" w:rsidRPr="004E74A6" w14:paraId="62AF7932" w14:textId="77777777" w:rsidTr="00A05E91">
        <w:trPr>
          <w:trHeight w:val="288"/>
        </w:trPr>
        <w:tc>
          <w:tcPr>
            <w:tcW w:w="3021" w:type="pct"/>
            <w:tcBorders>
              <w:top w:val="nil"/>
              <w:left w:val="nil"/>
              <w:bottom w:val="nil"/>
              <w:right w:val="single" w:sz="4" w:space="0" w:color="auto"/>
            </w:tcBorders>
            <w:shd w:val="clear" w:color="auto" w:fill="auto"/>
            <w:noWrap/>
            <w:vAlign w:val="bottom"/>
            <w:hideMark/>
          </w:tcPr>
          <w:p w14:paraId="12B6C638" w14:textId="77777777" w:rsidR="00A05E91" w:rsidRPr="004E74A6" w:rsidRDefault="00A05E91" w:rsidP="00CE62C1">
            <w:pPr>
              <w:spacing w:line="276" w:lineRule="auto"/>
              <w:ind w:firstLineChars="200" w:firstLine="400"/>
              <w:jc w:val="left"/>
              <w:rPr>
                <w:rFonts w:cs="Calibri"/>
                <w:color w:val="000000"/>
                <w:sz w:val="20"/>
                <w:lang w:eastAsia="es-CR"/>
              </w:rPr>
            </w:pPr>
            <w:r w:rsidRPr="004E74A6">
              <w:rPr>
                <w:rFonts w:cs="Calibri"/>
                <w:color w:val="000000"/>
                <w:sz w:val="20"/>
                <w:lang w:eastAsia="es-CR"/>
              </w:rPr>
              <w:t>Ejecución de sentencia</w:t>
            </w:r>
          </w:p>
        </w:tc>
        <w:tc>
          <w:tcPr>
            <w:tcW w:w="458" w:type="pct"/>
            <w:tcBorders>
              <w:top w:val="nil"/>
              <w:left w:val="single" w:sz="4" w:space="0" w:color="auto"/>
              <w:bottom w:val="nil"/>
              <w:right w:val="single" w:sz="4" w:space="0" w:color="auto"/>
            </w:tcBorders>
            <w:shd w:val="clear" w:color="auto" w:fill="auto"/>
            <w:noWrap/>
            <w:vAlign w:val="center"/>
            <w:hideMark/>
          </w:tcPr>
          <w:p w14:paraId="08DF0CF1" w14:textId="77777777" w:rsidR="00A05E91" w:rsidRPr="004E74A6" w:rsidRDefault="00A05E91" w:rsidP="00CE62C1">
            <w:pPr>
              <w:spacing w:line="276" w:lineRule="auto"/>
              <w:jc w:val="center"/>
              <w:rPr>
                <w:rFonts w:cs="Calibri"/>
                <w:color w:val="000000"/>
                <w:sz w:val="20"/>
                <w:lang w:eastAsia="es-CR"/>
              </w:rPr>
            </w:pPr>
            <w:r w:rsidRPr="004E74A6">
              <w:rPr>
                <w:rFonts w:cs="Calibri"/>
                <w:color w:val="000000"/>
                <w:sz w:val="20"/>
                <w:lang w:eastAsia="es-CR"/>
              </w:rPr>
              <w:t>2</w:t>
            </w:r>
          </w:p>
        </w:tc>
        <w:tc>
          <w:tcPr>
            <w:tcW w:w="455" w:type="pct"/>
            <w:tcBorders>
              <w:top w:val="nil"/>
              <w:left w:val="single" w:sz="4" w:space="0" w:color="auto"/>
              <w:bottom w:val="nil"/>
              <w:right w:val="single" w:sz="4" w:space="0" w:color="auto"/>
            </w:tcBorders>
            <w:shd w:val="clear" w:color="auto" w:fill="auto"/>
            <w:noWrap/>
            <w:vAlign w:val="center"/>
            <w:hideMark/>
          </w:tcPr>
          <w:p w14:paraId="70002EAC" w14:textId="77777777" w:rsidR="00A05E91" w:rsidRPr="004E74A6" w:rsidRDefault="00A05E91" w:rsidP="00CE62C1">
            <w:pPr>
              <w:spacing w:line="276" w:lineRule="auto"/>
              <w:jc w:val="center"/>
              <w:rPr>
                <w:rFonts w:cs="Calibri"/>
                <w:color w:val="000000"/>
                <w:sz w:val="20"/>
                <w:lang w:eastAsia="es-CR"/>
              </w:rPr>
            </w:pPr>
          </w:p>
        </w:tc>
        <w:tc>
          <w:tcPr>
            <w:tcW w:w="455" w:type="pct"/>
            <w:tcBorders>
              <w:top w:val="nil"/>
              <w:left w:val="single" w:sz="4" w:space="0" w:color="auto"/>
              <w:bottom w:val="nil"/>
              <w:right w:val="single" w:sz="4" w:space="0" w:color="auto"/>
            </w:tcBorders>
            <w:shd w:val="clear" w:color="auto" w:fill="auto"/>
            <w:noWrap/>
            <w:vAlign w:val="center"/>
            <w:hideMark/>
          </w:tcPr>
          <w:p w14:paraId="520B745E" w14:textId="77777777" w:rsidR="00A05E91" w:rsidRPr="004E74A6" w:rsidRDefault="00A05E91" w:rsidP="00CE62C1">
            <w:pPr>
              <w:spacing w:line="276" w:lineRule="auto"/>
              <w:jc w:val="center"/>
              <w:rPr>
                <w:sz w:val="20"/>
                <w:lang w:eastAsia="es-CR"/>
              </w:rPr>
            </w:pPr>
          </w:p>
        </w:tc>
        <w:tc>
          <w:tcPr>
            <w:tcW w:w="611" w:type="pct"/>
            <w:tcBorders>
              <w:top w:val="nil"/>
              <w:left w:val="single" w:sz="4" w:space="0" w:color="auto"/>
              <w:bottom w:val="nil"/>
              <w:right w:val="nil"/>
            </w:tcBorders>
            <w:shd w:val="clear" w:color="auto" w:fill="auto"/>
            <w:noWrap/>
            <w:vAlign w:val="center"/>
            <w:hideMark/>
          </w:tcPr>
          <w:p w14:paraId="1C7C2BF8" w14:textId="30BCA158" w:rsidR="00A05E91" w:rsidRPr="004E74A6" w:rsidRDefault="00A05E91" w:rsidP="00CE62C1">
            <w:pPr>
              <w:spacing w:line="276" w:lineRule="auto"/>
              <w:jc w:val="center"/>
              <w:rPr>
                <w:rFonts w:cs="Calibri"/>
                <w:color w:val="000000"/>
                <w:sz w:val="20"/>
                <w:lang w:eastAsia="es-CR"/>
              </w:rPr>
            </w:pPr>
            <w:r w:rsidRPr="004E74A6">
              <w:rPr>
                <w:rFonts w:cs="Calibri"/>
                <w:color w:val="000000"/>
                <w:sz w:val="20"/>
              </w:rPr>
              <w:t>2</w:t>
            </w:r>
          </w:p>
        </w:tc>
      </w:tr>
      <w:tr w:rsidR="00A05E91" w:rsidRPr="004E74A6" w14:paraId="397654D3" w14:textId="77777777" w:rsidTr="00A05E91">
        <w:trPr>
          <w:trHeight w:val="288"/>
        </w:trPr>
        <w:tc>
          <w:tcPr>
            <w:tcW w:w="3021" w:type="pct"/>
            <w:tcBorders>
              <w:top w:val="nil"/>
              <w:left w:val="nil"/>
              <w:bottom w:val="nil"/>
              <w:right w:val="single" w:sz="4" w:space="0" w:color="auto"/>
            </w:tcBorders>
            <w:shd w:val="clear" w:color="auto" w:fill="auto"/>
            <w:noWrap/>
            <w:vAlign w:val="bottom"/>
            <w:hideMark/>
          </w:tcPr>
          <w:p w14:paraId="00C96489" w14:textId="77777777" w:rsidR="00A05E91" w:rsidRPr="004E74A6" w:rsidRDefault="00A05E91" w:rsidP="00CE62C1">
            <w:pPr>
              <w:spacing w:line="276" w:lineRule="auto"/>
              <w:ind w:firstLineChars="200" w:firstLine="400"/>
              <w:jc w:val="left"/>
              <w:rPr>
                <w:rFonts w:cs="Calibri"/>
                <w:color w:val="000000"/>
                <w:sz w:val="20"/>
                <w:lang w:eastAsia="es-CR"/>
              </w:rPr>
            </w:pPr>
            <w:r w:rsidRPr="004E74A6">
              <w:rPr>
                <w:rFonts w:cs="Calibri"/>
                <w:color w:val="000000"/>
                <w:sz w:val="20"/>
                <w:lang w:eastAsia="es-CR"/>
              </w:rPr>
              <w:t>Monitorio arrendaticio</w:t>
            </w:r>
          </w:p>
        </w:tc>
        <w:tc>
          <w:tcPr>
            <w:tcW w:w="458" w:type="pct"/>
            <w:tcBorders>
              <w:top w:val="nil"/>
              <w:left w:val="single" w:sz="4" w:space="0" w:color="auto"/>
              <w:bottom w:val="nil"/>
              <w:right w:val="single" w:sz="4" w:space="0" w:color="auto"/>
            </w:tcBorders>
            <w:shd w:val="clear" w:color="auto" w:fill="auto"/>
            <w:noWrap/>
            <w:vAlign w:val="center"/>
            <w:hideMark/>
          </w:tcPr>
          <w:p w14:paraId="4922886D" w14:textId="77777777" w:rsidR="00A05E91" w:rsidRPr="004E74A6" w:rsidRDefault="00A05E91" w:rsidP="00CE62C1">
            <w:pPr>
              <w:spacing w:line="276" w:lineRule="auto"/>
              <w:jc w:val="center"/>
              <w:rPr>
                <w:rFonts w:cs="Calibri"/>
                <w:color w:val="000000"/>
                <w:sz w:val="20"/>
                <w:lang w:eastAsia="es-CR"/>
              </w:rPr>
            </w:pPr>
            <w:r w:rsidRPr="004E74A6">
              <w:rPr>
                <w:rFonts w:cs="Calibri"/>
                <w:color w:val="000000"/>
                <w:sz w:val="20"/>
                <w:lang w:eastAsia="es-CR"/>
              </w:rPr>
              <w:t>1</w:t>
            </w:r>
          </w:p>
        </w:tc>
        <w:tc>
          <w:tcPr>
            <w:tcW w:w="455" w:type="pct"/>
            <w:tcBorders>
              <w:top w:val="nil"/>
              <w:left w:val="single" w:sz="4" w:space="0" w:color="auto"/>
              <w:bottom w:val="nil"/>
              <w:right w:val="single" w:sz="4" w:space="0" w:color="auto"/>
            </w:tcBorders>
            <w:shd w:val="clear" w:color="auto" w:fill="auto"/>
            <w:noWrap/>
            <w:vAlign w:val="center"/>
            <w:hideMark/>
          </w:tcPr>
          <w:p w14:paraId="4CD8A154" w14:textId="77777777" w:rsidR="00A05E91" w:rsidRPr="004E74A6" w:rsidRDefault="00A05E91" w:rsidP="00CE62C1">
            <w:pPr>
              <w:spacing w:line="276" w:lineRule="auto"/>
              <w:jc w:val="center"/>
              <w:rPr>
                <w:rFonts w:cs="Calibri"/>
                <w:color w:val="000000"/>
                <w:sz w:val="20"/>
                <w:lang w:eastAsia="es-CR"/>
              </w:rPr>
            </w:pPr>
          </w:p>
        </w:tc>
        <w:tc>
          <w:tcPr>
            <w:tcW w:w="455" w:type="pct"/>
            <w:tcBorders>
              <w:top w:val="nil"/>
              <w:left w:val="single" w:sz="4" w:space="0" w:color="auto"/>
              <w:bottom w:val="nil"/>
              <w:right w:val="single" w:sz="4" w:space="0" w:color="auto"/>
            </w:tcBorders>
            <w:shd w:val="clear" w:color="auto" w:fill="auto"/>
            <w:noWrap/>
            <w:vAlign w:val="center"/>
            <w:hideMark/>
          </w:tcPr>
          <w:p w14:paraId="2DB1EFC1" w14:textId="77777777" w:rsidR="00A05E91" w:rsidRPr="004E74A6" w:rsidRDefault="00A05E91" w:rsidP="00CE62C1">
            <w:pPr>
              <w:spacing w:line="276" w:lineRule="auto"/>
              <w:jc w:val="center"/>
              <w:rPr>
                <w:rFonts w:cs="Calibri"/>
                <w:color w:val="000000"/>
                <w:sz w:val="20"/>
                <w:lang w:eastAsia="es-CR"/>
              </w:rPr>
            </w:pPr>
            <w:r w:rsidRPr="004E74A6">
              <w:rPr>
                <w:rFonts w:cs="Calibri"/>
                <w:color w:val="000000"/>
                <w:sz w:val="20"/>
                <w:lang w:eastAsia="es-CR"/>
              </w:rPr>
              <w:t>1</w:t>
            </w:r>
          </w:p>
        </w:tc>
        <w:tc>
          <w:tcPr>
            <w:tcW w:w="611" w:type="pct"/>
            <w:tcBorders>
              <w:top w:val="nil"/>
              <w:left w:val="single" w:sz="4" w:space="0" w:color="auto"/>
              <w:bottom w:val="nil"/>
              <w:right w:val="nil"/>
            </w:tcBorders>
            <w:shd w:val="clear" w:color="auto" w:fill="auto"/>
            <w:noWrap/>
            <w:vAlign w:val="center"/>
            <w:hideMark/>
          </w:tcPr>
          <w:p w14:paraId="1E478998" w14:textId="7439C409" w:rsidR="00A05E91" w:rsidRPr="004E74A6" w:rsidRDefault="00A05E91" w:rsidP="00CE62C1">
            <w:pPr>
              <w:spacing w:line="276" w:lineRule="auto"/>
              <w:jc w:val="center"/>
              <w:rPr>
                <w:rFonts w:cs="Calibri"/>
                <w:color w:val="000000"/>
                <w:sz w:val="20"/>
                <w:lang w:eastAsia="es-CR"/>
              </w:rPr>
            </w:pPr>
            <w:r w:rsidRPr="004E74A6">
              <w:rPr>
                <w:rFonts w:cs="Calibri"/>
                <w:color w:val="000000"/>
                <w:sz w:val="20"/>
              </w:rPr>
              <w:t>1</w:t>
            </w:r>
          </w:p>
        </w:tc>
      </w:tr>
      <w:tr w:rsidR="00A05E91" w:rsidRPr="004E74A6" w14:paraId="60758C2F" w14:textId="77777777" w:rsidTr="00EA4D94">
        <w:trPr>
          <w:trHeight w:val="288"/>
        </w:trPr>
        <w:tc>
          <w:tcPr>
            <w:tcW w:w="3021" w:type="pct"/>
            <w:tcBorders>
              <w:top w:val="nil"/>
              <w:left w:val="nil"/>
              <w:bottom w:val="nil"/>
              <w:right w:val="single" w:sz="4" w:space="0" w:color="auto"/>
            </w:tcBorders>
            <w:shd w:val="clear" w:color="auto" w:fill="C5E0B3" w:themeFill="accent6" w:themeFillTint="66"/>
            <w:noWrap/>
            <w:vAlign w:val="bottom"/>
            <w:hideMark/>
          </w:tcPr>
          <w:p w14:paraId="0BA0FCDF" w14:textId="77777777" w:rsidR="00A05E91" w:rsidRPr="004E74A6" w:rsidRDefault="00A05E91" w:rsidP="00CE62C1">
            <w:pPr>
              <w:spacing w:line="276" w:lineRule="auto"/>
              <w:ind w:firstLineChars="200" w:firstLine="400"/>
              <w:jc w:val="left"/>
              <w:rPr>
                <w:rFonts w:cs="Calibri"/>
                <w:color w:val="000000"/>
                <w:sz w:val="20"/>
                <w:lang w:eastAsia="es-CR"/>
              </w:rPr>
            </w:pPr>
            <w:r w:rsidRPr="004E74A6">
              <w:rPr>
                <w:rFonts w:cs="Calibri"/>
                <w:color w:val="000000"/>
                <w:sz w:val="20"/>
                <w:lang w:eastAsia="es-CR"/>
              </w:rPr>
              <w:t>Ordinario</w:t>
            </w:r>
          </w:p>
        </w:tc>
        <w:tc>
          <w:tcPr>
            <w:tcW w:w="458" w:type="pct"/>
            <w:tcBorders>
              <w:top w:val="nil"/>
              <w:left w:val="single" w:sz="4" w:space="0" w:color="auto"/>
              <w:bottom w:val="nil"/>
              <w:right w:val="single" w:sz="4" w:space="0" w:color="auto"/>
            </w:tcBorders>
            <w:shd w:val="clear" w:color="auto" w:fill="C5E0B3" w:themeFill="accent6" w:themeFillTint="66"/>
            <w:noWrap/>
            <w:vAlign w:val="center"/>
            <w:hideMark/>
          </w:tcPr>
          <w:p w14:paraId="3A119ECD" w14:textId="65DB92AA" w:rsidR="00A05E91" w:rsidRPr="004E74A6" w:rsidRDefault="00A05E91" w:rsidP="00CE62C1">
            <w:pPr>
              <w:spacing w:line="276" w:lineRule="auto"/>
              <w:jc w:val="center"/>
              <w:rPr>
                <w:rFonts w:cs="Calibri"/>
                <w:color w:val="000000"/>
                <w:sz w:val="20"/>
                <w:lang w:eastAsia="es-CR"/>
              </w:rPr>
            </w:pPr>
            <w:r w:rsidRPr="004E74A6">
              <w:rPr>
                <w:rFonts w:cs="Calibri"/>
                <w:color w:val="000000"/>
                <w:sz w:val="20"/>
                <w:lang w:eastAsia="es-CR"/>
              </w:rPr>
              <w:t>12</w:t>
            </w:r>
            <w:r w:rsidR="00553846" w:rsidRPr="004E74A6">
              <w:rPr>
                <w:rFonts w:cs="Calibri"/>
                <w:color w:val="000000"/>
                <w:sz w:val="20"/>
                <w:lang w:eastAsia="es-CR"/>
              </w:rPr>
              <w:t>5</w:t>
            </w:r>
          </w:p>
        </w:tc>
        <w:tc>
          <w:tcPr>
            <w:tcW w:w="455" w:type="pct"/>
            <w:tcBorders>
              <w:top w:val="nil"/>
              <w:left w:val="single" w:sz="4" w:space="0" w:color="auto"/>
              <w:bottom w:val="nil"/>
              <w:right w:val="single" w:sz="4" w:space="0" w:color="auto"/>
            </w:tcBorders>
            <w:shd w:val="clear" w:color="auto" w:fill="C5E0B3" w:themeFill="accent6" w:themeFillTint="66"/>
            <w:noWrap/>
            <w:vAlign w:val="center"/>
            <w:hideMark/>
          </w:tcPr>
          <w:p w14:paraId="5105E342" w14:textId="77777777" w:rsidR="00A05E91" w:rsidRPr="004E74A6" w:rsidRDefault="00A05E91" w:rsidP="00CE62C1">
            <w:pPr>
              <w:spacing w:line="276" w:lineRule="auto"/>
              <w:jc w:val="center"/>
              <w:rPr>
                <w:rFonts w:cs="Calibri"/>
                <w:color w:val="000000"/>
                <w:sz w:val="20"/>
                <w:lang w:eastAsia="es-CR"/>
              </w:rPr>
            </w:pPr>
            <w:r w:rsidRPr="004E74A6">
              <w:rPr>
                <w:rFonts w:cs="Calibri"/>
                <w:color w:val="000000"/>
                <w:sz w:val="20"/>
                <w:lang w:eastAsia="es-CR"/>
              </w:rPr>
              <w:t>87</w:t>
            </w:r>
          </w:p>
        </w:tc>
        <w:tc>
          <w:tcPr>
            <w:tcW w:w="455" w:type="pct"/>
            <w:tcBorders>
              <w:top w:val="nil"/>
              <w:left w:val="single" w:sz="4" w:space="0" w:color="auto"/>
              <w:bottom w:val="nil"/>
              <w:right w:val="single" w:sz="4" w:space="0" w:color="auto"/>
            </w:tcBorders>
            <w:shd w:val="clear" w:color="auto" w:fill="C5E0B3" w:themeFill="accent6" w:themeFillTint="66"/>
            <w:noWrap/>
            <w:vAlign w:val="center"/>
            <w:hideMark/>
          </w:tcPr>
          <w:p w14:paraId="69EC2B13" w14:textId="77777777" w:rsidR="00A05E91" w:rsidRPr="004E74A6" w:rsidRDefault="00A05E91" w:rsidP="00CE62C1">
            <w:pPr>
              <w:spacing w:line="276" w:lineRule="auto"/>
              <w:jc w:val="center"/>
              <w:rPr>
                <w:rFonts w:cs="Calibri"/>
                <w:color w:val="000000"/>
                <w:sz w:val="20"/>
                <w:lang w:eastAsia="es-CR"/>
              </w:rPr>
            </w:pPr>
            <w:r w:rsidRPr="004E74A6">
              <w:rPr>
                <w:rFonts w:cs="Calibri"/>
                <w:color w:val="000000"/>
                <w:sz w:val="20"/>
                <w:lang w:eastAsia="es-CR"/>
              </w:rPr>
              <w:t>160</w:t>
            </w:r>
          </w:p>
        </w:tc>
        <w:tc>
          <w:tcPr>
            <w:tcW w:w="611" w:type="pct"/>
            <w:tcBorders>
              <w:top w:val="nil"/>
              <w:left w:val="single" w:sz="4" w:space="0" w:color="auto"/>
              <w:bottom w:val="nil"/>
              <w:right w:val="nil"/>
            </w:tcBorders>
            <w:shd w:val="clear" w:color="auto" w:fill="C5E0B3" w:themeFill="accent6" w:themeFillTint="66"/>
            <w:noWrap/>
            <w:vAlign w:val="center"/>
            <w:hideMark/>
          </w:tcPr>
          <w:p w14:paraId="243D5869" w14:textId="0C3BC5DF" w:rsidR="00A05E91" w:rsidRPr="004E74A6" w:rsidRDefault="00A05E91" w:rsidP="00CE62C1">
            <w:pPr>
              <w:spacing w:line="276" w:lineRule="auto"/>
              <w:jc w:val="center"/>
              <w:rPr>
                <w:rFonts w:cs="Calibri"/>
                <w:color w:val="000000"/>
                <w:sz w:val="20"/>
                <w:lang w:eastAsia="es-CR"/>
              </w:rPr>
            </w:pPr>
            <w:r w:rsidRPr="004E74A6">
              <w:rPr>
                <w:rFonts w:cs="Calibri"/>
                <w:color w:val="000000"/>
                <w:sz w:val="20"/>
              </w:rPr>
              <w:t>12</w:t>
            </w:r>
            <w:r w:rsidR="00671082" w:rsidRPr="004E74A6">
              <w:rPr>
                <w:rFonts w:cs="Calibri"/>
                <w:color w:val="000000"/>
                <w:sz w:val="20"/>
              </w:rPr>
              <w:t>4</w:t>
            </w:r>
          </w:p>
        </w:tc>
      </w:tr>
      <w:tr w:rsidR="00A05E91" w:rsidRPr="004E74A6" w14:paraId="24A4A24D" w14:textId="77777777" w:rsidTr="00A05E91">
        <w:trPr>
          <w:trHeight w:val="288"/>
        </w:trPr>
        <w:tc>
          <w:tcPr>
            <w:tcW w:w="3021" w:type="pct"/>
            <w:tcBorders>
              <w:top w:val="nil"/>
              <w:left w:val="nil"/>
              <w:bottom w:val="nil"/>
              <w:right w:val="single" w:sz="4" w:space="0" w:color="auto"/>
            </w:tcBorders>
            <w:shd w:val="clear" w:color="auto" w:fill="auto"/>
            <w:noWrap/>
            <w:vAlign w:val="bottom"/>
            <w:hideMark/>
          </w:tcPr>
          <w:p w14:paraId="188FD153" w14:textId="77777777" w:rsidR="00A05E91" w:rsidRPr="004E74A6" w:rsidRDefault="00A05E91" w:rsidP="00CE62C1">
            <w:pPr>
              <w:spacing w:line="276" w:lineRule="auto"/>
              <w:ind w:firstLineChars="200" w:firstLine="400"/>
              <w:jc w:val="left"/>
              <w:rPr>
                <w:rFonts w:cs="Calibri"/>
                <w:color w:val="000000"/>
                <w:sz w:val="20"/>
                <w:lang w:eastAsia="es-CR"/>
              </w:rPr>
            </w:pPr>
            <w:r w:rsidRPr="004E74A6">
              <w:rPr>
                <w:rFonts w:cs="Calibri"/>
                <w:color w:val="000000"/>
                <w:sz w:val="20"/>
                <w:lang w:eastAsia="es-CR"/>
              </w:rPr>
              <w:t>Sumario de cobro de obligación dineraria no monitoria</w:t>
            </w:r>
          </w:p>
        </w:tc>
        <w:tc>
          <w:tcPr>
            <w:tcW w:w="458" w:type="pct"/>
            <w:tcBorders>
              <w:top w:val="nil"/>
              <w:left w:val="single" w:sz="4" w:space="0" w:color="auto"/>
              <w:bottom w:val="nil"/>
              <w:right w:val="single" w:sz="4" w:space="0" w:color="auto"/>
            </w:tcBorders>
            <w:shd w:val="clear" w:color="auto" w:fill="auto"/>
            <w:noWrap/>
            <w:vAlign w:val="center"/>
            <w:hideMark/>
          </w:tcPr>
          <w:p w14:paraId="605E265B" w14:textId="77777777" w:rsidR="00A05E91" w:rsidRPr="004E74A6" w:rsidRDefault="00A05E91" w:rsidP="00CE62C1">
            <w:pPr>
              <w:spacing w:line="276" w:lineRule="auto"/>
              <w:jc w:val="center"/>
              <w:rPr>
                <w:sz w:val="20"/>
                <w:lang w:eastAsia="es-CR"/>
              </w:rPr>
            </w:pPr>
          </w:p>
        </w:tc>
        <w:tc>
          <w:tcPr>
            <w:tcW w:w="455" w:type="pct"/>
            <w:tcBorders>
              <w:top w:val="nil"/>
              <w:left w:val="single" w:sz="4" w:space="0" w:color="auto"/>
              <w:bottom w:val="nil"/>
              <w:right w:val="single" w:sz="4" w:space="0" w:color="auto"/>
            </w:tcBorders>
            <w:shd w:val="clear" w:color="auto" w:fill="auto"/>
            <w:noWrap/>
            <w:vAlign w:val="center"/>
            <w:hideMark/>
          </w:tcPr>
          <w:p w14:paraId="16F25CA9" w14:textId="77777777" w:rsidR="00A05E91" w:rsidRPr="004E74A6" w:rsidRDefault="00A05E91" w:rsidP="00CE62C1">
            <w:pPr>
              <w:spacing w:line="276" w:lineRule="auto"/>
              <w:jc w:val="center"/>
              <w:rPr>
                <w:sz w:val="20"/>
                <w:lang w:eastAsia="es-CR"/>
              </w:rPr>
            </w:pPr>
          </w:p>
        </w:tc>
        <w:tc>
          <w:tcPr>
            <w:tcW w:w="455" w:type="pct"/>
            <w:tcBorders>
              <w:top w:val="nil"/>
              <w:left w:val="single" w:sz="4" w:space="0" w:color="auto"/>
              <w:bottom w:val="nil"/>
              <w:right w:val="single" w:sz="4" w:space="0" w:color="auto"/>
            </w:tcBorders>
            <w:shd w:val="clear" w:color="auto" w:fill="auto"/>
            <w:noWrap/>
            <w:vAlign w:val="center"/>
            <w:hideMark/>
          </w:tcPr>
          <w:p w14:paraId="6AD96C93" w14:textId="77777777" w:rsidR="00A05E91" w:rsidRPr="004E74A6" w:rsidRDefault="00A05E91" w:rsidP="00CE62C1">
            <w:pPr>
              <w:spacing w:line="276" w:lineRule="auto"/>
              <w:jc w:val="center"/>
              <w:rPr>
                <w:rFonts w:cs="Calibri"/>
                <w:color w:val="000000"/>
                <w:sz w:val="20"/>
                <w:lang w:eastAsia="es-CR"/>
              </w:rPr>
            </w:pPr>
            <w:r w:rsidRPr="004E74A6">
              <w:rPr>
                <w:rFonts w:cs="Calibri"/>
                <w:color w:val="000000"/>
                <w:sz w:val="20"/>
                <w:lang w:eastAsia="es-CR"/>
              </w:rPr>
              <w:t>1</w:t>
            </w:r>
          </w:p>
        </w:tc>
        <w:tc>
          <w:tcPr>
            <w:tcW w:w="611" w:type="pct"/>
            <w:tcBorders>
              <w:top w:val="nil"/>
              <w:left w:val="single" w:sz="4" w:space="0" w:color="auto"/>
              <w:bottom w:val="nil"/>
              <w:right w:val="nil"/>
            </w:tcBorders>
            <w:shd w:val="clear" w:color="auto" w:fill="auto"/>
            <w:noWrap/>
            <w:vAlign w:val="center"/>
            <w:hideMark/>
          </w:tcPr>
          <w:p w14:paraId="3227318C" w14:textId="4F53CA30" w:rsidR="00A05E91" w:rsidRPr="004E74A6" w:rsidRDefault="00A05E91" w:rsidP="00CE62C1">
            <w:pPr>
              <w:spacing w:line="276" w:lineRule="auto"/>
              <w:jc w:val="center"/>
              <w:rPr>
                <w:rFonts w:cs="Calibri"/>
                <w:color w:val="000000"/>
                <w:sz w:val="20"/>
                <w:lang w:eastAsia="es-CR"/>
              </w:rPr>
            </w:pPr>
            <w:r w:rsidRPr="004E74A6">
              <w:rPr>
                <w:rFonts w:cs="Calibri"/>
                <w:color w:val="000000"/>
                <w:sz w:val="20"/>
              </w:rPr>
              <w:t>1</w:t>
            </w:r>
          </w:p>
        </w:tc>
      </w:tr>
      <w:tr w:rsidR="00A05E91" w:rsidRPr="004E74A6" w14:paraId="01F023D6" w14:textId="77777777" w:rsidTr="00A05E91">
        <w:trPr>
          <w:trHeight w:val="288"/>
        </w:trPr>
        <w:tc>
          <w:tcPr>
            <w:tcW w:w="3021" w:type="pct"/>
            <w:tcBorders>
              <w:top w:val="nil"/>
              <w:left w:val="nil"/>
              <w:bottom w:val="nil"/>
              <w:right w:val="single" w:sz="4" w:space="0" w:color="auto"/>
            </w:tcBorders>
            <w:shd w:val="clear" w:color="auto" w:fill="auto"/>
            <w:noWrap/>
            <w:vAlign w:val="bottom"/>
            <w:hideMark/>
          </w:tcPr>
          <w:p w14:paraId="5AF320AA" w14:textId="77777777" w:rsidR="00A05E91" w:rsidRPr="004E74A6" w:rsidRDefault="00A05E91" w:rsidP="00CE62C1">
            <w:pPr>
              <w:spacing w:line="276" w:lineRule="auto"/>
              <w:ind w:firstLineChars="200" w:firstLine="400"/>
              <w:jc w:val="left"/>
              <w:rPr>
                <w:rFonts w:cs="Calibri"/>
                <w:color w:val="000000"/>
                <w:sz w:val="20"/>
                <w:lang w:eastAsia="es-CR"/>
              </w:rPr>
            </w:pPr>
            <w:r w:rsidRPr="004E74A6">
              <w:rPr>
                <w:rFonts w:cs="Calibri"/>
                <w:color w:val="000000"/>
                <w:sz w:val="20"/>
                <w:lang w:eastAsia="es-CR"/>
              </w:rPr>
              <w:t>Sumario de desahucio</w:t>
            </w:r>
          </w:p>
        </w:tc>
        <w:tc>
          <w:tcPr>
            <w:tcW w:w="458" w:type="pct"/>
            <w:tcBorders>
              <w:top w:val="nil"/>
              <w:left w:val="single" w:sz="4" w:space="0" w:color="auto"/>
              <w:bottom w:val="nil"/>
              <w:right w:val="single" w:sz="4" w:space="0" w:color="auto"/>
            </w:tcBorders>
            <w:shd w:val="clear" w:color="auto" w:fill="auto"/>
            <w:noWrap/>
            <w:vAlign w:val="center"/>
            <w:hideMark/>
          </w:tcPr>
          <w:p w14:paraId="3C38F88B" w14:textId="77777777" w:rsidR="00A05E91" w:rsidRPr="004E74A6" w:rsidRDefault="00A05E91" w:rsidP="00CE62C1">
            <w:pPr>
              <w:spacing w:line="276" w:lineRule="auto"/>
              <w:jc w:val="center"/>
              <w:rPr>
                <w:rFonts w:cs="Calibri"/>
                <w:color w:val="000000"/>
                <w:sz w:val="20"/>
                <w:lang w:eastAsia="es-CR"/>
              </w:rPr>
            </w:pPr>
            <w:r w:rsidRPr="004E74A6">
              <w:rPr>
                <w:rFonts w:cs="Calibri"/>
                <w:color w:val="000000"/>
                <w:sz w:val="20"/>
                <w:lang w:eastAsia="es-CR"/>
              </w:rPr>
              <w:t>1</w:t>
            </w:r>
          </w:p>
        </w:tc>
        <w:tc>
          <w:tcPr>
            <w:tcW w:w="455" w:type="pct"/>
            <w:tcBorders>
              <w:top w:val="nil"/>
              <w:left w:val="single" w:sz="4" w:space="0" w:color="auto"/>
              <w:bottom w:val="nil"/>
              <w:right w:val="single" w:sz="4" w:space="0" w:color="auto"/>
            </w:tcBorders>
            <w:shd w:val="clear" w:color="auto" w:fill="auto"/>
            <w:noWrap/>
            <w:vAlign w:val="center"/>
            <w:hideMark/>
          </w:tcPr>
          <w:p w14:paraId="70A3BDB7" w14:textId="77777777" w:rsidR="00A05E91" w:rsidRPr="004E74A6" w:rsidRDefault="00A05E91" w:rsidP="00CE62C1">
            <w:pPr>
              <w:spacing w:line="276" w:lineRule="auto"/>
              <w:jc w:val="center"/>
              <w:rPr>
                <w:rFonts w:cs="Calibri"/>
                <w:color w:val="000000"/>
                <w:sz w:val="20"/>
                <w:lang w:eastAsia="es-CR"/>
              </w:rPr>
            </w:pPr>
          </w:p>
        </w:tc>
        <w:tc>
          <w:tcPr>
            <w:tcW w:w="455" w:type="pct"/>
            <w:tcBorders>
              <w:top w:val="nil"/>
              <w:left w:val="single" w:sz="4" w:space="0" w:color="auto"/>
              <w:bottom w:val="nil"/>
              <w:right w:val="single" w:sz="4" w:space="0" w:color="auto"/>
            </w:tcBorders>
            <w:shd w:val="clear" w:color="auto" w:fill="auto"/>
            <w:noWrap/>
            <w:vAlign w:val="center"/>
            <w:hideMark/>
          </w:tcPr>
          <w:p w14:paraId="54B211C9" w14:textId="77777777" w:rsidR="00A05E91" w:rsidRPr="004E74A6" w:rsidRDefault="00A05E91" w:rsidP="00CE62C1">
            <w:pPr>
              <w:spacing w:line="276" w:lineRule="auto"/>
              <w:jc w:val="center"/>
              <w:rPr>
                <w:sz w:val="20"/>
                <w:lang w:eastAsia="es-CR"/>
              </w:rPr>
            </w:pPr>
          </w:p>
        </w:tc>
        <w:tc>
          <w:tcPr>
            <w:tcW w:w="611" w:type="pct"/>
            <w:tcBorders>
              <w:top w:val="nil"/>
              <w:left w:val="single" w:sz="4" w:space="0" w:color="auto"/>
              <w:bottom w:val="nil"/>
              <w:right w:val="nil"/>
            </w:tcBorders>
            <w:shd w:val="clear" w:color="auto" w:fill="auto"/>
            <w:noWrap/>
            <w:vAlign w:val="center"/>
            <w:hideMark/>
          </w:tcPr>
          <w:p w14:paraId="4E61330C" w14:textId="485152EB" w:rsidR="00A05E91" w:rsidRPr="004E74A6" w:rsidRDefault="00A05E91" w:rsidP="00CE62C1">
            <w:pPr>
              <w:spacing w:line="276" w:lineRule="auto"/>
              <w:jc w:val="center"/>
              <w:rPr>
                <w:rFonts w:cs="Calibri"/>
                <w:color w:val="000000"/>
                <w:sz w:val="20"/>
                <w:lang w:eastAsia="es-CR"/>
              </w:rPr>
            </w:pPr>
            <w:r w:rsidRPr="004E74A6">
              <w:rPr>
                <w:rFonts w:cs="Calibri"/>
                <w:color w:val="000000"/>
                <w:sz w:val="20"/>
              </w:rPr>
              <w:t>1</w:t>
            </w:r>
          </w:p>
        </w:tc>
      </w:tr>
      <w:tr w:rsidR="00A05E91" w:rsidRPr="004E74A6" w14:paraId="7F2E8D5E" w14:textId="77777777" w:rsidTr="00A05E91">
        <w:trPr>
          <w:trHeight w:val="288"/>
        </w:trPr>
        <w:tc>
          <w:tcPr>
            <w:tcW w:w="3021" w:type="pct"/>
            <w:tcBorders>
              <w:top w:val="nil"/>
              <w:left w:val="nil"/>
              <w:right w:val="single" w:sz="4" w:space="0" w:color="auto"/>
            </w:tcBorders>
            <w:shd w:val="clear" w:color="auto" w:fill="auto"/>
            <w:noWrap/>
            <w:vAlign w:val="bottom"/>
            <w:hideMark/>
          </w:tcPr>
          <w:p w14:paraId="749B7F5D" w14:textId="77777777" w:rsidR="00A05E91" w:rsidRPr="004E74A6" w:rsidRDefault="00A05E91" w:rsidP="00CE62C1">
            <w:pPr>
              <w:spacing w:line="276" w:lineRule="auto"/>
              <w:ind w:firstLineChars="200" w:firstLine="400"/>
              <w:jc w:val="left"/>
              <w:rPr>
                <w:rFonts w:cs="Calibri"/>
                <w:color w:val="000000"/>
                <w:sz w:val="20"/>
                <w:lang w:eastAsia="es-CR"/>
              </w:rPr>
            </w:pPr>
            <w:r w:rsidRPr="004E74A6">
              <w:rPr>
                <w:rFonts w:cs="Calibri"/>
                <w:color w:val="000000"/>
                <w:sz w:val="20"/>
                <w:lang w:eastAsia="es-CR"/>
              </w:rPr>
              <w:t>Sumarios Especiales</w:t>
            </w:r>
          </w:p>
        </w:tc>
        <w:tc>
          <w:tcPr>
            <w:tcW w:w="458" w:type="pct"/>
            <w:tcBorders>
              <w:top w:val="nil"/>
              <w:left w:val="single" w:sz="4" w:space="0" w:color="auto"/>
              <w:right w:val="single" w:sz="4" w:space="0" w:color="auto"/>
            </w:tcBorders>
            <w:shd w:val="clear" w:color="auto" w:fill="auto"/>
            <w:noWrap/>
            <w:vAlign w:val="center"/>
            <w:hideMark/>
          </w:tcPr>
          <w:p w14:paraId="0C71FC97" w14:textId="77777777" w:rsidR="00A05E91" w:rsidRPr="004E74A6" w:rsidRDefault="00A05E91" w:rsidP="00CE62C1">
            <w:pPr>
              <w:spacing w:line="276" w:lineRule="auto"/>
              <w:jc w:val="center"/>
              <w:rPr>
                <w:sz w:val="20"/>
                <w:lang w:eastAsia="es-CR"/>
              </w:rPr>
            </w:pPr>
          </w:p>
        </w:tc>
        <w:tc>
          <w:tcPr>
            <w:tcW w:w="455" w:type="pct"/>
            <w:tcBorders>
              <w:top w:val="nil"/>
              <w:left w:val="single" w:sz="4" w:space="0" w:color="auto"/>
              <w:right w:val="single" w:sz="4" w:space="0" w:color="auto"/>
            </w:tcBorders>
            <w:shd w:val="clear" w:color="auto" w:fill="auto"/>
            <w:noWrap/>
            <w:vAlign w:val="center"/>
            <w:hideMark/>
          </w:tcPr>
          <w:p w14:paraId="0BF3E355" w14:textId="77777777" w:rsidR="00A05E91" w:rsidRPr="004E74A6" w:rsidRDefault="00A05E91" w:rsidP="00CE62C1">
            <w:pPr>
              <w:spacing w:line="276" w:lineRule="auto"/>
              <w:jc w:val="center"/>
              <w:rPr>
                <w:sz w:val="20"/>
                <w:lang w:eastAsia="es-CR"/>
              </w:rPr>
            </w:pPr>
          </w:p>
        </w:tc>
        <w:tc>
          <w:tcPr>
            <w:tcW w:w="455" w:type="pct"/>
            <w:tcBorders>
              <w:top w:val="nil"/>
              <w:left w:val="single" w:sz="4" w:space="0" w:color="auto"/>
              <w:right w:val="single" w:sz="4" w:space="0" w:color="auto"/>
            </w:tcBorders>
            <w:shd w:val="clear" w:color="auto" w:fill="auto"/>
            <w:noWrap/>
            <w:vAlign w:val="center"/>
            <w:hideMark/>
          </w:tcPr>
          <w:p w14:paraId="2664E961" w14:textId="77777777" w:rsidR="00A05E91" w:rsidRPr="004E74A6" w:rsidRDefault="00A05E91" w:rsidP="00CE62C1">
            <w:pPr>
              <w:spacing w:line="276" w:lineRule="auto"/>
              <w:jc w:val="center"/>
              <w:rPr>
                <w:rFonts w:cs="Calibri"/>
                <w:color w:val="000000"/>
                <w:sz w:val="20"/>
                <w:lang w:eastAsia="es-CR"/>
              </w:rPr>
            </w:pPr>
            <w:r w:rsidRPr="004E74A6">
              <w:rPr>
                <w:rFonts w:cs="Calibri"/>
                <w:color w:val="000000"/>
                <w:sz w:val="20"/>
                <w:lang w:eastAsia="es-CR"/>
              </w:rPr>
              <w:t>1</w:t>
            </w:r>
          </w:p>
        </w:tc>
        <w:tc>
          <w:tcPr>
            <w:tcW w:w="611" w:type="pct"/>
            <w:tcBorders>
              <w:top w:val="nil"/>
              <w:left w:val="single" w:sz="4" w:space="0" w:color="auto"/>
              <w:right w:val="nil"/>
            </w:tcBorders>
            <w:shd w:val="clear" w:color="auto" w:fill="auto"/>
            <w:noWrap/>
            <w:vAlign w:val="center"/>
            <w:hideMark/>
          </w:tcPr>
          <w:p w14:paraId="0859FC3E" w14:textId="1E12912E" w:rsidR="00A05E91" w:rsidRPr="004E74A6" w:rsidRDefault="00A05E91" w:rsidP="00CE62C1">
            <w:pPr>
              <w:spacing w:line="276" w:lineRule="auto"/>
              <w:jc w:val="center"/>
              <w:rPr>
                <w:rFonts w:cs="Calibri"/>
                <w:color w:val="000000"/>
                <w:sz w:val="20"/>
                <w:lang w:eastAsia="es-CR"/>
              </w:rPr>
            </w:pPr>
            <w:r w:rsidRPr="004E74A6">
              <w:rPr>
                <w:rFonts w:cs="Calibri"/>
                <w:color w:val="000000"/>
                <w:sz w:val="20"/>
              </w:rPr>
              <w:t>1</w:t>
            </w:r>
          </w:p>
        </w:tc>
      </w:tr>
      <w:tr w:rsidR="00A05E91" w:rsidRPr="004E74A6" w14:paraId="42C52EF1" w14:textId="77777777" w:rsidTr="00A05E91">
        <w:trPr>
          <w:trHeight w:val="288"/>
        </w:trPr>
        <w:tc>
          <w:tcPr>
            <w:tcW w:w="3021" w:type="pct"/>
            <w:tcBorders>
              <w:top w:val="nil"/>
              <w:left w:val="nil"/>
              <w:bottom w:val="single" w:sz="4" w:space="0" w:color="auto"/>
              <w:right w:val="single" w:sz="4" w:space="0" w:color="auto"/>
            </w:tcBorders>
            <w:shd w:val="clear" w:color="auto" w:fill="auto"/>
            <w:noWrap/>
            <w:vAlign w:val="bottom"/>
          </w:tcPr>
          <w:p w14:paraId="37F24DDA" w14:textId="77777777" w:rsidR="008647ED" w:rsidRPr="004E74A6" w:rsidRDefault="008647ED" w:rsidP="00CE62C1">
            <w:pPr>
              <w:spacing w:line="276" w:lineRule="auto"/>
              <w:ind w:firstLineChars="200" w:firstLine="400"/>
              <w:jc w:val="left"/>
              <w:rPr>
                <w:rFonts w:cs="Calibri"/>
                <w:color w:val="000000"/>
                <w:sz w:val="20"/>
                <w:lang w:eastAsia="es-CR"/>
              </w:rPr>
            </w:pPr>
          </w:p>
        </w:tc>
        <w:tc>
          <w:tcPr>
            <w:tcW w:w="458" w:type="pct"/>
            <w:tcBorders>
              <w:top w:val="nil"/>
              <w:left w:val="single" w:sz="4" w:space="0" w:color="auto"/>
              <w:bottom w:val="single" w:sz="4" w:space="0" w:color="auto"/>
              <w:right w:val="single" w:sz="4" w:space="0" w:color="auto"/>
            </w:tcBorders>
            <w:shd w:val="clear" w:color="auto" w:fill="auto"/>
            <w:noWrap/>
            <w:vAlign w:val="center"/>
          </w:tcPr>
          <w:p w14:paraId="65A18407" w14:textId="77777777" w:rsidR="008647ED" w:rsidRPr="004E74A6" w:rsidRDefault="008647ED" w:rsidP="00CE62C1">
            <w:pPr>
              <w:spacing w:line="276" w:lineRule="auto"/>
              <w:jc w:val="center"/>
              <w:rPr>
                <w:sz w:val="20"/>
                <w:lang w:eastAsia="es-CR"/>
              </w:rPr>
            </w:pPr>
          </w:p>
        </w:tc>
        <w:tc>
          <w:tcPr>
            <w:tcW w:w="455" w:type="pct"/>
            <w:tcBorders>
              <w:top w:val="nil"/>
              <w:left w:val="single" w:sz="4" w:space="0" w:color="auto"/>
              <w:bottom w:val="single" w:sz="4" w:space="0" w:color="auto"/>
              <w:right w:val="single" w:sz="4" w:space="0" w:color="auto"/>
            </w:tcBorders>
            <w:shd w:val="clear" w:color="auto" w:fill="auto"/>
            <w:noWrap/>
            <w:vAlign w:val="center"/>
          </w:tcPr>
          <w:p w14:paraId="0052E699" w14:textId="77777777" w:rsidR="008647ED" w:rsidRPr="004E74A6" w:rsidRDefault="008647ED" w:rsidP="00CE62C1">
            <w:pPr>
              <w:spacing w:line="276" w:lineRule="auto"/>
              <w:jc w:val="center"/>
              <w:rPr>
                <w:sz w:val="20"/>
                <w:lang w:eastAsia="es-CR"/>
              </w:rPr>
            </w:pPr>
          </w:p>
        </w:tc>
        <w:tc>
          <w:tcPr>
            <w:tcW w:w="455" w:type="pct"/>
            <w:tcBorders>
              <w:top w:val="nil"/>
              <w:left w:val="single" w:sz="4" w:space="0" w:color="auto"/>
              <w:bottom w:val="single" w:sz="4" w:space="0" w:color="auto"/>
              <w:right w:val="single" w:sz="4" w:space="0" w:color="auto"/>
            </w:tcBorders>
            <w:shd w:val="clear" w:color="auto" w:fill="auto"/>
            <w:noWrap/>
            <w:vAlign w:val="center"/>
          </w:tcPr>
          <w:p w14:paraId="07653E32" w14:textId="77777777" w:rsidR="008647ED" w:rsidRPr="004E74A6" w:rsidRDefault="008647ED" w:rsidP="00CE62C1">
            <w:pPr>
              <w:spacing w:line="276" w:lineRule="auto"/>
              <w:jc w:val="center"/>
              <w:rPr>
                <w:rFonts w:cs="Calibri"/>
                <w:color w:val="000000"/>
                <w:sz w:val="20"/>
                <w:lang w:eastAsia="es-CR"/>
              </w:rPr>
            </w:pPr>
          </w:p>
        </w:tc>
        <w:tc>
          <w:tcPr>
            <w:tcW w:w="611" w:type="pct"/>
            <w:tcBorders>
              <w:top w:val="nil"/>
              <w:left w:val="single" w:sz="4" w:space="0" w:color="auto"/>
              <w:bottom w:val="single" w:sz="4" w:space="0" w:color="auto"/>
              <w:right w:val="nil"/>
            </w:tcBorders>
            <w:shd w:val="clear" w:color="auto" w:fill="auto"/>
            <w:noWrap/>
            <w:vAlign w:val="center"/>
          </w:tcPr>
          <w:p w14:paraId="520FC9FF" w14:textId="77777777" w:rsidR="008647ED" w:rsidRPr="004E74A6" w:rsidRDefault="008647ED" w:rsidP="00CE62C1">
            <w:pPr>
              <w:spacing w:line="276" w:lineRule="auto"/>
              <w:jc w:val="center"/>
              <w:rPr>
                <w:rFonts w:cs="Calibri"/>
                <w:color w:val="000000"/>
                <w:sz w:val="20"/>
                <w:lang w:eastAsia="es-CR"/>
              </w:rPr>
            </w:pPr>
          </w:p>
        </w:tc>
      </w:tr>
    </w:tbl>
    <w:p w14:paraId="70551EAC" w14:textId="77777777" w:rsidR="003E4755" w:rsidRPr="004E74A6" w:rsidRDefault="003E4755" w:rsidP="00832773">
      <w:pPr>
        <w:spacing w:line="276" w:lineRule="auto"/>
        <w:rPr>
          <w:rFonts w:cs="Calibri"/>
          <w:i/>
          <w:iCs/>
          <w:color w:val="000000"/>
          <w:sz w:val="20"/>
          <w:lang w:eastAsia="es-CR"/>
        </w:rPr>
      </w:pPr>
      <w:r w:rsidRPr="004E74A6">
        <w:rPr>
          <w:rFonts w:cs="Calibri"/>
          <w:b/>
          <w:bCs/>
          <w:i/>
          <w:iCs/>
          <w:color w:val="000000"/>
          <w:sz w:val="20"/>
          <w:lang w:eastAsia="es-CR"/>
        </w:rPr>
        <w:t>Fuente</w:t>
      </w:r>
      <w:r w:rsidRPr="004E74A6">
        <w:rPr>
          <w:rFonts w:cs="Calibri"/>
          <w:i/>
          <w:iCs/>
          <w:color w:val="000000"/>
          <w:sz w:val="20"/>
          <w:lang w:eastAsia="es-CR"/>
        </w:rPr>
        <w:t>: Subproceso de Modernización Institucional con datos extraídos del sistema SIGMA, Dirección de Planificación.</w:t>
      </w:r>
    </w:p>
    <w:p w14:paraId="21A6B303" w14:textId="77777777" w:rsidR="008647ED" w:rsidRPr="004E74A6" w:rsidRDefault="008647ED" w:rsidP="00CE62C1">
      <w:pPr>
        <w:spacing w:after="160" w:line="276" w:lineRule="auto"/>
        <w:rPr>
          <w:rFonts w:cs="Calibri"/>
          <w:color w:val="000000"/>
          <w:szCs w:val="24"/>
          <w:lang w:eastAsia="es-CR"/>
        </w:rPr>
      </w:pPr>
    </w:p>
    <w:p w14:paraId="283762B8" w14:textId="77A50F14" w:rsidR="006D4EBD" w:rsidRPr="004E74A6" w:rsidRDefault="00773C2E" w:rsidP="00CE62C1">
      <w:pPr>
        <w:spacing w:after="160" w:line="276" w:lineRule="auto"/>
        <w:rPr>
          <w:rFonts w:cs="Calibri"/>
          <w:color w:val="000000"/>
          <w:szCs w:val="24"/>
          <w:lang w:eastAsia="es-CR"/>
        </w:rPr>
      </w:pPr>
      <w:r>
        <w:rPr>
          <w:rFonts w:cs="Calibri"/>
          <w:color w:val="000000"/>
          <w:szCs w:val="24"/>
          <w:lang w:eastAsia="es-CR"/>
        </w:rPr>
        <w:t>E</w:t>
      </w:r>
      <w:r w:rsidR="006D4EBD" w:rsidRPr="004E74A6">
        <w:rPr>
          <w:rFonts w:cs="Calibri"/>
          <w:color w:val="000000"/>
          <w:szCs w:val="24"/>
          <w:lang w:eastAsia="es-CR"/>
        </w:rPr>
        <w:t>n la siguiente tabla se puede observar el detalle de la cuantía según los procedimientos ordinarios del Tribunal.</w:t>
      </w:r>
    </w:p>
    <w:p w14:paraId="6FD3021C" w14:textId="3040314D" w:rsidR="006D4EBD" w:rsidRPr="004E74A6" w:rsidRDefault="006D4EBD" w:rsidP="00CE62C1">
      <w:pPr>
        <w:spacing w:line="276" w:lineRule="auto"/>
        <w:rPr>
          <w:rFonts w:cs="Calibri"/>
          <w:b/>
          <w:bCs/>
          <w:color w:val="000000"/>
          <w:szCs w:val="24"/>
          <w:u w:val="single"/>
          <w:lang w:eastAsia="es-CR"/>
        </w:rPr>
      </w:pPr>
      <w:r w:rsidRPr="004E74A6">
        <w:rPr>
          <w:rFonts w:cs="Calibri"/>
          <w:color w:val="000000"/>
          <w:szCs w:val="24"/>
          <w:lang w:eastAsia="es-CR"/>
        </w:rPr>
        <w:t xml:space="preserve">De los </w:t>
      </w:r>
      <w:r w:rsidR="00C63ADE" w:rsidRPr="004E74A6">
        <w:rPr>
          <w:rFonts w:cs="Calibri"/>
          <w:color w:val="000000"/>
          <w:szCs w:val="24"/>
          <w:lang w:eastAsia="es-CR"/>
        </w:rPr>
        <w:t xml:space="preserve">124 </w:t>
      </w:r>
      <w:r w:rsidRPr="004E74A6">
        <w:rPr>
          <w:rFonts w:cs="Calibri"/>
          <w:color w:val="000000"/>
          <w:szCs w:val="24"/>
          <w:lang w:eastAsia="es-CR"/>
        </w:rPr>
        <w:t>procesos ordinarios ingresados en el Tribunal, en promedio 1 asunto</w:t>
      </w:r>
      <w:r w:rsidR="00C63ADE" w:rsidRPr="004E74A6">
        <w:rPr>
          <w:rFonts w:cs="Calibri"/>
          <w:color w:val="000000"/>
          <w:szCs w:val="24"/>
          <w:lang w:eastAsia="es-CR"/>
        </w:rPr>
        <w:t xml:space="preserve"> es in</w:t>
      </w:r>
      <w:r w:rsidRPr="004E74A6">
        <w:rPr>
          <w:rFonts w:cs="Calibri"/>
          <w:color w:val="000000"/>
          <w:szCs w:val="24"/>
          <w:lang w:eastAsia="es-CR"/>
        </w:rPr>
        <w:t>estimable (1%), 16 estimables (13%), 6 casos “</w:t>
      </w:r>
      <w:r w:rsidRPr="004E74A6">
        <w:rPr>
          <w:rFonts w:cs="Calibri"/>
          <w:i/>
          <w:iCs/>
          <w:color w:val="000000"/>
          <w:szCs w:val="24"/>
          <w:lang w:eastAsia="es-CR"/>
        </w:rPr>
        <w:t>no aplica</w:t>
      </w:r>
      <w:r w:rsidRPr="004E74A6">
        <w:rPr>
          <w:rFonts w:cs="Calibri"/>
          <w:color w:val="000000"/>
          <w:szCs w:val="24"/>
          <w:lang w:eastAsia="es-CR"/>
        </w:rPr>
        <w:t xml:space="preserve">” (4%) </w:t>
      </w:r>
      <w:r w:rsidRPr="004E74A6">
        <w:rPr>
          <w:rFonts w:cs="Calibri"/>
          <w:b/>
          <w:bCs/>
          <w:color w:val="000000"/>
          <w:szCs w:val="24"/>
          <w:u w:val="single"/>
          <w:lang w:eastAsia="es-CR"/>
        </w:rPr>
        <w:t>y sin actualizar 101 casos (82%).</w:t>
      </w:r>
    </w:p>
    <w:p w14:paraId="0D04E123" w14:textId="77777777" w:rsidR="006D4EBD" w:rsidRPr="004E74A6" w:rsidRDefault="006D4EBD" w:rsidP="00CE62C1">
      <w:pPr>
        <w:spacing w:line="276" w:lineRule="auto"/>
        <w:rPr>
          <w:rFonts w:cs="Calibri"/>
          <w:color w:val="000000"/>
          <w:szCs w:val="24"/>
          <w:lang w:eastAsia="es-CR"/>
        </w:rPr>
      </w:pPr>
    </w:p>
    <w:p w14:paraId="0F3DC406" w14:textId="5FD5AE41" w:rsidR="006D4EBD" w:rsidRPr="004E74A6" w:rsidRDefault="006D4EBD" w:rsidP="00CE62C1">
      <w:pPr>
        <w:spacing w:line="276" w:lineRule="auto"/>
        <w:rPr>
          <w:rFonts w:cs="Calibri"/>
          <w:color w:val="000000"/>
          <w:szCs w:val="24"/>
          <w:lang w:eastAsia="es-CR"/>
        </w:rPr>
      </w:pPr>
      <w:r w:rsidRPr="004E74A6">
        <w:rPr>
          <w:rFonts w:cs="Calibri"/>
          <w:color w:val="000000"/>
          <w:szCs w:val="24"/>
          <w:lang w:eastAsia="es-CR"/>
        </w:rPr>
        <w:t>De lo anterior, el 4% que indicaron no aplica cuantía se debe a una</w:t>
      </w:r>
      <w:r w:rsidR="00CF59BD" w:rsidRPr="004E74A6">
        <w:rPr>
          <w:rFonts w:cs="Calibri"/>
          <w:color w:val="000000"/>
          <w:szCs w:val="24"/>
          <w:lang w:eastAsia="es-CR"/>
        </w:rPr>
        <w:t xml:space="preserve"> actualización errónea</w:t>
      </w:r>
      <w:r w:rsidRPr="004E74A6">
        <w:rPr>
          <w:rFonts w:cs="Calibri"/>
          <w:color w:val="000000"/>
          <w:szCs w:val="24"/>
          <w:lang w:eastAsia="es-CR"/>
        </w:rPr>
        <w:t xml:space="preserve">, ya que desde el inicio en el uso de la mejora se les indicó a las oficinas que esta opción solo aplica para materia de Trabajo, no así para Civil donde los asuntos son estimables o inestimables solamente. </w:t>
      </w:r>
    </w:p>
    <w:p w14:paraId="4F95D885" w14:textId="2F6E0F2F" w:rsidR="006D4EBD" w:rsidRPr="004E74A6" w:rsidRDefault="006D4EBD" w:rsidP="00CE62C1">
      <w:pPr>
        <w:spacing w:line="276" w:lineRule="auto"/>
        <w:rPr>
          <w:rFonts w:cs="Calibri"/>
          <w:color w:val="000000"/>
          <w:szCs w:val="24"/>
          <w:lang w:eastAsia="es-CR"/>
        </w:rPr>
      </w:pPr>
    </w:p>
    <w:p w14:paraId="60A955AB" w14:textId="77777777" w:rsidR="00194F64" w:rsidRDefault="00194F64" w:rsidP="00CE62C1">
      <w:pPr>
        <w:spacing w:line="276" w:lineRule="auto"/>
        <w:rPr>
          <w:rFonts w:cs="Calibri"/>
          <w:color w:val="000000"/>
          <w:szCs w:val="24"/>
          <w:lang w:eastAsia="es-CR"/>
        </w:rPr>
      </w:pPr>
    </w:p>
    <w:p w14:paraId="02A8379A" w14:textId="77777777" w:rsidR="00194F64" w:rsidRDefault="00194F64" w:rsidP="00CE62C1">
      <w:pPr>
        <w:spacing w:line="276" w:lineRule="auto"/>
        <w:rPr>
          <w:rFonts w:cs="Calibri"/>
          <w:color w:val="000000"/>
          <w:szCs w:val="24"/>
          <w:lang w:eastAsia="es-CR"/>
        </w:rPr>
      </w:pPr>
    </w:p>
    <w:p w14:paraId="172C1136" w14:textId="77777777" w:rsidR="00194F64" w:rsidRDefault="00194F64" w:rsidP="00CE62C1">
      <w:pPr>
        <w:spacing w:line="276" w:lineRule="auto"/>
        <w:rPr>
          <w:rFonts w:cs="Calibri"/>
          <w:color w:val="000000"/>
          <w:szCs w:val="24"/>
          <w:lang w:eastAsia="es-CR"/>
        </w:rPr>
      </w:pPr>
    </w:p>
    <w:p w14:paraId="73F4033D" w14:textId="77777777" w:rsidR="00194F64" w:rsidRDefault="00194F64" w:rsidP="00CE62C1">
      <w:pPr>
        <w:spacing w:line="276" w:lineRule="auto"/>
        <w:rPr>
          <w:rFonts w:cs="Calibri"/>
          <w:color w:val="000000"/>
          <w:szCs w:val="24"/>
          <w:lang w:eastAsia="es-CR"/>
        </w:rPr>
      </w:pPr>
    </w:p>
    <w:p w14:paraId="254D4E79" w14:textId="77777777" w:rsidR="00194F64" w:rsidRDefault="00194F64" w:rsidP="00CE62C1">
      <w:pPr>
        <w:spacing w:line="276" w:lineRule="auto"/>
        <w:rPr>
          <w:rFonts w:cs="Calibri"/>
          <w:color w:val="000000"/>
          <w:szCs w:val="24"/>
          <w:lang w:eastAsia="es-CR"/>
        </w:rPr>
      </w:pPr>
    </w:p>
    <w:p w14:paraId="18C3C127" w14:textId="77777777" w:rsidR="00194F64" w:rsidRDefault="00194F64" w:rsidP="00CE62C1">
      <w:pPr>
        <w:spacing w:line="276" w:lineRule="auto"/>
        <w:rPr>
          <w:rFonts w:cs="Calibri"/>
          <w:color w:val="000000"/>
          <w:szCs w:val="24"/>
          <w:lang w:eastAsia="es-CR"/>
        </w:rPr>
      </w:pPr>
    </w:p>
    <w:p w14:paraId="42A044F3" w14:textId="21C835C6" w:rsidR="006D4EBD" w:rsidRPr="004E74A6" w:rsidRDefault="006D4EBD" w:rsidP="00CE62C1">
      <w:pPr>
        <w:spacing w:line="276" w:lineRule="auto"/>
        <w:rPr>
          <w:rFonts w:cs="Calibri"/>
          <w:color w:val="000000"/>
          <w:szCs w:val="24"/>
          <w:lang w:eastAsia="es-CR"/>
        </w:rPr>
      </w:pPr>
      <w:r w:rsidRPr="004E74A6">
        <w:rPr>
          <w:rFonts w:cs="Calibri"/>
          <w:color w:val="000000"/>
          <w:szCs w:val="24"/>
          <w:lang w:eastAsia="es-CR"/>
        </w:rPr>
        <w:lastRenderedPageBreak/>
        <w:t xml:space="preserve">De los 16 ordinarios estimables, la distribución de esos asuntos por rango de cuantía es el siguiente: </w:t>
      </w:r>
    </w:p>
    <w:p w14:paraId="09283C41" w14:textId="77777777" w:rsidR="00F0204A" w:rsidRPr="004E74A6" w:rsidRDefault="00F0204A" w:rsidP="00CE62C1">
      <w:pPr>
        <w:spacing w:line="276" w:lineRule="auto"/>
        <w:rPr>
          <w:rFonts w:cs="Calibri"/>
          <w:color w:val="000000"/>
          <w:szCs w:val="24"/>
          <w:lang w:eastAsia="es-CR"/>
        </w:rPr>
      </w:pPr>
    </w:p>
    <w:p w14:paraId="5CDBE1F2" w14:textId="7558D400" w:rsidR="00FB5DE0" w:rsidRPr="00832773" w:rsidRDefault="00FB5DE0" w:rsidP="00F0204A">
      <w:pPr>
        <w:pStyle w:val="Descripcin"/>
        <w:keepNext/>
        <w:spacing w:line="276" w:lineRule="auto"/>
        <w:jc w:val="center"/>
        <w:rPr>
          <w:rFonts w:ascii="Book Antiqua" w:hAnsi="Book Antiqua"/>
          <w:i/>
          <w:iCs/>
          <w:sz w:val="20"/>
          <w:szCs w:val="16"/>
          <w:lang w:val="es-CR"/>
        </w:rPr>
      </w:pPr>
      <w:r w:rsidRPr="00832773">
        <w:rPr>
          <w:rFonts w:ascii="Book Antiqua" w:hAnsi="Book Antiqua"/>
          <w:i/>
          <w:iCs/>
          <w:sz w:val="20"/>
          <w:szCs w:val="16"/>
          <w:lang w:val="es-CR"/>
        </w:rPr>
        <w:t xml:space="preserve">Tabla </w:t>
      </w:r>
      <w:r w:rsidRPr="00832773">
        <w:rPr>
          <w:rFonts w:ascii="Book Antiqua" w:hAnsi="Book Antiqua"/>
          <w:i/>
          <w:iCs/>
          <w:sz w:val="20"/>
          <w:szCs w:val="16"/>
          <w:lang w:val="es-CR"/>
        </w:rPr>
        <w:fldChar w:fldCharType="begin"/>
      </w:r>
      <w:r w:rsidRPr="00832773">
        <w:rPr>
          <w:rFonts w:ascii="Book Antiqua" w:hAnsi="Book Antiqua"/>
          <w:i/>
          <w:iCs/>
          <w:sz w:val="20"/>
          <w:szCs w:val="16"/>
          <w:lang w:val="es-CR"/>
        </w:rPr>
        <w:instrText xml:space="preserve"> SEQ Tabla \* ARABIC </w:instrText>
      </w:r>
      <w:r w:rsidRPr="00832773">
        <w:rPr>
          <w:rFonts w:ascii="Book Antiqua" w:hAnsi="Book Antiqua"/>
          <w:i/>
          <w:iCs/>
          <w:sz w:val="20"/>
          <w:szCs w:val="16"/>
          <w:lang w:val="es-CR"/>
        </w:rPr>
        <w:fldChar w:fldCharType="separate"/>
      </w:r>
      <w:r w:rsidR="00374B51">
        <w:rPr>
          <w:rFonts w:ascii="Book Antiqua" w:hAnsi="Book Antiqua"/>
          <w:i/>
          <w:iCs/>
          <w:noProof/>
          <w:sz w:val="20"/>
          <w:szCs w:val="16"/>
          <w:lang w:val="es-CR"/>
        </w:rPr>
        <w:t>12</w:t>
      </w:r>
      <w:r w:rsidRPr="00832773">
        <w:rPr>
          <w:rFonts w:ascii="Book Antiqua" w:hAnsi="Book Antiqua"/>
          <w:i/>
          <w:iCs/>
          <w:sz w:val="20"/>
          <w:szCs w:val="16"/>
          <w:lang w:val="es-CR"/>
        </w:rPr>
        <w:fldChar w:fldCharType="end"/>
      </w:r>
      <w:r w:rsidRPr="00832773">
        <w:rPr>
          <w:rFonts w:ascii="Book Antiqua" w:hAnsi="Book Antiqua"/>
          <w:i/>
          <w:iCs/>
          <w:sz w:val="20"/>
          <w:szCs w:val="16"/>
          <w:lang w:val="es-CR"/>
        </w:rPr>
        <w:t xml:space="preserve"> </w:t>
      </w:r>
      <w:r w:rsidR="00955B91" w:rsidRPr="00832773">
        <w:rPr>
          <w:rFonts w:ascii="Book Antiqua" w:hAnsi="Book Antiqua"/>
          <w:i/>
          <w:iCs/>
          <w:sz w:val="20"/>
          <w:szCs w:val="16"/>
          <w:lang w:val="es-CR"/>
        </w:rPr>
        <w:t xml:space="preserve">Cantidad de entrados ordinarios estimables por cuantía del 2019 al 2021 </w:t>
      </w:r>
      <w:r w:rsidRPr="00832773">
        <w:rPr>
          <w:rFonts w:ascii="Book Antiqua" w:hAnsi="Book Antiqua"/>
          <w:i/>
          <w:iCs/>
          <w:sz w:val="20"/>
          <w:szCs w:val="16"/>
          <w:lang w:val="es-CR"/>
        </w:rPr>
        <w:t>del Tribunal Colegiado Primera Instancia Civil Tercer Circuito Judicial San José, Hatillo</w:t>
      </w:r>
    </w:p>
    <w:tbl>
      <w:tblPr>
        <w:tblW w:w="8900" w:type="dxa"/>
        <w:jc w:val="center"/>
        <w:tblCellMar>
          <w:left w:w="70" w:type="dxa"/>
          <w:right w:w="70" w:type="dxa"/>
        </w:tblCellMar>
        <w:tblLook w:val="04A0" w:firstRow="1" w:lastRow="0" w:firstColumn="1" w:lastColumn="0" w:noHBand="0" w:noVBand="1"/>
      </w:tblPr>
      <w:tblGrid>
        <w:gridCol w:w="2835"/>
        <w:gridCol w:w="850"/>
        <w:gridCol w:w="850"/>
        <w:gridCol w:w="850"/>
        <w:gridCol w:w="1134"/>
        <w:gridCol w:w="2381"/>
      </w:tblGrid>
      <w:tr w:rsidR="00101E63" w:rsidRPr="004E74A6" w14:paraId="3FFE588F" w14:textId="3AA77643" w:rsidTr="00B86E99">
        <w:trPr>
          <w:trHeight w:val="454"/>
          <w:tblHeader/>
          <w:jc w:val="center"/>
        </w:trPr>
        <w:tc>
          <w:tcPr>
            <w:tcW w:w="2835" w:type="dxa"/>
            <w:tcBorders>
              <w:top w:val="single" w:sz="4" w:space="0" w:color="auto"/>
              <w:left w:val="nil"/>
              <w:bottom w:val="single" w:sz="4" w:space="0" w:color="auto"/>
              <w:right w:val="single" w:sz="4" w:space="0" w:color="auto"/>
            </w:tcBorders>
            <w:shd w:val="clear" w:color="auto" w:fill="auto"/>
            <w:noWrap/>
            <w:vAlign w:val="center"/>
            <w:hideMark/>
          </w:tcPr>
          <w:p w14:paraId="69F1F2D6" w14:textId="77777777" w:rsidR="00101E63" w:rsidRPr="004E74A6" w:rsidRDefault="00101E63" w:rsidP="00832773">
            <w:pPr>
              <w:spacing w:line="276" w:lineRule="auto"/>
              <w:jc w:val="center"/>
              <w:rPr>
                <w:rFonts w:cs="Calibri"/>
                <w:color w:val="000000"/>
                <w:sz w:val="20"/>
                <w:lang w:eastAsia="es-CR"/>
              </w:rPr>
            </w:pPr>
            <w:r w:rsidRPr="004E74A6">
              <w:rPr>
                <w:rFonts w:cs="Calibri"/>
                <w:color w:val="000000"/>
                <w:sz w:val="20"/>
                <w:lang w:eastAsia="es-CR"/>
              </w:rPr>
              <w:t>Ordinario Estimable</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01FDD9A2" w14:textId="77777777" w:rsidR="00101E63" w:rsidRPr="004E74A6" w:rsidRDefault="00101E63" w:rsidP="00832773">
            <w:pPr>
              <w:spacing w:line="276" w:lineRule="auto"/>
              <w:jc w:val="center"/>
              <w:rPr>
                <w:rFonts w:cs="Calibri"/>
                <w:color w:val="000000"/>
                <w:sz w:val="20"/>
                <w:lang w:eastAsia="es-CR"/>
              </w:rPr>
            </w:pPr>
            <w:r w:rsidRPr="004E74A6">
              <w:rPr>
                <w:rFonts w:cs="Calibri"/>
                <w:color w:val="000000"/>
                <w:sz w:val="20"/>
                <w:lang w:eastAsia="es-CR"/>
              </w:rPr>
              <w:t>2019</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0292BFD2" w14:textId="77777777" w:rsidR="00101E63" w:rsidRPr="004E74A6" w:rsidRDefault="00101E63" w:rsidP="00832773">
            <w:pPr>
              <w:spacing w:line="276" w:lineRule="auto"/>
              <w:jc w:val="center"/>
              <w:rPr>
                <w:rFonts w:cs="Calibri"/>
                <w:color w:val="000000"/>
                <w:sz w:val="20"/>
                <w:lang w:eastAsia="es-CR"/>
              </w:rPr>
            </w:pPr>
            <w:r w:rsidRPr="004E74A6">
              <w:rPr>
                <w:rFonts w:cs="Calibri"/>
                <w:color w:val="000000"/>
                <w:sz w:val="20"/>
                <w:lang w:eastAsia="es-CR"/>
              </w:rPr>
              <w:t>2020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52D595F6" w14:textId="77777777" w:rsidR="00101E63" w:rsidRPr="004E74A6" w:rsidRDefault="00101E63" w:rsidP="00832773">
            <w:pPr>
              <w:spacing w:line="276" w:lineRule="auto"/>
              <w:jc w:val="center"/>
              <w:rPr>
                <w:rFonts w:cs="Calibri"/>
                <w:color w:val="000000"/>
                <w:sz w:val="20"/>
                <w:lang w:eastAsia="es-CR"/>
              </w:rPr>
            </w:pPr>
            <w:r w:rsidRPr="004E74A6">
              <w:rPr>
                <w:rFonts w:cs="Calibri"/>
                <w:color w:val="000000"/>
                <w:sz w:val="20"/>
                <w:lang w:eastAsia="es-CR"/>
              </w:rPr>
              <w:t>2021</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66E6D175" w14:textId="77777777" w:rsidR="00101E63" w:rsidRPr="004E74A6" w:rsidRDefault="00101E63" w:rsidP="00832773">
            <w:pPr>
              <w:spacing w:line="276" w:lineRule="auto"/>
              <w:jc w:val="center"/>
              <w:rPr>
                <w:rFonts w:cs="Calibri"/>
                <w:color w:val="000000"/>
                <w:sz w:val="20"/>
                <w:lang w:eastAsia="es-CR"/>
              </w:rPr>
            </w:pPr>
            <w:r w:rsidRPr="004E74A6">
              <w:rPr>
                <w:rFonts w:cs="Calibri"/>
                <w:color w:val="000000"/>
                <w:sz w:val="20"/>
                <w:lang w:eastAsia="es-CR"/>
              </w:rPr>
              <w:t>Promedio</w:t>
            </w:r>
          </w:p>
        </w:tc>
        <w:tc>
          <w:tcPr>
            <w:tcW w:w="2381" w:type="dxa"/>
            <w:tcBorders>
              <w:top w:val="single" w:sz="4" w:space="0" w:color="auto"/>
              <w:left w:val="single" w:sz="4" w:space="0" w:color="auto"/>
              <w:bottom w:val="single" w:sz="4" w:space="0" w:color="auto"/>
              <w:right w:val="nil"/>
            </w:tcBorders>
          </w:tcPr>
          <w:p w14:paraId="2AFBF111" w14:textId="77777777" w:rsidR="00101E63" w:rsidRPr="004E74A6" w:rsidRDefault="00101E63" w:rsidP="00832773">
            <w:pPr>
              <w:spacing w:line="276" w:lineRule="auto"/>
              <w:jc w:val="center"/>
              <w:rPr>
                <w:rFonts w:cs="Calibri"/>
                <w:color w:val="000000"/>
                <w:sz w:val="20"/>
                <w:lang w:eastAsia="es-CR"/>
              </w:rPr>
            </w:pPr>
            <w:r w:rsidRPr="004E74A6">
              <w:rPr>
                <w:rFonts w:cs="Calibri"/>
                <w:color w:val="000000"/>
                <w:sz w:val="20"/>
              </w:rPr>
              <w:t>Pérdida porcentual en la entrada en caso de elevarse la cuantía según rango escenario A1</w:t>
            </w:r>
          </w:p>
          <w:p w14:paraId="4570C9BF" w14:textId="77777777" w:rsidR="00101E63" w:rsidRPr="004E74A6" w:rsidRDefault="00101E63" w:rsidP="00832773">
            <w:pPr>
              <w:spacing w:line="276" w:lineRule="auto"/>
              <w:jc w:val="center"/>
              <w:rPr>
                <w:rFonts w:cs="Calibri"/>
                <w:color w:val="000000"/>
                <w:sz w:val="20"/>
                <w:lang w:eastAsia="es-CR"/>
              </w:rPr>
            </w:pPr>
          </w:p>
        </w:tc>
      </w:tr>
      <w:tr w:rsidR="00101E63" w:rsidRPr="004E74A6" w14:paraId="07D09AD7" w14:textId="4A1A9AFA" w:rsidTr="00B86E99">
        <w:trPr>
          <w:trHeight w:val="288"/>
          <w:jc w:val="center"/>
        </w:trPr>
        <w:tc>
          <w:tcPr>
            <w:tcW w:w="2835" w:type="dxa"/>
            <w:tcBorders>
              <w:top w:val="nil"/>
              <w:left w:val="nil"/>
              <w:bottom w:val="nil"/>
              <w:right w:val="single" w:sz="4" w:space="0" w:color="auto"/>
            </w:tcBorders>
            <w:shd w:val="clear" w:color="auto" w:fill="auto"/>
            <w:noWrap/>
            <w:vAlign w:val="center"/>
            <w:hideMark/>
          </w:tcPr>
          <w:p w14:paraId="1B9844BC" w14:textId="77777777" w:rsidR="00101E63" w:rsidRPr="004E74A6" w:rsidRDefault="00101E63" w:rsidP="00832773">
            <w:pPr>
              <w:spacing w:line="276" w:lineRule="auto"/>
              <w:jc w:val="center"/>
              <w:rPr>
                <w:rFonts w:cs="Calibri"/>
                <w:color w:val="000000"/>
                <w:sz w:val="20"/>
                <w:lang w:eastAsia="es-CR"/>
              </w:rPr>
            </w:pPr>
            <w:r w:rsidRPr="004E74A6">
              <w:rPr>
                <w:rFonts w:cs="Calibri"/>
                <w:color w:val="000000"/>
                <w:sz w:val="20"/>
                <w:lang w:eastAsia="es-CR"/>
              </w:rPr>
              <w:t> </w:t>
            </w:r>
          </w:p>
        </w:tc>
        <w:tc>
          <w:tcPr>
            <w:tcW w:w="850" w:type="dxa"/>
            <w:tcBorders>
              <w:top w:val="nil"/>
              <w:left w:val="nil"/>
              <w:bottom w:val="nil"/>
              <w:right w:val="single" w:sz="4" w:space="0" w:color="auto"/>
            </w:tcBorders>
            <w:shd w:val="clear" w:color="auto" w:fill="auto"/>
            <w:noWrap/>
            <w:vAlign w:val="center"/>
            <w:hideMark/>
          </w:tcPr>
          <w:p w14:paraId="3B91B185" w14:textId="77777777" w:rsidR="00101E63" w:rsidRPr="004E74A6" w:rsidRDefault="00101E63" w:rsidP="00832773">
            <w:pPr>
              <w:spacing w:line="276" w:lineRule="auto"/>
              <w:jc w:val="center"/>
              <w:rPr>
                <w:rFonts w:cs="Calibri"/>
                <w:color w:val="000000"/>
                <w:sz w:val="20"/>
                <w:lang w:eastAsia="es-CR"/>
              </w:rPr>
            </w:pPr>
            <w:r w:rsidRPr="004E74A6">
              <w:rPr>
                <w:rFonts w:cs="Calibri"/>
                <w:color w:val="000000"/>
                <w:sz w:val="20"/>
                <w:lang w:eastAsia="es-CR"/>
              </w:rPr>
              <w:t> </w:t>
            </w:r>
          </w:p>
        </w:tc>
        <w:tc>
          <w:tcPr>
            <w:tcW w:w="850" w:type="dxa"/>
            <w:tcBorders>
              <w:top w:val="nil"/>
              <w:left w:val="nil"/>
              <w:bottom w:val="nil"/>
              <w:right w:val="single" w:sz="4" w:space="0" w:color="auto"/>
            </w:tcBorders>
            <w:shd w:val="clear" w:color="auto" w:fill="auto"/>
            <w:noWrap/>
            <w:vAlign w:val="center"/>
            <w:hideMark/>
          </w:tcPr>
          <w:p w14:paraId="5F541142" w14:textId="77777777" w:rsidR="00101E63" w:rsidRPr="004E74A6" w:rsidRDefault="00101E63" w:rsidP="00832773">
            <w:pPr>
              <w:spacing w:line="276" w:lineRule="auto"/>
              <w:jc w:val="center"/>
              <w:rPr>
                <w:rFonts w:cs="Calibri"/>
                <w:color w:val="000000"/>
                <w:sz w:val="20"/>
                <w:lang w:eastAsia="es-CR"/>
              </w:rPr>
            </w:pPr>
            <w:r w:rsidRPr="004E74A6">
              <w:rPr>
                <w:rFonts w:cs="Calibri"/>
                <w:color w:val="000000"/>
                <w:sz w:val="20"/>
                <w:lang w:eastAsia="es-CR"/>
              </w:rPr>
              <w:t> </w:t>
            </w:r>
          </w:p>
        </w:tc>
        <w:tc>
          <w:tcPr>
            <w:tcW w:w="850" w:type="dxa"/>
            <w:tcBorders>
              <w:top w:val="nil"/>
              <w:left w:val="nil"/>
              <w:bottom w:val="nil"/>
              <w:right w:val="single" w:sz="4" w:space="0" w:color="auto"/>
            </w:tcBorders>
            <w:shd w:val="clear" w:color="auto" w:fill="auto"/>
            <w:noWrap/>
            <w:vAlign w:val="center"/>
            <w:hideMark/>
          </w:tcPr>
          <w:p w14:paraId="3726F7EE" w14:textId="77777777" w:rsidR="00101E63" w:rsidRPr="004E74A6" w:rsidRDefault="00101E63" w:rsidP="00832773">
            <w:pPr>
              <w:spacing w:line="276" w:lineRule="auto"/>
              <w:jc w:val="center"/>
              <w:rPr>
                <w:rFonts w:cs="Calibri"/>
                <w:color w:val="000000"/>
                <w:sz w:val="20"/>
                <w:lang w:eastAsia="es-CR"/>
              </w:rPr>
            </w:pPr>
            <w:r w:rsidRPr="004E74A6">
              <w:rPr>
                <w:rFonts w:cs="Calibri"/>
                <w:color w:val="000000"/>
                <w:sz w:val="20"/>
                <w:lang w:eastAsia="es-CR"/>
              </w:rPr>
              <w:t> </w:t>
            </w:r>
          </w:p>
        </w:tc>
        <w:tc>
          <w:tcPr>
            <w:tcW w:w="1134" w:type="dxa"/>
            <w:tcBorders>
              <w:top w:val="nil"/>
              <w:left w:val="nil"/>
              <w:bottom w:val="nil"/>
              <w:right w:val="single" w:sz="4" w:space="0" w:color="auto"/>
            </w:tcBorders>
            <w:shd w:val="clear" w:color="auto" w:fill="auto"/>
            <w:noWrap/>
            <w:vAlign w:val="center"/>
            <w:hideMark/>
          </w:tcPr>
          <w:p w14:paraId="6D022EF7" w14:textId="77777777" w:rsidR="00101E63" w:rsidRPr="004E74A6" w:rsidRDefault="00101E63" w:rsidP="00832773">
            <w:pPr>
              <w:spacing w:line="276" w:lineRule="auto"/>
              <w:jc w:val="center"/>
              <w:rPr>
                <w:rFonts w:cs="Calibri"/>
                <w:color w:val="000000"/>
                <w:sz w:val="20"/>
                <w:lang w:eastAsia="es-CR"/>
              </w:rPr>
            </w:pPr>
            <w:r w:rsidRPr="004E74A6">
              <w:rPr>
                <w:rFonts w:cs="Calibri"/>
                <w:color w:val="000000"/>
                <w:sz w:val="20"/>
                <w:lang w:eastAsia="es-CR"/>
              </w:rPr>
              <w:t> </w:t>
            </w:r>
          </w:p>
        </w:tc>
        <w:tc>
          <w:tcPr>
            <w:tcW w:w="2381" w:type="dxa"/>
            <w:tcBorders>
              <w:top w:val="nil"/>
              <w:left w:val="single" w:sz="4" w:space="0" w:color="auto"/>
              <w:bottom w:val="nil"/>
              <w:right w:val="nil"/>
            </w:tcBorders>
          </w:tcPr>
          <w:p w14:paraId="79B85085" w14:textId="77777777" w:rsidR="00101E63" w:rsidRPr="004E74A6" w:rsidRDefault="00101E63" w:rsidP="00832773">
            <w:pPr>
              <w:spacing w:line="276" w:lineRule="auto"/>
              <w:jc w:val="center"/>
              <w:rPr>
                <w:rFonts w:cs="Calibri"/>
                <w:color w:val="000000"/>
                <w:sz w:val="20"/>
                <w:lang w:eastAsia="es-CR"/>
              </w:rPr>
            </w:pPr>
          </w:p>
        </w:tc>
      </w:tr>
      <w:tr w:rsidR="00101E63" w:rsidRPr="004E74A6" w14:paraId="0CCEE07D" w14:textId="6A4E6648" w:rsidTr="00B86E99">
        <w:trPr>
          <w:trHeight w:val="288"/>
          <w:jc w:val="center"/>
        </w:trPr>
        <w:tc>
          <w:tcPr>
            <w:tcW w:w="2835" w:type="dxa"/>
            <w:tcBorders>
              <w:top w:val="nil"/>
              <w:left w:val="nil"/>
              <w:bottom w:val="nil"/>
              <w:right w:val="single" w:sz="4" w:space="0" w:color="auto"/>
            </w:tcBorders>
            <w:shd w:val="clear" w:color="auto" w:fill="auto"/>
            <w:noWrap/>
            <w:vAlign w:val="center"/>
            <w:hideMark/>
          </w:tcPr>
          <w:p w14:paraId="68D0ED2A" w14:textId="77777777" w:rsidR="00101E63" w:rsidRPr="004E74A6" w:rsidRDefault="00101E63" w:rsidP="00832773">
            <w:pPr>
              <w:spacing w:line="276" w:lineRule="auto"/>
              <w:jc w:val="center"/>
              <w:rPr>
                <w:rFonts w:cs="Calibri"/>
                <w:color w:val="000000"/>
                <w:sz w:val="20"/>
                <w:lang w:eastAsia="es-CR"/>
              </w:rPr>
            </w:pPr>
            <w:r w:rsidRPr="004E74A6">
              <w:rPr>
                <w:rFonts w:cs="Calibri"/>
                <w:color w:val="000000"/>
                <w:sz w:val="20"/>
                <w:lang w:eastAsia="es-CR"/>
              </w:rPr>
              <w:t>Total</w:t>
            </w:r>
          </w:p>
        </w:tc>
        <w:tc>
          <w:tcPr>
            <w:tcW w:w="850" w:type="dxa"/>
            <w:tcBorders>
              <w:top w:val="nil"/>
              <w:left w:val="nil"/>
              <w:bottom w:val="nil"/>
              <w:right w:val="single" w:sz="4" w:space="0" w:color="auto"/>
            </w:tcBorders>
            <w:shd w:val="clear" w:color="auto" w:fill="auto"/>
            <w:noWrap/>
            <w:vAlign w:val="center"/>
            <w:hideMark/>
          </w:tcPr>
          <w:p w14:paraId="322753E7" w14:textId="77777777" w:rsidR="00101E63" w:rsidRPr="004E74A6" w:rsidRDefault="00101E63" w:rsidP="00832773">
            <w:pPr>
              <w:spacing w:line="276" w:lineRule="auto"/>
              <w:jc w:val="center"/>
              <w:rPr>
                <w:rFonts w:cs="Calibri"/>
                <w:color w:val="000000"/>
                <w:sz w:val="20"/>
                <w:lang w:eastAsia="es-CR"/>
              </w:rPr>
            </w:pPr>
            <w:r w:rsidRPr="004E74A6">
              <w:rPr>
                <w:rFonts w:cs="Calibri"/>
                <w:color w:val="000000"/>
                <w:sz w:val="20"/>
                <w:lang w:eastAsia="es-CR"/>
              </w:rPr>
              <w:t>3</w:t>
            </w:r>
          </w:p>
        </w:tc>
        <w:tc>
          <w:tcPr>
            <w:tcW w:w="850" w:type="dxa"/>
            <w:tcBorders>
              <w:top w:val="nil"/>
              <w:left w:val="nil"/>
              <w:bottom w:val="nil"/>
              <w:right w:val="single" w:sz="4" w:space="0" w:color="auto"/>
            </w:tcBorders>
            <w:shd w:val="clear" w:color="auto" w:fill="auto"/>
            <w:noWrap/>
            <w:vAlign w:val="center"/>
            <w:hideMark/>
          </w:tcPr>
          <w:p w14:paraId="29CA911F" w14:textId="77777777" w:rsidR="00101E63" w:rsidRPr="004E74A6" w:rsidRDefault="00101E63" w:rsidP="00832773">
            <w:pPr>
              <w:spacing w:line="276" w:lineRule="auto"/>
              <w:jc w:val="center"/>
              <w:rPr>
                <w:rFonts w:cs="Calibri"/>
                <w:color w:val="000000"/>
                <w:sz w:val="20"/>
                <w:lang w:eastAsia="es-CR"/>
              </w:rPr>
            </w:pPr>
            <w:r w:rsidRPr="004E74A6">
              <w:rPr>
                <w:rFonts w:cs="Calibri"/>
                <w:color w:val="000000"/>
                <w:sz w:val="20"/>
                <w:lang w:eastAsia="es-CR"/>
              </w:rPr>
              <w:t>15</w:t>
            </w:r>
          </w:p>
        </w:tc>
        <w:tc>
          <w:tcPr>
            <w:tcW w:w="850" w:type="dxa"/>
            <w:tcBorders>
              <w:top w:val="nil"/>
              <w:left w:val="nil"/>
              <w:bottom w:val="nil"/>
              <w:right w:val="single" w:sz="4" w:space="0" w:color="auto"/>
            </w:tcBorders>
            <w:shd w:val="clear" w:color="auto" w:fill="auto"/>
            <w:noWrap/>
            <w:vAlign w:val="center"/>
            <w:hideMark/>
          </w:tcPr>
          <w:p w14:paraId="5B2E21AF" w14:textId="77777777" w:rsidR="00101E63" w:rsidRPr="004E74A6" w:rsidRDefault="00101E63" w:rsidP="00832773">
            <w:pPr>
              <w:spacing w:line="276" w:lineRule="auto"/>
              <w:jc w:val="center"/>
              <w:rPr>
                <w:rFonts w:cs="Calibri"/>
                <w:color w:val="000000"/>
                <w:sz w:val="20"/>
                <w:lang w:eastAsia="es-CR"/>
              </w:rPr>
            </w:pPr>
            <w:r w:rsidRPr="004E74A6">
              <w:rPr>
                <w:rFonts w:cs="Calibri"/>
                <w:color w:val="000000"/>
                <w:sz w:val="20"/>
                <w:lang w:eastAsia="es-CR"/>
              </w:rPr>
              <w:t>31</w:t>
            </w:r>
          </w:p>
        </w:tc>
        <w:tc>
          <w:tcPr>
            <w:tcW w:w="1134" w:type="dxa"/>
            <w:tcBorders>
              <w:top w:val="nil"/>
              <w:left w:val="nil"/>
              <w:bottom w:val="nil"/>
              <w:right w:val="single" w:sz="4" w:space="0" w:color="auto"/>
            </w:tcBorders>
            <w:shd w:val="clear" w:color="auto" w:fill="auto"/>
            <w:noWrap/>
            <w:vAlign w:val="center"/>
            <w:hideMark/>
          </w:tcPr>
          <w:p w14:paraId="13CF2519" w14:textId="77777777" w:rsidR="00101E63" w:rsidRPr="004E74A6" w:rsidRDefault="00101E63" w:rsidP="00832773">
            <w:pPr>
              <w:spacing w:line="276" w:lineRule="auto"/>
              <w:jc w:val="center"/>
              <w:rPr>
                <w:rFonts w:cs="Calibri"/>
                <w:color w:val="000000"/>
                <w:sz w:val="20"/>
                <w:lang w:eastAsia="es-CR"/>
              </w:rPr>
            </w:pPr>
            <w:r w:rsidRPr="004E74A6">
              <w:rPr>
                <w:rFonts w:cs="Calibri"/>
                <w:color w:val="000000"/>
                <w:sz w:val="20"/>
                <w:lang w:eastAsia="es-CR"/>
              </w:rPr>
              <w:t>16</w:t>
            </w:r>
          </w:p>
        </w:tc>
        <w:tc>
          <w:tcPr>
            <w:tcW w:w="2381" w:type="dxa"/>
            <w:tcBorders>
              <w:top w:val="nil"/>
              <w:left w:val="single" w:sz="4" w:space="0" w:color="auto"/>
              <w:bottom w:val="nil"/>
              <w:right w:val="nil"/>
            </w:tcBorders>
          </w:tcPr>
          <w:p w14:paraId="5CB6C6D3" w14:textId="77777777" w:rsidR="00101E63" w:rsidRPr="004E74A6" w:rsidRDefault="00101E63" w:rsidP="00832773">
            <w:pPr>
              <w:spacing w:line="276" w:lineRule="auto"/>
              <w:jc w:val="center"/>
              <w:rPr>
                <w:rFonts w:cs="Calibri"/>
                <w:color w:val="000000"/>
                <w:sz w:val="20"/>
                <w:lang w:eastAsia="es-CR"/>
              </w:rPr>
            </w:pPr>
          </w:p>
        </w:tc>
      </w:tr>
      <w:tr w:rsidR="00101E63" w:rsidRPr="004E74A6" w14:paraId="7BE96A9E" w14:textId="1EDA0607" w:rsidTr="00B86E99">
        <w:trPr>
          <w:trHeight w:val="288"/>
          <w:jc w:val="center"/>
        </w:trPr>
        <w:tc>
          <w:tcPr>
            <w:tcW w:w="2835" w:type="dxa"/>
            <w:tcBorders>
              <w:top w:val="nil"/>
              <w:left w:val="nil"/>
              <w:bottom w:val="nil"/>
              <w:right w:val="single" w:sz="4" w:space="0" w:color="auto"/>
            </w:tcBorders>
            <w:shd w:val="clear" w:color="auto" w:fill="auto"/>
            <w:noWrap/>
            <w:vAlign w:val="bottom"/>
            <w:hideMark/>
          </w:tcPr>
          <w:p w14:paraId="7786DBEC" w14:textId="77777777" w:rsidR="00101E63" w:rsidRPr="004E74A6" w:rsidRDefault="00101E63" w:rsidP="00832773">
            <w:pPr>
              <w:spacing w:line="276" w:lineRule="auto"/>
              <w:jc w:val="left"/>
              <w:rPr>
                <w:rFonts w:cs="Calibri"/>
                <w:color w:val="000000"/>
                <w:sz w:val="20"/>
                <w:lang w:eastAsia="es-CR"/>
              </w:rPr>
            </w:pPr>
            <w:r w:rsidRPr="004E74A6">
              <w:rPr>
                <w:rFonts w:cs="Calibri"/>
                <w:color w:val="000000"/>
                <w:sz w:val="20"/>
                <w:lang w:eastAsia="es-CR"/>
              </w:rPr>
              <w:t> </w:t>
            </w:r>
          </w:p>
        </w:tc>
        <w:tc>
          <w:tcPr>
            <w:tcW w:w="850" w:type="dxa"/>
            <w:tcBorders>
              <w:top w:val="nil"/>
              <w:left w:val="nil"/>
              <w:bottom w:val="nil"/>
              <w:right w:val="single" w:sz="4" w:space="0" w:color="auto"/>
            </w:tcBorders>
            <w:shd w:val="clear" w:color="auto" w:fill="auto"/>
            <w:noWrap/>
            <w:vAlign w:val="bottom"/>
            <w:hideMark/>
          </w:tcPr>
          <w:p w14:paraId="0BAFD5A3" w14:textId="77777777" w:rsidR="00101E63" w:rsidRPr="004E74A6" w:rsidRDefault="00101E63" w:rsidP="00832773">
            <w:pPr>
              <w:spacing w:line="276" w:lineRule="auto"/>
              <w:jc w:val="left"/>
              <w:rPr>
                <w:rFonts w:cs="Calibri"/>
                <w:color w:val="000000"/>
                <w:sz w:val="20"/>
                <w:lang w:eastAsia="es-CR"/>
              </w:rPr>
            </w:pPr>
            <w:r w:rsidRPr="004E74A6">
              <w:rPr>
                <w:rFonts w:cs="Calibri"/>
                <w:color w:val="000000"/>
                <w:sz w:val="20"/>
                <w:lang w:eastAsia="es-CR"/>
              </w:rPr>
              <w:t> </w:t>
            </w:r>
          </w:p>
        </w:tc>
        <w:tc>
          <w:tcPr>
            <w:tcW w:w="850" w:type="dxa"/>
            <w:tcBorders>
              <w:top w:val="nil"/>
              <w:left w:val="nil"/>
              <w:bottom w:val="nil"/>
              <w:right w:val="single" w:sz="4" w:space="0" w:color="auto"/>
            </w:tcBorders>
            <w:shd w:val="clear" w:color="auto" w:fill="auto"/>
            <w:noWrap/>
            <w:vAlign w:val="bottom"/>
            <w:hideMark/>
          </w:tcPr>
          <w:p w14:paraId="73A38D14" w14:textId="77777777" w:rsidR="00101E63" w:rsidRPr="004E74A6" w:rsidRDefault="00101E63" w:rsidP="00832773">
            <w:pPr>
              <w:spacing w:line="276" w:lineRule="auto"/>
              <w:jc w:val="left"/>
              <w:rPr>
                <w:rFonts w:cs="Calibri"/>
                <w:color w:val="000000"/>
                <w:sz w:val="20"/>
                <w:lang w:eastAsia="es-CR"/>
              </w:rPr>
            </w:pPr>
            <w:r w:rsidRPr="004E74A6">
              <w:rPr>
                <w:rFonts w:cs="Calibri"/>
                <w:color w:val="000000"/>
                <w:sz w:val="20"/>
                <w:lang w:eastAsia="es-CR"/>
              </w:rPr>
              <w:t> </w:t>
            </w:r>
          </w:p>
        </w:tc>
        <w:tc>
          <w:tcPr>
            <w:tcW w:w="850" w:type="dxa"/>
            <w:tcBorders>
              <w:top w:val="nil"/>
              <w:left w:val="nil"/>
              <w:bottom w:val="nil"/>
              <w:right w:val="single" w:sz="4" w:space="0" w:color="auto"/>
            </w:tcBorders>
            <w:shd w:val="clear" w:color="auto" w:fill="auto"/>
            <w:noWrap/>
            <w:vAlign w:val="bottom"/>
            <w:hideMark/>
          </w:tcPr>
          <w:p w14:paraId="64682150" w14:textId="77777777" w:rsidR="00101E63" w:rsidRPr="004E74A6" w:rsidRDefault="00101E63" w:rsidP="00832773">
            <w:pPr>
              <w:spacing w:line="276" w:lineRule="auto"/>
              <w:jc w:val="left"/>
              <w:rPr>
                <w:rFonts w:cs="Calibri"/>
                <w:color w:val="000000"/>
                <w:sz w:val="20"/>
                <w:lang w:eastAsia="es-CR"/>
              </w:rPr>
            </w:pPr>
            <w:r w:rsidRPr="004E74A6">
              <w:rPr>
                <w:rFonts w:cs="Calibri"/>
                <w:color w:val="000000"/>
                <w:sz w:val="20"/>
                <w:lang w:eastAsia="es-CR"/>
              </w:rPr>
              <w:t> </w:t>
            </w:r>
          </w:p>
        </w:tc>
        <w:tc>
          <w:tcPr>
            <w:tcW w:w="1134" w:type="dxa"/>
            <w:tcBorders>
              <w:top w:val="nil"/>
              <w:left w:val="nil"/>
              <w:bottom w:val="nil"/>
              <w:right w:val="single" w:sz="4" w:space="0" w:color="auto"/>
            </w:tcBorders>
            <w:shd w:val="clear" w:color="auto" w:fill="auto"/>
            <w:noWrap/>
            <w:vAlign w:val="bottom"/>
            <w:hideMark/>
          </w:tcPr>
          <w:p w14:paraId="09D2ED61" w14:textId="77777777" w:rsidR="00101E63" w:rsidRPr="004E74A6" w:rsidRDefault="00101E63" w:rsidP="00832773">
            <w:pPr>
              <w:spacing w:line="276" w:lineRule="auto"/>
              <w:jc w:val="left"/>
              <w:rPr>
                <w:rFonts w:cs="Calibri"/>
                <w:color w:val="000000"/>
                <w:sz w:val="20"/>
                <w:lang w:eastAsia="es-CR"/>
              </w:rPr>
            </w:pPr>
            <w:r w:rsidRPr="004E74A6">
              <w:rPr>
                <w:rFonts w:cs="Calibri"/>
                <w:color w:val="000000"/>
                <w:sz w:val="20"/>
                <w:lang w:eastAsia="es-CR"/>
              </w:rPr>
              <w:t> </w:t>
            </w:r>
          </w:p>
        </w:tc>
        <w:tc>
          <w:tcPr>
            <w:tcW w:w="2381" w:type="dxa"/>
            <w:tcBorders>
              <w:top w:val="nil"/>
              <w:left w:val="single" w:sz="4" w:space="0" w:color="auto"/>
              <w:bottom w:val="nil"/>
              <w:right w:val="nil"/>
            </w:tcBorders>
          </w:tcPr>
          <w:p w14:paraId="2D25F956" w14:textId="77777777" w:rsidR="00101E63" w:rsidRPr="004E74A6" w:rsidRDefault="00101E63" w:rsidP="00832773">
            <w:pPr>
              <w:spacing w:line="276" w:lineRule="auto"/>
              <w:jc w:val="left"/>
              <w:rPr>
                <w:rFonts w:cs="Calibri"/>
                <w:color w:val="000000"/>
                <w:sz w:val="20"/>
                <w:lang w:eastAsia="es-CR"/>
              </w:rPr>
            </w:pPr>
          </w:p>
        </w:tc>
      </w:tr>
      <w:tr w:rsidR="00101E63" w:rsidRPr="004E74A6" w14:paraId="61925994" w14:textId="36011851" w:rsidTr="00B86E99">
        <w:trPr>
          <w:trHeight w:val="288"/>
          <w:jc w:val="center"/>
        </w:trPr>
        <w:tc>
          <w:tcPr>
            <w:tcW w:w="2835" w:type="dxa"/>
            <w:tcBorders>
              <w:top w:val="nil"/>
              <w:left w:val="nil"/>
              <w:bottom w:val="nil"/>
              <w:right w:val="single" w:sz="4" w:space="0" w:color="auto"/>
            </w:tcBorders>
            <w:shd w:val="clear" w:color="auto" w:fill="C5E0B3" w:themeFill="accent6" w:themeFillTint="66"/>
            <w:noWrap/>
            <w:vAlign w:val="bottom"/>
            <w:hideMark/>
          </w:tcPr>
          <w:p w14:paraId="44AC1B12" w14:textId="77777777" w:rsidR="00101E63" w:rsidRPr="004E74A6" w:rsidRDefault="00101E63" w:rsidP="00832773">
            <w:pPr>
              <w:spacing w:line="276" w:lineRule="auto"/>
              <w:jc w:val="left"/>
              <w:rPr>
                <w:rFonts w:cs="Calibri"/>
                <w:color w:val="000000"/>
                <w:sz w:val="20"/>
                <w:lang w:eastAsia="es-CR"/>
              </w:rPr>
            </w:pPr>
            <w:r w:rsidRPr="004E74A6">
              <w:rPr>
                <w:rFonts w:cs="Calibri"/>
                <w:color w:val="000000"/>
                <w:sz w:val="20"/>
                <w:lang w:eastAsia="es-CR"/>
              </w:rPr>
              <w:t>Menos de ¢3.000.001</w:t>
            </w:r>
          </w:p>
        </w:tc>
        <w:tc>
          <w:tcPr>
            <w:tcW w:w="850" w:type="dxa"/>
            <w:tcBorders>
              <w:top w:val="nil"/>
              <w:left w:val="nil"/>
              <w:bottom w:val="nil"/>
              <w:right w:val="single" w:sz="4" w:space="0" w:color="auto"/>
            </w:tcBorders>
            <w:shd w:val="clear" w:color="auto" w:fill="C5E0B3" w:themeFill="accent6" w:themeFillTint="66"/>
            <w:noWrap/>
            <w:vAlign w:val="center"/>
            <w:hideMark/>
          </w:tcPr>
          <w:p w14:paraId="19975C21" w14:textId="77777777" w:rsidR="00101E63" w:rsidRPr="004E74A6" w:rsidRDefault="00101E63" w:rsidP="00832773">
            <w:pPr>
              <w:spacing w:line="276" w:lineRule="auto"/>
              <w:jc w:val="center"/>
              <w:rPr>
                <w:rFonts w:cs="Calibri"/>
                <w:color w:val="000000"/>
                <w:sz w:val="20"/>
                <w:lang w:eastAsia="es-CR"/>
              </w:rPr>
            </w:pPr>
            <w:r w:rsidRPr="004E74A6">
              <w:rPr>
                <w:rFonts w:cs="Calibri"/>
                <w:color w:val="000000"/>
                <w:sz w:val="20"/>
                <w:lang w:eastAsia="es-CR"/>
              </w:rPr>
              <w:t>1</w:t>
            </w:r>
          </w:p>
        </w:tc>
        <w:tc>
          <w:tcPr>
            <w:tcW w:w="850" w:type="dxa"/>
            <w:tcBorders>
              <w:top w:val="nil"/>
              <w:left w:val="nil"/>
              <w:bottom w:val="nil"/>
              <w:right w:val="single" w:sz="4" w:space="0" w:color="auto"/>
            </w:tcBorders>
            <w:shd w:val="clear" w:color="auto" w:fill="C5E0B3" w:themeFill="accent6" w:themeFillTint="66"/>
            <w:noWrap/>
            <w:vAlign w:val="center"/>
            <w:hideMark/>
          </w:tcPr>
          <w:p w14:paraId="5EB6289E" w14:textId="77777777" w:rsidR="00101E63" w:rsidRPr="004E74A6" w:rsidRDefault="00101E63" w:rsidP="00832773">
            <w:pPr>
              <w:spacing w:line="276" w:lineRule="auto"/>
              <w:jc w:val="center"/>
              <w:rPr>
                <w:rFonts w:cs="Calibri"/>
                <w:color w:val="000000"/>
                <w:sz w:val="20"/>
                <w:lang w:eastAsia="es-CR"/>
              </w:rPr>
            </w:pPr>
            <w:r w:rsidRPr="004E74A6">
              <w:rPr>
                <w:rFonts w:cs="Calibri"/>
                <w:color w:val="000000"/>
                <w:sz w:val="20"/>
                <w:lang w:eastAsia="es-CR"/>
              </w:rPr>
              <w:t>1</w:t>
            </w:r>
          </w:p>
        </w:tc>
        <w:tc>
          <w:tcPr>
            <w:tcW w:w="850" w:type="dxa"/>
            <w:tcBorders>
              <w:top w:val="nil"/>
              <w:left w:val="nil"/>
              <w:bottom w:val="nil"/>
              <w:right w:val="single" w:sz="4" w:space="0" w:color="auto"/>
            </w:tcBorders>
            <w:shd w:val="clear" w:color="auto" w:fill="C5E0B3" w:themeFill="accent6" w:themeFillTint="66"/>
            <w:noWrap/>
            <w:vAlign w:val="center"/>
            <w:hideMark/>
          </w:tcPr>
          <w:p w14:paraId="0D410BF2" w14:textId="77777777" w:rsidR="00101E63" w:rsidRPr="004E74A6" w:rsidRDefault="00101E63" w:rsidP="00832773">
            <w:pPr>
              <w:spacing w:line="276" w:lineRule="auto"/>
              <w:jc w:val="center"/>
              <w:rPr>
                <w:rFonts w:cs="Calibri"/>
                <w:color w:val="000000"/>
                <w:sz w:val="20"/>
                <w:lang w:eastAsia="es-CR"/>
              </w:rPr>
            </w:pPr>
            <w:r w:rsidRPr="004E74A6">
              <w:rPr>
                <w:rFonts w:cs="Calibri"/>
                <w:color w:val="000000"/>
                <w:sz w:val="20"/>
                <w:lang w:eastAsia="es-CR"/>
              </w:rPr>
              <w:t>5</w:t>
            </w:r>
          </w:p>
        </w:tc>
        <w:tc>
          <w:tcPr>
            <w:tcW w:w="1134" w:type="dxa"/>
            <w:tcBorders>
              <w:top w:val="nil"/>
              <w:left w:val="nil"/>
              <w:bottom w:val="nil"/>
              <w:right w:val="single" w:sz="4" w:space="0" w:color="auto"/>
            </w:tcBorders>
            <w:shd w:val="clear" w:color="auto" w:fill="C5E0B3" w:themeFill="accent6" w:themeFillTint="66"/>
            <w:noWrap/>
            <w:vAlign w:val="center"/>
            <w:hideMark/>
          </w:tcPr>
          <w:p w14:paraId="1373EE86" w14:textId="77777777" w:rsidR="00101E63" w:rsidRPr="004E74A6" w:rsidRDefault="00101E63" w:rsidP="00832773">
            <w:pPr>
              <w:spacing w:line="276" w:lineRule="auto"/>
              <w:jc w:val="center"/>
              <w:rPr>
                <w:rFonts w:cs="Calibri"/>
                <w:color w:val="000000"/>
                <w:sz w:val="20"/>
                <w:lang w:eastAsia="es-CR"/>
              </w:rPr>
            </w:pPr>
            <w:r w:rsidRPr="004E74A6">
              <w:rPr>
                <w:rFonts w:cs="Calibri"/>
                <w:color w:val="000000"/>
                <w:sz w:val="20"/>
                <w:lang w:eastAsia="es-CR"/>
              </w:rPr>
              <w:t>2</w:t>
            </w:r>
          </w:p>
        </w:tc>
        <w:tc>
          <w:tcPr>
            <w:tcW w:w="2381" w:type="dxa"/>
            <w:tcBorders>
              <w:top w:val="nil"/>
              <w:left w:val="single" w:sz="4" w:space="0" w:color="auto"/>
              <w:bottom w:val="nil"/>
              <w:right w:val="nil"/>
            </w:tcBorders>
            <w:shd w:val="clear" w:color="auto" w:fill="C5E0B3" w:themeFill="accent6" w:themeFillTint="66"/>
            <w:vAlign w:val="bottom"/>
          </w:tcPr>
          <w:p w14:paraId="630EAC7F" w14:textId="08BC8602" w:rsidR="00101E63" w:rsidRPr="004E74A6" w:rsidRDefault="00101E63" w:rsidP="00832773">
            <w:pPr>
              <w:spacing w:line="276" w:lineRule="auto"/>
              <w:jc w:val="center"/>
              <w:rPr>
                <w:rFonts w:cs="Calibri"/>
                <w:color w:val="000000"/>
                <w:sz w:val="20"/>
                <w:lang w:eastAsia="es-CR"/>
              </w:rPr>
            </w:pPr>
            <w:r w:rsidRPr="004E74A6">
              <w:rPr>
                <w:rFonts w:cs="Calibri"/>
                <w:color w:val="000000"/>
                <w:sz w:val="20"/>
              </w:rPr>
              <w:t>14%</w:t>
            </w:r>
          </w:p>
        </w:tc>
      </w:tr>
      <w:tr w:rsidR="00101E63" w:rsidRPr="004E74A6" w14:paraId="280E52AF" w14:textId="583F3E34" w:rsidTr="00B86E99">
        <w:trPr>
          <w:trHeight w:val="288"/>
          <w:jc w:val="center"/>
        </w:trPr>
        <w:tc>
          <w:tcPr>
            <w:tcW w:w="2835" w:type="dxa"/>
            <w:tcBorders>
              <w:top w:val="nil"/>
              <w:left w:val="nil"/>
              <w:bottom w:val="nil"/>
              <w:right w:val="single" w:sz="4" w:space="0" w:color="auto"/>
            </w:tcBorders>
            <w:shd w:val="clear" w:color="auto" w:fill="C5E0B3" w:themeFill="accent6" w:themeFillTint="66"/>
            <w:noWrap/>
            <w:vAlign w:val="bottom"/>
            <w:hideMark/>
          </w:tcPr>
          <w:p w14:paraId="468366DF" w14:textId="77777777" w:rsidR="00101E63" w:rsidRPr="004E74A6" w:rsidRDefault="00101E63" w:rsidP="00832773">
            <w:pPr>
              <w:spacing w:line="276" w:lineRule="auto"/>
              <w:jc w:val="left"/>
              <w:rPr>
                <w:rFonts w:cs="Calibri"/>
                <w:color w:val="000000"/>
                <w:sz w:val="20"/>
                <w:lang w:eastAsia="es-CR"/>
              </w:rPr>
            </w:pPr>
            <w:r w:rsidRPr="004E74A6">
              <w:rPr>
                <w:rFonts w:cs="Calibri"/>
                <w:color w:val="000000"/>
                <w:sz w:val="20"/>
                <w:lang w:eastAsia="es-CR"/>
              </w:rPr>
              <w:t>De ¢3.000.001 a ¢4.000.000</w:t>
            </w:r>
          </w:p>
        </w:tc>
        <w:tc>
          <w:tcPr>
            <w:tcW w:w="850" w:type="dxa"/>
            <w:tcBorders>
              <w:top w:val="nil"/>
              <w:left w:val="nil"/>
              <w:bottom w:val="nil"/>
              <w:right w:val="single" w:sz="4" w:space="0" w:color="auto"/>
            </w:tcBorders>
            <w:shd w:val="clear" w:color="auto" w:fill="C5E0B3" w:themeFill="accent6" w:themeFillTint="66"/>
            <w:noWrap/>
            <w:vAlign w:val="center"/>
            <w:hideMark/>
          </w:tcPr>
          <w:p w14:paraId="3A0E4643" w14:textId="77777777" w:rsidR="00101E63" w:rsidRPr="004E74A6" w:rsidRDefault="00101E63" w:rsidP="00832773">
            <w:pPr>
              <w:spacing w:line="276" w:lineRule="auto"/>
              <w:jc w:val="center"/>
              <w:rPr>
                <w:rFonts w:cs="Calibri"/>
                <w:color w:val="000000"/>
                <w:sz w:val="20"/>
                <w:lang w:eastAsia="es-CR"/>
              </w:rPr>
            </w:pPr>
            <w:r w:rsidRPr="004E74A6">
              <w:rPr>
                <w:rFonts w:cs="Calibri"/>
                <w:color w:val="000000"/>
                <w:sz w:val="20"/>
                <w:lang w:eastAsia="es-CR"/>
              </w:rPr>
              <w:t>0</w:t>
            </w:r>
          </w:p>
        </w:tc>
        <w:tc>
          <w:tcPr>
            <w:tcW w:w="850" w:type="dxa"/>
            <w:tcBorders>
              <w:top w:val="nil"/>
              <w:left w:val="nil"/>
              <w:bottom w:val="nil"/>
              <w:right w:val="single" w:sz="4" w:space="0" w:color="auto"/>
            </w:tcBorders>
            <w:shd w:val="clear" w:color="auto" w:fill="C5E0B3" w:themeFill="accent6" w:themeFillTint="66"/>
            <w:noWrap/>
            <w:vAlign w:val="center"/>
            <w:hideMark/>
          </w:tcPr>
          <w:p w14:paraId="50AA5C98" w14:textId="77777777" w:rsidR="00101E63" w:rsidRPr="004E74A6" w:rsidRDefault="00101E63" w:rsidP="00832773">
            <w:pPr>
              <w:spacing w:line="276" w:lineRule="auto"/>
              <w:jc w:val="center"/>
              <w:rPr>
                <w:rFonts w:cs="Calibri"/>
                <w:color w:val="000000"/>
                <w:sz w:val="20"/>
                <w:lang w:eastAsia="es-CR"/>
              </w:rPr>
            </w:pPr>
            <w:r w:rsidRPr="004E74A6">
              <w:rPr>
                <w:rFonts w:cs="Calibri"/>
                <w:color w:val="000000"/>
                <w:sz w:val="20"/>
                <w:lang w:eastAsia="es-CR"/>
              </w:rPr>
              <w:t>0</w:t>
            </w:r>
          </w:p>
        </w:tc>
        <w:tc>
          <w:tcPr>
            <w:tcW w:w="850" w:type="dxa"/>
            <w:tcBorders>
              <w:top w:val="nil"/>
              <w:left w:val="nil"/>
              <w:bottom w:val="nil"/>
              <w:right w:val="single" w:sz="4" w:space="0" w:color="auto"/>
            </w:tcBorders>
            <w:shd w:val="clear" w:color="auto" w:fill="C5E0B3" w:themeFill="accent6" w:themeFillTint="66"/>
            <w:noWrap/>
            <w:vAlign w:val="center"/>
            <w:hideMark/>
          </w:tcPr>
          <w:p w14:paraId="32AF0E68" w14:textId="77777777" w:rsidR="00101E63" w:rsidRPr="004E74A6" w:rsidRDefault="00101E63" w:rsidP="00832773">
            <w:pPr>
              <w:spacing w:line="276" w:lineRule="auto"/>
              <w:jc w:val="center"/>
              <w:rPr>
                <w:rFonts w:cs="Calibri"/>
                <w:color w:val="000000"/>
                <w:sz w:val="20"/>
                <w:lang w:eastAsia="es-CR"/>
              </w:rPr>
            </w:pPr>
            <w:r w:rsidRPr="004E74A6">
              <w:rPr>
                <w:rFonts w:cs="Calibri"/>
                <w:color w:val="000000"/>
                <w:sz w:val="20"/>
                <w:lang w:eastAsia="es-CR"/>
              </w:rPr>
              <w:t>1</w:t>
            </w:r>
          </w:p>
        </w:tc>
        <w:tc>
          <w:tcPr>
            <w:tcW w:w="1134" w:type="dxa"/>
            <w:tcBorders>
              <w:top w:val="nil"/>
              <w:left w:val="nil"/>
              <w:bottom w:val="nil"/>
              <w:right w:val="single" w:sz="4" w:space="0" w:color="auto"/>
            </w:tcBorders>
            <w:shd w:val="clear" w:color="auto" w:fill="C5E0B3" w:themeFill="accent6" w:themeFillTint="66"/>
            <w:noWrap/>
            <w:vAlign w:val="center"/>
            <w:hideMark/>
          </w:tcPr>
          <w:p w14:paraId="00C887CC" w14:textId="77777777" w:rsidR="00101E63" w:rsidRPr="004E74A6" w:rsidRDefault="00101E63" w:rsidP="00832773">
            <w:pPr>
              <w:spacing w:line="276" w:lineRule="auto"/>
              <w:jc w:val="center"/>
              <w:rPr>
                <w:rFonts w:cs="Calibri"/>
                <w:color w:val="000000"/>
                <w:sz w:val="20"/>
                <w:lang w:eastAsia="es-CR"/>
              </w:rPr>
            </w:pPr>
            <w:r w:rsidRPr="004E74A6">
              <w:rPr>
                <w:rFonts w:cs="Calibri"/>
                <w:color w:val="000000"/>
                <w:sz w:val="20"/>
                <w:lang w:eastAsia="es-CR"/>
              </w:rPr>
              <w:t>0</w:t>
            </w:r>
          </w:p>
        </w:tc>
        <w:tc>
          <w:tcPr>
            <w:tcW w:w="2381" w:type="dxa"/>
            <w:tcBorders>
              <w:top w:val="nil"/>
              <w:left w:val="single" w:sz="4" w:space="0" w:color="auto"/>
              <w:bottom w:val="nil"/>
              <w:right w:val="nil"/>
            </w:tcBorders>
            <w:shd w:val="clear" w:color="auto" w:fill="C5E0B3" w:themeFill="accent6" w:themeFillTint="66"/>
            <w:vAlign w:val="bottom"/>
          </w:tcPr>
          <w:p w14:paraId="0D42390B" w14:textId="436DA79C" w:rsidR="00101E63" w:rsidRPr="004E74A6" w:rsidRDefault="00101E63" w:rsidP="00832773">
            <w:pPr>
              <w:spacing w:line="276" w:lineRule="auto"/>
              <w:jc w:val="center"/>
              <w:rPr>
                <w:rFonts w:cs="Calibri"/>
                <w:color w:val="000000"/>
                <w:sz w:val="20"/>
                <w:lang w:eastAsia="es-CR"/>
              </w:rPr>
            </w:pPr>
            <w:r w:rsidRPr="004E74A6">
              <w:rPr>
                <w:rFonts w:cs="Calibri"/>
                <w:color w:val="000000"/>
                <w:sz w:val="20"/>
              </w:rPr>
              <w:t>16%</w:t>
            </w:r>
          </w:p>
        </w:tc>
      </w:tr>
      <w:tr w:rsidR="00101E63" w:rsidRPr="004E74A6" w14:paraId="4DFD1676" w14:textId="3BEAFFFB" w:rsidTr="00B86E99">
        <w:trPr>
          <w:trHeight w:val="288"/>
          <w:jc w:val="center"/>
        </w:trPr>
        <w:tc>
          <w:tcPr>
            <w:tcW w:w="2835" w:type="dxa"/>
            <w:tcBorders>
              <w:top w:val="nil"/>
              <w:left w:val="nil"/>
              <w:bottom w:val="nil"/>
              <w:right w:val="single" w:sz="4" w:space="0" w:color="auto"/>
            </w:tcBorders>
            <w:shd w:val="clear" w:color="auto" w:fill="C5E0B3" w:themeFill="accent6" w:themeFillTint="66"/>
            <w:noWrap/>
            <w:vAlign w:val="bottom"/>
            <w:hideMark/>
          </w:tcPr>
          <w:p w14:paraId="4886D88B" w14:textId="77777777" w:rsidR="00101E63" w:rsidRPr="00832773" w:rsidRDefault="00101E63" w:rsidP="00832773">
            <w:pPr>
              <w:spacing w:line="276" w:lineRule="auto"/>
              <w:jc w:val="left"/>
              <w:rPr>
                <w:rFonts w:cs="Calibri"/>
                <w:b/>
                <w:bCs/>
                <w:color w:val="000000"/>
                <w:sz w:val="20"/>
                <w:lang w:eastAsia="es-CR"/>
              </w:rPr>
            </w:pPr>
            <w:r w:rsidRPr="00832773">
              <w:rPr>
                <w:rFonts w:cs="Calibri"/>
                <w:b/>
                <w:bCs/>
                <w:color w:val="000000"/>
                <w:sz w:val="20"/>
                <w:lang w:eastAsia="es-CR"/>
              </w:rPr>
              <w:t>De ¢4.000.001 a ¢5.000.000</w:t>
            </w:r>
          </w:p>
        </w:tc>
        <w:tc>
          <w:tcPr>
            <w:tcW w:w="850" w:type="dxa"/>
            <w:tcBorders>
              <w:top w:val="nil"/>
              <w:left w:val="nil"/>
              <w:bottom w:val="nil"/>
              <w:right w:val="single" w:sz="4" w:space="0" w:color="auto"/>
            </w:tcBorders>
            <w:shd w:val="clear" w:color="auto" w:fill="C5E0B3" w:themeFill="accent6" w:themeFillTint="66"/>
            <w:noWrap/>
            <w:vAlign w:val="center"/>
            <w:hideMark/>
          </w:tcPr>
          <w:p w14:paraId="782E3116" w14:textId="77777777" w:rsidR="00101E63" w:rsidRPr="00832773" w:rsidRDefault="00101E63" w:rsidP="00832773">
            <w:pPr>
              <w:spacing w:line="276" w:lineRule="auto"/>
              <w:jc w:val="center"/>
              <w:rPr>
                <w:rFonts w:cs="Calibri"/>
                <w:b/>
                <w:bCs/>
                <w:color w:val="000000"/>
                <w:sz w:val="20"/>
                <w:lang w:eastAsia="es-CR"/>
              </w:rPr>
            </w:pPr>
            <w:r w:rsidRPr="00832773">
              <w:rPr>
                <w:rFonts w:cs="Calibri"/>
                <w:b/>
                <w:bCs/>
                <w:color w:val="000000"/>
                <w:sz w:val="20"/>
                <w:lang w:eastAsia="es-CR"/>
              </w:rPr>
              <w:t>0</w:t>
            </w:r>
          </w:p>
        </w:tc>
        <w:tc>
          <w:tcPr>
            <w:tcW w:w="850" w:type="dxa"/>
            <w:tcBorders>
              <w:top w:val="nil"/>
              <w:left w:val="nil"/>
              <w:bottom w:val="nil"/>
              <w:right w:val="single" w:sz="4" w:space="0" w:color="auto"/>
            </w:tcBorders>
            <w:shd w:val="clear" w:color="auto" w:fill="C5E0B3" w:themeFill="accent6" w:themeFillTint="66"/>
            <w:noWrap/>
            <w:vAlign w:val="center"/>
            <w:hideMark/>
          </w:tcPr>
          <w:p w14:paraId="1F1E0065" w14:textId="77777777" w:rsidR="00101E63" w:rsidRPr="00832773" w:rsidRDefault="00101E63" w:rsidP="00832773">
            <w:pPr>
              <w:spacing w:line="276" w:lineRule="auto"/>
              <w:jc w:val="center"/>
              <w:rPr>
                <w:rFonts w:cs="Calibri"/>
                <w:b/>
                <w:bCs/>
                <w:color w:val="000000"/>
                <w:sz w:val="20"/>
                <w:lang w:eastAsia="es-CR"/>
              </w:rPr>
            </w:pPr>
            <w:r w:rsidRPr="00832773">
              <w:rPr>
                <w:rFonts w:cs="Calibri"/>
                <w:b/>
                <w:bCs/>
                <w:color w:val="000000"/>
                <w:sz w:val="20"/>
                <w:lang w:eastAsia="es-CR"/>
              </w:rPr>
              <w:t>1</w:t>
            </w:r>
          </w:p>
        </w:tc>
        <w:tc>
          <w:tcPr>
            <w:tcW w:w="850" w:type="dxa"/>
            <w:tcBorders>
              <w:top w:val="nil"/>
              <w:left w:val="nil"/>
              <w:bottom w:val="nil"/>
              <w:right w:val="single" w:sz="4" w:space="0" w:color="auto"/>
            </w:tcBorders>
            <w:shd w:val="clear" w:color="auto" w:fill="C5E0B3" w:themeFill="accent6" w:themeFillTint="66"/>
            <w:noWrap/>
            <w:vAlign w:val="center"/>
            <w:hideMark/>
          </w:tcPr>
          <w:p w14:paraId="5D01EFA4" w14:textId="77777777" w:rsidR="00101E63" w:rsidRPr="00832773" w:rsidRDefault="00101E63" w:rsidP="00832773">
            <w:pPr>
              <w:spacing w:line="276" w:lineRule="auto"/>
              <w:jc w:val="center"/>
              <w:rPr>
                <w:rFonts w:cs="Calibri"/>
                <w:b/>
                <w:bCs/>
                <w:color w:val="000000"/>
                <w:sz w:val="20"/>
                <w:lang w:eastAsia="es-CR"/>
              </w:rPr>
            </w:pPr>
            <w:r w:rsidRPr="00832773">
              <w:rPr>
                <w:rFonts w:cs="Calibri"/>
                <w:b/>
                <w:bCs/>
                <w:color w:val="000000"/>
                <w:sz w:val="20"/>
                <w:lang w:eastAsia="es-CR"/>
              </w:rPr>
              <w:t>3</w:t>
            </w:r>
          </w:p>
        </w:tc>
        <w:tc>
          <w:tcPr>
            <w:tcW w:w="1134" w:type="dxa"/>
            <w:tcBorders>
              <w:top w:val="nil"/>
              <w:left w:val="nil"/>
              <w:bottom w:val="nil"/>
              <w:right w:val="single" w:sz="4" w:space="0" w:color="auto"/>
            </w:tcBorders>
            <w:shd w:val="clear" w:color="auto" w:fill="C5E0B3" w:themeFill="accent6" w:themeFillTint="66"/>
            <w:noWrap/>
            <w:vAlign w:val="center"/>
            <w:hideMark/>
          </w:tcPr>
          <w:p w14:paraId="2E535553" w14:textId="77777777" w:rsidR="00101E63" w:rsidRPr="00832773" w:rsidRDefault="00101E63" w:rsidP="00832773">
            <w:pPr>
              <w:spacing w:line="276" w:lineRule="auto"/>
              <w:jc w:val="center"/>
              <w:rPr>
                <w:rFonts w:cs="Calibri"/>
                <w:b/>
                <w:bCs/>
                <w:color w:val="000000"/>
                <w:sz w:val="20"/>
                <w:lang w:eastAsia="es-CR"/>
              </w:rPr>
            </w:pPr>
            <w:r w:rsidRPr="00832773">
              <w:rPr>
                <w:rFonts w:cs="Calibri"/>
                <w:b/>
                <w:bCs/>
                <w:color w:val="000000"/>
                <w:sz w:val="20"/>
                <w:lang w:eastAsia="es-CR"/>
              </w:rPr>
              <w:t>1</w:t>
            </w:r>
          </w:p>
        </w:tc>
        <w:tc>
          <w:tcPr>
            <w:tcW w:w="2381" w:type="dxa"/>
            <w:tcBorders>
              <w:top w:val="nil"/>
              <w:left w:val="single" w:sz="4" w:space="0" w:color="auto"/>
              <w:bottom w:val="nil"/>
              <w:right w:val="nil"/>
            </w:tcBorders>
            <w:shd w:val="clear" w:color="auto" w:fill="C5E0B3" w:themeFill="accent6" w:themeFillTint="66"/>
            <w:vAlign w:val="bottom"/>
          </w:tcPr>
          <w:p w14:paraId="416B1DD8" w14:textId="60C3DDF1" w:rsidR="00101E63" w:rsidRPr="00832773" w:rsidRDefault="00101E63" w:rsidP="00832773">
            <w:pPr>
              <w:spacing w:line="276" w:lineRule="auto"/>
              <w:jc w:val="center"/>
              <w:rPr>
                <w:rFonts w:cs="Calibri"/>
                <w:b/>
                <w:bCs/>
                <w:color w:val="000000"/>
                <w:sz w:val="20"/>
                <w:lang w:eastAsia="es-CR"/>
              </w:rPr>
            </w:pPr>
            <w:r w:rsidRPr="00832773">
              <w:rPr>
                <w:rFonts w:cs="Calibri"/>
                <w:b/>
                <w:bCs/>
                <w:color w:val="000000"/>
                <w:sz w:val="20"/>
              </w:rPr>
              <w:t>24%</w:t>
            </w:r>
          </w:p>
        </w:tc>
      </w:tr>
      <w:tr w:rsidR="00101E63" w:rsidRPr="004E74A6" w14:paraId="549983C3" w14:textId="2CBF680F" w:rsidTr="00B86E99">
        <w:trPr>
          <w:trHeight w:val="288"/>
          <w:jc w:val="center"/>
        </w:trPr>
        <w:tc>
          <w:tcPr>
            <w:tcW w:w="2835" w:type="dxa"/>
            <w:tcBorders>
              <w:top w:val="nil"/>
              <w:left w:val="nil"/>
              <w:bottom w:val="nil"/>
              <w:right w:val="single" w:sz="4" w:space="0" w:color="auto"/>
            </w:tcBorders>
            <w:shd w:val="clear" w:color="auto" w:fill="C5E0B3" w:themeFill="accent6" w:themeFillTint="66"/>
            <w:noWrap/>
            <w:vAlign w:val="bottom"/>
            <w:hideMark/>
          </w:tcPr>
          <w:p w14:paraId="01538762" w14:textId="77777777" w:rsidR="00101E63" w:rsidRPr="004E74A6" w:rsidRDefault="00101E63" w:rsidP="00832773">
            <w:pPr>
              <w:spacing w:line="276" w:lineRule="auto"/>
              <w:jc w:val="left"/>
              <w:rPr>
                <w:rFonts w:cs="Calibri"/>
                <w:color w:val="000000"/>
                <w:sz w:val="20"/>
                <w:lang w:eastAsia="es-CR"/>
              </w:rPr>
            </w:pPr>
            <w:r w:rsidRPr="004E74A6">
              <w:rPr>
                <w:rFonts w:cs="Calibri"/>
                <w:color w:val="000000"/>
                <w:sz w:val="20"/>
                <w:lang w:eastAsia="es-CR"/>
              </w:rPr>
              <w:t>De ¢5.000.001 a ¢6.000.000</w:t>
            </w:r>
          </w:p>
        </w:tc>
        <w:tc>
          <w:tcPr>
            <w:tcW w:w="850" w:type="dxa"/>
            <w:tcBorders>
              <w:top w:val="nil"/>
              <w:left w:val="nil"/>
              <w:bottom w:val="nil"/>
              <w:right w:val="single" w:sz="4" w:space="0" w:color="auto"/>
            </w:tcBorders>
            <w:shd w:val="clear" w:color="auto" w:fill="C5E0B3" w:themeFill="accent6" w:themeFillTint="66"/>
            <w:noWrap/>
            <w:vAlign w:val="center"/>
            <w:hideMark/>
          </w:tcPr>
          <w:p w14:paraId="7C7D7E42" w14:textId="77777777" w:rsidR="00101E63" w:rsidRPr="004E74A6" w:rsidRDefault="00101E63" w:rsidP="00832773">
            <w:pPr>
              <w:spacing w:line="276" w:lineRule="auto"/>
              <w:jc w:val="center"/>
              <w:rPr>
                <w:rFonts w:cs="Calibri"/>
                <w:color w:val="000000"/>
                <w:sz w:val="20"/>
                <w:lang w:eastAsia="es-CR"/>
              </w:rPr>
            </w:pPr>
            <w:r w:rsidRPr="004E74A6">
              <w:rPr>
                <w:rFonts w:cs="Calibri"/>
                <w:color w:val="000000"/>
                <w:sz w:val="20"/>
                <w:lang w:eastAsia="es-CR"/>
              </w:rPr>
              <w:t>0</w:t>
            </w:r>
          </w:p>
        </w:tc>
        <w:tc>
          <w:tcPr>
            <w:tcW w:w="850" w:type="dxa"/>
            <w:tcBorders>
              <w:top w:val="nil"/>
              <w:left w:val="nil"/>
              <w:bottom w:val="nil"/>
              <w:right w:val="single" w:sz="4" w:space="0" w:color="auto"/>
            </w:tcBorders>
            <w:shd w:val="clear" w:color="auto" w:fill="C5E0B3" w:themeFill="accent6" w:themeFillTint="66"/>
            <w:noWrap/>
            <w:vAlign w:val="center"/>
            <w:hideMark/>
          </w:tcPr>
          <w:p w14:paraId="7561AB00" w14:textId="77777777" w:rsidR="00101E63" w:rsidRPr="004E74A6" w:rsidRDefault="00101E63" w:rsidP="00832773">
            <w:pPr>
              <w:spacing w:line="276" w:lineRule="auto"/>
              <w:jc w:val="center"/>
              <w:rPr>
                <w:rFonts w:cs="Calibri"/>
                <w:color w:val="000000"/>
                <w:sz w:val="20"/>
                <w:lang w:eastAsia="es-CR"/>
              </w:rPr>
            </w:pPr>
            <w:r w:rsidRPr="004E74A6">
              <w:rPr>
                <w:rFonts w:cs="Calibri"/>
                <w:color w:val="000000"/>
                <w:sz w:val="20"/>
                <w:lang w:eastAsia="es-CR"/>
              </w:rPr>
              <w:t>2</w:t>
            </w:r>
          </w:p>
        </w:tc>
        <w:tc>
          <w:tcPr>
            <w:tcW w:w="850" w:type="dxa"/>
            <w:tcBorders>
              <w:top w:val="nil"/>
              <w:left w:val="nil"/>
              <w:bottom w:val="nil"/>
              <w:right w:val="single" w:sz="4" w:space="0" w:color="auto"/>
            </w:tcBorders>
            <w:shd w:val="clear" w:color="auto" w:fill="C5E0B3" w:themeFill="accent6" w:themeFillTint="66"/>
            <w:noWrap/>
            <w:vAlign w:val="center"/>
            <w:hideMark/>
          </w:tcPr>
          <w:p w14:paraId="3EEA2280" w14:textId="77777777" w:rsidR="00101E63" w:rsidRPr="004E74A6" w:rsidRDefault="00101E63" w:rsidP="00832773">
            <w:pPr>
              <w:spacing w:line="276" w:lineRule="auto"/>
              <w:jc w:val="center"/>
              <w:rPr>
                <w:rFonts w:cs="Calibri"/>
                <w:color w:val="000000"/>
                <w:sz w:val="20"/>
                <w:lang w:eastAsia="es-CR"/>
              </w:rPr>
            </w:pPr>
            <w:r w:rsidRPr="004E74A6">
              <w:rPr>
                <w:rFonts w:cs="Calibri"/>
                <w:color w:val="000000"/>
                <w:sz w:val="20"/>
                <w:lang w:eastAsia="es-CR"/>
              </w:rPr>
              <w:t>3</w:t>
            </w:r>
          </w:p>
        </w:tc>
        <w:tc>
          <w:tcPr>
            <w:tcW w:w="1134" w:type="dxa"/>
            <w:tcBorders>
              <w:top w:val="nil"/>
              <w:left w:val="nil"/>
              <w:bottom w:val="nil"/>
              <w:right w:val="single" w:sz="4" w:space="0" w:color="auto"/>
            </w:tcBorders>
            <w:shd w:val="clear" w:color="auto" w:fill="C5E0B3" w:themeFill="accent6" w:themeFillTint="66"/>
            <w:noWrap/>
            <w:vAlign w:val="center"/>
            <w:hideMark/>
          </w:tcPr>
          <w:p w14:paraId="373A59F3" w14:textId="77777777" w:rsidR="00101E63" w:rsidRPr="004E74A6" w:rsidRDefault="00101E63" w:rsidP="00832773">
            <w:pPr>
              <w:spacing w:line="276" w:lineRule="auto"/>
              <w:jc w:val="center"/>
              <w:rPr>
                <w:rFonts w:cs="Calibri"/>
                <w:color w:val="000000"/>
                <w:sz w:val="20"/>
                <w:lang w:eastAsia="es-CR"/>
              </w:rPr>
            </w:pPr>
            <w:r w:rsidRPr="004E74A6">
              <w:rPr>
                <w:rFonts w:cs="Calibri"/>
                <w:color w:val="000000"/>
                <w:sz w:val="20"/>
                <w:lang w:eastAsia="es-CR"/>
              </w:rPr>
              <w:t>2</w:t>
            </w:r>
          </w:p>
        </w:tc>
        <w:tc>
          <w:tcPr>
            <w:tcW w:w="2381" w:type="dxa"/>
            <w:tcBorders>
              <w:top w:val="nil"/>
              <w:left w:val="single" w:sz="4" w:space="0" w:color="auto"/>
              <w:bottom w:val="nil"/>
              <w:right w:val="nil"/>
            </w:tcBorders>
            <w:shd w:val="clear" w:color="auto" w:fill="C5E0B3" w:themeFill="accent6" w:themeFillTint="66"/>
            <w:vAlign w:val="bottom"/>
          </w:tcPr>
          <w:p w14:paraId="4607DF6A" w14:textId="55265153" w:rsidR="00101E63" w:rsidRPr="004E74A6" w:rsidRDefault="00101E63" w:rsidP="00832773">
            <w:pPr>
              <w:spacing w:line="276" w:lineRule="auto"/>
              <w:jc w:val="center"/>
              <w:rPr>
                <w:rFonts w:cs="Calibri"/>
                <w:color w:val="000000"/>
                <w:sz w:val="20"/>
                <w:lang w:eastAsia="es-CR"/>
              </w:rPr>
            </w:pPr>
            <w:r w:rsidRPr="004E74A6">
              <w:rPr>
                <w:rFonts w:cs="Calibri"/>
                <w:color w:val="000000"/>
                <w:sz w:val="20"/>
              </w:rPr>
              <w:t>35%</w:t>
            </w:r>
          </w:p>
        </w:tc>
      </w:tr>
      <w:tr w:rsidR="00101E63" w:rsidRPr="004E74A6" w14:paraId="29BD2FE6" w14:textId="31E09CFA" w:rsidTr="00B86E99">
        <w:trPr>
          <w:trHeight w:val="288"/>
          <w:jc w:val="center"/>
        </w:trPr>
        <w:tc>
          <w:tcPr>
            <w:tcW w:w="2835" w:type="dxa"/>
            <w:tcBorders>
              <w:top w:val="nil"/>
              <w:left w:val="nil"/>
              <w:bottom w:val="nil"/>
              <w:right w:val="single" w:sz="4" w:space="0" w:color="auto"/>
            </w:tcBorders>
            <w:shd w:val="clear" w:color="auto" w:fill="C5E0B3" w:themeFill="accent6" w:themeFillTint="66"/>
            <w:noWrap/>
            <w:vAlign w:val="bottom"/>
            <w:hideMark/>
          </w:tcPr>
          <w:p w14:paraId="2060AA6E" w14:textId="77777777" w:rsidR="00101E63" w:rsidRPr="004E74A6" w:rsidRDefault="00101E63" w:rsidP="00832773">
            <w:pPr>
              <w:spacing w:line="276" w:lineRule="auto"/>
              <w:jc w:val="left"/>
              <w:rPr>
                <w:rFonts w:cs="Calibri"/>
                <w:color w:val="000000"/>
                <w:sz w:val="20"/>
                <w:lang w:eastAsia="es-CR"/>
              </w:rPr>
            </w:pPr>
            <w:r w:rsidRPr="004E74A6">
              <w:rPr>
                <w:rFonts w:cs="Calibri"/>
                <w:color w:val="000000"/>
                <w:sz w:val="20"/>
                <w:lang w:eastAsia="es-CR"/>
              </w:rPr>
              <w:t>De ¢6.000.001 a ¢7.000.000</w:t>
            </w:r>
          </w:p>
        </w:tc>
        <w:tc>
          <w:tcPr>
            <w:tcW w:w="850" w:type="dxa"/>
            <w:tcBorders>
              <w:top w:val="nil"/>
              <w:left w:val="nil"/>
              <w:bottom w:val="nil"/>
              <w:right w:val="single" w:sz="4" w:space="0" w:color="auto"/>
            </w:tcBorders>
            <w:shd w:val="clear" w:color="auto" w:fill="C5E0B3" w:themeFill="accent6" w:themeFillTint="66"/>
            <w:noWrap/>
            <w:vAlign w:val="center"/>
            <w:hideMark/>
          </w:tcPr>
          <w:p w14:paraId="37770897" w14:textId="77777777" w:rsidR="00101E63" w:rsidRPr="004E74A6" w:rsidRDefault="00101E63" w:rsidP="00832773">
            <w:pPr>
              <w:spacing w:line="276" w:lineRule="auto"/>
              <w:jc w:val="center"/>
              <w:rPr>
                <w:rFonts w:cs="Calibri"/>
                <w:color w:val="000000"/>
                <w:sz w:val="20"/>
                <w:lang w:eastAsia="es-CR"/>
              </w:rPr>
            </w:pPr>
            <w:r w:rsidRPr="004E74A6">
              <w:rPr>
                <w:rFonts w:cs="Calibri"/>
                <w:color w:val="000000"/>
                <w:sz w:val="20"/>
                <w:lang w:eastAsia="es-CR"/>
              </w:rPr>
              <w:t>0</w:t>
            </w:r>
          </w:p>
        </w:tc>
        <w:tc>
          <w:tcPr>
            <w:tcW w:w="850" w:type="dxa"/>
            <w:tcBorders>
              <w:top w:val="nil"/>
              <w:left w:val="nil"/>
              <w:bottom w:val="nil"/>
              <w:right w:val="single" w:sz="4" w:space="0" w:color="auto"/>
            </w:tcBorders>
            <w:shd w:val="clear" w:color="auto" w:fill="C5E0B3" w:themeFill="accent6" w:themeFillTint="66"/>
            <w:noWrap/>
            <w:vAlign w:val="center"/>
            <w:hideMark/>
          </w:tcPr>
          <w:p w14:paraId="6C915F65" w14:textId="77777777" w:rsidR="00101E63" w:rsidRPr="004E74A6" w:rsidRDefault="00101E63" w:rsidP="00832773">
            <w:pPr>
              <w:spacing w:line="276" w:lineRule="auto"/>
              <w:jc w:val="center"/>
              <w:rPr>
                <w:rFonts w:cs="Calibri"/>
                <w:color w:val="000000"/>
                <w:sz w:val="20"/>
                <w:lang w:eastAsia="es-CR"/>
              </w:rPr>
            </w:pPr>
            <w:r w:rsidRPr="004E74A6">
              <w:rPr>
                <w:rFonts w:cs="Calibri"/>
                <w:color w:val="000000"/>
                <w:sz w:val="20"/>
                <w:lang w:eastAsia="es-CR"/>
              </w:rPr>
              <w:t>0</w:t>
            </w:r>
          </w:p>
        </w:tc>
        <w:tc>
          <w:tcPr>
            <w:tcW w:w="850" w:type="dxa"/>
            <w:tcBorders>
              <w:top w:val="nil"/>
              <w:left w:val="nil"/>
              <w:bottom w:val="nil"/>
              <w:right w:val="single" w:sz="4" w:space="0" w:color="auto"/>
            </w:tcBorders>
            <w:shd w:val="clear" w:color="auto" w:fill="C5E0B3" w:themeFill="accent6" w:themeFillTint="66"/>
            <w:noWrap/>
            <w:vAlign w:val="center"/>
            <w:hideMark/>
          </w:tcPr>
          <w:p w14:paraId="20059E07" w14:textId="77777777" w:rsidR="00101E63" w:rsidRPr="004E74A6" w:rsidRDefault="00101E63" w:rsidP="00832773">
            <w:pPr>
              <w:spacing w:line="276" w:lineRule="auto"/>
              <w:jc w:val="center"/>
              <w:rPr>
                <w:rFonts w:cs="Calibri"/>
                <w:color w:val="000000"/>
                <w:sz w:val="20"/>
                <w:lang w:eastAsia="es-CR"/>
              </w:rPr>
            </w:pPr>
            <w:r w:rsidRPr="004E74A6">
              <w:rPr>
                <w:rFonts w:cs="Calibri"/>
                <w:color w:val="000000"/>
                <w:sz w:val="20"/>
                <w:lang w:eastAsia="es-CR"/>
              </w:rPr>
              <w:t>1</w:t>
            </w:r>
          </w:p>
        </w:tc>
        <w:tc>
          <w:tcPr>
            <w:tcW w:w="1134" w:type="dxa"/>
            <w:tcBorders>
              <w:top w:val="nil"/>
              <w:left w:val="nil"/>
              <w:bottom w:val="nil"/>
              <w:right w:val="single" w:sz="4" w:space="0" w:color="auto"/>
            </w:tcBorders>
            <w:shd w:val="clear" w:color="auto" w:fill="C5E0B3" w:themeFill="accent6" w:themeFillTint="66"/>
            <w:noWrap/>
            <w:vAlign w:val="center"/>
            <w:hideMark/>
          </w:tcPr>
          <w:p w14:paraId="128C4198" w14:textId="77777777" w:rsidR="00101E63" w:rsidRPr="004E74A6" w:rsidRDefault="00101E63" w:rsidP="00832773">
            <w:pPr>
              <w:spacing w:line="276" w:lineRule="auto"/>
              <w:jc w:val="center"/>
              <w:rPr>
                <w:rFonts w:cs="Calibri"/>
                <w:color w:val="000000"/>
                <w:sz w:val="20"/>
                <w:lang w:eastAsia="es-CR"/>
              </w:rPr>
            </w:pPr>
            <w:r w:rsidRPr="004E74A6">
              <w:rPr>
                <w:rFonts w:cs="Calibri"/>
                <w:color w:val="000000"/>
                <w:sz w:val="20"/>
                <w:lang w:eastAsia="es-CR"/>
              </w:rPr>
              <w:t>0</w:t>
            </w:r>
          </w:p>
        </w:tc>
        <w:tc>
          <w:tcPr>
            <w:tcW w:w="2381" w:type="dxa"/>
            <w:tcBorders>
              <w:top w:val="nil"/>
              <w:left w:val="single" w:sz="4" w:space="0" w:color="auto"/>
              <w:bottom w:val="nil"/>
              <w:right w:val="nil"/>
            </w:tcBorders>
            <w:shd w:val="clear" w:color="auto" w:fill="C5E0B3" w:themeFill="accent6" w:themeFillTint="66"/>
            <w:vAlign w:val="bottom"/>
          </w:tcPr>
          <w:p w14:paraId="10F2F9E4" w14:textId="3A0AB0C6" w:rsidR="00101E63" w:rsidRPr="004E74A6" w:rsidRDefault="00101E63" w:rsidP="00832773">
            <w:pPr>
              <w:spacing w:line="276" w:lineRule="auto"/>
              <w:jc w:val="center"/>
              <w:rPr>
                <w:rFonts w:cs="Calibri"/>
                <w:color w:val="000000"/>
                <w:sz w:val="20"/>
                <w:lang w:eastAsia="es-CR"/>
              </w:rPr>
            </w:pPr>
            <w:r w:rsidRPr="004E74A6">
              <w:rPr>
                <w:rFonts w:cs="Calibri"/>
                <w:color w:val="000000"/>
                <w:sz w:val="20"/>
              </w:rPr>
              <w:t>37%</w:t>
            </w:r>
          </w:p>
        </w:tc>
      </w:tr>
      <w:tr w:rsidR="00101E63" w:rsidRPr="004E74A6" w14:paraId="56EB36BB" w14:textId="31939B66" w:rsidTr="00B86E99">
        <w:trPr>
          <w:trHeight w:val="288"/>
          <w:jc w:val="center"/>
        </w:trPr>
        <w:tc>
          <w:tcPr>
            <w:tcW w:w="2835" w:type="dxa"/>
            <w:tcBorders>
              <w:top w:val="nil"/>
              <w:left w:val="nil"/>
              <w:bottom w:val="nil"/>
              <w:right w:val="single" w:sz="4" w:space="0" w:color="auto"/>
            </w:tcBorders>
            <w:shd w:val="clear" w:color="auto" w:fill="C5E0B3" w:themeFill="accent6" w:themeFillTint="66"/>
            <w:noWrap/>
            <w:vAlign w:val="bottom"/>
            <w:hideMark/>
          </w:tcPr>
          <w:p w14:paraId="59E34F90" w14:textId="77777777" w:rsidR="00101E63" w:rsidRPr="004E74A6" w:rsidRDefault="00101E63" w:rsidP="00832773">
            <w:pPr>
              <w:spacing w:line="276" w:lineRule="auto"/>
              <w:jc w:val="left"/>
              <w:rPr>
                <w:rFonts w:cs="Calibri"/>
                <w:color w:val="000000"/>
                <w:sz w:val="20"/>
                <w:lang w:eastAsia="es-CR"/>
              </w:rPr>
            </w:pPr>
            <w:r w:rsidRPr="004E74A6">
              <w:rPr>
                <w:rFonts w:cs="Calibri"/>
                <w:color w:val="000000"/>
                <w:sz w:val="20"/>
                <w:lang w:eastAsia="es-CR"/>
              </w:rPr>
              <w:t>De ¢9.000.001 a ¢10.000.000</w:t>
            </w:r>
          </w:p>
        </w:tc>
        <w:tc>
          <w:tcPr>
            <w:tcW w:w="850" w:type="dxa"/>
            <w:tcBorders>
              <w:top w:val="nil"/>
              <w:left w:val="nil"/>
              <w:bottom w:val="nil"/>
              <w:right w:val="single" w:sz="4" w:space="0" w:color="auto"/>
            </w:tcBorders>
            <w:shd w:val="clear" w:color="auto" w:fill="C5E0B3" w:themeFill="accent6" w:themeFillTint="66"/>
            <w:noWrap/>
            <w:vAlign w:val="center"/>
            <w:hideMark/>
          </w:tcPr>
          <w:p w14:paraId="00702C52" w14:textId="77777777" w:rsidR="00101E63" w:rsidRPr="004E74A6" w:rsidRDefault="00101E63" w:rsidP="00832773">
            <w:pPr>
              <w:spacing w:line="276" w:lineRule="auto"/>
              <w:jc w:val="center"/>
              <w:rPr>
                <w:rFonts w:cs="Calibri"/>
                <w:color w:val="000000"/>
                <w:sz w:val="20"/>
                <w:lang w:eastAsia="es-CR"/>
              </w:rPr>
            </w:pPr>
            <w:r w:rsidRPr="004E74A6">
              <w:rPr>
                <w:rFonts w:cs="Calibri"/>
                <w:color w:val="000000"/>
                <w:sz w:val="20"/>
                <w:lang w:eastAsia="es-CR"/>
              </w:rPr>
              <w:t>0</w:t>
            </w:r>
          </w:p>
        </w:tc>
        <w:tc>
          <w:tcPr>
            <w:tcW w:w="850" w:type="dxa"/>
            <w:tcBorders>
              <w:top w:val="nil"/>
              <w:left w:val="nil"/>
              <w:bottom w:val="nil"/>
              <w:right w:val="single" w:sz="4" w:space="0" w:color="auto"/>
            </w:tcBorders>
            <w:shd w:val="clear" w:color="auto" w:fill="C5E0B3" w:themeFill="accent6" w:themeFillTint="66"/>
            <w:noWrap/>
            <w:vAlign w:val="center"/>
            <w:hideMark/>
          </w:tcPr>
          <w:p w14:paraId="6A60F391" w14:textId="77777777" w:rsidR="00101E63" w:rsidRPr="004E74A6" w:rsidRDefault="00101E63" w:rsidP="00832773">
            <w:pPr>
              <w:spacing w:line="276" w:lineRule="auto"/>
              <w:jc w:val="center"/>
              <w:rPr>
                <w:rFonts w:cs="Calibri"/>
                <w:color w:val="000000"/>
                <w:sz w:val="20"/>
                <w:lang w:eastAsia="es-CR"/>
              </w:rPr>
            </w:pPr>
            <w:r w:rsidRPr="004E74A6">
              <w:rPr>
                <w:rFonts w:cs="Calibri"/>
                <w:color w:val="000000"/>
                <w:sz w:val="20"/>
                <w:lang w:eastAsia="es-CR"/>
              </w:rPr>
              <w:t>1</w:t>
            </w:r>
          </w:p>
        </w:tc>
        <w:tc>
          <w:tcPr>
            <w:tcW w:w="850" w:type="dxa"/>
            <w:tcBorders>
              <w:top w:val="nil"/>
              <w:left w:val="nil"/>
              <w:bottom w:val="nil"/>
              <w:right w:val="single" w:sz="4" w:space="0" w:color="auto"/>
            </w:tcBorders>
            <w:shd w:val="clear" w:color="auto" w:fill="C5E0B3" w:themeFill="accent6" w:themeFillTint="66"/>
            <w:noWrap/>
            <w:vAlign w:val="center"/>
            <w:hideMark/>
          </w:tcPr>
          <w:p w14:paraId="246D0135" w14:textId="77777777" w:rsidR="00101E63" w:rsidRPr="004E74A6" w:rsidRDefault="00101E63" w:rsidP="00832773">
            <w:pPr>
              <w:spacing w:line="276" w:lineRule="auto"/>
              <w:jc w:val="center"/>
              <w:rPr>
                <w:rFonts w:cs="Calibri"/>
                <w:color w:val="000000"/>
                <w:sz w:val="20"/>
                <w:lang w:eastAsia="es-CR"/>
              </w:rPr>
            </w:pPr>
            <w:r w:rsidRPr="004E74A6">
              <w:rPr>
                <w:rFonts w:cs="Calibri"/>
                <w:color w:val="000000"/>
                <w:sz w:val="20"/>
                <w:lang w:eastAsia="es-CR"/>
              </w:rPr>
              <w:t>2</w:t>
            </w:r>
          </w:p>
        </w:tc>
        <w:tc>
          <w:tcPr>
            <w:tcW w:w="1134" w:type="dxa"/>
            <w:tcBorders>
              <w:top w:val="nil"/>
              <w:left w:val="nil"/>
              <w:bottom w:val="nil"/>
              <w:right w:val="single" w:sz="4" w:space="0" w:color="auto"/>
            </w:tcBorders>
            <w:shd w:val="clear" w:color="auto" w:fill="C5E0B3" w:themeFill="accent6" w:themeFillTint="66"/>
            <w:noWrap/>
            <w:vAlign w:val="center"/>
            <w:hideMark/>
          </w:tcPr>
          <w:p w14:paraId="04D4130B" w14:textId="77777777" w:rsidR="00101E63" w:rsidRPr="004E74A6" w:rsidRDefault="00101E63" w:rsidP="00832773">
            <w:pPr>
              <w:spacing w:line="276" w:lineRule="auto"/>
              <w:jc w:val="center"/>
              <w:rPr>
                <w:rFonts w:cs="Calibri"/>
                <w:color w:val="000000"/>
                <w:sz w:val="20"/>
                <w:lang w:eastAsia="es-CR"/>
              </w:rPr>
            </w:pPr>
            <w:r w:rsidRPr="004E74A6">
              <w:rPr>
                <w:rFonts w:cs="Calibri"/>
                <w:color w:val="000000"/>
                <w:sz w:val="20"/>
                <w:lang w:eastAsia="es-CR"/>
              </w:rPr>
              <w:t>1</w:t>
            </w:r>
          </w:p>
        </w:tc>
        <w:tc>
          <w:tcPr>
            <w:tcW w:w="2381" w:type="dxa"/>
            <w:tcBorders>
              <w:top w:val="nil"/>
              <w:left w:val="single" w:sz="4" w:space="0" w:color="auto"/>
              <w:bottom w:val="nil"/>
              <w:right w:val="nil"/>
            </w:tcBorders>
            <w:shd w:val="clear" w:color="auto" w:fill="C5E0B3" w:themeFill="accent6" w:themeFillTint="66"/>
            <w:vAlign w:val="bottom"/>
          </w:tcPr>
          <w:p w14:paraId="06BD7305" w14:textId="472C6AAE" w:rsidR="00101E63" w:rsidRPr="004E74A6" w:rsidRDefault="00101E63" w:rsidP="00832773">
            <w:pPr>
              <w:spacing w:line="276" w:lineRule="auto"/>
              <w:jc w:val="center"/>
              <w:rPr>
                <w:rFonts w:cs="Calibri"/>
                <w:color w:val="000000"/>
                <w:sz w:val="20"/>
                <w:lang w:eastAsia="es-CR"/>
              </w:rPr>
            </w:pPr>
            <w:r w:rsidRPr="004E74A6">
              <w:rPr>
                <w:rFonts w:cs="Calibri"/>
                <w:color w:val="000000"/>
                <w:sz w:val="20"/>
              </w:rPr>
              <w:t>43%</w:t>
            </w:r>
          </w:p>
        </w:tc>
      </w:tr>
      <w:tr w:rsidR="00101E63" w:rsidRPr="004E74A6" w14:paraId="3784EFDB" w14:textId="4613101D" w:rsidTr="00B86E99">
        <w:trPr>
          <w:trHeight w:val="288"/>
          <w:jc w:val="center"/>
        </w:trPr>
        <w:tc>
          <w:tcPr>
            <w:tcW w:w="2835" w:type="dxa"/>
            <w:tcBorders>
              <w:top w:val="nil"/>
              <w:left w:val="nil"/>
              <w:bottom w:val="nil"/>
              <w:right w:val="single" w:sz="4" w:space="0" w:color="auto"/>
            </w:tcBorders>
            <w:shd w:val="clear" w:color="auto" w:fill="C5E0B3" w:themeFill="accent6" w:themeFillTint="66"/>
            <w:noWrap/>
            <w:vAlign w:val="bottom"/>
            <w:hideMark/>
          </w:tcPr>
          <w:p w14:paraId="189F8472" w14:textId="77777777" w:rsidR="00101E63" w:rsidRPr="004E74A6" w:rsidRDefault="00101E63" w:rsidP="00832773">
            <w:pPr>
              <w:spacing w:line="276" w:lineRule="auto"/>
              <w:jc w:val="left"/>
              <w:rPr>
                <w:rFonts w:cs="Calibri"/>
                <w:color w:val="000000"/>
                <w:sz w:val="20"/>
                <w:lang w:eastAsia="es-CR"/>
              </w:rPr>
            </w:pPr>
            <w:r w:rsidRPr="004E74A6">
              <w:rPr>
                <w:rFonts w:cs="Calibri"/>
                <w:color w:val="000000"/>
                <w:sz w:val="20"/>
                <w:lang w:eastAsia="es-CR"/>
              </w:rPr>
              <w:t>De ¢10.000.001 a ¢15.000.000</w:t>
            </w:r>
          </w:p>
        </w:tc>
        <w:tc>
          <w:tcPr>
            <w:tcW w:w="850" w:type="dxa"/>
            <w:tcBorders>
              <w:top w:val="nil"/>
              <w:left w:val="nil"/>
              <w:bottom w:val="nil"/>
              <w:right w:val="single" w:sz="4" w:space="0" w:color="auto"/>
            </w:tcBorders>
            <w:shd w:val="clear" w:color="auto" w:fill="C5E0B3" w:themeFill="accent6" w:themeFillTint="66"/>
            <w:noWrap/>
            <w:vAlign w:val="center"/>
            <w:hideMark/>
          </w:tcPr>
          <w:p w14:paraId="3AA8BB18" w14:textId="77777777" w:rsidR="00101E63" w:rsidRPr="004E74A6" w:rsidRDefault="00101E63" w:rsidP="00832773">
            <w:pPr>
              <w:spacing w:line="276" w:lineRule="auto"/>
              <w:jc w:val="center"/>
              <w:rPr>
                <w:rFonts w:cs="Calibri"/>
                <w:color w:val="000000"/>
                <w:sz w:val="20"/>
                <w:lang w:eastAsia="es-CR"/>
              </w:rPr>
            </w:pPr>
            <w:r w:rsidRPr="004E74A6">
              <w:rPr>
                <w:rFonts w:cs="Calibri"/>
                <w:color w:val="000000"/>
                <w:sz w:val="20"/>
                <w:lang w:eastAsia="es-CR"/>
              </w:rPr>
              <w:t>0</w:t>
            </w:r>
          </w:p>
        </w:tc>
        <w:tc>
          <w:tcPr>
            <w:tcW w:w="850" w:type="dxa"/>
            <w:tcBorders>
              <w:top w:val="nil"/>
              <w:left w:val="nil"/>
              <w:bottom w:val="nil"/>
              <w:right w:val="single" w:sz="4" w:space="0" w:color="auto"/>
            </w:tcBorders>
            <w:shd w:val="clear" w:color="auto" w:fill="C5E0B3" w:themeFill="accent6" w:themeFillTint="66"/>
            <w:noWrap/>
            <w:vAlign w:val="center"/>
            <w:hideMark/>
          </w:tcPr>
          <w:p w14:paraId="761E4B9A" w14:textId="77777777" w:rsidR="00101E63" w:rsidRPr="004E74A6" w:rsidRDefault="00101E63" w:rsidP="00832773">
            <w:pPr>
              <w:spacing w:line="276" w:lineRule="auto"/>
              <w:jc w:val="center"/>
              <w:rPr>
                <w:rFonts w:cs="Calibri"/>
                <w:color w:val="000000"/>
                <w:sz w:val="20"/>
                <w:lang w:eastAsia="es-CR"/>
              </w:rPr>
            </w:pPr>
            <w:r w:rsidRPr="004E74A6">
              <w:rPr>
                <w:rFonts w:cs="Calibri"/>
                <w:color w:val="000000"/>
                <w:sz w:val="20"/>
                <w:lang w:eastAsia="es-CR"/>
              </w:rPr>
              <w:t>1</w:t>
            </w:r>
          </w:p>
        </w:tc>
        <w:tc>
          <w:tcPr>
            <w:tcW w:w="850" w:type="dxa"/>
            <w:tcBorders>
              <w:top w:val="nil"/>
              <w:left w:val="nil"/>
              <w:bottom w:val="nil"/>
              <w:right w:val="single" w:sz="4" w:space="0" w:color="auto"/>
            </w:tcBorders>
            <w:shd w:val="clear" w:color="auto" w:fill="C5E0B3" w:themeFill="accent6" w:themeFillTint="66"/>
            <w:noWrap/>
            <w:vAlign w:val="center"/>
            <w:hideMark/>
          </w:tcPr>
          <w:p w14:paraId="03474284" w14:textId="77777777" w:rsidR="00101E63" w:rsidRPr="004E74A6" w:rsidRDefault="00101E63" w:rsidP="00832773">
            <w:pPr>
              <w:spacing w:line="276" w:lineRule="auto"/>
              <w:jc w:val="center"/>
              <w:rPr>
                <w:rFonts w:cs="Calibri"/>
                <w:color w:val="000000"/>
                <w:sz w:val="20"/>
                <w:lang w:eastAsia="es-CR"/>
              </w:rPr>
            </w:pPr>
            <w:r w:rsidRPr="004E74A6">
              <w:rPr>
                <w:rFonts w:cs="Calibri"/>
                <w:color w:val="000000"/>
                <w:sz w:val="20"/>
                <w:lang w:eastAsia="es-CR"/>
              </w:rPr>
              <w:t>3</w:t>
            </w:r>
          </w:p>
        </w:tc>
        <w:tc>
          <w:tcPr>
            <w:tcW w:w="1134" w:type="dxa"/>
            <w:tcBorders>
              <w:top w:val="nil"/>
              <w:left w:val="nil"/>
              <w:bottom w:val="nil"/>
              <w:right w:val="single" w:sz="4" w:space="0" w:color="auto"/>
            </w:tcBorders>
            <w:shd w:val="clear" w:color="auto" w:fill="C5E0B3" w:themeFill="accent6" w:themeFillTint="66"/>
            <w:noWrap/>
            <w:vAlign w:val="center"/>
            <w:hideMark/>
          </w:tcPr>
          <w:p w14:paraId="5FCF8743" w14:textId="77777777" w:rsidR="00101E63" w:rsidRPr="004E74A6" w:rsidRDefault="00101E63" w:rsidP="00832773">
            <w:pPr>
              <w:spacing w:line="276" w:lineRule="auto"/>
              <w:jc w:val="center"/>
              <w:rPr>
                <w:rFonts w:cs="Calibri"/>
                <w:color w:val="000000"/>
                <w:sz w:val="20"/>
                <w:lang w:eastAsia="es-CR"/>
              </w:rPr>
            </w:pPr>
            <w:r w:rsidRPr="004E74A6">
              <w:rPr>
                <w:rFonts w:cs="Calibri"/>
                <w:color w:val="000000"/>
                <w:sz w:val="20"/>
                <w:lang w:eastAsia="es-CR"/>
              </w:rPr>
              <w:t>1</w:t>
            </w:r>
          </w:p>
        </w:tc>
        <w:tc>
          <w:tcPr>
            <w:tcW w:w="2381" w:type="dxa"/>
            <w:tcBorders>
              <w:top w:val="nil"/>
              <w:left w:val="single" w:sz="4" w:space="0" w:color="auto"/>
              <w:bottom w:val="nil"/>
              <w:right w:val="nil"/>
            </w:tcBorders>
            <w:shd w:val="clear" w:color="auto" w:fill="C5E0B3" w:themeFill="accent6" w:themeFillTint="66"/>
            <w:vAlign w:val="bottom"/>
          </w:tcPr>
          <w:p w14:paraId="645E0C30" w14:textId="0E056B62" w:rsidR="00101E63" w:rsidRPr="004E74A6" w:rsidRDefault="00101E63" w:rsidP="00832773">
            <w:pPr>
              <w:spacing w:line="276" w:lineRule="auto"/>
              <w:jc w:val="center"/>
              <w:rPr>
                <w:rFonts w:cs="Calibri"/>
                <w:color w:val="000000"/>
                <w:sz w:val="20"/>
                <w:lang w:eastAsia="es-CR"/>
              </w:rPr>
            </w:pPr>
            <w:r w:rsidRPr="004E74A6">
              <w:rPr>
                <w:rFonts w:cs="Calibri"/>
                <w:color w:val="000000"/>
                <w:sz w:val="20"/>
              </w:rPr>
              <w:t>51%</w:t>
            </w:r>
          </w:p>
        </w:tc>
      </w:tr>
      <w:tr w:rsidR="00101E63" w:rsidRPr="004E74A6" w14:paraId="69DD7DA7" w14:textId="630B5209" w:rsidTr="00B86E99">
        <w:trPr>
          <w:trHeight w:val="288"/>
          <w:jc w:val="center"/>
        </w:trPr>
        <w:tc>
          <w:tcPr>
            <w:tcW w:w="2835" w:type="dxa"/>
            <w:tcBorders>
              <w:top w:val="nil"/>
              <w:left w:val="nil"/>
              <w:bottom w:val="nil"/>
              <w:right w:val="single" w:sz="4" w:space="0" w:color="auto"/>
            </w:tcBorders>
            <w:shd w:val="clear" w:color="auto" w:fill="C5E0B3" w:themeFill="accent6" w:themeFillTint="66"/>
            <w:noWrap/>
            <w:vAlign w:val="bottom"/>
            <w:hideMark/>
          </w:tcPr>
          <w:p w14:paraId="01F27F3A" w14:textId="77777777" w:rsidR="00101E63" w:rsidRPr="004E74A6" w:rsidRDefault="00101E63" w:rsidP="00832773">
            <w:pPr>
              <w:spacing w:line="276" w:lineRule="auto"/>
              <w:jc w:val="left"/>
              <w:rPr>
                <w:rFonts w:cs="Calibri"/>
                <w:color w:val="000000"/>
                <w:sz w:val="20"/>
                <w:lang w:eastAsia="es-CR"/>
              </w:rPr>
            </w:pPr>
            <w:r w:rsidRPr="004E74A6">
              <w:rPr>
                <w:rFonts w:cs="Calibri"/>
                <w:color w:val="000000"/>
                <w:sz w:val="20"/>
                <w:lang w:eastAsia="es-CR"/>
              </w:rPr>
              <w:t>De ¢15.000.001 a ¢20.000.000</w:t>
            </w:r>
          </w:p>
        </w:tc>
        <w:tc>
          <w:tcPr>
            <w:tcW w:w="850" w:type="dxa"/>
            <w:tcBorders>
              <w:top w:val="nil"/>
              <w:left w:val="nil"/>
              <w:bottom w:val="nil"/>
              <w:right w:val="single" w:sz="4" w:space="0" w:color="auto"/>
            </w:tcBorders>
            <w:shd w:val="clear" w:color="auto" w:fill="C5E0B3" w:themeFill="accent6" w:themeFillTint="66"/>
            <w:noWrap/>
            <w:vAlign w:val="center"/>
            <w:hideMark/>
          </w:tcPr>
          <w:p w14:paraId="4F077F4E" w14:textId="77777777" w:rsidR="00101E63" w:rsidRPr="004E74A6" w:rsidRDefault="00101E63" w:rsidP="00832773">
            <w:pPr>
              <w:spacing w:line="276" w:lineRule="auto"/>
              <w:jc w:val="center"/>
              <w:rPr>
                <w:rFonts w:cs="Calibri"/>
                <w:color w:val="000000"/>
                <w:sz w:val="20"/>
                <w:lang w:eastAsia="es-CR"/>
              </w:rPr>
            </w:pPr>
            <w:r w:rsidRPr="004E74A6">
              <w:rPr>
                <w:rFonts w:cs="Calibri"/>
                <w:color w:val="000000"/>
                <w:sz w:val="20"/>
                <w:lang w:eastAsia="es-CR"/>
              </w:rPr>
              <w:t>0</w:t>
            </w:r>
          </w:p>
        </w:tc>
        <w:tc>
          <w:tcPr>
            <w:tcW w:w="850" w:type="dxa"/>
            <w:tcBorders>
              <w:top w:val="nil"/>
              <w:left w:val="nil"/>
              <w:bottom w:val="nil"/>
              <w:right w:val="single" w:sz="4" w:space="0" w:color="auto"/>
            </w:tcBorders>
            <w:shd w:val="clear" w:color="auto" w:fill="C5E0B3" w:themeFill="accent6" w:themeFillTint="66"/>
            <w:noWrap/>
            <w:vAlign w:val="center"/>
            <w:hideMark/>
          </w:tcPr>
          <w:p w14:paraId="6DABA5C2" w14:textId="77777777" w:rsidR="00101E63" w:rsidRPr="004E74A6" w:rsidRDefault="00101E63" w:rsidP="00832773">
            <w:pPr>
              <w:spacing w:line="276" w:lineRule="auto"/>
              <w:jc w:val="center"/>
              <w:rPr>
                <w:rFonts w:cs="Calibri"/>
                <w:color w:val="000000"/>
                <w:sz w:val="20"/>
                <w:lang w:eastAsia="es-CR"/>
              </w:rPr>
            </w:pPr>
            <w:r w:rsidRPr="004E74A6">
              <w:rPr>
                <w:rFonts w:cs="Calibri"/>
                <w:color w:val="000000"/>
                <w:sz w:val="20"/>
                <w:lang w:eastAsia="es-CR"/>
              </w:rPr>
              <w:t>0</w:t>
            </w:r>
          </w:p>
        </w:tc>
        <w:tc>
          <w:tcPr>
            <w:tcW w:w="850" w:type="dxa"/>
            <w:tcBorders>
              <w:top w:val="nil"/>
              <w:left w:val="nil"/>
              <w:bottom w:val="nil"/>
              <w:right w:val="single" w:sz="4" w:space="0" w:color="auto"/>
            </w:tcBorders>
            <w:shd w:val="clear" w:color="auto" w:fill="C5E0B3" w:themeFill="accent6" w:themeFillTint="66"/>
            <w:noWrap/>
            <w:vAlign w:val="center"/>
            <w:hideMark/>
          </w:tcPr>
          <w:p w14:paraId="6D02ECD3" w14:textId="77777777" w:rsidR="00101E63" w:rsidRPr="004E74A6" w:rsidRDefault="00101E63" w:rsidP="00832773">
            <w:pPr>
              <w:spacing w:line="276" w:lineRule="auto"/>
              <w:jc w:val="center"/>
              <w:rPr>
                <w:rFonts w:cs="Calibri"/>
                <w:color w:val="000000"/>
                <w:sz w:val="20"/>
                <w:lang w:eastAsia="es-CR"/>
              </w:rPr>
            </w:pPr>
            <w:r w:rsidRPr="004E74A6">
              <w:rPr>
                <w:rFonts w:cs="Calibri"/>
                <w:color w:val="000000"/>
                <w:sz w:val="20"/>
                <w:lang w:eastAsia="es-CR"/>
              </w:rPr>
              <w:t>5</w:t>
            </w:r>
          </w:p>
        </w:tc>
        <w:tc>
          <w:tcPr>
            <w:tcW w:w="1134" w:type="dxa"/>
            <w:tcBorders>
              <w:top w:val="nil"/>
              <w:left w:val="nil"/>
              <w:bottom w:val="nil"/>
              <w:right w:val="single" w:sz="4" w:space="0" w:color="auto"/>
            </w:tcBorders>
            <w:shd w:val="clear" w:color="auto" w:fill="C5E0B3" w:themeFill="accent6" w:themeFillTint="66"/>
            <w:noWrap/>
            <w:vAlign w:val="center"/>
            <w:hideMark/>
          </w:tcPr>
          <w:p w14:paraId="2444437B" w14:textId="77777777" w:rsidR="00101E63" w:rsidRPr="004E74A6" w:rsidRDefault="00101E63" w:rsidP="00832773">
            <w:pPr>
              <w:spacing w:line="276" w:lineRule="auto"/>
              <w:jc w:val="center"/>
              <w:rPr>
                <w:rFonts w:cs="Calibri"/>
                <w:color w:val="000000"/>
                <w:sz w:val="20"/>
                <w:lang w:eastAsia="es-CR"/>
              </w:rPr>
            </w:pPr>
            <w:r w:rsidRPr="004E74A6">
              <w:rPr>
                <w:rFonts w:cs="Calibri"/>
                <w:color w:val="000000"/>
                <w:sz w:val="20"/>
                <w:lang w:eastAsia="es-CR"/>
              </w:rPr>
              <w:t>2</w:t>
            </w:r>
          </w:p>
        </w:tc>
        <w:tc>
          <w:tcPr>
            <w:tcW w:w="2381" w:type="dxa"/>
            <w:tcBorders>
              <w:top w:val="nil"/>
              <w:left w:val="single" w:sz="4" w:space="0" w:color="auto"/>
              <w:bottom w:val="nil"/>
              <w:right w:val="nil"/>
            </w:tcBorders>
            <w:shd w:val="clear" w:color="auto" w:fill="C5E0B3" w:themeFill="accent6" w:themeFillTint="66"/>
            <w:vAlign w:val="bottom"/>
          </w:tcPr>
          <w:p w14:paraId="44571469" w14:textId="00F53DBC" w:rsidR="00101E63" w:rsidRPr="004E74A6" w:rsidRDefault="00101E63" w:rsidP="00832773">
            <w:pPr>
              <w:spacing w:line="276" w:lineRule="auto"/>
              <w:jc w:val="center"/>
              <w:rPr>
                <w:rFonts w:cs="Calibri"/>
                <w:color w:val="000000"/>
                <w:sz w:val="20"/>
                <w:lang w:eastAsia="es-CR"/>
              </w:rPr>
            </w:pPr>
            <w:r w:rsidRPr="004E74A6">
              <w:rPr>
                <w:rFonts w:cs="Calibri"/>
                <w:color w:val="000000"/>
                <w:sz w:val="20"/>
              </w:rPr>
              <w:t>61%</w:t>
            </w:r>
          </w:p>
        </w:tc>
      </w:tr>
      <w:tr w:rsidR="00101E63" w:rsidRPr="004E74A6" w14:paraId="72D0DEE2" w14:textId="11677C36" w:rsidTr="00B86E99">
        <w:trPr>
          <w:trHeight w:val="288"/>
          <w:jc w:val="center"/>
        </w:trPr>
        <w:tc>
          <w:tcPr>
            <w:tcW w:w="2835" w:type="dxa"/>
            <w:tcBorders>
              <w:top w:val="nil"/>
              <w:left w:val="nil"/>
              <w:bottom w:val="nil"/>
              <w:right w:val="single" w:sz="4" w:space="0" w:color="auto"/>
            </w:tcBorders>
            <w:shd w:val="clear" w:color="auto" w:fill="auto"/>
            <w:noWrap/>
            <w:vAlign w:val="bottom"/>
            <w:hideMark/>
          </w:tcPr>
          <w:p w14:paraId="712A63CE" w14:textId="77777777" w:rsidR="00101E63" w:rsidRPr="004E74A6" w:rsidRDefault="00101E63" w:rsidP="00832773">
            <w:pPr>
              <w:spacing w:line="276" w:lineRule="auto"/>
              <w:jc w:val="left"/>
              <w:rPr>
                <w:rFonts w:cs="Calibri"/>
                <w:color w:val="000000"/>
                <w:sz w:val="20"/>
                <w:lang w:eastAsia="es-CR"/>
              </w:rPr>
            </w:pPr>
            <w:r w:rsidRPr="004E74A6">
              <w:rPr>
                <w:rFonts w:cs="Calibri"/>
                <w:color w:val="000000"/>
                <w:sz w:val="20"/>
                <w:lang w:eastAsia="es-CR"/>
              </w:rPr>
              <w:t>De ¢25.000.001 a ¢30.000.000</w:t>
            </w:r>
          </w:p>
        </w:tc>
        <w:tc>
          <w:tcPr>
            <w:tcW w:w="850" w:type="dxa"/>
            <w:tcBorders>
              <w:top w:val="nil"/>
              <w:left w:val="nil"/>
              <w:bottom w:val="nil"/>
              <w:right w:val="single" w:sz="4" w:space="0" w:color="auto"/>
            </w:tcBorders>
            <w:shd w:val="clear" w:color="auto" w:fill="auto"/>
            <w:noWrap/>
            <w:vAlign w:val="center"/>
            <w:hideMark/>
          </w:tcPr>
          <w:p w14:paraId="0243C482" w14:textId="77777777" w:rsidR="00101E63" w:rsidRPr="004E74A6" w:rsidRDefault="00101E63" w:rsidP="00832773">
            <w:pPr>
              <w:spacing w:line="276" w:lineRule="auto"/>
              <w:jc w:val="center"/>
              <w:rPr>
                <w:rFonts w:cs="Calibri"/>
                <w:color w:val="000000"/>
                <w:sz w:val="20"/>
                <w:lang w:eastAsia="es-CR"/>
              </w:rPr>
            </w:pPr>
            <w:r w:rsidRPr="004E74A6">
              <w:rPr>
                <w:rFonts w:cs="Calibri"/>
                <w:color w:val="000000"/>
                <w:sz w:val="20"/>
                <w:lang w:eastAsia="es-CR"/>
              </w:rPr>
              <w:t>0</w:t>
            </w:r>
          </w:p>
        </w:tc>
        <w:tc>
          <w:tcPr>
            <w:tcW w:w="850" w:type="dxa"/>
            <w:tcBorders>
              <w:top w:val="nil"/>
              <w:left w:val="nil"/>
              <w:bottom w:val="nil"/>
              <w:right w:val="single" w:sz="4" w:space="0" w:color="auto"/>
            </w:tcBorders>
            <w:shd w:val="clear" w:color="auto" w:fill="auto"/>
            <w:noWrap/>
            <w:vAlign w:val="center"/>
            <w:hideMark/>
          </w:tcPr>
          <w:p w14:paraId="7CD66DA3" w14:textId="77777777" w:rsidR="00101E63" w:rsidRPr="004E74A6" w:rsidRDefault="00101E63" w:rsidP="00832773">
            <w:pPr>
              <w:spacing w:line="276" w:lineRule="auto"/>
              <w:jc w:val="center"/>
              <w:rPr>
                <w:rFonts w:cs="Calibri"/>
                <w:color w:val="000000"/>
                <w:sz w:val="20"/>
                <w:lang w:eastAsia="es-CR"/>
              </w:rPr>
            </w:pPr>
            <w:r w:rsidRPr="004E74A6">
              <w:rPr>
                <w:rFonts w:cs="Calibri"/>
                <w:color w:val="000000"/>
                <w:sz w:val="20"/>
                <w:lang w:eastAsia="es-CR"/>
              </w:rPr>
              <w:t>1</w:t>
            </w:r>
          </w:p>
        </w:tc>
        <w:tc>
          <w:tcPr>
            <w:tcW w:w="850" w:type="dxa"/>
            <w:tcBorders>
              <w:top w:val="nil"/>
              <w:left w:val="nil"/>
              <w:bottom w:val="nil"/>
              <w:right w:val="single" w:sz="4" w:space="0" w:color="auto"/>
            </w:tcBorders>
            <w:shd w:val="clear" w:color="auto" w:fill="auto"/>
            <w:noWrap/>
            <w:vAlign w:val="center"/>
            <w:hideMark/>
          </w:tcPr>
          <w:p w14:paraId="4939122F" w14:textId="77777777" w:rsidR="00101E63" w:rsidRPr="004E74A6" w:rsidRDefault="00101E63" w:rsidP="00832773">
            <w:pPr>
              <w:spacing w:line="276" w:lineRule="auto"/>
              <w:jc w:val="center"/>
              <w:rPr>
                <w:rFonts w:cs="Calibri"/>
                <w:color w:val="000000"/>
                <w:sz w:val="20"/>
                <w:lang w:eastAsia="es-CR"/>
              </w:rPr>
            </w:pPr>
            <w:r w:rsidRPr="004E74A6">
              <w:rPr>
                <w:rFonts w:cs="Calibri"/>
                <w:color w:val="000000"/>
                <w:sz w:val="20"/>
                <w:lang w:eastAsia="es-CR"/>
              </w:rPr>
              <w:t>3</w:t>
            </w:r>
          </w:p>
        </w:tc>
        <w:tc>
          <w:tcPr>
            <w:tcW w:w="1134" w:type="dxa"/>
            <w:tcBorders>
              <w:top w:val="nil"/>
              <w:left w:val="nil"/>
              <w:bottom w:val="nil"/>
              <w:right w:val="single" w:sz="4" w:space="0" w:color="auto"/>
            </w:tcBorders>
            <w:shd w:val="clear" w:color="auto" w:fill="auto"/>
            <w:noWrap/>
            <w:vAlign w:val="center"/>
            <w:hideMark/>
          </w:tcPr>
          <w:p w14:paraId="2D7B6B51" w14:textId="77777777" w:rsidR="00101E63" w:rsidRPr="004E74A6" w:rsidRDefault="00101E63" w:rsidP="00832773">
            <w:pPr>
              <w:spacing w:line="276" w:lineRule="auto"/>
              <w:jc w:val="center"/>
              <w:rPr>
                <w:rFonts w:cs="Calibri"/>
                <w:color w:val="000000"/>
                <w:sz w:val="20"/>
                <w:lang w:eastAsia="es-CR"/>
              </w:rPr>
            </w:pPr>
            <w:r w:rsidRPr="004E74A6">
              <w:rPr>
                <w:rFonts w:cs="Calibri"/>
                <w:color w:val="000000"/>
                <w:sz w:val="20"/>
                <w:lang w:eastAsia="es-CR"/>
              </w:rPr>
              <w:t>1</w:t>
            </w:r>
          </w:p>
        </w:tc>
        <w:tc>
          <w:tcPr>
            <w:tcW w:w="2381" w:type="dxa"/>
            <w:tcBorders>
              <w:top w:val="nil"/>
              <w:left w:val="single" w:sz="4" w:space="0" w:color="auto"/>
              <w:bottom w:val="nil"/>
              <w:right w:val="nil"/>
            </w:tcBorders>
            <w:vAlign w:val="bottom"/>
          </w:tcPr>
          <w:p w14:paraId="4A14DA51" w14:textId="5B4E1270" w:rsidR="00101E63" w:rsidRPr="004E74A6" w:rsidRDefault="00101E63" w:rsidP="00832773">
            <w:pPr>
              <w:spacing w:line="276" w:lineRule="auto"/>
              <w:jc w:val="center"/>
              <w:rPr>
                <w:rFonts w:cs="Calibri"/>
                <w:color w:val="000000"/>
                <w:sz w:val="20"/>
                <w:lang w:eastAsia="es-CR"/>
              </w:rPr>
            </w:pPr>
            <w:r w:rsidRPr="004E74A6">
              <w:rPr>
                <w:rFonts w:cs="Calibri"/>
                <w:color w:val="000000"/>
                <w:sz w:val="20"/>
              </w:rPr>
              <w:t>69%</w:t>
            </w:r>
          </w:p>
        </w:tc>
      </w:tr>
      <w:tr w:rsidR="00101E63" w:rsidRPr="004E74A6" w14:paraId="0EFDC789" w14:textId="0739A7CB" w:rsidTr="00B86E99">
        <w:trPr>
          <w:trHeight w:val="288"/>
          <w:jc w:val="center"/>
        </w:trPr>
        <w:tc>
          <w:tcPr>
            <w:tcW w:w="2835" w:type="dxa"/>
            <w:tcBorders>
              <w:top w:val="nil"/>
              <w:left w:val="nil"/>
              <w:bottom w:val="nil"/>
              <w:right w:val="single" w:sz="4" w:space="0" w:color="auto"/>
            </w:tcBorders>
            <w:shd w:val="clear" w:color="auto" w:fill="auto"/>
            <w:noWrap/>
            <w:vAlign w:val="bottom"/>
            <w:hideMark/>
          </w:tcPr>
          <w:p w14:paraId="520389D9" w14:textId="77777777" w:rsidR="00101E63" w:rsidRPr="004E74A6" w:rsidRDefault="00101E63" w:rsidP="00832773">
            <w:pPr>
              <w:spacing w:line="276" w:lineRule="auto"/>
              <w:jc w:val="left"/>
              <w:rPr>
                <w:rFonts w:cs="Calibri"/>
                <w:color w:val="000000"/>
                <w:sz w:val="20"/>
                <w:lang w:eastAsia="es-CR"/>
              </w:rPr>
            </w:pPr>
            <w:r w:rsidRPr="004E74A6">
              <w:rPr>
                <w:rFonts w:cs="Calibri"/>
                <w:color w:val="000000"/>
                <w:sz w:val="20"/>
                <w:lang w:eastAsia="es-CR"/>
              </w:rPr>
              <w:t>De ¢30.000.001 a ¢35.000.000</w:t>
            </w:r>
          </w:p>
        </w:tc>
        <w:tc>
          <w:tcPr>
            <w:tcW w:w="850" w:type="dxa"/>
            <w:tcBorders>
              <w:top w:val="nil"/>
              <w:left w:val="nil"/>
              <w:bottom w:val="nil"/>
              <w:right w:val="single" w:sz="4" w:space="0" w:color="auto"/>
            </w:tcBorders>
            <w:shd w:val="clear" w:color="auto" w:fill="auto"/>
            <w:noWrap/>
            <w:vAlign w:val="center"/>
            <w:hideMark/>
          </w:tcPr>
          <w:p w14:paraId="6CCC2C83" w14:textId="77777777" w:rsidR="00101E63" w:rsidRPr="004E74A6" w:rsidRDefault="00101E63" w:rsidP="00832773">
            <w:pPr>
              <w:spacing w:line="276" w:lineRule="auto"/>
              <w:jc w:val="center"/>
              <w:rPr>
                <w:rFonts w:cs="Calibri"/>
                <w:color w:val="000000"/>
                <w:sz w:val="20"/>
                <w:lang w:eastAsia="es-CR"/>
              </w:rPr>
            </w:pPr>
            <w:r w:rsidRPr="004E74A6">
              <w:rPr>
                <w:rFonts w:cs="Calibri"/>
                <w:color w:val="000000"/>
                <w:sz w:val="20"/>
                <w:lang w:eastAsia="es-CR"/>
              </w:rPr>
              <w:t>0</w:t>
            </w:r>
          </w:p>
        </w:tc>
        <w:tc>
          <w:tcPr>
            <w:tcW w:w="850" w:type="dxa"/>
            <w:tcBorders>
              <w:top w:val="nil"/>
              <w:left w:val="nil"/>
              <w:bottom w:val="nil"/>
              <w:right w:val="single" w:sz="4" w:space="0" w:color="auto"/>
            </w:tcBorders>
            <w:shd w:val="clear" w:color="auto" w:fill="auto"/>
            <w:noWrap/>
            <w:vAlign w:val="center"/>
            <w:hideMark/>
          </w:tcPr>
          <w:p w14:paraId="6FD47FE5" w14:textId="77777777" w:rsidR="00101E63" w:rsidRPr="004E74A6" w:rsidRDefault="00101E63" w:rsidP="00832773">
            <w:pPr>
              <w:spacing w:line="276" w:lineRule="auto"/>
              <w:jc w:val="center"/>
              <w:rPr>
                <w:rFonts w:cs="Calibri"/>
                <w:color w:val="000000"/>
                <w:sz w:val="20"/>
                <w:lang w:eastAsia="es-CR"/>
              </w:rPr>
            </w:pPr>
            <w:r w:rsidRPr="004E74A6">
              <w:rPr>
                <w:rFonts w:cs="Calibri"/>
                <w:color w:val="000000"/>
                <w:sz w:val="20"/>
                <w:lang w:eastAsia="es-CR"/>
              </w:rPr>
              <w:t>0</w:t>
            </w:r>
          </w:p>
        </w:tc>
        <w:tc>
          <w:tcPr>
            <w:tcW w:w="850" w:type="dxa"/>
            <w:tcBorders>
              <w:top w:val="nil"/>
              <w:left w:val="nil"/>
              <w:bottom w:val="nil"/>
              <w:right w:val="single" w:sz="4" w:space="0" w:color="auto"/>
            </w:tcBorders>
            <w:shd w:val="clear" w:color="auto" w:fill="auto"/>
            <w:noWrap/>
            <w:vAlign w:val="center"/>
            <w:hideMark/>
          </w:tcPr>
          <w:p w14:paraId="463B5A05" w14:textId="77777777" w:rsidR="00101E63" w:rsidRPr="004E74A6" w:rsidRDefault="00101E63" w:rsidP="00832773">
            <w:pPr>
              <w:spacing w:line="276" w:lineRule="auto"/>
              <w:jc w:val="center"/>
              <w:rPr>
                <w:rFonts w:cs="Calibri"/>
                <w:color w:val="000000"/>
                <w:sz w:val="20"/>
                <w:lang w:eastAsia="es-CR"/>
              </w:rPr>
            </w:pPr>
            <w:r w:rsidRPr="004E74A6">
              <w:rPr>
                <w:rFonts w:cs="Calibri"/>
                <w:color w:val="000000"/>
                <w:sz w:val="20"/>
                <w:lang w:eastAsia="es-CR"/>
              </w:rPr>
              <w:t>1</w:t>
            </w:r>
          </w:p>
        </w:tc>
        <w:tc>
          <w:tcPr>
            <w:tcW w:w="1134" w:type="dxa"/>
            <w:tcBorders>
              <w:top w:val="nil"/>
              <w:left w:val="nil"/>
              <w:bottom w:val="nil"/>
              <w:right w:val="single" w:sz="4" w:space="0" w:color="auto"/>
            </w:tcBorders>
            <w:shd w:val="clear" w:color="auto" w:fill="auto"/>
            <w:noWrap/>
            <w:vAlign w:val="center"/>
            <w:hideMark/>
          </w:tcPr>
          <w:p w14:paraId="6DF945F5" w14:textId="77777777" w:rsidR="00101E63" w:rsidRPr="004E74A6" w:rsidRDefault="00101E63" w:rsidP="00832773">
            <w:pPr>
              <w:spacing w:line="276" w:lineRule="auto"/>
              <w:jc w:val="center"/>
              <w:rPr>
                <w:rFonts w:cs="Calibri"/>
                <w:color w:val="000000"/>
                <w:sz w:val="20"/>
                <w:lang w:eastAsia="es-CR"/>
              </w:rPr>
            </w:pPr>
            <w:r w:rsidRPr="004E74A6">
              <w:rPr>
                <w:rFonts w:cs="Calibri"/>
                <w:color w:val="000000"/>
                <w:sz w:val="20"/>
                <w:lang w:eastAsia="es-CR"/>
              </w:rPr>
              <w:t>0</w:t>
            </w:r>
          </w:p>
        </w:tc>
        <w:tc>
          <w:tcPr>
            <w:tcW w:w="2381" w:type="dxa"/>
            <w:tcBorders>
              <w:top w:val="nil"/>
              <w:left w:val="single" w:sz="4" w:space="0" w:color="auto"/>
              <w:bottom w:val="nil"/>
              <w:right w:val="nil"/>
            </w:tcBorders>
            <w:vAlign w:val="bottom"/>
          </w:tcPr>
          <w:p w14:paraId="49E6BE28" w14:textId="5D2634EB" w:rsidR="00101E63" w:rsidRPr="004E74A6" w:rsidRDefault="00101E63" w:rsidP="00832773">
            <w:pPr>
              <w:spacing w:line="276" w:lineRule="auto"/>
              <w:jc w:val="center"/>
              <w:rPr>
                <w:rFonts w:cs="Calibri"/>
                <w:color w:val="000000"/>
                <w:sz w:val="20"/>
                <w:lang w:eastAsia="es-CR"/>
              </w:rPr>
            </w:pPr>
            <w:r w:rsidRPr="004E74A6">
              <w:rPr>
                <w:rFonts w:cs="Calibri"/>
                <w:color w:val="000000"/>
                <w:sz w:val="20"/>
              </w:rPr>
              <w:t>71%</w:t>
            </w:r>
          </w:p>
        </w:tc>
      </w:tr>
      <w:tr w:rsidR="00101E63" w:rsidRPr="004E74A6" w14:paraId="4027D3BC" w14:textId="5BA84611" w:rsidTr="00B86E99">
        <w:trPr>
          <w:trHeight w:val="288"/>
          <w:jc w:val="center"/>
        </w:trPr>
        <w:tc>
          <w:tcPr>
            <w:tcW w:w="2835" w:type="dxa"/>
            <w:tcBorders>
              <w:top w:val="nil"/>
              <w:left w:val="nil"/>
              <w:bottom w:val="nil"/>
              <w:right w:val="single" w:sz="4" w:space="0" w:color="auto"/>
            </w:tcBorders>
            <w:shd w:val="clear" w:color="auto" w:fill="auto"/>
            <w:noWrap/>
            <w:vAlign w:val="bottom"/>
            <w:hideMark/>
          </w:tcPr>
          <w:p w14:paraId="38DC8C3E" w14:textId="77777777" w:rsidR="00101E63" w:rsidRPr="004E74A6" w:rsidRDefault="00101E63" w:rsidP="00832773">
            <w:pPr>
              <w:spacing w:line="276" w:lineRule="auto"/>
              <w:jc w:val="left"/>
              <w:rPr>
                <w:rFonts w:cs="Calibri"/>
                <w:color w:val="000000"/>
                <w:sz w:val="20"/>
                <w:lang w:eastAsia="es-CR"/>
              </w:rPr>
            </w:pPr>
            <w:r w:rsidRPr="004E74A6">
              <w:rPr>
                <w:rFonts w:cs="Calibri"/>
                <w:color w:val="000000"/>
                <w:sz w:val="20"/>
                <w:lang w:eastAsia="es-CR"/>
              </w:rPr>
              <w:t>De ¢35.000.001 a ¢40.000.000</w:t>
            </w:r>
          </w:p>
        </w:tc>
        <w:tc>
          <w:tcPr>
            <w:tcW w:w="850" w:type="dxa"/>
            <w:tcBorders>
              <w:top w:val="nil"/>
              <w:left w:val="nil"/>
              <w:bottom w:val="nil"/>
              <w:right w:val="single" w:sz="4" w:space="0" w:color="auto"/>
            </w:tcBorders>
            <w:shd w:val="clear" w:color="auto" w:fill="auto"/>
            <w:noWrap/>
            <w:vAlign w:val="center"/>
            <w:hideMark/>
          </w:tcPr>
          <w:p w14:paraId="7FFCE635" w14:textId="77777777" w:rsidR="00101E63" w:rsidRPr="004E74A6" w:rsidRDefault="00101E63" w:rsidP="00832773">
            <w:pPr>
              <w:spacing w:line="276" w:lineRule="auto"/>
              <w:jc w:val="center"/>
              <w:rPr>
                <w:rFonts w:cs="Calibri"/>
                <w:color w:val="000000"/>
                <w:sz w:val="20"/>
                <w:lang w:eastAsia="es-CR"/>
              </w:rPr>
            </w:pPr>
            <w:r w:rsidRPr="004E74A6">
              <w:rPr>
                <w:rFonts w:cs="Calibri"/>
                <w:color w:val="000000"/>
                <w:sz w:val="20"/>
                <w:lang w:eastAsia="es-CR"/>
              </w:rPr>
              <w:t>0</w:t>
            </w:r>
          </w:p>
        </w:tc>
        <w:tc>
          <w:tcPr>
            <w:tcW w:w="850" w:type="dxa"/>
            <w:tcBorders>
              <w:top w:val="nil"/>
              <w:left w:val="nil"/>
              <w:bottom w:val="nil"/>
              <w:right w:val="single" w:sz="4" w:space="0" w:color="auto"/>
            </w:tcBorders>
            <w:shd w:val="clear" w:color="auto" w:fill="auto"/>
            <w:noWrap/>
            <w:vAlign w:val="center"/>
            <w:hideMark/>
          </w:tcPr>
          <w:p w14:paraId="24188E98" w14:textId="77777777" w:rsidR="00101E63" w:rsidRPr="004E74A6" w:rsidRDefault="00101E63" w:rsidP="00832773">
            <w:pPr>
              <w:spacing w:line="276" w:lineRule="auto"/>
              <w:jc w:val="center"/>
              <w:rPr>
                <w:rFonts w:cs="Calibri"/>
                <w:color w:val="000000"/>
                <w:sz w:val="20"/>
                <w:lang w:eastAsia="es-CR"/>
              </w:rPr>
            </w:pPr>
            <w:r w:rsidRPr="004E74A6">
              <w:rPr>
                <w:rFonts w:cs="Calibri"/>
                <w:color w:val="000000"/>
                <w:sz w:val="20"/>
                <w:lang w:eastAsia="es-CR"/>
              </w:rPr>
              <w:t>0</w:t>
            </w:r>
          </w:p>
        </w:tc>
        <w:tc>
          <w:tcPr>
            <w:tcW w:w="850" w:type="dxa"/>
            <w:tcBorders>
              <w:top w:val="nil"/>
              <w:left w:val="nil"/>
              <w:bottom w:val="nil"/>
              <w:right w:val="single" w:sz="4" w:space="0" w:color="auto"/>
            </w:tcBorders>
            <w:shd w:val="clear" w:color="auto" w:fill="auto"/>
            <w:noWrap/>
            <w:vAlign w:val="center"/>
            <w:hideMark/>
          </w:tcPr>
          <w:p w14:paraId="5D232320" w14:textId="77777777" w:rsidR="00101E63" w:rsidRPr="004E74A6" w:rsidRDefault="00101E63" w:rsidP="00832773">
            <w:pPr>
              <w:spacing w:line="276" w:lineRule="auto"/>
              <w:jc w:val="center"/>
              <w:rPr>
                <w:rFonts w:cs="Calibri"/>
                <w:color w:val="000000"/>
                <w:sz w:val="20"/>
                <w:lang w:eastAsia="es-CR"/>
              </w:rPr>
            </w:pPr>
            <w:r w:rsidRPr="004E74A6">
              <w:rPr>
                <w:rFonts w:cs="Calibri"/>
                <w:color w:val="000000"/>
                <w:sz w:val="20"/>
                <w:lang w:eastAsia="es-CR"/>
              </w:rPr>
              <w:t>1</w:t>
            </w:r>
          </w:p>
        </w:tc>
        <w:tc>
          <w:tcPr>
            <w:tcW w:w="1134" w:type="dxa"/>
            <w:tcBorders>
              <w:top w:val="nil"/>
              <w:left w:val="nil"/>
              <w:bottom w:val="nil"/>
              <w:right w:val="single" w:sz="4" w:space="0" w:color="auto"/>
            </w:tcBorders>
            <w:shd w:val="clear" w:color="auto" w:fill="auto"/>
            <w:noWrap/>
            <w:vAlign w:val="center"/>
            <w:hideMark/>
          </w:tcPr>
          <w:p w14:paraId="28076E86" w14:textId="77777777" w:rsidR="00101E63" w:rsidRPr="004E74A6" w:rsidRDefault="00101E63" w:rsidP="00832773">
            <w:pPr>
              <w:spacing w:line="276" w:lineRule="auto"/>
              <w:jc w:val="center"/>
              <w:rPr>
                <w:rFonts w:cs="Calibri"/>
                <w:color w:val="000000"/>
                <w:sz w:val="20"/>
                <w:lang w:eastAsia="es-CR"/>
              </w:rPr>
            </w:pPr>
            <w:r w:rsidRPr="004E74A6">
              <w:rPr>
                <w:rFonts w:cs="Calibri"/>
                <w:color w:val="000000"/>
                <w:sz w:val="20"/>
                <w:lang w:eastAsia="es-CR"/>
              </w:rPr>
              <w:t>0</w:t>
            </w:r>
          </w:p>
        </w:tc>
        <w:tc>
          <w:tcPr>
            <w:tcW w:w="2381" w:type="dxa"/>
            <w:tcBorders>
              <w:top w:val="nil"/>
              <w:left w:val="single" w:sz="4" w:space="0" w:color="auto"/>
              <w:bottom w:val="nil"/>
              <w:right w:val="nil"/>
            </w:tcBorders>
            <w:vAlign w:val="bottom"/>
          </w:tcPr>
          <w:p w14:paraId="6194E3D3" w14:textId="1DC905B2" w:rsidR="00101E63" w:rsidRPr="004E74A6" w:rsidRDefault="00101E63" w:rsidP="00832773">
            <w:pPr>
              <w:spacing w:line="276" w:lineRule="auto"/>
              <w:jc w:val="center"/>
              <w:rPr>
                <w:rFonts w:cs="Calibri"/>
                <w:color w:val="000000"/>
                <w:sz w:val="20"/>
                <w:lang w:eastAsia="es-CR"/>
              </w:rPr>
            </w:pPr>
            <w:r w:rsidRPr="004E74A6">
              <w:rPr>
                <w:rFonts w:cs="Calibri"/>
                <w:color w:val="000000"/>
                <w:sz w:val="20"/>
              </w:rPr>
              <w:t>73%</w:t>
            </w:r>
          </w:p>
        </w:tc>
      </w:tr>
      <w:tr w:rsidR="00101E63" w:rsidRPr="004E74A6" w14:paraId="5C582681" w14:textId="2AEA9A77" w:rsidTr="00B86E99">
        <w:trPr>
          <w:trHeight w:val="288"/>
          <w:jc w:val="center"/>
        </w:trPr>
        <w:tc>
          <w:tcPr>
            <w:tcW w:w="2835" w:type="dxa"/>
            <w:tcBorders>
              <w:top w:val="nil"/>
              <w:left w:val="nil"/>
              <w:bottom w:val="nil"/>
              <w:right w:val="single" w:sz="4" w:space="0" w:color="auto"/>
            </w:tcBorders>
            <w:shd w:val="clear" w:color="auto" w:fill="auto"/>
            <w:noWrap/>
            <w:vAlign w:val="bottom"/>
            <w:hideMark/>
          </w:tcPr>
          <w:p w14:paraId="52F2B0F5" w14:textId="77777777" w:rsidR="00101E63" w:rsidRPr="004E74A6" w:rsidRDefault="00101E63" w:rsidP="00832773">
            <w:pPr>
              <w:spacing w:line="276" w:lineRule="auto"/>
              <w:jc w:val="left"/>
              <w:rPr>
                <w:rFonts w:cs="Calibri"/>
                <w:color w:val="000000"/>
                <w:sz w:val="20"/>
                <w:lang w:eastAsia="es-CR"/>
              </w:rPr>
            </w:pPr>
            <w:r w:rsidRPr="004E74A6">
              <w:rPr>
                <w:rFonts w:cs="Calibri"/>
                <w:color w:val="000000"/>
                <w:sz w:val="20"/>
                <w:lang w:eastAsia="es-CR"/>
              </w:rPr>
              <w:t>De ¢95.000.001 a ¢100.000.000</w:t>
            </w:r>
          </w:p>
        </w:tc>
        <w:tc>
          <w:tcPr>
            <w:tcW w:w="850" w:type="dxa"/>
            <w:tcBorders>
              <w:top w:val="nil"/>
              <w:left w:val="nil"/>
              <w:bottom w:val="nil"/>
              <w:right w:val="single" w:sz="4" w:space="0" w:color="auto"/>
            </w:tcBorders>
            <w:shd w:val="clear" w:color="auto" w:fill="auto"/>
            <w:noWrap/>
            <w:vAlign w:val="center"/>
            <w:hideMark/>
          </w:tcPr>
          <w:p w14:paraId="437B82CB" w14:textId="77777777" w:rsidR="00101E63" w:rsidRPr="004E74A6" w:rsidRDefault="00101E63" w:rsidP="00832773">
            <w:pPr>
              <w:spacing w:line="276" w:lineRule="auto"/>
              <w:jc w:val="center"/>
              <w:rPr>
                <w:rFonts w:cs="Calibri"/>
                <w:color w:val="000000"/>
                <w:sz w:val="20"/>
                <w:lang w:eastAsia="es-CR"/>
              </w:rPr>
            </w:pPr>
            <w:r w:rsidRPr="004E74A6">
              <w:rPr>
                <w:rFonts w:cs="Calibri"/>
                <w:color w:val="000000"/>
                <w:sz w:val="20"/>
                <w:lang w:eastAsia="es-CR"/>
              </w:rPr>
              <w:t>1</w:t>
            </w:r>
          </w:p>
        </w:tc>
        <w:tc>
          <w:tcPr>
            <w:tcW w:w="850" w:type="dxa"/>
            <w:tcBorders>
              <w:top w:val="nil"/>
              <w:left w:val="nil"/>
              <w:bottom w:val="nil"/>
              <w:right w:val="single" w:sz="4" w:space="0" w:color="auto"/>
            </w:tcBorders>
            <w:shd w:val="clear" w:color="auto" w:fill="auto"/>
            <w:noWrap/>
            <w:vAlign w:val="center"/>
            <w:hideMark/>
          </w:tcPr>
          <w:p w14:paraId="74556CC6" w14:textId="77777777" w:rsidR="00101E63" w:rsidRPr="004E74A6" w:rsidRDefault="00101E63" w:rsidP="00832773">
            <w:pPr>
              <w:spacing w:line="276" w:lineRule="auto"/>
              <w:jc w:val="center"/>
              <w:rPr>
                <w:rFonts w:cs="Calibri"/>
                <w:color w:val="000000"/>
                <w:sz w:val="20"/>
                <w:lang w:eastAsia="es-CR"/>
              </w:rPr>
            </w:pPr>
            <w:r w:rsidRPr="004E74A6">
              <w:rPr>
                <w:rFonts w:cs="Calibri"/>
                <w:color w:val="000000"/>
                <w:sz w:val="20"/>
                <w:lang w:eastAsia="es-CR"/>
              </w:rPr>
              <w:t>0</w:t>
            </w:r>
          </w:p>
        </w:tc>
        <w:tc>
          <w:tcPr>
            <w:tcW w:w="850" w:type="dxa"/>
            <w:tcBorders>
              <w:top w:val="nil"/>
              <w:left w:val="nil"/>
              <w:bottom w:val="nil"/>
              <w:right w:val="single" w:sz="4" w:space="0" w:color="auto"/>
            </w:tcBorders>
            <w:shd w:val="clear" w:color="auto" w:fill="auto"/>
            <w:noWrap/>
            <w:vAlign w:val="center"/>
            <w:hideMark/>
          </w:tcPr>
          <w:p w14:paraId="0C3AEFA1" w14:textId="77777777" w:rsidR="00101E63" w:rsidRPr="004E74A6" w:rsidRDefault="00101E63" w:rsidP="00832773">
            <w:pPr>
              <w:spacing w:line="276" w:lineRule="auto"/>
              <w:jc w:val="center"/>
              <w:rPr>
                <w:rFonts w:cs="Calibri"/>
                <w:color w:val="000000"/>
                <w:sz w:val="20"/>
                <w:lang w:eastAsia="es-CR"/>
              </w:rPr>
            </w:pPr>
            <w:r w:rsidRPr="004E74A6">
              <w:rPr>
                <w:rFonts w:cs="Calibri"/>
                <w:color w:val="000000"/>
                <w:sz w:val="20"/>
                <w:lang w:eastAsia="es-CR"/>
              </w:rPr>
              <w:t>0</w:t>
            </w:r>
          </w:p>
        </w:tc>
        <w:tc>
          <w:tcPr>
            <w:tcW w:w="1134" w:type="dxa"/>
            <w:tcBorders>
              <w:top w:val="nil"/>
              <w:left w:val="nil"/>
              <w:bottom w:val="nil"/>
              <w:right w:val="single" w:sz="4" w:space="0" w:color="auto"/>
            </w:tcBorders>
            <w:shd w:val="clear" w:color="auto" w:fill="auto"/>
            <w:noWrap/>
            <w:vAlign w:val="center"/>
            <w:hideMark/>
          </w:tcPr>
          <w:p w14:paraId="4C07A52A" w14:textId="77777777" w:rsidR="00101E63" w:rsidRPr="004E74A6" w:rsidRDefault="00101E63" w:rsidP="00832773">
            <w:pPr>
              <w:spacing w:line="276" w:lineRule="auto"/>
              <w:jc w:val="center"/>
              <w:rPr>
                <w:rFonts w:cs="Calibri"/>
                <w:color w:val="000000"/>
                <w:sz w:val="20"/>
                <w:lang w:eastAsia="es-CR"/>
              </w:rPr>
            </w:pPr>
            <w:r w:rsidRPr="004E74A6">
              <w:rPr>
                <w:rFonts w:cs="Calibri"/>
                <w:color w:val="000000"/>
                <w:sz w:val="20"/>
                <w:lang w:eastAsia="es-CR"/>
              </w:rPr>
              <w:t>0</w:t>
            </w:r>
          </w:p>
        </w:tc>
        <w:tc>
          <w:tcPr>
            <w:tcW w:w="2381" w:type="dxa"/>
            <w:tcBorders>
              <w:top w:val="nil"/>
              <w:left w:val="single" w:sz="4" w:space="0" w:color="auto"/>
              <w:bottom w:val="nil"/>
              <w:right w:val="nil"/>
            </w:tcBorders>
            <w:vAlign w:val="bottom"/>
          </w:tcPr>
          <w:p w14:paraId="053484E6" w14:textId="43EC4DD6" w:rsidR="00101E63" w:rsidRPr="004E74A6" w:rsidRDefault="00101E63" w:rsidP="00832773">
            <w:pPr>
              <w:spacing w:line="276" w:lineRule="auto"/>
              <w:jc w:val="center"/>
              <w:rPr>
                <w:rFonts w:cs="Calibri"/>
                <w:color w:val="000000"/>
                <w:sz w:val="20"/>
                <w:lang w:eastAsia="es-CR"/>
              </w:rPr>
            </w:pPr>
            <w:r w:rsidRPr="004E74A6">
              <w:rPr>
                <w:rFonts w:cs="Calibri"/>
                <w:color w:val="000000"/>
                <w:sz w:val="20"/>
              </w:rPr>
              <w:t>76%</w:t>
            </w:r>
          </w:p>
        </w:tc>
      </w:tr>
      <w:tr w:rsidR="00101E63" w:rsidRPr="004E74A6" w14:paraId="741EE283" w14:textId="4FCAA4B6" w:rsidTr="00B86E99">
        <w:trPr>
          <w:trHeight w:val="288"/>
          <w:jc w:val="center"/>
        </w:trPr>
        <w:tc>
          <w:tcPr>
            <w:tcW w:w="2835" w:type="dxa"/>
            <w:tcBorders>
              <w:top w:val="nil"/>
              <w:left w:val="nil"/>
              <w:bottom w:val="nil"/>
              <w:right w:val="single" w:sz="4" w:space="0" w:color="auto"/>
            </w:tcBorders>
            <w:shd w:val="clear" w:color="auto" w:fill="auto"/>
            <w:noWrap/>
            <w:vAlign w:val="bottom"/>
            <w:hideMark/>
          </w:tcPr>
          <w:p w14:paraId="3CCA126F" w14:textId="77777777" w:rsidR="00101E63" w:rsidRPr="004E74A6" w:rsidRDefault="00101E63" w:rsidP="00832773">
            <w:pPr>
              <w:spacing w:line="276" w:lineRule="auto"/>
              <w:jc w:val="left"/>
              <w:rPr>
                <w:rFonts w:cs="Calibri"/>
                <w:color w:val="000000"/>
                <w:sz w:val="20"/>
                <w:lang w:eastAsia="es-CR"/>
              </w:rPr>
            </w:pPr>
            <w:r w:rsidRPr="004E74A6">
              <w:rPr>
                <w:rFonts w:cs="Calibri"/>
                <w:color w:val="000000"/>
                <w:sz w:val="20"/>
                <w:lang w:eastAsia="es-CR"/>
              </w:rPr>
              <w:t>Más de ¢100.000.000</w:t>
            </w:r>
          </w:p>
        </w:tc>
        <w:tc>
          <w:tcPr>
            <w:tcW w:w="850" w:type="dxa"/>
            <w:tcBorders>
              <w:top w:val="nil"/>
              <w:left w:val="nil"/>
              <w:bottom w:val="nil"/>
              <w:right w:val="single" w:sz="4" w:space="0" w:color="auto"/>
            </w:tcBorders>
            <w:shd w:val="clear" w:color="auto" w:fill="auto"/>
            <w:noWrap/>
            <w:vAlign w:val="center"/>
            <w:hideMark/>
          </w:tcPr>
          <w:p w14:paraId="2F31F18F" w14:textId="77777777" w:rsidR="00101E63" w:rsidRPr="004E74A6" w:rsidRDefault="00101E63" w:rsidP="00832773">
            <w:pPr>
              <w:spacing w:line="276" w:lineRule="auto"/>
              <w:jc w:val="center"/>
              <w:rPr>
                <w:rFonts w:cs="Calibri"/>
                <w:color w:val="000000"/>
                <w:sz w:val="20"/>
                <w:lang w:eastAsia="es-CR"/>
              </w:rPr>
            </w:pPr>
            <w:r w:rsidRPr="004E74A6">
              <w:rPr>
                <w:rFonts w:cs="Calibri"/>
                <w:color w:val="000000"/>
                <w:sz w:val="20"/>
                <w:lang w:eastAsia="es-CR"/>
              </w:rPr>
              <w:t>0</w:t>
            </w:r>
          </w:p>
        </w:tc>
        <w:tc>
          <w:tcPr>
            <w:tcW w:w="850" w:type="dxa"/>
            <w:tcBorders>
              <w:top w:val="nil"/>
              <w:left w:val="nil"/>
              <w:bottom w:val="nil"/>
              <w:right w:val="single" w:sz="4" w:space="0" w:color="auto"/>
            </w:tcBorders>
            <w:shd w:val="clear" w:color="auto" w:fill="auto"/>
            <w:noWrap/>
            <w:vAlign w:val="center"/>
            <w:hideMark/>
          </w:tcPr>
          <w:p w14:paraId="2A0CCE7F" w14:textId="77777777" w:rsidR="00101E63" w:rsidRPr="004E74A6" w:rsidRDefault="00101E63" w:rsidP="00832773">
            <w:pPr>
              <w:spacing w:line="276" w:lineRule="auto"/>
              <w:jc w:val="center"/>
              <w:rPr>
                <w:rFonts w:cs="Calibri"/>
                <w:color w:val="000000"/>
                <w:sz w:val="20"/>
                <w:lang w:eastAsia="es-CR"/>
              </w:rPr>
            </w:pPr>
            <w:r w:rsidRPr="004E74A6">
              <w:rPr>
                <w:rFonts w:cs="Calibri"/>
                <w:color w:val="000000"/>
                <w:sz w:val="20"/>
                <w:lang w:eastAsia="es-CR"/>
              </w:rPr>
              <w:t>0</w:t>
            </w:r>
          </w:p>
        </w:tc>
        <w:tc>
          <w:tcPr>
            <w:tcW w:w="850" w:type="dxa"/>
            <w:tcBorders>
              <w:top w:val="nil"/>
              <w:left w:val="nil"/>
              <w:bottom w:val="nil"/>
              <w:right w:val="single" w:sz="4" w:space="0" w:color="auto"/>
            </w:tcBorders>
            <w:shd w:val="clear" w:color="auto" w:fill="auto"/>
            <w:noWrap/>
            <w:vAlign w:val="center"/>
            <w:hideMark/>
          </w:tcPr>
          <w:p w14:paraId="485AA5EB" w14:textId="77777777" w:rsidR="00101E63" w:rsidRPr="004E74A6" w:rsidRDefault="00101E63" w:rsidP="00832773">
            <w:pPr>
              <w:spacing w:line="276" w:lineRule="auto"/>
              <w:jc w:val="center"/>
              <w:rPr>
                <w:rFonts w:cs="Calibri"/>
                <w:color w:val="000000"/>
                <w:sz w:val="20"/>
                <w:lang w:eastAsia="es-CR"/>
              </w:rPr>
            </w:pPr>
            <w:r w:rsidRPr="004E74A6">
              <w:rPr>
                <w:rFonts w:cs="Calibri"/>
                <w:color w:val="000000"/>
                <w:sz w:val="20"/>
                <w:lang w:eastAsia="es-CR"/>
              </w:rPr>
              <w:t>3</w:t>
            </w:r>
          </w:p>
        </w:tc>
        <w:tc>
          <w:tcPr>
            <w:tcW w:w="1134" w:type="dxa"/>
            <w:tcBorders>
              <w:top w:val="nil"/>
              <w:left w:val="nil"/>
              <w:bottom w:val="nil"/>
              <w:right w:val="single" w:sz="4" w:space="0" w:color="auto"/>
            </w:tcBorders>
            <w:shd w:val="clear" w:color="auto" w:fill="auto"/>
            <w:noWrap/>
            <w:vAlign w:val="center"/>
            <w:hideMark/>
          </w:tcPr>
          <w:p w14:paraId="589C02A9" w14:textId="77777777" w:rsidR="00101E63" w:rsidRPr="004E74A6" w:rsidRDefault="00101E63" w:rsidP="00832773">
            <w:pPr>
              <w:spacing w:line="276" w:lineRule="auto"/>
              <w:jc w:val="center"/>
              <w:rPr>
                <w:rFonts w:cs="Calibri"/>
                <w:color w:val="000000"/>
                <w:sz w:val="20"/>
                <w:lang w:eastAsia="es-CR"/>
              </w:rPr>
            </w:pPr>
            <w:r w:rsidRPr="004E74A6">
              <w:rPr>
                <w:rFonts w:cs="Calibri"/>
                <w:color w:val="000000"/>
                <w:sz w:val="20"/>
                <w:lang w:eastAsia="es-CR"/>
              </w:rPr>
              <w:t>1</w:t>
            </w:r>
          </w:p>
        </w:tc>
        <w:tc>
          <w:tcPr>
            <w:tcW w:w="2381" w:type="dxa"/>
            <w:tcBorders>
              <w:top w:val="nil"/>
              <w:left w:val="single" w:sz="4" w:space="0" w:color="auto"/>
              <w:bottom w:val="nil"/>
              <w:right w:val="nil"/>
            </w:tcBorders>
            <w:vAlign w:val="bottom"/>
          </w:tcPr>
          <w:p w14:paraId="2C1DB9A7" w14:textId="5B72F238" w:rsidR="00101E63" w:rsidRPr="004E74A6" w:rsidRDefault="00101E63" w:rsidP="00832773">
            <w:pPr>
              <w:spacing w:line="276" w:lineRule="auto"/>
              <w:jc w:val="center"/>
              <w:rPr>
                <w:rFonts w:cs="Calibri"/>
                <w:color w:val="000000"/>
                <w:sz w:val="20"/>
                <w:lang w:eastAsia="es-CR"/>
              </w:rPr>
            </w:pPr>
            <w:r w:rsidRPr="004E74A6">
              <w:rPr>
                <w:rFonts w:cs="Calibri"/>
                <w:color w:val="000000"/>
                <w:sz w:val="20"/>
              </w:rPr>
              <w:t>82%</w:t>
            </w:r>
          </w:p>
        </w:tc>
      </w:tr>
      <w:tr w:rsidR="00101E63" w:rsidRPr="004E74A6" w14:paraId="4D69EABE" w14:textId="30EFF6CC" w:rsidTr="00B86E99">
        <w:trPr>
          <w:trHeight w:val="288"/>
          <w:jc w:val="center"/>
        </w:trPr>
        <w:tc>
          <w:tcPr>
            <w:tcW w:w="2835" w:type="dxa"/>
            <w:tcBorders>
              <w:top w:val="nil"/>
              <w:left w:val="nil"/>
              <w:bottom w:val="nil"/>
              <w:right w:val="single" w:sz="4" w:space="0" w:color="auto"/>
            </w:tcBorders>
            <w:shd w:val="clear" w:color="auto" w:fill="auto"/>
            <w:noWrap/>
            <w:vAlign w:val="bottom"/>
            <w:hideMark/>
          </w:tcPr>
          <w:p w14:paraId="5FE4A29D" w14:textId="77777777" w:rsidR="00101E63" w:rsidRPr="004E74A6" w:rsidRDefault="00101E63" w:rsidP="00832773">
            <w:pPr>
              <w:spacing w:line="276" w:lineRule="auto"/>
              <w:jc w:val="left"/>
              <w:rPr>
                <w:rFonts w:cs="Calibri"/>
                <w:color w:val="ED7D31" w:themeColor="accent2"/>
                <w:sz w:val="20"/>
                <w:lang w:eastAsia="es-CR"/>
              </w:rPr>
            </w:pPr>
            <w:r w:rsidRPr="004E74A6">
              <w:rPr>
                <w:rFonts w:cs="Calibri"/>
                <w:color w:val="ED7D31" w:themeColor="accent2"/>
                <w:sz w:val="20"/>
                <w:lang w:eastAsia="es-CR"/>
              </w:rPr>
              <w:t>Expedientes Cuantía Cero</w:t>
            </w:r>
          </w:p>
        </w:tc>
        <w:tc>
          <w:tcPr>
            <w:tcW w:w="850" w:type="dxa"/>
            <w:tcBorders>
              <w:top w:val="nil"/>
              <w:left w:val="nil"/>
              <w:bottom w:val="nil"/>
              <w:right w:val="single" w:sz="4" w:space="0" w:color="auto"/>
            </w:tcBorders>
            <w:shd w:val="clear" w:color="auto" w:fill="auto"/>
            <w:noWrap/>
            <w:vAlign w:val="center"/>
            <w:hideMark/>
          </w:tcPr>
          <w:p w14:paraId="613F57F2" w14:textId="77777777" w:rsidR="00101E63" w:rsidRPr="004E74A6" w:rsidRDefault="00101E63" w:rsidP="00832773">
            <w:pPr>
              <w:spacing w:line="276" w:lineRule="auto"/>
              <w:jc w:val="center"/>
              <w:rPr>
                <w:rFonts w:cs="Calibri"/>
                <w:color w:val="ED7D31" w:themeColor="accent2"/>
                <w:sz w:val="20"/>
                <w:lang w:eastAsia="es-CR"/>
              </w:rPr>
            </w:pPr>
            <w:r w:rsidRPr="004E74A6">
              <w:rPr>
                <w:rFonts w:cs="Calibri"/>
                <w:color w:val="ED7D31" w:themeColor="accent2"/>
                <w:sz w:val="20"/>
                <w:lang w:eastAsia="es-CR"/>
              </w:rPr>
              <w:t>1</w:t>
            </w:r>
          </w:p>
        </w:tc>
        <w:tc>
          <w:tcPr>
            <w:tcW w:w="850" w:type="dxa"/>
            <w:tcBorders>
              <w:top w:val="nil"/>
              <w:left w:val="nil"/>
              <w:bottom w:val="nil"/>
              <w:right w:val="single" w:sz="4" w:space="0" w:color="auto"/>
            </w:tcBorders>
            <w:shd w:val="clear" w:color="auto" w:fill="auto"/>
            <w:noWrap/>
            <w:vAlign w:val="center"/>
            <w:hideMark/>
          </w:tcPr>
          <w:p w14:paraId="561DC2DE" w14:textId="77777777" w:rsidR="00101E63" w:rsidRPr="004E74A6" w:rsidRDefault="00101E63" w:rsidP="00832773">
            <w:pPr>
              <w:spacing w:line="276" w:lineRule="auto"/>
              <w:jc w:val="center"/>
              <w:rPr>
                <w:rFonts w:cs="Calibri"/>
                <w:color w:val="ED7D31" w:themeColor="accent2"/>
                <w:sz w:val="20"/>
                <w:lang w:eastAsia="es-CR"/>
              </w:rPr>
            </w:pPr>
            <w:r w:rsidRPr="004E74A6">
              <w:rPr>
                <w:rFonts w:cs="Calibri"/>
                <w:color w:val="ED7D31" w:themeColor="accent2"/>
                <w:sz w:val="20"/>
                <w:lang w:eastAsia="es-CR"/>
              </w:rPr>
              <w:t>8</w:t>
            </w:r>
          </w:p>
        </w:tc>
        <w:tc>
          <w:tcPr>
            <w:tcW w:w="850" w:type="dxa"/>
            <w:tcBorders>
              <w:top w:val="nil"/>
              <w:left w:val="nil"/>
              <w:bottom w:val="nil"/>
              <w:right w:val="single" w:sz="4" w:space="0" w:color="auto"/>
            </w:tcBorders>
            <w:shd w:val="clear" w:color="auto" w:fill="auto"/>
            <w:noWrap/>
            <w:vAlign w:val="center"/>
            <w:hideMark/>
          </w:tcPr>
          <w:p w14:paraId="4EC9A453" w14:textId="77777777" w:rsidR="00101E63" w:rsidRPr="004E74A6" w:rsidRDefault="00101E63" w:rsidP="00832773">
            <w:pPr>
              <w:spacing w:line="276" w:lineRule="auto"/>
              <w:jc w:val="center"/>
              <w:rPr>
                <w:rFonts w:cs="Calibri"/>
                <w:color w:val="ED7D31" w:themeColor="accent2"/>
                <w:sz w:val="20"/>
                <w:lang w:eastAsia="es-CR"/>
              </w:rPr>
            </w:pPr>
            <w:r w:rsidRPr="004E74A6">
              <w:rPr>
                <w:rFonts w:cs="Calibri"/>
                <w:color w:val="ED7D31" w:themeColor="accent2"/>
                <w:sz w:val="20"/>
                <w:lang w:eastAsia="es-CR"/>
              </w:rPr>
              <w:t>0</w:t>
            </w:r>
          </w:p>
        </w:tc>
        <w:tc>
          <w:tcPr>
            <w:tcW w:w="1134" w:type="dxa"/>
            <w:tcBorders>
              <w:top w:val="nil"/>
              <w:left w:val="nil"/>
              <w:bottom w:val="nil"/>
              <w:right w:val="single" w:sz="4" w:space="0" w:color="auto"/>
            </w:tcBorders>
            <w:shd w:val="clear" w:color="auto" w:fill="auto"/>
            <w:noWrap/>
            <w:vAlign w:val="center"/>
            <w:hideMark/>
          </w:tcPr>
          <w:p w14:paraId="28B1F0A6" w14:textId="77777777" w:rsidR="00101E63" w:rsidRPr="004E74A6" w:rsidRDefault="00101E63" w:rsidP="00832773">
            <w:pPr>
              <w:spacing w:line="276" w:lineRule="auto"/>
              <w:jc w:val="center"/>
              <w:rPr>
                <w:rFonts w:cs="Calibri"/>
                <w:color w:val="ED7D31" w:themeColor="accent2"/>
                <w:sz w:val="20"/>
                <w:lang w:eastAsia="es-CR"/>
              </w:rPr>
            </w:pPr>
            <w:r w:rsidRPr="004E74A6">
              <w:rPr>
                <w:rFonts w:cs="Calibri"/>
                <w:color w:val="ED7D31" w:themeColor="accent2"/>
                <w:sz w:val="20"/>
                <w:lang w:eastAsia="es-CR"/>
              </w:rPr>
              <w:t>3</w:t>
            </w:r>
          </w:p>
        </w:tc>
        <w:tc>
          <w:tcPr>
            <w:tcW w:w="2381" w:type="dxa"/>
            <w:tcBorders>
              <w:top w:val="nil"/>
              <w:left w:val="single" w:sz="4" w:space="0" w:color="auto"/>
              <w:bottom w:val="nil"/>
              <w:right w:val="nil"/>
            </w:tcBorders>
            <w:vAlign w:val="bottom"/>
          </w:tcPr>
          <w:p w14:paraId="00DBBCC4" w14:textId="63C32243" w:rsidR="00101E63" w:rsidRPr="004E74A6" w:rsidRDefault="00101E63" w:rsidP="00832773">
            <w:pPr>
              <w:spacing w:line="276" w:lineRule="auto"/>
              <w:jc w:val="center"/>
              <w:rPr>
                <w:rFonts w:cs="Calibri"/>
                <w:color w:val="ED7D31" w:themeColor="accent2"/>
                <w:sz w:val="20"/>
                <w:lang w:eastAsia="es-CR"/>
              </w:rPr>
            </w:pPr>
            <w:r w:rsidRPr="004E74A6">
              <w:rPr>
                <w:rFonts w:cs="Calibri"/>
                <w:color w:val="ED7D31" w:themeColor="accent2"/>
                <w:sz w:val="20"/>
              </w:rPr>
              <w:t>100%</w:t>
            </w:r>
          </w:p>
        </w:tc>
      </w:tr>
      <w:tr w:rsidR="00101E63" w:rsidRPr="004E74A6" w14:paraId="4694475F" w14:textId="230FED2A" w:rsidTr="00B86E99">
        <w:trPr>
          <w:trHeight w:val="288"/>
          <w:jc w:val="center"/>
        </w:trPr>
        <w:tc>
          <w:tcPr>
            <w:tcW w:w="2835" w:type="dxa"/>
            <w:tcBorders>
              <w:top w:val="nil"/>
              <w:left w:val="nil"/>
              <w:bottom w:val="single" w:sz="4" w:space="0" w:color="auto"/>
              <w:right w:val="single" w:sz="4" w:space="0" w:color="auto"/>
            </w:tcBorders>
            <w:shd w:val="clear" w:color="auto" w:fill="auto"/>
            <w:noWrap/>
            <w:vAlign w:val="bottom"/>
            <w:hideMark/>
          </w:tcPr>
          <w:p w14:paraId="735F5E13" w14:textId="77777777" w:rsidR="00101E63" w:rsidRPr="004E74A6" w:rsidRDefault="00101E63" w:rsidP="00832773">
            <w:pPr>
              <w:spacing w:line="276" w:lineRule="auto"/>
              <w:jc w:val="left"/>
              <w:rPr>
                <w:rFonts w:cs="Calibri"/>
                <w:color w:val="000000"/>
                <w:sz w:val="20"/>
                <w:lang w:eastAsia="es-CR"/>
              </w:rPr>
            </w:pPr>
            <w:r w:rsidRPr="004E74A6">
              <w:rPr>
                <w:rFonts w:cs="Calibri"/>
                <w:color w:val="000000"/>
                <w:sz w:val="20"/>
                <w:lang w:eastAsia="es-CR"/>
              </w:rPr>
              <w:t> </w:t>
            </w:r>
          </w:p>
        </w:tc>
        <w:tc>
          <w:tcPr>
            <w:tcW w:w="850" w:type="dxa"/>
            <w:tcBorders>
              <w:top w:val="nil"/>
              <w:left w:val="nil"/>
              <w:bottom w:val="single" w:sz="4" w:space="0" w:color="auto"/>
              <w:right w:val="single" w:sz="4" w:space="0" w:color="auto"/>
            </w:tcBorders>
            <w:shd w:val="clear" w:color="auto" w:fill="auto"/>
            <w:noWrap/>
            <w:vAlign w:val="bottom"/>
            <w:hideMark/>
          </w:tcPr>
          <w:p w14:paraId="2CA9040D" w14:textId="77777777" w:rsidR="00101E63" w:rsidRPr="004E74A6" w:rsidRDefault="00101E63" w:rsidP="00832773">
            <w:pPr>
              <w:spacing w:line="276" w:lineRule="auto"/>
              <w:jc w:val="left"/>
              <w:rPr>
                <w:rFonts w:cs="Calibri"/>
                <w:color w:val="000000"/>
                <w:sz w:val="20"/>
                <w:lang w:eastAsia="es-CR"/>
              </w:rPr>
            </w:pPr>
            <w:r w:rsidRPr="004E74A6">
              <w:rPr>
                <w:rFonts w:cs="Calibri"/>
                <w:color w:val="000000"/>
                <w:sz w:val="20"/>
                <w:lang w:eastAsia="es-CR"/>
              </w:rPr>
              <w:t> </w:t>
            </w:r>
          </w:p>
        </w:tc>
        <w:tc>
          <w:tcPr>
            <w:tcW w:w="850" w:type="dxa"/>
            <w:tcBorders>
              <w:top w:val="nil"/>
              <w:left w:val="nil"/>
              <w:bottom w:val="single" w:sz="4" w:space="0" w:color="auto"/>
              <w:right w:val="single" w:sz="4" w:space="0" w:color="auto"/>
            </w:tcBorders>
            <w:shd w:val="clear" w:color="auto" w:fill="auto"/>
            <w:noWrap/>
            <w:vAlign w:val="bottom"/>
            <w:hideMark/>
          </w:tcPr>
          <w:p w14:paraId="6B0D3804" w14:textId="77777777" w:rsidR="00101E63" w:rsidRPr="004E74A6" w:rsidRDefault="00101E63" w:rsidP="00832773">
            <w:pPr>
              <w:spacing w:line="276" w:lineRule="auto"/>
              <w:jc w:val="left"/>
              <w:rPr>
                <w:rFonts w:cs="Calibri"/>
                <w:color w:val="000000"/>
                <w:sz w:val="20"/>
                <w:lang w:eastAsia="es-CR"/>
              </w:rPr>
            </w:pPr>
            <w:r w:rsidRPr="004E74A6">
              <w:rPr>
                <w:rFonts w:cs="Calibri"/>
                <w:color w:val="000000"/>
                <w:sz w:val="20"/>
                <w:lang w:eastAsia="es-CR"/>
              </w:rPr>
              <w:t> </w:t>
            </w:r>
          </w:p>
        </w:tc>
        <w:tc>
          <w:tcPr>
            <w:tcW w:w="850" w:type="dxa"/>
            <w:tcBorders>
              <w:top w:val="nil"/>
              <w:left w:val="nil"/>
              <w:bottom w:val="single" w:sz="4" w:space="0" w:color="auto"/>
              <w:right w:val="single" w:sz="4" w:space="0" w:color="auto"/>
            </w:tcBorders>
            <w:shd w:val="clear" w:color="auto" w:fill="auto"/>
            <w:noWrap/>
            <w:vAlign w:val="bottom"/>
            <w:hideMark/>
          </w:tcPr>
          <w:p w14:paraId="752AF4B9" w14:textId="77777777" w:rsidR="00101E63" w:rsidRPr="004E74A6" w:rsidRDefault="00101E63" w:rsidP="00832773">
            <w:pPr>
              <w:spacing w:line="276" w:lineRule="auto"/>
              <w:jc w:val="left"/>
              <w:rPr>
                <w:rFonts w:cs="Calibri"/>
                <w:color w:val="000000"/>
                <w:sz w:val="20"/>
                <w:lang w:eastAsia="es-CR"/>
              </w:rPr>
            </w:pPr>
            <w:r w:rsidRPr="004E74A6">
              <w:rPr>
                <w:rFonts w:cs="Calibri"/>
                <w:color w:val="000000"/>
                <w:sz w:val="20"/>
                <w:lang w:eastAsia="es-CR"/>
              </w:rPr>
              <w:t> </w:t>
            </w:r>
          </w:p>
        </w:tc>
        <w:tc>
          <w:tcPr>
            <w:tcW w:w="1134" w:type="dxa"/>
            <w:tcBorders>
              <w:top w:val="nil"/>
              <w:left w:val="nil"/>
              <w:bottom w:val="single" w:sz="4" w:space="0" w:color="auto"/>
              <w:right w:val="single" w:sz="4" w:space="0" w:color="auto"/>
            </w:tcBorders>
            <w:shd w:val="clear" w:color="auto" w:fill="auto"/>
            <w:noWrap/>
            <w:vAlign w:val="bottom"/>
            <w:hideMark/>
          </w:tcPr>
          <w:p w14:paraId="0BFB6667" w14:textId="77777777" w:rsidR="00101E63" w:rsidRPr="004E74A6" w:rsidRDefault="00101E63" w:rsidP="00832773">
            <w:pPr>
              <w:spacing w:line="276" w:lineRule="auto"/>
              <w:jc w:val="left"/>
              <w:rPr>
                <w:rFonts w:cs="Calibri"/>
                <w:color w:val="000000"/>
                <w:sz w:val="20"/>
                <w:lang w:eastAsia="es-CR"/>
              </w:rPr>
            </w:pPr>
            <w:r w:rsidRPr="004E74A6">
              <w:rPr>
                <w:rFonts w:cs="Calibri"/>
                <w:color w:val="000000"/>
                <w:sz w:val="20"/>
                <w:lang w:eastAsia="es-CR"/>
              </w:rPr>
              <w:t> </w:t>
            </w:r>
          </w:p>
        </w:tc>
        <w:tc>
          <w:tcPr>
            <w:tcW w:w="2381" w:type="dxa"/>
            <w:tcBorders>
              <w:top w:val="nil"/>
              <w:left w:val="single" w:sz="4" w:space="0" w:color="auto"/>
              <w:bottom w:val="single" w:sz="4" w:space="0" w:color="auto"/>
              <w:right w:val="nil"/>
            </w:tcBorders>
          </w:tcPr>
          <w:p w14:paraId="350A1E41" w14:textId="77777777" w:rsidR="00101E63" w:rsidRPr="004E74A6" w:rsidRDefault="00101E63" w:rsidP="00832773">
            <w:pPr>
              <w:spacing w:line="276" w:lineRule="auto"/>
              <w:jc w:val="left"/>
              <w:rPr>
                <w:rFonts w:cs="Calibri"/>
                <w:color w:val="000000"/>
                <w:sz w:val="20"/>
                <w:lang w:eastAsia="es-CR"/>
              </w:rPr>
            </w:pPr>
          </w:p>
        </w:tc>
      </w:tr>
    </w:tbl>
    <w:p w14:paraId="252D30C5" w14:textId="2778E1F3" w:rsidR="003E4755" w:rsidRPr="004E74A6" w:rsidRDefault="003E4755" w:rsidP="00832773">
      <w:pPr>
        <w:spacing w:line="276" w:lineRule="auto"/>
        <w:ind w:left="1191" w:right="1191"/>
        <w:rPr>
          <w:rFonts w:cs="Calibri"/>
          <w:i/>
          <w:iCs/>
          <w:color w:val="000000"/>
          <w:sz w:val="20"/>
          <w:lang w:eastAsia="es-CR"/>
        </w:rPr>
      </w:pPr>
      <w:r w:rsidRPr="004E74A6">
        <w:rPr>
          <w:rFonts w:cs="Calibri"/>
          <w:b/>
          <w:bCs/>
          <w:i/>
          <w:iCs/>
          <w:color w:val="000000"/>
          <w:sz w:val="20"/>
          <w:lang w:eastAsia="es-CR"/>
        </w:rPr>
        <w:t>Fuente</w:t>
      </w:r>
      <w:r w:rsidRPr="004E74A6">
        <w:rPr>
          <w:rFonts w:cs="Calibri"/>
          <w:i/>
          <w:iCs/>
          <w:color w:val="000000"/>
          <w:sz w:val="20"/>
          <w:lang w:eastAsia="es-CR"/>
        </w:rPr>
        <w:t>: Subproceso de Modernización Institucional con datos extraídos del sistema SIGMA, Dirección de Planificación.</w:t>
      </w:r>
    </w:p>
    <w:p w14:paraId="084381E1" w14:textId="77777777" w:rsidR="008647ED" w:rsidRPr="004E74A6" w:rsidRDefault="008647ED" w:rsidP="00CE62C1">
      <w:pPr>
        <w:spacing w:after="160" w:line="276" w:lineRule="auto"/>
        <w:rPr>
          <w:rFonts w:cs="Calibri"/>
          <w:color w:val="000000"/>
          <w:szCs w:val="24"/>
          <w:lang w:eastAsia="es-CR"/>
        </w:rPr>
      </w:pPr>
    </w:p>
    <w:p w14:paraId="0946496A" w14:textId="77777777" w:rsidR="002C1594" w:rsidRPr="004E74A6" w:rsidRDefault="002C1594" w:rsidP="00CE62C1">
      <w:pPr>
        <w:spacing w:after="160" w:line="276" w:lineRule="auto"/>
        <w:rPr>
          <w:rFonts w:cs="Calibri"/>
          <w:color w:val="000000"/>
          <w:szCs w:val="24"/>
          <w:lang w:eastAsia="es-CR"/>
        </w:rPr>
      </w:pPr>
      <w:r w:rsidRPr="004E74A6">
        <w:rPr>
          <w:rFonts w:cs="Calibri"/>
          <w:color w:val="000000"/>
          <w:szCs w:val="24"/>
          <w:lang w:eastAsia="es-CR"/>
        </w:rPr>
        <w:t xml:space="preserve">Como se observa en 2019 se reportó un asunto con el rango de cuantía </w:t>
      </w:r>
      <w:r w:rsidRPr="004E74A6">
        <w:rPr>
          <w:rFonts w:cs="Calibri"/>
          <w:i/>
          <w:iCs/>
          <w:color w:val="000000"/>
          <w:szCs w:val="24"/>
          <w:lang w:eastAsia="es-CR"/>
        </w:rPr>
        <w:t>“expedientes cuantía cero”</w:t>
      </w:r>
      <w:r w:rsidRPr="004E74A6">
        <w:rPr>
          <w:rFonts w:cs="Calibri"/>
          <w:color w:val="000000"/>
          <w:szCs w:val="24"/>
          <w:lang w:eastAsia="es-CR"/>
        </w:rPr>
        <w:t xml:space="preserve"> y 8 en 2020, eso sucedió porque el Tribunal indicó que el proceso era estimable pero no completo la opción de rango. Para 2021 la situación se corrigió con una mejora de la Dirección de Tecnología de la Información que ligó el campo estimable con el de rango. </w:t>
      </w:r>
    </w:p>
    <w:p w14:paraId="0A233238" w14:textId="35A7E9E0" w:rsidR="00D7467E" w:rsidRPr="004E74A6" w:rsidRDefault="00955B91" w:rsidP="00CE62C1">
      <w:pPr>
        <w:spacing w:after="160" w:line="276" w:lineRule="auto"/>
        <w:rPr>
          <w:rFonts w:cs="Calibri"/>
          <w:color w:val="000000"/>
          <w:szCs w:val="24"/>
          <w:lang w:eastAsia="es-CR"/>
        </w:rPr>
      </w:pPr>
      <w:r w:rsidRPr="004E74A6">
        <w:rPr>
          <w:rFonts w:cs="Calibri"/>
          <w:color w:val="000000"/>
          <w:szCs w:val="24"/>
          <w:lang w:eastAsia="es-CR"/>
        </w:rPr>
        <w:t xml:space="preserve">De elevarse cuantía según escenario A.1 este Tribunal perdería un </w:t>
      </w:r>
      <w:r w:rsidR="0005270B" w:rsidRPr="004E74A6">
        <w:rPr>
          <w:rFonts w:cs="Calibri"/>
          <w:color w:val="000000"/>
          <w:szCs w:val="24"/>
          <w:lang w:eastAsia="es-CR"/>
        </w:rPr>
        <w:t>61</w:t>
      </w:r>
      <w:r w:rsidRPr="004E74A6">
        <w:rPr>
          <w:rFonts w:cs="Calibri"/>
          <w:color w:val="000000"/>
          <w:szCs w:val="24"/>
          <w:lang w:eastAsia="es-CR"/>
        </w:rPr>
        <w:t xml:space="preserve">% </w:t>
      </w:r>
      <w:r w:rsidR="00D7467E" w:rsidRPr="004E74A6">
        <w:rPr>
          <w:rFonts w:cs="Calibri"/>
          <w:color w:val="000000"/>
          <w:szCs w:val="24"/>
          <w:lang w:eastAsia="es-CR"/>
        </w:rPr>
        <w:t xml:space="preserve">de su entrada actual de asuntos ordinarios estimables que se trasladarían a conocimiento de los Juzgados Civiles y por ende </w:t>
      </w:r>
      <w:r w:rsidR="00D7467E" w:rsidRPr="004E74A6">
        <w:rPr>
          <w:rFonts w:cs="Calibri"/>
          <w:b/>
          <w:bCs/>
          <w:color w:val="000000"/>
          <w:szCs w:val="24"/>
          <w:lang w:eastAsia="es-CR"/>
        </w:rPr>
        <w:t xml:space="preserve">las apelaciones de sentencia </w:t>
      </w:r>
      <w:r w:rsidR="00D7467E" w:rsidRPr="004E74A6">
        <w:rPr>
          <w:rFonts w:cs="Calibri"/>
          <w:color w:val="000000"/>
          <w:szCs w:val="24"/>
          <w:lang w:eastAsia="es-CR"/>
        </w:rPr>
        <w:t xml:space="preserve">en esos procesos se </w:t>
      </w:r>
      <w:r w:rsidR="00D7467E" w:rsidRPr="004E74A6">
        <w:rPr>
          <w:rFonts w:cs="Calibri"/>
          <w:color w:val="000000"/>
          <w:szCs w:val="24"/>
          <w:lang w:eastAsia="es-CR"/>
        </w:rPr>
        <w:lastRenderedPageBreak/>
        <w:t xml:space="preserve">conocerían en los Tribunales de Apelación. </w:t>
      </w:r>
      <w:r w:rsidR="00EC309D" w:rsidRPr="004E74A6">
        <w:rPr>
          <w:rFonts w:cs="Calibri"/>
          <w:color w:val="000000"/>
          <w:szCs w:val="24"/>
          <w:lang w:eastAsia="es-CR"/>
        </w:rPr>
        <w:t xml:space="preserve"> Sin embargo, la desactualización en el dato de cuantía en este tribunal</w:t>
      </w:r>
      <w:r w:rsidR="00CF59BD" w:rsidRPr="004E74A6">
        <w:rPr>
          <w:rFonts w:cs="Calibri"/>
          <w:color w:val="000000"/>
          <w:szCs w:val="24"/>
          <w:lang w:eastAsia="es-CR"/>
        </w:rPr>
        <w:t xml:space="preserve"> (</w:t>
      </w:r>
      <w:r w:rsidR="00DC1B71" w:rsidRPr="004E74A6">
        <w:rPr>
          <w:rFonts w:cs="Calibri"/>
          <w:color w:val="000000"/>
          <w:szCs w:val="24"/>
          <w:lang w:eastAsia="es-CR"/>
        </w:rPr>
        <w:t>porcentaje</w:t>
      </w:r>
      <w:r w:rsidR="00CF59BD" w:rsidRPr="004E74A6">
        <w:rPr>
          <w:rFonts w:cs="Calibri"/>
          <w:color w:val="000000"/>
          <w:szCs w:val="24"/>
          <w:lang w:eastAsia="es-CR"/>
        </w:rPr>
        <w:t xml:space="preserve"> más alto a nivel nacional</w:t>
      </w:r>
      <w:r w:rsidR="00A9100A" w:rsidRPr="004E74A6">
        <w:rPr>
          <w:rFonts w:cs="Calibri"/>
          <w:color w:val="000000"/>
          <w:szCs w:val="24"/>
          <w:lang w:eastAsia="es-CR"/>
        </w:rPr>
        <w:t xml:space="preserve"> con un 82%</w:t>
      </w:r>
      <w:r w:rsidR="00CF59BD" w:rsidRPr="004E74A6">
        <w:rPr>
          <w:rFonts w:cs="Calibri"/>
          <w:color w:val="000000"/>
          <w:szCs w:val="24"/>
          <w:lang w:eastAsia="es-CR"/>
        </w:rPr>
        <w:t xml:space="preserve">) </w:t>
      </w:r>
      <w:r w:rsidR="00EC309D" w:rsidRPr="004E74A6">
        <w:rPr>
          <w:rFonts w:cs="Calibri"/>
          <w:color w:val="000000"/>
          <w:szCs w:val="24"/>
          <w:lang w:eastAsia="es-CR"/>
        </w:rPr>
        <w:t>implica que este porcentaje</w:t>
      </w:r>
      <w:r w:rsidR="00CF59BD" w:rsidRPr="004E74A6">
        <w:rPr>
          <w:rFonts w:cs="Calibri"/>
          <w:color w:val="000000"/>
          <w:szCs w:val="24"/>
          <w:lang w:eastAsia="es-CR"/>
        </w:rPr>
        <w:t xml:space="preserve"> de disminución de entrada proyectada</w:t>
      </w:r>
      <w:r w:rsidR="00EC309D" w:rsidRPr="004E74A6">
        <w:rPr>
          <w:rFonts w:cs="Calibri"/>
          <w:color w:val="000000"/>
          <w:szCs w:val="24"/>
          <w:lang w:eastAsia="es-CR"/>
        </w:rPr>
        <w:t xml:space="preserve"> tenga un al</w:t>
      </w:r>
      <w:r w:rsidR="00CF59BD" w:rsidRPr="004E74A6">
        <w:rPr>
          <w:rFonts w:cs="Calibri"/>
          <w:color w:val="000000"/>
          <w:szCs w:val="24"/>
          <w:lang w:eastAsia="es-CR"/>
        </w:rPr>
        <w:t>t</w:t>
      </w:r>
      <w:r w:rsidR="00EC309D" w:rsidRPr="004E74A6">
        <w:rPr>
          <w:rFonts w:cs="Calibri"/>
          <w:color w:val="000000"/>
          <w:szCs w:val="24"/>
          <w:lang w:eastAsia="es-CR"/>
        </w:rPr>
        <w:t xml:space="preserve">o grado de error. </w:t>
      </w:r>
    </w:p>
    <w:p w14:paraId="034A38FB" w14:textId="58E39A77" w:rsidR="00D7467E" w:rsidRDefault="00D7467E" w:rsidP="00CE62C1">
      <w:pPr>
        <w:spacing w:after="160" w:line="276" w:lineRule="auto"/>
        <w:rPr>
          <w:rFonts w:cs="Calibri"/>
          <w:color w:val="000000"/>
          <w:szCs w:val="24"/>
          <w:lang w:eastAsia="es-CR"/>
        </w:rPr>
      </w:pPr>
      <w:r w:rsidRPr="004E74A6">
        <w:rPr>
          <w:rFonts w:cs="Calibri"/>
          <w:color w:val="000000"/>
          <w:szCs w:val="24"/>
          <w:lang w:eastAsia="es-CR"/>
        </w:rPr>
        <w:t xml:space="preserve">De elevarse cuantía según escenario A.2, no se modificaría la entrada de ordinarios, sino que el efecto sería en el recurso del que dispondrían las sentencias en los ordinarios estimados hasta en 20 millones de colones, </w:t>
      </w:r>
      <w:r w:rsidR="00773C2E" w:rsidRPr="004E74A6">
        <w:rPr>
          <w:rFonts w:cs="Calibri"/>
          <w:color w:val="000000"/>
          <w:szCs w:val="24"/>
          <w:lang w:eastAsia="es-CR"/>
        </w:rPr>
        <w:t>que,</w:t>
      </w:r>
      <w:r w:rsidRPr="004E74A6">
        <w:rPr>
          <w:rFonts w:cs="Calibri"/>
          <w:color w:val="000000"/>
          <w:szCs w:val="24"/>
          <w:lang w:eastAsia="es-CR"/>
        </w:rPr>
        <w:t xml:space="preserve"> pese a que se mantendrían en trámite en estos tribunales de primera instancia, dejarían de disponer recurso de casación ante la Sala Primera y pasarían a disponer únicamente de recurso de apelación ante el Tribunal de Apelación en Segunda Instancia.</w:t>
      </w:r>
    </w:p>
    <w:p w14:paraId="5715949D" w14:textId="6A6D0FC4" w:rsidR="00773C2E" w:rsidRDefault="00773C2E" w:rsidP="00CE62C1">
      <w:pPr>
        <w:spacing w:after="160" w:line="276" w:lineRule="auto"/>
        <w:rPr>
          <w:rFonts w:cs="Calibri"/>
          <w:color w:val="000000"/>
          <w:szCs w:val="24"/>
          <w:lang w:eastAsia="es-CR"/>
        </w:rPr>
      </w:pPr>
    </w:p>
    <w:p w14:paraId="7502CEF5" w14:textId="07CA7768" w:rsidR="00193D21" w:rsidRDefault="00193D21" w:rsidP="00CE62C1">
      <w:pPr>
        <w:spacing w:after="160" w:line="276" w:lineRule="auto"/>
        <w:rPr>
          <w:rFonts w:cs="Calibri"/>
          <w:color w:val="000000"/>
          <w:szCs w:val="24"/>
          <w:lang w:eastAsia="es-CR"/>
        </w:rPr>
      </w:pPr>
    </w:p>
    <w:p w14:paraId="7D53818E" w14:textId="079E2E4F" w:rsidR="00193D21" w:rsidRDefault="00193D21" w:rsidP="00CE62C1">
      <w:pPr>
        <w:spacing w:after="160" w:line="276" w:lineRule="auto"/>
        <w:rPr>
          <w:rFonts w:cs="Calibri"/>
          <w:color w:val="000000"/>
          <w:szCs w:val="24"/>
          <w:lang w:eastAsia="es-CR"/>
        </w:rPr>
      </w:pPr>
    </w:p>
    <w:p w14:paraId="5A633AC7" w14:textId="2BD2D955" w:rsidR="00193D21" w:rsidRDefault="00193D21" w:rsidP="00CE62C1">
      <w:pPr>
        <w:spacing w:after="160" w:line="276" w:lineRule="auto"/>
        <w:rPr>
          <w:rFonts w:cs="Calibri"/>
          <w:color w:val="000000"/>
          <w:szCs w:val="24"/>
          <w:lang w:eastAsia="es-CR"/>
        </w:rPr>
      </w:pPr>
    </w:p>
    <w:p w14:paraId="52E86114" w14:textId="37E115E1" w:rsidR="00193D21" w:rsidRDefault="00193D21" w:rsidP="00CE62C1">
      <w:pPr>
        <w:spacing w:after="160" w:line="276" w:lineRule="auto"/>
        <w:rPr>
          <w:rFonts w:cs="Calibri"/>
          <w:color w:val="000000"/>
          <w:szCs w:val="24"/>
          <w:lang w:eastAsia="es-CR"/>
        </w:rPr>
      </w:pPr>
    </w:p>
    <w:p w14:paraId="51113BDE" w14:textId="1D329967" w:rsidR="00193D21" w:rsidRDefault="00193D21" w:rsidP="00CE62C1">
      <w:pPr>
        <w:spacing w:after="160" w:line="276" w:lineRule="auto"/>
        <w:rPr>
          <w:rFonts w:cs="Calibri"/>
          <w:color w:val="000000"/>
          <w:szCs w:val="24"/>
          <w:lang w:eastAsia="es-CR"/>
        </w:rPr>
      </w:pPr>
    </w:p>
    <w:p w14:paraId="3933D185" w14:textId="13F9B1A3" w:rsidR="00193D21" w:rsidRDefault="00193D21" w:rsidP="00CE62C1">
      <w:pPr>
        <w:spacing w:after="160" w:line="276" w:lineRule="auto"/>
        <w:rPr>
          <w:rFonts w:cs="Calibri"/>
          <w:color w:val="000000"/>
          <w:szCs w:val="24"/>
          <w:lang w:eastAsia="es-CR"/>
        </w:rPr>
      </w:pPr>
    </w:p>
    <w:p w14:paraId="6D207747" w14:textId="118CE06C" w:rsidR="00193D21" w:rsidRDefault="00193D21" w:rsidP="00CE62C1">
      <w:pPr>
        <w:spacing w:after="160" w:line="276" w:lineRule="auto"/>
        <w:rPr>
          <w:rFonts w:cs="Calibri"/>
          <w:color w:val="000000"/>
          <w:szCs w:val="24"/>
          <w:lang w:eastAsia="es-CR"/>
        </w:rPr>
      </w:pPr>
    </w:p>
    <w:p w14:paraId="648A4C00" w14:textId="289281C1" w:rsidR="00193D21" w:rsidRDefault="00193D21" w:rsidP="00CE62C1">
      <w:pPr>
        <w:spacing w:after="160" w:line="276" w:lineRule="auto"/>
        <w:rPr>
          <w:rFonts w:cs="Calibri"/>
          <w:color w:val="000000"/>
          <w:szCs w:val="24"/>
          <w:lang w:eastAsia="es-CR"/>
        </w:rPr>
      </w:pPr>
    </w:p>
    <w:p w14:paraId="17889638" w14:textId="6DF7924C" w:rsidR="00193D21" w:rsidRDefault="00193D21" w:rsidP="00CE62C1">
      <w:pPr>
        <w:spacing w:after="160" w:line="276" w:lineRule="auto"/>
        <w:rPr>
          <w:rFonts w:cs="Calibri"/>
          <w:color w:val="000000"/>
          <w:szCs w:val="24"/>
          <w:lang w:eastAsia="es-CR"/>
        </w:rPr>
      </w:pPr>
    </w:p>
    <w:p w14:paraId="4DB4510A" w14:textId="1995C7F9" w:rsidR="00193D21" w:rsidRDefault="00193D21" w:rsidP="00CE62C1">
      <w:pPr>
        <w:spacing w:after="160" w:line="276" w:lineRule="auto"/>
        <w:rPr>
          <w:rFonts w:cs="Calibri"/>
          <w:color w:val="000000"/>
          <w:szCs w:val="24"/>
          <w:lang w:eastAsia="es-CR"/>
        </w:rPr>
      </w:pPr>
    </w:p>
    <w:p w14:paraId="22255F0B" w14:textId="0EBBFCB2" w:rsidR="00193D21" w:rsidRDefault="00193D21" w:rsidP="00CE62C1">
      <w:pPr>
        <w:spacing w:after="160" w:line="276" w:lineRule="auto"/>
        <w:rPr>
          <w:rFonts w:cs="Calibri"/>
          <w:color w:val="000000"/>
          <w:szCs w:val="24"/>
          <w:lang w:eastAsia="es-CR"/>
        </w:rPr>
      </w:pPr>
    </w:p>
    <w:p w14:paraId="5CD9E804" w14:textId="2EA6D9DD" w:rsidR="00193D21" w:rsidRDefault="00193D21" w:rsidP="00CE62C1">
      <w:pPr>
        <w:spacing w:after="160" w:line="276" w:lineRule="auto"/>
        <w:rPr>
          <w:rFonts w:cs="Calibri"/>
          <w:color w:val="000000"/>
          <w:szCs w:val="24"/>
          <w:lang w:eastAsia="es-CR"/>
        </w:rPr>
      </w:pPr>
    </w:p>
    <w:p w14:paraId="5200C927" w14:textId="0331BD28" w:rsidR="00193D21" w:rsidRDefault="00193D21" w:rsidP="00CE62C1">
      <w:pPr>
        <w:spacing w:after="160" w:line="276" w:lineRule="auto"/>
        <w:rPr>
          <w:rFonts w:cs="Calibri"/>
          <w:color w:val="000000"/>
          <w:szCs w:val="24"/>
          <w:lang w:eastAsia="es-CR"/>
        </w:rPr>
      </w:pPr>
    </w:p>
    <w:p w14:paraId="26324ECC" w14:textId="7305A27A" w:rsidR="00193D21" w:rsidRDefault="00193D21" w:rsidP="00CE62C1">
      <w:pPr>
        <w:spacing w:after="160" w:line="276" w:lineRule="auto"/>
        <w:rPr>
          <w:rFonts w:cs="Calibri"/>
          <w:color w:val="000000"/>
          <w:szCs w:val="24"/>
          <w:lang w:eastAsia="es-CR"/>
        </w:rPr>
      </w:pPr>
    </w:p>
    <w:p w14:paraId="3A372645" w14:textId="77777777" w:rsidR="00193D21" w:rsidRPr="004E74A6" w:rsidRDefault="00193D21" w:rsidP="00CE62C1">
      <w:pPr>
        <w:spacing w:after="160" w:line="276" w:lineRule="auto"/>
        <w:rPr>
          <w:rFonts w:cs="Calibri"/>
          <w:color w:val="000000"/>
          <w:szCs w:val="24"/>
          <w:lang w:eastAsia="es-CR"/>
        </w:rPr>
      </w:pPr>
    </w:p>
    <w:p w14:paraId="6DA7A270" w14:textId="77777777" w:rsidR="008647ED" w:rsidRPr="004E74A6" w:rsidRDefault="008647ED" w:rsidP="00CE62C1">
      <w:pPr>
        <w:numPr>
          <w:ilvl w:val="2"/>
          <w:numId w:val="21"/>
        </w:numPr>
        <w:spacing w:after="160" w:line="276" w:lineRule="auto"/>
        <w:ind w:left="1225" w:hanging="505"/>
        <w:outlineLvl w:val="5"/>
        <w:rPr>
          <w:rFonts w:cs="Calibri"/>
          <w:color w:val="000000"/>
          <w:szCs w:val="24"/>
          <w:lang w:eastAsia="es-CR"/>
        </w:rPr>
      </w:pPr>
      <w:r w:rsidRPr="004E74A6">
        <w:rPr>
          <w:rFonts w:cs="Calibri"/>
          <w:color w:val="000000"/>
          <w:szCs w:val="24"/>
          <w:lang w:eastAsia="es-CR"/>
        </w:rPr>
        <w:lastRenderedPageBreak/>
        <w:t>Tribunal Colegiado Primera Instancia Civil Primer Circuito Judicial de Alajuela</w:t>
      </w:r>
    </w:p>
    <w:p w14:paraId="1839A9FA" w14:textId="325B3D2C" w:rsidR="008647ED" w:rsidRPr="004E74A6" w:rsidRDefault="00E70892" w:rsidP="00CE62C1">
      <w:pPr>
        <w:spacing w:after="160" w:line="276" w:lineRule="auto"/>
        <w:rPr>
          <w:rFonts w:cs="Calibri"/>
          <w:color w:val="000000"/>
          <w:szCs w:val="24"/>
          <w:lang w:eastAsia="es-CR"/>
        </w:rPr>
      </w:pPr>
      <w:r w:rsidRPr="004E74A6">
        <w:rPr>
          <w:rFonts w:cs="Calibri"/>
          <w:color w:val="000000"/>
          <w:szCs w:val="24"/>
          <w:lang w:eastAsia="es-CR"/>
        </w:rPr>
        <w:t xml:space="preserve">Para el caso de este Tribunal, según la tabla por tipo de carpeta principal representa el </w:t>
      </w:r>
      <w:r w:rsidR="008647ED" w:rsidRPr="004E74A6">
        <w:rPr>
          <w:rFonts w:cs="Calibri"/>
          <w:color w:val="000000"/>
          <w:szCs w:val="24"/>
          <w:lang w:eastAsia="es-CR"/>
        </w:rPr>
        <w:t>85,5% de los asuntos que ingresan y que, si bien a nivel general ha experimentado una ligera disminución para el año 2021, continúa siendo el principal tipo en los años de estudio.</w:t>
      </w:r>
    </w:p>
    <w:p w14:paraId="773A9A28" w14:textId="77777777" w:rsidR="008647ED" w:rsidRPr="004E74A6" w:rsidRDefault="008647ED" w:rsidP="00CE62C1">
      <w:pPr>
        <w:spacing w:after="160" w:line="276" w:lineRule="auto"/>
        <w:rPr>
          <w:rFonts w:cs="Calibri"/>
          <w:color w:val="000000"/>
          <w:szCs w:val="24"/>
          <w:lang w:eastAsia="es-CR"/>
        </w:rPr>
      </w:pPr>
    </w:p>
    <w:p w14:paraId="609E6754" w14:textId="03005D49" w:rsidR="00312182" w:rsidRPr="00832773" w:rsidRDefault="00312182" w:rsidP="00F0204A">
      <w:pPr>
        <w:pStyle w:val="Descripcin"/>
        <w:keepNext/>
        <w:spacing w:line="276" w:lineRule="auto"/>
        <w:jc w:val="center"/>
        <w:rPr>
          <w:rFonts w:ascii="Book Antiqua" w:hAnsi="Book Antiqua"/>
          <w:i/>
          <w:iCs/>
          <w:sz w:val="20"/>
          <w:szCs w:val="16"/>
          <w:lang w:val="es-CR"/>
        </w:rPr>
      </w:pPr>
      <w:r w:rsidRPr="00832773">
        <w:rPr>
          <w:rFonts w:ascii="Book Antiqua" w:hAnsi="Book Antiqua"/>
          <w:i/>
          <w:iCs/>
          <w:sz w:val="20"/>
          <w:szCs w:val="16"/>
          <w:lang w:val="es-CR"/>
        </w:rPr>
        <w:t xml:space="preserve">Tabla </w:t>
      </w:r>
      <w:r w:rsidRPr="00832773">
        <w:rPr>
          <w:rFonts w:ascii="Book Antiqua" w:hAnsi="Book Antiqua"/>
          <w:i/>
          <w:iCs/>
          <w:sz w:val="20"/>
          <w:szCs w:val="16"/>
          <w:lang w:val="es-CR"/>
        </w:rPr>
        <w:fldChar w:fldCharType="begin"/>
      </w:r>
      <w:r w:rsidRPr="00832773">
        <w:rPr>
          <w:rFonts w:ascii="Book Antiqua" w:hAnsi="Book Antiqua"/>
          <w:i/>
          <w:iCs/>
          <w:sz w:val="20"/>
          <w:szCs w:val="16"/>
          <w:lang w:val="es-CR"/>
        </w:rPr>
        <w:instrText xml:space="preserve"> SEQ Tabla \* ARABIC </w:instrText>
      </w:r>
      <w:r w:rsidRPr="00832773">
        <w:rPr>
          <w:rFonts w:ascii="Book Antiqua" w:hAnsi="Book Antiqua"/>
          <w:i/>
          <w:iCs/>
          <w:sz w:val="20"/>
          <w:szCs w:val="16"/>
          <w:lang w:val="es-CR"/>
        </w:rPr>
        <w:fldChar w:fldCharType="separate"/>
      </w:r>
      <w:r w:rsidR="00374B51">
        <w:rPr>
          <w:rFonts w:ascii="Book Antiqua" w:hAnsi="Book Antiqua"/>
          <w:i/>
          <w:iCs/>
          <w:noProof/>
          <w:sz w:val="20"/>
          <w:szCs w:val="16"/>
          <w:lang w:val="es-CR"/>
        </w:rPr>
        <w:t>13</w:t>
      </w:r>
      <w:r w:rsidRPr="00832773">
        <w:rPr>
          <w:rFonts w:ascii="Book Antiqua" w:hAnsi="Book Antiqua"/>
          <w:i/>
          <w:iCs/>
          <w:sz w:val="20"/>
          <w:szCs w:val="16"/>
          <w:lang w:val="es-CR"/>
        </w:rPr>
        <w:fldChar w:fldCharType="end"/>
      </w:r>
      <w:r w:rsidRPr="00832773">
        <w:rPr>
          <w:rFonts w:ascii="Book Antiqua" w:hAnsi="Book Antiqua"/>
          <w:i/>
          <w:iCs/>
          <w:sz w:val="20"/>
          <w:szCs w:val="16"/>
          <w:lang w:val="es-CR"/>
        </w:rPr>
        <w:t xml:space="preserve"> Cantidad de entrados por tipo de </w:t>
      </w:r>
      <w:r w:rsidR="00407393" w:rsidRPr="00832773">
        <w:rPr>
          <w:rFonts w:ascii="Book Antiqua" w:hAnsi="Book Antiqua"/>
          <w:i/>
          <w:iCs/>
          <w:sz w:val="20"/>
          <w:szCs w:val="16"/>
          <w:lang w:val="es-CR"/>
        </w:rPr>
        <w:t>carpeta</w:t>
      </w:r>
      <w:r w:rsidRPr="00832773">
        <w:rPr>
          <w:rFonts w:ascii="Book Antiqua" w:hAnsi="Book Antiqua"/>
          <w:i/>
          <w:iCs/>
          <w:sz w:val="20"/>
          <w:szCs w:val="16"/>
          <w:lang w:val="es-CR"/>
        </w:rPr>
        <w:t xml:space="preserve"> del 2019 al 2021 para el Tribunal Colegiado Primera Instancia Civil Primer Circuito Judicial de Alajuela</w:t>
      </w:r>
    </w:p>
    <w:tbl>
      <w:tblPr>
        <w:tblW w:w="4579" w:type="pct"/>
        <w:jc w:val="center"/>
        <w:tblLayout w:type="fixed"/>
        <w:tblCellMar>
          <w:left w:w="70" w:type="dxa"/>
          <w:right w:w="70" w:type="dxa"/>
        </w:tblCellMar>
        <w:tblLook w:val="04A0" w:firstRow="1" w:lastRow="0" w:firstColumn="1" w:lastColumn="0" w:noHBand="0" w:noVBand="1"/>
      </w:tblPr>
      <w:tblGrid>
        <w:gridCol w:w="4466"/>
        <w:gridCol w:w="840"/>
        <w:gridCol w:w="840"/>
        <w:gridCol w:w="836"/>
        <w:gridCol w:w="1114"/>
      </w:tblGrid>
      <w:tr w:rsidR="00027CB3" w:rsidRPr="004E74A6" w14:paraId="24D9544E" w14:textId="77777777" w:rsidTr="0010143F">
        <w:trPr>
          <w:trHeight w:val="454"/>
          <w:tblHeader/>
          <w:jc w:val="center"/>
        </w:trPr>
        <w:tc>
          <w:tcPr>
            <w:tcW w:w="2758" w:type="pct"/>
            <w:tcBorders>
              <w:top w:val="single" w:sz="4" w:space="0" w:color="auto"/>
              <w:bottom w:val="single" w:sz="4" w:space="0" w:color="auto"/>
              <w:right w:val="single" w:sz="4" w:space="0" w:color="auto"/>
            </w:tcBorders>
            <w:shd w:val="clear" w:color="auto" w:fill="auto"/>
            <w:noWrap/>
            <w:vAlign w:val="center"/>
            <w:hideMark/>
          </w:tcPr>
          <w:p w14:paraId="1E38F588" w14:textId="6E0EFD4D" w:rsidR="008647ED" w:rsidRPr="004E74A6" w:rsidRDefault="00312182" w:rsidP="00CE62C1">
            <w:pPr>
              <w:spacing w:line="276" w:lineRule="auto"/>
              <w:jc w:val="center"/>
              <w:rPr>
                <w:b/>
                <w:bCs/>
                <w:sz w:val="20"/>
                <w:lang w:eastAsia="es-CR"/>
              </w:rPr>
            </w:pPr>
            <w:r w:rsidRPr="004E74A6">
              <w:rPr>
                <w:b/>
                <w:bCs/>
                <w:sz w:val="20"/>
                <w:lang w:eastAsia="es-CR"/>
              </w:rPr>
              <w:t>Tipo</w:t>
            </w:r>
            <w:r w:rsidR="008647ED" w:rsidRPr="004E74A6">
              <w:rPr>
                <w:b/>
                <w:bCs/>
                <w:sz w:val="20"/>
                <w:lang w:eastAsia="es-CR"/>
              </w:rPr>
              <w:t xml:space="preserve"> De </w:t>
            </w:r>
            <w:r w:rsidR="00E72CA5" w:rsidRPr="004E74A6">
              <w:rPr>
                <w:b/>
                <w:bCs/>
                <w:sz w:val="20"/>
                <w:lang w:eastAsia="es-CR"/>
              </w:rPr>
              <w:t>Carpeta</w:t>
            </w:r>
          </w:p>
        </w:tc>
        <w:tc>
          <w:tcPr>
            <w:tcW w:w="51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3025C5" w14:textId="77777777" w:rsidR="008647ED" w:rsidRPr="004E74A6" w:rsidRDefault="008647ED" w:rsidP="00CE62C1">
            <w:pPr>
              <w:spacing w:line="276" w:lineRule="auto"/>
              <w:jc w:val="center"/>
              <w:rPr>
                <w:rFonts w:cs="Calibri"/>
                <w:b/>
                <w:bCs/>
                <w:color w:val="000000"/>
                <w:sz w:val="20"/>
                <w:lang w:eastAsia="es-CR"/>
              </w:rPr>
            </w:pPr>
            <w:r w:rsidRPr="004E74A6">
              <w:rPr>
                <w:rFonts w:cs="Calibri"/>
                <w:b/>
                <w:bCs/>
                <w:color w:val="000000"/>
                <w:sz w:val="20"/>
                <w:lang w:eastAsia="es-CR"/>
              </w:rPr>
              <w:t>2019</w:t>
            </w:r>
          </w:p>
        </w:tc>
        <w:tc>
          <w:tcPr>
            <w:tcW w:w="51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25B55A" w14:textId="77777777" w:rsidR="008647ED" w:rsidRPr="004E74A6" w:rsidRDefault="008647ED" w:rsidP="00CE62C1">
            <w:pPr>
              <w:spacing w:line="276" w:lineRule="auto"/>
              <w:jc w:val="center"/>
              <w:rPr>
                <w:rFonts w:cs="Calibri"/>
                <w:b/>
                <w:bCs/>
                <w:color w:val="000000"/>
                <w:sz w:val="20"/>
                <w:lang w:eastAsia="es-CR"/>
              </w:rPr>
            </w:pPr>
            <w:r w:rsidRPr="004E74A6">
              <w:rPr>
                <w:rFonts w:cs="Calibri"/>
                <w:b/>
                <w:bCs/>
                <w:color w:val="000000"/>
                <w:sz w:val="20"/>
                <w:lang w:eastAsia="es-CR"/>
              </w:rPr>
              <w:t>2020</w:t>
            </w:r>
          </w:p>
        </w:tc>
        <w:tc>
          <w:tcPr>
            <w:tcW w:w="51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AB4623" w14:textId="77777777" w:rsidR="008647ED" w:rsidRPr="004E74A6" w:rsidRDefault="008647ED" w:rsidP="00CE62C1">
            <w:pPr>
              <w:spacing w:line="276" w:lineRule="auto"/>
              <w:jc w:val="center"/>
              <w:rPr>
                <w:rFonts w:cs="Calibri"/>
                <w:b/>
                <w:bCs/>
                <w:color w:val="000000"/>
                <w:sz w:val="20"/>
                <w:lang w:eastAsia="es-CR"/>
              </w:rPr>
            </w:pPr>
            <w:r w:rsidRPr="004E74A6">
              <w:rPr>
                <w:rFonts w:cs="Calibri"/>
                <w:b/>
                <w:bCs/>
                <w:color w:val="000000"/>
                <w:sz w:val="20"/>
                <w:lang w:eastAsia="es-CR"/>
              </w:rPr>
              <w:t>2021</w:t>
            </w:r>
          </w:p>
        </w:tc>
        <w:tc>
          <w:tcPr>
            <w:tcW w:w="688" w:type="pct"/>
            <w:tcBorders>
              <w:top w:val="single" w:sz="4" w:space="0" w:color="auto"/>
              <w:left w:val="single" w:sz="4" w:space="0" w:color="auto"/>
              <w:bottom w:val="single" w:sz="4" w:space="0" w:color="auto"/>
            </w:tcBorders>
            <w:shd w:val="clear" w:color="auto" w:fill="auto"/>
            <w:noWrap/>
            <w:vAlign w:val="center"/>
            <w:hideMark/>
          </w:tcPr>
          <w:p w14:paraId="76AEA413" w14:textId="697AE1D1" w:rsidR="008647ED" w:rsidRPr="004E74A6" w:rsidRDefault="00CB4692" w:rsidP="00CE62C1">
            <w:pPr>
              <w:spacing w:line="276" w:lineRule="auto"/>
              <w:jc w:val="center"/>
              <w:rPr>
                <w:rFonts w:cs="Calibri"/>
                <w:b/>
                <w:bCs/>
                <w:color w:val="000000"/>
                <w:sz w:val="20"/>
                <w:lang w:eastAsia="es-CR"/>
              </w:rPr>
            </w:pPr>
            <w:r w:rsidRPr="004E74A6">
              <w:rPr>
                <w:rFonts w:cs="Calibri"/>
                <w:b/>
                <w:bCs/>
                <w:color w:val="000000"/>
                <w:sz w:val="20"/>
                <w:lang w:eastAsia="es-CR"/>
              </w:rPr>
              <w:t>Promedio</w:t>
            </w:r>
          </w:p>
        </w:tc>
      </w:tr>
      <w:tr w:rsidR="00027CB3" w:rsidRPr="004E74A6" w14:paraId="7CE72CC1" w14:textId="77777777" w:rsidTr="0010143F">
        <w:trPr>
          <w:trHeight w:val="288"/>
          <w:jc w:val="center"/>
        </w:trPr>
        <w:tc>
          <w:tcPr>
            <w:tcW w:w="2758" w:type="pct"/>
            <w:tcBorders>
              <w:top w:val="single" w:sz="4" w:space="0" w:color="auto"/>
              <w:right w:val="single" w:sz="4" w:space="0" w:color="auto"/>
            </w:tcBorders>
            <w:shd w:val="clear" w:color="auto" w:fill="auto"/>
            <w:noWrap/>
            <w:vAlign w:val="bottom"/>
          </w:tcPr>
          <w:p w14:paraId="4084014A" w14:textId="77777777" w:rsidR="008647ED" w:rsidRPr="004E74A6" w:rsidRDefault="008647ED" w:rsidP="00CE62C1">
            <w:pPr>
              <w:spacing w:line="276" w:lineRule="auto"/>
              <w:jc w:val="left"/>
              <w:rPr>
                <w:rFonts w:cs="Calibri"/>
                <w:color w:val="000000"/>
                <w:sz w:val="20"/>
                <w:lang w:eastAsia="es-CR"/>
              </w:rPr>
            </w:pPr>
          </w:p>
        </w:tc>
        <w:tc>
          <w:tcPr>
            <w:tcW w:w="519" w:type="pct"/>
            <w:tcBorders>
              <w:top w:val="single" w:sz="4" w:space="0" w:color="auto"/>
              <w:left w:val="single" w:sz="4" w:space="0" w:color="auto"/>
              <w:right w:val="single" w:sz="4" w:space="0" w:color="auto"/>
            </w:tcBorders>
            <w:shd w:val="clear" w:color="auto" w:fill="auto"/>
            <w:noWrap/>
            <w:vAlign w:val="center"/>
          </w:tcPr>
          <w:p w14:paraId="23323C44" w14:textId="77777777" w:rsidR="008647ED" w:rsidRPr="004E74A6" w:rsidRDefault="008647ED" w:rsidP="00CE62C1">
            <w:pPr>
              <w:spacing w:line="276" w:lineRule="auto"/>
              <w:jc w:val="center"/>
              <w:rPr>
                <w:sz w:val="20"/>
                <w:lang w:eastAsia="es-CR"/>
              </w:rPr>
            </w:pPr>
          </w:p>
        </w:tc>
        <w:tc>
          <w:tcPr>
            <w:tcW w:w="519" w:type="pct"/>
            <w:tcBorders>
              <w:top w:val="single" w:sz="4" w:space="0" w:color="auto"/>
              <w:left w:val="single" w:sz="4" w:space="0" w:color="auto"/>
              <w:right w:val="single" w:sz="4" w:space="0" w:color="auto"/>
            </w:tcBorders>
            <w:shd w:val="clear" w:color="auto" w:fill="auto"/>
            <w:noWrap/>
            <w:vAlign w:val="center"/>
          </w:tcPr>
          <w:p w14:paraId="593EC203" w14:textId="77777777" w:rsidR="008647ED" w:rsidRPr="004E74A6" w:rsidRDefault="008647ED" w:rsidP="00CE62C1">
            <w:pPr>
              <w:spacing w:line="276" w:lineRule="auto"/>
              <w:jc w:val="center"/>
              <w:rPr>
                <w:sz w:val="20"/>
                <w:lang w:eastAsia="es-CR"/>
              </w:rPr>
            </w:pPr>
          </w:p>
        </w:tc>
        <w:tc>
          <w:tcPr>
            <w:tcW w:w="516" w:type="pct"/>
            <w:tcBorders>
              <w:top w:val="single" w:sz="4" w:space="0" w:color="auto"/>
              <w:left w:val="single" w:sz="4" w:space="0" w:color="auto"/>
              <w:right w:val="single" w:sz="4" w:space="0" w:color="auto"/>
            </w:tcBorders>
            <w:shd w:val="clear" w:color="auto" w:fill="auto"/>
            <w:noWrap/>
            <w:vAlign w:val="center"/>
          </w:tcPr>
          <w:p w14:paraId="57A5C79A" w14:textId="77777777" w:rsidR="008647ED" w:rsidRPr="004E74A6" w:rsidRDefault="008647ED" w:rsidP="00CE62C1">
            <w:pPr>
              <w:spacing w:line="276" w:lineRule="auto"/>
              <w:jc w:val="center"/>
              <w:rPr>
                <w:rFonts w:cs="Calibri"/>
                <w:color w:val="000000"/>
                <w:sz w:val="20"/>
                <w:lang w:eastAsia="es-CR"/>
              </w:rPr>
            </w:pPr>
          </w:p>
        </w:tc>
        <w:tc>
          <w:tcPr>
            <w:tcW w:w="688" w:type="pct"/>
            <w:tcBorders>
              <w:top w:val="single" w:sz="4" w:space="0" w:color="auto"/>
              <w:left w:val="single" w:sz="4" w:space="0" w:color="auto"/>
            </w:tcBorders>
            <w:shd w:val="clear" w:color="auto" w:fill="auto"/>
            <w:noWrap/>
            <w:vAlign w:val="center"/>
          </w:tcPr>
          <w:p w14:paraId="0DE748F9" w14:textId="77777777" w:rsidR="008647ED" w:rsidRPr="004E74A6" w:rsidRDefault="008647ED" w:rsidP="00CE62C1">
            <w:pPr>
              <w:spacing w:line="276" w:lineRule="auto"/>
              <w:jc w:val="center"/>
              <w:rPr>
                <w:rFonts w:cs="Calibri"/>
                <w:color w:val="000000"/>
                <w:sz w:val="20"/>
                <w:lang w:eastAsia="es-CR"/>
              </w:rPr>
            </w:pPr>
          </w:p>
        </w:tc>
      </w:tr>
      <w:tr w:rsidR="00E72CA5" w:rsidRPr="004E74A6" w14:paraId="2C162F74" w14:textId="77777777" w:rsidTr="0010143F">
        <w:trPr>
          <w:trHeight w:val="288"/>
          <w:jc w:val="center"/>
        </w:trPr>
        <w:tc>
          <w:tcPr>
            <w:tcW w:w="2758" w:type="pct"/>
            <w:tcBorders>
              <w:right w:val="single" w:sz="4" w:space="0" w:color="auto"/>
            </w:tcBorders>
            <w:shd w:val="clear" w:color="auto" w:fill="auto"/>
            <w:noWrap/>
            <w:vAlign w:val="bottom"/>
          </w:tcPr>
          <w:p w14:paraId="78EB7744" w14:textId="13815390" w:rsidR="00E72CA5" w:rsidRPr="004E74A6" w:rsidRDefault="00E72CA5" w:rsidP="00CE62C1">
            <w:pPr>
              <w:spacing w:line="276" w:lineRule="auto"/>
              <w:jc w:val="center"/>
              <w:rPr>
                <w:rFonts w:cs="Calibri"/>
                <w:color w:val="000000"/>
                <w:sz w:val="20"/>
                <w:lang w:eastAsia="es-CR"/>
              </w:rPr>
            </w:pPr>
            <w:r w:rsidRPr="004E74A6">
              <w:rPr>
                <w:rFonts w:cs="Calibri"/>
                <w:color w:val="000000"/>
                <w:sz w:val="20"/>
                <w:lang w:eastAsia="es-CR"/>
              </w:rPr>
              <w:t>Total General</w:t>
            </w:r>
          </w:p>
        </w:tc>
        <w:tc>
          <w:tcPr>
            <w:tcW w:w="519" w:type="pct"/>
            <w:tcBorders>
              <w:left w:val="single" w:sz="4" w:space="0" w:color="auto"/>
              <w:right w:val="single" w:sz="4" w:space="0" w:color="auto"/>
            </w:tcBorders>
            <w:shd w:val="clear" w:color="auto" w:fill="auto"/>
            <w:noWrap/>
            <w:vAlign w:val="center"/>
          </w:tcPr>
          <w:p w14:paraId="7C4B6C20" w14:textId="636F79F3" w:rsidR="00E72CA5" w:rsidRPr="004E74A6" w:rsidRDefault="00E72CA5" w:rsidP="00CE62C1">
            <w:pPr>
              <w:spacing w:line="276" w:lineRule="auto"/>
              <w:jc w:val="center"/>
              <w:rPr>
                <w:sz w:val="20"/>
                <w:lang w:eastAsia="es-CR"/>
              </w:rPr>
            </w:pPr>
            <w:r w:rsidRPr="004E74A6">
              <w:rPr>
                <w:rFonts w:cs="Calibri"/>
                <w:color w:val="000000"/>
                <w:sz w:val="20"/>
                <w:lang w:eastAsia="es-CR"/>
              </w:rPr>
              <w:t>259</w:t>
            </w:r>
          </w:p>
        </w:tc>
        <w:tc>
          <w:tcPr>
            <w:tcW w:w="519" w:type="pct"/>
            <w:tcBorders>
              <w:left w:val="single" w:sz="4" w:space="0" w:color="auto"/>
              <w:right w:val="single" w:sz="4" w:space="0" w:color="auto"/>
            </w:tcBorders>
            <w:shd w:val="clear" w:color="auto" w:fill="auto"/>
            <w:noWrap/>
            <w:vAlign w:val="center"/>
          </w:tcPr>
          <w:p w14:paraId="748014B6" w14:textId="46A659C9" w:rsidR="00E72CA5" w:rsidRPr="004E74A6" w:rsidRDefault="00E72CA5" w:rsidP="00CE62C1">
            <w:pPr>
              <w:spacing w:line="276" w:lineRule="auto"/>
              <w:jc w:val="center"/>
              <w:rPr>
                <w:sz w:val="20"/>
                <w:lang w:eastAsia="es-CR"/>
              </w:rPr>
            </w:pPr>
            <w:r w:rsidRPr="004E74A6">
              <w:rPr>
                <w:rFonts w:cs="Calibri"/>
                <w:color w:val="000000"/>
                <w:sz w:val="20"/>
                <w:lang w:eastAsia="es-CR"/>
              </w:rPr>
              <w:t>184</w:t>
            </w:r>
          </w:p>
        </w:tc>
        <w:tc>
          <w:tcPr>
            <w:tcW w:w="516" w:type="pct"/>
            <w:tcBorders>
              <w:left w:val="single" w:sz="4" w:space="0" w:color="auto"/>
              <w:right w:val="single" w:sz="4" w:space="0" w:color="auto"/>
            </w:tcBorders>
            <w:shd w:val="clear" w:color="auto" w:fill="auto"/>
            <w:noWrap/>
            <w:vAlign w:val="center"/>
          </w:tcPr>
          <w:p w14:paraId="70A78B84" w14:textId="76CF4D2E" w:rsidR="00E72CA5" w:rsidRPr="004E74A6" w:rsidRDefault="00E72CA5" w:rsidP="00CE62C1">
            <w:pPr>
              <w:spacing w:line="276" w:lineRule="auto"/>
              <w:jc w:val="center"/>
              <w:rPr>
                <w:rFonts w:cs="Calibri"/>
                <w:color w:val="000000"/>
                <w:sz w:val="20"/>
                <w:lang w:eastAsia="es-CR"/>
              </w:rPr>
            </w:pPr>
            <w:r w:rsidRPr="004E74A6">
              <w:rPr>
                <w:rFonts w:cs="Calibri"/>
                <w:color w:val="000000"/>
                <w:sz w:val="20"/>
                <w:lang w:eastAsia="es-CR"/>
              </w:rPr>
              <w:t>205</w:t>
            </w:r>
          </w:p>
        </w:tc>
        <w:tc>
          <w:tcPr>
            <w:tcW w:w="688" w:type="pct"/>
            <w:tcBorders>
              <w:left w:val="single" w:sz="4" w:space="0" w:color="auto"/>
            </w:tcBorders>
            <w:shd w:val="clear" w:color="auto" w:fill="auto"/>
            <w:noWrap/>
            <w:vAlign w:val="center"/>
          </w:tcPr>
          <w:p w14:paraId="66A03B77" w14:textId="09D0E3C3" w:rsidR="00E72CA5" w:rsidRPr="004E74A6" w:rsidRDefault="00E72CA5" w:rsidP="00CE62C1">
            <w:pPr>
              <w:spacing w:line="276" w:lineRule="auto"/>
              <w:jc w:val="center"/>
              <w:rPr>
                <w:rFonts w:cs="Calibri"/>
                <w:color w:val="000000"/>
                <w:sz w:val="20"/>
              </w:rPr>
            </w:pPr>
            <w:r w:rsidRPr="004E74A6">
              <w:rPr>
                <w:rFonts w:cs="Calibri"/>
                <w:color w:val="000000"/>
                <w:sz w:val="20"/>
              </w:rPr>
              <w:t>216</w:t>
            </w:r>
          </w:p>
        </w:tc>
      </w:tr>
      <w:tr w:rsidR="00E72CA5" w:rsidRPr="004E74A6" w14:paraId="40F00D82" w14:textId="77777777" w:rsidTr="0010143F">
        <w:trPr>
          <w:trHeight w:val="288"/>
          <w:jc w:val="center"/>
        </w:trPr>
        <w:tc>
          <w:tcPr>
            <w:tcW w:w="2758" w:type="pct"/>
            <w:tcBorders>
              <w:right w:val="single" w:sz="4" w:space="0" w:color="auto"/>
            </w:tcBorders>
            <w:shd w:val="clear" w:color="auto" w:fill="auto"/>
            <w:noWrap/>
            <w:vAlign w:val="bottom"/>
          </w:tcPr>
          <w:p w14:paraId="69F3E580" w14:textId="77777777" w:rsidR="00E72CA5" w:rsidRPr="004E74A6" w:rsidRDefault="00E72CA5" w:rsidP="00CE62C1">
            <w:pPr>
              <w:spacing w:line="276" w:lineRule="auto"/>
              <w:jc w:val="left"/>
              <w:rPr>
                <w:rFonts w:cs="Calibri"/>
                <w:color w:val="000000"/>
                <w:sz w:val="20"/>
                <w:lang w:eastAsia="es-CR"/>
              </w:rPr>
            </w:pPr>
          </w:p>
        </w:tc>
        <w:tc>
          <w:tcPr>
            <w:tcW w:w="519" w:type="pct"/>
            <w:tcBorders>
              <w:left w:val="single" w:sz="4" w:space="0" w:color="auto"/>
              <w:right w:val="single" w:sz="4" w:space="0" w:color="auto"/>
            </w:tcBorders>
            <w:shd w:val="clear" w:color="auto" w:fill="auto"/>
            <w:noWrap/>
            <w:vAlign w:val="center"/>
          </w:tcPr>
          <w:p w14:paraId="4CB86180" w14:textId="77777777" w:rsidR="00E72CA5" w:rsidRPr="004E74A6" w:rsidRDefault="00E72CA5" w:rsidP="00CE62C1">
            <w:pPr>
              <w:spacing w:line="276" w:lineRule="auto"/>
              <w:jc w:val="center"/>
              <w:rPr>
                <w:sz w:val="20"/>
                <w:lang w:eastAsia="es-CR"/>
              </w:rPr>
            </w:pPr>
          </w:p>
        </w:tc>
        <w:tc>
          <w:tcPr>
            <w:tcW w:w="519" w:type="pct"/>
            <w:tcBorders>
              <w:left w:val="single" w:sz="4" w:space="0" w:color="auto"/>
              <w:right w:val="single" w:sz="4" w:space="0" w:color="auto"/>
            </w:tcBorders>
            <w:shd w:val="clear" w:color="auto" w:fill="auto"/>
            <w:noWrap/>
            <w:vAlign w:val="center"/>
          </w:tcPr>
          <w:p w14:paraId="58814AF5" w14:textId="77777777" w:rsidR="00E72CA5" w:rsidRPr="004E74A6" w:rsidRDefault="00E72CA5" w:rsidP="00CE62C1">
            <w:pPr>
              <w:spacing w:line="276" w:lineRule="auto"/>
              <w:jc w:val="center"/>
              <w:rPr>
                <w:sz w:val="20"/>
                <w:lang w:eastAsia="es-CR"/>
              </w:rPr>
            </w:pPr>
          </w:p>
        </w:tc>
        <w:tc>
          <w:tcPr>
            <w:tcW w:w="516" w:type="pct"/>
            <w:tcBorders>
              <w:left w:val="single" w:sz="4" w:space="0" w:color="auto"/>
              <w:right w:val="single" w:sz="4" w:space="0" w:color="auto"/>
            </w:tcBorders>
            <w:shd w:val="clear" w:color="auto" w:fill="auto"/>
            <w:noWrap/>
            <w:vAlign w:val="center"/>
          </w:tcPr>
          <w:p w14:paraId="73258293" w14:textId="77777777" w:rsidR="00E72CA5" w:rsidRPr="004E74A6" w:rsidRDefault="00E72CA5" w:rsidP="00CE62C1">
            <w:pPr>
              <w:spacing w:line="276" w:lineRule="auto"/>
              <w:jc w:val="center"/>
              <w:rPr>
                <w:rFonts w:cs="Calibri"/>
                <w:color w:val="000000"/>
                <w:sz w:val="20"/>
                <w:lang w:eastAsia="es-CR"/>
              </w:rPr>
            </w:pPr>
          </w:p>
        </w:tc>
        <w:tc>
          <w:tcPr>
            <w:tcW w:w="688" w:type="pct"/>
            <w:tcBorders>
              <w:left w:val="single" w:sz="4" w:space="0" w:color="auto"/>
            </w:tcBorders>
            <w:shd w:val="clear" w:color="auto" w:fill="auto"/>
            <w:noWrap/>
            <w:vAlign w:val="center"/>
          </w:tcPr>
          <w:p w14:paraId="010F3EFC" w14:textId="77777777" w:rsidR="00E72CA5" w:rsidRPr="004E74A6" w:rsidRDefault="00E72CA5" w:rsidP="00CE62C1">
            <w:pPr>
              <w:spacing w:line="276" w:lineRule="auto"/>
              <w:jc w:val="center"/>
              <w:rPr>
                <w:rFonts w:cs="Calibri"/>
                <w:color w:val="000000"/>
                <w:sz w:val="20"/>
              </w:rPr>
            </w:pPr>
          </w:p>
        </w:tc>
      </w:tr>
      <w:tr w:rsidR="00E72CA5" w:rsidRPr="004E74A6" w14:paraId="49CB7B86" w14:textId="77777777" w:rsidTr="0010143F">
        <w:trPr>
          <w:trHeight w:val="288"/>
          <w:jc w:val="center"/>
        </w:trPr>
        <w:tc>
          <w:tcPr>
            <w:tcW w:w="2758" w:type="pct"/>
            <w:tcBorders>
              <w:right w:val="single" w:sz="4" w:space="0" w:color="auto"/>
            </w:tcBorders>
            <w:shd w:val="clear" w:color="auto" w:fill="auto"/>
            <w:noWrap/>
            <w:vAlign w:val="bottom"/>
            <w:hideMark/>
          </w:tcPr>
          <w:p w14:paraId="4BACE013" w14:textId="77777777" w:rsidR="00E72CA5" w:rsidRPr="004E74A6" w:rsidRDefault="00E72CA5" w:rsidP="00CE62C1">
            <w:pPr>
              <w:spacing w:line="276" w:lineRule="auto"/>
              <w:jc w:val="left"/>
              <w:rPr>
                <w:rFonts w:cs="Calibri"/>
                <w:color w:val="000000"/>
                <w:sz w:val="20"/>
                <w:lang w:eastAsia="es-CR"/>
              </w:rPr>
            </w:pPr>
            <w:r w:rsidRPr="004E74A6">
              <w:rPr>
                <w:rFonts w:cs="Calibri"/>
                <w:color w:val="000000"/>
                <w:sz w:val="20"/>
                <w:lang w:eastAsia="es-CR"/>
              </w:rPr>
              <w:t>Comisiones Recibidas</w:t>
            </w:r>
          </w:p>
        </w:tc>
        <w:tc>
          <w:tcPr>
            <w:tcW w:w="519" w:type="pct"/>
            <w:tcBorders>
              <w:left w:val="single" w:sz="4" w:space="0" w:color="auto"/>
              <w:right w:val="single" w:sz="4" w:space="0" w:color="auto"/>
            </w:tcBorders>
            <w:shd w:val="clear" w:color="auto" w:fill="auto"/>
            <w:noWrap/>
            <w:vAlign w:val="center"/>
            <w:hideMark/>
          </w:tcPr>
          <w:p w14:paraId="421D0B66" w14:textId="5B880898" w:rsidR="00E72CA5" w:rsidRPr="004E74A6" w:rsidRDefault="00E72CA5" w:rsidP="00CE62C1">
            <w:pPr>
              <w:spacing w:line="276" w:lineRule="auto"/>
              <w:jc w:val="center"/>
              <w:rPr>
                <w:sz w:val="20"/>
                <w:lang w:eastAsia="es-CR"/>
              </w:rPr>
            </w:pPr>
            <w:r w:rsidRPr="004E74A6">
              <w:rPr>
                <w:sz w:val="20"/>
                <w:lang w:eastAsia="es-CR"/>
              </w:rPr>
              <w:t>0</w:t>
            </w:r>
          </w:p>
        </w:tc>
        <w:tc>
          <w:tcPr>
            <w:tcW w:w="519" w:type="pct"/>
            <w:tcBorders>
              <w:left w:val="single" w:sz="4" w:space="0" w:color="auto"/>
              <w:right w:val="single" w:sz="4" w:space="0" w:color="auto"/>
            </w:tcBorders>
            <w:shd w:val="clear" w:color="auto" w:fill="auto"/>
            <w:noWrap/>
            <w:vAlign w:val="center"/>
            <w:hideMark/>
          </w:tcPr>
          <w:p w14:paraId="6F4B215E" w14:textId="0CBE88B0" w:rsidR="00E72CA5" w:rsidRPr="004E74A6" w:rsidRDefault="00E72CA5" w:rsidP="00CE62C1">
            <w:pPr>
              <w:spacing w:line="276" w:lineRule="auto"/>
              <w:jc w:val="center"/>
              <w:rPr>
                <w:sz w:val="20"/>
                <w:lang w:eastAsia="es-CR"/>
              </w:rPr>
            </w:pPr>
            <w:r w:rsidRPr="004E74A6">
              <w:rPr>
                <w:sz w:val="20"/>
                <w:lang w:eastAsia="es-CR"/>
              </w:rPr>
              <w:t>0</w:t>
            </w:r>
          </w:p>
        </w:tc>
        <w:tc>
          <w:tcPr>
            <w:tcW w:w="516" w:type="pct"/>
            <w:tcBorders>
              <w:left w:val="single" w:sz="4" w:space="0" w:color="auto"/>
              <w:right w:val="single" w:sz="4" w:space="0" w:color="auto"/>
            </w:tcBorders>
            <w:shd w:val="clear" w:color="auto" w:fill="auto"/>
            <w:noWrap/>
            <w:vAlign w:val="center"/>
            <w:hideMark/>
          </w:tcPr>
          <w:p w14:paraId="304C00C5" w14:textId="77777777" w:rsidR="00E72CA5" w:rsidRPr="004E74A6" w:rsidRDefault="00E72CA5" w:rsidP="00CE62C1">
            <w:pPr>
              <w:spacing w:line="276" w:lineRule="auto"/>
              <w:jc w:val="center"/>
              <w:rPr>
                <w:rFonts w:cs="Calibri"/>
                <w:color w:val="000000"/>
                <w:sz w:val="20"/>
                <w:lang w:eastAsia="es-CR"/>
              </w:rPr>
            </w:pPr>
            <w:r w:rsidRPr="004E74A6">
              <w:rPr>
                <w:rFonts w:cs="Calibri"/>
                <w:color w:val="000000"/>
                <w:sz w:val="20"/>
                <w:lang w:eastAsia="es-CR"/>
              </w:rPr>
              <w:t>2</w:t>
            </w:r>
          </w:p>
        </w:tc>
        <w:tc>
          <w:tcPr>
            <w:tcW w:w="688" w:type="pct"/>
            <w:tcBorders>
              <w:left w:val="single" w:sz="4" w:space="0" w:color="auto"/>
            </w:tcBorders>
            <w:shd w:val="clear" w:color="auto" w:fill="auto"/>
            <w:noWrap/>
            <w:vAlign w:val="center"/>
            <w:hideMark/>
          </w:tcPr>
          <w:p w14:paraId="6EC65583" w14:textId="3DEBBE2C" w:rsidR="00E72CA5" w:rsidRPr="004E74A6" w:rsidRDefault="00E72CA5" w:rsidP="00CE62C1">
            <w:pPr>
              <w:spacing w:line="276" w:lineRule="auto"/>
              <w:jc w:val="center"/>
              <w:rPr>
                <w:rFonts w:cs="Calibri"/>
                <w:color w:val="000000"/>
                <w:sz w:val="20"/>
                <w:lang w:eastAsia="es-CR"/>
              </w:rPr>
            </w:pPr>
            <w:r w:rsidRPr="004E74A6">
              <w:rPr>
                <w:rFonts w:cs="Calibri"/>
                <w:color w:val="000000"/>
                <w:sz w:val="20"/>
              </w:rPr>
              <w:t>0,7</w:t>
            </w:r>
          </w:p>
        </w:tc>
      </w:tr>
      <w:tr w:rsidR="00E72CA5" w:rsidRPr="004E74A6" w14:paraId="605E74E6" w14:textId="77777777" w:rsidTr="0010143F">
        <w:trPr>
          <w:trHeight w:val="288"/>
          <w:jc w:val="center"/>
        </w:trPr>
        <w:tc>
          <w:tcPr>
            <w:tcW w:w="2758" w:type="pct"/>
            <w:tcBorders>
              <w:right w:val="single" w:sz="4" w:space="0" w:color="auto"/>
            </w:tcBorders>
            <w:shd w:val="clear" w:color="auto" w:fill="auto"/>
            <w:noWrap/>
            <w:vAlign w:val="bottom"/>
            <w:hideMark/>
          </w:tcPr>
          <w:p w14:paraId="1E4EA41D" w14:textId="77777777" w:rsidR="00E72CA5" w:rsidRPr="004E74A6" w:rsidRDefault="00E72CA5" w:rsidP="00CE62C1">
            <w:pPr>
              <w:spacing w:line="276" w:lineRule="auto"/>
              <w:jc w:val="left"/>
              <w:rPr>
                <w:rFonts w:cs="Calibri"/>
                <w:color w:val="000000"/>
                <w:sz w:val="20"/>
                <w:lang w:eastAsia="es-CR"/>
              </w:rPr>
            </w:pPr>
            <w:r w:rsidRPr="004E74A6">
              <w:rPr>
                <w:rFonts w:cs="Calibri"/>
                <w:color w:val="000000"/>
                <w:sz w:val="20"/>
                <w:lang w:eastAsia="es-CR"/>
              </w:rPr>
              <w:t>Incidentes Procesales</w:t>
            </w:r>
          </w:p>
        </w:tc>
        <w:tc>
          <w:tcPr>
            <w:tcW w:w="519" w:type="pct"/>
            <w:tcBorders>
              <w:left w:val="single" w:sz="4" w:space="0" w:color="auto"/>
              <w:right w:val="single" w:sz="4" w:space="0" w:color="auto"/>
            </w:tcBorders>
            <w:shd w:val="clear" w:color="auto" w:fill="auto"/>
            <w:noWrap/>
            <w:vAlign w:val="center"/>
            <w:hideMark/>
          </w:tcPr>
          <w:p w14:paraId="49FABD9B" w14:textId="77777777" w:rsidR="00E72CA5" w:rsidRPr="004E74A6" w:rsidRDefault="00E72CA5" w:rsidP="00CE62C1">
            <w:pPr>
              <w:spacing w:line="276" w:lineRule="auto"/>
              <w:jc w:val="center"/>
              <w:rPr>
                <w:rFonts w:cs="Calibri"/>
                <w:color w:val="000000"/>
                <w:sz w:val="20"/>
                <w:lang w:eastAsia="es-CR"/>
              </w:rPr>
            </w:pPr>
            <w:r w:rsidRPr="004E74A6">
              <w:rPr>
                <w:rFonts w:cs="Calibri"/>
                <w:color w:val="000000"/>
                <w:sz w:val="20"/>
                <w:lang w:eastAsia="es-CR"/>
              </w:rPr>
              <w:t>13</w:t>
            </w:r>
          </w:p>
        </w:tc>
        <w:tc>
          <w:tcPr>
            <w:tcW w:w="519" w:type="pct"/>
            <w:tcBorders>
              <w:left w:val="single" w:sz="4" w:space="0" w:color="auto"/>
              <w:right w:val="single" w:sz="4" w:space="0" w:color="auto"/>
            </w:tcBorders>
            <w:shd w:val="clear" w:color="auto" w:fill="auto"/>
            <w:noWrap/>
            <w:vAlign w:val="center"/>
            <w:hideMark/>
          </w:tcPr>
          <w:p w14:paraId="3348D1AE" w14:textId="77777777" w:rsidR="00E72CA5" w:rsidRPr="004E74A6" w:rsidRDefault="00E72CA5" w:rsidP="00CE62C1">
            <w:pPr>
              <w:spacing w:line="276" w:lineRule="auto"/>
              <w:jc w:val="center"/>
              <w:rPr>
                <w:rFonts w:cs="Calibri"/>
                <w:color w:val="000000"/>
                <w:sz w:val="20"/>
                <w:lang w:eastAsia="es-CR"/>
              </w:rPr>
            </w:pPr>
            <w:r w:rsidRPr="004E74A6">
              <w:rPr>
                <w:rFonts w:cs="Calibri"/>
                <w:color w:val="000000"/>
                <w:sz w:val="20"/>
                <w:lang w:eastAsia="es-CR"/>
              </w:rPr>
              <w:t>10</w:t>
            </w:r>
          </w:p>
        </w:tc>
        <w:tc>
          <w:tcPr>
            <w:tcW w:w="516" w:type="pct"/>
            <w:tcBorders>
              <w:left w:val="single" w:sz="4" w:space="0" w:color="auto"/>
              <w:right w:val="single" w:sz="4" w:space="0" w:color="auto"/>
            </w:tcBorders>
            <w:shd w:val="clear" w:color="auto" w:fill="auto"/>
            <w:noWrap/>
            <w:vAlign w:val="center"/>
            <w:hideMark/>
          </w:tcPr>
          <w:p w14:paraId="0BA0C90B" w14:textId="77777777" w:rsidR="00E72CA5" w:rsidRPr="004E74A6" w:rsidRDefault="00E72CA5" w:rsidP="00CE62C1">
            <w:pPr>
              <w:spacing w:line="276" w:lineRule="auto"/>
              <w:jc w:val="center"/>
              <w:rPr>
                <w:rFonts w:cs="Calibri"/>
                <w:color w:val="000000"/>
                <w:sz w:val="20"/>
                <w:lang w:eastAsia="es-CR"/>
              </w:rPr>
            </w:pPr>
            <w:r w:rsidRPr="004E74A6">
              <w:rPr>
                <w:rFonts w:cs="Calibri"/>
                <w:color w:val="000000"/>
                <w:sz w:val="20"/>
                <w:lang w:eastAsia="es-CR"/>
              </w:rPr>
              <w:t>10</w:t>
            </w:r>
          </w:p>
        </w:tc>
        <w:tc>
          <w:tcPr>
            <w:tcW w:w="688" w:type="pct"/>
            <w:tcBorders>
              <w:left w:val="single" w:sz="4" w:space="0" w:color="auto"/>
            </w:tcBorders>
            <w:shd w:val="clear" w:color="auto" w:fill="auto"/>
            <w:noWrap/>
            <w:vAlign w:val="center"/>
            <w:hideMark/>
          </w:tcPr>
          <w:p w14:paraId="324D73C1" w14:textId="3653CD88" w:rsidR="00E72CA5" w:rsidRPr="004E74A6" w:rsidRDefault="00E72CA5" w:rsidP="00CE62C1">
            <w:pPr>
              <w:spacing w:line="276" w:lineRule="auto"/>
              <w:jc w:val="center"/>
              <w:rPr>
                <w:rFonts w:cs="Calibri"/>
                <w:color w:val="000000"/>
                <w:sz w:val="20"/>
                <w:lang w:eastAsia="es-CR"/>
              </w:rPr>
            </w:pPr>
            <w:r w:rsidRPr="004E74A6">
              <w:rPr>
                <w:rFonts w:cs="Calibri"/>
                <w:color w:val="000000"/>
                <w:sz w:val="20"/>
              </w:rPr>
              <w:t>11</w:t>
            </w:r>
          </w:p>
        </w:tc>
      </w:tr>
      <w:tr w:rsidR="00E72CA5" w:rsidRPr="004E74A6" w14:paraId="2B9A8463" w14:textId="77777777" w:rsidTr="0010143F">
        <w:trPr>
          <w:trHeight w:val="288"/>
          <w:jc w:val="center"/>
        </w:trPr>
        <w:tc>
          <w:tcPr>
            <w:tcW w:w="2758" w:type="pct"/>
            <w:tcBorders>
              <w:right w:val="single" w:sz="4" w:space="0" w:color="auto"/>
            </w:tcBorders>
            <w:shd w:val="clear" w:color="auto" w:fill="auto"/>
            <w:noWrap/>
            <w:vAlign w:val="bottom"/>
            <w:hideMark/>
          </w:tcPr>
          <w:p w14:paraId="22B787D4" w14:textId="77777777" w:rsidR="00E72CA5" w:rsidRPr="004E74A6" w:rsidRDefault="00E72CA5" w:rsidP="00CE62C1">
            <w:pPr>
              <w:spacing w:line="276" w:lineRule="auto"/>
              <w:jc w:val="left"/>
              <w:rPr>
                <w:rFonts w:cs="Calibri"/>
                <w:color w:val="000000"/>
                <w:sz w:val="20"/>
                <w:lang w:eastAsia="es-CR"/>
              </w:rPr>
            </w:pPr>
            <w:r w:rsidRPr="004E74A6">
              <w:rPr>
                <w:rFonts w:cs="Calibri"/>
                <w:color w:val="000000"/>
                <w:sz w:val="20"/>
                <w:lang w:eastAsia="es-CR"/>
              </w:rPr>
              <w:t>Legajo Apelación Por Inadmisión</w:t>
            </w:r>
          </w:p>
        </w:tc>
        <w:tc>
          <w:tcPr>
            <w:tcW w:w="519" w:type="pct"/>
            <w:tcBorders>
              <w:left w:val="single" w:sz="4" w:space="0" w:color="auto"/>
              <w:right w:val="single" w:sz="4" w:space="0" w:color="auto"/>
            </w:tcBorders>
            <w:shd w:val="clear" w:color="auto" w:fill="auto"/>
            <w:noWrap/>
            <w:vAlign w:val="center"/>
            <w:hideMark/>
          </w:tcPr>
          <w:p w14:paraId="75E2958C" w14:textId="77777777" w:rsidR="00E72CA5" w:rsidRPr="004E74A6" w:rsidRDefault="00E72CA5" w:rsidP="00CE62C1">
            <w:pPr>
              <w:spacing w:line="276" w:lineRule="auto"/>
              <w:jc w:val="center"/>
              <w:rPr>
                <w:rFonts w:cs="Calibri"/>
                <w:color w:val="000000"/>
                <w:sz w:val="20"/>
                <w:lang w:eastAsia="es-CR"/>
              </w:rPr>
            </w:pPr>
            <w:r w:rsidRPr="004E74A6">
              <w:rPr>
                <w:rFonts w:cs="Calibri"/>
                <w:color w:val="000000"/>
                <w:sz w:val="20"/>
                <w:lang w:eastAsia="es-CR"/>
              </w:rPr>
              <w:t>2</w:t>
            </w:r>
          </w:p>
        </w:tc>
        <w:tc>
          <w:tcPr>
            <w:tcW w:w="519" w:type="pct"/>
            <w:tcBorders>
              <w:left w:val="single" w:sz="4" w:space="0" w:color="auto"/>
              <w:right w:val="single" w:sz="4" w:space="0" w:color="auto"/>
            </w:tcBorders>
            <w:shd w:val="clear" w:color="auto" w:fill="auto"/>
            <w:noWrap/>
            <w:vAlign w:val="center"/>
            <w:hideMark/>
          </w:tcPr>
          <w:p w14:paraId="10900B48" w14:textId="77777777" w:rsidR="00E72CA5" w:rsidRPr="004E74A6" w:rsidRDefault="00E72CA5" w:rsidP="00CE62C1">
            <w:pPr>
              <w:spacing w:line="276" w:lineRule="auto"/>
              <w:jc w:val="center"/>
              <w:rPr>
                <w:rFonts w:cs="Calibri"/>
                <w:color w:val="000000"/>
                <w:sz w:val="20"/>
                <w:lang w:eastAsia="es-CR"/>
              </w:rPr>
            </w:pPr>
            <w:r w:rsidRPr="004E74A6">
              <w:rPr>
                <w:rFonts w:cs="Calibri"/>
                <w:color w:val="000000"/>
                <w:sz w:val="20"/>
                <w:lang w:eastAsia="es-CR"/>
              </w:rPr>
              <w:t>9</w:t>
            </w:r>
          </w:p>
        </w:tc>
        <w:tc>
          <w:tcPr>
            <w:tcW w:w="516" w:type="pct"/>
            <w:tcBorders>
              <w:left w:val="single" w:sz="4" w:space="0" w:color="auto"/>
              <w:right w:val="single" w:sz="4" w:space="0" w:color="auto"/>
            </w:tcBorders>
            <w:shd w:val="clear" w:color="auto" w:fill="auto"/>
            <w:noWrap/>
            <w:vAlign w:val="center"/>
            <w:hideMark/>
          </w:tcPr>
          <w:p w14:paraId="010D8088" w14:textId="77777777" w:rsidR="00E72CA5" w:rsidRPr="004E74A6" w:rsidRDefault="00E72CA5" w:rsidP="00CE62C1">
            <w:pPr>
              <w:spacing w:line="276" w:lineRule="auto"/>
              <w:jc w:val="center"/>
              <w:rPr>
                <w:rFonts w:cs="Calibri"/>
                <w:color w:val="000000"/>
                <w:sz w:val="20"/>
                <w:lang w:eastAsia="es-CR"/>
              </w:rPr>
            </w:pPr>
            <w:r w:rsidRPr="004E74A6">
              <w:rPr>
                <w:rFonts w:cs="Calibri"/>
                <w:color w:val="000000"/>
                <w:sz w:val="20"/>
                <w:lang w:eastAsia="es-CR"/>
              </w:rPr>
              <w:t>1</w:t>
            </w:r>
          </w:p>
        </w:tc>
        <w:tc>
          <w:tcPr>
            <w:tcW w:w="688" w:type="pct"/>
            <w:tcBorders>
              <w:left w:val="single" w:sz="4" w:space="0" w:color="auto"/>
            </w:tcBorders>
            <w:shd w:val="clear" w:color="auto" w:fill="auto"/>
            <w:noWrap/>
            <w:vAlign w:val="center"/>
            <w:hideMark/>
          </w:tcPr>
          <w:p w14:paraId="7E089DCC" w14:textId="5E0FA68F" w:rsidR="00E72CA5" w:rsidRPr="004E74A6" w:rsidRDefault="00E72CA5" w:rsidP="00CE62C1">
            <w:pPr>
              <w:spacing w:line="276" w:lineRule="auto"/>
              <w:jc w:val="center"/>
              <w:rPr>
                <w:rFonts w:cs="Calibri"/>
                <w:color w:val="000000"/>
                <w:sz w:val="20"/>
                <w:lang w:eastAsia="es-CR"/>
              </w:rPr>
            </w:pPr>
            <w:r w:rsidRPr="004E74A6">
              <w:rPr>
                <w:rFonts w:cs="Calibri"/>
                <w:color w:val="000000"/>
                <w:sz w:val="20"/>
              </w:rPr>
              <w:t>4</w:t>
            </w:r>
          </w:p>
        </w:tc>
      </w:tr>
      <w:tr w:rsidR="00E72CA5" w:rsidRPr="004E74A6" w14:paraId="33CA064B" w14:textId="77777777" w:rsidTr="0010143F">
        <w:trPr>
          <w:trHeight w:val="288"/>
          <w:jc w:val="center"/>
        </w:trPr>
        <w:tc>
          <w:tcPr>
            <w:tcW w:w="2758" w:type="pct"/>
            <w:tcBorders>
              <w:right w:val="single" w:sz="4" w:space="0" w:color="auto"/>
            </w:tcBorders>
            <w:shd w:val="clear" w:color="auto" w:fill="auto"/>
            <w:noWrap/>
            <w:vAlign w:val="bottom"/>
            <w:hideMark/>
          </w:tcPr>
          <w:p w14:paraId="61D590EC" w14:textId="77777777" w:rsidR="00E72CA5" w:rsidRPr="004E74A6" w:rsidRDefault="00E72CA5" w:rsidP="00CE62C1">
            <w:pPr>
              <w:spacing w:line="276" w:lineRule="auto"/>
              <w:jc w:val="left"/>
              <w:rPr>
                <w:rFonts w:cs="Calibri"/>
                <w:color w:val="000000"/>
                <w:sz w:val="20"/>
                <w:lang w:eastAsia="es-CR"/>
              </w:rPr>
            </w:pPr>
            <w:r w:rsidRPr="004E74A6">
              <w:rPr>
                <w:rFonts w:cs="Calibri"/>
                <w:color w:val="000000"/>
                <w:sz w:val="20"/>
                <w:lang w:eastAsia="es-CR"/>
              </w:rPr>
              <w:t>Legajo De Ejecución Provisional</w:t>
            </w:r>
          </w:p>
        </w:tc>
        <w:tc>
          <w:tcPr>
            <w:tcW w:w="519" w:type="pct"/>
            <w:tcBorders>
              <w:left w:val="single" w:sz="4" w:space="0" w:color="auto"/>
              <w:right w:val="single" w:sz="4" w:space="0" w:color="auto"/>
            </w:tcBorders>
            <w:shd w:val="clear" w:color="auto" w:fill="auto"/>
            <w:noWrap/>
            <w:vAlign w:val="center"/>
            <w:hideMark/>
          </w:tcPr>
          <w:p w14:paraId="59258819" w14:textId="77777777" w:rsidR="00E72CA5" w:rsidRPr="004E74A6" w:rsidRDefault="00E72CA5" w:rsidP="00CE62C1">
            <w:pPr>
              <w:spacing w:line="276" w:lineRule="auto"/>
              <w:jc w:val="center"/>
              <w:rPr>
                <w:rFonts w:cs="Calibri"/>
                <w:color w:val="000000"/>
                <w:sz w:val="20"/>
                <w:lang w:eastAsia="es-CR"/>
              </w:rPr>
            </w:pPr>
            <w:r w:rsidRPr="004E74A6">
              <w:rPr>
                <w:rFonts w:cs="Calibri"/>
                <w:color w:val="000000"/>
                <w:sz w:val="20"/>
                <w:lang w:eastAsia="es-CR"/>
              </w:rPr>
              <w:t>1</w:t>
            </w:r>
          </w:p>
        </w:tc>
        <w:tc>
          <w:tcPr>
            <w:tcW w:w="519" w:type="pct"/>
            <w:tcBorders>
              <w:left w:val="single" w:sz="4" w:space="0" w:color="auto"/>
              <w:right w:val="single" w:sz="4" w:space="0" w:color="auto"/>
            </w:tcBorders>
            <w:shd w:val="clear" w:color="auto" w:fill="auto"/>
            <w:noWrap/>
            <w:vAlign w:val="center"/>
            <w:hideMark/>
          </w:tcPr>
          <w:p w14:paraId="0FE3032C" w14:textId="77777777" w:rsidR="00E72CA5" w:rsidRPr="004E74A6" w:rsidRDefault="00E72CA5" w:rsidP="00CE62C1">
            <w:pPr>
              <w:spacing w:line="276" w:lineRule="auto"/>
              <w:jc w:val="center"/>
              <w:rPr>
                <w:rFonts w:cs="Calibri"/>
                <w:color w:val="000000"/>
                <w:sz w:val="20"/>
                <w:lang w:eastAsia="es-CR"/>
              </w:rPr>
            </w:pPr>
            <w:r w:rsidRPr="004E74A6">
              <w:rPr>
                <w:rFonts w:cs="Calibri"/>
                <w:color w:val="000000"/>
                <w:sz w:val="20"/>
                <w:lang w:eastAsia="es-CR"/>
              </w:rPr>
              <w:t>7</w:t>
            </w:r>
          </w:p>
        </w:tc>
        <w:tc>
          <w:tcPr>
            <w:tcW w:w="516" w:type="pct"/>
            <w:tcBorders>
              <w:left w:val="single" w:sz="4" w:space="0" w:color="auto"/>
              <w:right w:val="single" w:sz="4" w:space="0" w:color="auto"/>
            </w:tcBorders>
            <w:shd w:val="clear" w:color="auto" w:fill="auto"/>
            <w:noWrap/>
            <w:vAlign w:val="center"/>
            <w:hideMark/>
          </w:tcPr>
          <w:p w14:paraId="12FD6B88" w14:textId="77777777" w:rsidR="00E72CA5" w:rsidRPr="004E74A6" w:rsidRDefault="00E72CA5" w:rsidP="00CE62C1">
            <w:pPr>
              <w:spacing w:line="276" w:lineRule="auto"/>
              <w:jc w:val="center"/>
              <w:rPr>
                <w:rFonts w:cs="Calibri"/>
                <w:color w:val="000000"/>
                <w:sz w:val="20"/>
                <w:lang w:eastAsia="es-CR"/>
              </w:rPr>
            </w:pPr>
            <w:r w:rsidRPr="004E74A6">
              <w:rPr>
                <w:rFonts w:cs="Calibri"/>
                <w:color w:val="000000"/>
                <w:sz w:val="20"/>
                <w:lang w:eastAsia="es-CR"/>
              </w:rPr>
              <w:t>23</w:t>
            </w:r>
          </w:p>
        </w:tc>
        <w:tc>
          <w:tcPr>
            <w:tcW w:w="688" w:type="pct"/>
            <w:tcBorders>
              <w:left w:val="single" w:sz="4" w:space="0" w:color="auto"/>
            </w:tcBorders>
            <w:shd w:val="clear" w:color="auto" w:fill="auto"/>
            <w:noWrap/>
            <w:vAlign w:val="center"/>
            <w:hideMark/>
          </w:tcPr>
          <w:p w14:paraId="1F12EAE5" w14:textId="47C615B5" w:rsidR="00E72CA5" w:rsidRPr="004E74A6" w:rsidRDefault="00E72CA5" w:rsidP="00CE62C1">
            <w:pPr>
              <w:spacing w:line="276" w:lineRule="auto"/>
              <w:jc w:val="center"/>
              <w:rPr>
                <w:rFonts w:cs="Calibri"/>
                <w:color w:val="000000"/>
                <w:sz w:val="20"/>
                <w:lang w:eastAsia="es-CR"/>
              </w:rPr>
            </w:pPr>
            <w:r w:rsidRPr="004E74A6">
              <w:rPr>
                <w:rFonts w:cs="Calibri"/>
                <w:color w:val="000000"/>
                <w:sz w:val="20"/>
              </w:rPr>
              <w:t>10,3</w:t>
            </w:r>
          </w:p>
        </w:tc>
      </w:tr>
      <w:tr w:rsidR="00E72CA5" w:rsidRPr="004E74A6" w14:paraId="3367DE2C" w14:textId="77777777" w:rsidTr="0010143F">
        <w:trPr>
          <w:trHeight w:val="288"/>
          <w:jc w:val="center"/>
        </w:trPr>
        <w:tc>
          <w:tcPr>
            <w:tcW w:w="2758" w:type="pct"/>
            <w:tcBorders>
              <w:right w:val="single" w:sz="4" w:space="0" w:color="auto"/>
            </w:tcBorders>
            <w:shd w:val="clear" w:color="auto" w:fill="auto"/>
            <w:noWrap/>
            <w:vAlign w:val="bottom"/>
            <w:hideMark/>
          </w:tcPr>
          <w:p w14:paraId="68604070" w14:textId="77777777" w:rsidR="00E72CA5" w:rsidRPr="004E74A6" w:rsidRDefault="00E72CA5" w:rsidP="00CE62C1">
            <w:pPr>
              <w:spacing w:line="276" w:lineRule="auto"/>
              <w:jc w:val="left"/>
              <w:rPr>
                <w:rFonts w:cs="Calibri"/>
                <w:color w:val="000000"/>
                <w:sz w:val="20"/>
                <w:lang w:eastAsia="es-CR"/>
              </w:rPr>
            </w:pPr>
            <w:r w:rsidRPr="004E74A6">
              <w:rPr>
                <w:rFonts w:cs="Calibri"/>
                <w:color w:val="000000"/>
                <w:sz w:val="20"/>
                <w:lang w:eastAsia="es-CR"/>
              </w:rPr>
              <w:t>Legajo Ejec. Sentencia Acuerdos En Conciliación</w:t>
            </w:r>
          </w:p>
        </w:tc>
        <w:tc>
          <w:tcPr>
            <w:tcW w:w="519" w:type="pct"/>
            <w:tcBorders>
              <w:left w:val="single" w:sz="4" w:space="0" w:color="auto"/>
              <w:right w:val="single" w:sz="4" w:space="0" w:color="auto"/>
            </w:tcBorders>
            <w:shd w:val="clear" w:color="auto" w:fill="auto"/>
            <w:noWrap/>
            <w:vAlign w:val="center"/>
            <w:hideMark/>
          </w:tcPr>
          <w:p w14:paraId="4F94F6AE" w14:textId="048E823C" w:rsidR="00E72CA5" w:rsidRPr="004E74A6" w:rsidRDefault="00E72CA5" w:rsidP="00CE62C1">
            <w:pPr>
              <w:spacing w:line="276" w:lineRule="auto"/>
              <w:jc w:val="center"/>
              <w:rPr>
                <w:sz w:val="20"/>
                <w:lang w:eastAsia="es-CR"/>
              </w:rPr>
            </w:pPr>
            <w:r w:rsidRPr="004E74A6">
              <w:rPr>
                <w:sz w:val="20"/>
                <w:lang w:eastAsia="es-CR"/>
              </w:rPr>
              <w:t>0</w:t>
            </w:r>
          </w:p>
        </w:tc>
        <w:tc>
          <w:tcPr>
            <w:tcW w:w="519" w:type="pct"/>
            <w:tcBorders>
              <w:left w:val="single" w:sz="4" w:space="0" w:color="auto"/>
              <w:right w:val="single" w:sz="4" w:space="0" w:color="auto"/>
            </w:tcBorders>
            <w:shd w:val="clear" w:color="auto" w:fill="auto"/>
            <w:noWrap/>
            <w:vAlign w:val="center"/>
            <w:hideMark/>
          </w:tcPr>
          <w:p w14:paraId="20C863EE" w14:textId="77777777" w:rsidR="00E72CA5" w:rsidRPr="004E74A6" w:rsidRDefault="00E72CA5" w:rsidP="00CE62C1">
            <w:pPr>
              <w:spacing w:line="276" w:lineRule="auto"/>
              <w:jc w:val="center"/>
              <w:rPr>
                <w:rFonts w:cs="Calibri"/>
                <w:color w:val="000000"/>
                <w:sz w:val="20"/>
                <w:lang w:eastAsia="es-CR"/>
              </w:rPr>
            </w:pPr>
            <w:r w:rsidRPr="004E74A6">
              <w:rPr>
                <w:rFonts w:cs="Calibri"/>
                <w:color w:val="000000"/>
                <w:sz w:val="20"/>
                <w:lang w:eastAsia="es-CR"/>
              </w:rPr>
              <w:t>2</w:t>
            </w:r>
          </w:p>
        </w:tc>
        <w:tc>
          <w:tcPr>
            <w:tcW w:w="516" w:type="pct"/>
            <w:tcBorders>
              <w:left w:val="single" w:sz="4" w:space="0" w:color="auto"/>
              <w:right w:val="single" w:sz="4" w:space="0" w:color="auto"/>
            </w:tcBorders>
            <w:shd w:val="clear" w:color="auto" w:fill="auto"/>
            <w:noWrap/>
            <w:vAlign w:val="center"/>
            <w:hideMark/>
          </w:tcPr>
          <w:p w14:paraId="42AE5875" w14:textId="77777777" w:rsidR="00E72CA5" w:rsidRPr="004E74A6" w:rsidRDefault="00E72CA5" w:rsidP="00CE62C1">
            <w:pPr>
              <w:spacing w:line="276" w:lineRule="auto"/>
              <w:jc w:val="center"/>
              <w:rPr>
                <w:rFonts w:cs="Calibri"/>
                <w:color w:val="000000"/>
                <w:sz w:val="20"/>
                <w:lang w:eastAsia="es-CR"/>
              </w:rPr>
            </w:pPr>
            <w:r w:rsidRPr="004E74A6">
              <w:rPr>
                <w:rFonts w:cs="Calibri"/>
                <w:color w:val="000000"/>
                <w:sz w:val="20"/>
                <w:lang w:eastAsia="es-CR"/>
              </w:rPr>
              <w:t>3</w:t>
            </w:r>
          </w:p>
        </w:tc>
        <w:tc>
          <w:tcPr>
            <w:tcW w:w="688" w:type="pct"/>
            <w:tcBorders>
              <w:left w:val="single" w:sz="4" w:space="0" w:color="auto"/>
            </w:tcBorders>
            <w:shd w:val="clear" w:color="auto" w:fill="auto"/>
            <w:noWrap/>
            <w:vAlign w:val="center"/>
            <w:hideMark/>
          </w:tcPr>
          <w:p w14:paraId="358466C8" w14:textId="2AFD5CB2" w:rsidR="00E72CA5" w:rsidRPr="004E74A6" w:rsidRDefault="00E72CA5" w:rsidP="00CE62C1">
            <w:pPr>
              <w:spacing w:line="276" w:lineRule="auto"/>
              <w:jc w:val="center"/>
              <w:rPr>
                <w:rFonts w:cs="Calibri"/>
                <w:color w:val="000000"/>
                <w:sz w:val="20"/>
                <w:lang w:eastAsia="es-CR"/>
              </w:rPr>
            </w:pPr>
            <w:r w:rsidRPr="004E74A6">
              <w:rPr>
                <w:rFonts w:cs="Calibri"/>
                <w:color w:val="000000"/>
                <w:sz w:val="20"/>
              </w:rPr>
              <w:t>1,7</w:t>
            </w:r>
          </w:p>
        </w:tc>
      </w:tr>
      <w:tr w:rsidR="00E72CA5" w:rsidRPr="004E74A6" w14:paraId="09495829" w14:textId="77777777" w:rsidTr="0010143F">
        <w:trPr>
          <w:trHeight w:val="288"/>
          <w:jc w:val="center"/>
        </w:trPr>
        <w:tc>
          <w:tcPr>
            <w:tcW w:w="2758" w:type="pct"/>
            <w:tcBorders>
              <w:right w:val="single" w:sz="4" w:space="0" w:color="auto"/>
            </w:tcBorders>
            <w:shd w:val="clear" w:color="auto" w:fill="auto"/>
            <w:noWrap/>
            <w:vAlign w:val="bottom"/>
            <w:hideMark/>
          </w:tcPr>
          <w:p w14:paraId="32C31DD2" w14:textId="77777777" w:rsidR="00E72CA5" w:rsidRPr="004E74A6" w:rsidRDefault="00E72CA5" w:rsidP="00CE62C1">
            <w:pPr>
              <w:spacing w:line="276" w:lineRule="auto"/>
              <w:jc w:val="left"/>
              <w:rPr>
                <w:rFonts w:cs="Calibri"/>
                <w:color w:val="000000"/>
                <w:sz w:val="20"/>
                <w:lang w:eastAsia="es-CR"/>
              </w:rPr>
            </w:pPr>
            <w:r w:rsidRPr="004E74A6">
              <w:rPr>
                <w:rFonts w:cs="Calibri"/>
                <w:color w:val="000000"/>
                <w:sz w:val="20"/>
                <w:lang w:eastAsia="es-CR"/>
              </w:rPr>
              <w:t>Legajo Embargo Preventivo</w:t>
            </w:r>
          </w:p>
        </w:tc>
        <w:tc>
          <w:tcPr>
            <w:tcW w:w="519" w:type="pct"/>
            <w:tcBorders>
              <w:left w:val="single" w:sz="4" w:space="0" w:color="auto"/>
              <w:right w:val="single" w:sz="4" w:space="0" w:color="auto"/>
            </w:tcBorders>
            <w:shd w:val="clear" w:color="auto" w:fill="auto"/>
            <w:noWrap/>
            <w:vAlign w:val="center"/>
            <w:hideMark/>
          </w:tcPr>
          <w:p w14:paraId="025BC0FB" w14:textId="77777777" w:rsidR="00E72CA5" w:rsidRPr="004E74A6" w:rsidRDefault="00E72CA5" w:rsidP="00CE62C1">
            <w:pPr>
              <w:spacing w:line="276" w:lineRule="auto"/>
              <w:jc w:val="center"/>
              <w:rPr>
                <w:rFonts w:cs="Calibri"/>
                <w:color w:val="000000"/>
                <w:sz w:val="20"/>
                <w:lang w:eastAsia="es-CR"/>
              </w:rPr>
            </w:pPr>
            <w:r w:rsidRPr="004E74A6">
              <w:rPr>
                <w:rFonts w:cs="Calibri"/>
                <w:color w:val="000000"/>
                <w:sz w:val="20"/>
                <w:lang w:eastAsia="es-CR"/>
              </w:rPr>
              <w:t>2</w:t>
            </w:r>
          </w:p>
        </w:tc>
        <w:tc>
          <w:tcPr>
            <w:tcW w:w="519" w:type="pct"/>
            <w:tcBorders>
              <w:left w:val="single" w:sz="4" w:space="0" w:color="auto"/>
              <w:right w:val="single" w:sz="4" w:space="0" w:color="auto"/>
            </w:tcBorders>
            <w:shd w:val="clear" w:color="auto" w:fill="auto"/>
            <w:noWrap/>
            <w:vAlign w:val="center"/>
            <w:hideMark/>
          </w:tcPr>
          <w:p w14:paraId="15071FCC" w14:textId="6A26F769" w:rsidR="00E72CA5" w:rsidRPr="004E74A6" w:rsidRDefault="00E72CA5" w:rsidP="00CE62C1">
            <w:pPr>
              <w:spacing w:line="276" w:lineRule="auto"/>
              <w:jc w:val="center"/>
              <w:rPr>
                <w:rFonts w:cs="Calibri"/>
                <w:color w:val="000000"/>
                <w:sz w:val="20"/>
                <w:lang w:eastAsia="es-CR"/>
              </w:rPr>
            </w:pPr>
            <w:r w:rsidRPr="004E74A6">
              <w:rPr>
                <w:rFonts w:cs="Calibri"/>
                <w:color w:val="000000"/>
                <w:sz w:val="20"/>
                <w:lang w:eastAsia="es-CR"/>
              </w:rPr>
              <w:t>0</w:t>
            </w:r>
          </w:p>
        </w:tc>
        <w:tc>
          <w:tcPr>
            <w:tcW w:w="516" w:type="pct"/>
            <w:tcBorders>
              <w:left w:val="single" w:sz="4" w:space="0" w:color="auto"/>
              <w:right w:val="single" w:sz="4" w:space="0" w:color="auto"/>
            </w:tcBorders>
            <w:shd w:val="clear" w:color="auto" w:fill="auto"/>
            <w:noWrap/>
            <w:vAlign w:val="center"/>
            <w:hideMark/>
          </w:tcPr>
          <w:p w14:paraId="4D5B9AF2" w14:textId="19DEF720" w:rsidR="00E72CA5" w:rsidRPr="004E74A6" w:rsidRDefault="00E72CA5" w:rsidP="00CE62C1">
            <w:pPr>
              <w:spacing w:line="276" w:lineRule="auto"/>
              <w:jc w:val="center"/>
              <w:rPr>
                <w:sz w:val="20"/>
                <w:lang w:eastAsia="es-CR"/>
              </w:rPr>
            </w:pPr>
            <w:r w:rsidRPr="004E74A6">
              <w:rPr>
                <w:sz w:val="20"/>
                <w:lang w:eastAsia="es-CR"/>
              </w:rPr>
              <w:t>0</w:t>
            </w:r>
          </w:p>
        </w:tc>
        <w:tc>
          <w:tcPr>
            <w:tcW w:w="688" w:type="pct"/>
            <w:tcBorders>
              <w:left w:val="single" w:sz="4" w:space="0" w:color="auto"/>
            </w:tcBorders>
            <w:shd w:val="clear" w:color="auto" w:fill="auto"/>
            <w:noWrap/>
            <w:vAlign w:val="center"/>
            <w:hideMark/>
          </w:tcPr>
          <w:p w14:paraId="4E540B7B" w14:textId="0D2C3FD8" w:rsidR="00E72CA5" w:rsidRPr="004E74A6" w:rsidRDefault="00E72CA5" w:rsidP="00CE62C1">
            <w:pPr>
              <w:spacing w:line="276" w:lineRule="auto"/>
              <w:jc w:val="center"/>
              <w:rPr>
                <w:rFonts w:cs="Calibri"/>
                <w:color w:val="000000"/>
                <w:sz w:val="20"/>
                <w:lang w:eastAsia="es-CR"/>
              </w:rPr>
            </w:pPr>
            <w:r w:rsidRPr="004E74A6">
              <w:rPr>
                <w:rFonts w:cs="Calibri"/>
                <w:color w:val="000000"/>
                <w:sz w:val="20"/>
              </w:rPr>
              <w:t>0,7</w:t>
            </w:r>
          </w:p>
        </w:tc>
      </w:tr>
      <w:tr w:rsidR="00E72CA5" w:rsidRPr="004E74A6" w14:paraId="4AB4869F" w14:textId="77777777" w:rsidTr="0010143F">
        <w:trPr>
          <w:trHeight w:val="288"/>
          <w:jc w:val="center"/>
        </w:trPr>
        <w:tc>
          <w:tcPr>
            <w:tcW w:w="2758" w:type="pct"/>
            <w:tcBorders>
              <w:right w:val="single" w:sz="4" w:space="0" w:color="auto"/>
            </w:tcBorders>
            <w:shd w:val="clear" w:color="auto" w:fill="auto"/>
            <w:noWrap/>
            <w:vAlign w:val="bottom"/>
            <w:hideMark/>
          </w:tcPr>
          <w:p w14:paraId="5DC7D4A4" w14:textId="77777777" w:rsidR="00E72CA5" w:rsidRPr="004E74A6" w:rsidRDefault="00E72CA5" w:rsidP="00CE62C1">
            <w:pPr>
              <w:spacing w:line="276" w:lineRule="auto"/>
              <w:jc w:val="left"/>
              <w:rPr>
                <w:rFonts w:cs="Calibri"/>
                <w:color w:val="000000"/>
                <w:sz w:val="20"/>
                <w:lang w:eastAsia="es-CR"/>
              </w:rPr>
            </w:pPr>
            <w:r w:rsidRPr="004E74A6">
              <w:rPr>
                <w:rFonts w:cs="Calibri"/>
                <w:color w:val="000000"/>
                <w:sz w:val="20"/>
                <w:lang w:eastAsia="es-CR"/>
              </w:rPr>
              <w:t>Legajo Medida Cautelar Anticipada</w:t>
            </w:r>
          </w:p>
        </w:tc>
        <w:tc>
          <w:tcPr>
            <w:tcW w:w="519" w:type="pct"/>
            <w:tcBorders>
              <w:left w:val="single" w:sz="4" w:space="0" w:color="auto"/>
              <w:right w:val="single" w:sz="4" w:space="0" w:color="auto"/>
            </w:tcBorders>
            <w:shd w:val="clear" w:color="auto" w:fill="auto"/>
            <w:noWrap/>
            <w:vAlign w:val="center"/>
            <w:hideMark/>
          </w:tcPr>
          <w:p w14:paraId="563576D0" w14:textId="77777777" w:rsidR="00E72CA5" w:rsidRPr="004E74A6" w:rsidRDefault="00E72CA5" w:rsidP="00CE62C1">
            <w:pPr>
              <w:spacing w:line="276" w:lineRule="auto"/>
              <w:jc w:val="center"/>
              <w:rPr>
                <w:rFonts w:cs="Calibri"/>
                <w:color w:val="000000"/>
                <w:sz w:val="20"/>
                <w:lang w:eastAsia="es-CR"/>
              </w:rPr>
            </w:pPr>
            <w:r w:rsidRPr="004E74A6">
              <w:rPr>
                <w:rFonts w:cs="Calibri"/>
                <w:color w:val="000000"/>
                <w:sz w:val="20"/>
                <w:lang w:eastAsia="es-CR"/>
              </w:rPr>
              <w:t>1</w:t>
            </w:r>
          </w:p>
        </w:tc>
        <w:tc>
          <w:tcPr>
            <w:tcW w:w="519" w:type="pct"/>
            <w:tcBorders>
              <w:left w:val="single" w:sz="4" w:space="0" w:color="auto"/>
              <w:right w:val="single" w:sz="4" w:space="0" w:color="auto"/>
            </w:tcBorders>
            <w:shd w:val="clear" w:color="auto" w:fill="auto"/>
            <w:noWrap/>
            <w:vAlign w:val="center"/>
            <w:hideMark/>
          </w:tcPr>
          <w:p w14:paraId="5C1BDE3B" w14:textId="73EE5926" w:rsidR="00E72CA5" w:rsidRPr="004E74A6" w:rsidRDefault="00E72CA5" w:rsidP="00CE62C1">
            <w:pPr>
              <w:spacing w:line="276" w:lineRule="auto"/>
              <w:jc w:val="center"/>
              <w:rPr>
                <w:rFonts w:cs="Calibri"/>
                <w:color w:val="000000"/>
                <w:sz w:val="20"/>
                <w:lang w:eastAsia="es-CR"/>
              </w:rPr>
            </w:pPr>
            <w:r w:rsidRPr="004E74A6">
              <w:rPr>
                <w:rFonts w:cs="Calibri"/>
                <w:color w:val="000000"/>
                <w:sz w:val="20"/>
                <w:lang w:eastAsia="es-CR"/>
              </w:rPr>
              <w:t>0</w:t>
            </w:r>
          </w:p>
        </w:tc>
        <w:tc>
          <w:tcPr>
            <w:tcW w:w="516" w:type="pct"/>
            <w:tcBorders>
              <w:left w:val="single" w:sz="4" w:space="0" w:color="auto"/>
              <w:right w:val="single" w:sz="4" w:space="0" w:color="auto"/>
            </w:tcBorders>
            <w:shd w:val="clear" w:color="auto" w:fill="auto"/>
            <w:noWrap/>
            <w:vAlign w:val="center"/>
            <w:hideMark/>
          </w:tcPr>
          <w:p w14:paraId="34296104" w14:textId="19BB44E5" w:rsidR="00E72CA5" w:rsidRPr="004E74A6" w:rsidRDefault="00E72CA5" w:rsidP="00CE62C1">
            <w:pPr>
              <w:spacing w:line="276" w:lineRule="auto"/>
              <w:jc w:val="center"/>
              <w:rPr>
                <w:sz w:val="20"/>
                <w:lang w:eastAsia="es-CR"/>
              </w:rPr>
            </w:pPr>
            <w:r w:rsidRPr="004E74A6">
              <w:rPr>
                <w:sz w:val="20"/>
                <w:lang w:eastAsia="es-CR"/>
              </w:rPr>
              <w:t>0</w:t>
            </w:r>
          </w:p>
        </w:tc>
        <w:tc>
          <w:tcPr>
            <w:tcW w:w="688" w:type="pct"/>
            <w:tcBorders>
              <w:left w:val="single" w:sz="4" w:space="0" w:color="auto"/>
            </w:tcBorders>
            <w:shd w:val="clear" w:color="auto" w:fill="auto"/>
            <w:noWrap/>
            <w:vAlign w:val="center"/>
            <w:hideMark/>
          </w:tcPr>
          <w:p w14:paraId="327B994A" w14:textId="5A58815C" w:rsidR="00E72CA5" w:rsidRPr="004E74A6" w:rsidRDefault="00E72CA5" w:rsidP="00CE62C1">
            <w:pPr>
              <w:spacing w:line="276" w:lineRule="auto"/>
              <w:jc w:val="center"/>
              <w:rPr>
                <w:rFonts w:cs="Calibri"/>
                <w:color w:val="000000"/>
                <w:sz w:val="20"/>
                <w:lang w:eastAsia="es-CR"/>
              </w:rPr>
            </w:pPr>
            <w:r w:rsidRPr="004E74A6">
              <w:rPr>
                <w:rFonts w:cs="Calibri"/>
                <w:color w:val="000000"/>
                <w:sz w:val="20"/>
              </w:rPr>
              <w:t>0,3</w:t>
            </w:r>
          </w:p>
        </w:tc>
      </w:tr>
      <w:tr w:rsidR="00E72CA5" w:rsidRPr="004E74A6" w14:paraId="4E306951" w14:textId="77777777" w:rsidTr="0010143F">
        <w:trPr>
          <w:trHeight w:val="288"/>
          <w:jc w:val="center"/>
        </w:trPr>
        <w:tc>
          <w:tcPr>
            <w:tcW w:w="2758" w:type="pct"/>
            <w:tcBorders>
              <w:right w:val="single" w:sz="4" w:space="0" w:color="auto"/>
            </w:tcBorders>
            <w:shd w:val="clear" w:color="auto" w:fill="auto"/>
            <w:noWrap/>
            <w:vAlign w:val="bottom"/>
            <w:hideMark/>
          </w:tcPr>
          <w:p w14:paraId="0A9D5A55" w14:textId="77777777" w:rsidR="00E72CA5" w:rsidRPr="004E74A6" w:rsidRDefault="00E72CA5" w:rsidP="00CE62C1">
            <w:pPr>
              <w:spacing w:line="276" w:lineRule="auto"/>
              <w:jc w:val="left"/>
              <w:rPr>
                <w:rFonts w:cs="Calibri"/>
                <w:color w:val="000000"/>
                <w:sz w:val="20"/>
                <w:lang w:eastAsia="es-CR"/>
              </w:rPr>
            </w:pPr>
            <w:r w:rsidRPr="004E74A6">
              <w:rPr>
                <w:rFonts w:cs="Calibri"/>
                <w:color w:val="000000"/>
                <w:sz w:val="20"/>
                <w:lang w:eastAsia="es-CR"/>
              </w:rPr>
              <w:t>Principal</w:t>
            </w:r>
          </w:p>
        </w:tc>
        <w:tc>
          <w:tcPr>
            <w:tcW w:w="519" w:type="pct"/>
            <w:tcBorders>
              <w:left w:val="single" w:sz="4" w:space="0" w:color="auto"/>
              <w:right w:val="single" w:sz="4" w:space="0" w:color="auto"/>
            </w:tcBorders>
            <w:shd w:val="clear" w:color="auto" w:fill="auto"/>
            <w:noWrap/>
            <w:vAlign w:val="center"/>
            <w:hideMark/>
          </w:tcPr>
          <w:p w14:paraId="519F16D1" w14:textId="662C11FF" w:rsidR="00E72CA5" w:rsidRPr="004E74A6" w:rsidRDefault="00E72CA5" w:rsidP="00CE62C1">
            <w:pPr>
              <w:spacing w:line="276" w:lineRule="auto"/>
              <w:jc w:val="center"/>
              <w:rPr>
                <w:rFonts w:cs="Calibri"/>
                <w:color w:val="000000"/>
                <w:sz w:val="20"/>
                <w:lang w:eastAsia="es-CR"/>
              </w:rPr>
            </w:pPr>
            <w:r w:rsidRPr="004E74A6">
              <w:rPr>
                <w:rFonts w:cs="Calibri"/>
                <w:color w:val="000000"/>
                <w:sz w:val="20"/>
                <w:lang w:eastAsia="es-CR"/>
              </w:rPr>
              <w:t>233</w:t>
            </w:r>
          </w:p>
        </w:tc>
        <w:tc>
          <w:tcPr>
            <w:tcW w:w="519" w:type="pct"/>
            <w:tcBorders>
              <w:left w:val="single" w:sz="4" w:space="0" w:color="auto"/>
              <w:right w:val="single" w:sz="4" w:space="0" w:color="auto"/>
            </w:tcBorders>
            <w:shd w:val="clear" w:color="auto" w:fill="auto"/>
            <w:noWrap/>
            <w:vAlign w:val="center"/>
            <w:hideMark/>
          </w:tcPr>
          <w:p w14:paraId="5F3B22A5" w14:textId="5C8F7D3B" w:rsidR="00E72CA5" w:rsidRPr="004E74A6" w:rsidRDefault="00E72CA5" w:rsidP="00CE62C1">
            <w:pPr>
              <w:spacing w:line="276" w:lineRule="auto"/>
              <w:jc w:val="center"/>
              <w:rPr>
                <w:rFonts w:cs="Calibri"/>
                <w:color w:val="000000"/>
                <w:sz w:val="20"/>
                <w:lang w:eastAsia="es-CR"/>
              </w:rPr>
            </w:pPr>
            <w:r w:rsidRPr="004E74A6">
              <w:rPr>
                <w:rFonts w:cs="Calibri"/>
                <w:color w:val="000000"/>
                <w:sz w:val="20"/>
                <w:lang w:eastAsia="es-CR"/>
              </w:rPr>
              <w:t>154</w:t>
            </w:r>
          </w:p>
        </w:tc>
        <w:tc>
          <w:tcPr>
            <w:tcW w:w="516" w:type="pct"/>
            <w:tcBorders>
              <w:left w:val="single" w:sz="4" w:space="0" w:color="auto"/>
              <w:right w:val="single" w:sz="4" w:space="0" w:color="auto"/>
            </w:tcBorders>
            <w:shd w:val="clear" w:color="auto" w:fill="auto"/>
            <w:noWrap/>
            <w:vAlign w:val="center"/>
            <w:hideMark/>
          </w:tcPr>
          <w:p w14:paraId="7AAD0228" w14:textId="091CB903" w:rsidR="00E72CA5" w:rsidRPr="004E74A6" w:rsidRDefault="00E72CA5" w:rsidP="00CE62C1">
            <w:pPr>
              <w:spacing w:line="276" w:lineRule="auto"/>
              <w:jc w:val="center"/>
              <w:rPr>
                <w:rFonts w:cs="Calibri"/>
                <w:color w:val="000000"/>
                <w:sz w:val="20"/>
                <w:lang w:eastAsia="es-CR"/>
              </w:rPr>
            </w:pPr>
            <w:r w:rsidRPr="004E74A6">
              <w:rPr>
                <w:rFonts w:cs="Calibri"/>
                <w:color w:val="000000"/>
                <w:sz w:val="20"/>
                <w:lang w:eastAsia="es-CR"/>
              </w:rPr>
              <w:t>165</w:t>
            </w:r>
          </w:p>
        </w:tc>
        <w:tc>
          <w:tcPr>
            <w:tcW w:w="688" w:type="pct"/>
            <w:tcBorders>
              <w:left w:val="single" w:sz="4" w:space="0" w:color="auto"/>
            </w:tcBorders>
            <w:shd w:val="clear" w:color="auto" w:fill="auto"/>
            <w:noWrap/>
            <w:vAlign w:val="center"/>
            <w:hideMark/>
          </w:tcPr>
          <w:p w14:paraId="5A38C026" w14:textId="489539FB" w:rsidR="00E72CA5" w:rsidRPr="004E74A6" w:rsidRDefault="00E72CA5" w:rsidP="00CE62C1">
            <w:pPr>
              <w:spacing w:line="276" w:lineRule="auto"/>
              <w:jc w:val="center"/>
              <w:rPr>
                <w:rFonts w:cs="Calibri"/>
                <w:color w:val="000000"/>
                <w:sz w:val="20"/>
                <w:lang w:eastAsia="es-CR"/>
              </w:rPr>
            </w:pPr>
            <w:r w:rsidRPr="004E74A6">
              <w:rPr>
                <w:rFonts w:cs="Calibri"/>
                <w:color w:val="000000"/>
                <w:sz w:val="20"/>
              </w:rPr>
              <w:t>184</w:t>
            </w:r>
          </w:p>
        </w:tc>
      </w:tr>
      <w:tr w:rsidR="00E72CA5" w:rsidRPr="004E74A6" w14:paraId="38D2B886" w14:textId="77777777" w:rsidTr="00832773">
        <w:trPr>
          <w:trHeight w:val="288"/>
          <w:jc w:val="center"/>
        </w:trPr>
        <w:tc>
          <w:tcPr>
            <w:tcW w:w="2758" w:type="pct"/>
            <w:tcBorders>
              <w:right w:val="single" w:sz="4" w:space="0" w:color="auto"/>
            </w:tcBorders>
            <w:shd w:val="clear" w:color="auto" w:fill="auto"/>
            <w:noWrap/>
            <w:vAlign w:val="bottom"/>
            <w:hideMark/>
          </w:tcPr>
          <w:p w14:paraId="32451767" w14:textId="77777777" w:rsidR="00E72CA5" w:rsidRPr="004E74A6" w:rsidRDefault="00E72CA5" w:rsidP="00CE62C1">
            <w:pPr>
              <w:spacing w:line="276" w:lineRule="auto"/>
              <w:jc w:val="left"/>
              <w:rPr>
                <w:rFonts w:cs="Calibri"/>
                <w:color w:val="000000"/>
                <w:sz w:val="20"/>
                <w:lang w:eastAsia="es-CR"/>
              </w:rPr>
            </w:pPr>
            <w:r w:rsidRPr="004E74A6">
              <w:rPr>
                <w:rFonts w:cs="Calibri"/>
                <w:color w:val="000000"/>
                <w:sz w:val="20"/>
                <w:lang w:eastAsia="es-CR"/>
              </w:rPr>
              <w:t>Recurso</w:t>
            </w:r>
          </w:p>
        </w:tc>
        <w:tc>
          <w:tcPr>
            <w:tcW w:w="519" w:type="pct"/>
            <w:tcBorders>
              <w:left w:val="single" w:sz="4" w:space="0" w:color="auto"/>
              <w:right w:val="single" w:sz="4" w:space="0" w:color="auto"/>
            </w:tcBorders>
            <w:shd w:val="clear" w:color="auto" w:fill="auto"/>
            <w:noWrap/>
            <w:vAlign w:val="center"/>
            <w:hideMark/>
          </w:tcPr>
          <w:p w14:paraId="1F9F8F21" w14:textId="77777777" w:rsidR="00E72CA5" w:rsidRPr="004E74A6" w:rsidRDefault="00E72CA5" w:rsidP="00CE62C1">
            <w:pPr>
              <w:spacing w:line="276" w:lineRule="auto"/>
              <w:jc w:val="center"/>
              <w:rPr>
                <w:rFonts w:cs="Calibri"/>
                <w:color w:val="000000"/>
                <w:sz w:val="20"/>
                <w:lang w:eastAsia="es-CR"/>
              </w:rPr>
            </w:pPr>
            <w:r w:rsidRPr="004E74A6">
              <w:rPr>
                <w:rFonts w:cs="Calibri"/>
                <w:color w:val="000000"/>
                <w:sz w:val="20"/>
                <w:lang w:eastAsia="es-CR"/>
              </w:rPr>
              <w:t>2</w:t>
            </w:r>
          </w:p>
        </w:tc>
        <w:tc>
          <w:tcPr>
            <w:tcW w:w="519" w:type="pct"/>
            <w:tcBorders>
              <w:left w:val="single" w:sz="4" w:space="0" w:color="auto"/>
              <w:right w:val="single" w:sz="4" w:space="0" w:color="auto"/>
            </w:tcBorders>
            <w:shd w:val="clear" w:color="auto" w:fill="auto"/>
            <w:noWrap/>
            <w:vAlign w:val="center"/>
            <w:hideMark/>
          </w:tcPr>
          <w:p w14:paraId="4742AE1E" w14:textId="77777777" w:rsidR="00E72CA5" w:rsidRPr="004E74A6" w:rsidRDefault="00E72CA5" w:rsidP="00CE62C1">
            <w:pPr>
              <w:spacing w:line="276" w:lineRule="auto"/>
              <w:jc w:val="center"/>
              <w:rPr>
                <w:rFonts w:cs="Calibri"/>
                <w:color w:val="000000"/>
                <w:sz w:val="20"/>
                <w:lang w:eastAsia="es-CR"/>
              </w:rPr>
            </w:pPr>
            <w:r w:rsidRPr="004E74A6">
              <w:rPr>
                <w:rFonts w:cs="Calibri"/>
                <w:color w:val="000000"/>
                <w:sz w:val="20"/>
                <w:lang w:eastAsia="es-CR"/>
              </w:rPr>
              <w:t>1</w:t>
            </w:r>
          </w:p>
        </w:tc>
        <w:tc>
          <w:tcPr>
            <w:tcW w:w="516" w:type="pct"/>
            <w:tcBorders>
              <w:left w:val="single" w:sz="4" w:space="0" w:color="auto"/>
              <w:right w:val="single" w:sz="4" w:space="0" w:color="auto"/>
            </w:tcBorders>
            <w:shd w:val="clear" w:color="auto" w:fill="auto"/>
            <w:noWrap/>
            <w:vAlign w:val="center"/>
            <w:hideMark/>
          </w:tcPr>
          <w:p w14:paraId="641E9986" w14:textId="404EB67F" w:rsidR="00E72CA5" w:rsidRPr="004E74A6" w:rsidRDefault="00E72CA5" w:rsidP="00CE62C1">
            <w:pPr>
              <w:spacing w:line="276" w:lineRule="auto"/>
              <w:jc w:val="center"/>
              <w:rPr>
                <w:rFonts w:cs="Calibri"/>
                <w:color w:val="000000"/>
                <w:sz w:val="20"/>
                <w:lang w:eastAsia="es-CR"/>
              </w:rPr>
            </w:pPr>
            <w:r w:rsidRPr="004E74A6">
              <w:rPr>
                <w:rFonts w:cs="Calibri"/>
                <w:color w:val="000000"/>
                <w:sz w:val="20"/>
                <w:lang w:eastAsia="es-CR"/>
              </w:rPr>
              <w:t>0</w:t>
            </w:r>
          </w:p>
        </w:tc>
        <w:tc>
          <w:tcPr>
            <w:tcW w:w="688" w:type="pct"/>
            <w:tcBorders>
              <w:left w:val="single" w:sz="4" w:space="0" w:color="auto"/>
            </w:tcBorders>
            <w:shd w:val="clear" w:color="auto" w:fill="auto"/>
            <w:noWrap/>
            <w:vAlign w:val="center"/>
            <w:hideMark/>
          </w:tcPr>
          <w:p w14:paraId="04F4A7B7" w14:textId="3CCF8D69" w:rsidR="00E72CA5" w:rsidRPr="004E74A6" w:rsidRDefault="00E72CA5" w:rsidP="00CE62C1">
            <w:pPr>
              <w:spacing w:line="276" w:lineRule="auto"/>
              <w:jc w:val="center"/>
              <w:rPr>
                <w:rFonts w:cs="Calibri"/>
                <w:color w:val="000000"/>
                <w:sz w:val="20"/>
                <w:lang w:eastAsia="es-CR"/>
              </w:rPr>
            </w:pPr>
            <w:r w:rsidRPr="004E74A6">
              <w:rPr>
                <w:rFonts w:cs="Calibri"/>
                <w:color w:val="000000"/>
                <w:sz w:val="20"/>
              </w:rPr>
              <w:t>1</w:t>
            </w:r>
          </w:p>
        </w:tc>
      </w:tr>
      <w:tr w:rsidR="00E72CA5" w:rsidRPr="004E74A6" w14:paraId="64A8442C" w14:textId="77777777" w:rsidTr="00832773">
        <w:trPr>
          <w:trHeight w:val="288"/>
          <w:jc w:val="center"/>
        </w:trPr>
        <w:tc>
          <w:tcPr>
            <w:tcW w:w="2758" w:type="pct"/>
            <w:tcBorders>
              <w:bottom w:val="single" w:sz="4" w:space="0" w:color="auto"/>
              <w:right w:val="single" w:sz="4" w:space="0" w:color="auto"/>
            </w:tcBorders>
            <w:shd w:val="clear" w:color="auto" w:fill="auto"/>
            <w:noWrap/>
            <w:vAlign w:val="bottom"/>
            <w:hideMark/>
          </w:tcPr>
          <w:p w14:paraId="06FDCA7E" w14:textId="77777777" w:rsidR="00E72CA5" w:rsidRPr="004E74A6" w:rsidRDefault="00E72CA5" w:rsidP="00CE62C1">
            <w:pPr>
              <w:spacing w:line="276" w:lineRule="auto"/>
              <w:jc w:val="left"/>
              <w:rPr>
                <w:rFonts w:cs="Calibri"/>
                <w:color w:val="000000"/>
                <w:sz w:val="20"/>
                <w:lang w:eastAsia="es-CR"/>
              </w:rPr>
            </w:pPr>
            <w:r w:rsidRPr="004E74A6">
              <w:rPr>
                <w:rFonts w:cs="Calibri"/>
                <w:color w:val="000000"/>
                <w:sz w:val="20"/>
                <w:lang w:eastAsia="es-CR"/>
              </w:rPr>
              <w:t>Tercerías</w:t>
            </w:r>
          </w:p>
        </w:tc>
        <w:tc>
          <w:tcPr>
            <w:tcW w:w="519" w:type="pct"/>
            <w:tcBorders>
              <w:left w:val="single" w:sz="4" w:space="0" w:color="auto"/>
              <w:bottom w:val="single" w:sz="4" w:space="0" w:color="auto"/>
              <w:right w:val="single" w:sz="4" w:space="0" w:color="auto"/>
            </w:tcBorders>
            <w:shd w:val="clear" w:color="auto" w:fill="auto"/>
            <w:noWrap/>
            <w:vAlign w:val="center"/>
            <w:hideMark/>
          </w:tcPr>
          <w:p w14:paraId="514E0722" w14:textId="77777777" w:rsidR="00E72CA5" w:rsidRPr="004E74A6" w:rsidRDefault="00E72CA5" w:rsidP="00CE62C1">
            <w:pPr>
              <w:spacing w:line="276" w:lineRule="auto"/>
              <w:jc w:val="center"/>
              <w:rPr>
                <w:rFonts w:cs="Calibri"/>
                <w:color w:val="000000"/>
                <w:sz w:val="20"/>
                <w:lang w:eastAsia="es-CR"/>
              </w:rPr>
            </w:pPr>
            <w:r w:rsidRPr="004E74A6">
              <w:rPr>
                <w:rFonts w:cs="Calibri"/>
                <w:color w:val="000000"/>
                <w:sz w:val="20"/>
                <w:lang w:eastAsia="es-CR"/>
              </w:rPr>
              <w:t>5</w:t>
            </w:r>
          </w:p>
        </w:tc>
        <w:tc>
          <w:tcPr>
            <w:tcW w:w="519" w:type="pct"/>
            <w:tcBorders>
              <w:left w:val="single" w:sz="4" w:space="0" w:color="auto"/>
              <w:bottom w:val="single" w:sz="4" w:space="0" w:color="auto"/>
              <w:right w:val="single" w:sz="4" w:space="0" w:color="auto"/>
            </w:tcBorders>
            <w:shd w:val="clear" w:color="auto" w:fill="auto"/>
            <w:noWrap/>
            <w:vAlign w:val="center"/>
            <w:hideMark/>
          </w:tcPr>
          <w:p w14:paraId="39748881" w14:textId="77777777" w:rsidR="00E72CA5" w:rsidRPr="004E74A6" w:rsidRDefault="00E72CA5" w:rsidP="00CE62C1">
            <w:pPr>
              <w:spacing w:line="276" w:lineRule="auto"/>
              <w:jc w:val="center"/>
              <w:rPr>
                <w:rFonts w:cs="Calibri"/>
                <w:color w:val="000000"/>
                <w:sz w:val="20"/>
                <w:lang w:eastAsia="es-CR"/>
              </w:rPr>
            </w:pPr>
            <w:r w:rsidRPr="004E74A6">
              <w:rPr>
                <w:rFonts w:cs="Calibri"/>
                <w:color w:val="000000"/>
                <w:sz w:val="20"/>
                <w:lang w:eastAsia="es-CR"/>
              </w:rPr>
              <w:t>1</w:t>
            </w:r>
          </w:p>
        </w:tc>
        <w:tc>
          <w:tcPr>
            <w:tcW w:w="516" w:type="pct"/>
            <w:tcBorders>
              <w:left w:val="single" w:sz="4" w:space="0" w:color="auto"/>
              <w:bottom w:val="single" w:sz="4" w:space="0" w:color="auto"/>
              <w:right w:val="single" w:sz="4" w:space="0" w:color="auto"/>
            </w:tcBorders>
            <w:shd w:val="clear" w:color="auto" w:fill="auto"/>
            <w:noWrap/>
            <w:vAlign w:val="center"/>
            <w:hideMark/>
          </w:tcPr>
          <w:p w14:paraId="46A59EF2" w14:textId="77777777" w:rsidR="00E72CA5" w:rsidRPr="004E74A6" w:rsidRDefault="00E72CA5" w:rsidP="00CE62C1">
            <w:pPr>
              <w:spacing w:line="276" w:lineRule="auto"/>
              <w:jc w:val="center"/>
              <w:rPr>
                <w:rFonts w:cs="Calibri"/>
                <w:color w:val="000000"/>
                <w:sz w:val="20"/>
                <w:lang w:eastAsia="es-CR"/>
              </w:rPr>
            </w:pPr>
            <w:r w:rsidRPr="004E74A6">
              <w:rPr>
                <w:rFonts w:cs="Calibri"/>
                <w:color w:val="000000"/>
                <w:sz w:val="20"/>
                <w:lang w:eastAsia="es-CR"/>
              </w:rPr>
              <w:t>1</w:t>
            </w:r>
          </w:p>
        </w:tc>
        <w:tc>
          <w:tcPr>
            <w:tcW w:w="688" w:type="pct"/>
            <w:tcBorders>
              <w:left w:val="single" w:sz="4" w:space="0" w:color="auto"/>
              <w:bottom w:val="single" w:sz="4" w:space="0" w:color="auto"/>
            </w:tcBorders>
            <w:shd w:val="clear" w:color="auto" w:fill="auto"/>
            <w:noWrap/>
            <w:vAlign w:val="center"/>
            <w:hideMark/>
          </w:tcPr>
          <w:p w14:paraId="5ACF7AD6" w14:textId="126EE379" w:rsidR="00E72CA5" w:rsidRPr="004E74A6" w:rsidRDefault="00E72CA5" w:rsidP="00CE62C1">
            <w:pPr>
              <w:spacing w:line="276" w:lineRule="auto"/>
              <w:jc w:val="center"/>
              <w:rPr>
                <w:rFonts w:cs="Calibri"/>
                <w:color w:val="000000"/>
                <w:sz w:val="20"/>
                <w:lang w:eastAsia="es-CR"/>
              </w:rPr>
            </w:pPr>
            <w:r w:rsidRPr="004E74A6">
              <w:rPr>
                <w:rFonts w:cs="Calibri"/>
                <w:color w:val="000000"/>
                <w:sz w:val="20"/>
              </w:rPr>
              <w:t>2,3</w:t>
            </w:r>
          </w:p>
        </w:tc>
      </w:tr>
    </w:tbl>
    <w:p w14:paraId="0719438A" w14:textId="77777777" w:rsidR="003E4755" w:rsidRPr="004E74A6" w:rsidRDefault="003E4755" w:rsidP="00832773">
      <w:pPr>
        <w:spacing w:line="276" w:lineRule="auto"/>
        <w:ind w:left="340" w:right="340"/>
        <w:rPr>
          <w:rFonts w:cs="Calibri"/>
          <w:i/>
          <w:iCs/>
          <w:color w:val="000000"/>
          <w:sz w:val="20"/>
          <w:lang w:eastAsia="es-CR"/>
        </w:rPr>
      </w:pPr>
      <w:r w:rsidRPr="004E74A6">
        <w:rPr>
          <w:rFonts w:cs="Calibri"/>
          <w:i/>
          <w:iCs/>
          <w:color w:val="000000"/>
          <w:sz w:val="20"/>
          <w:lang w:eastAsia="es-CR"/>
        </w:rPr>
        <w:t>Fuente: Subproceso de Modernización Institucional con datos extraídos del sistema SIGMA, Dirección de Planificación.</w:t>
      </w:r>
    </w:p>
    <w:p w14:paraId="19F11EFF" w14:textId="77777777" w:rsidR="00773C2E" w:rsidRDefault="00773C2E" w:rsidP="00CE62C1">
      <w:pPr>
        <w:spacing w:after="160" w:line="276" w:lineRule="auto"/>
        <w:rPr>
          <w:rFonts w:cs="Calibri"/>
          <w:color w:val="000000"/>
          <w:szCs w:val="24"/>
          <w:lang w:eastAsia="es-CR"/>
        </w:rPr>
      </w:pPr>
    </w:p>
    <w:p w14:paraId="324501AE" w14:textId="70C3F9F5" w:rsidR="008647ED" w:rsidRDefault="00E70892" w:rsidP="00CE62C1">
      <w:pPr>
        <w:spacing w:after="160" w:line="276" w:lineRule="auto"/>
        <w:rPr>
          <w:rFonts w:cs="Calibri"/>
          <w:color w:val="000000"/>
          <w:szCs w:val="24"/>
          <w:lang w:eastAsia="es-CR"/>
        </w:rPr>
      </w:pPr>
      <w:r w:rsidRPr="004E74A6">
        <w:rPr>
          <w:rFonts w:cs="Calibri"/>
          <w:color w:val="000000"/>
          <w:szCs w:val="24"/>
          <w:lang w:eastAsia="es-CR"/>
        </w:rPr>
        <w:t>Se puede observar aún más a detalle para determinar la clase de asuntos principales, que tal y como lo refleja la siguiente tabla</w:t>
      </w:r>
      <w:r w:rsidR="008647ED" w:rsidRPr="004E74A6">
        <w:rPr>
          <w:rFonts w:cs="Calibri"/>
          <w:color w:val="000000"/>
          <w:szCs w:val="24"/>
          <w:lang w:eastAsia="es-CR"/>
        </w:rPr>
        <w:t>, el 88,8% está compuesto por los asuntos ordinarios, seguido de un 4,4% de prueba anticipada</w:t>
      </w:r>
      <w:r w:rsidR="005F4DBD" w:rsidRPr="004E74A6">
        <w:rPr>
          <w:rFonts w:cs="Calibri"/>
          <w:color w:val="000000"/>
          <w:szCs w:val="24"/>
          <w:lang w:eastAsia="es-CR"/>
        </w:rPr>
        <w:t>.</w:t>
      </w:r>
    </w:p>
    <w:p w14:paraId="2959247E" w14:textId="5BD9AC3F" w:rsidR="00193D21" w:rsidRDefault="00193D21" w:rsidP="00CE62C1">
      <w:pPr>
        <w:spacing w:after="160" w:line="276" w:lineRule="auto"/>
        <w:rPr>
          <w:rFonts w:cs="Calibri"/>
          <w:color w:val="000000"/>
          <w:szCs w:val="24"/>
          <w:lang w:eastAsia="es-CR"/>
        </w:rPr>
      </w:pPr>
    </w:p>
    <w:p w14:paraId="48B1C8C0" w14:textId="676F3BC0" w:rsidR="00193D21" w:rsidRDefault="00193D21" w:rsidP="00CE62C1">
      <w:pPr>
        <w:spacing w:after="160" w:line="276" w:lineRule="auto"/>
        <w:rPr>
          <w:rFonts w:cs="Calibri"/>
          <w:color w:val="000000"/>
          <w:szCs w:val="24"/>
          <w:lang w:eastAsia="es-CR"/>
        </w:rPr>
      </w:pPr>
    </w:p>
    <w:p w14:paraId="315411F6" w14:textId="0141E2B6" w:rsidR="00193D21" w:rsidRDefault="00193D21" w:rsidP="00CE62C1">
      <w:pPr>
        <w:spacing w:after="160" w:line="276" w:lineRule="auto"/>
        <w:rPr>
          <w:rFonts w:cs="Calibri"/>
          <w:color w:val="000000"/>
          <w:szCs w:val="24"/>
          <w:lang w:eastAsia="es-CR"/>
        </w:rPr>
      </w:pPr>
    </w:p>
    <w:p w14:paraId="57A31983" w14:textId="271695AD" w:rsidR="00193D21" w:rsidRDefault="00193D21" w:rsidP="00CE62C1">
      <w:pPr>
        <w:spacing w:after="160" w:line="276" w:lineRule="auto"/>
        <w:rPr>
          <w:rFonts w:cs="Calibri"/>
          <w:color w:val="000000"/>
          <w:szCs w:val="24"/>
          <w:lang w:eastAsia="es-CR"/>
        </w:rPr>
      </w:pPr>
    </w:p>
    <w:p w14:paraId="2878E00C" w14:textId="77777777" w:rsidR="00193D21" w:rsidRPr="004E74A6" w:rsidRDefault="00193D21" w:rsidP="00CE62C1">
      <w:pPr>
        <w:spacing w:after="160" w:line="276" w:lineRule="auto"/>
        <w:rPr>
          <w:rFonts w:cs="Calibri"/>
          <w:color w:val="000000"/>
          <w:szCs w:val="24"/>
          <w:lang w:eastAsia="es-CR"/>
        </w:rPr>
      </w:pPr>
    </w:p>
    <w:p w14:paraId="6C5FF806" w14:textId="014E15C7" w:rsidR="00027CB3" w:rsidRPr="00832773" w:rsidRDefault="00027CB3" w:rsidP="00F0204A">
      <w:pPr>
        <w:pStyle w:val="Descripcin"/>
        <w:keepNext/>
        <w:spacing w:line="276" w:lineRule="auto"/>
        <w:jc w:val="center"/>
        <w:rPr>
          <w:rFonts w:ascii="Book Antiqua" w:hAnsi="Book Antiqua"/>
          <w:i/>
          <w:iCs/>
          <w:sz w:val="20"/>
          <w:szCs w:val="16"/>
          <w:lang w:val="es-CR"/>
        </w:rPr>
      </w:pPr>
      <w:r w:rsidRPr="00832773">
        <w:rPr>
          <w:rFonts w:ascii="Book Antiqua" w:hAnsi="Book Antiqua"/>
          <w:i/>
          <w:iCs/>
          <w:sz w:val="20"/>
          <w:szCs w:val="16"/>
          <w:lang w:val="es-CR"/>
        </w:rPr>
        <w:t xml:space="preserve">Tabla </w:t>
      </w:r>
      <w:r w:rsidRPr="00832773">
        <w:rPr>
          <w:rFonts w:ascii="Book Antiqua" w:hAnsi="Book Antiqua"/>
          <w:i/>
          <w:iCs/>
          <w:sz w:val="20"/>
          <w:szCs w:val="16"/>
          <w:lang w:val="es-CR"/>
        </w:rPr>
        <w:fldChar w:fldCharType="begin"/>
      </w:r>
      <w:r w:rsidRPr="00832773">
        <w:rPr>
          <w:rFonts w:ascii="Book Antiqua" w:hAnsi="Book Antiqua"/>
          <w:i/>
          <w:iCs/>
          <w:sz w:val="20"/>
          <w:szCs w:val="16"/>
          <w:lang w:val="es-CR"/>
        </w:rPr>
        <w:instrText xml:space="preserve"> SEQ Tabla \* ARABIC </w:instrText>
      </w:r>
      <w:r w:rsidRPr="00832773">
        <w:rPr>
          <w:rFonts w:ascii="Book Antiqua" w:hAnsi="Book Antiqua"/>
          <w:i/>
          <w:iCs/>
          <w:sz w:val="20"/>
          <w:szCs w:val="16"/>
          <w:lang w:val="es-CR"/>
        </w:rPr>
        <w:fldChar w:fldCharType="separate"/>
      </w:r>
      <w:r w:rsidR="00374B51">
        <w:rPr>
          <w:rFonts w:ascii="Book Antiqua" w:hAnsi="Book Antiqua"/>
          <w:i/>
          <w:iCs/>
          <w:noProof/>
          <w:sz w:val="20"/>
          <w:szCs w:val="16"/>
          <w:lang w:val="es-CR"/>
        </w:rPr>
        <w:t>14</w:t>
      </w:r>
      <w:r w:rsidRPr="00832773">
        <w:rPr>
          <w:rFonts w:ascii="Book Antiqua" w:hAnsi="Book Antiqua"/>
          <w:i/>
          <w:iCs/>
          <w:sz w:val="20"/>
          <w:szCs w:val="16"/>
          <w:lang w:val="es-CR"/>
        </w:rPr>
        <w:fldChar w:fldCharType="end"/>
      </w:r>
      <w:r w:rsidRPr="00832773">
        <w:rPr>
          <w:rFonts w:ascii="Book Antiqua" w:hAnsi="Book Antiqua"/>
          <w:i/>
          <w:iCs/>
          <w:sz w:val="20"/>
          <w:szCs w:val="16"/>
          <w:lang w:val="es-CR"/>
        </w:rPr>
        <w:t xml:space="preserve"> Cantidad de principales según clase de asuntos del 2019 al 2021 para el Tribunal Colegiado de Primera Instancia Civil Primer Circuito Judicial de Alajuela</w:t>
      </w:r>
    </w:p>
    <w:tbl>
      <w:tblPr>
        <w:tblW w:w="3949" w:type="pct"/>
        <w:jc w:val="center"/>
        <w:tblCellMar>
          <w:left w:w="70" w:type="dxa"/>
          <w:right w:w="70" w:type="dxa"/>
        </w:tblCellMar>
        <w:tblLook w:val="04A0" w:firstRow="1" w:lastRow="0" w:firstColumn="1" w:lastColumn="0" w:noHBand="0" w:noVBand="1"/>
      </w:tblPr>
      <w:tblGrid>
        <w:gridCol w:w="3350"/>
        <w:gridCol w:w="842"/>
        <w:gridCol w:w="836"/>
        <w:gridCol w:w="838"/>
        <w:gridCol w:w="1116"/>
      </w:tblGrid>
      <w:tr w:rsidR="00027CB3" w:rsidRPr="004E74A6" w14:paraId="1C713D96" w14:textId="77777777" w:rsidTr="0010143F">
        <w:trPr>
          <w:trHeight w:val="454"/>
          <w:tblHeader/>
          <w:jc w:val="center"/>
        </w:trPr>
        <w:tc>
          <w:tcPr>
            <w:tcW w:w="2399" w:type="pct"/>
            <w:tcBorders>
              <w:top w:val="single" w:sz="4" w:space="0" w:color="auto"/>
              <w:left w:val="nil"/>
              <w:bottom w:val="single" w:sz="4" w:space="0" w:color="auto"/>
              <w:right w:val="single" w:sz="4" w:space="0" w:color="auto"/>
            </w:tcBorders>
            <w:shd w:val="clear" w:color="auto" w:fill="auto"/>
            <w:noWrap/>
            <w:vAlign w:val="center"/>
            <w:hideMark/>
          </w:tcPr>
          <w:p w14:paraId="66B378C2"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Principal</w:t>
            </w:r>
          </w:p>
        </w:tc>
        <w:tc>
          <w:tcPr>
            <w:tcW w:w="60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E2C8D9C"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2019</w:t>
            </w:r>
          </w:p>
        </w:tc>
        <w:tc>
          <w:tcPr>
            <w:tcW w:w="59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E41590F"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2020</w:t>
            </w:r>
          </w:p>
        </w:tc>
        <w:tc>
          <w:tcPr>
            <w:tcW w:w="60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C0287EB"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2021</w:t>
            </w:r>
          </w:p>
        </w:tc>
        <w:tc>
          <w:tcPr>
            <w:tcW w:w="799" w:type="pct"/>
            <w:tcBorders>
              <w:top w:val="single" w:sz="4" w:space="0" w:color="auto"/>
              <w:left w:val="single" w:sz="4" w:space="0" w:color="auto"/>
              <w:bottom w:val="single" w:sz="4" w:space="0" w:color="auto"/>
              <w:right w:val="nil"/>
            </w:tcBorders>
            <w:shd w:val="clear" w:color="auto" w:fill="auto"/>
            <w:noWrap/>
            <w:vAlign w:val="center"/>
          </w:tcPr>
          <w:p w14:paraId="5824F253" w14:textId="11530B0E" w:rsidR="008647ED" w:rsidRPr="004E74A6" w:rsidRDefault="006B6845" w:rsidP="00CE62C1">
            <w:pPr>
              <w:spacing w:line="276" w:lineRule="auto"/>
              <w:jc w:val="center"/>
              <w:rPr>
                <w:rFonts w:cs="Calibri"/>
                <w:color w:val="000000"/>
                <w:sz w:val="20"/>
                <w:lang w:eastAsia="es-CR"/>
              </w:rPr>
            </w:pPr>
            <w:r w:rsidRPr="004E74A6">
              <w:rPr>
                <w:rFonts w:cs="Calibri"/>
                <w:color w:val="000000"/>
                <w:sz w:val="20"/>
                <w:lang w:eastAsia="es-CR"/>
              </w:rPr>
              <w:t>Promedio</w:t>
            </w:r>
          </w:p>
        </w:tc>
      </w:tr>
      <w:tr w:rsidR="00027CB3" w:rsidRPr="004E74A6" w14:paraId="62758FD2" w14:textId="77777777" w:rsidTr="0010143F">
        <w:trPr>
          <w:trHeight w:val="288"/>
          <w:jc w:val="center"/>
        </w:trPr>
        <w:tc>
          <w:tcPr>
            <w:tcW w:w="2399" w:type="pct"/>
            <w:tcBorders>
              <w:top w:val="single" w:sz="4" w:space="0" w:color="auto"/>
              <w:left w:val="nil"/>
              <w:bottom w:val="nil"/>
              <w:right w:val="single" w:sz="4" w:space="0" w:color="auto"/>
            </w:tcBorders>
            <w:shd w:val="clear" w:color="auto" w:fill="auto"/>
            <w:noWrap/>
            <w:vAlign w:val="center"/>
          </w:tcPr>
          <w:p w14:paraId="3F545864" w14:textId="77777777" w:rsidR="008647ED" w:rsidRPr="004E74A6" w:rsidRDefault="008647ED" w:rsidP="00CE62C1">
            <w:pPr>
              <w:spacing w:line="276" w:lineRule="auto"/>
              <w:ind w:firstLineChars="100" w:firstLine="200"/>
              <w:jc w:val="center"/>
              <w:rPr>
                <w:rFonts w:cs="Calibri"/>
                <w:color w:val="000000"/>
                <w:sz w:val="20"/>
                <w:lang w:eastAsia="es-CR"/>
              </w:rPr>
            </w:pPr>
          </w:p>
        </w:tc>
        <w:tc>
          <w:tcPr>
            <w:tcW w:w="603" w:type="pct"/>
            <w:tcBorders>
              <w:top w:val="single" w:sz="4" w:space="0" w:color="auto"/>
              <w:left w:val="single" w:sz="4" w:space="0" w:color="auto"/>
              <w:bottom w:val="nil"/>
              <w:right w:val="single" w:sz="4" w:space="0" w:color="auto"/>
            </w:tcBorders>
            <w:shd w:val="clear" w:color="auto" w:fill="auto"/>
            <w:noWrap/>
            <w:vAlign w:val="center"/>
          </w:tcPr>
          <w:p w14:paraId="21CFD750" w14:textId="77777777" w:rsidR="008647ED" w:rsidRPr="004E74A6" w:rsidRDefault="008647ED" w:rsidP="00CE62C1">
            <w:pPr>
              <w:spacing w:line="276" w:lineRule="auto"/>
              <w:jc w:val="center"/>
              <w:rPr>
                <w:sz w:val="20"/>
                <w:lang w:eastAsia="es-CR"/>
              </w:rPr>
            </w:pPr>
          </w:p>
        </w:tc>
        <w:tc>
          <w:tcPr>
            <w:tcW w:w="599" w:type="pct"/>
            <w:tcBorders>
              <w:top w:val="single" w:sz="4" w:space="0" w:color="auto"/>
              <w:left w:val="single" w:sz="4" w:space="0" w:color="auto"/>
              <w:bottom w:val="nil"/>
              <w:right w:val="single" w:sz="4" w:space="0" w:color="auto"/>
            </w:tcBorders>
            <w:shd w:val="clear" w:color="auto" w:fill="auto"/>
            <w:noWrap/>
            <w:vAlign w:val="center"/>
          </w:tcPr>
          <w:p w14:paraId="3D83C984" w14:textId="77777777" w:rsidR="008647ED" w:rsidRPr="004E74A6" w:rsidRDefault="008647ED" w:rsidP="00CE62C1">
            <w:pPr>
              <w:spacing w:line="276" w:lineRule="auto"/>
              <w:jc w:val="center"/>
              <w:rPr>
                <w:rFonts w:cs="Calibri"/>
                <w:color w:val="000000"/>
                <w:sz w:val="20"/>
                <w:lang w:eastAsia="es-CR"/>
              </w:rPr>
            </w:pPr>
          </w:p>
        </w:tc>
        <w:tc>
          <w:tcPr>
            <w:tcW w:w="600" w:type="pct"/>
            <w:tcBorders>
              <w:top w:val="single" w:sz="4" w:space="0" w:color="auto"/>
              <w:left w:val="single" w:sz="4" w:space="0" w:color="auto"/>
              <w:bottom w:val="nil"/>
              <w:right w:val="single" w:sz="4" w:space="0" w:color="auto"/>
            </w:tcBorders>
            <w:shd w:val="clear" w:color="auto" w:fill="auto"/>
            <w:noWrap/>
            <w:vAlign w:val="center"/>
          </w:tcPr>
          <w:p w14:paraId="03D6A24D" w14:textId="77777777" w:rsidR="008647ED" w:rsidRPr="004E74A6" w:rsidRDefault="008647ED" w:rsidP="00CE62C1">
            <w:pPr>
              <w:spacing w:line="276" w:lineRule="auto"/>
              <w:jc w:val="center"/>
              <w:rPr>
                <w:rFonts w:cs="Calibri"/>
                <w:color w:val="000000"/>
                <w:sz w:val="20"/>
                <w:lang w:eastAsia="es-CR"/>
              </w:rPr>
            </w:pPr>
          </w:p>
        </w:tc>
        <w:tc>
          <w:tcPr>
            <w:tcW w:w="799" w:type="pct"/>
            <w:tcBorders>
              <w:top w:val="single" w:sz="4" w:space="0" w:color="auto"/>
              <w:left w:val="single" w:sz="4" w:space="0" w:color="auto"/>
              <w:bottom w:val="nil"/>
              <w:right w:val="nil"/>
            </w:tcBorders>
            <w:shd w:val="clear" w:color="auto" w:fill="auto"/>
            <w:noWrap/>
            <w:vAlign w:val="center"/>
          </w:tcPr>
          <w:p w14:paraId="5C1D132D" w14:textId="77777777" w:rsidR="008647ED" w:rsidRPr="004E74A6" w:rsidRDefault="008647ED" w:rsidP="00CE62C1">
            <w:pPr>
              <w:spacing w:line="276" w:lineRule="auto"/>
              <w:jc w:val="center"/>
              <w:rPr>
                <w:rFonts w:cs="Calibri"/>
                <w:color w:val="000000"/>
                <w:sz w:val="20"/>
                <w:lang w:eastAsia="es-CR"/>
              </w:rPr>
            </w:pPr>
          </w:p>
        </w:tc>
      </w:tr>
      <w:tr w:rsidR="006B6845" w:rsidRPr="004E74A6" w14:paraId="5094F618" w14:textId="77777777" w:rsidTr="0010143F">
        <w:trPr>
          <w:trHeight w:val="288"/>
          <w:jc w:val="center"/>
        </w:trPr>
        <w:tc>
          <w:tcPr>
            <w:tcW w:w="2399" w:type="pct"/>
            <w:tcBorders>
              <w:top w:val="nil"/>
              <w:left w:val="nil"/>
              <w:bottom w:val="nil"/>
              <w:right w:val="single" w:sz="4" w:space="0" w:color="auto"/>
            </w:tcBorders>
            <w:shd w:val="clear" w:color="auto" w:fill="auto"/>
            <w:noWrap/>
            <w:vAlign w:val="center"/>
          </w:tcPr>
          <w:p w14:paraId="531B4966" w14:textId="77777777" w:rsidR="006B6845" w:rsidRPr="004E74A6" w:rsidRDefault="006B6845" w:rsidP="00CE62C1">
            <w:pPr>
              <w:spacing w:line="276" w:lineRule="auto"/>
              <w:jc w:val="center"/>
              <w:rPr>
                <w:rFonts w:cs="Calibri"/>
                <w:color w:val="000000"/>
                <w:sz w:val="20"/>
                <w:lang w:eastAsia="es-CR"/>
              </w:rPr>
            </w:pPr>
            <w:r w:rsidRPr="004E74A6">
              <w:rPr>
                <w:rFonts w:cs="Calibri"/>
                <w:color w:val="000000"/>
                <w:sz w:val="20"/>
                <w:lang w:eastAsia="es-CR"/>
              </w:rPr>
              <w:t>Total</w:t>
            </w:r>
          </w:p>
        </w:tc>
        <w:tc>
          <w:tcPr>
            <w:tcW w:w="603" w:type="pct"/>
            <w:tcBorders>
              <w:top w:val="nil"/>
              <w:left w:val="single" w:sz="4" w:space="0" w:color="auto"/>
              <w:bottom w:val="nil"/>
              <w:right w:val="single" w:sz="4" w:space="0" w:color="auto"/>
            </w:tcBorders>
            <w:shd w:val="clear" w:color="auto" w:fill="auto"/>
            <w:noWrap/>
            <w:vAlign w:val="center"/>
          </w:tcPr>
          <w:p w14:paraId="58DBAD4A" w14:textId="0193C9EF" w:rsidR="006B6845" w:rsidRPr="004E74A6" w:rsidRDefault="006B6845" w:rsidP="00CE62C1">
            <w:pPr>
              <w:spacing w:line="276" w:lineRule="auto"/>
              <w:jc w:val="center"/>
              <w:rPr>
                <w:sz w:val="20"/>
                <w:lang w:eastAsia="es-CR"/>
              </w:rPr>
            </w:pPr>
            <w:r w:rsidRPr="004E74A6">
              <w:rPr>
                <w:rFonts w:cs="Calibri"/>
                <w:color w:val="000000"/>
                <w:sz w:val="20"/>
                <w:lang w:eastAsia="es-CR"/>
              </w:rPr>
              <w:t>23</w:t>
            </w:r>
            <w:r w:rsidR="007510C2" w:rsidRPr="004E74A6">
              <w:rPr>
                <w:rFonts w:cs="Calibri"/>
                <w:color w:val="000000"/>
                <w:sz w:val="20"/>
                <w:lang w:eastAsia="es-CR"/>
              </w:rPr>
              <w:t>3</w:t>
            </w:r>
          </w:p>
        </w:tc>
        <w:tc>
          <w:tcPr>
            <w:tcW w:w="599" w:type="pct"/>
            <w:tcBorders>
              <w:top w:val="nil"/>
              <w:left w:val="single" w:sz="4" w:space="0" w:color="auto"/>
              <w:bottom w:val="nil"/>
              <w:right w:val="single" w:sz="4" w:space="0" w:color="auto"/>
            </w:tcBorders>
            <w:shd w:val="clear" w:color="auto" w:fill="auto"/>
            <w:noWrap/>
            <w:vAlign w:val="center"/>
          </w:tcPr>
          <w:p w14:paraId="7E93C48C" w14:textId="4AE14937" w:rsidR="006B6845" w:rsidRPr="004E74A6" w:rsidRDefault="006B6845" w:rsidP="00CE62C1">
            <w:pPr>
              <w:spacing w:line="276" w:lineRule="auto"/>
              <w:jc w:val="center"/>
              <w:rPr>
                <w:rFonts w:cs="Calibri"/>
                <w:color w:val="000000"/>
                <w:sz w:val="20"/>
                <w:lang w:eastAsia="es-CR"/>
              </w:rPr>
            </w:pPr>
            <w:r w:rsidRPr="004E74A6">
              <w:rPr>
                <w:rFonts w:cs="Calibri"/>
                <w:color w:val="000000"/>
                <w:sz w:val="20"/>
                <w:lang w:eastAsia="es-CR"/>
              </w:rPr>
              <w:t>1</w:t>
            </w:r>
            <w:r w:rsidR="007510C2" w:rsidRPr="004E74A6">
              <w:rPr>
                <w:rFonts w:cs="Calibri"/>
                <w:color w:val="000000"/>
                <w:sz w:val="20"/>
                <w:lang w:eastAsia="es-CR"/>
              </w:rPr>
              <w:t>54</w:t>
            </w:r>
          </w:p>
        </w:tc>
        <w:tc>
          <w:tcPr>
            <w:tcW w:w="600" w:type="pct"/>
            <w:tcBorders>
              <w:top w:val="nil"/>
              <w:left w:val="single" w:sz="4" w:space="0" w:color="auto"/>
              <w:bottom w:val="nil"/>
              <w:right w:val="single" w:sz="4" w:space="0" w:color="auto"/>
            </w:tcBorders>
            <w:shd w:val="clear" w:color="auto" w:fill="auto"/>
            <w:noWrap/>
            <w:vAlign w:val="center"/>
          </w:tcPr>
          <w:p w14:paraId="05E838CE" w14:textId="26C7E451" w:rsidR="006B6845" w:rsidRPr="004E74A6" w:rsidRDefault="006B6845" w:rsidP="00CE62C1">
            <w:pPr>
              <w:spacing w:line="276" w:lineRule="auto"/>
              <w:jc w:val="center"/>
              <w:rPr>
                <w:rFonts w:cs="Calibri"/>
                <w:color w:val="000000"/>
                <w:sz w:val="20"/>
                <w:lang w:eastAsia="es-CR"/>
              </w:rPr>
            </w:pPr>
            <w:r w:rsidRPr="004E74A6">
              <w:rPr>
                <w:rFonts w:cs="Calibri"/>
                <w:color w:val="000000"/>
                <w:sz w:val="20"/>
                <w:lang w:eastAsia="es-CR"/>
              </w:rPr>
              <w:t>16</w:t>
            </w:r>
            <w:r w:rsidR="007510C2" w:rsidRPr="004E74A6">
              <w:rPr>
                <w:rFonts w:cs="Calibri"/>
                <w:color w:val="000000"/>
                <w:sz w:val="20"/>
                <w:lang w:eastAsia="es-CR"/>
              </w:rPr>
              <w:t>5</w:t>
            </w:r>
          </w:p>
        </w:tc>
        <w:tc>
          <w:tcPr>
            <w:tcW w:w="799" w:type="pct"/>
            <w:tcBorders>
              <w:top w:val="nil"/>
              <w:left w:val="single" w:sz="4" w:space="0" w:color="auto"/>
              <w:bottom w:val="nil"/>
              <w:right w:val="nil"/>
            </w:tcBorders>
            <w:shd w:val="clear" w:color="auto" w:fill="auto"/>
            <w:noWrap/>
            <w:vAlign w:val="center"/>
          </w:tcPr>
          <w:p w14:paraId="38D7F9BF" w14:textId="79B9273C" w:rsidR="006B6845" w:rsidRPr="004E74A6" w:rsidRDefault="006B6845" w:rsidP="00CE62C1">
            <w:pPr>
              <w:spacing w:line="276" w:lineRule="auto"/>
              <w:jc w:val="center"/>
              <w:rPr>
                <w:rFonts w:cs="Calibri"/>
                <w:color w:val="000000"/>
                <w:sz w:val="20"/>
                <w:lang w:eastAsia="es-CR"/>
              </w:rPr>
            </w:pPr>
            <w:r w:rsidRPr="004E74A6">
              <w:rPr>
                <w:rFonts w:cs="Calibri"/>
                <w:color w:val="000000"/>
                <w:sz w:val="20"/>
              </w:rPr>
              <w:t>18</w:t>
            </w:r>
            <w:r w:rsidR="000273AF" w:rsidRPr="004E74A6">
              <w:rPr>
                <w:rFonts w:cs="Calibri"/>
                <w:color w:val="000000"/>
                <w:sz w:val="20"/>
              </w:rPr>
              <w:t>4</w:t>
            </w:r>
          </w:p>
        </w:tc>
      </w:tr>
      <w:tr w:rsidR="006B6845" w:rsidRPr="004E74A6" w14:paraId="0A2ADC89" w14:textId="77777777" w:rsidTr="0010143F">
        <w:trPr>
          <w:trHeight w:val="288"/>
          <w:jc w:val="center"/>
        </w:trPr>
        <w:tc>
          <w:tcPr>
            <w:tcW w:w="2399" w:type="pct"/>
            <w:tcBorders>
              <w:top w:val="nil"/>
              <w:left w:val="nil"/>
              <w:bottom w:val="nil"/>
              <w:right w:val="single" w:sz="4" w:space="0" w:color="auto"/>
            </w:tcBorders>
            <w:shd w:val="clear" w:color="auto" w:fill="auto"/>
            <w:noWrap/>
            <w:vAlign w:val="bottom"/>
          </w:tcPr>
          <w:p w14:paraId="7DB1CB29" w14:textId="77777777" w:rsidR="006B6845" w:rsidRPr="004E74A6" w:rsidRDefault="006B6845" w:rsidP="00CE62C1">
            <w:pPr>
              <w:spacing w:line="276" w:lineRule="auto"/>
              <w:ind w:firstLineChars="100" w:firstLine="200"/>
              <w:jc w:val="left"/>
              <w:rPr>
                <w:rFonts w:cs="Calibri"/>
                <w:color w:val="000000"/>
                <w:sz w:val="20"/>
                <w:lang w:eastAsia="es-CR"/>
              </w:rPr>
            </w:pPr>
          </w:p>
        </w:tc>
        <w:tc>
          <w:tcPr>
            <w:tcW w:w="603" w:type="pct"/>
            <w:tcBorders>
              <w:top w:val="nil"/>
              <w:left w:val="single" w:sz="4" w:space="0" w:color="auto"/>
              <w:bottom w:val="nil"/>
              <w:right w:val="single" w:sz="4" w:space="0" w:color="auto"/>
            </w:tcBorders>
            <w:shd w:val="clear" w:color="auto" w:fill="auto"/>
            <w:noWrap/>
            <w:vAlign w:val="center"/>
          </w:tcPr>
          <w:p w14:paraId="28CBD8EF" w14:textId="77777777" w:rsidR="006B6845" w:rsidRPr="004E74A6" w:rsidRDefault="006B6845" w:rsidP="00CE62C1">
            <w:pPr>
              <w:spacing w:line="276" w:lineRule="auto"/>
              <w:jc w:val="center"/>
              <w:rPr>
                <w:sz w:val="20"/>
                <w:lang w:eastAsia="es-CR"/>
              </w:rPr>
            </w:pPr>
          </w:p>
        </w:tc>
        <w:tc>
          <w:tcPr>
            <w:tcW w:w="599" w:type="pct"/>
            <w:tcBorders>
              <w:top w:val="nil"/>
              <w:left w:val="single" w:sz="4" w:space="0" w:color="auto"/>
              <w:bottom w:val="nil"/>
              <w:right w:val="single" w:sz="4" w:space="0" w:color="auto"/>
            </w:tcBorders>
            <w:shd w:val="clear" w:color="auto" w:fill="auto"/>
            <w:noWrap/>
            <w:vAlign w:val="center"/>
          </w:tcPr>
          <w:p w14:paraId="2F4E182D" w14:textId="77777777" w:rsidR="006B6845" w:rsidRPr="004E74A6" w:rsidRDefault="006B6845" w:rsidP="00CE62C1">
            <w:pPr>
              <w:spacing w:line="276" w:lineRule="auto"/>
              <w:jc w:val="center"/>
              <w:rPr>
                <w:rFonts w:cs="Calibri"/>
                <w:color w:val="000000"/>
                <w:sz w:val="20"/>
                <w:lang w:eastAsia="es-CR"/>
              </w:rPr>
            </w:pPr>
          </w:p>
        </w:tc>
        <w:tc>
          <w:tcPr>
            <w:tcW w:w="600" w:type="pct"/>
            <w:tcBorders>
              <w:top w:val="nil"/>
              <w:left w:val="single" w:sz="4" w:space="0" w:color="auto"/>
              <w:bottom w:val="nil"/>
              <w:right w:val="single" w:sz="4" w:space="0" w:color="auto"/>
            </w:tcBorders>
            <w:shd w:val="clear" w:color="auto" w:fill="auto"/>
            <w:noWrap/>
            <w:vAlign w:val="center"/>
          </w:tcPr>
          <w:p w14:paraId="62023789" w14:textId="77777777" w:rsidR="006B6845" w:rsidRPr="004E74A6" w:rsidRDefault="006B6845" w:rsidP="00CE62C1">
            <w:pPr>
              <w:spacing w:line="276" w:lineRule="auto"/>
              <w:jc w:val="center"/>
              <w:rPr>
                <w:rFonts w:cs="Calibri"/>
                <w:color w:val="000000"/>
                <w:sz w:val="20"/>
                <w:lang w:eastAsia="es-CR"/>
              </w:rPr>
            </w:pPr>
          </w:p>
        </w:tc>
        <w:tc>
          <w:tcPr>
            <w:tcW w:w="799" w:type="pct"/>
            <w:tcBorders>
              <w:top w:val="nil"/>
              <w:left w:val="single" w:sz="4" w:space="0" w:color="auto"/>
              <w:bottom w:val="nil"/>
              <w:right w:val="nil"/>
            </w:tcBorders>
            <w:shd w:val="clear" w:color="auto" w:fill="auto"/>
            <w:noWrap/>
            <w:vAlign w:val="center"/>
          </w:tcPr>
          <w:p w14:paraId="0A195DA9" w14:textId="77777777" w:rsidR="006B6845" w:rsidRPr="004E74A6" w:rsidRDefault="006B6845" w:rsidP="00CE62C1">
            <w:pPr>
              <w:spacing w:line="276" w:lineRule="auto"/>
              <w:jc w:val="center"/>
              <w:rPr>
                <w:rFonts w:cs="Calibri"/>
                <w:color w:val="000000"/>
                <w:sz w:val="20"/>
                <w:lang w:eastAsia="es-CR"/>
              </w:rPr>
            </w:pPr>
          </w:p>
        </w:tc>
      </w:tr>
      <w:tr w:rsidR="006B6845" w:rsidRPr="004E74A6" w14:paraId="66745F20" w14:textId="77777777" w:rsidTr="0010143F">
        <w:trPr>
          <w:trHeight w:val="288"/>
          <w:jc w:val="center"/>
        </w:trPr>
        <w:tc>
          <w:tcPr>
            <w:tcW w:w="2399" w:type="pct"/>
            <w:tcBorders>
              <w:top w:val="nil"/>
              <w:left w:val="nil"/>
              <w:bottom w:val="nil"/>
              <w:right w:val="single" w:sz="4" w:space="0" w:color="auto"/>
            </w:tcBorders>
            <w:shd w:val="clear" w:color="auto" w:fill="auto"/>
            <w:noWrap/>
            <w:vAlign w:val="bottom"/>
            <w:hideMark/>
          </w:tcPr>
          <w:p w14:paraId="295B39D4" w14:textId="77777777" w:rsidR="006B6845" w:rsidRPr="004E74A6" w:rsidRDefault="006B6845" w:rsidP="00CE62C1">
            <w:pPr>
              <w:spacing w:line="276" w:lineRule="auto"/>
              <w:ind w:firstLineChars="100" w:firstLine="200"/>
              <w:jc w:val="left"/>
              <w:rPr>
                <w:rFonts w:cs="Calibri"/>
                <w:color w:val="000000"/>
                <w:sz w:val="20"/>
                <w:lang w:eastAsia="es-CR"/>
              </w:rPr>
            </w:pPr>
            <w:r w:rsidRPr="004E74A6">
              <w:rPr>
                <w:rFonts w:cs="Calibri"/>
                <w:color w:val="000000"/>
                <w:sz w:val="20"/>
                <w:lang w:eastAsia="es-CR"/>
              </w:rPr>
              <w:t>Actividad Preparatoria</w:t>
            </w:r>
          </w:p>
        </w:tc>
        <w:tc>
          <w:tcPr>
            <w:tcW w:w="603" w:type="pct"/>
            <w:tcBorders>
              <w:top w:val="nil"/>
              <w:left w:val="single" w:sz="4" w:space="0" w:color="auto"/>
              <w:bottom w:val="nil"/>
              <w:right w:val="single" w:sz="4" w:space="0" w:color="auto"/>
            </w:tcBorders>
            <w:shd w:val="clear" w:color="auto" w:fill="auto"/>
            <w:noWrap/>
            <w:vAlign w:val="center"/>
            <w:hideMark/>
          </w:tcPr>
          <w:p w14:paraId="2BC64D7D" w14:textId="5D8ECDE4" w:rsidR="006B6845" w:rsidRPr="004E74A6" w:rsidRDefault="007510C2" w:rsidP="00CE62C1">
            <w:pPr>
              <w:spacing w:line="276" w:lineRule="auto"/>
              <w:jc w:val="center"/>
              <w:rPr>
                <w:sz w:val="20"/>
                <w:lang w:eastAsia="es-CR"/>
              </w:rPr>
            </w:pPr>
            <w:r w:rsidRPr="004E74A6">
              <w:rPr>
                <w:sz w:val="20"/>
                <w:lang w:eastAsia="es-CR"/>
              </w:rPr>
              <w:t>0</w:t>
            </w:r>
          </w:p>
        </w:tc>
        <w:tc>
          <w:tcPr>
            <w:tcW w:w="599" w:type="pct"/>
            <w:tcBorders>
              <w:top w:val="nil"/>
              <w:left w:val="single" w:sz="4" w:space="0" w:color="auto"/>
              <w:bottom w:val="nil"/>
              <w:right w:val="single" w:sz="4" w:space="0" w:color="auto"/>
            </w:tcBorders>
            <w:shd w:val="clear" w:color="auto" w:fill="auto"/>
            <w:noWrap/>
            <w:vAlign w:val="center"/>
            <w:hideMark/>
          </w:tcPr>
          <w:p w14:paraId="71977538" w14:textId="77777777" w:rsidR="006B6845" w:rsidRPr="004E74A6" w:rsidRDefault="006B6845" w:rsidP="00CE62C1">
            <w:pPr>
              <w:spacing w:line="276" w:lineRule="auto"/>
              <w:jc w:val="center"/>
              <w:rPr>
                <w:rFonts w:cs="Calibri"/>
                <w:color w:val="000000"/>
                <w:sz w:val="20"/>
                <w:lang w:eastAsia="es-CR"/>
              </w:rPr>
            </w:pPr>
            <w:r w:rsidRPr="004E74A6">
              <w:rPr>
                <w:rFonts w:cs="Calibri"/>
                <w:color w:val="000000"/>
                <w:sz w:val="20"/>
                <w:lang w:eastAsia="es-CR"/>
              </w:rPr>
              <w:t>1</w:t>
            </w:r>
          </w:p>
        </w:tc>
        <w:tc>
          <w:tcPr>
            <w:tcW w:w="600" w:type="pct"/>
            <w:tcBorders>
              <w:top w:val="nil"/>
              <w:left w:val="single" w:sz="4" w:space="0" w:color="auto"/>
              <w:bottom w:val="nil"/>
              <w:right w:val="single" w:sz="4" w:space="0" w:color="auto"/>
            </w:tcBorders>
            <w:shd w:val="clear" w:color="auto" w:fill="auto"/>
            <w:noWrap/>
            <w:vAlign w:val="center"/>
            <w:hideMark/>
          </w:tcPr>
          <w:p w14:paraId="5A78EA1E" w14:textId="541658CE" w:rsidR="006B6845" w:rsidRPr="004E74A6" w:rsidRDefault="007510C2" w:rsidP="00CE62C1">
            <w:pPr>
              <w:spacing w:line="276" w:lineRule="auto"/>
              <w:jc w:val="center"/>
              <w:rPr>
                <w:rFonts w:cs="Calibri"/>
                <w:color w:val="000000"/>
                <w:sz w:val="20"/>
                <w:lang w:eastAsia="es-CR"/>
              </w:rPr>
            </w:pPr>
            <w:r w:rsidRPr="004E74A6">
              <w:rPr>
                <w:rFonts w:cs="Calibri"/>
                <w:color w:val="000000"/>
                <w:sz w:val="20"/>
                <w:lang w:eastAsia="es-CR"/>
              </w:rPr>
              <w:t>0</w:t>
            </w:r>
          </w:p>
        </w:tc>
        <w:tc>
          <w:tcPr>
            <w:tcW w:w="799" w:type="pct"/>
            <w:tcBorders>
              <w:top w:val="nil"/>
              <w:left w:val="single" w:sz="4" w:space="0" w:color="auto"/>
              <w:bottom w:val="nil"/>
              <w:right w:val="nil"/>
            </w:tcBorders>
            <w:shd w:val="clear" w:color="auto" w:fill="auto"/>
            <w:noWrap/>
            <w:vAlign w:val="center"/>
          </w:tcPr>
          <w:p w14:paraId="6BBA55A4" w14:textId="40349DCD" w:rsidR="006B6845" w:rsidRPr="004E74A6" w:rsidRDefault="000273AF" w:rsidP="00CE62C1">
            <w:pPr>
              <w:spacing w:line="276" w:lineRule="auto"/>
              <w:jc w:val="center"/>
              <w:rPr>
                <w:rFonts w:cs="Calibri"/>
                <w:color w:val="000000"/>
                <w:sz w:val="20"/>
                <w:lang w:eastAsia="es-CR"/>
              </w:rPr>
            </w:pPr>
            <w:r w:rsidRPr="004E74A6">
              <w:rPr>
                <w:rFonts w:cs="Calibri"/>
                <w:color w:val="000000"/>
                <w:sz w:val="20"/>
                <w:lang w:eastAsia="es-CR"/>
              </w:rPr>
              <w:t>0,3</w:t>
            </w:r>
          </w:p>
        </w:tc>
      </w:tr>
      <w:tr w:rsidR="006B6845" w:rsidRPr="004E74A6" w14:paraId="765C88F3" w14:textId="77777777" w:rsidTr="0010143F">
        <w:trPr>
          <w:trHeight w:val="288"/>
          <w:jc w:val="center"/>
        </w:trPr>
        <w:tc>
          <w:tcPr>
            <w:tcW w:w="2399" w:type="pct"/>
            <w:tcBorders>
              <w:top w:val="nil"/>
              <w:left w:val="nil"/>
              <w:bottom w:val="nil"/>
              <w:right w:val="single" w:sz="4" w:space="0" w:color="auto"/>
            </w:tcBorders>
            <w:shd w:val="clear" w:color="auto" w:fill="auto"/>
            <w:noWrap/>
            <w:vAlign w:val="bottom"/>
            <w:hideMark/>
          </w:tcPr>
          <w:p w14:paraId="197233DB" w14:textId="77777777" w:rsidR="006B6845" w:rsidRPr="004E74A6" w:rsidRDefault="006B6845" w:rsidP="00CE62C1">
            <w:pPr>
              <w:spacing w:line="276" w:lineRule="auto"/>
              <w:ind w:firstLineChars="100" w:firstLine="200"/>
              <w:jc w:val="left"/>
              <w:rPr>
                <w:rFonts w:cs="Calibri"/>
                <w:color w:val="000000"/>
                <w:sz w:val="20"/>
                <w:lang w:eastAsia="es-CR"/>
              </w:rPr>
            </w:pPr>
            <w:r w:rsidRPr="004E74A6">
              <w:rPr>
                <w:rFonts w:cs="Calibri"/>
                <w:color w:val="000000"/>
                <w:sz w:val="20"/>
                <w:lang w:eastAsia="es-CR"/>
              </w:rPr>
              <w:t>Medida Cautelar</w:t>
            </w:r>
          </w:p>
        </w:tc>
        <w:tc>
          <w:tcPr>
            <w:tcW w:w="603" w:type="pct"/>
            <w:tcBorders>
              <w:top w:val="nil"/>
              <w:left w:val="single" w:sz="4" w:space="0" w:color="auto"/>
              <w:bottom w:val="nil"/>
              <w:right w:val="single" w:sz="4" w:space="0" w:color="auto"/>
            </w:tcBorders>
            <w:shd w:val="clear" w:color="auto" w:fill="auto"/>
            <w:noWrap/>
            <w:vAlign w:val="center"/>
            <w:hideMark/>
          </w:tcPr>
          <w:p w14:paraId="4D3C1B3F" w14:textId="77777777" w:rsidR="006B6845" w:rsidRPr="004E74A6" w:rsidRDefault="006B6845" w:rsidP="00CE62C1">
            <w:pPr>
              <w:spacing w:line="276" w:lineRule="auto"/>
              <w:jc w:val="center"/>
              <w:rPr>
                <w:rFonts w:cs="Calibri"/>
                <w:color w:val="000000"/>
                <w:sz w:val="20"/>
                <w:lang w:eastAsia="es-CR"/>
              </w:rPr>
            </w:pPr>
            <w:r w:rsidRPr="004E74A6">
              <w:rPr>
                <w:rFonts w:cs="Calibri"/>
                <w:color w:val="000000"/>
                <w:sz w:val="20"/>
                <w:lang w:eastAsia="es-CR"/>
              </w:rPr>
              <w:t>10</w:t>
            </w:r>
          </w:p>
        </w:tc>
        <w:tc>
          <w:tcPr>
            <w:tcW w:w="599" w:type="pct"/>
            <w:tcBorders>
              <w:top w:val="nil"/>
              <w:left w:val="single" w:sz="4" w:space="0" w:color="auto"/>
              <w:bottom w:val="nil"/>
              <w:right w:val="single" w:sz="4" w:space="0" w:color="auto"/>
            </w:tcBorders>
            <w:shd w:val="clear" w:color="auto" w:fill="auto"/>
            <w:noWrap/>
            <w:vAlign w:val="center"/>
            <w:hideMark/>
          </w:tcPr>
          <w:p w14:paraId="15EE0CB1" w14:textId="77777777" w:rsidR="006B6845" w:rsidRPr="004E74A6" w:rsidRDefault="006B6845" w:rsidP="00CE62C1">
            <w:pPr>
              <w:spacing w:line="276" w:lineRule="auto"/>
              <w:jc w:val="center"/>
              <w:rPr>
                <w:rFonts w:cs="Calibri"/>
                <w:color w:val="000000"/>
                <w:sz w:val="20"/>
                <w:lang w:eastAsia="es-CR"/>
              </w:rPr>
            </w:pPr>
            <w:r w:rsidRPr="004E74A6">
              <w:rPr>
                <w:rFonts w:cs="Calibri"/>
                <w:color w:val="000000"/>
                <w:sz w:val="20"/>
                <w:lang w:eastAsia="es-CR"/>
              </w:rPr>
              <w:t>6</w:t>
            </w:r>
          </w:p>
        </w:tc>
        <w:tc>
          <w:tcPr>
            <w:tcW w:w="600" w:type="pct"/>
            <w:tcBorders>
              <w:top w:val="nil"/>
              <w:left w:val="single" w:sz="4" w:space="0" w:color="auto"/>
              <w:bottom w:val="nil"/>
              <w:right w:val="single" w:sz="4" w:space="0" w:color="auto"/>
            </w:tcBorders>
            <w:shd w:val="clear" w:color="auto" w:fill="auto"/>
            <w:noWrap/>
            <w:vAlign w:val="center"/>
            <w:hideMark/>
          </w:tcPr>
          <w:p w14:paraId="68699CBE" w14:textId="77777777" w:rsidR="006B6845" w:rsidRPr="004E74A6" w:rsidRDefault="006B6845" w:rsidP="00CE62C1">
            <w:pPr>
              <w:spacing w:line="276" w:lineRule="auto"/>
              <w:jc w:val="center"/>
              <w:rPr>
                <w:rFonts w:cs="Calibri"/>
                <w:color w:val="000000"/>
                <w:sz w:val="20"/>
                <w:lang w:eastAsia="es-CR"/>
              </w:rPr>
            </w:pPr>
            <w:r w:rsidRPr="004E74A6">
              <w:rPr>
                <w:rFonts w:cs="Calibri"/>
                <w:color w:val="000000"/>
                <w:sz w:val="20"/>
                <w:lang w:eastAsia="es-CR"/>
              </w:rPr>
              <w:t>1</w:t>
            </w:r>
          </w:p>
        </w:tc>
        <w:tc>
          <w:tcPr>
            <w:tcW w:w="799" w:type="pct"/>
            <w:tcBorders>
              <w:top w:val="nil"/>
              <w:left w:val="single" w:sz="4" w:space="0" w:color="auto"/>
              <w:bottom w:val="nil"/>
              <w:right w:val="nil"/>
            </w:tcBorders>
            <w:shd w:val="clear" w:color="auto" w:fill="auto"/>
            <w:noWrap/>
            <w:vAlign w:val="center"/>
          </w:tcPr>
          <w:p w14:paraId="36AF18F0" w14:textId="1FC441F5" w:rsidR="006B6845" w:rsidRPr="004E74A6" w:rsidRDefault="000273AF" w:rsidP="00CE62C1">
            <w:pPr>
              <w:spacing w:line="276" w:lineRule="auto"/>
              <w:jc w:val="center"/>
              <w:rPr>
                <w:rFonts w:cs="Calibri"/>
                <w:color w:val="000000"/>
                <w:sz w:val="20"/>
                <w:lang w:eastAsia="es-CR"/>
              </w:rPr>
            </w:pPr>
            <w:r w:rsidRPr="004E74A6">
              <w:rPr>
                <w:rFonts w:cs="Calibri"/>
                <w:color w:val="000000"/>
                <w:sz w:val="20"/>
                <w:lang w:eastAsia="es-CR"/>
              </w:rPr>
              <w:t>5,7</w:t>
            </w:r>
          </w:p>
        </w:tc>
      </w:tr>
      <w:tr w:rsidR="006B6845" w:rsidRPr="004E74A6" w14:paraId="3A613125" w14:textId="77777777" w:rsidTr="0010143F">
        <w:trPr>
          <w:trHeight w:val="288"/>
          <w:jc w:val="center"/>
        </w:trPr>
        <w:tc>
          <w:tcPr>
            <w:tcW w:w="2399" w:type="pct"/>
            <w:tcBorders>
              <w:top w:val="nil"/>
              <w:left w:val="nil"/>
              <w:bottom w:val="nil"/>
              <w:right w:val="single" w:sz="4" w:space="0" w:color="auto"/>
            </w:tcBorders>
            <w:shd w:val="clear" w:color="auto" w:fill="auto"/>
            <w:noWrap/>
            <w:vAlign w:val="bottom"/>
            <w:hideMark/>
          </w:tcPr>
          <w:p w14:paraId="56FEC358" w14:textId="77777777" w:rsidR="006B6845" w:rsidRPr="004E74A6" w:rsidRDefault="006B6845" w:rsidP="00CE62C1">
            <w:pPr>
              <w:spacing w:line="276" w:lineRule="auto"/>
              <w:ind w:firstLineChars="100" w:firstLine="200"/>
              <w:jc w:val="left"/>
              <w:rPr>
                <w:rFonts w:cs="Calibri"/>
                <w:color w:val="000000"/>
                <w:sz w:val="20"/>
                <w:lang w:eastAsia="es-CR"/>
              </w:rPr>
            </w:pPr>
            <w:r w:rsidRPr="004E74A6">
              <w:rPr>
                <w:rFonts w:cs="Calibri"/>
                <w:color w:val="000000"/>
                <w:sz w:val="20"/>
                <w:lang w:eastAsia="es-CR"/>
              </w:rPr>
              <w:t>Monitorio</w:t>
            </w:r>
          </w:p>
        </w:tc>
        <w:tc>
          <w:tcPr>
            <w:tcW w:w="603" w:type="pct"/>
            <w:tcBorders>
              <w:top w:val="nil"/>
              <w:left w:val="single" w:sz="4" w:space="0" w:color="auto"/>
              <w:bottom w:val="nil"/>
              <w:right w:val="single" w:sz="4" w:space="0" w:color="auto"/>
            </w:tcBorders>
            <w:shd w:val="clear" w:color="auto" w:fill="auto"/>
            <w:noWrap/>
            <w:vAlign w:val="center"/>
            <w:hideMark/>
          </w:tcPr>
          <w:p w14:paraId="0698E48F" w14:textId="4BD7BDB1" w:rsidR="006B6845" w:rsidRPr="004E74A6" w:rsidRDefault="000273AF" w:rsidP="00CE62C1">
            <w:pPr>
              <w:spacing w:line="276" w:lineRule="auto"/>
              <w:jc w:val="center"/>
              <w:rPr>
                <w:sz w:val="20"/>
                <w:lang w:eastAsia="es-CR"/>
              </w:rPr>
            </w:pPr>
            <w:r w:rsidRPr="004E74A6">
              <w:rPr>
                <w:sz w:val="20"/>
                <w:lang w:eastAsia="es-CR"/>
              </w:rPr>
              <w:t>0</w:t>
            </w:r>
          </w:p>
        </w:tc>
        <w:tc>
          <w:tcPr>
            <w:tcW w:w="599" w:type="pct"/>
            <w:tcBorders>
              <w:top w:val="nil"/>
              <w:left w:val="single" w:sz="4" w:space="0" w:color="auto"/>
              <w:bottom w:val="nil"/>
              <w:right w:val="single" w:sz="4" w:space="0" w:color="auto"/>
            </w:tcBorders>
            <w:shd w:val="clear" w:color="auto" w:fill="auto"/>
            <w:noWrap/>
            <w:vAlign w:val="center"/>
            <w:hideMark/>
          </w:tcPr>
          <w:p w14:paraId="3284F068" w14:textId="2E94FFDA" w:rsidR="006B6845" w:rsidRPr="004E74A6" w:rsidRDefault="000273AF" w:rsidP="00CE62C1">
            <w:pPr>
              <w:spacing w:line="276" w:lineRule="auto"/>
              <w:jc w:val="center"/>
              <w:rPr>
                <w:sz w:val="20"/>
                <w:lang w:eastAsia="es-CR"/>
              </w:rPr>
            </w:pPr>
            <w:r w:rsidRPr="004E74A6">
              <w:rPr>
                <w:sz w:val="20"/>
                <w:lang w:eastAsia="es-CR"/>
              </w:rPr>
              <w:t>0</w:t>
            </w:r>
          </w:p>
        </w:tc>
        <w:tc>
          <w:tcPr>
            <w:tcW w:w="600" w:type="pct"/>
            <w:tcBorders>
              <w:top w:val="nil"/>
              <w:left w:val="single" w:sz="4" w:space="0" w:color="auto"/>
              <w:bottom w:val="nil"/>
              <w:right w:val="single" w:sz="4" w:space="0" w:color="auto"/>
            </w:tcBorders>
            <w:shd w:val="clear" w:color="auto" w:fill="auto"/>
            <w:noWrap/>
            <w:vAlign w:val="center"/>
            <w:hideMark/>
          </w:tcPr>
          <w:p w14:paraId="310790F0" w14:textId="77777777" w:rsidR="006B6845" w:rsidRPr="004E74A6" w:rsidRDefault="006B6845" w:rsidP="00CE62C1">
            <w:pPr>
              <w:spacing w:line="276" w:lineRule="auto"/>
              <w:jc w:val="center"/>
              <w:rPr>
                <w:rFonts w:cs="Calibri"/>
                <w:color w:val="000000"/>
                <w:sz w:val="20"/>
                <w:lang w:eastAsia="es-CR"/>
              </w:rPr>
            </w:pPr>
            <w:r w:rsidRPr="004E74A6">
              <w:rPr>
                <w:rFonts w:cs="Calibri"/>
                <w:color w:val="000000"/>
                <w:sz w:val="20"/>
                <w:lang w:eastAsia="es-CR"/>
              </w:rPr>
              <w:t>1</w:t>
            </w:r>
          </w:p>
        </w:tc>
        <w:tc>
          <w:tcPr>
            <w:tcW w:w="799" w:type="pct"/>
            <w:tcBorders>
              <w:top w:val="nil"/>
              <w:left w:val="single" w:sz="4" w:space="0" w:color="auto"/>
              <w:bottom w:val="nil"/>
              <w:right w:val="nil"/>
            </w:tcBorders>
            <w:shd w:val="clear" w:color="auto" w:fill="auto"/>
            <w:noWrap/>
            <w:vAlign w:val="center"/>
          </w:tcPr>
          <w:p w14:paraId="0A5001C9" w14:textId="79F9BED2" w:rsidR="006B6845" w:rsidRPr="004E74A6" w:rsidRDefault="000273AF" w:rsidP="00CE62C1">
            <w:pPr>
              <w:spacing w:line="276" w:lineRule="auto"/>
              <w:jc w:val="center"/>
              <w:rPr>
                <w:rFonts w:cs="Calibri"/>
                <w:color w:val="000000"/>
                <w:sz w:val="20"/>
                <w:lang w:eastAsia="es-CR"/>
              </w:rPr>
            </w:pPr>
            <w:r w:rsidRPr="004E74A6">
              <w:rPr>
                <w:rFonts w:cs="Calibri"/>
                <w:color w:val="000000"/>
                <w:sz w:val="20"/>
                <w:lang w:eastAsia="es-CR"/>
              </w:rPr>
              <w:t>0,3</w:t>
            </w:r>
          </w:p>
        </w:tc>
      </w:tr>
      <w:tr w:rsidR="006B6845" w:rsidRPr="004E74A6" w14:paraId="4AAB5F0C" w14:textId="77777777" w:rsidTr="0010143F">
        <w:trPr>
          <w:trHeight w:val="288"/>
          <w:jc w:val="center"/>
        </w:trPr>
        <w:tc>
          <w:tcPr>
            <w:tcW w:w="2399" w:type="pct"/>
            <w:tcBorders>
              <w:top w:val="nil"/>
              <w:left w:val="nil"/>
              <w:bottom w:val="nil"/>
              <w:right w:val="single" w:sz="4" w:space="0" w:color="auto"/>
            </w:tcBorders>
            <w:shd w:val="clear" w:color="auto" w:fill="auto"/>
            <w:noWrap/>
            <w:vAlign w:val="bottom"/>
            <w:hideMark/>
          </w:tcPr>
          <w:p w14:paraId="3DA729F7" w14:textId="77777777" w:rsidR="006B6845" w:rsidRPr="004E74A6" w:rsidRDefault="006B6845" w:rsidP="00CE62C1">
            <w:pPr>
              <w:spacing w:line="276" w:lineRule="auto"/>
              <w:ind w:firstLineChars="100" w:firstLine="200"/>
              <w:jc w:val="left"/>
              <w:rPr>
                <w:rFonts w:cs="Calibri"/>
                <w:color w:val="000000"/>
                <w:sz w:val="20"/>
                <w:lang w:eastAsia="es-CR"/>
              </w:rPr>
            </w:pPr>
            <w:r w:rsidRPr="004E74A6">
              <w:rPr>
                <w:rFonts w:cs="Calibri"/>
                <w:color w:val="000000"/>
                <w:sz w:val="20"/>
                <w:lang w:eastAsia="es-CR"/>
              </w:rPr>
              <w:t>No Contencioso</w:t>
            </w:r>
          </w:p>
        </w:tc>
        <w:tc>
          <w:tcPr>
            <w:tcW w:w="603" w:type="pct"/>
            <w:tcBorders>
              <w:top w:val="nil"/>
              <w:left w:val="single" w:sz="4" w:space="0" w:color="auto"/>
              <w:bottom w:val="nil"/>
              <w:right w:val="single" w:sz="4" w:space="0" w:color="auto"/>
            </w:tcBorders>
            <w:shd w:val="clear" w:color="auto" w:fill="auto"/>
            <w:noWrap/>
            <w:vAlign w:val="center"/>
            <w:hideMark/>
          </w:tcPr>
          <w:p w14:paraId="5101B42F" w14:textId="77777777" w:rsidR="006B6845" w:rsidRPr="004E74A6" w:rsidRDefault="006B6845" w:rsidP="00CE62C1">
            <w:pPr>
              <w:spacing w:line="276" w:lineRule="auto"/>
              <w:jc w:val="center"/>
              <w:rPr>
                <w:rFonts w:cs="Calibri"/>
                <w:color w:val="000000"/>
                <w:sz w:val="20"/>
                <w:lang w:eastAsia="es-CR"/>
              </w:rPr>
            </w:pPr>
            <w:r w:rsidRPr="004E74A6">
              <w:rPr>
                <w:rFonts w:cs="Calibri"/>
                <w:color w:val="000000"/>
                <w:sz w:val="20"/>
                <w:lang w:eastAsia="es-CR"/>
              </w:rPr>
              <w:t>2</w:t>
            </w:r>
          </w:p>
        </w:tc>
        <w:tc>
          <w:tcPr>
            <w:tcW w:w="599" w:type="pct"/>
            <w:tcBorders>
              <w:top w:val="nil"/>
              <w:left w:val="single" w:sz="4" w:space="0" w:color="auto"/>
              <w:bottom w:val="nil"/>
              <w:right w:val="single" w:sz="4" w:space="0" w:color="auto"/>
            </w:tcBorders>
            <w:shd w:val="clear" w:color="auto" w:fill="auto"/>
            <w:noWrap/>
            <w:vAlign w:val="center"/>
            <w:hideMark/>
          </w:tcPr>
          <w:p w14:paraId="496A458B" w14:textId="77777777" w:rsidR="006B6845" w:rsidRPr="004E74A6" w:rsidRDefault="006B6845" w:rsidP="00CE62C1">
            <w:pPr>
              <w:spacing w:line="276" w:lineRule="auto"/>
              <w:jc w:val="center"/>
              <w:rPr>
                <w:rFonts w:cs="Calibri"/>
                <w:color w:val="000000"/>
                <w:sz w:val="20"/>
                <w:lang w:eastAsia="es-CR"/>
              </w:rPr>
            </w:pPr>
            <w:r w:rsidRPr="004E74A6">
              <w:rPr>
                <w:rFonts w:cs="Calibri"/>
                <w:color w:val="000000"/>
                <w:sz w:val="20"/>
                <w:lang w:eastAsia="es-CR"/>
              </w:rPr>
              <w:t>1</w:t>
            </w:r>
          </w:p>
        </w:tc>
        <w:tc>
          <w:tcPr>
            <w:tcW w:w="600" w:type="pct"/>
            <w:tcBorders>
              <w:top w:val="nil"/>
              <w:left w:val="single" w:sz="4" w:space="0" w:color="auto"/>
              <w:bottom w:val="nil"/>
              <w:right w:val="single" w:sz="4" w:space="0" w:color="auto"/>
            </w:tcBorders>
            <w:shd w:val="clear" w:color="auto" w:fill="auto"/>
            <w:noWrap/>
            <w:vAlign w:val="center"/>
            <w:hideMark/>
          </w:tcPr>
          <w:p w14:paraId="0CFAB081" w14:textId="25280BCA" w:rsidR="006B6845" w:rsidRPr="004E74A6" w:rsidRDefault="000273AF" w:rsidP="00CE62C1">
            <w:pPr>
              <w:spacing w:line="276" w:lineRule="auto"/>
              <w:jc w:val="center"/>
              <w:rPr>
                <w:rFonts w:cs="Calibri"/>
                <w:color w:val="000000"/>
                <w:sz w:val="20"/>
                <w:lang w:eastAsia="es-CR"/>
              </w:rPr>
            </w:pPr>
            <w:r w:rsidRPr="004E74A6">
              <w:rPr>
                <w:rFonts w:cs="Calibri"/>
                <w:color w:val="000000"/>
                <w:sz w:val="20"/>
                <w:lang w:eastAsia="es-CR"/>
              </w:rPr>
              <w:t>0</w:t>
            </w:r>
          </w:p>
        </w:tc>
        <w:tc>
          <w:tcPr>
            <w:tcW w:w="799" w:type="pct"/>
            <w:tcBorders>
              <w:top w:val="nil"/>
              <w:left w:val="single" w:sz="4" w:space="0" w:color="auto"/>
              <w:bottom w:val="nil"/>
              <w:right w:val="nil"/>
            </w:tcBorders>
            <w:shd w:val="clear" w:color="auto" w:fill="auto"/>
            <w:noWrap/>
            <w:vAlign w:val="center"/>
          </w:tcPr>
          <w:p w14:paraId="0851F186" w14:textId="7D1A86E1" w:rsidR="006B6845" w:rsidRPr="004E74A6" w:rsidRDefault="000273AF" w:rsidP="00CE62C1">
            <w:pPr>
              <w:spacing w:line="276" w:lineRule="auto"/>
              <w:jc w:val="center"/>
              <w:rPr>
                <w:rFonts w:cs="Calibri"/>
                <w:color w:val="000000"/>
                <w:sz w:val="20"/>
                <w:lang w:eastAsia="es-CR"/>
              </w:rPr>
            </w:pPr>
            <w:r w:rsidRPr="004E74A6">
              <w:rPr>
                <w:rFonts w:cs="Calibri"/>
                <w:color w:val="000000"/>
                <w:sz w:val="20"/>
                <w:lang w:eastAsia="es-CR"/>
              </w:rPr>
              <w:t>1</w:t>
            </w:r>
          </w:p>
        </w:tc>
      </w:tr>
      <w:tr w:rsidR="006B6845" w:rsidRPr="004E74A6" w14:paraId="4039ED8A" w14:textId="77777777" w:rsidTr="0010143F">
        <w:trPr>
          <w:trHeight w:val="288"/>
          <w:jc w:val="center"/>
        </w:trPr>
        <w:tc>
          <w:tcPr>
            <w:tcW w:w="2399" w:type="pct"/>
            <w:tcBorders>
              <w:top w:val="nil"/>
              <w:left w:val="nil"/>
              <w:bottom w:val="nil"/>
              <w:right w:val="single" w:sz="4" w:space="0" w:color="auto"/>
            </w:tcBorders>
            <w:shd w:val="clear" w:color="auto" w:fill="C5E0B3" w:themeFill="accent6" w:themeFillTint="66"/>
            <w:noWrap/>
            <w:vAlign w:val="bottom"/>
            <w:hideMark/>
          </w:tcPr>
          <w:p w14:paraId="2B6A2022" w14:textId="77777777" w:rsidR="006B6845" w:rsidRPr="004E74A6" w:rsidRDefault="006B6845" w:rsidP="00CE62C1">
            <w:pPr>
              <w:spacing w:line="276" w:lineRule="auto"/>
              <w:ind w:firstLineChars="100" w:firstLine="200"/>
              <w:jc w:val="left"/>
              <w:rPr>
                <w:rFonts w:cs="Calibri"/>
                <w:color w:val="000000"/>
                <w:sz w:val="20"/>
                <w:lang w:eastAsia="es-CR"/>
              </w:rPr>
            </w:pPr>
            <w:r w:rsidRPr="004E74A6">
              <w:rPr>
                <w:rFonts w:cs="Calibri"/>
                <w:color w:val="000000"/>
                <w:sz w:val="20"/>
                <w:lang w:eastAsia="es-CR"/>
              </w:rPr>
              <w:t>Ordinario</w:t>
            </w:r>
          </w:p>
        </w:tc>
        <w:tc>
          <w:tcPr>
            <w:tcW w:w="603" w:type="pct"/>
            <w:tcBorders>
              <w:top w:val="nil"/>
              <w:left w:val="single" w:sz="4" w:space="0" w:color="auto"/>
              <w:bottom w:val="nil"/>
              <w:right w:val="single" w:sz="4" w:space="0" w:color="auto"/>
            </w:tcBorders>
            <w:shd w:val="clear" w:color="auto" w:fill="C5E0B3" w:themeFill="accent6" w:themeFillTint="66"/>
            <w:noWrap/>
            <w:vAlign w:val="center"/>
            <w:hideMark/>
          </w:tcPr>
          <w:p w14:paraId="215F8ADA" w14:textId="5591DB3A" w:rsidR="006B6845" w:rsidRPr="004E74A6" w:rsidRDefault="006B6845" w:rsidP="00CE62C1">
            <w:pPr>
              <w:spacing w:line="276" w:lineRule="auto"/>
              <w:jc w:val="center"/>
              <w:rPr>
                <w:rFonts w:cs="Calibri"/>
                <w:color w:val="000000"/>
                <w:sz w:val="20"/>
                <w:lang w:eastAsia="es-CR"/>
              </w:rPr>
            </w:pPr>
            <w:r w:rsidRPr="004E74A6">
              <w:rPr>
                <w:rFonts w:cs="Calibri"/>
                <w:color w:val="000000"/>
                <w:sz w:val="20"/>
                <w:lang w:eastAsia="es-CR"/>
              </w:rPr>
              <w:t>20</w:t>
            </w:r>
            <w:r w:rsidR="0050381F" w:rsidRPr="004E74A6">
              <w:rPr>
                <w:rFonts w:cs="Calibri"/>
                <w:color w:val="000000"/>
                <w:sz w:val="20"/>
                <w:lang w:eastAsia="es-CR"/>
              </w:rPr>
              <w:t>4</w:t>
            </w:r>
          </w:p>
        </w:tc>
        <w:tc>
          <w:tcPr>
            <w:tcW w:w="599" w:type="pct"/>
            <w:tcBorders>
              <w:top w:val="nil"/>
              <w:left w:val="single" w:sz="4" w:space="0" w:color="auto"/>
              <w:bottom w:val="nil"/>
              <w:right w:val="single" w:sz="4" w:space="0" w:color="auto"/>
            </w:tcBorders>
            <w:shd w:val="clear" w:color="auto" w:fill="C5E0B3" w:themeFill="accent6" w:themeFillTint="66"/>
            <w:noWrap/>
            <w:vAlign w:val="center"/>
            <w:hideMark/>
          </w:tcPr>
          <w:p w14:paraId="695E8025" w14:textId="66E3DAA0" w:rsidR="006B6845" w:rsidRPr="004E74A6" w:rsidRDefault="006B6845" w:rsidP="00CE62C1">
            <w:pPr>
              <w:spacing w:line="276" w:lineRule="auto"/>
              <w:jc w:val="center"/>
              <w:rPr>
                <w:rFonts w:cs="Calibri"/>
                <w:color w:val="000000"/>
                <w:sz w:val="20"/>
                <w:lang w:eastAsia="es-CR"/>
              </w:rPr>
            </w:pPr>
            <w:r w:rsidRPr="004E74A6">
              <w:rPr>
                <w:rFonts w:cs="Calibri"/>
                <w:color w:val="000000"/>
                <w:sz w:val="20"/>
                <w:lang w:eastAsia="es-CR"/>
              </w:rPr>
              <w:t>13</w:t>
            </w:r>
            <w:r w:rsidR="0050381F" w:rsidRPr="004E74A6">
              <w:rPr>
                <w:rFonts w:cs="Calibri"/>
                <w:color w:val="000000"/>
                <w:sz w:val="20"/>
                <w:lang w:eastAsia="es-CR"/>
              </w:rPr>
              <w:t>5</w:t>
            </w:r>
          </w:p>
        </w:tc>
        <w:tc>
          <w:tcPr>
            <w:tcW w:w="600" w:type="pct"/>
            <w:tcBorders>
              <w:top w:val="nil"/>
              <w:left w:val="single" w:sz="4" w:space="0" w:color="auto"/>
              <w:bottom w:val="nil"/>
              <w:right w:val="single" w:sz="4" w:space="0" w:color="auto"/>
            </w:tcBorders>
            <w:shd w:val="clear" w:color="auto" w:fill="C5E0B3" w:themeFill="accent6" w:themeFillTint="66"/>
            <w:noWrap/>
            <w:vAlign w:val="center"/>
            <w:hideMark/>
          </w:tcPr>
          <w:p w14:paraId="6966F90F" w14:textId="19E4368E" w:rsidR="006B6845" w:rsidRPr="004E74A6" w:rsidRDefault="006B6845" w:rsidP="00CE62C1">
            <w:pPr>
              <w:spacing w:line="276" w:lineRule="auto"/>
              <w:jc w:val="center"/>
              <w:rPr>
                <w:rFonts w:cs="Calibri"/>
                <w:color w:val="000000"/>
                <w:sz w:val="20"/>
                <w:lang w:eastAsia="es-CR"/>
              </w:rPr>
            </w:pPr>
            <w:r w:rsidRPr="004E74A6">
              <w:rPr>
                <w:rFonts w:cs="Calibri"/>
                <w:color w:val="000000"/>
                <w:sz w:val="20"/>
                <w:lang w:eastAsia="es-CR"/>
              </w:rPr>
              <w:t>15</w:t>
            </w:r>
            <w:r w:rsidR="0050381F" w:rsidRPr="004E74A6">
              <w:rPr>
                <w:rFonts w:cs="Calibri"/>
                <w:color w:val="000000"/>
                <w:sz w:val="20"/>
                <w:lang w:eastAsia="es-CR"/>
              </w:rPr>
              <w:t>2</w:t>
            </w:r>
          </w:p>
        </w:tc>
        <w:tc>
          <w:tcPr>
            <w:tcW w:w="799" w:type="pct"/>
            <w:tcBorders>
              <w:top w:val="nil"/>
              <w:left w:val="single" w:sz="4" w:space="0" w:color="auto"/>
              <w:bottom w:val="nil"/>
              <w:right w:val="nil"/>
            </w:tcBorders>
            <w:shd w:val="clear" w:color="auto" w:fill="C5E0B3" w:themeFill="accent6" w:themeFillTint="66"/>
            <w:noWrap/>
            <w:vAlign w:val="center"/>
          </w:tcPr>
          <w:p w14:paraId="2E6DAAB0" w14:textId="040A849C" w:rsidR="006B6845" w:rsidRPr="004E74A6" w:rsidRDefault="000273AF" w:rsidP="00CE62C1">
            <w:pPr>
              <w:spacing w:line="276" w:lineRule="auto"/>
              <w:jc w:val="center"/>
              <w:rPr>
                <w:rFonts w:cs="Calibri"/>
                <w:color w:val="000000"/>
                <w:sz w:val="20"/>
                <w:lang w:eastAsia="es-CR"/>
              </w:rPr>
            </w:pPr>
            <w:r w:rsidRPr="004E74A6">
              <w:rPr>
                <w:rFonts w:cs="Calibri"/>
                <w:color w:val="000000"/>
                <w:sz w:val="20"/>
                <w:lang w:eastAsia="es-CR"/>
              </w:rPr>
              <w:t>164</w:t>
            </w:r>
          </w:p>
        </w:tc>
      </w:tr>
      <w:tr w:rsidR="006B6845" w:rsidRPr="004E74A6" w14:paraId="73978543" w14:textId="77777777" w:rsidTr="0010143F">
        <w:trPr>
          <w:trHeight w:val="288"/>
          <w:jc w:val="center"/>
        </w:trPr>
        <w:tc>
          <w:tcPr>
            <w:tcW w:w="2399" w:type="pct"/>
            <w:tcBorders>
              <w:top w:val="nil"/>
              <w:left w:val="nil"/>
              <w:bottom w:val="nil"/>
              <w:right w:val="single" w:sz="4" w:space="0" w:color="auto"/>
            </w:tcBorders>
            <w:shd w:val="clear" w:color="auto" w:fill="auto"/>
            <w:noWrap/>
            <w:vAlign w:val="bottom"/>
            <w:hideMark/>
          </w:tcPr>
          <w:p w14:paraId="095AAB8A" w14:textId="77777777" w:rsidR="006B6845" w:rsidRPr="004E74A6" w:rsidRDefault="006B6845" w:rsidP="00CE62C1">
            <w:pPr>
              <w:spacing w:line="276" w:lineRule="auto"/>
              <w:ind w:firstLineChars="100" w:firstLine="200"/>
              <w:jc w:val="left"/>
              <w:rPr>
                <w:rFonts w:cs="Calibri"/>
                <w:color w:val="000000"/>
                <w:sz w:val="20"/>
                <w:lang w:eastAsia="es-CR"/>
              </w:rPr>
            </w:pPr>
            <w:r w:rsidRPr="004E74A6">
              <w:rPr>
                <w:rFonts w:cs="Calibri"/>
                <w:color w:val="000000"/>
                <w:sz w:val="20"/>
                <w:lang w:eastAsia="es-CR"/>
              </w:rPr>
              <w:t>Procesos De Ejecución</w:t>
            </w:r>
          </w:p>
        </w:tc>
        <w:tc>
          <w:tcPr>
            <w:tcW w:w="603" w:type="pct"/>
            <w:tcBorders>
              <w:top w:val="nil"/>
              <w:left w:val="single" w:sz="4" w:space="0" w:color="auto"/>
              <w:bottom w:val="nil"/>
              <w:right w:val="single" w:sz="4" w:space="0" w:color="auto"/>
            </w:tcBorders>
            <w:shd w:val="clear" w:color="auto" w:fill="auto"/>
            <w:noWrap/>
            <w:vAlign w:val="center"/>
            <w:hideMark/>
          </w:tcPr>
          <w:p w14:paraId="76738FE4" w14:textId="77777777" w:rsidR="006B6845" w:rsidRPr="004E74A6" w:rsidRDefault="006B6845" w:rsidP="00CE62C1">
            <w:pPr>
              <w:spacing w:line="276" w:lineRule="auto"/>
              <w:jc w:val="center"/>
              <w:rPr>
                <w:rFonts w:cs="Calibri"/>
                <w:color w:val="000000"/>
                <w:sz w:val="20"/>
                <w:lang w:eastAsia="es-CR"/>
              </w:rPr>
            </w:pPr>
            <w:r w:rsidRPr="004E74A6">
              <w:rPr>
                <w:rFonts w:cs="Calibri"/>
                <w:color w:val="000000"/>
                <w:sz w:val="20"/>
                <w:lang w:eastAsia="es-CR"/>
              </w:rPr>
              <w:t>6</w:t>
            </w:r>
          </w:p>
        </w:tc>
        <w:tc>
          <w:tcPr>
            <w:tcW w:w="599" w:type="pct"/>
            <w:tcBorders>
              <w:top w:val="nil"/>
              <w:left w:val="single" w:sz="4" w:space="0" w:color="auto"/>
              <w:bottom w:val="nil"/>
              <w:right w:val="single" w:sz="4" w:space="0" w:color="auto"/>
            </w:tcBorders>
            <w:shd w:val="clear" w:color="auto" w:fill="auto"/>
            <w:noWrap/>
            <w:vAlign w:val="center"/>
            <w:hideMark/>
          </w:tcPr>
          <w:p w14:paraId="4A6417F6" w14:textId="77777777" w:rsidR="006B6845" w:rsidRPr="004E74A6" w:rsidRDefault="006B6845" w:rsidP="00CE62C1">
            <w:pPr>
              <w:spacing w:line="276" w:lineRule="auto"/>
              <w:jc w:val="center"/>
              <w:rPr>
                <w:rFonts w:cs="Calibri"/>
                <w:color w:val="000000"/>
                <w:sz w:val="20"/>
                <w:lang w:eastAsia="es-CR"/>
              </w:rPr>
            </w:pPr>
            <w:r w:rsidRPr="004E74A6">
              <w:rPr>
                <w:rFonts w:cs="Calibri"/>
                <w:color w:val="000000"/>
                <w:sz w:val="20"/>
                <w:lang w:eastAsia="es-CR"/>
              </w:rPr>
              <w:t>3</w:t>
            </w:r>
          </w:p>
        </w:tc>
        <w:tc>
          <w:tcPr>
            <w:tcW w:w="600" w:type="pct"/>
            <w:tcBorders>
              <w:top w:val="nil"/>
              <w:left w:val="single" w:sz="4" w:space="0" w:color="auto"/>
              <w:bottom w:val="nil"/>
              <w:right w:val="single" w:sz="4" w:space="0" w:color="auto"/>
            </w:tcBorders>
            <w:shd w:val="clear" w:color="auto" w:fill="auto"/>
            <w:noWrap/>
            <w:vAlign w:val="center"/>
            <w:hideMark/>
          </w:tcPr>
          <w:p w14:paraId="7CF81533" w14:textId="77777777" w:rsidR="006B6845" w:rsidRPr="004E74A6" w:rsidRDefault="006B6845" w:rsidP="00CE62C1">
            <w:pPr>
              <w:spacing w:line="276" w:lineRule="auto"/>
              <w:jc w:val="center"/>
              <w:rPr>
                <w:rFonts w:cs="Calibri"/>
                <w:color w:val="000000"/>
                <w:sz w:val="20"/>
                <w:lang w:eastAsia="es-CR"/>
              </w:rPr>
            </w:pPr>
            <w:r w:rsidRPr="004E74A6">
              <w:rPr>
                <w:rFonts w:cs="Calibri"/>
                <w:color w:val="000000"/>
                <w:sz w:val="20"/>
                <w:lang w:eastAsia="es-CR"/>
              </w:rPr>
              <w:t>1</w:t>
            </w:r>
          </w:p>
        </w:tc>
        <w:tc>
          <w:tcPr>
            <w:tcW w:w="799" w:type="pct"/>
            <w:tcBorders>
              <w:top w:val="nil"/>
              <w:left w:val="single" w:sz="4" w:space="0" w:color="auto"/>
              <w:bottom w:val="nil"/>
              <w:right w:val="nil"/>
            </w:tcBorders>
            <w:shd w:val="clear" w:color="auto" w:fill="auto"/>
            <w:noWrap/>
            <w:vAlign w:val="center"/>
          </w:tcPr>
          <w:p w14:paraId="545247C0" w14:textId="350D3E54" w:rsidR="006B6845" w:rsidRPr="004E74A6" w:rsidRDefault="000273AF" w:rsidP="00CE62C1">
            <w:pPr>
              <w:spacing w:line="276" w:lineRule="auto"/>
              <w:jc w:val="center"/>
              <w:rPr>
                <w:rFonts w:cs="Calibri"/>
                <w:color w:val="000000"/>
                <w:sz w:val="20"/>
                <w:lang w:eastAsia="es-CR"/>
              </w:rPr>
            </w:pPr>
            <w:r w:rsidRPr="004E74A6">
              <w:rPr>
                <w:rFonts w:cs="Calibri"/>
                <w:color w:val="000000"/>
                <w:sz w:val="20"/>
                <w:lang w:eastAsia="es-CR"/>
              </w:rPr>
              <w:t>3,3</w:t>
            </w:r>
          </w:p>
        </w:tc>
      </w:tr>
      <w:tr w:rsidR="006B6845" w:rsidRPr="004E74A6" w14:paraId="66C706B7" w14:textId="77777777" w:rsidTr="0010143F">
        <w:trPr>
          <w:trHeight w:val="288"/>
          <w:jc w:val="center"/>
        </w:trPr>
        <w:tc>
          <w:tcPr>
            <w:tcW w:w="2399" w:type="pct"/>
            <w:tcBorders>
              <w:top w:val="nil"/>
              <w:left w:val="nil"/>
              <w:bottom w:val="nil"/>
              <w:right w:val="single" w:sz="4" w:space="0" w:color="auto"/>
            </w:tcBorders>
            <w:shd w:val="clear" w:color="auto" w:fill="auto"/>
            <w:noWrap/>
            <w:vAlign w:val="bottom"/>
            <w:hideMark/>
          </w:tcPr>
          <w:p w14:paraId="16E0467D" w14:textId="77777777" w:rsidR="006B6845" w:rsidRPr="004E74A6" w:rsidRDefault="006B6845" w:rsidP="00CE62C1">
            <w:pPr>
              <w:spacing w:line="276" w:lineRule="auto"/>
              <w:ind w:firstLineChars="100" w:firstLine="200"/>
              <w:jc w:val="left"/>
              <w:rPr>
                <w:rFonts w:cs="Calibri"/>
                <w:color w:val="000000"/>
                <w:sz w:val="20"/>
                <w:lang w:eastAsia="es-CR"/>
              </w:rPr>
            </w:pPr>
            <w:r w:rsidRPr="004E74A6">
              <w:rPr>
                <w:rFonts w:cs="Calibri"/>
                <w:color w:val="000000"/>
                <w:sz w:val="20"/>
                <w:lang w:eastAsia="es-CR"/>
              </w:rPr>
              <w:t>Procesos Otras Materias</w:t>
            </w:r>
          </w:p>
        </w:tc>
        <w:tc>
          <w:tcPr>
            <w:tcW w:w="603" w:type="pct"/>
            <w:tcBorders>
              <w:top w:val="nil"/>
              <w:left w:val="single" w:sz="4" w:space="0" w:color="auto"/>
              <w:bottom w:val="nil"/>
              <w:right w:val="single" w:sz="4" w:space="0" w:color="auto"/>
            </w:tcBorders>
            <w:shd w:val="clear" w:color="auto" w:fill="auto"/>
            <w:noWrap/>
            <w:vAlign w:val="center"/>
            <w:hideMark/>
          </w:tcPr>
          <w:p w14:paraId="34FCF9A9" w14:textId="0C5903B3" w:rsidR="006B6845" w:rsidRPr="004E74A6" w:rsidRDefault="000273AF" w:rsidP="00CE62C1">
            <w:pPr>
              <w:spacing w:line="276" w:lineRule="auto"/>
              <w:jc w:val="center"/>
              <w:rPr>
                <w:sz w:val="20"/>
                <w:lang w:eastAsia="es-CR"/>
              </w:rPr>
            </w:pPr>
            <w:r w:rsidRPr="004E74A6">
              <w:rPr>
                <w:sz w:val="20"/>
                <w:lang w:eastAsia="es-CR"/>
              </w:rPr>
              <w:t>0</w:t>
            </w:r>
          </w:p>
        </w:tc>
        <w:tc>
          <w:tcPr>
            <w:tcW w:w="599" w:type="pct"/>
            <w:tcBorders>
              <w:top w:val="nil"/>
              <w:left w:val="single" w:sz="4" w:space="0" w:color="auto"/>
              <w:bottom w:val="nil"/>
              <w:right w:val="single" w:sz="4" w:space="0" w:color="auto"/>
            </w:tcBorders>
            <w:shd w:val="clear" w:color="auto" w:fill="auto"/>
            <w:noWrap/>
            <w:vAlign w:val="center"/>
            <w:hideMark/>
          </w:tcPr>
          <w:p w14:paraId="68029079" w14:textId="77777777" w:rsidR="006B6845" w:rsidRPr="004E74A6" w:rsidRDefault="006B6845" w:rsidP="00CE62C1">
            <w:pPr>
              <w:spacing w:line="276" w:lineRule="auto"/>
              <w:jc w:val="center"/>
              <w:rPr>
                <w:rFonts w:cs="Calibri"/>
                <w:color w:val="000000"/>
                <w:sz w:val="20"/>
                <w:lang w:eastAsia="es-CR"/>
              </w:rPr>
            </w:pPr>
            <w:r w:rsidRPr="004E74A6">
              <w:rPr>
                <w:rFonts w:cs="Calibri"/>
                <w:color w:val="000000"/>
                <w:sz w:val="20"/>
                <w:lang w:eastAsia="es-CR"/>
              </w:rPr>
              <w:t>1</w:t>
            </w:r>
          </w:p>
        </w:tc>
        <w:tc>
          <w:tcPr>
            <w:tcW w:w="600" w:type="pct"/>
            <w:tcBorders>
              <w:top w:val="nil"/>
              <w:left w:val="single" w:sz="4" w:space="0" w:color="auto"/>
              <w:bottom w:val="nil"/>
              <w:right w:val="single" w:sz="4" w:space="0" w:color="auto"/>
            </w:tcBorders>
            <w:shd w:val="clear" w:color="auto" w:fill="auto"/>
            <w:noWrap/>
            <w:vAlign w:val="center"/>
            <w:hideMark/>
          </w:tcPr>
          <w:p w14:paraId="456D681E" w14:textId="77777777" w:rsidR="006B6845" w:rsidRPr="004E74A6" w:rsidRDefault="006B6845" w:rsidP="00CE62C1">
            <w:pPr>
              <w:spacing w:line="276" w:lineRule="auto"/>
              <w:jc w:val="center"/>
              <w:rPr>
                <w:rFonts w:cs="Calibri"/>
                <w:color w:val="000000"/>
                <w:sz w:val="20"/>
                <w:lang w:eastAsia="es-CR"/>
              </w:rPr>
            </w:pPr>
            <w:r w:rsidRPr="004E74A6">
              <w:rPr>
                <w:rFonts w:cs="Calibri"/>
                <w:color w:val="000000"/>
                <w:sz w:val="20"/>
                <w:lang w:eastAsia="es-CR"/>
              </w:rPr>
              <w:t>1</w:t>
            </w:r>
          </w:p>
        </w:tc>
        <w:tc>
          <w:tcPr>
            <w:tcW w:w="799" w:type="pct"/>
            <w:tcBorders>
              <w:top w:val="nil"/>
              <w:left w:val="single" w:sz="4" w:space="0" w:color="auto"/>
              <w:bottom w:val="nil"/>
              <w:right w:val="nil"/>
            </w:tcBorders>
            <w:shd w:val="clear" w:color="auto" w:fill="auto"/>
            <w:noWrap/>
            <w:vAlign w:val="center"/>
          </w:tcPr>
          <w:p w14:paraId="114031E6" w14:textId="69BDB052" w:rsidR="006B6845" w:rsidRPr="004E74A6" w:rsidRDefault="000273AF" w:rsidP="00CE62C1">
            <w:pPr>
              <w:spacing w:line="276" w:lineRule="auto"/>
              <w:jc w:val="center"/>
              <w:rPr>
                <w:rFonts w:cs="Calibri"/>
                <w:color w:val="000000"/>
                <w:sz w:val="20"/>
                <w:lang w:eastAsia="es-CR"/>
              </w:rPr>
            </w:pPr>
            <w:r w:rsidRPr="004E74A6">
              <w:rPr>
                <w:rFonts w:cs="Calibri"/>
                <w:color w:val="000000"/>
                <w:sz w:val="20"/>
                <w:lang w:eastAsia="es-CR"/>
              </w:rPr>
              <w:t>0,3</w:t>
            </w:r>
          </w:p>
        </w:tc>
      </w:tr>
      <w:tr w:rsidR="006B6845" w:rsidRPr="004E74A6" w14:paraId="5A1F2F94" w14:textId="77777777" w:rsidTr="0010143F">
        <w:trPr>
          <w:trHeight w:val="288"/>
          <w:jc w:val="center"/>
        </w:trPr>
        <w:tc>
          <w:tcPr>
            <w:tcW w:w="2399" w:type="pct"/>
            <w:tcBorders>
              <w:top w:val="nil"/>
              <w:left w:val="nil"/>
              <w:bottom w:val="nil"/>
              <w:right w:val="single" w:sz="4" w:space="0" w:color="auto"/>
            </w:tcBorders>
            <w:shd w:val="clear" w:color="auto" w:fill="auto"/>
            <w:noWrap/>
            <w:vAlign w:val="bottom"/>
            <w:hideMark/>
          </w:tcPr>
          <w:p w14:paraId="7C59833A" w14:textId="77777777" w:rsidR="006B6845" w:rsidRPr="004E74A6" w:rsidRDefault="006B6845" w:rsidP="00CE62C1">
            <w:pPr>
              <w:spacing w:line="276" w:lineRule="auto"/>
              <w:ind w:firstLineChars="100" w:firstLine="200"/>
              <w:jc w:val="left"/>
              <w:rPr>
                <w:rFonts w:cs="Calibri"/>
                <w:color w:val="000000"/>
                <w:sz w:val="20"/>
                <w:lang w:eastAsia="es-CR"/>
              </w:rPr>
            </w:pPr>
            <w:r w:rsidRPr="004E74A6">
              <w:rPr>
                <w:rFonts w:cs="Calibri"/>
                <w:color w:val="000000"/>
                <w:sz w:val="20"/>
                <w:lang w:eastAsia="es-CR"/>
              </w:rPr>
              <w:t>Prueba Anticipada</w:t>
            </w:r>
          </w:p>
        </w:tc>
        <w:tc>
          <w:tcPr>
            <w:tcW w:w="603" w:type="pct"/>
            <w:tcBorders>
              <w:top w:val="nil"/>
              <w:left w:val="single" w:sz="4" w:space="0" w:color="auto"/>
              <w:bottom w:val="nil"/>
              <w:right w:val="single" w:sz="4" w:space="0" w:color="auto"/>
            </w:tcBorders>
            <w:shd w:val="clear" w:color="auto" w:fill="auto"/>
            <w:noWrap/>
            <w:vAlign w:val="center"/>
            <w:hideMark/>
          </w:tcPr>
          <w:p w14:paraId="110C45BA" w14:textId="77777777" w:rsidR="006B6845" w:rsidRPr="004E74A6" w:rsidRDefault="006B6845" w:rsidP="00CE62C1">
            <w:pPr>
              <w:spacing w:line="276" w:lineRule="auto"/>
              <w:jc w:val="center"/>
              <w:rPr>
                <w:rFonts w:cs="Calibri"/>
                <w:color w:val="000000"/>
                <w:sz w:val="20"/>
                <w:lang w:eastAsia="es-CR"/>
              </w:rPr>
            </w:pPr>
            <w:r w:rsidRPr="004E74A6">
              <w:rPr>
                <w:rFonts w:cs="Calibri"/>
                <w:color w:val="000000"/>
                <w:sz w:val="20"/>
                <w:lang w:eastAsia="es-CR"/>
              </w:rPr>
              <w:t>10</w:t>
            </w:r>
          </w:p>
        </w:tc>
        <w:tc>
          <w:tcPr>
            <w:tcW w:w="599" w:type="pct"/>
            <w:tcBorders>
              <w:top w:val="nil"/>
              <w:left w:val="single" w:sz="4" w:space="0" w:color="auto"/>
              <w:bottom w:val="nil"/>
              <w:right w:val="single" w:sz="4" w:space="0" w:color="auto"/>
            </w:tcBorders>
            <w:shd w:val="clear" w:color="auto" w:fill="auto"/>
            <w:noWrap/>
            <w:vAlign w:val="center"/>
            <w:hideMark/>
          </w:tcPr>
          <w:p w14:paraId="1EDBBB93" w14:textId="1D1A3C73" w:rsidR="006B6845" w:rsidRPr="004E74A6" w:rsidRDefault="0050381F" w:rsidP="00CE62C1">
            <w:pPr>
              <w:spacing w:line="276" w:lineRule="auto"/>
              <w:jc w:val="center"/>
              <w:rPr>
                <w:rFonts w:cs="Calibri"/>
                <w:color w:val="000000"/>
                <w:sz w:val="20"/>
                <w:lang w:eastAsia="es-CR"/>
              </w:rPr>
            </w:pPr>
            <w:r w:rsidRPr="004E74A6">
              <w:rPr>
                <w:rFonts w:cs="Calibri"/>
                <w:color w:val="000000"/>
                <w:sz w:val="20"/>
                <w:lang w:eastAsia="es-CR"/>
              </w:rPr>
              <w:t>7</w:t>
            </w:r>
          </w:p>
        </w:tc>
        <w:tc>
          <w:tcPr>
            <w:tcW w:w="600" w:type="pct"/>
            <w:tcBorders>
              <w:top w:val="nil"/>
              <w:left w:val="single" w:sz="4" w:space="0" w:color="auto"/>
              <w:bottom w:val="nil"/>
              <w:right w:val="single" w:sz="4" w:space="0" w:color="auto"/>
            </w:tcBorders>
            <w:shd w:val="clear" w:color="auto" w:fill="auto"/>
            <w:noWrap/>
            <w:vAlign w:val="center"/>
            <w:hideMark/>
          </w:tcPr>
          <w:p w14:paraId="6EB7C96C" w14:textId="77777777" w:rsidR="006B6845" w:rsidRPr="004E74A6" w:rsidRDefault="006B6845" w:rsidP="00CE62C1">
            <w:pPr>
              <w:spacing w:line="276" w:lineRule="auto"/>
              <w:jc w:val="center"/>
              <w:rPr>
                <w:rFonts w:cs="Calibri"/>
                <w:color w:val="000000"/>
                <w:sz w:val="20"/>
                <w:lang w:eastAsia="es-CR"/>
              </w:rPr>
            </w:pPr>
            <w:r w:rsidRPr="004E74A6">
              <w:rPr>
                <w:rFonts w:cs="Calibri"/>
                <w:color w:val="000000"/>
                <w:sz w:val="20"/>
                <w:lang w:eastAsia="es-CR"/>
              </w:rPr>
              <w:t>7</w:t>
            </w:r>
          </w:p>
        </w:tc>
        <w:tc>
          <w:tcPr>
            <w:tcW w:w="799" w:type="pct"/>
            <w:tcBorders>
              <w:top w:val="nil"/>
              <w:left w:val="single" w:sz="4" w:space="0" w:color="auto"/>
              <w:bottom w:val="nil"/>
              <w:right w:val="nil"/>
            </w:tcBorders>
            <w:shd w:val="clear" w:color="auto" w:fill="auto"/>
            <w:noWrap/>
            <w:vAlign w:val="center"/>
          </w:tcPr>
          <w:p w14:paraId="1BB717F7" w14:textId="2D221667" w:rsidR="006B6845" w:rsidRPr="004E74A6" w:rsidRDefault="000273AF" w:rsidP="00CE62C1">
            <w:pPr>
              <w:spacing w:line="276" w:lineRule="auto"/>
              <w:jc w:val="center"/>
              <w:rPr>
                <w:rFonts w:cs="Calibri"/>
                <w:color w:val="000000"/>
                <w:sz w:val="20"/>
                <w:lang w:eastAsia="es-CR"/>
              </w:rPr>
            </w:pPr>
            <w:r w:rsidRPr="004E74A6">
              <w:rPr>
                <w:rFonts w:cs="Calibri"/>
                <w:color w:val="000000"/>
                <w:sz w:val="20"/>
                <w:lang w:eastAsia="es-CR"/>
              </w:rPr>
              <w:t>8</w:t>
            </w:r>
          </w:p>
        </w:tc>
      </w:tr>
      <w:tr w:rsidR="006B6845" w:rsidRPr="004E74A6" w14:paraId="67B4E477" w14:textId="77777777" w:rsidTr="00832773">
        <w:trPr>
          <w:trHeight w:val="288"/>
          <w:jc w:val="center"/>
        </w:trPr>
        <w:tc>
          <w:tcPr>
            <w:tcW w:w="2399" w:type="pct"/>
            <w:tcBorders>
              <w:top w:val="nil"/>
              <w:left w:val="nil"/>
              <w:right w:val="single" w:sz="4" w:space="0" w:color="auto"/>
            </w:tcBorders>
            <w:shd w:val="clear" w:color="auto" w:fill="auto"/>
            <w:noWrap/>
            <w:vAlign w:val="bottom"/>
            <w:hideMark/>
          </w:tcPr>
          <w:p w14:paraId="79711A3A" w14:textId="77777777" w:rsidR="006B6845" w:rsidRPr="004E74A6" w:rsidRDefault="006B6845" w:rsidP="00CE62C1">
            <w:pPr>
              <w:spacing w:line="276" w:lineRule="auto"/>
              <w:ind w:firstLineChars="100" w:firstLine="200"/>
              <w:jc w:val="left"/>
              <w:rPr>
                <w:rFonts w:cs="Calibri"/>
                <w:color w:val="000000"/>
                <w:sz w:val="20"/>
                <w:lang w:eastAsia="es-CR"/>
              </w:rPr>
            </w:pPr>
            <w:r w:rsidRPr="004E74A6">
              <w:rPr>
                <w:rFonts w:cs="Calibri"/>
                <w:color w:val="000000"/>
                <w:sz w:val="20"/>
                <w:lang w:eastAsia="es-CR"/>
              </w:rPr>
              <w:t>Sucesorio</w:t>
            </w:r>
          </w:p>
        </w:tc>
        <w:tc>
          <w:tcPr>
            <w:tcW w:w="603" w:type="pct"/>
            <w:tcBorders>
              <w:top w:val="nil"/>
              <w:left w:val="single" w:sz="4" w:space="0" w:color="auto"/>
              <w:right w:val="single" w:sz="4" w:space="0" w:color="auto"/>
            </w:tcBorders>
            <w:shd w:val="clear" w:color="auto" w:fill="auto"/>
            <w:noWrap/>
            <w:vAlign w:val="center"/>
            <w:hideMark/>
          </w:tcPr>
          <w:p w14:paraId="03081EA2" w14:textId="4DEFB029" w:rsidR="006B6845" w:rsidRPr="004E74A6" w:rsidRDefault="000273AF" w:rsidP="00CE62C1">
            <w:pPr>
              <w:spacing w:line="276" w:lineRule="auto"/>
              <w:jc w:val="center"/>
              <w:rPr>
                <w:sz w:val="20"/>
                <w:lang w:eastAsia="es-CR"/>
              </w:rPr>
            </w:pPr>
            <w:r w:rsidRPr="004E74A6">
              <w:rPr>
                <w:sz w:val="20"/>
                <w:lang w:eastAsia="es-CR"/>
              </w:rPr>
              <w:t>0</w:t>
            </w:r>
          </w:p>
        </w:tc>
        <w:tc>
          <w:tcPr>
            <w:tcW w:w="599" w:type="pct"/>
            <w:tcBorders>
              <w:top w:val="nil"/>
              <w:left w:val="single" w:sz="4" w:space="0" w:color="auto"/>
              <w:right w:val="single" w:sz="4" w:space="0" w:color="auto"/>
            </w:tcBorders>
            <w:shd w:val="clear" w:color="auto" w:fill="auto"/>
            <w:noWrap/>
            <w:vAlign w:val="center"/>
            <w:hideMark/>
          </w:tcPr>
          <w:p w14:paraId="698BCE31" w14:textId="77777777" w:rsidR="006B6845" w:rsidRPr="004E74A6" w:rsidRDefault="006B6845" w:rsidP="00CE62C1">
            <w:pPr>
              <w:spacing w:line="276" w:lineRule="auto"/>
              <w:jc w:val="center"/>
              <w:rPr>
                <w:rFonts w:cs="Calibri"/>
                <w:color w:val="000000"/>
                <w:sz w:val="20"/>
                <w:lang w:eastAsia="es-CR"/>
              </w:rPr>
            </w:pPr>
            <w:r w:rsidRPr="004E74A6">
              <w:rPr>
                <w:rFonts w:cs="Calibri"/>
                <w:color w:val="000000"/>
                <w:sz w:val="20"/>
                <w:lang w:eastAsia="es-CR"/>
              </w:rPr>
              <w:t>1</w:t>
            </w:r>
          </w:p>
        </w:tc>
        <w:tc>
          <w:tcPr>
            <w:tcW w:w="600" w:type="pct"/>
            <w:tcBorders>
              <w:top w:val="nil"/>
              <w:left w:val="single" w:sz="4" w:space="0" w:color="auto"/>
              <w:right w:val="single" w:sz="4" w:space="0" w:color="auto"/>
            </w:tcBorders>
            <w:shd w:val="clear" w:color="auto" w:fill="auto"/>
            <w:noWrap/>
            <w:vAlign w:val="center"/>
            <w:hideMark/>
          </w:tcPr>
          <w:p w14:paraId="3372277D" w14:textId="77777777" w:rsidR="006B6845" w:rsidRPr="004E74A6" w:rsidRDefault="006B6845" w:rsidP="00CE62C1">
            <w:pPr>
              <w:spacing w:line="276" w:lineRule="auto"/>
              <w:jc w:val="center"/>
              <w:rPr>
                <w:rFonts w:cs="Calibri"/>
                <w:color w:val="000000"/>
                <w:sz w:val="20"/>
                <w:lang w:eastAsia="es-CR"/>
              </w:rPr>
            </w:pPr>
            <w:r w:rsidRPr="004E74A6">
              <w:rPr>
                <w:rFonts w:cs="Calibri"/>
                <w:color w:val="000000"/>
                <w:sz w:val="20"/>
                <w:lang w:eastAsia="es-CR"/>
              </w:rPr>
              <w:t>2</w:t>
            </w:r>
          </w:p>
        </w:tc>
        <w:tc>
          <w:tcPr>
            <w:tcW w:w="799" w:type="pct"/>
            <w:tcBorders>
              <w:top w:val="nil"/>
              <w:left w:val="single" w:sz="4" w:space="0" w:color="auto"/>
              <w:right w:val="nil"/>
            </w:tcBorders>
            <w:shd w:val="clear" w:color="auto" w:fill="auto"/>
            <w:noWrap/>
            <w:vAlign w:val="center"/>
          </w:tcPr>
          <w:p w14:paraId="3D61B04A" w14:textId="0FC23461" w:rsidR="006B6845" w:rsidRPr="004E74A6" w:rsidRDefault="000273AF" w:rsidP="00CE62C1">
            <w:pPr>
              <w:spacing w:line="276" w:lineRule="auto"/>
              <w:jc w:val="center"/>
              <w:rPr>
                <w:rFonts w:cs="Calibri"/>
                <w:color w:val="000000"/>
                <w:sz w:val="20"/>
                <w:lang w:eastAsia="es-CR"/>
              </w:rPr>
            </w:pPr>
            <w:r w:rsidRPr="004E74A6">
              <w:rPr>
                <w:rFonts w:cs="Calibri"/>
                <w:color w:val="000000"/>
                <w:sz w:val="20"/>
                <w:lang w:eastAsia="es-CR"/>
              </w:rPr>
              <w:t>1</w:t>
            </w:r>
          </w:p>
        </w:tc>
      </w:tr>
      <w:tr w:rsidR="006B6845" w:rsidRPr="004E74A6" w14:paraId="793DD208" w14:textId="77777777" w:rsidTr="00832773">
        <w:trPr>
          <w:trHeight w:val="288"/>
          <w:jc w:val="center"/>
        </w:trPr>
        <w:tc>
          <w:tcPr>
            <w:tcW w:w="2399" w:type="pct"/>
            <w:tcBorders>
              <w:top w:val="nil"/>
              <w:left w:val="nil"/>
              <w:bottom w:val="single" w:sz="4" w:space="0" w:color="auto"/>
              <w:right w:val="single" w:sz="4" w:space="0" w:color="auto"/>
            </w:tcBorders>
            <w:shd w:val="clear" w:color="auto" w:fill="auto"/>
            <w:noWrap/>
            <w:vAlign w:val="bottom"/>
            <w:hideMark/>
          </w:tcPr>
          <w:p w14:paraId="21ADA46A" w14:textId="77777777" w:rsidR="006B6845" w:rsidRPr="004E74A6" w:rsidRDefault="006B6845" w:rsidP="00CE62C1">
            <w:pPr>
              <w:spacing w:line="276" w:lineRule="auto"/>
              <w:ind w:firstLineChars="100" w:firstLine="200"/>
              <w:jc w:val="left"/>
              <w:rPr>
                <w:rFonts w:cs="Calibri"/>
                <w:color w:val="000000"/>
                <w:sz w:val="20"/>
                <w:lang w:eastAsia="es-CR"/>
              </w:rPr>
            </w:pPr>
            <w:r w:rsidRPr="004E74A6">
              <w:rPr>
                <w:rFonts w:cs="Calibri"/>
                <w:color w:val="000000"/>
                <w:sz w:val="20"/>
                <w:lang w:eastAsia="es-CR"/>
              </w:rPr>
              <w:t>Sumario</w:t>
            </w:r>
          </w:p>
        </w:tc>
        <w:tc>
          <w:tcPr>
            <w:tcW w:w="603" w:type="pct"/>
            <w:tcBorders>
              <w:top w:val="nil"/>
              <w:left w:val="single" w:sz="4" w:space="0" w:color="auto"/>
              <w:bottom w:val="single" w:sz="4" w:space="0" w:color="auto"/>
              <w:right w:val="single" w:sz="4" w:space="0" w:color="auto"/>
            </w:tcBorders>
            <w:shd w:val="clear" w:color="auto" w:fill="auto"/>
            <w:noWrap/>
            <w:vAlign w:val="center"/>
            <w:hideMark/>
          </w:tcPr>
          <w:p w14:paraId="1D8941AA" w14:textId="77777777" w:rsidR="006B6845" w:rsidRPr="004E74A6" w:rsidRDefault="006B6845" w:rsidP="00CE62C1">
            <w:pPr>
              <w:spacing w:line="276" w:lineRule="auto"/>
              <w:jc w:val="center"/>
              <w:rPr>
                <w:rFonts w:cs="Calibri"/>
                <w:color w:val="000000"/>
                <w:sz w:val="20"/>
                <w:lang w:eastAsia="es-CR"/>
              </w:rPr>
            </w:pPr>
            <w:r w:rsidRPr="004E74A6">
              <w:rPr>
                <w:rFonts w:cs="Calibri"/>
                <w:color w:val="000000"/>
                <w:sz w:val="20"/>
                <w:lang w:eastAsia="es-CR"/>
              </w:rPr>
              <w:t>1</w:t>
            </w:r>
          </w:p>
        </w:tc>
        <w:tc>
          <w:tcPr>
            <w:tcW w:w="599" w:type="pct"/>
            <w:tcBorders>
              <w:top w:val="nil"/>
              <w:left w:val="single" w:sz="4" w:space="0" w:color="auto"/>
              <w:bottom w:val="single" w:sz="4" w:space="0" w:color="auto"/>
              <w:right w:val="single" w:sz="4" w:space="0" w:color="auto"/>
            </w:tcBorders>
            <w:shd w:val="clear" w:color="auto" w:fill="auto"/>
            <w:noWrap/>
            <w:vAlign w:val="center"/>
            <w:hideMark/>
          </w:tcPr>
          <w:p w14:paraId="35A8D15A" w14:textId="7F45EF54" w:rsidR="006B6845" w:rsidRPr="004E74A6" w:rsidRDefault="000273AF" w:rsidP="00CE62C1">
            <w:pPr>
              <w:spacing w:line="276" w:lineRule="auto"/>
              <w:jc w:val="center"/>
              <w:rPr>
                <w:rFonts w:cs="Calibri"/>
                <w:color w:val="000000"/>
                <w:sz w:val="20"/>
                <w:lang w:eastAsia="es-CR"/>
              </w:rPr>
            </w:pPr>
            <w:r w:rsidRPr="004E74A6">
              <w:rPr>
                <w:rFonts w:cs="Calibri"/>
                <w:color w:val="000000"/>
                <w:sz w:val="20"/>
                <w:lang w:eastAsia="es-CR"/>
              </w:rPr>
              <w:t>0</w:t>
            </w:r>
          </w:p>
        </w:tc>
        <w:tc>
          <w:tcPr>
            <w:tcW w:w="600" w:type="pct"/>
            <w:tcBorders>
              <w:top w:val="nil"/>
              <w:left w:val="single" w:sz="4" w:space="0" w:color="auto"/>
              <w:bottom w:val="single" w:sz="4" w:space="0" w:color="auto"/>
              <w:right w:val="single" w:sz="4" w:space="0" w:color="auto"/>
            </w:tcBorders>
            <w:shd w:val="clear" w:color="auto" w:fill="auto"/>
            <w:noWrap/>
            <w:vAlign w:val="center"/>
            <w:hideMark/>
          </w:tcPr>
          <w:p w14:paraId="2874452F" w14:textId="38FB72EF" w:rsidR="006B6845" w:rsidRPr="004E74A6" w:rsidRDefault="000273AF" w:rsidP="00CE62C1">
            <w:pPr>
              <w:spacing w:line="276" w:lineRule="auto"/>
              <w:jc w:val="center"/>
              <w:rPr>
                <w:sz w:val="20"/>
                <w:lang w:eastAsia="es-CR"/>
              </w:rPr>
            </w:pPr>
            <w:r w:rsidRPr="004E74A6">
              <w:rPr>
                <w:sz w:val="20"/>
                <w:lang w:eastAsia="es-CR"/>
              </w:rPr>
              <w:t>0</w:t>
            </w:r>
          </w:p>
        </w:tc>
        <w:tc>
          <w:tcPr>
            <w:tcW w:w="799" w:type="pct"/>
            <w:tcBorders>
              <w:top w:val="nil"/>
              <w:left w:val="single" w:sz="4" w:space="0" w:color="auto"/>
              <w:bottom w:val="single" w:sz="4" w:space="0" w:color="auto"/>
              <w:right w:val="nil"/>
            </w:tcBorders>
            <w:shd w:val="clear" w:color="auto" w:fill="auto"/>
            <w:noWrap/>
            <w:vAlign w:val="center"/>
          </w:tcPr>
          <w:p w14:paraId="0F8EED99" w14:textId="00EB3CCC" w:rsidR="006B6845" w:rsidRPr="004E74A6" w:rsidRDefault="000273AF" w:rsidP="00CE62C1">
            <w:pPr>
              <w:spacing w:line="276" w:lineRule="auto"/>
              <w:jc w:val="center"/>
              <w:rPr>
                <w:rFonts w:cs="Calibri"/>
                <w:color w:val="000000"/>
                <w:sz w:val="20"/>
                <w:lang w:eastAsia="es-CR"/>
              </w:rPr>
            </w:pPr>
            <w:r w:rsidRPr="004E74A6">
              <w:rPr>
                <w:rFonts w:cs="Calibri"/>
                <w:color w:val="000000"/>
                <w:sz w:val="20"/>
                <w:lang w:eastAsia="es-CR"/>
              </w:rPr>
              <w:t>0,3</w:t>
            </w:r>
          </w:p>
        </w:tc>
      </w:tr>
    </w:tbl>
    <w:p w14:paraId="2B8CD1FB" w14:textId="77777777" w:rsidR="003E4755" w:rsidRPr="004E74A6" w:rsidRDefault="003E4755" w:rsidP="00832773">
      <w:pPr>
        <w:spacing w:line="276" w:lineRule="auto"/>
        <w:ind w:left="907" w:right="964"/>
        <w:rPr>
          <w:rFonts w:cs="Calibri"/>
          <w:i/>
          <w:iCs/>
          <w:color w:val="000000"/>
          <w:sz w:val="20"/>
          <w:lang w:eastAsia="es-CR"/>
        </w:rPr>
      </w:pPr>
      <w:r w:rsidRPr="004E74A6">
        <w:rPr>
          <w:rFonts w:cs="Calibri"/>
          <w:b/>
          <w:bCs/>
          <w:i/>
          <w:iCs/>
          <w:color w:val="000000"/>
          <w:sz w:val="20"/>
          <w:lang w:eastAsia="es-CR"/>
        </w:rPr>
        <w:t>Fuente</w:t>
      </w:r>
      <w:r w:rsidRPr="004E74A6">
        <w:rPr>
          <w:rFonts w:cs="Calibri"/>
          <w:i/>
          <w:iCs/>
          <w:color w:val="000000"/>
          <w:sz w:val="20"/>
          <w:lang w:eastAsia="es-CR"/>
        </w:rPr>
        <w:t>: Subproceso de Modernización Institucional con datos extraídos del sistema SIGMA, Dirección de Planificación.</w:t>
      </w:r>
    </w:p>
    <w:p w14:paraId="2B4FBED8" w14:textId="77777777" w:rsidR="008647ED" w:rsidRPr="004E74A6" w:rsidRDefault="008647ED" w:rsidP="00CE62C1">
      <w:pPr>
        <w:spacing w:after="160" w:line="276" w:lineRule="auto"/>
        <w:rPr>
          <w:rFonts w:cs="Calibri"/>
          <w:color w:val="000000"/>
          <w:szCs w:val="24"/>
          <w:lang w:eastAsia="es-CR"/>
        </w:rPr>
      </w:pPr>
    </w:p>
    <w:p w14:paraId="22ACD4F2" w14:textId="332815BD" w:rsidR="00E70892" w:rsidRPr="004E74A6" w:rsidRDefault="00E70892" w:rsidP="00CE62C1">
      <w:pPr>
        <w:spacing w:after="160" w:line="276" w:lineRule="auto"/>
        <w:rPr>
          <w:rFonts w:cs="Calibri"/>
          <w:color w:val="000000"/>
          <w:szCs w:val="24"/>
          <w:lang w:eastAsia="es-CR"/>
        </w:rPr>
      </w:pPr>
      <w:r w:rsidRPr="004E74A6">
        <w:rPr>
          <w:rFonts w:cs="Calibri"/>
          <w:color w:val="000000"/>
          <w:szCs w:val="24"/>
          <w:lang w:eastAsia="es-CR"/>
        </w:rPr>
        <w:t>Con un mayor detalle es posible observar que dentro de</w:t>
      </w:r>
      <w:r w:rsidR="005F4DBD" w:rsidRPr="004E74A6">
        <w:rPr>
          <w:rFonts w:cs="Calibri"/>
          <w:color w:val="000000"/>
          <w:szCs w:val="24"/>
          <w:lang w:eastAsia="es-CR"/>
        </w:rPr>
        <w:t xml:space="preserve"> </w:t>
      </w:r>
      <w:r w:rsidR="00416943" w:rsidRPr="004E74A6">
        <w:rPr>
          <w:rFonts w:cs="Calibri"/>
          <w:color w:val="000000"/>
          <w:szCs w:val="24"/>
          <w:lang w:eastAsia="es-CR"/>
        </w:rPr>
        <w:t>las 164 carpetas</w:t>
      </w:r>
      <w:r w:rsidR="005F4DBD" w:rsidRPr="004E74A6">
        <w:rPr>
          <w:rFonts w:cs="Calibri"/>
          <w:color w:val="000000"/>
          <w:szCs w:val="24"/>
          <w:lang w:eastAsia="es-CR"/>
        </w:rPr>
        <w:t xml:space="preserve"> con</w:t>
      </w:r>
      <w:r w:rsidRPr="004E74A6">
        <w:rPr>
          <w:rFonts w:cs="Calibri"/>
          <w:color w:val="000000"/>
          <w:szCs w:val="24"/>
          <w:lang w:eastAsia="es-CR"/>
        </w:rPr>
        <w:t xml:space="preserve"> clase de asunto ordinario, los procedimientos ordinarios son la mayoría con el 95% de los asuntos. Como se observa de los 16</w:t>
      </w:r>
      <w:r w:rsidR="00D31732" w:rsidRPr="004E74A6">
        <w:rPr>
          <w:rFonts w:cs="Calibri"/>
          <w:color w:val="000000"/>
          <w:szCs w:val="24"/>
          <w:lang w:eastAsia="es-CR"/>
        </w:rPr>
        <w:t>4</w:t>
      </w:r>
      <w:r w:rsidRPr="004E74A6">
        <w:rPr>
          <w:rFonts w:cs="Calibri"/>
          <w:color w:val="000000"/>
          <w:szCs w:val="24"/>
          <w:lang w:eastAsia="es-CR"/>
        </w:rPr>
        <w:t xml:space="preserve"> registros, solo 15</w:t>
      </w:r>
      <w:r w:rsidR="00D31732" w:rsidRPr="004E74A6">
        <w:rPr>
          <w:rFonts w:cs="Calibri"/>
          <w:color w:val="000000"/>
          <w:szCs w:val="24"/>
          <w:lang w:eastAsia="es-CR"/>
        </w:rPr>
        <w:t>8</w:t>
      </w:r>
      <w:r w:rsidRPr="004E74A6">
        <w:rPr>
          <w:rFonts w:cs="Calibri"/>
          <w:color w:val="000000"/>
          <w:szCs w:val="24"/>
          <w:lang w:eastAsia="es-CR"/>
        </w:rPr>
        <w:t xml:space="preserve"> tienen el procedimiento correcto, ya que según la fórmula estadística la clase “</w:t>
      </w:r>
      <w:r w:rsidRPr="004E74A6">
        <w:rPr>
          <w:rFonts w:cs="Calibri"/>
          <w:i/>
          <w:iCs/>
          <w:color w:val="000000"/>
          <w:szCs w:val="24"/>
          <w:lang w:eastAsia="es-CR"/>
        </w:rPr>
        <w:t>ordinario</w:t>
      </w:r>
      <w:r w:rsidRPr="004E74A6">
        <w:rPr>
          <w:rFonts w:cs="Calibri"/>
          <w:color w:val="000000"/>
          <w:szCs w:val="24"/>
          <w:lang w:eastAsia="es-CR"/>
        </w:rPr>
        <w:t>” solamente tiene como procedimiento asociado “</w:t>
      </w:r>
      <w:r w:rsidRPr="004E74A6">
        <w:rPr>
          <w:rFonts w:cs="Calibri"/>
          <w:i/>
          <w:iCs/>
          <w:color w:val="000000"/>
          <w:szCs w:val="24"/>
          <w:lang w:eastAsia="es-CR"/>
        </w:rPr>
        <w:t>ordinario</w:t>
      </w:r>
      <w:r w:rsidRPr="004E74A6">
        <w:rPr>
          <w:rFonts w:cs="Calibri"/>
          <w:color w:val="000000"/>
          <w:szCs w:val="24"/>
          <w:lang w:eastAsia="es-CR"/>
        </w:rPr>
        <w:t xml:space="preserve">”. </w:t>
      </w:r>
    </w:p>
    <w:p w14:paraId="569FF0A8" w14:textId="4037E9CD" w:rsidR="00662185" w:rsidRDefault="00662185" w:rsidP="00CE62C1">
      <w:pPr>
        <w:spacing w:after="160" w:line="276" w:lineRule="auto"/>
        <w:rPr>
          <w:rFonts w:cs="Calibri"/>
          <w:color w:val="000000"/>
          <w:szCs w:val="24"/>
          <w:lang w:eastAsia="es-CR"/>
        </w:rPr>
      </w:pPr>
    </w:p>
    <w:p w14:paraId="3C113537" w14:textId="7B334D5A" w:rsidR="00193D21" w:rsidRDefault="00193D21" w:rsidP="00CE62C1">
      <w:pPr>
        <w:spacing w:after="160" w:line="276" w:lineRule="auto"/>
        <w:rPr>
          <w:rFonts w:cs="Calibri"/>
          <w:color w:val="000000"/>
          <w:szCs w:val="24"/>
          <w:lang w:eastAsia="es-CR"/>
        </w:rPr>
      </w:pPr>
    </w:p>
    <w:p w14:paraId="7A2B75BF" w14:textId="70510A8F" w:rsidR="00193D21" w:rsidRDefault="00193D21" w:rsidP="00CE62C1">
      <w:pPr>
        <w:spacing w:after="160" w:line="276" w:lineRule="auto"/>
        <w:rPr>
          <w:rFonts w:cs="Calibri"/>
          <w:color w:val="000000"/>
          <w:szCs w:val="24"/>
          <w:lang w:eastAsia="es-CR"/>
        </w:rPr>
      </w:pPr>
    </w:p>
    <w:p w14:paraId="700EF89F" w14:textId="0964E287" w:rsidR="00193D21" w:rsidRDefault="00193D21" w:rsidP="00CE62C1">
      <w:pPr>
        <w:spacing w:after="160" w:line="276" w:lineRule="auto"/>
        <w:rPr>
          <w:rFonts w:cs="Calibri"/>
          <w:color w:val="000000"/>
          <w:szCs w:val="24"/>
          <w:lang w:eastAsia="es-CR"/>
        </w:rPr>
      </w:pPr>
    </w:p>
    <w:p w14:paraId="7E5304C5" w14:textId="51EAEE74" w:rsidR="00193D21" w:rsidRDefault="00193D21" w:rsidP="00CE62C1">
      <w:pPr>
        <w:spacing w:after="160" w:line="276" w:lineRule="auto"/>
        <w:rPr>
          <w:rFonts w:cs="Calibri"/>
          <w:color w:val="000000"/>
          <w:szCs w:val="24"/>
          <w:lang w:eastAsia="es-CR"/>
        </w:rPr>
      </w:pPr>
    </w:p>
    <w:p w14:paraId="3CCABFC4" w14:textId="492BA40F" w:rsidR="00193D21" w:rsidRDefault="00193D21" w:rsidP="00CE62C1">
      <w:pPr>
        <w:spacing w:after="160" w:line="276" w:lineRule="auto"/>
        <w:rPr>
          <w:rFonts w:cs="Calibri"/>
          <w:color w:val="000000"/>
          <w:szCs w:val="24"/>
          <w:lang w:eastAsia="es-CR"/>
        </w:rPr>
      </w:pPr>
    </w:p>
    <w:p w14:paraId="2A41B5D5" w14:textId="35E972D0" w:rsidR="00193D21" w:rsidRDefault="00193D21" w:rsidP="00CE62C1">
      <w:pPr>
        <w:spacing w:after="160" w:line="276" w:lineRule="auto"/>
        <w:rPr>
          <w:rFonts w:cs="Calibri"/>
          <w:color w:val="000000"/>
          <w:szCs w:val="24"/>
          <w:lang w:eastAsia="es-CR"/>
        </w:rPr>
      </w:pPr>
    </w:p>
    <w:p w14:paraId="57E66583" w14:textId="77777777" w:rsidR="00193D21" w:rsidRPr="004E74A6" w:rsidRDefault="00193D21" w:rsidP="00CE62C1">
      <w:pPr>
        <w:spacing w:after="160" w:line="276" w:lineRule="auto"/>
        <w:rPr>
          <w:rFonts w:cs="Calibri"/>
          <w:color w:val="000000"/>
          <w:szCs w:val="24"/>
          <w:lang w:eastAsia="es-CR"/>
        </w:rPr>
      </w:pPr>
    </w:p>
    <w:p w14:paraId="1E577D29" w14:textId="7C89DB19" w:rsidR="00027CB3" w:rsidRPr="00832773" w:rsidRDefault="00027CB3" w:rsidP="00F0204A">
      <w:pPr>
        <w:pStyle w:val="Descripcin"/>
        <w:keepNext/>
        <w:spacing w:line="276" w:lineRule="auto"/>
        <w:jc w:val="center"/>
        <w:rPr>
          <w:rFonts w:ascii="Book Antiqua" w:hAnsi="Book Antiqua"/>
          <w:i/>
          <w:iCs/>
          <w:sz w:val="20"/>
          <w:lang w:val="es-CR"/>
        </w:rPr>
      </w:pPr>
      <w:r w:rsidRPr="00832773">
        <w:rPr>
          <w:rFonts w:ascii="Book Antiqua" w:hAnsi="Book Antiqua"/>
          <w:i/>
          <w:iCs/>
          <w:sz w:val="20"/>
          <w:lang w:val="es-CR"/>
        </w:rPr>
        <w:lastRenderedPageBreak/>
        <w:t xml:space="preserve">Tabla </w:t>
      </w:r>
      <w:r w:rsidRPr="00832773">
        <w:rPr>
          <w:rFonts w:ascii="Book Antiqua" w:hAnsi="Book Antiqua"/>
          <w:i/>
          <w:iCs/>
          <w:sz w:val="20"/>
          <w:lang w:val="es-CR"/>
        </w:rPr>
        <w:fldChar w:fldCharType="begin"/>
      </w:r>
      <w:r w:rsidRPr="00832773">
        <w:rPr>
          <w:rFonts w:ascii="Book Antiqua" w:hAnsi="Book Antiqua"/>
          <w:i/>
          <w:iCs/>
          <w:sz w:val="20"/>
          <w:lang w:val="es-CR"/>
        </w:rPr>
        <w:instrText xml:space="preserve"> SEQ Tabla \* ARABIC </w:instrText>
      </w:r>
      <w:r w:rsidRPr="00832773">
        <w:rPr>
          <w:rFonts w:ascii="Book Antiqua" w:hAnsi="Book Antiqua"/>
          <w:i/>
          <w:iCs/>
          <w:sz w:val="20"/>
          <w:lang w:val="es-CR"/>
        </w:rPr>
        <w:fldChar w:fldCharType="separate"/>
      </w:r>
      <w:r w:rsidR="00374B51">
        <w:rPr>
          <w:rFonts w:ascii="Book Antiqua" w:hAnsi="Book Antiqua"/>
          <w:i/>
          <w:iCs/>
          <w:noProof/>
          <w:sz w:val="20"/>
          <w:lang w:val="es-CR"/>
        </w:rPr>
        <w:t>15</w:t>
      </w:r>
      <w:r w:rsidRPr="00832773">
        <w:rPr>
          <w:rFonts w:ascii="Book Antiqua" w:hAnsi="Book Antiqua"/>
          <w:i/>
          <w:iCs/>
          <w:sz w:val="20"/>
          <w:lang w:val="es-CR"/>
        </w:rPr>
        <w:fldChar w:fldCharType="end"/>
      </w:r>
      <w:r w:rsidRPr="00832773">
        <w:rPr>
          <w:rFonts w:ascii="Book Antiqua" w:hAnsi="Book Antiqua"/>
          <w:i/>
          <w:iCs/>
          <w:sz w:val="20"/>
          <w:lang w:val="es-CR"/>
        </w:rPr>
        <w:t xml:space="preserve"> Cantidad de asuntos ordinarios según procedimiento del 2019 al 2021 para el Tribunal Colegiado de Primera Instancia Civil Primer Circuito Judicial de Alajuela</w:t>
      </w:r>
    </w:p>
    <w:tbl>
      <w:tblPr>
        <w:tblW w:w="5209" w:type="pct"/>
        <w:jc w:val="center"/>
        <w:tblCellMar>
          <w:left w:w="70" w:type="dxa"/>
          <w:right w:w="70" w:type="dxa"/>
        </w:tblCellMar>
        <w:tblLook w:val="04A0" w:firstRow="1" w:lastRow="0" w:firstColumn="1" w:lastColumn="0" w:noHBand="0" w:noVBand="1"/>
      </w:tblPr>
      <w:tblGrid>
        <w:gridCol w:w="5659"/>
        <w:gridCol w:w="819"/>
        <w:gridCol w:w="820"/>
        <w:gridCol w:w="818"/>
        <w:gridCol w:w="1094"/>
      </w:tblGrid>
      <w:tr w:rsidR="006B6845" w:rsidRPr="004E74A6" w14:paraId="4B235601" w14:textId="77777777" w:rsidTr="00D31732">
        <w:trPr>
          <w:trHeight w:val="454"/>
          <w:tblHeader/>
          <w:jc w:val="center"/>
        </w:trPr>
        <w:tc>
          <w:tcPr>
            <w:tcW w:w="3072" w:type="pct"/>
            <w:tcBorders>
              <w:top w:val="single" w:sz="4" w:space="0" w:color="auto"/>
              <w:left w:val="nil"/>
              <w:bottom w:val="single" w:sz="4" w:space="0" w:color="auto"/>
              <w:right w:val="single" w:sz="4" w:space="0" w:color="auto"/>
            </w:tcBorders>
            <w:shd w:val="clear" w:color="auto" w:fill="auto"/>
            <w:noWrap/>
            <w:vAlign w:val="center"/>
            <w:hideMark/>
          </w:tcPr>
          <w:p w14:paraId="1161E58E"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Ordinario</w:t>
            </w:r>
          </w:p>
        </w:tc>
        <w:tc>
          <w:tcPr>
            <w:tcW w:w="44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3B022FE"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2019</w:t>
            </w:r>
          </w:p>
        </w:tc>
        <w:tc>
          <w:tcPr>
            <w:tcW w:w="44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73B6322"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2020</w:t>
            </w:r>
          </w:p>
        </w:tc>
        <w:tc>
          <w:tcPr>
            <w:tcW w:w="44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C56E8BE"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2021</w:t>
            </w:r>
          </w:p>
        </w:tc>
        <w:tc>
          <w:tcPr>
            <w:tcW w:w="594" w:type="pct"/>
            <w:tcBorders>
              <w:top w:val="single" w:sz="4" w:space="0" w:color="auto"/>
              <w:left w:val="single" w:sz="4" w:space="0" w:color="auto"/>
              <w:bottom w:val="single" w:sz="4" w:space="0" w:color="auto"/>
              <w:right w:val="nil"/>
            </w:tcBorders>
            <w:shd w:val="clear" w:color="auto" w:fill="auto"/>
            <w:noWrap/>
            <w:vAlign w:val="center"/>
          </w:tcPr>
          <w:p w14:paraId="3D2B8F40" w14:textId="52AB8F23" w:rsidR="008647ED" w:rsidRPr="004E74A6" w:rsidRDefault="006B6845" w:rsidP="00CE62C1">
            <w:pPr>
              <w:spacing w:line="276" w:lineRule="auto"/>
              <w:jc w:val="center"/>
              <w:rPr>
                <w:rFonts w:cs="Calibri"/>
                <w:color w:val="000000"/>
                <w:sz w:val="20"/>
                <w:lang w:eastAsia="es-CR"/>
              </w:rPr>
            </w:pPr>
            <w:r w:rsidRPr="004E74A6">
              <w:rPr>
                <w:rFonts w:cs="Calibri"/>
                <w:color w:val="000000"/>
                <w:sz w:val="20"/>
                <w:lang w:eastAsia="es-CR"/>
              </w:rPr>
              <w:t>Promedio</w:t>
            </w:r>
          </w:p>
        </w:tc>
      </w:tr>
      <w:tr w:rsidR="006B6845" w:rsidRPr="004E74A6" w14:paraId="34506174" w14:textId="77777777" w:rsidTr="00D31732">
        <w:trPr>
          <w:trHeight w:val="288"/>
          <w:jc w:val="center"/>
        </w:trPr>
        <w:tc>
          <w:tcPr>
            <w:tcW w:w="3072" w:type="pct"/>
            <w:tcBorders>
              <w:top w:val="single" w:sz="4" w:space="0" w:color="auto"/>
              <w:left w:val="nil"/>
              <w:bottom w:val="nil"/>
              <w:right w:val="single" w:sz="4" w:space="0" w:color="auto"/>
            </w:tcBorders>
            <w:shd w:val="clear" w:color="auto" w:fill="auto"/>
            <w:noWrap/>
            <w:vAlign w:val="center"/>
          </w:tcPr>
          <w:p w14:paraId="25A73058" w14:textId="77777777" w:rsidR="008647ED" w:rsidRPr="004E74A6" w:rsidRDefault="008647ED" w:rsidP="00CE62C1">
            <w:pPr>
              <w:spacing w:line="276" w:lineRule="auto"/>
              <w:ind w:firstLineChars="200" w:firstLine="400"/>
              <w:jc w:val="center"/>
              <w:rPr>
                <w:rFonts w:cs="Calibri"/>
                <w:color w:val="000000"/>
                <w:sz w:val="20"/>
                <w:lang w:eastAsia="es-CR"/>
              </w:rPr>
            </w:pPr>
          </w:p>
        </w:tc>
        <w:tc>
          <w:tcPr>
            <w:tcW w:w="445" w:type="pct"/>
            <w:tcBorders>
              <w:top w:val="single" w:sz="4" w:space="0" w:color="auto"/>
              <w:left w:val="single" w:sz="4" w:space="0" w:color="auto"/>
              <w:bottom w:val="nil"/>
              <w:right w:val="single" w:sz="4" w:space="0" w:color="auto"/>
            </w:tcBorders>
            <w:shd w:val="clear" w:color="auto" w:fill="auto"/>
            <w:noWrap/>
            <w:vAlign w:val="center"/>
          </w:tcPr>
          <w:p w14:paraId="19F65A7E" w14:textId="77777777" w:rsidR="008647ED" w:rsidRPr="004E74A6" w:rsidRDefault="008647ED" w:rsidP="00CE62C1">
            <w:pPr>
              <w:spacing w:line="276" w:lineRule="auto"/>
              <w:jc w:val="center"/>
              <w:rPr>
                <w:rFonts w:cs="Calibri"/>
                <w:color w:val="000000"/>
                <w:sz w:val="20"/>
                <w:lang w:eastAsia="es-CR"/>
              </w:rPr>
            </w:pPr>
          </w:p>
        </w:tc>
        <w:tc>
          <w:tcPr>
            <w:tcW w:w="445" w:type="pct"/>
            <w:tcBorders>
              <w:top w:val="single" w:sz="4" w:space="0" w:color="auto"/>
              <w:left w:val="single" w:sz="4" w:space="0" w:color="auto"/>
              <w:bottom w:val="nil"/>
              <w:right w:val="single" w:sz="4" w:space="0" w:color="auto"/>
            </w:tcBorders>
            <w:shd w:val="clear" w:color="auto" w:fill="auto"/>
            <w:noWrap/>
            <w:vAlign w:val="center"/>
          </w:tcPr>
          <w:p w14:paraId="1AFA41EF" w14:textId="77777777" w:rsidR="008647ED" w:rsidRPr="004E74A6" w:rsidRDefault="008647ED" w:rsidP="00CE62C1">
            <w:pPr>
              <w:spacing w:line="276" w:lineRule="auto"/>
              <w:jc w:val="center"/>
              <w:rPr>
                <w:rFonts w:cs="Calibri"/>
                <w:color w:val="000000"/>
                <w:sz w:val="20"/>
                <w:lang w:eastAsia="es-CR"/>
              </w:rPr>
            </w:pPr>
          </w:p>
        </w:tc>
        <w:tc>
          <w:tcPr>
            <w:tcW w:w="444" w:type="pct"/>
            <w:tcBorders>
              <w:top w:val="single" w:sz="4" w:space="0" w:color="auto"/>
              <w:left w:val="single" w:sz="4" w:space="0" w:color="auto"/>
              <w:bottom w:val="nil"/>
              <w:right w:val="single" w:sz="4" w:space="0" w:color="auto"/>
            </w:tcBorders>
            <w:shd w:val="clear" w:color="auto" w:fill="auto"/>
            <w:noWrap/>
            <w:vAlign w:val="center"/>
          </w:tcPr>
          <w:p w14:paraId="0DC01D1B" w14:textId="77777777" w:rsidR="008647ED" w:rsidRPr="004E74A6" w:rsidRDefault="008647ED" w:rsidP="00CE62C1">
            <w:pPr>
              <w:spacing w:line="276" w:lineRule="auto"/>
              <w:jc w:val="center"/>
              <w:rPr>
                <w:rFonts w:cs="Calibri"/>
                <w:color w:val="000000"/>
                <w:sz w:val="20"/>
                <w:lang w:eastAsia="es-CR"/>
              </w:rPr>
            </w:pPr>
          </w:p>
        </w:tc>
        <w:tc>
          <w:tcPr>
            <w:tcW w:w="594" w:type="pct"/>
            <w:tcBorders>
              <w:top w:val="single" w:sz="4" w:space="0" w:color="auto"/>
              <w:left w:val="single" w:sz="4" w:space="0" w:color="auto"/>
              <w:bottom w:val="nil"/>
              <w:right w:val="nil"/>
            </w:tcBorders>
            <w:shd w:val="clear" w:color="auto" w:fill="auto"/>
            <w:noWrap/>
            <w:vAlign w:val="center"/>
          </w:tcPr>
          <w:p w14:paraId="1E295FE4" w14:textId="77777777" w:rsidR="008647ED" w:rsidRPr="004E74A6" w:rsidRDefault="008647ED" w:rsidP="00CE62C1">
            <w:pPr>
              <w:spacing w:line="276" w:lineRule="auto"/>
              <w:jc w:val="center"/>
              <w:rPr>
                <w:rFonts w:cs="Calibri"/>
                <w:color w:val="000000"/>
                <w:sz w:val="20"/>
                <w:lang w:eastAsia="es-CR"/>
              </w:rPr>
            </w:pPr>
          </w:p>
        </w:tc>
      </w:tr>
      <w:tr w:rsidR="006B6845" w:rsidRPr="004E74A6" w14:paraId="426B692C" w14:textId="77777777" w:rsidTr="00D31732">
        <w:trPr>
          <w:trHeight w:val="288"/>
          <w:jc w:val="center"/>
        </w:trPr>
        <w:tc>
          <w:tcPr>
            <w:tcW w:w="3072" w:type="pct"/>
            <w:tcBorders>
              <w:top w:val="nil"/>
              <w:left w:val="nil"/>
              <w:bottom w:val="nil"/>
              <w:right w:val="single" w:sz="4" w:space="0" w:color="auto"/>
            </w:tcBorders>
            <w:shd w:val="clear" w:color="auto" w:fill="auto"/>
            <w:noWrap/>
            <w:vAlign w:val="center"/>
          </w:tcPr>
          <w:p w14:paraId="0AB77EC1" w14:textId="77777777" w:rsidR="006B6845" w:rsidRPr="004E74A6" w:rsidRDefault="006B6845" w:rsidP="00CE62C1">
            <w:pPr>
              <w:spacing w:line="276" w:lineRule="auto"/>
              <w:jc w:val="center"/>
              <w:rPr>
                <w:rFonts w:cs="Calibri"/>
                <w:color w:val="000000"/>
                <w:sz w:val="20"/>
                <w:lang w:eastAsia="es-CR"/>
              </w:rPr>
            </w:pPr>
            <w:r w:rsidRPr="004E74A6">
              <w:rPr>
                <w:rFonts w:cs="Calibri"/>
                <w:color w:val="000000"/>
                <w:sz w:val="20"/>
                <w:lang w:eastAsia="es-CR"/>
              </w:rPr>
              <w:t>Total</w:t>
            </w:r>
          </w:p>
        </w:tc>
        <w:tc>
          <w:tcPr>
            <w:tcW w:w="445" w:type="pct"/>
            <w:tcBorders>
              <w:top w:val="nil"/>
              <w:left w:val="single" w:sz="4" w:space="0" w:color="auto"/>
              <w:bottom w:val="nil"/>
              <w:right w:val="single" w:sz="4" w:space="0" w:color="auto"/>
            </w:tcBorders>
            <w:shd w:val="clear" w:color="auto" w:fill="auto"/>
            <w:noWrap/>
            <w:vAlign w:val="center"/>
          </w:tcPr>
          <w:p w14:paraId="3C865CE6" w14:textId="3FB4E81A" w:rsidR="006B6845" w:rsidRPr="004E74A6" w:rsidRDefault="006B6845" w:rsidP="00CE62C1">
            <w:pPr>
              <w:spacing w:line="276" w:lineRule="auto"/>
              <w:jc w:val="center"/>
              <w:rPr>
                <w:rFonts w:cs="Calibri"/>
                <w:color w:val="000000"/>
                <w:sz w:val="20"/>
                <w:lang w:eastAsia="es-CR"/>
              </w:rPr>
            </w:pPr>
            <w:r w:rsidRPr="004E74A6">
              <w:rPr>
                <w:rFonts w:cs="Calibri"/>
                <w:color w:val="000000"/>
                <w:sz w:val="20"/>
                <w:lang w:eastAsia="es-CR"/>
              </w:rPr>
              <w:t>20</w:t>
            </w:r>
            <w:r w:rsidR="00D31732" w:rsidRPr="004E74A6">
              <w:rPr>
                <w:rFonts w:cs="Calibri"/>
                <w:color w:val="000000"/>
                <w:sz w:val="20"/>
                <w:lang w:eastAsia="es-CR"/>
              </w:rPr>
              <w:t>4</w:t>
            </w:r>
          </w:p>
        </w:tc>
        <w:tc>
          <w:tcPr>
            <w:tcW w:w="445" w:type="pct"/>
            <w:tcBorders>
              <w:top w:val="nil"/>
              <w:left w:val="single" w:sz="4" w:space="0" w:color="auto"/>
              <w:bottom w:val="nil"/>
              <w:right w:val="single" w:sz="4" w:space="0" w:color="auto"/>
            </w:tcBorders>
            <w:shd w:val="clear" w:color="auto" w:fill="auto"/>
            <w:noWrap/>
            <w:vAlign w:val="center"/>
          </w:tcPr>
          <w:p w14:paraId="09A6B288" w14:textId="1B01345D" w:rsidR="006B6845" w:rsidRPr="004E74A6" w:rsidRDefault="006B6845" w:rsidP="00CE62C1">
            <w:pPr>
              <w:spacing w:line="276" w:lineRule="auto"/>
              <w:jc w:val="center"/>
              <w:rPr>
                <w:rFonts w:cs="Calibri"/>
                <w:color w:val="000000"/>
                <w:sz w:val="20"/>
                <w:lang w:eastAsia="es-CR"/>
              </w:rPr>
            </w:pPr>
            <w:r w:rsidRPr="004E74A6">
              <w:rPr>
                <w:rFonts w:cs="Calibri"/>
                <w:color w:val="000000"/>
                <w:sz w:val="20"/>
                <w:lang w:eastAsia="es-CR"/>
              </w:rPr>
              <w:t>13</w:t>
            </w:r>
            <w:r w:rsidR="00D31732" w:rsidRPr="004E74A6">
              <w:rPr>
                <w:rFonts w:cs="Calibri"/>
                <w:color w:val="000000"/>
                <w:sz w:val="20"/>
                <w:lang w:eastAsia="es-CR"/>
              </w:rPr>
              <w:t>5</w:t>
            </w:r>
          </w:p>
        </w:tc>
        <w:tc>
          <w:tcPr>
            <w:tcW w:w="444" w:type="pct"/>
            <w:tcBorders>
              <w:top w:val="nil"/>
              <w:left w:val="single" w:sz="4" w:space="0" w:color="auto"/>
              <w:bottom w:val="nil"/>
              <w:right w:val="single" w:sz="4" w:space="0" w:color="auto"/>
            </w:tcBorders>
            <w:shd w:val="clear" w:color="auto" w:fill="auto"/>
            <w:noWrap/>
            <w:vAlign w:val="center"/>
          </w:tcPr>
          <w:p w14:paraId="5B1BD01D" w14:textId="4D628EF5" w:rsidR="006B6845" w:rsidRPr="004E74A6" w:rsidRDefault="006B6845" w:rsidP="00CE62C1">
            <w:pPr>
              <w:spacing w:line="276" w:lineRule="auto"/>
              <w:jc w:val="center"/>
              <w:rPr>
                <w:rFonts w:cs="Calibri"/>
                <w:color w:val="000000"/>
                <w:sz w:val="20"/>
                <w:lang w:eastAsia="es-CR"/>
              </w:rPr>
            </w:pPr>
            <w:r w:rsidRPr="004E74A6">
              <w:rPr>
                <w:rFonts w:cs="Calibri"/>
                <w:color w:val="000000"/>
                <w:sz w:val="20"/>
                <w:lang w:eastAsia="es-CR"/>
              </w:rPr>
              <w:t>15</w:t>
            </w:r>
            <w:r w:rsidR="00D31732" w:rsidRPr="004E74A6">
              <w:rPr>
                <w:rFonts w:cs="Calibri"/>
                <w:color w:val="000000"/>
                <w:sz w:val="20"/>
                <w:lang w:eastAsia="es-CR"/>
              </w:rPr>
              <w:t>2</w:t>
            </w:r>
          </w:p>
        </w:tc>
        <w:tc>
          <w:tcPr>
            <w:tcW w:w="594" w:type="pct"/>
            <w:tcBorders>
              <w:top w:val="nil"/>
              <w:left w:val="single" w:sz="4" w:space="0" w:color="auto"/>
              <w:bottom w:val="nil"/>
              <w:right w:val="nil"/>
            </w:tcBorders>
            <w:shd w:val="clear" w:color="auto" w:fill="auto"/>
            <w:noWrap/>
            <w:vAlign w:val="center"/>
          </w:tcPr>
          <w:p w14:paraId="550BD807" w14:textId="4ED17D9F" w:rsidR="006B6845" w:rsidRPr="004E74A6" w:rsidRDefault="006B6845" w:rsidP="00CE62C1">
            <w:pPr>
              <w:spacing w:line="276" w:lineRule="auto"/>
              <w:jc w:val="center"/>
              <w:rPr>
                <w:rFonts w:cs="Calibri"/>
                <w:color w:val="000000"/>
                <w:sz w:val="20"/>
                <w:lang w:eastAsia="es-CR"/>
              </w:rPr>
            </w:pPr>
            <w:r w:rsidRPr="004E74A6">
              <w:rPr>
                <w:rFonts w:cs="Calibri"/>
                <w:color w:val="000000"/>
                <w:sz w:val="20"/>
              </w:rPr>
              <w:t>16</w:t>
            </w:r>
            <w:r w:rsidR="00D31732" w:rsidRPr="004E74A6">
              <w:rPr>
                <w:rFonts w:cs="Calibri"/>
                <w:color w:val="000000"/>
                <w:sz w:val="20"/>
              </w:rPr>
              <w:t>4</w:t>
            </w:r>
          </w:p>
        </w:tc>
      </w:tr>
      <w:tr w:rsidR="006B6845" w:rsidRPr="004E74A6" w14:paraId="4194F635" w14:textId="77777777" w:rsidTr="00D31732">
        <w:trPr>
          <w:trHeight w:val="288"/>
          <w:jc w:val="center"/>
        </w:trPr>
        <w:tc>
          <w:tcPr>
            <w:tcW w:w="3072" w:type="pct"/>
            <w:tcBorders>
              <w:top w:val="nil"/>
              <w:left w:val="nil"/>
              <w:bottom w:val="nil"/>
              <w:right w:val="single" w:sz="4" w:space="0" w:color="auto"/>
            </w:tcBorders>
            <w:shd w:val="clear" w:color="auto" w:fill="auto"/>
            <w:noWrap/>
            <w:vAlign w:val="bottom"/>
          </w:tcPr>
          <w:p w14:paraId="2DAE94A7" w14:textId="77777777" w:rsidR="006B6845" w:rsidRPr="004E74A6" w:rsidRDefault="006B6845" w:rsidP="00CE62C1">
            <w:pPr>
              <w:spacing w:line="276" w:lineRule="auto"/>
              <w:ind w:firstLineChars="200" w:firstLine="400"/>
              <w:jc w:val="left"/>
              <w:rPr>
                <w:rFonts w:cs="Calibri"/>
                <w:color w:val="000000"/>
                <w:sz w:val="20"/>
                <w:lang w:eastAsia="es-CR"/>
              </w:rPr>
            </w:pPr>
          </w:p>
        </w:tc>
        <w:tc>
          <w:tcPr>
            <w:tcW w:w="445" w:type="pct"/>
            <w:tcBorders>
              <w:top w:val="nil"/>
              <w:left w:val="single" w:sz="4" w:space="0" w:color="auto"/>
              <w:bottom w:val="nil"/>
              <w:right w:val="single" w:sz="4" w:space="0" w:color="auto"/>
            </w:tcBorders>
            <w:shd w:val="clear" w:color="auto" w:fill="auto"/>
            <w:noWrap/>
            <w:vAlign w:val="center"/>
          </w:tcPr>
          <w:p w14:paraId="1D899214" w14:textId="77777777" w:rsidR="006B6845" w:rsidRPr="004E74A6" w:rsidRDefault="006B6845" w:rsidP="00CE62C1">
            <w:pPr>
              <w:spacing w:line="276" w:lineRule="auto"/>
              <w:jc w:val="center"/>
              <w:rPr>
                <w:rFonts w:cs="Calibri"/>
                <w:color w:val="000000"/>
                <w:sz w:val="20"/>
                <w:lang w:eastAsia="es-CR"/>
              </w:rPr>
            </w:pPr>
          </w:p>
        </w:tc>
        <w:tc>
          <w:tcPr>
            <w:tcW w:w="445" w:type="pct"/>
            <w:tcBorders>
              <w:top w:val="nil"/>
              <w:left w:val="single" w:sz="4" w:space="0" w:color="auto"/>
              <w:bottom w:val="nil"/>
              <w:right w:val="single" w:sz="4" w:space="0" w:color="auto"/>
            </w:tcBorders>
            <w:shd w:val="clear" w:color="auto" w:fill="auto"/>
            <w:noWrap/>
            <w:vAlign w:val="center"/>
          </w:tcPr>
          <w:p w14:paraId="41B5C0B6" w14:textId="77777777" w:rsidR="006B6845" w:rsidRPr="004E74A6" w:rsidRDefault="006B6845" w:rsidP="00CE62C1">
            <w:pPr>
              <w:spacing w:line="276" w:lineRule="auto"/>
              <w:jc w:val="center"/>
              <w:rPr>
                <w:rFonts w:cs="Calibri"/>
                <w:color w:val="000000"/>
                <w:sz w:val="20"/>
                <w:lang w:eastAsia="es-CR"/>
              </w:rPr>
            </w:pPr>
          </w:p>
        </w:tc>
        <w:tc>
          <w:tcPr>
            <w:tcW w:w="444" w:type="pct"/>
            <w:tcBorders>
              <w:top w:val="nil"/>
              <w:left w:val="single" w:sz="4" w:space="0" w:color="auto"/>
              <w:bottom w:val="nil"/>
              <w:right w:val="single" w:sz="4" w:space="0" w:color="auto"/>
            </w:tcBorders>
            <w:shd w:val="clear" w:color="auto" w:fill="auto"/>
            <w:noWrap/>
            <w:vAlign w:val="center"/>
          </w:tcPr>
          <w:p w14:paraId="74AEEFD7" w14:textId="77777777" w:rsidR="006B6845" w:rsidRPr="004E74A6" w:rsidRDefault="006B6845" w:rsidP="00CE62C1">
            <w:pPr>
              <w:spacing w:line="276" w:lineRule="auto"/>
              <w:jc w:val="center"/>
              <w:rPr>
                <w:rFonts w:cs="Calibri"/>
                <w:color w:val="000000"/>
                <w:sz w:val="20"/>
                <w:lang w:eastAsia="es-CR"/>
              </w:rPr>
            </w:pPr>
          </w:p>
        </w:tc>
        <w:tc>
          <w:tcPr>
            <w:tcW w:w="594" w:type="pct"/>
            <w:tcBorders>
              <w:top w:val="nil"/>
              <w:left w:val="single" w:sz="4" w:space="0" w:color="auto"/>
              <w:bottom w:val="nil"/>
              <w:right w:val="nil"/>
            </w:tcBorders>
            <w:shd w:val="clear" w:color="auto" w:fill="auto"/>
            <w:noWrap/>
            <w:vAlign w:val="center"/>
          </w:tcPr>
          <w:p w14:paraId="7633F041" w14:textId="77777777" w:rsidR="006B6845" w:rsidRPr="004E74A6" w:rsidRDefault="006B6845" w:rsidP="00CE62C1">
            <w:pPr>
              <w:spacing w:line="276" w:lineRule="auto"/>
              <w:jc w:val="center"/>
              <w:rPr>
                <w:rFonts w:cs="Calibri"/>
                <w:color w:val="000000"/>
                <w:sz w:val="20"/>
                <w:lang w:eastAsia="es-CR"/>
              </w:rPr>
            </w:pPr>
          </w:p>
        </w:tc>
      </w:tr>
      <w:tr w:rsidR="006B6845" w:rsidRPr="004E74A6" w14:paraId="7BD4A564" w14:textId="77777777" w:rsidTr="00D31732">
        <w:trPr>
          <w:trHeight w:val="288"/>
          <w:jc w:val="center"/>
        </w:trPr>
        <w:tc>
          <w:tcPr>
            <w:tcW w:w="3072" w:type="pct"/>
            <w:tcBorders>
              <w:top w:val="nil"/>
              <w:left w:val="nil"/>
              <w:bottom w:val="nil"/>
              <w:right w:val="single" w:sz="4" w:space="0" w:color="auto"/>
            </w:tcBorders>
            <w:shd w:val="clear" w:color="auto" w:fill="auto"/>
            <w:noWrap/>
            <w:vAlign w:val="bottom"/>
            <w:hideMark/>
          </w:tcPr>
          <w:p w14:paraId="63FB9617" w14:textId="77777777" w:rsidR="006B6845" w:rsidRPr="004E74A6" w:rsidRDefault="006B6845" w:rsidP="00CE62C1">
            <w:pPr>
              <w:spacing w:line="276" w:lineRule="auto"/>
              <w:ind w:firstLineChars="200" w:firstLine="400"/>
              <w:jc w:val="left"/>
              <w:rPr>
                <w:rFonts w:cs="Calibri"/>
                <w:color w:val="000000"/>
                <w:sz w:val="20"/>
                <w:lang w:eastAsia="es-CR"/>
              </w:rPr>
            </w:pPr>
            <w:r w:rsidRPr="004E74A6">
              <w:rPr>
                <w:rFonts w:cs="Calibri"/>
                <w:color w:val="000000"/>
                <w:sz w:val="20"/>
                <w:lang w:eastAsia="es-CR"/>
              </w:rPr>
              <w:t>Consignación De Alquileres</w:t>
            </w:r>
          </w:p>
        </w:tc>
        <w:tc>
          <w:tcPr>
            <w:tcW w:w="445" w:type="pct"/>
            <w:tcBorders>
              <w:top w:val="nil"/>
              <w:left w:val="single" w:sz="4" w:space="0" w:color="auto"/>
              <w:bottom w:val="nil"/>
              <w:right w:val="single" w:sz="4" w:space="0" w:color="auto"/>
            </w:tcBorders>
            <w:shd w:val="clear" w:color="auto" w:fill="auto"/>
            <w:noWrap/>
            <w:vAlign w:val="center"/>
            <w:hideMark/>
          </w:tcPr>
          <w:p w14:paraId="45B9E325" w14:textId="77777777" w:rsidR="006B6845" w:rsidRPr="004E74A6" w:rsidRDefault="006B6845" w:rsidP="00CE62C1">
            <w:pPr>
              <w:spacing w:line="276" w:lineRule="auto"/>
              <w:jc w:val="center"/>
              <w:rPr>
                <w:rFonts w:cs="Calibri"/>
                <w:color w:val="000000"/>
                <w:sz w:val="20"/>
                <w:lang w:eastAsia="es-CR"/>
              </w:rPr>
            </w:pPr>
            <w:r w:rsidRPr="004E74A6">
              <w:rPr>
                <w:rFonts w:cs="Calibri"/>
                <w:color w:val="000000"/>
                <w:sz w:val="20"/>
                <w:lang w:eastAsia="es-CR"/>
              </w:rPr>
              <w:t>1</w:t>
            </w:r>
          </w:p>
        </w:tc>
        <w:tc>
          <w:tcPr>
            <w:tcW w:w="445" w:type="pct"/>
            <w:tcBorders>
              <w:top w:val="nil"/>
              <w:left w:val="single" w:sz="4" w:space="0" w:color="auto"/>
              <w:bottom w:val="nil"/>
              <w:right w:val="single" w:sz="4" w:space="0" w:color="auto"/>
            </w:tcBorders>
            <w:shd w:val="clear" w:color="auto" w:fill="auto"/>
            <w:noWrap/>
            <w:vAlign w:val="center"/>
            <w:hideMark/>
          </w:tcPr>
          <w:p w14:paraId="074BE6C6" w14:textId="43948416" w:rsidR="006B6845" w:rsidRPr="004E74A6" w:rsidRDefault="00D31732" w:rsidP="00CE62C1">
            <w:pPr>
              <w:spacing w:line="276" w:lineRule="auto"/>
              <w:jc w:val="center"/>
              <w:rPr>
                <w:rFonts w:cs="Calibri"/>
                <w:color w:val="000000"/>
                <w:sz w:val="20"/>
                <w:lang w:eastAsia="es-CR"/>
              </w:rPr>
            </w:pPr>
            <w:r w:rsidRPr="004E74A6">
              <w:rPr>
                <w:rFonts w:cs="Calibri"/>
                <w:color w:val="000000"/>
                <w:sz w:val="20"/>
                <w:lang w:eastAsia="es-CR"/>
              </w:rPr>
              <w:t>0</w:t>
            </w:r>
          </w:p>
        </w:tc>
        <w:tc>
          <w:tcPr>
            <w:tcW w:w="444" w:type="pct"/>
            <w:tcBorders>
              <w:top w:val="nil"/>
              <w:left w:val="single" w:sz="4" w:space="0" w:color="auto"/>
              <w:bottom w:val="nil"/>
              <w:right w:val="single" w:sz="4" w:space="0" w:color="auto"/>
            </w:tcBorders>
            <w:shd w:val="clear" w:color="auto" w:fill="auto"/>
            <w:noWrap/>
            <w:vAlign w:val="center"/>
            <w:hideMark/>
          </w:tcPr>
          <w:p w14:paraId="05E0F5BA" w14:textId="339C15A3" w:rsidR="006B6845" w:rsidRPr="004E74A6" w:rsidRDefault="00D31732" w:rsidP="00CE62C1">
            <w:pPr>
              <w:spacing w:line="276" w:lineRule="auto"/>
              <w:jc w:val="center"/>
              <w:rPr>
                <w:sz w:val="20"/>
                <w:lang w:eastAsia="es-CR"/>
              </w:rPr>
            </w:pPr>
            <w:r w:rsidRPr="004E74A6">
              <w:rPr>
                <w:sz w:val="20"/>
                <w:lang w:eastAsia="es-CR"/>
              </w:rPr>
              <w:t>0</w:t>
            </w:r>
          </w:p>
        </w:tc>
        <w:tc>
          <w:tcPr>
            <w:tcW w:w="594" w:type="pct"/>
            <w:tcBorders>
              <w:top w:val="nil"/>
              <w:left w:val="single" w:sz="4" w:space="0" w:color="auto"/>
              <w:bottom w:val="nil"/>
              <w:right w:val="nil"/>
            </w:tcBorders>
            <w:shd w:val="clear" w:color="auto" w:fill="auto"/>
            <w:noWrap/>
            <w:vAlign w:val="center"/>
            <w:hideMark/>
          </w:tcPr>
          <w:p w14:paraId="223F921A" w14:textId="3DDC32C5" w:rsidR="006B6845" w:rsidRPr="004E74A6" w:rsidRDefault="00D31732" w:rsidP="00CE62C1">
            <w:pPr>
              <w:spacing w:line="276" w:lineRule="auto"/>
              <w:jc w:val="center"/>
              <w:rPr>
                <w:rFonts w:cs="Calibri"/>
                <w:color w:val="000000"/>
                <w:sz w:val="20"/>
                <w:lang w:eastAsia="es-CR"/>
              </w:rPr>
            </w:pPr>
            <w:r w:rsidRPr="004E74A6">
              <w:rPr>
                <w:rFonts w:cs="Calibri"/>
                <w:color w:val="000000"/>
                <w:sz w:val="20"/>
              </w:rPr>
              <w:t>0,3</w:t>
            </w:r>
          </w:p>
        </w:tc>
      </w:tr>
      <w:tr w:rsidR="006B6845" w:rsidRPr="004E74A6" w14:paraId="7D6D218A" w14:textId="77777777" w:rsidTr="00D31732">
        <w:trPr>
          <w:trHeight w:val="288"/>
          <w:jc w:val="center"/>
        </w:trPr>
        <w:tc>
          <w:tcPr>
            <w:tcW w:w="3072" w:type="pct"/>
            <w:tcBorders>
              <w:top w:val="nil"/>
              <w:left w:val="nil"/>
              <w:bottom w:val="nil"/>
              <w:right w:val="single" w:sz="4" w:space="0" w:color="auto"/>
            </w:tcBorders>
            <w:shd w:val="clear" w:color="auto" w:fill="auto"/>
            <w:noWrap/>
            <w:vAlign w:val="bottom"/>
            <w:hideMark/>
          </w:tcPr>
          <w:p w14:paraId="27D9E524" w14:textId="77777777" w:rsidR="006B6845" w:rsidRPr="004E74A6" w:rsidRDefault="006B6845" w:rsidP="00CE62C1">
            <w:pPr>
              <w:spacing w:line="276" w:lineRule="auto"/>
              <w:ind w:firstLineChars="200" w:firstLine="400"/>
              <w:jc w:val="left"/>
              <w:rPr>
                <w:rFonts w:cs="Calibri"/>
                <w:color w:val="000000"/>
                <w:sz w:val="20"/>
                <w:lang w:eastAsia="es-CR"/>
              </w:rPr>
            </w:pPr>
            <w:r w:rsidRPr="004E74A6">
              <w:rPr>
                <w:rFonts w:cs="Calibri"/>
                <w:color w:val="000000"/>
                <w:sz w:val="20"/>
                <w:lang w:eastAsia="es-CR"/>
              </w:rPr>
              <w:t>Interdicto</w:t>
            </w:r>
          </w:p>
        </w:tc>
        <w:tc>
          <w:tcPr>
            <w:tcW w:w="445" w:type="pct"/>
            <w:tcBorders>
              <w:top w:val="nil"/>
              <w:left w:val="single" w:sz="4" w:space="0" w:color="auto"/>
              <w:bottom w:val="nil"/>
              <w:right w:val="single" w:sz="4" w:space="0" w:color="auto"/>
            </w:tcBorders>
            <w:shd w:val="clear" w:color="auto" w:fill="auto"/>
            <w:noWrap/>
            <w:vAlign w:val="center"/>
            <w:hideMark/>
          </w:tcPr>
          <w:p w14:paraId="6D385AA3" w14:textId="5A459967" w:rsidR="006B6845" w:rsidRPr="004E74A6" w:rsidRDefault="00D31732" w:rsidP="00CE62C1">
            <w:pPr>
              <w:spacing w:line="276" w:lineRule="auto"/>
              <w:jc w:val="center"/>
              <w:rPr>
                <w:sz w:val="20"/>
                <w:lang w:eastAsia="es-CR"/>
              </w:rPr>
            </w:pPr>
            <w:r w:rsidRPr="004E74A6">
              <w:rPr>
                <w:sz w:val="20"/>
                <w:lang w:eastAsia="es-CR"/>
              </w:rPr>
              <w:t>0</w:t>
            </w:r>
          </w:p>
        </w:tc>
        <w:tc>
          <w:tcPr>
            <w:tcW w:w="445" w:type="pct"/>
            <w:tcBorders>
              <w:top w:val="nil"/>
              <w:left w:val="single" w:sz="4" w:space="0" w:color="auto"/>
              <w:bottom w:val="nil"/>
              <w:right w:val="single" w:sz="4" w:space="0" w:color="auto"/>
            </w:tcBorders>
            <w:shd w:val="clear" w:color="auto" w:fill="auto"/>
            <w:noWrap/>
            <w:vAlign w:val="center"/>
            <w:hideMark/>
          </w:tcPr>
          <w:p w14:paraId="25FA00C6" w14:textId="69FAEC3C" w:rsidR="006B6845" w:rsidRPr="004E74A6" w:rsidRDefault="00D31732" w:rsidP="00CE62C1">
            <w:pPr>
              <w:spacing w:line="276" w:lineRule="auto"/>
              <w:jc w:val="center"/>
              <w:rPr>
                <w:sz w:val="20"/>
                <w:lang w:eastAsia="es-CR"/>
              </w:rPr>
            </w:pPr>
            <w:r w:rsidRPr="004E74A6">
              <w:rPr>
                <w:sz w:val="20"/>
                <w:lang w:eastAsia="es-CR"/>
              </w:rPr>
              <w:t>0</w:t>
            </w:r>
          </w:p>
        </w:tc>
        <w:tc>
          <w:tcPr>
            <w:tcW w:w="444" w:type="pct"/>
            <w:tcBorders>
              <w:top w:val="nil"/>
              <w:left w:val="single" w:sz="4" w:space="0" w:color="auto"/>
              <w:bottom w:val="nil"/>
              <w:right w:val="single" w:sz="4" w:space="0" w:color="auto"/>
            </w:tcBorders>
            <w:shd w:val="clear" w:color="auto" w:fill="auto"/>
            <w:noWrap/>
            <w:vAlign w:val="center"/>
            <w:hideMark/>
          </w:tcPr>
          <w:p w14:paraId="02FC7297" w14:textId="77777777" w:rsidR="006B6845" w:rsidRPr="004E74A6" w:rsidRDefault="006B6845" w:rsidP="00CE62C1">
            <w:pPr>
              <w:spacing w:line="276" w:lineRule="auto"/>
              <w:jc w:val="center"/>
              <w:rPr>
                <w:rFonts w:cs="Calibri"/>
                <w:color w:val="000000"/>
                <w:sz w:val="20"/>
                <w:lang w:eastAsia="es-CR"/>
              </w:rPr>
            </w:pPr>
            <w:r w:rsidRPr="004E74A6">
              <w:rPr>
                <w:rFonts w:cs="Calibri"/>
                <w:color w:val="000000"/>
                <w:sz w:val="20"/>
                <w:lang w:eastAsia="es-CR"/>
              </w:rPr>
              <w:t>1</w:t>
            </w:r>
          </w:p>
        </w:tc>
        <w:tc>
          <w:tcPr>
            <w:tcW w:w="594" w:type="pct"/>
            <w:tcBorders>
              <w:top w:val="nil"/>
              <w:left w:val="single" w:sz="4" w:space="0" w:color="auto"/>
              <w:bottom w:val="nil"/>
              <w:right w:val="nil"/>
            </w:tcBorders>
            <w:shd w:val="clear" w:color="auto" w:fill="auto"/>
            <w:noWrap/>
            <w:vAlign w:val="center"/>
            <w:hideMark/>
          </w:tcPr>
          <w:p w14:paraId="29C4C959" w14:textId="643EC856" w:rsidR="006B6845" w:rsidRPr="004E74A6" w:rsidRDefault="00D31732" w:rsidP="00CE62C1">
            <w:pPr>
              <w:spacing w:line="276" w:lineRule="auto"/>
              <w:jc w:val="center"/>
              <w:rPr>
                <w:rFonts w:cs="Calibri"/>
                <w:color w:val="000000"/>
                <w:sz w:val="20"/>
                <w:lang w:eastAsia="es-CR"/>
              </w:rPr>
            </w:pPr>
            <w:r w:rsidRPr="004E74A6">
              <w:rPr>
                <w:rFonts w:cs="Calibri"/>
                <w:color w:val="000000"/>
                <w:sz w:val="20"/>
              </w:rPr>
              <w:t>0,3</w:t>
            </w:r>
          </w:p>
        </w:tc>
      </w:tr>
      <w:tr w:rsidR="006B6845" w:rsidRPr="004E74A6" w14:paraId="389364B9" w14:textId="77777777" w:rsidTr="00D31732">
        <w:trPr>
          <w:trHeight w:val="288"/>
          <w:jc w:val="center"/>
        </w:trPr>
        <w:tc>
          <w:tcPr>
            <w:tcW w:w="3072" w:type="pct"/>
            <w:tcBorders>
              <w:top w:val="nil"/>
              <w:left w:val="nil"/>
              <w:bottom w:val="nil"/>
              <w:right w:val="single" w:sz="4" w:space="0" w:color="auto"/>
            </w:tcBorders>
            <w:shd w:val="clear" w:color="auto" w:fill="auto"/>
            <w:noWrap/>
            <w:vAlign w:val="bottom"/>
            <w:hideMark/>
          </w:tcPr>
          <w:p w14:paraId="5EACA38B" w14:textId="77777777" w:rsidR="006B6845" w:rsidRPr="004E74A6" w:rsidRDefault="006B6845" w:rsidP="00CE62C1">
            <w:pPr>
              <w:spacing w:line="276" w:lineRule="auto"/>
              <w:ind w:firstLineChars="200" w:firstLine="400"/>
              <w:jc w:val="left"/>
              <w:rPr>
                <w:rFonts w:cs="Calibri"/>
                <w:color w:val="000000"/>
                <w:sz w:val="20"/>
                <w:lang w:eastAsia="es-CR"/>
              </w:rPr>
            </w:pPr>
            <w:r w:rsidRPr="004E74A6">
              <w:rPr>
                <w:rFonts w:cs="Calibri"/>
                <w:color w:val="000000"/>
                <w:sz w:val="20"/>
                <w:lang w:eastAsia="es-CR"/>
              </w:rPr>
              <w:t>Liquidación Persona Jurídica</w:t>
            </w:r>
          </w:p>
        </w:tc>
        <w:tc>
          <w:tcPr>
            <w:tcW w:w="445" w:type="pct"/>
            <w:tcBorders>
              <w:top w:val="nil"/>
              <w:left w:val="single" w:sz="4" w:space="0" w:color="auto"/>
              <w:bottom w:val="nil"/>
              <w:right w:val="single" w:sz="4" w:space="0" w:color="auto"/>
            </w:tcBorders>
            <w:shd w:val="clear" w:color="auto" w:fill="auto"/>
            <w:noWrap/>
            <w:vAlign w:val="center"/>
            <w:hideMark/>
          </w:tcPr>
          <w:p w14:paraId="200AE171" w14:textId="77777777" w:rsidR="006B6845" w:rsidRPr="004E74A6" w:rsidRDefault="006B6845" w:rsidP="00CE62C1">
            <w:pPr>
              <w:spacing w:line="276" w:lineRule="auto"/>
              <w:jc w:val="center"/>
              <w:rPr>
                <w:rFonts w:cs="Calibri"/>
                <w:color w:val="000000"/>
                <w:sz w:val="20"/>
                <w:lang w:eastAsia="es-CR"/>
              </w:rPr>
            </w:pPr>
            <w:r w:rsidRPr="004E74A6">
              <w:rPr>
                <w:rFonts w:cs="Calibri"/>
                <w:color w:val="000000"/>
                <w:sz w:val="20"/>
                <w:lang w:eastAsia="es-CR"/>
              </w:rPr>
              <w:t>1</w:t>
            </w:r>
          </w:p>
        </w:tc>
        <w:tc>
          <w:tcPr>
            <w:tcW w:w="445" w:type="pct"/>
            <w:tcBorders>
              <w:top w:val="nil"/>
              <w:left w:val="single" w:sz="4" w:space="0" w:color="auto"/>
              <w:bottom w:val="nil"/>
              <w:right w:val="single" w:sz="4" w:space="0" w:color="auto"/>
            </w:tcBorders>
            <w:shd w:val="clear" w:color="auto" w:fill="auto"/>
            <w:noWrap/>
            <w:vAlign w:val="center"/>
            <w:hideMark/>
          </w:tcPr>
          <w:p w14:paraId="5C776CA3" w14:textId="05F6D94C" w:rsidR="006B6845" w:rsidRPr="004E74A6" w:rsidRDefault="00D31732" w:rsidP="00CE62C1">
            <w:pPr>
              <w:spacing w:line="276" w:lineRule="auto"/>
              <w:jc w:val="center"/>
              <w:rPr>
                <w:rFonts w:cs="Calibri"/>
                <w:color w:val="000000"/>
                <w:sz w:val="20"/>
                <w:lang w:eastAsia="es-CR"/>
              </w:rPr>
            </w:pPr>
            <w:r w:rsidRPr="004E74A6">
              <w:rPr>
                <w:rFonts w:cs="Calibri"/>
                <w:color w:val="000000"/>
                <w:sz w:val="20"/>
                <w:lang w:eastAsia="es-CR"/>
              </w:rPr>
              <w:t>0</w:t>
            </w:r>
          </w:p>
        </w:tc>
        <w:tc>
          <w:tcPr>
            <w:tcW w:w="444" w:type="pct"/>
            <w:tcBorders>
              <w:top w:val="nil"/>
              <w:left w:val="single" w:sz="4" w:space="0" w:color="auto"/>
              <w:bottom w:val="nil"/>
              <w:right w:val="single" w:sz="4" w:space="0" w:color="auto"/>
            </w:tcBorders>
            <w:shd w:val="clear" w:color="auto" w:fill="auto"/>
            <w:noWrap/>
            <w:vAlign w:val="center"/>
            <w:hideMark/>
          </w:tcPr>
          <w:p w14:paraId="6C8F9915" w14:textId="3B1AFBEE" w:rsidR="006B6845" w:rsidRPr="004E74A6" w:rsidRDefault="00D31732" w:rsidP="00CE62C1">
            <w:pPr>
              <w:spacing w:line="276" w:lineRule="auto"/>
              <w:jc w:val="center"/>
              <w:rPr>
                <w:sz w:val="20"/>
                <w:lang w:eastAsia="es-CR"/>
              </w:rPr>
            </w:pPr>
            <w:r w:rsidRPr="004E74A6">
              <w:rPr>
                <w:sz w:val="20"/>
                <w:lang w:eastAsia="es-CR"/>
              </w:rPr>
              <w:t>0</w:t>
            </w:r>
          </w:p>
        </w:tc>
        <w:tc>
          <w:tcPr>
            <w:tcW w:w="594" w:type="pct"/>
            <w:tcBorders>
              <w:top w:val="nil"/>
              <w:left w:val="single" w:sz="4" w:space="0" w:color="auto"/>
              <w:bottom w:val="nil"/>
              <w:right w:val="nil"/>
            </w:tcBorders>
            <w:shd w:val="clear" w:color="auto" w:fill="auto"/>
            <w:noWrap/>
            <w:vAlign w:val="center"/>
            <w:hideMark/>
          </w:tcPr>
          <w:p w14:paraId="5BF09BBC" w14:textId="7795BCB2" w:rsidR="006B6845" w:rsidRPr="004E74A6" w:rsidRDefault="00D31732" w:rsidP="00CE62C1">
            <w:pPr>
              <w:spacing w:line="276" w:lineRule="auto"/>
              <w:jc w:val="center"/>
              <w:rPr>
                <w:rFonts w:cs="Calibri"/>
                <w:color w:val="000000"/>
                <w:sz w:val="20"/>
                <w:lang w:eastAsia="es-CR"/>
              </w:rPr>
            </w:pPr>
            <w:r w:rsidRPr="004E74A6">
              <w:rPr>
                <w:rFonts w:cs="Calibri"/>
                <w:color w:val="000000"/>
                <w:sz w:val="20"/>
              </w:rPr>
              <w:t>0,3</w:t>
            </w:r>
          </w:p>
        </w:tc>
      </w:tr>
      <w:tr w:rsidR="006B6845" w:rsidRPr="004E74A6" w14:paraId="076DE8F2" w14:textId="77777777" w:rsidTr="00D31732">
        <w:trPr>
          <w:trHeight w:val="288"/>
          <w:jc w:val="center"/>
        </w:trPr>
        <w:tc>
          <w:tcPr>
            <w:tcW w:w="3072" w:type="pct"/>
            <w:tcBorders>
              <w:top w:val="nil"/>
              <w:left w:val="nil"/>
              <w:bottom w:val="nil"/>
              <w:right w:val="single" w:sz="4" w:space="0" w:color="auto"/>
            </w:tcBorders>
            <w:shd w:val="clear" w:color="auto" w:fill="C5E0B3" w:themeFill="accent6" w:themeFillTint="66"/>
            <w:noWrap/>
            <w:vAlign w:val="bottom"/>
            <w:hideMark/>
          </w:tcPr>
          <w:p w14:paraId="098BD67E" w14:textId="77777777" w:rsidR="006B6845" w:rsidRPr="004E74A6" w:rsidRDefault="006B6845" w:rsidP="00CE62C1">
            <w:pPr>
              <w:spacing w:line="276" w:lineRule="auto"/>
              <w:ind w:firstLineChars="200" w:firstLine="400"/>
              <w:jc w:val="left"/>
              <w:rPr>
                <w:rFonts w:cs="Calibri"/>
                <w:color w:val="000000"/>
                <w:sz w:val="20"/>
                <w:lang w:eastAsia="es-CR"/>
              </w:rPr>
            </w:pPr>
            <w:r w:rsidRPr="004E74A6">
              <w:rPr>
                <w:rFonts w:cs="Calibri"/>
                <w:color w:val="000000"/>
                <w:sz w:val="20"/>
                <w:lang w:eastAsia="es-CR"/>
              </w:rPr>
              <w:t>Ordinario</w:t>
            </w:r>
          </w:p>
        </w:tc>
        <w:tc>
          <w:tcPr>
            <w:tcW w:w="445" w:type="pct"/>
            <w:tcBorders>
              <w:top w:val="nil"/>
              <w:left w:val="single" w:sz="4" w:space="0" w:color="auto"/>
              <w:bottom w:val="nil"/>
              <w:right w:val="single" w:sz="4" w:space="0" w:color="auto"/>
            </w:tcBorders>
            <w:shd w:val="clear" w:color="auto" w:fill="C5E0B3" w:themeFill="accent6" w:themeFillTint="66"/>
            <w:noWrap/>
            <w:vAlign w:val="center"/>
            <w:hideMark/>
          </w:tcPr>
          <w:p w14:paraId="54B0459C" w14:textId="77777777" w:rsidR="006B6845" w:rsidRPr="004E74A6" w:rsidRDefault="006B6845" w:rsidP="00CE62C1">
            <w:pPr>
              <w:spacing w:line="276" w:lineRule="auto"/>
              <w:jc w:val="center"/>
              <w:rPr>
                <w:rFonts w:cs="Calibri"/>
                <w:color w:val="000000"/>
                <w:sz w:val="20"/>
                <w:lang w:eastAsia="es-CR"/>
              </w:rPr>
            </w:pPr>
            <w:r w:rsidRPr="004E74A6">
              <w:rPr>
                <w:rFonts w:cs="Calibri"/>
                <w:color w:val="000000"/>
                <w:sz w:val="20"/>
                <w:lang w:eastAsia="es-CR"/>
              </w:rPr>
              <w:t>195</w:t>
            </w:r>
          </w:p>
        </w:tc>
        <w:tc>
          <w:tcPr>
            <w:tcW w:w="445" w:type="pct"/>
            <w:tcBorders>
              <w:top w:val="nil"/>
              <w:left w:val="single" w:sz="4" w:space="0" w:color="auto"/>
              <w:bottom w:val="nil"/>
              <w:right w:val="single" w:sz="4" w:space="0" w:color="auto"/>
            </w:tcBorders>
            <w:shd w:val="clear" w:color="auto" w:fill="C5E0B3" w:themeFill="accent6" w:themeFillTint="66"/>
            <w:noWrap/>
            <w:vAlign w:val="center"/>
            <w:hideMark/>
          </w:tcPr>
          <w:p w14:paraId="096B6776" w14:textId="21857593" w:rsidR="006B6845" w:rsidRPr="004E74A6" w:rsidRDefault="006B6845" w:rsidP="00CE62C1">
            <w:pPr>
              <w:spacing w:line="276" w:lineRule="auto"/>
              <w:jc w:val="center"/>
              <w:rPr>
                <w:rFonts w:cs="Calibri"/>
                <w:color w:val="000000"/>
                <w:sz w:val="20"/>
                <w:lang w:eastAsia="es-CR"/>
              </w:rPr>
            </w:pPr>
            <w:r w:rsidRPr="004E74A6">
              <w:rPr>
                <w:rFonts w:cs="Calibri"/>
                <w:color w:val="000000"/>
                <w:sz w:val="20"/>
                <w:lang w:eastAsia="es-CR"/>
              </w:rPr>
              <w:t>13</w:t>
            </w:r>
            <w:r w:rsidR="00D31732" w:rsidRPr="004E74A6">
              <w:rPr>
                <w:rFonts w:cs="Calibri"/>
                <w:color w:val="000000"/>
                <w:sz w:val="20"/>
                <w:lang w:eastAsia="es-CR"/>
              </w:rPr>
              <w:t>2</w:t>
            </w:r>
          </w:p>
        </w:tc>
        <w:tc>
          <w:tcPr>
            <w:tcW w:w="444" w:type="pct"/>
            <w:tcBorders>
              <w:top w:val="nil"/>
              <w:left w:val="single" w:sz="4" w:space="0" w:color="auto"/>
              <w:bottom w:val="nil"/>
              <w:right w:val="single" w:sz="4" w:space="0" w:color="auto"/>
            </w:tcBorders>
            <w:shd w:val="clear" w:color="auto" w:fill="C5E0B3" w:themeFill="accent6" w:themeFillTint="66"/>
            <w:noWrap/>
            <w:vAlign w:val="center"/>
            <w:hideMark/>
          </w:tcPr>
          <w:p w14:paraId="786CE205" w14:textId="43836D8C" w:rsidR="006B6845" w:rsidRPr="004E74A6" w:rsidRDefault="006B6845" w:rsidP="00CE62C1">
            <w:pPr>
              <w:spacing w:line="276" w:lineRule="auto"/>
              <w:jc w:val="center"/>
              <w:rPr>
                <w:rFonts w:cs="Calibri"/>
                <w:color w:val="000000"/>
                <w:sz w:val="20"/>
                <w:lang w:eastAsia="es-CR"/>
              </w:rPr>
            </w:pPr>
            <w:r w:rsidRPr="004E74A6">
              <w:rPr>
                <w:rFonts w:cs="Calibri"/>
                <w:color w:val="000000"/>
                <w:sz w:val="20"/>
                <w:lang w:eastAsia="es-CR"/>
              </w:rPr>
              <w:t>14</w:t>
            </w:r>
            <w:r w:rsidR="00D31732" w:rsidRPr="004E74A6">
              <w:rPr>
                <w:rFonts w:cs="Calibri"/>
                <w:color w:val="000000"/>
                <w:sz w:val="20"/>
                <w:lang w:eastAsia="es-CR"/>
              </w:rPr>
              <w:t>8</w:t>
            </w:r>
          </w:p>
        </w:tc>
        <w:tc>
          <w:tcPr>
            <w:tcW w:w="594" w:type="pct"/>
            <w:tcBorders>
              <w:top w:val="nil"/>
              <w:left w:val="single" w:sz="4" w:space="0" w:color="auto"/>
              <w:bottom w:val="nil"/>
              <w:right w:val="nil"/>
            </w:tcBorders>
            <w:shd w:val="clear" w:color="auto" w:fill="C5E0B3" w:themeFill="accent6" w:themeFillTint="66"/>
            <w:noWrap/>
            <w:vAlign w:val="center"/>
            <w:hideMark/>
          </w:tcPr>
          <w:p w14:paraId="0427D6F3" w14:textId="585F8007" w:rsidR="006B6845" w:rsidRPr="004E74A6" w:rsidRDefault="006B6845" w:rsidP="00CE62C1">
            <w:pPr>
              <w:spacing w:line="276" w:lineRule="auto"/>
              <w:jc w:val="center"/>
              <w:rPr>
                <w:rFonts w:cs="Calibri"/>
                <w:color w:val="000000"/>
                <w:sz w:val="20"/>
                <w:lang w:eastAsia="es-CR"/>
              </w:rPr>
            </w:pPr>
            <w:r w:rsidRPr="004E74A6">
              <w:rPr>
                <w:rFonts w:cs="Calibri"/>
                <w:color w:val="000000"/>
                <w:sz w:val="20"/>
              </w:rPr>
              <w:t>15</w:t>
            </w:r>
            <w:r w:rsidR="00D31732" w:rsidRPr="004E74A6">
              <w:rPr>
                <w:rFonts w:cs="Calibri"/>
                <w:color w:val="000000"/>
                <w:sz w:val="20"/>
              </w:rPr>
              <w:t>8</w:t>
            </w:r>
          </w:p>
        </w:tc>
      </w:tr>
      <w:tr w:rsidR="006B6845" w:rsidRPr="004E74A6" w14:paraId="28231405" w14:textId="77777777" w:rsidTr="00D31732">
        <w:trPr>
          <w:trHeight w:val="288"/>
          <w:jc w:val="center"/>
        </w:trPr>
        <w:tc>
          <w:tcPr>
            <w:tcW w:w="3072" w:type="pct"/>
            <w:tcBorders>
              <w:top w:val="nil"/>
              <w:left w:val="nil"/>
              <w:bottom w:val="nil"/>
              <w:right w:val="single" w:sz="4" w:space="0" w:color="auto"/>
            </w:tcBorders>
            <w:shd w:val="clear" w:color="auto" w:fill="auto"/>
            <w:noWrap/>
            <w:vAlign w:val="bottom"/>
            <w:hideMark/>
          </w:tcPr>
          <w:p w14:paraId="410AA5B4" w14:textId="77777777" w:rsidR="006B6845" w:rsidRPr="004E74A6" w:rsidRDefault="006B6845" w:rsidP="00CE62C1">
            <w:pPr>
              <w:spacing w:line="276" w:lineRule="auto"/>
              <w:ind w:firstLineChars="200" w:firstLine="400"/>
              <w:jc w:val="left"/>
              <w:rPr>
                <w:rFonts w:cs="Calibri"/>
                <w:color w:val="000000"/>
                <w:sz w:val="20"/>
                <w:lang w:eastAsia="es-CR"/>
              </w:rPr>
            </w:pPr>
            <w:r w:rsidRPr="004E74A6">
              <w:rPr>
                <w:rFonts w:cs="Calibri"/>
                <w:color w:val="000000"/>
                <w:sz w:val="20"/>
                <w:lang w:eastAsia="es-CR"/>
              </w:rPr>
              <w:t>Otras Jurisdicciones</w:t>
            </w:r>
          </w:p>
        </w:tc>
        <w:tc>
          <w:tcPr>
            <w:tcW w:w="445" w:type="pct"/>
            <w:tcBorders>
              <w:top w:val="nil"/>
              <w:left w:val="single" w:sz="4" w:space="0" w:color="auto"/>
              <w:bottom w:val="nil"/>
              <w:right w:val="single" w:sz="4" w:space="0" w:color="auto"/>
            </w:tcBorders>
            <w:shd w:val="clear" w:color="auto" w:fill="auto"/>
            <w:noWrap/>
            <w:vAlign w:val="center"/>
            <w:hideMark/>
          </w:tcPr>
          <w:p w14:paraId="5083CD38" w14:textId="77777777" w:rsidR="006B6845" w:rsidRPr="004E74A6" w:rsidRDefault="006B6845" w:rsidP="00CE62C1">
            <w:pPr>
              <w:spacing w:line="276" w:lineRule="auto"/>
              <w:jc w:val="center"/>
              <w:rPr>
                <w:rFonts w:cs="Calibri"/>
                <w:color w:val="000000"/>
                <w:sz w:val="20"/>
                <w:lang w:eastAsia="es-CR"/>
              </w:rPr>
            </w:pPr>
            <w:r w:rsidRPr="004E74A6">
              <w:rPr>
                <w:rFonts w:cs="Calibri"/>
                <w:color w:val="000000"/>
                <w:sz w:val="20"/>
                <w:lang w:eastAsia="es-CR"/>
              </w:rPr>
              <w:t>1</w:t>
            </w:r>
          </w:p>
        </w:tc>
        <w:tc>
          <w:tcPr>
            <w:tcW w:w="445" w:type="pct"/>
            <w:tcBorders>
              <w:top w:val="nil"/>
              <w:left w:val="single" w:sz="4" w:space="0" w:color="auto"/>
              <w:bottom w:val="nil"/>
              <w:right w:val="single" w:sz="4" w:space="0" w:color="auto"/>
            </w:tcBorders>
            <w:shd w:val="clear" w:color="auto" w:fill="auto"/>
            <w:noWrap/>
            <w:vAlign w:val="center"/>
            <w:hideMark/>
          </w:tcPr>
          <w:p w14:paraId="6B64CD96" w14:textId="153FA870" w:rsidR="006B6845" w:rsidRPr="004E74A6" w:rsidRDefault="00D31732" w:rsidP="00CE62C1">
            <w:pPr>
              <w:spacing w:line="276" w:lineRule="auto"/>
              <w:jc w:val="center"/>
              <w:rPr>
                <w:rFonts w:cs="Calibri"/>
                <w:color w:val="000000"/>
                <w:sz w:val="20"/>
                <w:lang w:eastAsia="es-CR"/>
              </w:rPr>
            </w:pPr>
            <w:r w:rsidRPr="004E74A6">
              <w:rPr>
                <w:rFonts w:cs="Calibri"/>
                <w:color w:val="000000"/>
                <w:sz w:val="20"/>
                <w:lang w:eastAsia="es-CR"/>
              </w:rPr>
              <w:t>0</w:t>
            </w:r>
          </w:p>
        </w:tc>
        <w:tc>
          <w:tcPr>
            <w:tcW w:w="444" w:type="pct"/>
            <w:tcBorders>
              <w:top w:val="nil"/>
              <w:left w:val="single" w:sz="4" w:space="0" w:color="auto"/>
              <w:bottom w:val="nil"/>
              <w:right w:val="single" w:sz="4" w:space="0" w:color="auto"/>
            </w:tcBorders>
            <w:shd w:val="clear" w:color="auto" w:fill="auto"/>
            <w:noWrap/>
            <w:vAlign w:val="center"/>
            <w:hideMark/>
          </w:tcPr>
          <w:p w14:paraId="152FD115" w14:textId="462D9566" w:rsidR="006B6845" w:rsidRPr="004E74A6" w:rsidRDefault="00D31732" w:rsidP="00CE62C1">
            <w:pPr>
              <w:spacing w:line="276" w:lineRule="auto"/>
              <w:jc w:val="center"/>
              <w:rPr>
                <w:sz w:val="20"/>
                <w:lang w:eastAsia="es-CR"/>
              </w:rPr>
            </w:pPr>
            <w:r w:rsidRPr="004E74A6">
              <w:rPr>
                <w:sz w:val="20"/>
                <w:lang w:eastAsia="es-CR"/>
              </w:rPr>
              <w:t>0</w:t>
            </w:r>
          </w:p>
        </w:tc>
        <w:tc>
          <w:tcPr>
            <w:tcW w:w="594" w:type="pct"/>
            <w:tcBorders>
              <w:top w:val="nil"/>
              <w:left w:val="single" w:sz="4" w:space="0" w:color="auto"/>
              <w:bottom w:val="nil"/>
              <w:right w:val="nil"/>
            </w:tcBorders>
            <w:shd w:val="clear" w:color="auto" w:fill="auto"/>
            <w:noWrap/>
            <w:vAlign w:val="center"/>
            <w:hideMark/>
          </w:tcPr>
          <w:p w14:paraId="6674C128" w14:textId="333269E9" w:rsidR="006B6845" w:rsidRPr="004E74A6" w:rsidRDefault="00D31732" w:rsidP="00CE62C1">
            <w:pPr>
              <w:spacing w:line="276" w:lineRule="auto"/>
              <w:jc w:val="center"/>
              <w:rPr>
                <w:rFonts w:cs="Calibri"/>
                <w:color w:val="000000"/>
                <w:sz w:val="20"/>
                <w:lang w:eastAsia="es-CR"/>
              </w:rPr>
            </w:pPr>
            <w:r w:rsidRPr="004E74A6">
              <w:rPr>
                <w:rFonts w:cs="Calibri"/>
                <w:color w:val="000000"/>
                <w:sz w:val="20"/>
              </w:rPr>
              <w:t>0,3</w:t>
            </w:r>
          </w:p>
        </w:tc>
      </w:tr>
      <w:tr w:rsidR="006B6845" w:rsidRPr="004E74A6" w14:paraId="511C2DB2" w14:textId="77777777" w:rsidTr="00D31732">
        <w:trPr>
          <w:trHeight w:val="288"/>
          <w:jc w:val="center"/>
        </w:trPr>
        <w:tc>
          <w:tcPr>
            <w:tcW w:w="3072" w:type="pct"/>
            <w:tcBorders>
              <w:top w:val="nil"/>
              <w:left w:val="nil"/>
              <w:bottom w:val="nil"/>
              <w:right w:val="single" w:sz="4" w:space="0" w:color="auto"/>
            </w:tcBorders>
            <w:shd w:val="clear" w:color="auto" w:fill="auto"/>
            <w:noWrap/>
            <w:vAlign w:val="bottom"/>
            <w:hideMark/>
          </w:tcPr>
          <w:p w14:paraId="64C3BA4A" w14:textId="77777777" w:rsidR="006B6845" w:rsidRPr="004E74A6" w:rsidRDefault="006B6845" w:rsidP="00CE62C1">
            <w:pPr>
              <w:spacing w:line="276" w:lineRule="auto"/>
              <w:ind w:firstLineChars="200" w:firstLine="400"/>
              <w:jc w:val="left"/>
              <w:rPr>
                <w:rFonts w:cs="Calibri"/>
                <w:color w:val="000000"/>
                <w:sz w:val="20"/>
                <w:lang w:eastAsia="es-CR"/>
              </w:rPr>
            </w:pPr>
            <w:r w:rsidRPr="004E74A6">
              <w:rPr>
                <w:rFonts w:cs="Calibri"/>
                <w:color w:val="000000"/>
                <w:sz w:val="20"/>
                <w:lang w:eastAsia="es-CR"/>
              </w:rPr>
              <w:t>Sucesorio</w:t>
            </w:r>
          </w:p>
        </w:tc>
        <w:tc>
          <w:tcPr>
            <w:tcW w:w="445" w:type="pct"/>
            <w:tcBorders>
              <w:top w:val="nil"/>
              <w:left w:val="single" w:sz="4" w:space="0" w:color="auto"/>
              <w:bottom w:val="nil"/>
              <w:right w:val="single" w:sz="4" w:space="0" w:color="auto"/>
            </w:tcBorders>
            <w:shd w:val="clear" w:color="auto" w:fill="auto"/>
            <w:noWrap/>
            <w:vAlign w:val="center"/>
            <w:hideMark/>
          </w:tcPr>
          <w:p w14:paraId="43CE84BF" w14:textId="0ABD76B5" w:rsidR="006B6845" w:rsidRPr="004E74A6" w:rsidRDefault="00D31732" w:rsidP="00CE62C1">
            <w:pPr>
              <w:spacing w:line="276" w:lineRule="auto"/>
              <w:jc w:val="center"/>
              <w:rPr>
                <w:sz w:val="20"/>
                <w:lang w:eastAsia="es-CR"/>
              </w:rPr>
            </w:pPr>
            <w:r w:rsidRPr="004E74A6">
              <w:rPr>
                <w:sz w:val="20"/>
                <w:lang w:eastAsia="es-CR"/>
              </w:rPr>
              <w:t>0</w:t>
            </w:r>
          </w:p>
        </w:tc>
        <w:tc>
          <w:tcPr>
            <w:tcW w:w="445" w:type="pct"/>
            <w:tcBorders>
              <w:top w:val="nil"/>
              <w:left w:val="single" w:sz="4" w:space="0" w:color="auto"/>
              <w:bottom w:val="nil"/>
              <w:right w:val="single" w:sz="4" w:space="0" w:color="auto"/>
            </w:tcBorders>
            <w:shd w:val="clear" w:color="auto" w:fill="auto"/>
            <w:noWrap/>
            <w:vAlign w:val="center"/>
            <w:hideMark/>
          </w:tcPr>
          <w:p w14:paraId="64C76163" w14:textId="5DC9332F" w:rsidR="006B6845" w:rsidRPr="004E74A6" w:rsidRDefault="00D31732" w:rsidP="00CE62C1">
            <w:pPr>
              <w:spacing w:line="276" w:lineRule="auto"/>
              <w:jc w:val="center"/>
              <w:rPr>
                <w:sz w:val="20"/>
                <w:lang w:eastAsia="es-CR"/>
              </w:rPr>
            </w:pPr>
            <w:r w:rsidRPr="004E74A6">
              <w:rPr>
                <w:sz w:val="20"/>
                <w:lang w:eastAsia="es-CR"/>
              </w:rPr>
              <w:t>0</w:t>
            </w:r>
          </w:p>
        </w:tc>
        <w:tc>
          <w:tcPr>
            <w:tcW w:w="444" w:type="pct"/>
            <w:tcBorders>
              <w:top w:val="nil"/>
              <w:left w:val="single" w:sz="4" w:space="0" w:color="auto"/>
              <w:bottom w:val="nil"/>
              <w:right w:val="single" w:sz="4" w:space="0" w:color="auto"/>
            </w:tcBorders>
            <w:shd w:val="clear" w:color="auto" w:fill="auto"/>
            <w:noWrap/>
            <w:vAlign w:val="center"/>
            <w:hideMark/>
          </w:tcPr>
          <w:p w14:paraId="4FEFF02D" w14:textId="77777777" w:rsidR="006B6845" w:rsidRPr="004E74A6" w:rsidRDefault="006B6845" w:rsidP="00CE62C1">
            <w:pPr>
              <w:spacing w:line="276" w:lineRule="auto"/>
              <w:jc w:val="center"/>
              <w:rPr>
                <w:rFonts w:cs="Calibri"/>
                <w:color w:val="000000"/>
                <w:sz w:val="20"/>
                <w:lang w:eastAsia="es-CR"/>
              </w:rPr>
            </w:pPr>
            <w:r w:rsidRPr="004E74A6">
              <w:rPr>
                <w:rFonts w:cs="Calibri"/>
                <w:color w:val="000000"/>
                <w:sz w:val="20"/>
                <w:lang w:eastAsia="es-CR"/>
              </w:rPr>
              <w:t>1</w:t>
            </w:r>
          </w:p>
        </w:tc>
        <w:tc>
          <w:tcPr>
            <w:tcW w:w="594" w:type="pct"/>
            <w:tcBorders>
              <w:top w:val="nil"/>
              <w:left w:val="single" w:sz="4" w:space="0" w:color="auto"/>
              <w:bottom w:val="nil"/>
              <w:right w:val="nil"/>
            </w:tcBorders>
            <w:shd w:val="clear" w:color="auto" w:fill="auto"/>
            <w:noWrap/>
            <w:vAlign w:val="center"/>
            <w:hideMark/>
          </w:tcPr>
          <w:p w14:paraId="42DDC6B0" w14:textId="286EC413" w:rsidR="006B6845" w:rsidRPr="004E74A6" w:rsidRDefault="00D31732" w:rsidP="00CE62C1">
            <w:pPr>
              <w:spacing w:line="276" w:lineRule="auto"/>
              <w:jc w:val="center"/>
              <w:rPr>
                <w:rFonts w:cs="Calibri"/>
                <w:color w:val="000000"/>
                <w:sz w:val="20"/>
                <w:lang w:eastAsia="es-CR"/>
              </w:rPr>
            </w:pPr>
            <w:r w:rsidRPr="004E74A6">
              <w:rPr>
                <w:rFonts w:cs="Calibri"/>
                <w:color w:val="000000"/>
                <w:sz w:val="20"/>
              </w:rPr>
              <w:t>0,3</w:t>
            </w:r>
          </w:p>
        </w:tc>
      </w:tr>
      <w:tr w:rsidR="006B6845" w:rsidRPr="004E74A6" w14:paraId="31AEE6E2" w14:textId="77777777" w:rsidTr="00D31732">
        <w:trPr>
          <w:trHeight w:val="288"/>
          <w:jc w:val="center"/>
        </w:trPr>
        <w:tc>
          <w:tcPr>
            <w:tcW w:w="3072" w:type="pct"/>
            <w:tcBorders>
              <w:top w:val="nil"/>
              <w:left w:val="nil"/>
              <w:bottom w:val="nil"/>
              <w:right w:val="single" w:sz="4" w:space="0" w:color="auto"/>
            </w:tcBorders>
            <w:shd w:val="clear" w:color="auto" w:fill="auto"/>
            <w:noWrap/>
            <w:vAlign w:val="bottom"/>
            <w:hideMark/>
          </w:tcPr>
          <w:p w14:paraId="4111E4C0" w14:textId="77777777" w:rsidR="006B6845" w:rsidRPr="004E74A6" w:rsidRDefault="006B6845" w:rsidP="00CE62C1">
            <w:pPr>
              <w:spacing w:line="276" w:lineRule="auto"/>
              <w:ind w:firstLineChars="200" w:firstLine="400"/>
              <w:jc w:val="left"/>
              <w:rPr>
                <w:rFonts w:cs="Calibri"/>
                <w:color w:val="000000"/>
                <w:sz w:val="20"/>
                <w:lang w:eastAsia="es-CR"/>
              </w:rPr>
            </w:pPr>
            <w:r w:rsidRPr="004E74A6">
              <w:rPr>
                <w:rFonts w:cs="Calibri"/>
                <w:color w:val="000000"/>
                <w:sz w:val="20"/>
                <w:lang w:eastAsia="es-CR"/>
              </w:rPr>
              <w:t>Sumario De Cobro De Obligación Dineraria No Monitoria</w:t>
            </w:r>
          </w:p>
        </w:tc>
        <w:tc>
          <w:tcPr>
            <w:tcW w:w="445" w:type="pct"/>
            <w:tcBorders>
              <w:top w:val="nil"/>
              <w:left w:val="single" w:sz="4" w:space="0" w:color="auto"/>
              <w:bottom w:val="nil"/>
              <w:right w:val="single" w:sz="4" w:space="0" w:color="auto"/>
            </w:tcBorders>
            <w:shd w:val="clear" w:color="auto" w:fill="auto"/>
            <w:noWrap/>
            <w:vAlign w:val="center"/>
            <w:hideMark/>
          </w:tcPr>
          <w:p w14:paraId="6681607B" w14:textId="77777777" w:rsidR="006B6845" w:rsidRPr="004E74A6" w:rsidRDefault="006B6845" w:rsidP="00CE62C1">
            <w:pPr>
              <w:spacing w:line="276" w:lineRule="auto"/>
              <w:jc w:val="center"/>
              <w:rPr>
                <w:rFonts w:cs="Calibri"/>
                <w:color w:val="000000"/>
                <w:sz w:val="20"/>
                <w:lang w:eastAsia="es-CR"/>
              </w:rPr>
            </w:pPr>
            <w:r w:rsidRPr="004E74A6">
              <w:rPr>
                <w:rFonts w:cs="Calibri"/>
                <w:color w:val="000000"/>
                <w:sz w:val="20"/>
                <w:lang w:eastAsia="es-CR"/>
              </w:rPr>
              <w:t>3</w:t>
            </w:r>
          </w:p>
        </w:tc>
        <w:tc>
          <w:tcPr>
            <w:tcW w:w="445" w:type="pct"/>
            <w:tcBorders>
              <w:top w:val="nil"/>
              <w:left w:val="single" w:sz="4" w:space="0" w:color="auto"/>
              <w:bottom w:val="nil"/>
              <w:right w:val="single" w:sz="4" w:space="0" w:color="auto"/>
            </w:tcBorders>
            <w:shd w:val="clear" w:color="auto" w:fill="auto"/>
            <w:noWrap/>
            <w:vAlign w:val="center"/>
            <w:hideMark/>
          </w:tcPr>
          <w:p w14:paraId="0C5F3A82" w14:textId="77777777" w:rsidR="006B6845" w:rsidRPr="004E74A6" w:rsidRDefault="006B6845" w:rsidP="00CE62C1">
            <w:pPr>
              <w:spacing w:line="276" w:lineRule="auto"/>
              <w:jc w:val="center"/>
              <w:rPr>
                <w:rFonts w:cs="Calibri"/>
                <w:color w:val="000000"/>
                <w:sz w:val="20"/>
                <w:lang w:eastAsia="es-CR"/>
              </w:rPr>
            </w:pPr>
            <w:r w:rsidRPr="004E74A6">
              <w:rPr>
                <w:rFonts w:cs="Calibri"/>
                <w:color w:val="000000"/>
                <w:sz w:val="20"/>
                <w:lang w:eastAsia="es-CR"/>
              </w:rPr>
              <w:t>2</w:t>
            </w:r>
          </w:p>
        </w:tc>
        <w:tc>
          <w:tcPr>
            <w:tcW w:w="444" w:type="pct"/>
            <w:tcBorders>
              <w:top w:val="nil"/>
              <w:left w:val="single" w:sz="4" w:space="0" w:color="auto"/>
              <w:bottom w:val="nil"/>
              <w:right w:val="single" w:sz="4" w:space="0" w:color="auto"/>
            </w:tcBorders>
            <w:shd w:val="clear" w:color="auto" w:fill="auto"/>
            <w:noWrap/>
            <w:vAlign w:val="center"/>
            <w:hideMark/>
          </w:tcPr>
          <w:p w14:paraId="3C544F50" w14:textId="217FAF0F" w:rsidR="006B6845" w:rsidRPr="004E74A6" w:rsidRDefault="00D31732" w:rsidP="00CE62C1">
            <w:pPr>
              <w:spacing w:line="276" w:lineRule="auto"/>
              <w:jc w:val="center"/>
              <w:rPr>
                <w:rFonts w:cs="Calibri"/>
                <w:color w:val="000000"/>
                <w:sz w:val="20"/>
                <w:lang w:eastAsia="es-CR"/>
              </w:rPr>
            </w:pPr>
            <w:r w:rsidRPr="004E74A6">
              <w:rPr>
                <w:rFonts w:cs="Calibri"/>
                <w:color w:val="000000"/>
                <w:sz w:val="20"/>
                <w:lang w:eastAsia="es-CR"/>
              </w:rPr>
              <w:t>0</w:t>
            </w:r>
          </w:p>
        </w:tc>
        <w:tc>
          <w:tcPr>
            <w:tcW w:w="594" w:type="pct"/>
            <w:tcBorders>
              <w:top w:val="nil"/>
              <w:left w:val="single" w:sz="4" w:space="0" w:color="auto"/>
              <w:bottom w:val="nil"/>
              <w:right w:val="nil"/>
            </w:tcBorders>
            <w:shd w:val="clear" w:color="auto" w:fill="auto"/>
            <w:noWrap/>
            <w:vAlign w:val="center"/>
            <w:hideMark/>
          </w:tcPr>
          <w:p w14:paraId="097391D9" w14:textId="33318A6C" w:rsidR="006B6845" w:rsidRPr="004E74A6" w:rsidRDefault="00D31732" w:rsidP="00CE62C1">
            <w:pPr>
              <w:spacing w:line="276" w:lineRule="auto"/>
              <w:jc w:val="center"/>
              <w:rPr>
                <w:rFonts w:cs="Calibri"/>
                <w:color w:val="000000"/>
                <w:sz w:val="20"/>
                <w:lang w:eastAsia="es-CR"/>
              </w:rPr>
            </w:pPr>
            <w:r w:rsidRPr="004E74A6">
              <w:rPr>
                <w:rFonts w:cs="Calibri"/>
                <w:color w:val="000000"/>
                <w:sz w:val="20"/>
              </w:rPr>
              <w:t>1,7</w:t>
            </w:r>
          </w:p>
        </w:tc>
      </w:tr>
      <w:tr w:rsidR="006B6845" w:rsidRPr="004E74A6" w14:paraId="4EF66034" w14:textId="77777777" w:rsidTr="00D31732">
        <w:trPr>
          <w:trHeight w:val="288"/>
          <w:jc w:val="center"/>
        </w:trPr>
        <w:tc>
          <w:tcPr>
            <w:tcW w:w="3072" w:type="pct"/>
            <w:tcBorders>
              <w:top w:val="nil"/>
              <w:left w:val="nil"/>
              <w:bottom w:val="nil"/>
              <w:right w:val="single" w:sz="4" w:space="0" w:color="auto"/>
            </w:tcBorders>
            <w:shd w:val="clear" w:color="auto" w:fill="auto"/>
            <w:noWrap/>
            <w:vAlign w:val="bottom"/>
            <w:hideMark/>
          </w:tcPr>
          <w:p w14:paraId="1DDC36A8" w14:textId="77777777" w:rsidR="006B6845" w:rsidRPr="004E74A6" w:rsidRDefault="006B6845" w:rsidP="00CE62C1">
            <w:pPr>
              <w:spacing w:line="276" w:lineRule="auto"/>
              <w:ind w:firstLineChars="200" w:firstLine="400"/>
              <w:jc w:val="left"/>
              <w:rPr>
                <w:rFonts w:cs="Calibri"/>
                <w:color w:val="000000"/>
                <w:sz w:val="20"/>
                <w:lang w:eastAsia="es-CR"/>
              </w:rPr>
            </w:pPr>
            <w:r w:rsidRPr="004E74A6">
              <w:rPr>
                <w:rFonts w:cs="Calibri"/>
                <w:color w:val="000000"/>
                <w:sz w:val="20"/>
                <w:lang w:eastAsia="es-CR"/>
              </w:rPr>
              <w:t>Sumario De Defensa Del Consumidor</w:t>
            </w:r>
          </w:p>
        </w:tc>
        <w:tc>
          <w:tcPr>
            <w:tcW w:w="445" w:type="pct"/>
            <w:tcBorders>
              <w:top w:val="nil"/>
              <w:left w:val="single" w:sz="4" w:space="0" w:color="auto"/>
              <w:bottom w:val="nil"/>
              <w:right w:val="single" w:sz="4" w:space="0" w:color="auto"/>
            </w:tcBorders>
            <w:shd w:val="clear" w:color="auto" w:fill="auto"/>
            <w:noWrap/>
            <w:vAlign w:val="center"/>
            <w:hideMark/>
          </w:tcPr>
          <w:p w14:paraId="24299A9B" w14:textId="77777777" w:rsidR="006B6845" w:rsidRPr="004E74A6" w:rsidRDefault="006B6845" w:rsidP="00CE62C1">
            <w:pPr>
              <w:spacing w:line="276" w:lineRule="auto"/>
              <w:jc w:val="center"/>
              <w:rPr>
                <w:rFonts w:cs="Calibri"/>
                <w:color w:val="000000"/>
                <w:sz w:val="20"/>
                <w:lang w:eastAsia="es-CR"/>
              </w:rPr>
            </w:pPr>
            <w:r w:rsidRPr="004E74A6">
              <w:rPr>
                <w:rFonts w:cs="Calibri"/>
                <w:color w:val="000000"/>
                <w:sz w:val="20"/>
                <w:lang w:eastAsia="es-CR"/>
              </w:rPr>
              <w:t>2</w:t>
            </w:r>
          </w:p>
        </w:tc>
        <w:tc>
          <w:tcPr>
            <w:tcW w:w="445" w:type="pct"/>
            <w:tcBorders>
              <w:top w:val="nil"/>
              <w:left w:val="single" w:sz="4" w:space="0" w:color="auto"/>
              <w:bottom w:val="nil"/>
              <w:right w:val="single" w:sz="4" w:space="0" w:color="auto"/>
            </w:tcBorders>
            <w:shd w:val="clear" w:color="auto" w:fill="auto"/>
            <w:noWrap/>
            <w:vAlign w:val="center"/>
            <w:hideMark/>
          </w:tcPr>
          <w:p w14:paraId="6B1D0266" w14:textId="77777777" w:rsidR="006B6845" w:rsidRPr="004E74A6" w:rsidRDefault="006B6845" w:rsidP="00CE62C1">
            <w:pPr>
              <w:spacing w:line="276" w:lineRule="auto"/>
              <w:jc w:val="center"/>
              <w:rPr>
                <w:rFonts w:cs="Calibri"/>
                <w:color w:val="000000"/>
                <w:sz w:val="20"/>
                <w:lang w:eastAsia="es-CR"/>
              </w:rPr>
            </w:pPr>
            <w:r w:rsidRPr="004E74A6">
              <w:rPr>
                <w:rFonts w:cs="Calibri"/>
                <w:color w:val="000000"/>
                <w:sz w:val="20"/>
                <w:lang w:eastAsia="es-CR"/>
              </w:rPr>
              <w:t>1</w:t>
            </w:r>
          </w:p>
        </w:tc>
        <w:tc>
          <w:tcPr>
            <w:tcW w:w="444" w:type="pct"/>
            <w:tcBorders>
              <w:top w:val="nil"/>
              <w:left w:val="single" w:sz="4" w:space="0" w:color="auto"/>
              <w:bottom w:val="nil"/>
              <w:right w:val="single" w:sz="4" w:space="0" w:color="auto"/>
            </w:tcBorders>
            <w:shd w:val="clear" w:color="auto" w:fill="auto"/>
            <w:noWrap/>
            <w:vAlign w:val="center"/>
            <w:hideMark/>
          </w:tcPr>
          <w:p w14:paraId="52F1F7F1" w14:textId="77777777" w:rsidR="006B6845" w:rsidRPr="004E74A6" w:rsidRDefault="006B6845" w:rsidP="00CE62C1">
            <w:pPr>
              <w:spacing w:line="276" w:lineRule="auto"/>
              <w:jc w:val="center"/>
              <w:rPr>
                <w:rFonts w:cs="Calibri"/>
                <w:color w:val="000000"/>
                <w:sz w:val="20"/>
                <w:lang w:eastAsia="es-CR"/>
              </w:rPr>
            </w:pPr>
            <w:r w:rsidRPr="004E74A6">
              <w:rPr>
                <w:rFonts w:cs="Calibri"/>
                <w:color w:val="000000"/>
                <w:sz w:val="20"/>
                <w:lang w:eastAsia="es-CR"/>
              </w:rPr>
              <w:t>1</w:t>
            </w:r>
          </w:p>
        </w:tc>
        <w:tc>
          <w:tcPr>
            <w:tcW w:w="594" w:type="pct"/>
            <w:tcBorders>
              <w:top w:val="nil"/>
              <w:left w:val="single" w:sz="4" w:space="0" w:color="auto"/>
              <w:bottom w:val="nil"/>
              <w:right w:val="nil"/>
            </w:tcBorders>
            <w:shd w:val="clear" w:color="auto" w:fill="auto"/>
            <w:noWrap/>
            <w:vAlign w:val="center"/>
            <w:hideMark/>
          </w:tcPr>
          <w:p w14:paraId="27C1C02E" w14:textId="7A8BF9AE" w:rsidR="006B6845" w:rsidRPr="004E74A6" w:rsidRDefault="006B6845" w:rsidP="00CE62C1">
            <w:pPr>
              <w:spacing w:line="276" w:lineRule="auto"/>
              <w:jc w:val="center"/>
              <w:rPr>
                <w:rFonts w:cs="Calibri"/>
                <w:color w:val="000000"/>
                <w:sz w:val="20"/>
                <w:lang w:eastAsia="es-CR"/>
              </w:rPr>
            </w:pPr>
            <w:r w:rsidRPr="004E74A6">
              <w:rPr>
                <w:rFonts w:cs="Calibri"/>
                <w:color w:val="000000"/>
                <w:sz w:val="20"/>
              </w:rPr>
              <w:t>1</w:t>
            </w:r>
            <w:r w:rsidR="00D31732" w:rsidRPr="004E74A6">
              <w:rPr>
                <w:rFonts w:cs="Calibri"/>
                <w:color w:val="000000"/>
                <w:sz w:val="20"/>
              </w:rPr>
              <w:t>,3</w:t>
            </w:r>
          </w:p>
        </w:tc>
      </w:tr>
      <w:tr w:rsidR="006B6845" w:rsidRPr="004E74A6" w14:paraId="0C24F577" w14:textId="77777777" w:rsidTr="00D31732">
        <w:trPr>
          <w:trHeight w:val="288"/>
          <w:jc w:val="center"/>
        </w:trPr>
        <w:tc>
          <w:tcPr>
            <w:tcW w:w="3072" w:type="pct"/>
            <w:tcBorders>
              <w:top w:val="nil"/>
              <w:left w:val="nil"/>
              <w:right w:val="single" w:sz="4" w:space="0" w:color="auto"/>
            </w:tcBorders>
            <w:shd w:val="clear" w:color="auto" w:fill="auto"/>
            <w:noWrap/>
            <w:vAlign w:val="bottom"/>
            <w:hideMark/>
          </w:tcPr>
          <w:p w14:paraId="5CD58D45" w14:textId="77777777" w:rsidR="006B6845" w:rsidRPr="004E74A6" w:rsidRDefault="006B6845" w:rsidP="00CE62C1">
            <w:pPr>
              <w:spacing w:line="276" w:lineRule="auto"/>
              <w:ind w:firstLineChars="200" w:firstLine="400"/>
              <w:jc w:val="left"/>
              <w:rPr>
                <w:rFonts w:cs="Calibri"/>
                <w:color w:val="000000"/>
                <w:sz w:val="20"/>
                <w:lang w:eastAsia="es-CR"/>
              </w:rPr>
            </w:pPr>
            <w:r w:rsidRPr="004E74A6">
              <w:rPr>
                <w:rFonts w:cs="Calibri"/>
                <w:color w:val="000000"/>
                <w:sz w:val="20"/>
                <w:lang w:eastAsia="es-CR"/>
              </w:rPr>
              <w:t>Sumarios Especiales</w:t>
            </w:r>
          </w:p>
        </w:tc>
        <w:tc>
          <w:tcPr>
            <w:tcW w:w="445" w:type="pct"/>
            <w:tcBorders>
              <w:top w:val="nil"/>
              <w:left w:val="single" w:sz="4" w:space="0" w:color="auto"/>
              <w:right w:val="single" w:sz="4" w:space="0" w:color="auto"/>
            </w:tcBorders>
            <w:shd w:val="clear" w:color="auto" w:fill="auto"/>
            <w:noWrap/>
            <w:vAlign w:val="center"/>
            <w:hideMark/>
          </w:tcPr>
          <w:p w14:paraId="07997CDE" w14:textId="77777777" w:rsidR="006B6845" w:rsidRPr="004E74A6" w:rsidRDefault="006B6845" w:rsidP="00CE62C1">
            <w:pPr>
              <w:spacing w:line="276" w:lineRule="auto"/>
              <w:jc w:val="center"/>
              <w:rPr>
                <w:rFonts w:cs="Calibri"/>
                <w:color w:val="000000"/>
                <w:sz w:val="20"/>
                <w:lang w:eastAsia="es-CR"/>
              </w:rPr>
            </w:pPr>
            <w:r w:rsidRPr="004E74A6">
              <w:rPr>
                <w:rFonts w:cs="Calibri"/>
                <w:color w:val="000000"/>
                <w:sz w:val="20"/>
                <w:lang w:eastAsia="es-CR"/>
              </w:rPr>
              <w:t>1</w:t>
            </w:r>
          </w:p>
        </w:tc>
        <w:tc>
          <w:tcPr>
            <w:tcW w:w="445" w:type="pct"/>
            <w:tcBorders>
              <w:top w:val="nil"/>
              <w:left w:val="single" w:sz="4" w:space="0" w:color="auto"/>
              <w:right w:val="single" w:sz="4" w:space="0" w:color="auto"/>
            </w:tcBorders>
            <w:shd w:val="clear" w:color="auto" w:fill="auto"/>
            <w:noWrap/>
            <w:vAlign w:val="center"/>
            <w:hideMark/>
          </w:tcPr>
          <w:p w14:paraId="2657FA3C" w14:textId="3A6B99DB" w:rsidR="006B6845" w:rsidRPr="004E74A6" w:rsidRDefault="00D31732" w:rsidP="00CE62C1">
            <w:pPr>
              <w:spacing w:line="276" w:lineRule="auto"/>
              <w:jc w:val="center"/>
              <w:rPr>
                <w:rFonts w:cs="Calibri"/>
                <w:color w:val="000000"/>
                <w:sz w:val="20"/>
                <w:lang w:eastAsia="es-CR"/>
              </w:rPr>
            </w:pPr>
            <w:r w:rsidRPr="004E74A6">
              <w:rPr>
                <w:rFonts w:cs="Calibri"/>
                <w:color w:val="000000"/>
                <w:sz w:val="20"/>
                <w:lang w:eastAsia="es-CR"/>
              </w:rPr>
              <w:t>0</w:t>
            </w:r>
          </w:p>
        </w:tc>
        <w:tc>
          <w:tcPr>
            <w:tcW w:w="444" w:type="pct"/>
            <w:tcBorders>
              <w:top w:val="nil"/>
              <w:left w:val="single" w:sz="4" w:space="0" w:color="auto"/>
              <w:right w:val="single" w:sz="4" w:space="0" w:color="auto"/>
            </w:tcBorders>
            <w:shd w:val="clear" w:color="auto" w:fill="auto"/>
            <w:noWrap/>
            <w:vAlign w:val="center"/>
            <w:hideMark/>
          </w:tcPr>
          <w:p w14:paraId="1827A25F" w14:textId="77777777" w:rsidR="006B6845" w:rsidRPr="004E74A6" w:rsidRDefault="006B6845" w:rsidP="00CE62C1">
            <w:pPr>
              <w:spacing w:line="276" w:lineRule="auto"/>
              <w:jc w:val="center"/>
              <w:rPr>
                <w:rFonts w:cs="Calibri"/>
                <w:color w:val="000000"/>
                <w:sz w:val="20"/>
                <w:lang w:eastAsia="es-CR"/>
              </w:rPr>
            </w:pPr>
            <w:r w:rsidRPr="004E74A6">
              <w:rPr>
                <w:rFonts w:cs="Calibri"/>
                <w:color w:val="000000"/>
                <w:sz w:val="20"/>
                <w:lang w:eastAsia="es-CR"/>
              </w:rPr>
              <w:t>1</w:t>
            </w:r>
          </w:p>
        </w:tc>
        <w:tc>
          <w:tcPr>
            <w:tcW w:w="594" w:type="pct"/>
            <w:tcBorders>
              <w:top w:val="nil"/>
              <w:left w:val="single" w:sz="4" w:space="0" w:color="auto"/>
              <w:right w:val="nil"/>
            </w:tcBorders>
            <w:shd w:val="clear" w:color="auto" w:fill="auto"/>
            <w:noWrap/>
            <w:vAlign w:val="center"/>
            <w:hideMark/>
          </w:tcPr>
          <w:p w14:paraId="438CD06E" w14:textId="7374FA49" w:rsidR="006B6845" w:rsidRPr="004E74A6" w:rsidRDefault="00D31732" w:rsidP="00CE62C1">
            <w:pPr>
              <w:spacing w:line="276" w:lineRule="auto"/>
              <w:jc w:val="center"/>
              <w:rPr>
                <w:rFonts w:cs="Calibri"/>
                <w:color w:val="000000"/>
                <w:sz w:val="20"/>
                <w:lang w:eastAsia="es-CR"/>
              </w:rPr>
            </w:pPr>
            <w:r w:rsidRPr="004E74A6">
              <w:rPr>
                <w:rFonts w:cs="Calibri"/>
                <w:color w:val="000000"/>
                <w:sz w:val="20"/>
              </w:rPr>
              <w:t>0,7</w:t>
            </w:r>
          </w:p>
        </w:tc>
      </w:tr>
      <w:tr w:rsidR="006B6845" w:rsidRPr="004E74A6" w14:paraId="30CE67C4" w14:textId="77777777" w:rsidTr="00D31732">
        <w:trPr>
          <w:trHeight w:val="288"/>
          <w:jc w:val="center"/>
        </w:trPr>
        <w:tc>
          <w:tcPr>
            <w:tcW w:w="3072" w:type="pct"/>
            <w:tcBorders>
              <w:top w:val="nil"/>
              <w:left w:val="nil"/>
              <w:bottom w:val="single" w:sz="4" w:space="0" w:color="auto"/>
              <w:right w:val="single" w:sz="4" w:space="0" w:color="auto"/>
            </w:tcBorders>
            <w:shd w:val="clear" w:color="auto" w:fill="auto"/>
            <w:noWrap/>
            <w:vAlign w:val="bottom"/>
          </w:tcPr>
          <w:p w14:paraId="00E9801F" w14:textId="77777777" w:rsidR="008647ED" w:rsidRPr="004E74A6" w:rsidRDefault="008647ED" w:rsidP="00CE62C1">
            <w:pPr>
              <w:spacing w:line="276" w:lineRule="auto"/>
              <w:ind w:firstLineChars="200" w:firstLine="400"/>
              <w:jc w:val="left"/>
              <w:rPr>
                <w:rFonts w:cs="Calibri"/>
                <w:color w:val="000000"/>
                <w:sz w:val="20"/>
                <w:lang w:eastAsia="es-CR"/>
              </w:rPr>
            </w:pPr>
          </w:p>
        </w:tc>
        <w:tc>
          <w:tcPr>
            <w:tcW w:w="445" w:type="pct"/>
            <w:tcBorders>
              <w:top w:val="nil"/>
              <w:left w:val="single" w:sz="4" w:space="0" w:color="auto"/>
              <w:bottom w:val="single" w:sz="4" w:space="0" w:color="auto"/>
              <w:right w:val="single" w:sz="4" w:space="0" w:color="auto"/>
            </w:tcBorders>
            <w:shd w:val="clear" w:color="auto" w:fill="auto"/>
            <w:noWrap/>
            <w:vAlign w:val="center"/>
          </w:tcPr>
          <w:p w14:paraId="18E4C6FB" w14:textId="77777777" w:rsidR="008647ED" w:rsidRPr="004E74A6" w:rsidRDefault="008647ED" w:rsidP="00CE62C1">
            <w:pPr>
              <w:spacing w:line="276" w:lineRule="auto"/>
              <w:jc w:val="center"/>
              <w:rPr>
                <w:rFonts w:cs="Calibri"/>
                <w:color w:val="000000"/>
                <w:sz w:val="20"/>
                <w:lang w:eastAsia="es-CR"/>
              </w:rPr>
            </w:pPr>
          </w:p>
        </w:tc>
        <w:tc>
          <w:tcPr>
            <w:tcW w:w="445" w:type="pct"/>
            <w:tcBorders>
              <w:top w:val="nil"/>
              <w:left w:val="single" w:sz="4" w:space="0" w:color="auto"/>
              <w:bottom w:val="single" w:sz="4" w:space="0" w:color="auto"/>
              <w:right w:val="single" w:sz="4" w:space="0" w:color="auto"/>
            </w:tcBorders>
            <w:shd w:val="clear" w:color="auto" w:fill="auto"/>
            <w:noWrap/>
            <w:vAlign w:val="center"/>
          </w:tcPr>
          <w:p w14:paraId="1BB25AFC" w14:textId="77777777" w:rsidR="008647ED" w:rsidRPr="004E74A6" w:rsidRDefault="008647ED" w:rsidP="00CE62C1">
            <w:pPr>
              <w:spacing w:line="276" w:lineRule="auto"/>
              <w:jc w:val="center"/>
              <w:rPr>
                <w:rFonts w:cs="Calibri"/>
                <w:color w:val="000000"/>
                <w:sz w:val="20"/>
                <w:lang w:eastAsia="es-CR"/>
              </w:rPr>
            </w:pPr>
          </w:p>
        </w:tc>
        <w:tc>
          <w:tcPr>
            <w:tcW w:w="444" w:type="pct"/>
            <w:tcBorders>
              <w:top w:val="nil"/>
              <w:left w:val="single" w:sz="4" w:space="0" w:color="auto"/>
              <w:bottom w:val="single" w:sz="4" w:space="0" w:color="auto"/>
              <w:right w:val="single" w:sz="4" w:space="0" w:color="auto"/>
            </w:tcBorders>
            <w:shd w:val="clear" w:color="auto" w:fill="auto"/>
            <w:noWrap/>
            <w:vAlign w:val="center"/>
          </w:tcPr>
          <w:p w14:paraId="245945AF" w14:textId="77777777" w:rsidR="008647ED" w:rsidRPr="004E74A6" w:rsidRDefault="008647ED" w:rsidP="00CE62C1">
            <w:pPr>
              <w:spacing w:line="276" w:lineRule="auto"/>
              <w:jc w:val="center"/>
              <w:rPr>
                <w:rFonts w:cs="Calibri"/>
                <w:color w:val="000000"/>
                <w:sz w:val="20"/>
                <w:lang w:eastAsia="es-CR"/>
              </w:rPr>
            </w:pPr>
          </w:p>
        </w:tc>
        <w:tc>
          <w:tcPr>
            <w:tcW w:w="594" w:type="pct"/>
            <w:tcBorders>
              <w:top w:val="nil"/>
              <w:left w:val="single" w:sz="4" w:space="0" w:color="auto"/>
              <w:bottom w:val="single" w:sz="4" w:space="0" w:color="auto"/>
              <w:right w:val="nil"/>
            </w:tcBorders>
            <w:shd w:val="clear" w:color="auto" w:fill="auto"/>
            <w:noWrap/>
            <w:vAlign w:val="center"/>
          </w:tcPr>
          <w:p w14:paraId="0FD31B63" w14:textId="77777777" w:rsidR="008647ED" w:rsidRPr="004E74A6" w:rsidRDefault="008647ED" w:rsidP="00CE62C1">
            <w:pPr>
              <w:spacing w:line="276" w:lineRule="auto"/>
              <w:jc w:val="center"/>
              <w:rPr>
                <w:rFonts w:cs="Calibri"/>
                <w:color w:val="000000"/>
                <w:sz w:val="20"/>
                <w:lang w:eastAsia="es-CR"/>
              </w:rPr>
            </w:pPr>
          </w:p>
        </w:tc>
      </w:tr>
    </w:tbl>
    <w:p w14:paraId="43AD37A2" w14:textId="77777777" w:rsidR="003E4755" w:rsidRPr="004E74A6" w:rsidRDefault="003E4755" w:rsidP="00832773">
      <w:pPr>
        <w:spacing w:line="276" w:lineRule="auto"/>
        <w:rPr>
          <w:rFonts w:cs="Calibri"/>
          <w:i/>
          <w:iCs/>
          <w:color w:val="000000"/>
          <w:sz w:val="20"/>
          <w:lang w:eastAsia="es-CR"/>
        </w:rPr>
      </w:pPr>
      <w:r w:rsidRPr="004E74A6">
        <w:rPr>
          <w:rFonts w:cs="Calibri"/>
          <w:b/>
          <w:bCs/>
          <w:i/>
          <w:iCs/>
          <w:color w:val="000000"/>
          <w:sz w:val="20"/>
          <w:lang w:eastAsia="es-CR"/>
        </w:rPr>
        <w:t>Fuente</w:t>
      </w:r>
      <w:r w:rsidRPr="004E74A6">
        <w:rPr>
          <w:rFonts w:cs="Calibri"/>
          <w:i/>
          <w:iCs/>
          <w:color w:val="000000"/>
          <w:sz w:val="20"/>
          <w:lang w:eastAsia="es-CR"/>
        </w:rPr>
        <w:t>: Subproceso de Modernización Institucional con datos extraídos del sistema SIGMA, Dirección de Planificación.</w:t>
      </w:r>
    </w:p>
    <w:p w14:paraId="796F8E46" w14:textId="77777777" w:rsidR="008647ED" w:rsidRPr="004E74A6" w:rsidRDefault="008647ED" w:rsidP="00CE62C1">
      <w:pPr>
        <w:spacing w:after="160" w:line="276" w:lineRule="auto"/>
        <w:rPr>
          <w:rFonts w:cs="Calibri"/>
          <w:color w:val="000000"/>
          <w:szCs w:val="24"/>
          <w:lang w:eastAsia="es-CR"/>
        </w:rPr>
      </w:pPr>
    </w:p>
    <w:p w14:paraId="7AD27B58" w14:textId="6473CBA4" w:rsidR="00E70892" w:rsidRPr="004E74A6" w:rsidRDefault="00773C2E" w:rsidP="00CE62C1">
      <w:pPr>
        <w:spacing w:after="160" w:line="276" w:lineRule="auto"/>
        <w:rPr>
          <w:rFonts w:cs="Calibri"/>
          <w:color w:val="000000"/>
          <w:szCs w:val="24"/>
          <w:lang w:eastAsia="es-CR"/>
        </w:rPr>
      </w:pPr>
      <w:r>
        <w:rPr>
          <w:rFonts w:cs="Calibri"/>
          <w:color w:val="000000"/>
          <w:szCs w:val="24"/>
          <w:lang w:eastAsia="es-CR"/>
        </w:rPr>
        <w:t>En</w:t>
      </w:r>
      <w:r w:rsidR="00E70892" w:rsidRPr="004E74A6">
        <w:rPr>
          <w:rFonts w:cs="Calibri"/>
          <w:color w:val="000000"/>
          <w:szCs w:val="24"/>
          <w:lang w:eastAsia="es-CR"/>
        </w:rPr>
        <w:t xml:space="preserve"> la siguiente tabla se puede observar el detalle de la cuantía según los procedimientos ordinarios del Tribunal.</w:t>
      </w:r>
    </w:p>
    <w:p w14:paraId="77D2CBB0" w14:textId="217B051F" w:rsidR="00E70892" w:rsidRPr="004E74A6" w:rsidRDefault="00E70892" w:rsidP="00CE62C1">
      <w:pPr>
        <w:spacing w:line="276" w:lineRule="auto"/>
        <w:rPr>
          <w:rFonts w:cs="Calibri"/>
          <w:color w:val="000000"/>
          <w:szCs w:val="24"/>
          <w:lang w:eastAsia="es-CR"/>
        </w:rPr>
      </w:pPr>
      <w:r w:rsidRPr="004E74A6">
        <w:rPr>
          <w:rFonts w:cs="Calibri"/>
          <w:color w:val="000000"/>
          <w:szCs w:val="24"/>
          <w:lang w:eastAsia="es-CR"/>
        </w:rPr>
        <w:t xml:space="preserve">De los procesos ordinarios ingresados en el Tribunal, en promedio </w:t>
      </w:r>
      <w:r w:rsidR="00E01FE1" w:rsidRPr="004E74A6">
        <w:rPr>
          <w:rFonts w:cs="Calibri"/>
          <w:color w:val="000000"/>
          <w:szCs w:val="24"/>
          <w:lang w:eastAsia="es-CR"/>
        </w:rPr>
        <w:t>2</w:t>
      </w:r>
      <w:r w:rsidRPr="004E74A6">
        <w:rPr>
          <w:rFonts w:cs="Calibri"/>
          <w:color w:val="000000"/>
          <w:szCs w:val="24"/>
          <w:lang w:eastAsia="es-CR"/>
        </w:rPr>
        <w:t xml:space="preserve"> asuntos son inestimables (</w:t>
      </w:r>
      <w:r w:rsidR="00E01FE1" w:rsidRPr="004E74A6">
        <w:rPr>
          <w:rFonts w:cs="Calibri"/>
          <w:color w:val="000000"/>
          <w:szCs w:val="24"/>
          <w:lang w:eastAsia="es-CR"/>
        </w:rPr>
        <w:t>1</w:t>
      </w:r>
      <w:r w:rsidRPr="004E74A6">
        <w:rPr>
          <w:rFonts w:cs="Calibri"/>
          <w:color w:val="000000"/>
          <w:szCs w:val="24"/>
          <w:lang w:eastAsia="es-CR"/>
        </w:rPr>
        <w:t xml:space="preserve">%), </w:t>
      </w:r>
      <w:r w:rsidR="00E01FE1" w:rsidRPr="004E74A6">
        <w:rPr>
          <w:rFonts w:cs="Calibri"/>
          <w:color w:val="000000"/>
          <w:szCs w:val="24"/>
          <w:lang w:eastAsia="es-CR"/>
        </w:rPr>
        <w:t>31</w:t>
      </w:r>
      <w:r w:rsidRPr="004E74A6">
        <w:rPr>
          <w:rFonts w:cs="Calibri"/>
          <w:color w:val="000000"/>
          <w:szCs w:val="24"/>
          <w:lang w:eastAsia="es-CR"/>
        </w:rPr>
        <w:t xml:space="preserve"> estimables (</w:t>
      </w:r>
      <w:r w:rsidR="00E01FE1" w:rsidRPr="004E74A6">
        <w:rPr>
          <w:rFonts w:cs="Calibri"/>
          <w:color w:val="000000"/>
          <w:szCs w:val="24"/>
          <w:lang w:eastAsia="es-CR"/>
        </w:rPr>
        <w:t>20</w:t>
      </w:r>
      <w:r w:rsidRPr="004E74A6">
        <w:rPr>
          <w:rFonts w:cs="Calibri"/>
          <w:color w:val="000000"/>
          <w:szCs w:val="24"/>
          <w:lang w:eastAsia="es-CR"/>
        </w:rPr>
        <w:t xml:space="preserve">%), </w:t>
      </w:r>
      <w:r w:rsidR="00E01FE1" w:rsidRPr="004E74A6">
        <w:rPr>
          <w:rFonts w:cs="Calibri"/>
          <w:color w:val="000000"/>
          <w:szCs w:val="24"/>
          <w:lang w:eastAsia="es-CR"/>
        </w:rPr>
        <w:t>5</w:t>
      </w:r>
      <w:r w:rsidRPr="004E74A6">
        <w:rPr>
          <w:rFonts w:cs="Calibri"/>
          <w:color w:val="000000"/>
          <w:szCs w:val="24"/>
          <w:lang w:eastAsia="es-CR"/>
        </w:rPr>
        <w:t xml:space="preserve"> casos “no aplica” (</w:t>
      </w:r>
      <w:r w:rsidR="00E01FE1" w:rsidRPr="004E74A6">
        <w:rPr>
          <w:rFonts w:cs="Calibri"/>
          <w:color w:val="000000"/>
          <w:szCs w:val="24"/>
          <w:lang w:eastAsia="es-CR"/>
        </w:rPr>
        <w:t>3</w:t>
      </w:r>
      <w:r w:rsidRPr="004E74A6">
        <w:rPr>
          <w:rFonts w:cs="Calibri"/>
          <w:color w:val="000000"/>
          <w:szCs w:val="24"/>
          <w:lang w:eastAsia="es-CR"/>
        </w:rPr>
        <w:t xml:space="preserve">%) y </w:t>
      </w:r>
      <w:r w:rsidRPr="004E74A6">
        <w:rPr>
          <w:rFonts w:cs="Calibri"/>
          <w:b/>
          <w:bCs/>
          <w:color w:val="000000"/>
          <w:szCs w:val="24"/>
          <w:lang w:eastAsia="es-CR"/>
        </w:rPr>
        <w:t xml:space="preserve">sin actualizar </w:t>
      </w:r>
      <w:r w:rsidR="00E01FE1" w:rsidRPr="004E74A6">
        <w:rPr>
          <w:rFonts w:cs="Calibri"/>
          <w:b/>
          <w:bCs/>
          <w:color w:val="000000"/>
          <w:szCs w:val="24"/>
          <w:lang w:eastAsia="es-CR"/>
        </w:rPr>
        <w:t>120</w:t>
      </w:r>
      <w:r w:rsidRPr="004E74A6">
        <w:rPr>
          <w:rFonts w:cs="Calibri"/>
          <w:b/>
          <w:bCs/>
          <w:color w:val="000000"/>
          <w:szCs w:val="24"/>
          <w:lang w:eastAsia="es-CR"/>
        </w:rPr>
        <w:t xml:space="preserve"> casos (</w:t>
      </w:r>
      <w:r w:rsidR="00E01FE1" w:rsidRPr="004E74A6">
        <w:rPr>
          <w:rFonts w:cs="Calibri"/>
          <w:b/>
          <w:bCs/>
          <w:color w:val="000000"/>
          <w:szCs w:val="24"/>
          <w:lang w:eastAsia="es-CR"/>
        </w:rPr>
        <w:t>76</w:t>
      </w:r>
      <w:r w:rsidRPr="004E74A6">
        <w:rPr>
          <w:rFonts w:cs="Calibri"/>
          <w:b/>
          <w:bCs/>
          <w:color w:val="000000"/>
          <w:szCs w:val="24"/>
          <w:lang w:eastAsia="es-CR"/>
        </w:rPr>
        <w:t>%).</w:t>
      </w:r>
    </w:p>
    <w:p w14:paraId="6CDD0E5A" w14:textId="77777777" w:rsidR="00E70892" w:rsidRPr="004E74A6" w:rsidRDefault="00E70892" w:rsidP="00CE62C1">
      <w:pPr>
        <w:spacing w:line="276" w:lineRule="auto"/>
        <w:rPr>
          <w:rFonts w:cs="Calibri"/>
          <w:color w:val="000000"/>
          <w:szCs w:val="24"/>
          <w:lang w:eastAsia="es-CR"/>
        </w:rPr>
      </w:pPr>
    </w:p>
    <w:p w14:paraId="777C96CA" w14:textId="060A9959" w:rsidR="00E70892" w:rsidRPr="004E74A6" w:rsidRDefault="00E70892" w:rsidP="00CE62C1">
      <w:pPr>
        <w:spacing w:line="276" w:lineRule="auto"/>
        <w:rPr>
          <w:rFonts w:cs="Calibri"/>
          <w:color w:val="000000"/>
          <w:szCs w:val="24"/>
          <w:lang w:eastAsia="es-CR"/>
        </w:rPr>
      </w:pPr>
      <w:r w:rsidRPr="004E74A6">
        <w:rPr>
          <w:rFonts w:cs="Calibri"/>
          <w:color w:val="000000"/>
          <w:szCs w:val="24"/>
          <w:lang w:eastAsia="es-CR"/>
        </w:rPr>
        <w:t xml:space="preserve">De lo anterior, el </w:t>
      </w:r>
      <w:r w:rsidR="00E01FE1" w:rsidRPr="004E74A6">
        <w:rPr>
          <w:rFonts w:cs="Calibri"/>
          <w:color w:val="000000"/>
          <w:szCs w:val="24"/>
          <w:lang w:eastAsia="es-CR"/>
        </w:rPr>
        <w:t>3</w:t>
      </w:r>
      <w:r w:rsidRPr="004E74A6">
        <w:rPr>
          <w:rFonts w:cs="Calibri"/>
          <w:color w:val="000000"/>
          <w:szCs w:val="24"/>
          <w:lang w:eastAsia="es-CR"/>
        </w:rPr>
        <w:t xml:space="preserve">% que indicaron </w:t>
      </w:r>
      <w:r w:rsidRPr="004E74A6">
        <w:rPr>
          <w:rFonts w:cs="Calibri"/>
          <w:i/>
          <w:iCs/>
          <w:color w:val="000000"/>
          <w:szCs w:val="24"/>
          <w:lang w:eastAsia="es-CR"/>
        </w:rPr>
        <w:t>no aplica cuantía</w:t>
      </w:r>
      <w:r w:rsidRPr="004E74A6">
        <w:rPr>
          <w:rFonts w:cs="Calibri"/>
          <w:color w:val="000000"/>
          <w:szCs w:val="24"/>
          <w:lang w:eastAsia="es-CR"/>
        </w:rPr>
        <w:t xml:space="preserve">, se debe a </w:t>
      </w:r>
      <w:r w:rsidR="00DC1B71" w:rsidRPr="004E74A6">
        <w:rPr>
          <w:rFonts w:cs="Calibri"/>
          <w:color w:val="000000"/>
          <w:szCs w:val="24"/>
          <w:lang w:eastAsia="es-CR"/>
        </w:rPr>
        <w:t>desactualización de la información por parte del Tribunal</w:t>
      </w:r>
      <w:r w:rsidRPr="004E74A6">
        <w:rPr>
          <w:rFonts w:cs="Calibri"/>
          <w:color w:val="000000"/>
          <w:szCs w:val="24"/>
          <w:lang w:eastAsia="es-CR"/>
        </w:rPr>
        <w:t xml:space="preserve">, ya que desde el inicio en el uso de la mejora se les indicó a las oficinas que esta opción solo aplica para materia de Trabajo, no así para Civil donde los asuntos son estimables o inestimables solamente. </w:t>
      </w:r>
    </w:p>
    <w:p w14:paraId="01B1CC95" w14:textId="77777777" w:rsidR="00E70892" w:rsidRPr="004E74A6" w:rsidRDefault="00E70892" w:rsidP="00CE62C1">
      <w:pPr>
        <w:spacing w:line="276" w:lineRule="auto"/>
        <w:rPr>
          <w:rFonts w:cs="Calibri"/>
          <w:color w:val="000000"/>
          <w:szCs w:val="24"/>
          <w:lang w:eastAsia="es-CR"/>
        </w:rPr>
      </w:pPr>
    </w:p>
    <w:p w14:paraId="1D0213B9" w14:textId="3CD12529" w:rsidR="00E70892" w:rsidRDefault="00E70892" w:rsidP="00CE62C1">
      <w:pPr>
        <w:spacing w:line="276" w:lineRule="auto"/>
        <w:rPr>
          <w:rFonts w:cs="Calibri"/>
          <w:color w:val="000000"/>
          <w:szCs w:val="24"/>
          <w:lang w:eastAsia="es-CR"/>
        </w:rPr>
      </w:pPr>
      <w:r w:rsidRPr="004E74A6">
        <w:rPr>
          <w:rFonts w:cs="Calibri"/>
          <w:color w:val="000000"/>
          <w:szCs w:val="24"/>
          <w:lang w:eastAsia="es-CR"/>
        </w:rPr>
        <w:t xml:space="preserve">De los </w:t>
      </w:r>
      <w:r w:rsidR="00E01FE1" w:rsidRPr="004E74A6">
        <w:rPr>
          <w:rFonts w:cs="Calibri"/>
          <w:color w:val="000000"/>
          <w:szCs w:val="24"/>
          <w:lang w:eastAsia="es-CR"/>
        </w:rPr>
        <w:t>31</w:t>
      </w:r>
      <w:r w:rsidRPr="004E74A6">
        <w:rPr>
          <w:rFonts w:cs="Calibri"/>
          <w:color w:val="000000"/>
          <w:szCs w:val="24"/>
          <w:lang w:eastAsia="es-CR"/>
        </w:rPr>
        <w:t xml:space="preserve"> ordinarios estimables, la distribución de esos asuntos por rango de cuantía es el siguiente: </w:t>
      </w:r>
    </w:p>
    <w:p w14:paraId="3E8B762E" w14:textId="074185DA" w:rsidR="00193D21" w:rsidRDefault="00193D21" w:rsidP="00CE62C1">
      <w:pPr>
        <w:spacing w:line="276" w:lineRule="auto"/>
        <w:rPr>
          <w:rFonts w:cs="Calibri"/>
          <w:color w:val="000000"/>
          <w:szCs w:val="24"/>
          <w:lang w:eastAsia="es-CR"/>
        </w:rPr>
      </w:pPr>
    </w:p>
    <w:p w14:paraId="77B8A614" w14:textId="01C83BB7" w:rsidR="00193D21" w:rsidRDefault="00193D21" w:rsidP="00CE62C1">
      <w:pPr>
        <w:spacing w:line="276" w:lineRule="auto"/>
        <w:rPr>
          <w:rFonts w:cs="Calibri"/>
          <w:color w:val="000000"/>
          <w:szCs w:val="24"/>
          <w:lang w:eastAsia="es-CR"/>
        </w:rPr>
      </w:pPr>
    </w:p>
    <w:p w14:paraId="79A78510" w14:textId="2AA8AFC0" w:rsidR="00193D21" w:rsidRDefault="00193D21" w:rsidP="00CE62C1">
      <w:pPr>
        <w:spacing w:line="276" w:lineRule="auto"/>
        <w:rPr>
          <w:rFonts w:cs="Calibri"/>
          <w:color w:val="000000"/>
          <w:szCs w:val="24"/>
          <w:lang w:eastAsia="es-CR"/>
        </w:rPr>
      </w:pPr>
    </w:p>
    <w:p w14:paraId="246B29C0" w14:textId="77777777" w:rsidR="00193D21" w:rsidRPr="004E74A6" w:rsidRDefault="00193D21" w:rsidP="00CE62C1">
      <w:pPr>
        <w:spacing w:line="276" w:lineRule="auto"/>
        <w:rPr>
          <w:rFonts w:cs="Calibri"/>
          <w:color w:val="000000"/>
          <w:szCs w:val="24"/>
          <w:lang w:eastAsia="es-CR"/>
        </w:rPr>
      </w:pPr>
    </w:p>
    <w:p w14:paraId="66C8DBA4" w14:textId="50E04F25" w:rsidR="00E01FE1" w:rsidRPr="004E74A6" w:rsidRDefault="00E01FE1" w:rsidP="00CE62C1">
      <w:pPr>
        <w:spacing w:line="276" w:lineRule="auto"/>
        <w:rPr>
          <w:rFonts w:cs="Calibri"/>
          <w:color w:val="000000"/>
          <w:szCs w:val="24"/>
          <w:lang w:eastAsia="es-CR"/>
        </w:rPr>
      </w:pPr>
    </w:p>
    <w:p w14:paraId="08F77C5E" w14:textId="3E2D6BCA" w:rsidR="004B35F2" w:rsidRDefault="004B35F2" w:rsidP="00F0204A">
      <w:pPr>
        <w:pStyle w:val="Descripcin"/>
        <w:keepNext/>
        <w:spacing w:line="276" w:lineRule="auto"/>
        <w:jc w:val="center"/>
        <w:rPr>
          <w:rFonts w:ascii="Book Antiqua" w:hAnsi="Book Antiqua"/>
          <w:i/>
          <w:iCs/>
          <w:sz w:val="20"/>
          <w:szCs w:val="16"/>
          <w:lang w:val="es-CR"/>
        </w:rPr>
      </w:pPr>
      <w:r w:rsidRPr="00832773">
        <w:rPr>
          <w:rFonts w:ascii="Book Antiqua" w:hAnsi="Book Antiqua"/>
          <w:i/>
          <w:iCs/>
          <w:sz w:val="20"/>
          <w:szCs w:val="16"/>
          <w:lang w:val="es-CR"/>
        </w:rPr>
        <w:lastRenderedPageBreak/>
        <w:t xml:space="preserve">Tabla </w:t>
      </w:r>
      <w:r w:rsidRPr="00832773">
        <w:rPr>
          <w:rFonts w:ascii="Book Antiqua" w:hAnsi="Book Antiqua"/>
          <w:i/>
          <w:iCs/>
          <w:sz w:val="20"/>
          <w:szCs w:val="16"/>
          <w:lang w:val="es-CR"/>
        </w:rPr>
        <w:fldChar w:fldCharType="begin"/>
      </w:r>
      <w:r w:rsidRPr="00832773">
        <w:rPr>
          <w:rFonts w:ascii="Book Antiqua" w:hAnsi="Book Antiqua"/>
          <w:i/>
          <w:iCs/>
          <w:sz w:val="20"/>
          <w:szCs w:val="16"/>
          <w:lang w:val="es-CR"/>
        </w:rPr>
        <w:instrText xml:space="preserve"> SEQ Tabla \* ARABIC </w:instrText>
      </w:r>
      <w:r w:rsidRPr="00832773">
        <w:rPr>
          <w:rFonts w:ascii="Book Antiqua" w:hAnsi="Book Antiqua"/>
          <w:i/>
          <w:iCs/>
          <w:sz w:val="20"/>
          <w:szCs w:val="16"/>
          <w:lang w:val="es-CR"/>
        </w:rPr>
        <w:fldChar w:fldCharType="separate"/>
      </w:r>
      <w:r w:rsidR="00374B51">
        <w:rPr>
          <w:rFonts w:ascii="Book Antiqua" w:hAnsi="Book Antiqua"/>
          <w:i/>
          <w:iCs/>
          <w:noProof/>
          <w:sz w:val="20"/>
          <w:szCs w:val="16"/>
          <w:lang w:val="es-CR"/>
        </w:rPr>
        <w:t>16</w:t>
      </w:r>
      <w:r w:rsidRPr="00832773">
        <w:rPr>
          <w:rFonts w:ascii="Book Antiqua" w:hAnsi="Book Antiqua"/>
          <w:i/>
          <w:iCs/>
          <w:sz w:val="20"/>
          <w:szCs w:val="16"/>
          <w:lang w:val="es-CR"/>
        </w:rPr>
        <w:fldChar w:fldCharType="end"/>
      </w:r>
      <w:r w:rsidRPr="00832773">
        <w:rPr>
          <w:rFonts w:ascii="Book Antiqua" w:hAnsi="Book Antiqua"/>
          <w:i/>
          <w:iCs/>
          <w:sz w:val="20"/>
          <w:szCs w:val="16"/>
          <w:lang w:val="es-CR"/>
        </w:rPr>
        <w:t xml:space="preserve"> </w:t>
      </w:r>
      <w:r w:rsidR="00E01FE1" w:rsidRPr="00832773">
        <w:rPr>
          <w:rFonts w:ascii="Book Antiqua" w:hAnsi="Book Antiqua"/>
          <w:i/>
          <w:iCs/>
          <w:sz w:val="20"/>
          <w:szCs w:val="16"/>
          <w:lang w:val="es-CR"/>
        </w:rPr>
        <w:t xml:space="preserve">Cantidad de entrados ordinarios estimables por cuantía del 2019 al 2021 para el </w:t>
      </w:r>
      <w:r w:rsidR="002A3B28" w:rsidRPr="00832773">
        <w:rPr>
          <w:rFonts w:ascii="Book Antiqua" w:hAnsi="Book Antiqua"/>
          <w:i/>
          <w:iCs/>
          <w:sz w:val="20"/>
          <w:szCs w:val="16"/>
          <w:lang w:val="es-CR"/>
        </w:rPr>
        <w:t>Tribunal Colegiado Primera Instancia Civil Primer Circuito Judicial de Alajuela</w:t>
      </w:r>
    </w:p>
    <w:p w14:paraId="6F8CF155" w14:textId="77777777" w:rsidR="00193D21" w:rsidRPr="00193D21" w:rsidRDefault="00193D21" w:rsidP="00193D21"/>
    <w:tbl>
      <w:tblPr>
        <w:tblW w:w="5036" w:type="pct"/>
        <w:jc w:val="center"/>
        <w:tblCellMar>
          <w:left w:w="70" w:type="dxa"/>
          <w:right w:w="70" w:type="dxa"/>
        </w:tblCellMar>
        <w:tblLook w:val="04A0" w:firstRow="1" w:lastRow="0" w:firstColumn="1" w:lastColumn="0" w:noHBand="0" w:noVBand="1"/>
      </w:tblPr>
      <w:tblGrid>
        <w:gridCol w:w="2836"/>
        <w:gridCol w:w="855"/>
        <w:gridCol w:w="855"/>
        <w:gridCol w:w="855"/>
        <w:gridCol w:w="1124"/>
        <w:gridCol w:w="2379"/>
      </w:tblGrid>
      <w:tr w:rsidR="00E267E8" w:rsidRPr="004E74A6" w14:paraId="749CD326" w14:textId="28A5E2C0" w:rsidTr="00E267E8">
        <w:trPr>
          <w:trHeight w:val="454"/>
          <w:tblHeader/>
          <w:jc w:val="center"/>
        </w:trPr>
        <w:tc>
          <w:tcPr>
            <w:tcW w:w="1593" w:type="pct"/>
            <w:tcBorders>
              <w:top w:val="single" w:sz="4" w:space="0" w:color="auto"/>
              <w:left w:val="nil"/>
              <w:bottom w:val="single" w:sz="4" w:space="0" w:color="auto"/>
              <w:right w:val="single" w:sz="4" w:space="0" w:color="auto"/>
            </w:tcBorders>
            <w:shd w:val="clear" w:color="auto" w:fill="auto"/>
            <w:noWrap/>
            <w:vAlign w:val="center"/>
            <w:hideMark/>
          </w:tcPr>
          <w:p w14:paraId="287D74D9" w14:textId="04E61981" w:rsidR="00E267E8" w:rsidRPr="004E74A6" w:rsidRDefault="00E267E8" w:rsidP="00CE62C1">
            <w:pPr>
              <w:spacing w:line="276" w:lineRule="auto"/>
              <w:jc w:val="center"/>
              <w:rPr>
                <w:rFonts w:cs="Calibri"/>
                <w:color w:val="000000"/>
                <w:sz w:val="20"/>
                <w:lang w:eastAsia="es-CR"/>
              </w:rPr>
            </w:pPr>
            <w:r w:rsidRPr="004E74A6">
              <w:rPr>
                <w:rFonts w:cs="Calibri"/>
                <w:color w:val="000000"/>
                <w:sz w:val="20"/>
                <w:lang w:eastAsia="es-CR"/>
              </w:rPr>
              <w:t>Ordinario Estimable</w:t>
            </w:r>
          </w:p>
        </w:tc>
        <w:tc>
          <w:tcPr>
            <w:tcW w:w="48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FF878EE" w14:textId="77777777" w:rsidR="00E267E8" w:rsidRPr="004E74A6" w:rsidRDefault="00E267E8" w:rsidP="00CE62C1">
            <w:pPr>
              <w:spacing w:line="276" w:lineRule="auto"/>
              <w:jc w:val="center"/>
              <w:rPr>
                <w:rFonts w:cs="Calibri"/>
                <w:color w:val="000000"/>
                <w:sz w:val="20"/>
                <w:lang w:eastAsia="es-CR"/>
              </w:rPr>
            </w:pPr>
            <w:r w:rsidRPr="004E74A6">
              <w:rPr>
                <w:rFonts w:cs="Calibri"/>
                <w:color w:val="000000"/>
                <w:sz w:val="20"/>
                <w:lang w:eastAsia="es-CR"/>
              </w:rPr>
              <w:t>2019</w:t>
            </w:r>
          </w:p>
        </w:tc>
        <w:tc>
          <w:tcPr>
            <w:tcW w:w="48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A4422F8" w14:textId="77777777" w:rsidR="00E267E8" w:rsidRPr="004E74A6" w:rsidRDefault="00E267E8" w:rsidP="00CE62C1">
            <w:pPr>
              <w:spacing w:line="276" w:lineRule="auto"/>
              <w:jc w:val="center"/>
              <w:rPr>
                <w:rFonts w:cs="Calibri"/>
                <w:color w:val="000000"/>
                <w:sz w:val="20"/>
                <w:lang w:eastAsia="es-CR"/>
              </w:rPr>
            </w:pPr>
            <w:r w:rsidRPr="004E74A6">
              <w:rPr>
                <w:rFonts w:cs="Calibri"/>
                <w:color w:val="000000"/>
                <w:sz w:val="20"/>
                <w:lang w:eastAsia="es-CR"/>
              </w:rPr>
              <w:t>2020</w:t>
            </w:r>
          </w:p>
        </w:tc>
        <w:tc>
          <w:tcPr>
            <w:tcW w:w="48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2FE5C23" w14:textId="77777777" w:rsidR="00E267E8" w:rsidRPr="004E74A6" w:rsidRDefault="00E267E8" w:rsidP="00CE62C1">
            <w:pPr>
              <w:spacing w:line="276" w:lineRule="auto"/>
              <w:jc w:val="center"/>
              <w:rPr>
                <w:rFonts w:cs="Calibri"/>
                <w:color w:val="000000"/>
                <w:sz w:val="20"/>
                <w:lang w:eastAsia="es-CR"/>
              </w:rPr>
            </w:pPr>
            <w:r w:rsidRPr="004E74A6">
              <w:rPr>
                <w:rFonts w:cs="Calibri"/>
                <w:color w:val="000000"/>
                <w:sz w:val="20"/>
                <w:lang w:eastAsia="es-CR"/>
              </w:rPr>
              <w:t>2021</w:t>
            </w:r>
          </w:p>
        </w:tc>
        <w:tc>
          <w:tcPr>
            <w:tcW w:w="631" w:type="pct"/>
            <w:tcBorders>
              <w:top w:val="single" w:sz="4" w:space="0" w:color="auto"/>
              <w:left w:val="single" w:sz="4" w:space="0" w:color="auto"/>
              <w:bottom w:val="single" w:sz="4" w:space="0" w:color="auto"/>
              <w:right w:val="nil"/>
            </w:tcBorders>
            <w:shd w:val="clear" w:color="auto" w:fill="auto"/>
            <w:noWrap/>
            <w:vAlign w:val="center"/>
          </w:tcPr>
          <w:p w14:paraId="43216E9A" w14:textId="14352C2F" w:rsidR="00E267E8" w:rsidRPr="004E74A6" w:rsidRDefault="00E267E8" w:rsidP="00CE62C1">
            <w:pPr>
              <w:spacing w:line="276" w:lineRule="auto"/>
              <w:jc w:val="center"/>
              <w:rPr>
                <w:rFonts w:cs="Calibri"/>
                <w:color w:val="000000"/>
                <w:sz w:val="20"/>
                <w:lang w:eastAsia="es-CR"/>
              </w:rPr>
            </w:pPr>
            <w:r w:rsidRPr="004E74A6">
              <w:rPr>
                <w:rFonts w:cs="Calibri"/>
                <w:color w:val="000000"/>
                <w:sz w:val="20"/>
                <w:lang w:eastAsia="es-CR"/>
              </w:rPr>
              <w:t>Promedio</w:t>
            </w:r>
          </w:p>
        </w:tc>
        <w:tc>
          <w:tcPr>
            <w:tcW w:w="1337" w:type="pct"/>
            <w:tcBorders>
              <w:top w:val="single" w:sz="4" w:space="0" w:color="auto"/>
              <w:left w:val="single" w:sz="4" w:space="0" w:color="auto"/>
              <w:bottom w:val="single" w:sz="4" w:space="0" w:color="auto"/>
              <w:right w:val="nil"/>
            </w:tcBorders>
          </w:tcPr>
          <w:p w14:paraId="7EF8A415" w14:textId="536C1E22" w:rsidR="00E267E8" w:rsidRPr="004E74A6" w:rsidRDefault="00E267E8" w:rsidP="00832773">
            <w:pPr>
              <w:spacing w:line="276" w:lineRule="auto"/>
              <w:jc w:val="center"/>
              <w:rPr>
                <w:rFonts w:cs="Calibri"/>
                <w:color w:val="000000"/>
                <w:sz w:val="20"/>
                <w:lang w:eastAsia="es-CR"/>
              </w:rPr>
            </w:pPr>
            <w:r w:rsidRPr="004E74A6">
              <w:rPr>
                <w:rFonts w:cs="Calibri"/>
                <w:color w:val="000000"/>
                <w:sz w:val="20"/>
              </w:rPr>
              <w:t>Pérdida porcentual en la entrada en caso de elevarse la cuantía según rango escenario A1</w:t>
            </w:r>
          </w:p>
        </w:tc>
      </w:tr>
      <w:tr w:rsidR="00E267E8" w:rsidRPr="004E74A6" w14:paraId="2C36A83D" w14:textId="7AF0C939" w:rsidTr="00E267E8">
        <w:trPr>
          <w:trHeight w:val="288"/>
          <w:jc w:val="center"/>
        </w:trPr>
        <w:tc>
          <w:tcPr>
            <w:tcW w:w="1593" w:type="pct"/>
            <w:tcBorders>
              <w:top w:val="single" w:sz="4" w:space="0" w:color="auto"/>
              <w:left w:val="nil"/>
              <w:bottom w:val="nil"/>
              <w:right w:val="single" w:sz="4" w:space="0" w:color="auto"/>
            </w:tcBorders>
            <w:shd w:val="clear" w:color="auto" w:fill="auto"/>
            <w:noWrap/>
            <w:vAlign w:val="center"/>
          </w:tcPr>
          <w:p w14:paraId="3F5D4467" w14:textId="77777777" w:rsidR="00E267E8" w:rsidRPr="004E74A6" w:rsidRDefault="00E267E8" w:rsidP="00CE62C1">
            <w:pPr>
              <w:spacing w:line="276" w:lineRule="auto"/>
              <w:jc w:val="center"/>
              <w:rPr>
                <w:rFonts w:cs="Calibri"/>
                <w:b/>
                <w:bCs/>
                <w:color w:val="000000"/>
                <w:sz w:val="20"/>
                <w:lang w:eastAsia="es-CR"/>
              </w:rPr>
            </w:pPr>
          </w:p>
        </w:tc>
        <w:tc>
          <w:tcPr>
            <w:tcW w:w="480" w:type="pct"/>
            <w:tcBorders>
              <w:top w:val="single" w:sz="4" w:space="0" w:color="auto"/>
              <w:left w:val="single" w:sz="4" w:space="0" w:color="auto"/>
              <w:bottom w:val="nil"/>
              <w:right w:val="single" w:sz="4" w:space="0" w:color="auto"/>
            </w:tcBorders>
            <w:shd w:val="clear" w:color="auto" w:fill="auto"/>
            <w:noWrap/>
            <w:vAlign w:val="center"/>
          </w:tcPr>
          <w:p w14:paraId="7815F6F6" w14:textId="77777777" w:rsidR="00E267E8" w:rsidRPr="004E74A6" w:rsidRDefault="00E267E8" w:rsidP="00CE62C1">
            <w:pPr>
              <w:spacing w:line="276" w:lineRule="auto"/>
              <w:jc w:val="center"/>
              <w:rPr>
                <w:rFonts w:cs="Calibri"/>
                <w:b/>
                <w:bCs/>
                <w:color w:val="000000"/>
                <w:sz w:val="20"/>
                <w:lang w:eastAsia="es-CR"/>
              </w:rPr>
            </w:pPr>
          </w:p>
        </w:tc>
        <w:tc>
          <w:tcPr>
            <w:tcW w:w="480" w:type="pct"/>
            <w:tcBorders>
              <w:top w:val="single" w:sz="4" w:space="0" w:color="auto"/>
              <w:left w:val="single" w:sz="4" w:space="0" w:color="auto"/>
              <w:bottom w:val="nil"/>
              <w:right w:val="single" w:sz="4" w:space="0" w:color="auto"/>
            </w:tcBorders>
            <w:shd w:val="clear" w:color="auto" w:fill="auto"/>
            <w:noWrap/>
            <w:vAlign w:val="center"/>
          </w:tcPr>
          <w:p w14:paraId="7DB02982" w14:textId="77777777" w:rsidR="00E267E8" w:rsidRPr="004E74A6" w:rsidRDefault="00E267E8" w:rsidP="00CE62C1">
            <w:pPr>
              <w:spacing w:line="276" w:lineRule="auto"/>
              <w:jc w:val="center"/>
              <w:rPr>
                <w:rFonts w:cs="Calibri"/>
                <w:b/>
                <w:bCs/>
                <w:color w:val="000000"/>
                <w:sz w:val="20"/>
                <w:lang w:eastAsia="es-CR"/>
              </w:rPr>
            </w:pPr>
          </w:p>
        </w:tc>
        <w:tc>
          <w:tcPr>
            <w:tcW w:w="480" w:type="pct"/>
            <w:tcBorders>
              <w:top w:val="single" w:sz="4" w:space="0" w:color="auto"/>
              <w:left w:val="single" w:sz="4" w:space="0" w:color="auto"/>
              <w:bottom w:val="nil"/>
              <w:right w:val="single" w:sz="4" w:space="0" w:color="auto"/>
            </w:tcBorders>
            <w:shd w:val="clear" w:color="auto" w:fill="auto"/>
            <w:noWrap/>
            <w:vAlign w:val="center"/>
          </w:tcPr>
          <w:p w14:paraId="6A356107" w14:textId="77777777" w:rsidR="00E267E8" w:rsidRPr="004E74A6" w:rsidRDefault="00E267E8" w:rsidP="00CE62C1">
            <w:pPr>
              <w:spacing w:line="276" w:lineRule="auto"/>
              <w:jc w:val="center"/>
              <w:rPr>
                <w:rFonts w:cs="Calibri"/>
                <w:b/>
                <w:bCs/>
                <w:color w:val="000000"/>
                <w:sz w:val="20"/>
                <w:lang w:eastAsia="es-CR"/>
              </w:rPr>
            </w:pPr>
          </w:p>
        </w:tc>
        <w:tc>
          <w:tcPr>
            <w:tcW w:w="631" w:type="pct"/>
            <w:tcBorders>
              <w:top w:val="single" w:sz="4" w:space="0" w:color="auto"/>
              <w:left w:val="single" w:sz="4" w:space="0" w:color="auto"/>
              <w:bottom w:val="nil"/>
              <w:right w:val="nil"/>
            </w:tcBorders>
            <w:shd w:val="clear" w:color="auto" w:fill="auto"/>
            <w:noWrap/>
            <w:vAlign w:val="center"/>
          </w:tcPr>
          <w:p w14:paraId="1CD82CAD" w14:textId="77777777" w:rsidR="00E267E8" w:rsidRPr="004E74A6" w:rsidRDefault="00E267E8" w:rsidP="00CE62C1">
            <w:pPr>
              <w:spacing w:line="276" w:lineRule="auto"/>
              <w:jc w:val="center"/>
              <w:rPr>
                <w:rFonts w:cs="Calibri"/>
                <w:b/>
                <w:bCs/>
                <w:color w:val="000000"/>
                <w:sz w:val="20"/>
                <w:lang w:eastAsia="es-CR"/>
              </w:rPr>
            </w:pPr>
          </w:p>
        </w:tc>
        <w:tc>
          <w:tcPr>
            <w:tcW w:w="1337" w:type="pct"/>
            <w:tcBorders>
              <w:top w:val="single" w:sz="4" w:space="0" w:color="auto"/>
              <w:left w:val="single" w:sz="4" w:space="0" w:color="auto"/>
              <w:bottom w:val="nil"/>
              <w:right w:val="nil"/>
            </w:tcBorders>
          </w:tcPr>
          <w:p w14:paraId="02648B1E" w14:textId="77777777" w:rsidR="00E267E8" w:rsidRPr="004E74A6" w:rsidRDefault="00E267E8" w:rsidP="00CE62C1">
            <w:pPr>
              <w:spacing w:line="276" w:lineRule="auto"/>
              <w:jc w:val="center"/>
              <w:rPr>
                <w:rFonts w:cs="Calibri"/>
                <w:b/>
                <w:bCs/>
                <w:color w:val="000000"/>
                <w:sz w:val="20"/>
                <w:lang w:eastAsia="es-CR"/>
              </w:rPr>
            </w:pPr>
          </w:p>
        </w:tc>
      </w:tr>
      <w:tr w:rsidR="00E267E8" w:rsidRPr="004E74A6" w14:paraId="292E14E9" w14:textId="16CF8712" w:rsidTr="00E267E8">
        <w:trPr>
          <w:trHeight w:val="288"/>
          <w:jc w:val="center"/>
        </w:trPr>
        <w:tc>
          <w:tcPr>
            <w:tcW w:w="1593" w:type="pct"/>
            <w:tcBorders>
              <w:top w:val="nil"/>
              <w:left w:val="nil"/>
              <w:bottom w:val="nil"/>
              <w:right w:val="single" w:sz="4" w:space="0" w:color="auto"/>
            </w:tcBorders>
            <w:shd w:val="clear" w:color="auto" w:fill="auto"/>
            <w:noWrap/>
            <w:vAlign w:val="center"/>
          </w:tcPr>
          <w:p w14:paraId="47E0F943" w14:textId="77777777" w:rsidR="00E267E8" w:rsidRPr="004E74A6" w:rsidRDefault="00E267E8" w:rsidP="00CE62C1">
            <w:pPr>
              <w:spacing w:line="276" w:lineRule="auto"/>
              <w:jc w:val="center"/>
              <w:rPr>
                <w:rFonts w:cs="Calibri"/>
                <w:color w:val="000000"/>
                <w:sz w:val="20"/>
                <w:lang w:eastAsia="es-CR"/>
              </w:rPr>
            </w:pPr>
            <w:r w:rsidRPr="004E74A6">
              <w:rPr>
                <w:rFonts w:cs="Calibri"/>
                <w:color w:val="000000"/>
                <w:sz w:val="20"/>
                <w:lang w:eastAsia="es-CR"/>
              </w:rPr>
              <w:t>Total</w:t>
            </w:r>
          </w:p>
        </w:tc>
        <w:tc>
          <w:tcPr>
            <w:tcW w:w="480" w:type="pct"/>
            <w:tcBorders>
              <w:top w:val="nil"/>
              <w:left w:val="single" w:sz="4" w:space="0" w:color="auto"/>
              <w:bottom w:val="nil"/>
              <w:right w:val="single" w:sz="4" w:space="0" w:color="auto"/>
            </w:tcBorders>
            <w:shd w:val="clear" w:color="auto" w:fill="auto"/>
            <w:noWrap/>
            <w:vAlign w:val="bottom"/>
          </w:tcPr>
          <w:p w14:paraId="1CC755A9" w14:textId="104FFD28" w:rsidR="00E267E8" w:rsidRPr="004E74A6" w:rsidRDefault="00E267E8" w:rsidP="00CE62C1">
            <w:pPr>
              <w:spacing w:line="276" w:lineRule="auto"/>
              <w:jc w:val="center"/>
              <w:rPr>
                <w:rFonts w:cs="Calibri"/>
                <w:color w:val="000000"/>
                <w:sz w:val="20"/>
                <w:lang w:eastAsia="es-CR"/>
              </w:rPr>
            </w:pPr>
            <w:r w:rsidRPr="004E74A6">
              <w:rPr>
                <w:rFonts w:cs="Calibri"/>
                <w:color w:val="000000"/>
                <w:sz w:val="20"/>
              </w:rPr>
              <w:t>4</w:t>
            </w:r>
          </w:p>
        </w:tc>
        <w:tc>
          <w:tcPr>
            <w:tcW w:w="480" w:type="pct"/>
            <w:tcBorders>
              <w:top w:val="nil"/>
              <w:left w:val="single" w:sz="4" w:space="0" w:color="auto"/>
              <w:bottom w:val="nil"/>
              <w:right w:val="single" w:sz="4" w:space="0" w:color="auto"/>
            </w:tcBorders>
            <w:shd w:val="clear" w:color="auto" w:fill="auto"/>
            <w:noWrap/>
            <w:vAlign w:val="bottom"/>
          </w:tcPr>
          <w:p w14:paraId="262DF177" w14:textId="56141652" w:rsidR="00E267E8" w:rsidRPr="004E74A6" w:rsidRDefault="00E267E8" w:rsidP="00CE62C1">
            <w:pPr>
              <w:spacing w:line="276" w:lineRule="auto"/>
              <w:jc w:val="center"/>
              <w:rPr>
                <w:rFonts w:cs="Calibri"/>
                <w:color w:val="000000"/>
                <w:sz w:val="20"/>
                <w:lang w:eastAsia="es-CR"/>
              </w:rPr>
            </w:pPr>
            <w:r w:rsidRPr="004E74A6">
              <w:rPr>
                <w:rFonts w:cs="Calibri"/>
                <w:color w:val="000000"/>
                <w:sz w:val="20"/>
              </w:rPr>
              <w:t>30</w:t>
            </w:r>
          </w:p>
        </w:tc>
        <w:tc>
          <w:tcPr>
            <w:tcW w:w="480" w:type="pct"/>
            <w:tcBorders>
              <w:top w:val="nil"/>
              <w:left w:val="single" w:sz="4" w:space="0" w:color="auto"/>
              <w:bottom w:val="nil"/>
              <w:right w:val="single" w:sz="4" w:space="0" w:color="auto"/>
            </w:tcBorders>
            <w:shd w:val="clear" w:color="auto" w:fill="auto"/>
            <w:noWrap/>
            <w:vAlign w:val="bottom"/>
          </w:tcPr>
          <w:p w14:paraId="4B951721" w14:textId="04C934A7" w:rsidR="00E267E8" w:rsidRPr="004E74A6" w:rsidRDefault="00E267E8" w:rsidP="00CE62C1">
            <w:pPr>
              <w:spacing w:line="276" w:lineRule="auto"/>
              <w:jc w:val="center"/>
              <w:rPr>
                <w:rFonts w:cs="Calibri"/>
                <w:color w:val="000000"/>
                <w:sz w:val="20"/>
                <w:lang w:eastAsia="es-CR"/>
              </w:rPr>
            </w:pPr>
            <w:r w:rsidRPr="004E74A6">
              <w:rPr>
                <w:rFonts w:cs="Calibri"/>
                <w:color w:val="000000"/>
                <w:sz w:val="20"/>
              </w:rPr>
              <w:t>59</w:t>
            </w:r>
          </w:p>
        </w:tc>
        <w:tc>
          <w:tcPr>
            <w:tcW w:w="631" w:type="pct"/>
            <w:tcBorders>
              <w:top w:val="nil"/>
              <w:left w:val="single" w:sz="4" w:space="0" w:color="auto"/>
              <w:bottom w:val="nil"/>
              <w:right w:val="nil"/>
            </w:tcBorders>
            <w:shd w:val="clear" w:color="auto" w:fill="auto"/>
            <w:noWrap/>
            <w:vAlign w:val="bottom"/>
          </w:tcPr>
          <w:p w14:paraId="31A52FF8" w14:textId="2A8FE550" w:rsidR="00E267E8" w:rsidRPr="004E74A6" w:rsidRDefault="00E267E8" w:rsidP="00CE62C1">
            <w:pPr>
              <w:spacing w:line="276" w:lineRule="auto"/>
              <w:jc w:val="center"/>
              <w:rPr>
                <w:rFonts w:cs="Calibri"/>
                <w:color w:val="000000"/>
                <w:sz w:val="20"/>
                <w:lang w:eastAsia="es-CR"/>
              </w:rPr>
            </w:pPr>
            <w:r w:rsidRPr="004E74A6">
              <w:rPr>
                <w:rFonts w:cs="Calibri"/>
                <w:color w:val="000000"/>
                <w:sz w:val="20"/>
              </w:rPr>
              <w:t>31</w:t>
            </w:r>
          </w:p>
        </w:tc>
        <w:tc>
          <w:tcPr>
            <w:tcW w:w="1337" w:type="pct"/>
            <w:tcBorders>
              <w:top w:val="nil"/>
              <w:left w:val="single" w:sz="4" w:space="0" w:color="auto"/>
              <w:bottom w:val="nil"/>
              <w:right w:val="nil"/>
            </w:tcBorders>
          </w:tcPr>
          <w:p w14:paraId="327D7BCE" w14:textId="77777777" w:rsidR="00E267E8" w:rsidRPr="004E74A6" w:rsidRDefault="00E267E8" w:rsidP="00CE62C1">
            <w:pPr>
              <w:spacing w:line="276" w:lineRule="auto"/>
              <w:jc w:val="center"/>
              <w:rPr>
                <w:rFonts w:cs="Calibri"/>
                <w:color w:val="000000"/>
                <w:sz w:val="20"/>
              </w:rPr>
            </w:pPr>
          </w:p>
        </w:tc>
      </w:tr>
      <w:tr w:rsidR="00E267E8" w:rsidRPr="004E74A6" w14:paraId="06F0316B" w14:textId="0424ADE1" w:rsidTr="00E267E8">
        <w:trPr>
          <w:trHeight w:val="288"/>
          <w:jc w:val="center"/>
        </w:trPr>
        <w:tc>
          <w:tcPr>
            <w:tcW w:w="1593" w:type="pct"/>
            <w:tcBorders>
              <w:top w:val="nil"/>
              <w:left w:val="nil"/>
              <w:bottom w:val="nil"/>
              <w:right w:val="single" w:sz="4" w:space="0" w:color="auto"/>
            </w:tcBorders>
            <w:shd w:val="clear" w:color="auto" w:fill="auto"/>
            <w:noWrap/>
            <w:vAlign w:val="bottom"/>
          </w:tcPr>
          <w:p w14:paraId="67E503FC" w14:textId="77777777" w:rsidR="00E267E8" w:rsidRPr="004E74A6" w:rsidRDefault="00E267E8" w:rsidP="00CE62C1">
            <w:pPr>
              <w:spacing w:line="276" w:lineRule="auto"/>
              <w:jc w:val="left"/>
              <w:rPr>
                <w:rFonts w:cs="Calibri"/>
                <w:color w:val="000000"/>
                <w:sz w:val="20"/>
                <w:lang w:eastAsia="es-CR"/>
              </w:rPr>
            </w:pPr>
          </w:p>
        </w:tc>
        <w:tc>
          <w:tcPr>
            <w:tcW w:w="480" w:type="pct"/>
            <w:tcBorders>
              <w:top w:val="nil"/>
              <w:left w:val="single" w:sz="4" w:space="0" w:color="auto"/>
              <w:bottom w:val="nil"/>
              <w:right w:val="single" w:sz="4" w:space="0" w:color="auto"/>
            </w:tcBorders>
            <w:shd w:val="clear" w:color="auto" w:fill="auto"/>
            <w:noWrap/>
            <w:vAlign w:val="center"/>
          </w:tcPr>
          <w:p w14:paraId="57D6D67A" w14:textId="77777777" w:rsidR="00E267E8" w:rsidRPr="004E74A6" w:rsidRDefault="00E267E8" w:rsidP="00CE62C1">
            <w:pPr>
              <w:spacing w:line="276" w:lineRule="auto"/>
              <w:jc w:val="center"/>
              <w:rPr>
                <w:rFonts w:cs="Calibri"/>
                <w:color w:val="000000"/>
                <w:sz w:val="20"/>
                <w:lang w:eastAsia="es-CR"/>
              </w:rPr>
            </w:pPr>
          </w:p>
        </w:tc>
        <w:tc>
          <w:tcPr>
            <w:tcW w:w="480" w:type="pct"/>
            <w:tcBorders>
              <w:top w:val="nil"/>
              <w:left w:val="single" w:sz="4" w:space="0" w:color="auto"/>
              <w:bottom w:val="nil"/>
              <w:right w:val="single" w:sz="4" w:space="0" w:color="auto"/>
            </w:tcBorders>
            <w:shd w:val="clear" w:color="auto" w:fill="auto"/>
            <w:noWrap/>
            <w:vAlign w:val="center"/>
          </w:tcPr>
          <w:p w14:paraId="67EEF0CB" w14:textId="77777777" w:rsidR="00E267E8" w:rsidRPr="004E74A6" w:rsidRDefault="00E267E8" w:rsidP="00CE62C1">
            <w:pPr>
              <w:spacing w:line="276" w:lineRule="auto"/>
              <w:jc w:val="center"/>
              <w:rPr>
                <w:rFonts w:cs="Calibri"/>
                <w:color w:val="000000"/>
                <w:sz w:val="20"/>
                <w:lang w:eastAsia="es-CR"/>
              </w:rPr>
            </w:pPr>
          </w:p>
        </w:tc>
        <w:tc>
          <w:tcPr>
            <w:tcW w:w="480" w:type="pct"/>
            <w:tcBorders>
              <w:top w:val="nil"/>
              <w:left w:val="single" w:sz="4" w:space="0" w:color="auto"/>
              <w:bottom w:val="nil"/>
              <w:right w:val="single" w:sz="4" w:space="0" w:color="auto"/>
            </w:tcBorders>
            <w:shd w:val="clear" w:color="auto" w:fill="auto"/>
            <w:noWrap/>
            <w:vAlign w:val="center"/>
          </w:tcPr>
          <w:p w14:paraId="549879DB" w14:textId="77777777" w:rsidR="00E267E8" w:rsidRPr="004E74A6" w:rsidRDefault="00E267E8" w:rsidP="00CE62C1">
            <w:pPr>
              <w:spacing w:line="276" w:lineRule="auto"/>
              <w:jc w:val="center"/>
              <w:rPr>
                <w:rFonts w:cs="Calibri"/>
                <w:color w:val="000000"/>
                <w:sz w:val="20"/>
                <w:lang w:eastAsia="es-CR"/>
              </w:rPr>
            </w:pPr>
          </w:p>
        </w:tc>
        <w:tc>
          <w:tcPr>
            <w:tcW w:w="631" w:type="pct"/>
            <w:tcBorders>
              <w:top w:val="nil"/>
              <w:left w:val="single" w:sz="4" w:space="0" w:color="auto"/>
              <w:bottom w:val="nil"/>
              <w:right w:val="nil"/>
            </w:tcBorders>
            <w:shd w:val="clear" w:color="auto" w:fill="auto"/>
            <w:noWrap/>
            <w:vAlign w:val="center"/>
          </w:tcPr>
          <w:p w14:paraId="7887A5CA" w14:textId="77777777" w:rsidR="00E267E8" w:rsidRPr="004E74A6" w:rsidRDefault="00E267E8" w:rsidP="00CE62C1">
            <w:pPr>
              <w:spacing w:line="276" w:lineRule="auto"/>
              <w:jc w:val="center"/>
              <w:rPr>
                <w:rFonts w:cs="Calibri"/>
                <w:color w:val="000000"/>
                <w:sz w:val="20"/>
                <w:lang w:eastAsia="es-CR"/>
              </w:rPr>
            </w:pPr>
          </w:p>
        </w:tc>
        <w:tc>
          <w:tcPr>
            <w:tcW w:w="1337" w:type="pct"/>
            <w:tcBorders>
              <w:top w:val="nil"/>
              <w:left w:val="single" w:sz="4" w:space="0" w:color="auto"/>
              <w:bottom w:val="nil"/>
              <w:right w:val="nil"/>
            </w:tcBorders>
          </w:tcPr>
          <w:p w14:paraId="0E2F541A" w14:textId="77777777" w:rsidR="00E267E8" w:rsidRPr="004E74A6" w:rsidRDefault="00E267E8" w:rsidP="00CE62C1">
            <w:pPr>
              <w:spacing w:line="276" w:lineRule="auto"/>
              <w:jc w:val="center"/>
              <w:rPr>
                <w:rFonts w:cs="Calibri"/>
                <w:color w:val="000000"/>
                <w:sz w:val="20"/>
                <w:lang w:eastAsia="es-CR"/>
              </w:rPr>
            </w:pPr>
          </w:p>
        </w:tc>
      </w:tr>
      <w:tr w:rsidR="00E267E8" w:rsidRPr="004E74A6" w14:paraId="4DC4F80D" w14:textId="12EBF3AA" w:rsidTr="00E267E8">
        <w:trPr>
          <w:trHeight w:val="288"/>
          <w:jc w:val="center"/>
        </w:trPr>
        <w:tc>
          <w:tcPr>
            <w:tcW w:w="1593" w:type="pct"/>
            <w:tcBorders>
              <w:top w:val="nil"/>
              <w:left w:val="nil"/>
              <w:bottom w:val="nil"/>
              <w:right w:val="single" w:sz="4" w:space="0" w:color="auto"/>
            </w:tcBorders>
            <w:shd w:val="clear" w:color="auto" w:fill="C5E0B3" w:themeFill="accent6" w:themeFillTint="66"/>
            <w:noWrap/>
            <w:vAlign w:val="bottom"/>
            <w:hideMark/>
          </w:tcPr>
          <w:p w14:paraId="47A4933D" w14:textId="77777777" w:rsidR="00E267E8" w:rsidRPr="004E74A6" w:rsidRDefault="00E267E8" w:rsidP="00CE62C1">
            <w:pPr>
              <w:spacing w:line="276" w:lineRule="auto"/>
              <w:jc w:val="left"/>
              <w:rPr>
                <w:rFonts w:cs="Calibri"/>
                <w:color w:val="000000"/>
                <w:sz w:val="20"/>
                <w:lang w:eastAsia="es-CR"/>
              </w:rPr>
            </w:pPr>
            <w:r w:rsidRPr="004E74A6">
              <w:rPr>
                <w:rFonts w:cs="Calibri"/>
                <w:color w:val="000000"/>
                <w:sz w:val="20"/>
                <w:lang w:eastAsia="es-CR"/>
              </w:rPr>
              <w:t>Menos De ¢3.000.001</w:t>
            </w:r>
          </w:p>
        </w:tc>
        <w:tc>
          <w:tcPr>
            <w:tcW w:w="480" w:type="pct"/>
            <w:tcBorders>
              <w:top w:val="nil"/>
              <w:left w:val="single" w:sz="4" w:space="0" w:color="auto"/>
              <w:bottom w:val="nil"/>
              <w:right w:val="single" w:sz="4" w:space="0" w:color="auto"/>
            </w:tcBorders>
            <w:shd w:val="clear" w:color="auto" w:fill="C5E0B3" w:themeFill="accent6" w:themeFillTint="66"/>
            <w:noWrap/>
            <w:vAlign w:val="bottom"/>
            <w:hideMark/>
          </w:tcPr>
          <w:p w14:paraId="0FB15BF0" w14:textId="1191D5DF" w:rsidR="00E267E8" w:rsidRPr="004E74A6" w:rsidRDefault="00E267E8" w:rsidP="00CE62C1">
            <w:pPr>
              <w:spacing w:line="276" w:lineRule="auto"/>
              <w:jc w:val="center"/>
              <w:rPr>
                <w:rFonts w:cs="Calibri"/>
                <w:color w:val="000000"/>
                <w:sz w:val="20"/>
                <w:lang w:eastAsia="es-CR"/>
              </w:rPr>
            </w:pPr>
            <w:r w:rsidRPr="004E74A6">
              <w:rPr>
                <w:rFonts w:cs="Calibri"/>
                <w:color w:val="000000"/>
                <w:sz w:val="20"/>
              </w:rPr>
              <w:t>1</w:t>
            </w:r>
          </w:p>
        </w:tc>
        <w:tc>
          <w:tcPr>
            <w:tcW w:w="480" w:type="pct"/>
            <w:tcBorders>
              <w:top w:val="nil"/>
              <w:left w:val="single" w:sz="4" w:space="0" w:color="auto"/>
              <w:bottom w:val="nil"/>
              <w:right w:val="single" w:sz="4" w:space="0" w:color="auto"/>
            </w:tcBorders>
            <w:shd w:val="clear" w:color="auto" w:fill="C5E0B3" w:themeFill="accent6" w:themeFillTint="66"/>
            <w:noWrap/>
            <w:vAlign w:val="bottom"/>
            <w:hideMark/>
          </w:tcPr>
          <w:p w14:paraId="2220B253" w14:textId="35FE5A19" w:rsidR="00E267E8" w:rsidRPr="004E74A6" w:rsidRDefault="00E267E8" w:rsidP="00CE62C1">
            <w:pPr>
              <w:spacing w:line="276" w:lineRule="auto"/>
              <w:jc w:val="center"/>
              <w:rPr>
                <w:rFonts w:cs="Calibri"/>
                <w:color w:val="000000"/>
                <w:sz w:val="20"/>
                <w:lang w:eastAsia="es-CR"/>
              </w:rPr>
            </w:pPr>
            <w:r w:rsidRPr="004E74A6">
              <w:rPr>
                <w:rFonts w:cs="Calibri"/>
                <w:color w:val="000000"/>
                <w:sz w:val="20"/>
              </w:rPr>
              <w:t>1</w:t>
            </w:r>
          </w:p>
        </w:tc>
        <w:tc>
          <w:tcPr>
            <w:tcW w:w="480" w:type="pct"/>
            <w:tcBorders>
              <w:top w:val="nil"/>
              <w:left w:val="single" w:sz="4" w:space="0" w:color="auto"/>
              <w:bottom w:val="nil"/>
              <w:right w:val="single" w:sz="4" w:space="0" w:color="auto"/>
            </w:tcBorders>
            <w:shd w:val="clear" w:color="auto" w:fill="C5E0B3" w:themeFill="accent6" w:themeFillTint="66"/>
            <w:noWrap/>
            <w:vAlign w:val="bottom"/>
            <w:hideMark/>
          </w:tcPr>
          <w:p w14:paraId="5B65CD1A" w14:textId="385BA383" w:rsidR="00E267E8" w:rsidRPr="004E74A6" w:rsidRDefault="00E267E8" w:rsidP="00CE62C1">
            <w:pPr>
              <w:spacing w:line="276" w:lineRule="auto"/>
              <w:jc w:val="center"/>
              <w:rPr>
                <w:rFonts w:cs="Calibri"/>
                <w:color w:val="000000"/>
                <w:sz w:val="20"/>
                <w:lang w:eastAsia="es-CR"/>
              </w:rPr>
            </w:pPr>
            <w:r w:rsidRPr="004E74A6">
              <w:rPr>
                <w:rFonts w:cs="Calibri"/>
                <w:color w:val="000000"/>
                <w:sz w:val="20"/>
              </w:rPr>
              <w:t>12</w:t>
            </w:r>
          </w:p>
        </w:tc>
        <w:tc>
          <w:tcPr>
            <w:tcW w:w="631" w:type="pct"/>
            <w:tcBorders>
              <w:top w:val="nil"/>
              <w:left w:val="single" w:sz="4" w:space="0" w:color="auto"/>
              <w:bottom w:val="nil"/>
              <w:right w:val="nil"/>
            </w:tcBorders>
            <w:shd w:val="clear" w:color="auto" w:fill="C5E0B3" w:themeFill="accent6" w:themeFillTint="66"/>
            <w:noWrap/>
            <w:vAlign w:val="bottom"/>
            <w:hideMark/>
          </w:tcPr>
          <w:p w14:paraId="6B7A4C10" w14:textId="4CA3F590" w:rsidR="00E267E8" w:rsidRPr="004E74A6" w:rsidRDefault="00E267E8" w:rsidP="00CE62C1">
            <w:pPr>
              <w:spacing w:line="276" w:lineRule="auto"/>
              <w:jc w:val="center"/>
              <w:rPr>
                <w:rFonts w:cs="Calibri"/>
                <w:color w:val="000000"/>
                <w:sz w:val="20"/>
                <w:lang w:eastAsia="es-CR"/>
              </w:rPr>
            </w:pPr>
            <w:r w:rsidRPr="004E74A6">
              <w:rPr>
                <w:rFonts w:cs="Calibri"/>
                <w:color w:val="000000"/>
                <w:sz w:val="20"/>
              </w:rPr>
              <w:t>4,7</w:t>
            </w:r>
          </w:p>
        </w:tc>
        <w:tc>
          <w:tcPr>
            <w:tcW w:w="1337" w:type="pct"/>
            <w:tcBorders>
              <w:top w:val="nil"/>
              <w:left w:val="single" w:sz="4" w:space="0" w:color="auto"/>
              <w:bottom w:val="nil"/>
              <w:right w:val="nil"/>
            </w:tcBorders>
            <w:shd w:val="clear" w:color="auto" w:fill="C5E0B3" w:themeFill="accent6" w:themeFillTint="66"/>
            <w:vAlign w:val="bottom"/>
          </w:tcPr>
          <w:p w14:paraId="00EF7AD5" w14:textId="21C745D3" w:rsidR="00E267E8" w:rsidRPr="004E74A6" w:rsidRDefault="00E267E8" w:rsidP="00CE62C1">
            <w:pPr>
              <w:spacing w:line="276" w:lineRule="auto"/>
              <w:jc w:val="center"/>
              <w:rPr>
                <w:rFonts w:cs="Calibri"/>
                <w:color w:val="000000"/>
                <w:sz w:val="20"/>
              </w:rPr>
            </w:pPr>
            <w:r w:rsidRPr="004E74A6">
              <w:rPr>
                <w:rFonts w:cs="Calibri"/>
                <w:color w:val="000000"/>
                <w:sz w:val="20"/>
              </w:rPr>
              <w:t>15%</w:t>
            </w:r>
          </w:p>
        </w:tc>
      </w:tr>
      <w:tr w:rsidR="00E267E8" w:rsidRPr="004E74A6" w14:paraId="30CC2BE8" w14:textId="2D58FE3B" w:rsidTr="00E267E8">
        <w:trPr>
          <w:trHeight w:val="288"/>
          <w:jc w:val="center"/>
        </w:trPr>
        <w:tc>
          <w:tcPr>
            <w:tcW w:w="1593" w:type="pct"/>
            <w:tcBorders>
              <w:top w:val="nil"/>
              <w:left w:val="nil"/>
              <w:bottom w:val="nil"/>
              <w:right w:val="single" w:sz="4" w:space="0" w:color="auto"/>
            </w:tcBorders>
            <w:shd w:val="clear" w:color="auto" w:fill="C5E0B3" w:themeFill="accent6" w:themeFillTint="66"/>
            <w:noWrap/>
            <w:vAlign w:val="bottom"/>
            <w:hideMark/>
          </w:tcPr>
          <w:p w14:paraId="186CD67A" w14:textId="77777777" w:rsidR="00E267E8" w:rsidRPr="004E74A6" w:rsidRDefault="00E267E8" w:rsidP="00CE62C1">
            <w:pPr>
              <w:spacing w:line="276" w:lineRule="auto"/>
              <w:jc w:val="left"/>
              <w:rPr>
                <w:rFonts w:cs="Calibri"/>
                <w:color w:val="000000"/>
                <w:sz w:val="20"/>
                <w:lang w:eastAsia="es-CR"/>
              </w:rPr>
            </w:pPr>
            <w:r w:rsidRPr="004E74A6">
              <w:rPr>
                <w:rFonts w:cs="Calibri"/>
                <w:color w:val="000000"/>
                <w:sz w:val="20"/>
                <w:lang w:eastAsia="es-CR"/>
              </w:rPr>
              <w:t>De ¢3.000.001 A ¢4.000.000</w:t>
            </w:r>
          </w:p>
        </w:tc>
        <w:tc>
          <w:tcPr>
            <w:tcW w:w="480" w:type="pct"/>
            <w:tcBorders>
              <w:top w:val="nil"/>
              <w:left w:val="single" w:sz="4" w:space="0" w:color="auto"/>
              <w:bottom w:val="nil"/>
              <w:right w:val="single" w:sz="4" w:space="0" w:color="auto"/>
            </w:tcBorders>
            <w:shd w:val="clear" w:color="auto" w:fill="C5E0B3" w:themeFill="accent6" w:themeFillTint="66"/>
            <w:noWrap/>
            <w:vAlign w:val="bottom"/>
            <w:hideMark/>
          </w:tcPr>
          <w:p w14:paraId="226CD24D" w14:textId="4910797E" w:rsidR="00E267E8" w:rsidRPr="004E74A6" w:rsidRDefault="00E267E8" w:rsidP="00CE62C1">
            <w:pPr>
              <w:spacing w:line="276" w:lineRule="auto"/>
              <w:jc w:val="center"/>
              <w:rPr>
                <w:rFonts w:cs="Calibri"/>
                <w:color w:val="000000"/>
                <w:sz w:val="20"/>
                <w:lang w:eastAsia="es-CR"/>
              </w:rPr>
            </w:pPr>
            <w:r w:rsidRPr="004E74A6">
              <w:rPr>
                <w:rFonts w:cs="Calibri"/>
                <w:color w:val="000000"/>
                <w:sz w:val="20"/>
              </w:rPr>
              <w:t>0</w:t>
            </w:r>
          </w:p>
        </w:tc>
        <w:tc>
          <w:tcPr>
            <w:tcW w:w="480" w:type="pct"/>
            <w:tcBorders>
              <w:top w:val="nil"/>
              <w:left w:val="single" w:sz="4" w:space="0" w:color="auto"/>
              <w:bottom w:val="nil"/>
              <w:right w:val="single" w:sz="4" w:space="0" w:color="auto"/>
            </w:tcBorders>
            <w:shd w:val="clear" w:color="auto" w:fill="C5E0B3" w:themeFill="accent6" w:themeFillTint="66"/>
            <w:noWrap/>
            <w:vAlign w:val="bottom"/>
            <w:hideMark/>
          </w:tcPr>
          <w:p w14:paraId="43CC8E7E" w14:textId="1811AAFF" w:rsidR="00E267E8" w:rsidRPr="004E74A6" w:rsidRDefault="00E267E8" w:rsidP="00CE62C1">
            <w:pPr>
              <w:spacing w:line="276" w:lineRule="auto"/>
              <w:jc w:val="center"/>
              <w:rPr>
                <w:sz w:val="20"/>
                <w:lang w:eastAsia="es-CR"/>
              </w:rPr>
            </w:pPr>
            <w:r w:rsidRPr="004E74A6">
              <w:rPr>
                <w:rFonts w:cs="Calibri"/>
                <w:color w:val="000000"/>
                <w:sz w:val="20"/>
              </w:rPr>
              <w:t>0</w:t>
            </w:r>
          </w:p>
        </w:tc>
        <w:tc>
          <w:tcPr>
            <w:tcW w:w="480" w:type="pct"/>
            <w:tcBorders>
              <w:top w:val="nil"/>
              <w:left w:val="single" w:sz="4" w:space="0" w:color="auto"/>
              <w:bottom w:val="nil"/>
              <w:right w:val="single" w:sz="4" w:space="0" w:color="auto"/>
            </w:tcBorders>
            <w:shd w:val="clear" w:color="auto" w:fill="C5E0B3" w:themeFill="accent6" w:themeFillTint="66"/>
            <w:noWrap/>
            <w:vAlign w:val="bottom"/>
            <w:hideMark/>
          </w:tcPr>
          <w:p w14:paraId="19834C4C" w14:textId="529E1B58" w:rsidR="00E267E8" w:rsidRPr="004E74A6" w:rsidRDefault="00E267E8" w:rsidP="00CE62C1">
            <w:pPr>
              <w:spacing w:line="276" w:lineRule="auto"/>
              <w:jc w:val="center"/>
              <w:rPr>
                <w:rFonts w:cs="Calibri"/>
                <w:color w:val="000000"/>
                <w:sz w:val="20"/>
                <w:lang w:eastAsia="es-CR"/>
              </w:rPr>
            </w:pPr>
            <w:r w:rsidRPr="004E74A6">
              <w:rPr>
                <w:rFonts w:cs="Calibri"/>
                <w:color w:val="000000"/>
                <w:sz w:val="20"/>
              </w:rPr>
              <w:t>5</w:t>
            </w:r>
          </w:p>
        </w:tc>
        <w:tc>
          <w:tcPr>
            <w:tcW w:w="631" w:type="pct"/>
            <w:tcBorders>
              <w:top w:val="nil"/>
              <w:left w:val="single" w:sz="4" w:space="0" w:color="auto"/>
              <w:bottom w:val="nil"/>
              <w:right w:val="nil"/>
            </w:tcBorders>
            <w:shd w:val="clear" w:color="auto" w:fill="C5E0B3" w:themeFill="accent6" w:themeFillTint="66"/>
            <w:noWrap/>
            <w:vAlign w:val="bottom"/>
            <w:hideMark/>
          </w:tcPr>
          <w:p w14:paraId="5D12AEE3" w14:textId="0DDB50F2" w:rsidR="00E267E8" w:rsidRPr="004E74A6" w:rsidRDefault="00E267E8" w:rsidP="00CE62C1">
            <w:pPr>
              <w:spacing w:line="276" w:lineRule="auto"/>
              <w:jc w:val="center"/>
              <w:rPr>
                <w:rFonts w:cs="Calibri"/>
                <w:color w:val="000000"/>
                <w:sz w:val="20"/>
                <w:lang w:eastAsia="es-CR"/>
              </w:rPr>
            </w:pPr>
            <w:r w:rsidRPr="004E74A6">
              <w:rPr>
                <w:rFonts w:cs="Calibri"/>
                <w:color w:val="000000"/>
                <w:sz w:val="20"/>
              </w:rPr>
              <w:t>1,7</w:t>
            </w:r>
          </w:p>
        </w:tc>
        <w:tc>
          <w:tcPr>
            <w:tcW w:w="1337" w:type="pct"/>
            <w:tcBorders>
              <w:top w:val="nil"/>
              <w:left w:val="single" w:sz="4" w:space="0" w:color="auto"/>
              <w:bottom w:val="nil"/>
              <w:right w:val="nil"/>
            </w:tcBorders>
            <w:shd w:val="clear" w:color="auto" w:fill="C5E0B3" w:themeFill="accent6" w:themeFillTint="66"/>
            <w:vAlign w:val="bottom"/>
          </w:tcPr>
          <w:p w14:paraId="4A1DEC1C" w14:textId="74CE7E19" w:rsidR="00E267E8" w:rsidRPr="004E74A6" w:rsidRDefault="00E267E8" w:rsidP="00CE62C1">
            <w:pPr>
              <w:spacing w:line="276" w:lineRule="auto"/>
              <w:jc w:val="center"/>
              <w:rPr>
                <w:rFonts w:cs="Calibri"/>
                <w:color w:val="000000"/>
                <w:sz w:val="20"/>
              </w:rPr>
            </w:pPr>
            <w:r w:rsidRPr="004E74A6">
              <w:rPr>
                <w:rFonts w:cs="Calibri"/>
                <w:color w:val="000000"/>
                <w:sz w:val="20"/>
              </w:rPr>
              <w:t>20%</w:t>
            </w:r>
          </w:p>
        </w:tc>
      </w:tr>
      <w:tr w:rsidR="00E267E8" w:rsidRPr="004E74A6" w14:paraId="674ED484" w14:textId="5D3911C1" w:rsidTr="00E267E8">
        <w:trPr>
          <w:trHeight w:val="288"/>
          <w:jc w:val="center"/>
        </w:trPr>
        <w:tc>
          <w:tcPr>
            <w:tcW w:w="1593" w:type="pct"/>
            <w:tcBorders>
              <w:top w:val="nil"/>
              <w:left w:val="nil"/>
              <w:bottom w:val="nil"/>
              <w:right w:val="single" w:sz="4" w:space="0" w:color="auto"/>
            </w:tcBorders>
            <w:shd w:val="clear" w:color="auto" w:fill="C5E0B3" w:themeFill="accent6" w:themeFillTint="66"/>
            <w:noWrap/>
            <w:vAlign w:val="bottom"/>
            <w:hideMark/>
          </w:tcPr>
          <w:p w14:paraId="23BD3D46" w14:textId="77777777" w:rsidR="00E267E8" w:rsidRPr="00832773" w:rsidRDefault="00E267E8" w:rsidP="00CE62C1">
            <w:pPr>
              <w:spacing w:line="276" w:lineRule="auto"/>
              <w:jc w:val="left"/>
              <w:rPr>
                <w:rFonts w:cs="Calibri"/>
                <w:b/>
                <w:bCs/>
                <w:color w:val="000000"/>
                <w:sz w:val="20"/>
                <w:lang w:eastAsia="es-CR"/>
              </w:rPr>
            </w:pPr>
            <w:r w:rsidRPr="00832773">
              <w:rPr>
                <w:rFonts w:cs="Calibri"/>
                <w:b/>
                <w:bCs/>
                <w:color w:val="000000"/>
                <w:sz w:val="20"/>
                <w:lang w:eastAsia="es-CR"/>
              </w:rPr>
              <w:t>De ¢4.000.001 A ¢5.000.000</w:t>
            </w:r>
          </w:p>
        </w:tc>
        <w:tc>
          <w:tcPr>
            <w:tcW w:w="480" w:type="pct"/>
            <w:tcBorders>
              <w:top w:val="nil"/>
              <w:left w:val="single" w:sz="4" w:space="0" w:color="auto"/>
              <w:bottom w:val="nil"/>
              <w:right w:val="single" w:sz="4" w:space="0" w:color="auto"/>
            </w:tcBorders>
            <w:shd w:val="clear" w:color="auto" w:fill="C5E0B3" w:themeFill="accent6" w:themeFillTint="66"/>
            <w:noWrap/>
            <w:vAlign w:val="bottom"/>
            <w:hideMark/>
          </w:tcPr>
          <w:p w14:paraId="2DE45FAD" w14:textId="31BCFC27" w:rsidR="00E267E8" w:rsidRPr="00832773" w:rsidRDefault="00E267E8" w:rsidP="00CE62C1">
            <w:pPr>
              <w:spacing w:line="276" w:lineRule="auto"/>
              <w:jc w:val="center"/>
              <w:rPr>
                <w:rFonts w:cs="Calibri"/>
                <w:b/>
                <w:bCs/>
                <w:color w:val="000000"/>
                <w:sz w:val="20"/>
                <w:lang w:eastAsia="es-CR"/>
              </w:rPr>
            </w:pPr>
            <w:r w:rsidRPr="00832773">
              <w:rPr>
                <w:rFonts w:cs="Calibri"/>
                <w:b/>
                <w:bCs/>
                <w:color w:val="000000"/>
                <w:sz w:val="20"/>
              </w:rPr>
              <w:t>0</w:t>
            </w:r>
          </w:p>
        </w:tc>
        <w:tc>
          <w:tcPr>
            <w:tcW w:w="480" w:type="pct"/>
            <w:tcBorders>
              <w:top w:val="nil"/>
              <w:left w:val="single" w:sz="4" w:space="0" w:color="auto"/>
              <w:bottom w:val="nil"/>
              <w:right w:val="single" w:sz="4" w:space="0" w:color="auto"/>
            </w:tcBorders>
            <w:shd w:val="clear" w:color="auto" w:fill="C5E0B3" w:themeFill="accent6" w:themeFillTint="66"/>
            <w:noWrap/>
            <w:vAlign w:val="bottom"/>
            <w:hideMark/>
          </w:tcPr>
          <w:p w14:paraId="2D3740FF" w14:textId="3A222C66" w:rsidR="00E267E8" w:rsidRPr="00832773" w:rsidRDefault="00E267E8" w:rsidP="00CE62C1">
            <w:pPr>
              <w:spacing w:line="276" w:lineRule="auto"/>
              <w:jc w:val="center"/>
              <w:rPr>
                <w:b/>
                <w:bCs/>
                <w:sz w:val="20"/>
                <w:lang w:eastAsia="es-CR"/>
              </w:rPr>
            </w:pPr>
            <w:r w:rsidRPr="00832773">
              <w:rPr>
                <w:rFonts w:cs="Calibri"/>
                <w:b/>
                <w:bCs/>
                <w:color w:val="000000"/>
                <w:sz w:val="20"/>
              </w:rPr>
              <w:t>0</w:t>
            </w:r>
          </w:p>
        </w:tc>
        <w:tc>
          <w:tcPr>
            <w:tcW w:w="480" w:type="pct"/>
            <w:tcBorders>
              <w:top w:val="nil"/>
              <w:left w:val="single" w:sz="4" w:space="0" w:color="auto"/>
              <w:bottom w:val="nil"/>
              <w:right w:val="single" w:sz="4" w:space="0" w:color="auto"/>
            </w:tcBorders>
            <w:shd w:val="clear" w:color="auto" w:fill="C5E0B3" w:themeFill="accent6" w:themeFillTint="66"/>
            <w:noWrap/>
            <w:vAlign w:val="bottom"/>
            <w:hideMark/>
          </w:tcPr>
          <w:p w14:paraId="3BC5459D" w14:textId="55598223" w:rsidR="00E267E8" w:rsidRPr="00832773" w:rsidRDefault="00E267E8" w:rsidP="00CE62C1">
            <w:pPr>
              <w:spacing w:line="276" w:lineRule="auto"/>
              <w:jc w:val="center"/>
              <w:rPr>
                <w:rFonts w:cs="Calibri"/>
                <w:b/>
                <w:bCs/>
                <w:color w:val="000000"/>
                <w:sz w:val="20"/>
                <w:lang w:eastAsia="es-CR"/>
              </w:rPr>
            </w:pPr>
            <w:r w:rsidRPr="00832773">
              <w:rPr>
                <w:rFonts w:cs="Calibri"/>
                <w:b/>
                <w:bCs/>
                <w:color w:val="000000"/>
                <w:sz w:val="20"/>
              </w:rPr>
              <w:t>4</w:t>
            </w:r>
          </w:p>
        </w:tc>
        <w:tc>
          <w:tcPr>
            <w:tcW w:w="631" w:type="pct"/>
            <w:tcBorders>
              <w:top w:val="nil"/>
              <w:left w:val="single" w:sz="4" w:space="0" w:color="auto"/>
              <w:bottom w:val="nil"/>
              <w:right w:val="nil"/>
            </w:tcBorders>
            <w:shd w:val="clear" w:color="auto" w:fill="C5E0B3" w:themeFill="accent6" w:themeFillTint="66"/>
            <w:noWrap/>
            <w:vAlign w:val="bottom"/>
            <w:hideMark/>
          </w:tcPr>
          <w:p w14:paraId="1A0C5CBF" w14:textId="38D6089E" w:rsidR="00E267E8" w:rsidRPr="00832773" w:rsidRDefault="00E267E8" w:rsidP="00CE62C1">
            <w:pPr>
              <w:spacing w:line="276" w:lineRule="auto"/>
              <w:jc w:val="center"/>
              <w:rPr>
                <w:rFonts w:cs="Calibri"/>
                <w:b/>
                <w:bCs/>
                <w:color w:val="000000"/>
                <w:sz w:val="20"/>
                <w:lang w:eastAsia="es-CR"/>
              </w:rPr>
            </w:pPr>
            <w:r w:rsidRPr="00832773">
              <w:rPr>
                <w:rFonts w:cs="Calibri"/>
                <w:b/>
                <w:bCs/>
                <w:color w:val="000000"/>
                <w:sz w:val="20"/>
              </w:rPr>
              <w:t>1,3</w:t>
            </w:r>
          </w:p>
        </w:tc>
        <w:tc>
          <w:tcPr>
            <w:tcW w:w="1337" w:type="pct"/>
            <w:tcBorders>
              <w:top w:val="nil"/>
              <w:left w:val="single" w:sz="4" w:space="0" w:color="auto"/>
              <w:bottom w:val="nil"/>
              <w:right w:val="nil"/>
            </w:tcBorders>
            <w:shd w:val="clear" w:color="auto" w:fill="C5E0B3" w:themeFill="accent6" w:themeFillTint="66"/>
            <w:vAlign w:val="bottom"/>
          </w:tcPr>
          <w:p w14:paraId="716AFEDD" w14:textId="30C88C1B" w:rsidR="00E267E8" w:rsidRPr="00832773" w:rsidRDefault="00E267E8" w:rsidP="00CE62C1">
            <w:pPr>
              <w:spacing w:line="276" w:lineRule="auto"/>
              <w:jc w:val="center"/>
              <w:rPr>
                <w:rFonts w:cs="Calibri"/>
                <w:b/>
                <w:bCs/>
                <w:color w:val="000000"/>
                <w:sz w:val="20"/>
              </w:rPr>
            </w:pPr>
            <w:r w:rsidRPr="00832773">
              <w:rPr>
                <w:rFonts w:cs="Calibri"/>
                <w:b/>
                <w:bCs/>
                <w:color w:val="000000"/>
                <w:sz w:val="20"/>
              </w:rPr>
              <w:t>25%</w:t>
            </w:r>
          </w:p>
        </w:tc>
      </w:tr>
      <w:tr w:rsidR="00E267E8" w:rsidRPr="004E74A6" w14:paraId="74D52876" w14:textId="56974A7A" w:rsidTr="00E267E8">
        <w:trPr>
          <w:trHeight w:val="288"/>
          <w:jc w:val="center"/>
        </w:trPr>
        <w:tc>
          <w:tcPr>
            <w:tcW w:w="1593" w:type="pct"/>
            <w:tcBorders>
              <w:top w:val="nil"/>
              <w:left w:val="nil"/>
              <w:bottom w:val="nil"/>
              <w:right w:val="single" w:sz="4" w:space="0" w:color="auto"/>
            </w:tcBorders>
            <w:shd w:val="clear" w:color="auto" w:fill="C5E0B3" w:themeFill="accent6" w:themeFillTint="66"/>
            <w:noWrap/>
            <w:vAlign w:val="bottom"/>
            <w:hideMark/>
          </w:tcPr>
          <w:p w14:paraId="563BB095" w14:textId="77777777" w:rsidR="00E267E8" w:rsidRPr="004E74A6" w:rsidRDefault="00E267E8" w:rsidP="00CE62C1">
            <w:pPr>
              <w:spacing w:line="276" w:lineRule="auto"/>
              <w:jc w:val="left"/>
              <w:rPr>
                <w:rFonts w:cs="Calibri"/>
                <w:color w:val="000000"/>
                <w:sz w:val="20"/>
                <w:lang w:eastAsia="es-CR"/>
              </w:rPr>
            </w:pPr>
            <w:r w:rsidRPr="004E74A6">
              <w:rPr>
                <w:rFonts w:cs="Calibri"/>
                <w:color w:val="000000"/>
                <w:sz w:val="20"/>
                <w:lang w:eastAsia="es-CR"/>
              </w:rPr>
              <w:t>De ¢5.000.001 A ¢6.000.000</w:t>
            </w:r>
          </w:p>
        </w:tc>
        <w:tc>
          <w:tcPr>
            <w:tcW w:w="480" w:type="pct"/>
            <w:tcBorders>
              <w:top w:val="nil"/>
              <w:left w:val="single" w:sz="4" w:space="0" w:color="auto"/>
              <w:bottom w:val="nil"/>
              <w:right w:val="single" w:sz="4" w:space="0" w:color="auto"/>
            </w:tcBorders>
            <w:shd w:val="clear" w:color="auto" w:fill="C5E0B3" w:themeFill="accent6" w:themeFillTint="66"/>
            <w:noWrap/>
            <w:vAlign w:val="bottom"/>
            <w:hideMark/>
          </w:tcPr>
          <w:p w14:paraId="4AF21BCB" w14:textId="061569D9" w:rsidR="00E267E8" w:rsidRPr="004E74A6" w:rsidRDefault="00E267E8" w:rsidP="00CE62C1">
            <w:pPr>
              <w:spacing w:line="276" w:lineRule="auto"/>
              <w:jc w:val="center"/>
              <w:rPr>
                <w:rFonts w:cs="Calibri"/>
                <w:color w:val="000000"/>
                <w:sz w:val="20"/>
                <w:lang w:eastAsia="es-CR"/>
              </w:rPr>
            </w:pPr>
            <w:r w:rsidRPr="004E74A6">
              <w:rPr>
                <w:rFonts w:cs="Calibri"/>
                <w:color w:val="000000"/>
                <w:sz w:val="20"/>
              </w:rPr>
              <w:t>0</w:t>
            </w:r>
          </w:p>
        </w:tc>
        <w:tc>
          <w:tcPr>
            <w:tcW w:w="480" w:type="pct"/>
            <w:tcBorders>
              <w:top w:val="nil"/>
              <w:left w:val="single" w:sz="4" w:space="0" w:color="auto"/>
              <w:bottom w:val="nil"/>
              <w:right w:val="single" w:sz="4" w:space="0" w:color="auto"/>
            </w:tcBorders>
            <w:shd w:val="clear" w:color="auto" w:fill="C5E0B3" w:themeFill="accent6" w:themeFillTint="66"/>
            <w:noWrap/>
            <w:vAlign w:val="bottom"/>
            <w:hideMark/>
          </w:tcPr>
          <w:p w14:paraId="45212884" w14:textId="1B7E24A5" w:rsidR="00E267E8" w:rsidRPr="004E74A6" w:rsidRDefault="00E267E8" w:rsidP="00CE62C1">
            <w:pPr>
              <w:spacing w:line="276" w:lineRule="auto"/>
              <w:jc w:val="center"/>
              <w:rPr>
                <w:rFonts w:cs="Calibri"/>
                <w:color w:val="000000"/>
                <w:sz w:val="20"/>
                <w:lang w:eastAsia="es-CR"/>
              </w:rPr>
            </w:pPr>
            <w:r w:rsidRPr="004E74A6">
              <w:rPr>
                <w:rFonts w:cs="Calibri"/>
                <w:color w:val="000000"/>
                <w:sz w:val="20"/>
              </w:rPr>
              <w:t>1</w:t>
            </w:r>
          </w:p>
        </w:tc>
        <w:tc>
          <w:tcPr>
            <w:tcW w:w="480" w:type="pct"/>
            <w:tcBorders>
              <w:top w:val="nil"/>
              <w:left w:val="single" w:sz="4" w:space="0" w:color="auto"/>
              <w:bottom w:val="nil"/>
              <w:right w:val="single" w:sz="4" w:space="0" w:color="auto"/>
            </w:tcBorders>
            <w:shd w:val="clear" w:color="auto" w:fill="C5E0B3" w:themeFill="accent6" w:themeFillTint="66"/>
            <w:noWrap/>
            <w:vAlign w:val="bottom"/>
            <w:hideMark/>
          </w:tcPr>
          <w:p w14:paraId="241C2DC4" w14:textId="187BF7CE" w:rsidR="00E267E8" w:rsidRPr="004E74A6" w:rsidRDefault="00E267E8" w:rsidP="00CE62C1">
            <w:pPr>
              <w:spacing w:line="276" w:lineRule="auto"/>
              <w:jc w:val="center"/>
              <w:rPr>
                <w:rFonts w:cs="Calibri"/>
                <w:color w:val="000000"/>
                <w:sz w:val="20"/>
                <w:lang w:eastAsia="es-CR"/>
              </w:rPr>
            </w:pPr>
            <w:r w:rsidRPr="004E74A6">
              <w:rPr>
                <w:rFonts w:cs="Calibri"/>
                <w:color w:val="000000"/>
                <w:sz w:val="20"/>
              </w:rPr>
              <w:t>3</w:t>
            </w:r>
          </w:p>
        </w:tc>
        <w:tc>
          <w:tcPr>
            <w:tcW w:w="631" w:type="pct"/>
            <w:tcBorders>
              <w:top w:val="nil"/>
              <w:left w:val="single" w:sz="4" w:space="0" w:color="auto"/>
              <w:bottom w:val="nil"/>
              <w:right w:val="nil"/>
            </w:tcBorders>
            <w:shd w:val="clear" w:color="auto" w:fill="C5E0B3" w:themeFill="accent6" w:themeFillTint="66"/>
            <w:noWrap/>
            <w:vAlign w:val="bottom"/>
            <w:hideMark/>
          </w:tcPr>
          <w:p w14:paraId="68147B90" w14:textId="7A73BA48" w:rsidR="00E267E8" w:rsidRPr="004E74A6" w:rsidRDefault="00E267E8" w:rsidP="00CE62C1">
            <w:pPr>
              <w:spacing w:line="276" w:lineRule="auto"/>
              <w:jc w:val="center"/>
              <w:rPr>
                <w:rFonts w:cs="Calibri"/>
                <w:color w:val="000000"/>
                <w:sz w:val="20"/>
                <w:lang w:eastAsia="es-CR"/>
              </w:rPr>
            </w:pPr>
            <w:r w:rsidRPr="004E74A6">
              <w:rPr>
                <w:rFonts w:cs="Calibri"/>
                <w:color w:val="000000"/>
                <w:sz w:val="20"/>
              </w:rPr>
              <w:t>1,3</w:t>
            </w:r>
          </w:p>
        </w:tc>
        <w:tc>
          <w:tcPr>
            <w:tcW w:w="1337" w:type="pct"/>
            <w:tcBorders>
              <w:top w:val="nil"/>
              <w:left w:val="single" w:sz="4" w:space="0" w:color="auto"/>
              <w:bottom w:val="nil"/>
              <w:right w:val="nil"/>
            </w:tcBorders>
            <w:shd w:val="clear" w:color="auto" w:fill="C5E0B3" w:themeFill="accent6" w:themeFillTint="66"/>
            <w:vAlign w:val="bottom"/>
          </w:tcPr>
          <w:p w14:paraId="05110177" w14:textId="18B3A793" w:rsidR="00E267E8" w:rsidRPr="004E74A6" w:rsidRDefault="00E267E8" w:rsidP="00CE62C1">
            <w:pPr>
              <w:spacing w:line="276" w:lineRule="auto"/>
              <w:jc w:val="center"/>
              <w:rPr>
                <w:rFonts w:cs="Calibri"/>
                <w:color w:val="000000"/>
                <w:sz w:val="20"/>
              </w:rPr>
            </w:pPr>
            <w:r w:rsidRPr="004E74A6">
              <w:rPr>
                <w:rFonts w:cs="Calibri"/>
                <w:color w:val="000000"/>
                <w:sz w:val="20"/>
              </w:rPr>
              <w:t>29%</w:t>
            </w:r>
          </w:p>
        </w:tc>
      </w:tr>
      <w:tr w:rsidR="00E267E8" w:rsidRPr="004E74A6" w14:paraId="1573BFE6" w14:textId="1DD2112E" w:rsidTr="00E267E8">
        <w:trPr>
          <w:trHeight w:val="288"/>
          <w:jc w:val="center"/>
        </w:trPr>
        <w:tc>
          <w:tcPr>
            <w:tcW w:w="1593" w:type="pct"/>
            <w:tcBorders>
              <w:top w:val="nil"/>
              <w:left w:val="nil"/>
              <w:bottom w:val="nil"/>
              <w:right w:val="single" w:sz="4" w:space="0" w:color="auto"/>
            </w:tcBorders>
            <w:shd w:val="clear" w:color="auto" w:fill="C5E0B3" w:themeFill="accent6" w:themeFillTint="66"/>
            <w:noWrap/>
            <w:vAlign w:val="bottom"/>
            <w:hideMark/>
          </w:tcPr>
          <w:p w14:paraId="307E3F50" w14:textId="77777777" w:rsidR="00E267E8" w:rsidRPr="004E74A6" w:rsidRDefault="00E267E8" w:rsidP="00CE62C1">
            <w:pPr>
              <w:spacing w:line="276" w:lineRule="auto"/>
              <w:jc w:val="left"/>
              <w:rPr>
                <w:rFonts w:cs="Calibri"/>
                <w:color w:val="000000"/>
                <w:sz w:val="20"/>
                <w:lang w:eastAsia="es-CR"/>
              </w:rPr>
            </w:pPr>
            <w:r w:rsidRPr="004E74A6">
              <w:rPr>
                <w:rFonts w:cs="Calibri"/>
                <w:color w:val="000000"/>
                <w:sz w:val="20"/>
                <w:lang w:eastAsia="es-CR"/>
              </w:rPr>
              <w:t>De ¢6.000.001 A ¢7.000.000</w:t>
            </w:r>
          </w:p>
        </w:tc>
        <w:tc>
          <w:tcPr>
            <w:tcW w:w="480" w:type="pct"/>
            <w:tcBorders>
              <w:top w:val="nil"/>
              <w:left w:val="single" w:sz="4" w:space="0" w:color="auto"/>
              <w:bottom w:val="nil"/>
              <w:right w:val="single" w:sz="4" w:space="0" w:color="auto"/>
            </w:tcBorders>
            <w:shd w:val="clear" w:color="auto" w:fill="C5E0B3" w:themeFill="accent6" w:themeFillTint="66"/>
            <w:noWrap/>
            <w:vAlign w:val="bottom"/>
            <w:hideMark/>
          </w:tcPr>
          <w:p w14:paraId="764FB10F" w14:textId="44BE5551" w:rsidR="00E267E8" w:rsidRPr="004E74A6" w:rsidRDefault="00E267E8" w:rsidP="00CE62C1">
            <w:pPr>
              <w:spacing w:line="276" w:lineRule="auto"/>
              <w:jc w:val="center"/>
              <w:rPr>
                <w:rFonts w:cs="Calibri"/>
                <w:color w:val="000000"/>
                <w:sz w:val="20"/>
                <w:lang w:eastAsia="es-CR"/>
              </w:rPr>
            </w:pPr>
            <w:r w:rsidRPr="004E74A6">
              <w:rPr>
                <w:rFonts w:cs="Calibri"/>
                <w:color w:val="000000"/>
                <w:sz w:val="20"/>
              </w:rPr>
              <w:t>0</w:t>
            </w:r>
          </w:p>
        </w:tc>
        <w:tc>
          <w:tcPr>
            <w:tcW w:w="480" w:type="pct"/>
            <w:tcBorders>
              <w:top w:val="nil"/>
              <w:left w:val="single" w:sz="4" w:space="0" w:color="auto"/>
              <w:bottom w:val="nil"/>
              <w:right w:val="single" w:sz="4" w:space="0" w:color="auto"/>
            </w:tcBorders>
            <w:shd w:val="clear" w:color="auto" w:fill="C5E0B3" w:themeFill="accent6" w:themeFillTint="66"/>
            <w:noWrap/>
            <w:vAlign w:val="bottom"/>
            <w:hideMark/>
          </w:tcPr>
          <w:p w14:paraId="6A4873D9" w14:textId="54DBD353" w:rsidR="00E267E8" w:rsidRPr="004E74A6" w:rsidRDefault="00E267E8" w:rsidP="00CE62C1">
            <w:pPr>
              <w:spacing w:line="276" w:lineRule="auto"/>
              <w:jc w:val="center"/>
              <w:rPr>
                <w:sz w:val="20"/>
                <w:lang w:eastAsia="es-CR"/>
              </w:rPr>
            </w:pPr>
            <w:r w:rsidRPr="004E74A6">
              <w:rPr>
                <w:rFonts w:cs="Calibri"/>
                <w:color w:val="000000"/>
                <w:sz w:val="20"/>
              </w:rPr>
              <w:t>0</w:t>
            </w:r>
          </w:p>
        </w:tc>
        <w:tc>
          <w:tcPr>
            <w:tcW w:w="480" w:type="pct"/>
            <w:tcBorders>
              <w:top w:val="nil"/>
              <w:left w:val="single" w:sz="4" w:space="0" w:color="auto"/>
              <w:bottom w:val="nil"/>
              <w:right w:val="single" w:sz="4" w:space="0" w:color="auto"/>
            </w:tcBorders>
            <w:shd w:val="clear" w:color="auto" w:fill="C5E0B3" w:themeFill="accent6" w:themeFillTint="66"/>
            <w:noWrap/>
            <w:vAlign w:val="bottom"/>
            <w:hideMark/>
          </w:tcPr>
          <w:p w14:paraId="78913F25" w14:textId="0E21E03B" w:rsidR="00E267E8" w:rsidRPr="004E74A6" w:rsidRDefault="00E267E8" w:rsidP="00CE62C1">
            <w:pPr>
              <w:spacing w:line="276" w:lineRule="auto"/>
              <w:jc w:val="center"/>
              <w:rPr>
                <w:rFonts w:cs="Calibri"/>
                <w:color w:val="000000"/>
                <w:sz w:val="20"/>
                <w:lang w:eastAsia="es-CR"/>
              </w:rPr>
            </w:pPr>
            <w:r w:rsidRPr="004E74A6">
              <w:rPr>
                <w:rFonts w:cs="Calibri"/>
                <w:color w:val="000000"/>
                <w:sz w:val="20"/>
              </w:rPr>
              <w:t>5</w:t>
            </w:r>
          </w:p>
        </w:tc>
        <w:tc>
          <w:tcPr>
            <w:tcW w:w="631" w:type="pct"/>
            <w:tcBorders>
              <w:top w:val="nil"/>
              <w:left w:val="single" w:sz="4" w:space="0" w:color="auto"/>
              <w:bottom w:val="nil"/>
              <w:right w:val="nil"/>
            </w:tcBorders>
            <w:shd w:val="clear" w:color="auto" w:fill="C5E0B3" w:themeFill="accent6" w:themeFillTint="66"/>
            <w:noWrap/>
            <w:vAlign w:val="bottom"/>
            <w:hideMark/>
          </w:tcPr>
          <w:p w14:paraId="77305D2F" w14:textId="61074C57" w:rsidR="00E267E8" w:rsidRPr="004E74A6" w:rsidRDefault="00E267E8" w:rsidP="00CE62C1">
            <w:pPr>
              <w:spacing w:line="276" w:lineRule="auto"/>
              <w:jc w:val="center"/>
              <w:rPr>
                <w:rFonts w:cs="Calibri"/>
                <w:color w:val="000000"/>
                <w:sz w:val="20"/>
                <w:lang w:eastAsia="es-CR"/>
              </w:rPr>
            </w:pPr>
            <w:r w:rsidRPr="004E74A6">
              <w:rPr>
                <w:rFonts w:cs="Calibri"/>
                <w:color w:val="000000"/>
                <w:sz w:val="20"/>
              </w:rPr>
              <w:t>1,7</w:t>
            </w:r>
          </w:p>
        </w:tc>
        <w:tc>
          <w:tcPr>
            <w:tcW w:w="1337" w:type="pct"/>
            <w:tcBorders>
              <w:top w:val="nil"/>
              <w:left w:val="single" w:sz="4" w:space="0" w:color="auto"/>
              <w:bottom w:val="nil"/>
              <w:right w:val="nil"/>
            </w:tcBorders>
            <w:shd w:val="clear" w:color="auto" w:fill="C5E0B3" w:themeFill="accent6" w:themeFillTint="66"/>
            <w:vAlign w:val="bottom"/>
          </w:tcPr>
          <w:p w14:paraId="1EE9C9C2" w14:textId="3F307BFB" w:rsidR="00E267E8" w:rsidRPr="004E74A6" w:rsidRDefault="00E267E8" w:rsidP="00CE62C1">
            <w:pPr>
              <w:spacing w:line="276" w:lineRule="auto"/>
              <w:jc w:val="center"/>
              <w:rPr>
                <w:rFonts w:cs="Calibri"/>
                <w:color w:val="000000"/>
                <w:sz w:val="20"/>
              </w:rPr>
            </w:pPr>
            <w:r w:rsidRPr="004E74A6">
              <w:rPr>
                <w:rFonts w:cs="Calibri"/>
                <w:color w:val="000000"/>
                <w:sz w:val="20"/>
              </w:rPr>
              <w:t>34%</w:t>
            </w:r>
          </w:p>
        </w:tc>
      </w:tr>
      <w:tr w:rsidR="00E267E8" w:rsidRPr="004E74A6" w14:paraId="3FD98C13" w14:textId="228AB1E9" w:rsidTr="00E267E8">
        <w:trPr>
          <w:trHeight w:val="288"/>
          <w:jc w:val="center"/>
        </w:trPr>
        <w:tc>
          <w:tcPr>
            <w:tcW w:w="1593" w:type="pct"/>
            <w:tcBorders>
              <w:top w:val="nil"/>
              <w:left w:val="nil"/>
              <w:bottom w:val="nil"/>
              <w:right w:val="single" w:sz="4" w:space="0" w:color="auto"/>
            </w:tcBorders>
            <w:shd w:val="clear" w:color="auto" w:fill="C5E0B3" w:themeFill="accent6" w:themeFillTint="66"/>
            <w:noWrap/>
            <w:vAlign w:val="bottom"/>
            <w:hideMark/>
          </w:tcPr>
          <w:p w14:paraId="14959CB8" w14:textId="77777777" w:rsidR="00E267E8" w:rsidRPr="004E74A6" w:rsidRDefault="00E267E8" w:rsidP="00CE62C1">
            <w:pPr>
              <w:spacing w:line="276" w:lineRule="auto"/>
              <w:jc w:val="left"/>
              <w:rPr>
                <w:rFonts w:cs="Calibri"/>
                <w:color w:val="000000"/>
                <w:sz w:val="20"/>
                <w:lang w:eastAsia="es-CR"/>
              </w:rPr>
            </w:pPr>
            <w:r w:rsidRPr="004E74A6">
              <w:rPr>
                <w:rFonts w:cs="Calibri"/>
                <w:color w:val="000000"/>
                <w:sz w:val="20"/>
                <w:lang w:eastAsia="es-CR"/>
              </w:rPr>
              <w:t>De ¢8.000.001 A ¢9.000.000</w:t>
            </w:r>
          </w:p>
        </w:tc>
        <w:tc>
          <w:tcPr>
            <w:tcW w:w="480" w:type="pct"/>
            <w:tcBorders>
              <w:top w:val="nil"/>
              <w:left w:val="single" w:sz="4" w:space="0" w:color="auto"/>
              <w:bottom w:val="nil"/>
              <w:right w:val="single" w:sz="4" w:space="0" w:color="auto"/>
            </w:tcBorders>
            <w:shd w:val="clear" w:color="auto" w:fill="C5E0B3" w:themeFill="accent6" w:themeFillTint="66"/>
            <w:noWrap/>
            <w:vAlign w:val="bottom"/>
            <w:hideMark/>
          </w:tcPr>
          <w:p w14:paraId="4AAA013B" w14:textId="7008819D" w:rsidR="00E267E8" w:rsidRPr="004E74A6" w:rsidRDefault="00E267E8" w:rsidP="00CE62C1">
            <w:pPr>
              <w:spacing w:line="276" w:lineRule="auto"/>
              <w:jc w:val="center"/>
              <w:rPr>
                <w:rFonts w:cs="Calibri"/>
                <w:color w:val="000000"/>
                <w:sz w:val="20"/>
                <w:lang w:eastAsia="es-CR"/>
              </w:rPr>
            </w:pPr>
            <w:r w:rsidRPr="004E74A6">
              <w:rPr>
                <w:rFonts w:cs="Calibri"/>
                <w:color w:val="000000"/>
                <w:sz w:val="20"/>
              </w:rPr>
              <w:t>0</w:t>
            </w:r>
          </w:p>
        </w:tc>
        <w:tc>
          <w:tcPr>
            <w:tcW w:w="480" w:type="pct"/>
            <w:tcBorders>
              <w:top w:val="nil"/>
              <w:left w:val="single" w:sz="4" w:space="0" w:color="auto"/>
              <w:bottom w:val="nil"/>
              <w:right w:val="single" w:sz="4" w:space="0" w:color="auto"/>
            </w:tcBorders>
            <w:shd w:val="clear" w:color="auto" w:fill="C5E0B3" w:themeFill="accent6" w:themeFillTint="66"/>
            <w:noWrap/>
            <w:vAlign w:val="bottom"/>
            <w:hideMark/>
          </w:tcPr>
          <w:p w14:paraId="76FE0BB9" w14:textId="11616657" w:rsidR="00E267E8" w:rsidRPr="004E74A6" w:rsidRDefault="00E267E8" w:rsidP="00CE62C1">
            <w:pPr>
              <w:spacing w:line="276" w:lineRule="auto"/>
              <w:jc w:val="center"/>
              <w:rPr>
                <w:sz w:val="20"/>
                <w:lang w:eastAsia="es-CR"/>
              </w:rPr>
            </w:pPr>
            <w:r w:rsidRPr="004E74A6">
              <w:rPr>
                <w:rFonts w:cs="Calibri"/>
                <w:color w:val="000000"/>
                <w:sz w:val="20"/>
              </w:rPr>
              <w:t>0</w:t>
            </w:r>
          </w:p>
        </w:tc>
        <w:tc>
          <w:tcPr>
            <w:tcW w:w="480" w:type="pct"/>
            <w:tcBorders>
              <w:top w:val="nil"/>
              <w:left w:val="single" w:sz="4" w:space="0" w:color="auto"/>
              <w:bottom w:val="nil"/>
              <w:right w:val="single" w:sz="4" w:space="0" w:color="auto"/>
            </w:tcBorders>
            <w:shd w:val="clear" w:color="auto" w:fill="C5E0B3" w:themeFill="accent6" w:themeFillTint="66"/>
            <w:noWrap/>
            <w:vAlign w:val="bottom"/>
            <w:hideMark/>
          </w:tcPr>
          <w:p w14:paraId="0B14A981" w14:textId="6C86BE93" w:rsidR="00E267E8" w:rsidRPr="004E74A6" w:rsidRDefault="00E267E8" w:rsidP="00CE62C1">
            <w:pPr>
              <w:spacing w:line="276" w:lineRule="auto"/>
              <w:jc w:val="center"/>
              <w:rPr>
                <w:rFonts w:cs="Calibri"/>
                <w:color w:val="000000"/>
                <w:sz w:val="20"/>
                <w:lang w:eastAsia="es-CR"/>
              </w:rPr>
            </w:pPr>
            <w:r w:rsidRPr="004E74A6">
              <w:rPr>
                <w:rFonts w:cs="Calibri"/>
                <w:color w:val="000000"/>
                <w:sz w:val="20"/>
              </w:rPr>
              <w:t>1</w:t>
            </w:r>
          </w:p>
        </w:tc>
        <w:tc>
          <w:tcPr>
            <w:tcW w:w="631" w:type="pct"/>
            <w:tcBorders>
              <w:top w:val="nil"/>
              <w:left w:val="single" w:sz="4" w:space="0" w:color="auto"/>
              <w:bottom w:val="nil"/>
              <w:right w:val="nil"/>
            </w:tcBorders>
            <w:shd w:val="clear" w:color="auto" w:fill="C5E0B3" w:themeFill="accent6" w:themeFillTint="66"/>
            <w:noWrap/>
            <w:vAlign w:val="bottom"/>
            <w:hideMark/>
          </w:tcPr>
          <w:p w14:paraId="32B75F8E" w14:textId="1B2F8E1C" w:rsidR="00E267E8" w:rsidRPr="004E74A6" w:rsidRDefault="00E267E8" w:rsidP="00CE62C1">
            <w:pPr>
              <w:spacing w:line="276" w:lineRule="auto"/>
              <w:jc w:val="center"/>
              <w:rPr>
                <w:rFonts w:cs="Calibri"/>
                <w:color w:val="000000"/>
                <w:sz w:val="20"/>
                <w:lang w:eastAsia="es-CR"/>
              </w:rPr>
            </w:pPr>
            <w:r w:rsidRPr="004E74A6">
              <w:rPr>
                <w:rFonts w:cs="Calibri"/>
                <w:color w:val="000000"/>
                <w:sz w:val="20"/>
              </w:rPr>
              <w:t>0,3</w:t>
            </w:r>
          </w:p>
        </w:tc>
        <w:tc>
          <w:tcPr>
            <w:tcW w:w="1337" w:type="pct"/>
            <w:tcBorders>
              <w:top w:val="nil"/>
              <w:left w:val="single" w:sz="4" w:space="0" w:color="auto"/>
              <w:bottom w:val="nil"/>
              <w:right w:val="nil"/>
            </w:tcBorders>
            <w:shd w:val="clear" w:color="auto" w:fill="C5E0B3" w:themeFill="accent6" w:themeFillTint="66"/>
            <w:vAlign w:val="bottom"/>
          </w:tcPr>
          <w:p w14:paraId="3DD7EC65" w14:textId="42113442" w:rsidR="00E267E8" w:rsidRPr="004E74A6" w:rsidRDefault="00E267E8" w:rsidP="00CE62C1">
            <w:pPr>
              <w:spacing w:line="276" w:lineRule="auto"/>
              <w:jc w:val="center"/>
              <w:rPr>
                <w:rFonts w:cs="Calibri"/>
                <w:color w:val="000000"/>
                <w:sz w:val="20"/>
              </w:rPr>
            </w:pPr>
            <w:r w:rsidRPr="004E74A6">
              <w:rPr>
                <w:rFonts w:cs="Calibri"/>
                <w:color w:val="000000"/>
                <w:sz w:val="20"/>
              </w:rPr>
              <w:t>35%</w:t>
            </w:r>
          </w:p>
        </w:tc>
      </w:tr>
      <w:tr w:rsidR="00E267E8" w:rsidRPr="004E74A6" w14:paraId="333C1E95" w14:textId="31B35EA7" w:rsidTr="00E267E8">
        <w:trPr>
          <w:trHeight w:val="288"/>
          <w:jc w:val="center"/>
        </w:trPr>
        <w:tc>
          <w:tcPr>
            <w:tcW w:w="1593" w:type="pct"/>
            <w:tcBorders>
              <w:top w:val="nil"/>
              <w:left w:val="nil"/>
              <w:bottom w:val="nil"/>
              <w:right w:val="single" w:sz="4" w:space="0" w:color="auto"/>
            </w:tcBorders>
            <w:shd w:val="clear" w:color="auto" w:fill="C5E0B3" w:themeFill="accent6" w:themeFillTint="66"/>
            <w:noWrap/>
            <w:vAlign w:val="bottom"/>
            <w:hideMark/>
          </w:tcPr>
          <w:p w14:paraId="17DF854E" w14:textId="77777777" w:rsidR="00E267E8" w:rsidRPr="004E74A6" w:rsidRDefault="00E267E8" w:rsidP="00CE62C1">
            <w:pPr>
              <w:spacing w:line="276" w:lineRule="auto"/>
              <w:jc w:val="left"/>
              <w:rPr>
                <w:rFonts w:cs="Calibri"/>
                <w:color w:val="000000"/>
                <w:sz w:val="20"/>
                <w:lang w:eastAsia="es-CR"/>
              </w:rPr>
            </w:pPr>
            <w:r w:rsidRPr="004E74A6">
              <w:rPr>
                <w:rFonts w:cs="Calibri"/>
                <w:color w:val="000000"/>
                <w:sz w:val="20"/>
                <w:lang w:eastAsia="es-CR"/>
              </w:rPr>
              <w:t>De ¢9.000.001 A ¢10.000.000</w:t>
            </w:r>
          </w:p>
        </w:tc>
        <w:tc>
          <w:tcPr>
            <w:tcW w:w="480" w:type="pct"/>
            <w:tcBorders>
              <w:top w:val="nil"/>
              <w:left w:val="single" w:sz="4" w:space="0" w:color="auto"/>
              <w:bottom w:val="nil"/>
              <w:right w:val="single" w:sz="4" w:space="0" w:color="auto"/>
            </w:tcBorders>
            <w:shd w:val="clear" w:color="auto" w:fill="C5E0B3" w:themeFill="accent6" w:themeFillTint="66"/>
            <w:noWrap/>
            <w:vAlign w:val="bottom"/>
            <w:hideMark/>
          </w:tcPr>
          <w:p w14:paraId="7509B0FD" w14:textId="0A6B961A" w:rsidR="00E267E8" w:rsidRPr="004E74A6" w:rsidRDefault="00E267E8" w:rsidP="00CE62C1">
            <w:pPr>
              <w:spacing w:line="276" w:lineRule="auto"/>
              <w:jc w:val="center"/>
              <w:rPr>
                <w:rFonts w:cs="Calibri"/>
                <w:color w:val="000000"/>
                <w:sz w:val="20"/>
                <w:lang w:eastAsia="es-CR"/>
              </w:rPr>
            </w:pPr>
            <w:r w:rsidRPr="004E74A6">
              <w:rPr>
                <w:rFonts w:cs="Calibri"/>
                <w:color w:val="000000"/>
                <w:sz w:val="20"/>
              </w:rPr>
              <w:t>0</w:t>
            </w:r>
          </w:p>
        </w:tc>
        <w:tc>
          <w:tcPr>
            <w:tcW w:w="480" w:type="pct"/>
            <w:tcBorders>
              <w:top w:val="nil"/>
              <w:left w:val="single" w:sz="4" w:space="0" w:color="auto"/>
              <w:bottom w:val="nil"/>
              <w:right w:val="single" w:sz="4" w:space="0" w:color="auto"/>
            </w:tcBorders>
            <w:shd w:val="clear" w:color="auto" w:fill="C5E0B3" w:themeFill="accent6" w:themeFillTint="66"/>
            <w:noWrap/>
            <w:vAlign w:val="bottom"/>
            <w:hideMark/>
          </w:tcPr>
          <w:p w14:paraId="0FD7C7D5" w14:textId="5C6A1353" w:rsidR="00E267E8" w:rsidRPr="004E74A6" w:rsidRDefault="00E267E8" w:rsidP="00CE62C1">
            <w:pPr>
              <w:spacing w:line="276" w:lineRule="auto"/>
              <w:jc w:val="center"/>
              <w:rPr>
                <w:sz w:val="20"/>
                <w:lang w:eastAsia="es-CR"/>
              </w:rPr>
            </w:pPr>
            <w:r w:rsidRPr="004E74A6">
              <w:rPr>
                <w:rFonts w:cs="Calibri"/>
                <w:color w:val="000000"/>
                <w:sz w:val="20"/>
              </w:rPr>
              <w:t>0</w:t>
            </w:r>
          </w:p>
        </w:tc>
        <w:tc>
          <w:tcPr>
            <w:tcW w:w="480" w:type="pct"/>
            <w:tcBorders>
              <w:top w:val="nil"/>
              <w:left w:val="single" w:sz="4" w:space="0" w:color="auto"/>
              <w:bottom w:val="nil"/>
              <w:right w:val="single" w:sz="4" w:space="0" w:color="auto"/>
            </w:tcBorders>
            <w:shd w:val="clear" w:color="auto" w:fill="C5E0B3" w:themeFill="accent6" w:themeFillTint="66"/>
            <w:noWrap/>
            <w:vAlign w:val="bottom"/>
            <w:hideMark/>
          </w:tcPr>
          <w:p w14:paraId="6419FBD6" w14:textId="40ECED6B" w:rsidR="00E267E8" w:rsidRPr="004E74A6" w:rsidRDefault="00E267E8" w:rsidP="00CE62C1">
            <w:pPr>
              <w:spacing w:line="276" w:lineRule="auto"/>
              <w:jc w:val="center"/>
              <w:rPr>
                <w:rFonts w:cs="Calibri"/>
                <w:color w:val="000000"/>
                <w:sz w:val="20"/>
                <w:lang w:eastAsia="es-CR"/>
              </w:rPr>
            </w:pPr>
            <w:r w:rsidRPr="004E74A6">
              <w:rPr>
                <w:rFonts w:cs="Calibri"/>
                <w:color w:val="000000"/>
                <w:sz w:val="20"/>
              </w:rPr>
              <w:t>1</w:t>
            </w:r>
          </w:p>
        </w:tc>
        <w:tc>
          <w:tcPr>
            <w:tcW w:w="631" w:type="pct"/>
            <w:tcBorders>
              <w:top w:val="nil"/>
              <w:left w:val="single" w:sz="4" w:space="0" w:color="auto"/>
              <w:bottom w:val="nil"/>
              <w:right w:val="nil"/>
            </w:tcBorders>
            <w:shd w:val="clear" w:color="auto" w:fill="C5E0B3" w:themeFill="accent6" w:themeFillTint="66"/>
            <w:noWrap/>
            <w:vAlign w:val="bottom"/>
            <w:hideMark/>
          </w:tcPr>
          <w:p w14:paraId="53DF2931" w14:textId="77847787" w:rsidR="00E267E8" w:rsidRPr="004E74A6" w:rsidRDefault="00E267E8" w:rsidP="00CE62C1">
            <w:pPr>
              <w:spacing w:line="276" w:lineRule="auto"/>
              <w:jc w:val="center"/>
              <w:rPr>
                <w:rFonts w:cs="Calibri"/>
                <w:color w:val="000000"/>
                <w:sz w:val="20"/>
                <w:lang w:eastAsia="es-CR"/>
              </w:rPr>
            </w:pPr>
            <w:r w:rsidRPr="004E74A6">
              <w:rPr>
                <w:rFonts w:cs="Calibri"/>
                <w:color w:val="000000"/>
                <w:sz w:val="20"/>
              </w:rPr>
              <w:t>0,3</w:t>
            </w:r>
          </w:p>
        </w:tc>
        <w:tc>
          <w:tcPr>
            <w:tcW w:w="1337" w:type="pct"/>
            <w:tcBorders>
              <w:top w:val="nil"/>
              <w:left w:val="single" w:sz="4" w:space="0" w:color="auto"/>
              <w:bottom w:val="nil"/>
              <w:right w:val="nil"/>
            </w:tcBorders>
            <w:shd w:val="clear" w:color="auto" w:fill="C5E0B3" w:themeFill="accent6" w:themeFillTint="66"/>
            <w:vAlign w:val="bottom"/>
          </w:tcPr>
          <w:p w14:paraId="49430947" w14:textId="290EAD48" w:rsidR="00E267E8" w:rsidRPr="004E74A6" w:rsidRDefault="00E267E8" w:rsidP="00CE62C1">
            <w:pPr>
              <w:spacing w:line="276" w:lineRule="auto"/>
              <w:jc w:val="center"/>
              <w:rPr>
                <w:rFonts w:cs="Calibri"/>
                <w:color w:val="000000"/>
                <w:sz w:val="20"/>
              </w:rPr>
            </w:pPr>
            <w:r w:rsidRPr="004E74A6">
              <w:rPr>
                <w:rFonts w:cs="Calibri"/>
                <w:color w:val="000000"/>
                <w:sz w:val="20"/>
              </w:rPr>
              <w:t>37%</w:t>
            </w:r>
          </w:p>
        </w:tc>
      </w:tr>
      <w:tr w:rsidR="00E267E8" w:rsidRPr="004E74A6" w14:paraId="68E4EE81" w14:textId="10BF83A5" w:rsidTr="00E267E8">
        <w:trPr>
          <w:trHeight w:val="288"/>
          <w:jc w:val="center"/>
        </w:trPr>
        <w:tc>
          <w:tcPr>
            <w:tcW w:w="1593" w:type="pct"/>
            <w:tcBorders>
              <w:top w:val="nil"/>
              <w:left w:val="nil"/>
              <w:bottom w:val="nil"/>
              <w:right w:val="single" w:sz="4" w:space="0" w:color="auto"/>
            </w:tcBorders>
            <w:shd w:val="clear" w:color="auto" w:fill="C5E0B3" w:themeFill="accent6" w:themeFillTint="66"/>
            <w:noWrap/>
            <w:vAlign w:val="bottom"/>
            <w:hideMark/>
          </w:tcPr>
          <w:p w14:paraId="246E158B" w14:textId="77777777" w:rsidR="00E267E8" w:rsidRPr="004E74A6" w:rsidRDefault="00E267E8" w:rsidP="00CE62C1">
            <w:pPr>
              <w:spacing w:line="276" w:lineRule="auto"/>
              <w:jc w:val="left"/>
              <w:rPr>
                <w:rFonts w:cs="Calibri"/>
                <w:color w:val="000000"/>
                <w:sz w:val="20"/>
                <w:lang w:eastAsia="es-CR"/>
              </w:rPr>
            </w:pPr>
            <w:r w:rsidRPr="004E74A6">
              <w:rPr>
                <w:rFonts w:cs="Calibri"/>
                <w:color w:val="000000"/>
                <w:sz w:val="20"/>
                <w:lang w:eastAsia="es-CR"/>
              </w:rPr>
              <w:t>De ¢10.000.001 A ¢15.000.000</w:t>
            </w:r>
          </w:p>
        </w:tc>
        <w:tc>
          <w:tcPr>
            <w:tcW w:w="480" w:type="pct"/>
            <w:tcBorders>
              <w:top w:val="nil"/>
              <w:left w:val="single" w:sz="4" w:space="0" w:color="auto"/>
              <w:bottom w:val="nil"/>
              <w:right w:val="single" w:sz="4" w:space="0" w:color="auto"/>
            </w:tcBorders>
            <w:shd w:val="clear" w:color="auto" w:fill="C5E0B3" w:themeFill="accent6" w:themeFillTint="66"/>
            <w:noWrap/>
            <w:vAlign w:val="bottom"/>
            <w:hideMark/>
          </w:tcPr>
          <w:p w14:paraId="2E3D400D" w14:textId="2FEA5BDF" w:rsidR="00E267E8" w:rsidRPr="004E74A6" w:rsidRDefault="00E267E8" w:rsidP="00CE62C1">
            <w:pPr>
              <w:spacing w:line="276" w:lineRule="auto"/>
              <w:jc w:val="center"/>
              <w:rPr>
                <w:rFonts w:cs="Calibri"/>
                <w:color w:val="000000"/>
                <w:sz w:val="20"/>
                <w:lang w:eastAsia="es-CR"/>
              </w:rPr>
            </w:pPr>
            <w:r w:rsidRPr="004E74A6">
              <w:rPr>
                <w:rFonts w:cs="Calibri"/>
                <w:color w:val="000000"/>
                <w:sz w:val="20"/>
              </w:rPr>
              <w:t>0</w:t>
            </w:r>
          </w:p>
        </w:tc>
        <w:tc>
          <w:tcPr>
            <w:tcW w:w="480" w:type="pct"/>
            <w:tcBorders>
              <w:top w:val="nil"/>
              <w:left w:val="single" w:sz="4" w:space="0" w:color="auto"/>
              <w:bottom w:val="nil"/>
              <w:right w:val="single" w:sz="4" w:space="0" w:color="auto"/>
            </w:tcBorders>
            <w:shd w:val="clear" w:color="auto" w:fill="C5E0B3" w:themeFill="accent6" w:themeFillTint="66"/>
            <w:noWrap/>
            <w:vAlign w:val="bottom"/>
            <w:hideMark/>
          </w:tcPr>
          <w:p w14:paraId="7ECF024B" w14:textId="4CD34E28" w:rsidR="00E267E8" w:rsidRPr="004E74A6" w:rsidRDefault="00E267E8" w:rsidP="00CE62C1">
            <w:pPr>
              <w:spacing w:line="276" w:lineRule="auto"/>
              <w:jc w:val="center"/>
              <w:rPr>
                <w:sz w:val="20"/>
                <w:lang w:eastAsia="es-CR"/>
              </w:rPr>
            </w:pPr>
            <w:r w:rsidRPr="004E74A6">
              <w:rPr>
                <w:rFonts w:cs="Calibri"/>
                <w:color w:val="000000"/>
                <w:sz w:val="20"/>
              </w:rPr>
              <w:t>0</w:t>
            </w:r>
          </w:p>
        </w:tc>
        <w:tc>
          <w:tcPr>
            <w:tcW w:w="480" w:type="pct"/>
            <w:tcBorders>
              <w:top w:val="nil"/>
              <w:left w:val="single" w:sz="4" w:space="0" w:color="auto"/>
              <w:bottom w:val="nil"/>
              <w:right w:val="single" w:sz="4" w:space="0" w:color="auto"/>
            </w:tcBorders>
            <w:shd w:val="clear" w:color="auto" w:fill="C5E0B3" w:themeFill="accent6" w:themeFillTint="66"/>
            <w:noWrap/>
            <w:vAlign w:val="bottom"/>
            <w:hideMark/>
          </w:tcPr>
          <w:p w14:paraId="6697F3B3" w14:textId="4167E559" w:rsidR="00E267E8" w:rsidRPr="004E74A6" w:rsidRDefault="00E267E8" w:rsidP="00CE62C1">
            <w:pPr>
              <w:spacing w:line="276" w:lineRule="auto"/>
              <w:jc w:val="center"/>
              <w:rPr>
                <w:rFonts w:cs="Calibri"/>
                <w:color w:val="000000"/>
                <w:sz w:val="20"/>
                <w:lang w:eastAsia="es-CR"/>
              </w:rPr>
            </w:pPr>
            <w:r w:rsidRPr="004E74A6">
              <w:rPr>
                <w:rFonts w:cs="Calibri"/>
                <w:color w:val="000000"/>
                <w:sz w:val="20"/>
              </w:rPr>
              <w:t>8</w:t>
            </w:r>
          </w:p>
        </w:tc>
        <w:tc>
          <w:tcPr>
            <w:tcW w:w="631" w:type="pct"/>
            <w:tcBorders>
              <w:top w:val="nil"/>
              <w:left w:val="single" w:sz="4" w:space="0" w:color="auto"/>
              <w:bottom w:val="nil"/>
              <w:right w:val="nil"/>
            </w:tcBorders>
            <w:shd w:val="clear" w:color="auto" w:fill="C5E0B3" w:themeFill="accent6" w:themeFillTint="66"/>
            <w:noWrap/>
            <w:vAlign w:val="bottom"/>
            <w:hideMark/>
          </w:tcPr>
          <w:p w14:paraId="6E6D0EFD" w14:textId="401889A2" w:rsidR="00E267E8" w:rsidRPr="004E74A6" w:rsidRDefault="00E267E8" w:rsidP="00CE62C1">
            <w:pPr>
              <w:spacing w:line="276" w:lineRule="auto"/>
              <w:jc w:val="center"/>
              <w:rPr>
                <w:rFonts w:cs="Calibri"/>
                <w:color w:val="000000"/>
                <w:sz w:val="20"/>
                <w:lang w:eastAsia="es-CR"/>
              </w:rPr>
            </w:pPr>
            <w:r w:rsidRPr="004E74A6">
              <w:rPr>
                <w:rFonts w:cs="Calibri"/>
                <w:color w:val="000000"/>
                <w:sz w:val="20"/>
              </w:rPr>
              <w:t>2,7</w:t>
            </w:r>
          </w:p>
        </w:tc>
        <w:tc>
          <w:tcPr>
            <w:tcW w:w="1337" w:type="pct"/>
            <w:tcBorders>
              <w:top w:val="nil"/>
              <w:left w:val="single" w:sz="4" w:space="0" w:color="auto"/>
              <w:bottom w:val="nil"/>
              <w:right w:val="nil"/>
            </w:tcBorders>
            <w:shd w:val="clear" w:color="auto" w:fill="C5E0B3" w:themeFill="accent6" w:themeFillTint="66"/>
            <w:vAlign w:val="bottom"/>
          </w:tcPr>
          <w:p w14:paraId="1E2A0D7C" w14:textId="331A6CD0" w:rsidR="00E267E8" w:rsidRPr="004E74A6" w:rsidRDefault="00E267E8" w:rsidP="00CE62C1">
            <w:pPr>
              <w:spacing w:line="276" w:lineRule="auto"/>
              <w:jc w:val="center"/>
              <w:rPr>
                <w:rFonts w:cs="Calibri"/>
                <w:color w:val="000000"/>
                <w:sz w:val="20"/>
              </w:rPr>
            </w:pPr>
            <w:r w:rsidRPr="004E74A6">
              <w:rPr>
                <w:rFonts w:cs="Calibri"/>
                <w:color w:val="000000"/>
                <w:sz w:val="20"/>
              </w:rPr>
              <w:t>45%</w:t>
            </w:r>
          </w:p>
        </w:tc>
      </w:tr>
      <w:tr w:rsidR="00E267E8" w:rsidRPr="004E74A6" w14:paraId="294C36C8" w14:textId="77B5D239" w:rsidTr="00E267E8">
        <w:trPr>
          <w:trHeight w:val="288"/>
          <w:jc w:val="center"/>
        </w:trPr>
        <w:tc>
          <w:tcPr>
            <w:tcW w:w="1593" w:type="pct"/>
            <w:tcBorders>
              <w:top w:val="nil"/>
              <w:left w:val="nil"/>
              <w:bottom w:val="nil"/>
              <w:right w:val="single" w:sz="4" w:space="0" w:color="auto"/>
            </w:tcBorders>
            <w:shd w:val="clear" w:color="auto" w:fill="C5E0B3" w:themeFill="accent6" w:themeFillTint="66"/>
            <w:noWrap/>
            <w:vAlign w:val="bottom"/>
            <w:hideMark/>
          </w:tcPr>
          <w:p w14:paraId="319EA89A" w14:textId="77777777" w:rsidR="00E267E8" w:rsidRPr="004E74A6" w:rsidRDefault="00E267E8" w:rsidP="00CE62C1">
            <w:pPr>
              <w:spacing w:line="276" w:lineRule="auto"/>
              <w:jc w:val="left"/>
              <w:rPr>
                <w:rFonts w:cs="Calibri"/>
                <w:color w:val="000000"/>
                <w:sz w:val="20"/>
                <w:lang w:eastAsia="es-CR"/>
              </w:rPr>
            </w:pPr>
            <w:r w:rsidRPr="004E74A6">
              <w:rPr>
                <w:rFonts w:cs="Calibri"/>
                <w:color w:val="000000"/>
                <w:sz w:val="20"/>
                <w:lang w:eastAsia="es-CR"/>
              </w:rPr>
              <w:t>De ¢15.000.001 A ¢20.000.000</w:t>
            </w:r>
          </w:p>
        </w:tc>
        <w:tc>
          <w:tcPr>
            <w:tcW w:w="480" w:type="pct"/>
            <w:tcBorders>
              <w:top w:val="nil"/>
              <w:left w:val="single" w:sz="4" w:space="0" w:color="auto"/>
              <w:bottom w:val="nil"/>
              <w:right w:val="single" w:sz="4" w:space="0" w:color="auto"/>
            </w:tcBorders>
            <w:shd w:val="clear" w:color="auto" w:fill="C5E0B3" w:themeFill="accent6" w:themeFillTint="66"/>
            <w:noWrap/>
            <w:vAlign w:val="bottom"/>
            <w:hideMark/>
          </w:tcPr>
          <w:p w14:paraId="2EB6D857" w14:textId="0864D0F0" w:rsidR="00E267E8" w:rsidRPr="004E74A6" w:rsidRDefault="00E267E8" w:rsidP="00CE62C1">
            <w:pPr>
              <w:spacing w:line="276" w:lineRule="auto"/>
              <w:jc w:val="center"/>
              <w:rPr>
                <w:rFonts w:cs="Calibri"/>
                <w:color w:val="000000"/>
                <w:sz w:val="20"/>
                <w:lang w:eastAsia="es-CR"/>
              </w:rPr>
            </w:pPr>
            <w:r w:rsidRPr="004E74A6">
              <w:rPr>
                <w:rFonts w:cs="Calibri"/>
                <w:color w:val="000000"/>
                <w:sz w:val="20"/>
              </w:rPr>
              <w:t>0</w:t>
            </w:r>
          </w:p>
        </w:tc>
        <w:tc>
          <w:tcPr>
            <w:tcW w:w="480" w:type="pct"/>
            <w:tcBorders>
              <w:top w:val="nil"/>
              <w:left w:val="single" w:sz="4" w:space="0" w:color="auto"/>
              <w:bottom w:val="nil"/>
              <w:right w:val="single" w:sz="4" w:space="0" w:color="auto"/>
            </w:tcBorders>
            <w:shd w:val="clear" w:color="auto" w:fill="C5E0B3" w:themeFill="accent6" w:themeFillTint="66"/>
            <w:noWrap/>
            <w:vAlign w:val="bottom"/>
            <w:hideMark/>
          </w:tcPr>
          <w:p w14:paraId="37964484" w14:textId="1EB04CCC" w:rsidR="00E267E8" w:rsidRPr="004E74A6" w:rsidRDefault="00E267E8" w:rsidP="00CE62C1">
            <w:pPr>
              <w:spacing w:line="276" w:lineRule="auto"/>
              <w:jc w:val="center"/>
              <w:rPr>
                <w:sz w:val="20"/>
                <w:lang w:eastAsia="es-CR"/>
              </w:rPr>
            </w:pPr>
            <w:r w:rsidRPr="004E74A6">
              <w:rPr>
                <w:rFonts w:cs="Calibri"/>
                <w:color w:val="000000"/>
                <w:sz w:val="20"/>
              </w:rPr>
              <w:t>0</w:t>
            </w:r>
          </w:p>
        </w:tc>
        <w:tc>
          <w:tcPr>
            <w:tcW w:w="480" w:type="pct"/>
            <w:tcBorders>
              <w:top w:val="nil"/>
              <w:left w:val="single" w:sz="4" w:space="0" w:color="auto"/>
              <w:bottom w:val="nil"/>
              <w:right w:val="single" w:sz="4" w:space="0" w:color="auto"/>
            </w:tcBorders>
            <w:shd w:val="clear" w:color="auto" w:fill="C5E0B3" w:themeFill="accent6" w:themeFillTint="66"/>
            <w:noWrap/>
            <w:vAlign w:val="bottom"/>
            <w:hideMark/>
          </w:tcPr>
          <w:p w14:paraId="1ACF5DAA" w14:textId="5EE837E4" w:rsidR="00E267E8" w:rsidRPr="004E74A6" w:rsidRDefault="00E267E8" w:rsidP="00CE62C1">
            <w:pPr>
              <w:spacing w:line="276" w:lineRule="auto"/>
              <w:jc w:val="center"/>
              <w:rPr>
                <w:rFonts w:cs="Calibri"/>
                <w:color w:val="000000"/>
                <w:sz w:val="20"/>
                <w:lang w:eastAsia="es-CR"/>
              </w:rPr>
            </w:pPr>
            <w:r w:rsidRPr="004E74A6">
              <w:rPr>
                <w:rFonts w:cs="Calibri"/>
                <w:color w:val="000000"/>
                <w:sz w:val="20"/>
              </w:rPr>
              <w:t>2</w:t>
            </w:r>
          </w:p>
        </w:tc>
        <w:tc>
          <w:tcPr>
            <w:tcW w:w="631" w:type="pct"/>
            <w:tcBorders>
              <w:top w:val="nil"/>
              <w:left w:val="single" w:sz="4" w:space="0" w:color="auto"/>
              <w:bottom w:val="nil"/>
              <w:right w:val="nil"/>
            </w:tcBorders>
            <w:shd w:val="clear" w:color="auto" w:fill="C5E0B3" w:themeFill="accent6" w:themeFillTint="66"/>
            <w:noWrap/>
            <w:vAlign w:val="bottom"/>
            <w:hideMark/>
          </w:tcPr>
          <w:p w14:paraId="2048F0D7" w14:textId="741D10A7" w:rsidR="00E267E8" w:rsidRPr="004E74A6" w:rsidRDefault="00E267E8" w:rsidP="00CE62C1">
            <w:pPr>
              <w:spacing w:line="276" w:lineRule="auto"/>
              <w:jc w:val="center"/>
              <w:rPr>
                <w:rFonts w:cs="Calibri"/>
                <w:color w:val="000000"/>
                <w:sz w:val="20"/>
                <w:lang w:eastAsia="es-CR"/>
              </w:rPr>
            </w:pPr>
            <w:r w:rsidRPr="004E74A6">
              <w:rPr>
                <w:rFonts w:cs="Calibri"/>
                <w:color w:val="000000"/>
                <w:sz w:val="20"/>
              </w:rPr>
              <w:t>0,7</w:t>
            </w:r>
          </w:p>
        </w:tc>
        <w:tc>
          <w:tcPr>
            <w:tcW w:w="1337" w:type="pct"/>
            <w:tcBorders>
              <w:top w:val="nil"/>
              <w:left w:val="single" w:sz="4" w:space="0" w:color="auto"/>
              <w:bottom w:val="nil"/>
              <w:right w:val="nil"/>
            </w:tcBorders>
            <w:shd w:val="clear" w:color="auto" w:fill="C5E0B3" w:themeFill="accent6" w:themeFillTint="66"/>
            <w:vAlign w:val="bottom"/>
          </w:tcPr>
          <w:p w14:paraId="154EC2B4" w14:textId="17CD303F" w:rsidR="00E267E8" w:rsidRPr="004E74A6" w:rsidRDefault="00E267E8" w:rsidP="00CE62C1">
            <w:pPr>
              <w:spacing w:line="276" w:lineRule="auto"/>
              <w:jc w:val="center"/>
              <w:rPr>
                <w:rFonts w:cs="Calibri"/>
                <w:color w:val="000000"/>
                <w:sz w:val="20"/>
              </w:rPr>
            </w:pPr>
            <w:r w:rsidRPr="004E74A6">
              <w:rPr>
                <w:rFonts w:cs="Calibri"/>
                <w:color w:val="000000"/>
                <w:sz w:val="20"/>
              </w:rPr>
              <w:t>47%</w:t>
            </w:r>
          </w:p>
        </w:tc>
      </w:tr>
      <w:tr w:rsidR="00E267E8" w:rsidRPr="004E74A6" w14:paraId="2186019C" w14:textId="1DA84AE2" w:rsidTr="00E267E8">
        <w:trPr>
          <w:trHeight w:val="288"/>
          <w:jc w:val="center"/>
        </w:trPr>
        <w:tc>
          <w:tcPr>
            <w:tcW w:w="1593" w:type="pct"/>
            <w:tcBorders>
              <w:top w:val="nil"/>
              <w:left w:val="nil"/>
              <w:bottom w:val="nil"/>
              <w:right w:val="single" w:sz="4" w:space="0" w:color="auto"/>
            </w:tcBorders>
            <w:shd w:val="clear" w:color="auto" w:fill="auto"/>
            <w:noWrap/>
            <w:vAlign w:val="bottom"/>
            <w:hideMark/>
          </w:tcPr>
          <w:p w14:paraId="6BDE65DA" w14:textId="77777777" w:rsidR="00E267E8" w:rsidRPr="004E74A6" w:rsidRDefault="00E267E8" w:rsidP="00CE62C1">
            <w:pPr>
              <w:spacing w:line="276" w:lineRule="auto"/>
              <w:jc w:val="left"/>
              <w:rPr>
                <w:rFonts w:cs="Calibri"/>
                <w:color w:val="000000"/>
                <w:sz w:val="20"/>
                <w:lang w:eastAsia="es-CR"/>
              </w:rPr>
            </w:pPr>
            <w:r w:rsidRPr="004E74A6">
              <w:rPr>
                <w:rFonts w:cs="Calibri"/>
                <w:color w:val="000000"/>
                <w:sz w:val="20"/>
                <w:lang w:eastAsia="es-CR"/>
              </w:rPr>
              <w:t>De ¢20.000.001 A ¢25.000.000</w:t>
            </w:r>
          </w:p>
        </w:tc>
        <w:tc>
          <w:tcPr>
            <w:tcW w:w="480" w:type="pct"/>
            <w:tcBorders>
              <w:top w:val="nil"/>
              <w:left w:val="single" w:sz="4" w:space="0" w:color="auto"/>
              <w:bottom w:val="nil"/>
              <w:right w:val="single" w:sz="4" w:space="0" w:color="auto"/>
            </w:tcBorders>
            <w:shd w:val="clear" w:color="auto" w:fill="auto"/>
            <w:noWrap/>
            <w:vAlign w:val="bottom"/>
            <w:hideMark/>
          </w:tcPr>
          <w:p w14:paraId="4DF65C2C" w14:textId="29EED881" w:rsidR="00E267E8" w:rsidRPr="004E74A6" w:rsidRDefault="00E267E8" w:rsidP="00CE62C1">
            <w:pPr>
              <w:spacing w:line="276" w:lineRule="auto"/>
              <w:jc w:val="center"/>
              <w:rPr>
                <w:rFonts w:cs="Calibri"/>
                <w:color w:val="000000"/>
                <w:sz w:val="20"/>
                <w:lang w:eastAsia="es-CR"/>
              </w:rPr>
            </w:pPr>
            <w:r w:rsidRPr="004E74A6">
              <w:rPr>
                <w:rFonts w:cs="Calibri"/>
                <w:color w:val="000000"/>
                <w:sz w:val="20"/>
              </w:rPr>
              <w:t>1</w:t>
            </w:r>
          </w:p>
        </w:tc>
        <w:tc>
          <w:tcPr>
            <w:tcW w:w="480" w:type="pct"/>
            <w:tcBorders>
              <w:top w:val="nil"/>
              <w:left w:val="single" w:sz="4" w:space="0" w:color="auto"/>
              <w:bottom w:val="nil"/>
              <w:right w:val="single" w:sz="4" w:space="0" w:color="auto"/>
            </w:tcBorders>
            <w:shd w:val="clear" w:color="auto" w:fill="auto"/>
            <w:noWrap/>
            <w:vAlign w:val="bottom"/>
            <w:hideMark/>
          </w:tcPr>
          <w:p w14:paraId="7F3AE71C" w14:textId="4AF4A1FB" w:rsidR="00E267E8" w:rsidRPr="004E74A6" w:rsidRDefault="00E267E8" w:rsidP="00CE62C1">
            <w:pPr>
              <w:spacing w:line="276" w:lineRule="auto"/>
              <w:jc w:val="center"/>
              <w:rPr>
                <w:rFonts w:cs="Calibri"/>
                <w:color w:val="000000"/>
                <w:sz w:val="20"/>
                <w:lang w:eastAsia="es-CR"/>
              </w:rPr>
            </w:pPr>
            <w:r w:rsidRPr="004E74A6">
              <w:rPr>
                <w:rFonts w:cs="Calibri"/>
                <w:color w:val="000000"/>
                <w:sz w:val="20"/>
              </w:rPr>
              <w:t>0</w:t>
            </w:r>
          </w:p>
        </w:tc>
        <w:tc>
          <w:tcPr>
            <w:tcW w:w="480" w:type="pct"/>
            <w:tcBorders>
              <w:top w:val="nil"/>
              <w:left w:val="single" w:sz="4" w:space="0" w:color="auto"/>
              <w:bottom w:val="nil"/>
              <w:right w:val="single" w:sz="4" w:space="0" w:color="auto"/>
            </w:tcBorders>
            <w:shd w:val="clear" w:color="auto" w:fill="auto"/>
            <w:noWrap/>
            <w:vAlign w:val="bottom"/>
            <w:hideMark/>
          </w:tcPr>
          <w:p w14:paraId="11C1294A" w14:textId="0FF64518" w:rsidR="00E267E8" w:rsidRPr="004E74A6" w:rsidRDefault="00E267E8" w:rsidP="00CE62C1">
            <w:pPr>
              <w:spacing w:line="276" w:lineRule="auto"/>
              <w:jc w:val="center"/>
              <w:rPr>
                <w:rFonts w:cs="Calibri"/>
                <w:color w:val="000000"/>
                <w:sz w:val="20"/>
                <w:lang w:eastAsia="es-CR"/>
              </w:rPr>
            </w:pPr>
            <w:r w:rsidRPr="004E74A6">
              <w:rPr>
                <w:rFonts w:cs="Calibri"/>
                <w:color w:val="000000"/>
                <w:sz w:val="20"/>
              </w:rPr>
              <w:t>2</w:t>
            </w:r>
          </w:p>
        </w:tc>
        <w:tc>
          <w:tcPr>
            <w:tcW w:w="631" w:type="pct"/>
            <w:tcBorders>
              <w:top w:val="nil"/>
              <w:left w:val="single" w:sz="4" w:space="0" w:color="auto"/>
              <w:bottom w:val="nil"/>
              <w:right w:val="nil"/>
            </w:tcBorders>
            <w:shd w:val="clear" w:color="auto" w:fill="auto"/>
            <w:noWrap/>
            <w:vAlign w:val="bottom"/>
            <w:hideMark/>
          </w:tcPr>
          <w:p w14:paraId="3A59C922" w14:textId="300DD368" w:rsidR="00E267E8" w:rsidRPr="004E74A6" w:rsidRDefault="00E267E8" w:rsidP="00CE62C1">
            <w:pPr>
              <w:spacing w:line="276" w:lineRule="auto"/>
              <w:jc w:val="center"/>
              <w:rPr>
                <w:rFonts w:cs="Calibri"/>
                <w:color w:val="000000"/>
                <w:sz w:val="20"/>
                <w:lang w:eastAsia="es-CR"/>
              </w:rPr>
            </w:pPr>
            <w:r w:rsidRPr="004E74A6">
              <w:rPr>
                <w:rFonts w:cs="Calibri"/>
                <w:color w:val="000000"/>
                <w:sz w:val="20"/>
              </w:rPr>
              <w:t>1,0</w:t>
            </w:r>
          </w:p>
        </w:tc>
        <w:tc>
          <w:tcPr>
            <w:tcW w:w="1337" w:type="pct"/>
            <w:tcBorders>
              <w:top w:val="nil"/>
              <w:left w:val="single" w:sz="4" w:space="0" w:color="auto"/>
              <w:bottom w:val="nil"/>
              <w:right w:val="nil"/>
            </w:tcBorders>
            <w:vAlign w:val="bottom"/>
          </w:tcPr>
          <w:p w14:paraId="5C4D7154" w14:textId="35C09BB5" w:rsidR="00E267E8" w:rsidRPr="004E74A6" w:rsidRDefault="00E267E8" w:rsidP="00CE62C1">
            <w:pPr>
              <w:spacing w:line="276" w:lineRule="auto"/>
              <w:jc w:val="center"/>
              <w:rPr>
                <w:rFonts w:cs="Calibri"/>
                <w:color w:val="000000"/>
                <w:sz w:val="20"/>
              </w:rPr>
            </w:pPr>
            <w:r w:rsidRPr="004E74A6">
              <w:rPr>
                <w:rFonts w:cs="Calibri"/>
                <w:color w:val="000000"/>
                <w:sz w:val="20"/>
              </w:rPr>
              <w:t>51%</w:t>
            </w:r>
          </w:p>
        </w:tc>
      </w:tr>
      <w:tr w:rsidR="00E267E8" w:rsidRPr="004E74A6" w14:paraId="177F113F" w14:textId="7606B768" w:rsidTr="00E267E8">
        <w:trPr>
          <w:trHeight w:val="288"/>
          <w:jc w:val="center"/>
        </w:trPr>
        <w:tc>
          <w:tcPr>
            <w:tcW w:w="1593" w:type="pct"/>
            <w:tcBorders>
              <w:top w:val="nil"/>
              <w:left w:val="nil"/>
              <w:bottom w:val="nil"/>
              <w:right w:val="single" w:sz="4" w:space="0" w:color="auto"/>
            </w:tcBorders>
            <w:shd w:val="clear" w:color="auto" w:fill="auto"/>
            <w:noWrap/>
            <w:vAlign w:val="bottom"/>
            <w:hideMark/>
          </w:tcPr>
          <w:p w14:paraId="2CF8727F" w14:textId="77777777" w:rsidR="00E267E8" w:rsidRPr="004E74A6" w:rsidRDefault="00E267E8" w:rsidP="00CE62C1">
            <w:pPr>
              <w:spacing w:line="276" w:lineRule="auto"/>
              <w:jc w:val="left"/>
              <w:rPr>
                <w:rFonts w:cs="Calibri"/>
                <w:color w:val="000000"/>
                <w:sz w:val="20"/>
                <w:lang w:eastAsia="es-CR"/>
              </w:rPr>
            </w:pPr>
            <w:r w:rsidRPr="004E74A6">
              <w:rPr>
                <w:rFonts w:cs="Calibri"/>
                <w:color w:val="000000"/>
                <w:sz w:val="20"/>
                <w:lang w:eastAsia="es-CR"/>
              </w:rPr>
              <w:t>De ¢30.000.001 A ¢35.000.000</w:t>
            </w:r>
          </w:p>
        </w:tc>
        <w:tc>
          <w:tcPr>
            <w:tcW w:w="480" w:type="pct"/>
            <w:tcBorders>
              <w:top w:val="nil"/>
              <w:left w:val="single" w:sz="4" w:space="0" w:color="auto"/>
              <w:bottom w:val="nil"/>
              <w:right w:val="single" w:sz="4" w:space="0" w:color="auto"/>
            </w:tcBorders>
            <w:shd w:val="clear" w:color="auto" w:fill="auto"/>
            <w:noWrap/>
            <w:vAlign w:val="bottom"/>
            <w:hideMark/>
          </w:tcPr>
          <w:p w14:paraId="524D4E26" w14:textId="1D74028B" w:rsidR="00E267E8" w:rsidRPr="004E74A6" w:rsidRDefault="00E267E8" w:rsidP="00CE62C1">
            <w:pPr>
              <w:spacing w:line="276" w:lineRule="auto"/>
              <w:jc w:val="center"/>
              <w:rPr>
                <w:rFonts w:cs="Calibri"/>
                <w:color w:val="000000"/>
                <w:sz w:val="20"/>
                <w:lang w:eastAsia="es-CR"/>
              </w:rPr>
            </w:pPr>
            <w:r w:rsidRPr="004E74A6">
              <w:rPr>
                <w:rFonts w:cs="Calibri"/>
                <w:color w:val="000000"/>
                <w:sz w:val="20"/>
              </w:rPr>
              <w:t>0</w:t>
            </w:r>
          </w:p>
        </w:tc>
        <w:tc>
          <w:tcPr>
            <w:tcW w:w="480" w:type="pct"/>
            <w:tcBorders>
              <w:top w:val="nil"/>
              <w:left w:val="single" w:sz="4" w:space="0" w:color="auto"/>
              <w:bottom w:val="nil"/>
              <w:right w:val="single" w:sz="4" w:space="0" w:color="auto"/>
            </w:tcBorders>
            <w:shd w:val="clear" w:color="auto" w:fill="auto"/>
            <w:noWrap/>
            <w:vAlign w:val="bottom"/>
            <w:hideMark/>
          </w:tcPr>
          <w:p w14:paraId="7ABBE3BD" w14:textId="06924619" w:rsidR="00E267E8" w:rsidRPr="004E74A6" w:rsidRDefault="00E267E8" w:rsidP="00CE62C1">
            <w:pPr>
              <w:spacing w:line="276" w:lineRule="auto"/>
              <w:jc w:val="center"/>
              <w:rPr>
                <w:sz w:val="20"/>
                <w:lang w:eastAsia="es-CR"/>
              </w:rPr>
            </w:pPr>
            <w:r w:rsidRPr="004E74A6">
              <w:rPr>
                <w:rFonts w:cs="Calibri"/>
                <w:color w:val="000000"/>
                <w:sz w:val="20"/>
              </w:rPr>
              <w:t>0</w:t>
            </w:r>
          </w:p>
        </w:tc>
        <w:tc>
          <w:tcPr>
            <w:tcW w:w="480" w:type="pct"/>
            <w:tcBorders>
              <w:top w:val="nil"/>
              <w:left w:val="single" w:sz="4" w:space="0" w:color="auto"/>
              <w:bottom w:val="nil"/>
              <w:right w:val="single" w:sz="4" w:space="0" w:color="auto"/>
            </w:tcBorders>
            <w:shd w:val="clear" w:color="auto" w:fill="auto"/>
            <w:noWrap/>
            <w:vAlign w:val="bottom"/>
            <w:hideMark/>
          </w:tcPr>
          <w:p w14:paraId="151CC4FF" w14:textId="4046EE5D" w:rsidR="00E267E8" w:rsidRPr="004E74A6" w:rsidRDefault="00E267E8" w:rsidP="00CE62C1">
            <w:pPr>
              <w:spacing w:line="276" w:lineRule="auto"/>
              <w:jc w:val="center"/>
              <w:rPr>
                <w:rFonts w:cs="Calibri"/>
                <w:color w:val="000000"/>
                <w:sz w:val="20"/>
                <w:lang w:eastAsia="es-CR"/>
              </w:rPr>
            </w:pPr>
            <w:r w:rsidRPr="004E74A6">
              <w:rPr>
                <w:rFonts w:cs="Calibri"/>
                <w:color w:val="000000"/>
                <w:sz w:val="20"/>
              </w:rPr>
              <w:t>1</w:t>
            </w:r>
          </w:p>
        </w:tc>
        <w:tc>
          <w:tcPr>
            <w:tcW w:w="631" w:type="pct"/>
            <w:tcBorders>
              <w:top w:val="nil"/>
              <w:left w:val="single" w:sz="4" w:space="0" w:color="auto"/>
              <w:bottom w:val="nil"/>
              <w:right w:val="nil"/>
            </w:tcBorders>
            <w:shd w:val="clear" w:color="auto" w:fill="auto"/>
            <w:noWrap/>
            <w:vAlign w:val="bottom"/>
            <w:hideMark/>
          </w:tcPr>
          <w:p w14:paraId="0BBE1D84" w14:textId="56759F47" w:rsidR="00E267E8" w:rsidRPr="004E74A6" w:rsidRDefault="00E267E8" w:rsidP="00CE62C1">
            <w:pPr>
              <w:spacing w:line="276" w:lineRule="auto"/>
              <w:jc w:val="center"/>
              <w:rPr>
                <w:rFonts w:cs="Calibri"/>
                <w:color w:val="000000"/>
                <w:sz w:val="20"/>
                <w:lang w:eastAsia="es-CR"/>
              </w:rPr>
            </w:pPr>
            <w:r w:rsidRPr="004E74A6">
              <w:rPr>
                <w:rFonts w:cs="Calibri"/>
                <w:color w:val="000000"/>
                <w:sz w:val="20"/>
              </w:rPr>
              <w:t>0,3</w:t>
            </w:r>
          </w:p>
        </w:tc>
        <w:tc>
          <w:tcPr>
            <w:tcW w:w="1337" w:type="pct"/>
            <w:tcBorders>
              <w:top w:val="nil"/>
              <w:left w:val="single" w:sz="4" w:space="0" w:color="auto"/>
              <w:bottom w:val="nil"/>
              <w:right w:val="nil"/>
            </w:tcBorders>
            <w:vAlign w:val="bottom"/>
          </w:tcPr>
          <w:p w14:paraId="7AB6F974" w14:textId="392238C9" w:rsidR="00E267E8" w:rsidRPr="004E74A6" w:rsidRDefault="00E267E8" w:rsidP="00CE62C1">
            <w:pPr>
              <w:spacing w:line="276" w:lineRule="auto"/>
              <w:jc w:val="center"/>
              <w:rPr>
                <w:rFonts w:cs="Calibri"/>
                <w:color w:val="000000"/>
                <w:sz w:val="20"/>
              </w:rPr>
            </w:pPr>
            <w:r w:rsidRPr="004E74A6">
              <w:rPr>
                <w:rFonts w:cs="Calibri"/>
                <w:color w:val="000000"/>
                <w:sz w:val="20"/>
              </w:rPr>
              <w:t>52%</w:t>
            </w:r>
          </w:p>
        </w:tc>
      </w:tr>
      <w:tr w:rsidR="00E267E8" w:rsidRPr="004E74A6" w14:paraId="760EAFBA" w14:textId="73685A9D" w:rsidTr="00E267E8">
        <w:trPr>
          <w:trHeight w:val="288"/>
          <w:jc w:val="center"/>
        </w:trPr>
        <w:tc>
          <w:tcPr>
            <w:tcW w:w="1593" w:type="pct"/>
            <w:tcBorders>
              <w:top w:val="nil"/>
              <w:left w:val="nil"/>
              <w:bottom w:val="nil"/>
              <w:right w:val="single" w:sz="4" w:space="0" w:color="auto"/>
            </w:tcBorders>
            <w:shd w:val="clear" w:color="auto" w:fill="auto"/>
            <w:noWrap/>
            <w:vAlign w:val="bottom"/>
            <w:hideMark/>
          </w:tcPr>
          <w:p w14:paraId="00C54B86" w14:textId="77777777" w:rsidR="00E267E8" w:rsidRPr="004E74A6" w:rsidRDefault="00E267E8" w:rsidP="00CE62C1">
            <w:pPr>
              <w:spacing w:line="276" w:lineRule="auto"/>
              <w:jc w:val="left"/>
              <w:rPr>
                <w:rFonts w:cs="Calibri"/>
                <w:color w:val="000000"/>
                <w:sz w:val="20"/>
                <w:lang w:eastAsia="es-CR"/>
              </w:rPr>
            </w:pPr>
            <w:r w:rsidRPr="004E74A6">
              <w:rPr>
                <w:rFonts w:cs="Calibri"/>
                <w:color w:val="000000"/>
                <w:sz w:val="20"/>
                <w:lang w:eastAsia="es-CR"/>
              </w:rPr>
              <w:t>De ¢35.000.001 A ¢40.000.000</w:t>
            </w:r>
          </w:p>
        </w:tc>
        <w:tc>
          <w:tcPr>
            <w:tcW w:w="480" w:type="pct"/>
            <w:tcBorders>
              <w:top w:val="nil"/>
              <w:left w:val="single" w:sz="4" w:space="0" w:color="auto"/>
              <w:bottom w:val="nil"/>
              <w:right w:val="single" w:sz="4" w:space="0" w:color="auto"/>
            </w:tcBorders>
            <w:shd w:val="clear" w:color="auto" w:fill="auto"/>
            <w:noWrap/>
            <w:vAlign w:val="bottom"/>
            <w:hideMark/>
          </w:tcPr>
          <w:p w14:paraId="2BEEF88C" w14:textId="796C4486" w:rsidR="00E267E8" w:rsidRPr="004E74A6" w:rsidRDefault="00E267E8" w:rsidP="00CE62C1">
            <w:pPr>
              <w:spacing w:line="276" w:lineRule="auto"/>
              <w:jc w:val="center"/>
              <w:rPr>
                <w:rFonts w:cs="Calibri"/>
                <w:color w:val="000000"/>
                <w:sz w:val="20"/>
                <w:lang w:eastAsia="es-CR"/>
              </w:rPr>
            </w:pPr>
            <w:r w:rsidRPr="004E74A6">
              <w:rPr>
                <w:rFonts w:cs="Calibri"/>
                <w:color w:val="000000"/>
                <w:sz w:val="20"/>
              </w:rPr>
              <w:t>0</w:t>
            </w:r>
          </w:p>
        </w:tc>
        <w:tc>
          <w:tcPr>
            <w:tcW w:w="480" w:type="pct"/>
            <w:tcBorders>
              <w:top w:val="nil"/>
              <w:left w:val="single" w:sz="4" w:space="0" w:color="auto"/>
              <w:bottom w:val="nil"/>
              <w:right w:val="single" w:sz="4" w:space="0" w:color="auto"/>
            </w:tcBorders>
            <w:shd w:val="clear" w:color="auto" w:fill="auto"/>
            <w:noWrap/>
            <w:vAlign w:val="bottom"/>
            <w:hideMark/>
          </w:tcPr>
          <w:p w14:paraId="09C1D46D" w14:textId="498DD1CC" w:rsidR="00E267E8" w:rsidRPr="004E74A6" w:rsidRDefault="00E267E8" w:rsidP="00CE62C1">
            <w:pPr>
              <w:spacing w:line="276" w:lineRule="auto"/>
              <w:jc w:val="center"/>
              <w:rPr>
                <w:sz w:val="20"/>
                <w:lang w:eastAsia="es-CR"/>
              </w:rPr>
            </w:pPr>
            <w:r w:rsidRPr="004E74A6">
              <w:rPr>
                <w:rFonts w:cs="Calibri"/>
                <w:color w:val="000000"/>
                <w:sz w:val="20"/>
              </w:rPr>
              <w:t>0</w:t>
            </w:r>
          </w:p>
        </w:tc>
        <w:tc>
          <w:tcPr>
            <w:tcW w:w="480" w:type="pct"/>
            <w:tcBorders>
              <w:top w:val="nil"/>
              <w:left w:val="single" w:sz="4" w:space="0" w:color="auto"/>
              <w:bottom w:val="nil"/>
              <w:right w:val="single" w:sz="4" w:space="0" w:color="auto"/>
            </w:tcBorders>
            <w:shd w:val="clear" w:color="auto" w:fill="auto"/>
            <w:noWrap/>
            <w:vAlign w:val="bottom"/>
            <w:hideMark/>
          </w:tcPr>
          <w:p w14:paraId="6BFF161A" w14:textId="50D5190C" w:rsidR="00E267E8" w:rsidRPr="004E74A6" w:rsidRDefault="00E267E8" w:rsidP="00CE62C1">
            <w:pPr>
              <w:spacing w:line="276" w:lineRule="auto"/>
              <w:jc w:val="center"/>
              <w:rPr>
                <w:rFonts w:cs="Calibri"/>
                <w:color w:val="000000"/>
                <w:sz w:val="20"/>
                <w:lang w:eastAsia="es-CR"/>
              </w:rPr>
            </w:pPr>
            <w:r w:rsidRPr="004E74A6">
              <w:rPr>
                <w:rFonts w:cs="Calibri"/>
                <w:color w:val="000000"/>
                <w:sz w:val="20"/>
              </w:rPr>
              <w:t>1</w:t>
            </w:r>
          </w:p>
        </w:tc>
        <w:tc>
          <w:tcPr>
            <w:tcW w:w="631" w:type="pct"/>
            <w:tcBorders>
              <w:top w:val="nil"/>
              <w:left w:val="single" w:sz="4" w:space="0" w:color="auto"/>
              <w:bottom w:val="nil"/>
              <w:right w:val="nil"/>
            </w:tcBorders>
            <w:shd w:val="clear" w:color="auto" w:fill="auto"/>
            <w:noWrap/>
            <w:vAlign w:val="bottom"/>
            <w:hideMark/>
          </w:tcPr>
          <w:p w14:paraId="33FFC3FE" w14:textId="1184FA86" w:rsidR="00E267E8" w:rsidRPr="004E74A6" w:rsidRDefault="00E267E8" w:rsidP="00CE62C1">
            <w:pPr>
              <w:spacing w:line="276" w:lineRule="auto"/>
              <w:jc w:val="center"/>
              <w:rPr>
                <w:rFonts w:cs="Calibri"/>
                <w:color w:val="000000"/>
                <w:sz w:val="20"/>
                <w:lang w:eastAsia="es-CR"/>
              </w:rPr>
            </w:pPr>
            <w:r w:rsidRPr="004E74A6">
              <w:rPr>
                <w:rFonts w:cs="Calibri"/>
                <w:color w:val="000000"/>
                <w:sz w:val="20"/>
              </w:rPr>
              <w:t>0,3</w:t>
            </w:r>
          </w:p>
        </w:tc>
        <w:tc>
          <w:tcPr>
            <w:tcW w:w="1337" w:type="pct"/>
            <w:tcBorders>
              <w:top w:val="nil"/>
              <w:left w:val="single" w:sz="4" w:space="0" w:color="auto"/>
              <w:bottom w:val="nil"/>
              <w:right w:val="nil"/>
            </w:tcBorders>
            <w:vAlign w:val="bottom"/>
          </w:tcPr>
          <w:p w14:paraId="056920AA" w14:textId="70E93C2D" w:rsidR="00E267E8" w:rsidRPr="004E74A6" w:rsidRDefault="00E267E8" w:rsidP="00CE62C1">
            <w:pPr>
              <w:spacing w:line="276" w:lineRule="auto"/>
              <w:jc w:val="center"/>
              <w:rPr>
                <w:rFonts w:cs="Calibri"/>
                <w:color w:val="000000"/>
                <w:sz w:val="20"/>
              </w:rPr>
            </w:pPr>
            <w:r w:rsidRPr="004E74A6">
              <w:rPr>
                <w:rFonts w:cs="Calibri"/>
                <w:color w:val="000000"/>
                <w:sz w:val="20"/>
              </w:rPr>
              <w:t>53%</w:t>
            </w:r>
          </w:p>
        </w:tc>
      </w:tr>
      <w:tr w:rsidR="00E267E8" w:rsidRPr="004E74A6" w14:paraId="22AFFEFC" w14:textId="63B9A92C" w:rsidTr="00E267E8">
        <w:trPr>
          <w:trHeight w:val="288"/>
          <w:jc w:val="center"/>
        </w:trPr>
        <w:tc>
          <w:tcPr>
            <w:tcW w:w="1593" w:type="pct"/>
            <w:tcBorders>
              <w:top w:val="nil"/>
              <w:left w:val="nil"/>
              <w:bottom w:val="nil"/>
              <w:right w:val="single" w:sz="4" w:space="0" w:color="auto"/>
            </w:tcBorders>
            <w:shd w:val="clear" w:color="auto" w:fill="auto"/>
            <w:noWrap/>
            <w:vAlign w:val="bottom"/>
            <w:hideMark/>
          </w:tcPr>
          <w:p w14:paraId="2C786536" w14:textId="77777777" w:rsidR="00E267E8" w:rsidRPr="004E74A6" w:rsidRDefault="00E267E8" w:rsidP="00CE62C1">
            <w:pPr>
              <w:spacing w:line="276" w:lineRule="auto"/>
              <w:jc w:val="left"/>
              <w:rPr>
                <w:rFonts w:cs="Calibri"/>
                <w:color w:val="000000"/>
                <w:sz w:val="20"/>
                <w:lang w:eastAsia="es-CR"/>
              </w:rPr>
            </w:pPr>
            <w:r w:rsidRPr="004E74A6">
              <w:rPr>
                <w:rFonts w:cs="Calibri"/>
                <w:color w:val="000000"/>
                <w:sz w:val="20"/>
                <w:lang w:eastAsia="es-CR"/>
              </w:rPr>
              <w:t>De ¢40.000.001 A ¢45.000.000</w:t>
            </w:r>
          </w:p>
        </w:tc>
        <w:tc>
          <w:tcPr>
            <w:tcW w:w="480" w:type="pct"/>
            <w:tcBorders>
              <w:top w:val="nil"/>
              <w:left w:val="single" w:sz="4" w:space="0" w:color="auto"/>
              <w:bottom w:val="nil"/>
              <w:right w:val="single" w:sz="4" w:space="0" w:color="auto"/>
            </w:tcBorders>
            <w:shd w:val="clear" w:color="auto" w:fill="auto"/>
            <w:noWrap/>
            <w:vAlign w:val="bottom"/>
            <w:hideMark/>
          </w:tcPr>
          <w:p w14:paraId="21CF9F29" w14:textId="358BAED6" w:rsidR="00E267E8" w:rsidRPr="004E74A6" w:rsidRDefault="00E267E8" w:rsidP="00CE62C1">
            <w:pPr>
              <w:spacing w:line="276" w:lineRule="auto"/>
              <w:jc w:val="center"/>
              <w:rPr>
                <w:rFonts w:cs="Calibri"/>
                <w:color w:val="000000"/>
                <w:sz w:val="20"/>
                <w:lang w:eastAsia="es-CR"/>
              </w:rPr>
            </w:pPr>
            <w:r w:rsidRPr="004E74A6">
              <w:rPr>
                <w:rFonts w:cs="Calibri"/>
                <w:color w:val="000000"/>
                <w:sz w:val="20"/>
              </w:rPr>
              <w:t>0</w:t>
            </w:r>
          </w:p>
        </w:tc>
        <w:tc>
          <w:tcPr>
            <w:tcW w:w="480" w:type="pct"/>
            <w:tcBorders>
              <w:top w:val="nil"/>
              <w:left w:val="single" w:sz="4" w:space="0" w:color="auto"/>
              <w:bottom w:val="nil"/>
              <w:right w:val="single" w:sz="4" w:space="0" w:color="auto"/>
            </w:tcBorders>
            <w:shd w:val="clear" w:color="auto" w:fill="auto"/>
            <w:noWrap/>
            <w:vAlign w:val="bottom"/>
            <w:hideMark/>
          </w:tcPr>
          <w:p w14:paraId="3519B9DE" w14:textId="4ABF1E82" w:rsidR="00E267E8" w:rsidRPr="004E74A6" w:rsidRDefault="00E267E8" w:rsidP="00CE62C1">
            <w:pPr>
              <w:spacing w:line="276" w:lineRule="auto"/>
              <w:jc w:val="center"/>
              <w:rPr>
                <w:sz w:val="20"/>
                <w:lang w:eastAsia="es-CR"/>
              </w:rPr>
            </w:pPr>
            <w:r w:rsidRPr="004E74A6">
              <w:rPr>
                <w:rFonts w:cs="Calibri"/>
                <w:color w:val="000000"/>
                <w:sz w:val="20"/>
              </w:rPr>
              <w:t>0</w:t>
            </w:r>
          </w:p>
        </w:tc>
        <w:tc>
          <w:tcPr>
            <w:tcW w:w="480" w:type="pct"/>
            <w:tcBorders>
              <w:top w:val="nil"/>
              <w:left w:val="single" w:sz="4" w:space="0" w:color="auto"/>
              <w:bottom w:val="nil"/>
              <w:right w:val="single" w:sz="4" w:space="0" w:color="auto"/>
            </w:tcBorders>
            <w:shd w:val="clear" w:color="auto" w:fill="auto"/>
            <w:noWrap/>
            <w:vAlign w:val="bottom"/>
            <w:hideMark/>
          </w:tcPr>
          <w:p w14:paraId="36FC488C" w14:textId="6F94F658" w:rsidR="00E267E8" w:rsidRPr="004E74A6" w:rsidRDefault="00E267E8" w:rsidP="00CE62C1">
            <w:pPr>
              <w:spacing w:line="276" w:lineRule="auto"/>
              <w:jc w:val="center"/>
              <w:rPr>
                <w:rFonts w:cs="Calibri"/>
                <w:color w:val="000000"/>
                <w:sz w:val="20"/>
                <w:lang w:eastAsia="es-CR"/>
              </w:rPr>
            </w:pPr>
            <w:r w:rsidRPr="004E74A6">
              <w:rPr>
                <w:rFonts w:cs="Calibri"/>
                <w:color w:val="000000"/>
                <w:sz w:val="20"/>
              </w:rPr>
              <w:t>1</w:t>
            </w:r>
          </w:p>
        </w:tc>
        <w:tc>
          <w:tcPr>
            <w:tcW w:w="631" w:type="pct"/>
            <w:tcBorders>
              <w:top w:val="nil"/>
              <w:left w:val="single" w:sz="4" w:space="0" w:color="auto"/>
              <w:bottom w:val="nil"/>
              <w:right w:val="nil"/>
            </w:tcBorders>
            <w:shd w:val="clear" w:color="auto" w:fill="auto"/>
            <w:noWrap/>
            <w:vAlign w:val="bottom"/>
            <w:hideMark/>
          </w:tcPr>
          <w:p w14:paraId="077806F8" w14:textId="723F2E49" w:rsidR="00E267E8" w:rsidRPr="004E74A6" w:rsidRDefault="00E267E8" w:rsidP="00CE62C1">
            <w:pPr>
              <w:spacing w:line="276" w:lineRule="auto"/>
              <w:jc w:val="center"/>
              <w:rPr>
                <w:rFonts w:cs="Calibri"/>
                <w:color w:val="000000"/>
                <w:sz w:val="20"/>
                <w:lang w:eastAsia="es-CR"/>
              </w:rPr>
            </w:pPr>
            <w:r w:rsidRPr="004E74A6">
              <w:rPr>
                <w:rFonts w:cs="Calibri"/>
                <w:color w:val="000000"/>
                <w:sz w:val="20"/>
              </w:rPr>
              <w:t>0,3</w:t>
            </w:r>
          </w:p>
        </w:tc>
        <w:tc>
          <w:tcPr>
            <w:tcW w:w="1337" w:type="pct"/>
            <w:tcBorders>
              <w:top w:val="nil"/>
              <w:left w:val="single" w:sz="4" w:space="0" w:color="auto"/>
              <w:bottom w:val="nil"/>
              <w:right w:val="nil"/>
            </w:tcBorders>
            <w:vAlign w:val="bottom"/>
          </w:tcPr>
          <w:p w14:paraId="649BF3AB" w14:textId="3EB67D4A" w:rsidR="00E267E8" w:rsidRPr="004E74A6" w:rsidRDefault="00E267E8" w:rsidP="00CE62C1">
            <w:pPr>
              <w:spacing w:line="276" w:lineRule="auto"/>
              <w:jc w:val="center"/>
              <w:rPr>
                <w:rFonts w:cs="Calibri"/>
                <w:color w:val="000000"/>
                <w:sz w:val="20"/>
              </w:rPr>
            </w:pPr>
            <w:r w:rsidRPr="004E74A6">
              <w:rPr>
                <w:rFonts w:cs="Calibri"/>
                <w:color w:val="000000"/>
                <w:sz w:val="20"/>
              </w:rPr>
              <w:t>54%</w:t>
            </w:r>
          </w:p>
        </w:tc>
      </w:tr>
      <w:tr w:rsidR="00E267E8" w:rsidRPr="004E74A6" w14:paraId="2DA6AF8E" w14:textId="76BAE3C9" w:rsidTr="00E267E8">
        <w:trPr>
          <w:trHeight w:val="288"/>
          <w:jc w:val="center"/>
        </w:trPr>
        <w:tc>
          <w:tcPr>
            <w:tcW w:w="1593" w:type="pct"/>
            <w:tcBorders>
              <w:top w:val="nil"/>
              <w:left w:val="nil"/>
              <w:bottom w:val="nil"/>
              <w:right w:val="single" w:sz="4" w:space="0" w:color="auto"/>
            </w:tcBorders>
            <w:shd w:val="clear" w:color="auto" w:fill="auto"/>
            <w:noWrap/>
            <w:vAlign w:val="bottom"/>
            <w:hideMark/>
          </w:tcPr>
          <w:p w14:paraId="54D5C770" w14:textId="77777777" w:rsidR="00E267E8" w:rsidRPr="004E74A6" w:rsidRDefault="00E267E8" w:rsidP="00CE62C1">
            <w:pPr>
              <w:spacing w:line="276" w:lineRule="auto"/>
              <w:jc w:val="left"/>
              <w:rPr>
                <w:rFonts w:cs="Calibri"/>
                <w:color w:val="000000"/>
                <w:sz w:val="20"/>
                <w:lang w:eastAsia="es-CR"/>
              </w:rPr>
            </w:pPr>
            <w:r w:rsidRPr="004E74A6">
              <w:rPr>
                <w:rFonts w:cs="Calibri"/>
                <w:color w:val="000000"/>
                <w:sz w:val="20"/>
                <w:lang w:eastAsia="es-CR"/>
              </w:rPr>
              <w:t>De ¢45.000.001 A ¢50.000.000</w:t>
            </w:r>
          </w:p>
        </w:tc>
        <w:tc>
          <w:tcPr>
            <w:tcW w:w="480" w:type="pct"/>
            <w:tcBorders>
              <w:top w:val="nil"/>
              <w:left w:val="single" w:sz="4" w:space="0" w:color="auto"/>
              <w:bottom w:val="nil"/>
              <w:right w:val="single" w:sz="4" w:space="0" w:color="auto"/>
            </w:tcBorders>
            <w:shd w:val="clear" w:color="auto" w:fill="auto"/>
            <w:noWrap/>
            <w:vAlign w:val="bottom"/>
            <w:hideMark/>
          </w:tcPr>
          <w:p w14:paraId="2850EEE1" w14:textId="7CDFA0A6" w:rsidR="00E267E8" w:rsidRPr="004E74A6" w:rsidRDefault="00E267E8" w:rsidP="00CE62C1">
            <w:pPr>
              <w:spacing w:line="276" w:lineRule="auto"/>
              <w:jc w:val="center"/>
              <w:rPr>
                <w:rFonts w:cs="Calibri"/>
                <w:color w:val="000000"/>
                <w:sz w:val="20"/>
                <w:lang w:eastAsia="es-CR"/>
              </w:rPr>
            </w:pPr>
            <w:r w:rsidRPr="004E74A6">
              <w:rPr>
                <w:rFonts w:cs="Calibri"/>
                <w:color w:val="000000"/>
                <w:sz w:val="20"/>
              </w:rPr>
              <w:t>0</w:t>
            </w:r>
          </w:p>
        </w:tc>
        <w:tc>
          <w:tcPr>
            <w:tcW w:w="480" w:type="pct"/>
            <w:tcBorders>
              <w:top w:val="nil"/>
              <w:left w:val="single" w:sz="4" w:space="0" w:color="auto"/>
              <w:bottom w:val="nil"/>
              <w:right w:val="single" w:sz="4" w:space="0" w:color="auto"/>
            </w:tcBorders>
            <w:shd w:val="clear" w:color="auto" w:fill="auto"/>
            <w:noWrap/>
            <w:vAlign w:val="bottom"/>
            <w:hideMark/>
          </w:tcPr>
          <w:p w14:paraId="43E8E363" w14:textId="2A230381" w:rsidR="00E267E8" w:rsidRPr="004E74A6" w:rsidRDefault="00E267E8" w:rsidP="00CE62C1">
            <w:pPr>
              <w:spacing w:line="276" w:lineRule="auto"/>
              <w:jc w:val="center"/>
              <w:rPr>
                <w:sz w:val="20"/>
                <w:lang w:eastAsia="es-CR"/>
              </w:rPr>
            </w:pPr>
            <w:r w:rsidRPr="004E74A6">
              <w:rPr>
                <w:rFonts w:cs="Calibri"/>
                <w:color w:val="000000"/>
                <w:sz w:val="20"/>
              </w:rPr>
              <w:t>0</w:t>
            </w:r>
          </w:p>
        </w:tc>
        <w:tc>
          <w:tcPr>
            <w:tcW w:w="480" w:type="pct"/>
            <w:tcBorders>
              <w:top w:val="nil"/>
              <w:left w:val="single" w:sz="4" w:space="0" w:color="auto"/>
              <w:bottom w:val="nil"/>
              <w:right w:val="single" w:sz="4" w:space="0" w:color="auto"/>
            </w:tcBorders>
            <w:shd w:val="clear" w:color="auto" w:fill="auto"/>
            <w:noWrap/>
            <w:vAlign w:val="bottom"/>
            <w:hideMark/>
          </w:tcPr>
          <w:p w14:paraId="586828E7" w14:textId="68B15870" w:rsidR="00E267E8" w:rsidRPr="004E74A6" w:rsidRDefault="00E267E8" w:rsidP="00CE62C1">
            <w:pPr>
              <w:spacing w:line="276" w:lineRule="auto"/>
              <w:jc w:val="center"/>
              <w:rPr>
                <w:rFonts w:cs="Calibri"/>
                <w:color w:val="000000"/>
                <w:sz w:val="20"/>
                <w:lang w:eastAsia="es-CR"/>
              </w:rPr>
            </w:pPr>
            <w:r w:rsidRPr="004E74A6">
              <w:rPr>
                <w:rFonts w:cs="Calibri"/>
                <w:color w:val="000000"/>
                <w:sz w:val="20"/>
              </w:rPr>
              <w:t>1</w:t>
            </w:r>
          </w:p>
        </w:tc>
        <w:tc>
          <w:tcPr>
            <w:tcW w:w="631" w:type="pct"/>
            <w:tcBorders>
              <w:top w:val="nil"/>
              <w:left w:val="single" w:sz="4" w:space="0" w:color="auto"/>
              <w:bottom w:val="nil"/>
              <w:right w:val="nil"/>
            </w:tcBorders>
            <w:shd w:val="clear" w:color="auto" w:fill="auto"/>
            <w:noWrap/>
            <w:vAlign w:val="bottom"/>
            <w:hideMark/>
          </w:tcPr>
          <w:p w14:paraId="2EF5FAE3" w14:textId="29C9FDCB" w:rsidR="00E267E8" w:rsidRPr="004E74A6" w:rsidRDefault="00E267E8" w:rsidP="00CE62C1">
            <w:pPr>
              <w:spacing w:line="276" w:lineRule="auto"/>
              <w:jc w:val="center"/>
              <w:rPr>
                <w:rFonts w:cs="Calibri"/>
                <w:color w:val="000000"/>
                <w:sz w:val="20"/>
                <w:lang w:eastAsia="es-CR"/>
              </w:rPr>
            </w:pPr>
            <w:r w:rsidRPr="004E74A6">
              <w:rPr>
                <w:rFonts w:cs="Calibri"/>
                <w:color w:val="000000"/>
                <w:sz w:val="20"/>
              </w:rPr>
              <w:t>0,3</w:t>
            </w:r>
          </w:p>
        </w:tc>
        <w:tc>
          <w:tcPr>
            <w:tcW w:w="1337" w:type="pct"/>
            <w:tcBorders>
              <w:top w:val="nil"/>
              <w:left w:val="single" w:sz="4" w:space="0" w:color="auto"/>
              <w:bottom w:val="nil"/>
              <w:right w:val="nil"/>
            </w:tcBorders>
            <w:vAlign w:val="bottom"/>
          </w:tcPr>
          <w:p w14:paraId="7AC17B05" w14:textId="79F14BEF" w:rsidR="00E267E8" w:rsidRPr="004E74A6" w:rsidRDefault="00E267E8" w:rsidP="00CE62C1">
            <w:pPr>
              <w:spacing w:line="276" w:lineRule="auto"/>
              <w:jc w:val="center"/>
              <w:rPr>
                <w:rFonts w:cs="Calibri"/>
                <w:color w:val="000000"/>
                <w:sz w:val="20"/>
              </w:rPr>
            </w:pPr>
            <w:r w:rsidRPr="004E74A6">
              <w:rPr>
                <w:rFonts w:cs="Calibri"/>
                <w:color w:val="000000"/>
                <w:sz w:val="20"/>
              </w:rPr>
              <w:t>55%</w:t>
            </w:r>
          </w:p>
        </w:tc>
      </w:tr>
      <w:tr w:rsidR="00E267E8" w:rsidRPr="004E74A6" w14:paraId="73A2D869" w14:textId="4919D90E" w:rsidTr="00E267E8">
        <w:trPr>
          <w:trHeight w:val="288"/>
          <w:jc w:val="center"/>
        </w:trPr>
        <w:tc>
          <w:tcPr>
            <w:tcW w:w="1593" w:type="pct"/>
            <w:tcBorders>
              <w:top w:val="nil"/>
              <w:left w:val="nil"/>
              <w:bottom w:val="nil"/>
              <w:right w:val="single" w:sz="4" w:space="0" w:color="auto"/>
            </w:tcBorders>
            <w:shd w:val="clear" w:color="auto" w:fill="auto"/>
            <w:noWrap/>
            <w:vAlign w:val="bottom"/>
            <w:hideMark/>
          </w:tcPr>
          <w:p w14:paraId="6EA9B34C" w14:textId="77777777" w:rsidR="00E267E8" w:rsidRPr="004E74A6" w:rsidRDefault="00E267E8" w:rsidP="00CE62C1">
            <w:pPr>
              <w:spacing w:line="276" w:lineRule="auto"/>
              <w:jc w:val="left"/>
              <w:rPr>
                <w:rFonts w:cs="Calibri"/>
                <w:color w:val="000000"/>
                <w:sz w:val="20"/>
                <w:lang w:eastAsia="es-CR"/>
              </w:rPr>
            </w:pPr>
            <w:r w:rsidRPr="004E74A6">
              <w:rPr>
                <w:rFonts w:cs="Calibri"/>
                <w:color w:val="000000"/>
                <w:sz w:val="20"/>
                <w:lang w:eastAsia="es-CR"/>
              </w:rPr>
              <w:t>De ¢60.000.001 A ¢65.000.000</w:t>
            </w:r>
          </w:p>
        </w:tc>
        <w:tc>
          <w:tcPr>
            <w:tcW w:w="480" w:type="pct"/>
            <w:tcBorders>
              <w:top w:val="nil"/>
              <w:left w:val="single" w:sz="4" w:space="0" w:color="auto"/>
              <w:bottom w:val="nil"/>
              <w:right w:val="single" w:sz="4" w:space="0" w:color="auto"/>
            </w:tcBorders>
            <w:shd w:val="clear" w:color="auto" w:fill="auto"/>
            <w:noWrap/>
            <w:vAlign w:val="bottom"/>
            <w:hideMark/>
          </w:tcPr>
          <w:p w14:paraId="7F506D35" w14:textId="451A30FC" w:rsidR="00E267E8" w:rsidRPr="004E74A6" w:rsidRDefault="00E267E8" w:rsidP="00CE62C1">
            <w:pPr>
              <w:spacing w:line="276" w:lineRule="auto"/>
              <w:jc w:val="center"/>
              <w:rPr>
                <w:rFonts w:cs="Calibri"/>
                <w:color w:val="000000"/>
                <w:sz w:val="20"/>
                <w:lang w:eastAsia="es-CR"/>
              </w:rPr>
            </w:pPr>
            <w:r w:rsidRPr="004E74A6">
              <w:rPr>
                <w:rFonts w:cs="Calibri"/>
                <w:color w:val="000000"/>
                <w:sz w:val="20"/>
              </w:rPr>
              <w:t>0</w:t>
            </w:r>
          </w:p>
        </w:tc>
        <w:tc>
          <w:tcPr>
            <w:tcW w:w="480" w:type="pct"/>
            <w:tcBorders>
              <w:top w:val="nil"/>
              <w:left w:val="single" w:sz="4" w:space="0" w:color="auto"/>
              <w:bottom w:val="nil"/>
              <w:right w:val="single" w:sz="4" w:space="0" w:color="auto"/>
            </w:tcBorders>
            <w:shd w:val="clear" w:color="auto" w:fill="auto"/>
            <w:noWrap/>
            <w:vAlign w:val="bottom"/>
            <w:hideMark/>
          </w:tcPr>
          <w:p w14:paraId="4B7A7B2C" w14:textId="647F1B26" w:rsidR="00E267E8" w:rsidRPr="004E74A6" w:rsidRDefault="00E267E8" w:rsidP="00CE62C1">
            <w:pPr>
              <w:spacing w:line="276" w:lineRule="auto"/>
              <w:jc w:val="center"/>
              <w:rPr>
                <w:rFonts w:cs="Calibri"/>
                <w:color w:val="000000"/>
                <w:sz w:val="20"/>
                <w:lang w:eastAsia="es-CR"/>
              </w:rPr>
            </w:pPr>
            <w:r w:rsidRPr="004E74A6">
              <w:rPr>
                <w:rFonts w:cs="Calibri"/>
                <w:color w:val="000000"/>
                <w:sz w:val="20"/>
              </w:rPr>
              <w:t>1</w:t>
            </w:r>
          </w:p>
        </w:tc>
        <w:tc>
          <w:tcPr>
            <w:tcW w:w="480" w:type="pct"/>
            <w:tcBorders>
              <w:top w:val="nil"/>
              <w:left w:val="single" w:sz="4" w:space="0" w:color="auto"/>
              <w:bottom w:val="nil"/>
              <w:right w:val="single" w:sz="4" w:space="0" w:color="auto"/>
            </w:tcBorders>
            <w:shd w:val="clear" w:color="auto" w:fill="auto"/>
            <w:noWrap/>
            <w:vAlign w:val="bottom"/>
            <w:hideMark/>
          </w:tcPr>
          <w:p w14:paraId="34D416A2" w14:textId="7B415B04" w:rsidR="00E267E8" w:rsidRPr="004E74A6" w:rsidRDefault="00E267E8" w:rsidP="00CE62C1">
            <w:pPr>
              <w:spacing w:line="276" w:lineRule="auto"/>
              <w:jc w:val="center"/>
              <w:rPr>
                <w:rFonts w:cs="Calibri"/>
                <w:color w:val="000000"/>
                <w:sz w:val="20"/>
                <w:lang w:eastAsia="es-CR"/>
              </w:rPr>
            </w:pPr>
            <w:r w:rsidRPr="004E74A6">
              <w:rPr>
                <w:rFonts w:cs="Calibri"/>
                <w:color w:val="000000"/>
                <w:sz w:val="20"/>
              </w:rPr>
              <w:t>0</w:t>
            </w:r>
          </w:p>
        </w:tc>
        <w:tc>
          <w:tcPr>
            <w:tcW w:w="631" w:type="pct"/>
            <w:tcBorders>
              <w:top w:val="nil"/>
              <w:left w:val="single" w:sz="4" w:space="0" w:color="auto"/>
              <w:bottom w:val="nil"/>
              <w:right w:val="nil"/>
            </w:tcBorders>
            <w:shd w:val="clear" w:color="auto" w:fill="auto"/>
            <w:noWrap/>
            <w:vAlign w:val="bottom"/>
            <w:hideMark/>
          </w:tcPr>
          <w:p w14:paraId="477521EA" w14:textId="5D8B9AF4" w:rsidR="00E267E8" w:rsidRPr="004E74A6" w:rsidRDefault="00E267E8" w:rsidP="00CE62C1">
            <w:pPr>
              <w:spacing w:line="276" w:lineRule="auto"/>
              <w:jc w:val="center"/>
              <w:rPr>
                <w:rFonts w:cs="Calibri"/>
                <w:color w:val="000000"/>
                <w:sz w:val="20"/>
                <w:lang w:eastAsia="es-CR"/>
              </w:rPr>
            </w:pPr>
            <w:r w:rsidRPr="004E74A6">
              <w:rPr>
                <w:rFonts w:cs="Calibri"/>
                <w:color w:val="000000"/>
                <w:sz w:val="20"/>
              </w:rPr>
              <w:t>0,3</w:t>
            </w:r>
          </w:p>
        </w:tc>
        <w:tc>
          <w:tcPr>
            <w:tcW w:w="1337" w:type="pct"/>
            <w:tcBorders>
              <w:top w:val="nil"/>
              <w:left w:val="single" w:sz="4" w:space="0" w:color="auto"/>
              <w:bottom w:val="nil"/>
              <w:right w:val="nil"/>
            </w:tcBorders>
            <w:vAlign w:val="bottom"/>
          </w:tcPr>
          <w:p w14:paraId="7FA8C91F" w14:textId="38FAF7AD" w:rsidR="00E267E8" w:rsidRPr="004E74A6" w:rsidRDefault="00E267E8" w:rsidP="00CE62C1">
            <w:pPr>
              <w:spacing w:line="276" w:lineRule="auto"/>
              <w:jc w:val="center"/>
              <w:rPr>
                <w:rFonts w:cs="Calibri"/>
                <w:color w:val="000000"/>
                <w:sz w:val="20"/>
              </w:rPr>
            </w:pPr>
            <w:r w:rsidRPr="004E74A6">
              <w:rPr>
                <w:rFonts w:cs="Calibri"/>
                <w:color w:val="000000"/>
                <w:sz w:val="20"/>
              </w:rPr>
              <w:t>56%</w:t>
            </w:r>
          </w:p>
        </w:tc>
      </w:tr>
      <w:tr w:rsidR="00E267E8" w:rsidRPr="004E74A6" w14:paraId="28293C91" w14:textId="49CC0E37" w:rsidTr="00E267E8">
        <w:trPr>
          <w:trHeight w:val="288"/>
          <w:jc w:val="center"/>
        </w:trPr>
        <w:tc>
          <w:tcPr>
            <w:tcW w:w="1593" w:type="pct"/>
            <w:tcBorders>
              <w:top w:val="nil"/>
              <w:left w:val="nil"/>
              <w:bottom w:val="nil"/>
              <w:right w:val="single" w:sz="4" w:space="0" w:color="auto"/>
            </w:tcBorders>
            <w:shd w:val="clear" w:color="auto" w:fill="auto"/>
            <w:noWrap/>
            <w:vAlign w:val="bottom"/>
            <w:hideMark/>
          </w:tcPr>
          <w:p w14:paraId="49551C25" w14:textId="77777777" w:rsidR="00E267E8" w:rsidRPr="004E74A6" w:rsidRDefault="00E267E8" w:rsidP="00CE62C1">
            <w:pPr>
              <w:spacing w:line="276" w:lineRule="auto"/>
              <w:jc w:val="left"/>
              <w:rPr>
                <w:rFonts w:cs="Calibri"/>
                <w:color w:val="000000"/>
                <w:sz w:val="20"/>
                <w:lang w:eastAsia="es-CR"/>
              </w:rPr>
            </w:pPr>
            <w:r w:rsidRPr="004E74A6">
              <w:rPr>
                <w:rFonts w:cs="Calibri"/>
                <w:color w:val="000000"/>
                <w:sz w:val="20"/>
                <w:lang w:eastAsia="es-CR"/>
              </w:rPr>
              <w:t>De ¢85.000.001 A ¢90.000.000</w:t>
            </w:r>
          </w:p>
        </w:tc>
        <w:tc>
          <w:tcPr>
            <w:tcW w:w="480" w:type="pct"/>
            <w:tcBorders>
              <w:top w:val="nil"/>
              <w:left w:val="single" w:sz="4" w:space="0" w:color="auto"/>
              <w:bottom w:val="nil"/>
              <w:right w:val="single" w:sz="4" w:space="0" w:color="auto"/>
            </w:tcBorders>
            <w:shd w:val="clear" w:color="auto" w:fill="auto"/>
            <w:noWrap/>
            <w:vAlign w:val="bottom"/>
            <w:hideMark/>
          </w:tcPr>
          <w:p w14:paraId="612595C6" w14:textId="4FC459B5" w:rsidR="00E267E8" w:rsidRPr="004E74A6" w:rsidRDefault="00E267E8" w:rsidP="00CE62C1">
            <w:pPr>
              <w:spacing w:line="276" w:lineRule="auto"/>
              <w:jc w:val="center"/>
              <w:rPr>
                <w:rFonts w:cs="Calibri"/>
                <w:color w:val="000000"/>
                <w:sz w:val="20"/>
                <w:lang w:eastAsia="es-CR"/>
              </w:rPr>
            </w:pPr>
            <w:r w:rsidRPr="004E74A6">
              <w:rPr>
                <w:rFonts w:cs="Calibri"/>
                <w:color w:val="000000"/>
                <w:sz w:val="20"/>
              </w:rPr>
              <w:t>0</w:t>
            </w:r>
          </w:p>
        </w:tc>
        <w:tc>
          <w:tcPr>
            <w:tcW w:w="480" w:type="pct"/>
            <w:tcBorders>
              <w:top w:val="nil"/>
              <w:left w:val="single" w:sz="4" w:space="0" w:color="auto"/>
              <w:bottom w:val="nil"/>
              <w:right w:val="single" w:sz="4" w:space="0" w:color="auto"/>
            </w:tcBorders>
            <w:shd w:val="clear" w:color="auto" w:fill="auto"/>
            <w:noWrap/>
            <w:vAlign w:val="bottom"/>
            <w:hideMark/>
          </w:tcPr>
          <w:p w14:paraId="79EFC111" w14:textId="3AB25124" w:rsidR="00E267E8" w:rsidRPr="004E74A6" w:rsidRDefault="00E267E8" w:rsidP="00CE62C1">
            <w:pPr>
              <w:spacing w:line="276" w:lineRule="auto"/>
              <w:jc w:val="center"/>
              <w:rPr>
                <w:sz w:val="20"/>
                <w:lang w:eastAsia="es-CR"/>
              </w:rPr>
            </w:pPr>
            <w:r w:rsidRPr="004E74A6">
              <w:rPr>
                <w:rFonts w:cs="Calibri"/>
                <w:color w:val="000000"/>
                <w:sz w:val="20"/>
              </w:rPr>
              <w:t>0</w:t>
            </w:r>
          </w:p>
        </w:tc>
        <w:tc>
          <w:tcPr>
            <w:tcW w:w="480" w:type="pct"/>
            <w:tcBorders>
              <w:top w:val="nil"/>
              <w:left w:val="single" w:sz="4" w:space="0" w:color="auto"/>
              <w:bottom w:val="nil"/>
              <w:right w:val="single" w:sz="4" w:space="0" w:color="auto"/>
            </w:tcBorders>
            <w:shd w:val="clear" w:color="auto" w:fill="auto"/>
            <w:noWrap/>
            <w:vAlign w:val="bottom"/>
            <w:hideMark/>
          </w:tcPr>
          <w:p w14:paraId="7DCE97D7" w14:textId="509C8A80" w:rsidR="00E267E8" w:rsidRPr="004E74A6" w:rsidRDefault="00E267E8" w:rsidP="00CE62C1">
            <w:pPr>
              <w:spacing w:line="276" w:lineRule="auto"/>
              <w:jc w:val="center"/>
              <w:rPr>
                <w:rFonts w:cs="Calibri"/>
                <w:color w:val="000000"/>
                <w:sz w:val="20"/>
                <w:lang w:eastAsia="es-CR"/>
              </w:rPr>
            </w:pPr>
            <w:r w:rsidRPr="004E74A6">
              <w:rPr>
                <w:rFonts w:cs="Calibri"/>
                <w:color w:val="000000"/>
                <w:sz w:val="20"/>
              </w:rPr>
              <w:t>1</w:t>
            </w:r>
          </w:p>
        </w:tc>
        <w:tc>
          <w:tcPr>
            <w:tcW w:w="631" w:type="pct"/>
            <w:tcBorders>
              <w:top w:val="nil"/>
              <w:left w:val="single" w:sz="4" w:space="0" w:color="auto"/>
              <w:bottom w:val="nil"/>
              <w:right w:val="nil"/>
            </w:tcBorders>
            <w:shd w:val="clear" w:color="auto" w:fill="auto"/>
            <w:noWrap/>
            <w:vAlign w:val="bottom"/>
            <w:hideMark/>
          </w:tcPr>
          <w:p w14:paraId="79A41E3E" w14:textId="09E23B57" w:rsidR="00E267E8" w:rsidRPr="004E74A6" w:rsidRDefault="00E267E8" w:rsidP="00CE62C1">
            <w:pPr>
              <w:spacing w:line="276" w:lineRule="auto"/>
              <w:jc w:val="center"/>
              <w:rPr>
                <w:rFonts w:cs="Calibri"/>
                <w:color w:val="000000"/>
                <w:sz w:val="20"/>
                <w:lang w:eastAsia="es-CR"/>
              </w:rPr>
            </w:pPr>
            <w:r w:rsidRPr="004E74A6">
              <w:rPr>
                <w:rFonts w:cs="Calibri"/>
                <w:color w:val="000000"/>
                <w:sz w:val="20"/>
              </w:rPr>
              <w:t>0,3</w:t>
            </w:r>
          </w:p>
        </w:tc>
        <w:tc>
          <w:tcPr>
            <w:tcW w:w="1337" w:type="pct"/>
            <w:tcBorders>
              <w:top w:val="nil"/>
              <w:left w:val="single" w:sz="4" w:space="0" w:color="auto"/>
              <w:bottom w:val="nil"/>
              <w:right w:val="nil"/>
            </w:tcBorders>
            <w:vAlign w:val="bottom"/>
          </w:tcPr>
          <w:p w14:paraId="344A2BDF" w14:textId="0EFC7866" w:rsidR="00E267E8" w:rsidRPr="004E74A6" w:rsidRDefault="00E267E8" w:rsidP="00CE62C1">
            <w:pPr>
              <w:spacing w:line="276" w:lineRule="auto"/>
              <w:jc w:val="center"/>
              <w:rPr>
                <w:rFonts w:cs="Calibri"/>
                <w:color w:val="000000"/>
                <w:sz w:val="20"/>
              </w:rPr>
            </w:pPr>
            <w:r w:rsidRPr="004E74A6">
              <w:rPr>
                <w:rFonts w:cs="Calibri"/>
                <w:color w:val="000000"/>
                <w:sz w:val="20"/>
              </w:rPr>
              <w:t>57%</w:t>
            </w:r>
          </w:p>
        </w:tc>
      </w:tr>
      <w:tr w:rsidR="00E267E8" w:rsidRPr="004E74A6" w14:paraId="5746C5CB" w14:textId="15C20B6F" w:rsidTr="00E267E8">
        <w:trPr>
          <w:trHeight w:val="288"/>
          <w:jc w:val="center"/>
        </w:trPr>
        <w:tc>
          <w:tcPr>
            <w:tcW w:w="1593" w:type="pct"/>
            <w:tcBorders>
              <w:top w:val="nil"/>
              <w:left w:val="nil"/>
              <w:bottom w:val="nil"/>
              <w:right w:val="single" w:sz="4" w:space="0" w:color="auto"/>
            </w:tcBorders>
            <w:shd w:val="clear" w:color="auto" w:fill="auto"/>
            <w:noWrap/>
            <w:vAlign w:val="bottom"/>
            <w:hideMark/>
          </w:tcPr>
          <w:p w14:paraId="51054CE2" w14:textId="77777777" w:rsidR="00E267E8" w:rsidRPr="004E74A6" w:rsidRDefault="00E267E8" w:rsidP="00CE62C1">
            <w:pPr>
              <w:spacing w:line="276" w:lineRule="auto"/>
              <w:jc w:val="left"/>
              <w:rPr>
                <w:rFonts w:cs="Calibri"/>
                <w:color w:val="000000"/>
                <w:sz w:val="20"/>
                <w:lang w:eastAsia="es-CR"/>
              </w:rPr>
            </w:pPr>
            <w:r w:rsidRPr="004E74A6">
              <w:rPr>
                <w:rFonts w:cs="Calibri"/>
                <w:color w:val="000000"/>
                <w:sz w:val="20"/>
                <w:lang w:eastAsia="es-CR"/>
              </w:rPr>
              <w:t>De ¢95.000.001 A ¢100.000.000</w:t>
            </w:r>
          </w:p>
        </w:tc>
        <w:tc>
          <w:tcPr>
            <w:tcW w:w="480" w:type="pct"/>
            <w:tcBorders>
              <w:top w:val="nil"/>
              <w:left w:val="single" w:sz="4" w:space="0" w:color="auto"/>
              <w:bottom w:val="nil"/>
              <w:right w:val="single" w:sz="4" w:space="0" w:color="auto"/>
            </w:tcBorders>
            <w:shd w:val="clear" w:color="auto" w:fill="auto"/>
            <w:noWrap/>
            <w:vAlign w:val="bottom"/>
            <w:hideMark/>
          </w:tcPr>
          <w:p w14:paraId="53635B82" w14:textId="470B3A8B" w:rsidR="00E267E8" w:rsidRPr="004E74A6" w:rsidRDefault="00E267E8" w:rsidP="00CE62C1">
            <w:pPr>
              <w:spacing w:line="276" w:lineRule="auto"/>
              <w:jc w:val="center"/>
              <w:rPr>
                <w:rFonts w:cs="Calibri"/>
                <w:color w:val="000000"/>
                <w:sz w:val="20"/>
                <w:lang w:eastAsia="es-CR"/>
              </w:rPr>
            </w:pPr>
            <w:r w:rsidRPr="004E74A6">
              <w:rPr>
                <w:rFonts w:cs="Calibri"/>
                <w:color w:val="000000"/>
                <w:sz w:val="20"/>
              </w:rPr>
              <w:t>0</w:t>
            </w:r>
          </w:p>
        </w:tc>
        <w:tc>
          <w:tcPr>
            <w:tcW w:w="480" w:type="pct"/>
            <w:tcBorders>
              <w:top w:val="nil"/>
              <w:left w:val="single" w:sz="4" w:space="0" w:color="auto"/>
              <w:bottom w:val="nil"/>
              <w:right w:val="single" w:sz="4" w:space="0" w:color="auto"/>
            </w:tcBorders>
            <w:shd w:val="clear" w:color="auto" w:fill="auto"/>
            <w:noWrap/>
            <w:vAlign w:val="bottom"/>
            <w:hideMark/>
          </w:tcPr>
          <w:p w14:paraId="25BA692A" w14:textId="4CE67F42" w:rsidR="00E267E8" w:rsidRPr="004E74A6" w:rsidRDefault="00E267E8" w:rsidP="00CE62C1">
            <w:pPr>
              <w:spacing w:line="276" w:lineRule="auto"/>
              <w:jc w:val="center"/>
              <w:rPr>
                <w:rFonts w:cs="Calibri"/>
                <w:color w:val="000000"/>
                <w:sz w:val="20"/>
                <w:lang w:eastAsia="es-CR"/>
              </w:rPr>
            </w:pPr>
            <w:r w:rsidRPr="004E74A6">
              <w:rPr>
                <w:rFonts w:cs="Calibri"/>
                <w:color w:val="000000"/>
                <w:sz w:val="20"/>
              </w:rPr>
              <w:t>1</w:t>
            </w:r>
          </w:p>
        </w:tc>
        <w:tc>
          <w:tcPr>
            <w:tcW w:w="480" w:type="pct"/>
            <w:tcBorders>
              <w:top w:val="nil"/>
              <w:left w:val="single" w:sz="4" w:space="0" w:color="auto"/>
              <w:bottom w:val="nil"/>
              <w:right w:val="single" w:sz="4" w:space="0" w:color="auto"/>
            </w:tcBorders>
            <w:shd w:val="clear" w:color="auto" w:fill="auto"/>
            <w:noWrap/>
            <w:vAlign w:val="bottom"/>
            <w:hideMark/>
          </w:tcPr>
          <w:p w14:paraId="7B61290D" w14:textId="23921D10" w:rsidR="00E267E8" w:rsidRPr="004E74A6" w:rsidRDefault="00E267E8" w:rsidP="00CE62C1">
            <w:pPr>
              <w:spacing w:line="276" w:lineRule="auto"/>
              <w:jc w:val="center"/>
              <w:rPr>
                <w:rFonts w:cs="Calibri"/>
                <w:color w:val="000000"/>
                <w:sz w:val="20"/>
                <w:lang w:eastAsia="es-CR"/>
              </w:rPr>
            </w:pPr>
            <w:r w:rsidRPr="004E74A6">
              <w:rPr>
                <w:rFonts w:cs="Calibri"/>
                <w:color w:val="000000"/>
                <w:sz w:val="20"/>
              </w:rPr>
              <w:t>1</w:t>
            </w:r>
          </w:p>
        </w:tc>
        <w:tc>
          <w:tcPr>
            <w:tcW w:w="631" w:type="pct"/>
            <w:tcBorders>
              <w:top w:val="nil"/>
              <w:left w:val="single" w:sz="4" w:space="0" w:color="auto"/>
              <w:bottom w:val="nil"/>
              <w:right w:val="nil"/>
            </w:tcBorders>
            <w:shd w:val="clear" w:color="auto" w:fill="auto"/>
            <w:noWrap/>
            <w:vAlign w:val="bottom"/>
            <w:hideMark/>
          </w:tcPr>
          <w:p w14:paraId="5970CBC9" w14:textId="1D49441C" w:rsidR="00E267E8" w:rsidRPr="004E74A6" w:rsidRDefault="00E267E8" w:rsidP="00CE62C1">
            <w:pPr>
              <w:spacing w:line="276" w:lineRule="auto"/>
              <w:jc w:val="center"/>
              <w:rPr>
                <w:rFonts w:cs="Calibri"/>
                <w:color w:val="000000"/>
                <w:sz w:val="20"/>
                <w:lang w:eastAsia="es-CR"/>
              </w:rPr>
            </w:pPr>
            <w:r w:rsidRPr="004E74A6">
              <w:rPr>
                <w:rFonts w:cs="Calibri"/>
                <w:color w:val="000000"/>
                <w:sz w:val="20"/>
              </w:rPr>
              <w:t>0,7</w:t>
            </w:r>
          </w:p>
        </w:tc>
        <w:tc>
          <w:tcPr>
            <w:tcW w:w="1337" w:type="pct"/>
            <w:tcBorders>
              <w:top w:val="nil"/>
              <w:left w:val="single" w:sz="4" w:space="0" w:color="auto"/>
              <w:bottom w:val="nil"/>
              <w:right w:val="nil"/>
            </w:tcBorders>
            <w:vAlign w:val="bottom"/>
          </w:tcPr>
          <w:p w14:paraId="503D558C" w14:textId="06A39EA6" w:rsidR="00E267E8" w:rsidRPr="004E74A6" w:rsidRDefault="00E267E8" w:rsidP="00CE62C1">
            <w:pPr>
              <w:spacing w:line="276" w:lineRule="auto"/>
              <w:jc w:val="center"/>
              <w:rPr>
                <w:rFonts w:cs="Calibri"/>
                <w:color w:val="000000"/>
                <w:sz w:val="20"/>
              </w:rPr>
            </w:pPr>
            <w:r w:rsidRPr="004E74A6">
              <w:rPr>
                <w:rFonts w:cs="Calibri"/>
                <w:color w:val="000000"/>
                <w:sz w:val="20"/>
              </w:rPr>
              <w:t>59%</w:t>
            </w:r>
          </w:p>
        </w:tc>
      </w:tr>
      <w:tr w:rsidR="00E267E8" w:rsidRPr="004E74A6" w14:paraId="697D5975" w14:textId="73922DA1" w:rsidTr="00E267E8">
        <w:trPr>
          <w:trHeight w:val="288"/>
          <w:jc w:val="center"/>
        </w:trPr>
        <w:tc>
          <w:tcPr>
            <w:tcW w:w="1593" w:type="pct"/>
            <w:tcBorders>
              <w:top w:val="nil"/>
              <w:left w:val="nil"/>
              <w:bottom w:val="nil"/>
              <w:right w:val="single" w:sz="4" w:space="0" w:color="auto"/>
            </w:tcBorders>
            <w:shd w:val="clear" w:color="auto" w:fill="auto"/>
            <w:noWrap/>
            <w:vAlign w:val="bottom"/>
            <w:hideMark/>
          </w:tcPr>
          <w:p w14:paraId="511EEC8A" w14:textId="77777777" w:rsidR="00E267E8" w:rsidRPr="004E74A6" w:rsidRDefault="00E267E8" w:rsidP="00CE62C1">
            <w:pPr>
              <w:spacing w:line="276" w:lineRule="auto"/>
              <w:jc w:val="left"/>
              <w:rPr>
                <w:rFonts w:cs="Calibri"/>
                <w:color w:val="000000"/>
                <w:sz w:val="20"/>
                <w:lang w:eastAsia="es-CR"/>
              </w:rPr>
            </w:pPr>
            <w:r w:rsidRPr="004E74A6">
              <w:rPr>
                <w:rFonts w:cs="Calibri"/>
                <w:color w:val="000000"/>
                <w:sz w:val="20"/>
                <w:lang w:eastAsia="es-CR"/>
              </w:rPr>
              <w:t>Más De ¢100.000.000</w:t>
            </w:r>
          </w:p>
        </w:tc>
        <w:tc>
          <w:tcPr>
            <w:tcW w:w="480" w:type="pct"/>
            <w:tcBorders>
              <w:top w:val="nil"/>
              <w:left w:val="single" w:sz="4" w:space="0" w:color="auto"/>
              <w:bottom w:val="nil"/>
              <w:right w:val="single" w:sz="4" w:space="0" w:color="auto"/>
            </w:tcBorders>
            <w:shd w:val="clear" w:color="auto" w:fill="auto"/>
            <w:noWrap/>
            <w:vAlign w:val="bottom"/>
            <w:hideMark/>
          </w:tcPr>
          <w:p w14:paraId="2A654446" w14:textId="1EC6A44A" w:rsidR="00E267E8" w:rsidRPr="004E74A6" w:rsidRDefault="00E267E8" w:rsidP="00CE62C1">
            <w:pPr>
              <w:spacing w:line="276" w:lineRule="auto"/>
              <w:jc w:val="center"/>
              <w:rPr>
                <w:rFonts w:cs="Calibri"/>
                <w:color w:val="000000"/>
                <w:sz w:val="20"/>
                <w:lang w:eastAsia="es-CR"/>
              </w:rPr>
            </w:pPr>
            <w:r w:rsidRPr="004E74A6">
              <w:rPr>
                <w:rFonts w:cs="Calibri"/>
                <w:color w:val="000000"/>
                <w:sz w:val="20"/>
              </w:rPr>
              <w:t>0</w:t>
            </w:r>
          </w:p>
        </w:tc>
        <w:tc>
          <w:tcPr>
            <w:tcW w:w="480" w:type="pct"/>
            <w:tcBorders>
              <w:top w:val="nil"/>
              <w:left w:val="single" w:sz="4" w:space="0" w:color="auto"/>
              <w:bottom w:val="nil"/>
              <w:right w:val="single" w:sz="4" w:space="0" w:color="auto"/>
            </w:tcBorders>
            <w:shd w:val="clear" w:color="auto" w:fill="auto"/>
            <w:noWrap/>
            <w:vAlign w:val="bottom"/>
            <w:hideMark/>
          </w:tcPr>
          <w:p w14:paraId="09F8F89D" w14:textId="4599749D" w:rsidR="00E267E8" w:rsidRPr="004E74A6" w:rsidRDefault="00E267E8" w:rsidP="00CE62C1">
            <w:pPr>
              <w:spacing w:line="276" w:lineRule="auto"/>
              <w:jc w:val="center"/>
              <w:rPr>
                <w:sz w:val="20"/>
                <w:lang w:eastAsia="es-CR"/>
              </w:rPr>
            </w:pPr>
            <w:r w:rsidRPr="004E74A6">
              <w:rPr>
                <w:rFonts w:cs="Calibri"/>
                <w:color w:val="000000"/>
                <w:sz w:val="20"/>
              </w:rPr>
              <w:t>0</w:t>
            </w:r>
          </w:p>
        </w:tc>
        <w:tc>
          <w:tcPr>
            <w:tcW w:w="480" w:type="pct"/>
            <w:tcBorders>
              <w:top w:val="nil"/>
              <w:left w:val="single" w:sz="4" w:space="0" w:color="auto"/>
              <w:bottom w:val="nil"/>
              <w:right w:val="single" w:sz="4" w:space="0" w:color="auto"/>
            </w:tcBorders>
            <w:shd w:val="clear" w:color="auto" w:fill="auto"/>
            <w:noWrap/>
            <w:vAlign w:val="bottom"/>
            <w:hideMark/>
          </w:tcPr>
          <w:p w14:paraId="2F6667F1" w14:textId="583E68A2" w:rsidR="00E267E8" w:rsidRPr="004E74A6" w:rsidRDefault="00E267E8" w:rsidP="00CE62C1">
            <w:pPr>
              <w:spacing w:line="276" w:lineRule="auto"/>
              <w:jc w:val="center"/>
              <w:rPr>
                <w:rFonts w:cs="Calibri"/>
                <w:color w:val="000000"/>
                <w:sz w:val="20"/>
                <w:lang w:eastAsia="es-CR"/>
              </w:rPr>
            </w:pPr>
            <w:r w:rsidRPr="004E74A6">
              <w:rPr>
                <w:rFonts w:cs="Calibri"/>
                <w:color w:val="000000"/>
                <w:sz w:val="20"/>
              </w:rPr>
              <w:t>8</w:t>
            </w:r>
          </w:p>
        </w:tc>
        <w:tc>
          <w:tcPr>
            <w:tcW w:w="631" w:type="pct"/>
            <w:tcBorders>
              <w:top w:val="nil"/>
              <w:left w:val="single" w:sz="4" w:space="0" w:color="auto"/>
              <w:bottom w:val="nil"/>
              <w:right w:val="nil"/>
            </w:tcBorders>
            <w:shd w:val="clear" w:color="auto" w:fill="auto"/>
            <w:noWrap/>
            <w:vAlign w:val="bottom"/>
            <w:hideMark/>
          </w:tcPr>
          <w:p w14:paraId="06AE5847" w14:textId="719B3865" w:rsidR="00E267E8" w:rsidRPr="004E74A6" w:rsidRDefault="00E267E8" w:rsidP="00CE62C1">
            <w:pPr>
              <w:spacing w:line="276" w:lineRule="auto"/>
              <w:jc w:val="center"/>
              <w:rPr>
                <w:rFonts w:cs="Calibri"/>
                <w:color w:val="000000"/>
                <w:sz w:val="20"/>
                <w:lang w:eastAsia="es-CR"/>
              </w:rPr>
            </w:pPr>
            <w:r w:rsidRPr="004E74A6">
              <w:rPr>
                <w:rFonts w:cs="Calibri"/>
                <w:color w:val="000000"/>
                <w:sz w:val="20"/>
              </w:rPr>
              <w:t>2,7</w:t>
            </w:r>
          </w:p>
        </w:tc>
        <w:tc>
          <w:tcPr>
            <w:tcW w:w="1337" w:type="pct"/>
            <w:tcBorders>
              <w:top w:val="nil"/>
              <w:left w:val="single" w:sz="4" w:space="0" w:color="auto"/>
              <w:bottom w:val="nil"/>
              <w:right w:val="nil"/>
            </w:tcBorders>
            <w:vAlign w:val="bottom"/>
          </w:tcPr>
          <w:p w14:paraId="49ED6EC0" w14:textId="4E0A059E" w:rsidR="00E267E8" w:rsidRPr="004E74A6" w:rsidRDefault="00E267E8" w:rsidP="00CE62C1">
            <w:pPr>
              <w:spacing w:line="276" w:lineRule="auto"/>
              <w:jc w:val="center"/>
              <w:rPr>
                <w:rFonts w:cs="Calibri"/>
                <w:color w:val="000000"/>
                <w:sz w:val="20"/>
              </w:rPr>
            </w:pPr>
            <w:r w:rsidRPr="004E74A6">
              <w:rPr>
                <w:rFonts w:cs="Calibri"/>
                <w:color w:val="000000"/>
                <w:sz w:val="20"/>
              </w:rPr>
              <w:t>68%</w:t>
            </w:r>
          </w:p>
        </w:tc>
      </w:tr>
      <w:tr w:rsidR="00E267E8" w:rsidRPr="004E74A6" w14:paraId="5756EAFD" w14:textId="74869057" w:rsidTr="00E267E8">
        <w:trPr>
          <w:trHeight w:val="288"/>
          <w:jc w:val="center"/>
        </w:trPr>
        <w:tc>
          <w:tcPr>
            <w:tcW w:w="1593" w:type="pct"/>
            <w:tcBorders>
              <w:top w:val="nil"/>
              <w:left w:val="nil"/>
              <w:bottom w:val="nil"/>
              <w:right w:val="single" w:sz="4" w:space="0" w:color="auto"/>
            </w:tcBorders>
            <w:shd w:val="clear" w:color="auto" w:fill="auto"/>
            <w:noWrap/>
            <w:vAlign w:val="bottom"/>
            <w:hideMark/>
          </w:tcPr>
          <w:p w14:paraId="08DDCA27" w14:textId="77777777" w:rsidR="00E267E8" w:rsidRPr="004E74A6" w:rsidRDefault="00E267E8" w:rsidP="00CE62C1">
            <w:pPr>
              <w:spacing w:line="276" w:lineRule="auto"/>
              <w:jc w:val="left"/>
              <w:rPr>
                <w:rFonts w:cs="Calibri"/>
                <w:color w:val="ED7D31" w:themeColor="accent2"/>
                <w:sz w:val="20"/>
                <w:lang w:eastAsia="es-CR"/>
              </w:rPr>
            </w:pPr>
            <w:r w:rsidRPr="004E74A6">
              <w:rPr>
                <w:rFonts w:cs="Calibri"/>
                <w:color w:val="ED7D31" w:themeColor="accent2"/>
                <w:sz w:val="20"/>
                <w:lang w:eastAsia="es-CR"/>
              </w:rPr>
              <w:t>Expedientes Cuantía Cero</w:t>
            </w:r>
          </w:p>
        </w:tc>
        <w:tc>
          <w:tcPr>
            <w:tcW w:w="480" w:type="pct"/>
            <w:tcBorders>
              <w:top w:val="nil"/>
              <w:left w:val="single" w:sz="4" w:space="0" w:color="auto"/>
              <w:bottom w:val="nil"/>
              <w:right w:val="single" w:sz="4" w:space="0" w:color="auto"/>
            </w:tcBorders>
            <w:shd w:val="clear" w:color="auto" w:fill="auto"/>
            <w:noWrap/>
            <w:vAlign w:val="bottom"/>
            <w:hideMark/>
          </w:tcPr>
          <w:p w14:paraId="3FA0FC2E" w14:textId="3556ED2E" w:rsidR="00E267E8" w:rsidRPr="004E74A6" w:rsidRDefault="00E267E8" w:rsidP="00CE62C1">
            <w:pPr>
              <w:spacing w:line="276" w:lineRule="auto"/>
              <w:jc w:val="center"/>
              <w:rPr>
                <w:rFonts w:cs="Calibri"/>
                <w:color w:val="ED7D31" w:themeColor="accent2"/>
                <w:sz w:val="20"/>
                <w:lang w:eastAsia="es-CR"/>
              </w:rPr>
            </w:pPr>
            <w:r w:rsidRPr="004E74A6">
              <w:rPr>
                <w:rFonts w:cs="Calibri"/>
                <w:color w:val="ED7D31" w:themeColor="accent2"/>
                <w:sz w:val="20"/>
              </w:rPr>
              <w:t>2</w:t>
            </w:r>
          </w:p>
        </w:tc>
        <w:tc>
          <w:tcPr>
            <w:tcW w:w="480" w:type="pct"/>
            <w:tcBorders>
              <w:top w:val="nil"/>
              <w:left w:val="single" w:sz="4" w:space="0" w:color="auto"/>
              <w:bottom w:val="nil"/>
              <w:right w:val="single" w:sz="4" w:space="0" w:color="auto"/>
            </w:tcBorders>
            <w:shd w:val="clear" w:color="auto" w:fill="auto"/>
            <w:noWrap/>
            <w:vAlign w:val="bottom"/>
            <w:hideMark/>
          </w:tcPr>
          <w:p w14:paraId="1DF74B87" w14:textId="3F28A000" w:rsidR="00E267E8" w:rsidRPr="004E74A6" w:rsidRDefault="00E267E8" w:rsidP="00CE62C1">
            <w:pPr>
              <w:spacing w:line="276" w:lineRule="auto"/>
              <w:jc w:val="center"/>
              <w:rPr>
                <w:rFonts w:cs="Calibri"/>
                <w:color w:val="ED7D31" w:themeColor="accent2"/>
                <w:sz w:val="20"/>
                <w:lang w:eastAsia="es-CR"/>
              </w:rPr>
            </w:pPr>
            <w:r w:rsidRPr="004E74A6">
              <w:rPr>
                <w:rFonts w:cs="Calibri"/>
                <w:color w:val="ED7D31" w:themeColor="accent2"/>
                <w:sz w:val="20"/>
              </w:rPr>
              <w:t>26</w:t>
            </w:r>
          </w:p>
        </w:tc>
        <w:tc>
          <w:tcPr>
            <w:tcW w:w="480" w:type="pct"/>
            <w:tcBorders>
              <w:top w:val="nil"/>
              <w:left w:val="single" w:sz="4" w:space="0" w:color="auto"/>
              <w:bottom w:val="nil"/>
              <w:right w:val="single" w:sz="4" w:space="0" w:color="auto"/>
            </w:tcBorders>
            <w:shd w:val="clear" w:color="auto" w:fill="auto"/>
            <w:noWrap/>
            <w:vAlign w:val="bottom"/>
            <w:hideMark/>
          </w:tcPr>
          <w:p w14:paraId="33193337" w14:textId="4C3BBCF7" w:rsidR="00E267E8" w:rsidRPr="004E74A6" w:rsidRDefault="00E267E8" w:rsidP="00CE62C1">
            <w:pPr>
              <w:spacing w:line="276" w:lineRule="auto"/>
              <w:jc w:val="center"/>
              <w:rPr>
                <w:rFonts w:cs="Calibri"/>
                <w:color w:val="ED7D31" w:themeColor="accent2"/>
                <w:sz w:val="20"/>
                <w:lang w:eastAsia="es-CR"/>
              </w:rPr>
            </w:pPr>
            <w:r w:rsidRPr="004E74A6">
              <w:rPr>
                <w:rFonts w:cs="Calibri"/>
                <w:color w:val="ED7D31" w:themeColor="accent2"/>
                <w:sz w:val="20"/>
              </w:rPr>
              <w:t>2</w:t>
            </w:r>
          </w:p>
        </w:tc>
        <w:tc>
          <w:tcPr>
            <w:tcW w:w="631" w:type="pct"/>
            <w:tcBorders>
              <w:top w:val="nil"/>
              <w:left w:val="single" w:sz="4" w:space="0" w:color="auto"/>
              <w:bottom w:val="nil"/>
              <w:right w:val="nil"/>
            </w:tcBorders>
            <w:shd w:val="clear" w:color="auto" w:fill="auto"/>
            <w:noWrap/>
            <w:vAlign w:val="bottom"/>
            <w:hideMark/>
          </w:tcPr>
          <w:p w14:paraId="68CE8F28" w14:textId="1E8977A4" w:rsidR="00E267E8" w:rsidRPr="004E74A6" w:rsidRDefault="00E267E8" w:rsidP="00CE62C1">
            <w:pPr>
              <w:spacing w:line="276" w:lineRule="auto"/>
              <w:jc w:val="center"/>
              <w:rPr>
                <w:rFonts w:cs="Calibri"/>
                <w:color w:val="ED7D31" w:themeColor="accent2"/>
                <w:sz w:val="20"/>
                <w:lang w:eastAsia="es-CR"/>
              </w:rPr>
            </w:pPr>
            <w:r w:rsidRPr="004E74A6">
              <w:rPr>
                <w:rFonts w:cs="Calibri"/>
                <w:color w:val="ED7D31" w:themeColor="accent2"/>
                <w:sz w:val="20"/>
              </w:rPr>
              <w:t>10,0</w:t>
            </w:r>
          </w:p>
        </w:tc>
        <w:tc>
          <w:tcPr>
            <w:tcW w:w="1337" w:type="pct"/>
            <w:tcBorders>
              <w:top w:val="nil"/>
              <w:left w:val="single" w:sz="4" w:space="0" w:color="auto"/>
              <w:bottom w:val="nil"/>
              <w:right w:val="nil"/>
            </w:tcBorders>
            <w:shd w:val="clear" w:color="auto" w:fill="auto"/>
            <w:vAlign w:val="bottom"/>
          </w:tcPr>
          <w:p w14:paraId="695C5B87" w14:textId="71866AE4" w:rsidR="00E267E8" w:rsidRPr="004E74A6" w:rsidRDefault="00E267E8" w:rsidP="00CE62C1">
            <w:pPr>
              <w:spacing w:line="276" w:lineRule="auto"/>
              <w:jc w:val="center"/>
              <w:rPr>
                <w:rFonts w:cs="Calibri"/>
                <w:color w:val="ED7D31" w:themeColor="accent2"/>
                <w:sz w:val="20"/>
              </w:rPr>
            </w:pPr>
            <w:r w:rsidRPr="004E74A6">
              <w:rPr>
                <w:rFonts w:cs="Calibri"/>
                <w:color w:val="ED7D31" w:themeColor="accent2"/>
                <w:sz w:val="20"/>
              </w:rPr>
              <w:t>100%</w:t>
            </w:r>
          </w:p>
        </w:tc>
      </w:tr>
      <w:tr w:rsidR="00E267E8" w:rsidRPr="004E74A6" w14:paraId="609EC951" w14:textId="6D29BD16" w:rsidTr="00E267E8">
        <w:trPr>
          <w:trHeight w:val="288"/>
          <w:jc w:val="center"/>
        </w:trPr>
        <w:tc>
          <w:tcPr>
            <w:tcW w:w="1593" w:type="pct"/>
            <w:tcBorders>
              <w:top w:val="nil"/>
              <w:left w:val="nil"/>
              <w:bottom w:val="single" w:sz="4" w:space="0" w:color="auto"/>
              <w:right w:val="single" w:sz="4" w:space="0" w:color="auto"/>
            </w:tcBorders>
            <w:shd w:val="clear" w:color="auto" w:fill="auto"/>
            <w:noWrap/>
            <w:vAlign w:val="bottom"/>
          </w:tcPr>
          <w:p w14:paraId="6F283ABF" w14:textId="77777777" w:rsidR="00E267E8" w:rsidRPr="004E74A6" w:rsidRDefault="00E267E8" w:rsidP="00CE62C1">
            <w:pPr>
              <w:spacing w:line="276" w:lineRule="auto"/>
              <w:jc w:val="left"/>
              <w:rPr>
                <w:rFonts w:cs="Calibri"/>
                <w:color w:val="000000"/>
                <w:sz w:val="20"/>
                <w:lang w:eastAsia="es-CR"/>
              </w:rPr>
            </w:pPr>
          </w:p>
        </w:tc>
        <w:tc>
          <w:tcPr>
            <w:tcW w:w="480" w:type="pct"/>
            <w:tcBorders>
              <w:top w:val="nil"/>
              <w:left w:val="single" w:sz="4" w:space="0" w:color="auto"/>
              <w:bottom w:val="single" w:sz="4" w:space="0" w:color="auto"/>
              <w:right w:val="single" w:sz="4" w:space="0" w:color="auto"/>
            </w:tcBorders>
            <w:shd w:val="clear" w:color="auto" w:fill="auto"/>
            <w:noWrap/>
            <w:vAlign w:val="center"/>
          </w:tcPr>
          <w:p w14:paraId="7562A200" w14:textId="77777777" w:rsidR="00E267E8" w:rsidRPr="004E74A6" w:rsidRDefault="00E267E8" w:rsidP="00CE62C1">
            <w:pPr>
              <w:spacing w:line="276" w:lineRule="auto"/>
              <w:jc w:val="center"/>
              <w:rPr>
                <w:rFonts w:cs="Calibri"/>
                <w:color w:val="000000"/>
                <w:sz w:val="20"/>
                <w:lang w:eastAsia="es-CR"/>
              </w:rPr>
            </w:pPr>
          </w:p>
        </w:tc>
        <w:tc>
          <w:tcPr>
            <w:tcW w:w="480" w:type="pct"/>
            <w:tcBorders>
              <w:top w:val="nil"/>
              <w:left w:val="single" w:sz="4" w:space="0" w:color="auto"/>
              <w:bottom w:val="single" w:sz="4" w:space="0" w:color="auto"/>
              <w:right w:val="single" w:sz="4" w:space="0" w:color="auto"/>
            </w:tcBorders>
            <w:shd w:val="clear" w:color="auto" w:fill="auto"/>
            <w:noWrap/>
            <w:vAlign w:val="center"/>
          </w:tcPr>
          <w:p w14:paraId="63EDDA80" w14:textId="77777777" w:rsidR="00E267E8" w:rsidRPr="004E74A6" w:rsidRDefault="00E267E8" w:rsidP="00CE62C1">
            <w:pPr>
              <w:spacing w:line="276" w:lineRule="auto"/>
              <w:jc w:val="center"/>
              <w:rPr>
                <w:rFonts w:cs="Calibri"/>
                <w:color w:val="000000"/>
                <w:sz w:val="20"/>
                <w:lang w:eastAsia="es-CR"/>
              </w:rPr>
            </w:pPr>
          </w:p>
        </w:tc>
        <w:tc>
          <w:tcPr>
            <w:tcW w:w="480" w:type="pct"/>
            <w:tcBorders>
              <w:top w:val="nil"/>
              <w:left w:val="single" w:sz="4" w:space="0" w:color="auto"/>
              <w:bottom w:val="single" w:sz="4" w:space="0" w:color="auto"/>
              <w:right w:val="single" w:sz="4" w:space="0" w:color="auto"/>
            </w:tcBorders>
            <w:shd w:val="clear" w:color="auto" w:fill="auto"/>
            <w:noWrap/>
            <w:vAlign w:val="center"/>
          </w:tcPr>
          <w:p w14:paraId="36E44E1F" w14:textId="77777777" w:rsidR="00E267E8" w:rsidRPr="004E74A6" w:rsidRDefault="00E267E8" w:rsidP="00CE62C1">
            <w:pPr>
              <w:spacing w:line="276" w:lineRule="auto"/>
              <w:jc w:val="center"/>
              <w:rPr>
                <w:rFonts w:cs="Calibri"/>
                <w:color w:val="000000"/>
                <w:sz w:val="20"/>
                <w:lang w:eastAsia="es-CR"/>
              </w:rPr>
            </w:pPr>
          </w:p>
        </w:tc>
        <w:tc>
          <w:tcPr>
            <w:tcW w:w="631" w:type="pct"/>
            <w:tcBorders>
              <w:top w:val="nil"/>
              <w:left w:val="single" w:sz="4" w:space="0" w:color="auto"/>
              <w:bottom w:val="single" w:sz="4" w:space="0" w:color="auto"/>
              <w:right w:val="nil"/>
            </w:tcBorders>
            <w:shd w:val="clear" w:color="auto" w:fill="auto"/>
            <w:noWrap/>
            <w:vAlign w:val="center"/>
          </w:tcPr>
          <w:p w14:paraId="6F95CB22" w14:textId="77777777" w:rsidR="00E267E8" w:rsidRPr="004E74A6" w:rsidRDefault="00E267E8" w:rsidP="00CE62C1">
            <w:pPr>
              <w:spacing w:line="276" w:lineRule="auto"/>
              <w:jc w:val="center"/>
              <w:rPr>
                <w:rFonts w:cs="Calibri"/>
                <w:color w:val="000000"/>
                <w:sz w:val="20"/>
                <w:lang w:eastAsia="es-CR"/>
              </w:rPr>
            </w:pPr>
          </w:p>
        </w:tc>
        <w:tc>
          <w:tcPr>
            <w:tcW w:w="1337" w:type="pct"/>
            <w:tcBorders>
              <w:top w:val="nil"/>
              <w:left w:val="single" w:sz="4" w:space="0" w:color="auto"/>
              <w:bottom w:val="single" w:sz="4" w:space="0" w:color="auto"/>
              <w:right w:val="nil"/>
            </w:tcBorders>
          </w:tcPr>
          <w:p w14:paraId="7547E395" w14:textId="77777777" w:rsidR="00E267E8" w:rsidRPr="004E74A6" w:rsidRDefault="00E267E8" w:rsidP="00CE62C1">
            <w:pPr>
              <w:spacing w:line="276" w:lineRule="auto"/>
              <w:jc w:val="center"/>
              <w:rPr>
                <w:rFonts w:cs="Calibri"/>
                <w:color w:val="000000"/>
                <w:sz w:val="20"/>
                <w:lang w:eastAsia="es-CR"/>
              </w:rPr>
            </w:pPr>
          </w:p>
        </w:tc>
      </w:tr>
    </w:tbl>
    <w:p w14:paraId="32E4408A" w14:textId="77777777" w:rsidR="003E4755" w:rsidRPr="004E74A6" w:rsidRDefault="003E4755" w:rsidP="00832773">
      <w:pPr>
        <w:spacing w:line="276" w:lineRule="auto"/>
        <w:ind w:left="57" w:right="57"/>
        <w:rPr>
          <w:rFonts w:cs="Calibri"/>
          <w:i/>
          <w:iCs/>
          <w:color w:val="000000"/>
          <w:sz w:val="20"/>
          <w:lang w:eastAsia="es-CR"/>
        </w:rPr>
      </w:pPr>
      <w:r w:rsidRPr="004E74A6">
        <w:rPr>
          <w:rFonts w:cs="Calibri"/>
          <w:b/>
          <w:bCs/>
          <w:i/>
          <w:iCs/>
          <w:color w:val="000000"/>
          <w:sz w:val="20"/>
          <w:lang w:eastAsia="es-CR"/>
        </w:rPr>
        <w:t>Fuente</w:t>
      </w:r>
      <w:r w:rsidRPr="004E74A6">
        <w:rPr>
          <w:rFonts w:cs="Calibri"/>
          <w:i/>
          <w:iCs/>
          <w:color w:val="000000"/>
          <w:sz w:val="20"/>
          <w:lang w:eastAsia="es-CR"/>
        </w:rPr>
        <w:t>: Subproceso de Modernización Institucional con datos extraídos del sistema SIGMA, Dirección de Planificación.</w:t>
      </w:r>
    </w:p>
    <w:p w14:paraId="469E0CE8" w14:textId="77777777" w:rsidR="008647ED" w:rsidRPr="004E74A6" w:rsidRDefault="008647ED" w:rsidP="00CE62C1">
      <w:pPr>
        <w:spacing w:after="160" w:line="276" w:lineRule="auto"/>
        <w:rPr>
          <w:rFonts w:cs="Calibri"/>
          <w:color w:val="000000"/>
          <w:szCs w:val="24"/>
          <w:lang w:eastAsia="es-CR"/>
        </w:rPr>
      </w:pPr>
    </w:p>
    <w:p w14:paraId="0DAA751A" w14:textId="4958303D" w:rsidR="00100E19" w:rsidRPr="004E74A6" w:rsidRDefault="00100E19" w:rsidP="00CE62C1">
      <w:pPr>
        <w:spacing w:after="160" w:line="276" w:lineRule="auto"/>
        <w:rPr>
          <w:rFonts w:cs="Calibri"/>
          <w:color w:val="000000"/>
          <w:szCs w:val="24"/>
          <w:lang w:eastAsia="es-CR"/>
        </w:rPr>
      </w:pPr>
      <w:r w:rsidRPr="004E74A6">
        <w:rPr>
          <w:rFonts w:cs="Calibri"/>
          <w:color w:val="000000"/>
          <w:szCs w:val="24"/>
          <w:lang w:eastAsia="es-CR"/>
        </w:rPr>
        <w:t>Para el 2019</w:t>
      </w:r>
      <w:r w:rsidR="00773C2E">
        <w:rPr>
          <w:rFonts w:cs="Calibri"/>
          <w:color w:val="000000"/>
          <w:szCs w:val="24"/>
          <w:lang w:eastAsia="es-CR"/>
        </w:rPr>
        <w:t>,</w:t>
      </w:r>
      <w:r w:rsidRPr="004E74A6">
        <w:rPr>
          <w:rFonts w:cs="Calibri"/>
          <w:color w:val="000000"/>
          <w:szCs w:val="24"/>
          <w:lang w:eastAsia="es-CR"/>
        </w:rPr>
        <w:t xml:space="preserve"> se reportaron 2 asuntos con el rango de cuantía </w:t>
      </w:r>
      <w:r w:rsidRPr="004E74A6">
        <w:rPr>
          <w:rFonts w:cs="Calibri"/>
          <w:i/>
          <w:iCs/>
          <w:color w:val="000000"/>
          <w:szCs w:val="24"/>
          <w:lang w:eastAsia="es-CR"/>
        </w:rPr>
        <w:t>“expedientes cuantía cero”</w:t>
      </w:r>
      <w:r w:rsidRPr="004E74A6">
        <w:rPr>
          <w:rFonts w:cs="Calibri"/>
          <w:color w:val="000000"/>
          <w:szCs w:val="24"/>
          <w:lang w:eastAsia="es-CR"/>
        </w:rPr>
        <w:t>, 26 en 2020 y 2 en 2021, eso sucedió porque el Tribunal indicó que el proceso era estimable pero no completó la opción de rango.</w:t>
      </w:r>
    </w:p>
    <w:p w14:paraId="3A000AA2" w14:textId="2380AF12" w:rsidR="00DC1B71" w:rsidRPr="004E74A6" w:rsidRDefault="00E01FE1" w:rsidP="00CE62C1">
      <w:pPr>
        <w:spacing w:after="160" w:line="276" w:lineRule="auto"/>
        <w:rPr>
          <w:rFonts w:cs="Calibri"/>
          <w:color w:val="000000"/>
          <w:szCs w:val="24"/>
          <w:lang w:eastAsia="es-CR"/>
        </w:rPr>
      </w:pPr>
      <w:r w:rsidRPr="004E74A6">
        <w:rPr>
          <w:rFonts w:cs="Calibri"/>
          <w:color w:val="000000"/>
          <w:szCs w:val="24"/>
          <w:lang w:eastAsia="es-CR"/>
        </w:rPr>
        <w:t xml:space="preserve">De elevarse cuantía según escenario A.1 este Tribunal perdería un 47% </w:t>
      </w:r>
      <w:r w:rsidR="00DC1B71" w:rsidRPr="004E74A6">
        <w:rPr>
          <w:rFonts w:cs="Calibri"/>
          <w:color w:val="000000"/>
          <w:szCs w:val="24"/>
          <w:lang w:eastAsia="es-CR"/>
        </w:rPr>
        <w:t xml:space="preserve">de su entrada actual de asuntos ordinarios estimables que se trasladarían a conocimiento de los Juzgados Civiles y por ende </w:t>
      </w:r>
      <w:r w:rsidR="00DC1B71" w:rsidRPr="004E74A6">
        <w:rPr>
          <w:rFonts w:cs="Calibri"/>
          <w:b/>
          <w:bCs/>
          <w:color w:val="000000"/>
          <w:szCs w:val="24"/>
          <w:lang w:eastAsia="es-CR"/>
        </w:rPr>
        <w:t xml:space="preserve">las apelaciones de sentencia </w:t>
      </w:r>
      <w:r w:rsidR="00DC1B71" w:rsidRPr="004E74A6">
        <w:rPr>
          <w:rFonts w:cs="Calibri"/>
          <w:color w:val="000000"/>
          <w:szCs w:val="24"/>
          <w:lang w:eastAsia="es-CR"/>
        </w:rPr>
        <w:t xml:space="preserve">en esos procesos se </w:t>
      </w:r>
      <w:r w:rsidR="00DC1B71" w:rsidRPr="004E74A6">
        <w:rPr>
          <w:rFonts w:cs="Calibri"/>
          <w:color w:val="000000"/>
          <w:szCs w:val="24"/>
          <w:lang w:eastAsia="es-CR"/>
        </w:rPr>
        <w:lastRenderedPageBreak/>
        <w:t xml:space="preserve">conocerían en los Tribunales de Apelación.  Sin embargo, la desactualización en el dato de cuantía en este tribunal implica que este porcentaje de disminución de entrada proyectada tenga un alto grado de error. </w:t>
      </w:r>
    </w:p>
    <w:p w14:paraId="2EA4CDC8" w14:textId="4CB4FC71" w:rsidR="00DC1B71" w:rsidRDefault="00DC1B71" w:rsidP="00CE62C1">
      <w:pPr>
        <w:spacing w:after="160" w:line="276" w:lineRule="auto"/>
        <w:rPr>
          <w:rFonts w:cs="Calibri"/>
          <w:color w:val="000000"/>
          <w:szCs w:val="24"/>
          <w:lang w:eastAsia="es-CR"/>
        </w:rPr>
      </w:pPr>
      <w:r w:rsidRPr="004E74A6">
        <w:rPr>
          <w:rFonts w:cs="Calibri"/>
          <w:color w:val="000000"/>
          <w:szCs w:val="24"/>
          <w:lang w:eastAsia="es-CR"/>
        </w:rPr>
        <w:t xml:space="preserve">De elevarse cuantía según escenario A.2, no se modificaría la entrada de ordinarios, sino que el efecto sería en el recurso del que dispondrían las sentencias en los ordinarios estimados hasta en 20 millones de colones, </w:t>
      </w:r>
      <w:r w:rsidR="00773C2E" w:rsidRPr="004E74A6">
        <w:rPr>
          <w:rFonts w:cs="Calibri"/>
          <w:color w:val="000000"/>
          <w:szCs w:val="24"/>
          <w:lang w:eastAsia="es-CR"/>
        </w:rPr>
        <w:t>que,</w:t>
      </w:r>
      <w:r w:rsidRPr="004E74A6">
        <w:rPr>
          <w:rFonts w:cs="Calibri"/>
          <w:color w:val="000000"/>
          <w:szCs w:val="24"/>
          <w:lang w:eastAsia="es-CR"/>
        </w:rPr>
        <w:t xml:space="preserve"> pese a que se mantendrían en trámite en estos tribunales de primera instancia, dejarían de disponer recurso de casación ante la Sala Primera y pasarían a disponer únicamente de recurso de apelación ante el Tribunal de Apelación en Segunda Instancia.</w:t>
      </w:r>
    </w:p>
    <w:p w14:paraId="3D0D1E0B" w14:textId="77777777" w:rsidR="00773C2E" w:rsidRPr="004E74A6" w:rsidRDefault="00773C2E" w:rsidP="00CE62C1">
      <w:pPr>
        <w:spacing w:after="160" w:line="276" w:lineRule="auto"/>
        <w:rPr>
          <w:rFonts w:cs="Calibri"/>
          <w:color w:val="000000"/>
          <w:szCs w:val="24"/>
          <w:lang w:eastAsia="es-CR"/>
        </w:rPr>
      </w:pPr>
    </w:p>
    <w:p w14:paraId="3E3F1AAC" w14:textId="77777777" w:rsidR="008647ED" w:rsidRPr="004E74A6" w:rsidRDefault="008647ED" w:rsidP="00CE62C1">
      <w:pPr>
        <w:numPr>
          <w:ilvl w:val="2"/>
          <w:numId w:val="21"/>
        </w:numPr>
        <w:spacing w:after="160" w:line="276" w:lineRule="auto"/>
        <w:ind w:left="1225" w:hanging="505"/>
        <w:outlineLvl w:val="5"/>
        <w:rPr>
          <w:rFonts w:cs="Calibri"/>
          <w:color w:val="000000"/>
          <w:szCs w:val="24"/>
          <w:lang w:eastAsia="es-CR"/>
        </w:rPr>
      </w:pPr>
      <w:r w:rsidRPr="004E74A6">
        <w:rPr>
          <w:rFonts w:cs="Calibri"/>
          <w:color w:val="000000"/>
          <w:szCs w:val="24"/>
          <w:lang w:eastAsia="es-CR"/>
        </w:rPr>
        <w:t>Tribunal Colegiado Primera Instancia Civil Tercer Circuito Judicial Alajuela, San Ramón</w:t>
      </w:r>
    </w:p>
    <w:p w14:paraId="104B4411" w14:textId="28459795" w:rsidR="008647ED" w:rsidRDefault="00C061CC" w:rsidP="00CE62C1">
      <w:pPr>
        <w:spacing w:after="160" w:line="276" w:lineRule="auto"/>
        <w:rPr>
          <w:rFonts w:cs="Calibri"/>
          <w:color w:val="000000"/>
          <w:szCs w:val="24"/>
          <w:lang w:eastAsia="es-CR"/>
        </w:rPr>
      </w:pPr>
      <w:r w:rsidRPr="004E74A6">
        <w:rPr>
          <w:rFonts w:cs="Calibri"/>
          <w:color w:val="000000"/>
          <w:szCs w:val="24"/>
          <w:lang w:eastAsia="es-CR"/>
        </w:rPr>
        <w:t xml:space="preserve">Para el caso de este Tribunal, según la tabla por tipo de carpeta principal representa el </w:t>
      </w:r>
      <w:r w:rsidR="008647ED" w:rsidRPr="004E74A6">
        <w:rPr>
          <w:rFonts w:cs="Calibri"/>
          <w:color w:val="000000"/>
          <w:szCs w:val="24"/>
          <w:lang w:eastAsia="es-CR"/>
        </w:rPr>
        <w:t>83,5% de los asuntos que ingresan y que durante el 2021 hubo un aumento en relación con el 2020.</w:t>
      </w:r>
    </w:p>
    <w:p w14:paraId="10D4EA8D" w14:textId="77777777" w:rsidR="00193D21" w:rsidRPr="004E74A6" w:rsidRDefault="00193D21" w:rsidP="00CE62C1">
      <w:pPr>
        <w:spacing w:after="160" w:line="276" w:lineRule="auto"/>
        <w:rPr>
          <w:rFonts w:cs="Calibri"/>
          <w:color w:val="000000"/>
          <w:szCs w:val="24"/>
          <w:lang w:eastAsia="es-CR"/>
        </w:rPr>
      </w:pPr>
    </w:p>
    <w:p w14:paraId="2125FAF2" w14:textId="0D1338A0" w:rsidR="002A3B28" w:rsidRDefault="002A3B28" w:rsidP="00F0204A">
      <w:pPr>
        <w:pStyle w:val="Descripcin"/>
        <w:keepNext/>
        <w:spacing w:line="276" w:lineRule="auto"/>
        <w:jc w:val="center"/>
        <w:rPr>
          <w:rFonts w:ascii="Book Antiqua" w:hAnsi="Book Antiqua"/>
          <w:i/>
          <w:iCs/>
          <w:sz w:val="20"/>
          <w:szCs w:val="16"/>
          <w:lang w:val="es-CR"/>
        </w:rPr>
      </w:pPr>
      <w:r w:rsidRPr="00832773">
        <w:rPr>
          <w:rFonts w:ascii="Book Antiqua" w:hAnsi="Book Antiqua"/>
          <w:i/>
          <w:iCs/>
          <w:sz w:val="20"/>
          <w:szCs w:val="16"/>
          <w:lang w:val="es-CR"/>
        </w:rPr>
        <w:t xml:space="preserve">Tabla </w:t>
      </w:r>
      <w:r w:rsidRPr="00832773">
        <w:rPr>
          <w:rFonts w:ascii="Book Antiqua" w:hAnsi="Book Antiqua"/>
          <w:i/>
          <w:iCs/>
          <w:sz w:val="20"/>
          <w:szCs w:val="16"/>
          <w:lang w:val="es-CR"/>
        </w:rPr>
        <w:fldChar w:fldCharType="begin"/>
      </w:r>
      <w:r w:rsidRPr="00832773">
        <w:rPr>
          <w:rFonts w:ascii="Book Antiqua" w:hAnsi="Book Antiqua"/>
          <w:i/>
          <w:iCs/>
          <w:sz w:val="20"/>
          <w:szCs w:val="16"/>
          <w:lang w:val="es-CR"/>
        </w:rPr>
        <w:instrText xml:space="preserve"> SEQ Tabla \* ARABIC </w:instrText>
      </w:r>
      <w:r w:rsidRPr="00832773">
        <w:rPr>
          <w:rFonts w:ascii="Book Antiqua" w:hAnsi="Book Antiqua"/>
          <w:i/>
          <w:iCs/>
          <w:sz w:val="20"/>
          <w:szCs w:val="16"/>
          <w:lang w:val="es-CR"/>
        </w:rPr>
        <w:fldChar w:fldCharType="separate"/>
      </w:r>
      <w:r w:rsidR="00374B51">
        <w:rPr>
          <w:rFonts w:ascii="Book Antiqua" w:hAnsi="Book Antiqua"/>
          <w:i/>
          <w:iCs/>
          <w:noProof/>
          <w:sz w:val="20"/>
          <w:szCs w:val="16"/>
          <w:lang w:val="es-CR"/>
        </w:rPr>
        <w:t>17</w:t>
      </w:r>
      <w:r w:rsidRPr="00832773">
        <w:rPr>
          <w:rFonts w:ascii="Book Antiqua" w:hAnsi="Book Antiqua"/>
          <w:i/>
          <w:iCs/>
          <w:sz w:val="20"/>
          <w:szCs w:val="16"/>
          <w:lang w:val="es-CR"/>
        </w:rPr>
        <w:fldChar w:fldCharType="end"/>
      </w:r>
      <w:r w:rsidRPr="00832773">
        <w:rPr>
          <w:rFonts w:ascii="Book Antiqua" w:hAnsi="Book Antiqua"/>
          <w:i/>
          <w:iCs/>
          <w:sz w:val="20"/>
          <w:szCs w:val="16"/>
          <w:lang w:val="es-CR"/>
        </w:rPr>
        <w:t xml:space="preserve"> Cantidad de entrados por tipo de </w:t>
      </w:r>
      <w:r w:rsidR="00C061CC" w:rsidRPr="00832773">
        <w:rPr>
          <w:rFonts w:ascii="Book Antiqua" w:hAnsi="Book Antiqua"/>
          <w:i/>
          <w:iCs/>
          <w:sz w:val="20"/>
          <w:szCs w:val="16"/>
          <w:lang w:val="es-CR"/>
        </w:rPr>
        <w:t>carpeta</w:t>
      </w:r>
      <w:r w:rsidRPr="00832773">
        <w:rPr>
          <w:rFonts w:ascii="Book Antiqua" w:hAnsi="Book Antiqua"/>
          <w:i/>
          <w:iCs/>
          <w:sz w:val="20"/>
          <w:szCs w:val="16"/>
          <w:lang w:val="es-CR"/>
        </w:rPr>
        <w:t xml:space="preserve"> del 2019 al 2021 para el Tribunal Colegiado Primera Instancia Civil Tercer Circuito Judicial Alajuela, San Ramón</w:t>
      </w:r>
    </w:p>
    <w:p w14:paraId="35701796" w14:textId="77777777" w:rsidR="00193D21" w:rsidRPr="00193D21" w:rsidRDefault="00193D21" w:rsidP="00193D21"/>
    <w:tbl>
      <w:tblPr>
        <w:tblW w:w="4579" w:type="pct"/>
        <w:jc w:val="center"/>
        <w:tblLayout w:type="fixed"/>
        <w:tblCellMar>
          <w:left w:w="70" w:type="dxa"/>
          <w:right w:w="70" w:type="dxa"/>
        </w:tblCellMar>
        <w:tblLook w:val="04A0" w:firstRow="1" w:lastRow="0" w:firstColumn="1" w:lastColumn="0" w:noHBand="0" w:noVBand="1"/>
      </w:tblPr>
      <w:tblGrid>
        <w:gridCol w:w="4469"/>
        <w:gridCol w:w="837"/>
        <w:gridCol w:w="837"/>
        <w:gridCol w:w="837"/>
        <w:gridCol w:w="1116"/>
      </w:tblGrid>
      <w:tr w:rsidR="002A3B28" w:rsidRPr="004E74A6" w14:paraId="15EEA6CB" w14:textId="77777777" w:rsidTr="001D0403">
        <w:trPr>
          <w:trHeight w:val="492"/>
          <w:tblHeader/>
          <w:jc w:val="center"/>
        </w:trPr>
        <w:tc>
          <w:tcPr>
            <w:tcW w:w="2760" w:type="pct"/>
            <w:tcBorders>
              <w:top w:val="single" w:sz="4" w:space="0" w:color="auto"/>
              <w:bottom w:val="single" w:sz="4" w:space="0" w:color="auto"/>
              <w:right w:val="single" w:sz="4" w:space="0" w:color="auto"/>
            </w:tcBorders>
            <w:shd w:val="clear" w:color="auto" w:fill="auto"/>
            <w:noWrap/>
            <w:vAlign w:val="center"/>
            <w:hideMark/>
          </w:tcPr>
          <w:p w14:paraId="4E753B63" w14:textId="41D36940" w:rsidR="008647ED" w:rsidRPr="004E74A6" w:rsidRDefault="002A3B28" w:rsidP="00CE62C1">
            <w:pPr>
              <w:spacing w:line="276" w:lineRule="auto"/>
              <w:jc w:val="center"/>
              <w:rPr>
                <w:sz w:val="20"/>
                <w:lang w:eastAsia="es-CR"/>
              </w:rPr>
            </w:pPr>
            <w:r w:rsidRPr="004E74A6">
              <w:rPr>
                <w:sz w:val="20"/>
                <w:lang w:eastAsia="es-CR"/>
              </w:rPr>
              <w:t>Tipo</w:t>
            </w:r>
            <w:r w:rsidR="008647ED" w:rsidRPr="004E74A6">
              <w:rPr>
                <w:sz w:val="20"/>
                <w:lang w:eastAsia="es-CR"/>
              </w:rPr>
              <w:t xml:space="preserve"> De </w:t>
            </w:r>
            <w:r w:rsidR="00C061CC" w:rsidRPr="004E74A6">
              <w:rPr>
                <w:sz w:val="20"/>
                <w:lang w:eastAsia="es-CR"/>
              </w:rPr>
              <w:t>Carpeta</w:t>
            </w:r>
          </w:p>
        </w:tc>
        <w:tc>
          <w:tcPr>
            <w:tcW w:w="51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74239A"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2019</w:t>
            </w:r>
          </w:p>
        </w:tc>
        <w:tc>
          <w:tcPr>
            <w:tcW w:w="51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868E3B"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2020</w:t>
            </w:r>
          </w:p>
        </w:tc>
        <w:tc>
          <w:tcPr>
            <w:tcW w:w="51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0B4BA0"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2021</w:t>
            </w:r>
          </w:p>
        </w:tc>
        <w:tc>
          <w:tcPr>
            <w:tcW w:w="689" w:type="pct"/>
            <w:tcBorders>
              <w:top w:val="single" w:sz="4" w:space="0" w:color="auto"/>
              <w:left w:val="single" w:sz="4" w:space="0" w:color="auto"/>
              <w:bottom w:val="single" w:sz="4" w:space="0" w:color="auto"/>
            </w:tcBorders>
            <w:shd w:val="clear" w:color="auto" w:fill="auto"/>
            <w:noWrap/>
            <w:vAlign w:val="center"/>
            <w:hideMark/>
          </w:tcPr>
          <w:p w14:paraId="7960E99A" w14:textId="0EA6718A" w:rsidR="008647ED" w:rsidRPr="004E74A6" w:rsidRDefault="002A3B28" w:rsidP="00CE62C1">
            <w:pPr>
              <w:spacing w:line="276" w:lineRule="auto"/>
              <w:jc w:val="center"/>
              <w:rPr>
                <w:rFonts w:cs="Calibri"/>
                <w:color w:val="000000"/>
                <w:sz w:val="20"/>
                <w:lang w:eastAsia="es-CR"/>
              </w:rPr>
            </w:pPr>
            <w:r w:rsidRPr="004E74A6">
              <w:rPr>
                <w:rFonts w:cs="Calibri"/>
                <w:color w:val="000000"/>
                <w:sz w:val="20"/>
                <w:lang w:eastAsia="es-CR"/>
              </w:rPr>
              <w:t>Promedio</w:t>
            </w:r>
          </w:p>
        </w:tc>
      </w:tr>
      <w:tr w:rsidR="002A3B28" w:rsidRPr="004E74A6" w14:paraId="0BD93D56" w14:textId="77777777" w:rsidTr="001D0403">
        <w:trPr>
          <w:trHeight w:val="288"/>
          <w:jc w:val="center"/>
        </w:trPr>
        <w:tc>
          <w:tcPr>
            <w:tcW w:w="2760" w:type="pct"/>
            <w:tcBorders>
              <w:top w:val="single" w:sz="4" w:space="0" w:color="auto"/>
              <w:right w:val="single" w:sz="4" w:space="0" w:color="auto"/>
            </w:tcBorders>
            <w:shd w:val="clear" w:color="auto" w:fill="auto"/>
            <w:noWrap/>
            <w:vAlign w:val="bottom"/>
          </w:tcPr>
          <w:p w14:paraId="7F81784F" w14:textId="77777777" w:rsidR="008647ED" w:rsidRPr="004E74A6" w:rsidRDefault="008647ED" w:rsidP="00CE62C1">
            <w:pPr>
              <w:spacing w:line="276" w:lineRule="auto"/>
              <w:jc w:val="left"/>
              <w:rPr>
                <w:rFonts w:cs="Calibri"/>
                <w:color w:val="000000"/>
                <w:sz w:val="20"/>
                <w:lang w:eastAsia="es-CR"/>
              </w:rPr>
            </w:pPr>
          </w:p>
        </w:tc>
        <w:tc>
          <w:tcPr>
            <w:tcW w:w="517" w:type="pct"/>
            <w:tcBorders>
              <w:top w:val="single" w:sz="4" w:space="0" w:color="auto"/>
              <w:left w:val="single" w:sz="4" w:space="0" w:color="auto"/>
              <w:right w:val="single" w:sz="4" w:space="0" w:color="auto"/>
            </w:tcBorders>
            <w:shd w:val="clear" w:color="auto" w:fill="auto"/>
            <w:noWrap/>
            <w:vAlign w:val="center"/>
          </w:tcPr>
          <w:p w14:paraId="24F1623E" w14:textId="77777777" w:rsidR="008647ED" w:rsidRPr="004E74A6" w:rsidRDefault="008647ED" w:rsidP="00CE62C1">
            <w:pPr>
              <w:spacing w:line="276" w:lineRule="auto"/>
              <w:jc w:val="center"/>
              <w:rPr>
                <w:sz w:val="20"/>
                <w:lang w:eastAsia="es-CR"/>
              </w:rPr>
            </w:pPr>
          </w:p>
        </w:tc>
        <w:tc>
          <w:tcPr>
            <w:tcW w:w="517" w:type="pct"/>
            <w:tcBorders>
              <w:top w:val="single" w:sz="4" w:space="0" w:color="auto"/>
              <w:left w:val="single" w:sz="4" w:space="0" w:color="auto"/>
              <w:right w:val="single" w:sz="4" w:space="0" w:color="auto"/>
            </w:tcBorders>
            <w:shd w:val="clear" w:color="auto" w:fill="auto"/>
            <w:noWrap/>
            <w:vAlign w:val="center"/>
          </w:tcPr>
          <w:p w14:paraId="5B529B98" w14:textId="77777777" w:rsidR="008647ED" w:rsidRPr="004E74A6" w:rsidRDefault="008647ED" w:rsidP="00CE62C1">
            <w:pPr>
              <w:spacing w:line="276" w:lineRule="auto"/>
              <w:jc w:val="center"/>
              <w:rPr>
                <w:sz w:val="20"/>
                <w:lang w:eastAsia="es-CR"/>
              </w:rPr>
            </w:pPr>
          </w:p>
        </w:tc>
        <w:tc>
          <w:tcPr>
            <w:tcW w:w="517" w:type="pct"/>
            <w:tcBorders>
              <w:top w:val="single" w:sz="4" w:space="0" w:color="auto"/>
              <w:left w:val="single" w:sz="4" w:space="0" w:color="auto"/>
              <w:right w:val="single" w:sz="4" w:space="0" w:color="auto"/>
            </w:tcBorders>
            <w:shd w:val="clear" w:color="auto" w:fill="auto"/>
            <w:noWrap/>
            <w:vAlign w:val="center"/>
          </w:tcPr>
          <w:p w14:paraId="0B280378" w14:textId="77777777" w:rsidR="008647ED" w:rsidRPr="004E74A6" w:rsidRDefault="008647ED" w:rsidP="00CE62C1">
            <w:pPr>
              <w:spacing w:line="276" w:lineRule="auto"/>
              <w:jc w:val="center"/>
              <w:rPr>
                <w:rFonts w:cs="Calibri"/>
                <w:color w:val="000000"/>
                <w:sz w:val="20"/>
                <w:lang w:eastAsia="es-CR"/>
              </w:rPr>
            </w:pPr>
          </w:p>
        </w:tc>
        <w:tc>
          <w:tcPr>
            <w:tcW w:w="689" w:type="pct"/>
            <w:tcBorders>
              <w:top w:val="single" w:sz="4" w:space="0" w:color="auto"/>
              <w:left w:val="single" w:sz="4" w:space="0" w:color="auto"/>
            </w:tcBorders>
            <w:shd w:val="clear" w:color="auto" w:fill="auto"/>
            <w:noWrap/>
            <w:vAlign w:val="center"/>
          </w:tcPr>
          <w:p w14:paraId="1919BFA1" w14:textId="77777777" w:rsidR="008647ED" w:rsidRPr="004E74A6" w:rsidRDefault="008647ED" w:rsidP="00CE62C1">
            <w:pPr>
              <w:spacing w:line="276" w:lineRule="auto"/>
              <w:jc w:val="center"/>
              <w:rPr>
                <w:rFonts w:cs="Calibri"/>
                <w:color w:val="000000"/>
                <w:sz w:val="20"/>
                <w:lang w:eastAsia="es-CR"/>
              </w:rPr>
            </w:pPr>
          </w:p>
        </w:tc>
      </w:tr>
      <w:tr w:rsidR="001D0403" w:rsidRPr="004E74A6" w14:paraId="467FD48B" w14:textId="77777777" w:rsidTr="001D0403">
        <w:trPr>
          <w:trHeight w:val="288"/>
          <w:jc w:val="center"/>
        </w:trPr>
        <w:tc>
          <w:tcPr>
            <w:tcW w:w="2760" w:type="pct"/>
            <w:tcBorders>
              <w:right w:val="single" w:sz="4" w:space="0" w:color="auto"/>
            </w:tcBorders>
            <w:shd w:val="clear" w:color="auto" w:fill="auto"/>
            <w:noWrap/>
            <w:vAlign w:val="bottom"/>
          </w:tcPr>
          <w:p w14:paraId="1B14DDC2" w14:textId="333710E9" w:rsidR="001D0403" w:rsidRPr="004E74A6" w:rsidRDefault="001D0403" w:rsidP="00CE62C1">
            <w:pPr>
              <w:spacing w:line="276" w:lineRule="auto"/>
              <w:jc w:val="center"/>
              <w:rPr>
                <w:rFonts w:cs="Calibri"/>
                <w:color w:val="000000"/>
                <w:sz w:val="20"/>
                <w:lang w:eastAsia="es-CR"/>
              </w:rPr>
            </w:pPr>
            <w:r w:rsidRPr="004E74A6">
              <w:rPr>
                <w:rFonts w:cs="Calibri"/>
                <w:color w:val="000000"/>
                <w:sz w:val="20"/>
                <w:lang w:eastAsia="es-CR"/>
              </w:rPr>
              <w:t>Total General</w:t>
            </w:r>
          </w:p>
        </w:tc>
        <w:tc>
          <w:tcPr>
            <w:tcW w:w="517" w:type="pct"/>
            <w:tcBorders>
              <w:left w:val="single" w:sz="4" w:space="0" w:color="auto"/>
              <w:right w:val="single" w:sz="4" w:space="0" w:color="auto"/>
            </w:tcBorders>
            <w:shd w:val="clear" w:color="auto" w:fill="auto"/>
            <w:noWrap/>
            <w:vAlign w:val="center"/>
          </w:tcPr>
          <w:p w14:paraId="0A8C104E" w14:textId="096186C7" w:rsidR="001D0403" w:rsidRPr="004E74A6" w:rsidRDefault="001D0403" w:rsidP="00CE62C1">
            <w:pPr>
              <w:spacing w:line="276" w:lineRule="auto"/>
              <w:jc w:val="center"/>
              <w:rPr>
                <w:sz w:val="20"/>
                <w:lang w:eastAsia="es-CR"/>
              </w:rPr>
            </w:pPr>
            <w:r w:rsidRPr="004E74A6">
              <w:rPr>
                <w:rFonts w:cs="Calibri"/>
                <w:color w:val="000000"/>
                <w:sz w:val="20"/>
                <w:lang w:eastAsia="es-CR"/>
              </w:rPr>
              <w:t>290</w:t>
            </w:r>
          </w:p>
        </w:tc>
        <w:tc>
          <w:tcPr>
            <w:tcW w:w="517" w:type="pct"/>
            <w:tcBorders>
              <w:left w:val="single" w:sz="4" w:space="0" w:color="auto"/>
              <w:right w:val="single" w:sz="4" w:space="0" w:color="auto"/>
            </w:tcBorders>
            <w:shd w:val="clear" w:color="auto" w:fill="auto"/>
            <w:noWrap/>
            <w:vAlign w:val="center"/>
          </w:tcPr>
          <w:p w14:paraId="3A5A35FC" w14:textId="5E38BAC1" w:rsidR="001D0403" w:rsidRPr="004E74A6" w:rsidRDefault="001D0403" w:rsidP="00CE62C1">
            <w:pPr>
              <w:spacing w:line="276" w:lineRule="auto"/>
              <w:jc w:val="center"/>
              <w:rPr>
                <w:sz w:val="20"/>
                <w:lang w:eastAsia="es-CR"/>
              </w:rPr>
            </w:pPr>
            <w:r w:rsidRPr="004E74A6">
              <w:rPr>
                <w:rFonts w:cs="Calibri"/>
                <w:color w:val="000000"/>
                <w:sz w:val="20"/>
                <w:lang w:eastAsia="es-CR"/>
              </w:rPr>
              <w:t>150</w:t>
            </w:r>
          </w:p>
        </w:tc>
        <w:tc>
          <w:tcPr>
            <w:tcW w:w="517" w:type="pct"/>
            <w:tcBorders>
              <w:left w:val="single" w:sz="4" w:space="0" w:color="auto"/>
              <w:right w:val="single" w:sz="4" w:space="0" w:color="auto"/>
            </w:tcBorders>
            <w:shd w:val="clear" w:color="auto" w:fill="auto"/>
            <w:noWrap/>
            <w:vAlign w:val="center"/>
          </w:tcPr>
          <w:p w14:paraId="31D5E07C" w14:textId="416163CB" w:rsidR="001D0403" w:rsidRPr="004E74A6" w:rsidRDefault="001D0403" w:rsidP="00CE62C1">
            <w:pPr>
              <w:spacing w:line="276" w:lineRule="auto"/>
              <w:jc w:val="center"/>
              <w:rPr>
                <w:rFonts w:cs="Calibri"/>
                <w:color w:val="000000"/>
                <w:sz w:val="20"/>
                <w:lang w:eastAsia="es-CR"/>
              </w:rPr>
            </w:pPr>
            <w:r w:rsidRPr="004E74A6">
              <w:rPr>
                <w:rFonts w:cs="Calibri"/>
                <w:color w:val="000000"/>
                <w:sz w:val="20"/>
                <w:lang w:eastAsia="es-CR"/>
              </w:rPr>
              <w:t>180</w:t>
            </w:r>
          </w:p>
        </w:tc>
        <w:tc>
          <w:tcPr>
            <w:tcW w:w="689" w:type="pct"/>
            <w:tcBorders>
              <w:left w:val="single" w:sz="4" w:space="0" w:color="auto"/>
            </w:tcBorders>
            <w:shd w:val="clear" w:color="auto" w:fill="auto"/>
            <w:noWrap/>
            <w:vAlign w:val="center"/>
          </w:tcPr>
          <w:p w14:paraId="7511CA03" w14:textId="210E9BEA" w:rsidR="001D0403" w:rsidRPr="004E74A6" w:rsidRDefault="001D0403" w:rsidP="00CE62C1">
            <w:pPr>
              <w:spacing w:line="276" w:lineRule="auto"/>
              <w:jc w:val="center"/>
              <w:rPr>
                <w:rFonts w:cs="Calibri"/>
                <w:color w:val="000000"/>
                <w:sz w:val="20"/>
              </w:rPr>
            </w:pPr>
            <w:r w:rsidRPr="004E74A6">
              <w:rPr>
                <w:rFonts w:cs="Calibri"/>
                <w:color w:val="000000"/>
                <w:sz w:val="20"/>
              </w:rPr>
              <w:t>207</w:t>
            </w:r>
          </w:p>
        </w:tc>
      </w:tr>
      <w:tr w:rsidR="001D0403" w:rsidRPr="004E74A6" w14:paraId="336B442F" w14:textId="77777777" w:rsidTr="001D0403">
        <w:trPr>
          <w:trHeight w:val="288"/>
          <w:jc w:val="center"/>
        </w:trPr>
        <w:tc>
          <w:tcPr>
            <w:tcW w:w="2760" w:type="pct"/>
            <w:tcBorders>
              <w:right w:val="single" w:sz="4" w:space="0" w:color="auto"/>
            </w:tcBorders>
            <w:shd w:val="clear" w:color="auto" w:fill="auto"/>
            <w:noWrap/>
            <w:vAlign w:val="bottom"/>
          </w:tcPr>
          <w:p w14:paraId="237CEAE9" w14:textId="77777777" w:rsidR="001D0403" w:rsidRPr="004E74A6" w:rsidRDefault="001D0403" w:rsidP="00CE62C1">
            <w:pPr>
              <w:spacing w:line="276" w:lineRule="auto"/>
              <w:jc w:val="left"/>
              <w:rPr>
                <w:rFonts w:cs="Calibri"/>
                <w:color w:val="000000"/>
                <w:sz w:val="20"/>
                <w:lang w:eastAsia="es-CR"/>
              </w:rPr>
            </w:pPr>
          </w:p>
        </w:tc>
        <w:tc>
          <w:tcPr>
            <w:tcW w:w="517" w:type="pct"/>
            <w:tcBorders>
              <w:left w:val="single" w:sz="4" w:space="0" w:color="auto"/>
              <w:right w:val="single" w:sz="4" w:space="0" w:color="auto"/>
            </w:tcBorders>
            <w:shd w:val="clear" w:color="auto" w:fill="auto"/>
            <w:noWrap/>
            <w:vAlign w:val="center"/>
          </w:tcPr>
          <w:p w14:paraId="0A4CA299" w14:textId="77777777" w:rsidR="001D0403" w:rsidRPr="004E74A6" w:rsidRDefault="001D0403" w:rsidP="00CE62C1">
            <w:pPr>
              <w:spacing w:line="276" w:lineRule="auto"/>
              <w:jc w:val="center"/>
              <w:rPr>
                <w:sz w:val="20"/>
                <w:lang w:eastAsia="es-CR"/>
              </w:rPr>
            </w:pPr>
          </w:p>
        </w:tc>
        <w:tc>
          <w:tcPr>
            <w:tcW w:w="517" w:type="pct"/>
            <w:tcBorders>
              <w:left w:val="single" w:sz="4" w:space="0" w:color="auto"/>
              <w:right w:val="single" w:sz="4" w:space="0" w:color="auto"/>
            </w:tcBorders>
            <w:shd w:val="clear" w:color="auto" w:fill="auto"/>
            <w:noWrap/>
            <w:vAlign w:val="center"/>
          </w:tcPr>
          <w:p w14:paraId="390672AB" w14:textId="77777777" w:rsidR="001D0403" w:rsidRPr="004E74A6" w:rsidRDefault="001D0403" w:rsidP="00CE62C1">
            <w:pPr>
              <w:spacing w:line="276" w:lineRule="auto"/>
              <w:jc w:val="center"/>
              <w:rPr>
                <w:sz w:val="20"/>
                <w:lang w:eastAsia="es-CR"/>
              </w:rPr>
            </w:pPr>
          </w:p>
        </w:tc>
        <w:tc>
          <w:tcPr>
            <w:tcW w:w="517" w:type="pct"/>
            <w:tcBorders>
              <w:left w:val="single" w:sz="4" w:space="0" w:color="auto"/>
              <w:right w:val="single" w:sz="4" w:space="0" w:color="auto"/>
            </w:tcBorders>
            <w:shd w:val="clear" w:color="auto" w:fill="auto"/>
            <w:noWrap/>
            <w:vAlign w:val="center"/>
          </w:tcPr>
          <w:p w14:paraId="4769CE9B" w14:textId="77777777" w:rsidR="001D0403" w:rsidRPr="004E74A6" w:rsidRDefault="001D0403" w:rsidP="00CE62C1">
            <w:pPr>
              <w:spacing w:line="276" w:lineRule="auto"/>
              <w:jc w:val="center"/>
              <w:rPr>
                <w:rFonts w:cs="Calibri"/>
                <w:color w:val="000000"/>
                <w:sz w:val="20"/>
                <w:lang w:eastAsia="es-CR"/>
              </w:rPr>
            </w:pPr>
          </w:p>
        </w:tc>
        <w:tc>
          <w:tcPr>
            <w:tcW w:w="689" w:type="pct"/>
            <w:tcBorders>
              <w:left w:val="single" w:sz="4" w:space="0" w:color="auto"/>
            </w:tcBorders>
            <w:shd w:val="clear" w:color="auto" w:fill="auto"/>
            <w:noWrap/>
            <w:vAlign w:val="center"/>
          </w:tcPr>
          <w:p w14:paraId="4127EAE6" w14:textId="77777777" w:rsidR="001D0403" w:rsidRPr="004E74A6" w:rsidRDefault="001D0403" w:rsidP="00CE62C1">
            <w:pPr>
              <w:spacing w:line="276" w:lineRule="auto"/>
              <w:jc w:val="center"/>
              <w:rPr>
                <w:rFonts w:cs="Calibri"/>
                <w:color w:val="000000"/>
                <w:sz w:val="20"/>
              </w:rPr>
            </w:pPr>
          </w:p>
        </w:tc>
      </w:tr>
      <w:tr w:rsidR="001D0403" w:rsidRPr="004E74A6" w14:paraId="7F2F4D62" w14:textId="77777777" w:rsidTr="00B32800">
        <w:trPr>
          <w:trHeight w:val="288"/>
          <w:jc w:val="center"/>
        </w:trPr>
        <w:tc>
          <w:tcPr>
            <w:tcW w:w="2760" w:type="pct"/>
            <w:tcBorders>
              <w:right w:val="single" w:sz="4" w:space="0" w:color="auto"/>
            </w:tcBorders>
            <w:shd w:val="clear" w:color="auto" w:fill="auto"/>
            <w:noWrap/>
            <w:vAlign w:val="bottom"/>
            <w:hideMark/>
          </w:tcPr>
          <w:p w14:paraId="2812C869" w14:textId="77777777" w:rsidR="001D0403" w:rsidRPr="004E74A6" w:rsidRDefault="001D0403" w:rsidP="00CE62C1">
            <w:pPr>
              <w:spacing w:line="276" w:lineRule="auto"/>
              <w:jc w:val="left"/>
              <w:rPr>
                <w:rFonts w:cs="Calibri"/>
                <w:color w:val="000000"/>
                <w:sz w:val="20"/>
                <w:lang w:eastAsia="es-CR"/>
              </w:rPr>
            </w:pPr>
            <w:r w:rsidRPr="004E74A6">
              <w:rPr>
                <w:rFonts w:cs="Calibri"/>
                <w:color w:val="000000"/>
                <w:sz w:val="20"/>
                <w:lang w:eastAsia="es-CR"/>
              </w:rPr>
              <w:t>Comisiones Recibidas</w:t>
            </w:r>
          </w:p>
        </w:tc>
        <w:tc>
          <w:tcPr>
            <w:tcW w:w="517" w:type="pct"/>
            <w:tcBorders>
              <w:left w:val="single" w:sz="4" w:space="0" w:color="auto"/>
              <w:right w:val="single" w:sz="4" w:space="0" w:color="auto"/>
            </w:tcBorders>
            <w:shd w:val="clear" w:color="auto" w:fill="auto"/>
            <w:noWrap/>
            <w:vAlign w:val="bottom"/>
            <w:hideMark/>
          </w:tcPr>
          <w:p w14:paraId="739F3883" w14:textId="037D9F34" w:rsidR="001D0403" w:rsidRPr="004E74A6" w:rsidRDefault="001D0403" w:rsidP="00CE62C1">
            <w:pPr>
              <w:spacing w:line="276" w:lineRule="auto"/>
              <w:jc w:val="center"/>
              <w:rPr>
                <w:sz w:val="20"/>
                <w:lang w:eastAsia="es-CR"/>
              </w:rPr>
            </w:pPr>
            <w:r w:rsidRPr="004E74A6">
              <w:rPr>
                <w:rFonts w:cs="Calibri"/>
                <w:color w:val="000000"/>
                <w:sz w:val="20"/>
              </w:rPr>
              <w:t>0</w:t>
            </w:r>
          </w:p>
        </w:tc>
        <w:tc>
          <w:tcPr>
            <w:tcW w:w="517" w:type="pct"/>
            <w:tcBorders>
              <w:left w:val="single" w:sz="4" w:space="0" w:color="auto"/>
              <w:right w:val="single" w:sz="4" w:space="0" w:color="auto"/>
            </w:tcBorders>
            <w:shd w:val="clear" w:color="auto" w:fill="auto"/>
            <w:noWrap/>
            <w:vAlign w:val="bottom"/>
            <w:hideMark/>
          </w:tcPr>
          <w:p w14:paraId="3E47E7A9" w14:textId="055146FD" w:rsidR="001D0403" w:rsidRPr="004E74A6" w:rsidRDefault="001D0403" w:rsidP="00CE62C1">
            <w:pPr>
              <w:spacing w:line="276" w:lineRule="auto"/>
              <w:jc w:val="center"/>
              <w:rPr>
                <w:sz w:val="20"/>
                <w:lang w:eastAsia="es-CR"/>
              </w:rPr>
            </w:pPr>
            <w:r w:rsidRPr="004E74A6">
              <w:rPr>
                <w:rFonts w:cs="Calibri"/>
                <w:color w:val="000000"/>
                <w:sz w:val="20"/>
              </w:rPr>
              <w:t>0</w:t>
            </w:r>
          </w:p>
        </w:tc>
        <w:tc>
          <w:tcPr>
            <w:tcW w:w="517" w:type="pct"/>
            <w:tcBorders>
              <w:left w:val="single" w:sz="4" w:space="0" w:color="auto"/>
              <w:right w:val="single" w:sz="4" w:space="0" w:color="auto"/>
            </w:tcBorders>
            <w:shd w:val="clear" w:color="auto" w:fill="auto"/>
            <w:noWrap/>
            <w:vAlign w:val="bottom"/>
            <w:hideMark/>
          </w:tcPr>
          <w:p w14:paraId="678F11CA" w14:textId="69A64B7A" w:rsidR="001D0403" w:rsidRPr="004E74A6" w:rsidRDefault="001D0403" w:rsidP="00CE62C1">
            <w:pPr>
              <w:spacing w:line="276" w:lineRule="auto"/>
              <w:jc w:val="center"/>
              <w:rPr>
                <w:rFonts w:cs="Calibri"/>
                <w:color w:val="000000"/>
                <w:sz w:val="20"/>
                <w:lang w:eastAsia="es-CR"/>
              </w:rPr>
            </w:pPr>
            <w:r w:rsidRPr="004E74A6">
              <w:rPr>
                <w:rFonts w:cs="Calibri"/>
                <w:color w:val="000000"/>
                <w:sz w:val="20"/>
              </w:rPr>
              <w:t>1</w:t>
            </w:r>
          </w:p>
        </w:tc>
        <w:tc>
          <w:tcPr>
            <w:tcW w:w="689" w:type="pct"/>
            <w:tcBorders>
              <w:left w:val="single" w:sz="4" w:space="0" w:color="auto"/>
            </w:tcBorders>
            <w:shd w:val="clear" w:color="auto" w:fill="auto"/>
            <w:noWrap/>
            <w:vAlign w:val="bottom"/>
            <w:hideMark/>
          </w:tcPr>
          <w:p w14:paraId="76AA5296" w14:textId="1EBB0E01" w:rsidR="001D0403" w:rsidRPr="004E74A6" w:rsidRDefault="001D0403" w:rsidP="00CE62C1">
            <w:pPr>
              <w:spacing w:line="276" w:lineRule="auto"/>
              <w:jc w:val="center"/>
              <w:rPr>
                <w:rFonts w:cs="Calibri"/>
                <w:color w:val="000000"/>
                <w:sz w:val="20"/>
                <w:lang w:eastAsia="es-CR"/>
              </w:rPr>
            </w:pPr>
            <w:r w:rsidRPr="004E74A6">
              <w:rPr>
                <w:rFonts w:cs="Calibri"/>
                <w:color w:val="000000"/>
                <w:sz w:val="20"/>
              </w:rPr>
              <w:t>0,3</w:t>
            </w:r>
          </w:p>
        </w:tc>
      </w:tr>
      <w:tr w:rsidR="001D0403" w:rsidRPr="004E74A6" w14:paraId="1C2989D3" w14:textId="77777777" w:rsidTr="00B32800">
        <w:trPr>
          <w:trHeight w:val="288"/>
          <w:jc w:val="center"/>
        </w:trPr>
        <w:tc>
          <w:tcPr>
            <w:tcW w:w="2760" w:type="pct"/>
            <w:tcBorders>
              <w:right w:val="single" w:sz="4" w:space="0" w:color="auto"/>
            </w:tcBorders>
            <w:shd w:val="clear" w:color="auto" w:fill="auto"/>
            <w:noWrap/>
            <w:vAlign w:val="bottom"/>
            <w:hideMark/>
          </w:tcPr>
          <w:p w14:paraId="54B8A368" w14:textId="77777777" w:rsidR="001D0403" w:rsidRPr="004E74A6" w:rsidRDefault="001D0403" w:rsidP="00CE62C1">
            <w:pPr>
              <w:spacing w:line="276" w:lineRule="auto"/>
              <w:jc w:val="left"/>
              <w:rPr>
                <w:rFonts w:cs="Calibri"/>
                <w:color w:val="000000"/>
                <w:sz w:val="20"/>
                <w:lang w:eastAsia="es-CR"/>
              </w:rPr>
            </w:pPr>
            <w:r w:rsidRPr="004E74A6">
              <w:rPr>
                <w:rFonts w:cs="Calibri"/>
                <w:color w:val="000000"/>
                <w:sz w:val="20"/>
                <w:lang w:eastAsia="es-CR"/>
              </w:rPr>
              <w:t>Incidentes Procesales</w:t>
            </w:r>
          </w:p>
        </w:tc>
        <w:tc>
          <w:tcPr>
            <w:tcW w:w="517" w:type="pct"/>
            <w:tcBorders>
              <w:left w:val="single" w:sz="4" w:space="0" w:color="auto"/>
              <w:right w:val="single" w:sz="4" w:space="0" w:color="auto"/>
            </w:tcBorders>
            <w:shd w:val="clear" w:color="auto" w:fill="auto"/>
            <w:noWrap/>
            <w:vAlign w:val="bottom"/>
            <w:hideMark/>
          </w:tcPr>
          <w:p w14:paraId="4A61C1E5" w14:textId="44D6971D" w:rsidR="001D0403" w:rsidRPr="004E74A6" w:rsidRDefault="001D0403" w:rsidP="00CE62C1">
            <w:pPr>
              <w:spacing w:line="276" w:lineRule="auto"/>
              <w:jc w:val="center"/>
              <w:rPr>
                <w:rFonts w:cs="Calibri"/>
                <w:color w:val="000000"/>
                <w:sz w:val="20"/>
                <w:lang w:eastAsia="es-CR"/>
              </w:rPr>
            </w:pPr>
            <w:r w:rsidRPr="004E74A6">
              <w:rPr>
                <w:rFonts w:cs="Calibri"/>
                <w:color w:val="000000"/>
                <w:sz w:val="20"/>
              </w:rPr>
              <w:t>85</w:t>
            </w:r>
          </w:p>
        </w:tc>
        <w:tc>
          <w:tcPr>
            <w:tcW w:w="517" w:type="pct"/>
            <w:tcBorders>
              <w:left w:val="single" w:sz="4" w:space="0" w:color="auto"/>
              <w:right w:val="single" w:sz="4" w:space="0" w:color="auto"/>
            </w:tcBorders>
            <w:shd w:val="clear" w:color="auto" w:fill="auto"/>
            <w:noWrap/>
            <w:vAlign w:val="bottom"/>
            <w:hideMark/>
          </w:tcPr>
          <w:p w14:paraId="2358445C" w14:textId="22C91603" w:rsidR="001D0403" w:rsidRPr="004E74A6" w:rsidRDefault="001D0403" w:rsidP="00CE62C1">
            <w:pPr>
              <w:spacing w:line="276" w:lineRule="auto"/>
              <w:jc w:val="center"/>
              <w:rPr>
                <w:rFonts w:cs="Calibri"/>
                <w:color w:val="000000"/>
                <w:sz w:val="20"/>
                <w:lang w:eastAsia="es-CR"/>
              </w:rPr>
            </w:pPr>
            <w:r w:rsidRPr="004E74A6">
              <w:rPr>
                <w:rFonts w:cs="Calibri"/>
                <w:color w:val="000000"/>
                <w:sz w:val="20"/>
              </w:rPr>
              <w:t>2</w:t>
            </w:r>
          </w:p>
        </w:tc>
        <w:tc>
          <w:tcPr>
            <w:tcW w:w="517" w:type="pct"/>
            <w:tcBorders>
              <w:left w:val="single" w:sz="4" w:space="0" w:color="auto"/>
              <w:right w:val="single" w:sz="4" w:space="0" w:color="auto"/>
            </w:tcBorders>
            <w:shd w:val="clear" w:color="auto" w:fill="auto"/>
            <w:noWrap/>
            <w:vAlign w:val="bottom"/>
            <w:hideMark/>
          </w:tcPr>
          <w:p w14:paraId="0C4352EB" w14:textId="14318362" w:rsidR="001D0403" w:rsidRPr="004E74A6" w:rsidRDefault="001D0403" w:rsidP="00CE62C1">
            <w:pPr>
              <w:spacing w:line="276" w:lineRule="auto"/>
              <w:jc w:val="center"/>
              <w:rPr>
                <w:rFonts w:cs="Calibri"/>
                <w:color w:val="000000"/>
                <w:sz w:val="20"/>
                <w:lang w:eastAsia="es-CR"/>
              </w:rPr>
            </w:pPr>
            <w:r w:rsidRPr="004E74A6">
              <w:rPr>
                <w:rFonts w:cs="Calibri"/>
                <w:color w:val="000000"/>
                <w:sz w:val="20"/>
              </w:rPr>
              <w:t>3</w:t>
            </w:r>
          </w:p>
        </w:tc>
        <w:tc>
          <w:tcPr>
            <w:tcW w:w="689" w:type="pct"/>
            <w:tcBorders>
              <w:left w:val="single" w:sz="4" w:space="0" w:color="auto"/>
            </w:tcBorders>
            <w:shd w:val="clear" w:color="auto" w:fill="auto"/>
            <w:noWrap/>
            <w:vAlign w:val="bottom"/>
            <w:hideMark/>
          </w:tcPr>
          <w:p w14:paraId="0DD0BE84" w14:textId="06B17535" w:rsidR="001D0403" w:rsidRPr="004E74A6" w:rsidRDefault="001D0403" w:rsidP="00CE62C1">
            <w:pPr>
              <w:spacing w:line="276" w:lineRule="auto"/>
              <w:jc w:val="center"/>
              <w:rPr>
                <w:rFonts w:cs="Calibri"/>
                <w:color w:val="000000"/>
                <w:sz w:val="20"/>
                <w:lang w:eastAsia="es-CR"/>
              </w:rPr>
            </w:pPr>
            <w:r w:rsidRPr="004E74A6">
              <w:rPr>
                <w:rFonts w:cs="Calibri"/>
                <w:color w:val="000000"/>
                <w:sz w:val="20"/>
              </w:rPr>
              <w:t>30,0</w:t>
            </w:r>
          </w:p>
        </w:tc>
      </w:tr>
      <w:tr w:rsidR="001D0403" w:rsidRPr="004E74A6" w14:paraId="037C9B8C" w14:textId="77777777" w:rsidTr="00B32800">
        <w:trPr>
          <w:trHeight w:val="288"/>
          <w:jc w:val="center"/>
        </w:trPr>
        <w:tc>
          <w:tcPr>
            <w:tcW w:w="2760" w:type="pct"/>
            <w:tcBorders>
              <w:right w:val="single" w:sz="4" w:space="0" w:color="auto"/>
            </w:tcBorders>
            <w:shd w:val="clear" w:color="auto" w:fill="auto"/>
            <w:noWrap/>
            <w:vAlign w:val="bottom"/>
            <w:hideMark/>
          </w:tcPr>
          <w:p w14:paraId="00991C27" w14:textId="77777777" w:rsidR="001D0403" w:rsidRPr="004E74A6" w:rsidRDefault="001D0403" w:rsidP="00CE62C1">
            <w:pPr>
              <w:spacing w:line="276" w:lineRule="auto"/>
              <w:jc w:val="left"/>
              <w:rPr>
                <w:rFonts w:cs="Calibri"/>
                <w:color w:val="000000"/>
                <w:sz w:val="20"/>
                <w:lang w:eastAsia="es-CR"/>
              </w:rPr>
            </w:pPr>
            <w:r w:rsidRPr="004E74A6">
              <w:rPr>
                <w:rFonts w:cs="Calibri"/>
                <w:color w:val="000000"/>
                <w:sz w:val="20"/>
                <w:lang w:eastAsia="es-CR"/>
              </w:rPr>
              <w:t>Legajo Apelación Por Inadmisión</w:t>
            </w:r>
          </w:p>
        </w:tc>
        <w:tc>
          <w:tcPr>
            <w:tcW w:w="517" w:type="pct"/>
            <w:tcBorders>
              <w:left w:val="single" w:sz="4" w:space="0" w:color="auto"/>
              <w:right w:val="single" w:sz="4" w:space="0" w:color="auto"/>
            </w:tcBorders>
            <w:shd w:val="clear" w:color="auto" w:fill="auto"/>
            <w:noWrap/>
            <w:vAlign w:val="bottom"/>
            <w:hideMark/>
          </w:tcPr>
          <w:p w14:paraId="0CD9B600" w14:textId="4A89F73B" w:rsidR="001D0403" w:rsidRPr="004E74A6" w:rsidRDefault="001D0403" w:rsidP="00CE62C1">
            <w:pPr>
              <w:spacing w:line="276" w:lineRule="auto"/>
              <w:jc w:val="center"/>
              <w:rPr>
                <w:sz w:val="20"/>
                <w:lang w:eastAsia="es-CR"/>
              </w:rPr>
            </w:pPr>
            <w:r w:rsidRPr="004E74A6">
              <w:rPr>
                <w:rFonts w:cs="Calibri"/>
                <w:color w:val="000000"/>
                <w:sz w:val="20"/>
              </w:rPr>
              <w:t>0</w:t>
            </w:r>
          </w:p>
        </w:tc>
        <w:tc>
          <w:tcPr>
            <w:tcW w:w="517" w:type="pct"/>
            <w:tcBorders>
              <w:left w:val="single" w:sz="4" w:space="0" w:color="auto"/>
              <w:right w:val="single" w:sz="4" w:space="0" w:color="auto"/>
            </w:tcBorders>
            <w:shd w:val="clear" w:color="auto" w:fill="auto"/>
            <w:noWrap/>
            <w:vAlign w:val="bottom"/>
            <w:hideMark/>
          </w:tcPr>
          <w:p w14:paraId="1727C976" w14:textId="5442F2BB" w:rsidR="001D0403" w:rsidRPr="004E74A6" w:rsidRDefault="001D0403" w:rsidP="00CE62C1">
            <w:pPr>
              <w:spacing w:line="276" w:lineRule="auto"/>
              <w:jc w:val="center"/>
              <w:rPr>
                <w:rFonts w:cs="Calibri"/>
                <w:color w:val="000000"/>
                <w:sz w:val="20"/>
                <w:lang w:eastAsia="es-CR"/>
              </w:rPr>
            </w:pPr>
            <w:r w:rsidRPr="004E74A6">
              <w:rPr>
                <w:rFonts w:cs="Calibri"/>
                <w:color w:val="000000"/>
                <w:sz w:val="20"/>
              </w:rPr>
              <w:t>1</w:t>
            </w:r>
          </w:p>
        </w:tc>
        <w:tc>
          <w:tcPr>
            <w:tcW w:w="517" w:type="pct"/>
            <w:tcBorders>
              <w:left w:val="single" w:sz="4" w:space="0" w:color="auto"/>
              <w:right w:val="single" w:sz="4" w:space="0" w:color="auto"/>
            </w:tcBorders>
            <w:shd w:val="clear" w:color="auto" w:fill="auto"/>
            <w:noWrap/>
            <w:vAlign w:val="bottom"/>
            <w:hideMark/>
          </w:tcPr>
          <w:p w14:paraId="6C688054" w14:textId="2766D64A" w:rsidR="001D0403" w:rsidRPr="004E74A6" w:rsidRDefault="001D0403" w:rsidP="00CE62C1">
            <w:pPr>
              <w:spacing w:line="276" w:lineRule="auto"/>
              <w:jc w:val="center"/>
              <w:rPr>
                <w:rFonts w:cs="Calibri"/>
                <w:color w:val="000000"/>
                <w:sz w:val="20"/>
                <w:lang w:eastAsia="es-CR"/>
              </w:rPr>
            </w:pPr>
            <w:r w:rsidRPr="004E74A6">
              <w:rPr>
                <w:rFonts w:cs="Calibri"/>
                <w:color w:val="000000"/>
                <w:sz w:val="20"/>
              </w:rPr>
              <w:t>0</w:t>
            </w:r>
          </w:p>
        </w:tc>
        <w:tc>
          <w:tcPr>
            <w:tcW w:w="689" w:type="pct"/>
            <w:tcBorders>
              <w:left w:val="single" w:sz="4" w:space="0" w:color="auto"/>
            </w:tcBorders>
            <w:shd w:val="clear" w:color="auto" w:fill="auto"/>
            <w:noWrap/>
            <w:vAlign w:val="bottom"/>
            <w:hideMark/>
          </w:tcPr>
          <w:p w14:paraId="00101184" w14:textId="1262C0D9" w:rsidR="001D0403" w:rsidRPr="004E74A6" w:rsidRDefault="001D0403" w:rsidP="00CE62C1">
            <w:pPr>
              <w:spacing w:line="276" w:lineRule="auto"/>
              <w:jc w:val="center"/>
              <w:rPr>
                <w:rFonts w:cs="Calibri"/>
                <w:color w:val="000000"/>
                <w:sz w:val="20"/>
                <w:lang w:eastAsia="es-CR"/>
              </w:rPr>
            </w:pPr>
            <w:r w:rsidRPr="004E74A6">
              <w:rPr>
                <w:rFonts w:cs="Calibri"/>
                <w:color w:val="000000"/>
                <w:sz w:val="20"/>
              </w:rPr>
              <w:t>0,3</w:t>
            </w:r>
          </w:p>
        </w:tc>
      </w:tr>
      <w:tr w:rsidR="001D0403" w:rsidRPr="004E74A6" w14:paraId="1A3BFF5F" w14:textId="77777777" w:rsidTr="00B32800">
        <w:trPr>
          <w:trHeight w:val="288"/>
          <w:jc w:val="center"/>
        </w:trPr>
        <w:tc>
          <w:tcPr>
            <w:tcW w:w="2760" w:type="pct"/>
            <w:tcBorders>
              <w:right w:val="single" w:sz="4" w:space="0" w:color="auto"/>
            </w:tcBorders>
            <w:shd w:val="clear" w:color="auto" w:fill="auto"/>
            <w:noWrap/>
            <w:vAlign w:val="bottom"/>
            <w:hideMark/>
          </w:tcPr>
          <w:p w14:paraId="5E67EBE0" w14:textId="77777777" w:rsidR="001D0403" w:rsidRPr="004E74A6" w:rsidRDefault="001D0403" w:rsidP="00CE62C1">
            <w:pPr>
              <w:spacing w:line="276" w:lineRule="auto"/>
              <w:jc w:val="left"/>
              <w:rPr>
                <w:rFonts w:cs="Calibri"/>
                <w:color w:val="000000"/>
                <w:sz w:val="20"/>
                <w:lang w:eastAsia="es-CR"/>
              </w:rPr>
            </w:pPr>
            <w:r w:rsidRPr="004E74A6">
              <w:rPr>
                <w:rFonts w:cs="Calibri"/>
                <w:color w:val="000000"/>
                <w:sz w:val="20"/>
                <w:lang w:eastAsia="es-CR"/>
              </w:rPr>
              <w:t>Legajo De Medidas Cautelares</w:t>
            </w:r>
          </w:p>
        </w:tc>
        <w:tc>
          <w:tcPr>
            <w:tcW w:w="517" w:type="pct"/>
            <w:tcBorders>
              <w:left w:val="single" w:sz="4" w:space="0" w:color="auto"/>
              <w:right w:val="single" w:sz="4" w:space="0" w:color="auto"/>
            </w:tcBorders>
            <w:shd w:val="clear" w:color="auto" w:fill="auto"/>
            <w:noWrap/>
            <w:vAlign w:val="bottom"/>
            <w:hideMark/>
          </w:tcPr>
          <w:p w14:paraId="53D0E9B4" w14:textId="01293B14" w:rsidR="001D0403" w:rsidRPr="004E74A6" w:rsidRDefault="001D0403" w:rsidP="00CE62C1">
            <w:pPr>
              <w:spacing w:line="276" w:lineRule="auto"/>
              <w:jc w:val="center"/>
              <w:rPr>
                <w:rFonts w:cs="Calibri"/>
                <w:color w:val="000000"/>
                <w:sz w:val="20"/>
                <w:lang w:eastAsia="es-CR"/>
              </w:rPr>
            </w:pPr>
            <w:r w:rsidRPr="004E74A6">
              <w:rPr>
                <w:rFonts w:cs="Calibri"/>
                <w:color w:val="000000"/>
                <w:sz w:val="20"/>
              </w:rPr>
              <w:t>1</w:t>
            </w:r>
          </w:p>
        </w:tc>
        <w:tc>
          <w:tcPr>
            <w:tcW w:w="517" w:type="pct"/>
            <w:tcBorders>
              <w:left w:val="single" w:sz="4" w:space="0" w:color="auto"/>
              <w:right w:val="single" w:sz="4" w:space="0" w:color="auto"/>
            </w:tcBorders>
            <w:shd w:val="clear" w:color="auto" w:fill="auto"/>
            <w:noWrap/>
            <w:vAlign w:val="bottom"/>
            <w:hideMark/>
          </w:tcPr>
          <w:p w14:paraId="10A2734A" w14:textId="25CC2E55" w:rsidR="001D0403" w:rsidRPr="004E74A6" w:rsidRDefault="001D0403" w:rsidP="00CE62C1">
            <w:pPr>
              <w:spacing w:line="276" w:lineRule="auto"/>
              <w:jc w:val="center"/>
              <w:rPr>
                <w:rFonts w:cs="Calibri"/>
                <w:color w:val="000000"/>
                <w:sz w:val="20"/>
                <w:lang w:eastAsia="es-CR"/>
              </w:rPr>
            </w:pPr>
            <w:r w:rsidRPr="004E74A6">
              <w:rPr>
                <w:rFonts w:cs="Calibri"/>
                <w:color w:val="000000"/>
                <w:sz w:val="20"/>
              </w:rPr>
              <w:t>0</w:t>
            </w:r>
          </w:p>
        </w:tc>
        <w:tc>
          <w:tcPr>
            <w:tcW w:w="517" w:type="pct"/>
            <w:tcBorders>
              <w:left w:val="single" w:sz="4" w:space="0" w:color="auto"/>
              <w:right w:val="single" w:sz="4" w:space="0" w:color="auto"/>
            </w:tcBorders>
            <w:shd w:val="clear" w:color="auto" w:fill="auto"/>
            <w:noWrap/>
            <w:vAlign w:val="bottom"/>
            <w:hideMark/>
          </w:tcPr>
          <w:p w14:paraId="432D89A4" w14:textId="251A31F9" w:rsidR="001D0403" w:rsidRPr="004E74A6" w:rsidRDefault="001D0403" w:rsidP="00CE62C1">
            <w:pPr>
              <w:spacing w:line="276" w:lineRule="auto"/>
              <w:jc w:val="center"/>
              <w:rPr>
                <w:sz w:val="20"/>
                <w:lang w:eastAsia="es-CR"/>
              </w:rPr>
            </w:pPr>
            <w:r w:rsidRPr="004E74A6">
              <w:rPr>
                <w:rFonts w:cs="Calibri"/>
                <w:color w:val="000000"/>
                <w:sz w:val="20"/>
              </w:rPr>
              <w:t>0</w:t>
            </w:r>
          </w:p>
        </w:tc>
        <w:tc>
          <w:tcPr>
            <w:tcW w:w="689" w:type="pct"/>
            <w:tcBorders>
              <w:left w:val="single" w:sz="4" w:space="0" w:color="auto"/>
            </w:tcBorders>
            <w:shd w:val="clear" w:color="auto" w:fill="auto"/>
            <w:noWrap/>
            <w:vAlign w:val="bottom"/>
            <w:hideMark/>
          </w:tcPr>
          <w:p w14:paraId="4506356A" w14:textId="4B3DDC6B" w:rsidR="001D0403" w:rsidRPr="004E74A6" w:rsidRDefault="001D0403" w:rsidP="00CE62C1">
            <w:pPr>
              <w:spacing w:line="276" w:lineRule="auto"/>
              <w:jc w:val="center"/>
              <w:rPr>
                <w:rFonts w:cs="Calibri"/>
                <w:color w:val="000000"/>
                <w:sz w:val="20"/>
                <w:lang w:eastAsia="es-CR"/>
              </w:rPr>
            </w:pPr>
            <w:r w:rsidRPr="004E74A6">
              <w:rPr>
                <w:rFonts w:cs="Calibri"/>
                <w:color w:val="000000"/>
                <w:sz w:val="20"/>
              </w:rPr>
              <w:t>0,3</w:t>
            </w:r>
          </w:p>
        </w:tc>
      </w:tr>
      <w:tr w:rsidR="001D0403" w:rsidRPr="004E74A6" w14:paraId="7FF45A1B" w14:textId="77777777" w:rsidTr="00B32800">
        <w:trPr>
          <w:trHeight w:val="288"/>
          <w:jc w:val="center"/>
        </w:trPr>
        <w:tc>
          <w:tcPr>
            <w:tcW w:w="2760" w:type="pct"/>
            <w:tcBorders>
              <w:right w:val="single" w:sz="4" w:space="0" w:color="auto"/>
            </w:tcBorders>
            <w:shd w:val="clear" w:color="auto" w:fill="auto"/>
            <w:noWrap/>
            <w:vAlign w:val="bottom"/>
            <w:hideMark/>
          </w:tcPr>
          <w:p w14:paraId="0AC0AD84" w14:textId="77777777" w:rsidR="001D0403" w:rsidRPr="004E74A6" w:rsidRDefault="001D0403" w:rsidP="00CE62C1">
            <w:pPr>
              <w:spacing w:line="276" w:lineRule="auto"/>
              <w:jc w:val="left"/>
              <w:rPr>
                <w:rFonts w:cs="Calibri"/>
                <w:color w:val="000000"/>
                <w:sz w:val="20"/>
                <w:lang w:eastAsia="es-CR"/>
              </w:rPr>
            </w:pPr>
            <w:r w:rsidRPr="004E74A6">
              <w:rPr>
                <w:rFonts w:cs="Calibri"/>
                <w:color w:val="000000"/>
                <w:sz w:val="20"/>
                <w:lang w:eastAsia="es-CR"/>
              </w:rPr>
              <w:t>Legajo Ejec. Sentencia Acuerdos En Conciliación</w:t>
            </w:r>
          </w:p>
        </w:tc>
        <w:tc>
          <w:tcPr>
            <w:tcW w:w="517" w:type="pct"/>
            <w:tcBorders>
              <w:left w:val="single" w:sz="4" w:space="0" w:color="auto"/>
              <w:right w:val="single" w:sz="4" w:space="0" w:color="auto"/>
            </w:tcBorders>
            <w:shd w:val="clear" w:color="auto" w:fill="auto"/>
            <w:noWrap/>
            <w:vAlign w:val="bottom"/>
            <w:hideMark/>
          </w:tcPr>
          <w:p w14:paraId="1CCD57CE" w14:textId="70EE3286" w:rsidR="001D0403" w:rsidRPr="004E74A6" w:rsidRDefault="001D0403" w:rsidP="00CE62C1">
            <w:pPr>
              <w:spacing w:line="276" w:lineRule="auto"/>
              <w:jc w:val="center"/>
              <w:rPr>
                <w:rFonts w:cs="Calibri"/>
                <w:color w:val="000000"/>
                <w:sz w:val="20"/>
                <w:lang w:eastAsia="es-CR"/>
              </w:rPr>
            </w:pPr>
            <w:r w:rsidRPr="004E74A6">
              <w:rPr>
                <w:rFonts w:cs="Calibri"/>
                <w:color w:val="000000"/>
                <w:sz w:val="20"/>
              </w:rPr>
              <w:t>1</w:t>
            </w:r>
          </w:p>
        </w:tc>
        <w:tc>
          <w:tcPr>
            <w:tcW w:w="517" w:type="pct"/>
            <w:tcBorders>
              <w:left w:val="single" w:sz="4" w:space="0" w:color="auto"/>
              <w:right w:val="single" w:sz="4" w:space="0" w:color="auto"/>
            </w:tcBorders>
            <w:shd w:val="clear" w:color="auto" w:fill="auto"/>
            <w:noWrap/>
            <w:vAlign w:val="bottom"/>
            <w:hideMark/>
          </w:tcPr>
          <w:p w14:paraId="0CAE2BD1" w14:textId="7D15210F" w:rsidR="001D0403" w:rsidRPr="004E74A6" w:rsidRDefault="001D0403" w:rsidP="00CE62C1">
            <w:pPr>
              <w:spacing w:line="276" w:lineRule="auto"/>
              <w:jc w:val="center"/>
              <w:rPr>
                <w:rFonts w:cs="Calibri"/>
                <w:color w:val="000000"/>
                <w:sz w:val="20"/>
                <w:lang w:eastAsia="es-CR"/>
              </w:rPr>
            </w:pPr>
            <w:r w:rsidRPr="004E74A6">
              <w:rPr>
                <w:rFonts w:cs="Calibri"/>
                <w:color w:val="000000"/>
                <w:sz w:val="20"/>
              </w:rPr>
              <w:t>0</w:t>
            </w:r>
          </w:p>
        </w:tc>
        <w:tc>
          <w:tcPr>
            <w:tcW w:w="517" w:type="pct"/>
            <w:tcBorders>
              <w:left w:val="single" w:sz="4" w:space="0" w:color="auto"/>
              <w:right w:val="single" w:sz="4" w:space="0" w:color="auto"/>
            </w:tcBorders>
            <w:shd w:val="clear" w:color="auto" w:fill="auto"/>
            <w:noWrap/>
            <w:vAlign w:val="bottom"/>
            <w:hideMark/>
          </w:tcPr>
          <w:p w14:paraId="10D3AA53" w14:textId="2EA22952" w:rsidR="001D0403" w:rsidRPr="004E74A6" w:rsidRDefault="001D0403" w:rsidP="00CE62C1">
            <w:pPr>
              <w:spacing w:line="276" w:lineRule="auto"/>
              <w:jc w:val="center"/>
              <w:rPr>
                <w:sz w:val="20"/>
                <w:lang w:eastAsia="es-CR"/>
              </w:rPr>
            </w:pPr>
            <w:r w:rsidRPr="004E74A6">
              <w:rPr>
                <w:rFonts w:cs="Calibri"/>
                <w:color w:val="000000"/>
                <w:sz w:val="20"/>
              </w:rPr>
              <w:t>0</w:t>
            </w:r>
          </w:p>
        </w:tc>
        <w:tc>
          <w:tcPr>
            <w:tcW w:w="689" w:type="pct"/>
            <w:tcBorders>
              <w:left w:val="single" w:sz="4" w:space="0" w:color="auto"/>
            </w:tcBorders>
            <w:shd w:val="clear" w:color="auto" w:fill="auto"/>
            <w:noWrap/>
            <w:vAlign w:val="bottom"/>
            <w:hideMark/>
          </w:tcPr>
          <w:p w14:paraId="2339EAE0" w14:textId="21E7E584" w:rsidR="001D0403" w:rsidRPr="004E74A6" w:rsidRDefault="001D0403" w:rsidP="00CE62C1">
            <w:pPr>
              <w:spacing w:line="276" w:lineRule="auto"/>
              <w:jc w:val="center"/>
              <w:rPr>
                <w:rFonts w:cs="Calibri"/>
                <w:color w:val="000000"/>
                <w:sz w:val="20"/>
                <w:lang w:eastAsia="es-CR"/>
              </w:rPr>
            </w:pPr>
            <w:r w:rsidRPr="004E74A6">
              <w:rPr>
                <w:rFonts w:cs="Calibri"/>
                <w:color w:val="000000"/>
                <w:sz w:val="20"/>
              </w:rPr>
              <w:t>0,3</w:t>
            </w:r>
          </w:p>
        </w:tc>
      </w:tr>
      <w:tr w:rsidR="001D0403" w:rsidRPr="004E74A6" w14:paraId="1E83A662" w14:textId="77777777" w:rsidTr="00B32800">
        <w:trPr>
          <w:trHeight w:val="288"/>
          <w:jc w:val="center"/>
        </w:trPr>
        <w:tc>
          <w:tcPr>
            <w:tcW w:w="2760" w:type="pct"/>
            <w:tcBorders>
              <w:right w:val="single" w:sz="4" w:space="0" w:color="auto"/>
            </w:tcBorders>
            <w:shd w:val="clear" w:color="auto" w:fill="auto"/>
            <w:noWrap/>
            <w:vAlign w:val="bottom"/>
            <w:hideMark/>
          </w:tcPr>
          <w:p w14:paraId="5C31A9A1" w14:textId="77777777" w:rsidR="001D0403" w:rsidRPr="004E74A6" w:rsidRDefault="001D0403" w:rsidP="00CE62C1">
            <w:pPr>
              <w:spacing w:line="276" w:lineRule="auto"/>
              <w:jc w:val="left"/>
              <w:rPr>
                <w:rFonts w:cs="Calibri"/>
                <w:color w:val="000000"/>
                <w:sz w:val="20"/>
                <w:lang w:eastAsia="es-CR"/>
              </w:rPr>
            </w:pPr>
            <w:r w:rsidRPr="004E74A6">
              <w:rPr>
                <w:rFonts w:cs="Calibri"/>
                <w:color w:val="000000"/>
                <w:sz w:val="20"/>
                <w:lang w:eastAsia="es-CR"/>
              </w:rPr>
              <w:t>Legajo Pruebas Parte Actora</w:t>
            </w:r>
          </w:p>
        </w:tc>
        <w:tc>
          <w:tcPr>
            <w:tcW w:w="517" w:type="pct"/>
            <w:tcBorders>
              <w:left w:val="single" w:sz="4" w:space="0" w:color="auto"/>
              <w:right w:val="single" w:sz="4" w:space="0" w:color="auto"/>
            </w:tcBorders>
            <w:shd w:val="clear" w:color="auto" w:fill="auto"/>
            <w:noWrap/>
            <w:vAlign w:val="bottom"/>
            <w:hideMark/>
          </w:tcPr>
          <w:p w14:paraId="78456E03" w14:textId="1AA29F14" w:rsidR="001D0403" w:rsidRPr="004E74A6" w:rsidRDefault="001D0403" w:rsidP="00CE62C1">
            <w:pPr>
              <w:spacing w:line="276" w:lineRule="auto"/>
              <w:jc w:val="center"/>
              <w:rPr>
                <w:rFonts w:cs="Calibri"/>
                <w:color w:val="000000"/>
                <w:sz w:val="20"/>
                <w:lang w:eastAsia="es-CR"/>
              </w:rPr>
            </w:pPr>
            <w:r w:rsidRPr="004E74A6">
              <w:rPr>
                <w:rFonts w:cs="Calibri"/>
                <w:color w:val="000000"/>
                <w:sz w:val="20"/>
              </w:rPr>
              <w:t>5</w:t>
            </w:r>
          </w:p>
        </w:tc>
        <w:tc>
          <w:tcPr>
            <w:tcW w:w="517" w:type="pct"/>
            <w:tcBorders>
              <w:left w:val="single" w:sz="4" w:space="0" w:color="auto"/>
              <w:right w:val="single" w:sz="4" w:space="0" w:color="auto"/>
            </w:tcBorders>
            <w:shd w:val="clear" w:color="auto" w:fill="auto"/>
            <w:noWrap/>
            <w:vAlign w:val="bottom"/>
            <w:hideMark/>
          </w:tcPr>
          <w:p w14:paraId="1A9A51D8" w14:textId="6BBD7870" w:rsidR="001D0403" w:rsidRPr="004E74A6" w:rsidRDefault="001D0403" w:rsidP="00CE62C1">
            <w:pPr>
              <w:spacing w:line="276" w:lineRule="auto"/>
              <w:jc w:val="center"/>
              <w:rPr>
                <w:rFonts w:cs="Calibri"/>
                <w:color w:val="000000"/>
                <w:sz w:val="20"/>
                <w:lang w:eastAsia="es-CR"/>
              </w:rPr>
            </w:pPr>
            <w:r w:rsidRPr="004E74A6">
              <w:rPr>
                <w:rFonts w:cs="Calibri"/>
                <w:color w:val="000000"/>
                <w:sz w:val="20"/>
              </w:rPr>
              <w:t>0</w:t>
            </w:r>
          </w:p>
        </w:tc>
        <w:tc>
          <w:tcPr>
            <w:tcW w:w="517" w:type="pct"/>
            <w:tcBorders>
              <w:left w:val="single" w:sz="4" w:space="0" w:color="auto"/>
              <w:right w:val="single" w:sz="4" w:space="0" w:color="auto"/>
            </w:tcBorders>
            <w:shd w:val="clear" w:color="auto" w:fill="auto"/>
            <w:noWrap/>
            <w:vAlign w:val="bottom"/>
            <w:hideMark/>
          </w:tcPr>
          <w:p w14:paraId="2D427C8C" w14:textId="5EC2470A" w:rsidR="001D0403" w:rsidRPr="004E74A6" w:rsidRDefault="001D0403" w:rsidP="00CE62C1">
            <w:pPr>
              <w:spacing w:line="276" w:lineRule="auto"/>
              <w:jc w:val="center"/>
              <w:rPr>
                <w:sz w:val="20"/>
                <w:lang w:eastAsia="es-CR"/>
              </w:rPr>
            </w:pPr>
            <w:r w:rsidRPr="004E74A6">
              <w:rPr>
                <w:rFonts w:cs="Calibri"/>
                <w:color w:val="000000"/>
                <w:sz w:val="20"/>
              </w:rPr>
              <w:t>0</w:t>
            </w:r>
          </w:p>
        </w:tc>
        <w:tc>
          <w:tcPr>
            <w:tcW w:w="689" w:type="pct"/>
            <w:tcBorders>
              <w:left w:val="single" w:sz="4" w:space="0" w:color="auto"/>
            </w:tcBorders>
            <w:shd w:val="clear" w:color="auto" w:fill="auto"/>
            <w:noWrap/>
            <w:vAlign w:val="bottom"/>
            <w:hideMark/>
          </w:tcPr>
          <w:p w14:paraId="6AB0DFB9" w14:textId="76F68221" w:rsidR="001D0403" w:rsidRPr="004E74A6" w:rsidRDefault="001D0403" w:rsidP="00CE62C1">
            <w:pPr>
              <w:spacing w:line="276" w:lineRule="auto"/>
              <w:jc w:val="center"/>
              <w:rPr>
                <w:rFonts w:cs="Calibri"/>
                <w:color w:val="000000"/>
                <w:sz w:val="20"/>
                <w:lang w:eastAsia="es-CR"/>
              </w:rPr>
            </w:pPr>
            <w:r w:rsidRPr="004E74A6">
              <w:rPr>
                <w:rFonts w:cs="Calibri"/>
                <w:color w:val="000000"/>
                <w:sz w:val="20"/>
              </w:rPr>
              <w:t>1,7</w:t>
            </w:r>
          </w:p>
        </w:tc>
      </w:tr>
      <w:tr w:rsidR="001D0403" w:rsidRPr="004E74A6" w14:paraId="647E1116" w14:textId="77777777" w:rsidTr="00B32800">
        <w:trPr>
          <w:trHeight w:val="288"/>
          <w:jc w:val="center"/>
        </w:trPr>
        <w:tc>
          <w:tcPr>
            <w:tcW w:w="2760" w:type="pct"/>
            <w:tcBorders>
              <w:right w:val="single" w:sz="4" w:space="0" w:color="auto"/>
            </w:tcBorders>
            <w:shd w:val="clear" w:color="auto" w:fill="auto"/>
            <w:noWrap/>
            <w:vAlign w:val="bottom"/>
            <w:hideMark/>
          </w:tcPr>
          <w:p w14:paraId="3B92BFD7" w14:textId="77777777" w:rsidR="001D0403" w:rsidRPr="004E74A6" w:rsidRDefault="001D0403" w:rsidP="00CE62C1">
            <w:pPr>
              <w:spacing w:line="276" w:lineRule="auto"/>
              <w:jc w:val="left"/>
              <w:rPr>
                <w:rFonts w:cs="Calibri"/>
                <w:color w:val="000000"/>
                <w:sz w:val="20"/>
                <w:lang w:eastAsia="es-CR"/>
              </w:rPr>
            </w:pPr>
            <w:r w:rsidRPr="004E74A6">
              <w:rPr>
                <w:rFonts w:cs="Calibri"/>
                <w:color w:val="000000"/>
                <w:sz w:val="20"/>
                <w:lang w:eastAsia="es-CR"/>
              </w:rPr>
              <w:t>Legajo Pruebas Parte Demandada</w:t>
            </w:r>
          </w:p>
        </w:tc>
        <w:tc>
          <w:tcPr>
            <w:tcW w:w="517" w:type="pct"/>
            <w:tcBorders>
              <w:left w:val="single" w:sz="4" w:space="0" w:color="auto"/>
              <w:right w:val="single" w:sz="4" w:space="0" w:color="auto"/>
            </w:tcBorders>
            <w:shd w:val="clear" w:color="auto" w:fill="auto"/>
            <w:noWrap/>
            <w:vAlign w:val="bottom"/>
            <w:hideMark/>
          </w:tcPr>
          <w:p w14:paraId="07D66477" w14:textId="5F37FF5A" w:rsidR="001D0403" w:rsidRPr="004E74A6" w:rsidRDefault="001D0403" w:rsidP="00CE62C1">
            <w:pPr>
              <w:spacing w:line="276" w:lineRule="auto"/>
              <w:jc w:val="center"/>
              <w:rPr>
                <w:rFonts w:cs="Calibri"/>
                <w:color w:val="000000"/>
                <w:sz w:val="20"/>
                <w:lang w:eastAsia="es-CR"/>
              </w:rPr>
            </w:pPr>
            <w:r w:rsidRPr="004E74A6">
              <w:rPr>
                <w:rFonts w:cs="Calibri"/>
                <w:color w:val="000000"/>
                <w:sz w:val="20"/>
              </w:rPr>
              <w:t>4</w:t>
            </w:r>
          </w:p>
        </w:tc>
        <w:tc>
          <w:tcPr>
            <w:tcW w:w="517" w:type="pct"/>
            <w:tcBorders>
              <w:left w:val="single" w:sz="4" w:space="0" w:color="auto"/>
              <w:right w:val="single" w:sz="4" w:space="0" w:color="auto"/>
            </w:tcBorders>
            <w:shd w:val="clear" w:color="auto" w:fill="auto"/>
            <w:noWrap/>
            <w:vAlign w:val="bottom"/>
            <w:hideMark/>
          </w:tcPr>
          <w:p w14:paraId="46D8D60A" w14:textId="024BFDE2" w:rsidR="001D0403" w:rsidRPr="004E74A6" w:rsidRDefault="001D0403" w:rsidP="00CE62C1">
            <w:pPr>
              <w:spacing w:line="276" w:lineRule="auto"/>
              <w:jc w:val="center"/>
              <w:rPr>
                <w:rFonts w:cs="Calibri"/>
                <w:color w:val="000000"/>
                <w:sz w:val="20"/>
                <w:lang w:eastAsia="es-CR"/>
              </w:rPr>
            </w:pPr>
            <w:r w:rsidRPr="004E74A6">
              <w:rPr>
                <w:rFonts w:cs="Calibri"/>
                <w:color w:val="000000"/>
                <w:sz w:val="20"/>
              </w:rPr>
              <w:t>0</w:t>
            </w:r>
          </w:p>
        </w:tc>
        <w:tc>
          <w:tcPr>
            <w:tcW w:w="517" w:type="pct"/>
            <w:tcBorders>
              <w:left w:val="single" w:sz="4" w:space="0" w:color="auto"/>
              <w:right w:val="single" w:sz="4" w:space="0" w:color="auto"/>
            </w:tcBorders>
            <w:shd w:val="clear" w:color="auto" w:fill="auto"/>
            <w:noWrap/>
            <w:vAlign w:val="bottom"/>
            <w:hideMark/>
          </w:tcPr>
          <w:p w14:paraId="079808F1" w14:textId="385786F1" w:rsidR="001D0403" w:rsidRPr="004E74A6" w:rsidRDefault="001D0403" w:rsidP="00CE62C1">
            <w:pPr>
              <w:spacing w:line="276" w:lineRule="auto"/>
              <w:jc w:val="center"/>
              <w:rPr>
                <w:sz w:val="20"/>
                <w:lang w:eastAsia="es-CR"/>
              </w:rPr>
            </w:pPr>
            <w:r w:rsidRPr="004E74A6">
              <w:rPr>
                <w:rFonts w:cs="Calibri"/>
                <w:color w:val="000000"/>
                <w:sz w:val="20"/>
              </w:rPr>
              <w:t>0</w:t>
            </w:r>
          </w:p>
        </w:tc>
        <w:tc>
          <w:tcPr>
            <w:tcW w:w="689" w:type="pct"/>
            <w:tcBorders>
              <w:left w:val="single" w:sz="4" w:space="0" w:color="auto"/>
            </w:tcBorders>
            <w:shd w:val="clear" w:color="auto" w:fill="auto"/>
            <w:noWrap/>
            <w:vAlign w:val="bottom"/>
            <w:hideMark/>
          </w:tcPr>
          <w:p w14:paraId="6E9BA7B7" w14:textId="7CA6B595" w:rsidR="001D0403" w:rsidRPr="004E74A6" w:rsidRDefault="001D0403" w:rsidP="00CE62C1">
            <w:pPr>
              <w:spacing w:line="276" w:lineRule="auto"/>
              <w:jc w:val="center"/>
              <w:rPr>
                <w:rFonts w:cs="Calibri"/>
                <w:color w:val="000000"/>
                <w:sz w:val="20"/>
                <w:lang w:eastAsia="es-CR"/>
              </w:rPr>
            </w:pPr>
            <w:r w:rsidRPr="004E74A6">
              <w:rPr>
                <w:rFonts w:cs="Calibri"/>
                <w:color w:val="000000"/>
                <w:sz w:val="20"/>
              </w:rPr>
              <w:t>1,3</w:t>
            </w:r>
          </w:p>
        </w:tc>
      </w:tr>
      <w:tr w:rsidR="001D0403" w:rsidRPr="004E74A6" w14:paraId="2E0335F3" w14:textId="77777777" w:rsidTr="00B32800">
        <w:trPr>
          <w:trHeight w:val="288"/>
          <w:jc w:val="center"/>
        </w:trPr>
        <w:tc>
          <w:tcPr>
            <w:tcW w:w="2760" w:type="pct"/>
            <w:tcBorders>
              <w:right w:val="single" w:sz="4" w:space="0" w:color="auto"/>
            </w:tcBorders>
            <w:shd w:val="clear" w:color="auto" w:fill="auto"/>
            <w:noWrap/>
            <w:vAlign w:val="bottom"/>
            <w:hideMark/>
          </w:tcPr>
          <w:p w14:paraId="536271B3" w14:textId="77777777" w:rsidR="001D0403" w:rsidRPr="004E74A6" w:rsidRDefault="001D0403" w:rsidP="00CE62C1">
            <w:pPr>
              <w:spacing w:line="276" w:lineRule="auto"/>
              <w:jc w:val="left"/>
              <w:rPr>
                <w:rFonts w:cs="Calibri"/>
                <w:color w:val="000000"/>
                <w:sz w:val="20"/>
                <w:lang w:eastAsia="es-CR"/>
              </w:rPr>
            </w:pPr>
            <w:r w:rsidRPr="004E74A6">
              <w:rPr>
                <w:rFonts w:cs="Calibri"/>
                <w:color w:val="000000"/>
                <w:sz w:val="20"/>
                <w:lang w:eastAsia="es-CR"/>
              </w:rPr>
              <w:t>Principal</w:t>
            </w:r>
          </w:p>
        </w:tc>
        <w:tc>
          <w:tcPr>
            <w:tcW w:w="517" w:type="pct"/>
            <w:tcBorders>
              <w:left w:val="single" w:sz="4" w:space="0" w:color="auto"/>
              <w:right w:val="single" w:sz="4" w:space="0" w:color="auto"/>
            </w:tcBorders>
            <w:shd w:val="clear" w:color="auto" w:fill="auto"/>
            <w:noWrap/>
            <w:vAlign w:val="bottom"/>
            <w:hideMark/>
          </w:tcPr>
          <w:p w14:paraId="02B0D1C6" w14:textId="13D1660B" w:rsidR="001D0403" w:rsidRPr="004E74A6" w:rsidRDefault="001D0403" w:rsidP="00CE62C1">
            <w:pPr>
              <w:spacing w:line="276" w:lineRule="auto"/>
              <w:jc w:val="center"/>
              <w:rPr>
                <w:rFonts w:cs="Calibri"/>
                <w:color w:val="000000"/>
                <w:sz w:val="20"/>
                <w:lang w:eastAsia="es-CR"/>
              </w:rPr>
            </w:pPr>
            <w:r w:rsidRPr="004E74A6">
              <w:rPr>
                <w:rFonts w:cs="Calibri"/>
                <w:color w:val="000000"/>
                <w:sz w:val="20"/>
              </w:rPr>
              <w:t>194</w:t>
            </w:r>
          </w:p>
        </w:tc>
        <w:tc>
          <w:tcPr>
            <w:tcW w:w="517" w:type="pct"/>
            <w:tcBorders>
              <w:left w:val="single" w:sz="4" w:space="0" w:color="auto"/>
              <w:right w:val="single" w:sz="4" w:space="0" w:color="auto"/>
            </w:tcBorders>
            <w:shd w:val="clear" w:color="auto" w:fill="auto"/>
            <w:noWrap/>
            <w:vAlign w:val="bottom"/>
            <w:hideMark/>
          </w:tcPr>
          <w:p w14:paraId="546C4210" w14:textId="52ACB9D8" w:rsidR="001D0403" w:rsidRPr="004E74A6" w:rsidRDefault="001D0403" w:rsidP="00CE62C1">
            <w:pPr>
              <w:spacing w:line="276" w:lineRule="auto"/>
              <w:jc w:val="center"/>
              <w:rPr>
                <w:rFonts w:cs="Calibri"/>
                <w:color w:val="000000"/>
                <w:sz w:val="20"/>
                <w:lang w:eastAsia="es-CR"/>
              </w:rPr>
            </w:pPr>
            <w:r w:rsidRPr="004E74A6">
              <w:rPr>
                <w:rFonts w:cs="Calibri"/>
                <w:color w:val="000000"/>
                <w:sz w:val="20"/>
              </w:rPr>
              <w:t>147</w:t>
            </w:r>
          </w:p>
        </w:tc>
        <w:tc>
          <w:tcPr>
            <w:tcW w:w="517" w:type="pct"/>
            <w:tcBorders>
              <w:left w:val="single" w:sz="4" w:space="0" w:color="auto"/>
              <w:right w:val="single" w:sz="4" w:space="0" w:color="auto"/>
            </w:tcBorders>
            <w:shd w:val="clear" w:color="auto" w:fill="auto"/>
            <w:noWrap/>
            <w:vAlign w:val="bottom"/>
            <w:hideMark/>
          </w:tcPr>
          <w:p w14:paraId="582F554D" w14:textId="261C6078" w:rsidR="001D0403" w:rsidRPr="004E74A6" w:rsidRDefault="001D0403" w:rsidP="00CE62C1">
            <w:pPr>
              <w:spacing w:line="276" w:lineRule="auto"/>
              <w:jc w:val="center"/>
              <w:rPr>
                <w:rFonts w:cs="Calibri"/>
                <w:color w:val="000000"/>
                <w:sz w:val="20"/>
                <w:lang w:eastAsia="es-CR"/>
              </w:rPr>
            </w:pPr>
            <w:r w:rsidRPr="004E74A6">
              <w:rPr>
                <w:rFonts w:cs="Calibri"/>
                <w:color w:val="000000"/>
                <w:sz w:val="20"/>
              </w:rPr>
              <w:t>176</w:t>
            </w:r>
          </w:p>
        </w:tc>
        <w:tc>
          <w:tcPr>
            <w:tcW w:w="689" w:type="pct"/>
            <w:tcBorders>
              <w:left w:val="single" w:sz="4" w:space="0" w:color="auto"/>
            </w:tcBorders>
            <w:shd w:val="clear" w:color="auto" w:fill="auto"/>
            <w:noWrap/>
            <w:vAlign w:val="bottom"/>
            <w:hideMark/>
          </w:tcPr>
          <w:p w14:paraId="2AE854A0" w14:textId="2FFDF175" w:rsidR="001D0403" w:rsidRPr="004E74A6" w:rsidRDefault="001D0403" w:rsidP="00CE62C1">
            <w:pPr>
              <w:spacing w:line="276" w:lineRule="auto"/>
              <w:jc w:val="center"/>
              <w:rPr>
                <w:rFonts w:cs="Calibri"/>
                <w:color w:val="000000"/>
                <w:sz w:val="20"/>
                <w:lang w:eastAsia="es-CR"/>
              </w:rPr>
            </w:pPr>
            <w:r w:rsidRPr="004E74A6">
              <w:rPr>
                <w:rFonts w:cs="Calibri"/>
                <w:color w:val="000000"/>
                <w:sz w:val="20"/>
              </w:rPr>
              <w:t>172</w:t>
            </w:r>
          </w:p>
        </w:tc>
      </w:tr>
      <w:tr w:rsidR="001D0403" w:rsidRPr="004E74A6" w14:paraId="52E27198" w14:textId="77777777" w:rsidTr="001D0403">
        <w:trPr>
          <w:trHeight w:val="288"/>
          <w:jc w:val="center"/>
        </w:trPr>
        <w:tc>
          <w:tcPr>
            <w:tcW w:w="2760" w:type="pct"/>
            <w:tcBorders>
              <w:bottom w:val="single" w:sz="4" w:space="0" w:color="auto"/>
              <w:right w:val="single" w:sz="4" w:space="0" w:color="auto"/>
            </w:tcBorders>
            <w:shd w:val="clear" w:color="auto" w:fill="auto"/>
            <w:noWrap/>
            <w:vAlign w:val="bottom"/>
          </w:tcPr>
          <w:p w14:paraId="150EF295" w14:textId="77777777" w:rsidR="001D0403" w:rsidRPr="004E74A6" w:rsidRDefault="001D0403" w:rsidP="00CE62C1">
            <w:pPr>
              <w:spacing w:line="276" w:lineRule="auto"/>
              <w:jc w:val="left"/>
              <w:rPr>
                <w:rFonts w:cs="Calibri"/>
                <w:color w:val="000000"/>
                <w:sz w:val="20"/>
                <w:lang w:eastAsia="es-CR"/>
              </w:rPr>
            </w:pPr>
          </w:p>
        </w:tc>
        <w:tc>
          <w:tcPr>
            <w:tcW w:w="517" w:type="pct"/>
            <w:tcBorders>
              <w:left w:val="single" w:sz="4" w:space="0" w:color="auto"/>
              <w:bottom w:val="single" w:sz="4" w:space="0" w:color="auto"/>
              <w:right w:val="single" w:sz="4" w:space="0" w:color="auto"/>
            </w:tcBorders>
            <w:shd w:val="clear" w:color="auto" w:fill="auto"/>
            <w:noWrap/>
            <w:vAlign w:val="center"/>
          </w:tcPr>
          <w:p w14:paraId="797CF68C" w14:textId="77777777" w:rsidR="001D0403" w:rsidRPr="004E74A6" w:rsidRDefault="001D0403" w:rsidP="00CE62C1">
            <w:pPr>
              <w:spacing w:line="276" w:lineRule="auto"/>
              <w:jc w:val="center"/>
              <w:rPr>
                <w:rFonts w:cs="Calibri"/>
                <w:color w:val="000000"/>
                <w:sz w:val="20"/>
                <w:lang w:eastAsia="es-CR"/>
              </w:rPr>
            </w:pPr>
          </w:p>
        </w:tc>
        <w:tc>
          <w:tcPr>
            <w:tcW w:w="517" w:type="pct"/>
            <w:tcBorders>
              <w:left w:val="single" w:sz="4" w:space="0" w:color="auto"/>
              <w:bottom w:val="single" w:sz="4" w:space="0" w:color="auto"/>
              <w:right w:val="single" w:sz="4" w:space="0" w:color="auto"/>
            </w:tcBorders>
            <w:shd w:val="clear" w:color="auto" w:fill="auto"/>
            <w:noWrap/>
            <w:vAlign w:val="center"/>
          </w:tcPr>
          <w:p w14:paraId="4A0B5072" w14:textId="77777777" w:rsidR="001D0403" w:rsidRPr="004E74A6" w:rsidRDefault="001D0403" w:rsidP="00CE62C1">
            <w:pPr>
              <w:spacing w:line="276" w:lineRule="auto"/>
              <w:jc w:val="center"/>
              <w:rPr>
                <w:rFonts w:cs="Calibri"/>
                <w:color w:val="000000"/>
                <w:sz w:val="20"/>
                <w:lang w:eastAsia="es-CR"/>
              </w:rPr>
            </w:pPr>
          </w:p>
        </w:tc>
        <w:tc>
          <w:tcPr>
            <w:tcW w:w="517" w:type="pct"/>
            <w:tcBorders>
              <w:left w:val="single" w:sz="4" w:space="0" w:color="auto"/>
              <w:bottom w:val="single" w:sz="4" w:space="0" w:color="auto"/>
              <w:right w:val="single" w:sz="4" w:space="0" w:color="auto"/>
            </w:tcBorders>
            <w:shd w:val="clear" w:color="auto" w:fill="auto"/>
            <w:noWrap/>
            <w:vAlign w:val="center"/>
          </w:tcPr>
          <w:p w14:paraId="2F19FB5C" w14:textId="77777777" w:rsidR="001D0403" w:rsidRPr="004E74A6" w:rsidRDefault="001D0403" w:rsidP="00CE62C1">
            <w:pPr>
              <w:spacing w:line="276" w:lineRule="auto"/>
              <w:jc w:val="center"/>
              <w:rPr>
                <w:rFonts w:cs="Calibri"/>
                <w:color w:val="000000"/>
                <w:sz w:val="20"/>
                <w:lang w:eastAsia="es-CR"/>
              </w:rPr>
            </w:pPr>
          </w:p>
        </w:tc>
        <w:tc>
          <w:tcPr>
            <w:tcW w:w="689" w:type="pct"/>
            <w:tcBorders>
              <w:left w:val="single" w:sz="4" w:space="0" w:color="auto"/>
              <w:bottom w:val="single" w:sz="4" w:space="0" w:color="auto"/>
            </w:tcBorders>
            <w:shd w:val="clear" w:color="auto" w:fill="auto"/>
            <w:noWrap/>
            <w:vAlign w:val="center"/>
          </w:tcPr>
          <w:p w14:paraId="12CCB903" w14:textId="77777777" w:rsidR="001D0403" w:rsidRPr="004E74A6" w:rsidRDefault="001D0403" w:rsidP="00CE62C1">
            <w:pPr>
              <w:spacing w:line="276" w:lineRule="auto"/>
              <w:jc w:val="center"/>
              <w:rPr>
                <w:rFonts w:cs="Calibri"/>
                <w:color w:val="000000"/>
                <w:sz w:val="20"/>
                <w:lang w:eastAsia="es-CR"/>
              </w:rPr>
            </w:pPr>
          </w:p>
        </w:tc>
      </w:tr>
    </w:tbl>
    <w:p w14:paraId="28521BB4" w14:textId="77777777" w:rsidR="003E4755" w:rsidRPr="004E74A6" w:rsidRDefault="003E4755" w:rsidP="00832773">
      <w:pPr>
        <w:spacing w:line="276" w:lineRule="auto"/>
        <w:ind w:left="340" w:right="340"/>
        <w:rPr>
          <w:rFonts w:cs="Calibri"/>
          <w:i/>
          <w:iCs/>
          <w:color w:val="000000"/>
          <w:sz w:val="20"/>
          <w:lang w:eastAsia="es-CR"/>
        </w:rPr>
      </w:pPr>
      <w:r w:rsidRPr="004E74A6">
        <w:rPr>
          <w:rFonts w:cs="Calibri"/>
          <w:b/>
          <w:bCs/>
          <w:i/>
          <w:iCs/>
          <w:color w:val="000000"/>
          <w:sz w:val="20"/>
          <w:lang w:eastAsia="es-CR"/>
        </w:rPr>
        <w:t>Fuente</w:t>
      </w:r>
      <w:r w:rsidRPr="004E74A6">
        <w:rPr>
          <w:rFonts w:cs="Calibri"/>
          <w:i/>
          <w:iCs/>
          <w:color w:val="000000"/>
          <w:sz w:val="20"/>
          <w:lang w:eastAsia="es-CR"/>
        </w:rPr>
        <w:t>: Subproceso de Modernización Institucional con datos extraídos del sistema SIGMA, Dirección de Planificación.</w:t>
      </w:r>
    </w:p>
    <w:p w14:paraId="52351A93" w14:textId="7E097992" w:rsidR="008647ED" w:rsidRPr="004E74A6" w:rsidRDefault="006D4CD8" w:rsidP="00CE62C1">
      <w:pPr>
        <w:spacing w:after="160" w:line="276" w:lineRule="auto"/>
        <w:rPr>
          <w:rFonts w:cs="Calibri"/>
          <w:color w:val="000000"/>
          <w:szCs w:val="24"/>
          <w:lang w:eastAsia="es-CR"/>
        </w:rPr>
      </w:pPr>
      <w:r w:rsidRPr="004E74A6">
        <w:rPr>
          <w:rFonts w:cs="Calibri"/>
          <w:color w:val="000000"/>
          <w:szCs w:val="24"/>
          <w:lang w:eastAsia="es-CR"/>
        </w:rPr>
        <w:lastRenderedPageBreak/>
        <w:t xml:space="preserve">Se puede observar aún más a detalle para determinar la clase de asuntos principales, que tal y como lo refleja la siguiente tabla, </w:t>
      </w:r>
      <w:r w:rsidR="008647ED" w:rsidRPr="004E74A6">
        <w:rPr>
          <w:rFonts w:cs="Calibri"/>
          <w:color w:val="000000"/>
          <w:szCs w:val="24"/>
          <w:lang w:eastAsia="es-CR"/>
        </w:rPr>
        <w:t>el 88,5% está compuesto por los asuntos ordinarios, seguido de un 5,8% de prueba anticipada, siendo lo ordinario lo dominante a través de los años.</w:t>
      </w:r>
    </w:p>
    <w:p w14:paraId="742C05B0" w14:textId="67152599" w:rsidR="00C354D2" w:rsidRPr="00832773" w:rsidRDefault="00C354D2" w:rsidP="00F0204A">
      <w:pPr>
        <w:pStyle w:val="Descripcin"/>
        <w:keepNext/>
        <w:spacing w:line="276" w:lineRule="auto"/>
        <w:jc w:val="center"/>
        <w:rPr>
          <w:rFonts w:ascii="Book Antiqua" w:hAnsi="Book Antiqua"/>
          <w:i/>
          <w:iCs/>
          <w:sz w:val="20"/>
          <w:szCs w:val="16"/>
          <w:lang w:val="es-CR"/>
        </w:rPr>
      </w:pPr>
      <w:r w:rsidRPr="00832773">
        <w:rPr>
          <w:rFonts w:ascii="Book Antiqua" w:hAnsi="Book Antiqua"/>
          <w:i/>
          <w:iCs/>
          <w:sz w:val="20"/>
          <w:szCs w:val="16"/>
          <w:lang w:val="es-CR"/>
        </w:rPr>
        <w:t xml:space="preserve">Tabla </w:t>
      </w:r>
      <w:r w:rsidRPr="00832773">
        <w:rPr>
          <w:rFonts w:ascii="Book Antiqua" w:hAnsi="Book Antiqua"/>
          <w:i/>
          <w:iCs/>
          <w:sz w:val="20"/>
          <w:szCs w:val="16"/>
          <w:lang w:val="es-CR"/>
        </w:rPr>
        <w:fldChar w:fldCharType="begin"/>
      </w:r>
      <w:r w:rsidRPr="00832773">
        <w:rPr>
          <w:rFonts w:ascii="Book Antiqua" w:hAnsi="Book Antiqua"/>
          <w:i/>
          <w:iCs/>
          <w:sz w:val="20"/>
          <w:szCs w:val="16"/>
          <w:lang w:val="es-CR"/>
        </w:rPr>
        <w:instrText xml:space="preserve"> SEQ Tabla \* ARABIC </w:instrText>
      </w:r>
      <w:r w:rsidRPr="00832773">
        <w:rPr>
          <w:rFonts w:ascii="Book Antiqua" w:hAnsi="Book Antiqua"/>
          <w:i/>
          <w:iCs/>
          <w:sz w:val="20"/>
          <w:szCs w:val="16"/>
          <w:lang w:val="es-CR"/>
        </w:rPr>
        <w:fldChar w:fldCharType="separate"/>
      </w:r>
      <w:r w:rsidR="00374B51">
        <w:rPr>
          <w:rFonts w:ascii="Book Antiqua" w:hAnsi="Book Antiqua"/>
          <w:i/>
          <w:iCs/>
          <w:noProof/>
          <w:sz w:val="20"/>
          <w:szCs w:val="16"/>
          <w:lang w:val="es-CR"/>
        </w:rPr>
        <w:t>18</w:t>
      </w:r>
      <w:r w:rsidRPr="00832773">
        <w:rPr>
          <w:rFonts w:ascii="Book Antiqua" w:hAnsi="Book Antiqua"/>
          <w:i/>
          <w:iCs/>
          <w:sz w:val="20"/>
          <w:szCs w:val="16"/>
          <w:lang w:val="es-CR"/>
        </w:rPr>
        <w:fldChar w:fldCharType="end"/>
      </w:r>
      <w:r w:rsidRPr="00832773">
        <w:rPr>
          <w:rFonts w:ascii="Book Antiqua" w:hAnsi="Book Antiqua"/>
          <w:i/>
          <w:iCs/>
          <w:sz w:val="20"/>
          <w:szCs w:val="16"/>
          <w:lang w:val="es-CR"/>
        </w:rPr>
        <w:t xml:space="preserve"> Cantidad de principales según clase de asuntos del 2019 al 2021 para el Tribunal Colegiado de Primera Instancia Civil Tercer Circuito Judicial de Alajuela, San Ramón</w:t>
      </w:r>
    </w:p>
    <w:tbl>
      <w:tblPr>
        <w:tblW w:w="3984" w:type="pct"/>
        <w:jc w:val="center"/>
        <w:tblCellMar>
          <w:left w:w="70" w:type="dxa"/>
          <w:right w:w="70" w:type="dxa"/>
        </w:tblCellMar>
        <w:tblLook w:val="04A0" w:firstRow="1" w:lastRow="0" w:firstColumn="1" w:lastColumn="0" w:noHBand="0" w:noVBand="1"/>
      </w:tblPr>
      <w:tblGrid>
        <w:gridCol w:w="3357"/>
        <w:gridCol w:w="841"/>
        <w:gridCol w:w="837"/>
        <w:gridCol w:w="837"/>
        <w:gridCol w:w="1172"/>
      </w:tblGrid>
      <w:tr w:rsidR="00C354D2" w:rsidRPr="004E74A6" w14:paraId="206AF640" w14:textId="77777777" w:rsidTr="003E4755">
        <w:trPr>
          <w:trHeight w:val="454"/>
          <w:tblHeader/>
          <w:jc w:val="center"/>
        </w:trPr>
        <w:tc>
          <w:tcPr>
            <w:tcW w:w="2383" w:type="pct"/>
            <w:tcBorders>
              <w:top w:val="single" w:sz="4" w:space="0" w:color="auto"/>
              <w:left w:val="nil"/>
              <w:bottom w:val="single" w:sz="4" w:space="0" w:color="auto"/>
              <w:right w:val="single" w:sz="4" w:space="0" w:color="auto"/>
            </w:tcBorders>
            <w:shd w:val="clear" w:color="auto" w:fill="auto"/>
            <w:noWrap/>
            <w:vAlign w:val="center"/>
            <w:hideMark/>
          </w:tcPr>
          <w:p w14:paraId="4D4FBD90"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Principal</w:t>
            </w:r>
          </w:p>
        </w:tc>
        <w:tc>
          <w:tcPr>
            <w:tcW w:w="59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7280CBE"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2019</w:t>
            </w:r>
          </w:p>
        </w:tc>
        <w:tc>
          <w:tcPr>
            <w:tcW w:w="59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67D76D1"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2020</w:t>
            </w:r>
          </w:p>
        </w:tc>
        <w:tc>
          <w:tcPr>
            <w:tcW w:w="59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64406B2"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2021</w:t>
            </w:r>
          </w:p>
        </w:tc>
        <w:tc>
          <w:tcPr>
            <w:tcW w:w="832" w:type="pct"/>
            <w:tcBorders>
              <w:top w:val="single" w:sz="4" w:space="0" w:color="auto"/>
              <w:left w:val="single" w:sz="4" w:space="0" w:color="auto"/>
              <w:bottom w:val="single" w:sz="4" w:space="0" w:color="auto"/>
              <w:right w:val="nil"/>
            </w:tcBorders>
            <w:shd w:val="clear" w:color="auto" w:fill="auto"/>
            <w:noWrap/>
            <w:vAlign w:val="center"/>
          </w:tcPr>
          <w:p w14:paraId="6AC19B2D" w14:textId="5E49CECE" w:rsidR="008647ED" w:rsidRPr="004E74A6" w:rsidRDefault="00C354D2" w:rsidP="00CE62C1">
            <w:pPr>
              <w:spacing w:line="276" w:lineRule="auto"/>
              <w:jc w:val="center"/>
              <w:rPr>
                <w:rFonts w:cs="Calibri"/>
                <w:color w:val="000000"/>
                <w:sz w:val="20"/>
                <w:lang w:eastAsia="es-CR"/>
              </w:rPr>
            </w:pPr>
            <w:r w:rsidRPr="004E74A6">
              <w:rPr>
                <w:rFonts w:cs="Calibri"/>
                <w:color w:val="000000"/>
                <w:sz w:val="20"/>
                <w:lang w:eastAsia="es-CR"/>
              </w:rPr>
              <w:t>Promedio</w:t>
            </w:r>
          </w:p>
        </w:tc>
      </w:tr>
      <w:tr w:rsidR="00C354D2" w:rsidRPr="004E74A6" w14:paraId="0C58AC89" w14:textId="77777777" w:rsidTr="003E4755">
        <w:trPr>
          <w:trHeight w:val="288"/>
          <w:jc w:val="center"/>
        </w:trPr>
        <w:tc>
          <w:tcPr>
            <w:tcW w:w="2383" w:type="pct"/>
            <w:tcBorders>
              <w:top w:val="nil"/>
              <w:left w:val="nil"/>
              <w:bottom w:val="nil"/>
              <w:right w:val="single" w:sz="4" w:space="0" w:color="auto"/>
            </w:tcBorders>
            <w:shd w:val="clear" w:color="auto" w:fill="auto"/>
            <w:noWrap/>
            <w:vAlign w:val="center"/>
          </w:tcPr>
          <w:p w14:paraId="375BB9E3" w14:textId="77777777" w:rsidR="00C354D2" w:rsidRPr="004E74A6" w:rsidRDefault="00C354D2" w:rsidP="00CE62C1">
            <w:pPr>
              <w:spacing w:line="276" w:lineRule="auto"/>
              <w:jc w:val="center"/>
              <w:rPr>
                <w:rFonts w:cs="Calibri"/>
                <w:color w:val="000000"/>
                <w:sz w:val="20"/>
                <w:lang w:eastAsia="es-CR"/>
              </w:rPr>
            </w:pPr>
            <w:r w:rsidRPr="004E74A6">
              <w:rPr>
                <w:rFonts w:cs="Calibri"/>
                <w:color w:val="000000"/>
                <w:sz w:val="20"/>
                <w:lang w:eastAsia="es-CR"/>
              </w:rPr>
              <w:t>Total</w:t>
            </w:r>
          </w:p>
        </w:tc>
        <w:tc>
          <w:tcPr>
            <w:tcW w:w="597" w:type="pct"/>
            <w:tcBorders>
              <w:top w:val="nil"/>
              <w:left w:val="single" w:sz="4" w:space="0" w:color="auto"/>
              <w:bottom w:val="nil"/>
              <w:right w:val="single" w:sz="4" w:space="0" w:color="auto"/>
            </w:tcBorders>
            <w:shd w:val="clear" w:color="auto" w:fill="auto"/>
            <w:noWrap/>
            <w:vAlign w:val="center"/>
          </w:tcPr>
          <w:p w14:paraId="54F716F9" w14:textId="38837B04" w:rsidR="00C354D2" w:rsidRPr="004E74A6" w:rsidRDefault="00C354D2" w:rsidP="00CE62C1">
            <w:pPr>
              <w:spacing w:line="276" w:lineRule="auto"/>
              <w:jc w:val="center"/>
              <w:rPr>
                <w:rFonts w:cs="Calibri"/>
                <w:color w:val="000000"/>
                <w:sz w:val="20"/>
                <w:lang w:eastAsia="es-CR"/>
              </w:rPr>
            </w:pPr>
            <w:r w:rsidRPr="004E74A6">
              <w:rPr>
                <w:rFonts w:cs="Calibri"/>
                <w:color w:val="000000"/>
                <w:sz w:val="20"/>
                <w:lang w:eastAsia="es-CR"/>
              </w:rPr>
              <w:t>19</w:t>
            </w:r>
            <w:r w:rsidR="006D4CD8" w:rsidRPr="004E74A6">
              <w:rPr>
                <w:rFonts w:cs="Calibri"/>
                <w:color w:val="000000"/>
                <w:sz w:val="20"/>
                <w:lang w:eastAsia="es-CR"/>
              </w:rPr>
              <w:t>4</w:t>
            </w:r>
          </w:p>
        </w:tc>
        <w:tc>
          <w:tcPr>
            <w:tcW w:w="594" w:type="pct"/>
            <w:tcBorders>
              <w:top w:val="nil"/>
              <w:left w:val="single" w:sz="4" w:space="0" w:color="auto"/>
              <w:bottom w:val="nil"/>
              <w:right w:val="single" w:sz="4" w:space="0" w:color="auto"/>
            </w:tcBorders>
            <w:shd w:val="clear" w:color="auto" w:fill="auto"/>
            <w:noWrap/>
            <w:vAlign w:val="center"/>
          </w:tcPr>
          <w:p w14:paraId="263942AC" w14:textId="77777777" w:rsidR="00C354D2" w:rsidRPr="004E74A6" w:rsidRDefault="00C354D2" w:rsidP="00CE62C1">
            <w:pPr>
              <w:spacing w:line="276" w:lineRule="auto"/>
              <w:jc w:val="center"/>
              <w:rPr>
                <w:rFonts w:cs="Calibri"/>
                <w:color w:val="000000"/>
                <w:sz w:val="20"/>
                <w:lang w:eastAsia="es-CR"/>
              </w:rPr>
            </w:pPr>
            <w:r w:rsidRPr="004E74A6">
              <w:rPr>
                <w:rFonts w:cs="Calibri"/>
                <w:color w:val="000000"/>
                <w:sz w:val="20"/>
                <w:lang w:eastAsia="es-CR"/>
              </w:rPr>
              <w:t>147</w:t>
            </w:r>
          </w:p>
        </w:tc>
        <w:tc>
          <w:tcPr>
            <w:tcW w:w="594" w:type="pct"/>
            <w:tcBorders>
              <w:top w:val="nil"/>
              <w:left w:val="single" w:sz="4" w:space="0" w:color="auto"/>
              <w:bottom w:val="nil"/>
              <w:right w:val="single" w:sz="4" w:space="0" w:color="auto"/>
            </w:tcBorders>
            <w:shd w:val="clear" w:color="auto" w:fill="auto"/>
            <w:noWrap/>
            <w:vAlign w:val="center"/>
          </w:tcPr>
          <w:p w14:paraId="7DBF8FC1" w14:textId="77777777" w:rsidR="00C354D2" w:rsidRPr="004E74A6" w:rsidRDefault="00C354D2" w:rsidP="00CE62C1">
            <w:pPr>
              <w:spacing w:line="276" w:lineRule="auto"/>
              <w:jc w:val="center"/>
              <w:rPr>
                <w:sz w:val="20"/>
                <w:lang w:eastAsia="es-CR"/>
              </w:rPr>
            </w:pPr>
            <w:r w:rsidRPr="004E74A6">
              <w:rPr>
                <w:rFonts w:cs="Calibri"/>
                <w:color w:val="000000"/>
                <w:sz w:val="20"/>
                <w:lang w:eastAsia="es-CR"/>
              </w:rPr>
              <w:t>176</w:t>
            </w:r>
          </w:p>
        </w:tc>
        <w:tc>
          <w:tcPr>
            <w:tcW w:w="832" w:type="pct"/>
            <w:tcBorders>
              <w:top w:val="nil"/>
              <w:left w:val="single" w:sz="4" w:space="0" w:color="auto"/>
              <w:bottom w:val="nil"/>
              <w:right w:val="nil"/>
            </w:tcBorders>
            <w:shd w:val="clear" w:color="auto" w:fill="auto"/>
            <w:noWrap/>
            <w:vAlign w:val="center"/>
          </w:tcPr>
          <w:p w14:paraId="38FAE60F" w14:textId="23C9CC69" w:rsidR="00C354D2" w:rsidRPr="004E74A6" w:rsidRDefault="00C354D2" w:rsidP="00CE62C1">
            <w:pPr>
              <w:spacing w:line="276" w:lineRule="auto"/>
              <w:jc w:val="center"/>
              <w:rPr>
                <w:rFonts w:cs="Calibri"/>
                <w:color w:val="000000"/>
                <w:sz w:val="20"/>
                <w:lang w:eastAsia="es-CR"/>
              </w:rPr>
            </w:pPr>
            <w:r w:rsidRPr="004E74A6">
              <w:rPr>
                <w:rFonts w:cs="Calibri"/>
                <w:color w:val="000000"/>
                <w:sz w:val="20"/>
              </w:rPr>
              <w:t>17</w:t>
            </w:r>
            <w:r w:rsidR="006D4CD8" w:rsidRPr="004E74A6">
              <w:rPr>
                <w:rFonts w:cs="Calibri"/>
                <w:color w:val="000000"/>
                <w:sz w:val="20"/>
              </w:rPr>
              <w:t>2</w:t>
            </w:r>
          </w:p>
        </w:tc>
      </w:tr>
      <w:tr w:rsidR="00C354D2" w:rsidRPr="004E74A6" w14:paraId="71860948" w14:textId="77777777" w:rsidTr="003E4755">
        <w:trPr>
          <w:trHeight w:val="288"/>
          <w:jc w:val="center"/>
        </w:trPr>
        <w:tc>
          <w:tcPr>
            <w:tcW w:w="2383" w:type="pct"/>
            <w:tcBorders>
              <w:top w:val="nil"/>
              <w:left w:val="nil"/>
              <w:bottom w:val="nil"/>
              <w:right w:val="single" w:sz="4" w:space="0" w:color="auto"/>
            </w:tcBorders>
            <w:shd w:val="clear" w:color="auto" w:fill="auto"/>
            <w:noWrap/>
            <w:vAlign w:val="bottom"/>
          </w:tcPr>
          <w:p w14:paraId="40DFCA81" w14:textId="77777777" w:rsidR="00C354D2" w:rsidRPr="004E74A6" w:rsidRDefault="00C354D2" w:rsidP="00CE62C1">
            <w:pPr>
              <w:spacing w:line="276" w:lineRule="auto"/>
              <w:ind w:firstLineChars="100" w:firstLine="200"/>
              <w:jc w:val="left"/>
              <w:rPr>
                <w:rFonts w:cs="Calibri"/>
                <w:color w:val="000000"/>
                <w:sz w:val="20"/>
                <w:lang w:eastAsia="es-CR"/>
              </w:rPr>
            </w:pPr>
          </w:p>
        </w:tc>
        <w:tc>
          <w:tcPr>
            <w:tcW w:w="597" w:type="pct"/>
            <w:tcBorders>
              <w:top w:val="nil"/>
              <w:left w:val="single" w:sz="4" w:space="0" w:color="auto"/>
              <w:bottom w:val="nil"/>
              <w:right w:val="single" w:sz="4" w:space="0" w:color="auto"/>
            </w:tcBorders>
            <w:shd w:val="clear" w:color="auto" w:fill="auto"/>
            <w:noWrap/>
            <w:vAlign w:val="center"/>
          </w:tcPr>
          <w:p w14:paraId="64687C52" w14:textId="77777777" w:rsidR="00C354D2" w:rsidRPr="004E74A6" w:rsidRDefault="00C354D2" w:rsidP="00CE62C1">
            <w:pPr>
              <w:spacing w:line="276" w:lineRule="auto"/>
              <w:jc w:val="center"/>
              <w:rPr>
                <w:rFonts w:cs="Calibri"/>
                <w:color w:val="000000"/>
                <w:sz w:val="20"/>
                <w:lang w:eastAsia="es-CR"/>
              </w:rPr>
            </w:pPr>
          </w:p>
        </w:tc>
        <w:tc>
          <w:tcPr>
            <w:tcW w:w="594" w:type="pct"/>
            <w:tcBorders>
              <w:top w:val="nil"/>
              <w:left w:val="single" w:sz="4" w:space="0" w:color="auto"/>
              <w:bottom w:val="nil"/>
              <w:right w:val="single" w:sz="4" w:space="0" w:color="auto"/>
            </w:tcBorders>
            <w:shd w:val="clear" w:color="auto" w:fill="auto"/>
            <w:noWrap/>
            <w:vAlign w:val="center"/>
          </w:tcPr>
          <w:p w14:paraId="17763E3E" w14:textId="77777777" w:rsidR="00C354D2" w:rsidRPr="004E74A6" w:rsidRDefault="00C354D2" w:rsidP="00CE62C1">
            <w:pPr>
              <w:spacing w:line="276" w:lineRule="auto"/>
              <w:jc w:val="center"/>
              <w:rPr>
                <w:rFonts w:cs="Calibri"/>
                <w:color w:val="000000"/>
                <w:sz w:val="20"/>
                <w:lang w:eastAsia="es-CR"/>
              </w:rPr>
            </w:pPr>
          </w:p>
        </w:tc>
        <w:tc>
          <w:tcPr>
            <w:tcW w:w="594" w:type="pct"/>
            <w:tcBorders>
              <w:top w:val="nil"/>
              <w:left w:val="single" w:sz="4" w:space="0" w:color="auto"/>
              <w:bottom w:val="nil"/>
              <w:right w:val="single" w:sz="4" w:space="0" w:color="auto"/>
            </w:tcBorders>
            <w:shd w:val="clear" w:color="auto" w:fill="auto"/>
            <w:noWrap/>
            <w:vAlign w:val="center"/>
          </w:tcPr>
          <w:p w14:paraId="2E3E8BF1" w14:textId="77777777" w:rsidR="00C354D2" w:rsidRPr="004E74A6" w:rsidRDefault="00C354D2" w:rsidP="00CE62C1">
            <w:pPr>
              <w:spacing w:line="276" w:lineRule="auto"/>
              <w:jc w:val="center"/>
              <w:rPr>
                <w:sz w:val="20"/>
                <w:lang w:eastAsia="es-CR"/>
              </w:rPr>
            </w:pPr>
          </w:p>
        </w:tc>
        <w:tc>
          <w:tcPr>
            <w:tcW w:w="832" w:type="pct"/>
            <w:tcBorders>
              <w:top w:val="nil"/>
              <w:left w:val="single" w:sz="4" w:space="0" w:color="auto"/>
              <w:bottom w:val="nil"/>
              <w:right w:val="nil"/>
            </w:tcBorders>
            <w:shd w:val="clear" w:color="auto" w:fill="auto"/>
            <w:noWrap/>
            <w:vAlign w:val="center"/>
          </w:tcPr>
          <w:p w14:paraId="308B77F7" w14:textId="77777777" w:rsidR="00C354D2" w:rsidRPr="004E74A6" w:rsidRDefault="00C354D2" w:rsidP="00CE62C1">
            <w:pPr>
              <w:spacing w:line="276" w:lineRule="auto"/>
              <w:jc w:val="center"/>
              <w:rPr>
                <w:rFonts w:cs="Calibri"/>
                <w:color w:val="000000"/>
                <w:sz w:val="20"/>
                <w:lang w:eastAsia="es-CR"/>
              </w:rPr>
            </w:pPr>
          </w:p>
        </w:tc>
      </w:tr>
      <w:tr w:rsidR="006D4CD8" w:rsidRPr="004E74A6" w14:paraId="4A749DBB" w14:textId="77777777" w:rsidTr="00B32800">
        <w:trPr>
          <w:trHeight w:val="288"/>
          <w:jc w:val="center"/>
        </w:trPr>
        <w:tc>
          <w:tcPr>
            <w:tcW w:w="2383" w:type="pct"/>
            <w:tcBorders>
              <w:top w:val="nil"/>
              <w:left w:val="nil"/>
              <w:bottom w:val="nil"/>
              <w:right w:val="single" w:sz="4" w:space="0" w:color="auto"/>
            </w:tcBorders>
            <w:shd w:val="clear" w:color="auto" w:fill="auto"/>
            <w:noWrap/>
            <w:vAlign w:val="bottom"/>
            <w:hideMark/>
          </w:tcPr>
          <w:p w14:paraId="3E1F0518" w14:textId="77777777" w:rsidR="006D4CD8" w:rsidRPr="004E74A6" w:rsidRDefault="006D4CD8" w:rsidP="00CE62C1">
            <w:pPr>
              <w:spacing w:line="276" w:lineRule="auto"/>
              <w:ind w:firstLineChars="100" w:firstLine="200"/>
              <w:jc w:val="left"/>
              <w:rPr>
                <w:rFonts w:cs="Calibri"/>
                <w:color w:val="000000"/>
                <w:sz w:val="20"/>
                <w:lang w:eastAsia="es-CR"/>
              </w:rPr>
            </w:pPr>
            <w:r w:rsidRPr="004E74A6">
              <w:rPr>
                <w:rFonts w:cs="Calibri"/>
                <w:color w:val="000000"/>
                <w:sz w:val="20"/>
                <w:lang w:eastAsia="es-CR"/>
              </w:rPr>
              <w:t>Actividad Preparatoria</w:t>
            </w:r>
          </w:p>
        </w:tc>
        <w:tc>
          <w:tcPr>
            <w:tcW w:w="597" w:type="pct"/>
            <w:tcBorders>
              <w:top w:val="nil"/>
              <w:left w:val="single" w:sz="4" w:space="0" w:color="auto"/>
              <w:bottom w:val="nil"/>
              <w:right w:val="single" w:sz="4" w:space="0" w:color="auto"/>
            </w:tcBorders>
            <w:shd w:val="clear" w:color="auto" w:fill="auto"/>
            <w:noWrap/>
            <w:vAlign w:val="bottom"/>
            <w:hideMark/>
          </w:tcPr>
          <w:p w14:paraId="47133FF6" w14:textId="55818D98" w:rsidR="006D4CD8" w:rsidRPr="004E74A6" w:rsidRDefault="006D4CD8" w:rsidP="00CE62C1">
            <w:pPr>
              <w:spacing w:line="276" w:lineRule="auto"/>
              <w:jc w:val="center"/>
              <w:rPr>
                <w:rFonts w:cs="Calibri"/>
                <w:color w:val="000000"/>
                <w:sz w:val="20"/>
                <w:lang w:eastAsia="es-CR"/>
              </w:rPr>
            </w:pPr>
            <w:r w:rsidRPr="004E74A6">
              <w:rPr>
                <w:rFonts w:cs="Calibri"/>
                <w:color w:val="000000"/>
                <w:sz w:val="20"/>
              </w:rPr>
              <w:t>1</w:t>
            </w:r>
          </w:p>
        </w:tc>
        <w:tc>
          <w:tcPr>
            <w:tcW w:w="594" w:type="pct"/>
            <w:tcBorders>
              <w:top w:val="nil"/>
              <w:left w:val="single" w:sz="4" w:space="0" w:color="auto"/>
              <w:bottom w:val="nil"/>
              <w:right w:val="single" w:sz="4" w:space="0" w:color="auto"/>
            </w:tcBorders>
            <w:shd w:val="clear" w:color="auto" w:fill="auto"/>
            <w:noWrap/>
            <w:vAlign w:val="bottom"/>
            <w:hideMark/>
          </w:tcPr>
          <w:p w14:paraId="48899CD4" w14:textId="6621D5B6" w:rsidR="006D4CD8" w:rsidRPr="004E74A6" w:rsidRDefault="006D4CD8" w:rsidP="00CE62C1">
            <w:pPr>
              <w:spacing w:line="276" w:lineRule="auto"/>
              <w:jc w:val="center"/>
              <w:rPr>
                <w:rFonts w:cs="Calibri"/>
                <w:color w:val="000000"/>
                <w:sz w:val="20"/>
                <w:lang w:eastAsia="es-CR"/>
              </w:rPr>
            </w:pPr>
            <w:r w:rsidRPr="004E74A6">
              <w:rPr>
                <w:rFonts w:cs="Calibri"/>
                <w:color w:val="000000"/>
                <w:sz w:val="20"/>
              </w:rPr>
              <w:t>0</w:t>
            </w:r>
          </w:p>
        </w:tc>
        <w:tc>
          <w:tcPr>
            <w:tcW w:w="594" w:type="pct"/>
            <w:tcBorders>
              <w:top w:val="nil"/>
              <w:left w:val="single" w:sz="4" w:space="0" w:color="auto"/>
              <w:bottom w:val="nil"/>
              <w:right w:val="single" w:sz="4" w:space="0" w:color="auto"/>
            </w:tcBorders>
            <w:shd w:val="clear" w:color="auto" w:fill="auto"/>
            <w:noWrap/>
            <w:vAlign w:val="bottom"/>
            <w:hideMark/>
          </w:tcPr>
          <w:p w14:paraId="62525066" w14:textId="3B108A9F" w:rsidR="006D4CD8" w:rsidRPr="004E74A6" w:rsidRDefault="006D4CD8" w:rsidP="00CE62C1">
            <w:pPr>
              <w:spacing w:line="276" w:lineRule="auto"/>
              <w:jc w:val="center"/>
              <w:rPr>
                <w:sz w:val="20"/>
                <w:lang w:eastAsia="es-CR"/>
              </w:rPr>
            </w:pPr>
            <w:r w:rsidRPr="004E74A6">
              <w:rPr>
                <w:rFonts w:cs="Calibri"/>
                <w:color w:val="000000"/>
                <w:sz w:val="20"/>
              </w:rPr>
              <w:t>0</w:t>
            </w:r>
          </w:p>
        </w:tc>
        <w:tc>
          <w:tcPr>
            <w:tcW w:w="832" w:type="pct"/>
            <w:tcBorders>
              <w:top w:val="nil"/>
              <w:left w:val="single" w:sz="4" w:space="0" w:color="auto"/>
              <w:bottom w:val="nil"/>
              <w:right w:val="nil"/>
            </w:tcBorders>
            <w:shd w:val="clear" w:color="auto" w:fill="auto"/>
            <w:noWrap/>
            <w:vAlign w:val="bottom"/>
            <w:hideMark/>
          </w:tcPr>
          <w:p w14:paraId="0AE33BAA" w14:textId="76450A21" w:rsidR="006D4CD8" w:rsidRPr="004E74A6" w:rsidRDefault="006D4CD8" w:rsidP="00CE62C1">
            <w:pPr>
              <w:spacing w:line="276" w:lineRule="auto"/>
              <w:jc w:val="center"/>
              <w:rPr>
                <w:rFonts w:cs="Calibri"/>
                <w:color w:val="000000"/>
                <w:sz w:val="20"/>
                <w:lang w:eastAsia="es-CR"/>
              </w:rPr>
            </w:pPr>
            <w:r w:rsidRPr="004E74A6">
              <w:rPr>
                <w:rFonts w:cs="Calibri"/>
                <w:color w:val="000000"/>
                <w:sz w:val="20"/>
              </w:rPr>
              <w:t>0,3</w:t>
            </w:r>
          </w:p>
        </w:tc>
      </w:tr>
      <w:tr w:rsidR="006D4CD8" w:rsidRPr="004E74A6" w14:paraId="4C3E5D65" w14:textId="77777777" w:rsidTr="00B32800">
        <w:trPr>
          <w:trHeight w:val="288"/>
          <w:jc w:val="center"/>
        </w:trPr>
        <w:tc>
          <w:tcPr>
            <w:tcW w:w="2383" w:type="pct"/>
            <w:tcBorders>
              <w:top w:val="nil"/>
              <w:left w:val="nil"/>
              <w:bottom w:val="nil"/>
              <w:right w:val="single" w:sz="4" w:space="0" w:color="auto"/>
            </w:tcBorders>
            <w:shd w:val="clear" w:color="auto" w:fill="auto"/>
            <w:noWrap/>
            <w:vAlign w:val="bottom"/>
            <w:hideMark/>
          </w:tcPr>
          <w:p w14:paraId="76D3F8E1" w14:textId="77777777" w:rsidR="006D4CD8" w:rsidRPr="004E74A6" w:rsidRDefault="006D4CD8" w:rsidP="00CE62C1">
            <w:pPr>
              <w:spacing w:line="276" w:lineRule="auto"/>
              <w:ind w:firstLineChars="100" w:firstLine="200"/>
              <w:jc w:val="left"/>
              <w:rPr>
                <w:rFonts w:cs="Calibri"/>
                <w:color w:val="000000"/>
                <w:sz w:val="20"/>
                <w:lang w:eastAsia="es-CR"/>
              </w:rPr>
            </w:pPr>
            <w:r w:rsidRPr="004E74A6">
              <w:rPr>
                <w:rFonts w:cs="Calibri"/>
                <w:color w:val="000000"/>
                <w:sz w:val="20"/>
                <w:lang w:eastAsia="es-CR"/>
              </w:rPr>
              <w:t>Medida Cautelar</w:t>
            </w:r>
          </w:p>
        </w:tc>
        <w:tc>
          <w:tcPr>
            <w:tcW w:w="597" w:type="pct"/>
            <w:tcBorders>
              <w:top w:val="nil"/>
              <w:left w:val="single" w:sz="4" w:space="0" w:color="auto"/>
              <w:bottom w:val="nil"/>
              <w:right w:val="single" w:sz="4" w:space="0" w:color="auto"/>
            </w:tcBorders>
            <w:shd w:val="clear" w:color="auto" w:fill="auto"/>
            <w:noWrap/>
            <w:vAlign w:val="bottom"/>
            <w:hideMark/>
          </w:tcPr>
          <w:p w14:paraId="3CFFC9CC" w14:textId="64DCB064" w:rsidR="006D4CD8" w:rsidRPr="004E74A6" w:rsidRDefault="006D4CD8" w:rsidP="00CE62C1">
            <w:pPr>
              <w:spacing w:line="276" w:lineRule="auto"/>
              <w:jc w:val="center"/>
              <w:rPr>
                <w:rFonts w:cs="Calibri"/>
                <w:color w:val="000000"/>
                <w:sz w:val="20"/>
                <w:lang w:eastAsia="es-CR"/>
              </w:rPr>
            </w:pPr>
            <w:r w:rsidRPr="004E74A6">
              <w:rPr>
                <w:rFonts w:cs="Calibri"/>
                <w:color w:val="000000"/>
                <w:sz w:val="20"/>
              </w:rPr>
              <w:t>4</w:t>
            </w:r>
          </w:p>
        </w:tc>
        <w:tc>
          <w:tcPr>
            <w:tcW w:w="594" w:type="pct"/>
            <w:tcBorders>
              <w:top w:val="nil"/>
              <w:left w:val="single" w:sz="4" w:space="0" w:color="auto"/>
              <w:bottom w:val="nil"/>
              <w:right w:val="single" w:sz="4" w:space="0" w:color="auto"/>
            </w:tcBorders>
            <w:shd w:val="clear" w:color="auto" w:fill="auto"/>
            <w:noWrap/>
            <w:vAlign w:val="bottom"/>
            <w:hideMark/>
          </w:tcPr>
          <w:p w14:paraId="3BED6CE7" w14:textId="083AEDFE" w:rsidR="006D4CD8" w:rsidRPr="004E74A6" w:rsidRDefault="006D4CD8" w:rsidP="00CE62C1">
            <w:pPr>
              <w:spacing w:line="276" w:lineRule="auto"/>
              <w:jc w:val="center"/>
              <w:rPr>
                <w:rFonts w:cs="Calibri"/>
                <w:color w:val="000000"/>
                <w:sz w:val="20"/>
                <w:lang w:eastAsia="es-CR"/>
              </w:rPr>
            </w:pPr>
            <w:r w:rsidRPr="004E74A6">
              <w:rPr>
                <w:rFonts w:cs="Calibri"/>
                <w:color w:val="000000"/>
                <w:sz w:val="20"/>
              </w:rPr>
              <w:t>4</w:t>
            </w:r>
          </w:p>
        </w:tc>
        <w:tc>
          <w:tcPr>
            <w:tcW w:w="594" w:type="pct"/>
            <w:tcBorders>
              <w:top w:val="nil"/>
              <w:left w:val="single" w:sz="4" w:space="0" w:color="auto"/>
              <w:bottom w:val="nil"/>
              <w:right w:val="single" w:sz="4" w:space="0" w:color="auto"/>
            </w:tcBorders>
            <w:shd w:val="clear" w:color="auto" w:fill="auto"/>
            <w:noWrap/>
            <w:vAlign w:val="bottom"/>
            <w:hideMark/>
          </w:tcPr>
          <w:p w14:paraId="1E77B2EF" w14:textId="4DD8454C" w:rsidR="006D4CD8" w:rsidRPr="004E74A6" w:rsidRDefault="006D4CD8" w:rsidP="00CE62C1">
            <w:pPr>
              <w:spacing w:line="276" w:lineRule="auto"/>
              <w:jc w:val="center"/>
              <w:rPr>
                <w:rFonts w:cs="Calibri"/>
                <w:color w:val="000000"/>
                <w:sz w:val="20"/>
                <w:lang w:eastAsia="es-CR"/>
              </w:rPr>
            </w:pPr>
            <w:r w:rsidRPr="004E74A6">
              <w:rPr>
                <w:rFonts w:cs="Calibri"/>
                <w:color w:val="000000"/>
                <w:sz w:val="20"/>
              </w:rPr>
              <w:t>8</w:t>
            </w:r>
          </w:p>
        </w:tc>
        <w:tc>
          <w:tcPr>
            <w:tcW w:w="832" w:type="pct"/>
            <w:tcBorders>
              <w:top w:val="nil"/>
              <w:left w:val="single" w:sz="4" w:space="0" w:color="auto"/>
              <w:bottom w:val="nil"/>
              <w:right w:val="nil"/>
            </w:tcBorders>
            <w:shd w:val="clear" w:color="auto" w:fill="auto"/>
            <w:noWrap/>
            <w:vAlign w:val="bottom"/>
            <w:hideMark/>
          </w:tcPr>
          <w:p w14:paraId="71184C91" w14:textId="5077466C" w:rsidR="006D4CD8" w:rsidRPr="004E74A6" w:rsidRDefault="006D4CD8" w:rsidP="00CE62C1">
            <w:pPr>
              <w:spacing w:line="276" w:lineRule="auto"/>
              <w:jc w:val="center"/>
              <w:rPr>
                <w:rFonts w:cs="Calibri"/>
                <w:color w:val="000000"/>
                <w:sz w:val="20"/>
                <w:lang w:eastAsia="es-CR"/>
              </w:rPr>
            </w:pPr>
            <w:r w:rsidRPr="004E74A6">
              <w:rPr>
                <w:rFonts w:cs="Calibri"/>
                <w:color w:val="000000"/>
                <w:sz w:val="20"/>
              </w:rPr>
              <w:t>5,3</w:t>
            </w:r>
          </w:p>
        </w:tc>
      </w:tr>
      <w:tr w:rsidR="006D4CD8" w:rsidRPr="004E74A6" w14:paraId="183F2779" w14:textId="77777777" w:rsidTr="00B32800">
        <w:trPr>
          <w:trHeight w:val="288"/>
          <w:jc w:val="center"/>
        </w:trPr>
        <w:tc>
          <w:tcPr>
            <w:tcW w:w="2383" w:type="pct"/>
            <w:tcBorders>
              <w:top w:val="nil"/>
              <w:left w:val="nil"/>
              <w:bottom w:val="nil"/>
              <w:right w:val="single" w:sz="4" w:space="0" w:color="auto"/>
            </w:tcBorders>
            <w:shd w:val="clear" w:color="auto" w:fill="auto"/>
            <w:noWrap/>
            <w:vAlign w:val="bottom"/>
            <w:hideMark/>
          </w:tcPr>
          <w:p w14:paraId="0F91DC50" w14:textId="77777777" w:rsidR="006D4CD8" w:rsidRPr="004E74A6" w:rsidRDefault="006D4CD8" w:rsidP="00CE62C1">
            <w:pPr>
              <w:spacing w:line="276" w:lineRule="auto"/>
              <w:ind w:firstLineChars="100" w:firstLine="200"/>
              <w:jc w:val="left"/>
              <w:rPr>
                <w:rFonts w:cs="Calibri"/>
                <w:color w:val="000000"/>
                <w:sz w:val="20"/>
                <w:lang w:eastAsia="es-CR"/>
              </w:rPr>
            </w:pPr>
            <w:r w:rsidRPr="004E74A6">
              <w:rPr>
                <w:rFonts w:cs="Calibri"/>
                <w:color w:val="000000"/>
                <w:sz w:val="20"/>
                <w:lang w:eastAsia="es-CR"/>
              </w:rPr>
              <w:t>No Contencioso</w:t>
            </w:r>
          </w:p>
        </w:tc>
        <w:tc>
          <w:tcPr>
            <w:tcW w:w="597" w:type="pct"/>
            <w:tcBorders>
              <w:top w:val="nil"/>
              <w:left w:val="single" w:sz="4" w:space="0" w:color="auto"/>
              <w:bottom w:val="nil"/>
              <w:right w:val="single" w:sz="4" w:space="0" w:color="auto"/>
            </w:tcBorders>
            <w:shd w:val="clear" w:color="auto" w:fill="auto"/>
            <w:noWrap/>
            <w:vAlign w:val="bottom"/>
            <w:hideMark/>
          </w:tcPr>
          <w:p w14:paraId="69BD9CC3" w14:textId="3CEC470E" w:rsidR="006D4CD8" w:rsidRPr="004E74A6" w:rsidRDefault="006D4CD8" w:rsidP="00CE62C1">
            <w:pPr>
              <w:spacing w:line="276" w:lineRule="auto"/>
              <w:jc w:val="center"/>
              <w:rPr>
                <w:rFonts w:cs="Calibri"/>
                <w:color w:val="000000"/>
                <w:sz w:val="20"/>
                <w:lang w:eastAsia="es-CR"/>
              </w:rPr>
            </w:pPr>
            <w:r w:rsidRPr="004E74A6">
              <w:rPr>
                <w:rFonts w:cs="Calibri"/>
                <w:color w:val="000000"/>
                <w:sz w:val="20"/>
              </w:rPr>
              <w:t>1</w:t>
            </w:r>
          </w:p>
        </w:tc>
        <w:tc>
          <w:tcPr>
            <w:tcW w:w="594" w:type="pct"/>
            <w:tcBorders>
              <w:top w:val="nil"/>
              <w:left w:val="single" w:sz="4" w:space="0" w:color="auto"/>
              <w:bottom w:val="nil"/>
              <w:right w:val="single" w:sz="4" w:space="0" w:color="auto"/>
            </w:tcBorders>
            <w:shd w:val="clear" w:color="auto" w:fill="auto"/>
            <w:noWrap/>
            <w:vAlign w:val="bottom"/>
            <w:hideMark/>
          </w:tcPr>
          <w:p w14:paraId="2A33CB6B" w14:textId="4F6EAFFD" w:rsidR="006D4CD8" w:rsidRPr="004E74A6" w:rsidRDefault="006D4CD8" w:rsidP="00CE62C1">
            <w:pPr>
              <w:spacing w:line="276" w:lineRule="auto"/>
              <w:jc w:val="center"/>
              <w:rPr>
                <w:rFonts w:cs="Calibri"/>
                <w:color w:val="000000"/>
                <w:sz w:val="20"/>
                <w:lang w:eastAsia="es-CR"/>
              </w:rPr>
            </w:pPr>
            <w:r w:rsidRPr="004E74A6">
              <w:rPr>
                <w:rFonts w:cs="Calibri"/>
                <w:color w:val="000000"/>
                <w:sz w:val="20"/>
              </w:rPr>
              <w:t>0</w:t>
            </w:r>
          </w:p>
        </w:tc>
        <w:tc>
          <w:tcPr>
            <w:tcW w:w="594" w:type="pct"/>
            <w:tcBorders>
              <w:top w:val="nil"/>
              <w:left w:val="single" w:sz="4" w:space="0" w:color="auto"/>
              <w:bottom w:val="nil"/>
              <w:right w:val="single" w:sz="4" w:space="0" w:color="auto"/>
            </w:tcBorders>
            <w:shd w:val="clear" w:color="auto" w:fill="auto"/>
            <w:noWrap/>
            <w:vAlign w:val="bottom"/>
            <w:hideMark/>
          </w:tcPr>
          <w:p w14:paraId="200F94E6" w14:textId="646256D2" w:rsidR="006D4CD8" w:rsidRPr="004E74A6" w:rsidRDefault="006D4CD8" w:rsidP="00CE62C1">
            <w:pPr>
              <w:spacing w:line="276" w:lineRule="auto"/>
              <w:jc w:val="center"/>
              <w:rPr>
                <w:sz w:val="20"/>
                <w:lang w:eastAsia="es-CR"/>
              </w:rPr>
            </w:pPr>
            <w:r w:rsidRPr="004E74A6">
              <w:rPr>
                <w:rFonts w:cs="Calibri"/>
                <w:color w:val="000000"/>
                <w:sz w:val="20"/>
              </w:rPr>
              <w:t>0</w:t>
            </w:r>
          </w:p>
        </w:tc>
        <w:tc>
          <w:tcPr>
            <w:tcW w:w="832" w:type="pct"/>
            <w:tcBorders>
              <w:top w:val="nil"/>
              <w:left w:val="single" w:sz="4" w:space="0" w:color="auto"/>
              <w:bottom w:val="nil"/>
              <w:right w:val="nil"/>
            </w:tcBorders>
            <w:shd w:val="clear" w:color="auto" w:fill="auto"/>
            <w:noWrap/>
            <w:vAlign w:val="bottom"/>
            <w:hideMark/>
          </w:tcPr>
          <w:p w14:paraId="10D00AE8" w14:textId="289CD384" w:rsidR="006D4CD8" w:rsidRPr="004E74A6" w:rsidRDefault="006D4CD8" w:rsidP="00CE62C1">
            <w:pPr>
              <w:spacing w:line="276" w:lineRule="auto"/>
              <w:jc w:val="center"/>
              <w:rPr>
                <w:rFonts w:cs="Calibri"/>
                <w:color w:val="000000"/>
                <w:sz w:val="20"/>
                <w:lang w:eastAsia="es-CR"/>
              </w:rPr>
            </w:pPr>
            <w:r w:rsidRPr="004E74A6">
              <w:rPr>
                <w:rFonts w:cs="Calibri"/>
                <w:color w:val="000000"/>
                <w:sz w:val="20"/>
              </w:rPr>
              <w:t>0,3</w:t>
            </w:r>
          </w:p>
        </w:tc>
      </w:tr>
      <w:tr w:rsidR="006D4CD8" w:rsidRPr="004E74A6" w14:paraId="44898875" w14:textId="77777777" w:rsidTr="00B32800">
        <w:trPr>
          <w:trHeight w:val="288"/>
          <w:jc w:val="center"/>
        </w:trPr>
        <w:tc>
          <w:tcPr>
            <w:tcW w:w="2383" w:type="pct"/>
            <w:tcBorders>
              <w:top w:val="nil"/>
              <w:left w:val="nil"/>
              <w:bottom w:val="nil"/>
              <w:right w:val="single" w:sz="4" w:space="0" w:color="auto"/>
            </w:tcBorders>
            <w:shd w:val="clear" w:color="auto" w:fill="C5E0B3" w:themeFill="accent6" w:themeFillTint="66"/>
            <w:noWrap/>
            <w:vAlign w:val="bottom"/>
            <w:hideMark/>
          </w:tcPr>
          <w:p w14:paraId="49DA017B" w14:textId="77777777" w:rsidR="006D4CD8" w:rsidRPr="004E74A6" w:rsidRDefault="006D4CD8" w:rsidP="00CE62C1">
            <w:pPr>
              <w:spacing w:line="276" w:lineRule="auto"/>
              <w:ind w:firstLineChars="100" w:firstLine="200"/>
              <w:jc w:val="left"/>
              <w:rPr>
                <w:rFonts w:cs="Calibri"/>
                <w:color w:val="000000"/>
                <w:sz w:val="20"/>
                <w:lang w:eastAsia="es-CR"/>
              </w:rPr>
            </w:pPr>
            <w:r w:rsidRPr="004E74A6">
              <w:rPr>
                <w:rFonts w:cs="Calibri"/>
                <w:color w:val="000000"/>
                <w:sz w:val="20"/>
                <w:lang w:eastAsia="es-CR"/>
              </w:rPr>
              <w:t>Ordinario</w:t>
            </w:r>
          </w:p>
        </w:tc>
        <w:tc>
          <w:tcPr>
            <w:tcW w:w="597" w:type="pct"/>
            <w:tcBorders>
              <w:top w:val="nil"/>
              <w:left w:val="single" w:sz="4" w:space="0" w:color="auto"/>
              <w:bottom w:val="nil"/>
              <w:right w:val="single" w:sz="4" w:space="0" w:color="auto"/>
            </w:tcBorders>
            <w:shd w:val="clear" w:color="auto" w:fill="C5E0B3" w:themeFill="accent6" w:themeFillTint="66"/>
            <w:noWrap/>
            <w:vAlign w:val="bottom"/>
            <w:hideMark/>
          </w:tcPr>
          <w:p w14:paraId="4B77B22F" w14:textId="642538D1" w:rsidR="006D4CD8" w:rsidRPr="004E74A6" w:rsidRDefault="006D4CD8" w:rsidP="00CE62C1">
            <w:pPr>
              <w:spacing w:line="276" w:lineRule="auto"/>
              <w:jc w:val="center"/>
              <w:rPr>
                <w:rFonts w:cs="Calibri"/>
                <w:color w:val="000000"/>
                <w:sz w:val="20"/>
                <w:lang w:eastAsia="es-CR"/>
              </w:rPr>
            </w:pPr>
            <w:r w:rsidRPr="004E74A6">
              <w:rPr>
                <w:rFonts w:cs="Calibri"/>
                <w:color w:val="000000"/>
                <w:sz w:val="20"/>
              </w:rPr>
              <w:t>167</w:t>
            </w:r>
          </w:p>
        </w:tc>
        <w:tc>
          <w:tcPr>
            <w:tcW w:w="594" w:type="pct"/>
            <w:tcBorders>
              <w:top w:val="nil"/>
              <w:left w:val="single" w:sz="4" w:space="0" w:color="auto"/>
              <w:bottom w:val="nil"/>
              <w:right w:val="single" w:sz="4" w:space="0" w:color="auto"/>
            </w:tcBorders>
            <w:shd w:val="clear" w:color="auto" w:fill="C5E0B3" w:themeFill="accent6" w:themeFillTint="66"/>
            <w:noWrap/>
            <w:vAlign w:val="bottom"/>
            <w:hideMark/>
          </w:tcPr>
          <w:p w14:paraId="49FBA17F" w14:textId="6CBE4126" w:rsidR="006D4CD8" w:rsidRPr="004E74A6" w:rsidRDefault="006D4CD8" w:rsidP="00CE62C1">
            <w:pPr>
              <w:spacing w:line="276" w:lineRule="auto"/>
              <w:jc w:val="center"/>
              <w:rPr>
                <w:rFonts w:cs="Calibri"/>
                <w:color w:val="000000"/>
                <w:sz w:val="20"/>
                <w:lang w:eastAsia="es-CR"/>
              </w:rPr>
            </w:pPr>
            <w:r w:rsidRPr="004E74A6">
              <w:rPr>
                <w:rFonts w:cs="Calibri"/>
                <w:color w:val="000000"/>
                <w:sz w:val="20"/>
              </w:rPr>
              <w:t>133</w:t>
            </w:r>
          </w:p>
        </w:tc>
        <w:tc>
          <w:tcPr>
            <w:tcW w:w="594" w:type="pct"/>
            <w:tcBorders>
              <w:top w:val="nil"/>
              <w:left w:val="single" w:sz="4" w:space="0" w:color="auto"/>
              <w:bottom w:val="nil"/>
              <w:right w:val="single" w:sz="4" w:space="0" w:color="auto"/>
            </w:tcBorders>
            <w:shd w:val="clear" w:color="auto" w:fill="C5E0B3" w:themeFill="accent6" w:themeFillTint="66"/>
            <w:noWrap/>
            <w:vAlign w:val="bottom"/>
            <w:hideMark/>
          </w:tcPr>
          <w:p w14:paraId="556F589B" w14:textId="0A324FFB" w:rsidR="006D4CD8" w:rsidRPr="004E74A6" w:rsidRDefault="006D4CD8" w:rsidP="00CE62C1">
            <w:pPr>
              <w:spacing w:line="276" w:lineRule="auto"/>
              <w:jc w:val="center"/>
              <w:rPr>
                <w:rFonts w:cs="Calibri"/>
                <w:color w:val="000000"/>
                <w:sz w:val="20"/>
                <w:lang w:eastAsia="es-CR"/>
              </w:rPr>
            </w:pPr>
            <w:r w:rsidRPr="004E74A6">
              <w:rPr>
                <w:rFonts w:cs="Calibri"/>
                <w:color w:val="000000"/>
                <w:sz w:val="20"/>
              </w:rPr>
              <w:t>157</w:t>
            </w:r>
          </w:p>
        </w:tc>
        <w:tc>
          <w:tcPr>
            <w:tcW w:w="832" w:type="pct"/>
            <w:tcBorders>
              <w:top w:val="nil"/>
              <w:left w:val="single" w:sz="4" w:space="0" w:color="auto"/>
              <w:bottom w:val="nil"/>
              <w:right w:val="nil"/>
            </w:tcBorders>
            <w:shd w:val="clear" w:color="auto" w:fill="C5E0B3" w:themeFill="accent6" w:themeFillTint="66"/>
            <w:noWrap/>
            <w:vAlign w:val="bottom"/>
            <w:hideMark/>
          </w:tcPr>
          <w:p w14:paraId="2BA7197D" w14:textId="08F57508" w:rsidR="006D4CD8" w:rsidRPr="004E74A6" w:rsidRDefault="006D4CD8" w:rsidP="00CE62C1">
            <w:pPr>
              <w:spacing w:line="276" w:lineRule="auto"/>
              <w:jc w:val="center"/>
              <w:rPr>
                <w:rFonts w:cs="Calibri"/>
                <w:color w:val="000000"/>
                <w:sz w:val="20"/>
                <w:lang w:eastAsia="es-CR"/>
              </w:rPr>
            </w:pPr>
            <w:r w:rsidRPr="004E74A6">
              <w:rPr>
                <w:rFonts w:cs="Calibri"/>
                <w:color w:val="000000"/>
                <w:sz w:val="20"/>
              </w:rPr>
              <w:t>152</w:t>
            </w:r>
          </w:p>
        </w:tc>
      </w:tr>
      <w:tr w:rsidR="006D4CD8" w:rsidRPr="004E74A6" w14:paraId="5BE2C33D" w14:textId="77777777" w:rsidTr="00B32800">
        <w:trPr>
          <w:trHeight w:val="288"/>
          <w:jc w:val="center"/>
        </w:trPr>
        <w:tc>
          <w:tcPr>
            <w:tcW w:w="2383" w:type="pct"/>
            <w:tcBorders>
              <w:top w:val="nil"/>
              <w:left w:val="nil"/>
              <w:bottom w:val="nil"/>
              <w:right w:val="single" w:sz="4" w:space="0" w:color="auto"/>
            </w:tcBorders>
            <w:shd w:val="clear" w:color="auto" w:fill="auto"/>
            <w:noWrap/>
            <w:vAlign w:val="bottom"/>
            <w:hideMark/>
          </w:tcPr>
          <w:p w14:paraId="6B44C53F" w14:textId="77777777" w:rsidR="006D4CD8" w:rsidRPr="004E74A6" w:rsidRDefault="006D4CD8" w:rsidP="00CE62C1">
            <w:pPr>
              <w:spacing w:line="276" w:lineRule="auto"/>
              <w:ind w:firstLineChars="100" w:firstLine="200"/>
              <w:jc w:val="left"/>
              <w:rPr>
                <w:rFonts w:cs="Calibri"/>
                <w:color w:val="000000"/>
                <w:sz w:val="20"/>
                <w:lang w:eastAsia="es-CR"/>
              </w:rPr>
            </w:pPr>
            <w:r w:rsidRPr="004E74A6">
              <w:rPr>
                <w:rFonts w:cs="Calibri"/>
                <w:color w:val="000000"/>
                <w:sz w:val="20"/>
                <w:lang w:eastAsia="es-CR"/>
              </w:rPr>
              <w:t>Otras Medidas Cautelares Típicas</w:t>
            </w:r>
          </w:p>
        </w:tc>
        <w:tc>
          <w:tcPr>
            <w:tcW w:w="597" w:type="pct"/>
            <w:tcBorders>
              <w:top w:val="nil"/>
              <w:left w:val="single" w:sz="4" w:space="0" w:color="auto"/>
              <w:bottom w:val="nil"/>
              <w:right w:val="single" w:sz="4" w:space="0" w:color="auto"/>
            </w:tcBorders>
            <w:shd w:val="clear" w:color="auto" w:fill="auto"/>
            <w:noWrap/>
            <w:vAlign w:val="bottom"/>
            <w:hideMark/>
          </w:tcPr>
          <w:p w14:paraId="484FEC6F" w14:textId="08CADEC5" w:rsidR="006D4CD8" w:rsidRPr="004E74A6" w:rsidRDefault="006D4CD8" w:rsidP="00CE62C1">
            <w:pPr>
              <w:spacing w:line="276" w:lineRule="auto"/>
              <w:jc w:val="center"/>
              <w:rPr>
                <w:rFonts w:cs="Calibri"/>
                <w:color w:val="000000"/>
                <w:sz w:val="20"/>
                <w:lang w:eastAsia="es-CR"/>
              </w:rPr>
            </w:pPr>
            <w:r w:rsidRPr="004E74A6">
              <w:rPr>
                <w:rFonts w:cs="Calibri"/>
                <w:color w:val="000000"/>
                <w:sz w:val="20"/>
              </w:rPr>
              <w:t>1</w:t>
            </w:r>
          </w:p>
        </w:tc>
        <w:tc>
          <w:tcPr>
            <w:tcW w:w="594" w:type="pct"/>
            <w:tcBorders>
              <w:top w:val="nil"/>
              <w:left w:val="single" w:sz="4" w:space="0" w:color="auto"/>
              <w:bottom w:val="nil"/>
              <w:right w:val="single" w:sz="4" w:space="0" w:color="auto"/>
            </w:tcBorders>
            <w:shd w:val="clear" w:color="auto" w:fill="auto"/>
            <w:noWrap/>
            <w:vAlign w:val="bottom"/>
            <w:hideMark/>
          </w:tcPr>
          <w:p w14:paraId="3D2E438E" w14:textId="69D0EC74" w:rsidR="006D4CD8" w:rsidRPr="004E74A6" w:rsidRDefault="006D4CD8" w:rsidP="00CE62C1">
            <w:pPr>
              <w:spacing w:line="276" w:lineRule="auto"/>
              <w:jc w:val="center"/>
              <w:rPr>
                <w:rFonts w:cs="Calibri"/>
                <w:color w:val="000000"/>
                <w:sz w:val="20"/>
                <w:lang w:eastAsia="es-CR"/>
              </w:rPr>
            </w:pPr>
            <w:r w:rsidRPr="004E74A6">
              <w:rPr>
                <w:rFonts w:cs="Calibri"/>
                <w:color w:val="000000"/>
                <w:sz w:val="20"/>
              </w:rPr>
              <w:t>0</w:t>
            </w:r>
          </w:p>
        </w:tc>
        <w:tc>
          <w:tcPr>
            <w:tcW w:w="594" w:type="pct"/>
            <w:tcBorders>
              <w:top w:val="nil"/>
              <w:left w:val="single" w:sz="4" w:space="0" w:color="auto"/>
              <w:bottom w:val="nil"/>
              <w:right w:val="single" w:sz="4" w:space="0" w:color="auto"/>
            </w:tcBorders>
            <w:shd w:val="clear" w:color="auto" w:fill="auto"/>
            <w:noWrap/>
            <w:vAlign w:val="bottom"/>
            <w:hideMark/>
          </w:tcPr>
          <w:p w14:paraId="32E26146" w14:textId="0F0C0386" w:rsidR="006D4CD8" w:rsidRPr="004E74A6" w:rsidRDefault="006D4CD8" w:rsidP="00CE62C1">
            <w:pPr>
              <w:spacing w:line="276" w:lineRule="auto"/>
              <w:jc w:val="center"/>
              <w:rPr>
                <w:sz w:val="20"/>
                <w:lang w:eastAsia="es-CR"/>
              </w:rPr>
            </w:pPr>
            <w:r w:rsidRPr="004E74A6">
              <w:rPr>
                <w:rFonts w:cs="Calibri"/>
                <w:color w:val="000000"/>
                <w:sz w:val="20"/>
              </w:rPr>
              <w:t>0</w:t>
            </w:r>
          </w:p>
        </w:tc>
        <w:tc>
          <w:tcPr>
            <w:tcW w:w="832" w:type="pct"/>
            <w:tcBorders>
              <w:top w:val="nil"/>
              <w:left w:val="single" w:sz="4" w:space="0" w:color="auto"/>
              <w:bottom w:val="nil"/>
              <w:right w:val="nil"/>
            </w:tcBorders>
            <w:shd w:val="clear" w:color="auto" w:fill="auto"/>
            <w:noWrap/>
            <w:vAlign w:val="bottom"/>
            <w:hideMark/>
          </w:tcPr>
          <w:p w14:paraId="31BA873B" w14:textId="3DEF431C" w:rsidR="006D4CD8" w:rsidRPr="004E74A6" w:rsidRDefault="006D4CD8" w:rsidP="00CE62C1">
            <w:pPr>
              <w:spacing w:line="276" w:lineRule="auto"/>
              <w:jc w:val="center"/>
              <w:rPr>
                <w:rFonts w:cs="Calibri"/>
                <w:color w:val="000000"/>
                <w:sz w:val="20"/>
                <w:lang w:eastAsia="es-CR"/>
              </w:rPr>
            </w:pPr>
            <w:r w:rsidRPr="004E74A6">
              <w:rPr>
                <w:rFonts w:cs="Calibri"/>
                <w:color w:val="000000"/>
                <w:sz w:val="20"/>
              </w:rPr>
              <w:t>0,3</w:t>
            </w:r>
          </w:p>
        </w:tc>
      </w:tr>
      <w:tr w:rsidR="006D4CD8" w:rsidRPr="004E74A6" w14:paraId="2CD81973" w14:textId="77777777" w:rsidTr="00B32800">
        <w:trPr>
          <w:trHeight w:val="288"/>
          <w:jc w:val="center"/>
        </w:trPr>
        <w:tc>
          <w:tcPr>
            <w:tcW w:w="2383" w:type="pct"/>
            <w:tcBorders>
              <w:top w:val="nil"/>
              <w:left w:val="nil"/>
              <w:bottom w:val="nil"/>
              <w:right w:val="single" w:sz="4" w:space="0" w:color="auto"/>
            </w:tcBorders>
            <w:shd w:val="clear" w:color="auto" w:fill="auto"/>
            <w:noWrap/>
            <w:vAlign w:val="bottom"/>
            <w:hideMark/>
          </w:tcPr>
          <w:p w14:paraId="2568EF13" w14:textId="77777777" w:rsidR="006D4CD8" w:rsidRPr="004E74A6" w:rsidRDefault="006D4CD8" w:rsidP="00CE62C1">
            <w:pPr>
              <w:spacing w:line="276" w:lineRule="auto"/>
              <w:ind w:firstLineChars="100" w:firstLine="200"/>
              <w:jc w:val="left"/>
              <w:rPr>
                <w:rFonts w:cs="Calibri"/>
                <w:color w:val="000000"/>
                <w:sz w:val="20"/>
                <w:lang w:eastAsia="es-CR"/>
              </w:rPr>
            </w:pPr>
            <w:r w:rsidRPr="004E74A6">
              <w:rPr>
                <w:rFonts w:cs="Calibri"/>
                <w:color w:val="000000"/>
                <w:sz w:val="20"/>
                <w:lang w:eastAsia="es-CR"/>
              </w:rPr>
              <w:t>Procesos De Ejecución</w:t>
            </w:r>
          </w:p>
        </w:tc>
        <w:tc>
          <w:tcPr>
            <w:tcW w:w="597" w:type="pct"/>
            <w:tcBorders>
              <w:top w:val="nil"/>
              <w:left w:val="single" w:sz="4" w:space="0" w:color="auto"/>
              <w:bottom w:val="nil"/>
              <w:right w:val="single" w:sz="4" w:space="0" w:color="auto"/>
            </w:tcBorders>
            <w:shd w:val="clear" w:color="auto" w:fill="auto"/>
            <w:noWrap/>
            <w:vAlign w:val="bottom"/>
            <w:hideMark/>
          </w:tcPr>
          <w:p w14:paraId="45A885AB" w14:textId="3B814E71" w:rsidR="006D4CD8" w:rsidRPr="004E74A6" w:rsidRDefault="006D4CD8" w:rsidP="00CE62C1">
            <w:pPr>
              <w:spacing w:line="276" w:lineRule="auto"/>
              <w:jc w:val="center"/>
              <w:rPr>
                <w:rFonts w:cs="Calibri"/>
                <w:color w:val="000000"/>
                <w:sz w:val="20"/>
                <w:lang w:eastAsia="es-CR"/>
              </w:rPr>
            </w:pPr>
            <w:r w:rsidRPr="004E74A6">
              <w:rPr>
                <w:rFonts w:cs="Calibri"/>
                <w:color w:val="000000"/>
                <w:sz w:val="20"/>
              </w:rPr>
              <w:t>3</w:t>
            </w:r>
          </w:p>
        </w:tc>
        <w:tc>
          <w:tcPr>
            <w:tcW w:w="594" w:type="pct"/>
            <w:tcBorders>
              <w:top w:val="nil"/>
              <w:left w:val="single" w:sz="4" w:space="0" w:color="auto"/>
              <w:bottom w:val="nil"/>
              <w:right w:val="single" w:sz="4" w:space="0" w:color="auto"/>
            </w:tcBorders>
            <w:shd w:val="clear" w:color="auto" w:fill="auto"/>
            <w:noWrap/>
            <w:vAlign w:val="bottom"/>
            <w:hideMark/>
          </w:tcPr>
          <w:p w14:paraId="6D1CBBD2" w14:textId="415CC78B" w:rsidR="006D4CD8" w:rsidRPr="004E74A6" w:rsidRDefault="006D4CD8" w:rsidP="00CE62C1">
            <w:pPr>
              <w:spacing w:line="276" w:lineRule="auto"/>
              <w:jc w:val="center"/>
              <w:rPr>
                <w:rFonts w:cs="Calibri"/>
                <w:color w:val="000000"/>
                <w:sz w:val="20"/>
                <w:lang w:eastAsia="es-CR"/>
              </w:rPr>
            </w:pPr>
            <w:r w:rsidRPr="004E74A6">
              <w:rPr>
                <w:rFonts w:cs="Calibri"/>
                <w:color w:val="000000"/>
                <w:sz w:val="20"/>
              </w:rPr>
              <w:t>4</w:t>
            </w:r>
          </w:p>
        </w:tc>
        <w:tc>
          <w:tcPr>
            <w:tcW w:w="594" w:type="pct"/>
            <w:tcBorders>
              <w:top w:val="nil"/>
              <w:left w:val="single" w:sz="4" w:space="0" w:color="auto"/>
              <w:bottom w:val="nil"/>
              <w:right w:val="single" w:sz="4" w:space="0" w:color="auto"/>
            </w:tcBorders>
            <w:shd w:val="clear" w:color="auto" w:fill="auto"/>
            <w:noWrap/>
            <w:vAlign w:val="bottom"/>
            <w:hideMark/>
          </w:tcPr>
          <w:p w14:paraId="025E6B2B" w14:textId="1F600028" w:rsidR="006D4CD8" w:rsidRPr="004E74A6" w:rsidRDefault="006D4CD8" w:rsidP="00CE62C1">
            <w:pPr>
              <w:spacing w:line="276" w:lineRule="auto"/>
              <w:jc w:val="center"/>
              <w:rPr>
                <w:rFonts w:cs="Calibri"/>
                <w:color w:val="000000"/>
                <w:sz w:val="20"/>
                <w:lang w:eastAsia="es-CR"/>
              </w:rPr>
            </w:pPr>
            <w:r w:rsidRPr="004E74A6">
              <w:rPr>
                <w:rFonts w:cs="Calibri"/>
                <w:color w:val="000000"/>
                <w:sz w:val="20"/>
              </w:rPr>
              <w:t>0</w:t>
            </w:r>
          </w:p>
        </w:tc>
        <w:tc>
          <w:tcPr>
            <w:tcW w:w="832" w:type="pct"/>
            <w:tcBorders>
              <w:top w:val="nil"/>
              <w:left w:val="single" w:sz="4" w:space="0" w:color="auto"/>
              <w:bottom w:val="nil"/>
              <w:right w:val="nil"/>
            </w:tcBorders>
            <w:shd w:val="clear" w:color="auto" w:fill="auto"/>
            <w:noWrap/>
            <w:vAlign w:val="bottom"/>
            <w:hideMark/>
          </w:tcPr>
          <w:p w14:paraId="7B41F81B" w14:textId="3B757373" w:rsidR="006D4CD8" w:rsidRPr="004E74A6" w:rsidRDefault="006D4CD8" w:rsidP="00CE62C1">
            <w:pPr>
              <w:spacing w:line="276" w:lineRule="auto"/>
              <w:jc w:val="center"/>
              <w:rPr>
                <w:rFonts w:cs="Calibri"/>
                <w:color w:val="000000"/>
                <w:sz w:val="20"/>
                <w:lang w:eastAsia="es-CR"/>
              </w:rPr>
            </w:pPr>
            <w:r w:rsidRPr="004E74A6">
              <w:rPr>
                <w:rFonts w:cs="Calibri"/>
                <w:color w:val="000000"/>
                <w:sz w:val="20"/>
              </w:rPr>
              <w:t>2,3</w:t>
            </w:r>
          </w:p>
        </w:tc>
      </w:tr>
      <w:tr w:rsidR="006D4CD8" w:rsidRPr="004E74A6" w14:paraId="145AA5F2" w14:textId="77777777" w:rsidTr="00B32800">
        <w:trPr>
          <w:trHeight w:val="288"/>
          <w:jc w:val="center"/>
        </w:trPr>
        <w:tc>
          <w:tcPr>
            <w:tcW w:w="2383" w:type="pct"/>
            <w:tcBorders>
              <w:top w:val="nil"/>
              <w:left w:val="nil"/>
              <w:bottom w:val="nil"/>
              <w:right w:val="single" w:sz="4" w:space="0" w:color="auto"/>
            </w:tcBorders>
            <w:shd w:val="clear" w:color="auto" w:fill="auto"/>
            <w:noWrap/>
            <w:vAlign w:val="bottom"/>
            <w:hideMark/>
          </w:tcPr>
          <w:p w14:paraId="79552212" w14:textId="77777777" w:rsidR="006D4CD8" w:rsidRPr="004E74A6" w:rsidRDefault="006D4CD8" w:rsidP="00CE62C1">
            <w:pPr>
              <w:spacing w:line="276" w:lineRule="auto"/>
              <w:ind w:firstLineChars="100" w:firstLine="200"/>
              <w:jc w:val="left"/>
              <w:rPr>
                <w:rFonts w:cs="Calibri"/>
                <w:color w:val="000000"/>
                <w:sz w:val="20"/>
                <w:lang w:eastAsia="es-CR"/>
              </w:rPr>
            </w:pPr>
            <w:r w:rsidRPr="004E74A6">
              <w:rPr>
                <w:rFonts w:cs="Calibri"/>
                <w:color w:val="000000"/>
                <w:sz w:val="20"/>
                <w:lang w:eastAsia="es-CR"/>
              </w:rPr>
              <w:t>Procesos Otras Materias</w:t>
            </w:r>
          </w:p>
        </w:tc>
        <w:tc>
          <w:tcPr>
            <w:tcW w:w="597" w:type="pct"/>
            <w:tcBorders>
              <w:top w:val="nil"/>
              <w:left w:val="single" w:sz="4" w:space="0" w:color="auto"/>
              <w:bottom w:val="nil"/>
              <w:right w:val="single" w:sz="4" w:space="0" w:color="auto"/>
            </w:tcBorders>
            <w:shd w:val="clear" w:color="auto" w:fill="auto"/>
            <w:noWrap/>
            <w:vAlign w:val="bottom"/>
            <w:hideMark/>
          </w:tcPr>
          <w:p w14:paraId="52090FD0" w14:textId="1BED067D" w:rsidR="006D4CD8" w:rsidRPr="004E74A6" w:rsidRDefault="006D4CD8" w:rsidP="00CE62C1">
            <w:pPr>
              <w:spacing w:line="276" w:lineRule="auto"/>
              <w:jc w:val="center"/>
              <w:rPr>
                <w:rFonts w:cs="Calibri"/>
                <w:color w:val="000000"/>
                <w:sz w:val="20"/>
                <w:lang w:eastAsia="es-CR"/>
              </w:rPr>
            </w:pPr>
            <w:r w:rsidRPr="004E74A6">
              <w:rPr>
                <w:rFonts w:cs="Calibri"/>
                <w:color w:val="000000"/>
                <w:sz w:val="20"/>
              </w:rPr>
              <w:t>1</w:t>
            </w:r>
          </w:p>
        </w:tc>
        <w:tc>
          <w:tcPr>
            <w:tcW w:w="594" w:type="pct"/>
            <w:tcBorders>
              <w:top w:val="nil"/>
              <w:left w:val="single" w:sz="4" w:space="0" w:color="auto"/>
              <w:bottom w:val="nil"/>
              <w:right w:val="single" w:sz="4" w:space="0" w:color="auto"/>
            </w:tcBorders>
            <w:shd w:val="clear" w:color="auto" w:fill="auto"/>
            <w:noWrap/>
            <w:vAlign w:val="bottom"/>
            <w:hideMark/>
          </w:tcPr>
          <w:p w14:paraId="40B08165" w14:textId="6F1EBA1B" w:rsidR="006D4CD8" w:rsidRPr="004E74A6" w:rsidRDefault="006D4CD8" w:rsidP="00CE62C1">
            <w:pPr>
              <w:spacing w:line="276" w:lineRule="auto"/>
              <w:jc w:val="center"/>
              <w:rPr>
                <w:rFonts w:cs="Calibri"/>
                <w:color w:val="000000"/>
                <w:sz w:val="20"/>
                <w:lang w:eastAsia="es-CR"/>
              </w:rPr>
            </w:pPr>
            <w:r w:rsidRPr="004E74A6">
              <w:rPr>
                <w:rFonts w:cs="Calibri"/>
                <w:color w:val="000000"/>
                <w:sz w:val="20"/>
              </w:rPr>
              <w:t>0</w:t>
            </w:r>
          </w:p>
        </w:tc>
        <w:tc>
          <w:tcPr>
            <w:tcW w:w="594" w:type="pct"/>
            <w:tcBorders>
              <w:top w:val="nil"/>
              <w:left w:val="single" w:sz="4" w:space="0" w:color="auto"/>
              <w:bottom w:val="nil"/>
              <w:right w:val="single" w:sz="4" w:space="0" w:color="auto"/>
            </w:tcBorders>
            <w:shd w:val="clear" w:color="auto" w:fill="auto"/>
            <w:noWrap/>
            <w:vAlign w:val="bottom"/>
            <w:hideMark/>
          </w:tcPr>
          <w:p w14:paraId="4E60C992" w14:textId="08D68FB4" w:rsidR="006D4CD8" w:rsidRPr="004E74A6" w:rsidRDefault="006D4CD8" w:rsidP="00CE62C1">
            <w:pPr>
              <w:spacing w:line="276" w:lineRule="auto"/>
              <w:jc w:val="center"/>
              <w:rPr>
                <w:sz w:val="20"/>
                <w:lang w:eastAsia="es-CR"/>
              </w:rPr>
            </w:pPr>
            <w:r w:rsidRPr="004E74A6">
              <w:rPr>
                <w:rFonts w:cs="Calibri"/>
                <w:color w:val="000000"/>
                <w:sz w:val="20"/>
              </w:rPr>
              <w:t>0</w:t>
            </w:r>
          </w:p>
        </w:tc>
        <w:tc>
          <w:tcPr>
            <w:tcW w:w="832" w:type="pct"/>
            <w:tcBorders>
              <w:top w:val="nil"/>
              <w:left w:val="single" w:sz="4" w:space="0" w:color="auto"/>
              <w:bottom w:val="nil"/>
              <w:right w:val="nil"/>
            </w:tcBorders>
            <w:shd w:val="clear" w:color="auto" w:fill="auto"/>
            <w:noWrap/>
            <w:vAlign w:val="bottom"/>
            <w:hideMark/>
          </w:tcPr>
          <w:p w14:paraId="7221C39F" w14:textId="65B2D31C" w:rsidR="006D4CD8" w:rsidRPr="004E74A6" w:rsidRDefault="006D4CD8" w:rsidP="00CE62C1">
            <w:pPr>
              <w:spacing w:line="276" w:lineRule="auto"/>
              <w:jc w:val="center"/>
              <w:rPr>
                <w:rFonts w:cs="Calibri"/>
                <w:color w:val="000000"/>
                <w:sz w:val="20"/>
                <w:lang w:eastAsia="es-CR"/>
              </w:rPr>
            </w:pPr>
            <w:r w:rsidRPr="004E74A6">
              <w:rPr>
                <w:rFonts w:cs="Calibri"/>
                <w:color w:val="000000"/>
                <w:sz w:val="20"/>
              </w:rPr>
              <w:t>0,3</w:t>
            </w:r>
          </w:p>
        </w:tc>
      </w:tr>
      <w:tr w:rsidR="006D4CD8" w:rsidRPr="004E74A6" w14:paraId="4A13C080" w14:textId="77777777" w:rsidTr="00B32800">
        <w:trPr>
          <w:trHeight w:val="288"/>
          <w:jc w:val="center"/>
        </w:trPr>
        <w:tc>
          <w:tcPr>
            <w:tcW w:w="2383" w:type="pct"/>
            <w:tcBorders>
              <w:top w:val="nil"/>
              <w:left w:val="nil"/>
              <w:bottom w:val="nil"/>
              <w:right w:val="single" w:sz="4" w:space="0" w:color="auto"/>
            </w:tcBorders>
            <w:shd w:val="clear" w:color="auto" w:fill="auto"/>
            <w:noWrap/>
            <w:vAlign w:val="bottom"/>
            <w:hideMark/>
          </w:tcPr>
          <w:p w14:paraId="749D0010" w14:textId="77777777" w:rsidR="006D4CD8" w:rsidRPr="004E74A6" w:rsidRDefault="006D4CD8" w:rsidP="00CE62C1">
            <w:pPr>
              <w:spacing w:line="276" w:lineRule="auto"/>
              <w:ind w:firstLineChars="100" w:firstLine="200"/>
              <w:jc w:val="left"/>
              <w:rPr>
                <w:rFonts w:cs="Calibri"/>
                <w:color w:val="000000"/>
                <w:sz w:val="20"/>
                <w:lang w:eastAsia="es-CR"/>
              </w:rPr>
            </w:pPr>
            <w:r w:rsidRPr="004E74A6">
              <w:rPr>
                <w:rFonts w:cs="Calibri"/>
                <w:color w:val="000000"/>
                <w:sz w:val="20"/>
                <w:lang w:eastAsia="es-CR"/>
              </w:rPr>
              <w:t>Prueba Anticipada</w:t>
            </w:r>
          </w:p>
        </w:tc>
        <w:tc>
          <w:tcPr>
            <w:tcW w:w="597" w:type="pct"/>
            <w:tcBorders>
              <w:top w:val="nil"/>
              <w:left w:val="single" w:sz="4" w:space="0" w:color="auto"/>
              <w:bottom w:val="nil"/>
              <w:right w:val="single" w:sz="4" w:space="0" w:color="auto"/>
            </w:tcBorders>
            <w:shd w:val="clear" w:color="auto" w:fill="auto"/>
            <w:noWrap/>
            <w:vAlign w:val="bottom"/>
            <w:hideMark/>
          </w:tcPr>
          <w:p w14:paraId="46186D22" w14:textId="48FDD4AB" w:rsidR="006D4CD8" w:rsidRPr="004E74A6" w:rsidRDefault="006D4CD8" w:rsidP="00CE62C1">
            <w:pPr>
              <w:spacing w:line="276" w:lineRule="auto"/>
              <w:jc w:val="center"/>
              <w:rPr>
                <w:rFonts w:cs="Calibri"/>
                <w:color w:val="000000"/>
                <w:sz w:val="20"/>
                <w:lang w:eastAsia="es-CR"/>
              </w:rPr>
            </w:pPr>
            <w:r w:rsidRPr="004E74A6">
              <w:rPr>
                <w:rFonts w:cs="Calibri"/>
                <w:color w:val="000000"/>
                <w:sz w:val="20"/>
              </w:rPr>
              <w:t>15</w:t>
            </w:r>
          </w:p>
        </w:tc>
        <w:tc>
          <w:tcPr>
            <w:tcW w:w="594" w:type="pct"/>
            <w:tcBorders>
              <w:top w:val="nil"/>
              <w:left w:val="single" w:sz="4" w:space="0" w:color="auto"/>
              <w:bottom w:val="nil"/>
              <w:right w:val="single" w:sz="4" w:space="0" w:color="auto"/>
            </w:tcBorders>
            <w:shd w:val="clear" w:color="auto" w:fill="auto"/>
            <w:noWrap/>
            <w:vAlign w:val="bottom"/>
            <w:hideMark/>
          </w:tcPr>
          <w:p w14:paraId="321F8CFD" w14:textId="103E890A" w:rsidR="006D4CD8" w:rsidRPr="004E74A6" w:rsidRDefault="006D4CD8" w:rsidP="00CE62C1">
            <w:pPr>
              <w:spacing w:line="276" w:lineRule="auto"/>
              <w:jc w:val="center"/>
              <w:rPr>
                <w:rFonts w:cs="Calibri"/>
                <w:color w:val="000000"/>
                <w:sz w:val="20"/>
                <w:lang w:eastAsia="es-CR"/>
              </w:rPr>
            </w:pPr>
            <w:r w:rsidRPr="004E74A6">
              <w:rPr>
                <w:rFonts w:cs="Calibri"/>
                <w:color w:val="000000"/>
                <w:sz w:val="20"/>
              </w:rPr>
              <w:t>6</w:t>
            </w:r>
          </w:p>
        </w:tc>
        <w:tc>
          <w:tcPr>
            <w:tcW w:w="594" w:type="pct"/>
            <w:tcBorders>
              <w:top w:val="nil"/>
              <w:left w:val="single" w:sz="4" w:space="0" w:color="auto"/>
              <w:bottom w:val="nil"/>
              <w:right w:val="single" w:sz="4" w:space="0" w:color="auto"/>
            </w:tcBorders>
            <w:shd w:val="clear" w:color="auto" w:fill="auto"/>
            <w:noWrap/>
            <w:vAlign w:val="bottom"/>
            <w:hideMark/>
          </w:tcPr>
          <w:p w14:paraId="7F70A55E" w14:textId="311238ED" w:rsidR="006D4CD8" w:rsidRPr="004E74A6" w:rsidRDefault="006D4CD8" w:rsidP="00CE62C1">
            <w:pPr>
              <w:spacing w:line="276" w:lineRule="auto"/>
              <w:jc w:val="center"/>
              <w:rPr>
                <w:rFonts w:cs="Calibri"/>
                <w:color w:val="000000"/>
                <w:sz w:val="20"/>
                <w:lang w:eastAsia="es-CR"/>
              </w:rPr>
            </w:pPr>
            <w:r w:rsidRPr="004E74A6">
              <w:rPr>
                <w:rFonts w:cs="Calibri"/>
                <w:color w:val="000000"/>
                <w:sz w:val="20"/>
              </w:rPr>
              <w:t>9</w:t>
            </w:r>
          </w:p>
        </w:tc>
        <w:tc>
          <w:tcPr>
            <w:tcW w:w="832" w:type="pct"/>
            <w:tcBorders>
              <w:top w:val="nil"/>
              <w:left w:val="single" w:sz="4" w:space="0" w:color="auto"/>
              <w:bottom w:val="nil"/>
              <w:right w:val="nil"/>
            </w:tcBorders>
            <w:shd w:val="clear" w:color="auto" w:fill="auto"/>
            <w:noWrap/>
            <w:vAlign w:val="bottom"/>
            <w:hideMark/>
          </w:tcPr>
          <w:p w14:paraId="1F84F0BA" w14:textId="6C1F8AE4" w:rsidR="006D4CD8" w:rsidRPr="004E74A6" w:rsidRDefault="006D4CD8" w:rsidP="00CE62C1">
            <w:pPr>
              <w:spacing w:line="276" w:lineRule="auto"/>
              <w:jc w:val="center"/>
              <w:rPr>
                <w:rFonts w:cs="Calibri"/>
                <w:color w:val="000000"/>
                <w:sz w:val="20"/>
                <w:lang w:eastAsia="es-CR"/>
              </w:rPr>
            </w:pPr>
            <w:r w:rsidRPr="004E74A6">
              <w:rPr>
                <w:rFonts w:cs="Calibri"/>
                <w:color w:val="000000"/>
                <w:sz w:val="20"/>
              </w:rPr>
              <w:t>10</w:t>
            </w:r>
          </w:p>
        </w:tc>
      </w:tr>
      <w:tr w:rsidR="006D4CD8" w:rsidRPr="004E74A6" w14:paraId="06019F5F" w14:textId="77777777" w:rsidTr="00B32800">
        <w:trPr>
          <w:trHeight w:val="288"/>
          <w:jc w:val="center"/>
        </w:trPr>
        <w:tc>
          <w:tcPr>
            <w:tcW w:w="2383" w:type="pct"/>
            <w:tcBorders>
              <w:top w:val="nil"/>
              <w:left w:val="nil"/>
              <w:right w:val="single" w:sz="4" w:space="0" w:color="auto"/>
            </w:tcBorders>
            <w:shd w:val="clear" w:color="auto" w:fill="auto"/>
            <w:noWrap/>
            <w:vAlign w:val="bottom"/>
            <w:hideMark/>
          </w:tcPr>
          <w:p w14:paraId="72CCB96D" w14:textId="77777777" w:rsidR="006D4CD8" w:rsidRPr="004E74A6" w:rsidRDefault="006D4CD8" w:rsidP="00CE62C1">
            <w:pPr>
              <w:spacing w:line="276" w:lineRule="auto"/>
              <w:ind w:firstLineChars="100" w:firstLine="200"/>
              <w:jc w:val="left"/>
              <w:rPr>
                <w:rFonts w:cs="Calibri"/>
                <w:color w:val="000000"/>
                <w:sz w:val="20"/>
                <w:lang w:eastAsia="es-CR"/>
              </w:rPr>
            </w:pPr>
            <w:r w:rsidRPr="004E74A6">
              <w:rPr>
                <w:rFonts w:cs="Calibri"/>
                <w:color w:val="000000"/>
                <w:sz w:val="20"/>
                <w:lang w:eastAsia="es-CR"/>
              </w:rPr>
              <w:t>Sumario</w:t>
            </w:r>
          </w:p>
        </w:tc>
        <w:tc>
          <w:tcPr>
            <w:tcW w:w="597" w:type="pct"/>
            <w:tcBorders>
              <w:top w:val="nil"/>
              <w:left w:val="single" w:sz="4" w:space="0" w:color="auto"/>
              <w:right w:val="single" w:sz="4" w:space="0" w:color="auto"/>
            </w:tcBorders>
            <w:shd w:val="clear" w:color="auto" w:fill="auto"/>
            <w:noWrap/>
            <w:vAlign w:val="bottom"/>
            <w:hideMark/>
          </w:tcPr>
          <w:p w14:paraId="32F27D04" w14:textId="1E57C7BE" w:rsidR="006D4CD8" w:rsidRPr="004E74A6" w:rsidRDefault="006D4CD8" w:rsidP="00CE62C1">
            <w:pPr>
              <w:spacing w:line="276" w:lineRule="auto"/>
              <w:jc w:val="center"/>
              <w:rPr>
                <w:rFonts w:cs="Calibri"/>
                <w:color w:val="000000"/>
                <w:sz w:val="20"/>
                <w:lang w:eastAsia="es-CR"/>
              </w:rPr>
            </w:pPr>
            <w:r w:rsidRPr="004E74A6">
              <w:rPr>
                <w:rFonts w:cs="Calibri"/>
                <w:color w:val="000000"/>
                <w:sz w:val="20"/>
              </w:rPr>
              <w:t>1</w:t>
            </w:r>
          </w:p>
        </w:tc>
        <w:tc>
          <w:tcPr>
            <w:tcW w:w="594" w:type="pct"/>
            <w:tcBorders>
              <w:top w:val="nil"/>
              <w:left w:val="single" w:sz="4" w:space="0" w:color="auto"/>
              <w:right w:val="single" w:sz="4" w:space="0" w:color="auto"/>
            </w:tcBorders>
            <w:shd w:val="clear" w:color="auto" w:fill="auto"/>
            <w:noWrap/>
            <w:vAlign w:val="bottom"/>
            <w:hideMark/>
          </w:tcPr>
          <w:p w14:paraId="1BB2C405" w14:textId="28968C8E" w:rsidR="006D4CD8" w:rsidRPr="004E74A6" w:rsidRDefault="006D4CD8" w:rsidP="00CE62C1">
            <w:pPr>
              <w:spacing w:line="276" w:lineRule="auto"/>
              <w:jc w:val="center"/>
              <w:rPr>
                <w:rFonts w:cs="Calibri"/>
                <w:color w:val="000000"/>
                <w:sz w:val="20"/>
                <w:lang w:eastAsia="es-CR"/>
              </w:rPr>
            </w:pPr>
            <w:r w:rsidRPr="004E74A6">
              <w:rPr>
                <w:rFonts w:cs="Calibri"/>
                <w:color w:val="000000"/>
                <w:sz w:val="20"/>
              </w:rPr>
              <w:t>0</w:t>
            </w:r>
          </w:p>
        </w:tc>
        <w:tc>
          <w:tcPr>
            <w:tcW w:w="594" w:type="pct"/>
            <w:tcBorders>
              <w:top w:val="nil"/>
              <w:left w:val="single" w:sz="4" w:space="0" w:color="auto"/>
              <w:right w:val="single" w:sz="4" w:space="0" w:color="auto"/>
            </w:tcBorders>
            <w:shd w:val="clear" w:color="auto" w:fill="auto"/>
            <w:noWrap/>
            <w:vAlign w:val="bottom"/>
            <w:hideMark/>
          </w:tcPr>
          <w:p w14:paraId="3416A4D2" w14:textId="7DFC1BA6" w:rsidR="006D4CD8" w:rsidRPr="004E74A6" w:rsidRDefault="006D4CD8" w:rsidP="00CE62C1">
            <w:pPr>
              <w:spacing w:line="276" w:lineRule="auto"/>
              <w:jc w:val="center"/>
              <w:rPr>
                <w:rFonts w:cs="Calibri"/>
                <w:color w:val="000000"/>
                <w:sz w:val="20"/>
                <w:lang w:eastAsia="es-CR"/>
              </w:rPr>
            </w:pPr>
            <w:r w:rsidRPr="004E74A6">
              <w:rPr>
                <w:rFonts w:cs="Calibri"/>
                <w:color w:val="000000"/>
                <w:sz w:val="20"/>
              </w:rPr>
              <w:t>2</w:t>
            </w:r>
          </w:p>
        </w:tc>
        <w:tc>
          <w:tcPr>
            <w:tcW w:w="832" w:type="pct"/>
            <w:tcBorders>
              <w:top w:val="nil"/>
              <w:left w:val="single" w:sz="4" w:space="0" w:color="auto"/>
              <w:right w:val="nil"/>
            </w:tcBorders>
            <w:shd w:val="clear" w:color="auto" w:fill="auto"/>
            <w:noWrap/>
            <w:vAlign w:val="bottom"/>
            <w:hideMark/>
          </w:tcPr>
          <w:p w14:paraId="63BDDE2F" w14:textId="43CCC4F6" w:rsidR="006D4CD8" w:rsidRPr="004E74A6" w:rsidRDefault="006D4CD8" w:rsidP="00CE62C1">
            <w:pPr>
              <w:spacing w:line="276" w:lineRule="auto"/>
              <w:jc w:val="center"/>
              <w:rPr>
                <w:rFonts w:cs="Calibri"/>
                <w:color w:val="000000"/>
                <w:sz w:val="20"/>
                <w:lang w:eastAsia="es-CR"/>
              </w:rPr>
            </w:pPr>
            <w:r w:rsidRPr="004E74A6">
              <w:rPr>
                <w:rFonts w:cs="Calibri"/>
                <w:color w:val="000000"/>
                <w:sz w:val="20"/>
              </w:rPr>
              <w:t>1,0</w:t>
            </w:r>
          </w:p>
        </w:tc>
      </w:tr>
      <w:tr w:rsidR="00C354D2" w:rsidRPr="004E74A6" w14:paraId="69B28A82" w14:textId="77777777" w:rsidTr="003E4755">
        <w:trPr>
          <w:trHeight w:val="288"/>
          <w:jc w:val="center"/>
        </w:trPr>
        <w:tc>
          <w:tcPr>
            <w:tcW w:w="2383" w:type="pct"/>
            <w:tcBorders>
              <w:top w:val="nil"/>
              <w:left w:val="nil"/>
              <w:bottom w:val="single" w:sz="4" w:space="0" w:color="auto"/>
              <w:right w:val="single" w:sz="4" w:space="0" w:color="auto"/>
            </w:tcBorders>
            <w:shd w:val="clear" w:color="auto" w:fill="auto"/>
            <w:noWrap/>
            <w:vAlign w:val="bottom"/>
          </w:tcPr>
          <w:p w14:paraId="074BC161" w14:textId="77777777" w:rsidR="008647ED" w:rsidRPr="004E74A6" w:rsidRDefault="008647ED" w:rsidP="00CE62C1">
            <w:pPr>
              <w:spacing w:line="276" w:lineRule="auto"/>
              <w:ind w:firstLineChars="100" w:firstLine="200"/>
              <w:jc w:val="left"/>
              <w:rPr>
                <w:rFonts w:cs="Calibri"/>
                <w:color w:val="000000"/>
                <w:sz w:val="20"/>
                <w:lang w:eastAsia="es-CR"/>
              </w:rPr>
            </w:pPr>
          </w:p>
        </w:tc>
        <w:tc>
          <w:tcPr>
            <w:tcW w:w="597" w:type="pct"/>
            <w:tcBorders>
              <w:top w:val="nil"/>
              <w:left w:val="single" w:sz="4" w:space="0" w:color="auto"/>
              <w:bottom w:val="single" w:sz="4" w:space="0" w:color="auto"/>
              <w:right w:val="single" w:sz="4" w:space="0" w:color="auto"/>
            </w:tcBorders>
            <w:shd w:val="clear" w:color="auto" w:fill="auto"/>
            <w:noWrap/>
            <w:vAlign w:val="center"/>
          </w:tcPr>
          <w:p w14:paraId="00464CC1" w14:textId="77777777" w:rsidR="008647ED" w:rsidRPr="004E74A6" w:rsidRDefault="008647ED" w:rsidP="00CE62C1">
            <w:pPr>
              <w:spacing w:line="276" w:lineRule="auto"/>
              <w:jc w:val="center"/>
              <w:rPr>
                <w:rFonts w:cs="Calibri"/>
                <w:color w:val="000000"/>
                <w:sz w:val="20"/>
                <w:lang w:eastAsia="es-CR"/>
              </w:rPr>
            </w:pPr>
          </w:p>
        </w:tc>
        <w:tc>
          <w:tcPr>
            <w:tcW w:w="594" w:type="pct"/>
            <w:tcBorders>
              <w:top w:val="nil"/>
              <w:left w:val="single" w:sz="4" w:space="0" w:color="auto"/>
              <w:bottom w:val="single" w:sz="4" w:space="0" w:color="auto"/>
              <w:right w:val="single" w:sz="4" w:space="0" w:color="auto"/>
            </w:tcBorders>
            <w:shd w:val="clear" w:color="auto" w:fill="auto"/>
            <w:noWrap/>
            <w:vAlign w:val="center"/>
          </w:tcPr>
          <w:p w14:paraId="23FB4987" w14:textId="77777777" w:rsidR="008647ED" w:rsidRPr="004E74A6" w:rsidRDefault="008647ED" w:rsidP="00CE62C1">
            <w:pPr>
              <w:spacing w:line="276" w:lineRule="auto"/>
              <w:jc w:val="center"/>
              <w:rPr>
                <w:rFonts w:cs="Calibri"/>
                <w:color w:val="000000"/>
                <w:sz w:val="20"/>
                <w:lang w:eastAsia="es-CR"/>
              </w:rPr>
            </w:pPr>
          </w:p>
        </w:tc>
        <w:tc>
          <w:tcPr>
            <w:tcW w:w="594" w:type="pct"/>
            <w:tcBorders>
              <w:top w:val="nil"/>
              <w:left w:val="single" w:sz="4" w:space="0" w:color="auto"/>
              <w:bottom w:val="single" w:sz="4" w:space="0" w:color="auto"/>
              <w:right w:val="single" w:sz="4" w:space="0" w:color="auto"/>
            </w:tcBorders>
            <w:shd w:val="clear" w:color="auto" w:fill="auto"/>
            <w:noWrap/>
            <w:vAlign w:val="center"/>
          </w:tcPr>
          <w:p w14:paraId="7A408979" w14:textId="77777777" w:rsidR="008647ED" w:rsidRPr="004E74A6" w:rsidRDefault="008647ED" w:rsidP="00CE62C1">
            <w:pPr>
              <w:spacing w:line="276" w:lineRule="auto"/>
              <w:jc w:val="center"/>
              <w:rPr>
                <w:rFonts w:cs="Calibri"/>
                <w:color w:val="000000"/>
                <w:sz w:val="20"/>
                <w:lang w:eastAsia="es-CR"/>
              </w:rPr>
            </w:pPr>
          </w:p>
        </w:tc>
        <w:tc>
          <w:tcPr>
            <w:tcW w:w="832" w:type="pct"/>
            <w:tcBorders>
              <w:top w:val="nil"/>
              <w:left w:val="single" w:sz="4" w:space="0" w:color="auto"/>
              <w:bottom w:val="single" w:sz="4" w:space="0" w:color="auto"/>
              <w:right w:val="nil"/>
            </w:tcBorders>
            <w:shd w:val="clear" w:color="auto" w:fill="auto"/>
            <w:noWrap/>
            <w:vAlign w:val="center"/>
          </w:tcPr>
          <w:p w14:paraId="18E6CF7C" w14:textId="77777777" w:rsidR="008647ED" w:rsidRPr="004E74A6" w:rsidRDefault="008647ED" w:rsidP="00CE62C1">
            <w:pPr>
              <w:spacing w:line="276" w:lineRule="auto"/>
              <w:jc w:val="center"/>
              <w:rPr>
                <w:rFonts w:cs="Calibri"/>
                <w:color w:val="000000"/>
                <w:sz w:val="20"/>
                <w:lang w:eastAsia="es-CR"/>
              </w:rPr>
            </w:pPr>
          </w:p>
        </w:tc>
      </w:tr>
    </w:tbl>
    <w:p w14:paraId="0F3ECF33" w14:textId="77777777" w:rsidR="003E4755" w:rsidRPr="004E74A6" w:rsidRDefault="003E4755" w:rsidP="00832773">
      <w:pPr>
        <w:spacing w:line="276" w:lineRule="auto"/>
        <w:ind w:left="794" w:right="907"/>
        <w:rPr>
          <w:rFonts w:cs="Calibri"/>
          <w:i/>
          <w:iCs/>
          <w:color w:val="000000"/>
          <w:sz w:val="20"/>
          <w:lang w:eastAsia="es-CR"/>
        </w:rPr>
      </w:pPr>
      <w:r w:rsidRPr="004E74A6">
        <w:rPr>
          <w:rFonts w:cs="Calibri"/>
          <w:b/>
          <w:bCs/>
          <w:i/>
          <w:iCs/>
          <w:color w:val="000000"/>
          <w:sz w:val="20"/>
          <w:lang w:eastAsia="es-CR"/>
        </w:rPr>
        <w:t>Fuente</w:t>
      </w:r>
      <w:r w:rsidRPr="004E74A6">
        <w:rPr>
          <w:rFonts w:cs="Calibri"/>
          <w:i/>
          <w:iCs/>
          <w:color w:val="000000"/>
          <w:sz w:val="20"/>
          <w:lang w:eastAsia="es-CR"/>
        </w:rPr>
        <w:t>: Subproceso de Modernización Institucional con datos extraídos del sistema SIGMA, Dirección de Planificación.</w:t>
      </w:r>
    </w:p>
    <w:p w14:paraId="62873A8D" w14:textId="77777777" w:rsidR="00C354D2" w:rsidRPr="004E74A6" w:rsidRDefault="00C354D2" w:rsidP="00CE62C1">
      <w:pPr>
        <w:spacing w:after="160" w:line="276" w:lineRule="auto"/>
        <w:rPr>
          <w:rFonts w:cs="Calibri"/>
          <w:color w:val="000000"/>
          <w:szCs w:val="24"/>
          <w:lang w:eastAsia="es-CR"/>
        </w:rPr>
      </w:pPr>
    </w:p>
    <w:p w14:paraId="00C9973D" w14:textId="5336D845" w:rsidR="006E61F2" w:rsidRDefault="006E61F2" w:rsidP="00CE62C1">
      <w:pPr>
        <w:spacing w:after="160" w:line="276" w:lineRule="auto"/>
        <w:rPr>
          <w:rFonts w:cs="Calibri"/>
          <w:color w:val="000000"/>
          <w:szCs w:val="24"/>
          <w:lang w:eastAsia="es-CR"/>
        </w:rPr>
      </w:pPr>
      <w:r w:rsidRPr="004E74A6">
        <w:rPr>
          <w:rFonts w:cs="Calibri"/>
          <w:color w:val="000000"/>
          <w:szCs w:val="24"/>
          <w:lang w:eastAsia="es-CR"/>
        </w:rPr>
        <w:t>Con un mayor detalle es posible observar que dentro de la clase de asunto ordinario, los procedimientos ordinarios son la mayoría con el 95% de los asuntos. Como se observa de los 154 registros, solo 151 tienen el procedimiento correcto, ya que según la fórmula estadística la clase “</w:t>
      </w:r>
      <w:r w:rsidRPr="004E74A6">
        <w:rPr>
          <w:rFonts w:cs="Calibri"/>
          <w:i/>
          <w:iCs/>
          <w:color w:val="000000"/>
          <w:szCs w:val="24"/>
          <w:lang w:eastAsia="es-CR"/>
        </w:rPr>
        <w:t>ordinario</w:t>
      </w:r>
      <w:r w:rsidRPr="004E74A6">
        <w:rPr>
          <w:rFonts w:cs="Calibri"/>
          <w:color w:val="000000"/>
          <w:szCs w:val="24"/>
          <w:lang w:eastAsia="es-CR"/>
        </w:rPr>
        <w:t>” solamente tiene como procedimiento asociado “</w:t>
      </w:r>
      <w:r w:rsidRPr="004E74A6">
        <w:rPr>
          <w:rFonts w:cs="Calibri"/>
          <w:i/>
          <w:iCs/>
          <w:color w:val="000000"/>
          <w:szCs w:val="24"/>
          <w:lang w:eastAsia="es-CR"/>
        </w:rPr>
        <w:t>ordinario</w:t>
      </w:r>
      <w:r w:rsidRPr="004E74A6">
        <w:rPr>
          <w:rFonts w:cs="Calibri"/>
          <w:color w:val="000000"/>
          <w:szCs w:val="24"/>
          <w:lang w:eastAsia="es-CR"/>
        </w:rPr>
        <w:t xml:space="preserve">”. </w:t>
      </w:r>
    </w:p>
    <w:p w14:paraId="7A13BFFB" w14:textId="62B8F61E" w:rsidR="00193D21" w:rsidRDefault="00193D21" w:rsidP="00CE62C1">
      <w:pPr>
        <w:spacing w:after="160" w:line="276" w:lineRule="auto"/>
        <w:rPr>
          <w:rFonts w:cs="Calibri"/>
          <w:color w:val="000000"/>
          <w:szCs w:val="24"/>
          <w:lang w:eastAsia="es-CR"/>
        </w:rPr>
      </w:pPr>
    </w:p>
    <w:p w14:paraId="6CC6D980" w14:textId="23930654" w:rsidR="00193D21" w:rsidRDefault="00193D21" w:rsidP="00CE62C1">
      <w:pPr>
        <w:spacing w:after="160" w:line="276" w:lineRule="auto"/>
        <w:rPr>
          <w:rFonts w:cs="Calibri"/>
          <w:color w:val="000000"/>
          <w:szCs w:val="24"/>
          <w:lang w:eastAsia="es-CR"/>
        </w:rPr>
      </w:pPr>
    </w:p>
    <w:p w14:paraId="5A667DAF" w14:textId="28F0931E" w:rsidR="00193D21" w:rsidRDefault="00193D21" w:rsidP="00CE62C1">
      <w:pPr>
        <w:spacing w:after="160" w:line="276" w:lineRule="auto"/>
        <w:rPr>
          <w:rFonts w:cs="Calibri"/>
          <w:color w:val="000000"/>
          <w:szCs w:val="24"/>
          <w:lang w:eastAsia="es-CR"/>
        </w:rPr>
      </w:pPr>
    </w:p>
    <w:p w14:paraId="3048B8FF" w14:textId="70EDD2F8" w:rsidR="00193D21" w:rsidRDefault="00193D21" w:rsidP="00CE62C1">
      <w:pPr>
        <w:spacing w:after="160" w:line="276" w:lineRule="auto"/>
        <w:rPr>
          <w:rFonts w:cs="Calibri"/>
          <w:color w:val="000000"/>
          <w:szCs w:val="24"/>
          <w:lang w:eastAsia="es-CR"/>
        </w:rPr>
      </w:pPr>
    </w:p>
    <w:p w14:paraId="6EC3671B" w14:textId="5957701E" w:rsidR="00193D21" w:rsidRDefault="00193D21" w:rsidP="00CE62C1">
      <w:pPr>
        <w:spacing w:after="160" w:line="276" w:lineRule="auto"/>
        <w:rPr>
          <w:rFonts w:cs="Calibri"/>
          <w:color w:val="000000"/>
          <w:szCs w:val="24"/>
          <w:lang w:eastAsia="es-CR"/>
        </w:rPr>
      </w:pPr>
    </w:p>
    <w:p w14:paraId="0A750BBD" w14:textId="77777777" w:rsidR="00193D21" w:rsidRPr="004E74A6" w:rsidRDefault="00193D21" w:rsidP="00CE62C1">
      <w:pPr>
        <w:spacing w:after="160" w:line="276" w:lineRule="auto"/>
        <w:rPr>
          <w:rFonts w:cs="Calibri"/>
          <w:color w:val="000000"/>
          <w:szCs w:val="24"/>
          <w:lang w:eastAsia="es-CR"/>
        </w:rPr>
      </w:pPr>
    </w:p>
    <w:p w14:paraId="61196842" w14:textId="47500729" w:rsidR="002D2502" w:rsidRDefault="002D2502" w:rsidP="00F0204A">
      <w:pPr>
        <w:pStyle w:val="Descripcin"/>
        <w:keepNext/>
        <w:spacing w:line="276" w:lineRule="auto"/>
        <w:jc w:val="center"/>
        <w:rPr>
          <w:rFonts w:ascii="Book Antiqua" w:hAnsi="Book Antiqua"/>
          <w:i/>
          <w:iCs/>
          <w:sz w:val="20"/>
          <w:szCs w:val="16"/>
          <w:lang w:val="es-CR"/>
        </w:rPr>
      </w:pPr>
      <w:r w:rsidRPr="00832773">
        <w:rPr>
          <w:rFonts w:ascii="Book Antiqua" w:hAnsi="Book Antiqua"/>
          <w:i/>
          <w:iCs/>
          <w:sz w:val="20"/>
          <w:szCs w:val="16"/>
          <w:lang w:val="es-CR"/>
        </w:rPr>
        <w:lastRenderedPageBreak/>
        <w:t xml:space="preserve">Tabla </w:t>
      </w:r>
      <w:r w:rsidRPr="00832773">
        <w:rPr>
          <w:rFonts w:ascii="Book Antiqua" w:hAnsi="Book Antiqua"/>
          <w:i/>
          <w:iCs/>
          <w:sz w:val="20"/>
          <w:szCs w:val="16"/>
          <w:lang w:val="es-CR"/>
        </w:rPr>
        <w:fldChar w:fldCharType="begin"/>
      </w:r>
      <w:r w:rsidRPr="00832773">
        <w:rPr>
          <w:rFonts w:ascii="Book Antiqua" w:hAnsi="Book Antiqua"/>
          <w:i/>
          <w:iCs/>
          <w:sz w:val="20"/>
          <w:szCs w:val="16"/>
          <w:lang w:val="es-CR"/>
        </w:rPr>
        <w:instrText xml:space="preserve"> SEQ Tabla \* ARABIC </w:instrText>
      </w:r>
      <w:r w:rsidRPr="00832773">
        <w:rPr>
          <w:rFonts w:ascii="Book Antiqua" w:hAnsi="Book Antiqua"/>
          <w:i/>
          <w:iCs/>
          <w:sz w:val="20"/>
          <w:szCs w:val="16"/>
          <w:lang w:val="es-CR"/>
        </w:rPr>
        <w:fldChar w:fldCharType="separate"/>
      </w:r>
      <w:r w:rsidR="00374B51">
        <w:rPr>
          <w:rFonts w:ascii="Book Antiqua" w:hAnsi="Book Antiqua"/>
          <w:i/>
          <w:iCs/>
          <w:noProof/>
          <w:sz w:val="20"/>
          <w:szCs w:val="16"/>
          <w:lang w:val="es-CR"/>
        </w:rPr>
        <w:t>19</w:t>
      </w:r>
      <w:r w:rsidRPr="00832773">
        <w:rPr>
          <w:rFonts w:ascii="Book Antiqua" w:hAnsi="Book Antiqua"/>
          <w:i/>
          <w:iCs/>
          <w:sz w:val="20"/>
          <w:szCs w:val="16"/>
          <w:lang w:val="es-CR"/>
        </w:rPr>
        <w:fldChar w:fldCharType="end"/>
      </w:r>
      <w:r w:rsidRPr="00832773">
        <w:rPr>
          <w:rFonts w:ascii="Book Antiqua" w:hAnsi="Book Antiqua"/>
          <w:i/>
          <w:iCs/>
          <w:sz w:val="20"/>
          <w:szCs w:val="16"/>
          <w:lang w:val="es-CR"/>
        </w:rPr>
        <w:t xml:space="preserve"> Cantidad de asuntos ordinarios según procedimiento del 2019 al 2021 para el Tribunal Colegiado de Primera Instancia Civil Tercer Circuito Judicial de Alajuela, San Ramón</w:t>
      </w:r>
    </w:p>
    <w:p w14:paraId="642F7DE5" w14:textId="77777777" w:rsidR="00193D21" w:rsidRPr="00193D21" w:rsidRDefault="00193D21" w:rsidP="00193D21"/>
    <w:tbl>
      <w:tblPr>
        <w:tblW w:w="3948" w:type="pct"/>
        <w:jc w:val="center"/>
        <w:tblCellMar>
          <w:left w:w="70" w:type="dxa"/>
          <w:right w:w="70" w:type="dxa"/>
        </w:tblCellMar>
        <w:tblLook w:val="04A0" w:firstRow="1" w:lastRow="0" w:firstColumn="1" w:lastColumn="0" w:noHBand="0" w:noVBand="1"/>
      </w:tblPr>
      <w:tblGrid>
        <w:gridCol w:w="3356"/>
        <w:gridCol w:w="836"/>
        <w:gridCol w:w="835"/>
        <w:gridCol w:w="836"/>
        <w:gridCol w:w="1117"/>
      </w:tblGrid>
      <w:tr w:rsidR="003E4755" w:rsidRPr="004E74A6" w14:paraId="420983FF" w14:textId="77777777" w:rsidTr="006D4CD8">
        <w:trPr>
          <w:trHeight w:val="454"/>
          <w:jc w:val="center"/>
        </w:trPr>
        <w:tc>
          <w:tcPr>
            <w:tcW w:w="2404" w:type="pct"/>
            <w:tcBorders>
              <w:top w:val="single" w:sz="4" w:space="0" w:color="auto"/>
              <w:left w:val="nil"/>
              <w:bottom w:val="single" w:sz="4" w:space="0" w:color="auto"/>
              <w:right w:val="single" w:sz="4" w:space="0" w:color="auto"/>
            </w:tcBorders>
            <w:shd w:val="clear" w:color="auto" w:fill="auto"/>
            <w:noWrap/>
            <w:vAlign w:val="center"/>
            <w:hideMark/>
          </w:tcPr>
          <w:p w14:paraId="023AFDC7"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Ordinario</w:t>
            </w:r>
          </w:p>
        </w:tc>
        <w:tc>
          <w:tcPr>
            <w:tcW w:w="59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C265E65"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2019</w:t>
            </w:r>
          </w:p>
        </w:tc>
        <w:tc>
          <w:tcPr>
            <w:tcW w:w="59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7000B81"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2020</w:t>
            </w:r>
          </w:p>
        </w:tc>
        <w:tc>
          <w:tcPr>
            <w:tcW w:w="59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7C645D4"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2021</w:t>
            </w:r>
          </w:p>
        </w:tc>
        <w:tc>
          <w:tcPr>
            <w:tcW w:w="800" w:type="pct"/>
            <w:tcBorders>
              <w:top w:val="single" w:sz="4" w:space="0" w:color="auto"/>
              <w:left w:val="single" w:sz="4" w:space="0" w:color="auto"/>
              <w:bottom w:val="single" w:sz="4" w:space="0" w:color="auto"/>
              <w:right w:val="nil"/>
            </w:tcBorders>
            <w:shd w:val="clear" w:color="auto" w:fill="auto"/>
            <w:noWrap/>
            <w:vAlign w:val="center"/>
          </w:tcPr>
          <w:p w14:paraId="4C71BA6B" w14:textId="738011BA" w:rsidR="008647ED" w:rsidRPr="004E74A6" w:rsidRDefault="002D2502" w:rsidP="00CE62C1">
            <w:pPr>
              <w:spacing w:line="276" w:lineRule="auto"/>
              <w:jc w:val="center"/>
              <w:rPr>
                <w:rFonts w:cs="Calibri"/>
                <w:color w:val="000000"/>
                <w:sz w:val="20"/>
                <w:lang w:eastAsia="es-CR"/>
              </w:rPr>
            </w:pPr>
            <w:r w:rsidRPr="004E74A6">
              <w:rPr>
                <w:rFonts w:cs="Calibri"/>
                <w:color w:val="000000"/>
                <w:sz w:val="20"/>
                <w:lang w:eastAsia="es-CR"/>
              </w:rPr>
              <w:t>Promedio</w:t>
            </w:r>
          </w:p>
        </w:tc>
      </w:tr>
      <w:tr w:rsidR="003E4755" w:rsidRPr="004E74A6" w14:paraId="4B1B69F6" w14:textId="77777777" w:rsidTr="006D4CD8">
        <w:trPr>
          <w:trHeight w:val="288"/>
          <w:jc w:val="center"/>
        </w:trPr>
        <w:tc>
          <w:tcPr>
            <w:tcW w:w="2404" w:type="pct"/>
            <w:tcBorders>
              <w:top w:val="single" w:sz="4" w:space="0" w:color="auto"/>
              <w:left w:val="nil"/>
              <w:bottom w:val="nil"/>
              <w:right w:val="single" w:sz="4" w:space="0" w:color="auto"/>
            </w:tcBorders>
            <w:shd w:val="clear" w:color="auto" w:fill="auto"/>
            <w:noWrap/>
            <w:vAlign w:val="center"/>
          </w:tcPr>
          <w:p w14:paraId="0219A169" w14:textId="77777777" w:rsidR="008647ED" w:rsidRPr="004E74A6" w:rsidRDefault="008647ED" w:rsidP="00CE62C1">
            <w:pPr>
              <w:spacing w:line="276" w:lineRule="auto"/>
              <w:ind w:firstLineChars="200" w:firstLine="400"/>
              <w:jc w:val="center"/>
              <w:rPr>
                <w:rFonts w:cs="Calibri"/>
                <w:color w:val="000000"/>
                <w:sz w:val="20"/>
                <w:lang w:eastAsia="es-CR"/>
              </w:rPr>
            </w:pPr>
          </w:p>
        </w:tc>
        <w:tc>
          <w:tcPr>
            <w:tcW w:w="599" w:type="pct"/>
            <w:tcBorders>
              <w:top w:val="single" w:sz="4" w:space="0" w:color="auto"/>
              <w:left w:val="single" w:sz="4" w:space="0" w:color="auto"/>
              <w:bottom w:val="nil"/>
              <w:right w:val="single" w:sz="4" w:space="0" w:color="auto"/>
            </w:tcBorders>
            <w:shd w:val="clear" w:color="auto" w:fill="auto"/>
            <w:noWrap/>
            <w:vAlign w:val="center"/>
          </w:tcPr>
          <w:p w14:paraId="2C51EF78" w14:textId="77777777" w:rsidR="008647ED" w:rsidRPr="004E74A6" w:rsidRDefault="008647ED" w:rsidP="00CE62C1">
            <w:pPr>
              <w:spacing w:line="276" w:lineRule="auto"/>
              <w:jc w:val="center"/>
              <w:rPr>
                <w:rFonts w:cs="Calibri"/>
                <w:color w:val="000000"/>
                <w:sz w:val="20"/>
                <w:lang w:eastAsia="es-CR"/>
              </w:rPr>
            </w:pPr>
          </w:p>
        </w:tc>
        <w:tc>
          <w:tcPr>
            <w:tcW w:w="598" w:type="pct"/>
            <w:tcBorders>
              <w:top w:val="single" w:sz="4" w:space="0" w:color="auto"/>
              <w:left w:val="single" w:sz="4" w:space="0" w:color="auto"/>
              <w:bottom w:val="nil"/>
              <w:right w:val="single" w:sz="4" w:space="0" w:color="auto"/>
            </w:tcBorders>
            <w:shd w:val="clear" w:color="auto" w:fill="auto"/>
            <w:noWrap/>
            <w:vAlign w:val="center"/>
          </w:tcPr>
          <w:p w14:paraId="5E5C9C85" w14:textId="77777777" w:rsidR="008647ED" w:rsidRPr="004E74A6" w:rsidRDefault="008647ED" w:rsidP="00CE62C1">
            <w:pPr>
              <w:spacing w:line="276" w:lineRule="auto"/>
              <w:jc w:val="center"/>
              <w:rPr>
                <w:rFonts w:cs="Calibri"/>
                <w:color w:val="000000"/>
                <w:sz w:val="20"/>
                <w:lang w:eastAsia="es-CR"/>
              </w:rPr>
            </w:pPr>
          </w:p>
        </w:tc>
        <w:tc>
          <w:tcPr>
            <w:tcW w:w="599" w:type="pct"/>
            <w:tcBorders>
              <w:top w:val="single" w:sz="4" w:space="0" w:color="auto"/>
              <w:left w:val="single" w:sz="4" w:space="0" w:color="auto"/>
              <w:bottom w:val="nil"/>
              <w:right w:val="single" w:sz="4" w:space="0" w:color="auto"/>
            </w:tcBorders>
            <w:shd w:val="clear" w:color="auto" w:fill="auto"/>
            <w:noWrap/>
            <w:vAlign w:val="center"/>
          </w:tcPr>
          <w:p w14:paraId="21ED8790" w14:textId="77777777" w:rsidR="008647ED" w:rsidRPr="004E74A6" w:rsidRDefault="008647ED" w:rsidP="00CE62C1">
            <w:pPr>
              <w:spacing w:line="276" w:lineRule="auto"/>
              <w:jc w:val="center"/>
              <w:rPr>
                <w:sz w:val="20"/>
                <w:lang w:eastAsia="es-CR"/>
              </w:rPr>
            </w:pPr>
          </w:p>
        </w:tc>
        <w:tc>
          <w:tcPr>
            <w:tcW w:w="800" w:type="pct"/>
            <w:tcBorders>
              <w:top w:val="single" w:sz="4" w:space="0" w:color="auto"/>
              <w:left w:val="single" w:sz="4" w:space="0" w:color="auto"/>
              <w:bottom w:val="nil"/>
              <w:right w:val="nil"/>
            </w:tcBorders>
            <w:shd w:val="clear" w:color="auto" w:fill="auto"/>
            <w:noWrap/>
            <w:vAlign w:val="center"/>
          </w:tcPr>
          <w:p w14:paraId="307672B5" w14:textId="77777777" w:rsidR="008647ED" w:rsidRPr="004E74A6" w:rsidRDefault="008647ED" w:rsidP="00CE62C1">
            <w:pPr>
              <w:spacing w:line="276" w:lineRule="auto"/>
              <w:jc w:val="center"/>
              <w:rPr>
                <w:rFonts w:cs="Calibri"/>
                <w:color w:val="000000"/>
                <w:sz w:val="20"/>
                <w:lang w:eastAsia="es-CR"/>
              </w:rPr>
            </w:pPr>
          </w:p>
        </w:tc>
      </w:tr>
      <w:tr w:rsidR="003E4755" w:rsidRPr="004E74A6" w14:paraId="04DFC6A1" w14:textId="77777777" w:rsidTr="006D4CD8">
        <w:trPr>
          <w:trHeight w:val="288"/>
          <w:jc w:val="center"/>
        </w:trPr>
        <w:tc>
          <w:tcPr>
            <w:tcW w:w="2404" w:type="pct"/>
            <w:tcBorders>
              <w:top w:val="nil"/>
              <w:left w:val="nil"/>
              <w:bottom w:val="nil"/>
              <w:right w:val="single" w:sz="4" w:space="0" w:color="auto"/>
            </w:tcBorders>
            <w:shd w:val="clear" w:color="auto" w:fill="auto"/>
            <w:noWrap/>
            <w:vAlign w:val="center"/>
          </w:tcPr>
          <w:p w14:paraId="75BCE4E5" w14:textId="77777777" w:rsidR="002D2502" w:rsidRPr="004E74A6" w:rsidRDefault="002D2502" w:rsidP="00CE62C1">
            <w:pPr>
              <w:spacing w:line="276" w:lineRule="auto"/>
              <w:jc w:val="center"/>
              <w:rPr>
                <w:rFonts w:cs="Calibri"/>
                <w:color w:val="000000"/>
                <w:sz w:val="20"/>
                <w:lang w:eastAsia="es-CR"/>
              </w:rPr>
            </w:pPr>
            <w:r w:rsidRPr="004E74A6">
              <w:rPr>
                <w:rFonts w:cs="Calibri"/>
                <w:color w:val="000000"/>
                <w:sz w:val="20"/>
                <w:lang w:eastAsia="es-CR"/>
              </w:rPr>
              <w:t>Total</w:t>
            </w:r>
          </w:p>
        </w:tc>
        <w:tc>
          <w:tcPr>
            <w:tcW w:w="599" w:type="pct"/>
            <w:tcBorders>
              <w:top w:val="nil"/>
              <w:left w:val="single" w:sz="4" w:space="0" w:color="auto"/>
              <w:bottom w:val="nil"/>
              <w:right w:val="single" w:sz="4" w:space="0" w:color="auto"/>
            </w:tcBorders>
            <w:shd w:val="clear" w:color="auto" w:fill="auto"/>
            <w:noWrap/>
            <w:vAlign w:val="center"/>
          </w:tcPr>
          <w:p w14:paraId="6AA61FEC" w14:textId="496E4C56" w:rsidR="002D2502" w:rsidRPr="004E74A6" w:rsidRDefault="002D2502" w:rsidP="00CE62C1">
            <w:pPr>
              <w:spacing w:line="276" w:lineRule="auto"/>
              <w:jc w:val="center"/>
              <w:rPr>
                <w:rFonts w:cs="Calibri"/>
                <w:color w:val="000000"/>
                <w:sz w:val="20"/>
                <w:lang w:eastAsia="es-CR"/>
              </w:rPr>
            </w:pPr>
            <w:r w:rsidRPr="004E74A6">
              <w:rPr>
                <w:rFonts w:cs="Calibri"/>
                <w:color w:val="000000"/>
                <w:sz w:val="20"/>
                <w:lang w:eastAsia="es-CR"/>
              </w:rPr>
              <w:t>1</w:t>
            </w:r>
            <w:r w:rsidR="006D4CD8" w:rsidRPr="004E74A6">
              <w:rPr>
                <w:rFonts w:cs="Calibri"/>
                <w:color w:val="000000"/>
                <w:sz w:val="20"/>
                <w:lang w:eastAsia="es-CR"/>
              </w:rPr>
              <w:t>67</w:t>
            </w:r>
          </w:p>
        </w:tc>
        <w:tc>
          <w:tcPr>
            <w:tcW w:w="598" w:type="pct"/>
            <w:tcBorders>
              <w:top w:val="nil"/>
              <w:left w:val="single" w:sz="4" w:space="0" w:color="auto"/>
              <w:bottom w:val="nil"/>
              <w:right w:val="single" w:sz="4" w:space="0" w:color="auto"/>
            </w:tcBorders>
            <w:shd w:val="clear" w:color="auto" w:fill="auto"/>
            <w:noWrap/>
            <w:vAlign w:val="center"/>
          </w:tcPr>
          <w:p w14:paraId="02238EF5" w14:textId="77777777" w:rsidR="002D2502" w:rsidRPr="004E74A6" w:rsidRDefault="002D2502" w:rsidP="00CE62C1">
            <w:pPr>
              <w:spacing w:line="276" w:lineRule="auto"/>
              <w:jc w:val="center"/>
              <w:rPr>
                <w:rFonts w:cs="Calibri"/>
                <w:color w:val="000000"/>
                <w:sz w:val="20"/>
                <w:lang w:eastAsia="es-CR"/>
              </w:rPr>
            </w:pPr>
            <w:r w:rsidRPr="004E74A6">
              <w:rPr>
                <w:rFonts w:cs="Calibri"/>
                <w:color w:val="000000"/>
                <w:sz w:val="20"/>
                <w:lang w:eastAsia="es-CR"/>
              </w:rPr>
              <w:t>133</w:t>
            </w:r>
          </w:p>
        </w:tc>
        <w:tc>
          <w:tcPr>
            <w:tcW w:w="599" w:type="pct"/>
            <w:tcBorders>
              <w:top w:val="nil"/>
              <w:left w:val="single" w:sz="4" w:space="0" w:color="auto"/>
              <w:bottom w:val="nil"/>
              <w:right w:val="single" w:sz="4" w:space="0" w:color="auto"/>
            </w:tcBorders>
            <w:shd w:val="clear" w:color="auto" w:fill="auto"/>
            <w:noWrap/>
            <w:vAlign w:val="center"/>
          </w:tcPr>
          <w:p w14:paraId="293007E6" w14:textId="77777777" w:rsidR="002D2502" w:rsidRPr="004E74A6" w:rsidRDefault="002D2502" w:rsidP="00CE62C1">
            <w:pPr>
              <w:spacing w:line="276" w:lineRule="auto"/>
              <w:jc w:val="center"/>
              <w:rPr>
                <w:sz w:val="20"/>
                <w:lang w:eastAsia="es-CR"/>
              </w:rPr>
            </w:pPr>
            <w:r w:rsidRPr="004E74A6">
              <w:rPr>
                <w:rFonts w:cs="Calibri"/>
                <w:color w:val="000000"/>
                <w:sz w:val="20"/>
                <w:lang w:eastAsia="es-CR"/>
              </w:rPr>
              <w:t>157</w:t>
            </w:r>
          </w:p>
        </w:tc>
        <w:tc>
          <w:tcPr>
            <w:tcW w:w="800" w:type="pct"/>
            <w:tcBorders>
              <w:top w:val="nil"/>
              <w:left w:val="single" w:sz="4" w:space="0" w:color="auto"/>
              <w:bottom w:val="nil"/>
              <w:right w:val="nil"/>
            </w:tcBorders>
            <w:shd w:val="clear" w:color="auto" w:fill="auto"/>
            <w:noWrap/>
            <w:vAlign w:val="center"/>
          </w:tcPr>
          <w:p w14:paraId="32ABD38E" w14:textId="76828877" w:rsidR="002D2502" w:rsidRPr="004E74A6" w:rsidRDefault="002D2502" w:rsidP="00CE62C1">
            <w:pPr>
              <w:spacing w:line="276" w:lineRule="auto"/>
              <w:jc w:val="center"/>
              <w:rPr>
                <w:rFonts w:cs="Calibri"/>
                <w:color w:val="000000"/>
                <w:sz w:val="20"/>
                <w:lang w:eastAsia="es-CR"/>
              </w:rPr>
            </w:pPr>
            <w:r w:rsidRPr="004E74A6">
              <w:rPr>
                <w:rFonts w:cs="Calibri"/>
                <w:color w:val="000000"/>
                <w:sz w:val="20"/>
              </w:rPr>
              <w:t>15</w:t>
            </w:r>
            <w:r w:rsidR="006D4CD8" w:rsidRPr="004E74A6">
              <w:rPr>
                <w:rFonts w:cs="Calibri"/>
                <w:color w:val="000000"/>
                <w:sz w:val="20"/>
              </w:rPr>
              <w:t>2</w:t>
            </w:r>
          </w:p>
        </w:tc>
      </w:tr>
      <w:tr w:rsidR="003E4755" w:rsidRPr="004E74A6" w14:paraId="6B35272F" w14:textId="77777777" w:rsidTr="006D4CD8">
        <w:trPr>
          <w:trHeight w:val="288"/>
          <w:jc w:val="center"/>
        </w:trPr>
        <w:tc>
          <w:tcPr>
            <w:tcW w:w="2404" w:type="pct"/>
            <w:tcBorders>
              <w:top w:val="nil"/>
              <w:left w:val="nil"/>
              <w:bottom w:val="nil"/>
              <w:right w:val="single" w:sz="4" w:space="0" w:color="auto"/>
            </w:tcBorders>
            <w:shd w:val="clear" w:color="auto" w:fill="auto"/>
            <w:noWrap/>
            <w:vAlign w:val="bottom"/>
          </w:tcPr>
          <w:p w14:paraId="17D3D260" w14:textId="77777777" w:rsidR="002D2502" w:rsidRPr="004E74A6" w:rsidRDefault="002D2502" w:rsidP="00CE62C1">
            <w:pPr>
              <w:spacing w:line="276" w:lineRule="auto"/>
              <w:ind w:firstLineChars="200" w:firstLine="400"/>
              <w:jc w:val="left"/>
              <w:rPr>
                <w:rFonts w:cs="Calibri"/>
                <w:color w:val="000000"/>
                <w:sz w:val="20"/>
                <w:lang w:eastAsia="es-CR"/>
              </w:rPr>
            </w:pPr>
          </w:p>
        </w:tc>
        <w:tc>
          <w:tcPr>
            <w:tcW w:w="599" w:type="pct"/>
            <w:tcBorders>
              <w:top w:val="nil"/>
              <w:left w:val="single" w:sz="4" w:space="0" w:color="auto"/>
              <w:bottom w:val="nil"/>
              <w:right w:val="single" w:sz="4" w:space="0" w:color="auto"/>
            </w:tcBorders>
            <w:shd w:val="clear" w:color="auto" w:fill="auto"/>
            <w:noWrap/>
            <w:vAlign w:val="center"/>
          </w:tcPr>
          <w:p w14:paraId="343A7615" w14:textId="77777777" w:rsidR="002D2502" w:rsidRPr="004E74A6" w:rsidRDefault="002D2502" w:rsidP="00CE62C1">
            <w:pPr>
              <w:spacing w:line="276" w:lineRule="auto"/>
              <w:jc w:val="center"/>
              <w:rPr>
                <w:rFonts w:cs="Calibri"/>
                <w:color w:val="000000"/>
                <w:sz w:val="20"/>
                <w:lang w:eastAsia="es-CR"/>
              </w:rPr>
            </w:pPr>
          </w:p>
        </w:tc>
        <w:tc>
          <w:tcPr>
            <w:tcW w:w="598" w:type="pct"/>
            <w:tcBorders>
              <w:top w:val="nil"/>
              <w:left w:val="single" w:sz="4" w:space="0" w:color="auto"/>
              <w:bottom w:val="nil"/>
              <w:right w:val="single" w:sz="4" w:space="0" w:color="auto"/>
            </w:tcBorders>
            <w:shd w:val="clear" w:color="auto" w:fill="auto"/>
            <w:noWrap/>
            <w:vAlign w:val="center"/>
          </w:tcPr>
          <w:p w14:paraId="41D0C8DD" w14:textId="77777777" w:rsidR="002D2502" w:rsidRPr="004E74A6" w:rsidRDefault="002D2502" w:rsidP="00CE62C1">
            <w:pPr>
              <w:spacing w:line="276" w:lineRule="auto"/>
              <w:jc w:val="center"/>
              <w:rPr>
                <w:rFonts w:cs="Calibri"/>
                <w:color w:val="000000"/>
                <w:sz w:val="20"/>
                <w:lang w:eastAsia="es-CR"/>
              </w:rPr>
            </w:pPr>
          </w:p>
        </w:tc>
        <w:tc>
          <w:tcPr>
            <w:tcW w:w="599" w:type="pct"/>
            <w:tcBorders>
              <w:top w:val="nil"/>
              <w:left w:val="single" w:sz="4" w:space="0" w:color="auto"/>
              <w:bottom w:val="nil"/>
              <w:right w:val="single" w:sz="4" w:space="0" w:color="auto"/>
            </w:tcBorders>
            <w:shd w:val="clear" w:color="auto" w:fill="auto"/>
            <w:noWrap/>
            <w:vAlign w:val="center"/>
          </w:tcPr>
          <w:p w14:paraId="01B699D6" w14:textId="77777777" w:rsidR="002D2502" w:rsidRPr="004E74A6" w:rsidRDefault="002D2502" w:rsidP="00CE62C1">
            <w:pPr>
              <w:spacing w:line="276" w:lineRule="auto"/>
              <w:jc w:val="center"/>
              <w:rPr>
                <w:sz w:val="20"/>
                <w:lang w:eastAsia="es-CR"/>
              </w:rPr>
            </w:pPr>
          </w:p>
        </w:tc>
        <w:tc>
          <w:tcPr>
            <w:tcW w:w="800" w:type="pct"/>
            <w:tcBorders>
              <w:top w:val="nil"/>
              <w:left w:val="single" w:sz="4" w:space="0" w:color="auto"/>
              <w:bottom w:val="nil"/>
              <w:right w:val="nil"/>
            </w:tcBorders>
            <w:shd w:val="clear" w:color="auto" w:fill="auto"/>
            <w:noWrap/>
            <w:vAlign w:val="center"/>
          </w:tcPr>
          <w:p w14:paraId="55384829" w14:textId="77777777" w:rsidR="002D2502" w:rsidRPr="004E74A6" w:rsidRDefault="002D2502" w:rsidP="00CE62C1">
            <w:pPr>
              <w:spacing w:line="276" w:lineRule="auto"/>
              <w:jc w:val="center"/>
              <w:rPr>
                <w:rFonts w:cs="Calibri"/>
                <w:color w:val="000000"/>
                <w:sz w:val="20"/>
                <w:lang w:eastAsia="es-CR"/>
              </w:rPr>
            </w:pPr>
          </w:p>
        </w:tc>
      </w:tr>
      <w:tr w:rsidR="006D4CD8" w:rsidRPr="004E74A6" w14:paraId="707ADF45" w14:textId="77777777" w:rsidTr="006D4CD8">
        <w:trPr>
          <w:trHeight w:val="288"/>
          <w:jc w:val="center"/>
        </w:trPr>
        <w:tc>
          <w:tcPr>
            <w:tcW w:w="2404" w:type="pct"/>
            <w:tcBorders>
              <w:top w:val="nil"/>
              <w:left w:val="nil"/>
              <w:bottom w:val="nil"/>
              <w:right w:val="single" w:sz="4" w:space="0" w:color="auto"/>
            </w:tcBorders>
            <w:shd w:val="clear" w:color="auto" w:fill="auto"/>
            <w:noWrap/>
            <w:vAlign w:val="bottom"/>
            <w:hideMark/>
          </w:tcPr>
          <w:p w14:paraId="712D2231" w14:textId="77777777" w:rsidR="006D4CD8" w:rsidRPr="004E74A6" w:rsidRDefault="006D4CD8" w:rsidP="00CE62C1">
            <w:pPr>
              <w:spacing w:line="276" w:lineRule="auto"/>
              <w:ind w:firstLineChars="200" w:firstLine="400"/>
              <w:jc w:val="left"/>
              <w:rPr>
                <w:rFonts w:cs="Calibri"/>
                <w:color w:val="000000"/>
                <w:sz w:val="20"/>
                <w:lang w:eastAsia="es-CR"/>
              </w:rPr>
            </w:pPr>
            <w:r w:rsidRPr="004E74A6">
              <w:rPr>
                <w:rFonts w:cs="Calibri"/>
                <w:color w:val="000000"/>
                <w:sz w:val="20"/>
                <w:lang w:eastAsia="es-CR"/>
              </w:rPr>
              <w:t>Interdicto</w:t>
            </w:r>
          </w:p>
        </w:tc>
        <w:tc>
          <w:tcPr>
            <w:tcW w:w="599" w:type="pct"/>
            <w:tcBorders>
              <w:top w:val="nil"/>
              <w:left w:val="single" w:sz="4" w:space="0" w:color="auto"/>
              <w:bottom w:val="nil"/>
              <w:right w:val="single" w:sz="4" w:space="0" w:color="auto"/>
            </w:tcBorders>
            <w:shd w:val="clear" w:color="auto" w:fill="auto"/>
            <w:noWrap/>
            <w:vAlign w:val="center"/>
            <w:hideMark/>
          </w:tcPr>
          <w:p w14:paraId="6B85B632" w14:textId="0FEAC681" w:rsidR="006D4CD8" w:rsidRPr="004E74A6" w:rsidRDefault="006D4CD8" w:rsidP="00CE62C1">
            <w:pPr>
              <w:spacing w:line="276" w:lineRule="auto"/>
              <w:jc w:val="center"/>
              <w:rPr>
                <w:rFonts w:cs="Calibri"/>
                <w:color w:val="000000"/>
                <w:sz w:val="20"/>
                <w:lang w:eastAsia="es-CR"/>
              </w:rPr>
            </w:pPr>
            <w:r w:rsidRPr="004E74A6">
              <w:rPr>
                <w:rFonts w:cs="Calibri"/>
                <w:color w:val="000000"/>
                <w:sz w:val="20"/>
              </w:rPr>
              <w:t>1</w:t>
            </w:r>
          </w:p>
        </w:tc>
        <w:tc>
          <w:tcPr>
            <w:tcW w:w="598" w:type="pct"/>
            <w:tcBorders>
              <w:top w:val="nil"/>
              <w:left w:val="single" w:sz="4" w:space="0" w:color="auto"/>
              <w:bottom w:val="nil"/>
              <w:right w:val="single" w:sz="4" w:space="0" w:color="auto"/>
            </w:tcBorders>
            <w:shd w:val="clear" w:color="auto" w:fill="auto"/>
            <w:noWrap/>
            <w:vAlign w:val="center"/>
            <w:hideMark/>
          </w:tcPr>
          <w:p w14:paraId="03AB9ADF" w14:textId="3CCDF7D7" w:rsidR="006D4CD8" w:rsidRPr="004E74A6" w:rsidRDefault="006D4CD8" w:rsidP="00CE62C1">
            <w:pPr>
              <w:spacing w:line="276" w:lineRule="auto"/>
              <w:jc w:val="center"/>
              <w:rPr>
                <w:rFonts w:cs="Calibri"/>
                <w:color w:val="000000"/>
                <w:sz w:val="20"/>
                <w:lang w:eastAsia="es-CR"/>
              </w:rPr>
            </w:pPr>
            <w:r w:rsidRPr="004E74A6">
              <w:rPr>
                <w:rFonts w:cs="Calibri"/>
                <w:color w:val="000000"/>
                <w:sz w:val="20"/>
              </w:rPr>
              <w:t>0</w:t>
            </w:r>
          </w:p>
        </w:tc>
        <w:tc>
          <w:tcPr>
            <w:tcW w:w="599" w:type="pct"/>
            <w:tcBorders>
              <w:top w:val="nil"/>
              <w:left w:val="single" w:sz="4" w:space="0" w:color="auto"/>
              <w:bottom w:val="nil"/>
              <w:right w:val="single" w:sz="4" w:space="0" w:color="auto"/>
            </w:tcBorders>
            <w:shd w:val="clear" w:color="auto" w:fill="auto"/>
            <w:noWrap/>
            <w:vAlign w:val="center"/>
            <w:hideMark/>
          </w:tcPr>
          <w:p w14:paraId="6961167B" w14:textId="44A9B6B1" w:rsidR="006D4CD8" w:rsidRPr="004E74A6" w:rsidRDefault="006D4CD8" w:rsidP="00CE62C1">
            <w:pPr>
              <w:spacing w:line="276" w:lineRule="auto"/>
              <w:jc w:val="center"/>
              <w:rPr>
                <w:sz w:val="20"/>
                <w:lang w:eastAsia="es-CR"/>
              </w:rPr>
            </w:pPr>
            <w:r w:rsidRPr="004E74A6">
              <w:rPr>
                <w:rFonts w:cs="Calibri"/>
                <w:color w:val="000000"/>
                <w:sz w:val="20"/>
              </w:rPr>
              <w:t>0</w:t>
            </w:r>
          </w:p>
        </w:tc>
        <w:tc>
          <w:tcPr>
            <w:tcW w:w="800" w:type="pct"/>
            <w:tcBorders>
              <w:top w:val="nil"/>
              <w:left w:val="single" w:sz="4" w:space="0" w:color="auto"/>
              <w:bottom w:val="nil"/>
              <w:right w:val="nil"/>
            </w:tcBorders>
            <w:shd w:val="clear" w:color="auto" w:fill="auto"/>
            <w:noWrap/>
            <w:vAlign w:val="center"/>
            <w:hideMark/>
          </w:tcPr>
          <w:p w14:paraId="4CA852BC" w14:textId="4E52475B" w:rsidR="006D4CD8" w:rsidRPr="004E74A6" w:rsidRDefault="006D4CD8" w:rsidP="00CE62C1">
            <w:pPr>
              <w:spacing w:line="276" w:lineRule="auto"/>
              <w:jc w:val="center"/>
              <w:rPr>
                <w:rFonts w:cs="Calibri"/>
                <w:color w:val="000000"/>
                <w:sz w:val="20"/>
                <w:lang w:eastAsia="es-CR"/>
              </w:rPr>
            </w:pPr>
            <w:r w:rsidRPr="004E74A6">
              <w:rPr>
                <w:rFonts w:cs="Calibri"/>
                <w:color w:val="000000"/>
                <w:sz w:val="20"/>
              </w:rPr>
              <w:t>0,3</w:t>
            </w:r>
          </w:p>
        </w:tc>
      </w:tr>
      <w:tr w:rsidR="006D4CD8" w:rsidRPr="004E74A6" w14:paraId="157C6ADE" w14:textId="77777777" w:rsidTr="006D4CD8">
        <w:trPr>
          <w:trHeight w:val="288"/>
          <w:jc w:val="center"/>
        </w:trPr>
        <w:tc>
          <w:tcPr>
            <w:tcW w:w="2404" w:type="pct"/>
            <w:tcBorders>
              <w:top w:val="nil"/>
              <w:left w:val="nil"/>
              <w:bottom w:val="nil"/>
              <w:right w:val="single" w:sz="4" w:space="0" w:color="auto"/>
            </w:tcBorders>
            <w:shd w:val="clear" w:color="auto" w:fill="auto"/>
            <w:noWrap/>
            <w:vAlign w:val="bottom"/>
            <w:hideMark/>
          </w:tcPr>
          <w:p w14:paraId="34D44644" w14:textId="77777777" w:rsidR="006D4CD8" w:rsidRPr="004E74A6" w:rsidRDefault="006D4CD8" w:rsidP="00CE62C1">
            <w:pPr>
              <w:spacing w:line="276" w:lineRule="auto"/>
              <w:ind w:firstLineChars="200" w:firstLine="400"/>
              <w:jc w:val="left"/>
              <w:rPr>
                <w:rFonts w:cs="Calibri"/>
                <w:color w:val="000000"/>
                <w:sz w:val="20"/>
                <w:lang w:eastAsia="es-CR"/>
              </w:rPr>
            </w:pPr>
            <w:r w:rsidRPr="004E74A6">
              <w:rPr>
                <w:rFonts w:cs="Calibri"/>
                <w:color w:val="000000"/>
                <w:sz w:val="20"/>
                <w:lang w:eastAsia="es-CR"/>
              </w:rPr>
              <w:t>Liquidación persona jurídica</w:t>
            </w:r>
          </w:p>
        </w:tc>
        <w:tc>
          <w:tcPr>
            <w:tcW w:w="599" w:type="pct"/>
            <w:tcBorders>
              <w:top w:val="nil"/>
              <w:left w:val="single" w:sz="4" w:space="0" w:color="auto"/>
              <w:bottom w:val="nil"/>
              <w:right w:val="single" w:sz="4" w:space="0" w:color="auto"/>
            </w:tcBorders>
            <w:shd w:val="clear" w:color="auto" w:fill="auto"/>
            <w:noWrap/>
            <w:vAlign w:val="center"/>
            <w:hideMark/>
          </w:tcPr>
          <w:p w14:paraId="4E985D45" w14:textId="171021AE" w:rsidR="006D4CD8" w:rsidRPr="004E74A6" w:rsidRDefault="006D4CD8" w:rsidP="00CE62C1">
            <w:pPr>
              <w:spacing w:line="276" w:lineRule="auto"/>
              <w:jc w:val="center"/>
              <w:rPr>
                <w:rFonts w:cs="Calibri"/>
                <w:color w:val="000000"/>
                <w:sz w:val="20"/>
                <w:lang w:eastAsia="es-CR"/>
              </w:rPr>
            </w:pPr>
            <w:r w:rsidRPr="004E74A6">
              <w:rPr>
                <w:rFonts w:cs="Calibri"/>
                <w:color w:val="000000"/>
                <w:sz w:val="20"/>
              </w:rPr>
              <w:t>1</w:t>
            </w:r>
          </w:p>
        </w:tc>
        <w:tc>
          <w:tcPr>
            <w:tcW w:w="598" w:type="pct"/>
            <w:tcBorders>
              <w:top w:val="nil"/>
              <w:left w:val="single" w:sz="4" w:space="0" w:color="auto"/>
              <w:bottom w:val="nil"/>
              <w:right w:val="single" w:sz="4" w:space="0" w:color="auto"/>
            </w:tcBorders>
            <w:shd w:val="clear" w:color="auto" w:fill="auto"/>
            <w:noWrap/>
            <w:vAlign w:val="center"/>
            <w:hideMark/>
          </w:tcPr>
          <w:p w14:paraId="463EED3E" w14:textId="60E8C9D4" w:rsidR="006D4CD8" w:rsidRPr="004E74A6" w:rsidRDefault="006D4CD8" w:rsidP="00CE62C1">
            <w:pPr>
              <w:spacing w:line="276" w:lineRule="auto"/>
              <w:jc w:val="center"/>
              <w:rPr>
                <w:rFonts w:cs="Calibri"/>
                <w:color w:val="000000"/>
                <w:sz w:val="20"/>
                <w:lang w:eastAsia="es-CR"/>
              </w:rPr>
            </w:pPr>
            <w:r w:rsidRPr="004E74A6">
              <w:rPr>
                <w:rFonts w:cs="Calibri"/>
                <w:color w:val="000000"/>
                <w:sz w:val="20"/>
              </w:rPr>
              <w:t>0</w:t>
            </w:r>
          </w:p>
        </w:tc>
        <w:tc>
          <w:tcPr>
            <w:tcW w:w="599" w:type="pct"/>
            <w:tcBorders>
              <w:top w:val="nil"/>
              <w:left w:val="single" w:sz="4" w:space="0" w:color="auto"/>
              <w:bottom w:val="nil"/>
              <w:right w:val="single" w:sz="4" w:space="0" w:color="auto"/>
            </w:tcBorders>
            <w:shd w:val="clear" w:color="auto" w:fill="auto"/>
            <w:noWrap/>
            <w:vAlign w:val="center"/>
            <w:hideMark/>
          </w:tcPr>
          <w:p w14:paraId="772040CE" w14:textId="5D93BE01" w:rsidR="006D4CD8" w:rsidRPr="004E74A6" w:rsidRDefault="006D4CD8" w:rsidP="00CE62C1">
            <w:pPr>
              <w:spacing w:line="276" w:lineRule="auto"/>
              <w:jc w:val="center"/>
              <w:rPr>
                <w:sz w:val="20"/>
                <w:lang w:eastAsia="es-CR"/>
              </w:rPr>
            </w:pPr>
            <w:r w:rsidRPr="004E74A6">
              <w:rPr>
                <w:rFonts w:cs="Calibri"/>
                <w:color w:val="000000"/>
                <w:sz w:val="20"/>
              </w:rPr>
              <w:t>0</w:t>
            </w:r>
          </w:p>
        </w:tc>
        <w:tc>
          <w:tcPr>
            <w:tcW w:w="800" w:type="pct"/>
            <w:tcBorders>
              <w:top w:val="nil"/>
              <w:left w:val="single" w:sz="4" w:space="0" w:color="auto"/>
              <w:bottom w:val="nil"/>
              <w:right w:val="nil"/>
            </w:tcBorders>
            <w:shd w:val="clear" w:color="auto" w:fill="auto"/>
            <w:noWrap/>
            <w:vAlign w:val="center"/>
            <w:hideMark/>
          </w:tcPr>
          <w:p w14:paraId="2B632482" w14:textId="2C1C3EAB" w:rsidR="006D4CD8" w:rsidRPr="004E74A6" w:rsidRDefault="006D4CD8" w:rsidP="00CE62C1">
            <w:pPr>
              <w:spacing w:line="276" w:lineRule="auto"/>
              <w:jc w:val="center"/>
              <w:rPr>
                <w:rFonts w:cs="Calibri"/>
                <w:color w:val="000000"/>
                <w:sz w:val="20"/>
                <w:lang w:eastAsia="es-CR"/>
              </w:rPr>
            </w:pPr>
            <w:r w:rsidRPr="004E74A6">
              <w:rPr>
                <w:rFonts w:cs="Calibri"/>
                <w:color w:val="000000"/>
                <w:sz w:val="20"/>
              </w:rPr>
              <w:t>0,3</w:t>
            </w:r>
          </w:p>
        </w:tc>
      </w:tr>
      <w:tr w:rsidR="006D4CD8" w:rsidRPr="004E74A6" w14:paraId="061E1E9E" w14:textId="77777777" w:rsidTr="006D4CD8">
        <w:trPr>
          <w:trHeight w:val="288"/>
          <w:jc w:val="center"/>
        </w:trPr>
        <w:tc>
          <w:tcPr>
            <w:tcW w:w="2404" w:type="pct"/>
            <w:tcBorders>
              <w:top w:val="nil"/>
              <w:left w:val="nil"/>
              <w:bottom w:val="nil"/>
              <w:right w:val="single" w:sz="4" w:space="0" w:color="auto"/>
            </w:tcBorders>
            <w:shd w:val="clear" w:color="auto" w:fill="C5E0B3" w:themeFill="accent6" w:themeFillTint="66"/>
            <w:noWrap/>
            <w:vAlign w:val="bottom"/>
            <w:hideMark/>
          </w:tcPr>
          <w:p w14:paraId="611C7FBE" w14:textId="77777777" w:rsidR="006D4CD8" w:rsidRPr="004E74A6" w:rsidRDefault="006D4CD8" w:rsidP="00CE62C1">
            <w:pPr>
              <w:spacing w:line="276" w:lineRule="auto"/>
              <w:ind w:firstLineChars="200" w:firstLine="400"/>
              <w:jc w:val="left"/>
              <w:rPr>
                <w:rFonts w:cs="Calibri"/>
                <w:color w:val="000000"/>
                <w:sz w:val="20"/>
                <w:lang w:eastAsia="es-CR"/>
              </w:rPr>
            </w:pPr>
            <w:r w:rsidRPr="004E74A6">
              <w:rPr>
                <w:rFonts w:cs="Calibri"/>
                <w:color w:val="000000"/>
                <w:sz w:val="20"/>
                <w:lang w:eastAsia="es-CR"/>
              </w:rPr>
              <w:t>Ordinario</w:t>
            </w:r>
          </w:p>
        </w:tc>
        <w:tc>
          <w:tcPr>
            <w:tcW w:w="599" w:type="pct"/>
            <w:tcBorders>
              <w:top w:val="nil"/>
              <w:left w:val="single" w:sz="4" w:space="0" w:color="auto"/>
              <w:bottom w:val="nil"/>
              <w:right w:val="single" w:sz="4" w:space="0" w:color="auto"/>
            </w:tcBorders>
            <w:shd w:val="clear" w:color="auto" w:fill="C5E0B3" w:themeFill="accent6" w:themeFillTint="66"/>
            <w:noWrap/>
            <w:vAlign w:val="center"/>
            <w:hideMark/>
          </w:tcPr>
          <w:p w14:paraId="1D5D859A" w14:textId="66EFCD45" w:rsidR="006D4CD8" w:rsidRPr="004E74A6" w:rsidRDefault="006D4CD8" w:rsidP="00CE62C1">
            <w:pPr>
              <w:spacing w:line="276" w:lineRule="auto"/>
              <w:jc w:val="center"/>
              <w:rPr>
                <w:rFonts w:cs="Calibri"/>
                <w:color w:val="000000"/>
                <w:sz w:val="20"/>
                <w:lang w:eastAsia="es-CR"/>
              </w:rPr>
            </w:pPr>
            <w:r w:rsidRPr="004E74A6">
              <w:rPr>
                <w:rFonts w:cs="Calibri"/>
                <w:color w:val="000000"/>
                <w:sz w:val="20"/>
              </w:rPr>
              <w:t>164</w:t>
            </w:r>
          </w:p>
        </w:tc>
        <w:tc>
          <w:tcPr>
            <w:tcW w:w="598" w:type="pct"/>
            <w:tcBorders>
              <w:top w:val="nil"/>
              <w:left w:val="single" w:sz="4" w:space="0" w:color="auto"/>
              <w:bottom w:val="nil"/>
              <w:right w:val="single" w:sz="4" w:space="0" w:color="auto"/>
            </w:tcBorders>
            <w:shd w:val="clear" w:color="auto" w:fill="C5E0B3" w:themeFill="accent6" w:themeFillTint="66"/>
            <w:noWrap/>
            <w:vAlign w:val="center"/>
            <w:hideMark/>
          </w:tcPr>
          <w:p w14:paraId="27DB15CD" w14:textId="3470EE8A" w:rsidR="006D4CD8" w:rsidRPr="004E74A6" w:rsidRDefault="006D4CD8" w:rsidP="00CE62C1">
            <w:pPr>
              <w:spacing w:line="276" w:lineRule="auto"/>
              <w:jc w:val="center"/>
              <w:rPr>
                <w:rFonts w:cs="Calibri"/>
                <w:color w:val="000000"/>
                <w:sz w:val="20"/>
                <w:lang w:eastAsia="es-CR"/>
              </w:rPr>
            </w:pPr>
            <w:r w:rsidRPr="004E74A6">
              <w:rPr>
                <w:rFonts w:cs="Calibri"/>
                <w:color w:val="000000"/>
                <w:sz w:val="20"/>
              </w:rPr>
              <w:t>132</w:t>
            </w:r>
          </w:p>
        </w:tc>
        <w:tc>
          <w:tcPr>
            <w:tcW w:w="599" w:type="pct"/>
            <w:tcBorders>
              <w:top w:val="nil"/>
              <w:left w:val="single" w:sz="4" w:space="0" w:color="auto"/>
              <w:bottom w:val="nil"/>
              <w:right w:val="single" w:sz="4" w:space="0" w:color="auto"/>
            </w:tcBorders>
            <w:shd w:val="clear" w:color="auto" w:fill="C5E0B3" w:themeFill="accent6" w:themeFillTint="66"/>
            <w:noWrap/>
            <w:vAlign w:val="center"/>
            <w:hideMark/>
          </w:tcPr>
          <w:p w14:paraId="1AE01D6F" w14:textId="0CEDE09A" w:rsidR="006D4CD8" w:rsidRPr="004E74A6" w:rsidRDefault="006D4CD8" w:rsidP="00CE62C1">
            <w:pPr>
              <w:spacing w:line="276" w:lineRule="auto"/>
              <w:jc w:val="center"/>
              <w:rPr>
                <w:rFonts w:cs="Calibri"/>
                <w:color w:val="000000"/>
                <w:sz w:val="20"/>
                <w:lang w:eastAsia="es-CR"/>
              </w:rPr>
            </w:pPr>
            <w:r w:rsidRPr="004E74A6">
              <w:rPr>
                <w:rFonts w:cs="Calibri"/>
                <w:color w:val="000000"/>
                <w:sz w:val="20"/>
              </w:rPr>
              <w:t>156</w:t>
            </w:r>
          </w:p>
        </w:tc>
        <w:tc>
          <w:tcPr>
            <w:tcW w:w="800" w:type="pct"/>
            <w:tcBorders>
              <w:top w:val="nil"/>
              <w:left w:val="single" w:sz="4" w:space="0" w:color="auto"/>
              <w:bottom w:val="nil"/>
              <w:right w:val="nil"/>
            </w:tcBorders>
            <w:shd w:val="clear" w:color="auto" w:fill="C5E0B3" w:themeFill="accent6" w:themeFillTint="66"/>
            <w:noWrap/>
            <w:vAlign w:val="center"/>
            <w:hideMark/>
          </w:tcPr>
          <w:p w14:paraId="22D5FB80" w14:textId="2AC2B7CE" w:rsidR="006D4CD8" w:rsidRPr="004E74A6" w:rsidRDefault="006D4CD8" w:rsidP="00CE62C1">
            <w:pPr>
              <w:spacing w:line="276" w:lineRule="auto"/>
              <w:jc w:val="center"/>
              <w:rPr>
                <w:rFonts w:cs="Calibri"/>
                <w:color w:val="000000"/>
                <w:sz w:val="20"/>
                <w:lang w:eastAsia="es-CR"/>
              </w:rPr>
            </w:pPr>
            <w:r w:rsidRPr="004E74A6">
              <w:rPr>
                <w:rFonts w:cs="Calibri"/>
                <w:color w:val="000000"/>
                <w:sz w:val="20"/>
              </w:rPr>
              <w:t>151</w:t>
            </w:r>
          </w:p>
        </w:tc>
      </w:tr>
      <w:tr w:rsidR="006D4CD8" w:rsidRPr="004E74A6" w14:paraId="19933BAB" w14:textId="77777777" w:rsidTr="006D4CD8">
        <w:trPr>
          <w:trHeight w:val="288"/>
          <w:jc w:val="center"/>
        </w:trPr>
        <w:tc>
          <w:tcPr>
            <w:tcW w:w="2404" w:type="pct"/>
            <w:tcBorders>
              <w:top w:val="nil"/>
              <w:left w:val="nil"/>
              <w:bottom w:val="nil"/>
              <w:right w:val="single" w:sz="4" w:space="0" w:color="auto"/>
            </w:tcBorders>
            <w:shd w:val="clear" w:color="auto" w:fill="auto"/>
            <w:noWrap/>
            <w:vAlign w:val="bottom"/>
            <w:hideMark/>
          </w:tcPr>
          <w:p w14:paraId="3E1AC082" w14:textId="77777777" w:rsidR="006D4CD8" w:rsidRPr="004E74A6" w:rsidRDefault="006D4CD8" w:rsidP="00CE62C1">
            <w:pPr>
              <w:spacing w:line="276" w:lineRule="auto"/>
              <w:ind w:firstLineChars="200" w:firstLine="400"/>
              <w:jc w:val="left"/>
              <w:rPr>
                <w:rFonts w:cs="Calibri"/>
                <w:color w:val="000000"/>
                <w:sz w:val="20"/>
                <w:lang w:eastAsia="es-CR"/>
              </w:rPr>
            </w:pPr>
            <w:r w:rsidRPr="004E74A6">
              <w:rPr>
                <w:rFonts w:cs="Calibri"/>
                <w:color w:val="000000"/>
                <w:sz w:val="20"/>
                <w:lang w:eastAsia="es-CR"/>
              </w:rPr>
              <w:t>Sucesorio</w:t>
            </w:r>
          </w:p>
        </w:tc>
        <w:tc>
          <w:tcPr>
            <w:tcW w:w="599" w:type="pct"/>
            <w:tcBorders>
              <w:top w:val="nil"/>
              <w:left w:val="single" w:sz="4" w:space="0" w:color="auto"/>
              <w:bottom w:val="nil"/>
              <w:right w:val="single" w:sz="4" w:space="0" w:color="auto"/>
            </w:tcBorders>
            <w:shd w:val="clear" w:color="auto" w:fill="auto"/>
            <w:noWrap/>
            <w:vAlign w:val="center"/>
            <w:hideMark/>
          </w:tcPr>
          <w:p w14:paraId="23580C27" w14:textId="53978E0E" w:rsidR="006D4CD8" w:rsidRPr="004E74A6" w:rsidRDefault="006D4CD8" w:rsidP="00CE62C1">
            <w:pPr>
              <w:spacing w:line="276" w:lineRule="auto"/>
              <w:jc w:val="center"/>
              <w:rPr>
                <w:rFonts w:cs="Calibri"/>
                <w:color w:val="000000"/>
                <w:sz w:val="20"/>
                <w:lang w:eastAsia="es-CR"/>
              </w:rPr>
            </w:pPr>
            <w:r w:rsidRPr="004E74A6">
              <w:rPr>
                <w:rFonts w:cs="Calibri"/>
                <w:color w:val="000000"/>
                <w:sz w:val="20"/>
              </w:rPr>
              <w:t>1</w:t>
            </w:r>
          </w:p>
        </w:tc>
        <w:tc>
          <w:tcPr>
            <w:tcW w:w="598" w:type="pct"/>
            <w:tcBorders>
              <w:top w:val="nil"/>
              <w:left w:val="single" w:sz="4" w:space="0" w:color="auto"/>
              <w:bottom w:val="nil"/>
              <w:right w:val="single" w:sz="4" w:space="0" w:color="auto"/>
            </w:tcBorders>
            <w:shd w:val="clear" w:color="auto" w:fill="auto"/>
            <w:noWrap/>
            <w:vAlign w:val="center"/>
            <w:hideMark/>
          </w:tcPr>
          <w:p w14:paraId="03D6EE3E" w14:textId="1FD1B899" w:rsidR="006D4CD8" w:rsidRPr="004E74A6" w:rsidRDefault="006D4CD8" w:rsidP="00CE62C1">
            <w:pPr>
              <w:spacing w:line="276" w:lineRule="auto"/>
              <w:jc w:val="center"/>
              <w:rPr>
                <w:rFonts w:cs="Calibri"/>
                <w:color w:val="000000"/>
                <w:sz w:val="20"/>
                <w:lang w:eastAsia="es-CR"/>
              </w:rPr>
            </w:pPr>
            <w:r w:rsidRPr="004E74A6">
              <w:rPr>
                <w:rFonts w:cs="Calibri"/>
                <w:color w:val="000000"/>
                <w:sz w:val="20"/>
              </w:rPr>
              <w:t>1</w:t>
            </w:r>
          </w:p>
        </w:tc>
        <w:tc>
          <w:tcPr>
            <w:tcW w:w="599" w:type="pct"/>
            <w:tcBorders>
              <w:top w:val="nil"/>
              <w:left w:val="single" w:sz="4" w:space="0" w:color="auto"/>
              <w:bottom w:val="nil"/>
              <w:right w:val="single" w:sz="4" w:space="0" w:color="auto"/>
            </w:tcBorders>
            <w:shd w:val="clear" w:color="auto" w:fill="auto"/>
            <w:noWrap/>
            <w:vAlign w:val="center"/>
            <w:hideMark/>
          </w:tcPr>
          <w:p w14:paraId="677E6B3B" w14:textId="4BA393BB" w:rsidR="006D4CD8" w:rsidRPr="004E74A6" w:rsidRDefault="006D4CD8" w:rsidP="00CE62C1">
            <w:pPr>
              <w:spacing w:line="276" w:lineRule="auto"/>
              <w:jc w:val="center"/>
              <w:rPr>
                <w:rFonts w:cs="Calibri"/>
                <w:color w:val="000000"/>
                <w:sz w:val="20"/>
                <w:lang w:eastAsia="es-CR"/>
              </w:rPr>
            </w:pPr>
            <w:r w:rsidRPr="004E74A6">
              <w:rPr>
                <w:rFonts w:cs="Calibri"/>
                <w:color w:val="000000"/>
                <w:sz w:val="20"/>
              </w:rPr>
              <w:t>0</w:t>
            </w:r>
          </w:p>
        </w:tc>
        <w:tc>
          <w:tcPr>
            <w:tcW w:w="800" w:type="pct"/>
            <w:tcBorders>
              <w:top w:val="nil"/>
              <w:left w:val="single" w:sz="4" w:space="0" w:color="auto"/>
              <w:bottom w:val="nil"/>
              <w:right w:val="nil"/>
            </w:tcBorders>
            <w:shd w:val="clear" w:color="auto" w:fill="auto"/>
            <w:noWrap/>
            <w:vAlign w:val="center"/>
            <w:hideMark/>
          </w:tcPr>
          <w:p w14:paraId="77E4A4CD" w14:textId="60AAEDBA" w:rsidR="006D4CD8" w:rsidRPr="004E74A6" w:rsidRDefault="006D4CD8" w:rsidP="00CE62C1">
            <w:pPr>
              <w:spacing w:line="276" w:lineRule="auto"/>
              <w:jc w:val="center"/>
              <w:rPr>
                <w:rFonts w:cs="Calibri"/>
                <w:color w:val="000000"/>
                <w:sz w:val="20"/>
                <w:lang w:eastAsia="es-CR"/>
              </w:rPr>
            </w:pPr>
            <w:r w:rsidRPr="004E74A6">
              <w:rPr>
                <w:rFonts w:cs="Calibri"/>
                <w:color w:val="000000"/>
                <w:sz w:val="20"/>
              </w:rPr>
              <w:t>1</w:t>
            </w:r>
          </w:p>
        </w:tc>
      </w:tr>
      <w:tr w:rsidR="006D4CD8" w:rsidRPr="004E74A6" w14:paraId="56431BF8" w14:textId="77777777" w:rsidTr="006D4CD8">
        <w:trPr>
          <w:trHeight w:val="288"/>
          <w:jc w:val="center"/>
        </w:trPr>
        <w:tc>
          <w:tcPr>
            <w:tcW w:w="2404" w:type="pct"/>
            <w:tcBorders>
              <w:top w:val="nil"/>
              <w:left w:val="nil"/>
              <w:right w:val="single" w:sz="4" w:space="0" w:color="auto"/>
            </w:tcBorders>
            <w:shd w:val="clear" w:color="auto" w:fill="auto"/>
            <w:noWrap/>
            <w:vAlign w:val="bottom"/>
            <w:hideMark/>
          </w:tcPr>
          <w:p w14:paraId="4064D7E0" w14:textId="77777777" w:rsidR="006D4CD8" w:rsidRPr="004E74A6" w:rsidRDefault="006D4CD8" w:rsidP="00CE62C1">
            <w:pPr>
              <w:spacing w:line="276" w:lineRule="auto"/>
              <w:ind w:firstLineChars="200" w:firstLine="400"/>
              <w:jc w:val="left"/>
              <w:rPr>
                <w:rFonts w:cs="Calibri"/>
                <w:color w:val="000000"/>
                <w:sz w:val="20"/>
                <w:lang w:eastAsia="es-CR"/>
              </w:rPr>
            </w:pPr>
            <w:r w:rsidRPr="004E74A6">
              <w:rPr>
                <w:rFonts w:cs="Calibri"/>
                <w:color w:val="000000"/>
                <w:sz w:val="20"/>
                <w:lang w:eastAsia="es-CR"/>
              </w:rPr>
              <w:t>Sumario de desahucio</w:t>
            </w:r>
          </w:p>
        </w:tc>
        <w:tc>
          <w:tcPr>
            <w:tcW w:w="599" w:type="pct"/>
            <w:tcBorders>
              <w:top w:val="nil"/>
              <w:left w:val="single" w:sz="4" w:space="0" w:color="auto"/>
              <w:right w:val="single" w:sz="4" w:space="0" w:color="auto"/>
            </w:tcBorders>
            <w:shd w:val="clear" w:color="auto" w:fill="auto"/>
            <w:noWrap/>
            <w:vAlign w:val="center"/>
            <w:hideMark/>
          </w:tcPr>
          <w:p w14:paraId="77BA9486" w14:textId="186ED915" w:rsidR="006D4CD8" w:rsidRPr="004E74A6" w:rsidRDefault="006D4CD8" w:rsidP="00CE62C1">
            <w:pPr>
              <w:spacing w:line="276" w:lineRule="auto"/>
              <w:jc w:val="center"/>
              <w:rPr>
                <w:sz w:val="20"/>
                <w:lang w:eastAsia="es-CR"/>
              </w:rPr>
            </w:pPr>
            <w:r w:rsidRPr="004E74A6">
              <w:rPr>
                <w:rFonts w:cs="Calibri"/>
                <w:color w:val="000000"/>
                <w:sz w:val="20"/>
              </w:rPr>
              <w:t>0</w:t>
            </w:r>
          </w:p>
        </w:tc>
        <w:tc>
          <w:tcPr>
            <w:tcW w:w="598" w:type="pct"/>
            <w:tcBorders>
              <w:top w:val="nil"/>
              <w:left w:val="single" w:sz="4" w:space="0" w:color="auto"/>
              <w:right w:val="single" w:sz="4" w:space="0" w:color="auto"/>
            </w:tcBorders>
            <w:shd w:val="clear" w:color="auto" w:fill="auto"/>
            <w:noWrap/>
            <w:vAlign w:val="center"/>
            <w:hideMark/>
          </w:tcPr>
          <w:p w14:paraId="4BE0C4F3" w14:textId="6F8AAC4E" w:rsidR="006D4CD8" w:rsidRPr="004E74A6" w:rsidRDefault="006D4CD8" w:rsidP="00CE62C1">
            <w:pPr>
              <w:spacing w:line="276" w:lineRule="auto"/>
              <w:jc w:val="center"/>
              <w:rPr>
                <w:sz w:val="20"/>
                <w:lang w:eastAsia="es-CR"/>
              </w:rPr>
            </w:pPr>
            <w:r w:rsidRPr="004E74A6">
              <w:rPr>
                <w:rFonts w:cs="Calibri"/>
                <w:color w:val="000000"/>
                <w:sz w:val="20"/>
              </w:rPr>
              <w:t>0</w:t>
            </w:r>
          </w:p>
        </w:tc>
        <w:tc>
          <w:tcPr>
            <w:tcW w:w="599" w:type="pct"/>
            <w:tcBorders>
              <w:top w:val="nil"/>
              <w:left w:val="single" w:sz="4" w:space="0" w:color="auto"/>
              <w:right w:val="single" w:sz="4" w:space="0" w:color="auto"/>
            </w:tcBorders>
            <w:shd w:val="clear" w:color="auto" w:fill="auto"/>
            <w:noWrap/>
            <w:vAlign w:val="center"/>
            <w:hideMark/>
          </w:tcPr>
          <w:p w14:paraId="08F08A41" w14:textId="62CC41D8" w:rsidR="006D4CD8" w:rsidRPr="004E74A6" w:rsidRDefault="006D4CD8" w:rsidP="00CE62C1">
            <w:pPr>
              <w:spacing w:line="276" w:lineRule="auto"/>
              <w:jc w:val="center"/>
              <w:rPr>
                <w:rFonts w:cs="Calibri"/>
                <w:color w:val="000000"/>
                <w:sz w:val="20"/>
                <w:lang w:eastAsia="es-CR"/>
              </w:rPr>
            </w:pPr>
            <w:r w:rsidRPr="004E74A6">
              <w:rPr>
                <w:rFonts w:cs="Calibri"/>
                <w:color w:val="000000"/>
                <w:sz w:val="20"/>
              </w:rPr>
              <w:t>1</w:t>
            </w:r>
          </w:p>
        </w:tc>
        <w:tc>
          <w:tcPr>
            <w:tcW w:w="800" w:type="pct"/>
            <w:tcBorders>
              <w:top w:val="nil"/>
              <w:left w:val="single" w:sz="4" w:space="0" w:color="auto"/>
              <w:right w:val="nil"/>
            </w:tcBorders>
            <w:shd w:val="clear" w:color="auto" w:fill="auto"/>
            <w:noWrap/>
            <w:vAlign w:val="center"/>
            <w:hideMark/>
          </w:tcPr>
          <w:p w14:paraId="0EF48947" w14:textId="12F1F2AB" w:rsidR="006D4CD8" w:rsidRPr="004E74A6" w:rsidRDefault="006D4CD8" w:rsidP="00CE62C1">
            <w:pPr>
              <w:spacing w:line="276" w:lineRule="auto"/>
              <w:jc w:val="center"/>
              <w:rPr>
                <w:rFonts w:cs="Calibri"/>
                <w:color w:val="000000"/>
                <w:sz w:val="20"/>
                <w:lang w:eastAsia="es-CR"/>
              </w:rPr>
            </w:pPr>
            <w:r w:rsidRPr="004E74A6">
              <w:rPr>
                <w:rFonts w:cs="Calibri"/>
                <w:color w:val="000000"/>
                <w:sz w:val="20"/>
              </w:rPr>
              <w:t>0,3</w:t>
            </w:r>
          </w:p>
        </w:tc>
      </w:tr>
      <w:tr w:rsidR="003E4755" w:rsidRPr="004E74A6" w14:paraId="5EE1BA3C" w14:textId="77777777" w:rsidTr="006D4CD8">
        <w:trPr>
          <w:trHeight w:val="288"/>
          <w:jc w:val="center"/>
        </w:trPr>
        <w:tc>
          <w:tcPr>
            <w:tcW w:w="2404" w:type="pct"/>
            <w:tcBorders>
              <w:top w:val="nil"/>
              <w:left w:val="nil"/>
              <w:bottom w:val="single" w:sz="4" w:space="0" w:color="auto"/>
              <w:right w:val="single" w:sz="4" w:space="0" w:color="auto"/>
            </w:tcBorders>
            <w:shd w:val="clear" w:color="auto" w:fill="auto"/>
            <w:noWrap/>
            <w:vAlign w:val="bottom"/>
          </w:tcPr>
          <w:p w14:paraId="6794D541" w14:textId="77777777" w:rsidR="008647ED" w:rsidRPr="004E74A6" w:rsidRDefault="008647ED" w:rsidP="00CE62C1">
            <w:pPr>
              <w:spacing w:line="276" w:lineRule="auto"/>
              <w:ind w:firstLineChars="200" w:firstLine="400"/>
              <w:jc w:val="left"/>
              <w:rPr>
                <w:rFonts w:cs="Calibri"/>
                <w:color w:val="000000"/>
                <w:sz w:val="20"/>
                <w:lang w:eastAsia="es-CR"/>
              </w:rPr>
            </w:pPr>
          </w:p>
        </w:tc>
        <w:tc>
          <w:tcPr>
            <w:tcW w:w="599" w:type="pct"/>
            <w:tcBorders>
              <w:top w:val="nil"/>
              <w:left w:val="single" w:sz="4" w:space="0" w:color="auto"/>
              <w:bottom w:val="single" w:sz="4" w:space="0" w:color="auto"/>
              <w:right w:val="single" w:sz="4" w:space="0" w:color="auto"/>
            </w:tcBorders>
            <w:shd w:val="clear" w:color="auto" w:fill="auto"/>
            <w:noWrap/>
            <w:vAlign w:val="center"/>
          </w:tcPr>
          <w:p w14:paraId="53C6087C" w14:textId="77777777" w:rsidR="008647ED" w:rsidRPr="004E74A6" w:rsidRDefault="008647ED" w:rsidP="00CE62C1">
            <w:pPr>
              <w:spacing w:line="276" w:lineRule="auto"/>
              <w:jc w:val="center"/>
              <w:rPr>
                <w:sz w:val="20"/>
                <w:lang w:eastAsia="es-CR"/>
              </w:rPr>
            </w:pPr>
          </w:p>
        </w:tc>
        <w:tc>
          <w:tcPr>
            <w:tcW w:w="598" w:type="pct"/>
            <w:tcBorders>
              <w:top w:val="nil"/>
              <w:left w:val="single" w:sz="4" w:space="0" w:color="auto"/>
              <w:bottom w:val="single" w:sz="4" w:space="0" w:color="auto"/>
              <w:right w:val="single" w:sz="4" w:space="0" w:color="auto"/>
            </w:tcBorders>
            <w:shd w:val="clear" w:color="auto" w:fill="auto"/>
            <w:noWrap/>
            <w:vAlign w:val="center"/>
          </w:tcPr>
          <w:p w14:paraId="6F407022" w14:textId="77777777" w:rsidR="008647ED" w:rsidRPr="004E74A6" w:rsidRDefault="008647ED" w:rsidP="00CE62C1">
            <w:pPr>
              <w:spacing w:line="276" w:lineRule="auto"/>
              <w:jc w:val="center"/>
              <w:rPr>
                <w:sz w:val="20"/>
                <w:lang w:eastAsia="es-CR"/>
              </w:rPr>
            </w:pPr>
          </w:p>
        </w:tc>
        <w:tc>
          <w:tcPr>
            <w:tcW w:w="599" w:type="pct"/>
            <w:tcBorders>
              <w:top w:val="nil"/>
              <w:left w:val="single" w:sz="4" w:space="0" w:color="auto"/>
              <w:bottom w:val="single" w:sz="4" w:space="0" w:color="auto"/>
              <w:right w:val="single" w:sz="4" w:space="0" w:color="auto"/>
            </w:tcBorders>
            <w:shd w:val="clear" w:color="auto" w:fill="auto"/>
            <w:noWrap/>
            <w:vAlign w:val="center"/>
          </w:tcPr>
          <w:p w14:paraId="161AC88F" w14:textId="77777777" w:rsidR="008647ED" w:rsidRPr="004E74A6" w:rsidRDefault="008647ED" w:rsidP="00CE62C1">
            <w:pPr>
              <w:spacing w:line="276" w:lineRule="auto"/>
              <w:jc w:val="center"/>
              <w:rPr>
                <w:rFonts w:cs="Calibri"/>
                <w:color w:val="000000"/>
                <w:sz w:val="20"/>
                <w:lang w:eastAsia="es-CR"/>
              </w:rPr>
            </w:pPr>
          </w:p>
        </w:tc>
        <w:tc>
          <w:tcPr>
            <w:tcW w:w="800" w:type="pct"/>
            <w:tcBorders>
              <w:top w:val="nil"/>
              <w:left w:val="single" w:sz="4" w:space="0" w:color="auto"/>
              <w:bottom w:val="single" w:sz="4" w:space="0" w:color="auto"/>
              <w:right w:val="nil"/>
            </w:tcBorders>
            <w:shd w:val="clear" w:color="auto" w:fill="auto"/>
            <w:noWrap/>
            <w:vAlign w:val="center"/>
          </w:tcPr>
          <w:p w14:paraId="1C8CC156" w14:textId="77777777" w:rsidR="008647ED" w:rsidRPr="004E74A6" w:rsidRDefault="008647ED" w:rsidP="00CE62C1">
            <w:pPr>
              <w:spacing w:line="276" w:lineRule="auto"/>
              <w:jc w:val="center"/>
              <w:rPr>
                <w:rFonts w:cs="Calibri"/>
                <w:color w:val="000000"/>
                <w:sz w:val="20"/>
                <w:lang w:eastAsia="es-CR"/>
              </w:rPr>
            </w:pPr>
          </w:p>
        </w:tc>
      </w:tr>
    </w:tbl>
    <w:p w14:paraId="6B8490D0" w14:textId="77777777" w:rsidR="003E4755" w:rsidRPr="004E74A6" w:rsidRDefault="003E4755" w:rsidP="00832773">
      <w:pPr>
        <w:spacing w:line="276" w:lineRule="auto"/>
        <w:ind w:left="907" w:right="907"/>
        <w:rPr>
          <w:rFonts w:cs="Calibri"/>
          <w:i/>
          <w:iCs/>
          <w:color w:val="000000"/>
          <w:sz w:val="20"/>
          <w:lang w:eastAsia="es-CR"/>
        </w:rPr>
      </w:pPr>
      <w:r w:rsidRPr="004E74A6">
        <w:rPr>
          <w:rFonts w:cs="Calibri"/>
          <w:b/>
          <w:bCs/>
          <w:i/>
          <w:iCs/>
          <w:color w:val="000000"/>
          <w:sz w:val="20"/>
          <w:lang w:eastAsia="es-CR"/>
        </w:rPr>
        <w:t>Fuente</w:t>
      </w:r>
      <w:r w:rsidRPr="004E74A6">
        <w:rPr>
          <w:rFonts w:cs="Calibri"/>
          <w:i/>
          <w:iCs/>
          <w:color w:val="000000"/>
          <w:sz w:val="20"/>
          <w:lang w:eastAsia="es-CR"/>
        </w:rPr>
        <w:t>: Subproceso de Modernización Institucional con datos extraídos del sistema SIGMA, Dirección de Planificación.</w:t>
      </w:r>
    </w:p>
    <w:p w14:paraId="5B5ACA7A" w14:textId="77777777" w:rsidR="00AA0C91" w:rsidRPr="004E74A6" w:rsidRDefault="00AA0C91" w:rsidP="00CE62C1">
      <w:pPr>
        <w:spacing w:after="160" w:line="276" w:lineRule="auto"/>
        <w:rPr>
          <w:rFonts w:cs="Calibri"/>
          <w:color w:val="000000"/>
          <w:szCs w:val="24"/>
          <w:lang w:eastAsia="es-CR"/>
        </w:rPr>
      </w:pPr>
    </w:p>
    <w:p w14:paraId="272ADD94" w14:textId="63D1BB2F" w:rsidR="006E61F2" w:rsidRPr="004E74A6" w:rsidRDefault="00C823C0" w:rsidP="00CE62C1">
      <w:pPr>
        <w:spacing w:after="160" w:line="276" w:lineRule="auto"/>
        <w:rPr>
          <w:rFonts w:cs="Calibri"/>
          <w:color w:val="000000"/>
          <w:szCs w:val="24"/>
          <w:lang w:eastAsia="es-CR"/>
        </w:rPr>
      </w:pPr>
      <w:r>
        <w:rPr>
          <w:rFonts w:cs="Calibri"/>
          <w:color w:val="000000"/>
          <w:szCs w:val="24"/>
          <w:lang w:eastAsia="es-CR"/>
        </w:rPr>
        <w:t>En</w:t>
      </w:r>
      <w:r w:rsidR="006E61F2" w:rsidRPr="004E74A6">
        <w:rPr>
          <w:rFonts w:cs="Calibri"/>
          <w:color w:val="000000"/>
          <w:szCs w:val="24"/>
          <w:lang w:eastAsia="es-CR"/>
        </w:rPr>
        <w:t xml:space="preserve"> la siguiente tabla se puede observar el detalle de la cuantía según los procedimientos ordinarios del Tribunal.</w:t>
      </w:r>
    </w:p>
    <w:p w14:paraId="328341EB" w14:textId="3DBE9F2F" w:rsidR="006E61F2" w:rsidRPr="004E74A6" w:rsidRDefault="006E61F2" w:rsidP="00CE62C1">
      <w:pPr>
        <w:spacing w:line="276" w:lineRule="auto"/>
        <w:rPr>
          <w:rFonts w:cs="Calibri"/>
          <w:b/>
          <w:bCs/>
          <w:color w:val="000000"/>
          <w:szCs w:val="24"/>
          <w:lang w:eastAsia="es-CR"/>
        </w:rPr>
      </w:pPr>
      <w:r w:rsidRPr="004E74A6">
        <w:rPr>
          <w:rFonts w:cs="Calibri"/>
          <w:color w:val="000000"/>
          <w:szCs w:val="24"/>
          <w:lang w:eastAsia="es-CR"/>
        </w:rPr>
        <w:t xml:space="preserve">De los procesos ordinarios ingresados en el Tribunal, en promedio </w:t>
      </w:r>
      <w:r w:rsidR="00D55319" w:rsidRPr="004E74A6">
        <w:rPr>
          <w:rFonts w:cs="Calibri"/>
          <w:color w:val="000000"/>
          <w:szCs w:val="24"/>
          <w:lang w:eastAsia="es-CR"/>
        </w:rPr>
        <w:t>2</w:t>
      </w:r>
      <w:r w:rsidRPr="004E74A6">
        <w:rPr>
          <w:rFonts w:cs="Calibri"/>
          <w:color w:val="000000"/>
          <w:szCs w:val="24"/>
          <w:lang w:eastAsia="es-CR"/>
        </w:rPr>
        <w:t xml:space="preserve"> asuntos son inestimables (</w:t>
      </w:r>
      <w:r w:rsidR="001D5D14" w:rsidRPr="004E74A6">
        <w:rPr>
          <w:rFonts w:cs="Calibri"/>
          <w:color w:val="000000"/>
          <w:szCs w:val="24"/>
          <w:lang w:eastAsia="es-CR"/>
        </w:rPr>
        <w:t>1</w:t>
      </w:r>
      <w:r w:rsidRPr="004E74A6">
        <w:rPr>
          <w:rFonts w:cs="Calibri"/>
          <w:color w:val="000000"/>
          <w:szCs w:val="24"/>
          <w:lang w:eastAsia="es-CR"/>
        </w:rPr>
        <w:t xml:space="preserve">%), </w:t>
      </w:r>
      <w:r w:rsidR="001D5D14" w:rsidRPr="004E74A6">
        <w:rPr>
          <w:rFonts w:cs="Calibri"/>
          <w:color w:val="000000"/>
          <w:szCs w:val="24"/>
          <w:lang w:eastAsia="es-CR"/>
        </w:rPr>
        <w:t>32</w:t>
      </w:r>
      <w:r w:rsidRPr="004E74A6">
        <w:rPr>
          <w:rFonts w:cs="Calibri"/>
          <w:color w:val="000000"/>
          <w:szCs w:val="24"/>
          <w:lang w:eastAsia="es-CR"/>
        </w:rPr>
        <w:t xml:space="preserve"> estimables (</w:t>
      </w:r>
      <w:r w:rsidR="001D5D14" w:rsidRPr="004E74A6">
        <w:rPr>
          <w:rFonts w:cs="Calibri"/>
          <w:color w:val="000000"/>
          <w:szCs w:val="24"/>
          <w:lang w:eastAsia="es-CR"/>
        </w:rPr>
        <w:t>21</w:t>
      </w:r>
      <w:r w:rsidRPr="004E74A6">
        <w:rPr>
          <w:rFonts w:cs="Calibri"/>
          <w:color w:val="000000"/>
          <w:szCs w:val="24"/>
          <w:lang w:eastAsia="es-CR"/>
        </w:rPr>
        <w:t>%), 3 casos “no aplica” (</w:t>
      </w:r>
      <w:r w:rsidR="001D5D14" w:rsidRPr="004E74A6">
        <w:rPr>
          <w:rFonts w:cs="Calibri"/>
          <w:color w:val="000000"/>
          <w:szCs w:val="24"/>
          <w:lang w:eastAsia="es-CR"/>
        </w:rPr>
        <w:t>2</w:t>
      </w:r>
      <w:r w:rsidRPr="004E74A6">
        <w:rPr>
          <w:rFonts w:cs="Calibri"/>
          <w:color w:val="000000"/>
          <w:szCs w:val="24"/>
          <w:lang w:eastAsia="es-CR"/>
        </w:rPr>
        <w:t xml:space="preserve">%) y </w:t>
      </w:r>
      <w:r w:rsidRPr="004E74A6">
        <w:rPr>
          <w:rFonts w:cs="Calibri"/>
          <w:b/>
          <w:bCs/>
          <w:color w:val="000000"/>
          <w:szCs w:val="24"/>
          <w:lang w:eastAsia="es-CR"/>
        </w:rPr>
        <w:t xml:space="preserve">sin actualizar </w:t>
      </w:r>
      <w:r w:rsidR="001D5D14" w:rsidRPr="004E74A6">
        <w:rPr>
          <w:rFonts w:cs="Calibri"/>
          <w:b/>
          <w:bCs/>
          <w:color w:val="000000"/>
          <w:szCs w:val="24"/>
          <w:lang w:eastAsia="es-CR"/>
        </w:rPr>
        <w:t>114</w:t>
      </w:r>
      <w:r w:rsidRPr="004E74A6">
        <w:rPr>
          <w:rFonts w:cs="Calibri"/>
          <w:b/>
          <w:bCs/>
          <w:color w:val="000000"/>
          <w:szCs w:val="24"/>
          <w:lang w:eastAsia="es-CR"/>
        </w:rPr>
        <w:t xml:space="preserve"> casos (</w:t>
      </w:r>
      <w:r w:rsidR="001D5D14" w:rsidRPr="004E74A6">
        <w:rPr>
          <w:rFonts w:cs="Calibri"/>
          <w:b/>
          <w:bCs/>
          <w:color w:val="000000"/>
          <w:szCs w:val="24"/>
          <w:lang w:eastAsia="es-CR"/>
        </w:rPr>
        <w:t>75</w:t>
      </w:r>
      <w:r w:rsidRPr="004E74A6">
        <w:rPr>
          <w:rFonts w:cs="Calibri"/>
          <w:b/>
          <w:bCs/>
          <w:color w:val="000000"/>
          <w:szCs w:val="24"/>
          <w:lang w:eastAsia="es-CR"/>
        </w:rPr>
        <w:t>%).</w:t>
      </w:r>
    </w:p>
    <w:p w14:paraId="7084B553" w14:textId="77777777" w:rsidR="006E61F2" w:rsidRPr="004E74A6" w:rsidRDefault="006E61F2" w:rsidP="00CE62C1">
      <w:pPr>
        <w:spacing w:line="276" w:lineRule="auto"/>
        <w:rPr>
          <w:rFonts w:cs="Calibri"/>
          <w:color w:val="000000"/>
          <w:szCs w:val="24"/>
          <w:lang w:eastAsia="es-CR"/>
        </w:rPr>
      </w:pPr>
    </w:p>
    <w:p w14:paraId="2E2D3301" w14:textId="4D587EFE" w:rsidR="006E61F2" w:rsidRPr="004E74A6" w:rsidRDefault="006E61F2" w:rsidP="00CE62C1">
      <w:pPr>
        <w:spacing w:line="276" w:lineRule="auto"/>
        <w:rPr>
          <w:rFonts w:cs="Calibri"/>
          <w:color w:val="000000"/>
          <w:szCs w:val="24"/>
          <w:lang w:eastAsia="es-CR"/>
        </w:rPr>
      </w:pPr>
      <w:r w:rsidRPr="004E74A6">
        <w:rPr>
          <w:rFonts w:cs="Calibri"/>
          <w:color w:val="000000"/>
          <w:szCs w:val="24"/>
          <w:lang w:eastAsia="es-CR"/>
        </w:rPr>
        <w:t xml:space="preserve">De lo anterior, el </w:t>
      </w:r>
      <w:r w:rsidR="001D5D14" w:rsidRPr="004E74A6">
        <w:rPr>
          <w:rFonts w:cs="Calibri"/>
          <w:color w:val="000000"/>
          <w:szCs w:val="24"/>
          <w:lang w:eastAsia="es-CR"/>
        </w:rPr>
        <w:t>2</w:t>
      </w:r>
      <w:r w:rsidRPr="004E74A6">
        <w:rPr>
          <w:rFonts w:cs="Calibri"/>
          <w:color w:val="000000"/>
          <w:szCs w:val="24"/>
          <w:lang w:eastAsia="es-CR"/>
        </w:rPr>
        <w:t xml:space="preserve">% que indicaron </w:t>
      </w:r>
      <w:r w:rsidRPr="004E74A6">
        <w:rPr>
          <w:rFonts w:cs="Calibri"/>
          <w:i/>
          <w:iCs/>
          <w:color w:val="000000"/>
          <w:szCs w:val="24"/>
          <w:lang w:eastAsia="es-CR"/>
        </w:rPr>
        <w:t>no aplica cuantía</w:t>
      </w:r>
      <w:r w:rsidRPr="004E74A6">
        <w:rPr>
          <w:rFonts w:cs="Calibri"/>
          <w:color w:val="000000"/>
          <w:szCs w:val="24"/>
          <w:lang w:eastAsia="es-CR"/>
        </w:rPr>
        <w:t xml:space="preserve">, se debe a una actualización errores a de la informa, ya que desde el inicio en el uso de la mejora se les indicó a las oficinas que esta opción solo aplica para materia de Trabajo, no así para Civil donde los asuntos son estimables o inestimables solamente. </w:t>
      </w:r>
    </w:p>
    <w:p w14:paraId="170A7EF7" w14:textId="6881C3D7" w:rsidR="006E61F2" w:rsidRPr="004E74A6" w:rsidRDefault="006E61F2" w:rsidP="00CE62C1">
      <w:pPr>
        <w:spacing w:line="276" w:lineRule="auto"/>
        <w:rPr>
          <w:rFonts w:cs="Calibri"/>
          <w:color w:val="000000"/>
          <w:szCs w:val="24"/>
          <w:lang w:eastAsia="es-CR"/>
        </w:rPr>
      </w:pPr>
    </w:p>
    <w:p w14:paraId="77A622C1" w14:textId="77777777" w:rsidR="00193D21" w:rsidRDefault="00193D21" w:rsidP="00CE62C1">
      <w:pPr>
        <w:spacing w:line="276" w:lineRule="auto"/>
        <w:rPr>
          <w:rFonts w:cs="Calibri"/>
          <w:color w:val="000000"/>
          <w:szCs w:val="24"/>
          <w:lang w:eastAsia="es-CR"/>
        </w:rPr>
      </w:pPr>
    </w:p>
    <w:p w14:paraId="29C97908" w14:textId="77777777" w:rsidR="00193D21" w:rsidRDefault="00193D21" w:rsidP="00CE62C1">
      <w:pPr>
        <w:spacing w:line="276" w:lineRule="auto"/>
        <w:rPr>
          <w:rFonts w:cs="Calibri"/>
          <w:color w:val="000000"/>
          <w:szCs w:val="24"/>
          <w:lang w:eastAsia="es-CR"/>
        </w:rPr>
      </w:pPr>
    </w:p>
    <w:p w14:paraId="58CA76FB" w14:textId="77777777" w:rsidR="00193D21" w:rsidRDefault="00193D21" w:rsidP="00CE62C1">
      <w:pPr>
        <w:spacing w:line="276" w:lineRule="auto"/>
        <w:rPr>
          <w:rFonts w:cs="Calibri"/>
          <w:color w:val="000000"/>
          <w:szCs w:val="24"/>
          <w:lang w:eastAsia="es-CR"/>
        </w:rPr>
      </w:pPr>
    </w:p>
    <w:p w14:paraId="366EDE57" w14:textId="77777777" w:rsidR="00193D21" w:rsidRDefault="00193D21" w:rsidP="00CE62C1">
      <w:pPr>
        <w:spacing w:line="276" w:lineRule="auto"/>
        <w:rPr>
          <w:rFonts w:cs="Calibri"/>
          <w:color w:val="000000"/>
          <w:szCs w:val="24"/>
          <w:lang w:eastAsia="es-CR"/>
        </w:rPr>
      </w:pPr>
    </w:p>
    <w:p w14:paraId="03F8CE4A" w14:textId="77777777" w:rsidR="00193D21" w:rsidRDefault="00193D21" w:rsidP="00CE62C1">
      <w:pPr>
        <w:spacing w:line="276" w:lineRule="auto"/>
        <w:rPr>
          <w:rFonts w:cs="Calibri"/>
          <w:color w:val="000000"/>
          <w:szCs w:val="24"/>
          <w:lang w:eastAsia="es-CR"/>
        </w:rPr>
      </w:pPr>
    </w:p>
    <w:p w14:paraId="7A19A760" w14:textId="77777777" w:rsidR="00193D21" w:rsidRDefault="00193D21" w:rsidP="00CE62C1">
      <w:pPr>
        <w:spacing w:line="276" w:lineRule="auto"/>
        <w:rPr>
          <w:rFonts w:cs="Calibri"/>
          <w:color w:val="000000"/>
          <w:szCs w:val="24"/>
          <w:lang w:eastAsia="es-CR"/>
        </w:rPr>
      </w:pPr>
    </w:p>
    <w:p w14:paraId="6D435A14" w14:textId="77777777" w:rsidR="00193D21" w:rsidRDefault="00193D21" w:rsidP="00CE62C1">
      <w:pPr>
        <w:spacing w:line="276" w:lineRule="auto"/>
        <w:rPr>
          <w:rFonts w:cs="Calibri"/>
          <w:color w:val="000000"/>
          <w:szCs w:val="24"/>
          <w:lang w:eastAsia="es-CR"/>
        </w:rPr>
      </w:pPr>
    </w:p>
    <w:p w14:paraId="75D1E04E" w14:textId="77777777" w:rsidR="00193D21" w:rsidRDefault="00193D21" w:rsidP="00CE62C1">
      <w:pPr>
        <w:spacing w:line="276" w:lineRule="auto"/>
        <w:rPr>
          <w:rFonts w:cs="Calibri"/>
          <w:color w:val="000000"/>
          <w:szCs w:val="24"/>
          <w:lang w:eastAsia="es-CR"/>
        </w:rPr>
      </w:pPr>
    </w:p>
    <w:p w14:paraId="08B575CB" w14:textId="4BE39B83" w:rsidR="006E61F2" w:rsidRPr="004E74A6" w:rsidRDefault="006E61F2" w:rsidP="00CE62C1">
      <w:pPr>
        <w:spacing w:line="276" w:lineRule="auto"/>
        <w:rPr>
          <w:rFonts w:cs="Calibri"/>
          <w:color w:val="000000"/>
          <w:szCs w:val="24"/>
          <w:lang w:eastAsia="es-CR"/>
        </w:rPr>
      </w:pPr>
      <w:r w:rsidRPr="004E74A6">
        <w:rPr>
          <w:rFonts w:cs="Calibri"/>
          <w:color w:val="000000"/>
          <w:szCs w:val="24"/>
          <w:lang w:eastAsia="es-CR"/>
        </w:rPr>
        <w:lastRenderedPageBreak/>
        <w:t xml:space="preserve">De los </w:t>
      </w:r>
      <w:r w:rsidR="001D5D14" w:rsidRPr="004E74A6">
        <w:rPr>
          <w:rFonts w:cs="Calibri"/>
          <w:color w:val="000000"/>
          <w:szCs w:val="24"/>
          <w:lang w:eastAsia="es-CR"/>
        </w:rPr>
        <w:t>32</w:t>
      </w:r>
      <w:r w:rsidRPr="004E74A6">
        <w:rPr>
          <w:rFonts w:cs="Calibri"/>
          <w:color w:val="000000"/>
          <w:szCs w:val="24"/>
          <w:lang w:eastAsia="es-CR"/>
        </w:rPr>
        <w:t xml:space="preserve"> ordinarios estimables, la distribución de esos asuntos por rango de cuantía es el siguiente: </w:t>
      </w:r>
    </w:p>
    <w:p w14:paraId="1B8112F8" w14:textId="77777777" w:rsidR="00C823C0" w:rsidRDefault="00C823C0" w:rsidP="00F0204A">
      <w:pPr>
        <w:pStyle w:val="Descripcin"/>
        <w:keepNext/>
        <w:spacing w:line="276" w:lineRule="auto"/>
        <w:jc w:val="center"/>
        <w:rPr>
          <w:rFonts w:ascii="Book Antiqua" w:hAnsi="Book Antiqua"/>
          <w:i/>
          <w:iCs/>
          <w:sz w:val="20"/>
          <w:szCs w:val="16"/>
          <w:lang w:val="es-CR"/>
        </w:rPr>
      </w:pPr>
    </w:p>
    <w:p w14:paraId="705F72C3" w14:textId="3BBEA307" w:rsidR="005E42A6" w:rsidRPr="00832773" w:rsidRDefault="005E42A6" w:rsidP="00F0204A">
      <w:pPr>
        <w:pStyle w:val="Descripcin"/>
        <w:keepNext/>
        <w:spacing w:line="276" w:lineRule="auto"/>
        <w:jc w:val="center"/>
        <w:rPr>
          <w:rFonts w:ascii="Book Antiqua" w:hAnsi="Book Antiqua"/>
          <w:i/>
          <w:iCs/>
          <w:sz w:val="20"/>
          <w:szCs w:val="16"/>
          <w:lang w:val="es-CR"/>
        </w:rPr>
      </w:pPr>
      <w:r w:rsidRPr="00832773">
        <w:rPr>
          <w:rFonts w:ascii="Book Antiqua" w:hAnsi="Book Antiqua"/>
          <w:i/>
          <w:iCs/>
          <w:sz w:val="20"/>
          <w:szCs w:val="16"/>
          <w:lang w:val="es-CR"/>
        </w:rPr>
        <w:t xml:space="preserve">Tabla </w:t>
      </w:r>
      <w:r w:rsidRPr="00832773">
        <w:rPr>
          <w:rFonts w:ascii="Book Antiqua" w:hAnsi="Book Antiqua"/>
          <w:i/>
          <w:iCs/>
          <w:sz w:val="20"/>
          <w:szCs w:val="16"/>
          <w:lang w:val="es-CR"/>
        </w:rPr>
        <w:fldChar w:fldCharType="begin"/>
      </w:r>
      <w:r w:rsidRPr="00832773">
        <w:rPr>
          <w:rFonts w:ascii="Book Antiqua" w:hAnsi="Book Antiqua"/>
          <w:i/>
          <w:iCs/>
          <w:sz w:val="20"/>
          <w:szCs w:val="16"/>
          <w:lang w:val="es-CR"/>
        </w:rPr>
        <w:instrText xml:space="preserve"> SEQ Tabla \* ARABIC </w:instrText>
      </w:r>
      <w:r w:rsidRPr="00832773">
        <w:rPr>
          <w:rFonts w:ascii="Book Antiqua" w:hAnsi="Book Antiqua"/>
          <w:i/>
          <w:iCs/>
          <w:sz w:val="20"/>
          <w:szCs w:val="16"/>
          <w:lang w:val="es-CR"/>
        </w:rPr>
        <w:fldChar w:fldCharType="separate"/>
      </w:r>
      <w:r w:rsidR="00374B51">
        <w:rPr>
          <w:rFonts w:ascii="Book Antiqua" w:hAnsi="Book Antiqua"/>
          <w:i/>
          <w:iCs/>
          <w:noProof/>
          <w:sz w:val="20"/>
          <w:szCs w:val="16"/>
          <w:lang w:val="es-CR"/>
        </w:rPr>
        <w:t>20</w:t>
      </w:r>
      <w:r w:rsidRPr="00832773">
        <w:rPr>
          <w:rFonts w:ascii="Book Antiqua" w:hAnsi="Book Antiqua"/>
          <w:i/>
          <w:iCs/>
          <w:sz w:val="20"/>
          <w:szCs w:val="16"/>
          <w:lang w:val="es-CR"/>
        </w:rPr>
        <w:fldChar w:fldCharType="end"/>
      </w:r>
      <w:r w:rsidRPr="00832773">
        <w:rPr>
          <w:rFonts w:ascii="Book Antiqua" w:hAnsi="Book Antiqua"/>
          <w:i/>
          <w:iCs/>
          <w:sz w:val="20"/>
          <w:szCs w:val="16"/>
          <w:lang w:val="es-CR"/>
        </w:rPr>
        <w:t xml:space="preserve"> </w:t>
      </w:r>
      <w:r w:rsidR="006E61F2" w:rsidRPr="00832773">
        <w:rPr>
          <w:rFonts w:ascii="Book Antiqua" w:hAnsi="Book Antiqua"/>
          <w:i/>
          <w:iCs/>
          <w:sz w:val="20"/>
          <w:szCs w:val="16"/>
          <w:lang w:val="es-CR"/>
        </w:rPr>
        <w:t xml:space="preserve">Cantidad de entrados ordinarios estimables por cuantía del 2019 al 2021 para el </w:t>
      </w:r>
      <w:r w:rsidRPr="00832773">
        <w:rPr>
          <w:rFonts w:ascii="Book Antiqua" w:hAnsi="Book Antiqua"/>
          <w:i/>
          <w:iCs/>
          <w:sz w:val="20"/>
          <w:szCs w:val="16"/>
          <w:lang w:val="es-CR"/>
        </w:rPr>
        <w:t>Tribunal Colegiado de Primera Instancia Civil Tercer Circuito Judicial de Alajuela, San Ramón</w:t>
      </w:r>
    </w:p>
    <w:tbl>
      <w:tblPr>
        <w:tblW w:w="5036" w:type="pct"/>
        <w:jc w:val="center"/>
        <w:tblCellMar>
          <w:left w:w="70" w:type="dxa"/>
          <w:right w:w="70" w:type="dxa"/>
        </w:tblCellMar>
        <w:tblLook w:val="04A0" w:firstRow="1" w:lastRow="0" w:firstColumn="1" w:lastColumn="0" w:noHBand="0" w:noVBand="1"/>
      </w:tblPr>
      <w:tblGrid>
        <w:gridCol w:w="2836"/>
        <w:gridCol w:w="855"/>
        <w:gridCol w:w="855"/>
        <w:gridCol w:w="855"/>
        <w:gridCol w:w="1124"/>
        <w:gridCol w:w="2379"/>
      </w:tblGrid>
      <w:tr w:rsidR="00AD200A" w:rsidRPr="004E74A6" w14:paraId="2FA2D2E2" w14:textId="3622ADEE" w:rsidTr="00AD200A">
        <w:trPr>
          <w:trHeight w:val="454"/>
          <w:tblHeader/>
          <w:jc w:val="center"/>
        </w:trPr>
        <w:tc>
          <w:tcPr>
            <w:tcW w:w="1593" w:type="pct"/>
            <w:tcBorders>
              <w:top w:val="single" w:sz="4" w:space="0" w:color="auto"/>
              <w:left w:val="nil"/>
              <w:bottom w:val="single" w:sz="4" w:space="0" w:color="auto"/>
              <w:right w:val="single" w:sz="4" w:space="0" w:color="auto"/>
            </w:tcBorders>
            <w:shd w:val="clear" w:color="auto" w:fill="auto"/>
            <w:noWrap/>
            <w:vAlign w:val="center"/>
            <w:hideMark/>
          </w:tcPr>
          <w:p w14:paraId="39904105" w14:textId="4FEE2B13" w:rsidR="00AD200A" w:rsidRPr="004E74A6" w:rsidRDefault="00AD200A" w:rsidP="00CE62C1">
            <w:pPr>
              <w:spacing w:line="276" w:lineRule="auto"/>
              <w:jc w:val="center"/>
              <w:rPr>
                <w:rFonts w:cs="Calibri"/>
                <w:color w:val="000000"/>
                <w:sz w:val="20"/>
                <w:lang w:eastAsia="es-CR"/>
              </w:rPr>
            </w:pPr>
            <w:r w:rsidRPr="004E74A6">
              <w:rPr>
                <w:rFonts w:cs="Calibri"/>
                <w:color w:val="000000"/>
                <w:sz w:val="20"/>
                <w:lang w:eastAsia="es-CR"/>
              </w:rPr>
              <w:t>Ordinario Estimable</w:t>
            </w:r>
          </w:p>
        </w:tc>
        <w:tc>
          <w:tcPr>
            <w:tcW w:w="48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E1B3335" w14:textId="77777777" w:rsidR="00AD200A" w:rsidRPr="004E74A6" w:rsidRDefault="00AD200A" w:rsidP="00CE62C1">
            <w:pPr>
              <w:spacing w:line="276" w:lineRule="auto"/>
              <w:jc w:val="center"/>
              <w:rPr>
                <w:rFonts w:cs="Calibri"/>
                <w:color w:val="000000"/>
                <w:sz w:val="20"/>
                <w:lang w:eastAsia="es-CR"/>
              </w:rPr>
            </w:pPr>
            <w:r w:rsidRPr="004E74A6">
              <w:rPr>
                <w:rFonts w:cs="Calibri"/>
                <w:color w:val="000000"/>
                <w:sz w:val="20"/>
                <w:lang w:eastAsia="es-CR"/>
              </w:rPr>
              <w:t>2019</w:t>
            </w:r>
          </w:p>
        </w:tc>
        <w:tc>
          <w:tcPr>
            <w:tcW w:w="48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48862A7" w14:textId="77777777" w:rsidR="00AD200A" w:rsidRPr="004E74A6" w:rsidRDefault="00AD200A" w:rsidP="00CE62C1">
            <w:pPr>
              <w:spacing w:line="276" w:lineRule="auto"/>
              <w:jc w:val="center"/>
              <w:rPr>
                <w:rFonts w:cs="Calibri"/>
                <w:color w:val="000000"/>
                <w:sz w:val="20"/>
                <w:lang w:eastAsia="es-CR"/>
              </w:rPr>
            </w:pPr>
            <w:r w:rsidRPr="004E74A6">
              <w:rPr>
                <w:rFonts w:cs="Calibri"/>
                <w:color w:val="000000"/>
                <w:sz w:val="20"/>
                <w:lang w:eastAsia="es-CR"/>
              </w:rPr>
              <w:t>2020</w:t>
            </w:r>
          </w:p>
        </w:tc>
        <w:tc>
          <w:tcPr>
            <w:tcW w:w="48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F3D77D0" w14:textId="77777777" w:rsidR="00AD200A" w:rsidRPr="004E74A6" w:rsidRDefault="00AD200A" w:rsidP="00CE62C1">
            <w:pPr>
              <w:spacing w:line="276" w:lineRule="auto"/>
              <w:jc w:val="center"/>
              <w:rPr>
                <w:rFonts w:cs="Calibri"/>
                <w:color w:val="000000"/>
                <w:sz w:val="20"/>
                <w:lang w:eastAsia="es-CR"/>
              </w:rPr>
            </w:pPr>
            <w:r w:rsidRPr="004E74A6">
              <w:rPr>
                <w:rFonts w:cs="Calibri"/>
                <w:color w:val="000000"/>
                <w:sz w:val="20"/>
                <w:lang w:eastAsia="es-CR"/>
              </w:rPr>
              <w:t>2021</w:t>
            </w:r>
          </w:p>
        </w:tc>
        <w:tc>
          <w:tcPr>
            <w:tcW w:w="631" w:type="pct"/>
            <w:tcBorders>
              <w:top w:val="single" w:sz="4" w:space="0" w:color="auto"/>
              <w:left w:val="single" w:sz="4" w:space="0" w:color="auto"/>
              <w:bottom w:val="single" w:sz="4" w:space="0" w:color="auto"/>
              <w:right w:val="nil"/>
            </w:tcBorders>
            <w:shd w:val="clear" w:color="auto" w:fill="auto"/>
            <w:noWrap/>
            <w:vAlign w:val="center"/>
          </w:tcPr>
          <w:p w14:paraId="142A238F" w14:textId="1ACE0350" w:rsidR="00AD200A" w:rsidRPr="004E74A6" w:rsidRDefault="00AD200A" w:rsidP="00CE62C1">
            <w:pPr>
              <w:spacing w:line="276" w:lineRule="auto"/>
              <w:jc w:val="center"/>
              <w:rPr>
                <w:rFonts w:cs="Calibri"/>
                <w:color w:val="000000"/>
                <w:sz w:val="20"/>
                <w:lang w:eastAsia="es-CR"/>
              </w:rPr>
            </w:pPr>
            <w:r w:rsidRPr="004E74A6">
              <w:rPr>
                <w:rFonts w:cs="Calibri"/>
                <w:color w:val="000000"/>
                <w:sz w:val="20"/>
                <w:lang w:eastAsia="es-CR"/>
              </w:rPr>
              <w:t>Promedio</w:t>
            </w:r>
          </w:p>
        </w:tc>
        <w:tc>
          <w:tcPr>
            <w:tcW w:w="1337" w:type="pct"/>
            <w:tcBorders>
              <w:top w:val="single" w:sz="4" w:space="0" w:color="auto"/>
              <w:left w:val="single" w:sz="4" w:space="0" w:color="auto"/>
              <w:bottom w:val="single" w:sz="4" w:space="0" w:color="auto"/>
              <w:right w:val="nil"/>
            </w:tcBorders>
          </w:tcPr>
          <w:p w14:paraId="6B77629E" w14:textId="46C78A47" w:rsidR="00AD200A" w:rsidRPr="004E74A6" w:rsidRDefault="00AD200A" w:rsidP="00832773">
            <w:pPr>
              <w:spacing w:line="276" w:lineRule="auto"/>
              <w:jc w:val="center"/>
              <w:rPr>
                <w:rFonts w:cs="Calibri"/>
                <w:color w:val="000000"/>
                <w:sz w:val="20"/>
                <w:lang w:eastAsia="es-CR"/>
              </w:rPr>
            </w:pPr>
            <w:r w:rsidRPr="004E74A6">
              <w:rPr>
                <w:rFonts w:cs="Calibri"/>
                <w:color w:val="000000"/>
                <w:sz w:val="20"/>
              </w:rPr>
              <w:t>Pérdida porcentual en la entrada en caso de elevarse la cuantía según rango escenario A1</w:t>
            </w:r>
          </w:p>
        </w:tc>
      </w:tr>
      <w:tr w:rsidR="00AD200A" w:rsidRPr="004E74A6" w14:paraId="5B342F75" w14:textId="1D0A5460" w:rsidTr="00AD200A">
        <w:trPr>
          <w:trHeight w:val="288"/>
          <w:jc w:val="center"/>
        </w:trPr>
        <w:tc>
          <w:tcPr>
            <w:tcW w:w="1593" w:type="pct"/>
            <w:tcBorders>
              <w:top w:val="single" w:sz="4" w:space="0" w:color="auto"/>
              <w:left w:val="nil"/>
              <w:bottom w:val="nil"/>
              <w:right w:val="single" w:sz="4" w:space="0" w:color="auto"/>
            </w:tcBorders>
            <w:shd w:val="clear" w:color="auto" w:fill="auto"/>
            <w:noWrap/>
            <w:vAlign w:val="center"/>
          </w:tcPr>
          <w:p w14:paraId="1480E8D8" w14:textId="77777777" w:rsidR="00AD200A" w:rsidRPr="004E74A6" w:rsidRDefault="00AD200A" w:rsidP="00CE62C1">
            <w:pPr>
              <w:spacing w:line="276" w:lineRule="auto"/>
              <w:jc w:val="center"/>
              <w:rPr>
                <w:rFonts w:cs="Calibri"/>
                <w:color w:val="000000"/>
                <w:sz w:val="20"/>
                <w:lang w:eastAsia="es-CR"/>
              </w:rPr>
            </w:pPr>
          </w:p>
        </w:tc>
        <w:tc>
          <w:tcPr>
            <w:tcW w:w="480" w:type="pct"/>
            <w:tcBorders>
              <w:top w:val="single" w:sz="4" w:space="0" w:color="auto"/>
              <w:left w:val="single" w:sz="4" w:space="0" w:color="auto"/>
              <w:bottom w:val="nil"/>
              <w:right w:val="single" w:sz="4" w:space="0" w:color="auto"/>
            </w:tcBorders>
            <w:shd w:val="clear" w:color="auto" w:fill="auto"/>
            <w:noWrap/>
            <w:vAlign w:val="center"/>
          </w:tcPr>
          <w:p w14:paraId="3071578C" w14:textId="77777777" w:rsidR="00AD200A" w:rsidRPr="004E74A6" w:rsidRDefault="00AD200A" w:rsidP="00CE62C1">
            <w:pPr>
              <w:spacing w:line="276" w:lineRule="auto"/>
              <w:jc w:val="center"/>
              <w:rPr>
                <w:rFonts w:cs="Calibri"/>
                <w:color w:val="000000"/>
                <w:sz w:val="20"/>
                <w:lang w:eastAsia="es-CR"/>
              </w:rPr>
            </w:pPr>
          </w:p>
        </w:tc>
        <w:tc>
          <w:tcPr>
            <w:tcW w:w="480" w:type="pct"/>
            <w:tcBorders>
              <w:top w:val="single" w:sz="4" w:space="0" w:color="auto"/>
              <w:left w:val="single" w:sz="4" w:space="0" w:color="auto"/>
              <w:bottom w:val="nil"/>
              <w:right w:val="single" w:sz="4" w:space="0" w:color="auto"/>
            </w:tcBorders>
            <w:shd w:val="clear" w:color="auto" w:fill="auto"/>
            <w:noWrap/>
            <w:vAlign w:val="center"/>
          </w:tcPr>
          <w:p w14:paraId="07386EBA" w14:textId="77777777" w:rsidR="00AD200A" w:rsidRPr="004E74A6" w:rsidRDefault="00AD200A" w:rsidP="00CE62C1">
            <w:pPr>
              <w:spacing w:line="276" w:lineRule="auto"/>
              <w:jc w:val="center"/>
              <w:rPr>
                <w:rFonts w:cs="Calibri"/>
                <w:color w:val="000000"/>
                <w:sz w:val="20"/>
                <w:lang w:eastAsia="es-CR"/>
              </w:rPr>
            </w:pPr>
          </w:p>
        </w:tc>
        <w:tc>
          <w:tcPr>
            <w:tcW w:w="480" w:type="pct"/>
            <w:tcBorders>
              <w:top w:val="single" w:sz="4" w:space="0" w:color="auto"/>
              <w:left w:val="single" w:sz="4" w:space="0" w:color="auto"/>
              <w:bottom w:val="nil"/>
              <w:right w:val="single" w:sz="4" w:space="0" w:color="auto"/>
            </w:tcBorders>
            <w:shd w:val="clear" w:color="auto" w:fill="auto"/>
            <w:noWrap/>
            <w:vAlign w:val="center"/>
          </w:tcPr>
          <w:p w14:paraId="1AFC9962" w14:textId="77777777" w:rsidR="00AD200A" w:rsidRPr="004E74A6" w:rsidRDefault="00AD200A" w:rsidP="00CE62C1">
            <w:pPr>
              <w:spacing w:line="276" w:lineRule="auto"/>
              <w:jc w:val="center"/>
              <w:rPr>
                <w:rFonts w:cs="Calibri"/>
                <w:color w:val="000000"/>
                <w:sz w:val="20"/>
                <w:lang w:eastAsia="es-CR"/>
              </w:rPr>
            </w:pPr>
          </w:p>
        </w:tc>
        <w:tc>
          <w:tcPr>
            <w:tcW w:w="631" w:type="pct"/>
            <w:tcBorders>
              <w:top w:val="single" w:sz="4" w:space="0" w:color="auto"/>
              <w:left w:val="single" w:sz="4" w:space="0" w:color="auto"/>
              <w:bottom w:val="nil"/>
              <w:right w:val="nil"/>
            </w:tcBorders>
            <w:shd w:val="clear" w:color="auto" w:fill="auto"/>
            <w:noWrap/>
            <w:vAlign w:val="center"/>
          </w:tcPr>
          <w:p w14:paraId="679506D6" w14:textId="77777777" w:rsidR="00AD200A" w:rsidRPr="004E74A6" w:rsidRDefault="00AD200A" w:rsidP="00CE62C1">
            <w:pPr>
              <w:spacing w:line="276" w:lineRule="auto"/>
              <w:jc w:val="center"/>
              <w:rPr>
                <w:rFonts w:cs="Calibri"/>
                <w:color w:val="000000"/>
                <w:sz w:val="20"/>
                <w:lang w:eastAsia="es-CR"/>
              </w:rPr>
            </w:pPr>
          </w:p>
        </w:tc>
        <w:tc>
          <w:tcPr>
            <w:tcW w:w="1337" w:type="pct"/>
            <w:tcBorders>
              <w:top w:val="single" w:sz="4" w:space="0" w:color="auto"/>
              <w:left w:val="single" w:sz="4" w:space="0" w:color="auto"/>
              <w:bottom w:val="nil"/>
              <w:right w:val="nil"/>
            </w:tcBorders>
          </w:tcPr>
          <w:p w14:paraId="30539AA7" w14:textId="77777777" w:rsidR="00AD200A" w:rsidRPr="004E74A6" w:rsidRDefault="00AD200A" w:rsidP="00CE62C1">
            <w:pPr>
              <w:spacing w:line="276" w:lineRule="auto"/>
              <w:jc w:val="center"/>
              <w:rPr>
                <w:rFonts w:cs="Calibri"/>
                <w:color w:val="000000"/>
                <w:sz w:val="20"/>
                <w:lang w:eastAsia="es-CR"/>
              </w:rPr>
            </w:pPr>
          </w:p>
        </w:tc>
      </w:tr>
      <w:tr w:rsidR="00AD200A" w:rsidRPr="004E74A6" w14:paraId="56131519" w14:textId="15C4D02C" w:rsidTr="00AD200A">
        <w:trPr>
          <w:trHeight w:val="288"/>
          <w:jc w:val="center"/>
        </w:trPr>
        <w:tc>
          <w:tcPr>
            <w:tcW w:w="1593" w:type="pct"/>
            <w:tcBorders>
              <w:top w:val="nil"/>
              <w:left w:val="nil"/>
              <w:bottom w:val="nil"/>
              <w:right w:val="single" w:sz="4" w:space="0" w:color="auto"/>
            </w:tcBorders>
            <w:shd w:val="clear" w:color="auto" w:fill="auto"/>
            <w:noWrap/>
            <w:vAlign w:val="center"/>
          </w:tcPr>
          <w:p w14:paraId="7C0D9509" w14:textId="77777777" w:rsidR="00AD200A" w:rsidRPr="004E74A6" w:rsidRDefault="00AD200A" w:rsidP="00CE62C1">
            <w:pPr>
              <w:spacing w:line="276" w:lineRule="auto"/>
              <w:jc w:val="center"/>
              <w:rPr>
                <w:rFonts w:cs="Calibri"/>
                <w:color w:val="000000"/>
                <w:sz w:val="20"/>
                <w:lang w:eastAsia="es-CR"/>
              </w:rPr>
            </w:pPr>
            <w:r w:rsidRPr="004E74A6">
              <w:rPr>
                <w:rFonts w:cs="Calibri"/>
                <w:color w:val="000000"/>
                <w:sz w:val="20"/>
                <w:lang w:eastAsia="es-CR"/>
              </w:rPr>
              <w:t>Total</w:t>
            </w:r>
          </w:p>
        </w:tc>
        <w:tc>
          <w:tcPr>
            <w:tcW w:w="480" w:type="pct"/>
            <w:tcBorders>
              <w:top w:val="nil"/>
              <w:left w:val="single" w:sz="4" w:space="0" w:color="auto"/>
              <w:bottom w:val="nil"/>
              <w:right w:val="single" w:sz="4" w:space="0" w:color="auto"/>
            </w:tcBorders>
            <w:shd w:val="clear" w:color="auto" w:fill="auto"/>
            <w:noWrap/>
            <w:vAlign w:val="center"/>
          </w:tcPr>
          <w:p w14:paraId="301B6BF0" w14:textId="74CA8C37"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1</w:t>
            </w:r>
          </w:p>
        </w:tc>
        <w:tc>
          <w:tcPr>
            <w:tcW w:w="480" w:type="pct"/>
            <w:tcBorders>
              <w:top w:val="nil"/>
              <w:left w:val="single" w:sz="4" w:space="0" w:color="auto"/>
              <w:bottom w:val="nil"/>
              <w:right w:val="single" w:sz="4" w:space="0" w:color="auto"/>
            </w:tcBorders>
            <w:shd w:val="clear" w:color="auto" w:fill="auto"/>
            <w:noWrap/>
            <w:vAlign w:val="center"/>
          </w:tcPr>
          <w:p w14:paraId="27089ECB" w14:textId="46F38AF6"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39</w:t>
            </w:r>
          </w:p>
        </w:tc>
        <w:tc>
          <w:tcPr>
            <w:tcW w:w="480" w:type="pct"/>
            <w:tcBorders>
              <w:top w:val="nil"/>
              <w:left w:val="single" w:sz="4" w:space="0" w:color="auto"/>
              <w:bottom w:val="nil"/>
              <w:right w:val="single" w:sz="4" w:space="0" w:color="auto"/>
            </w:tcBorders>
            <w:shd w:val="clear" w:color="auto" w:fill="auto"/>
            <w:noWrap/>
            <w:vAlign w:val="center"/>
          </w:tcPr>
          <w:p w14:paraId="10C0ABF7" w14:textId="53764E4C"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57</w:t>
            </w:r>
          </w:p>
        </w:tc>
        <w:tc>
          <w:tcPr>
            <w:tcW w:w="631" w:type="pct"/>
            <w:tcBorders>
              <w:top w:val="nil"/>
              <w:left w:val="single" w:sz="4" w:space="0" w:color="auto"/>
              <w:bottom w:val="nil"/>
              <w:right w:val="nil"/>
            </w:tcBorders>
            <w:shd w:val="clear" w:color="auto" w:fill="auto"/>
            <w:noWrap/>
            <w:vAlign w:val="center"/>
          </w:tcPr>
          <w:p w14:paraId="4A91CA84" w14:textId="20BDAE8F"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32</w:t>
            </w:r>
          </w:p>
        </w:tc>
        <w:tc>
          <w:tcPr>
            <w:tcW w:w="1337" w:type="pct"/>
            <w:tcBorders>
              <w:top w:val="nil"/>
              <w:left w:val="single" w:sz="4" w:space="0" w:color="auto"/>
              <w:bottom w:val="nil"/>
              <w:right w:val="nil"/>
            </w:tcBorders>
          </w:tcPr>
          <w:p w14:paraId="3A72E5A7" w14:textId="77777777" w:rsidR="00AD200A" w:rsidRPr="004E74A6" w:rsidRDefault="00AD200A" w:rsidP="00CE62C1">
            <w:pPr>
              <w:spacing w:line="276" w:lineRule="auto"/>
              <w:jc w:val="center"/>
              <w:rPr>
                <w:rFonts w:cs="Calibri"/>
                <w:color w:val="000000"/>
                <w:sz w:val="20"/>
              </w:rPr>
            </w:pPr>
          </w:p>
        </w:tc>
      </w:tr>
      <w:tr w:rsidR="00AD200A" w:rsidRPr="004E74A6" w14:paraId="52F97A91" w14:textId="60AC507B" w:rsidTr="00AD200A">
        <w:trPr>
          <w:trHeight w:val="288"/>
          <w:jc w:val="center"/>
        </w:trPr>
        <w:tc>
          <w:tcPr>
            <w:tcW w:w="1593" w:type="pct"/>
            <w:tcBorders>
              <w:top w:val="nil"/>
              <w:left w:val="nil"/>
              <w:bottom w:val="nil"/>
              <w:right w:val="single" w:sz="4" w:space="0" w:color="auto"/>
            </w:tcBorders>
            <w:shd w:val="clear" w:color="auto" w:fill="auto"/>
            <w:noWrap/>
            <w:vAlign w:val="bottom"/>
          </w:tcPr>
          <w:p w14:paraId="351D568B" w14:textId="77777777" w:rsidR="00AD200A" w:rsidRPr="004E74A6" w:rsidRDefault="00AD200A" w:rsidP="00CE62C1">
            <w:pPr>
              <w:spacing w:line="276" w:lineRule="auto"/>
              <w:jc w:val="left"/>
              <w:rPr>
                <w:rFonts w:cs="Calibri"/>
                <w:color w:val="000000"/>
                <w:sz w:val="20"/>
                <w:lang w:eastAsia="es-CR"/>
              </w:rPr>
            </w:pPr>
          </w:p>
        </w:tc>
        <w:tc>
          <w:tcPr>
            <w:tcW w:w="480" w:type="pct"/>
            <w:tcBorders>
              <w:top w:val="nil"/>
              <w:left w:val="single" w:sz="4" w:space="0" w:color="auto"/>
              <w:bottom w:val="nil"/>
              <w:right w:val="single" w:sz="4" w:space="0" w:color="auto"/>
            </w:tcBorders>
            <w:shd w:val="clear" w:color="auto" w:fill="auto"/>
            <w:noWrap/>
            <w:vAlign w:val="center"/>
          </w:tcPr>
          <w:p w14:paraId="418DF301" w14:textId="77777777" w:rsidR="00AD200A" w:rsidRPr="004E74A6" w:rsidRDefault="00AD200A" w:rsidP="00CE62C1">
            <w:pPr>
              <w:spacing w:line="276" w:lineRule="auto"/>
              <w:jc w:val="center"/>
              <w:rPr>
                <w:rFonts w:cs="Calibri"/>
                <w:color w:val="000000"/>
                <w:sz w:val="20"/>
                <w:lang w:eastAsia="es-CR"/>
              </w:rPr>
            </w:pPr>
          </w:p>
        </w:tc>
        <w:tc>
          <w:tcPr>
            <w:tcW w:w="480" w:type="pct"/>
            <w:tcBorders>
              <w:top w:val="nil"/>
              <w:left w:val="single" w:sz="4" w:space="0" w:color="auto"/>
              <w:bottom w:val="nil"/>
              <w:right w:val="single" w:sz="4" w:space="0" w:color="auto"/>
            </w:tcBorders>
            <w:shd w:val="clear" w:color="auto" w:fill="auto"/>
            <w:noWrap/>
            <w:vAlign w:val="center"/>
          </w:tcPr>
          <w:p w14:paraId="7DB04567" w14:textId="77777777" w:rsidR="00AD200A" w:rsidRPr="004E74A6" w:rsidRDefault="00AD200A" w:rsidP="00CE62C1">
            <w:pPr>
              <w:spacing w:line="276" w:lineRule="auto"/>
              <w:jc w:val="center"/>
              <w:rPr>
                <w:rFonts w:cs="Calibri"/>
                <w:color w:val="000000"/>
                <w:sz w:val="20"/>
                <w:lang w:eastAsia="es-CR"/>
              </w:rPr>
            </w:pPr>
          </w:p>
        </w:tc>
        <w:tc>
          <w:tcPr>
            <w:tcW w:w="480" w:type="pct"/>
            <w:tcBorders>
              <w:top w:val="nil"/>
              <w:left w:val="single" w:sz="4" w:space="0" w:color="auto"/>
              <w:bottom w:val="nil"/>
              <w:right w:val="single" w:sz="4" w:space="0" w:color="auto"/>
            </w:tcBorders>
            <w:shd w:val="clear" w:color="auto" w:fill="auto"/>
            <w:noWrap/>
            <w:vAlign w:val="center"/>
          </w:tcPr>
          <w:p w14:paraId="6E636AAA" w14:textId="77777777" w:rsidR="00AD200A" w:rsidRPr="004E74A6" w:rsidRDefault="00AD200A" w:rsidP="00CE62C1">
            <w:pPr>
              <w:spacing w:line="276" w:lineRule="auto"/>
              <w:jc w:val="center"/>
              <w:rPr>
                <w:rFonts w:cs="Calibri"/>
                <w:color w:val="000000"/>
                <w:sz w:val="20"/>
                <w:lang w:eastAsia="es-CR"/>
              </w:rPr>
            </w:pPr>
          </w:p>
        </w:tc>
        <w:tc>
          <w:tcPr>
            <w:tcW w:w="631" w:type="pct"/>
            <w:tcBorders>
              <w:top w:val="nil"/>
              <w:left w:val="single" w:sz="4" w:space="0" w:color="auto"/>
              <w:bottom w:val="nil"/>
              <w:right w:val="nil"/>
            </w:tcBorders>
            <w:shd w:val="clear" w:color="auto" w:fill="auto"/>
            <w:noWrap/>
            <w:vAlign w:val="center"/>
          </w:tcPr>
          <w:p w14:paraId="76FFEB79" w14:textId="77777777" w:rsidR="00AD200A" w:rsidRPr="004E74A6" w:rsidRDefault="00AD200A" w:rsidP="00CE62C1">
            <w:pPr>
              <w:spacing w:line="276" w:lineRule="auto"/>
              <w:jc w:val="center"/>
              <w:rPr>
                <w:rFonts w:cs="Calibri"/>
                <w:color w:val="000000"/>
                <w:sz w:val="20"/>
                <w:lang w:eastAsia="es-CR"/>
              </w:rPr>
            </w:pPr>
          </w:p>
        </w:tc>
        <w:tc>
          <w:tcPr>
            <w:tcW w:w="1337" w:type="pct"/>
            <w:tcBorders>
              <w:top w:val="nil"/>
              <w:left w:val="single" w:sz="4" w:space="0" w:color="auto"/>
              <w:bottom w:val="nil"/>
              <w:right w:val="nil"/>
            </w:tcBorders>
          </w:tcPr>
          <w:p w14:paraId="4D985E37" w14:textId="77777777" w:rsidR="00AD200A" w:rsidRPr="004E74A6" w:rsidRDefault="00AD200A" w:rsidP="00CE62C1">
            <w:pPr>
              <w:spacing w:line="276" w:lineRule="auto"/>
              <w:jc w:val="center"/>
              <w:rPr>
                <w:rFonts w:cs="Calibri"/>
                <w:color w:val="000000"/>
                <w:sz w:val="20"/>
                <w:lang w:eastAsia="es-CR"/>
              </w:rPr>
            </w:pPr>
          </w:p>
        </w:tc>
      </w:tr>
      <w:tr w:rsidR="00AD200A" w:rsidRPr="004E74A6" w14:paraId="2CF99475" w14:textId="186975A1" w:rsidTr="00AD200A">
        <w:trPr>
          <w:trHeight w:val="288"/>
          <w:jc w:val="center"/>
        </w:trPr>
        <w:tc>
          <w:tcPr>
            <w:tcW w:w="1593" w:type="pct"/>
            <w:tcBorders>
              <w:top w:val="nil"/>
              <w:left w:val="nil"/>
              <w:bottom w:val="nil"/>
              <w:right w:val="single" w:sz="4" w:space="0" w:color="auto"/>
            </w:tcBorders>
            <w:shd w:val="clear" w:color="auto" w:fill="C5E0B3" w:themeFill="accent6" w:themeFillTint="66"/>
            <w:noWrap/>
            <w:vAlign w:val="bottom"/>
            <w:hideMark/>
          </w:tcPr>
          <w:p w14:paraId="47DFDF06" w14:textId="77777777" w:rsidR="00AD200A" w:rsidRPr="004E74A6" w:rsidRDefault="00AD200A" w:rsidP="00CE62C1">
            <w:pPr>
              <w:spacing w:line="276" w:lineRule="auto"/>
              <w:jc w:val="left"/>
              <w:rPr>
                <w:rFonts w:cs="Calibri"/>
                <w:color w:val="000000"/>
                <w:sz w:val="20"/>
                <w:lang w:eastAsia="es-CR"/>
              </w:rPr>
            </w:pPr>
            <w:r w:rsidRPr="004E74A6">
              <w:rPr>
                <w:rFonts w:cs="Calibri"/>
                <w:color w:val="000000"/>
                <w:sz w:val="20"/>
                <w:lang w:eastAsia="es-CR"/>
              </w:rPr>
              <w:t>Menos De ¢3.000.001</w:t>
            </w:r>
          </w:p>
        </w:tc>
        <w:tc>
          <w:tcPr>
            <w:tcW w:w="480" w:type="pct"/>
            <w:tcBorders>
              <w:top w:val="nil"/>
              <w:left w:val="single" w:sz="4" w:space="0" w:color="auto"/>
              <w:bottom w:val="nil"/>
              <w:right w:val="single" w:sz="4" w:space="0" w:color="auto"/>
            </w:tcBorders>
            <w:shd w:val="clear" w:color="auto" w:fill="C5E0B3" w:themeFill="accent6" w:themeFillTint="66"/>
            <w:noWrap/>
            <w:vAlign w:val="center"/>
            <w:hideMark/>
          </w:tcPr>
          <w:p w14:paraId="727BB48E" w14:textId="799C0ED9"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1</w:t>
            </w:r>
          </w:p>
        </w:tc>
        <w:tc>
          <w:tcPr>
            <w:tcW w:w="480" w:type="pct"/>
            <w:tcBorders>
              <w:top w:val="nil"/>
              <w:left w:val="single" w:sz="4" w:space="0" w:color="auto"/>
              <w:bottom w:val="nil"/>
              <w:right w:val="single" w:sz="4" w:space="0" w:color="auto"/>
            </w:tcBorders>
            <w:shd w:val="clear" w:color="auto" w:fill="C5E0B3" w:themeFill="accent6" w:themeFillTint="66"/>
            <w:noWrap/>
            <w:vAlign w:val="center"/>
            <w:hideMark/>
          </w:tcPr>
          <w:p w14:paraId="0ECAA174" w14:textId="5FD95DF3"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7</w:t>
            </w:r>
          </w:p>
        </w:tc>
        <w:tc>
          <w:tcPr>
            <w:tcW w:w="480" w:type="pct"/>
            <w:tcBorders>
              <w:top w:val="nil"/>
              <w:left w:val="single" w:sz="4" w:space="0" w:color="auto"/>
              <w:bottom w:val="nil"/>
              <w:right w:val="single" w:sz="4" w:space="0" w:color="auto"/>
            </w:tcBorders>
            <w:shd w:val="clear" w:color="auto" w:fill="C5E0B3" w:themeFill="accent6" w:themeFillTint="66"/>
            <w:noWrap/>
            <w:vAlign w:val="center"/>
            <w:hideMark/>
          </w:tcPr>
          <w:p w14:paraId="0EA087FB" w14:textId="6C39745C"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6</w:t>
            </w:r>
          </w:p>
        </w:tc>
        <w:tc>
          <w:tcPr>
            <w:tcW w:w="631" w:type="pct"/>
            <w:tcBorders>
              <w:top w:val="nil"/>
              <w:left w:val="single" w:sz="4" w:space="0" w:color="auto"/>
              <w:bottom w:val="nil"/>
              <w:right w:val="nil"/>
            </w:tcBorders>
            <w:shd w:val="clear" w:color="auto" w:fill="C5E0B3" w:themeFill="accent6" w:themeFillTint="66"/>
            <w:noWrap/>
            <w:vAlign w:val="center"/>
            <w:hideMark/>
          </w:tcPr>
          <w:p w14:paraId="3F8D5B6F" w14:textId="59D84E83"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4,7</w:t>
            </w:r>
          </w:p>
        </w:tc>
        <w:tc>
          <w:tcPr>
            <w:tcW w:w="1337" w:type="pct"/>
            <w:tcBorders>
              <w:top w:val="nil"/>
              <w:left w:val="single" w:sz="4" w:space="0" w:color="auto"/>
              <w:bottom w:val="nil"/>
              <w:right w:val="nil"/>
            </w:tcBorders>
            <w:shd w:val="clear" w:color="auto" w:fill="C5E0B3" w:themeFill="accent6" w:themeFillTint="66"/>
            <w:vAlign w:val="bottom"/>
          </w:tcPr>
          <w:p w14:paraId="20D26E24" w14:textId="2DDE83AD" w:rsidR="00AD200A" w:rsidRPr="004E74A6" w:rsidRDefault="00AD200A" w:rsidP="00CE62C1">
            <w:pPr>
              <w:spacing w:line="276" w:lineRule="auto"/>
              <w:jc w:val="center"/>
              <w:rPr>
                <w:rFonts w:cs="Calibri"/>
                <w:color w:val="000000"/>
                <w:sz w:val="20"/>
              </w:rPr>
            </w:pPr>
            <w:r w:rsidRPr="004E74A6">
              <w:rPr>
                <w:rFonts w:cs="Calibri"/>
                <w:color w:val="000000"/>
                <w:sz w:val="20"/>
              </w:rPr>
              <w:t>14%</w:t>
            </w:r>
          </w:p>
        </w:tc>
      </w:tr>
      <w:tr w:rsidR="00AD200A" w:rsidRPr="004E74A6" w14:paraId="25B86C77" w14:textId="3C68208E" w:rsidTr="00AD200A">
        <w:trPr>
          <w:trHeight w:val="288"/>
          <w:jc w:val="center"/>
        </w:trPr>
        <w:tc>
          <w:tcPr>
            <w:tcW w:w="1593" w:type="pct"/>
            <w:tcBorders>
              <w:top w:val="nil"/>
              <w:left w:val="nil"/>
              <w:bottom w:val="nil"/>
              <w:right w:val="single" w:sz="4" w:space="0" w:color="auto"/>
            </w:tcBorders>
            <w:shd w:val="clear" w:color="auto" w:fill="C5E0B3" w:themeFill="accent6" w:themeFillTint="66"/>
            <w:noWrap/>
            <w:vAlign w:val="bottom"/>
            <w:hideMark/>
          </w:tcPr>
          <w:p w14:paraId="7DC10BE4" w14:textId="77777777" w:rsidR="00AD200A" w:rsidRPr="004E74A6" w:rsidRDefault="00AD200A" w:rsidP="00CE62C1">
            <w:pPr>
              <w:spacing w:line="276" w:lineRule="auto"/>
              <w:jc w:val="left"/>
              <w:rPr>
                <w:rFonts w:cs="Calibri"/>
                <w:color w:val="000000"/>
                <w:sz w:val="20"/>
                <w:lang w:eastAsia="es-CR"/>
              </w:rPr>
            </w:pPr>
            <w:r w:rsidRPr="004E74A6">
              <w:rPr>
                <w:rFonts w:cs="Calibri"/>
                <w:color w:val="000000"/>
                <w:sz w:val="20"/>
                <w:lang w:eastAsia="es-CR"/>
              </w:rPr>
              <w:t>De ¢3.000.001 A ¢4.000.000</w:t>
            </w:r>
          </w:p>
        </w:tc>
        <w:tc>
          <w:tcPr>
            <w:tcW w:w="480" w:type="pct"/>
            <w:tcBorders>
              <w:top w:val="nil"/>
              <w:left w:val="single" w:sz="4" w:space="0" w:color="auto"/>
              <w:bottom w:val="nil"/>
              <w:right w:val="single" w:sz="4" w:space="0" w:color="auto"/>
            </w:tcBorders>
            <w:shd w:val="clear" w:color="auto" w:fill="C5E0B3" w:themeFill="accent6" w:themeFillTint="66"/>
            <w:noWrap/>
            <w:vAlign w:val="center"/>
            <w:hideMark/>
          </w:tcPr>
          <w:p w14:paraId="71F21D4A" w14:textId="5A48EEA6"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0</w:t>
            </w:r>
          </w:p>
        </w:tc>
        <w:tc>
          <w:tcPr>
            <w:tcW w:w="480" w:type="pct"/>
            <w:tcBorders>
              <w:top w:val="nil"/>
              <w:left w:val="single" w:sz="4" w:space="0" w:color="auto"/>
              <w:bottom w:val="nil"/>
              <w:right w:val="single" w:sz="4" w:space="0" w:color="auto"/>
            </w:tcBorders>
            <w:shd w:val="clear" w:color="auto" w:fill="C5E0B3" w:themeFill="accent6" w:themeFillTint="66"/>
            <w:noWrap/>
            <w:vAlign w:val="center"/>
            <w:hideMark/>
          </w:tcPr>
          <w:p w14:paraId="705A9CA3" w14:textId="61F68399"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2</w:t>
            </w:r>
          </w:p>
        </w:tc>
        <w:tc>
          <w:tcPr>
            <w:tcW w:w="480" w:type="pct"/>
            <w:tcBorders>
              <w:top w:val="nil"/>
              <w:left w:val="single" w:sz="4" w:space="0" w:color="auto"/>
              <w:bottom w:val="nil"/>
              <w:right w:val="single" w:sz="4" w:space="0" w:color="auto"/>
            </w:tcBorders>
            <w:shd w:val="clear" w:color="auto" w:fill="C5E0B3" w:themeFill="accent6" w:themeFillTint="66"/>
            <w:noWrap/>
            <w:vAlign w:val="center"/>
            <w:hideMark/>
          </w:tcPr>
          <w:p w14:paraId="5F3803B0" w14:textId="6FD2A569"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6</w:t>
            </w:r>
          </w:p>
        </w:tc>
        <w:tc>
          <w:tcPr>
            <w:tcW w:w="631" w:type="pct"/>
            <w:tcBorders>
              <w:top w:val="nil"/>
              <w:left w:val="single" w:sz="4" w:space="0" w:color="auto"/>
              <w:bottom w:val="nil"/>
              <w:right w:val="nil"/>
            </w:tcBorders>
            <w:shd w:val="clear" w:color="auto" w:fill="C5E0B3" w:themeFill="accent6" w:themeFillTint="66"/>
            <w:noWrap/>
            <w:vAlign w:val="center"/>
            <w:hideMark/>
          </w:tcPr>
          <w:p w14:paraId="02F25520" w14:textId="1EDB983A"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2,7</w:t>
            </w:r>
          </w:p>
        </w:tc>
        <w:tc>
          <w:tcPr>
            <w:tcW w:w="1337" w:type="pct"/>
            <w:tcBorders>
              <w:top w:val="nil"/>
              <w:left w:val="single" w:sz="4" w:space="0" w:color="auto"/>
              <w:bottom w:val="nil"/>
              <w:right w:val="nil"/>
            </w:tcBorders>
            <w:shd w:val="clear" w:color="auto" w:fill="C5E0B3" w:themeFill="accent6" w:themeFillTint="66"/>
            <w:vAlign w:val="bottom"/>
          </w:tcPr>
          <w:p w14:paraId="01B5B956" w14:textId="4C6E4197" w:rsidR="00AD200A" w:rsidRPr="004E74A6" w:rsidRDefault="00AD200A" w:rsidP="00CE62C1">
            <w:pPr>
              <w:spacing w:line="276" w:lineRule="auto"/>
              <w:jc w:val="center"/>
              <w:rPr>
                <w:rFonts w:cs="Calibri"/>
                <w:color w:val="000000"/>
                <w:sz w:val="20"/>
              </w:rPr>
            </w:pPr>
            <w:r w:rsidRPr="004E74A6">
              <w:rPr>
                <w:rFonts w:cs="Calibri"/>
                <w:color w:val="000000"/>
                <w:sz w:val="20"/>
              </w:rPr>
              <w:t>23%</w:t>
            </w:r>
          </w:p>
        </w:tc>
      </w:tr>
      <w:tr w:rsidR="00AD200A" w:rsidRPr="004E74A6" w14:paraId="15ADAA8E" w14:textId="027C6BD6" w:rsidTr="00AD200A">
        <w:trPr>
          <w:trHeight w:val="288"/>
          <w:jc w:val="center"/>
        </w:trPr>
        <w:tc>
          <w:tcPr>
            <w:tcW w:w="1593" w:type="pct"/>
            <w:tcBorders>
              <w:top w:val="nil"/>
              <w:left w:val="nil"/>
              <w:bottom w:val="nil"/>
              <w:right w:val="single" w:sz="4" w:space="0" w:color="auto"/>
            </w:tcBorders>
            <w:shd w:val="clear" w:color="auto" w:fill="C5E0B3" w:themeFill="accent6" w:themeFillTint="66"/>
            <w:noWrap/>
            <w:vAlign w:val="bottom"/>
            <w:hideMark/>
          </w:tcPr>
          <w:p w14:paraId="2F25E1C8" w14:textId="77777777" w:rsidR="00AD200A" w:rsidRPr="00832773" w:rsidRDefault="00AD200A" w:rsidP="00CE62C1">
            <w:pPr>
              <w:spacing w:line="276" w:lineRule="auto"/>
              <w:jc w:val="left"/>
              <w:rPr>
                <w:rFonts w:cs="Calibri"/>
                <w:b/>
                <w:bCs/>
                <w:color w:val="000000"/>
                <w:sz w:val="20"/>
                <w:lang w:eastAsia="es-CR"/>
              </w:rPr>
            </w:pPr>
            <w:r w:rsidRPr="00832773">
              <w:rPr>
                <w:rFonts w:cs="Calibri"/>
                <w:b/>
                <w:bCs/>
                <w:color w:val="000000"/>
                <w:sz w:val="20"/>
                <w:lang w:eastAsia="es-CR"/>
              </w:rPr>
              <w:t>De ¢4.000.001 A ¢5.000.000</w:t>
            </w:r>
          </w:p>
        </w:tc>
        <w:tc>
          <w:tcPr>
            <w:tcW w:w="480" w:type="pct"/>
            <w:tcBorders>
              <w:top w:val="nil"/>
              <w:left w:val="single" w:sz="4" w:space="0" w:color="auto"/>
              <w:bottom w:val="nil"/>
              <w:right w:val="single" w:sz="4" w:space="0" w:color="auto"/>
            </w:tcBorders>
            <w:shd w:val="clear" w:color="auto" w:fill="C5E0B3" w:themeFill="accent6" w:themeFillTint="66"/>
            <w:noWrap/>
            <w:vAlign w:val="center"/>
            <w:hideMark/>
          </w:tcPr>
          <w:p w14:paraId="5B538A40" w14:textId="696BBD83" w:rsidR="00AD200A" w:rsidRPr="00832773" w:rsidRDefault="00AD200A" w:rsidP="00CE62C1">
            <w:pPr>
              <w:spacing w:line="276" w:lineRule="auto"/>
              <w:jc w:val="center"/>
              <w:rPr>
                <w:rFonts w:cs="Calibri"/>
                <w:b/>
                <w:bCs/>
                <w:color w:val="000000"/>
                <w:sz w:val="20"/>
                <w:lang w:eastAsia="es-CR"/>
              </w:rPr>
            </w:pPr>
            <w:r w:rsidRPr="00832773">
              <w:rPr>
                <w:rFonts w:cs="Calibri"/>
                <w:b/>
                <w:bCs/>
                <w:color w:val="000000"/>
                <w:sz w:val="20"/>
              </w:rPr>
              <w:t>0</w:t>
            </w:r>
          </w:p>
        </w:tc>
        <w:tc>
          <w:tcPr>
            <w:tcW w:w="480" w:type="pct"/>
            <w:tcBorders>
              <w:top w:val="nil"/>
              <w:left w:val="single" w:sz="4" w:space="0" w:color="auto"/>
              <w:bottom w:val="nil"/>
              <w:right w:val="single" w:sz="4" w:space="0" w:color="auto"/>
            </w:tcBorders>
            <w:shd w:val="clear" w:color="auto" w:fill="C5E0B3" w:themeFill="accent6" w:themeFillTint="66"/>
            <w:noWrap/>
            <w:vAlign w:val="center"/>
            <w:hideMark/>
          </w:tcPr>
          <w:p w14:paraId="2EEB95DD" w14:textId="1F5FD2B1" w:rsidR="00AD200A" w:rsidRPr="00832773" w:rsidRDefault="00AD200A" w:rsidP="00CE62C1">
            <w:pPr>
              <w:spacing w:line="276" w:lineRule="auto"/>
              <w:jc w:val="center"/>
              <w:rPr>
                <w:rFonts w:cs="Calibri"/>
                <w:b/>
                <w:bCs/>
                <w:color w:val="000000"/>
                <w:sz w:val="20"/>
                <w:lang w:eastAsia="es-CR"/>
              </w:rPr>
            </w:pPr>
            <w:r w:rsidRPr="00832773">
              <w:rPr>
                <w:rFonts w:cs="Calibri"/>
                <w:b/>
                <w:bCs/>
                <w:color w:val="000000"/>
                <w:sz w:val="20"/>
              </w:rPr>
              <w:t>2</w:t>
            </w:r>
          </w:p>
        </w:tc>
        <w:tc>
          <w:tcPr>
            <w:tcW w:w="480" w:type="pct"/>
            <w:tcBorders>
              <w:top w:val="nil"/>
              <w:left w:val="single" w:sz="4" w:space="0" w:color="auto"/>
              <w:bottom w:val="nil"/>
              <w:right w:val="single" w:sz="4" w:space="0" w:color="auto"/>
            </w:tcBorders>
            <w:shd w:val="clear" w:color="auto" w:fill="C5E0B3" w:themeFill="accent6" w:themeFillTint="66"/>
            <w:noWrap/>
            <w:vAlign w:val="center"/>
            <w:hideMark/>
          </w:tcPr>
          <w:p w14:paraId="1EE1063F" w14:textId="591D9B5A" w:rsidR="00AD200A" w:rsidRPr="00832773" w:rsidRDefault="00AD200A" w:rsidP="00CE62C1">
            <w:pPr>
              <w:spacing w:line="276" w:lineRule="auto"/>
              <w:jc w:val="center"/>
              <w:rPr>
                <w:rFonts w:cs="Calibri"/>
                <w:b/>
                <w:bCs/>
                <w:color w:val="000000"/>
                <w:sz w:val="20"/>
                <w:lang w:eastAsia="es-CR"/>
              </w:rPr>
            </w:pPr>
            <w:r w:rsidRPr="00832773">
              <w:rPr>
                <w:rFonts w:cs="Calibri"/>
                <w:b/>
                <w:bCs/>
                <w:color w:val="000000"/>
                <w:sz w:val="20"/>
              </w:rPr>
              <w:t>7</w:t>
            </w:r>
          </w:p>
        </w:tc>
        <w:tc>
          <w:tcPr>
            <w:tcW w:w="631" w:type="pct"/>
            <w:tcBorders>
              <w:top w:val="nil"/>
              <w:left w:val="single" w:sz="4" w:space="0" w:color="auto"/>
              <w:bottom w:val="nil"/>
              <w:right w:val="nil"/>
            </w:tcBorders>
            <w:shd w:val="clear" w:color="auto" w:fill="C5E0B3" w:themeFill="accent6" w:themeFillTint="66"/>
            <w:noWrap/>
            <w:vAlign w:val="center"/>
            <w:hideMark/>
          </w:tcPr>
          <w:p w14:paraId="39B952E3" w14:textId="56ED55E1" w:rsidR="00AD200A" w:rsidRPr="00832773" w:rsidRDefault="00AD200A" w:rsidP="00CE62C1">
            <w:pPr>
              <w:spacing w:line="276" w:lineRule="auto"/>
              <w:jc w:val="center"/>
              <w:rPr>
                <w:rFonts w:cs="Calibri"/>
                <w:b/>
                <w:bCs/>
                <w:color w:val="000000"/>
                <w:sz w:val="20"/>
                <w:lang w:eastAsia="es-CR"/>
              </w:rPr>
            </w:pPr>
            <w:r w:rsidRPr="00832773">
              <w:rPr>
                <w:rFonts w:cs="Calibri"/>
                <w:b/>
                <w:bCs/>
                <w:color w:val="000000"/>
                <w:sz w:val="20"/>
              </w:rPr>
              <w:t>3,0</w:t>
            </w:r>
          </w:p>
        </w:tc>
        <w:tc>
          <w:tcPr>
            <w:tcW w:w="1337" w:type="pct"/>
            <w:tcBorders>
              <w:top w:val="nil"/>
              <w:left w:val="single" w:sz="4" w:space="0" w:color="auto"/>
              <w:bottom w:val="nil"/>
              <w:right w:val="nil"/>
            </w:tcBorders>
            <w:shd w:val="clear" w:color="auto" w:fill="C5E0B3" w:themeFill="accent6" w:themeFillTint="66"/>
            <w:vAlign w:val="bottom"/>
          </w:tcPr>
          <w:p w14:paraId="7A41B021" w14:textId="3CD70B1B" w:rsidR="00AD200A" w:rsidRPr="00832773" w:rsidRDefault="00AD200A" w:rsidP="00CE62C1">
            <w:pPr>
              <w:spacing w:line="276" w:lineRule="auto"/>
              <w:jc w:val="center"/>
              <w:rPr>
                <w:rFonts w:cs="Calibri"/>
                <w:b/>
                <w:bCs/>
                <w:color w:val="000000"/>
                <w:sz w:val="20"/>
              </w:rPr>
            </w:pPr>
            <w:r w:rsidRPr="00832773">
              <w:rPr>
                <w:rFonts w:cs="Calibri"/>
                <w:b/>
                <w:bCs/>
                <w:color w:val="000000"/>
                <w:sz w:val="20"/>
              </w:rPr>
              <w:t>32%</w:t>
            </w:r>
          </w:p>
        </w:tc>
      </w:tr>
      <w:tr w:rsidR="00AD200A" w:rsidRPr="004E74A6" w14:paraId="677C5C7F" w14:textId="0BC1793C" w:rsidTr="00AD200A">
        <w:trPr>
          <w:trHeight w:val="288"/>
          <w:jc w:val="center"/>
        </w:trPr>
        <w:tc>
          <w:tcPr>
            <w:tcW w:w="1593" w:type="pct"/>
            <w:tcBorders>
              <w:top w:val="nil"/>
              <w:left w:val="nil"/>
              <w:bottom w:val="nil"/>
              <w:right w:val="single" w:sz="4" w:space="0" w:color="auto"/>
            </w:tcBorders>
            <w:shd w:val="clear" w:color="auto" w:fill="C5E0B3" w:themeFill="accent6" w:themeFillTint="66"/>
            <w:noWrap/>
            <w:vAlign w:val="bottom"/>
            <w:hideMark/>
          </w:tcPr>
          <w:p w14:paraId="4274C621" w14:textId="77777777" w:rsidR="00AD200A" w:rsidRPr="004E74A6" w:rsidRDefault="00AD200A" w:rsidP="00CE62C1">
            <w:pPr>
              <w:spacing w:line="276" w:lineRule="auto"/>
              <w:jc w:val="left"/>
              <w:rPr>
                <w:rFonts w:cs="Calibri"/>
                <w:color w:val="000000"/>
                <w:sz w:val="20"/>
                <w:lang w:eastAsia="es-CR"/>
              </w:rPr>
            </w:pPr>
            <w:r w:rsidRPr="004E74A6">
              <w:rPr>
                <w:rFonts w:cs="Calibri"/>
                <w:color w:val="000000"/>
                <w:sz w:val="20"/>
                <w:lang w:eastAsia="es-CR"/>
              </w:rPr>
              <w:t>De ¢5.000.001 A ¢6.000.000</w:t>
            </w:r>
          </w:p>
        </w:tc>
        <w:tc>
          <w:tcPr>
            <w:tcW w:w="480" w:type="pct"/>
            <w:tcBorders>
              <w:top w:val="nil"/>
              <w:left w:val="single" w:sz="4" w:space="0" w:color="auto"/>
              <w:bottom w:val="nil"/>
              <w:right w:val="single" w:sz="4" w:space="0" w:color="auto"/>
            </w:tcBorders>
            <w:shd w:val="clear" w:color="auto" w:fill="C5E0B3" w:themeFill="accent6" w:themeFillTint="66"/>
            <w:noWrap/>
            <w:vAlign w:val="center"/>
            <w:hideMark/>
          </w:tcPr>
          <w:p w14:paraId="14E1B0D7" w14:textId="6A046F0E"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0</w:t>
            </w:r>
          </w:p>
        </w:tc>
        <w:tc>
          <w:tcPr>
            <w:tcW w:w="480" w:type="pct"/>
            <w:tcBorders>
              <w:top w:val="nil"/>
              <w:left w:val="single" w:sz="4" w:space="0" w:color="auto"/>
              <w:bottom w:val="nil"/>
              <w:right w:val="single" w:sz="4" w:space="0" w:color="auto"/>
            </w:tcBorders>
            <w:shd w:val="clear" w:color="auto" w:fill="C5E0B3" w:themeFill="accent6" w:themeFillTint="66"/>
            <w:noWrap/>
            <w:vAlign w:val="center"/>
            <w:hideMark/>
          </w:tcPr>
          <w:p w14:paraId="3149DB35" w14:textId="7D685636"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4</w:t>
            </w:r>
          </w:p>
        </w:tc>
        <w:tc>
          <w:tcPr>
            <w:tcW w:w="480" w:type="pct"/>
            <w:tcBorders>
              <w:top w:val="nil"/>
              <w:left w:val="single" w:sz="4" w:space="0" w:color="auto"/>
              <w:bottom w:val="nil"/>
              <w:right w:val="single" w:sz="4" w:space="0" w:color="auto"/>
            </w:tcBorders>
            <w:shd w:val="clear" w:color="auto" w:fill="C5E0B3" w:themeFill="accent6" w:themeFillTint="66"/>
            <w:noWrap/>
            <w:vAlign w:val="center"/>
            <w:hideMark/>
          </w:tcPr>
          <w:p w14:paraId="796B5572" w14:textId="3D07DB42"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1</w:t>
            </w:r>
          </w:p>
        </w:tc>
        <w:tc>
          <w:tcPr>
            <w:tcW w:w="631" w:type="pct"/>
            <w:tcBorders>
              <w:top w:val="nil"/>
              <w:left w:val="single" w:sz="4" w:space="0" w:color="auto"/>
              <w:bottom w:val="nil"/>
              <w:right w:val="nil"/>
            </w:tcBorders>
            <w:shd w:val="clear" w:color="auto" w:fill="C5E0B3" w:themeFill="accent6" w:themeFillTint="66"/>
            <w:noWrap/>
            <w:vAlign w:val="center"/>
            <w:hideMark/>
          </w:tcPr>
          <w:p w14:paraId="25B9E469" w14:textId="6FB59B54"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1,7</w:t>
            </w:r>
          </w:p>
        </w:tc>
        <w:tc>
          <w:tcPr>
            <w:tcW w:w="1337" w:type="pct"/>
            <w:tcBorders>
              <w:top w:val="nil"/>
              <w:left w:val="single" w:sz="4" w:space="0" w:color="auto"/>
              <w:bottom w:val="nil"/>
              <w:right w:val="nil"/>
            </w:tcBorders>
            <w:shd w:val="clear" w:color="auto" w:fill="C5E0B3" w:themeFill="accent6" w:themeFillTint="66"/>
            <w:vAlign w:val="bottom"/>
          </w:tcPr>
          <w:p w14:paraId="1854A886" w14:textId="20D1EF11" w:rsidR="00AD200A" w:rsidRPr="004E74A6" w:rsidRDefault="00AD200A" w:rsidP="00CE62C1">
            <w:pPr>
              <w:spacing w:line="276" w:lineRule="auto"/>
              <w:jc w:val="center"/>
              <w:rPr>
                <w:rFonts w:cs="Calibri"/>
                <w:color w:val="000000"/>
                <w:sz w:val="20"/>
              </w:rPr>
            </w:pPr>
            <w:r w:rsidRPr="004E74A6">
              <w:rPr>
                <w:rFonts w:cs="Calibri"/>
                <w:color w:val="000000"/>
                <w:sz w:val="20"/>
              </w:rPr>
              <w:t>37%</w:t>
            </w:r>
          </w:p>
        </w:tc>
      </w:tr>
      <w:tr w:rsidR="00AD200A" w:rsidRPr="004E74A6" w14:paraId="326B060E" w14:textId="285E910E" w:rsidTr="00AD200A">
        <w:trPr>
          <w:trHeight w:val="288"/>
          <w:jc w:val="center"/>
        </w:trPr>
        <w:tc>
          <w:tcPr>
            <w:tcW w:w="1593" w:type="pct"/>
            <w:tcBorders>
              <w:top w:val="nil"/>
              <w:left w:val="nil"/>
              <w:bottom w:val="nil"/>
              <w:right w:val="single" w:sz="4" w:space="0" w:color="auto"/>
            </w:tcBorders>
            <w:shd w:val="clear" w:color="auto" w:fill="C5E0B3" w:themeFill="accent6" w:themeFillTint="66"/>
            <w:noWrap/>
            <w:vAlign w:val="bottom"/>
            <w:hideMark/>
          </w:tcPr>
          <w:p w14:paraId="28F55180" w14:textId="77777777" w:rsidR="00AD200A" w:rsidRPr="004E74A6" w:rsidRDefault="00AD200A" w:rsidP="00CE62C1">
            <w:pPr>
              <w:spacing w:line="276" w:lineRule="auto"/>
              <w:jc w:val="left"/>
              <w:rPr>
                <w:rFonts w:cs="Calibri"/>
                <w:color w:val="000000"/>
                <w:sz w:val="20"/>
                <w:lang w:eastAsia="es-CR"/>
              </w:rPr>
            </w:pPr>
            <w:r w:rsidRPr="004E74A6">
              <w:rPr>
                <w:rFonts w:cs="Calibri"/>
                <w:color w:val="000000"/>
                <w:sz w:val="20"/>
                <w:lang w:eastAsia="es-CR"/>
              </w:rPr>
              <w:t>De ¢6.000.001 A ¢7.000.000</w:t>
            </w:r>
          </w:p>
        </w:tc>
        <w:tc>
          <w:tcPr>
            <w:tcW w:w="480" w:type="pct"/>
            <w:tcBorders>
              <w:top w:val="nil"/>
              <w:left w:val="single" w:sz="4" w:space="0" w:color="auto"/>
              <w:bottom w:val="nil"/>
              <w:right w:val="single" w:sz="4" w:space="0" w:color="auto"/>
            </w:tcBorders>
            <w:shd w:val="clear" w:color="auto" w:fill="C5E0B3" w:themeFill="accent6" w:themeFillTint="66"/>
            <w:noWrap/>
            <w:vAlign w:val="center"/>
            <w:hideMark/>
          </w:tcPr>
          <w:p w14:paraId="66445B69" w14:textId="2514D071"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0</w:t>
            </w:r>
          </w:p>
        </w:tc>
        <w:tc>
          <w:tcPr>
            <w:tcW w:w="480" w:type="pct"/>
            <w:tcBorders>
              <w:top w:val="nil"/>
              <w:left w:val="single" w:sz="4" w:space="0" w:color="auto"/>
              <w:bottom w:val="nil"/>
              <w:right w:val="single" w:sz="4" w:space="0" w:color="auto"/>
            </w:tcBorders>
            <w:shd w:val="clear" w:color="auto" w:fill="C5E0B3" w:themeFill="accent6" w:themeFillTint="66"/>
            <w:noWrap/>
            <w:vAlign w:val="center"/>
            <w:hideMark/>
          </w:tcPr>
          <w:p w14:paraId="6773C906" w14:textId="07032945"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1</w:t>
            </w:r>
          </w:p>
        </w:tc>
        <w:tc>
          <w:tcPr>
            <w:tcW w:w="480" w:type="pct"/>
            <w:tcBorders>
              <w:top w:val="nil"/>
              <w:left w:val="single" w:sz="4" w:space="0" w:color="auto"/>
              <w:bottom w:val="nil"/>
              <w:right w:val="single" w:sz="4" w:space="0" w:color="auto"/>
            </w:tcBorders>
            <w:shd w:val="clear" w:color="auto" w:fill="C5E0B3" w:themeFill="accent6" w:themeFillTint="66"/>
            <w:noWrap/>
            <w:vAlign w:val="center"/>
            <w:hideMark/>
          </w:tcPr>
          <w:p w14:paraId="5FF3CB03" w14:textId="4AAE4553"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2</w:t>
            </w:r>
          </w:p>
        </w:tc>
        <w:tc>
          <w:tcPr>
            <w:tcW w:w="631" w:type="pct"/>
            <w:tcBorders>
              <w:top w:val="nil"/>
              <w:left w:val="single" w:sz="4" w:space="0" w:color="auto"/>
              <w:bottom w:val="nil"/>
              <w:right w:val="nil"/>
            </w:tcBorders>
            <w:shd w:val="clear" w:color="auto" w:fill="C5E0B3" w:themeFill="accent6" w:themeFillTint="66"/>
            <w:noWrap/>
            <w:vAlign w:val="center"/>
            <w:hideMark/>
          </w:tcPr>
          <w:p w14:paraId="26C01825" w14:textId="7B7C0E40"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1,0</w:t>
            </w:r>
          </w:p>
        </w:tc>
        <w:tc>
          <w:tcPr>
            <w:tcW w:w="1337" w:type="pct"/>
            <w:tcBorders>
              <w:top w:val="nil"/>
              <w:left w:val="single" w:sz="4" w:space="0" w:color="auto"/>
              <w:bottom w:val="nil"/>
              <w:right w:val="nil"/>
            </w:tcBorders>
            <w:shd w:val="clear" w:color="auto" w:fill="C5E0B3" w:themeFill="accent6" w:themeFillTint="66"/>
            <w:vAlign w:val="bottom"/>
          </w:tcPr>
          <w:p w14:paraId="4EEF8BEB" w14:textId="30CD1400" w:rsidR="00AD200A" w:rsidRPr="004E74A6" w:rsidRDefault="00AD200A" w:rsidP="00CE62C1">
            <w:pPr>
              <w:spacing w:line="276" w:lineRule="auto"/>
              <w:jc w:val="center"/>
              <w:rPr>
                <w:rFonts w:cs="Calibri"/>
                <w:color w:val="000000"/>
                <w:sz w:val="20"/>
              </w:rPr>
            </w:pPr>
            <w:r w:rsidRPr="004E74A6">
              <w:rPr>
                <w:rFonts w:cs="Calibri"/>
                <w:color w:val="000000"/>
                <w:sz w:val="20"/>
              </w:rPr>
              <w:t>40%</w:t>
            </w:r>
          </w:p>
        </w:tc>
      </w:tr>
      <w:tr w:rsidR="00AD200A" w:rsidRPr="004E74A6" w14:paraId="2B5AB466" w14:textId="118BDD18" w:rsidTr="00AD200A">
        <w:trPr>
          <w:trHeight w:val="288"/>
          <w:jc w:val="center"/>
        </w:trPr>
        <w:tc>
          <w:tcPr>
            <w:tcW w:w="1593" w:type="pct"/>
            <w:tcBorders>
              <w:top w:val="nil"/>
              <w:left w:val="nil"/>
              <w:bottom w:val="nil"/>
              <w:right w:val="single" w:sz="4" w:space="0" w:color="auto"/>
            </w:tcBorders>
            <w:shd w:val="clear" w:color="auto" w:fill="C5E0B3" w:themeFill="accent6" w:themeFillTint="66"/>
            <w:noWrap/>
            <w:vAlign w:val="bottom"/>
            <w:hideMark/>
          </w:tcPr>
          <w:p w14:paraId="4ED40CEB" w14:textId="77777777" w:rsidR="00AD200A" w:rsidRPr="004E74A6" w:rsidRDefault="00AD200A" w:rsidP="00CE62C1">
            <w:pPr>
              <w:spacing w:line="276" w:lineRule="auto"/>
              <w:jc w:val="left"/>
              <w:rPr>
                <w:rFonts w:cs="Calibri"/>
                <w:color w:val="000000"/>
                <w:sz w:val="20"/>
                <w:lang w:eastAsia="es-CR"/>
              </w:rPr>
            </w:pPr>
            <w:r w:rsidRPr="004E74A6">
              <w:rPr>
                <w:rFonts w:cs="Calibri"/>
                <w:color w:val="000000"/>
                <w:sz w:val="20"/>
                <w:lang w:eastAsia="es-CR"/>
              </w:rPr>
              <w:t>De ¢7.000.001 A ¢8.000.000</w:t>
            </w:r>
          </w:p>
        </w:tc>
        <w:tc>
          <w:tcPr>
            <w:tcW w:w="480" w:type="pct"/>
            <w:tcBorders>
              <w:top w:val="nil"/>
              <w:left w:val="single" w:sz="4" w:space="0" w:color="auto"/>
              <w:bottom w:val="nil"/>
              <w:right w:val="single" w:sz="4" w:space="0" w:color="auto"/>
            </w:tcBorders>
            <w:shd w:val="clear" w:color="auto" w:fill="C5E0B3" w:themeFill="accent6" w:themeFillTint="66"/>
            <w:noWrap/>
            <w:vAlign w:val="center"/>
            <w:hideMark/>
          </w:tcPr>
          <w:p w14:paraId="3800784D" w14:textId="613BB77E"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0</w:t>
            </w:r>
          </w:p>
        </w:tc>
        <w:tc>
          <w:tcPr>
            <w:tcW w:w="480" w:type="pct"/>
            <w:tcBorders>
              <w:top w:val="nil"/>
              <w:left w:val="single" w:sz="4" w:space="0" w:color="auto"/>
              <w:bottom w:val="nil"/>
              <w:right w:val="single" w:sz="4" w:space="0" w:color="auto"/>
            </w:tcBorders>
            <w:shd w:val="clear" w:color="auto" w:fill="C5E0B3" w:themeFill="accent6" w:themeFillTint="66"/>
            <w:noWrap/>
            <w:vAlign w:val="center"/>
            <w:hideMark/>
          </w:tcPr>
          <w:p w14:paraId="0513EF27" w14:textId="2328AE2C"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1</w:t>
            </w:r>
          </w:p>
        </w:tc>
        <w:tc>
          <w:tcPr>
            <w:tcW w:w="480" w:type="pct"/>
            <w:tcBorders>
              <w:top w:val="nil"/>
              <w:left w:val="single" w:sz="4" w:space="0" w:color="auto"/>
              <w:bottom w:val="nil"/>
              <w:right w:val="single" w:sz="4" w:space="0" w:color="auto"/>
            </w:tcBorders>
            <w:shd w:val="clear" w:color="auto" w:fill="C5E0B3" w:themeFill="accent6" w:themeFillTint="66"/>
            <w:noWrap/>
            <w:vAlign w:val="center"/>
            <w:hideMark/>
          </w:tcPr>
          <w:p w14:paraId="68CA6217" w14:textId="48D3A20D"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3</w:t>
            </w:r>
          </w:p>
        </w:tc>
        <w:tc>
          <w:tcPr>
            <w:tcW w:w="631" w:type="pct"/>
            <w:tcBorders>
              <w:top w:val="nil"/>
              <w:left w:val="single" w:sz="4" w:space="0" w:color="auto"/>
              <w:bottom w:val="nil"/>
              <w:right w:val="nil"/>
            </w:tcBorders>
            <w:shd w:val="clear" w:color="auto" w:fill="C5E0B3" w:themeFill="accent6" w:themeFillTint="66"/>
            <w:noWrap/>
            <w:vAlign w:val="center"/>
            <w:hideMark/>
          </w:tcPr>
          <w:p w14:paraId="3721EBAA" w14:textId="6A1C102D"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1,3</w:t>
            </w:r>
          </w:p>
        </w:tc>
        <w:tc>
          <w:tcPr>
            <w:tcW w:w="1337" w:type="pct"/>
            <w:tcBorders>
              <w:top w:val="nil"/>
              <w:left w:val="single" w:sz="4" w:space="0" w:color="auto"/>
              <w:bottom w:val="nil"/>
              <w:right w:val="nil"/>
            </w:tcBorders>
            <w:shd w:val="clear" w:color="auto" w:fill="C5E0B3" w:themeFill="accent6" w:themeFillTint="66"/>
            <w:vAlign w:val="bottom"/>
          </w:tcPr>
          <w:p w14:paraId="3DAD9AAA" w14:textId="46852003" w:rsidR="00AD200A" w:rsidRPr="004E74A6" w:rsidRDefault="00AD200A" w:rsidP="00CE62C1">
            <w:pPr>
              <w:spacing w:line="276" w:lineRule="auto"/>
              <w:jc w:val="center"/>
              <w:rPr>
                <w:rFonts w:cs="Calibri"/>
                <w:color w:val="000000"/>
                <w:sz w:val="20"/>
              </w:rPr>
            </w:pPr>
            <w:r w:rsidRPr="004E74A6">
              <w:rPr>
                <w:rFonts w:cs="Calibri"/>
                <w:color w:val="000000"/>
                <w:sz w:val="20"/>
              </w:rPr>
              <w:t>44%</w:t>
            </w:r>
          </w:p>
        </w:tc>
      </w:tr>
      <w:tr w:rsidR="00AD200A" w:rsidRPr="004E74A6" w14:paraId="5839CCE5" w14:textId="68191460" w:rsidTr="00AD200A">
        <w:trPr>
          <w:trHeight w:val="288"/>
          <w:jc w:val="center"/>
        </w:trPr>
        <w:tc>
          <w:tcPr>
            <w:tcW w:w="1593" w:type="pct"/>
            <w:tcBorders>
              <w:top w:val="nil"/>
              <w:left w:val="nil"/>
              <w:bottom w:val="nil"/>
              <w:right w:val="single" w:sz="4" w:space="0" w:color="auto"/>
            </w:tcBorders>
            <w:shd w:val="clear" w:color="auto" w:fill="C5E0B3" w:themeFill="accent6" w:themeFillTint="66"/>
            <w:noWrap/>
            <w:vAlign w:val="bottom"/>
            <w:hideMark/>
          </w:tcPr>
          <w:p w14:paraId="51C76626" w14:textId="77777777" w:rsidR="00AD200A" w:rsidRPr="004E74A6" w:rsidRDefault="00AD200A" w:rsidP="00CE62C1">
            <w:pPr>
              <w:spacing w:line="276" w:lineRule="auto"/>
              <w:jc w:val="left"/>
              <w:rPr>
                <w:rFonts w:cs="Calibri"/>
                <w:color w:val="000000"/>
                <w:sz w:val="20"/>
                <w:lang w:eastAsia="es-CR"/>
              </w:rPr>
            </w:pPr>
            <w:r w:rsidRPr="004E74A6">
              <w:rPr>
                <w:rFonts w:cs="Calibri"/>
                <w:color w:val="000000"/>
                <w:sz w:val="20"/>
                <w:lang w:eastAsia="es-CR"/>
              </w:rPr>
              <w:t>De ¢8.000.001 A ¢9.000.000</w:t>
            </w:r>
          </w:p>
        </w:tc>
        <w:tc>
          <w:tcPr>
            <w:tcW w:w="480" w:type="pct"/>
            <w:tcBorders>
              <w:top w:val="nil"/>
              <w:left w:val="single" w:sz="4" w:space="0" w:color="auto"/>
              <w:bottom w:val="nil"/>
              <w:right w:val="single" w:sz="4" w:space="0" w:color="auto"/>
            </w:tcBorders>
            <w:shd w:val="clear" w:color="auto" w:fill="C5E0B3" w:themeFill="accent6" w:themeFillTint="66"/>
            <w:noWrap/>
            <w:vAlign w:val="center"/>
            <w:hideMark/>
          </w:tcPr>
          <w:p w14:paraId="69A6A960" w14:textId="51A577C5"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0</w:t>
            </w:r>
          </w:p>
        </w:tc>
        <w:tc>
          <w:tcPr>
            <w:tcW w:w="480" w:type="pct"/>
            <w:tcBorders>
              <w:top w:val="nil"/>
              <w:left w:val="single" w:sz="4" w:space="0" w:color="auto"/>
              <w:bottom w:val="nil"/>
              <w:right w:val="single" w:sz="4" w:space="0" w:color="auto"/>
            </w:tcBorders>
            <w:shd w:val="clear" w:color="auto" w:fill="C5E0B3" w:themeFill="accent6" w:themeFillTint="66"/>
            <w:noWrap/>
            <w:vAlign w:val="center"/>
            <w:hideMark/>
          </w:tcPr>
          <w:p w14:paraId="39BCC575" w14:textId="53F0B035" w:rsidR="00AD200A" w:rsidRPr="004E74A6" w:rsidRDefault="00AD200A" w:rsidP="00CE62C1">
            <w:pPr>
              <w:spacing w:line="276" w:lineRule="auto"/>
              <w:jc w:val="center"/>
              <w:rPr>
                <w:sz w:val="20"/>
                <w:lang w:eastAsia="es-CR"/>
              </w:rPr>
            </w:pPr>
            <w:r w:rsidRPr="004E74A6">
              <w:rPr>
                <w:rFonts w:cs="Calibri"/>
                <w:color w:val="000000"/>
                <w:sz w:val="20"/>
              </w:rPr>
              <w:t>0</w:t>
            </w:r>
          </w:p>
        </w:tc>
        <w:tc>
          <w:tcPr>
            <w:tcW w:w="480" w:type="pct"/>
            <w:tcBorders>
              <w:top w:val="nil"/>
              <w:left w:val="single" w:sz="4" w:space="0" w:color="auto"/>
              <w:bottom w:val="nil"/>
              <w:right w:val="single" w:sz="4" w:space="0" w:color="auto"/>
            </w:tcBorders>
            <w:shd w:val="clear" w:color="auto" w:fill="C5E0B3" w:themeFill="accent6" w:themeFillTint="66"/>
            <w:noWrap/>
            <w:vAlign w:val="center"/>
            <w:hideMark/>
          </w:tcPr>
          <w:p w14:paraId="19EFDD77" w14:textId="755EEEB6"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1</w:t>
            </w:r>
          </w:p>
        </w:tc>
        <w:tc>
          <w:tcPr>
            <w:tcW w:w="631" w:type="pct"/>
            <w:tcBorders>
              <w:top w:val="nil"/>
              <w:left w:val="single" w:sz="4" w:space="0" w:color="auto"/>
              <w:bottom w:val="nil"/>
              <w:right w:val="nil"/>
            </w:tcBorders>
            <w:shd w:val="clear" w:color="auto" w:fill="C5E0B3" w:themeFill="accent6" w:themeFillTint="66"/>
            <w:noWrap/>
            <w:vAlign w:val="center"/>
            <w:hideMark/>
          </w:tcPr>
          <w:p w14:paraId="220FEE68" w14:textId="3FB7060F"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0,3</w:t>
            </w:r>
          </w:p>
        </w:tc>
        <w:tc>
          <w:tcPr>
            <w:tcW w:w="1337" w:type="pct"/>
            <w:tcBorders>
              <w:top w:val="nil"/>
              <w:left w:val="single" w:sz="4" w:space="0" w:color="auto"/>
              <w:bottom w:val="nil"/>
              <w:right w:val="nil"/>
            </w:tcBorders>
            <w:shd w:val="clear" w:color="auto" w:fill="C5E0B3" w:themeFill="accent6" w:themeFillTint="66"/>
            <w:vAlign w:val="bottom"/>
          </w:tcPr>
          <w:p w14:paraId="252FA475" w14:textId="7C29EF06" w:rsidR="00AD200A" w:rsidRPr="004E74A6" w:rsidRDefault="00AD200A" w:rsidP="00CE62C1">
            <w:pPr>
              <w:spacing w:line="276" w:lineRule="auto"/>
              <w:jc w:val="center"/>
              <w:rPr>
                <w:rFonts w:cs="Calibri"/>
                <w:color w:val="000000"/>
                <w:sz w:val="20"/>
              </w:rPr>
            </w:pPr>
            <w:r w:rsidRPr="004E74A6">
              <w:rPr>
                <w:rFonts w:cs="Calibri"/>
                <w:color w:val="000000"/>
                <w:sz w:val="20"/>
              </w:rPr>
              <w:t>45%</w:t>
            </w:r>
          </w:p>
        </w:tc>
      </w:tr>
      <w:tr w:rsidR="00AD200A" w:rsidRPr="004E74A6" w14:paraId="2AE6F1CE" w14:textId="7CB027E4" w:rsidTr="00AD200A">
        <w:trPr>
          <w:trHeight w:val="288"/>
          <w:jc w:val="center"/>
        </w:trPr>
        <w:tc>
          <w:tcPr>
            <w:tcW w:w="1593" w:type="pct"/>
            <w:tcBorders>
              <w:top w:val="nil"/>
              <w:left w:val="nil"/>
              <w:bottom w:val="nil"/>
              <w:right w:val="single" w:sz="4" w:space="0" w:color="auto"/>
            </w:tcBorders>
            <w:shd w:val="clear" w:color="auto" w:fill="C5E0B3" w:themeFill="accent6" w:themeFillTint="66"/>
            <w:noWrap/>
            <w:vAlign w:val="bottom"/>
            <w:hideMark/>
          </w:tcPr>
          <w:p w14:paraId="3C76411D" w14:textId="77777777" w:rsidR="00AD200A" w:rsidRPr="004E74A6" w:rsidRDefault="00AD200A" w:rsidP="00CE62C1">
            <w:pPr>
              <w:spacing w:line="276" w:lineRule="auto"/>
              <w:jc w:val="left"/>
              <w:rPr>
                <w:rFonts w:cs="Calibri"/>
                <w:color w:val="000000"/>
                <w:sz w:val="20"/>
                <w:lang w:eastAsia="es-CR"/>
              </w:rPr>
            </w:pPr>
            <w:r w:rsidRPr="004E74A6">
              <w:rPr>
                <w:rFonts w:cs="Calibri"/>
                <w:color w:val="000000"/>
                <w:sz w:val="20"/>
                <w:lang w:eastAsia="es-CR"/>
              </w:rPr>
              <w:t>De ¢9.000.001 A ¢10.000.000</w:t>
            </w:r>
          </w:p>
        </w:tc>
        <w:tc>
          <w:tcPr>
            <w:tcW w:w="480" w:type="pct"/>
            <w:tcBorders>
              <w:top w:val="nil"/>
              <w:left w:val="single" w:sz="4" w:space="0" w:color="auto"/>
              <w:bottom w:val="nil"/>
              <w:right w:val="single" w:sz="4" w:space="0" w:color="auto"/>
            </w:tcBorders>
            <w:shd w:val="clear" w:color="auto" w:fill="C5E0B3" w:themeFill="accent6" w:themeFillTint="66"/>
            <w:noWrap/>
            <w:vAlign w:val="center"/>
            <w:hideMark/>
          </w:tcPr>
          <w:p w14:paraId="1FACB9CC" w14:textId="6B7034EE"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0</w:t>
            </w:r>
          </w:p>
        </w:tc>
        <w:tc>
          <w:tcPr>
            <w:tcW w:w="480" w:type="pct"/>
            <w:tcBorders>
              <w:top w:val="nil"/>
              <w:left w:val="single" w:sz="4" w:space="0" w:color="auto"/>
              <w:bottom w:val="nil"/>
              <w:right w:val="single" w:sz="4" w:space="0" w:color="auto"/>
            </w:tcBorders>
            <w:shd w:val="clear" w:color="auto" w:fill="C5E0B3" w:themeFill="accent6" w:themeFillTint="66"/>
            <w:noWrap/>
            <w:vAlign w:val="center"/>
            <w:hideMark/>
          </w:tcPr>
          <w:p w14:paraId="40608CCB" w14:textId="2E70D0D7"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3</w:t>
            </w:r>
          </w:p>
        </w:tc>
        <w:tc>
          <w:tcPr>
            <w:tcW w:w="480" w:type="pct"/>
            <w:tcBorders>
              <w:top w:val="nil"/>
              <w:left w:val="single" w:sz="4" w:space="0" w:color="auto"/>
              <w:bottom w:val="nil"/>
              <w:right w:val="single" w:sz="4" w:space="0" w:color="auto"/>
            </w:tcBorders>
            <w:shd w:val="clear" w:color="auto" w:fill="C5E0B3" w:themeFill="accent6" w:themeFillTint="66"/>
            <w:noWrap/>
            <w:vAlign w:val="center"/>
            <w:hideMark/>
          </w:tcPr>
          <w:p w14:paraId="53061EBD" w14:textId="1845949A"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5</w:t>
            </w:r>
          </w:p>
        </w:tc>
        <w:tc>
          <w:tcPr>
            <w:tcW w:w="631" w:type="pct"/>
            <w:tcBorders>
              <w:top w:val="nil"/>
              <w:left w:val="single" w:sz="4" w:space="0" w:color="auto"/>
              <w:bottom w:val="nil"/>
              <w:right w:val="nil"/>
            </w:tcBorders>
            <w:shd w:val="clear" w:color="auto" w:fill="C5E0B3" w:themeFill="accent6" w:themeFillTint="66"/>
            <w:noWrap/>
            <w:vAlign w:val="center"/>
            <w:hideMark/>
          </w:tcPr>
          <w:p w14:paraId="2CD60E14" w14:textId="20ED1000"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2,7</w:t>
            </w:r>
          </w:p>
        </w:tc>
        <w:tc>
          <w:tcPr>
            <w:tcW w:w="1337" w:type="pct"/>
            <w:tcBorders>
              <w:top w:val="nil"/>
              <w:left w:val="single" w:sz="4" w:space="0" w:color="auto"/>
              <w:bottom w:val="nil"/>
              <w:right w:val="nil"/>
            </w:tcBorders>
            <w:shd w:val="clear" w:color="auto" w:fill="C5E0B3" w:themeFill="accent6" w:themeFillTint="66"/>
            <w:vAlign w:val="bottom"/>
          </w:tcPr>
          <w:p w14:paraId="0CF7501D" w14:textId="6FC3B482" w:rsidR="00AD200A" w:rsidRPr="004E74A6" w:rsidRDefault="00AD200A" w:rsidP="00CE62C1">
            <w:pPr>
              <w:spacing w:line="276" w:lineRule="auto"/>
              <w:jc w:val="center"/>
              <w:rPr>
                <w:rFonts w:cs="Calibri"/>
                <w:color w:val="000000"/>
                <w:sz w:val="20"/>
              </w:rPr>
            </w:pPr>
            <w:r w:rsidRPr="004E74A6">
              <w:rPr>
                <w:rFonts w:cs="Calibri"/>
                <w:color w:val="000000"/>
                <w:sz w:val="20"/>
              </w:rPr>
              <w:t>54%</w:t>
            </w:r>
          </w:p>
        </w:tc>
      </w:tr>
      <w:tr w:rsidR="00AD200A" w:rsidRPr="004E74A6" w14:paraId="7C2B1188" w14:textId="164369BE" w:rsidTr="00AD200A">
        <w:trPr>
          <w:trHeight w:val="288"/>
          <w:jc w:val="center"/>
        </w:trPr>
        <w:tc>
          <w:tcPr>
            <w:tcW w:w="1593" w:type="pct"/>
            <w:tcBorders>
              <w:top w:val="nil"/>
              <w:left w:val="nil"/>
              <w:bottom w:val="nil"/>
              <w:right w:val="single" w:sz="4" w:space="0" w:color="auto"/>
            </w:tcBorders>
            <w:shd w:val="clear" w:color="auto" w:fill="C5E0B3" w:themeFill="accent6" w:themeFillTint="66"/>
            <w:noWrap/>
            <w:vAlign w:val="bottom"/>
            <w:hideMark/>
          </w:tcPr>
          <w:p w14:paraId="78D72BD2" w14:textId="77777777" w:rsidR="00AD200A" w:rsidRPr="004E74A6" w:rsidRDefault="00AD200A" w:rsidP="00CE62C1">
            <w:pPr>
              <w:spacing w:line="276" w:lineRule="auto"/>
              <w:jc w:val="left"/>
              <w:rPr>
                <w:rFonts w:cs="Calibri"/>
                <w:color w:val="000000"/>
                <w:sz w:val="20"/>
                <w:lang w:eastAsia="es-CR"/>
              </w:rPr>
            </w:pPr>
            <w:r w:rsidRPr="004E74A6">
              <w:rPr>
                <w:rFonts w:cs="Calibri"/>
                <w:color w:val="000000"/>
                <w:sz w:val="20"/>
                <w:lang w:eastAsia="es-CR"/>
              </w:rPr>
              <w:t>De ¢10.000.001 A ¢15.000.000</w:t>
            </w:r>
          </w:p>
        </w:tc>
        <w:tc>
          <w:tcPr>
            <w:tcW w:w="480" w:type="pct"/>
            <w:tcBorders>
              <w:top w:val="nil"/>
              <w:left w:val="single" w:sz="4" w:space="0" w:color="auto"/>
              <w:bottom w:val="nil"/>
              <w:right w:val="single" w:sz="4" w:space="0" w:color="auto"/>
            </w:tcBorders>
            <w:shd w:val="clear" w:color="auto" w:fill="C5E0B3" w:themeFill="accent6" w:themeFillTint="66"/>
            <w:noWrap/>
            <w:vAlign w:val="center"/>
            <w:hideMark/>
          </w:tcPr>
          <w:p w14:paraId="71B91C22" w14:textId="418BA139"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0</w:t>
            </w:r>
          </w:p>
        </w:tc>
        <w:tc>
          <w:tcPr>
            <w:tcW w:w="480" w:type="pct"/>
            <w:tcBorders>
              <w:top w:val="nil"/>
              <w:left w:val="single" w:sz="4" w:space="0" w:color="auto"/>
              <w:bottom w:val="nil"/>
              <w:right w:val="single" w:sz="4" w:space="0" w:color="auto"/>
            </w:tcBorders>
            <w:shd w:val="clear" w:color="auto" w:fill="C5E0B3" w:themeFill="accent6" w:themeFillTint="66"/>
            <w:noWrap/>
            <w:vAlign w:val="center"/>
            <w:hideMark/>
          </w:tcPr>
          <w:p w14:paraId="65794680" w14:textId="49A81042"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4</w:t>
            </w:r>
          </w:p>
        </w:tc>
        <w:tc>
          <w:tcPr>
            <w:tcW w:w="480" w:type="pct"/>
            <w:tcBorders>
              <w:top w:val="nil"/>
              <w:left w:val="single" w:sz="4" w:space="0" w:color="auto"/>
              <w:bottom w:val="nil"/>
              <w:right w:val="single" w:sz="4" w:space="0" w:color="auto"/>
            </w:tcBorders>
            <w:shd w:val="clear" w:color="auto" w:fill="C5E0B3" w:themeFill="accent6" w:themeFillTint="66"/>
            <w:noWrap/>
            <w:vAlign w:val="center"/>
            <w:hideMark/>
          </w:tcPr>
          <w:p w14:paraId="789289F8" w14:textId="28CEB8CB"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3</w:t>
            </w:r>
          </w:p>
        </w:tc>
        <w:tc>
          <w:tcPr>
            <w:tcW w:w="631" w:type="pct"/>
            <w:tcBorders>
              <w:top w:val="nil"/>
              <w:left w:val="single" w:sz="4" w:space="0" w:color="auto"/>
              <w:bottom w:val="nil"/>
              <w:right w:val="nil"/>
            </w:tcBorders>
            <w:shd w:val="clear" w:color="auto" w:fill="C5E0B3" w:themeFill="accent6" w:themeFillTint="66"/>
            <w:noWrap/>
            <w:vAlign w:val="center"/>
            <w:hideMark/>
          </w:tcPr>
          <w:p w14:paraId="28C3D765" w14:textId="52D5FC7A"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2,3</w:t>
            </w:r>
          </w:p>
        </w:tc>
        <w:tc>
          <w:tcPr>
            <w:tcW w:w="1337" w:type="pct"/>
            <w:tcBorders>
              <w:top w:val="nil"/>
              <w:left w:val="single" w:sz="4" w:space="0" w:color="auto"/>
              <w:bottom w:val="nil"/>
              <w:right w:val="nil"/>
            </w:tcBorders>
            <w:shd w:val="clear" w:color="auto" w:fill="C5E0B3" w:themeFill="accent6" w:themeFillTint="66"/>
            <w:vAlign w:val="bottom"/>
          </w:tcPr>
          <w:p w14:paraId="333C4D28" w14:textId="41F0DED4" w:rsidR="00AD200A" w:rsidRPr="004E74A6" w:rsidRDefault="00AD200A" w:rsidP="00CE62C1">
            <w:pPr>
              <w:spacing w:line="276" w:lineRule="auto"/>
              <w:jc w:val="center"/>
              <w:rPr>
                <w:rFonts w:cs="Calibri"/>
                <w:color w:val="000000"/>
                <w:sz w:val="20"/>
              </w:rPr>
            </w:pPr>
            <w:r w:rsidRPr="004E74A6">
              <w:rPr>
                <w:rFonts w:cs="Calibri"/>
                <w:color w:val="000000"/>
                <w:sz w:val="20"/>
              </w:rPr>
              <w:t>61%</w:t>
            </w:r>
          </w:p>
        </w:tc>
      </w:tr>
      <w:tr w:rsidR="00AD200A" w:rsidRPr="004E74A6" w14:paraId="7F9476E8" w14:textId="633CA756" w:rsidTr="00AD200A">
        <w:trPr>
          <w:trHeight w:val="288"/>
          <w:jc w:val="center"/>
        </w:trPr>
        <w:tc>
          <w:tcPr>
            <w:tcW w:w="1593" w:type="pct"/>
            <w:tcBorders>
              <w:top w:val="nil"/>
              <w:left w:val="nil"/>
              <w:bottom w:val="nil"/>
              <w:right w:val="single" w:sz="4" w:space="0" w:color="auto"/>
            </w:tcBorders>
            <w:shd w:val="clear" w:color="auto" w:fill="C5E0B3" w:themeFill="accent6" w:themeFillTint="66"/>
            <w:noWrap/>
            <w:vAlign w:val="bottom"/>
            <w:hideMark/>
          </w:tcPr>
          <w:p w14:paraId="1B4C986D" w14:textId="77777777" w:rsidR="00AD200A" w:rsidRPr="004E74A6" w:rsidRDefault="00AD200A" w:rsidP="00CE62C1">
            <w:pPr>
              <w:spacing w:line="276" w:lineRule="auto"/>
              <w:jc w:val="left"/>
              <w:rPr>
                <w:rFonts w:cs="Calibri"/>
                <w:color w:val="000000"/>
                <w:sz w:val="20"/>
                <w:lang w:eastAsia="es-CR"/>
              </w:rPr>
            </w:pPr>
            <w:r w:rsidRPr="004E74A6">
              <w:rPr>
                <w:rFonts w:cs="Calibri"/>
                <w:color w:val="000000"/>
                <w:sz w:val="20"/>
                <w:lang w:eastAsia="es-CR"/>
              </w:rPr>
              <w:t>De ¢15.000.001 A ¢20.000.000</w:t>
            </w:r>
          </w:p>
        </w:tc>
        <w:tc>
          <w:tcPr>
            <w:tcW w:w="480" w:type="pct"/>
            <w:tcBorders>
              <w:top w:val="nil"/>
              <w:left w:val="single" w:sz="4" w:space="0" w:color="auto"/>
              <w:bottom w:val="nil"/>
              <w:right w:val="single" w:sz="4" w:space="0" w:color="auto"/>
            </w:tcBorders>
            <w:shd w:val="clear" w:color="auto" w:fill="C5E0B3" w:themeFill="accent6" w:themeFillTint="66"/>
            <w:noWrap/>
            <w:vAlign w:val="center"/>
            <w:hideMark/>
          </w:tcPr>
          <w:p w14:paraId="6480578D" w14:textId="7643C6E2"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0</w:t>
            </w:r>
          </w:p>
        </w:tc>
        <w:tc>
          <w:tcPr>
            <w:tcW w:w="480" w:type="pct"/>
            <w:tcBorders>
              <w:top w:val="nil"/>
              <w:left w:val="single" w:sz="4" w:space="0" w:color="auto"/>
              <w:bottom w:val="nil"/>
              <w:right w:val="single" w:sz="4" w:space="0" w:color="auto"/>
            </w:tcBorders>
            <w:shd w:val="clear" w:color="auto" w:fill="C5E0B3" w:themeFill="accent6" w:themeFillTint="66"/>
            <w:noWrap/>
            <w:vAlign w:val="center"/>
            <w:hideMark/>
          </w:tcPr>
          <w:p w14:paraId="2AABA0C7" w14:textId="2131C1E4" w:rsidR="00AD200A" w:rsidRPr="004E74A6" w:rsidRDefault="00AD200A" w:rsidP="00CE62C1">
            <w:pPr>
              <w:spacing w:line="276" w:lineRule="auto"/>
              <w:jc w:val="center"/>
              <w:rPr>
                <w:sz w:val="20"/>
                <w:lang w:eastAsia="es-CR"/>
              </w:rPr>
            </w:pPr>
            <w:r w:rsidRPr="004E74A6">
              <w:rPr>
                <w:rFonts w:cs="Calibri"/>
                <w:color w:val="000000"/>
                <w:sz w:val="20"/>
              </w:rPr>
              <w:t>0</w:t>
            </w:r>
          </w:p>
        </w:tc>
        <w:tc>
          <w:tcPr>
            <w:tcW w:w="480" w:type="pct"/>
            <w:tcBorders>
              <w:top w:val="nil"/>
              <w:left w:val="single" w:sz="4" w:space="0" w:color="auto"/>
              <w:bottom w:val="nil"/>
              <w:right w:val="single" w:sz="4" w:space="0" w:color="auto"/>
            </w:tcBorders>
            <w:shd w:val="clear" w:color="auto" w:fill="C5E0B3" w:themeFill="accent6" w:themeFillTint="66"/>
            <w:noWrap/>
            <w:vAlign w:val="center"/>
            <w:hideMark/>
          </w:tcPr>
          <w:p w14:paraId="1543C2FE" w14:textId="3DBA0D50"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5</w:t>
            </w:r>
          </w:p>
        </w:tc>
        <w:tc>
          <w:tcPr>
            <w:tcW w:w="631" w:type="pct"/>
            <w:tcBorders>
              <w:top w:val="nil"/>
              <w:left w:val="single" w:sz="4" w:space="0" w:color="auto"/>
              <w:bottom w:val="nil"/>
              <w:right w:val="nil"/>
            </w:tcBorders>
            <w:shd w:val="clear" w:color="auto" w:fill="C5E0B3" w:themeFill="accent6" w:themeFillTint="66"/>
            <w:noWrap/>
            <w:vAlign w:val="center"/>
            <w:hideMark/>
          </w:tcPr>
          <w:p w14:paraId="639C55CD" w14:textId="2A9A8C17"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1,7</w:t>
            </w:r>
          </w:p>
        </w:tc>
        <w:tc>
          <w:tcPr>
            <w:tcW w:w="1337" w:type="pct"/>
            <w:tcBorders>
              <w:top w:val="nil"/>
              <w:left w:val="single" w:sz="4" w:space="0" w:color="auto"/>
              <w:bottom w:val="nil"/>
              <w:right w:val="nil"/>
            </w:tcBorders>
            <w:shd w:val="clear" w:color="auto" w:fill="C5E0B3" w:themeFill="accent6" w:themeFillTint="66"/>
            <w:vAlign w:val="bottom"/>
          </w:tcPr>
          <w:p w14:paraId="28EC8CF3" w14:textId="50A151BE" w:rsidR="00AD200A" w:rsidRPr="004E74A6" w:rsidRDefault="00AD200A" w:rsidP="00CE62C1">
            <w:pPr>
              <w:spacing w:line="276" w:lineRule="auto"/>
              <w:jc w:val="center"/>
              <w:rPr>
                <w:rFonts w:cs="Calibri"/>
                <w:color w:val="000000"/>
                <w:sz w:val="20"/>
              </w:rPr>
            </w:pPr>
            <w:r w:rsidRPr="004E74A6">
              <w:rPr>
                <w:rFonts w:cs="Calibri"/>
                <w:color w:val="000000"/>
                <w:sz w:val="20"/>
              </w:rPr>
              <w:t>66%</w:t>
            </w:r>
          </w:p>
        </w:tc>
      </w:tr>
      <w:tr w:rsidR="00AD200A" w:rsidRPr="004E74A6" w14:paraId="0C05516B" w14:textId="7014CFC5" w:rsidTr="00AD200A">
        <w:trPr>
          <w:trHeight w:val="288"/>
          <w:jc w:val="center"/>
        </w:trPr>
        <w:tc>
          <w:tcPr>
            <w:tcW w:w="1593" w:type="pct"/>
            <w:tcBorders>
              <w:top w:val="nil"/>
              <w:left w:val="nil"/>
              <w:bottom w:val="nil"/>
              <w:right w:val="single" w:sz="4" w:space="0" w:color="auto"/>
            </w:tcBorders>
            <w:shd w:val="clear" w:color="auto" w:fill="auto"/>
            <w:noWrap/>
            <w:vAlign w:val="bottom"/>
            <w:hideMark/>
          </w:tcPr>
          <w:p w14:paraId="7DA28F86" w14:textId="77777777" w:rsidR="00AD200A" w:rsidRPr="004E74A6" w:rsidRDefault="00AD200A" w:rsidP="00CE62C1">
            <w:pPr>
              <w:spacing w:line="276" w:lineRule="auto"/>
              <w:jc w:val="left"/>
              <w:rPr>
                <w:rFonts w:cs="Calibri"/>
                <w:color w:val="000000"/>
                <w:sz w:val="20"/>
                <w:lang w:eastAsia="es-CR"/>
              </w:rPr>
            </w:pPr>
            <w:r w:rsidRPr="004E74A6">
              <w:rPr>
                <w:rFonts w:cs="Calibri"/>
                <w:color w:val="000000"/>
                <w:sz w:val="20"/>
                <w:lang w:eastAsia="es-CR"/>
              </w:rPr>
              <w:t>De ¢20.000.001 A ¢25.000.000</w:t>
            </w:r>
          </w:p>
        </w:tc>
        <w:tc>
          <w:tcPr>
            <w:tcW w:w="480" w:type="pct"/>
            <w:tcBorders>
              <w:top w:val="nil"/>
              <w:left w:val="single" w:sz="4" w:space="0" w:color="auto"/>
              <w:bottom w:val="nil"/>
              <w:right w:val="single" w:sz="4" w:space="0" w:color="auto"/>
            </w:tcBorders>
            <w:shd w:val="clear" w:color="auto" w:fill="auto"/>
            <w:noWrap/>
            <w:vAlign w:val="center"/>
            <w:hideMark/>
          </w:tcPr>
          <w:p w14:paraId="60690196" w14:textId="05FD0D39"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0</w:t>
            </w:r>
          </w:p>
        </w:tc>
        <w:tc>
          <w:tcPr>
            <w:tcW w:w="480" w:type="pct"/>
            <w:tcBorders>
              <w:top w:val="nil"/>
              <w:left w:val="single" w:sz="4" w:space="0" w:color="auto"/>
              <w:bottom w:val="nil"/>
              <w:right w:val="single" w:sz="4" w:space="0" w:color="auto"/>
            </w:tcBorders>
            <w:shd w:val="clear" w:color="auto" w:fill="auto"/>
            <w:noWrap/>
            <w:vAlign w:val="center"/>
            <w:hideMark/>
          </w:tcPr>
          <w:p w14:paraId="376EC5B6" w14:textId="57F10664" w:rsidR="00AD200A" w:rsidRPr="004E74A6" w:rsidRDefault="00AD200A" w:rsidP="00CE62C1">
            <w:pPr>
              <w:spacing w:line="276" w:lineRule="auto"/>
              <w:jc w:val="center"/>
              <w:rPr>
                <w:sz w:val="20"/>
                <w:lang w:eastAsia="es-CR"/>
              </w:rPr>
            </w:pPr>
            <w:r w:rsidRPr="004E74A6">
              <w:rPr>
                <w:rFonts w:cs="Calibri"/>
                <w:color w:val="000000"/>
                <w:sz w:val="20"/>
              </w:rPr>
              <w:t>0</w:t>
            </w:r>
          </w:p>
        </w:tc>
        <w:tc>
          <w:tcPr>
            <w:tcW w:w="480" w:type="pct"/>
            <w:tcBorders>
              <w:top w:val="nil"/>
              <w:left w:val="single" w:sz="4" w:space="0" w:color="auto"/>
              <w:bottom w:val="nil"/>
              <w:right w:val="single" w:sz="4" w:space="0" w:color="auto"/>
            </w:tcBorders>
            <w:shd w:val="clear" w:color="auto" w:fill="auto"/>
            <w:noWrap/>
            <w:vAlign w:val="center"/>
            <w:hideMark/>
          </w:tcPr>
          <w:p w14:paraId="2FA3B860" w14:textId="116B4B95"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1</w:t>
            </w:r>
          </w:p>
        </w:tc>
        <w:tc>
          <w:tcPr>
            <w:tcW w:w="631" w:type="pct"/>
            <w:tcBorders>
              <w:top w:val="nil"/>
              <w:left w:val="single" w:sz="4" w:space="0" w:color="auto"/>
              <w:bottom w:val="nil"/>
              <w:right w:val="nil"/>
            </w:tcBorders>
            <w:shd w:val="clear" w:color="auto" w:fill="auto"/>
            <w:noWrap/>
            <w:vAlign w:val="center"/>
            <w:hideMark/>
          </w:tcPr>
          <w:p w14:paraId="36E50BE0" w14:textId="066CCCFB"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0,3</w:t>
            </w:r>
          </w:p>
        </w:tc>
        <w:tc>
          <w:tcPr>
            <w:tcW w:w="1337" w:type="pct"/>
            <w:tcBorders>
              <w:top w:val="nil"/>
              <w:left w:val="single" w:sz="4" w:space="0" w:color="auto"/>
              <w:bottom w:val="nil"/>
              <w:right w:val="nil"/>
            </w:tcBorders>
            <w:shd w:val="clear" w:color="auto" w:fill="auto"/>
            <w:vAlign w:val="bottom"/>
          </w:tcPr>
          <w:p w14:paraId="6973A463" w14:textId="57C9C0FC" w:rsidR="00AD200A" w:rsidRPr="004E74A6" w:rsidRDefault="00AD200A" w:rsidP="00CE62C1">
            <w:pPr>
              <w:spacing w:line="276" w:lineRule="auto"/>
              <w:jc w:val="center"/>
              <w:rPr>
                <w:rFonts w:cs="Calibri"/>
                <w:color w:val="000000"/>
                <w:sz w:val="20"/>
              </w:rPr>
            </w:pPr>
            <w:r w:rsidRPr="004E74A6">
              <w:rPr>
                <w:rFonts w:cs="Calibri"/>
                <w:color w:val="000000"/>
                <w:sz w:val="20"/>
              </w:rPr>
              <w:t>67%</w:t>
            </w:r>
          </w:p>
        </w:tc>
      </w:tr>
      <w:tr w:rsidR="00AD200A" w:rsidRPr="004E74A6" w14:paraId="20D81CCA" w14:textId="76295D31" w:rsidTr="00AD200A">
        <w:trPr>
          <w:trHeight w:val="288"/>
          <w:jc w:val="center"/>
        </w:trPr>
        <w:tc>
          <w:tcPr>
            <w:tcW w:w="1593" w:type="pct"/>
            <w:tcBorders>
              <w:top w:val="nil"/>
              <w:left w:val="nil"/>
              <w:bottom w:val="nil"/>
              <w:right w:val="single" w:sz="4" w:space="0" w:color="auto"/>
            </w:tcBorders>
            <w:shd w:val="clear" w:color="auto" w:fill="auto"/>
            <w:noWrap/>
            <w:vAlign w:val="bottom"/>
            <w:hideMark/>
          </w:tcPr>
          <w:p w14:paraId="43111C76" w14:textId="77777777" w:rsidR="00AD200A" w:rsidRPr="004E74A6" w:rsidRDefault="00AD200A" w:rsidP="00CE62C1">
            <w:pPr>
              <w:spacing w:line="276" w:lineRule="auto"/>
              <w:jc w:val="left"/>
              <w:rPr>
                <w:rFonts w:cs="Calibri"/>
                <w:color w:val="000000"/>
                <w:sz w:val="20"/>
                <w:lang w:eastAsia="es-CR"/>
              </w:rPr>
            </w:pPr>
            <w:r w:rsidRPr="004E74A6">
              <w:rPr>
                <w:rFonts w:cs="Calibri"/>
                <w:color w:val="000000"/>
                <w:sz w:val="20"/>
                <w:lang w:eastAsia="es-CR"/>
              </w:rPr>
              <w:t>De ¢25.000.001 A ¢30.000.000</w:t>
            </w:r>
          </w:p>
        </w:tc>
        <w:tc>
          <w:tcPr>
            <w:tcW w:w="480" w:type="pct"/>
            <w:tcBorders>
              <w:top w:val="nil"/>
              <w:left w:val="single" w:sz="4" w:space="0" w:color="auto"/>
              <w:bottom w:val="nil"/>
              <w:right w:val="single" w:sz="4" w:space="0" w:color="auto"/>
            </w:tcBorders>
            <w:shd w:val="clear" w:color="auto" w:fill="auto"/>
            <w:noWrap/>
            <w:vAlign w:val="center"/>
            <w:hideMark/>
          </w:tcPr>
          <w:p w14:paraId="027DA341" w14:textId="17005D87"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0</w:t>
            </w:r>
          </w:p>
        </w:tc>
        <w:tc>
          <w:tcPr>
            <w:tcW w:w="480" w:type="pct"/>
            <w:tcBorders>
              <w:top w:val="nil"/>
              <w:left w:val="single" w:sz="4" w:space="0" w:color="auto"/>
              <w:bottom w:val="nil"/>
              <w:right w:val="single" w:sz="4" w:space="0" w:color="auto"/>
            </w:tcBorders>
            <w:shd w:val="clear" w:color="auto" w:fill="auto"/>
            <w:noWrap/>
            <w:vAlign w:val="center"/>
            <w:hideMark/>
          </w:tcPr>
          <w:p w14:paraId="28EC938F" w14:textId="10EA14A8"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2</w:t>
            </w:r>
          </w:p>
        </w:tc>
        <w:tc>
          <w:tcPr>
            <w:tcW w:w="480" w:type="pct"/>
            <w:tcBorders>
              <w:top w:val="nil"/>
              <w:left w:val="single" w:sz="4" w:space="0" w:color="auto"/>
              <w:bottom w:val="nil"/>
              <w:right w:val="single" w:sz="4" w:space="0" w:color="auto"/>
            </w:tcBorders>
            <w:shd w:val="clear" w:color="auto" w:fill="auto"/>
            <w:noWrap/>
            <w:vAlign w:val="center"/>
            <w:hideMark/>
          </w:tcPr>
          <w:p w14:paraId="16E5AF78" w14:textId="1A1B1323"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2</w:t>
            </w:r>
          </w:p>
        </w:tc>
        <w:tc>
          <w:tcPr>
            <w:tcW w:w="631" w:type="pct"/>
            <w:tcBorders>
              <w:top w:val="nil"/>
              <w:left w:val="single" w:sz="4" w:space="0" w:color="auto"/>
              <w:bottom w:val="nil"/>
              <w:right w:val="nil"/>
            </w:tcBorders>
            <w:shd w:val="clear" w:color="auto" w:fill="auto"/>
            <w:noWrap/>
            <w:vAlign w:val="center"/>
            <w:hideMark/>
          </w:tcPr>
          <w:p w14:paraId="048942E6" w14:textId="4497356B"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1,3</w:t>
            </w:r>
          </w:p>
        </w:tc>
        <w:tc>
          <w:tcPr>
            <w:tcW w:w="1337" w:type="pct"/>
            <w:tcBorders>
              <w:top w:val="nil"/>
              <w:left w:val="single" w:sz="4" w:space="0" w:color="auto"/>
              <w:bottom w:val="nil"/>
              <w:right w:val="nil"/>
            </w:tcBorders>
            <w:shd w:val="clear" w:color="auto" w:fill="auto"/>
            <w:vAlign w:val="bottom"/>
          </w:tcPr>
          <w:p w14:paraId="2BE90D4C" w14:textId="71FD7104" w:rsidR="00AD200A" w:rsidRPr="004E74A6" w:rsidRDefault="00AD200A" w:rsidP="00CE62C1">
            <w:pPr>
              <w:spacing w:line="276" w:lineRule="auto"/>
              <w:jc w:val="center"/>
              <w:rPr>
                <w:rFonts w:cs="Calibri"/>
                <w:color w:val="000000"/>
                <w:sz w:val="20"/>
              </w:rPr>
            </w:pPr>
            <w:r w:rsidRPr="004E74A6">
              <w:rPr>
                <w:rFonts w:cs="Calibri"/>
                <w:color w:val="000000"/>
                <w:sz w:val="20"/>
              </w:rPr>
              <w:t>71%</w:t>
            </w:r>
          </w:p>
        </w:tc>
      </w:tr>
      <w:tr w:rsidR="00AD200A" w:rsidRPr="004E74A6" w14:paraId="3942950A" w14:textId="2FF0434B" w:rsidTr="00AD200A">
        <w:trPr>
          <w:trHeight w:val="288"/>
          <w:jc w:val="center"/>
        </w:trPr>
        <w:tc>
          <w:tcPr>
            <w:tcW w:w="1593" w:type="pct"/>
            <w:tcBorders>
              <w:top w:val="nil"/>
              <w:left w:val="nil"/>
              <w:bottom w:val="nil"/>
              <w:right w:val="single" w:sz="4" w:space="0" w:color="auto"/>
            </w:tcBorders>
            <w:shd w:val="clear" w:color="auto" w:fill="auto"/>
            <w:noWrap/>
            <w:vAlign w:val="bottom"/>
            <w:hideMark/>
          </w:tcPr>
          <w:p w14:paraId="1DD543CE" w14:textId="77777777" w:rsidR="00AD200A" w:rsidRPr="004E74A6" w:rsidRDefault="00AD200A" w:rsidP="00CE62C1">
            <w:pPr>
              <w:spacing w:line="276" w:lineRule="auto"/>
              <w:jc w:val="left"/>
              <w:rPr>
                <w:rFonts w:cs="Calibri"/>
                <w:color w:val="000000"/>
                <w:sz w:val="20"/>
                <w:lang w:eastAsia="es-CR"/>
              </w:rPr>
            </w:pPr>
            <w:r w:rsidRPr="004E74A6">
              <w:rPr>
                <w:rFonts w:cs="Calibri"/>
                <w:color w:val="000000"/>
                <w:sz w:val="20"/>
                <w:lang w:eastAsia="es-CR"/>
              </w:rPr>
              <w:t>De ¢30.000.001 A ¢35.000.000</w:t>
            </w:r>
          </w:p>
        </w:tc>
        <w:tc>
          <w:tcPr>
            <w:tcW w:w="480" w:type="pct"/>
            <w:tcBorders>
              <w:top w:val="nil"/>
              <w:left w:val="single" w:sz="4" w:space="0" w:color="auto"/>
              <w:bottom w:val="nil"/>
              <w:right w:val="single" w:sz="4" w:space="0" w:color="auto"/>
            </w:tcBorders>
            <w:shd w:val="clear" w:color="auto" w:fill="auto"/>
            <w:noWrap/>
            <w:vAlign w:val="center"/>
            <w:hideMark/>
          </w:tcPr>
          <w:p w14:paraId="1997082F" w14:textId="77E935B1"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0</w:t>
            </w:r>
          </w:p>
        </w:tc>
        <w:tc>
          <w:tcPr>
            <w:tcW w:w="480" w:type="pct"/>
            <w:tcBorders>
              <w:top w:val="nil"/>
              <w:left w:val="single" w:sz="4" w:space="0" w:color="auto"/>
              <w:bottom w:val="nil"/>
              <w:right w:val="single" w:sz="4" w:space="0" w:color="auto"/>
            </w:tcBorders>
            <w:shd w:val="clear" w:color="auto" w:fill="auto"/>
            <w:noWrap/>
            <w:vAlign w:val="center"/>
            <w:hideMark/>
          </w:tcPr>
          <w:p w14:paraId="5221BE74" w14:textId="48BDAFC0" w:rsidR="00AD200A" w:rsidRPr="004E74A6" w:rsidRDefault="00AD200A" w:rsidP="00CE62C1">
            <w:pPr>
              <w:spacing w:line="276" w:lineRule="auto"/>
              <w:jc w:val="center"/>
              <w:rPr>
                <w:sz w:val="20"/>
                <w:lang w:eastAsia="es-CR"/>
              </w:rPr>
            </w:pPr>
            <w:r w:rsidRPr="004E74A6">
              <w:rPr>
                <w:rFonts w:cs="Calibri"/>
                <w:color w:val="000000"/>
                <w:sz w:val="20"/>
              </w:rPr>
              <w:t>0</w:t>
            </w:r>
          </w:p>
        </w:tc>
        <w:tc>
          <w:tcPr>
            <w:tcW w:w="480" w:type="pct"/>
            <w:tcBorders>
              <w:top w:val="nil"/>
              <w:left w:val="single" w:sz="4" w:space="0" w:color="auto"/>
              <w:bottom w:val="nil"/>
              <w:right w:val="single" w:sz="4" w:space="0" w:color="auto"/>
            </w:tcBorders>
            <w:shd w:val="clear" w:color="auto" w:fill="auto"/>
            <w:noWrap/>
            <w:vAlign w:val="center"/>
            <w:hideMark/>
          </w:tcPr>
          <w:p w14:paraId="739437A3" w14:textId="60340E8F"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3</w:t>
            </w:r>
          </w:p>
        </w:tc>
        <w:tc>
          <w:tcPr>
            <w:tcW w:w="631" w:type="pct"/>
            <w:tcBorders>
              <w:top w:val="nil"/>
              <w:left w:val="single" w:sz="4" w:space="0" w:color="auto"/>
              <w:bottom w:val="nil"/>
              <w:right w:val="nil"/>
            </w:tcBorders>
            <w:shd w:val="clear" w:color="auto" w:fill="auto"/>
            <w:noWrap/>
            <w:vAlign w:val="center"/>
            <w:hideMark/>
          </w:tcPr>
          <w:p w14:paraId="18275DB5" w14:textId="78970672"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1,0</w:t>
            </w:r>
          </w:p>
        </w:tc>
        <w:tc>
          <w:tcPr>
            <w:tcW w:w="1337" w:type="pct"/>
            <w:tcBorders>
              <w:top w:val="nil"/>
              <w:left w:val="single" w:sz="4" w:space="0" w:color="auto"/>
              <w:bottom w:val="nil"/>
              <w:right w:val="nil"/>
            </w:tcBorders>
            <w:shd w:val="clear" w:color="auto" w:fill="auto"/>
            <w:vAlign w:val="bottom"/>
          </w:tcPr>
          <w:p w14:paraId="2F526578" w14:textId="22E58EC1" w:rsidR="00AD200A" w:rsidRPr="004E74A6" w:rsidRDefault="00AD200A" w:rsidP="00CE62C1">
            <w:pPr>
              <w:spacing w:line="276" w:lineRule="auto"/>
              <w:jc w:val="center"/>
              <w:rPr>
                <w:rFonts w:cs="Calibri"/>
                <w:color w:val="000000"/>
                <w:sz w:val="20"/>
              </w:rPr>
            </w:pPr>
            <w:r w:rsidRPr="004E74A6">
              <w:rPr>
                <w:rFonts w:cs="Calibri"/>
                <w:color w:val="000000"/>
                <w:sz w:val="20"/>
              </w:rPr>
              <w:t>74%</w:t>
            </w:r>
          </w:p>
        </w:tc>
      </w:tr>
      <w:tr w:rsidR="00AD200A" w:rsidRPr="004E74A6" w14:paraId="69232B2D" w14:textId="71A48AB5" w:rsidTr="00AD200A">
        <w:trPr>
          <w:trHeight w:val="288"/>
          <w:jc w:val="center"/>
        </w:trPr>
        <w:tc>
          <w:tcPr>
            <w:tcW w:w="1593" w:type="pct"/>
            <w:tcBorders>
              <w:top w:val="nil"/>
              <w:left w:val="nil"/>
              <w:bottom w:val="nil"/>
              <w:right w:val="single" w:sz="4" w:space="0" w:color="auto"/>
            </w:tcBorders>
            <w:shd w:val="clear" w:color="auto" w:fill="auto"/>
            <w:noWrap/>
            <w:vAlign w:val="bottom"/>
            <w:hideMark/>
          </w:tcPr>
          <w:p w14:paraId="4A5C6185" w14:textId="77777777" w:rsidR="00AD200A" w:rsidRPr="004E74A6" w:rsidRDefault="00AD200A" w:rsidP="00CE62C1">
            <w:pPr>
              <w:spacing w:line="276" w:lineRule="auto"/>
              <w:jc w:val="left"/>
              <w:rPr>
                <w:rFonts w:cs="Calibri"/>
                <w:color w:val="000000"/>
                <w:sz w:val="20"/>
                <w:lang w:eastAsia="es-CR"/>
              </w:rPr>
            </w:pPr>
            <w:r w:rsidRPr="004E74A6">
              <w:rPr>
                <w:rFonts w:cs="Calibri"/>
                <w:color w:val="000000"/>
                <w:sz w:val="20"/>
                <w:lang w:eastAsia="es-CR"/>
              </w:rPr>
              <w:t>De ¢35.000.001 A ¢40.000.000</w:t>
            </w:r>
          </w:p>
        </w:tc>
        <w:tc>
          <w:tcPr>
            <w:tcW w:w="480" w:type="pct"/>
            <w:tcBorders>
              <w:top w:val="nil"/>
              <w:left w:val="single" w:sz="4" w:space="0" w:color="auto"/>
              <w:bottom w:val="nil"/>
              <w:right w:val="single" w:sz="4" w:space="0" w:color="auto"/>
            </w:tcBorders>
            <w:shd w:val="clear" w:color="auto" w:fill="auto"/>
            <w:noWrap/>
            <w:vAlign w:val="center"/>
            <w:hideMark/>
          </w:tcPr>
          <w:p w14:paraId="551610B2" w14:textId="54DF38D3"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0</w:t>
            </w:r>
          </w:p>
        </w:tc>
        <w:tc>
          <w:tcPr>
            <w:tcW w:w="480" w:type="pct"/>
            <w:tcBorders>
              <w:top w:val="nil"/>
              <w:left w:val="single" w:sz="4" w:space="0" w:color="auto"/>
              <w:bottom w:val="nil"/>
              <w:right w:val="single" w:sz="4" w:space="0" w:color="auto"/>
            </w:tcBorders>
            <w:shd w:val="clear" w:color="auto" w:fill="auto"/>
            <w:noWrap/>
            <w:vAlign w:val="center"/>
            <w:hideMark/>
          </w:tcPr>
          <w:p w14:paraId="4A8B4D49" w14:textId="4F55998B"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1</w:t>
            </w:r>
          </w:p>
        </w:tc>
        <w:tc>
          <w:tcPr>
            <w:tcW w:w="480" w:type="pct"/>
            <w:tcBorders>
              <w:top w:val="nil"/>
              <w:left w:val="single" w:sz="4" w:space="0" w:color="auto"/>
              <w:bottom w:val="nil"/>
              <w:right w:val="single" w:sz="4" w:space="0" w:color="auto"/>
            </w:tcBorders>
            <w:shd w:val="clear" w:color="auto" w:fill="auto"/>
            <w:noWrap/>
            <w:vAlign w:val="center"/>
            <w:hideMark/>
          </w:tcPr>
          <w:p w14:paraId="5D20D471" w14:textId="1A623FC3"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1</w:t>
            </w:r>
          </w:p>
        </w:tc>
        <w:tc>
          <w:tcPr>
            <w:tcW w:w="631" w:type="pct"/>
            <w:tcBorders>
              <w:top w:val="nil"/>
              <w:left w:val="single" w:sz="4" w:space="0" w:color="auto"/>
              <w:bottom w:val="nil"/>
              <w:right w:val="nil"/>
            </w:tcBorders>
            <w:shd w:val="clear" w:color="auto" w:fill="auto"/>
            <w:noWrap/>
            <w:vAlign w:val="center"/>
            <w:hideMark/>
          </w:tcPr>
          <w:p w14:paraId="4F82D49B" w14:textId="72612F56"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0,7</w:t>
            </w:r>
          </w:p>
        </w:tc>
        <w:tc>
          <w:tcPr>
            <w:tcW w:w="1337" w:type="pct"/>
            <w:tcBorders>
              <w:top w:val="nil"/>
              <w:left w:val="single" w:sz="4" w:space="0" w:color="auto"/>
              <w:bottom w:val="nil"/>
              <w:right w:val="nil"/>
            </w:tcBorders>
            <w:shd w:val="clear" w:color="auto" w:fill="auto"/>
            <w:vAlign w:val="bottom"/>
          </w:tcPr>
          <w:p w14:paraId="506A4939" w14:textId="5BA255F5" w:rsidR="00AD200A" w:rsidRPr="004E74A6" w:rsidRDefault="00AD200A" w:rsidP="00CE62C1">
            <w:pPr>
              <w:spacing w:line="276" w:lineRule="auto"/>
              <w:jc w:val="center"/>
              <w:rPr>
                <w:rFonts w:cs="Calibri"/>
                <w:color w:val="000000"/>
                <w:sz w:val="20"/>
              </w:rPr>
            </w:pPr>
            <w:r w:rsidRPr="004E74A6">
              <w:rPr>
                <w:rFonts w:cs="Calibri"/>
                <w:color w:val="000000"/>
                <w:sz w:val="20"/>
              </w:rPr>
              <w:t>76%</w:t>
            </w:r>
          </w:p>
        </w:tc>
      </w:tr>
      <w:tr w:rsidR="00AD200A" w:rsidRPr="004E74A6" w14:paraId="42C0BEF8" w14:textId="04A1510F" w:rsidTr="00AD200A">
        <w:trPr>
          <w:trHeight w:val="288"/>
          <w:jc w:val="center"/>
        </w:trPr>
        <w:tc>
          <w:tcPr>
            <w:tcW w:w="1593" w:type="pct"/>
            <w:tcBorders>
              <w:top w:val="nil"/>
              <w:left w:val="nil"/>
              <w:bottom w:val="nil"/>
              <w:right w:val="single" w:sz="4" w:space="0" w:color="auto"/>
            </w:tcBorders>
            <w:shd w:val="clear" w:color="auto" w:fill="auto"/>
            <w:noWrap/>
            <w:vAlign w:val="bottom"/>
            <w:hideMark/>
          </w:tcPr>
          <w:p w14:paraId="053C5AA2" w14:textId="77777777" w:rsidR="00AD200A" w:rsidRPr="004E74A6" w:rsidRDefault="00AD200A" w:rsidP="00CE62C1">
            <w:pPr>
              <w:spacing w:line="276" w:lineRule="auto"/>
              <w:jc w:val="left"/>
              <w:rPr>
                <w:rFonts w:cs="Calibri"/>
                <w:color w:val="000000"/>
                <w:sz w:val="20"/>
                <w:lang w:eastAsia="es-CR"/>
              </w:rPr>
            </w:pPr>
            <w:r w:rsidRPr="004E74A6">
              <w:rPr>
                <w:rFonts w:cs="Calibri"/>
                <w:color w:val="000000"/>
                <w:sz w:val="20"/>
                <w:lang w:eastAsia="es-CR"/>
              </w:rPr>
              <w:t>De ¢40.000.001 A ¢45.000.000</w:t>
            </w:r>
          </w:p>
        </w:tc>
        <w:tc>
          <w:tcPr>
            <w:tcW w:w="480" w:type="pct"/>
            <w:tcBorders>
              <w:top w:val="nil"/>
              <w:left w:val="single" w:sz="4" w:space="0" w:color="auto"/>
              <w:bottom w:val="nil"/>
              <w:right w:val="single" w:sz="4" w:space="0" w:color="auto"/>
            </w:tcBorders>
            <w:shd w:val="clear" w:color="auto" w:fill="auto"/>
            <w:noWrap/>
            <w:vAlign w:val="center"/>
            <w:hideMark/>
          </w:tcPr>
          <w:p w14:paraId="776DA0EF" w14:textId="1561F699"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0</w:t>
            </w:r>
          </w:p>
        </w:tc>
        <w:tc>
          <w:tcPr>
            <w:tcW w:w="480" w:type="pct"/>
            <w:tcBorders>
              <w:top w:val="nil"/>
              <w:left w:val="single" w:sz="4" w:space="0" w:color="auto"/>
              <w:bottom w:val="nil"/>
              <w:right w:val="single" w:sz="4" w:space="0" w:color="auto"/>
            </w:tcBorders>
            <w:shd w:val="clear" w:color="auto" w:fill="auto"/>
            <w:noWrap/>
            <w:vAlign w:val="center"/>
            <w:hideMark/>
          </w:tcPr>
          <w:p w14:paraId="43C3F7D8" w14:textId="6A3E04E6" w:rsidR="00AD200A" w:rsidRPr="004E74A6" w:rsidRDefault="00AD200A" w:rsidP="00CE62C1">
            <w:pPr>
              <w:spacing w:line="276" w:lineRule="auto"/>
              <w:jc w:val="center"/>
              <w:rPr>
                <w:sz w:val="20"/>
                <w:lang w:eastAsia="es-CR"/>
              </w:rPr>
            </w:pPr>
            <w:r w:rsidRPr="004E74A6">
              <w:rPr>
                <w:rFonts w:cs="Calibri"/>
                <w:color w:val="000000"/>
                <w:sz w:val="20"/>
              </w:rPr>
              <w:t>0</w:t>
            </w:r>
          </w:p>
        </w:tc>
        <w:tc>
          <w:tcPr>
            <w:tcW w:w="480" w:type="pct"/>
            <w:tcBorders>
              <w:top w:val="nil"/>
              <w:left w:val="single" w:sz="4" w:space="0" w:color="auto"/>
              <w:bottom w:val="nil"/>
              <w:right w:val="single" w:sz="4" w:space="0" w:color="auto"/>
            </w:tcBorders>
            <w:shd w:val="clear" w:color="auto" w:fill="auto"/>
            <w:noWrap/>
            <w:vAlign w:val="center"/>
            <w:hideMark/>
          </w:tcPr>
          <w:p w14:paraId="5007FF98" w14:textId="36752620"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3</w:t>
            </w:r>
          </w:p>
        </w:tc>
        <w:tc>
          <w:tcPr>
            <w:tcW w:w="631" w:type="pct"/>
            <w:tcBorders>
              <w:top w:val="nil"/>
              <w:left w:val="single" w:sz="4" w:space="0" w:color="auto"/>
              <w:bottom w:val="nil"/>
              <w:right w:val="nil"/>
            </w:tcBorders>
            <w:shd w:val="clear" w:color="auto" w:fill="auto"/>
            <w:noWrap/>
            <w:vAlign w:val="center"/>
            <w:hideMark/>
          </w:tcPr>
          <w:p w14:paraId="5DE55A29" w14:textId="24F231BA"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1,0</w:t>
            </w:r>
          </w:p>
        </w:tc>
        <w:tc>
          <w:tcPr>
            <w:tcW w:w="1337" w:type="pct"/>
            <w:tcBorders>
              <w:top w:val="nil"/>
              <w:left w:val="single" w:sz="4" w:space="0" w:color="auto"/>
              <w:bottom w:val="nil"/>
              <w:right w:val="nil"/>
            </w:tcBorders>
            <w:shd w:val="clear" w:color="auto" w:fill="auto"/>
            <w:vAlign w:val="bottom"/>
          </w:tcPr>
          <w:p w14:paraId="3BAF5583" w14:textId="7DC87BA8" w:rsidR="00AD200A" w:rsidRPr="004E74A6" w:rsidRDefault="00AD200A" w:rsidP="00CE62C1">
            <w:pPr>
              <w:spacing w:line="276" w:lineRule="auto"/>
              <w:jc w:val="center"/>
              <w:rPr>
                <w:rFonts w:cs="Calibri"/>
                <w:color w:val="000000"/>
                <w:sz w:val="20"/>
              </w:rPr>
            </w:pPr>
            <w:r w:rsidRPr="004E74A6">
              <w:rPr>
                <w:rFonts w:cs="Calibri"/>
                <w:color w:val="000000"/>
                <w:sz w:val="20"/>
              </w:rPr>
              <w:t>79%</w:t>
            </w:r>
          </w:p>
        </w:tc>
      </w:tr>
      <w:tr w:rsidR="00AD200A" w:rsidRPr="004E74A6" w14:paraId="3E9BF828" w14:textId="6572B70B" w:rsidTr="00AD200A">
        <w:trPr>
          <w:trHeight w:val="288"/>
          <w:jc w:val="center"/>
        </w:trPr>
        <w:tc>
          <w:tcPr>
            <w:tcW w:w="1593" w:type="pct"/>
            <w:tcBorders>
              <w:top w:val="nil"/>
              <w:left w:val="nil"/>
              <w:bottom w:val="nil"/>
              <w:right w:val="single" w:sz="4" w:space="0" w:color="auto"/>
            </w:tcBorders>
            <w:shd w:val="clear" w:color="auto" w:fill="auto"/>
            <w:noWrap/>
            <w:vAlign w:val="bottom"/>
            <w:hideMark/>
          </w:tcPr>
          <w:p w14:paraId="776B1565" w14:textId="77777777" w:rsidR="00AD200A" w:rsidRPr="004E74A6" w:rsidRDefault="00AD200A" w:rsidP="00CE62C1">
            <w:pPr>
              <w:spacing w:line="276" w:lineRule="auto"/>
              <w:jc w:val="left"/>
              <w:rPr>
                <w:rFonts w:cs="Calibri"/>
                <w:color w:val="000000"/>
                <w:sz w:val="20"/>
                <w:lang w:eastAsia="es-CR"/>
              </w:rPr>
            </w:pPr>
            <w:r w:rsidRPr="004E74A6">
              <w:rPr>
                <w:rFonts w:cs="Calibri"/>
                <w:color w:val="000000"/>
                <w:sz w:val="20"/>
                <w:lang w:eastAsia="es-CR"/>
              </w:rPr>
              <w:t>De ¢45.000.001 A ¢50.000.000</w:t>
            </w:r>
          </w:p>
        </w:tc>
        <w:tc>
          <w:tcPr>
            <w:tcW w:w="480" w:type="pct"/>
            <w:tcBorders>
              <w:top w:val="nil"/>
              <w:left w:val="single" w:sz="4" w:space="0" w:color="auto"/>
              <w:bottom w:val="nil"/>
              <w:right w:val="single" w:sz="4" w:space="0" w:color="auto"/>
            </w:tcBorders>
            <w:shd w:val="clear" w:color="auto" w:fill="auto"/>
            <w:noWrap/>
            <w:vAlign w:val="center"/>
            <w:hideMark/>
          </w:tcPr>
          <w:p w14:paraId="6220B3B5" w14:textId="7A6A7C97"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0</w:t>
            </w:r>
          </w:p>
        </w:tc>
        <w:tc>
          <w:tcPr>
            <w:tcW w:w="480" w:type="pct"/>
            <w:tcBorders>
              <w:top w:val="nil"/>
              <w:left w:val="single" w:sz="4" w:space="0" w:color="auto"/>
              <w:bottom w:val="nil"/>
              <w:right w:val="single" w:sz="4" w:space="0" w:color="auto"/>
            </w:tcBorders>
            <w:shd w:val="clear" w:color="auto" w:fill="auto"/>
            <w:noWrap/>
            <w:vAlign w:val="center"/>
            <w:hideMark/>
          </w:tcPr>
          <w:p w14:paraId="1B9B15E0" w14:textId="623AACC2" w:rsidR="00AD200A" w:rsidRPr="004E74A6" w:rsidRDefault="00AD200A" w:rsidP="00CE62C1">
            <w:pPr>
              <w:spacing w:line="276" w:lineRule="auto"/>
              <w:jc w:val="center"/>
              <w:rPr>
                <w:sz w:val="20"/>
                <w:lang w:eastAsia="es-CR"/>
              </w:rPr>
            </w:pPr>
            <w:r w:rsidRPr="004E74A6">
              <w:rPr>
                <w:rFonts w:cs="Calibri"/>
                <w:color w:val="000000"/>
                <w:sz w:val="20"/>
              </w:rPr>
              <w:t>0</w:t>
            </w:r>
          </w:p>
        </w:tc>
        <w:tc>
          <w:tcPr>
            <w:tcW w:w="480" w:type="pct"/>
            <w:tcBorders>
              <w:top w:val="nil"/>
              <w:left w:val="single" w:sz="4" w:space="0" w:color="auto"/>
              <w:bottom w:val="nil"/>
              <w:right w:val="single" w:sz="4" w:space="0" w:color="auto"/>
            </w:tcBorders>
            <w:shd w:val="clear" w:color="auto" w:fill="auto"/>
            <w:noWrap/>
            <w:vAlign w:val="center"/>
            <w:hideMark/>
          </w:tcPr>
          <w:p w14:paraId="27A2F42A" w14:textId="77C4B8F5"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4</w:t>
            </w:r>
          </w:p>
        </w:tc>
        <w:tc>
          <w:tcPr>
            <w:tcW w:w="631" w:type="pct"/>
            <w:tcBorders>
              <w:top w:val="nil"/>
              <w:left w:val="single" w:sz="4" w:space="0" w:color="auto"/>
              <w:bottom w:val="nil"/>
              <w:right w:val="nil"/>
            </w:tcBorders>
            <w:shd w:val="clear" w:color="auto" w:fill="auto"/>
            <w:noWrap/>
            <w:vAlign w:val="center"/>
            <w:hideMark/>
          </w:tcPr>
          <w:p w14:paraId="317DB52B" w14:textId="6805A188"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1,3</w:t>
            </w:r>
          </w:p>
        </w:tc>
        <w:tc>
          <w:tcPr>
            <w:tcW w:w="1337" w:type="pct"/>
            <w:tcBorders>
              <w:top w:val="nil"/>
              <w:left w:val="single" w:sz="4" w:space="0" w:color="auto"/>
              <w:bottom w:val="nil"/>
              <w:right w:val="nil"/>
            </w:tcBorders>
            <w:shd w:val="clear" w:color="auto" w:fill="auto"/>
            <w:vAlign w:val="bottom"/>
          </w:tcPr>
          <w:p w14:paraId="7CE509F8" w14:textId="0F3CCC34" w:rsidR="00AD200A" w:rsidRPr="004E74A6" w:rsidRDefault="00AD200A" w:rsidP="00CE62C1">
            <w:pPr>
              <w:spacing w:line="276" w:lineRule="auto"/>
              <w:jc w:val="center"/>
              <w:rPr>
                <w:rFonts w:cs="Calibri"/>
                <w:color w:val="000000"/>
                <w:sz w:val="20"/>
              </w:rPr>
            </w:pPr>
            <w:r w:rsidRPr="004E74A6">
              <w:rPr>
                <w:rFonts w:cs="Calibri"/>
                <w:color w:val="000000"/>
                <w:sz w:val="20"/>
              </w:rPr>
              <w:t>84%</w:t>
            </w:r>
          </w:p>
        </w:tc>
      </w:tr>
      <w:tr w:rsidR="00AD200A" w:rsidRPr="004E74A6" w14:paraId="68BDC431" w14:textId="0B369AD1" w:rsidTr="00AD200A">
        <w:trPr>
          <w:trHeight w:val="288"/>
          <w:jc w:val="center"/>
        </w:trPr>
        <w:tc>
          <w:tcPr>
            <w:tcW w:w="1593" w:type="pct"/>
            <w:tcBorders>
              <w:top w:val="nil"/>
              <w:left w:val="nil"/>
              <w:bottom w:val="nil"/>
              <w:right w:val="single" w:sz="4" w:space="0" w:color="auto"/>
            </w:tcBorders>
            <w:shd w:val="clear" w:color="auto" w:fill="auto"/>
            <w:noWrap/>
            <w:vAlign w:val="bottom"/>
            <w:hideMark/>
          </w:tcPr>
          <w:p w14:paraId="008BDF97" w14:textId="77777777" w:rsidR="00AD200A" w:rsidRPr="004E74A6" w:rsidRDefault="00AD200A" w:rsidP="00CE62C1">
            <w:pPr>
              <w:spacing w:line="276" w:lineRule="auto"/>
              <w:jc w:val="left"/>
              <w:rPr>
                <w:rFonts w:cs="Calibri"/>
                <w:color w:val="000000"/>
                <w:sz w:val="20"/>
                <w:lang w:eastAsia="es-CR"/>
              </w:rPr>
            </w:pPr>
            <w:r w:rsidRPr="004E74A6">
              <w:rPr>
                <w:rFonts w:cs="Calibri"/>
                <w:color w:val="000000"/>
                <w:sz w:val="20"/>
                <w:lang w:eastAsia="es-CR"/>
              </w:rPr>
              <w:t>De ¢55.000.001 A ¢60.000.000</w:t>
            </w:r>
          </w:p>
        </w:tc>
        <w:tc>
          <w:tcPr>
            <w:tcW w:w="480" w:type="pct"/>
            <w:tcBorders>
              <w:top w:val="nil"/>
              <w:left w:val="single" w:sz="4" w:space="0" w:color="auto"/>
              <w:bottom w:val="nil"/>
              <w:right w:val="single" w:sz="4" w:space="0" w:color="auto"/>
            </w:tcBorders>
            <w:shd w:val="clear" w:color="auto" w:fill="auto"/>
            <w:noWrap/>
            <w:vAlign w:val="center"/>
            <w:hideMark/>
          </w:tcPr>
          <w:p w14:paraId="110D5B28" w14:textId="3B12C3B6"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0</w:t>
            </w:r>
          </w:p>
        </w:tc>
        <w:tc>
          <w:tcPr>
            <w:tcW w:w="480" w:type="pct"/>
            <w:tcBorders>
              <w:top w:val="nil"/>
              <w:left w:val="single" w:sz="4" w:space="0" w:color="auto"/>
              <w:bottom w:val="nil"/>
              <w:right w:val="single" w:sz="4" w:space="0" w:color="auto"/>
            </w:tcBorders>
            <w:shd w:val="clear" w:color="auto" w:fill="auto"/>
            <w:noWrap/>
            <w:vAlign w:val="center"/>
            <w:hideMark/>
          </w:tcPr>
          <w:p w14:paraId="486EC2F5" w14:textId="23A4029D"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1</w:t>
            </w:r>
          </w:p>
        </w:tc>
        <w:tc>
          <w:tcPr>
            <w:tcW w:w="480" w:type="pct"/>
            <w:tcBorders>
              <w:top w:val="nil"/>
              <w:left w:val="single" w:sz="4" w:space="0" w:color="auto"/>
              <w:bottom w:val="nil"/>
              <w:right w:val="single" w:sz="4" w:space="0" w:color="auto"/>
            </w:tcBorders>
            <w:shd w:val="clear" w:color="auto" w:fill="auto"/>
            <w:noWrap/>
            <w:vAlign w:val="center"/>
            <w:hideMark/>
          </w:tcPr>
          <w:p w14:paraId="5C3A0389" w14:textId="6604FBDA"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0</w:t>
            </w:r>
          </w:p>
        </w:tc>
        <w:tc>
          <w:tcPr>
            <w:tcW w:w="631" w:type="pct"/>
            <w:tcBorders>
              <w:top w:val="nil"/>
              <w:left w:val="single" w:sz="4" w:space="0" w:color="auto"/>
              <w:bottom w:val="nil"/>
              <w:right w:val="nil"/>
            </w:tcBorders>
            <w:shd w:val="clear" w:color="auto" w:fill="auto"/>
            <w:noWrap/>
            <w:vAlign w:val="center"/>
            <w:hideMark/>
          </w:tcPr>
          <w:p w14:paraId="38A68EB7" w14:textId="4BEEC804"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0,3</w:t>
            </w:r>
          </w:p>
        </w:tc>
        <w:tc>
          <w:tcPr>
            <w:tcW w:w="1337" w:type="pct"/>
            <w:tcBorders>
              <w:top w:val="nil"/>
              <w:left w:val="single" w:sz="4" w:space="0" w:color="auto"/>
              <w:bottom w:val="nil"/>
              <w:right w:val="nil"/>
            </w:tcBorders>
            <w:shd w:val="clear" w:color="auto" w:fill="auto"/>
            <w:vAlign w:val="bottom"/>
          </w:tcPr>
          <w:p w14:paraId="48DE01D1" w14:textId="2A729739" w:rsidR="00AD200A" w:rsidRPr="004E74A6" w:rsidRDefault="00AD200A" w:rsidP="00CE62C1">
            <w:pPr>
              <w:spacing w:line="276" w:lineRule="auto"/>
              <w:jc w:val="center"/>
              <w:rPr>
                <w:rFonts w:cs="Calibri"/>
                <w:color w:val="000000"/>
                <w:sz w:val="20"/>
              </w:rPr>
            </w:pPr>
            <w:r w:rsidRPr="004E74A6">
              <w:rPr>
                <w:rFonts w:cs="Calibri"/>
                <w:color w:val="000000"/>
                <w:sz w:val="20"/>
              </w:rPr>
              <w:t>85%</w:t>
            </w:r>
          </w:p>
        </w:tc>
      </w:tr>
      <w:tr w:rsidR="00AD200A" w:rsidRPr="004E74A6" w14:paraId="27E35A64" w14:textId="342014CC" w:rsidTr="00AD200A">
        <w:trPr>
          <w:trHeight w:val="288"/>
          <w:jc w:val="center"/>
        </w:trPr>
        <w:tc>
          <w:tcPr>
            <w:tcW w:w="1593" w:type="pct"/>
            <w:tcBorders>
              <w:top w:val="nil"/>
              <w:left w:val="nil"/>
              <w:bottom w:val="nil"/>
              <w:right w:val="single" w:sz="4" w:space="0" w:color="auto"/>
            </w:tcBorders>
            <w:shd w:val="clear" w:color="auto" w:fill="auto"/>
            <w:noWrap/>
            <w:vAlign w:val="bottom"/>
            <w:hideMark/>
          </w:tcPr>
          <w:p w14:paraId="531C711A" w14:textId="77777777" w:rsidR="00AD200A" w:rsidRPr="004E74A6" w:rsidRDefault="00AD200A" w:rsidP="00CE62C1">
            <w:pPr>
              <w:spacing w:line="276" w:lineRule="auto"/>
              <w:jc w:val="left"/>
              <w:rPr>
                <w:rFonts w:cs="Calibri"/>
                <w:color w:val="000000"/>
                <w:sz w:val="20"/>
                <w:lang w:eastAsia="es-CR"/>
              </w:rPr>
            </w:pPr>
            <w:r w:rsidRPr="004E74A6">
              <w:rPr>
                <w:rFonts w:cs="Calibri"/>
                <w:color w:val="000000"/>
                <w:sz w:val="20"/>
                <w:lang w:eastAsia="es-CR"/>
              </w:rPr>
              <w:t>De ¢70.000.001 A ¢75.000.000</w:t>
            </w:r>
          </w:p>
        </w:tc>
        <w:tc>
          <w:tcPr>
            <w:tcW w:w="480" w:type="pct"/>
            <w:tcBorders>
              <w:top w:val="nil"/>
              <w:left w:val="single" w:sz="4" w:space="0" w:color="auto"/>
              <w:bottom w:val="nil"/>
              <w:right w:val="single" w:sz="4" w:space="0" w:color="auto"/>
            </w:tcBorders>
            <w:shd w:val="clear" w:color="auto" w:fill="auto"/>
            <w:noWrap/>
            <w:vAlign w:val="center"/>
            <w:hideMark/>
          </w:tcPr>
          <w:p w14:paraId="052BE278" w14:textId="227C0E08"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0</w:t>
            </w:r>
          </w:p>
        </w:tc>
        <w:tc>
          <w:tcPr>
            <w:tcW w:w="480" w:type="pct"/>
            <w:tcBorders>
              <w:top w:val="nil"/>
              <w:left w:val="single" w:sz="4" w:space="0" w:color="auto"/>
              <w:bottom w:val="nil"/>
              <w:right w:val="single" w:sz="4" w:space="0" w:color="auto"/>
            </w:tcBorders>
            <w:shd w:val="clear" w:color="auto" w:fill="auto"/>
            <w:noWrap/>
            <w:vAlign w:val="center"/>
            <w:hideMark/>
          </w:tcPr>
          <w:p w14:paraId="7F9BB7E8" w14:textId="0C3314D0" w:rsidR="00AD200A" w:rsidRPr="004E74A6" w:rsidRDefault="00AD200A" w:rsidP="00CE62C1">
            <w:pPr>
              <w:spacing w:line="276" w:lineRule="auto"/>
              <w:jc w:val="center"/>
              <w:rPr>
                <w:sz w:val="20"/>
                <w:lang w:eastAsia="es-CR"/>
              </w:rPr>
            </w:pPr>
            <w:r w:rsidRPr="004E74A6">
              <w:rPr>
                <w:rFonts w:cs="Calibri"/>
                <w:color w:val="000000"/>
                <w:sz w:val="20"/>
              </w:rPr>
              <w:t>0</w:t>
            </w:r>
          </w:p>
        </w:tc>
        <w:tc>
          <w:tcPr>
            <w:tcW w:w="480" w:type="pct"/>
            <w:tcBorders>
              <w:top w:val="nil"/>
              <w:left w:val="single" w:sz="4" w:space="0" w:color="auto"/>
              <w:bottom w:val="nil"/>
              <w:right w:val="single" w:sz="4" w:space="0" w:color="auto"/>
            </w:tcBorders>
            <w:shd w:val="clear" w:color="auto" w:fill="auto"/>
            <w:noWrap/>
            <w:vAlign w:val="center"/>
            <w:hideMark/>
          </w:tcPr>
          <w:p w14:paraId="13EB46D4" w14:textId="32F9E82D"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1</w:t>
            </w:r>
          </w:p>
        </w:tc>
        <w:tc>
          <w:tcPr>
            <w:tcW w:w="631" w:type="pct"/>
            <w:tcBorders>
              <w:top w:val="nil"/>
              <w:left w:val="single" w:sz="4" w:space="0" w:color="auto"/>
              <w:bottom w:val="nil"/>
              <w:right w:val="nil"/>
            </w:tcBorders>
            <w:shd w:val="clear" w:color="auto" w:fill="auto"/>
            <w:noWrap/>
            <w:vAlign w:val="center"/>
            <w:hideMark/>
          </w:tcPr>
          <w:p w14:paraId="4408FD1F" w14:textId="77920AFF"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0,3</w:t>
            </w:r>
          </w:p>
        </w:tc>
        <w:tc>
          <w:tcPr>
            <w:tcW w:w="1337" w:type="pct"/>
            <w:tcBorders>
              <w:top w:val="nil"/>
              <w:left w:val="single" w:sz="4" w:space="0" w:color="auto"/>
              <w:bottom w:val="nil"/>
              <w:right w:val="nil"/>
            </w:tcBorders>
            <w:shd w:val="clear" w:color="auto" w:fill="auto"/>
            <w:vAlign w:val="bottom"/>
          </w:tcPr>
          <w:p w14:paraId="4DCAAB14" w14:textId="09201F41" w:rsidR="00AD200A" w:rsidRPr="004E74A6" w:rsidRDefault="00AD200A" w:rsidP="00CE62C1">
            <w:pPr>
              <w:spacing w:line="276" w:lineRule="auto"/>
              <w:jc w:val="center"/>
              <w:rPr>
                <w:rFonts w:cs="Calibri"/>
                <w:color w:val="000000"/>
                <w:sz w:val="20"/>
              </w:rPr>
            </w:pPr>
            <w:r w:rsidRPr="004E74A6">
              <w:rPr>
                <w:rFonts w:cs="Calibri"/>
                <w:color w:val="000000"/>
                <w:sz w:val="20"/>
              </w:rPr>
              <w:t>86%</w:t>
            </w:r>
          </w:p>
        </w:tc>
      </w:tr>
      <w:tr w:rsidR="00AD200A" w:rsidRPr="004E74A6" w14:paraId="2749F699" w14:textId="4781262B" w:rsidTr="00AD200A">
        <w:trPr>
          <w:trHeight w:val="288"/>
          <w:jc w:val="center"/>
        </w:trPr>
        <w:tc>
          <w:tcPr>
            <w:tcW w:w="1593" w:type="pct"/>
            <w:tcBorders>
              <w:top w:val="nil"/>
              <w:left w:val="nil"/>
              <w:bottom w:val="nil"/>
              <w:right w:val="single" w:sz="4" w:space="0" w:color="auto"/>
            </w:tcBorders>
            <w:shd w:val="clear" w:color="auto" w:fill="auto"/>
            <w:noWrap/>
            <w:vAlign w:val="bottom"/>
            <w:hideMark/>
          </w:tcPr>
          <w:p w14:paraId="580F76C8" w14:textId="77777777" w:rsidR="00AD200A" w:rsidRPr="004E74A6" w:rsidRDefault="00AD200A" w:rsidP="00CE62C1">
            <w:pPr>
              <w:spacing w:line="276" w:lineRule="auto"/>
              <w:jc w:val="left"/>
              <w:rPr>
                <w:rFonts w:cs="Calibri"/>
                <w:color w:val="000000"/>
                <w:sz w:val="20"/>
                <w:lang w:eastAsia="es-CR"/>
              </w:rPr>
            </w:pPr>
            <w:r w:rsidRPr="004E74A6">
              <w:rPr>
                <w:rFonts w:cs="Calibri"/>
                <w:color w:val="000000"/>
                <w:sz w:val="20"/>
                <w:lang w:eastAsia="es-CR"/>
              </w:rPr>
              <w:t>De ¢85.000.001 A ¢90.000.000</w:t>
            </w:r>
          </w:p>
        </w:tc>
        <w:tc>
          <w:tcPr>
            <w:tcW w:w="480" w:type="pct"/>
            <w:tcBorders>
              <w:top w:val="nil"/>
              <w:left w:val="single" w:sz="4" w:space="0" w:color="auto"/>
              <w:bottom w:val="nil"/>
              <w:right w:val="single" w:sz="4" w:space="0" w:color="auto"/>
            </w:tcBorders>
            <w:shd w:val="clear" w:color="auto" w:fill="auto"/>
            <w:noWrap/>
            <w:vAlign w:val="center"/>
            <w:hideMark/>
          </w:tcPr>
          <w:p w14:paraId="644CC94B" w14:textId="38BCC73B"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0</w:t>
            </w:r>
          </w:p>
        </w:tc>
        <w:tc>
          <w:tcPr>
            <w:tcW w:w="480" w:type="pct"/>
            <w:tcBorders>
              <w:top w:val="nil"/>
              <w:left w:val="single" w:sz="4" w:space="0" w:color="auto"/>
              <w:bottom w:val="nil"/>
              <w:right w:val="single" w:sz="4" w:space="0" w:color="auto"/>
            </w:tcBorders>
            <w:shd w:val="clear" w:color="auto" w:fill="auto"/>
            <w:noWrap/>
            <w:vAlign w:val="center"/>
            <w:hideMark/>
          </w:tcPr>
          <w:p w14:paraId="70D33F00" w14:textId="3D34002B" w:rsidR="00AD200A" w:rsidRPr="004E74A6" w:rsidRDefault="00AD200A" w:rsidP="00CE62C1">
            <w:pPr>
              <w:spacing w:line="276" w:lineRule="auto"/>
              <w:jc w:val="center"/>
              <w:rPr>
                <w:sz w:val="20"/>
                <w:lang w:eastAsia="es-CR"/>
              </w:rPr>
            </w:pPr>
            <w:r w:rsidRPr="004E74A6">
              <w:rPr>
                <w:rFonts w:cs="Calibri"/>
                <w:color w:val="000000"/>
                <w:sz w:val="20"/>
              </w:rPr>
              <w:t>0</w:t>
            </w:r>
          </w:p>
        </w:tc>
        <w:tc>
          <w:tcPr>
            <w:tcW w:w="480" w:type="pct"/>
            <w:tcBorders>
              <w:top w:val="nil"/>
              <w:left w:val="single" w:sz="4" w:space="0" w:color="auto"/>
              <w:bottom w:val="nil"/>
              <w:right w:val="single" w:sz="4" w:space="0" w:color="auto"/>
            </w:tcBorders>
            <w:shd w:val="clear" w:color="auto" w:fill="auto"/>
            <w:noWrap/>
            <w:vAlign w:val="center"/>
            <w:hideMark/>
          </w:tcPr>
          <w:p w14:paraId="7324CD65" w14:textId="416CD026"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1</w:t>
            </w:r>
          </w:p>
        </w:tc>
        <w:tc>
          <w:tcPr>
            <w:tcW w:w="631" w:type="pct"/>
            <w:tcBorders>
              <w:top w:val="nil"/>
              <w:left w:val="single" w:sz="4" w:space="0" w:color="auto"/>
              <w:bottom w:val="nil"/>
              <w:right w:val="nil"/>
            </w:tcBorders>
            <w:shd w:val="clear" w:color="auto" w:fill="auto"/>
            <w:noWrap/>
            <w:vAlign w:val="center"/>
            <w:hideMark/>
          </w:tcPr>
          <w:p w14:paraId="65E89932" w14:textId="16B12D09"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0,3</w:t>
            </w:r>
          </w:p>
        </w:tc>
        <w:tc>
          <w:tcPr>
            <w:tcW w:w="1337" w:type="pct"/>
            <w:tcBorders>
              <w:top w:val="nil"/>
              <w:left w:val="single" w:sz="4" w:space="0" w:color="auto"/>
              <w:bottom w:val="nil"/>
              <w:right w:val="nil"/>
            </w:tcBorders>
            <w:shd w:val="clear" w:color="auto" w:fill="auto"/>
            <w:vAlign w:val="bottom"/>
          </w:tcPr>
          <w:p w14:paraId="40A20A1A" w14:textId="305BC746" w:rsidR="00AD200A" w:rsidRPr="004E74A6" w:rsidRDefault="00AD200A" w:rsidP="00CE62C1">
            <w:pPr>
              <w:spacing w:line="276" w:lineRule="auto"/>
              <w:jc w:val="center"/>
              <w:rPr>
                <w:rFonts w:cs="Calibri"/>
                <w:color w:val="000000"/>
                <w:sz w:val="20"/>
              </w:rPr>
            </w:pPr>
            <w:r w:rsidRPr="004E74A6">
              <w:rPr>
                <w:rFonts w:cs="Calibri"/>
                <w:color w:val="000000"/>
                <w:sz w:val="20"/>
              </w:rPr>
              <w:t>87%</w:t>
            </w:r>
          </w:p>
        </w:tc>
      </w:tr>
      <w:tr w:rsidR="00AD200A" w:rsidRPr="004E74A6" w14:paraId="0A811144" w14:textId="1D61B157" w:rsidTr="00AD200A">
        <w:trPr>
          <w:trHeight w:val="288"/>
          <w:jc w:val="center"/>
        </w:trPr>
        <w:tc>
          <w:tcPr>
            <w:tcW w:w="1593" w:type="pct"/>
            <w:tcBorders>
              <w:top w:val="nil"/>
              <w:left w:val="nil"/>
              <w:bottom w:val="nil"/>
              <w:right w:val="single" w:sz="4" w:space="0" w:color="auto"/>
            </w:tcBorders>
            <w:shd w:val="clear" w:color="auto" w:fill="auto"/>
            <w:noWrap/>
            <w:vAlign w:val="bottom"/>
            <w:hideMark/>
          </w:tcPr>
          <w:p w14:paraId="5B86007B" w14:textId="77777777" w:rsidR="00AD200A" w:rsidRPr="004E74A6" w:rsidRDefault="00AD200A" w:rsidP="00CE62C1">
            <w:pPr>
              <w:spacing w:line="276" w:lineRule="auto"/>
              <w:jc w:val="left"/>
              <w:rPr>
                <w:rFonts w:cs="Calibri"/>
                <w:color w:val="000000"/>
                <w:sz w:val="20"/>
                <w:lang w:eastAsia="es-CR"/>
              </w:rPr>
            </w:pPr>
            <w:r w:rsidRPr="004E74A6">
              <w:rPr>
                <w:rFonts w:cs="Calibri"/>
                <w:color w:val="000000"/>
                <w:sz w:val="20"/>
                <w:lang w:eastAsia="es-CR"/>
              </w:rPr>
              <w:t>Más De ¢100.000.000</w:t>
            </w:r>
          </w:p>
        </w:tc>
        <w:tc>
          <w:tcPr>
            <w:tcW w:w="480" w:type="pct"/>
            <w:tcBorders>
              <w:top w:val="nil"/>
              <w:left w:val="single" w:sz="4" w:space="0" w:color="auto"/>
              <w:bottom w:val="nil"/>
              <w:right w:val="single" w:sz="4" w:space="0" w:color="auto"/>
            </w:tcBorders>
            <w:shd w:val="clear" w:color="auto" w:fill="auto"/>
            <w:noWrap/>
            <w:vAlign w:val="center"/>
            <w:hideMark/>
          </w:tcPr>
          <w:p w14:paraId="3ECD51AA" w14:textId="261980F2"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0</w:t>
            </w:r>
          </w:p>
        </w:tc>
        <w:tc>
          <w:tcPr>
            <w:tcW w:w="480" w:type="pct"/>
            <w:tcBorders>
              <w:top w:val="nil"/>
              <w:left w:val="single" w:sz="4" w:space="0" w:color="auto"/>
              <w:bottom w:val="nil"/>
              <w:right w:val="single" w:sz="4" w:space="0" w:color="auto"/>
            </w:tcBorders>
            <w:shd w:val="clear" w:color="auto" w:fill="auto"/>
            <w:noWrap/>
            <w:vAlign w:val="center"/>
            <w:hideMark/>
          </w:tcPr>
          <w:p w14:paraId="65C2BE92" w14:textId="023C9927"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1</w:t>
            </w:r>
          </w:p>
        </w:tc>
        <w:tc>
          <w:tcPr>
            <w:tcW w:w="480" w:type="pct"/>
            <w:tcBorders>
              <w:top w:val="nil"/>
              <w:left w:val="single" w:sz="4" w:space="0" w:color="auto"/>
              <w:bottom w:val="nil"/>
              <w:right w:val="single" w:sz="4" w:space="0" w:color="auto"/>
            </w:tcBorders>
            <w:shd w:val="clear" w:color="auto" w:fill="auto"/>
            <w:noWrap/>
            <w:vAlign w:val="center"/>
            <w:hideMark/>
          </w:tcPr>
          <w:p w14:paraId="7B15E2BE" w14:textId="58719B94"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1</w:t>
            </w:r>
          </w:p>
        </w:tc>
        <w:tc>
          <w:tcPr>
            <w:tcW w:w="631" w:type="pct"/>
            <w:tcBorders>
              <w:top w:val="nil"/>
              <w:left w:val="single" w:sz="4" w:space="0" w:color="auto"/>
              <w:bottom w:val="nil"/>
              <w:right w:val="nil"/>
            </w:tcBorders>
            <w:shd w:val="clear" w:color="auto" w:fill="auto"/>
            <w:noWrap/>
            <w:vAlign w:val="center"/>
            <w:hideMark/>
          </w:tcPr>
          <w:p w14:paraId="11A88EF5" w14:textId="21131844"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0,7</w:t>
            </w:r>
          </w:p>
        </w:tc>
        <w:tc>
          <w:tcPr>
            <w:tcW w:w="1337" w:type="pct"/>
            <w:tcBorders>
              <w:top w:val="nil"/>
              <w:left w:val="single" w:sz="4" w:space="0" w:color="auto"/>
              <w:bottom w:val="nil"/>
              <w:right w:val="nil"/>
            </w:tcBorders>
            <w:shd w:val="clear" w:color="auto" w:fill="auto"/>
            <w:vAlign w:val="bottom"/>
          </w:tcPr>
          <w:p w14:paraId="47DD1B64" w14:textId="4BF886EB" w:rsidR="00AD200A" w:rsidRPr="004E74A6" w:rsidRDefault="00AD200A" w:rsidP="00CE62C1">
            <w:pPr>
              <w:spacing w:line="276" w:lineRule="auto"/>
              <w:jc w:val="center"/>
              <w:rPr>
                <w:rFonts w:cs="Calibri"/>
                <w:color w:val="000000"/>
                <w:sz w:val="20"/>
              </w:rPr>
            </w:pPr>
            <w:r w:rsidRPr="004E74A6">
              <w:rPr>
                <w:rFonts w:cs="Calibri"/>
                <w:color w:val="000000"/>
                <w:sz w:val="20"/>
              </w:rPr>
              <w:t>89%</w:t>
            </w:r>
          </w:p>
        </w:tc>
      </w:tr>
      <w:tr w:rsidR="00AD200A" w:rsidRPr="004E74A6" w14:paraId="78DF26DA" w14:textId="328A34DA" w:rsidTr="00AD200A">
        <w:trPr>
          <w:trHeight w:val="288"/>
          <w:jc w:val="center"/>
        </w:trPr>
        <w:tc>
          <w:tcPr>
            <w:tcW w:w="1593" w:type="pct"/>
            <w:tcBorders>
              <w:top w:val="nil"/>
              <w:left w:val="nil"/>
              <w:bottom w:val="nil"/>
              <w:right w:val="single" w:sz="4" w:space="0" w:color="auto"/>
            </w:tcBorders>
            <w:shd w:val="clear" w:color="auto" w:fill="auto"/>
            <w:noWrap/>
            <w:vAlign w:val="bottom"/>
            <w:hideMark/>
          </w:tcPr>
          <w:p w14:paraId="14802364" w14:textId="77777777" w:rsidR="00AD200A" w:rsidRPr="004E74A6" w:rsidRDefault="00AD200A" w:rsidP="00CE62C1">
            <w:pPr>
              <w:spacing w:line="276" w:lineRule="auto"/>
              <w:jc w:val="left"/>
              <w:rPr>
                <w:rFonts w:cs="Calibri"/>
                <w:color w:val="ED7D31" w:themeColor="accent2"/>
                <w:sz w:val="20"/>
                <w:lang w:eastAsia="es-CR"/>
              </w:rPr>
            </w:pPr>
            <w:r w:rsidRPr="004E74A6">
              <w:rPr>
                <w:rFonts w:cs="Calibri"/>
                <w:color w:val="ED7D31" w:themeColor="accent2"/>
                <w:sz w:val="20"/>
                <w:lang w:eastAsia="es-CR"/>
              </w:rPr>
              <w:t>Expedientes Cuantía Cero</w:t>
            </w:r>
          </w:p>
        </w:tc>
        <w:tc>
          <w:tcPr>
            <w:tcW w:w="480" w:type="pct"/>
            <w:tcBorders>
              <w:top w:val="nil"/>
              <w:left w:val="single" w:sz="4" w:space="0" w:color="auto"/>
              <w:bottom w:val="nil"/>
              <w:right w:val="single" w:sz="4" w:space="0" w:color="auto"/>
            </w:tcBorders>
            <w:shd w:val="clear" w:color="auto" w:fill="auto"/>
            <w:noWrap/>
            <w:vAlign w:val="center"/>
            <w:hideMark/>
          </w:tcPr>
          <w:p w14:paraId="12DA63F6" w14:textId="5281F068" w:rsidR="00AD200A" w:rsidRPr="004E74A6" w:rsidRDefault="00AD200A" w:rsidP="00CE62C1">
            <w:pPr>
              <w:spacing w:line="276" w:lineRule="auto"/>
              <w:jc w:val="center"/>
              <w:rPr>
                <w:rFonts w:cs="Calibri"/>
                <w:color w:val="ED7D31" w:themeColor="accent2"/>
                <w:sz w:val="20"/>
                <w:lang w:eastAsia="es-CR"/>
              </w:rPr>
            </w:pPr>
            <w:r w:rsidRPr="004E74A6">
              <w:rPr>
                <w:rFonts w:cs="Calibri"/>
                <w:color w:val="ED7D31" w:themeColor="accent2"/>
                <w:sz w:val="20"/>
              </w:rPr>
              <w:t>0</w:t>
            </w:r>
          </w:p>
        </w:tc>
        <w:tc>
          <w:tcPr>
            <w:tcW w:w="480" w:type="pct"/>
            <w:tcBorders>
              <w:top w:val="nil"/>
              <w:left w:val="single" w:sz="4" w:space="0" w:color="auto"/>
              <w:bottom w:val="nil"/>
              <w:right w:val="single" w:sz="4" w:space="0" w:color="auto"/>
            </w:tcBorders>
            <w:shd w:val="clear" w:color="auto" w:fill="auto"/>
            <w:noWrap/>
            <w:vAlign w:val="center"/>
            <w:hideMark/>
          </w:tcPr>
          <w:p w14:paraId="5F39836C" w14:textId="737EA48D" w:rsidR="00AD200A" w:rsidRPr="004E74A6" w:rsidRDefault="00AD200A" w:rsidP="00CE62C1">
            <w:pPr>
              <w:spacing w:line="276" w:lineRule="auto"/>
              <w:jc w:val="center"/>
              <w:rPr>
                <w:rFonts w:cs="Calibri"/>
                <w:color w:val="ED7D31" w:themeColor="accent2"/>
                <w:sz w:val="20"/>
                <w:lang w:eastAsia="es-CR"/>
              </w:rPr>
            </w:pPr>
            <w:r w:rsidRPr="004E74A6">
              <w:rPr>
                <w:rFonts w:cs="Calibri"/>
                <w:color w:val="ED7D31" w:themeColor="accent2"/>
                <w:sz w:val="20"/>
              </w:rPr>
              <w:t>10</w:t>
            </w:r>
          </w:p>
        </w:tc>
        <w:tc>
          <w:tcPr>
            <w:tcW w:w="480" w:type="pct"/>
            <w:tcBorders>
              <w:top w:val="nil"/>
              <w:left w:val="single" w:sz="4" w:space="0" w:color="auto"/>
              <w:bottom w:val="nil"/>
              <w:right w:val="single" w:sz="4" w:space="0" w:color="auto"/>
            </w:tcBorders>
            <w:shd w:val="clear" w:color="auto" w:fill="auto"/>
            <w:noWrap/>
            <w:vAlign w:val="center"/>
            <w:hideMark/>
          </w:tcPr>
          <w:p w14:paraId="3C73A2C5" w14:textId="0F92F7DE" w:rsidR="00AD200A" w:rsidRPr="004E74A6" w:rsidRDefault="00AD200A" w:rsidP="00CE62C1">
            <w:pPr>
              <w:spacing w:line="276" w:lineRule="auto"/>
              <w:jc w:val="center"/>
              <w:rPr>
                <w:rFonts w:cs="Calibri"/>
                <w:color w:val="ED7D31" w:themeColor="accent2"/>
                <w:sz w:val="20"/>
                <w:lang w:eastAsia="es-CR"/>
              </w:rPr>
            </w:pPr>
            <w:r w:rsidRPr="004E74A6">
              <w:rPr>
                <w:rFonts w:cs="Calibri"/>
                <w:color w:val="ED7D31" w:themeColor="accent2"/>
                <w:sz w:val="20"/>
              </w:rPr>
              <w:t>1</w:t>
            </w:r>
          </w:p>
        </w:tc>
        <w:tc>
          <w:tcPr>
            <w:tcW w:w="631" w:type="pct"/>
            <w:tcBorders>
              <w:top w:val="nil"/>
              <w:left w:val="single" w:sz="4" w:space="0" w:color="auto"/>
              <w:bottom w:val="nil"/>
              <w:right w:val="nil"/>
            </w:tcBorders>
            <w:shd w:val="clear" w:color="auto" w:fill="auto"/>
            <w:noWrap/>
            <w:vAlign w:val="center"/>
            <w:hideMark/>
          </w:tcPr>
          <w:p w14:paraId="3B3845EB" w14:textId="51ACC049" w:rsidR="00AD200A" w:rsidRPr="004E74A6" w:rsidRDefault="00AD200A" w:rsidP="00CE62C1">
            <w:pPr>
              <w:spacing w:line="276" w:lineRule="auto"/>
              <w:jc w:val="center"/>
              <w:rPr>
                <w:rFonts w:cs="Calibri"/>
                <w:color w:val="ED7D31" w:themeColor="accent2"/>
                <w:sz w:val="20"/>
                <w:lang w:eastAsia="es-CR"/>
              </w:rPr>
            </w:pPr>
            <w:r w:rsidRPr="004E74A6">
              <w:rPr>
                <w:rFonts w:cs="Calibri"/>
                <w:color w:val="ED7D31" w:themeColor="accent2"/>
                <w:sz w:val="20"/>
              </w:rPr>
              <w:t>3,7</w:t>
            </w:r>
          </w:p>
        </w:tc>
        <w:tc>
          <w:tcPr>
            <w:tcW w:w="1337" w:type="pct"/>
            <w:tcBorders>
              <w:top w:val="nil"/>
              <w:left w:val="single" w:sz="4" w:space="0" w:color="auto"/>
              <w:bottom w:val="nil"/>
              <w:right w:val="nil"/>
            </w:tcBorders>
            <w:shd w:val="clear" w:color="auto" w:fill="auto"/>
            <w:vAlign w:val="bottom"/>
          </w:tcPr>
          <w:p w14:paraId="7B1A5314" w14:textId="185CD1F2" w:rsidR="00AD200A" w:rsidRPr="004E74A6" w:rsidRDefault="00AD200A" w:rsidP="00CE62C1">
            <w:pPr>
              <w:spacing w:line="276" w:lineRule="auto"/>
              <w:jc w:val="center"/>
              <w:rPr>
                <w:rFonts w:cs="Calibri"/>
                <w:color w:val="ED7D31" w:themeColor="accent2"/>
                <w:sz w:val="20"/>
              </w:rPr>
            </w:pPr>
            <w:r w:rsidRPr="004E74A6">
              <w:rPr>
                <w:rFonts w:cs="Calibri"/>
                <w:color w:val="ED7D31" w:themeColor="accent2"/>
                <w:sz w:val="20"/>
              </w:rPr>
              <w:t>100%</w:t>
            </w:r>
          </w:p>
        </w:tc>
      </w:tr>
      <w:tr w:rsidR="00AD200A" w:rsidRPr="004E74A6" w14:paraId="7531C206" w14:textId="17D6653D" w:rsidTr="00AD200A">
        <w:trPr>
          <w:trHeight w:val="288"/>
          <w:jc w:val="center"/>
        </w:trPr>
        <w:tc>
          <w:tcPr>
            <w:tcW w:w="1593" w:type="pct"/>
            <w:tcBorders>
              <w:top w:val="nil"/>
              <w:left w:val="nil"/>
              <w:bottom w:val="single" w:sz="4" w:space="0" w:color="auto"/>
              <w:right w:val="single" w:sz="4" w:space="0" w:color="auto"/>
            </w:tcBorders>
            <w:shd w:val="clear" w:color="auto" w:fill="auto"/>
            <w:noWrap/>
            <w:vAlign w:val="bottom"/>
          </w:tcPr>
          <w:p w14:paraId="0E988712" w14:textId="77777777" w:rsidR="00AD200A" w:rsidRPr="004E74A6" w:rsidRDefault="00AD200A" w:rsidP="00CE62C1">
            <w:pPr>
              <w:spacing w:line="276" w:lineRule="auto"/>
              <w:jc w:val="left"/>
              <w:rPr>
                <w:rFonts w:cs="Calibri"/>
                <w:color w:val="000000"/>
                <w:sz w:val="20"/>
                <w:lang w:eastAsia="es-CR"/>
              </w:rPr>
            </w:pPr>
          </w:p>
        </w:tc>
        <w:tc>
          <w:tcPr>
            <w:tcW w:w="480" w:type="pct"/>
            <w:tcBorders>
              <w:top w:val="nil"/>
              <w:left w:val="single" w:sz="4" w:space="0" w:color="auto"/>
              <w:bottom w:val="single" w:sz="4" w:space="0" w:color="auto"/>
              <w:right w:val="single" w:sz="4" w:space="0" w:color="auto"/>
            </w:tcBorders>
            <w:shd w:val="clear" w:color="auto" w:fill="auto"/>
            <w:noWrap/>
            <w:vAlign w:val="center"/>
          </w:tcPr>
          <w:p w14:paraId="0C827FDB" w14:textId="77777777" w:rsidR="00AD200A" w:rsidRPr="004E74A6" w:rsidRDefault="00AD200A" w:rsidP="00CE62C1">
            <w:pPr>
              <w:spacing w:line="276" w:lineRule="auto"/>
              <w:jc w:val="center"/>
              <w:rPr>
                <w:rFonts w:cs="Calibri"/>
                <w:color w:val="000000"/>
                <w:sz w:val="20"/>
                <w:lang w:eastAsia="es-CR"/>
              </w:rPr>
            </w:pPr>
          </w:p>
        </w:tc>
        <w:tc>
          <w:tcPr>
            <w:tcW w:w="480" w:type="pct"/>
            <w:tcBorders>
              <w:top w:val="nil"/>
              <w:left w:val="single" w:sz="4" w:space="0" w:color="auto"/>
              <w:bottom w:val="single" w:sz="4" w:space="0" w:color="auto"/>
              <w:right w:val="single" w:sz="4" w:space="0" w:color="auto"/>
            </w:tcBorders>
            <w:shd w:val="clear" w:color="auto" w:fill="auto"/>
            <w:noWrap/>
            <w:vAlign w:val="center"/>
          </w:tcPr>
          <w:p w14:paraId="056F9E86" w14:textId="77777777" w:rsidR="00AD200A" w:rsidRPr="004E74A6" w:rsidRDefault="00AD200A" w:rsidP="00CE62C1">
            <w:pPr>
              <w:spacing w:line="276" w:lineRule="auto"/>
              <w:jc w:val="center"/>
              <w:rPr>
                <w:rFonts w:cs="Calibri"/>
                <w:color w:val="000000"/>
                <w:sz w:val="20"/>
                <w:lang w:eastAsia="es-CR"/>
              </w:rPr>
            </w:pPr>
          </w:p>
        </w:tc>
        <w:tc>
          <w:tcPr>
            <w:tcW w:w="480" w:type="pct"/>
            <w:tcBorders>
              <w:top w:val="nil"/>
              <w:left w:val="single" w:sz="4" w:space="0" w:color="auto"/>
              <w:bottom w:val="single" w:sz="4" w:space="0" w:color="auto"/>
              <w:right w:val="single" w:sz="4" w:space="0" w:color="auto"/>
            </w:tcBorders>
            <w:shd w:val="clear" w:color="auto" w:fill="auto"/>
            <w:noWrap/>
            <w:vAlign w:val="center"/>
          </w:tcPr>
          <w:p w14:paraId="2621235E" w14:textId="77777777" w:rsidR="00AD200A" w:rsidRPr="004E74A6" w:rsidRDefault="00AD200A" w:rsidP="00CE62C1">
            <w:pPr>
              <w:spacing w:line="276" w:lineRule="auto"/>
              <w:jc w:val="center"/>
              <w:rPr>
                <w:rFonts w:cs="Calibri"/>
                <w:color w:val="000000"/>
                <w:sz w:val="20"/>
                <w:lang w:eastAsia="es-CR"/>
              </w:rPr>
            </w:pPr>
          </w:p>
        </w:tc>
        <w:tc>
          <w:tcPr>
            <w:tcW w:w="631" w:type="pct"/>
            <w:tcBorders>
              <w:top w:val="nil"/>
              <w:left w:val="single" w:sz="4" w:space="0" w:color="auto"/>
              <w:bottom w:val="single" w:sz="4" w:space="0" w:color="auto"/>
              <w:right w:val="nil"/>
            </w:tcBorders>
            <w:shd w:val="clear" w:color="auto" w:fill="auto"/>
            <w:noWrap/>
            <w:vAlign w:val="center"/>
          </w:tcPr>
          <w:p w14:paraId="605698D3" w14:textId="77777777" w:rsidR="00AD200A" w:rsidRPr="004E74A6" w:rsidRDefault="00AD200A" w:rsidP="00CE62C1">
            <w:pPr>
              <w:spacing w:line="276" w:lineRule="auto"/>
              <w:jc w:val="center"/>
              <w:rPr>
                <w:rFonts w:cs="Calibri"/>
                <w:color w:val="000000"/>
                <w:sz w:val="20"/>
                <w:lang w:eastAsia="es-CR"/>
              </w:rPr>
            </w:pPr>
          </w:p>
        </w:tc>
        <w:tc>
          <w:tcPr>
            <w:tcW w:w="1337" w:type="pct"/>
            <w:tcBorders>
              <w:top w:val="nil"/>
              <w:left w:val="single" w:sz="4" w:space="0" w:color="auto"/>
              <w:bottom w:val="single" w:sz="4" w:space="0" w:color="auto"/>
              <w:right w:val="nil"/>
            </w:tcBorders>
          </w:tcPr>
          <w:p w14:paraId="16F698D3" w14:textId="77777777" w:rsidR="00AD200A" w:rsidRPr="004E74A6" w:rsidRDefault="00AD200A" w:rsidP="00CE62C1">
            <w:pPr>
              <w:spacing w:line="276" w:lineRule="auto"/>
              <w:jc w:val="center"/>
              <w:rPr>
                <w:rFonts w:cs="Calibri"/>
                <w:color w:val="000000"/>
                <w:sz w:val="20"/>
                <w:lang w:eastAsia="es-CR"/>
              </w:rPr>
            </w:pPr>
          </w:p>
        </w:tc>
      </w:tr>
    </w:tbl>
    <w:p w14:paraId="40573330" w14:textId="77777777" w:rsidR="003E4755" w:rsidRPr="004E74A6" w:rsidRDefault="003E4755" w:rsidP="00832773">
      <w:pPr>
        <w:spacing w:line="276" w:lineRule="auto"/>
        <w:ind w:left="57" w:right="57"/>
        <w:rPr>
          <w:rFonts w:cs="Calibri"/>
          <w:i/>
          <w:iCs/>
          <w:color w:val="000000"/>
          <w:sz w:val="20"/>
          <w:lang w:eastAsia="es-CR"/>
        </w:rPr>
      </w:pPr>
      <w:r w:rsidRPr="004E74A6">
        <w:rPr>
          <w:rFonts w:cs="Calibri"/>
          <w:b/>
          <w:bCs/>
          <w:i/>
          <w:iCs/>
          <w:color w:val="000000"/>
          <w:sz w:val="20"/>
          <w:lang w:eastAsia="es-CR"/>
        </w:rPr>
        <w:t>Fuente</w:t>
      </w:r>
      <w:r w:rsidRPr="004E74A6">
        <w:rPr>
          <w:rFonts w:cs="Calibri"/>
          <w:i/>
          <w:iCs/>
          <w:color w:val="000000"/>
          <w:sz w:val="20"/>
          <w:lang w:eastAsia="es-CR"/>
        </w:rPr>
        <w:t>: Subproceso de Modernización Institucional con datos extraídos del sistema SIGMA, Dirección de Planificación.</w:t>
      </w:r>
    </w:p>
    <w:p w14:paraId="7112547D" w14:textId="77777777" w:rsidR="00D55319" w:rsidRPr="004E74A6" w:rsidRDefault="00D55319" w:rsidP="00CE62C1">
      <w:pPr>
        <w:spacing w:after="160" w:line="276" w:lineRule="auto"/>
        <w:rPr>
          <w:rFonts w:cs="Calibri"/>
          <w:color w:val="000000"/>
          <w:szCs w:val="24"/>
          <w:lang w:eastAsia="es-CR"/>
        </w:rPr>
      </w:pPr>
      <w:bookmarkStart w:id="10" w:name="_Hlk106315774"/>
    </w:p>
    <w:p w14:paraId="76282197" w14:textId="2FB9417E" w:rsidR="00D55319" w:rsidRPr="004E74A6" w:rsidRDefault="00D55319" w:rsidP="00CE62C1">
      <w:pPr>
        <w:spacing w:after="160" w:line="276" w:lineRule="auto"/>
        <w:rPr>
          <w:rFonts w:cs="Calibri"/>
          <w:color w:val="000000"/>
          <w:szCs w:val="24"/>
          <w:lang w:eastAsia="es-CR"/>
        </w:rPr>
      </w:pPr>
      <w:r w:rsidRPr="004E74A6">
        <w:rPr>
          <w:rFonts w:cs="Calibri"/>
          <w:color w:val="000000"/>
          <w:szCs w:val="24"/>
          <w:lang w:eastAsia="es-CR"/>
        </w:rPr>
        <w:t xml:space="preserve">Para el 2019 se reportaron 0 asuntos con el rango de cuantía </w:t>
      </w:r>
      <w:r w:rsidRPr="004E74A6">
        <w:rPr>
          <w:rFonts w:cs="Calibri"/>
          <w:i/>
          <w:iCs/>
          <w:color w:val="000000"/>
          <w:szCs w:val="24"/>
          <w:lang w:eastAsia="es-CR"/>
        </w:rPr>
        <w:t>“expedientes cuantía cero”</w:t>
      </w:r>
      <w:r w:rsidRPr="004E74A6">
        <w:rPr>
          <w:rFonts w:cs="Calibri"/>
          <w:color w:val="000000"/>
          <w:szCs w:val="24"/>
          <w:lang w:eastAsia="es-CR"/>
        </w:rPr>
        <w:t>, 10 en 2020 y 1 en 2021, eso sucedió porque el Tribunal indicó que el proceso era estimable pero no completó la opción de rango.</w:t>
      </w:r>
    </w:p>
    <w:bookmarkEnd w:id="10"/>
    <w:p w14:paraId="2253EFDC" w14:textId="101A81D0" w:rsidR="00DC1B71" w:rsidRPr="004E74A6" w:rsidRDefault="005C1F91" w:rsidP="00CE62C1">
      <w:pPr>
        <w:spacing w:after="160" w:line="276" w:lineRule="auto"/>
        <w:rPr>
          <w:rFonts w:cs="Calibri"/>
          <w:color w:val="000000"/>
          <w:szCs w:val="24"/>
          <w:lang w:eastAsia="es-CR"/>
        </w:rPr>
      </w:pPr>
      <w:r w:rsidRPr="004E74A6">
        <w:rPr>
          <w:rFonts w:cs="Calibri"/>
          <w:color w:val="000000"/>
          <w:szCs w:val="24"/>
          <w:lang w:eastAsia="es-CR"/>
        </w:rPr>
        <w:lastRenderedPageBreak/>
        <w:t xml:space="preserve">De elevarse cuantía según escenario A.1 este Tribunal perdería un 66% </w:t>
      </w:r>
      <w:r w:rsidR="00DC1B71" w:rsidRPr="004E74A6">
        <w:rPr>
          <w:rFonts w:cs="Calibri"/>
          <w:color w:val="000000"/>
          <w:szCs w:val="24"/>
          <w:lang w:eastAsia="es-CR"/>
        </w:rPr>
        <w:t xml:space="preserve">de su entrada actual de asuntos ordinarios estimables que se trasladarían a conocimiento de los Juzgados Civiles y por ende </w:t>
      </w:r>
      <w:r w:rsidR="00DC1B71" w:rsidRPr="004E74A6">
        <w:rPr>
          <w:rFonts w:cs="Calibri"/>
          <w:b/>
          <w:bCs/>
          <w:color w:val="000000"/>
          <w:szCs w:val="24"/>
          <w:lang w:eastAsia="es-CR"/>
        </w:rPr>
        <w:t xml:space="preserve">las apelaciones de sentencia </w:t>
      </w:r>
      <w:r w:rsidR="00DC1B71" w:rsidRPr="004E74A6">
        <w:rPr>
          <w:rFonts w:cs="Calibri"/>
          <w:color w:val="000000"/>
          <w:szCs w:val="24"/>
          <w:lang w:eastAsia="es-CR"/>
        </w:rPr>
        <w:t xml:space="preserve">en esos procesos se conocerían en los Tribunales de Apelación.  Sin embargo, la desactualización en el dato de cuantía en este tribunal implica que este porcentaje de disminución de entrada proyectada tenga un alto grado de error. </w:t>
      </w:r>
    </w:p>
    <w:p w14:paraId="09258DD6" w14:textId="77777777" w:rsidR="00DC1B71" w:rsidRPr="004E74A6" w:rsidRDefault="00DC1B71" w:rsidP="00CE62C1">
      <w:pPr>
        <w:spacing w:after="160" w:line="276" w:lineRule="auto"/>
        <w:rPr>
          <w:rFonts w:cs="Calibri"/>
          <w:color w:val="000000"/>
          <w:szCs w:val="24"/>
          <w:lang w:eastAsia="es-CR"/>
        </w:rPr>
      </w:pPr>
      <w:r w:rsidRPr="004E74A6">
        <w:rPr>
          <w:rFonts w:cs="Calibri"/>
          <w:color w:val="000000"/>
          <w:szCs w:val="24"/>
          <w:lang w:eastAsia="es-CR"/>
        </w:rPr>
        <w:t>De elevarse cuantía según escenario A.2, no se modificaría la entrada de ordinarios, sino que el efecto sería en el recurso del que dispondrían las sentencias en los ordinarios estimados hasta en 20 millones de colones, que pese a que se mantendrían en trámite en estos tribunales de primera instancia, dejarían de disponer recurso de casación ante la Sala Primera y pasarían a disponer únicamente de recurso de apelación ante el Tribunal de Apelación en Segunda Instancia.</w:t>
      </w:r>
    </w:p>
    <w:p w14:paraId="740E1C9F" w14:textId="77777777" w:rsidR="008647ED" w:rsidRPr="004E74A6" w:rsidRDefault="008647ED" w:rsidP="00CE62C1">
      <w:pPr>
        <w:numPr>
          <w:ilvl w:val="2"/>
          <w:numId w:val="21"/>
        </w:numPr>
        <w:spacing w:after="160" w:line="276" w:lineRule="auto"/>
        <w:ind w:left="1225" w:hanging="505"/>
        <w:outlineLvl w:val="5"/>
        <w:rPr>
          <w:rFonts w:cs="Calibri"/>
          <w:color w:val="000000"/>
          <w:szCs w:val="24"/>
          <w:lang w:eastAsia="es-CR"/>
        </w:rPr>
      </w:pPr>
      <w:r w:rsidRPr="004E74A6">
        <w:rPr>
          <w:rFonts w:cs="Calibri"/>
          <w:color w:val="000000"/>
          <w:szCs w:val="24"/>
          <w:lang w:eastAsia="es-CR"/>
        </w:rPr>
        <w:t>Tribunal Colegiado Primera Instancia Civil Cartago</w:t>
      </w:r>
    </w:p>
    <w:p w14:paraId="5BBE82D2" w14:textId="3B7B9234" w:rsidR="008647ED" w:rsidRPr="004E74A6" w:rsidRDefault="004678F8" w:rsidP="00CE62C1">
      <w:pPr>
        <w:spacing w:after="160" w:line="276" w:lineRule="auto"/>
        <w:rPr>
          <w:rFonts w:cs="Calibri"/>
          <w:color w:val="000000"/>
          <w:szCs w:val="24"/>
          <w:lang w:eastAsia="es-CR"/>
        </w:rPr>
      </w:pPr>
      <w:r w:rsidRPr="004E74A6">
        <w:rPr>
          <w:rFonts w:cs="Calibri"/>
          <w:color w:val="000000"/>
          <w:szCs w:val="24"/>
          <w:lang w:eastAsia="es-CR"/>
        </w:rPr>
        <w:t xml:space="preserve">Para el caso de este Tribunal, según la tabla por tipo de carpeta principal representa el </w:t>
      </w:r>
      <w:r w:rsidR="008647ED" w:rsidRPr="004E74A6">
        <w:rPr>
          <w:rFonts w:cs="Calibri"/>
          <w:color w:val="000000"/>
          <w:szCs w:val="24"/>
          <w:lang w:eastAsia="es-CR"/>
        </w:rPr>
        <w:t>97,4% de los asuntos que ingresan y que mostró un crecimiento durante el 2021 en relación con el 2020.</w:t>
      </w:r>
    </w:p>
    <w:p w14:paraId="36ADA96D" w14:textId="77777777" w:rsidR="008647ED" w:rsidRPr="004E74A6" w:rsidRDefault="008647ED" w:rsidP="00CE62C1">
      <w:pPr>
        <w:spacing w:after="160" w:line="276" w:lineRule="auto"/>
        <w:rPr>
          <w:rFonts w:cs="Calibri"/>
          <w:color w:val="000000"/>
          <w:szCs w:val="24"/>
          <w:lang w:eastAsia="es-CR"/>
        </w:rPr>
      </w:pPr>
    </w:p>
    <w:p w14:paraId="0D6EA7D8" w14:textId="17DED690" w:rsidR="008D0F70" w:rsidRPr="00832773" w:rsidRDefault="008D0F70" w:rsidP="00F0204A">
      <w:pPr>
        <w:pStyle w:val="Descripcin"/>
        <w:keepNext/>
        <w:spacing w:line="276" w:lineRule="auto"/>
        <w:jc w:val="center"/>
        <w:rPr>
          <w:rFonts w:ascii="Book Antiqua" w:hAnsi="Book Antiqua"/>
          <w:i/>
          <w:iCs/>
          <w:sz w:val="20"/>
          <w:szCs w:val="16"/>
          <w:lang w:val="es-CR"/>
        </w:rPr>
      </w:pPr>
      <w:r w:rsidRPr="00832773">
        <w:rPr>
          <w:rFonts w:ascii="Book Antiqua" w:hAnsi="Book Antiqua"/>
          <w:i/>
          <w:iCs/>
          <w:sz w:val="20"/>
          <w:szCs w:val="16"/>
          <w:lang w:val="es-CR"/>
        </w:rPr>
        <w:t xml:space="preserve">Tabla </w:t>
      </w:r>
      <w:r w:rsidRPr="00832773">
        <w:rPr>
          <w:rFonts w:ascii="Book Antiqua" w:hAnsi="Book Antiqua"/>
          <w:i/>
          <w:iCs/>
          <w:sz w:val="20"/>
          <w:szCs w:val="16"/>
          <w:lang w:val="es-CR"/>
        </w:rPr>
        <w:fldChar w:fldCharType="begin"/>
      </w:r>
      <w:r w:rsidRPr="00832773">
        <w:rPr>
          <w:rFonts w:ascii="Book Antiqua" w:hAnsi="Book Antiqua"/>
          <w:i/>
          <w:iCs/>
          <w:sz w:val="20"/>
          <w:szCs w:val="16"/>
          <w:lang w:val="es-CR"/>
        </w:rPr>
        <w:instrText xml:space="preserve"> SEQ Tabla \* ARABIC </w:instrText>
      </w:r>
      <w:r w:rsidRPr="00832773">
        <w:rPr>
          <w:rFonts w:ascii="Book Antiqua" w:hAnsi="Book Antiqua"/>
          <w:i/>
          <w:iCs/>
          <w:sz w:val="20"/>
          <w:szCs w:val="16"/>
          <w:lang w:val="es-CR"/>
        </w:rPr>
        <w:fldChar w:fldCharType="separate"/>
      </w:r>
      <w:r w:rsidR="00374B51">
        <w:rPr>
          <w:rFonts w:ascii="Book Antiqua" w:hAnsi="Book Antiqua"/>
          <w:i/>
          <w:iCs/>
          <w:noProof/>
          <w:sz w:val="20"/>
          <w:szCs w:val="16"/>
          <w:lang w:val="es-CR"/>
        </w:rPr>
        <w:t>21</w:t>
      </w:r>
      <w:r w:rsidRPr="00832773">
        <w:rPr>
          <w:rFonts w:ascii="Book Antiqua" w:hAnsi="Book Antiqua"/>
          <w:i/>
          <w:iCs/>
          <w:sz w:val="20"/>
          <w:szCs w:val="16"/>
          <w:lang w:val="es-CR"/>
        </w:rPr>
        <w:fldChar w:fldCharType="end"/>
      </w:r>
      <w:r w:rsidRPr="00832773">
        <w:rPr>
          <w:rFonts w:ascii="Book Antiqua" w:hAnsi="Book Antiqua"/>
          <w:i/>
          <w:iCs/>
          <w:sz w:val="20"/>
          <w:szCs w:val="16"/>
          <w:lang w:val="es-CR"/>
        </w:rPr>
        <w:t xml:space="preserve"> Cantidad de entrados por tipo de</w:t>
      </w:r>
      <w:r w:rsidR="004678F8" w:rsidRPr="00832773">
        <w:rPr>
          <w:rFonts w:ascii="Book Antiqua" w:hAnsi="Book Antiqua"/>
          <w:i/>
          <w:iCs/>
          <w:sz w:val="20"/>
          <w:szCs w:val="16"/>
          <w:lang w:val="es-CR"/>
        </w:rPr>
        <w:t xml:space="preserve"> carpeta</w:t>
      </w:r>
      <w:r w:rsidRPr="00832773">
        <w:rPr>
          <w:rFonts w:ascii="Book Antiqua" w:hAnsi="Book Antiqua"/>
          <w:i/>
          <w:iCs/>
          <w:sz w:val="20"/>
          <w:szCs w:val="16"/>
          <w:lang w:val="es-CR"/>
        </w:rPr>
        <w:t xml:space="preserve"> del 2019 al 2021 para el Tribunal Colegiado Primera Instancia Civil Cartago</w:t>
      </w:r>
    </w:p>
    <w:tbl>
      <w:tblPr>
        <w:tblW w:w="4548" w:type="pct"/>
        <w:jc w:val="center"/>
        <w:tblLayout w:type="fixed"/>
        <w:tblCellMar>
          <w:left w:w="70" w:type="dxa"/>
          <w:right w:w="70" w:type="dxa"/>
        </w:tblCellMar>
        <w:tblLook w:val="04A0" w:firstRow="1" w:lastRow="0" w:firstColumn="1" w:lastColumn="0" w:noHBand="0" w:noVBand="1"/>
      </w:tblPr>
      <w:tblGrid>
        <w:gridCol w:w="4412"/>
        <w:gridCol w:w="840"/>
        <w:gridCol w:w="839"/>
        <w:gridCol w:w="836"/>
        <w:gridCol w:w="1114"/>
      </w:tblGrid>
      <w:tr w:rsidR="008D0F70" w:rsidRPr="004E74A6" w14:paraId="1A7703DD" w14:textId="77777777" w:rsidTr="004678F8">
        <w:trPr>
          <w:trHeight w:val="454"/>
          <w:tblHeader/>
          <w:jc w:val="center"/>
        </w:trPr>
        <w:tc>
          <w:tcPr>
            <w:tcW w:w="2743" w:type="pct"/>
            <w:tcBorders>
              <w:top w:val="single" w:sz="4" w:space="0" w:color="auto"/>
              <w:bottom w:val="single" w:sz="4" w:space="0" w:color="auto"/>
              <w:right w:val="single" w:sz="4" w:space="0" w:color="auto"/>
            </w:tcBorders>
            <w:shd w:val="clear" w:color="auto" w:fill="auto"/>
            <w:noWrap/>
            <w:vAlign w:val="center"/>
            <w:hideMark/>
          </w:tcPr>
          <w:p w14:paraId="3F498D18" w14:textId="0497B2EC" w:rsidR="008647ED" w:rsidRPr="004E74A6" w:rsidRDefault="008D0F70" w:rsidP="00CE62C1">
            <w:pPr>
              <w:spacing w:line="276" w:lineRule="auto"/>
              <w:jc w:val="center"/>
              <w:rPr>
                <w:sz w:val="20"/>
                <w:lang w:eastAsia="es-CR"/>
              </w:rPr>
            </w:pPr>
            <w:r w:rsidRPr="004E74A6">
              <w:rPr>
                <w:sz w:val="20"/>
                <w:lang w:eastAsia="es-CR"/>
              </w:rPr>
              <w:t>Tipo</w:t>
            </w:r>
            <w:r w:rsidR="008647ED" w:rsidRPr="004E74A6">
              <w:rPr>
                <w:sz w:val="20"/>
                <w:lang w:eastAsia="es-CR"/>
              </w:rPr>
              <w:t xml:space="preserve"> De </w:t>
            </w:r>
            <w:r w:rsidR="004678F8" w:rsidRPr="004E74A6">
              <w:rPr>
                <w:sz w:val="20"/>
                <w:lang w:eastAsia="es-CR"/>
              </w:rPr>
              <w:t>Carpeta</w:t>
            </w:r>
          </w:p>
        </w:tc>
        <w:tc>
          <w:tcPr>
            <w:tcW w:w="5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B6AB0A"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2019</w:t>
            </w:r>
          </w:p>
        </w:tc>
        <w:tc>
          <w:tcPr>
            <w:tcW w:w="5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CC3F88"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2020</w:t>
            </w:r>
          </w:p>
        </w:tc>
        <w:tc>
          <w:tcPr>
            <w:tcW w:w="5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ADEDEA"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2021</w:t>
            </w:r>
          </w:p>
        </w:tc>
        <w:tc>
          <w:tcPr>
            <w:tcW w:w="693" w:type="pct"/>
            <w:tcBorders>
              <w:top w:val="single" w:sz="4" w:space="0" w:color="auto"/>
              <w:left w:val="single" w:sz="4" w:space="0" w:color="auto"/>
              <w:bottom w:val="single" w:sz="4" w:space="0" w:color="auto"/>
            </w:tcBorders>
            <w:shd w:val="clear" w:color="auto" w:fill="auto"/>
            <w:noWrap/>
            <w:vAlign w:val="center"/>
            <w:hideMark/>
          </w:tcPr>
          <w:p w14:paraId="228D1BFA" w14:textId="492D003E" w:rsidR="008647ED" w:rsidRPr="004E74A6" w:rsidRDefault="008D0F70" w:rsidP="00CE62C1">
            <w:pPr>
              <w:spacing w:line="276" w:lineRule="auto"/>
              <w:jc w:val="center"/>
              <w:rPr>
                <w:rFonts w:cs="Calibri"/>
                <w:color w:val="000000"/>
                <w:sz w:val="20"/>
                <w:lang w:eastAsia="es-CR"/>
              </w:rPr>
            </w:pPr>
            <w:r w:rsidRPr="004E74A6">
              <w:rPr>
                <w:rFonts w:cs="Calibri"/>
                <w:color w:val="000000"/>
                <w:sz w:val="20"/>
                <w:lang w:eastAsia="es-CR"/>
              </w:rPr>
              <w:t>Promedio</w:t>
            </w:r>
          </w:p>
        </w:tc>
      </w:tr>
      <w:tr w:rsidR="008D0F70" w:rsidRPr="004E74A6" w14:paraId="4AE8F672" w14:textId="77777777" w:rsidTr="004678F8">
        <w:trPr>
          <w:trHeight w:val="288"/>
          <w:jc w:val="center"/>
        </w:trPr>
        <w:tc>
          <w:tcPr>
            <w:tcW w:w="2743" w:type="pct"/>
            <w:tcBorders>
              <w:top w:val="single" w:sz="4" w:space="0" w:color="auto"/>
              <w:right w:val="single" w:sz="4" w:space="0" w:color="auto"/>
            </w:tcBorders>
            <w:shd w:val="clear" w:color="auto" w:fill="auto"/>
            <w:noWrap/>
            <w:vAlign w:val="bottom"/>
          </w:tcPr>
          <w:p w14:paraId="62DBF80B" w14:textId="77777777" w:rsidR="008647ED" w:rsidRPr="004E74A6" w:rsidRDefault="008647ED" w:rsidP="00CE62C1">
            <w:pPr>
              <w:spacing w:line="276" w:lineRule="auto"/>
              <w:jc w:val="left"/>
              <w:rPr>
                <w:rFonts w:cs="Calibri"/>
                <w:color w:val="000000"/>
                <w:sz w:val="20"/>
                <w:lang w:eastAsia="es-CR"/>
              </w:rPr>
            </w:pPr>
          </w:p>
        </w:tc>
        <w:tc>
          <w:tcPr>
            <w:tcW w:w="522" w:type="pct"/>
            <w:tcBorders>
              <w:top w:val="single" w:sz="4" w:space="0" w:color="auto"/>
              <w:left w:val="single" w:sz="4" w:space="0" w:color="auto"/>
              <w:right w:val="single" w:sz="4" w:space="0" w:color="auto"/>
            </w:tcBorders>
            <w:shd w:val="clear" w:color="auto" w:fill="auto"/>
            <w:noWrap/>
            <w:vAlign w:val="center"/>
          </w:tcPr>
          <w:p w14:paraId="2BC7B821" w14:textId="77777777" w:rsidR="008647ED" w:rsidRPr="004E74A6" w:rsidRDefault="008647ED" w:rsidP="00CE62C1">
            <w:pPr>
              <w:spacing w:line="276" w:lineRule="auto"/>
              <w:jc w:val="center"/>
              <w:rPr>
                <w:rFonts w:cs="Calibri"/>
                <w:color w:val="000000"/>
                <w:sz w:val="20"/>
                <w:lang w:eastAsia="es-CR"/>
              </w:rPr>
            </w:pPr>
          </w:p>
        </w:tc>
        <w:tc>
          <w:tcPr>
            <w:tcW w:w="522" w:type="pct"/>
            <w:tcBorders>
              <w:top w:val="single" w:sz="4" w:space="0" w:color="auto"/>
              <w:left w:val="single" w:sz="4" w:space="0" w:color="auto"/>
              <w:right w:val="single" w:sz="4" w:space="0" w:color="auto"/>
            </w:tcBorders>
            <w:shd w:val="clear" w:color="auto" w:fill="auto"/>
            <w:noWrap/>
            <w:vAlign w:val="center"/>
          </w:tcPr>
          <w:p w14:paraId="27EFA6AD" w14:textId="77777777" w:rsidR="008647ED" w:rsidRPr="004E74A6" w:rsidRDefault="008647ED" w:rsidP="00CE62C1">
            <w:pPr>
              <w:spacing w:line="276" w:lineRule="auto"/>
              <w:jc w:val="center"/>
              <w:rPr>
                <w:rFonts w:cs="Calibri"/>
                <w:color w:val="000000"/>
                <w:sz w:val="20"/>
                <w:lang w:eastAsia="es-CR"/>
              </w:rPr>
            </w:pPr>
          </w:p>
        </w:tc>
        <w:tc>
          <w:tcPr>
            <w:tcW w:w="520" w:type="pct"/>
            <w:tcBorders>
              <w:top w:val="single" w:sz="4" w:space="0" w:color="auto"/>
              <w:left w:val="single" w:sz="4" w:space="0" w:color="auto"/>
              <w:right w:val="single" w:sz="4" w:space="0" w:color="auto"/>
            </w:tcBorders>
            <w:shd w:val="clear" w:color="auto" w:fill="auto"/>
            <w:noWrap/>
            <w:vAlign w:val="center"/>
          </w:tcPr>
          <w:p w14:paraId="2FDA08C6" w14:textId="77777777" w:rsidR="008647ED" w:rsidRPr="004E74A6" w:rsidRDefault="008647ED" w:rsidP="00CE62C1">
            <w:pPr>
              <w:spacing w:line="276" w:lineRule="auto"/>
              <w:jc w:val="center"/>
              <w:rPr>
                <w:sz w:val="20"/>
                <w:lang w:eastAsia="es-CR"/>
              </w:rPr>
            </w:pPr>
          </w:p>
        </w:tc>
        <w:tc>
          <w:tcPr>
            <w:tcW w:w="693" w:type="pct"/>
            <w:tcBorders>
              <w:top w:val="single" w:sz="4" w:space="0" w:color="auto"/>
              <w:left w:val="single" w:sz="4" w:space="0" w:color="auto"/>
            </w:tcBorders>
            <w:shd w:val="clear" w:color="auto" w:fill="auto"/>
            <w:noWrap/>
            <w:vAlign w:val="center"/>
          </w:tcPr>
          <w:p w14:paraId="5A8F6A2C" w14:textId="77777777" w:rsidR="008647ED" w:rsidRPr="004E74A6" w:rsidRDefault="008647ED" w:rsidP="00CE62C1">
            <w:pPr>
              <w:spacing w:line="276" w:lineRule="auto"/>
              <w:jc w:val="center"/>
              <w:rPr>
                <w:rFonts w:cs="Calibri"/>
                <w:color w:val="000000"/>
                <w:sz w:val="20"/>
                <w:lang w:eastAsia="es-CR"/>
              </w:rPr>
            </w:pPr>
          </w:p>
        </w:tc>
      </w:tr>
      <w:tr w:rsidR="004678F8" w:rsidRPr="004E74A6" w14:paraId="07C1341D" w14:textId="77777777" w:rsidTr="004678F8">
        <w:trPr>
          <w:trHeight w:val="288"/>
          <w:jc w:val="center"/>
        </w:trPr>
        <w:tc>
          <w:tcPr>
            <w:tcW w:w="2743" w:type="pct"/>
            <w:tcBorders>
              <w:right w:val="single" w:sz="4" w:space="0" w:color="auto"/>
            </w:tcBorders>
            <w:shd w:val="clear" w:color="auto" w:fill="auto"/>
            <w:noWrap/>
            <w:vAlign w:val="bottom"/>
          </w:tcPr>
          <w:p w14:paraId="6EBA7A3F" w14:textId="0B55F711" w:rsidR="004678F8" w:rsidRPr="004E74A6" w:rsidRDefault="004678F8" w:rsidP="00CE62C1">
            <w:pPr>
              <w:spacing w:line="276" w:lineRule="auto"/>
              <w:jc w:val="center"/>
              <w:rPr>
                <w:rFonts w:cs="Calibri"/>
                <w:color w:val="000000"/>
                <w:sz w:val="20"/>
                <w:lang w:eastAsia="es-CR"/>
              </w:rPr>
            </w:pPr>
            <w:r w:rsidRPr="004E74A6">
              <w:rPr>
                <w:rFonts w:cs="Calibri"/>
                <w:color w:val="000000"/>
                <w:sz w:val="20"/>
                <w:lang w:eastAsia="es-CR"/>
              </w:rPr>
              <w:t>Total General</w:t>
            </w:r>
          </w:p>
        </w:tc>
        <w:tc>
          <w:tcPr>
            <w:tcW w:w="522" w:type="pct"/>
            <w:tcBorders>
              <w:left w:val="single" w:sz="4" w:space="0" w:color="auto"/>
              <w:right w:val="single" w:sz="4" w:space="0" w:color="auto"/>
            </w:tcBorders>
            <w:shd w:val="clear" w:color="auto" w:fill="auto"/>
            <w:noWrap/>
            <w:vAlign w:val="bottom"/>
          </w:tcPr>
          <w:p w14:paraId="02F0AA97" w14:textId="7BF3F27B" w:rsidR="004678F8" w:rsidRPr="004E74A6" w:rsidRDefault="004678F8" w:rsidP="00CE62C1">
            <w:pPr>
              <w:spacing w:line="276" w:lineRule="auto"/>
              <w:jc w:val="center"/>
              <w:rPr>
                <w:rFonts w:cs="Calibri"/>
                <w:color w:val="000000"/>
                <w:sz w:val="20"/>
              </w:rPr>
            </w:pPr>
            <w:r w:rsidRPr="004E74A6">
              <w:rPr>
                <w:rFonts w:cs="Calibri"/>
                <w:color w:val="000000"/>
                <w:sz w:val="20"/>
              </w:rPr>
              <w:t>218</w:t>
            </w:r>
          </w:p>
        </w:tc>
        <w:tc>
          <w:tcPr>
            <w:tcW w:w="522" w:type="pct"/>
            <w:tcBorders>
              <w:left w:val="single" w:sz="4" w:space="0" w:color="auto"/>
              <w:right w:val="single" w:sz="4" w:space="0" w:color="auto"/>
            </w:tcBorders>
            <w:shd w:val="clear" w:color="auto" w:fill="auto"/>
            <w:noWrap/>
            <w:vAlign w:val="bottom"/>
          </w:tcPr>
          <w:p w14:paraId="65CD2551" w14:textId="58AA586F" w:rsidR="004678F8" w:rsidRPr="004E74A6" w:rsidRDefault="004678F8" w:rsidP="00CE62C1">
            <w:pPr>
              <w:spacing w:line="276" w:lineRule="auto"/>
              <w:jc w:val="center"/>
              <w:rPr>
                <w:rFonts w:cs="Calibri"/>
                <w:color w:val="000000"/>
                <w:sz w:val="20"/>
              </w:rPr>
            </w:pPr>
            <w:r w:rsidRPr="004E74A6">
              <w:rPr>
                <w:rFonts w:cs="Calibri"/>
                <w:color w:val="000000"/>
                <w:sz w:val="20"/>
              </w:rPr>
              <w:t>177</w:t>
            </w:r>
          </w:p>
        </w:tc>
        <w:tc>
          <w:tcPr>
            <w:tcW w:w="520" w:type="pct"/>
            <w:tcBorders>
              <w:left w:val="single" w:sz="4" w:space="0" w:color="auto"/>
              <w:right w:val="single" w:sz="4" w:space="0" w:color="auto"/>
            </w:tcBorders>
            <w:shd w:val="clear" w:color="auto" w:fill="auto"/>
            <w:noWrap/>
            <w:vAlign w:val="bottom"/>
          </w:tcPr>
          <w:p w14:paraId="0A1D72B1" w14:textId="1A0F8EFD" w:rsidR="004678F8" w:rsidRPr="004E74A6" w:rsidRDefault="004678F8" w:rsidP="00CE62C1">
            <w:pPr>
              <w:spacing w:line="276" w:lineRule="auto"/>
              <w:jc w:val="center"/>
              <w:rPr>
                <w:rFonts w:cs="Calibri"/>
                <w:color w:val="000000"/>
                <w:sz w:val="20"/>
              </w:rPr>
            </w:pPr>
            <w:r w:rsidRPr="004E74A6">
              <w:rPr>
                <w:rFonts w:cs="Calibri"/>
                <w:color w:val="000000"/>
                <w:sz w:val="20"/>
              </w:rPr>
              <w:t>213</w:t>
            </w:r>
          </w:p>
        </w:tc>
        <w:tc>
          <w:tcPr>
            <w:tcW w:w="693" w:type="pct"/>
            <w:tcBorders>
              <w:left w:val="single" w:sz="4" w:space="0" w:color="auto"/>
            </w:tcBorders>
            <w:shd w:val="clear" w:color="auto" w:fill="auto"/>
            <w:noWrap/>
            <w:vAlign w:val="bottom"/>
          </w:tcPr>
          <w:p w14:paraId="26C5A7C0" w14:textId="61ED52A1" w:rsidR="004678F8" w:rsidRPr="004E74A6" w:rsidRDefault="004678F8" w:rsidP="00CE62C1">
            <w:pPr>
              <w:spacing w:line="276" w:lineRule="auto"/>
              <w:jc w:val="center"/>
              <w:rPr>
                <w:rFonts w:cs="Calibri"/>
                <w:color w:val="000000"/>
                <w:sz w:val="20"/>
              </w:rPr>
            </w:pPr>
            <w:r w:rsidRPr="004E74A6">
              <w:rPr>
                <w:rFonts w:cs="Calibri"/>
                <w:color w:val="000000"/>
                <w:sz w:val="20"/>
              </w:rPr>
              <w:t>203</w:t>
            </w:r>
          </w:p>
        </w:tc>
      </w:tr>
      <w:tr w:rsidR="004678F8" w:rsidRPr="004E74A6" w14:paraId="28915D94" w14:textId="77777777" w:rsidTr="004678F8">
        <w:trPr>
          <w:trHeight w:val="288"/>
          <w:jc w:val="center"/>
        </w:trPr>
        <w:tc>
          <w:tcPr>
            <w:tcW w:w="2743" w:type="pct"/>
            <w:tcBorders>
              <w:right w:val="single" w:sz="4" w:space="0" w:color="auto"/>
            </w:tcBorders>
            <w:shd w:val="clear" w:color="auto" w:fill="auto"/>
            <w:noWrap/>
            <w:vAlign w:val="bottom"/>
          </w:tcPr>
          <w:p w14:paraId="20BC116C" w14:textId="77777777" w:rsidR="004678F8" w:rsidRPr="004E74A6" w:rsidRDefault="004678F8" w:rsidP="00CE62C1">
            <w:pPr>
              <w:spacing w:line="276" w:lineRule="auto"/>
              <w:jc w:val="left"/>
              <w:rPr>
                <w:rFonts w:cs="Calibri"/>
                <w:color w:val="000000"/>
                <w:sz w:val="20"/>
                <w:lang w:eastAsia="es-CR"/>
              </w:rPr>
            </w:pPr>
          </w:p>
        </w:tc>
        <w:tc>
          <w:tcPr>
            <w:tcW w:w="522" w:type="pct"/>
            <w:tcBorders>
              <w:left w:val="single" w:sz="4" w:space="0" w:color="auto"/>
              <w:right w:val="single" w:sz="4" w:space="0" w:color="auto"/>
            </w:tcBorders>
            <w:shd w:val="clear" w:color="auto" w:fill="auto"/>
            <w:noWrap/>
            <w:vAlign w:val="bottom"/>
          </w:tcPr>
          <w:p w14:paraId="69F519F9" w14:textId="77777777" w:rsidR="004678F8" w:rsidRPr="004E74A6" w:rsidRDefault="004678F8" w:rsidP="00CE62C1">
            <w:pPr>
              <w:spacing w:line="276" w:lineRule="auto"/>
              <w:jc w:val="center"/>
              <w:rPr>
                <w:rFonts w:cs="Calibri"/>
                <w:color w:val="000000"/>
                <w:sz w:val="20"/>
              </w:rPr>
            </w:pPr>
          </w:p>
        </w:tc>
        <w:tc>
          <w:tcPr>
            <w:tcW w:w="522" w:type="pct"/>
            <w:tcBorders>
              <w:left w:val="single" w:sz="4" w:space="0" w:color="auto"/>
              <w:right w:val="single" w:sz="4" w:space="0" w:color="auto"/>
            </w:tcBorders>
            <w:shd w:val="clear" w:color="auto" w:fill="auto"/>
            <w:noWrap/>
            <w:vAlign w:val="bottom"/>
          </w:tcPr>
          <w:p w14:paraId="7AF25911" w14:textId="77777777" w:rsidR="004678F8" w:rsidRPr="004E74A6" w:rsidRDefault="004678F8" w:rsidP="00CE62C1">
            <w:pPr>
              <w:spacing w:line="276" w:lineRule="auto"/>
              <w:jc w:val="center"/>
              <w:rPr>
                <w:rFonts w:cs="Calibri"/>
                <w:color w:val="000000"/>
                <w:sz w:val="20"/>
              </w:rPr>
            </w:pPr>
          </w:p>
        </w:tc>
        <w:tc>
          <w:tcPr>
            <w:tcW w:w="520" w:type="pct"/>
            <w:tcBorders>
              <w:left w:val="single" w:sz="4" w:space="0" w:color="auto"/>
              <w:right w:val="single" w:sz="4" w:space="0" w:color="auto"/>
            </w:tcBorders>
            <w:shd w:val="clear" w:color="auto" w:fill="auto"/>
            <w:noWrap/>
            <w:vAlign w:val="bottom"/>
          </w:tcPr>
          <w:p w14:paraId="3E4FEBCB" w14:textId="77777777" w:rsidR="004678F8" w:rsidRPr="004E74A6" w:rsidRDefault="004678F8" w:rsidP="00CE62C1">
            <w:pPr>
              <w:spacing w:line="276" w:lineRule="auto"/>
              <w:jc w:val="center"/>
              <w:rPr>
                <w:rFonts w:cs="Calibri"/>
                <w:color w:val="000000"/>
                <w:sz w:val="20"/>
              </w:rPr>
            </w:pPr>
          </w:p>
        </w:tc>
        <w:tc>
          <w:tcPr>
            <w:tcW w:w="693" w:type="pct"/>
            <w:tcBorders>
              <w:left w:val="single" w:sz="4" w:space="0" w:color="auto"/>
            </w:tcBorders>
            <w:shd w:val="clear" w:color="auto" w:fill="auto"/>
            <w:noWrap/>
            <w:vAlign w:val="bottom"/>
          </w:tcPr>
          <w:p w14:paraId="1B15A616" w14:textId="77777777" w:rsidR="004678F8" w:rsidRPr="004E74A6" w:rsidRDefault="004678F8" w:rsidP="00CE62C1">
            <w:pPr>
              <w:spacing w:line="276" w:lineRule="auto"/>
              <w:jc w:val="center"/>
              <w:rPr>
                <w:rFonts w:cs="Calibri"/>
                <w:color w:val="000000"/>
                <w:sz w:val="20"/>
              </w:rPr>
            </w:pPr>
          </w:p>
        </w:tc>
      </w:tr>
      <w:tr w:rsidR="004678F8" w:rsidRPr="004E74A6" w14:paraId="67238D41" w14:textId="77777777" w:rsidTr="004678F8">
        <w:trPr>
          <w:trHeight w:val="288"/>
          <w:jc w:val="center"/>
        </w:trPr>
        <w:tc>
          <w:tcPr>
            <w:tcW w:w="2743" w:type="pct"/>
            <w:tcBorders>
              <w:right w:val="single" w:sz="4" w:space="0" w:color="auto"/>
            </w:tcBorders>
            <w:shd w:val="clear" w:color="auto" w:fill="auto"/>
            <w:noWrap/>
            <w:vAlign w:val="bottom"/>
            <w:hideMark/>
          </w:tcPr>
          <w:p w14:paraId="664352CC" w14:textId="77777777" w:rsidR="004678F8" w:rsidRPr="004E74A6" w:rsidRDefault="004678F8" w:rsidP="00CE62C1">
            <w:pPr>
              <w:spacing w:line="276" w:lineRule="auto"/>
              <w:jc w:val="left"/>
              <w:rPr>
                <w:rFonts w:cs="Calibri"/>
                <w:color w:val="000000"/>
                <w:sz w:val="20"/>
                <w:lang w:eastAsia="es-CR"/>
              </w:rPr>
            </w:pPr>
            <w:r w:rsidRPr="004E74A6">
              <w:rPr>
                <w:rFonts w:cs="Calibri"/>
                <w:color w:val="000000"/>
                <w:sz w:val="20"/>
                <w:lang w:eastAsia="es-CR"/>
              </w:rPr>
              <w:t>Comisiones Recibidas</w:t>
            </w:r>
          </w:p>
        </w:tc>
        <w:tc>
          <w:tcPr>
            <w:tcW w:w="522" w:type="pct"/>
            <w:tcBorders>
              <w:left w:val="single" w:sz="4" w:space="0" w:color="auto"/>
              <w:right w:val="single" w:sz="4" w:space="0" w:color="auto"/>
            </w:tcBorders>
            <w:shd w:val="clear" w:color="auto" w:fill="auto"/>
            <w:noWrap/>
            <w:vAlign w:val="bottom"/>
            <w:hideMark/>
          </w:tcPr>
          <w:p w14:paraId="3FCC3EB7" w14:textId="05F7A2D2" w:rsidR="004678F8" w:rsidRPr="004E74A6" w:rsidRDefault="004678F8" w:rsidP="00CE62C1">
            <w:pPr>
              <w:spacing w:line="276" w:lineRule="auto"/>
              <w:jc w:val="center"/>
              <w:rPr>
                <w:rFonts w:cs="Calibri"/>
                <w:color w:val="000000"/>
                <w:sz w:val="20"/>
                <w:lang w:eastAsia="es-CR"/>
              </w:rPr>
            </w:pPr>
            <w:r w:rsidRPr="004E74A6">
              <w:rPr>
                <w:rFonts w:cs="Calibri"/>
                <w:color w:val="000000"/>
                <w:sz w:val="20"/>
              </w:rPr>
              <w:t>1</w:t>
            </w:r>
          </w:p>
        </w:tc>
        <w:tc>
          <w:tcPr>
            <w:tcW w:w="522" w:type="pct"/>
            <w:tcBorders>
              <w:left w:val="single" w:sz="4" w:space="0" w:color="auto"/>
              <w:right w:val="single" w:sz="4" w:space="0" w:color="auto"/>
            </w:tcBorders>
            <w:shd w:val="clear" w:color="auto" w:fill="auto"/>
            <w:noWrap/>
            <w:vAlign w:val="bottom"/>
            <w:hideMark/>
          </w:tcPr>
          <w:p w14:paraId="198ECDD2" w14:textId="082E18E0" w:rsidR="004678F8" w:rsidRPr="004E74A6" w:rsidRDefault="004678F8" w:rsidP="00CE62C1">
            <w:pPr>
              <w:spacing w:line="276" w:lineRule="auto"/>
              <w:jc w:val="center"/>
              <w:rPr>
                <w:rFonts w:cs="Calibri"/>
                <w:color w:val="000000"/>
                <w:sz w:val="20"/>
                <w:lang w:eastAsia="es-CR"/>
              </w:rPr>
            </w:pPr>
            <w:r w:rsidRPr="004E74A6">
              <w:rPr>
                <w:rFonts w:cs="Calibri"/>
                <w:color w:val="000000"/>
                <w:sz w:val="20"/>
              </w:rPr>
              <w:t>0</w:t>
            </w:r>
          </w:p>
        </w:tc>
        <w:tc>
          <w:tcPr>
            <w:tcW w:w="520" w:type="pct"/>
            <w:tcBorders>
              <w:left w:val="single" w:sz="4" w:space="0" w:color="auto"/>
              <w:right w:val="single" w:sz="4" w:space="0" w:color="auto"/>
            </w:tcBorders>
            <w:shd w:val="clear" w:color="auto" w:fill="auto"/>
            <w:noWrap/>
            <w:vAlign w:val="bottom"/>
            <w:hideMark/>
          </w:tcPr>
          <w:p w14:paraId="167AB4E1" w14:textId="6B7D00E5" w:rsidR="004678F8" w:rsidRPr="004E74A6" w:rsidRDefault="004678F8" w:rsidP="00CE62C1">
            <w:pPr>
              <w:spacing w:line="276" w:lineRule="auto"/>
              <w:jc w:val="center"/>
              <w:rPr>
                <w:sz w:val="20"/>
                <w:lang w:eastAsia="es-CR"/>
              </w:rPr>
            </w:pPr>
            <w:r w:rsidRPr="004E74A6">
              <w:rPr>
                <w:rFonts w:cs="Calibri"/>
                <w:color w:val="000000"/>
                <w:sz w:val="20"/>
              </w:rPr>
              <w:t>0</w:t>
            </w:r>
          </w:p>
        </w:tc>
        <w:tc>
          <w:tcPr>
            <w:tcW w:w="693" w:type="pct"/>
            <w:tcBorders>
              <w:left w:val="single" w:sz="4" w:space="0" w:color="auto"/>
            </w:tcBorders>
            <w:shd w:val="clear" w:color="auto" w:fill="auto"/>
            <w:noWrap/>
            <w:vAlign w:val="bottom"/>
            <w:hideMark/>
          </w:tcPr>
          <w:p w14:paraId="7C79C911" w14:textId="2D245C23" w:rsidR="004678F8" w:rsidRPr="004E74A6" w:rsidRDefault="004678F8" w:rsidP="00CE62C1">
            <w:pPr>
              <w:spacing w:line="276" w:lineRule="auto"/>
              <w:jc w:val="center"/>
              <w:rPr>
                <w:rFonts w:cs="Calibri"/>
                <w:color w:val="000000"/>
                <w:sz w:val="20"/>
                <w:lang w:eastAsia="es-CR"/>
              </w:rPr>
            </w:pPr>
            <w:r w:rsidRPr="004E74A6">
              <w:rPr>
                <w:rFonts w:cs="Calibri"/>
                <w:color w:val="000000"/>
                <w:sz w:val="20"/>
              </w:rPr>
              <w:t>0,3</w:t>
            </w:r>
          </w:p>
        </w:tc>
      </w:tr>
      <w:tr w:rsidR="004678F8" w:rsidRPr="004E74A6" w14:paraId="065AC23A" w14:textId="77777777" w:rsidTr="004678F8">
        <w:trPr>
          <w:trHeight w:val="288"/>
          <w:jc w:val="center"/>
        </w:trPr>
        <w:tc>
          <w:tcPr>
            <w:tcW w:w="2743" w:type="pct"/>
            <w:tcBorders>
              <w:right w:val="single" w:sz="4" w:space="0" w:color="auto"/>
            </w:tcBorders>
            <w:shd w:val="clear" w:color="auto" w:fill="auto"/>
            <w:noWrap/>
            <w:vAlign w:val="bottom"/>
            <w:hideMark/>
          </w:tcPr>
          <w:p w14:paraId="59EEEF06" w14:textId="77777777" w:rsidR="004678F8" w:rsidRPr="004E74A6" w:rsidRDefault="004678F8" w:rsidP="00CE62C1">
            <w:pPr>
              <w:spacing w:line="276" w:lineRule="auto"/>
              <w:jc w:val="left"/>
              <w:rPr>
                <w:rFonts w:cs="Calibri"/>
                <w:color w:val="000000"/>
                <w:sz w:val="20"/>
                <w:lang w:eastAsia="es-CR"/>
              </w:rPr>
            </w:pPr>
            <w:r w:rsidRPr="004E74A6">
              <w:rPr>
                <w:rFonts w:cs="Calibri"/>
                <w:color w:val="000000"/>
                <w:sz w:val="20"/>
                <w:lang w:eastAsia="es-CR"/>
              </w:rPr>
              <w:t>Incidentes Procesales</w:t>
            </w:r>
          </w:p>
        </w:tc>
        <w:tc>
          <w:tcPr>
            <w:tcW w:w="522" w:type="pct"/>
            <w:tcBorders>
              <w:left w:val="single" w:sz="4" w:space="0" w:color="auto"/>
              <w:right w:val="single" w:sz="4" w:space="0" w:color="auto"/>
            </w:tcBorders>
            <w:shd w:val="clear" w:color="auto" w:fill="auto"/>
            <w:noWrap/>
            <w:vAlign w:val="bottom"/>
            <w:hideMark/>
          </w:tcPr>
          <w:p w14:paraId="3E548F0C" w14:textId="0947E09B" w:rsidR="004678F8" w:rsidRPr="004E74A6" w:rsidRDefault="004678F8" w:rsidP="00CE62C1">
            <w:pPr>
              <w:spacing w:line="276" w:lineRule="auto"/>
              <w:jc w:val="center"/>
              <w:rPr>
                <w:rFonts w:cs="Calibri"/>
                <w:color w:val="000000"/>
                <w:sz w:val="20"/>
                <w:lang w:eastAsia="es-CR"/>
              </w:rPr>
            </w:pPr>
            <w:r w:rsidRPr="004E74A6">
              <w:rPr>
                <w:rFonts w:cs="Calibri"/>
                <w:color w:val="000000"/>
                <w:sz w:val="20"/>
              </w:rPr>
              <w:t>2</w:t>
            </w:r>
          </w:p>
        </w:tc>
        <w:tc>
          <w:tcPr>
            <w:tcW w:w="522" w:type="pct"/>
            <w:tcBorders>
              <w:left w:val="single" w:sz="4" w:space="0" w:color="auto"/>
              <w:right w:val="single" w:sz="4" w:space="0" w:color="auto"/>
            </w:tcBorders>
            <w:shd w:val="clear" w:color="auto" w:fill="auto"/>
            <w:noWrap/>
            <w:vAlign w:val="bottom"/>
            <w:hideMark/>
          </w:tcPr>
          <w:p w14:paraId="4D009F58" w14:textId="441B61E0" w:rsidR="004678F8" w:rsidRPr="004E74A6" w:rsidRDefault="004678F8" w:rsidP="00CE62C1">
            <w:pPr>
              <w:spacing w:line="276" w:lineRule="auto"/>
              <w:jc w:val="center"/>
              <w:rPr>
                <w:rFonts w:cs="Calibri"/>
                <w:color w:val="000000"/>
                <w:sz w:val="20"/>
                <w:lang w:eastAsia="es-CR"/>
              </w:rPr>
            </w:pPr>
            <w:r w:rsidRPr="004E74A6">
              <w:rPr>
                <w:rFonts w:cs="Calibri"/>
                <w:color w:val="000000"/>
                <w:sz w:val="20"/>
              </w:rPr>
              <w:t>4</w:t>
            </w:r>
          </w:p>
        </w:tc>
        <w:tc>
          <w:tcPr>
            <w:tcW w:w="520" w:type="pct"/>
            <w:tcBorders>
              <w:left w:val="single" w:sz="4" w:space="0" w:color="auto"/>
              <w:right w:val="single" w:sz="4" w:space="0" w:color="auto"/>
            </w:tcBorders>
            <w:shd w:val="clear" w:color="auto" w:fill="auto"/>
            <w:noWrap/>
            <w:vAlign w:val="bottom"/>
            <w:hideMark/>
          </w:tcPr>
          <w:p w14:paraId="2BEDC099" w14:textId="6E60329B" w:rsidR="004678F8" w:rsidRPr="004E74A6" w:rsidRDefault="004678F8" w:rsidP="00CE62C1">
            <w:pPr>
              <w:spacing w:line="276" w:lineRule="auto"/>
              <w:jc w:val="center"/>
              <w:rPr>
                <w:rFonts w:cs="Calibri"/>
                <w:color w:val="000000"/>
                <w:sz w:val="20"/>
                <w:lang w:eastAsia="es-CR"/>
              </w:rPr>
            </w:pPr>
            <w:r w:rsidRPr="004E74A6">
              <w:rPr>
                <w:rFonts w:cs="Calibri"/>
                <w:color w:val="000000"/>
                <w:sz w:val="20"/>
              </w:rPr>
              <w:t>4</w:t>
            </w:r>
          </w:p>
        </w:tc>
        <w:tc>
          <w:tcPr>
            <w:tcW w:w="693" w:type="pct"/>
            <w:tcBorders>
              <w:left w:val="single" w:sz="4" w:space="0" w:color="auto"/>
            </w:tcBorders>
            <w:shd w:val="clear" w:color="auto" w:fill="auto"/>
            <w:noWrap/>
            <w:vAlign w:val="bottom"/>
            <w:hideMark/>
          </w:tcPr>
          <w:p w14:paraId="5B0267F3" w14:textId="532EB495" w:rsidR="004678F8" w:rsidRPr="004E74A6" w:rsidRDefault="004678F8" w:rsidP="00CE62C1">
            <w:pPr>
              <w:spacing w:line="276" w:lineRule="auto"/>
              <w:jc w:val="center"/>
              <w:rPr>
                <w:rFonts w:cs="Calibri"/>
                <w:color w:val="000000"/>
                <w:sz w:val="20"/>
                <w:lang w:eastAsia="es-CR"/>
              </w:rPr>
            </w:pPr>
            <w:r w:rsidRPr="004E74A6">
              <w:rPr>
                <w:rFonts w:cs="Calibri"/>
                <w:color w:val="000000"/>
                <w:sz w:val="20"/>
              </w:rPr>
              <w:t>3,3</w:t>
            </w:r>
          </w:p>
        </w:tc>
      </w:tr>
      <w:tr w:rsidR="004678F8" w:rsidRPr="004E74A6" w14:paraId="7537E98F" w14:textId="77777777" w:rsidTr="004678F8">
        <w:trPr>
          <w:trHeight w:val="288"/>
          <w:jc w:val="center"/>
        </w:trPr>
        <w:tc>
          <w:tcPr>
            <w:tcW w:w="2743" w:type="pct"/>
            <w:tcBorders>
              <w:right w:val="single" w:sz="4" w:space="0" w:color="auto"/>
            </w:tcBorders>
            <w:shd w:val="clear" w:color="auto" w:fill="auto"/>
            <w:noWrap/>
            <w:vAlign w:val="bottom"/>
            <w:hideMark/>
          </w:tcPr>
          <w:p w14:paraId="62D9E297" w14:textId="77777777" w:rsidR="004678F8" w:rsidRPr="004E74A6" w:rsidRDefault="004678F8" w:rsidP="00CE62C1">
            <w:pPr>
              <w:spacing w:line="276" w:lineRule="auto"/>
              <w:jc w:val="left"/>
              <w:rPr>
                <w:rFonts w:cs="Calibri"/>
                <w:color w:val="000000"/>
                <w:sz w:val="20"/>
                <w:lang w:eastAsia="es-CR"/>
              </w:rPr>
            </w:pPr>
            <w:r w:rsidRPr="004E74A6">
              <w:rPr>
                <w:rFonts w:cs="Calibri"/>
                <w:color w:val="000000"/>
                <w:sz w:val="20"/>
                <w:lang w:eastAsia="es-CR"/>
              </w:rPr>
              <w:t>Legajo De Ejecución Provisional</w:t>
            </w:r>
          </w:p>
        </w:tc>
        <w:tc>
          <w:tcPr>
            <w:tcW w:w="522" w:type="pct"/>
            <w:tcBorders>
              <w:left w:val="single" w:sz="4" w:space="0" w:color="auto"/>
              <w:right w:val="single" w:sz="4" w:space="0" w:color="auto"/>
            </w:tcBorders>
            <w:shd w:val="clear" w:color="auto" w:fill="auto"/>
            <w:noWrap/>
            <w:vAlign w:val="bottom"/>
            <w:hideMark/>
          </w:tcPr>
          <w:p w14:paraId="5BD6AB8C" w14:textId="41D29411" w:rsidR="004678F8" w:rsidRPr="004E74A6" w:rsidRDefault="004678F8" w:rsidP="00CE62C1">
            <w:pPr>
              <w:spacing w:line="276" w:lineRule="auto"/>
              <w:jc w:val="center"/>
              <w:rPr>
                <w:sz w:val="20"/>
                <w:lang w:eastAsia="es-CR"/>
              </w:rPr>
            </w:pPr>
            <w:r w:rsidRPr="004E74A6">
              <w:rPr>
                <w:rFonts w:cs="Calibri"/>
                <w:color w:val="000000"/>
                <w:sz w:val="20"/>
              </w:rPr>
              <w:t>0</w:t>
            </w:r>
          </w:p>
        </w:tc>
        <w:tc>
          <w:tcPr>
            <w:tcW w:w="522" w:type="pct"/>
            <w:tcBorders>
              <w:left w:val="single" w:sz="4" w:space="0" w:color="auto"/>
              <w:right w:val="single" w:sz="4" w:space="0" w:color="auto"/>
            </w:tcBorders>
            <w:shd w:val="clear" w:color="auto" w:fill="auto"/>
            <w:noWrap/>
            <w:vAlign w:val="bottom"/>
            <w:hideMark/>
          </w:tcPr>
          <w:p w14:paraId="557FFAE4" w14:textId="46872525" w:rsidR="004678F8" w:rsidRPr="004E74A6" w:rsidRDefault="004678F8" w:rsidP="00CE62C1">
            <w:pPr>
              <w:spacing w:line="276" w:lineRule="auto"/>
              <w:jc w:val="center"/>
              <w:rPr>
                <w:sz w:val="20"/>
                <w:lang w:eastAsia="es-CR"/>
              </w:rPr>
            </w:pPr>
            <w:r w:rsidRPr="004E74A6">
              <w:rPr>
                <w:rFonts w:cs="Calibri"/>
                <w:color w:val="000000"/>
                <w:sz w:val="20"/>
              </w:rPr>
              <w:t>0</w:t>
            </w:r>
          </w:p>
        </w:tc>
        <w:tc>
          <w:tcPr>
            <w:tcW w:w="520" w:type="pct"/>
            <w:tcBorders>
              <w:left w:val="single" w:sz="4" w:space="0" w:color="auto"/>
              <w:right w:val="single" w:sz="4" w:space="0" w:color="auto"/>
            </w:tcBorders>
            <w:shd w:val="clear" w:color="auto" w:fill="auto"/>
            <w:noWrap/>
            <w:vAlign w:val="bottom"/>
            <w:hideMark/>
          </w:tcPr>
          <w:p w14:paraId="29C8DF49" w14:textId="6D149B1E" w:rsidR="004678F8" w:rsidRPr="004E74A6" w:rsidRDefault="004678F8" w:rsidP="00CE62C1">
            <w:pPr>
              <w:spacing w:line="276" w:lineRule="auto"/>
              <w:jc w:val="center"/>
              <w:rPr>
                <w:rFonts w:cs="Calibri"/>
                <w:color w:val="000000"/>
                <w:sz w:val="20"/>
                <w:lang w:eastAsia="es-CR"/>
              </w:rPr>
            </w:pPr>
            <w:r w:rsidRPr="004E74A6">
              <w:rPr>
                <w:rFonts w:cs="Calibri"/>
                <w:color w:val="000000"/>
                <w:sz w:val="20"/>
              </w:rPr>
              <w:t>1</w:t>
            </w:r>
          </w:p>
        </w:tc>
        <w:tc>
          <w:tcPr>
            <w:tcW w:w="693" w:type="pct"/>
            <w:tcBorders>
              <w:left w:val="single" w:sz="4" w:space="0" w:color="auto"/>
            </w:tcBorders>
            <w:shd w:val="clear" w:color="auto" w:fill="auto"/>
            <w:noWrap/>
            <w:vAlign w:val="bottom"/>
            <w:hideMark/>
          </w:tcPr>
          <w:p w14:paraId="1A2AC0EC" w14:textId="0A3E890F" w:rsidR="004678F8" w:rsidRPr="004E74A6" w:rsidRDefault="004678F8" w:rsidP="00CE62C1">
            <w:pPr>
              <w:spacing w:line="276" w:lineRule="auto"/>
              <w:jc w:val="center"/>
              <w:rPr>
                <w:rFonts w:cs="Calibri"/>
                <w:color w:val="000000"/>
                <w:sz w:val="20"/>
                <w:lang w:eastAsia="es-CR"/>
              </w:rPr>
            </w:pPr>
            <w:r w:rsidRPr="004E74A6">
              <w:rPr>
                <w:rFonts w:cs="Calibri"/>
                <w:color w:val="000000"/>
                <w:sz w:val="20"/>
              </w:rPr>
              <w:t>0,3</w:t>
            </w:r>
          </w:p>
        </w:tc>
      </w:tr>
      <w:tr w:rsidR="004678F8" w:rsidRPr="004E74A6" w14:paraId="7C95705C" w14:textId="77777777" w:rsidTr="004678F8">
        <w:trPr>
          <w:trHeight w:val="288"/>
          <w:jc w:val="center"/>
        </w:trPr>
        <w:tc>
          <w:tcPr>
            <w:tcW w:w="2743" w:type="pct"/>
            <w:tcBorders>
              <w:right w:val="single" w:sz="4" w:space="0" w:color="auto"/>
            </w:tcBorders>
            <w:shd w:val="clear" w:color="auto" w:fill="auto"/>
            <w:noWrap/>
            <w:vAlign w:val="bottom"/>
            <w:hideMark/>
          </w:tcPr>
          <w:p w14:paraId="7D080C41" w14:textId="77777777" w:rsidR="004678F8" w:rsidRPr="004E74A6" w:rsidRDefault="004678F8" w:rsidP="00CE62C1">
            <w:pPr>
              <w:spacing w:line="276" w:lineRule="auto"/>
              <w:jc w:val="left"/>
              <w:rPr>
                <w:rFonts w:cs="Calibri"/>
                <w:color w:val="000000"/>
                <w:sz w:val="20"/>
                <w:lang w:eastAsia="es-CR"/>
              </w:rPr>
            </w:pPr>
            <w:r w:rsidRPr="004E74A6">
              <w:rPr>
                <w:rFonts w:cs="Calibri"/>
                <w:color w:val="000000"/>
                <w:sz w:val="20"/>
                <w:lang w:eastAsia="es-CR"/>
              </w:rPr>
              <w:t>Legajo De Medidas Cautelares</w:t>
            </w:r>
          </w:p>
        </w:tc>
        <w:tc>
          <w:tcPr>
            <w:tcW w:w="522" w:type="pct"/>
            <w:tcBorders>
              <w:left w:val="single" w:sz="4" w:space="0" w:color="auto"/>
              <w:right w:val="single" w:sz="4" w:space="0" w:color="auto"/>
            </w:tcBorders>
            <w:shd w:val="clear" w:color="auto" w:fill="auto"/>
            <w:noWrap/>
            <w:vAlign w:val="bottom"/>
            <w:hideMark/>
          </w:tcPr>
          <w:p w14:paraId="38CB1CD0" w14:textId="1C1CADAA" w:rsidR="004678F8" w:rsidRPr="004E74A6" w:rsidRDefault="004678F8" w:rsidP="00CE62C1">
            <w:pPr>
              <w:spacing w:line="276" w:lineRule="auto"/>
              <w:jc w:val="center"/>
              <w:rPr>
                <w:sz w:val="20"/>
                <w:lang w:eastAsia="es-CR"/>
              </w:rPr>
            </w:pPr>
            <w:r w:rsidRPr="004E74A6">
              <w:rPr>
                <w:rFonts w:cs="Calibri"/>
                <w:color w:val="000000"/>
                <w:sz w:val="20"/>
              </w:rPr>
              <w:t>0</w:t>
            </w:r>
          </w:p>
        </w:tc>
        <w:tc>
          <w:tcPr>
            <w:tcW w:w="522" w:type="pct"/>
            <w:tcBorders>
              <w:left w:val="single" w:sz="4" w:space="0" w:color="auto"/>
              <w:right w:val="single" w:sz="4" w:space="0" w:color="auto"/>
            </w:tcBorders>
            <w:shd w:val="clear" w:color="auto" w:fill="auto"/>
            <w:noWrap/>
            <w:vAlign w:val="bottom"/>
            <w:hideMark/>
          </w:tcPr>
          <w:p w14:paraId="631D337F" w14:textId="734F43EF" w:rsidR="004678F8" w:rsidRPr="004E74A6" w:rsidRDefault="004678F8" w:rsidP="00CE62C1">
            <w:pPr>
              <w:spacing w:line="276" w:lineRule="auto"/>
              <w:jc w:val="center"/>
              <w:rPr>
                <w:rFonts w:cs="Calibri"/>
                <w:color w:val="000000"/>
                <w:sz w:val="20"/>
                <w:lang w:eastAsia="es-CR"/>
              </w:rPr>
            </w:pPr>
            <w:r w:rsidRPr="004E74A6">
              <w:rPr>
                <w:rFonts w:cs="Calibri"/>
                <w:color w:val="000000"/>
                <w:sz w:val="20"/>
              </w:rPr>
              <w:t>1</w:t>
            </w:r>
          </w:p>
        </w:tc>
        <w:tc>
          <w:tcPr>
            <w:tcW w:w="520" w:type="pct"/>
            <w:tcBorders>
              <w:left w:val="single" w:sz="4" w:space="0" w:color="auto"/>
              <w:right w:val="single" w:sz="4" w:space="0" w:color="auto"/>
            </w:tcBorders>
            <w:shd w:val="clear" w:color="auto" w:fill="auto"/>
            <w:noWrap/>
            <w:vAlign w:val="bottom"/>
            <w:hideMark/>
          </w:tcPr>
          <w:p w14:paraId="724D8A77" w14:textId="42EE0F73" w:rsidR="004678F8" w:rsidRPr="004E74A6" w:rsidRDefault="004678F8" w:rsidP="00CE62C1">
            <w:pPr>
              <w:spacing w:line="276" w:lineRule="auto"/>
              <w:jc w:val="center"/>
              <w:rPr>
                <w:rFonts w:cs="Calibri"/>
                <w:color w:val="000000"/>
                <w:sz w:val="20"/>
                <w:lang w:eastAsia="es-CR"/>
              </w:rPr>
            </w:pPr>
            <w:r w:rsidRPr="004E74A6">
              <w:rPr>
                <w:rFonts w:cs="Calibri"/>
                <w:color w:val="000000"/>
                <w:sz w:val="20"/>
              </w:rPr>
              <w:t>0</w:t>
            </w:r>
          </w:p>
        </w:tc>
        <w:tc>
          <w:tcPr>
            <w:tcW w:w="693" w:type="pct"/>
            <w:tcBorders>
              <w:left w:val="single" w:sz="4" w:space="0" w:color="auto"/>
            </w:tcBorders>
            <w:shd w:val="clear" w:color="auto" w:fill="auto"/>
            <w:noWrap/>
            <w:vAlign w:val="bottom"/>
            <w:hideMark/>
          </w:tcPr>
          <w:p w14:paraId="23C5F6AF" w14:textId="6C63591A" w:rsidR="004678F8" w:rsidRPr="004E74A6" w:rsidRDefault="004678F8" w:rsidP="00CE62C1">
            <w:pPr>
              <w:spacing w:line="276" w:lineRule="auto"/>
              <w:jc w:val="center"/>
              <w:rPr>
                <w:rFonts w:cs="Calibri"/>
                <w:color w:val="000000"/>
                <w:sz w:val="20"/>
                <w:lang w:eastAsia="es-CR"/>
              </w:rPr>
            </w:pPr>
            <w:r w:rsidRPr="004E74A6">
              <w:rPr>
                <w:rFonts w:cs="Calibri"/>
                <w:color w:val="000000"/>
                <w:sz w:val="20"/>
              </w:rPr>
              <w:t>0,3</w:t>
            </w:r>
          </w:p>
        </w:tc>
      </w:tr>
      <w:tr w:rsidR="004678F8" w:rsidRPr="004E74A6" w14:paraId="6B80B96F" w14:textId="77777777" w:rsidTr="004678F8">
        <w:trPr>
          <w:trHeight w:val="288"/>
          <w:jc w:val="center"/>
        </w:trPr>
        <w:tc>
          <w:tcPr>
            <w:tcW w:w="2743" w:type="pct"/>
            <w:tcBorders>
              <w:right w:val="single" w:sz="4" w:space="0" w:color="auto"/>
            </w:tcBorders>
            <w:shd w:val="clear" w:color="auto" w:fill="auto"/>
            <w:noWrap/>
            <w:vAlign w:val="bottom"/>
            <w:hideMark/>
          </w:tcPr>
          <w:p w14:paraId="0C0482FE" w14:textId="77777777" w:rsidR="004678F8" w:rsidRPr="004E74A6" w:rsidRDefault="004678F8" w:rsidP="00CE62C1">
            <w:pPr>
              <w:spacing w:line="276" w:lineRule="auto"/>
              <w:jc w:val="left"/>
              <w:rPr>
                <w:rFonts w:cs="Calibri"/>
                <w:color w:val="000000"/>
                <w:sz w:val="20"/>
                <w:lang w:eastAsia="es-CR"/>
              </w:rPr>
            </w:pPr>
            <w:r w:rsidRPr="004E74A6">
              <w:rPr>
                <w:rFonts w:cs="Calibri"/>
                <w:color w:val="000000"/>
                <w:sz w:val="20"/>
                <w:lang w:eastAsia="es-CR"/>
              </w:rPr>
              <w:t>Legajo Ejec. Sentencia Acuerdos En Conciliación</w:t>
            </w:r>
          </w:p>
        </w:tc>
        <w:tc>
          <w:tcPr>
            <w:tcW w:w="522" w:type="pct"/>
            <w:tcBorders>
              <w:left w:val="single" w:sz="4" w:space="0" w:color="auto"/>
              <w:right w:val="single" w:sz="4" w:space="0" w:color="auto"/>
            </w:tcBorders>
            <w:shd w:val="clear" w:color="auto" w:fill="auto"/>
            <w:noWrap/>
            <w:vAlign w:val="bottom"/>
            <w:hideMark/>
          </w:tcPr>
          <w:p w14:paraId="242210A2" w14:textId="48762CA9" w:rsidR="004678F8" w:rsidRPr="004E74A6" w:rsidRDefault="004678F8" w:rsidP="00CE62C1">
            <w:pPr>
              <w:spacing w:line="276" w:lineRule="auto"/>
              <w:jc w:val="center"/>
              <w:rPr>
                <w:rFonts w:cs="Calibri"/>
                <w:color w:val="000000"/>
                <w:sz w:val="20"/>
                <w:lang w:eastAsia="es-CR"/>
              </w:rPr>
            </w:pPr>
            <w:r w:rsidRPr="004E74A6">
              <w:rPr>
                <w:rFonts w:cs="Calibri"/>
                <w:color w:val="000000"/>
                <w:sz w:val="20"/>
              </w:rPr>
              <w:t>1</w:t>
            </w:r>
          </w:p>
        </w:tc>
        <w:tc>
          <w:tcPr>
            <w:tcW w:w="522" w:type="pct"/>
            <w:tcBorders>
              <w:left w:val="single" w:sz="4" w:space="0" w:color="auto"/>
              <w:right w:val="single" w:sz="4" w:space="0" w:color="auto"/>
            </w:tcBorders>
            <w:shd w:val="clear" w:color="auto" w:fill="auto"/>
            <w:noWrap/>
            <w:vAlign w:val="bottom"/>
            <w:hideMark/>
          </w:tcPr>
          <w:p w14:paraId="49E4DFD5" w14:textId="789C2569" w:rsidR="004678F8" w:rsidRPr="004E74A6" w:rsidRDefault="004678F8" w:rsidP="00CE62C1">
            <w:pPr>
              <w:spacing w:line="276" w:lineRule="auto"/>
              <w:jc w:val="center"/>
              <w:rPr>
                <w:rFonts w:cs="Calibri"/>
                <w:color w:val="000000"/>
                <w:sz w:val="20"/>
                <w:lang w:eastAsia="es-CR"/>
              </w:rPr>
            </w:pPr>
            <w:r w:rsidRPr="004E74A6">
              <w:rPr>
                <w:rFonts w:cs="Calibri"/>
                <w:color w:val="000000"/>
                <w:sz w:val="20"/>
              </w:rPr>
              <w:t>0</w:t>
            </w:r>
          </w:p>
        </w:tc>
        <w:tc>
          <w:tcPr>
            <w:tcW w:w="520" w:type="pct"/>
            <w:tcBorders>
              <w:left w:val="single" w:sz="4" w:space="0" w:color="auto"/>
              <w:right w:val="single" w:sz="4" w:space="0" w:color="auto"/>
            </w:tcBorders>
            <w:shd w:val="clear" w:color="auto" w:fill="auto"/>
            <w:noWrap/>
            <w:vAlign w:val="bottom"/>
            <w:hideMark/>
          </w:tcPr>
          <w:p w14:paraId="6C6BC512" w14:textId="19541B11" w:rsidR="004678F8" w:rsidRPr="004E74A6" w:rsidRDefault="004678F8" w:rsidP="00CE62C1">
            <w:pPr>
              <w:spacing w:line="276" w:lineRule="auto"/>
              <w:jc w:val="center"/>
              <w:rPr>
                <w:sz w:val="20"/>
                <w:lang w:eastAsia="es-CR"/>
              </w:rPr>
            </w:pPr>
            <w:r w:rsidRPr="004E74A6">
              <w:rPr>
                <w:rFonts w:cs="Calibri"/>
                <w:color w:val="000000"/>
                <w:sz w:val="20"/>
              </w:rPr>
              <w:t>0</w:t>
            </w:r>
          </w:p>
        </w:tc>
        <w:tc>
          <w:tcPr>
            <w:tcW w:w="693" w:type="pct"/>
            <w:tcBorders>
              <w:left w:val="single" w:sz="4" w:space="0" w:color="auto"/>
            </w:tcBorders>
            <w:shd w:val="clear" w:color="auto" w:fill="auto"/>
            <w:noWrap/>
            <w:vAlign w:val="bottom"/>
            <w:hideMark/>
          </w:tcPr>
          <w:p w14:paraId="7D742372" w14:textId="55B3CF4D" w:rsidR="004678F8" w:rsidRPr="004E74A6" w:rsidRDefault="004678F8" w:rsidP="00CE62C1">
            <w:pPr>
              <w:spacing w:line="276" w:lineRule="auto"/>
              <w:jc w:val="center"/>
              <w:rPr>
                <w:rFonts w:cs="Calibri"/>
                <w:color w:val="000000"/>
                <w:sz w:val="20"/>
                <w:lang w:eastAsia="es-CR"/>
              </w:rPr>
            </w:pPr>
            <w:r w:rsidRPr="004E74A6">
              <w:rPr>
                <w:rFonts w:cs="Calibri"/>
                <w:color w:val="000000"/>
                <w:sz w:val="20"/>
              </w:rPr>
              <w:t>0,3</w:t>
            </w:r>
          </w:p>
        </w:tc>
      </w:tr>
      <w:tr w:rsidR="004678F8" w:rsidRPr="004E74A6" w14:paraId="42045669" w14:textId="77777777" w:rsidTr="004678F8">
        <w:trPr>
          <w:trHeight w:val="288"/>
          <w:jc w:val="center"/>
        </w:trPr>
        <w:tc>
          <w:tcPr>
            <w:tcW w:w="2743" w:type="pct"/>
            <w:tcBorders>
              <w:right w:val="single" w:sz="4" w:space="0" w:color="auto"/>
            </w:tcBorders>
            <w:shd w:val="clear" w:color="auto" w:fill="auto"/>
            <w:noWrap/>
            <w:vAlign w:val="bottom"/>
            <w:hideMark/>
          </w:tcPr>
          <w:p w14:paraId="4456BC41" w14:textId="77777777" w:rsidR="004678F8" w:rsidRPr="004E74A6" w:rsidRDefault="004678F8" w:rsidP="00CE62C1">
            <w:pPr>
              <w:spacing w:line="276" w:lineRule="auto"/>
              <w:jc w:val="left"/>
              <w:rPr>
                <w:rFonts w:cs="Calibri"/>
                <w:color w:val="000000"/>
                <w:sz w:val="20"/>
                <w:lang w:eastAsia="es-CR"/>
              </w:rPr>
            </w:pPr>
            <w:r w:rsidRPr="004E74A6">
              <w:rPr>
                <w:rFonts w:cs="Calibri"/>
                <w:color w:val="000000"/>
                <w:sz w:val="20"/>
                <w:lang w:eastAsia="es-CR"/>
              </w:rPr>
              <w:t>Principal</w:t>
            </w:r>
          </w:p>
        </w:tc>
        <w:tc>
          <w:tcPr>
            <w:tcW w:w="522" w:type="pct"/>
            <w:tcBorders>
              <w:left w:val="single" w:sz="4" w:space="0" w:color="auto"/>
              <w:right w:val="single" w:sz="4" w:space="0" w:color="auto"/>
            </w:tcBorders>
            <w:shd w:val="clear" w:color="auto" w:fill="auto"/>
            <w:noWrap/>
            <w:vAlign w:val="bottom"/>
            <w:hideMark/>
          </w:tcPr>
          <w:p w14:paraId="4E80D6DD" w14:textId="0DEB2D87" w:rsidR="004678F8" w:rsidRPr="004E74A6" w:rsidRDefault="004678F8" w:rsidP="00CE62C1">
            <w:pPr>
              <w:spacing w:line="276" w:lineRule="auto"/>
              <w:jc w:val="center"/>
              <w:rPr>
                <w:rFonts w:cs="Calibri"/>
                <w:color w:val="000000"/>
                <w:sz w:val="20"/>
                <w:lang w:eastAsia="es-CR"/>
              </w:rPr>
            </w:pPr>
            <w:r w:rsidRPr="004E74A6">
              <w:rPr>
                <w:rFonts w:cs="Calibri"/>
                <w:color w:val="000000"/>
                <w:sz w:val="20"/>
              </w:rPr>
              <w:t>214</w:t>
            </w:r>
          </w:p>
        </w:tc>
        <w:tc>
          <w:tcPr>
            <w:tcW w:w="522" w:type="pct"/>
            <w:tcBorders>
              <w:left w:val="single" w:sz="4" w:space="0" w:color="auto"/>
              <w:right w:val="single" w:sz="4" w:space="0" w:color="auto"/>
            </w:tcBorders>
            <w:shd w:val="clear" w:color="auto" w:fill="auto"/>
            <w:noWrap/>
            <w:vAlign w:val="bottom"/>
            <w:hideMark/>
          </w:tcPr>
          <w:p w14:paraId="3FBFC08A" w14:textId="7DBFE327" w:rsidR="004678F8" w:rsidRPr="004E74A6" w:rsidRDefault="004678F8" w:rsidP="00CE62C1">
            <w:pPr>
              <w:spacing w:line="276" w:lineRule="auto"/>
              <w:jc w:val="center"/>
              <w:rPr>
                <w:rFonts w:cs="Calibri"/>
                <w:color w:val="000000"/>
                <w:sz w:val="20"/>
                <w:lang w:eastAsia="es-CR"/>
              </w:rPr>
            </w:pPr>
            <w:r w:rsidRPr="004E74A6">
              <w:rPr>
                <w:rFonts w:cs="Calibri"/>
                <w:color w:val="000000"/>
                <w:sz w:val="20"/>
              </w:rPr>
              <w:t>172</w:t>
            </w:r>
          </w:p>
        </w:tc>
        <w:tc>
          <w:tcPr>
            <w:tcW w:w="520" w:type="pct"/>
            <w:tcBorders>
              <w:left w:val="single" w:sz="4" w:space="0" w:color="auto"/>
              <w:right w:val="single" w:sz="4" w:space="0" w:color="auto"/>
            </w:tcBorders>
            <w:shd w:val="clear" w:color="auto" w:fill="auto"/>
            <w:noWrap/>
            <w:vAlign w:val="bottom"/>
            <w:hideMark/>
          </w:tcPr>
          <w:p w14:paraId="3A4A4952" w14:textId="7FB407B9" w:rsidR="004678F8" w:rsidRPr="004E74A6" w:rsidRDefault="004678F8" w:rsidP="00CE62C1">
            <w:pPr>
              <w:spacing w:line="276" w:lineRule="auto"/>
              <w:jc w:val="center"/>
              <w:rPr>
                <w:rFonts w:cs="Calibri"/>
                <w:color w:val="000000"/>
                <w:sz w:val="20"/>
                <w:lang w:eastAsia="es-CR"/>
              </w:rPr>
            </w:pPr>
            <w:r w:rsidRPr="004E74A6">
              <w:rPr>
                <w:rFonts w:cs="Calibri"/>
                <w:color w:val="000000"/>
                <w:sz w:val="20"/>
              </w:rPr>
              <w:t>206</w:t>
            </w:r>
          </w:p>
        </w:tc>
        <w:tc>
          <w:tcPr>
            <w:tcW w:w="693" w:type="pct"/>
            <w:tcBorders>
              <w:left w:val="single" w:sz="4" w:space="0" w:color="auto"/>
            </w:tcBorders>
            <w:shd w:val="clear" w:color="auto" w:fill="auto"/>
            <w:noWrap/>
            <w:vAlign w:val="bottom"/>
            <w:hideMark/>
          </w:tcPr>
          <w:p w14:paraId="4EEBAACD" w14:textId="683EC035" w:rsidR="004678F8" w:rsidRPr="004E74A6" w:rsidRDefault="004678F8" w:rsidP="00CE62C1">
            <w:pPr>
              <w:spacing w:line="276" w:lineRule="auto"/>
              <w:jc w:val="center"/>
              <w:rPr>
                <w:rFonts w:cs="Calibri"/>
                <w:color w:val="000000"/>
                <w:sz w:val="20"/>
                <w:lang w:eastAsia="es-CR"/>
              </w:rPr>
            </w:pPr>
            <w:r w:rsidRPr="004E74A6">
              <w:rPr>
                <w:rFonts w:cs="Calibri"/>
                <w:color w:val="000000"/>
                <w:sz w:val="20"/>
              </w:rPr>
              <w:t>197</w:t>
            </w:r>
          </w:p>
        </w:tc>
      </w:tr>
      <w:tr w:rsidR="004678F8" w:rsidRPr="004E74A6" w14:paraId="26954862" w14:textId="77777777" w:rsidTr="004678F8">
        <w:trPr>
          <w:trHeight w:val="288"/>
          <w:jc w:val="center"/>
        </w:trPr>
        <w:tc>
          <w:tcPr>
            <w:tcW w:w="2743" w:type="pct"/>
            <w:tcBorders>
              <w:right w:val="single" w:sz="4" w:space="0" w:color="auto"/>
            </w:tcBorders>
            <w:shd w:val="clear" w:color="auto" w:fill="auto"/>
            <w:noWrap/>
            <w:vAlign w:val="bottom"/>
            <w:hideMark/>
          </w:tcPr>
          <w:p w14:paraId="3B73CF1D" w14:textId="77777777" w:rsidR="004678F8" w:rsidRPr="004E74A6" w:rsidRDefault="004678F8" w:rsidP="00CE62C1">
            <w:pPr>
              <w:spacing w:line="276" w:lineRule="auto"/>
              <w:jc w:val="left"/>
              <w:rPr>
                <w:rFonts w:cs="Calibri"/>
                <w:color w:val="000000"/>
                <w:sz w:val="20"/>
                <w:lang w:eastAsia="es-CR"/>
              </w:rPr>
            </w:pPr>
            <w:r w:rsidRPr="004E74A6">
              <w:rPr>
                <w:rFonts w:cs="Calibri"/>
                <w:color w:val="000000"/>
                <w:sz w:val="20"/>
                <w:lang w:eastAsia="es-CR"/>
              </w:rPr>
              <w:t>Tercerías</w:t>
            </w:r>
          </w:p>
        </w:tc>
        <w:tc>
          <w:tcPr>
            <w:tcW w:w="522" w:type="pct"/>
            <w:tcBorders>
              <w:left w:val="single" w:sz="4" w:space="0" w:color="auto"/>
              <w:right w:val="single" w:sz="4" w:space="0" w:color="auto"/>
            </w:tcBorders>
            <w:shd w:val="clear" w:color="auto" w:fill="auto"/>
            <w:noWrap/>
            <w:vAlign w:val="bottom"/>
            <w:hideMark/>
          </w:tcPr>
          <w:p w14:paraId="64DD649F" w14:textId="4A609402" w:rsidR="004678F8" w:rsidRPr="004E74A6" w:rsidRDefault="004678F8" w:rsidP="00CE62C1">
            <w:pPr>
              <w:spacing w:line="276" w:lineRule="auto"/>
              <w:jc w:val="center"/>
              <w:rPr>
                <w:sz w:val="20"/>
                <w:lang w:eastAsia="es-CR"/>
              </w:rPr>
            </w:pPr>
            <w:r w:rsidRPr="004E74A6">
              <w:rPr>
                <w:rFonts w:cs="Calibri"/>
                <w:color w:val="000000"/>
                <w:sz w:val="20"/>
              </w:rPr>
              <w:t>0</w:t>
            </w:r>
          </w:p>
        </w:tc>
        <w:tc>
          <w:tcPr>
            <w:tcW w:w="522" w:type="pct"/>
            <w:tcBorders>
              <w:left w:val="single" w:sz="4" w:space="0" w:color="auto"/>
              <w:right w:val="single" w:sz="4" w:space="0" w:color="auto"/>
            </w:tcBorders>
            <w:shd w:val="clear" w:color="auto" w:fill="auto"/>
            <w:noWrap/>
            <w:vAlign w:val="bottom"/>
            <w:hideMark/>
          </w:tcPr>
          <w:p w14:paraId="1C6A26D8" w14:textId="761AF9FF" w:rsidR="004678F8" w:rsidRPr="004E74A6" w:rsidRDefault="004678F8" w:rsidP="00CE62C1">
            <w:pPr>
              <w:spacing w:line="276" w:lineRule="auto"/>
              <w:jc w:val="center"/>
              <w:rPr>
                <w:sz w:val="20"/>
                <w:lang w:eastAsia="es-CR"/>
              </w:rPr>
            </w:pPr>
            <w:r w:rsidRPr="004E74A6">
              <w:rPr>
                <w:rFonts w:cs="Calibri"/>
                <w:color w:val="000000"/>
                <w:sz w:val="20"/>
              </w:rPr>
              <w:t>0</w:t>
            </w:r>
          </w:p>
        </w:tc>
        <w:tc>
          <w:tcPr>
            <w:tcW w:w="520" w:type="pct"/>
            <w:tcBorders>
              <w:left w:val="single" w:sz="4" w:space="0" w:color="auto"/>
              <w:right w:val="single" w:sz="4" w:space="0" w:color="auto"/>
            </w:tcBorders>
            <w:shd w:val="clear" w:color="auto" w:fill="auto"/>
            <w:noWrap/>
            <w:vAlign w:val="bottom"/>
            <w:hideMark/>
          </w:tcPr>
          <w:p w14:paraId="2F60E258" w14:textId="03FBFB34" w:rsidR="004678F8" w:rsidRPr="004E74A6" w:rsidRDefault="004678F8" w:rsidP="00CE62C1">
            <w:pPr>
              <w:spacing w:line="276" w:lineRule="auto"/>
              <w:jc w:val="center"/>
              <w:rPr>
                <w:rFonts w:cs="Calibri"/>
                <w:color w:val="000000"/>
                <w:sz w:val="20"/>
                <w:lang w:eastAsia="es-CR"/>
              </w:rPr>
            </w:pPr>
            <w:r w:rsidRPr="004E74A6">
              <w:rPr>
                <w:rFonts w:cs="Calibri"/>
                <w:color w:val="000000"/>
                <w:sz w:val="20"/>
              </w:rPr>
              <w:t>2</w:t>
            </w:r>
          </w:p>
        </w:tc>
        <w:tc>
          <w:tcPr>
            <w:tcW w:w="693" w:type="pct"/>
            <w:tcBorders>
              <w:left w:val="single" w:sz="4" w:space="0" w:color="auto"/>
            </w:tcBorders>
            <w:shd w:val="clear" w:color="auto" w:fill="auto"/>
            <w:noWrap/>
            <w:vAlign w:val="bottom"/>
            <w:hideMark/>
          </w:tcPr>
          <w:p w14:paraId="32D81473" w14:textId="68BB7416" w:rsidR="004678F8" w:rsidRPr="004E74A6" w:rsidRDefault="004678F8" w:rsidP="00CE62C1">
            <w:pPr>
              <w:spacing w:line="276" w:lineRule="auto"/>
              <w:jc w:val="center"/>
              <w:rPr>
                <w:rFonts w:cs="Calibri"/>
                <w:color w:val="000000"/>
                <w:sz w:val="20"/>
                <w:lang w:eastAsia="es-CR"/>
              </w:rPr>
            </w:pPr>
            <w:r w:rsidRPr="004E74A6">
              <w:rPr>
                <w:rFonts w:cs="Calibri"/>
                <w:color w:val="000000"/>
                <w:sz w:val="20"/>
              </w:rPr>
              <w:t>0,7</w:t>
            </w:r>
          </w:p>
        </w:tc>
      </w:tr>
      <w:tr w:rsidR="004678F8" w:rsidRPr="004E74A6" w14:paraId="336CA245" w14:textId="77777777" w:rsidTr="004678F8">
        <w:trPr>
          <w:trHeight w:val="288"/>
          <w:jc w:val="center"/>
        </w:trPr>
        <w:tc>
          <w:tcPr>
            <w:tcW w:w="2743" w:type="pct"/>
            <w:tcBorders>
              <w:bottom w:val="single" w:sz="4" w:space="0" w:color="auto"/>
              <w:right w:val="single" w:sz="4" w:space="0" w:color="auto"/>
            </w:tcBorders>
            <w:shd w:val="clear" w:color="auto" w:fill="auto"/>
            <w:noWrap/>
            <w:vAlign w:val="bottom"/>
          </w:tcPr>
          <w:p w14:paraId="47C2ED0E" w14:textId="77777777" w:rsidR="004678F8" w:rsidRPr="004E74A6" w:rsidRDefault="004678F8" w:rsidP="00CE62C1">
            <w:pPr>
              <w:spacing w:line="276" w:lineRule="auto"/>
              <w:jc w:val="left"/>
              <w:rPr>
                <w:rFonts w:cs="Calibri"/>
                <w:color w:val="000000"/>
                <w:sz w:val="20"/>
                <w:lang w:eastAsia="es-CR"/>
              </w:rPr>
            </w:pPr>
          </w:p>
        </w:tc>
        <w:tc>
          <w:tcPr>
            <w:tcW w:w="522" w:type="pct"/>
            <w:tcBorders>
              <w:left w:val="single" w:sz="4" w:space="0" w:color="auto"/>
              <w:bottom w:val="single" w:sz="4" w:space="0" w:color="auto"/>
              <w:right w:val="single" w:sz="4" w:space="0" w:color="auto"/>
            </w:tcBorders>
            <w:shd w:val="clear" w:color="auto" w:fill="auto"/>
            <w:noWrap/>
            <w:vAlign w:val="center"/>
          </w:tcPr>
          <w:p w14:paraId="1C0CFB4B" w14:textId="77777777" w:rsidR="004678F8" w:rsidRPr="004E74A6" w:rsidRDefault="004678F8" w:rsidP="00CE62C1">
            <w:pPr>
              <w:spacing w:line="276" w:lineRule="auto"/>
              <w:jc w:val="center"/>
              <w:rPr>
                <w:rFonts w:cs="Calibri"/>
                <w:color w:val="000000"/>
                <w:sz w:val="20"/>
                <w:lang w:eastAsia="es-CR"/>
              </w:rPr>
            </w:pPr>
          </w:p>
        </w:tc>
        <w:tc>
          <w:tcPr>
            <w:tcW w:w="522" w:type="pct"/>
            <w:tcBorders>
              <w:left w:val="single" w:sz="4" w:space="0" w:color="auto"/>
              <w:bottom w:val="single" w:sz="4" w:space="0" w:color="auto"/>
              <w:right w:val="single" w:sz="4" w:space="0" w:color="auto"/>
            </w:tcBorders>
            <w:shd w:val="clear" w:color="auto" w:fill="auto"/>
            <w:noWrap/>
            <w:vAlign w:val="center"/>
          </w:tcPr>
          <w:p w14:paraId="3911317B" w14:textId="77777777" w:rsidR="004678F8" w:rsidRPr="004E74A6" w:rsidRDefault="004678F8" w:rsidP="00CE62C1">
            <w:pPr>
              <w:spacing w:line="276" w:lineRule="auto"/>
              <w:jc w:val="center"/>
              <w:rPr>
                <w:rFonts w:cs="Calibri"/>
                <w:color w:val="000000"/>
                <w:sz w:val="20"/>
                <w:lang w:eastAsia="es-CR"/>
              </w:rPr>
            </w:pPr>
          </w:p>
        </w:tc>
        <w:tc>
          <w:tcPr>
            <w:tcW w:w="520" w:type="pct"/>
            <w:tcBorders>
              <w:left w:val="single" w:sz="4" w:space="0" w:color="auto"/>
              <w:bottom w:val="single" w:sz="4" w:space="0" w:color="auto"/>
              <w:right w:val="single" w:sz="4" w:space="0" w:color="auto"/>
            </w:tcBorders>
            <w:shd w:val="clear" w:color="auto" w:fill="auto"/>
            <w:noWrap/>
            <w:vAlign w:val="center"/>
          </w:tcPr>
          <w:p w14:paraId="63A40F3A" w14:textId="77777777" w:rsidR="004678F8" w:rsidRPr="004E74A6" w:rsidRDefault="004678F8" w:rsidP="00CE62C1">
            <w:pPr>
              <w:spacing w:line="276" w:lineRule="auto"/>
              <w:jc w:val="center"/>
              <w:rPr>
                <w:rFonts w:cs="Calibri"/>
                <w:color w:val="000000"/>
                <w:sz w:val="20"/>
                <w:lang w:eastAsia="es-CR"/>
              </w:rPr>
            </w:pPr>
          </w:p>
        </w:tc>
        <w:tc>
          <w:tcPr>
            <w:tcW w:w="693" w:type="pct"/>
            <w:tcBorders>
              <w:left w:val="single" w:sz="4" w:space="0" w:color="auto"/>
              <w:bottom w:val="single" w:sz="4" w:space="0" w:color="auto"/>
            </w:tcBorders>
            <w:shd w:val="clear" w:color="auto" w:fill="auto"/>
            <w:noWrap/>
            <w:vAlign w:val="center"/>
          </w:tcPr>
          <w:p w14:paraId="27E91237" w14:textId="77777777" w:rsidR="004678F8" w:rsidRPr="004E74A6" w:rsidRDefault="004678F8" w:rsidP="00CE62C1">
            <w:pPr>
              <w:spacing w:line="276" w:lineRule="auto"/>
              <w:jc w:val="center"/>
              <w:rPr>
                <w:rFonts w:cs="Calibri"/>
                <w:color w:val="000000"/>
                <w:sz w:val="20"/>
                <w:lang w:eastAsia="es-CR"/>
              </w:rPr>
            </w:pPr>
          </w:p>
        </w:tc>
      </w:tr>
    </w:tbl>
    <w:p w14:paraId="161AF35C" w14:textId="77777777" w:rsidR="003E4755" w:rsidRPr="004E74A6" w:rsidRDefault="003E4755" w:rsidP="00832773">
      <w:pPr>
        <w:spacing w:line="276" w:lineRule="auto"/>
        <w:ind w:left="340" w:right="340"/>
        <w:rPr>
          <w:rFonts w:cs="Calibri"/>
          <w:i/>
          <w:iCs/>
          <w:color w:val="000000"/>
          <w:sz w:val="20"/>
          <w:lang w:eastAsia="es-CR"/>
        </w:rPr>
      </w:pPr>
      <w:r w:rsidRPr="004E74A6">
        <w:rPr>
          <w:rFonts w:cs="Calibri"/>
          <w:b/>
          <w:bCs/>
          <w:i/>
          <w:iCs/>
          <w:color w:val="000000"/>
          <w:sz w:val="20"/>
          <w:lang w:eastAsia="es-CR"/>
        </w:rPr>
        <w:t>Fuente</w:t>
      </w:r>
      <w:r w:rsidRPr="004E74A6">
        <w:rPr>
          <w:rFonts w:cs="Calibri"/>
          <w:i/>
          <w:iCs/>
          <w:color w:val="000000"/>
          <w:sz w:val="20"/>
          <w:lang w:eastAsia="es-CR"/>
        </w:rPr>
        <w:t>: Subproceso de Modernización Institucional con datos extraídos del sistema SIGMA, Dirección de Planificación.</w:t>
      </w:r>
    </w:p>
    <w:p w14:paraId="683A8845" w14:textId="77777777" w:rsidR="004678F8" w:rsidRPr="004E74A6" w:rsidRDefault="004678F8" w:rsidP="00CE62C1">
      <w:pPr>
        <w:spacing w:after="160" w:line="276" w:lineRule="auto"/>
        <w:rPr>
          <w:rFonts w:cs="Calibri"/>
          <w:color w:val="000000"/>
          <w:szCs w:val="24"/>
          <w:lang w:eastAsia="es-CR"/>
        </w:rPr>
      </w:pPr>
    </w:p>
    <w:p w14:paraId="54EC201A" w14:textId="2D689175" w:rsidR="008647ED" w:rsidRPr="004E74A6" w:rsidRDefault="004678F8" w:rsidP="00CE62C1">
      <w:pPr>
        <w:spacing w:after="160" w:line="276" w:lineRule="auto"/>
        <w:rPr>
          <w:rFonts w:cs="Calibri"/>
          <w:color w:val="000000"/>
          <w:szCs w:val="24"/>
          <w:lang w:eastAsia="es-CR"/>
        </w:rPr>
      </w:pPr>
      <w:r w:rsidRPr="004E74A6">
        <w:rPr>
          <w:rFonts w:cs="Calibri"/>
          <w:color w:val="000000"/>
          <w:szCs w:val="24"/>
          <w:lang w:eastAsia="es-CR"/>
        </w:rPr>
        <w:lastRenderedPageBreak/>
        <w:t xml:space="preserve">Se puede observar aún más a detalle para determinar la clase de asuntos principales, que tal y como lo refleja la siguiente tabla, </w:t>
      </w:r>
      <w:r w:rsidR="008647ED" w:rsidRPr="004E74A6">
        <w:rPr>
          <w:rFonts w:cs="Calibri"/>
          <w:color w:val="000000"/>
          <w:szCs w:val="24"/>
          <w:lang w:eastAsia="es-CR"/>
        </w:rPr>
        <w:t>el 87% está compuesto por los asuntos ordinarios, seguido de un 5,4% de prueba anticipada, siendo lo ordinario lo dominante a través de los años.</w:t>
      </w:r>
    </w:p>
    <w:p w14:paraId="10FF7D80" w14:textId="77777777" w:rsidR="00662185" w:rsidRPr="004E74A6" w:rsidRDefault="00662185" w:rsidP="00CE62C1">
      <w:pPr>
        <w:spacing w:after="160" w:line="276" w:lineRule="auto"/>
        <w:rPr>
          <w:rFonts w:cs="Calibri"/>
          <w:color w:val="000000"/>
          <w:szCs w:val="24"/>
          <w:lang w:eastAsia="es-CR"/>
        </w:rPr>
      </w:pPr>
    </w:p>
    <w:p w14:paraId="5155E1A7" w14:textId="1AF7202F" w:rsidR="008D0F70" w:rsidRPr="00832773" w:rsidRDefault="008D0F70" w:rsidP="00F0204A">
      <w:pPr>
        <w:pStyle w:val="Descripcin"/>
        <w:keepNext/>
        <w:spacing w:line="276" w:lineRule="auto"/>
        <w:jc w:val="center"/>
        <w:rPr>
          <w:rFonts w:ascii="Book Antiqua" w:hAnsi="Book Antiqua"/>
          <w:i/>
          <w:iCs/>
          <w:sz w:val="20"/>
          <w:szCs w:val="16"/>
          <w:lang w:val="es-CR"/>
        </w:rPr>
      </w:pPr>
      <w:r w:rsidRPr="00832773">
        <w:rPr>
          <w:rFonts w:ascii="Book Antiqua" w:hAnsi="Book Antiqua"/>
          <w:i/>
          <w:iCs/>
          <w:sz w:val="20"/>
          <w:szCs w:val="16"/>
          <w:lang w:val="es-CR"/>
        </w:rPr>
        <w:t xml:space="preserve">Tabla </w:t>
      </w:r>
      <w:r w:rsidRPr="00832773">
        <w:rPr>
          <w:rFonts w:ascii="Book Antiqua" w:hAnsi="Book Antiqua"/>
          <w:i/>
          <w:iCs/>
          <w:sz w:val="20"/>
          <w:szCs w:val="16"/>
          <w:lang w:val="es-CR"/>
        </w:rPr>
        <w:fldChar w:fldCharType="begin"/>
      </w:r>
      <w:r w:rsidRPr="00832773">
        <w:rPr>
          <w:rFonts w:ascii="Book Antiqua" w:hAnsi="Book Antiqua"/>
          <w:i/>
          <w:iCs/>
          <w:sz w:val="20"/>
          <w:szCs w:val="16"/>
          <w:lang w:val="es-CR"/>
        </w:rPr>
        <w:instrText xml:space="preserve"> SEQ Tabla \* ARABIC </w:instrText>
      </w:r>
      <w:r w:rsidRPr="00832773">
        <w:rPr>
          <w:rFonts w:ascii="Book Antiqua" w:hAnsi="Book Antiqua"/>
          <w:i/>
          <w:iCs/>
          <w:sz w:val="20"/>
          <w:szCs w:val="16"/>
          <w:lang w:val="es-CR"/>
        </w:rPr>
        <w:fldChar w:fldCharType="separate"/>
      </w:r>
      <w:r w:rsidR="00374B51">
        <w:rPr>
          <w:rFonts w:ascii="Book Antiqua" w:hAnsi="Book Antiqua"/>
          <w:i/>
          <w:iCs/>
          <w:noProof/>
          <w:sz w:val="20"/>
          <w:szCs w:val="16"/>
          <w:lang w:val="es-CR"/>
        </w:rPr>
        <w:t>22</w:t>
      </w:r>
      <w:r w:rsidRPr="00832773">
        <w:rPr>
          <w:rFonts w:ascii="Book Antiqua" w:hAnsi="Book Antiqua"/>
          <w:i/>
          <w:iCs/>
          <w:sz w:val="20"/>
          <w:szCs w:val="16"/>
          <w:lang w:val="es-CR"/>
        </w:rPr>
        <w:fldChar w:fldCharType="end"/>
      </w:r>
      <w:r w:rsidRPr="00832773">
        <w:rPr>
          <w:rFonts w:ascii="Book Antiqua" w:hAnsi="Book Antiqua"/>
          <w:i/>
          <w:iCs/>
          <w:sz w:val="20"/>
          <w:szCs w:val="16"/>
          <w:lang w:val="es-CR"/>
        </w:rPr>
        <w:t xml:space="preserve"> Cantidad de principales según clase de asuntos del 2019 al 2021 para el Tribunal Colegiado de Primera Instancia Civil Cartago</w:t>
      </w:r>
    </w:p>
    <w:tbl>
      <w:tblPr>
        <w:tblW w:w="3631" w:type="pct"/>
        <w:jc w:val="center"/>
        <w:tblCellMar>
          <w:left w:w="70" w:type="dxa"/>
          <w:right w:w="70" w:type="dxa"/>
        </w:tblCellMar>
        <w:tblLook w:val="04A0" w:firstRow="1" w:lastRow="0" w:firstColumn="1" w:lastColumn="0" w:noHBand="0" w:noVBand="1"/>
      </w:tblPr>
      <w:tblGrid>
        <w:gridCol w:w="2796"/>
        <w:gridCol w:w="836"/>
        <w:gridCol w:w="836"/>
        <w:gridCol w:w="837"/>
        <w:gridCol w:w="1115"/>
      </w:tblGrid>
      <w:tr w:rsidR="008D0F70" w:rsidRPr="004E74A6" w14:paraId="2D86C218" w14:textId="77777777" w:rsidTr="003E4755">
        <w:trPr>
          <w:trHeight w:val="454"/>
          <w:tblHeader/>
          <w:jc w:val="center"/>
        </w:trPr>
        <w:tc>
          <w:tcPr>
            <w:tcW w:w="2178" w:type="pct"/>
            <w:tcBorders>
              <w:top w:val="single" w:sz="4" w:space="0" w:color="auto"/>
              <w:left w:val="nil"/>
              <w:bottom w:val="single" w:sz="4" w:space="0" w:color="auto"/>
              <w:right w:val="single" w:sz="4" w:space="0" w:color="auto"/>
            </w:tcBorders>
            <w:shd w:val="clear" w:color="auto" w:fill="auto"/>
            <w:noWrap/>
            <w:vAlign w:val="center"/>
            <w:hideMark/>
          </w:tcPr>
          <w:p w14:paraId="4C24F55B"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Principal</w:t>
            </w:r>
          </w:p>
        </w:tc>
        <w:tc>
          <w:tcPr>
            <w:tcW w:w="65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0E58DDC"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2019</w:t>
            </w:r>
          </w:p>
        </w:tc>
        <w:tc>
          <w:tcPr>
            <w:tcW w:w="65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1800225"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2020</w:t>
            </w:r>
          </w:p>
        </w:tc>
        <w:tc>
          <w:tcPr>
            <w:tcW w:w="65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6DF1B62"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2021</w:t>
            </w:r>
          </w:p>
        </w:tc>
        <w:tc>
          <w:tcPr>
            <w:tcW w:w="868" w:type="pct"/>
            <w:tcBorders>
              <w:top w:val="single" w:sz="4" w:space="0" w:color="auto"/>
              <w:left w:val="single" w:sz="4" w:space="0" w:color="auto"/>
              <w:bottom w:val="single" w:sz="4" w:space="0" w:color="auto"/>
              <w:right w:val="nil"/>
            </w:tcBorders>
            <w:shd w:val="clear" w:color="auto" w:fill="auto"/>
            <w:noWrap/>
            <w:vAlign w:val="center"/>
          </w:tcPr>
          <w:p w14:paraId="182A658E" w14:textId="44CDD2C5" w:rsidR="008647ED" w:rsidRPr="004E74A6" w:rsidRDefault="008D0F70" w:rsidP="00CE62C1">
            <w:pPr>
              <w:spacing w:line="276" w:lineRule="auto"/>
              <w:jc w:val="center"/>
              <w:rPr>
                <w:rFonts w:cs="Calibri"/>
                <w:color w:val="000000"/>
                <w:sz w:val="20"/>
                <w:lang w:eastAsia="es-CR"/>
              </w:rPr>
            </w:pPr>
            <w:r w:rsidRPr="004E74A6">
              <w:rPr>
                <w:rFonts w:cs="Calibri"/>
                <w:color w:val="000000"/>
                <w:sz w:val="20"/>
                <w:lang w:eastAsia="es-CR"/>
              </w:rPr>
              <w:t>Promedio</w:t>
            </w:r>
          </w:p>
        </w:tc>
      </w:tr>
      <w:tr w:rsidR="008D0F70" w:rsidRPr="004E74A6" w14:paraId="07EB8339" w14:textId="77777777" w:rsidTr="003E4755">
        <w:trPr>
          <w:trHeight w:val="288"/>
          <w:jc w:val="center"/>
        </w:trPr>
        <w:tc>
          <w:tcPr>
            <w:tcW w:w="2178" w:type="pct"/>
            <w:tcBorders>
              <w:top w:val="single" w:sz="4" w:space="0" w:color="auto"/>
              <w:left w:val="nil"/>
              <w:bottom w:val="nil"/>
              <w:right w:val="single" w:sz="4" w:space="0" w:color="auto"/>
            </w:tcBorders>
            <w:shd w:val="clear" w:color="auto" w:fill="auto"/>
            <w:noWrap/>
            <w:vAlign w:val="center"/>
          </w:tcPr>
          <w:p w14:paraId="25D0CD77" w14:textId="77777777" w:rsidR="008647ED" w:rsidRPr="004E74A6" w:rsidRDefault="008647ED" w:rsidP="00CE62C1">
            <w:pPr>
              <w:spacing w:line="276" w:lineRule="auto"/>
              <w:ind w:firstLineChars="100" w:firstLine="200"/>
              <w:jc w:val="center"/>
              <w:rPr>
                <w:rFonts w:cs="Calibri"/>
                <w:color w:val="000000"/>
                <w:sz w:val="20"/>
                <w:lang w:eastAsia="es-CR"/>
              </w:rPr>
            </w:pPr>
          </w:p>
        </w:tc>
        <w:tc>
          <w:tcPr>
            <w:tcW w:w="651" w:type="pct"/>
            <w:tcBorders>
              <w:top w:val="single" w:sz="4" w:space="0" w:color="auto"/>
              <w:left w:val="single" w:sz="4" w:space="0" w:color="auto"/>
              <w:bottom w:val="nil"/>
              <w:right w:val="single" w:sz="4" w:space="0" w:color="auto"/>
            </w:tcBorders>
            <w:shd w:val="clear" w:color="auto" w:fill="auto"/>
            <w:noWrap/>
            <w:vAlign w:val="center"/>
          </w:tcPr>
          <w:p w14:paraId="5667114A" w14:textId="77777777" w:rsidR="008647ED" w:rsidRPr="004E74A6" w:rsidRDefault="008647ED" w:rsidP="00CE62C1">
            <w:pPr>
              <w:spacing w:line="276" w:lineRule="auto"/>
              <w:jc w:val="center"/>
              <w:rPr>
                <w:sz w:val="20"/>
                <w:lang w:eastAsia="es-CR"/>
              </w:rPr>
            </w:pPr>
          </w:p>
        </w:tc>
        <w:tc>
          <w:tcPr>
            <w:tcW w:w="651" w:type="pct"/>
            <w:tcBorders>
              <w:top w:val="single" w:sz="4" w:space="0" w:color="auto"/>
              <w:left w:val="single" w:sz="4" w:space="0" w:color="auto"/>
              <w:bottom w:val="nil"/>
              <w:right w:val="single" w:sz="4" w:space="0" w:color="auto"/>
            </w:tcBorders>
            <w:shd w:val="clear" w:color="auto" w:fill="auto"/>
            <w:noWrap/>
            <w:vAlign w:val="center"/>
          </w:tcPr>
          <w:p w14:paraId="4B0F3387" w14:textId="77777777" w:rsidR="008647ED" w:rsidRPr="004E74A6" w:rsidRDefault="008647ED" w:rsidP="00CE62C1">
            <w:pPr>
              <w:spacing w:line="276" w:lineRule="auto"/>
              <w:jc w:val="center"/>
              <w:rPr>
                <w:sz w:val="20"/>
                <w:lang w:eastAsia="es-CR"/>
              </w:rPr>
            </w:pPr>
          </w:p>
        </w:tc>
        <w:tc>
          <w:tcPr>
            <w:tcW w:w="652" w:type="pct"/>
            <w:tcBorders>
              <w:top w:val="single" w:sz="4" w:space="0" w:color="auto"/>
              <w:left w:val="single" w:sz="4" w:space="0" w:color="auto"/>
              <w:bottom w:val="nil"/>
              <w:right w:val="single" w:sz="4" w:space="0" w:color="auto"/>
            </w:tcBorders>
            <w:shd w:val="clear" w:color="auto" w:fill="auto"/>
            <w:noWrap/>
            <w:vAlign w:val="center"/>
          </w:tcPr>
          <w:p w14:paraId="21388E3F" w14:textId="77777777" w:rsidR="008647ED" w:rsidRPr="004E74A6" w:rsidRDefault="008647ED" w:rsidP="00CE62C1">
            <w:pPr>
              <w:spacing w:line="276" w:lineRule="auto"/>
              <w:jc w:val="center"/>
              <w:rPr>
                <w:rFonts w:cs="Calibri"/>
                <w:color w:val="000000"/>
                <w:sz w:val="20"/>
                <w:lang w:eastAsia="es-CR"/>
              </w:rPr>
            </w:pPr>
          </w:p>
        </w:tc>
        <w:tc>
          <w:tcPr>
            <w:tcW w:w="868" w:type="pct"/>
            <w:tcBorders>
              <w:top w:val="single" w:sz="4" w:space="0" w:color="auto"/>
              <w:left w:val="single" w:sz="4" w:space="0" w:color="auto"/>
              <w:bottom w:val="nil"/>
              <w:right w:val="nil"/>
            </w:tcBorders>
            <w:shd w:val="clear" w:color="auto" w:fill="auto"/>
            <w:noWrap/>
            <w:vAlign w:val="center"/>
          </w:tcPr>
          <w:p w14:paraId="11B5D650" w14:textId="77777777" w:rsidR="008647ED" w:rsidRPr="004E74A6" w:rsidRDefault="008647ED" w:rsidP="00CE62C1">
            <w:pPr>
              <w:spacing w:line="276" w:lineRule="auto"/>
              <w:jc w:val="center"/>
              <w:rPr>
                <w:rFonts w:cs="Calibri"/>
                <w:color w:val="000000"/>
                <w:sz w:val="20"/>
                <w:lang w:eastAsia="es-CR"/>
              </w:rPr>
            </w:pPr>
          </w:p>
        </w:tc>
      </w:tr>
      <w:tr w:rsidR="00A20859" w:rsidRPr="004E74A6" w14:paraId="4544D872" w14:textId="77777777" w:rsidTr="00B32800">
        <w:trPr>
          <w:trHeight w:val="288"/>
          <w:jc w:val="center"/>
        </w:trPr>
        <w:tc>
          <w:tcPr>
            <w:tcW w:w="2178" w:type="pct"/>
            <w:tcBorders>
              <w:top w:val="nil"/>
              <w:left w:val="nil"/>
              <w:bottom w:val="nil"/>
              <w:right w:val="single" w:sz="4" w:space="0" w:color="auto"/>
            </w:tcBorders>
            <w:shd w:val="clear" w:color="auto" w:fill="auto"/>
            <w:noWrap/>
            <w:vAlign w:val="center"/>
          </w:tcPr>
          <w:p w14:paraId="7115D21C" w14:textId="77777777" w:rsidR="00A20859" w:rsidRPr="004E74A6" w:rsidRDefault="00A20859" w:rsidP="00CE62C1">
            <w:pPr>
              <w:spacing w:line="276" w:lineRule="auto"/>
              <w:jc w:val="center"/>
              <w:rPr>
                <w:rFonts w:cs="Calibri"/>
                <w:color w:val="000000"/>
                <w:sz w:val="20"/>
                <w:lang w:eastAsia="es-CR"/>
              </w:rPr>
            </w:pPr>
            <w:r w:rsidRPr="004E74A6">
              <w:rPr>
                <w:rFonts w:cs="Calibri"/>
                <w:color w:val="000000"/>
                <w:sz w:val="20"/>
                <w:lang w:eastAsia="es-CR"/>
              </w:rPr>
              <w:t>Total</w:t>
            </w:r>
          </w:p>
        </w:tc>
        <w:tc>
          <w:tcPr>
            <w:tcW w:w="651" w:type="pct"/>
            <w:tcBorders>
              <w:top w:val="nil"/>
              <w:left w:val="single" w:sz="4" w:space="0" w:color="auto"/>
              <w:bottom w:val="nil"/>
              <w:right w:val="single" w:sz="4" w:space="0" w:color="auto"/>
            </w:tcBorders>
            <w:shd w:val="clear" w:color="auto" w:fill="auto"/>
            <w:noWrap/>
            <w:vAlign w:val="bottom"/>
          </w:tcPr>
          <w:p w14:paraId="6D2A630C" w14:textId="65D60865" w:rsidR="00A20859" w:rsidRPr="004E74A6" w:rsidRDefault="00A20859" w:rsidP="00CE62C1">
            <w:pPr>
              <w:spacing w:line="276" w:lineRule="auto"/>
              <w:jc w:val="center"/>
              <w:rPr>
                <w:sz w:val="20"/>
                <w:lang w:eastAsia="es-CR"/>
              </w:rPr>
            </w:pPr>
            <w:r w:rsidRPr="004E74A6">
              <w:rPr>
                <w:rFonts w:cs="Calibri"/>
                <w:color w:val="000000"/>
                <w:sz w:val="20"/>
              </w:rPr>
              <w:t>214</w:t>
            </w:r>
          </w:p>
        </w:tc>
        <w:tc>
          <w:tcPr>
            <w:tcW w:w="651" w:type="pct"/>
            <w:tcBorders>
              <w:top w:val="nil"/>
              <w:left w:val="single" w:sz="4" w:space="0" w:color="auto"/>
              <w:bottom w:val="nil"/>
              <w:right w:val="single" w:sz="4" w:space="0" w:color="auto"/>
            </w:tcBorders>
            <w:shd w:val="clear" w:color="auto" w:fill="auto"/>
            <w:noWrap/>
            <w:vAlign w:val="bottom"/>
          </w:tcPr>
          <w:p w14:paraId="0E26AC56" w14:textId="0F068BCB" w:rsidR="00A20859" w:rsidRPr="004E74A6" w:rsidRDefault="00A20859" w:rsidP="00CE62C1">
            <w:pPr>
              <w:spacing w:line="276" w:lineRule="auto"/>
              <w:jc w:val="center"/>
              <w:rPr>
                <w:sz w:val="20"/>
                <w:lang w:eastAsia="es-CR"/>
              </w:rPr>
            </w:pPr>
            <w:r w:rsidRPr="004E74A6">
              <w:rPr>
                <w:rFonts w:cs="Calibri"/>
                <w:color w:val="000000"/>
                <w:sz w:val="20"/>
              </w:rPr>
              <w:t>172</w:t>
            </w:r>
          </w:p>
        </w:tc>
        <w:tc>
          <w:tcPr>
            <w:tcW w:w="652" w:type="pct"/>
            <w:tcBorders>
              <w:top w:val="nil"/>
              <w:left w:val="single" w:sz="4" w:space="0" w:color="auto"/>
              <w:bottom w:val="nil"/>
              <w:right w:val="single" w:sz="4" w:space="0" w:color="auto"/>
            </w:tcBorders>
            <w:shd w:val="clear" w:color="auto" w:fill="auto"/>
            <w:noWrap/>
            <w:vAlign w:val="bottom"/>
          </w:tcPr>
          <w:p w14:paraId="7CAE2526" w14:textId="37F60D0A" w:rsidR="00A20859" w:rsidRPr="004E74A6" w:rsidRDefault="00A20859" w:rsidP="00CE62C1">
            <w:pPr>
              <w:spacing w:line="276" w:lineRule="auto"/>
              <w:jc w:val="center"/>
              <w:rPr>
                <w:rFonts w:cs="Calibri"/>
                <w:color w:val="000000"/>
                <w:sz w:val="20"/>
                <w:lang w:eastAsia="es-CR"/>
              </w:rPr>
            </w:pPr>
            <w:r w:rsidRPr="004E74A6">
              <w:rPr>
                <w:rFonts w:cs="Calibri"/>
                <w:color w:val="000000"/>
                <w:sz w:val="20"/>
              </w:rPr>
              <w:t>206</w:t>
            </w:r>
          </w:p>
        </w:tc>
        <w:tc>
          <w:tcPr>
            <w:tcW w:w="868" w:type="pct"/>
            <w:tcBorders>
              <w:top w:val="nil"/>
              <w:left w:val="single" w:sz="4" w:space="0" w:color="auto"/>
              <w:bottom w:val="nil"/>
              <w:right w:val="nil"/>
            </w:tcBorders>
            <w:shd w:val="clear" w:color="auto" w:fill="auto"/>
            <w:noWrap/>
            <w:vAlign w:val="bottom"/>
          </w:tcPr>
          <w:p w14:paraId="3FD40EB4" w14:textId="5CD88C2B" w:rsidR="00A20859" w:rsidRPr="004E74A6" w:rsidRDefault="00A20859" w:rsidP="00CE62C1">
            <w:pPr>
              <w:spacing w:line="276" w:lineRule="auto"/>
              <w:jc w:val="center"/>
              <w:rPr>
                <w:rFonts w:cs="Calibri"/>
                <w:color w:val="000000"/>
                <w:sz w:val="20"/>
                <w:lang w:eastAsia="es-CR"/>
              </w:rPr>
            </w:pPr>
            <w:r w:rsidRPr="004E74A6">
              <w:rPr>
                <w:rFonts w:cs="Calibri"/>
                <w:color w:val="000000"/>
                <w:sz w:val="20"/>
              </w:rPr>
              <w:t>197</w:t>
            </w:r>
          </w:p>
        </w:tc>
      </w:tr>
      <w:tr w:rsidR="008D0F70" w:rsidRPr="004E74A6" w14:paraId="6DD8EC9C" w14:textId="77777777" w:rsidTr="003E4755">
        <w:trPr>
          <w:trHeight w:val="288"/>
          <w:jc w:val="center"/>
        </w:trPr>
        <w:tc>
          <w:tcPr>
            <w:tcW w:w="2178" w:type="pct"/>
            <w:tcBorders>
              <w:top w:val="nil"/>
              <w:left w:val="nil"/>
              <w:bottom w:val="nil"/>
              <w:right w:val="single" w:sz="4" w:space="0" w:color="auto"/>
            </w:tcBorders>
            <w:shd w:val="clear" w:color="auto" w:fill="auto"/>
            <w:noWrap/>
            <w:vAlign w:val="bottom"/>
          </w:tcPr>
          <w:p w14:paraId="7D306B12" w14:textId="77777777" w:rsidR="008D0F70" w:rsidRPr="004E74A6" w:rsidRDefault="008D0F70" w:rsidP="00CE62C1">
            <w:pPr>
              <w:spacing w:line="276" w:lineRule="auto"/>
              <w:ind w:firstLineChars="100" w:firstLine="200"/>
              <w:jc w:val="left"/>
              <w:rPr>
                <w:rFonts w:cs="Calibri"/>
                <w:color w:val="000000"/>
                <w:sz w:val="20"/>
                <w:lang w:eastAsia="es-CR"/>
              </w:rPr>
            </w:pPr>
          </w:p>
        </w:tc>
        <w:tc>
          <w:tcPr>
            <w:tcW w:w="651" w:type="pct"/>
            <w:tcBorders>
              <w:top w:val="nil"/>
              <w:left w:val="single" w:sz="4" w:space="0" w:color="auto"/>
              <w:bottom w:val="nil"/>
              <w:right w:val="single" w:sz="4" w:space="0" w:color="auto"/>
            </w:tcBorders>
            <w:shd w:val="clear" w:color="auto" w:fill="auto"/>
            <w:noWrap/>
            <w:vAlign w:val="center"/>
          </w:tcPr>
          <w:p w14:paraId="458893B1" w14:textId="77777777" w:rsidR="008D0F70" w:rsidRPr="004E74A6" w:rsidRDefault="008D0F70" w:rsidP="00CE62C1">
            <w:pPr>
              <w:spacing w:line="276" w:lineRule="auto"/>
              <w:jc w:val="center"/>
              <w:rPr>
                <w:sz w:val="20"/>
                <w:lang w:eastAsia="es-CR"/>
              </w:rPr>
            </w:pPr>
          </w:p>
        </w:tc>
        <w:tc>
          <w:tcPr>
            <w:tcW w:w="651" w:type="pct"/>
            <w:tcBorders>
              <w:top w:val="nil"/>
              <w:left w:val="single" w:sz="4" w:space="0" w:color="auto"/>
              <w:bottom w:val="nil"/>
              <w:right w:val="single" w:sz="4" w:space="0" w:color="auto"/>
            </w:tcBorders>
            <w:shd w:val="clear" w:color="auto" w:fill="auto"/>
            <w:noWrap/>
            <w:vAlign w:val="center"/>
          </w:tcPr>
          <w:p w14:paraId="2396B469" w14:textId="77777777" w:rsidR="008D0F70" w:rsidRPr="004E74A6" w:rsidRDefault="008D0F70" w:rsidP="00CE62C1">
            <w:pPr>
              <w:spacing w:line="276" w:lineRule="auto"/>
              <w:jc w:val="center"/>
              <w:rPr>
                <w:sz w:val="20"/>
                <w:lang w:eastAsia="es-CR"/>
              </w:rPr>
            </w:pPr>
          </w:p>
        </w:tc>
        <w:tc>
          <w:tcPr>
            <w:tcW w:w="652" w:type="pct"/>
            <w:tcBorders>
              <w:top w:val="nil"/>
              <w:left w:val="single" w:sz="4" w:space="0" w:color="auto"/>
              <w:bottom w:val="nil"/>
              <w:right w:val="single" w:sz="4" w:space="0" w:color="auto"/>
            </w:tcBorders>
            <w:shd w:val="clear" w:color="auto" w:fill="auto"/>
            <w:noWrap/>
            <w:vAlign w:val="center"/>
          </w:tcPr>
          <w:p w14:paraId="6793E214" w14:textId="77777777" w:rsidR="008D0F70" w:rsidRPr="004E74A6" w:rsidRDefault="008D0F70" w:rsidP="00CE62C1">
            <w:pPr>
              <w:spacing w:line="276" w:lineRule="auto"/>
              <w:jc w:val="center"/>
              <w:rPr>
                <w:rFonts w:cs="Calibri"/>
                <w:color w:val="000000"/>
                <w:sz w:val="20"/>
                <w:lang w:eastAsia="es-CR"/>
              </w:rPr>
            </w:pPr>
          </w:p>
        </w:tc>
        <w:tc>
          <w:tcPr>
            <w:tcW w:w="868" w:type="pct"/>
            <w:tcBorders>
              <w:top w:val="nil"/>
              <w:left w:val="single" w:sz="4" w:space="0" w:color="auto"/>
              <w:bottom w:val="nil"/>
              <w:right w:val="nil"/>
            </w:tcBorders>
            <w:shd w:val="clear" w:color="auto" w:fill="auto"/>
            <w:noWrap/>
            <w:vAlign w:val="center"/>
          </w:tcPr>
          <w:p w14:paraId="2F55137A" w14:textId="77777777" w:rsidR="008D0F70" w:rsidRPr="004E74A6" w:rsidRDefault="008D0F70" w:rsidP="00CE62C1">
            <w:pPr>
              <w:spacing w:line="276" w:lineRule="auto"/>
              <w:jc w:val="center"/>
              <w:rPr>
                <w:rFonts w:cs="Calibri"/>
                <w:color w:val="000000"/>
                <w:sz w:val="20"/>
                <w:lang w:eastAsia="es-CR"/>
              </w:rPr>
            </w:pPr>
          </w:p>
        </w:tc>
      </w:tr>
      <w:tr w:rsidR="00A20859" w:rsidRPr="004E74A6" w14:paraId="1825F736" w14:textId="77777777" w:rsidTr="00B32800">
        <w:trPr>
          <w:trHeight w:val="288"/>
          <w:jc w:val="center"/>
        </w:trPr>
        <w:tc>
          <w:tcPr>
            <w:tcW w:w="2178" w:type="pct"/>
            <w:tcBorders>
              <w:top w:val="nil"/>
              <w:left w:val="nil"/>
              <w:bottom w:val="nil"/>
              <w:right w:val="single" w:sz="4" w:space="0" w:color="auto"/>
            </w:tcBorders>
            <w:shd w:val="clear" w:color="auto" w:fill="auto"/>
            <w:noWrap/>
            <w:vAlign w:val="bottom"/>
            <w:hideMark/>
          </w:tcPr>
          <w:p w14:paraId="0E237BFA" w14:textId="77777777" w:rsidR="00A20859" w:rsidRPr="004E74A6" w:rsidRDefault="00A20859" w:rsidP="00CE62C1">
            <w:pPr>
              <w:spacing w:line="276" w:lineRule="auto"/>
              <w:ind w:firstLineChars="100" w:firstLine="200"/>
              <w:jc w:val="left"/>
              <w:rPr>
                <w:rFonts w:cs="Calibri"/>
                <w:color w:val="000000"/>
                <w:sz w:val="20"/>
                <w:lang w:eastAsia="es-CR"/>
              </w:rPr>
            </w:pPr>
            <w:r w:rsidRPr="004E74A6">
              <w:rPr>
                <w:rFonts w:cs="Calibri"/>
                <w:color w:val="000000"/>
                <w:sz w:val="20"/>
                <w:lang w:eastAsia="es-CR"/>
              </w:rPr>
              <w:t>Medida Cautelar</w:t>
            </w:r>
          </w:p>
        </w:tc>
        <w:tc>
          <w:tcPr>
            <w:tcW w:w="651" w:type="pct"/>
            <w:tcBorders>
              <w:top w:val="nil"/>
              <w:left w:val="single" w:sz="4" w:space="0" w:color="auto"/>
              <w:bottom w:val="nil"/>
              <w:right w:val="single" w:sz="4" w:space="0" w:color="auto"/>
            </w:tcBorders>
            <w:shd w:val="clear" w:color="auto" w:fill="auto"/>
            <w:noWrap/>
            <w:vAlign w:val="bottom"/>
            <w:hideMark/>
          </w:tcPr>
          <w:p w14:paraId="0257DE65" w14:textId="442CF3D1" w:rsidR="00A20859" w:rsidRPr="004E74A6" w:rsidRDefault="00A20859" w:rsidP="00CE62C1">
            <w:pPr>
              <w:spacing w:line="276" w:lineRule="auto"/>
              <w:jc w:val="center"/>
              <w:rPr>
                <w:rFonts w:cs="Calibri"/>
                <w:color w:val="000000"/>
                <w:sz w:val="20"/>
                <w:lang w:eastAsia="es-CR"/>
              </w:rPr>
            </w:pPr>
            <w:r w:rsidRPr="004E74A6">
              <w:rPr>
                <w:rFonts w:cs="Calibri"/>
                <w:color w:val="000000"/>
                <w:sz w:val="20"/>
              </w:rPr>
              <w:t>3</w:t>
            </w:r>
          </w:p>
        </w:tc>
        <w:tc>
          <w:tcPr>
            <w:tcW w:w="651" w:type="pct"/>
            <w:tcBorders>
              <w:top w:val="nil"/>
              <w:left w:val="single" w:sz="4" w:space="0" w:color="auto"/>
              <w:bottom w:val="nil"/>
              <w:right w:val="single" w:sz="4" w:space="0" w:color="auto"/>
            </w:tcBorders>
            <w:shd w:val="clear" w:color="auto" w:fill="auto"/>
            <w:noWrap/>
            <w:vAlign w:val="bottom"/>
            <w:hideMark/>
          </w:tcPr>
          <w:p w14:paraId="7FFB817C" w14:textId="0A1BF3F8" w:rsidR="00A20859" w:rsidRPr="004E74A6" w:rsidRDefault="00A20859" w:rsidP="00CE62C1">
            <w:pPr>
              <w:spacing w:line="276" w:lineRule="auto"/>
              <w:jc w:val="center"/>
              <w:rPr>
                <w:rFonts w:cs="Calibri"/>
                <w:color w:val="000000"/>
                <w:sz w:val="20"/>
                <w:lang w:eastAsia="es-CR"/>
              </w:rPr>
            </w:pPr>
            <w:r w:rsidRPr="004E74A6">
              <w:rPr>
                <w:rFonts w:cs="Calibri"/>
                <w:color w:val="000000"/>
                <w:sz w:val="20"/>
              </w:rPr>
              <w:t>7</w:t>
            </w:r>
          </w:p>
        </w:tc>
        <w:tc>
          <w:tcPr>
            <w:tcW w:w="652" w:type="pct"/>
            <w:tcBorders>
              <w:top w:val="nil"/>
              <w:left w:val="single" w:sz="4" w:space="0" w:color="auto"/>
              <w:bottom w:val="nil"/>
              <w:right w:val="single" w:sz="4" w:space="0" w:color="auto"/>
            </w:tcBorders>
            <w:shd w:val="clear" w:color="auto" w:fill="auto"/>
            <w:noWrap/>
            <w:vAlign w:val="bottom"/>
            <w:hideMark/>
          </w:tcPr>
          <w:p w14:paraId="6EA3661C" w14:textId="4169D218" w:rsidR="00A20859" w:rsidRPr="004E74A6" w:rsidRDefault="00A20859" w:rsidP="00CE62C1">
            <w:pPr>
              <w:spacing w:line="276" w:lineRule="auto"/>
              <w:jc w:val="center"/>
              <w:rPr>
                <w:rFonts w:cs="Calibri"/>
                <w:color w:val="000000"/>
                <w:sz w:val="20"/>
                <w:lang w:eastAsia="es-CR"/>
              </w:rPr>
            </w:pPr>
            <w:r w:rsidRPr="004E74A6">
              <w:rPr>
                <w:rFonts w:cs="Calibri"/>
                <w:color w:val="000000"/>
                <w:sz w:val="20"/>
              </w:rPr>
              <w:t>7</w:t>
            </w:r>
          </w:p>
        </w:tc>
        <w:tc>
          <w:tcPr>
            <w:tcW w:w="868" w:type="pct"/>
            <w:tcBorders>
              <w:top w:val="nil"/>
              <w:left w:val="single" w:sz="4" w:space="0" w:color="auto"/>
              <w:bottom w:val="nil"/>
              <w:right w:val="nil"/>
            </w:tcBorders>
            <w:shd w:val="clear" w:color="auto" w:fill="auto"/>
            <w:noWrap/>
            <w:vAlign w:val="bottom"/>
            <w:hideMark/>
          </w:tcPr>
          <w:p w14:paraId="0D913EE1" w14:textId="07F7305A" w:rsidR="00A20859" w:rsidRPr="004E74A6" w:rsidRDefault="00A20859" w:rsidP="00CE62C1">
            <w:pPr>
              <w:spacing w:line="276" w:lineRule="auto"/>
              <w:jc w:val="center"/>
              <w:rPr>
                <w:rFonts w:cs="Calibri"/>
                <w:color w:val="000000"/>
                <w:sz w:val="20"/>
                <w:lang w:eastAsia="es-CR"/>
              </w:rPr>
            </w:pPr>
            <w:r w:rsidRPr="004E74A6">
              <w:rPr>
                <w:rFonts w:cs="Calibri"/>
                <w:color w:val="000000"/>
                <w:sz w:val="20"/>
              </w:rPr>
              <w:t>5,7</w:t>
            </w:r>
          </w:p>
        </w:tc>
      </w:tr>
      <w:tr w:rsidR="00A20859" w:rsidRPr="004E74A6" w14:paraId="779352F8" w14:textId="77777777" w:rsidTr="00B32800">
        <w:trPr>
          <w:trHeight w:val="288"/>
          <w:jc w:val="center"/>
        </w:trPr>
        <w:tc>
          <w:tcPr>
            <w:tcW w:w="2178" w:type="pct"/>
            <w:tcBorders>
              <w:top w:val="nil"/>
              <w:left w:val="nil"/>
              <w:bottom w:val="nil"/>
              <w:right w:val="single" w:sz="4" w:space="0" w:color="auto"/>
            </w:tcBorders>
            <w:shd w:val="clear" w:color="auto" w:fill="auto"/>
            <w:noWrap/>
            <w:vAlign w:val="bottom"/>
            <w:hideMark/>
          </w:tcPr>
          <w:p w14:paraId="0389924F" w14:textId="77777777" w:rsidR="00A20859" w:rsidRPr="004E74A6" w:rsidRDefault="00A20859" w:rsidP="00CE62C1">
            <w:pPr>
              <w:spacing w:line="276" w:lineRule="auto"/>
              <w:ind w:firstLineChars="100" w:firstLine="200"/>
              <w:jc w:val="left"/>
              <w:rPr>
                <w:rFonts w:cs="Calibri"/>
                <w:color w:val="000000"/>
                <w:sz w:val="20"/>
                <w:lang w:eastAsia="es-CR"/>
              </w:rPr>
            </w:pPr>
            <w:r w:rsidRPr="004E74A6">
              <w:rPr>
                <w:rFonts w:cs="Calibri"/>
                <w:color w:val="000000"/>
                <w:sz w:val="20"/>
                <w:lang w:eastAsia="es-CR"/>
              </w:rPr>
              <w:t>Monitorio</w:t>
            </w:r>
          </w:p>
        </w:tc>
        <w:tc>
          <w:tcPr>
            <w:tcW w:w="651" w:type="pct"/>
            <w:tcBorders>
              <w:top w:val="nil"/>
              <w:left w:val="single" w:sz="4" w:space="0" w:color="auto"/>
              <w:bottom w:val="nil"/>
              <w:right w:val="single" w:sz="4" w:space="0" w:color="auto"/>
            </w:tcBorders>
            <w:shd w:val="clear" w:color="auto" w:fill="auto"/>
            <w:noWrap/>
            <w:vAlign w:val="bottom"/>
            <w:hideMark/>
          </w:tcPr>
          <w:p w14:paraId="4FBEA34F" w14:textId="3106B334" w:rsidR="00A20859" w:rsidRPr="004E74A6" w:rsidRDefault="00A20859" w:rsidP="00CE62C1">
            <w:pPr>
              <w:spacing w:line="276" w:lineRule="auto"/>
              <w:jc w:val="center"/>
              <w:rPr>
                <w:sz w:val="20"/>
                <w:lang w:eastAsia="es-CR"/>
              </w:rPr>
            </w:pPr>
            <w:r w:rsidRPr="004E74A6">
              <w:rPr>
                <w:rFonts w:cs="Calibri"/>
                <w:color w:val="000000"/>
                <w:sz w:val="20"/>
              </w:rPr>
              <w:t>0</w:t>
            </w:r>
          </w:p>
        </w:tc>
        <w:tc>
          <w:tcPr>
            <w:tcW w:w="651" w:type="pct"/>
            <w:tcBorders>
              <w:top w:val="nil"/>
              <w:left w:val="single" w:sz="4" w:space="0" w:color="auto"/>
              <w:bottom w:val="nil"/>
              <w:right w:val="single" w:sz="4" w:space="0" w:color="auto"/>
            </w:tcBorders>
            <w:shd w:val="clear" w:color="auto" w:fill="auto"/>
            <w:noWrap/>
            <w:vAlign w:val="bottom"/>
            <w:hideMark/>
          </w:tcPr>
          <w:p w14:paraId="5F8BF9E5" w14:textId="6915A8CE" w:rsidR="00A20859" w:rsidRPr="004E74A6" w:rsidRDefault="00A20859" w:rsidP="00CE62C1">
            <w:pPr>
              <w:spacing w:line="276" w:lineRule="auto"/>
              <w:jc w:val="center"/>
              <w:rPr>
                <w:sz w:val="20"/>
                <w:lang w:eastAsia="es-CR"/>
              </w:rPr>
            </w:pPr>
            <w:r w:rsidRPr="004E74A6">
              <w:rPr>
                <w:rFonts w:cs="Calibri"/>
                <w:color w:val="000000"/>
                <w:sz w:val="20"/>
              </w:rPr>
              <w:t>0</w:t>
            </w:r>
          </w:p>
        </w:tc>
        <w:tc>
          <w:tcPr>
            <w:tcW w:w="652" w:type="pct"/>
            <w:tcBorders>
              <w:top w:val="nil"/>
              <w:left w:val="single" w:sz="4" w:space="0" w:color="auto"/>
              <w:bottom w:val="nil"/>
              <w:right w:val="single" w:sz="4" w:space="0" w:color="auto"/>
            </w:tcBorders>
            <w:shd w:val="clear" w:color="auto" w:fill="auto"/>
            <w:noWrap/>
            <w:vAlign w:val="bottom"/>
            <w:hideMark/>
          </w:tcPr>
          <w:p w14:paraId="17FEAB1F" w14:textId="526C4FF6" w:rsidR="00A20859" w:rsidRPr="004E74A6" w:rsidRDefault="00A20859" w:rsidP="00CE62C1">
            <w:pPr>
              <w:spacing w:line="276" w:lineRule="auto"/>
              <w:jc w:val="center"/>
              <w:rPr>
                <w:rFonts w:cs="Calibri"/>
                <w:color w:val="000000"/>
                <w:sz w:val="20"/>
                <w:lang w:eastAsia="es-CR"/>
              </w:rPr>
            </w:pPr>
            <w:r w:rsidRPr="004E74A6">
              <w:rPr>
                <w:rFonts w:cs="Calibri"/>
                <w:color w:val="000000"/>
                <w:sz w:val="20"/>
              </w:rPr>
              <w:t>1</w:t>
            </w:r>
          </w:p>
        </w:tc>
        <w:tc>
          <w:tcPr>
            <w:tcW w:w="868" w:type="pct"/>
            <w:tcBorders>
              <w:top w:val="nil"/>
              <w:left w:val="single" w:sz="4" w:space="0" w:color="auto"/>
              <w:bottom w:val="nil"/>
              <w:right w:val="nil"/>
            </w:tcBorders>
            <w:shd w:val="clear" w:color="auto" w:fill="auto"/>
            <w:noWrap/>
            <w:vAlign w:val="bottom"/>
            <w:hideMark/>
          </w:tcPr>
          <w:p w14:paraId="1FF79171" w14:textId="7D82AFB6" w:rsidR="00A20859" w:rsidRPr="004E74A6" w:rsidRDefault="00A20859" w:rsidP="00CE62C1">
            <w:pPr>
              <w:spacing w:line="276" w:lineRule="auto"/>
              <w:jc w:val="center"/>
              <w:rPr>
                <w:rFonts w:cs="Calibri"/>
                <w:color w:val="000000"/>
                <w:sz w:val="20"/>
                <w:lang w:eastAsia="es-CR"/>
              </w:rPr>
            </w:pPr>
            <w:r w:rsidRPr="004E74A6">
              <w:rPr>
                <w:rFonts w:cs="Calibri"/>
                <w:color w:val="000000"/>
                <w:sz w:val="20"/>
              </w:rPr>
              <w:t>0,3</w:t>
            </w:r>
          </w:p>
        </w:tc>
      </w:tr>
      <w:tr w:rsidR="00A20859" w:rsidRPr="004E74A6" w14:paraId="0CB1038A" w14:textId="77777777" w:rsidTr="00B32800">
        <w:trPr>
          <w:trHeight w:val="288"/>
          <w:jc w:val="center"/>
        </w:trPr>
        <w:tc>
          <w:tcPr>
            <w:tcW w:w="2178" w:type="pct"/>
            <w:tcBorders>
              <w:top w:val="nil"/>
              <w:left w:val="nil"/>
              <w:bottom w:val="nil"/>
              <w:right w:val="single" w:sz="4" w:space="0" w:color="auto"/>
            </w:tcBorders>
            <w:shd w:val="clear" w:color="auto" w:fill="auto"/>
            <w:noWrap/>
            <w:vAlign w:val="bottom"/>
            <w:hideMark/>
          </w:tcPr>
          <w:p w14:paraId="69E2F9C3" w14:textId="77777777" w:rsidR="00A20859" w:rsidRPr="004E74A6" w:rsidRDefault="00A20859" w:rsidP="00CE62C1">
            <w:pPr>
              <w:spacing w:line="276" w:lineRule="auto"/>
              <w:ind w:firstLineChars="100" w:firstLine="200"/>
              <w:jc w:val="left"/>
              <w:rPr>
                <w:rFonts w:cs="Calibri"/>
                <w:color w:val="000000"/>
                <w:sz w:val="20"/>
                <w:lang w:eastAsia="es-CR"/>
              </w:rPr>
            </w:pPr>
            <w:r w:rsidRPr="004E74A6">
              <w:rPr>
                <w:rFonts w:cs="Calibri"/>
                <w:color w:val="000000"/>
                <w:sz w:val="20"/>
                <w:lang w:eastAsia="es-CR"/>
              </w:rPr>
              <w:t>No Contencioso</w:t>
            </w:r>
          </w:p>
        </w:tc>
        <w:tc>
          <w:tcPr>
            <w:tcW w:w="651" w:type="pct"/>
            <w:tcBorders>
              <w:top w:val="nil"/>
              <w:left w:val="single" w:sz="4" w:space="0" w:color="auto"/>
              <w:bottom w:val="nil"/>
              <w:right w:val="single" w:sz="4" w:space="0" w:color="auto"/>
            </w:tcBorders>
            <w:shd w:val="clear" w:color="auto" w:fill="auto"/>
            <w:noWrap/>
            <w:vAlign w:val="bottom"/>
            <w:hideMark/>
          </w:tcPr>
          <w:p w14:paraId="4394AFD7" w14:textId="0D0F17F8" w:rsidR="00A20859" w:rsidRPr="004E74A6" w:rsidRDefault="00A20859" w:rsidP="00CE62C1">
            <w:pPr>
              <w:spacing w:line="276" w:lineRule="auto"/>
              <w:jc w:val="center"/>
              <w:rPr>
                <w:rFonts w:cs="Calibri"/>
                <w:color w:val="000000"/>
                <w:sz w:val="20"/>
                <w:lang w:eastAsia="es-CR"/>
              </w:rPr>
            </w:pPr>
            <w:r w:rsidRPr="004E74A6">
              <w:rPr>
                <w:rFonts w:cs="Calibri"/>
                <w:color w:val="000000"/>
                <w:sz w:val="20"/>
              </w:rPr>
              <w:t>2</w:t>
            </w:r>
          </w:p>
        </w:tc>
        <w:tc>
          <w:tcPr>
            <w:tcW w:w="651" w:type="pct"/>
            <w:tcBorders>
              <w:top w:val="nil"/>
              <w:left w:val="single" w:sz="4" w:space="0" w:color="auto"/>
              <w:bottom w:val="nil"/>
              <w:right w:val="single" w:sz="4" w:space="0" w:color="auto"/>
            </w:tcBorders>
            <w:shd w:val="clear" w:color="auto" w:fill="auto"/>
            <w:noWrap/>
            <w:vAlign w:val="bottom"/>
            <w:hideMark/>
          </w:tcPr>
          <w:p w14:paraId="3A2AAA91" w14:textId="17172F5B" w:rsidR="00A20859" w:rsidRPr="004E74A6" w:rsidRDefault="00A20859" w:rsidP="00CE62C1">
            <w:pPr>
              <w:spacing w:line="276" w:lineRule="auto"/>
              <w:jc w:val="center"/>
              <w:rPr>
                <w:rFonts w:cs="Calibri"/>
                <w:color w:val="000000"/>
                <w:sz w:val="20"/>
                <w:lang w:eastAsia="es-CR"/>
              </w:rPr>
            </w:pPr>
            <w:r w:rsidRPr="004E74A6">
              <w:rPr>
                <w:rFonts w:cs="Calibri"/>
                <w:color w:val="000000"/>
                <w:sz w:val="20"/>
              </w:rPr>
              <w:t>0</w:t>
            </w:r>
          </w:p>
        </w:tc>
        <w:tc>
          <w:tcPr>
            <w:tcW w:w="652" w:type="pct"/>
            <w:tcBorders>
              <w:top w:val="nil"/>
              <w:left w:val="single" w:sz="4" w:space="0" w:color="auto"/>
              <w:bottom w:val="nil"/>
              <w:right w:val="single" w:sz="4" w:space="0" w:color="auto"/>
            </w:tcBorders>
            <w:shd w:val="clear" w:color="auto" w:fill="auto"/>
            <w:noWrap/>
            <w:vAlign w:val="bottom"/>
            <w:hideMark/>
          </w:tcPr>
          <w:p w14:paraId="11DE3FE4" w14:textId="6F807A9E" w:rsidR="00A20859" w:rsidRPr="004E74A6" w:rsidRDefault="00A20859" w:rsidP="00CE62C1">
            <w:pPr>
              <w:spacing w:line="276" w:lineRule="auto"/>
              <w:jc w:val="center"/>
              <w:rPr>
                <w:sz w:val="20"/>
                <w:lang w:eastAsia="es-CR"/>
              </w:rPr>
            </w:pPr>
            <w:r w:rsidRPr="004E74A6">
              <w:rPr>
                <w:rFonts w:cs="Calibri"/>
                <w:color w:val="000000"/>
                <w:sz w:val="20"/>
              </w:rPr>
              <w:t>0</w:t>
            </w:r>
          </w:p>
        </w:tc>
        <w:tc>
          <w:tcPr>
            <w:tcW w:w="868" w:type="pct"/>
            <w:tcBorders>
              <w:top w:val="nil"/>
              <w:left w:val="single" w:sz="4" w:space="0" w:color="auto"/>
              <w:bottom w:val="nil"/>
              <w:right w:val="nil"/>
            </w:tcBorders>
            <w:shd w:val="clear" w:color="auto" w:fill="auto"/>
            <w:noWrap/>
            <w:vAlign w:val="bottom"/>
            <w:hideMark/>
          </w:tcPr>
          <w:p w14:paraId="1645BEAF" w14:textId="507EDDA9" w:rsidR="00A20859" w:rsidRPr="004E74A6" w:rsidRDefault="00A20859" w:rsidP="00CE62C1">
            <w:pPr>
              <w:spacing w:line="276" w:lineRule="auto"/>
              <w:jc w:val="center"/>
              <w:rPr>
                <w:rFonts w:cs="Calibri"/>
                <w:color w:val="000000"/>
                <w:sz w:val="20"/>
                <w:lang w:eastAsia="es-CR"/>
              </w:rPr>
            </w:pPr>
            <w:r w:rsidRPr="004E74A6">
              <w:rPr>
                <w:rFonts w:cs="Calibri"/>
                <w:color w:val="000000"/>
                <w:sz w:val="20"/>
              </w:rPr>
              <w:t>0,7</w:t>
            </w:r>
          </w:p>
        </w:tc>
      </w:tr>
      <w:tr w:rsidR="00A20859" w:rsidRPr="004E74A6" w14:paraId="1977C6B4" w14:textId="77777777" w:rsidTr="00B32800">
        <w:trPr>
          <w:trHeight w:val="288"/>
          <w:jc w:val="center"/>
        </w:trPr>
        <w:tc>
          <w:tcPr>
            <w:tcW w:w="2178" w:type="pct"/>
            <w:tcBorders>
              <w:top w:val="nil"/>
              <w:left w:val="nil"/>
              <w:bottom w:val="nil"/>
              <w:right w:val="single" w:sz="4" w:space="0" w:color="auto"/>
            </w:tcBorders>
            <w:shd w:val="clear" w:color="auto" w:fill="C5E0B3" w:themeFill="accent6" w:themeFillTint="66"/>
            <w:noWrap/>
            <w:vAlign w:val="bottom"/>
            <w:hideMark/>
          </w:tcPr>
          <w:p w14:paraId="7DE16EF0" w14:textId="77777777" w:rsidR="00A20859" w:rsidRPr="004E74A6" w:rsidRDefault="00A20859" w:rsidP="00CE62C1">
            <w:pPr>
              <w:spacing w:line="276" w:lineRule="auto"/>
              <w:ind w:firstLineChars="100" w:firstLine="200"/>
              <w:jc w:val="left"/>
              <w:rPr>
                <w:rFonts w:cs="Calibri"/>
                <w:color w:val="000000"/>
                <w:sz w:val="20"/>
                <w:lang w:eastAsia="es-CR"/>
              </w:rPr>
            </w:pPr>
            <w:r w:rsidRPr="004E74A6">
              <w:rPr>
                <w:rFonts w:cs="Calibri"/>
                <w:color w:val="000000"/>
                <w:sz w:val="20"/>
                <w:lang w:eastAsia="es-CR"/>
              </w:rPr>
              <w:t>Ordinario</w:t>
            </w:r>
          </w:p>
        </w:tc>
        <w:tc>
          <w:tcPr>
            <w:tcW w:w="651" w:type="pct"/>
            <w:tcBorders>
              <w:top w:val="nil"/>
              <w:left w:val="single" w:sz="4" w:space="0" w:color="auto"/>
              <w:bottom w:val="nil"/>
              <w:right w:val="single" w:sz="4" w:space="0" w:color="auto"/>
            </w:tcBorders>
            <w:shd w:val="clear" w:color="auto" w:fill="C5E0B3" w:themeFill="accent6" w:themeFillTint="66"/>
            <w:noWrap/>
            <w:vAlign w:val="bottom"/>
            <w:hideMark/>
          </w:tcPr>
          <w:p w14:paraId="4C69FB07" w14:textId="640D3A75" w:rsidR="00A20859" w:rsidRPr="004E74A6" w:rsidRDefault="00A20859" w:rsidP="00CE62C1">
            <w:pPr>
              <w:spacing w:line="276" w:lineRule="auto"/>
              <w:jc w:val="center"/>
              <w:rPr>
                <w:rFonts w:cs="Calibri"/>
                <w:color w:val="000000"/>
                <w:sz w:val="20"/>
                <w:lang w:eastAsia="es-CR"/>
              </w:rPr>
            </w:pPr>
            <w:r w:rsidRPr="004E74A6">
              <w:rPr>
                <w:rFonts w:cs="Calibri"/>
                <w:color w:val="000000"/>
                <w:sz w:val="20"/>
              </w:rPr>
              <w:t>184</w:t>
            </w:r>
          </w:p>
        </w:tc>
        <w:tc>
          <w:tcPr>
            <w:tcW w:w="651" w:type="pct"/>
            <w:tcBorders>
              <w:top w:val="nil"/>
              <w:left w:val="single" w:sz="4" w:space="0" w:color="auto"/>
              <w:bottom w:val="nil"/>
              <w:right w:val="single" w:sz="4" w:space="0" w:color="auto"/>
            </w:tcBorders>
            <w:shd w:val="clear" w:color="auto" w:fill="C5E0B3" w:themeFill="accent6" w:themeFillTint="66"/>
            <w:noWrap/>
            <w:vAlign w:val="bottom"/>
            <w:hideMark/>
          </w:tcPr>
          <w:p w14:paraId="18D00F8A" w14:textId="11067895" w:rsidR="00A20859" w:rsidRPr="004E74A6" w:rsidRDefault="00A20859" w:rsidP="00CE62C1">
            <w:pPr>
              <w:spacing w:line="276" w:lineRule="auto"/>
              <w:jc w:val="center"/>
              <w:rPr>
                <w:rFonts w:cs="Calibri"/>
                <w:color w:val="000000"/>
                <w:sz w:val="20"/>
                <w:lang w:eastAsia="es-CR"/>
              </w:rPr>
            </w:pPr>
            <w:r w:rsidRPr="004E74A6">
              <w:rPr>
                <w:rFonts w:cs="Calibri"/>
                <w:color w:val="000000"/>
                <w:sz w:val="20"/>
              </w:rPr>
              <w:t>154</w:t>
            </w:r>
          </w:p>
        </w:tc>
        <w:tc>
          <w:tcPr>
            <w:tcW w:w="652" w:type="pct"/>
            <w:tcBorders>
              <w:top w:val="nil"/>
              <w:left w:val="single" w:sz="4" w:space="0" w:color="auto"/>
              <w:bottom w:val="nil"/>
              <w:right w:val="single" w:sz="4" w:space="0" w:color="auto"/>
            </w:tcBorders>
            <w:shd w:val="clear" w:color="auto" w:fill="C5E0B3" w:themeFill="accent6" w:themeFillTint="66"/>
            <w:noWrap/>
            <w:vAlign w:val="bottom"/>
            <w:hideMark/>
          </w:tcPr>
          <w:p w14:paraId="00F0EC5D" w14:textId="575FE5CC" w:rsidR="00A20859" w:rsidRPr="004E74A6" w:rsidRDefault="00A20859" w:rsidP="00CE62C1">
            <w:pPr>
              <w:spacing w:line="276" w:lineRule="auto"/>
              <w:jc w:val="center"/>
              <w:rPr>
                <w:rFonts w:cs="Calibri"/>
                <w:color w:val="000000"/>
                <w:sz w:val="20"/>
                <w:lang w:eastAsia="es-CR"/>
              </w:rPr>
            </w:pPr>
            <w:r w:rsidRPr="004E74A6">
              <w:rPr>
                <w:rFonts w:cs="Calibri"/>
                <w:color w:val="000000"/>
                <w:sz w:val="20"/>
              </w:rPr>
              <w:t>177</w:t>
            </w:r>
          </w:p>
        </w:tc>
        <w:tc>
          <w:tcPr>
            <w:tcW w:w="868" w:type="pct"/>
            <w:tcBorders>
              <w:top w:val="nil"/>
              <w:left w:val="single" w:sz="4" w:space="0" w:color="auto"/>
              <w:bottom w:val="nil"/>
              <w:right w:val="nil"/>
            </w:tcBorders>
            <w:shd w:val="clear" w:color="auto" w:fill="C5E0B3" w:themeFill="accent6" w:themeFillTint="66"/>
            <w:noWrap/>
            <w:vAlign w:val="bottom"/>
            <w:hideMark/>
          </w:tcPr>
          <w:p w14:paraId="35A86D59" w14:textId="2F48B006" w:rsidR="00A20859" w:rsidRPr="004E74A6" w:rsidRDefault="00A20859" w:rsidP="00CE62C1">
            <w:pPr>
              <w:spacing w:line="276" w:lineRule="auto"/>
              <w:jc w:val="center"/>
              <w:rPr>
                <w:rFonts w:cs="Calibri"/>
                <w:color w:val="000000"/>
                <w:sz w:val="20"/>
                <w:lang w:eastAsia="es-CR"/>
              </w:rPr>
            </w:pPr>
            <w:r w:rsidRPr="004E74A6">
              <w:rPr>
                <w:rFonts w:cs="Calibri"/>
                <w:color w:val="000000"/>
                <w:sz w:val="20"/>
              </w:rPr>
              <w:t>172</w:t>
            </w:r>
          </w:p>
        </w:tc>
      </w:tr>
      <w:tr w:rsidR="00A20859" w:rsidRPr="004E74A6" w14:paraId="7AB91D6D" w14:textId="77777777" w:rsidTr="00B32800">
        <w:trPr>
          <w:trHeight w:val="288"/>
          <w:jc w:val="center"/>
        </w:trPr>
        <w:tc>
          <w:tcPr>
            <w:tcW w:w="2178" w:type="pct"/>
            <w:tcBorders>
              <w:top w:val="nil"/>
              <w:left w:val="nil"/>
              <w:bottom w:val="nil"/>
              <w:right w:val="single" w:sz="4" w:space="0" w:color="auto"/>
            </w:tcBorders>
            <w:shd w:val="clear" w:color="auto" w:fill="auto"/>
            <w:noWrap/>
            <w:vAlign w:val="bottom"/>
            <w:hideMark/>
          </w:tcPr>
          <w:p w14:paraId="230E9E64" w14:textId="77777777" w:rsidR="00A20859" w:rsidRPr="004E74A6" w:rsidRDefault="00A20859" w:rsidP="00CE62C1">
            <w:pPr>
              <w:spacing w:line="276" w:lineRule="auto"/>
              <w:ind w:firstLineChars="100" w:firstLine="200"/>
              <w:jc w:val="left"/>
              <w:rPr>
                <w:rFonts w:cs="Calibri"/>
                <w:color w:val="000000"/>
                <w:sz w:val="20"/>
                <w:lang w:eastAsia="es-CR"/>
              </w:rPr>
            </w:pPr>
            <w:r w:rsidRPr="004E74A6">
              <w:rPr>
                <w:rFonts w:cs="Calibri"/>
                <w:color w:val="000000"/>
                <w:sz w:val="20"/>
                <w:lang w:eastAsia="es-CR"/>
              </w:rPr>
              <w:t>Procesos De Ejecución</w:t>
            </w:r>
          </w:p>
        </w:tc>
        <w:tc>
          <w:tcPr>
            <w:tcW w:w="651" w:type="pct"/>
            <w:tcBorders>
              <w:top w:val="nil"/>
              <w:left w:val="single" w:sz="4" w:space="0" w:color="auto"/>
              <w:bottom w:val="nil"/>
              <w:right w:val="single" w:sz="4" w:space="0" w:color="auto"/>
            </w:tcBorders>
            <w:shd w:val="clear" w:color="auto" w:fill="auto"/>
            <w:noWrap/>
            <w:vAlign w:val="bottom"/>
            <w:hideMark/>
          </w:tcPr>
          <w:p w14:paraId="02DF223F" w14:textId="143819DC" w:rsidR="00A20859" w:rsidRPr="004E74A6" w:rsidRDefault="00A20859" w:rsidP="00CE62C1">
            <w:pPr>
              <w:spacing w:line="276" w:lineRule="auto"/>
              <w:jc w:val="center"/>
              <w:rPr>
                <w:rFonts w:cs="Calibri"/>
                <w:color w:val="000000"/>
                <w:sz w:val="20"/>
                <w:lang w:eastAsia="es-CR"/>
              </w:rPr>
            </w:pPr>
            <w:r w:rsidRPr="004E74A6">
              <w:rPr>
                <w:rFonts w:cs="Calibri"/>
                <w:color w:val="000000"/>
                <w:sz w:val="20"/>
              </w:rPr>
              <w:t>2</w:t>
            </w:r>
          </w:p>
        </w:tc>
        <w:tc>
          <w:tcPr>
            <w:tcW w:w="651" w:type="pct"/>
            <w:tcBorders>
              <w:top w:val="nil"/>
              <w:left w:val="single" w:sz="4" w:space="0" w:color="auto"/>
              <w:bottom w:val="nil"/>
              <w:right w:val="single" w:sz="4" w:space="0" w:color="auto"/>
            </w:tcBorders>
            <w:shd w:val="clear" w:color="auto" w:fill="auto"/>
            <w:noWrap/>
            <w:vAlign w:val="bottom"/>
            <w:hideMark/>
          </w:tcPr>
          <w:p w14:paraId="45317C0A" w14:textId="37530FA9" w:rsidR="00A20859" w:rsidRPr="004E74A6" w:rsidRDefault="00A20859" w:rsidP="00CE62C1">
            <w:pPr>
              <w:spacing w:line="276" w:lineRule="auto"/>
              <w:jc w:val="center"/>
              <w:rPr>
                <w:rFonts w:cs="Calibri"/>
                <w:color w:val="000000"/>
                <w:sz w:val="20"/>
                <w:lang w:eastAsia="es-CR"/>
              </w:rPr>
            </w:pPr>
            <w:r w:rsidRPr="004E74A6">
              <w:rPr>
                <w:rFonts w:cs="Calibri"/>
                <w:color w:val="000000"/>
                <w:sz w:val="20"/>
              </w:rPr>
              <w:t>1</w:t>
            </w:r>
          </w:p>
        </w:tc>
        <w:tc>
          <w:tcPr>
            <w:tcW w:w="652" w:type="pct"/>
            <w:tcBorders>
              <w:top w:val="nil"/>
              <w:left w:val="single" w:sz="4" w:space="0" w:color="auto"/>
              <w:bottom w:val="nil"/>
              <w:right w:val="single" w:sz="4" w:space="0" w:color="auto"/>
            </w:tcBorders>
            <w:shd w:val="clear" w:color="auto" w:fill="auto"/>
            <w:noWrap/>
            <w:vAlign w:val="bottom"/>
            <w:hideMark/>
          </w:tcPr>
          <w:p w14:paraId="16706B79" w14:textId="172B011E" w:rsidR="00A20859" w:rsidRPr="004E74A6" w:rsidRDefault="00A20859" w:rsidP="00CE62C1">
            <w:pPr>
              <w:spacing w:line="276" w:lineRule="auto"/>
              <w:jc w:val="center"/>
              <w:rPr>
                <w:rFonts w:cs="Calibri"/>
                <w:color w:val="000000"/>
                <w:sz w:val="20"/>
                <w:lang w:eastAsia="es-CR"/>
              </w:rPr>
            </w:pPr>
            <w:r w:rsidRPr="004E74A6">
              <w:rPr>
                <w:rFonts w:cs="Calibri"/>
                <w:color w:val="000000"/>
                <w:sz w:val="20"/>
              </w:rPr>
              <w:t>3</w:t>
            </w:r>
          </w:p>
        </w:tc>
        <w:tc>
          <w:tcPr>
            <w:tcW w:w="868" w:type="pct"/>
            <w:tcBorders>
              <w:top w:val="nil"/>
              <w:left w:val="single" w:sz="4" w:space="0" w:color="auto"/>
              <w:bottom w:val="nil"/>
              <w:right w:val="nil"/>
            </w:tcBorders>
            <w:shd w:val="clear" w:color="auto" w:fill="auto"/>
            <w:noWrap/>
            <w:vAlign w:val="bottom"/>
            <w:hideMark/>
          </w:tcPr>
          <w:p w14:paraId="71D7B148" w14:textId="2DA60348" w:rsidR="00A20859" w:rsidRPr="004E74A6" w:rsidRDefault="00A20859" w:rsidP="00CE62C1">
            <w:pPr>
              <w:spacing w:line="276" w:lineRule="auto"/>
              <w:jc w:val="center"/>
              <w:rPr>
                <w:rFonts w:cs="Calibri"/>
                <w:color w:val="000000"/>
                <w:sz w:val="20"/>
                <w:lang w:eastAsia="es-CR"/>
              </w:rPr>
            </w:pPr>
            <w:r w:rsidRPr="004E74A6">
              <w:rPr>
                <w:rFonts w:cs="Calibri"/>
                <w:color w:val="000000"/>
                <w:sz w:val="20"/>
              </w:rPr>
              <w:t>2,0</w:t>
            </w:r>
          </w:p>
        </w:tc>
      </w:tr>
      <w:tr w:rsidR="00A20859" w:rsidRPr="004E74A6" w14:paraId="526E67C3" w14:textId="77777777" w:rsidTr="00B32800">
        <w:trPr>
          <w:trHeight w:val="288"/>
          <w:jc w:val="center"/>
        </w:trPr>
        <w:tc>
          <w:tcPr>
            <w:tcW w:w="2178" w:type="pct"/>
            <w:tcBorders>
              <w:top w:val="nil"/>
              <w:left w:val="nil"/>
              <w:bottom w:val="nil"/>
              <w:right w:val="single" w:sz="4" w:space="0" w:color="auto"/>
            </w:tcBorders>
            <w:shd w:val="clear" w:color="auto" w:fill="auto"/>
            <w:noWrap/>
            <w:vAlign w:val="bottom"/>
            <w:hideMark/>
          </w:tcPr>
          <w:p w14:paraId="2AAACB9F" w14:textId="77777777" w:rsidR="00A20859" w:rsidRPr="004E74A6" w:rsidRDefault="00A20859" w:rsidP="00CE62C1">
            <w:pPr>
              <w:spacing w:line="276" w:lineRule="auto"/>
              <w:ind w:firstLineChars="100" w:firstLine="200"/>
              <w:jc w:val="left"/>
              <w:rPr>
                <w:rFonts w:cs="Calibri"/>
                <w:color w:val="000000"/>
                <w:sz w:val="20"/>
                <w:lang w:eastAsia="es-CR"/>
              </w:rPr>
            </w:pPr>
            <w:r w:rsidRPr="004E74A6">
              <w:rPr>
                <w:rFonts w:cs="Calibri"/>
                <w:color w:val="000000"/>
                <w:sz w:val="20"/>
                <w:lang w:eastAsia="es-CR"/>
              </w:rPr>
              <w:t>Procesos Otras Materias</w:t>
            </w:r>
          </w:p>
        </w:tc>
        <w:tc>
          <w:tcPr>
            <w:tcW w:w="651" w:type="pct"/>
            <w:tcBorders>
              <w:top w:val="nil"/>
              <w:left w:val="single" w:sz="4" w:space="0" w:color="auto"/>
              <w:bottom w:val="nil"/>
              <w:right w:val="single" w:sz="4" w:space="0" w:color="auto"/>
            </w:tcBorders>
            <w:shd w:val="clear" w:color="auto" w:fill="auto"/>
            <w:noWrap/>
            <w:vAlign w:val="bottom"/>
            <w:hideMark/>
          </w:tcPr>
          <w:p w14:paraId="75525153" w14:textId="16575F2B" w:rsidR="00A20859" w:rsidRPr="004E74A6" w:rsidRDefault="00A20859" w:rsidP="00CE62C1">
            <w:pPr>
              <w:spacing w:line="276" w:lineRule="auto"/>
              <w:jc w:val="center"/>
              <w:rPr>
                <w:rFonts w:cs="Calibri"/>
                <w:color w:val="000000"/>
                <w:sz w:val="20"/>
                <w:lang w:eastAsia="es-CR"/>
              </w:rPr>
            </w:pPr>
            <w:r w:rsidRPr="004E74A6">
              <w:rPr>
                <w:rFonts w:cs="Calibri"/>
                <w:color w:val="000000"/>
                <w:sz w:val="20"/>
              </w:rPr>
              <w:t>7</w:t>
            </w:r>
          </w:p>
        </w:tc>
        <w:tc>
          <w:tcPr>
            <w:tcW w:w="651" w:type="pct"/>
            <w:tcBorders>
              <w:top w:val="nil"/>
              <w:left w:val="single" w:sz="4" w:space="0" w:color="auto"/>
              <w:bottom w:val="nil"/>
              <w:right w:val="single" w:sz="4" w:space="0" w:color="auto"/>
            </w:tcBorders>
            <w:shd w:val="clear" w:color="auto" w:fill="auto"/>
            <w:noWrap/>
            <w:vAlign w:val="bottom"/>
            <w:hideMark/>
          </w:tcPr>
          <w:p w14:paraId="7206D0B0" w14:textId="38B7D0CB" w:rsidR="00A20859" w:rsidRPr="004E74A6" w:rsidRDefault="00A20859" w:rsidP="00CE62C1">
            <w:pPr>
              <w:spacing w:line="276" w:lineRule="auto"/>
              <w:jc w:val="center"/>
              <w:rPr>
                <w:rFonts w:cs="Calibri"/>
                <w:color w:val="000000"/>
                <w:sz w:val="20"/>
                <w:lang w:eastAsia="es-CR"/>
              </w:rPr>
            </w:pPr>
            <w:r w:rsidRPr="004E74A6">
              <w:rPr>
                <w:rFonts w:cs="Calibri"/>
                <w:color w:val="000000"/>
                <w:sz w:val="20"/>
              </w:rPr>
              <w:t>4</w:t>
            </w:r>
          </w:p>
        </w:tc>
        <w:tc>
          <w:tcPr>
            <w:tcW w:w="652" w:type="pct"/>
            <w:tcBorders>
              <w:top w:val="nil"/>
              <w:left w:val="single" w:sz="4" w:space="0" w:color="auto"/>
              <w:bottom w:val="nil"/>
              <w:right w:val="single" w:sz="4" w:space="0" w:color="auto"/>
            </w:tcBorders>
            <w:shd w:val="clear" w:color="auto" w:fill="auto"/>
            <w:noWrap/>
            <w:vAlign w:val="bottom"/>
            <w:hideMark/>
          </w:tcPr>
          <w:p w14:paraId="0A80F3BD" w14:textId="51CDDABE" w:rsidR="00A20859" w:rsidRPr="004E74A6" w:rsidRDefault="00A20859" w:rsidP="00CE62C1">
            <w:pPr>
              <w:spacing w:line="276" w:lineRule="auto"/>
              <w:jc w:val="center"/>
              <w:rPr>
                <w:rFonts w:cs="Calibri"/>
                <w:color w:val="000000"/>
                <w:sz w:val="20"/>
                <w:lang w:eastAsia="es-CR"/>
              </w:rPr>
            </w:pPr>
            <w:r w:rsidRPr="004E74A6">
              <w:rPr>
                <w:rFonts w:cs="Calibri"/>
                <w:color w:val="000000"/>
                <w:sz w:val="20"/>
              </w:rPr>
              <w:t>3</w:t>
            </w:r>
          </w:p>
        </w:tc>
        <w:tc>
          <w:tcPr>
            <w:tcW w:w="868" w:type="pct"/>
            <w:tcBorders>
              <w:top w:val="nil"/>
              <w:left w:val="single" w:sz="4" w:space="0" w:color="auto"/>
              <w:bottom w:val="nil"/>
              <w:right w:val="nil"/>
            </w:tcBorders>
            <w:shd w:val="clear" w:color="auto" w:fill="auto"/>
            <w:noWrap/>
            <w:vAlign w:val="bottom"/>
            <w:hideMark/>
          </w:tcPr>
          <w:p w14:paraId="1013609F" w14:textId="777B921B" w:rsidR="00A20859" w:rsidRPr="004E74A6" w:rsidRDefault="00A20859" w:rsidP="00CE62C1">
            <w:pPr>
              <w:spacing w:line="276" w:lineRule="auto"/>
              <w:jc w:val="center"/>
              <w:rPr>
                <w:rFonts w:cs="Calibri"/>
                <w:color w:val="000000"/>
                <w:sz w:val="20"/>
                <w:lang w:eastAsia="es-CR"/>
              </w:rPr>
            </w:pPr>
            <w:r w:rsidRPr="004E74A6">
              <w:rPr>
                <w:rFonts w:cs="Calibri"/>
                <w:color w:val="000000"/>
                <w:sz w:val="20"/>
              </w:rPr>
              <w:t>4,7</w:t>
            </w:r>
          </w:p>
        </w:tc>
      </w:tr>
      <w:tr w:rsidR="00A20859" w:rsidRPr="004E74A6" w14:paraId="08BEEE4A" w14:textId="77777777" w:rsidTr="00B32800">
        <w:trPr>
          <w:trHeight w:val="288"/>
          <w:jc w:val="center"/>
        </w:trPr>
        <w:tc>
          <w:tcPr>
            <w:tcW w:w="2178" w:type="pct"/>
            <w:tcBorders>
              <w:top w:val="nil"/>
              <w:left w:val="nil"/>
              <w:bottom w:val="nil"/>
              <w:right w:val="single" w:sz="4" w:space="0" w:color="auto"/>
            </w:tcBorders>
            <w:shd w:val="clear" w:color="auto" w:fill="auto"/>
            <w:noWrap/>
            <w:vAlign w:val="bottom"/>
            <w:hideMark/>
          </w:tcPr>
          <w:p w14:paraId="708F7FED" w14:textId="77777777" w:rsidR="00A20859" w:rsidRPr="004E74A6" w:rsidRDefault="00A20859" w:rsidP="00CE62C1">
            <w:pPr>
              <w:spacing w:line="276" w:lineRule="auto"/>
              <w:ind w:firstLineChars="100" w:firstLine="200"/>
              <w:jc w:val="left"/>
              <w:rPr>
                <w:rFonts w:cs="Calibri"/>
                <w:color w:val="000000"/>
                <w:sz w:val="20"/>
                <w:lang w:eastAsia="es-CR"/>
              </w:rPr>
            </w:pPr>
            <w:r w:rsidRPr="004E74A6">
              <w:rPr>
                <w:rFonts w:cs="Calibri"/>
                <w:color w:val="000000"/>
                <w:sz w:val="20"/>
                <w:lang w:eastAsia="es-CR"/>
              </w:rPr>
              <w:t>Prueba Anticipada</w:t>
            </w:r>
          </w:p>
        </w:tc>
        <w:tc>
          <w:tcPr>
            <w:tcW w:w="651" w:type="pct"/>
            <w:tcBorders>
              <w:top w:val="nil"/>
              <w:left w:val="single" w:sz="4" w:space="0" w:color="auto"/>
              <w:bottom w:val="nil"/>
              <w:right w:val="single" w:sz="4" w:space="0" w:color="auto"/>
            </w:tcBorders>
            <w:shd w:val="clear" w:color="auto" w:fill="auto"/>
            <w:noWrap/>
            <w:vAlign w:val="bottom"/>
            <w:hideMark/>
          </w:tcPr>
          <w:p w14:paraId="4C2B8A01" w14:textId="71C7B7F8" w:rsidR="00A20859" w:rsidRPr="004E74A6" w:rsidRDefault="00A20859" w:rsidP="00CE62C1">
            <w:pPr>
              <w:spacing w:line="276" w:lineRule="auto"/>
              <w:jc w:val="center"/>
              <w:rPr>
                <w:rFonts w:cs="Calibri"/>
                <w:color w:val="000000"/>
                <w:sz w:val="20"/>
                <w:lang w:eastAsia="es-CR"/>
              </w:rPr>
            </w:pPr>
            <w:r w:rsidRPr="004E74A6">
              <w:rPr>
                <w:rFonts w:cs="Calibri"/>
                <w:color w:val="000000"/>
                <w:sz w:val="20"/>
              </w:rPr>
              <w:t>15</w:t>
            </w:r>
          </w:p>
        </w:tc>
        <w:tc>
          <w:tcPr>
            <w:tcW w:w="651" w:type="pct"/>
            <w:tcBorders>
              <w:top w:val="nil"/>
              <w:left w:val="single" w:sz="4" w:space="0" w:color="auto"/>
              <w:bottom w:val="nil"/>
              <w:right w:val="single" w:sz="4" w:space="0" w:color="auto"/>
            </w:tcBorders>
            <w:shd w:val="clear" w:color="auto" w:fill="auto"/>
            <w:noWrap/>
            <w:vAlign w:val="bottom"/>
            <w:hideMark/>
          </w:tcPr>
          <w:p w14:paraId="3D5A1936" w14:textId="404EBCBB" w:rsidR="00A20859" w:rsidRPr="004E74A6" w:rsidRDefault="00A20859" w:rsidP="00CE62C1">
            <w:pPr>
              <w:spacing w:line="276" w:lineRule="auto"/>
              <w:jc w:val="center"/>
              <w:rPr>
                <w:rFonts w:cs="Calibri"/>
                <w:color w:val="000000"/>
                <w:sz w:val="20"/>
                <w:lang w:eastAsia="es-CR"/>
              </w:rPr>
            </w:pPr>
            <w:r w:rsidRPr="004E74A6">
              <w:rPr>
                <w:rFonts w:cs="Calibri"/>
                <w:color w:val="000000"/>
                <w:sz w:val="20"/>
              </w:rPr>
              <w:t>5</w:t>
            </w:r>
          </w:p>
        </w:tc>
        <w:tc>
          <w:tcPr>
            <w:tcW w:w="652" w:type="pct"/>
            <w:tcBorders>
              <w:top w:val="nil"/>
              <w:left w:val="single" w:sz="4" w:space="0" w:color="auto"/>
              <w:bottom w:val="nil"/>
              <w:right w:val="single" w:sz="4" w:space="0" w:color="auto"/>
            </w:tcBorders>
            <w:shd w:val="clear" w:color="auto" w:fill="auto"/>
            <w:noWrap/>
            <w:vAlign w:val="bottom"/>
            <w:hideMark/>
          </w:tcPr>
          <w:p w14:paraId="44860615" w14:textId="6E6D2912" w:rsidR="00A20859" w:rsidRPr="004E74A6" w:rsidRDefault="00A20859" w:rsidP="00CE62C1">
            <w:pPr>
              <w:spacing w:line="276" w:lineRule="auto"/>
              <w:jc w:val="center"/>
              <w:rPr>
                <w:rFonts w:cs="Calibri"/>
                <w:color w:val="000000"/>
                <w:sz w:val="20"/>
                <w:lang w:eastAsia="es-CR"/>
              </w:rPr>
            </w:pPr>
            <w:r w:rsidRPr="004E74A6">
              <w:rPr>
                <w:rFonts w:cs="Calibri"/>
                <w:color w:val="000000"/>
                <w:sz w:val="20"/>
              </w:rPr>
              <w:t>11</w:t>
            </w:r>
          </w:p>
        </w:tc>
        <w:tc>
          <w:tcPr>
            <w:tcW w:w="868" w:type="pct"/>
            <w:tcBorders>
              <w:top w:val="nil"/>
              <w:left w:val="single" w:sz="4" w:space="0" w:color="auto"/>
              <w:bottom w:val="nil"/>
              <w:right w:val="nil"/>
            </w:tcBorders>
            <w:shd w:val="clear" w:color="auto" w:fill="auto"/>
            <w:noWrap/>
            <w:vAlign w:val="bottom"/>
            <w:hideMark/>
          </w:tcPr>
          <w:p w14:paraId="64A428D2" w14:textId="24ED1516" w:rsidR="00A20859" w:rsidRPr="004E74A6" w:rsidRDefault="00A20859" w:rsidP="00CE62C1">
            <w:pPr>
              <w:spacing w:line="276" w:lineRule="auto"/>
              <w:jc w:val="center"/>
              <w:rPr>
                <w:rFonts w:cs="Calibri"/>
                <w:color w:val="000000"/>
                <w:sz w:val="20"/>
                <w:lang w:eastAsia="es-CR"/>
              </w:rPr>
            </w:pPr>
            <w:r w:rsidRPr="004E74A6">
              <w:rPr>
                <w:rFonts w:cs="Calibri"/>
                <w:color w:val="000000"/>
                <w:sz w:val="20"/>
              </w:rPr>
              <w:t>10,3</w:t>
            </w:r>
          </w:p>
        </w:tc>
      </w:tr>
      <w:tr w:rsidR="00A20859" w:rsidRPr="004E74A6" w14:paraId="0BA40F18" w14:textId="77777777" w:rsidTr="00B32800">
        <w:trPr>
          <w:trHeight w:val="288"/>
          <w:jc w:val="center"/>
        </w:trPr>
        <w:tc>
          <w:tcPr>
            <w:tcW w:w="2178" w:type="pct"/>
            <w:tcBorders>
              <w:top w:val="nil"/>
              <w:left w:val="nil"/>
              <w:bottom w:val="nil"/>
              <w:right w:val="single" w:sz="4" w:space="0" w:color="auto"/>
            </w:tcBorders>
            <w:shd w:val="clear" w:color="auto" w:fill="auto"/>
            <w:noWrap/>
            <w:vAlign w:val="bottom"/>
            <w:hideMark/>
          </w:tcPr>
          <w:p w14:paraId="1FC832E0" w14:textId="77777777" w:rsidR="00A20859" w:rsidRPr="004E74A6" w:rsidRDefault="00A20859" w:rsidP="00CE62C1">
            <w:pPr>
              <w:spacing w:line="276" w:lineRule="auto"/>
              <w:ind w:firstLineChars="100" w:firstLine="200"/>
              <w:jc w:val="left"/>
              <w:rPr>
                <w:rFonts w:cs="Calibri"/>
                <w:color w:val="000000"/>
                <w:sz w:val="20"/>
                <w:lang w:eastAsia="es-CR"/>
              </w:rPr>
            </w:pPr>
            <w:r w:rsidRPr="004E74A6">
              <w:rPr>
                <w:rFonts w:cs="Calibri"/>
                <w:color w:val="000000"/>
                <w:sz w:val="20"/>
                <w:lang w:eastAsia="es-CR"/>
              </w:rPr>
              <w:t>Sucesorio</w:t>
            </w:r>
          </w:p>
        </w:tc>
        <w:tc>
          <w:tcPr>
            <w:tcW w:w="651" w:type="pct"/>
            <w:tcBorders>
              <w:top w:val="nil"/>
              <w:left w:val="single" w:sz="4" w:space="0" w:color="auto"/>
              <w:bottom w:val="nil"/>
              <w:right w:val="single" w:sz="4" w:space="0" w:color="auto"/>
            </w:tcBorders>
            <w:shd w:val="clear" w:color="auto" w:fill="auto"/>
            <w:noWrap/>
            <w:vAlign w:val="bottom"/>
            <w:hideMark/>
          </w:tcPr>
          <w:p w14:paraId="5E54725F" w14:textId="05E13A0E" w:rsidR="00A20859" w:rsidRPr="004E74A6" w:rsidRDefault="00A20859" w:rsidP="00CE62C1">
            <w:pPr>
              <w:spacing w:line="276" w:lineRule="auto"/>
              <w:jc w:val="center"/>
              <w:rPr>
                <w:rFonts w:cs="Calibri"/>
                <w:color w:val="000000"/>
                <w:sz w:val="20"/>
                <w:lang w:eastAsia="es-CR"/>
              </w:rPr>
            </w:pPr>
            <w:r w:rsidRPr="004E74A6">
              <w:rPr>
                <w:rFonts w:cs="Calibri"/>
                <w:color w:val="000000"/>
                <w:sz w:val="20"/>
              </w:rPr>
              <w:t>1</w:t>
            </w:r>
          </w:p>
        </w:tc>
        <w:tc>
          <w:tcPr>
            <w:tcW w:w="651" w:type="pct"/>
            <w:tcBorders>
              <w:top w:val="nil"/>
              <w:left w:val="single" w:sz="4" w:space="0" w:color="auto"/>
              <w:bottom w:val="nil"/>
              <w:right w:val="single" w:sz="4" w:space="0" w:color="auto"/>
            </w:tcBorders>
            <w:shd w:val="clear" w:color="auto" w:fill="auto"/>
            <w:noWrap/>
            <w:vAlign w:val="bottom"/>
            <w:hideMark/>
          </w:tcPr>
          <w:p w14:paraId="68B48CC9" w14:textId="2C7CEFCC" w:rsidR="00A20859" w:rsidRPr="004E74A6" w:rsidRDefault="00A20859" w:rsidP="00CE62C1">
            <w:pPr>
              <w:spacing w:line="276" w:lineRule="auto"/>
              <w:jc w:val="center"/>
              <w:rPr>
                <w:rFonts w:cs="Calibri"/>
                <w:color w:val="000000"/>
                <w:sz w:val="20"/>
                <w:lang w:eastAsia="es-CR"/>
              </w:rPr>
            </w:pPr>
            <w:r w:rsidRPr="004E74A6">
              <w:rPr>
                <w:rFonts w:cs="Calibri"/>
                <w:color w:val="000000"/>
                <w:sz w:val="20"/>
              </w:rPr>
              <w:t>0</w:t>
            </w:r>
          </w:p>
        </w:tc>
        <w:tc>
          <w:tcPr>
            <w:tcW w:w="652" w:type="pct"/>
            <w:tcBorders>
              <w:top w:val="nil"/>
              <w:left w:val="single" w:sz="4" w:space="0" w:color="auto"/>
              <w:bottom w:val="nil"/>
              <w:right w:val="single" w:sz="4" w:space="0" w:color="auto"/>
            </w:tcBorders>
            <w:shd w:val="clear" w:color="auto" w:fill="auto"/>
            <w:noWrap/>
            <w:vAlign w:val="bottom"/>
            <w:hideMark/>
          </w:tcPr>
          <w:p w14:paraId="7189F8E5" w14:textId="64E2BEC9" w:rsidR="00A20859" w:rsidRPr="004E74A6" w:rsidRDefault="00A20859" w:rsidP="00CE62C1">
            <w:pPr>
              <w:spacing w:line="276" w:lineRule="auto"/>
              <w:jc w:val="center"/>
              <w:rPr>
                <w:rFonts w:cs="Calibri"/>
                <w:color w:val="000000"/>
                <w:sz w:val="20"/>
                <w:lang w:eastAsia="es-CR"/>
              </w:rPr>
            </w:pPr>
            <w:r w:rsidRPr="004E74A6">
              <w:rPr>
                <w:rFonts w:cs="Calibri"/>
                <w:color w:val="000000"/>
                <w:sz w:val="20"/>
              </w:rPr>
              <w:t>3</w:t>
            </w:r>
          </w:p>
        </w:tc>
        <w:tc>
          <w:tcPr>
            <w:tcW w:w="868" w:type="pct"/>
            <w:tcBorders>
              <w:top w:val="nil"/>
              <w:left w:val="single" w:sz="4" w:space="0" w:color="auto"/>
              <w:bottom w:val="nil"/>
              <w:right w:val="nil"/>
            </w:tcBorders>
            <w:shd w:val="clear" w:color="auto" w:fill="auto"/>
            <w:noWrap/>
            <w:vAlign w:val="bottom"/>
            <w:hideMark/>
          </w:tcPr>
          <w:p w14:paraId="551E6F63" w14:textId="3E537121" w:rsidR="00A20859" w:rsidRPr="004E74A6" w:rsidRDefault="00A20859" w:rsidP="00CE62C1">
            <w:pPr>
              <w:spacing w:line="276" w:lineRule="auto"/>
              <w:jc w:val="center"/>
              <w:rPr>
                <w:rFonts w:cs="Calibri"/>
                <w:color w:val="000000"/>
                <w:sz w:val="20"/>
                <w:lang w:eastAsia="es-CR"/>
              </w:rPr>
            </w:pPr>
            <w:r w:rsidRPr="004E74A6">
              <w:rPr>
                <w:rFonts w:cs="Calibri"/>
                <w:color w:val="000000"/>
                <w:sz w:val="20"/>
              </w:rPr>
              <w:t>1,3</w:t>
            </w:r>
          </w:p>
        </w:tc>
      </w:tr>
      <w:tr w:rsidR="00A20859" w:rsidRPr="004E74A6" w14:paraId="076FC7D9" w14:textId="77777777" w:rsidTr="00B32800">
        <w:trPr>
          <w:trHeight w:val="288"/>
          <w:jc w:val="center"/>
        </w:trPr>
        <w:tc>
          <w:tcPr>
            <w:tcW w:w="2178" w:type="pct"/>
            <w:tcBorders>
              <w:top w:val="nil"/>
              <w:left w:val="nil"/>
              <w:right w:val="single" w:sz="4" w:space="0" w:color="auto"/>
            </w:tcBorders>
            <w:shd w:val="clear" w:color="auto" w:fill="auto"/>
            <w:noWrap/>
            <w:vAlign w:val="bottom"/>
            <w:hideMark/>
          </w:tcPr>
          <w:p w14:paraId="2FE3D54D" w14:textId="77777777" w:rsidR="00A20859" w:rsidRPr="004E74A6" w:rsidRDefault="00A20859" w:rsidP="00CE62C1">
            <w:pPr>
              <w:spacing w:line="276" w:lineRule="auto"/>
              <w:ind w:firstLineChars="100" w:firstLine="200"/>
              <w:jc w:val="left"/>
              <w:rPr>
                <w:rFonts w:cs="Calibri"/>
                <w:color w:val="000000"/>
                <w:sz w:val="20"/>
                <w:lang w:eastAsia="es-CR"/>
              </w:rPr>
            </w:pPr>
            <w:r w:rsidRPr="004E74A6">
              <w:rPr>
                <w:rFonts w:cs="Calibri"/>
                <w:color w:val="000000"/>
                <w:sz w:val="20"/>
                <w:lang w:eastAsia="es-CR"/>
              </w:rPr>
              <w:t>Sumario</w:t>
            </w:r>
          </w:p>
        </w:tc>
        <w:tc>
          <w:tcPr>
            <w:tcW w:w="651" w:type="pct"/>
            <w:tcBorders>
              <w:top w:val="nil"/>
              <w:left w:val="single" w:sz="4" w:space="0" w:color="auto"/>
              <w:right w:val="single" w:sz="4" w:space="0" w:color="auto"/>
            </w:tcBorders>
            <w:shd w:val="clear" w:color="auto" w:fill="auto"/>
            <w:noWrap/>
            <w:vAlign w:val="bottom"/>
            <w:hideMark/>
          </w:tcPr>
          <w:p w14:paraId="527AACAF" w14:textId="2227DCCD" w:rsidR="00A20859" w:rsidRPr="004E74A6" w:rsidRDefault="00A20859" w:rsidP="00CE62C1">
            <w:pPr>
              <w:spacing w:line="276" w:lineRule="auto"/>
              <w:jc w:val="center"/>
              <w:rPr>
                <w:sz w:val="20"/>
                <w:lang w:eastAsia="es-CR"/>
              </w:rPr>
            </w:pPr>
            <w:r w:rsidRPr="004E74A6">
              <w:rPr>
                <w:rFonts w:cs="Calibri"/>
                <w:color w:val="000000"/>
                <w:sz w:val="20"/>
              </w:rPr>
              <w:t>0</w:t>
            </w:r>
          </w:p>
        </w:tc>
        <w:tc>
          <w:tcPr>
            <w:tcW w:w="651" w:type="pct"/>
            <w:tcBorders>
              <w:top w:val="nil"/>
              <w:left w:val="single" w:sz="4" w:space="0" w:color="auto"/>
              <w:right w:val="single" w:sz="4" w:space="0" w:color="auto"/>
            </w:tcBorders>
            <w:shd w:val="clear" w:color="auto" w:fill="auto"/>
            <w:noWrap/>
            <w:vAlign w:val="bottom"/>
            <w:hideMark/>
          </w:tcPr>
          <w:p w14:paraId="473F9AE1" w14:textId="50F23B88" w:rsidR="00A20859" w:rsidRPr="004E74A6" w:rsidRDefault="00A20859" w:rsidP="00CE62C1">
            <w:pPr>
              <w:spacing w:line="276" w:lineRule="auto"/>
              <w:jc w:val="center"/>
              <w:rPr>
                <w:rFonts w:cs="Calibri"/>
                <w:color w:val="000000"/>
                <w:sz w:val="20"/>
                <w:lang w:eastAsia="es-CR"/>
              </w:rPr>
            </w:pPr>
            <w:r w:rsidRPr="004E74A6">
              <w:rPr>
                <w:rFonts w:cs="Calibri"/>
                <w:color w:val="000000"/>
                <w:sz w:val="20"/>
              </w:rPr>
              <w:t>1</w:t>
            </w:r>
          </w:p>
        </w:tc>
        <w:tc>
          <w:tcPr>
            <w:tcW w:w="652" w:type="pct"/>
            <w:tcBorders>
              <w:top w:val="nil"/>
              <w:left w:val="single" w:sz="4" w:space="0" w:color="auto"/>
              <w:right w:val="single" w:sz="4" w:space="0" w:color="auto"/>
            </w:tcBorders>
            <w:shd w:val="clear" w:color="auto" w:fill="auto"/>
            <w:noWrap/>
            <w:vAlign w:val="bottom"/>
            <w:hideMark/>
          </w:tcPr>
          <w:p w14:paraId="6E257364" w14:textId="4EEBF613" w:rsidR="00A20859" w:rsidRPr="004E74A6" w:rsidRDefault="00A20859" w:rsidP="00CE62C1">
            <w:pPr>
              <w:spacing w:line="276" w:lineRule="auto"/>
              <w:jc w:val="center"/>
              <w:rPr>
                <w:rFonts w:cs="Calibri"/>
                <w:color w:val="000000"/>
                <w:sz w:val="20"/>
                <w:lang w:eastAsia="es-CR"/>
              </w:rPr>
            </w:pPr>
            <w:r w:rsidRPr="004E74A6">
              <w:rPr>
                <w:rFonts w:cs="Calibri"/>
                <w:color w:val="000000"/>
                <w:sz w:val="20"/>
              </w:rPr>
              <w:t>1</w:t>
            </w:r>
          </w:p>
        </w:tc>
        <w:tc>
          <w:tcPr>
            <w:tcW w:w="868" w:type="pct"/>
            <w:tcBorders>
              <w:top w:val="nil"/>
              <w:left w:val="single" w:sz="4" w:space="0" w:color="auto"/>
              <w:right w:val="nil"/>
            </w:tcBorders>
            <w:shd w:val="clear" w:color="auto" w:fill="auto"/>
            <w:noWrap/>
            <w:vAlign w:val="bottom"/>
            <w:hideMark/>
          </w:tcPr>
          <w:p w14:paraId="2DC8B260" w14:textId="79F19D47" w:rsidR="00A20859" w:rsidRPr="004E74A6" w:rsidRDefault="00A20859" w:rsidP="00CE62C1">
            <w:pPr>
              <w:spacing w:line="276" w:lineRule="auto"/>
              <w:jc w:val="center"/>
              <w:rPr>
                <w:rFonts w:cs="Calibri"/>
                <w:color w:val="000000"/>
                <w:sz w:val="20"/>
                <w:lang w:eastAsia="es-CR"/>
              </w:rPr>
            </w:pPr>
            <w:r w:rsidRPr="004E74A6">
              <w:rPr>
                <w:rFonts w:cs="Calibri"/>
                <w:color w:val="000000"/>
                <w:sz w:val="20"/>
              </w:rPr>
              <w:t>0,7</w:t>
            </w:r>
          </w:p>
        </w:tc>
      </w:tr>
      <w:tr w:rsidR="008D0F70" w:rsidRPr="004E74A6" w14:paraId="6CE3007A" w14:textId="77777777" w:rsidTr="003E4755">
        <w:trPr>
          <w:trHeight w:val="288"/>
          <w:jc w:val="center"/>
        </w:trPr>
        <w:tc>
          <w:tcPr>
            <w:tcW w:w="2178" w:type="pct"/>
            <w:tcBorders>
              <w:top w:val="nil"/>
              <w:left w:val="nil"/>
              <w:bottom w:val="single" w:sz="4" w:space="0" w:color="auto"/>
              <w:right w:val="single" w:sz="4" w:space="0" w:color="auto"/>
            </w:tcBorders>
            <w:shd w:val="clear" w:color="auto" w:fill="auto"/>
            <w:noWrap/>
            <w:vAlign w:val="bottom"/>
          </w:tcPr>
          <w:p w14:paraId="6652816F" w14:textId="77777777" w:rsidR="008647ED" w:rsidRPr="004E74A6" w:rsidRDefault="008647ED" w:rsidP="00CE62C1">
            <w:pPr>
              <w:spacing w:line="276" w:lineRule="auto"/>
              <w:ind w:firstLineChars="100" w:firstLine="200"/>
              <w:jc w:val="left"/>
              <w:rPr>
                <w:rFonts w:cs="Calibri"/>
                <w:color w:val="000000"/>
                <w:sz w:val="20"/>
                <w:lang w:eastAsia="es-CR"/>
              </w:rPr>
            </w:pPr>
          </w:p>
        </w:tc>
        <w:tc>
          <w:tcPr>
            <w:tcW w:w="651" w:type="pct"/>
            <w:tcBorders>
              <w:top w:val="nil"/>
              <w:left w:val="single" w:sz="4" w:space="0" w:color="auto"/>
              <w:bottom w:val="single" w:sz="4" w:space="0" w:color="auto"/>
              <w:right w:val="single" w:sz="4" w:space="0" w:color="auto"/>
            </w:tcBorders>
            <w:shd w:val="clear" w:color="auto" w:fill="auto"/>
            <w:noWrap/>
            <w:vAlign w:val="center"/>
          </w:tcPr>
          <w:p w14:paraId="063C629C" w14:textId="77777777" w:rsidR="008647ED" w:rsidRPr="004E74A6" w:rsidRDefault="008647ED" w:rsidP="00CE62C1">
            <w:pPr>
              <w:spacing w:line="276" w:lineRule="auto"/>
              <w:jc w:val="center"/>
              <w:rPr>
                <w:sz w:val="20"/>
                <w:lang w:eastAsia="es-CR"/>
              </w:rPr>
            </w:pPr>
          </w:p>
        </w:tc>
        <w:tc>
          <w:tcPr>
            <w:tcW w:w="651" w:type="pct"/>
            <w:tcBorders>
              <w:top w:val="nil"/>
              <w:left w:val="single" w:sz="4" w:space="0" w:color="auto"/>
              <w:bottom w:val="single" w:sz="4" w:space="0" w:color="auto"/>
              <w:right w:val="single" w:sz="4" w:space="0" w:color="auto"/>
            </w:tcBorders>
            <w:shd w:val="clear" w:color="auto" w:fill="auto"/>
            <w:noWrap/>
            <w:vAlign w:val="center"/>
          </w:tcPr>
          <w:p w14:paraId="559FA1A2" w14:textId="77777777" w:rsidR="008647ED" w:rsidRPr="004E74A6" w:rsidRDefault="008647ED" w:rsidP="00CE62C1">
            <w:pPr>
              <w:spacing w:line="276" w:lineRule="auto"/>
              <w:jc w:val="center"/>
              <w:rPr>
                <w:rFonts w:cs="Calibri"/>
                <w:color w:val="000000"/>
                <w:sz w:val="20"/>
                <w:lang w:eastAsia="es-CR"/>
              </w:rPr>
            </w:pPr>
          </w:p>
        </w:tc>
        <w:tc>
          <w:tcPr>
            <w:tcW w:w="652" w:type="pct"/>
            <w:tcBorders>
              <w:top w:val="nil"/>
              <w:left w:val="single" w:sz="4" w:space="0" w:color="auto"/>
              <w:bottom w:val="single" w:sz="4" w:space="0" w:color="auto"/>
              <w:right w:val="single" w:sz="4" w:space="0" w:color="auto"/>
            </w:tcBorders>
            <w:shd w:val="clear" w:color="auto" w:fill="auto"/>
            <w:noWrap/>
            <w:vAlign w:val="center"/>
          </w:tcPr>
          <w:p w14:paraId="6808AF12" w14:textId="77777777" w:rsidR="008647ED" w:rsidRPr="004E74A6" w:rsidRDefault="008647ED" w:rsidP="00CE62C1">
            <w:pPr>
              <w:spacing w:line="276" w:lineRule="auto"/>
              <w:jc w:val="center"/>
              <w:rPr>
                <w:rFonts w:cs="Calibri"/>
                <w:color w:val="000000"/>
                <w:sz w:val="20"/>
                <w:lang w:eastAsia="es-CR"/>
              </w:rPr>
            </w:pPr>
          </w:p>
        </w:tc>
        <w:tc>
          <w:tcPr>
            <w:tcW w:w="868" w:type="pct"/>
            <w:tcBorders>
              <w:top w:val="nil"/>
              <w:left w:val="single" w:sz="4" w:space="0" w:color="auto"/>
              <w:bottom w:val="single" w:sz="4" w:space="0" w:color="auto"/>
              <w:right w:val="nil"/>
            </w:tcBorders>
            <w:shd w:val="clear" w:color="auto" w:fill="auto"/>
            <w:noWrap/>
            <w:vAlign w:val="center"/>
          </w:tcPr>
          <w:p w14:paraId="303142F8" w14:textId="77777777" w:rsidR="008647ED" w:rsidRPr="004E74A6" w:rsidRDefault="008647ED" w:rsidP="00CE62C1">
            <w:pPr>
              <w:spacing w:line="276" w:lineRule="auto"/>
              <w:jc w:val="center"/>
              <w:rPr>
                <w:rFonts w:cs="Calibri"/>
                <w:color w:val="000000"/>
                <w:sz w:val="20"/>
                <w:lang w:eastAsia="es-CR"/>
              </w:rPr>
            </w:pPr>
          </w:p>
        </w:tc>
      </w:tr>
    </w:tbl>
    <w:p w14:paraId="1CDDBA1B" w14:textId="77777777" w:rsidR="003E4755" w:rsidRPr="004E74A6" w:rsidRDefault="003E4755" w:rsidP="00832773">
      <w:pPr>
        <w:spacing w:line="276" w:lineRule="auto"/>
        <w:ind w:left="1191" w:right="1191"/>
        <w:rPr>
          <w:rFonts w:cs="Calibri"/>
          <w:i/>
          <w:iCs/>
          <w:color w:val="000000"/>
          <w:sz w:val="20"/>
          <w:lang w:eastAsia="es-CR"/>
        </w:rPr>
      </w:pPr>
      <w:r w:rsidRPr="004E74A6">
        <w:rPr>
          <w:rFonts w:cs="Calibri"/>
          <w:b/>
          <w:bCs/>
          <w:i/>
          <w:iCs/>
          <w:color w:val="000000"/>
          <w:sz w:val="20"/>
          <w:lang w:eastAsia="es-CR"/>
        </w:rPr>
        <w:t>Fuente</w:t>
      </w:r>
      <w:r w:rsidRPr="004E74A6">
        <w:rPr>
          <w:rFonts w:cs="Calibri"/>
          <w:i/>
          <w:iCs/>
          <w:color w:val="000000"/>
          <w:sz w:val="20"/>
          <w:lang w:eastAsia="es-CR"/>
        </w:rPr>
        <w:t>: Subproceso de Modernización Institucional con datos extraídos del sistema SIGMA, Dirección de Planificación.</w:t>
      </w:r>
    </w:p>
    <w:p w14:paraId="5B964719" w14:textId="77777777" w:rsidR="008647ED" w:rsidRPr="004E74A6" w:rsidRDefault="008647ED" w:rsidP="00CE62C1">
      <w:pPr>
        <w:spacing w:after="160" w:line="276" w:lineRule="auto"/>
        <w:rPr>
          <w:rFonts w:cs="Calibri"/>
          <w:color w:val="000000"/>
          <w:szCs w:val="24"/>
          <w:lang w:eastAsia="es-CR"/>
        </w:rPr>
      </w:pPr>
    </w:p>
    <w:p w14:paraId="54927B3F" w14:textId="77777777" w:rsidR="00A20859" w:rsidRPr="004E74A6" w:rsidRDefault="00A20859" w:rsidP="00CE62C1">
      <w:pPr>
        <w:spacing w:after="160" w:line="276" w:lineRule="auto"/>
        <w:rPr>
          <w:rFonts w:cs="Calibri"/>
          <w:color w:val="000000"/>
          <w:szCs w:val="24"/>
          <w:lang w:eastAsia="es-CR"/>
        </w:rPr>
      </w:pPr>
      <w:r w:rsidRPr="004E74A6">
        <w:rPr>
          <w:rFonts w:cs="Calibri"/>
          <w:color w:val="000000"/>
          <w:szCs w:val="24"/>
          <w:lang w:eastAsia="es-CR"/>
        </w:rPr>
        <w:t>Con un mayor detalle es posible observar que dentro de la clase de asunto ordinario, los procedimientos ordinarios son la mayoría con el 95% de los asuntos. Como se observa de los 154 registros, solo 151 tienen el procedimiento correcto, ya que según la fórmula estadística la clase “</w:t>
      </w:r>
      <w:r w:rsidRPr="004E74A6">
        <w:rPr>
          <w:rFonts w:cs="Calibri"/>
          <w:i/>
          <w:iCs/>
          <w:color w:val="000000"/>
          <w:szCs w:val="24"/>
          <w:lang w:eastAsia="es-CR"/>
        </w:rPr>
        <w:t>ordinario</w:t>
      </w:r>
      <w:r w:rsidRPr="004E74A6">
        <w:rPr>
          <w:rFonts w:cs="Calibri"/>
          <w:color w:val="000000"/>
          <w:szCs w:val="24"/>
          <w:lang w:eastAsia="es-CR"/>
        </w:rPr>
        <w:t>” solamente tiene como procedimiento asociado “</w:t>
      </w:r>
      <w:r w:rsidRPr="004E74A6">
        <w:rPr>
          <w:rFonts w:cs="Calibri"/>
          <w:i/>
          <w:iCs/>
          <w:color w:val="000000"/>
          <w:szCs w:val="24"/>
          <w:lang w:eastAsia="es-CR"/>
        </w:rPr>
        <w:t>ordinario</w:t>
      </w:r>
      <w:r w:rsidRPr="004E74A6">
        <w:rPr>
          <w:rFonts w:cs="Calibri"/>
          <w:color w:val="000000"/>
          <w:szCs w:val="24"/>
          <w:lang w:eastAsia="es-CR"/>
        </w:rPr>
        <w:t xml:space="preserve">”. </w:t>
      </w:r>
    </w:p>
    <w:p w14:paraId="18919714" w14:textId="0F9709DF" w:rsidR="00662185" w:rsidRDefault="00662185" w:rsidP="00CE62C1">
      <w:pPr>
        <w:spacing w:after="160" w:line="276" w:lineRule="auto"/>
        <w:rPr>
          <w:rFonts w:cs="Calibri"/>
          <w:color w:val="000000"/>
          <w:szCs w:val="24"/>
          <w:lang w:eastAsia="es-CR"/>
        </w:rPr>
      </w:pPr>
    </w:p>
    <w:p w14:paraId="30627B77" w14:textId="4D275AB2" w:rsidR="00193D21" w:rsidRDefault="00193D21" w:rsidP="00CE62C1">
      <w:pPr>
        <w:spacing w:after="160" w:line="276" w:lineRule="auto"/>
        <w:rPr>
          <w:rFonts w:cs="Calibri"/>
          <w:color w:val="000000"/>
          <w:szCs w:val="24"/>
          <w:lang w:eastAsia="es-CR"/>
        </w:rPr>
      </w:pPr>
    </w:p>
    <w:p w14:paraId="79CF5007" w14:textId="213E15EE" w:rsidR="00193D21" w:rsidRDefault="00193D21" w:rsidP="00CE62C1">
      <w:pPr>
        <w:spacing w:after="160" w:line="276" w:lineRule="auto"/>
        <w:rPr>
          <w:rFonts w:cs="Calibri"/>
          <w:color w:val="000000"/>
          <w:szCs w:val="24"/>
          <w:lang w:eastAsia="es-CR"/>
        </w:rPr>
      </w:pPr>
    </w:p>
    <w:p w14:paraId="65DC08D3" w14:textId="454B7DCA" w:rsidR="00193D21" w:rsidRDefault="00193D21" w:rsidP="00CE62C1">
      <w:pPr>
        <w:spacing w:after="160" w:line="276" w:lineRule="auto"/>
        <w:rPr>
          <w:rFonts w:cs="Calibri"/>
          <w:color w:val="000000"/>
          <w:szCs w:val="24"/>
          <w:lang w:eastAsia="es-CR"/>
        </w:rPr>
      </w:pPr>
    </w:p>
    <w:p w14:paraId="7C2580E0" w14:textId="77777777" w:rsidR="00193D21" w:rsidRPr="004E74A6" w:rsidRDefault="00193D21" w:rsidP="00CE62C1">
      <w:pPr>
        <w:spacing w:after="160" w:line="276" w:lineRule="auto"/>
        <w:rPr>
          <w:rFonts w:cs="Calibri"/>
          <w:color w:val="000000"/>
          <w:szCs w:val="24"/>
          <w:lang w:eastAsia="es-CR"/>
        </w:rPr>
      </w:pPr>
    </w:p>
    <w:p w14:paraId="110DC736" w14:textId="55134A42" w:rsidR="000B48AF" w:rsidRPr="00832773" w:rsidRDefault="000B48AF" w:rsidP="00F0204A">
      <w:pPr>
        <w:pStyle w:val="Descripcin"/>
        <w:keepNext/>
        <w:spacing w:line="276" w:lineRule="auto"/>
        <w:jc w:val="center"/>
        <w:rPr>
          <w:rFonts w:ascii="Book Antiqua" w:hAnsi="Book Antiqua"/>
          <w:i/>
          <w:iCs/>
          <w:sz w:val="20"/>
          <w:szCs w:val="16"/>
          <w:lang w:val="es-CR"/>
        </w:rPr>
      </w:pPr>
      <w:r w:rsidRPr="00832773">
        <w:rPr>
          <w:rFonts w:ascii="Book Antiqua" w:hAnsi="Book Antiqua"/>
          <w:i/>
          <w:iCs/>
          <w:sz w:val="20"/>
          <w:szCs w:val="16"/>
          <w:lang w:val="es-CR"/>
        </w:rPr>
        <w:lastRenderedPageBreak/>
        <w:t xml:space="preserve">Tabla </w:t>
      </w:r>
      <w:r w:rsidRPr="00832773">
        <w:rPr>
          <w:rFonts w:ascii="Book Antiqua" w:hAnsi="Book Antiqua"/>
          <w:i/>
          <w:iCs/>
          <w:sz w:val="20"/>
          <w:szCs w:val="16"/>
          <w:lang w:val="es-CR"/>
        </w:rPr>
        <w:fldChar w:fldCharType="begin"/>
      </w:r>
      <w:r w:rsidRPr="00832773">
        <w:rPr>
          <w:rFonts w:ascii="Book Antiqua" w:hAnsi="Book Antiqua"/>
          <w:i/>
          <w:iCs/>
          <w:sz w:val="20"/>
          <w:szCs w:val="16"/>
          <w:lang w:val="es-CR"/>
        </w:rPr>
        <w:instrText xml:space="preserve"> SEQ Tabla \* ARABIC </w:instrText>
      </w:r>
      <w:r w:rsidRPr="00832773">
        <w:rPr>
          <w:rFonts w:ascii="Book Antiqua" w:hAnsi="Book Antiqua"/>
          <w:i/>
          <w:iCs/>
          <w:sz w:val="20"/>
          <w:szCs w:val="16"/>
          <w:lang w:val="es-CR"/>
        </w:rPr>
        <w:fldChar w:fldCharType="separate"/>
      </w:r>
      <w:r w:rsidR="00374B51">
        <w:rPr>
          <w:rFonts w:ascii="Book Antiqua" w:hAnsi="Book Antiqua"/>
          <w:i/>
          <w:iCs/>
          <w:noProof/>
          <w:sz w:val="20"/>
          <w:szCs w:val="16"/>
          <w:lang w:val="es-CR"/>
        </w:rPr>
        <w:t>23</w:t>
      </w:r>
      <w:r w:rsidRPr="00832773">
        <w:rPr>
          <w:rFonts w:ascii="Book Antiqua" w:hAnsi="Book Antiqua"/>
          <w:i/>
          <w:iCs/>
          <w:sz w:val="20"/>
          <w:szCs w:val="16"/>
          <w:lang w:val="es-CR"/>
        </w:rPr>
        <w:fldChar w:fldCharType="end"/>
      </w:r>
      <w:r w:rsidRPr="00832773">
        <w:rPr>
          <w:rFonts w:ascii="Book Antiqua" w:hAnsi="Book Antiqua"/>
          <w:i/>
          <w:iCs/>
          <w:sz w:val="20"/>
          <w:szCs w:val="16"/>
          <w:lang w:val="es-CR"/>
        </w:rPr>
        <w:t xml:space="preserve"> Cantidad de asuntos ordinarios según procedimiento del 2019 al 2021 para el Tribunal Colegiado de Primera Instancia Civil Cartago</w:t>
      </w:r>
    </w:p>
    <w:p w14:paraId="6F29F2FE" w14:textId="77777777" w:rsidR="0010143F" w:rsidRPr="00832773" w:rsidRDefault="0010143F" w:rsidP="00832773">
      <w:pPr>
        <w:spacing w:line="276" w:lineRule="auto"/>
      </w:pPr>
    </w:p>
    <w:tbl>
      <w:tblPr>
        <w:tblW w:w="5292" w:type="pct"/>
        <w:tblCellMar>
          <w:left w:w="70" w:type="dxa"/>
          <w:right w:w="70" w:type="dxa"/>
        </w:tblCellMar>
        <w:tblLook w:val="04A0" w:firstRow="1" w:lastRow="0" w:firstColumn="1" w:lastColumn="0" w:noHBand="0" w:noVBand="1"/>
      </w:tblPr>
      <w:tblGrid>
        <w:gridCol w:w="5734"/>
        <w:gridCol w:w="833"/>
        <w:gridCol w:w="838"/>
        <w:gridCol w:w="838"/>
        <w:gridCol w:w="1113"/>
      </w:tblGrid>
      <w:tr w:rsidR="000B48AF" w:rsidRPr="004E74A6" w14:paraId="76762247" w14:textId="77777777" w:rsidTr="0010143F">
        <w:trPr>
          <w:trHeight w:val="423"/>
          <w:tblHeader/>
        </w:trPr>
        <w:tc>
          <w:tcPr>
            <w:tcW w:w="3064" w:type="pct"/>
            <w:tcBorders>
              <w:top w:val="single" w:sz="4" w:space="0" w:color="auto"/>
              <w:left w:val="nil"/>
              <w:bottom w:val="single" w:sz="4" w:space="0" w:color="auto"/>
              <w:right w:val="single" w:sz="4" w:space="0" w:color="auto"/>
            </w:tcBorders>
            <w:shd w:val="clear" w:color="auto" w:fill="auto"/>
            <w:noWrap/>
            <w:vAlign w:val="center"/>
            <w:hideMark/>
          </w:tcPr>
          <w:p w14:paraId="588D625D"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Ordinario</w:t>
            </w:r>
          </w:p>
        </w:tc>
        <w:tc>
          <w:tcPr>
            <w:tcW w:w="44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3037216"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2019</w:t>
            </w:r>
          </w:p>
        </w:tc>
        <w:tc>
          <w:tcPr>
            <w:tcW w:w="44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63C89D5"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2020</w:t>
            </w:r>
          </w:p>
        </w:tc>
        <w:tc>
          <w:tcPr>
            <w:tcW w:w="44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B80BA66"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2021</w:t>
            </w:r>
          </w:p>
        </w:tc>
        <w:tc>
          <w:tcPr>
            <w:tcW w:w="595" w:type="pct"/>
            <w:tcBorders>
              <w:top w:val="single" w:sz="4" w:space="0" w:color="auto"/>
              <w:left w:val="single" w:sz="4" w:space="0" w:color="auto"/>
              <w:bottom w:val="single" w:sz="4" w:space="0" w:color="auto"/>
              <w:right w:val="nil"/>
            </w:tcBorders>
            <w:shd w:val="clear" w:color="auto" w:fill="auto"/>
            <w:noWrap/>
            <w:vAlign w:val="center"/>
          </w:tcPr>
          <w:p w14:paraId="647BA502" w14:textId="4BA84528" w:rsidR="008647ED" w:rsidRPr="004E74A6" w:rsidRDefault="000B48AF" w:rsidP="00CE62C1">
            <w:pPr>
              <w:spacing w:line="276" w:lineRule="auto"/>
              <w:jc w:val="center"/>
              <w:rPr>
                <w:rFonts w:cs="Calibri"/>
                <w:color w:val="000000"/>
                <w:sz w:val="20"/>
                <w:lang w:eastAsia="es-CR"/>
              </w:rPr>
            </w:pPr>
            <w:r w:rsidRPr="004E74A6">
              <w:rPr>
                <w:rFonts w:cs="Calibri"/>
                <w:color w:val="000000"/>
                <w:sz w:val="20"/>
                <w:lang w:eastAsia="es-CR"/>
              </w:rPr>
              <w:t>Promedio</w:t>
            </w:r>
          </w:p>
        </w:tc>
      </w:tr>
      <w:tr w:rsidR="000B48AF" w:rsidRPr="004E74A6" w14:paraId="421132BC" w14:textId="77777777" w:rsidTr="00A20859">
        <w:trPr>
          <w:trHeight w:val="288"/>
        </w:trPr>
        <w:tc>
          <w:tcPr>
            <w:tcW w:w="3064" w:type="pct"/>
            <w:tcBorders>
              <w:top w:val="single" w:sz="4" w:space="0" w:color="auto"/>
              <w:left w:val="nil"/>
              <w:bottom w:val="nil"/>
              <w:right w:val="single" w:sz="4" w:space="0" w:color="auto"/>
            </w:tcBorders>
            <w:shd w:val="clear" w:color="auto" w:fill="auto"/>
            <w:noWrap/>
            <w:vAlign w:val="center"/>
          </w:tcPr>
          <w:p w14:paraId="2D0DF4DB" w14:textId="77777777" w:rsidR="008647ED" w:rsidRPr="004E74A6" w:rsidRDefault="008647ED" w:rsidP="00CE62C1">
            <w:pPr>
              <w:spacing w:line="276" w:lineRule="auto"/>
              <w:ind w:firstLineChars="200" w:firstLine="400"/>
              <w:jc w:val="center"/>
              <w:rPr>
                <w:rFonts w:cs="Calibri"/>
                <w:color w:val="000000"/>
                <w:sz w:val="20"/>
                <w:lang w:eastAsia="es-CR"/>
              </w:rPr>
            </w:pPr>
          </w:p>
        </w:tc>
        <w:tc>
          <w:tcPr>
            <w:tcW w:w="445" w:type="pct"/>
            <w:tcBorders>
              <w:top w:val="single" w:sz="4" w:space="0" w:color="auto"/>
              <w:left w:val="single" w:sz="4" w:space="0" w:color="auto"/>
              <w:bottom w:val="nil"/>
              <w:right w:val="single" w:sz="4" w:space="0" w:color="auto"/>
            </w:tcBorders>
            <w:shd w:val="clear" w:color="auto" w:fill="auto"/>
            <w:noWrap/>
            <w:vAlign w:val="center"/>
          </w:tcPr>
          <w:p w14:paraId="0B77412A" w14:textId="77777777" w:rsidR="008647ED" w:rsidRPr="004E74A6" w:rsidRDefault="008647ED" w:rsidP="00CE62C1">
            <w:pPr>
              <w:spacing w:line="276" w:lineRule="auto"/>
              <w:jc w:val="center"/>
              <w:rPr>
                <w:sz w:val="20"/>
                <w:lang w:eastAsia="es-CR"/>
              </w:rPr>
            </w:pPr>
          </w:p>
        </w:tc>
        <w:tc>
          <w:tcPr>
            <w:tcW w:w="448" w:type="pct"/>
            <w:tcBorders>
              <w:top w:val="single" w:sz="4" w:space="0" w:color="auto"/>
              <w:left w:val="single" w:sz="4" w:space="0" w:color="auto"/>
              <w:bottom w:val="nil"/>
              <w:right w:val="single" w:sz="4" w:space="0" w:color="auto"/>
            </w:tcBorders>
            <w:shd w:val="clear" w:color="auto" w:fill="auto"/>
            <w:noWrap/>
            <w:vAlign w:val="center"/>
          </w:tcPr>
          <w:p w14:paraId="790BA64C" w14:textId="77777777" w:rsidR="008647ED" w:rsidRPr="004E74A6" w:rsidRDefault="008647ED" w:rsidP="00CE62C1">
            <w:pPr>
              <w:spacing w:line="276" w:lineRule="auto"/>
              <w:jc w:val="center"/>
              <w:rPr>
                <w:sz w:val="20"/>
                <w:lang w:eastAsia="es-CR"/>
              </w:rPr>
            </w:pPr>
          </w:p>
        </w:tc>
        <w:tc>
          <w:tcPr>
            <w:tcW w:w="448" w:type="pct"/>
            <w:tcBorders>
              <w:top w:val="single" w:sz="4" w:space="0" w:color="auto"/>
              <w:left w:val="single" w:sz="4" w:space="0" w:color="auto"/>
              <w:bottom w:val="nil"/>
              <w:right w:val="single" w:sz="4" w:space="0" w:color="auto"/>
            </w:tcBorders>
            <w:shd w:val="clear" w:color="auto" w:fill="auto"/>
            <w:noWrap/>
            <w:vAlign w:val="center"/>
          </w:tcPr>
          <w:p w14:paraId="4EF79ABC" w14:textId="77777777" w:rsidR="008647ED" w:rsidRPr="004E74A6" w:rsidRDefault="008647ED" w:rsidP="00CE62C1">
            <w:pPr>
              <w:spacing w:line="276" w:lineRule="auto"/>
              <w:jc w:val="center"/>
              <w:rPr>
                <w:rFonts w:cs="Calibri"/>
                <w:color w:val="000000"/>
                <w:sz w:val="20"/>
                <w:lang w:eastAsia="es-CR"/>
              </w:rPr>
            </w:pPr>
          </w:p>
        </w:tc>
        <w:tc>
          <w:tcPr>
            <w:tcW w:w="595" w:type="pct"/>
            <w:tcBorders>
              <w:top w:val="single" w:sz="4" w:space="0" w:color="auto"/>
              <w:left w:val="single" w:sz="4" w:space="0" w:color="auto"/>
              <w:bottom w:val="nil"/>
              <w:right w:val="nil"/>
            </w:tcBorders>
            <w:shd w:val="clear" w:color="auto" w:fill="auto"/>
            <w:noWrap/>
            <w:vAlign w:val="center"/>
          </w:tcPr>
          <w:p w14:paraId="0BF7F225" w14:textId="77777777" w:rsidR="008647ED" w:rsidRPr="004E74A6" w:rsidRDefault="008647ED" w:rsidP="00CE62C1">
            <w:pPr>
              <w:spacing w:line="276" w:lineRule="auto"/>
              <w:jc w:val="center"/>
              <w:rPr>
                <w:rFonts w:cs="Calibri"/>
                <w:color w:val="000000"/>
                <w:sz w:val="20"/>
                <w:lang w:eastAsia="es-CR"/>
              </w:rPr>
            </w:pPr>
          </w:p>
        </w:tc>
      </w:tr>
      <w:tr w:rsidR="000B48AF" w:rsidRPr="004E74A6" w14:paraId="00BD9545" w14:textId="77777777" w:rsidTr="00A20859">
        <w:trPr>
          <w:trHeight w:val="288"/>
        </w:trPr>
        <w:tc>
          <w:tcPr>
            <w:tcW w:w="3064" w:type="pct"/>
            <w:tcBorders>
              <w:top w:val="nil"/>
              <w:left w:val="nil"/>
              <w:bottom w:val="nil"/>
              <w:right w:val="single" w:sz="4" w:space="0" w:color="auto"/>
            </w:tcBorders>
            <w:shd w:val="clear" w:color="auto" w:fill="auto"/>
            <w:noWrap/>
            <w:vAlign w:val="center"/>
          </w:tcPr>
          <w:p w14:paraId="28D4201A" w14:textId="77777777" w:rsidR="000B48AF" w:rsidRPr="004E74A6" w:rsidRDefault="000B48AF" w:rsidP="00CE62C1">
            <w:pPr>
              <w:spacing w:line="276" w:lineRule="auto"/>
              <w:jc w:val="center"/>
              <w:rPr>
                <w:rFonts w:cs="Calibri"/>
                <w:color w:val="000000"/>
                <w:sz w:val="20"/>
                <w:lang w:eastAsia="es-CR"/>
              </w:rPr>
            </w:pPr>
            <w:r w:rsidRPr="004E74A6">
              <w:rPr>
                <w:rFonts w:cs="Calibri"/>
                <w:color w:val="000000"/>
                <w:sz w:val="20"/>
                <w:lang w:eastAsia="es-CR"/>
              </w:rPr>
              <w:t>Total</w:t>
            </w:r>
          </w:p>
        </w:tc>
        <w:tc>
          <w:tcPr>
            <w:tcW w:w="445" w:type="pct"/>
            <w:tcBorders>
              <w:top w:val="nil"/>
              <w:left w:val="single" w:sz="4" w:space="0" w:color="auto"/>
              <w:bottom w:val="nil"/>
              <w:right w:val="single" w:sz="4" w:space="0" w:color="auto"/>
            </w:tcBorders>
            <w:shd w:val="clear" w:color="auto" w:fill="auto"/>
            <w:noWrap/>
            <w:vAlign w:val="center"/>
          </w:tcPr>
          <w:p w14:paraId="6CE05C0F" w14:textId="3B5C6538" w:rsidR="000B48AF" w:rsidRPr="004E74A6" w:rsidRDefault="000B48AF" w:rsidP="00CE62C1">
            <w:pPr>
              <w:spacing w:line="276" w:lineRule="auto"/>
              <w:jc w:val="center"/>
              <w:rPr>
                <w:sz w:val="20"/>
                <w:lang w:eastAsia="es-CR"/>
              </w:rPr>
            </w:pPr>
            <w:r w:rsidRPr="004E74A6">
              <w:rPr>
                <w:rFonts w:cs="Calibri"/>
                <w:color w:val="000000"/>
                <w:sz w:val="20"/>
                <w:lang w:eastAsia="es-CR"/>
              </w:rPr>
              <w:t>18</w:t>
            </w:r>
            <w:r w:rsidR="00A20859" w:rsidRPr="004E74A6">
              <w:rPr>
                <w:rFonts w:cs="Calibri"/>
                <w:color w:val="000000"/>
                <w:sz w:val="20"/>
                <w:lang w:eastAsia="es-CR"/>
              </w:rPr>
              <w:t>4</w:t>
            </w:r>
          </w:p>
        </w:tc>
        <w:tc>
          <w:tcPr>
            <w:tcW w:w="448" w:type="pct"/>
            <w:tcBorders>
              <w:top w:val="nil"/>
              <w:left w:val="single" w:sz="4" w:space="0" w:color="auto"/>
              <w:bottom w:val="nil"/>
              <w:right w:val="single" w:sz="4" w:space="0" w:color="auto"/>
            </w:tcBorders>
            <w:shd w:val="clear" w:color="auto" w:fill="auto"/>
            <w:noWrap/>
            <w:vAlign w:val="center"/>
          </w:tcPr>
          <w:p w14:paraId="7638AAC0" w14:textId="77777777" w:rsidR="000B48AF" w:rsidRPr="004E74A6" w:rsidRDefault="000B48AF" w:rsidP="00CE62C1">
            <w:pPr>
              <w:spacing w:line="276" w:lineRule="auto"/>
              <w:jc w:val="center"/>
              <w:rPr>
                <w:sz w:val="20"/>
                <w:lang w:eastAsia="es-CR"/>
              </w:rPr>
            </w:pPr>
            <w:r w:rsidRPr="004E74A6">
              <w:rPr>
                <w:rFonts w:cs="Calibri"/>
                <w:color w:val="000000"/>
                <w:sz w:val="20"/>
                <w:lang w:eastAsia="es-CR"/>
              </w:rPr>
              <w:t>154</w:t>
            </w:r>
          </w:p>
        </w:tc>
        <w:tc>
          <w:tcPr>
            <w:tcW w:w="448" w:type="pct"/>
            <w:tcBorders>
              <w:top w:val="nil"/>
              <w:left w:val="single" w:sz="4" w:space="0" w:color="auto"/>
              <w:bottom w:val="nil"/>
              <w:right w:val="single" w:sz="4" w:space="0" w:color="auto"/>
            </w:tcBorders>
            <w:shd w:val="clear" w:color="auto" w:fill="auto"/>
            <w:noWrap/>
            <w:vAlign w:val="center"/>
          </w:tcPr>
          <w:p w14:paraId="76FB78F7" w14:textId="46860AF6" w:rsidR="000B48AF" w:rsidRPr="004E74A6" w:rsidRDefault="000B48AF" w:rsidP="00CE62C1">
            <w:pPr>
              <w:spacing w:line="276" w:lineRule="auto"/>
              <w:jc w:val="center"/>
              <w:rPr>
                <w:rFonts w:cs="Calibri"/>
                <w:color w:val="000000"/>
                <w:sz w:val="20"/>
                <w:lang w:eastAsia="es-CR"/>
              </w:rPr>
            </w:pPr>
            <w:r w:rsidRPr="004E74A6">
              <w:rPr>
                <w:rFonts w:cs="Calibri"/>
                <w:color w:val="000000"/>
                <w:sz w:val="20"/>
                <w:lang w:eastAsia="es-CR"/>
              </w:rPr>
              <w:t>17</w:t>
            </w:r>
            <w:r w:rsidR="00A20859" w:rsidRPr="004E74A6">
              <w:rPr>
                <w:rFonts w:cs="Calibri"/>
                <w:color w:val="000000"/>
                <w:sz w:val="20"/>
                <w:lang w:eastAsia="es-CR"/>
              </w:rPr>
              <w:t>7</w:t>
            </w:r>
          </w:p>
        </w:tc>
        <w:tc>
          <w:tcPr>
            <w:tcW w:w="595" w:type="pct"/>
            <w:tcBorders>
              <w:top w:val="nil"/>
              <w:left w:val="single" w:sz="4" w:space="0" w:color="auto"/>
              <w:bottom w:val="nil"/>
              <w:right w:val="nil"/>
            </w:tcBorders>
            <w:shd w:val="clear" w:color="auto" w:fill="auto"/>
            <w:noWrap/>
            <w:vAlign w:val="center"/>
          </w:tcPr>
          <w:p w14:paraId="285C8741" w14:textId="2B59B16B" w:rsidR="000B48AF" w:rsidRPr="004E74A6" w:rsidRDefault="000B48AF" w:rsidP="00CE62C1">
            <w:pPr>
              <w:spacing w:line="276" w:lineRule="auto"/>
              <w:jc w:val="center"/>
              <w:rPr>
                <w:rFonts w:cs="Calibri"/>
                <w:color w:val="000000"/>
                <w:sz w:val="20"/>
                <w:lang w:eastAsia="es-CR"/>
              </w:rPr>
            </w:pPr>
            <w:r w:rsidRPr="004E74A6">
              <w:rPr>
                <w:rFonts w:cs="Calibri"/>
                <w:color w:val="000000"/>
                <w:sz w:val="20"/>
              </w:rPr>
              <w:t>172</w:t>
            </w:r>
          </w:p>
        </w:tc>
      </w:tr>
      <w:tr w:rsidR="000B48AF" w:rsidRPr="004E74A6" w14:paraId="6347C323" w14:textId="77777777" w:rsidTr="00A20859">
        <w:trPr>
          <w:trHeight w:val="288"/>
        </w:trPr>
        <w:tc>
          <w:tcPr>
            <w:tcW w:w="3064" w:type="pct"/>
            <w:tcBorders>
              <w:top w:val="nil"/>
              <w:left w:val="nil"/>
              <w:bottom w:val="nil"/>
              <w:right w:val="single" w:sz="4" w:space="0" w:color="auto"/>
            </w:tcBorders>
            <w:shd w:val="clear" w:color="auto" w:fill="auto"/>
            <w:noWrap/>
            <w:vAlign w:val="bottom"/>
          </w:tcPr>
          <w:p w14:paraId="04142494" w14:textId="77777777" w:rsidR="000B48AF" w:rsidRPr="004E74A6" w:rsidRDefault="000B48AF" w:rsidP="00CE62C1">
            <w:pPr>
              <w:spacing w:line="276" w:lineRule="auto"/>
              <w:ind w:firstLineChars="200" w:firstLine="400"/>
              <w:jc w:val="left"/>
              <w:rPr>
                <w:rFonts w:cs="Calibri"/>
                <w:color w:val="000000"/>
                <w:sz w:val="20"/>
                <w:lang w:eastAsia="es-CR"/>
              </w:rPr>
            </w:pPr>
          </w:p>
        </w:tc>
        <w:tc>
          <w:tcPr>
            <w:tcW w:w="445" w:type="pct"/>
            <w:tcBorders>
              <w:top w:val="nil"/>
              <w:left w:val="single" w:sz="4" w:space="0" w:color="auto"/>
              <w:bottom w:val="nil"/>
              <w:right w:val="single" w:sz="4" w:space="0" w:color="auto"/>
            </w:tcBorders>
            <w:shd w:val="clear" w:color="auto" w:fill="auto"/>
            <w:noWrap/>
            <w:vAlign w:val="center"/>
          </w:tcPr>
          <w:p w14:paraId="13CBF133" w14:textId="77777777" w:rsidR="000B48AF" w:rsidRPr="004E74A6" w:rsidRDefault="000B48AF" w:rsidP="00CE62C1">
            <w:pPr>
              <w:spacing w:line="276" w:lineRule="auto"/>
              <w:jc w:val="center"/>
              <w:rPr>
                <w:sz w:val="20"/>
                <w:lang w:eastAsia="es-CR"/>
              </w:rPr>
            </w:pPr>
          </w:p>
        </w:tc>
        <w:tc>
          <w:tcPr>
            <w:tcW w:w="448" w:type="pct"/>
            <w:tcBorders>
              <w:top w:val="nil"/>
              <w:left w:val="single" w:sz="4" w:space="0" w:color="auto"/>
              <w:bottom w:val="nil"/>
              <w:right w:val="single" w:sz="4" w:space="0" w:color="auto"/>
            </w:tcBorders>
            <w:shd w:val="clear" w:color="auto" w:fill="auto"/>
            <w:noWrap/>
            <w:vAlign w:val="center"/>
          </w:tcPr>
          <w:p w14:paraId="11F0EFAE" w14:textId="77777777" w:rsidR="000B48AF" w:rsidRPr="004E74A6" w:rsidRDefault="000B48AF" w:rsidP="00CE62C1">
            <w:pPr>
              <w:spacing w:line="276" w:lineRule="auto"/>
              <w:jc w:val="center"/>
              <w:rPr>
                <w:sz w:val="20"/>
                <w:lang w:eastAsia="es-CR"/>
              </w:rPr>
            </w:pPr>
          </w:p>
        </w:tc>
        <w:tc>
          <w:tcPr>
            <w:tcW w:w="448" w:type="pct"/>
            <w:tcBorders>
              <w:top w:val="nil"/>
              <w:left w:val="single" w:sz="4" w:space="0" w:color="auto"/>
              <w:bottom w:val="nil"/>
              <w:right w:val="single" w:sz="4" w:space="0" w:color="auto"/>
            </w:tcBorders>
            <w:shd w:val="clear" w:color="auto" w:fill="auto"/>
            <w:noWrap/>
            <w:vAlign w:val="center"/>
          </w:tcPr>
          <w:p w14:paraId="6327989E" w14:textId="77777777" w:rsidR="000B48AF" w:rsidRPr="004E74A6" w:rsidRDefault="000B48AF" w:rsidP="00CE62C1">
            <w:pPr>
              <w:spacing w:line="276" w:lineRule="auto"/>
              <w:jc w:val="center"/>
              <w:rPr>
                <w:rFonts w:cs="Calibri"/>
                <w:color w:val="000000"/>
                <w:sz w:val="20"/>
                <w:lang w:eastAsia="es-CR"/>
              </w:rPr>
            </w:pPr>
          </w:p>
        </w:tc>
        <w:tc>
          <w:tcPr>
            <w:tcW w:w="595" w:type="pct"/>
            <w:tcBorders>
              <w:top w:val="nil"/>
              <w:left w:val="single" w:sz="4" w:space="0" w:color="auto"/>
              <w:bottom w:val="nil"/>
              <w:right w:val="nil"/>
            </w:tcBorders>
            <w:shd w:val="clear" w:color="auto" w:fill="auto"/>
            <w:noWrap/>
            <w:vAlign w:val="center"/>
          </w:tcPr>
          <w:p w14:paraId="0116D075" w14:textId="77777777" w:rsidR="000B48AF" w:rsidRPr="004E74A6" w:rsidRDefault="000B48AF" w:rsidP="00CE62C1">
            <w:pPr>
              <w:spacing w:line="276" w:lineRule="auto"/>
              <w:jc w:val="center"/>
              <w:rPr>
                <w:rFonts w:cs="Calibri"/>
                <w:color w:val="000000"/>
                <w:sz w:val="20"/>
                <w:lang w:eastAsia="es-CR"/>
              </w:rPr>
            </w:pPr>
          </w:p>
        </w:tc>
      </w:tr>
      <w:tr w:rsidR="00A20859" w:rsidRPr="004E74A6" w14:paraId="6B89090F" w14:textId="77777777" w:rsidTr="00B32800">
        <w:trPr>
          <w:trHeight w:val="288"/>
        </w:trPr>
        <w:tc>
          <w:tcPr>
            <w:tcW w:w="3064" w:type="pct"/>
            <w:tcBorders>
              <w:top w:val="nil"/>
              <w:left w:val="nil"/>
              <w:bottom w:val="nil"/>
              <w:right w:val="single" w:sz="4" w:space="0" w:color="auto"/>
            </w:tcBorders>
            <w:shd w:val="clear" w:color="auto" w:fill="auto"/>
            <w:noWrap/>
            <w:vAlign w:val="bottom"/>
            <w:hideMark/>
          </w:tcPr>
          <w:p w14:paraId="5315FD1E" w14:textId="77777777" w:rsidR="00A20859" w:rsidRPr="004E74A6" w:rsidRDefault="00A20859" w:rsidP="00CE62C1">
            <w:pPr>
              <w:spacing w:line="276" w:lineRule="auto"/>
              <w:ind w:firstLineChars="200" w:firstLine="400"/>
              <w:jc w:val="left"/>
              <w:rPr>
                <w:rFonts w:cs="Calibri"/>
                <w:color w:val="000000"/>
                <w:sz w:val="20"/>
                <w:lang w:eastAsia="es-CR"/>
              </w:rPr>
            </w:pPr>
            <w:r w:rsidRPr="004E74A6">
              <w:rPr>
                <w:rFonts w:cs="Calibri"/>
                <w:color w:val="000000"/>
                <w:sz w:val="20"/>
                <w:lang w:eastAsia="es-CR"/>
              </w:rPr>
              <w:t>Disolución De Fundación</w:t>
            </w:r>
          </w:p>
        </w:tc>
        <w:tc>
          <w:tcPr>
            <w:tcW w:w="445" w:type="pct"/>
            <w:tcBorders>
              <w:top w:val="nil"/>
              <w:left w:val="single" w:sz="4" w:space="0" w:color="auto"/>
              <w:bottom w:val="nil"/>
              <w:right w:val="single" w:sz="4" w:space="0" w:color="auto"/>
            </w:tcBorders>
            <w:shd w:val="clear" w:color="auto" w:fill="auto"/>
            <w:noWrap/>
            <w:vAlign w:val="bottom"/>
            <w:hideMark/>
          </w:tcPr>
          <w:p w14:paraId="0D9C4051" w14:textId="3BD2EC18" w:rsidR="00A20859" w:rsidRPr="004E74A6" w:rsidRDefault="00A20859" w:rsidP="00CE62C1">
            <w:pPr>
              <w:spacing w:line="276" w:lineRule="auto"/>
              <w:jc w:val="center"/>
              <w:rPr>
                <w:sz w:val="20"/>
                <w:lang w:eastAsia="es-CR"/>
              </w:rPr>
            </w:pPr>
            <w:r w:rsidRPr="004E74A6">
              <w:rPr>
                <w:rFonts w:cs="Calibri"/>
                <w:color w:val="000000"/>
                <w:sz w:val="20"/>
              </w:rPr>
              <w:t>0</w:t>
            </w:r>
          </w:p>
        </w:tc>
        <w:tc>
          <w:tcPr>
            <w:tcW w:w="448" w:type="pct"/>
            <w:tcBorders>
              <w:top w:val="nil"/>
              <w:left w:val="single" w:sz="4" w:space="0" w:color="auto"/>
              <w:bottom w:val="nil"/>
              <w:right w:val="single" w:sz="4" w:space="0" w:color="auto"/>
            </w:tcBorders>
            <w:shd w:val="clear" w:color="auto" w:fill="auto"/>
            <w:noWrap/>
            <w:vAlign w:val="bottom"/>
            <w:hideMark/>
          </w:tcPr>
          <w:p w14:paraId="3E5C23CA" w14:textId="25B824D2" w:rsidR="00A20859" w:rsidRPr="004E74A6" w:rsidRDefault="00A20859" w:rsidP="00CE62C1">
            <w:pPr>
              <w:spacing w:line="276" w:lineRule="auto"/>
              <w:jc w:val="center"/>
              <w:rPr>
                <w:sz w:val="20"/>
                <w:lang w:eastAsia="es-CR"/>
              </w:rPr>
            </w:pPr>
            <w:r w:rsidRPr="004E74A6">
              <w:rPr>
                <w:rFonts w:cs="Calibri"/>
                <w:color w:val="000000"/>
                <w:sz w:val="20"/>
              </w:rPr>
              <w:t>0</w:t>
            </w:r>
          </w:p>
        </w:tc>
        <w:tc>
          <w:tcPr>
            <w:tcW w:w="448" w:type="pct"/>
            <w:tcBorders>
              <w:top w:val="nil"/>
              <w:left w:val="single" w:sz="4" w:space="0" w:color="auto"/>
              <w:bottom w:val="nil"/>
              <w:right w:val="single" w:sz="4" w:space="0" w:color="auto"/>
            </w:tcBorders>
            <w:shd w:val="clear" w:color="auto" w:fill="auto"/>
            <w:noWrap/>
            <w:vAlign w:val="bottom"/>
            <w:hideMark/>
          </w:tcPr>
          <w:p w14:paraId="6FD5D758" w14:textId="75BFE85D" w:rsidR="00A20859" w:rsidRPr="004E74A6" w:rsidRDefault="00A20859" w:rsidP="00CE62C1">
            <w:pPr>
              <w:spacing w:line="276" w:lineRule="auto"/>
              <w:jc w:val="center"/>
              <w:rPr>
                <w:rFonts w:cs="Calibri"/>
                <w:color w:val="000000"/>
                <w:sz w:val="20"/>
                <w:lang w:eastAsia="es-CR"/>
              </w:rPr>
            </w:pPr>
            <w:r w:rsidRPr="004E74A6">
              <w:rPr>
                <w:rFonts w:cs="Calibri"/>
                <w:color w:val="000000"/>
                <w:sz w:val="20"/>
              </w:rPr>
              <w:t>1</w:t>
            </w:r>
          </w:p>
        </w:tc>
        <w:tc>
          <w:tcPr>
            <w:tcW w:w="595" w:type="pct"/>
            <w:tcBorders>
              <w:top w:val="nil"/>
              <w:left w:val="single" w:sz="4" w:space="0" w:color="auto"/>
              <w:bottom w:val="nil"/>
              <w:right w:val="nil"/>
            </w:tcBorders>
            <w:shd w:val="clear" w:color="auto" w:fill="auto"/>
            <w:noWrap/>
            <w:vAlign w:val="bottom"/>
            <w:hideMark/>
          </w:tcPr>
          <w:p w14:paraId="79B33870" w14:textId="2A207CA0" w:rsidR="00A20859" w:rsidRPr="004E74A6" w:rsidRDefault="00A20859" w:rsidP="00CE62C1">
            <w:pPr>
              <w:spacing w:line="276" w:lineRule="auto"/>
              <w:jc w:val="center"/>
              <w:rPr>
                <w:rFonts w:cs="Calibri"/>
                <w:color w:val="000000"/>
                <w:sz w:val="20"/>
                <w:lang w:eastAsia="es-CR"/>
              </w:rPr>
            </w:pPr>
            <w:r w:rsidRPr="004E74A6">
              <w:rPr>
                <w:rFonts w:cs="Calibri"/>
                <w:color w:val="000000"/>
                <w:sz w:val="20"/>
              </w:rPr>
              <w:t>0,3</w:t>
            </w:r>
          </w:p>
        </w:tc>
      </w:tr>
      <w:tr w:rsidR="00A20859" w:rsidRPr="004E74A6" w14:paraId="794D72CF" w14:textId="77777777" w:rsidTr="00B32800">
        <w:trPr>
          <w:trHeight w:val="288"/>
        </w:trPr>
        <w:tc>
          <w:tcPr>
            <w:tcW w:w="3064" w:type="pct"/>
            <w:tcBorders>
              <w:top w:val="nil"/>
              <w:left w:val="nil"/>
              <w:bottom w:val="nil"/>
              <w:right w:val="single" w:sz="4" w:space="0" w:color="auto"/>
            </w:tcBorders>
            <w:shd w:val="clear" w:color="auto" w:fill="auto"/>
            <w:noWrap/>
            <w:vAlign w:val="bottom"/>
            <w:hideMark/>
          </w:tcPr>
          <w:p w14:paraId="032D85B4" w14:textId="77777777" w:rsidR="00A20859" w:rsidRPr="004E74A6" w:rsidRDefault="00A20859" w:rsidP="00CE62C1">
            <w:pPr>
              <w:spacing w:line="276" w:lineRule="auto"/>
              <w:ind w:firstLineChars="200" w:firstLine="400"/>
              <w:jc w:val="left"/>
              <w:rPr>
                <w:rFonts w:cs="Calibri"/>
                <w:color w:val="000000"/>
                <w:sz w:val="20"/>
                <w:lang w:eastAsia="es-CR"/>
              </w:rPr>
            </w:pPr>
            <w:r w:rsidRPr="004E74A6">
              <w:rPr>
                <w:rFonts w:cs="Calibri"/>
                <w:color w:val="000000"/>
                <w:sz w:val="20"/>
                <w:lang w:eastAsia="es-CR"/>
              </w:rPr>
              <w:t>Embargo Preventivo</w:t>
            </w:r>
          </w:p>
        </w:tc>
        <w:tc>
          <w:tcPr>
            <w:tcW w:w="445" w:type="pct"/>
            <w:tcBorders>
              <w:top w:val="nil"/>
              <w:left w:val="single" w:sz="4" w:space="0" w:color="auto"/>
              <w:bottom w:val="nil"/>
              <w:right w:val="single" w:sz="4" w:space="0" w:color="auto"/>
            </w:tcBorders>
            <w:shd w:val="clear" w:color="auto" w:fill="auto"/>
            <w:noWrap/>
            <w:vAlign w:val="bottom"/>
            <w:hideMark/>
          </w:tcPr>
          <w:p w14:paraId="046F0A9C" w14:textId="00F203EB" w:rsidR="00A20859" w:rsidRPr="004E74A6" w:rsidRDefault="00A20859" w:rsidP="00CE62C1">
            <w:pPr>
              <w:spacing w:line="276" w:lineRule="auto"/>
              <w:jc w:val="center"/>
              <w:rPr>
                <w:rFonts w:cs="Calibri"/>
                <w:color w:val="000000"/>
                <w:sz w:val="20"/>
                <w:lang w:eastAsia="es-CR"/>
              </w:rPr>
            </w:pPr>
            <w:r w:rsidRPr="004E74A6">
              <w:rPr>
                <w:rFonts w:cs="Calibri"/>
                <w:color w:val="000000"/>
                <w:sz w:val="20"/>
              </w:rPr>
              <w:t>1</w:t>
            </w:r>
          </w:p>
        </w:tc>
        <w:tc>
          <w:tcPr>
            <w:tcW w:w="448" w:type="pct"/>
            <w:tcBorders>
              <w:top w:val="nil"/>
              <w:left w:val="single" w:sz="4" w:space="0" w:color="auto"/>
              <w:bottom w:val="nil"/>
              <w:right w:val="single" w:sz="4" w:space="0" w:color="auto"/>
            </w:tcBorders>
            <w:shd w:val="clear" w:color="auto" w:fill="auto"/>
            <w:noWrap/>
            <w:vAlign w:val="bottom"/>
            <w:hideMark/>
          </w:tcPr>
          <w:p w14:paraId="32F6A957" w14:textId="5F8CF089" w:rsidR="00A20859" w:rsidRPr="004E74A6" w:rsidRDefault="00A20859" w:rsidP="00CE62C1">
            <w:pPr>
              <w:spacing w:line="276" w:lineRule="auto"/>
              <w:jc w:val="center"/>
              <w:rPr>
                <w:rFonts w:cs="Calibri"/>
                <w:color w:val="000000"/>
                <w:sz w:val="20"/>
                <w:lang w:eastAsia="es-CR"/>
              </w:rPr>
            </w:pPr>
            <w:r w:rsidRPr="004E74A6">
              <w:rPr>
                <w:rFonts w:cs="Calibri"/>
                <w:color w:val="000000"/>
                <w:sz w:val="20"/>
              </w:rPr>
              <w:t>0</w:t>
            </w:r>
          </w:p>
        </w:tc>
        <w:tc>
          <w:tcPr>
            <w:tcW w:w="448" w:type="pct"/>
            <w:tcBorders>
              <w:top w:val="nil"/>
              <w:left w:val="single" w:sz="4" w:space="0" w:color="auto"/>
              <w:bottom w:val="nil"/>
              <w:right w:val="single" w:sz="4" w:space="0" w:color="auto"/>
            </w:tcBorders>
            <w:shd w:val="clear" w:color="auto" w:fill="auto"/>
            <w:noWrap/>
            <w:vAlign w:val="bottom"/>
            <w:hideMark/>
          </w:tcPr>
          <w:p w14:paraId="3BCB2E96" w14:textId="3CF4B161" w:rsidR="00A20859" w:rsidRPr="004E74A6" w:rsidRDefault="00A20859" w:rsidP="00CE62C1">
            <w:pPr>
              <w:spacing w:line="276" w:lineRule="auto"/>
              <w:jc w:val="center"/>
              <w:rPr>
                <w:sz w:val="20"/>
                <w:lang w:eastAsia="es-CR"/>
              </w:rPr>
            </w:pPr>
            <w:r w:rsidRPr="004E74A6">
              <w:rPr>
                <w:rFonts w:cs="Calibri"/>
                <w:color w:val="000000"/>
                <w:sz w:val="20"/>
              </w:rPr>
              <w:t>0</w:t>
            </w:r>
          </w:p>
        </w:tc>
        <w:tc>
          <w:tcPr>
            <w:tcW w:w="595" w:type="pct"/>
            <w:tcBorders>
              <w:top w:val="nil"/>
              <w:left w:val="single" w:sz="4" w:space="0" w:color="auto"/>
              <w:bottom w:val="nil"/>
              <w:right w:val="nil"/>
            </w:tcBorders>
            <w:shd w:val="clear" w:color="auto" w:fill="auto"/>
            <w:noWrap/>
            <w:vAlign w:val="bottom"/>
            <w:hideMark/>
          </w:tcPr>
          <w:p w14:paraId="7CC6FFBA" w14:textId="17163A37" w:rsidR="00A20859" w:rsidRPr="004E74A6" w:rsidRDefault="00A20859" w:rsidP="00CE62C1">
            <w:pPr>
              <w:spacing w:line="276" w:lineRule="auto"/>
              <w:jc w:val="center"/>
              <w:rPr>
                <w:rFonts w:cs="Calibri"/>
                <w:color w:val="000000"/>
                <w:sz w:val="20"/>
                <w:lang w:eastAsia="es-CR"/>
              </w:rPr>
            </w:pPr>
            <w:r w:rsidRPr="004E74A6">
              <w:rPr>
                <w:rFonts w:cs="Calibri"/>
                <w:color w:val="000000"/>
                <w:sz w:val="20"/>
              </w:rPr>
              <w:t>0,3</w:t>
            </w:r>
          </w:p>
        </w:tc>
      </w:tr>
      <w:tr w:rsidR="00A20859" w:rsidRPr="004E74A6" w14:paraId="433CDD84" w14:textId="77777777" w:rsidTr="00B32800">
        <w:trPr>
          <w:trHeight w:val="288"/>
        </w:trPr>
        <w:tc>
          <w:tcPr>
            <w:tcW w:w="3064" w:type="pct"/>
            <w:tcBorders>
              <w:top w:val="nil"/>
              <w:left w:val="nil"/>
              <w:bottom w:val="nil"/>
              <w:right w:val="single" w:sz="4" w:space="0" w:color="auto"/>
            </w:tcBorders>
            <w:shd w:val="clear" w:color="auto" w:fill="auto"/>
            <w:noWrap/>
            <w:vAlign w:val="bottom"/>
            <w:hideMark/>
          </w:tcPr>
          <w:p w14:paraId="2B3A734D" w14:textId="77777777" w:rsidR="00A20859" w:rsidRPr="004E74A6" w:rsidRDefault="00A20859" w:rsidP="00CE62C1">
            <w:pPr>
              <w:spacing w:line="276" w:lineRule="auto"/>
              <w:ind w:firstLineChars="200" w:firstLine="400"/>
              <w:jc w:val="left"/>
              <w:rPr>
                <w:rFonts w:cs="Calibri"/>
                <w:color w:val="000000"/>
                <w:sz w:val="20"/>
                <w:lang w:eastAsia="es-CR"/>
              </w:rPr>
            </w:pPr>
            <w:r w:rsidRPr="004E74A6">
              <w:rPr>
                <w:rFonts w:cs="Calibri"/>
                <w:color w:val="000000"/>
                <w:sz w:val="20"/>
                <w:lang w:eastAsia="es-CR"/>
              </w:rPr>
              <w:t>Interdicto</w:t>
            </w:r>
          </w:p>
        </w:tc>
        <w:tc>
          <w:tcPr>
            <w:tcW w:w="445" w:type="pct"/>
            <w:tcBorders>
              <w:top w:val="nil"/>
              <w:left w:val="single" w:sz="4" w:space="0" w:color="auto"/>
              <w:bottom w:val="nil"/>
              <w:right w:val="single" w:sz="4" w:space="0" w:color="auto"/>
            </w:tcBorders>
            <w:shd w:val="clear" w:color="auto" w:fill="auto"/>
            <w:noWrap/>
            <w:vAlign w:val="bottom"/>
            <w:hideMark/>
          </w:tcPr>
          <w:p w14:paraId="7C660D70" w14:textId="5F159688" w:rsidR="00A20859" w:rsidRPr="004E74A6" w:rsidRDefault="00A20859" w:rsidP="00CE62C1">
            <w:pPr>
              <w:spacing w:line="276" w:lineRule="auto"/>
              <w:jc w:val="center"/>
              <w:rPr>
                <w:rFonts w:cs="Calibri"/>
                <w:color w:val="000000"/>
                <w:sz w:val="20"/>
                <w:lang w:eastAsia="es-CR"/>
              </w:rPr>
            </w:pPr>
            <w:r w:rsidRPr="004E74A6">
              <w:rPr>
                <w:rFonts w:cs="Calibri"/>
                <w:color w:val="000000"/>
                <w:sz w:val="20"/>
              </w:rPr>
              <w:t>1</w:t>
            </w:r>
          </w:p>
        </w:tc>
        <w:tc>
          <w:tcPr>
            <w:tcW w:w="448" w:type="pct"/>
            <w:tcBorders>
              <w:top w:val="nil"/>
              <w:left w:val="single" w:sz="4" w:space="0" w:color="auto"/>
              <w:bottom w:val="nil"/>
              <w:right w:val="single" w:sz="4" w:space="0" w:color="auto"/>
            </w:tcBorders>
            <w:shd w:val="clear" w:color="auto" w:fill="auto"/>
            <w:noWrap/>
            <w:vAlign w:val="bottom"/>
            <w:hideMark/>
          </w:tcPr>
          <w:p w14:paraId="721E71ED" w14:textId="5A3CDA36" w:rsidR="00A20859" w:rsidRPr="004E74A6" w:rsidRDefault="00A20859" w:rsidP="00CE62C1">
            <w:pPr>
              <w:spacing w:line="276" w:lineRule="auto"/>
              <w:jc w:val="center"/>
              <w:rPr>
                <w:rFonts w:cs="Calibri"/>
                <w:color w:val="000000"/>
                <w:sz w:val="20"/>
                <w:lang w:eastAsia="es-CR"/>
              </w:rPr>
            </w:pPr>
            <w:r w:rsidRPr="004E74A6">
              <w:rPr>
                <w:rFonts w:cs="Calibri"/>
                <w:color w:val="000000"/>
                <w:sz w:val="20"/>
              </w:rPr>
              <w:t>0</w:t>
            </w:r>
          </w:p>
        </w:tc>
        <w:tc>
          <w:tcPr>
            <w:tcW w:w="448" w:type="pct"/>
            <w:tcBorders>
              <w:top w:val="nil"/>
              <w:left w:val="single" w:sz="4" w:space="0" w:color="auto"/>
              <w:bottom w:val="nil"/>
              <w:right w:val="single" w:sz="4" w:space="0" w:color="auto"/>
            </w:tcBorders>
            <w:shd w:val="clear" w:color="auto" w:fill="auto"/>
            <w:noWrap/>
            <w:vAlign w:val="bottom"/>
            <w:hideMark/>
          </w:tcPr>
          <w:p w14:paraId="15059533" w14:textId="6B8C3EA7" w:rsidR="00A20859" w:rsidRPr="004E74A6" w:rsidRDefault="00A20859" w:rsidP="00CE62C1">
            <w:pPr>
              <w:spacing w:line="276" w:lineRule="auto"/>
              <w:jc w:val="center"/>
              <w:rPr>
                <w:sz w:val="20"/>
                <w:lang w:eastAsia="es-CR"/>
              </w:rPr>
            </w:pPr>
            <w:r w:rsidRPr="004E74A6">
              <w:rPr>
                <w:rFonts w:cs="Calibri"/>
                <w:color w:val="000000"/>
                <w:sz w:val="20"/>
              </w:rPr>
              <w:t>0</w:t>
            </w:r>
          </w:p>
        </w:tc>
        <w:tc>
          <w:tcPr>
            <w:tcW w:w="595" w:type="pct"/>
            <w:tcBorders>
              <w:top w:val="nil"/>
              <w:left w:val="single" w:sz="4" w:space="0" w:color="auto"/>
              <w:bottom w:val="nil"/>
              <w:right w:val="nil"/>
            </w:tcBorders>
            <w:shd w:val="clear" w:color="auto" w:fill="auto"/>
            <w:noWrap/>
            <w:vAlign w:val="bottom"/>
            <w:hideMark/>
          </w:tcPr>
          <w:p w14:paraId="123981FF" w14:textId="582CEB1F" w:rsidR="00A20859" w:rsidRPr="004E74A6" w:rsidRDefault="00A20859" w:rsidP="00CE62C1">
            <w:pPr>
              <w:spacing w:line="276" w:lineRule="auto"/>
              <w:jc w:val="center"/>
              <w:rPr>
                <w:rFonts w:cs="Calibri"/>
                <w:color w:val="000000"/>
                <w:sz w:val="20"/>
                <w:lang w:eastAsia="es-CR"/>
              </w:rPr>
            </w:pPr>
            <w:r w:rsidRPr="004E74A6">
              <w:rPr>
                <w:rFonts w:cs="Calibri"/>
                <w:color w:val="000000"/>
                <w:sz w:val="20"/>
              </w:rPr>
              <w:t>0,3</w:t>
            </w:r>
          </w:p>
        </w:tc>
      </w:tr>
      <w:tr w:rsidR="00A20859" w:rsidRPr="004E74A6" w14:paraId="5C20C205" w14:textId="77777777" w:rsidTr="00B32800">
        <w:trPr>
          <w:trHeight w:val="288"/>
        </w:trPr>
        <w:tc>
          <w:tcPr>
            <w:tcW w:w="3064" w:type="pct"/>
            <w:tcBorders>
              <w:top w:val="nil"/>
              <w:left w:val="nil"/>
              <w:bottom w:val="nil"/>
              <w:right w:val="single" w:sz="4" w:space="0" w:color="auto"/>
            </w:tcBorders>
            <w:shd w:val="clear" w:color="auto" w:fill="C5E0B3" w:themeFill="accent6" w:themeFillTint="66"/>
            <w:noWrap/>
            <w:vAlign w:val="bottom"/>
            <w:hideMark/>
          </w:tcPr>
          <w:p w14:paraId="110AEE8B" w14:textId="77777777" w:rsidR="00A20859" w:rsidRPr="004E74A6" w:rsidRDefault="00A20859" w:rsidP="00CE62C1">
            <w:pPr>
              <w:spacing w:line="276" w:lineRule="auto"/>
              <w:ind w:firstLineChars="200" w:firstLine="400"/>
              <w:jc w:val="left"/>
              <w:rPr>
                <w:rFonts w:cs="Calibri"/>
                <w:color w:val="000000"/>
                <w:sz w:val="20"/>
                <w:lang w:eastAsia="es-CR"/>
              </w:rPr>
            </w:pPr>
            <w:r w:rsidRPr="004E74A6">
              <w:rPr>
                <w:rFonts w:cs="Calibri"/>
                <w:color w:val="000000"/>
                <w:sz w:val="20"/>
                <w:lang w:eastAsia="es-CR"/>
              </w:rPr>
              <w:t>Ordinario</w:t>
            </w:r>
          </w:p>
        </w:tc>
        <w:tc>
          <w:tcPr>
            <w:tcW w:w="445" w:type="pct"/>
            <w:tcBorders>
              <w:top w:val="nil"/>
              <w:left w:val="single" w:sz="4" w:space="0" w:color="auto"/>
              <w:bottom w:val="nil"/>
              <w:right w:val="single" w:sz="4" w:space="0" w:color="auto"/>
            </w:tcBorders>
            <w:shd w:val="clear" w:color="auto" w:fill="C5E0B3" w:themeFill="accent6" w:themeFillTint="66"/>
            <w:noWrap/>
            <w:vAlign w:val="bottom"/>
            <w:hideMark/>
          </w:tcPr>
          <w:p w14:paraId="6B6DF8F3" w14:textId="457C00ED" w:rsidR="00A20859" w:rsidRPr="004E74A6" w:rsidRDefault="00A20859" w:rsidP="00CE62C1">
            <w:pPr>
              <w:spacing w:line="276" w:lineRule="auto"/>
              <w:jc w:val="center"/>
              <w:rPr>
                <w:rFonts w:cs="Calibri"/>
                <w:color w:val="000000"/>
                <w:sz w:val="20"/>
                <w:lang w:eastAsia="es-CR"/>
              </w:rPr>
            </w:pPr>
            <w:r w:rsidRPr="004E74A6">
              <w:rPr>
                <w:rFonts w:cs="Calibri"/>
                <w:color w:val="000000"/>
                <w:sz w:val="20"/>
              </w:rPr>
              <w:t>178</w:t>
            </w:r>
          </w:p>
        </w:tc>
        <w:tc>
          <w:tcPr>
            <w:tcW w:w="448" w:type="pct"/>
            <w:tcBorders>
              <w:top w:val="nil"/>
              <w:left w:val="single" w:sz="4" w:space="0" w:color="auto"/>
              <w:bottom w:val="nil"/>
              <w:right w:val="single" w:sz="4" w:space="0" w:color="auto"/>
            </w:tcBorders>
            <w:shd w:val="clear" w:color="auto" w:fill="C5E0B3" w:themeFill="accent6" w:themeFillTint="66"/>
            <w:noWrap/>
            <w:vAlign w:val="bottom"/>
            <w:hideMark/>
          </w:tcPr>
          <w:p w14:paraId="74F473CA" w14:textId="41742E50" w:rsidR="00A20859" w:rsidRPr="004E74A6" w:rsidRDefault="00A20859" w:rsidP="00CE62C1">
            <w:pPr>
              <w:spacing w:line="276" w:lineRule="auto"/>
              <w:jc w:val="center"/>
              <w:rPr>
                <w:rFonts w:cs="Calibri"/>
                <w:color w:val="000000"/>
                <w:sz w:val="20"/>
                <w:lang w:eastAsia="es-CR"/>
              </w:rPr>
            </w:pPr>
            <w:r w:rsidRPr="004E74A6">
              <w:rPr>
                <w:rFonts w:cs="Calibri"/>
                <w:color w:val="000000"/>
                <w:sz w:val="20"/>
              </w:rPr>
              <w:t>154</w:t>
            </w:r>
          </w:p>
        </w:tc>
        <w:tc>
          <w:tcPr>
            <w:tcW w:w="448" w:type="pct"/>
            <w:tcBorders>
              <w:top w:val="nil"/>
              <w:left w:val="single" w:sz="4" w:space="0" w:color="auto"/>
              <w:bottom w:val="nil"/>
              <w:right w:val="single" w:sz="4" w:space="0" w:color="auto"/>
            </w:tcBorders>
            <w:shd w:val="clear" w:color="auto" w:fill="C5E0B3" w:themeFill="accent6" w:themeFillTint="66"/>
            <w:noWrap/>
            <w:vAlign w:val="bottom"/>
            <w:hideMark/>
          </w:tcPr>
          <w:p w14:paraId="610B13C7" w14:textId="1CF9A4AE" w:rsidR="00A20859" w:rsidRPr="004E74A6" w:rsidRDefault="00A20859" w:rsidP="00CE62C1">
            <w:pPr>
              <w:spacing w:line="276" w:lineRule="auto"/>
              <w:jc w:val="center"/>
              <w:rPr>
                <w:rFonts w:cs="Calibri"/>
                <w:color w:val="000000"/>
                <w:sz w:val="20"/>
                <w:lang w:eastAsia="es-CR"/>
              </w:rPr>
            </w:pPr>
            <w:r w:rsidRPr="004E74A6">
              <w:rPr>
                <w:rFonts w:cs="Calibri"/>
                <w:color w:val="000000"/>
                <w:sz w:val="20"/>
              </w:rPr>
              <w:t>175</w:t>
            </w:r>
          </w:p>
        </w:tc>
        <w:tc>
          <w:tcPr>
            <w:tcW w:w="595" w:type="pct"/>
            <w:tcBorders>
              <w:top w:val="nil"/>
              <w:left w:val="single" w:sz="4" w:space="0" w:color="auto"/>
              <w:bottom w:val="nil"/>
              <w:right w:val="nil"/>
            </w:tcBorders>
            <w:shd w:val="clear" w:color="auto" w:fill="C5E0B3" w:themeFill="accent6" w:themeFillTint="66"/>
            <w:noWrap/>
            <w:vAlign w:val="bottom"/>
            <w:hideMark/>
          </w:tcPr>
          <w:p w14:paraId="01029BD4" w14:textId="2879ACC7" w:rsidR="00A20859" w:rsidRPr="004E74A6" w:rsidRDefault="00A20859" w:rsidP="00CE62C1">
            <w:pPr>
              <w:spacing w:line="276" w:lineRule="auto"/>
              <w:jc w:val="center"/>
              <w:rPr>
                <w:rFonts w:cs="Calibri"/>
                <w:color w:val="000000"/>
                <w:sz w:val="20"/>
                <w:lang w:eastAsia="es-CR"/>
              </w:rPr>
            </w:pPr>
            <w:r w:rsidRPr="004E74A6">
              <w:rPr>
                <w:rFonts w:cs="Calibri"/>
                <w:color w:val="000000"/>
                <w:sz w:val="20"/>
              </w:rPr>
              <w:t>169</w:t>
            </w:r>
          </w:p>
        </w:tc>
      </w:tr>
      <w:tr w:rsidR="00A20859" w:rsidRPr="004E74A6" w14:paraId="0489A488" w14:textId="77777777" w:rsidTr="00B32800">
        <w:trPr>
          <w:trHeight w:val="288"/>
        </w:trPr>
        <w:tc>
          <w:tcPr>
            <w:tcW w:w="3064" w:type="pct"/>
            <w:tcBorders>
              <w:top w:val="nil"/>
              <w:left w:val="nil"/>
              <w:bottom w:val="nil"/>
              <w:right w:val="single" w:sz="4" w:space="0" w:color="auto"/>
            </w:tcBorders>
            <w:shd w:val="clear" w:color="auto" w:fill="auto"/>
            <w:noWrap/>
            <w:vAlign w:val="bottom"/>
            <w:hideMark/>
          </w:tcPr>
          <w:p w14:paraId="5776F169" w14:textId="77777777" w:rsidR="00A20859" w:rsidRPr="004E74A6" w:rsidRDefault="00A20859" w:rsidP="00CE62C1">
            <w:pPr>
              <w:spacing w:line="276" w:lineRule="auto"/>
              <w:ind w:firstLineChars="200" w:firstLine="400"/>
              <w:jc w:val="left"/>
              <w:rPr>
                <w:rFonts w:cs="Calibri"/>
                <w:color w:val="000000"/>
                <w:sz w:val="20"/>
                <w:lang w:eastAsia="es-CR"/>
              </w:rPr>
            </w:pPr>
            <w:r w:rsidRPr="004E74A6">
              <w:rPr>
                <w:rFonts w:cs="Calibri"/>
                <w:color w:val="000000"/>
                <w:sz w:val="20"/>
                <w:lang w:eastAsia="es-CR"/>
              </w:rPr>
              <w:t>Sucesorio</w:t>
            </w:r>
          </w:p>
        </w:tc>
        <w:tc>
          <w:tcPr>
            <w:tcW w:w="445" w:type="pct"/>
            <w:tcBorders>
              <w:top w:val="nil"/>
              <w:left w:val="single" w:sz="4" w:space="0" w:color="auto"/>
              <w:bottom w:val="nil"/>
              <w:right w:val="single" w:sz="4" w:space="0" w:color="auto"/>
            </w:tcBorders>
            <w:shd w:val="clear" w:color="auto" w:fill="auto"/>
            <w:noWrap/>
            <w:vAlign w:val="bottom"/>
            <w:hideMark/>
          </w:tcPr>
          <w:p w14:paraId="09181DF8" w14:textId="3B685703" w:rsidR="00A20859" w:rsidRPr="004E74A6" w:rsidRDefault="00A20859" w:rsidP="00CE62C1">
            <w:pPr>
              <w:spacing w:line="276" w:lineRule="auto"/>
              <w:jc w:val="center"/>
              <w:rPr>
                <w:rFonts w:cs="Calibri"/>
                <w:color w:val="000000"/>
                <w:sz w:val="20"/>
                <w:lang w:eastAsia="es-CR"/>
              </w:rPr>
            </w:pPr>
            <w:r w:rsidRPr="004E74A6">
              <w:rPr>
                <w:rFonts w:cs="Calibri"/>
                <w:color w:val="000000"/>
                <w:sz w:val="20"/>
              </w:rPr>
              <w:t>2</w:t>
            </w:r>
          </w:p>
        </w:tc>
        <w:tc>
          <w:tcPr>
            <w:tcW w:w="448" w:type="pct"/>
            <w:tcBorders>
              <w:top w:val="nil"/>
              <w:left w:val="single" w:sz="4" w:space="0" w:color="auto"/>
              <w:bottom w:val="nil"/>
              <w:right w:val="single" w:sz="4" w:space="0" w:color="auto"/>
            </w:tcBorders>
            <w:shd w:val="clear" w:color="auto" w:fill="auto"/>
            <w:noWrap/>
            <w:vAlign w:val="bottom"/>
            <w:hideMark/>
          </w:tcPr>
          <w:p w14:paraId="7D4257E1" w14:textId="2CDEDCD7" w:rsidR="00A20859" w:rsidRPr="004E74A6" w:rsidRDefault="00A20859" w:rsidP="00CE62C1">
            <w:pPr>
              <w:spacing w:line="276" w:lineRule="auto"/>
              <w:jc w:val="center"/>
              <w:rPr>
                <w:rFonts w:cs="Calibri"/>
                <w:color w:val="000000"/>
                <w:sz w:val="20"/>
                <w:lang w:eastAsia="es-CR"/>
              </w:rPr>
            </w:pPr>
            <w:r w:rsidRPr="004E74A6">
              <w:rPr>
                <w:rFonts w:cs="Calibri"/>
                <w:color w:val="000000"/>
                <w:sz w:val="20"/>
              </w:rPr>
              <w:t>0</w:t>
            </w:r>
          </w:p>
        </w:tc>
        <w:tc>
          <w:tcPr>
            <w:tcW w:w="448" w:type="pct"/>
            <w:tcBorders>
              <w:top w:val="nil"/>
              <w:left w:val="single" w:sz="4" w:space="0" w:color="auto"/>
              <w:bottom w:val="nil"/>
              <w:right w:val="single" w:sz="4" w:space="0" w:color="auto"/>
            </w:tcBorders>
            <w:shd w:val="clear" w:color="auto" w:fill="auto"/>
            <w:noWrap/>
            <w:vAlign w:val="bottom"/>
            <w:hideMark/>
          </w:tcPr>
          <w:p w14:paraId="75325A0E" w14:textId="7CCAFA45" w:rsidR="00A20859" w:rsidRPr="004E74A6" w:rsidRDefault="00A20859" w:rsidP="00CE62C1">
            <w:pPr>
              <w:spacing w:line="276" w:lineRule="auto"/>
              <w:jc w:val="center"/>
              <w:rPr>
                <w:sz w:val="20"/>
                <w:lang w:eastAsia="es-CR"/>
              </w:rPr>
            </w:pPr>
            <w:r w:rsidRPr="004E74A6">
              <w:rPr>
                <w:rFonts w:cs="Calibri"/>
                <w:color w:val="000000"/>
                <w:sz w:val="20"/>
              </w:rPr>
              <w:t>0</w:t>
            </w:r>
          </w:p>
        </w:tc>
        <w:tc>
          <w:tcPr>
            <w:tcW w:w="595" w:type="pct"/>
            <w:tcBorders>
              <w:top w:val="nil"/>
              <w:left w:val="single" w:sz="4" w:space="0" w:color="auto"/>
              <w:bottom w:val="nil"/>
              <w:right w:val="nil"/>
            </w:tcBorders>
            <w:shd w:val="clear" w:color="auto" w:fill="auto"/>
            <w:noWrap/>
            <w:vAlign w:val="bottom"/>
            <w:hideMark/>
          </w:tcPr>
          <w:p w14:paraId="27B5CD17" w14:textId="44C55550" w:rsidR="00A20859" w:rsidRPr="004E74A6" w:rsidRDefault="00A20859" w:rsidP="00CE62C1">
            <w:pPr>
              <w:spacing w:line="276" w:lineRule="auto"/>
              <w:jc w:val="center"/>
              <w:rPr>
                <w:rFonts w:cs="Calibri"/>
                <w:color w:val="000000"/>
                <w:sz w:val="20"/>
                <w:lang w:eastAsia="es-CR"/>
              </w:rPr>
            </w:pPr>
            <w:r w:rsidRPr="004E74A6">
              <w:rPr>
                <w:rFonts w:cs="Calibri"/>
                <w:color w:val="000000"/>
                <w:sz w:val="20"/>
              </w:rPr>
              <w:t>0,7</w:t>
            </w:r>
          </w:p>
        </w:tc>
      </w:tr>
      <w:tr w:rsidR="00A20859" w:rsidRPr="004E74A6" w14:paraId="3922A6C9" w14:textId="77777777" w:rsidTr="00B32800">
        <w:trPr>
          <w:trHeight w:val="288"/>
        </w:trPr>
        <w:tc>
          <w:tcPr>
            <w:tcW w:w="3064" w:type="pct"/>
            <w:tcBorders>
              <w:top w:val="nil"/>
              <w:left w:val="nil"/>
              <w:bottom w:val="nil"/>
              <w:right w:val="single" w:sz="4" w:space="0" w:color="auto"/>
            </w:tcBorders>
            <w:shd w:val="clear" w:color="auto" w:fill="auto"/>
            <w:noWrap/>
            <w:vAlign w:val="bottom"/>
            <w:hideMark/>
          </w:tcPr>
          <w:p w14:paraId="2F799939" w14:textId="77777777" w:rsidR="00A20859" w:rsidRPr="004E74A6" w:rsidRDefault="00A20859" w:rsidP="00CE62C1">
            <w:pPr>
              <w:spacing w:line="276" w:lineRule="auto"/>
              <w:ind w:firstLineChars="200" w:firstLine="400"/>
              <w:jc w:val="left"/>
              <w:rPr>
                <w:rFonts w:cs="Calibri"/>
                <w:color w:val="000000"/>
                <w:sz w:val="20"/>
                <w:lang w:eastAsia="es-CR"/>
              </w:rPr>
            </w:pPr>
            <w:r w:rsidRPr="004E74A6">
              <w:rPr>
                <w:rFonts w:cs="Calibri"/>
                <w:color w:val="000000"/>
                <w:sz w:val="20"/>
                <w:lang w:eastAsia="es-CR"/>
              </w:rPr>
              <w:t>Sumario De Cobro De Obligación Dineraria No Monitoria</w:t>
            </w:r>
          </w:p>
        </w:tc>
        <w:tc>
          <w:tcPr>
            <w:tcW w:w="445" w:type="pct"/>
            <w:tcBorders>
              <w:top w:val="nil"/>
              <w:left w:val="single" w:sz="4" w:space="0" w:color="auto"/>
              <w:bottom w:val="nil"/>
              <w:right w:val="single" w:sz="4" w:space="0" w:color="auto"/>
            </w:tcBorders>
            <w:shd w:val="clear" w:color="auto" w:fill="auto"/>
            <w:noWrap/>
            <w:vAlign w:val="bottom"/>
            <w:hideMark/>
          </w:tcPr>
          <w:p w14:paraId="66F7F2CD" w14:textId="3EF73014" w:rsidR="00A20859" w:rsidRPr="004E74A6" w:rsidRDefault="00A20859" w:rsidP="00CE62C1">
            <w:pPr>
              <w:spacing w:line="276" w:lineRule="auto"/>
              <w:jc w:val="center"/>
              <w:rPr>
                <w:rFonts w:cs="Calibri"/>
                <w:color w:val="000000"/>
                <w:sz w:val="20"/>
                <w:lang w:eastAsia="es-CR"/>
              </w:rPr>
            </w:pPr>
            <w:r w:rsidRPr="004E74A6">
              <w:rPr>
                <w:rFonts w:cs="Calibri"/>
                <w:color w:val="000000"/>
                <w:sz w:val="20"/>
              </w:rPr>
              <w:t>1</w:t>
            </w:r>
          </w:p>
        </w:tc>
        <w:tc>
          <w:tcPr>
            <w:tcW w:w="448" w:type="pct"/>
            <w:tcBorders>
              <w:top w:val="nil"/>
              <w:left w:val="single" w:sz="4" w:space="0" w:color="auto"/>
              <w:bottom w:val="nil"/>
              <w:right w:val="single" w:sz="4" w:space="0" w:color="auto"/>
            </w:tcBorders>
            <w:shd w:val="clear" w:color="auto" w:fill="auto"/>
            <w:noWrap/>
            <w:vAlign w:val="bottom"/>
            <w:hideMark/>
          </w:tcPr>
          <w:p w14:paraId="512A8D2B" w14:textId="2BFC47D5" w:rsidR="00A20859" w:rsidRPr="004E74A6" w:rsidRDefault="00A20859" w:rsidP="00CE62C1">
            <w:pPr>
              <w:spacing w:line="276" w:lineRule="auto"/>
              <w:jc w:val="center"/>
              <w:rPr>
                <w:rFonts w:cs="Calibri"/>
                <w:color w:val="000000"/>
                <w:sz w:val="20"/>
                <w:lang w:eastAsia="es-CR"/>
              </w:rPr>
            </w:pPr>
            <w:r w:rsidRPr="004E74A6">
              <w:rPr>
                <w:rFonts w:cs="Calibri"/>
                <w:color w:val="000000"/>
                <w:sz w:val="20"/>
              </w:rPr>
              <w:t>0</w:t>
            </w:r>
          </w:p>
        </w:tc>
        <w:tc>
          <w:tcPr>
            <w:tcW w:w="448" w:type="pct"/>
            <w:tcBorders>
              <w:top w:val="nil"/>
              <w:left w:val="single" w:sz="4" w:space="0" w:color="auto"/>
              <w:bottom w:val="nil"/>
              <w:right w:val="single" w:sz="4" w:space="0" w:color="auto"/>
            </w:tcBorders>
            <w:shd w:val="clear" w:color="auto" w:fill="auto"/>
            <w:noWrap/>
            <w:vAlign w:val="bottom"/>
            <w:hideMark/>
          </w:tcPr>
          <w:p w14:paraId="68769DA2" w14:textId="085C84AF" w:rsidR="00A20859" w:rsidRPr="004E74A6" w:rsidRDefault="00A20859" w:rsidP="00CE62C1">
            <w:pPr>
              <w:spacing w:line="276" w:lineRule="auto"/>
              <w:jc w:val="center"/>
              <w:rPr>
                <w:sz w:val="20"/>
                <w:lang w:eastAsia="es-CR"/>
              </w:rPr>
            </w:pPr>
            <w:r w:rsidRPr="004E74A6">
              <w:rPr>
                <w:rFonts w:cs="Calibri"/>
                <w:color w:val="000000"/>
                <w:sz w:val="20"/>
              </w:rPr>
              <w:t>0</w:t>
            </w:r>
          </w:p>
        </w:tc>
        <w:tc>
          <w:tcPr>
            <w:tcW w:w="595" w:type="pct"/>
            <w:tcBorders>
              <w:top w:val="nil"/>
              <w:left w:val="single" w:sz="4" w:space="0" w:color="auto"/>
              <w:bottom w:val="nil"/>
              <w:right w:val="nil"/>
            </w:tcBorders>
            <w:shd w:val="clear" w:color="auto" w:fill="auto"/>
            <w:noWrap/>
            <w:vAlign w:val="bottom"/>
            <w:hideMark/>
          </w:tcPr>
          <w:p w14:paraId="298A4916" w14:textId="18676DAF" w:rsidR="00A20859" w:rsidRPr="004E74A6" w:rsidRDefault="00A20859" w:rsidP="00CE62C1">
            <w:pPr>
              <w:spacing w:line="276" w:lineRule="auto"/>
              <w:jc w:val="center"/>
              <w:rPr>
                <w:rFonts w:cs="Calibri"/>
                <w:color w:val="000000"/>
                <w:sz w:val="20"/>
                <w:lang w:eastAsia="es-CR"/>
              </w:rPr>
            </w:pPr>
            <w:r w:rsidRPr="004E74A6">
              <w:rPr>
                <w:rFonts w:cs="Calibri"/>
                <w:color w:val="000000"/>
                <w:sz w:val="20"/>
              </w:rPr>
              <w:t>0,3</w:t>
            </w:r>
          </w:p>
        </w:tc>
      </w:tr>
      <w:tr w:rsidR="00A20859" w:rsidRPr="004E74A6" w14:paraId="1083BCED" w14:textId="77777777" w:rsidTr="00B32800">
        <w:trPr>
          <w:trHeight w:val="288"/>
        </w:trPr>
        <w:tc>
          <w:tcPr>
            <w:tcW w:w="3064" w:type="pct"/>
            <w:tcBorders>
              <w:top w:val="nil"/>
              <w:left w:val="nil"/>
              <w:right w:val="single" w:sz="4" w:space="0" w:color="auto"/>
            </w:tcBorders>
            <w:shd w:val="clear" w:color="auto" w:fill="auto"/>
            <w:noWrap/>
            <w:vAlign w:val="bottom"/>
            <w:hideMark/>
          </w:tcPr>
          <w:p w14:paraId="0165460A" w14:textId="77777777" w:rsidR="00A20859" w:rsidRPr="004E74A6" w:rsidRDefault="00A20859" w:rsidP="00CE62C1">
            <w:pPr>
              <w:spacing w:line="276" w:lineRule="auto"/>
              <w:ind w:firstLineChars="200" w:firstLine="400"/>
              <w:jc w:val="left"/>
              <w:rPr>
                <w:rFonts w:cs="Calibri"/>
                <w:color w:val="000000"/>
                <w:sz w:val="20"/>
                <w:lang w:eastAsia="es-CR"/>
              </w:rPr>
            </w:pPr>
            <w:r w:rsidRPr="004E74A6">
              <w:rPr>
                <w:rFonts w:cs="Calibri"/>
                <w:color w:val="000000"/>
                <w:sz w:val="20"/>
                <w:lang w:eastAsia="es-CR"/>
              </w:rPr>
              <w:t>Sumarios Especiales</w:t>
            </w:r>
          </w:p>
        </w:tc>
        <w:tc>
          <w:tcPr>
            <w:tcW w:w="445" w:type="pct"/>
            <w:tcBorders>
              <w:top w:val="nil"/>
              <w:left w:val="single" w:sz="4" w:space="0" w:color="auto"/>
              <w:right w:val="single" w:sz="4" w:space="0" w:color="auto"/>
            </w:tcBorders>
            <w:shd w:val="clear" w:color="auto" w:fill="auto"/>
            <w:noWrap/>
            <w:vAlign w:val="bottom"/>
            <w:hideMark/>
          </w:tcPr>
          <w:p w14:paraId="253C9905" w14:textId="182B0598" w:rsidR="00A20859" w:rsidRPr="004E74A6" w:rsidRDefault="00A20859" w:rsidP="00CE62C1">
            <w:pPr>
              <w:spacing w:line="276" w:lineRule="auto"/>
              <w:jc w:val="center"/>
              <w:rPr>
                <w:rFonts w:cs="Calibri"/>
                <w:color w:val="000000"/>
                <w:sz w:val="20"/>
                <w:lang w:eastAsia="es-CR"/>
              </w:rPr>
            </w:pPr>
            <w:r w:rsidRPr="004E74A6">
              <w:rPr>
                <w:rFonts w:cs="Calibri"/>
                <w:color w:val="000000"/>
                <w:sz w:val="20"/>
              </w:rPr>
              <w:t>1</w:t>
            </w:r>
          </w:p>
        </w:tc>
        <w:tc>
          <w:tcPr>
            <w:tcW w:w="448" w:type="pct"/>
            <w:tcBorders>
              <w:top w:val="nil"/>
              <w:left w:val="single" w:sz="4" w:space="0" w:color="auto"/>
              <w:right w:val="single" w:sz="4" w:space="0" w:color="auto"/>
            </w:tcBorders>
            <w:shd w:val="clear" w:color="auto" w:fill="auto"/>
            <w:noWrap/>
            <w:vAlign w:val="bottom"/>
            <w:hideMark/>
          </w:tcPr>
          <w:p w14:paraId="20C70ED0" w14:textId="45825942" w:rsidR="00A20859" w:rsidRPr="004E74A6" w:rsidRDefault="00A20859" w:rsidP="00CE62C1">
            <w:pPr>
              <w:spacing w:line="276" w:lineRule="auto"/>
              <w:jc w:val="center"/>
              <w:rPr>
                <w:rFonts w:cs="Calibri"/>
                <w:color w:val="000000"/>
                <w:sz w:val="20"/>
                <w:lang w:eastAsia="es-CR"/>
              </w:rPr>
            </w:pPr>
            <w:r w:rsidRPr="004E74A6">
              <w:rPr>
                <w:rFonts w:cs="Calibri"/>
                <w:color w:val="000000"/>
                <w:sz w:val="20"/>
              </w:rPr>
              <w:t>0</w:t>
            </w:r>
          </w:p>
        </w:tc>
        <w:tc>
          <w:tcPr>
            <w:tcW w:w="448" w:type="pct"/>
            <w:tcBorders>
              <w:top w:val="nil"/>
              <w:left w:val="single" w:sz="4" w:space="0" w:color="auto"/>
              <w:right w:val="single" w:sz="4" w:space="0" w:color="auto"/>
            </w:tcBorders>
            <w:shd w:val="clear" w:color="auto" w:fill="auto"/>
            <w:noWrap/>
            <w:vAlign w:val="bottom"/>
            <w:hideMark/>
          </w:tcPr>
          <w:p w14:paraId="0F90172C" w14:textId="069B43D8" w:rsidR="00A20859" w:rsidRPr="004E74A6" w:rsidRDefault="00A20859" w:rsidP="00CE62C1">
            <w:pPr>
              <w:spacing w:line="276" w:lineRule="auto"/>
              <w:jc w:val="center"/>
              <w:rPr>
                <w:rFonts w:cs="Calibri"/>
                <w:color w:val="000000"/>
                <w:sz w:val="20"/>
                <w:lang w:eastAsia="es-CR"/>
              </w:rPr>
            </w:pPr>
            <w:r w:rsidRPr="004E74A6">
              <w:rPr>
                <w:rFonts w:cs="Calibri"/>
                <w:color w:val="000000"/>
                <w:sz w:val="20"/>
              </w:rPr>
              <w:t>1</w:t>
            </w:r>
          </w:p>
        </w:tc>
        <w:tc>
          <w:tcPr>
            <w:tcW w:w="595" w:type="pct"/>
            <w:tcBorders>
              <w:top w:val="nil"/>
              <w:left w:val="single" w:sz="4" w:space="0" w:color="auto"/>
              <w:right w:val="nil"/>
            </w:tcBorders>
            <w:shd w:val="clear" w:color="auto" w:fill="auto"/>
            <w:noWrap/>
            <w:vAlign w:val="bottom"/>
            <w:hideMark/>
          </w:tcPr>
          <w:p w14:paraId="25D5A766" w14:textId="7B20FECE" w:rsidR="00A20859" w:rsidRPr="004E74A6" w:rsidRDefault="00A20859" w:rsidP="00CE62C1">
            <w:pPr>
              <w:spacing w:line="276" w:lineRule="auto"/>
              <w:jc w:val="center"/>
              <w:rPr>
                <w:rFonts w:cs="Calibri"/>
                <w:color w:val="000000"/>
                <w:sz w:val="20"/>
                <w:lang w:eastAsia="es-CR"/>
              </w:rPr>
            </w:pPr>
            <w:r w:rsidRPr="004E74A6">
              <w:rPr>
                <w:rFonts w:cs="Calibri"/>
                <w:color w:val="000000"/>
                <w:sz w:val="20"/>
              </w:rPr>
              <w:t>0,7</w:t>
            </w:r>
          </w:p>
        </w:tc>
      </w:tr>
      <w:tr w:rsidR="000B48AF" w:rsidRPr="004E74A6" w14:paraId="6E1AA0B5" w14:textId="77777777" w:rsidTr="00A20859">
        <w:trPr>
          <w:trHeight w:val="288"/>
        </w:trPr>
        <w:tc>
          <w:tcPr>
            <w:tcW w:w="3064" w:type="pct"/>
            <w:tcBorders>
              <w:top w:val="nil"/>
              <w:left w:val="nil"/>
              <w:bottom w:val="single" w:sz="4" w:space="0" w:color="auto"/>
              <w:right w:val="single" w:sz="4" w:space="0" w:color="auto"/>
            </w:tcBorders>
            <w:shd w:val="clear" w:color="auto" w:fill="auto"/>
            <w:noWrap/>
            <w:vAlign w:val="bottom"/>
          </w:tcPr>
          <w:p w14:paraId="28F38928" w14:textId="77777777" w:rsidR="008647ED" w:rsidRPr="004E74A6" w:rsidRDefault="008647ED" w:rsidP="00CE62C1">
            <w:pPr>
              <w:spacing w:line="276" w:lineRule="auto"/>
              <w:ind w:firstLineChars="200" w:firstLine="400"/>
              <w:jc w:val="left"/>
              <w:rPr>
                <w:rFonts w:cs="Calibri"/>
                <w:color w:val="000000"/>
                <w:sz w:val="20"/>
                <w:lang w:eastAsia="es-CR"/>
              </w:rPr>
            </w:pPr>
          </w:p>
        </w:tc>
        <w:tc>
          <w:tcPr>
            <w:tcW w:w="445" w:type="pct"/>
            <w:tcBorders>
              <w:top w:val="nil"/>
              <w:left w:val="single" w:sz="4" w:space="0" w:color="auto"/>
              <w:bottom w:val="single" w:sz="4" w:space="0" w:color="auto"/>
              <w:right w:val="single" w:sz="4" w:space="0" w:color="auto"/>
            </w:tcBorders>
            <w:shd w:val="clear" w:color="auto" w:fill="auto"/>
            <w:noWrap/>
            <w:vAlign w:val="center"/>
          </w:tcPr>
          <w:p w14:paraId="21E19671" w14:textId="77777777" w:rsidR="008647ED" w:rsidRPr="004E74A6" w:rsidRDefault="008647ED" w:rsidP="00CE62C1">
            <w:pPr>
              <w:spacing w:line="276" w:lineRule="auto"/>
              <w:jc w:val="center"/>
              <w:rPr>
                <w:rFonts w:cs="Calibri"/>
                <w:color w:val="000000"/>
                <w:sz w:val="20"/>
                <w:lang w:eastAsia="es-CR"/>
              </w:rPr>
            </w:pPr>
          </w:p>
        </w:tc>
        <w:tc>
          <w:tcPr>
            <w:tcW w:w="448" w:type="pct"/>
            <w:tcBorders>
              <w:top w:val="nil"/>
              <w:left w:val="single" w:sz="4" w:space="0" w:color="auto"/>
              <w:bottom w:val="single" w:sz="4" w:space="0" w:color="auto"/>
              <w:right w:val="single" w:sz="4" w:space="0" w:color="auto"/>
            </w:tcBorders>
            <w:shd w:val="clear" w:color="auto" w:fill="auto"/>
            <w:noWrap/>
            <w:vAlign w:val="center"/>
          </w:tcPr>
          <w:p w14:paraId="66553325" w14:textId="77777777" w:rsidR="008647ED" w:rsidRPr="004E74A6" w:rsidRDefault="008647ED" w:rsidP="00CE62C1">
            <w:pPr>
              <w:spacing w:line="276" w:lineRule="auto"/>
              <w:jc w:val="center"/>
              <w:rPr>
                <w:rFonts w:cs="Calibri"/>
                <w:color w:val="000000"/>
                <w:sz w:val="20"/>
                <w:lang w:eastAsia="es-CR"/>
              </w:rPr>
            </w:pPr>
          </w:p>
        </w:tc>
        <w:tc>
          <w:tcPr>
            <w:tcW w:w="448" w:type="pct"/>
            <w:tcBorders>
              <w:top w:val="nil"/>
              <w:left w:val="single" w:sz="4" w:space="0" w:color="auto"/>
              <w:bottom w:val="single" w:sz="4" w:space="0" w:color="auto"/>
              <w:right w:val="single" w:sz="4" w:space="0" w:color="auto"/>
            </w:tcBorders>
            <w:shd w:val="clear" w:color="auto" w:fill="auto"/>
            <w:noWrap/>
            <w:vAlign w:val="center"/>
          </w:tcPr>
          <w:p w14:paraId="6D97FC93" w14:textId="77777777" w:rsidR="008647ED" w:rsidRPr="004E74A6" w:rsidRDefault="008647ED" w:rsidP="00CE62C1">
            <w:pPr>
              <w:spacing w:line="276" w:lineRule="auto"/>
              <w:jc w:val="center"/>
              <w:rPr>
                <w:rFonts w:cs="Calibri"/>
                <w:color w:val="000000"/>
                <w:sz w:val="20"/>
                <w:lang w:eastAsia="es-CR"/>
              </w:rPr>
            </w:pPr>
          </w:p>
        </w:tc>
        <w:tc>
          <w:tcPr>
            <w:tcW w:w="595" w:type="pct"/>
            <w:tcBorders>
              <w:top w:val="nil"/>
              <w:left w:val="single" w:sz="4" w:space="0" w:color="auto"/>
              <w:bottom w:val="single" w:sz="4" w:space="0" w:color="auto"/>
              <w:right w:val="nil"/>
            </w:tcBorders>
            <w:shd w:val="clear" w:color="auto" w:fill="auto"/>
            <w:noWrap/>
            <w:vAlign w:val="center"/>
          </w:tcPr>
          <w:p w14:paraId="7AC18BBC" w14:textId="77777777" w:rsidR="008647ED" w:rsidRPr="004E74A6" w:rsidRDefault="008647ED" w:rsidP="00CE62C1">
            <w:pPr>
              <w:spacing w:line="276" w:lineRule="auto"/>
              <w:jc w:val="center"/>
              <w:rPr>
                <w:rFonts w:cs="Calibri"/>
                <w:color w:val="000000"/>
                <w:sz w:val="20"/>
                <w:lang w:eastAsia="es-CR"/>
              </w:rPr>
            </w:pPr>
          </w:p>
        </w:tc>
      </w:tr>
    </w:tbl>
    <w:p w14:paraId="5CCBFC4B" w14:textId="77777777" w:rsidR="003E4755" w:rsidRPr="004E74A6" w:rsidRDefault="003E4755" w:rsidP="00832773">
      <w:pPr>
        <w:spacing w:line="276" w:lineRule="auto"/>
        <w:rPr>
          <w:rFonts w:cs="Calibri"/>
          <w:i/>
          <w:iCs/>
          <w:color w:val="000000"/>
          <w:sz w:val="20"/>
          <w:lang w:eastAsia="es-CR"/>
        </w:rPr>
      </w:pPr>
      <w:r w:rsidRPr="004E74A6">
        <w:rPr>
          <w:rFonts w:cs="Calibri"/>
          <w:b/>
          <w:bCs/>
          <w:i/>
          <w:iCs/>
          <w:color w:val="000000"/>
          <w:sz w:val="20"/>
          <w:lang w:eastAsia="es-CR"/>
        </w:rPr>
        <w:t>Fuente</w:t>
      </w:r>
      <w:r w:rsidRPr="004E74A6">
        <w:rPr>
          <w:rFonts w:cs="Calibri"/>
          <w:i/>
          <w:iCs/>
          <w:color w:val="000000"/>
          <w:sz w:val="20"/>
          <w:lang w:eastAsia="es-CR"/>
        </w:rPr>
        <w:t>: Subproceso de Modernización Institucional con datos extraídos del sistema SIGMA, Dirección de Planificación.</w:t>
      </w:r>
    </w:p>
    <w:p w14:paraId="0E9431DF" w14:textId="77777777" w:rsidR="008647ED" w:rsidRPr="004E74A6" w:rsidRDefault="008647ED" w:rsidP="00CE62C1">
      <w:pPr>
        <w:spacing w:after="160" w:line="276" w:lineRule="auto"/>
        <w:rPr>
          <w:rFonts w:cs="Calibri"/>
          <w:color w:val="000000"/>
          <w:szCs w:val="24"/>
          <w:lang w:eastAsia="es-CR"/>
        </w:rPr>
      </w:pPr>
    </w:p>
    <w:p w14:paraId="3396C451" w14:textId="356CE052" w:rsidR="00A20859" w:rsidRPr="004E74A6" w:rsidRDefault="00C823C0" w:rsidP="00CE62C1">
      <w:pPr>
        <w:spacing w:after="160" w:line="276" w:lineRule="auto"/>
        <w:rPr>
          <w:rFonts w:cs="Calibri"/>
          <w:color w:val="000000"/>
          <w:szCs w:val="24"/>
          <w:lang w:eastAsia="es-CR"/>
        </w:rPr>
      </w:pPr>
      <w:r>
        <w:rPr>
          <w:rFonts w:cs="Calibri"/>
          <w:color w:val="000000"/>
          <w:szCs w:val="24"/>
          <w:lang w:eastAsia="es-CR"/>
        </w:rPr>
        <w:t>En</w:t>
      </w:r>
      <w:r w:rsidR="00A20859" w:rsidRPr="004E74A6">
        <w:rPr>
          <w:rFonts w:cs="Calibri"/>
          <w:color w:val="000000"/>
          <w:szCs w:val="24"/>
          <w:lang w:eastAsia="es-CR"/>
        </w:rPr>
        <w:t xml:space="preserve"> la siguiente tabla se puede observar el detalle de la cuantía según los procedimientos ordinarios del Tribunal.</w:t>
      </w:r>
    </w:p>
    <w:p w14:paraId="39F61A1D" w14:textId="17107AC0" w:rsidR="00A20859" w:rsidRPr="004E74A6" w:rsidRDefault="00A20859" w:rsidP="00CE62C1">
      <w:pPr>
        <w:spacing w:line="276" w:lineRule="auto"/>
        <w:rPr>
          <w:rFonts w:cs="Calibri"/>
          <w:color w:val="000000"/>
          <w:szCs w:val="24"/>
          <w:lang w:eastAsia="es-CR"/>
        </w:rPr>
      </w:pPr>
      <w:r w:rsidRPr="004E74A6">
        <w:rPr>
          <w:rFonts w:cs="Calibri"/>
          <w:color w:val="000000"/>
          <w:szCs w:val="24"/>
          <w:lang w:eastAsia="es-CR"/>
        </w:rPr>
        <w:t xml:space="preserve">De los procesos ordinarios ingresados en el Tribunal, en promedio </w:t>
      </w:r>
      <w:r w:rsidR="00342A03" w:rsidRPr="004E74A6">
        <w:rPr>
          <w:rFonts w:cs="Calibri"/>
          <w:color w:val="000000"/>
          <w:szCs w:val="24"/>
          <w:lang w:eastAsia="es-CR"/>
        </w:rPr>
        <w:t>2</w:t>
      </w:r>
      <w:r w:rsidRPr="004E74A6">
        <w:rPr>
          <w:rFonts w:cs="Calibri"/>
          <w:color w:val="000000"/>
          <w:szCs w:val="24"/>
          <w:lang w:eastAsia="es-CR"/>
        </w:rPr>
        <w:t xml:space="preserve"> asuntos son inestimables (</w:t>
      </w:r>
      <w:r w:rsidR="00342A03" w:rsidRPr="004E74A6">
        <w:rPr>
          <w:rFonts w:cs="Calibri"/>
          <w:color w:val="000000"/>
          <w:szCs w:val="24"/>
          <w:lang w:eastAsia="es-CR"/>
        </w:rPr>
        <w:t>1</w:t>
      </w:r>
      <w:r w:rsidRPr="004E74A6">
        <w:rPr>
          <w:rFonts w:cs="Calibri"/>
          <w:color w:val="000000"/>
          <w:szCs w:val="24"/>
          <w:lang w:eastAsia="es-CR"/>
        </w:rPr>
        <w:t xml:space="preserve">%), </w:t>
      </w:r>
      <w:r w:rsidR="00342A03" w:rsidRPr="004E74A6">
        <w:rPr>
          <w:rFonts w:cs="Calibri"/>
          <w:color w:val="000000"/>
          <w:szCs w:val="24"/>
          <w:lang w:eastAsia="es-CR"/>
        </w:rPr>
        <w:t>115</w:t>
      </w:r>
      <w:r w:rsidRPr="004E74A6">
        <w:rPr>
          <w:rFonts w:cs="Calibri"/>
          <w:color w:val="000000"/>
          <w:szCs w:val="24"/>
          <w:lang w:eastAsia="es-CR"/>
        </w:rPr>
        <w:t xml:space="preserve"> estimables (68%), 2</w:t>
      </w:r>
      <w:r w:rsidR="00342A03" w:rsidRPr="004E74A6">
        <w:rPr>
          <w:rFonts w:cs="Calibri"/>
          <w:color w:val="000000"/>
          <w:szCs w:val="24"/>
          <w:lang w:eastAsia="es-CR"/>
        </w:rPr>
        <w:t>1</w:t>
      </w:r>
      <w:r w:rsidRPr="004E74A6">
        <w:rPr>
          <w:rFonts w:cs="Calibri"/>
          <w:color w:val="000000"/>
          <w:szCs w:val="24"/>
          <w:lang w:eastAsia="es-CR"/>
        </w:rPr>
        <w:t xml:space="preserve"> casos “no aplica” (</w:t>
      </w:r>
      <w:r w:rsidR="00342A03" w:rsidRPr="004E74A6">
        <w:rPr>
          <w:rFonts w:cs="Calibri"/>
          <w:color w:val="000000"/>
          <w:szCs w:val="24"/>
          <w:lang w:eastAsia="es-CR"/>
        </w:rPr>
        <w:t>12</w:t>
      </w:r>
      <w:r w:rsidRPr="004E74A6">
        <w:rPr>
          <w:rFonts w:cs="Calibri"/>
          <w:color w:val="000000"/>
          <w:szCs w:val="24"/>
          <w:lang w:eastAsia="es-CR"/>
        </w:rPr>
        <w:t xml:space="preserve">%) y sin actualizar </w:t>
      </w:r>
      <w:r w:rsidR="00342A03" w:rsidRPr="004E74A6">
        <w:rPr>
          <w:rFonts w:cs="Calibri"/>
          <w:color w:val="000000"/>
          <w:szCs w:val="24"/>
          <w:lang w:eastAsia="es-CR"/>
        </w:rPr>
        <w:t>31</w:t>
      </w:r>
      <w:r w:rsidRPr="004E74A6">
        <w:rPr>
          <w:rFonts w:cs="Calibri"/>
          <w:color w:val="000000"/>
          <w:szCs w:val="24"/>
          <w:lang w:eastAsia="es-CR"/>
        </w:rPr>
        <w:t xml:space="preserve"> casos (</w:t>
      </w:r>
      <w:r w:rsidR="00342A03" w:rsidRPr="004E74A6">
        <w:rPr>
          <w:rFonts w:cs="Calibri"/>
          <w:color w:val="000000"/>
          <w:szCs w:val="24"/>
          <w:lang w:eastAsia="es-CR"/>
        </w:rPr>
        <w:t>18</w:t>
      </w:r>
      <w:r w:rsidRPr="004E74A6">
        <w:rPr>
          <w:rFonts w:cs="Calibri"/>
          <w:color w:val="000000"/>
          <w:szCs w:val="24"/>
          <w:lang w:eastAsia="es-CR"/>
        </w:rPr>
        <w:t>%).</w:t>
      </w:r>
    </w:p>
    <w:p w14:paraId="31549756" w14:textId="77777777" w:rsidR="00A20859" w:rsidRPr="004E74A6" w:rsidRDefault="00A20859" w:rsidP="00CE62C1">
      <w:pPr>
        <w:spacing w:line="276" w:lineRule="auto"/>
        <w:rPr>
          <w:rFonts w:cs="Calibri"/>
          <w:color w:val="000000"/>
          <w:szCs w:val="24"/>
          <w:lang w:eastAsia="es-CR"/>
        </w:rPr>
      </w:pPr>
    </w:p>
    <w:p w14:paraId="153E9F0D" w14:textId="5BC000BF" w:rsidR="00A20859" w:rsidRPr="004E74A6" w:rsidRDefault="00A20859" w:rsidP="00CE62C1">
      <w:pPr>
        <w:spacing w:line="276" w:lineRule="auto"/>
        <w:rPr>
          <w:rFonts w:cs="Calibri"/>
          <w:color w:val="000000"/>
          <w:szCs w:val="24"/>
          <w:lang w:eastAsia="es-CR"/>
        </w:rPr>
      </w:pPr>
      <w:r w:rsidRPr="004E74A6">
        <w:rPr>
          <w:rFonts w:cs="Calibri"/>
          <w:color w:val="000000"/>
          <w:szCs w:val="24"/>
          <w:lang w:eastAsia="es-CR"/>
        </w:rPr>
        <w:t xml:space="preserve">De lo anterior, el </w:t>
      </w:r>
      <w:r w:rsidR="00342A03" w:rsidRPr="004E74A6">
        <w:rPr>
          <w:rFonts w:cs="Calibri"/>
          <w:color w:val="000000"/>
          <w:szCs w:val="24"/>
          <w:lang w:eastAsia="es-CR"/>
        </w:rPr>
        <w:t>12</w:t>
      </w:r>
      <w:r w:rsidRPr="004E74A6">
        <w:rPr>
          <w:rFonts w:cs="Calibri"/>
          <w:color w:val="000000"/>
          <w:szCs w:val="24"/>
          <w:lang w:eastAsia="es-CR"/>
        </w:rPr>
        <w:t xml:space="preserve">% que indicaron no aplica cuantía, se debe a una actualización errores a de la informa, ya que desde el inicio en el uso de la mejora se les indicó a las oficinas que esta opción solo aplica para materia de Trabajo, no así para Civil donde los asuntos son estimables o inestimables solamente. </w:t>
      </w:r>
    </w:p>
    <w:p w14:paraId="1E688347" w14:textId="77777777" w:rsidR="00A20859" w:rsidRPr="004E74A6" w:rsidRDefault="00A20859" w:rsidP="00CE62C1">
      <w:pPr>
        <w:spacing w:line="276" w:lineRule="auto"/>
        <w:rPr>
          <w:rFonts w:cs="Calibri"/>
          <w:color w:val="000000"/>
          <w:szCs w:val="24"/>
          <w:lang w:eastAsia="es-CR"/>
        </w:rPr>
      </w:pPr>
    </w:p>
    <w:p w14:paraId="2A80EE32" w14:textId="1FA036C3" w:rsidR="00A20859" w:rsidRPr="004E74A6" w:rsidRDefault="00A20859" w:rsidP="00CE62C1">
      <w:pPr>
        <w:spacing w:line="276" w:lineRule="auto"/>
        <w:rPr>
          <w:rFonts w:cs="Calibri"/>
          <w:color w:val="000000"/>
          <w:szCs w:val="24"/>
          <w:lang w:eastAsia="es-CR"/>
        </w:rPr>
      </w:pPr>
      <w:r w:rsidRPr="004E74A6">
        <w:rPr>
          <w:rFonts w:cs="Calibri"/>
          <w:color w:val="000000"/>
          <w:szCs w:val="24"/>
          <w:lang w:eastAsia="es-CR"/>
        </w:rPr>
        <w:t xml:space="preserve">De los </w:t>
      </w:r>
      <w:r w:rsidR="00342A03" w:rsidRPr="004E74A6">
        <w:rPr>
          <w:rFonts w:cs="Calibri"/>
          <w:color w:val="000000"/>
          <w:szCs w:val="24"/>
          <w:lang w:eastAsia="es-CR"/>
        </w:rPr>
        <w:t>115</w:t>
      </w:r>
      <w:r w:rsidRPr="004E74A6">
        <w:rPr>
          <w:rFonts w:cs="Calibri"/>
          <w:color w:val="000000"/>
          <w:szCs w:val="24"/>
          <w:lang w:eastAsia="es-CR"/>
        </w:rPr>
        <w:t xml:space="preserve"> ordinarios estimables, la distribución de esos asuntos por rango de cuantía es el siguiente: </w:t>
      </w:r>
    </w:p>
    <w:p w14:paraId="38F921FA" w14:textId="45CE110E" w:rsidR="00662185" w:rsidRDefault="00662185">
      <w:pPr>
        <w:pStyle w:val="Descripcin"/>
        <w:keepNext/>
        <w:spacing w:line="276" w:lineRule="auto"/>
        <w:jc w:val="center"/>
        <w:rPr>
          <w:rFonts w:ascii="Book Antiqua" w:hAnsi="Book Antiqua"/>
          <w:i/>
          <w:iCs/>
          <w:sz w:val="20"/>
          <w:szCs w:val="16"/>
          <w:lang w:val="es-CR"/>
        </w:rPr>
      </w:pPr>
    </w:p>
    <w:p w14:paraId="0D710D59" w14:textId="4519B8D8" w:rsidR="00193D21" w:rsidRDefault="00193D21" w:rsidP="00193D21"/>
    <w:p w14:paraId="06D50213" w14:textId="34BD50F2" w:rsidR="00193D21" w:rsidRDefault="00193D21" w:rsidP="00193D21"/>
    <w:p w14:paraId="5DD716AC" w14:textId="77777777" w:rsidR="00193D21" w:rsidRPr="00193D21" w:rsidRDefault="00193D21" w:rsidP="00193D21"/>
    <w:p w14:paraId="318BB01E" w14:textId="77777777" w:rsidR="00F0204A" w:rsidRPr="00832773" w:rsidRDefault="00F0204A" w:rsidP="00832773"/>
    <w:p w14:paraId="14929D8D" w14:textId="5E7FA2ED" w:rsidR="000B48AF" w:rsidRPr="00832773" w:rsidRDefault="000B48AF" w:rsidP="00F0204A">
      <w:pPr>
        <w:pStyle w:val="Descripcin"/>
        <w:keepNext/>
        <w:spacing w:line="276" w:lineRule="auto"/>
        <w:jc w:val="center"/>
        <w:rPr>
          <w:rFonts w:ascii="Book Antiqua" w:hAnsi="Book Antiqua"/>
          <w:i/>
          <w:iCs/>
          <w:sz w:val="20"/>
          <w:szCs w:val="16"/>
          <w:lang w:val="es-CR"/>
        </w:rPr>
      </w:pPr>
      <w:r w:rsidRPr="00832773">
        <w:rPr>
          <w:rFonts w:ascii="Book Antiqua" w:hAnsi="Book Antiqua"/>
          <w:i/>
          <w:iCs/>
          <w:sz w:val="20"/>
          <w:szCs w:val="16"/>
          <w:lang w:val="es-CR"/>
        </w:rPr>
        <w:lastRenderedPageBreak/>
        <w:t xml:space="preserve">Tabla </w:t>
      </w:r>
      <w:r w:rsidRPr="00832773">
        <w:rPr>
          <w:rFonts w:ascii="Book Antiqua" w:hAnsi="Book Antiqua"/>
          <w:i/>
          <w:iCs/>
          <w:sz w:val="20"/>
          <w:szCs w:val="16"/>
          <w:lang w:val="es-CR"/>
        </w:rPr>
        <w:fldChar w:fldCharType="begin"/>
      </w:r>
      <w:r w:rsidRPr="00832773">
        <w:rPr>
          <w:rFonts w:ascii="Book Antiqua" w:hAnsi="Book Antiqua"/>
          <w:i/>
          <w:iCs/>
          <w:sz w:val="20"/>
          <w:szCs w:val="16"/>
          <w:lang w:val="es-CR"/>
        </w:rPr>
        <w:instrText xml:space="preserve"> SEQ Tabla \* ARABIC </w:instrText>
      </w:r>
      <w:r w:rsidRPr="00832773">
        <w:rPr>
          <w:rFonts w:ascii="Book Antiqua" w:hAnsi="Book Antiqua"/>
          <w:i/>
          <w:iCs/>
          <w:sz w:val="20"/>
          <w:szCs w:val="16"/>
          <w:lang w:val="es-CR"/>
        </w:rPr>
        <w:fldChar w:fldCharType="separate"/>
      </w:r>
      <w:r w:rsidR="00374B51">
        <w:rPr>
          <w:rFonts w:ascii="Book Antiqua" w:hAnsi="Book Antiqua"/>
          <w:i/>
          <w:iCs/>
          <w:noProof/>
          <w:sz w:val="20"/>
          <w:szCs w:val="16"/>
          <w:lang w:val="es-CR"/>
        </w:rPr>
        <w:t>24</w:t>
      </w:r>
      <w:r w:rsidRPr="00832773">
        <w:rPr>
          <w:rFonts w:ascii="Book Antiqua" w:hAnsi="Book Antiqua"/>
          <w:i/>
          <w:iCs/>
          <w:sz w:val="20"/>
          <w:szCs w:val="16"/>
          <w:lang w:val="es-CR"/>
        </w:rPr>
        <w:fldChar w:fldCharType="end"/>
      </w:r>
      <w:r w:rsidRPr="00832773">
        <w:rPr>
          <w:rFonts w:ascii="Book Antiqua" w:hAnsi="Book Antiqua"/>
          <w:i/>
          <w:iCs/>
          <w:sz w:val="20"/>
          <w:szCs w:val="16"/>
          <w:lang w:val="es-CR"/>
        </w:rPr>
        <w:t xml:space="preserve"> </w:t>
      </w:r>
      <w:r w:rsidR="00342A03" w:rsidRPr="00832773">
        <w:rPr>
          <w:rFonts w:ascii="Book Antiqua" w:hAnsi="Book Antiqua"/>
          <w:i/>
          <w:iCs/>
          <w:sz w:val="20"/>
          <w:szCs w:val="16"/>
          <w:lang w:val="es-CR"/>
        </w:rPr>
        <w:t xml:space="preserve">Cantidad de entrados ordinarios estimables por cuantía del 2019 al 2021 para el </w:t>
      </w:r>
      <w:r w:rsidRPr="00832773">
        <w:rPr>
          <w:rFonts w:ascii="Book Antiqua" w:hAnsi="Book Antiqua"/>
          <w:i/>
          <w:iCs/>
          <w:sz w:val="20"/>
          <w:szCs w:val="16"/>
          <w:lang w:val="es-CR"/>
        </w:rPr>
        <w:t>Tribunal Colegiado Primera Instancia Civil Cartago</w:t>
      </w:r>
    </w:p>
    <w:tbl>
      <w:tblPr>
        <w:tblW w:w="5221" w:type="pct"/>
        <w:jc w:val="center"/>
        <w:tblCellMar>
          <w:left w:w="70" w:type="dxa"/>
          <w:right w:w="70" w:type="dxa"/>
        </w:tblCellMar>
        <w:tblLook w:val="04A0" w:firstRow="1" w:lastRow="0" w:firstColumn="1" w:lastColumn="0" w:noHBand="0" w:noVBand="1"/>
      </w:tblPr>
      <w:tblGrid>
        <w:gridCol w:w="2942"/>
        <w:gridCol w:w="887"/>
        <w:gridCol w:w="877"/>
        <w:gridCol w:w="877"/>
        <w:gridCol w:w="1180"/>
        <w:gridCol w:w="2468"/>
      </w:tblGrid>
      <w:tr w:rsidR="008B74EF" w:rsidRPr="004E74A6" w14:paraId="7D41A06F" w14:textId="7D50BE6A" w:rsidTr="00662185">
        <w:trPr>
          <w:trHeight w:val="449"/>
          <w:tblHeader/>
          <w:jc w:val="center"/>
        </w:trPr>
        <w:tc>
          <w:tcPr>
            <w:tcW w:w="1593" w:type="pct"/>
            <w:tcBorders>
              <w:top w:val="single" w:sz="4" w:space="0" w:color="auto"/>
              <w:left w:val="nil"/>
              <w:bottom w:val="single" w:sz="4" w:space="0" w:color="auto"/>
              <w:right w:val="single" w:sz="4" w:space="0" w:color="auto"/>
            </w:tcBorders>
            <w:shd w:val="clear" w:color="auto" w:fill="auto"/>
            <w:noWrap/>
            <w:vAlign w:val="center"/>
            <w:hideMark/>
          </w:tcPr>
          <w:p w14:paraId="26346728" w14:textId="77777777" w:rsidR="00AD200A" w:rsidRPr="004E74A6" w:rsidRDefault="00AD200A" w:rsidP="00CE62C1">
            <w:pPr>
              <w:spacing w:line="276" w:lineRule="auto"/>
              <w:jc w:val="center"/>
              <w:rPr>
                <w:rFonts w:cs="Calibri"/>
                <w:color w:val="000000"/>
                <w:sz w:val="20"/>
                <w:lang w:eastAsia="es-CR"/>
              </w:rPr>
            </w:pPr>
            <w:r w:rsidRPr="004E74A6">
              <w:rPr>
                <w:rFonts w:cs="Calibri"/>
                <w:color w:val="000000"/>
                <w:sz w:val="20"/>
                <w:lang w:eastAsia="es-CR"/>
              </w:rPr>
              <w:t>Ordinario</w:t>
            </w:r>
          </w:p>
        </w:tc>
        <w:tc>
          <w:tcPr>
            <w:tcW w:w="48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3663F8D" w14:textId="77777777" w:rsidR="00AD200A" w:rsidRPr="004E74A6" w:rsidRDefault="00AD200A" w:rsidP="00CE62C1">
            <w:pPr>
              <w:spacing w:line="276" w:lineRule="auto"/>
              <w:jc w:val="center"/>
              <w:rPr>
                <w:rFonts w:cs="Calibri"/>
                <w:color w:val="000000"/>
                <w:sz w:val="20"/>
                <w:lang w:eastAsia="es-CR"/>
              </w:rPr>
            </w:pPr>
            <w:r w:rsidRPr="004E74A6">
              <w:rPr>
                <w:rFonts w:cs="Calibri"/>
                <w:color w:val="000000"/>
                <w:sz w:val="20"/>
                <w:lang w:eastAsia="es-CR"/>
              </w:rPr>
              <w:t>2019</w:t>
            </w:r>
          </w:p>
        </w:tc>
        <w:tc>
          <w:tcPr>
            <w:tcW w:w="47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4A0CBC7" w14:textId="77777777" w:rsidR="00AD200A" w:rsidRPr="004E74A6" w:rsidRDefault="00AD200A" w:rsidP="00CE62C1">
            <w:pPr>
              <w:spacing w:line="276" w:lineRule="auto"/>
              <w:jc w:val="center"/>
              <w:rPr>
                <w:rFonts w:cs="Calibri"/>
                <w:color w:val="000000"/>
                <w:sz w:val="20"/>
                <w:lang w:eastAsia="es-CR"/>
              </w:rPr>
            </w:pPr>
            <w:r w:rsidRPr="004E74A6">
              <w:rPr>
                <w:rFonts w:cs="Calibri"/>
                <w:color w:val="000000"/>
                <w:sz w:val="20"/>
                <w:lang w:eastAsia="es-CR"/>
              </w:rPr>
              <w:t>2020</w:t>
            </w:r>
          </w:p>
        </w:tc>
        <w:tc>
          <w:tcPr>
            <w:tcW w:w="47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7B67D0A" w14:textId="77777777" w:rsidR="00AD200A" w:rsidRPr="004E74A6" w:rsidRDefault="00AD200A" w:rsidP="00CE62C1">
            <w:pPr>
              <w:spacing w:line="276" w:lineRule="auto"/>
              <w:jc w:val="center"/>
              <w:rPr>
                <w:rFonts w:cs="Calibri"/>
                <w:color w:val="000000"/>
                <w:sz w:val="20"/>
                <w:lang w:eastAsia="es-CR"/>
              </w:rPr>
            </w:pPr>
            <w:r w:rsidRPr="004E74A6">
              <w:rPr>
                <w:rFonts w:cs="Calibri"/>
                <w:color w:val="000000"/>
                <w:sz w:val="20"/>
                <w:lang w:eastAsia="es-CR"/>
              </w:rPr>
              <w:t>2021</w:t>
            </w:r>
          </w:p>
        </w:tc>
        <w:tc>
          <w:tcPr>
            <w:tcW w:w="639" w:type="pct"/>
            <w:tcBorders>
              <w:top w:val="single" w:sz="4" w:space="0" w:color="auto"/>
              <w:left w:val="single" w:sz="4" w:space="0" w:color="auto"/>
              <w:bottom w:val="single" w:sz="4" w:space="0" w:color="auto"/>
              <w:right w:val="nil"/>
            </w:tcBorders>
            <w:shd w:val="clear" w:color="auto" w:fill="auto"/>
            <w:noWrap/>
            <w:vAlign w:val="center"/>
          </w:tcPr>
          <w:p w14:paraId="5EE7CA1D" w14:textId="6C5DD9DB" w:rsidR="00AD200A" w:rsidRPr="004E74A6" w:rsidRDefault="00AD200A" w:rsidP="00CE62C1">
            <w:pPr>
              <w:spacing w:line="276" w:lineRule="auto"/>
              <w:jc w:val="center"/>
              <w:rPr>
                <w:rFonts w:cs="Calibri"/>
                <w:color w:val="000000"/>
                <w:sz w:val="20"/>
                <w:lang w:eastAsia="es-CR"/>
              </w:rPr>
            </w:pPr>
            <w:r w:rsidRPr="004E74A6">
              <w:rPr>
                <w:rFonts w:cs="Calibri"/>
                <w:color w:val="000000"/>
                <w:sz w:val="20"/>
                <w:lang w:eastAsia="es-CR"/>
              </w:rPr>
              <w:t>Promedio</w:t>
            </w:r>
          </w:p>
        </w:tc>
        <w:tc>
          <w:tcPr>
            <w:tcW w:w="1337" w:type="pct"/>
            <w:tcBorders>
              <w:top w:val="single" w:sz="4" w:space="0" w:color="auto"/>
              <w:left w:val="single" w:sz="4" w:space="0" w:color="auto"/>
              <w:bottom w:val="single" w:sz="4" w:space="0" w:color="auto"/>
              <w:right w:val="nil"/>
            </w:tcBorders>
          </w:tcPr>
          <w:p w14:paraId="1DA5D18F" w14:textId="49044F4B" w:rsidR="00AD200A" w:rsidRPr="004E74A6" w:rsidRDefault="008B74EF" w:rsidP="00832773">
            <w:pPr>
              <w:spacing w:line="276" w:lineRule="auto"/>
              <w:jc w:val="center"/>
              <w:rPr>
                <w:rFonts w:cs="Calibri"/>
                <w:color w:val="000000"/>
                <w:sz w:val="20"/>
                <w:lang w:eastAsia="es-CR"/>
              </w:rPr>
            </w:pPr>
            <w:r w:rsidRPr="004E74A6">
              <w:rPr>
                <w:rFonts w:cs="Calibri"/>
                <w:color w:val="000000"/>
                <w:sz w:val="20"/>
              </w:rPr>
              <w:t>Pérdida porcentual en la entrada en caso de elevarse la cuantía según rango escenario A1</w:t>
            </w:r>
          </w:p>
        </w:tc>
      </w:tr>
      <w:tr w:rsidR="008B74EF" w:rsidRPr="004E74A6" w14:paraId="345635DC" w14:textId="3FAAFC6E" w:rsidTr="00662185">
        <w:trPr>
          <w:trHeight w:val="284"/>
          <w:jc w:val="center"/>
        </w:trPr>
        <w:tc>
          <w:tcPr>
            <w:tcW w:w="1593" w:type="pct"/>
            <w:tcBorders>
              <w:top w:val="single" w:sz="4" w:space="0" w:color="auto"/>
              <w:left w:val="nil"/>
              <w:bottom w:val="nil"/>
              <w:right w:val="single" w:sz="4" w:space="0" w:color="auto"/>
            </w:tcBorders>
            <w:shd w:val="clear" w:color="auto" w:fill="auto"/>
            <w:noWrap/>
            <w:vAlign w:val="center"/>
          </w:tcPr>
          <w:p w14:paraId="59B4C3B9" w14:textId="77777777" w:rsidR="00AD200A" w:rsidRPr="004E74A6" w:rsidRDefault="00AD200A" w:rsidP="00CE62C1">
            <w:pPr>
              <w:spacing w:line="276" w:lineRule="auto"/>
              <w:jc w:val="center"/>
              <w:rPr>
                <w:rFonts w:cs="Calibri"/>
                <w:color w:val="000000"/>
                <w:sz w:val="20"/>
                <w:lang w:eastAsia="es-CR"/>
              </w:rPr>
            </w:pPr>
          </w:p>
        </w:tc>
        <w:tc>
          <w:tcPr>
            <w:tcW w:w="480" w:type="pct"/>
            <w:tcBorders>
              <w:top w:val="single" w:sz="4" w:space="0" w:color="auto"/>
              <w:left w:val="single" w:sz="4" w:space="0" w:color="auto"/>
              <w:bottom w:val="nil"/>
              <w:right w:val="single" w:sz="4" w:space="0" w:color="auto"/>
            </w:tcBorders>
            <w:shd w:val="clear" w:color="auto" w:fill="auto"/>
            <w:noWrap/>
            <w:vAlign w:val="center"/>
          </w:tcPr>
          <w:p w14:paraId="06C584B9" w14:textId="77777777" w:rsidR="00AD200A" w:rsidRPr="004E74A6" w:rsidRDefault="00AD200A" w:rsidP="00CE62C1">
            <w:pPr>
              <w:spacing w:line="276" w:lineRule="auto"/>
              <w:jc w:val="center"/>
              <w:rPr>
                <w:rFonts w:cs="Calibri"/>
                <w:color w:val="000000"/>
                <w:sz w:val="20"/>
                <w:lang w:eastAsia="es-CR"/>
              </w:rPr>
            </w:pPr>
          </w:p>
        </w:tc>
        <w:tc>
          <w:tcPr>
            <w:tcW w:w="475" w:type="pct"/>
            <w:tcBorders>
              <w:top w:val="single" w:sz="4" w:space="0" w:color="auto"/>
              <w:left w:val="single" w:sz="4" w:space="0" w:color="auto"/>
              <w:bottom w:val="nil"/>
              <w:right w:val="single" w:sz="4" w:space="0" w:color="auto"/>
            </w:tcBorders>
            <w:shd w:val="clear" w:color="auto" w:fill="auto"/>
            <w:noWrap/>
            <w:vAlign w:val="center"/>
          </w:tcPr>
          <w:p w14:paraId="628171FD" w14:textId="77777777" w:rsidR="00AD200A" w:rsidRPr="004E74A6" w:rsidRDefault="00AD200A" w:rsidP="00CE62C1">
            <w:pPr>
              <w:spacing w:line="276" w:lineRule="auto"/>
              <w:jc w:val="center"/>
              <w:rPr>
                <w:rFonts w:cs="Calibri"/>
                <w:color w:val="000000"/>
                <w:sz w:val="20"/>
                <w:lang w:eastAsia="es-CR"/>
              </w:rPr>
            </w:pPr>
          </w:p>
        </w:tc>
        <w:tc>
          <w:tcPr>
            <w:tcW w:w="475" w:type="pct"/>
            <w:tcBorders>
              <w:top w:val="single" w:sz="4" w:space="0" w:color="auto"/>
              <w:left w:val="single" w:sz="4" w:space="0" w:color="auto"/>
              <w:bottom w:val="nil"/>
              <w:right w:val="single" w:sz="4" w:space="0" w:color="auto"/>
            </w:tcBorders>
            <w:shd w:val="clear" w:color="auto" w:fill="auto"/>
            <w:noWrap/>
            <w:vAlign w:val="center"/>
          </w:tcPr>
          <w:p w14:paraId="1AFEED60" w14:textId="77777777" w:rsidR="00AD200A" w:rsidRPr="004E74A6" w:rsidRDefault="00AD200A" w:rsidP="00CE62C1">
            <w:pPr>
              <w:spacing w:line="276" w:lineRule="auto"/>
              <w:jc w:val="center"/>
              <w:rPr>
                <w:rFonts w:cs="Calibri"/>
                <w:color w:val="000000"/>
                <w:sz w:val="20"/>
                <w:lang w:eastAsia="es-CR"/>
              </w:rPr>
            </w:pPr>
          </w:p>
        </w:tc>
        <w:tc>
          <w:tcPr>
            <w:tcW w:w="639" w:type="pct"/>
            <w:tcBorders>
              <w:top w:val="single" w:sz="4" w:space="0" w:color="auto"/>
              <w:left w:val="single" w:sz="4" w:space="0" w:color="auto"/>
              <w:bottom w:val="nil"/>
              <w:right w:val="nil"/>
            </w:tcBorders>
            <w:shd w:val="clear" w:color="auto" w:fill="auto"/>
            <w:noWrap/>
            <w:vAlign w:val="center"/>
          </w:tcPr>
          <w:p w14:paraId="40E53605" w14:textId="77777777" w:rsidR="00AD200A" w:rsidRPr="004E74A6" w:rsidRDefault="00AD200A" w:rsidP="00CE62C1">
            <w:pPr>
              <w:spacing w:line="276" w:lineRule="auto"/>
              <w:jc w:val="center"/>
              <w:rPr>
                <w:rFonts w:cs="Calibri"/>
                <w:color w:val="000000"/>
                <w:sz w:val="20"/>
                <w:lang w:eastAsia="es-CR"/>
              </w:rPr>
            </w:pPr>
          </w:p>
        </w:tc>
        <w:tc>
          <w:tcPr>
            <w:tcW w:w="1337" w:type="pct"/>
            <w:tcBorders>
              <w:top w:val="single" w:sz="4" w:space="0" w:color="auto"/>
              <w:left w:val="single" w:sz="4" w:space="0" w:color="auto"/>
              <w:bottom w:val="nil"/>
              <w:right w:val="nil"/>
            </w:tcBorders>
          </w:tcPr>
          <w:p w14:paraId="1DA2F06A" w14:textId="77777777" w:rsidR="00AD200A" w:rsidRPr="004E74A6" w:rsidRDefault="00AD200A" w:rsidP="00CE62C1">
            <w:pPr>
              <w:spacing w:line="276" w:lineRule="auto"/>
              <w:jc w:val="center"/>
              <w:rPr>
                <w:rFonts w:cs="Calibri"/>
                <w:color w:val="000000"/>
                <w:sz w:val="20"/>
                <w:lang w:eastAsia="es-CR"/>
              </w:rPr>
            </w:pPr>
          </w:p>
        </w:tc>
      </w:tr>
      <w:tr w:rsidR="008B74EF" w:rsidRPr="004E74A6" w14:paraId="15CCF419" w14:textId="65DBE424" w:rsidTr="00662185">
        <w:trPr>
          <w:trHeight w:val="284"/>
          <w:jc w:val="center"/>
        </w:trPr>
        <w:tc>
          <w:tcPr>
            <w:tcW w:w="1593" w:type="pct"/>
            <w:tcBorders>
              <w:top w:val="nil"/>
              <w:left w:val="nil"/>
              <w:bottom w:val="nil"/>
              <w:right w:val="single" w:sz="4" w:space="0" w:color="auto"/>
            </w:tcBorders>
            <w:shd w:val="clear" w:color="auto" w:fill="auto"/>
            <w:noWrap/>
            <w:vAlign w:val="center"/>
          </w:tcPr>
          <w:p w14:paraId="6A5CFCCE" w14:textId="77777777" w:rsidR="00AD200A" w:rsidRPr="004E74A6" w:rsidRDefault="00AD200A" w:rsidP="00CE62C1">
            <w:pPr>
              <w:spacing w:line="276" w:lineRule="auto"/>
              <w:jc w:val="center"/>
              <w:rPr>
                <w:rFonts w:cs="Calibri"/>
                <w:color w:val="000000"/>
                <w:sz w:val="20"/>
                <w:lang w:eastAsia="es-CR"/>
              </w:rPr>
            </w:pPr>
            <w:r w:rsidRPr="004E74A6">
              <w:rPr>
                <w:rFonts w:cs="Calibri"/>
                <w:color w:val="000000"/>
                <w:sz w:val="20"/>
                <w:lang w:eastAsia="es-CR"/>
              </w:rPr>
              <w:t>Total</w:t>
            </w:r>
          </w:p>
        </w:tc>
        <w:tc>
          <w:tcPr>
            <w:tcW w:w="480" w:type="pct"/>
            <w:tcBorders>
              <w:top w:val="nil"/>
              <w:left w:val="single" w:sz="4" w:space="0" w:color="auto"/>
              <w:bottom w:val="nil"/>
              <w:right w:val="single" w:sz="4" w:space="0" w:color="auto"/>
            </w:tcBorders>
            <w:shd w:val="clear" w:color="auto" w:fill="auto"/>
            <w:noWrap/>
            <w:vAlign w:val="center"/>
          </w:tcPr>
          <w:p w14:paraId="0C5B5A68" w14:textId="0CF2D695"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71</w:t>
            </w:r>
          </w:p>
        </w:tc>
        <w:tc>
          <w:tcPr>
            <w:tcW w:w="475" w:type="pct"/>
            <w:tcBorders>
              <w:top w:val="nil"/>
              <w:left w:val="single" w:sz="4" w:space="0" w:color="auto"/>
              <w:bottom w:val="nil"/>
              <w:right w:val="single" w:sz="4" w:space="0" w:color="auto"/>
            </w:tcBorders>
            <w:shd w:val="clear" w:color="auto" w:fill="auto"/>
            <w:noWrap/>
            <w:vAlign w:val="center"/>
          </w:tcPr>
          <w:p w14:paraId="27A80D04" w14:textId="489505B4"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112</w:t>
            </w:r>
          </w:p>
        </w:tc>
        <w:tc>
          <w:tcPr>
            <w:tcW w:w="475" w:type="pct"/>
            <w:tcBorders>
              <w:top w:val="nil"/>
              <w:left w:val="single" w:sz="4" w:space="0" w:color="auto"/>
              <w:bottom w:val="nil"/>
              <w:right w:val="single" w:sz="4" w:space="0" w:color="auto"/>
            </w:tcBorders>
            <w:shd w:val="clear" w:color="auto" w:fill="auto"/>
            <w:noWrap/>
            <w:vAlign w:val="center"/>
          </w:tcPr>
          <w:p w14:paraId="750825FF" w14:textId="1C919421"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161</w:t>
            </w:r>
          </w:p>
        </w:tc>
        <w:tc>
          <w:tcPr>
            <w:tcW w:w="639" w:type="pct"/>
            <w:tcBorders>
              <w:top w:val="nil"/>
              <w:left w:val="single" w:sz="4" w:space="0" w:color="auto"/>
              <w:bottom w:val="nil"/>
              <w:right w:val="nil"/>
            </w:tcBorders>
            <w:shd w:val="clear" w:color="auto" w:fill="auto"/>
            <w:noWrap/>
            <w:vAlign w:val="center"/>
          </w:tcPr>
          <w:p w14:paraId="54A695C8" w14:textId="6437C4A8"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115</w:t>
            </w:r>
          </w:p>
        </w:tc>
        <w:tc>
          <w:tcPr>
            <w:tcW w:w="1337" w:type="pct"/>
            <w:tcBorders>
              <w:top w:val="nil"/>
              <w:left w:val="single" w:sz="4" w:space="0" w:color="auto"/>
              <w:bottom w:val="nil"/>
              <w:right w:val="nil"/>
            </w:tcBorders>
          </w:tcPr>
          <w:p w14:paraId="3FCC2F04" w14:textId="77777777" w:rsidR="00AD200A" w:rsidRPr="004E74A6" w:rsidRDefault="00AD200A" w:rsidP="00CE62C1">
            <w:pPr>
              <w:spacing w:line="276" w:lineRule="auto"/>
              <w:jc w:val="center"/>
              <w:rPr>
                <w:rFonts w:cs="Calibri"/>
                <w:color w:val="000000"/>
                <w:sz w:val="20"/>
              </w:rPr>
            </w:pPr>
          </w:p>
        </w:tc>
      </w:tr>
      <w:tr w:rsidR="008B74EF" w:rsidRPr="004E74A6" w14:paraId="639B5116" w14:textId="746BAE39" w:rsidTr="00662185">
        <w:trPr>
          <w:trHeight w:val="284"/>
          <w:jc w:val="center"/>
        </w:trPr>
        <w:tc>
          <w:tcPr>
            <w:tcW w:w="1593" w:type="pct"/>
            <w:tcBorders>
              <w:top w:val="nil"/>
              <w:left w:val="nil"/>
              <w:bottom w:val="nil"/>
              <w:right w:val="single" w:sz="4" w:space="0" w:color="auto"/>
            </w:tcBorders>
            <w:shd w:val="clear" w:color="auto" w:fill="auto"/>
            <w:noWrap/>
            <w:vAlign w:val="bottom"/>
          </w:tcPr>
          <w:p w14:paraId="72BD1FC5" w14:textId="77777777" w:rsidR="00AD200A" w:rsidRPr="004E74A6" w:rsidRDefault="00AD200A" w:rsidP="00CE62C1">
            <w:pPr>
              <w:spacing w:line="276" w:lineRule="auto"/>
              <w:jc w:val="left"/>
              <w:rPr>
                <w:rFonts w:cs="Calibri"/>
                <w:color w:val="000000"/>
                <w:sz w:val="20"/>
                <w:lang w:eastAsia="es-CR"/>
              </w:rPr>
            </w:pPr>
          </w:p>
        </w:tc>
        <w:tc>
          <w:tcPr>
            <w:tcW w:w="480" w:type="pct"/>
            <w:tcBorders>
              <w:top w:val="nil"/>
              <w:left w:val="single" w:sz="4" w:space="0" w:color="auto"/>
              <w:bottom w:val="nil"/>
              <w:right w:val="single" w:sz="4" w:space="0" w:color="auto"/>
            </w:tcBorders>
            <w:shd w:val="clear" w:color="auto" w:fill="auto"/>
            <w:noWrap/>
            <w:vAlign w:val="center"/>
          </w:tcPr>
          <w:p w14:paraId="5C78CDB6" w14:textId="77777777" w:rsidR="00AD200A" w:rsidRPr="004E74A6" w:rsidRDefault="00AD200A" w:rsidP="00CE62C1">
            <w:pPr>
              <w:spacing w:line="276" w:lineRule="auto"/>
              <w:jc w:val="center"/>
              <w:rPr>
                <w:rFonts w:cs="Calibri"/>
                <w:color w:val="000000"/>
                <w:sz w:val="20"/>
                <w:lang w:eastAsia="es-CR"/>
              </w:rPr>
            </w:pPr>
          </w:p>
        </w:tc>
        <w:tc>
          <w:tcPr>
            <w:tcW w:w="475" w:type="pct"/>
            <w:tcBorders>
              <w:top w:val="nil"/>
              <w:left w:val="single" w:sz="4" w:space="0" w:color="auto"/>
              <w:bottom w:val="nil"/>
              <w:right w:val="single" w:sz="4" w:space="0" w:color="auto"/>
            </w:tcBorders>
            <w:shd w:val="clear" w:color="auto" w:fill="auto"/>
            <w:noWrap/>
            <w:vAlign w:val="center"/>
          </w:tcPr>
          <w:p w14:paraId="2178B6C8" w14:textId="77777777" w:rsidR="00AD200A" w:rsidRPr="004E74A6" w:rsidRDefault="00AD200A" w:rsidP="00CE62C1">
            <w:pPr>
              <w:spacing w:line="276" w:lineRule="auto"/>
              <w:jc w:val="center"/>
              <w:rPr>
                <w:rFonts w:cs="Calibri"/>
                <w:color w:val="000000"/>
                <w:sz w:val="20"/>
                <w:lang w:eastAsia="es-CR"/>
              </w:rPr>
            </w:pPr>
          </w:p>
        </w:tc>
        <w:tc>
          <w:tcPr>
            <w:tcW w:w="475" w:type="pct"/>
            <w:tcBorders>
              <w:top w:val="nil"/>
              <w:left w:val="single" w:sz="4" w:space="0" w:color="auto"/>
              <w:bottom w:val="nil"/>
              <w:right w:val="single" w:sz="4" w:space="0" w:color="auto"/>
            </w:tcBorders>
            <w:shd w:val="clear" w:color="auto" w:fill="auto"/>
            <w:noWrap/>
            <w:vAlign w:val="center"/>
          </w:tcPr>
          <w:p w14:paraId="2F08CD35" w14:textId="77777777" w:rsidR="00AD200A" w:rsidRPr="004E74A6" w:rsidRDefault="00AD200A" w:rsidP="00CE62C1">
            <w:pPr>
              <w:spacing w:line="276" w:lineRule="auto"/>
              <w:jc w:val="center"/>
              <w:rPr>
                <w:rFonts w:cs="Calibri"/>
                <w:color w:val="000000"/>
                <w:sz w:val="20"/>
                <w:lang w:eastAsia="es-CR"/>
              </w:rPr>
            </w:pPr>
          </w:p>
        </w:tc>
        <w:tc>
          <w:tcPr>
            <w:tcW w:w="639" w:type="pct"/>
            <w:tcBorders>
              <w:top w:val="nil"/>
              <w:left w:val="single" w:sz="4" w:space="0" w:color="auto"/>
              <w:bottom w:val="nil"/>
              <w:right w:val="nil"/>
            </w:tcBorders>
            <w:shd w:val="clear" w:color="auto" w:fill="auto"/>
            <w:noWrap/>
            <w:vAlign w:val="center"/>
          </w:tcPr>
          <w:p w14:paraId="7FB526B8" w14:textId="77777777" w:rsidR="00AD200A" w:rsidRPr="004E74A6" w:rsidRDefault="00AD200A" w:rsidP="00CE62C1">
            <w:pPr>
              <w:spacing w:line="276" w:lineRule="auto"/>
              <w:jc w:val="center"/>
              <w:rPr>
                <w:rFonts w:cs="Calibri"/>
                <w:color w:val="000000"/>
                <w:sz w:val="20"/>
                <w:lang w:eastAsia="es-CR"/>
              </w:rPr>
            </w:pPr>
          </w:p>
        </w:tc>
        <w:tc>
          <w:tcPr>
            <w:tcW w:w="1337" w:type="pct"/>
            <w:tcBorders>
              <w:top w:val="nil"/>
              <w:left w:val="single" w:sz="4" w:space="0" w:color="auto"/>
              <w:bottom w:val="nil"/>
              <w:right w:val="nil"/>
            </w:tcBorders>
          </w:tcPr>
          <w:p w14:paraId="6207C8ED" w14:textId="77777777" w:rsidR="00AD200A" w:rsidRPr="004E74A6" w:rsidRDefault="00AD200A" w:rsidP="00CE62C1">
            <w:pPr>
              <w:spacing w:line="276" w:lineRule="auto"/>
              <w:jc w:val="center"/>
              <w:rPr>
                <w:rFonts w:cs="Calibri"/>
                <w:color w:val="000000"/>
                <w:sz w:val="20"/>
                <w:lang w:eastAsia="es-CR"/>
              </w:rPr>
            </w:pPr>
          </w:p>
        </w:tc>
      </w:tr>
      <w:tr w:rsidR="008B74EF" w:rsidRPr="004E74A6" w14:paraId="489DE755" w14:textId="788761A0" w:rsidTr="00662185">
        <w:trPr>
          <w:trHeight w:val="284"/>
          <w:jc w:val="center"/>
        </w:trPr>
        <w:tc>
          <w:tcPr>
            <w:tcW w:w="1593" w:type="pct"/>
            <w:tcBorders>
              <w:top w:val="nil"/>
              <w:left w:val="nil"/>
              <w:bottom w:val="nil"/>
              <w:right w:val="single" w:sz="4" w:space="0" w:color="auto"/>
            </w:tcBorders>
            <w:shd w:val="clear" w:color="auto" w:fill="C5E0B3" w:themeFill="accent6" w:themeFillTint="66"/>
            <w:noWrap/>
            <w:vAlign w:val="bottom"/>
            <w:hideMark/>
          </w:tcPr>
          <w:p w14:paraId="588296BA" w14:textId="77777777" w:rsidR="00AD200A" w:rsidRPr="004E74A6" w:rsidRDefault="00AD200A" w:rsidP="00CE62C1">
            <w:pPr>
              <w:spacing w:line="276" w:lineRule="auto"/>
              <w:jc w:val="left"/>
              <w:rPr>
                <w:rFonts w:cs="Calibri"/>
                <w:color w:val="000000"/>
                <w:sz w:val="20"/>
                <w:lang w:eastAsia="es-CR"/>
              </w:rPr>
            </w:pPr>
            <w:r w:rsidRPr="004E74A6">
              <w:rPr>
                <w:rFonts w:cs="Calibri"/>
                <w:color w:val="000000"/>
                <w:sz w:val="20"/>
                <w:lang w:eastAsia="es-CR"/>
              </w:rPr>
              <w:t>Menos De ¢3.000.001</w:t>
            </w:r>
          </w:p>
        </w:tc>
        <w:tc>
          <w:tcPr>
            <w:tcW w:w="480" w:type="pct"/>
            <w:tcBorders>
              <w:top w:val="nil"/>
              <w:left w:val="single" w:sz="4" w:space="0" w:color="auto"/>
              <w:bottom w:val="nil"/>
              <w:right w:val="single" w:sz="4" w:space="0" w:color="auto"/>
            </w:tcBorders>
            <w:shd w:val="clear" w:color="auto" w:fill="C5E0B3" w:themeFill="accent6" w:themeFillTint="66"/>
            <w:noWrap/>
            <w:vAlign w:val="center"/>
            <w:hideMark/>
          </w:tcPr>
          <w:p w14:paraId="24DD4054" w14:textId="461EF659"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0</w:t>
            </w:r>
          </w:p>
        </w:tc>
        <w:tc>
          <w:tcPr>
            <w:tcW w:w="475" w:type="pct"/>
            <w:tcBorders>
              <w:top w:val="nil"/>
              <w:left w:val="single" w:sz="4" w:space="0" w:color="auto"/>
              <w:bottom w:val="nil"/>
              <w:right w:val="single" w:sz="4" w:space="0" w:color="auto"/>
            </w:tcBorders>
            <w:shd w:val="clear" w:color="auto" w:fill="C5E0B3" w:themeFill="accent6" w:themeFillTint="66"/>
            <w:noWrap/>
            <w:vAlign w:val="center"/>
            <w:hideMark/>
          </w:tcPr>
          <w:p w14:paraId="56F9996D" w14:textId="4BEE90C9"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3</w:t>
            </w:r>
          </w:p>
        </w:tc>
        <w:tc>
          <w:tcPr>
            <w:tcW w:w="475" w:type="pct"/>
            <w:tcBorders>
              <w:top w:val="nil"/>
              <w:left w:val="single" w:sz="4" w:space="0" w:color="auto"/>
              <w:bottom w:val="nil"/>
              <w:right w:val="single" w:sz="4" w:space="0" w:color="auto"/>
            </w:tcBorders>
            <w:shd w:val="clear" w:color="auto" w:fill="C5E0B3" w:themeFill="accent6" w:themeFillTint="66"/>
            <w:noWrap/>
            <w:vAlign w:val="center"/>
            <w:hideMark/>
          </w:tcPr>
          <w:p w14:paraId="407FCC4E" w14:textId="071F69C8"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8</w:t>
            </w:r>
          </w:p>
        </w:tc>
        <w:tc>
          <w:tcPr>
            <w:tcW w:w="639" w:type="pct"/>
            <w:tcBorders>
              <w:top w:val="nil"/>
              <w:left w:val="single" w:sz="4" w:space="0" w:color="auto"/>
              <w:bottom w:val="nil"/>
              <w:right w:val="nil"/>
            </w:tcBorders>
            <w:shd w:val="clear" w:color="auto" w:fill="C5E0B3" w:themeFill="accent6" w:themeFillTint="66"/>
            <w:noWrap/>
            <w:vAlign w:val="center"/>
            <w:hideMark/>
          </w:tcPr>
          <w:p w14:paraId="01CDA0C9" w14:textId="6EB8F1FA"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3,7</w:t>
            </w:r>
          </w:p>
        </w:tc>
        <w:tc>
          <w:tcPr>
            <w:tcW w:w="1337" w:type="pct"/>
            <w:tcBorders>
              <w:top w:val="nil"/>
              <w:left w:val="single" w:sz="4" w:space="0" w:color="auto"/>
              <w:bottom w:val="nil"/>
              <w:right w:val="nil"/>
            </w:tcBorders>
            <w:shd w:val="clear" w:color="auto" w:fill="C5E0B3" w:themeFill="accent6" w:themeFillTint="66"/>
            <w:vAlign w:val="bottom"/>
          </w:tcPr>
          <w:p w14:paraId="7CB930CE" w14:textId="7D54B626" w:rsidR="00AD200A" w:rsidRPr="004E74A6" w:rsidRDefault="00AD200A" w:rsidP="00CE62C1">
            <w:pPr>
              <w:spacing w:line="276" w:lineRule="auto"/>
              <w:jc w:val="center"/>
              <w:rPr>
                <w:rFonts w:cs="Calibri"/>
                <w:color w:val="000000"/>
                <w:sz w:val="20"/>
              </w:rPr>
            </w:pPr>
            <w:r w:rsidRPr="004E74A6">
              <w:rPr>
                <w:rFonts w:cs="Calibri"/>
                <w:color w:val="000000"/>
                <w:sz w:val="20"/>
              </w:rPr>
              <w:t>3%</w:t>
            </w:r>
          </w:p>
        </w:tc>
      </w:tr>
      <w:tr w:rsidR="008B74EF" w:rsidRPr="004E74A6" w14:paraId="1B5CA61F" w14:textId="64548E78" w:rsidTr="00662185">
        <w:trPr>
          <w:trHeight w:val="284"/>
          <w:jc w:val="center"/>
        </w:trPr>
        <w:tc>
          <w:tcPr>
            <w:tcW w:w="1593" w:type="pct"/>
            <w:tcBorders>
              <w:top w:val="nil"/>
              <w:left w:val="nil"/>
              <w:bottom w:val="nil"/>
              <w:right w:val="single" w:sz="4" w:space="0" w:color="auto"/>
            </w:tcBorders>
            <w:shd w:val="clear" w:color="auto" w:fill="C5E0B3" w:themeFill="accent6" w:themeFillTint="66"/>
            <w:noWrap/>
            <w:vAlign w:val="bottom"/>
            <w:hideMark/>
          </w:tcPr>
          <w:p w14:paraId="6CC07714" w14:textId="77777777" w:rsidR="00AD200A" w:rsidRPr="004E74A6" w:rsidRDefault="00AD200A" w:rsidP="00CE62C1">
            <w:pPr>
              <w:spacing w:line="276" w:lineRule="auto"/>
              <w:jc w:val="left"/>
              <w:rPr>
                <w:rFonts w:cs="Calibri"/>
                <w:color w:val="000000"/>
                <w:sz w:val="20"/>
                <w:lang w:eastAsia="es-CR"/>
              </w:rPr>
            </w:pPr>
            <w:r w:rsidRPr="004E74A6">
              <w:rPr>
                <w:rFonts w:cs="Calibri"/>
                <w:color w:val="000000"/>
                <w:sz w:val="20"/>
                <w:lang w:eastAsia="es-CR"/>
              </w:rPr>
              <w:t>De ¢3.000.001 A ¢4.000.000</w:t>
            </w:r>
          </w:p>
        </w:tc>
        <w:tc>
          <w:tcPr>
            <w:tcW w:w="480" w:type="pct"/>
            <w:tcBorders>
              <w:top w:val="nil"/>
              <w:left w:val="single" w:sz="4" w:space="0" w:color="auto"/>
              <w:bottom w:val="nil"/>
              <w:right w:val="single" w:sz="4" w:space="0" w:color="auto"/>
            </w:tcBorders>
            <w:shd w:val="clear" w:color="auto" w:fill="C5E0B3" w:themeFill="accent6" w:themeFillTint="66"/>
            <w:noWrap/>
            <w:vAlign w:val="center"/>
            <w:hideMark/>
          </w:tcPr>
          <w:p w14:paraId="2EA52AE2" w14:textId="4107192C"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5</w:t>
            </w:r>
          </w:p>
        </w:tc>
        <w:tc>
          <w:tcPr>
            <w:tcW w:w="475" w:type="pct"/>
            <w:tcBorders>
              <w:top w:val="nil"/>
              <w:left w:val="single" w:sz="4" w:space="0" w:color="auto"/>
              <w:bottom w:val="nil"/>
              <w:right w:val="single" w:sz="4" w:space="0" w:color="auto"/>
            </w:tcBorders>
            <w:shd w:val="clear" w:color="auto" w:fill="C5E0B3" w:themeFill="accent6" w:themeFillTint="66"/>
            <w:noWrap/>
            <w:vAlign w:val="center"/>
            <w:hideMark/>
          </w:tcPr>
          <w:p w14:paraId="116AFA3E" w14:textId="4757BAD5"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3</w:t>
            </w:r>
          </w:p>
        </w:tc>
        <w:tc>
          <w:tcPr>
            <w:tcW w:w="475" w:type="pct"/>
            <w:tcBorders>
              <w:top w:val="nil"/>
              <w:left w:val="single" w:sz="4" w:space="0" w:color="auto"/>
              <w:bottom w:val="nil"/>
              <w:right w:val="single" w:sz="4" w:space="0" w:color="auto"/>
            </w:tcBorders>
            <w:shd w:val="clear" w:color="auto" w:fill="C5E0B3" w:themeFill="accent6" w:themeFillTint="66"/>
            <w:noWrap/>
            <w:vAlign w:val="center"/>
            <w:hideMark/>
          </w:tcPr>
          <w:p w14:paraId="500EE3B4" w14:textId="2E4B2B33"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10</w:t>
            </w:r>
          </w:p>
        </w:tc>
        <w:tc>
          <w:tcPr>
            <w:tcW w:w="639" w:type="pct"/>
            <w:tcBorders>
              <w:top w:val="nil"/>
              <w:left w:val="single" w:sz="4" w:space="0" w:color="auto"/>
              <w:bottom w:val="nil"/>
              <w:right w:val="nil"/>
            </w:tcBorders>
            <w:shd w:val="clear" w:color="auto" w:fill="C5E0B3" w:themeFill="accent6" w:themeFillTint="66"/>
            <w:noWrap/>
            <w:vAlign w:val="center"/>
            <w:hideMark/>
          </w:tcPr>
          <w:p w14:paraId="66425FA8" w14:textId="6427C8D1"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6,0</w:t>
            </w:r>
          </w:p>
        </w:tc>
        <w:tc>
          <w:tcPr>
            <w:tcW w:w="1337" w:type="pct"/>
            <w:tcBorders>
              <w:top w:val="nil"/>
              <w:left w:val="single" w:sz="4" w:space="0" w:color="auto"/>
              <w:bottom w:val="nil"/>
              <w:right w:val="nil"/>
            </w:tcBorders>
            <w:shd w:val="clear" w:color="auto" w:fill="C5E0B3" w:themeFill="accent6" w:themeFillTint="66"/>
            <w:vAlign w:val="bottom"/>
          </w:tcPr>
          <w:p w14:paraId="1AEA7F37" w14:textId="35DCBFC0" w:rsidR="00AD200A" w:rsidRPr="004E74A6" w:rsidRDefault="00AD200A" w:rsidP="00CE62C1">
            <w:pPr>
              <w:spacing w:line="276" w:lineRule="auto"/>
              <w:jc w:val="center"/>
              <w:rPr>
                <w:rFonts w:cs="Calibri"/>
                <w:color w:val="000000"/>
                <w:sz w:val="20"/>
              </w:rPr>
            </w:pPr>
            <w:r w:rsidRPr="004E74A6">
              <w:rPr>
                <w:rFonts w:cs="Calibri"/>
                <w:color w:val="000000"/>
                <w:sz w:val="20"/>
              </w:rPr>
              <w:t>8%</w:t>
            </w:r>
          </w:p>
        </w:tc>
      </w:tr>
      <w:tr w:rsidR="008B74EF" w:rsidRPr="004E74A6" w14:paraId="1E4BA941" w14:textId="27DFC24D" w:rsidTr="00662185">
        <w:trPr>
          <w:trHeight w:val="284"/>
          <w:jc w:val="center"/>
        </w:trPr>
        <w:tc>
          <w:tcPr>
            <w:tcW w:w="1593" w:type="pct"/>
            <w:tcBorders>
              <w:top w:val="nil"/>
              <w:left w:val="nil"/>
              <w:bottom w:val="nil"/>
              <w:right w:val="single" w:sz="4" w:space="0" w:color="auto"/>
            </w:tcBorders>
            <w:shd w:val="clear" w:color="auto" w:fill="C5E0B3" w:themeFill="accent6" w:themeFillTint="66"/>
            <w:noWrap/>
            <w:vAlign w:val="bottom"/>
            <w:hideMark/>
          </w:tcPr>
          <w:p w14:paraId="4C5DB0ED" w14:textId="77777777" w:rsidR="00AD200A" w:rsidRPr="00832773" w:rsidRDefault="00AD200A" w:rsidP="00CE62C1">
            <w:pPr>
              <w:spacing w:line="276" w:lineRule="auto"/>
              <w:jc w:val="left"/>
              <w:rPr>
                <w:rFonts w:cs="Calibri"/>
                <w:b/>
                <w:bCs/>
                <w:color w:val="000000"/>
                <w:sz w:val="20"/>
                <w:lang w:eastAsia="es-CR"/>
              </w:rPr>
            </w:pPr>
            <w:r w:rsidRPr="00832773">
              <w:rPr>
                <w:rFonts w:cs="Calibri"/>
                <w:b/>
                <w:bCs/>
                <w:color w:val="000000"/>
                <w:sz w:val="20"/>
                <w:lang w:eastAsia="es-CR"/>
              </w:rPr>
              <w:t>De ¢4.000.001 A ¢5.000.000</w:t>
            </w:r>
          </w:p>
        </w:tc>
        <w:tc>
          <w:tcPr>
            <w:tcW w:w="480" w:type="pct"/>
            <w:tcBorders>
              <w:top w:val="nil"/>
              <w:left w:val="single" w:sz="4" w:space="0" w:color="auto"/>
              <w:bottom w:val="nil"/>
              <w:right w:val="single" w:sz="4" w:space="0" w:color="auto"/>
            </w:tcBorders>
            <w:shd w:val="clear" w:color="auto" w:fill="C5E0B3" w:themeFill="accent6" w:themeFillTint="66"/>
            <w:noWrap/>
            <w:vAlign w:val="center"/>
            <w:hideMark/>
          </w:tcPr>
          <w:p w14:paraId="415960BE" w14:textId="455E96A3" w:rsidR="00AD200A" w:rsidRPr="00832773" w:rsidRDefault="00AD200A" w:rsidP="00CE62C1">
            <w:pPr>
              <w:spacing w:line="276" w:lineRule="auto"/>
              <w:jc w:val="center"/>
              <w:rPr>
                <w:rFonts w:cs="Calibri"/>
                <w:b/>
                <w:bCs/>
                <w:color w:val="000000"/>
                <w:sz w:val="20"/>
                <w:lang w:eastAsia="es-CR"/>
              </w:rPr>
            </w:pPr>
            <w:r w:rsidRPr="00832773">
              <w:rPr>
                <w:rFonts w:cs="Calibri"/>
                <w:b/>
                <w:bCs/>
                <w:color w:val="000000"/>
                <w:sz w:val="20"/>
              </w:rPr>
              <w:t>4</w:t>
            </w:r>
          </w:p>
        </w:tc>
        <w:tc>
          <w:tcPr>
            <w:tcW w:w="475" w:type="pct"/>
            <w:tcBorders>
              <w:top w:val="nil"/>
              <w:left w:val="single" w:sz="4" w:space="0" w:color="auto"/>
              <w:bottom w:val="nil"/>
              <w:right w:val="single" w:sz="4" w:space="0" w:color="auto"/>
            </w:tcBorders>
            <w:shd w:val="clear" w:color="auto" w:fill="C5E0B3" w:themeFill="accent6" w:themeFillTint="66"/>
            <w:noWrap/>
            <w:vAlign w:val="center"/>
            <w:hideMark/>
          </w:tcPr>
          <w:p w14:paraId="1CE14167" w14:textId="3856028A" w:rsidR="00AD200A" w:rsidRPr="00832773" w:rsidRDefault="00AD200A" w:rsidP="00CE62C1">
            <w:pPr>
              <w:spacing w:line="276" w:lineRule="auto"/>
              <w:jc w:val="center"/>
              <w:rPr>
                <w:rFonts w:cs="Calibri"/>
                <w:b/>
                <w:bCs/>
                <w:color w:val="000000"/>
                <w:sz w:val="20"/>
                <w:lang w:eastAsia="es-CR"/>
              </w:rPr>
            </w:pPr>
            <w:r w:rsidRPr="00832773">
              <w:rPr>
                <w:rFonts w:cs="Calibri"/>
                <w:b/>
                <w:bCs/>
                <w:color w:val="000000"/>
                <w:sz w:val="20"/>
              </w:rPr>
              <w:t>13</w:t>
            </w:r>
          </w:p>
        </w:tc>
        <w:tc>
          <w:tcPr>
            <w:tcW w:w="475" w:type="pct"/>
            <w:tcBorders>
              <w:top w:val="nil"/>
              <w:left w:val="single" w:sz="4" w:space="0" w:color="auto"/>
              <w:bottom w:val="nil"/>
              <w:right w:val="single" w:sz="4" w:space="0" w:color="auto"/>
            </w:tcBorders>
            <w:shd w:val="clear" w:color="auto" w:fill="C5E0B3" w:themeFill="accent6" w:themeFillTint="66"/>
            <w:noWrap/>
            <w:vAlign w:val="center"/>
            <w:hideMark/>
          </w:tcPr>
          <w:p w14:paraId="0896C0DF" w14:textId="29A81C6A" w:rsidR="00AD200A" w:rsidRPr="00832773" w:rsidRDefault="00AD200A" w:rsidP="00CE62C1">
            <w:pPr>
              <w:spacing w:line="276" w:lineRule="auto"/>
              <w:jc w:val="center"/>
              <w:rPr>
                <w:rFonts w:cs="Calibri"/>
                <w:b/>
                <w:bCs/>
                <w:color w:val="000000"/>
                <w:sz w:val="20"/>
                <w:lang w:eastAsia="es-CR"/>
              </w:rPr>
            </w:pPr>
            <w:r w:rsidRPr="00832773">
              <w:rPr>
                <w:rFonts w:cs="Calibri"/>
                <w:b/>
                <w:bCs/>
                <w:color w:val="000000"/>
                <w:sz w:val="20"/>
              </w:rPr>
              <w:t>15</w:t>
            </w:r>
          </w:p>
        </w:tc>
        <w:tc>
          <w:tcPr>
            <w:tcW w:w="639" w:type="pct"/>
            <w:tcBorders>
              <w:top w:val="nil"/>
              <w:left w:val="single" w:sz="4" w:space="0" w:color="auto"/>
              <w:bottom w:val="nil"/>
              <w:right w:val="nil"/>
            </w:tcBorders>
            <w:shd w:val="clear" w:color="auto" w:fill="C5E0B3" w:themeFill="accent6" w:themeFillTint="66"/>
            <w:noWrap/>
            <w:vAlign w:val="center"/>
            <w:hideMark/>
          </w:tcPr>
          <w:p w14:paraId="1A71E42F" w14:textId="6C92A1B8" w:rsidR="00AD200A" w:rsidRPr="00832773" w:rsidRDefault="00AD200A" w:rsidP="00CE62C1">
            <w:pPr>
              <w:spacing w:line="276" w:lineRule="auto"/>
              <w:jc w:val="center"/>
              <w:rPr>
                <w:rFonts w:cs="Calibri"/>
                <w:b/>
                <w:bCs/>
                <w:color w:val="000000"/>
                <w:sz w:val="20"/>
                <w:lang w:eastAsia="es-CR"/>
              </w:rPr>
            </w:pPr>
            <w:r w:rsidRPr="00832773">
              <w:rPr>
                <w:rFonts w:cs="Calibri"/>
                <w:b/>
                <w:bCs/>
                <w:color w:val="000000"/>
                <w:sz w:val="20"/>
              </w:rPr>
              <w:t>10,7</w:t>
            </w:r>
          </w:p>
        </w:tc>
        <w:tc>
          <w:tcPr>
            <w:tcW w:w="1337" w:type="pct"/>
            <w:tcBorders>
              <w:top w:val="nil"/>
              <w:left w:val="single" w:sz="4" w:space="0" w:color="auto"/>
              <w:bottom w:val="nil"/>
              <w:right w:val="nil"/>
            </w:tcBorders>
            <w:shd w:val="clear" w:color="auto" w:fill="C5E0B3" w:themeFill="accent6" w:themeFillTint="66"/>
            <w:vAlign w:val="bottom"/>
          </w:tcPr>
          <w:p w14:paraId="4E2DC6BC" w14:textId="70B4EA9C" w:rsidR="00AD200A" w:rsidRPr="00832773" w:rsidRDefault="00AD200A" w:rsidP="00CE62C1">
            <w:pPr>
              <w:spacing w:line="276" w:lineRule="auto"/>
              <w:jc w:val="center"/>
              <w:rPr>
                <w:rFonts w:cs="Calibri"/>
                <w:b/>
                <w:bCs/>
                <w:color w:val="000000"/>
                <w:sz w:val="20"/>
              </w:rPr>
            </w:pPr>
            <w:r w:rsidRPr="00832773">
              <w:rPr>
                <w:rFonts w:cs="Calibri"/>
                <w:b/>
                <w:bCs/>
                <w:color w:val="000000"/>
                <w:sz w:val="20"/>
              </w:rPr>
              <w:t>18%</w:t>
            </w:r>
          </w:p>
        </w:tc>
      </w:tr>
      <w:tr w:rsidR="008B74EF" w:rsidRPr="004E74A6" w14:paraId="351756E4" w14:textId="4CFC9236" w:rsidTr="00662185">
        <w:trPr>
          <w:trHeight w:val="284"/>
          <w:jc w:val="center"/>
        </w:trPr>
        <w:tc>
          <w:tcPr>
            <w:tcW w:w="1593" w:type="pct"/>
            <w:tcBorders>
              <w:top w:val="nil"/>
              <w:left w:val="nil"/>
              <w:bottom w:val="nil"/>
              <w:right w:val="single" w:sz="4" w:space="0" w:color="auto"/>
            </w:tcBorders>
            <w:shd w:val="clear" w:color="auto" w:fill="C5E0B3" w:themeFill="accent6" w:themeFillTint="66"/>
            <w:noWrap/>
            <w:vAlign w:val="bottom"/>
            <w:hideMark/>
          </w:tcPr>
          <w:p w14:paraId="57A8F5B5" w14:textId="77777777" w:rsidR="00AD200A" w:rsidRPr="004E74A6" w:rsidRDefault="00AD200A" w:rsidP="00CE62C1">
            <w:pPr>
              <w:spacing w:line="276" w:lineRule="auto"/>
              <w:jc w:val="left"/>
              <w:rPr>
                <w:rFonts w:cs="Calibri"/>
                <w:color w:val="000000"/>
                <w:sz w:val="20"/>
                <w:lang w:eastAsia="es-CR"/>
              </w:rPr>
            </w:pPr>
            <w:r w:rsidRPr="004E74A6">
              <w:rPr>
                <w:rFonts w:cs="Calibri"/>
                <w:color w:val="000000"/>
                <w:sz w:val="20"/>
                <w:lang w:eastAsia="es-CR"/>
              </w:rPr>
              <w:t>De ¢5.000.001 A ¢6.000.000</w:t>
            </w:r>
          </w:p>
        </w:tc>
        <w:tc>
          <w:tcPr>
            <w:tcW w:w="480" w:type="pct"/>
            <w:tcBorders>
              <w:top w:val="nil"/>
              <w:left w:val="single" w:sz="4" w:space="0" w:color="auto"/>
              <w:bottom w:val="nil"/>
              <w:right w:val="single" w:sz="4" w:space="0" w:color="auto"/>
            </w:tcBorders>
            <w:shd w:val="clear" w:color="auto" w:fill="C5E0B3" w:themeFill="accent6" w:themeFillTint="66"/>
            <w:noWrap/>
            <w:vAlign w:val="center"/>
            <w:hideMark/>
          </w:tcPr>
          <w:p w14:paraId="07E70B75" w14:textId="1BE96190"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5</w:t>
            </w:r>
          </w:p>
        </w:tc>
        <w:tc>
          <w:tcPr>
            <w:tcW w:w="475" w:type="pct"/>
            <w:tcBorders>
              <w:top w:val="nil"/>
              <w:left w:val="single" w:sz="4" w:space="0" w:color="auto"/>
              <w:bottom w:val="nil"/>
              <w:right w:val="single" w:sz="4" w:space="0" w:color="auto"/>
            </w:tcBorders>
            <w:shd w:val="clear" w:color="auto" w:fill="C5E0B3" w:themeFill="accent6" w:themeFillTint="66"/>
            <w:noWrap/>
            <w:vAlign w:val="center"/>
            <w:hideMark/>
          </w:tcPr>
          <w:p w14:paraId="45AF2DCB" w14:textId="24369D38"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8</w:t>
            </w:r>
          </w:p>
        </w:tc>
        <w:tc>
          <w:tcPr>
            <w:tcW w:w="475" w:type="pct"/>
            <w:tcBorders>
              <w:top w:val="nil"/>
              <w:left w:val="single" w:sz="4" w:space="0" w:color="auto"/>
              <w:bottom w:val="nil"/>
              <w:right w:val="single" w:sz="4" w:space="0" w:color="auto"/>
            </w:tcBorders>
            <w:shd w:val="clear" w:color="auto" w:fill="C5E0B3" w:themeFill="accent6" w:themeFillTint="66"/>
            <w:noWrap/>
            <w:vAlign w:val="center"/>
            <w:hideMark/>
          </w:tcPr>
          <w:p w14:paraId="6C7C979D" w14:textId="79E1293D"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10</w:t>
            </w:r>
          </w:p>
        </w:tc>
        <w:tc>
          <w:tcPr>
            <w:tcW w:w="639" w:type="pct"/>
            <w:tcBorders>
              <w:top w:val="nil"/>
              <w:left w:val="single" w:sz="4" w:space="0" w:color="auto"/>
              <w:bottom w:val="nil"/>
              <w:right w:val="nil"/>
            </w:tcBorders>
            <w:shd w:val="clear" w:color="auto" w:fill="C5E0B3" w:themeFill="accent6" w:themeFillTint="66"/>
            <w:noWrap/>
            <w:vAlign w:val="center"/>
            <w:hideMark/>
          </w:tcPr>
          <w:p w14:paraId="02D15E32" w14:textId="3E753327"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7,7</w:t>
            </w:r>
          </w:p>
        </w:tc>
        <w:tc>
          <w:tcPr>
            <w:tcW w:w="1337" w:type="pct"/>
            <w:tcBorders>
              <w:top w:val="nil"/>
              <w:left w:val="single" w:sz="4" w:space="0" w:color="auto"/>
              <w:bottom w:val="nil"/>
              <w:right w:val="nil"/>
            </w:tcBorders>
            <w:shd w:val="clear" w:color="auto" w:fill="C5E0B3" w:themeFill="accent6" w:themeFillTint="66"/>
            <w:vAlign w:val="bottom"/>
          </w:tcPr>
          <w:p w14:paraId="1081F7DD" w14:textId="679955E9" w:rsidR="00AD200A" w:rsidRPr="004E74A6" w:rsidRDefault="00AD200A" w:rsidP="00CE62C1">
            <w:pPr>
              <w:spacing w:line="276" w:lineRule="auto"/>
              <w:jc w:val="center"/>
              <w:rPr>
                <w:rFonts w:cs="Calibri"/>
                <w:color w:val="000000"/>
                <w:sz w:val="20"/>
              </w:rPr>
            </w:pPr>
            <w:r w:rsidRPr="004E74A6">
              <w:rPr>
                <w:rFonts w:cs="Calibri"/>
                <w:color w:val="000000"/>
                <w:sz w:val="20"/>
              </w:rPr>
              <w:t>24%</w:t>
            </w:r>
          </w:p>
        </w:tc>
      </w:tr>
      <w:tr w:rsidR="008B74EF" w:rsidRPr="004E74A6" w14:paraId="2E969C13" w14:textId="544A8327" w:rsidTr="00662185">
        <w:trPr>
          <w:trHeight w:val="284"/>
          <w:jc w:val="center"/>
        </w:trPr>
        <w:tc>
          <w:tcPr>
            <w:tcW w:w="1593" w:type="pct"/>
            <w:tcBorders>
              <w:top w:val="nil"/>
              <w:left w:val="nil"/>
              <w:bottom w:val="nil"/>
              <w:right w:val="single" w:sz="4" w:space="0" w:color="auto"/>
            </w:tcBorders>
            <w:shd w:val="clear" w:color="auto" w:fill="C5E0B3" w:themeFill="accent6" w:themeFillTint="66"/>
            <w:noWrap/>
            <w:vAlign w:val="bottom"/>
            <w:hideMark/>
          </w:tcPr>
          <w:p w14:paraId="5B6D418B" w14:textId="77777777" w:rsidR="00AD200A" w:rsidRPr="004E74A6" w:rsidRDefault="00AD200A" w:rsidP="00CE62C1">
            <w:pPr>
              <w:spacing w:line="276" w:lineRule="auto"/>
              <w:jc w:val="left"/>
              <w:rPr>
                <w:rFonts w:cs="Calibri"/>
                <w:color w:val="000000"/>
                <w:sz w:val="20"/>
                <w:lang w:eastAsia="es-CR"/>
              </w:rPr>
            </w:pPr>
            <w:r w:rsidRPr="004E74A6">
              <w:rPr>
                <w:rFonts w:cs="Calibri"/>
                <w:color w:val="000000"/>
                <w:sz w:val="20"/>
                <w:lang w:eastAsia="es-CR"/>
              </w:rPr>
              <w:t>De ¢6.000.001 A ¢7.000.000</w:t>
            </w:r>
          </w:p>
        </w:tc>
        <w:tc>
          <w:tcPr>
            <w:tcW w:w="480" w:type="pct"/>
            <w:tcBorders>
              <w:top w:val="nil"/>
              <w:left w:val="single" w:sz="4" w:space="0" w:color="auto"/>
              <w:bottom w:val="nil"/>
              <w:right w:val="single" w:sz="4" w:space="0" w:color="auto"/>
            </w:tcBorders>
            <w:shd w:val="clear" w:color="auto" w:fill="C5E0B3" w:themeFill="accent6" w:themeFillTint="66"/>
            <w:noWrap/>
            <w:vAlign w:val="center"/>
            <w:hideMark/>
          </w:tcPr>
          <w:p w14:paraId="097864BD" w14:textId="539F8287"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2</w:t>
            </w:r>
          </w:p>
        </w:tc>
        <w:tc>
          <w:tcPr>
            <w:tcW w:w="475" w:type="pct"/>
            <w:tcBorders>
              <w:top w:val="nil"/>
              <w:left w:val="single" w:sz="4" w:space="0" w:color="auto"/>
              <w:bottom w:val="nil"/>
              <w:right w:val="single" w:sz="4" w:space="0" w:color="auto"/>
            </w:tcBorders>
            <w:shd w:val="clear" w:color="auto" w:fill="C5E0B3" w:themeFill="accent6" w:themeFillTint="66"/>
            <w:noWrap/>
            <w:vAlign w:val="center"/>
            <w:hideMark/>
          </w:tcPr>
          <w:p w14:paraId="6ABD6812" w14:textId="4B9540EA"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6</w:t>
            </w:r>
          </w:p>
        </w:tc>
        <w:tc>
          <w:tcPr>
            <w:tcW w:w="475" w:type="pct"/>
            <w:tcBorders>
              <w:top w:val="nil"/>
              <w:left w:val="single" w:sz="4" w:space="0" w:color="auto"/>
              <w:bottom w:val="nil"/>
              <w:right w:val="single" w:sz="4" w:space="0" w:color="auto"/>
            </w:tcBorders>
            <w:shd w:val="clear" w:color="auto" w:fill="C5E0B3" w:themeFill="accent6" w:themeFillTint="66"/>
            <w:noWrap/>
            <w:vAlign w:val="center"/>
            <w:hideMark/>
          </w:tcPr>
          <w:p w14:paraId="7F4E6A54" w14:textId="62E59FCD"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9</w:t>
            </w:r>
          </w:p>
        </w:tc>
        <w:tc>
          <w:tcPr>
            <w:tcW w:w="639" w:type="pct"/>
            <w:tcBorders>
              <w:top w:val="nil"/>
              <w:left w:val="single" w:sz="4" w:space="0" w:color="auto"/>
              <w:bottom w:val="nil"/>
              <w:right w:val="nil"/>
            </w:tcBorders>
            <w:shd w:val="clear" w:color="auto" w:fill="C5E0B3" w:themeFill="accent6" w:themeFillTint="66"/>
            <w:noWrap/>
            <w:vAlign w:val="center"/>
            <w:hideMark/>
          </w:tcPr>
          <w:p w14:paraId="7E521904" w14:textId="41FA7091"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5,7</w:t>
            </w:r>
          </w:p>
        </w:tc>
        <w:tc>
          <w:tcPr>
            <w:tcW w:w="1337" w:type="pct"/>
            <w:tcBorders>
              <w:top w:val="nil"/>
              <w:left w:val="single" w:sz="4" w:space="0" w:color="auto"/>
              <w:bottom w:val="nil"/>
              <w:right w:val="nil"/>
            </w:tcBorders>
            <w:shd w:val="clear" w:color="auto" w:fill="C5E0B3" w:themeFill="accent6" w:themeFillTint="66"/>
            <w:vAlign w:val="bottom"/>
          </w:tcPr>
          <w:p w14:paraId="49964A81" w14:textId="0081B393" w:rsidR="00AD200A" w:rsidRPr="004E74A6" w:rsidRDefault="00AD200A" w:rsidP="00CE62C1">
            <w:pPr>
              <w:spacing w:line="276" w:lineRule="auto"/>
              <w:jc w:val="center"/>
              <w:rPr>
                <w:rFonts w:cs="Calibri"/>
                <w:color w:val="000000"/>
                <w:sz w:val="20"/>
              </w:rPr>
            </w:pPr>
            <w:r w:rsidRPr="004E74A6">
              <w:rPr>
                <w:rFonts w:cs="Calibri"/>
                <w:color w:val="000000"/>
                <w:sz w:val="20"/>
              </w:rPr>
              <w:t>29%</w:t>
            </w:r>
          </w:p>
        </w:tc>
      </w:tr>
      <w:tr w:rsidR="008B74EF" w:rsidRPr="004E74A6" w14:paraId="3E4D1D25" w14:textId="35C27CB2" w:rsidTr="00662185">
        <w:trPr>
          <w:trHeight w:val="284"/>
          <w:jc w:val="center"/>
        </w:trPr>
        <w:tc>
          <w:tcPr>
            <w:tcW w:w="1593" w:type="pct"/>
            <w:tcBorders>
              <w:top w:val="nil"/>
              <w:left w:val="nil"/>
              <w:bottom w:val="nil"/>
              <w:right w:val="single" w:sz="4" w:space="0" w:color="auto"/>
            </w:tcBorders>
            <w:shd w:val="clear" w:color="auto" w:fill="C5E0B3" w:themeFill="accent6" w:themeFillTint="66"/>
            <w:noWrap/>
            <w:vAlign w:val="bottom"/>
            <w:hideMark/>
          </w:tcPr>
          <w:p w14:paraId="62EE54D9" w14:textId="77777777" w:rsidR="00AD200A" w:rsidRPr="004E74A6" w:rsidRDefault="00AD200A" w:rsidP="00CE62C1">
            <w:pPr>
              <w:spacing w:line="276" w:lineRule="auto"/>
              <w:jc w:val="left"/>
              <w:rPr>
                <w:rFonts w:cs="Calibri"/>
                <w:color w:val="000000"/>
                <w:sz w:val="20"/>
                <w:lang w:eastAsia="es-CR"/>
              </w:rPr>
            </w:pPr>
            <w:r w:rsidRPr="004E74A6">
              <w:rPr>
                <w:rFonts w:cs="Calibri"/>
                <w:color w:val="000000"/>
                <w:sz w:val="20"/>
                <w:lang w:eastAsia="es-CR"/>
              </w:rPr>
              <w:t>De ¢7.000.001 A ¢8.000.000</w:t>
            </w:r>
          </w:p>
        </w:tc>
        <w:tc>
          <w:tcPr>
            <w:tcW w:w="480" w:type="pct"/>
            <w:tcBorders>
              <w:top w:val="nil"/>
              <w:left w:val="single" w:sz="4" w:space="0" w:color="auto"/>
              <w:bottom w:val="nil"/>
              <w:right w:val="single" w:sz="4" w:space="0" w:color="auto"/>
            </w:tcBorders>
            <w:shd w:val="clear" w:color="auto" w:fill="C5E0B3" w:themeFill="accent6" w:themeFillTint="66"/>
            <w:noWrap/>
            <w:vAlign w:val="center"/>
            <w:hideMark/>
          </w:tcPr>
          <w:p w14:paraId="6C3A01C4" w14:textId="5B8CE707"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2</w:t>
            </w:r>
          </w:p>
        </w:tc>
        <w:tc>
          <w:tcPr>
            <w:tcW w:w="475" w:type="pct"/>
            <w:tcBorders>
              <w:top w:val="nil"/>
              <w:left w:val="single" w:sz="4" w:space="0" w:color="auto"/>
              <w:bottom w:val="nil"/>
              <w:right w:val="single" w:sz="4" w:space="0" w:color="auto"/>
            </w:tcBorders>
            <w:shd w:val="clear" w:color="auto" w:fill="C5E0B3" w:themeFill="accent6" w:themeFillTint="66"/>
            <w:noWrap/>
            <w:vAlign w:val="center"/>
            <w:hideMark/>
          </w:tcPr>
          <w:p w14:paraId="08629C7D" w14:textId="4366AC85"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4</w:t>
            </w:r>
          </w:p>
        </w:tc>
        <w:tc>
          <w:tcPr>
            <w:tcW w:w="475" w:type="pct"/>
            <w:tcBorders>
              <w:top w:val="nil"/>
              <w:left w:val="single" w:sz="4" w:space="0" w:color="auto"/>
              <w:bottom w:val="nil"/>
              <w:right w:val="single" w:sz="4" w:space="0" w:color="auto"/>
            </w:tcBorders>
            <w:shd w:val="clear" w:color="auto" w:fill="C5E0B3" w:themeFill="accent6" w:themeFillTint="66"/>
            <w:noWrap/>
            <w:vAlign w:val="center"/>
            <w:hideMark/>
          </w:tcPr>
          <w:p w14:paraId="4A1A2A9F" w14:textId="5FFCA76F"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6</w:t>
            </w:r>
          </w:p>
        </w:tc>
        <w:tc>
          <w:tcPr>
            <w:tcW w:w="639" w:type="pct"/>
            <w:tcBorders>
              <w:top w:val="nil"/>
              <w:left w:val="single" w:sz="4" w:space="0" w:color="auto"/>
              <w:bottom w:val="nil"/>
              <w:right w:val="nil"/>
            </w:tcBorders>
            <w:shd w:val="clear" w:color="auto" w:fill="C5E0B3" w:themeFill="accent6" w:themeFillTint="66"/>
            <w:noWrap/>
            <w:vAlign w:val="center"/>
            <w:hideMark/>
          </w:tcPr>
          <w:p w14:paraId="68E1ECFA" w14:textId="56BAFB50"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4,0</w:t>
            </w:r>
          </w:p>
        </w:tc>
        <w:tc>
          <w:tcPr>
            <w:tcW w:w="1337" w:type="pct"/>
            <w:tcBorders>
              <w:top w:val="nil"/>
              <w:left w:val="single" w:sz="4" w:space="0" w:color="auto"/>
              <w:bottom w:val="nil"/>
              <w:right w:val="nil"/>
            </w:tcBorders>
            <w:shd w:val="clear" w:color="auto" w:fill="C5E0B3" w:themeFill="accent6" w:themeFillTint="66"/>
            <w:vAlign w:val="bottom"/>
          </w:tcPr>
          <w:p w14:paraId="01368AB7" w14:textId="0AD2BF69" w:rsidR="00AD200A" w:rsidRPr="004E74A6" w:rsidRDefault="00AD200A" w:rsidP="00CE62C1">
            <w:pPr>
              <w:spacing w:line="276" w:lineRule="auto"/>
              <w:jc w:val="center"/>
              <w:rPr>
                <w:rFonts w:cs="Calibri"/>
                <w:color w:val="000000"/>
                <w:sz w:val="20"/>
              </w:rPr>
            </w:pPr>
            <w:r w:rsidRPr="004E74A6">
              <w:rPr>
                <w:rFonts w:cs="Calibri"/>
                <w:color w:val="000000"/>
                <w:sz w:val="20"/>
              </w:rPr>
              <w:t>33%</w:t>
            </w:r>
          </w:p>
        </w:tc>
      </w:tr>
      <w:tr w:rsidR="008B74EF" w:rsidRPr="004E74A6" w14:paraId="614796AD" w14:textId="74055688" w:rsidTr="00662185">
        <w:trPr>
          <w:trHeight w:val="284"/>
          <w:jc w:val="center"/>
        </w:trPr>
        <w:tc>
          <w:tcPr>
            <w:tcW w:w="1593" w:type="pct"/>
            <w:tcBorders>
              <w:top w:val="nil"/>
              <w:left w:val="nil"/>
              <w:bottom w:val="nil"/>
              <w:right w:val="single" w:sz="4" w:space="0" w:color="auto"/>
            </w:tcBorders>
            <w:shd w:val="clear" w:color="auto" w:fill="C5E0B3" w:themeFill="accent6" w:themeFillTint="66"/>
            <w:noWrap/>
            <w:vAlign w:val="bottom"/>
            <w:hideMark/>
          </w:tcPr>
          <w:p w14:paraId="2F63E49E" w14:textId="77777777" w:rsidR="00AD200A" w:rsidRPr="004E74A6" w:rsidRDefault="00AD200A" w:rsidP="00CE62C1">
            <w:pPr>
              <w:spacing w:line="276" w:lineRule="auto"/>
              <w:jc w:val="left"/>
              <w:rPr>
                <w:rFonts w:cs="Calibri"/>
                <w:color w:val="000000"/>
                <w:sz w:val="20"/>
                <w:lang w:eastAsia="es-CR"/>
              </w:rPr>
            </w:pPr>
            <w:r w:rsidRPr="004E74A6">
              <w:rPr>
                <w:rFonts w:cs="Calibri"/>
                <w:color w:val="000000"/>
                <w:sz w:val="20"/>
                <w:lang w:eastAsia="es-CR"/>
              </w:rPr>
              <w:t>De ¢8.000.001 A ¢9.000.000</w:t>
            </w:r>
          </w:p>
        </w:tc>
        <w:tc>
          <w:tcPr>
            <w:tcW w:w="480" w:type="pct"/>
            <w:tcBorders>
              <w:top w:val="nil"/>
              <w:left w:val="single" w:sz="4" w:space="0" w:color="auto"/>
              <w:bottom w:val="nil"/>
              <w:right w:val="single" w:sz="4" w:space="0" w:color="auto"/>
            </w:tcBorders>
            <w:shd w:val="clear" w:color="auto" w:fill="C5E0B3" w:themeFill="accent6" w:themeFillTint="66"/>
            <w:noWrap/>
            <w:vAlign w:val="center"/>
            <w:hideMark/>
          </w:tcPr>
          <w:p w14:paraId="26464283" w14:textId="0BAFC540"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1</w:t>
            </w:r>
          </w:p>
        </w:tc>
        <w:tc>
          <w:tcPr>
            <w:tcW w:w="475" w:type="pct"/>
            <w:tcBorders>
              <w:top w:val="nil"/>
              <w:left w:val="single" w:sz="4" w:space="0" w:color="auto"/>
              <w:bottom w:val="nil"/>
              <w:right w:val="single" w:sz="4" w:space="0" w:color="auto"/>
            </w:tcBorders>
            <w:shd w:val="clear" w:color="auto" w:fill="C5E0B3" w:themeFill="accent6" w:themeFillTint="66"/>
            <w:noWrap/>
            <w:vAlign w:val="center"/>
            <w:hideMark/>
          </w:tcPr>
          <w:p w14:paraId="70726F82" w14:textId="2CDB89D0"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2</w:t>
            </w:r>
          </w:p>
        </w:tc>
        <w:tc>
          <w:tcPr>
            <w:tcW w:w="475" w:type="pct"/>
            <w:tcBorders>
              <w:top w:val="nil"/>
              <w:left w:val="single" w:sz="4" w:space="0" w:color="auto"/>
              <w:bottom w:val="nil"/>
              <w:right w:val="single" w:sz="4" w:space="0" w:color="auto"/>
            </w:tcBorders>
            <w:shd w:val="clear" w:color="auto" w:fill="C5E0B3" w:themeFill="accent6" w:themeFillTint="66"/>
            <w:noWrap/>
            <w:vAlign w:val="center"/>
            <w:hideMark/>
          </w:tcPr>
          <w:p w14:paraId="712CB8D9" w14:textId="05FFA73B"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4</w:t>
            </w:r>
          </w:p>
        </w:tc>
        <w:tc>
          <w:tcPr>
            <w:tcW w:w="639" w:type="pct"/>
            <w:tcBorders>
              <w:top w:val="nil"/>
              <w:left w:val="single" w:sz="4" w:space="0" w:color="auto"/>
              <w:bottom w:val="nil"/>
              <w:right w:val="nil"/>
            </w:tcBorders>
            <w:shd w:val="clear" w:color="auto" w:fill="C5E0B3" w:themeFill="accent6" w:themeFillTint="66"/>
            <w:noWrap/>
            <w:vAlign w:val="center"/>
            <w:hideMark/>
          </w:tcPr>
          <w:p w14:paraId="5BBC48F4" w14:textId="33FC60DE"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2,3</w:t>
            </w:r>
          </w:p>
        </w:tc>
        <w:tc>
          <w:tcPr>
            <w:tcW w:w="1337" w:type="pct"/>
            <w:tcBorders>
              <w:top w:val="nil"/>
              <w:left w:val="single" w:sz="4" w:space="0" w:color="auto"/>
              <w:bottom w:val="nil"/>
              <w:right w:val="nil"/>
            </w:tcBorders>
            <w:shd w:val="clear" w:color="auto" w:fill="C5E0B3" w:themeFill="accent6" w:themeFillTint="66"/>
            <w:vAlign w:val="bottom"/>
          </w:tcPr>
          <w:p w14:paraId="0BD58ECA" w14:textId="5205CAAE" w:rsidR="00AD200A" w:rsidRPr="004E74A6" w:rsidRDefault="00AD200A" w:rsidP="00CE62C1">
            <w:pPr>
              <w:spacing w:line="276" w:lineRule="auto"/>
              <w:jc w:val="center"/>
              <w:rPr>
                <w:rFonts w:cs="Calibri"/>
                <w:color w:val="000000"/>
                <w:sz w:val="20"/>
              </w:rPr>
            </w:pPr>
            <w:r w:rsidRPr="004E74A6">
              <w:rPr>
                <w:rFonts w:cs="Calibri"/>
                <w:color w:val="000000"/>
                <w:sz w:val="20"/>
              </w:rPr>
              <w:t>35%</w:t>
            </w:r>
          </w:p>
        </w:tc>
      </w:tr>
      <w:tr w:rsidR="008B74EF" w:rsidRPr="004E74A6" w14:paraId="5D454EE8" w14:textId="549C82F6" w:rsidTr="00662185">
        <w:trPr>
          <w:trHeight w:val="284"/>
          <w:jc w:val="center"/>
        </w:trPr>
        <w:tc>
          <w:tcPr>
            <w:tcW w:w="1593" w:type="pct"/>
            <w:tcBorders>
              <w:top w:val="nil"/>
              <w:left w:val="nil"/>
              <w:bottom w:val="nil"/>
              <w:right w:val="single" w:sz="4" w:space="0" w:color="auto"/>
            </w:tcBorders>
            <w:shd w:val="clear" w:color="auto" w:fill="C5E0B3" w:themeFill="accent6" w:themeFillTint="66"/>
            <w:noWrap/>
            <w:vAlign w:val="bottom"/>
            <w:hideMark/>
          </w:tcPr>
          <w:p w14:paraId="126C431E" w14:textId="77777777" w:rsidR="00AD200A" w:rsidRPr="004E74A6" w:rsidRDefault="00AD200A" w:rsidP="00CE62C1">
            <w:pPr>
              <w:spacing w:line="276" w:lineRule="auto"/>
              <w:jc w:val="left"/>
              <w:rPr>
                <w:rFonts w:cs="Calibri"/>
                <w:color w:val="000000"/>
                <w:sz w:val="20"/>
                <w:lang w:eastAsia="es-CR"/>
              </w:rPr>
            </w:pPr>
            <w:r w:rsidRPr="004E74A6">
              <w:rPr>
                <w:rFonts w:cs="Calibri"/>
                <w:color w:val="000000"/>
                <w:sz w:val="20"/>
                <w:lang w:eastAsia="es-CR"/>
              </w:rPr>
              <w:t>De ¢9.000.001 A ¢10.000.000</w:t>
            </w:r>
          </w:p>
        </w:tc>
        <w:tc>
          <w:tcPr>
            <w:tcW w:w="480" w:type="pct"/>
            <w:tcBorders>
              <w:top w:val="nil"/>
              <w:left w:val="single" w:sz="4" w:space="0" w:color="auto"/>
              <w:bottom w:val="nil"/>
              <w:right w:val="single" w:sz="4" w:space="0" w:color="auto"/>
            </w:tcBorders>
            <w:shd w:val="clear" w:color="auto" w:fill="C5E0B3" w:themeFill="accent6" w:themeFillTint="66"/>
            <w:noWrap/>
            <w:vAlign w:val="center"/>
            <w:hideMark/>
          </w:tcPr>
          <w:p w14:paraId="5E578853" w14:textId="13A73DC3"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6</w:t>
            </w:r>
          </w:p>
        </w:tc>
        <w:tc>
          <w:tcPr>
            <w:tcW w:w="475" w:type="pct"/>
            <w:tcBorders>
              <w:top w:val="nil"/>
              <w:left w:val="single" w:sz="4" w:space="0" w:color="auto"/>
              <w:bottom w:val="nil"/>
              <w:right w:val="single" w:sz="4" w:space="0" w:color="auto"/>
            </w:tcBorders>
            <w:shd w:val="clear" w:color="auto" w:fill="C5E0B3" w:themeFill="accent6" w:themeFillTint="66"/>
            <w:noWrap/>
            <w:vAlign w:val="center"/>
            <w:hideMark/>
          </w:tcPr>
          <w:p w14:paraId="5F15BB5B" w14:textId="1E377922"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2</w:t>
            </w:r>
          </w:p>
        </w:tc>
        <w:tc>
          <w:tcPr>
            <w:tcW w:w="475" w:type="pct"/>
            <w:tcBorders>
              <w:top w:val="nil"/>
              <w:left w:val="single" w:sz="4" w:space="0" w:color="auto"/>
              <w:bottom w:val="nil"/>
              <w:right w:val="single" w:sz="4" w:space="0" w:color="auto"/>
            </w:tcBorders>
            <w:shd w:val="clear" w:color="auto" w:fill="C5E0B3" w:themeFill="accent6" w:themeFillTint="66"/>
            <w:noWrap/>
            <w:vAlign w:val="center"/>
            <w:hideMark/>
          </w:tcPr>
          <w:p w14:paraId="5FC17EC7" w14:textId="093B1B9B"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5</w:t>
            </w:r>
          </w:p>
        </w:tc>
        <w:tc>
          <w:tcPr>
            <w:tcW w:w="639" w:type="pct"/>
            <w:tcBorders>
              <w:top w:val="nil"/>
              <w:left w:val="single" w:sz="4" w:space="0" w:color="auto"/>
              <w:bottom w:val="nil"/>
              <w:right w:val="nil"/>
            </w:tcBorders>
            <w:shd w:val="clear" w:color="auto" w:fill="C5E0B3" w:themeFill="accent6" w:themeFillTint="66"/>
            <w:noWrap/>
            <w:vAlign w:val="center"/>
            <w:hideMark/>
          </w:tcPr>
          <w:p w14:paraId="1D2987A4" w14:textId="5424B809"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4,3</w:t>
            </w:r>
          </w:p>
        </w:tc>
        <w:tc>
          <w:tcPr>
            <w:tcW w:w="1337" w:type="pct"/>
            <w:tcBorders>
              <w:top w:val="nil"/>
              <w:left w:val="single" w:sz="4" w:space="0" w:color="auto"/>
              <w:bottom w:val="nil"/>
              <w:right w:val="nil"/>
            </w:tcBorders>
            <w:shd w:val="clear" w:color="auto" w:fill="C5E0B3" w:themeFill="accent6" w:themeFillTint="66"/>
            <w:vAlign w:val="bottom"/>
          </w:tcPr>
          <w:p w14:paraId="1358FB06" w14:textId="433D48A5" w:rsidR="00AD200A" w:rsidRPr="004E74A6" w:rsidRDefault="00AD200A" w:rsidP="00CE62C1">
            <w:pPr>
              <w:spacing w:line="276" w:lineRule="auto"/>
              <w:jc w:val="center"/>
              <w:rPr>
                <w:rFonts w:cs="Calibri"/>
                <w:color w:val="000000"/>
                <w:sz w:val="20"/>
              </w:rPr>
            </w:pPr>
            <w:r w:rsidRPr="004E74A6">
              <w:rPr>
                <w:rFonts w:cs="Calibri"/>
                <w:color w:val="000000"/>
                <w:sz w:val="20"/>
              </w:rPr>
              <w:t>39%</w:t>
            </w:r>
          </w:p>
        </w:tc>
      </w:tr>
      <w:tr w:rsidR="008B74EF" w:rsidRPr="004E74A6" w14:paraId="3221E520" w14:textId="2E176433" w:rsidTr="00662185">
        <w:trPr>
          <w:trHeight w:val="284"/>
          <w:jc w:val="center"/>
        </w:trPr>
        <w:tc>
          <w:tcPr>
            <w:tcW w:w="1593" w:type="pct"/>
            <w:tcBorders>
              <w:top w:val="nil"/>
              <w:left w:val="nil"/>
              <w:bottom w:val="nil"/>
              <w:right w:val="single" w:sz="4" w:space="0" w:color="auto"/>
            </w:tcBorders>
            <w:shd w:val="clear" w:color="auto" w:fill="C5E0B3" w:themeFill="accent6" w:themeFillTint="66"/>
            <w:noWrap/>
            <w:vAlign w:val="bottom"/>
            <w:hideMark/>
          </w:tcPr>
          <w:p w14:paraId="46F0FA30" w14:textId="77777777" w:rsidR="00AD200A" w:rsidRPr="004E74A6" w:rsidRDefault="00AD200A" w:rsidP="00CE62C1">
            <w:pPr>
              <w:spacing w:line="276" w:lineRule="auto"/>
              <w:jc w:val="left"/>
              <w:rPr>
                <w:rFonts w:cs="Calibri"/>
                <w:color w:val="000000"/>
                <w:sz w:val="20"/>
                <w:lang w:eastAsia="es-CR"/>
              </w:rPr>
            </w:pPr>
            <w:r w:rsidRPr="004E74A6">
              <w:rPr>
                <w:rFonts w:cs="Calibri"/>
                <w:color w:val="000000"/>
                <w:sz w:val="20"/>
                <w:lang w:eastAsia="es-CR"/>
              </w:rPr>
              <w:t>De ¢10.000.001 A ¢15.000.000</w:t>
            </w:r>
          </w:p>
        </w:tc>
        <w:tc>
          <w:tcPr>
            <w:tcW w:w="480" w:type="pct"/>
            <w:tcBorders>
              <w:top w:val="nil"/>
              <w:left w:val="single" w:sz="4" w:space="0" w:color="auto"/>
              <w:bottom w:val="nil"/>
              <w:right w:val="single" w:sz="4" w:space="0" w:color="auto"/>
            </w:tcBorders>
            <w:shd w:val="clear" w:color="auto" w:fill="C5E0B3" w:themeFill="accent6" w:themeFillTint="66"/>
            <w:noWrap/>
            <w:vAlign w:val="center"/>
            <w:hideMark/>
          </w:tcPr>
          <w:p w14:paraId="25BAF076" w14:textId="002A3AD4"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4</w:t>
            </w:r>
          </w:p>
        </w:tc>
        <w:tc>
          <w:tcPr>
            <w:tcW w:w="475" w:type="pct"/>
            <w:tcBorders>
              <w:top w:val="nil"/>
              <w:left w:val="single" w:sz="4" w:space="0" w:color="auto"/>
              <w:bottom w:val="nil"/>
              <w:right w:val="single" w:sz="4" w:space="0" w:color="auto"/>
            </w:tcBorders>
            <w:shd w:val="clear" w:color="auto" w:fill="C5E0B3" w:themeFill="accent6" w:themeFillTint="66"/>
            <w:noWrap/>
            <w:vAlign w:val="center"/>
            <w:hideMark/>
          </w:tcPr>
          <w:p w14:paraId="0FA79D5C" w14:textId="29F3BFB9"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15</w:t>
            </w:r>
          </w:p>
        </w:tc>
        <w:tc>
          <w:tcPr>
            <w:tcW w:w="475" w:type="pct"/>
            <w:tcBorders>
              <w:top w:val="nil"/>
              <w:left w:val="single" w:sz="4" w:space="0" w:color="auto"/>
              <w:bottom w:val="nil"/>
              <w:right w:val="single" w:sz="4" w:space="0" w:color="auto"/>
            </w:tcBorders>
            <w:shd w:val="clear" w:color="auto" w:fill="C5E0B3" w:themeFill="accent6" w:themeFillTint="66"/>
            <w:noWrap/>
            <w:vAlign w:val="center"/>
            <w:hideMark/>
          </w:tcPr>
          <w:p w14:paraId="2C4C98A2" w14:textId="6013E94B"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20</w:t>
            </w:r>
          </w:p>
        </w:tc>
        <w:tc>
          <w:tcPr>
            <w:tcW w:w="639" w:type="pct"/>
            <w:tcBorders>
              <w:top w:val="nil"/>
              <w:left w:val="single" w:sz="4" w:space="0" w:color="auto"/>
              <w:bottom w:val="nil"/>
              <w:right w:val="nil"/>
            </w:tcBorders>
            <w:shd w:val="clear" w:color="auto" w:fill="C5E0B3" w:themeFill="accent6" w:themeFillTint="66"/>
            <w:noWrap/>
            <w:vAlign w:val="center"/>
            <w:hideMark/>
          </w:tcPr>
          <w:p w14:paraId="118839E6" w14:textId="033FC2DF"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13,0</w:t>
            </w:r>
          </w:p>
        </w:tc>
        <w:tc>
          <w:tcPr>
            <w:tcW w:w="1337" w:type="pct"/>
            <w:tcBorders>
              <w:top w:val="nil"/>
              <w:left w:val="single" w:sz="4" w:space="0" w:color="auto"/>
              <w:bottom w:val="nil"/>
              <w:right w:val="nil"/>
            </w:tcBorders>
            <w:shd w:val="clear" w:color="auto" w:fill="C5E0B3" w:themeFill="accent6" w:themeFillTint="66"/>
            <w:vAlign w:val="bottom"/>
          </w:tcPr>
          <w:p w14:paraId="526BC34E" w14:textId="2118B26B" w:rsidR="00AD200A" w:rsidRPr="004E74A6" w:rsidRDefault="00AD200A" w:rsidP="00CE62C1">
            <w:pPr>
              <w:spacing w:line="276" w:lineRule="auto"/>
              <w:jc w:val="center"/>
              <w:rPr>
                <w:rFonts w:cs="Calibri"/>
                <w:color w:val="000000"/>
                <w:sz w:val="20"/>
              </w:rPr>
            </w:pPr>
            <w:r w:rsidRPr="004E74A6">
              <w:rPr>
                <w:rFonts w:cs="Calibri"/>
                <w:color w:val="000000"/>
                <w:sz w:val="20"/>
              </w:rPr>
              <w:t>50%</w:t>
            </w:r>
          </w:p>
        </w:tc>
      </w:tr>
      <w:tr w:rsidR="008B74EF" w:rsidRPr="004E74A6" w14:paraId="0CD37389" w14:textId="6330CEAE" w:rsidTr="00662185">
        <w:trPr>
          <w:trHeight w:val="284"/>
          <w:jc w:val="center"/>
        </w:trPr>
        <w:tc>
          <w:tcPr>
            <w:tcW w:w="1593" w:type="pct"/>
            <w:tcBorders>
              <w:top w:val="nil"/>
              <w:left w:val="nil"/>
              <w:bottom w:val="nil"/>
              <w:right w:val="single" w:sz="4" w:space="0" w:color="auto"/>
            </w:tcBorders>
            <w:shd w:val="clear" w:color="auto" w:fill="C5E0B3" w:themeFill="accent6" w:themeFillTint="66"/>
            <w:noWrap/>
            <w:vAlign w:val="bottom"/>
            <w:hideMark/>
          </w:tcPr>
          <w:p w14:paraId="595FDBC8" w14:textId="77777777" w:rsidR="00AD200A" w:rsidRPr="004E74A6" w:rsidRDefault="00AD200A" w:rsidP="00CE62C1">
            <w:pPr>
              <w:spacing w:line="276" w:lineRule="auto"/>
              <w:jc w:val="left"/>
              <w:rPr>
                <w:rFonts w:cs="Calibri"/>
                <w:color w:val="000000"/>
                <w:sz w:val="20"/>
                <w:lang w:eastAsia="es-CR"/>
              </w:rPr>
            </w:pPr>
            <w:r w:rsidRPr="004E74A6">
              <w:rPr>
                <w:rFonts w:cs="Calibri"/>
                <w:color w:val="000000"/>
                <w:sz w:val="20"/>
                <w:lang w:eastAsia="es-CR"/>
              </w:rPr>
              <w:t>De ¢15.000.001 A ¢20.000.000</w:t>
            </w:r>
          </w:p>
        </w:tc>
        <w:tc>
          <w:tcPr>
            <w:tcW w:w="480" w:type="pct"/>
            <w:tcBorders>
              <w:top w:val="nil"/>
              <w:left w:val="single" w:sz="4" w:space="0" w:color="auto"/>
              <w:bottom w:val="nil"/>
              <w:right w:val="single" w:sz="4" w:space="0" w:color="auto"/>
            </w:tcBorders>
            <w:shd w:val="clear" w:color="auto" w:fill="C5E0B3" w:themeFill="accent6" w:themeFillTint="66"/>
            <w:noWrap/>
            <w:vAlign w:val="center"/>
            <w:hideMark/>
          </w:tcPr>
          <w:p w14:paraId="4D7F7BB8" w14:textId="2F44D49B"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5</w:t>
            </w:r>
          </w:p>
        </w:tc>
        <w:tc>
          <w:tcPr>
            <w:tcW w:w="475" w:type="pct"/>
            <w:tcBorders>
              <w:top w:val="nil"/>
              <w:left w:val="single" w:sz="4" w:space="0" w:color="auto"/>
              <w:bottom w:val="nil"/>
              <w:right w:val="single" w:sz="4" w:space="0" w:color="auto"/>
            </w:tcBorders>
            <w:shd w:val="clear" w:color="auto" w:fill="C5E0B3" w:themeFill="accent6" w:themeFillTint="66"/>
            <w:noWrap/>
            <w:vAlign w:val="center"/>
            <w:hideMark/>
          </w:tcPr>
          <w:p w14:paraId="2EBA298C" w14:textId="68B4BE01"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8</w:t>
            </w:r>
          </w:p>
        </w:tc>
        <w:tc>
          <w:tcPr>
            <w:tcW w:w="475" w:type="pct"/>
            <w:tcBorders>
              <w:top w:val="nil"/>
              <w:left w:val="single" w:sz="4" w:space="0" w:color="auto"/>
              <w:bottom w:val="nil"/>
              <w:right w:val="single" w:sz="4" w:space="0" w:color="auto"/>
            </w:tcBorders>
            <w:shd w:val="clear" w:color="auto" w:fill="C5E0B3" w:themeFill="accent6" w:themeFillTint="66"/>
            <w:noWrap/>
            <w:vAlign w:val="center"/>
            <w:hideMark/>
          </w:tcPr>
          <w:p w14:paraId="36D8A252" w14:textId="48D99E13"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9</w:t>
            </w:r>
          </w:p>
        </w:tc>
        <w:tc>
          <w:tcPr>
            <w:tcW w:w="639" w:type="pct"/>
            <w:tcBorders>
              <w:top w:val="nil"/>
              <w:left w:val="single" w:sz="4" w:space="0" w:color="auto"/>
              <w:bottom w:val="nil"/>
              <w:right w:val="nil"/>
            </w:tcBorders>
            <w:shd w:val="clear" w:color="auto" w:fill="C5E0B3" w:themeFill="accent6" w:themeFillTint="66"/>
            <w:noWrap/>
            <w:vAlign w:val="center"/>
            <w:hideMark/>
          </w:tcPr>
          <w:p w14:paraId="2FD8020D" w14:textId="0305801D"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7,3</w:t>
            </w:r>
          </w:p>
        </w:tc>
        <w:tc>
          <w:tcPr>
            <w:tcW w:w="1337" w:type="pct"/>
            <w:tcBorders>
              <w:top w:val="nil"/>
              <w:left w:val="single" w:sz="4" w:space="0" w:color="auto"/>
              <w:bottom w:val="nil"/>
              <w:right w:val="nil"/>
            </w:tcBorders>
            <w:shd w:val="clear" w:color="auto" w:fill="C5E0B3" w:themeFill="accent6" w:themeFillTint="66"/>
            <w:vAlign w:val="bottom"/>
          </w:tcPr>
          <w:p w14:paraId="6275C645" w14:textId="4B81697E" w:rsidR="00AD200A" w:rsidRPr="004E74A6" w:rsidRDefault="00AD200A" w:rsidP="00CE62C1">
            <w:pPr>
              <w:spacing w:line="276" w:lineRule="auto"/>
              <w:jc w:val="center"/>
              <w:rPr>
                <w:rFonts w:cs="Calibri"/>
                <w:color w:val="000000"/>
                <w:sz w:val="20"/>
              </w:rPr>
            </w:pPr>
            <w:r w:rsidRPr="004E74A6">
              <w:rPr>
                <w:rFonts w:cs="Calibri"/>
                <w:color w:val="000000"/>
                <w:sz w:val="20"/>
              </w:rPr>
              <w:t>56%</w:t>
            </w:r>
          </w:p>
        </w:tc>
      </w:tr>
      <w:tr w:rsidR="008B74EF" w:rsidRPr="004E74A6" w14:paraId="54098513" w14:textId="3064AB93" w:rsidTr="00662185">
        <w:trPr>
          <w:trHeight w:val="284"/>
          <w:jc w:val="center"/>
        </w:trPr>
        <w:tc>
          <w:tcPr>
            <w:tcW w:w="1593" w:type="pct"/>
            <w:tcBorders>
              <w:top w:val="nil"/>
              <w:left w:val="nil"/>
              <w:bottom w:val="nil"/>
              <w:right w:val="single" w:sz="4" w:space="0" w:color="auto"/>
            </w:tcBorders>
            <w:shd w:val="clear" w:color="auto" w:fill="auto"/>
            <w:noWrap/>
            <w:vAlign w:val="bottom"/>
            <w:hideMark/>
          </w:tcPr>
          <w:p w14:paraId="2703F4D6" w14:textId="77777777" w:rsidR="00AD200A" w:rsidRPr="004E74A6" w:rsidRDefault="00AD200A" w:rsidP="00CE62C1">
            <w:pPr>
              <w:spacing w:line="276" w:lineRule="auto"/>
              <w:jc w:val="left"/>
              <w:rPr>
                <w:rFonts w:cs="Calibri"/>
                <w:color w:val="000000"/>
                <w:sz w:val="20"/>
                <w:lang w:eastAsia="es-CR"/>
              </w:rPr>
            </w:pPr>
            <w:r w:rsidRPr="004E74A6">
              <w:rPr>
                <w:rFonts w:cs="Calibri"/>
                <w:color w:val="000000"/>
                <w:sz w:val="20"/>
                <w:lang w:eastAsia="es-CR"/>
              </w:rPr>
              <w:t>De ¢20.000.001 A ¢25.000.000</w:t>
            </w:r>
          </w:p>
        </w:tc>
        <w:tc>
          <w:tcPr>
            <w:tcW w:w="480" w:type="pct"/>
            <w:tcBorders>
              <w:top w:val="nil"/>
              <w:left w:val="single" w:sz="4" w:space="0" w:color="auto"/>
              <w:bottom w:val="nil"/>
              <w:right w:val="single" w:sz="4" w:space="0" w:color="auto"/>
            </w:tcBorders>
            <w:shd w:val="clear" w:color="auto" w:fill="auto"/>
            <w:noWrap/>
            <w:vAlign w:val="center"/>
            <w:hideMark/>
          </w:tcPr>
          <w:p w14:paraId="5DD473B5" w14:textId="65EC6B5E"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7</w:t>
            </w:r>
          </w:p>
        </w:tc>
        <w:tc>
          <w:tcPr>
            <w:tcW w:w="475" w:type="pct"/>
            <w:tcBorders>
              <w:top w:val="nil"/>
              <w:left w:val="single" w:sz="4" w:space="0" w:color="auto"/>
              <w:bottom w:val="nil"/>
              <w:right w:val="single" w:sz="4" w:space="0" w:color="auto"/>
            </w:tcBorders>
            <w:shd w:val="clear" w:color="auto" w:fill="auto"/>
            <w:noWrap/>
            <w:vAlign w:val="center"/>
            <w:hideMark/>
          </w:tcPr>
          <w:p w14:paraId="3A67C8E9" w14:textId="5C5BBB51"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6</w:t>
            </w:r>
          </w:p>
        </w:tc>
        <w:tc>
          <w:tcPr>
            <w:tcW w:w="475" w:type="pct"/>
            <w:tcBorders>
              <w:top w:val="nil"/>
              <w:left w:val="single" w:sz="4" w:space="0" w:color="auto"/>
              <w:bottom w:val="nil"/>
              <w:right w:val="single" w:sz="4" w:space="0" w:color="auto"/>
            </w:tcBorders>
            <w:shd w:val="clear" w:color="auto" w:fill="auto"/>
            <w:noWrap/>
            <w:vAlign w:val="center"/>
            <w:hideMark/>
          </w:tcPr>
          <w:p w14:paraId="3A936A89" w14:textId="6B8895F7"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15</w:t>
            </w:r>
          </w:p>
        </w:tc>
        <w:tc>
          <w:tcPr>
            <w:tcW w:w="639" w:type="pct"/>
            <w:tcBorders>
              <w:top w:val="nil"/>
              <w:left w:val="single" w:sz="4" w:space="0" w:color="auto"/>
              <w:bottom w:val="nil"/>
              <w:right w:val="nil"/>
            </w:tcBorders>
            <w:shd w:val="clear" w:color="auto" w:fill="auto"/>
            <w:noWrap/>
            <w:vAlign w:val="center"/>
            <w:hideMark/>
          </w:tcPr>
          <w:p w14:paraId="446AE615" w14:textId="58145642"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9,3</w:t>
            </w:r>
          </w:p>
        </w:tc>
        <w:tc>
          <w:tcPr>
            <w:tcW w:w="1337" w:type="pct"/>
            <w:tcBorders>
              <w:top w:val="nil"/>
              <w:left w:val="single" w:sz="4" w:space="0" w:color="auto"/>
              <w:bottom w:val="nil"/>
              <w:right w:val="nil"/>
            </w:tcBorders>
            <w:vAlign w:val="bottom"/>
          </w:tcPr>
          <w:p w14:paraId="2116F42E" w14:textId="3EB8F093" w:rsidR="00AD200A" w:rsidRPr="004E74A6" w:rsidRDefault="00AD200A" w:rsidP="00CE62C1">
            <w:pPr>
              <w:spacing w:line="276" w:lineRule="auto"/>
              <w:jc w:val="center"/>
              <w:rPr>
                <w:rFonts w:cs="Calibri"/>
                <w:color w:val="000000"/>
                <w:sz w:val="20"/>
              </w:rPr>
            </w:pPr>
            <w:r w:rsidRPr="004E74A6">
              <w:rPr>
                <w:rFonts w:cs="Calibri"/>
                <w:color w:val="000000"/>
                <w:sz w:val="20"/>
              </w:rPr>
              <w:t>65%</w:t>
            </w:r>
          </w:p>
        </w:tc>
      </w:tr>
      <w:tr w:rsidR="008B74EF" w:rsidRPr="004E74A6" w14:paraId="69F747AA" w14:textId="3BCB4D19" w:rsidTr="00662185">
        <w:trPr>
          <w:trHeight w:val="284"/>
          <w:jc w:val="center"/>
        </w:trPr>
        <w:tc>
          <w:tcPr>
            <w:tcW w:w="1593" w:type="pct"/>
            <w:tcBorders>
              <w:top w:val="nil"/>
              <w:left w:val="nil"/>
              <w:bottom w:val="nil"/>
              <w:right w:val="single" w:sz="4" w:space="0" w:color="auto"/>
            </w:tcBorders>
            <w:shd w:val="clear" w:color="auto" w:fill="auto"/>
            <w:noWrap/>
            <w:vAlign w:val="bottom"/>
            <w:hideMark/>
          </w:tcPr>
          <w:p w14:paraId="0C4314C1" w14:textId="77777777" w:rsidR="00AD200A" w:rsidRPr="004E74A6" w:rsidRDefault="00AD200A" w:rsidP="00CE62C1">
            <w:pPr>
              <w:spacing w:line="276" w:lineRule="auto"/>
              <w:jc w:val="left"/>
              <w:rPr>
                <w:rFonts w:cs="Calibri"/>
                <w:color w:val="000000"/>
                <w:sz w:val="20"/>
                <w:lang w:eastAsia="es-CR"/>
              </w:rPr>
            </w:pPr>
            <w:r w:rsidRPr="004E74A6">
              <w:rPr>
                <w:rFonts w:cs="Calibri"/>
                <w:color w:val="000000"/>
                <w:sz w:val="20"/>
                <w:lang w:eastAsia="es-CR"/>
              </w:rPr>
              <w:t>De ¢25.000.001 A ¢30.000.000</w:t>
            </w:r>
          </w:p>
        </w:tc>
        <w:tc>
          <w:tcPr>
            <w:tcW w:w="480" w:type="pct"/>
            <w:tcBorders>
              <w:top w:val="nil"/>
              <w:left w:val="single" w:sz="4" w:space="0" w:color="auto"/>
              <w:bottom w:val="nil"/>
              <w:right w:val="single" w:sz="4" w:space="0" w:color="auto"/>
            </w:tcBorders>
            <w:shd w:val="clear" w:color="auto" w:fill="auto"/>
            <w:noWrap/>
            <w:vAlign w:val="center"/>
            <w:hideMark/>
          </w:tcPr>
          <w:p w14:paraId="047FE458" w14:textId="28205088"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4</w:t>
            </w:r>
          </w:p>
        </w:tc>
        <w:tc>
          <w:tcPr>
            <w:tcW w:w="475" w:type="pct"/>
            <w:tcBorders>
              <w:top w:val="nil"/>
              <w:left w:val="single" w:sz="4" w:space="0" w:color="auto"/>
              <w:bottom w:val="nil"/>
              <w:right w:val="single" w:sz="4" w:space="0" w:color="auto"/>
            </w:tcBorders>
            <w:shd w:val="clear" w:color="auto" w:fill="auto"/>
            <w:noWrap/>
            <w:vAlign w:val="center"/>
            <w:hideMark/>
          </w:tcPr>
          <w:p w14:paraId="3967A83C" w14:textId="6D2671ED"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5</w:t>
            </w:r>
          </w:p>
        </w:tc>
        <w:tc>
          <w:tcPr>
            <w:tcW w:w="475" w:type="pct"/>
            <w:tcBorders>
              <w:top w:val="nil"/>
              <w:left w:val="single" w:sz="4" w:space="0" w:color="auto"/>
              <w:bottom w:val="nil"/>
              <w:right w:val="single" w:sz="4" w:space="0" w:color="auto"/>
            </w:tcBorders>
            <w:shd w:val="clear" w:color="auto" w:fill="auto"/>
            <w:noWrap/>
            <w:vAlign w:val="center"/>
            <w:hideMark/>
          </w:tcPr>
          <w:p w14:paraId="58ADDC56" w14:textId="0E1DC013"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9</w:t>
            </w:r>
          </w:p>
        </w:tc>
        <w:tc>
          <w:tcPr>
            <w:tcW w:w="639" w:type="pct"/>
            <w:tcBorders>
              <w:top w:val="nil"/>
              <w:left w:val="single" w:sz="4" w:space="0" w:color="auto"/>
              <w:bottom w:val="nil"/>
              <w:right w:val="nil"/>
            </w:tcBorders>
            <w:shd w:val="clear" w:color="auto" w:fill="auto"/>
            <w:noWrap/>
            <w:vAlign w:val="center"/>
            <w:hideMark/>
          </w:tcPr>
          <w:p w14:paraId="20EAC794" w14:textId="0B7F6D16"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6,0</w:t>
            </w:r>
          </w:p>
        </w:tc>
        <w:tc>
          <w:tcPr>
            <w:tcW w:w="1337" w:type="pct"/>
            <w:tcBorders>
              <w:top w:val="nil"/>
              <w:left w:val="single" w:sz="4" w:space="0" w:color="auto"/>
              <w:bottom w:val="nil"/>
              <w:right w:val="nil"/>
            </w:tcBorders>
            <w:vAlign w:val="bottom"/>
          </w:tcPr>
          <w:p w14:paraId="01599C31" w14:textId="57F1FD29" w:rsidR="00AD200A" w:rsidRPr="004E74A6" w:rsidRDefault="00AD200A" w:rsidP="00CE62C1">
            <w:pPr>
              <w:spacing w:line="276" w:lineRule="auto"/>
              <w:jc w:val="center"/>
              <w:rPr>
                <w:rFonts w:cs="Calibri"/>
                <w:color w:val="000000"/>
                <w:sz w:val="20"/>
              </w:rPr>
            </w:pPr>
            <w:r w:rsidRPr="004E74A6">
              <w:rPr>
                <w:rFonts w:cs="Calibri"/>
                <w:color w:val="000000"/>
                <w:sz w:val="20"/>
              </w:rPr>
              <w:t>70%</w:t>
            </w:r>
          </w:p>
        </w:tc>
      </w:tr>
      <w:tr w:rsidR="008B74EF" w:rsidRPr="004E74A6" w14:paraId="34C972D5" w14:textId="70486C73" w:rsidTr="00662185">
        <w:trPr>
          <w:trHeight w:val="284"/>
          <w:jc w:val="center"/>
        </w:trPr>
        <w:tc>
          <w:tcPr>
            <w:tcW w:w="1593" w:type="pct"/>
            <w:tcBorders>
              <w:top w:val="nil"/>
              <w:left w:val="nil"/>
              <w:bottom w:val="nil"/>
              <w:right w:val="single" w:sz="4" w:space="0" w:color="auto"/>
            </w:tcBorders>
            <w:shd w:val="clear" w:color="auto" w:fill="auto"/>
            <w:noWrap/>
            <w:vAlign w:val="bottom"/>
            <w:hideMark/>
          </w:tcPr>
          <w:p w14:paraId="4E8528DD" w14:textId="77777777" w:rsidR="00AD200A" w:rsidRPr="004E74A6" w:rsidRDefault="00AD200A" w:rsidP="00CE62C1">
            <w:pPr>
              <w:spacing w:line="276" w:lineRule="auto"/>
              <w:jc w:val="left"/>
              <w:rPr>
                <w:rFonts w:cs="Calibri"/>
                <w:color w:val="000000"/>
                <w:sz w:val="20"/>
                <w:lang w:eastAsia="es-CR"/>
              </w:rPr>
            </w:pPr>
            <w:r w:rsidRPr="004E74A6">
              <w:rPr>
                <w:rFonts w:cs="Calibri"/>
                <w:color w:val="000000"/>
                <w:sz w:val="20"/>
                <w:lang w:eastAsia="es-CR"/>
              </w:rPr>
              <w:t>De ¢30.000.001 A ¢35.000.000</w:t>
            </w:r>
          </w:p>
        </w:tc>
        <w:tc>
          <w:tcPr>
            <w:tcW w:w="480" w:type="pct"/>
            <w:tcBorders>
              <w:top w:val="nil"/>
              <w:left w:val="single" w:sz="4" w:space="0" w:color="auto"/>
              <w:bottom w:val="nil"/>
              <w:right w:val="single" w:sz="4" w:space="0" w:color="auto"/>
            </w:tcBorders>
            <w:shd w:val="clear" w:color="auto" w:fill="auto"/>
            <w:noWrap/>
            <w:vAlign w:val="center"/>
            <w:hideMark/>
          </w:tcPr>
          <w:p w14:paraId="657D7389" w14:textId="3C4B50E8"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1</w:t>
            </w:r>
          </w:p>
        </w:tc>
        <w:tc>
          <w:tcPr>
            <w:tcW w:w="475" w:type="pct"/>
            <w:tcBorders>
              <w:top w:val="nil"/>
              <w:left w:val="single" w:sz="4" w:space="0" w:color="auto"/>
              <w:bottom w:val="nil"/>
              <w:right w:val="single" w:sz="4" w:space="0" w:color="auto"/>
            </w:tcBorders>
            <w:shd w:val="clear" w:color="auto" w:fill="auto"/>
            <w:noWrap/>
            <w:vAlign w:val="center"/>
            <w:hideMark/>
          </w:tcPr>
          <w:p w14:paraId="18C63307" w14:textId="2C09C3B2"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6</w:t>
            </w:r>
          </w:p>
        </w:tc>
        <w:tc>
          <w:tcPr>
            <w:tcW w:w="475" w:type="pct"/>
            <w:tcBorders>
              <w:top w:val="nil"/>
              <w:left w:val="single" w:sz="4" w:space="0" w:color="auto"/>
              <w:bottom w:val="nil"/>
              <w:right w:val="single" w:sz="4" w:space="0" w:color="auto"/>
            </w:tcBorders>
            <w:shd w:val="clear" w:color="auto" w:fill="auto"/>
            <w:noWrap/>
            <w:vAlign w:val="center"/>
            <w:hideMark/>
          </w:tcPr>
          <w:p w14:paraId="06A0485F" w14:textId="1B65B685"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6</w:t>
            </w:r>
          </w:p>
        </w:tc>
        <w:tc>
          <w:tcPr>
            <w:tcW w:w="639" w:type="pct"/>
            <w:tcBorders>
              <w:top w:val="nil"/>
              <w:left w:val="single" w:sz="4" w:space="0" w:color="auto"/>
              <w:bottom w:val="nil"/>
              <w:right w:val="nil"/>
            </w:tcBorders>
            <w:shd w:val="clear" w:color="auto" w:fill="auto"/>
            <w:noWrap/>
            <w:vAlign w:val="center"/>
            <w:hideMark/>
          </w:tcPr>
          <w:p w14:paraId="4E051A29" w14:textId="36AEEC2C"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4,3</w:t>
            </w:r>
          </w:p>
        </w:tc>
        <w:tc>
          <w:tcPr>
            <w:tcW w:w="1337" w:type="pct"/>
            <w:tcBorders>
              <w:top w:val="nil"/>
              <w:left w:val="single" w:sz="4" w:space="0" w:color="auto"/>
              <w:bottom w:val="nil"/>
              <w:right w:val="nil"/>
            </w:tcBorders>
            <w:vAlign w:val="bottom"/>
          </w:tcPr>
          <w:p w14:paraId="25757223" w14:textId="7989EBDA" w:rsidR="00AD200A" w:rsidRPr="004E74A6" w:rsidRDefault="00AD200A" w:rsidP="00CE62C1">
            <w:pPr>
              <w:spacing w:line="276" w:lineRule="auto"/>
              <w:jc w:val="center"/>
              <w:rPr>
                <w:rFonts w:cs="Calibri"/>
                <w:color w:val="000000"/>
                <w:sz w:val="20"/>
              </w:rPr>
            </w:pPr>
            <w:r w:rsidRPr="004E74A6">
              <w:rPr>
                <w:rFonts w:cs="Calibri"/>
                <w:color w:val="000000"/>
                <w:sz w:val="20"/>
              </w:rPr>
              <w:t>74%</w:t>
            </w:r>
          </w:p>
        </w:tc>
      </w:tr>
      <w:tr w:rsidR="008B74EF" w:rsidRPr="004E74A6" w14:paraId="5708CEEE" w14:textId="6C1BA593" w:rsidTr="00662185">
        <w:trPr>
          <w:trHeight w:val="284"/>
          <w:jc w:val="center"/>
        </w:trPr>
        <w:tc>
          <w:tcPr>
            <w:tcW w:w="1593" w:type="pct"/>
            <w:tcBorders>
              <w:top w:val="nil"/>
              <w:left w:val="nil"/>
              <w:bottom w:val="nil"/>
              <w:right w:val="single" w:sz="4" w:space="0" w:color="auto"/>
            </w:tcBorders>
            <w:shd w:val="clear" w:color="auto" w:fill="auto"/>
            <w:noWrap/>
            <w:vAlign w:val="bottom"/>
            <w:hideMark/>
          </w:tcPr>
          <w:p w14:paraId="2F472A59" w14:textId="77777777" w:rsidR="00AD200A" w:rsidRPr="004E74A6" w:rsidRDefault="00AD200A" w:rsidP="00CE62C1">
            <w:pPr>
              <w:spacing w:line="276" w:lineRule="auto"/>
              <w:jc w:val="left"/>
              <w:rPr>
                <w:rFonts w:cs="Calibri"/>
                <w:color w:val="000000"/>
                <w:sz w:val="20"/>
                <w:lang w:eastAsia="es-CR"/>
              </w:rPr>
            </w:pPr>
            <w:r w:rsidRPr="004E74A6">
              <w:rPr>
                <w:rFonts w:cs="Calibri"/>
                <w:color w:val="000000"/>
                <w:sz w:val="20"/>
                <w:lang w:eastAsia="es-CR"/>
              </w:rPr>
              <w:t>De ¢35.000.001 A ¢40.000.000</w:t>
            </w:r>
          </w:p>
        </w:tc>
        <w:tc>
          <w:tcPr>
            <w:tcW w:w="480" w:type="pct"/>
            <w:tcBorders>
              <w:top w:val="nil"/>
              <w:left w:val="single" w:sz="4" w:space="0" w:color="auto"/>
              <w:bottom w:val="nil"/>
              <w:right w:val="single" w:sz="4" w:space="0" w:color="auto"/>
            </w:tcBorders>
            <w:shd w:val="clear" w:color="auto" w:fill="auto"/>
            <w:noWrap/>
            <w:vAlign w:val="center"/>
            <w:hideMark/>
          </w:tcPr>
          <w:p w14:paraId="5830716C" w14:textId="793A247B"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1</w:t>
            </w:r>
          </w:p>
        </w:tc>
        <w:tc>
          <w:tcPr>
            <w:tcW w:w="475" w:type="pct"/>
            <w:tcBorders>
              <w:top w:val="nil"/>
              <w:left w:val="single" w:sz="4" w:space="0" w:color="auto"/>
              <w:bottom w:val="nil"/>
              <w:right w:val="single" w:sz="4" w:space="0" w:color="auto"/>
            </w:tcBorders>
            <w:shd w:val="clear" w:color="auto" w:fill="auto"/>
            <w:noWrap/>
            <w:vAlign w:val="center"/>
            <w:hideMark/>
          </w:tcPr>
          <w:p w14:paraId="557C14F3" w14:textId="148D2E38"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3</w:t>
            </w:r>
          </w:p>
        </w:tc>
        <w:tc>
          <w:tcPr>
            <w:tcW w:w="475" w:type="pct"/>
            <w:tcBorders>
              <w:top w:val="nil"/>
              <w:left w:val="single" w:sz="4" w:space="0" w:color="auto"/>
              <w:bottom w:val="nil"/>
              <w:right w:val="single" w:sz="4" w:space="0" w:color="auto"/>
            </w:tcBorders>
            <w:shd w:val="clear" w:color="auto" w:fill="auto"/>
            <w:noWrap/>
            <w:vAlign w:val="center"/>
            <w:hideMark/>
          </w:tcPr>
          <w:p w14:paraId="143C8A84" w14:textId="0732D158"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0</w:t>
            </w:r>
          </w:p>
        </w:tc>
        <w:tc>
          <w:tcPr>
            <w:tcW w:w="639" w:type="pct"/>
            <w:tcBorders>
              <w:top w:val="nil"/>
              <w:left w:val="single" w:sz="4" w:space="0" w:color="auto"/>
              <w:bottom w:val="nil"/>
              <w:right w:val="nil"/>
            </w:tcBorders>
            <w:shd w:val="clear" w:color="auto" w:fill="auto"/>
            <w:noWrap/>
            <w:vAlign w:val="center"/>
            <w:hideMark/>
          </w:tcPr>
          <w:p w14:paraId="719AB46E" w14:textId="6747A19E"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1,3</w:t>
            </w:r>
          </w:p>
        </w:tc>
        <w:tc>
          <w:tcPr>
            <w:tcW w:w="1337" w:type="pct"/>
            <w:tcBorders>
              <w:top w:val="nil"/>
              <w:left w:val="single" w:sz="4" w:space="0" w:color="auto"/>
              <w:bottom w:val="nil"/>
              <w:right w:val="nil"/>
            </w:tcBorders>
            <w:vAlign w:val="bottom"/>
          </w:tcPr>
          <w:p w14:paraId="7BABF109" w14:textId="3B2A01DB" w:rsidR="00AD200A" w:rsidRPr="004E74A6" w:rsidRDefault="00AD200A" w:rsidP="00CE62C1">
            <w:pPr>
              <w:spacing w:line="276" w:lineRule="auto"/>
              <w:jc w:val="center"/>
              <w:rPr>
                <w:rFonts w:cs="Calibri"/>
                <w:color w:val="000000"/>
                <w:sz w:val="20"/>
              </w:rPr>
            </w:pPr>
            <w:r w:rsidRPr="004E74A6">
              <w:rPr>
                <w:rFonts w:cs="Calibri"/>
                <w:color w:val="000000"/>
                <w:sz w:val="20"/>
              </w:rPr>
              <w:t>75%</w:t>
            </w:r>
          </w:p>
        </w:tc>
      </w:tr>
      <w:tr w:rsidR="008B74EF" w:rsidRPr="004E74A6" w14:paraId="0366ABBC" w14:textId="55F73DCD" w:rsidTr="00662185">
        <w:trPr>
          <w:trHeight w:val="284"/>
          <w:jc w:val="center"/>
        </w:trPr>
        <w:tc>
          <w:tcPr>
            <w:tcW w:w="1593" w:type="pct"/>
            <w:tcBorders>
              <w:top w:val="nil"/>
              <w:left w:val="nil"/>
              <w:bottom w:val="nil"/>
              <w:right w:val="single" w:sz="4" w:space="0" w:color="auto"/>
            </w:tcBorders>
            <w:shd w:val="clear" w:color="auto" w:fill="auto"/>
            <w:noWrap/>
            <w:vAlign w:val="bottom"/>
            <w:hideMark/>
          </w:tcPr>
          <w:p w14:paraId="07F75AC1" w14:textId="77777777" w:rsidR="00AD200A" w:rsidRPr="004E74A6" w:rsidRDefault="00AD200A" w:rsidP="00CE62C1">
            <w:pPr>
              <w:spacing w:line="276" w:lineRule="auto"/>
              <w:jc w:val="left"/>
              <w:rPr>
                <w:rFonts w:cs="Calibri"/>
                <w:color w:val="000000"/>
                <w:sz w:val="20"/>
                <w:lang w:eastAsia="es-CR"/>
              </w:rPr>
            </w:pPr>
            <w:r w:rsidRPr="004E74A6">
              <w:rPr>
                <w:rFonts w:cs="Calibri"/>
                <w:color w:val="000000"/>
                <w:sz w:val="20"/>
                <w:lang w:eastAsia="es-CR"/>
              </w:rPr>
              <w:t>De ¢40.000.001 A ¢45.000.000</w:t>
            </w:r>
          </w:p>
        </w:tc>
        <w:tc>
          <w:tcPr>
            <w:tcW w:w="480" w:type="pct"/>
            <w:tcBorders>
              <w:top w:val="nil"/>
              <w:left w:val="single" w:sz="4" w:space="0" w:color="auto"/>
              <w:bottom w:val="nil"/>
              <w:right w:val="single" w:sz="4" w:space="0" w:color="auto"/>
            </w:tcBorders>
            <w:shd w:val="clear" w:color="auto" w:fill="auto"/>
            <w:noWrap/>
            <w:vAlign w:val="center"/>
            <w:hideMark/>
          </w:tcPr>
          <w:p w14:paraId="37614CDF" w14:textId="7C655F7C"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1</w:t>
            </w:r>
          </w:p>
        </w:tc>
        <w:tc>
          <w:tcPr>
            <w:tcW w:w="475" w:type="pct"/>
            <w:tcBorders>
              <w:top w:val="nil"/>
              <w:left w:val="single" w:sz="4" w:space="0" w:color="auto"/>
              <w:bottom w:val="nil"/>
              <w:right w:val="single" w:sz="4" w:space="0" w:color="auto"/>
            </w:tcBorders>
            <w:shd w:val="clear" w:color="auto" w:fill="auto"/>
            <w:noWrap/>
            <w:vAlign w:val="center"/>
            <w:hideMark/>
          </w:tcPr>
          <w:p w14:paraId="2ACEC7AD" w14:textId="05ED0917"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1</w:t>
            </w:r>
          </w:p>
        </w:tc>
        <w:tc>
          <w:tcPr>
            <w:tcW w:w="475" w:type="pct"/>
            <w:tcBorders>
              <w:top w:val="nil"/>
              <w:left w:val="single" w:sz="4" w:space="0" w:color="auto"/>
              <w:bottom w:val="nil"/>
              <w:right w:val="single" w:sz="4" w:space="0" w:color="auto"/>
            </w:tcBorders>
            <w:shd w:val="clear" w:color="auto" w:fill="auto"/>
            <w:noWrap/>
            <w:vAlign w:val="center"/>
            <w:hideMark/>
          </w:tcPr>
          <w:p w14:paraId="59CF0852" w14:textId="35FDFFE2"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5</w:t>
            </w:r>
          </w:p>
        </w:tc>
        <w:tc>
          <w:tcPr>
            <w:tcW w:w="639" w:type="pct"/>
            <w:tcBorders>
              <w:top w:val="nil"/>
              <w:left w:val="single" w:sz="4" w:space="0" w:color="auto"/>
              <w:bottom w:val="nil"/>
              <w:right w:val="nil"/>
            </w:tcBorders>
            <w:shd w:val="clear" w:color="auto" w:fill="auto"/>
            <w:noWrap/>
            <w:vAlign w:val="center"/>
            <w:hideMark/>
          </w:tcPr>
          <w:p w14:paraId="767F0EC6" w14:textId="15991A80"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2,3</w:t>
            </w:r>
          </w:p>
        </w:tc>
        <w:tc>
          <w:tcPr>
            <w:tcW w:w="1337" w:type="pct"/>
            <w:tcBorders>
              <w:top w:val="nil"/>
              <w:left w:val="single" w:sz="4" w:space="0" w:color="auto"/>
              <w:bottom w:val="nil"/>
              <w:right w:val="nil"/>
            </w:tcBorders>
            <w:vAlign w:val="bottom"/>
          </w:tcPr>
          <w:p w14:paraId="090AB446" w14:textId="55960B8B" w:rsidR="00AD200A" w:rsidRPr="004E74A6" w:rsidRDefault="00AD200A" w:rsidP="00CE62C1">
            <w:pPr>
              <w:spacing w:line="276" w:lineRule="auto"/>
              <w:jc w:val="center"/>
              <w:rPr>
                <w:rFonts w:cs="Calibri"/>
                <w:color w:val="000000"/>
                <w:sz w:val="20"/>
              </w:rPr>
            </w:pPr>
            <w:r w:rsidRPr="004E74A6">
              <w:rPr>
                <w:rFonts w:cs="Calibri"/>
                <w:color w:val="000000"/>
                <w:sz w:val="20"/>
              </w:rPr>
              <w:t>77%</w:t>
            </w:r>
          </w:p>
        </w:tc>
      </w:tr>
      <w:tr w:rsidR="008B74EF" w:rsidRPr="004E74A6" w14:paraId="31052F62" w14:textId="52A3F12D" w:rsidTr="00662185">
        <w:trPr>
          <w:trHeight w:val="284"/>
          <w:jc w:val="center"/>
        </w:trPr>
        <w:tc>
          <w:tcPr>
            <w:tcW w:w="1593" w:type="pct"/>
            <w:tcBorders>
              <w:top w:val="nil"/>
              <w:left w:val="nil"/>
              <w:bottom w:val="nil"/>
              <w:right w:val="single" w:sz="4" w:space="0" w:color="auto"/>
            </w:tcBorders>
            <w:shd w:val="clear" w:color="auto" w:fill="auto"/>
            <w:noWrap/>
            <w:vAlign w:val="bottom"/>
            <w:hideMark/>
          </w:tcPr>
          <w:p w14:paraId="14D6EAB2" w14:textId="77777777" w:rsidR="00AD200A" w:rsidRPr="004E74A6" w:rsidRDefault="00AD200A" w:rsidP="00CE62C1">
            <w:pPr>
              <w:spacing w:line="276" w:lineRule="auto"/>
              <w:jc w:val="left"/>
              <w:rPr>
                <w:rFonts w:cs="Calibri"/>
                <w:color w:val="000000"/>
                <w:sz w:val="20"/>
                <w:lang w:eastAsia="es-CR"/>
              </w:rPr>
            </w:pPr>
            <w:r w:rsidRPr="004E74A6">
              <w:rPr>
                <w:rFonts w:cs="Calibri"/>
                <w:color w:val="000000"/>
                <w:sz w:val="20"/>
                <w:lang w:eastAsia="es-CR"/>
              </w:rPr>
              <w:t>De ¢45.000.001 A ¢50.000.000</w:t>
            </w:r>
          </w:p>
        </w:tc>
        <w:tc>
          <w:tcPr>
            <w:tcW w:w="480" w:type="pct"/>
            <w:tcBorders>
              <w:top w:val="nil"/>
              <w:left w:val="single" w:sz="4" w:space="0" w:color="auto"/>
              <w:bottom w:val="nil"/>
              <w:right w:val="single" w:sz="4" w:space="0" w:color="auto"/>
            </w:tcBorders>
            <w:shd w:val="clear" w:color="auto" w:fill="auto"/>
            <w:noWrap/>
            <w:vAlign w:val="center"/>
            <w:hideMark/>
          </w:tcPr>
          <w:p w14:paraId="13F66644" w14:textId="16EA5498"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3</w:t>
            </w:r>
          </w:p>
        </w:tc>
        <w:tc>
          <w:tcPr>
            <w:tcW w:w="475" w:type="pct"/>
            <w:tcBorders>
              <w:top w:val="nil"/>
              <w:left w:val="single" w:sz="4" w:space="0" w:color="auto"/>
              <w:bottom w:val="nil"/>
              <w:right w:val="single" w:sz="4" w:space="0" w:color="auto"/>
            </w:tcBorders>
            <w:shd w:val="clear" w:color="auto" w:fill="auto"/>
            <w:noWrap/>
            <w:vAlign w:val="center"/>
            <w:hideMark/>
          </w:tcPr>
          <w:p w14:paraId="6EBDE9A2" w14:textId="36BC176C"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0</w:t>
            </w:r>
          </w:p>
        </w:tc>
        <w:tc>
          <w:tcPr>
            <w:tcW w:w="475" w:type="pct"/>
            <w:tcBorders>
              <w:top w:val="nil"/>
              <w:left w:val="single" w:sz="4" w:space="0" w:color="auto"/>
              <w:bottom w:val="nil"/>
              <w:right w:val="single" w:sz="4" w:space="0" w:color="auto"/>
            </w:tcBorders>
            <w:shd w:val="clear" w:color="auto" w:fill="auto"/>
            <w:noWrap/>
            <w:vAlign w:val="center"/>
            <w:hideMark/>
          </w:tcPr>
          <w:p w14:paraId="06B8EF21" w14:textId="420B708D"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1</w:t>
            </w:r>
          </w:p>
        </w:tc>
        <w:tc>
          <w:tcPr>
            <w:tcW w:w="639" w:type="pct"/>
            <w:tcBorders>
              <w:top w:val="nil"/>
              <w:left w:val="single" w:sz="4" w:space="0" w:color="auto"/>
              <w:bottom w:val="nil"/>
              <w:right w:val="nil"/>
            </w:tcBorders>
            <w:shd w:val="clear" w:color="auto" w:fill="auto"/>
            <w:noWrap/>
            <w:vAlign w:val="center"/>
            <w:hideMark/>
          </w:tcPr>
          <w:p w14:paraId="7FBA8174" w14:textId="5DDE7BC9"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1,3</w:t>
            </w:r>
          </w:p>
        </w:tc>
        <w:tc>
          <w:tcPr>
            <w:tcW w:w="1337" w:type="pct"/>
            <w:tcBorders>
              <w:top w:val="nil"/>
              <w:left w:val="single" w:sz="4" w:space="0" w:color="auto"/>
              <w:bottom w:val="nil"/>
              <w:right w:val="nil"/>
            </w:tcBorders>
            <w:vAlign w:val="bottom"/>
          </w:tcPr>
          <w:p w14:paraId="76683631" w14:textId="7845BD4B" w:rsidR="00AD200A" w:rsidRPr="004E74A6" w:rsidRDefault="00AD200A" w:rsidP="00CE62C1">
            <w:pPr>
              <w:spacing w:line="276" w:lineRule="auto"/>
              <w:jc w:val="center"/>
              <w:rPr>
                <w:rFonts w:cs="Calibri"/>
                <w:color w:val="000000"/>
                <w:sz w:val="20"/>
              </w:rPr>
            </w:pPr>
            <w:r w:rsidRPr="004E74A6">
              <w:rPr>
                <w:rFonts w:cs="Calibri"/>
                <w:color w:val="000000"/>
                <w:sz w:val="20"/>
              </w:rPr>
              <w:t>78%</w:t>
            </w:r>
          </w:p>
        </w:tc>
      </w:tr>
      <w:tr w:rsidR="008B74EF" w:rsidRPr="004E74A6" w14:paraId="5854C6A4" w14:textId="5681736F" w:rsidTr="00662185">
        <w:trPr>
          <w:trHeight w:val="284"/>
          <w:jc w:val="center"/>
        </w:trPr>
        <w:tc>
          <w:tcPr>
            <w:tcW w:w="1593" w:type="pct"/>
            <w:tcBorders>
              <w:top w:val="nil"/>
              <w:left w:val="nil"/>
              <w:bottom w:val="nil"/>
              <w:right w:val="single" w:sz="4" w:space="0" w:color="auto"/>
            </w:tcBorders>
            <w:shd w:val="clear" w:color="auto" w:fill="auto"/>
            <w:noWrap/>
            <w:vAlign w:val="bottom"/>
            <w:hideMark/>
          </w:tcPr>
          <w:p w14:paraId="2EF7A057" w14:textId="77777777" w:rsidR="00AD200A" w:rsidRPr="004E74A6" w:rsidRDefault="00AD200A" w:rsidP="00CE62C1">
            <w:pPr>
              <w:spacing w:line="276" w:lineRule="auto"/>
              <w:jc w:val="left"/>
              <w:rPr>
                <w:rFonts w:cs="Calibri"/>
                <w:color w:val="000000"/>
                <w:sz w:val="20"/>
                <w:lang w:eastAsia="es-CR"/>
              </w:rPr>
            </w:pPr>
            <w:r w:rsidRPr="004E74A6">
              <w:rPr>
                <w:rFonts w:cs="Calibri"/>
                <w:color w:val="000000"/>
                <w:sz w:val="20"/>
                <w:lang w:eastAsia="es-CR"/>
              </w:rPr>
              <w:t>De ¢50.000.001 A ¢55.000.000</w:t>
            </w:r>
          </w:p>
        </w:tc>
        <w:tc>
          <w:tcPr>
            <w:tcW w:w="480" w:type="pct"/>
            <w:tcBorders>
              <w:top w:val="nil"/>
              <w:left w:val="single" w:sz="4" w:space="0" w:color="auto"/>
              <w:bottom w:val="nil"/>
              <w:right w:val="single" w:sz="4" w:space="0" w:color="auto"/>
            </w:tcBorders>
            <w:shd w:val="clear" w:color="auto" w:fill="auto"/>
            <w:noWrap/>
            <w:vAlign w:val="center"/>
            <w:hideMark/>
          </w:tcPr>
          <w:p w14:paraId="6CCEE5FF" w14:textId="16593A9A"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2</w:t>
            </w:r>
          </w:p>
        </w:tc>
        <w:tc>
          <w:tcPr>
            <w:tcW w:w="475" w:type="pct"/>
            <w:tcBorders>
              <w:top w:val="nil"/>
              <w:left w:val="single" w:sz="4" w:space="0" w:color="auto"/>
              <w:bottom w:val="nil"/>
              <w:right w:val="single" w:sz="4" w:space="0" w:color="auto"/>
            </w:tcBorders>
            <w:shd w:val="clear" w:color="auto" w:fill="auto"/>
            <w:noWrap/>
            <w:vAlign w:val="center"/>
            <w:hideMark/>
          </w:tcPr>
          <w:p w14:paraId="585A50E9" w14:textId="7ACE5BA6"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4</w:t>
            </w:r>
          </w:p>
        </w:tc>
        <w:tc>
          <w:tcPr>
            <w:tcW w:w="475" w:type="pct"/>
            <w:tcBorders>
              <w:top w:val="nil"/>
              <w:left w:val="single" w:sz="4" w:space="0" w:color="auto"/>
              <w:bottom w:val="nil"/>
              <w:right w:val="single" w:sz="4" w:space="0" w:color="auto"/>
            </w:tcBorders>
            <w:shd w:val="clear" w:color="auto" w:fill="auto"/>
            <w:noWrap/>
            <w:vAlign w:val="center"/>
            <w:hideMark/>
          </w:tcPr>
          <w:p w14:paraId="1BDEDC6E" w14:textId="426553D1"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4</w:t>
            </w:r>
          </w:p>
        </w:tc>
        <w:tc>
          <w:tcPr>
            <w:tcW w:w="639" w:type="pct"/>
            <w:tcBorders>
              <w:top w:val="nil"/>
              <w:left w:val="single" w:sz="4" w:space="0" w:color="auto"/>
              <w:bottom w:val="nil"/>
              <w:right w:val="nil"/>
            </w:tcBorders>
            <w:shd w:val="clear" w:color="auto" w:fill="auto"/>
            <w:noWrap/>
            <w:vAlign w:val="center"/>
            <w:hideMark/>
          </w:tcPr>
          <w:p w14:paraId="4FBB1D02" w14:textId="65D75617"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3,3</w:t>
            </w:r>
          </w:p>
        </w:tc>
        <w:tc>
          <w:tcPr>
            <w:tcW w:w="1337" w:type="pct"/>
            <w:tcBorders>
              <w:top w:val="nil"/>
              <w:left w:val="single" w:sz="4" w:space="0" w:color="auto"/>
              <w:bottom w:val="nil"/>
              <w:right w:val="nil"/>
            </w:tcBorders>
            <w:vAlign w:val="bottom"/>
          </w:tcPr>
          <w:p w14:paraId="3F365D8A" w14:textId="267BD25F" w:rsidR="00AD200A" w:rsidRPr="004E74A6" w:rsidRDefault="00AD200A" w:rsidP="00CE62C1">
            <w:pPr>
              <w:spacing w:line="276" w:lineRule="auto"/>
              <w:jc w:val="center"/>
              <w:rPr>
                <w:rFonts w:cs="Calibri"/>
                <w:color w:val="000000"/>
                <w:sz w:val="20"/>
              </w:rPr>
            </w:pPr>
            <w:r w:rsidRPr="004E74A6">
              <w:rPr>
                <w:rFonts w:cs="Calibri"/>
                <w:color w:val="000000"/>
                <w:sz w:val="20"/>
              </w:rPr>
              <w:t>81%</w:t>
            </w:r>
          </w:p>
        </w:tc>
      </w:tr>
      <w:tr w:rsidR="008B74EF" w:rsidRPr="004E74A6" w14:paraId="720A2CFA" w14:textId="5341A2CB" w:rsidTr="00662185">
        <w:trPr>
          <w:trHeight w:val="284"/>
          <w:jc w:val="center"/>
        </w:trPr>
        <w:tc>
          <w:tcPr>
            <w:tcW w:w="1593" w:type="pct"/>
            <w:tcBorders>
              <w:top w:val="nil"/>
              <w:left w:val="nil"/>
              <w:bottom w:val="nil"/>
              <w:right w:val="single" w:sz="4" w:space="0" w:color="auto"/>
            </w:tcBorders>
            <w:shd w:val="clear" w:color="auto" w:fill="auto"/>
            <w:noWrap/>
            <w:vAlign w:val="bottom"/>
            <w:hideMark/>
          </w:tcPr>
          <w:p w14:paraId="47557784" w14:textId="77777777" w:rsidR="00AD200A" w:rsidRPr="004E74A6" w:rsidRDefault="00AD200A" w:rsidP="00CE62C1">
            <w:pPr>
              <w:spacing w:line="276" w:lineRule="auto"/>
              <w:jc w:val="left"/>
              <w:rPr>
                <w:rFonts w:cs="Calibri"/>
                <w:color w:val="000000"/>
                <w:sz w:val="20"/>
                <w:lang w:eastAsia="es-CR"/>
              </w:rPr>
            </w:pPr>
            <w:r w:rsidRPr="004E74A6">
              <w:rPr>
                <w:rFonts w:cs="Calibri"/>
                <w:color w:val="000000"/>
                <w:sz w:val="20"/>
                <w:lang w:eastAsia="es-CR"/>
              </w:rPr>
              <w:t>De ¢55.000.001 A ¢60.000.000</w:t>
            </w:r>
          </w:p>
        </w:tc>
        <w:tc>
          <w:tcPr>
            <w:tcW w:w="480" w:type="pct"/>
            <w:tcBorders>
              <w:top w:val="nil"/>
              <w:left w:val="single" w:sz="4" w:space="0" w:color="auto"/>
              <w:bottom w:val="nil"/>
              <w:right w:val="single" w:sz="4" w:space="0" w:color="auto"/>
            </w:tcBorders>
            <w:shd w:val="clear" w:color="auto" w:fill="auto"/>
            <w:noWrap/>
            <w:vAlign w:val="center"/>
            <w:hideMark/>
          </w:tcPr>
          <w:p w14:paraId="34D6D90C" w14:textId="75EC90ED"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1</w:t>
            </w:r>
          </w:p>
        </w:tc>
        <w:tc>
          <w:tcPr>
            <w:tcW w:w="475" w:type="pct"/>
            <w:tcBorders>
              <w:top w:val="nil"/>
              <w:left w:val="single" w:sz="4" w:space="0" w:color="auto"/>
              <w:bottom w:val="nil"/>
              <w:right w:val="single" w:sz="4" w:space="0" w:color="auto"/>
            </w:tcBorders>
            <w:shd w:val="clear" w:color="auto" w:fill="auto"/>
            <w:noWrap/>
            <w:vAlign w:val="center"/>
            <w:hideMark/>
          </w:tcPr>
          <w:p w14:paraId="31516FE3" w14:textId="0F80DD5F"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0</w:t>
            </w:r>
          </w:p>
        </w:tc>
        <w:tc>
          <w:tcPr>
            <w:tcW w:w="475" w:type="pct"/>
            <w:tcBorders>
              <w:top w:val="nil"/>
              <w:left w:val="single" w:sz="4" w:space="0" w:color="auto"/>
              <w:bottom w:val="nil"/>
              <w:right w:val="single" w:sz="4" w:space="0" w:color="auto"/>
            </w:tcBorders>
            <w:shd w:val="clear" w:color="auto" w:fill="auto"/>
            <w:noWrap/>
            <w:vAlign w:val="center"/>
            <w:hideMark/>
          </w:tcPr>
          <w:p w14:paraId="1C3E18BB" w14:textId="2473231A"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3</w:t>
            </w:r>
          </w:p>
        </w:tc>
        <w:tc>
          <w:tcPr>
            <w:tcW w:w="639" w:type="pct"/>
            <w:tcBorders>
              <w:top w:val="nil"/>
              <w:left w:val="single" w:sz="4" w:space="0" w:color="auto"/>
              <w:bottom w:val="nil"/>
              <w:right w:val="nil"/>
            </w:tcBorders>
            <w:shd w:val="clear" w:color="auto" w:fill="auto"/>
            <w:noWrap/>
            <w:vAlign w:val="center"/>
            <w:hideMark/>
          </w:tcPr>
          <w:p w14:paraId="1547796E" w14:textId="28126836"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1,3</w:t>
            </w:r>
          </w:p>
        </w:tc>
        <w:tc>
          <w:tcPr>
            <w:tcW w:w="1337" w:type="pct"/>
            <w:tcBorders>
              <w:top w:val="nil"/>
              <w:left w:val="single" w:sz="4" w:space="0" w:color="auto"/>
              <w:bottom w:val="nil"/>
              <w:right w:val="nil"/>
            </w:tcBorders>
            <w:vAlign w:val="bottom"/>
          </w:tcPr>
          <w:p w14:paraId="180F2BE0" w14:textId="77423E2E" w:rsidR="00AD200A" w:rsidRPr="004E74A6" w:rsidRDefault="00AD200A" w:rsidP="00CE62C1">
            <w:pPr>
              <w:spacing w:line="276" w:lineRule="auto"/>
              <w:jc w:val="center"/>
              <w:rPr>
                <w:rFonts w:cs="Calibri"/>
                <w:color w:val="000000"/>
                <w:sz w:val="20"/>
              </w:rPr>
            </w:pPr>
            <w:r w:rsidRPr="004E74A6">
              <w:rPr>
                <w:rFonts w:cs="Calibri"/>
                <w:color w:val="000000"/>
                <w:sz w:val="20"/>
              </w:rPr>
              <w:t>82%</w:t>
            </w:r>
          </w:p>
        </w:tc>
      </w:tr>
      <w:tr w:rsidR="008B74EF" w:rsidRPr="004E74A6" w14:paraId="09D928CB" w14:textId="4CAB6AC8" w:rsidTr="00662185">
        <w:trPr>
          <w:trHeight w:val="284"/>
          <w:jc w:val="center"/>
        </w:trPr>
        <w:tc>
          <w:tcPr>
            <w:tcW w:w="1593" w:type="pct"/>
            <w:tcBorders>
              <w:top w:val="nil"/>
              <w:left w:val="nil"/>
              <w:bottom w:val="nil"/>
              <w:right w:val="single" w:sz="4" w:space="0" w:color="auto"/>
            </w:tcBorders>
            <w:shd w:val="clear" w:color="auto" w:fill="auto"/>
            <w:noWrap/>
            <w:vAlign w:val="bottom"/>
            <w:hideMark/>
          </w:tcPr>
          <w:p w14:paraId="0B6C5F9F" w14:textId="77777777" w:rsidR="00AD200A" w:rsidRPr="004E74A6" w:rsidRDefault="00AD200A" w:rsidP="00CE62C1">
            <w:pPr>
              <w:spacing w:line="276" w:lineRule="auto"/>
              <w:jc w:val="left"/>
              <w:rPr>
                <w:rFonts w:cs="Calibri"/>
                <w:color w:val="000000"/>
                <w:sz w:val="20"/>
                <w:lang w:eastAsia="es-CR"/>
              </w:rPr>
            </w:pPr>
            <w:r w:rsidRPr="004E74A6">
              <w:rPr>
                <w:rFonts w:cs="Calibri"/>
                <w:color w:val="000000"/>
                <w:sz w:val="20"/>
                <w:lang w:eastAsia="es-CR"/>
              </w:rPr>
              <w:t>De ¢60.000.001 A ¢65.000.000</w:t>
            </w:r>
          </w:p>
        </w:tc>
        <w:tc>
          <w:tcPr>
            <w:tcW w:w="480" w:type="pct"/>
            <w:tcBorders>
              <w:top w:val="nil"/>
              <w:left w:val="single" w:sz="4" w:space="0" w:color="auto"/>
              <w:bottom w:val="nil"/>
              <w:right w:val="single" w:sz="4" w:space="0" w:color="auto"/>
            </w:tcBorders>
            <w:shd w:val="clear" w:color="auto" w:fill="auto"/>
            <w:noWrap/>
            <w:vAlign w:val="center"/>
            <w:hideMark/>
          </w:tcPr>
          <w:p w14:paraId="579D0059" w14:textId="30B62675"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1</w:t>
            </w:r>
          </w:p>
        </w:tc>
        <w:tc>
          <w:tcPr>
            <w:tcW w:w="475" w:type="pct"/>
            <w:tcBorders>
              <w:top w:val="nil"/>
              <w:left w:val="single" w:sz="4" w:space="0" w:color="auto"/>
              <w:bottom w:val="nil"/>
              <w:right w:val="single" w:sz="4" w:space="0" w:color="auto"/>
            </w:tcBorders>
            <w:shd w:val="clear" w:color="auto" w:fill="auto"/>
            <w:noWrap/>
            <w:vAlign w:val="center"/>
            <w:hideMark/>
          </w:tcPr>
          <w:p w14:paraId="3D2328E7" w14:textId="06DEDE64"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1</w:t>
            </w:r>
          </w:p>
        </w:tc>
        <w:tc>
          <w:tcPr>
            <w:tcW w:w="475" w:type="pct"/>
            <w:tcBorders>
              <w:top w:val="nil"/>
              <w:left w:val="single" w:sz="4" w:space="0" w:color="auto"/>
              <w:bottom w:val="nil"/>
              <w:right w:val="single" w:sz="4" w:space="0" w:color="auto"/>
            </w:tcBorders>
            <w:shd w:val="clear" w:color="auto" w:fill="auto"/>
            <w:noWrap/>
            <w:vAlign w:val="center"/>
            <w:hideMark/>
          </w:tcPr>
          <w:p w14:paraId="08E50634" w14:textId="2F065BCD"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0</w:t>
            </w:r>
          </w:p>
        </w:tc>
        <w:tc>
          <w:tcPr>
            <w:tcW w:w="639" w:type="pct"/>
            <w:tcBorders>
              <w:top w:val="nil"/>
              <w:left w:val="single" w:sz="4" w:space="0" w:color="auto"/>
              <w:bottom w:val="nil"/>
              <w:right w:val="nil"/>
            </w:tcBorders>
            <w:shd w:val="clear" w:color="auto" w:fill="auto"/>
            <w:noWrap/>
            <w:vAlign w:val="center"/>
            <w:hideMark/>
          </w:tcPr>
          <w:p w14:paraId="552BBC07" w14:textId="6FDA18DE"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0,7</w:t>
            </w:r>
          </w:p>
        </w:tc>
        <w:tc>
          <w:tcPr>
            <w:tcW w:w="1337" w:type="pct"/>
            <w:tcBorders>
              <w:top w:val="nil"/>
              <w:left w:val="single" w:sz="4" w:space="0" w:color="auto"/>
              <w:bottom w:val="nil"/>
              <w:right w:val="nil"/>
            </w:tcBorders>
            <w:vAlign w:val="bottom"/>
          </w:tcPr>
          <w:p w14:paraId="672C6AAC" w14:textId="43586957" w:rsidR="00AD200A" w:rsidRPr="004E74A6" w:rsidRDefault="00AD200A" w:rsidP="00CE62C1">
            <w:pPr>
              <w:spacing w:line="276" w:lineRule="auto"/>
              <w:jc w:val="center"/>
              <w:rPr>
                <w:rFonts w:cs="Calibri"/>
                <w:color w:val="000000"/>
                <w:sz w:val="20"/>
              </w:rPr>
            </w:pPr>
            <w:r w:rsidRPr="004E74A6">
              <w:rPr>
                <w:rFonts w:cs="Calibri"/>
                <w:color w:val="000000"/>
                <w:sz w:val="20"/>
              </w:rPr>
              <w:t>83%</w:t>
            </w:r>
          </w:p>
        </w:tc>
      </w:tr>
      <w:tr w:rsidR="008B74EF" w:rsidRPr="004E74A6" w14:paraId="58CED03F" w14:textId="64F7D619" w:rsidTr="00662185">
        <w:trPr>
          <w:trHeight w:val="284"/>
          <w:jc w:val="center"/>
        </w:trPr>
        <w:tc>
          <w:tcPr>
            <w:tcW w:w="1593" w:type="pct"/>
            <w:tcBorders>
              <w:top w:val="nil"/>
              <w:left w:val="nil"/>
              <w:bottom w:val="nil"/>
              <w:right w:val="single" w:sz="4" w:space="0" w:color="auto"/>
            </w:tcBorders>
            <w:shd w:val="clear" w:color="auto" w:fill="auto"/>
            <w:noWrap/>
            <w:vAlign w:val="bottom"/>
            <w:hideMark/>
          </w:tcPr>
          <w:p w14:paraId="6AFEBBD3" w14:textId="77777777" w:rsidR="00AD200A" w:rsidRPr="004E74A6" w:rsidRDefault="00AD200A" w:rsidP="00CE62C1">
            <w:pPr>
              <w:spacing w:line="276" w:lineRule="auto"/>
              <w:jc w:val="left"/>
              <w:rPr>
                <w:rFonts w:cs="Calibri"/>
                <w:color w:val="000000"/>
                <w:sz w:val="20"/>
                <w:lang w:eastAsia="es-CR"/>
              </w:rPr>
            </w:pPr>
            <w:r w:rsidRPr="004E74A6">
              <w:rPr>
                <w:rFonts w:cs="Calibri"/>
                <w:color w:val="000000"/>
                <w:sz w:val="20"/>
                <w:lang w:eastAsia="es-CR"/>
              </w:rPr>
              <w:t>De ¢65.000.001 A ¢70.000.000</w:t>
            </w:r>
          </w:p>
        </w:tc>
        <w:tc>
          <w:tcPr>
            <w:tcW w:w="480" w:type="pct"/>
            <w:tcBorders>
              <w:top w:val="nil"/>
              <w:left w:val="single" w:sz="4" w:space="0" w:color="auto"/>
              <w:bottom w:val="nil"/>
              <w:right w:val="single" w:sz="4" w:space="0" w:color="auto"/>
            </w:tcBorders>
            <w:shd w:val="clear" w:color="auto" w:fill="auto"/>
            <w:noWrap/>
            <w:vAlign w:val="center"/>
            <w:hideMark/>
          </w:tcPr>
          <w:p w14:paraId="497883D0" w14:textId="14098B66"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2</w:t>
            </w:r>
          </w:p>
        </w:tc>
        <w:tc>
          <w:tcPr>
            <w:tcW w:w="475" w:type="pct"/>
            <w:tcBorders>
              <w:top w:val="nil"/>
              <w:left w:val="single" w:sz="4" w:space="0" w:color="auto"/>
              <w:bottom w:val="nil"/>
              <w:right w:val="single" w:sz="4" w:space="0" w:color="auto"/>
            </w:tcBorders>
            <w:shd w:val="clear" w:color="auto" w:fill="auto"/>
            <w:noWrap/>
            <w:vAlign w:val="center"/>
            <w:hideMark/>
          </w:tcPr>
          <w:p w14:paraId="2F65ADA3" w14:textId="4D35953B"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0</w:t>
            </w:r>
          </w:p>
        </w:tc>
        <w:tc>
          <w:tcPr>
            <w:tcW w:w="475" w:type="pct"/>
            <w:tcBorders>
              <w:top w:val="nil"/>
              <w:left w:val="single" w:sz="4" w:space="0" w:color="auto"/>
              <w:bottom w:val="nil"/>
              <w:right w:val="single" w:sz="4" w:space="0" w:color="auto"/>
            </w:tcBorders>
            <w:shd w:val="clear" w:color="auto" w:fill="auto"/>
            <w:noWrap/>
            <w:vAlign w:val="center"/>
            <w:hideMark/>
          </w:tcPr>
          <w:p w14:paraId="6AC30F58" w14:textId="03D5D328"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1</w:t>
            </w:r>
          </w:p>
        </w:tc>
        <w:tc>
          <w:tcPr>
            <w:tcW w:w="639" w:type="pct"/>
            <w:tcBorders>
              <w:top w:val="nil"/>
              <w:left w:val="single" w:sz="4" w:space="0" w:color="auto"/>
              <w:bottom w:val="nil"/>
              <w:right w:val="nil"/>
            </w:tcBorders>
            <w:shd w:val="clear" w:color="auto" w:fill="auto"/>
            <w:noWrap/>
            <w:vAlign w:val="center"/>
            <w:hideMark/>
          </w:tcPr>
          <w:p w14:paraId="58308799" w14:textId="0432704C"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1,0</w:t>
            </w:r>
          </w:p>
        </w:tc>
        <w:tc>
          <w:tcPr>
            <w:tcW w:w="1337" w:type="pct"/>
            <w:tcBorders>
              <w:top w:val="nil"/>
              <w:left w:val="single" w:sz="4" w:space="0" w:color="auto"/>
              <w:bottom w:val="nil"/>
              <w:right w:val="nil"/>
            </w:tcBorders>
            <w:vAlign w:val="bottom"/>
          </w:tcPr>
          <w:p w14:paraId="12DD689B" w14:textId="31CE078C" w:rsidR="00AD200A" w:rsidRPr="004E74A6" w:rsidRDefault="00AD200A" w:rsidP="00CE62C1">
            <w:pPr>
              <w:spacing w:line="276" w:lineRule="auto"/>
              <w:jc w:val="center"/>
              <w:rPr>
                <w:rFonts w:cs="Calibri"/>
                <w:color w:val="000000"/>
                <w:sz w:val="20"/>
              </w:rPr>
            </w:pPr>
            <w:r w:rsidRPr="004E74A6">
              <w:rPr>
                <w:rFonts w:cs="Calibri"/>
                <w:color w:val="000000"/>
                <w:sz w:val="20"/>
              </w:rPr>
              <w:t>83%</w:t>
            </w:r>
          </w:p>
        </w:tc>
      </w:tr>
      <w:tr w:rsidR="008B74EF" w:rsidRPr="004E74A6" w14:paraId="53BF9050" w14:textId="5F463E10" w:rsidTr="00662185">
        <w:trPr>
          <w:trHeight w:val="284"/>
          <w:jc w:val="center"/>
        </w:trPr>
        <w:tc>
          <w:tcPr>
            <w:tcW w:w="1593" w:type="pct"/>
            <w:tcBorders>
              <w:top w:val="nil"/>
              <w:left w:val="nil"/>
              <w:bottom w:val="nil"/>
              <w:right w:val="single" w:sz="4" w:space="0" w:color="auto"/>
            </w:tcBorders>
            <w:shd w:val="clear" w:color="auto" w:fill="auto"/>
            <w:noWrap/>
            <w:vAlign w:val="bottom"/>
            <w:hideMark/>
          </w:tcPr>
          <w:p w14:paraId="1117EEA9" w14:textId="77777777" w:rsidR="00AD200A" w:rsidRPr="004E74A6" w:rsidRDefault="00AD200A" w:rsidP="00CE62C1">
            <w:pPr>
              <w:spacing w:line="276" w:lineRule="auto"/>
              <w:jc w:val="left"/>
              <w:rPr>
                <w:rFonts w:cs="Calibri"/>
                <w:color w:val="000000"/>
                <w:sz w:val="20"/>
                <w:lang w:eastAsia="es-CR"/>
              </w:rPr>
            </w:pPr>
            <w:r w:rsidRPr="004E74A6">
              <w:rPr>
                <w:rFonts w:cs="Calibri"/>
                <w:color w:val="000000"/>
                <w:sz w:val="20"/>
                <w:lang w:eastAsia="es-CR"/>
              </w:rPr>
              <w:t>De ¢70.000.001 A ¢75.000.000</w:t>
            </w:r>
          </w:p>
        </w:tc>
        <w:tc>
          <w:tcPr>
            <w:tcW w:w="480" w:type="pct"/>
            <w:tcBorders>
              <w:top w:val="nil"/>
              <w:left w:val="single" w:sz="4" w:space="0" w:color="auto"/>
              <w:bottom w:val="nil"/>
              <w:right w:val="single" w:sz="4" w:space="0" w:color="auto"/>
            </w:tcBorders>
            <w:shd w:val="clear" w:color="auto" w:fill="auto"/>
            <w:noWrap/>
            <w:vAlign w:val="center"/>
            <w:hideMark/>
          </w:tcPr>
          <w:p w14:paraId="5E2B80D7" w14:textId="20E00D82"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1</w:t>
            </w:r>
          </w:p>
        </w:tc>
        <w:tc>
          <w:tcPr>
            <w:tcW w:w="475" w:type="pct"/>
            <w:tcBorders>
              <w:top w:val="nil"/>
              <w:left w:val="single" w:sz="4" w:space="0" w:color="auto"/>
              <w:bottom w:val="nil"/>
              <w:right w:val="single" w:sz="4" w:space="0" w:color="auto"/>
            </w:tcBorders>
            <w:shd w:val="clear" w:color="auto" w:fill="auto"/>
            <w:noWrap/>
            <w:vAlign w:val="center"/>
            <w:hideMark/>
          </w:tcPr>
          <w:p w14:paraId="45FAA1D4" w14:textId="2BA8199D"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1</w:t>
            </w:r>
          </w:p>
        </w:tc>
        <w:tc>
          <w:tcPr>
            <w:tcW w:w="475" w:type="pct"/>
            <w:tcBorders>
              <w:top w:val="nil"/>
              <w:left w:val="single" w:sz="4" w:space="0" w:color="auto"/>
              <w:bottom w:val="nil"/>
              <w:right w:val="single" w:sz="4" w:space="0" w:color="auto"/>
            </w:tcBorders>
            <w:shd w:val="clear" w:color="auto" w:fill="auto"/>
            <w:noWrap/>
            <w:vAlign w:val="center"/>
            <w:hideMark/>
          </w:tcPr>
          <w:p w14:paraId="3B1F272B" w14:textId="62614EB9"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2</w:t>
            </w:r>
          </w:p>
        </w:tc>
        <w:tc>
          <w:tcPr>
            <w:tcW w:w="639" w:type="pct"/>
            <w:tcBorders>
              <w:top w:val="nil"/>
              <w:left w:val="single" w:sz="4" w:space="0" w:color="auto"/>
              <w:bottom w:val="nil"/>
              <w:right w:val="nil"/>
            </w:tcBorders>
            <w:shd w:val="clear" w:color="auto" w:fill="auto"/>
            <w:noWrap/>
            <w:vAlign w:val="center"/>
            <w:hideMark/>
          </w:tcPr>
          <w:p w14:paraId="352E7EB4" w14:textId="481E2610"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1,3</w:t>
            </w:r>
          </w:p>
        </w:tc>
        <w:tc>
          <w:tcPr>
            <w:tcW w:w="1337" w:type="pct"/>
            <w:tcBorders>
              <w:top w:val="nil"/>
              <w:left w:val="single" w:sz="4" w:space="0" w:color="auto"/>
              <w:bottom w:val="nil"/>
              <w:right w:val="nil"/>
            </w:tcBorders>
            <w:vAlign w:val="bottom"/>
          </w:tcPr>
          <w:p w14:paraId="24C7C474" w14:textId="480450A3" w:rsidR="00AD200A" w:rsidRPr="004E74A6" w:rsidRDefault="00AD200A" w:rsidP="00CE62C1">
            <w:pPr>
              <w:spacing w:line="276" w:lineRule="auto"/>
              <w:jc w:val="center"/>
              <w:rPr>
                <w:rFonts w:cs="Calibri"/>
                <w:color w:val="000000"/>
                <w:sz w:val="20"/>
              </w:rPr>
            </w:pPr>
            <w:r w:rsidRPr="004E74A6">
              <w:rPr>
                <w:rFonts w:cs="Calibri"/>
                <w:color w:val="000000"/>
                <w:sz w:val="20"/>
              </w:rPr>
              <w:t>85%</w:t>
            </w:r>
          </w:p>
        </w:tc>
      </w:tr>
      <w:tr w:rsidR="008B74EF" w:rsidRPr="004E74A6" w14:paraId="75A33D08" w14:textId="285E8C9F" w:rsidTr="00662185">
        <w:trPr>
          <w:trHeight w:val="284"/>
          <w:jc w:val="center"/>
        </w:trPr>
        <w:tc>
          <w:tcPr>
            <w:tcW w:w="1593" w:type="pct"/>
            <w:tcBorders>
              <w:top w:val="nil"/>
              <w:left w:val="nil"/>
              <w:bottom w:val="nil"/>
              <w:right w:val="single" w:sz="4" w:space="0" w:color="auto"/>
            </w:tcBorders>
            <w:shd w:val="clear" w:color="auto" w:fill="auto"/>
            <w:noWrap/>
            <w:vAlign w:val="bottom"/>
            <w:hideMark/>
          </w:tcPr>
          <w:p w14:paraId="77102D7E" w14:textId="77777777" w:rsidR="00AD200A" w:rsidRPr="004E74A6" w:rsidRDefault="00AD200A" w:rsidP="00CE62C1">
            <w:pPr>
              <w:spacing w:line="276" w:lineRule="auto"/>
              <w:jc w:val="left"/>
              <w:rPr>
                <w:rFonts w:cs="Calibri"/>
                <w:color w:val="000000"/>
                <w:sz w:val="20"/>
                <w:lang w:eastAsia="es-CR"/>
              </w:rPr>
            </w:pPr>
            <w:r w:rsidRPr="004E74A6">
              <w:rPr>
                <w:rFonts w:cs="Calibri"/>
                <w:color w:val="000000"/>
                <w:sz w:val="20"/>
                <w:lang w:eastAsia="es-CR"/>
              </w:rPr>
              <w:t>De ¢75.000.001 A ¢80.000.000</w:t>
            </w:r>
          </w:p>
        </w:tc>
        <w:tc>
          <w:tcPr>
            <w:tcW w:w="480" w:type="pct"/>
            <w:tcBorders>
              <w:top w:val="nil"/>
              <w:left w:val="single" w:sz="4" w:space="0" w:color="auto"/>
              <w:bottom w:val="nil"/>
              <w:right w:val="single" w:sz="4" w:space="0" w:color="auto"/>
            </w:tcBorders>
            <w:shd w:val="clear" w:color="auto" w:fill="auto"/>
            <w:noWrap/>
            <w:vAlign w:val="center"/>
            <w:hideMark/>
          </w:tcPr>
          <w:p w14:paraId="42AE3236" w14:textId="47A70ACE"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0</w:t>
            </w:r>
          </w:p>
        </w:tc>
        <w:tc>
          <w:tcPr>
            <w:tcW w:w="475" w:type="pct"/>
            <w:tcBorders>
              <w:top w:val="nil"/>
              <w:left w:val="single" w:sz="4" w:space="0" w:color="auto"/>
              <w:bottom w:val="nil"/>
              <w:right w:val="single" w:sz="4" w:space="0" w:color="auto"/>
            </w:tcBorders>
            <w:shd w:val="clear" w:color="auto" w:fill="auto"/>
            <w:noWrap/>
            <w:vAlign w:val="center"/>
            <w:hideMark/>
          </w:tcPr>
          <w:p w14:paraId="2FC909C6" w14:textId="0137D827"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1</w:t>
            </w:r>
          </w:p>
        </w:tc>
        <w:tc>
          <w:tcPr>
            <w:tcW w:w="475" w:type="pct"/>
            <w:tcBorders>
              <w:top w:val="nil"/>
              <w:left w:val="single" w:sz="4" w:space="0" w:color="auto"/>
              <w:bottom w:val="nil"/>
              <w:right w:val="single" w:sz="4" w:space="0" w:color="auto"/>
            </w:tcBorders>
            <w:shd w:val="clear" w:color="auto" w:fill="auto"/>
            <w:noWrap/>
            <w:vAlign w:val="center"/>
            <w:hideMark/>
          </w:tcPr>
          <w:p w14:paraId="4E88C7B2" w14:textId="0AB78CE4"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2</w:t>
            </w:r>
          </w:p>
        </w:tc>
        <w:tc>
          <w:tcPr>
            <w:tcW w:w="639" w:type="pct"/>
            <w:tcBorders>
              <w:top w:val="nil"/>
              <w:left w:val="single" w:sz="4" w:space="0" w:color="auto"/>
              <w:bottom w:val="nil"/>
              <w:right w:val="nil"/>
            </w:tcBorders>
            <w:shd w:val="clear" w:color="auto" w:fill="auto"/>
            <w:noWrap/>
            <w:vAlign w:val="center"/>
            <w:hideMark/>
          </w:tcPr>
          <w:p w14:paraId="7061DE8A" w14:textId="51EDA41A"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1,0</w:t>
            </w:r>
          </w:p>
        </w:tc>
        <w:tc>
          <w:tcPr>
            <w:tcW w:w="1337" w:type="pct"/>
            <w:tcBorders>
              <w:top w:val="nil"/>
              <w:left w:val="single" w:sz="4" w:space="0" w:color="auto"/>
              <w:bottom w:val="nil"/>
              <w:right w:val="nil"/>
            </w:tcBorders>
            <w:vAlign w:val="bottom"/>
          </w:tcPr>
          <w:p w14:paraId="4E456722" w14:textId="689661B1" w:rsidR="00AD200A" w:rsidRPr="004E74A6" w:rsidRDefault="00AD200A" w:rsidP="00CE62C1">
            <w:pPr>
              <w:spacing w:line="276" w:lineRule="auto"/>
              <w:jc w:val="center"/>
              <w:rPr>
                <w:rFonts w:cs="Calibri"/>
                <w:color w:val="000000"/>
                <w:sz w:val="20"/>
              </w:rPr>
            </w:pPr>
            <w:r w:rsidRPr="004E74A6">
              <w:rPr>
                <w:rFonts w:cs="Calibri"/>
                <w:color w:val="000000"/>
                <w:sz w:val="20"/>
              </w:rPr>
              <w:t>85%</w:t>
            </w:r>
          </w:p>
        </w:tc>
      </w:tr>
      <w:tr w:rsidR="008B74EF" w:rsidRPr="004E74A6" w14:paraId="12F25FC3" w14:textId="65D71E55" w:rsidTr="00662185">
        <w:trPr>
          <w:trHeight w:val="284"/>
          <w:jc w:val="center"/>
        </w:trPr>
        <w:tc>
          <w:tcPr>
            <w:tcW w:w="1593" w:type="pct"/>
            <w:tcBorders>
              <w:top w:val="nil"/>
              <w:left w:val="nil"/>
              <w:bottom w:val="nil"/>
              <w:right w:val="single" w:sz="4" w:space="0" w:color="auto"/>
            </w:tcBorders>
            <w:shd w:val="clear" w:color="auto" w:fill="auto"/>
            <w:noWrap/>
            <w:vAlign w:val="bottom"/>
            <w:hideMark/>
          </w:tcPr>
          <w:p w14:paraId="12694123" w14:textId="77777777" w:rsidR="00AD200A" w:rsidRPr="004E74A6" w:rsidRDefault="00AD200A" w:rsidP="00CE62C1">
            <w:pPr>
              <w:spacing w:line="276" w:lineRule="auto"/>
              <w:jc w:val="left"/>
              <w:rPr>
                <w:rFonts w:cs="Calibri"/>
                <w:color w:val="000000"/>
                <w:sz w:val="20"/>
                <w:lang w:eastAsia="es-CR"/>
              </w:rPr>
            </w:pPr>
            <w:r w:rsidRPr="004E74A6">
              <w:rPr>
                <w:rFonts w:cs="Calibri"/>
                <w:color w:val="000000"/>
                <w:sz w:val="20"/>
                <w:lang w:eastAsia="es-CR"/>
              </w:rPr>
              <w:t>De ¢85.000.001 A ¢90.000.000</w:t>
            </w:r>
          </w:p>
        </w:tc>
        <w:tc>
          <w:tcPr>
            <w:tcW w:w="480" w:type="pct"/>
            <w:tcBorders>
              <w:top w:val="nil"/>
              <w:left w:val="single" w:sz="4" w:space="0" w:color="auto"/>
              <w:bottom w:val="nil"/>
              <w:right w:val="single" w:sz="4" w:space="0" w:color="auto"/>
            </w:tcBorders>
            <w:shd w:val="clear" w:color="auto" w:fill="auto"/>
            <w:noWrap/>
            <w:vAlign w:val="center"/>
            <w:hideMark/>
          </w:tcPr>
          <w:p w14:paraId="6AF49E79" w14:textId="24BD4AAB"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0</w:t>
            </w:r>
          </w:p>
        </w:tc>
        <w:tc>
          <w:tcPr>
            <w:tcW w:w="475" w:type="pct"/>
            <w:tcBorders>
              <w:top w:val="nil"/>
              <w:left w:val="single" w:sz="4" w:space="0" w:color="auto"/>
              <w:bottom w:val="nil"/>
              <w:right w:val="single" w:sz="4" w:space="0" w:color="auto"/>
            </w:tcBorders>
            <w:shd w:val="clear" w:color="auto" w:fill="auto"/>
            <w:noWrap/>
            <w:vAlign w:val="center"/>
            <w:hideMark/>
          </w:tcPr>
          <w:p w14:paraId="45708217" w14:textId="7BCD44C3"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1</w:t>
            </w:r>
          </w:p>
        </w:tc>
        <w:tc>
          <w:tcPr>
            <w:tcW w:w="475" w:type="pct"/>
            <w:tcBorders>
              <w:top w:val="nil"/>
              <w:left w:val="single" w:sz="4" w:space="0" w:color="auto"/>
              <w:bottom w:val="nil"/>
              <w:right w:val="single" w:sz="4" w:space="0" w:color="auto"/>
            </w:tcBorders>
            <w:shd w:val="clear" w:color="auto" w:fill="auto"/>
            <w:noWrap/>
            <w:vAlign w:val="center"/>
            <w:hideMark/>
          </w:tcPr>
          <w:p w14:paraId="083B8932" w14:textId="36C6ECF0"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1</w:t>
            </w:r>
          </w:p>
        </w:tc>
        <w:tc>
          <w:tcPr>
            <w:tcW w:w="639" w:type="pct"/>
            <w:tcBorders>
              <w:top w:val="nil"/>
              <w:left w:val="single" w:sz="4" w:space="0" w:color="auto"/>
              <w:bottom w:val="nil"/>
              <w:right w:val="nil"/>
            </w:tcBorders>
            <w:shd w:val="clear" w:color="auto" w:fill="auto"/>
            <w:noWrap/>
            <w:vAlign w:val="center"/>
            <w:hideMark/>
          </w:tcPr>
          <w:p w14:paraId="6F0AF8A9" w14:textId="2ADC9281"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0,7</w:t>
            </w:r>
          </w:p>
        </w:tc>
        <w:tc>
          <w:tcPr>
            <w:tcW w:w="1337" w:type="pct"/>
            <w:tcBorders>
              <w:top w:val="nil"/>
              <w:left w:val="single" w:sz="4" w:space="0" w:color="auto"/>
              <w:bottom w:val="nil"/>
              <w:right w:val="nil"/>
            </w:tcBorders>
            <w:vAlign w:val="bottom"/>
          </w:tcPr>
          <w:p w14:paraId="08B39DB1" w14:textId="6C2EB364" w:rsidR="00AD200A" w:rsidRPr="004E74A6" w:rsidRDefault="00AD200A" w:rsidP="00CE62C1">
            <w:pPr>
              <w:spacing w:line="276" w:lineRule="auto"/>
              <w:jc w:val="center"/>
              <w:rPr>
                <w:rFonts w:cs="Calibri"/>
                <w:color w:val="000000"/>
                <w:sz w:val="20"/>
              </w:rPr>
            </w:pPr>
            <w:r w:rsidRPr="004E74A6">
              <w:rPr>
                <w:rFonts w:cs="Calibri"/>
                <w:color w:val="000000"/>
                <w:sz w:val="20"/>
              </w:rPr>
              <w:t>86%</w:t>
            </w:r>
          </w:p>
        </w:tc>
      </w:tr>
      <w:tr w:rsidR="008B74EF" w:rsidRPr="004E74A6" w14:paraId="210084B1" w14:textId="51F0447C" w:rsidTr="00662185">
        <w:trPr>
          <w:trHeight w:val="284"/>
          <w:jc w:val="center"/>
        </w:trPr>
        <w:tc>
          <w:tcPr>
            <w:tcW w:w="1593" w:type="pct"/>
            <w:tcBorders>
              <w:top w:val="nil"/>
              <w:left w:val="nil"/>
              <w:bottom w:val="nil"/>
              <w:right w:val="single" w:sz="4" w:space="0" w:color="auto"/>
            </w:tcBorders>
            <w:shd w:val="clear" w:color="auto" w:fill="auto"/>
            <w:noWrap/>
            <w:vAlign w:val="bottom"/>
            <w:hideMark/>
          </w:tcPr>
          <w:p w14:paraId="775072C2" w14:textId="77777777" w:rsidR="00AD200A" w:rsidRPr="004E74A6" w:rsidRDefault="00AD200A" w:rsidP="00CE62C1">
            <w:pPr>
              <w:spacing w:line="276" w:lineRule="auto"/>
              <w:jc w:val="left"/>
              <w:rPr>
                <w:rFonts w:cs="Calibri"/>
                <w:color w:val="000000"/>
                <w:sz w:val="20"/>
                <w:lang w:eastAsia="es-CR"/>
              </w:rPr>
            </w:pPr>
            <w:r w:rsidRPr="004E74A6">
              <w:rPr>
                <w:rFonts w:cs="Calibri"/>
                <w:color w:val="000000"/>
                <w:sz w:val="20"/>
                <w:lang w:eastAsia="es-CR"/>
              </w:rPr>
              <w:t>De ¢90.000.001 A ¢95.000.000</w:t>
            </w:r>
          </w:p>
        </w:tc>
        <w:tc>
          <w:tcPr>
            <w:tcW w:w="480" w:type="pct"/>
            <w:tcBorders>
              <w:top w:val="nil"/>
              <w:left w:val="single" w:sz="4" w:space="0" w:color="auto"/>
              <w:bottom w:val="nil"/>
              <w:right w:val="single" w:sz="4" w:space="0" w:color="auto"/>
            </w:tcBorders>
            <w:shd w:val="clear" w:color="auto" w:fill="auto"/>
            <w:noWrap/>
            <w:vAlign w:val="center"/>
            <w:hideMark/>
          </w:tcPr>
          <w:p w14:paraId="644F8226" w14:textId="27A859F4"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1</w:t>
            </w:r>
          </w:p>
        </w:tc>
        <w:tc>
          <w:tcPr>
            <w:tcW w:w="475" w:type="pct"/>
            <w:tcBorders>
              <w:top w:val="nil"/>
              <w:left w:val="single" w:sz="4" w:space="0" w:color="auto"/>
              <w:bottom w:val="nil"/>
              <w:right w:val="single" w:sz="4" w:space="0" w:color="auto"/>
            </w:tcBorders>
            <w:shd w:val="clear" w:color="auto" w:fill="auto"/>
            <w:noWrap/>
            <w:vAlign w:val="center"/>
            <w:hideMark/>
          </w:tcPr>
          <w:p w14:paraId="5940C771" w14:textId="008FBFA2"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0</w:t>
            </w:r>
          </w:p>
        </w:tc>
        <w:tc>
          <w:tcPr>
            <w:tcW w:w="475" w:type="pct"/>
            <w:tcBorders>
              <w:top w:val="nil"/>
              <w:left w:val="single" w:sz="4" w:space="0" w:color="auto"/>
              <w:bottom w:val="nil"/>
              <w:right w:val="single" w:sz="4" w:space="0" w:color="auto"/>
            </w:tcBorders>
            <w:shd w:val="clear" w:color="auto" w:fill="auto"/>
            <w:noWrap/>
            <w:vAlign w:val="center"/>
            <w:hideMark/>
          </w:tcPr>
          <w:p w14:paraId="25301983" w14:textId="25B76319" w:rsidR="00AD200A" w:rsidRPr="004E74A6" w:rsidRDefault="00AD200A" w:rsidP="00CE62C1">
            <w:pPr>
              <w:spacing w:line="276" w:lineRule="auto"/>
              <w:jc w:val="center"/>
              <w:rPr>
                <w:sz w:val="20"/>
                <w:lang w:eastAsia="es-CR"/>
              </w:rPr>
            </w:pPr>
            <w:r w:rsidRPr="004E74A6">
              <w:rPr>
                <w:rFonts w:cs="Calibri"/>
                <w:color w:val="000000"/>
                <w:sz w:val="20"/>
              </w:rPr>
              <w:t>0</w:t>
            </w:r>
          </w:p>
        </w:tc>
        <w:tc>
          <w:tcPr>
            <w:tcW w:w="639" w:type="pct"/>
            <w:tcBorders>
              <w:top w:val="nil"/>
              <w:left w:val="single" w:sz="4" w:space="0" w:color="auto"/>
              <w:bottom w:val="nil"/>
              <w:right w:val="nil"/>
            </w:tcBorders>
            <w:shd w:val="clear" w:color="auto" w:fill="auto"/>
            <w:noWrap/>
            <w:vAlign w:val="center"/>
            <w:hideMark/>
          </w:tcPr>
          <w:p w14:paraId="414F79CD" w14:textId="438DBCE9"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0,3</w:t>
            </w:r>
          </w:p>
        </w:tc>
        <w:tc>
          <w:tcPr>
            <w:tcW w:w="1337" w:type="pct"/>
            <w:tcBorders>
              <w:top w:val="nil"/>
              <w:left w:val="single" w:sz="4" w:space="0" w:color="auto"/>
              <w:bottom w:val="nil"/>
              <w:right w:val="nil"/>
            </w:tcBorders>
            <w:vAlign w:val="bottom"/>
          </w:tcPr>
          <w:p w14:paraId="09803326" w14:textId="56A4F957" w:rsidR="00AD200A" w:rsidRPr="004E74A6" w:rsidRDefault="00AD200A" w:rsidP="00CE62C1">
            <w:pPr>
              <w:spacing w:line="276" w:lineRule="auto"/>
              <w:jc w:val="center"/>
              <w:rPr>
                <w:rFonts w:cs="Calibri"/>
                <w:color w:val="000000"/>
                <w:sz w:val="20"/>
              </w:rPr>
            </w:pPr>
            <w:r w:rsidRPr="004E74A6">
              <w:rPr>
                <w:rFonts w:cs="Calibri"/>
                <w:color w:val="000000"/>
                <w:sz w:val="20"/>
              </w:rPr>
              <w:t>86%</w:t>
            </w:r>
          </w:p>
        </w:tc>
      </w:tr>
      <w:tr w:rsidR="008B74EF" w:rsidRPr="004E74A6" w14:paraId="0B8AF9BB" w14:textId="51B83E09" w:rsidTr="00662185">
        <w:trPr>
          <w:trHeight w:val="284"/>
          <w:jc w:val="center"/>
        </w:trPr>
        <w:tc>
          <w:tcPr>
            <w:tcW w:w="1593" w:type="pct"/>
            <w:tcBorders>
              <w:top w:val="nil"/>
              <w:left w:val="nil"/>
              <w:bottom w:val="nil"/>
              <w:right w:val="single" w:sz="4" w:space="0" w:color="auto"/>
            </w:tcBorders>
            <w:shd w:val="clear" w:color="auto" w:fill="auto"/>
            <w:noWrap/>
            <w:vAlign w:val="bottom"/>
            <w:hideMark/>
          </w:tcPr>
          <w:p w14:paraId="2BEF3E43" w14:textId="77777777" w:rsidR="00AD200A" w:rsidRPr="004E74A6" w:rsidRDefault="00AD200A" w:rsidP="00CE62C1">
            <w:pPr>
              <w:spacing w:line="276" w:lineRule="auto"/>
              <w:jc w:val="left"/>
              <w:rPr>
                <w:rFonts w:cs="Calibri"/>
                <w:color w:val="000000"/>
                <w:sz w:val="20"/>
                <w:lang w:eastAsia="es-CR"/>
              </w:rPr>
            </w:pPr>
            <w:r w:rsidRPr="004E74A6">
              <w:rPr>
                <w:rFonts w:cs="Calibri"/>
                <w:color w:val="000000"/>
                <w:sz w:val="20"/>
                <w:lang w:eastAsia="es-CR"/>
              </w:rPr>
              <w:t>De ¢95.000.001 A ¢100.000.000</w:t>
            </w:r>
          </w:p>
        </w:tc>
        <w:tc>
          <w:tcPr>
            <w:tcW w:w="480" w:type="pct"/>
            <w:tcBorders>
              <w:top w:val="nil"/>
              <w:left w:val="single" w:sz="4" w:space="0" w:color="auto"/>
              <w:bottom w:val="nil"/>
              <w:right w:val="single" w:sz="4" w:space="0" w:color="auto"/>
            </w:tcBorders>
            <w:shd w:val="clear" w:color="auto" w:fill="auto"/>
            <w:noWrap/>
            <w:vAlign w:val="center"/>
            <w:hideMark/>
          </w:tcPr>
          <w:p w14:paraId="14346084" w14:textId="2F950A01"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0</w:t>
            </w:r>
          </w:p>
        </w:tc>
        <w:tc>
          <w:tcPr>
            <w:tcW w:w="475" w:type="pct"/>
            <w:tcBorders>
              <w:top w:val="nil"/>
              <w:left w:val="single" w:sz="4" w:space="0" w:color="auto"/>
              <w:bottom w:val="nil"/>
              <w:right w:val="single" w:sz="4" w:space="0" w:color="auto"/>
            </w:tcBorders>
            <w:shd w:val="clear" w:color="auto" w:fill="auto"/>
            <w:noWrap/>
            <w:vAlign w:val="center"/>
            <w:hideMark/>
          </w:tcPr>
          <w:p w14:paraId="38676911" w14:textId="03AD91F2" w:rsidR="00AD200A" w:rsidRPr="004E74A6" w:rsidRDefault="00AD200A" w:rsidP="00CE62C1">
            <w:pPr>
              <w:spacing w:line="276" w:lineRule="auto"/>
              <w:jc w:val="center"/>
              <w:rPr>
                <w:sz w:val="20"/>
                <w:lang w:eastAsia="es-CR"/>
              </w:rPr>
            </w:pPr>
            <w:r w:rsidRPr="004E74A6">
              <w:rPr>
                <w:rFonts w:cs="Calibri"/>
                <w:color w:val="000000"/>
                <w:sz w:val="20"/>
              </w:rPr>
              <w:t>0</w:t>
            </w:r>
          </w:p>
        </w:tc>
        <w:tc>
          <w:tcPr>
            <w:tcW w:w="475" w:type="pct"/>
            <w:tcBorders>
              <w:top w:val="nil"/>
              <w:left w:val="single" w:sz="4" w:space="0" w:color="auto"/>
              <w:bottom w:val="nil"/>
              <w:right w:val="single" w:sz="4" w:space="0" w:color="auto"/>
            </w:tcBorders>
            <w:shd w:val="clear" w:color="auto" w:fill="auto"/>
            <w:noWrap/>
            <w:vAlign w:val="center"/>
            <w:hideMark/>
          </w:tcPr>
          <w:p w14:paraId="72368518" w14:textId="7905896D"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2</w:t>
            </w:r>
          </w:p>
        </w:tc>
        <w:tc>
          <w:tcPr>
            <w:tcW w:w="639" w:type="pct"/>
            <w:tcBorders>
              <w:top w:val="nil"/>
              <w:left w:val="single" w:sz="4" w:space="0" w:color="auto"/>
              <w:bottom w:val="nil"/>
              <w:right w:val="nil"/>
            </w:tcBorders>
            <w:shd w:val="clear" w:color="auto" w:fill="auto"/>
            <w:noWrap/>
            <w:vAlign w:val="center"/>
            <w:hideMark/>
          </w:tcPr>
          <w:p w14:paraId="309CD458" w14:textId="1F821828"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0,7</w:t>
            </w:r>
          </w:p>
        </w:tc>
        <w:tc>
          <w:tcPr>
            <w:tcW w:w="1337" w:type="pct"/>
            <w:tcBorders>
              <w:top w:val="nil"/>
              <w:left w:val="single" w:sz="4" w:space="0" w:color="auto"/>
              <w:bottom w:val="nil"/>
              <w:right w:val="nil"/>
            </w:tcBorders>
            <w:vAlign w:val="bottom"/>
          </w:tcPr>
          <w:p w14:paraId="2430AE19" w14:textId="11FE5BBF" w:rsidR="00AD200A" w:rsidRPr="004E74A6" w:rsidRDefault="00AD200A" w:rsidP="00CE62C1">
            <w:pPr>
              <w:spacing w:line="276" w:lineRule="auto"/>
              <w:jc w:val="center"/>
              <w:rPr>
                <w:rFonts w:cs="Calibri"/>
                <w:color w:val="000000"/>
                <w:sz w:val="20"/>
              </w:rPr>
            </w:pPr>
            <w:r w:rsidRPr="004E74A6">
              <w:rPr>
                <w:rFonts w:cs="Calibri"/>
                <w:color w:val="000000"/>
                <w:sz w:val="20"/>
              </w:rPr>
              <w:t>87%</w:t>
            </w:r>
          </w:p>
        </w:tc>
      </w:tr>
      <w:tr w:rsidR="008B74EF" w:rsidRPr="004E74A6" w14:paraId="0004222A" w14:textId="1900AB7E" w:rsidTr="00662185">
        <w:trPr>
          <w:trHeight w:val="284"/>
          <w:jc w:val="center"/>
        </w:trPr>
        <w:tc>
          <w:tcPr>
            <w:tcW w:w="1593" w:type="pct"/>
            <w:tcBorders>
              <w:top w:val="nil"/>
              <w:left w:val="nil"/>
              <w:bottom w:val="nil"/>
              <w:right w:val="single" w:sz="4" w:space="0" w:color="auto"/>
            </w:tcBorders>
            <w:shd w:val="clear" w:color="auto" w:fill="auto"/>
            <w:noWrap/>
            <w:vAlign w:val="bottom"/>
            <w:hideMark/>
          </w:tcPr>
          <w:p w14:paraId="6D9B3287" w14:textId="77777777" w:rsidR="00AD200A" w:rsidRPr="004E74A6" w:rsidRDefault="00AD200A" w:rsidP="00CE62C1">
            <w:pPr>
              <w:spacing w:line="276" w:lineRule="auto"/>
              <w:jc w:val="left"/>
              <w:rPr>
                <w:rFonts w:cs="Calibri"/>
                <w:color w:val="000000"/>
                <w:sz w:val="20"/>
                <w:lang w:eastAsia="es-CR"/>
              </w:rPr>
            </w:pPr>
            <w:r w:rsidRPr="004E74A6">
              <w:rPr>
                <w:rFonts w:cs="Calibri"/>
                <w:color w:val="000000"/>
                <w:sz w:val="20"/>
                <w:lang w:eastAsia="es-CR"/>
              </w:rPr>
              <w:t>Más De ¢100.000.000</w:t>
            </w:r>
          </w:p>
        </w:tc>
        <w:tc>
          <w:tcPr>
            <w:tcW w:w="480" w:type="pct"/>
            <w:tcBorders>
              <w:top w:val="nil"/>
              <w:left w:val="single" w:sz="4" w:space="0" w:color="auto"/>
              <w:bottom w:val="nil"/>
              <w:right w:val="single" w:sz="4" w:space="0" w:color="auto"/>
            </w:tcBorders>
            <w:shd w:val="clear" w:color="auto" w:fill="auto"/>
            <w:noWrap/>
            <w:vAlign w:val="center"/>
            <w:hideMark/>
          </w:tcPr>
          <w:p w14:paraId="75EE5CB3" w14:textId="6A45A7B2"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9</w:t>
            </w:r>
          </w:p>
        </w:tc>
        <w:tc>
          <w:tcPr>
            <w:tcW w:w="475" w:type="pct"/>
            <w:tcBorders>
              <w:top w:val="nil"/>
              <w:left w:val="single" w:sz="4" w:space="0" w:color="auto"/>
              <w:bottom w:val="nil"/>
              <w:right w:val="single" w:sz="4" w:space="0" w:color="auto"/>
            </w:tcBorders>
            <w:shd w:val="clear" w:color="auto" w:fill="auto"/>
            <w:noWrap/>
            <w:vAlign w:val="center"/>
            <w:hideMark/>
          </w:tcPr>
          <w:p w14:paraId="54674260" w14:textId="4F0FB45E"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8</w:t>
            </w:r>
          </w:p>
        </w:tc>
        <w:tc>
          <w:tcPr>
            <w:tcW w:w="475" w:type="pct"/>
            <w:tcBorders>
              <w:top w:val="nil"/>
              <w:left w:val="single" w:sz="4" w:space="0" w:color="auto"/>
              <w:bottom w:val="nil"/>
              <w:right w:val="single" w:sz="4" w:space="0" w:color="auto"/>
            </w:tcBorders>
            <w:shd w:val="clear" w:color="auto" w:fill="auto"/>
            <w:noWrap/>
            <w:vAlign w:val="center"/>
            <w:hideMark/>
          </w:tcPr>
          <w:p w14:paraId="186A46C0" w14:textId="6B407BFC"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14</w:t>
            </w:r>
          </w:p>
        </w:tc>
        <w:tc>
          <w:tcPr>
            <w:tcW w:w="639" w:type="pct"/>
            <w:tcBorders>
              <w:top w:val="nil"/>
              <w:left w:val="single" w:sz="4" w:space="0" w:color="auto"/>
              <w:bottom w:val="nil"/>
              <w:right w:val="nil"/>
            </w:tcBorders>
            <w:shd w:val="clear" w:color="auto" w:fill="auto"/>
            <w:noWrap/>
            <w:vAlign w:val="center"/>
            <w:hideMark/>
          </w:tcPr>
          <w:p w14:paraId="4029007A" w14:textId="182A81E3" w:rsidR="00AD200A" w:rsidRPr="004E74A6" w:rsidRDefault="00AD200A" w:rsidP="00CE62C1">
            <w:pPr>
              <w:spacing w:line="276" w:lineRule="auto"/>
              <w:jc w:val="center"/>
              <w:rPr>
                <w:rFonts w:cs="Calibri"/>
                <w:color w:val="000000"/>
                <w:sz w:val="20"/>
                <w:lang w:eastAsia="es-CR"/>
              </w:rPr>
            </w:pPr>
            <w:r w:rsidRPr="004E74A6">
              <w:rPr>
                <w:rFonts w:cs="Calibri"/>
                <w:color w:val="000000"/>
                <w:sz w:val="20"/>
              </w:rPr>
              <w:t>10,3</w:t>
            </w:r>
          </w:p>
        </w:tc>
        <w:tc>
          <w:tcPr>
            <w:tcW w:w="1337" w:type="pct"/>
            <w:tcBorders>
              <w:top w:val="nil"/>
              <w:left w:val="single" w:sz="4" w:space="0" w:color="auto"/>
              <w:bottom w:val="nil"/>
              <w:right w:val="nil"/>
            </w:tcBorders>
            <w:vAlign w:val="bottom"/>
          </w:tcPr>
          <w:p w14:paraId="49BFC70E" w14:textId="66125965" w:rsidR="00AD200A" w:rsidRPr="004E74A6" w:rsidRDefault="00AD200A" w:rsidP="00CE62C1">
            <w:pPr>
              <w:spacing w:line="276" w:lineRule="auto"/>
              <w:jc w:val="center"/>
              <w:rPr>
                <w:rFonts w:cs="Calibri"/>
                <w:color w:val="000000"/>
                <w:sz w:val="20"/>
              </w:rPr>
            </w:pPr>
            <w:r w:rsidRPr="004E74A6">
              <w:rPr>
                <w:rFonts w:cs="Calibri"/>
                <w:color w:val="000000"/>
                <w:sz w:val="20"/>
              </w:rPr>
              <w:t>96%</w:t>
            </w:r>
          </w:p>
        </w:tc>
      </w:tr>
      <w:tr w:rsidR="008B74EF" w:rsidRPr="004E74A6" w14:paraId="556EA3C3" w14:textId="585063BE" w:rsidTr="00662185">
        <w:trPr>
          <w:trHeight w:val="284"/>
          <w:jc w:val="center"/>
        </w:trPr>
        <w:tc>
          <w:tcPr>
            <w:tcW w:w="1593" w:type="pct"/>
            <w:tcBorders>
              <w:top w:val="nil"/>
              <w:left w:val="nil"/>
              <w:bottom w:val="nil"/>
              <w:right w:val="single" w:sz="4" w:space="0" w:color="auto"/>
            </w:tcBorders>
            <w:shd w:val="clear" w:color="auto" w:fill="auto"/>
            <w:noWrap/>
            <w:vAlign w:val="bottom"/>
            <w:hideMark/>
          </w:tcPr>
          <w:p w14:paraId="399F5091" w14:textId="77777777" w:rsidR="00AD200A" w:rsidRPr="004E74A6" w:rsidRDefault="00AD200A" w:rsidP="00CE62C1">
            <w:pPr>
              <w:spacing w:line="276" w:lineRule="auto"/>
              <w:jc w:val="left"/>
              <w:rPr>
                <w:rFonts w:cs="Calibri"/>
                <w:color w:val="ED7D31" w:themeColor="accent2"/>
                <w:sz w:val="20"/>
                <w:lang w:eastAsia="es-CR"/>
              </w:rPr>
            </w:pPr>
            <w:r w:rsidRPr="004E74A6">
              <w:rPr>
                <w:rFonts w:cs="Calibri"/>
                <w:color w:val="ED7D31" w:themeColor="accent2"/>
                <w:sz w:val="20"/>
                <w:lang w:eastAsia="es-CR"/>
              </w:rPr>
              <w:t>Expedientes Cuantía Cero</w:t>
            </w:r>
          </w:p>
        </w:tc>
        <w:tc>
          <w:tcPr>
            <w:tcW w:w="480" w:type="pct"/>
            <w:tcBorders>
              <w:top w:val="nil"/>
              <w:left w:val="single" w:sz="4" w:space="0" w:color="auto"/>
              <w:bottom w:val="nil"/>
              <w:right w:val="single" w:sz="4" w:space="0" w:color="auto"/>
            </w:tcBorders>
            <w:shd w:val="clear" w:color="auto" w:fill="auto"/>
            <w:noWrap/>
            <w:vAlign w:val="center"/>
            <w:hideMark/>
          </w:tcPr>
          <w:p w14:paraId="2FE2A411" w14:textId="03A7D676" w:rsidR="00AD200A" w:rsidRPr="004E74A6" w:rsidRDefault="00AD200A" w:rsidP="00CE62C1">
            <w:pPr>
              <w:spacing w:line="276" w:lineRule="auto"/>
              <w:jc w:val="center"/>
              <w:rPr>
                <w:rFonts w:cs="Calibri"/>
                <w:color w:val="ED7D31" w:themeColor="accent2"/>
                <w:sz w:val="20"/>
                <w:lang w:eastAsia="es-CR"/>
              </w:rPr>
            </w:pPr>
            <w:r w:rsidRPr="004E74A6">
              <w:rPr>
                <w:rFonts w:cs="Calibri"/>
                <w:color w:val="ED7D31" w:themeColor="accent2"/>
                <w:sz w:val="20"/>
              </w:rPr>
              <w:t>3</w:t>
            </w:r>
          </w:p>
        </w:tc>
        <w:tc>
          <w:tcPr>
            <w:tcW w:w="475" w:type="pct"/>
            <w:tcBorders>
              <w:top w:val="nil"/>
              <w:left w:val="single" w:sz="4" w:space="0" w:color="auto"/>
              <w:bottom w:val="nil"/>
              <w:right w:val="single" w:sz="4" w:space="0" w:color="auto"/>
            </w:tcBorders>
            <w:shd w:val="clear" w:color="auto" w:fill="auto"/>
            <w:noWrap/>
            <w:vAlign w:val="center"/>
            <w:hideMark/>
          </w:tcPr>
          <w:p w14:paraId="24BCFC44" w14:textId="6794973C" w:rsidR="00AD200A" w:rsidRPr="004E74A6" w:rsidRDefault="00AD200A" w:rsidP="00CE62C1">
            <w:pPr>
              <w:spacing w:line="276" w:lineRule="auto"/>
              <w:jc w:val="center"/>
              <w:rPr>
                <w:rFonts w:cs="Calibri"/>
                <w:color w:val="ED7D31" w:themeColor="accent2"/>
                <w:sz w:val="20"/>
                <w:lang w:eastAsia="es-CR"/>
              </w:rPr>
            </w:pPr>
            <w:r w:rsidRPr="004E74A6">
              <w:rPr>
                <w:rFonts w:cs="Calibri"/>
                <w:color w:val="ED7D31" w:themeColor="accent2"/>
                <w:sz w:val="20"/>
              </w:rPr>
              <w:t>11</w:t>
            </w:r>
          </w:p>
        </w:tc>
        <w:tc>
          <w:tcPr>
            <w:tcW w:w="475" w:type="pct"/>
            <w:tcBorders>
              <w:top w:val="nil"/>
              <w:left w:val="single" w:sz="4" w:space="0" w:color="auto"/>
              <w:bottom w:val="nil"/>
              <w:right w:val="single" w:sz="4" w:space="0" w:color="auto"/>
            </w:tcBorders>
            <w:shd w:val="clear" w:color="auto" w:fill="auto"/>
            <w:noWrap/>
            <w:vAlign w:val="center"/>
            <w:hideMark/>
          </w:tcPr>
          <w:p w14:paraId="01267940" w14:textId="65794B74" w:rsidR="00AD200A" w:rsidRPr="004E74A6" w:rsidRDefault="00AD200A" w:rsidP="00CE62C1">
            <w:pPr>
              <w:spacing w:line="276" w:lineRule="auto"/>
              <w:jc w:val="center"/>
              <w:rPr>
                <w:rFonts w:cs="Calibri"/>
                <w:color w:val="ED7D31" w:themeColor="accent2"/>
                <w:sz w:val="20"/>
                <w:lang w:eastAsia="es-CR"/>
              </w:rPr>
            </w:pPr>
            <w:r w:rsidRPr="004E74A6">
              <w:rPr>
                <w:rFonts w:cs="Calibri"/>
                <w:color w:val="ED7D31" w:themeColor="accent2"/>
                <w:sz w:val="20"/>
              </w:rPr>
              <w:t>0</w:t>
            </w:r>
          </w:p>
        </w:tc>
        <w:tc>
          <w:tcPr>
            <w:tcW w:w="639" w:type="pct"/>
            <w:tcBorders>
              <w:top w:val="nil"/>
              <w:left w:val="single" w:sz="4" w:space="0" w:color="auto"/>
              <w:bottom w:val="nil"/>
              <w:right w:val="nil"/>
            </w:tcBorders>
            <w:shd w:val="clear" w:color="auto" w:fill="auto"/>
            <w:noWrap/>
            <w:vAlign w:val="center"/>
            <w:hideMark/>
          </w:tcPr>
          <w:p w14:paraId="3C0636BC" w14:textId="2513E11A" w:rsidR="00AD200A" w:rsidRPr="004E74A6" w:rsidRDefault="00AD200A" w:rsidP="00CE62C1">
            <w:pPr>
              <w:spacing w:line="276" w:lineRule="auto"/>
              <w:jc w:val="center"/>
              <w:rPr>
                <w:rFonts w:cs="Calibri"/>
                <w:color w:val="ED7D31" w:themeColor="accent2"/>
                <w:sz w:val="20"/>
                <w:lang w:eastAsia="es-CR"/>
              </w:rPr>
            </w:pPr>
            <w:r w:rsidRPr="004E74A6">
              <w:rPr>
                <w:rFonts w:cs="Calibri"/>
                <w:color w:val="ED7D31" w:themeColor="accent2"/>
                <w:sz w:val="20"/>
              </w:rPr>
              <w:t>4,7</w:t>
            </w:r>
          </w:p>
        </w:tc>
        <w:tc>
          <w:tcPr>
            <w:tcW w:w="1337" w:type="pct"/>
            <w:tcBorders>
              <w:top w:val="nil"/>
              <w:left w:val="single" w:sz="4" w:space="0" w:color="auto"/>
              <w:bottom w:val="nil"/>
              <w:right w:val="nil"/>
            </w:tcBorders>
            <w:shd w:val="clear" w:color="auto" w:fill="auto"/>
            <w:vAlign w:val="bottom"/>
          </w:tcPr>
          <w:p w14:paraId="1F0F6091" w14:textId="68FC5B92" w:rsidR="00AD200A" w:rsidRPr="004E74A6" w:rsidRDefault="00AD200A" w:rsidP="00CE62C1">
            <w:pPr>
              <w:spacing w:line="276" w:lineRule="auto"/>
              <w:jc w:val="center"/>
              <w:rPr>
                <w:rFonts w:cs="Calibri"/>
                <w:color w:val="ED7D31" w:themeColor="accent2"/>
                <w:sz w:val="20"/>
              </w:rPr>
            </w:pPr>
            <w:r w:rsidRPr="004E74A6">
              <w:rPr>
                <w:rFonts w:cs="Calibri"/>
                <w:color w:val="ED7D31" w:themeColor="accent2"/>
                <w:sz w:val="20"/>
              </w:rPr>
              <w:t>100%</w:t>
            </w:r>
          </w:p>
        </w:tc>
      </w:tr>
      <w:tr w:rsidR="008B74EF" w:rsidRPr="004E74A6" w14:paraId="1D822B5F" w14:textId="07A8425C" w:rsidTr="00662185">
        <w:trPr>
          <w:trHeight w:val="284"/>
          <w:jc w:val="center"/>
        </w:trPr>
        <w:tc>
          <w:tcPr>
            <w:tcW w:w="1593" w:type="pct"/>
            <w:tcBorders>
              <w:top w:val="nil"/>
              <w:left w:val="nil"/>
              <w:bottom w:val="single" w:sz="4" w:space="0" w:color="auto"/>
              <w:right w:val="single" w:sz="4" w:space="0" w:color="auto"/>
            </w:tcBorders>
            <w:shd w:val="clear" w:color="auto" w:fill="auto"/>
            <w:noWrap/>
            <w:vAlign w:val="bottom"/>
          </w:tcPr>
          <w:p w14:paraId="4542E84B" w14:textId="77777777" w:rsidR="00AD200A" w:rsidRPr="004E74A6" w:rsidRDefault="00AD200A" w:rsidP="00CE62C1">
            <w:pPr>
              <w:spacing w:line="276" w:lineRule="auto"/>
              <w:jc w:val="left"/>
              <w:rPr>
                <w:rFonts w:cs="Calibri"/>
                <w:color w:val="000000"/>
                <w:sz w:val="20"/>
                <w:lang w:eastAsia="es-CR"/>
              </w:rPr>
            </w:pPr>
          </w:p>
        </w:tc>
        <w:tc>
          <w:tcPr>
            <w:tcW w:w="480" w:type="pct"/>
            <w:tcBorders>
              <w:top w:val="nil"/>
              <w:left w:val="single" w:sz="4" w:space="0" w:color="auto"/>
              <w:bottom w:val="single" w:sz="4" w:space="0" w:color="auto"/>
              <w:right w:val="single" w:sz="4" w:space="0" w:color="auto"/>
            </w:tcBorders>
            <w:shd w:val="clear" w:color="auto" w:fill="auto"/>
            <w:noWrap/>
            <w:vAlign w:val="center"/>
          </w:tcPr>
          <w:p w14:paraId="32D662AF" w14:textId="77777777" w:rsidR="00AD200A" w:rsidRPr="004E74A6" w:rsidRDefault="00AD200A" w:rsidP="00CE62C1">
            <w:pPr>
              <w:spacing w:line="276" w:lineRule="auto"/>
              <w:jc w:val="center"/>
              <w:rPr>
                <w:rFonts w:cs="Calibri"/>
                <w:color w:val="000000"/>
                <w:sz w:val="20"/>
                <w:lang w:eastAsia="es-CR"/>
              </w:rPr>
            </w:pPr>
          </w:p>
        </w:tc>
        <w:tc>
          <w:tcPr>
            <w:tcW w:w="475" w:type="pct"/>
            <w:tcBorders>
              <w:top w:val="nil"/>
              <w:left w:val="single" w:sz="4" w:space="0" w:color="auto"/>
              <w:bottom w:val="single" w:sz="4" w:space="0" w:color="auto"/>
              <w:right w:val="single" w:sz="4" w:space="0" w:color="auto"/>
            </w:tcBorders>
            <w:shd w:val="clear" w:color="auto" w:fill="auto"/>
            <w:noWrap/>
            <w:vAlign w:val="center"/>
          </w:tcPr>
          <w:p w14:paraId="65949A74" w14:textId="77777777" w:rsidR="00AD200A" w:rsidRPr="004E74A6" w:rsidRDefault="00AD200A" w:rsidP="00CE62C1">
            <w:pPr>
              <w:spacing w:line="276" w:lineRule="auto"/>
              <w:jc w:val="center"/>
              <w:rPr>
                <w:rFonts w:cs="Calibri"/>
                <w:color w:val="000000"/>
                <w:sz w:val="20"/>
                <w:lang w:eastAsia="es-CR"/>
              </w:rPr>
            </w:pPr>
          </w:p>
        </w:tc>
        <w:tc>
          <w:tcPr>
            <w:tcW w:w="475" w:type="pct"/>
            <w:tcBorders>
              <w:top w:val="nil"/>
              <w:left w:val="single" w:sz="4" w:space="0" w:color="auto"/>
              <w:bottom w:val="single" w:sz="4" w:space="0" w:color="auto"/>
              <w:right w:val="single" w:sz="4" w:space="0" w:color="auto"/>
            </w:tcBorders>
            <w:shd w:val="clear" w:color="auto" w:fill="auto"/>
            <w:noWrap/>
            <w:vAlign w:val="center"/>
          </w:tcPr>
          <w:p w14:paraId="10F64DE7" w14:textId="77777777" w:rsidR="00AD200A" w:rsidRPr="004E74A6" w:rsidRDefault="00AD200A" w:rsidP="00CE62C1">
            <w:pPr>
              <w:spacing w:line="276" w:lineRule="auto"/>
              <w:jc w:val="center"/>
              <w:rPr>
                <w:rFonts w:cs="Calibri"/>
                <w:color w:val="000000"/>
                <w:sz w:val="20"/>
                <w:lang w:eastAsia="es-CR"/>
              </w:rPr>
            </w:pPr>
          </w:p>
        </w:tc>
        <w:tc>
          <w:tcPr>
            <w:tcW w:w="639" w:type="pct"/>
            <w:tcBorders>
              <w:top w:val="nil"/>
              <w:left w:val="single" w:sz="4" w:space="0" w:color="auto"/>
              <w:bottom w:val="single" w:sz="4" w:space="0" w:color="auto"/>
              <w:right w:val="nil"/>
            </w:tcBorders>
            <w:shd w:val="clear" w:color="auto" w:fill="auto"/>
            <w:noWrap/>
            <w:vAlign w:val="center"/>
          </w:tcPr>
          <w:p w14:paraId="541750C3" w14:textId="77777777" w:rsidR="00AD200A" w:rsidRPr="004E74A6" w:rsidRDefault="00AD200A" w:rsidP="00CE62C1">
            <w:pPr>
              <w:spacing w:line="276" w:lineRule="auto"/>
              <w:jc w:val="center"/>
              <w:rPr>
                <w:rFonts w:cs="Calibri"/>
                <w:color w:val="000000"/>
                <w:sz w:val="20"/>
                <w:lang w:eastAsia="es-CR"/>
              </w:rPr>
            </w:pPr>
          </w:p>
        </w:tc>
        <w:tc>
          <w:tcPr>
            <w:tcW w:w="1337" w:type="pct"/>
            <w:tcBorders>
              <w:top w:val="nil"/>
              <w:left w:val="single" w:sz="4" w:space="0" w:color="auto"/>
              <w:bottom w:val="single" w:sz="4" w:space="0" w:color="auto"/>
              <w:right w:val="nil"/>
            </w:tcBorders>
          </w:tcPr>
          <w:p w14:paraId="5D067001" w14:textId="77777777" w:rsidR="00AD200A" w:rsidRPr="004E74A6" w:rsidRDefault="00AD200A" w:rsidP="00CE62C1">
            <w:pPr>
              <w:spacing w:line="276" w:lineRule="auto"/>
              <w:jc w:val="center"/>
              <w:rPr>
                <w:rFonts w:cs="Calibri"/>
                <w:color w:val="000000"/>
                <w:sz w:val="20"/>
                <w:lang w:eastAsia="es-CR"/>
              </w:rPr>
            </w:pPr>
          </w:p>
        </w:tc>
      </w:tr>
    </w:tbl>
    <w:p w14:paraId="78473258" w14:textId="77777777" w:rsidR="003E4755" w:rsidRDefault="003E4755" w:rsidP="00832773">
      <w:pPr>
        <w:spacing w:line="276" w:lineRule="auto"/>
        <w:ind w:left="57" w:right="57"/>
        <w:rPr>
          <w:rFonts w:cs="Calibri"/>
          <w:i/>
          <w:iCs/>
          <w:color w:val="000000"/>
          <w:sz w:val="20"/>
          <w:lang w:eastAsia="es-CR"/>
        </w:rPr>
      </w:pPr>
      <w:r w:rsidRPr="004E74A6">
        <w:rPr>
          <w:rFonts w:cs="Calibri"/>
          <w:i/>
          <w:iCs/>
          <w:color w:val="000000"/>
          <w:sz w:val="20"/>
          <w:lang w:eastAsia="es-CR"/>
        </w:rPr>
        <w:t>Fuente: Subproceso de Modernización Institucional con datos extraídos del sistema SIGMA, Dirección de Planificación.</w:t>
      </w:r>
    </w:p>
    <w:p w14:paraId="6F949C4E" w14:textId="77777777" w:rsidR="00C823C0" w:rsidRPr="004E74A6" w:rsidRDefault="00C823C0" w:rsidP="00832773">
      <w:pPr>
        <w:spacing w:line="276" w:lineRule="auto"/>
        <w:ind w:left="57" w:right="57"/>
        <w:rPr>
          <w:rFonts w:cs="Calibri"/>
          <w:i/>
          <w:iCs/>
          <w:color w:val="000000"/>
          <w:sz w:val="20"/>
          <w:lang w:eastAsia="es-CR"/>
        </w:rPr>
      </w:pPr>
    </w:p>
    <w:p w14:paraId="5BE4D083" w14:textId="3995312E" w:rsidR="00E43D6E" w:rsidRPr="004E74A6" w:rsidRDefault="00E43D6E" w:rsidP="00CE62C1">
      <w:pPr>
        <w:spacing w:after="160" w:line="276" w:lineRule="auto"/>
        <w:rPr>
          <w:rFonts w:cs="Calibri"/>
          <w:color w:val="000000"/>
          <w:szCs w:val="24"/>
          <w:lang w:eastAsia="es-CR"/>
        </w:rPr>
      </w:pPr>
      <w:r w:rsidRPr="004E74A6">
        <w:rPr>
          <w:rFonts w:cs="Calibri"/>
          <w:color w:val="000000"/>
          <w:szCs w:val="24"/>
          <w:lang w:eastAsia="es-CR"/>
        </w:rPr>
        <w:lastRenderedPageBreak/>
        <w:t xml:space="preserve">Para el 2019 se reportaron 3 asuntos con el rango de cuantía </w:t>
      </w:r>
      <w:r w:rsidRPr="004E74A6">
        <w:rPr>
          <w:rFonts w:cs="Calibri"/>
          <w:i/>
          <w:iCs/>
          <w:color w:val="000000"/>
          <w:szCs w:val="24"/>
          <w:lang w:eastAsia="es-CR"/>
        </w:rPr>
        <w:t>“expedientes cuantía cero”</w:t>
      </w:r>
      <w:r w:rsidRPr="004E74A6">
        <w:rPr>
          <w:rFonts w:cs="Calibri"/>
          <w:color w:val="000000"/>
          <w:szCs w:val="24"/>
          <w:lang w:eastAsia="es-CR"/>
        </w:rPr>
        <w:t>, 11 en 2020 y 0 en 2021, eso sucedió porque el Tribunal indicó que el proceso era estimable pero no completó la opción de rango.</w:t>
      </w:r>
    </w:p>
    <w:p w14:paraId="0383CE73" w14:textId="21D3A8C1" w:rsidR="00DC1B71" w:rsidRPr="004E74A6" w:rsidRDefault="000D7D61" w:rsidP="00CE62C1">
      <w:pPr>
        <w:spacing w:after="160" w:line="276" w:lineRule="auto"/>
        <w:rPr>
          <w:rFonts w:cs="Calibri"/>
          <w:color w:val="000000"/>
          <w:szCs w:val="24"/>
          <w:lang w:eastAsia="es-CR"/>
        </w:rPr>
      </w:pPr>
      <w:r w:rsidRPr="004E74A6">
        <w:rPr>
          <w:rFonts w:cs="Calibri"/>
          <w:color w:val="000000"/>
          <w:szCs w:val="24"/>
          <w:lang w:eastAsia="es-CR"/>
        </w:rPr>
        <w:t xml:space="preserve">De elevarse cuantía según escenario A.1 este Tribunal perdería un 56% </w:t>
      </w:r>
      <w:r w:rsidR="00DC1B71" w:rsidRPr="004E74A6">
        <w:rPr>
          <w:rFonts w:cs="Calibri"/>
          <w:color w:val="000000"/>
          <w:szCs w:val="24"/>
          <w:lang w:eastAsia="es-CR"/>
        </w:rPr>
        <w:t xml:space="preserve">de su entrada actual de asuntos ordinarios estimables que se trasladarían a conocimiento de los Juzgados Civiles y por ende </w:t>
      </w:r>
      <w:r w:rsidR="00DC1B71" w:rsidRPr="004E74A6">
        <w:rPr>
          <w:rFonts w:cs="Calibri"/>
          <w:b/>
          <w:bCs/>
          <w:color w:val="000000"/>
          <w:szCs w:val="24"/>
          <w:lang w:eastAsia="es-CR"/>
        </w:rPr>
        <w:t xml:space="preserve">las apelaciones de sentencia </w:t>
      </w:r>
      <w:r w:rsidR="00DC1B71" w:rsidRPr="004E74A6">
        <w:rPr>
          <w:rFonts w:cs="Calibri"/>
          <w:color w:val="000000"/>
          <w:szCs w:val="24"/>
          <w:lang w:eastAsia="es-CR"/>
        </w:rPr>
        <w:t xml:space="preserve">en esos procesos se conocerían en los Tribunales de Apelación.  </w:t>
      </w:r>
    </w:p>
    <w:p w14:paraId="7293C34D" w14:textId="5E658767" w:rsidR="00DC1B71" w:rsidRDefault="00DC1B71" w:rsidP="00CE62C1">
      <w:pPr>
        <w:spacing w:after="160" w:line="276" w:lineRule="auto"/>
        <w:rPr>
          <w:rFonts w:cs="Calibri"/>
          <w:color w:val="000000"/>
          <w:szCs w:val="24"/>
          <w:lang w:eastAsia="es-CR"/>
        </w:rPr>
      </w:pPr>
      <w:r w:rsidRPr="004E74A6">
        <w:rPr>
          <w:rFonts w:cs="Calibri"/>
          <w:color w:val="000000"/>
          <w:szCs w:val="24"/>
          <w:lang w:eastAsia="es-CR"/>
        </w:rPr>
        <w:t xml:space="preserve">De elevarse cuantía según escenario A.2, no se modificaría la entrada de ordinarios, sino que el efecto sería en el recurso del que dispondrían las sentencias en los ordinarios estimados hasta en 20 millones de colones, </w:t>
      </w:r>
      <w:r w:rsidR="00C823C0" w:rsidRPr="004E74A6">
        <w:rPr>
          <w:rFonts w:cs="Calibri"/>
          <w:color w:val="000000"/>
          <w:szCs w:val="24"/>
          <w:lang w:eastAsia="es-CR"/>
        </w:rPr>
        <w:t>que,</w:t>
      </w:r>
      <w:r w:rsidRPr="004E74A6">
        <w:rPr>
          <w:rFonts w:cs="Calibri"/>
          <w:color w:val="000000"/>
          <w:szCs w:val="24"/>
          <w:lang w:eastAsia="es-CR"/>
        </w:rPr>
        <w:t xml:space="preserve"> pese a que se mantendrían en trámite en estos tribunales de primera instancia, dejarían de disponer recurso de casación ante la Sala Primera y pasarían a disponer únicamente de recurso de apelación ante el Tribunal de Apelación en Segunda Instancia.</w:t>
      </w:r>
    </w:p>
    <w:p w14:paraId="7774C185" w14:textId="77777777" w:rsidR="00C823C0" w:rsidRPr="004E74A6" w:rsidRDefault="00C823C0" w:rsidP="00CE62C1">
      <w:pPr>
        <w:spacing w:after="160" w:line="276" w:lineRule="auto"/>
        <w:rPr>
          <w:rFonts w:cs="Calibri"/>
          <w:color w:val="000000"/>
          <w:szCs w:val="24"/>
          <w:lang w:eastAsia="es-CR"/>
        </w:rPr>
      </w:pPr>
    </w:p>
    <w:p w14:paraId="3B82DD28" w14:textId="77777777" w:rsidR="008647ED" w:rsidRPr="004E74A6" w:rsidRDefault="008647ED" w:rsidP="00CE62C1">
      <w:pPr>
        <w:numPr>
          <w:ilvl w:val="2"/>
          <w:numId w:val="21"/>
        </w:numPr>
        <w:spacing w:after="160" w:line="276" w:lineRule="auto"/>
        <w:ind w:left="1225" w:hanging="505"/>
        <w:outlineLvl w:val="5"/>
        <w:rPr>
          <w:rFonts w:cs="Calibri"/>
          <w:color w:val="000000"/>
          <w:szCs w:val="24"/>
          <w:lang w:eastAsia="es-CR"/>
        </w:rPr>
      </w:pPr>
      <w:r w:rsidRPr="004E74A6">
        <w:rPr>
          <w:rFonts w:cs="Calibri"/>
          <w:color w:val="000000"/>
          <w:szCs w:val="24"/>
          <w:lang w:eastAsia="es-CR"/>
        </w:rPr>
        <w:t>Tribunal Colegiado Primera Instancia Civil Heredia</w:t>
      </w:r>
    </w:p>
    <w:p w14:paraId="74BB8466" w14:textId="1F8DBE9F" w:rsidR="008647ED" w:rsidRDefault="00240978" w:rsidP="00CE62C1">
      <w:pPr>
        <w:spacing w:after="160" w:line="276" w:lineRule="auto"/>
        <w:rPr>
          <w:rFonts w:cs="Calibri"/>
          <w:color w:val="000000"/>
          <w:szCs w:val="24"/>
          <w:lang w:eastAsia="es-CR"/>
        </w:rPr>
      </w:pPr>
      <w:r w:rsidRPr="004E74A6">
        <w:rPr>
          <w:rFonts w:cs="Calibri"/>
          <w:color w:val="000000"/>
          <w:szCs w:val="24"/>
          <w:lang w:eastAsia="es-CR"/>
        </w:rPr>
        <w:t xml:space="preserve">Para el caso de este Tribunal, según la tabla por tipo de carpeta principal representa el </w:t>
      </w:r>
      <w:r w:rsidR="008647ED" w:rsidRPr="004E74A6">
        <w:rPr>
          <w:rFonts w:cs="Calibri"/>
          <w:color w:val="000000"/>
          <w:szCs w:val="24"/>
          <w:lang w:eastAsia="es-CR"/>
        </w:rPr>
        <w:t>92,6% de los asuntos que ingresan y que presenta un ligero aumento durante el 2021 en relación con el 2020.</w:t>
      </w:r>
    </w:p>
    <w:p w14:paraId="1BD69016" w14:textId="116269EC" w:rsidR="00193D21" w:rsidRDefault="00193D21" w:rsidP="00CE62C1">
      <w:pPr>
        <w:spacing w:after="160" w:line="276" w:lineRule="auto"/>
        <w:rPr>
          <w:rFonts w:cs="Calibri"/>
          <w:color w:val="000000"/>
          <w:szCs w:val="24"/>
          <w:lang w:eastAsia="es-CR"/>
        </w:rPr>
      </w:pPr>
    </w:p>
    <w:p w14:paraId="0786329E" w14:textId="42508D7F" w:rsidR="00193D21" w:rsidRDefault="00193D21" w:rsidP="00CE62C1">
      <w:pPr>
        <w:spacing w:after="160" w:line="276" w:lineRule="auto"/>
        <w:rPr>
          <w:rFonts w:cs="Calibri"/>
          <w:color w:val="000000"/>
          <w:szCs w:val="24"/>
          <w:lang w:eastAsia="es-CR"/>
        </w:rPr>
      </w:pPr>
    </w:p>
    <w:p w14:paraId="27512086" w14:textId="6E5970EB" w:rsidR="00193D21" w:rsidRDefault="00193D21" w:rsidP="00CE62C1">
      <w:pPr>
        <w:spacing w:after="160" w:line="276" w:lineRule="auto"/>
        <w:rPr>
          <w:rFonts w:cs="Calibri"/>
          <w:color w:val="000000"/>
          <w:szCs w:val="24"/>
          <w:lang w:eastAsia="es-CR"/>
        </w:rPr>
      </w:pPr>
    </w:p>
    <w:p w14:paraId="784DE912" w14:textId="5FF34190" w:rsidR="00193D21" w:rsidRDefault="00193D21" w:rsidP="00CE62C1">
      <w:pPr>
        <w:spacing w:after="160" w:line="276" w:lineRule="auto"/>
        <w:rPr>
          <w:rFonts w:cs="Calibri"/>
          <w:color w:val="000000"/>
          <w:szCs w:val="24"/>
          <w:lang w:eastAsia="es-CR"/>
        </w:rPr>
      </w:pPr>
    </w:p>
    <w:p w14:paraId="12270C0E" w14:textId="7F062749" w:rsidR="00193D21" w:rsidRDefault="00193D21" w:rsidP="00CE62C1">
      <w:pPr>
        <w:spacing w:after="160" w:line="276" w:lineRule="auto"/>
        <w:rPr>
          <w:rFonts w:cs="Calibri"/>
          <w:color w:val="000000"/>
          <w:szCs w:val="24"/>
          <w:lang w:eastAsia="es-CR"/>
        </w:rPr>
      </w:pPr>
    </w:p>
    <w:p w14:paraId="2A1E102F" w14:textId="5E5FADDE" w:rsidR="00193D21" w:rsidRDefault="00193D21" w:rsidP="00CE62C1">
      <w:pPr>
        <w:spacing w:after="160" w:line="276" w:lineRule="auto"/>
        <w:rPr>
          <w:rFonts w:cs="Calibri"/>
          <w:color w:val="000000"/>
          <w:szCs w:val="24"/>
          <w:lang w:eastAsia="es-CR"/>
        </w:rPr>
      </w:pPr>
    </w:p>
    <w:p w14:paraId="179E12D7" w14:textId="264578E1" w:rsidR="00193D21" w:rsidRDefault="00193D21" w:rsidP="00CE62C1">
      <w:pPr>
        <w:spacing w:after="160" w:line="276" w:lineRule="auto"/>
        <w:rPr>
          <w:rFonts w:cs="Calibri"/>
          <w:color w:val="000000"/>
          <w:szCs w:val="24"/>
          <w:lang w:eastAsia="es-CR"/>
        </w:rPr>
      </w:pPr>
    </w:p>
    <w:p w14:paraId="523B211C" w14:textId="4172130D" w:rsidR="00193D21" w:rsidRDefault="00193D21" w:rsidP="00CE62C1">
      <w:pPr>
        <w:spacing w:after="160" w:line="276" w:lineRule="auto"/>
        <w:rPr>
          <w:rFonts w:cs="Calibri"/>
          <w:color w:val="000000"/>
          <w:szCs w:val="24"/>
          <w:lang w:eastAsia="es-CR"/>
        </w:rPr>
      </w:pPr>
    </w:p>
    <w:p w14:paraId="5051B86E" w14:textId="6A1D4493" w:rsidR="00193D21" w:rsidRDefault="00193D21" w:rsidP="00CE62C1">
      <w:pPr>
        <w:spacing w:after="160" w:line="276" w:lineRule="auto"/>
        <w:rPr>
          <w:rFonts w:cs="Calibri"/>
          <w:color w:val="000000"/>
          <w:szCs w:val="24"/>
          <w:lang w:eastAsia="es-CR"/>
        </w:rPr>
      </w:pPr>
    </w:p>
    <w:p w14:paraId="7FDCBBD3" w14:textId="77777777" w:rsidR="00193D21" w:rsidRPr="004E74A6" w:rsidRDefault="00193D21" w:rsidP="00CE62C1">
      <w:pPr>
        <w:spacing w:after="160" w:line="276" w:lineRule="auto"/>
        <w:rPr>
          <w:rFonts w:cs="Calibri"/>
          <w:color w:val="000000"/>
          <w:szCs w:val="24"/>
          <w:lang w:eastAsia="es-CR"/>
        </w:rPr>
      </w:pPr>
    </w:p>
    <w:p w14:paraId="5615DD86" w14:textId="510C6C1F" w:rsidR="00122975" w:rsidRPr="00832773" w:rsidRDefault="00122975" w:rsidP="00F0204A">
      <w:pPr>
        <w:pStyle w:val="Descripcin"/>
        <w:keepNext/>
        <w:spacing w:line="276" w:lineRule="auto"/>
        <w:jc w:val="center"/>
        <w:rPr>
          <w:rFonts w:ascii="Book Antiqua" w:hAnsi="Book Antiqua"/>
          <w:i/>
          <w:iCs/>
          <w:sz w:val="20"/>
          <w:szCs w:val="16"/>
          <w:lang w:val="es-CR"/>
        </w:rPr>
      </w:pPr>
      <w:r w:rsidRPr="00832773">
        <w:rPr>
          <w:rFonts w:ascii="Book Antiqua" w:hAnsi="Book Antiqua"/>
          <w:i/>
          <w:iCs/>
          <w:sz w:val="20"/>
          <w:szCs w:val="16"/>
          <w:lang w:val="es-CR"/>
        </w:rPr>
        <w:lastRenderedPageBreak/>
        <w:t xml:space="preserve">Tabla </w:t>
      </w:r>
      <w:r w:rsidRPr="00832773">
        <w:rPr>
          <w:rFonts w:ascii="Book Antiqua" w:hAnsi="Book Antiqua"/>
          <w:i/>
          <w:iCs/>
          <w:sz w:val="20"/>
          <w:szCs w:val="16"/>
          <w:lang w:val="es-CR"/>
        </w:rPr>
        <w:fldChar w:fldCharType="begin"/>
      </w:r>
      <w:r w:rsidRPr="00832773">
        <w:rPr>
          <w:rFonts w:ascii="Book Antiqua" w:hAnsi="Book Antiqua"/>
          <w:i/>
          <w:iCs/>
          <w:sz w:val="20"/>
          <w:szCs w:val="16"/>
          <w:lang w:val="es-CR"/>
        </w:rPr>
        <w:instrText xml:space="preserve"> SEQ Tabla \* ARABIC </w:instrText>
      </w:r>
      <w:r w:rsidRPr="00832773">
        <w:rPr>
          <w:rFonts w:ascii="Book Antiqua" w:hAnsi="Book Antiqua"/>
          <w:i/>
          <w:iCs/>
          <w:sz w:val="20"/>
          <w:szCs w:val="16"/>
          <w:lang w:val="es-CR"/>
        </w:rPr>
        <w:fldChar w:fldCharType="separate"/>
      </w:r>
      <w:r w:rsidR="00374B51">
        <w:rPr>
          <w:rFonts w:ascii="Book Antiqua" w:hAnsi="Book Antiqua"/>
          <w:i/>
          <w:iCs/>
          <w:noProof/>
          <w:sz w:val="20"/>
          <w:szCs w:val="16"/>
          <w:lang w:val="es-CR"/>
        </w:rPr>
        <w:t>25</w:t>
      </w:r>
      <w:r w:rsidRPr="00832773">
        <w:rPr>
          <w:rFonts w:ascii="Book Antiqua" w:hAnsi="Book Antiqua"/>
          <w:i/>
          <w:iCs/>
          <w:sz w:val="20"/>
          <w:szCs w:val="16"/>
          <w:lang w:val="es-CR"/>
        </w:rPr>
        <w:fldChar w:fldCharType="end"/>
      </w:r>
      <w:r w:rsidRPr="00832773">
        <w:rPr>
          <w:rFonts w:ascii="Book Antiqua" w:hAnsi="Book Antiqua"/>
          <w:i/>
          <w:iCs/>
          <w:sz w:val="20"/>
          <w:szCs w:val="16"/>
          <w:lang w:val="es-CR"/>
        </w:rPr>
        <w:t xml:space="preserve"> Cantidad de entrados por tipo de </w:t>
      </w:r>
      <w:r w:rsidR="00240978" w:rsidRPr="00832773">
        <w:rPr>
          <w:rFonts w:ascii="Book Antiqua" w:hAnsi="Book Antiqua"/>
          <w:i/>
          <w:iCs/>
          <w:sz w:val="20"/>
          <w:szCs w:val="16"/>
          <w:lang w:val="es-CR"/>
        </w:rPr>
        <w:t>carpeta</w:t>
      </w:r>
      <w:r w:rsidRPr="00832773">
        <w:rPr>
          <w:rFonts w:ascii="Book Antiqua" w:hAnsi="Book Antiqua"/>
          <w:i/>
          <w:iCs/>
          <w:sz w:val="20"/>
          <w:szCs w:val="16"/>
          <w:lang w:val="es-CR"/>
        </w:rPr>
        <w:t xml:space="preserve"> del 2019 al 2021 para el Tribunal Colegiado Primera Instancia Civil Heredia</w:t>
      </w:r>
    </w:p>
    <w:tbl>
      <w:tblPr>
        <w:tblW w:w="3949" w:type="pct"/>
        <w:jc w:val="center"/>
        <w:tblLayout w:type="fixed"/>
        <w:tblCellMar>
          <w:left w:w="70" w:type="dxa"/>
          <w:right w:w="70" w:type="dxa"/>
        </w:tblCellMar>
        <w:tblLook w:val="04A0" w:firstRow="1" w:lastRow="0" w:firstColumn="1" w:lastColumn="0" w:noHBand="0" w:noVBand="1"/>
      </w:tblPr>
      <w:tblGrid>
        <w:gridCol w:w="3348"/>
        <w:gridCol w:w="842"/>
        <w:gridCol w:w="841"/>
        <w:gridCol w:w="835"/>
        <w:gridCol w:w="1116"/>
      </w:tblGrid>
      <w:tr w:rsidR="00122975" w:rsidRPr="004E74A6" w14:paraId="18A36469" w14:textId="77777777" w:rsidTr="003E4755">
        <w:trPr>
          <w:trHeight w:val="454"/>
          <w:tblHeader/>
          <w:jc w:val="center"/>
        </w:trPr>
        <w:tc>
          <w:tcPr>
            <w:tcW w:w="2398" w:type="pct"/>
            <w:tcBorders>
              <w:top w:val="single" w:sz="4" w:space="0" w:color="auto"/>
              <w:bottom w:val="single" w:sz="4" w:space="0" w:color="auto"/>
              <w:right w:val="single" w:sz="4" w:space="0" w:color="auto"/>
            </w:tcBorders>
            <w:shd w:val="clear" w:color="auto" w:fill="auto"/>
            <w:noWrap/>
            <w:vAlign w:val="center"/>
            <w:hideMark/>
          </w:tcPr>
          <w:p w14:paraId="3A830311" w14:textId="6C5D90A3" w:rsidR="008647ED" w:rsidRPr="004E74A6" w:rsidRDefault="00122975" w:rsidP="00CE62C1">
            <w:pPr>
              <w:spacing w:line="276" w:lineRule="auto"/>
              <w:jc w:val="center"/>
              <w:rPr>
                <w:sz w:val="20"/>
                <w:lang w:eastAsia="es-CR"/>
              </w:rPr>
            </w:pPr>
            <w:r w:rsidRPr="004E74A6">
              <w:rPr>
                <w:sz w:val="20"/>
                <w:lang w:eastAsia="es-CR"/>
              </w:rPr>
              <w:t>Tipo</w:t>
            </w:r>
            <w:r w:rsidR="008647ED" w:rsidRPr="004E74A6">
              <w:rPr>
                <w:sz w:val="20"/>
                <w:lang w:eastAsia="es-CR"/>
              </w:rPr>
              <w:t xml:space="preserve"> De </w:t>
            </w:r>
            <w:r w:rsidR="00240978" w:rsidRPr="004E74A6">
              <w:rPr>
                <w:sz w:val="20"/>
                <w:lang w:eastAsia="es-CR"/>
              </w:rPr>
              <w:t>Carpeta</w:t>
            </w:r>
          </w:p>
        </w:tc>
        <w:tc>
          <w:tcPr>
            <w:tcW w:w="60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19790B"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2019</w:t>
            </w:r>
          </w:p>
        </w:tc>
        <w:tc>
          <w:tcPr>
            <w:tcW w:w="60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457AFB"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2020</w:t>
            </w:r>
          </w:p>
        </w:tc>
        <w:tc>
          <w:tcPr>
            <w:tcW w:w="59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8BBCCF"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2021</w:t>
            </w:r>
          </w:p>
        </w:tc>
        <w:tc>
          <w:tcPr>
            <w:tcW w:w="799" w:type="pct"/>
            <w:tcBorders>
              <w:top w:val="single" w:sz="4" w:space="0" w:color="auto"/>
              <w:left w:val="single" w:sz="4" w:space="0" w:color="auto"/>
              <w:bottom w:val="single" w:sz="4" w:space="0" w:color="auto"/>
            </w:tcBorders>
            <w:shd w:val="clear" w:color="auto" w:fill="auto"/>
            <w:noWrap/>
            <w:vAlign w:val="center"/>
            <w:hideMark/>
          </w:tcPr>
          <w:p w14:paraId="56D731EE" w14:textId="23AAF6BB" w:rsidR="008647ED" w:rsidRPr="004E74A6" w:rsidRDefault="00122975" w:rsidP="00CE62C1">
            <w:pPr>
              <w:spacing w:line="276" w:lineRule="auto"/>
              <w:jc w:val="center"/>
              <w:rPr>
                <w:rFonts w:cs="Calibri"/>
                <w:color w:val="000000"/>
                <w:sz w:val="20"/>
                <w:lang w:eastAsia="es-CR"/>
              </w:rPr>
            </w:pPr>
            <w:r w:rsidRPr="004E74A6">
              <w:rPr>
                <w:rFonts w:cs="Calibri"/>
                <w:color w:val="000000"/>
                <w:sz w:val="20"/>
                <w:lang w:eastAsia="es-CR"/>
              </w:rPr>
              <w:t>Promedio</w:t>
            </w:r>
          </w:p>
        </w:tc>
      </w:tr>
      <w:tr w:rsidR="00122975" w:rsidRPr="004E74A6" w14:paraId="7880F026" w14:textId="77777777" w:rsidTr="003E4755">
        <w:trPr>
          <w:trHeight w:val="288"/>
          <w:jc w:val="center"/>
        </w:trPr>
        <w:tc>
          <w:tcPr>
            <w:tcW w:w="2398" w:type="pct"/>
            <w:tcBorders>
              <w:top w:val="single" w:sz="4" w:space="0" w:color="auto"/>
              <w:right w:val="single" w:sz="4" w:space="0" w:color="auto"/>
            </w:tcBorders>
            <w:shd w:val="clear" w:color="auto" w:fill="auto"/>
            <w:noWrap/>
            <w:vAlign w:val="bottom"/>
          </w:tcPr>
          <w:p w14:paraId="4F4FC7AA" w14:textId="77777777" w:rsidR="008647ED" w:rsidRPr="004E74A6" w:rsidRDefault="008647ED" w:rsidP="00CE62C1">
            <w:pPr>
              <w:spacing w:line="276" w:lineRule="auto"/>
              <w:jc w:val="left"/>
              <w:rPr>
                <w:rFonts w:cs="Calibri"/>
                <w:color w:val="000000"/>
                <w:sz w:val="20"/>
                <w:lang w:eastAsia="es-CR"/>
              </w:rPr>
            </w:pPr>
          </w:p>
        </w:tc>
        <w:tc>
          <w:tcPr>
            <w:tcW w:w="603" w:type="pct"/>
            <w:tcBorders>
              <w:top w:val="single" w:sz="4" w:space="0" w:color="auto"/>
              <w:left w:val="single" w:sz="4" w:space="0" w:color="auto"/>
              <w:right w:val="single" w:sz="4" w:space="0" w:color="auto"/>
            </w:tcBorders>
            <w:shd w:val="clear" w:color="auto" w:fill="auto"/>
            <w:noWrap/>
            <w:vAlign w:val="center"/>
          </w:tcPr>
          <w:p w14:paraId="42ABB573" w14:textId="77777777" w:rsidR="008647ED" w:rsidRPr="004E74A6" w:rsidRDefault="008647ED" w:rsidP="00CE62C1">
            <w:pPr>
              <w:spacing w:line="276" w:lineRule="auto"/>
              <w:jc w:val="center"/>
              <w:rPr>
                <w:rFonts w:cs="Calibri"/>
                <w:color w:val="000000"/>
                <w:sz w:val="20"/>
                <w:lang w:eastAsia="es-CR"/>
              </w:rPr>
            </w:pPr>
          </w:p>
        </w:tc>
        <w:tc>
          <w:tcPr>
            <w:tcW w:w="602" w:type="pct"/>
            <w:tcBorders>
              <w:top w:val="single" w:sz="4" w:space="0" w:color="auto"/>
              <w:left w:val="single" w:sz="4" w:space="0" w:color="auto"/>
              <w:right w:val="single" w:sz="4" w:space="0" w:color="auto"/>
            </w:tcBorders>
            <w:shd w:val="clear" w:color="auto" w:fill="auto"/>
            <w:noWrap/>
            <w:vAlign w:val="center"/>
          </w:tcPr>
          <w:p w14:paraId="505CDDCF" w14:textId="77777777" w:rsidR="008647ED" w:rsidRPr="004E74A6" w:rsidRDefault="008647ED" w:rsidP="00CE62C1">
            <w:pPr>
              <w:spacing w:line="276" w:lineRule="auto"/>
              <w:jc w:val="center"/>
              <w:rPr>
                <w:rFonts w:cs="Calibri"/>
                <w:color w:val="000000"/>
                <w:sz w:val="20"/>
                <w:lang w:eastAsia="es-CR"/>
              </w:rPr>
            </w:pPr>
          </w:p>
        </w:tc>
        <w:tc>
          <w:tcPr>
            <w:tcW w:w="598" w:type="pct"/>
            <w:tcBorders>
              <w:top w:val="single" w:sz="4" w:space="0" w:color="auto"/>
              <w:left w:val="single" w:sz="4" w:space="0" w:color="auto"/>
              <w:right w:val="single" w:sz="4" w:space="0" w:color="auto"/>
            </w:tcBorders>
            <w:shd w:val="clear" w:color="auto" w:fill="auto"/>
            <w:noWrap/>
            <w:vAlign w:val="center"/>
          </w:tcPr>
          <w:p w14:paraId="15B630A8" w14:textId="77777777" w:rsidR="008647ED" w:rsidRPr="004E74A6" w:rsidRDefault="008647ED" w:rsidP="00CE62C1">
            <w:pPr>
              <w:spacing w:line="276" w:lineRule="auto"/>
              <w:jc w:val="center"/>
              <w:rPr>
                <w:sz w:val="20"/>
                <w:lang w:eastAsia="es-CR"/>
              </w:rPr>
            </w:pPr>
          </w:p>
        </w:tc>
        <w:tc>
          <w:tcPr>
            <w:tcW w:w="799" w:type="pct"/>
            <w:tcBorders>
              <w:top w:val="single" w:sz="4" w:space="0" w:color="auto"/>
              <w:left w:val="single" w:sz="4" w:space="0" w:color="auto"/>
            </w:tcBorders>
            <w:shd w:val="clear" w:color="auto" w:fill="auto"/>
            <w:noWrap/>
            <w:vAlign w:val="center"/>
          </w:tcPr>
          <w:p w14:paraId="09756A70" w14:textId="77777777" w:rsidR="008647ED" w:rsidRPr="004E74A6" w:rsidRDefault="008647ED" w:rsidP="00CE62C1">
            <w:pPr>
              <w:spacing w:line="276" w:lineRule="auto"/>
              <w:jc w:val="center"/>
              <w:rPr>
                <w:rFonts w:cs="Calibri"/>
                <w:color w:val="000000"/>
                <w:sz w:val="20"/>
                <w:lang w:eastAsia="es-CR"/>
              </w:rPr>
            </w:pPr>
          </w:p>
        </w:tc>
      </w:tr>
      <w:tr w:rsidR="00CA5891" w:rsidRPr="004E74A6" w14:paraId="3CB8E9CB" w14:textId="77777777" w:rsidTr="00B32800">
        <w:trPr>
          <w:trHeight w:val="288"/>
          <w:jc w:val="center"/>
        </w:trPr>
        <w:tc>
          <w:tcPr>
            <w:tcW w:w="2398" w:type="pct"/>
            <w:tcBorders>
              <w:right w:val="single" w:sz="4" w:space="0" w:color="auto"/>
            </w:tcBorders>
            <w:shd w:val="clear" w:color="auto" w:fill="auto"/>
            <w:noWrap/>
            <w:vAlign w:val="bottom"/>
          </w:tcPr>
          <w:p w14:paraId="590FB545" w14:textId="687347A2" w:rsidR="00CA5891" w:rsidRPr="004E74A6" w:rsidRDefault="00CA5891" w:rsidP="00CE62C1">
            <w:pPr>
              <w:spacing w:line="276" w:lineRule="auto"/>
              <w:jc w:val="center"/>
              <w:rPr>
                <w:rFonts w:cs="Calibri"/>
                <w:color w:val="000000"/>
                <w:sz w:val="20"/>
                <w:lang w:eastAsia="es-CR"/>
              </w:rPr>
            </w:pPr>
            <w:r w:rsidRPr="004E74A6">
              <w:rPr>
                <w:rFonts w:cs="Calibri"/>
                <w:color w:val="000000"/>
                <w:sz w:val="20"/>
                <w:lang w:eastAsia="es-CR"/>
              </w:rPr>
              <w:t>Total General</w:t>
            </w:r>
          </w:p>
        </w:tc>
        <w:tc>
          <w:tcPr>
            <w:tcW w:w="603" w:type="pct"/>
            <w:tcBorders>
              <w:left w:val="single" w:sz="4" w:space="0" w:color="auto"/>
              <w:right w:val="single" w:sz="4" w:space="0" w:color="auto"/>
            </w:tcBorders>
            <w:shd w:val="clear" w:color="auto" w:fill="auto"/>
            <w:noWrap/>
            <w:vAlign w:val="center"/>
          </w:tcPr>
          <w:p w14:paraId="4AAA0A08" w14:textId="29900A43" w:rsidR="00CA5891" w:rsidRPr="004E74A6" w:rsidRDefault="00CA5891" w:rsidP="00CE62C1">
            <w:pPr>
              <w:spacing w:line="276" w:lineRule="auto"/>
              <w:jc w:val="center"/>
              <w:rPr>
                <w:rFonts w:cs="Calibri"/>
                <w:color w:val="000000"/>
                <w:sz w:val="20"/>
                <w:lang w:eastAsia="es-CR"/>
              </w:rPr>
            </w:pPr>
            <w:r w:rsidRPr="004E74A6">
              <w:rPr>
                <w:rFonts w:cs="Calibri"/>
                <w:color w:val="000000"/>
                <w:sz w:val="20"/>
                <w:lang w:eastAsia="es-CR"/>
              </w:rPr>
              <w:t>273</w:t>
            </w:r>
          </w:p>
        </w:tc>
        <w:tc>
          <w:tcPr>
            <w:tcW w:w="602" w:type="pct"/>
            <w:tcBorders>
              <w:left w:val="single" w:sz="4" w:space="0" w:color="auto"/>
              <w:right w:val="single" w:sz="4" w:space="0" w:color="auto"/>
            </w:tcBorders>
            <w:shd w:val="clear" w:color="auto" w:fill="auto"/>
            <w:noWrap/>
            <w:vAlign w:val="center"/>
          </w:tcPr>
          <w:p w14:paraId="784FB94F" w14:textId="15E68236" w:rsidR="00CA5891" w:rsidRPr="004E74A6" w:rsidRDefault="00CA5891" w:rsidP="00CE62C1">
            <w:pPr>
              <w:spacing w:line="276" w:lineRule="auto"/>
              <w:jc w:val="center"/>
              <w:rPr>
                <w:rFonts w:cs="Calibri"/>
                <w:color w:val="000000"/>
                <w:sz w:val="20"/>
                <w:lang w:eastAsia="es-CR"/>
              </w:rPr>
            </w:pPr>
            <w:r w:rsidRPr="004E74A6">
              <w:rPr>
                <w:rFonts w:cs="Calibri"/>
                <w:color w:val="000000"/>
                <w:sz w:val="20"/>
                <w:lang w:eastAsia="es-CR"/>
              </w:rPr>
              <w:t>250</w:t>
            </w:r>
          </w:p>
        </w:tc>
        <w:tc>
          <w:tcPr>
            <w:tcW w:w="598" w:type="pct"/>
            <w:tcBorders>
              <w:left w:val="single" w:sz="4" w:space="0" w:color="auto"/>
              <w:right w:val="single" w:sz="4" w:space="0" w:color="auto"/>
            </w:tcBorders>
            <w:shd w:val="clear" w:color="auto" w:fill="auto"/>
            <w:noWrap/>
            <w:vAlign w:val="center"/>
          </w:tcPr>
          <w:p w14:paraId="2584F4D3" w14:textId="471E0B3D" w:rsidR="00CA5891" w:rsidRPr="004E74A6" w:rsidRDefault="00CA5891" w:rsidP="00CE62C1">
            <w:pPr>
              <w:spacing w:line="276" w:lineRule="auto"/>
              <w:jc w:val="center"/>
              <w:rPr>
                <w:sz w:val="20"/>
                <w:lang w:eastAsia="es-CR"/>
              </w:rPr>
            </w:pPr>
            <w:r w:rsidRPr="004E74A6">
              <w:rPr>
                <w:rFonts w:cs="Calibri"/>
                <w:color w:val="000000"/>
                <w:sz w:val="20"/>
                <w:lang w:eastAsia="es-CR"/>
              </w:rPr>
              <w:t>261</w:t>
            </w:r>
          </w:p>
        </w:tc>
        <w:tc>
          <w:tcPr>
            <w:tcW w:w="799" w:type="pct"/>
            <w:tcBorders>
              <w:left w:val="single" w:sz="4" w:space="0" w:color="auto"/>
            </w:tcBorders>
            <w:shd w:val="clear" w:color="auto" w:fill="auto"/>
            <w:noWrap/>
            <w:vAlign w:val="center"/>
          </w:tcPr>
          <w:p w14:paraId="78B1167E" w14:textId="66A1F0C9" w:rsidR="00CA5891" w:rsidRPr="004E74A6" w:rsidRDefault="00CA5891" w:rsidP="00CE62C1">
            <w:pPr>
              <w:spacing w:line="276" w:lineRule="auto"/>
              <w:jc w:val="center"/>
              <w:rPr>
                <w:rFonts w:cs="Calibri"/>
                <w:color w:val="000000"/>
                <w:sz w:val="20"/>
              </w:rPr>
            </w:pPr>
            <w:r w:rsidRPr="004E74A6">
              <w:rPr>
                <w:rFonts w:cs="Calibri"/>
                <w:color w:val="000000"/>
                <w:sz w:val="20"/>
              </w:rPr>
              <w:t>261</w:t>
            </w:r>
          </w:p>
        </w:tc>
      </w:tr>
      <w:tr w:rsidR="00CA5891" w:rsidRPr="004E74A6" w14:paraId="46A7AB8B" w14:textId="77777777" w:rsidTr="00B32800">
        <w:trPr>
          <w:trHeight w:val="288"/>
          <w:jc w:val="center"/>
        </w:trPr>
        <w:tc>
          <w:tcPr>
            <w:tcW w:w="2398" w:type="pct"/>
            <w:tcBorders>
              <w:right w:val="single" w:sz="4" w:space="0" w:color="auto"/>
            </w:tcBorders>
            <w:shd w:val="clear" w:color="auto" w:fill="auto"/>
            <w:noWrap/>
            <w:vAlign w:val="bottom"/>
          </w:tcPr>
          <w:p w14:paraId="033AE220" w14:textId="77777777" w:rsidR="00CA5891" w:rsidRPr="004E74A6" w:rsidRDefault="00CA5891" w:rsidP="00CE62C1">
            <w:pPr>
              <w:spacing w:line="276" w:lineRule="auto"/>
              <w:jc w:val="left"/>
              <w:rPr>
                <w:rFonts w:cs="Calibri"/>
                <w:color w:val="000000"/>
                <w:sz w:val="20"/>
                <w:lang w:eastAsia="es-CR"/>
              </w:rPr>
            </w:pPr>
          </w:p>
        </w:tc>
        <w:tc>
          <w:tcPr>
            <w:tcW w:w="603" w:type="pct"/>
            <w:tcBorders>
              <w:left w:val="single" w:sz="4" w:space="0" w:color="auto"/>
              <w:right w:val="single" w:sz="4" w:space="0" w:color="auto"/>
            </w:tcBorders>
            <w:shd w:val="clear" w:color="auto" w:fill="auto"/>
            <w:noWrap/>
            <w:vAlign w:val="center"/>
          </w:tcPr>
          <w:p w14:paraId="05019968" w14:textId="77777777" w:rsidR="00CA5891" w:rsidRPr="004E74A6" w:rsidRDefault="00CA5891" w:rsidP="00CE62C1">
            <w:pPr>
              <w:spacing w:line="276" w:lineRule="auto"/>
              <w:jc w:val="center"/>
              <w:rPr>
                <w:rFonts w:cs="Calibri"/>
                <w:color w:val="000000"/>
                <w:sz w:val="20"/>
                <w:lang w:eastAsia="es-CR"/>
              </w:rPr>
            </w:pPr>
          </w:p>
        </w:tc>
        <w:tc>
          <w:tcPr>
            <w:tcW w:w="602" w:type="pct"/>
            <w:tcBorders>
              <w:left w:val="single" w:sz="4" w:space="0" w:color="auto"/>
              <w:right w:val="single" w:sz="4" w:space="0" w:color="auto"/>
            </w:tcBorders>
            <w:shd w:val="clear" w:color="auto" w:fill="auto"/>
            <w:noWrap/>
            <w:vAlign w:val="center"/>
          </w:tcPr>
          <w:p w14:paraId="2966CB9B" w14:textId="77777777" w:rsidR="00CA5891" w:rsidRPr="004E74A6" w:rsidRDefault="00CA5891" w:rsidP="00CE62C1">
            <w:pPr>
              <w:spacing w:line="276" w:lineRule="auto"/>
              <w:jc w:val="center"/>
              <w:rPr>
                <w:rFonts w:cs="Calibri"/>
                <w:color w:val="000000"/>
                <w:sz w:val="20"/>
                <w:lang w:eastAsia="es-CR"/>
              </w:rPr>
            </w:pPr>
          </w:p>
        </w:tc>
        <w:tc>
          <w:tcPr>
            <w:tcW w:w="598" w:type="pct"/>
            <w:tcBorders>
              <w:left w:val="single" w:sz="4" w:space="0" w:color="auto"/>
              <w:right w:val="single" w:sz="4" w:space="0" w:color="auto"/>
            </w:tcBorders>
            <w:shd w:val="clear" w:color="auto" w:fill="auto"/>
            <w:noWrap/>
            <w:vAlign w:val="center"/>
          </w:tcPr>
          <w:p w14:paraId="679DB2D8" w14:textId="77777777" w:rsidR="00CA5891" w:rsidRPr="004E74A6" w:rsidRDefault="00CA5891" w:rsidP="00CE62C1">
            <w:pPr>
              <w:spacing w:line="276" w:lineRule="auto"/>
              <w:jc w:val="center"/>
              <w:rPr>
                <w:sz w:val="20"/>
                <w:lang w:eastAsia="es-CR"/>
              </w:rPr>
            </w:pPr>
          </w:p>
        </w:tc>
        <w:tc>
          <w:tcPr>
            <w:tcW w:w="799" w:type="pct"/>
            <w:tcBorders>
              <w:left w:val="single" w:sz="4" w:space="0" w:color="auto"/>
            </w:tcBorders>
            <w:shd w:val="clear" w:color="auto" w:fill="auto"/>
            <w:noWrap/>
            <w:vAlign w:val="bottom"/>
          </w:tcPr>
          <w:p w14:paraId="27E2E63E" w14:textId="77777777" w:rsidR="00CA5891" w:rsidRPr="004E74A6" w:rsidRDefault="00CA5891" w:rsidP="00CE62C1">
            <w:pPr>
              <w:spacing w:line="276" w:lineRule="auto"/>
              <w:jc w:val="center"/>
              <w:rPr>
                <w:rFonts w:cs="Calibri"/>
                <w:color w:val="000000"/>
                <w:sz w:val="20"/>
              </w:rPr>
            </w:pPr>
          </w:p>
        </w:tc>
      </w:tr>
      <w:tr w:rsidR="00CA5891" w:rsidRPr="004E74A6" w14:paraId="61388BD5" w14:textId="77777777" w:rsidTr="00B32800">
        <w:trPr>
          <w:trHeight w:val="288"/>
          <w:jc w:val="center"/>
        </w:trPr>
        <w:tc>
          <w:tcPr>
            <w:tcW w:w="2398" w:type="pct"/>
            <w:tcBorders>
              <w:right w:val="single" w:sz="4" w:space="0" w:color="auto"/>
            </w:tcBorders>
            <w:shd w:val="clear" w:color="auto" w:fill="auto"/>
            <w:noWrap/>
            <w:vAlign w:val="bottom"/>
            <w:hideMark/>
          </w:tcPr>
          <w:p w14:paraId="0589DB1E" w14:textId="77777777" w:rsidR="00CA5891" w:rsidRPr="004E74A6" w:rsidRDefault="00CA5891" w:rsidP="00CE62C1">
            <w:pPr>
              <w:spacing w:line="276" w:lineRule="auto"/>
              <w:jc w:val="left"/>
              <w:rPr>
                <w:rFonts w:cs="Calibri"/>
                <w:color w:val="000000"/>
                <w:sz w:val="20"/>
                <w:lang w:eastAsia="es-CR"/>
              </w:rPr>
            </w:pPr>
            <w:r w:rsidRPr="004E74A6">
              <w:rPr>
                <w:rFonts w:cs="Calibri"/>
                <w:color w:val="000000"/>
                <w:sz w:val="20"/>
                <w:lang w:eastAsia="es-CR"/>
              </w:rPr>
              <w:t>Comisiones Recibidas</w:t>
            </w:r>
          </w:p>
        </w:tc>
        <w:tc>
          <w:tcPr>
            <w:tcW w:w="603" w:type="pct"/>
            <w:tcBorders>
              <w:left w:val="single" w:sz="4" w:space="0" w:color="auto"/>
              <w:right w:val="single" w:sz="4" w:space="0" w:color="auto"/>
            </w:tcBorders>
            <w:shd w:val="clear" w:color="auto" w:fill="auto"/>
            <w:noWrap/>
            <w:vAlign w:val="center"/>
            <w:hideMark/>
          </w:tcPr>
          <w:p w14:paraId="14A7C460" w14:textId="77777777" w:rsidR="00CA5891" w:rsidRPr="004E74A6" w:rsidRDefault="00CA5891" w:rsidP="00CE62C1">
            <w:pPr>
              <w:spacing w:line="276" w:lineRule="auto"/>
              <w:jc w:val="center"/>
              <w:rPr>
                <w:rFonts w:cs="Calibri"/>
                <w:color w:val="000000"/>
                <w:sz w:val="20"/>
                <w:lang w:eastAsia="es-CR"/>
              </w:rPr>
            </w:pPr>
            <w:r w:rsidRPr="004E74A6">
              <w:rPr>
                <w:rFonts w:cs="Calibri"/>
                <w:color w:val="000000"/>
                <w:sz w:val="20"/>
                <w:lang w:eastAsia="es-CR"/>
              </w:rPr>
              <w:t>1</w:t>
            </w:r>
          </w:p>
        </w:tc>
        <w:tc>
          <w:tcPr>
            <w:tcW w:w="602" w:type="pct"/>
            <w:tcBorders>
              <w:left w:val="single" w:sz="4" w:space="0" w:color="auto"/>
              <w:right w:val="single" w:sz="4" w:space="0" w:color="auto"/>
            </w:tcBorders>
            <w:shd w:val="clear" w:color="auto" w:fill="auto"/>
            <w:noWrap/>
            <w:vAlign w:val="center"/>
            <w:hideMark/>
          </w:tcPr>
          <w:p w14:paraId="03254C61" w14:textId="77777777" w:rsidR="00CA5891" w:rsidRPr="004E74A6" w:rsidRDefault="00CA5891" w:rsidP="00CE62C1">
            <w:pPr>
              <w:spacing w:line="276" w:lineRule="auto"/>
              <w:jc w:val="center"/>
              <w:rPr>
                <w:rFonts w:cs="Calibri"/>
                <w:color w:val="000000"/>
                <w:sz w:val="20"/>
                <w:lang w:eastAsia="es-CR"/>
              </w:rPr>
            </w:pPr>
          </w:p>
        </w:tc>
        <w:tc>
          <w:tcPr>
            <w:tcW w:w="598" w:type="pct"/>
            <w:tcBorders>
              <w:left w:val="single" w:sz="4" w:space="0" w:color="auto"/>
              <w:right w:val="single" w:sz="4" w:space="0" w:color="auto"/>
            </w:tcBorders>
            <w:shd w:val="clear" w:color="auto" w:fill="auto"/>
            <w:noWrap/>
            <w:vAlign w:val="center"/>
            <w:hideMark/>
          </w:tcPr>
          <w:p w14:paraId="48EFCCE0" w14:textId="77777777" w:rsidR="00CA5891" w:rsidRPr="004E74A6" w:rsidRDefault="00CA5891" w:rsidP="00CE62C1">
            <w:pPr>
              <w:spacing w:line="276" w:lineRule="auto"/>
              <w:jc w:val="center"/>
              <w:rPr>
                <w:sz w:val="20"/>
                <w:lang w:eastAsia="es-CR"/>
              </w:rPr>
            </w:pPr>
          </w:p>
        </w:tc>
        <w:tc>
          <w:tcPr>
            <w:tcW w:w="799" w:type="pct"/>
            <w:tcBorders>
              <w:left w:val="single" w:sz="4" w:space="0" w:color="auto"/>
            </w:tcBorders>
            <w:shd w:val="clear" w:color="auto" w:fill="auto"/>
            <w:noWrap/>
            <w:vAlign w:val="bottom"/>
            <w:hideMark/>
          </w:tcPr>
          <w:p w14:paraId="32938A97" w14:textId="066357D7" w:rsidR="00CA5891" w:rsidRPr="004E74A6" w:rsidRDefault="00CA5891" w:rsidP="00CE62C1">
            <w:pPr>
              <w:spacing w:line="276" w:lineRule="auto"/>
              <w:jc w:val="center"/>
              <w:rPr>
                <w:rFonts w:cs="Calibri"/>
                <w:color w:val="000000"/>
                <w:sz w:val="20"/>
                <w:lang w:eastAsia="es-CR"/>
              </w:rPr>
            </w:pPr>
            <w:r w:rsidRPr="004E74A6">
              <w:rPr>
                <w:rFonts w:cs="Calibri"/>
                <w:color w:val="000000"/>
                <w:sz w:val="20"/>
              </w:rPr>
              <w:t>0,3</w:t>
            </w:r>
          </w:p>
        </w:tc>
      </w:tr>
      <w:tr w:rsidR="00CA5891" w:rsidRPr="004E74A6" w14:paraId="2B2E7CC5" w14:textId="77777777" w:rsidTr="00B32800">
        <w:trPr>
          <w:trHeight w:val="288"/>
          <w:jc w:val="center"/>
        </w:trPr>
        <w:tc>
          <w:tcPr>
            <w:tcW w:w="2398" w:type="pct"/>
            <w:tcBorders>
              <w:right w:val="single" w:sz="4" w:space="0" w:color="auto"/>
            </w:tcBorders>
            <w:shd w:val="clear" w:color="auto" w:fill="auto"/>
            <w:noWrap/>
            <w:vAlign w:val="bottom"/>
            <w:hideMark/>
          </w:tcPr>
          <w:p w14:paraId="5159676F" w14:textId="77777777" w:rsidR="00CA5891" w:rsidRPr="004E74A6" w:rsidRDefault="00CA5891" w:rsidP="00CE62C1">
            <w:pPr>
              <w:spacing w:line="276" w:lineRule="auto"/>
              <w:jc w:val="left"/>
              <w:rPr>
                <w:rFonts w:cs="Calibri"/>
                <w:color w:val="000000"/>
                <w:sz w:val="20"/>
                <w:lang w:eastAsia="es-CR"/>
              </w:rPr>
            </w:pPr>
            <w:r w:rsidRPr="004E74A6">
              <w:rPr>
                <w:rFonts w:cs="Calibri"/>
                <w:color w:val="000000"/>
                <w:sz w:val="20"/>
                <w:lang w:eastAsia="es-CR"/>
              </w:rPr>
              <w:t>Consulta</w:t>
            </w:r>
          </w:p>
        </w:tc>
        <w:tc>
          <w:tcPr>
            <w:tcW w:w="603" w:type="pct"/>
            <w:tcBorders>
              <w:left w:val="single" w:sz="4" w:space="0" w:color="auto"/>
              <w:right w:val="single" w:sz="4" w:space="0" w:color="auto"/>
            </w:tcBorders>
            <w:shd w:val="clear" w:color="auto" w:fill="auto"/>
            <w:noWrap/>
            <w:vAlign w:val="center"/>
            <w:hideMark/>
          </w:tcPr>
          <w:p w14:paraId="6DE1ED3B" w14:textId="77777777" w:rsidR="00CA5891" w:rsidRPr="004E74A6" w:rsidRDefault="00CA5891" w:rsidP="00CE62C1">
            <w:pPr>
              <w:spacing w:line="276" w:lineRule="auto"/>
              <w:jc w:val="center"/>
              <w:rPr>
                <w:rFonts w:cs="Calibri"/>
                <w:color w:val="000000"/>
                <w:sz w:val="20"/>
                <w:lang w:eastAsia="es-CR"/>
              </w:rPr>
            </w:pPr>
            <w:r w:rsidRPr="004E74A6">
              <w:rPr>
                <w:rFonts w:cs="Calibri"/>
                <w:color w:val="000000"/>
                <w:sz w:val="20"/>
                <w:lang w:eastAsia="es-CR"/>
              </w:rPr>
              <w:t>1</w:t>
            </w:r>
          </w:p>
        </w:tc>
        <w:tc>
          <w:tcPr>
            <w:tcW w:w="602" w:type="pct"/>
            <w:tcBorders>
              <w:left w:val="single" w:sz="4" w:space="0" w:color="auto"/>
              <w:right w:val="single" w:sz="4" w:space="0" w:color="auto"/>
            </w:tcBorders>
            <w:shd w:val="clear" w:color="auto" w:fill="auto"/>
            <w:noWrap/>
            <w:vAlign w:val="center"/>
            <w:hideMark/>
          </w:tcPr>
          <w:p w14:paraId="0F56DD75" w14:textId="77777777" w:rsidR="00CA5891" w:rsidRPr="004E74A6" w:rsidRDefault="00CA5891" w:rsidP="00CE62C1">
            <w:pPr>
              <w:spacing w:line="276" w:lineRule="auto"/>
              <w:jc w:val="center"/>
              <w:rPr>
                <w:rFonts w:cs="Calibri"/>
                <w:color w:val="000000"/>
                <w:sz w:val="20"/>
                <w:lang w:eastAsia="es-CR"/>
              </w:rPr>
            </w:pPr>
          </w:p>
        </w:tc>
        <w:tc>
          <w:tcPr>
            <w:tcW w:w="598" w:type="pct"/>
            <w:tcBorders>
              <w:left w:val="single" w:sz="4" w:space="0" w:color="auto"/>
              <w:right w:val="single" w:sz="4" w:space="0" w:color="auto"/>
            </w:tcBorders>
            <w:shd w:val="clear" w:color="auto" w:fill="auto"/>
            <w:noWrap/>
            <w:vAlign w:val="center"/>
            <w:hideMark/>
          </w:tcPr>
          <w:p w14:paraId="127A9012" w14:textId="77777777" w:rsidR="00CA5891" w:rsidRPr="004E74A6" w:rsidRDefault="00CA5891" w:rsidP="00CE62C1">
            <w:pPr>
              <w:spacing w:line="276" w:lineRule="auto"/>
              <w:jc w:val="center"/>
              <w:rPr>
                <w:sz w:val="20"/>
                <w:lang w:eastAsia="es-CR"/>
              </w:rPr>
            </w:pPr>
          </w:p>
        </w:tc>
        <w:tc>
          <w:tcPr>
            <w:tcW w:w="799" w:type="pct"/>
            <w:tcBorders>
              <w:left w:val="single" w:sz="4" w:space="0" w:color="auto"/>
            </w:tcBorders>
            <w:shd w:val="clear" w:color="auto" w:fill="auto"/>
            <w:noWrap/>
            <w:vAlign w:val="bottom"/>
            <w:hideMark/>
          </w:tcPr>
          <w:p w14:paraId="02F5CFB8" w14:textId="670A10E6" w:rsidR="00CA5891" w:rsidRPr="004E74A6" w:rsidRDefault="00CA5891" w:rsidP="00CE62C1">
            <w:pPr>
              <w:spacing w:line="276" w:lineRule="auto"/>
              <w:jc w:val="center"/>
              <w:rPr>
                <w:rFonts w:cs="Calibri"/>
                <w:color w:val="000000"/>
                <w:sz w:val="20"/>
                <w:lang w:eastAsia="es-CR"/>
              </w:rPr>
            </w:pPr>
            <w:r w:rsidRPr="004E74A6">
              <w:rPr>
                <w:rFonts w:cs="Calibri"/>
                <w:color w:val="000000"/>
                <w:sz w:val="20"/>
              </w:rPr>
              <w:t>0,3</w:t>
            </w:r>
          </w:p>
        </w:tc>
      </w:tr>
      <w:tr w:rsidR="00CA5891" w:rsidRPr="004E74A6" w14:paraId="046F9868" w14:textId="77777777" w:rsidTr="00B32800">
        <w:trPr>
          <w:trHeight w:val="288"/>
          <w:jc w:val="center"/>
        </w:trPr>
        <w:tc>
          <w:tcPr>
            <w:tcW w:w="2398" w:type="pct"/>
            <w:tcBorders>
              <w:right w:val="single" w:sz="4" w:space="0" w:color="auto"/>
            </w:tcBorders>
            <w:shd w:val="clear" w:color="auto" w:fill="auto"/>
            <w:noWrap/>
            <w:vAlign w:val="bottom"/>
            <w:hideMark/>
          </w:tcPr>
          <w:p w14:paraId="31754A84" w14:textId="77777777" w:rsidR="00CA5891" w:rsidRPr="004E74A6" w:rsidRDefault="00CA5891" w:rsidP="00CE62C1">
            <w:pPr>
              <w:spacing w:line="276" w:lineRule="auto"/>
              <w:jc w:val="left"/>
              <w:rPr>
                <w:rFonts w:cs="Calibri"/>
                <w:color w:val="000000"/>
                <w:sz w:val="20"/>
                <w:lang w:eastAsia="es-CR"/>
              </w:rPr>
            </w:pPr>
            <w:r w:rsidRPr="004E74A6">
              <w:rPr>
                <w:rFonts w:cs="Calibri"/>
                <w:color w:val="000000"/>
                <w:sz w:val="20"/>
                <w:lang w:eastAsia="es-CR"/>
              </w:rPr>
              <w:t>Incidentes Procesales</w:t>
            </w:r>
          </w:p>
        </w:tc>
        <w:tc>
          <w:tcPr>
            <w:tcW w:w="603" w:type="pct"/>
            <w:tcBorders>
              <w:left w:val="single" w:sz="4" w:space="0" w:color="auto"/>
              <w:right w:val="single" w:sz="4" w:space="0" w:color="auto"/>
            </w:tcBorders>
            <w:shd w:val="clear" w:color="auto" w:fill="auto"/>
            <w:noWrap/>
            <w:vAlign w:val="center"/>
            <w:hideMark/>
          </w:tcPr>
          <w:p w14:paraId="7BB8763A" w14:textId="77777777" w:rsidR="00CA5891" w:rsidRPr="004E74A6" w:rsidRDefault="00CA5891" w:rsidP="00CE62C1">
            <w:pPr>
              <w:spacing w:line="276" w:lineRule="auto"/>
              <w:jc w:val="center"/>
              <w:rPr>
                <w:rFonts w:cs="Calibri"/>
                <w:color w:val="000000"/>
                <w:sz w:val="20"/>
                <w:lang w:eastAsia="es-CR"/>
              </w:rPr>
            </w:pPr>
            <w:r w:rsidRPr="004E74A6">
              <w:rPr>
                <w:rFonts w:cs="Calibri"/>
                <w:color w:val="000000"/>
                <w:sz w:val="20"/>
                <w:lang w:eastAsia="es-CR"/>
              </w:rPr>
              <w:t>11</w:t>
            </w:r>
          </w:p>
        </w:tc>
        <w:tc>
          <w:tcPr>
            <w:tcW w:w="602" w:type="pct"/>
            <w:tcBorders>
              <w:left w:val="single" w:sz="4" w:space="0" w:color="auto"/>
              <w:right w:val="single" w:sz="4" w:space="0" w:color="auto"/>
            </w:tcBorders>
            <w:shd w:val="clear" w:color="auto" w:fill="auto"/>
            <w:noWrap/>
            <w:vAlign w:val="center"/>
            <w:hideMark/>
          </w:tcPr>
          <w:p w14:paraId="6E9C8BD3" w14:textId="77777777" w:rsidR="00CA5891" w:rsidRPr="004E74A6" w:rsidRDefault="00CA5891" w:rsidP="00CE62C1">
            <w:pPr>
              <w:spacing w:line="276" w:lineRule="auto"/>
              <w:jc w:val="center"/>
              <w:rPr>
                <w:rFonts w:cs="Calibri"/>
                <w:color w:val="000000"/>
                <w:sz w:val="20"/>
                <w:lang w:eastAsia="es-CR"/>
              </w:rPr>
            </w:pPr>
            <w:r w:rsidRPr="004E74A6">
              <w:rPr>
                <w:rFonts w:cs="Calibri"/>
                <w:color w:val="000000"/>
                <w:sz w:val="20"/>
                <w:lang w:eastAsia="es-CR"/>
              </w:rPr>
              <w:t>13</w:t>
            </w:r>
          </w:p>
        </w:tc>
        <w:tc>
          <w:tcPr>
            <w:tcW w:w="598" w:type="pct"/>
            <w:tcBorders>
              <w:left w:val="single" w:sz="4" w:space="0" w:color="auto"/>
              <w:right w:val="single" w:sz="4" w:space="0" w:color="auto"/>
            </w:tcBorders>
            <w:shd w:val="clear" w:color="auto" w:fill="auto"/>
            <w:noWrap/>
            <w:vAlign w:val="center"/>
            <w:hideMark/>
          </w:tcPr>
          <w:p w14:paraId="06AD0821" w14:textId="77777777" w:rsidR="00CA5891" w:rsidRPr="004E74A6" w:rsidRDefault="00CA5891" w:rsidP="00CE62C1">
            <w:pPr>
              <w:spacing w:line="276" w:lineRule="auto"/>
              <w:jc w:val="center"/>
              <w:rPr>
                <w:rFonts w:cs="Calibri"/>
                <w:color w:val="000000"/>
                <w:sz w:val="20"/>
                <w:lang w:eastAsia="es-CR"/>
              </w:rPr>
            </w:pPr>
            <w:r w:rsidRPr="004E74A6">
              <w:rPr>
                <w:rFonts w:cs="Calibri"/>
                <w:color w:val="000000"/>
                <w:sz w:val="20"/>
                <w:lang w:eastAsia="es-CR"/>
              </w:rPr>
              <w:t>19</w:t>
            </w:r>
          </w:p>
        </w:tc>
        <w:tc>
          <w:tcPr>
            <w:tcW w:w="799" w:type="pct"/>
            <w:tcBorders>
              <w:left w:val="single" w:sz="4" w:space="0" w:color="auto"/>
            </w:tcBorders>
            <w:shd w:val="clear" w:color="auto" w:fill="auto"/>
            <w:noWrap/>
            <w:vAlign w:val="bottom"/>
            <w:hideMark/>
          </w:tcPr>
          <w:p w14:paraId="371D91D0" w14:textId="46F1C6E3" w:rsidR="00CA5891" w:rsidRPr="004E74A6" w:rsidRDefault="00CA5891" w:rsidP="00CE62C1">
            <w:pPr>
              <w:spacing w:line="276" w:lineRule="auto"/>
              <w:jc w:val="center"/>
              <w:rPr>
                <w:rFonts w:cs="Calibri"/>
                <w:color w:val="000000"/>
                <w:sz w:val="20"/>
                <w:lang w:eastAsia="es-CR"/>
              </w:rPr>
            </w:pPr>
            <w:r w:rsidRPr="004E74A6">
              <w:rPr>
                <w:rFonts w:cs="Calibri"/>
                <w:color w:val="000000"/>
                <w:sz w:val="20"/>
              </w:rPr>
              <w:t>14</w:t>
            </w:r>
          </w:p>
        </w:tc>
      </w:tr>
      <w:tr w:rsidR="00CA5891" w:rsidRPr="004E74A6" w14:paraId="38581899" w14:textId="77777777" w:rsidTr="00B32800">
        <w:trPr>
          <w:trHeight w:val="288"/>
          <w:jc w:val="center"/>
        </w:trPr>
        <w:tc>
          <w:tcPr>
            <w:tcW w:w="2398" w:type="pct"/>
            <w:tcBorders>
              <w:right w:val="single" w:sz="4" w:space="0" w:color="auto"/>
            </w:tcBorders>
            <w:shd w:val="clear" w:color="auto" w:fill="auto"/>
            <w:noWrap/>
            <w:vAlign w:val="bottom"/>
            <w:hideMark/>
          </w:tcPr>
          <w:p w14:paraId="483677F7" w14:textId="77777777" w:rsidR="00CA5891" w:rsidRPr="004E74A6" w:rsidRDefault="00CA5891" w:rsidP="00CE62C1">
            <w:pPr>
              <w:spacing w:line="276" w:lineRule="auto"/>
              <w:jc w:val="left"/>
              <w:rPr>
                <w:rFonts w:cs="Calibri"/>
                <w:color w:val="000000"/>
                <w:sz w:val="20"/>
                <w:lang w:eastAsia="es-CR"/>
              </w:rPr>
            </w:pPr>
            <w:r w:rsidRPr="004E74A6">
              <w:rPr>
                <w:rFonts w:cs="Calibri"/>
                <w:color w:val="000000"/>
                <w:sz w:val="20"/>
                <w:lang w:eastAsia="es-CR"/>
              </w:rPr>
              <w:t>Legajo Apelación Por Inadmisión</w:t>
            </w:r>
          </w:p>
        </w:tc>
        <w:tc>
          <w:tcPr>
            <w:tcW w:w="603" w:type="pct"/>
            <w:tcBorders>
              <w:left w:val="single" w:sz="4" w:space="0" w:color="auto"/>
              <w:right w:val="single" w:sz="4" w:space="0" w:color="auto"/>
            </w:tcBorders>
            <w:shd w:val="clear" w:color="auto" w:fill="auto"/>
            <w:noWrap/>
            <w:vAlign w:val="center"/>
            <w:hideMark/>
          </w:tcPr>
          <w:p w14:paraId="6CA522AF" w14:textId="77777777" w:rsidR="00CA5891" w:rsidRPr="004E74A6" w:rsidRDefault="00CA5891" w:rsidP="00CE62C1">
            <w:pPr>
              <w:spacing w:line="276" w:lineRule="auto"/>
              <w:jc w:val="center"/>
              <w:rPr>
                <w:rFonts w:cs="Calibri"/>
                <w:color w:val="000000"/>
                <w:sz w:val="20"/>
                <w:lang w:eastAsia="es-CR"/>
              </w:rPr>
            </w:pPr>
            <w:r w:rsidRPr="004E74A6">
              <w:rPr>
                <w:rFonts w:cs="Calibri"/>
                <w:color w:val="000000"/>
                <w:sz w:val="20"/>
                <w:lang w:eastAsia="es-CR"/>
              </w:rPr>
              <w:t>2</w:t>
            </w:r>
          </w:p>
        </w:tc>
        <w:tc>
          <w:tcPr>
            <w:tcW w:w="602" w:type="pct"/>
            <w:tcBorders>
              <w:left w:val="single" w:sz="4" w:space="0" w:color="auto"/>
              <w:right w:val="single" w:sz="4" w:space="0" w:color="auto"/>
            </w:tcBorders>
            <w:shd w:val="clear" w:color="auto" w:fill="auto"/>
            <w:noWrap/>
            <w:vAlign w:val="center"/>
            <w:hideMark/>
          </w:tcPr>
          <w:p w14:paraId="16307941" w14:textId="77777777" w:rsidR="00CA5891" w:rsidRPr="004E74A6" w:rsidRDefault="00CA5891" w:rsidP="00CE62C1">
            <w:pPr>
              <w:spacing w:line="276" w:lineRule="auto"/>
              <w:jc w:val="center"/>
              <w:rPr>
                <w:rFonts w:cs="Calibri"/>
                <w:color w:val="000000"/>
                <w:sz w:val="20"/>
                <w:lang w:eastAsia="es-CR"/>
              </w:rPr>
            </w:pPr>
          </w:p>
        </w:tc>
        <w:tc>
          <w:tcPr>
            <w:tcW w:w="598" w:type="pct"/>
            <w:tcBorders>
              <w:left w:val="single" w:sz="4" w:space="0" w:color="auto"/>
              <w:right w:val="single" w:sz="4" w:space="0" w:color="auto"/>
            </w:tcBorders>
            <w:shd w:val="clear" w:color="auto" w:fill="auto"/>
            <w:noWrap/>
            <w:vAlign w:val="center"/>
            <w:hideMark/>
          </w:tcPr>
          <w:p w14:paraId="5CA878D2" w14:textId="77777777" w:rsidR="00CA5891" w:rsidRPr="004E74A6" w:rsidRDefault="00CA5891" w:rsidP="00CE62C1">
            <w:pPr>
              <w:spacing w:line="276" w:lineRule="auto"/>
              <w:jc w:val="center"/>
              <w:rPr>
                <w:sz w:val="20"/>
                <w:lang w:eastAsia="es-CR"/>
              </w:rPr>
            </w:pPr>
          </w:p>
        </w:tc>
        <w:tc>
          <w:tcPr>
            <w:tcW w:w="799" w:type="pct"/>
            <w:tcBorders>
              <w:left w:val="single" w:sz="4" w:space="0" w:color="auto"/>
            </w:tcBorders>
            <w:shd w:val="clear" w:color="auto" w:fill="auto"/>
            <w:noWrap/>
            <w:vAlign w:val="bottom"/>
            <w:hideMark/>
          </w:tcPr>
          <w:p w14:paraId="462FF1B2" w14:textId="5EBC2AFF" w:rsidR="00CA5891" w:rsidRPr="004E74A6" w:rsidRDefault="00CA5891" w:rsidP="00CE62C1">
            <w:pPr>
              <w:spacing w:line="276" w:lineRule="auto"/>
              <w:jc w:val="center"/>
              <w:rPr>
                <w:rFonts w:cs="Calibri"/>
                <w:color w:val="000000"/>
                <w:sz w:val="20"/>
                <w:lang w:eastAsia="es-CR"/>
              </w:rPr>
            </w:pPr>
            <w:r w:rsidRPr="004E74A6">
              <w:rPr>
                <w:rFonts w:cs="Calibri"/>
                <w:color w:val="000000"/>
                <w:sz w:val="20"/>
              </w:rPr>
              <w:t>0,7</w:t>
            </w:r>
          </w:p>
        </w:tc>
      </w:tr>
      <w:tr w:rsidR="00CA5891" w:rsidRPr="004E74A6" w14:paraId="5BCDCA58" w14:textId="77777777" w:rsidTr="00B32800">
        <w:trPr>
          <w:trHeight w:val="288"/>
          <w:jc w:val="center"/>
        </w:trPr>
        <w:tc>
          <w:tcPr>
            <w:tcW w:w="2398" w:type="pct"/>
            <w:tcBorders>
              <w:right w:val="single" w:sz="4" w:space="0" w:color="auto"/>
            </w:tcBorders>
            <w:shd w:val="clear" w:color="auto" w:fill="auto"/>
            <w:noWrap/>
            <w:vAlign w:val="bottom"/>
            <w:hideMark/>
          </w:tcPr>
          <w:p w14:paraId="26B484BE" w14:textId="77777777" w:rsidR="00CA5891" w:rsidRPr="004E74A6" w:rsidRDefault="00CA5891" w:rsidP="00CE62C1">
            <w:pPr>
              <w:spacing w:line="276" w:lineRule="auto"/>
              <w:jc w:val="left"/>
              <w:rPr>
                <w:rFonts w:cs="Calibri"/>
                <w:color w:val="000000"/>
                <w:sz w:val="20"/>
                <w:lang w:eastAsia="es-CR"/>
              </w:rPr>
            </w:pPr>
            <w:r w:rsidRPr="004E74A6">
              <w:rPr>
                <w:rFonts w:cs="Calibri"/>
                <w:color w:val="000000"/>
                <w:sz w:val="20"/>
                <w:lang w:eastAsia="es-CR"/>
              </w:rPr>
              <w:t>Legajo De Administración</w:t>
            </w:r>
          </w:p>
        </w:tc>
        <w:tc>
          <w:tcPr>
            <w:tcW w:w="603" w:type="pct"/>
            <w:tcBorders>
              <w:left w:val="single" w:sz="4" w:space="0" w:color="auto"/>
              <w:right w:val="single" w:sz="4" w:space="0" w:color="auto"/>
            </w:tcBorders>
            <w:shd w:val="clear" w:color="auto" w:fill="auto"/>
            <w:noWrap/>
            <w:vAlign w:val="center"/>
            <w:hideMark/>
          </w:tcPr>
          <w:p w14:paraId="76553AB9" w14:textId="77777777" w:rsidR="00CA5891" w:rsidRPr="004E74A6" w:rsidRDefault="00CA5891" w:rsidP="00CE62C1">
            <w:pPr>
              <w:spacing w:line="276" w:lineRule="auto"/>
              <w:jc w:val="center"/>
              <w:rPr>
                <w:sz w:val="20"/>
                <w:lang w:eastAsia="es-CR"/>
              </w:rPr>
            </w:pPr>
          </w:p>
        </w:tc>
        <w:tc>
          <w:tcPr>
            <w:tcW w:w="602" w:type="pct"/>
            <w:tcBorders>
              <w:left w:val="single" w:sz="4" w:space="0" w:color="auto"/>
              <w:right w:val="single" w:sz="4" w:space="0" w:color="auto"/>
            </w:tcBorders>
            <w:shd w:val="clear" w:color="auto" w:fill="auto"/>
            <w:noWrap/>
            <w:vAlign w:val="center"/>
            <w:hideMark/>
          </w:tcPr>
          <w:p w14:paraId="3EBAB2E8" w14:textId="77777777" w:rsidR="00CA5891" w:rsidRPr="004E74A6" w:rsidRDefault="00CA5891" w:rsidP="00CE62C1">
            <w:pPr>
              <w:spacing w:line="276" w:lineRule="auto"/>
              <w:jc w:val="center"/>
              <w:rPr>
                <w:sz w:val="20"/>
                <w:lang w:eastAsia="es-CR"/>
              </w:rPr>
            </w:pPr>
          </w:p>
        </w:tc>
        <w:tc>
          <w:tcPr>
            <w:tcW w:w="598" w:type="pct"/>
            <w:tcBorders>
              <w:left w:val="single" w:sz="4" w:space="0" w:color="auto"/>
              <w:right w:val="single" w:sz="4" w:space="0" w:color="auto"/>
            </w:tcBorders>
            <w:shd w:val="clear" w:color="auto" w:fill="auto"/>
            <w:noWrap/>
            <w:vAlign w:val="center"/>
            <w:hideMark/>
          </w:tcPr>
          <w:p w14:paraId="1B6E571C" w14:textId="77777777" w:rsidR="00CA5891" w:rsidRPr="004E74A6" w:rsidRDefault="00CA5891" w:rsidP="00CE62C1">
            <w:pPr>
              <w:spacing w:line="276" w:lineRule="auto"/>
              <w:jc w:val="center"/>
              <w:rPr>
                <w:rFonts w:cs="Calibri"/>
                <w:color w:val="000000"/>
                <w:sz w:val="20"/>
                <w:lang w:eastAsia="es-CR"/>
              </w:rPr>
            </w:pPr>
            <w:r w:rsidRPr="004E74A6">
              <w:rPr>
                <w:rFonts w:cs="Calibri"/>
                <w:color w:val="000000"/>
                <w:sz w:val="20"/>
                <w:lang w:eastAsia="es-CR"/>
              </w:rPr>
              <w:t>1</w:t>
            </w:r>
          </w:p>
        </w:tc>
        <w:tc>
          <w:tcPr>
            <w:tcW w:w="799" w:type="pct"/>
            <w:tcBorders>
              <w:left w:val="single" w:sz="4" w:space="0" w:color="auto"/>
            </w:tcBorders>
            <w:shd w:val="clear" w:color="auto" w:fill="auto"/>
            <w:noWrap/>
            <w:vAlign w:val="bottom"/>
            <w:hideMark/>
          </w:tcPr>
          <w:p w14:paraId="73108511" w14:textId="34ED36EE" w:rsidR="00CA5891" w:rsidRPr="004E74A6" w:rsidRDefault="00CA5891" w:rsidP="00CE62C1">
            <w:pPr>
              <w:spacing w:line="276" w:lineRule="auto"/>
              <w:jc w:val="center"/>
              <w:rPr>
                <w:rFonts w:cs="Calibri"/>
                <w:color w:val="000000"/>
                <w:sz w:val="20"/>
                <w:lang w:eastAsia="es-CR"/>
              </w:rPr>
            </w:pPr>
            <w:r w:rsidRPr="004E74A6">
              <w:rPr>
                <w:rFonts w:cs="Calibri"/>
                <w:color w:val="000000"/>
                <w:sz w:val="20"/>
              </w:rPr>
              <w:t>0,3</w:t>
            </w:r>
          </w:p>
        </w:tc>
      </w:tr>
      <w:tr w:rsidR="00CA5891" w:rsidRPr="004E74A6" w14:paraId="7F3990A5" w14:textId="77777777" w:rsidTr="00B32800">
        <w:trPr>
          <w:trHeight w:val="288"/>
          <w:jc w:val="center"/>
        </w:trPr>
        <w:tc>
          <w:tcPr>
            <w:tcW w:w="2398" w:type="pct"/>
            <w:tcBorders>
              <w:right w:val="single" w:sz="4" w:space="0" w:color="auto"/>
            </w:tcBorders>
            <w:shd w:val="clear" w:color="auto" w:fill="auto"/>
            <w:noWrap/>
            <w:vAlign w:val="bottom"/>
            <w:hideMark/>
          </w:tcPr>
          <w:p w14:paraId="00D884D7" w14:textId="77777777" w:rsidR="00CA5891" w:rsidRPr="004E74A6" w:rsidRDefault="00CA5891" w:rsidP="00CE62C1">
            <w:pPr>
              <w:spacing w:line="276" w:lineRule="auto"/>
              <w:jc w:val="left"/>
              <w:rPr>
                <w:rFonts w:cs="Calibri"/>
                <w:color w:val="000000"/>
                <w:sz w:val="20"/>
                <w:lang w:eastAsia="es-CR"/>
              </w:rPr>
            </w:pPr>
            <w:r w:rsidRPr="004E74A6">
              <w:rPr>
                <w:rFonts w:cs="Calibri"/>
                <w:color w:val="000000"/>
                <w:sz w:val="20"/>
                <w:lang w:eastAsia="es-CR"/>
              </w:rPr>
              <w:t>Legajo De Ejecución Provisional</w:t>
            </w:r>
          </w:p>
        </w:tc>
        <w:tc>
          <w:tcPr>
            <w:tcW w:w="603" w:type="pct"/>
            <w:tcBorders>
              <w:left w:val="single" w:sz="4" w:space="0" w:color="auto"/>
              <w:right w:val="single" w:sz="4" w:space="0" w:color="auto"/>
            </w:tcBorders>
            <w:shd w:val="clear" w:color="auto" w:fill="auto"/>
            <w:noWrap/>
            <w:vAlign w:val="center"/>
            <w:hideMark/>
          </w:tcPr>
          <w:p w14:paraId="0D6CCAAE" w14:textId="77777777" w:rsidR="00CA5891" w:rsidRPr="004E74A6" w:rsidRDefault="00CA5891" w:rsidP="00CE62C1">
            <w:pPr>
              <w:spacing w:line="276" w:lineRule="auto"/>
              <w:jc w:val="center"/>
              <w:rPr>
                <w:rFonts w:cs="Calibri"/>
                <w:color w:val="000000"/>
                <w:sz w:val="20"/>
                <w:lang w:eastAsia="es-CR"/>
              </w:rPr>
            </w:pPr>
            <w:r w:rsidRPr="004E74A6">
              <w:rPr>
                <w:rFonts w:cs="Calibri"/>
                <w:color w:val="000000"/>
                <w:sz w:val="20"/>
                <w:lang w:eastAsia="es-CR"/>
              </w:rPr>
              <w:t>2</w:t>
            </w:r>
          </w:p>
        </w:tc>
        <w:tc>
          <w:tcPr>
            <w:tcW w:w="602" w:type="pct"/>
            <w:tcBorders>
              <w:left w:val="single" w:sz="4" w:space="0" w:color="auto"/>
              <w:right w:val="single" w:sz="4" w:space="0" w:color="auto"/>
            </w:tcBorders>
            <w:shd w:val="clear" w:color="auto" w:fill="auto"/>
            <w:noWrap/>
            <w:vAlign w:val="center"/>
            <w:hideMark/>
          </w:tcPr>
          <w:p w14:paraId="21A82CE3" w14:textId="77777777" w:rsidR="00CA5891" w:rsidRPr="004E74A6" w:rsidRDefault="00CA5891" w:rsidP="00CE62C1">
            <w:pPr>
              <w:spacing w:line="276" w:lineRule="auto"/>
              <w:jc w:val="center"/>
              <w:rPr>
                <w:rFonts w:cs="Calibri"/>
                <w:color w:val="000000"/>
                <w:sz w:val="20"/>
                <w:lang w:eastAsia="es-CR"/>
              </w:rPr>
            </w:pPr>
            <w:r w:rsidRPr="004E74A6">
              <w:rPr>
                <w:rFonts w:cs="Calibri"/>
                <w:color w:val="000000"/>
                <w:sz w:val="20"/>
                <w:lang w:eastAsia="es-CR"/>
              </w:rPr>
              <w:t>2</w:t>
            </w:r>
          </w:p>
        </w:tc>
        <w:tc>
          <w:tcPr>
            <w:tcW w:w="598" w:type="pct"/>
            <w:tcBorders>
              <w:left w:val="single" w:sz="4" w:space="0" w:color="auto"/>
              <w:right w:val="single" w:sz="4" w:space="0" w:color="auto"/>
            </w:tcBorders>
            <w:shd w:val="clear" w:color="auto" w:fill="auto"/>
            <w:noWrap/>
            <w:vAlign w:val="center"/>
            <w:hideMark/>
          </w:tcPr>
          <w:p w14:paraId="4BCEBDDE" w14:textId="77777777" w:rsidR="00CA5891" w:rsidRPr="004E74A6" w:rsidRDefault="00CA5891" w:rsidP="00CE62C1">
            <w:pPr>
              <w:spacing w:line="276" w:lineRule="auto"/>
              <w:jc w:val="center"/>
              <w:rPr>
                <w:rFonts w:cs="Calibri"/>
                <w:color w:val="000000"/>
                <w:sz w:val="20"/>
                <w:lang w:eastAsia="es-CR"/>
              </w:rPr>
            </w:pPr>
            <w:r w:rsidRPr="004E74A6">
              <w:rPr>
                <w:rFonts w:cs="Calibri"/>
                <w:color w:val="000000"/>
                <w:sz w:val="20"/>
                <w:lang w:eastAsia="es-CR"/>
              </w:rPr>
              <w:t>1</w:t>
            </w:r>
          </w:p>
        </w:tc>
        <w:tc>
          <w:tcPr>
            <w:tcW w:w="799" w:type="pct"/>
            <w:tcBorders>
              <w:left w:val="single" w:sz="4" w:space="0" w:color="auto"/>
            </w:tcBorders>
            <w:shd w:val="clear" w:color="auto" w:fill="auto"/>
            <w:noWrap/>
            <w:vAlign w:val="bottom"/>
            <w:hideMark/>
          </w:tcPr>
          <w:p w14:paraId="5556D516" w14:textId="293CAC56" w:rsidR="00CA5891" w:rsidRPr="004E74A6" w:rsidRDefault="00CA5891" w:rsidP="00CE62C1">
            <w:pPr>
              <w:spacing w:line="276" w:lineRule="auto"/>
              <w:jc w:val="center"/>
              <w:rPr>
                <w:rFonts w:cs="Calibri"/>
                <w:color w:val="000000"/>
                <w:sz w:val="20"/>
                <w:lang w:eastAsia="es-CR"/>
              </w:rPr>
            </w:pPr>
            <w:r w:rsidRPr="004E74A6">
              <w:rPr>
                <w:rFonts w:cs="Calibri"/>
                <w:color w:val="000000"/>
                <w:sz w:val="20"/>
              </w:rPr>
              <w:t>1,7</w:t>
            </w:r>
          </w:p>
        </w:tc>
      </w:tr>
      <w:tr w:rsidR="00CA5891" w:rsidRPr="004E74A6" w14:paraId="20E66EA7" w14:textId="77777777" w:rsidTr="00B32800">
        <w:trPr>
          <w:trHeight w:val="288"/>
          <w:jc w:val="center"/>
        </w:trPr>
        <w:tc>
          <w:tcPr>
            <w:tcW w:w="2398" w:type="pct"/>
            <w:tcBorders>
              <w:right w:val="single" w:sz="4" w:space="0" w:color="auto"/>
            </w:tcBorders>
            <w:shd w:val="clear" w:color="auto" w:fill="auto"/>
            <w:noWrap/>
            <w:vAlign w:val="bottom"/>
            <w:hideMark/>
          </w:tcPr>
          <w:p w14:paraId="5E6EFA1C" w14:textId="77777777" w:rsidR="00CA5891" w:rsidRPr="004E74A6" w:rsidRDefault="00CA5891" w:rsidP="00CE62C1">
            <w:pPr>
              <w:spacing w:line="276" w:lineRule="auto"/>
              <w:jc w:val="left"/>
              <w:rPr>
                <w:rFonts w:cs="Calibri"/>
                <w:color w:val="000000"/>
                <w:sz w:val="20"/>
                <w:lang w:eastAsia="es-CR"/>
              </w:rPr>
            </w:pPr>
            <w:r w:rsidRPr="004E74A6">
              <w:rPr>
                <w:rFonts w:cs="Calibri"/>
                <w:color w:val="000000"/>
                <w:sz w:val="20"/>
                <w:lang w:eastAsia="es-CR"/>
              </w:rPr>
              <w:t>Legajo De Medidas Cautelares</w:t>
            </w:r>
          </w:p>
        </w:tc>
        <w:tc>
          <w:tcPr>
            <w:tcW w:w="603" w:type="pct"/>
            <w:tcBorders>
              <w:left w:val="single" w:sz="4" w:space="0" w:color="auto"/>
              <w:right w:val="single" w:sz="4" w:space="0" w:color="auto"/>
            </w:tcBorders>
            <w:shd w:val="clear" w:color="auto" w:fill="auto"/>
            <w:noWrap/>
            <w:vAlign w:val="center"/>
            <w:hideMark/>
          </w:tcPr>
          <w:p w14:paraId="627DDADD" w14:textId="77777777" w:rsidR="00CA5891" w:rsidRPr="004E74A6" w:rsidRDefault="00CA5891" w:rsidP="00CE62C1">
            <w:pPr>
              <w:spacing w:line="276" w:lineRule="auto"/>
              <w:jc w:val="center"/>
              <w:rPr>
                <w:rFonts w:cs="Calibri"/>
                <w:color w:val="000000"/>
                <w:sz w:val="20"/>
                <w:lang w:eastAsia="es-CR"/>
              </w:rPr>
            </w:pPr>
            <w:r w:rsidRPr="004E74A6">
              <w:rPr>
                <w:rFonts w:cs="Calibri"/>
                <w:color w:val="000000"/>
                <w:sz w:val="20"/>
                <w:lang w:eastAsia="es-CR"/>
              </w:rPr>
              <w:t>1</w:t>
            </w:r>
          </w:p>
        </w:tc>
        <w:tc>
          <w:tcPr>
            <w:tcW w:w="602" w:type="pct"/>
            <w:tcBorders>
              <w:left w:val="single" w:sz="4" w:space="0" w:color="auto"/>
              <w:right w:val="single" w:sz="4" w:space="0" w:color="auto"/>
            </w:tcBorders>
            <w:shd w:val="clear" w:color="auto" w:fill="auto"/>
            <w:noWrap/>
            <w:vAlign w:val="center"/>
            <w:hideMark/>
          </w:tcPr>
          <w:p w14:paraId="11423032" w14:textId="77777777" w:rsidR="00CA5891" w:rsidRPr="004E74A6" w:rsidRDefault="00CA5891" w:rsidP="00CE62C1">
            <w:pPr>
              <w:spacing w:line="276" w:lineRule="auto"/>
              <w:jc w:val="center"/>
              <w:rPr>
                <w:rFonts w:cs="Calibri"/>
                <w:color w:val="000000"/>
                <w:sz w:val="20"/>
                <w:lang w:eastAsia="es-CR"/>
              </w:rPr>
            </w:pPr>
          </w:p>
        </w:tc>
        <w:tc>
          <w:tcPr>
            <w:tcW w:w="598" w:type="pct"/>
            <w:tcBorders>
              <w:left w:val="single" w:sz="4" w:space="0" w:color="auto"/>
              <w:right w:val="single" w:sz="4" w:space="0" w:color="auto"/>
            </w:tcBorders>
            <w:shd w:val="clear" w:color="auto" w:fill="auto"/>
            <w:noWrap/>
            <w:vAlign w:val="center"/>
            <w:hideMark/>
          </w:tcPr>
          <w:p w14:paraId="333FB4D3" w14:textId="77777777" w:rsidR="00CA5891" w:rsidRPr="004E74A6" w:rsidRDefault="00CA5891" w:rsidP="00CE62C1">
            <w:pPr>
              <w:spacing w:line="276" w:lineRule="auto"/>
              <w:jc w:val="center"/>
              <w:rPr>
                <w:rFonts w:cs="Calibri"/>
                <w:color w:val="000000"/>
                <w:sz w:val="20"/>
                <w:lang w:eastAsia="es-CR"/>
              </w:rPr>
            </w:pPr>
            <w:r w:rsidRPr="004E74A6">
              <w:rPr>
                <w:rFonts w:cs="Calibri"/>
                <w:color w:val="000000"/>
                <w:sz w:val="20"/>
                <w:lang w:eastAsia="es-CR"/>
              </w:rPr>
              <w:t>1</w:t>
            </w:r>
          </w:p>
        </w:tc>
        <w:tc>
          <w:tcPr>
            <w:tcW w:w="799" w:type="pct"/>
            <w:tcBorders>
              <w:left w:val="single" w:sz="4" w:space="0" w:color="auto"/>
            </w:tcBorders>
            <w:shd w:val="clear" w:color="auto" w:fill="auto"/>
            <w:noWrap/>
            <w:vAlign w:val="bottom"/>
            <w:hideMark/>
          </w:tcPr>
          <w:p w14:paraId="2E08C125" w14:textId="40CC9DB4" w:rsidR="00CA5891" w:rsidRPr="004E74A6" w:rsidRDefault="00CA5891" w:rsidP="00CE62C1">
            <w:pPr>
              <w:spacing w:line="276" w:lineRule="auto"/>
              <w:jc w:val="center"/>
              <w:rPr>
                <w:rFonts w:cs="Calibri"/>
                <w:color w:val="000000"/>
                <w:sz w:val="20"/>
                <w:lang w:eastAsia="es-CR"/>
              </w:rPr>
            </w:pPr>
            <w:r w:rsidRPr="004E74A6">
              <w:rPr>
                <w:rFonts w:cs="Calibri"/>
                <w:color w:val="000000"/>
                <w:sz w:val="20"/>
              </w:rPr>
              <w:t>0,7</w:t>
            </w:r>
          </w:p>
        </w:tc>
      </w:tr>
      <w:tr w:rsidR="00CA5891" w:rsidRPr="004E74A6" w14:paraId="445E78AE" w14:textId="77777777" w:rsidTr="00B32800">
        <w:trPr>
          <w:trHeight w:val="288"/>
          <w:jc w:val="center"/>
        </w:trPr>
        <w:tc>
          <w:tcPr>
            <w:tcW w:w="2398" w:type="pct"/>
            <w:tcBorders>
              <w:right w:val="single" w:sz="4" w:space="0" w:color="auto"/>
            </w:tcBorders>
            <w:shd w:val="clear" w:color="auto" w:fill="auto"/>
            <w:noWrap/>
            <w:vAlign w:val="bottom"/>
            <w:hideMark/>
          </w:tcPr>
          <w:p w14:paraId="432FB7B6" w14:textId="77777777" w:rsidR="00CA5891" w:rsidRPr="004E74A6" w:rsidRDefault="00CA5891" w:rsidP="00CE62C1">
            <w:pPr>
              <w:spacing w:line="276" w:lineRule="auto"/>
              <w:jc w:val="left"/>
              <w:rPr>
                <w:rFonts w:cs="Calibri"/>
                <w:color w:val="000000"/>
                <w:sz w:val="20"/>
                <w:lang w:eastAsia="es-CR"/>
              </w:rPr>
            </w:pPr>
            <w:r w:rsidRPr="004E74A6">
              <w:rPr>
                <w:rFonts w:cs="Calibri"/>
                <w:color w:val="000000"/>
                <w:sz w:val="20"/>
                <w:lang w:eastAsia="es-CR"/>
              </w:rPr>
              <w:t>Legajo Medida Cautelar Anticipada</w:t>
            </w:r>
          </w:p>
        </w:tc>
        <w:tc>
          <w:tcPr>
            <w:tcW w:w="603" w:type="pct"/>
            <w:tcBorders>
              <w:left w:val="single" w:sz="4" w:space="0" w:color="auto"/>
              <w:right w:val="single" w:sz="4" w:space="0" w:color="auto"/>
            </w:tcBorders>
            <w:shd w:val="clear" w:color="auto" w:fill="auto"/>
            <w:noWrap/>
            <w:vAlign w:val="center"/>
            <w:hideMark/>
          </w:tcPr>
          <w:p w14:paraId="18A7A00E" w14:textId="77777777" w:rsidR="00CA5891" w:rsidRPr="004E74A6" w:rsidRDefault="00CA5891" w:rsidP="00CE62C1">
            <w:pPr>
              <w:spacing w:line="276" w:lineRule="auto"/>
              <w:jc w:val="center"/>
              <w:rPr>
                <w:sz w:val="20"/>
                <w:lang w:eastAsia="es-CR"/>
              </w:rPr>
            </w:pPr>
          </w:p>
        </w:tc>
        <w:tc>
          <w:tcPr>
            <w:tcW w:w="602" w:type="pct"/>
            <w:tcBorders>
              <w:left w:val="single" w:sz="4" w:space="0" w:color="auto"/>
              <w:right w:val="single" w:sz="4" w:space="0" w:color="auto"/>
            </w:tcBorders>
            <w:shd w:val="clear" w:color="auto" w:fill="auto"/>
            <w:noWrap/>
            <w:vAlign w:val="center"/>
            <w:hideMark/>
          </w:tcPr>
          <w:p w14:paraId="71B3F1E1" w14:textId="77777777" w:rsidR="00CA5891" w:rsidRPr="004E74A6" w:rsidRDefault="00CA5891" w:rsidP="00CE62C1">
            <w:pPr>
              <w:spacing w:line="276" w:lineRule="auto"/>
              <w:jc w:val="center"/>
              <w:rPr>
                <w:sz w:val="20"/>
                <w:lang w:eastAsia="es-CR"/>
              </w:rPr>
            </w:pPr>
          </w:p>
        </w:tc>
        <w:tc>
          <w:tcPr>
            <w:tcW w:w="598" w:type="pct"/>
            <w:tcBorders>
              <w:left w:val="single" w:sz="4" w:space="0" w:color="auto"/>
              <w:right w:val="single" w:sz="4" w:space="0" w:color="auto"/>
            </w:tcBorders>
            <w:shd w:val="clear" w:color="auto" w:fill="auto"/>
            <w:noWrap/>
            <w:vAlign w:val="center"/>
            <w:hideMark/>
          </w:tcPr>
          <w:p w14:paraId="1F5338CE" w14:textId="77777777" w:rsidR="00CA5891" w:rsidRPr="004E74A6" w:rsidRDefault="00CA5891" w:rsidP="00CE62C1">
            <w:pPr>
              <w:spacing w:line="276" w:lineRule="auto"/>
              <w:jc w:val="center"/>
              <w:rPr>
                <w:rFonts w:cs="Calibri"/>
                <w:color w:val="000000"/>
                <w:sz w:val="20"/>
                <w:lang w:eastAsia="es-CR"/>
              </w:rPr>
            </w:pPr>
            <w:r w:rsidRPr="004E74A6">
              <w:rPr>
                <w:rFonts w:cs="Calibri"/>
                <w:color w:val="000000"/>
                <w:sz w:val="20"/>
                <w:lang w:eastAsia="es-CR"/>
              </w:rPr>
              <w:t>1</w:t>
            </w:r>
          </w:p>
        </w:tc>
        <w:tc>
          <w:tcPr>
            <w:tcW w:w="799" w:type="pct"/>
            <w:tcBorders>
              <w:left w:val="single" w:sz="4" w:space="0" w:color="auto"/>
            </w:tcBorders>
            <w:shd w:val="clear" w:color="auto" w:fill="auto"/>
            <w:noWrap/>
            <w:vAlign w:val="bottom"/>
            <w:hideMark/>
          </w:tcPr>
          <w:p w14:paraId="56B6F83F" w14:textId="7592138D" w:rsidR="00CA5891" w:rsidRPr="004E74A6" w:rsidRDefault="00CA5891" w:rsidP="00CE62C1">
            <w:pPr>
              <w:spacing w:line="276" w:lineRule="auto"/>
              <w:jc w:val="center"/>
              <w:rPr>
                <w:rFonts w:cs="Calibri"/>
                <w:color w:val="000000"/>
                <w:sz w:val="20"/>
                <w:lang w:eastAsia="es-CR"/>
              </w:rPr>
            </w:pPr>
            <w:r w:rsidRPr="004E74A6">
              <w:rPr>
                <w:rFonts w:cs="Calibri"/>
                <w:color w:val="000000"/>
                <w:sz w:val="20"/>
              </w:rPr>
              <w:t>0,3</w:t>
            </w:r>
          </w:p>
        </w:tc>
      </w:tr>
      <w:tr w:rsidR="00CA5891" w:rsidRPr="004E74A6" w14:paraId="713C5A12" w14:textId="77777777" w:rsidTr="00B32800">
        <w:trPr>
          <w:trHeight w:val="288"/>
          <w:jc w:val="center"/>
        </w:trPr>
        <w:tc>
          <w:tcPr>
            <w:tcW w:w="2398" w:type="pct"/>
            <w:tcBorders>
              <w:right w:val="single" w:sz="4" w:space="0" w:color="auto"/>
            </w:tcBorders>
            <w:shd w:val="clear" w:color="auto" w:fill="auto"/>
            <w:noWrap/>
            <w:vAlign w:val="bottom"/>
            <w:hideMark/>
          </w:tcPr>
          <w:p w14:paraId="77488559" w14:textId="77777777" w:rsidR="00CA5891" w:rsidRPr="004E74A6" w:rsidRDefault="00CA5891" w:rsidP="00CE62C1">
            <w:pPr>
              <w:spacing w:line="276" w:lineRule="auto"/>
              <w:jc w:val="left"/>
              <w:rPr>
                <w:rFonts w:cs="Calibri"/>
                <w:color w:val="000000"/>
                <w:sz w:val="20"/>
                <w:lang w:eastAsia="es-CR"/>
              </w:rPr>
            </w:pPr>
            <w:r w:rsidRPr="004E74A6">
              <w:rPr>
                <w:rFonts w:cs="Calibri"/>
                <w:color w:val="000000"/>
                <w:sz w:val="20"/>
                <w:lang w:eastAsia="es-CR"/>
              </w:rPr>
              <w:t>Principal</w:t>
            </w:r>
          </w:p>
        </w:tc>
        <w:tc>
          <w:tcPr>
            <w:tcW w:w="603" w:type="pct"/>
            <w:tcBorders>
              <w:left w:val="single" w:sz="4" w:space="0" w:color="auto"/>
              <w:right w:val="single" w:sz="4" w:space="0" w:color="auto"/>
            </w:tcBorders>
            <w:shd w:val="clear" w:color="auto" w:fill="auto"/>
            <w:noWrap/>
            <w:vAlign w:val="center"/>
            <w:hideMark/>
          </w:tcPr>
          <w:p w14:paraId="343094E1" w14:textId="77777777" w:rsidR="00CA5891" w:rsidRPr="004E74A6" w:rsidRDefault="00CA5891" w:rsidP="00CE62C1">
            <w:pPr>
              <w:spacing w:line="276" w:lineRule="auto"/>
              <w:jc w:val="center"/>
              <w:rPr>
                <w:rFonts w:cs="Calibri"/>
                <w:color w:val="000000"/>
                <w:sz w:val="20"/>
                <w:lang w:eastAsia="es-CR"/>
              </w:rPr>
            </w:pPr>
            <w:r w:rsidRPr="004E74A6">
              <w:rPr>
                <w:rFonts w:cs="Calibri"/>
                <w:color w:val="000000"/>
                <w:sz w:val="20"/>
                <w:lang w:eastAsia="es-CR"/>
              </w:rPr>
              <w:t>254</w:t>
            </w:r>
          </w:p>
        </w:tc>
        <w:tc>
          <w:tcPr>
            <w:tcW w:w="602" w:type="pct"/>
            <w:tcBorders>
              <w:left w:val="single" w:sz="4" w:space="0" w:color="auto"/>
              <w:right w:val="single" w:sz="4" w:space="0" w:color="auto"/>
            </w:tcBorders>
            <w:shd w:val="clear" w:color="auto" w:fill="auto"/>
            <w:noWrap/>
            <w:vAlign w:val="center"/>
            <w:hideMark/>
          </w:tcPr>
          <w:p w14:paraId="46CC44CB" w14:textId="77777777" w:rsidR="00CA5891" w:rsidRPr="004E74A6" w:rsidRDefault="00CA5891" w:rsidP="00CE62C1">
            <w:pPr>
              <w:spacing w:line="276" w:lineRule="auto"/>
              <w:jc w:val="center"/>
              <w:rPr>
                <w:rFonts w:cs="Calibri"/>
                <w:color w:val="000000"/>
                <w:sz w:val="20"/>
                <w:lang w:eastAsia="es-CR"/>
              </w:rPr>
            </w:pPr>
            <w:r w:rsidRPr="004E74A6">
              <w:rPr>
                <w:rFonts w:cs="Calibri"/>
                <w:color w:val="000000"/>
                <w:sz w:val="20"/>
                <w:lang w:eastAsia="es-CR"/>
              </w:rPr>
              <w:t>235</w:t>
            </w:r>
          </w:p>
        </w:tc>
        <w:tc>
          <w:tcPr>
            <w:tcW w:w="598" w:type="pct"/>
            <w:tcBorders>
              <w:left w:val="single" w:sz="4" w:space="0" w:color="auto"/>
              <w:right w:val="single" w:sz="4" w:space="0" w:color="auto"/>
            </w:tcBorders>
            <w:shd w:val="clear" w:color="auto" w:fill="auto"/>
            <w:noWrap/>
            <w:vAlign w:val="center"/>
            <w:hideMark/>
          </w:tcPr>
          <w:p w14:paraId="2577FD69" w14:textId="77777777" w:rsidR="00CA5891" w:rsidRPr="004E74A6" w:rsidRDefault="00CA5891" w:rsidP="00CE62C1">
            <w:pPr>
              <w:spacing w:line="276" w:lineRule="auto"/>
              <w:jc w:val="center"/>
              <w:rPr>
                <w:rFonts w:cs="Calibri"/>
                <w:color w:val="000000"/>
                <w:sz w:val="20"/>
                <w:lang w:eastAsia="es-CR"/>
              </w:rPr>
            </w:pPr>
            <w:r w:rsidRPr="004E74A6">
              <w:rPr>
                <w:rFonts w:cs="Calibri"/>
                <w:color w:val="000000"/>
                <w:sz w:val="20"/>
                <w:lang w:eastAsia="es-CR"/>
              </w:rPr>
              <w:t>237</w:t>
            </w:r>
          </w:p>
        </w:tc>
        <w:tc>
          <w:tcPr>
            <w:tcW w:w="799" w:type="pct"/>
            <w:tcBorders>
              <w:left w:val="single" w:sz="4" w:space="0" w:color="auto"/>
            </w:tcBorders>
            <w:shd w:val="clear" w:color="auto" w:fill="auto"/>
            <w:noWrap/>
            <w:vAlign w:val="bottom"/>
            <w:hideMark/>
          </w:tcPr>
          <w:p w14:paraId="07415A92" w14:textId="5A666342" w:rsidR="00CA5891" w:rsidRPr="004E74A6" w:rsidRDefault="00CA5891" w:rsidP="00CE62C1">
            <w:pPr>
              <w:spacing w:line="276" w:lineRule="auto"/>
              <w:jc w:val="center"/>
              <w:rPr>
                <w:rFonts w:cs="Calibri"/>
                <w:color w:val="000000"/>
                <w:sz w:val="20"/>
                <w:lang w:eastAsia="es-CR"/>
              </w:rPr>
            </w:pPr>
            <w:r w:rsidRPr="004E74A6">
              <w:rPr>
                <w:rFonts w:cs="Calibri"/>
                <w:color w:val="000000"/>
                <w:sz w:val="20"/>
              </w:rPr>
              <w:t>242</w:t>
            </w:r>
          </w:p>
        </w:tc>
      </w:tr>
      <w:tr w:rsidR="00CA5891" w:rsidRPr="004E74A6" w14:paraId="095DEAD2" w14:textId="77777777" w:rsidTr="00B32800">
        <w:trPr>
          <w:trHeight w:val="288"/>
          <w:jc w:val="center"/>
        </w:trPr>
        <w:tc>
          <w:tcPr>
            <w:tcW w:w="2398" w:type="pct"/>
            <w:tcBorders>
              <w:right w:val="single" w:sz="4" w:space="0" w:color="auto"/>
            </w:tcBorders>
            <w:shd w:val="clear" w:color="auto" w:fill="auto"/>
            <w:noWrap/>
            <w:vAlign w:val="bottom"/>
            <w:hideMark/>
          </w:tcPr>
          <w:p w14:paraId="335845DF" w14:textId="77777777" w:rsidR="00CA5891" w:rsidRPr="004E74A6" w:rsidRDefault="00CA5891" w:rsidP="00CE62C1">
            <w:pPr>
              <w:spacing w:line="276" w:lineRule="auto"/>
              <w:jc w:val="left"/>
              <w:rPr>
                <w:rFonts w:cs="Calibri"/>
                <w:color w:val="000000"/>
                <w:sz w:val="20"/>
                <w:lang w:eastAsia="es-CR"/>
              </w:rPr>
            </w:pPr>
            <w:r w:rsidRPr="004E74A6">
              <w:rPr>
                <w:rFonts w:cs="Calibri"/>
                <w:color w:val="000000"/>
                <w:sz w:val="20"/>
                <w:lang w:eastAsia="es-CR"/>
              </w:rPr>
              <w:t>Tercerías</w:t>
            </w:r>
          </w:p>
        </w:tc>
        <w:tc>
          <w:tcPr>
            <w:tcW w:w="603" w:type="pct"/>
            <w:tcBorders>
              <w:left w:val="single" w:sz="4" w:space="0" w:color="auto"/>
              <w:right w:val="single" w:sz="4" w:space="0" w:color="auto"/>
            </w:tcBorders>
            <w:shd w:val="clear" w:color="auto" w:fill="auto"/>
            <w:noWrap/>
            <w:vAlign w:val="center"/>
            <w:hideMark/>
          </w:tcPr>
          <w:p w14:paraId="5C7D540D" w14:textId="77777777" w:rsidR="00CA5891" w:rsidRPr="004E74A6" w:rsidRDefault="00CA5891" w:rsidP="00CE62C1">
            <w:pPr>
              <w:spacing w:line="276" w:lineRule="auto"/>
              <w:jc w:val="center"/>
              <w:rPr>
                <w:rFonts w:cs="Calibri"/>
                <w:color w:val="000000"/>
                <w:sz w:val="20"/>
                <w:lang w:eastAsia="es-CR"/>
              </w:rPr>
            </w:pPr>
            <w:r w:rsidRPr="004E74A6">
              <w:rPr>
                <w:rFonts w:cs="Calibri"/>
                <w:color w:val="000000"/>
                <w:sz w:val="20"/>
                <w:lang w:eastAsia="es-CR"/>
              </w:rPr>
              <w:t>1</w:t>
            </w:r>
          </w:p>
        </w:tc>
        <w:tc>
          <w:tcPr>
            <w:tcW w:w="602" w:type="pct"/>
            <w:tcBorders>
              <w:left w:val="single" w:sz="4" w:space="0" w:color="auto"/>
              <w:right w:val="single" w:sz="4" w:space="0" w:color="auto"/>
            </w:tcBorders>
            <w:shd w:val="clear" w:color="auto" w:fill="auto"/>
            <w:noWrap/>
            <w:vAlign w:val="center"/>
            <w:hideMark/>
          </w:tcPr>
          <w:p w14:paraId="4F0E60F8" w14:textId="77777777" w:rsidR="00CA5891" w:rsidRPr="004E74A6" w:rsidRDefault="00CA5891" w:rsidP="00CE62C1">
            <w:pPr>
              <w:spacing w:line="276" w:lineRule="auto"/>
              <w:jc w:val="center"/>
              <w:rPr>
                <w:rFonts w:cs="Calibri"/>
                <w:color w:val="000000"/>
                <w:sz w:val="20"/>
                <w:lang w:eastAsia="es-CR"/>
              </w:rPr>
            </w:pPr>
          </w:p>
        </w:tc>
        <w:tc>
          <w:tcPr>
            <w:tcW w:w="598" w:type="pct"/>
            <w:tcBorders>
              <w:left w:val="single" w:sz="4" w:space="0" w:color="auto"/>
              <w:right w:val="single" w:sz="4" w:space="0" w:color="auto"/>
            </w:tcBorders>
            <w:shd w:val="clear" w:color="auto" w:fill="auto"/>
            <w:noWrap/>
            <w:vAlign w:val="center"/>
            <w:hideMark/>
          </w:tcPr>
          <w:p w14:paraId="75AAF9A9" w14:textId="77777777" w:rsidR="00CA5891" w:rsidRPr="004E74A6" w:rsidRDefault="00CA5891" w:rsidP="00CE62C1">
            <w:pPr>
              <w:spacing w:line="276" w:lineRule="auto"/>
              <w:jc w:val="center"/>
              <w:rPr>
                <w:rFonts w:cs="Calibri"/>
                <w:color w:val="000000"/>
                <w:sz w:val="20"/>
                <w:lang w:eastAsia="es-CR"/>
              </w:rPr>
            </w:pPr>
            <w:r w:rsidRPr="004E74A6">
              <w:rPr>
                <w:rFonts w:cs="Calibri"/>
                <w:color w:val="000000"/>
                <w:sz w:val="20"/>
                <w:lang w:eastAsia="es-CR"/>
              </w:rPr>
              <w:t>1</w:t>
            </w:r>
          </w:p>
        </w:tc>
        <w:tc>
          <w:tcPr>
            <w:tcW w:w="799" w:type="pct"/>
            <w:tcBorders>
              <w:left w:val="single" w:sz="4" w:space="0" w:color="auto"/>
            </w:tcBorders>
            <w:shd w:val="clear" w:color="auto" w:fill="auto"/>
            <w:noWrap/>
            <w:vAlign w:val="bottom"/>
            <w:hideMark/>
          </w:tcPr>
          <w:p w14:paraId="3B38B3FE" w14:textId="4510C641" w:rsidR="00CA5891" w:rsidRPr="004E74A6" w:rsidRDefault="00CA5891" w:rsidP="00CE62C1">
            <w:pPr>
              <w:spacing w:line="276" w:lineRule="auto"/>
              <w:jc w:val="center"/>
              <w:rPr>
                <w:rFonts w:cs="Calibri"/>
                <w:color w:val="000000"/>
                <w:sz w:val="20"/>
                <w:lang w:eastAsia="es-CR"/>
              </w:rPr>
            </w:pPr>
            <w:r w:rsidRPr="004E74A6">
              <w:rPr>
                <w:rFonts w:cs="Calibri"/>
                <w:color w:val="000000"/>
                <w:sz w:val="20"/>
              </w:rPr>
              <w:t>0,7</w:t>
            </w:r>
          </w:p>
        </w:tc>
      </w:tr>
      <w:tr w:rsidR="00CA5891" w:rsidRPr="004E74A6" w14:paraId="1F65E3F3" w14:textId="77777777" w:rsidTr="003E4755">
        <w:trPr>
          <w:trHeight w:val="288"/>
          <w:jc w:val="center"/>
        </w:trPr>
        <w:tc>
          <w:tcPr>
            <w:tcW w:w="2398" w:type="pct"/>
            <w:tcBorders>
              <w:bottom w:val="single" w:sz="4" w:space="0" w:color="auto"/>
              <w:right w:val="single" w:sz="4" w:space="0" w:color="auto"/>
            </w:tcBorders>
            <w:shd w:val="clear" w:color="auto" w:fill="auto"/>
            <w:noWrap/>
            <w:vAlign w:val="bottom"/>
          </w:tcPr>
          <w:p w14:paraId="350901C4" w14:textId="77777777" w:rsidR="00CA5891" w:rsidRPr="004E74A6" w:rsidRDefault="00CA5891" w:rsidP="00CE62C1">
            <w:pPr>
              <w:spacing w:line="276" w:lineRule="auto"/>
              <w:jc w:val="left"/>
              <w:rPr>
                <w:rFonts w:cs="Calibri"/>
                <w:color w:val="000000"/>
                <w:sz w:val="20"/>
                <w:lang w:eastAsia="es-CR"/>
              </w:rPr>
            </w:pPr>
          </w:p>
        </w:tc>
        <w:tc>
          <w:tcPr>
            <w:tcW w:w="603" w:type="pct"/>
            <w:tcBorders>
              <w:left w:val="single" w:sz="4" w:space="0" w:color="auto"/>
              <w:bottom w:val="single" w:sz="4" w:space="0" w:color="auto"/>
              <w:right w:val="single" w:sz="4" w:space="0" w:color="auto"/>
            </w:tcBorders>
            <w:shd w:val="clear" w:color="auto" w:fill="auto"/>
            <w:noWrap/>
            <w:vAlign w:val="center"/>
          </w:tcPr>
          <w:p w14:paraId="35957B4B" w14:textId="77777777" w:rsidR="00CA5891" w:rsidRPr="004E74A6" w:rsidRDefault="00CA5891" w:rsidP="00CE62C1">
            <w:pPr>
              <w:spacing w:line="276" w:lineRule="auto"/>
              <w:jc w:val="center"/>
              <w:rPr>
                <w:rFonts w:cs="Calibri"/>
                <w:color w:val="000000"/>
                <w:sz w:val="20"/>
                <w:lang w:eastAsia="es-CR"/>
              </w:rPr>
            </w:pPr>
          </w:p>
        </w:tc>
        <w:tc>
          <w:tcPr>
            <w:tcW w:w="602" w:type="pct"/>
            <w:tcBorders>
              <w:left w:val="single" w:sz="4" w:space="0" w:color="auto"/>
              <w:bottom w:val="single" w:sz="4" w:space="0" w:color="auto"/>
              <w:right w:val="single" w:sz="4" w:space="0" w:color="auto"/>
            </w:tcBorders>
            <w:shd w:val="clear" w:color="auto" w:fill="auto"/>
            <w:noWrap/>
            <w:vAlign w:val="center"/>
          </w:tcPr>
          <w:p w14:paraId="42A7C3D6" w14:textId="77777777" w:rsidR="00CA5891" w:rsidRPr="004E74A6" w:rsidRDefault="00CA5891" w:rsidP="00CE62C1">
            <w:pPr>
              <w:spacing w:line="276" w:lineRule="auto"/>
              <w:jc w:val="center"/>
              <w:rPr>
                <w:rFonts w:cs="Calibri"/>
                <w:color w:val="000000"/>
                <w:sz w:val="20"/>
                <w:lang w:eastAsia="es-CR"/>
              </w:rPr>
            </w:pPr>
          </w:p>
        </w:tc>
        <w:tc>
          <w:tcPr>
            <w:tcW w:w="598" w:type="pct"/>
            <w:tcBorders>
              <w:left w:val="single" w:sz="4" w:space="0" w:color="auto"/>
              <w:bottom w:val="single" w:sz="4" w:space="0" w:color="auto"/>
              <w:right w:val="single" w:sz="4" w:space="0" w:color="auto"/>
            </w:tcBorders>
            <w:shd w:val="clear" w:color="auto" w:fill="auto"/>
            <w:noWrap/>
            <w:vAlign w:val="center"/>
          </w:tcPr>
          <w:p w14:paraId="3910CF8B" w14:textId="77777777" w:rsidR="00CA5891" w:rsidRPr="004E74A6" w:rsidRDefault="00CA5891" w:rsidP="00CE62C1">
            <w:pPr>
              <w:spacing w:line="276" w:lineRule="auto"/>
              <w:jc w:val="center"/>
              <w:rPr>
                <w:rFonts w:cs="Calibri"/>
                <w:color w:val="000000"/>
                <w:sz w:val="20"/>
                <w:lang w:eastAsia="es-CR"/>
              </w:rPr>
            </w:pPr>
          </w:p>
        </w:tc>
        <w:tc>
          <w:tcPr>
            <w:tcW w:w="799" w:type="pct"/>
            <w:tcBorders>
              <w:left w:val="single" w:sz="4" w:space="0" w:color="auto"/>
              <w:bottom w:val="single" w:sz="4" w:space="0" w:color="auto"/>
            </w:tcBorders>
            <w:shd w:val="clear" w:color="auto" w:fill="auto"/>
            <w:noWrap/>
            <w:vAlign w:val="center"/>
          </w:tcPr>
          <w:p w14:paraId="54F6E96D" w14:textId="77777777" w:rsidR="00CA5891" w:rsidRPr="004E74A6" w:rsidRDefault="00CA5891" w:rsidP="00CE62C1">
            <w:pPr>
              <w:spacing w:line="276" w:lineRule="auto"/>
              <w:jc w:val="center"/>
              <w:rPr>
                <w:rFonts w:cs="Calibri"/>
                <w:color w:val="000000"/>
                <w:sz w:val="20"/>
                <w:lang w:eastAsia="es-CR"/>
              </w:rPr>
            </w:pPr>
          </w:p>
        </w:tc>
      </w:tr>
    </w:tbl>
    <w:p w14:paraId="53154244" w14:textId="77777777" w:rsidR="003E4755" w:rsidRPr="004E74A6" w:rsidRDefault="003E4755" w:rsidP="00832773">
      <w:pPr>
        <w:spacing w:line="276" w:lineRule="auto"/>
        <w:ind w:left="907" w:right="907"/>
        <w:rPr>
          <w:rFonts w:cs="Calibri"/>
          <w:i/>
          <w:iCs/>
          <w:color w:val="000000"/>
          <w:sz w:val="20"/>
          <w:lang w:eastAsia="es-CR"/>
        </w:rPr>
      </w:pPr>
      <w:r w:rsidRPr="004E74A6">
        <w:rPr>
          <w:rFonts w:cs="Calibri"/>
          <w:i/>
          <w:iCs/>
          <w:color w:val="000000"/>
          <w:sz w:val="20"/>
          <w:lang w:eastAsia="es-CR"/>
        </w:rPr>
        <w:t>Fuente: Subproceso de Modernización Institucional con datos extraídos del sistema SIGMA, Dirección de Planificación.</w:t>
      </w:r>
    </w:p>
    <w:p w14:paraId="22E6A397" w14:textId="77777777" w:rsidR="008647ED" w:rsidRPr="004E74A6" w:rsidRDefault="008647ED" w:rsidP="00CE62C1">
      <w:pPr>
        <w:spacing w:after="160" w:line="276" w:lineRule="auto"/>
        <w:rPr>
          <w:rFonts w:cs="Calibri"/>
          <w:color w:val="000000"/>
          <w:szCs w:val="24"/>
          <w:lang w:eastAsia="es-CR"/>
        </w:rPr>
      </w:pPr>
    </w:p>
    <w:p w14:paraId="051EA82F" w14:textId="5D7AF542" w:rsidR="008647ED" w:rsidRPr="004E74A6" w:rsidRDefault="00CA5891" w:rsidP="00CE62C1">
      <w:pPr>
        <w:spacing w:after="160" w:line="276" w:lineRule="auto"/>
        <w:rPr>
          <w:rFonts w:cs="Calibri"/>
          <w:color w:val="000000"/>
          <w:szCs w:val="24"/>
          <w:lang w:eastAsia="es-CR"/>
        </w:rPr>
      </w:pPr>
      <w:r w:rsidRPr="004E74A6">
        <w:rPr>
          <w:rFonts w:cs="Calibri"/>
          <w:color w:val="000000"/>
          <w:szCs w:val="24"/>
          <w:lang w:eastAsia="es-CR"/>
        </w:rPr>
        <w:t xml:space="preserve">Se puede observar aún más a detalle para determinar la clase de asuntos principales, que tal y como lo refleja la siguiente tabla, </w:t>
      </w:r>
      <w:r w:rsidR="008647ED" w:rsidRPr="004E74A6">
        <w:rPr>
          <w:rFonts w:cs="Calibri"/>
          <w:color w:val="000000"/>
          <w:szCs w:val="24"/>
          <w:lang w:eastAsia="es-CR"/>
        </w:rPr>
        <w:t>el 82% está compuesto por los asuntos ordinarios, seguido de un 6% de medidas cautelares, siendo lo ordinario lo dominante a través de los años.</w:t>
      </w:r>
    </w:p>
    <w:p w14:paraId="50F17B5E" w14:textId="521E9A97" w:rsidR="00662185" w:rsidRDefault="00662185" w:rsidP="00832773">
      <w:pPr>
        <w:spacing w:line="276" w:lineRule="auto"/>
      </w:pPr>
    </w:p>
    <w:p w14:paraId="7B1D8651" w14:textId="36B6CE1B" w:rsidR="00193D21" w:rsidRDefault="00193D21" w:rsidP="00832773">
      <w:pPr>
        <w:spacing w:line="276" w:lineRule="auto"/>
      </w:pPr>
    </w:p>
    <w:p w14:paraId="1E0DC53E" w14:textId="1154906D" w:rsidR="00193D21" w:rsidRDefault="00193D21" w:rsidP="00832773">
      <w:pPr>
        <w:spacing w:line="276" w:lineRule="auto"/>
      </w:pPr>
    </w:p>
    <w:p w14:paraId="74356236" w14:textId="3F05AFCC" w:rsidR="00193D21" w:rsidRDefault="00193D21" w:rsidP="00832773">
      <w:pPr>
        <w:spacing w:line="276" w:lineRule="auto"/>
      </w:pPr>
    </w:p>
    <w:p w14:paraId="5835FA74" w14:textId="29D609B6" w:rsidR="00193D21" w:rsidRDefault="00193D21" w:rsidP="00832773">
      <w:pPr>
        <w:spacing w:line="276" w:lineRule="auto"/>
      </w:pPr>
    </w:p>
    <w:p w14:paraId="133F4F3B" w14:textId="7ECF422D" w:rsidR="00193D21" w:rsidRDefault="00193D21" w:rsidP="00832773">
      <w:pPr>
        <w:spacing w:line="276" w:lineRule="auto"/>
      </w:pPr>
    </w:p>
    <w:p w14:paraId="702ABDF1" w14:textId="32C5C1A9" w:rsidR="00193D21" w:rsidRDefault="00193D21" w:rsidP="00832773">
      <w:pPr>
        <w:spacing w:line="276" w:lineRule="auto"/>
      </w:pPr>
    </w:p>
    <w:p w14:paraId="67A334A7" w14:textId="7B27D6B6" w:rsidR="00193D21" w:rsidRDefault="00193D21" w:rsidP="00832773">
      <w:pPr>
        <w:spacing w:line="276" w:lineRule="auto"/>
      </w:pPr>
    </w:p>
    <w:p w14:paraId="42650179" w14:textId="37F65473" w:rsidR="00193D21" w:rsidRDefault="00193D21" w:rsidP="00832773">
      <w:pPr>
        <w:spacing w:line="276" w:lineRule="auto"/>
      </w:pPr>
    </w:p>
    <w:p w14:paraId="0012A349" w14:textId="660EE363" w:rsidR="00193D21" w:rsidRDefault="00193D21" w:rsidP="00832773">
      <w:pPr>
        <w:spacing w:line="276" w:lineRule="auto"/>
      </w:pPr>
    </w:p>
    <w:p w14:paraId="64362BD3" w14:textId="0D3C237C" w:rsidR="00193D21" w:rsidRDefault="00193D21" w:rsidP="00832773">
      <w:pPr>
        <w:spacing w:line="276" w:lineRule="auto"/>
      </w:pPr>
    </w:p>
    <w:p w14:paraId="5729F9C1" w14:textId="005F3350" w:rsidR="00193D21" w:rsidRDefault="00193D21" w:rsidP="00832773">
      <w:pPr>
        <w:spacing w:line="276" w:lineRule="auto"/>
      </w:pPr>
    </w:p>
    <w:p w14:paraId="5F404181" w14:textId="77777777" w:rsidR="00193D21" w:rsidRPr="00832773" w:rsidRDefault="00193D21" w:rsidP="00832773">
      <w:pPr>
        <w:spacing w:line="276" w:lineRule="auto"/>
      </w:pPr>
    </w:p>
    <w:p w14:paraId="5F15B924" w14:textId="2D1C5D60" w:rsidR="002C03E8" w:rsidRPr="00832773" w:rsidRDefault="002C03E8" w:rsidP="00F0204A">
      <w:pPr>
        <w:pStyle w:val="Descripcin"/>
        <w:keepNext/>
        <w:spacing w:line="276" w:lineRule="auto"/>
        <w:jc w:val="center"/>
        <w:rPr>
          <w:rFonts w:ascii="Book Antiqua" w:hAnsi="Book Antiqua"/>
          <w:i/>
          <w:iCs/>
          <w:sz w:val="20"/>
          <w:szCs w:val="16"/>
          <w:lang w:val="es-CR"/>
        </w:rPr>
      </w:pPr>
      <w:r w:rsidRPr="00832773">
        <w:rPr>
          <w:rFonts w:ascii="Book Antiqua" w:hAnsi="Book Antiqua"/>
          <w:i/>
          <w:iCs/>
          <w:sz w:val="20"/>
          <w:szCs w:val="16"/>
          <w:lang w:val="es-CR"/>
        </w:rPr>
        <w:lastRenderedPageBreak/>
        <w:t xml:space="preserve">Tabla </w:t>
      </w:r>
      <w:r w:rsidRPr="00832773">
        <w:rPr>
          <w:rFonts w:ascii="Book Antiqua" w:hAnsi="Book Antiqua"/>
          <w:i/>
          <w:iCs/>
          <w:sz w:val="20"/>
          <w:szCs w:val="16"/>
          <w:lang w:val="es-CR"/>
        </w:rPr>
        <w:fldChar w:fldCharType="begin"/>
      </w:r>
      <w:r w:rsidRPr="00832773">
        <w:rPr>
          <w:rFonts w:ascii="Book Antiqua" w:hAnsi="Book Antiqua"/>
          <w:i/>
          <w:iCs/>
          <w:sz w:val="20"/>
          <w:szCs w:val="16"/>
          <w:lang w:val="es-CR"/>
        </w:rPr>
        <w:instrText xml:space="preserve"> SEQ Tabla \* ARABIC </w:instrText>
      </w:r>
      <w:r w:rsidRPr="00832773">
        <w:rPr>
          <w:rFonts w:ascii="Book Antiqua" w:hAnsi="Book Antiqua"/>
          <w:i/>
          <w:iCs/>
          <w:sz w:val="20"/>
          <w:szCs w:val="16"/>
          <w:lang w:val="es-CR"/>
        </w:rPr>
        <w:fldChar w:fldCharType="separate"/>
      </w:r>
      <w:r w:rsidR="00374B51">
        <w:rPr>
          <w:rFonts w:ascii="Book Antiqua" w:hAnsi="Book Antiqua"/>
          <w:i/>
          <w:iCs/>
          <w:noProof/>
          <w:sz w:val="20"/>
          <w:szCs w:val="16"/>
          <w:lang w:val="es-CR"/>
        </w:rPr>
        <w:t>26</w:t>
      </w:r>
      <w:r w:rsidRPr="00832773">
        <w:rPr>
          <w:rFonts w:ascii="Book Antiqua" w:hAnsi="Book Antiqua"/>
          <w:i/>
          <w:iCs/>
          <w:sz w:val="20"/>
          <w:szCs w:val="16"/>
          <w:lang w:val="es-CR"/>
        </w:rPr>
        <w:fldChar w:fldCharType="end"/>
      </w:r>
      <w:r w:rsidRPr="00832773">
        <w:rPr>
          <w:rFonts w:ascii="Book Antiqua" w:hAnsi="Book Antiqua"/>
          <w:i/>
          <w:iCs/>
          <w:sz w:val="20"/>
          <w:szCs w:val="16"/>
          <w:lang w:val="es-CR"/>
        </w:rPr>
        <w:t xml:space="preserve"> Cantidad de principales según clase de asuntos del 2019 al 2021 para el Tribunal Colegiado de Primera Instancia Civil Heredia</w:t>
      </w:r>
    </w:p>
    <w:tbl>
      <w:tblPr>
        <w:tblW w:w="3636" w:type="pct"/>
        <w:jc w:val="center"/>
        <w:tblCellMar>
          <w:left w:w="70" w:type="dxa"/>
          <w:right w:w="70" w:type="dxa"/>
        </w:tblCellMar>
        <w:tblLook w:val="04A0" w:firstRow="1" w:lastRow="0" w:firstColumn="1" w:lastColumn="0" w:noHBand="0" w:noVBand="1"/>
      </w:tblPr>
      <w:tblGrid>
        <w:gridCol w:w="2804"/>
        <w:gridCol w:w="838"/>
        <w:gridCol w:w="833"/>
        <w:gridCol w:w="837"/>
        <w:gridCol w:w="1116"/>
      </w:tblGrid>
      <w:tr w:rsidR="00032A6A" w:rsidRPr="004E74A6" w14:paraId="5C83E5C6" w14:textId="77777777" w:rsidTr="008346B0">
        <w:trPr>
          <w:trHeight w:val="454"/>
          <w:tblHeader/>
          <w:jc w:val="center"/>
        </w:trPr>
        <w:tc>
          <w:tcPr>
            <w:tcW w:w="2181" w:type="pct"/>
            <w:tcBorders>
              <w:top w:val="single" w:sz="4" w:space="0" w:color="auto"/>
              <w:left w:val="nil"/>
              <w:bottom w:val="single" w:sz="4" w:space="0" w:color="auto"/>
              <w:right w:val="single" w:sz="4" w:space="0" w:color="auto"/>
            </w:tcBorders>
            <w:shd w:val="clear" w:color="auto" w:fill="auto"/>
            <w:noWrap/>
            <w:vAlign w:val="center"/>
            <w:hideMark/>
          </w:tcPr>
          <w:p w14:paraId="5CFDF384"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Principal</w:t>
            </w:r>
          </w:p>
        </w:tc>
        <w:tc>
          <w:tcPr>
            <w:tcW w:w="65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573FA54"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2019</w:t>
            </w:r>
          </w:p>
        </w:tc>
        <w:tc>
          <w:tcPr>
            <w:tcW w:w="64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D572728"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2020</w:t>
            </w:r>
          </w:p>
        </w:tc>
        <w:tc>
          <w:tcPr>
            <w:tcW w:w="65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385FDAD"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2021</w:t>
            </w:r>
          </w:p>
        </w:tc>
        <w:tc>
          <w:tcPr>
            <w:tcW w:w="868" w:type="pct"/>
            <w:tcBorders>
              <w:top w:val="single" w:sz="4" w:space="0" w:color="auto"/>
              <w:left w:val="single" w:sz="4" w:space="0" w:color="auto"/>
              <w:bottom w:val="single" w:sz="4" w:space="0" w:color="auto"/>
              <w:right w:val="nil"/>
            </w:tcBorders>
            <w:shd w:val="clear" w:color="auto" w:fill="auto"/>
            <w:noWrap/>
            <w:vAlign w:val="center"/>
          </w:tcPr>
          <w:p w14:paraId="3661AF03" w14:textId="062B7987" w:rsidR="008647ED" w:rsidRPr="004E74A6" w:rsidRDefault="00032A6A" w:rsidP="00CE62C1">
            <w:pPr>
              <w:spacing w:line="276" w:lineRule="auto"/>
              <w:jc w:val="center"/>
              <w:rPr>
                <w:rFonts w:cs="Calibri"/>
                <w:color w:val="000000"/>
                <w:sz w:val="20"/>
                <w:lang w:eastAsia="es-CR"/>
              </w:rPr>
            </w:pPr>
            <w:r w:rsidRPr="004E74A6">
              <w:rPr>
                <w:rFonts w:cs="Calibri"/>
                <w:color w:val="000000"/>
                <w:sz w:val="20"/>
                <w:lang w:eastAsia="es-CR"/>
              </w:rPr>
              <w:t>Promedio</w:t>
            </w:r>
          </w:p>
        </w:tc>
      </w:tr>
      <w:tr w:rsidR="00032A6A" w:rsidRPr="004E74A6" w14:paraId="599DD289" w14:textId="77777777" w:rsidTr="00032A6A">
        <w:trPr>
          <w:trHeight w:val="288"/>
          <w:jc w:val="center"/>
        </w:trPr>
        <w:tc>
          <w:tcPr>
            <w:tcW w:w="2181" w:type="pct"/>
            <w:tcBorders>
              <w:top w:val="single" w:sz="4" w:space="0" w:color="auto"/>
              <w:left w:val="nil"/>
              <w:bottom w:val="nil"/>
              <w:right w:val="single" w:sz="4" w:space="0" w:color="auto"/>
            </w:tcBorders>
            <w:shd w:val="clear" w:color="auto" w:fill="auto"/>
            <w:noWrap/>
            <w:vAlign w:val="center"/>
          </w:tcPr>
          <w:p w14:paraId="4B12B50C" w14:textId="77777777" w:rsidR="008647ED" w:rsidRPr="004E74A6" w:rsidRDefault="008647ED" w:rsidP="00CE62C1">
            <w:pPr>
              <w:spacing w:line="276" w:lineRule="auto"/>
              <w:ind w:firstLineChars="100" w:firstLine="200"/>
              <w:jc w:val="center"/>
              <w:rPr>
                <w:rFonts w:cs="Calibri"/>
                <w:color w:val="000000"/>
                <w:sz w:val="20"/>
                <w:lang w:eastAsia="es-CR"/>
              </w:rPr>
            </w:pPr>
          </w:p>
        </w:tc>
        <w:tc>
          <w:tcPr>
            <w:tcW w:w="652" w:type="pct"/>
            <w:tcBorders>
              <w:top w:val="single" w:sz="4" w:space="0" w:color="auto"/>
              <w:left w:val="single" w:sz="4" w:space="0" w:color="auto"/>
              <w:bottom w:val="nil"/>
              <w:right w:val="single" w:sz="4" w:space="0" w:color="auto"/>
            </w:tcBorders>
            <w:shd w:val="clear" w:color="auto" w:fill="auto"/>
            <w:noWrap/>
            <w:vAlign w:val="center"/>
          </w:tcPr>
          <w:p w14:paraId="27B85837" w14:textId="77777777" w:rsidR="008647ED" w:rsidRPr="004E74A6" w:rsidRDefault="008647ED" w:rsidP="00CE62C1">
            <w:pPr>
              <w:spacing w:line="276" w:lineRule="auto"/>
              <w:jc w:val="center"/>
              <w:rPr>
                <w:rFonts w:cs="Calibri"/>
                <w:color w:val="000000"/>
                <w:sz w:val="20"/>
                <w:lang w:eastAsia="es-CR"/>
              </w:rPr>
            </w:pPr>
          </w:p>
        </w:tc>
        <w:tc>
          <w:tcPr>
            <w:tcW w:w="648" w:type="pct"/>
            <w:tcBorders>
              <w:top w:val="single" w:sz="4" w:space="0" w:color="auto"/>
              <w:left w:val="single" w:sz="4" w:space="0" w:color="auto"/>
              <w:bottom w:val="nil"/>
              <w:right w:val="single" w:sz="4" w:space="0" w:color="auto"/>
            </w:tcBorders>
            <w:shd w:val="clear" w:color="auto" w:fill="auto"/>
            <w:noWrap/>
            <w:vAlign w:val="center"/>
          </w:tcPr>
          <w:p w14:paraId="661CFB10" w14:textId="77777777" w:rsidR="008647ED" w:rsidRPr="004E74A6" w:rsidRDefault="008647ED" w:rsidP="00CE62C1">
            <w:pPr>
              <w:spacing w:line="276" w:lineRule="auto"/>
              <w:jc w:val="center"/>
              <w:rPr>
                <w:rFonts w:cs="Calibri"/>
                <w:color w:val="000000"/>
                <w:sz w:val="20"/>
                <w:lang w:eastAsia="es-CR"/>
              </w:rPr>
            </w:pPr>
          </w:p>
        </w:tc>
        <w:tc>
          <w:tcPr>
            <w:tcW w:w="651" w:type="pct"/>
            <w:tcBorders>
              <w:top w:val="single" w:sz="4" w:space="0" w:color="auto"/>
              <w:left w:val="single" w:sz="4" w:space="0" w:color="auto"/>
              <w:bottom w:val="nil"/>
              <w:right w:val="single" w:sz="4" w:space="0" w:color="auto"/>
            </w:tcBorders>
            <w:shd w:val="clear" w:color="auto" w:fill="auto"/>
            <w:noWrap/>
            <w:vAlign w:val="center"/>
          </w:tcPr>
          <w:p w14:paraId="00D880CA" w14:textId="77777777" w:rsidR="008647ED" w:rsidRPr="004E74A6" w:rsidRDefault="008647ED" w:rsidP="00CE62C1">
            <w:pPr>
              <w:spacing w:line="276" w:lineRule="auto"/>
              <w:jc w:val="center"/>
              <w:rPr>
                <w:sz w:val="20"/>
                <w:lang w:eastAsia="es-CR"/>
              </w:rPr>
            </w:pPr>
          </w:p>
        </w:tc>
        <w:tc>
          <w:tcPr>
            <w:tcW w:w="868" w:type="pct"/>
            <w:tcBorders>
              <w:top w:val="single" w:sz="4" w:space="0" w:color="auto"/>
              <w:left w:val="single" w:sz="4" w:space="0" w:color="auto"/>
              <w:bottom w:val="nil"/>
              <w:right w:val="nil"/>
            </w:tcBorders>
            <w:shd w:val="clear" w:color="auto" w:fill="auto"/>
            <w:noWrap/>
            <w:vAlign w:val="center"/>
          </w:tcPr>
          <w:p w14:paraId="0CD16F0C" w14:textId="77777777" w:rsidR="008647ED" w:rsidRPr="004E74A6" w:rsidRDefault="008647ED" w:rsidP="00CE62C1">
            <w:pPr>
              <w:spacing w:line="276" w:lineRule="auto"/>
              <w:jc w:val="center"/>
              <w:rPr>
                <w:rFonts w:cs="Calibri"/>
                <w:color w:val="000000"/>
                <w:sz w:val="20"/>
                <w:lang w:eastAsia="es-CR"/>
              </w:rPr>
            </w:pPr>
          </w:p>
        </w:tc>
      </w:tr>
      <w:tr w:rsidR="00032A6A" w:rsidRPr="004E74A6" w14:paraId="20AC9AE0" w14:textId="77777777" w:rsidTr="00032A6A">
        <w:trPr>
          <w:trHeight w:val="288"/>
          <w:jc w:val="center"/>
        </w:trPr>
        <w:tc>
          <w:tcPr>
            <w:tcW w:w="2181" w:type="pct"/>
            <w:tcBorders>
              <w:top w:val="nil"/>
              <w:left w:val="nil"/>
              <w:bottom w:val="nil"/>
              <w:right w:val="single" w:sz="4" w:space="0" w:color="auto"/>
            </w:tcBorders>
            <w:shd w:val="clear" w:color="auto" w:fill="auto"/>
            <w:noWrap/>
            <w:vAlign w:val="center"/>
          </w:tcPr>
          <w:p w14:paraId="16A2B970" w14:textId="77777777" w:rsidR="00032A6A" w:rsidRPr="004E74A6" w:rsidRDefault="00032A6A" w:rsidP="00CE62C1">
            <w:pPr>
              <w:spacing w:line="276" w:lineRule="auto"/>
              <w:jc w:val="center"/>
              <w:rPr>
                <w:rFonts w:cs="Calibri"/>
                <w:color w:val="000000"/>
                <w:sz w:val="20"/>
                <w:lang w:eastAsia="es-CR"/>
              </w:rPr>
            </w:pPr>
            <w:r w:rsidRPr="004E74A6">
              <w:rPr>
                <w:rFonts w:cs="Calibri"/>
                <w:color w:val="000000"/>
                <w:sz w:val="20"/>
                <w:lang w:eastAsia="es-CR"/>
              </w:rPr>
              <w:t>Total</w:t>
            </w:r>
          </w:p>
        </w:tc>
        <w:tc>
          <w:tcPr>
            <w:tcW w:w="652" w:type="pct"/>
            <w:tcBorders>
              <w:top w:val="nil"/>
              <w:left w:val="single" w:sz="4" w:space="0" w:color="auto"/>
              <w:bottom w:val="nil"/>
              <w:right w:val="single" w:sz="4" w:space="0" w:color="auto"/>
            </w:tcBorders>
            <w:shd w:val="clear" w:color="auto" w:fill="auto"/>
            <w:noWrap/>
            <w:vAlign w:val="center"/>
          </w:tcPr>
          <w:p w14:paraId="7BB0A971" w14:textId="77777777" w:rsidR="00032A6A" w:rsidRPr="004E74A6" w:rsidRDefault="00032A6A" w:rsidP="00CE62C1">
            <w:pPr>
              <w:spacing w:line="276" w:lineRule="auto"/>
              <w:jc w:val="center"/>
              <w:rPr>
                <w:rFonts w:cs="Calibri"/>
                <w:color w:val="000000"/>
                <w:sz w:val="20"/>
                <w:lang w:eastAsia="es-CR"/>
              </w:rPr>
            </w:pPr>
            <w:r w:rsidRPr="004E74A6">
              <w:rPr>
                <w:rFonts w:cs="Calibri"/>
                <w:color w:val="000000"/>
                <w:sz w:val="20"/>
                <w:lang w:eastAsia="es-CR"/>
              </w:rPr>
              <w:t>254</w:t>
            </w:r>
          </w:p>
        </w:tc>
        <w:tc>
          <w:tcPr>
            <w:tcW w:w="648" w:type="pct"/>
            <w:tcBorders>
              <w:top w:val="nil"/>
              <w:left w:val="single" w:sz="4" w:space="0" w:color="auto"/>
              <w:bottom w:val="nil"/>
              <w:right w:val="single" w:sz="4" w:space="0" w:color="auto"/>
            </w:tcBorders>
            <w:shd w:val="clear" w:color="auto" w:fill="auto"/>
            <w:noWrap/>
            <w:vAlign w:val="center"/>
          </w:tcPr>
          <w:p w14:paraId="43615740" w14:textId="77777777" w:rsidR="00032A6A" w:rsidRPr="004E74A6" w:rsidRDefault="00032A6A" w:rsidP="00CE62C1">
            <w:pPr>
              <w:spacing w:line="276" w:lineRule="auto"/>
              <w:jc w:val="center"/>
              <w:rPr>
                <w:rFonts w:cs="Calibri"/>
                <w:color w:val="000000"/>
                <w:sz w:val="20"/>
                <w:lang w:eastAsia="es-CR"/>
              </w:rPr>
            </w:pPr>
            <w:r w:rsidRPr="004E74A6">
              <w:rPr>
                <w:rFonts w:cs="Calibri"/>
                <w:color w:val="000000"/>
                <w:sz w:val="20"/>
                <w:lang w:eastAsia="es-CR"/>
              </w:rPr>
              <w:t>235</w:t>
            </w:r>
          </w:p>
        </w:tc>
        <w:tc>
          <w:tcPr>
            <w:tcW w:w="651" w:type="pct"/>
            <w:tcBorders>
              <w:top w:val="nil"/>
              <w:left w:val="single" w:sz="4" w:space="0" w:color="auto"/>
              <w:bottom w:val="nil"/>
              <w:right w:val="single" w:sz="4" w:space="0" w:color="auto"/>
            </w:tcBorders>
            <w:shd w:val="clear" w:color="auto" w:fill="auto"/>
            <w:noWrap/>
            <w:vAlign w:val="center"/>
          </w:tcPr>
          <w:p w14:paraId="085D0E31" w14:textId="77777777" w:rsidR="00032A6A" w:rsidRPr="004E74A6" w:rsidRDefault="00032A6A" w:rsidP="00CE62C1">
            <w:pPr>
              <w:spacing w:line="276" w:lineRule="auto"/>
              <w:jc w:val="center"/>
              <w:rPr>
                <w:sz w:val="20"/>
                <w:lang w:eastAsia="es-CR"/>
              </w:rPr>
            </w:pPr>
            <w:r w:rsidRPr="004E74A6">
              <w:rPr>
                <w:rFonts w:cs="Calibri"/>
                <w:color w:val="000000"/>
                <w:sz w:val="20"/>
                <w:lang w:eastAsia="es-CR"/>
              </w:rPr>
              <w:t>237</w:t>
            </w:r>
          </w:p>
        </w:tc>
        <w:tc>
          <w:tcPr>
            <w:tcW w:w="868" w:type="pct"/>
            <w:tcBorders>
              <w:top w:val="nil"/>
              <w:left w:val="single" w:sz="4" w:space="0" w:color="auto"/>
              <w:bottom w:val="nil"/>
              <w:right w:val="nil"/>
            </w:tcBorders>
            <w:shd w:val="clear" w:color="auto" w:fill="auto"/>
            <w:noWrap/>
            <w:vAlign w:val="center"/>
          </w:tcPr>
          <w:p w14:paraId="74F61C67" w14:textId="04E03943" w:rsidR="00032A6A" w:rsidRPr="004E74A6" w:rsidRDefault="00032A6A" w:rsidP="00CE62C1">
            <w:pPr>
              <w:spacing w:line="276" w:lineRule="auto"/>
              <w:jc w:val="center"/>
              <w:rPr>
                <w:rFonts w:cs="Calibri"/>
                <w:color w:val="000000"/>
                <w:sz w:val="20"/>
                <w:lang w:eastAsia="es-CR"/>
              </w:rPr>
            </w:pPr>
            <w:r w:rsidRPr="004E74A6">
              <w:rPr>
                <w:rFonts w:cs="Calibri"/>
                <w:color w:val="000000"/>
                <w:sz w:val="20"/>
              </w:rPr>
              <w:t>242</w:t>
            </w:r>
          </w:p>
        </w:tc>
      </w:tr>
      <w:tr w:rsidR="00032A6A" w:rsidRPr="004E74A6" w14:paraId="22512C23" w14:textId="77777777" w:rsidTr="00032A6A">
        <w:trPr>
          <w:trHeight w:val="288"/>
          <w:jc w:val="center"/>
        </w:trPr>
        <w:tc>
          <w:tcPr>
            <w:tcW w:w="2181" w:type="pct"/>
            <w:tcBorders>
              <w:top w:val="nil"/>
              <w:left w:val="nil"/>
              <w:bottom w:val="nil"/>
              <w:right w:val="single" w:sz="4" w:space="0" w:color="auto"/>
            </w:tcBorders>
            <w:shd w:val="clear" w:color="auto" w:fill="auto"/>
            <w:noWrap/>
            <w:vAlign w:val="bottom"/>
          </w:tcPr>
          <w:p w14:paraId="18BE35CE" w14:textId="77777777" w:rsidR="00032A6A" w:rsidRPr="004E74A6" w:rsidRDefault="00032A6A" w:rsidP="00CE62C1">
            <w:pPr>
              <w:spacing w:line="276" w:lineRule="auto"/>
              <w:ind w:firstLineChars="100" w:firstLine="200"/>
              <w:jc w:val="left"/>
              <w:rPr>
                <w:rFonts w:cs="Calibri"/>
                <w:color w:val="000000"/>
                <w:sz w:val="20"/>
                <w:lang w:eastAsia="es-CR"/>
              </w:rPr>
            </w:pPr>
          </w:p>
        </w:tc>
        <w:tc>
          <w:tcPr>
            <w:tcW w:w="652" w:type="pct"/>
            <w:tcBorders>
              <w:top w:val="nil"/>
              <w:left w:val="single" w:sz="4" w:space="0" w:color="auto"/>
              <w:bottom w:val="nil"/>
              <w:right w:val="single" w:sz="4" w:space="0" w:color="auto"/>
            </w:tcBorders>
            <w:shd w:val="clear" w:color="auto" w:fill="auto"/>
            <w:noWrap/>
            <w:vAlign w:val="center"/>
          </w:tcPr>
          <w:p w14:paraId="5422DCAD" w14:textId="77777777" w:rsidR="00032A6A" w:rsidRPr="004E74A6" w:rsidRDefault="00032A6A" w:rsidP="00CE62C1">
            <w:pPr>
              <w:spacing w:line="276" w:lineRule="auto"/>
              <w:jc w:val="center"/>
              <w:rPr>
                <w:rFonts w:cs="Calibri"/>
                <w:color w:val="000000"/>
                <w:sz w:val="20"/>
                <w:lang w:eastAsia="es-CR"/>
              </w:rPr>
            </w:pPr>
          </w:p>
        </w:tc>
        <w:tc>
          <w:tcPr>
            <w:tcW w:w="648" w:type="pct"/>
            <w:tcBorders>
              <w:top w:val="nil"/>
              <w:left w:val="single" w:sz="4" w:space="0" w:color="auto"/>
              <w:bottom w:val="nil"/>
              <w:right w:val="single" w:sz="4" w:space="0" w:color="auto"/>
            </w:tcBorders>
            <w:shd w:val="clear" w:color="auto" w:fill="auto"/>
            <w:noWrap/>
            <w:vAlign w:val="center"/>
          </w:tcPr>
          <w:p w14:paraId="5878C591" w14:textId="77777777" w:rsidR="00032A6A" w:rsidRPr="004E74A6" w:rsidRDefault="00032A6A" w:rsidP="00CE62C1">
            <w:pPr>
              <w:spacing w:line="276" w:lineRule="auto"/>
              <w:jc w:val="center"/>
              <w:rPr>
                <w:rFonts w:cs="Calibri"/>
                <w:color w:val="000000"/>
                <w:sz w:val="20"/>
                <w:lang w:eastAsia="es-CR"/>
              </w:rPr>
            </w:pPr>
          </w:p>
        </w:tc>
        <w:tc>
          <w:tcPr>
            <w:tcW w:w="651" w:type="pct"/>
            <w:tcBorders>
              <w:top w:val="nil"/>
              <w:left w:val="single" w:sz="4" w:space="0" w:color="auto"/>
              <w:bottom w:val="nil"/>
              <w:right w:val="single" w:sz="4" w:space="0" w:color="auto"/>
            </w:tcBorders>
            <w:shd w:val="clear" w:color="auto" w:fill="auto"/>
            <w:noWrap/>
            <w:vAlign w:val="center"/>
          </w:tcPr>
          <w:p w14:paraId="2C403B05" w14:textId="77777777" w:rsidR="00032A6A" w:rsidRPr="004E74A6" w:rsidRDefault="00032A6A" w:rsidP="00CE62C1">
            <w:pPr>
              <w:spacing w:line="276" w:lineRule="auto"/>
              <w:jc w:val="center"/>
              <w:rPr>
                <w:sz w:val="20"/>
                <w:lang w:eastAsia="es-CR"/>
              </w:rPr>
            </w:pPr>
          </w:p>
        </w:tc>
        <w:tc>
          <w:tcPr>
            <w:tcW w:w="868" w:type="pct"/>
            <w:tcBorders>
              <w:top w:val="nil"/>
              <w:left w:val="single" w:sz="4" w:space="0" w:color="auto"/>
              <w:bottom w:val="nil"/>
              <w:right w:val="nil"/>
            </w:tcBorders>
            <w:shd w:val="clear" w:color="auto" w:fill="auto"/>
            <w:noWrap/>
            <w:vAlign w:val="center"/>
          </w:tcPr>
          <w:p w14:paraId="37250582" w14:textId="77777777" w:rsidR="00032A6A" w:rsidRPr="004E74A6" w:rsidRDefault="00032A6A" w:rsidP="00CE62C1">
            <w:pPr>
              <w:spacing w:line="276" w:lineRule="auto"/>
              <w:jc w:val="center"/>
              <w:rPr>
                <w:rFonts w:cs="Calibri"/>
                <w:color w:val="000000"/>
                <w:sz w:val="20"/>
                <w:lang w:eastAsia="es-CR"/>
              </w:rPr>
            </w:pPr>
          </w:p>
        </w:tc>
      </w:tr>
      <w:tr w:rsidR="00CA5891" w:rsidRPr="004E74A6" w14:paraId="39135C6B" w14:textId="77777777" w:rsidTr="00B32800">
        <w:trPr>
          <w:trHeight w:val="288"/>
          <w:jc w:val="center"/>
        </w:trPr>
        <w:tc>
          <w:tcPr>
            <w:tcW w:w="2181" w:type="pct"/>
            <w:tcBorders>
              <w:top w:val="nil"/>
              <w:left w:val="nil"/>
              <w:bottom w:val="nil"/>
              <w:right w:val="single" w:sz="4" w:space="0" w:color="auto"/>
            </w:tcBorders>
            <w:shd w:val="clear" w:color="auto" w:fill="auto"/>
            <w:noWrap/>
            <w:vAlign w:val="bottom"/>
            <w:hideMark/>
          </w:tcPr>
          <w:p w14:paraId="1F170160" w14:textId="77777777" w:rsidR="00CA5891" w:rsidRPr="004E74A6" w:rsidRDefault="00CA5891" w:rsidP="00CE62C1">
            <w:pPr>
              <w:spacing w:line="276" w:lineRule="auto"/>
              <w:ind w:firstLineChars="100" w:firstLine="200"/>
              <w:jc w:val="left"/>
              <w:rPr>
                <w:rFonts w:cs="Calibri"/>
                <w:color w:val="000000"/>
                <w:sz w:val="20"/>
                <w:lang w:eastAsia="es-CR"/>
              </w:rPr>
            </w:pPr>
            <w:r w:rsidRPr="004E74A6">
              <w:rPr>
                <w:rFonts w:cs="Calibri"/>
                <w:color w:val="000000"/>
                <w:sz w:val="20"/>
                <w:lang w:eastAsia="es-CR"/>
              </w:rPr>
              <w:t>Actividad Preparatoria</w:t>
            </w:r>
          </w:p>
        </w:tc>
        <w:tc>
          <w:tcPr>
            <w:tcW w:w="652" w:type="pct"/>
            <w:tcBorders>
              <w:top w:val="nil"/>
              <w:left w:val="single" w:sz="4" w:space="0" w:color="auto"/>
              <w:bottom w:val="nil"/>
              <w:right w:val="single" w:sz="4" w:space="0" w:color="auto"/>
            </w:tcBorders>
            <w:shd w:val="clear" w:color="auto" w:fill="auto"/>
            <w:noWrap/>
            <w:vAlign w:val="bottom"/>
            <w:hideMark/>
          </w:tcPr>
          <w:p w14:paraId="509C7E5D" w14:textId="4D6CEA47" w:rsidR="00CA5891" w:rsidRPr="004E74A6" w:rsidRDefault="00CA5891" w:rsidP="00CE62C1">
            <w:pPr>
              <w:spacing w:line="276" w:lineRule="auto"/>
              <w:jc w:val="center"/>
              <w:rPr>
                <w:rFonts w:cs="Calibri"/>
                <w:color w:val="000000"/>
                <w:sz w:val="20"/>
                <w:lang w:eastAsia="es-CR"/>
              </w:rPr>
            </w:pPr>
            <w:r w:rsidRPr="004E74A6">
              <w:rPr>
                <w:rFonts w:cs="Calibri"/>
                <w:color w:val="000000"/>
                <w:sz w:val="20"/>
              </w:rPr>
              <w:t>2</w:t>
            </w:r>
          </w:p>
        </w:tc>
        <w:tc>
          <w:tcPr>
            <w:tcW w:w="648" w:type="pct"/>
            <w:tcBorders>
              <w:top w:val="nil"/>
              <w:left w:val="single" w:sz="4" w:space="0" w:color="auto"/>
              <w:bottom w:val="nil"/>
              <w:right w:val="single" w:sz="4" w:space="0" w:color="auto"/>
            </w:tcBorders>
            <w:shd w:val="clear" w:color="auto" w:fill="auto"/>
            <w:noWrap/>
            <w:vAlign w:val="bottom"/>
            <w:hideMark/>
          </w:tcPr>
          <w:p w14:paraId="1EA8A25C" w14:textId="666479A3" w:rsidR="00CA5891" w:rsidRPr="004E74A6" w:rsidRDefault="00CA5891" w:rsidP="00CE62C1">
            <w:pPr>
              <w:spacing w:line="276" w:lineRule="auto"/>
              <w:jc w:val="center"/>
              <w:rPr>
                <w:rFonts w:cs="Calibri"/>
                <w:color w:val="000000"/>
                <w:sz w:val="20"/>
                <w:lang w:eastAsia="es-CR"/>
              </w:rPr>
            </w:pPr>
            <w:r w:rsidRPr="004E74A6">
              <w:rPr>
                <w:rFonts w:cs="Calibri"/>
                <w:color w:val="000000"/>
                <w:sz w:val="20"/>
              </w:rPr>
              <w:t>0</w:t>
            </w:r>
          </w:p>
        </w:tc>
        <w:tc>
          <w:tcPr>
            <w:tcW w:w="651" w:type="pct"/>
            <w:tcBorders>
              <w:top w:val="nil"/>
              <w:left w:val="single" w:sz="4" w:space="0" w:color="auto"/>
              <w:bottom w:val="nil"/>
              <w:right w:val="single" w:sz="4" w:space="0" w:color="auto"/>
            </w:tcBorders>
            <w:shd w:val="clear" w:color="auto" w:fill="auto"/>
            <w:noWrap/>
            <w:vAlign w:val="bottom"/>
            <w:hideMark/>
          </w:tcPr>
          <w:p w14:paraId="46695E77" w14:textId="379B45DF" w:rsidR="00CA5891" w:rsidRPr="004E74A6" w:rsidRDefault="00CA5891" w:rsidP="00CE62C1">
            <w:pPr>
              <w:spacing w:line="276" w:lineRule="auto"/>
              <w:jc w:val="center"/>
              <w:rPr>
                <w:sz w:val="20"/>
                <w:lang w:eastAsia="es-CR"/>
              </w:rPr>
            </w:pPr>
            <w:r w:rsidRPr="004E74A6">
              <w:rPr>
                <w:rFonts w:cs="Calibri"/>
                <w:color w:val="000000"/>
                <w:sz w:val="20"/>
              </w:rPr>
              <w:t>0</w:t>
            </w:r>
          </w:p>
        </w:tc>
        <w:tc>
          <w:tcPr>
            <w:tcW w:w="868" w:type="pct"/>
            <w:tcBorders>
              <w:top w:val="nil"/>
              <w:left w:val="single" w:sz="4" w:space="0" w:color="auto"/>
              <w:bottom w:val="nil"/>
              <w:right w:val="nil"/>
            </w:tcBorders>
            <w:shd w:val="clear" w:color="auto" w:fill="auto"/>
            <w:noWrap/>
            <w:vAlign w:val="bottom"/>
            <w:hideMark/>
          </w:tcPr>
          <w:p w14:paraId="5359DA2A" w14:textId="1C87398C" w:rsidR="00CA5891" w:rsidRPr="004E74A6" w:rsidRDefault="00CA5891" w:rsidP="00CE62C1">
            <w:pPr>
              <w:spacing w:line="276" w:lineRule="auto"/>
              <w:jc w:val="center"/>
              <w:rPr>
                <w:rFonts w:cs="Calibri"/>
                <w:color w:val="000000"/>
                <w:sz w:val="20"/>
                <w:lang w:eastAsia="es-CR"/>
              </w:rPr>
            </w:pPr>
            <w:r w:rsidRPr="004E74A6">
              <w:rPr>
                <w:rFonts w:cs="Calibri"/>
                <w:color w:val="000000"/>
                <w:sz w:val="20"/>
              </w:rPr>
              <w:t>0,7</w:t>
            </w:r>
          </w:p>
        </w:tc>
      </w:tr>
      <w:tr w:rsidR="00CA5891" w:rsidRPr="004E74A6" w14:paraId="32826E6A" w14:textId="77777777" w:rsidTr="00B32800">
        <w:trPr>
          <w:trHeight w:val="288"/>
          <w:jc w:val="center"/>
        </w:trPr>
        <w:tc>
          <w:tcPr>
            <w:tcW w:w="2181" w:type="pct"/>
            <w:tcBorders>
              <w:top w:val="nil"/>
              <w:left w:val="nil"/>
              <w:bottom w:val="nil"/>
              <w:right w:val="single" w:sz="4" w:space="0" w:color="auto"/>
            </w:tcBorders>
            <w:shd w:val="clear" w:color="auto" w:fill="auto"/>
            <w:noWrap/>
            <w:vAlign w:val="bottom"/>
            <w:hideMark/>
          </w:tcPr>
          <w:p w14:paraId="36CD4293" w14:textId="77777777" w:rsidR="00CA5891" w:rsidRPr="004E74A6" w:rsidRDefault="00CA5891" w:rsidP="00CE62C1">
            <w:pPr>
              <w:spacing w:line="276" w:lineRule="auto"/>
              <w:ind w:firstLineChars="100" w:firstLine="200"/>
              <w:jc w:val="left"/>
              <w:rPr>
                <w:rFonts w:cs="Calibri"/>
                <w:color w:val="000000"/>
                <w:sz w:val="20"/>
                <w:lang w:eastAsia="es-CR"/>
              </w:rPr>
            </w:pPr>
            <w:r w:rsidRPr="004E74A6">
              <w:rPr>
                <w:rFonts w:cs="Calibri"/>
                <w:color w:val="000000"/>
                <w:sz w:val="20"/>
                <w:lang w:eastAsia="es-CR"/>
              </w:rPr>
              <w:t>Medida Cautelar</w:t>
            </w:r>
          </w:p>
        </w:tc>
        <w:tc>
          <w:tcPr>
            <w:tcW w:w="652" w:type="pct"/>
            <w:tcBorders>
              <w:top w:val="nil"/>
              <w:left w:val="single" w:sz="4" w:space="0" w:color="auto"/>
              <w:bottom w:val="nil"/>
              <w:right w:val="single" w:sz="4" w:space="0" w:color="auto"/>
            </w:tcBorders>
            <w:shd w:val="clear" w:color="auto" w:fill="auto"/>
            <w:noWrap/>
            <w:vAlign w:val="bottom"/>
            <w:hideMark/>
          </w:tcPr>
          <w:p w14:paraId="7B7FC2BD" w14:textId="38482D77" w:rsidR="00CA5891" w:rsidRPr="004E74A6" w:rsidRDefault="00CA5891" w:rsidP="00CE62C1">
            <w:pPr>
              <w:spacing w:line="276" w:lineRule="auto"/>
              <w:jc w:val="center"/>
              <w:rPr>
                <w:rFonts w:cs="Calibri"/>
                <w:color w:val="000000"/>
                <w:sz w:val="20"/>
                <w:lang w:eastAsia="es-CR"/>
              </w:rPr>
            </w:pPr>
            <w:r w:rsidRPr="004E74A6">
              <w:rPr>
                <w:rFonts w:cs="Calibri"/>
                <w:color w:val="000000"/>
                <w:sz w:val="20"/>
              </w:rPr>
              <w:t>21</w:t>
            </w:r>
          </w:p>
        </w:tc>
        <w:tc>
          <w:tcPr>
            <w:tcW w:w="648" w:type="pct"/>
            <w:tcBorders>
              <w:top w:val="nil"/>
              <w:left w:val="single" w:sz="4" w:space="0" w:color="auto"/>
              <w:bottom w:val="nil"/>
              <w:right w:val="single" w:sz="4" w:space="0" w:color="auto"/>
            </w:tcBorders>
            <w:shd w:val="clear" w:color="auto" w:fill="auto"/>
            <w:noWrap/>
            <w:vAlign w:val="bottom"/>
            <w:hideMark/>
          </w:tcPr>
          <w:p w14:paraId="6F5EB57B" w14:textId="11AB99DA" w:rsidR="00CA5891" w:rsidRPr="004E74A6" w:rsidRDefault="00CA5891" w:rsidP="00CE62C1">
            <w:pPr>
              <w:spacing w:line="276" w:lineRule="auto"/>
              <w:jc w:val="center"/>
              <w:rPr>
                <w:rFonts w:cs="Calibri"/>
                <w:color w:val="000000"/>
                <w:sz w:val="20"/>
                <w:lang w:eastAsia="es-CR"/>
              </w:rPr>
            </w:pPr>
            <w:r w:rsidRPr="004E74A6">
              <w:rPr>
                <w:rFonts w:cs="Calibri"/>
                <w:color w:val="000000"/>
                <w:sz w:val="20"/>
              </w:rPr>
              <w:t>17</w:t>
            </w:r>
          </w:p>
        </w:tc>
        <w:tc>
          <w:tcPr>
            <w:tcW w:w="651" w:type="pct"/>
            <w:tcBorders>
              <w:top w:val="nil"/>
              <w:left w:val="single" w:sz="4" w:space="0" w:color="auto"/>
              <w:bottom w:val="nil"/>
              <w:right w:val="single" w:sz="4" w:space="0" w:color="auto"/>
            </w:tcBorders>
            <w:shd w:val="clear" w:color="auto" w:fill="auto"/>
            <w:noWrap/>
            <w:vAlign w:val="bottom"/>
            <w:hideMark/>
          </w:tcPr>
          <w:p w14:paraId="1F653462" w14:textId="6BBEF0BE" w:rsidR="00CA5891" w:rsidRPr="004E74A6" w:rsidRDefault="00CA5891" w:rsidP="00CE62C1">
            <w:pPr>
              <w:spacing w:line="276" w:lineRule="auto"/>
              <w:jc w:val="center"/>
              <w:rPr>
                <w:rFonts w:cs="Calibri"/>
                <w:color w:val="000000"/>
                <w:sz w:val="20"/>
                <w:lang w:eastAsia="es-CR"/>
              </w:rPr>
            </w:pPr>
            <w:r w:rsidRPr="004E74A6">
              <w:rPr>
                <w:rFonts w:cs="Calibri"/>
                <w:color w:val="000000"/>
                <w:sz w:val="20"/>
              </w:rPr>
              <w:t>6</w:t>
            </w:r>
          </w:p>
        </w:tc>
        <w:tc>
          <w:tcPr>
            <w:tcW w:w="868" w:type="pct"/>
            <w:tcBorders>
              <w:top w:val="nil"/>
              <w:left w:val="single" w:sz="4" w:space="0" w:color="auto"/>
              <w:bottom w:val="nil"/>
              <w:right w:val="nil"/>
            </w:tcBorders>
            <w:shd w:val="clear" w:color="auto" w:fill="auto"/>
            <w:noWrap/>
            <w:vAlign w:val="bottom"/>
            <w:hideMark/>
          </w:tcPr>
          <w:p w14:paraId="08976175" w14:textId="3EEC8233" w:rsidR="00CA5891" w:rsidRPr="004E74A6" w:rsidRDefault="00CA5891" w:rsidP="00CE62C1">
            <w:pPr>
              <w:spacing w:line="276" w:lineRule="auto"/>
              <w:jc w:val="center"/>
              <w:rPr>
                <w:rFonts w:cs="Calibri"/>
                <w:color w:val="000000"/>
                <w:sz w:val="20"/>
                <w:lang w:eastAsia="es-CR"/>
              </w:rPr>
            </w:pPr>
            <w:r w:rsidRPr="004E74A6">
              <w:rPr>
                <w:rFonts w:cs="Calibri"/>
                <w:color w:val="000000"/>
                <w:sz w:val="20"/>
              </w:rPr>
              <w:t>14,7</w:t>
            </w:r>
          </w:p>
        </w:tc>
      </w:tr>
      <w:tr w:rsidR="00CA5891" w:rsidRPr="004E74A6" w14:paraId="30DBB2B9" w14:textId="77777777" w:rsidTr="00B32800">
        <w:trPr>
          <w:trHeight w:val="288"/>
          <w:jc w:val="center"/>
        </w:trPr>
        <w:tc>
          <w:tcPr>
            <w:tcW w:w="2181" w:type="pct"/>
            <w:tcBorders>
              <w:top w:val="nil"/>
              <w:left w:val="nil"/>
              <w:bottom w:val="nil"/>
              <w:right w:val="single" w:sz="4" w:space="0" w:color="auto"/>
            </w:tcBorders>
            <w:shd w:val="clear" w:color="auto" w:fill="auto"/>
            <w:noWrap/>
            <w:vAlign w:val="bottom"/>
            <w:hideMark/>
          </w:tcPr>
          <w:p w14:paraId="50D2B917" w14:textId="77777777" w:rsidR="00CA5891" w:rsidRPr="004E74A6" w:rsidRDefault="00CA5891" w:rsidP="00CE62C1">
            <w:pPr>
              <w:spacing w:line="276" w:lineRule="auto"/>
              <w:ind w:firstLineChars="100" w:firstLine="200"/>
              <w:jc w:val="left"/>
              <w:rPr>
                <w:rFonts w:cs="Calibri"/>
                <w:color w:val="000000"/>
                <w:sz w:val="20"/>
                <w:lang w:eastAsia="es-CR"/>
              </w:rPr>
            </w:pPr>
            <w:r w:rsidRPr="004E74A6">
              <w:rPr>
                <w:rFonts w:cs="Calibri"/>
                <w:color w:val="000000"/>
                <w:sz w:val="20"/>
                <w:lang w:eastAsia="es-CR"/>
              </w:rPr>
              <w:t>No Contencioso</w:t>
            </w:r>
          </w:p>
        </w:tc>
        <w:tc>
          <w:tcPr>
            <w:tcW w:w="652" w:type="pct"/>
            <w:tcBorders>
              <w:top w:val="nil"/>
              <w:left w:val="single" w:sz="4" w:space="0" w:color="auto"/>
              <w:bottom w:val="nil"/>
              <w:right w:val="single" w:sz="4" w:space="0" w:color="auto"/>
            </w:tcBorders>
            <w:shd w:val="clear" w:color="auto" w:fill="auto"/>
            <w:noWrap/>
            <w:vAlign w:val="bottom"/>
            <w:hideMark/>
          </w:tcPr>
          <w:p w14:paraId="3F13865D" w14:textId="7E685A41" w:rsidR="00CA5891" w:rsidRPr="004E74A6" w:rsidRDefault="00CA5891" w:rsidP="00CE62C1">
            <w:pPr>
              <w:spacing w:line="276" w:lineRule="auto"/>
              <w:jc w:val="center"/>
              <w:rPr>
                <w:rFonts w:cs="Calibri"/>
                <w:color w:val="000000"/>
                <w:sz w:val="20"/>
                <w:lang w:eastAsia="es-CR"/>
              </w:rPr>
            </w:pPr>
            <w:r w:rsidRPr="004E74A6">
              <w:rPr>
                <w:rFonts w:cs="Calibri"/>
                <w:color w:val="000000"/>
                <w:sz w:val="20"/>
              </w:rPr>
              <w:t>1</w:t>
            </w:r>
          </w:p>
        </w:tc>
        <w:tc>
          <w:tcPr>
            <w:tcW w:w="648" w:type="pct"/>
            <w:tcBorders>
              <w:top w:val="nil"/>
              <w:left w:val="single" w:sz="4" w:space="0" w:color="auto"/>
              <w:bottom w:val="nil"/>
              <w:right w:val="single" w:sz="4" w:space="0" w:color="auto"/>
            </w:tcBorders>
            <w:shd w:val="clear" w:color="auto" w:fill="auto"/>
            <w:noWrap/>
            <w:vAlign w:val="bottom"/>
            <w:hideMark/>
          </w:tcPr>
          <w:p w14:paraId="6B1683E9" w14:textId="44FCBE28" w:rsidR="00CA5891" w:rsidRPr="004E74A6" w:rsidRDefault="00CA5891" w:rsidP="00CE62C1">
            <w:pPr>
              <w:spacing w:line="276" w:lineRule="auto"/>
              <w:jc w:val="center"/>
              <w:rPr>
                <w:rFonts w:cs="Calibri"/>
                <w:color w:val="000000"/>
                <w:sz w:val="20"/>
                <w:lang w:eastAsia="es-CR"/>
              </w:rPr>
            </w:pPr>
            <w:r w:rsidRPr="004E74A6">
              <w:rPr>
                <w:rFonts w:cs="Calibri"/>
                <w:color w:val="000000"/>
                <w:sz w:val="20"/>
              </w:rPr>
              <w:t>1</w:t>
            </w:r>
          </w:p>
        </w:tc>
        <w:tc>
          <w:tcPr>
            <w:tcW w:w="651" w:type="pct"/>
            <w:tcBorders>
              <w:top w:val="nil"/>
              <w:left w:val="single" w:sz="4" w:space="0" w:color="auto"/>
              <w:bottom w:val="nil"/>
              <w:right w:val="single" w:sz="4" w:space="0" w:color="auto"/>
            </w:tcBorders>
            <w:shd w:val="clear" w:color="auto" w:fill="auto"/>
            <w:noWrap/>
            <w:vAlign w:val="bottom"/>
            <w:hideMark/>
          </w:tcPr>
          <w:p w14:paraId="59CF7196" w14:textId="2F17D24F" w:rsidR="00CA5891" w:rsidRPr="004E74A6" w:rsidRDefault="00CA5891" w:rsidP="00CE62C1">
            <w:pPr>
              <w:spacing w:line="276" w:lineRule="auto"/>
              <w:jc w:val="center"/>
              <w:rPr>
                <w:rFonts w:cs="Calibri"/>
                <w:color w:val="000000"/>
                <w:sz w:val="20"/>
                <w:lang w:eastAsia="es-CR"/>
              </w:rPr>
            </w:pPr>
            <w:r w:rsidRPr="004E74A6">
              <w:rPr>
                <w:rFonts w:cs="Calibri"/>
                <w:color w:val="000000"/>
                <w:sz w:val="20"/>
              </w:rPr>
              <w:t>0</w:t>
            </w:r>
          </w:p>
        </w:tc>
        <w:tc>
          <w:tcPr>
            <w:tcW w:w="868" w:type="pct"/>
            <w:tcBorders>
              <w:top w:val="nil"/>
              <w:left w:val="single" w:sz="4" w:space="0" w:color="auto"/>
              <w:bottom w:val="nil"/>
              <w:right w:val="nil"/>
            </w:tcBorders>
            <w:shd w:val="clear" w:color="auto" w:fill="auto"/>
            <w:noWrap/>
            <w:vAlign w:val="bottom"/>
            <w:hideMark/>
          </w:tcPr>
          <w:p w14:paraId="06456FB9" w14:textId="5856B011" w:rsidR="00CA5891" w:rsidRPr="004E74A6" w:rsidRDefault="00CA5891" w:rsidP="00CE62C1">
            <w:pPr>
              <w:spacing w:line="276" w:lineRule="auto"/>
              <w:jc w:val="center"/>
              <w:rPr>
                <w:rFonts w:cs="Calibri"/>
                <w:color w:val="000000"/>
                <w:sz w:val="20"/>
                <w:lang w:eastAsia="es-CR"/>
              </w:rPr>
            </w:pPr>
            <w:r w:rsidRPr="004E74A6">
              <w:rPr>
                <w:rFonts w:cs="Calibri"/>
                <w:color w:val="000000"/>
                <w:sz w:val="20"/>
              </w:rPr>
              <w:t>1</w:t>
            </w:r>
          </w:p>
        </w:tc>
      </w:tr>
      <w:tr w:rsidR="00CA5891" w:rsidRPr="004E74A6" w14:paraId="59F1D55B" w14:textId="77777777" w:rsidTr="00B32800">
        <w:trPr>
          <w:trHeight w:val="288"/>
          <w:jc w:val="center"/>
        </w:trPr>
        <w:tc>
          <w:tcPr>
            <w:tcW w:w="2181" w:type="pct"/>
            <w:tcBorders>
              <w:top w:val="nil"/>
              <w:left w:val="nil"/>
              <w:bottom w:val="nil"/>
              <w:right w:val="single" w:sz="4" w:space="0" w:color="auto"/>
            </w:tcBorders>
            <w:shd w:val="clear" w:color="auto" w:fill="auto"/>
            <w:noWrap/>
            <w:vAlign w:val="bottom"/>
            <w:hideMark/>
          </w:tcPr>
          <w:p w14:paraId="7764249E" w14:textId="77777777" w:rsidR="00CA5891" w:rsidRPr="004E74A6" w:rsidRDefault="00CA5891" w:rsidP="00CE62C1">
            <w:pPr>
              <w:spacing w:line="276" w:lineRule="auto"/>
              <w:ind w:firstLineChars="100" w:firstLine="200"/>
              <w:jc w:val="left"/>
              <w:rPr>
                <w:rFonts w:cs="Calibri"/>
                <w:color w:val="000000"/>
                <w:sz w:val="20"/>
                <w:lang w:eastAsia="es-CR"/>
              </w:rPr>
            </w:pPr>
            <w:r w:rsidRPr="004E74A6">
              <w:rPr>
                <w:rFonts w:cs="Calibri"/>
                <w:color w:val="000000"/>
                <w:sz w:val="20"/>
                <w:lang w:eastAsia="es-CR"/>
              </w:rPr>
              <w:t>Or.S.Pub. Empleo Publico</w:t>
            </w:r>
          </w:p>
        </w:tc>
        <w:tc>
          <w:tcPr>
            <w:tcW w:w="652" w:type="pct"/>
            <w:tcBorders>
              <w:top w:val="nil"/>
              <w:left w:val="single" w:sz="4" w:space="0" w:color="auto"/>
              <w:bottom w:val="nil"/>
              <w:right w:val="single" w:sz="4" w:space="0" w:color="auto"/>
            </w:tcBorders>
            <w:shd w:val="clear" w:color="auto" w:fill="auto"/>
            <w:noWrap/>
            <w:vAlign w:val="bottom"/>
            <w:hideMark/>
          </w:tcPr>
          <w:p w14:paraId="57DDB131" w14:textId="10AD5AD0" w:rsidR="00CA5891" w:rsidRPr="004E74A6" w:rsidRDefault="00CA5891" w:rsidP="00CE62C1">
            <w:pPr>
              <w:spacing w:line="276" w:lineRule="auto"/>
              <w:jc w:val="center"/>
              <w:rPr>
                <w:sz w:val="20"/>
                <w:lang w:eastAsia="es-CR"/>
              </w:rPr>
            </w:pPr>
            <w:r w:rsidRPr="004E74A6">
              <w:rPr>
                <w:rFonts w:cs="Calibri"/>
                <w:color w:val="000000"/>
                <w:sz w:val="20"/>
              </w:rPr>
              <w:t>0</w:t>
            </w:r>
          </w:p>
        </w:tc>
        <w:tc>
          <w:tcPr>
            <w:tcW w:w="648" w:type="pct"/>
            <w:tcBorders>
              <w:top w:val="nil"/>
              <w:left w:val="single" w:sz="4" w:space="0" w:color="auto"/>
              <w:bottom w:val="nil"/>
              <w:right w:val="single" w:sz="4" w:space="0" w:color="auto"/>
            </w:tcBorders>
            <w:shd w:val="clear" w:color="auto" w:fill="auto"/>
            <w:noWrap/>
            <w:vAlign w:val="bottom"/>
            <w:hideMark/>
          </w:tcPr>
          <w:p w14:paraId="6EE37EF0" w14:textId="6581A0D9" w:rsidR="00CA5891" w:rsidRPr="004E74A6" w:rsidRDefault="00CA5891" w:rsidP="00CE62C1">
            <w:pPr>
              <w:spacing w:line="276" w:lineRule="auto"/>
              <w:jc w:val="center"/>
              <w:rPr>
                <w:sz w:val="20"/>
                <w:lang w:eastAsia="es-CR"/>
              </w:rPr>
            </w:pPr>
            <w:r w:rsidRPr="004E74A6">
              <w:rPr>
                <w:rFonts w:cs="Calibri"/>
                <w:color w:val="000000"/>
                <w:sz w:val="20"/>
              </w:rPr>
              <w:t>0</w:t>
            </w:r>
          </w:p>
        </w:tc>
        <w:tc>
          <w:tcPr>
            <w:tcW w:w="651" w:type="pct"/>
            <w:tcBorders>
              <w:top w:val="nil"/>
              <w:left w:val="single" w:sz="4" w:space="0" w:color="auto"/>
              <w:bottom w:val="nil"/>
              <w:right w:val="single" w:sz="4" w:space="0" w:color="auto"/>
            </w:tcBorders>
            <w:shd w:val="clear" w:color="auto" w:fill="auto"/>
            <w:noWrap/>
            <w:vAlign w:val="bottom"/>
            <w:hideMark/>
          </w:tcPr>
          <w:p w14:paraId="2889AABC" w14:textId="7D2316A7" w:rsidR="00CA5891" w:rsidRPr="004E74A6" w:rsidRDefault="00CA5891" w:rsidP="00CE62C1">
            <w:pPr>
              <w:spacing w:line="276" w:lineRule="auto"/>
              <w:jc w:val="center"/>
              <w:rPr>
                <w:rFonts w:cs="Calibri"/>
                <w:color w:val="000000"/>
                <w:sz w:val="20"/>
                <w:lang w:eastAsia="es-CR"/>
              </w:rPr>
            </w:pPr>
            <w:r w:rsidRPr="004E74A6">
              <w:rPr>
                <w:rFonts w:cs="Calibri"/>
                <w:color w:val="000000"/>
                <w:sz w:val="20"/>
              </w:rPr>
              <w:t>1</w:t>
            </w:r>
          </w:p>
        </w:tc>
        <w:tc>
          <w:tcPr>
            <w:tcW w:w="868" w:type="pct"/>
            <w:tcBorders>
              <w:top w:val="nil"/>
              <w:left w:val="single" w:sz="4" w:space="0" w:color="auto"/>
              <w:bottom w:val="nil"/>
              <w:right w:val="nil"/>
            </w:tcBorders>
            <w:shd w:val="clear" w:color="auto" w:fill="auto"/>
            <w:noWrap/>
            <w:vAlign w:val="bottom"/>
            <w:hideMark/>
          </w:tcPr>
          <w:p w14:paraId="4467B75A" w14:textId="2D4840CC" w:rsidR="00CA5891" w:rsidRPr="004E74A6" w:rsidRDefault="00CA5891" w:rsidP="00CE62C1">
            <w:pPr>
              <w:spacing w:line="276" w:lineRule="auto"/>
              <w:jc w:val="center"/>
              <w:rPr>
                <w:rFonts w:cs="Calibri"/>
                <w:color w:val="000000"/>
                <w:sz w:val="20"/>
                <w:lang w:eastAsia="es-CR"/>
              </w:rPr>
            </w:pPr>
            <w:r w:rsidRPr="004E74A6">
              <w:rPr>
                <w:rFonts w:cs="Calibri"/>
                <w:color w:val="000000"/>
                <w:sz w:val="20"/>
              </w:rPr>
              <w:t>0,3</w:t>
            </w:r>
          </w:p>
        </w:tc>
      </w:tr>
      <w:tr w:rsidR="00CA5891" w:rsidRPr="004E74A6" w14:paraId="6A45808A" w14:textId="77777777" w:rsidTr="00B32800">
        <w:trPr>
          <w:trHeight w:val="288"/>
          <w:jc w:val="center"/>
        </w:trPr>
        <w:tc>
          <w:tcPr>
            <w:tcW w:w="2181" w:type="pct"/>
            <w:tcBorders>
              <w:top w:val="nil"/>
              <w:left w:val="nil"/>
              <w:bottom w:val="nil"/>
              <w:right w:val="single" w:sz="4" w:space="0" w:color="auto"/>
            </w:tcBorders>
            <w:shd w:val="clear" w:color="auto" w:fill="C5E0B3" w:themeFill="accent6" w:themeFillTint="66"/>
            <w:noWrap/>
            <w:vAlign w:val="bottom"/>
            <w:hideMark/>
          </w:tcPr>
          <w:p w14:paraId="2D92DFD9" w14:textId="77777777" w:rsidR="00CA5891" w:rsidRPr="004E74A6" w:rsidRDefault="00CA5891" w:rsidP="00CE62C1">
            <w:pPr>
              <w:spacing w:line="276" w:lineRule="auto"/>
              <w:ind w:firstLineChars="100" w:firstLine="200"/>
              <w:jc w:val="left"/>
              <w:rPr>
                <w:rFonts w:cs="Calibri"/>
                <w:color w:val="000000"/>
                <w:sz w:val="20"/>
                <w:lang w:eastAsia="es-CR"/>
              </w:rPr>
            </w:pPr>
            <w:r w:rsidRPr="004E74A6">
              <w:rPr>
                <w:rFonts w:cs="Calibri"/>
                <w:color w:val="000000"/>
                <w:sz w:val="20"/>
                <w:lang w:eastAsia="es-CR"/>
              </w:rPr>
              <w:t>Ordinario</w:t>
            </w:r>
          </w:p>
        </w:tc>
        <w:tc>
          <w:tcPr>
            <w:tcW w:w="652" w:type="pct"/>
            <w:tcBorders>
              <w:top w:val="nil"/>
              <w:left w:val="single" w:sz="4" w:space="0" w:color="auto"/>
              <w:bottom w:val="nil"/>
              <w:right w:val="single" w:sz="4" w:space="0" w:color="auto"/>
            </w:tcBorders>
            <w:shd w:val="clear" w:color="auto" w:fill="C5E0B3" w:themeFill="accent6" w:themeFillTint="66"/>
            <w:noWrap/>
            <w:vAlign w:val="bottom"/>
            <w:hideMark/>
          </w:tcPr>
          <w:p w14:paraId="76A24EDC" w14:textId="0DE51CB5" w:rsidR="00CA5891" w:rsidRPr="004E74A6" w:rsidRDefault="00CA5891" w:rsidP="00CE62C1">
            <w:pPr>
              <w:spacing w:line="276" w:lineRule="auto"/>
              <w:jc w:val="center"/>
              <w:rPr>
                <w:rFonts w:cs="Calibri"/>
                <w:color w:val="000000"/>
                <w:sz w:val="20"/>
                <w:lang w:eastAsia="es-CR"/>
              </w:rPr>
            </w:pPr>
            <w:r w:rsidRPr="004E74A6">
              <w:rPr>
                <w:rFonts w:cs="Calibri"/>
                <w:color w:val="000000"/>
                <w:sz w:val="20"/>
              </w:rPr>
              <w:t>194</w:t>
            </w:r>
          </w:p>
        </w:tc>
        <w:tc>
          <w:tcPr>
            <w:tcW w:w="648" w:type="pct"/>
            <w:tcBorders>
              <w:top w:val="nil"/>
              <w:left w:val="single" w:sz="4" w:space="0" w:color="auto"/>
              <w:bottom w:val="nil"/>
              <w:right w:val="single" w:sz="4" w:space="0" w:color="auto"/>
            </w:tcBorders>
            <w:shd w:val="clear" w:color="auto" w:fill="C5E0B3" w:themeFill="accent6" w:themeFillTint="66"/>
            <w:noWrap/>
            <w:vAlign w:val="bottom"/>
            <w:hideMark/>
          </w:tcPr>
          <w:p w14:paraId="4BB8559E" w14:textId="5493AA6C" w:rsidR="00CA5891" w:rsidRPr="004E74A6" w:rsidRDefault="00CA5891" w:rsidP="00CE62C1">
            <w:pPr>
              <w:spacing w:line="276" w:lineRule="auto"/>
              <w:jc w:val="center"/>
              <w:rPr>
                <w:rFonts w:cs="Calibri"/>
                <w:color w:val="000000"/>
                <w:sz w:val="20"/>
                <w:lang w:eastAsia="es-CR"/>
              </w:rPr>
            </w:pPr>
            <w:r w:rsidRPr="004E74A6">
              <w:rPr>
                <w:rFonts w:cs="Calibri"/>
                <w:color w:val="000000"/>
                <w:sz w:val="20"/>
              </w:rPr>
              <w:t>187</w:t>
            </w:r>
          </w:p>
        </w:tc>
        <w:tc>
          <w:tcPr>
            <w:tcW w:w="651" w:type="pct"/>
            <w:tcBorders>
              <w:top w:val="nil"/>
              <w:left w:val="single" w:sz="4" w:space="0" w:color="auto"/>
              <w:bottom w:val="nil"/>
              <w:right w:val="single" w:sz="4" w:space="0" w:color="auto"/>
            </w:tcBorders>
            <w:shd w:val="clear" w:color="auto" w:fill="C5E0B3" w:themeFill="accent6" w:themeFillTint="66"/>
            <w:noWrap/>
            <w:vAlign w:val="bottom"/>
            <w:hideMark/>
          </w:tcPr>
          <w:p w14:paraId="79B96670" w14:textId="09CB6264" w:rsidR="00CA5891" w:rsidRPr="004E74A6" w:rsidRDefault="00CA5891" w:rsidP="00CE62C1">
            <w:pPr>
              <w:spacing w:line="276" w:lineRule="auto"/>
              <w:jc w:val="center"/>
              <w:rPr>
                <w:rFonts w:cs="Calibri"/>
                <w:color w:val="000000"/>
                <w:sz w:val="20"/>
                <w:lang w:eastAsia="es-CR"/>
              </w:rPr>
            </w:pPr>
            <w:r w:rsidRPr="004E74A6">
              <w:rPr>
                <w:rFonts w:cs="Calibri"/>
                <w:color w:val="000000"/>
                <w:sz w:val="20"/>
              </w:rPr>
              <w:t>214</w:t>
            </w:r>
          </w:p>
        </w:tc>
        <w:tc>
          <w:tcPr>
            <w:tcW w:w="868" w:type="pct"/>
            <w:tcBorders>
              <w:top w:val="nil"/>
              <w:left w:val="single" w:sz="4" w:space="0" w:color="auto"/>
              <w:bottom w:val="nil"/>
              <w:right w:val="nil"/>
            </w:tcBorders>
            <w:shd w:val="clear" w:color="auto" w:fill="C5E0B3" w:themeFill="accent6" w:themeFillTint="66"/>
            <w:noWrap/>
            <w:vAlign w:val="bottom"/>
            <w:hideMark/>
          </w:tcPr>
          <w:p w14:paraId="589BC0EF" w14:textId="08C4F86A" w:rsidR="00CA5891" w:rsidRPr="004E74A6" w:rsidRDefault="00CA5891" w:rsidP="00CE62C1">
            <w:pPr>
              <w:spacing w:line="276" w:lineRule="auto"/>
              <w:jc w:val="center"/>
              <w:rPr>
                <w:rFonts w:cs="Calibri"/>
                <w:color w:val="000000"/>
                <w:sz w:val="20"/>
                <w:lang w:eastAsia="es-CR"/>
              </w:rPr>
            </w:pPr>
            <w:r w:rsidRPr="004E74A6">
              <w:rPr>
                <w:rFonts w:cs="Calibri"/>
                <w:color w:val="000000"/>
                <w:sz w:val="20"/>
              </w:rPr>
              <w:t>198</w:t>
            </w:r>
          </w:p>
        </w:tc>
      </w:tr>
      <w:tr w:rsidR="00CA5891" w:rsidRPr="004E74A6" w14:paraId="3941C019" w14:textId="77777777" w:rsidTr="00B32800">
        <w:trPr>
          <w:trHeight w:val="288"/>
          <w:jc w:val="center"/>
        </w:trPr>
        <w:tc>
          <w:tcPr>
            <w:tcW w:w="2181" w:type="pct"/>
            <w:tcBorders>
              <w:top w:val="nil"/>
              <w:left w:val="nil"/>
              <w:bottom w:val="nil"/>
              <w:right w:val="single" w:sz="4" w:space="0" w:color="auto"/>
            </w:tcBorders>
            <w:shd w:val="clear" w:color="auto" w:fill="auto"/>
            <w:noWrap/>
            <w:vAlign w:val="bottom"/>
            <w:hideMark/>
          </w:tcPr>
          <w:p w14:paraId="076127AC" w14:textId="77777777" w:rsidR="00CA5891" w:rsidRPr="004E74A6" w:rsidRDefault="00CA5891" w:rsidP="00CE62C1">
            <w:pPr>
              <w:spacing w:line="276" w:lineRule="auto"/>
              <w:ind w:firstLineChars="100" w:firstLine="200"/>
              <w:jc w:val="left"/>
              <w:rPr>
                <w:rFonts w:cs="Calibri"/>
                <w:color w:val="000000"/>
                <w:sz w:val="20"/>
                <w:lang w:eastAsia="es-CR"/>
              </w:rPr>
            </w:pPr>
            <w:r w:rsidRPr="004E74A6">
              <w:rPr>
                <w:rFonts w:cs="Calibri"/>
                <w:color w:val="000000"/>
                <w:sz w:val="20"/>
                <w:lang w:eastAsia="es-CR"/>
              </w:rPr>
              <w:t>Procesos De Ejecución</w:t>
            </w:r>
          </w:p>
        </w:tc>
        <w:tc>
          <w:tcPr>
            <w:tcW w:w="652" w:type="pct"/>
            <w:tcBorders>
              <w:top w:val="nil"/>
              <w:left w:val="single" w:sz="4" w:space="0" w:color="auto"/>
              <w:bottom w:val="nil"/>
              <w:right w:val="single" w:sz="4" w:space="0" w:color="auto"/>
            </w:tcBorders>
            <w:shd w:val="clear" w:color="auto" w:fill="auto"/>
            <w:noWrap/>
            <w:vAlign w:val="bottom"/>
            <w:hideMark/>
          </w:tcPr>
          <w:p w14:paraId="353B966D" w14:textId="07661A40" w:rsidR="00CA5891" w:rsidRPr="004E74A6" w:rsidRDefault="00CA5891" w:rsidP="00CE62C1">
            <w:pPr>
              <w:spacing w:line="276" w:lineRule="auto"/>
              <w:jc w:val="center"/>
              <w:rPr>
                <w:rFonts w:cs="Calibri"/>
                <w:color w:val="000000"/>
                <w:sz w:val="20"/>
                <w:lang w:eastAsia="es-CR"/>
              </w:rPr>
            </w:pPr>
            <w:r w:rsidRPr="004E74A6">
              <w:rPr>
                <w:rFonts w:cs="Calibri"/>
                <w:color w:val="000000"/>
                <w:sz w:val="20"/>
              </w:rPr>
              <w:t>8</w:t>
            </w:r>
          </w:p>
        </w:tc>
        <w:tc>
          <w:tcPr>
            <w:tcW w:w="648" w:type="pct"/>
            <w:tcBorders>
              <w:top w:val="nil"/>
              <w:left w:val="single" w:sz="4" w:space="0" w:color="auto"/>
              <w:bottom w:val="nil"/>
              <w:right w:val="single" w:sz="4" w:space="0" w:color="auto"/>
            </w:tcBorders>
            <w:shd w:val="clear" w:color="auto" w:fill="auto"/>
            <w:noWrap/>
            <w:vAlign w:val="bottom"/>
            <w:hideMark/>
          </w:tcPr>
          <w:p w14:paraId="4A069C21" w14:textId="577A5EAA" w:rsidR="00CA5891" w:rsidRPr="004E74A6" w:rsidRDefault="00CA5891" w:rsidP="00CE62C1">
            <w:pPr>
              <w:spacing w:line="276" w:lineRule="auto"/>
              <w:jc w:val="center"/>
              <w:rPr>
                <w:rFonts w:cs="Calibri"/>
                <w:color w:val="000000"/>
                <w:sz w:val="20"/>
                <w:lang w:eastAsia="es-CR"/>
              </w:rPr>
            </w:pPr>
            <w:r w:rsidRPr="004E74A6">
              <w:rPr>
                <w:rFonts w:cs="Calibri"/>
                <w:color w:val="000000"/>
                <w:sz w:val="20"/>
              </w:rPr>
              <w:t>6</w:t>
            </w:r>
          </w:p>
        </w:tc>
        <w:tc>
          <w:tcPr>
            <w:tcW w:w="651" w:type="pct"/>
            <w:tcBorders>
              <w:top w:val="nil"/>
              <w:left w:val="single" w:sz="4" w:space="0" w:color="auto"/>
              <w:bottom w:val="nil"/>
              <w:right w:val="single" w:sz="4" w:space="0" w:color="auto"/>
            </w:tcBorders>
            <w:shd w:val="clear" w:color="auto" w:fill="auto"/>
            <w:noWrap/>
            <w:vAlign w:val="bottom"/>
            <w:hideMark/>
          </w:tcPr>
          <w:p w14:paraId="7AA0713B" w14:textId="51D8A8DF" w:rsidR="00CA5891" w:rsidRPr="004E74A6" w:rsidRDefault="00CA5891" w:rsidP="00CE62C1">
            <w:pPr>
              <w:spacing w:line="276" w:lineRule="auto"/>
              <w:jc w:val="center"/>
              <w:rPr>
                <w:rFonts w:cs="Calibri"/>
                <w:color w:val="000000"/>
                <w:sz w:val="20"/>
                <w:lang w:eastAsia="es-CR"/>
              </w:rPr>
            </w:pPr>
            <w:r w:rsidRPr="004E74A6">
              <w:rPr>
                <w:rFonts w:cs="Calibri"/>
                <w:color w:val="000000"/>
                <w:sz w:val="20"/>
              </w:rPr>
              <w:t>2</w:t>
            </w:r>
          </w:p>
        </w:tc>
        <w:tc>
          <w:tcPr>
            <w:tcW w:w="868" w:type="pct"/>
            <w:tcBorders>
              <w:top w:val="nil"/>
              <w:left w:val="single" w:sz="4" w:space="0" w:color="auto"/>
              <w:bottom w:val="nil"/>
              <w:right w:val="nil"/>
            </w:tcBorders>
            <w:shd w:val="clear" w:color="auto" w:fill="auto"/>
            <w:noWrap/>
            <w:vAlign w:val="bottom"/>
            <w:hideMark/>
          </w:tcPr>
          <w:p w14:paraId="7824DD11" w14:textId="6B4BB56E" w:rsidR="00CA5891" w:rsidRPr="004E74A6" w:rsidRDefault="00CA5891" w:rsidP="00CE62C1">
            <w:pPr>
              <w:spacing w:line="276" w:lineRule="auto"/>
              <w:jc w:val="center"/>
              <w:rPr>
                <w:rFonts w:cs="Calibri"/>
                <w:color w:val="000000"/>
                <w:sz w:val="20"/>
                <w:lang w:eastAsia="es-CR"/>
              </w:rPr>
            </w:pPr>
            <w:r w:rsidRPr="004E74A6">
              <w:rPr>
                <w:rFonts w:cs="Calibri"/>
                <w:color w:val="000000"/>
                <w:sz w:val="20"/>
              </w:rPr>
              <w:t>5,3</w:t>
            </w:r>
          </w:p>
        </w:tc>
      </w:tr>
      <w:tr w:rsidR="00CA5891" w:rsidRPr="004E74A6" w14:paraId="2565C5D6" w14:textId="77777777" w:rsidTr="00B32800">
        <w:trPr>
          <w:trHeight w:val="288"/>
          <w:jc w:val="center"/>
        </w:trPr>
        <w:tc>
          <w:tcPr>
            <w:tcW w:w="2181" w:type="pct"/>
            <w:tcBorders>
              <w:top w:val="nil"/>
              <w:left w:val="nil"/>
              <w:bottom w:val="nil"/>
              <w:right w:val="single" w:sz="4" w:space="0" w:color="auto"/>
            </w:tcBorders>
            <w:shd w:val="clear" w:color="auto" w:fill="auto"/>
            <w:noWrap/>
            <w:vAlign w:val="bottom"/>
            <w:hideMark/>
          </w:tcPr>
          <w:p w14:paraId="2A7360B7" w14:textId="77777777" w:rsidR="00CA5891" w:rsidRPr="004E74A6" w:rsidRDefault="00CA5891" w:rsidP="00CE62C1">
            <w:pPr>
              <w:spacing w:line="276" w:lineRule="auto"/>
              <w:ind w:firstLineChars="100" w:firstLine="200"/>
              <w:jc w:val="left"/>
              <w:rPr>
                <w:rFonts w:cs="Calibri"/>
                <w:color w:val="000000"/>
                <w:sz w:val="20"/>
                <w:lang w:eastAsia="es-CR"/>
              </w:rPr>
            </w:pPr>
            <w:r w:rsidRPr="004E74A6">
              <w:rPr>
                <w:rFonts w:cs="Calibri"/>
                <w:color w:val="000000"/>
                <w:sz w:val="20"/>
                <w:lang w:eastAsia="es-CR"/>
              </w:rPr>
              <w:t>Procesos Otras Materias</w:t>
            </w:r>
          </w:p>
        </w:tc>
        <w:tc>
          <w:tcPr>
            <w:tcW w:w="652" w:type="pct"/>
            <w:tcBorders>
              <w:top w:val="nil"/>
              <w:left w:val="single" w:sz="4" w:space="0" w:color="auto"/>
              <w:bottom w:val="nil"/>
              <w:right w:val="single" w:sz="4" w:space="0" w:color="auto"/>
            </w:tcBorders>
            <w:shd w:val="clear" w:color="auto" w:fill="auto"/>
            <w:noWrap/>
            <w:vAlign w:val="bottom"/>
            <w:hideMark/>
          </w:tcPr>
          <w:p w14:paraId="275219F5" w14:textId="00B3E37F" w:rsidR="00CA5891" w:rsidRPr="004E74A6" w:rsidRDefault="00CA5891" w:rsidP="00CE62C1">
            <w:pPr>
              <w:spacing w:line="276" w:lineRule="auto"/>
              <w:jc w:val="center"/>
              <w:rPr>
                <w:rFonts w:cs="Calibri"/>
                <w:color w:val="000000"/>
                <w:sz w:val="20"/>
                <w:lang w:eastAsia="es-CR"/>
              </w:rPr>
            </w:pPr>
            <w:r w:rsidRPr="004E74A6">
              <w:rPr>
                <w:rFonts w:cs="Calibri"/>
                <w:color w:val="000000"/>
                <w:sz w:val="20"/>
              </w:rPr>
              <w:t>9</w:t>
            </w:r>
          </w:p>
        </w:tc>
        <w:tc>
          <w:tcPr>
            <w:tcW w:w="648" w:type="pct"/>
            <w:tcBorders>
              <w:top w:val="nil"/>
              <w:left w:val="single" w:sz="4" w:space="0" w:color="auto"/>
              <w:bottom w:val="nil"/>
              <w:right w:val="single" w:sz="4" w:space="0" w:color="auto"/>
            </w:tcBorders>
            <w:shd w:val="clear" w:color="auto" w:fill="auto"/>
            <w:noWrap/>
            <w:vAlign w:val="bottom"/>
            <w:hideMark/>
          </w:tcPr>
          <w:p w14:paraId="13BA9ECD" w14:textId="62503914" w:rsidR="00CA5891" w:rsidRPr="004E74A6" w:rsidRDefault="00CA5891" w:rsidP="00CE62C1">
            <w:pPr>
              <w:spacing w:line="276" w:lineRule="auto"/>
              <w:jc w:val="center"/>
              <w:rPr>
                <w:rFonts w:cs="Calibri"/>
                <w:color w:val="000000"/>
                <w:sz w:val="20"/>
                <w:lang w:eastAsia="es-CR"/>
              </w:rPr>
            </w:pPr>
            <w:r w:rsidRPr="004E74A6">
              <w:rPr>
                <w:rFonts w:cs="Calibri"/>
                <w:color w:val="000000"/>
                <w:sz w:val="20"/>
              </w:rPr>
              <w:t>8</w:t>
            </w:r>
          </w:p>
        </w:tc>
        <w:tc>
          <w:tcPr>
            <w:tcW w:w="651" w:type="pct"/>
            <w:tcBorders>
              <w:top w:val="nil"/>
              <w:left w:val="single" w:sz="4" w:space="0" w:color="auto"/>
              <w:bottom w:val="nil"/>
              <w:right w:val="single" w:sz="4" w:space="0" w:color="auto"/>
            </w:tcBorders>
            <w:shd w:val="clear" w:color="auto" w:fill="auto"/>
            <w:noWrap/>
            <w:vAlign w:val="bottom"/>
            <w:hideMark/>
          </w:tcPr>
          <w:p w14:paraId="796AED4B" w14:textId="411DE9B3" w:rsidR="00CA5891" w:rsidRPr="004E74A6" w:rsidRDefault="00CA5891" w:rsidP="00CE62C1">
            <w:pPr>
              <w:spacing w:line="276" w:lineRule="auto"/>
              <w:jc w:val="center"/>
              <w:rPr>
                <w:rFonts w:cs="Calibri"/>
                <w:color w:val="000000"/>
                <w:sz w:val="20"/>
                <w:lang w:eastAsia="es-CR"/>
              </w:rPr>
            </w:pPr>
            <w:r w:rsidRPr="004E74A6">
              <w:rPr>
                <w:rFonts w:cs="Calibri"/>
                <w:color w:val="000000"/>
                <w:sz w:val="20"/>
              </w:rPr>
              <w:t>3</w:t>
            </w:r>
          </w:p>
        </w:tc>
        <w:tc>
          <w:tcPr>
            <w:tcW w:w="868" w:type="pct"/>
            <w:tcBorders>
              <w:top w:val="nil"/>
              <w:left w:val="single" w:sz="4" w:space="0" w:color="auto"/>
              <w:bottom w:val="nil"/>
              <w:right w:val="nil"/>
            </w:tcBorders>
            <w:shd w:val="clear" w:color="auto" w:fill="auto"/>
            <w:noWrap/>
            <w:vAlign w:val="bottom"/>
            <w:hideMark/>
          </w:tcPr>
          <w:p w14:paraId="161E59C0" w14:textId="683EC7B7" w:rsidR="00CA5891" w:rsidRPr="004E74A6" w:rsidRDefault="00CA5891" w:rsidP="00CE62C1">
            <w:pPr>
              <w:spacing w:line="276" w:lineRule="auto"/>
              <w:jc w:val="center"/>
              <w:rPr>
                <w:rFonts w:cs="Calibri"/>
                <w:color w:val="000000"/>
                <w:sz w:val="20"/>
                <w:lang w:eastAsia="es-CR"/>
              </w:rPr>
            </w:pPr>
            <w:r w:rsidRPr="004E74A6">
              <w:rPr>
                <w:rFonts w:cs="Calibri"/>
                <w:color w:val="000000"/>
                <w:sz w:val="20"/>
              </w:rPr>
              <w:t>6,7</w:t>
            </w:r>
          </w:p>
        </w:tc>
      </w:tr>
      <w:tr w:rsidR="00CA5891" w:rsidRPr="004E74A6" w14:paraId="0D613A9D" w14:textId="77777777" w:rsidTr="00B32800">
        <w:trPr>
          <w:trHeight w:val="288"/>
          <w:jc w:val="center"/>
        </w:trPr>
        <w:tc>
          <w:tcPr>
            <w:tcW w:w="2181" w:type="pct"/>
            <w:tcBorders>
              <w:top w:val="nil"/>
              <w:left w:val="nil"/>
              <w:bottom w:val="nil"/>
              <w:right w:val="single" w:sz="4" w:space="0" w:color="auto"/>
            </w:tcBorders>
            <w:shd w:val="clear" w:color="auto" w:fill="auto"/>
            <w:noWrap/>
            <w:vAlign w:val="bottom"/>
            <w:hideMark/>
          </w:tcPr>
          <w:p w14:paraId="4C63673A" w14:textId="77777777" w:rsidR="00CA5891" w:rsidRPr="004E74A6" w:rsidRDefault="00CA5891" w:rsidP="00CE62C1">
            <w:pPr>
              <w:spacing w:line="276" w:lineRule="auto"/>
              <w:ind w:firstLineChars="100" w:firstLine="200"/>
              <w:jc w:val="left"/>
              <w:rPr>
                <w:rFonts w:cs="Calibri"/>
                <w:color w:val="000000"/>
                <w:sz w:val="20"/>
                <w:lang w:eastAsia="es-CR"/>
              </w:rPr>
            </w:pPr>
            <w:r w:rsidRPr="004E74A6">
              <w:rPr>
                <w:rFonts w:cs="Calibri"/>
                <w:color w:val="000000"/>
                <w:sz w:val="20"/>
                <w:lang w:eastAsia="es-CR"/>
              </w:rPr>
              <w:t>Prueba Anticipada</w:t>
            </w:r>
          </w:p>
        </w:tc>
        <w:tc>
          <w:tcPr>
            <w:tcW w:w="652" w:type="pct"/>
            <w:tcBorders>
              <w:top w:val="nil"/>
              <w:left w:val="single" w:sz="4" w:space="0" w:color="auto"/>
              <w:bottom w:val="nil"/>
              <w:right w:val="single" w:sz="4" w:space="0" w:color="auto"/>
            </w:tcBorders>
            <w:shd w:val="clear" w:color="auto" w:fill="auto"/>
            <w:noWrap/>
            <w:vAlign w:val="bottom"/>
            <w:hideMark/>
          </w:tcPr>
          <w:p w14:paraId="1C7BF6A9" w14:textId="22029E0B" w:rsidR="00CA5891" w:rsidRPr="004E74A6" w:rsidRDefault="00CA5891" w:rsidP="00CE62C1">
            <w:pPr>
              <w:spacing w:line="276" w:lineRule="auto"/>
              <w:jc w:val="center"/>
              <w:rPr>
                <w:rFonts w:cs="Calibri"/>
                <w:color w:val="000000"/>
                <w:sz w:val="20"/>
                <w:lang w:eastAsia="es-CR"/>
              </w:rPr>
            </w:pPr>
            <w:r w:rsidRPr="004E74A6">
              <w:rPr>
                <w:rFonts w:cs="Calibri"/>
                <w:color w:val="000000"/>
                <w:sz w:val="20"/>
              </w:rPr>
              <w:t>16</w:t>
            </w:r>
          </w:p>
        </w:tc>
        <w:tc>
          <w:tcPr>
            <w:tcW w:w="648" w:type="pct"/>
            <w:tcBorders>
              <w:top w:val="nil"/>
              <w:left w:val="single" w:sz="4" w:space="0" w:color="auto"/>
              <w:bottom w:val="nil"/>
              <w:right w:val="single" w:sz="4" w:space="0" w:color="auto"/>
            </w:tcBorders>
            <w:shd w:val="clear" w:color="auto" w:fill="auto"/>
            <w:noWrap/>
            <w:vAlign w:val="bottom"/>
            <w:hideMark/>
          </w:tcPr>
          <w:p w14:paraId="5AB27C06" w14:textId="1994E4B6" w:rsidR="00CA5891" w:rsidRPr="004E74A6" w:rsidRDefault="00CA5891" w:rsidP="00CE62C1">
            <w:pPr>
              <w:spacing w:line="276" w:lineRule="auto"/>
              <w:jc w:val="center"/>
              <w:rPr>
                <w:rFonts w:cs="Calibri"/>
                <w:color w:val="000000"/>
                <w:sz w:val="20"/>
                <w:lang w:eastAsia="es-CR"/>
              </w:rPr>
            </w:pPr>
            <w:r w:rsidRPr="004E74A6">
              <w:rPr>
                <w:rFonts w:cs="Calibri"/>
                <w:color w:val="000000"/>
                <w:sz w:val="20"/>
              </w:rPr>
              <w:t>13</w:t>
            </w:r>
          </w:p>
        </w:tc>
        <w:tc>
          <w:tcPr>
            <w:tcW w:w="651" w:type="pct"/>
            <w:tcBorders>
              <w:top w:val="nil"/>
              <w:left w:val="single" w:sz="4" w:space="0" w:color="auto"/>
              <w:bottom w:val="nil"/>
              <w:right w:val="single" w:sz="4" w:space="0" w:color="auto"/>
            </w:tcBorders>
            <w:shd w:val="clear" w:color="auto" w:fill="auto"/>
            <w:noWrap/>
            <w:vAlign w:val="bottom"/>
            <w:hideMark/>
          </w:tcPr>
          <w:p w14:paraId="0C4CC8BA" w14:textId="08DC6F3C" w:rsidR="00CA5891" w:rsidRPr="004E74A6" w:rsidRDefault="00CA5891" w:rsidP="00CE62C1">
            <w:pPr>
              <w:spacing w:line="276" w:lineRule="auto"/>
              <w:jc w:val="center"/>
              <w:rPr>
                <w:rFonts w:cs="Calibri"/>
                <w:color w:val="000000"/>
                <w:sz w:val="20"/>
                <w:lang w:eastAsia="es-CR"/>
              </w:rPr>
            </w:pPr>
            <w:r w:rsidRPr="004E74A6">
              <w:rPr>
                <w:rFonts w:cs="Calibri"/>
                <w:color w:val="000000"/>
                <w:sz w:val="20"/>
              </w:rPr>
              <w:t>7</w:t>
            </w:r>
          </w:p>
        </w:tc>
        <w:tc>
          <w:tcPr>
            <w:tcW w:w="868" w:type="pct"/>
            <w:tcBorders>
              <w:top w:val="nil"/>
              <w:left w:val="single" w:sz="4" w:space="0" w:color="auto"/>
              <w:bottom w:val="nil"/>
              <w:right w:val="nil"/>
            </w:tcBorders>
            <w:shd w:val="clear" w:color="auto" w:fill="auto"/>
            <w:noWrap/>
            <w:vAlign w:val="bottom"/>
            <w:hideMark/>
          </w:tcPr>
          <w:p w14:paraId="78BD332D" w14:textId="2F6A0391" w:rsidR="00CA5891" w:rsidRPr="004E74A6" w:rsidRDefault="00CA5891" w:rsidP="00CE62C1">
            <w:pPr>
              <w:spacing w:line="276" w:lineRule="auto"/>
              <w:jc w:val="center"/>
              <w:rPr>
                <w:rFonts w:cs="Calibri"/>
                <w:color w:val="000000"/>
                <w:sz w:val="20"/>
                <w:lang w:eastAsia="es-CR"/>
              </w:rPr>
            </w:pPr>
            <w:r w:rsidRPr="004E74A6">
              <w:rPr>
                <w:rFonts w:cs="Calibri"/>
                <w:color w:val="000000"/>
                <w:sz w:val="20"/>
              </w:rPr>
              <w:t>12,0</w:t>
            </w:r>
          </w:p>
        </w:tc>
      </w:tr>
      <w:tr w:rsidR="00CA5891" w:rsidRPr="004E74A6" w14:paraId="17A70F60" w14:textId="77777777" w:rsidTr="00B32800">
        <w:trPr>
          <w:trHeight w:val="288"/>
          <w:jc w:val="center"/>
        </w:trPr>
        <w:tc>
          <w:tcPr>
            <w:tcW w:w="2181" w:type="pct"/>
            <w:tcBorders>
              <w:top w:val="nil"/>
              <w:left w:val="nil"/>
              <w:bottom w:val="nil"/>
              <w:right w:val="single" w:sz="4" w:space="0" w:color="auto"/>
            </w:tcBorders>
            <w:shd w:val="clear" w:color="auto" w:fill="auto"/>
            <w:noWrap/>
            <w:vAlign w:val="bottom"/>
            <w:hideMark/>
          </w:tcPr>
          <w:p w14:paraId="661256D9" w14:textId="77777777" w:rsidR="00CA5891" w:rsidRPr="004E74A6" w:rsidRDefault="00CA5891" w:rsidP="00CE62C1">
            <w:pPr>
              <w:spacing w:line="276" w:lineRule="auto"/>
              <w:ind w:firstLineChars="100" w:firstLine="200"/>
              <w:jc w:val="left"/>
              <w:rPr>
                <w:rFonts w:cs="Calibri"/>
                <w:color w:val="000000"/>
                <w:sz w:val="20"/>
                <w:lang w:eastAsia="es-CR"/>
              </w:rPr>
            </w:pPr>
            <w:r w:rsidRPr="004E74A6">
              <w:rPr>
                <w:rFonts w:cs="Calibri"/>
                <w:color w:val="000000"/>
                <w:sz w:val="20"/>
                <w:lang w:eastAsia="es-CR"/>
              </w:rPr>
              <w:t>Sucesorio</w:t>
            </w:r>
          </w:p>
        </w:tc>
        <w:tc>
          <w:tcPr>
            <w:tcW w:w="652" w:type="pct"/>
            <w:tcBorders>
              <w:top w:val="nil"/>
              <w:left w:val="single" w:sz="4" w:space="0" w:color="auto"/>
              <w:bottom w:val="nil"/>
              <w:right w:val="single" w:sz="4" w:space="0" w:color="auto"/>
            </w:tcBorders>
            <w:shd w:val="clear" w:color="auto" w:fill="auto"/>
            <w:noWrap/>
            <w:vAlign w:val="bottom"/>
            <w:hideMark/>
          </w:tcPr>
          <w:p w14:paraId="689ABD6A" w14:textId="5372D834" w:rsidR="00CA5891" w:rsidRPr="004E74A6" w:rsidRDefault="00CA5891" w:rsidP="00CE62C1">
            <w:pPr>
              <w:spacing w:line="276" w:lineRule="auto"/>
              <w:jc w:val="center"/>
              <w:rPr>
                <w:rFonts w:cs="Calibri"/>
                <w:color w:val="000000"/>
                <w:sz w:val="20"/>
                <w:lang w:eastAsia="es-CR"/>
              </w:rPr>
            </w:pPr>
            <w:r w:rsidRPr="004E74A6">
              <w:rPr>
                <w:rFonts w:cs="Calibri"/>
                <w:color w:val="000000"/>
                <w:sz w:val="20"/>
              </w:rPr>
              <w:t>1</w:t>
            </w:r>
          </w:p>
        </w:tc>
        <w:tc>
          <w:tcPr>
            <w:tcW w:w="648" w:type="pct"/>
            <w:tcBorders>
              <w:top w:val="nil"/>
              <w:left w:val="single" w:sz="4" w:space="0" w:color="auto"/>
              <w:bottom w:val="nil"/>
              <w:right w:val="single" w:sz="4" w:space="0" w:color="auto"/>
            </w:tcBorders>
            <w:shd w:val="clear" w:color="auto" w:fill="auto"/>
            <w:noWrap/>
            <w:vAlign w:val="bottom"/>
            <w:hideMark/>
          </w:tcPr>
          <w:p w14:paraId="13616BA5" w14:textId="7A19B2CA" w:rsidR="00CA5891" w:rsidRPr="004E74A6" w:rsidRDefault="00CA5891" w:rsidP="00CE62C1">
            <w:pPr>
              <w:spacing w:line="276" w:lineRule="auto"/>
              <w:jc w:val="center"/>
              <w:rPr>
                <w:rFonts w:cs="Calibri"/>
                <w:color w:val="000000"/>
                <w:sz w:val="20"/>
                <w:lang w:eastAsia="es-CR"/>
              </w:rPr>
            </w:pPr>
            <w:r w:rsidRPr="004E74A6">
              <w:rPr>
                <w:rFonts w:cs="Calibri"/>
                <w:color w:val="000000"/>
                <w:sz w:val="20"/>
              </w:rPr>
              <w:t>2</w:t>
            </w:r>
          </w:p>
        </w:tc>
        <w:tc>
          <w:tcPr>
            <w:tcW w:w="651" w:type="pct"/>
            <w:tcBorders>
              <w:top w:val="nil"/>
              <w:left w:val="single" w:sz="4" w:space="0" w:color="auto"/>
              <w:bottom w:val="nil"/>
              <w:right w:val="single" w:sz="4" w:space="0" w:color="auto"/>
            </w:tcBorders>
            <w:shd w:val="clear" w:color="auto" w:fill="auto"/>
            <w:noWrap/>
            <w:vAlign w:val="bottom"/>
            <w:hideMark/>
          </w:tcPr>
          <w:p w14:paraId="1B6B4E25" w14:textId="0AD29DB1" w:rsidR="00CA5891" w:rsidRPr="004E74A6" w:rsidRDefault="00CA5891" w:rsidP="00CE62C1">
            <w:pPr>
              <w:spacing w:line="276" w:lineRule="auto"/>
              <w:jc w:val="center"/>
              <w:rPr>
                <w:rFonts w:cs="Calibri"/>
                <w:color w:val="000000"/>
                <w:sz w:val="20"/>
                <w:lang w:eastAsia="es-CR"/>
              </w:rPr>
            </w:pPr>
            <w:r w:rsidRPr="004E74A6">
              <w:rPr>
                <w:rFonts w:cs="Calibri"/>
                <w:color w:val="000000"/>
                <w:sz w:val="20"/>
              </w:rPr>
              <w:t>2</w:t>
            </w:r>
          </w:p>
        </w:tc>
        <w:tc>
          <w:tcPr>
            <w:tcW w:w="868" w:type="pct"/>
            <w:tcBorders>
              <w:top w:val="nil"/>
              <w:left w:val="single" w:sz="4" w:space="0" w:color="auto"/>
              <w:bottom w:val="nil"/>
              <w:right w:val="nil"/>
            </w:tcBorders>
            <w:shd w:val="clear" w:color="auto" w:fill="auto"/>
            <w:noWrap/>
            <w:vAlign w:val="bottom"/>
            <w:hideMark/>
          </w:tcPr>
          <w:p w14:paraId="7EA19391" w14:textId="6A7745DA" w:rsidR="00CA5891" w:rsidRPr="004E74A6" w:rsidRDefault="00CA5891" w:rsidP="00CE62C1">
            <w:pPr>
              <w:spacing w:line="276" w:lineRule="auto"/>
              <w:jc w:val="center"/>
              <w:rPr>
                <w:rFonts w:cs="Calibri"/>
                <w:color w:val="000000"/>
                <w:sz w:val="20"/>
                <w:lang w:eastAsia="es-CR"/>
              </w:rPr>
            </w:pPr>
            <w:r w:rsidRPr="004E74A6">
              <w:rPr>
                <w:rFonts w:cs="Calibri"/>
                <w:color w:val="000000"/>
                <w:sz w:val="20"/>
              </w:rPr>
              <w:t>2</w:t>
            </w:r>
          </w:p>
        </w:tc>
      </w:tr>
      <w:tr w:rsidR="00CA5891" w:rsidRPr="004E74A6" w14:paraId="72246178" w14:textId="77777777" w:rsidTr="00B32800">
        <w:trPr>
          <w:trHeight w:val="288"/>
          <w:jc w:val="center"/>
        </w:trPr>
        <w:tc>
          <w:tcPr>
            <w:tcW w:w="2181" w:type="pct"/>
            <w:tcBorders>
              <w:top w:val="nil"/>
              <w:left w:val="nil"/>
              <w:right w:val="single" w:sz="4" w:space="0" w:color="auto"/>
            </w:tcBorders>
            <w:shd w:val="clear" w:color="auto" w:fill="auto"/>
            <w:noWrap/>
            <w:vAlign w:val="bottom"/>
            <w:hideMark/>
          </w:tcPr>
          <w:p w14:paraId="7F05865A" w14:textId="77777777" w:rsidR="00CA5891" w:rsidRPr="004E74A6" w:rsidRDefault="00CA5891" w:rsidP="00CE62C1">
            <w:pPr>
              <w:spacing w:line="276" w:lineRule="auto"/>
              <w:ind w:firstLineChars="100" w:firstLine="200"/>
              <w:jc w:val="left"/>
              <w:rPr>
                <w:rFonts w:cs="Calibri"/>
                <w:color w:val="000000"/>
                <w:sz w:val="20"/>
                <w:lang w:eastAsia="es-CR"/>
              </w:rPr>
            </w:pPr>
            <w:r w:rsidRPr="004E74A6">
              <w:rPr>
                <w:rFonts w:cs="Calibri"/>
                <w:color w:val="000000"/>
                <w:sz w:val="20"/>
                <w:lang w:eastAsia="es-CR"/>
              </w:rPr>
              <w:t>Sumario</w:t>
            </w:r>
          </w:p>
        </w:tc>
        <w:tc>
          <w:tcPr>
            <w:tcW w:w="652" w:type="pct"/>
            <w:tcBorders>
              <w:top w:val="nil"/>
              <w:left w:val="single" w:sz="4" w:space="0" w:color="auto"/>
              <w:right w:val="single" w:sz="4" w:space="0" w:color="auto"/>
            </w:tcBorders>
            <w:shd w:val="clear" w:color="auto" w:fill="auto"/>
            <w:noWrap/>
            <w:vAlign w:val="bottom"/>
            <w:hideMark/>
          </w:tcPr>
          <w:p w14:paraId="1200188B" w14:textId="6007E51E" w:rsidR="00CA5891" w:rsidRPr="004E74A6" w:rsidRDefault="00CA5891" w:rsidP="00CE62C1">
            <w:pPr>
              <w:spacing w:line="276" w:lineRule="auto"/>
              <w:jc w:val="center"/>
              <w:rPr>
                <w:rFonts w:cs="Calibri"/>
                <w:color w:val="000000"/>
                <w:sz w:val="20"/>
                <w:lang w:eastAsia="es-CR"/>
              </w:rPr>
            </w:pPr>
            <w:r w:rsidRPr="004E74A6">
              <w:rPr>
                <w:rFonts w:cs="Calibri"/>
                <w:color w:val="000000"/>
                <w:sz w:val="20"/>
              </w:rPr>
              <w:t>2</w:t>
            </w:r>
          </w:p>
        </w:tc>
        <w:tc>
          <w:tcPr>
            <w:tcW w:w="648" w:type="pct"/>
            <w:tcBorders>
              <w:top w:val="nil"/>
              <w:left w:val="single" w:sz="4" w:space="0" w:color="auto"/>
              <w:right w:val="single" w:sz="4" w:space="0" w:color="auto"/>
            </w:tcBorders>
            <w:shd w:val="clear" w:color="auto" w:fill="auto"/>
            <w:noWrap/>
            <w:vAlign w:val="bottom"/>
            <w:hideMark/>
          </w:tcPr>
          <w:p w14:paraId="28BA4B10" w14:textId="1A22D9D1" w:rsidR="00CA5891" w:rsidRPr="004E74A6" w:rsidRDefault="00CA5891" w:rsidP="00CE62C1">
            <w:pPr>
              <w:spacing w:line="276" w:lineRule="auto"/>
              <w:jc w:val="center"/>
              <w:rPr>
                <w:rFonts w:cs="Calibri"/>
                <w:color w:val="000000"/>
                <w:sz w:val="20"/>
                <w:lang w:eastAsia="es-CR"/>
              </w:rPr>
            </w:pPr>
            <w:r w:rsidRPr="004E74A6">
              <w:rPr>
                <w:rFonts w:cs="Calibri"/>
                <w:color w:val="000000"/>
                <w:sz w:val="20"/>
              </w:rPr>
              <w:t>1</w:t>
            </w:r>
          </w:p>
        </w:tc>
        <w:tc>
          <w:tcPr>
            <w:tcW w:w="651" w:type="pct"/>
            <w:tcBorders>
              <w:top w:val="nil"/>
              <w:left w:val="single" w:sz="4" w:space="0" w:color="auto"/>
              <w:right w:val="single" w:sz="4" w:space="0" w:color="auto"/>
            </w:tcBorders>
            <w:shd w:val="clear" w:color="auto" w:fill="auto"/>
            <w:noWrap/>
            <w:vAlign w:val="bottom"/>
            <w:hideMark/>
          </w:tcPr>
          <w:p w14:paraId="0DDE71FE" w14:textId="29F92CA0" w:rsidR="00CA5891" w:rsidRPr="004E74A6" w:rsidRDefault="00CA5891" w:rsidP="00CE62C1">
            <w:pPr>
              <w:spacing w:line="276" w:lineRule="auto"/>
              <w:jc w:val="center"/>
              <w:rPr>
                <w:rFonts w:cs="Calibri"/>
                <w:color w:val="000000"/>
                <w:sz w:val="20"/>
                <w:lang w:eastAsia="es-CR"/>
              </w:rPr>
            </w:pPr>
            <w:r w:rsidRPr="004E74A6">
              <w:rPr>
                <w:rFonts w:cs="Calibri"/>
                <w:color w:val="000000"/>
                <w:sz w:val="20"/>
              </w:rPr>
              <w:t>2</w:t>
            </w:r>
          </w:p>
        </w:tc>
        <w:tc>
          <w:tcPr>
            <w:tcW w:w="868" w:type="pct"/>
            <w:tcBorders>
              <w:top w:val="nil"/>
              <w:left w:val="single" w:sz="4" w:space="0" w:color="auto"/>
              <w:right w:val="nil"/>
            </w:tcBorders>
            <w:shd w:val="clear" w:color="auto" w:fill="auto"/>
            <w:noWrap/>
            <w:vAlign w:val="bottom"/>
            <w:hideMark/>
          </w:tcPr>
          <w:p w14:paraId="29C7D433" w14:textId="2AD0A1C0" w:rsidR="00CA5891" w:rsidRPr="004E74A6" w:rsidRDefault="00CA5891" w:rsidP="00CE62C1">
            <w:pPr>
              <w:spacing w:line="276" w:lineRule="auto"/>
              <w:jc w:val="center"/>
              <w:rPr>
                <w:rFonts w:cs="Calibri"/>
                <w:color w:val="000000"/>
                <w:sz w:val="20"/>
                <w:lang w:eastAsia="es-CR"/>
              </w:rPr>
            </w:pPr>
            <w:r w:rsidRPr="004E74A6">
              <w:rPr>
                <w:rFonts w:cs="Calibri"/>
                <w:color w:val="000000"/>
                <w:sz w:val="20"/>
              </w:rPr>
              <w:t>1,7</w:t>
            </w:r>
          </w:p>
        </w:tc>
      </w:tr>
      <w:tr w:rsidR="00032A6A" w:rsidRPr="004E74A6" w14:paraId="177DC731" w14:textId="77777777" w:rsidTr="00032A6A">
        <w:trPr>
          <w:trHeight w:val="288"/>
          <w:jc w:val="center"/>
        </w:trPr>
        <w:tc>
          <w:tcPr>
            <w:tcW w:w="2181" w:type="pct"/>
            <w:tcBorders>
              <w:top w:val="nil"/>
              <w:left w:val="nil"/>
              <w:bottom w:val="single" w:sz="4" w:space="0" w:color="auto"/>
              <w:right w:val="single" w:sz="4" w:space="0" w:color="auto"/>
            </w:tcBorders>
            <w:shd w:val="clear" w:color="auto" w:fill="auto"/>
            <w:noWrap/>
            <w:vAlign w:val="bottom"/>
          </w:tcPr>
          <w:p w14:paraId="78BC3A97" w14:textId="77777777" w:rsidR="008647ED" w:rsidRPr="004E74A6" w:rsidRDefault="008647ED" w:rsidP="00CE62C1">
            <w:pPr>
              <w:spacing w:line="276" w:lineRule="auto"/>
              <w:ind w:firstLineChars="100" w:firstLine="200"/>
              <w:jc w:val="left"/>
              <w:rPr>
                <w:rFonts w:cs="Calibri"/>
                <w:color w:val="000000"/>
                <w:sz w:val="20"/>
                <w:lang w:eastAsia="es-CR"/>
              </w:rPr>
            </w:pPr>
          </w:p>
        </w:tc>
        <w:tc>
          <w:tcPr>
            <w:tcW w:w="652" w:type="pct"/>
            <w:tcBorders>
              <w:top w:val="nil"/>
              <w:left w:val="single" w:sz="4" w:space="0" w:color="auto"/>
              <w:bottom w:val="single" w:sz="4" w:space="0" w:color="auto"/>
              <w:right w:val="single" w:sz="4" w:space="0" w:color="auto"/>
            </w:tcBorders>
            <w:shd w:val="clear" w:color="auto" w:fill="auto"/>
            <w:noWrap/>
            <w:vAlign w:val="center"/>
          </w:tcPr>
          <w:p w14:paraId="6820B8C0" w14:textId="77777777" w:rsidR="008647ED" w:rsidRPr="004E74A6" w:rsidRDefault="008647ED" w:rsidP="00CE62C1">
            <w:pPr>
              <w:spacing w:line="276" w:lineRule="auto"/>
              <w:jc w:val="center"/>
              <w:rPr>
                <w:rFonts w:cs="Calibri"/>
                <w:color w:val="000000"/>
                <w:sz w:val="20"/>
                <w:lang w:eastAsia="es-CR"/>
              </w:rPr>
            </w:pPr>
          </w:p>
        </w:tc>
        <w:tc>
          <w:tcPr>
            <w:tcW w:w="648" w:type="pct"/>
            <w:tcBorders>
              <w:top w:val="nil"/>
              <w:left w:val="single" w:sz="4" w:space="0" w:color="auto"/>
              <w:bottom w:val="single" w:sz="4" w:space="0" w:color="auto"/>
              <w:right w:val="single" w:sz="4" w:space="0" w:color="auto"/>
            </w:tcBorders>
            <w:shd w:val="clear" w:color="auto" w:fill="auto"/>
            <w:noWrap/>
            <w:vAlign w:val="center"/>
          </w:tcPr>
          <w:p w14:paraId="4A5C8E5E" w14:textId="77777777" w:rsidR="008647ED" w:rsidRPr="004E74A6" w:rsidRDefault="008647ED" w:rsidP="00CE62C1">
            <w:pPr>
              <w:spacing w:line="276" w:lineRule="auto"/>
              <w:jc w:val="center"/>
              <w:rPr>
                <w:rFonts w:cs="Calibri"/>
                <w:color w:val="000000"/>
                <w:sz w:val="20"/>
                <w:lang w:eastAsia="es-CR"/>
              </w:rPr>
            </w:pPr>
          </w:p>
        </w:tc>
        <w:tc>
          <w:tcPr>
            <w:tcW w:w="651" w:type="pct"/>
            <w:tcBorders>
              <w:top w:val="nil"/>
              <w:left w:val="single" w:sz="4" w:space="0" w:color="auto"/>
              <w:bottom w:val="single" w:sz="4" w:space="0" w:color="auto"/>
              <w:right w:val="single" w:sz="4" w:space="0" w:color="auto"/>
            </w:tcBorders>
            <w:shd w:val="clear" w:color="auto" w:fill="auto"/>
            <w:noWrap/>
            <w:vAlign w:val="center"/>
          </w:tcPr>
          <w:p w14:paraId="5BCE8636" w14:textId="77777777" w:rsidR="008647ED" w:rsidRPr="004E74A6" w:rsidRDefault="008647ED" w:rsidP="00CE62C1">
            <w:pPr>
              <w:spacing w:line="276" w:lineRule="auto"/>
              <w:jc w:val="center"/>
              <w:rPr>
                <w:rFonts w:cs="Calibri"/>
                <w:color w:val="000000"/>
                <w:sz w:val="20"/>
                <w:lang w:eastAsia="es-CR"/>
              </w:rPr>
            </w:pPr>
          </w:p>
        </w:tc>
        <w:tc>
          <w:tcPr>
            <w:tcW w:w="868" w:type="pct"/>
            <w:tcBorders>
              <w:top w:val="nil"/>
              <w:left w:val="single" w:sz="4" w:space="0" w:color="auto"/>
              <w:bottom w:val="single" w:sz="4" w:space="0" w:color="auto"/>
              <w:right w:val="nil"/>
            </w:tcBorders>
            <w:shd w:val="clear" w:color="auto" w:fill="auto"/>
            <w:noWrap/>
            <w:vAlign w:val="center"/>
          </w:tcPr>
          <w:p w14:paraId="1CFFAC32" w14:textId="77777777" w:rsidR="008647ED" w:rsidRPr="004E74A6" w:rsidRDefault="008647ED" w:rsidP="00CE62C1">
            <w:pPr>
              <w:spacing w:line="276" w:lineRule="auto"/>
              <w:jc w:val="center"/>
              <w:rPr>
                <w:rFonts w:cs="Calibri"/>
                <w:color w:val="000000"/>
                <w:sz w:val="20"/>
                <w:lang w:eastAsia="es-CR"/>
              </w:rPr>
            </w:pPr>
          </w:p>
        </w:tc>
      </w:tr>
    </w:tbl>
    <w:p w14:paraId="08388691" w14:textId="77777777" w:rsidR="003E4755" w:rsidRPr="004E74A6" w:rsidRDefault="003E4755" w:rsidP="00832773">
      <w:pPr>
        <w:spacing w:line="276" w:lineRule="auto"/>
        <w:ind w:left="1191" w:right="1191"/>
        <w:rPr>
          <w:rFonts w:cs="Calibri"/>
          <w:i/>
          <w:iCs/>
          <w:color w:val="000000"/>
          <w:sz w:val="20"/>
          <w:lang w:eastAsia="es-CR"/>
        </w:rPr>
      </w:pPr>
      <w:r w:rsidRPr="004E74A6">
        <w:rPr>
          <w:rFonts w:cs="Calibri"/>
          <w:b/>
          <w:bCs/>
          <w:i/>
          <w:iCs/>
          <w:color w:val="000000"/>
          <w:sz w:val="20"/>
          <w:lang w:eastAsia="es-CR"/>
        </w:rPr>
        <w:t>Fuente</w:t>
      </w:r>
      <w:r w:rsidRPr="004E74A6">
        <w:rPr>
          <w:rFonts w:cs="Calibri"/>
          <w:i/>
          <w:iCs/>
          <w:color w:val="000000"/>
          <w:sz w:val="20"/>
          <w:lang w:eastAsia="es-CR"/>
        </w:rPr>
        <w:t>: Subproceso de Modernización Institucional con datos extraídos del sistema SIGMA, Dirección de Planificación.</w:t>
      </w:r>
    </w:p>
    <w:p w14:paraId="4F4F7226" w14:textId="77777777" w:rsidR="008647ED" w:rsidRPr="004E74A6" w:rsidRDefault="008647ED" w:rsidP="00CE62C1">
      <w:pPr>
        <w:spacing w:after="160" w:line="276" w:lineRule="auto"/>
        <w:rPr>
          <w:rFonts w:cs="Calibri"/>
          <w:color w:val="000000"/>
          <w:szCs w:val="24"/>
          <w:lang w:eastAsia="es-CR"/>
        </w:rPr>
      </w:pPr>
    </w:p>
    <w:p w14:paraId="717B293C" w14:textId="484DA8C0" w:rsidR="00B36C55" w:rsidRPr="004E74A6" w:rsidRDefault="00CA5891" w:rsidP="00CE62C1">
      <w:pPr>
        <w:spacing w:after="160" w:line="276" w:lineRule="auto"/>
        <w:rPr>
          <w:rFonts w:cs="Calibri"/>
          <w:color w:val="000000"/>
          <w:szCs w:val="24"/>
          <w:lang w:eastAsia="es-CR"/>
        </w:rPr>
      </w:pPr>
      <w:r w:rsidRPr="004E74A6">
        <w:rPr>
          <w:rFonts w:cs="Calibri"/>
          <w:color w:val="000000"/>
          <w:szCs w:val="24"/>
          <w:lang w:eastAsia="es-CR"/>
        </w:rPr>
        <w:t xml:space="preserve">Con un mayor detalle es posible observar que dentro de la clase de asunto ordinario, los procedimientos ordinarios son la mayoría con </w:t>
      </w:r>
      <w:r w:rsidR="008647ED" w:rsidRPr="004E74A6">
        <w:rPr>
          <w:rFonts w:cs="Calibri"/>
          <w:color w:val="000000"/>
          <w:szCs w:val="24"/>
          <w:lang w:eastAsia="es-CR"/>
        </w:rPr>
        <w:t>el 97% de los asuntos.</w:t>
      </w:r>
      <w:r w:rsidR="00B36C55" w:rsidRPr="004E74A6">
        <w:rPr>
          <w:rFonts w:cs="Calibri"/>
          <w:color w:val="000000"/>
          <w:szCs w:val="24"/>
          <w:lang w:eastAsia="es-CR"/>
        </w:rPr>
        <w:t xml:space="preserve"> Como se observa de los 198 registros, 192 tienen el procedimiento correcto, ya que según la fórmula estadística la clase “</w:t>
      </w:r>
      <w:r w:rsidR="00B36C55" w:rsidRPr="004E74A6">
        <w:rPr>
          <w:rFonts w:cs="Calibri"/>
          <w:i/>
          <w:iCs/>
          <w:color w:val="000000"/>
          <w:szCs w:val="24"/>
          <w:lang w:eastAsia="es-CR"/>
        </w:rPr>
        <w:t>ordinario</w:t>
      </w:r>
      <w:r w:rsidR="00B36C55" w:rsidRPr="004E74A6">
        <w:rPr>
          <w:rFonts w:cs="Calibri"/>
          <w:color w:val="000000"/>
          <w:szCs w:val="24"/>
          <w:lang w:eastAsia="es-CR"/>
        </w:rPr>
        <w:t>” solamente tiene como procedimiento asociado “</w:t>
      </w:r>
      <w:r w:rsidR="00B36C55" w:rsidRPr="004E74A6">
        <w:rPr>
          <w:rFonts w:cs="Calibri"/>
          <w:i/>
          <w:iCs/>
          <w:color w:val="000000"/>
          <w:szCs w:val="24"/>
          <w:lang w:eastAsia="es-CR"/>
        </w:rPr>
        <w:t>ordinario</w:t>
      </w:r>
      <w:r w:rsidR="00B36C55" w:rsidRPr="004E74A6">
        <w:rPr>
          <w:rFonts w:cs="Calibri"/>
          <w:color w:val="000000"/>
          <w:szCs w:val="24"/>
          <w:lang w:eastAsia="es-CR"/>
        </w:rPr>
        <w:t xml:space="preserve">”. </w:t>
      </w:r>
    </w:p>
    <w:p w14:paraId="5438AC6F" w14:textId="3F1DC99B" w:rsidR="00662185" w:rsidRDefault="00662185" w:rsidP="00CE62C1">
      <w:pPr>
        <w:spacing w:after="160" w:line="276" w:lineRule="auto"/>
        <w:rPr>
          <w:rFonts w:cs="Calibri"/>
          <w:color w:val="000000"/>
          <w:szCs w:val="24"/>
          <w:lang w:eastAsia="es-CR"/>
        </w:rPr>
      </w:pPr>
    </w:p>
    <w:p w14:paraId="74CC1C11" w14:textId="555DB36F" w:rsidR="00193D21" w:rsidRDefault="00193D21" w:rsidP="00CE62C1">
      <w:pPr>
        <w:spacing w:after="160" w:line="276" w:lineRule="auto"/>
        <w:rPr>
          <w:rFonts w:cs="Calibri"/>
          <w:color w:val="000000"/>
          <w:szCs w:val="24"/>
          <w:lang w:eastAsia="es-CR"/>
        </w:rPr>
      </w:pPr>
    </w:p>
    <w:p w14:paraId="06B97B86" w14:textId="14C48120" w:rsidR="00193D21" w:rsidRDefault="00193D21" w:rsidP="00CE62C1">
      <w:pPr>
        <w:spacing w:after="160" w:line="276" w:lineRule="auto"/>
        <w:rPr>
          <w:rFonts w:cs="Calibri"/>
          <w:color w:val="000000"/>
          <w:szCs w:val="24"/>
          <w:lang w:eastAsia="es-CR"/>
        </w:rPr>
      </w:pPr>
    </w:p>
    <w:p w14:paraId="519A5A01" w14:textId="297BA6BD" w:rsidR="00193D21" w:rsidRDefault="00193D21" w:rsidP="00CE62C1">
      <w:pPr>
        <w:spacing w:after="160" w:line="276" w:lineRule="auto"/>
        <w:rPr>
          <w:rFonts w:cs="Calibri"/>
          <w:color w:val="000000"/>
          <w:szCs w:val="24"/>
          <w:lang w:eastAsia="es-CR"/>
        </w:rPr>
      </w:pPr>
    </w:p>
    <w:p w14:paraId="07B87A5A" w14:textId="4B3A926E" w:rsidR="00193D21" w:rsidRDefault="00193D21" w:rsidP="00CE62C1">
      <w:pPr>
        <w:spacing w:after="160" w:line="276" w:lineRule="auto"/>
        <w:rPr>
          <w:rFonts w:cs="Calibri"/>
          <w:color w:val="000000"/>
          <w:szCs w:val="24"/>
          <w:lang w:eastAsia="es-CR"/>
        </w:rPr>
      </w:pPr>
    </w:p>
    <w:p w14:paraId="21106798" w14:textId="0D62FFB3" w:rsidR="00193D21" w:rsidRDefault="00193D21" w:rsidP="00CE62C1">
      <w:pPr>
        <w:spacing w:after="160" w:line="276" w:lineRule="auto"/>
        <w:rPr>
          <w:rFonts w:cs="Calibri"/>
          <w:color w:val="000000"/>
          <w:szCs w:val="24"/>
          <w:lang w:eastAsia="es-CR"/>
        </w:rPr>
      </w:pPr>
    </w:p>
    <w:p w14:paraId="29F82276" w14:textId="2F4ED7B1" w:rsidR="00193D21" w:rsidRDefault="00193D21" w:rsidP="00CE62C1">
      <w:pPr>
        <w:spacing w:after="160" w:line="276" w:lineRule="auto"/>
        <w:rPr>
          <w:rFonts w:cs="Calibri"/>
          <w:color w:val="000000"/>
          <w:szCs w:val="24"/>
          <w:lang w:eastAsia="es-CR"/>
        </w:rPr>
      </w:pPr>
    </w:p>
    <w:p w14:paraId="7EB57E6F" w14:textId="77777777" w:rsidR="00193D21" w:rsidRPr="004E74A6" w:rsidRDefault="00193D21" w:rsidP="00CE62C1">
      <w:pPr>
        <w:spacing w:after="160" w:line="276" w:lineRule="auto"/>
        <w:rPr>
          <w:rFonts w:cs="Calibri"/>
          <w:color w:val="000000"/>
          <w:szCs w:val="24"/>
          <w:lang w:eastAsia="es-CR"/>
        </w:rPr>
      </w:pPr>
    </w:p>
    <w:p w14:paraId="6A3AE591" w14:textId="72A4C016" w:rsidR="00032A6A" w:rsidRPr="00832773" w:rsidRDefault="00032A6A" w:rsidP="00F0204A">
      <w:pPr>
        <w:pStyle w:val="Descripcin"/>
        <w:keepNext/>
        <w:spacing w:line="276" w:lineRule="auto"/>
        <w:jc w:val="center"/>
        <w:rPr>
          <w:rFonts w:ascii="Book Antiqua" w:hAnsi="Book Antiqua"/>
          <w:i/>
          <w:iCs/>
          <w:sz w:val="20"/>
          <w:szCs w:val="16"/>
          <w:lang w:val="es-CR"/>
        </w:rPr>
      </w:pPr>
      <w:r w:rsidRPr="00832773">
        <w:rPr>
          <w:rFonts w:ascii="Book Antiqua" w:hAnsi="Book Antiqua"/>
          <w:i/>
          <w:iCs/>
          <w:sz w:val="20"/>
          <w:szCs w:val="16"/>
          <w:lang w:val="es-CR"/>
        </w:rPr>
        <w:lastRenderedPageBreak/>
        <w:t xml:space="preserve">Tabla </w:t>
      </w:r>
      <w:r w:rsidRPr="00832773">
        <w:rPr>
          <w:rFonts w:ascii="Book Antiqua" w:hAnsi="Book Antiqua"/>
          <w:i/>
          <w:iCs/>
          <w:sz w:val="20"/>
          <w:szCs w:val="16"/>
          <w:lang w:val="es-CR"/>
        </w:rPr>
        <w:fldChar w:fldCharType="begin"/>
      </w:r>
      <w:r w:rsidRPr="00832773">
        <w:rPr>
          <w:rFonts w:ascii="Book Antiqua" w:hAnsi="Book Antiqua"/>
          <w:i/>
          <w:iCs/>
          <w:sz w:val="20"/>
          <w:szCs w:val="16"/>
          <w:lang w:val="es-CR"/>
        </w:rPr>
        <w:instrText xml:space="preserve"> SEQ Tabla \* ARABIC </w:instrText>
      </w:r>
      <w:r w:rsidRPr="00832773">
        <w:rPr>
          <w:rFonts w:ascii="Book Antiqua" w:hAnsi="Book Antiqua"/>
          <w:i/>
          <w:iCs/>
          <w:sz w:val="20"/>
          <w:szCs w:val="16"/>
          <w:lang w:val="es-CR"/>
        </w:rPr>
        <w:fldChar w:fldCharType="separate"/>
      </w:r>
      <w:r w:rsidR="00374B51">
        <w:rPr>
          <w:rFonts w:ascii="Book Antiqua" w:hAnsi="Book Antiqua"/>
          <w:i/>
          <w:iCs/>
          <w:noProof/>
          <w:sz w:val="20"/>
          <w:szCs w:val="16"/>
          <w:lang w:val="es-CR"/>
        </w:rPr>
        <w:t>27</w:t>
      </w:r>
      <w:r w:rsidRPr="00832773">
        <w:rPr>
          <w:rFonts w:ascii="Book Antiqua" w:hAnsi="Book Antiqua"/>
          <w:i/>
          <w:iCs/>
          <w:sz w:val="20"/>
          <w:szCs w:val="16"/>
          <w:lang w:val="es-CR"/>
        </w:rPr>
        <w:fldChar w:fldCharType="end"/>
      </w:r>
      <w:r w:rsidRPr="00832773">
        <w:rPr>
          <w:rFonts w:ascii="Book Antiqua" w:hAnsi="Book Antiqua"/>
          <w:i/>
          <w:iCs/>
          <w:sz w:val="20"/>
          <w:szCs w:val="16"/>
          <w:lang w:val="es-CR"/>
        </w:rPr>
        <w:t xml:space="preserve"> Cantidad de asuntos ordinarios según procedimiento del 2019 al 2021 para el Tribunal Colegiado de Primera Instancia Civil Heredia</w:t>
      </w:r>
    </w:p>
    <w:tbl>
      <w:tblPr>
        <w:tblW w:w="5069" w:type="pct"/>
        <w:tblCellMar>
          <w:left w:w="70" w:type="dxa"/>
          <w:right w:w="70" w:type="dxa"/>
        </w:tblCellMar>
        <w:tblLook w:val="04A0" w:firstRow="1" w:lastRow="0" w:firstColumn="1" w:lastColumn="0" w:noHBand="0" w:noVBand="1"/>
      </w:tblPr>
      <w:tblGrid>
        <w:gridCol w:w="5399"/>
        <w:gridCol w:w="819"/>
        <w:gridCol w:w="819"/>
        <w:gridCol w:w="821"/>
        <w:gridCol w:w="1104"/>
      </w:tblGrid>
      <w:tr w:rsidR="00032A6A" w:rsidRPr="004E74A6" w14:paraId="41DB542B" w14:textId="77777777" w:rsidTr="00CA5891">
        <w:trPr>
          <w:trHeight w:val="427"/>
        </w:trPr>
        <w:tc>
          <w:tcPr>
            <w:tcW w:w="3012" w:type="pct"/>
            <w:tcBorders>
              <w:top w:val="single" w:sz="4" w:space="0" w:color="auto"/>
              <w:left w:val="nil"/>
              <w:bottom w:val="single" w:sz="4" w:space="0" w:color="auto"/>
              <w:right w:val="single" w:sz="4" w:space="0" w:color="auto"/>
            </w:tcBorders>
            <w:shd w:val="clear" w:color="auto" w:fill="auto"/>
            <w:noWrap/>
            <w:vAlign w:val="center"/>
            <w:hideMark/>
          </w:tcPr>
          <w:p w14:paraId="198AEE6B"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Ordinario</w:t>
            </w:r>
          </w:p>
        </w:tc>
        <w:tc>
          <w:tcPr>
            <w:tcW w:w="45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1E944EF"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2019</w:t>
            </w:r>
          </w:p>
        </w:tc>
        <w:tc>
          <w:tcPr>
            <w:tcW w:w="45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D0631EE"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2020</w:t>
            </w:r>
          </w:p>
        </w:tc>
        <w:tc>
          <w:tcPr>
            <w:tcW w:w="45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1B65EA4"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2021</w:t>
            </w:r>
          </w:p>
        </w:tc>
        <w:tc>
          <w:tcPr>
            <w:tcW w:w="616" w:type="pct"/>
            <w:tcBorders>
              <w:top w:val="single" w:sz="4" w:space="0" w:color="auto"/>
              <w:left w:val="single" w:sz="4" w:space="0" w:color="auto"/>
              <w:bottom w:val="single" w:sz="4" w:space="0" w:color="auto"/>
              <w:right w:val="nil"/>
            </w:tcBorders>
            <w:shd w:val="clear" w:color="auto" w:fill="auto"/>
            <w:noWrap/>
            <w:vAlign w:val="center"/>
          </w:tcPr>
          <w:p w14:paraId="6C5988A0" w14:textId="0B1ABA0D" w:rsidR="008647ED" w:rsidRPr="004E74A6" w:rsidRDefault="00032A6A" w:rsidP="00CE62C1">
            <w:pPr>
              <w:spacing w:line="276" w:lineRule="auto"/>
              <w:jc w:val="center"/>
              <w:rPr>
                <w:rFonts w:cs="Calibri"/>
                <w:color w:val="000000"/>
                <w:sz w:val="20"/>
                <w:lang w:eastAsia="es-CR"/>
              </w:rPr>
            </w:pPr>
            <w:r w:rsidRPr="004E74A6">
              <w:rPr>
                <w:rFonts w:cs="Calibri"/>
                <w:color w:val="000000"/>
                <w:sz w:val="20"/>
                <w:lang w:eastAsia="es-CR"/>
              </w:rPr>
              <w:t>Promedio</w:t>
            </w:r>
          </w:p>
        </w:tc>
      </w:tr>
      <w:tr w:rsidR="00032A6A" w:rsidRPr="004E74A6" w14:paraId="12428B13" w14:textId="77777777" w:rsidTr="00CA5891">
        <w:trPr>
          <w:trHeight w:val="288"/>
        </w:trPr>
        <w:tc>
          <w:tcPr>
            <w:tcW w:w="3012" w:type="pct"/>
            <w:tcBorders>
              <w:top w:val="single" w:sz="4" w:space="0" w:color="auto"/>
              <w:left w:val="nil"/>
              <w:bottom w:val="nil"/>
              <w:right w:val="single" w:sz="4" w:space="0" w:color="auto"/>
            </w:tcBorders>
            <w:shd w:val="clear" w:color="auto" w:fill="auto"/>
            <w:noWrap/>
            <w:vAlign w:val="center"/>
          </w:tcPr>
          <w:p w14:paraId="1638BAC8" w14:textId="77777777" w:rsidR="008647ED" w:rsidRPr="004E74A6" w:rsidRDefault="008647ED" w:rsidP="00CE62C1">
            <w:pPr>
              <w:spacing w:line="276" w:lineRule="auto"/>
              <w:ind w:firstLineChars="200" w:firstLine="400"/>
              <w:jc w:val="center"/>
              <w:rPr>
                <w:rFonts w:cs="Calibri"/>
                <w:color w:val="000000"/>
                <w:sz w:val="20"/>
                <w:lang w:eastAsia="es-CR"/>
              </w:rPr>
            </w:pPr>
          </w:p>
        </w:tc>
        <w:tc>
          <w:tcPr>
            <w:tcW w:w="457" w:type="pct"/>
            <w:tcBorders>
              <w:top w:val="single" w:sz="4" w:space="0" w:color="auto"/>
              <w:left w:val="single" w:sz="4" w:space="0" w:color="auto"/>
              <w:bottom w:val="nil"/>
              <w:right w:val="single" w:sz="4" w:space="0" w:color="auto"/>
            </w:tcBorders>
            <w:shd w:val="clear" w:color="auto" w:fill="auto"/>
            <w:noWrap/>
            <w:vAlign w:val="center"/>
          </w:tcPr>
          <w:p w14:paraId="1962573C" w14:textId="77777777" w:rsidR="008647ED" w:rsidRPr="004E74A6" w:rsidRDefault="008647ED" w:rsidP="00CE62C1">
            <w:pPr>
              <w:spacing w:line="276" w:lineRule="auto"/>
              <w:jc w:val="center"/>
              <w:rPr>
                <w:sz w:val="20"/>
                <w:lang w:eastAsia="es-CR"/>
              </w:rPr>
            </w:pPr>
          </w:p>
        </w:tc>
        <w:tc>
          <w:tcPr>
            <w:tcW w:w="457" w:type="pct"/>
            <w:tcBorders>
              <w:top w:val="single" w:sz="4" w:space="0" w:color="auto"/>
              <w:left w:val="single" w:sz="4" w:space="0" w:color="auto"/>
              <w:bottom w:val="nil"/>
              <w:right w:val="single" w:sz="4" w:space="0" w:color="auto"/>
            </w:tcBorders>
            <w:shd w:val="clear" w:color="auto" w:fill="auto"/>
            <w:noWrap/>
            <w:vAlign w:val="center"/>
          </w:tcPr>
          <w:p w14:paraId="6CB964B2" w14:textId="77777777" w:rsidR="008647ED" w:rsidRPr="004E74A6" w:rsidRDefault="008647ED" w:rsidP="00CE62C1">
            <w:pPr>
              <w:spacing w:line="276" w:lineRule="auto"/>
              <w:jc w:val="center"/>
              <w:rPr>
                <w:rFonts w:cs="Calibri"/>
                <w:color w:val="000000"/>
                <w:sz w:val="20"/>
                <w:lang w:eastAsia="es-CR"/>
              </w:rPr>
            </w:pPr>
          </w:p>
        </w:tc>
        <w:tc>
          <w:tcPr>
            <w:tcW w:w="458" w:type="pct"/>
            <w:tcBorders>
              <w:top w:val="single" w:sz="4" w:space="0" w:color="auto"/>
              <w:left w:val="single" w:sz="4" w:space="0" w:color="auto"/>
              <w:bottom w:val="nil"/>
              <w:right w:val="single" w:sz="4" w:space="0" w:color="auto"/>
            </w:tcBorders>
            <w:shd w:val="clear" w:color="auto" w:fill="auto"/>
            <w:noWrap/>
            <w:vAlign w:val="center"/>
          </w:tcPr>
          <w:p w14:paraId="1F5900F2" w14:textId="77777777" w:rsidR="008647ED" w:rsidRPr="004E74A6" w:rsidRDefault="008647ED" w:rsidP="00CE62C1">
            <w:pPr>
              <w:spacing w:line="276" w:lineRule="auto"/>
              <w:jc w:val="center"/>
              <w:rPr>
                <w:rFonts w:cs="Calibri"/>
                <w:color w:val="000000"/>
                <w:sz w:val="20"/>
                <w:lang w:eastAsia="es-CR"/>
              </w:rPr>
            </w:pPr>
          </w:p>
        </w:tc>
        <w:tc>
          <w:tcPr>
            <w:tcW w:w="616" w:type="pct"/>
            <w:tcBorders>
              <w:top w:val="single" w:sz="4" w:space="0" w:color="auto"/>
              <w:left w:val="single" w:sz="4" w:space="0" w:color="auto"/>
              <w:bottom w:val="nil"/>
              <w:right w:val="nil"/>
            </w:tcBorders>
            <w:shd w:val="clear" w:color="auto" w:fill="auto"/>
            <w:noWrap/>
            <w:vAlign w:val="center"/>
          </w:tcPr>
          <w:p w14:paraId="3485F631" w14:textId="77777777" w:rsidR="008647ED" w:rsidRPr="004E74A6" w:rsidRDefault="008647ED" w:rsidP="00CE62C1">
            <w:pPr>
              <w:spacing w:line="276" w:lineRule="auto"/>
              <w:jc w:val="center"/>
              <w:rPr>
                <w:rFonts w:cs="Calibri"/>
                <w:color w:val="000000"/>
                <w:sz w:val="20"/>
                <w:lang w:eastAsia="es-CR"/>
              </w:rPr>
            </w:pPr>
          </w:p>
        </w:tc>
      </w:tr>
      <w:tr w:rsidR="00032A6A" w:rsidRPr="004E74A6" w14:paraId="05504596" w14:textId="77777777" w:rsidTr="00CA5891">
        <w:trPr>
          <w:trHeight w:val="288"/>
        </w:trPr>
        <w:tc>
          <w:tcPr>
            <w:tcW w:w="3012" w:type="pct"/>
            <w:tcBorders>
              <w:top w:val="nil"/>
              <w:left w:val="nil"/>
              <w:bottom w:val="nil"/>
              <w:right w:val="single" w:sz="4" w:space="0" w:color="auto"/>
            </w:tcBorders>
            <w:shd w:val="clear" w:color="auto" w:fill="auto"/>
            <w:noWrap/>
            <w:vAlign w:val="center"/>
          </w:tcPr>
          <w:p w14:paraId="1DDE0024" w14:textId="77777777" w:rsidR="00032A6A" w:rsidRPr="004E74A6" w:rsidRDefault="00032A6A" w:rsidP="00CE62C1">
            <w:pPr>
              <w:spacing w:line="276" w:lineRule="auto"/>
              <w:jc w:val="center"/>
              <w:rPr>
                <w:rFonts w:cs="Calibri"/>
                <w:color w:val="000000"/>
                <w:sz w:val="20"/>
                <w:lang w:eastAsia="es-CR"/>
              </w:rPr>
            </w:pPr>
            <w:r w:rsidRPr="004E74A6">
              <w:rPr>
                <w:rFonts w:cs="Calibri"/>
                <w:color w:val="000000"/>
                <w:sz w:val="20"/>
                <w:lang w:eastAsia="es-CR"/>
              </w:rPr>
              <w:t>Total</w:t>
            </w:r>
          </w:p>
        </w:tc>
        <w:tc>
          <w:tcPr>
            <w:tcW w:w="457" w:type="pct"/>
            <w:tcBorders>
              <w:top w:val="nil"/>
              <w:left w:val="single" w:sz="4" w:space="0" w:color="auto"/>
              <w:bottom w:val="nil"/>
              <w:right w:val="single" w:sz="4" w:space="0" w:color="auto"/>
            </w:tcBorders>
            <w:shd w:val="clear" w:color="auto" w:fill="auto"/>
            <w:noWrap/>
            <w:vAlign w:val="center"/>
          </w:tcPr>
          <w:p w14:paraId="68B82D4F" w14:textId="77777777" w:rsidR="00032A6A" w:rsidRPr="004E74A6" w:rsidRDefault="00032A6A" w:rsidP="00CE62C1">
            <w:pPr>
              <w:spacing w:line="276" w:lineRule="auto"/>
              <w:jc w:val="center"/>
              <w:rPr>
                <w:sz w:val="20"/>
                <w:lang w:eastAsia="es-CR"/>
              </w:rPr>
            </w:pPr>
            <w:r w:rsidRPr="004E74A6">
              <w:rPr>
                <w:rFonts w:cs="Calibri"/>
                <w:color w:val="000000"/>
                <w:sz w:val="20"/>
                <w:lang w:eastAsia="es-CR"/>
              </w:rPr>
              <w:t>194</w:t>
            </w:r>
          </w:p>
        </w:tc>
        <w:tc>
          <w:tcPr>
            <w:tcW w:w="457" w:type="pct"/>
            <w:tcBorders>
              <w:top w:val="nil"/>
              <w:left w:val="single" w:sz="4" w:space="0" w:color="auto"/>
              <w:bottom w:val="nil"/>
              <w:right w:val="single" w:sz="4" w:space="0" w:color="auto"/>
            </w:tcBorders>
            <w:shd w:val="clear" w:color="auto" w:fill="auto"/>
            <w:noWrap/>
            <w:vAlign w:val="center"/>
          </w:tcPr>
          <w:p w14:paraId="7CAF0D6E" w14:textId="77777777" w:rsidR="00032A6A" w:rsidRPr="004E74A6" w:rsidRDefault="00032A6A" w:rsidP="00CE62C1">
            <w:pPr>
              <w:spacing w:line="276" w:lineRule="auto"/>
              <w:jc w:val="center"/>
              <w:rPr>
                <w:rFonts w:cs="Calibri"/>
                <w:color w:val="000000"/>
                <w:sz w:val="20"/>
                <w:lang w:eastAsia="es-CR"/>
              </w:rPr>
            </w:pPr>
            <w:r w:rsidRPr="004E74A6">
              <w:rPr>
                <w:rFonts w:cs="Calibri"/>
                <w:color w:val="000000"/>
                <w:sz w:val="20"/>
                <w:lang w:eastAsia="es-CR"/>
              </w:rPr>
              <w:t>187</w:t>
            </w:r>
          </w:p>
        </w:tc>
        <w:tc>
          <w:tcPr>
            <w:tcW w:w="458" w:type="pct"/>
            <w:tcBorders>
              <w:top w:val="nil"/>
              <w:left w:val="single" w:sz="4" w:space="0" w:color="auto"/>
              <w:bottom w:val="nil"/>
              <w:right w:val="single" w:sz="4" w:space="0" w:color="auto"/>
            </w:tcBorders>
            <w:shd w:val="clear" w:color="auto" w:fill="auto"/>
            <w:noWrap/>
            <w:vAlign w:val="center"/>
          </w:tcPr>
          <w:p w14:paraId="62A33E14" w14:textId="77777777" w:rsidR="00032A6A" w:rsidRPr="004E74A6" w:rsidRDefault="00032A6A" w:rsidP="00CE62C1">
            <w:pPr>
              <w:spacing w:line="276" w:lineRule="auto"/>
              <w:jc w:val="center"/>
              <w:rPr>
                <w:rFonts w:cs="Calibri"/>
                <w:color w:val="000000"/>
                <w:sz w:val="20"/>
                <w:lang w:eastAsia="es-CR"/>
              </w:rPr>
            </w:pPr>
            <w:r w:rsidRPr="004E74A6">
              <w:rPr>
                <w:rFonts w:cs="Calibri"/>
                <w:color w:val="000000"/>
                <w:sz w:val="20"/>
                <w:lang w:eastAsia="es-CR"/>
              </w:rPr>
              <w:t>214</w:t>
            </w:r>
          </w:p>
        </w:tc>
        <w:tc>
          <w:tcPr>
            <w:tcW w:w="616" w:type="pct"/>
            <w:tcBorders>
              <w:top w:val="nil"/>
              <w:left w:val="single" w:sz="4" w:space="0" w:color="auto"/>
              <w:bottom w:val="nil"/>
              <w:right w:val="nil"/>
            </w:tcBorders>
            <w:shd w:val="clear" w:color="auto" w:fill="auto"/>
            <w:noWrap/>
            <w:vAlign w:val="center"/>
          </w:tcPr>
          <w:p w14:paraId="2B916EB1" w14:textId="1F215DA5" w:rsidR="00032A6A" w:rsidRPr="004E74A6" w:rsidRDefault="00032A6A" w:rsidP="00CE62C1">
            <w:pPr>
              <w:spacing w:line="276" w:lineRule="auto"/>
              <w:jc w:val="center"/>
              <w:rPr>
                <w:rFonts w:cs="Calibri"/>
                <w:color w:val="000000"/>
                <w:sz w:val="20"/>
                <w:lang w:eastAsia="es-CR"/>
              </w:rPr>
            </w:pPr>
            <w:r w:rsidRPr="004E74A6">
              <w:rPr>
                <w:rFonts w:cs="Calibri"/>
                <w:color w:val="000000"/>
                <w:sz w:val="20"/>
              </w:rPr>
              <w:t>198</w:t>
            </w:r>
          </w:p>
        </w:tc>
      </w:tr>
      <w:tr w:rsidR="00032A6A" w:rsidRPr="004E74A6" w14:paraId="2672CFA1" w14:textId="77777777" w:rsidTr="00CA5891">
        <w:trPr>
          <w:trHeight w:val="288"/>
        </w:trPr>
        <w:tc>
          <w:tcPr>
            <w:tcW w:w="3012" w:type="pct"/>
            <w:tcBorders>
              <w:top w:val="nil"/>
              <w:left w:val="nil"/>
              <w:bottom w:val="nil"/>
              <w:right w:val="single" w:sz="4" w:space="0" w:color="auto"/>
            </w:tcBorders>
            <w:shd w:val="clear" w:color="auto" w:fill="auto"/>
            <w:noWrap/>
            <w:vAlign w:val="bottom"/>
          </w:tcPr>
          <w:p w14:paraId="738A3154" w14:textId="77777777" w:rsidR="00032A6A" w:rsidRPr="004E74A6" w:rsidRDefault="00032A6A" w:rsidP="00CE62C1">
            <w:pPr>
              <w:spacing w:line="276" w:lineRule="auto"/>
              <w:ind w:firstLineChars="200" w:firstLine="400"/>
              <w:jc w:val="left"/>
              <w:rPr>
                <w:rFonts w:cs="Calibri"/>
                <w:color w:val="000000"/>
                <w:sz w:val="20"/>
                <w:lang w:eastAsia="es-CR"/>
              </w:rPr>
            </w:pPr>
          </w:p>
        </w:tc>
        <w:tc>
          <w:tcPr>
            <w:tcW w:w="457" w:type="pct"/>
            <w:tcBorders>
              <w:top w:val="nil"/>
              <w:left w:val="single" w:sz="4" w:space="0" w:color="auto"/>
              <w:bottom w:val="nil"/>
              <w:right w:val="single" w:sz="4" w:space="0" w:color="auto"/>
            </w:tcBorders>
            <w:shd w:val="clear" w:color="auto" w:fill="auto"/>
            <w:noWrap/>
            <w:vAlign w:val="center"/>
          </w:tcPr>
          <w:p w14:paraId="1793594E" w14:textId="77777777" w:rsidR="00032A6A" w:rsidRPr="004E74A6" w:rsidRDefault="00032A6A" w:rsidP="00CE62C1">
            <w:pPr>
              <w:spacing w:line="276" w:lineRule="auto"/>
              <w:jc w:val="center"/>
              <w:rPr>
                <w:sz w:val="20"/>
                <w:lang w:eastAsia="es-CR"/>
              </w:rPr>
            </w:pPr>
          </w:p>
        </w:tc>
        <w:tc>
          <w:tcPr>
            <w:tcW w:w="457" w:type="pct"/>
            <w:tcBorders>
              <w:top w:val="nil"/>
              <w:left w:val="single" w:sz="4" w:space="0" w:color="auto"/>
              <w:bottom w:val="nil"/>
              <w:right w:val="single" w:sz="4" w:space="0" w:color="auto"/>
            </w:tcBorders>
            <w:shd w:val="clear" w:color="auto" w:fill="auto"/>
            <w:noWrap/>
            <w:vAlign w:val="center"/>
          </w:tcPr>
          <w:p w14:paraId="0AD5CD7F" w14:textId="77777777" w:rsidR="00032A6A" w:rsidRPr="004E74A6" w:rsidRDefault="00032A6A" w:rsidP="00CE62C1">
            <w:pPr>
              <w:spacing w:line="276" w:lineRule="auto"/>
              <w:jc w:val="center"/>
              <w:rPr>
                <w:rFonts w:cs="Calibri"/>
                <w:color w:val="000000"/>
                <w:sz w:val="20"/>
                <w:lang w:eastAsia="es-CR"/>
              </w:rPr>
            </w:pPr>
          </w:p>
        </w:tc>
        <w:tc>
          <w:tcPr>
            <w:tcW w:w="458" w:type="pct"/>
            <w:tcBorders>
              <w:top w:val="nil"/>
              <w:left w:val="single" w:sz="4" w:space="0" w:color="auto"/>
              <w:bottom w:val="nil"/>
              <w:right w:val="single" w:sz="4" w:space="0" w:color="auto"/>
            </w:tcBorders>
            <w:shd w:val="clear" w:color="auto" w:fill="auto"/>
            <w:noWrap/>
            <w:vAlign w:val="center"/>
          </w:tcPr>
          <w:p w14:paraId="4739318A" w14:textId="77777777" w:rsidR="00032A6A" w:rsidRPr="004E74A6" w:rsidRDefault="00032A6A" w:rsidP="00CE62C1">
            <w:pPr>
              <w:spacing w:line="276" w:lineRule="auto"/>
              <w:jc w:val="center"/>
              <w:rPr>
                <w:rFonts w:cs="Calibri"/>
                <w:color w:val="000000"/>
                <w:sz w:val="20"/>
                <w:lang w:eastAsia="es-CR"/>
              </w:rPr>
            </w:pPr>
          </w:p>
        </w:tc>
        <w:tc>
          <w:tcPr>
            <w:tcW w:w="616" w:type="pct"/>
            <w:tcBorders>
              <w:top w:val="nil"/>
              <w:left w:val="single" w:sz="4" w:space="0" w:color="auto"/>
              <w:bottom w:val="nil"/>
              <w:right w:val="nil"/>
            </w:tcBorders>
            <w:shd w:val="clear" w:color="auto" w:fill="auto"/>
            <w:noWrap/>
            <w:vAlign w:val="center"/>
          </w:tcPr>
          <w:p w14:paraId="782E6202" w14:textId="77777777" w:rsidR="00032A6A" w:rsidRPr="004E74A6" w:rsidRDefault="00032A6A" w:rsidP="00CE62C1">
            <w:pPr>
              <w:spacing w:line="276" w:lineRule="auto"/>
              <w:jc w:val="center"/>
              <w:rPr>
                <w:rFonts w:cs="Calibri"/>
                <w:color w:val="000000"/>
                <w:sz w:val="20"/>
                <w:lang w:eastAsia="es-CR"/>
              </w:rPr>
            </w:pPr>
          </w:p>
        </w:tc>
      </w:tr>
      <w:tr w:rsidR="00CA5891" w:rsidRPr="004E74A6" w14:paraId="641D8573" w14:textId="77777777" w:rsidTr="00CA5891">
        <w:trPr>
          <w:trHeight w:val="288"/>
        </w:trPr>
        <w:tc>
          <w:tcPr>
            <w:tcW w:w="3012" w:type="pct"/>
            <w:tcBorders>
              <w:top w:val="nil"/>
              <w:left w:val="nil"/>
              <w:bottom w:val="nil"/>
              <w:right w:val="single" w:sz="4" w:space="0" w:color="auto"/>
            </w:tcBorders>
            <w:shd w:val="clear" w:color="auto" w:fill="auto"/>
            <w:noWrap/>
            <w:vAlign w:val="bottom"/>
            <w:hideMark/>
          </w:tcPr>
          <w:p w14:paraId="1D94125B" w14:textId="77777777" w:rsidR="00CA5891" w:rsidRPr="004E74A6" w:rsidRDefault="00CA5891" w:rsidP="00CE62C1">
            <w:pPr>
              <w:spacing w:line="276" w:lineRule="auto"/>
              <w:ind w:firstLineChars="200" w:firstLine="400"/>
              <w:jc w:val="left"/>
              <w:rPr>
                <w:rFonts w:cs="Calibri"/>
                <w:color w:val="000000"/>
                <w:sz w:val="20"/>
                <w:lang w:eastAsia="es-CR"/>
              </w:rPr>
            </w:pPr>
            <w:r w:rsidRPr="004E74A6">
              <w:rPr>
                <w:rFonts w:cs="Calibri"/>
                <w:color w:val="000000"/>
                <w:sz w:val="20"/>
                <w:lang w:eastAsia="es-CR"/>
              </w:rPr>
              <w:t>Ejecución de sentencia</w:t>
            </w:r>
          </w:p>
        </w:tc>
        <w:tc>
          <w:tcPr>
            <w:tcW w:w="457" w:type="pct"/>
            <w:tcBorders>
              <w:top w:val="nil"/>
              <w:left w:val="single" w:sz="4" w:space="0" w:color="auto"/>
              <w:bottom w:val="nil"/>
              <w:right w:val="single" w:sz="4" w:space="0" w:color="auto"/>
            </w:tcBorders>
            <w:shd w:val="clear" w:color="auto" w:fill="auto"/>
            <w:noWrap/>
            <w:vAlign w:val="bottom"/>
            <w:hideMark/>
          </w:tcPr>
          <w:p w14:paraId="5490EFBE" w14:textId="2A921BC9" w:rsidR="00CA5891" w:rsidRPr="004E74A6" w:rsidRDefault="00CA5891" w:rsidP="00CE62C1">
            <w:pPr>
              <w:spacing w:line="276" w:lineRule="auto"/>
              <w:jc w:val="center"/>
              <w:rPr>
                <w:sz w:val="20"/>
                <w:lang w:eastAsia="es-CR"/>
              </w:rPr>
            </w:pPr>
            <w:r w:rsidRPr="004E74A6">
              <w:rPr>
                <w:rFonts w:cs="Calibri"/>
                <w:color w:val="000000"/>
                <w:sz w:val="20"/>
              </w:rPr>
              <w:t>0</w:t>
            </w:r>
          </w:p>
        </w:tc>
        <w:tc>
          <w:tcPr>
            <w:tcW w:w="457" w:type="pct"/>
            <w:tcBorders>
              <w:top w:val="nil"/>
              <w:left w:val="single" w:sz="4" w:space="0" w:color="auto"/>
              <w:bottom w:val="nil"/>
              <w:right w:val="single" w:sz="4" w:space="0" w:color="auto"/>
            </w:tcBorders>
            <w:shd w:val="clear" w:color="auto" w:fill="auto"/>
            <w:noWrap/>
            <w:vAlign w:val="bottom"/>
            <w:hideMark/>
          </w:tcPr>
          <w:p w14:paraId="574A3F30" w14:textId="473517A4" w:rsidR="00CA5891" w:rsidRPr="004E74A6" w:rsidRDefault="00CA5891" w:rsidP="00CE62C1">
            <w:pPr>
              <w:spacing w:line="276" w:lineRule="auto"/>
              <w:jc w:val="center"/>
              <w:rPr>
                <w:rFonts w:cs="Calibri"/>
                <w:color w:val="000000"/>
                <w:sz w:val="20"/>
                <w:lang w:eastAsia="es-CR"/>
              </w:rPr>
            </w:pPr>
            <w:r w:rsidRPr="004E74A6">
              <w:rPr>
                <w:rFonts w:cs="Calibri"/>
                <w:color w:val="000000"/>
                <w:sz w:val="20"/>
              </w:rPr>
              <w:t>1</w:t>
            </w:r>
          </w:p>
        </w:tc>
        <w:tc>
          <w:tcPr>
            <w:tcW w:w="458" w:type="pct"/>
            <w:tcBorders>
              <w:top w:val="nil"/>
              <w:left w:val="single" w:sz="4" w:space="0" w:color="auto"/>
              <w:bottom w:val="nil"/>
              <w:right w:val="single" w:sz="4" w:space="0" w:color="auto"/>
            </w:tcBorders>
            <w:shd w:val="clear" w:color="auto" w:fill="auto"/>
            <w:noWrap/>
            <w:vAlign w:val="bottom"/>
            <w:hideMark/>
          </w:tcPr>
          <w:p w14:paraId="5666F53E" w14:textId="5AD8CC3D" w:rsidR="00CA5891" w:rsidRPr="004E74A6" w:rsidRDefault="00CA5891" w:rsidP="00CE62C1">
            <w:pPr>
              <w:spacing w:line="276" w:lineRule="auto"/>
              <w:jc w:val="center"/>
              <w:rPr>
                <w:rFonts w:cs="Calibri"/>
                <w:color w:val="000000"/>
                <w:sz w:val="20"/>
                <w:lang w:eastAsia="es-CR"/>
              </w:rPr>
            </w:pPr>
            <w:r w:rsidRPr="004E74A6">
              <w:rPr>
                <w:rFonts w:cs="Calibri"/>
                <w:color w:val="000000"/>
                <w:sz w:val="20"/>
              </w:rPr>
              <w:t>0</w:t>
            </w:r>
          </w:p>
        </w:tc>
        <w:tc>
          <w:tcPr>
            <w:tcW w:w="616" w:type="pct"/>
            <w:tcBorders>
              <w:top w:val="nil"/>
              <w:left w:val="single" w:sz="4" w:space="0" w:color="auto"/>
              <w:bottom w:val="nil"/>
              <w:right w:val="nil"/>
            </w:tcBorders>
            <w:shd w:val="clear" w:color="auto" w:fill="auto"/>
            <w:noWrap/>
            <w:vAlign w:val="bottom"/>
            <w:hideMark/>
          </w:tcPr>
          <w:p w14:paraId="46DB3F70" w14:textId="4CDD004F" w:rsidR="00CA5891" w:rsidRPr="004E74A6" w:rsidRDefault="00CA5891" w:rsidP="00CE62C1">
            <w:pPr>
              <w:spacing w:line="276" w:lineRule="auto"/>
              <w:jc w:val="center"/>
              <w:rPr>
                <w:rFonts w:cs="Calibri"/>
                <w:color w:val="000000"/>
                <w:sz w:val="20"/>
                <w:lang w:eastAsia="es-CR"/>
              </w:rPr>
            </w:pPr>
            <w:r w:rsidRPr="004E74A6">
              <w:rPr>
                <w:rFonts w:cs="Calibri"/>
                <w:color w:val="000000"/>
                <w:sz w:val="20"/>
              </w:rPr>
              <w:t>0,3</w:t>
            </w:r>
          </w:p>
        </w:tc>
      </w:tr>
      <w:tr w:rsidR="00CA5891" w:rsidRPr="004E74A6" w14:paraId="67410246" w14:textId="77777777" w:rsidTr="00CA5891">
        <w:trPr>
          <w:trHeight w:val="288"/>
        </w:trPr>
        <w:tc>
          <w:tcPr>
            <w:tcW w:w="3012" w:type="pct"/>
            <w:tcBorders>
              <w:top w:val="nil"/>
              <w:left w:val="nil"/>
              <w:bottom w:val="nil"/>
              <w:right w:val="single" w:sz="4" w:space="0" w:color="auto"/>
            </w:tcBorders>
            <w:shd w:val="clear" w:color="auto" w:fill="auto"/>
            <w:noWrap/>
            <w:vAlign w:val="bottom"/>
            <w:hideMark/>
          </w:tcPr>
          <w:p w14:paraId="5B957DD8" w14:textId="77777777" w:rsidR="00CA5891" w:rsidRPr="004E74A6" w:rsidRDefault="00CA5891" w:rsidP="00CE62C1">
            <w:pPr>
              <w:spacing w:line="276" w:lineRule="auto"/>
              <w:ind w:firstLineChars="200" w:firstLine="400"/>
              <w:jc w:val="left"/>
              <w:rPr>
                <w:rFonts w:cs="Calibri"/>
                <w:color w:val="000000"/>
                <w:sz w:val="20"/>
                <w:lang w:eastAsia="es-CR"/>
              </w:rPr>
            </w:pPr>
            <w:r w:rsidRPr="004E74A6">
              <w:rPr>
                <w:rFonts w:cs="Calibri"/>
                <w:color w:val="000000"/>
                <w:sz w:val="20"/>
                <w:lang w:eastAsia="es-CR"/>
              </w:rPr>
              <w:t>Liquidación persona jurídica</w:t>
            </w:r>
          </w:p>
        </w:tc>
        <w:tc>
          <w:tcPr>
            <w:tcW w:w="457" w:type="pct"/>
            <w:tcBorders>
              <w:top w:val="nil"/>
              <w:left w:val="single" w:sz="4" w:space="0" w:color="auto"/>
              <w:bottom w:val="nil"/>
              <w:right w:val="single" w:sz="4" w:space="0" w:color="auto"/>
            </w:tcBorders>
            <w:shd w:val="clear" w:color="auto" w:fill="auto"/>
            <w:noWrap/>
            <w:vAlign w:val="bottom"/>
            <w:hideMark/>
          </w:tcPr>
          <w:p w14:paraId="1109A4FC" w14:textId="5561B808" w:rsidR="00CA5891" w:rsidRPr="004E74A6" w:rsidRDefault="00CA5891" w:rsidP="00CE62C1">
            <w:pPr>
              <w:spacing w:line="276" w:lineRule="auto"/>
              <w:jc w:val="center"/>
              <w:rPr>
                <w:sz w:val="20"/>
                <w:lang w:eastAsia="es-CR"/>
              </w:rPr>
            </w:pPr>
            <w:r w:rsidRPr="004E74A6">
              <w:rPr>
                <w:rFonts w:cs="Calibri"/>
                <w:color w:val="000000"/>
                <w:sz w:val="20"/>
              </w:rPr>
              <w:t>0</w:t>
            </w:r>
          </w:p>
        </w:tc>
        <w:tc>
          <w:tcPr>
            <w:tcW w:w="457" w:type="pct"/>
            <w:tcBorders>
              <w:top w:val="nil"/>
              <w:left w:val="single" w:sz="4" w:space="0" w:color="auto"/>
              <w:bottom w:val="nil"/>
              <w:right w:val="single" w:sz="4" w:space="0" w:color="auto"/>
            </w:tcBorders>
            <w:shd w:val="clear" w:color="auto" w:fill="auto"/>
            <w:noWrap/>
            <w:vAlign w:val="bottom"/>
            <w:hideMark/>
          </w:tcPr>
          <w:p w14:paraId="3A0AFF09" w14:textId="7B55684A" w:rsidR="00CA5891" w:rsidRPr="004E74A6" w:rsidRDefault="00CA5891" w:rsidP="00CE62C1">
            <w:pPr>
              <w:spacing w:line="276" w:lineRule="auto"/>
              <w:jc w:val="center"/>
              <w:rPr>
                <w:rFonts w:cs="Calibri"/>
                <w:color w:val="000000"/>
                <w:sz w:val="20"/>
                <w:lang w:eastAsia="es-CR"/>
              </w:rPr>
            </w:pPr>
            <w:r w:rsidRPr="004E74A6">
              <w:rPr>
                <w:rFonts w:cs="Calibri"/>
                <w:color w:val="000000"/>
                <w:sz w:val="20"/>
              </w:rPr>
              <w:t>1</w:t>
            </w:r>
          </w:p>
        </w:tc>
        <w:tc>
          <w:tcPr>
            <w:tcW w:w="458" w:type="pct"/>
            <w:tcBorders>
              <w:top w:val="nil"/>
              <w:left w:val="single" w:sz="4" w:space="0" w:color="auto"/>
              <w:bottom w:val="nil"/>
              <w:right w:val="single" w:sz="4" w:space="0" w:color="auto"/>
            </w:tcBorders>
            <w:shd w:val="clear" w:color="auto" w:fill="auto"/>
            <w:noWrap/>
            <w:vAlign w:val="bottom"/>
            <w:hideMark/>
          </w:tcPr>
          <w:p w14:paraId="52E6CB8B" w14:textId="168ED293" w:rsidR="00CA5891" w:rsidRPr="004E74A6" w:rsidRDefault="00CA5891" w:rsidP="00CE62C1">
            <w:pPr>
              <w:spacing w:line="276" w:lineRule="auto"/>
              <w:jc w:val="center"/>
              <w:rPr>
                <w:rFonts w:cs="Calibri"/>
                <w:color w:val="000000"/>
                <w:sz w:val="20"/>
                <w:lang w:eastAsia="es-CR"/>
              </w:rPr>
            </w:pPr>
            <w:r w:rsidRPr="004E74A6">
              <w:rPr>
                <w:rFonts w:cs="Calibri"/>
                <w:color w:val="000000"/>
                <w:sz w:val="20"/>
              </w:rPr>
              <w:t>0</w:t>
            </w:r>
          </w:p>
        </w:tc>
        <w:tc>
          <w:tcPr>
            <w:tcW w:w="616" w:type="pct"/>
            <w:tcBorders>
              <w:top w:val="nil"/>
              <w:left w:val="single" w:sz="4" w:space="0" w:color="auto"/>
              <w:bottom w:val="nil"/>
              <w:right w:val="nil"/>
            </w:tcBorders>
            <w:shd w:val="clear" w:color="auto" w:fill="auto"/>
            <w:noWrap/>
            <w:vAlign w:val="bottom"/>
            <w:hideMark/>
          </w:tcPr>
          <w:p w14:paraId="7B1B7413" w14:textId="762FDF67" w:rsidR="00CA5891" w:rsidRPr="004E74A6" w:rsidRDefault="00CA5891" w:rsidP="00CE62C1">
            <w:pPr>
              <w:spacing w:line="276" w:lineRule="auto"/>
              <w:jc w:val="center"/>
              <w:rPr>
                <w:rFonts w:cs="Calibri"/>
                <w:color w:val="000000"/>
                <w:sz w:val="20"/>
                <w:lang w:eastAsia="es-CR"/>
              </w:rPr>
            </w:pPr>
            <w:r w:rsidRPr="004E74A6">
              <w:rPr>
                <w:rFonts w:cs="Calibri"/>
                <w:color w:val="000000"/>
                <w:sz w:val="20"/>
              </w:rPr>
              <w:t>0</w:t>
            </w:r>
          </w:p>
        </w:tc>
      </w:tr>
      <w:tr w:rsidR="00CA5891" w:rsidRPr="004E74A6" w14:paraId="2CB6E46F" w14:textId="77777777" w:rsidTr="00CA5891">
        <w:trPr>
          <w:trHeight w:val="288"/>
        </w:trPr>
        <w:tc>
          <w:tcPr>
            <w:tcW w:w="3012" w:type="pct"/>
            <w:tcBorders>
              <w:top w:val="nil"/>
              <w:left w:val="nil"/>
              <w:bottom w:val="nil"/>
              <w:right w:val="single" w:sz="4" w:space="0" w:color="auto"/>
            </w:tcBorders>
            <w:shd w:val="clear" w:color="auto" w:fill="auto"/>
            <w:noWrap/>
            <w:vAlign w:val="bottom"/>
            <w:hideMark/>
          </w:tcPr>
          <w:p w14:paraId="44011D8F" w14:textId="77777777" w:rsidR="00CA5891" w:rsidRPr="004E74A6" w:rsidRDefault="00CA5891" w:rsidP="00CE62C1">
            <w:pPr>
              <w:spacing w:line="276" w:lineRule="auto"/>
              <w:ind w:firstLineChars="200" w:firstLine="400"/>
              <w:jc w:val="left"/>
              <w:rPr>
                <w:rFonts w:cs="Calibri"/>
                <w:color w:val="000000"/>
                <w:sz w:val="20"/>
                <w:lang w:eastAsia="es-CR"/>
              </w:rPr>
            </w:pPr>
            <w:r w:rsidRPr="004E74A6">
              <w:rPr>
                <w:rFonts w:cs="Calibri"/>
                <w:color w:val="000000"/>
                <w:sz w:val="20"/>
                <w:lang w:eastAsia="es-CR"/>
              </w:rPr>
              <w:t>Localización de derechos</w:t>
            </w:r>
          </w:p>
        </w:tc>
        <w:tc>
          <w:tcPr>
            <w:tcW w:w="457" w:type="pct"/>
            <w:tcBorders>
              <w:top w:val="nil"/>
              <w:left w:val="single" w:sz="4" w:space="0" w:color="auto"/>
              <w:bottom w:val="nil"/>
              <w:right w:val="single" w:sz="4" w:space="0" w:color="auto"/>
            </w:tcBorders>
            <w:shd w:val="clear" w:color="auto" w:fill="auto"/>
            <w:noWrap/>
            <w:vAlign w:val="bottom"/>
            <w:hideMark/>
          </w:tcPr>
          <w:p w14:paraId="79D7C087" w14:textId="259A752C" w:rsidR="00CA5891" w:rsidRPr="004E74A6" w:rsidRDefault="00CA5891" w:rsidP="00CE62C1">
            <w:pPr>
              <w:spacing w:line="276" w:lineRule="auto"/>
              <w:jc w:val="center"/>
              <w:rPr>
                <w:sz w:val="20"/>
                <w:lang w:eastAsia="es-CR"/>
              </w:rPr>
            </w:pPr>
            <w:r w:rsidRPr="004E74A6">
              <w:rPr>
                <w:rFonts w:cs="Calibri"/>
                <w:color w:val="000000"/>
                <w:sz w:val="20"/>
              </w:rPr>
              <w:t>0</w:t>
            </w:r>
          </w:p>
        </w:tc>
        <w:tc>
          <w:tcPr>
            <w:tcW w:w="457" w:type="pct"/>
            <w:tcBorders>
              <w:top w:val="nil"/>
              <w:left w:val="single" w:sz="4" w:space="0" w:color="auto"/>
              <w:bottom w:val="nil"/>
              <w:right w:val="single" w:sz="4" w:space="0" w:color="auto"/>
            </w:tcBorders>
            <w:shd w:val="clear" w:color="auto" w:fill="auto"/>
            <w:noWrap/>
            <w:vAlign w:val="bottom"/>
            <w:hideMark/>
          </w:tcPr>
          <w:p w14:paraId="6501E31E" w14:textId="29DDC60A" w:rsidR="00CA5891" w:rsidRPr="004E74A6" w:rsidRDefault="00CA5891" w:rsidP="00CE62C1">
            <w:pPr>
              <w:spacing w:line="276" w:lineRule="auto"/>
              <w:jc w:val="center"/>
              <w:rPr>
                <w:rFonts w:cs="Calibri"/>
                <w:color w:val="000000"/>
                <w:sz w:val="20"/>
                <w:lang w:eastAsia="es-CR"/>
              </w:rPr>
            </w:pPr>
            <w:r w:rsidRPr="004E74A6">
              <w:rPr>
                <w:rFonts w:cs="Calibri"/>
                <w:color w:val="000000"/>
                <w:sz w:val="20"/>
              </w:rPr>
              <w:t>1</w:t>
            </w:r>
          </w:p>
        </w:tc>
        <w:tc>
          <w:tcPr>
            <w:tcW w:w="458" w:type="pct"/>
            <w:tcBorders>
              <w:top w:val="nil"/>
              <w:left w:val="single" w:sz="4" w:space="0" w:color="auto"/>
              <w:bottom w:val="nil"/>
              <w:right w:val="single" w:sz="4" w:space="0" w:color="auto"/>
            </w:tcBorders>
            <w:shd w:val="clear" w:color="auto" w:fill="auto"/>
            <w:noWrap/>
            <w:vAlign w:val="bottom"/>
            <w:hideMark/>
          </w:tcPr>
          <w:p w14:paraId="1472DB48" w14:textId="60CEED2F" w:rsidR="00CA5891" w:rsidRPr="004E74A6" w:rsidRDefault="00CA5891" w:rsidP="00CE62C1">
            <w:pPr>
              <w:spacing w:line="276" w:lineRule="auto"/>
              <w:jc w:val="center"/>
              <w:rPr>
                <w:rFonts w:cs="Calibri"/>
                <w:color w:val="000000"/>
                <w:sz w:val="20"/>
                <w:lang w:eastAsia="es-CR"/>
              </w:rPr>
            </w:pPr>
            <w:r w:rsidRPr="004E74A6">
              <w:rPr>
                <w:rFonts w:cs="Calibri"/>
                <w:color w:val="000000"/>
                <w:sz w:val="20"/>
              </w:rPr>
              <w:t>1</w:t>
            </w:r>
          </w:p>
        </w:tc>
        <w:tc>
          <w:tcPr>
            <w:tcW w:w="616" w:type="pct"/>
            <w:tcBorders>
              <w:top w:val="nil"/>
              <w:left w:val="single" w:sz="4" w:space="0" w:color="auto"/>
              <w:bottom w:val="nil"/>
              <w:right w:val="nil"/>
            </w:tcBorders>
            <w:shd w:val="clear" w:color="auto" w:fill="auto"/>
            <w:noWrap/>
            <w:vAlign w:val="bottom"/>
            <w:hideMark/>
          </w:tcPr>
          <w:p w14:paraId="1553036B" w14:textId="037E5FF9" w:rsidR="00CA5891" w:rsidRPr="004E74A6" w:rsidRDefault="00CA5891" w:rsidP="00CE62C1">
            <w:pPr>
              <w:spacing w:line="276" w:lineRule="auto"/>
              <w:jc w:val="center"/>
              <w:rPr>
                <w:rFonts w:cs="Calibri"/>
                <w:color w:val="000000"/>
                <w:sz w:val="20"/>
                <w:lang w:eastAsia="es-CR"/>
              </w:rPr>
            </w:pPr>
            <w:r w:rsidRPr="004E74A6">
              <w:rPr>
                <w:rFonts w:cs="Calibri"/>
                <w:color w:val="000000"/>
                <w:sz w:val="20"/>
              </w:rPr>
              <w:t>0,7</w:t>
            </w:r>
          </w:p>
        </w:tc>
      </w:tr>
      <w:tr w:rsidR="00CA5891" w:rsidRPr="004E74A6" w14:paraId="706A6F5A" w14:textId="77777777" w:rsidTr="00CA5891">
        <w:trPr>
          <w:trHeight w:val="288"/>
        </w:trPr>
        <w:tc>
          <w:tcPr>
            <w:tcW w:w="3012" w:type="pct"/>
            <w:tcBorders>
              <w:top w:val="nil"/>
              <w:left w:val="nil"/>
              <w:bottom w:val="nil"/>
              <w:right w:val="single" w:sz="4" w:space="0" w:color="auto"/>
            </w:tcBorders>
            <w:shd w:val="clear" w:color="auto" w:fill="auto"/>
            <w:noWrap/>
            <w:vAlign w:val="bottom"/>
            <w:hideMark/>
          </w:tcPr>
          <w:p w14:paraId="7F663184" w14:textId="77777777" w:rsidR="00CA5891" w:rsidRPr="004E74A6" w:rsidRDefault="00CA5891" w:rsidP="00CE62C1">
            <w:pPr>
              <w:spacing w:line="276" w:lineRule="auto"/>
              <w:ind w:firstLineChars="200" w:firstLine="400"/>
              <w:jc w:val="left"/>
              <w:rPr>
                <w:rFonts w:cs="Calibri"/>
                <w:color w:val="000000"/>
                <w:sz w:val="20"/>
                <w:lang w:eastAsia="es-CR"/>
              </w:rPr>
            </w:pPr>
            <w:r w:rsidRPr="004E74A6">
              <w:rPr>
                <w:rFonts w:cs="Calibri"/>
                <w:color w:val="000000"/>
                <w:sz w:val="20"/>
                <w:lang w:eastAsia="es-CR"/>
              </w:rPr>
              <w:t>Medidas Cautelares Atípicas</w:t>
            </w:r>
          </w:p>
        </w:tc>
        <w:tc>
          <w:tcPr>
            <w:tcW w:w="457" w:type="pct"/>
            <w:tcBorders>
              <w:top w:val="nil"/>
              <w:left w:val="single" w:sz="4" w:space="0" w:color="auto"/>
              <w:bottom w:val="nil"/>
              <w:right w:val="single" w:sz="4" w:space="0" w:color="auto"/>
            </w:tcBorders>
            <w:shd w:val="clear" w:color="auto" w:fill="auto"/>
            <w:noWrap/>
            <w:vAlign w:val="bottom"/>
            <w:hideMark/>
          </w:tcPr>
          <w:p w14:paraId="0E8681D4" w14:textId="22347AA6" w:rsidR="00CA5891" w:rsidRPr="004E74A6" w:rsidRDefault="00CA5891" w:rsidP="00CE62C1">
            <w:pPr>
              <w:spacing w:line="276" w:lineRule="auto"/>
              <w:jc w:val="center"/>
              <w:rPr>
                <w:sz w:val="20"/>
                <w:lang w:eastAsia="es-CR"/>
              </w:rPr>
            </w:pPr>
            <w:r w:rsidRPr="004E74A6">
              <w:rPr>
                <w:rFonts w:cs="Calibri"/>
                <w:color w:val="000000"/>
                <w:sz w:val="20"/>
              </w:rPr>
              <w:t>0</w:t>
            </w:r>
          </w:p>
        </w:tc>
        <w:tc>
          <w:tcPr>
            <w:tcW w:w="457" w:type="pct"/>
            <w:tcBorders>
              <w:top w:val="nil"/>
              <w:left w:val="single" w:sz="4" w:space="0" w:color="auto"/>
              <w:bottom w:val="nil"/>
              <w:right w:val="single" w:sz="4" w:space="0" w:color="auto"/>
            </w:tcBorders>
            <w:shd w:val="clear" w:color="auto" w:fill="auto"/>
            <w:noWrap/>
            <w:vAlign w:val="bottom"/>
            <w:hideMark/>
          </w:tcPr>
          <w:p w14:paraId="592F52A5" w14:textId="2AE61B76" w:rsidR="00CA5891" w:rsidRPr="004E74A6" w:rsidRDefault="00CA5891" w:rsidP="00CE62C1">
            <w:pPr>
              <w:spacing w:line="276" w:lineRule="auto"/>
              <w:jc w:val="center"/>
              <w:rPr>
                <w:rFonts w:cs="Calibri"/>
                <w:color w:val="000000"/>
                <w:sz w:val="20"/>
                <w:lang w:eastAsia="es-CR"/>
              </w:rPr>
            </w:pPr>
            <w:r w:rsidRPr="004E74A6">
              <w:rPr>
                <w:rFonts w:cs="Calibri"/>
                <w:color w:val="000000"/>
                <w:sz w:val="20"/>
              </w:rPr>
              <w:t>1</w:t>
            </w:r>
          </w:p>
        </w:tc>
        <w:tc>
          <w:tcPr>
            <w:tcW w:w="458" w:type="pct"/>
            <w:tcBorders>
              <w:top w:val="nil"/>
              <w:left w:val="single" w:sz="4" w:space="0" w:color="auto"/>
              <w:bottom w:val="nil"/>
              <w:right w:val="single" w:sz="4" w:space="0" w:color="auto"/>
            </w:tcBorders>
            <w:shd w:val="clear" w:color="auto" w:fill="auto"/>
            <w:noWrap/>
            <w:vAlign w:val="bottom"/>
            <w:hideMark/>
          </w:tcPr>
          <w:p w14:paraId="0782595D" w14:textId="58B83503" w:rsidR="00CA5891" w:rsidRPr="004E74A6" w:rsidRDefault="00CA5891" w:rsidP="00CE62C1">
            <w:pPr>
              <w:spacing w:line="276" w:lineRule="auto"/>
              <w:jc w:val="center"/>
              <w:rPr>
                <w:rFonts w:cs="Calibri"/>
                <w:color w:val="000000"/>
                <w:sz w:val="20"/>
                <w:lang w:eastAsia="es-CR"/>
              </w:rPr>
            </w:pPr>
            <w:r w:rsidRPr="004E74A6">
              <w:rPr>
                <w:rFonts w:cs="Calibri"/>
                <w:color w:val="000000"/>
                <w:sz w:val="20"/>
              </w:rPr>
              <w:t>0</w:t>
            </w:r>
          </w:p>
        </w:tc>
        <w:tc>
          <w:tcPr>
            <w:tcW w:w="616" w:type="pct"/>
            <w:tcBorders>
              <w:top w:val="nil"/>
              <w:left w:val="single" w:sz="4" w:space="0" w:color="auto"/>
              <w:bottom w:val="nil"/>
              <w:right w:val="nil"/>
            </w:tcBorders>
            <w:shd w:val="clear" w:color="auto" w:fill="auto"/>
            <w:noWrap/>
            <w:vAlign w:val="bottom"/>
            <w:hideMark/>
          </w:tcPr>
          <w:p w14:paraId="2EAAFAF6" w14:textId="1F03879D" w:rsidR="00CA5891" w:rsidRPr="004E74A6" w:rsidRDefault="00CA5891" w:rsidP="00CE62C1">
            <w:pPr>
              <w:spacing w:line="276" w:lineRule="auto"/>
              <w:jc w:val="center"/>
              <w:rPr>
                <w:rFonts w:cs="Calibri"/>
                <w:color w:val="000000"/>
                <w:sz w:val="20"/>
                <w:lang w:eastAsia="es-CR"/>
              </w:rPr>
            </w:pPr>
            <w:r w:rsidRPr="004E74A6">
              <w:rPr>
                <w:rFonts w:cs="Calibri"/>
                <w:color w:val="000000"/>
                <w:sz w:val="20"/>
              </w:rPr>
              <w:t>0</w:t>
            </w:r>
          </w:p>
        </w:tc>
      </w:tr>
      <w:tr w:rsidR="00CA5891" w:rsidRPr="004E74A6" w14:paraId="61E860A7" w14:textId="77777777" w:rsidTr="00CA5891">
        <w:trPr>
          <w:trHeight w:val="288"/>
        </w:trPr>
        <w:tc>
          <w:tcPr>
            <w:tcW w:w="3012" w:type="pct"/>
            <w:tcBorders>
              <w:top w:val="nil"/>
              <w:left w:val="nil"/>
              <w:bottom w:val="nil"/>
              <w:right w:val="single" w:sz="4" w:space="0" w:color="auto"/>
            </w:tcBorders>
            <w:shd w:val="clear" w:color="auto" w:fill="C5E0B3" w:themeFill="accent6" w:themeFillTint="66"/>
            <w:noWrap/>
            <w:vAlign w:val="bottom"/>
            <w:hideMark/>
          </w:tcPr>
          <w:p w14:paraId="3E3ED48B" w14:textId="77777777" w:rsidR="00CA5891" w:rsidRPr="004E74A6" w:rsidRDefault="00CA5891" w:rsidP="00CE62C1">
            <w:pPr>
              <w:spacing w:line="276" w:lineRule="auto"/>
              <w:ind w:firstLineChars="200" w:firstLine="400"/>
              <w:jc w:val="left"/>
              <w:rPr>
                <w:rFonts w:cs="Calibri"/>
                <w:color w:val="000000"/>
                <w:sz w:val="20"/>
                <w:lang w:eastAsia="es-CR"/>
              </w:rPr>
            </w:pPr>
            <w:r w:rsidRPr="004E74A6">
              <w:rPr>
                <w:rFonts w:cs="Calibri"/>
                <w:color w:val="000000"/>
                <w:sz w:val="20"/>
                <w:lang w:eastAsia="es-CR"/>
              </w:rPr>
              <w:t>Ordinario</w:t>
            </w:r>
          </w:p>
        </w:tc>
        <w:tc>
          <w:tcPr>
            <w:tcW w:w="457" w:type="pct"/>
            <w:tcBorders>
              <w:top w:val="nil"/>
              <w:left w:val="single" w:sz="4" w:space="0" w:color="auto"/>
              <w:bottom w:val="nil"/>
              <w:right w:val="single" w:sz="4" w:space="0" w:color="auto"/>
            </w:tcBorders>
            <w:shd w:val="clear" w:color="auto" w:fill="C5E0B3" w:themeFill="accent6" w:themeFillTint="66"/>
            <w:noWrap/>
            <w:vAlign w:val="bottom"/>
            <w:hideMark/>
          </w:tcPr>
          <w:p w14:paraId="0B6CB449" w14:textId="065838A0" w:rsidR="00CA5891" w:rsidRPr="004E74A6" w:rsidRDefault="00CA5891" w:rsidP="00CE62C1">
            <w:pPr>
              <w:spacing w:line="276" w:lineRule="auto"/>
              <w:jc w:val="center"/>
              <w:rPr>
                <w:rFonts w:cs="Calibri"/>
                <w:color w:val="000000"/>
                <w:sz w:val="20"/>
                <w:lang w:eastAsia="es-CR"/>
              </w:rPr>
            </w:pPr>
            <w:r w:rsidRPr="004E74A6">
              <w:rPr>
                <w:rFonts w:cs="Calibri"/>
                <w:color w:val="000000"/>
                <w:sz w:val="20"/>
              </w:rPr>
              <w:t>190</w:t>
            </w:r>
          </w:p>
        </w:tc>
        <w:tc>
          <w:tcPr>
            <w:tcW w:w="457" w:type="pct"/>
            <w:tcBorders>
              <w:top w:val="nil"/>
              <w:left w:val="single" w:sz="4" w:space="0" w:color="auto"/>
              <w:bottom w:val="nil"/>
              <w:right w:val="single" w:sz="4" w:space="0" w:color="auto"/>
            </w:tcBorders>
            <w:shd w:val="clear" w:color="auto" w:fill="C5E0B3" w:themeFill="accent6" w:themeFillTint="66"/>
            <w:noWrap/>
            <w:vAlign w:val="bottom"/>
            <w:hideMark/>
          </w:tcPr>
          <w:p w14:paraId="644D1B8D" w14:textId="4F982168" w:rsidR="00CA5891" w:rsidRPr="004E74A6" w:rsidRDefault="00CA5891" w:rsidP="00CE62C1">
            <w:pPr>
              <w:spacing w:line="276" w:lineRule="auto"/>
              <w:jc w:val="center"/>
              <w:rPr>
                <w:rFonts w:cs="Calibri"/>
                <w:color w:val="000000"/>
                <w:sz w:val="20"/>
                <w:lang w:eastAsia="es-CR"/>
              </w:rPr>
            </w:pPr>
            <w:r w:rsidRPr="004E74A6">
              <w:rPr>
                <w:rFonts w:cs="Calibri"/>
                <w:color w:val="000000"/>
                <w:sz w:val="20"/>
              </w:rPr>
              <w:t>178</w:t>
            </w:r>
          </w:p>
        </w:tc>
        <w:tc>
          <w:tcPr>
            <w:tcW w:w="458" w:type="pct"/>
            <w:tcBorders>
              <w:top w:val="nil"/>
              <w:left w:val="single" w:sz="4" w:space="0" w:color="auto"/>
              <w:bottom w:val="nil"/>
              <w:right w:val="single" w:sz="4" w:space="0" w:color="auto"/>
            </w:tcBorders>
            <w:shd w:val="clear" w:color="auto" w:fill="C5E0B3" w:themeFill="accent6" w:themeFillTint="66"/>
            <w:noWrap/>
            <w:vAlign w:val="bottom"/>
            <w:hideMark/>
          </w:tcPr>
          <w:p w14:paraId="7D26D18D" w14:textId="1CE41454" w:rsidR="00CA5891" w:rsidRPr="004E74A6" w:rsidRDefault="00CA5891" w:rsidP="00CE62C1">
            <w:pPr>
              <w:spacing w:line="276" w:lineRule="auto"/>
              <w:jc w:val="center"/>
              <w:rPr>
                <w:rFonts w:cs="Calibri"/>
                <w:color w:val="000000"/>
                <w:sz w:val="20"/>
                <w:lang w:eastAsia="es-CR"/>
              </w:rPr>
            </w:pPr>
            <w:r w:rsidRPr="004E74A6">
              <w:rPr>
                <w:rFonts w:cs="Calibri"/>
                <w:color w:val="000000"/>
                <w:sz w:val="20"/>
              </w:rPr>
              <w:t>208</w:t>
            </w:r>
          </w:p>
        </w:tc>
        <w:tc>
          <w:tcPr>
            <w:tcW w:w="616" w:type="pct"/>
            <w:tcBorders>
              <w:top w:val="nil"/>
              <w:left w:val="single" w:sz="4" w:space="0" w:color="auto"/>
              <w:bottom w:val="nil"/>
              <w:right w:val="nil"/>
            </w:tcBorders>
            <w:shd w:val="clear" w:color="auto" w:fill="C5E0B3" w:themeFill="accent6" w:themeFillTint="66"/>
            <w:noWrap/>
            <w:vAlign w:val="bottom"/>
            <w:hideMark/>
          </w:tcPr>
          <w:p w14:paraId="55420C8D" w14:textId="020012B3" w:rsidR="00CA5891" w:rsidRPr="004E74A6" w:rsidRDefault="00CA5891" w:rsidP="00CE62C1">
            <w:pPr>
              <w:spacing w:line="276" w:lineRule="auto"/>
              <w:jc w:val="center"/>
              <w:rPr>
                <w:rFonts w:cs="Calibri"/>
                <w:color w:val="000000"/>
                <w:sz w:val="20"/>
                <w:lang w:eastAsia="es-CR"/>
              </w:rPr>
            </w:pPr>
            <w:r w:rsidRPr="004E74A6">
              <w:rPr>
                <w:rFonts w:cs="Calibri"/>
                <w:color w:val="000000"/>
                <w:sz w:val="20"/>
              </w:rPr>
              <w:t>192</w:t>
            </w:r>
          </w:p>
        </w:tc>
      </w:tr>
      <w:tr w:rsidR="00CA5891" w:rsidRPr="004E74A6" w14:paraId="07F37C74" w14:textId="77777777" w:rsidTr="00CA5891">
        <w:trPr>
          <w:trHeight w:val="288"/>
        </w:trPr>
        <w:tc>
          <w:tcPr>
            <w:tcW w:w="3012" w:type="pct"/>
            <w:tcBorders>
              <w:top w:val="nil"/>
              <w:left w:val="nil"/>
              <w:bottom w:val="nil"/>
              <w:right w:val="single" w:sz="4" w:space="0" w:color="auto"/>
            </w:tcBorders>
            <w:shd w:val="clear" w:color="auto" w:fill="auto"/>
            <w:noWrap/>
            <w:vAlign w:val="bottom"/>
            <w:hideMark/>
          </w:tcPr>
          <w:p w14:paraId="2AD0C1EF" w14:textId="77777777" w:rsidR="00CA5891" w:rsidRPr="004E74A6" w:rsidRDefault="00CA5891" w:rsidP="00CE62C1">
            <w:pPr>
              <w:spacing w:line="276" w:lineRule="auto"/>
              <w:ind w:firstLineChars="200" w:firstLine="400"/>
              <w:jc w:val="left"/>
              <w:rPr>
                <w:rFonts w:cs="Calibri"/>
                <w:color w:val="000000"/>
                <w:sz w:val="20"/>
                <w:lang w:eastAsia="es-CR"/>
              </w:rPr>
            </w:pPr>
            <w:r w:rsidRPr="004E74A6">
              <w:rPr>
                <w:rFonts w:cs="Calibri"/>
                <w:color w:val="000000"/>
                <w:sz w:val="20"/>
                <w:lang w:eastAsia="es-CR"/>
              </w:rPr>
              <w:t>Prueba anticipada mixta</w:t>
            </w:r>
          </w:p>
        </w:tc>
        <w:tc>
          <w:tcPr>
            <w:tcW w:w="457" w:type="pct"/>
            <w:tcBorders>
              <w:top w:val="nil"/>
              <w:left w:val="single" w:sz="4" w:space="0" w:color="auto"/>
              <w:bottom w:val="nil"/>
              <w:right w:val="single" w:sz="4" w:space="0" w:color="auto"/>
            </w:tcBorders>
            <w:shd w:val="clear" w:color="auto" w:fill="auto"/>
            <w:noWrap/>
            <w:vAlign w:val="bottom"/>
            <w:hideMark/>
          </w:tcPr>
          <w:p w14:paraId="25ACAA71" w14:textId="18E2BCB7" w:rsidR="00CA5891" w:rsidRPr="004E74A6" w:rsidRDefault="00CA5891" w:rsidP="00CE62C1">
            <w:pPr>
              <w:spacing w:line="276" w:lineRule="auto"/>
              <w:jc w:val="center"/>
              <w:rPr>
                <w:sz w:val="20"/>
                <w:lang w:eastAsia="es-CR"/>
              </w:rPr>
            </w:pPr>
            <w:r w:rsidRPr="004E74A6">
              <w:rPr>
                <w:rFonts w:cs="Calibri"/>
                <w:color w:val="000000"/>
                <w:sz w:val="20"/>
              </w:rPr>
              <w:t>0</w:t>
            </w:r>
          </w:p>
        </w:tc>
        <w:tc>
          <w:tcPr>
            <w:tcW w:w="457" w:type="pct"/>
            <w:tcBorders>
              <w:top w:val="nil"/>
              <w:left w:val="single" w:sz="4" w:space="0" w:color="auto"/>
              <w:bottom w:val="nil"/>
              <w:right w:val="single" w:sz="4" w:space="0" w:color="auto"/>
            </w:tcBorders>
            <w:shd w:val="clear" w:color="auto" w:fill="auto"/>
            <w:noWrap/>
            <w:vAlign w:val="bottom"/>
            <w:hideMark/>
          </w:tcPr>
          <w:p w14:paraId="6C1388DD" w14:textId="245AD7B3" w:rsidR="00CA5891" w:rsidRPr="004E74A6" w:rsidRDefault="00CA5891" w:rsidP="00CE62C1">
            <w:pPr>
              <w:spacing w:line="276" w:lineRule="auto"/>
              <w:jc w:val="center"/>
              <w:rPr>
                <w:rFonts w:cs="Calibri"/>
                <w:color w:val="000000"/>
                <w:sz w:val="20"/>
                <w:lang w:eastAsia="es-CR"/>
              </w:rPr>
            </w:pPr>
            <w:r w:rsidRPr="004E74A6">
              <w:rPr>
                <w:rFonts w:cs="Calibri"/>
                <w:color w:val="000000"/>
                <w:sz w:val="20"/>
              </w:rPr>
              <w:t>1</w:t>
            </w:r>
          </w:p>
        </w:tc>
        <w:tc>
          <w:tcPr>
            <w:tcW w:w="458" w:type="pct"/>
            <w:tcBorders>
              <w:top w:val="nil"/>
              <w:left w:val="single" w:sz="4" w:space="0" w:color="auto"/>
              <w:bottom w:val="nil"/>
              <w:right w:val="single" w:sz="4" w:space="0" w:color="auto"/>
            </w:tcBorders>
            <w:shd w:val="clear" w:color="auto" w:fill="auto"/>
            <w:noWrap/>
            <w:vAlign w:val="bottom"/>
            <w:hideMark/>
          </w:tcPr>
          <w:p w14:paraId="447681FE" w14:textId="4C11A6AC" w:rsidR="00CA5891" w:rsidRPr="004E74A6" w:rsidRDefault="00CA5891" w:rsidP="00CE62C1">
            <w:pPr>
              <w:spacing w:line="276" w:lineRule="auto"/>
              <w:jc w:val="center"/>
              <w:rPr>
                <w:rFonts w:cs="Calibri"/>
                <w:color w:val="000000"/>
                <w:sz w:val="20"/>
                <w:lang w:eastAsia="es-CR"/>
              </w:rPr>
            </w:pPr>
            <w:r w:rsidRPr="004E74A6">
              <w:rPr>
                <w:rFonts w:cs="Calibri"/>
                <w:color w:val="000000"/>
                <w:sz w:val="20"/>
              </w:rPr>
              <w:t>0</w:t>
            </w:r>
          </w:p>
        </w:tc>
        <w:tc>
          <w:tcPr>
            <w:tcW w:w="616" w:type="pct"/>
            <w:tcBorders>
              <w:top w:val="nil"/>
              <w:left w:val="single" w:sz="4" w:space="0" w:color="auto"/>
              <w:bottom w:val="nil"/>
              <w:right w:val="nil"/>
            </w:tcBorders>
            <w:shd w:val="clear" w:color="auto" w:fill="auto"/>
            <w:noWrap/>
            <w:vAlign w:val="bottom"/>
            <w:hideMark/>
          </w:tcPr>
          <w:p w14:paraId="1165C2EB" w14:textId="5122229D" w:rsidR="00CA5891" w:rsidRPr="004E74A6" w:rsidRDefault="00CA5891" w:rsidP="00CE62C1">
            <w:pPr>
              <w:spacing w:line="276" w:lineRule="auto"/>
              <w:jc w:val="center"/>
              <w:rPr>
                <w:rFonts w:cs="Calibri"/>
                <w:color w:val="000000"/>
                <w:sz w:val="20"/>
                <w:lang w:eastAsia="es-CR"/>
              </w:rPr>
            </w:pPr>
            <w:r w:rsidRPr="004E74A6">
              <w:rPr>
                <w:rFonts w:cs="Calibri"/>
                <w:color w:val="000000"/>
                <w:sz w:val="20"/>
              </w:rPr>
              <w:t>0,3</w:t>
            </w:r>
          </w:p>
        </w:tc>
      </w:tr>
      <w:tr w:rsidR="00CA5891" w:rsidRPr="004E74A6" w14:paraId="6616EBDA" w14:textId="77777777" w:rsidTr="00CA5891">
        <w:trPr>
          <w:trHeight w:val="288"/>
        </w:trPr>
        <w:tc>
          <w:tcPr>
            <w:tcW w:w="3012" w:type="pct"/>
            <w:tcBorders>
              <w:top w:val="nil"/>
              <w:left w:val="nil"/>
              <w:bottom w:val="nil"/>
              <w:right w:val="single" w:sz="4" w:space="0" w:color="auto"/>
            </w:tcBorders>
            <w:shd w:val="clear" w:color="auto" w:fill="auto"/>
            <w:noWrap/>
            <w:vAlign w:val="bottom"/>
            <w:hideMark/>
          </w:tcPr>
          <w:p w14:paraId="22FA21C5" w14:textId="77777777" w:rsidR="00CA5891" w:rsidRPr="004E74A6" w:rsidRDefault="00CA5891" w:rsidP="00CE62C1">
            <w:pPr>
              <w:spacing w:line="276" w:lineRule="auto"/>
              <w:ind w:firstLineChars="200" w:firstLine="400"/>
              <w:jc w:val="left"/>
              <w:rPr>
                <w:rFonts w:cs="Calibri"/>
                <w:color w:val="000000"/>
                <w:sz w:val="20"/>
                <w:lang w:eastAsia="es-CR"/>
              </w:rPr>
            </w:pPr>
            <w:r w:rsidRPr="004E74A6">
              <w:rPr>
                <w:rFonts w:cs="Calibri"/>
                <w:color w:val="000000"/>
                <w:sz w:val="20"/>
                <w:lang w:eastAsia="es-CR"/>
              </w:rPr>
              <w:t>Sumario de cobro de obligación dineraria no monitoria</w:t>
            </w:r>
          </w:p>
        </w:tc>
        <w:tc>
          <w:tcPr>
            <w:tcW w:w="457" w:type="pct"/>
            <w:tcBorders>
              <w:top w:val="nil"/>
              <w:left w:val="single" w:sz="4" w:space="0" w:color="auto"/>
              <w:bottom w:val="nil"/>
              <w:right w:val="single" w:sz="4" w:space="0" w:color="auto"/>
            </w:tcBorders>
            <w:shd w:val="clear" w:color="auto" w:fill="auto"/>
            <w:noWrap/>
            <w:vAlign w:val="bottom"/>
            <w:hideMark/>
          </w:tcPr>
          <w:p w14:paraId="70EE3BCF" w14:textId="24AE1C7A" w:rsidR="00CA5891" w:rsidRPr="004E74A6" w:rsidRDefault="00CA5891" w:rsidP="00CE62C1">
            <w:pPr>
              <w:spacing w:line="276" w:lineRule="auto"/>
              <w:jc w:val="center"/>
              <w:rPr>
                <w:rFonts w:cs="Calibri"/>
                <w:color w:val="000000"/>
                <w:sz w:val="20"/>
                <w:lang w:eastAsia="es-CR"/>
              </w:rPr>
            </w:pPr>
            <w:r w:rsidRPr="004E74A6">
              <w:rPr>
                <w:rFonts w:cs="Calibri"/>
                <w:color w:val="000000"/>
                <w:sz w:val="20"/>
              </w:rPr>
              <w:t>1</w:t>
            </w:r>
          </w:p>
        </w:tc>
        <w:tc>
          <w:tcPr>
            <w:tcW w:w="457" w:type="pct"/>
            <w:tcBorders>
              <w:top w:val="nil"/>
              <w:left w:val="single" w:sz="4" w:space="0" w:color="auto"/>
              <w:bottom w:val="nil"/>
              <w:right w:val="single" w:sz="4" w:space="0" w:color="auto"/>
            </w:tcBorders>
            <w:shd w:val="clear" w:color="auto" w:fill="auto"/>
            <w:noWrap/>
            <w:vAlign w:val="bottom"/>
            <w:hideMark/>
          </w:tcPr>
          <w:p w14:paraId="7E796BB5" w14:textId="4D616880" w:rsidR="00CA5891" w:rsidRPr="004E74A6" w:rsidRDefault="00CA5891" w:rsidP="00CE62C1">
            <w:pPr>
              <w:spacing w:line="276" w:lineRule="auto"/>
              <w:jc w:val="center"/>
              <w:rPr>
                <w:rFonts w:cs="Calibri"/>
                <w:color w:val="000000"/>
                <w:sz w:val="20"/>
                <w:lang w:eastAsia="es-CR"/>
              </w:rPr>
            </w:pPr>
            <w:r w:rsidRPr="004E74A6">
              <w:rPr>
                <w:rFonts w:cs="Calibri"/>
                <w:color w:val="000000"/>
                <w:sz w:val="20"/>
              </w:rPr>
              <w:t>1</w:t>
            </w:r>
          </w:p>
        </w:tc>
        <w:tc>
          <w:tcPr>
            <w:tcW w:w="458" w:type="pct"/>
            <w:tcBorders>
              <w:top w:val="nil"/>
              <w:left w:val="single" w:sz="4" w:space="0" w:color="auto"/>
              <w:bottom w:val="nil"/>
              <w:right w:val="single" w:sz="4" w:space="0" w:color="auto"/>
            </w:tcBorders>
            <w:shd w:val="clear" w:color="auto" w:fill="auto"/>
            <w:noWrap/>
            <w:vAlign w:val="bottom"/>
            <w:hideMark/>
          </w:tcPr>
          <w:p w14:paraId="1325F42B" w14:textId="7B491E9A" w:rsidR="00CA5891" w:rsidRPr="004E74A6" w:rsidRDefault="00CA5891" w:rsidP="00CE62C1">
            <w:pPr>
              <w:spacing w:line="276" w:lineRule="auto"/>
              <w:jc w:val="center"/>
              <w:rPr>
                <w:rFonts w:cs="Calibri"/>
                <w:color w:val="000000"/>
                <w:sz w:val="20"/>
                <w:lang w:eastAsia="es-CR"/>
              </w:rPr>
            </w:pPr>
            <w:r w:rsidRPr="004E74A6">
              <w:rPr>
                <w:rFonts w:cs="Calibri"/>
                <w:color w:val="000000"/>
                <w:sz w:val="20"/>
              </w:rPr>
              <w:t>1</w:t>
            </w:r>
          </w:p>
        </w:tc>
        <w:tc>
          <w:tcPr>
            <w:tcW w:w="616" w:type="pct"/>
            <w:tcBorders>
              <w:top w:val="nil"/>
              <w:left w:val="single" w:sz="4" w:space="0" w:color="auto"/>
              <w:bottom w:val="nil"/>
              <w:right w:val="nil"/>
            </w:tcBorders>
            <w:shd w:val="clear" w:color="auto" w:fill="auto"/>
            <w:noWrap/>
            <w:vAlign w:val="bottom"/>
            <w:hideMark/>
          </w:tcPr>
          <w:p w14:paraId="3214E160" w14:textId="789AF93E" w:rsidR="00CA5891" w:rsidRPr="004E74A6" w:rsidRDefault="00CA5891" w:rsidP="00CE62C1">
            <w:pPr>
              <w:spacing w:line="276" w:lineRule="auto"/>
              <w:jc w:val="center"/>
              <w:rPr>
                <w:rFonts w:cs="Calibri"/>
                <w:color w:val="000000"/>
                <w:sz w:val="20"/>
                <w:lang w:eastAsia="es-CR"/>
              </w:rPr>
            </w:pPr>
            <w:r w:rsidRPr="004E74A6">
              <w:rPr>
                <w:rFonts w:cs="Calibri"/>
                <w:color w:val="000000"/>
                <w:sz w:val="20"/>
              </w:rPr>
              <w:t>1,0</w:t>
            </w:r>
          </w:p>
        </w:tc>
      </w:tr>
      <w:tr w:rsidR="00CA5891" w:rsidRPr="004E74A6" w14:paraId="6D0A3E8A" w14:textId="77777777" w:rsidTr="00CA5891">
        <w:trPr>
          <w:trHeight w:val="288"/>
        </w:trPr>
        <w:tc>
          <w:tcPr>
            <w:tcW w:w="3012" w:type="pct"/>
            <w:tcBorders>
              <w:top w:val="nil"/>
              <w:left w:val="nil"/>
              <w:bottom w:val="nil"/>
              <w:right w:val="single" w:sz="4" w:space="0" w:color="auto"/>
            </w:tcBorders>
            <w:shd w:val="clear" w:color="auto" w:fill="auto"/>
            <w:noWrap/>
            <w:vAlign w:val="bottom"/>
            <w:hideMark/>
          </w:tcPr>
          <w:p w14:paraId="1862EB15" w14:textId="77777777" w:rsidR="00CA5891" w:rsidRPr="004E74A6" w:rsidRDefault="00CA5891" w:rsidP="00CE62C1">
            <w:pPr>
              <w:spacing w:line="276" w:lineRule="auto"/>
              <w:ind w:firstLineChars="200" w:firstLine="400"/>
              <w:jc w:val="left"/>
              <w:rPr>
                <w:rFonts w:cs="Calibri"/>
                <w:color w:val="000000"/>
                <w:sz w:val="20"/>
                <w:lang w:eastAsia="es-CR"/>
              </w:rPr>
            </w:pPr>
            <w:r w:rsidRPr="004E74A6">
              <w:rPr>
                <w:rFonts w:cs="Calibri"/>
                <w:color w:val="000000"/>
                <w:sz w:val="20"/>
                <w:lang w:eastAsia="es-CR"/>
              </w:rPr>
              <w:t>Sumario de controversia en condominios</w:t>
            </w:r>
          </w:p>
        </w:tc>
        <w:tc>
          <w:tcPr>
            <w:tcW w:w="457" w:type="pct"/>
            <w:tcBorders>
              <w:top w:val="nil"/>
              <w:left w:val="single" w:sz="4" w:space="0" w:color="auto"/>
              <w:bottom w:val="nil"/>
              <w:right w:val="single" w:sz="4" w:space="0" w:color="auto"/>
            </w:tcBorders>
            <w:shd w:val="clear" w:color="auto" w:fill="auto"/>
            <w:noWrap/>
            <w:vAlign w:val="bottom"/>
            <w:hideMark/>
          </w:tcPr>
          <w:p w14:paraId="25E132C9" w14:textId="22B4C06C" w:rsidR="00CA5891" w:rsidRPr="004E74A6" w:rsidRDefault="00CA5891" w:rsidP="00CE62C1">
            <w:pPr>
              <w:spacing w:line="276" w:lineRule="auto"/>
              <w:jc w:val="center"/>
              <w:rPr>
                <w:rFonts w:cs="Calibri"/>
                <w:color w:val="000000"/>
                <w:sz w:val="20"/>
                <w:lang w:eastAsia="es-CR"/>
              </w:rPr>
            </w:pPr>
            <w:r w:rsidRPr="004E74A6">
              <w:rPr>
                <w:rFonts w:cs="Calibri"/>
                <w:color w:val="000000"/>
                <w:sz w:val="20"/>
              </w:rPr>
              <w:t>1</w:t>
            </w:r>
          </w:p>
        </w:tc>
        <w:tc>
          <w:tcPr>
            <w:tcW w:w="457" w:type="pct"/>
            <w:tcBorders>
              <w:top w:val="nil"/>
              <w:left w:val="single" w:sz="4" w:space="0" w:color="auto"/>
              <w:bottom w:val="nil"/>
              <w:right w:val="single" w:sz="4" w:space="0" w:color="auto"/>
            </w:tcBorders>
            <w:shd w:val="clear" w:color="auto" w:fill="auto"/>
            <w:noWrap/>
            <w:vAlign w:val="bottom"/>
            <w:hideMark/>
          </w:tcPr>
          <w:p w14:paraId="4B661EAA" w14:textId="0B46AFE7" w:rsidR="00CA5891" w:rsidRPr="004E74A6" w:rsidRDefault="00CA5891" w:rsidP="00CE62C1">
            <w:pPr>
              <w:spacing w:line="276" w:lineRule="auto"/>
              <w:jc w:val="center"/>
              <w:rPr>
                <w:rFonts w:cs="Calibri"/>
                <w:color w:val="000000"/>
                <w:sz w:val="20"/>
                <w:lang w:eastAsia="es-CR"/>
              </w:rPr>
            </w:pPr>
            <w:r w:rsidRPr="004E74A6">
              <w:rPr>
                <w:rFonts w:cs="Calibri"/>
                <w:color w:val="000000"/>
                <w:sz w:val="20"/>
              </w:rPr>
              <w:t>0</w:t>
            </w:r>
          </w:p>
        </w:tc>
        <w:tc>
          <w:tcPr>
            <w:tcW w:w="458" w:type="pct"/>
            <w:tcBorders>
              <w:top w:val="nil"/>
              <w:left w:val="single" w:sz="4" w:space="0" w:color="auto"/>
              <w:bottom w:val="nil"/>
              <w:right w:val="single" w:sz="4" w:space="0" w:color="auto"/>
            </w:tcBorders>
            <w:shd w:val="clear" w:color="auto" w:fill="auto"/>
            <w:noWrap/>
            <w:vAlign w:val="bottom"/>
            <w:hideMark/>
          </w:tcPr>
          <w:p w14:paraId="27B32AD6" w14:textId="1A9D7888" w:rsidR="00CA5891" w:rsidRPr="004E74A6" w:rsidRDefault="00CA5891" w:rsidP="00CE62C1">
            <w:pPr>
              <w:spacing w:line="276" w:lineRule="auto"/>
              <w:jc w:val="center"/>
              <w:rPr>
                <w:rFonts w:cs="Calibri"/>
                <w:color w:val="000000"/>
                <w:sz w:val="20"/>
                <w:lang w:eastAsia="es-CR"/>
              </w:rPr>
            </w:pPr>
            <w:r w:rsidRPr="004E74A6">
              <w:rPr>
                <w:rFonts w:cs="Calibri"/>
                <w:color w:val="000000"/>
                <w:sz w:val="20"/>
              </w:rPr>
              <w:t>1</w:t>
            </w:r>
          </w:p>
        </w:tc>
        <w:tc>
          <w:tcPr>
            <w:tcW w:w="616" w:type="pct"/>
            <w:tcBorders>
              <w:top w:val="nil"/>
              <w:left w:val="single" w:sz="4" w:space="0" w:color="auto"/>
              <w:bottom w:val="nil"/>
              <w:right w:val="nil"/>
            </w:tcBorders>
            <w:shd w:val="clear" w:color="auto" w:fill="auto"/>
            <w:noWrap/>
            <w:vAlign w:val="bottom"/>
            <w:hideMark/>
          </w:tcPr>
          <w:p w14:paraId="1F7F2DBC" w14:textId="10CA703B" w:rsidR="00CA5891" w:rsidRPr="004E74A6" w:rsidRDefault="00CA5891" w:rsidP="00CE62C1">
            <w:pPr>
              <w:spacing w:line="276" w:lineRule="auto"/>
              <w:jc w:val="center"/>
              <w:rPr>
                <w:rFonts w:cs="Calibri"/>
                <w:color w:val="000000"/>
                <w:sz w:val="20"/>
                <w:lang w:eastAsia="es-CR"/>
              </w:rPr>
            </w:pPr>
            <w:r w:rsidRPr="004E74A6">
              <w:rPr>
                <w:rFonts w:cs="Calibri"/>
                <w:color w:val="000000"/>
                <w:sz w:val="20"/>
              </w:rPr>
              <w:t>1</w:t>
            </w:r>
          </w:p>
        </w:tc>
      </w:tr>
      <w:tr w:rsidR="00CA5891" w:rsidRPr="004E74A6" w14:paraId="72B016D7" w14:textId="77777777" w:rsidTr="00CA5891">
        <w:trPr>
          <w:trHeight w:val="288"/>
        </w:trPr>
        <w:tc>
          <w:tcPr>
            <w:tcW w:w="3012" w:type="pct"/>
            <w:tcBorders>
              <w:top w:val="nil"/>
              <w:left w:val="nil"/>
              <w:bottom w:val="nil"/>
              <w:right w:val="single" w:sz="4" w:space="0" w:color="auto"/>
            </w:tcBorders>
            <w:shd w:val="clear" w:color="auto" w:fill="auto"/>
            <w:noWrap/>
            <w:vAlign w:val="bottom"/>
            <w:hideMark/>
          </w:tcPr>
          <w:p w14:paraId="3D0E2BA5" w14:textId="77777777" w:rsidR="00CA5891" w:rsidRPr="004E74A6" w:rsidRDefault="00CA5891" w:rsidP="00CE62C1">
            <w:pPr>
              <w:spacing w:line="276" w:lineRule="auto"/>
              <w:ind w:firstLineChars="200" w:firstLine="400"/>
              <w:jc w:val="left"/>
              <w:rPr>
                <w:rFonts w:cs="Calibri"/>
                <w:color w:val="000000"/>
                <w:sz w:val="20"/>
                <w:lang w:eastAsia="es-CR"/>
              </w:rPr>
            </w:pPr>
            <w:r w:rsidRPr="004E74A6">
              <w:rPr>
                <w:rFonts w:cs="Calibri"/>
                <w:color w:val="000000"/>
                <w:sz w:val="20"/>
                <w:lang w:eastAsia="es-CR"/>
              </w:rPr>
              <w:t>Sumario de defensa del consumidor</w:t>
            </w:r>
          </w:p>
        </w:tc>
        <w:tc>
          <w:tcPr>
            <w:tcW w:w="457" w:type="pct"/>
            <w:tcBorders>
              <w:top w:val="nil"/>
              <w:left w:val="single" w:sz="4" w:space="0" w:color="auto"/>
              <w:bottom w:val="nil"/>
              <w:right w:val="single" w:sz="4" w:space="0" w:color="auto"/>
            </w:tcBorders>
            <w:shd w:val="clear" w:color="auto" w:fill="auto"/>
            <w:noWrap/>
            <w:vAlign w:val="bottom"/>
            <w:hideMark/>
          </w:tcPr>
          <w:p w14:paraId="63AD27FD" w14:textId="58BEE734" w:rsidR="00CA5891" w:rsidRPr="004E74A6" w:rsidRDefault="00CA5891" w:rsidP="00CE62C1">
            <w:pPr>
              <w:spacing w:line="276" w:lineRule="auto"/>
              <w:jc w:val="center"/>
              <w:rPr>
                <w:rFonts w:cs="Calibri"/>
                <w:color w:val="000000"/>
                <w:sz w:val="20"/>
                <w:lang w:eastAsia="es-CR"/>
              </w:rPr>
            </w:pPr>
            <w:r w:rsidRPr="004E74A6">
              <w:rPr>
                <w:rFonts w:cs="Calibri"/>
                <w:color w:val="000000"/>
                <w:sz w:val="20"/>
              </w:rPr>
              <w:t>1</w:t>
            </w:r>
          </w:p>
        </w:tc>
        <w:tc>
          <w:tcPr>
            <w:tcW w:w="457" w:type="pct"/>
            <w:tcBorders>
              <w:top w:val="nil"/>
              <w:left w:val="single" w:sz="4" w:space="0" w:color="auto"/>
              <w:bottom w:val="nil"/>
              <w:right w:val="single" w:sz="4" w:space="0" w:color="auto"/>
            </w:tcBorders>
            <w:shd w:val="clear" w:color="auto" w:fill="auto"/>
            <w:noWrap/>
            <w:vAlign w:val="bottom"/>
            <w:hideMark/>
          </w:tcPr>
          <w:p w14:paraId="04E406F4" w14:textId="79E4A54D" w:rsidR="00CA5891" w:rsidRPr="004E74A6" w:rsidRDefault="00CA5891" w:rsidP="00CE62C1">
            <w:pPr>
              <w:spacing w:line="276" w:lineRule="auto"/>
              <w:jc w:val="center"/>
              <w:rPr>
                <w:rFonts w:cs="Calibri"/>
                <w:color w:val="000000"/>
                <w:sz w:val="20"/>
                <w:lang w:eastAsia="es-CR"/>
              </w:rPr>
            </w:pPr>
            <w:r w:rsidRPr="004E74A6">
              <w:rPr>
                <w:rFonts w:cs="Calibri"/>
                <w:color w:val="000000"/>
                <w:sz w:val="20"/>
              </w:rPr>
              <w:t>3</w:t>
            </w:r>
          </w:p>
        </w:tc>
        <w:tc>
          <w:tcPr>
            <w:tcW w:w="458" w:type="pct"/>
            <w:tcBorders>
              <w:top w:val="nil"/>
              <w:left w:val="single" w:sz="4" w:space="0" w:color="auto"/>
              <w:bottom w:val="nil"/>
              <w:right w:val="single" w:sz="4" w:space="0" w:color="auto"/>
            </w:tcBorders>
            <w:shd w:val="clear" w:color="auto" w:fill="auto"/>
            <w:noWrap/>
            <w:vAlign w:val="bottom"/>
            <w:hideMark/>
          </w:tcPr>
          <w:p w14:paraId="3AEB83A6" w14:textId="326BFAB8" w:rsidR="00CA5891" w:rsidRPr="004E74A6" w:rsidRDefault="00CA5891" w:rsidP="00CE62C1">
            <w:pPr>
              <w:spacing w:line="276" w:lineRule="auto"/>
              <w:jc w:val="center"/>
              <w:rPr>
                <w:rFonts w:cs="Calibri"/>
                <w:color w:val="000000"/>
                <w:sz w:val="20"/>
                <w:lang w:eastAsia="es-CR"/>
              </w:rPr>
            </w:pPr>
            <w:r w:rsidRPr="004E74A6">
              <w:rPr>
                <w:rFonts w:cs="Calibri"/>
                <w:color w:val="000000"/>
                <w:sz w:val="20"/>
              </w:rPr>
              <w:t>3</w:t>
            </w:r>
          </w:p>
        </w:tc>
        <w:tc>
          <w:tcPr>
            <w:tcW w:w="616" w:type="pct"/>
            <w:tcBorders>
              <w:top w:val="nil"/>
              <w:left w:val="single" w:sz="4" w:space="0" w:color="auto"/>
              <w:bottom w:val="nil"/>
              <w:right w:val="nil"/>
            </w:tcBorders>
            <w:shd w:val="clear" w:color="auto" w:fill="auto"/>
            <w:noWrap/>
            <w:vAlign w:val="bottom"/>
            <w:hideMark/>
          </w:tcPr>
          <w:p w14:paraId="78265C4E" w14:textId="48CDE412" w:rsidR="00CA5891" w:rsidRPr="004E74A6" w:rsidRDefault="00CA5891" w:rsidP="00CE62C1">
            <w:pPr>
              <w:spacing w:line="276" w:lineRule="auto"/>
              <w:jc w:val="center"/>
              <w:rPr>
                <w:rFonts w:cs="Calibri"/>
                <w:color w:val="000000"/>
                <w:sz w:val="20"/>
                <w:lang w:eastAsia="es-CR"/>
              </w:rPr>
            </w:pPr>
            <w:r w:rsidRPr="004E74A6">
              <w:rPr>
                <w:rFonts w:cs="Calibri"/>
                <w:color w:val="000000"/>
                <w:sz w:val="20"/>
              </w:rPr>
              <w:t>2,3</w:t>
            </w:r>
          </w:p>
        </w:tc>
      </w:tr>
      <w:tr w:rsidR="00CA5891" w:rsidRPr="004E74A6" w14:paraId="06C60043" w14:textId="77777777" w:rsidTr="00CA5891">
        <w:trPr>
          <w:trHeight w:val="288"/>
        </w:trPr>
        <w:tc>
          <w:tcPr>
            <w:tcW w:w="3012" w:type="pct"/>
            <w:tcBorders>
              <w:top w:val="nil"/>
              <w:left w:val="nil"/>
              <w:right w:val="single" w:sz="4" w:space="0" w:color="auto"/>
            </w:tcBorders>
            <w:shd w:val="clear" w:color="auto" w:fill="auto"/>
            <w:noWrap/>
            <w:vAlign w:val="bottom"/>
            <w:hideMark/>
          </w:tcPr>
          <w:p w14:paraId="686935B5" w14:textId="77777777" w:rsidR="00CA5891" w:rsidRPr="004E74A6" w:rsidRDefault="00CA5891" w:rsidP="00CE62C1">
            <w:pPr>
              <w:spacing w:line="276" w:lineRule="auto"/>
              <w:ind w:firstLineChars="200" w:firstLine="400"/>
              <w:jc w:val="left"/>
              <w:rPr>
                <w:rFonts w:cs="Calibri"/>
                <w:color w:val="000000"/>
                <w:sz w:val="20"/>
                <w:lang w:eastAsia="es-CR"/>
              </w:rPr>
            </w:pPr>
            <w:r w:rsidRPr="004E74A6">
              <w:rPr>
                <w:rFonts w:cs="Calibri"/>
                <w:color w:val="000000"/>
                <w:sz w:val="20"/>
                <w:lang w:eastAsia="es-CR"/>
              </w:rPr>
              <w:t>Sumarios Especiales</w:t>
            </w:r>
          </w:p>
        </w:tc>
        <w:tc>
          <w:tcPr>
            <w:tcW w:w="457" w:type="pct"/>
            <w:tcBorders>
              <w:top w:val="nil"/>
              <w:left w:val="single" w:sz="4" w:space="0" w:color="auto"/>
              <w:right w:val="single" w:sz="4" w:space="0" w:color="auto"/>
            </w:tcBorders>
            <w:shd w:val="clear" w:color="auto" w:fill="auto"/>
            <w:noWrap/>
            <w:vAlign w:val="bottom"/>
            <w:hideMark/>
          </w:tcPr>
          <w:p w14:paraId="273E477C" w14:textId="06B5ED35" w:rsidR="00CA5891" w:rsidRPr="004E74A6" w:rsidRDefault="00CA5891" w:rsidP="00CE62C1">
            <w:pPr>
              <w:spacing w:line="276" w:lineRule="auto"/>
              <w:jc w:val="center"/>
              <w:rPr>
                <w:rFonts w:cs="Calibri"/>
                <w:color w:val="000000"/>
                <w:sz w:val="20"/>
                <w:lang w:eastAsia="es-CR"/>
              </w:rPr>
            </w:pPr>
            <w:r w:rsidRPr="004E74A6">
              <w:rPr>
                <w:rFonts w:cs="Calibri"/>
                <w:color w:val="000000"/>
                <w:sz w:val="20"/>
              </w:rPr>
              <w:t>1</w:t>
            </w:r>
          </w:p>
        </w:tc>
        <w:tc>
          <w:tcPr>
            <w:tcW w:w="457" w:type="pct"/>
            <w:tcBorders>
              <w:top w:val="nil"/>
              <w:left w:val="single" w:sz="4" w:space="0" w:color="auto"/>
              <w:right w:val="single" w:sz="4" w:space="0" w:color="auto"/>
            </w:tcBorders>
            <w:shd w:val="clear" w:color="auto" w:fill="auto"/>
            <w:noWrap/>
            <w:vAlign w:val="bottom"/>
            <w:hideMark/>
          </w:tcPr>
          <w:p w14:paraId="1B4914A6" w14:textId="0C59AE73" w:rsidR="00CA5891" w:rsidRPr="004E74A6" w:rsidRDefault="00CA5891" w:rsidP="00CE62C1">
            <w:pPr>
              <w:spacing w:line="276" w:lineRule="auto"/>
              <w:jc w:val="center"/>
              <w:rPr>
                <w:rFonts w:cs="Calibri"/>
                <w:color w:val="000000"/>
                <w:sz w:val="20"/>
                <w:lang w:eastAsia="es-CR"/>
              </w:rPr>
            </w:pPr>
            <w:r w:rsidRPr="004E74A6">
              <w:rPr>
                <w:rFonts w:cs="Calibri"/>
                <w:color w:val="000000"/>
                <w:sz w:val="20"/>
              </w:rPr>
              <w:t>0</w:t>
            </w:r>
          </w:p>
        </w:tc>
        <w:tc>
          <w:tcPr>
            <w:tcW w:w="458" w:type="pct"/>
            <w:tcBorders>
              <w:top w:val="nil"/>
              <w:left w:val="single" w:sz="4" w:space="0" w:color="auto"/>
              <w:right w:val="single" w:sz="4" w:space="0" w:color="auto"/>
            </w:tcBorders>
            <w:shd w:val="clear" w:color="auto" w:fill="auto"/>
            <w:noWrap/>
            <w:vAlign w:val="bottom"/>
            <w:hideMark/>
          </w:tcPr>
          <w:p w14:paraId="5DA9EB69" w14:textId="67861AFC" w:rsidR="00CA5891" w:rsidRPr="004E74A6" w:rsidRDefault="00CA5891" w:rsidP="00CE62C1">
            <w:pPr>
              <w:spacing w:line="276" w:lineRule="auto"/>
              <w:jc w:val="center"/>
              <w:rPr>
                <w:sz w:val="20"/>
                <w:lang w:eastAsia="es-CR"/>
              </w:rPr>
            </w:pPr>
            <w:r w:rsidRPr="004E74A6">
              <w:rPr>
                <w:rFonts w:cs="Calibri"/>
                <w:color w:val="000000"/>
                <w:sz w:val="20"/>
              </w:rPr>
              <w:t>0</w:t>
            </w:r>
          </w:p>
        </w:tc>
        <w:tc>
          <w:tcPr>
            <w:tcW w:w="616" w:type="pct"/>
            <w:tcBorders>
              <w:top w:val="nil"/>
              <w:left w:val="single" w:sz="4" w:space="0" w:color="auto"/>
              <w:right w:val="nil"/>
            </w:tcBorders>
            <w:shd w:val="clear" w:color="auto" w:fill="auto"/>
            <w:noWrap/>
            <w:vAlign w:val="bottom"/>
            <w:hideMark/>
          </w:tcPr>
          <w:p w14:paraId="5AB90372" w14:textId="34791EE4" w:rsidR="00CA5891" w:rsidRPr="004E74A6" w:rsidRDefault="00CA5891" w:rsidP="00CE62C1">
            <w:pPr>
              <w:spacing w:line="276" w:lineRule="auto"/>
              <w:jc w:val="center"/>
              <w:rPr>
                <w:rFonts w:cs="Calibri"/>
                <w:color w:val="000000"/>
                <w:sz w:val="20"/>
                <w:lang w:eastAsia="es-CR"/>
              </w:rPr>
            </w:pPr>
            <w:r w:rsidRPr="004E74A6">
              <w:rPr>
                <w:rFonts w:cs="Calibri"/>
                <w:color w:val="000000"/>
                <w:sz w:val="20"/>
              </w:rPr>
              <w:t>0,3</w:t>
            </w:r>
          </w:p>
        </w:tc>
      </w:tr>
      <w:tr w:rsidR="00032A6A" w:rsidRPr="004E74A6" w14:paraId="52D3B870" w14:textId="77777777" w:rsidTr="00CA5891">
        <w:trPr>
          <w:trHeight w:val="288"/>
        </w:trPr>
        <w:tc>
          <w:tcPr>
            <w:tcW w:w="3012" w:type="pct"/>
            <w:tcBorders>
              <w:top w:val="nil"/>
              <w:left w:val="nil"/>
              <w:bottom w:val="single" w:sz="4" w:space="0" w:color="auto"/>
              <w:right w:val="single" w:sz="4" w:space="0" w:color="auto"/>
            </w:tcBorders>
            <w:shd w:val="clear" w:color="auto" w:fill="auto"/>
            <w:noWrap/>
            <w:vAlign w:val="bottom"/>
          </w:tcPr>
          <w:p w14:paraId="7504C7A1" w14:textId="77777777" w:rsidR="008647ED" w:rsidRPr="004E74A6" w:rsidRDefault="008647ED" w:rsidP="00CE62C1">
            <w:pPr>
              <w:spacing w:line="276" w:lineRule="auto"/>
              <w:ind w:firstLineChars="200" w:firstLine="400"/>
              <w:jc w:val="left"/>
              <w:rPr>
                <w:rFonts w:cs="Calibri"/>
                <w:color w:val="000000"/>
                <w:sz w:val="20"/>
                <w:lang w:eastAsia="es-CR"/>
              </w:rPr>
            </w:pPr>
          </w:p>
        </w:tc>
        <w:tc>
          <w:tcPr>
            <w:tcW w:w="457" w:type="pct"/>
            <w:tcBorders>
              <w:top w:val="nil"/>
              <w:left w:val="single" w:sz="4" w:space="0" w:color="auto"/>
              <w:bottom w:val="single" w:sz="4" w:space="0" w:color="auto"/>
              <w:right w:val="single" w:sz="4" w:space="0" w:color="auto"/>
            </w:tcBorders>
            <w:shd w:val="clear" w:color="auto" w:fill="auto"/>
            <w:noWrap/>
            <w:vAlign w:val="center"/>
          </w:tcPr>
          <w:p w14:paraId="536B5BA8" w14:textId="77777777" w:rsidR="008647ED" w:rsidRPr="004E74A6" w:rsidRDefault="008647ED" w:rsidP="00CE62C1">
            <w:pPr>
              <w:spacing w:line="276" w:lineRule="auto"/>
              <w:jc w:val="center"/>
              <w:rPr>
                <w:rFonts w:cs="Calibri"/>
                <w:color w:val="000000"/>
                <w:sz w:val="20"/>
                <w:lang w:eastAsia="es-CR"/>
              </w:rPr>
            </w:pPr>
          </w:p>
        </w:tc>
        <w:tc>
          <w:tcPr>
            <w:tcW w:w="457" w:type="pct"/>
            <w:tcBorders>
              <w:top w:val="nil"/>
              <w:left w:val="single" w:sz="4" w:space="0" w:color="auto"/>
              <w:bottom w:val="single" w:sz="4" w:space="0" w:color="auto"/>
              <w:right w:val="single" w:sz="4" w:space="0" w:color="auto"/>
            </w:tcBorders>
            <w:shd w:val="clear" w:color="auto" w:fill="auto"/>
            <w:noWrap/>
            <w:vAlign w:val="center"/>
          </w:tcPr>
          <w:p w14:paraId="58A812B9" w14:textId="77777777" w:rsidR="008647ED" w:rsidRPr="004E74A6" w:rsidRDefault="008647ED" w:rsidP="00CE62C1">
            <w:pPr>
              <w:spacing w:line="276" w:lineRule="auto"/>
              <w:jc w:val="center"/>
              <w:rPr>
                <w:rFonts w:cs="Calibri"/>
                <w:color w:val="000000"/>
                <w:sz w:val="20"/>
                <w:lang w:eastAsia="es-CR"/>
              </w:rPr>
            </w:pPr>
          </w:p>
        </w:tc>
        <w:tc>
          <w:tcPr>
            <w:tcW w:w="458" w:type="pct"/>
            <w:tcBorders>
              <w:top w:val="nil"/>
              <w:left w:val="single" w:sz="4" w:space="0" w:color="auto"/>
              <w:bottom w:val="single" w:sz="4" w:space="0" w:color="auto"/>
              <w:right w:val="single" w:sz="4" w:space="0" w:color="auto"/>
            </w:tcBorders>
            <w:shd w:val="clear" w:color="auto" w:fill="auto"/>
            <w:noWrap/>
            <w:vAlign w:val="center"/>
          </w:tcPr>
          <w:p w14:paraId="42E3231E" w14:textId="77777777" w:rsidR="008647ED" w:rsidRPr="004E74A6" w:rsidRDefault="008647ED" w:rsidP="00CE62C1">
            <w:pPr>
              <w:spacing w:line="276" w:lineRule="auto"/>
              <w:jc w:val="center"/>
              <w:rPr>
                <w:sz w:val="20"/>
                <w:lang w:eastAsia="es-CR"/>
              </w:rPr>
            </w:pPr>
          </w:p>
        </w:tc>
        <w:tc>
          <w:tcPr>
            <w:tcW w:w="616" w:type="pct"/>
            <w:tcBorders>
              <w:top w:val="nil"/>
              <w:left w:val="single" w:sz="4" w:space="0" w:color="auto"/>
              <w:bottom w:val="single" w:sz="4" w:space="0" w:color="auto"/>
              <w:right w:val="nil"/>
            </w:tcBorders>
            <w:shd w:val="clear" w:color="auto" w:fill="auto"/>
            <w:noWrap/>
            <w:vAlign w:val="center"/>
          </w:tcPr>
          <w:p w14:paraId="1EC6FC8F" w14:textId="77777777" w:rsidR="008647ED" w:rsidRPr="004E74A6" w:rsidRDefault="008647ED" w:rsidP="00CE62C1">
            <w:pPr>
              <w:spacing w:line="276" w:lineRule="auto"/>
              <w:jc w:val="center"/>
              <w:rPr>
                <w:rFonts w:cs="Calibri"/>
                <w:color w:val="000000"/>
                <w:sz w:val="20"/>
                <w:lang w:eastAsia="es-CR"/>
              </w:rPr>
            </w:pPr>
          </w:p>
        </w:tc>
      </w:tr>
    </w:tbl>
    <w:p w14:paraId="198265C1" w14:textId="77777777" w:rsidR="003E4755" w:rsidRPr="004E74A6" w:rsidRDefault="003E4755" w:rsidP="00832773">
      <w:pPr>
        <w:spacing w:line="276" w:lineRule="auto"/>
        <w:rPr>
          <w:rFonts w:cs="Calibri"/>
          <w:i/>
          <w:iCs/>
          <w:color w:val="000000"/>
          <w:sz w:val="20"/>
          <w:lang w:eastAsia="es-CR"/>
        </w:rPr>
      </w:pPr>
      <w:r w:rsidRPr="004E74A6">
        <w:rPr>
          <w:rFonts w:cs="Calibri"/>
          <w:b/>
          <w:bCs/>
          <w:i/>
          <w:iCs/>
          <w:color w:val="000000"/>
          <w:sz w:val="20"/>
          <w:lang w:eastAsia="es-CR"/>
        </w:rPr>
        <w:t>Fuente</w:t>
      </w:r>
      <w:r w:rsidRPr="004E74A6">
        <w:rPr>
          <w:rFonts w:cs="Calibri"/>
          <w:i/>
          <w:iCs/>
          <w:color w:val="000000"/>
          <w:sz w:val="20"/>
          <w:lang w:eastAsia="es-CR"/>
        </w:rPr>
        <w:t>: Subproceso de Modernización Institucional con datos extraídos del sistema SIGMA, Dirección de Planificación.</w:t>
      </w:r>
    </w:p>
    <w:p w14:paraId="1F578D43" w14:textId="77777777" w:rsidR="008647ED" w:rsidRPr="004E74A6" w:rsidRDefault="008647ED" w:rsidP="00CE62C1">
      <w:pPr>
        <w:spacing w:after="160" w:line="276" w:lineRule="auto"/>
        <w:rPr>
          <w:rFonts w:cs="Calibri"/>
          <w:color w:val="000000"/>
          <w:szCs w:val="24"/>
          <w:lang w:eastAsia="es-CR"/>
        </w:rPr>
      </w:pPr>
    </w:p>
    <w:p w14:paraId="7620479B" w14:textId="4C8769F3" w:rsidR="00CA5891" w:rsidRPr="004E74A6" w:rsidRDefault="00C823C0" w:rsidP="00CE62C1">
      <w:pPr>
        <w:spacing w:after="160" w:line="276" w:lineRule="auto"/>
        <w:rPr>
          <w:rFonts w:cs="Calibri"/>
          <w:color w:val="000000"/>
          <w:szCs w:val="24"/>
          <w:lang w:eastAsia="es-CR"/>
        </w:rPr>
      </w:pPr>
      <w:r>
        <w:rPr>
          <w:rFonts w:cs="Calibri"/>
          <w:color w:val="000000"/>
          <w:szCs w:val="24"/>
          <w:lang w:eastAsia="es-CR"/>
        </w:rPr>
        <w:t>E</w:t>
      </w:r>
      <w:r w:rsidR="00CA5891" w:rsidRPr="004E74A6">
        <w:rPr>
          <w:rFonts w:cs="Calibri"/>
          <w:color w:val="000000"/>
          <w:szCs w:val="24"/>
          <w:lang w:eastAsia="es-CR"/>
        </w:rPr>
        <w:t>n la siguiente tabla se puede observar el detalle de la cuantía según los procedimientos ordinarios del Tribunal.</w:t>
      </w:r>
    </w:p>
    <w:p w14:paraId="4F6801EA" w14:textId="4924742B" w:rsidR="00CA5891" w:rsidRPr="004E74A6" w:rsidRDefault="00CA5891" w:rsidP="00CE62C1">
      <w:pPr>
        <w:spacing w:line="276" w:lineRule="auto"/>
        <w:rPr>
          <w:rFonts w:cs="Calibri"/>
          <w:color w:val="000000"/>
          <w:szCs w:val="24"/>
          <w:lang w:eastAsia="es-CR"/>
        </w:rPr>
      </w:pPr>
      <w:r w:rsidRPr="004E74A6">
        <w:rPr>
          <w:rFonts w:cs="Calibri"/>
          <w:color w:val="000000"/>
          <w:szCs w:val="24"/>
          <w:lang w:eastAsia="es-CR"/>
        </w:rPr>
        <w:t xml:space="preserve">De los procesos ordinarios ingresados en el Tribunal, en promedio </w:t>
      </w:r>
      <w:r w:rsidR="00B92976" w:rsidRPr="004E74A6">
        <w:rPr>
          <w:rFonts w:cs="Calibri"/>
          <w:color w:val="000000"/>
          <w:szCs w:val="24"/>
          <w:lang w:eastAsia="es-CR"/>
        </w:rPr>
        <w:t>7</w:t>
      </w:r>
      <w:r w:rsidRPr="004E74A6">
        <w:rPr>
          <w:rFonts w:cs="Calibri"/>
          <w:color w:val="000000"/>
          <w:szCs w:val="24"/>
          <w:lang w:eastAsia="es-CR"/>
        </w:rPr>
        <w:t xml:space="preserve"> asuntos son inestimables (</w:t>
      </w:r>
      <w:r w:rsidR="00B92976" w:rsidRPr="004E74A6">
        <w:rPr>
          <w:rFonts w:cs="Calibri"/>
          <w:color w:val="000000"/>
          <w:szCs w:val="24"/>
          <w:lang w:eastAsia="es-CR"/>
        </w:rPr>
        <w:t>3</w:t>
      </w:r>
      <w:r w:rsidRPr="004E74A6">
        <w:rPr>
          <w:rFonts w:cs="Calibri"/>
          <w:color w:val="000000"/>
          <w:szCs w:val="24"/>
          <w:lang w:eastAsia="es-CR"/>
        </w:rPr>
        <w:t xml:space="preserve">%), </w:t>
      </w:r>
      <w:r w:rsidR="00B92976" w:rsidRPr="004E74A6">
        <w:rPr>
          <w:rFonts w:cs="Calibri"/>
          <w:color w:val="000000"/>
          <w:szCs w:val="24"/>
          <w:lang w:eastAsia="es-CR"/>
        </w:rPr>
        <w:t>138</w:t>
      </w:r>
      <w:r w:rsidRPr="004E74A6">
        <w:rPr>
          <w:rFonts w:cs="Calibri"/>
          <w:color w:val="000000"/>
          <w:szCs w:val="24"/>
          <w:lang w:eastAsia="es-CR"/>
        </w:rPr>
        <w:t xml:space="preserve"> estimables (</w:t>
      </w:r>
      <w:r w:rsidR="00B92976" w:rsidRPr="004E74A6">
        <w:rPr>
          <w:rFonts w:cs="Calibri"/>
          <w:color w:val="000000"/>
          <w:szCs w:val="24"/>
          <w:lang w:eastAsia="es-CR"/>
        </w:rPr>
        <w:t>72</w:t>
      </w:r>
      <w:r w:rsidRPr="004E74A6">
        <w:rPr>
          <w:rFonts w:cs="Calibri"/>
          <w:color w:val="000000"/>
          <w:szCs w:val="24"/>
          <w:lang w:eastAsia="es-CR"/>
        </w:rPr>
        <w:t xml:space="preserve">%), </w:t>
      </w:r>
      <w:r w:rsidR="00B92976" w:rsidRPr="004E74A6">
        <w:rPr>
          <w:rFonts w:cs="Calibri"/>
          <w:color w:val="000000"/>
          <w:szCs w:val="24"/>
          <w:lang w:eastAsia="es-CR"/>
        </w:rPr>
        <w:t>3</w:t>
      </w:r>
      <w:r w:rsidRPr="004E74A6">
        <w:rPr>
          <w:rFonts w:cs="Calibri"/>
          <w:color w:val="000000"/>
          <w:szCs w:val="24"/>
          <w:lang w:eastAsia="es-CR"/>
        </w:rPr>
        <w:t xml:space="preserve"> casos “</w:t>
      </w:r>
      <w:r w:rsidRPr="004E74A6">
        <w:rPr>
          <w:rFonts w:cs="Calibri"/>
          <w:i/>
          <w:iCs/>
          <w:color w:val="000000"/>
          <w:szCs w:val="24"/>
          <w:lang w:eastAsia="es-CR"/>
        </w:rPr>
        <w:t>no aplica</w:t>
      </w:r>
      <w:r w:rsidRPr="004E74A6">
        <w:rPr>
          <w:rFonts w:cs="Calibri"/>
          <w:color w:val="000000"/>
          <w:szCs w:val="24"/>
          <w:lang w:eastAsia="es-CR"/>
        </w:rPr>
        <w:t>” (</w:t>
      </w:r>
      <w:r w:rsidR="00B92976" w:rsidRPr="004E74A6">
        <w:rPr>
          <w:rFonts w:cs="Calibri"/>
          <w:color w:val="000000"/>
          <w:szCs w:val="24"/>
          <w:lang w:eastAsia="es-CR"/>
        </w:rPr>
        <w:t>2</w:t>
      </w:r>
      <w:r w:rsidRPr="004E74A6">
        <w:rPr>
          <w:rFonts w:cs="Calibri"/>
          <w:color w:val="000000"/>
          <w:szCs w:val="24"/>
          <w:lang w:eastAsia="es-CR"/>
        </w:rPr>
        <w:t xml:space="preserve">%) y sin actualizar </w:t>
      </w:r>
      <w:r w:rsidR="00B92976" w:rsidRPr="004E74A6">
        <w:rPr>
          <w:rFonts w:cs="Calibri"/>
          <w:color w:val="000000"/>
          <w:szCs w:val="24"/>
          <w:lang w:eastAsia="es-CR"/>
        </w:rPr>
        <w:t xml:space="preserve">44 </w:t>
      </w:r>
      <w:r w:rsidRPr="004E74A6">
        <w:rPr>
          <w:rFonts w:cs="Calibri"/>
          <w:color w:val="000000"/>
          <w:szCs w:val="24"/>
          <w:lang w:eastAsia="es-CR"/>
        </w:rPr>
        <w:t>casos (2</w:t>
      </w:r>
      <w:r w:rsidR="00B92976" w:rsidRPr="004E74A6">
        <w:rPr>
          <w:rFonts w:cs="Calibri"/>
          <w:color w:val="000000"/>
          <w:szCs w:val="24"/>
          <w:lang w:eastAsia="es-CR"/>
        </w:rPr>
        <w:t>3</w:t>
      </w:r>
      <w:r w:rsidRPr="004E74A6">
        <w:rPr>
          <w:rFonts w:cs="Calibri"/>
          <w:color w:val="000000"/>
          <w:szCs w:val="24"/>
          <w:lang w:eastAsia="es-CR"/>
        </w:rPr>
        <w:t>%).</w:t>
      </w:r>
    </w:p>
    <w:p w14:paraId="641E4A8B" w14:textId="77777777" w:rsidR="00CA5891" w:rsidRPr="004E74A6" w:rsidRDefault="00CA5891" w:rsidP="00CE62C1">
      <w:pPr>
        <w:spacing w:line="276" w:lineRule="auto"/>
        <w:rPr>
          <w:rFonts w:cs="Calibri"/>
          <w:color w:val="000000"/>
          <w:szCs w:val="24"/>
          <w:lang w:eastAsia="es-CR"/>
        </w:rPr>
      </w:pPr>
    </w:p>
    <w:p w14:paraId="791E9CD8" w14:textId="301BA3D6" w:rsidR="00CA5891" w:rsidRPr="004E74A6" w:rsidRDefault="00CA5891" w:rsidP="00CE62C1">
      <w:pPr>
        <w:spacing w:line="276" w:lineRule="auto"/>
        <w:rPr>
          <w:rFonts w:cs="Calibri"/>
          <w:color w:val="000000"/>
          <w:szCs w:val="24"/>
          <w:lang w:eastAsia="es-CR"/>
        </w:rPr>
      </w:pPr>
      <w:r w:rsidRPr="004E74A6">
        <w:rPr>
          <w:rFonts w:cs="Calibri"/>
          <w:color w:val="000000"/>
          <w:szCs w:val="24"/>
          <w:lang w:eastAsia="es-CR"/>
        </w:rPr>
        <w:t xml:space="preserve">De lo anterior, el </w:t>
      </w:r>
      <w:r w:rsidR="00B92976" w:rsidRPr="004E74A6">
        <w:rPr>
          <w:rFonts w:cs="Calibri"/>
          <w:color w:val="000000"/>
          <w:szCs w:val="24"/>
          <w:lang w:eastAsia="es-CR"/>
        </w:rPr>
        <w:t>2</w:t>
      </w:r>
      <w:r w:rsidRPr="004E74A6">
        <w:rPr>
          <w:rFonts w:cs="Calibri"/>
          <w:color w:val="000000"/>
          <w:szCs w:val="24"/>
          <w:lang w:eastAsia="es-CR"/>
        </w:rPr>
        <w:t xml:space="preserve">% que indicaron no aplica cuantía, se debe a una actualización errores a de la informa, ya que desde el inicio en el uso de la mejora se les indicó a las oficinas que esta opción solo aplica para materia de Trabajo, no así para Civil donde los asuntos son estimables o inestimables solamente. </w:t>
      </w:r>
    </w:p>
    <w:p w14:paraId="26740F52" w14:textId="77777777" w:rsidR="00CA5891" w:rsidRPr="004E74A6" w:rsidRDefault="00CA5891" w:rsidP="00CE62C1">
      <w:pPr>
        <w:spacing w:line="276" w:lineRule="auto"/>
        <w:rPr>
          <w:rFonts w:cs="Calibri"/>
          <w:color w:val="000000"/>
          <w:szCs w:val="24"/>
          <w:lang w:eastAsia="es-CR"/>
        </w:rPr>
      </w:pPr>
    </w:p>
    <w:p w14:paraId="5632037A" w14:textId="77777777" w:rsidR="00193D21" w:rsidRDefault="00193D21" w:rsidP="00CE62C1">
      <w:pPr>
        <w:spacing w:line="276" w:lineRule="auto"/>
        <w:rPr>
          <w:rFonts w:cs="Calibri"/>
          <w:color w:val="000000"/>
          <w:szCs w:val="24"/>
          <w:lang w:eastAsia="es-CR"/>
        </w:rPr>
      </w:pPr>
    </w:p>
    <w:p w14:paraId="6DBB2B1A" w14:textId="77777777" w:rsidR="00193D21" w:rsidRDefault="00193D21" w:rsidP="00CE62C1">
      <w:pPr>
        <w:spacing w:line="276" w:lineRule="auto"/>
        <w:rPr>
          <w:rFonts w:cs="Calibri"/>
          <w:color w:val="000000"/>
          <w:szCs w:val="24"/>
          <w:lang w:eastAsia="es-CR"/>
        </w:rPr>
      </w:pPr>
    </w:p>
    <w:p w14:paraId="5E20044B" w14:textId="77777777" w:rsidR="00193D21" w:rsidRDefault="00193D21" w:rsidP="00CE62C1">
      <w:pPr>
        <w:spacing w:line="276" w:lineRule="auto"/>
        <w:rPr>
          <w:rFonts w:cs="Calibri"/>
          <w:color w:val="000000"/>
          <w:szCs w:val="24"/>
          <w:lang w:eastAsia="es-CR"/>
        </w:rPr>
      </w:pPr>
    </w:p>
    <w:p w14:paraId="0FB8957B" w14:textId="77777777" w:rsidR="00193D21" w:rsidRDefault="00193D21" w:rsidP="00CE62C1">
      <w:pPr>
        <w:spacing w:line="276" w:lineRule="auto"/>
        <w:rPr>
          <w:rFonts w:cs="Calibri"/>
          <w:color w:val="000000"/>
          <w:szCs w:val="24"/>
          <w:lang w:eastAsia="es-CR"/>
        </w:rPr>
      </w:pPr>
    </w:p>
    <w:p w14:paraId="5FE31077" w14:textId="77777777" w:rsidR="00193D21" w:rsidRDefault="00193D21" w:rsidP="00CE62C1">
      <w:pPr>
        <w:spacing w:line="276" w:lineRule="auto"/>
        <w:rPr>
          <w:rFonts w:cs="Calibri"/>
          <w:color w:val="000000"/>
          <w:szCs w:val="24"/>
          <w:lang w:eastAsia="es-CR"/>
        </w:rPr>
      </w:pPr>
    </w:p>
    <w:p w14:paraId="4D7C7236" w14:textId="374B5405" w:rsidR="00CA5891" w:rsidRPr="004E74A6" w:rsidRDefault="00CA5891" w:rsidP="00CE62C1">
      <w:pPr>
        <w:spacing w:line="276" w:lineRule="auto"/>
        <w:rPr>
          <w:rFonts w:cs="Calibri"/>
          <w:color w:val="000000"/>
          <w:szCs w:val="24"/>
          <w:lang w:eastAsia="es-CR"/>
        </w:rPr>
      </w:pPr>
      <w:r w:rsidRPr="004E74A6">
        <w:rPr>
          <w:rFonts w:cs="Calibri"/>
          <w:color w:val="000000"/>
          <w:szCs w:val="24"/>
          <w:lang w:eastAsia="es-CR"/>
        </w:rPr>
        <w:lastRenderedPageBreak/>
        <w:t xml:space="preserve">De los </w:t>
      </w:r>
      <w:r w:rsidR="00B92976" w:rsidRPr="004E74A6">
        <w:rPr>
          <w:rFonts w:cs="Calibri"/>
          <w:color w:val="000000"/>
          <w:szCs w:val="24"/>
          <w:lang w:eastAsia="es-CR"/>
        </w:rPr>
        <w:t>138</w:t>
      </w:r>
      <w:r w:rsidRPr="004E74A6">
        <w:rPr>
          <w:rFonts w:cs="Calibri"/>
          <w:color w:val="000000"/>
          <w:szCs w:val="24"/>
          <w:lang w:eastAsia="es-CR"/>
        </w:rPr>
        <w:t xml:space="preserve"> ordinarios estimables, la distribución de esos asuntos por rango de cuantía es el siguiente: </w:t>
      </w:r>
    </w:p>
    <w:p w14:paraId="43A76BF1" w14:textId="77777777" w:rsidR="00306AEF" w:rsidRDefault="00306AEF" w:rsidP="00F0204A">
      <w:pPr>
        <w:pStyle w:val="Descripcin"/>
        <w:keepNext/>
        <w:spacing w:line="276" w:lineRule="auto"/>
        <w:jc w:val="center"/>
        <w:rPr>
          <w:rFonts w:ascii="Book Antiqua" w:hAnsi="Book Antiqua"/>
          <w:i/>
          <w:iCs/>
          <w:sz w:val="20"/>
          <w:szCs w:val="16"/>
          <w:lang w:val="es-CR"/>
        </w:rPr>
      </w:pPr>
    </w:p>
    <w:p w14:paraId="0D245239" w14:textId="14CE267E" w:rsidR="00032A6A" w:rsidRPr="00832773" w:rsidRDefault="00032A6A" w:rsidP="00F0204A">
      <w:pPr>
        <w:pStyle w:val="Descripcin"/>
        <w:keepNext/>
        <w:spacing w:line="276" w:lineRule="auto"/>
        <w:jc w:val="center"/>
        <w:rPr>
          <w:rFonts w:ascii="Book Antiqua" w:hAnsi="Book Antiqua"/>
          <w:i/>
          <w:iCs/>
          <w:sz w:val="20"/>
          <w:szCs w:val="16"/>
          <w:lang w:val="es-CR"/>
        </w:rPr>
      </w:pPr>
      <w:r w:rsidRPr="00832773">
        <w:rPr>
          <w:rFonts w:ascii="Book Antiqua" w:hAnsi="Book Antiqua"/>
          <w:i/>
          <w:iCs/>
          <w:sz w:val="20"/>
          <w:szCs w:val="16"/>
          <w:lang w:val="es-CR"/>
        </w:rPr>
        <w:t xml:space="preserve">Tabla </w:t>
      </w:r>
      <w:r w:rsidRPr="00832773">
        <w:rPr>
          <w:rFonts w:ascii="Book Antiqua" w:hAnsi="Book Antiqua"/>
          <w:i/>
          <w:iCs/>
          <w:sz w:val="20"/>
          <w:szCs w:val="16"/>
          <w:lang w:val="es-CR"/>
        </w:rPr>
        <w:fldChar w:fldCharType="begin"/>
      </w:r>
      <w:r w:rsidRPr="00832773">
        <w:rPr>
          <w:rFonts w:ascii="Book Antiqua" w:hAnsi="Book Antiqua"/>
          <w:i/>
          <w:iCs/>
          <w:sz w:val="20"/>
          <w:szCs w:val="16"/>
          <w:lang w:val="es-CR"/>
        </w:rPr>
        <w:instrText xml:space="preserve"> SEQ Tabla \* ARABIC </w:instrText>
      </w:r>
      <w:r w:rsidRPr="00832773">
        <w:rPr>
          <w:rFonts w:ascii="Book Antiqua" w:hAnsi="Book Antiqua"/>
          <w:i/>
          <w:iCs/>
          <w:sz w:val="20"/>
          <w:szCs w:val="16"/>
          <w:lang w:val="es-CR"/>
        </w:rPr>
        <w:fldChar w:fldCharType="separate"/>
      </w:r>
      <w:r w:rsidR="00374B51">
        <w:rPr>
          <w:rFonts w:ascii="Book Antiqua" w:hAnsi="Book Antiqua"/>
          <w:i/>
          <w:iCs/>
          <w:noProof/>
          <w:sz w:val="20"/>
          <w:szCs w:val="16"/>
          <w:lang w:val="es-CR"/>
        </w:rPr>
        <w:t>28</w:t>
      </w:r>
      <w:r w:rsidRPr="00832773">
        <w:rPr>
          <w:rFonts w:ascii="Book Antiqua" w:hAnsi="Book Antiqua"/>
          <w:i/>
          <w:iCs/>
          <w:sz w:val="20"/>
          <w:szCs w:val="16"/>
          <w:lang w:val="es-CR"/>
        </w:rPr>
        <w:fldChar w:fldCharType="end"/>
      </w:r>
      <w:r w:rsidRPr="00832773">
        <w:rPr>
          <w:rFonts w:ascii="Book Antiqua" w:hAnsi="Book Antiqua"/>
          <w:i/>
          <w:iCs/>
          <w:sz w:val="20"/>
          <w:szCs w:val="16"/>
          <w:lang w:val="es-CR"/>
        </w:rPr>
        <w:t xml:space="preserve"> </w:t>
      </w:r>
      <w:r w:rsidR="00CA5891" w:rsidRPr="00832773">
        <w:rPr>
          <w:rFonts w:ascii="Book Antiqua" w:hAnsi="Book Antiqua"/>
          <w:i/>
          <w:iCs/>
          <w:sz w:val="20"/>
          <w:szCs w:val="16"/>
          <w:lang w:val="es-CR"/>
        </w:rPr>
        <w:t xml:space="preserve">Cantidad de entrados ordinarios estimables por cuantía del 2019 al 2021 para el </w:t>
      </w:r>
      <w:r w:rsidRPr="00832773">
        <w:rPr>
          <w:rFonts w:ascii="Book Antiqua" w:hAnsi="Book Antiqua"/>
          <w:i/>
          <w:iCs/>
          <w:sz w:val="20"/>
          <w:szCs w:val="16"/>
          <w:lang w:val="es-CR"/>
        </w:rPr>
        <w:t>Tribunal Colegiado Primera Instancia Civil Heredia</w:t>
      </w:r>
    </w:p>
    <w:tbl>
      <w:tblPr>
        <w:tblW w:w="6080" w:type="pct"/>
        <w:jc w:val="center"/>
        <w:tblCellMar>
          <w:left w:w="70" w:type="dxa"/>
          <w:right w:w="70" w:type="dxa"/>
        </w:tblCellMar>
        <w:tblLook w:val="04A0" w:firstRow="1" w:lastRow="0" w:firstColumn="1" w:lastColumn="0" w:noHBand="0" w:noVBand="1"/>
      </w:tblPr>
      <w:tblGrid>
        <w:gridCol w:w="3422"/>
        <w:gridCol w:w="1030"/>
        <w:gridCol w:w="1030"/>
        <w:gridCol w:w="1030"/>
        <w:gridCol w:w="1365"/>
        <w:gridCol w:w="2872"/>
      </w:tblGrid>
      <w:tr w:rsidR="006E6922" w:rsidRPr="004E74A6" w14:paraId="787E67B0" w14:textId="60B734C2" w:rsidTr="00193D21">
        <w:trPr>
          <w:trHeight w:val="947"/>
          <w:tblHeader/>
          <w:jc w:val="center"/>
        </w:trPr>
        <w:tc>
          <w:tcPr>
            <w:tcW w:w="1592" w:type="pct"/>
            <w:tcBorders>
              <w:top w:val="single" w:sz="4" w:space="0" w:color="auto"/>
              <w:left w:val="nil"/>
              <w:bottom w:val="single" w:sz="4" w:space="0" w:color="auto"/>
              <w:right w:val="single" w:sz="4" w:space="0" w:color="auto"/>
            </w:tcBorders>
            <w:shd w:val="clear" w:color="auto" w:fill="auto"/>
            <w:noWrap/>
            <w:vAlign w:val="center"/>
            <w:hideMark/>
          </w:tcPr>
          <w:p w14:paraId="54676B01" w14:textId="6CDB0370" w:rsidR="008B74EF" w:rsidRPr="004E74A6" w:rsidRDefault="008B74EF" w:rsidP="00CE62C1">
            <w:pPr>
              <w:spacing w:line="276" w:lineRule="auto"/>
              <w:jc w:val="center"/>
              <w:rPr>
                <w:rFonts w:cs="Calibri"/>
                <w:color w:val="000000"/>
                <w:sz w:val="20"/>
                <w:lang w:eastAsia="es-CR"/>
              </w:rPr>
            </w:pPr>
            <w:r w:rsidRPr="004E74A6">
              <w:rPr>
                <w:rFonts w:cs="Calibri"/>
                <w:color w:val="000000"/>
                <w:sz w:val="20"/>
                <w:lang w:eastAsia="es-CR"/>
              </w:rPr>
              <w:t>Ordinario Estimable</w:t>
            </w:r>
          </w:p>
        </w:tc>
        <w:tc>
          <w:tcPr>
            <w:tcW w:w="47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E80DA09" w14:textId="77777777" w:rsidR="008B74EF" w:rsidRPr="004E74A6" w:rsidRDefault="008B74EF" w:rsidP="00CE62C1">
            <w:pPr>
              <w:spacing w:line="276" w:lineRule="auto"/>
              <w:jc w:val="center"/>
              <w:rPr>
                <w:rFonts w:cs="Calibri"/>
                <w:color w:val="000000"/>
                <w:sz w:val="20"/>
                <w:lang w:eastAsia="es-CR"/>
              </w:rPr>
            </w:pPr>
            <w:r w:rsidRPr="004E74A6">
              <w:rPr>
                <w:rFonts w:cs="Calibri"/>
                <w:color w:val="000000"/>
                <w:sz w:val="20"/>
                <w:lang w:eastAsia="es-CR"/>
              </w:rPr>
              <w:t>2019</w:t>
            </w:r>
          </w:p>
        </w:tc>
        <w:tc>
          <w:tcPr>
            <w:tcW w:w="47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039487C" w14:textId="77777777" w:rsidR="008B74EF" w:rsidRPr="004E74A6" w:rsidRDefault="008B74EF" w:rsidP="00CE62C1">
            <w:pPr>
              <w:spacing w:line="276" w:lineRule="auto"/>
              <w:jc w:val="center"/>
              <w:rPr>
                <w:rFonts w:cs="Calibri"/>
                <w:color w:val="000000"/>
                <w:sz w:val="20"/>
                <w:lang w:eastAsia="es-CR"/>
              </w:rPr>
            </w:pPr>
            <w:r w:rsidRPr="004E74A6">
              <w:rPr>
                <w:rFonts w:cs="Calibri"/>
                <w:color w:val="000000"/>
                <w:sz w:val="20"/>
                <w:lang w:eastAsia="es-CR"/>
              </w:rPr>
              <w:t>2020</w:t>
            </w:r>
          </w:p>
        </w:tc>
        <w:tc>
          <w:tcPr>
            <w:tcW w:w="47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09EA63F" w14:textId="77777777" w:rsidR="008B74EF" w:rsidRPr="004E74A6" w:rsidRDefault="008B74EF" w:rsidP="00CE62C1">
            <w:pPr>
              <w:spacing w:line="276" w:lineRule="auto"/>
              <w:jc w:val="center"/>
              <w:rPr>
                <w:rFonts w:cs="Calibri"/>
                <w:color w:val="000000"/>
                <w:sz w:val="20"/>
                <w:lang w:eastAsia="es-CR"/>
              </w:rPr>
            </w:pPr>
            <w:r w:rsidRPr="004E74A6">
              <w:rPr>
                <w:rFonts w:cs="Calibri"/>
                <w:color w:val="000000"/>
                <w:sz w:val="20"/>
                <w:lang w:eastAsia="es-CR"/>
              </w:rPr>
              <w:t>2021</w:t>
            </w:r>
          </w:p>
        </w:tc>
        <w:tc>
          <w:tcPr>
            <w:tcW w:w="635" w:type="pct"/>
            <w:tcBorders>
              <w:top w:val="single" w:sz="4" w:space="0" w:color="auto"/>
              <w:left w:val="single" w:sz="4" w:space="0" w:color="auto"/>
              <w:bottom w:val="single" w:sz="4" w:space="0" w:color="auto"/>
              <w:right w:val="nil"/>
            </w:tcBorders>
            <w:shd w:val="clear" w:color="auto" w:fill="auto"/>
            <w:noWrap/>
            <w:vAlign w:val="center"/>
          </w:tcPr>
          <w:p w14:paraId="215C99A1" w14:textId="77777777" w:rsidR="008B74EF" w:rsidRPr="004E74A6" w:rsidRDefault="008B74EF" w:rsidP="00CE62C1">
            <w:pPr>
              <w:spacing w:line="276" w:lineRule="auto"/>
              <w:jc w:val="center"/>
              <w:rPr>
                <w:rFonts w:cs="Calibri"/>
                <w:color w:val="000000"/>
                <w:sz w:val="20"/>
                <w:lang w:eastAsia="es-CR"/>
              </w:rPr>
            </w:pPr>
            <w:r w:rsidRPr="004E74A6">
              <w:rPr>
                <w:rFonts w:cs="Calibri"/>
                <w:color w:val="000000"/>
                <w:sz w:val="20"/>
                <w:lang w:eastAsia="es-CR"/>
              </w:rPr>
              <w:t>Total</w:t>
            </w:r>
          </w:p>
        </w:tc>
        <w:tc>
          <w:tcPr>
            <w:tcW w:w="1336" w:type="pct"/>
            <w:tcBorders>
              <w:top w:val="single" w:sz="4" w:space="0" w:color="auto"/>
              <w:left w:val="single" w:sz="4" w:space="0" w:color="auto"/>
              <w:bottom w:val="single" w:sz="4" w:space="0" w:color="auto"/>
              <w:right w:val="nil"/>
            </w:tcBorders>
          </w:tcPr>
          <w:p w14:paraId="6F6FEFDC" w14:textId="14D15C68" w:rsidR="008B74EF" w:rsidRPr="004E74A6" w:rsidRDefault="008B74EF" w:rsidP="00832773">
            <w:pPr>
              <w:spacing w:line="276" w:lineRule="auto"/>
              <w:jc w:val="center"/>
              <w:rPr>
                <w:rFonts w:cs="Calibri"/>
                <w:color w:val="000000"/>
                <w:sz w:val="20"/>
                <w:lang w:eastAsia="es-CR"/>
              </w:rPr>
            </w:pPr>
            <w:r w:rsidRPr="004E74A6">
              <w:rPr>
                <w:rFonts w:cs="Calibri"/>
                <w:color w:val="000000"/>
                <w:sz w:val="20"/>
              </w:rPr>
              <w:t>Pérdida porcentual en la entrada en caso de elevarse la cuantía según rango escenario A1</w:t>
            </w:r>
          </w:p>
        </w:tc>
      </w:tr>
      <w:tr w:rsidR="006E6922" w:rsidRPr="004E74A6" w14:paraId="5C070D1C" w14:textId="49615A6B" w:rsidTr="00193D21">
        <w:trPr>
          <w:trHeight w:val="274"/>
          <w:jc w:val="center"/>
        </w:trPr>
        <w:tc>
          <w:tcPr>
            <w:tcW w:w="1592" w:type="pct"/>
            <w:tcBorders>
              <w:top w:val="single" w:sz="4" w:space="0" w:color="auto"/>
              <w:left w:val="nil"/>
              <w:bottom w:val="nil"/>
              <w:right w:val="single" w:sz="4" w:space="0" w:color="auto"/>
            </w:tcBorders>
            <w:shd w:val="clear" w:color="auto" w:fill="auto"/>
            <w:noWrap/>
            <w:vAlign w:val="center"/>
          </w:tcPr>
          <w:p w14:paraId="245CBF9A" w14:textId="77777777" w:rsidR="008B74EF" w:rsidRPr="004E74A6" w:rsidRDefault="008B74EF" w:rsidP="00CE62C1">
            <w:pPr>
              <w:spacing w:line="276" w:lineRule="auto"/>
              <w:jc w:val="center"/>
              <w:rPr>
                <w:rFonts w:cs="Calibri"/>
                <w:color w:val="000000"/>
                <w:sz w:val="20"/>
                <w:lang w:eastAsia="es-CR"/>
              </w:rPr>
            </w:pPr>
          </w:p>
        </w:tc>
        <w:tc>
          <w:tcPr>
            <w:tcW w:w="479" w:type="pct"/>
            <w:tcBorders>
              <w:top w:val="single" w:sz="4" w:space="0" w:color="auto"/>
              <w:left w:val="single" w:sz="4" w:space="0" w:color="auto"/>
              <w:bottom w:val="nil"/>
              <w:right w:val="single" w:sz="4" w:space="0" w:color="auto"/>
            </w:tcBorders>
            <w:shd w:val="clear" w:color="auto" w:fill="auto"/>
            <w:noWrap/>
            <w:vAlign w:val="center"/>
          </w:tcPr>
          <w:p w14:paraId="152F49BE" w14:textId="77777777" w:rsidR="008B74EF" w:rsidRPr="004E74A6" w:rsidRDefault="008B74EF" w:rsidP="00CE62C1">
            <w:pPr>
              <w:spacing w:line="276" w:lineRule="auto"/>
              <w:jc w:val="center"/>
              <w:rPr>
                <w:rFonts w:cs="Calibri"/>
                <w:color w:val="000000"/>
                <w:sz w:val="20"/>
                <w:lang w:eastAsia="es-CR"/>
              </w:rPr>
            </w:pPr>
          </w:p>
        </w:tc>
        <w:tc>
          <w:tcPr>
            <w:tcW w:w="479" w:type="pct"/>
            <w:tcBorders>
              <w:top w:val="single" w:sz="4" w:space="0" w:color="auto"/>
              <w:left w:val="single" w:sz="4" w:space="0" w:color="auto"/>
              <w:bottom w:val="nil"/>
              <w:right w:val="single" w:sz="4" w:space="0" w:color="auto"/>
            </w:tcBorders>
            <w:shd w:val="clear" w:color="auto" w:fill="auto"/>
            <w:noWrap/>
            <w:vAlign w:val="center"/>
          </w:tcPr>
          <w:p w14:paraId="522CCCD9" w14:textId="77777777" w:rsidR="008B74EF" w:rsidRPr="004E74A6" w:rsidRDefault="008B74EF" w:rsidP="00CE62C1">
            <w:pPr>
              <w:spacing w:line="276" w:lineRule="auto"/>
              <w:jc w:val="center"/>
              <w:rPr>
                <w:rFonts w:cs="Calibri"/>
                <w:color w:val="000000"/>
                <w:sz w:val="20"/>
                <w:lang w:eastAsia="es-CR"/>
              </w:rPr>
            </w:pPr>
          </w:p>
        </w:tc>
        <w:tc>
          <w:tcPr>
            <w:tcW w:w="479" w:type="pct"/>
            <w:tcBorders>
              <w:top w:val="single" w:sz="4" w:space="0" w:color="auto"/>
              <w:left w:val="single" w:sz="4" w:space="0" w:color="auto"/>
              <w:bottom w:val="nil"/>
              <w:right w:val="single" w:sz="4" w:space="0" w:color="auto"/>
            </w:tcBorders>
            <w:shd w:val="clear" w:color="auto" w:fill="auto"/>
            <w:noWrap/>
            <w:vAlign w:val="center"/>
          </w:tcPr>
          <w:p w14:paraId="1BBB7DF8" w14:textId="77777777" w:rsidR="008B74EF" w:rsidRPr="004E74A6" w:rsidRDefault="008B74EF" w:rsidP="00CE62C1">
            <w:pPr>
              <w:spacing w:line="276" w:lineRule="auto"/>
              <w:jc w:val="center"/>
              <w:rPr>
                <w:rFonts w:cs="Calibri"/>
                <w:color w:val="000000"/>
                <w:sz w:val="20"/>
                <w:lang w:eastAsia="es-CR"/>
              </w:rPr>
            </w:pPr>
          </w:p>
        </w:tc>
        <w:tc>
          <w:tcPr>
            <w:tcW w:w="635" w:type="pct"/>
            <w:tcBorders>
              <w:top w:val="single" w:sz="4" w:space="0" w:color="auto"/>
              <w:left w:val="single" w:sz="4" w:space="0" w:color="auto"/>
              <w:bottom w:val="nil"/>
              <w:right w:val="nil"/>
            </w:tcBorders>
            <w:shd w:val="clear" w:color="auto" w:fill="auto"/>
            <w:noWrap/>
            <w:vAlign w:val="center"/>
          </w:tcPr>
          <w:p w14:paraId="02DC6478" w14:textId="77777777" w:rsidR="008B74EF" w:rsidRPr="004E74A6" w:rsidRDefault="008B74EF" w:rsidP="00CE62C1">
            <w:pPr>
              <w:spacing w:line="276" w:lineRule="auto"/>
              <w:jc w:val="center"/>
              <w:rPr>
                <w:rFonts w:cs="Calibri"/>
                <w:color w:val="000000"/>
                <w:sz w:val="20"/>
                <w:lang w:eastAsia="es-CR"/>
              </w:rPr>
            </w:pPr>
          </w:p>
        </w:tc>
        <w:tc>
          <w:tcPr>
            <w:tcW w:w="1336" w:type="pct"/>
            <w:tcBorders>
              <w:top w:val="single" w:sz="4" w:space="0" w:color="auto"/>
              <w:left w:val="single" w:sz="4" w:space="0" w:color="auto"/>
              <w:bottom w:val="nil"/>
              <w:right w:val="nil"/>
            </w:tcBorders>
          </w:tcPr>
          <w:p w14:paraId="36D69011" w14:textId="77777777" w:rsidR="008B74EF" w:rsidRPr="004E74A6" w:rsidRDefault="008B74EF" w:rsidP="00CE62C1">
            <w:pPr>
              <w:spacing w:line="276" w:lineRule="auto"/>
              <w:jc w:val="center"/>
              <w:rPr>
                <w:rFonts w:cs="Calibri"/>
                <w:color w:val="000000"/>
                <w:sz w:val="20"/>
                <w:lang w:eastAsia="es-CR"/>
              </w:rPr>
            </w:pPr>
          </w:p>
        </w:tc>
      </w:tr>
      <w:tr w:rsidR="006E6922" w:rsidRPr="004E74A6" w14:paraId="2B19CFFC" w14:textId="5A12E695" w:rsidTr="00193D21">
        <w:trPr>
          <w:trHeight w:val="274"/>
          <w:jc w:val="center"/>
        </w:trPr>
        <w:tc>
          <w:tcPr>
            <w:tcW w:w="1592" w:type="pct"/>
            <w:tcBorders>
              <w:top w:val="nil"/>
              <w:left w:val="nil"/>
              <w:bottom w:val="nil"/>
              <w:right w:val="single" w:sz="4" w:space="0" w:color="auto"/>
            </w:tcBorders>
            <w:shd w:val="clear" w:color="auto" w:fill="auto"/>
            <w:noWrap/>
            <w:vAlign w:val="center"/>
          </w:tcPr>
          <w:p w14:paraId="158EC9E3" w14:textId="77777777" w:rsidR="008B74EF" w:rsidRPr="004E74A6" w:rsidRDefault="008B74EF" w:rsidP="00CE62C1">
            <w:pPr>
              <w:spacing w:line="276" w:lineRule="auto"/>
              <w:jc w:val="center"/>
              <w:rPr>
                <w:rFonts w:cs="Calibri"/>
                <w:color w:val="000000"/>
                <w:sz w:val="20"/>
                <w:lang w:eastAsia="es-CR"/>
              </w:rPr>
            </w:pPr>
            <w:r w:rsidRPr="004E74A6">
              <w:rPr>
                <w:rFonts w:cs="Calibri"/>
                <w:color w:val="000000"/>
                <w:sz w:val="20"/>
                <w:lang w:eastAsia="es-CR"/>
              </w:rPr>
              <w:t>Total</w:t>
            </w:r>
          </w:p>
        </w:tc>
        <w:tc>
          <w:tcPr>
            <w:tcW w:w="479" w:type="pct"/>
            <w:tcBorders>
              <w:top w:val="nil"/>
              <w:left w:val="single" w:sz="4" w:space="0" w:color="auto"/>
              <w:bottom w:val="nil"/>
              <w:right w:val="single" w:sz="4" w:space="0" w:color="auto"/>
            </w:tcBorders>
            <w:shd w:val="clear" w:color="auto" w:fill="auto"/>
            <w:noWrap/>
            <w:vAlign w:val="bottom"/>
          </w:tcPr>
          <w:p w14:paraId="21E3C45C" w14:textId="0248D130" w:rsidR="008B74EF" w:rsidRPr="004E74A6" w:rsidRDefault="008B74EF" w:rsidP="00CE62C1">
            <w:pPr>
              <w:spacing w:line="276" w:lineRule="auto"/>
              <w:jc w:val="center"/>
              <w:rPr>
                <w:rFonts w:cs="Calibri"/>
                <w:color w:val="000000"/>
                <w:sz w:val="20"/>
                <w:lang w:eastAsia="es-CR"/>
              </w:rPr>
            </w:pPr>
            <w:r w:rsidRPr="004E74A6">
              <w:rPr>
                <w:rFonts w:cs="Calibri"/>
                <w:color w:val="000000"/>
                <w:sz w:val="20"/>
              </w:rPr>
              <w:t>85</w:t>
            </w:r>
          </w:p>
        </w:tc>
        <w:tc>
          <w:tcPr>
            <w:tcW w:w="479" w:type="pct"/>
            <w:tcBorders>
              <w:top w:val="nil"/>
              <w:left w:val="single" w:sz="4" w:space="0" w:color="auto"/>
              <w:bottom w:val="nil"/>
              <w:right w:val="single" w:sz="4" w:space="0" w:color="auto"/>
            </w:tcBorders>
            <w:shd w:val="clear" w:color="auto" w:fill="auto"/>
            <w:noWrap/>
            <w:vAlign w:val="bottom"/>
          </w:tcPr>
          <w:p w14:paraId="39F0CE6C" w14:textId="614D9498" w:rsidR="008B74EF" w:rsidRPr="004E74A6" w:rsidRDefault="008B74EF" w:rsidP="00CE62C1">
            <w:pPr>
              <w:spacing w:line="276" w:lineRule="auto"/>
              <w:jc w:val="center"/>
              <w:rPr>
                <w:rFonts w:cs="Calibri"/>
                <w:color w:val="000000"/>
                <w:sz w:val="20"/>
                <w:lang w:eastAsia="es-CR"/>
              </w:rPr>
            </w:pPr>
            <w:r w:rsidRPr="004E74A6">
              <w:rPr>
                <w:rFonts w:cs="Calibri"/>
                <w:color w:val="000000"/>
                <w:sz w:val="20"/>
              </w:rPr>
              <w:t>138</w:t>
            </w:r>
          </w:p>
        </w:tc>
        <w:tc>
          <w:tcPr>
            <w:tcW w:w="479" w:type="pct"/>
            <w:tcBorders>
              <w:top w:val="nil"/>
              <w:left w:val="single" w:sz="4" w:space="0" w:color="auto"/>
              <w:bottom w:val="nil"/>
              <w:right w:val="single" w:sz="4" w:space="0" w:color="auto"/>
            </w:tcBorders>
            <w:shd w:val="clear" w:color="auto" w:fill="auto"/>
            <w:noWrap/>
            <w:vAlign w:val="bottom"/>
          </w:tcPr>
          <w:p w14:paraId="662BC645" w14:textId="5CEDB5C3" w:rsidR="008B74EF" w:rsidRPr="004E74A6" w:rsidRDefault="008B74EF" w:rsidP="00CE62C1">
            <w:pPr>
              <w:spacing w:line="276" w:lineRule="auto"/>
              <w:jc w:val="center"/>
              <w:rPr>
                <w:rFonts w:cs="Calibri"/>
                <w:color w:val="000000"/>
                <w:sz w:val="20"/>
                <w:lang w:eastAsia="es-CR"/>
              </w:rPr>
            </w:pPr>
            <w:r w:rsidRPr="004E74A6">
              <w:rPr>
                <w:rFonts w:cs="Calibri"/>
                <w:color w:val="000000"/>
                <w:sz w:val="20"/>
              </w:rPr>
              <w:t>190</w:t>
            </w:r>
          </w:p>
        </w:tc>
        <w:tc>
          <w:tcPr>
            <w:tcW w:w="635" w:type="pct"/>
            <w:tcBorders>
              <w:top w:val="nil"/>
              <w:left w:val="single" w:sz="4" w:space="0" w:color="auto"/>
              <w:bottom w:val="nil"/>
              <w:right w:val="nil"/>
            </w:tcBorders>
            <w:shd w:val="clear" w:color="auto" w:fill="auto"/>
            <w:noWrap/>
            <w:vAlign w:val="bottom"/>
          </w:tcPr>
          <w:p w14:paraId="38623862" w14:textId="39344250" w:rsidR="008B74EF" w:rsidRPr="004E74A6" w:rsidRDefault="008B74EF" w:rsidP="00CE62C1">
            <w:pPr>
              <w:spacing w:line="276" w:lineRule="auto"/>
              <w:jc w:val="center"/>
              <w:rPr>
                <w:rFonts w:cs="Calibri"/>
                <w:color w:val="000000"/>
                <w:sz w:val="20"/>
                <w:lang w:eastAsia="es-CR"/>
              </w:rPr>
            </w:pPr>
            <w:r w:rsidRPr="004E74A6">
              <w:rPr>
                <w:rFonts w:cs="Calibri"/>
                <w:color w:val="000000"/>
                <w:sz w:val="20"/>
              </w:rPr>
              <w:t>138</w:t>
            </w:r>
          </w:p>
        </w:tc>
        <w:tc>
          <w:tcPr>
            <w:tcW w:w="1336" w:type="pct"/>
            <w:tcBorders>
              <w:top w:val="nil"/>
              <w:left w:val="single" w:sz="4" w:space="0" w:color="auto"/>
              <w:bottom w:val="nil"/>
              <w:right w:val="nil"/>
            </w:tcBorders>
          </w:tcPr>
          <w:p w14:paraId="2224C868" w14:textId="77777777" w:rsidR="008B74EF" w:rsidRPr="004E74A6" w:rsidRDefault="008B74EF" w:rsidP="00CE62C1">
            <w:pPr>
              <w:spacing w:line="276" w:lineRule="auto"/>
              <w:jc w:val="center"/>
              <w:rPr>
                <w:rFonts w:cs="Calibri"/>
                <w:color w:val="000000"/>
                <w:sz w:val="20"/>
              </w:rPr>
            </w:pPr>
          </w:p>
        </w:tc>
      </w:tr>
      <w:tr w:rsidR="006E6922" w:rsidRPr="004E74A6" w14:paraId="0374A7FD" w14:textId="63C0195A" w:rsidTr="00193D21">
        <w:trPr>
          <w:trHeight w:val="274"/>
          <w:jc w:val="center"/>
        </w:trPr>
        <w:tc>
          <w:tcPr>
            <w:tcW w:w="1592" w:type="pct"/>
            <w:tcBorders>
              <w:top w:val="nil"/>
              <w:left w:val="nil"/>
              <w:bottom w:val="nil"/>
              <w:right w:val="single" w:sz="4" w:space="0" w:color="auto"/>
            </w:tcBorders>
            <w:shd w:val="clear" w:color="auto" w:fill="C5E0B3" w:themeFill="accent6" w:themeFillTint="66"/>
            <w:noWrap/>
            <w:vAlign w:val="bottom"/>
            <w:hideMark/>
          </w:tcPr>
          <w:p w14:paraId="619663B4" w14:textId="77777777" w:rsidR="008B74EF" w:rsidRPr="004E74A6" w:rsidRDefault="008B74EF" w:rsidP="00CE62C1">
            <w:pPr>
              <w:spacing w:line="276" w:lineRule="auto"/>
              <w:jc w:val="left"/>
              <w:rPr>
                <w:rFonts w:cs="Calibri"/>
                <w:color w:val="000000"/>
                <w:sz w:val="20"/>
                <w:lang w:eastAsia="es-CR"/>
              </w:rPr>
            </w:pPr>
            <w:r w:rsidRPr="004E74A6">
              <w:rPr>
                <w:rFonts w:cs="Calibri"/>
                <w:color w:val="000000"/>
                <w:sz w:val="20"/>
                <w:lang w:eastAsia="es-CR"/>
              </w:rPr>
              <w:t>Menos De ¢3.000.001</w:t>
            </w:r>
          </w:p>
        </w:tc>
        <w:tc>
          <w:tcPr>
            <w:tcW w:w="479" w:type="pct"/>
            <w:tcBorders>
              <w:top w:val="nil"/>
              <w:left w:val="single" w:sz="4" w:space="0" w:color="auto"/>
              <w:bottom w:val="nil"/>
              <w:right w:val="single" w:sz="4" w:space="0" w:color="auto"/>
            </w:tcBorders>
            <w:shd w:val="clear" w:color="auto" w:fill="C5E0B3" w:themeFill="accent6" w:themeFillTint="66"/>
            <w:noWrap/>
            <w:vAlign w:val="bottom"/>
            <w:hideMark/>
          </w:tcPr>
          <w:p w14:paraId="617BCBE0" w14:textId="18364A7F" w:rsidR="008B74EF" w:rsidRPr="004E74A6" w:rsidRDefault="008B74EF" w:rsidP="00CE62C1">
            <w:pPr>
              <w:spacing w:line="276" w:lineRule="auto"/>
              <w:jc w:val="center"/>
              <w:rPr>
                <w:rFonts w:cs="Calibri"/>
                <w:color w:val="000000"/>
                <w:sz w:val="20"/>
                <w:lang w:eastAsia="es-CR"/>
              </w:rPr>
            </w:pPr>
            <w:r w:rsidRPr="004E74A6">
              <w:rPr>
                <w:rFonts w:cs="Calibri"/>
                <w:color w:val="000000"/>
                <w:sz w:val="20"/>
              </w:rPr>
              <w:t>3</w:t>
            </w:r>
          </w:p>
        </w:tc>
        <w:tc>
          <w:tcPr>
            <w:tcW w:w="479" w:type="pct"/>
            <w:tcBorders>
              <w:top w:val="nil"/>
              <w:left w:val="single" w:sz="4" w:space="0" w:color="auto"/>
              <w:bottom w:val="nil"/>
              <w:right w:val="single" w:sz="4" w:space="0" w:color="auto"/>
            </w:tcBorders>
            <w:shd w:val="clear" w:color="auto" w:fill="C5E0B3" w:themeFill="accent6" w:themeFillTint="66"/>
            <w:noWrap/>
            <w:vAlign w:val="bottom"/>
            <w:hideMark/>
          </w:tcPr>
          <w:p w14:paraId="65494842" w14:textId="7B6142AA" w:rsidR="008B74EF" w:rsidRPr="004E74A6" w:rsidRDefault="008B74EF" w:rsidP="00CE62C1">
            <w:pPr>
              <w:spacing w:line="276" w:lineRule="auto"/>
              <w:jc w:val="center"/>
              <w:rPr>
                <w:rFonts w:cs="Calibri"/>
                <w:color w:val="000000"/>
                <w:sz w:val="20"/>
                <w:lang w:eastAsia="es-CR"/>
              </w:rPr>
            </w:pPr>
            <w:r w:rsidRPr="004E74A6">
              <w:rPr>
                <w:rFonts w:cs="Calibri"/>
                <w:color w:val="000000"/>
                <w:sz w:val="20"/>
              </w:rPr>
              <w:t>8</w:t>
            </w:r>
          </w:p>
        </w:tc>
        <w:tc>
          <w:tcPr>
            <w:tcW w:w="479" w:type="pct"/>
            <w:tcBorders>
              <w:top w:val="nil"/>
              <w:left w:val="single" w:sz="4" w:space="0" w:color="auto"/>
              <w:bottom w:val="nil"/>
              <w:right w:val="single" w:sz="4" w:space="0" w:color="auto"/>
            </w:tcBorders>
            <w:shd w:val="clear" w:color="auto" w:fill="C5E0B3" w:themeFill="accent6" w:themeFillTint="66"/>
            <w:noWrap/>
            <w:vAlign w:val="bottom"/>
            <w:hideMark/>
          </w:tcPr>
          <w:p w14:paraId="4765FDCB" w14:textId="1A6EE826" w:rsidR="008B74EF" w:rsidRPr="004E74A6" w:rsidRDefault="008B74EF" w:rsidP="00CE62C1">
            <w:pPr>
              <w:spacing w:line="276" w:lineRule="auto"/>
              <w:jc w:val="center"/>
              <w:rPr>
                <w:rFonts w:cs="Calibri"/>
                <w:color w:val="000000"/>
                <w:sz w:val="20"/>
                <w:lang w:eastAsia="es-CR"/>
              </w:rPr>
            </w:pPr>
            <w:r w:rsidRPr="004E74A6">
              <w:rPr>
                <w:rFonts w:cs="Calibri"/>
                <w:color w:val="000000"/>
                <w:sz w:val="20"/>
              </w:rPr>
              <w:t>7</w:t>
            </w:r>
          </w:p>
        </w:tc>
        <w:tc>
          <w:tcPr>
            <w:tcW w:w="635" w:type="pct"/>
            <w:tcBorders>
              <w:top w:val="nil"/>
              <w:left w:val="single" w:sz="4" w:space="0" w:color="auto"/>
              <w:bottom w:val="nil"/>
              <w:right w:val="nil"/>
            </w:tcBorders>
            <w:shd w:val="clear" w:color="auto" w:fill="C5E0B3" w:themeFill="accent6" w:themeFillTint="66"/>
            <w:noWrap/>
            <w:vAlign w:val="bottom"/>
            <w:hideMark/>
          </w:tcPr>
          <w:p w14:paraId="2EC62B37" w14:textId="6964EF31" w:rsidR="008B74EF" w:rsidRPr="004E74A6" w:rsidRDefault="008B74EF" w:rsidP="00CE62C1">
            <w:pPr>
              <w:spacing w:line="276" w:lineRule="auto"/>
              <w:jc w:val="center"/>
              <w:rPr>
                <w:rFonts w:cs="Calibri"/>
                <w:color w:val="000000"/>
                <w:sz w:val="20"/>
                <w:lang w:eastAsia="es-CR"/>
              </w:rPr>
            </w:pPr>
            <w:r w:rsidRPr="004E74A6">
              <w:rPr>
                <w:rFonts w:cs="Calibri"/>
                <w:color w:val="000000"/>
                <w:sz w:val="20"/>
              </w:rPr>
              <w:t>6,0</w:t>
            </w:r>
          </w:p>
        </w:tc>
        <w:tc>
          <w:tcPr>
            <w:tcW w:w="1336" w:type="pct"/>
            <w:tcBorders>
              <w:top w:val="nil"/>
              <w:left w:val="single" w:sz="4" w:space="0" w:color="auto"/>
              <w:bottom w:val="nil"/>
              <w:right w:val="nil"/>
            </w:tcBorders>
            <w:shd w:val="clear" w:color="auto" w:fill="C5E0B3" w:themeFill="accent6" w:themeFillTint="66"/>
            <w:vAlign w:val="bottom"/>
          </w:tcPr>
          <w:p w14:paraId="5B9980D0" w14:textId="45E595C2" w:rsidR="008B74EF" w:rsidRPr="004E74A6" w:rsidRDefault="008B74EF" w:rsidP="00CE62C1">
            <w:pPr>
              <w:spacing w:line="276" w:lineRule="auto"/>
              <w:jc w:val="center"/>
              <w:rPr>
                <w:rFonts w:cs="Calibri"/>
                <w:color w:val="000000"/>
                <w:sz w:val="20"/>
              </w:rPr>
            </w:pPr>
            <w:r w:rsidRPr="004E74A6">
              <w:rPr>
                <w:rFonts w:cs="Calibri"/>
                <w:color w:val="000000"/>
                <w:sz w:val="20"/>
              </w:rPr>
              <w:t>4%</w:t>
            </w:r>
          </w:p>
        </w:tc>
      </w:tr>
      <w:tr w:rsidR="006E6922" w:rsidRPr="004E74A6" w14:paraId="545DB7F4" w14:textId="32C356DD" w:rsidTr="00193D21">
        <w:trPr>
          <w:trHeight w:val="274"/>
          <w:jc w:val="center"/>
        </w:trPr>
        <w:tc>
          <w:tcPr>
            <w:tcW w:w="1592" w:type="pct"/>
            <w:tcBorders>
              <w:top w:val="nil"/>
              <w:left w:val="nil"/>
              <w:bottom w:val="nil"/>
              <w:right w:val="single" w:sz="4" w:space="0" w:color="auto"/>
            </w:tcBorders>
            <w:shd w:val="clear" w:color="auto" w:fill="C5E0B3" w:themeFill="accent6" w:themeFillTint="66"/>
            <w:noWrap/>
            <w:vAlign w:val="bottom"/>
            <w:hideMark/>
          </w:tcPr>
          <w:p w14:paraId="2D5D4192" w14:textId="77777777" w:rsidR="008B74EF" w:rsidRPr="004E74A6" w:rsidRDefault="008B74EF" w:rsidP="00CE62C1">
            <w:pPr>
              <w:spacing w:line="276" w:lineRule="auto"/>
              <w:jc w:val="left"/>
              <w:rPr>
                <w:rFonts w:cs="Calibri"/>
                <w:color w:val="000000"/>
                <w:sz w:val="20"/>
                <w:lang w:eastAsia="es-CR"/>
              </w:rPr>
            </w:pPr>
            <w:r w:rsidRPr="004E74A6">
              <w:rPr>
                <w:rFonts w:cs="Calibri"/>
                <w:color w:val="000000"/>
                <w:sz w:val="20"/>
                <w:lang w:eastAsia="es-CR"/>
              </w:rPr>
              <w:t>De ¢3.000.001 A ¢4.000.000</w:t>
            </w:r>
          </w:p>
        </w:tc>
        <w:tc>
          <w:tcPr>
            <w:tcW w:w="479" w:type="pct"/>
            <w:tcBorders>
              <w:top w:val="nil"/>
              <w:left w:val="single" w:sz="4" w:space="0" w:color="auto"/>
              <w:bottom w:val="nil"/>
              <w:right w:val="single" w:sz="4" w:space="0" w:color="auto"/>
            </w:tcBorders>
            <w:shd w:val="clear" w:color="auto" w:fill="C5E0B3" w:themeFill="accent6" w:themeFillTint="66"/>
            <w:noWrap/>
            <w:vAlign w:val="bottom"/>
            <w:hideMark/>
          </w:tcPr>
          <w:p w14:paraId="6DA93B67" w14:textId="0AA40904" w:rsidR="008B74EF" w:rsidRPr="004E74A6" w:rsidRDefault="008B74EF" w:rsidP="00CE62C1">
            <w:pPr>
              <w:spacing w:line="276" w:lineRule="auto"/>
              <w:jc w:val="center"/>
              <w:rPr>
                <w:rFonts w:cs="Calibri"/>
                <w:color w:val="000000"/>
                <w:sz w:val="20"/>
                <w:lang w:eastAsia="es-CR"/>
              </w:rPr>
            </w:pPr>
            <w:r w:rsidRPr="004E74A6">
              <w:rPr>
                <w:rFonts w:cs="Calibri"/>
                <w:color w:val="000000"/>
                <w:sz w:val="20"/>
              </w:rPr>
              <w:t>9</w:t>
            </w:r>
          </w:p>
        </w:tc>
        <w:tc>
          <w:tcPr>
            <w:tcW w:w="479" w:type="pct"/>
            <w:tcBorders>
              <w:top w:val="nil"/>
              <w:left w:val="single" w:sz="4" w:space="0" w:color="auto"/>
              <w:bottom w:val="nil"/>
              <w:right w:val="single" w:sz="4" w:space="0" w:color="auto"/>
            </w:tcBorders>
            <w:shd w:val="clear" w:color="auto" w:fill="C5E0B3" w:themeFill="accent6" w:themeFillTint="66"/>
            <w:noWrap/>
            <w:vAlign w:val="bottom"/>
            <w:hideMark/>
          </w:tcPr>
          <w:p w14:paraId="1058D58F" w14:textId="14474E70" w:rsidR="008B74EF" w:rsidRPr="004E74A6" w:rsidRDefault="008B74EF" w:rsidP="00CE62C1">
            <w:pPr>
              <w:spacing w:line="276" w:lineRule="auto"/>
              <w:jc w:val="center"/>
              <w:rPr>
                <w:rFonts w:cs="Calibri"/>
                <w:color w:val="000000"/>
                <w:sz w:val="20"/>
                <w:lang w:eastAsia="es-CR"/>
              </w:rPr>
            </w:pPr>
            <w:r w:rsidRPr="004E74A6">
              <w:rPr>
                <w:rFonts w:cs="Calibri"/>
                <w:color w:val="000000"/>
                <w:sz w:val="20"/>
              </w:rPr>
              <w:t>6</w:t>
            </w:r>
          </w:p>
        </w:tc>
        <w:tc>
          <w:tcPr>
            <w:tcW w:w="479" w:type="pct"/>
            <w:tcBorders>
              <w:top w:val="nil"/>
              <w:left w:val="single" w:sz="4" w:space="0" w:color="auto"/>
              <w:bottom w:val="nil"/>
              <w:right w:val="single" w:sz="4" w:space="0" w:color="auto"/>
            </w:tcBorders>
            <w:shd w:val="clear" w:color="auto" w:fill="C5E0B3" w:themeFill="accent6" w:themeFillTint="66"/>
            <w:noWrap/>
            <w:vAlign w:val="bottom"/>
            <w:hideMark/>
          </w:tcPr>
          <w:p w14:paraId="3B057B3C" w14:textId="1A052CF0" w:rsidR="008B74EF" w:rsidRPr="004E74A6" w:rsidRDefault="008B74EF" w:rsidP="00CE62C1">
            <w:pPr>
              <w:spacing w:line="276" w:lineRule="auto"/>
              <w:jc w:val="center"/>
              <w:rPr>
                <w:rFonts w:cs="Calibri"/>
                <w:color w:val="000000"/>
                <w:sz w:val="20"/>
                <w:lang w:eastAsia="es-CR"/>
              </w:rPr>
            </w:pPr>
            <w:r w:rsidRPr="004E74A6">
              <w:rPr>
                <w:rFonts w:cs="Calibri"/>
                <w:color w:val="000000"/>
                <w:sz w:val="20"/>
              </w:rPr>
              <w:t>9</w:t>
            </w:r>
          </w:p>
        </w:tc>
        <w:tc>
          <w:tcPr>
            <w:tcW w:w="635" w:type="pct"/>
            <w:tcBorders>
              <w:top w:val="nil"/>
              <w:left w:val="single" w:sz="4" w:space="0" w:color="auto"/>
              <w:bottom w:val="nil"/>
              <w:right w:val="nil"/>
            </w:tcBorders>
            <w:shd w:val="clear" w:color="auto" w:fill="C5E0B3" w:themeFill="accent6" w:themeFillTint="66"/>
            <w:noWrap/>
            <w:vAlign w:val="bottom"/>
            <w:hideMark/>
          </w:tcPr>
          <w:p w14:paraId="5C556DAF" w14:textId="4AE31F2D" w:rsidR="008B74EF" w:rsidRPr="004E74A6" w:rsidRDefault="008B74EF" w:rsidP="00CE62C1">
            <w:pPr>
              <w:spacing w:line="276" w:lineRule="auto"/>
              <w:jc w:val="center"/>
              <w:rPr>
                <w:rFonts w:cs="Calibri"/>
                <w:color w:val="000000"/>
                <w:sz w:val="20"/>
                <w:lang w:eastAsia="es-CR"/>
              </w:rPr>
            </w:pPr>
            <w:r w:rsidRPr="004E74A6">
              <w:rPr>
                <w:rFonts w:cs="Calibri"/>
                <w:color w:val="000000"/>
                <w:sz w:val="20"/>
              </w:rPr>
              <w:t>8,0</w:t>
            </w:r>
          </w:p>
        </w:tc>
        <w:tc>
          <w:tcPr>
            <w:tcW w:w="1336" w:type="pct"/>
            <w:tcBorders>
              <w:top w:val="nil"/>
              <w:left w:val="single" w:sz="4" w:space="0" w:color="auto"/>
              <w:bottom w:val="nil"/>
              <w:right w:val="nil"/>
            </w:tcBorders>
            <w:shd w:val="clear" w:color="auto" w:fill="C5E0B3" w:themeFill="accent6" w:themeFillTint="66"/>
            <w:vAlign w:val="bottom"/>
          </w:tcPr>
          <w:p w14:paraId="0AE82558" w14:textId="13AF1BA1" w:rsidR="008B74EF" w:rsidRPr="004E74A6" w:rsidRDefault="008B74EF" w:rsidP="00CE62C1">
            <w:pPr>
              <w:spacing w:line="276" w:lineRule="auto"/>
              <w:jc w:val="center"/>
              <w:rPr>
                <w:rFonts w:cs="Calibri"/>
                <w:color w:val="000000"/>
                <w:sz w:val="20"/>
              </w:rPr>
            </w:pPr>
            <w:r w:rsidRPr="004E74A6">
              <w:rPr>
                <w:rFonts w:cs="Calibri"/>
                <w:color w:val="000000"/>
                <w:sz w:val="20"/>
              </w:rPr>
              <w:t>10%</w:t>
            </w:r>
          </w:p>
        </w:tc>
      </w:tr>
      <w:tr w:rsidR="006E6922" w:rsidRPr="004E74A6" w14:paraId="1A9C9663" w14:textId="30991CCF" w:rsidTr="00193D21">
        <w:trPr>
          <w:trHeight w:val="274"/>
          <w:jc w:val="center"/>
        </w:trPr>
        <w:tc>
          <w:tcPr>
            <w:tcW w:w="1592" w:type="pct"/>
            <w:tcBorders>
              <w:top w:val="nil"/>
              <w:left w:val="nil"/>
              <w:bottom w:val="nil"/>
              <w:right w:val="single" w:sz="4" w:space="0" w:color="auto"/>
            </w:tcBorders>
            <w:shd w:val="clear" w:color="auto" w:fill="C5E0B3" w:themeFill="accent6" w:themeFillTint="66"/>
            <w:noWrap/>
            <w:vAlign w:val="bottom"/>
            <w:hideMark/>
          </w:tcPr>
          <w:p w14:paraId="2A66DC44" w14:textId="77777777" w:rsidR="008B74EF" w:rsidRPr="00832773" w:rsidRDefault="008B74EF" w:rsidP="00CE62C1">
            <w:pPr>
              <w:spacing w:line="276" w:lineRule="auto"/>
              <w:jc w:val="left"/>
              <w:rPr>
                <w:rFonts w:cs="Calibri"/>
                <w:b/>
                <w:bCs/>
                <w:color w:val="000000"/>
                <w:sz w:val="20"/>
                <w:lang w:eastAsia="es-CR"/>
              </w:rPr>
            </w:pPr>
            <w:r w:rsidRPr="00832773">
              <w:rPr>
                <w:rFonts w:cs="Calibri"/>
                <w:b/>
                <w:bCs/>
                <w:color w:val="000000"/>
                <w:sz w:val="20"/>
                <w:lang w:eastAsia="es-CR"/>
              </w:rPr>
              <w:t>De ¢4.000.001 A ¢5.000.000</w:t>
            </w:r>
          </w:p>
        </w:tc>
        <w:tc>
          <w:tcPr>
            <w:tcW w:w="479" w:type="pct"/>
            <w:tcBorders>
              <w:top w:val="nil"/>
              <w:left w:val="single" w:sz="4" w:space="0" w:color="auto"/>
              <w:bottom w:val="nil"/>
              <w:right w:val="single" w:sz="4" w:space="0" w:color="auto"/>
            </w:tcBorders>
            <w:shd w:val="clear" w:color="auto" w:fill="C5E0B3" w:themeFill="accent6" w:themeFillTint="66"/>
            <w:noWrap/>
            <w:vAlign w:val="bottom"/>
            <w:hideMark/>
          </w:tcPr>
          <w:p w14:paraId="471CE143" w14:textId="7603E614" w:rsidR="008B74EF" w:rsidRPr="00832773" w:rsidRDefault="008B74EF" w:rsidP="00CE62C1">
            <w:pPr>
              <w:spacing w:line="276" w:lineRule="auto"/>
              <w:jc w:val="center"/>
              <w:rPr>
                <w:rFonts w:cs="Calibri"/>
                <w:b/>
                <w:bCs/>
                <w:color w:val="000000"/>
                <w:sz w:val="20"/>
                <w:lang w:eastAsia="es-CR"/>
              </w:rPr>
            </w:pPr>
            <w:r w:rsidRPr="00832773">
              <w:rPr>
                <w:rFonts w:cs="Calibri"/>
                <w:b/>
                <w:bCs/>
                <w:color w:val="000000"/>
                <w:sz w:val="20"/>
              </w:rPr>
              <w:t>9</w:t>
            </w:r>
          </w:p>
        </w:tc>
        <w:tc>
          <w:tcPr>
            <w:tcW w:w="479" w:type="pct"/>
            <w:tcBorders>
              <w:top w:val="nil"/>
              <w:left w:val="single" w:sz="4" w:space="0" w:color="auto"/>
              <w:bottom w:val="nil"/>
              <w:right w:val="single" w:sz="4" w:space="0" w:color="auto"/>
            </w:tcBorders>
            <w:shd w:val="clear" w:color="auto" w:fill="C5E0B3" w:themeFill="accent6" w:themeFillTint="66"/>
            <w:noWrap/>
            <w:vAlign w:val="bottom"/>
            <w:hideMark/>
          </w:tcPr>
          <w:p w14:paraId="39FAA8E6" w14:textId="73A3268B" w:rsidR="008B74EF" w:rsidRPr="00832773" w:rsidRDefault="008B74EF" w:rsidP="00CE62C1">
            <w:pPr>
              <w:spacing w:line="276" w:lineRule="auto"/>
              <w:jc w:val="center"/>
              <w:rPr>
                <w:rFonts w:cs="Calibri"/>
                <w:b/>
                <w:bCs/>
                <w:color w:val="000000"/>
                <w:sz w:val="20"/>
                <w:lang w:eastAsia="es-CR"/>
              </w:rPr>
            </w:pPr>
            <w:r w:rsidRPr="00832773">
              <w:rPr>
                <w:rFonts w:cs="Calibri"/>
                <w:b/>
                <w:bCs/>
                <w:color w:val="000000"/>
                <w:sz w:val="20"/>
              </w:rPr>
              <w:t>5</w:t>
            </w:r>
          </w:p>
        </w:tc>
        <w:tc>
          <w:tcPr>
            <w:tcW w:w="479" w:type="pct"/>
            <w:tcBorders>
              <w:top w:val="nil"/>
              <w:left w:val="single" w:sz="4" w:space="0" w:color="auto"/>
              <w:bottom w:val="nil"/>
              <w:right w:val="single" w:sz="4" w:space="0" w:color="auto"/>
            </w:tcBorders>
            <w:shd w:val="clear" w:color="auto" w:fill="C5E0B3" w:themeFill="accent6" w:themeFillTint="66"/>
            <w:noWrap/>
            <w:vAlign w:val="bottom"/>
            <w:hideMark/>
          </w:tcPr>
          <w:p w14:paraId="602E4610" w14:textId="10F442AD" w:rsidR="008B74EF" w:rsidRPr="00832773" w:rsidRDefault="008B74EF" w:rsidP="00CE62C1">
            <w:pPr>
              <w:spacing w:line="276" w:lineRule="auto"/>
              <w:jc w:val="center"/>
              <w:rPr>
                <w:rFonts w:cs="Calibri"/>
                <w:b/>
                <w:bCs/>
                <w:color w:val="000000"/>
                <w:sz w:val="20"/>
                <w:lang w:eastAsia="es-CR"/>
              </w:rPr>
            </w:pPr>
            <w:r w:rsidRPr="00832773">
              <w:rPr>
                <w:rFonts w:cs="Calibri"/>
                <w:b/>
                <w:bCs/>
                <w:color w:val="000000"/>
                <w:sz w:val="20"/>
              </w:rPr>
              <w:t>11</w:t>
            </w:r>
          </w:p>
        </w:tc>
        <w:tc>
          <w:tcPr>
            <w:tcW w:w="635" w:type="pct"/>
            <w:tcBorders>
              <w:top w:val="nil"/>
              <w:left w:val="single" w:sz="4" w:space="0" w:color="auto"/>
              <w:bottom w:val="nil"/>
              <w:right w:val="nil"/>
            </w:tcBorders>
            <w:shd w:val="clear" w:color="auto" w:fill="C5E0B3" w:themeFill="accent6" w:themeFillTint="66"/>
            <w:noWrap/>
            <w:vAlign w:val="bottom"/>
            <w:hideMark/>
          </w:tcPr>
          <w:p w14:paraId="6A42AABA" w14:textId="17014CB7" w:rsidR="008B74EF" w:rsidRPr="00832773" w:rsidRDefault="008B74EF" w:rsidP="00CE62C1">
            <w:pPr>
              <w:spacing w:line="276" w:lineRule="auto"/>
              <w:jc w:val="center"/>
              <w:rPr>
                <w:rFonts w:cs="Calibri"/>
                <w:b/>
                <w:bCs/>
                <w:color w:val="000000"/>
                <w:sz w:val="20"/>
                <w:lang w:eastAsia="es-CR"/>
              </w:rPr>
            </w:pPr>
            <w:r w:rsidRPr="00832773">
              <w:rPr>
                <w:rFonts w:cs="Calibri"/>
                <w:b/>
                <w:bCs/>
                <w:color w:val="000000"/>
                <w:sz w:val="20"/>
              </w:rPr>
              <w:t>8,3</w:t>
            </w:r>
          </w:p>
        </w:tc>
        <w:tc>
          <w:tcPr>
            <w:tcW w:w="1336" w:type="pct"/>
            <w:tcBorders>
              <w:top w:val="nil"/>
              <w:left w:val="single" w:sz="4" w:space="0" w:color="auto"/>
              <w:bottom w:val="nil"/>
              <w:right w:val="nil"/>
            </w:tcBorders>
            <w:shd w:val="clear" w:color="auto" w:fill="C5E0B3" w:themeFill="accent6" w:themeFillTint="66"/>
            <w:vAlign w:val="bottom"/>
          </w:tcPr>
          <w:p w14:paraId="7CF2EC2A" w14:textId="3FC3B566" w:rsidR="008B74EF" w:rsidRPr="00832773" w:rsidRDefault="008B74EF" w:rsidP="00CE62C1">
            <w:pPr>
              <w:spacing w:line="276" w:lineRule="auto"/>
              <w:jc w:val="center"/>
              <w:rPr>
                <w:rFonts w:cs="Calibri"/>
                <w:b/>
                <w:bCs/>
                <w:color w:val="000000"/>
                <w:sz w:val="20"/>
              </w:rPr>
            </w:pPr>
            <w:r w:rsidRPr="00832773">
              <w:rPr>
                <w:rFonts w:cs="Calibri"/>
                <w:b/>
                <w:bCs/>
                <w:color w:val="000000"/>
                <w:sz w:val="20"/>
              </w:rPr>
              <w:t>16%</w:t>
            </w:r>
          </w:p>
        </w:tc>
      </w:tr>
      <w:tr w:rsidR="006E6922" w:rsidRPr="004E74A6" w14:paraId="481B9D1B" w14:textId="69FEEEFF" w:rsidTr="00193D21">
        <w:trPr>
          <w:trHeight w:val="274"/>
          <w:jc w:val="center"/>
        </w:trPr>
        <w:tc>
          <w:tcPr>
            <w:tcW w:w="1592" w:type="pct"/>
            <w:tcBorders>
              <w:top w:val="nil"/>
              <w:left w:val="nil"/>
              <w:bottom w:val="nil"/>
              <w:right w:val="single" w:sz="4" w:space="0" w:color="auto"/>
            </w:tcBorders>
            <w:shd w:val="clear" w:color="auto" w:fill="C5E0B3" w:themeFill="accent6" w:themeFillTint="66"/>
            <w:noWrap/>
            <w:vAlign w:val="bottom"/>
            <w:hideMark/>
          </w:tcPr>
          <w:p w14:paraId="04420E43" w14:textId="77777777" w:rsidR="008B74EF" w:rsidRPr="004E74A6" w:rsidRDefault="008B74EF" w:rsidP="00CE62C1">
            <w:pPr>
              <w:spacing w:line="276" w:lineRule="auto"/>
              <w:jc w:val="left"/>
              <w:rPr>
                <w:rFonts w:cs="Calibri"/>
                <w:color w:val="000000"/>
                <w:sz w:val="20"/>
                <w:lang w:eastAsia="es-CR"/>
              </w:rPr>
            </w:pPr>
            <w:r w:rsidRPr="004E74A6">
              <w:rPr>
                <w:rFonts w:cs="Calibri"/>
                <w:color w:val="000000"/>
                <w:sz w:val="20"/>
                <w:lang w:eastAsia="es-CR"/>
              </w:rPr>
              <w:t>De ¢5.000.001 A ¢6.000.000</w:t>
            </w:r>
          </w:p>
        </w:tc>
        <w:tc>
          <w:tcPr>
            <w:tcW w:w="479" w:type="pct"/>
            <w:tcBorders>
              <w:top w:val="nil"/>
              <w:left w:val="single" w:sz="4" w:space="0" w:color="auto"/>
              <w:bottom w:val="nil"/>
              <w:right w:val="single" w:sz="4" w:space="0" w:color="auto"/>
            </w:tcBorders>
            <w:shd w:val="clear" w:color="auto" w:fill="C5E0B3" w:themeFill="accent6" w:themeFillTint="66"/>
            <w:noWrap/>
            <w:vAlign w:val="bottom"/>
            <w:hideMark/>
          </w:tcPr>
          <w:p w14:paraId="7529DFF3" w14:textId="26F55260" w:rsidR="008B74EF" w:rsidRPr="004E74A6" w:rsidRDefault="008B74EF" w:rsidP="00CE62C1">
            <w:pPr>
              <w:spacing w:line="276" w:lineRule="auto"/>
              <w:jc w:val="center"/>
              <w:rPr>
                <w:rFonts w:cs="Calibri"/>
                <w:color w:val="000000"/>
                <w:sz w:val="20"/>
                <w:lang w:eastAsia="es-CR"/>
              </w:rPr>
            </w:pPr>
            <w:r w:rsidRPr="004E74A6">
              <w:rPr>
                <w:rFonts w:cs="Calibri"/>
                <w:color w:val="000000"/>
                <w:sz w:val="20"/>
              </w:rPr>
              <w:t>6</w:t>
            </w:r>
          </w:p>
        </w:tc>
        <w:tc>
          <w:tcPr>
            <w:tcW w:w="479" w:type="pct"/>
            <w:tcBorders>
              <w:top w:val="nil"/>
              <w:left w:val="single" w:sz="4" w:space="0" w:color="auto"/>
              <w:bottom w:val="nil"/>
              <w:right w:val="single" w:sz="4" w:space="0" w:color="auto"/>
            </w:tcBorders>
            <w:shd w:val="clear" w:color="auto" w:fill="C5E0B3" w:themeFill="accent6" w:themeFillTint="66"/>
            <w:noWrap/>
            <w:vAlign w:val="bottom"/>
            <w:hideMark/>
          </w:tcPr>
          <w:p w14:paraId="628175A5" w14:textId="5EB827B2" w:rsidR="008B74EF" w:rsidRPr="004E74A6" w:rsidRDefault="008B74EF" w:rsidP="00CE62C1">
            <w:pPr>
              <w:spacing w:line="276" w:lineRule="auto"/>
              <w:jc w:val="center"/>
              <w:rPr>
                <w:rFonts w:cs="Calibri"/>
                <w:color w:val="000000"/>
                <w:sz w:val="20"/>
                <w:lang w:eastAsia="es-CR"/>
              </w:rPr>
            </w:pPr>
            <w:r w:rsidRPr="004E74A6">
              <w:rPr>
                <w:rFonts w:cs="Calibri"/>
                <w:color w:val="000000"/>
                <w:sz w:val="20"/>
              </w:rPr>
              <w:t>8</w:t>
            </w:r>
          </w:p>
        </w:tc>
        <w:tc>
          <w:tcPr>
            <w:tcW w:w="479" w:type="pct"/>
            <w:tcBorders>
              <w:top w:val="nil"/>
              <w:left w:val="single" w:sz="4" w:space="0" w:color="auto"/>
              <w:bottom w:val="nil"/>
              <w:right w:val="single" w:sz="4" w:space="0" w:color="auto"/>
            </w:tcBorders>
            <w:shd w:val="clear" w:color="auto" w:fill="C5E0B3" w:themeFill="accent6" w:themeFillTint="66"/>
            <w:noWrap/>
            <w:vAlign w:val="bottom"/>
            <w:hideMark/>
          </w:tcPr>
          <w:p w14:paraId="1B8B2B43" w14:textId="47C099FC" w:rsidR="008B74EF" w:rsidRPr="004E74A6" w:rsidRDefault="008B74EF" w:rsidP="00CE62C1">
            <w:pPr>
              <w:spacing w:line="276" w:lineRule="auto"/>
              <w:jc w:val="center"/>
              <w:rPr>
                <w:rFonts w:cs="Calibri"/>
                <w:color w:val="000000"/>
                <w:sz w:val="20"/>
                <w:lang w:eastAsia="es-CR"/>
              </w:rPr>
            </w:pPr>
            <w:r w:rsidRPr="004E74A6">
              <w:rPr>
                <w:rFonts w:cs="Calibri"/>
                <w:color w:val="000000"/>
                <w:sz w:val="20"/>
              </w:rPr>
              <w:t>5</w:t>
            </w:r>
          </w:p>
        </w:tc>
        <w:tc>
          <w:tcPr>
            <w:tcW w:w="635" w:type="pct"/>
            <w:tcBorders>
              <w:top w:val="nil"/>
              <w:left w:val="single" w:sz="4" w:space="0" w:color="auto"/>
              <w:bottom w:val="nil"/>
              <w:right w:val="nil"/>
            </w:tcBorders>
            <w:shd w:val="clear" w:color="auto" w:fill="C5E0B3" w:themeFill="accent6" w:themeFillTint="66"/>
            <w:noWrap/>
            <w:vAlign w:val="bottom"/>
            <w:hideMark/>
          </w:tcPr>
          <w:p w14:paraId="45076788" w14:textId="2F0AE55A" w:rsidR="008B74EF" w:rsidRPr="004E74A6" w:rsidRDefault="008B74EF" w:rsidP="00CE62C1">
            <w:pPr>
              <w:spacing w:line="276" w:lineRule="auto"/>
              <w:jc w:val="center"/>
              <w:rPr>
                <w:rFonts w:cs="Calibri"/>
                <w:color w:val="000000"/>
                <w:sz w:val="20"/>
                <w:lang w:eastAsia="es-CR"/>
              </w:rPr>
            </w:pPr>
            <w:r w:rsidRPr="004E74A6">
              <w:rPr>
                <w:rFonts w:cs="Calibri"/>
                <w:color w:val="000000"/>
                <w:sz w:val="20"/>
              </w:rPr>
              <w:t>6,3</w:t>
            </w:r>
          </w:p>
        </w:tc>
        <w:tc>
          <w:tcPr>
            <w:tcW w:w="1336" w:type="pct"/>
            <w:tcBorders>
              <w:top w:val="nil"/>
              <w:left w:val="single" w:sz="4" w:space="0" w:color="auto"/>
              <w:bottom w:val="nil"/>
              <w:right w:val="nil"/>
            </w:tcBorders>
            <w:shd w:val="clear" w:color="auto" w:fill="C5E0B3" w:themeFill="accent6" w:themeFillTint="66"/>
            <w:vAlign w:val="bottom"/>
          </w:tcPr>
          <w:p w14:paraId="74238F9D" w14:textId="5212CF96" w:rsidR="008B74EF" w:rsidRPr="004E74A6" w:rsidRDefault="008B74EF" w:rsidP="00CE62C1">
            <w:pPr>
              <w:spacing w:line="276" w:lineRule="auto"/>
              <w:jc w:val="center"/>
              <w:rPr>
                <w:rFonts w:cs="Calibri"/>
                <w:color w:val="000000"/>
                <w:sz w:val="20"/>
              </w:rPr>
            </w:pPr>
            <w:r w:rsidRPr="004E74A6">
              <w:rPr>
                <w:rFonts w:cs="Calibri"/>
                <w:color w:val="000000"/>
                <w:sz w:val="20"/>
              </w:rPr>
              <w:t>21%</w:t>
            </w:r>
          </w:p>
        </w:tc>
      </w:tr>
      <w:tr w:rsidR="006E6922" w:rsidRPr="004E74A6" w14:paraId="1870E18F" w14:textId="7CDA64B8" w:rsidTr="00193D21">
        <w:trPr>
          <w:trHeight w:val="274"/>
          <w:jc w:val="center"/>
        </w:trPr>
        <w:tc>
          <w:tcPr>
            <w:tcW w:w="1592" w:type="pct"/>
            <w:tcBorders>
              <w:top w:val="nil"/>
              <w:left w:val="nil"/>
              <w:bottom w:val="nil"/>
              <w:right w:val="single" w:sz="4" w:space="0" w:color="auto"/>
            </w:tcBorders>
            <w:shd w:val="clear" w:color="auto" w:fill="C5E0B3" w:themeFill="accent6" w:themeFillTint="66"/>
            <w:noWrap/>
            <w:vAlign w:val="bottom"/>
            <w:hideMark/>
          </w:tcPr>
          <w:p w14:paraId="6666E056" w14:textId="77777777" w:rsidR="008B74EF" w:rsidRPr="004E74A6" w:rsidRDefault="008B74EF" w:rsidP="00CE62C1">
            <w:pPr>
              <w:spacing w:line="276" w:lineRule="auto"/>
              <w:jc w:val="left"/>
              <w:rPr>
                <w:rFonts w:cs="Calibri"/>
                <w:color w:val="000000"/>
                <w:sz w:val="20"/>
                <w:lang w:eastAsia="es-CR"/>
              </w:rPr>
            </w:pPr>
            <w:r w:rsidRPr="004E74A6">
              <w:rPr>
                <w:rFonts w:cs="Calibri"/>
                <w:color w:val="000000"/>
                <w:sz w:val="20"/>
                <w:lang w:eastAsia="es-CR"/>
              </w:rPr>
              <w:t>De ¢6.000.001 A ¢7.000.000</w:t>
            </w:r>
          </w:p>
        </w:tc>
        <w:tc>
          <w:tcPr>
            <w:tcW w:w="479" w:type="pct"/>
            <w:tcBorders>
              <w:top w:val="nil"/>
              <w:left w:val="single" w:sz="4" w:space="0" w:color="auto"/>
              <w:bottom w:val="nil"/>
              <w:right w:val="single" w:sz="4" w:space="0" w:color="auto"/>
            </w:tcBorders>
            <w:shd w:val="clear" w:color="auto" w:fill="C5E0B3" w:themeFill="accent6" w:themeFillTint="66"/>
            <w:noWrap/>
            <w:vAlign w:val="bottom"/>
            <w:hideMark/>
          </w:tcPr>
          <w:p w14:paraId="13B920AE" w14:textId="30D652CC" w:rsidR="008B74EF" w:rsidRPr="004E74A6" w:rsidRDefault="008B74EF" w:rsidP="00CE62C1">
            <w:pPr>
              <w:spacing w:line="276" w:lineRule="auto"/>
              <w:jc w:val="center"/>
              <w:rPr>
                <w:rFonts w:cs="Calibri"/>
                <w:color w:val="000000"/>
                <w:sz w:val="20"/>
                <w:lang w:eastAsia="es-CR"/>
              </w:rPr>
            </w:pPr>
            <w:r w:rsidRPr="004E74A6">
              <w:rPr>
                <w:rFonts w:cs="Calibri"/>
                <w:color w:val="000000"/>
                <w:sz w:val="20"/>
              </w:rPr>
              <w:t>3</w:t>
            </w:r>
          </w:p>
        </w:tc>
        <w:tc>
          <w:tcPr>
            <w:tcW w:w="479" w:type="pct"/>
            <w:tcBorders>
              <w:top w:val="nil"/>
              <w:left w:val="single" w:sz="4" w:space="0" w:color="auto"/>
              <w:bottom w:val="nil"/>
              <w:right w:val="single" w:sz="4" w:space="0" w:color="auto"/>
            </w:tcBorders>
            <w:shd w:val="clear" w:color="auto" w:fill="C5E0B3" w:themeFill="accent6" w:themeFillTint="66"/>
            <w:noWrap/>
            <w:vAlign w:val="bottom"/>
            <w:hideMark/>
          </w:tcPr>
          <w:p w14:paraId="40277A18" w14:textId="2C2822C5" w:rsidR="008B74EF" w:rsidRPr="004E74A6" w:rsidRDefault="008B74EF" w:rsidP="00CE62C1">
            <w:pPr>
              <w:spacing w:line="276" w:lineRule="auto"/>
              <w:jc w:val="center"/>
              <w:rPr>
                <w:rFonts w:cs="Calibri"/>
                <w:color w:val="000000"/>
                <w:sz w:val="20"/>
                <w:lang w:eastAsia="es-CR"/>
              </w:rPr>
            </w:pPr>
            <w:r w:rsidRPr="004E74A6">
              <w:rPr>
                <w:rFonts w:cs="Calibri"/>
                <w:color w:val="000000"/>
                <w:sz w:val="20"/>
              </w:rPr>
              <w:t>4</w:t>
            </w:r>
          </w:p>
        </w:tc>
        <w:tc>
          <w:tcPr>
            <w:tcW w:w="479" w:type="pct"/>
            <w:tcBorders>
              <w:top w:val="nil"/>
              <w:left w:val="single" w:sz="4" w:space="0" w:color="auto"/>
              <w:bottom w:val="nil"/>
              <w:right w:val="single" w:sz="4" w:space="0" w:color="auto"/>
            </w:tcBorders>
            <w:shd w:val="clear" w:color="auto" w:fill="C5E0B3" w:themeFill="accent6" w:themeFillTint="66"/>
            <w:noWrap/>
            <w:vAlign w:val="bottom"/>
            <w:hideMark/>
          </w:tcPr>
          <w:p w14:paraId="4583BE1D" w14:textId="6D320838" w:rsidR="008B74EF" w:rsidRPr="004E74A6" w:rsidRDefault="008B74EF" w:rsidP="00CE62C1">
            <w:pPr>
              <w:spacing w:line="276" w:lineRule="auto"/>
              <w:jc w:val="center"/>
              <w:rPr>
                <w:rFonts w:cs="Calibri"/>
                <w:color w:val="000000"/>
                <w:sz w:val="20"/>
                <w:lang w:eastAsia="es-CR"/>
              </w:rPr>
            </w:pPr>
            <w:r w:rsidRPr="004E74A6">
              <w:rPr>
                <w:rFonts w:cs="Calibri"/>
                <w:color w:val="000000"/>
                <w:sz w:val="20"/>
              </w:rPr>
              <w:t>7</w:t>
            </w:r>
          </w:p>
        </w:tc>
        <w:tc>
          <w:tcPr>
            <w:tcW w:w="635" w:type="pct"/>
            <w:tcBorders>
              <w:top w:val="nil"/>
              <w:left w:val="single" w:sz="4" w:space="0" w:color="auto"/>
              <w:bottom w:val="nil"/>
              <w:right w:val="nil"/>
            </w:tcBorders>
            <w:shd w:val="clear" w:color="auto" w:fill="C5E0B3" w:themeFill="accent6" w:themeFillTint="66"/>
            <w:noWrap/>
            <w:vAlign w:val="bottom"/>
            <w:hideMark/>
          </w:tcPr>
          <w:p w14:paraId="6A213EBE" w14:textId="41939854" w:rsidR="008B74EF" w:rsidRPr="004E74A6" w:rsidRDefault="008B74EF" w:rsidP="00CE62C1">
            <w:pPr>
              <w:spacing w:line="276" w:lineRule="auto"/>
              <w:jc w:val="center"/>
              <w:rPr>
                <w:rFonts w:cs="Calibri"/>
                <w:color w:val="000000"/>
                <w:sz w:val="20"/>
                <w:lang w:eastAsia="es-CR"/>
              </w:rPr>
            </w:pPr>
            <w:r w:rsidRPr="004E74A6">
              <w:rPr>
                <w:rFonts w:cs="Calibri"/>
                <w:color w:val="000000"/>
                <w:sz w:val="20"/>
              </w:rPr>
              <w:t>4,7</w:t>
            </w:r>
          </w:p>
        </w:tc>
        <w:tc>
          <w:tcPr>
            <w:tcW w:w="1336" w:type="pct"/>
            <w:tcBorders>
              <w:top w:val="nil"/>
              <w:left w:val="single" w:sz="4" w:space="0" w:color="auto"/>
              <w:bottom w:val="nil"/>
              <w:right w:val="nil"/>
            </w:tcBorders>
            <w:shd w:val="clear" w:color="auto" w:fill="C5E0B3" w:themeFill="accent6" w:themeFillTint="66"/>
            <w:vAlign w:val="bottom"/>
          </w:tcPr>
          <w:p w14:paraId="6156D151" w14:textId="36B29CE9" w:rsidR="008B74EF" w:rsidRPr="004E74A6" w:rsidRDefault="008B74EF" w:rsidP="00CE62C1">
            <w:pPr>
              <w:spacing w:line="276" w:lineRule="auto"/>
              <w:jc w:val="center"/>
              <w:rPr>
                <w:rFonts w:cs="Calibri"/>
                <w:color w:val="000000"/>
                <w:sz w:val="20"/>
              </w:rPr>
            </w:pPr>
            <w:r w:rsidRPr="004E74A6">
              <w:rPr>
                <w:rFonts w:cs="Calibri"/>
                <w:color w:val="000000"/>
                <w:sz w:val="20"/>
              </w:rPr>
              <w:t>24%</w:t>
            </w:r>
          </w:p>
        </w:tc>
      </w:tr>
      <w:tr w:rsidR="006E6922" w:rsidRPr="004E74A6" w14:paraId="4B43D7BF" w14:textId="5218ADEC" w:rsidTr="00193D21">
        <w:trPr>
          <w:trHeight w:val="274"/>
          <w:jc w:val="center"/>
        </w:trPr>
        <w:tc>
          <w:tcPr>
            <w:tcW w:w="1592" w:type="pct"/>
            <w:tcBorders>
              <w:top w:val="nil"/>
              <w:left w:val="nil"/>
              <w:bottom w:val="nil"/>
              <w:right w:val="single" w:sz="4" w:space="0" w:color="auto"/>
            </w:tcBorders>
            <w:shd w:val="clear" w:color="auto" w:fill="C5E0B3" w:themeFill="accent6" w:themeFillTint="66"/>
            <w:noWrap/>
            <w:vAlign w:val="bottom"/>
            <w:hideMark/>
          </w:tcPr>
          <w:p w14:paraId="3D89D8F5" w14:textId="77777777" w:rsidR="008B74EF" w:rsidRPr="004E74A6" w:rsidRDefault="008B74EF" w:rsidP="00CE62C1">
            <w:pPr>
              <w:spacing w:line="276" w:lineRule="auto"/>
              <w:jc w:val="left"/>
              <w:rPr>
                <w:rFonts w:cs="Calibri"/>
                <w:color w:val="000000"/>
                <w:sz w:val="20"/>
                <w:lang w:eastAsia="es-CR"/>
              </w:rPr>
            </w:pPr>
            <w:r w:rsidRPr="004E74A6">
              <w:rPr>
                <w:rFonts w:cs="Calibri"/>
                <w:color w:val="000000"/>
                <w:sz w:val="20"/>
                <w:lang w:eastAsia="es-CR"/>
              </w:rPr>
              <w:t>De ¢7.000.001 A ¢8.000.000</w:t>
            </w:r>
          </w:p>
        </w:tc>
        <w:tc>
          <w:tcPr>
            <w:tcW w:w="479" w:type="pct"/>
            <w:tcBorders>
              <w:top w:val="nil"/>
              <w:left w:val="single" w:sz="4" w:space="0" w:color="auto"/>
              <w:bottom w:val="nil"/>
              <w:right w:val="single" w:sz="4" w:space="0" w:color="auto"/>
            </w:tcBorders>
            <w:shd w:val="clear" w:color="auto" w:fill="C5E0B3" w:themeFill="accent6" w:themeFillTint="66"/>
            <w:noWrap/>
            <w:vAlign w:val="bottom"/>
            <w:hideMark/>
          </w:tcPr>
          <w:p w14:paraId="6C54F6B5" w14:textId="5647B5C4" w:rsidR="008B74EF" w:rsidRPr="004E74A6" w:rsidRDefault="008B74EF" w:rsidP="00CE62C1">
            <w:pPr>
              <w:spacing w:line="276" w:lineRule="auto"/>
              <w:jc w:val="center"/>
              <w:rPr>
                <w:rFonts w:cs="Calibri"/>
                <w:color w:val="000000"/>
                <w:sz w:val="20"/>
                <w:lang w:eastAsia="es-CR"/>
              </w:rPr>
            </w:pPr>
            <w:r w:rsidRPr="004E74A6">
              <w:rPr>
                <w:rFonts w:cs="Calibri"/>
                <w:color w:val="000000"/>
                <w:sz w:val="20"/>
              </w:rPr>
              <w:t>0</w:t>
            </w:r>
          </w:p>
        </w:tc>
        <w:tc>
          <w:tcPr>
            <w:tcW w:w="479" w:type="pct"/>
            <w:tcBorders>
              <w:top w:val="nil"/>
              <w:left w:val="single" w:sz="4" w:space="0" w:color="auto"/>
              <w:bottom w:val="nil"/>
              <w:right w:val="single" w:sz="4" w:space="0" w:color="auto"/>
            </w:tcBorders>
            <w:shd w:val="clear" w:color="auto" w:fill="C5E0B3" w:themeFill="accent6" w:themeFillTint="66"/>
            <w:noWrap/>
            <w:vAlign w:val="bottom"/>
            <w:hideMark/>
          </w:tcPr>
          <w:p w14:paraId="12897771" w14:textId="7983F5C0" w:rsidR="008B74EF" w:rsidRPr="004E74A6" w:rsidRDefault="008B74EF" w:rsidP="00CE62C1">
            <w:pPr>
              <w:spacing w:line="276" w:lineRule="auto"/>
              <w:jc w:val="center"/>
              <w:rPr>
                <w:rFonts w:cs="Calibri"/>
                <w:color w:val="000000"/>
                <w:sz w:val="20"/>
                <w:lang w:eastAsia="es-CR"/>
              </w:rPr>
            </w:pPr>
            <w:r w:rsidRPr="004E74A6">
              <w:rPr>
                <w:rFonts w:cs="Calibri"/>
                <w:color w:val="000000"/>
                <w:sz w:val="20"/>
              </w:rPr>
              <w:t>2</w:t>
            </w:r>
          </w:p>
        </w:tc>
        <w:tc>
          <w:tcPr>
            <w:tcW w:w="479" w:type="pct"/>
            <w:tcBorders>
              <w:top w:val="nil"/>
              <w:left w:val="single" w:sz="4" w:space="0" w:color="auto"/>
              <w:bottom w:val="nil"/>
              <w:right w:val="single" w:sz="4" w:space="0" w:color="auto"/>
            </w:tcBorders>
            <w:shd w:val="clear" w:color="auto" w:fill="C5E0B3" w:themeFill="accent6" w:themeFillTint="66"/>
            <w:noWrap/>
            <w:vAlign w:val="bottom"/>
            <w:hideMark/>
          </w:tcPr>
          <w:p w14:paraId="3EB7DCED" w14:textId="48E7F51E" w:rsidR="008B74EF" w:rsidRPr="004E74A6" w:rsidRDefault="008B74EF" w:rsidP="00CE62C1">
            <w:pPr>
              <w:spacing w:line="276" w:lineRule="auto"/>
              <w:jc w:val="center"/>
              <w:rPr>
                <w:rFonts w:cs="Calibri"/>
                <w:color w:val="000000"/>
                <w:sz w:val="20"/>
                <w:lang w:eastAsia="es-CR"/>
              </w:rPr>
            </w:pPr>
            <w:r w:rsidRPr="004E74A6">
              <w:rPr>
                <w:rFonts w:cs="Calibri"/>
                <w:color w:val="000000"/>
                <w:sz w:val="20"/>
              </w:rPr>
              <w:t>6</w:t>
            </w:r>
          </w:p>
        </w:tc>
        <w:tc>
          <w:tcPr>
            <w:tcW w:w="635" w:type="pct"/>
            <w:tcBorders>
              <w:top w:val="nil"/>
              <w:left w:val="single" w:sz="4" w:space="0" w:color="auto"/>
              <w:bottom w:val="nil"/>
              <w:right w:val="nil"/>
            </w:tcBorders>
            <w:shd w:val="clear" w:color="auto" w:fill="C5E0B3" w:themeFill="accent6" w:themeFillTint="66"/>
            <w:noWrap/>
            <w:vAlign w:val="bottom"/>
            <w:hideMark/>
          </w:tcPr>
          <w:p w14:paraId="2EA356C0" w14:textId="4AAC2EAC" w:rsidR="008B74EF" w:rsidRPr="004E74A6" w:rsidRDefault="008B74EF" w:rsidP="00CE62C1">
            <w:pPr>
              <w:spacing w:line="276" w:lineRule="auto"/>
              <w:jc w:val="center"/>
              <w:rPr>
                <w:rFonts w:cs="Calibri"/>
                <w:color w:val="000000"/>
                <w:sz w:val="20"/>
                <w:lang w:eastAsia="es-CR"/>
              </w:rPr>
            </w:pPr>
            <w:r w:rsidRPr="004E74A6">
              <w:rPr>
                <w:rFonts w:cs="Calibri"/>
                <w:color w:val="000000"/>
                <w:sz w:val="20"/>
              </w:rPr>
              <w:t>2,7</w:t>
            </w:r>
          </w:p>
        </w:tc>
        <w:tc>
          <w:tcPr>
            <w:tcW w:w="1336" w:type="pct"/>
            <w:tcBorders>
              <w:top w:val="nil"/>
              <w:left w:val="single" w:sz="4" w:space="0" w:color="auto"/>
              <w:bottom w:val="nil"/>
              <w:right w:val="nil"/>
            </w:tcBorders>
            <w:shd w:val="clear" w:color="auto" w:fill="C5E0B3" w:themeFill="accent6" w:themeFillTint="66"/>
            <w:vAlign w:val="bottom"/>
          </w:tcPr>
          <w:p w14:paraId="17D51AB1" w14:textId="7D3A744D" w:rsidR="008B74EF" w:rsidRPr="004E74A6" w:rsidRDefault="008B74EF" w:rsidP="00CE62C1">
            <w:pPr>
              <w:spacing w:line="276" w:lineRule="auto"/>
              <w:jc w:val="center"/>
              <w:rPr>
                <w:rFonts w:cs="Calibri"/>
                <w:color w:val="000000"/>
                <w:sz w:val="20"/>
              </w:rPr>
            </w:pPr>
            <w:r w:rsidRPr="004E74A6">
              <w:rPr>
                <w:rFonts w:cs="Calibri"/>
                <w:color w:val="000000"/>
                <w:sz w:val="20"/>
              </w:rPr>
              <w:t>26%</w:t>
            </w:r>
          </w:p>
        </w:tc>
      </w:tr>
      <w:tr w:rsidR="006E6922" w:rsidRPr="004E74A6" w14:paraId="1C9ECFF3" w14:textId="0CB0B1D9" w:rsidTr="00193D21">
        <w:trPr>
          <w:trHeight w:val="274"/>
          <w:jc w:val="center"/>
        </w:trPr>
        <w:tc>
          <w:tcPr>
            <w:tcW w:w="1592" w:type="pct"/>
            <w:tcBorders>
              <w:top w:val="nil"/>
              <w:left w:val="nil"/>
              <w:bottom w:val="nil"/>
              <w:right w:val="single" w:sz="4" w:space="0" w:color="auto"/>
            </w:tcBorders>
            <w:shd w:val="clear" w:color="auto" w:fill="C5E0B3" w:themeFill="accent6" w:themeFillTint="66"/>
            <w:noWrap/>
            <w:vAlign w:val="bottom"/>
            <w:hideMark/>
          </w:tcPr>
          <w:p w14:paraId="04B8859E" w14:textId="77777777" w:rsidR="008B74EF" w:rsidRPr="004E74A6" w:rsidRDefault="008B74EF" w:rsidP="00CE62C1">
            <w:pPr>
              <w:spacing w:line="276" w:lineRule="auto"/>
              <w:jc w:val="left"/>
              <w:rPr>
                <w:rFonts w:cs="Calibri"/>
                <w:color w:val="000000"/>
                <w:sz w:val="20"/>
                <w:lang w:eastAsia="es-CR"/>
              </w:rPr>
            </w:pPr>
            <w:r w:rsidRPr="004E74A6">
              <w:rPr>
                <w:rFonts w:cs="Calibri"/>
                <w:color w:val="000000"/>
                <w:sz w:val="20"/>
                <w:lang w:eastAsia="es-CR"/>
              </w:rPr>
              <w:t>De ¢8.000.001 A ¢9.000.000</w:t>
            </w:r>
          </w:p>
        </w:tc>
        <w:tc>
          <w:tcPr>
            <w:tcW w:w="479" w:type="pct"/>
            <w:tcBorders>
              <w:top w:val="nil"/>
              <w:left w:val="single" w:sz="4" w:space="0" w:color="auto"/>
              <w:bottom w:val="nil"/>
              <w:right w:val="single" w:sz="4" w:space="0" w:color="auto"/>
            </w:tcBorders>
            <w:shd w:val="clear" w:color="auto" w:fill="C5E0B3" w:themeFill="accent6" w:themeFillTint="66"/>
            <w:noWrap/>
            <w:vAlign w:val="bottom"/>
            <w:hideMark/>
          </w:tcPr>
          <w:p w14:paraId="35EABFF6" w14:textId="4360F2D6" w:rsidR="008B74EF" w:rsidRPr="004E74A6" w:rsidRDefault="008B74EF" w:rsidP="00CE62C1">
            <w:pPr>
              <w:spacing w:line="276" w:lineRule="auto"/>
              <w:jc w:val="center"/>
              <w:rPr>
                <w:rFonts w:cs="Calibri"/>
                <w:color w:val="000000"/>
                <w:sz w:val="20"/>
                <w:lang w:eastAsia="es-CR"/>
              </w:rPr>
            </w:pPr>
            <w:r w:rsidRPr="004E74A6">
              <w:rPr>
                <w:rFonts w:cs="Calibri"/>
                <w:color w:val="000000"/>
                <w:sz w:val="20"/>
              </w:rPr>
              <w:t>3</w:t>
            </w:r>
          </w:p>
        </w:tc>
        <w:tc>
          <w:tcPr>
            <w:tcW w:w="479" w:type="pct"/>
            <w:tcBorders>
              <w:top w:val="nil"/>
              <w:left w:val="single" w:sz="4" w:space="0" w:color="auto"/>
              <w:bottom w:val="nil"/>
              <w:right w:val="single" w:sz="4" w:space="0" w:color="auto"/>
            </w:tcBorders>
            <w:shd w:val="clear" w:color="auto" w:fill="C5E0B3" w:themeFill="accent6" w:themeFillTint="66"/>
            <w:noWrap/>
            <w:vAlign w:val="bottom"/>
            <w:hideMark/>
          </w:tcPr>
          <w:p w14:paraId="09D317BD" w14:textId="2BD9B56B" w:rsidR="008B74EF" w:rsidRPr="004E74A6" w:rsidRDefault="008B74EF" w:rsidP="00CE62C1">
            <w:pPr>
              <w:spacing w:line="276" w:lineRule="auto"/>
              <w:jc w:val="center"/>
              <w:rPr>
                <w:rFonts w:cs="Calibri"/>
                <w:color w:val="000000"/>
                <w:sz w:val="20"/>
                <w:lang w:eastAsia="es-CR"/>
              </w:rPr>
            </w:pPr>
            <w:r w:rsidRPr="004E74A6">
              <w:rPr>
                <w:rFonts w:cs="Calibri"/>
                <w:color w:val="000000"/>
                <w:sz w:val="20"/>
              </w:rPr>
              <w:t>4</w:t>
            </w:r>
          </w:p>
        </w:tc>
        <w:tc>
          <w:tcPr>
            <w:tcW w:w="479" w:type="pct"/>
            <w:tcBorders>
              <w:top w:val="nil"/>
              <w:left w:val="single" w:sz="4" w:space="0" w:color="auto"/>
              <w:bottom w:val="nil"/>
              <w:right w:val="single" w:sz="4" w:space="0" w:color="auto"/>
            </w:tcBorders>
            <w:shd w:val="clear" w:color="auto" w:fill="C5E0B3" w:themeFill="accent6" w:themeFillTint="66"/>
            <w:noWrap/>
            <w:vAlign w:val="bottom"/>
            <w:hideMark/>
          </w:tcPr>
          <w:p w14:paraId="02425933" w14:textId="6CC04877" w:rsidR="008B74EF" w:rsidRPr="004E74A6" w:rsidRDefault="008B74EF" w:rsidP="00CE62C1">
            <w:pPr>
              <w:spacing w:line="276" w:lineRule="auto"/>
              <w:jc w:val="center"/>
              <w:rPr>
                <w:rFonts w:cs="Calibri"/>
                <w:color w:val="000000"/>
                <w:sz w:val="20"/>
                <w:lang w:eastAsia="es-CR"/>
              </w:rPr>
            </w:pPr>
            <w:r w:rsidRPr="004E74A6">
              <w:rPr>
                <w:rFonts w:cs="Calibri"/>
                <w:color w:val="000000"/>
                <w:sz w:val="20"/>
              </w:rPr>
              <w:t>7</w:t>
            </w:r>
          </w:p>
        </w:tc>
        <w:tc>
          <w:tcPr>
            <w:tcW w:w="635" w:type="pct"/>
            <w:tcBorders>
              <w:top w:val="nil"/>
              <w:left w:val="single" w:sz="4" w:space="0" w:color="auto"/>
              <w:bottom w:val="nil"/>
              <w:right w:val="nil"/>
            </w:tcBorders>
            <w:shd w:val="clear" w:color="auto" w:fill="C5E0B3" w:themeFill="accent6" w:themeFillTint="66"/>
            <w:noWrap/>
            <w:vAlign w:val="bottom"/>
            <w:hideMark/>
          </w:tcPr>
          <w:p w14:paraId="46649B18" w14:textId="1879E3CC" w:rsidR="008B74EF" w:rsidRPr="004E74A6" w:rsidRDefault="008B74EF" w:rsidP="00CE62C1">
            <w:pPr>
              <w:spacing w:line="276" w:lineRule="auto"/>
              <w:jc w:val="center"/>
              <w:rPr>
                <w:rFonts w:cs="Calibri"/>
                <w:color w:val="000000"/>
                <w:sz w:val="20"/>
                <w:lang w:eastAsia="es-CR"/>
              </w:rPr>
            </w:pPr>
            <w:r w:rsidRPr="004E74A6">
              <w:rPr>
                <w:rFonts w:cs="Calibri"/>
                <w:color w:val="000000"/>
                <w:sz w:val="20"/>
              </w:rPr>
              <w:t>4,7</w:t>
            </w:r>
          </w:p>
        </w:tc>
        <w:tc>
          <w:tcPr>
            <w:tcW w:w="1336" w:type="pct"/>
            <w:tcBorders>
              <w:top w:val="nil"/>
              <w:left w:val="single" w:sz="4" w:space="0" w:color="auto"/>
              <w:bottom w:val="nil"/>
              <w:right w:val="nil"/>
            </w:tcBorders>
            <w:shd w:val="clear" w:color="auto" w:fill="C5E0B3" w:themeFill="accent6" w:themeFillTint="66"/>
            <w:vAlign w:val="bottom"/>
          </w:tcPr>
          <w:p w14:paraId="71A38E85" w14:textId="468CB01F" w:rsidR="008B74EF" w:rsidRPr="004E74A6" w:rsidRDefault="008B74EF" w:rsidP="00CE62C1">
            <w:pPr>
              <w:spacing w:line="276" w:lineRule="auto"/>
              <w:jc w:val="center"/>
              <w:rPr>
                <w:rFonts w:cs="Calibri"/>
                <w:color w:val="000000"/>
                <w:sz w:val="20"/>
              </w:rPr>
            </w:pPr>
            <w:r w:rsidRPr="004E74A6">
              <w:rPr>
                <w:rFonts w:cs="Calibri"/>
                <w:color w:val="000000"/>
                <w:sz w:val="20"/>
              </w:rPr>
              <w:t>30%</w:t>
            </w:r>
          </w:p>
        </w:tc>
      </w:tr>
      <w:tr w:rsidR="006E6922" w:rsidRPr="004E74A6" w14:paraId="085BE30A" w14:textId="784EF6F3" w:rsidTr="00193D21">
        <w:trPr>
          <w:trHeight w:val="274"/>
          <w:jc w:val="center"/>
        </w:trPr>
        <w:tc>
          <w:tcPr>
            <w:tcW w:w="1592" w:type="pct"/>
            <w:tcBorders>
              <w:top w:val="nil"/>
              <w:left w:val="nil"/>
              <w:bottom w:val="nil"/>
              <w:right w:val="single" w:sz="4" w:space="0" w:color="auto"/>
            </w:tcBorders>
            <w:shd w:val="clear" w:color="auto" w:fill="C5E0B3" w:themeFill="accent6" w:themeFillTint="66"/>
            <w:noWrap/>
            <w:vAlign w:val="bottom"/>
            <w:hideMark/>
          </w:tcPr>
          <w:p w14:paraId="139C5ACC" w14:textId="77777777" w:rsidR="008B74EF" w:rsidRPr="004E74A6" w:rsidRDefault="008B74EF" w:rsidP="00CE62C1">
            <w:pPr>
              <w:spacing w:line="276" w:lineRule="auto"/>
              <w:jc w:val="left"/>
              <w:rPr>
                <w:rFonts w:cs="Calibri"/>
                <w:color w:val="000000"/>
                <w:sz w:val="20"/>
                <w:lang w:eastAsia="es-CR"/>
              </w:rPr>
            </w:pPr>
            <w:r w:rsidRPr="004E74A6">
              <w:rPr>
                <w:rFonts w:cs="Calibri"/>
                <w:color w:val="000000"/>
                <w:sz w:val="20"/>
                <w:lang w:eastAsia="es-CR"/>
              </w:rPr>
              <w:t>De ¢9.000.001 A ¢10.000.000</w:t>
            </w:r>
          </w:p>
        </w:tc>
        <w:tc>
          <w:tcPr>
            <w:tcW w:w="479" w:type="pct"/>
            <w:tcBorders>
              <w:top w:val="nil"/>
              <w:left w:val="single" w:sz="4" w:space="0" w:color="auto"/>
              <w:bottom w:val="nil"/>
              <w:right w:val="single" w:sz="4" w:space="0" w:color="auto"/>
            </w:tcBorders>
            <w:shd w:val="clear" w:color="auto" w:fill="C5E0B3" w:themeFill="accent6" w:themeFillTint="66"/>
            <w:noWrap/>
            <w:vAlign w:val="bottom"/>
            <w:hideMark/>
          </w:tcPr>
          <w:p w14:paraId="7053FC74" w14:textId="7BBC061D" w:rsidR="008B74EF" w:rsidRPr="004E74A6" w:rsidRDefault="008B74EF" w:rsidP="00CE62C1">
            <w:pPr>
              <w:spacing w:line="276" w:lineRule="auto"/>
              <w:jc w:val="center"/>
              <w:rPr>
                <w:rFonts w:cs="Calibri"/>
                <w:color w:val="000000"/>
                <w:sz w:val="20"/>
                <w:lang w:eastAsia="es-CR"/>
              </w:rPr>
            </w:pPr>
            <w:r w:rsidRPr="004E74A6">
              <w:rPr>
                <w:rFonts w:cs="Calibri"/>
                <w:color w:val="000000"/>
                <w:sz w:val="20"/>
              </w:rPr>
              <w:t>6</w:t>
            </w:r>
          </w:p>
        </w:tc>
        <w:tc>
          <w:tcPr>
            <w:tcW w:w="479" w:type="pct"/>
            <w:tcBorders>
              <w:top w:val="nil"/>
              <w:left w:val="single" w:sz="4" w:space="0" w:color="auto"/>
              <w:bottom w:val="nil"/>
              <w:right w:val="single" w:sz="4" w:space="0" w:color="auto"/>
            </w:tcBorders>
            <w:shd w:val="clear" w:color="auto" w:fill="C5E0B3" w:themeFill="accent6" w:themeFillTint="66"/>
            <w:noWrap/>
            <w:vAlign w:val="bottom"/>
            <w:hideMark/>
          </w:tcPr>
          <w:p w14:paraId="6108DEC2" w14:textId="713958FF" w:rsidR="008B74EF" w:rsidRPr="004E74A6" w:rsidRDefault="008B74EF" w:rsidP="00CE62C1">
            <w:pPr>
              <w:spacing w:line="276" w:lineRule="auto"/>
              <w:jc w:val="center"/>
              <w:rPr>
                <w:rFonts w:cs="Calibri"/>
                <w:color w:val="000000"/>
                <w:sz w:val="20"/>
                <w:lang w:eastAsia="es-CR"/>
              </w:rPr>
            </w:pPr>
            <w:r w:rsidRPr="004E74A6">
              <w:rPr>
                <w:rFonts w:cs="Calibri"/>
                <w:color w:val="000000"/>
                <w:sz w:val="20"/>
              </w:rPr>
              <w:t>4</w:t>
            </w:r>
          </w:p>
        </w:tc>
        <w:tc>
          <w:tcPr>
            <w:tcW w:w="479" w:type="pct"/>
            <w:tcBorders>
              <w:top w:val="nil"/>
              <w:left w:val="single" w:sz="4" w:space="0" w:color="auto"/>
              <w:bottom w:val="nil"/>
              <w:right w:val="single" w:sz="4" w:space="0" w:color="auto"/>
            </w:tcBorders>
            <w:shd w:val="clear" w:color="auto" w:fill="C5E0B3" w:themeFill="accent6" w:themeFillTint="66"/>
            <w:noWrap/>
            <w:vAlign w:val="bottom"/>
            <w:hideMark/>
          </w:tcPr>
          <w:p w14:paraId="2C56929E" w14:textId="7B6AB89B" w:rsidR="008B74EF" w:rsidRPr="004E74A6" w:rsidRDefault="008B74EF" w:rsidP="00CE62C1">
            <w:pPr>
              <w:spacing w:line="276" w:lineRule="auto"/>
              <w:jc w:val="center"/>
              <w:rPr>
                <w:rFonts w:cs="Calibri"/>
                <w:color w:val="000000"/>
                <w:sz w:val="20"/>
                <w:lang w:eastAsia="es-CR"/>
              </w:rPr>
            </w:pPr>
            <w:r w:rsidRPr="004E74A6">
              <w:rPr>
                <w:rFonts w:cs="Calibri"/>
                <w:color w:val="000000"/>
                <w:sz w:val="20"/>
              </w:rPr>
              <w:t>12</w:t>
            </w:r>
          </w:p>
        </w:tc>
        <w:tc>
          <w:tcPr>
            <w:tcW w:w="635" w:type="pct"/>
            <w:tcBorders>
              <w:top w:val="nil"/>
              <w:left w:val="single" w:sz="4" w:space="0" w:color="auto"/>
              <w:bottom w:val="nil"/>
              <w:right w:val="nil"/>
            </w:tcBorders>
            <w:shd w:val="clear" w:color="auto" w:fill="C5E0B3" w:themeFill="accent6" w:themeFillTint="66"/>
            <w:noWrap/>
            <w:vAlign w:val="bottom"/>
            <w:hideMark/>
          </w:tcPr>
          <w:p w14:paraId="10437E95" w14:textId="516B1332" w:rsidR="008B74EF" w:rsidRPr="004E74A6" w:rsidRDefault="008B74EF" w:rsidP="00CE62C1">
            <w:pPr>
              <w:spacing w:line="276" w:lineRule="auto"/>
              <w:jc w:val="center"/>
              <w:rPr>
                <w:rFonts w:cs="Calibri"/>
                <w:color w:val="000000"/>
                <w:sz w:val="20"/>
                <w:lang w:eastAsia="es-CR"/>
              </w:rPr>
            </w:pPr>
            <w:r w:rsidRPr="004E74A6">
              <w:rPr>
                <w:rFonts w:cs="Calibri"/>
                <w:color w:val="000000"/>
                <w:sz w:val="20"/>
              </w:rPr>
              <w:t>7,3</w:t>
            </w:r>
          </w:p>
        </w:tc>
        <w:tc>
          <w:tcPr>
            <w:tcW w:w="1336" w:type="pct"/>
            <w:tcBorders>
              <w:top w:val="nil"/>
              <w:left w:val="single" w:sz="4" w:space="0" w:color="auto"/>
              <w:bottom w:val="nil"/>
              <w:right w:val="nil"/>
            </w:tcBorders>
            <w:shd w:val="clear" w:color="auto" w:fill="C5E0B3" w:themeFill="accent6" w:themeFillTint="66"/>
            <w:vAlign w:val="bottom"/>
          </w:tcPr>
          <w:p w14:paraId="0864D17A" w14:textId="1E4D82BC" w:rsidR="008B74EF" w:rsidRPr="004E74A6" w:rsidRDefault="008B74EF" w:rsidP="00CE62C1">
            <w:pPr>
              <w:spacing w:line="276" w:lineRule="auto"/>
              <w:jc w:val="center"/>
              <w:rPr>
                <w:rFonts w:cs="Calibri"/>
                <w:color w:val="000000"/>
                <w:sz w:val="20"/>
              </w:rPr>
            </w:pPr>
            <w:r w:rsidRPr="004E74A6">
              <w:rPr>
                <w:rFonts w:cs="Calibri"/>
                <w:color w:val="000000"/>
                <w:sz w:val="20"/>
              </w:rPr>
              <w:t>35%</w:t>
            </w:r>
          </w:p>
        </w:tc>
      </w:tr>
      <w:tr w:rsidR="006E6922" w:rsidRPr="004E74A6" w14:paraId="6A8DB88E" w14:textId="3832403A" w:rsidTr="00193D21">
        <w:trPr>
          <w:trHeight w:val="274"/>
          <w:jc w:val="center"/>
        </w:trPr>
        <w:tc>
          <w:tcPr>
            <w:tcW w:w="1592" w:type="pct"/>
            <w:tcBorders>
              <w:top w:val="nil"/>
              <w:left w:val="nil"/>
              <w:bottom w:val="nil"/>
              <w:right w:val="single" w:sz="4" w:space="0" w:color="auto"/>
            </w:tcBorders>
            <w:shd w:val="clear" w:color="auto" w:fill="C5E0B3" w:themeFill="accent6" w:themeFillTint="66"/>
            <w:noWrap/>
            <w:vAlign w:val="bottom"/>
            <w:hideMark/>
          </w:tcPr>
          <w:p w14:paraId="48219FFE" w14:textId="77777777" w:rsidR="008B74EF" w:rsidRPr="004E74A6" w:rsidRDefault="008B74EF" w:rsidP="00CE62C1">
            <w:pPr>
              <w:spacing w:line="276" w:lineRule="auto"/>
              <w:jc w:val="left"/>
              <w:rPr>
                <w:rFonts w:cs="Calibri"/>
                <w:color w:val="000000"/>
                <w:sz w:val="20"/>
                <w:lang w:eastAsia="es-CR"/>
              </w:rPr>
            </w:pPr>
            <w:r w:rsidRPr="004E74A6">
              <w:rPr>
                <w:rFonts w:cs="Calibri"/>
                <w:color w:val="000000"/>
                <w:sz w:val="20"/>
                <w:lang w:eastAsia="es-CR"/>
              </w:rPr>
              <w:t>De ¢10.000.001 A ¢15.000.000</w:t>
            </w:r>
          </w:p>
        </w:tc>
        <w:tc>
          <w:tcPr>
            <w:tcW w:w="479" w:type="pct"/>
            <w:tcBorders>
              <w:top w:val="nil"/>
              <w:left w:val="single" w:sz="4" w:space="0" w:color="auto"/>
              <w:bottom w:val="nil"/>
              <w:right w:val="single" w:sz="4" w:space="0" w:color="auto"/>
            </w:tcBorders>
            <w:shd w:val="clear" w:color="auto" w:fill="C5E0B3" w:themeFill="accent6" w:themeFillTint="66"/>
            <w:noWrap/>
            <w:vAlign w:val="bottom"/>
            <w:hideMark/>
          </w:tcPr>
          <w:p w14:paraId="4D03B74D" w14:textId="1CD383F6" w:rsidR="008B74EF" w:rsidRPr="004E74A6" w:rsidRDefault="008B74EF" w:rsidP="00CE62C1">
            <w:pPr>
              <w:spacing w:line="276" w:lineRule="auto"/>
              <w:jc w:val="center"/>
              <w:rPr>
                <w:rFonts w:cs="Calibri"/>
                <w:color w:val="000000"/>
                <w:sz w:val="20"/>
                <w:lang w:eastAsia="es-CR"/>
              </w:rPr>
            </w:pPr>
            <w:r w:rsidRPr="004E74A6">
              <w:rPr>
                <w:rFonts w:cs="Calibri"/>
                <w:color w:val="000000"/>
                <w:sz w:val="20"/>
              </w:rPr>
              <w:t>2</w:t>
            </w:r>
          </w:p>
        </w:tc>
        <w:tc>
          <w:tcPr>
            <w:tcW w:w="479" w:type="pct"/>
            <w:tcBorders>
              <w:top w:val="nil"/>
              <w:left w:val="single" w:sz="4" w:space="0" w:color="auto"/>
              <w:bottom w:val="nil"/>
              <w:right w:val="single" w:sz="4" w:space="0" w:color="auto"/>
            </w:tcBorders>
            <w:shd w:val="clear" w:color="auto" w:fill="C5E0B3" w:themeFill="accent6" w:themeFillTint="66"/>
            <w:noWrap/>
            <w:vAlign w:val="bottom"/>
            <w:hideMark/>
          </w:tcPr>
          <w:p w14:paraId="229BF19F" w14:textId="60A4A0A1" w:rsidR="008B74EF" w:rsidRPr="004E74A6" w:rsidRDefault="008B74EF" w:rsidP="00CE62C1">
            <w:pPr>
              <w:spacing w:line="276" w:lineRule="auto"/>
              <w:jc w:val="center"/>
              <w:rPr>
                <w:rFonts w:cs="Calibri"/>
                <w:color w:val="000000"/>
                <w:sz w:val="20"/>
                <w:lang w:eastAsia="es-CR"/>
              </w:rPr>
            </w:pPr>
            <w:r w:rsidRPr="004E74A6">
              <w:rPr>
                <w:rFonts w:cs="Calibri"/>
                <w:color w:val="000000"/>
                <w:sz w:val="20"/>
              </w:rPr>
              <w:t>14</w:t>
            </w:r>
          </w:p>
        </w:tc>
        <w:tc>
          <w:tcPr>
            <w:tcW w:w="479" w:type="pct"/>
            <w:tcBorders>
              <w:top w:val="nil"/>
              <w:left w:val="single" w:sz="4" w:space="0" w:color="auto"/>
              <w:bottom w:val="nil"/>
              <w:right w:val="single" w:sz="4" w:space="0" w:color="auto"/>
            </w:tcBorders>
            <w:shd w:val="clear" w:color="auto" w:fill="C5E0B3" w:themeFill="accent6" w:themeFillTint="66"/>
            <w:noWrap/>
            <w:vAlign w:val="bottom"/>
            <w:hideMark/>
          </w:tcPr>
          <w:p w14:paraId="539122C6" w14:textId="3FD7DC42" w:rsidR="008B74EF" w:rsidRPr="004E74A6" w:rsidRDefault="008B74EF" w:rsidP="00CE62C1">
            <w:pPr>
              <w:spacing w:line="276" w:lineRule="auto"/>
              <w:jc w:val="center"/>
              <w:rPr>
                <w:rFonts w:cs="Calibri"/>
                <w:color w:val="000000"/>
                <w:sz w:val="20"/>
                <w:lang w:eastAsia="es-CR"/>
              </w:rPr>
            </w:pPr>
            <w:r w:rsidRPr="004E74A6">
              <w:rPr>
                <w:rFonts w:cs="Calibri"/>
                <w:color w:val="000000"/>
                <w:sz w:val="20"/>
              </w:rPr>
              <w:t>26</w:t>
            </w:r>
          </w:p>
        </w:tc>
        <w:tc>
          <w:tcPr>
            <w:tcW w:w="635" w:type="pct"/>
            <w:tcBorders>
              <w:top w:val="nil"/>
              <w:left w:val="single" w:sz="4" w:space="0" w:color="auto"/>
              <w:bottom w:val="nil"/>
              <w:right w:val="nil"/>
            </w:tcBorders>
            <w:shd w:val="clear" w:color="auto" w:fill="C5E0B3" w:themeFill="accent6" w:themeFillTint="66"/>
            <w:noWrap/>
            <w:vAlign w:val="bottom"/>
            <w:hideMark/>
          </w:tcPr>
          <w:p w14:paraId="01EFE0BF" w14:textId="72B55BFE" w:rsidR="008B74EF" w:rsidRPr="004E74A6" w:rsidRDefault="008B74EF" w:rsidP="00CE62C1">
            <w:pPr>
              <w:spacing w:line="276" w:lineRule="auto"/>
              <w:jc w:val="center"/>
              <w:rPr>
                <w:rFonts w:cs="Calibri"/>
                <w:color w:val="000000"/>
                <w:sz w:val="20"/>
                <w:lang w:eastAsia="es-CR"/>
              </w:rPr>
            </w:pPr>
            <w:r w:rsidRPr="004E74A6">
              <w:rPr>
                <w:rFonts w:cs="Calibri"/>
                <w:color w:val="000000"/>
                <w:sz w:val="20"/>
              </w:rPr>
              <w:t>14,0</w:t>
            </w:r>
          </w:p>
        </w:tc>
        <w:tc>
          <w:tcPr>
            <w:tcW w:w="1336" w:type="pct"/>
            <w:tcBorders>
              <w:top w:val="nil"/>
              <w:left w:val="single" w:sz="4" w:space="0" w:color="auto"/>
              <w:bottom w:val="nil"/>
              <w:right w:val="nil"/>
            </w:tcBorders>
            <w:shd w:val="clear" w:color="auto" w:fill="C5E0B3" w:themeFill="accent6" w:themeFillTint="66"/>
            <w:vAlign w:val="bottom"/>
          </w:tcPr>
          <w:p w14:paraId="7AD6BC99" w14:textId="1E9D283C" w:rsidR="008B74EF" w:rsidRPr="004E74A6" w:rsidRDefault="008B74EF" w:rsidP="00CE62C1">
            <w:pPr>
              <w:spacing w:line="276" w:lineRule="auto"/>
              <w:jc w:val="center"/>
              <w:rPr>
                <w:rFonts w:cs="Calibri"/>
                <w:color w:val="000000"/>
                <w:sz w:val="20"/>
              </w:rPr>
            </w:pPr>
            <w:r w:rsidRPr="004E74A6">
              <w:rPr>
                <w:rFonts w:cs="Calibri"/>
                <w:color w:val="000000"/>
                <w:sz w:val="20"/>
              </w:rPr>
              <w:t>45%</w:t>
            </w:r>
          </w:p>
        </w:tc>
      </w:tr>
      <w:tr w:rsidR="006E6922" w:rsidRPr="004E74A6" w14:paraId="3AD961D9" w14:textId="2715ACB2" w:rsidTr="00193D21">
        <w:trPr>
          <w:trHeight w:val="274"/>
          <w:jc w:val="center"/>
        </w:trPr>
        <w:tc>
          <w:tcPr>
            <w:tcW w:w="1592" w:type="pct"/>
            <w:tcBorders>
              <w:top w:val="nil"/>
              <w:left w:val="nil"/>
              <w:bottom w:val="nil"/>
              <w:right w:val="single" w:sz="4" w:space="0" w:color="auto"/>
            </w:tcBorders>
            <w:shd w:val="clear" w:color="auto" w:fill="C5E0B3" w:themeFill="accent6" w:themeFillTint="66"/>
            <w:noWrap/>
            <w:vAlign w:val="bottom"/>
            <w:hideMark/>
          </w:tcPr>
          <w:p w14:paraId="59EE1021" w14:textId="77777777" w:rsidR="008B74EF" w:rsidRPr="004E74A6" w:rsidRDefault="008B74EF" w:rsidP="00CE62C1">
            <w:pPr>
              <w:spacing w:line="276" w:lineRule="auto"/>
              <w:jc w:val="left"/>
              <w:rPr>
                <w:rFonts w:cs="Calibri"/>
                <w:color w:val="000000"/>
                <w:sz w:val="20"/>
                <w:lang w:eastAsia="es-CR"/>
              </w:rPr>
            </w:pPr>
            <w:r w:rsidRPr="004E74A6">
              <w:rPr>
                <w:rFonts w:cs="Calibri"/>
                <w:color w:val="000000"/>
                <w:sz w:val="20"/>
                <w:lang w:eastAsia="es-CR"/>
              </w:rPr>
              <w:t>De ¢15.000.001 A ¢20.000.000</w:t>
            </w:r>
          </w:p>
        </w:tc>
        <w:tc>
          <w:tcPr>
            <w:tcW w:w="479" w:type="pct"/>
            <w:tcBorders>
              <w:top w:val="nil"/>
              <w:left w:val="single" w:sz="4" w:space="0" w:color="auto"/>
              <w:bottom w:val="nil"/>
              <w:right w:val="single" w:sz="4" w:space="0" w:color="auto"/>
            </w:tcBorders>
            <w:shd w:val="clear" w:color="auto" w:fill="C5E0B3" w:themeFill="accent6" w:themeFillTint="66"/>
            <w:noWrap/>
            <w:vAlign w:val="bottom"/>
            <w:hideMark/>
          </w:tcPr>
          <w:p w14:paraId="1CEDAC17" w14:textId="6B34D657" w:rsidR="008B74EF" w:rsidRPr="004E74A6" w:rsidRDefault="008B74EF" w:rsidP="00CE62C1">
            <w:pPr>
              <w:spacing w:line="276" w:lineRule="auto"/>
              <w:jc w:val="center"/>
              <w:rPr>
                <w:rFonts w:cs="Calibri"/>
                <w:color w:val="000000"/>
                <w:sz w:val="20"/>
                <w:lang w:eastAsia="es-CR"/>
              </w:rPr>
            </w:pPr>
            <w:r w:rsidRPr="004E74A6">
              <w:rPr>
                <w:rFonts w:cs="Calibri"/>
                <w:color w:val="000000"/>
                <w:sz w:val="20"/>
              </w:rPr>
              <w:t>6</w:t>
            </w:r>
          </w:p>
        </w:tc>
        <w:tc>
          <w:tcPr>
            <w:tcW w:w="479" w:type="pct"/>
            <w:tcBorders>
              <w:top w:val="nil"/>
              <w:left w:val="single" w:sz="4" w:space="0" w:color="auto"/>
              <w:bottom w:val="nil"/>
              <w:right w:val="single" w:sz="4" w:space="0" w:color="auto"/>
            </w:tcBorders>
            <w:shd w:val="clear" w:color="auto" w:fill="C5E0B3" w:themeFill="accent6" w:themeFillTint="66"/>
            <w:noWrap/>
            <w:vAlign w:val="bottom"/>
            <w:hideMark/>
          </w:tcPr>
          <w:p w14:paraId="64EFA99F" w14:textId="270CDD92" w:rsidR="008B74EF" w:rsidRPr="004E74A6" w:rsidRDefault="008B74EF" w:rsidP="00CE62C1">
            <w:pPr>
              <w:spacing w:line="276" w:lineRule="auto"/>
              <w:jc w:val="center"/>
              <w:rPr>
                <w:rFonts w:cs="Calibri"/>
                <w:color w:val="000000"/>
                <w:sz w:val="20"/>
                <w:lang w:eastAsia="es-CR"/>
              </w:rPr>
            </w:pPr>
            <w:r w:rsidRPr="004E74A6">
              <w:rPr>
                <w:rFonts w:cs="Calibri"/>
                <w:color w:val="000000"/>
                <w:sz w:val="20"/>
              </w:rPr>
              <w:t>9</w:t>
            </w:r>
          </w:p>
        </w:tc>
        <w:tc>
          <w:tcPr>
            <w:tcW w:w="479" w:type="pct"/>
            <w:tcBorders>
              <w:top w:val="nil"/>
              <w:left w:val="single" w:sz="4" w:space="0" w:color="auto"/>
              <w:bottom w:val="nil"/>
              <w:right w:val="single" w:sz="4" w:space="0" w:color="auto"/>
            </w:tcBorders>
            <w:shd w:val="clear" w:color="auto" w:fill="C5E0B3" w:themeFill="accent6" w:themeFillTint="66"/>
            <w:noWrap/>
            <w:vAlign w:val="bottom"/>
            <w:hideMark/>
          </w:tcPr>
          <w:p w14:paraId="594B2C9A" w14:textId="2540F33D" w:rsidR="008B74EF" w:rsidRPr="004E74A6" w:rsidRDefault="008B74EF" w:rsidP="00CE62C1">
            <w:pPr>
              <w:spacing w:line="276" w:lineRule="auto"/>
              <w:jc w:val="center"/>
              <w:rPr>
                <w:rFonts w:cs="Calibri"/>
                <w:color w:val="000000"/>
                <w:sz w:val="20"/>
                <w:lang w:eastAsia="es-CR"/>
              </w:rPr>
            </w:pPr>
            <w:r w:rsidRPr="004E74A6">
              <w:rPr>
                <w:rFonts w:cs="Calibri"/>
                <w:color w:val="000000"/>
                <w:sz w:val="20"/>
              </w:rPr>
              <w:t>10</w:t>
            </w:r>
          </w:p>
        </w:tc>
        <w:tc>
          <w:tcPr>
            <w:tcW w:w="635" w:type="pct"/>
            <w:tcBorders>
              <w:top w:val="nil"/>
              <w:left w:val="single" w:sz="4" w:space="0" w:color="auto"/>
              <w:bottom w:val="nil"/>
              <w:right w:val="nil"/>
            </w:tcBorders>
            <w:shd w:val="clear" w:color="auto" w:fill="C5E0B3" w:themeFill="accent6" w:themeFillTint="66"/>
            <w:noWrap/>
            <w:vAlign w:val="bottom"/>
            <w:hideMark/>
          </w:tcPr>
          <w:p w14:paraId="33FAE2BE" w14:textId="3191F74F" w:rsidR="008B74EF" w:rsidRPr="004E74A6" w:rsidRDefault="008B74EF" w:rsidP="00CE62C1">
            <w:pPr>
              <w:spacing w:line="276" w:lineRule="auto"/>
              <w:jc w:val="center"/>
              <w:rPr>
                <w:rFonts w:cs="Calibri"/>
                <w:color w:val="000000"/>
                <w:sz w:val="20"/>
                <w:lang w:eastAsia="es-CR"/>
              </w:rPr>
            </w:pPr>
            <w:r w:rsidRPr="004E74A6">
              <w:rPr>
                <w:rFonts w:cs="Calibri"/>
                <w:color w:val="000000"/>
                <w:sz w:val="20"/>
              </w:rPr>
              <w:t>8,3</w:t>
            </w:r>
          </w:p>
        </w:tc>
        <w:tc>
          <w:tcPr>
            <w:tcW w:w="1336" w:type="pct"/>
            <w:tcBorders>
              <w:top w:val="nil"/>
              <w:left w:val="single" w:sz="4" w:space="0" w:color="auto"/>
              <w:bottom w:val="nil"/>
              <w:right w:val="nil"/>
            </w:tcBorders>
            <w:shd w:val="clear" w:color="auto" w:fill="C5E0B3" w:themeFill="accent6" w:themeFillTint="66"/>
            <w:vAlign w:val="bottom"/>
          </w:tcPr>
          <w:p w14:paraId="058EF578" w14:textId="0E1D59A5" w:rsidR="008B74EF" w:rsidRPr="004E74A6" w:rsidRDefault="008B74EF" w:rsidP="00CE62C1">
            <w:pPr>
              <w:spacing w:line="276" w:lineRule="auto"/>
              <w:jc w:val="center"/>
              <w:rPr>
                <w:rFonts w:cs="Calibri"/>
                <w:color w:val="000000"/>
                <w:sz w:val="20"/>
              </w:rPr>
            </w:pPr>
            <w:r w:rsidRPr="004E74A6">
              <w:rPr>
                <w:rFonts w:cs="Calibri"/>
                <w:color w:val="000000"/>
                <w:sz w:val="20"/>
              </w:rPr>
              <w:t>51%</w:t>
            </w:r>
          </w:p>
        </w:tc>
      </w:tr>
      <w:tr w:rsidR="006E6922" w:rsidRPr="004E74A6" w14:paraId="1168E320" w14:textId="0A618CD8" w:rsidTr="00193D21">
        <w:trPr>
          <w:trHeight w:val="274"/>
          <w:jc w:val="center"/>
        </w:trPr>
        <w:tc>
          <w:tcPr>
            <w:tcW w:w="1592" w:type="pct"/>
            <w:tcBorders>
              <w:top w:val="nil"/>
              <w:left w:val="nil"/>
              <w:bottom w:val="nil"/>
              <w:right w:val="single" w:sz="4" w:space="0" w:color="auto"/>
            </w:tcBorders>
            <w:shd w:val="clear" w:color="auto" w:fill="auto"/>
            <w:noWrap/>
            <w:vAlign w:val="bottom"/>
            <w:hideMark/>
          </w:tcPr>
          <w:p w14:paraId="408B9EF8" w14:textId="77777777" w:rsidR="008B74EF" w:rsidRPr="004E74A6" w:rsidRDefault="008B74EF" w:rsidP="00CE62C1">
            <w:pPr>
              <w:spacing w:line="276" w:lineRule="auto"/>
              <w:jc w:val="left"/>
              <w:rPr>
                <w:rFonts w:cs="Calibri"/>
                <w:color w:val="000000"/>
                <w:sz w:val="20"/>
                <w:lang w:eastAsia="es-CR"/>
              </w:rPr>
            </w:pPr>
            <w:r w:rsidRPr="004E74A6">
              <w:rPr>
                <w:rFonts w:cs="Calibri"/>
                <w:color w:val="000000"/>
                <w:sz w:val="20"/>
                <w:lang w:eastAsia="es-CR"/>
              </w:rPr>
              <w:t>De ¢20.000.001 A ¢25.000.000</w:t>
            </w:r>
          </w:p>
        </w:tc>
        <w:tc>
          <w:tcPr>
            <w:tcW w:w="479" w:type="pct"/>
            <w:tcBorders>
              <w:top w:val="nil"/>
              <w:left w:val="single" w:sz="4" w:space="0" w:color="auto"/>
              <w:bottom w:val="nil"/>
              <w:right w:val="single" w:sz="4" w:space="0" w:color="auto"/>
            </w:tcBorders>
            <w:shd w:val="clear" w:color="auto" w:fill="auto"/>
            <w:noWrap/>
            <w:vAlign w:val="bottom"/>
            <w:hideMark/>
          </w:tcPr>
          <w:p w14:paraId="475E6177" w14:textId="13831214" w:rsidR="008B74EF" w:rsidRPr="004E74A6" w:rsidRDefault="008B74EF" w:rsidP="00CE62C1">
            <w:pPr>
              <w:spacing w:line="276" w:lineRule="auto"/>
              <w:jc w:val="center"/>
              <w:rPr>
                <w:rFonts w:cs="Calibri"/>
                <w:color w:val="000000"/>
                <w:sz w:val="20"/>
                <w:lang w:eastAsia="es-CR"/>
              </w:rPr>
            </w:pPr>
            <w:r w:rsidRPr="004E74A6">
              <w:rPr>
                <w:rFonts w:cs="Calibri"/>
                <w:color w:val="000000"/>
                <w:sz w:val="20"/>
              </w:rPr>
              <w:t>5</w:t>
            </w:r>
          </w:p>
        </w:tc>
        <w:tc>
          <w:tcPr>
            <w:tcW w:w="479" w:type="pct"/>
            <w:tcBorders>
              <w:top w:val="nil"/>
              <w:left w:val="single" w:sz="4" w:space="0" w:color="auto"/>
              <w:bottom w:val="nil"/>
              <w:right w:val="single" w:sz="4" w:space="0" w:color="auto"/>
            </w:tcBorders>
            <w:shd w:val="clear" w:color="auto" w:fill="auto"/>
            <w:noWrap/>
            <w:vAlign w:val="bottom"/>
            <w:hideMark/>
          </w:tcPr>
          <w:p w14:paraId="0ACDF61D" w14:textId="48737715" w:rsidR="008B74EF" w:rsidRPr="004E74A6" w:rsidRDefault="008B74EF" w:rsidP="00CE62C1">
            <w:pPr>
              <w:spacing w:line="276" w:lineRule="auto"/>
              <w:jc w:val="center"/>
              <w:rPr>
                <w:rFonts w:cs="Calibri"/>
                <w:color w:val="000000"/>
                <w:sz w:val="20"/>
                <w:lang w:eastAsia="es-CR"/>
              </w:rPr>
            </w:pPr>
            <w:r w:rsidRPr="004E74A6">
              <w:rPr>
                <w:rFonts w:cs="Calibri"/>
                <w:color w:val="000000"/>
                <w:sz w:val="20"/>
              </w:rPr>
              <w:t>10</w:t>
            </w:r>
          </w:p>
        </w:tc>
        <w:tc>
          <w:tcPr>
            <w:tcW w:w="479" w:type="pct"/>
            <w:tcBorders>
              <w:top w:val="nil"/>
              <w:left w:val="single" w:sz="4" w:space="0" w:color="auto"/>
              <w:bottom w:val="nil"/>
              <w:right w:val="single" w:sz="4" w:space="0" w:color="auto"/>
            </w:tcBorders>
            <w:shd w:val="clear" w:color="auto" w:fill="auto"/>
            <w:noWrap/>
            <w:vAlign w:val="bottom"/>
            <w:hideMark/>
          </w:tcPr>
          <w:p w14:paraId="1A676EE2" w14:textId="3C14EAB4" w:rsidR="008B74EF" w:rsidRPr="004E74A6" w:rsidRDefault="008B74EF" w:rsidP="00CE62C1">
            <w:pPr>
              <w:spacing w:line="276" w:lineRule="auto"/>
              <w:jc w:val="center"/>
              <w:rPr>
                <w:rFonts w:cs="Calibri"/>
                <w:color w:val="000000"/>
                <w:sz w:val="20"/>
                <w:lang w:eastAsia="es-CR"/>
              </w:rPr>
            </w:pPr>
            <w:r w:rsidRPr="004E74A6">
              <w:rPr>
                <w:rFonts w:cs="Calibri"/>
                <w:color w:val="000000"/>
                <w:sz w:val="20"/>
              </w:rPr>
              <w:t>11</w:t>
            </w:r>
          </w:p>
        </w:tc>
        <w:tc>
          <w:tcPr>
            <w:tcW w:w="635" w:type="pct"/>
            <w:tcBorders>
              <w:top w:val="nil"/>
              <w:left w:val="single" w:sz="4" w:space="0" w:color="auto"/>
              <w:bottom w:val="nil"/>
              <w:right w:val="nil"/>
            </w:tcBorders>
            <w:shd w:val="clear" w:color="auto" w:fill="auto"/>
            <w:noWrap/>
            <w:vAlign w:val="bottom"/>
            <w:hideMark/>
          </w:tcPr>
          <w:p w14:paraId="0D159E5C" w14:textId="1485F030" w:rsidR="008B74EF" w:rsidRPr="004E74A6" w:rsidRDefault="008B74EF" w:rsidP="00CE62C1">
            <w:pPr>
              <w:spacing w:line="276" w:lineRule="auto"/>
              <w:jc w:val="center"/>
              <w:rPr>
                <w:rFonts w:cs="Calibri"/>
                <w:color w:val="000000"/>
                <w:sz w:val="20"/>
                <w:lang w:eastAsia="es-CR"/>
              </w:rPr>
            </w:pPr>
            <w:r w:rsidRPr="004E74A6">
              <w:rPr>
                <w:rFonts w:cs="Calibri"/>
                <w:color w:val="000000"/>
                <w:sz w:val="20"/>
              </w:rPr>
              <w:t>8,7</w:t>
            </w:r>
          </w:p>
        </w:tc>
        <w:tc>
          <w:tcPr>
            <w:tcW w:w="1336" w:type="pct"/>
            <w:tcBorders>
              <w:top w:val="nil"/>
              <w:left w:val="single" w:sz="4" w:space="0" w:color="auto"/>
              <w:bottom w:val="nil"/>
              <w:right w:val="nil"/>
            </w:tcBorders>
            <w:vAlign w:val="bottom"/>
          </w:tcPr>
          <w:p w14:paraId="5B64DECF" w14:textId="1704CC3C" w:rsidR="008B74EF" w:rsidRPr="004E74A6" w:rsidRDefault="008B74EF" w:rsidP="00CE62C1">
            <w:pPr>
              <w:spacing w:line="276" w:lineRule="auto"/>
              <w:jc w:val="center"/>
              <w:rPr>
                <w:rFonts w:cs="Calibri"/>
                <w:color w:val="000000"/>
                <w:sz w:val="20"/>
              </w:rPr>
            </w:pPr>
            <w:r w:rsidRPr="004E74A6">
              <w:rPr>
                <w:rFonts w:cs="Calibri"/>
                <w:color w:val="000000"/>
                <w:sz w:val="20"/>
              </w:rPr>
              <w:t>57%</w:t>
            </w:r>
          </w:p>
        </w:tc>
      </w:tr>
      <w:tr w:rsidR="006E6922" w:rsidRPr="004E74A6" w14:paraId="359DA96A" w14:textId="5549A85E" w:rsidTr="00193D21">
        <w:trPr>
          <w:trHeight w:val="274"/>
          <w:jc w:val="center"/>
        </w:trPr>
        <w:tc>
          <w:tcPr>
            <w:tcW w:w="1592" w:type="pct"/>
            <w:tcBorders>
              <w:top w:val="nil"/>
              <w:left w:val="nil"/>
              <w:bottom w:val="nil"/>
              <w:right w:val="single" w:sz="4" w:space="0" w:color="auto"/>
            </w:tcBorders>
            <w:shd w:val="clear" w:color="auto" w:fill="auto"/>
            <w:noWrap/>
            <w:vAlign w:val="bottom"/>
            <w:hideMark/>
          </w:tcPr>
          <w:p w14:paraId="7FDE02D6" w14:textId="77777777" w:rsidR="008B74EF" w:rsidRPr="004E74A6" w:rsidRDefault="008B74EF" w:rsidP="00CE62C1">
            <w:pPr>
              <w:spacing w:line="276" w:lineRule="auto"/>
              <w:jc w:val="left"/>
              <w:rPr>
                <w:rFonts w:cs="Calibri"/>
                <w:color w:val="000000"/>
                <w:sz w:val="20"/>
                <w:lang w:eastAsia="es-CR"/>
              </w:rPr>
            </w:pPr>
            <w:r w:rsidRPr="004E74A6">
              <w:rPr>
                <w:rFonts w:cs="Calibri"/>
                <w:color w:val="000000"/>
                <w:sz w:val="20"/>
                <w:lang w:eastAsia="es-CR"/>
              </w:rPr>
              <w:t>De ¢25.000.001 A ¢30.000.000</w:t>
            </w:r>
          </w:p>
        </w:tc>
        <w:tc>
          <w:tcPr>
            <w:tcW w:w="479" w:type="pct"/>
            <w:tcBorders>
              <w:top w:val="nil"/>
              <w:left w:val="single" w:sz="4" w:space="0" w:color="auto"/>
              <w:bottom w:val="nil"/>
              <w:right w:val="single" w:sz="4" w:space="0" w:color="auto"/>
            </w:tcBorders>
            <w:shd w:val="clear" w:color="auto" w:fill="auto"/>
            <w:noWrap/>
            <w:vAlign w:val="bottom"/>
            <w:hideMark/>
          </w:tcPr>
          <w:p w14:paraId="031FBF23" w14:textId="74D1C438" w:rsidR="008B74EF" w:rsidRPr="004E74A6" w:rsidRDefault="008B74EF" w:rsidP="00CE62C1">
            <w:pPr>
              <w:spacing w:line="276" w:lineRule="auto"/>
              <w:jc w:val="center"/>
              <w:rPr>
                <w:rFonts w:cs="Calibri"/>
                <w:color w:val="000000"/>
                <w:sz w:val="20"/>
                <w:lang w:eastAsia="es-CR"/>
              </w:rPr>
            </w:pPr>
            <w:r w:rsidRPr="004E74A6">
              <w:rPr>
                <w:rFonts w:cs="Calibri"/>
                <w:color w:val="000000"/>
                <w:sz w:val="20"/>
              </w:rPr>
              <w:t>2</w:t>
            </w:r>
          </w:p>
        </w:tc>
        <w:tc>
          <w:tcPr>
            <w:tcW w:w="479" w:type="pct"/>
            <w:tcBorders>
              <w:top w:val="nil"/>
              <w:left w:val="single" w:sz="4" w:space="0" w:color="auto"/>
              <w:bottom w:val="nil"/>
              <w:right w:val="single" w:sz="4" w:space="0" w:color="auto"/>
            </w:tcBorders>
            <w:shd w:val="clear" w:color="auto" w:fill="auto"/>
            <w:noWrap/>
            <w:vAlign w:val="bottom"/>
            <w:hideMark/>
          </w:tcPr>
          <w:p w14:paraId="73F44AB3" w14:textId="70DB47F7" w:rsidR="008B74EF" w:rsidRPr="004E74A6" w:rsidRDefault="008B74EF" w:rsidP="00CE62C1">
            <w:pPr>
              <w:spacing w:line="276" w:lineRule="auto"/>
              <w:jc w:val="center"/>
              <w:rPr>
                <w:rFonts w:cs="Calibri"/>
                <w:color w:val="000000"/>
                <w:sz w:val="20"/>
                <w:lang w:eastAsia="es-CR"/>
              </w:rPr>
            </w:pPr>
            <w:r w:rsidRPr="004E74A6">
              <w:rPr>
                <w:rFonts w:cs="Calibri"/>
                <w:color w:val="000000"/>
                <w:sz w:val="20"/>
              </w:rPr>
              <w:t>9</w:t>
            </w:r>
          </w:p>
        </w:tc>
        <w:tc>
          <w:tcPr>
            <w:tcW w:w="479" w:type="pct"/>
            <w:tcBorders>
              <w:top w:val="nil"/>
              <w:left w:val="single" w:sz="4" w:space="0" w:color="auto"/>
              <w:bottom w:val="nil"/>
              <w:right w:val="single" w:sz="4" w:space="0" w:color="auto"/>
            </w:tcBorders>
            <w:shd w:val="clear" w:color="auto" w:fill="auto"/>
            <w:noWrap/>
            <w:vAlign w:val="bottom"/>
            <w:hideMark/>
          </w:tcPr>
          <w:p w14:paraId="7DE29C94" w14:textId="612CDAF4" w:rsidR="008B74EF" w:rsidRPr="004E74A6" w:rsidRDefault="008B74EF" w:rsidP="00CE62C1">
            <w:pPr>
              <w:spacing w:line="276" w:lineRule="auto"/>
              <w:jc w:val="center"/>
              <w:rPr>
                <w:rFonts w:cs="Calibri"/>
                <w:color w:val="000000"/>
                <w:sz w:val="20"/>
                <w:lang w:eastAsia="es-CR"/>
              </w:rPr>
            </w:pPr>
            <w:r w:rsidRPr="004E74A6">
              <w:rPr>
                <w:rFonts w:cs="Calibri"/>
                <w:color w:val="000000"/>
                <w:sz w:val="20"/>
              </w:rPr>
              <w:t>11</w:t>
            </w:r>
          </w:p>
        </w:tc>
        <w:tc>
          <w:tcPr>
            <w:tcW w:w="635" w:type="pct"/>
            <w:tcBorders>
              <w:top w:val="nil"/>
              <w:left w:val="single" w:sz="4" w:space="0" w:color="auto"/>
              <w:bottom w:val="nil"/>
              <w:right w:val="nil"/>
            </w:tcBorders>
            <w:shd w:val="clear" w:color="auto" w:fill="auto"/>
            <w:noWrap/>
            <w:vAlign w:val="bottom"/>
            <w:hideMark/>
          </w:tcPr>
          <w:p w14:paraId="799DCBBA" w14:textId="61230A6A" w:rsidR="008B74EF" w:rsidRPr="004E74A6" w:rsidRDefault="008B74EF" w:rsidP="00CE62C1">
            <w:pPr>
              <w:spacing w:line="276" w:lineRule="auto"/>
              <w:jc w:val="center"/>
              <w:rPr>
                <w:rFonts w:cs="Calibri"/>
                <w:color w:val="000000"/>
                <w:sz w:val="20"/>
                <w:lang w:eastAsia="es-CR"/>
              </w:rPr>
            </w:pPr>
            <w:r w:rsidRPr="004E74A6">
              <w:rPr>
                <w:rFonts w:cs="Calibri"/>
                <w:color w:val="000000"/>
                <w:sz w:val="20"/>
              </w:rPr>
              <w:t>7,3</w:t>
            </w:r>
          </w:p>
        </w:tc>
        <w:tc>
          <w:tcPr>
            <w:tcW w:w="1336" w:type="pct"/>
            <w:tcBorders>
              <w:top w:val="nil"/>
              <w:left w:val="single" w:sz="4" w:space="0" w:color="auto"/>
              <w:bottom w:val="nil"/>
              <w:right w:val="nil"/>
            </w:tcBorders>
            <w:vAlign w:val="bottom"/>
          </w:tcPr>
          <w:p w14:paraId="05CCFEBC" w14:textId="2E1BE39A" w:rsidR="008B74EF" w:rsidRPr="004E74A6" w:rsidRDefault="008B74EF" w:rsidP="00CE62C1">
            <w:pPr>
              <w:spacing w:line="276" w:lineRule="auto"/>
              <w:jc w:val="center"/>
              <w:rPr>
                <w:rFonts w:cs="Calibri"/>
                <w:color w:val="000000"/>
                <w:sz w:val="20"/>
              </w:rPr>
            </w:pPr>
            <w:r w:rsidRPr="004E74A6">
              <w:rPr>
                <w:rFonts w:cs="Calibri"/>
                <w:color w:val="000000"/>
                <w:sz w:val="20"/>
              </w:rPr>
              <w:t>63%</w:t>
            </w:r>
          </w:p>
        </w:tc>
      </w:tr>
      <w:tr w:rsidR="006E6922" w:rsidRPr="004E74A6" w14:paraId="4C050229" w14:textId="7F46EDC9" w:rsidTr="00193D21">
        <w:trPr>
          <w:trHeight w:val="274"/>
          <w:jc w:val="center"/>
        </w:trPr>
        <w:tc>
          <w:tcPr>
            <w:tcW w:w="1592" w:type="pct"/>
            <w:tcBorders>
              <w:top w:val="nil"/>
              <w:left w:val="nil"/>
              <w:bottom w:val="nil"/>
              <w:right w:val="single" w:sz="4" w:space="0" w:color="auto"/>
            </w:tcBorders>
            <w:shd w:val="clear" w:color="auto" w:fill="auto"/>
            <w:noWrap/>
            <w:vAlign w:val="bottom"/>
            <w:hideMark/>
          </w:tcPr>
          <w:p w14:paraId="7C79114F" w14:textId="77777777" w:rsidR="008B74EF" w:rsidRPr="004E74A6" w:rsidRDefault="008B74EF" w:rsidP="00CE62C1">
            <w:pPr>
              <w:spacing w:line="276" w:lineRule="auto"/>
              <w:jc w:val="left"/>
              <w:rPr>
                <w:rFonts w:cs="Calibri"/>
                <w:color w:val="000000"/>
                <w:sz w:val="20"/>
                <w:lang w:eastAsia="es-CR"/>
              </w:rPr>
            </w:pPr>
            <w:r w:rsidRPr="004E74A6">
              <w:rPr>
                <w:rFonts w:cs="Calibri"/>
                <w:color w:val="000000"/>
                <w:sz w:val="20"/>
                <w:lang w:eastAsia="es-CR"/>
              </w:rPr>
              <w:t>De ¢30.000.001 A ¢35.000.000</w:t>
            </w:r>
          </w:p>
        </w:tc>
        <w:tc>
          <w:tcPr>
            <w:tcW w:w="479" w:type="pct"/>
            <w:tcBorders>
              <w:top w:val="nil"/>
              <w:left w:val="single" w:sz="4" w:space="0" w:color="auto"/>
              <w:bottom w:val="nil"/>
              <w:right w:val="single" w:sz="4" w:space="0" w:color="auto"/>
            </w:tcBorders>
            <w:shd w:val="clear" w:color="auto" w:fill="auto"/>
            <w:noWrap/>
            <w:vAlign w:val="bottom"/>
            <w:hideMark/>
          </w:tcPr>
          <w:p w14:paraId="4B9A00AE" w14:textId="5382150B" w:rsidR="008B74EF" w:rsidRPr="004E74A6" w:rsidRDefault="008B74EF" w:rsidP="00CE62C1">
            <w:pPr>
              <w:spacing w:line="276" w:lineRule="auto"/>
              <w:jc w:val="center"/>
              <w:rPr>
                <w:rFonts w:cs="Calibri"/>
                <w:color w:val="000000"/>
                <w:sz w:val="20"/>
                <w:lang w:eastAsia="es-CR"/>
              </w:rPr>
            </w:pPr>
            <w:r w:rsidRPr="004E74A6">
              <w:rPr>
                <w:rFonts w:cs="Calibri"/>
                <w:color w:val="000000"/>
                <w:sz w:val="20"/>
              </w:rPr>
              <w:t>6</w:t>
            </w:r>
          </w:p>
        </w:tc>
        <w:tc>
          <w:tcPr>
            <w:tcW w:w="479" w:type="pct"/>
            <w:tcBorders>
              <w:top w:val="nil"/>
              <w:left w:val="single" w:sz="4" w:space="0" w:color="auto"/>
              <w:bottom w:val="nil"/>
              <w:right w:val="single" w:sz="4" w:space="0" w:color="auto"/>
            </w:tcBorders>
            <w:shd w:val="clear" w:color="auto" w:fill="auto"/>
            <w:noWrap/>
            <w:vAlign w:val="bottom"/>
            <w:hideMark/>
          </w:tcPr>
          <w:p w14:paraId="6E18EC26" w14:textId="5D671279" w:rsidR="008B74EF" w:rsidRPr="004E74A6" w:rsidRDefault="008B74EF" w:rsidP="00CE62C1">
            <w:pPr>
              <w:spacing w:line="276" w:lineRule="auto"/>
              <w:jc w:val="center"/>
              <w:rPr>
                <w:rFonts w:cs="Calibri"/>
                <w:color w:val="000000"/>
                <w:sz w:val="20"/>
                <w:lang w:eastAsia="es-CR"/>
              </w:rPr>
            </w:pPr>
            <w:r w:rsidRPr="004E74A6">
              <w:rPr>
                <w:rFonts w:cs="Calibri"/>
                <w:color w:val="000000"/>
                <w:sz w:val="20"/>
              </w:rPr>
              <w:t>6</w:t>
            </w:r>
          </w:p>
        </w:tc>
        <w:tc>
          <w:tcPr>
            <w:tcW w:w="479" w:type="pct"/>
            <w:tcBorders>
              <w:top w:val="nil"/>
              <w:left w:val="single" w:sz="4" w:space="0" w:color="auto"/>
              <w:bottom w:val="nil"/>
              <w:right w:val="single" w:sz="4" w:space="0" w:color="auto"/>
            </w:tcBorders>
            <w:shd w:val="clear" w:color="auto" w:fill="auto"/>
            <w:noWrap/>
            <w:vAlign w:val="bottom"/>
            <w:hideMark/>
          </w:tcPr>
          <w:p w14:paraId="4D285EF2" w14:textId="6A6A1A57" w:rsidR="008B74EF" w:rsidRPr="004E74A6" w:rsidRDefault="008B74EF" w:rsidP="00CE62C1">
            <w:pPr>
              <w:spacing w:line="276" w:lineRule="auto"/>
              <w:jc w:val="center"/>
              <w:rPr>
                <w:rFonts w:cs="Calibri"/>
                <w:color w:val="000000"/>
                <w:sz w:val="20"/>
                <w:lang w:eastAsia="es-CR"/>
              </w:rPr>
            </w:pPr>
            <w:r w:rsidRPr="004E74A6">
              <w:rPr>
                <w:rFonts w:cs="Calibri"/>
                <w:color w:val="000000"/>
                <w:sz w:val="20"/>
              </w:rPr>
              <w:t>9</w:t>
            </w:r>
          </w:p>
        </w:tc>
        <w:tc>
          <w:tcPr>
            <w:tcW w:w="635" w:type="pct"/>
            <w:tcBorders>
              <w:top w:val="nil"/>
              <w:left w:val="single" w:sz="4" w:space="0" w:color="auto"/>
              <w:bottom w:val="nil"/>
              <w:right w:val="nil"/>
            </w:tcBorders>
            <w:shd w:val="clear" w:color="auto" w:fill="auto"/>
            <w:noWrap/>
            <w:vAlign w:val="bottom"/>
            <w:hideMark/>
          </w:tcPr>
          <w:p w14:paraId="20CF4E8C" w14:textId="1735BFDE" w:rsidR="008B74EF" w:rsidRPr="004E74A6" w:rsidRDefault="008B74EF" w:rsidP="00CE62C1">
            <w:pPr>
              <w:spacing w:line="276" w:lineRule="auto"/>
              <w:jc w:val="center"/>
              <w:rPr>
                <w:rFonts w:cs="Calibri"/>
                <w:color w:val="000000"/>
                <w:sz w:val="20"/>
                <w:lang w:eastAsia="es-CR"/>
              </w:rPr>
            </w:pPr>
            <w:r w:rsidRPr="004E74A6">
              <w:rPr>
                <w:rFonts w:cs="Calibri"/>
                <w:color w:val="000000"/>
                <w:sz w:val="20"/>
              </w:rPr>
              <w:t>7,0</w:t>
            </w:r>
          </w:p>
        </w:tc>
        <w:tc>
          <w:tcPr>
            <w:tcW w:w="1336" w:type="pct"/>
            <w:tcBorders>
              <w:top w:val="nil"/>
              <w:left w:val="single" w:sz="4" w:space="0" w:color="auto"/>
              <w:bottom w:val="nil"/>
              <w:right w:val="nil"/>
            </w:tcBorders>
            <w:vAlign w:val="bottom"/>
          </w:tcPr>
          <w:p w14:paraId="5F1D469B" w14:textId="7EF7618F" w:rsidR="008B74EF" w:rsidRPr="004E74A6" w:rsidRDefault="008B74EF" w:rsidP="00CE62C1">
            <w:pPr>
              <w:spacing w:line="276" w:lineRule="auto"/>
              <w:jc w:val="center"/>
              <w:rPr>
                <w:rFonts w:cs="Calibri"/>
                <w:color w:val="000000"/>
                <w:sz w:val="20"/>
              </w:rPr>
            </w:pPr>
            <w:r w:rsidRPr="004E74A6">
              <w:rPr>
                <w:rFonts w:cs="Calibri"/>
                <w:color w:val="000000"/>
                <w:sz w:val="20"/>
              </w:rPr>
              <w:t>68%</w:t>
            </w:r>
          </w:p>
        </w:tc>
      </w:tr>
      <w:tr w:rsidR="006E6922" w:rsidRPr="004E74A6" w14:paraId="03304FE9" w14:textId="70296D89" w:rsidTr="00193D21">
        <w:trPr>
          <w:trHeight w:val="274"/>
          <w:jc w:val="center"/>
        </w:trPr>
        <w:tc>
          <w:tcPr>
            <w:tcW w:w="1592" w:type="pct"/>
            <w:tcBorders>
              <w:top w:val="nil"/>
              <w:left w:val="nil"/>
              <w:bottom w:val="nil"/>
              <w:right w:val="single" w:sz="4" w:space="0" w:color="auto"/>
            </w:tcBorders>
            <w:shd w:val="clear" w:color="auto" w:fill="auto"/>
            <w:noWrap/>
            <w:vAlign w:val="bottom"/>
            <w:hideMark/>
          </w:tcPr>
          <w:p w14:paraId="7730CCA9" w14:textId="77777777" w:rsidR="008B74EF" w:rsidRPr="004E74A6" w:rsidRDefault="008B74EF" w:rsidP="00CE62C1">
            <w:pPr>
              <w:spacing w:line="276" w:lineRule="auto"/>
              <w:jc w:val="left"/>
              <w:rPr>
                <w:rFonts w:cs="Calibri"/>
                <w:color w:val="000000"/>
                <w:sz w:val="20"/>
                <w:lang w:eastAsia="es-CR"/>
              </w:rPr>
            </w:pPr>
            <w:r w:rsidRPr="004E74A6">
              <w:rPr>
                <w:rFonts w:cs="Calibri"/>
                <w:color w:val="000000"/>
                <w:sz w:val="20"/>
                <w:lang w:eastAsia="es-CR"/>
              </w:rPr>
              <w:t>De ¢35.000.001 A ¢40.000.000</w:t>
            </w:r>
          </w:p>
        </w:tc>
        <w:tc>
          <w:tcPr>
            <w:tcW w:w="479" w:type="pct"/>
            <w:tcBorders>
              <w:top w:val="nil"/>
              <w:left w:val="single" w:sz="4" w:space="0" w:color="auto"/>
              <w:bottom w:val="nil"/>
              <w:right w:val="single" w:sz="4" w:space="0" w:color="auto"/>
            </w:tcBorders>
            <w:shd w:val="clear" w:color="auto" w:fill="auto"/>
            <w:noWrap/>
            <w:vAlign w:val="bottom"/>
            <w:hideMark/>
          </w:tcPr>
          <w:p w14:paraId="26287392" w14:textId="392065E3" w:rsidR="008B74EF" w:rsidRPr="004E74A6" w:rsidRDefault="008B74EF" w:rsidP="00CE62C1">
            <w:pPr>
              <w:spacing w:line="276" w:lineRule="auto"/>
              <w:jc w:val="center"/>
              <w:rPr>
                <w:rFonts w:cs="Calibri"/>
                <w:color w:val="000000"/>
                <w:sz w:val="20"/>
                <w:lang w:eastAsia="es-CR"/>
              </w:rPr>
            </w:pPr>
            <w:r w:rsidRPr="004E74A6">
              <w:rPr>
                <w:rFonts w:cs="Calibri"/>
                <w:color w:val="000000"/>
                <w:sz w:val="20"/>
              </w:rPr>
              <w:t>3</w:t>
            </w:r>
          </w:p>
        </w:tc>
        <w:tc>
          <w:tcPr>
            <w:tcW w:w="479" w:type="pct"/>
            <w:tcBorders>
              <w:top w:val="nil"/>
              <w:left w:val="single" w:sz="4" w:space="0" w:color="auto"/>
              <w:bottom w:val="nil"/>
              <w:right w:val="single" w:sz="4" w:space="0" w:color="auto"/>
            </w:tcBorders>
            <w:shd w:val="clear" w:color="auto" w:fill="auto"/>
            <w:noWrap/>
            <w:vAlign w:val="bottom"/>
            <w:hideMark/>
          </w:tcPr>
          <w:p w14:paraId="78E66B65" w14:textId="108F0F73" w:rsidR="008B74EF" w:rsidRPr="004E74A6" w:rsidRDefault="008B74EF" w:rsidP="00CE62C1">
            <w:pPr>
              <w:spacing w:line="276" w:lineRule="auto"/>
              <w:jc w:val="center"/>
              <w:rPr>
                <w:rFonts w:cs="Calibri"/>
                <w:color w:val="000000"/>
                <w:sz w:val="20"/>
                <w:lang w:eastAsia="es-CR"/>
              </w:rPr>
            </w:pPr>
            <w:r w:rsidRPr="004E74A6">
              <w:rPr>
                <w:rFonts w:cs="Calibri"/>
                <w:color w:val="000000"/>
                <w:sz w:val="20"/>
              </w:rPr>
              <w:t>6</w:t>
            </w:r>
          </w:p>
        </w:tc>
        <w:tc>
          <w:tcPr>
            <w:tcW w:w="479" w:type="pct"/>
            <w:tcBorders>
              <w:top w:val="nil"/>
              <w:left w:val="single" w:sz="4" w:space="0" w:color="auto"/>
              <w:bottom w:val="nil"/>
              <w:right w:val="single" w:sz="4" w:space="0" w:color="auto"/>
            </w:tcBorders>
            <w:shd w:val="clear" w:color="auto" w:fill="auto"/>
            <w:noWrap/>
            <w:vAlign w:val="bottom"/>
            <w:hideMark/>
          </w:tcPr>
          <w:p w14:paraId="3AB30D35" w14:textId="37F570D8" w:rsidR="008B74EF" w:rsidRPr="004E74A6" w:rsidRDefault="008B74EF" w:rsidP="00CE62C1">
            <w:pPr>
              <w:spacing w:line="276" w:lineRule="auto"/>
              <w:jc w:val="center"/>
              <w:rPr>
                <w:rFonts w:cs="Calibri"/>
                <w:color w:val="000000"/>
                <w:sz w:val="20"/>
                <w:lang w:eastAsia="es-CR"/>
              </w:rPr>
            </w:pPr>
            <w:r w:rsidRPr="004E74A6">
              <w:rPr>
                <w:rFonts w:cs="Calibri"/>
                <w:color w:val="000000"/>
                <w:sz w:val="20"/>
              </w:rPr>
              <w:t>6</w:t>
            </w:r>
          </w:p>
        </w:tc>
        <w:tc>
          <w:tcPr>
            <w:tcW w:w="635" w:type="pct"/>
            <w:tcBorders>
              <w:top w:val="nil"/>
              <w:left w:val="single" w:sz="4" w:space="0" w:color="auto"/>
              <w:bottom w:val="nil"/>
              <w:right w:val="nil"/>
            </w:tcBorders>
            <w:shd w:val="clear" w:color="auto" w:fill="auto"/>
            <w:noWrap/>
            <w:vAlign w:val="bottom"/>
            <w:hideMark/>
          </w:tcPr>
          <w:p w14:paraId="020E8C7D" w14:textId="626C2531" w:rsidR="008B74EF" w:rsidRPr="004E74A6" w:rsidRDefault="008B74EF" w:rsidP="00CE62C1">
            <w:pPr>
              <w:spacing w:line="276" w:lineRule="auto"/>
              <w:jc w:val="center"/>
              <w:rPr>
                <w:rFonts w:cs="Calibri"/>
                <w:color w:val="000000"/>
                <w:sz w:val="20"/>
                <w:lang w:eastAsia="es-CR"/>
              </w:rPr>
            </w:pPr>
            <w:r w:rsidRPr="004E74A6">
              <w:rPr>
                <w:rFonts w:cs="Calibri"/>
                <w:color w:val="000000"/>
                <w:sz w:val="20"/>
              </w:rPr>
              <w:t>5,0</w:t>
            </w:r>
          </w:p>
        </w:tc>
        <w:tc>
          <w:tcPr>
            <w:tcW w:w="1336" w:type="pct"/>
            <w:tcBorders>
              <w:top w:val="nil"/>
              <w:left w:val="single" w:sz="4" w:space="0" w:color="auto"/>
              <w:bottom w:val="nil"/>
              <w:right w:val="nil"/>
            </w:tcBorders>
            <w:vAlign w:val="bottom"/>
          </w:tcPr>
          <w:p w14:paraId="005C06C0" w14:textId="7366AA40" w:rsidR="008B74EF" w:rsidRPr="004E74A6" w:rsidRDefault="008B74EF" w:rsidP="00CE62C1">
            <w:pPr>
              <w:spacing w:line="276" w:lineRule="auto"/>
              <w:jc w:val="center"/>
              <w:rPr>
                <w:rFonts w:cs="Calibri"/>
                <w:color w:val="000000"/>
                <w:sz w:val="20"/>
              </w:rPr>
            </w:pPr>
            <w:r w:rsidRPr="004E74A6">
              <w:rPr>
                <w:rFonts w:cs="Calibri"/>
                <w:color w:val="000000"/>
                <w:sz w:val="20"/>
              </w:rPr>
              <w:t>71%</w:t>
            </w:r>
          </w:p>
        </w:tc>
      </w:tr>
      <w:tr w:rsidR="006E6922" w:rsidRPr="004E74A6" w14:paraId="47E64CBF" w14:textId="16E839C6" w:rsidTr="00193D21">
        <w:trPr>
          <w:trHeight w:val="274"/>
          <w:jc w:val="center"/>
        </w:trPr>
        <w:tc>
          <w:tcPr>
            <w:tcW w:w="1592" w:type="pct"/>
            <w:tcBorders>
              <w:top w:val="nil"/>
              <w:left w:val="nil"/>
              <w:bottom w:val="nil"/>
              <w:right w:val="single" w:sz="4" w:space="0" w:color="auto"/>
            </w:tcBorders>
            <w:shd w:val="clear" w:color="auto" w:fill="auto"/>
            <w:noWrap/>
            <w:vAlign w:val="bottom"/>
            <w:hideMark/>
          </w:tcPr>
          <w:p w14:paraId="6F764F79" w14:textId="77777777" w:rsidR="008B74EF" w:rsidRPr="004E74A6" w:rsidRDefault="008B74EF" w:rsidP="00CE62C1">
            <w:pPr>
              <w:spacing w:line="276" w:lineRule="auto"/>
              <w:jc w:val="left"/>
              <w:rPr>
                <w:rFonts w:cs="Calibri"/>
                <w:color w:val="000000"/>
                <w:sz w:val="20"/>
                <w:lang w:eastAsia="es-CR"/>
              </w:rPr>
            </w:pPr>
            <w:r w:rsidRPr="004E74A6">
              <w:rPr>
                <w:rFonts w:cs="Calibri"/>
                <w:color w:val="000000"/>
                <w:sz w:val="20"/>
                <w:lang w:eastAsia="es-CR"/>
              </w:rPr>
              <w:t>De ¢40.000.001 A ¢45.000.000</w:t>
            </w:r>
          </w:p>
        </w:tc>
        <w:tc>
          <w:tcPr>
            <w:tcW w:w="479" w:type="pct"/>
            <w:tcBorders>
              <w:top w:val="nil"/>
              <w:left w:val="single" w:sz="4" w:space="0" w:color="auto"/>
              <w:bottom w:val="nil"/>
              <w:right w:val="single" w:sz="4" w:space="0" w:color="auto"/>
            </w:tcBorders>
            <w:shd w:val="clear" w:color="auto" w:fill="auto"/>
            <w:noWrap/>
            <w:vAlign w:val="bottom"/>
            <w:hideMark/>
          </w:tcPr>
          <w:p w14:paraId="28D3BDC7" w14:textId="2B9C0C80" w:rsidR="008B74EF" w:rsidRPr="004E74A6" w:rsidRDefault="008B74EF" w:rsidP="00CE62C1">
            <w:pPr>
              <w:spacing w:line="276" w:lineRule="auto"/>
              <w:jc w:val="center"/>
              <w:rPr>
                <w:rFonts w:cs="Calibri"/>
                <w:color w:val="000000"/>
                <w:sz w:val="20"/>
                <w:lang w:eastAsia="es-CR"/>
              </w:rPr>
            </w:pPr>
            <w:r w:rsidRPr="004E74A6">
              <w:rPr>
                <w:rFonts w:cs="Calibri"/>
                <w:color w:val="000000"/>
                <w:sz w:val="20"/>
              </w:rPr>
              <w:t>1</w:t>
            </w:r>
          </w:p>
        </w:tc>
        <w:tc>
          <w:tcPr>
            <w:tcW w:w="479" w:type="pct"/>
            <w:tcBorders>
              <w:top w:val="nil"/>
              <w:left w:val="single" w:sz="4" w:space="0" w:color="auto"/>
              <w:bottom w:val="nil"/>
              <w:right w:val="single" w:sz="4" w:space="0" w:color="auto"/>
            </w:tcBorders>
            <w:shd w:val="clear" w:color="auto" w:fill="auto"/>
            <w:noWrap/>
            <w:vAlign w:val="bottom"/>
            <w:hideMark/>
          </w:tcPr>
          <w:p w14:paraId="5E2451FC" w14:textId="19ECF635" w:rsidR="008B74EF" w:rsidRPr="004E74A6" w:rsidRDefault="008B74EF" w:rsidP="00CE62C1">
            <w:pPr>
              <w:spacing w:line="276" w:lineRule="auto"/>
              <w:jc w:val="center"/>
              <w:rPr>
                <w:rFonts w:cs="Calibri"/>
                <w:color w:val="000000"/>
                <w:sz w:val="20"/>
                <w:lang w:eastAsia="es-CR"/>
              </w:rPr>
            </w:pPr>
            <w:r w:rsidRPr="004E74A6">
              <w:rPr>
                <w:rFonts w:cs="Calibri"/>
                <w:color w:val="000000"/>
                <w:sz w:val="20"/>
              </w:rPr>
              <w:t>2</w:t>
            </w:r>
          </w:p>
        </w:tc>
        <w:tc>
          <w:tcPr>
            <w:tcW w:w="479" w:type="pct"/>
            <w:tcBorders>
              <w:top w:val="nil"/>
              <w:left w:val="single" w:sz="4" w:space="0" w:color="auto"/>
              <w:bottom w:val="nil"/>
              <w:right w:val="single" w:sz="4" w:space="0" w:color="auto"/>
            </w:tcBorders>
            <w:shd w:val="clear" w:color="auto" w:fill="auto"/>
            <w:noWrap/>
            <w:vAlign w:val="bottom"/>
            <w:hideMark/>
          </w:tcPr>
          <w:p w14:paraId="326A1075" w14:textId="5A85DC44" w:rsidR="008B74EF" w:rsidRPr="004E74A6" w:rsidRDefault="008B74EF" w:rsidP="00CE62C1">
            <w:pPr>
              <w:spacing w:line="276" w:lineRule="auto"/>
              <w:jc w:val="center"/>
              <w:rPr>
                <w:rFonts w:cs="Calibri"/>
                <w:color w:val="000000"/>
                <w:sz w:val="20"/>
                <w:lang w:eastAsia="es-CR"/>
              </w:rPr>
            </w:pPr>
            <w:r w:rsidRPr="004E74A6">
              <w:rPr>
                <w:rFonts w:cs="Calibri"/>
                <w:color w:val="000000"/>
                <w:sz w:val="20"/>
              </w:rPr>
              <w:t>7</w:t>
            </w:r>
          </w:p>
        </w:tc>
        <w:tc>
          <w:tcPr>
            <w:tcW w:w="635" w:type="pct"/>
            <w:tcBorders>
              <w:top w:val="nil"/>
              <w:left w:val="single" w:sz="4" w:space="0" w:color="auto"/>
              <w:bottom w:val="nil"/>
              <w:right w:val="nil"/>
            </w:tcBorders>
            <w:shd w:val="clear" w:color="auto" w:fill="auto"/>
            <w:noWrap/>
            <w:vAlign w:val="bottom"/>
            <w:hideMark/>
          </w:tcPr>
          <w:p w14:paraId="2A061F2A" w14:textId="6A0612B5" w:rsidR="008B74EF" w:rsidRPr="004E74A6" w:rsidRDefault="008B74EF" w:rsidP="00CE62C1">
            <w:pPr>
              <w:spacing w:line="276" w:lineRule="auto"/>
              <w:jc w:val="center"/>
              <w:rPr>
                <w:rFonts w:cs="Calibri"/>
                <w:color w:val="000000"/>
                <w:sz w:val="20"/>
                <w:lang w:eastAsia="es-CR"/>
              </w:rPr>
            </w:pPr>
            <w:r w:rsidRPr="004E74A6">
              <w:rPr>
                <w:rFonts w:cs="Calibri"/>
                <w:color w:val="000000"/>
                <w:sz w:val="20"/>
              </w:rPr>
              <w:t>3,3</w:t>
            </w:r>
          </w:p>
        </w:tc>
        <w:tc>
          <w:tcPr>
            <w:tcW w:w="1336" w:type="pct"/>
            <w:tcBorders>
              <w:top w:val="nil"/>
              <w:left w:val="single" w:sz="4" w:space="0" w:color="auto"/>
              <w:bottom w:val="nil"/>
              <w:right w:val="nil"/>
            </w:tcBorders>
            <w:vAlign w:val="bottom"/>
          </w:tcPr>
          <w:p w14:paraId="65FD2D34" w14:textId="449E4A77" w:rsidR="008B74EF" w:rsidRPr="004E74A6" w:rsidRDefault="008B74EF" w:rsidP="00CE62C1">
            <w:pPr>
              <w:spacing w:line="276" w:lineRule="auto"/>
              <w:jc w:val="center"/>
              <w:rPr>
                <w:rFonts w:cs="Calibri"/>
                <w:color w:val="000000"/>
                <w:sz w:val="20"/>
              </w:rPr>
            </w:pPr>
            <w:r w:rsidRPr="004E74A6">
              <w:rPr>
                <w:rFonts w:cs="Calibri"/>
                <w:color w:val="000000"/>
                <w:sz w:val="20"/>
              </w:rPr>
              <w:t>74%</w:t>
            </w:r>
          </w:p>
        </w:tc>
      </w:tr>
      <w:tr w:rsidR="006E6922" w:rsidRPr="004E74A6" w14:paraId="6A4E8A62" w14:textId="017394C0" w:rsidTr="00193D21">
        <w:trPr>
          <w:trHeight w:val="274"/>
          <w:jc w:val="center"/>
        </w:trPr>
        <w:tc>
          <w:tcPr>
            <w:tcW w:w="1592" w:type="pct"/>
            <w:tcBorders>
              <w:top w:val="nil"/>
              <w:left w:val="nil"/>
              <w:bottom w:val="nil"/>
              <w:right w:val="single" w:sz="4" w:space="0" w:color="auto"/>
            </w:tcBorders>
            <w:shd w:val="clear" w:color="auto" w:fill="auto"/>
            <w:noWrap/>
            <w:vAlign w:val="bottom"/>
            <w:hideMark/>
          </w:tcPr>
          <w:p w14:paraId="691B27F5" w14:textId="77777777" w:rsidR="008B74EF" w:rsidRPr="004E74A6" w:rsidRDefault="008B74EF" w:rsidP="00CE62C1">
            <w:pPr>
              <w:spacing w:line="276" w:lineRule="auto"/>
              <w:jc w:val="left"/>
              <w:rPr>
                <w:rFonts w:cs="Calibri"/>
                <w:color w:val="000000"/>
                <w:sz w:val="20"/>
                <w:lang w:eastAsia="es-CR"/>
              </w:rPr>
            </w:pPr>
            <w:r w:rsidRPr="004E74A6">
              <w:rPr>
                <w:rFonts w:cs="Calibri"/>
                <w:color w:val="000000"/>
                <w:sz w:val="20"/>
                <w:lang w:eastAsia="es-CR"/>
              </w:rPr>
              <w:t>De ¢45.000.001 A ¢50.000.000</w:t>
            </w:r>
          </w:p>
        </w:tc>
        <w:tc>
          <w:tcPr>
            <w:tcW w:w="479" w:type="pct"/>
            <w:tcBorders>
              <w:top w:val="nil"/>
              <w:left w:val="single" w:sz="4" w:space="0" w:color="auto"/>
              <w:bottom w:val="nil"/>
              <w:right w:val="single" w:sz="4" w:space="0" w:color="auto"/>
            </w:tcBorders>
            <w:shd w:val="clear" w:color="auto" w:fill="auto"/>
            <w:noWrap/>
            <w:vAlign w:val="bottom"/>
            <w:hideMark/>
          </w:tcPr>
          <w:p w14:paraId="51D8C369" w14:textId="1278EFB1" w:rsidR="008B74EF" w:rsidRPr="004E74A6" w:rsidRDefault="008B74EF" w:rsidP="00CE62C1">
            <w:pPr>
              <w:spacing w:line="276" w:lineRule="auto"/>
              <w:jc w:val="center"/>
              <w:rPr>
                <w:rFonts w:cs="Calibri"/>
                <w:color w:val="000000"/>
                <w:sz w:val="20"/>
                <w:lang w:eastAsia="es-CR"/>
              </w:rPr>
            </w:pPr>
            <w:r w:rsidRPr="004E74A6">
              <w:rPr>
                <w:rFonts w:cs="Calibri"/>
                <w:color w:val="000000"/>
                <w:sz w:val="20"/>
              </w:rPr>
              <w:t>3</w:t>
            </w:r>
          </w:p>
        </w:tc>
        <w:tc>
          <w:tcPr>
            <w:tcW w:w="479" w:type="pct"/>
            <w:tcBorders>
              <w:top w:val="nil"/>
              <w:left w:val="single" w:sz="4" w:space="0" w:color="auto"/>
              <w:bottom w:val="nil"/>
              <w:right w:val="single" w:sz="4" w:space="0" w:color="auto"/>
            </w:tcBorders>
            <w:shd w:val="clear" w:color="auto" w:fill="auto"/>
            <w:noWrap/>
            <w:vAlign w:val="bottom"/>
            <w:hideMark/>
          </w:tcPr>
          <w:p w14:paraId="03CD7215" w14:textId="66A8900E" w:rsidR="008B74EF" w:rsidRPr="004E74A6" w:rsidRDefault="008B74EF" w:rsidP="00CE62C1">
            <w:pPr>
              <w:spacing w:line="276" w:lineRule="auto"/>
              <w:jc w:val="center"/>
              <w:rPr>
                <w:rFonts w:cs="Calibri"/>
                <w:color w:val="000000"/>
                <w:sz w:val="20"/>
                <w:lang w:eastAsia="es-CR"/>
              </w:rPr>
            </w:pPr>
            <w:r w:rsidRPr="004E74A6">
              <w:rPr>
                <w:rFonts w:cs="Calibri"/>
                <w:color w:val="000000"/>
                <w:sz w:val="20"/>
              </w:rPr>
              <w:t>6</w:t>
            </w:r>
          </w:p>
        </w:tc>
        <w:tc>
          <w:tcPr>
            <w:tcW w:w="479" w:type="pct"/>
            <w:tcBorders>
              <w:top w:val="nil"/>
              <w:left w:val="single" w:sz="4" w:space="0" w:color="auto"/>
              <w:bottom w:val="nil"/>
              <w:right w:val="single" w:sz="4" w:space="0" w:color="auto"/>
            </w:tcBorders>
            <w:shd w:val="clear" w:color="auto" w:fill="auto"/>
            <w:noWrap/>
            <w:vAlign w:val="bottom"/>
            <w:hideMark/>
          </w:tcPr>
          <w:p w14:paraId="7B9E486C" w14:textId="28A87C6E" w:rsidR="008B74EF" w:rsidRPr="004E74A6" w:rsidRDefault="008B74EF" w:rsidP="00CE62C1">
            <w:pPr>
              <w:spacing w:line="276" w:lineRule="auto"/>
              <w:jc w:val="center"/>
              <w:rPr>
                <w:rFonts w:cs="Calibri"/>
                <w:color w:val="000000"/>
                <w:sz w:val="20"/>
                <w:lang w:eastAsia="es-CR"/>
              </w:rPr>
            </w:pPr>
            <w:r w:rsidRPr="004E74A6">
              <w:rPr>
                <w:rFonts w:cs="Calibri"/>
                <w:color w:val="000000"/>
                <w:sz w:val="20"/>
              </w:rPr>
              <w:t>1</w:t>
            </w:r>
          </w:p>
        </w:tc>
        <w:tc>
          <w:tcPr>
            <w:tcW w:w="635" w:type="pct"/>
            <w:tcBorders>
              <w:top w:val="nil"/>
              <w:left w:val="single" w:sz="4" w:space="0" w:color="auto"/>
              <w:bottom w:val="nil"/>
              <w:right w:val="nil"/>
            </w:tcBorders>
            <w:shd w:val="clear" w:color="auto" w:fill="auto"/>
            <w:noWrap/>
            <w:vAlign w:val="bottom"/>
            <w:hideMark/>
          </w:tcPr>
          <w:p w14:paraId="024D4B4D" w14:textId="1F80F29A" w:rsidR="008B74EF" w:rsidRPr="004E74A6" w:rsidRDefault="008B74EF" w:rsidP="00CE62C1">
            <w:pPr>
              <w:spacing w:line="276" w:lineRule="auto"/>
              <w:jc w:val="center"/>
              <w:rPr>
                <w:rFonts w:cs="Calibri"/>
                <w:color w:val="000000"/>
                <w:sz w:val="20"/>
                <w:lang w:eastAsia="es-CR"/>
              </w:rPr>
            </w:pPr>
            <w:r w:rsidRPr="004E74A6">
              <w:rPr>
                <w:rFonts w:cs="Calibri"/>
                <w:color w:val="000000"/>
                <w:sz w:val="20"/>
              </w:rPr>
              <w:t>3,3</w:t>
            </w:r>
          </w:p>
        </w:tc>
        <w:tc>
          <w:tcPr>
            <w:tcW w:w="1336" w:type="pct"/>
            <w:tcBorders>
              <w:top w:val="nil"/>
              <w:left w:val="single" w:sz="4" w:space="0" w:color="auto"/>
              <w:bottom w:val="nil"/>
              <w:right w:val="nil"/>
            </w:tcBorders>
            <w:vAlign w:val="bottom"/>
          </w:tcPr>
          <w:p w14:paraId="4A1E46BE" w14:textId="079BA2C2" w:rsidR="008B74EF" w:rsidRPr="004E74A6" w:rsidRDefault="008B74EF" w:rsidP="00CE62C1">
            <w:pPr>
              <w:spacing w:line="276" w:lineRule="auto"/>
              <w:jc w:val="center"/>
              <w:rPr>
                <w:rFonts w:cs="Calibri"/>
                <w:color w:val="000000"/>
                <w:sz w:val="20"/>
              </w:rPr>
            </w:pPr>
            <w:r w:rsidRPr="004E74A6">
              <w:rPr>
                <w:rFonts w:cs="Calibri"/>
                <w:color w:val="000000"/>
                <w:sz w:val="20"/>
              </w:rPr>
              <w:t>76%</w:t>
            </w:r>
          </w:p>
        </w:tc>
      </w:tr>
      <w:tr w:rsidR="006E6922" w:rsidRPr="004E74A6" w14:paraId="6C95EC60" w14:textId="3BFB53B3" w:rsidTr="00193D21">
        <w:trPr>
          <w:trHeight w:val="274"/>
          <w:jc w:val="center"/>
        </w:trPr>
        <w:tc>
          <w:tcPr>
            <w:tcW w:w="1592" w:type="pct"/>
            <w:tcBorders>
              <w:top w:val="nil"/>
              <w:left w:val="nil"/>
              <w:bottom w:val="nil"/>
              <w:right w:val="single" w:sz="4" w:space="0" w:color="auto"/>
            </w:tcBorders>
            <w:shd w:val="clear" w:color="auto" w:fill="auto"/>
            <w:noWrap/>
            <w:vAlign w:val="bottom"/>
            <w:hideMark/>
          </w:tcPr>
          <w:p w14:paraId="621FC165" w14:textId="77777777" w:rsidR="008B74EF" w:rsidRPr="004E74A6" w:rsidRDefault="008B74EF" w:rsidP="00CE62C1">
            <w:pPr>
              <w:spacing w:line="276" w:lineRule="auto"/>
              <w:jc w:val="left"/>
              <w:rPr>
                <w:rFonts w:cs="Calibri"/>
                <w:color w:val="000000"/>
                <w:sz w:val="20"/>
                <w:lang w:eastAsia="es-CR"/>
              </w:rPr>
            </w:pPr>
            <w:r w:rsidRPr="004E74A6">
              <w:rPr>
                <w:rFonts w:cs="Calibri"/>
                <w:color w:val="000000"/>
                <w:sz w:val="20"/>
                <w:lang w:eastAsia="es-CR"/>
              </w:rPr>
              <w:t>De ¢50.000.001 A ¢55.000.000</w:t>
            </w:r>
          </w:p>
        </w:tc>
        <w:tc>
          <w:tcPr>
            <w:tcW w:w="479" w:type="pct"/>
            <w:tcBorders>
              <w:top w:val="nil"/>
              <w:left w:val="single" w:sz="4" w:space="0" w:color="auto"/>
              <w:bottom w:val="nil"/>
              <w:right w:val="single" w:sz="4" w:space="0" w:color="auto"/>
            </w:tcBorders>
            <w:shd w:val="clear" w:color="auto" w:fill="auto"/>
            <w:noWrap/>
            <w:vAlign w:val="bottom"/>
            <w:hideMark/>
          </w:tcPr>
          <w:p w14:paraId="774B30D4" w14:textId="44070879" w:rsidR="008B74EF" w:rsidRPr="004E74A6" w:rsidRDefault="008B74EF" w:rsidP="00CE62C1">
            <w:pPr>
              <w:spacing w:line="276" w:lineRule="auto"/>
              <w:jc w:val="center"/>
              <w:rPr>
                <w:rFonts w:cs="Calibri"/>
                <w:color w:val="000000"/>
                <w:sz w:val="20"/>
                <w:lang w:eastAsia="es-CR"/>
              </w:rPr>
            </w:pPr>
            <w:r w:rsidRPr="004E74A6">
              <w:rPr>
                <w:rFonts w:cs="Calibri"/>
                <w:color w:val="000000"/>
                <w:sz w:val="20"/>
              </w:rPr>
              <w:t>1</w:t>
            </w:r>
          </w:p>
        </w:tc>
        <w:tc>
          <w:tcPr>
            <w:tcW w:w="479" w:type="pct"/>
            <w:tcBorders>
              <w:top w:val="nil"/>
              <w:left w:val="single" w:sz="4" w:space="0" w:color="auto"/>
              <w:bottom w:val="nil"/>
              <w:right w:val="single" w:sz="4" w:space="0" w:color="auto"/>
            </w:tcBorders>
            <w:shd w:val="clear" w:color="auto" w:fill="auto"/>
            <w:noWrap/>
            <w:vAlign w:val="bottom"/>
            <w:hideMark/>
          </w:tcPr>
          <w:p w14:paraId="1A9D3FDC" w14:textId="23D93B3A" w:rsidR="008B74EF" w:rsidRPr="004E74A6" w:rsidRDefault="008B74EF" w:rsidP="00CE62C1">
            <w:pPr>
              <w:spacing w:line="276" w:lineRule="auto"/>
              <w:jc w:val="center"/>
              <w:rPr>
                <w:rFonts w:cs="Calibri"/>
                <w:color w:val="000000"/>
                <w:sz w:val="20"/>
                <w:lang w:eastAsia="es-CR"/>
              </w:rPr>
            </w:pPr>
            <w:r w:rsidRPr="004E74A6">
              <w:rPr>
                <w:rFonts w:cs="Calibri"/>
                <w:color w:val="000000"/>
                <w:sz w:val="20"/>
              </w:rPr>
              <w:t>3</w:t>
            </w:r>
          </w:p>
        </w:tc>
        <w:tc>
          <w:tcPr>
            <w:tcW w:w="479" w:type="pct"/>
            <w:tcBorders>
              <w:top w:val="nil"/>
              <w:left w:val="single" w:sz="4" w:space="0" w:color="auto"/>
              <w:bottom w:val="nil"/>
              <w:right w:val="single" w:sz="4" w:space="0" w:color="auto"/>
            </w:tcBorders>
            <w:shd w:val="clear" w:color="auto" w:fill="auto"/>
            <w:noWrap/>
            <w:vAlign w:val="bottom"/>
            <w:hideMark/>
          </w:tcPr>
          <w:p w14:paraId="1DA7A4BB" w14:textId="2E558010" w:rsidR="008B74EF" w:rsidRPr="004E74A6" w:rsidRDefault="008B74EF" w:rsidP="00CE62C1">
            <w:pPr>
              <w:spacing w:line="276" w:lineRule="auto"/>
              <w:jc w:val="center"/>
              <w:rPr>
                <w:rFonts w:cs="Calibri"/>
                <w:color w:val="000000"/>
                <w:sz w:val="20"/>
                <w:lang w:eastAsia="es-CR"/>
              </w:rPr>
            </w:pPr>
            <w:r w:rsidRPr="004E74A6">
              <w:rPr>
                <w:rFonts w:cs="Calibri"/>
                <w:color w:val="000000"/>
                <w:sz w:val="20"/>
              </w:rPr>
              <w:t>5</w:t>
            </w:r>
          </w:p>
        </w:tc>
        <w:tc>
          <w:tcPr>
            <w:tcW w:w="635" w:type="pct"/>
            <w:tcBorders>
              <w:top w:val="nil"/>
              <w:left w:val="single" w:sz="4" w:space="0" w:color="auto"/>
              <w:bottom w:val="nil"/>
              <w:right w:val="nil"/>
            </w:tcBorders>
            <w:shd w:val="clear" w:color="auto" w:fill="auto"/>
            <w:noWrap/>
            <w:vAlign w:val="bottom"/>
            <w:hideMark/>
          </w:tcPr>
          <w:p w14:paraId="43674A30" w14:textId="2F446E09" w:rsidR="008B74EF" w:rsidRPr="004E74A6" w:rsidRDefault="008B74EF" w:rsidP="00CE62C1">
            <w:pPr>
              <w:spacing w:line="276" w:lineRule="auto"/>
              <w:jc w:val="center"/>
              <w:rPr>
                <w:rFonts w:cs="Calibri"/>
                <w:color w:val="000000"/>
                <w:sz w:val="20"/>
                <w:lang w:eastAsia="es-CR"/>
              </w:rPr>
            </w:pPr>
            <w:r w:rsidRPr="004E74A6">
              <w:rPr>
                <w:rFonts w:cs="Calibri"/>
                <w:color w:val="000000"/>
                <w:sz w:val="20"/>
              </w:rPr>
              <w:t>3,0</w:t>
            </w:r>
          </w:p>
        </w:tc>
        <w:tc>
          <w:tcPr>
            <w:tcW w:w="1336" w:type="pct"/>
            <w:tcBorders>
              <w:top w:val="nil"/>
              <w:left w:val="single" w:sz="4" w:space="0" w:color="auto"/>
              <w:bottom w:val="nil"/>
              <w:right w:val="nil"/>
            </w:tcBorders>
            <w:vAlign w:val="bottom"/>
          </w:tcPr>
          <w:p w14:paraId="33C6C22F" w14:textId="78BF92B0" w:rsidR="008B74EF" w:rsidRPr="004E74A6" w:rsidRDefault="008B74EF" w:rsidP="00CE62C1">
            <w:pPr>
              <w:spacing w:line="276" w:lineRule="auto"/>
              <w:jc w:val="center"/>
              <w:rPr>
                <w:rFonts w:cs="Calibri"/>
                <w:color w:val="000000"/>
                <w:sz w:val="20"/>
              </w:rPr>
            </w:pPr>
            <w:r w:rsidRPr="004E74A6">
              <w:rPr>
                <w:rFonts w:cs="Calibri"/>
                <w:color w:val="000000"/>
                <w:sz w:val="20"/>
              </w:rPr>
              <w:t>78%</w:t>
            </w:r>
          </w:p>
        </w:tc>
      </w:tr>
      <w:tr w:rsidR="006E6922" w:rsidRPr="004E74A6" w14:paraId="396C9110" w14:textId="2C34DF29" w:rsidTr="00193D21">
        <w:trPr>
          <w:trHeight w:val="274"/>
          <w:jc w:val="center"/>
        </w:trPr>
        <w:tc>
          <w:tcPr>
            <w:tcW w:w="1592" w:type="pct"/>
            <w:tcBorders>
              <w:top w:val="nil"/>
              <w:left w:val="nil"/>
              <w:bottom w:val="nil"/>
              <w:right w:val="single" w:sz="4" w:space="0" w:color="auto"/>
            </w:tcBorders>
            <w:shd w:val="clear" w:color="auto" w:fill="auto"/>
            <w:noWrap/>
            <w:vAlign w:val="bottom"/>
            <w:hideMark/>
          </w:tcPr>
          <w:p w14:paraId="4E9A1004" w14:textId="77777777" w:rsidR="008B74EF" w:rsidRPr="004E74A6" w:rsidRDefault="008B74EF" w:rsidP="00CE62C1">
            <w:pPr>
              <w:spacing w:line="276" w:lineRule="auto"/>
              <w:jc w:val="left"/>
              <w:rPr>
                <w:rFonts w:cs="Calibri"/>
                <w:color w:val="000000"/>
                <w:sz w:val="20"/>
                <w:lang w:eastAsia="es-CR"/>
              </w:rPr>
            </w:pPr>
            <w:r w:rsidRPr="004E74A6">
              <w:rPr>
                <w:rFonts w:cs="Calibri"/>
                <w:color w:val="000000"/>
                <w:sz w:val="20"/>
                <w:lang w:eastAsia="es-CR"/>
              </w:rPr>
              <w:t>De ¢55.000.001 A ¢60.000.000</w:t>
            </w:r>
          </w:p>
        </w:tc>
        <w:tc>
          <w:tcPr>
            <w:tcW w:w="479" w:type="pct"/>
            <w:tcBorders>
              <w:top w:val="nil"/>
              <w:left w:val="single" w:sz="4" w:space="0" w:color="auto"/>
              <w:bottom w:val="nil"/>
              <w:right w:val="single" w:sz="4" w:space="0" w:color="auto"/>
            </w:tcBorders>
            <w:shd w:val="clear" w:color="auto" w:fill="auto"/>
            <w:noWrap/>
            <w:vAlign w:val="bottom"/>
            <w:hideMark/>
          </w:tcPr>
          <w:p w14:paraId="07654E16" w14:textId="3F4BA261" w:rsidR="008B74EF" w:rsidRPr="004E74A6" w:rsidRDefault="008B74EF" w:rsidP="00CE62C1">
            <w:pPr>
              <w:spacing w:line="276" w:lineRule="auto"/>
              <w:jc w:val="center"/>
              <w:rPr>
                <w:rFonts w:cs="Calibri"/>
                <w:color w:val="000000"/>
                <w:sz w:val="20"/>
                <w:lang w:eastAsia="es-CR"/>
              </w:rPr>
            </w:pPr>
            <w:r w:rsidRPr="004E74A6">
              <w:rPr>
                <w:rFonts w:cs="Calibri"/>
                <w:color w:val="000000"/>
                <w:sz w:val="20"/>
              </w:rPr>
              <w:t>1</w:t>
            </w:r>
          </w:p>
        </w:tc>
        <w:tc>
          <w:tcPr>
            <w:tcW w:w="479" w:type="pct"/>
            <w:tcBorders>
              <w:top w:val="nil"/>
              <w:left w:val="single" w:sz="4" w:space="0" w:color="auto"/>
              <w:bottom w:val="nil"/>
              <w:right w:val="single" w:sz="4" w:space="0" w:color="auto"/>
            </w:tcBorders>
            <w:shd w:val="clear" w:color="auto" w:fill="auto"/>
            <w:noWrap/>
            <w:vAlign w:val="bottom"/>
            <w:hideMark/>
          </w:tcPr>
          <w:p w14:paraId="5471534B" w14:textId="697D9348" w:rsidR="008B74EF" w:rsidRPr="004E74A6" w:rsidRDefault="008B74EF" w:rsidP="00CE62C1">
            <w:pPr>
              <w:spacing w:line="276" w:lineRule="auto"/>
              <w:jc w:val="center"/>
              <w:rPr>
                <w:rFonts w:cs="Calibri"/>
                <w:color w:val="000000"/>
                <w:sz w:val="20"/>
                <w:lang w:eastAsia="es-CR"/>
              </w:rPr>
            </w:pPr>
            <w:r w:rsidRPr="004E74A6">
              <w:rPr>
                <w:rFonts w:cs="Calibri"/>
                <w:color w:val="000000"/>
                <w:sz w:val="20"/>
              </w:rPr>
              <w:t>3</w:t>
            </w:r>
          </w:p>
        </w:tc>
        <w:tc>
          <w:tcPr>
            <w:tcW w:w="479" w:type="pct"/>
            <w:tcBorders>
              <w:top w:val="nil"/>
              <w:left w:val="single" w:sz="4" w:space="0" w:color="auto"/>
              <w:bottom w:val="nil"/>
              <w:right w:val="single" w:sz="4" w:space="0" w:color="auto"/>
            </w:tcBorders>
            <w:shd w:val="clear" w:color="auto" w:fill="auto"/>
            <w:noWrap/>
            <w:vAlign w:val="bottom"/>
            <w:hideMark/>
          </w:tcPr>
          <w:p w14:paraId="1A955205" w14:textId="3119A540" w:rsidR="008B74EF" w:rsidRPr="004E74A6" w:rsidRDefault="008B74EF" w:rsidP="00CE62C1">
            <w:pPr>
              <w:spacing w:line="276" w:lineRule="auto"/>
              <w:jc w:val="center"/>
              <w:rPr>
                <w:rFonts w:cs="Calibri"/>
                <w:color w:val="000000"/>
                <w:sz w:val="20"/>
                <w:lang w:eastAsia="es-CR"/>
              </w:rPr>
            </w:pPr>
            <w:r w:rsidRPr="004E74A6">
              <w:rPr>
                <w:rFonts w:cs="Calibri"/>
                <w:color w:val="000000"/>
                <w:sz w:val="20"/>
              </w:rPr>
              <w:t>4</w:t>
            </w:r>
          </w:p>
        </w:tc>
        <w:tc>
          <w:tcPr>
            <w:tcW w:w="635" w:type="pct"/>
            <w:tcBorders>
              <w:top w:val="nil"/>
              <w:left w:val="single" w:sz="4" w:space="0" w:color="auto"/>
              <w:bottom w:val="nil"/>
              <w:right w:val="nil"/>
            </w:tcBorders>
            <w:shd w:val="clear" w:color="auto" w:fill="auto"/>
            <w:noWrap/>
            <w:vAlign w:val="bottom"/>
            <w:hideMark/>
          </w:tcPr>
          <w:p w14:paraId="6D784143" w14:textId="5BC8F6DB" w:rsidR="008B74EF" w:rsidRPr="004E74A6" w:rsidRDefault="008B74EF" w:rsidP="00CE62C1">
            <w:pPr>
              <w:spacing w:line="276" w:lineRule="auto"/>
              <w:jc w:val="center"/>
              <w:rPr>
                <w:rFonts w:cs="Calibri"/>
                <w:color w:val="000000"/>
                <w:sz w:val="20"/>
                <w:lang w:eastAsia="es-CR"/>
              </w:rPr>
            </w:pPr>
            <w:r w:rsidRPr="004E74A6">
              <w:rPr>
                <w:rFonts w:cs="Calibri"/>
                <w:color w:val="000000"/>
                <w:sz w:val="20"/>
              </w:rPr>
              <w:t>2,7</w:t>
            </w:r>
          </w:p>
        </w:tc>
        <w:tc>
          <w:tcPr>
            <w:tcW w:w="1336" w:type="pct"/>
            <w:tcBorders>
              <w:top w:val="nil"/>
              <w:left w:val="single" w:sz="4" w:space="0" w:color="auto"/>
              <w:bottom w:val="nil"/>
              <w:right w:val="nil"/>
            </w:tcBorders>
            <w:vAlign w:val="bottom"/>
          </w:tcPr>
          <w:p w14:paraId="0361EDBB" w14:textId="686B5C33" w:rsidR="008B74EF" w:rsidRPr="004E74A6" w:rsidRDefault="008B74EF" w:rsidP="00CE62C1">
            <w:pPr>
              <w:spacing w:line="276" w:lineRule="auto"/>
              <w:jc w:val="center"/>
              <w:rPr>
                <w:rFonts w:cs="Calibri"/>
                <w:color w:val="000000"/>
                <w:sz w:val="20"/>
              </w:rPr>
            </w:pPr>
            <w:r w:rsidRPr="004E74A6">
              <w:rPr>
                <w:rFonts w:cs="Calibri"/>
                <w:color w:val="000000"/>
                <w:sz w:val="20"/>
              </w:rPr>
              <w:t>80%</w:t>
            </w:r>
          </w:p>
        </w:tc>
      </w:tr>
      <w:tr w:rsidR="006E6922" w:rsidRPr="004E74A6" w14:paraId="6ADC6963" w14:textId="45CE7E22" w:rsidTr="00193D21">
        <w:trPr>
          <w:trHeight w:val="274"/>
          <w:jc w:val="center"/>
        </w:trPr>
        <w:tc>
          <w:tcPr>
            <w:tcW w:w="1592" w:type="pct"/>
            <w:tcBorders>
              <w:top w:val="nil"/>
              <w:left w:val="nil"/>
              <w:bottom w:val="nil"/>
              <w:right w:val="single" w:sz="4" w:space="0" w:color="auto"/>
            </w:tcBorders>
            <w:shd w:val="clear" w:color="auto" w:fill="auto"/>
            <w:noWrap/>
            <w:vAlign w:val="bottom"/>
            <w:hideMark/>
          </w:tcPr>
          <w:p w14:paraId="1505F80B" w14:textId="77777777" w:rsidR="008B74EF" w:rsidRPr="004E74A6" w:rsidRDefault="008B74EF" w:rsidP="00CE62C1">
            <w:pPr>
              <w:spacing w:line="276" w:lineRule="auto"/>
              <w:jc w:val="left"/>
              <w:rPr>
                <w:rFonts w:cs="Calibri"/>
                <w:color w:val="000000"/>
                <w:sz w:val="20"/>
                <w:lang w:eastAsia="es-CR"/>
              </w:rPr>
            </w:pPr>
            <w:r w:rsidRPr="004E74A6">
              <w:rPr>
                <w:rFonts w:cs="Calibri"/>
                <w:color w:val="000000"/>
                <w:sz w:val="20"/>
                <w:lang w:eastAsia="es-CR"/>
              </w:rPr>
              <w:t>De ¢60.000.001 A ¢65.000.000</w:t>
            </w:r>
          </w:p>
        </w:tc>
        <w:tc>
          <w:tcPr>
            <w:tcW w:w="479" w:type="pct"/>
            <w:tcBorders>
              <w:top w:val="nil"/>
              <w:left w:val="single" w:sz="4" w:space="0" w:color="auto"/>
              <w:bottom w:val="nil"/>
              <w:right w:val="single" w:sz="4" w:space="0" w:color="auto"/>
            </w:tcBorders>
            <w:shd w:val="clear" w:color="auto" w:fill="auto"/>
            <w:noWrap/>
            <w:vAlign w:val="bottom"/>
            <w:hideMark/>
          </w:tcPr>
          <w:p w14:paraId="210980AF" w14:textId="47B320ED" w:rsidR="008B74EF" w:rsidRPr="004E74A6" w:rsidRDefault="008B74EF" w:rsidP="00CE62C1">
            <w:pPr>
              <w:spacing w:line="276" w:lineRule="auto"/>
              <w:jc w:val="center"/>
              <w:rPr>
                <w:rFonts w:cs="Calibri"/>
                <w:color w:val="000000"/>
                <w:sz w:val="20"/>
                <w:lang w:eastAsia="es-CR"/>
              </w:rPr>
            </w:pPr>
            <w:r w:rsidRPr="004E74A6">
              <w:rPr>
                <w:rFonts w:cs="Calibri"/>
                <w:color w:val="000000"/>
                <w:sz w:val="20"/>
              </w:rPr>
              <w:t>0</w:t>
            </w:r>
          </w:p>
        </w:tc>
        <w:tc>
          <w:tcPr>
            <w:tcW w:w="479" w:type="pct"/>
            <w:tcBorders>
              <w:top w:val="nil"/>
              <w:left w:val="single" w:sz="4" w:space="0" w:color="auto"/>
              <w:bottom w:val="nil"/>
              <w:right w:val="single" w:sz="4" w:space="0" w:color="auto"/>
            </w:tcBorders>
            <w:shd w:val="clear" w:color="auto" w:fill="auto"/>
            <w:noWrap/>
            <w:vAlign w:val="bottom"/>
            <w:hideMark/>
          </w:tcPr>
          <w:p w14:paraId="049A8661" w14:textId="12CF1DA2" w:rsidR="008B74EF" w:rsidRPr="004E74A6" w:rsidRDefault="008B74EF" w:rsidP="00CE62C1">
            <w:pPr>
              <w:spacing w:line="276" w:lineRule="auto"/>
              <w:jc w:val="center"/>
              <w:rPr>
                <w:rFonts w:cs="Calibri"/>
                <w:color w:val="000000"/>
                <w:sz w:val="20"/>
                <w:lang w:eastAsia="es-CR"/>
              </w:rPr>
            </w:pPr>
            <w:r w:rsidRPr="004E74A6">
              <w:rPr>
                <w:rFonts w:cs="Calibri"/>
                <w:color w:val="000000"/>
                <w:sz w:val="20"/>
              </w:rPr>
              <w:t>1</w:t>
            </w:r>
          </w:p>
        </w:tc>
        <w:tc>
          <w:tcPr>
            <w:tcW w:w="479" w:type="pct"/>
            <w:tcBorders>
              <w:top w:val="nil"/>
              <w:left w:val="single" w:sz="4" w:space="0" w:color="auto"/>
              <w:bottom w:val="nil"/>
              <w:right w:val="single" w:sz="4" w:space="0" w:color="auto"/>
            </w:tcBorders>
            <w:shd w:val="clear" w:color="auto" w:fill="auto"/>
            <w:noWrap/>
            <w:vAlign w:val="bottom"/>
            <w:hideMark/>
          </w:tcPr>
          <w:p w14:paraId="3721F1AF" w14:textId="434F2ED6" w:rsidR="008B74EF" w:rsidRPr="004E74A6" w:rsidRDefault="008B74EF" w:rsidP="00CE62C1">
            <w:pPr>
              <w:spacing w:line="276" w:lineRule="auto"/>
              <w:jc w:val="center"/>
              <w:rPr>
                <w:rFonts w:cs="Calibri"/>
                <w:color w:val="000000"/>
                <w:sz w:val="20"/>
                <w:lang w:eastAsia="es-CR"/>
              </w:rPr>
            </w:pPr>
            <w:r w:rsidRPr="004E74A6">
              <w:rPr>
                <w:rFonts w:cs="Calibri"/>
                <w:color w:val="000000"/>
                <w:sz w:val="20"/>
              </w:rPr>
              <w:t>3</w:t>
            </w:r>
          </w:p>
        </w:tc>
        <w:tc>
          <w:tcPr>
            <w:tcW w:w="635" w:type="pct"/>
            <w:tcBorders>
              <w:top w:val="nil"/>
              <w:left w:val="single" w:sz="4" w:space="0" w:color="auto"/>
              <w:bottom w:val="nil"/>
              <w:right w:val="nil"/>
            </w:tcBorders>
            <w:shd w:val="clear" w:color="auto" w:fill="auto"/>
            <w:noWrap/>
            <w:vAlign w:val="bottom"/>
            <w:hideMark/>
          </w:tcPr>
          <w:p w14:paraId="2C419420" w14:textId="456383B5" w:rsidR="008B74EF" w:rsidRPr="004E74A6" w:rsidRDefault="008B74EF" w:rsidP="00CE62C1">
            <w:pPr>
              <w:spacing w:line="276" w:lineRule="auto"/>
              <w:jc w:val="center"/>
              <w:rPr>
                <w:rFonts w:cs="Calibri"/>
                <w:color w:val="000000"/>
                <w:sz w:val="20"/>
                <w:lang w:eastAsia="es-CR"/>
              </w:rPr>
            </w:pPr>
            <w:r w:rsidRPr="004E74A6">
              <w:rPr>
                <w:rFonts w:cs="Calibri"/>
                <w:color w:val="000000"/>
                <w:sz w:val="20"/>
              </w:rPr>
              <w:t>1,3</w:t>
            </w:r>
          </w:p>
        </w:tc>
        <w:tc>
          <w:tcPr>
            <w:tcW w:w="1336" w:type="pct"/>
            <w:tcBorders>
              <w:top w:val="nil"/>
              <w:left w:val="single" w:sz="4" w:space="0" w:color="auto"/>
              <w:bottom w:val="nil"/>
              <w:right w:val="nil"/>
            </w:tcBorders>
            <w:vAlign w:val="bottom"/>
          </w:tcPr>
          <w:p w14:paraId="1DC9BDAA" w14:textId="79BD10E0" w:rsidR="008B74EF" w:rsidRPr="004E74A6" w:rsidRDefault="008B74EF" w:rsidP="00CE62C1">
            <w:pPr>
              <w:spacing w:line="276" w:lineRule="auto"/>
              <w:jc w:val="center"/>
              <w:rPr>
                <w:rFonts w:cs="Calibri"/>
                <w:color w:val="000000"/>
                <w:sz w:val="20"/>
              </w:rPr>
            </w:pPr>
            <w:r w:rsidRPr="004E74A6">
              <w:rPr>
                <w:rFonts w:cs="Calibri"/>
                <w:color w:val="000000"/>
                <w:sz w:val="20"/>
              </w:rPr>
              <w:t>81%</w:t>
            </w:r>
          </w:p>
        </w:tc>
      </w:tr>
      <w:tr w:rsidR="006E6922" w:rsidRPr="004E74A6" w14:paraId="5B691C14" w14:textId="1029FB5D" w:rsidTr="00193D21">
        <w:trPr>
          <w:trHeight w:val="274"/>
          <w:jc w:val="center"/>
        </w:trPr>
        <w:tc>
          <w:tcPr>
            <w:tcW w:w="1592" w:type="pct"/>
            <w:tcBorders>
              <w:top w:val="nil"/>
              <w:left w:val="nil"/>
              <w:bottom w:val="nil"/>
              <w:right w:val="single" w:sz="4" w:space="0" w:color="auto"/>
            </w:tcBorders>
            <w:shd w:val="clear" w:color="auto" w:fill="auto"/>
            <w:noWrap/>
            <w:vAlign w:val="bottom"/>
            <w:hideMark/>
          </w:tcPr>
          <w:p w14:paraId="24C3EC09" w14:textId="77777777" w:rsidR="008B74EF" w:rsidRPr="004E74A6" w:rsidRDefault="008B74EF" w:rsidP="00CE62C1">
            <w:pPr>
              <w:spacing w:line="276" w:lineRule="auto"/>
              <w:jc w:val="left"/>
              <w:rPr>
                <w:rFonts w:cs="Calibri"/>
                <w:color w:val="000000"/>
                <w:sz w:val="20"/>
                <w:lang w:eastAsia="es-CR"/>
              </w:rPr>
            </w:pPr>
            <w:r w:rsidRPr="004E74A6">
              <w:rPr>
                <w:rFonts w:cs="Calibri"/>
                <w:color w:val="000000"/>
                <w:sz w:val="20"/>
                <w:lang w:eastAsia="es-CR"/>
              </w:rPr>
              <w:t>De ¢65.000.001 A ¢70.000.000</w:t>
            </w:r>
          </w:p>
        </w:tc>
        <w:tc>
          <w:tcPr>
            <w:tcW w:w="479" w:type="pct"/>
            <w:tcBorders>
              <w:top w:val="nil"/>
              <w:left w:val="single" w:sz="4" w:space="0" w:color="auto"/>
              <w:bottom w:val="nil"/>
              <w:right w:val="single" w:sz="4" w:space="0" w:color="auto"/>
            </w:tcBorders>
            <w:shd w:val="clear" w:color="auto" w:fill="auto"/>
            <w:noWrap/>
            <w:vAlign w:val="bottom"/>
            <w:hideMark/>
          </w:tcPr>
          <w:p w14:paraId="0B42CC7F" w14:textId="15C086A1" w:rsidR="008B74EF" w:rsidRPr="004E74A6" w:rsidRDefault="008B74EF" w:rsidP="00CE62C1">
            <w:pPr>
              <w:spacing w:line="276" w:lineRule="auto"/>
              <w:jc w:val="center"/>
              <w:rPr>
                <w:rFonts w:cs="Calibri"/>
                <w:color w:val="000000"/>
                <w:sz w:val="20"/>
                <w:lang w:eastAsia="es-CR"/>
              </w:rPr>
            </w:pPr>
            <w:r w:rsidRPr="004E74A6">
              <w:rPr>
                <w:rFonts w:cs="Calibri"/>
                <w:color w:val="000000"/>
                <w:sz w:val="20"/>
              </w:rPr>
              <w:t>0</w:t>
            </w:r>
          </w:p>
        </w:tc>
        <w:tc>
          <w:tcPr>
            <w:tcW w:w="479" w:type="pct"/>
            <w:tcBorders>
              <w:top w:val="nil"/>
              <w:left w:val="single" w:sz="4" w:space="0" w:color="auto"/>
              <w:bottom w:val="nil"/>
              <w:right w:val="single" w:sz="4" w:space="0" w:color="auto"/>
            </w:tcBorders>
            <w:shd w:val="clear" w:color="auto" w:fill="auto"/>
            <w:noWrap/>
            <w:vAlign w:val="bottom"/>
            <w:hideMark/>
          </w:tcPr>
          <w:p w14:paraId="1CABD298" w14:textId="239948C3" w:rsidR="008B74EF" w:rsidRPr="004E74A6" w:rsidRDefault="008B74EF" w:rsidP="00CE62C1">
            <w:pPr>
              <w:spacing w:line="276" w:lineRule="auto"/>
              <w:jc w:val="center"/>
              <w:rPr>
                <w:rFonts w:cs="Calibri"/>
                <w:color w:val="000000"/>
                <w:sz w:val="20"/>
                <w:lang w:eastAsia="es-CR"/>
              </w:rPr>
            </w:pPr>
            <w:r w:rsidRPr="004E74A6">
              <w:rPr>
                <w:rFonts w:cs="Calibri"/>
                <w:color w:val="000000"/>
                <w:sz w:val="20"/>
              </w:rPr>
              <w:t>1</w:t>
            </w:r>
          </w:p>
        </w:tc>
        <w:tc>
          <w:tcPr>
            <w:tcW w:w="479" w:type="pct"/>
            <w:tcBorders>
              <w:top w:val="nil"/>
              <w:left w:val="single" w:sz="4" w:space="0" w:color="auto"/>
              <w:bottom w:val="nil"/>
              <w:right w:val="single" w:sz="4" w:space="0" w:color="auto"/>
            </w:tcBorders>
            <w:shd w:val="clear" w:color="auto" w:fill="auto"/>
            <w:noWrap/>
            <w:vAlign w:val="bottom"/>
            <w:hideMark/>
          </w:tcPr>
          <w:p w14:paraId="06BADC60" w14:textId="0A279EB8" w:rsidR="008B74EF" w:rsidRPr="004E74A6" w:rsidRDefault="008B74EF" w:rsidP="00CE62C1">
            <w:pPr>
              <w:spacing w:line="276" w:lineRule="auto"/>
              <w:jc w:val="center"/>
              <w:rPr>
                <w:rFonts w:cs="Calibri"/>
                <w:color w:val="000000"/>
                <w:sz w:val="20"/>
                <w:lang w:eastAsia="es-CR"/>
              </w:rPr>
            </w:pPr>
            <w:r w:rsidRPr="004E74A6">
              <w:rPr>
                <w:rFonts w:cs="Calibri"/>
                <w:color w:val="000000"/>
                <w:sz w:val="20"/>
              </w:rPr>
              <w:t>5</w:t>
            </w:r>
          </w:p>
        </w:tc>
        <w:tc>
          <w:tcPr>
            <w:tcW w:w="635" w:type="pct"/>
            <w:tcBorders>
              <w:top w:val="nil"/>
              <w:left w:val="single" w:sz="4" w:space="0" w:color="auto"/>
              <w:bottom w:val="nil"/>
              <w:right w:val="nil"/>
            </w:tcBorders>
            <w:shd w:val="clear" w:color="auto" w:fill="auto"/>
            <w:noWrap/>
            <w:vAlign w:val="bottom"/>
            <w:hideMark/>
          </w:tcPr>
          <w:p w14:paraId="49A50978" w14:textId="0E4CD28D" w:rsidR="008B74EF" w:rsidRPr="004E74A6" w:rsidRDefault="008B74EF" w:rsidP="00CE62C1">
            <w:pPr>
              <w:spacing w:line="276" w:lineRule="auto"/>
              <w:jc w:val="center"/>
              <w:rPr>
                <w:rFonts w:cs="Calibri"/>
                <w:color w:val="000000"/>
                <w:sz w:val="20"/>
                <w:lang w:eastAsia="es-CR"/>
              </w:rPr>
            </w:pPr>
            <w:r w:rsidRPr="004E74A6">
              <w:rPr>
                <w:rFonts w:cs="Calibri"/>
                <w:color w:val="000000"/>
                <w:sz w:val="20"/>
              </w:rPr>
              <w:t>2,0</w:t>
            </w:r>
          </w:p>
        </w:tc>
        <w:tc>
          <w:tcPr>
            <w:tcW w:w="1336" w:type="pct"/>
            <w:tcBorders>
              <w:top w:val="nil"/>
              <w:left w:val="single" w:sz="4" w:space="0" w:color="auto"/>
              <w:bottom w:val="nil"/>
              <w:right w:val="nil"/>
            </w:tcBorders>
            <w:vAlign w:val="bottom"/>
          </w:tcPr>
          <w:p w14:paraId="359CCFB7" w14:textId="653D6758" w:rsidR="008B74EF" w:rsidRPr="004E74A6" w:rsidRDefault="008B74EF" w:rsidP="00CE62C1">
            <w:pPr>
              <w:spacing w:line="276" w:lineRule="auto"/>
              <w:jc w:val="center"/>
              <w:rPr>
                <w:rFonts w:cs="Calibri"/>
                <w:color w:val="000000"/>
                <w:sz w:val="20"/>
              </w:rPr>
            </w:pPr>
            <w:r w:rsidRPr="004E74A6">
              <w:rPr>
                <w:rFonts w:cs="Calibri"/>
                <w:color w:val="000000"/>
                <w:sz w:val="20"/>
              </w:rPr>
              <w:t>83%</w:t>
            </w:r>
          </w:p>
        </w:tc>
      </w:tr>
      <w:tr w:rsidR="006E6922" w:rsidRPr="004E74A6" w14:paraId="4204677A" w14:textId="67980803" w:rsidTr="00193D21">
        <w:trPr>
          <w:trHeight w:val="274"/>
          <w:jc w:val="center"/>
        </w:trPr>
        <w:tc>
          <w:tcPr>
            <w:tcW w:w="1592" w:type="pct"/>
            <w:tcBorders>
              <w:top w:val="nil"/>
              <w:left w:val="nil"/>
              <w:bottom w:val="nil"/>
              <w:right w:val="single" w:sz="4" w:space="0" w:color="auto"/>
            </w:tcBorders>
            <w:shd w:val="clear" w:color="auto" w:fill="auto"/>
            <w:noWrap/>
            <w:vAlign w:val="bottom"/>
            <w:hideMark/>
          </w:tcPr>
          <w:p w14:paraId="6A672326" w14:textId="77777777" w:rsidR="008B74EF" w:rsidRPr="004E74A6" w:rsidRDefault="008B74EF" w:rsidP="00CE62C1">
            <w:pPr>
              <w:spacing w:line="276" w:lineRule="auto"/>
              <w:jc w:val="left"/>
              <w:rPr>
                <w:rFonts w:cs="Calibri"/>
                <w:color w:val="000000"/>
                <w:sz w:val="20"/>
                <w:lang w:eastAsia="es-CR"/>
              </w:rPr>
            </w:pPr>
            <w:r w:rsidRPr="004E74A6">
              <w:rPr>
                <w:rFonts w:cs="Calibri"/>
                <w:color w:val="000000"/>
                <w:sz w:val="20"/>
                <w:lang w:eastAsia="es-CR"/>
              </w:rPr>
              <w:t>De ¢70.000.001 A ¢75.000.000</w:t>
            </w:r>
          </w:p>
        </w:tc>
        <w:tc>
          <w:tcPr>
            <w:tcW w:w="479" w:type="pct"/>
            <w:tcBorders>
              <w:top w:val="nil"/>
              <w:left w:val="single" w:sz="4" w:space="0" w:color="auto"/>
              <w:bottom w:val="nil"/>
              <w:right w:val="single" w:sz="4" w:space="0" w:color="auto"/>
            </w:tcBorders>
            <w:shd w:val="clear" w:color="auto" w:fill="auto"/>
            <w:noWrap/>
            <w:vAlign w:val="bottom"/>
            <w:hideMark/>
          </w:tcPr>
          <w:p w14:paraId="11BC5AA0" w14:textId="1ABA90E9" w:rsidR="008B74EF" w:rsidRPr="004E74A6" w:rsidRDefault="008B74EF" w:rsidP="00CE62C1">
            <w:pPr>
              <w:spacing w:line="276" w:lineRule="auto"/>
              <w:jc w:val="center"/>
              <w:rPr>
                <w:rFonts w:cs="Calibri"/>
                <w:color w:val="000000"/>
                <w:sz w:val="20"/>
                <w:lang w:eastAsia="es-CR"/>
              </w:rPr>
            </w:pPr>
            <w:r w:rsidRPr="004E74A6">
              <w:rPr>
                <w:rFonts w:cs="Calibri"/>
                <w:color w:val="000000"/>
                <w:sz w:val="20"/>
              </w:rPr>
              <w:t>1</w:t>
            </w:r>
          </w:p>
        </w:tc>
        <w:tc>
          <w:tcPr>
            <w:tcW w:w="479" w:type="pct"/>
            <w:tcBorders>
              <w:top w:val="nil"/>
              <w:left w:val="single" w:sz="4" w:space="0" w:color="auto"/>
              <w:bottom w:val="nil"/>
              <w:right w:val="single" w:sz="4" w:space="0" w:color="auto"/>
            </w:tcBorders>
            <w:shd w:val="clear" w:color="auto" w:fill="auto"/>
            <w:noWrap/>
            <w:vAlign w:val="bottom"/>
            <w:hideMark/>
          </w:tcPr>
          <w:p w14:paraId="01ED5C3C" w14:textId="3671A35D" w:rsidR="008B74EF" w:rsidRPr="004E74A6" w:rsidRDefault="008B74EF" w:rsidP="00CE62C1">
            <w:pPr>
              <w:spacing w:line="276" w:lineRule="auto"/>
              <w:jc w:val="center"/>
              <w:rPr>
                <w:rFonts w:cs="Calibri"/>
                <w:color w:val="000000"/>
                <w:sz w:val="20"/>
                <w:lang w:eastAsia="es-CR"/>
              </w:rPr>
            </w:pPr>
            <w:r w:rsidRPr="004E74A6">
              <w:rPr>
                <w:rFonts w:cs="Calibri"/>
                <w:color w:val="000000"/>
                <w:sz w:val="20"/>
              </w:rPr>
              <w:t>2</w:t>
            </w:r>
          </w:p>
        </w:tc>
        <w:tc>
          <w:tcPr>
            <w:tcW w:w="479" w:type="pct"/>
            <w:tcBorders>
              <w:top w:val="nil"/>
              <w:left w:val="single" w:sz="4" w:space="0" w:color="auto"/>
              <w:bottom w:val="nil"/>
              <w:right w:val="single" w:sz="4" w:space="0" w:color="auto"/>
            </w:tcBorders>
            <w:shd w:val="clear" w:color="auto" w:fill="auto"/>
            <w:noWrap/>
            <w:vAlign w:val="bottom"/>
            <w:hideMark/>
          </w:tcPr>
          <w:p w14:paraId="09F80E71" w14:textId="2F7F6037" w:rsidR="008B74EF" w:rsidRPr="004E74A6" w:rsidRDefault="008B74EF" w:rsidP="00CE62C1">
            <w:pPr>
              <w:spacing w:line="276" w:lineRule="auto"/>
              <w:jc w:val="center"/>
              <w:rPr>
                <w:rFonts w:cs="Calibri"/>
                <w:color w:val="000000"/>
                <w:sz w:val="20"/>
                <w:lang w:eastAsia="es-CR"/>
              </w:rPr>
            </w:pPr>
            <w:r w:rsidRPr="004E74A6">
              <w:rPr>
                <w:rFonts w:cs="Calibri"/>
                <w:color w:val="000000"/>
                <w:sz w:val="20"/>
              </w:rPr>
              <w:t>2</w:t>
            </w:r>
          </w:p>
        </w:tc>
        <w:tc>
          <w:tcPr>
            <w:tcW w:w="635" w:type="pct"/>
            <w:tcBorders>
              <w:top w:val="nil"/>
              <w:left w:val="single" w:sz="4" w:space="0" w:color="auto"/>
              <w:bottom w:val="nil"/>
              <w:right w:val="nil"/>
            </w:tcBorders>
            <w:shd w:val="clear" w:color="auto" w:fill="auto"/>
            <w:noWrap/>
            <w:vAlign w:val="bottom"/>
            <w:hideMark/>
          </w:tcPr>
          <w:p w14:paraId="0C4EB1B7" w14:textId="05DA7F38" w:rsidR="008B74EF" w:rsidRPr="004E74A6" w:rsidRDefault="008B74EF" w:rsidP="00CE62C1">
            <w:pPr>
              <w:spacing w:line="276" w:lineRule="auto"/>
              <w:jc w:val="center"/>
              <w:rPr>
                <w:rFonts w:cs="Calibri"/>
                <w:color w:val="000000"/>
                <w:sz w:val="20"/>
                <w:lang w:eastAsia="es-CR"/>
              </w:rPr>
            </w:pPr>
            <w:r w:rsidRPr="004E74A6">
              <w:rPr>
                <w:rFonts w:cs="Calibri"/>
                <w:color w:val="000000"/>
                <w:sz w:val="20"/>
              </w:rPr>
              <w:t>1,7</w:t>
            </w:r>
          </w:p>
        </w:tc>
        <w:tc>
          <w:tcPr>
            <w:tcW w:w="1336" w:type="pct"/>
            <w:tcBorders>
              <w:top w:val="nil"/>
              <w:left w:val="single" w:sz="4" w:space="0" w:color="auto"/>
              <w:bottom w:val="nil"/>
              <w:right w:val="nil"/>
            </w:tcBorders>
            <w:vAlign w:val="bottom"/>
          </w:tcPr>
          <w:p w14:paraId="4E7851DA" w14:textId="7FB2927A" w:rsidR="008B74EF" w:rsidRPr="004E74A6" w:rsidRDefault="008B74EF" w:rsidP="00CE62C1">
            <w:pPr>
              <w:spacing w:line="276" w:lineRule="auto"/>
              <w:jc w:val="center"/>
              <w:rPr>
                <w:rFonts w:cs="Calibri"/>
                <w:color w:val="000000"/>
                <w:sz w:val="20"/>
              </w:rPr>
            </w:pPr>
            <w:r w:rsidRPr="004E74A6">
              <w:rPr>
                <w:rFonts w:cs="Calibri"/>
                <w:color w:val="000000"/>
                <w:sz w:val="20"/>
              </w:rPr>
              <w:t>84%</w:t>
            </w:r>
          </w:p>
        </w:tc>
      </w:tr>
      <w:tr w:rsidR="006E6922" w:rsidRPr="004E74A6" w14:paraId="069873CD" w14:textId="091B2298" w:rsidTr="00193D21">
        <w:trPr>
          <w:trHeight w:val="274"/>
          <w:jc w:val="center"/>
        </w:trPr>
        <w:tc>
          <w:tcPr>
            <w:tcW w:w="1592" w:type="pct"/>
            <w:tcBorders>
              <w:top w:val="nil"/>
              <w:left w:val="nil"/>
              <w:bottom w:val="nil"/>
              <w:right w:val="single" w:sz="4" w:space="0" w:color="auto"/>
            </w:tcBorders>
            <w:shd w:val="clear" w:color="auto" w:fill="auto"/>
            <w:noWrap/>
            <w:vAlign w:val="bottom"/>
            <w:hideMark/>
          </w:tcPr>
          <w:p w14:paraId="3E029222" w14:textId="77777777" w:rsidR="008B74EF" w:rsidRPr="004E74A6" w:rsidRDefault="008B74EF" w:rsidP="00CE62C1">
            <w:pPr>
              <w:spacing w:line="276" w:lineRule="auto"/>
              <w:jc w:val="left"/>
              <w:rPr>
                <w:rFonts w:cs="Calibri"/>
                <w:color w:val="000000"/>
                <w:sz w:val="20"/>
                <w:lang w:eastAsia="es-CR"/>
              </w:rPr>
            </w:pPr>
            <w:r w:rsidRPr="004E74A6">
              <w:rPr>
                <w:rFonts w:cs="Calibri"/>
                <w:color w:val="000000"/>
                <w:sz w:val="20"/>
                <w:lang w:eastAsia="es-CR"/>
              </w:rPr>
              <w:t>De ¢75.000.001 A ¢80.000.000</w:t>
            </w:r>
          </w:p>
        </w:tc>
        <w:tc>
          <w:tcPr>
            <w:tcW w:w="479" w:type="pct"/>
            <w:tcBorders>
              <w:top w:val="nil"/>
              <w:left w:val="single" w:sz="4" w:space="0" w:color="auto"/>
              <w:bottom w:val="nil"/>
              <w:right w:val="single" w:sz="4" w:space="0" w:color="auto"/>
            </w:tcBorders>
            <w:shd w:val="clear" w:color="auto" w:fill="auto"/>
            <w:noWrap/>
            <w:vAlign w:val="bottom"/>
            <w:hideMark/>
          </w:tcPr>
          <w:p w14:paraId="03ACFAFF" w14:textId="3B62898A" w:rsidR="008B74EF" w:rsidRPr="004E74A6" w:rsidRDefault="008B74EF" w:rsidP="00CE62C1">
            <w:pPr>
              <w:spacing w:line="276" w:lineRule="auto"/>
              <w:jc w:val="center"/>
              <w:rPr>
                <w:rFonts w:cs="Calibri"/>
                <w:color w:val="000000"/>
                <w:sz w:val="20"/>
                <w:lang w:eastAsia="es-CR"/>
              </w:rPr>
            </w:pPr>
            <w:r w:rsidRPr="004E74A6">
              <w:rPr>
                <w:rFonts w:cs="Calibri"/>
                <w:color w:val="000000"/>
                <w:sz w:val="20"/>
              </w:rPr>
              <w:t>1</w:t>
            </w:r>
          </w:p>
        </w:tc>
        <w:tc>
          <w:tcPr>
            <w:tcW w:w="479" w:type="pct"/>
            <w:tcBorders>
              <w:top w:val="nil"/>
              <w:left w:val="single" w:sz="4" w:space="0" w:color="auto"/>
              <w:bottom w:val="nil"/>
              <w:right w:val="single" w:sz="4" w:space="0" w:color="auto"/>
            </w:tcBorders>
            <w:shd w:val="clear" w:color="auto" w:fill="auto"/>
            <w:noWrap/>
            <w:vAlign w:val="bottom"/>
            <w:hideMark/>
          </w:tcPr>
          <w:p w14:paraId="1E25B78B" w14:textId="08768C6A" w:rsidR="008B74EF" w:rsidRPr="004E74A6" w:rsidRDefault="008B74EF" w:rsidP="00CE62C1">
            <w:pPr>
              <w:spacing w:line="276" w:lineRule="auto"/>
              <w:jc w:val="center"/>
              <w:rPr>
                <w:rFonts w:cs="Calibri"/>
                <w:color w:val="000000"/>
                <w:sz w:val="20"/>
                <w:lang w:eastAsia="es-CR"/>
              </w:rPr>
            </w:pPr>
            <w:r w:rsidRPr="004E74A6">
              <w:rPr>
                <w:rFonts w:cs="Calibri"/>
                <w:color w:val="000000"/>
                <w:sz w:val="20"/>
              </w:rPr>
              <w:t>4</w:t>
            </w:r>
          </w:p>
        </w:tc>
        <w:tc>
          <w:tcPr>
            <w:tcW w:w="479" w:type="pct"/>
            <w:tcBorders>
              <w:top w:val="nil"/>
              <w:left w:val="single" w:sz="4" w:space="0" w:color="auto"/>
              <w:bottom w:val="nil"/>
              <w:right w:val="single" w:sz="4" w:space="0" w:color="auto"/>
            </w:tcBorders>
            <w:shd w:val="clear" w:color="auto" w:fill="auto"/>
            <w:noWrap/>
            <w:vAlign w:val="bottom"/>
            <w:hideMark/>
          </w:tcPr>
          <w:p w14:paraId="27FF1E19" w14:textId="52B2303E" w:rsidR="008B74EF" w:rsidRPr="004E74A6" w:rsidRDefault="008B74EF" w:rsidP="00CE62C1">
            <w:pPr>
              <w:spacing w:line="276" w:lineRule="auto"/>
              <w:jc w:val="center"/>
              <w:rPr>
                <w:rFonts w:cs="Calibri"/>
                <w:color w:val="000000"/>
                <w:sz w:val="20"/>
                <w:lang w:eastAsia="es-CR"/>
              </w:rPr>
            </w:pPr>
            <w:r w:rsidRPr="004E74A6">
              <w:rPr>
                <w:rFonts w:cs="Calibri"/>
                <w:color w:val="000000"/>
                <w:sz w:val="20"/>
              </w:rPr>
              <w:t>2</w:t>
            </w:r>
          </w:p>
        </w:tc>
        <w:tc>
          <w:tcPr>
            <w:tcW w:w="635" w:type="pct"/>
            <w:tcBorders>
              <w:top w:val="nil"/>
              <w:left w:val="single" w:sz="4" w:space="0" w:color="auto"/>
              <w:bottom w:val="nil"/>
              <w:right w:val="nil"/>
            </w:tcBorders>
            <w:shd w:val="clear" w:color="auto" w:fill="auto"/>
            <w:noWrap/>
            <w:vAlign w:val="bottom"/>
            <w:hideMark/>
          </w:tcPr>
          <w:p w14:paraId="01326D51" w14:textId="0728E1B6" w:rsidR="008B74EF" w:rsidRPr="004E74A6" w:rsidRDefault="008B74EF" w:rsidP="00CE62C1">
            <w:pPr>
              <w:spacing w:line="276" w:lineRule="auto"/>
              <w:jc w:val="center"/>
              <w:rPr>
                <w:rFonts w:cs="Calibri"/>
                <w:color w:val="000000"/>
                <w:sz w:val="20"/>
                <w:lang w:eastAsia="es-CR"/>
              </w:rPr>
            </w:pPr>
            <w:r w:rsidRPr="004E74A6">
              <w:rPr>
                <w:rFonts w:cs="Calibri"/>
                <w:color w:val="000000"/>
                <w:sz w:val="20"/>
              </w:rPr>
              <w:t>2,3</w:t>
            </w:r>
          </w:p>
        </w:tc>
        <w:tc>
          <w:tcPr>
            <w:tcW w:w="1336" w:type="pct"/>
            <w:tcBorders>
              <w:top w:val="nil"/>
              <w:left w:val="single" w:sz="4" w:space="0" w:color="auto"/>
              <w:bottom w:val="nil"/>
              <w:right w:val="nil"/>
            </w:tcBorders>
            <w:vAlign w:val="bottom"/>
          </w:tcPr>
          <w:p w14:paraId="710AE34E" w14:textId="00AA47AA" w:rsidR="008B74EF" w:rsidRPr="004E74A6" w:rsidRDefault="008B74EF" w:rsidP="00CE62C1">
            <w:pPr>
              <w:spacing w:line="276" w:lineRule="auto"/>
              <w:jc w:val="center"/>
              <w:rPr>
                <w:rFonts w:cs="Calibri"/>
                <w:color w:val="000000"/>
                <w:sz w:val="20"/>
              </w:rPr>
            </w:pPr>
            <w:r w:rsidRPr="004E74A6">
              <w:rPr>
                <w:rFonts w:cs="Calibri"/>
                <w:color w:val="000000"/>
                <w:sz w:val="20"/>
              </w:rPr>
              <w:t>86%</w:t>
            </w:r>
          </w:p>
        </w:tc>
      </w:tr>
      <w:tr w:rsidR="006E6922" w:rsidRPr="004E74A6" w14:paraId="2A67A96D" w14:textId="2B686A7D" w:rsidTr="00193D21">
        <w:trPr>
          <w:trHeight w:val="274"/>
          <w:jc w:val="center"/>
        </w:trPr>
        <w:tc>
          <w:tcPr>
            <w:tcW w:w="1592" w:type="pct"/>
            <w:tcBorders>
              <w:top w:val="nil"/>
              <w:left w:val="nil"/>
              <w:bottom w:val="nil"/>
              <w:right w:val="single" w:sz="4" w:space="0" w:color="auto"/>
            </w:tcBorders>
            <w:shd w:val="clear" w:color="auto" w:fill="auto"/>
            <w:noWrap/>
            <w:vAlign w:val="bottom"/>
            <w:hideMark/>
          </w:tcPr>
          <w:p w14:paraId="219F3BDE" w14:textId="77777777" w:rsidR="008B74EF" w:rsidRPr="004E74A6" w:rsidRDefault="008B74EF" w:rsidP="00CE62C1">
            <w:pPr>
              <w:spacing w:line="276" w:lineRule="auto"/>
              <w:jc w:val="left"/>
              <w:rPr>
                <w:rFonts w:cs="Calibri"/>
                <w:color w:val="000000"/>
                <w:sz w:val="20"/>
                <w:lang w:eastAsia="es-CR"/>
              </w:rPr>
            </w:pPr>
            <w:r w:rsidRPr="004E74A6">
              <w:rPr>
                <w:rFonts w:cs="Calibri"/>
                <w:color w:val="000000"/>
                <w:sz w:val="20"/>
                <w:lang w:eastAsia="es-CR"/>
              </w:rPr>
              <w:t>De ¢80.000.001 A ¢85.000.000</w:t>
            </w:r>
          </w:p>
        </w:tc>
        <w:tc>
          <w:tcPr>
            <w:tcW w:w="479" w:type="pct"/>
            <w:tcBorders>
              <w:top w:val="nil"/>
              <w:left w:val="single" w:sz="4" w:space="0" w:color="auto"/>
              <w:bottom w:val="nil"/>
              <w:right w:val="single" w:sz="4" w:space="0" w:color="auto"/>
            </w:tcBorders>
            <w:shd w:val="clear" w:color="auto" w:fill="auto"/>
            <w:noWrap/>
            <w:vAlign w:val="bottom"/>
            <w:hideMark/>
          </w:tcPr>
          <w:p w14:paraId="74C8820E" w14:textId="4667B1B9" w:rsidR="008B74EF" w:rsidRPr="004E74A6" w:rsidRDefault="008B74EF" w:rsidP="00CE62C1">
            <w:pPr>
              <w:spacing w:line="276" w:lineRule="auto"/>
              <w:jc w:val="center"/>
              <w:rPr>
                <w:rFonts w:cs="Calibri"/>
                <w:color w:val="000000"/>
                <w:sz w:val="20"/>
                <w:lang w:eastAsia="es-CR"/>
              </w:rPr>
            </w:pPr>
            <w:r w:rsidRPr="004E74A6">
              <w:rPr>
                <w:rFonts w:cs="Calibri"/>
                <w:color w:val="000000"/>
                <w:sz w:val="20"/>
              </w:rPr>
              <w:t>0</w:t>
            </w:r>
          </w:p>
        </w:tc>
        <w:tc>
          <w:tcPr>
            <w:tcW w:w="479" w:type="pct"/>
            <w:tcBorders>
              <w:top w:val="nil"/>
              <w:left w:val="single" w:sz="4" w:space="0" w:color="auto"/>
              <w:bottom w:val="nil"/>
              <w:right w:val="single" w:sz="4" w:space="0" w:color="auto"/>
            </w:tcBorders>
            <w:shd w:val="clear" w:color="auto" w:fill="auto"/>
            <w:noWrap/>
            <w:vAlign w:val="bottom"/>
            <w:hideMark/>
          </w:tcPr>
          <w:p w14:paraId="4B323BCC" w14:textId="1319DF4D" w:rsidR="008B74EF" w:rsidRPr="004E74A6" w:rsidRDefault="008B74EF" w:rsidP="00CE62C1">
            <w:pPr>
              <w:spacing w:line="276" w:lineRule="auto"/>
              <w:jc w:val="center"/>
              <w:rPr>
                <w:sz w:val="20"/>
                <w:lang w:eastAsia="es-CR"/>
              </w:rPr>
            </w:pPr>
            <w:r w:rsidRPr="004E74A6">
              <w:rPr>
                <w:rFonts w:cs="Calibri"/>
                <w:color w:val="000000"/>
                <w:sz w:val="20"/>
              </w:rPr>
              <w:t>0</w:t>
            </w:r>
          </w:p>
        </w:tc>
        <w:tc>
          <w:tcPr>
            <w:tcW w:w="479" w:type="pct"/>
            <w:tcBorders>
              <w:top w:val="nil"/>
              <w:left w:val="single" w:sz="4" w:space="0" w:color="auto"/>
              <w:bottom w:val="nil"/>
              <w:right w:val="single" w:sz="4" w:space="0" w:color="auto"/>
            </w:tcBorders>
            <w:shd w:val="clear" w:color="auto" w:fill="auto"/>
            <w:noWrap/>
            <w:vAlign w:val="bottom"/>
            <w:hideMark/>
          </w:tcPr>
          <w:p w14:paraId="612CE822" w14:textId="05C22F65" w:rsidR="008B74EF" w:rsidRPr="004E74A6" w:rsidRDefault="008B74EF" w:rsidP="00CE62C1">
            <w:pPr>
              <w:spacing w:line="276" w:lineRule="auto"/>
              <w:jc w:val="center"/>
              <w:rPr>
                <w:rFonts w:cs="Calibri"/>
                <w:color w:val="000000"/>
                <w:sz w:val="20"/>
                <w:lang w:eastAsia="es-CR"/>
              </w:rPr>
            </w:pPr>
            <w:r w:rsidRPr="004E74A6">
              <w:rPr>
                <w:rFonts w:cs="Calibri"/>
                <w:color w:val="000000"/>
                <w:sz w:val="20"/>
              </w:rPr>
              <w:t>3</w:t>
            </w:r>
          </w:p>
        </w:tc>
        <w:tc>
          <w:tcPr>
            <w:tcW w:w="635" w:type="pct"/>
            <w:tcBorders>
              <w:top w:val="nil"/>
              <w:left w:val="single" w:sz="4" w:space="0" w:color="auto"/>
              <w:bottom w:val="nil"/>
              <w:right w:val="nil"/>
            </w:tcBorders>
            <w:shd w:val="clear" w:color="auto" w:fill="auto"/>
            <w:noWrap/>
            <w:vAlign w:val="bottom"/>
            <w:hideMark/>
          </w:tcPr>
          <w:p w14:paraId="12D25731" w14:textId="06D0A2CF" w:rsidR="008B74EF" w:rsidRPr="004E74A6" w:rsidRDefault="008B74EF" w:rsidP="00CE62C1">
            <w:pPr>
              <w:spacing w:line="276" w:lineRule="auto"/>
              <w:jc w:val="center"/>
              <w:rPr>
                <w:rFonts w:cs="Calibri"/>
                <w:color w:val="000000"/>
                <w:sz w:val="20"/>
                <w:lang w:eastAsia="es-CR"/>
              </w:rPr>
            </w:pPr>
            <w:r w:rsidRPr="004E74A6">
              <w:rPr>
                <w:rFonts w:cs="Calibri"/>
                <w:color w:val="000000"/>
                <w:sz w:val="20"/>
              </w:rPr>
              <w:t>1,0</w:t>
            </w:r>
          </w:p>
        </w:tc>
        <w:tc>
          <w:tcPr>
            <w:tcW w:w="1336" w:type="pct"/>
            <w:tcBorders>
              <w:top w:val="nil"/>
              <w:left w:val="single" w:sz="4" w:space="0" w:color="auto"/>
              <w:bottom w:val="nil"/>
              <w:right w:val="nil"/>
            </w:tcBorders>
            <w:vAlign w:val="bottom"/>
          </w:tcPr>
          <w:p w14:paraId="5FCA08DD" w14:textId="1F8BE342" w:rsidR="008B74EF" w:rsidRPr="004E74A6" w:rsidRDefault="008B74EF" w:rsidP="00CE62C1">
            <w:pPr>
              <w:spacing w:line="276" w:lineRule="auto"/>
              <w:jc w:val="center"/>
              <w:rPr>
                <w:rFonts w:cs="Calibri"/>
                <w:color w:val="000000"/>
                <w:sz w:val="20"/>
              </w:rPr>
            </w:pPr>
            <w:r w:rsidRPr="004E74A6">
              <w:rPr>
                <w:rFonts w:cs="Calibri"/>
                <w:color w:val="000000"/>
                <w:sz w:val="20"/>
              </w:rPr>
              <w:t>86%</w:t>
            </w:r>
          </w:p>
        </w:tc>
      </w:tr>
      <w:tr w:rsidR="006E6922" w:rsidRPr="004E74A6" w14:paraId="2F567BAB" w14:textId="47CD88EB" w:rsidTr="00193D21">
        <w:trPr>
          <w:trHeight w:val="274"/>
          <w:jc w:val="center"/>
        </w:trPr>
        <w:tc>
          <w:tcPr>
            <w:tcW w:w="1592" w:type="pct"/>
            <w:tcBorders>
              <w:top w:val="nil"/>
              <w:left w:val="nil"/>
              <w:bottom w:val="nil"/>
              <w:right w:val="single" w:sz="4" w:space="0" w:color="auto"/>
            </w:tcBorders>
            <w:shd w:val="clear" w:color="auto" w:fill="auto"/>
            <w:noWrap/>
            <w:vAlign w:val="bottom"/>
            <w:hideMark/>
          </w:tcPr>
          <w:p w14:paraId="65DB7E08" w14:textId="77777777" w:rsidR="008B74EF" w:rsidRPr="004E74A6" w:rsidRDefault="008B74EF" w:rsidP="00CE62C1">
            <w:pPr>
              <w:spacing w:line="276" w:lineRule="auto"/>
              <w:jc w:val="left"/>
              <w:rPr>
                <w:rFonts w:cs="Calibri"/>
                <w:color w:val="000000"/>
                <w:sz w:val="20"/>
                <w:lang w:eastAsia="es-CR"/>
              </w:rPr>
            </w:pPr>
            <w:r w:rsidRPr="004E74A6">
              <w:rPr>
                <w:rFonts w:cs="Calibri"/>
                <w:color w:val="000000"/>
                <w:sz w:val="20"/>
                <w:lang w:eastAsia="es-CR"/>
              </w:rPr>
              <w:t>De ¢85.000.001 A ¢90.000.000</w:t>
            </w:r>
          </w:p>
        </w:tc>
        <w:tc>
          <w:tcPr>
            <w:tcW w:w="479" w:type="pct"/>
            <w:tcBorders>
              <w:top w:val="nil"/>
              <w:left w:val="single" w:sz="4" w:space="0" w:color="auto"/>
              <w:bottom w:val="nil"/>
              <w:right w:val="single" w:sz="4" w:space="0" w:color="auto"/>
            </w:tcBorders>
            <w:shd w:val="clear" w:color="auto" w:fill="auto"/>
            <w:noWrap/>
            <w:vAlign w:val="bottom"/>
            <w:hideMark/>
          </w:tcPr>
          <w:p w14:paraId="307EE507" w14:textId="36D027E0" w:rsidR="008B74EF" w:rsidRPr="004E74A6" w:rsidRDefault="008B74EF" w:rsidP="00CE62C1">
            <w:pPr>
              <w:spacing w:line="276" w:lineRule="auto"/>
              <w:jc w:val="center"/>
              <w:rPr>
                <w:rFonts w:cs="Calibri"/>
                <w:color w:val="000000"/>
                <w:sz w:val="20"/>
                <w:lang w:eastAsia="es-CR"/>
              </w:rPr>
            </w:pPr>
            <w:r w:rsidRPr="004E74A6">
              <w:rPr>
                <w:rFonts w:cs="Calibri"/>
                <w:color w:val="000000"/>
                <w:sz w:val="20"/>
              </w:rPr>
              <w:t>2</w:t>
            </w:r>
          </w:p>
        </w:tc>
        <w:tc>
          <w:tcPr>
            <w:tcW w:w="479" w:type="pct"/>
            <w:tcBorders>
              <w:top w:val="nil"/>
              <w:left w:val="single" w:sz="4" w:space="0" w:color="auto"/>
              <w:bottom w:val="nil"/>
              <w:right w:val="single" w:sz="4" w:space="0" w:color="auto"/>
            </w:tcBorders>
            <w:shd w:val="clear" w:color="auto" w:fill="auto"/>
            <w:noWrap/>
            <w:vAlign w:val="bottom"/>
            <w:hideMark/>
          </w:tcPr>
          <w:p w14:paraId="0F251B82" w14:textId="2AE5D1FF" w:rsidR="008B74EF" w:rsidRPr="004E74A6" w:rsidRDefault="008B74EF" w:rsidP="00CE62C1">
            <w:pPr>
              <w:spacing w:line="276" w:lineRule="auto"/>
              <w:jc w:val="center"/>
              <w:rPr>
                <w:rFonts w:cs="Calibri"/>
                <w:color w:val="000000"/>
                <w:sz w:val="20"/>
                <w:lang w:eastAsia="es-CR"/>
              </w:rPr>
            </w:pPr>
            <w:r w:rsidRPr="004E74A6">
              <w:rPr>
                <w:rFonts w:cs="Calibri"/>
                <w:color w:val="000000"/>
                <w:sz w:val="20"/>
              </w:rPr>
              <w:t>1</w:t>
            </w:r>
          </w:p>
        </w:tc>
        <w:tc>
          <w:tcPr>
            <w:tcW w:w="479" w:type="pct"/>
            <w:tcBorders>
              <w:top w:val="nil"/>
              <w:left w:val="single" w:sz="4" w:space="0" w:color="auto"/>
              <w:bottom w:val="nil"/>
              <w:right w:val="single" w:sz="4" w:space="0" w:color="auto"/>
            </w:tcBorders>
            <w:shd w:val="clear" w:color="auto" w:fill="auto"/>
            <w:noWrap/>
            <w:vAlign w:val="bottom"/>
            <w:hideMark/>
          </w:tcPr>
          <w:p w14:paraId="1D9CF52A" w14:textId="550A19B2" w:rsidR="008B74EF" w:rsidRPr="004E74A6" w:rsidRDefault="008B74EF" w:rsidP="00CE62C1">
            <w:pPr>
              <w:spacing w:line="276" w:lineRule="auto"/>
              <w:jc w:val="center"/>
              <w:rPr>
                <w:rFonts w:cs="Calibri"/>
                <w:color w:val="000000"/>
                <w:sz w:val="20"/>
                <w:lang w:eastAsia="es-CR"/>
              </w:rPr>
            </w:pPr>
            <w:r w:rsidRPr="004E74A6">
              <w:rPr>
                <w:rFonts w:cs="Calibri"/>
                <w:color w:val="000000"/>
                <w:sz w:val="20"/>
              </w:rPr>
              <w:t>1</w:t>
            </w:r>
          </w:p>
        </w:tc>
        <w:tc>
          <w:tcPr>
            <w:tcW w:w="635" w:type="pct"/>
            <w:tcBorders>
              <w:top w:val="nil"/>
              <w:left w:val="single" w:sz="4" w:space="0" w:color="auto"/>
              <w:bottom w:val="nil"/>
              <w:right w:val="nil"/>
            </w:tcBorders>
            <w:shd w:val="clear" w:color="auto" w:fill="auto"/>
            <w:noWrap/>
            <w:vAlign w:val="bottom"/>
            <w:hideMark/>
          </w:tcPr>
          <w:p w14:paraId="297602CF" w14:textId="3937F937" w:rsidR="008B74EF" w:rsidRPr="004E74A6" w:rsidRDefault="008B74EF" w:rsidP="00CE62C1">
            <w:pPr>
              <w:spacing w:line="276" w:lineRule="auto"/>
              <w:jc w:val="center"/>
              <w:rPr>
                <w:rFonts w:cs="Calibri"/>
                <w:color w:val="000000"/>
                <w:sz w:val="20"/>
                <w:lang w:eastAsia="es-CR"/>
              </w:rPr>
            </w:pPr>
            <w:r w:rsidRPr="004E74A6">
              <w:rPr>
                <w:rFonts w:cs="Calibri"/>
                <w:color w:val="000000"/>
                <w:sz w:val="20"/>
              </w:rPr>
              <w:t>1,3</w:t>
            </w:r>
          </w:p>
        </w:tc>
        <w:tc>
          <w:tcPr>
            <w:tcW w:w="1336" w:type="pct"/>
            <w:tcBorders>
              <w:top w:val="nil"/>
              <w:left w:val="single" w:sz="4" w:space="0" w:color="auto"/>
              <w:bottom w:val="nil"/>
              <w:right w:val="nil"/>
            </w:tcBorders>
            <w:vAlign w:val="bottom"/>
          </w:tcPr>
          <w:p w14:paraId="330A831A" w14:textId="549A0BAE" w:rsidR="008B74EF" w:rsidRPr="004E74A6" w:rsidRDefault="008B74EF" w:rsidP="00CE62C1">
            <w:pPr>
              <w:spacing w:line="276" w:lineRule="auto"/>
              <w:jc w:val="center"/>
              <w:rPr>
                <w:rFonts w:cs="Calibri"/>
                <w:color w:val="000000"/>
                <w:sz w:val="20"/>
              </w:rPr>
            </w:pPr>
            <w:r w:rsidRPr="004E74A6">
              <w:rPr>
                <w:rFonts w:cs="Calibri"/>
                <w:color w:val="000000"/>
                <w:sz w:val="20"/>
              </w:rPr>
              <w:t>87%</w:t>
            </w:r>
          </w:p>
        </w:tc>
      </w:tr>
      <w:tr w:rsidR="006E6922" w:rsidRPr="004E74A6" w14:paraId="2A0EBD8C" w14:textId="26EF246C" w:rsidTr="00193D21">
        <w:trPr>
          <w:trHeight w:val="274"/>
          <w:jc w:val="center"/>
        </w:trPr>
        <w:tc>
          <w:tcPr>
            <w:tcW w:w="1592" w:type="pct"/>
            <w:tcBorders>
              <w:top w:val="nil"/>
              <w:left w:val="nil"/>
              <w:bottom w:val="nil"/>
              <w:right w:val="single" w:sz="4" w:space="0" w:color="auto"/>
            </w:tcBorders>
            <w:shd w:val="clear" w:color="auto" w:fill="auto"/>
            <w:noWrap/>
            <w:vAlign w:val="bottom"/>
            <w:hideMark/>
          </w:tcPr>
          <w:p w14:paraId="23D31901" w14:textId="77777777" w:rsidR="008B74EF" w:rsidRPr="004E74A6" w:rsidRDefault="008B74EF" w:rsidP="00CE62C1">
            <w:pPr>
              <w:spacing w:line="276" w:lineRule="auto"/>
              <w:jc w:val="left"/>
              <w:rPr>
                <w:rFonts w:cs="Calibri"/>
                <w:color w:val="000000"/>
                <w:sz w:val="20"/>
                <w:lang w:eastAsia="es-CR"/>
              </w:rPr>
            </w:pPr>
            <w:r w:rsidRPr="004E74A6">
              <w:rPr>
                <w:rFonts w:cs="Calibri"/>
                <w:color w:val="000000"/>
                <w:sz w:val="20"/>
                <w:lang w:eastAsia="es-CR"/>
              </w:rPr>
              <w:t>De ¢90.000.001 A ¢95.000.000</w:t>
            </w:r>
          </w:p>
        </w:tc>
        <w:tc>
          <w:tcPr>
            <w:tcW w:w="479" w:type="pct"/>
            <w:tcBorders>
              <w:top w:val="nil"/>
              <w:left w:val="single" w:sz="4" w:space="0" w:color="auto"/>
              <w:bottom w:val="nil"/>
              <w:right w:val="single" w:sz="4" w:space="0" w:color="auto"/>
            </w:tcBorders>
            <w:shd w:val="clear" w:color="auto" w:fill="auto"/>
            <w:noWrap/>
            <w:vAlign w:val="bottom"/>
            <w:hideMark/>
          </w:tcPr>
          <w:p w14:paraId="7472F295" w14:textId="16F38966" w:rsidR="008B74EF" w:rsidRPr="004E74A6" w:rsidRDefault="008B74EF" w:rsidP="00CE62C1">
            <w:pPr>
              <w:spacing w:line="276" w:lineRule="auto"/>
              <w:jc w:val="center"/>
              <w:rPr>
                <w:rFonts w:cs="Calibri"/>
                <w:color w:val="000000"/>
                <w:sz w:val="20"/>
                <w:lang w:eastAsia="es-CR"/>
              </w:rPr>
            </w:pPr>
            <w:r w:rsidRPr="004E74A6">
              <w:rPr>
                <w:rFonts w:cs="Calibri"/>
                <w:color w:val="000000"/>
                <w:sz w:val="20"/>
              </w:rPr>
              <w:t>1</w:t>
            </w:r>
          </w:p>
        </w:tc>
        <w:tc>
          <w:tcPr>
            <w:tcW w:w="479" w:type="pct"/>
            <w:tcBorders>
              <w:top w:val="nil"/>
              <w:left w:val="single" w:sz="4" w:space="0" w:color="auto"/>
              <w:bottom w:val="nil"/>
              <w:right w:val="single" w:sz="4" w:space="0" w:color="auto"/>
            </w:tcBorders>
            <w:shd w:val="clear" w:color="auto" w:fill="auto"/>
            <w:noWrap/>
            <w:vAlign w:val="bottom"/>
            <w:hideMark/>
          </w:tcPr>
          <w:p w14:paraId="78D1394F" w14:textId="17EAD1B8" w:rsidR="008B74EF" w:rsidRPr="004E74A6" w:rsidRDefault="008B74EF" w:rsidP="00CE62C1">
            <w:pPr>
              <w:spacing w:line="276" w:lineRule="auto"/>
              <w:jc w:val="center"/>
              <w:rPr>
                <w:rFonts w:cs="Calibri"/>
                <w:color w:val="000000"/>
                <w:sz w:val="20"/>
                <w:lang w:eastAsia="es-CR"/>
              </w:rPr>
            </w:pPr>
            <w:r w:rsidRPr="004E74A6">
              <w:rPr>
                <w:rFonts w:cs="Calibri"/>
                <w:color w:val="000000"/>
                <w:sz w:val="20"/>
              </w:rPr>
              <w:t>0</w:t>
            </w:r>
          </w:p>
        </w:tc>
        <w:tc>
          <w:tcPr>
            <w:tcW w:w="479" w:type="pct"/>
            <w:tcBorders>
              <w:top w:val="nil"/>
              <w:left w:val="single" w:sz="4" w:space="0" w:color="auto"/>
              <w:bottom w:val="nil"/>
              <w:right w:val="single" w:sz="4" w:space="0" w:color="auto"/>
            </w:tcBorders>
            <w:shd w:val="clear" w:color="auto" w:fill="auto"/>
            <w:noWrap/>
            <w:vAlign w:val="bottom"/>
            <w:hideMark/>
          </w:tcPr>
          <w:p w14:paraId="0D907D38" w14:textId="267C3425" w:rsidR="008B74EF" w:rsidRPr="004E74A6" w:rsidRDefault="008B74EF" w:rsidP="00CE62C1">
            <w:pPr>
              <w:spacing w:line="276" w:lineRule="auto"/>
              <w:jc w:val="center"/>
              <w:rPr>
                <w:sz w:val="20"/>
                <w:lang w:eastAsia="es-CR"/>
              </w:rPr>
            </w:pPr>
            <w:r w:rsidRPr="004E74A6">
              <w:rPr>
                <w:rFonts w:cs="Calibri"/>
                <w:color w:val="000000"/>
                <w:sz w:val="20"/>
              </w:rPr>
              <w:t>0</w:t>
            </w:r>
          </w:p>
        </w:tc>
        <w:tc>
          <w:tcPr>
            <w:tcW w:w="635" w:type="pct"/>
            <w:tcBorders>
              <w:top w:val="nil"/>
              <w:left w:val="single" w:sz="4" w:space="0" w:color="auto"/>
              <w:bottom w:val="nil"/>
              <w:right w:val="nil"/>
            </w:tcBorders>
            <w:shd w:val="clear" w:color="auto" w:fill="auto"/>
            <w:noWrap/>
            <w:vAlign w:val="bottom"/>
            <w:hideMark/>
          </w:tcPr>
          <w:p w14:paraId="7B208802" w14:textId="6070EF0D" w:rsidR="008B74EF" w:rsidRPr="004E74A6" w:rsidRDefault="008B74EF" w:rsidP="00CE62C1">
            <w:pPr>
              <w:spacing w:line="276" w:lineRule="auto"/>
              <w:jc w:val="center"/>
              <w:rPr>
                <w:rFonts w:cs="Calibri"/>
                <w:color w:val="000000"/>
                <w:sz w:val="20"/>
                <w:lang w:eastAsia="es-CR"/>
              </w:rPr>
            </w:pPr>
            <w:r w:rsidRPr="004E74A6">
              <w:rPr>
                <w:rFonts w:cs="Calibri"/>
                <w:color w:val="000000"/>
                <w:sz w:val="20"/>
              </w:rPr>
              <w:t>0,3</w:t>
            </w:r>
          </w:p>
        </w:tc>
        <w:tc>
          <w:tcPr>
            <w:tcW w:w="1336" w:type="pct"/>
            <w:tcBorders>
              <w:top w:val="nil"/>
              <w:left w:val="single" w:sz="4" w:space="0" w:color="auto"/>
              <w:bottom w:val="nil"/>
              <w:right w:val="nil"/>
            </w:tcBorders>
            <w:vAlign w:val="bottom"/>
          </w:tcPr>
          <w:p w14:paraId="3F550A7E" w14:textId="34BEFA1A" w:rsidR="008B74EF" w:rsidRPr="004E74A6" w:rsidRDefault="008B74EF" w:rsidP="00CE62C1">
            <w:pPr>
              <w:spacing w:line="276" w:lineRule="auto"/>
              <w:jc w:val="center"/>
              <w:rPr>
                <w:rFonts w:cs="Calibri"/>
                <w:color w:val="000000"/>
                <w:sz w:val="20"/>
              </w:rPr>
            </w:pPr>
            <w:r w:rsidRPr="004E74A6">
              <w:rPr>
                <w:rFonts w:cs="Calibri"/>
                <w:color w:val="000000"/>
                <w:sz w:val="20"/>
              </w:rPr>
              <w:t>88%</w:t>
            </w:r>
          </w:p>
        </w:tc>
      </w:tr>
      <w:tr w:rsidR="006E6922" w:rsidRPr="004E74A6" w14:paraId="3D08EB10" w14:textId="3A48F2B0" w:rsidTr="00193D21">
        <w:trPr>
          <w:trHeight w:val="274"/>
          <w:jc w:val="center"/>
        </w:trPr>
        <w:tc>
          <w:tcPr>
            <w:tcW w:w="1592" w:type="pct"/>
            <w:tcBorders>
              <w:top w:val="nil"/>
              <w:left w:val="nil"/>
              <w:bottom w:val="nil"/>
              <w:right w:val="single" w:sz="4" w:space="0" w:color="auto"/>
            </w:tcBorders>
            <w:shd w:val="clear" w:color="auto" w:fill="auto"/>
            <w:noWrap/>
            <w:vAlign w:val="bottom"/>
            <w:hideMark/>
          </w:tcPr>
          <w:p w14:paraId="128A716A" w14:textId="77777777" w:rsidR="008B74EF" w:rsidRPr="004E74A6" w:rsidRDefault="008B74EF" w:rsidP="00CE62C1">
            <w:pPr>
              <w:spacing w:line="276" w:lineRule="auto"/>
              <w:jc w:val="left"/>
              <w:rPr>
                <w:rFonts w:cs="Calibri"/>
                <w:color w:val="000000"/>
                <w:sz w:val="20"/>
                <w:lang w:eastAsia="es-CR"/>
              </w:rPr>
            </w:pPr>
            <w:r w:rsidRPr="004E74A6">
              <w:rPr>
                <w:rFonts w:cs="Calibri"/>
                <w:color w:val="000000"/>
                <w:sz w:val="20"/>
                <w:lang w:eastAsia="es-CR"/>
              </w:rPr>
              <w:t>De ¢95.000.001 A ¢100.000.000</w:t>
            </w:r>
          </w:p>
        </w:tc>
        <w:tc>
          <w:tcPr>
            <w:tcW w:w="479" w:type="pct"/>
            <w:tcBorders>
              <w:top w:val="nil"/>
              <w:left w:val="single" w:sz="4" w:space="0" w:color="auto"/>
              <w:bottom w:val="nil"/>
              <w:right w:val="single" w:sz="4" w:space="0" w:color="auto"/>
            </w:tcBorders>
            <w:shd w:val="clear" w:color="auto" w:fill="auto"/>
            <w:noWrap/>
            <w:vAlign w:val="bottom"/>
            <w:hideMark/>
          </w:tcPr>
          <w:p w14:paraId="642DA2E8" w14:textId="108973B5" w:rsidR="008B74EF" w:rsidRPr="004E74A6" w:rsidRDefault="008B74EF" w:rsidP="00CE62C1">
            <w:pPr>
              <w:spacing w:line="276" w:lineRule="auto"/>
              <w:jc w:val="center"/>
              <w:rPr>
                <w:rFonts w:cs="Calibri"/>
                <w:color w:val="000000"/>
                <w:sz w:val="20"/>
                <w:lang w:eastAsia="es-CR"/>
              </w:rPr>
            </w:pPr>
            <w:r w:rsidRPr="004E74A6">
              <w:rPr>
                <w:rFonts w:cs="Calibri"/>
                <w:color w:val="000000"/>
                <w:sz w:val="20"/>
              </w:rPr>
              <w:t>1</w:t>
            </w:r>
          </w:p>
        </w:tc>
        <w:tc>
          <w:tcPr>
            <w:tcW w:w="479" w:type="pct"/>
            <w:tcBorders>
              <w:top w:val="nil"/>
              <w:left w:val="single" w:sz="4" w:space="0" w:color="auto"/>
              <w:bottom w:val="nil"/>
              <w:right w:val="single" w:sz="4" w:space="0" w:color="auto"/>
            </w:tcBorders>
            <w:shd w:val="clear" w:color="auto" w:fill="auto"/>
            <w:noWrap/>
            <w:vAlign w:val="bottom"/>
            <w:hideMark/>
          </w:tcPr>
          <w:p w14:paraId="45CF8F59" w14:textId="2324ECF4" w:rsidR="008B74EF" w:rsidRPr="004E74A6" w:rsidRDefault="008B74EF" w:rsidP="00CE62C1">
            <w:pPr>
              <w:spacing w:line="276" w:lineRule="auto"/>
              <w:jc w:val="center"/>
              <w:rPr>
                <w:rFonts w:cs="Calibri"/>
                <w:color w:val="000000"/>
                <w:sz w:val="20"/>
                <w:lang w:eastAsia="es-CR"/>
              </w:rPr>
            </w:pPr>
            <w:r w:rsidRPr="004E74A6">
              <w:rPr>
                <w:rFonts w:cs="Calibri"/>
                <w:color w:val="000000"/>
                <w:sz w:val="20"/>
              </w:rPr>
              <w:t>1</w:t>
            </w:r>
          </w:p>
        </w:tc>
        <w:tc>
          <w:tcPr>
            <w:tcW w:w="479" w:type="pct"/>
            <w:tcBorders>
              <w:top w:val="nil"/>
              <w:left w:val="single" w:sz="4" w:space="0" w:color="auto"/>
              <w:bottom w:val="nil"/>
              <w:right w:val="single" w:sz="4" w:space="0" w:color="auto"/>
            </w:tcBorders>
            <w:shd w:val="clear" w:color="auto" w:fill="auto"/>
            <w:noWrap/>
            <w:vAlign w:val="bottom"/>
            <w:hideMark/>
          </w:tcPr>
          <w:p w14:paraId="46BB26D8" w14:textId="3EF41AC5" w:rsidR="008B74EF" w:rsidRPr="004E74A6" w:rsidRDefault="008B74EF" w:rsidP="00CE62C1">
            <w:pPr>
              <w:spacing w:line="276" w:lineRule="auto"/>
              <w:jc w:val="center"/>
              <w:rPr>
                <w:rFonts w:cs="Calibri"/>
                <w:color w:val="000000"/>
                <w:sz w:val="20"/>
                <w:lang w:eastAsia="es-CR"/>
              </w:rPr>
            </w:pPr>
            <w:r w:rsidRPr="004E74A6">
              <w:rPr>
                <w:rFonts w:cs="Calibri"/>
                <w:color w:val="000000"/>
                <w:sz w:val="20"/>
              </w:rPr>
              <w:t>1</w:t>
            </w:r>
          </w:p>
        </w:tc>
        <w:tc>
          <w:tcPr>
            <w:tcW w:w="635" w:type="pct"/>
            <w:tcBorders>
              <w:top w:val="nil"/>
              <w:left w:val="single" w:sz="4" w:space="0" w:color="auto"/>
              <w:bottom w:val="nil"/>
              <w:right w:val="nil"/>
            </w:tcBorders>
            <w:shd w:val="clear" w:color="auto" w:fill="auto"/>
            <w:noWrap/>
            <w:vAlign w:val="bottom"/>
            <w:hideMark/>
          </w:tcPr>
          <w:p w14:paraId="14CDFA52" w14:textId="50300089" w:rsidR="008B74EF" w:rsidRPr="004E74A6" w:rsidRDefault="008B74EF" w:rsidP="00CE62C1">
            <w:pPr>
              <w:spacing w:line="276" w:lineRule="auto"/>
              <w:jc w:val="center"/>
              <w:rPr>
                <w:rFonts w:cs="Calibri"/>
                <w:color w:val="000000"/>
                <w:sz w:val="20"/>
                <w:lang w:eastAsia="es-CR"/>
              </w:rPr>
            </w:pPr>
            <w:r w:rsidRPr="004E74A6">
              <w:rPr>
                <w:rFonts w:cs="Calibri"/>
                <w:color w:val="000000"/>
                <w:sz w:val="20"/>
              </w:rPr>
              <w:t>1,0</w:t>
            </w:r>
          </w:p>
        </w:tc>
        <w:tc>
          <w:tcPr>
            <w:tcW w:w="1336" w:type="pct"/>
            <w:tcBorders>
              <w:top w:val="nil"/>
              <w:left w:val="single" w:sz="4" w:space="0" w:color="auto"/>
              <w:bottom w:val="nil"/>
              <w:right w:val="nil"/>
            </w:tcBorders>
            <w:vAlign w:val="bottom"/>
          </w:tcPr>
          <w:p w14:paraId="1B930CB3" w14:textId="1D8D7830" w:rsidR="008B74EF" w:rsidRPr="004E74A6" w:rsidRDefault="008B74EF" w:rsidP="00CE62C1">
            <w:pPr>
              <w:spacing w:line="276" w:lineRule="auto"/>
              <w:jc w:val="center"/>
              <w:rPr>
                <w:rFonts w:cs="Calibri"/>
                <w:color w:val="000000"/>
                <w:sz w:val="20"/>
              </w:rPr>
            </w:pPr>
            <w:r w:rsidRPr="004E74A6">
              <w:rPr>
                <w:rFonts w:cs="Calibri"/>
                <w:color w:val="000000"/>
                <w:sz w:val="20"/>
              </w:rPr>
              <w:t>88%</w:t>
            </w:r>
          </w:p>
        </w:tc>
      </w:tr>
      <w:tr w:rsidR="006E6922" w:rsidRPr="004E74A6" w14:paraId="077CFF32" w14:textId="2D34E81C" w:rsidTr="00193D21">
        <w:trPr>
          <w:trHeight w:val="274"/>
          <w:jc w:val="center"/>
        </w:trPr>
        <w:tc>
          <w:tcPr>
            <w:tcW w:w="1592" w:type="pct"/>
            <w:tcBorders>
              <w:top w:val="nil"/>
              <w:left w:val="nil"/>
              <w:bottom w:val="nil"/>
              <w:right w:val="single" w:sz="4" w:space="0" w:color="auto"/>
            </w:tcBorders>
            <w:shd w:val="clear" w:color="auto" w:fill="auto"/>
            <w:noWrap/>
            <w:vAlign w:val="bottom"/>
            <w:hideMark/>
          </w:tcPr>
          <w:p w14:paraId="1A2EA566" w14:textId="77777777" w:rsidR="008B74EF" w:rsidRPr="004E74A6" w:rsidRDefault="008B74EF" w:rsidP="00CE62C1">
            <w:pPr>
              <w:spacing w:line="276" w:lineRule="auto"/>
              <w:jc w:val="left"/>
              <w:rPr>
                <w:rFonts w:cs="Calibri"/>
                <w:color w:val="000000"/>
                <w:sz w:val="20"/>
                <w:lang w:eastAsia="es-CR"/>
              </w:rPr>
            </w:pPr>
            <w:r w:rsidRPr="004E74A6">
              <w:rPr>
                <w:rFonts w:cs="Calibri"/>
                <w:color w:val="000000"/>
                <w:sz w:val="20"/>
                <w:lang w:eastAsia="es-CR"/>
              </w:rPr>
              <w:t>Más De ¢100.000.000</w:t>
            </w:r>
          </w:p>
        </w:tc>
        <w:tc>
          <w:tcPr>
            <w:tcW w:w="479" w:type="pct"/>
            <w:tcBorders>
              <w:top w:val="nil"/>
              <w:left w:val="single" w:sz="4" w:space="0" w:color="auto"/>
              <w:bottom w:val="nil"/>
              <w:right w:val="single" w:sz="4" w:space="0" w:color="auto"/>
            </w:tcBorders>
            <w:shd w:val="clear" w:color="auto" w:fill="auto"/>
            <w:noWrap/>
            <w:vAlign w:val="bottom"/>
            <w:hideMark/>
          </w:tcPr>
          <w:p w14:paraId="0A8BF2B4" w14:textId="52E9D1DB" w:rsidR="008B74EF" w:rsidRPr="004E74A6" w:rsidRDefault="008B74EF" w:rsidP="00CE62C1">
            <w:pPr>
              <w:spacing w:line="276" w:lineRule="auto"/>
              <w:jc w:val="center"/>
              <w:rPr>
                <w:rFonts w:cs="Calibri"/>
                <w:color w:val="000000"/>
                <w:sz w:val="20"/>
                <w:lang w:eastAsia="es-CR"/>
              </w:rPr>
            </w:pPr>
            <w:r w:rsidRPr="004E74A6">
              <w:rPr>
                <w:rFonts w:cs="Calibri"/>
                <w:color w:val="000000"/>
                <w:sz w:val="20"/>
              </w:rPr>
              <w:t>8</w:t>
            </w:r>
          </w:p>
        </w:tc>
        <w:tc>
          <w:tcPr>
            <w:tcW w:w="479" w:type="pct"/>
            <w:tcBorders>
              <w:top w:val="nil"/>
              <w:left w:val="single" w:sz="4" w:space="0" w:color="auto"/>
              <w:bottom w:val="nil"/>
              <w:right w:val="single" w:sz="4" w:space="0" w:color="auto"/>
            </w:tcBorders>
            <w:shd w:val="clear" w:color="auto" w:fill="auto"/>
            <w:noWrap/>
            <w:vAlign w:val="bottom"/>
            <w:hideMark/>
          </w:tcPr>
          <w:p w14:paraId="35EAA328" w14:textId="6CD171E0" w:rsidR="008B74EF" w:rsidRPr="004E74A6" w:rsidRDefault="008B74EF" w:rsidP="00CE62C1">
            <w:pPr>
              <w:spacing w:line="276" w:lineRule="auto"/>
              <w:jc w:val="center"/>
              <w:rPr>
                <w:rFonts w:cs="Calibri"/>
                <w:color w:val="000000"/>
                <w:sz w:val="20"/>
                <w:lang w:eastAsia="es-CR"/>
              </w:rPr>
            </w:pPr>
            <w:r w:rsidRPr="004E74A6">
              <w:rPr>
                <w:rFonts w:cs="Calibri"/>
                <w:color w:val="000000"/>
                <w:sz w:val="20"/>
              </w:rPr>
              <w:t>16</w:t>
            </w:r>
          </w:p>
        </w:tc>
        <w:tc>
          <w:tcPr>
            <w:tcW w:w="479" w:type="pct"/>
            <w:tcBorders>
              <w:top w:val="nil"/>
              <w:left w:val="single" w:sz="4" w:space="0" w:color="auto"/>
              <w:bottom w:val="nil"/>
              <w:right w:val="single" w:sz="4" w:space="0" w:color="auto"/>
            </w:tcBorders>
            <w:shd w:val="clear" w:color="auto" w:fill="auto"/>
            <w:noWrap/>
            <w:vAlign w:val="bottom"/>
            <w:hideMark/>
          </w:tcPr>
          <w:p w14:paraId="0581FF1D" w14:textId="42BD792C" w:rsidR="008B74EF" w:rsidRPr="004E74A6" w:rsidRDefault="008B74EF" w:rsidP="00CE62C1">
            <w:pPr>
              <w:spacing w:line="276" w:lineRule="auto"/>
              <w:jc w:val="center"/>
              <w:rPr>
                <w:rFonts w:cs="Calibri"/>
                <w:color w:val="000000"/>
                <w:sz w:val="20"/>
                <w:lang w:eastAsia="es-CR"/>
              </w:rPr>
            </w:pPr>
            <w:r w:rsidRPr="004E74A6">
              <w:rPr>
                <w:rFonts w:cs="Calibri"/>
                <w:color w:val="000000"/>
                <w:sz w:val="20"/>
              </w:rPr>
              <w:t>19</w:t>
            </w:r>
          </w:p>
        </w:tc>
        <w:tc>
          <w:tcPr>
            <w:tcW w:w="635" w:type="pct"/>
            <w:tcBorders>
              <w:top w:val="nil"/>
              <w:left w:val="single" w:sz="4" w:space="0" w:color="auto"/>
              <w:bottom w:val="nil"/>
              <w:right w:val="nil"/>
            </w:tcBorders>
            <w:shd w:val="clear" w:color="auto" w:fill="auto"/>
            <w:noWrap/>
            <w:vAlign w:val="bottom"/>
            <w:hideMark/>
          </w:tcPr>
          <w:p w14:paraId="6724BD3F" w14:textId="6138BF8F" w:rsidR="008B74EF" w:rsidRPr="004E74A6" w:rsidRDefault="008B74EF" w:rsidP="00CE62C1">
            <w:pPr>
              <w:spacing w:line="276" w:lineRule="auto"/>
              <w:jc w:val="center"/>
              <w:rPr>
                <w:rFonts w:cs="Calibri"/>
                <w:color w:val="000000"/>
                <w:sz w:val="20"/>
                <w:lang w:eastAsia="es-CR"/>
              </w:rPr>
            </w:pPr>
            <w:r w:rsidRPr="004E74A6">
              <w:rPr>
                <w:rFonts w:cs="Calibri"/>
                <w:color w:val="000000"/>
                <w:sz w:val="20"/>
              </w:rPr>
              <w:t>14,3</w:t>
            </w:r>
          </w:p>
        </w:tc>
        <w:tc>
          <w:tcPr>
            <w:tcW w:w="1336" w:type="pct"/>
            <w:tcBorders>
              <w:top w:val="nil"/>
              <w:left w:val="single" w:sz="4" w:space="0" w:color="auto"/>
              <w:bottom w:val="nil"/>
              <w:right w:val="nil"/>
            </w:tcBorders>
            <w:vAlign w:val="bottom"/>
          </w:tcPr>
          <w:p w14:paraId="61B95762" w14:textId="57487A84" w:rsidR="008B74EF" w:rsidRPr="004E74A6" w:rsidRDefault="008B74EF" w:rsidP="00CE62C1">
            <w:pPr>
              <w:spacing w:line="276" w:lineRule="auto"/>
              <w:jc w:val="center"/>
              <w:rPr>
                <w:rFonts w:cs="Calibri"/>
                <w:color w:val="000000"/>
                <w:sz w:val="20"/>
              </w:rPr>
            </w:pPr>
            <w:r w:rsidRPr="004E74A6">
              <w:rPr>
                <w:rFonts w:cs="Calibri"/>
                <w:color w:val="000000"/>
                <w:sz w:val="20"/>
              </w:rPr>
              <w:t>99%</w:t>
            </w:r>
          </w:p>
        </w:tc>
      </w:tr>
      <w:tr w:rsidR="006E6922" w:rsidRPr="004E74A6" w14:paraId="5416CD0A" w14:textId="7F5150C8" w:rsidTr="00193D21">
        <w:trPr>
          <w:trHeight w:val="274"/>
          <w:jc w:val="center"/>
        </w:trPr>
        <w:tc>
          <w:tcPr>
            <w:tcW w:w="1592" w:type="pct"/>
            <w:tcBorders>
              <w:top w:val="nil"/>
              <w:left w:val="nil"/>
              <w:bottom w:val="nil"/>
              <w:right w:val="single" w:sz="4" w:space="0" w:color="auto"/>
            </w:tcBorders>
            <w:shd w:val="clear" w:color="auto" w:fill="auto"/>
            <w:noWrap/>
            <w:vAlign w:val="bottom"/>
            <w:hideMark/>
          </w:tcPr>
          <w:p w14:paraId="6156C474" w14:textId="77777777" w:rsidR="008B74EF" w:rsidRPr="004E74A6" w:rsidRDefault="008B74EF" w:rsidP="00CE62C1">
            <w:pPr>
              <w:spacing w:line="276" w:lineRule="auto"/>
              <w:jc w:val="left"/>
              <w:rPr>
                <w:rFonts w:cs="Calibri"/>
                <w:color w:val="ED7D31" w:themeColor="accent2"/>
                <w:sz w:val="20"/>
                <w:lang w:eastAsia="es-CR"/>
              </w:rPr>
            </w:pPr>
            <w:r w:rsidRPr="004E74A6">
              <w:rPr>
                <w:rFonts w:cs="Calibri"/>
                <w:color w:val="ED7D31" w:themeColor="accent2"/>
                <w:sz w:val="20"/>
                <w:lang w:eastAsia="es-CR"/>
              </w:rPr>
              <w:t>Expedientes Cuantía Cero</w:t>
            </w:r>
          </w:p>
        </w:tc>
        <w:tc>
          <w:tcPr>
            <w:tcW w:w="479" w:type="pct"/>
            <w:tcBorders>
              <w:top w:val="nil"/>
              <w:left w:val="single" w:sz="4" w:space="0" w:color="auto"/>
              <w:bottom w:val="nil"/>
              <w:right w:val="single" w:sz="4" w:space="0" w:color="auto"/>
            </w:tcBorders>
            <w:shd w:val="clear" w:color="auto" w:fill="auto"/>
            <w:noWrap/>
            <w:vAlign w:val="bottom"/>
            <w:hideMark/>
          </w:tcPr>
          <w:p w14:paraId="58BB852F" w14:textId="4C29717B" w:rsidR="008B74EF" w:rsidRPr="004E74A6" w:rsidRDefault="008B74EF" w:rsidP="00CE62C1">
            <w:pPr>
              <w:spacing w:line="276" w:lineRule="auto"/>
              <w:jc w:val="center"/>
              <w:rPr>
                <w:rFonts w:cs="Calibri"/>
                <w:color w:val="ED7D31" w:themeColor="accent2"/>
                <w:sz w:val="20"/>
                <w:lang w:eastAsia="es-CR"/>
              </w:rPr>
            </w:pPr>
            <w:r w:rsidRPr="004E74A6">
              <w:rPr>
                <w:rFonts w:cs="Calibri"/>
                <w:color w:val="ED7D31" w:themeColor="accent2"/>
                <w:sz w:val="20"/>
              </w:rPr>
              <w:t>2</w:t>
            </w:r>
          </w:p>
        </w:tc>
        <w:tc>
          <w:tcPr>
            <w:tcW w:w="479" w:type="pct"/>
            <w:tcBorders>
              <w:top w:val="nil"/>
              <w:left w:val="single" w:sz="4" w:space="0" w:color="auto"/>
              <w:bottom w:val="nil"/>
              <w:right w:val="single" w:sz="4" w:space="0" w:color="auto"/>
            </w:tcBorders>
            <w:shd w:val="clear" w:color="auto" w:fill="auto"/>
            <w:noWrap/>
            <w:vAlign w:val="bottom"/>
            <w:hideMark/>
          </w:tcPr>
          <w:p w14:paraId="2CF13D42" w14:textId="4ED13F97" w:rsidR="008B74EF" w:rsidRPr="004E74A6" w:rsidRDefault="008B74EF" w:rsidP="00CE62C1">
            <w:pPr>
              <w:spacing w:line="276" w:lineRule="auto"/>
              <w:jc w:val="center"/>
              <w:rPr>
                <w:rFonts w:cs="Calibri"/>
                <w:color w:val="ED7D31" w:themeColor="accent2"/>
                <w:sz w:val="20"/>
                <w:lang w:eastAsia="es-CR"/>
              </w:rPr>
            </w:pPr>
            <w:r w:rsidRPr="004E74A6">
              <w:rPr>
                <w:rFonts w:cs="Calibri"/>
                <w:color w:val="ED7D31" w:themeColor="accent2"/>
                <w:sz w:val="20"/>
              </w:rPr>
              <w:t>3</w:t>
            </w:r>
          </w:p>
        </w:tc>
        <w:tc>
          <w:tcPr>
            <w:tcW w:w="479" w:type="pct"/>
            <w:tcBorders>
              <w:top w:val="nil"/>
              <w:left w:val="single" w:sz="4" w:space="0" w:color="auto"/>
              <w:bottom w:val="nil"/>
              <w:right w:val="single" w:sz="4" w:space="0" w:color="auto"/>
            </w:tcBorders>
            <w:shd w:val="clear" w:color="auto" w:fill="auto"/>
            <w:noWrap/>
            <w:vAlign w:val="bottom"/>
            <w:hideMark/>
          </w:tcPr>
          <w:p w14:paraId="3DC7D702" w14:textId="1D192321" w:rsidR="008B74EF" w:rsidRPr="004E74A6" w:rsidRDefault="008B74EF" w:rsidP="00CE62C1">
            <w:pPr>
              <w:spacing w:line="276" w:lineRule="auto"/>
              <w:jc w:val="center"/>
              <w:rPr>
                <w:rFonts w:cs="Calibri"/>
                <w:color w:val="ED7D31" w:themeColor="accent2"/>
                <w:sz w:val="20"/>
                <w:lang w:eastAsia="es-CR"/>
              </w:rPr>
            </w:pPr>
            <w:r w:rsidRPr="004E74A6">
              <w:rPr>
                <w:rFonts w:cs="Calibri"/>
                <w:color w:val="ED7D31" w:themeColor="accent2"/>
                <w:sz w:val="20"/>
              </w:rPr>
              <w:t>0</w:t>
            </w:r>
          </w:p>
        </w:tc>
        <w:tc>
          <w:tcPr>
            <w:tcW w:w="635" w:type="pct"/>
            <w:tcBorders>
              <w:top w:val="nil"/>
              <w:left w:val="single" w:sz="4" w:space="0" w:color="auto"/>
              <w:bottom w:val="nil"/>
              <w:right w:val="nil"/>
            </w:tcBorders>
            <w:shd w:val="clear" w:color="auto" w:fill="auto"/>
            <w:noWrap/>
            <w:vAlign w:val="bottom"/>
            <w:hideMark/>
          </w:tcPr>
          <w:p w14:paraId="36902CE3" w14:textId="1314D8DB" w:rsidR="008B74EF" w:rsidRPr="004E74A6" w:rsidRDefault="008B74EF" w:rsidP="00CE62C1">
            <w:pPr>
              <w:spacing w:line="276" w:lineRule="auto"/>
              <w:jc w:val="center"/>
              <w:rPr>
                <w:rFonts w:cs="Calibri"/>
                <w:color w:val="ED7D31" w:themeColor="accent2"/>
                <w:sz w:val="20"/>
                <w:lang w:eastAsia="es-CR"/>
              </w:rPr>
            </w:pPr>
            <w:r w:rsidRPr="004E74A6">
              <w:rPr>
                <w:rFonts w:cs="Calibri"/>
                <w:color w:val="ED7D31" w:themeColor="accent2"/>
                <w:sz w:val="20"/>
              </w:rPr>
              <w:t>1,7</w:t>
            </w:r>
          </w:p>
        </w:tc>
        <w:tc>
          <w:tcPr>
            <w:tcW w:w="1336" w:type="pct"/>
            <w:tcBorders>
              <w:top w:val="nil"/>
              <w:left w:val="single" w:sz="4" w:space="0" w:color="auto"/>
              <w:bottom w:val="nil"/>
              <w:right w:val="nil"/>
            </w:tcBorders>
            <w:shd w:val="clear" w:color="auto" w:fill="auto"/>
            <w:vAlign w:val="bottom"/>
          </w:tcPr>
          <w:p w14:paraId="6D94F5C0" w14:textId="1290F2D2" w:rsidR="008B74EF" w:rsidRPr="004E74A6" w:rsidRDefault="008B74EF" w:rsidP="00CE62C1">
            <w:pPr>
              <w:spacing w:line="276" w:lineRule="auto"/>
              <w:jc w:val="center"/>
              <w:rPr>
                <w:rFonts w:cs="Calibri"/>
                <w:color w:val="ED7D31" w:themeColor="accent2"/>
                <w:sz w:val="20"/>
              </w:rPr>
            </w:pPr>
            <w:r w:rsidRPr="004E74A6">
              <w:rPr>
                <w:rFonts w:cs="Calibri"/>
                <w:color w:val="ED7D31" w:themeColor="accent2"/>
                <w:sz w:val="20"/>
              </w:rPr>
              <w:t>100%</w:t>
            </w:r>
          </w:p>
        </w:tc>
      </w:tr>
      <w:tr w:rsidR="006E6922" w:rsidRPr="004E74A6" w14:paraId="0E516E83" w14:textId="6A0CAA62" w:rsidTr="00193D21">
        <w:trPr>
          <w:trHeight w:val="80"/>
          <w:jc w:val="center"/>
        </w:trPr>
        <w:tc>
          <w:tcPr>
            <w:tcW w:w="1592" w:type="pct"/>
            <w:tcBorders>
              <w:top w:val="nil"/>
              <w:left w:val="nil"/>
              <w:bottom w:val="single" w:sz="4" w:space="0" w:color="auto"/>
              <w:right w:val="single" w:sz="4" w:space="0" w:color="auto"/>
            </w:tcBorders>
            <w:shd w:val="clear" w:color="auto" w:fill="auto"/>
            <w:noWrap/>
            <w:vAlign w:val="bottom"/>
          </w:tcPr>
          <w:p w14:paraId="0C57986B" w14:textId="77777777" w:rsidR="008B74EF" w:rsidRPr="004E74A6" w:rsidRDefault="008B74EF" w:rsidP="00CE62C1">
            <w:pPr>
              <w:spacing w:line="276" w:lineRule="auto"/>
              <w:jc w:val="left"/>
              <w:rPr>
                <w:rFonts w:cs="Calibri"/>
                <w:color w:val="000000"/>
                <w:sz w:val="20"/>
                <w:lang w:eastAsia="es-CR"/>
              </w:rPr>
            </w:pPr>
          </w:p>
        </w:tc>
        <w:tc>
          <w:tcPr>
            <w:tcW w:w="479" w:type="pct"/>
            <w:tcBorders>
              <w:top w:val="nil"/>
              <w:left w:val="single" w:sz="4" w:space="0" w:color="auto"/>
              <w:bottom w:val="single" w:sz="4" w:space="0" w:color="auto"/>
              <w:right w:val="single" w:sz="4" w:space="0" w:color="auto"/>
            </w:tcBorders>
            <w:shd w:val="clear" w:color="auto" w:fill="auto"/>
            <w:noWrap/>
            <w:vAlign w:val="center"/>
          </w:tcPr>
          <w:p w14:paraId="177EFD57" w14:textId="77777777" w:rsidR="008B74EF" w:rsidRPr="004E74A6" w:rsidRDefault="008B74EF" w:rsidP="00CE62C1">
            <w:pPr>
              <w:spacing w:line="276" w:lineRule="auto"/>
              <w:jc w:val="center"/>
              <w:rPr>
                <w:rFonts w:cs="Calibri"/>
                <w:color w:val="000000"/>
                <w:sz w:val="20"/>
                <w:lang w:eastAsia="es-CR"/>
              </w:rPr>
            </w:pPr>
          </w:p>
        </w:tc>
        <w:tc>
          <w:tcPr>
            <w:tcW w:w="479" w:type="pct"/>
            <w:tcBorders>
              <w:top w:val="nil"/>
              <w:left w:val="single" w:sz="4" w:space="0" w:color="auto"/>
              <w:bottom w:val="single" w:sz="4" w:space="0" w:color="auto"/>
              <w:right w:val="single" w:sz="4" w:space="0" w:color="auto"/>
            </w:tcBorders>
            <w:shd w:val="clear" w:color="auto" w:fill="auto"/>
            <w:noWrap/>
            <w:vAlign w:val="center"/>
          </w:tcPr>
          <w:p w14:paraId="7DC9BC7B" w14:textId="77777777" w:rsidR="008B74EF" w:rsidRPr="004E74A6" w:rsidRDefault="008B74EF" w:rsidP="00CE62C1">
            <w:pPr>
              <w:spacing w:line="276" w:lineRule="auto"/>
              <w:jc w:val="center"/>
              <w:rPr>
                <w:rFonts w:cs="Calibri"/>
                <w:color w:val="000000"/>
                <w:sz w:val="20"/>
                <w:lang w:eastAsia="es-CR"/>
              </w:rPr>
            </w:pPr>
          </w:p>
        </w:tc>
        <w:tc>
          <w:tcPr>
            <w:tcW w:w="479" w:type="pct"/>
            <w:tcBorders>
              <w:top w:val="nil"/>
              <w:left w:val="single" w:sz="4" w:space="0" w:color="auto"/>
              <w:bottom w:val="single" w:sz="4" w:space="0" w:color="auto"/>
              <w:right w:val="single" w:sz="4" w:space="0" w:color="auto"/>
            </w:tcBorders>
            <w:shd w:val="clear" w:color="auto" w:fill="auto"/>
            <w:noWrap/>
            <w:vAlign w:val="center"/>
          </w:tcPr>
          <w:p w14:paraId="3F50BEA2" w14:textId="77777777" w:rsidR="008B74EF" w:rsidRPr="004E74A6" w:rsidRDefault="008B74EF" w:rsidP="00CE62C1">
            <w:pPr>
              <w:spacing w:line="276" w:lineRule="auto"/>
              <w:jc w:val="center"/>
              <w:rPr>
                <w:rFonts w:cs="Calibri"/>
                <w:color w:val="000000"/>
                <w:sz w:val="20"/>
                <w:lang w:eastAsia="es-CR"/>
              </w:rPr>
            </w:pPr>
          </w:p>
        </w:tc>
        <w:tc>
          <w:tcPr>
            <w:tcW w:w="635" w:type="pct"/>
            <w:tcBorders>
              <w:top w:val="nil"/>
              <w:left w:val="single" w:sz="4" w:space="0" w:color="auto"/>
              <w:bottom w:val="single" w:sz="4" w:space="0" w:color="auto"/>
              <w:right w:val="nil"/>
            </w:tcBorders>
            <w:shd w:val="clear" w:color="auto" w:fill="auto"/>
            <w:noWrap/>
            <w:vAlign w:val="center"/>
          </w:tcPr>
          <w:p w14:paraId="17AE21C0" w14:textId="77777777" w:rsidR="008B74EF" w:rsidRPr="004E74A6" w:rsidRDefault="008B74EF" w:rsidP="00CE62C1">
            <w:pPr>
              <w:spacing w:line="276" w:lineRule="auto"/>
              <w:jc w:val="center"/>
              <w:rPr>
                <w:rFonts w:cs="Calibri"/>
                <w:color w:val="000000"/>
                <w:sz w:val="20"/>
                <w:lang w:eastAsia="es-CR"/>
              </w:rPr>
            </w:pPr>
          </w:p>
        </w:tc>
        <w:tc>
          <w:tcPr>
            <w:tcW w:w="1336" w:type="pct"/>
            <w:tcBorders>
              <w:top w:val="nil"/>
              <w:left w:val="single" w:sz="4" w:space="0" w:color="auto"/>
              <w:bottom w:val="single" w:sz="4" w:space="0" w:color="auto"/>
              <w:right w:val="nil"/>
            </w:tcBorders>
          </w:tcPr>
          <w:p w14:paraId="02F16FB6" w14:textId="77777777" w:rsidR="008B74EF" w:rsidRPr="004E74A6" w:rsidRDefault="008B74EF" w:rsidP="00CE62C1">
            <w:pPr>
              <w:spacing w:line="276" w:lineRule="auto"/>
              <w:jc w:val="center"/>
              <w:rPr>
                <w:rFonts w:cs="Calibri"/>
                <w:color w:val="000000"/>
                <w:sz w:val="20"/>
                <w:lang w:eastAsia="es-CR"/>
              </w:rPr>
            </w:pPr>
          </w:p>
        </w:tc>
      </w:tr>
    </w:tbl>
    <w:p w14:paraId="2BE8F447" w14:textId="77777777" w:rsidR="003E4755" w:rsidRPr="004E74A6" w:rsidRDefault="003E4755" w:rsidP="00832773">
      <w:pPr>
        <w:spacing w:line="276" w:lineRule="auto"/>
        <w:ind w:left="57" w:right="57"/>
        <w:rPr>
          <w:rFonts w:cs="Calibri"/>
          <w:i/>
          <w:iCs/>
          <w:color w:val="000000"/>
          <w:sz w:val="20"/>
          <w:lang w:eastAsia="es-CR"/>
        </w:rPr>
      </w:pPr>
      <w:r w:rsidRPr="004E74A6">
        <w:rPr>
          <w:rFonts w:cs="Calibri"/>
          <w:b/>
          <w:bCs/>
          <w:i/>
          <w:iCs/>
          <w:color w:val="000000"/>
          <w:sz w:val="20"/>
          <w:lang w:eastAsia="es-CR"/>
        </w:rPr>
        <w:t>Fuente</w:t>
      </w:r>
      <w:r w:rsidRPr="004E74A6">
        <w:rPr>
          <w:rFonts w:cs="Calibri"/>
          <w:i/>
          <w:iCs/>
          <w:color w:val="000000"/>
          <w:sz w:val="20"/>
          <w:lang w:eastAsia="es-CR"/>
        </w:rPr>
        <w:t>: Subproceso de Modernización Institucional con datos extraídos del sistema SIGMA, Dirección de Planificación.</w:t>
      </w:r>
    </w:p>
    <w:p w14:paraId="2050A032" w14:textId="77777777" w:rsidR="001D372F" w:rsidRPr="004E74A6" w:rsidRDefault="001D372F" w:rsidP="00CE62C1">
      <w:pPr>
        <w:spacing w:after="160" w:line="276" w:lineRule="auto"/>
        <w:rPr>
          <w:rFonts w:cs="Calibri"/>
          <w:color w:val="000000"/>
          <w:szCs w:val="24"/>
          <w:lang w:eastAsia="es-CR"/>
        </w:rPr>
      </w:pPr>
      <w:r w:rsidRPr="004E74A6">
        <w:rPr>
          <w:rFonts w:cs="Calibri"/>
          <w:color w:val="000000"/>
          <w:szCs w:val="24"/>
          <w:lang w:eastAsia="es-CR"/>
        </w:rPr>
        <w:lastRenderedPageBreak/>
        <w:t xml:space="preserve">Para el 2019 se reportaron 2 asuntos con el rango de cuantía </w:t>
      </w:r>
      <w:r w:rsidRPr="004E74A6">
        <w:rPr>
          <w:rFonts w:cs="Calibri"/>
          <w:i/>
          <w:iCs/>
          <w:color w:val="000000"/>
          <w:szCs w:val="24"/>
          <w:lang w:eastAsia="es-CR"/>
        </w:rPr>
        <w:t>“expedientes cuantía cero”</w:t>
      </w:r>
      <w:r w:rsidRPr="004E74A6">
        <w:rPr>
          <w:rFonts w:cs="Calibri"/>
          <w:color w:val="000000"/>
          <w:szCs w:val="24"/>
          <w:lang w:eastAsia="es-CR"/>
        </w:rPr>
        <w:t>, 3 en 2020 y 0 en 2021, eso sucedió porque el Tribunal indicó que el proceso era estimable pero no completó la opción de rango.</w:t>
      </w:r>
    </w:p>
    <w:p w14:paraId="332F9794" w14:textId="4965D65F" w:rsidR="00DC1B71" w:rsidRPr="004E74A6" w:rsidRDefault="00B92976" w:rsidP="00CE62C1">
      <w:pPr>
        <w:spacing w:after="160" w:line="276" w:lineRule="auto"/>
        <w:rPr>
          <w:rFonts w:cs="Calibri"/>
          <w:color w:val="000000"/>
          <w:szCs w:val="24"/>
          <w:lang w:eastAsia="es-CR"/>
        </w:rPr>
      </w:pPr>
      <w:r w:rsidRPr="004E74A6">
        <w:rPr>
          <w:rFonts w:cs="Calibri"/>
          <w:color w:val="000000"/>
          <w:szCs w:val="24"/>
          <w:lang w:eastAsia="es-CR"/>
        </w:rPr>
        <w:t xml:space="preserve">De elevarse cuantía según escenario A.1 este Tribunal perdería un </w:t>
      </w:r>
      <w:r w:rsidR="0015381D" w:rsidRPr="004E74A6">
        <w:rPr>
          <w:rFonts w:cs="Calibri"/>
          <w:color w:val="000000"/>
          <w:szCs w:val="24"/>
          <w:lang w:eastAsia="es-CR"/>
        </w:rPr>
        <w:t>51</w:t>
      </w:r>
      <w:r w:rsidR="00DF5FBE" w:rsidRPr="004E74A6">
        <w:rPr>
          <w:rFonts w:cs="Calibri"/>
          <w:color w:val="000000"/>
          <w:szCs w:val="24"/>
          <w:lang w:eastAsia="es-CR"/>
        </w:rPr>
        <w:t>%</w:t>
      </w:r>
      <w:r w:rsidR="00DC1B71" w:rsidRPr="004E74A6">
        <w:rPr>
          <w:rFonts w:cs="Calibri"/>
          <w:color w:val="000000"/>
          <w:szCs w:val="24"/>
          <w:lang w:eastAsia="es-CR"/>
        </w:rPr>
        <w:t xml:space="preserve"> de su entrada actual de asuntos ordinarios estimables que se trasladarían a conocimiento de los Juzgados Civiles y por ende </w:t>
      </w:r>
      <w:r w:rsidR="00DC1B71" w:rsidRPr="004E74A6">
        <w:rPr>
          <w:rFonts w:cs="Calibri"/>
          <w:b/>
          <w:bCs/>
          <w:color w:val="000000"/>
          <w:szCs w:val="24"/>
          <w:lang w:eastAsia="es-CR"/>
        </w:rPr>
        <w:t xml:space="preserve">las apelaciones de sentencia </w:t>
      </w:r>
      <w:r w:rsidR="00DC1B71" w:rsidRPr="004E74A6">
        <w:rPr>
          <w:rFonts w:cs="Calibri"/>
          <w:color w:val="000000"/>
          <w:szCs w:val="24"/>
          <w:lang w:eastAsia="es-CR"/>
        </w:rPr>
        <w:t xml:space="preserve">en esos procesos se conocerían en los Tribunales de Apelación.  </w:t>
      </w:r>
    </w:p>
    <w:p w14:paraId="43D6DABD" w14:textId="3A50835F" w:rsidR="00DC1B71" w:rsidRPr="004E74A6" w:rsidRDefault="00DC1B71" w:rsidP="00CE62C1">
      <w:pPr>
        <w:spacing w:after="160" w:line="276" w:lineRule="auto"/>
        <w:rPr>
          <w:rFonts w:cs="Calibri"/>
          <w:color w:val="000000"/>
          <w:szCs w:val="24"/>
          <w:lang w:eastAsia="es-CR"/>
        </w:rPr>
      </w:pPr>
      <w:r w:rsidRPr="004E74A6">
        <w:rPr>
          <w:rFonts w:cs="Calibri"/>
          <w:color w:val="000000"/>
          <w:szCs w:val="24"/>
          <w:lang w:eastAsia="es-CR"/>
        </w:rPr>
        <w:t xml:space="preserve">De elevarse cuantía según escenario A.2, no se modificaría la entrada de ordinarios, sino que el efecto sería en el recurso del que dispondrían las sentencias en los ordinarios estimados hasta en 20 millones de colones, </w:t>
      </w:r>
      <w:r w:rsidR="00306AEF" w:rsidRPr="004E74A6">
        <w:rPr>
          <w:rFonts w:cs="Calibri"/>
          <w:color w:val="000000"/>
          <w:szCs w:val="24"/>
          <w:lang w:eastAsia="es-CR"/>
        </w:rPr>
        <w:t>que,</w:t>
      </w:r>
      <w:r w:rsidRPr="004E74A6">
        <w:rPr>
          <w:rFonts w:cs="Calibri"/>
          <w:color w:val="000000"/>
          <w:szCs w:val="24"/>
          <w:lang w:eastAsia="es-CR"/>
        </w:rPr>
        <w:t xml:space="preserve"> pese a que se mantendrían en trámite en estos tribunales de primera instancia, dejarían de disponer recurso de casación ante la Sala Primera y pasarían a disponer únicamente de recurso de apelación ante el Tribunal de Apelación en Segunda Instancia.</w:t>
      </w:r>
    </w:p>
    <w:p w14:paraId="79D68D1C" w14:textId="77777777" w:rsidR="00662185" w:rsidRPr="004E74A6" w:rsidRDefault="00662185" w:rsidP="00CE62C1">
      <w:pPr>
        <w:spacing w:after="160" w:line="276" w:lineRule="auto"/>
        <w:rPr>
          <w:rFonts w:cs="Calibri"/>
          <w:color w:val="000000"/>
          <w:szCs w:val="24"/>
          <w:lang w:eastAsia="es-CR"/>
        </w:rPr>
      </w:pPr>
    </w:p>
    <w:p w14:paraId="609F6400" w14:textId="77777777" w:rsidR="008647ED" w:rsidRPr="004E74A6" w:rsidRDefault="008647ED" w:rsidP="00CE62C1">
      <w:pPr>
        <w:numPr>
          <w:ilvl w:val="2"/>
          <w:numId w:val="21"/>
        </w:numPr>
        <w:spacing w:after="160" w:line="276" w:lineRule="auto"/>
        <w:ind w:left="1225" w:hanging="505"/>
        <w:outlineLvl w:val="5"/>
        <w:rPr>
          <w:rFonts w:cs="Calibri"/>
          <w:color w:val="000000"/>
          <w:szCs w:val="24"/>
          <w:lang w:eastAsia="es-CR"/>
        </w:rPr>
      </w:pPr>
      <w:r w:rsidRPr="004E74A6">
        <w:rPr>
          <w:rFonts w:cs="Calibri"/>
          <w:color w:val="000000"/>
          <w:szCs w:val="24"/>
          <w:lang w:eastAsia="es-CR"/>
        </w:rPr>
        <w:t>Tribunal Colegiado Primera Instancia Civil Primer Circuito Judicial Guanacaste, Liberia</w:t>
      </w:r>
    </w:p>
    <w:p w14:paraId="7DD099B9" w14:textId="3A5BA1D7" w:rsidR="008647ED" w:rsidRPr="004E74A6" w:rsidRDefault="00504F7D" w:rsidP="00CE62C1">
      <w:pPr>
        <w:spacing w:after="160" w:line="276" w:lineRule="auto"/>
        <w:rPr>
          <w:rFonts w:cs="Calibri"/>
          <w:color w:val="000000"/>
          <w:szCs w:val="24"/>
          <w:lang w:eastAsia="es-CR"/>
        </w:rPr>
      </w:pPr>
      <w:r w:rsidRPr="004E74A6">
        <w:rPr>
          <w:rFonts w:cs="Calibri"/>
          <w:color w:val="000000"/>
          <w:szCs w:val="24"/>
          <w:lang w:eastAsia="es-CR"/>
        </w:rPr>
        <w:t xml:space="preserve">Para el caso de este Tribunal, según la tabla por tipo de carpeta principal representa el </w:t>
      </w:r>
      <w:r w:rsidR="008647ED" w:rsidRPr="004E74A6">
        <w:rPr>
          <w:rFonts w:cs="Calibri"/>
          <w:color w:val="000000"/>
          <w:szCs w:val="24"/>
          <w:lang w:eastAsia="es-CR"/>
        </w:rPr>
        <w:t>74,5% de los asuntos que ingresan y que presentó un ligero aumento en 2021 en relación con 2020.</w:t>
      </w:r>
    </w:p>
    <w:p w14:paraId="4D8FAB99" w14:textId="454117F5" w:rsidR="0055421A" w:rsidRPr="00832773" w:rsidRDefault="0055421A" w:rsidP="00F0204A">
      <w:pPr>
        <w:pStyle w:val="Descripcin"/>
        <w:keepNext/>
        <w:spacing w:line="276" w:lineRule="auto"/>
        <w:jc w:val="center"/>
        <w:rPr>
          <w:rFonts w:ascii="Book Antiqua" w:hAnsi="Book Antiqua"/>
          <w:i/>
          <w:iCs/>
          <w:sz w:val="20"/>
          <w:szCs w:val="16"/>
          <w:lang w:val="es-CR"/>
        </w:rPr>
      </w:pPr>
      <w:r w:rsidRPr="00832773">
        <w:rPr>
          <w:rFonts w:ascii="Book Antiqua" w:hAnsi="Book Antiqua"/>
          <w:i/>
          <w:iCs/>
          <w:sz w:val="20"/>
          <w:szCs w:val="16"/>
          <w:lang w:val="es-CR"/>
        </w:rPr>
        <w:t xml:space="preserve">Tabla </w:t>
      </w:r>
      <w:r w:rsidRPr="00832773">
        <w:rPr>
          <w:rFonts w:ascii="Book Antiqua" w:hAnsi="Book Antiqua"/>
          <w:i/>
          <w:iCs/>
          <w:sz w:val="20"/>
          <w:szCs w:val="16"/>
          <w:lang w:val="es-CR"/>
        </w:rPr>
        <w:fldChar w:fldCharType="begin"/>
      </w:r>
      <w:r w:rsidRPr="00832773">
        <w:rPr>
          <w:rFonts w:ascii="Book Antiqua" w:hAnsi="Book Antiqua"/>
          <w:i/>
          <w:iCs/>
          <w:sz w:val="20"/>
          <w:szCs w:val="16"/>
          <w:lang w:val="es-CR"/>
        </w:rPr>
        <w:instrText xml:space="preserve"> SEQ Tabla \* ARABIC </w:instrText>
      </w:r>
      <w:r w:rsidRPr="00832773">
        <w:rPr>
          <w:rFonts w:ascii="Book Antiqua" w:hAnsi="Book Antiqua"/>
          <w:i/>
          <w:iCs/>
          <w:sz w:val="20"/>
          <w:szCs w:val="16"/>
          <w:lang w:val="es-CR"/>
        </w:rPr>
        <w:fldChar w:fldCharType="separate"/>
      </w:r>
      <w:r w:rsidR="00374B51">
        <w:rPr>
          <w:rFonts w:ascii="Book Antiqua" w:hAnsi="Book Antiqua"/>
          <w:i/>
          <w:iCs/>
          <w:noProof/>
          <w:sz w:val="20"/>
          <w:szCs w:val="16"/>
          <w:lang w:val="es-CR"/>
        </w:rPr>
        <w:t>29</w:t>
      </w:r>
      <w:r w:rsidRPr="00832773">
        <w:rPr>
          <w:rFonts w:ascii="Book Antiqua" w:hAnsi="Book Antiqua"/>
          <w:i/>
          <w:iCs/>
          <w:sz w:val="20"/>
          <w:szCs w:val="16"/>
          <w:lang w:val="es-CR"/>
        </w:rPr>
        <w:fldChar w:fldCharType="end"/>
      </w:r>
      <w:r w:rsidRPr="00832773">
        <w:rPr>
          <w:rFonts w:ascii="Book Antiqua" w:hAnsi="Book Antiqua"/>
          <w:i/>
          <w:iCs/>
          <w:sz w:val="20"/>
          <w:szCs w:val="16"/>
          <w:lang w:val="es-CR"/>
        </w:rPr>
        <w:t xml:space="preserve"> Cantidad de entrados por tipo de </w:t>
      </w:r>
      <w:r w:rsidR="00504F7D" w:rsidRPr="00832773">
        <w:rPr>
          <w:rFonts w:ascii="Book Antiqua" w:hAnsi="Book Antiqua"/>
          <w:i/>
          <w:iCs/>
          <w:sz w:val="20"/>
          <w:szCs w:val="16"/>
          <w:lang w:val="es-CR"/>
        </w:rPr>
        <w:t>carpeta</w:t>
      </w:r>
      <w:r w:rsidRPr="00832773">
        <w:rPr>
          <w:rFonts w:ascii="Book Antiqua" w:hAnsi="Book Antiqua"/>
          <w:i/>
          <w:iCs/>
          <w:sz w:val="20"/>
          <w:szCs w:val="16"/>
          <w:lang w:val="es-CR"/>
        </w:rPr>
        <w:t xml:space="preserve"> del 2019 al 2021 para el Tribunal Colegiado Primera Instancia Civil Primer Circuito Judicial Guanacaste, Liberia</w:t>
      </w:r>
    </w:p>
    <w:tbl>
      <w:tblPr>
        <w:tblW w:w="4579" w:type="pct"/>
        <w:jc w:val="center"/>
        <w:tblLayout w:type="fixed"/>
        <w:tblCellMar>
          <w:left w:w="70" w:type="dxa"/>
          <w:right w:w="70" w:type="dxa"/>
        </w:tblCellMar>
        <w:tblLook w:val="04A0" w:firstRow="1" w:lastRow="0" w:firstColumn="1" w:lastColumn="0" w:noHBand="0" w:noVBand="1"/>
      </w:tblPr>
      <w:tblGrid>
        <w:gridCol w:w="4470"/>
        <w:gridCol w:w="837"/>
        <w:gridCol w:w="837"/>
        <w:gridCol w:w="836"/>
        <w:gridCol w:w="1116"/>
      </w:tblGrid>
      <w:tr w:rsidR="0055421A" w:rsidRPr="004E74A6" w14:paraId="118C23B1" w14:textId="77777777" w:rsidTr="003E4755">
        <w:trPr>
          <w:trHeight w:val="454"/>
          <w:tblHeader/>
          <w:jc w:val="center"/>
        </w:trPr>
        <w:tc>
          <w:tcPr>
            <w:tcW w:w="2761" w:type="pct"/>
            <w:tcBorders>
              <w:top w:val="single" w:sz="4" w:space="0" w:color="auto"/>
              <w:bottom w:val="single" w:sz="4" w:space="0" w:color="auto"/>
              <w:right w:val="single" w:sz="4" w:space="0" w:color="auto"/>
            </w:tcBorders>
            <w:shd w:val="clear" w:color="auto" w:fill="auto"/>
            <w:noWrap/>
            <w:vAlign w:val="center"/>
            <w:hideMark/>
          </w:tcPr>
          <w:p w14:paraId="720D0711" w14:textId="59917DBE" w:rsidR="008647ED" w:rsidRPr="004E74A6" w:rsidRDefault="0055421A" w:rsidP="00CE62C1">
            <w:pPr>
              <w:spacing w:line="276" w:lineRule="auto"/>
              <w:jc w:val="center"/>
              <w:rPr>
                <w:sz w:val="20"/>
                <w:lang w:eastAsia="es-CR"/>
              </w:rPr>
            </w:pPr>
            <w:r w:rsidRPr="004E74A6">
              <w:rPr>
                <w:sz w:val="20"/>
                <w:lang w:eastAsia="es-CR"/>
              </w:rPr>
              <w:t>Tipo</w:t>
            </w:r>
            <w:r w:rsidR="008647ED" w:rsidRPr="004E74A6">
              <w:rPr>
                <w:sz w:val="20"/>
                <w:lang w:eastAsia="es-CR"/>
              </w:rPr>
              <w:t xml:space="preserve"> De </w:t>
            </w:r>
            <w:r w:rsidR="00504F7D" w:rsidRPr="004E74A6">
              <w:rPr>
                <w:sz w:val="20"/>
                <w:lang w:eastAsia="es-CR"/>
              </w:rPr>
              <w:t>Carpeta</w:t>
            </w:r>
          </w:p>
        </w:tc>
        <w:tc>
          <w:tcPr>
            <w:tcW w:w="51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D4FFEC"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2019</w:t>
            </w:r>
          </w:p>
        </w:tc>
        <w:tc>
          <w:tcPr>
            <w:tcW w:w="51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6AFE8B"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2020</w:t>
            </w:r>
          </w:p>
        </w:tc>
        <w:tc>
          <w:tcPr>
            <w:tcW w:w="51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B3CD14"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2021</w:t>
            </w:r>
          </w:p>
        </w:tc>
        <w:tc>
          <w:tcPr>
            <w:tcW w:w="689" w:type="pct"/>
            <w:tcBorders>
              <w:top w:val="single" w:sz="4" w:space="0" w:color="auto"/>
              <w:left w:val="single" w:sz="4" w:space="0" w:color="auto"/>
              <w:bottom w:val="single" w:sz="4" w:space="0" w:color="auto"/>
            </w:tcBorders>
            <w:shd w:val="clear" w:color="auto" w:fill="auto"/>
            <w:noWrap/>
            <w:vAlign w:val="center"/>
            <w:hideMark/>
          </w:tcPr>
          <w:p w14:paraId="51CF1CAE" w14:textId="5A536C8C" w:rsidR="008647ED" w:rsidRPr="004E74A6" w:rsidRDefault="0055421A" w:rsidP="00CE62C1">
            <w:pPr>
              <w:spacing w:line="276" w:lineRule="auto"/>
              <w:jc w:val="center"/>
              <w:rPr>
                <w:rFonts w:cs="Calibri"/>
                <w:color w:val="000000"/>
                <w:sz w:val="20"/>
                <w:lang w:eastAsia="es-CR"/>
              </w:rPr>
            </w:pPr>
            <w:r w:rsidRPr="004E74A6">
              <w:rPr>
                <w:rFonts w:cs="Calibri"/>
                <w:color w:val="000000"/>
                <w:sz w:val="20"/>
                <w:lang w:eastAsia="es-CR"/>
              </w:rPr>
              <w:t>Promedio</w:t>
            </w:r>
          </w:p>
        </w:tc>
      </w:tr>
      <w:tr w:rsidR="0055421A" w:rsidRPr="004E74A6" w14:paraId="5C1FA072" w14:textId="77777777" w:rsidTr="003E4755">
        <w:trPr>
          <w:trHeight w:val="288"/>
          <w:jc w:val="center"/>
        </w:trPr>
        <w:tc>
          <w:tcPr>
            <w:tcW w:w="2761" w:type="pct"/>
            <w:tcBorders>
              <w:top w:val="single" w:sz="4" w:space="0" w:color="auto"/>
              <w:right w:val="single" w:sz="4" w:space="0" w:color="auto"/>
            </w:tcBorders>
            <w:shd w:val="clear" w:color="auto" w:fill="auto"/>
            <w:noWrap/>
            <w:vAlign w:val="bottom"/>
          </w:tcPr>
          <w:p w14:paraId="48420708" w14:textId="77777777" w:rsidR="008647ED" w:rsidRPr="004E74A6" w:rsidRDefault="008647ED" w:rsidP="00CE62C1">
            <w:pPr>
              <w:spacing w:line="276" w:lineRule="auto"/>
              <w:jc w:val="left"/>
              <w:rPr>
                <w:rFonts w:cs="Calibri"/>
                <w:color w:val="000000"/>
                <w:sz w:val="20"/>
                <w:lang w:eastAsia="es-CR"/>
              </w:rPr>
            </w:pPr>
          </w:p>
        </w:tc>
        <w:tc>
          <w:tcPr>
            <w:tcW w:w="517" w:type="pct"/>
            <w:tcBorders>
              <w:top w:val="single" w:sz="4" w:space="0" w:color="auto"/>
              <w:left w:val="single" w:sz="4" w:space="0" w:color="auto"/>
              <w:right w:val="single" w:sz="4" w:space="0" w:color="auto"/>
            </w:tcBorders>
            <w:shd w:val="clear" w:color="auto" w:fill="auto"/>
            <w:noWrap/>
            <w:vAlign w:val="center"/>
          </w:tcPr>
          <w:p w14:paraId="28148D8F" w14:textId="77777777" w:rsidR="008647ED" w:rsidRPr="004E74A6" w:rsidRDefault="008647ED" w:rsidP="00CE62C1">
            <w:pPr>
              <w:spacing w:line="276" w:lineRule="auto"/>
              <w:jc w:val="center"/>
              <w:rPr>
                <w:rFonts w:cs="Calibri"/>
                <w:color w:val="000000"/>
                <w:sz w:val="20"/>
                <w:lang w:eastAsia="es-CR"/>
              </w:rPr>
            </w:pPr>
          </w:p>
        </w:tc>
        <w:tc>
          <w:tcPr>
            <w:tcW w:w="517" w:type="pct"/>
            <w:tcBorders>
              <w:top w:val="single" w:sz="4" w:space="0" w:color="auto"/>
              <w:left w:val="single" w:sz="4" w:space="0" w:color="auto"/>
              <w:right w:val="single" w:sz="4" w:space="0" w:color="auto"/>
            </w:tcBorders>
            <w:shd w:val="clear" w:color="auto" w:fill="auto"/>
            <w:noWrap/>
            <w:vAlign w:val="center"/>
          </w:tcPr>
          <w:p w14:paraId="37875DA6" w14:textId="77777777" w:rsidR="008647ED" w:rsidRPr="004E74A6" w:rsidRDefault="008647ED" w:rsidP="00CE62C1">
            <w:pPr>
              <w:spacing w:line="276" w:lineRule="auto"/>
              <w:jc w:val="center"/>
              <w:rPr>
                <w:rFonts w:cs="Calibri"/>
                <w:color w:val="000000"/>
                <w:sz w:val="20"/>
                <w:lang w:eastAsia="es-CR"/>
              </w:rPr>
            </w:pPr>
          </w:p>
        </w:tc>
        <w:tc>
          <w:tcPr>
            <w:tcW w:w="516" w:type="pct"/>
            <w:tcBorders>
              <w:top w:val="single" w:sz="4" w:space="0" w:color="auto"/>
              <w:left w:val="single" w:sz="4" w:space="0" w:color="auto"/>
              <w:right w:val="single" w:sz="4" w:space="0" w:color="auto"/>
            </w:tcBorders>
            <w:shd w:val="clear" w:color="auto" w:fill="auto"/>
            <w:noWrap/>
            <w:vAlign w:val="center"/>
          </w:tcPr>
          <w:p w14:paraId="5F2073B5" w14:textId="77777777" w:rsidR="008647ED" w:rsidRPr="004E74A6" w:rsidRDefault="008647ED" w:rsidP="00CE62C1">
            <w:pPr>
              <w:spacing w:line="276" w:lineRule="auto"/>
              <w:jc w:val="center"/>
              <w:rPr>
                <w:sz w:val="20"/>
                <w:lang w:eastAsia="es-CR"/>
              </w:rPr>
            </w:pPr>
          </w:p>
        </w:tc>
        <w:tc>
          <w:tcPr>
            <w:tcW w:w="689" w:type="pct"/>
            <w:tcBorders>
              <w:top w:val="single" w:sz="4" w:space="0" w:color="auto"/>
              <w:left w:val="single" w:sz="4" w:space="0" w:color="auto"/>
            </w:tcBorders>
            <w:shd w:val="clear" w:color="auto" w:fill="auto"/>
            <w:noWrap/>
            <w:vAlign w:val="center"/>
          </w:tcPr>
          <w:p w14:paraId="7B03CEC0" w14:textId="77777777" w:rsidR="008647ED" w:rsidRPr="004E74A6" w:rsidRDefault="008647ED" w:rsidP="00CE62C1">
            <w:pPr>
              <w:spacing w:line="276" w:lineRule="auto"/>
              <w:jc w:val="center"/>
              <w:rPr>
                <w:rFonts w:cs="Calibri"/>
                <w:color w:val="000000"/>
                <w:sz w:val="20"/>
                <w:lang w:eastAsia="es-CR"/>
              </w:rPr>
            </w:pPr>
          </w:p>
        </w:tc>
      </w:tr>
      <w:tr w:rsidR="00504F7D" w:rsidRPr="004E74A6" w14:paraId="2250F622" w14:textId="77777777" w:rsidTr="00B32800">
        <w:trPr>
          <w:trHeight w:val="288"/>
          <w:jc w:val="center"/>
        </w:trPr>
        <w:tc>
          <w:tcPr>
            <w:tcW w:w="2761" w:type="pct"/>
            <w:tcBorders>
              <w:right w:val="single" w:sz="4" w:space="0" w:color="auto"/>
            </w:tcBorders>
            <w:shd w:val="clear" w:color="auto" w:fill="auto"/>
            <w:noWrap/>
            <w:vAlign w:val="bottom"/>
          </w:tcPr>
          <w:p w14:paraId="18CA773D" w14:textId="566F5D9A" w:rsidR="00504F7D" w:rsidRPr="004E74A6" w:rsidRDefault="00504F7D" w:rsidP="00CE62C1">
            <w:pPr>
              <w:spacing w:line="276" w:lineRule="auto"/>
              <w:jc w:val="left"/>
              <w:rPr>
                <w:rFonts w:cs="Calibri"/>
                <w:color w:val="000000"/>
                <w:sz w:val="20"/>
                <w:lang w:eastAsia="es-CR"/>
              </w:rPr>
            </w:pPr>
            <w:r w:rsidRPr="004E74A6">
              <w:rPr>
                <w:rFonts w:cs="Calibri"/>
                <w:color w:val="000000"/>
                <w:sz w:val="20"/>
                <w:lang w:eastAsia="es-CR"/>
              </w:rPr>
              <w:t>Total General</w:t>
            </w:r>
          </w:p>
        </w:tc>
        <w:tc>
          <w:tcPr>
            <w:tcW w:w="517" w:type="pct"/>
            <w:tcBorders>
              <w:left w:val="single" w:sz="4" w:space="0" w:color="auto"/>
              <w:right w:val="single" w:sz="4" w:space="0" w:color="auto"/>
            </w:tcBorders>
            <w:shd w:val="clear" w:color="auto" w:fill="auto"/>
            <w:noWrap/>
            <w:vAlign w:val="bottom"/>
          </w:tcPr>
          <w:p w14:paraId="2A4D114A" w14:textId="0966B36B" w:rsidR="00504F7D" w:rsidRPr="004E74A6" w:rsidRDefault="00504F7D" w:rsidP="00CE62C1">
            <w:pPr>
              <w:spacing w:line="276" w:lineRule="auto"/>
              <w:jc w:val="center"/>
              <w:rPr>
                <w:rFonts w:cs="Calibri"/>
                <w:color w:val="000000"/>
                <w:sz w:val="20"/>
              </w:rPr>
            </w:pPr>
            <w:r w:rsidRPr="004E74A6">
              <w:rPr>
                <w:rFonts w:cs="Calibri"/>
                <w:color w:val="000000"/>
                <w:sz w:val="20"/>
              </w:rPr>
              <w:t>149</w:t>
            </w:r>
          </w:p>
        </w:tc>
        <w:tc>
          <w:tcPr>
            <w:tcW w:w="517" w:type="pct"/>
            <w:tcBorders>
              <w:left w:val="single" w:sz="4" w:space="0" w:color="auto"/>
              <w:right w:val="single" w:sz="4" w:space="0" w:color="auto"/>
            </w:tcBorders>
            <w:shd w:val="clear" w:color="auto" w:fill="auto"/>
            <w:noWrap/>
            <w:vAlign w:val="bottom"/>
          </w:tcPr>
          <w:p w14:paraId="699D0B36" w14:textId="43FDB483" w:rsidR="00504F7D" w:rsidRPr="004E74A6" w:rsidRDefault="00504F7D" w:rsidP="00CE62C1">
            <w:pPr>
              <w:spacing w:line="276" w:lineRule="auto"/>
              <w:jc w:val="center"/>
              <w:rPr>
                <w:rFonts w:cs="Calibri"/>
                <w:color w:val="000000"/>
                <w:sz w:val="20"/>
              </w:rPr>
            </w:pPr>
            <w:r w:rsidRPr="004E74A6">
              <w:rPr>
                <w:rFonts w:cs="Calibri"/>
                <w:color w:val="000000"/>
                <w:sz w:val="20"/>
              </w:rPr>
              <w:t>113</w:t>
            </w:r>
          </w:p>
        </w:tc>
        <w:tc>
          <w:tcPr>
            <w:tcW w:w="516" w:type="pct"/>
            <w:tcBorders>
              <w:left w:val="single" w:sz="4" w:space="0" w:color="auto"/>
              <w:right w:val="single" w:sz="4" w:space="0" w:color="auto"/>
            </w:tcBorders>
            <w:shd w:val="clear" w:color="auto" w:fill="auto"/>
            <w:noWrap/>
            <w:vAlign w:val="bottom"/>
          </w:tcPr>
          <w:p w14:paraId="48C413D2" w14:textId="7702D89B" w:rsidR="00504F7D" w:rsidRPr="004E74A6" w:rsidRDefault="00504F7D" w:rsidP="00CE62C1">
            <w:pPr>
              <w:spacing w:line="276" w:lineRule="auto"/>
              <w:jc w:val="center"/>
              <w:rPr>
                <w:rFonts w:cs="Calibri"/>
                <w:color w:val="000000"/>
                <w:sz w:val="20"/>
              </w:rPr>
            </w:pPr>
            <w:r w:rsidRPr="004E74A6">
              <w:rPr>
                <w:rFonts w:cs="Calibri"/>
                <w:color w:val="000000"/>
                <w:sz w:val="20"/>
              </w:rPr>
              <w:t>142</w:t>
            </w:r>
          </w:p>
        </w:tc>
        <w:tc>
          <w:tcPr>
            <w:tcW w:w="689" w:type="pct"/>
            <w:tcBorders>
              <w:left w:val="single" w:sz="4" w:space="0" w:color="auto"/>
            </w:tcBorders>
            <w:shd w:val="clear" w:color="auto" w:fill="auto"/>
            <w:noWrap/>
            <w:vAlign w:val="bottom"/>
          </w:tcPr>
          <w:p w14:paraId="25394D23" w14:textId="433CBC67" w:rsidR="00504F7D" w:rsidRPr="004E74A6" w:rsidRDefault="00504F7D" w:rsidP="00CE62C1">
            <w:pPr>
              <w:spacing w:line="276" w:lineRule="auto"/>
              <w:jc w:val="center"/>
              <w:rPr>
                <w:rFonts w:cs="Calibri"/>
                <w:color w:val="000000"/>
                <w:sz w:val="20"/>
              </w:rPr>
            </w:pPr>
            <w:r w:rsidRPr="004E74A6">
              <w:rPr>
                <w:rFonts w:cs="Calibri"/>
                <w:color w:val="000000"/>
                <w:sz w:val="20"/>
              </w:rPr>
              <w:t>135</w:t>
            </w:r>
          </w:p>
        </w:tc>
      </w:tr>
      <w:tr w:rsidR="00504F7D" w:rsidRPr="004E74A6" w14:paraId="7EA2BBA8" w14:textId="77777777" w:rsidTr="00B32800">
        <w:trPr>
          <w:trHeight w:val="288"/>
          <w:jc w:val="center"/>
        </w:trPr>
        <w:tc>
          <w:tcPr>
            <w:tcW w:w="2761" w:type="pct"/>
            <w:tcBorders>
              <w:right w:val="single" w:sz="4" w:space="0" w:color="auto"/>
            </w:tcBorders>
            <w:shd w:val="clear" w:color="auto" w:fill="auto"/>
            <w:noWrap/>
            <w:vAlign w:val="bottom"/>
          </w:tcPr>
          <w:p w14:paraId="63EE1F0D" w14:textId="77777777" w:rsidR="00504F7D" w:rsidRPr="004E74A6" w:rsidRDefault="00504F7D" w:rsidP="00CE62C1">
            <w:pPr>
              <w:spacing w:line="276" w:lineRule="auto"/>
              <w:jc w:val="left"/>
              <w:rPr>
                <w:rFonts w:cs="Calibri"/>
                <w:color w:val="000000"/>
                <w:sz w:val="20"/>
                <w:lang w:eastAsia="es-CR"/>
              </w:rPr>
            </w:pPr>
          </w:p>
        </w:tc>
        <w:tc>
          <w:tcPr>
            <w:tcW w:w="517" w:type="pct"/>
            <w:tcBorders>
              <w:left w:val="single" w:sz="4" w:space="0" w:color="auto"/>
              <w:right w:val="single" w:sz="4" w:space="0" w:color="auto"/>
            </w:tcBorders>
            <w:shd w:val="clear" w:color="auto" w:fill="auto"/>
            <w:noWrap/>
            <w:vAlign w:val="bottom"/>
          </w:tcPr>
          <w:p w14:paraId="412A2837" w14:textId="77777777" w:rsidR="00504F7D" w:rsidRPr="004E74A6" w:rsidRDefault="00504F7D" w:rsidP="00CE62C1">
            <w:pPr>
              <w:spacing w:line="276" w:lineRule="auto"/>
              <w:jc w:val="center"/>
              <w:rPr>
                <w:rFonts w:cs="Calibri"/>
                <w:color w:val="000000"/>
                <w:sz w:val="20"/>
              </w:rPr>
            </w:pPr>
          </w:p>
        </w:tc>
        <w:tc>
          <w:tcPr>
            <w:tcW w:w="517" w:type="pct"/>
            <w:tcBorders>
              <w:left w:val="single" w:sz="4" w:space="0" w:color="auto"/>
              <w:right w:val="single" w:sz="4" w:space="0" w:color="auto"/>
            </w:tcBorders>
            <w:shd w:val="clear" w:color="auto" w:fill="auto"/>
            <w:noWrap/>
            <w:vAlign w:val="bottom"/>
          </w:tcPr>
          <w:p w14:paraId="09558E71" w14:textId="77777777" w:rsidR="00504F7D" w:rsidRPr="004E74A6" w:rsidRDefault="00504F7D" w:rsidP="00CE62C1">
            <w:pPr>
              <w:spacing w:line="276" w:lineRule="auto"/>
              <w:jc w:val="center"/>
              <w:rPr>
                <w:rFonts w:cs="Calibri"/>
                <w:color w:val="000000"/>
                <w:sz w:val="20"/>
              </w:rPr>
            </w:pPr>
          </w:p>
        </w:tc>
        <w:tc>
          <w:tcPr>
            <w:tcW w:w="516" w:type="pct"/>
            <w:tcBorders>
              <w:left w:val="single" w:sz="4" w:space="0" w:color="auto"/>
              <w:right w:val="single" w:sz="4" w:space="0" w:color="auto"/>
            </w:tcBorders>
            <w:shd w:val="clear" w:color="auto" w:fill="auto"/>
            <w:noWrap/>
            <w:vAlign w:val="bottom"/>
          </w:tcPr>
          <w:p w14:paraId="32462AF7" w14:textId="77777777" w:rsidR="00504F7D" w:rsidRPr="004E74A6" w:rsidRDefault="00504F7D" w:rsidP="00CE62C1">
            <w:pPr>
              <w:spacing w:line="276" w:lineRule="auto"/>
              <w:jc w:val="center"/>
              <w:rPr>
                <w:rFonts w:cs="Calibri"/>
                <w:color w:val="000000"/>
                <w:sz w:val="20"/>
              </w:rPr>
            </w:pPr>
          </w:p>
        </w:tc>
        <w:tc>
          <w:tcPr>
            <w:tcW w:w="689" w:type="pct"/>
            <w:tcBorders>
              <w:left w:val="single" w:sz="4" w:space="0" w:color="auto"/>
            </w:tcBorders>
            <w:shd w:val="clear" w:color="auto" w:fill="auto"/>
            <w:noWrap/>
            <w:vAlign w:val="bottom"/>
          </w:tcPr>
          <w:p w14:paraId="48EB1C1F" w14:textId="77777777" w:rsidR="00504F7D" w:rsidRPr="004E74A6" w:rsidRDefault="00504F7D" w:rsidP="00CE62C1">
            <w:pPr>
              <w:spacing w:line="276" w:lineRule="auto"/>
              <w:jc w:val="center"/>
              <w:rPr>
                <w:rFonts w:cs="Calibri"/>
                <w:color w:val="000000"/>
                <w:sz w:val="20"/>
              </w:rPr>
            </w:pPr>
          </w:p>
        </w:tc>
      </w:tr>
      <w:tr w:rsidR="00504F7D" w:rsidRPr="004E74A6" w14:paraId="5EED5037" w14:textId="77777777" w:rsidTr="00B32800">
        <w:trPr>
          <w:trHeight w:val="288"/>
          <w:jc w:val="center"/>
        </w:trPr>
        <w:tc>
          <w:tcPr>
            <w:tcW w:w="2761" w:type="pct"/>
            <w:tcBorders>
              <w:right w:val="single" w:sz="4" w:space="0" w:color="auto"/>
            </w:tcBorders>
            <w:shd w:val="clear" w:color="auto" w:fill="auto"/>
            <w:noWrap/>
            <w:vAlign w:val="bottom"/>
            <w:hideMark/>
          </w:tcPr>
          <w:p w14:paraId="445B29A1" w14:textId="77777777" w:rsidR="00504F7D" w:rsidRPr="004E74A6" w:rsidRDefault="00504F7D" w:rsidP="00CE62C1">
            <w:pPr>
              <w:spacing w:line="276" w:lineRule="auto"/>
              <w:jc w:val="left"/>
              <w:rPr>
                <w:rFonts w:cs="Calibri"/>
                <w:color w:val="000000"/>
                <w:sz w:val="20"/>
                <w:lang w:eastAsia="es-CR"/>
              </w:rPr>
            </w:pPr>
            <w:r w:rsidRPr="004E74A6">
              <w:rPr>
                <w:rFonts w:cs="Calibri"/>
                <w:color w:val="000000"/>
                <w:sz w:val="20"/>
                <w:lang w:eastAsia="es-CR"/>
              </w:rPr>
              <w:t>Comisiones Recibidas</w:t>
            </w:r>
          </w:p>
        </w:tc>
        <w:tc>
          <w:tcPr>
            <w:tcW w:w="517" w:type="pct"/>
            <w:tcBorders>
              <w:left w:val="single" w:sz="4" w:space="0" w:color="auto"/>
              <w:right w:val="single" w:sz="4" w:space="0" w:color="auto"/>
            </w:tcBorders>
            <w:shd w:val="clear" w:color="auto" w:fill="auto"/>
            <w:noWrap/>
            <w:vAlign w:val="bottom"/>
            <w:hideMark/>
          </w:tcPr>
          <w:p w14:paraId="7858D4C2" w14:textId="6E613ABC" w:rsidR="00504F7D" w:rsidRPr="004E74A6" w:rsidRDefault="00504F7D" w:rsidP="00CE62C1">
            <w:pPr>
              <w:spacing w:line="276" w:lineRule="auto"/>
              <w:jc w:val="center"/>
              <w:rPr>
                <w:rFonts w:cs="Calibri"/>
                <w:color w:val="000000"/>
                <w:sz w:val="20"/>
                <w:lang w:eastAsia="es-CR"/>
              </w:rPr>
            </w:pPr>
            <w:r w:rsidRPr="004E74A6">
              <w:rPr>
                <w:rFonts w:cs="Calibri"/>
                <w:color w:val="000000"/>
                <w:sz w:val="20"/>
              </w:rPr>
              <w:t>1</w:t>
            </w:r>
          </w:p>
        </w:tc>
        <w:tc>
          <w:tcPr>
            <w:tcW w:w="517" w:type="pct"/>
            <w:tcBorders>
              <w:left w:val="single" w:sz="4" w:space="0" w:color="auto"/>
              <w:right w:val="single" w:sz="4" w:space="0" w:color="auto"/>
            </w:tcBorders>
            <w:shd w:val="clear" w:color="auto" w:fill="auto"/>
            <w:noWrap/>
            <w:vAlign w:val="bottom"/>
            <w:hideMark/>
          </w:tcPr>
          <w:p w14:paraId="02E71D6D" w14:textId="23172088" w:rsidR="00504F7D" w:rsidRPr="004E74A6" w:rsidRDefault="00504F7D" w:rsidP="00CE62C1">
            <w:pPr>
              <w:spacing w:line="276" w:lineRule="auto"/>
              <w:jc w:val="center"/>
              <w:rPr>
                <w:rFonts w:cs="Calibri"/>
                <w:color w:val="000000"/>
                <w:sz w:val="20"/>
                <w:lang w:eastAsia="es-CR"/>
              </w:rPr>
            </w:pPr>
            <w:r w:rsidRPr="004E74A6">
              <w:rPr>
                <w:rFonts w:cs="Calibri"/>
                <w:color w:val="000000"/>
                <w:sz w:val="20"/>
              </w:rPr>
              <w:t>0</w:t>
            </w:r>
          </w:p>
        </w:tc>
        <w:tc>
          <w:tcPr>
            <w:tcW w:w="516" w:type="pct"/>
            <w:tcBorders>
              <w:left w:val="single" w:sz="4" w:space="0" w:color="auto"/>
              <w:right w:val="single" w:sz="4" w:space="0" w:color="auto"/>
            </w:tcBorders>
            <w:shd w:val="clear" w:color="auto" w:fill="auto"/>
            <w:noWrap/>
            <w:vAlign w:val="bottom"/>
            <w:hideMark/>
          </w:tcPr>
          <w:p w14:paraId="77609751" w14:textId="4947B9FA" w:rsidR="00504F7D" w:rsidRPr="004E74A6" w:rsidRDefault="00504F7D" w:rsidP="00CE62C1">
            <w:pPr>
              <w:spacing w:line="276" w:lineRule="auto"/>
              <w:jc w:val="center"/>
              <w:rPr>
                <w:sz w:val="20"/>
                <w:lang w:eastAsia="es-CR"/>
              </w:rPr>
            </w:pPr>
            <w:r w:rsidRPr="004E74A6">
              <w:rPr>
                <w:rFonts w:cs="Calibri"/>
                <w:color w:val="000000"/>
                <w:sz w:val="20"/>
              </w:rPr>
              <w:t>0</w:t>
            </w:r>
          </w:p>
        </w:tc>
        <w:tc>
          <w:tcPr>
            <w:tcW w:w="689" w:type="pct"/>
            <w:tcBorders>
              <w:left w:val="single" w:sz="4" w:space="0" w:color="auto"/>
            </w:tcBorders>
            <w:shd w:val="clear" w:color="auto" w:fill="auto"/>
            <w:noWrap/>
            <w:vAlign w:val="bottom"/>
            <w:hideMark/>
          </w:tcPr>
          <w:p w14:paraId="4F99EB86" w14:textId="78FE8CE2" w:rsidR="00504F7D" w:rsidRPr="004E74A6" w:rsidRDefault="00504F7D" w:rsidP="00CE62C1">
            <w:pPr>
              <w:spacing w:line="276" w:lineRule="auto"/>
              <w:jc w:val="center"/>
              <w:rPr>
                <w:rFonts w:cs="Calibri"/>
                <w:color w:val="000000"/>
                <w:sz w:val="20"/>
                <w:lang w:eastAsia="es-CR"/>
              </w:rPr>
            </w:pPr>
            <w:r w:rsidRPr="004E74A6">
              <w:rPr>
                <w:rFonts w:cs="Calibri"/>
                <w:color w:val="000000"/>
                <w:sz w:val="20"/>
              </w:rPr>
              <w:t>0,3</w:t>
            </w:r>
          </w:p>
        </w:tc>
      </w:tr>
      <w:tr w:rsidR="00504F7D" w:rsidRPr="004E74A6" w14:paraId="52B8EBFB" w14:textId="77777777" w:rsidTr="00B32800">
        <w:trPr>
          <w:trHeight w:val="288"/>
          <w:jc w:val="center"/>
        </w:trPr>
        <w:tc>
          <w:tcPr>
            <w:tcW w:w="2761" w:type="pct"/>
            <w:tcBorders>
              <w:right w:val="single" w:sz="4" w:space="0" w:color="auto"/>
            </w:tcBorders>
            <w:shd w:val="clear" w:color="auto" w:fill="auto"/>
            <w:noWrap/>
            <w:vAlign w:val="bottom"/>
            <w:hideMark/>
          </w:tcPr>
          <w:p w14:paraId="512B3455" w14:textId="77777777" w:rsidR="00504F7D" w:rsidRPr="004E74A6" w:rsidRDefault="00504F7D" w:rsidP="00CE62C1">
            <w:pPr>
              <w:spacing w:line="276" w:lineRule="auto"/>
              <w:jc w:val="left"/>
              <w:rPr>
                <w:rFonts w:cs="Calibri"/>
                <w:color w:val="000000"/>
                <w:sz w:val="20"/>
                <w:lang w:eastAsia="es-CR"/>
              </w:rPr>
            </w:pPr>
            <w:r w:rsidRPr="004E74A6">
              <w:rPr>
                <w:rFonts w:cs="Calibri"/>
                <w:color w:val="000000"/>
                <w:sz w:val="20"/>
                <w:lang w:eastAsia="es-CR"/>
              </w:rPr>
              <w:t>Incidentes Procesales</w:t>
            </w:r>
          </w:p>
        </w:tc>
        <w:tc>
          <w:tcPr>
            <w:tcW w:w="517" w:type="pct"/>
            <w:tcBorders>
              <w:left w:val="single" w:sz="4" w:space="0" w:color="auto"/>
              <w:right w:val="single" w:sz="4" w:space="0" w:color="auto"/>
            </w:tcBorders>
            <w:shd w:val="clear" w:color="auto" w:fill="auto"/>
            <w:noWrap/>
            <w:vAlign w:val="bottom"/>
            <w:hideMark/>
          </w:tcPr>
          <w:p w14:paraId="01837F5E" w14:textId="4D9F1E4C" w:rsidR="00504F7D" w:rsidRPr="004E74A6" w:rsidRDefault="00504F7D" w:rsidP="00CE62C1">
            <w:pPr>
              <w:spacing w:line="276" w:lineRule="auto"/>
              <w:jc w:val="center"/>
              <w:rPr>
                <w:rFonts w:cs="Calibri"/>
                <w:color w:val="000000"/>
                <w:sz w:val="20"/>
                <w:lang w:eastAsia="es-CR"/>
              </w:rPr>
            </w:pPr>
            <w:r w:rsidRPr="004E74A6">
              <w:rPr>
                <w:rFonts w:cs="Calibri"/>
                <w:color w:val="000000"/>
                <w:sz w:val="20"/>
              </w:rPr>
              <w:t>16</w:t>
            </w:r>
          </w:p>
        </w:tc>
        <w:tc>
          <w:tcPr>
            <w:tcW w:w="517" w:type="pct"/>
            <w:tcBorders>
              <w:left w:val="single" w:sz="4" w:space="0" w:color="auto"/>
              <w:right w:val="single" w:sz="4" w:space="0" w:color="auto"/>
            </w:tcBorders>
            <w:shd w:val="clear" w:color="auto" w:fill="auto"/>
            <w:noWrap/>
            <w:vAlign w:val="bottom"/>
            <w:hideMark/>
          </w:tcPr>
          <w:p w14:paraId="2CB9EE80" w14:textId="59B85CD1" w:rsidR="00504F7D" w:rsidRPr="004E74A6" w:rsidRDefault="00504F7D" w:rsidP="00CE62C1">
            <w:pPr>
              <w:spacing w:line="276" w:lineRule="auto"/>
              <w:jc w:val="center"/>
              <w:rPr>
                <w:rFonts w:cs="Calibri"/>
                <w:color w:val="000000"/>
                <w:sz w:val="20"/>
                <w:lang w:eastAsia="es-CR"/>
              </w:rPr>
            </w:pPr>
            <w:r w:rsidRPr="004E74A6">
              <w:rPr>
                <w:rFonts w:cs="Calibri"/>
                <w:color w:val="000000"/>
                <w:sz w:val="20"/>
              </w:rPr>
              <w:t>8</w:t>
            </w:r>
          </w:p>
        </w:tc>
        <w:tc>
          <w:tcPr>
            <w:tcW w:w="516" w:type="pct"/>
            <w:tcBorders>
              <w:left w:val="single" w:sz="4" w:space="0" w:color="auto"/>
              <w:right w:val="single" w:sz="4" w:space="0" w:color="auto"/>
            </w:tcBorders>
            <w:shd w:val="clear" w:color="auto" w:fill="auto"/>
            <w:noWrap/>
            <w:vAlign w:val="bottom"/>
            <w:hideMark/>
          </w:tcPr>
          <w:p w14:paraId="73FF6490" w14:textId="3E0420AE" w:rsidR="00504F7D" w:rsidRPr="004E74A6" w:rsidRDefault="00504F7D" w:rsidP="00CE62C1">
            <w:pPr>
              <w:spacing w:line="276" w:lineRule="auto"/>
              <w:jc w:val="center"/>
              <w:rPr>
                <w:rFonts w:cs="Calibri"/>
                <w:color w:val="000000"/>
                <w:sz w:val="20"/>
                <w:lang w:eastAsia="es-CR"/>
              </w:rPr>
            </w:pPr>
            <w:r w:rsidRPr="004E74A6">
              <w:rPr>
                <w:rFonts w:cs="Calibri"/>
                <w:color w:val="000000"/>
                <w:sz w:val="20"/>
              </w:rPr>
              <w:t>13</w:t>
            </w:r>
          </w:p>
        </w:tc>
        <w:tc>
          <w:tcPr>
            <w:tcW w:w="689" w:type="pct"/>
            <w:tcBorders>
              <w:left w:val="single" w:sz="4" w:space="0" w:color="auto"/>
            </w:tcBorders>
            <w:shd w:val="clear" w:color="auto" w:fill="auto"/>
            <w:noWrap/>
            <w:vAlign w:val="bottom"/>
            <w:hideMark/>
          </w:tcPr>
          <w:p w14:paraId="27C1D945" w14:textId="5CDEF627" w:rsidR="00504F7D" w:rsidRPr="004E74A6" w:rsidRDefault="00504F7D" w:rsidP="00CE62C1">
            <w:pPr>
              <w:spacing w:line="276" w:lineRule="auto"/>
              <w:jc w:val="center"/>
              <w:rPr>
                <w:rFonts w:cs="Calibri"/>
                <w:color w:val="000000"/>
                <w:sz w:val="20"/>
                <w:lang w:eastAsia="es-CR"/>
              </w:rPr>
            </w:pPr>
            <w:r w:rsidRPr="004E74A6">
              <w:rPr>
                <w:rFonts w:cs="Calibri"/>
                <w:color w:val="000000"/>
                <w:sz w:val="20"/>
              </w:rPr>
              <w:t>12</w:t>
            </w:r>
          </w:p>
        </w:tc>
      </w:tr>
      <w:tr w:rsidR="00504F7D" w:rsidRPr="004E74A6" w14:paraId="2C2D6676" w14:textId="77777777" w:rsidTr="00B32800">
        <w:trPr>
          <w:trHeight w:val="288"/>
          <w:jc w:val="center"/>
        </w:trPr>
        <w:tc>
          <w:tcPr>
            <w:tcW w:w="2761" w:type="pct"/>
            <w:tcBorders>
              <w:right w:val="single" w:sz="4" w:space="0" w:color="auto"/>
            </w:tcBorders>
            <w:shd w:val="clear" w:color="auto" w:fill="auto"/>
            <w:noWrap/>
            <w:vAlign w:val="bottom"/>
            <w:hideMark/>
          </w:tcPr>
          <w:p w14:paraId="1B41D3B4" w14:textId="77777777" w:rsidR="00504F7D" w:rsidRPr="004E74A6" w:rsidRDefault="00504F7D" w:rsidP="00CE62C1">
            <w:pPr>
              <w:spacing w:line="276" w:lineRule="auto"/>
              <w:jc w:val="left"/>
              <w:rPr>
                <w:rFonts w:cs="Calibri"/>
                <w:color w:val="000000"/>
                <w:sz w:val="20"/>
                <w:lang w:eastAsia="es-CR"/>
              </w:rPr>
            </w:pPr>
            <w:r w:rsidRPr="004E74A6">
              <w:rPr>
                <w:rFonts w:cs="Calibri"/>
                <w:color w:val="000000"/>
                <w:sz w:val="20"/>
                <w:lang w:eastAsia="es-CR"/>
              </w:rPr>
              <w:t>Legajo De Ejecución Provisional</w:t>
            </w:r>
          </w:p>
        </w:tc>
        <w:tc>
          <w:tcPr>
            <w:tcW w:w="517" w:type="pct"/>
            <w:tcBorders>
              <w:left w:val="single" w:sz="4" w:space="0" w:color="auto"/>
              <w:right w:val="single" w:sz="4" w:space="0" w:color="auto"/>
            </w:tcBorders>
            <w:shd w:val="clear" w:color="auto" w:fill="auto"/>
            <w:noWrap/>
            <w:vAlign w:val="bottom"/>
            <w:hideMark/>
          </w:tcPr>
          <w:p w14:paraId="476359DC" w14:textId="70960EF5" w:rsidR="00504F7D" w:rsidRPr="004E74A6" w:rsidRDefault="00504F7D" w:rsidP="00CE62C1">
            <w:pPr>
              <w:spacing w:line="276" w:lineRule="auto"/>
              <w:jc w:val="center"/>
              <w:rPr>
                <w:sz w:val="20"/>
                <w:lang w:eastAsia="es-CR"/>
              </w:rPr>
            </w:pPr>
            <w:r w:rsidRPr="004E74A6">
              <w:rPr>
                <w:rFonts w:cs="Calibri"/>
                <w:color w:val="000000"/>
                <w:sz w:val="20"/>
              </w:rPr>
              <w:t>0</w:t>
            </w:r>
          </w:p>
        </w:tc>
        <w:tc>
          <w:tcPr>
            <w:tcW w:w="517" w:type="pct"/>
            <w:tcBorders>
              <w:left w:val="single" w:sz="4" w:space="0" w:color="auto"/>
              <w:right w:val="single" w:sz="4" w:space="0" w:color="auto"/>
            </w:tcBorders>
            <w:shd w:val="clear" w:color="auto" w:fill="auto"/>
            <w:noWrap/>
            <w:vAlign w:val="bottom"/>
            <w:hideMark/>
          </w:tcPr>
          <w:p w14:paraId="497B32F9" w14:textId="791CCDF9" w:rsidR="00504F7D" w:rsidRPr="004E74A6" w:rsidRDefault="00504F7D" w:rsidP="00CE62C1">
            <w:pPr>
              <w:spacing w:line="276" w:lineRule="auto"/>
              <w:jc w:val="center"/>
              <w:rPr>
                <w:rFonts w:cs="Calibri"/>
                <w:color w:val="000000"/>
                <w:sz w:val="20"/>
                <w:lang w:eastAsia="es-CR"/>
              </w:rPr>
            </w:pPr>
            <w:r w:rsidRPr="004E74A6">
              <w:rPr>
                <w:rFonts w:cs="Calibri"/>
                <w:color w:val="000000"/>
                <w:sz w:val="20"/>
              </w:rPr>
              <w:t>2</w:t>
            </w:r>
          </w:p>
        </w:tc>
        <w:tc>
          <w:tcPr>
            <w:tcW w:w="516" w:type="pct"/>
            <w:tcBorders>
              <w:left w:val="single" w:sz="4" w:space="0" w:color="auto"/>
              <w:right w:val="single" w:sz="4" w:space="0" w:color="auto"/>
            </w:tcBorders>
            <w:shd w:val="clear" w:color="auto" w:fill="auto"/>
            <w:noWrap/>
            <w:vAlign w:val="bottom"/>
            <w:hideMark/>
          </w:tcPr>
          <w:p w14:paraId="165F636F" w14:textId="6116B8CC" w:rsidR="00504F7D" w:rsidRPr="004E74A6" w:rsidRDefault="00504F7D" w:rsidP="00CE62C1">
            <w:pPr>
              <w:spacing w:line="276" w:lineRule="auto"/>
              <w:jc w:val="center"/>
              <w:rPr>
                <w:rFonts w:cs="Calibri"/>
                <w:color w:val="000000"/>
                <w:sz w:val="20"/>
                <w:lang w:eastAsia="es-CR"/>
              </w:rPr>
            </w:pPr>
            <w:r w:rsidRPr="004E74A6">
              <w:rPr>
                <w:rFonts w:cs="Calibri"/>
                <w:color w:val="000000"/>
                <w:sz w:val="20"/>
              </w:rPr>
              <w:t>0</w:t>
            </w:r>
          </w:p>
        </w:tc>
        <w:tc>
          <w:tcPr>
            <w:tcW w:w="689" w:type="pct"/>
            <w:tcBorders>
              <w:left w:val="single" w:sz="4" w:space="0" w:color="auto"/>
            </w:tcBorders>
            <w:shd w:val="clear" w:color="auto" w:fill="auto"/>
            <w:noWrap/>
            <w:vAlign w:val="bottom"/>
            <w:hideMark/>
          </w:tcPr>
          <w:p w14:paraId="64765F28" w14:textId="39D455E8" w:rsidR="00504F7D" w:rsidRPr="004E74A6" w:rsidRDefault="00504F7D" w:rsidP="00CE62C1">
            <w:pPr>
              <w:spacing w:line="276" w:lineRule="auto"/>
              <w:jc w:val="center"/>
              <w:rPr>
                <w:rFonts w:cs="Calibri"/>
                <w:color w:val="000000"/>
                <w:sz w:val="20"/>
                <w:lang w:eastAsia="es-CR"/>
              </w:rPr>
            </w:pPr>
            <w:r w:rsidRPr="004E74A6">
              <w:rPr>
                <w:rFonts w:cs="Calibri"/>
                <w:color w:val="000000"/>
                <w:sz w:val="20"/>
              </w:rPr>
              <w:t>0,7</w:t>
            </w:r>
          </w:p>
        </w:tc>
      </w:tr>
      <w:tr w:rsidR="00504F7D" w:rsidRPr="004E74A6" w14:paraId="2AD83B62" w14:textId="77777777" w:rsidTr="00B32800">
        <w:trPr>
          <w:trHeight w:val="288"/>
          <w:jc w:val="center"/>
        </w:trPr>
        <w:tc>
          <w:tcPr>
            <w:tcW w:w="2761" w:type="pct"/>
            <w:tcBorders>
              <w:right w:val="single" w:sz="4" w:space="0" w:color="auto"/>
            </w:tcBorders>
            <w:shd w:val="clear" w:color="auto" w:fill="auto"/>
            <w:noWrap/>
            <w:vAlign w:val="bottom"/>
            <w:hideMark/>
          </w:tcPr>
          <w:p w14:paraId="64C08A0B" w14:textId="77777777" w:rsidR="00504F7D" w:rsidRPr="004E74A6" w:rsidRDefault="00504F7D" w:rsidP="00CE62C1">
            <w:pPr>
              <w:spacing w:line="276" w:lineRule="auto"/>
              <w:jc w:val="left"/>
              <w:rPr>
                <w:rFonts w:cs="Calibri"/>
                <w:color w:val="000000"/>
                <w:sz w:val="20"/>
                <w:lang w:eastAsia="es-CR"/>
              </w:rPr>
            </w:pPr>
            <w:r w:rsidRPr="004E74A6">
              <w:rPr>
                <w:rFonts w:cs="Calibri"/>
                <w:color w:val="000000"/>
                <w:sz w:val="20"/>
                <w:lang w:eastAsia="es-CR"/>
              </w:rPr>
              <w:t>Legajo Ejec. Sentencia Acuerdos En Conciliación</w:t>
            </w:r>
          </w:p>
        </w:tc>
        <w:tc>
          <w:tcPr>
            <w:tcW w:w="517" w:type="pct"/>
            <w:tcBorders>
              <w:left w:val="single" w:sz="4" w:space="0" w:color="auto"/>
              <w:right w:val="single" w:sz="4" w:space="0" w:color="auto"/>
            </w:tcBorders>
            <w:shd w:val="clear" w:color="auto" w:fill="auto"/>
            <w:noWrap/>
            <w:vAlign w:val="bottom"/>
            <w:hideMark/>
          </w:tcPr>
          <w:p w14:paraId="497CA548" w14:textId="23ED470E" w:rsidR="00504F7D" w:rsidRPr="004E74A6" w:rsidRDefault="00504F7D" w:rsidP="00CE62C1">
            <w:pPr>
              <w:spacing w:line="276" w:lineRule="auto"/>
              <w:jc w:val="center"/>
              <w:rPr>
                <w:rFonts w:cs="Calibri"/>
                <w:color w:val="000000"/>
                <w:sz w:val="20"/>
                <w:lang w:eastAsia="es-CR"/>
              </w:rPr>
            </w:pPr>
            <w:r w:rsidRPr="004E74A6">
              <w:rPr>
                <w:rFonts w:cs="Calibri"/>
                <w:color w:val="000000"/>
                <w:sz w:val="20"/>
              </w:rPr>
              <w:t>17</w:t>
            </w:r>
          </w:p>
        </w:tc>
        <w:tc>
          <w:tcPr>
            <w:tcW w:w="517" w:type="pct"/>
            <w:tcBorders>
              <w:left w:val="single" w:sz="4" w:space="0" w:color="auto"/>
              <w:right w:val="single" w:sz="4" w:space="0" w:color="auto"/>
            </w:tcBorders>
            <w:shd w:val="clear" w:color="auto" w:fill="auto"/>
            <w:noWrap/>
            <w:vAlign w:val="bottom"/>
            <w:hideMark/>
          </w:tcPr>
          <w:p w14:paraId="4DDD9A77" w14:textId="7F42ACCE" w:rsidR="00504F7D" w:rsidRPr="004E74A6" w:rsidRDefault="00504F7D" w:rsidP="00CE62C1">
            <w:pPr>
              <w:spacing w:line="276" w:lineRule="auto"/>
              <w:jc w:val="center"/>
              <w:rPr>
                <w:rFonts w:cs="Calibri"/>
                <w:color w:val="000000"/>
                <w:sz w:val="20"/>
                <w:lang w:eastAsia="es-CR"/>
              </w:rPr>
            </w:pPr>
            <w:r w:rsidRPr="004E74A6">
              <w:rPr>
                <w:rFonts w:cs="Calibri"/>
                <w:color w:val="000000"/>
                <w:sz w:val="20"/>
              </w:rPr>
              <w:t>13</w:t>
            </w:r>
          </w:p>
        </w:tc>
        <w:tc>
          <w:tcPr>
            <w:tcW w:w="516" w:type="pct"/>
            <w:tcBorders>
              <w:left w:val="single" w:sz="4" w:space="0" w:color="auto"/>
              <w:right w:val="single" w:sz="4" w:space="0" w:color="auto"/>
            </w:tcBorders>
            <w:shd w:val="clear" w:color="auto" w:fill="auto"/>
            <w:noWrap/>
            <w:vAlign w:val="bottom"/>
            <w:hideMark/>
          </w:tcPr>
          <w:p w14:paraId="497BA2DE" w14:textId="76C0911E" w:rsidR="00504F7D" w:rsidRPr="004E74A6" w:rsidRDefault="00504F7D" w:rsidP="00CE62C1">
            <w:pPr>
              <w:spacing w:line="276" w:lineRule="auto"/>
              <w:jc w:val="center"/>
              <w:rPr>
                <w:rFonts w:cs="Calibri"/>
                <w:color w:val="000000"/>
                <w:sz w:val="20"/>
                <w:lang w:eastAsia="es-CR"/>
              </w:rPr>
            </w:pPr>
            <w:r w:rsidRPr="004E74A6">
              <w:rPr>
                <w:rFonts w:cs="Calibri"/>
                <w:color w:val="000000"/>
                <w:sz w:val="20"/>
              </w:rPr>
              <w:t>23</w:t>
            </w:r>
          </w:p>
        </w:tc>
        <w:tc>
          <w:tcPr>
            <w:tcW w:w="689" w:type="pct"/>
            <w:tcBorders>
              <w:left w:val="single" w:sz="4" w:space="0" w:color="auto"/>
            </w:tcBorders>
            <w:shd w:val="clear" w:color="auto" w:fill="auto"/>
            <w:noWrap/>
            <w:vAlign w:val="bottom"/>
            <w:hideMark/>
          </w:tcPr>
          <w:p w14:paraId="2723FE1C" w14:textId="1D9C349D" w:rsidR="00504F7D" w:rsidRPr="004E74A6" w:rsidRDefault="00504F7D" w:rsidP="00CE62C1">
            <w:pPr>
              <w:spacing w:line="276" w:lineRule="auto"/>
              <w:jc w:val="center"/>
              <w:rPr>
                <w:rFonts w:cs="Calibri"/>
                <w:color w:val="000000"/>
                <w:sz w:val="20"/>
                <w:lang w:eastAsia="es-CR"/>
              </w:rPr>
            </w:pPr>
            <w:r w:rsidRPr="004E74A6">
              <w:rPr>
                <w:rFonts w:cs="Calibri"/>
                <w:color w:val="000000"/>
                <w:sz w:val="20"/>
              </w:rPr>
              <w:t>18</w:t>
            </w:r>
          </w:p>
        </w:tc>
      </w:tr>
      <w:tr w:rsidR="00504F7D" w:rsidRPr="004E74A6" w14:paraId="6AA9CBE4" w14:textId="77777777" w:rsidTr="00B32800">
        <w:trPr>
          <w:trHeight w:val="288"/>
          <w:jc w:val="center"/>
        </w:trPr>
        <w:tc>
          <w:tcPr>
            <w:tcW w:w="2761" w:type="pct"/>
            <w:tcBorders>
              <w:right w:val="single" w:sz="4" w:space="0" w:color="auto"/>
            </w:tcBorders>
            <w:shd w:val="clear" w:color="auto" w:fill="auto"/>
            <w:noWrap/>
            <w:vAlign w:val="bottom"/>
            <w:hideMark/>
          </w:tcPr>
          <w:p w14:paraId="446AF5D1" w14:textId="77777777" w:rsidR="00504F7D" w:rsidRPr="004E74A6" w:rsidRDefault="00504F7D" w:rsidP="00CE62C1">
            <w:pPr>
              <w:spacing w:line="276" w:lineRule="auto"/>
              <w:jc w:val="left"/>
              <w:rPr>
                <w:rFonts w:cs="Calibri"/>
                <w:color w:val="000000"/>
                <w:sz w:val="20"/>
                <w:lang w:eastAsia="es-CR"/>
              </w:rPr>
            </w:pPr>
            <w:r w:rsidRPr="004E74A6">
              <w:rPr>
                <w:rFonts w:cs="Calibri"/>
                <w:color w:val="000000"/>
                <w:sz w:val="20"/>
                <w:lang w:eastAsia="es-CR"/>
              </w:rPr>
              <w:t>Legajo Pruebas Parte Actora</w:t>
            </w:r>
          </w:p>
        </w:tc>
        <w:tc>
          <w:tcPr>
            <w:tcW w:w="517" w:type="pct"/>
            <w:tcBorders>
              <w:left w:val="single" w:sz="4" w:space="0" w:color="auto"/>
              <w:right w:val="single" w:sz="4" w:space="0" w:color="auto"/>
            </w:tcBorders>
            <w:shd w:val="clear" w:color="auto" w:fill="auto"/>
            <w:noWrap/>
            <w:vAlign w:val="bottom"/>
            <w:hideMark/>
          </w:tcPr>
          <w:p w14:paraId="56653D3F" w14:textId="3A974398" w:rsidR="00504F7D" w:rsidRPr="004E74A6" w:rsidRDefault="00504F7D" w:rsidP="00CE62C1">
            <w:pPr>
              <w:spacing w:line="276" w:lineRule="auto"/>
              <w:jc w:val="center"/>
              <w:rPr>
                <w:rFonts w:cs="Calibri"/>
                <w:color w:val="000000"/>
                <w:sz w:val="20"/>
                <w:lang w:eastAsia="es-CR"/>
              </w:rPr>
            </w:pPr>
            <w:r w:rsidRPr="004E74A6">
              <w:rPr>
                <w:rFonts w:cs="Calibri"/>
                <w:color w:val="000000"/>
                <w:sz w:val="20"/>
              </w:rPr>
              <w:t>4</w:t>
            </w:r>
          </w:p>
        </w:tc>
        <w:tc>
          <w:tcPr>
            <w:tcW w:w="517" w:type="pct"/>
            <w:tcBorders>
              <w:left w:val="single" w:sz="4" w:space="0" w:color="auto"/>
              <w:right w:val="single" w:sz="4" w:space="0" w:color="auto"/>
            </w:tcBorders>
            <w:shd w:val="clear" w:color="auto" w:fill="auto"/>
            <w:noWrap/>
            <w:vAlign w:val="bottom"/>
            <w:hideMark/>
          </w:tcPr>
          <w:p w14:paraId="04EB906D" w14:textId="67BA304E" w:rsidR="00504F7D" w:rsidRPr="004E74A6" w:rsidRDefault="00504F7D" w:rsidP="00CE62C1">
            <w:pPr>
              <w:spacing w:line="276" w:lineRule="auto"/>
              <w:jc w:val="center"/>
              <w:rPr>
                <w:rFonts w:cs="Calibri"/>
                <w:color w:val="000000"/>
                <w:sz w:val="20"/>
                <w:lang w:eastAsia="es-CR"/>
              </w:rPr>
            </w:pPr>
            <w:r w:rsidRPr="004E74A6">
              <w:rPr>
                <w:rFonts w:cs="Calibri"/>
                <w:color w:val="000000"/>
                <w:sz w:val="20"/>
              </w:rPr>
              <w:t>2</w:t>
            </w:r>
          </w:p>
        </w:tc>
        <w:tc>
          <w:tcPr>
            <w:tcW w:w="516" w:type="pct"/>
            <w:tcBorders>
              <w:left w:val="single" w:sz="4" w:space="0" w:color="auto"/>
              <w:right w:val="single" w:sz="4" w:space="0" w:color="auto"/>
            </w:tcBorders>
            <w:shd w:val="clear" w:color="auto" w:fill="auto"/>
            <w:noWrap/>
            <w:vAlign w:val="bottom"/>
            <w:hideMark/>
          </w:tcPr>
          <w:p w14:paraId="5C1066B5" w14:textId="6CDC0EC7" w:rsidR="00504F7D" w:rsidRPr="004E74A6" w:rsidRDefault="00504F7D" w:rsidP="00CE62C1">
            <w:pPr>
              <w:spacing w:line="276" w:lineRule="auto"/>
              <w:jc w:val="center"/>
              <w:rPr>
                <w:rFonts w:cs="Calibri"/>
                <w:color w:val="000000"/>
                <w:sz w:val="20"/>
                <w:lang w:eastAsia="es-CR"/>
              </w:rPr>
            </w:pPr>
            <w:r w:rsidRPr="004E74A6">
              <w:rPr>
                <w:rFonts w:cs="Calibri"/>
                <w:color w:val="000000"/>
                <w:sz w:val="20"/>
              </w:rPr>
              <w:t>0</w:t>
            </w:r>
          </w:p>
        </w:tc>
        <w:tc>
          <w:tcPr>
            <w:tcW w:w="689" w:type="pct"/>
            <w:tcBorders>
              <w:left w:val="single" w:sz="4" w:space="0" w:color="auto"/>
            </w:tcBorders>
            <w:shd w:val="clear" w:color="auto" w:fill="auto"/>
            <w:noWrap/>
            <w:vAlign w:val="bottom"/>
            <w:hideMark/>
          </w:tcPr>
          <w:p w14:paraId="7C412809" w14:textId="3475F337" w:rsidR="00504F7D" w:rsidRPr="004E74A6" w:rsidRDefault="00504F7D" w:rsidP="00CE62C1">
            <w:pPr>
              <w:spacing w:line="276" w:lineRule="auto"/>
              <w:jc w:val="center"/>
              <w:rPr>
                <w:rFonts w:cs="Calibri"/>
                <w:color w:val="000000"/>
                <w:sz w:val="20"/>
                <w:lang w:eastAsia="es-CR"/>
              </w:rPr>
            </w:pPr>
            <w:r w:rsidRPr="004E74A6">
              <w:rPr>
                <w:rFonts w:cs="Calibri"/>
                <w:color w:val="000000"/>
                <w:sz w:val="20"/>
              </w:rPr>
              <w:t>2,0</w:t>
            </w:r>
          </w:p>
        </w:tc>
      </w:tr>
      <w:tr w:rsidR="00504F7D" w:rsidRPr="004E74A6" w14:paraId="7E87737B" w14:textId="77777777" w:rsidTr="00832773">
        <w:trPr>
          <w:trHeight w:val="288"/>
          <w:jc w:val="center"/>
        </w:trPr>
        <w:tc>
          <w:tcPr>
            <w:tcW w:w="2761" w:type="pct"/>
            <w:tcBorders>
              <w:right w:val="single" w:sz="4" w:space="0" w:color="auto"/>
            </w:tcBorders>
            <w:shd w:val="clear" w:color="auto" w:fill="auto"/>
            <w:noWrap/>
            <w:vAlign w:val="bottom"/>
            <w:hideMark/>
          </w:tcPr>
          <w:p w14:paraId="0EFFD5F4" w14:textId="77777777" w:rsidR="00504F7D" w:rsidRPr="004E74A6" w:rsidRDefault="00504F7D" w:rsidP="00CE62C1">
            <w:pPr>
              <w:spacing w:line="276" w:lineRule="auto"/>
              <w:jc w:val="left"/>
              <w:rPr>
                <w:rFonts w:cs="Calibri"/>
                <w:color w:val="000000"/>
                <w:sz w:val="20"/>
                <w:lang w:eastAsia="es-CR"/>
              </w:rPr>
            </w:pPr>
            <w:r w:rsidRPr="004E74A6">
              <w:rPr>
                <w:rFonts w:cs="Calibri"/>
                <w:color w:val="000000"/>
                <w:sz w:val="20"/>
                <w:lang w:eastAsia="es-CR"/>
              </w:rPr>
              <w:t>Legajo Pruebas Parte Demandada</w:t>
            </w:r>
          </w:p>
        </w:tc>
        <w:tc>
          <w:tcPr>
            <w:tcW w:w="517" w:type="pct"/>
            <w:tcBorders>
              <w:left w:val="single" w:sz="4" w:space="0" w:color="auto"/>
              <w:right w:val="single" w:sz="4" w:space="0" w:color="auto"/>
            </w:tcBorders>
            <w:shd w:val="clear" w:color="auto" w:fill="auto"/>
            <w:noWrap/>
            <w:vAlign w:val="bottom"/>
            <w:hideMark/>
          </w:tcPr>
          <w:p w14:paraId="07BFA93E" w14:textId="22C16CCD" w:rsidR="00504F7D" w:rsidRPr="004E74A6" w:rsidRDefault="00504F7D" w:rsidP="00CE62C1">
            <w:pPr>
              <w:spacing w:line="276" w:lineRule="auto"/>
              <w:jc w:val="center"/>
              <w:rPr>
                <w:rFonts w:cs="Calibri"/>
                <w:color w:val="000000"/>
                <w:sz w:val="20"/>
                <w:lang w:eastAsia="es-CR"/>
              </w:rPr>
            </w:pPr>
            <w:r w:rsidRPr="004E74A6">
              <w:rPr>
                <w:rFonts w:cs="Calibri"/>
                <w:color w:val="000000"/>
                <w:sz w:val="20"/>
              </w:rPr>
              <w:t>3</w:t>
            </w:r>
          </w:p>
        </w:tc>
        <w:tc>
          <w:tcPr>
            <w:tcW w:w="517" w:type="pct"/>
            <w:tcBorders>
              <w:left w:val="single" w:sz="4" w:space="0" w:color="auto"/>
              <w:right w:val="single" w:sz="4" w:space="0" w:color="auto"/>
            </w:tcBorders>
            <w:shd w:val="clear" w:color="auto" w:fill="auto"/>
            <w:noWrap/>
            <w:vAlign w:val="bottom"/>
            <w:hideMark/>
          </w:tcPr>
          <w:p w14:paraId="5ECC5A75" w14:textId="1BDF487D" w:rsidR="00504F7D" w:rsidRPr="004E74A6" w:rsidRDefault="00504F7D" w:rsidP="00CE62C1">
            <w:pPr>
              <w:spacing w:line="276" w:lineRule="auto"/>
              <w:jc w:val="center"/>
              <w:rPr>
                <w:rFonts w:cs="Calibri"/>
                <w:color w:val="000000"/>
                <w:sz w:val="20"/>
                <w:lang w:eastAsia="es-CR"/>
              </w:rPr>
            </w:pPr>
            <w:r w:rsidRPr="004E74A6">
              <w:rPr>
                <w:rFonts w:cs="Calibri"/>
                <w:color w:val="000000"/>
                <w:sz w:val="20"/>
              </w:rPr>
              <w:t>2</w:t>
            </w:r>
          </w:p>
        </w:tc>
        <w:tc>
          <w:tcPr>
            <w:tcW w:w="516" w:type="pct"/>
            <w:tcBorders>
              <w:left w:val="single" w:sz="4" w:space="0" w:color="auto"/>
              <w:right w:val="single" w:sz="4" w:space="0" w:color="auto"/>
            </w:tcBorders>
            <w:shd w:val="clear" w:color="auto" w:fill="auto"/>
            <w:noWrap/>
            <w:vAlign w:val="bottom"/>
            <w:hideMark/>
          </w:tcPr>
          <w:p w14:paraId="60B7176A" w14:textId="5FEC9AEE" w:rsidR="00504F7D" w:rsidRPr="004E74A6" w:rsidRDefault="00504F7D" w:rsidP="00CE62C1">
            <w:pPr>
              <w:spacing w:line="276" w:lineRule="auto"/>
              <w:jc w:val="center"/>
              <w:rPr>
                <w:rFonts w:cs="Calibri"/>
                <w:color w:val="000000"/>
                <w:sz w:val="20"/>
                <w:lang w:eastAsia="es-CR"/>
              </w:rPr>
            </w:pPr>
            <w:r w:rsidRPr="004E74A6">
              <w:rPr>
                <w:rFonts w:cs="Calibri"/>
                <w:color w:val="000000"/>
                <w:sz w:val="20"/>
              </w:rPr>
              <w:t>0</w:t>
            </w:r>
          </w:p>
        </w:tc>
        <w:tc>
          <w:tcPr>
            <w:tcW w:w="689" w:type="pct"/>
            <w:tcBorders>
              <w:left w:val="single" w:sz="4" w:space="0" w:color="auto"/>
            </w:tcBorders>
            <w:shd w:val="clear" w:color="auto" w:fill="auto"/>
            <w:noWrap/>
            <w:vAlign w:val="bottom"/>
            <w:hideMark/>
          </w:tcPr>
          <w:p w14:paraId="6B0A2056" w14:textId="1733F234" w:rsidR="00504F7D" w:rsidRPr="004E74A6" w:rsidRDefault="00504F7D" w:rsidP="00CE62C1">
            <w:pPr>
              <w:spacing w:line="276" w:lineRule="auto"/>
              <w:jc w:val="center"/>
              <w:rPr>
                <w:rFonts w:cs="Calibri"/>
                <w:color w:val="000000"/>
                <w:sz w:val="20"/>
                <w:lang w:eastAsia="es-CR"/>
              </w:rPr>
            </w:pPr>
            <w:r w:rsidRPr="004E74A6">
              <w:rPr>
                <w:rFonts w:cs="Calibri"/>
                <w:color w:val="000000"/>
                <w:sz w:val="20"/>
              </w:rPr>
              <w:t>1,7</w:t>
            </w:r>
          </w:p>
        </w:tc>
      </w:tr>
      <w:tr w:rsidR="00504F7D" w:rsidRPr="004E74A6" w14:paraId="7341DA87" w14:textId="77777777" w:rsidTr="00832773">
        <w:trPr>
          <w:trHeight w:val="288"/>
          <w:jc w:val="center"/>
        </w:trPr>
        <w:tc>
          <w:tcPr>
            <w:tcW w:w="2761" w:type="pct"/>
            <w:tcBorders>
              <w:bottom w:val="single" w:sz="4" w:space="0" w:color="auto"/>
              <w:right w:val="single" w:sz="4" w:space="0" w:color="auto"/>
            </w:tcBorders>
            <w:shd w:val="clear" w:color="auto" w:fill="auto"/>
            <w:noWrap/>
            <w:vAlign w:val="bottom"/>
            <w:hideMark/>
          </w:tcPr>
          <w:p w14:paraId="2D6639C9" w14:textId="77777777" w:rsidR="00504F7D" w:rsidRPr="004E74A6" w:rsidRDefault="00504F7D" w:rsidP="00CE62C1">
            <w:pPr>
              <w:spacing w:line="276" w:lineRule="auto"/>
              <w:jc w:val="left"/>
              <w:rPr>
                <w:rFonts w:cs="Calibri"/>
                <w:color w:val="000000"/>
                <w:sz w:val="20"/>
                <w:lang w:eastAsia="es-CR"/>
              </w:rPr>
            </w:pPr>
            <w:r w:rsidRPr="004E74A6">
              <w:rPr>
                <w:rFonts w:cs="Calibri"/>
                <w:color w:val="000000"/>
                <w:sz w:val="20"/>
                <w:lang w:eastAsia="es-CR"/>
              </w:rPr>
              <w:t>Principal</w:t>
            </w:r>
          </w:p>
        </w:tc>
        <w:tc>
          <w:tcPr>
            <w:tcW w:w="517" w:type="pct"/>
            <w:tcBorders>
              <w:left w:val="single" w:sz="4" w:space="0" w:color="auto"/>
              <w:bottom w:val="single" w:sz="4" w:space="0" w:color="auto"/>
              <w:right w:val="single" w:sz="4" w:space="0" w:color="auto"/>
            </w:tcBorders>
            <w:shd w:val="clear" w:color="auto" w:fill="auto"/>
            <w:noWrap/>
            <w:vAlign w:val="bottom"/>
            <w:hideMark/>
          </w:tcPr>
          <w:p w14:paraId="45C3907D" w14:textId="1CFE40F3" w:rsidR="00504F7D" w:rsidRPr="004E74A6" w:rsidRDefault="00504F7D" w:rsidP="00CE62C1">
            <w:pPr>
              <w:spacing w:line="276" w:lineRule="auto"/>
              <w:jc w:val="center"/>
              <w:rPr>
                <w:rFonts w:cs="Calibri"/>
                <w:color w:val="000000"/>
                <w:sz w:val="20"/>
                <w:lang w:eastAsia="es-CR"/>
              </w:rPr>
            </w:pPr>
            <w:r w:rsidRPr="004E74A6">
              <w:rPr>
                <w:rFonts w:cs="Calibri"/>
                <w:color w:val="000000"/>
                <w:sz w:val="20"/>
              </w:rPr>
              <w:t>108</w:t>
            </w:r>
          </w:p>
        </w:tc>
        <w:tc>
          <w:tcPr>
            <w:tcW w:w="517" w:type="pct"/>
            <w:tcBorders>
              <w:left w:val="single" w:sz="4" w:space="0" w:color="auto"/>
              <w:bottom w:val="single" w:sz="4" w:space="0" w:color="auto"/>
              <w:right w:val="single" w:sz="4" w:space="0" w:color="auto"/>
            </w:tcBorders>
            <w:shd w:val="clear" w:color="auto" w:fill="auto"/>
            <w:noWrap/>
            <w:vAlign w:val="bottom"/>
            <w:hideMark/>
          </w:tcPr>
          <w:p w14:paraId="7A8AD549" w14:textId="02D5BCC2" w:rsidR="00504F7D" w:rsidRPr="004E74A6" w:rsidRDefault="00504F7D" w:rsidP="00CE62C1">
            <w:pPr>
              <w:spacing w:line="276" w:lineRule="auto"/>
              <w:jc w:val="center"/>
              <w:rPr>
                <w:rFonts w:cs="Calibri"/>
                <w:color w:val="000000"/>
                <w:sz w:val="20"/>
                <w:lang w:eastAsia="es-CR"/>
              </w:rPr>
            </w:pPr>
            <w:r w:rsidRPr="004E74A6">
              <w:rPr>
                <w:rFonts w:cs="Calibri"/>
                <w:color w:val="000000"/>
                <w:sz w:val="20"/>
              </w:rPr>
              <w:t>86</w:t>
            </w:r>
          </w:p>
        </w:tc>
        <w:tc>
          <w:tcPr>
            <w:tcW w:w="516" w:type="pct"/>
            <w:tcBorders>
              <w:left w:val="single" w:sz="4" w:space="0" w:color="auto"/>
              <w:bottom w:val="single" w:sz="4" w:space="0" w:color="auto"/>
              <w:right w:val="single" w:sz="4" w:space="0" w:color="auto"/>
            </w:tcBorders>
            <w:shd w:val="clear" w:color="auto" w:fill="auto"/>
            <w:noWrap/>
            <w:vAlign w:val="bottom"/>
            <w:hideMark/>
          </w:tcPr>
          <w:p w14:paraId="3B255578" w14:textId="76A8AA45" w:rsidR="00504F7D" w:rsidRPr="004E74A6" w:rsidRDefault="00504F7D" w:rsidP="00CE62C1">
            <w:pPr>
              <w:spacing w:line="276" w:lineRule="auto"/>
              <w:jc w:val="center"/>
              <w:rPr>
                <w:rFonts w:cs="Calibri"/>
                <w:color w:val="000000"/>
                <w:sz w:val="20"/>
                <w:lang w:eastAsia="es-CR"/>
              </w:rPr>
            </w:pPr>
            <w:r w:rsidRPr="004E74A6">
              <w:rPr>
                <w:rFonts w:cs="Calibri"/>
                <w:color w:val="000000"/>
                <w:sz w:val="20"/>
              </w:rPr>
              <w:t>106</w:t>
            </w:r>
          </w:p>
        </w:tc>
        <w:tc>
          <w:tcPr>
            <w:tcW w:w="689" w:type="pct"/>
            <w:tcBorders>
              <w:left w:val="single" w:sz="4" w:space="0" w:color="auto"/>
              <w:bottom w:val="single" w:sz="4" w:space="0" w:color="auto"/>
            </w:tcBorders>
            <w:shd w:val="clear" w:color="auto" w:fill="auto"/>
            <w:noWrap/>
            <w:vAlign w:val="bottom"/>
            <w:hideMark/>
          </w:tcPr>
          <w:p w14:paraId="224CB17D" w14:textId="6BF5E5A5" w:rsidR="00504F7D" w:rsidRPr="004E74A6" w:rsidRDefault="00504F7D" w:rsidP="00CE62C1">
            <w:pPr>
              <w:spacing w:line="276" w:lineRule="auto"/>
              <w:jc w:val="center"/>
              <w:rPr>
                <w:rFonts w:cs="Calibri"/>
                <w:color w:val="000000"/>
                <w:sz w:val="20"/>
                <w:lang w:eastAsia="es-CR"/>
              </w:rPr>
            </w:pPr>
            <w:r w:rsidRPr="004E74A6">
              <w:rPr>
                <w:rFonts w:cs="Calibri"/>
                <w:color w:val="000000"/>
                <w:sz w:val="20"/>
              </w:rPr>
              <w:t>100,0</w:t>
            </w:r>
          </w:p>
        </w:tc>
      </w:tr>
    </w:tbl>
    <w:p w14:paraId="53E1665C" w14:textId="77777777" w:rsidR="003E4755" w:rsidRPr="004E74A6" w:rsidRDefault="003E4755" w:rsidP="00832773">
      <w:pPr>
        <w:spacing w:line="276" w:lineRule="auto"/>
        <w:ind w:left="340" w:right="340"/>
        <w:rPr>
          <w:rFonts w:cs="Calibri"/>
          <w:i/>
          <w:iCs/>
          <w:color w:val="000000"/>
          <w:sz w:val="20"/>
          <w:lang w:eastAsia="es-CR"/>
        </w:rPr>
      </w:pPr>
      <w:r w:rsidRPr="004E74A6">
        <w:rPr>
          <w:rFonts w:cs="Calibri"/>
          <w:b/>
          <w:bCs/>
          <w:i/>
          <w:iCs/>
          <w:color w:val="000000"/>
          <w:sz w:val="20"/>
          <w:lang w:eastAsia="es-CR"/>
        </w:rPr>
        <w:t>Fuente</w:t>
      </w:r>
      <w:r w:rsidRPr="004E74A6">
        <w:rPr>
          <w:rFonts w:cs="Calibri"/>
          <w:i/>
          <w:iCs/>
          <w:color w:val="000000"/>
          <w:sz w:val="20"/>
          <w:lang w:eastAsia="es-CR"/>
        </w:rPr>
        <w:t>: Subproceso de Modernización Institucional con datos extraídos del sistema SIGMA, Dirección de Planificación.</w:t>
      </w:r>
    </w:p>
    <w:p w14:paraId="4A856310" w14:textId="36F06E86" w:rsidR="008647ED" w:rsidRPr="004E74A6" w:rsidRDefault="00504F7D" w:rsidP="00CE62C1">
      <w:pPr>
        <w:spacing w:after="160" w:line="276" w:lineRule="auto"/>
        <w:rPr>
          <w:rFonts w:cs="Calibri"/>
          <w:color w:val="000000"/>
          <w:szCs w:val="24"/>
          <w:lang w:eastAsia="es-CR"/>
        </w:rPr>
      </w:pPr>
      <w:r w:rsidRPr="004E74A6">
        <w:rPr>
          <w:rFonts w:cs="Calibri"/>
          <w:color w:val="000000"/>
          <w:szCs w:val="24"/>
          <w:lang w:eastAsia="es-CR"/>
        </w:rPr>
        <w:lastRenderedPageBreak/>
        <w:t xml:space="preserve">Se puede observar aún más a detalle para determinar la clase de asuntos principales, que tal y como lo refleja la siguiente tabla, </w:t>
      </w:r>
      <w:r w:rsidR="008647ED" w:rsidRPr="004E74A6">
        <w:rPr>
          <w:rFonts w:cs="Calibri"/>
          <w:color w:val="000000"/>
          <w:szCs w:val="24"/>
          <w:lang w:eastAsia="es-CR"/>
        </w:rPr>
        <w:t>el 91,5% está compuesto por los asuntos ordinarios, seguido de un 3,9% de medidas cautelares, siendo lo ordinario lo dominante a través de los años.</w:t>
      </w:r>
    </w:p>
    <w:p w14:paraId="18119853" w14:textId="77777777" w:rsidR="00662185" w:rsidRPr="00832773" w:rsidRDefault="00662185" w:rsidP="00832773">
      <w:pPr>
        <w:pStyle w:val="Descripcin"/>
        <w:keepNext/>
        <w:spacing w:line="276" w:lineRule="auto"/>
        <w:jc w:val="center"/>
        <w:rPr>
          <w:rFonts w:ascii="Book Antiqua" w:hAnsi="Book Antiqua"/>
          <w:i/>
          <w:iCs/>
          <w:sz w:val="20"/>
          <w:szCs w:val="16"/>
          <w:lang w:val="es-CR"/>
        </w:rPr>
      </w:pPr>
    </w:p>
    <w:p w14:paraId="5A787428" w14:textId="1A6D2DDC" w:rsidR="0055421A" w:rsidRPr="00832773" w:rsidRDefault="0055421A" w:rsidP="00F0204A">
      <w:pPr>
        <w:pStyle w:val="Descripcin"/>
        <w:keepNext/>
        <w:spacing w:line="276" w:lineRule="auto"/>
        <w:jc w:val="center"/>
        <w:rPr>
          <w:rFonts w:ascii="Book Antiqua" w:hAnsi="Book Antiqua"/>
          <w:i/>
          <w:iCs/>
          <w:sz w:val="20"/>
          <w:szCs w:val="16"/>
          <w:lang w:val="es-CR"/>
        </w:rPr>
      </w:pPr>
      <w:r w:rsidRPr="00832773">
        <w:rPr>
          <w:rFonts w:ascii="Book Antiqua" w:hAnsi="Book Antiqua"/>
          <w:i/>
          <w:iCs/>
          <w:sz w:val="20"/>
          <w:szCs w:val="16"/>
          <w:lang w:val="es-CR"/>
        </w:rPr>
        <w:t xml:space="preserve">Tabla </w:t>
      </w:r>
      <w:r w:rsidRPr="00832773">
        <w:rPr>
          <w:rFonts w:ascii="Book Antiqua" w:hAnsi="Book Antiqua"/>
          <w:i/>
          <w:iCs/>
          <w:sz w:val="20"/>
          <w:szCs w:val="16"/>
          <w:lang w:val="es-CR"/>
        </w:rPr>
        <w:fldChar w:fldCharType="begin"/>
      </w:r>
      <w:r w:rsidRPr="00832773">
        <w:rPr>
          <w:rFonts w:ascii="Book Antiqua" w:hAnsi="Book Antiqua"/>
          <w:i/>
          <w:iCs/>
          <w:sz w:val="20"/>
          <w:szCs w:val="16"/>
          <w:lang w:val="es-CR"/>
        </w:rPr>
        <w:instrText xml:space="preserve"> SEQ Tabla \* ARABIC </w:instrText>
      </w:r>
      <w:r w:rsidRPr="00832773">
        <w:rPr>
          <w:rFonts w:ascii="Book Antiqua" w:hAnsi="Book Antiqua"/>
          <w:i/>
          <w:iCs/>
          <w:sz w:val="20"/>
          <w:szCs w:val="16"/>
          <w:lang w:val="es-CR"/>
        </w:rPr>
        <w:fldChar w:fldCharType="separate"/>
      </w:r>
      <w:r w:rsidR="00374B51">
        <w:rPr>
          <w:rFonts w:ascii="Book Antiqua" w:hAnsi="Book Antiqua"/>
          <w:i/>
          <w:iCs/>
          <w:noProof/>
          <w:sz w:val="20"/>
          <w:szCs w:val="16"/>
          <w:lang w:val="es-CR"/>
        </w:rPr>
        <w:t>30</w:t>
      </w:r>
      <w:r w:rsidRPr="00832773">
        <w:rPr>
          <w:rFonts w:ascii="Book Antiqua" w:hAnsi="Book Antiqua"/>
          <w:i/>
          <w:iCs/>
          <w:sz w:val="20"/>
          <w:szCs w:val="16"/>
          <w:lang w:val="es-CR"/>
        </w:rPr>
        <w:fldChar w:fldCharType="end"/>
      </w:r>
      <w:r w:rsidRPr="00832773">
        <w:rPr>
          <w:rFonts w:ascii="Book Antiqua" w:hAnsi="Book Antiqua"/>
          <w:i/>
          <w:iCs/>
          <w:sz w:val="20"/>
          <w:szCs w:val="16"/>
          <w:lang w:val="es-CR"/>
        </w:rPr>
        <w:t xml:space="preserve"> Cantidad de principales según clase de asuntos del 2019 al 2021 para el Tribunal Colegiado de Primera Instancia Civil Primer Circuito Judicial Guanacaste, Liberia</w:t>
      </w:r>
    </w:p>
    <w:tbl>
      <w:tblPr>
        <w:tblW w:w="3631" w:type="pct"/>
        <w:jc w:val="center"/>
        <w:tblCellMar>
          <w:left w:w="70" w:type="dxa"/>
          <w:right w:w="70" w:type="dxa"/>
        </w:tblCellMar>
        <w:tblLook w:val="04A0" w:firstRow="1" w:lastRow="0" w:firstColumn="1" w:lastColumn="0" w:noHBand="0" w:noVBand="1"/>
      </w:tblPr>
      <w:tblGrid>
        <w:gridCol w:w="2801"/>
        <w:gridCol w:w="833"/>
        <w:gridCol w:w="836"/>
        <w:gridCol w:w="837"/>
        <w:gridCol w:w="1113"/>
      </w:tblGrid>
      <w:tr w:rsidR="0055421A" w:rsidRPr="004E74A6" w14:paraId="193B4E8C" w14:textId="77777777" w:rsidTr="00504F7D">
        <w:trPr>
          <w:trHeight w:val="454"/>
          <w:tblHeader/>
          <w:jc w:val="center"/>
        </w:trPr>
        <w:tc>
          <w:tcPr>
            <w:tcW w:w="2181" w:type="pct"/>
            <w:tcBorders>
              <w:top w:val="single" w:sz="4" w:space="0" w:color="auto"/>
              <w:left w:val="nil"/>
              <w:bottom w:val="single" w:sz="4" w:space="0" w:color="auto"/>
              <w:right w:val="single" w:sz="4" w:space="0" w:color="auto"/>
            </w:tcBorders>
            <w:shd w:val="clear" w:color="auto" w:fill="auto"/>
            <w:noWrap/>
            <w:vAlign w:val="center"/>
            <w:hideMark/>
          </w:tcPr>
          <w:p w14:paraId="0FCF7455"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Principal</w:t>
            </w:r>
          </w:p>
        </w:tc>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4AE8A51"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2019</w:t>
            </w:r>
          </w:p>
        </w:tc>
        <w:tc>
          <w:tcPr>
            <w:tcW w:w="65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6FD0A0F"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2020</w:t>
            </w:r>
          </w:p>
        </w:tc>
        <w:tc>
          <w:tcPr>
            <w:tcW w:w="65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477C9F9"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2021</w:t>
            </w:r>
          </w:p>
        </w:tc>
        <w:tc>
          <w:tcPr>
            <w:tcW w:w="867" w:type="pct"/>
            <w:tcBorders>
              <w:top w:val="single" w:sz="4" w:space="0" w:color="auto"/>
              <w:left w:val="single" w:sz="4" w:space="0" w:color="auto"/>
              <w:bottom w:val="single" w:sz="4" w:space="0" w:color="auto"/>
              <w:right w:val="nil"/>
            </w:tcBorders>
            <w:shd w:val="clear" w:color="auto" w:fill="auto"/>
            <w:noWrap/>
            <w:vAlign w:val="center"/>
          </w:tcPr>
          <w:p w14:paraId="428C3E35" w14:textId="4CF3086F" w:rsidR="008647ED" w:rsidRPr="004E74A6" w:rsidRDefault="0055421A" w:rsidP="00CE62C1">
            <w:pPr>
              <w:spacing w:line="276" w:lineRule="auto"/>
              <w:jc w:val="center"/>
              <w:rPr>
                <w:rFonts w:cs="Calibri"/>
                <w:color w:val="000000"/>
                <w:sz w:val="20"/>
                <w:lang w:eastAsia="es-CR"/>
              </w:rPr>
            </w:pPr>
            <w:r w:rsidRPr="004E74A6">
              <w:rPr>
                <w:rFonts w:cs="Calibri"/>
                <w:color w:val="000000"/>
                <w:sz w:val="20"/>
                <w:lang w:eastAsia="es-CR"/>
              </w:rPr>
              <w:t>Promedio</w:t>
            </w:r>
          </w:p>
        </w:tc>
      </w:tr>
      <w:tr w:rsidR="0055421A" w:rsidRPr="004E74A6" w14:paraId="3D37EE57" w14:textId="77777777" w:rsidTr="00504F7D">
        <w:trPr>
          <w:trHeight w:val="288"/>
          <w:jc w:val="center"/>
        </w:trPr>
        <w:tc>
          <w:tcPr>
            <w:tcW w:w="2181" w:type="pct"/>
            <w:tcBorders>
              <w:top w:val="single" w:sz="4" w:space="0" w:color="auto"/>
              <w:left w:val="nil"/>
              <w:bottom w:val="nil"/>
              <w:right w:val="single" w:sz="4" w:space="0" w:color="auto"/>
            </w:tcBorders>
            <w:shd w:val="clear" w:color="auto" w:fill="auto"/>
            <w:noWrap/>
            <w:vAlign w:val="center"/>
          </w:tcPr>
          <w:p w14:paraId="13411BCA" w14:textId="77777777" w:rsidR="008647ED" w:rsidRPr="004E74A6" w:rsidRDefault="008647ED" w:rsidP="00CE62C1">
            <w:pPr>
              <w:spacing w:line="276" w:lineRule="auto"/>
              <w:ind w:firstLineChars="100" w:firstLine="200"/>
              <w:jc w:val="center"/>
              <w:rPr>
                <w:rFonts w:cs="Calibri"/>
                <w:color w:val="000000"/>
                <w:sz w:val="20"/>
                <w:lang w:eastAsia="es-CR"/>
              </w:rPr>
            </w:pPr>
          </w:p>
        </w:tc>
        <w:tc>
          <w:tcPr>
            <w:tcW w:w="649" w:type="pct"/>
            <w:tcBorders>
              <w:top w:val="single" w:sz="4" w:space="0" w:color="auto"/>
              <w:left w:val="single" w:sz="4" w:space="0" w:color="auto"/>
              <w:bottom w:val="nil"/>
              <w:right w:val="single" w:sz="4" w:space="0" w:color="auto"/>
            </w:tcBorders>
            <w:shd w:val="clear" w:color="auto" w:fill="auto"/>
            <w:noWrap/>
            <w:vAlign w:val="center"/>
          </w:tcPr>
          <w:p w14:paraId="43D3E06F" w14:textId="77777777" w:rsidR="008647ED" w:rsidRPr="004E74A6" w:rsidRDefault="008647ED" w:rsidP="00CE62C1">
            <w:pPr>
              <w:spacing w:line="276" w:lineRule="auto"/>
              <w:jc w:val="center"/>
              <w:rPr>
                <w:rFonts w:cs="Calibri"/>
                <w:color w:val="000000"/>
                <w:sz w:val="20"/>
                <w:lang w:eastAsia="es-CR"/>
              </w:rPr>
            </w:pPr>
          </w:p>
        </w:tc>
        <w:tc>
          <w:tcPr>
            <w:tcW w:w="651" w:type="pct"/>
            <w:tcBorders>
              <w:top w:val="single" w:sz="4" w:space="0" w:color="auto"/>
              <w:left w:val="single" w:sz="4" w:space="0" w:color="auto"/>
              <w:bottom w:val="nil"/>
              <w:right w:val="single" w:sz="4" w:space="0" w:color="auto"/>
            </w:tcBorders>
            <w:shd w:val="clear" w:color="auto" w:fill="auto"/>
            <w:noWrap/>
            <w:vAlign w:val="center"/>
          </w:tcPr>
          <w:p w14:paraId="3255EA2D" w14:textId="77777777" w:rsidR="008647ED" w:rsidRPr="004E74A6" w:rsidRDefault="008647ED" w:rsidP="00CE62C1">
            <w:pPr>
              <w:spacing w:line="276" w:lineRule="auto"/>
              <w:jc w:val="center"/>
              <w:rPr>
                <w:rFonts w:cs="Calibri"/>
                <w:color w:val="000000"/>
                <w:sz w:val="20"/>
                <w:lang w:eastAsia="es-CR"/>
              </w:rPr>
            </w:pPr>
          </w:p>
        </w:tc>
        <w:tc>
          <w:tcPr>
            <w:tcW w:w="652" w:type="pct"/>
            <w:tcBorders>
              <w:top w:val="single" w:sz="4" w:space="0" w:color="auto"/>
              <w:left w:val="single" w:sz="4" w:space="0" w:color="auto"/>
              <w:bottom w:val="nil"/>
              <w:right w:val="single" w:sz="4" w:space="0" w:color="auto"/>
            </w:tcBorders>
            <w:shd w:val="clear" w:color="auto" w:fill="auto"/>
            <w:noWrap/>
            <w:vAlign w:val="center"/>
          </w:tcPr>
          <w:p w14:paraId="250590BF" w14:textId="77777777" w:rsidR="008647ED" w:rsidRPr="004E74A6" w:rsidRDefault="008647ED" w:rsidP="00CE62C1">
            <w:pPr>
              <w:spacing w:line="276" w:lineRule="auto"/>
              <w:jc w:val="center"/>
              <w:rPr>
                <w:rFonts w:cs="Calibri"/>
                <w:color w:val="000000"/>
                <w:sz w:val="20"/>
                <w:lang w:eastAsia="es-CR"/>
              </w:rPr>
            </w:pPr>
          </w:p>
        </w:tc>
        <w:tc>
          <w:tcPr>
            <w:tcW w:w="867" w:type="pct"/>
            <w:tcBorders>
              <w:top w:val="single" w:sz="4" w:space="0" w:color="auto"/>
              <w:left w:val="single" w:sz="4" w:space="0" w:color="auto"/>
              <w:bottom w:val="nil"/>
              <w:right w:val="nil"/>
            </w:tcBorders>
            <w:shd w:val="clear" w:color="auto" w:fill="auto"/>
            <w:noWrap/>
            <w:vAlign w:val="center"/>
          </w:tcPr>
          <w:p w14:paraId="618EC567" w14:textId="77777777" w:rsidR="008647ED" w:rsidRPr="004E74A6" w:rsidRDefault="008647ED" w:rsidP="00CE62C1">
            <w:pPr>
              <w:spacing w:line="276" w:lineRule="auto"/>
              <w:jc w:val="center"/>
              <w:rPr>
                <w:rFonts w:cs="Calibri"/>
                <w:color w:val="000000"/>
                <w:sz w:val="20"/>
                <w:lang w:eastAsia="es-CR"/>
              </w:rPr>
            </w:pPr>
          </w:p>
        </w:tc>
      </w:tr>
      <w:tr w:rsidR="00504F7D" w:rsidRPr="004E74A6" w14:paraId="5DA02215" w14:textId="77777777" w:rsidTr="00B32800">
        <w:trPr>
          <w:trHeight w:val="288"/>
          <w:jc w:val="center"/>
        </w:trPr>
        <w:tc>
          <w:tcPr>
            <w:tcW w:w="2181" w:type="pct"/>
            <w:tcBorders>
              <w:top w:val="nil"/>
              <w:left w:val="nil"/>
              <w:bottom w:val="nil"/>
              <w:right w:val="single" w:sz="4" w:space="0" w:color="auto"/>
            </w:tcBorders>
            <w:shd w:val="clear" w:color="auto" w:fill="auto"/>
            <w:noWrap/>
            <w:vAlign w:val="center"/>
          </w:tcPr>
          <w:p w14:paraId="25BF44FE" w14:textId="77777777" w:rsidR="00504F7D" w:rsidRPr="004E74A6" w:rsidRDefault="00504F7D" w:rsidP="00CE62C1">
            <w:pPr>
              <w:spacing w:line="276" w:lineRule="auto"/>
              <w:jc w:val="center"/>
              <w:rPr>
                <w:rFonts w:cs="Calibri"/>
                <w:color w:val="000000"/>
                <w:sz w:val="20"/>
                <w:lang w:eastAsia="es-CR"/>
              </w:rPr>
            </w:pPr>
            <w:r w:rsidRPr="004E74A6">
              <w:rPr>
                <w:rFonts w:cs="Calibri"/>
                <w:color w:val="000000"/>
                <w:sz w:val="20"/>
                <w:lang w:eastAsia="es-CR"/>
              </w:rPr>
              <w:t>Total</w:t>
            </w:r>
          </w:p>
        </w:tc>
        <w:tc>
          <w:tcPr>
            <w:tcW w:w="649" w:type="pct"/>
            <w:tcBorders>
              <w:top w:val="nil"/>
              <w:left w:val="single" w:sz="4" w:space="0" w:color="auto"/>
              <w:bottom w:val="nil"/>
              <w:right w:val="single" w:sz="4" w:space="0" w:color="auto"/>
            </w:tcBorders>
            <w:shd w:val="clear" w:color="auto" w:fill="auto"/>
            <w:noWrap/>
            <w:vAlign w:val="bottom"/>
          </w:tcPr>
          <w:p w14:paraId="35C67F65" w14:textId="3BF8B62C" w:rsidR="00504F7D" w:rsidRPr="004E74A6" w:rsidRDefault="00504F7D" w:rsidP="00CE62C1">
            <w:pPr>
              <w:spacing w:line="276" w:lineRule="auto"/>
              <w:jc w:val="center"/>
              <w:rPr>
                <w:rFonts w:cs="Calibri"/>
                <w:color w:val="000000"/>
                <w:sz w:val="20"/>
                <w:lang w:eastAsia="es-CR"/>
              </w:rPr>
            </w:pPr>
            <w:r w:rsidRPr="004E74A6">
              <w:rPr>
                <w:rFonts w:cs="Calibri"/>
                <w:color w:val="000000"/>
                <w:sz w:val="20"/>
              </w:rPr>
              <w:t>108</w:t>
            </w:r>
          </w:p>
        </w:tc>
        <w:tc>
          <w:tcPr>
            <w:tcW w:w="651" w:type="pct"/>
            <w:tcBorders>
              <w:top w:val="nil"/>
              <w:left w:val="single" w:sz="4" w:space="0" w:color="auto"/>
              <w:bottom w:val="nil"/>
              <w:right w:val="single" w:sz="4" w:space="0" w:color="auto"/>
            </w:tcBorders>
            <w:shd w:val="clear" w:color="auto" w:fill="auto"/>
            <w:noWrap/>
            <w:vAlign w:val="bottom"/>
          </w:tcPr>
          <w:p w14:paraId="1B12053C" w14:textId="50517E39" w:rsidR="00504F7D" w:rsidRPr="004E74A6" w:rsidRDefault="00504F7D" w:rsidP="00CE62C1">
            <w:pPr>
              <w:spacing w:line="276" w:lineRule="auto"/>
              <w:jc w:val="center"/>
              <w:rPr>
                <w:rFonts w:cs="Calibri"/>
                <w:color w:val="000000"/>
                <w:sz w:val="20"/>
                <w:lang w:eastAsia="es-CR"/>
              </w:rPr>
            </w:pPr>
            <w:r w:rsidRPr="004E74A6">
              <w:rPr>
                <w:rFonts w:cs="Calibri"/>
                <w:color w:val="000000"/>
                <w:sz w:val="20"/>
              </w:rPr>
              <w:t>86</w:t>
            </w:r>
          </w:p>
        </w:tc>
        <w:tc>
          <w:tcPr>
            <w:tcW w:w="652" w:type="pct"/>
            <w:tcBorders>
              <w:top w:val="nil"/>
              <w:left w:val="single" w:sz="4" w:space="0" w:color="auto"/>
              <w:bottom w:val="nil"/>
              <w:right w:val="single" w:sz="4" w:space="0" w:color="auto"/>
            </w:tcBorders>
            <w:shd w:val="clear" w:color="auto" w:fill="auto"/>
            <w:noWrap/>
            <w:vAlign w:val="bottom"/>
          </w:tcPr>
          <w:p w14:paraId="1D5F8379" w14:textId="5CA9B88B" w:rsidR="00504F7D" w:rsidRPr="004E74A6" w:rsidRDefault="00504F7D" w:rsidP="00CE62C1">
            <w:pPr>
              <w:spacing w:line="276" w:lineRule="auto"/>
              <w:jc w:val="center"/>
              <w:rPr>
                <w:rFonts w:cs="Calibri"/>
                <w:color w:val="000000"/>
                <w:sz w:val="20"/>
                <w:lang w:eastAsia="es-CR"/>
              </w:rPr>
            </w:pPr>
            <w:r w:rsidRPr="004E74A6">
              <w:rPr>
                <w:rFonts w:cs="Calibri"/>
                <w:color w:val="000000"/>
                <w:sz w:val="20"/>
              </w:rPr>
              <w:t>106</w:t>
            </w:r>
          </w:p>
        </w:tc>
        <w:tc>
          <w:tcPr>
            <w:tcW w:w="867" w:type="pct"/>
            <w:tcBorders>
              <w:top w:val="nil"/>
              <w:left w:val="single" w:sz="4" w:space="0" w:color="auto"/>
              <w:bottom w:val="nil"/>
              <w:right w:val="nil"/>
            </w:tcBorders>
            <w:shd w:val="clear" w:color="auto" w:fill="auto"/>
            <w:noWrap/>
            <w:vAlign w:val="bottom"/>
          </w:tcPr>
          <w:p w14:paraId="74438708" w14:textId="5070B2CE" w:rsidR="00504F7D" w:rsidRPr="004E74A6" w:rsidRDefault="00504F7D" w:rsidP="00CE62C1">
            <w:pPr>
              <w:spacing w:line="276" w:lineRule="auto"/>
              <w:jc w:val="center"/>
              <w:rPr>
                <w:rFonts w:cs="Calibri"/>
                <w:color w:val="000000"/>
                <w:sz w:val="20"/>
                <w:lang w:eastAsia="es-CR"/>
              </w:rPr>
            </w:pPr>
            <w:r w:rsidRPr="004E74A6">
              <w:rPr>
                <w:rFonts w:cs="Calibri"/>
                <w:color w:val="000000"/>
                <w:sz w:val="20"/>
              </w:rPr>
              <w:t>100</w:t>
            </w:r>
          </w:p>
        </w:tc>
      </w:tr>
      <w:tr w:rsidR="0055421A" w:rsidRPr="004E74A6" w14:paraId="7DDAABE1" w14:textId="77777777" w:rsidTr="00504F7D">
        <w:trPr>
          <w:trHeight w:val="288"/>
          <w:jc w:val="center"/>
        </w:trPr>
        <w:tc>
          <w:tcPr>
            <w:tcW w:w="2181" w:type="pct"/>
            <w:tcBorders>
              <w:top w:val="nil"/>
              <w:left w:val="nil"/>
              <w:bottom w:val="nil"/>
              <w:right w:val="single" w:sz="4" w:space="0" w:color="auto"/>
            </w:tcBorders>
            <w:shd w:val="clear" w:color="auto" w:fill="auto"/>
            <w:noWrap/>
            <w:vAlign w:val="bottom"/>
          </w:tcPr>
          <w:p w14:paraId="63487A49" w14:textId="77777777" w:rsidR="0055421A" w:rsidRPr="004E74A6" w:rsidRDefault="0055421A" w:rsidP="00CE62C1">
            <w:pPr>
              <w:spacing w:line="276" w:lineRule="auto"/>
              <w:ind w:firstLineChars="100" w:firstLine="200"/>
              <w:jc w:val="left"/>
              <w:rPr>
                <w:rFonts w:cs="Calibri"/>
                <w:color w:val="000000"/>
                <w:sz w:val="20"/>
                <w:lang w:eastAsia="es-CR"/>
              </w:rPr>
            </w:pPr>
          </w:p>
        </w:tc>
        <w:tc>
          <w:tcPr>
            <w:tcW w:w="649" w:type="pct"/>
            <w:tcBorders>
              <w:top w:val="nil"/>
              <w:left w:val="single" w:sz="4" w:space="0" w:color="auto"/>
              <w:bottom w:val="nil"/>
              <w:right w:val="single" w:sz="4" w:space="0" w:color="auto"/>
            </w:tcBorders>
            <w:shd w:val="clear" w:color="auto" w:fill="auto"/>
            <w:noWrap/>
            <w:vAlign w:val="center"/>
          </w:tcPr>
          <w:p w14:paraId="6E88299E" w14:textId="77777777" w:rsidR="0055421A" w:rsidRPr="004E74A6" w:rsidRDefault="0055421A" w:rsidP="00CE62C1">
            <w:pPr>
              <w:spacing w:line="276" w:lineRule="auto"/>
              <w:jc w:val="center"/>
              <w:rPr>
                <w:rFonts w:cs="Calibri"/>
                <w:color w:val="000000"/>
                <w:sz w:val="20"/>
                <w:lang w:eastAsia="es-CR"/>
              </w:rPr>
            </w:pPr>
          </w:p>
        </w:tc>
        <w:tc>
          <w:tcPr>
            <w:tcW w:w="651" w:type="pct"/>
            <w:tcBorders>
              <w:top w:val="nil"/>
              <w:left w:val="single" w:sz="4" w:space="0" w:color="auto"/>
              <w:bottom w:val="nil"/>
              <w:right w:val="single" w:sz="4" w:space="0" w:color="auto"/>
            </w:tcBorders>
            <w:shd w:val="clear" w:color="auto" w:fill="auto"/>
            <w:noWrap/>
            <w:vAlign w:val="center"/>
          </w:tcPr>
          <w:p w14:paraId="78B19033" w14:textId="77777777" w:rsidR="0055421A" w:rsidRPr="004E74A6" w:rsidRDefault="0055421A" w:rsidP="00CE62C1">
            <w:pPr>
              <w:spacing w:line="276" w:lineRule="auto"/>
              <w:jc w:val="center"/>
              <w:rPr>
                <w:rFonts w:cs="Calibri"/>
                <w:color w:val="000000"/>
                <w:sz w:val="20"/>
                <w:lang w:eastAsia="es-CR"/>
              </w:rPr>
            </w:pPr>
          </w:p>
        </w:tc>
        <w:tc>
          <w:tcPr>
            <w:tcW w:w="652" w:type="pct"/>
            <w:tcBorders>
              <w:top w:val="nil"/>
              <w:left w:val="single" w:sz="4" w:space="0" w:color="auto"/>
              <w:bottom w:val="nil"/>
              <w:right w:val="single" w:sz="4" w:space="0" w:color="auto"/>
            </w:tcBorders>
            <w:shd w:val="clear" w:color="auto" w:fill="auto"/>
            <w:noWrap/>
            <w:vAlign w:val="center"/>
          </w:tcPr>
          <w:p w14:paraId="4EF5F3D4" w14:textId="77777777" w:rsidR="0055421A" w:rsidRPr="004E74A6" w:rsidRDefault="0055421A" w:rsidP="00CE62C1">
            <w:pPr>
              <w:spacing w:line="276" w:lineRule="auto"/>
              <w:jc w:val="center"/>
              <w:rPr>
                <w:rFonts w:cs="Calibri"/>
                <w:color w:val="000000"/>
                <w:sz w:val="20"/>
                <w:lang w:eastAsia="es-CR"/>
              </w:rPr>
            </w:pPr>
          </w:p>
        </w:tc>
        <w:tc>
          <w:tcPr>
            <w:tcW w:w="867" w:type="pct"/>
            <w:tcBorders>
              <w:top w:val="nil"/>
              <w:left w:val="single" w:sz="4" w:space="0" w:color="auto"/>
              <w:bottom w:val="nil"/>
              <w:right w:val="nil"/>
            </w:tcBorders>
            <w:shd w:val="clear" w:color="auto" w:fill="auto"/>
            <w:noWrap/>
            <w:vAlign w:val="center"/>
          </w:tcPr>
          <w:p w14:paraId="4C97FD3B" w14:textId="77777777" w:rsidR="0055421A" w:rsidRPr="004E74A6" w:rsidRDefault="0055421A" w:rsidP="00CE62C1">
            <w:pPr>
              <w:spacing w:line="276" w:lineRule="auto"/>
              <w:jc w:val="center"/>
              <w:rPr>
                <w:rFonts w:cs="Calibri"/>
                <w:color w:val="000000"/>
                <w:sz w:val="20"/>
                <w:lang w:eastAsia="es-CR"/>
              </w:rPr>
            </w:pPr>
          </w:p>
        </w:tc>
      </w:tr>
      <w:tr w:rsidR="00504F7D" w:rsidRPr="004E74A6" w14:paraId="049034C0" w14:textId="77777777" w:rsidTr="00504F7D">
        <w:trPr>
          <w:trHeight w:val="288"/>
          <w:jc w:val="center"/>
        </w:trPr>
        <w:tc>
          <w:tcPr>
            <w:tcW w:w="2181" w:type="pct"/>
            <w:tcBorders>
              <w:top w:val="nil"/>
              <w:left w:val="nil"/>
              <w:bottom w:val="nil"/>
              <w:right w:val="single" w:sz="4" w:space="0" w:color="auto"/>
            </w:tcBorders>
            <w:shd w:val="clear" w:color="auto" w:fill="auto"/>
            <w:noWrap/>
            <w:vAlign w:val="bottom"/>
            <w:hideMark/>
          </w:tcPr>
          <w:p w14:paraId="4900C2B6" w14:textId="77777777" w:rsidR="00504F7D" w:rsidRPr="004E74A6" w:rsidRDefault="00504F7D" w:rsidP="00CE62C1">
            <w:pPr>
              <w:spacing w:line="276" w:lineRule="auto"/>
              <w:ind w:firstLineChars="100" w:firstLine="200"/>
              <w:jc w:val="left"/>
              <w:rPr>
                <w:rFonts w:cs="Calibri"/>
                <w:color w:val="000000"/>
                <w:sz w:val="20"/>
                <w:lang w:eastAsia="es-CR"/>
              </w:rPr>
            </w:pPr>
            <w:r w:rsidRPr="004E74A6">
              <w:rPr>
                <w:rFonts w:cs="Calibri"/>
                <w:color w:val="000000"/>
                <w:sz w:val="20"/>
                <w:lang w:eastAsia="es-CR"/>
              </w:rPr>
              <w:t>Medida Cautelar</w:t>
            </w:r>
          </w:p>
        </w:tc>
        <w:tc>
          <w:tcPr>
            <w:tcW w:w="649" w:type="pct"/>
            <w:tcBorders>
              <w:top w:val="nil"/>
              <w:left w:val="single" w:sz="4" w:space="0" w:color="auto"/>
              <w:bottom w:val="nil"/>
              <w:right w:val="single" w:sz="4" w:space="0" w:color="auto"/>
            </w:tcBorders>
            <w:shd w:val="clear" w:color="auto" w:fill="auto"/>
            <w:noWrap/>
            <w:vAlign w:val="bottom"/>
            <w:hideMark/>
          </w:tcPr>
          <w:p w14:paraId="3D3A9037" w14:textId="7DD636CE" w:rsidR="00504F7D" w:rsidRPr="004E74A6" w:rsidRDefault="00504F7D" w:rsidP="00CE62C1">
            <w:pPr>
              <w:spacing w:line="276" w:lineRule="auto"/>
              <w:jc w:val="center"/>
              <w:rPr>
                <w:rFonts w:cs="Calibri"/>
                <w:color w:val="000000"/>
                <w:sz w:val="20"/>
                <w:lang w:eastAsia="es-CR"/>
              </w:rPr>
            </w:pPr>
            <w:r w:rsidRPr="004E74A6">
              <w:rPr>
                <w:rFonts w:cs="Calibri"/>
                <w:color w:val="000000"/>
                <w:sz w:val="20"/>
              </w:rPr>
              <w:t>1</w:t>
            </w:r>
          </w:p>
        </w:tc>
        <w:tc>
          <w:tcPr>
            <w:tcW w:w="651" w:type="pct"/>
            <w:tcBorders>
              <w:top w:val="nil"/>
              <w:left w:val="single" w:sz="4" w:space="0" w:color="auto"/>
              <w:bottom w:val="nil"/>
              <w:right w:val="single" w:sz="4" w:space="0" w:color="auto"/>
            </w:tcBorders>
            <w:shd w:val="clear" w:color="auto" w:fill="auto"/>
            <w:noWrap/>
            <w:vAlign w:val="bottom"/>
            <w:hideMark/>
          </w:tcPr>
          <w:p w14:paraId="0ABB6E7E" w14:textId="39FB9C3F" w:rsidR="00504F7D" w:rsidRPr="004E74A6" w:rsidRDefault="00504F7D" w:rsidP="00CE62C1">
            <w:pPr>
              <w:spacing w:line="276" w:lineRule="auto"/>
              <w:jc w:val="center"/>
              <w:rPr>
                <w:rFonts w:cs="Calibri"/>
                <w:color w:val="000000"/>
                <w:sz w:val="20"/>
                <w:lang w:eastAsia="es-CR"/>
              </w:rPr>
            </w:pPr>
            <w:r w:rsidRPr="004E74A6">
              <w:rPr>
                <w:rFonts w:cs="Calibri"/>
                <w:color w:val="000000"/>
                <w:sz w:val="20"/>
              </w:rPr>
              <w:t>7</w:t>
            </w:r>
          </w:p>
        </w:tc>
        <w:tc>
          <w:tcPr>
            <w:tcW w:w="652" w:type="pct"/>
            <w:tcBorders>
              <w:top w:val="nil"/>
              <w:left w:val="single" w:sz="4" w:space="0" w:color="auto"/>
              <w:bottom w:val="nil"/>
              <w:right w:val="single" w:sz="4" w:space="0" w:color="auto"/>
            </w:tcBorders>
            <w:shd w:val="clear" w:color="auto" w:fill="auto"/>
            <w:noWrap/>
            <w:vAlign w:val="bottom"/>
            <w:hideMark/>
          </w:tcPr>
          <w:p w14:paraId="538A8973" w14:textId="6BA9C9C0" w:rsidR="00504F7D" w:rsidRPr="004E74A6" w:rsidRDefault="00504F7D" w:rsidP="00CE62C1">
            <w:pPr>
              <w:spacing w:line="276" w:lineRule="auto"/>
              <w:jc w:val="center"/>
              <w:rPr>
                <w:rFonts w:cs="Calibri"/>
                <w:color w:val="000000"/>
                <w:sz w:val="20"/>
                <w:lang w:eastAsia="es-CR"/>
              </w:rPr>
            </w:pPr>
            <w:r w:rsidRPr="004E74A6">
              <w:rPr>
                <w:rFonts w:cs="Calibri"/>
                <w:color w:val="000000"/>
                <w:sz w:val="20"/>
              </w:rPr>
              <w:t>2</w:t>
            </w:r>
          </w:p>
        </w:tc>
        <w:tc>
          <w:tcPr>
            <w:tcW w:w="867" w:type="pct"/>
            <w:tcBorders>
              <w:top w:val="nil"/>
              <w:left w:val="single" w:sz="4" w:space="0" w:color="auto"/>
              <w:bottom w:val="nil"/>
              <w:right w:val="nil"/>
            </w:tcBorders>
            <w:shd w:val="clear" w:color="auto" w:fill="auto"/>
            <w:noWrap/>
            <w:vAlign w:val="bottom"/>
            <w:hideMark/>
          </w:tcPr>
          <w:p w14:paraId="04C7EB08" w14:textId="055E23AB" w:rsidR="00504F7D" w:rsidRPr="004E74A6" w:rsidRDefault="00504F7D" w:rsidP="00CE62C1">
            <w:pPr>
              <w:spacing w:line="276" w:lineRule="auto"/>
              <w:jc w:val="center"/>
              <w:rPr>
                <w:rFonts w:cs="Calibri"/>
                <w:color w:val="000000"/>
                <w:sz w:val="20"/>
                <w:lang w:eastAsia="es-CR"/>
              </w:rPr>
            </w:pPr>
            <w:r w:rsidRPr="004E74A6">
              <w:rPr>
                <w:rFonts w:cs="Calibri"/>
                <w:color w:val="000000"/>
                <w:sz w:val="20"/>
              </w:rPr>
              <w:t>3,3</w:t>
            </w:r>
          </w:p>
        </w:tc>
      </w:tr>
      <w:tr w:rsidR="00504F7D" w:rsidRPr="004E74A6" w14:paraId="1AC1A04F" w14:textId="77777777" w:rsidTr="00504F7D">
        <w:trPr>
          <w:trHeight w:val="288"/>
          <w:jc w:val="center"/>
        </w:trPr>
        <w:tc>
          <w:tcPr>
            <w:tcW w:w="2181" w:type="pct"/>
            <w:tcBorders>
              <w:top w:val="nil"/>
              <w:left w:val="nil"/>
              <w:bottom w:val="nil"/>
              <w:right w:val="single" w:sz="4" w:space="0" w:color="auto"/>
            </w:tcBorders>
            <w:shd w:val="clear" w:color="auto" w:fill="C5E0B3" w:themeFill="accent6" w:themeFillTint="66"/>
            <w:noWrap/>
            <w:vAlign w:val="bottom"/>
            <w:hideMark/>
          </w:tcPr>
          <w:p w14:paraId="2B446EFC" w14:textId="77777777" w:rsidR="00504F7D" w:rsidRPr="004E74A6" w:rsidRDefault="00504F7D" w:rsidP="00CE62C1">
            <w:pPr>
              <w:spacing w:line="276" w:lineRule="auto"/>
              <w:ind w:firstLineChars="100" w:firstLine="200"/>
              <w:jc w:val="left"/>
              <w:rPr>
                <w:rFonts w:cs="Calibri"/>
                <w:color w:val="000000"/>
                <w:sz w:val="20"/>
                <w:lang w:eastAsia="es-CR"/>
              </w:rPr>
            </w:pPr>
            <w:r w:rsidRPr="004E74A6">
              <w:rPr>
                <w:rFonts w:cs="Calibri"/>
                <w:color w:val="000000"/>
                <w:sz w:val="20"/>
                <w:lang w:eastAsia="es-CR"/>
              </w:rPr>
              <w:t>Ordinario</w:t>
            </w:r>
          </w:p>
        </w:tc>
        <w:tc>
          <w:tcPr>
            <w:tcW w:w="649" w:type="pct"/>
            <w:tcBorders>
              <w:top w:val="nil"/>
              <w:left w:val="single" w:sz="4" w:space="0" w:color="auto"/>
              <w:bottom w:val="nil"/>
              <w:right w:val="single" w:sz="4" w:space="0" w:color="auto"/>
            </w:tcBorders>
            <w:shd w:val="clear" w:color="auto" w:fill="C5E0B3" w:themeFill="accent6" w:themeFillTint="66"/>
            <w:noWrap/>
            <w:vAlign w:val="bottom"/>
            <w:hideMark/>
          </w:tcPr>
          <w:p w14:paraId="7B628D17" w14:textId="7EBD433F" w:rsidR="00504F7D" w:rsidRPr="004E74A6" w:rsidRDefault="00504F7D" w:rsidP="00CE62C1">
            <w:pPr>
              <w:spacing w:line="276" w:lineRule="auto"/>
              <w:jc w:val="center"/>
              <w:rPr>
                <w:rFonts w:cs="Calibri"/>
                <w:color w:val="000000"/>
                <w:sz w:val="20"/>
                <w:lang w:eastAsia="es-CR"/>
              </w:rPr>
            </w:pPr>
            <w:r w:rsidRPr="004E74A6">
              <w:rPr>
                <w:rFonts w:cs="Calibri"/>
                <w:color w:val="000000"/>
                <w:sz w:val="20"/>
              </w:rPr>
              <w:t>99</w:t>
            </w:r>
          </w:p>
        </w:tc>
        <w:tc>
          <w:tcPr>
            <w:tcW w:w="651" w:type="pct"/>
            <w:tcBorders>
              <w:top w:val="nil"/>
              <w:left w:val="single" w:sz="4" w:space="0" w:color="auto"/>
              <w:bottom w:val="nil"/>
              <w:right w:val="single" w:sz="4" w:space="0" w:color="auto"/>
            </w:tcBorders>
            <w:shd w:val="clear" w:color="auto" w:fill="C5E0B3" w:themeFill="accent6" w:themeFillTint="66"/>
            <w:noWrap/>
            <w:vAlign w:val="bottom"/>
            <w:hideMark/>
          </w:tcPr>
          <w:p w14:paraId="0ECB9981" w14:textId="016FA7B6" w:rsidR="00504F7D" w:rsidRPr="004E74A6" w:rsidRDefault="00504F7D" w:rsidP="00CE62C1">
            <w:pPr>
              <w:spacing w:line="276" w:lineRule="auto"/>
              <w:jc w:val="center"/>
              <w:rPr>
                <w:rFonts w:cs="Calibri"/>
                <w:color w:val="000000"/>
                <w:sz w:val="20"/>
                <w:lang w:eastAsia="es-CR"/>
              </w:rPr>
            </w:pPr>
            <w:r w:rsidRPr="004E74A6">
              <w:rPr>
                <w:rFonts w:cs="Calibri"/>
                <w:color w:val="000000"/>
                <w:sz w:val="20"/>
              </w:rPr>
              <w:t>78</w:t>
            </w:r>
          </w:p>
        </w:tc>
        <w:tc>
          <w:tcPr>
            <w:tcW w:w="652" w:type="pct"/>
            <w:tcBorders>
              <w:top w:val="nil"/>
              <w:left w:val="single" w:sz="4" w:space="0" w:color="auto"/>
              <w:bottom w:val="nil"/>
              <w:right w:val="single" w:sz="4" w:space="0" w:color="auto"/>
            </w:tcBorders>
            <w:shd w:val="clear" w:color="auto" w:fill="C5E0B3" w:themeFill="accent6" w:themeFillTint="66"/>
            <w:noWrap/>
            <w:vAlign w:val="bottom"/>
            <w:hideMark/>
          </w:tcPr>
          <w:p w14:paraId="33CC9DF1" w14:textId="0CCE2CD7" w:rsidR="00504F7D" w:rsidRPr="004E74A6" w:rsidRDefault="00504F7D" w:rsidP="00CE62C1">
            <w:pPr>
              <w:spacing w:line="276" w:lineRule="auto"/>
              <w:jc w:val="center"/>
              <w:rPr>
                <w:rFonts w:cs="Calibri"/>
                <w:color w:val="000000"/>
                <w:sz w:val="20"/>
                <w:lang w:eastAsia="es-CR"/>
              </w:rPr>
            </w:pPr>
            <w:r w:rsidRPr="004E74A6">
              <w:rPr>
                <w:rFonts w:cs="Calibri"/>
                <w:color w:val="000000"/>
                <w:sz w:val="20"/>
              </w:rPr>
              <w:t>97</w:t>
            </w:r>
          </w:p>
        </w:tc>
        <w:tc>
          <w:tcPr>
            <w:tcW w:w="867" w:type="pct"/>
            <w:tcBorders>
              <w:top w:val="nil"/>
              <w:left w:val="single" w:sz="4" w:space="0" w:color="auto"/>
              <w:bottom w:val="nil"/>
              <w:right w:val="nil"/>
            </w:tcBorders>
            <w:shd w:val="clear" w:color="auto" w:fill="C5E0B3" w:themeFill="accent6" w:themeFillTint="66"/>
            <w:noWrap/>
            <w:vAlign w:val="bottom"/>
            <w:hideMark/>
          </w:tcPr>
          <w:p w14:paraId="4BD3E33E" w14:textId="3CAC0CA2" w:rsidR="00504F7D" w:rsidRPr="004E74A6" w:rsidRDefault="00504F7D" w:rsidP="00CE62C1">
            <w:pPr>
              <w:spacing w:line="276" w:lineRule="auto"/>
              <w:jc w:val="center"/>
              <w:rPr>
                <w:rFonts w:cs="Calibri"/>
                <w:color w:val="000000"/>
                <w:sz w:val="20"/>
                <w:lang w:eastAsia="es-CR"/>
              </w:rPr>
            </w:pPr>
            <w:r w:rsidRPr="004E74A6">
              <w:rPr>
                <w:rFonts w:cs="Calibri"/>
                <w:color w:val="000000"/>
                <w:sz w:val="20"/>
              </w:rPr>
              <w:t>91</w:t>
            </w:r>
          </w:p>
        </w:tc>
      </w:tr>
      <w:tr w:rsidR="00504F7D" w:rsidRPr="004E74A6" w14:paraId="022E224F" w14:textId="77777777" w:rsidTr="00504F7D">
        <w:trPr>
          <w:trHeight w:val="288"/>
          <w:jc w:val="center"/>
        </w:trPr>
        <w:tc>
          <w:tcPr>
            <w:tcW w:w="2181" w:type="pct"/>
            <w:tcBorders>
              <w:top w:val="nil"/>
              <w:left w:val="nil"/>
              <w:bottom w:val="nil"/>
              <w:right w:val="single" w:sz="4" w:space="0" w:color="auto"/>
            </w:tcBorders>
            <w:shd w:val="clear" w:color="auto" w:fill="auto"/>
            <w:noWrap/>
            <w:vAlign w:val="bottom"/>
            <w:hideMark/>
          </w:tcPr>
          <w:p w14:paraId="112FC7ED" w14:textId="77777777" w:rsidR="00504F7D" w:rsidRPr="004E74A6" w:rsidRDefault="00504F7D" w:rsidP="00CE62C1">
            <w:pPr>
              <w:spacing w:line="276" w:lineRule="auto"/>
              <w:ind w:firstLineChars="100" w:firstLine="200"/>
              <w:jc w:val="left"/>
              <w:rPr>
                <w:rFonts w:cs="Calibri"/>
                <w:color w:val="000000"/>
                <w:sz w:val="20"/>
                <w:lang w:eastAsia="es-CR"/>
              </w:rPr>
            </w:pPr>
            <w:r w:rsidRPr="004E74A6">
              <w:rPr>
                <w:rFonts w:cs="Calibri"/>
                <w:color w:val="000000"/>
                <w:sz w:val="20"/>
                <w:lang w:eastAsia="es-CR"/>
              </w:rPr>
              <w:t>Procesos De Ejecución</w:t>
            </w:r>
          </w:p>
        </w:tc>
        <w:tc>
          <w:tcPr>
            <w:tcW w:w="649" w:type="pct"/>
            <w:tcBorders>
              <w:top w:val="nil"/>
              <w:left w:val="single" w:sz="4" w:space="0" w:color="auto"/>
              <w:bottom w:val="nil"/>
              <w:right w:val="single" w:sz="4" w:space="0" w:color="auto"/>
            </w:tcBorders>
            <w:shd w:val="clear" w:color="auto" w:fill="auto"/>
            <w:noWrap/>
            <w:vAlign w:val="bottom"/>
            <w:hideMark/>
          </w:tcPr>
          <w:p w14:paraId="71157EAD" w14:textId="1829EEE5" w:rsidR="00504F7D" w:rsidRPr="004E74A6" w:rsidRDefault="00504F7D" w:rsidP="00CE62C1">
            <w:pPr>
              <w:spacing w:line="276" w:lineRule="auto"/>
              <w:jc w:val="center"/>
              <w:rPr>
                <w:rFonts w:cs="Calibri"/>
                <w:color w:val="000000"/>
                <w:sz w:val="20"/>
                <w:lang w:eastAsia="es-CR"/>
              </w:rPr>
            </w:pPr>
            <w:r w:rsidRPr="004E74A6">
              <w:rPr>
                <w:rFonts w:cs="Calibri"/>
                <w:color w:val="000000"/>
                <w:sz w:val="20"/>
              </w:rPr>
              <w:t>4</w:t>
            </w:r>
          </w:p>
        </w:tc>
        <w:tc>
          <w:tcPr>
            <w:tcW w:w="651" w:type="pct"/>
            <w:tcBorders>
              <w:top w:val="nil"/>
              <w:left w:val="single" w:sz="4" w:space="0" w:color="auto"/>
              <w:bottom w:val="nil"/>
              <w:right w:val="single" w:sz="4" w:space="0" w:color="auto"/>
            </w:tcBorders>
            <w:shd w:val="clear" w:color="auto" w:fill="auto"/>
            <w:noWrap/>
            <w:vAlign w:val="bottom"/>
            <w:hideMark/>
          </w:tcPr>
          <w:p w14:paraId="60A999CC" w14:textId="1BBE8D07" w:rsidR="00504F7D" w:rsidRPr="004E74A6" w:rsidRDefault="00504F7D" w:rsidP="00CE62C1">
            <w:pPr>
              <w:spacing w:line="276" w:lineRule="auto"/>
              <w:jc w:val="center"/>
              <w:rPr>
                <w:rFonts w:cs="Calibri"/>
                <w:color w:val="000000"/>
                <w:sz w:val="20"/>
                <w:lang w:eastAsia="es-CR"/>
              </w:rPr>
            </w:pPr>
            <w:r w:rsidRPr="004E74A6">
              <w:rPr>
                <w:rFonts w:cs="Calibri"/>
                <w:color w:val="000000"/>
                <w:sz w:val="20"/>
              </w:rPr>
              <w:t>0</w:t>
            </w:r>
          </w:p>
        </w:tc>
        <w:tc>
          <w:tcPr>
            <w:tcW w:w="652" w:type="pct"/>
            <w:tcBorders>
              <w:top w:val="nil"/>
              <w:left w:val="single" w:sz="4" w:space="0" w:color="auto"/>
              <w:bottom w:val="nil"/>
              <w:right w:val="single" w:sz="4" w:space="0" w:color="auto"/>
            </w:tcBorders>
            <w:shd w:val="clear" w:color="auto" w:fill="auto"/>
            <w:noWrap/>
            <w:vAlign w:val="bottom"/>
            <w:hideMark/>
          </w:tcPr>
          <w:p w14:paraId="657E1720" w14:textId="7835041B" w:rsidR="00504F7D" w:rsidRPr="004E74A6" w:rsidRDefault="00504F7D" w:rsidP="00CE62C1">
            <w:pPr>
              <w:spacing w:line="276" w:lineRule="auto"/>
              <w:jc w:val="center"/>
              <w:rPr>
                <w:sz w:val="20"/>
                <w:lang w:eastAsia="es-CR"/>
              </w:rPr>
            </w:pPr>
            <w:r w:rsidRPr="004E74A6">
              <w:rPr>
                <w:rFonts w:cs="Calibri"/>
                <w:color w:val="000000"/>
                <w:sz w:val="20"/>
              </w:rPr>
              <w:t>0</w:t>
            </w:r>
          </w:p>
        </w:tc>
        <w:tc>
          <w:tcPr>
            <w:tcW w:w="867" w:type="pct"/>
            <w:tcBorders>
              <w:top w:val="nil"/>
              <w:left w:val="single" w:sz="4" w:space="0" w:color="auto"/>
              <w:bottom w:val="nil"/>
              <w:right w:val="nil"/>
            </w:tcBorders>
            <w:shd w:val="clear" w:color="auto" w:fill="auto"/>
            <w:noWrap/>
            <w:vAlign w:val="bottom"/>
            <w:hideMark/>
          </w:tcPr>
          <w:p w14:paraId="314A15AC" w14:textId="77B4FAC4" w:rsidR="00504F7D" w:rsidRPr="004E74A6" w:rsidRDefault="00504F7D" w:rsidP="00CE62C1">
            <w:pPr>
              <w:spacing w:line="276" w:lineRule="auto"/>
              <w:jc w:val="center"/>
              <w:rPr>
                <w:rFonts w:cs="Calibri"/>
                <w:color w:val="000000"/>
                <w:sz w:val="20"/>
                <w:lang w:eastAsia="es-CR"/>
              </w:rPr>
            </w:pPr>
            <w:r w:rsidRPr="004E74A6">
              <w:rPr>
                <w:rFonts w:cs="Calibri"/>
                <w:color w:val="000000"/>
                <w:sz w:val="20"/>
              </w:rPr>
              <w:t>1,3</w:t>
            </w:r>
          </w:p>
        </w:tc>
      </w:tr>
      <w:tr w:rsidR="00504F7D" w:rsidRPr="004E74A6" w14:paraId="747F47BA" w14:textId="77777777" w:rsidTr="00504F7D">
        <w:trPr>
          <w:trHeight w:val="288"/>
          <w:jc w:val="center"/>
        </w:trPr>
        <w:tc>
          <w:tcPr>
            <w:tcW w:w="2181" w:type="pct"/>
            <w:tcBorders>
              <w:top w:val="nil"/>
              <w:left w:val="nil"/>
              <w:bottom w:val="nil"/>
              <w:right w:val="single" w:sz="4" w:space="0" w:color="auto"/>
            </w:tcBorders>
            <w:shd w:val="clear" w:color="auto" w:fill="auto"/>
            <w:noWrap/>
            <w:vAlign w:val="bottom"/>
            <w:hideMark/>
          </w:tcPr>
          <w:p w14:paraId="3EE6D45E" w14:textId="77777777" w:rsidR="00504F7D" w:rsidRPr="004E74A6" w:rsidRDefault="00504F7D" w:rsidP="00CE62C1">
            <w:pPr>
              <w:spacing w:line="276" w:lineRule="auto"/>
              <w:ind w:firstLineChars="100" w:firstLine="200"/>
              <w:jc w:val="left"/>
              <w:rPr>
                <w:rFonts w:cs="Calibri"/>
                <w:color w:val="000000"/>
                <w:sz w:val="20"/>
                <w:lang w:eastAsia="es-CR"/>
              </w:rPr>
            </w:pPr>
            <w:r w:rsidRPr="004E74A6">
              <w:rPr>
                <w:rFonts w:cs="Calibri"/>
                <w:color w:val="000000"/>
                <w:sz w:val="20"/>
                <w:lang w:eastAsia="es-CR"/>
              </w:rPr>
              <w:t>Procesos Otras Materias</w:t>
            </w:r>
          </w:p>
        </w:tc>
        <w:tc>
          <w:tcPr>
            <w:tcW w:w="649" w:type="pct"/>
            <w:tcBorders>
              <w:top w:val="nil"/>
              <w:left w:val="single" w:sz="4" w:space="0" w:color="auto"/>
              <w:bottom w:val="nil"/>
              <w:right w:val="single" w:sz="4" w:space="0" w:color="auto"/>
            </w:tcBorders>
            <w:shd w:val="clear" w:color="auto" w:fill="auto"/>
            <w:noWrap/>
            <w:vAlign w:val="bottom"/>
            <w:hideMark/>
          </w:tcPr>
          <w:p w14:paraId="386DDF4F" w14:textId="75051E72" w:rsidR="00504F7D" w:rsidRPr="004E74A6" w:rsidRDefault="00504F7D" w:rsidP="00CE62C1">
            <w:pPr>
              <w:spacing w:line="276" w:lineRule="auto"/>
              <w:jc w:val="center"/>
              <w:rPr>
                <w:sz w:val="20"/>
                <w:lang w:eastAsia="es-CR"/>
              </w:rPr>
            </w:pPr>
            <w:r w:rsidRPr="004E74A6">
              <w:rPr>
                <w:rFonts w:cs="Calibri"/>
                <w:color w:val="000000"/>
                <w:sz w:val="20"/>
              </w:rPr>
              <w:t>0</w:t>
            </w:r>
          </w:p>
        </w:tc>
        <w:tc>
          <w:tcPr>
            <w:tcW w:w="651" w:type="pct"/>
            <w:tcBorders>
              <w:top w:val="nil"/>
              <w:left w:val="single" w:sz="4" w:space="0" w:color="auto"/>
              <w:bottom w:val="nil"/>
              <w:right w:val="single" w:sz="4" w:space="0" w:color="auto"/>
            </w:tcBorders>
            <w:shd w:val="clear" w:color="auto" w:fill="auto"/>
            <w:noWrap/>
            <w:vAlign w:val="bottom"/>
            <w:hideMark/>
          </w:tcPr>
          <w:p w14:paraId="6A1CBD47" w14:textId="606DF552" w:rsidR="00504F7D" w:rsidRPr="004E74A6" w:rsidRDefault="00504F7D" w:rsidP="00CE62C1">
            <w:pPr>
              <w:spacing w:line="276" w:lineRule="auto"/>
              <w:jc w:val="center"/>
              <w:rPr>
                <w:sz w:val="20"/>
                <w:lang w:eastAsia="es-CR"/>
              </w:rPr>
            </w:pPr>
            <w:r w:rsidRPr="004E74A6">
              <w:rPr>
                <w:rFonts w:cs="Calibri"/>
                <w:color w:val="000000"/>
                <w:sz w:val="20"/>
              </w:rPr>
              <w:t>0</w:t>
            </w:r>
          </w:p>
        </w:tc>
        <w:tc>
          <w:tcPr>
            <w:tcW w:w="652" w:type="pct"/>
            <w:tcBorders>
              <w:top w:val="nil"/>
              <w:left w:val="single" w:sz="4" w:space="0" w:color="auto"/>
              <w:bottom w:val="nil"/>
              <w:right w:val="single" w:sz="4" w:space="0" w:color="auto"/>
            </w:tcBorders>
            <w:shd w:val="clear" w:color="auto" w:fill="auto"/>
            <w:noWrap/>
            <w:vAlign w:val="bottom"/>
            <w:hideMark/>
          </w:tcPr>
          <w:p w14:paraId="6B9635FD" w14:textId="60BCE2FB" w:rsidR="00504F7D" w:rsidRPr="004E74A6" w:rsidRDefault="00504F7D" w:rsidP="00CE62C1">
            <w:pPr>
              <w:spacing w:line="276" w:lineRule="auto"/>
              <w:jc w:val="center"/>
              <w:rPr>
                <w:rFonts w:cs="Calibri"/>
                <w:color w:val="000000"/>
                <w:sz w:val="20"/>
                <w:lang w:eastAsia="es-CR"/>
              </w:rPr>
            </w:pPr>
            <w:r w:rsidRPr="004E74A6">
              <w:rPr>
                <w:rFonts w:cs="Calibri"/>
                <w:color w:val="000000"/>
                <w:sz w:val="20"/>
              </w:rPr>
              <w:t>2</w:t>
            </w:r>
          </w:p>
        </w:tc>
        <w:tc>
          <w:tcPr>
            <w:tcW w:w="867" w:type="pct"/>
            <w:tcBorders>
              <w:top w:val="nil"/>
              <w:left w:val="single" w:sz="4" w:space="0" w:color="auto"/>
              <w:bottom w:val="nil"/>
              <w:right w:val="nil"/>
            </w:tcBorders>
            <w:shd w:val="clear" w:color="auto" w:fill="auto"/>
            <w:noWrap/>
            <w:vAlign w:val="bottom"/>
            <w:hideMark/>
          </w:tcPr>
          <w:p w14:paraId="7CA22C02" w14:textId="03A6B1A4" w:rsidR="00504F7D" w:rsidRPr="004E74A6" w:rsidRDefault="00504F7D" w:rsidP="00CE62C1">
            <w:pPr>
              <w:spacing w:line="276" w:lineRule="auto"/>
              <w:jc w:val="center"/>
              <w:rPr>
                <w:rFonts w:cs="Calibri"/>
                <w:color w:val="000000"/>
                <w:sz w:val="20"/>
                <w:lang w:eastAsia="es-CR"/>
              </w:rPr>
            </w:pPr>
            <w:r w:rsidRPr="004E74A6">
              <w:rPr>
                <w:rFonts w:cs="Calibri"/>
                <w:color w:val="000000"/>
                <w:sz w:val="20"/>
              </w:rPr>
              <w:t>1</w:t>
            </w:r>
          </w:p>
        </w:tc>
      </w:tr>
      <w:tr w:rsidR="00504F7D" w:rsidRPr="004E74A6" w14:paraId="7D707312" w14:textId="77777777" w:rsidTr="00504F7D">
        <w:trPr>
          <w:trHeight w:val="288"/>
          <w:jc w:val="center"/>
        </w:trPr>
        <w:tc>
          <w:tcPr>
            <w:tcW w:w="2181" w:type="pct"/>
            <w:tcBorders>
              <w:top w:val="nil"/>
              <w:left w:val="nil"/>
              <w:bottom w:val="nil"/>
              <w:right w:val="single" w:sz="4" w:space="0" w:color="auto"/>
            </w:tcBorders>
            <w:shd w:val="clear" w:color="auto" w:fill="auto"/>
            <w:noWrap/>
            <w:vAlign w:val="bottom"/>
            <w:hideMark/>
          </w:tcPr>
          <w:p w14:paraId="51EFA647" w14:textId="77777777" w:rsidR="00504F7D" w:rsidRPr="004E74A6" w:rsidRDefault="00504F7D" w:rsidP="00CE62C1">
            <w:pPr>
              <w:spacing w:line="276" w:lineRule="auto"/>
              <w:ind w:firstLineChars="100" w:firstLine="200"/>
              <w:jc w:val="left"/>
              <w:rPr>
                <w:rFonts w:cs="Calibri"/>
                <w:color w:val="000000"/>
                <w:sz w:val="20"/>
                <w:lang w:eastAsia="es-CR"/>
              </w:rPr>
            </w:pPr>
            <w:r w:rsidRPr="004E74A6">
              <w:rPr>
                <w:rFonts w:cs="Calibri"/>
                <w:color w:val="000000"/>
                <w:sz w:val="20"/>
                <w:lang w:eastAsia="es-CR"/>
              </w:rPr>
              <w:t>Prueba Anticipada</w:t>
            </w:r>
          </w:p>
        </w:tc>
        <w:tc>
          <w:tcPr>
            <w:tcW w:w="649" w:type="pct"/>
            <w:tcBorders>
              <w:top w:val="nil"/>
              <w:left w:val="single" w:sz="4" w:space="0" w:color="auto"/>
              <w:bottom w:val="nil"/>
              <w:right w:val="single" w:sz="4" w:space="0" w:color="auto"/>
            </w:tcBorders>
            <w:shd w:val="clear" w:color="auto" w:fill="auto"/>
            <w:noWrap/>
            <w:vAlign w:val="bottom"/>
            <w:hideMark/>
          </w:tcPr>
          <w:p w14:paraId="71CAC76F" w14:textId="0046D104" w:rsidR="00504F7D" w:rsidRPr="004E74A6" w:rsidRDefault="00504F7D" w:rsidP="00CE62C1">
            <w:pPr>
              <w:spacing w:line="276" w:lineRule="auto"/>
              <w:jc w:val="center"/>
              <w:rPr>
                <w:rFonts w:cs="Calibri"/>
                <w:color w:val="000000"/>
                <w:sz w:val="20"/>
                <w:lang w:eastAsia="es-CR"/>
              </w:rPr>
            </w:pPr>
            <w:r w:rsidRPr="004E74A6">
              <w:rPr>
                <w:rFonts w:cs="Calibri"/>
                <w:color w:val="000000"/>
                <w:sz w:val="20"/>
              </w:rPr>
              <w:t>4</w:t>
            </w:r>
          </w:p>
        </w:tc>
        <w:tc>
          <w:tcPr>
            <w:tcW w:w="651" w:type="pct"/>
            <w:tcBorders>
              <w:top w:val="nil"/>
              <w:left w:val="single" w:sz="4" w:space="0" w:color="auto"/>
              <w:bottom w:val="nil"/>
              <w:right w:val="single" w:sz="4" w:space="0" w:color="auto"/>
            </w:tcBorders>
            <w:shd w:val="clear" w:color="auto" w:fill="auto"/>
            <w:noWrap/>
            <w:vAlign w:val="bottom"/>
            <w:hideMark/>
          </w:tcPr>
          <w:p w14:paraId="0B51DEC5" w14:textId="37CD44B8" w:rsidR="00504F7D" w:rsidRPr="004E74A6" w:rsidRDefault="00504F7D" w:rsidP="00CE62C1">
            <w:pPr>
              <w:spacing w:line="276" w:lineRule="auto"/>
              <w:jc w:val="center"/>
              <w:rPr>
                <w:rFonts w:cs="Calibri"/>
                <w:color w:val="000000"/>
                <w:sz w:val="20"/>
                <w:lang w:eastAsia="es-CR"/>
              </w:rPr>
            </w:pPr>
            <w:r w:rsidRPr="004E74A6">
              <w:rPr>
                <w:rFonts w:cs="Calibri"/>
                <w:color w:val="000000"/>
                <w:sz w:val="20"/>
              </w:rPr>
              <w:t>0</w:t>
            </w:r>
          </w:p>
        </w:tc>
        <w:tc>
          <w:tcPr>
            <w:tcW w:w="652" w:type="pct"/>
            <w:tcBorders>
              <w:top w:val="nil"/>
              <w:left w:val="single" w:sz="4" w:space="0" w:color="auto"/>
              <w:bottom w:val="nil"/>
              <w:right w:val="single" w:sz="4" w:space="0" w:color="auto"/>
            </w:tcBorders>
            <w:shd w:val="clear" w:color="auto" w:fill="auto"/>
            <w:noWrap/>
            <w:vAlign w:val="bottom"/>
            <w:hideMark/>
          </w:tcPr>
          <w:p w14:paraId="5EDBDF57" w14:textId="0FE95D63" w:rsidR="00504F7D" w:rsidRPr="004E74A6" w:rsidRDefault="00504F7D" w:rsidP="00CE62C1">
            <w:pPr>
              <w:spacing w:line="276" w:lineRule="auto"/>
              <w:jc w:val="center"/>
              <w:rPr>
                <w:rFonts w:cs="Calibri"/>
                <w:color w:val="000000"/>
                <w:sz w:val="20"/>
                <w:lang w:eastAsia="es-CR"/>
              </w:rPr>
            </w:pPr>
            <w:r w:rsidRPr="004E74A6">
              <w:rPr>
                <w:rFonts w:cs="Calibri"/>
                <w:color w:val="000000"/>
                <w:sz w:val="20"/>
              </w:rPr>
              <w:t>4</w:t>
            </w:r>
          </w:p>
        </w:tc>
        <w:tc>
          <w:tcPr>
            <w:tcW w:w="867" w:type="pct"/>
            <w:tcBorders>
              <w:top w:val="nil"/>
              <w:left w:val="single" w:sz="4" w:space="0" w:color="auto"/>
              <w:bottom w:val="nil"/>
              <w:right w:val="nil"/>
            </w:tcBorders>
            <w:shd w:val="clear" w:color="auto" w:fill="auto"/>
            <w:noWrap/>
            <w:vAlign w:val="bottom"/>
            <w:hideMark/>
          </w:tcPr>
          <w:p w14:paraId="3413FA27" w14:textId="3537EC25" w:rsidR="00504F7D" w:rsidRPr="004E74A6" w:rsidRDefault="00504F7D" w:rsidP="00CE62C1">
            <w:pPr>
              <w:spacing w:line="276" w:lineRule="auto"/>
              <w:jc w:val="center"/>
              <w:rPr>
                <w:rFonts w:cs="Calibri"/>
                <w:color w:val="000000"/>
                <w:sz w:val="20"/>
                <w:lang w:eastAsia="es-CR"/>
              </w:rPr>
            </w:pPr>
            <w:r w:rsidRPr="004E74A6">
              <w:rPr>
                <w:rFonts w:cs="Calibri"/>
                <w:color w:val="000000"/>
                <w:sz w:val="20"/>
              </w:rPr>
              <w:t>2,7</w:t>
            </w:r>
          </w:p>
        </w:tc>
      </w:tr>
      <w:tr w:rsidR="00504F7D" w:rsidRPr="004E74A6" w14:paraId="5BC9E988" w14:textId="77777777" w:rsidTr="00504F7D">
        <w:trPr>
          <w:trHeight w:val="288"/>
          <w:jc w:val="center"/>
        </w:trPr>
        <w:tc>
          <w:tcPr>
            <w:tcW w:w="2181" w:type="pct"/>
            <w:tcBorders>
              <w:top w:val="nil"/>
              <w:left w:val="nil"/>
              <w:bottom w:val="nil"/>
              <w:right w:val="single" w:sz="4" w:space="0" w:color="auto"/>
            </w:tcBorders>
            <w:shd w:val="clear" w:color="auto" w:fill="auto"/>
            <w:noWrap/>
            <w:vAlign w:val="bottom"/>
            <w:hideMark/>
          </w:tcPr>
          <w:p w14:paraId="5DFB6FA0" w14:textId="77777777" w:rsidR="00504F7D" w:rsidRPr="004E74A6" w:rsidRDefault="00504F7D" w:rsidP="00CE62C1">
            <w:pPr>
              <w:spacing w:line="276" w:lineRule="auto"/>
              <w:ind w:firstLineChars="100" w:firstLine="200"/>
              <w:jc w:val="left"/>
              <w:rPr>
                <w:rFonts w:cs="Calibri"/>
                <w:color w:val="000000"/>
                <w:sz w:val="20"/>
                <w:lang w:eastAsia="es-CR"/>
              </w:rPr>
            </w:pPr>
            <w:r w:rsidRPr="004E74A6">
              <w:rPr>
                <w:rFonts w:cs="Calibri"/>
                <w:color w:val="000000"/>
                <w:sz w:val="20"/>
                <w:lang w:eastAsia="es-CR"/>
              </w:rPr>
              <w:t>Sucesorio</w:t>
            </w:r>
          </w:p>
        </w:tc>
        <w:tc>
          <w:tcPr>
            <w:tcW w:w="649" w:type="pct"/>
            <w:tcBorders>
              <w:top w:val="nil"/>
              <w:left w:val="single" w:sz="4" w:space="0" w:color="auto"/>
              <w:bottom w:val="nil"/>
              <w:right w:val="single" w:sz="4" w:space="0" w:color="auto"/>
            </w:tcBorders>
            <w:shd w:val="clear" w:color="auto" w:fill="auto"/>
            <w:noWrap/>
            <w:vAlign w:val="bottom"/>
            <w:hideMark/>
          </w:tcPr>
          <w:p w14:paraId="11F63128" w14:textId="3D6B27CD" w:rsidR="00504F7D" w:rsidRPr="004E74A6" w:rsidRDefault="00504F7D" w:rsidP="00CE62C1">
            <w:pPr>
              <w:spacing w:line="276" w:lineRule="auto"/>
              <w:jc w:val="center"/>
              <w:rPr>
                <w:sz w:val="20"/>
                <w:lang w:eastAsia="es-CR"/>
              </w:rPr>
            </w:pPr>
            <w:r w:rsidRPr="004E74A6">
              <w:rPr>
                <w:rFonts w:cs="Calibri"/>
                <w:color w:val="000000"/>
                <w:sz w:val="20"/>
              </w:rPr>
              <w:t>0</w:t>
            </w:r>
          </w:p>
        </w:tc>
        <w:tc>
          <w:tcPr>
            <w:tcW w:w="651" w:type="pct"/>
            <w:tcBorders>
              <w:top w:val="nil"/>
              <w:left w:val="single" w:sz="4" w:space="0" w:color="auto"/>
              <w:bottom w:val="nil"/>
              <w:right w:val="single" w:sz="4" w:space="0" w:color="auto"/>
            </w:tcBorders>
            <w:shd w:val="clear" w:color="auto" w:fill="auto"/>
            <w:noWrap/>
            <w:vAlign w:val="bottom"/>
            <w:hideMark/>
          </w:tcPr>
          <w:p w14:paraId="2CC891D1" w14:textId="52E2AD93" w:rsidR="00504F7D" w:rsidRPr="004E74A6" w:rsidRDefault="00504F7D" w:rsidP="00CE62C1">
            <w:pPr>
              <w:spacing w:line="276" w:lineRule="auto"/>
              <w:jc w:val="center"/>
              <w:rPr>
                <w:sz w:val="20"/>
                <w:lang w:eastAsia="es-CR"/>
              </w:rPr>
            </w:pPr>
            <w:r w:rsidRPr="004E74A6">
              <w:rPr>
                <w:rFonts w:cs="Calibri"/>
                <w:color w:val="000000"/>
                <w:sz w:val="20"/>
              </w:rPr>
              <w:t>0</w:t>
            </w:r>
          </w:p>
        </w:tc>
        <w:tc>
          <w:tcPr>
            <w:tcW w:w="652" w:type="pct"/>
            <w:tcBorders>
              <w:top w:val="nil"/>
              <w:left w:val="single" w:sz="4" w:space="0" w:color="auto"/>
              <w:bottom w:val="nil"/>
              <w:right w:val="single" w:sz="4" w:space="0" w:color="auto"/>
            </w:tcBorders>
            <w:shd w:val="clear" w:color="auto" w:fill="auto"/>
            <w:noWrap/>
            <w:vAlign w:val="bottom"/>
            <w:hideMark/>
          </w:tcPr>
          <w:p w14:paraId="258EC0F1" w14:textId="288C63A6" w:rsidR="00504F7D" w:rsidRPr="004E74A6" w:rsidRDefault="00504F7D" w:rsidP="00CE62C1">
            <w:pPr>
              <w:spacing w:line="276" w:lineRule="auto"/>
              <w:jc w:val="center"/>
              <w:rPr>
                <w:rFonts w:cs="Calibri"/>
                <w:color w:val="000000"/>
                <w:sz w:val="20"/>
                <w:lang w:eastAsia="es-CR"/>
              </w:rPr>
            </w:pPr>
            <w:r w:rsidRPr="004E74A6">
              <w:rPr>
                <w:rFonts w:cs="Calibri"/>
                <w:color w:val="000000"/>
                <w:sz w:val="20"/>
              </w:rPr>
              <w:t>1</w:t>
            </w:r>
          </w:p>
        </w:tc>
        <w:tc>
          <w:tcPr>
            <w:tcW w:w="867" w:type="pct"/>
            <w:tcBorders>
              <w:top w:val="nil"/>
              <w:left w:val="single" w:sz="4" w:space="0" w:color="auto"/>
              <w:bottom w:val="nil"/>
              <w:right w:val="nil"/>
            </w:tcBorders>
            <w:shd w:val="clear" w:color="auto" w:fill="auto"/>
            <w:noWrap/>
            <w:vAlign w:val="bottom"/>
            <w:hideMark/>
          </w:tcPr>
          <w:p w14:paraId="708C91FF" w14:textId="67AB6185" w:rsidR="00504F7D" w:rsidRPr="004E74A6" w:rsidRDefault="00504F7D" w:rsidP="00CE62C1">
            <w:pPr>
              <w:spacing w:line="276" w:lineRule="auto"/>
              <w:jc w:val="center"/>
              <w:rPr>
                <w:rFonts w:cs="Calibri"/>
                <w:color w:val="000000"/>
                <w:sz w:val="20"/>
                <w:lang w:eastAsia="es-CR"/>
              </w:rPr>
            </w:pPr>
            <w:r w:rsidRPr="004E74A6">
              <w:rPr>
                <w:rFonts w:cs="Calibri"/>
                <w:color w:val="000000"/>
                <w:sz w:val="20"/>
              </w:rPr>
              <w:t>0,3</w:t>
            </w:r>
          </w:p>
        </w:tc>
      </w:tr>
      <w:tr w:rsidR="00504F7D" w:rsidRPr="004E74A6" w14:paraId="3783E74B" w14:textId="77777777" w:rsidTr="00504F7D">
        <w:trPr>
          <w:trHeight w:val="288"/>
          <w:jc w:val="center"/>
        </w:trPr>
        <w:tc>
          <w:tcPr>
            <w:tcW w:w="2181" w:type="pct"/>
            <w:tcBorders>
              <w:top w:val="nil"/>
              <w:left w:val="nil"/>
              <w:right w:val="single" w:sz="4" w:space="0" w:color="auto"/>
            </w:tcBorders>
            <w:shd w:val="clear" w:color="auto" w:fill="auto"/>
            <w:noWrap/>
            <w:vAlign w:val="bottom"/>
            <w:hideMark/>
          </w:tcPr>
          <w:p w14:paraId="6C10F705" w14:textId="77777777" w:rsidR="00504F7D" w:rsidRPr="004E74A6" w:rsidRDefault="00504F7D" w:rsidP="00CE62C1">
            <w:pPr>
              <w:spacing w:line="276" w:lineRule="auto"/>
              <w:ind w:firstLineChars="100" w:firstLine="200"/>
              <w:jc w:val="left"/>
              <w:rPr>
                <w:rFonts w:cs="Calibri"/>
                <w:color w:val="000000"/>
                <w:sz w:val="20"/>
                <w:lang w:eastAsia="es-CR"/>
              </w:rPr>
            </w:pPr>
            <w:r w:rsidRPr="004E74A6">
              <w:rPr>
                <w:rFonts w:cs="Calibri"/>
                <w:color w:val="000000"/>
                <w:sz w:val="20"/>
                <w:lang w:eastAsia="es-CR"/>
              </w:rPr>
              <w:t>Sumario</w:t>
            </w:r>
          </w:p>
        </w:tc>
        <w:tc>
          <w:tcPr>
            <w:tcW w:w="649" w:type="pct"/>
            <w:tcBorders>
              <w:top w:val="nil"/>
              <w:left w:val="single" w:sz="4" w:space="0" w:color="auto"/>
              <w:right w:val="single" w:sz="4" w:space="0" w:color="auto"/>
            </w:tcBorders>
            <w:shd w:val="clear" w:color="auto" w:fill="auto"/>
            <w:noWrap/>
            <w:vAlign w:val="bottom"/>
            <w:hideMark/>
          </w:tcPr>
          <w:p w14:paraId="61E17B3E" w14:textId="34C915B7" w:rsidR="00504F7D" w:rsidRPr="004E74A6" w:rsidRDefault="00504F7D" w:rsidP="00CE62C1">
            <w:pPr>
              <w:spacing w:line="276" w:lineRule="auto"/>
              <w:jc w:val="center"/>
              <w:rPr>
                <w:sz w:val="20"/>
                <w:lang w:eastAsia="es-CR"/>
              </w:rPr>
            </w:pPr>
            <w:r w:rsidRPr="004E74A6">
              <w:rPr>
                <w:rFonts w:cs="Calibri"/>
                <w:color w:val="000000"/>
                <w:sz w:val="20"/>
              </w:rPr>
              <w:t>0</w:t>
            </w:r>
          </w:p>
        </w:tc>
        <w:tc>
          <w:tcPr>
            <w:tcW w:w="651" w:type="pct"/>
            <w:tcBorders>
              <w:top w:val="nil"/>
              <w:left w:val="single" w:sz="4" w:space="0" w:color="auto"/>
              <w:right w:val="single" w:sz="4" w:space="0" w:color="auto"/>
            </w:tcBorders>
            <w:shd w:val="clear" w:color="auto" w:fill="auto"/>
            <w:noWrap/>
            <w:vAlign w:val="bottom"/>
            <w:hideMark/>
          </w:tcPr>
          <w:p w14:paraId="2241E041" w14:textId="04198B1F" w:rsidR="00504F7D" w:rsidRPr="004E74A6" w:rsidRDefault="00504F7D" w:rsidP="00CE62C1">
            <w:pPr>
              <w:spacing w:line="276" w:lineRule="auto"/>
              <w:jc w:val="center"/>
              <w:rPr>
                <w:rFonts w:cs="Calibri"/>
                <w:color w:val="000000"/>
                <w:sz w:val="20"/>
                <w:lang w:eastAsia="es-CR"/>
              </w:rPr>
            </w:pPr>
            <w:r w:rsidRPr="004E74A6">
              <w:rPr>
                <w:rFonts w:cs="Calibri"/>
                <w:color w:val="000000"/>
                <w:sz w:val="20"/>
              </w:rPr>
              <w:t>1</w:t>
            </w:r>
          </w:p>
        </w:tc>
        <w:tc>
          <w:tcPr>
            <w:tcW w:w="652" w:type="pct"/>
            <w:tcBorders>
              <w:top w:val="nil"/>
              <w:left w:val="single" w:sz="4" w:space="0" w:color="auto"/>
              <w:right w:val="single" w:sz="4" w:space="0" w:color="auto"/>
            </w:tcBorders>
            <w:shd w:val="clear" w:color="auto" w:fill="auto"/>
            <w:noWrap/>
            <w:vAlign w:val="bottom"/>
            <w:hideMark/>
          </w:tcPr>
          <w:p w14:paraId="5444D236" w14:textId="62FAD231" w:rsidR="00504F7D" w:rsidRPr="004E74A6" w:rsidRDefault="00504F7D" w:rsidP="00CE62C1">
            <w:pPr>
              <w:spacing w:line="276" w:lineRule="auto"/>
              <w:jc w:val="center"/>
              <w:rPr>
                <w:rFonts w:cs="Calibri"/>
                <w:color w:val="000000"/>
                <w:sz w:val="20"/>
                <w:lang w:eastAsia="es-CR"/>
              </w:rPr>
            </w:pPr>
            <w:r w:rsidRPr="004E74A6">
              <w:rPr>
                <w:rFonts w:cs="Calibri"/>
                <w:color w:val="000000"/>
                <w:sz w:val="20"/>
              </w:rPr>
              <w:t>0</w:t>
            </w:r>
          </w:p>
        </w:tc>
        <w:tc>
          <w:tcPr>
            <w:tcW w:w="867" w:type="pct"/>
            <w:tcBorders>
              <w:top w:val="nil"/>
              <w:left w:val="single" w:sz="4" w:space="0" w:color="auto"/>
              <w:right w:val="nil"/>
            </w:tcBorders>
            <w:shd w:val="clear" w:color="auto" w:fill="auto"/>
            <w:noWrap/>
            <w:vAlign w:val="bottom"/>
            <w:hideMark/>
          </w:tcPr>
          <w:p w14:paraId="6F414F16" w14:textId="04B6DD5D" w:rsidR="00504F7D" w:rsidRPr="004E74A6" w:rsidRDefault="00504F7D" w:rsidP="00CE62C1">
            <w:pPr>
              <w:spacing w:line="276" w:lineRule="auto"/>
              <w:jc w:val="center"/>
              <w:rPr>
                <w:rFonts w:cs="Calibri"/>
                <w:color w:val="000000"/>
                <w:sz w:val="20"/>
                <w:lang w:eastAsia="es-CR"/>
              </w:rPr>
            </w:pPr>
            <w:r w:rsidRPr="004E74A6">
              <w:rPr>
                <w:rFonts w:cs="Calibri"/>
                <w:color w:val="000000"/>
                <w:sz w:val="20"/>
              </w:rPr>
              <w:t>0,3</w:t>
            </w:r>
          </w:p>
        </w:tc>
      </w:tr>
      <w:tr w:rsidR="0055421A" w:rsidRPr="004E74A6" w14:paraId="652E22EE" w14:textId="77777777" w:rsidTr="00504F7D">
        <w:trPr>
          <w:trHeight w:val="288"/>
          <w:jc w:val="center"/>
        </w:trPr>
        <w:tc>
          <w:tcPr>
            <w:tcW w:w="2181" w:type="pct"/>
            <w:tcBorders>
              <w:top w:val="nil"/>
              <w:left w:val="nil"/>
              <w:bottom w:val="single" w:sz="4" w:space="0" w:color="auto"/>
              <w:right w:val="single" w:sz="4" w:space="0" w:color="auto"/>
            </w:tcBorders>
            <w:shd w:val="clear" w:color="auto" w:fill="auto"/>
            <w:noWrap/>
            <w:vAlign w:val="bottom"/>
          </w:tcPr>
          <w:p w14:paraId="5A4CFC17" w14:textId="77777777" w:rsidR="008647ED" w:rsidRPr="004E74A6" w:rsidRDefault="008647ED" w:rsidP="00CE62C1">
            <w:pPr>
              <w:spacing w:line="276" w:lineRule="auto"/>
              <w:ind w:firstLineChars="100" w:firstLine="200"/>
              <w:jc w:val="left"/>
              <w:rPr>
                <w:rFonts w:cs="Calibri"/>
                <w:color w:val="000000"/>
                <w:sz w:val="20"/>
                <w:lang w:eastAsia="es-CR"/>
              </w:rPr>
            </w:pPr>
          </w:p>
        </w:tc>
        <w:tc>
          <w:tcPr>
            <w:tcW w:w="649" w:type="pct"/>
            <w:tcBorders>
              <w:top w:val="nil"/>
              <w:left w:val="single" w:sz="4" w:space="0" w:color="auto"/>
              <w:bottom w:val="single" w:sz="4" w:space="0" w:color="auto"/>
              <w:right w:val="single" w:sz="4" w:space="0" w:color="auto"/>
            </w:tcBorders>
            <w:shd w:val="clear" w:color="auto" w:fill="auto"/>
            <w:noWrap/>
            <w:vAlign w:val="center"/>
          </w:tcPr>
          <w:p w14:paraId="566FE202" w14:textId="77777777" w:rsidR="008647ED" w:rsidRPr="004E74A6" w:rsidRDefault="008647ED" w:rsidP="00CE62C1">
            <w:pPr>
              <w:spacing w:line="276" w:lineRule="auto"/>
              <w:jc w:val="center"/>
              <w:rPr>
                <w:sz w:val="20"/>
                <w:lang w:eastAsia="es-CR"/>
              </w:rPr>
            </w:pPr>
          </w:p>
        </w:tc>
        <w:tc>
          <w:tcPr>
            <w:tcW w:w="651" w:type="pct"/>
            <w:tcBorders>
              <w:top w:val="nil"/>
              <w:left w:val="single" w:sz="4" w:space="0" w:color="auto"/>
              <w:bottom w:val="single" w:sz="4" w:space="0" w:color="auto"/>
              <w:right w:val="single" w:sz="4" w:space="0" w:color="auto"/>
            </w:tcBorders>
            <w:shd w:val="clear" w:color="auto" w:fill="auto"/>
            <w:noWrap/>
            <w:vAlign w:val="center"/>
          </w:tcPr>
          <w:p w14:paraId="1D3E56E6" w14:textId="77777777" w:rsidR="008647ED" w:rsidRPr="004E74A6" w:rsidRDefault="008647ED" w:rsidP="00CE62C1">
            <w:pPr>
              <w:spacing w:line="276" w:lineRule="auto"/>
              <w:jc w:val="center"/>
              <w:rPr>
                <w:rFonts w:cs="Calibri"/>
                <w:color w:val="000000"/>
                <w:sz w:val="20"/>
                <w:lang w:eastAsia="es-CR"/>
              </w:rPr>
            </w:pPr>
          </w:p>
        </w:tc>
        <w:tc>
          <w:tcPr>
            <w:tcW w:w="652" w:type="pct"/>
            <w:tcBorders>
              <w:top w:val="nil"/>
              <w:left w:val="single" w:sz="4" w:space="0" w:color="auto"/>
              <w:bottom w:val="single" w:sz="4" w:space="0" w:color="auto"/>
              <w:right w:val="single" w:sz="4" w:space="0" w:color="auto"/>
            </w:tcBorders>
            <w:shd w:val="clear" w:color="auto" w:fill="auto"/>
            <w:noWrap/>
            <w:vAlign w:val="center"/>
          </w:tcPr>
          <w:p w14:paraId="7B9865CE" w14:textId="77777777" w:rsidR="008647ED" w:rsidRPr="004E74A6" w:rsidRDefault="008647ED" w:rsidP="00CE62C1">
            <w:pPr>
              <w:spacing w:line="276" w:lineRule="auto"/>
              <w:jc w:val="center"/>
              <w:rPr>
                <w:rFonts w:cs="Calibri"/>
                <w:color w:val="000000"/>
                <w:sz w:val="20"/>
                <w:lang w:eastAsia="es-CR"/>
              </w:rPr>
            </w:pPr>
          </w:p>
        </w:tc>
        <w:tc>
          <w:tcPr>
            <w:tcW w:w="867" w:type="pct"/>
            <w:tcBorders>
              <w:top w:val="nil"/>
              <w:left w:val="single" w:sz="4" w:space="0" w:color="auto"/>
              <w:bottom w:val="single" w:sz="4" w:space="0" w:color="auto"/>
              <w:right w:val="nil"/>
            </w:tcBorders>
            <w:shd w:val="clear" w:color="auto" w:fill="auto"/>
            <w:noWrap/>
            <w:vAlign w:val="center"/>
          </w:tcPr>
          <w:p w14:paraId="20868F24" w14:textId="77777777" w:rsidR="008647ED" w:rsidRPr="004E74A6" w:rsidRDefault="008647ED" w:rsidP="00CE62C1">
            <w:pPr>
              <w:spacing w:line="276" w:lineRule="auto"/>
              <w:jc w:val="center"/>
              <w:rPr>
                <w:rFonts w:cs="Calibri"/>
                <w:color w:val="000000"/>
                <w:sz w:val="20"/>
                <w:lang w:eastAsia="es-CR"/>
              </w:rPr>
            </w:pPr>
          </w:p>
        </w:tc>
      </w:tr>
    </w:tbl>
    <w:p w14:paraId="53D00F55" w14:textId="77777777" w:rsidR="003E4755" w:rsidRPr="004E74A6" w:rsidRDefault="003E4755" w:rsidP="00832773">
      <w:pPr>
        <w:spacing w:line="276" w:lineRule="auto"/>
        <w:ind w:left="1191" w:right="1191"/>
        <w:rPr>
          <w:rFonts w:cs="Calibri"/>
          <w:i/>
          <w:iCs/>
          <w:color w:val="000000"/>
          <w:sz w:val="20"/>
          <w:lang w:eastAsia="es-CR"/>
        </w:rPr>
      </w:pPr>
      <w:r w:rsidRPr="004E74A6">
        <w:rPr>
          <w:rFonts w:cs="Calibri"/>
          <w:b/>
          <w:bCs/>
          <w:i/>
          <w:iCs/>
          <w:color w:val="000000"/>
          <w:sz w:val="20"/>
          <w:lang w:eastAsia="es-CR"/>
        </w:rPr>
        <w:t>Fuente</w:t>
      </w:r>
      <w:r w:rsidRPr="004E74A6">
        <w:rPr>
          <w:rFonts w:cs="Calibri"/>
          <w:i/>
          <w:iCs/>
          <w:color w:val="000000"/>
          <w:sz w:val="20"/>
          <w:lang w:eastAsia="es-CR"/>
        </w:rPr>
        <w:t>: Subproceso de Modernización Institucional con datos extraídos del sistema SIGMA, Dirección de Planificación.</w:t>
      </w:r>
    </w:p>
    <w:p w14:paraId="35FEEFE9" w14:textId="77777777" w:rsidR="008647ED" w:rsidRPr="004E74A6" w:rsidRDefault="008647ED" w:rsidP="00CE62C1">
      <w:pPr>
        <w:spacing w:after="160" w:line="276" w:lineRule="auto"/>
        <w:rPr>
          <w:rFonts w:cs="Calibri"/>
          <w:color w:val="000000"/>
          <w:szCs w:val="24"/>
          <w:lang w:eastAsia="es-CR"/>
        </w:rPr>
      </w:pPr>
    </w:p>
    <w:p w14:paraId="34A7B709" w14:textId="6C3DBDB0" w:rsidR="00A06E92" w:rsidRDefault="00A06E92" w:rsidP="00CE62C1">
      <w:pPr>
        <w:spacing w:after="160" w:line="276" w:lineRule="auto"/>
        <w:rPr>
          <w:rFonts w:cs="Calibri"/>
          <w:color w:val="000000"/>
          <w:szCs w:val="24"/>
          <w:lang w:eastAsia="es-CR"/>
        </w:rPr>
      </w:pPr>
      <w:r w:rsidRPr="004E74A6">
        <w:rPr>
          <w:rFonts w:cs="Calibri"/>
          <w:color w:val="000000"/>
          <w:szCs w:val="24"/>
          <w:lang w:eastAsia="es-CR"/>
        </w:rPr>
        <w:t>Con un mayor detalle es posible observar que dentro de la clase de asunto ordinario, los procedimientos ordinarios son la mayoría con el 95% de los asuntos. Como se observa de los 91 registros, solo 89 tienen el procedimiento correcto, ya que según la fórmula estadística la clase “</w:t>
      </w:r>
      <w:r w:rsidRPr="004E74A6">
        <w:rPr>
          <w:rFonts w:cs="Calibri"/>
          <w:i/>
          <w:iCs/>
          <w:color w:val="000000"/>
          <w:szCs w:val="24"/>
          <w:lang w:eastAsia="es-CR"/>
        </w:rPr>
        <w:t>ordinario</w:t>
      </w:r>
      <w:r w:rsidRPr="004E74A6">
        <w:rPr>
          <w:rFonts w:cs="Calibri"/>
          <w:color w:val="000000"/>
          <w:szCs w:val="24"/>
          <w:lang w:eastAsia="es-CR"/>
        </w:rPr>
        <w:t>” solamente tiene como procedimiento asociado “</w:t>
      </w:r>
      <w:r w:rsidRPr="004E74A6">
        <w:rPr>
          <w:rFonts w:cs="Calibri"/>
          <w:i/>
          <w:iCs/>
          <w:color w:val="000000"/>
          <w:szCs w:val="24"/>
          <w:lang w:eastAsia="es-CR"/>
        </w:rPr>
        <w:t>ordinario</w:t>
      </w:r>
      <w:r w:rsidRPr="004E74A6">
        <w:rPr>
          <w:rFonts w:cs="Calibri"/>
          <w:color w:val="000000"/>
          <w:szCs w:val="24"/>
          <w:lang w:eastAsia="es-CR"/>
        </w:rPr>
        <w:t xml:space="preserve">”. </w:t>
      </w:r>
    </w:p>
    <w:p w14:paraId="17A2E879" w14:textId="5FBD3436" w:rsidR="00193D21" w:rsidRDefault="00193D21" w:rsidP="00CE62C1">
      <w:pPr>
        <w:spacing w:after="160" w:line="276" w:lineRule="auto"/>
        <w:rPr>
          <w:rFonts w:cs="Calibri"/>
          <w:color w:val="000000"/>
          <w:szCs w:val="24"/>
          <w:lang w:eastAsia="es-CR"/>
        </w:rPr>
      </w:pPr>
    </w:p>
    <w:p w14:paraId="7888D5AE" w14:textId="347A5ACA" w:rsidR="00193D21" w:rsidRDefault="00193D21" w:rsidP="00CE62C1">
      <w:pPr>
        <w:spacing w:after="160" w:line="276" w:lineRule="auto"/>
        <w:rPr>
          <w:rFonts w:cs="Calibri"/>
          <w:color w:val="000000"/>
          <w:szCs w:val="24"/>
          <w:lang w:eastAsia="es-CR"/>
        </w:rPr>
      </w:pPr>
    </w:p>
    <w:p w14:paraId="54F9C47C" w14:textId="0CF39F5E" w:rsidR="00193D21" w:rsidRDefault="00193D21" w:rsidP="00CE62C1">
      <w:pPr>
        <w:spacing w:after="160" w:line="276" w:lineRule="auto"/>
        <w:rPr>
          <w:rFonts w:cs="Calibri"/>
          <w:color w:val="000000"/>
          <w:szCs w:val="24"/>
          <w:lang w:eastAsia="es-CR"/>
        </w:rPr>
      </w:pPr>
    </w:p>
    <w:p w14:paraId="79359636" w14:textId="17D0973F" w:rsidR="00193D21" w:rsidRDefault="00193D21" w:rsidP="00CE62C1">
      <w:pPr>
        <w:spacing w:after="160" w:line="276" w:lineRule="auto"/>
        <w:rPr>
          <w:rFonts w:cs="Calibri"/>
          <w:color w:val="000000"/>
          <w:szCs w:val="24"/>
          <w:lang w:eastAsia="es-CR"/>
        </w:rPr>
      </w:pPr>
    </w:p>
    <w:p w14:paraId="384708A8" w14:textId="1823D46C" w:rsidR="00193D21" w:rsidRDefault="00193D21" w:rsidP="00CE62C1">
      <w:pPr>
        <w:spacing w:after="160" w:line="276" w:lineRule="auto"/>
        <w:rPr>
          <w:rFonts w:cs="Calibri"/>
          <w:color w:val="000000"/>
          <w:szCs w:val="24"/>
          <w:lang w:eastAsia="es-CR"/>
        </w:rPr>
      </w:pPr>
    </w:p>
    <w:p w14:paraId="31990056" w14:textId="77777777" w:rsidR="00193D21" w:rsidRPr="004E74A6" w:rsidRDefault="00193D21" w:rsidP="00CE62C1">
      <w:pPr>
        <w:spacing w:after="160" w:line="276" w:lineRule="auto"/>
        <w:rPr>
          <w:rFonts w:cs="Calibri"/>
          <w:color w:val="000000"/>
          <w:szCs w:val="24"/>
          <w:lang w:eastAsia="es-CR"/>
        </w:rPr>
      </w:pPr>
    </w:p>
    <w:p w14:paraId="3CC83D23" w14:textId="37818924" w:rsidR="0055421A" w:rsidRPr="00832773" w:rsidRDefault="0055421A" w:rsidP="00F0204A">
      <w:pPr>
        <w:pStyle w:val="Descripcin"/>
        <w:keepNext/>
        <w:spacing w:line="276" w:lineRule="auto"/>
        <w:jc w:val="center"/>
        <w:rPr>
          <w:rFonts w:ascii="Book Antiqua" w:hAnsi="Book Antiqua"/>
          <w:i/>
          <w:iCs/>
          <w:sz w:val="20"/>
          <w:szCs w:val="16"/>
          <w:lang w:val="es-CR"/>
        </w:rPr>
      </w:pPr>
      <w:r w:rsidRPr="00832773">
        <w:rPr>
          <w:rFonts w:ascii="Book Antiqua" w:hAnsi="Book Antiqua"/>
          <w:i/>
          <w:iCs/>
          <w:sz w:val="20"/>
          <w:szCs w:val="16"/>
          <w:lang w:val="es-CR"/>
        </w:rPr>
        <w:lastRenderedPageBreak/>
        <w:t xml:space="preserve">Tabla </w:t>
      </w:r>
      <w:r w:rsidRPr="00832773">
        <w:rPr>
          <w:rFonts w:ascii="Book Antiqua" w:hAnsi="Book Antiqua"/>
          <w:i/>
          <w:iCs/>
          <w:sz w:val="20"/>
          <w:szCs w:val="16"/>
          <w:lang w:val="es-CR"/>
        </w:rPr>
        <w:fldChar w:fldCharType="begin"/>
      </w:r>
      <w:r w:rsidRPr="00832773">
        <w:rPr>
          <w:rFonts w:ascii="Book Antiqua" w:hAnsi="Book Antiqua"/>
          <w:i/>
          <w:iCs/>
          <w:sz w:val="20"/>
          <w:szCs w:val="16"/>
          <w:lang w:val="es-CR"/>
        </w:rPr>
        <w:instrText xml:space="preserve"> SEQ Tabla \* ARABIC </w:instrText>
      </w:r>
      <w:r w:rsidRPr="00832773">
        <w:rPr>
          <w:rFonts w:ascii="Book Antiqua" w:hAnsi="Book Antiqua"/>
          <w:i/>
          <w:iCs/>
          <w:sz w:val="20"/>
          <w:szCs w:val="16"/>
          <w:lang w:val="es-CR"/>
        </w:rPr>
        <w:fldChar w:fldCharType="separate"/>
      </w:r>
      <w:r w:rsidR="00374B51">
        <w:rPr>
          <w:rFonts w:ascii="Book Antiqua" w:hAnsi="Book Antiqua"/>
          <w:i/>
          <w:iCs/>
          <w:noProof/>
          <w:sz w:val="20"/>
          <w:szCs w:val="16"/>
          <w:lang w:val="es-CR"/>
        </w:rPr>
        <w:t>31</w:t>
      </w:r>
      <w:r w:rsidRPr="00832773">
        <w:rPr>
          <w:rFonts w:ascii="Book Antiqua" w:hAnsi="Book Antiqua"/>
          <w:i/>
          <w:iCs/>
          <w:sz w:val="20"/>
          <w:szCs w:val="16"/>
          <w:lang w:val="es-CR"/>
        </w:rPr>
        <w:fldChar w:fldCharType="end"/>
      </w:r>
      <w:r w:rsidRPr="00832773">
        <w:rPr>
          <w:rFonts w:ascii="Book Antiqua" w:hAnsi="Book Antiqua"/>
          <w:i/>
          <w:iCs/>
          <w:sz w:val="20"/>
          <w:szCs w:val="16"/>
          <w:lang w:val="es-CR"/>
        </w:rPr>
        <w:t xml:space="preserve"> Cantidad de asuntos ordinarios según procedimiento del 2019 al 2021 para el Tribunal Colegiado de Primera Instancia Civil Primer Circuito Judicial de Guanacaste, Liberia</w:t>
      </w:r>
    </w:p>
    <w:tbl>
      <w:tblPr>
        <w:tblW w:w="4579" w:type="pct"/>
        <w:jc w:val="center"/>
        <w:tblCellMar>
          <w:left w:w="70" w:type="dxa"/>
          <w:right w:w="70" w:type="dxa"/>
        </w:tblCellMar>
        <w:tblLook w:val="04A0" w:firstRow="1" w:lastRow="0" w:firstColumn="1" w:lastColumn="0" w:noHBand="0" w:noVBand="1"/>
      </w:tblPr>
      <w:tblGrid>
        <w:gridCol w:w="4466"/>
        <w:gridCol w:w="837"/>
        <w:gridCol w:w="840"/>
        <w:gridCol w:w="837"/>
        <w:gridCol w:w="1116"/>
      </w:tblGrid>
      <w:tr w:rsidR="0055421A" w:rsidRPr="004E74A6" w14:paraId="4B1F287D" w14:textId="77777777" w:rsidTr="00A06E92">
        <w:trPr>
          <w:trHeight w:val="454"/>
          <w:tblHeader/>
          <w:jc w:val="center"/>
        </w:trPr>
        <w:tc>
          <w:tcPr>
            <w:tcW w:w="2758" w:type="pct"/>
            <w:tcBorders>
              <w:top w:val="single" w:sz="4" w:space="0" w:color="auto"/>
              <w:bottom w:val="single" w:sz="4" w:space="0" w:color="auto"/>
              <w:right w:val="single" w:sz="4" w:space="0" w:color="auto"/>
            </w:tcBorders>
            <w:shd w:val="clear" w:color="auto" w:fill="auto"/>
            <w:noWrap/>
            <w:vAlign w:val="center"/>
            <w:hideMark/>
          </w:tcPr>
          <w:p w14:paraId="5E585AC1"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Ordinario</w:t>
            </w:r>
          </w:p>
        </w:tc>
        <w:tc>
          <w:tcPr>
            <w:tcW w:w="51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E9E7A59"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2019</w:t>
            </w:r>
          </w:p>
        </w:tc>
        <w:tc>
          <w:tcPr>
            <w:tcW w:w="51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0C8992D"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2020</w:t>
            </w:r>
          </w:p>
        </w:tc>
        <w:tc>
          <w:tcPr>
            <w:tcW w:w="51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AA91C1A"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2021</w:t>
            </w:r>
          </w:p>
        </w:tc>
        <w:tc>
          <w:tcPr>
            <w:tcW w:w="689" w:type="pct"/>
            <w:tcBorders>
              <w:top w:val="single" w:sz="4" w:space="0" w:color="auto"/>
              <w:left w:val="single" w:sz="4" w:space="0" w:color="auto"/>
              <w:bottom w:val="single" w:sz="4" w:space="0" w:color="auto"/>
            </w:tcBorders>
            <w:shd w:val="clear" w:color="auto" w:fill="auto"/>
            <w:noWrap/>
            <w:vAlign w:val="center"/>
          </w:tcPr>
          <w:p w14:paraId="54A7F998" w14:textId="6EE39F50" w:rsidR="008647ED" w:rsidRPr="004E74A6" w:rsidRDefault="0055421A" w:rsidP="00CE62C1">
            <w:pPr>
              <w:spacing w:line="276" w:lineRule="auto"/>
              <w:jc w:val="center"/>
              <w:rPr>
                <w:rFonts w:cs="Calibri"/>
                <w:color w:val="000000"/>
                <w:sz w:val="20"/>
                <w:lang w:eastAsia="es-CR"/>
              </w:rPr>
            </w:pPr>
            <w:r w:rsidRPr="004E74A6">
              <w:rPr>
                <w:rFonts w:cs="Calibri"/>
                <w:color w:val="000000"/>
                <w:sz w:val="20"/>
                <w:lang w:eastAsia="es-CR"/>
              </w:rPr>
              <w:t>Promedio</w:t>
            </w:r>
          </w:p>
        </w:tc>
      </w:tr>
      <w:tr w:rsidR="0055421A" w:rsidRPr="004E74A6" w14:paraId="5010D97D" w14:textId="77777777" w:rsidTr="00A06E92">
        <w:trPr>
          <w:trHeight w:val="288"/>
          <w:jc w:val="center"/>
        </w:trPr>
        <w:tc>
          <w:tcPr>
            <w:tcW w:w="2758" w:type="pct"/>
            <w:tcBorders>
              <w:top w:val="single" w:sz="4" w:space="0" w:color="auto"/>
              <w:right w:val="single" w:sz="4" w:space="0" w:color="auto"/>
            </w:tcBorders>
            <w:shd w:val="clear" w:color="auto" w:fill="auto"/>
            <w:noWrap/>
            <w:vAlign w:val="center"/>
          </w:tcPr>
          <w:p w14:paraId="05612F50" w14:textId="77777777" w:rsidR="008647ED" w:rsidRPr="004E74A6" w:rsidRDefault="008647ED" w:rsidP="00CE62C1">
            <w:pPr>
              <w:spacing w:line="276" w:lineRule="auto"/>
              <w:ind w:firstLineChars="200" w:firstLine="400"/>
              <w:jc w:val="center"/>
              <w:rPr>
                <w:rFonts w:cs="Calibri"/>
                <w:color w:val="000000"/>
                <w:sz w:val="20"/>
                <w:lang w:eastAsia="es-CR"/>
              </w:rPr>
            </w:pPr>
          </w:p>
        </w:tc>
        <w:tc>
          <w:tcPr>
            <w:tcW w:w="517" w:type="pct"/>
            <w:tcBorders>
              <w:top w:val="single" w:sz="4" w:space="0" w:color="auto"/>
              <w:left w:val="single" w:sz="4" w:space="0" w:color="auto"/>
              <w:right w:val="single" w:sz="4" w:space="0" w:color="auto"/>
            </w:tcBorders>
            <w:shd w:val="clear" w:color="auto" w:fill="auto"/>
            <w:noWrap/>
            <w:vAlign w:val="center"/>
          </w:tcPr>
          <w:p w14:paraId="7C60B2C0" w14:textId="77777777" w:rsidR="008647ED" w:rsidRPr="004E74A6" w:rsidRDefault="008647ED" w:rsidP="00CE62C1">
            <w:pPr>
              <w:spacing w:line="276" w:lineRule="auto"/>
              <w:jc w:val="center"/>
              <w:rPr>
                <w:sz w:val="20"/>
                <w:lang w:eastAsia="es-CR"/>
              </w:rPr>
            </w:pPr>
          </w:p>
        </w:tc>
        <w:tc>
          <w:tcPr>
            <w:tcW w:w="519" w:type="pct"/>
            <w:tcBorders>
              <w:top w:val="single" w:sz="4" w:space="0" w:color="auto"/>
              <w:left w:val="single" w:sz="4" w:space="0" w:color="auto"/>
              <w:right w:val="single" w:sz="4" w:space="0" w:color="auto"/>
            </w:tcBorders>
            <w:shd w:val="clear" w:color="auto" w:fill="auto"/>
            <w:noWrap/>
            <w:vAlign w:val="center"/>
          </w:tcPr>
          <w:p w14:paraId="24B673C7" w14:textId="77777777" w:rsidR="008647ED" w:rsidRPr="004E74A6" w:rsidRDefault="008647ED" w:rsidP="00CE62C1">
            <w:pPr>
              <w:spacing w:line="276" w:lineRule="auto"/>
              <w:jc w:val="center"/>
              <w:rPr>
                <w:rFonts w:cs="Calibri"/>
                <w:color w:val="000000"/>
                <w:sz w:val="20"/>
                <w:lang w:eastAsia="es-CR"/>
              </w:rPr>
            </w:pPr>
          </w:p>
        </w:tc>
        <w:tc>
          <w:tcPr>
            <w:tcW w:w="517" w:type="pct"/>
            <w:tcBorders>
              <w:top w:val="single" w:sz="4" w:space="0" w:color="auto"/>
              <w:left w:val="single" w:sz="4" w:space="0" w:color="auto"/>
              <w:right w:val="single" w:sz="4" w:space="0" w:color="auto"/>
            </w:tcBorders>
            <w:shd w:val="clear" w:color="auto" w:fill="auto"/>
            <w:noWrap/>
            <w:vAlign w:val="center"/>
          </w:tcPr>
          <w:p w14:paraId="06844EDF" w14:textId="77777777" w:rsidR="008647ED" w:rsidRPr="004E74A6" w:rsidRDefault="008647ED" w:rsidP="00CE62C1">
            <w:pPr>
              <w:spacing w:line="276" w:lineRule="auto"/>
              <w:jc w:val="center"/>
              <w:rPr>
                <w:rFonts w:cs="Calibri"/>
                <w:color w:val="000000"/>
                <w:sz w:val="20"/>
                <w:lang w:eastAsia="es-CR"/>
              </w:rPr>
            </w:pPr>
          </w:p>
        </w:tc>
        <w:tc>
          <w:tcPr>
            <w:tcW w:w="689" w:type="pct"/>
            <w:tcBorders>
              <w:top w:val="single" w:sz="4" w:space="0" w:color="auto"/>
              <w:left w:val="single" w:sz="4" w:space="0" w:color="auto"/>
            </w:tcBorders>
            <w:shd w:val="clear" w:color="auto" w:fill="auto"/>
            <w:noWrap/>
            <w:vAlign w:val="center"/>
          </w:tcPr>
          <w:p w14:paraId="1CD26F9F" w14:textId="77777777" w:rsidR="008647ED" w:rsidRPr="004E74A6" w:rsidRDefault="008647ED" w:rsidP="00CE62C1">
            <w:pPr>
              <w:spacing w:line="276" w:lineRule="auto"/>
              <w:jc w:val="center"/>
              <w:rPr>
                <w:rFonts w:cs="Calibri"/>
                <w:color w:val="000000"/>
                <w:sz w:val="20"/>
                <w:lang w:eastAsia="es-CR"/>
              </w:rPr>
            </w:pPr>
          </w:p>
        </w:tc>
      </w:tr>
      <w:tr w:rsidR="00A06E92" w:rsidRPr="004E74A6" w14:paraId="5DAB66A8" w14:textId="77777777" w:rsidTr="00B32800">
        <w:trPr>
          <w:trHeight w:val="288"/>
          <w:jc w:val="center"/>
        </w:trPr>
        <w:tc>
          <w:tcPr>
            <w:tcW w:w="2758" w:type="pct"/>
            <w:tcBorders>
              <w:right w:val="single" w:sz="4" w:space="0" w:color="auto"/>
            </w:tcBorders>
            <w:shd w:val="clear" w:color="auto" w:fill="auto"/>
            <w:noWrap/>
            <w:vAlign w:val="center"/>
          </w:tcPr>
          <w:p w14:paraId="31746920" w14:textId="77777777" w:rsidR="00A06E92" w:rsidRPr="004E74A6" w:rsidRDefault="00A06E92" w:rsidP="00CE62C1">
            <w:pPr>
              <w:spacing w:line="276" w:lineRule="auto"/>
              <w:jc w:val="center"/>
              <w:rPr>
                <w:rFonts w:cs="Calibri"/>
                <w:color w:val="000000"/>
                <w:sz w:val="20"/>
                <w:lang w:eastAsia="es-CR"/>
              </w:rPr>
            </w:pPr>
            <w:r w:rsidRPr="004E74A6">
              <w:rPr>
                <w:rFonts w:cs="Calibri"/>
                <w:color w:val="000000"/>
                <w:sz w:val="20"/>
                <w:lang w:eastAsia="es-CR"/>
              </w:rPr>
              <w:t>Total</w:t>
            </w:r>
          </w:p>
        </w:tc>
        <w:tc>
          <w:tcPr>
            <w:tcW w:w="517" w:type="pct"/>
            <w:tcBorders>
              <w:left w:val="single" w:sz="4" w:space="0" w:color="auto"/>
              <w:right w:val="single" w:sz="4" w:space="0" w:color="auto"/>
            </w:tcBorders>
            <w:shd w:val="clear" w:color="auto" w:fill="auto"/>
            <w:noWrap/>
            <w:vAlign w:val="bottom"/>
          </w:tcPr>
          <w:p w14:paraId="59F1CCDC" w14:textId="106B35BD" w:rsidR="00A06E92" w:rsidRPr="004E74A6" w:rsidRDefault="00A06E92" w:rsidP="00CE62C1">
            <w:pPr>
              <w:spacing w:line="276" w:lineRule="auto"/>
              <w:jc w:val="center"/>
              <w:rPr>
                <w:sz w:val="20"/>
                <w:lang w:eastAsia="es-CR"/>
              </w:rPr>
            </w:pPr>
            <w:r w:rsidRPr="004E74A6">
              <w:rPr>
                <w:rFonts w:cs="Calibri"/>
                <w:color w:val="000000"/>
                <w:sz w:val="20"/>
              </w:rPr>
              <w:t>99</w:t>
            </w:r>
          </w:p>
        </w:tc>
        <w:tc>
          <w:tcPr>
            <w:tcW w:w="519" w:type="pct"/>
            <w:tcBorders>
              <w:left w:val="single" w:sz="4" w:space="0" w:color="auto"/>
              <w:right w:val="single" w:sz="4" w:space="0" w:color="auto"/>
            </w:tcBorders>
            <w:shd w:val="clear" w:color="auto" w:fill="auto"/>
            <w:noWrap/>
            <w:vAlign w:val="bottom"/>
          </w:tcPr>
          <w:p w14:paraId="2C4D04C4" w14:textId="23EEA99D" w:rsidR="00A06E92" w:rsidRPr="004E74A6" w:rsidRDefault="00A06E92" w:rsidP="00CE62C1">
            <w:pPr>
              <w:spacing w:line="276" w:lineRule="auto"/>
              <w:jc w:val="center"/>
              <w:rPr>
                <w:rFonts w:cs="Calibri"/>
                <w:color w:val="000000"/>
                <w:sz w:val="20"/>
                <w:lang w:eastAsia="es-CR"/>
              </w:rPr>
            </w:pPr>
            <w:r w:rsidRPr="004E74A6">
              <w:rPr>
                <w:rFonts w:cs="Calibri"/>
                <w:color w:val="000000"/>
                <w:sz w:val="20"/>
              </w:rPr>
              <w:t>78</w:t>
            </w:r>
          </w:p>
        </w:tc>
        <w:tc>
          <w:tcPr>
            <w:tcW w:w="517" w:type="pct"/>
            <w:tcBorders>
              <w:left w:val="single" w:sz="4" w:space="0" w:color="auto"/>
              <w:right w:val="single" w:sz="4" w:space="0" w:color="auto"/>
            </w:tcBorders>
            <w:shd w:val="clear" w:color="auto" w:fill="auto"/>
            <w:noWrap/>
            <w:vAlign w:val="bottom"/>
          </w:tcPr>
          <w:p w14:paraId="21BC9BD0" w14:textId="5CAD80FA" w:rsidR="00A06E92" w:rsidRPr="004E74A6" w:rsidRDefault="00A06E92" w:rsidP="00CE62C1">
            <w:pPr>
              <w:spacing w:line="276" w:lineRule="auto"/>
              <w:jc w:val="center"/>
              <w:rPr>
                <w:rFonts w:cs="Calibri"/>
                <w:color w:val="000000"/>
                <w:sz w:val="20"/>
                <w:lang w:eastAsia="es-CR"/>
              </w:rPr>
            </w:pPr>
            <w:r w:rsidRPr="004E74A6">
              <w:rPr>
                <w:rFonts w:cs="Calibri"/>
                <w:color w:val="000000"/>
                <w:sz w:val="20"/>
              </w:rPr>
              <w:t>97</w:t>
            </w:r>
          </w:p>
        </w:tc>
        <w:tc>
          <w:tcPr>
            <w:tcW w:w="689" w:type="pct"/>
            <w:tcBorders>
              <w:left w:val="single" w:sz="4" w:space="0" w:color="auto"/>
            </w:tcBorders>
            <w:shd w:val="clear" w:color="auto" w:fill="auto"/>
            <w:noWrap/>
            <w:vAlign w:val="bottom"/>
          </w:tcPr>
          <w:p w14:paraId="5BB22E69" w14:textId="5439C4B3" w:rsidR="00A06E92" w:rsidRPr="004E74A6" w:rsidRDefault="00A06E92" w:rsidP="00CE62C1">
            <w:pPr>
              <w:spacing w:line="276" w:lineRule="auto"/>
              <w:jc w:val="center"/>
              <w:rPr>
                <w:rFonts w:cs="Calibri"/>
                <w:color w:val="000000"/>
                <w:sz w:val="20"/>
                <w:lang w:eastAsia="es-CR"/>
              </w:rPr>
            </w:pPr>
            <w:r w:rsidRPr="004E74A6">
              <w:rPr>
                <w:rFonts w:cs="Calibri"/>
                <w:color w:val="000000"/>
                <w:sz w:val="20"/>
              </w:rPr>
              <w:t>91</w:t>
            </w:r>
          </w:p>
        </w:tc>
      </w:tr>
      <w:tr w:rsidR="0055421A" w:rsidRPr="004E74A6" w14:paraId="72116AD7" w14:textId="77777777" w:rsidTr="00A06E92">
        <w:trPr>
          <w:trHeight w:val="288"/>
          <w:jc w:val="center"/>
        </w:trPr>
        <w:tc>
          <w:tcPr>
            <w:tcW w:w="2758" w:type="pct"/>
            <w:tcBorders>
              <w:right w:val="single" w:sz="4" w:space="0" w:color="auto"/>
            </w:tcBorders>
            <w:shd w:val="clear" w:color="auto" w:fill="auto"/>
            <w:noWrap/>
            <w:vAlign w:val="bottom"/>
          </w:tcPr>
          <w:p w14:paraId="138E262F" w14:textId="77777777" w:rsidR="0055421A" w:rsidRPr="004E74A6" w:rsidRDefault="0055421A" w:rsidP="00CE62C1">
            <w:pPr>
              <w:spacing w:line="276" w:lineRule="auto"/>
              <w:ind w:firstLineChars="200" w:firstLine="400"/>
              <w:jc w:val="left"/>
              <w:rPr>
                <w:rFonts w:cs="Calibri"/>
                <w:color w:val="000000"/>
                <w:sz w:val="20"/>
                <w:lang w:eastAsia="es-CR"/>
              </w:rPr>
            </w:pPr>
          </w:p>
        </w:tc>
        <w:tc>
          <w:tcPr>
            <w:tcW w:w="517" w:type="pct"/>
            <w:tcBorders>
              <w:left w:val="single" w:sz="4" w:space="0" w:color="auto"/>
              <w:right w:val="single" w:sz="4" w:space="0" w:color="auto"/>
            </w:tcBorders>
            <w:shd w:val="clear" w:color="auto" w:fill="auto"/>
            <w:noWrap/>
            <w:vAlign w:val="center"/>
          </w:tcPr>
          <w:p w14:paraId="4F5B82CF" w14:textId="77777777" w:rsidR="0055421A" w:rsidRPr="004E74A6" w:rsidRDefault="0055421A" w:rsidP="00CE62C1">
            <w:pPr>
              <w:spacing w:line="276" w:lineRule="auto"/>
              <w:jc w:val="center"/>
              <w:rPr>
                <w:sz w:val="20"/>
                <w:lang w:eastAsia="es-CR"/>
              </w:rPr>
            </w:pPr>
          </w:p>
        </w:tc>
        <w:tc>
          <w:tcPr>
            <w:tcW w:w="519" w:type="pct"/>
            <w:tcBorders>
              <w:left w:val="single" w:sz="4" w:space="0" w:color="auto"/>
              <w:right w:val="single" w:sz="4" w:space="0" w:color="auto"/>
            </w:tcBorders>
            <w:shd w:val="clear" w:color="auto" w:fill="auto"/>
            <w:noWrap/>
            <w:vAlign w:val="center"/>
          </w:tcPr>
          <w:p w14:paraId="04B61FB6" w14:textId="77777777" w:rsidR="0055421A" w:rsidRPr="004E74A6" w:rsidRDefault="0055421A" w:rsidP="00CE62C1">
            <w:pPr>
              <w:spacing w:line="276" w:lineRule="auto"/>
              <w:jc w:val="center"/>
              <w:rPr>
                <w:rFonts w:cs="Calibri"/>
                <w:color w:val="000000"/>
                <w:sz w:val="20"/>
                <w:lang w:eastAsia="es-CR"/>
              </w:rPr>
            </w:pPr>
          </w:p>
        </w:tc>
        <w:tc>
          <w:tcPr>
            <w:tcW w:w="517" w:type="pct"/>
            <w:tcBorders>
              <w:left w:val="single" w:sz="4" w:space="0" w:color="auto"/>
              <w:right w:val="single" w:sz="4" w:space="0" w:color="auto"/>
            </w:tcBorders>
            <w:shd w:val="clear" w:color="auto" w:fill="auto"/>
            <w:noWrap/>
            <w:vAlign w:val="center"/>
          </w:tcPr>
          <w:p w14:paraId="59EB3ACB" w14:textId="77777777" w:rsidR="0055421A" w:rsidRPr="004E74A6" w:rsidRDefault="0055421A" w:rsidP="00CE62C1">
            <w:pPr>
              <w:spacing w:line="276" w:lineRule="auto"/>
              <w:jc w:val="center"/>
              <w:rPr>
                <w:rFonts w:cs="Calibri"/>
                <w:color w:val="000000"/>
                <w:sz w:val="20"/>
                <w:lang w:eastAsia="es-CR"/>
              </w:rPr>
            </w:pPr>
          </w:p>
        </w:tc>
        <w:tc>
          <w:tcPr>
            <w:tcW w:w="689" w:type="pct"/>
            <w:tcBorders>
              <w:left w:val="single" w:sz="4" w:space="0" w:color="auto"/>
            </w:tcBorders>
            <w:shd w:val="clear" w:color="auto" w:fill="auto"/>
            <w:noWrap/>
            <w:vAlign w:val="center"/>
          </w:tcPr>
          <w:p w14:paraId="303B67FF" w14:textId="77777777" w:rsidR="0055421A" w:rsidRPr="004E74A6" w:rsidRDefault="0055421A" w:rsidP="00CE62C1">
            <w:pPr>
              <w:spacing w:line="276" w:lineRule="auto"/>
              <w:jc w:val="center"/>
              <w:rPr>
                <w:rFonts w:cs="Calibri"/>
                <w:color w:val="000000"/>
                <w:sz w:val="20"/>
                <w:lang w:eastAsia="es-CR"/>
              </w:rPr>
            </w:pPr>
          </w:p>
        </w:tc>
      </w:tr>
      <w:tr w:rsidR="00A06E92" w:rsidRPr="004E74A6" w14:paraId="263E94DF" w14:textId="77777777" w:rsidTr="00B32800">
        <w:trPr>
          <w:trHeight w:val="288"/>
          <w:jc w:val="center"/>
        </w:trPr>
        <w:tc>
          <w:tcPr>
            <w:tcW w:w="2758" w:type="pct"/>
            <w:tcBorders>
              <w:right w:val="single" w:sz="4" w:space="0" w:color="auto"/>
            </w:tcBorders>
            <w:shd w:val="clear" w:color="auto" w:fill="auto"/>
            <w:noWrap/>
            <w:vAlign w:val="bottom"/>
            <w:hideMark/>
          </w:tcPr>
          <w:p w14:paraId="213CA5B4" w14:textId="77777777" w:rsidR="00A06E92" w:rsidRPr="004E74A6" w:rsidRDefault="00A06E92" w:rsidP="00CE62C1">
            <w:pPr>
              <w:spacing w:line="276" w:lineRule="auto"/>
              <w:ind w:firstLineChars="200" w:firstLine="400"/>
              <w:jc w:val="left"/>
              <w:rPr>
                <w:rFonts w:cs="Calibri"/>
                <w:color w:val="000000"/>
                <w:sz w:val="20"/>
                <w:lang w:eastAsia="es-CR"/>
              </w:rPr>
            </w:pPr>
            <w:r w:rsidRPr="004E74A6">
              <w:rPr>
                <w:rFonts w:cs="Calibri"/>
                <w:color w:val="000000"/>
                <w:sz w:val="20"/>
                <w:lang w:eastAsia="es-CR"/>
              </w:rPr>
              <w:t>Apertura Y Comprobación De Testamento</w:t>
            </w:r>
          </w:p>
        </w:tc>
        <w:tc>
          <w:tcPr>
            <w:tcW w:w="517" w:type="pct"/>
            <w:tcBorders>
              <w:left w:val="single" w:sz="4" w:space="0" w:color="auto"/>
              <w:right w:val="single" w:sz="4" w:space="0" w:color="auto"/>
            </w:tcBorders>
            <w:shd w:val="clear" w:color="auto" w:fill="auto"/>
            <w:noWrap/>
            <w:vAlign w:val="bottom"/>
            <w:hideMark/>
          </w:tcPr>
          <w:p w14:paraId="2EADBDF0" w14:textId="4189EB18" w:rsidR="00A06E92" w:rsidRPr="004E74A6" w:rsidRDefault="00A06E92" w:rsidP="00CE62C1">
            <w:pPr>
              <w:spacing w:line="276" w:lineRule="auto"/>
              <w:jc w:val="center"/>
              <w:rPr>
                <w:sz w:val="20"/>
                <w:lang w:eastAsia="es-CR"/>
              </w:rPr>
            </w:pPr>
            <w:r w:rsidRPr="004E74A6">
              <w:rPr>
                <w:rFonts w:cs="Calibri"/>
                <w:color w:val="000000"/>
                <w:sz w:val="20"/>
              </w:rPr>
              <w:t>0</w:t>
            </w:r>
          </w:p>
        </w:tc>
        <w:tc>
          <w:tcPr>
            <w:tcW w:w="519" w:type="pct"/>
            <w:tcBorders>
              <w:left w:val="single" w:sz="4" w:space="0" w:color="auto"/>
              <w:right w:val="single" w:sz="4" w:space="0" w:color="auto"/>
            </w:tcBorders>
            <w:shd w:val="clear" w:color="auto" w:fill="auto"/>
            <w:noWrap/>
            <w:vAlign w:val="bottom"/>
            <w:hideMark/>
          </w:tcPr>
          <w:p w14:paraId="5A5C67F8" w14:textId="7F73D9BC" w:rsidR="00A06E92" w:rsidRPr="004E74A6" w:rsidRDefault="00A06E92" w:rsidP="00CE62C1">
            <w:pPr>
              <w:spacing w:line="276" w:lineRule="auto"/>
              <w:jc w:val="center"/>
              <w:rPr>
                <w:rFonts w:cs="Calibri"/>
                <w:color w:val="000000"/>
                <w:sz w:val="20"/>
                <w:lang w:eastAsia="es-CR"/>
              </w:rPr>
            </w:pPr>
            <w:r w:rsidRPr="004E74A6">
              <w:rPr>
                <w:rFonts w:cs="Calibri"/>
                <w:color w:val="000000"/>
                <w:sz w:val="20"/>
              </w:rPr>
              <w:t>1</w:t>
            </w:r>
          </w:p>
        </w:tc>
        <w:tc>
          <w:tcPr>
            <w:tcW w:w="517" w:type="pct"/>
            <w:tcBorders>
              <w:left w:val="single" w:sz="4" w:space="0" w:color="auto"/>
              <w:right w:val="single" w:sz="4" w:space="0" w:color="auto"/>
            </w:tcBorders>
            <w:shd w:val="clear" w:color="auto" w:fill="auto"/>
            <w:noWrap/>
            <w:vAlign w:val="bottom"/>
            <w:hideMark/>
          </w:tcPr>
          <w:p w14:paraId="260D6F62" w14:textId="1A750D31" w:rsidR="00A06E92" w:rsidRPr="004E74A6" w:rsidRDefault="00A06E92" w:rsidP="00CE62C1">
            <w:pPr>
              <w:spacing w:line="276" w:lineRule="auto"/>
              <w:jc w:val="center"/>
              <w:rPr>
                <w:rFonts w:cs="Calibri"/>
                <w:color w:val="000000"/>
                <w:sz w:val="20"/>
                <w:lang w:eastAsia="es-CR"/>
              </w:rPr>
            </w:pPr>
            <w:r w:rsidRPr="004E74A6">
              <w:rPr>
                <w:rFonts w:cs="Calibri"/>
                <w:color w:val="000000"/>
                <w:sz w:val="20"/>
              </w:rPr>
              <w:t>0</w:t>
            </w:r>
          </w:p>
        </w:tc>
        <w:tc>
          <w:tcPr>
            <w:tcW w:w="689" w:type="pct"/>
            <w:tcBorders>
              <w:left w:val="single" w:sz="4" w:space="0" w:color="auto"/>
            </w:tcBorders>
            <w:shd w:val="clear" w:color="auto" w:fill="auto"/>
            <w:noWrap/>
            <w:vAlign w:val="bottom"/>
            <w:hideMark/>
          </w:tcPr>
          <w:p w14:paraId="6C76D7B8" w14:textId="4F39A130" w:rsidR="00A06E92" w:rsidRPr="004E74A6" w:rsidRDefault="00A06E92" w:rsidP="00CE62C1">
            <w:pPr>
              <w:spacing w:line="276" w:lineRule="auto"/>
              <w:jc w:val="center"/>
              <w:rPr>
                <w:rFonts w:cs="Calibri"/>
                <w:color w:val="000000"/>
                <w:sz w:val="20"/>
                <w:lang w:eastAsia="es-CR"/>
              </w:rPr>
            </w:pPr>
            <w:r w:rsidRPr="004E74A6">
              <w:rPr>
                <w:rFonts w:cs="Calibri"/>
                <w:color w:val="000000"/>
                <w:sz w:val="20"/>
              </w:rPr>
              <w:t>0,3</w:t>
            </w:r>
          </w:p>
        </w:tc>
      </w:tr>
      <w:tr w:rsidR="00A06E92" w:rsidRPr="004E74A6" w14:paraId="7D084050" w14:textId="77777777" w:rsidTr="00B32800">
        <w:trPr>
          <w:trHeight w:val="288"/>
          <w:jc w:val="center"/>
        </w:trPr>
        <w:tc>
          <w:tcPr>
            <w:tcW w:w="2758" w:type="pct"/>
            <w:tcBorders>
              <w:right w:val="single" w:sz="4" w:space="0" w:color="auto"/>
            </w:tcBorders>
            <w:shd w:val="clear" w:color="auto" w:fill="auto"/>
            <w:noWrap/>
            <w:vAlign w:val="bottom"/>
            <w:hideMark/>
          </w:tcPr>
          <w:p w14:paraId="49E1FF8F" w14:textId="77777777" w:rsidR="00A06E92" w:rsidRPr="004E74A6" w:rsidRDefault="00A06E92" w:rsidP="00CE62C1">
            <w:pPr>
              <w:spacing w:line="276" w:lineRule="auto"/>
              <w:ind w:firstLineChars="200" w:firstLine="400"/>
              <w:jc w:val="left"/>
              <w:rPr>
                <w:rFonts w:cs="Calibri"/>
                <w:color w:val="000000"/>
                <w:sz w:val="20"/>
                <w:lang w:eastAsia="es-CR"/>
              </w:rPr>
            </w:pPr>
            <w:r w:rsidRPr="004E74A6">
              <w:rPr>
                <w:rFonts w:cs="Calibri"/>
                <w:color w:val="000000"/>
                <w:sz w:val="20"/>
                <w:lang w:eastAsia="es-CR"/>
              </w:rPr>
              <w:t>Ejecución De Sentencia</w:t>
            </w:r>
          </w:p>
        </w:tc>
        <w:tc>
          <w:tcPr>
            <w:tcW w:w="517" w:type="pct"/>
            <w:tcBorders>
              <w:left w:val="single" w:sz="4" w:space="0" w:color="auto"/>
              <w:right w:val="single" w:sz="4" w:space="0" w:color="auto"/>
            </w:tcBorders>
            <w:shd w:val="clear" w:color="auto" w:fill="auto"/>
            <w:noWrap/>
            <w:vAlign w:val="bottom"/>
            <w:hideMark/>
          </w:tcPr>
          <w:p w14:paraId="7E15F4E6" w14:textId="4AC495F7" w:rsidR="00A06E92" w:rsidRPr="004E74A6" w:rsidRDefault="00A06E92" w:rsidP="00CE62C1">
            <w:pPr>
              <w:spacing w:line="276" w:lineRule="auto"/>
              <w:jc w:val="center"/>
              <w:rPr>
                <w:rFonts w:cs="Calibri"/>
                <w:color w:val="000000"/>
                <w:sz w:val="20"/>
                <w:lang w:eastAsia="es-CR"/>
              </w:rPr>
            </w:pPr>
            <w:r w:rsidRPr="004E74A6">
              <w:rPr>
                <w:rFonts w:cs="Calibri"/>
                <w:color w:val="000000"/>
                <w:sz w:val="20"/>
              </w:rPr>
              <w:t>1</w:t>
            </w:r>
          </w:p>
        </w:tc>
        <w:tc>
          <w:tcPr>
            <w:tcW w:w="519" w:type="pct"/>
            <w:tcBorders>
              <w:left w:val="single" w:sz="4" w:space="0" w:color="auto"/>
              <w:right w:val="single" w:sz="4" w:space="0" w:color="auto"/>
            </w:tcBorders>
            <w:shd w:val="clear" w:color="auto" w:fill="auto"/>
            <w:noWrap/>
            <w:vAlign w:val="bottom"/>
            <w:hideMark/>
          </w:tcPr>
          <w:p w14:paraId="2B612799" w14:textId="72B9F547" w:rsidR="00A06E92" w:rsidRPr="004E74A6" w:rsidRDefault="00A06E92" w:rsidP="00CE62C1">
            <w:pPr>
              <w:spacing w:line="276" w:lineRule="auto"/>
              <w:jc w:val="center"/>
              <w:rPr>
                <w:rFonts w:cs="Calibri"/>
                <w:color w:val="000000"/>
                <w:sz w:val="20"/>
                <w:lang w:eastAsia="es-CR"/>
              </w:rPr>
            </w:pPr>
            <w:r w:rsidRPr="004E74A6">
              <w:rPr>
                <w:rFonts w:cs="Calibri"/>
                <w:color w:val="000000"/>
                <w:sz w:val="20"/>
              </w:rPr>
              <w:t>0</w:t>
            </w:r>
          </w:p>
        </w:tc>
        <w:tc>
          <w:tcPr>
            <w:tcW w:w="517" w:type="pct"/>
            <w:tcBorders>
              <w:left w:val="single" w:sz="4" w:space="0" w:color="auto"/>
              <w:right w:val="single" w:sz="4" w:space="0" w:color="auto"/>
            </w:tcBorders>
            <w:shd w:val="clear" w:color="auto" w:fill="auto"/>
            <w:noWrap/>
            <w:vAlign w:val="bottom"/>
            <w:hideMark/>
          </w:tcPr>
          <w:p w14:paraId="4938DECA" w14:textId="630388BF" w:rsidR="00A06E92" w:rsidRPr="004E74A6" w:rsidRDefault="00A06E92" w:rsidP="00CE62C1">
            <w:pPr>
              <w:spacing w:line="276" w:lineRule="auto"/>
              <w:jc w:val="center"/>
              <w:rPr>
                <w:sz w:val="20"/>
                <w:lang w:eastAsia="es-CR"/>
              </w:rPr>
            </w:pPr>
            <w:r w:rsidRPr="004E74A6">
              <w:rPr>
                <w:rFonts w:cs="Calibri"/>
                <w:color w:val="000000"/>
                <w:sz w:val="20"/>
              </w:rPr>
              <w:t>0</w:t>
            </w:r>
          </w:p>
        </w:tc>
        <w:tc>
          <w:tcPr>
            <w:tcW w:w="689" w:type="pct"/>
            <w:tcBorders>
              <w:left w:val="single" w:sz="4" w:space="0" w:color="auto"/>
            </w:tcBorders>
            <w:shd w:val="clear" w:color="auto" w:fill="auto"/>
            <w:noWrap/>
            <w:vAlign w:val="bottom"/>
            <w:hideMark/>
          </w:tcPr>
          <w:p w14:paraId="25C7CCCB" w14:textId="74162B0C" w:rsidR="00A06E92" w:rsidRPr="004E74A6" w:rsidRDefault="00A06E92" w:rsidP="00CE62C1">
            <w:pPr>
              <w:spacing w:line="276" w:lineRule="auto"/>
              <w:jc w:val="center"/>
              <w:rPr>
                <w:rFonts w:cs="Calibri"/>
                <w:color w:val="000000"/>
                <w:sz w:val="20"/>
                <w:lang w:eastAsia="es-CR"/>
              </w:rPr>
            </w:pPr>
            <w:r w:rsidRPr="004E74A6">
              <w:rPr>
                <w:rFonts w:cs="Calibri"/>
                <w:color w:val="000000"/>
                <w:sz w:val="20"/>
              </w:rPr>
              <w:t>0</w:t>
            </w:r>
          </w:p>
        </w:tc>
      </w:tr>
      <w:tr w:rsidR="00A06E92" w:rsidRPr="004E74A6" w14:paraId="0120DA0F" w14:textId="77777777" w:rsidTr="00B32800">
        <w:trPr>
          <w:trHeight w:val="288"/>
          <w:jc w:val="center"/>
        </w:trPr>
        <w:tc>
          <w:tcPr>
            <w:tcW w:w="2758" w:type="pct"/>
            <w:tcBorders>
              <w:right w:val="single" w:sz="4" w:space="0" w:color="auto"/>
            </w:tcBorders>
            <w:shd w:val="clear" w:color="auto" w:fill="auto"/>
            <w:noWrap/>
            <w:vAlign w:val="bottom"/>
            <w:hideMark/>
          </w:tcPr>
          <w:p w14:paraId="40984296" w14:textId="77777777" w:rsidR="00A06E92" w:rsidRPr="004E74A6" w:rsidRDefault="00A06E92" w:rsidP="00CE62C1">
            <w:pPr>
              <w:spacing w:line="276" w:lineRule="auto"/>
              <w:ind w:firstLineChars="200" w:firstLine="400"/>
              <w:jc w:val="left"/>
              <w:rPr>
                <w:rFonts w:cs="Calibri"/>
                <w:color w:val="000000"/>
                <w:sz w:val="20"/>
                <w:lang w:eastAsia="es-CR"/>
              </w:rPr>
            </w:pPr>
            <w:r w:rsidRPr="004E74A6">
              <w:rPr>
                <w:rFonts w:cs="Calibri"/>
                <w:color w:val="000000"/>
                <w:sz w:val="20"/>
                <w:lang w:eastAsia="es-CR"/>
              </w:rPr>
              <w:t>Localización De Derechos</w:t>
            </w:r>
          </w:p>
        </w:tc>
        <w:tc>
          <w:tcPr>
            <w:tcW w:w="517" w:type="pct"/>
            <w:tcBorders>
              <w:left w:val="single" w:sz="4" w:space="0" w:color="auto"/>
              <w:right w:val="single" w:sz="4" w:space="0" w:color="auto"/>
            </w:tcBorders>
            <w:shd w:val="clear" w:color="auto" w:fill="auto"/>
            <w:noWrap/>
            <w:vAlign w:val="bottom"/>
            <w:hideMark/>
          </w:tcPr>
          <w:p w14:paraId="2C3F4258" w14:textId="117E63EC" w:rsidR="00A06E92" w:rsidRPr="004E74A6" w:rsidRDefault="00A06E92" w:rsidP="00CE62C1">
            <w:pPr>
              <w:spacing w:line="276" w:lineRule="auto"/>
              <w:jc w:val="center"/>
              <w:rPr>
                <w:sz w:val="20"/>
                <w:lang w:eastAsia="es-CR"/>
              </w:rPr>
            </w:pPr>
            <w:r w:rsidRPr="004E74A6">
              <w:rPr>
                <w:rFonts w:cs="Calibri"/>
                <w:color w:val="000000"/>
                <w:sz w:val="20"/>
              </w:rPr>
              <w:t>0</w:t>
            </w:r>
          </w:p>
        </w:tc>
        <w:tc>
          <w:tcPr>
            <w:tcW w:w="519" w:type="pct"/>
            <w:tcBorders>
              <w:left w:val="single" w:sz="4" w:space="0" w:color="auto"/>
              <w:right w:val="single" w:sz="4" w:space="0" w:color="auto"/>
            </w:tcBorders>
            <w:shd w:val="clear" w:color="auto" w:fill="auto"/>
            <w:noWrap/>
            <w:vAlign w:val="bottom"/>
            <w:hideMark/>
          </w:tcPr>
          <w:p w14:paraId="11E0F93F" w14:textId="38CC1240" w:rsidR="00A06E92" w:rsidRPr="004E74A6" w:rsidRDefault="00A06E92" w:rsidP="00CE62C1">
            <w:pPr>
              <w:spacing w:line="276" w:lineRule="auto"/>
              <w:jc w:val="center"/>
              <w:rPr>
                <w:sz w:val="20"/>
                <w:lang w:eastAsia="es-CR"/>
              </w:rPr>
            </w:pPr>
            <w:r w:rsidRPr="004E74A6">
              <w:rPr>
                <w:rFonts w:cs="Calibri"/>
                <w:color w:val="000000"/>
                <w:sz w:val="20"/>
              </w:rPr>
              <w:t>0</w:t>
            </w:r>
          </w:p>
        </w:tc>
        <w:tc>
          <w:tcPr>
            <w:tcW w:w="517" w:type="pct"/>
            <w:tcBorders>
              <w:left w:val="single" w:sz="4" w:space="0" w:color="auto"/>
              <w:right w:val="single" w:sz="4" w:space="0" w:color="auto"/>
            </w:tcBorders>
            <w:shd w:val="clear" w:color="auto" w:fill="auto"/>
            <w:noWrap/>
            <w:vAlign w:val="bottom"/>
            <w:hideMark/>
          </w:tcPr>
          <w:p w14:paraId="7EC6A01A" w14:textId="773C4A9E" w:rsidR="00A06E92" w:rsidRPr="004E74A6" w:rsidRDefault="00A06E92" w:rsidP="00CE62C1">
            <w:pPr>
              <w:spacing w:line="276" w:lineRule="auto"/>
              <w:jc w:val="center"/>
              <w:rPr>
                <w:rFonts w:cs="Calibri"/>
                <w:color w:val="000000"/>
                <w:sz w:val="20"/>
                <w:lang w:eastAsia="es-CR"/>
              </w:rPr>
            </w:pPr>
            <w:r w:rsidRPr="004E74A6">
              <w:rPr>
                <w:rFonts w:cs="Calibri"/>
                <w:color w:val="000000"/>
                <w:sz w:val="20"/>
              </w:rPr>
              <w:t>1</w:t>
            </w:r>
          </w:p>
        </w:tc>
        <w:tc>
          <w:tcPr>
            <w:tcW w:w="689" w:type="pct"/>
            <w:tcBorders>
              <w:left w:val="single" w:sz="4" w:space="0" w:color="auto"/>
            </w:tcBorders>
            <w:shd w:val="clear" w:color="auto" w:fill="auto"/>
            <w:noWrap/>
            <w:vAlign w:val="bottom"/>
            <w:hideMark/>
          </w:tcPr>
          <w:p w14:paraId="24F90AD2" w14:textId="40257861" w:rsidR="00A06E92" w:rsidRPr="004E74A6" w:rsidRDefault="00A06E92" w:rsidP="00CE62C1">
            <w:pPr>
              <w:spacing w:line="276" w:lineRule="auto"/>
              <w:jc w:val="center"/>
              <w:rPr>
                <w:rFonts w:cs="Calibri"/>
                <w:color w:val="000000"/>
                <w:sz w:val="20"/>
                <w:lang w:eastAsia="es-CR"/>
              </w:rPr>
            </w:pPr>
            <w:r w:rsidRPr="004E74A6">
              <w:rPr>
                <w:rFonts w:cs="Calibri"/>
                <w:color w:val="000000"/>
                <w:sz w:val="20"/>
              </w:rPr>
              <w:t>0,3</w:t>
            </w:r>
          </w:p>
        </w:tc>
      </w:tr>
      <w:tr w:rsidR="00A06E92" w:rsidRPr="004E74A6" w14:paraId="4637D2A2" w14:textId="77777777" w:rsidTr="00B32800">
        <w:trPr>
          <w:trHeight w:val="288"/>
          <w:jc w:val="center"/>
        </w:trPr>
        <w:tc>
          <w:tcPr>
            <w:tcW w:w="2758" w:type="pct"/>
            <w:tcBorders>
              <w:right w:val="single" w:sz="4" w:space="0" w:color="auto"/>
            </w:tcBorders>
            <w:shd w:val="clear" w:color="auto" w:fill="auto"/>
            <w:noWrap/>
            <w:vAlign w:val="bottom"/>
            <w:hideMark/>
          </w:tcPr>
          <w:p w14:paraId="645A14AA" w14:textId="77777777" w:rsidR="00A06E92" w:rsidRPr="004E74A6" w:rsidRDefault="00A06E92" w:rsidP="00CE62C1">
            <w:pPr>
              <w:spacing w:line="276" w:lineRule="auto"/>
              <w:ind w:firstLineChars="200" w:firstLine="400"/>
              <w:jc w:val="left"/>
              <w:rPr>
                <w:rFonts w:cs="Calibri"/>
                <w:color w:val="000000"/>
                <w:sz w:val="20"/>
                <w:lang w:eastAsia="es-CR"/>
              </w:rPr>
            </w:pPr>
            <w:r w:rsidRPr="004E74A6">
              <w:rPr>
                <w:rFonts w:cs="Calibri"/>
                <w:color w:val="000000"/>
                <w:sz w:val="20"/>
                <w:lang w:eastAsia="es-CR"/>
              </w:rPr>
              <w:t>Medidas Cautelares Atípicas</w:t>
            </w:r>
          </w:p>
        </w:tc>
        <w:tc>
          <w:tcPr>
            <w:tcW w:w="517" w:type="pct"/>
            <w:tcBorders>
              <w:left w:val="single" w:sz="4" w:space="0" w:color="auto"/>
              <w:right w:val="single" w:sz="4" w:space="0" w:color="auto"/>
            </w:tcBorders>
            <w:shd w:val="clear" w:color="auto" w:fill="auto"/>
            <w:noWrap/>
            <w:vAlign w:val="bottom"/>
            <w:hideMark/>
          </w:tcPr>
          <w:p w14:paraId="6ED7A5D5" w14:textId="13E31E00" w:rsidR="00A06E92" w:rsidRPr="004E74A6" w:rsidRDefault="00A06E92" w:rsidP="00CE62C1">
            <w:pPr>
              <w:spacing w:line="276" w:lineRule="auto"/>
              <w:jc w:val="center"/>
              <w:rPr>
                <w:rFonts w:cs="Calibri"/>
                <w:color w:val="000000"/>
                <w:sz w:val="20"/>
                <w:lang w:eastAsia="es-CR"/>
              </w:rPr>
            </w:pPr>
            <w:r w:rsidRPr="004E74A6">
              <w:rPr>
                <w:rFonts w:cs="Calibri"/>
                <w:color w:val="000000"/>
                <w:sz w:val="20"/>
              </w:rPr>
              <w:t>1</w:t>
            </w:r>
          </w:p>
        </w:tc>
        <w:tc>
          <w:tcPr>
            <w:tcW w:w="519" w:type="pct"/>
            <w:tcBorders>
              <w:left w:val="single" w:sz="4" w:space="0" w:color="auto"/>
              <w:right w:val="single" w:sz="4" w:space="0" w:color="auto"/>
            </w:tcBorders>
            <w:shd w:val="clear" w:color="auto" w:fill="auto"/>
            <w:noWrap/>
            <w:vAlign w:val="bottom"/>
            <w:hideMark/>
          </w:tcPr>
          <w:p w14:paraId="6201CD25" w14:textId="0B02A804" w:rsidR="00A06E92" w:rsidRPr="004E74A6" w:rsidRDefault="00A06E92" w:rsidP="00CE62C1">
            <w:pPr>
              <w:spacing w:line="276" w:lineRule="auto"/>
              <w:jc w:val="center"/>
              <w:rPr>
                <w:rFonts w:cs="Calibri"/>
                <w:color w:val="000000"/>
                <w:sz w:val="20"/>
                <w:lang w:eastAsia="es-CR"/>
              </w:rPr>
            </w:pPr>
            <w:r w:rsidRPr="004E74A6">
              <w:rPr>
                <w:rFonts w:cs="Calibri"/>
                <w:color w:val="000000"/>
                <w:sz w:val="20"/>
              </w:rPr>
              <w:t>0</w:t>
            </w:r>
          </w:p>
        </w:tc>
        <w:tc>
          <w:tcPr>
            <w:tcW w:w="517" w:type="pct"/>
            <w:tcBorders>
              <w:left w:val="single" w:sz="4" w:space="0" w:color="auto"/>
              <w:right w:val="single" w:sz="4" w:space="0" w:color="auto"/>
            </w:tcBorders>
            <w:shd w:val="clear" w:color="auto" w:fill="auto"/>
            <w:noWrap/>
            <w:vAlign w:val="bottom"/>
            <w:hideMark/>
          </w:tcPr>
          <w:p w14:paraId="7A27EC83" w14:textId="7FF455E6" w:rsidR="00A06E92" w:rsidRPr="004E74A6" w:rsidRDefault="00A06E92" w:rsidP="00CE62C1">
            <w:pPr>
              <w:spacing w:line="276" w:lineRule="auto"/>
              <w:jc w:val="center"/>
              <w:rPr>
                <w:sz w:val="20"/>
                <w:lang w:eastAsia="es-CR"/>
              </w:rPr>
            </w:pPr>
            <w:r w:rsidRPr="004E74A6">
              <w:rPr>
                <w:rFonts w:cs="Calibri"/>
                <w:color w:val="000000"/>
                <w:sz w:val="20"/>
              </w:rPr>
              <w:t>0</w:t>
            </w:r>
          </w:p>
        </w:tc>
        <w:tc>
          <w:tcPr>
            <w:tcW w:w="689" w:type="pct"/>
            <w:tcBorders>
              <w:left w:val="single" w:sz="4" w:space="0" w:color="auto"/>
            </w:tcBorders>
            <w:shd w:val="clear" w:color="auto" w:fill="auto"/>
            <w:noWrap/>
            <w:vAlign w:val="bottom"/>
            <w:hideMark/>
          </w:tcPr>
          <w:p w14:paraId="68A96941" w14:textId="4C845265" w:rsidR="00A06E92" w:rsidRPr="004E74A6" w:rsidRDefault="00A06E92" w:rsidP="00CE62C1">
            <w:pPr>
              <w:spacing w:line="276" w:lineRule="auto"/>
              <w:jc w:val="center"/>
              <w:rPr>
                <w:rFonts w:cs="Calibri"/>
                <w:color w:val="000000"/>
                <w:sz w:val="20"/>
                <w:lang w:eastAsia="es-CR"/>
              </w:rPr>
            </w:pPr>
            <w:r w:rsidRPr="004E74A6">
              <w:rPr>
                <w:rFonts w:cs="Calibri"/>
                <w:color w:val="000000"/>
                <w:sz w:val="20"/>
              </w:rPr>
              <w:t>0</w:t>
            </w:r>
          </w:p>
        </w:tc>
      </w:tr>
      <w:tr w:rsidR="00A06E92" w:rsidRPr="004E74A6" w14:paraId="78A4DD4A" w14:textId="77777777" w:rsidTr="00B32800">
        <w:trPr>
          <w:trHeight w:val="288"/>
          <w:jc w:val="center"/>
        </w:trPr>
        <w:tc>
          <w:tcPr>
            <w:tcW w:w="2758" w:type="pct"/>
            <w:tcBorders>
              <w:right w:val="single" w:sz="4" w:space="0" w:color="auto"/>
            </w:tcBorders>
            <w:shd w:val="clear" w:color="auto" w:fill="auto"/>
            <w:noWrap/>
            <w:vAlign w:val="bottom"/>
            <w:hideMark/>
          </w:tcPr>
          <w:p w14:paraId="66985988" w14:textId="77777777" w:rsidR="00A06E92" w:rsidRPr="004E74A6" w:rsidRDefault="00A06E92" w:rsidP="00CE62C1">
            <w:pPr>
              <w:spacing w:line="276" w:lineRule="auto"/>
              <w:ind w:firstLineChars="200" w:firstLine="400"/>
              <w:jc w:val="left"/>
              <w:rPr>
                <w:rFonts w:cs="Calibri"/>
                <w:color w:val="000000"/>
                <w:sz w:val="20"/>
                <w:lang w:eastAsia="es-CR"/>
              </w:rPr>
            </w:pPr>
            <w:r w:rsidRPr="004E74A6">
              <w:rPr>
                <w:rFonts w:cs="Calibri"/>
                <w:color w:val="000000"/>
                <w:sz w:val="20"/>
                <w:lang w:eastAsia="es-CR"/>
              </w:rPr>
              <w:t>Monitorio Arrendaticio</w:t>
            </w:r>
          </w:p>
        </w:tc>
        <w:tc>
          <w:tcPr>
            <w:tcW w:w="517" w:type="pct"/>
            <w:tcBorders>
              <w:left w:val="single" w:sz="4" w:space="0" w:color="auto"/>
              <w:right w:val="single" w:sz="4" w:space="0" w:color="auto"/>
            </w:tcBorders>
            <w:shd w:val="clear" w:color="auto" w:fill="auto"/>
            <w:noWrap/>
            <w:vAlign w:val="bottom"/>
            <w:hideMark/>
          </w:tcPr>
          <w:p w14:paraId="7DAF9796" w14:textId="0E2AC0B2" w:rsidR="00A06E92" w:rsidRPr="004E74A6" w:rsidRDefault="00A06E92" w:rsidP="00CE62C1">
            <w:pPr>
              <w:spacing w:line="276" w:lineRule="auto"/>
              <w:jc w:val="center"/>
              <w:rPr>
                <w:rFonts w:cs="Calibri"/>
                <w:color w:val="000000"/>
                <w:sz w:val="20"/>
                <w:lang w:eastAsia="es-CR"/>
              </w:rPr>
            </w:pPr>
            <w:r w:rsidRPr="004E74A6">
              <w:rPr>
                <w:rFonts w:cs="Calibri"/>
                <w:color w:val="000000"/>
                <w:sz w:val="20"/>
              </w:rPr>
              <w:t>1</w:t>
            </w:r>
          </w:p>
        </w:tc>
        <w:tc>
          <w:tcPr>
            <w:tcW w:w="519" w:type="pct"/>
            <w:tcBorders>
              <w:left w:val="single" w:sz="4" w:space="0" w:color="auto"/>
              <w:right w:val="single" w:sz="4" w:space="0" w:color="auto"/>
            </w:tcBorders>
            <w:shd w:val="clear" w:color="auto" w:fill="auto"/>
            <w:noWrap/>
            <w:vAlign w:val="bottom"/>
            <w:hideMark/>
          </w:tcPr>
          <w:p w14:paraId="545745E2" w14:textId="192F1354" w:rsidR="00A06E92" w:rsidRPr="004E74A6" w:rsidRDefault="00A06E92" w:rsidP="00CE62C1">
            <w:pPr>
              <w:spacing w:line="276" w:lineRule="auto"/>
              <w:jc w:val="center"/>
              <w:rPr>
                <w:rFonts w:cs="Calibri"/>
                <w:color w:val="000000"/>
                <w:sz w:val="20"/>
                <w:lang w:eastAsia="es-CR"/>
              </w:rPr>
            </w:pPr>
            <w:r w:rsidRPr="004E74A6">
              <w:rPr>
                <w:rFonts w:cs="Calibri"/>
                <w:color w:val="000000"/>
                <w:sz w:val="20"/>
              </w:rPr>
              <w:t>0</w:t>
            </w:r>
          </w:p>
        </w:tc>
        <w:tc>
          <w:tcPr>
            <w:tcW w:w="517" w:type="pct"/>
            <w:tcBorders>
              <w:left w:val="single" w:sz="4" w:space="0" w:color="auto"/>
              <w:right w:val="single" w:sz="4" w:space="0" w:color="auto"/>
            </w:tcBorders>
            <w:shd w:val="clear" w:color="auto" w:fill="auto"/>
            <w:noWrap/>
            <w:vAlign w:val="bottom"/>
            <w:hideMark/>
          </w:tcPr>
          <w:p w14:paraId="3320DAA0" w14:textId="3E054CDD" w:rsidR="00A06E92" w:rsidRPr="004E74A6" w:rsidRDefault="00A06E92" w:rsidP="00CE62C1">
            <w:pPr>
              <w:spacing w:line="276" w:lineRule="auto"/>
              <w:jc w:val="center"/>
              <w:rPr>
                <w:sz w:val="20"/>
                <w:lang w:eastAsia="es-CR"/>
              </w:rPr>
            </w:pPr>
            <w:r w:rsidRPr="004E74A6">
              <w:rPr>
                <w:rFonts w:cs="Calibri"/>
                <w:color w:val="000000"/>
                <w:sz w:val="20"/>
              </w:rPr>
              <w:t>0</w:t>
            </w:r>
          </w:p>
        </w:tc>
        <w:tc>
          <w:tcPr>
            <w:tcW w:w="689" w:type="pct"/>
            <w:tcBorders>
              <w:left w:val="single" w:sz="4" w:space="0" w:color="auto"/>
            </w:tcBorders>
            <w:shd w:val="clear" w:color="auto" w:fill="auto"/>
            <w:noWrap/>
            <w:vAlign w:val="bottom"/>
            <w:hideMark/>
          </w:tcPr>
          <w:p w14:paraId="0E6FF8B4" w14:textId="1EE769A2" w:rsidR="00A06E92" w:rsidRPr="004E74A6" w:rsidRDefault="00A06E92" w:rsidP="00CE62C1">
            <w:pPr>
              <w:spacing w:line="276" w:lineRule="auto"/>
              <w:jc w:val="center"/>
              <w:rPr>
                <w:rFonts w:cs="Calibri"/>
                <w:color w:val="000000"/>
                <w:sz w:val="20"/>
                <w:lang w:eastAsia="es-CR"/>
              </w:rPr>
            </w:pPr>
            <w:r w:rsidRPr="004E74A6">
              <w:rPr>
                <w:rFonts w:cs="Calibri"/>
                <w:color w:val="000000"/>
                <w:sz w:val="20"/>
              </w:rPr>
              <w:t>0,3</w:t>
            </w:r>
          </w:p>
        </w:tc>
      </w:tr>
      <w:tr w:rsidR="00A06E92" w:rsidRPr="004E74A6" w14:paraId="3FA15447" w14:textId="77777777" w:rsidTr="00B32800">
        <w:trPr>
          <w:trHeight w:val="288"/>
          <w:jc w:val="center"/>
        </w:trPr>
        <w:tc>
          <w:tcPr>
            <w:tcW w:w="2758" w:type="pct"/>
            <w:tcBorders>
              <w:right w:val="single" w:sz="4" w:space="0" w:color="auto"/>
            </w:tcBorders>
            <w:shd w:val="clear" w:color="auto" w:fill="C5E0B3" w:themeFill="accent6" w:themeFillTint="66"/>
            <w:noWrap/>
            <w:vAlign w:val="bottom"/>
            <w:hideMark/>
          </w:tcPr>
          <w:p w14:paraId="67CA6028" w14:textId="77777777" w:rsidR="00A06E92" w:rsidRPr="004E74A6" w:rsidRDefault="00A06E92" w:rsidP="00CE62C1">
            <w:pPr>
              <w:spacing w:line="276" w:lineRule="auto"/>
              <w:ind w:firstLineChars="200" w:firstLine="400"/>
              <w:jc w:val="left"/>
              <w:rPr>
                <w:rFonts w:cs="Calibri"/>
                <w:color w:val="000000"/>
                <w:sz w:val="20"/>
                <w:lang w:eastAsia="es-CR"/>
              </w:rPr>
            </w:pPr>
            <w:r w:rsidRPr="004E74A6">
              <w:rPr>
                <w:rFonts w:cs="Calibri"/>
                <w:color w:val="000000"/>
                <w:sz w:val="20"/>
                <w:lang w:eastAsia="es-CR"/>
              </w:rPr>
              <w:t>Ordinario</w:t>
            </w:r>
          </w:p>
        </w:tc>
        <w:tc>
          <w:tcPr>
            <w:tcW w:w="517" w:type="pct"/>
            <w:tcBorders>
              <w:left w:val="single" w:sz="4" w:space="0" w:color="auto"/>
              <w:right w:val="single" w:sz="4" w:space="0" w:color="auto"/>
            </w:tcBorders>
            <w:shd w:val="clear" w:color="auto" w:fill="C5E0B3" w:themeFill="accent6" w:themeFillTint="66"/>
            <w:noWrap/>
            <w:vAlign w:val="bottom"/>
            <w:hideMark/>
          </w:tcPr>
          <w:p w14:paraId="59D7DD89" w14:textId="69C35533" w:rsidR="00A06E92" w:rsidRPr="004E74A6" w:rsidRDefault="00A06E92" w:rsidP="00CE62C1">
            <w:pPr>
              <w:spacing w:line="276" w:lineRule="auto"/>
              <w:jc w:val="center"/>
              <w:rPr>
                <w:rFonts w:cs="Calibri"/>
                <w:color w:val="000000"/>
                <w:sz w:val="20"/>
                <w:lang w:eastAsia="es-CR"/>
              </w:rPr>
            </w:pPr>
            <w:r w:rsidRPr="004E74A6">
              <w:rPr>
                <w:rFonts w:cs="Calibri"/>
                <w:color w:val="000000"/>
                <w:sz w:val="20"/>
              </w:rPr>
              <w:t>95</w:t>
            </w:r>
          </w:p>
        </w:tc>
        <w:tc>
          <w:tcPr>
            <w:tcW w:w="519" w:type="pct"/>
            <w:tcBorders>
              <w:left w:val="single" w:sz="4" w:space="0" w:color="auto"/>
              <w:right w:val="single" w:sz="4" w:space="0" w:color="auto"/>
            </w:tcBorders>
            <w:shd w:val="clear" w:color="auto" w:fill="C5E0B3" w:themeFill="accent6" w:themeFillTint="66"/>
            <w:noWrap/>
            <w:vAlign w:val="bottom"/>
            <w:hideMark/>
          </w:tcPr>
          <w:p w14:paraId="495AA60A" w14:textId="2B8CBAB6" w:rsidR="00A06E92" w:rsidRPr="004E74A6" w:rsidRDefault="00A06E92" w:rsidP="00CE62C1">
            <w:pPr>
              <w:spacing w:line="276" w:lineRule="auto"/>
              <w:jc w:val="center"/>
              <w:rPr>
                <w:rFonts w:cs="Calibri"/>
                <w:color w:val="000000"/>
                <w:sz w:val="20"/>
                <w:lang w:eastAsia="es-CR"/>
              </w:rPr>
            </w:pPr>
            <w:r w:rsidRPr="004E74A6">
              <w:rPr>
                <w:rFonts w:cs="Calibri"/>
                <w:color w:val="000000"/>
                <w:sz w:val="20"/>
              </w:rPr>
              <w:t>77</w:t>
            </w:r>
          </w:p>
        </w:tc>
        <w:tc>
          <w:tcPr>
            <w:tcW w:w="517" w:type="pct"/>
            <w:tcBorders>
              <w:left w:val="single" w:sz="4" w:space="0" w:color="auto"/>
              <w:right w:val="single" w:sz="4" w:space="0" w:color="auto"/>
            </w:tcBorders>
            <w:shd w:val="clear" w:color="auto" w:fill="C5E0B3" w:themeFill="accent6" w:themeFillTint="66"/>
            <w:noWrap/>
            <w:vAlign w:val="bottom"/>
            <w:hideMark/>
          </w:tcPr>
          <w:p w14:paraId="35A09C3C" w14:textId="4A5713DD" w:rsidR="00A06E92" w:rsidRPr="004E74A6" w:rsidRDefault="00A06E92" w:rsidP="00CE62C1">
            <w:pPr>
              <w:spacing w:line="276" w:lineRule="auto"/>
              <w:jc w:val="center"/>
              <w:rPr>
                <w:rFonts w:cs="Calibri"/>
                <w:color w:val="000000"/>
                <w:sz w:val="20"/>
                <w:lang w:eastAsia="es-CR"/>
              </w:rPr>
            </w:pPr>
            <w:r w:rsidRPr="004E74A6">
              <w:rPr>
                <w:rFonts w:cs="Calibri"/>
                <w:color w:val="000000"/>
                <w:sz w:val="20"/>
              </w:rPr>
              <w:t>95</w:t>
            </w:r>
          </w:p>
        </w:tc>
        <w:tc>
          <w:tcPr>
            <w:tcW w:w="689" w:type="pct"/>
            <w:tcBorders>
              <w:left w:val="single" w:sz="4" w:space="0" w:color="auto"/>
            </w:tcBorders>
            <w:shd w:val="clear" w:color="auto" w:fill="C5E0B3" w:themeFill="accent6" w:themeFillTint="66"/>
            <w:noWrap/>
            <w:vAlign w:val="bottom"/>
            <w:hideMark/>
          </w:tcPr>
          <w:p w14:paraId="6D967206" w14:textId="7BF3EEE0" w:rsidR="00A06E92" w:rsidRPr="004E74A6" w:rsidRDefault="00A06E92" w:rsidP="00CE62C1">
            <w:pPr>
              <w:spacing w:line="276" w:lineRule="auto"/>
              <w:jc w:val="center"/>
              <w:rPr>
                <w:rFonts w:cs="Calibri"/>
                <w:color w:val="000000"/>
                <w:sz w:val="20"/>
                <w:lang w:eastAsia="es-CR"/>
              </w:rPr>
            </w:pPr>
            <w:r w:rsidRPr="004E74A6">
              <w:rPr>
                <w:rFonts w:cs="Calibri"/>
                <w:color w:val="000000"/>
                <w:sz w:val="20"/>
              </w:rPr>
              <w:t>89</w:t>
            </w:r>
          </w:p>
        </w:tc>
      </w:tr>
      <w:tr w:rsidR="00A06E92" w:rsidRPr="004E74A6" w14:paraId="0B9C3A22" w14:textId="77777777" w:rsidTr="00B32800">
        <w:trPr>
          <w:trHeight w:val="288"/>
          <w:jc w:val="center"/>
        </w:trPr>
        <w:tc>
          <w:tcPr>
            <w:tcW w:w="2758" w:type="pct"/>
            <w:tcBorders>
              <w:right w:val="single" w:sz="4" w:space="0" w:color="auto"/>
            </w:tcBorders>
            <w:shd w:val="clear" w:color="auto" w:fill="auto"/>
            <w:noWrap/>
            <w:vAlign w:val="bottom"/>
            <w:hideMark/>
          </w:tcPr>
          <w:p w14:paraId="773DE3BF" w14:textId="77777777" w:rsidR="00A06E92" w:rsidRPr="004E74A6" w:rsidRDefault="00A06E92" w:rsidP="00CE62C1">
            <w:pPr>
              <w:spacing w:line="276" w:lineRule="auto"/>
              <w:ind w:firstLineChars="200" w:firstLine="400"/>
              <w:jc w:val="left"/>
              <w:rPr>
                <w:rFonts w:cs="Calibri"/>
                <w:color w:val="000000"/>
                <w:sz w:val="20"/>
                <w:lang w:eastAsia="es-CR"/>
              </w:rPr>
            </w:pPr>
            <w:r w:rsidRPr="004E74A6">
              <w:rPr>
                <w:rFonts w:cs="Calibri"/>
                <w:color w:val="000000"/>
                <w:sz w:val="20"/>
                <w:lang w:eastAsia="es-CR"/>
              </w:rPr>
              <w:t>Sumario De Desahucio</w:t>
            </w:r>
          </w:p>
        </w:tc>
        <w:tc>
          <w:tcPr>
            <w:tcW w:w="517" w:type="pct"/>
            <w:tcBorders>
              <w:left w:val="single" w:sz="4" w:space="0" w:color="auto"/>
              <w:right w:val="single" w:sz="4" w:space="0" w:color="auto"/>
            </w:tcBorders>
            <w:shd w:val="clear" w:color="auto" w:fill="auto"/>
            <w:noWrap/>
            <w:vAlign w:val="bottom"/>
            <w:hideMark/>
          </w:tcPr>
          <w:p w14:paraId="1C571C36" w14:textId="54BDF1E2" w:rsidR="00A06E92" w:rsidRPr="004E74A6" w:rsidRDefault="00A06E92" w:rsidP="00CE62C1">
            <w:pPr>
              <w:spacing w:line="276" w:lineRule="auto"/>
              <w:jc w:val="center"/>
              <w:rPr>
                <w:sz w:val="20"/>
                <w:lang w:eastAsia="es-CR"/>
              </w:rPr>
            </w:pPr>
            <w:r w:rsidRPr="004E74A6">
              <w:rPr>
                <w:rFonts w:cs="Calibri"/>
                <w:color w:val="000000"/>
                <w:sz w:val="20"/>
              </w:rPr>
              <w:t>0</w:t>
            </w:r>
          </w:p>
        </w:tc>
        <w:tc>
          <w:tcPr>
            <w:tcW w:w="519" w:type="pct"/>
            <w:tcBorders>
              <w:left w:val="single" w:sz="4" w:space="0" w:color="auto"/>
              <w:right w:val="single" w:sz="4" w:space="0" w:color="auto"/>
            </w:tcBorders>
            <w:shd w:val="clear" w:color="auto" w:fill="auto"/>
            <w:noWrap/>
            <w:vAlign w:val="bottom"/>
            <w:hideMark/>
          </w:tcPr>
          <w:p w14:paraId="54E206FA" w14:textId="15F54984" w:rsidR="00A06E92" w:rsidRPr="004E74A6" w:rsidRDefault="00A06E92" w:rsidP="00CE62C1">
            <w:pPr>
              <w:spacing w:line="276" w:lineRule="auto"/>
              <w:jc w:val="center"/>
              <w:rPr>
                <w:sz w:val="20"/>
                <w:lang w:eastAsia="es-CR"/>
              </w:rPr>
            </w:pPr>
            <w:r w:rsidRPr="004E74A6">
              <w:rPr>
                <w:rFonts w:cs="Calibri"/>
                <w:color w:val="000000"/>
                <w:sz w:val="20"/>
              </w:rPr>
              <w:t>0</w:t>
            </w:r>
          </w:p>
        </w:tc>
        <w:tc>
          <w:tcPr>
            <w:tcW w:w="517" w:type="pct"/>
            <w:tcBorders>
              <w:left w:val="single" w:sz="4" w:space="0" w:color="auto"/>
              <w:right w:val="single" w:sz="4" w:space="0" w:color="auto"/>
            </w:tcBorders>
            <w:shd w:val="clear" w:color="auto" w:fill="auto"/>
            <w:noWrap/>
            <w:vAlign w:val="bottom"/>
            <w:hideMark/>
          </w:tcPr>
          <w:p w14:paraId="7E3289F8" w14:textId="12E3D66E" w:rsidR="00A06E92" w:rsidRPr="004E74A6" w:rsidRDefault="00A06E92" w:rsidP="00CE62C1">
            <w:pPr>
              <w:spacing w:line="276" w:lineRule="auto"/>
              <w:jc w:val="center"/>
              <w:rPr>
                <w:rFonts w:cs="Calibri"/>
                <w:color w:val="000000"/>
                <w:sz w:val="20"/>
                <w:lang w:eastAsia="es-CR"/>
              </w:rPr>
            </w:pPr>
            <w:r w:rsidRPr="004E74A6">
              <w:rPr>
                <w:rFonts w:cs="Calibri"/>
                <w:color w:val="000000"/>
                <w:sz w:val="20"/>
              </w:rPr>
              <w:t>1</w:t>
            </w:r>
          </w:p>
        </w:tc>
        <w:tc>
          <w:tcPr>
            <w:tcW w:w="689" w:type="pct"/>
            <w:tcBorders>
              <w:left w:val="single" w:sz="4" w:space="0" w:color="auto"/>
            </w:tcBorders>
            <w:shd w:val="clear" w:color="auto" w:fill="auto"/>
            <w:noWrap/>
            <w:vAlign w:val="bottom"/>
            <w:hideMark/>
          </w:tcPr>
          <w:p w14:paraId="73E3F789" w14:textId="7F479FB3" w:rsidR="00A06E92" w:rsidRPr="004E74A6" w:rsidRDefault="00A06E92" w:rsidP="00CE62C1">
            <w:pPr>
              <w:spacing w:line="276" w:lineRule="auto"/>
              <w:jc w:val="center"/>
              <w:rPr>
                <w:rFonts w:cs="Calibri"/>
                <w:color w:val="000000"/>
                <w:sz w:val="20"/>
                <w:lang w:eastAsia="es-CR"/>
              </w:rPr>
            </w:pPr>
            <w:r w:rsidRPr="004E74A6">
              <w:rPr>
                <w:rFonts w:cs="Calibri"/>
                <w:color w:val="000000"/>
                <w:sz w:val="20"/>
              </w:rPr>
              <w:t>0,3</w:t>
            </w:r>
          </w:p>
        </w:tc>
      </w:tr>
      <w:tr w:rsidR="00A06E92" w:rsidRPr="004E74A6" w14:paraId="08B852FD" w14:textId="77777777" w:rsidTr="00B32800">
        <w:trPr>
          <w:trHeight w:val="288"/>
          <w:jc w:val="center"/>
        </w:trPr>
        <w:tc>
          <w:tcPr>
            <w:tcW w:w="2758" w:type="pct"/>
            <w:tcBorders>
              <w:right w:val="single" w:sz="4" w:space="0" w:color="auto"/>
            </w:tcBorders>
            <w:shd w:val="clear" w:color="auto" w:fill="auto"/>
            <w:noWrap/>
            <w:vAlign w:val="bottom"/>
            <w:hideMark/>
          </w:tcPr>
          <w:p w14:paraId="036EEB78" w14:textId="77777777" w:rsidR="00A06E92" w:rsidRPr="004E74A6" w:rsidRDefault="00A06E92" w:rsidP="00CE62C1">
            <w:pPr>
              <w:spacing w:line="276" w:lineRule="auto"/>
              <w:ind w:firstLineChars="200" w:firstLine="400"/>
              <w:jc w:val="left"/>
              <w:rPr>
                <w:rFonts w:cs="Calibri"/>
                <w:color w:val="000000"/>
                <w:sz w:val="20"/>
                <w:lang w:eastAsia="es-CR"/>
              </w:rPr>
            </w:pPr>
            <w:r w:rsidRPr="004E74A6">
              <w:rPr>
                <w:rFonts w:cs="Calibri"/>
                <w:color w:val="000000"/>
                <w:sz w:val="20"/>
                <w:lang w:eastAsia="es-CR"/>
              </w:rPr>
              <w:t>Sumarios Especiales</w:t>
            </w:r>
          </w:p>
        </w:tc>
        <w:tc>
          <w:tcPr>
            <w:tcW w:w="517" w:type="pct"/>
            <w:tcBorders>
              <w:left w:val="single" w:sz="4" w:space="0" w:color="auto"/>
              <w:right w:val="single" w:sz="4" w:space="0" w:color="auto"/>
            </w:tcBorders>
            <w:shd w:val="clear" w:color="auto" w:fill="auto"/>
            <w:noWrap/>
            <w:vAlign w:val="bottom"/>
            <w:hideMark/>
          </w:tcPr>
          <w:p w14:paraId="514C0826" w14:textId="5089FDAF" w:rsidR="00A06E92" w:rsidRPr="004E74A6" w:rsidRDefault="00A06E92" w:rsidP="00CE62C1">
            <w:pPr>
              <w:spacing w:line="276" w:lineRule="auto"/>
              <w:jc w:val="center"/>
              <w:rPr>
                <w:rFonts w:cs="Calibri"/>
                <w:color w:val="000000"/>
                <w:sz w:val="20"/>
                <w:lang w:eastAsia="es-CR"/>
              </w:rPr>
            </w:pPr>
            <w:r w:rsidRPr="004E74A6">
              <w:rPr>
                <w:rFonts w:cs="Calibri"/>
                <w:color w:val="000000"/>
                <w:sz w:val="20"/>
              </w:rPr>
              <w:t>1</w:t>
            </w:r>
          </w:p>
        </w:tc>
        <w:tc>
          <w:tcPr>
            <w:tcW w:w="519" w:type="pct"/>
            <w:tcBorders>
              <w:left w:val="single" w:sz="4" w:space="0" w:color="auto"/>
              <w:right w:val="single" w:sz="4" w:space="0" w:color="auto"/>
            </w:tcBorders>
            <w:shd w:val="clear" w:color="auto" w:fill="auto"/>
            <w:noWrap/>
            <w:vAlign w:val="bottom"/>
            <w:hideMark/>
          </w:tcPr>
          <w:p w14:paraId="6CE1846D" w14:textId="58D5F72B" w:rsidR="00A06E92" w:rsidRPr="004E74A6" w:rsidRDefault="00A06E92" w:rsidP="00CE62C1">
            <w:pPr>
              <w:spacing w:line="276" w:lineRule="auto"/>
              <w:jc w:val="center"/>
              <w:rPr>
                <w:rFonts w:cs="Calibri"/>
                <w:color w:val="000000"/>
                <w:sz w:val="20"/>
                <w:lang w:eastAsia="es-CR"/>
              </w:rPr>
            </w:pPr>
            <w:r w:rsidRPr="004E74A6">
              <w:rPr>
                <w:rFonts w:cs="Calibri"/>
                <w:color w:val="000000"/>
                <w:sz w:val="20"/>
              </w:rPr>
              <w:t>0</w:t>
            </w:r>
          </w:p>
        </w:tc>
        <w:tc>
          <w:tcPr>
            <w:tcW w:w="517" w:type="pct"/>
            <w:tcBorders>
              <w:left w:val="single" w:sz="4" w:space="0" w:color="auto"/>
              <w:right w:val="single" w:sz="4" w:space="0" w:color="auto"/>
            </w:tcBorders>
            <w:shd w:val="clear" w:color="auto" w:fill="auto"/>
            <w:noWrap/>
            <w:vAlign w:val="bottom"/>
            <w:hideMark/>
          </w:tcPr>
          <w:p w14:paraId="22A235A5" w14:textId="2378093C" w:rsidR="00A06E92" w:rsidRPr="004E74A6" w:rsidRDefault="00A06E92" w:rsidP="00CE62C1">
            <w:pPr>
              <w:spacing w:line="276" w:lineRule="auto"/>
              <w:jc w:val="center"/>
              <w:rPr>
                <w:sz w:val="20"/>
                <w:lang w:eastAsia="es-CR"/>
              </w:rPr>
            </w:pPr>
            <w:r w:rsidRPr="004E74A6">
              <w:rPr>
                <w:rFonts w:cs="Calibri"/>
                <w:color w:val="000000"/>
                <w:sz w:val="20"/>
              </w:rPr>
              <w:t>0</w:t>
            </w:r>
          </w:p>
        </w:tc>
        <w:tc>
          <w:tcPr>
            <w:tcW w:w="689" w:type="pct"/>
            <w:tcBorders>
              <w:left w:val="single" w:sz="4" w:space="0" w:color="auto"/>
            </w:tcBorders>
            <w:shd w:val="clear" w:color="auto" w:fill="auto"/>
            <w:noWrap/>
            <w:vAlign w:val="bottom"/>
            <w:hideMark/>
          </w:tcPr>
          <w:p w14:paraId="43F0D215" w14:textId="5C0E0B7A" w:rsidR="00A06E92" w:rsidRPr="004E74A6" w:rsidRDefault="00A06E92" w:rsidP="00CE62C1">
            <w:pPr>
              <w:spacing w:line="276" w:lineRule="auto"/>
              <w:jc w:val="center"/>
              <w:rPr>
                <w:rFonts w:cs="Calibri"/>
                <w:color w:val="000000"/>
                <w:sz w:val="20"/>
                <w:lang w:eastAsia="es-CR"/>
              </w:rPr>
            </w:pPr>
            <w:r w:rsidRPr="004E74A6">
              <w:rPr>
                <w:rFonts w:cs="Calibri"/>
                <w:color w:val="000000"/>
                <w:sz w:val="20"/>
              </w:rPr>
              <w:t>0,3</w:t>
            </w:r>
          </w:p>
        </w:tc>
      </w:tr>
      <w:tr w:rsidR="0055421A" w:rsidRPr="004E74A6" w14:paraId="1C270895" w14:textId="77777777" w:rsidTr="00A06E92">
        <w:trPr>
          <w:trHeight w:val="288"/>
          <w:jc w:val="center"/>
        </w:trPr>
        <w:tc>
          <w:tcPr>
            <w:tcW w:w="2758" w:type="pct"/>
            <w:tcBorders>
              <w:bottom w:val="single" w:sz="4" w:space="0" w:color="auto"/>
              <w:right w:val="single" w:sz="4" w:space="0" w:color="auto"/>
            </w:tcBorders>
            <w:shd w:val="clear" w:color="auto" w:fill="auto"/>
            <w:noWrap/>
            <w:vAlign w:val="bottom"/>
          </w:tcPr>
          <w:p w14:paraId="225461D8" w14:textId="77777777" w:rsidR="008647ED" w:rsidRPr="004E74A6" w:rsidRDefault="008647ED" w:rsidP="00CE62C1">
            <w:pPr>
              <w:spacing w:line="276" w:lineRule="auto"/>
              <w:ind w:firstLineChars="200" w:firstLine="400"/>
              <w:jc w:val="left"/>
              <w:rPr>
                <w:rFonts w:cs="Calibri"/>
                <w:color w:val="000000"/>
                <w:sz w:val="20"/>
                <w:lang w:eastAsia="es-CR"/>
              </w:rPr>
            </w:pPr>
          </w:p>
        </w:tc>
        <w:tc>
          <w:tcPr>
            <w:tcW w:w="517" w:type="pct"/>
            <w:tcBorders>
              <w:left w:val="single" w:sz="4" w:space="0" w:color="auto"/>
              <w:bottom w:val="single" w:sz="4" w:space="0" w:color="auto"/>
              <w:right w:val="single" w:sz="4" w:space="0" w:color="auto"/>
            </w:tcBorders>
            <w:shd w:val="clear" w:color="auto" w:fill="auto"/>
            <w:noWrap/>
            <w:vAlign w:val="center"/>
          </w:tcPr>
          <w:p w14:paraId="1A3A5C36" w14:textId="77777777" w:rsidR="008647ED" w:rsidRPr="004E74A6" w:rsidRDefault="008647ED" w:rsidP="00CE62C1">
            <w:pPr>
              <w:spacing w:line="276" w:lineRule="auto"/>
              <w:jc w:val="center"/>
              <w:rPr>
                <w:rFonts w:cs="Calibri"/>
                <w:color w:val="000000"/>
                <w:sz w:val="20"/>
                <w:lang w:eastAsia="es-CR"/>
              </w:rPr>
            </w:pPr>
          </w:p>
        </w:tc>
        <w:tc>
          <w:tcPr>
            <w:tcW w:w="519" w:type="pct"/>
            <w:tcBorders>
              <w:left w:val="single" w:sz="4" w:space="0" w:color="auto"/>
              <w:bottom w:val="single" w:sz="4" w:space="0" w:color="auto"/>
              <w:right w:val="single" w:sz="4" w:space="0" w:color="auto"/>
            </w:tcBorders>
            <w:shd w:val="clear" w:color="auto" w:fill="auto"/>
            <w:noWrap/>
            <w:vAlign w:val="center"/>
          </w:tcPr>
          <w:p w14:paraId="4BF034B2" w14:textId="77777777" w:rsidR="008647ED" w:rsidRPr="004E74A6" w:rsidRDefault="008647ED" w:rsidP="00CE62C1">
            <w:pPr>
              <w:spacing w:line="276" w:lineRule="auto"/>
              <w:jc w:val="center"/>
              <w:rPr>
                <w:rFonts w:cs="Calibri"/>
                <w:color w:val="000000"/>
                <w:sz w:val="20"/>
                <w:lang w:eastAsia="es-CR"/>
              </w:rPr>
            </w:pPr>
          </w:p>
        </w:tc>
        <w:tc>
          <w:tcPr>
            <w:tcW w:w="517" w:type="pct"/>
            <w:tcBorders>
              <w:left w:val="single" w:sz="4" w:space="0" w:color="auto"/>
              <w:bottom w:val="single" w:sz="4" w:space="0" w:color="auto"/>
              <w:right w:val="single" w:sz="4" w:space="0" w:color="auto"/>
            </w:tcBorders>
            <w:shd w:val="clear" w:color="auto" w:fill="auto"/>
            <w:noWrap/>
            <w:vAlign w:val="center"/>
          </w:tcPr>
          <w:p w14:paraId="59226987" w14:textId="77777777" w:rsidR="008647ED" w:rsidRPr="004E74A6" w:rsidRDefault="008647ED" w:rsidP="00CE62C1">
            <w:pPr>
              <w:spacing w:line="276" w:lineRule="auto"/>
              <w:jc w:val="center"/>
              <w:rPr>
                <w:sz w:val="20"/>
                <w:lang w:eastAsia="es-CR"/>
              </w:rPr>
            </w:pPr>
          </w:p>
        </w:tc>
        <w:tc>
          <w:tcPr>
            <w:tcW w:w="689" w:type="pct"/>
            <w:tcBorders>
              <w:left w:val="single" w:sz="4" w:space="0" w:color="auto"/>
              <w:bottom w:val="single" w:sz="4" w:space="0" w:color="auto"/>
            </w:tcBorders>
            <w:shd w:val="clear" w:color="auto" w:fill="auto"/>
            <w:noWrap/>
            <w:vAlign w:val="center"/>
          </w:tcPr>
          <w:p w14:paraId="18374A38" w14:textId="77777777" w:rsidR="008647ED" w:rsidRPr="004E74A6" w:rsidRDefault="008647ED" w:rsidP="00CE62C1">
            <w:pPr>
              <w:spacing w:line="276" w:lineRule="auto"/>
              <w:jc w:val="center"/>
              <w:rPr>
                <w:rFonts w:cs="Calibri"/>
                <w:color w:val="000000"/>
                <w:sz w:val="20"/>
                <w:lang w:eastAsia="es-CR"/>
              </w:rPr>
            </w:pPr>
          </w:p>
        </w:tc>
      </w:tr>
    </w:tbl>
    <w:p w14:paraId="2C7B1D02" w14:textId="2010A254" w:rsidR="003E4755" w:rsidRPr="004E74A6" w:rsidRDefault="003E4755" w:rsidP="00832773">
      <w:pPr>
        <w:spacing w:line="276" w:lineRule="auto"/>
        <w:ind w:left="340" w:right="397"/>
        <w:rPr>
          <w:rFonts w:cs="Calibri"/>
          <w:i/>
          <w:iCs/>
          <w:color w:val="000000"/>
          <w:sz w:val="20"/>
          <w:lang w:eastAsia="es-CR"/>
        </w:rPr>
      </w:pPr>
      <w:r w:rsidRPr="004E74A6">
        <w:rPr>
          <w:rFonts w:cs="Calibri"/>
          <w:b/>
          <w:bCs/>
          <w:i/>
          <w:iCs/>
          <w:color w:val="000000"/>
          <w:sz w:val="20"/>
          <w:lang w:eastAsia="es-CR"/>
        </w:rPr>
        <w:t>Fuente</w:t>
      </w:r>
      <w:r w:rsidRPr="004E74A6">
        <w:rPr>
          <w:rFonts w:cs="Calibri"/>
          <w:i/>
          <w:iCs/>
          <w:color w:val="000000"/>
          <w:sz w:val="20"/>
          <w:lang w:eastAsia="es-CR"/>
        </w:rPr>
        <w:t>: Subproceso de Modernización Institucional con datos extraídos del sistema SIGMA, Dirección de Planificación.</w:t>
      </w:r>
    </w:p>
    <w:p w14:paraId="0C99080A" w14:textId="3841146E" w:rsidR="0055421A" w:rsidRPr="004E74A6" w:rsidRDefault="0055421A" w:rsidP="00832773">
      <w:pPr>
        <w:spacing w:line="276" w:lineRule="auto"/>
        <w:rPr>
          <w:rFonts w:cs="Calibri"/>
          <w:i/>
          <w:iCs/>
          <w:color w:val="000000"/>
          <w:sz w:val="20"/>
          <w:lang w:eastAsia="es-CR"/>
        </w:rPr>
      </w:pPr>
    </w:p>
    <w:p w14:paraId="2081057C" w14:textId="77777777" w:rsidR="008647ED" w:rsidRPr="004E74A6" w:rsidRDefault="008647ED" w:rsidP="00CE62C1">
      <w:pPr>
        <w:spacing w:after="160" w:line="276" w:lineRule="auto"/>
        <w:rPr>
          <w:rFonts w:cs="Calibri"/>
          <w:color w:val="000000"/>
          <w:szCs w:val="24"/>
          <w:lang w:eastAsia="es-CR"/>
        </w:rPr>
      </w:pPr>
    </w:p>
    <w:p w14:paraId="457B3F3B" w14:textId="7E5F2B4D" w:rsidR="00A06E92" w:rsidRPr="004E74A6" w:rsidRDefault="00306AEF" w:rsidP="00CE62C1">
      <w:pPr>
        <w:spacing w:after="160" w:line="276" w:lineRule="auto"/>
        <w:rPr>
          <w:rFonts w:cs="Calibri"/>
          <w:color w:val="000000"/>
          <w:szCs w:val="24"/>
          <w:lang w:eastAsia="es-CR"/>
        </w:rPr>
      </w:pPr>
      <w:r>
        <w:rPr>
          <w:rFonts w:cs="Calibri"/>
          <w:color w:val="000000"/>
          <w:szCs w:val="24"/>
          <w:lang w:eastAsia="es-CR"/>
        </w:rPr>
        <w:t>En</w:t>
      </w:r>
      <w:r w:rsidR="00A06E92" w:rsidRPr="004E74A6">
        <w:rPr>
          <w:rFonts w:cs="Calibri"/>
          <w:color w:val="000000"/>
          <w:szCs w:val="24"/>
          <w:lang w:eastAsia="es-CR"/>
        </w:rPr>
        <w:t xml:space="preserve"> la siguiente tabla se puede observar el detalle de la cuantía según los procedimientos ordinarios del Tribunal.</w:t>
      </w:r>
    </w:p>
    <w:p w14:paraId="24358630" w14:textId="7D674D58" w:rsidR="00A06E92" w:rsidRPr="004E74A6" w:rsidRDefault="00A06E92" w:rsidP="00CE62C1">
      <w:pPr>
        <w:spacing w:line="276" w:lineRule="auto"/>
        <w:rPr>
          <w:rFonts w:cs="Calibri"/>
          <w:color w:val="000000"/>
          <w:szCs w:val="24"/>
          <w:lang w:eastAsia="es-CR"/>
        </w:rPr>
      </w:pPr>
      <w:r w:rsidRPr="004E74A6">
        <w:rPr>
          <w:rFonts w:cs="Calibri"/>
          <w:color w:val="000000"/>
          <w:szCs w:val="24"/>
          <w:lang w:eastAsia="es-CR"/>
        </w:rPr>
        <w:t>De los procesos ordinarios ingresados en el Tribunal, en promedio 3 asuntos son inestimables (3%), 44 estimables (49%), 9 casos “no aplica” (10%) y sin actualizar 33 casos (37%).</w:t>
      </w:r>
    </w:p>
    <w:p w14:paraId="3469AB6A" w14:textId="77777777" w:rsidR="00A06E92" w:rsidRPr="004E74A6" w:rsidRDefault="00A06E92" w:rsidP="00CE62C1">
      <w:pPr>
        <w:spacing w:line="276" w:lineRule="auto"/>
        <w:rPr>
          <w:rFonts w:cs="Calibri"/>
          <w:color w:val="000000"/>
          <w:szCs w:val="24"/>
          <w:lang w:eastAsia="es-CR"/>
        </w:rPr>
      </w:pPr>
    </w:p>
    <w:p w14:paraId="54E1E264" w14:textId="77CCB707" w:rsidR="00A06E92" w:rsidRPr="004E74A6" w:rsidRDefault="00A06E92" w:rsidP="00CE62C1">
      <w:pPr>
        <w:spacing w:line="276" w:lineRule="auto"/>
        <w:rPr>
          <w:rFonts w:cs="Calibri"/>
          <w:color w:val="000000"/>
          <w:szCs w:val="24"/>
          <w:lang w:eastAsia="es-CR"/>
        </w:rPr>
      </w:pPr>
      <w:r w:rsidRPr="004E74A6">
        <w:rPr>
          <w:rFonts w:cs="Calibri"/>
          <w:color w:val="000000"/>
          <w:szCs w:val="24"/>
          <w:lang w:eastAsia="es-CR"/>
        </w:rPr>
        <w:t xml:space="preserve">De lo anterior, el 10% que indicaron no aplica cuantía, se debe a una actualización errores a de la informa, ya que desde el inicio en el uso de la mejora se les indicó a las oficinas que esta opción solo aplica para materia de Trabajo, no así para Civil donde los asuntos son estimables o inestimables solamente. </w:t>
      </w:r>
    </w:p>
    <w:p w14:paraId="78B6EAD8" w14:textId="77777777" w:rsidR="00A06E92" w:rsidRPr="004E74A6" w:rsidRDefault="00A06E92" w:rsidP="00CE62C1">
      <w:pPr>
        <w:spacing w:line="276" w:lineRule="auto"/>
        <w:rPr>
          <w:rFonts w:cs="Calibri"/>
          <w:color w:val="000000"/>
          <w:szCs w:val="24"/>
          <w:lang w:eastAsia="es-CR"/>
        </w:rPr>
      </w:pPr>
    </w:p>
    <w:p w14:paraId="1C5C5C7A" w14:textId="69A8D6CC" w:rsidR="00A06E92" w:rsidRPr="004E74A6" w:rsidRDefault="00A06E92" w:rsidP="00CE62C1">
      <w:pPr>
        <w:spacing w:line="276" w:lineRule="auto"/>
        <w:rPr>
          <w:rFonts w:cs="Calibri"/>
          <w:color w:val="000000"/>
          <w:szCs w:val="24"/>
          <w:lang w:eastAsia="es-CR"/>
        </w:rPr>
      </w:pPr>
      <w:r w:rsidRPr="004E74A6">
        <w:rPr>
          <w:rFonts w:cs="Calibri"/>
          <w:color w:val="000000"/>
          <w:szCs w:val="24"/>
          <w:lang w:eastAsia="es-CR"/>
        </w:rPr>
        <w:t xml:space="preserve">De los 44 ordinarios estimables, la distribución de esos asuntos por rango de cuantía es el siguiente: </w:t>
      </w:r>
    </w:p>
    <w:p w14:paraId="187D0CB5" w14:textId="55AEB98F" w:rsidR="00F0204A" w:rsidRDefault="00F0204A" w:rsidP="00CE62C1">
      <w:pPr>
        <w:spacing w:after="160" w:line="276" w:lineRule="auto"/>
        <w:jc w:val="center"/>
        <w:rPr>
          <w:rFonts w:cs="Calibri"/>
          <w:i/>
          <w:iCs/>
          <w:color w:val="000000"/>
          <w:sz w:val="20"/>
          <w:lang w:eastAsia="es-CR"/>
        </w:rPr>
      </w:pPr>
    </w:p>
    <w:p w14:paraId="2B118661" w14:textId="5A5D1280" w:rsidR="00193D21" w:rsidRDefault="00193D21" w:rsidP="00CE62C1">
      <w:pPr>
        <w:spacing w:after="160" w:line="276" w:lineRule="auto"/>
        <w:jc w:val="center"/>
        <w:rPr>
          <w:rFonts w:cs="Calibri"/>
          <w:i/>
          <w:iCs/>
          <w:color w:val="000000"/>
          <w:sz w:val="20"/>
          <w:lang w:eastAsia="es-CR"/>
        </w:rPr>
      </w:pPr>
    </w:p>
    <w:p w14:paraId="3F9B9B7B" w14:textId="4FA89580" w:rsidR="00193D21" w:rsidRDefault="00193D21" w:rsidP="00CE62C1">
      <w:pPr>
        <w:spacing w:after="160" w:line="276" w:lineRule="auto"/>
        <w:jc w:val="center"/>
        <w:rPr>
          <w:rFonts w:cs="Calibri"/>
          <w:i/>
          <w:iCs/>
          <w:color w:val="000000"/>
          <w:sz w:val="20"/>
          <w:lang w:eastAsia="es-CR"/>
        </w:rPr>
      </w:pPr>
    </w:p>
    <w:p w14:paraId="117C24D9" w14:textId="77777777" w:rsidR="00193D21" w:rsidRPr="004E74A6" w:rsidRDefault="00193D21" w:rsidP="00CE62C1">
      <w:pPr>
        <w:spacing w:after="160" w:line="276" w:lineRule="auto"/>
        <w:jc w:val="center"/>
        <w:rPr>
          <w:rFonts w:cs="Calibri"/>
          <w:i/>
          <w:iCs/>
          <w:color w:val="000000"/>
          <w:sz w:val="20"/>
          <w:lang w:eastAsia="es-CR"/>
        </w:rPr>
      </w:pPr>
    </w:p>
    <w:p w14:paraId="3AE81100" w14:textId="629E4809" w:rsidR="0055421A" w:rsidRDefault="0055421A" w:rsidP="00F0204A">
      <w:pPr>
        <w:pStyle w:val="Descripcin"/>
        <w:keepNext/>
        <w:spacing w:line="276" w:lineRule="auto"/>
        <w:jc w:val="center"/>
        <w:rPr>
          <w:rFonts w:ascii="Book Antiqua" w:hAnsi="Book Antiqua"/>
          <w:i/>
          <w:iCs/>
          <w:sz w:val="20"/>
          <w:szCs w:val="16"/>
          <w:lang w:val="es-CR"/>
        </w:rPr>
      </w:pPr>
      <w:r w:rsidRPr="00832773">
        <w:rPr>
          <w:rFonts w:ascii="Book Antiqua" w:hAnsi="Book Antiqua"/>
          <w:i/>
          <w:iCs/>
          <w:sz w:val="20"/>
          <w:szCs w:val="16"/>
          <w:lang w:val="es-CR"/>
        </w:rPr>
        <w:lastRenderedPageBreak/>
        <w:t xml:space="preserve">Tabla </w:t>
      </w:r>
      <w:r w:rsidRPr="00832773">
        <w:rPr>
          <w:rFonts w:ascii="Book Antiqua" w:hAnsi="Book Antiqua"/>
          <w:i/>
          <w:iCs/>
          <w:sz w:val="20"/>
          <w:szCs w:val="16"/>
          <w:lang w:val="es-CR"/>
        </w:rPr>
        <w:fldChar w:fldCharType="begin"/>
      </w:r>
      <w:r w:rsidRPr="00832773">
        <w:rPr>
          <w:rFonts w:ascii="Book Antiqua" w:hAnsi="Book Antiqua"/>
          <w:i/>
          <w:iCs/>
          <w:sz w:val="20"/>
          <w:szCs w:val="16"/>
          <w:lang w:val="es-CR"/>
        </w:rPr>
        <w:instrText xml:space="preserve"> SEQ Tabla \* ARABIC </w:instrText>
      </w:r>
      <w:r w:rsidRPr="00832773">
        <w:rPr>
          <w:rFonts w:ascii="Book Antiqua" w:hAnsi="Book Antiqua"/>
          <w:i/>
          <w:iCs/>
          <w:sz w:val="20"/>
          <w:szCs w:val="16"/>
          <w:lang w:val="es-CR"/>
        </w:rPr>
        <w:fldChar w:fldCharType="separate"/>
      </w:r>
      <w:r w:rsidR="00374B51">
        <w:rPr>
          <w:rFonts w:ascii="Book Antiqua" w:hAnsi="Book Antiqua"/>
          <w:i/>
          <w:iCs/>
          <w:noProof/>
          <w:sz w:val="20"/>
          <w:szCs w:val="16"/>
          <w:lang w:val="es-CR"/>
        </w:rPr>
        <w:t>32</w:t>
      </w:r>
      <w:r w:rsidRPr="00832773">
        <w:rPr>
          <w:rFonts w:ascii="Book Antiqua" w:hAnsi="Book Antiqua"/>
          <w:i/>
          <w:iCs/>
          <w:sz w:val="20"/>
          <w:szCs w:val="16"/>
          <w:lang w:val="es-CR"/>
        </w:rPr>
        <w:fldChar w:fldCharType="end"/>
      </w:r>
      <w:r w:rsidRPr="00832773">
        <w:rPr>
          <w:rFonts w:ascii="Book Antiqua" w:hAnsi="Book Antiqua"/>
          <w:i/>
          <w:iCs/>
          <w:sz w:val="20"/>
          <w:szCs w:val="16"/>
          <w:lang w:val="es-CR"/>
        </w:rPr>
        <w:t xml:space="preserve"> </w:t>
      </w:r>
      <w:r w:rsidR="001E71F7" w:rsidRPr="00832773">
        <w:rPr>
          <w:rFonts w:ascii="Book Antiqua" w:hAnsi="Book Antiqua"/>
          <w:i/>
          <w:iCs/>
          <w:sz w:val="20"/>
          <w:szCs w:val="16"/>
          <w:lang w:val="es-CR"/>
        </w:rPr>
        <w:t xml:space="preserve">Cantidad de entrados ordinarios estimables por cuantía del 2019 al 2021 para el </w:t>
      </w:r>
      <w:r w:rsidRPr="00832773">
        <w:rPr>
          <w:rFonts w:ascii="Book Antiqua" w:hAnsi="Book Antiqua"/>
          <w:i/>
          <w:iCs/>
          <w:sz w:val="20"/>
          <w:szCs w:val="16"/>
          <w:lang w:val="es-CR"/>
        </w:rPr>
        <w:t>Tribunal Colegiado Primera Instancia Civil Primer Circuito Judicial de Guanacaste, Liberia</w:t>
      </w:r>
    </w:p>
    <w:p w14:paraId="6D3E6BBD" w14:textId="77777777" w:rsidR="00193D21" w:rsidRPr="00193D21" w:rsidRDefault="00193D21" w:rsidP="00193D21"/>
    <w:tbl>
      <w:tblPr>
        <w:tblW w:w="5035" w:type="pct"/>
        <w:jc w:val="center"/>
        <w:tblCellMar>
          <w:left w:w="70" w:type="dxa"/>
          <w:right w:w="70" w:type="dxa"/>
        </w:tblCellMar>
        <w:tblLook w:val="04A0" w:firstRow="1" w:lastRow="0" w:firstColumn="1" w:lastColumn="0" w:noHBand="0" w:noVBand="1"/>
      </w:tblPr>
      <w:tblGrid>
        <w:gridCol w:w="2843"/>
        <w:gridCol w:w="849"/>
        <w:gridCol w:w="846"/>
        <w:gridCol w:w="846"/>
        <w:gridCol w:w="1138"/>
        <w:gridCol w:w="2380"/>
      </w:tblGrid>
      <w:tr w:rsidR="00285C63" w:rsidRPr="004E74A6" w14:paraId="052839D2" w14:textId="6765DF55" w:rsidTr="00285C63">
        <w:trPr>
          <w:trHeight w:val="454"/>
          <w:tblHeader/>
          <w:jc w:val="center"/>
        </w:trPr>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37AF7CD6" w14:textId="0B378055" w:rsidR="00285C63" w:rsidRPr="004E74A6" w:rsidRDefault="00285C63" w:rsidP="00CE62C1">
            <w:pPr>
              <w:spacing w:line="276" w:lineRule="auto"/>
              <w:jc w:val="center"/>
              <w:rPr>
                <w:rFonts w:cs="Calibri"/>
                <w:color w:val="000000"/>
                <w:sz w:val="20"/>
                <w:lang w:eastAsia="es-CR"/>
              </w:rPr>
            </w:pPr>
            <w:r w:rsidRPr="004E74A6">
              <w:rPr>
                <w:rFonts w:cs="Calibri"/>
                <w:color w:val="000000"/>
                <w:sz w:val="20"/>
                <w:lang w:eastAsia="es-CR"/>
              </w:rPr>
              <w:t>Ordinario Estimable</w:t>
            </w:r>
          </w:p>
        </w:tc>
        <w:tc>
          <w:tcPr>
            <w:tcW w:w="4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254F0FC" w14:textId="77777777" w:rsidR="00285C63" w:rsidRPr="004E74A6" w:rsidRDefault="00285C63" w:rsidP="00CE62C1">
            <w:pPr>
              <w:spacing w:line="276" w:lineRule="auto"/>
              <w:jc w:val="center"/>
              <w:rPr>
                <w:rFonts w:cs="Calibri"/>
                <w:color w:val="000000"/>
                <w:sz w:val="20"/>
                <w:lang w:eastAsia="es-CR"/>
              </w:rPr>
            </w:pPr>
            <w:r w:rsidRPr="004E74A6">
              <w:rPr>
                <w:rFonts w:cs="Calibri"/>
                <w:color w:val="000000"/>
                <w:sz w:val="20"/>
                <w:lang w:eastAsia="es-CR"/>
              </w:rPr>
              <w:t>2019</w:t>
            </w:r>
          </w:p>
        </w:tc>
        <w:tc>
          <w:tcPr>
            <w:tcW w:w="47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FADEC2E" w14:textId="77777777" w:rsidR="00285C63" w:rsidRPr="004E74A6" w:rsidRDefault="00285C63" w:rsidP="00CE62C1">
            <w:pPr>
              <w:spacing w:line="276" w:lineRule="auto"/>
              <w:jc w:val="center"/>
              <w:rPr>
                <w:rFonts w:cs="Calibri"/>
                <w:color w:val="000000"/>
                <w:sz w:val="20"/>
                <w:lang w:eastAsia="es-CR"/>
              </w:rPr>
            </w:pPr>
            <w:r w:rsidRPr="004E74A6">
              <w:rPr>
                <w:rFonts w:cs="Calibri"/>
                <w:color w:val="000000"/>
                <w:sz w:val="20"/>
                <w:lang w:eastAsia="es-CR"/>
              </w:rPr>
              <w:t>2020</w:t>
            </w:r>
          </w:p>
        </w:tc>
        <w:tc>
          <w:tcPr>
            <w:tcW w:w="47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E4A8B7B" w14:textId="77777777" w:rsidR="00285C63" w:rsidRPr="004E74A6" w:rsidRDefault="00285C63" w:rsidP="00CE62C1">
            <w:pPr>
              <w:spacing w:line="276" w:lineRule="auto"/>
              <w:jc w:val="center"/>
              <w:rPr>
                <w:rFonts w:cs="Calibri"/>
                <w:color w:val="000000"/>
                <w:sz w:val="20"/>
                <w:lang w:eastAsia="es-CR"/>
              </w:rPr>
            </w:pPr>
            <w:r w:rsidRPr="004E74A6">
              <w:rPr>
                <w:rFonts w:cs="Calibri"/>
                <w:color w:val="000000"/>
                <w:sz w:val="20"/>
                <w:lang w:eastAsia="es-CR"/>
              </w:rPr>
              <w:t>2021</w:t>
            </w:r>
          </w:p>
        </w:tc>
        <w:tc>
          <w:tcPr>
            <w:tcW w:w="639" w:type="pct"/>
            <w:tcBorders>
              <w:top w:val="single" w:sz="4" w:space="0" w:color="auto"/>
              <w:left w:val="single" w:sz="4" w:space="0" w:color="auto"/>
              <w:bottom w:val="single" w:sz="4" w:space="0" w:color="auto"/>
              <w:right w:val="nil"/>
            </w:tcBorders>
            <w:shd w:val="clear" w:color="auto" w:fill="auto"/>
            <w:noWrap/>
            <w:vAlign w:val="center"/>
          </w:tcPr>
          <w:p w14:paraId="0CD5E7BF" w14:textId="0F13AA35" w:rsidR="00285C63" w:rsidRPr="004E74A6" w:rsidRDefault="00285C63" w:rsidP="00CE62C1">
            <w:pPr>
              <w:spacing w:line="276" w:lineRule="auto"/>
              <w:jc w:val="center"/>
              <w:rPr>
                <w:rFonts w:cs="Calibri"/>
                <w:color w:val="000000"/>
                <w:sz w:val="20"/>
                <w:lang w:eastAsia="es-CR"/>
              </w:rPr>
            </w:pPr>
            <w:r w:rsidRPr="004E74A6">
              <w:rPr>
                <w:rFonts w:cs="Calibri"/>
                <w:color w:val="000000"/>
                <w:sz w:val="20"/>
                <w:lang w:eastAsia="es-CR"/>
              </w:rPr>
              <w:t>Promedio</w:t>
            </w:r>
          </w:p>
        </w:tc>
        <w:tc>
          <w:tcPr>
            <w:tcW w:w="1337" w:type="pct"/>
            <w:tcBorders>
              <w:top w:val="single" w:sz="4" w:space="0" w:color="auto"/>
              <w:left w:val="single" w:sz="4" w:space="0" w:color="auto"/>
              <w:bottom w:val="single" w:sz="4" w:space="0" w:color="auto"/>
              <w:right w:val="nil"/>
            </w:tcBorders>
          </w:tcPr>
          <w:p w14:paraId="4A35B5E4" w14:textId="71F0F122" w:rsidR="00285C63" w:rsidRPr="004E74A6" w:rsidRDefault="00285C63" w:rsidP="00832773">
            <w:pPr>
              <w:spacing w:line="276" w:lineRule="auto"/>
              <w:jc w:val="center"/>
              <w:rPr>
                <w:rFonts w:cs="Calibri"/>
                <w:color w:val="000000"/>
                <w:sz w:val="20"/>
                <w:lang w:eastAsia="es-CR"/>
              </w:rPr>
            </w:pPr>
            <w:r w:rsidRPr="004E74A6">
              <w:rPr>
                <w:rFonts w:cs="Calibri"/>
                <w:color w:val="000000"/>
                <w:sz w:val="20"/>
              </w:rPr>
              <w:t>Pérdida porcentual en la entrada en caso de elevarse la cuantía según rango escenario A1</w:t>
            </w:r>
          </w:p>
        </w:tc>
      </w:tr>
      <w:tr w:rsidR="00285C63" w:rsidRPr="004E74A6" w14:paraId="2BC16AB2" w14:textId="540EC86F" w:rsidTr="00285C63">
        <w:trPr>
          <w:trHeight w:val="288"/>
          <w:jc w:val="center"/>
        </w:trPr>
        <w:tc>
          <w:tcPr>
            <w:tcW w:w="1597" w:type="pct"/>
            <w:tcBorders>
              <w:top w:val="single" w:sz="4" w:space="0" w:color="auto"/>
              <w:left w:val="nil"/>
              <w:bottom w:val="nil"/>
              <w:right w:val="single" w:sz="4" w:space="0" w:color="auto"/>
            </w:tcBorders>
            <w:shd w:val="clear" w:color="auto" w:fill="auto"/>
            <w:noWrap/>
            <w:vAlign w:val="center"/>
          </w:tcPr>
          <w:p w14:paraId="733EDFF0" w14:textId="77777777" w:rsidR="00285C63" w:rsidRPr="004E74A6" w:rsidRDefault="00285C63" w:rsidP="00CE62C1">
            <w:pPr>
              <w:spacing w:line="276" w:lineRule="auto"/>
              <w:jc w:val="center"/>
              <w:rPr>
                <w:rFonts w:cs="Calibri"/>
                <w:color w:val="000000"/>
                <w:sz w:val="20"/>
                <w:lang w:eastAsia="es-CR"/>
              </w:rPr>
            </w:pPr>
          </w:p>
        </w:tc>
        <w:tc>
          <w:tcPr>
            <w:tcW w:w="477" w:type="pct"/>
            <w:tcBorders>
              <w:top w:val="single" w:sz="4" w:space="0" w:color="auto"/>
              <w:left w:val="single" w:sz="4" w:space="0" w:color="auto"/>
              <w:bottom w:val="nil"/>
              <w:right w:val="single" w:sz="4" w:space="0" w:color="auto"/>
            </w:tcBorders>
            <w:shd w:val="clear" w:color="auto" w:fill="auto"/>
            <w:noWrap/>
            <w:vAlign w:val="center"/>
          </w:tcPr>
          <w:p w14:paraId="4E21F24C" w14:textId="77777777" w:rsidR="00285C63" w:rsidRPr="004E74A6" w:rsidRDefault="00285C63" w:rsidP="00CE62C1">
            <w:pPr>
              <w:spacing w:line="276" w:lineRule="auto"/>
              <w:jc w:val="center"/>
              <w:rPr>
                <w:rFonts w:cs="Calibri"/>
                <w:color w:val="000000"/>
                <w:sz w:val="20"/>
                <w:lang w:eastAsia="es-CR"/>
              </w:rPr>
            </w:pPr>
          </w:p>
        </w:tc>
        <w:tc>
          <w:tcPr>
            <w:tcW w:w="475" w:type="pct"/>
            <w:tcBorders>
              <w:top w:val="single" w:sz="4" w:space="0" w:color="auto"/>
              <w:left w:val="single" w:sz="4" w:space="0" w:color="auto"/>
              <w:bottom w:val="nil"/>
              <w:right w:val="single" w:sz="4" w:space="0" w:color="auto"/>
            </w:tcBorders>
            <w:shd w:val="clear" w:color="auto" w:fill="auto"/>
            <w:noWrap/>
            <w:vAlign w:val="center"/>
          </w:tcPr>
          <w:p w14:paraId="07592E0C" w14:textId="77777777" w:rsidR="00285C63" w:rsidRPr="004E74A6" w:rsidRDefault="00285C63" w:rsidP="00CE62C1">
            <w:pPr>
              <w:spacing w:line="276" w:lineRule="auto"/>
              <w:jc w:val="center"/>
              <w:rPr>
                <w:rFonts w:cs="Calibri"/>
                <w:color w:val="000000"/>
                <w:sz w:val="20"/>
                <w:lang w:eastAsia="es-CR"/>
              </w:rPr>
            </w:pPr>
          </w:p>
        </w:tc>
        <w:tc>
          <w:tcPr>
            <w:tcW w:w="475" w:type="pct"/>
            <w:tcBorders>
              <w:top w:val="single" w:sz="4" w:space="0" w:color="auto"/>
              <w:left w:val="single" w:sz="4" w:space="0" w:color="auto"/>
              <w:bottom w:val="nil"/>
              <w:right w:val="single" w:sz="4" w:space="0" w:color="auto"/>
            </w:tcBorders>
            <w:shd w:val="clear" w:color="auto" w:fill="auto"/>
            <w:noWrap/>
            <w:vAlign w:val="center"/>
          </w:tcPr>
          <w:p w14:paraId="03482D13" w14:textId="77777777" w:rsidR="00285C63" w:rsidRPr="004E74A6" w:rsidRDefault="00285C63" w:rsidP="00CE62C1">
            <w:pPr>
              <w:spacing w:line="276" w:lineRule="auto"/>
              <w:jc w:val="center"/>
              <w:rPr>
                <w:rFonts w:cs="Calibri"/>
                <w:color w:val="000000"/>
                <w:sz w:val="20"/>
                <w:lang w:eastAsia="es-CR"/>
              </w:rPr>
            </w:pPr>
          </w:p>
        </w:tc>
        <w:tc>
          <w:tcPr>
            <w:tcW w:w="639" w:type="pct"/>
            <w:tcBorders>
              <w:top w:val="single" w:sz="4" w:space="0" w:color="auto"/>
              <w:left w:val="single" w:sz="4" w:space="0" w:color="auto"/>
              <w:bottom w:val="nil"/>
              <w:right w:val="nil"/>
            </w:tcBorders>
            <w:shd w:val="clear" w:color="auto" w:fill="auto"/>
            <w:noWrap/>
            <w:vAlign w:val="center"/>
          </w:tcPr>
          <w:p w14:paraId="02F5D38D" w14:textId="77777777" w:rsidR="00285C63" w:rsidRPr="004E74A6" w:rsidRDefault="00285C63" w:rsidP="00CE62C1">
            <w:pPr>
              <w:spacing w:line="276" w:lineRule="auto"/>
              <w:jc w:val="center"/>
              <w:rPr>
                <w:rFonts w:cs="Calibri"/>
                <w:color w:val="000000"/>
                <w:sz w:val="20"/>
                <w:lang w:eastAsia="es-CR"/>
              </w:rPr>
            </w:pPr>
          </w:p>
        </w:tc>
        <w:tc>
          <w:tcPr>
            <w:tcW w:w="1337" w:type="pct"/>
            <w:tcBorders>
              <w:top w:val="single" w:sz="4" w:space="0" w:color="auto"/>
              <w:left w:val="single" w:sz="4" w:space="0" w:color="auto"/>
              <w:bottom w:val="nil"/>
              <w:right w:val="nil"/>
            </w:tcBorders>
          </w:tcPr>
          <w:p w14:paraId="562C28A8" w14:textId="77777777" w:rsidR="00285C63" w:rsidRPr="004E74A6" w:rsidRDefault="00285C63" w:rsidP="00CE62C1">
            <w:pPr>
              <w:spacing w:line="276" w:lineRule="auto"/>
              <w:jc w:val="center"/>
              <w:rPr>
                <w:rFonts w:cs="Calibri"/>
                <w:color w:val="000000"/>
                <w:sz w:val="20"/>
                <w:lang w:eastAsia="es-CR"/>
              </w:rPr>
            </w:pPr>
          </w:p>
        </w:tc>
      </w:tr>
      <w:tr w:rsidR="00285C63" w:rsidRPr="004E74A6" w14:paraId="57B2B93F" w14:textId="0DCB8CAA" w:rsidTr="00285C63">
        <w:trPr>
          <w:trHeight w:val="288"/>
          <w:jc w:val="center"/>
        </w:trPr>
        <w:tc>
          <w:tcPr>
            <w:tcW w:w="1597" w:type="pct"/>
            <w:tcBorders>
              <w:top w:val="nil"/>
              <w:left w:val="nil"/>
              <w:bottom w:val="nil"/>
              <w:right w:val="single" w:sz="4" w:space="0" w:color="auto"/>
            </w:tcBorders>
            <w:shd w:val="clear" w:color="auto" w:fill="auto"/>
            <w:noWrap/>
            <w:vAlign w:val="center"/>
          </w:tcPr>
          <w:p w14:paraId="3626E80E" w14:textId="77777777" w:rsidR="00285C63" w:rsidRPr="004E74A6" w:rsidRDefault="00285C63" w:rsidP="00CE62C1">
            <w:pPr>
              <w:spacing w:line="276" w:lineRule="auto"/>
              <w:jc w:val="center"/>
              <w:rPr>
                <w:rFonts w:cs="Calibri"/>
                <w:color w:val="000000"/>
                <w:sz w:val="20"/>
                <w:lang w:eastAsia="es-CR"/>
              </w:rPr>
            </w:pPr>
            <w:r w:rsidRPr="004E74A6">
              <w:rPr>
                <w:rFonts w:cs="Calibri"/>
                <w:color w:val="000000"/>
                <w:sz w:val="20"/>
                <w:lang w:eastAsia="es-CR"/>
              </w:rPr>
              <w:t>Total</w:t>
            </w:r>
          </w:p>
        </w:tc>
        <w:tc>
          <w:tcPr>
            <w:tcW w:w="477" w:type="pct"/>
            <w:tcBorders>
              <w:top w:val="nil"/>
              <w:left w:val="single" w:sz="4" w:space="0" w:color="auto"/>
              <w:bottom w:val="nil"/>
              <w:right w:val="single" w:sz="4" w:space="0" w:color="auto"/>
            </w:tcBorders>
            <w:shd w:val="clear" w:color="auto" w:fill="auto"/>
            <w:noWrap/>
            <w:vAlign w:val="center"/>
          </w:tcPr>
          <w:p w14:paraId="0DA13888" w14:textId="4317A33F" w:rsidR="00285C63" w:rsidRPr="004E74A6" w:rsidRDefault="00285C63" w:rsidP="00CE62C1">
            <w:pPr>
              <w:spacing w:line="276" w:lineRule="auto"/>
              <w:jc w:val="center"/>
              <w:rPr>
                <w:rFonts w:cs="Calibri"/>
                <w:color w:val="000000"/>
                <w:sz w:val="20"/>
                <w:lang w:eastAsia="es-CR"/>
              </w:rPr>
            </w:pPr>
            <w:r w:rsidRPr="004E74A6">
              <w:rPr>
                <w:rFonts w:cs="Calibri"/>
                <w:color w:val="000000"/>
                <w:sz w:val="20"/>
              </w:rPr>
              <w:t>18</w:t>
            </w:r>
          </w:p>
        </w:tc>
        <w:tc>
          <w:tcPr>
            <w:tcW w:w="475" w:type="pct"/>
            <w:tcBorders>
              <w:top w:val="nil"/>
              <w:left w:val="single" w:sz="4" w:space="0" w:color="auto"/>
              <w:bottom w:val="nil"/>
              <w:right w:val="single" w:sz="4" w:space="0" w:color="auto"/>
            </w:tcBorders>
            <w:shd w:val="clear" w:color="auto" w:fill="auto"/>
            <w:noWrap/>
            <w:vAlign w:val="center"/>
          </w:tcPr>
          <w:p w14:paraId="7D026BE8" w14:textId="0196320E" w:rsidR="00285C63" w:rsidRPr="004E74A6" w:rsidRDefault="00285C63" w:rsidP="00CE62C1">
            <w:pPr>
              <w:spacing w:line="276" w:lineRule="auto"/>
              <w:jc w:val="center"/>
              <w:rPr>
                <w:rFonts w:cs="Calibri"/>
                <w:color w:val="000000"/>
                <w:sz w:val="20"/>
                <w:lang w:eastAsia="es-CR"/>
              </w:rPr>
            </w:pPr>
            <w:r w:rsidRPr="004E74A6">
              <w:rPr>
                <w:rFonts w:cs="Calibri"/>
                <w:color w:val="000000"/>
                <w:sz w:val="20"/>
              </w:rPr>
              <w:t>45</w:t>
            </w:r>
          </w:p>
        </w:tc>
        <w:tc>
          <w:tcPr>
            <w:tcW w:w="475" w:type="pct"/>
            <w:tcBorders>
              <w:top w:val="nil"/>
              <w:left w:val="single" w:sz="4" w:space="0" w:color="auto"/>
              <w:bottom w:val="nil"/>
              <w:right w:val="single" w:sz="4" w:space="0" w:color="auto"/>
            </w:tcBorders>
            <w:shd w:val="clear" w:color="auto" w:fill="auto"/>
            <w:noWrap/>
            <w:vAlign w:val="center"/>
          </w:tcPr>
          <w:p w14:paraId="60F28D74" w14:textId="0F296071" w:rsidR="00285C63" w:rsidRPr="004E74A6" w:rsidRDefault="00285C63" w:rsidP="00CE62C1">
            <w:pPr>
              <w:spacing w:line="276" w:lineRule="auto"/>
              <w:jc w:val="center"/>
              <w:rPr>
                <w:rFonts w:cs="Calibri"/>
                <w:color w:val="000000"/>
                <w:sz w:val="20"/>
                <w:lang w:eastAsia="es-CR"/>
              </w:rPr>
            </w:pPr>
            <w:r w:rsidRPr="004E74A6">
              <w:rPr>
                <w:rFonts w:cs="Calibri"/>
                <w:color w:val="000000"/>
                <w:sz w:val="20"/>
              </w:rPr>
              <w:t>68</w:t>
            </w:r>
          </w:p>
        </w:tc>
        <w:tc>
          <w:tcPr>
            <w:tcW w:w="639" w:type="pct"/>
            <w:tcBorders>
              <w:top w:val="nil"/>
              <w:left w:val="single" w:sz="4" w:space="0" w:color="auto"/>
              <w:bottom w:val="nil"/>
              <w:right w:val="nil"/>
            </w:tcBorders>
            <w:shd w:val="clear" w:color="auto" w:fill="auto"/>
            <w:noWrap/>
            <w:vAlign w:val="bottom"/>
          </w:tcPr>
          <w:p w14:paraId="542983D1" w14:textId="6DDA4BE3" w:rsidR="00285C63" w:rsidRPr="004E74A6" w:rsidRDefault="00285C63" w:rsidP="00CE62C1">
            <w:pPr>
              <w:spacing w:line="276" w:lineRule="auto"/>
              <w:jc w:val="center"/>
              <w:rPr>
                <w:rFonts w:cs="Calibri"/>
                <w:color w:val="000000"/>
                <w:sz w:val="20"/>
                <w:lang w:eastAsia="es-CR"/>
              </w:rPr>
            </w:pPr>
            <w:r w:rsidRPr="004E74A6">
              <w:rPr>
                <w:rFonts w:cs="Calibri"/>
                <w:color w:val="000000"/>
                <w:sz w:val="20"/>
              </w:rPr>
              <w:t>44</w:t>
            </w:r>
          </w:p>
        </w:tc>
        <w:tc>
          <w:tcPr>
            <w:tcW w:w="1337" w:type="pct"/>
            <w:tcBorders>
              <w:top w:val="nil"/>
              <w:left w:val="single" w:sz="4" w:space="0" w:color="auto"/>
              <w:bottom w:val="nil"/>
              <w:right w:val="nil"/>
            </w:tcBorders>
          </w:tcPr>
          <w:p w14:paraId="54E014FF" w14:textId="77777777" w:rsidR="00285C63" w:rsidRPr="004E74A6" w:rsidRDefault="00285C63" w:rsidP="00CE62C1">
            <w:pPr>
              <w:spacing w:line="276" w:lineRule="auto"/>
              <w:jc w:val="center"/>
              <w:rPr>
                <w:rFonts w:cs="Calibri"/>
                <w:color w:val="000000"/>
                <w:sz w:val="20"/>
              </w:rPr>
            </w:pPr>
          </w:p>
        </w:tc>
      </w:tr>
      <w:tr w:rsidR="00285C63" w:rsidRPr="004E74A6" w14:paraId="51A89A40" w14:textId="7805799A" w:rsidTr="00285C63">
        <w:trPr>
          <w:trHeight w:val="288"/>
          <w:jc w:val="center"/>
        </w:trPr>
        <w:tc>
          <w:tcPr>
            <w:tcW w:w="1597" w:type="pct"/>
            <w:tcBorders>
              <w:top w:val="nil"/>
              <w:left w:val="nil"/>
              <w:bottom w:val="nil"/>
              <w:right w:val="single" w:sz="4" w:space="0" w:color="auto"/>
            </w:tcBorders>
            <w:shd w:val="clear" w:color="auto" w:fill="auto"/>
            <w:noWrap/>
            <w:vAlign w:val="bottom"/>
          </w:tcPr>
          <w:p w14:paraId="7E799B4C" w14:textId="77777777" w:rsidR="00285C63" w:rsidRPr="004E74A6" w:rsidRDefault="00285C63" w:rsidP="00CE62C1">
            <w:pPr>
              <w:spacing w:line="276" w:lineRule="auto"/>
              <w:jc w:val="left"/>
              <w:rPr>
                <w:rFonts w:cs="Calibri"/>
                <w:color w:val="000000"/>
                <w:sz w:val="20"/>
                <w:lang w:eastAsia="es-CR"/>
              </w:rPr>
            </w:pPr>
          </w:p>
        </w:tc>
        <w:tc>
          <w:tcPr>
            <w:tcW w:w="477" w:type="pct"/>
            <w:tcBorders>
              <w:top w:val="nil"/>
              <w:left w:val="single" w:sz="4" w:space="0" w:color="auto"/>
              <w:bottom w:val="nil"/>
              <w:right w:val="single" w:sz="4" w:space="0" w:color="auto"/>
            </w:tcBorders>
            <w:shd w:val="clear" w:color="auto" w:fill="auto"/>
            <w:noWrap/>
            <w:vAlign w:val="center"/>
          </w:tcPr>
          <w:p w14:paraId="1A47A4A7" w14:textId="77777777" w:rsidR="00285C63" w:rsidRPr="004E74A6" w:rsidRDefault="00285C63" w:rsidP="00CE62C1">
            <w:pPr>
              <w:spacing w:line="276" w:lineRule="auto"/>
              <w:jc w:val="center"/>
              <w:rPr>
                <w:rFonts w:cs="Calibri"/>
                <w:color w:val="000000"/>
                <w:sz w:val="20"/>
                <w:lang w:eastAsia="es-CR"/>
              </w:rPr>
            </w:pPr>
          </w:p>
        </w:tc>
        <w:tc>
          <w:tcPr>
            <w:tcW w:w="475" w:type="pct"/>
            <w:tcBorders>
              <w:top w:val="nil"/>
              <w:left w:val="single" w:sz="4" w:space="0" w:color="auto"/>
              <w:bottom w:val="nil"/>
              <w:right w:val="single" w:sz="4" w:space="0" w:color="auto"/>
            </w:tcBorders>
            <w:shd w:val="clear" w:color="auto" w:fill="auto"/>
            <w:noWrap/>
            <w:vAlign w:val="center"/>
          </w:tcPr>
          <w:p w14:paraId="49845FD4" w14:textId="77777777" w:rsidR="00285C63" w:rsidRPr="004E74A6" w:rsidRDefault="00285C63" w:rsidP="00CE62C1">
            <w:pPr>
              <w:spacing w:line="276" w:lineRule="auto"/>
              <w:jc w:val="center"/>
              <w:rPr>
                <w:rFonts w:cs="Calibri"/>
                <w:color w:val="000000"/>
                <w:sz w:val="20"/>
                <w:lang w:eastAsia="es-CR"/>
              </w:rPr>
            </w:pPr>
          </w:p>
        </w:tc>
        <w:tc>
          <w:tcPr>
            <w:tcW w:w="475" w:type="pct"/>
            <w:tcBorders>
              <w:top w:val="nil"/>
              <w:left w:val="single" w:sz="4" w:space="0" w:color="auto"/>
              <w:bottom w:val="nil"/>
              <w:right w:val="single" w:sz="4" w:space="0" w:color="auto"/>
            </w:tcBorders>
            <w:shd w:val="clear" w:color="auto" w:fill="auto"/>
            <w:noWrap/>
            <w:vAlign w:val="center"/>
          </w:tcPr>
          <w:p w14:paraId="765D1497" w14:textId="77777777" w:rsidR="00285C63" w:rsidRPr="004E74A6" w:rsidRDefault="00285C63" w:rsidP="00CE62C1">
            <w:pPr>
              <w:spacing w:line="276" w:lineRule="auto"/>
              <w:jc w:val="center"/>
              <w:rPr>
                <w:rFonts w:cs="Calibri"/>
                <w:color w:val="000000"/>
                <w:sz w:val="20"/>
                <w:lang w:eastAsia="es-CR"/>
              </w:rPr>
            </w:pPr>
          </w:p>
        </w:tc>
        <w:tc>
          <w:tcPr>
            <w:tcW w:w="639" w:type="pct"/>
            <w:tcBorders>
              <w:top w:val="nil"/>
              <w:left w:val="single" w:sz="4" w:space="0" w:color="auto"/>
              <w:bottom w:val="nil"/>
              <w:right w:val="nil"/>
            </w:tcBorders>
            <w:shd w:val="clear" w:color="auto" w:fill="auto"/>
            <w:noWrap/>
            <w:vAlign w:val="center"/>
          </w:tcPr>
          <w:p w14:paraId="6BEBD71E" w14:textId="77777777" w:rsidR="00285C63" w:rsidRPr="004E74A6" w:rsidRDefault="00285C63" w:rsidP="00CE62C1">
            <w:pPr>
              <w:spacing w:line="276" w:lineRule="auto"/>
              <w:jc w:val="center"/>
              <w:rPr>
                <w:rFonts w:cs="Calibri"/>
                <w:color w:val="000000"/>
                <w:sz w:val="20"/>
                <w:lang w:eastAsia="es-CR"/>
              </w:rPr>
            </w:pPr>
          </w:p>
        </w:tc>
        <w:tc>
          <w:tcPr>
            <w:tcW w:w="1337" w:type="pct"/>
            <w:tcBorders>
              <w:top w:val="nil"/>
              <w:left w:val="single" w:sz="4" w:space="0" w:color="auto"/>
              <w:bottom w:val="nil"/>
              <w:right w:val="nil"/>
            </w:tcBorders>
          </w:tcPr>
          <w:p w14:paraId="0517119E" w14:textId="77777777" w:rsidR="00285C63" w:rsidRPr="004E74A6" w:rsidRDefault="00285C63" w:rsidP="00CE62C1">
            <w:pPr>
              <w:spacing w:line="276" w:lineRule="auto"/>
              <w:jc w:val="center"/>
              <w:rPr>
                <w:rFonts w:cs="Calibri"/>
                <w:color w:val="000000"/>
                <w:sz w:val="20"/>
                <w:lang w:eastAsia="es-CR"/>
              </w:rPr>
            </w:pPr>
          </w:p>
        </w:tc>
      </w:tr>
      <w:tr w:rsidR="00285C63" w:rsidRPr="004E74A6" w14:paraId="2890F814" w14:textId="35C78042" w:rsidTr="00817DA8">
        <w:trPr>
          <w:trHeight w:val="288"/>
          <w:jc w:val="center"/>
        </w:trPr>
        <w:tc>
          <w:tcPr>
            <w:tcW w:w="1597" w:type="pct"/>
            <w:tcBorders>
              <w:top w:val="nil"/>
              <w:left w:val="nil"/>
              <w:bottom w:val="nil"/>
              <w:right w:val="single" w:sz="4" w:space="0" w:color="auto"/>
            </w:tcBorders>
            <w:shd w:val="clear" w:color="auto" w:fill="C5E0B3" w:themeFill="accent6" w:themeFillTint="66"/>
            <w:noWrap/>
            <w:vAlign w:val="bottom"/>
            <w:hideMark/>
          </w:tcPr>
          <w:p w14:paraId="4C3268EF" w14:textId="77777777" w:rsidR="00285C63" w:rsidRPr="004E74A6" w:rsidRDefault="00285C63" w:rsidP="00CE62C1">
            <w:pPr>
              <w:spacing w:line="276" w:lineRule="auto"/>
              <w:jc w:val="left"/>
              <w:rPr>
                <w:rFonts w:cs="Calibri"/>
                <w:color w:val="000000"/>
                <w:sz w:val="20"/>
                <w:lang w:eastAsia="es-CR"/>
              </w:rPr>
            </w:pPr>
            <w:r w:rsidRPr="004E74A6">
              <w:rPr>
                <w:rFonts w:cs="Calibri"/>
                <w:color w:val="000000"/>
                <w:sz w:val="20"/>
                <w:lang w:eastAsia="es-CR"/>
              </w:rPr>
              <w:t>Menos De ¢3.000.001</w:t>
            </w:r>
          </w:p>
        </w:tc>
        <w:tc>
          <w:tcPr>
            <w:tcW w:w="477" w:type="pct"/>
            <w:tcBorders>
              <w:top w:val="nil"/>
              <w:left w:val="single" w:sz="4" w:space="0" w:color="auto"/>
              <w:bottom w:val="nil"/>
              <w:right w:val="single" w:sz="4" w:space="0" w:color="auto"/>
            </w:tcBorders>
            <w:shd w:val="clear" w:color="auto" w:fill="C5E0B3" w:themeFill="accent6" w:themeFillTint="66"/>
            <w:noWrap/>
            <w:vAlign w:val="center"/>
            <w:hideMark/>
          </w:tcPr>
          <w:p w14:paraId="44F070F1" w14:textId="2B2F2953" w:rsidR="00285C63" w:rsidRPr="004E74A6" w:rsidRDefault="00285C63" w:rsidP="00CE62C1">
            <w:pPr>
              <w:spacing w:line="276" w:lineRule="auto"/>
              <w:jc w:val="center"/>
              <w:rPr>
                <w:rFonts w:cs="Calibri"/>
                <w:color w:val="000000"/>
                <w:sz w:val="20"/>
                <w:lang w:eastAsia="es-CR"/>
              </w:rPr>
            </w:pPr>
            <w:r w:rsidRPr="004E74A6">
              <w:rPr>
                <w:rFonts w:cs="Calibri"/>
                <w:color w:val="000000"/>
                <w:sz w:val="20"/>
              </w:rPr>
              <w:t>3</w:t>
            </w:r>
          </w:p>
        </w:tc>
        <w:tc>
          <w:tcPr>
            <w:tcW w:w="475" w:type="pct"/>
            <w:tcBorders>
              <w:top w:val="nil"/>
              <w:left w:val="single" w:sz="4" w:space="0" w:color="auto"/>
              <w:bottom w:val="nil"/>
              <w:right w:val="single" w:sz="4" w:space="0" w:color="auto"/>
            </w:tcBorders>
            <w:shd w:val="clear" w:color="auto" w:fill="C5E0B3" w:themeFill="accent6" w:themeFillTint="66"/>
            <w:noWrap/>
            <w:vAlign w:val="center"/>
            <w:hideMark/>
          </w:tcPr>
          <w:p w14:paraId="57299867" w14:textId="02EC6A50" w:rsidR="00285C63" w:rsidRPr="004E74A6" w:rsidRDefault="00285C63" w:rsidP="00CE62C1">
            <w:pPr>
              <w:spacing w:line="276" w:lineRule="auto"/>
              <w:jc w:val="center"/>
              <w:rPr>
                <w:rFonts w:cs="Calibri"/>
                <w:color w:val="000000"/>
                <w:sz w:val="20"/>
                <w:lang w:eastAsia="es-CR"/>
              </w:rPr>
            </w:pPr>
            <w:r w:rsidRPr="004E74A6">
              <w:rPr>
                <w:rFonts w:cs="Calibri"/>
                <w:color w:val="000000"/>
                <w:sz w:val="20"/>
              </w:rPr>
              <w:t>2</w:t>
            </w:r>
          </w:p>
        </w:tc>
        <w:tc>
          <w:tcPr>
            <w:tcW w:w="475" w:type="pct"/>
            <w:tcBorders>
              <w:top w:val="nil"/>
              <w:left w:val="single" w:sz="4" w:space="0" w:color="auto"/>
              <w:bottom w:val="nil"/>
              <w:right w:val="single" w:sz="4" w:space="0" w:color="auto"/>
            </w:tcBorders>
            <w:shd w:val="clear" w:color="auto" w:fill="C5E0B3" w:themeFill="accent6" w:themeFillTint="66"/>
            <w:noWrap/>
            <w:vAlign w:val="center"/>
            <w:hideMark/>
          </w:tcPr>
          <w:p w14:paraId="71C892DD" w14:textId="0A7F19C6" w:rsidR="00285C63" w:rsidRPr="004E74A6" w:rsidRDefault="00285C63" w:rsidP="00CE62C1">
            <w:pPr>
              <w:spacing w:line="276" w:lineRule="auto"/>
              <w:jc w:val="center"/>
              <w:rPr>
                <w:rFonts w:cs="Calibri"/>
                <w:color w:val="000000"/>
                <w:sz w:val="20"/>
                <w:lang w:eastAsia="es-CR"/>
              </w:rPr>
            </w:pPr>
            <w:r w:rsidRPr="004E74A6">
              <w:rPr>
                <w:rFonts w:cs="Calibri"/>
                <w:color w:val="000000"/>
                <w:sz w:val="20"/>
              </w:rPr>
              <w:t>3</w:t>
            </w:r>
          </w:p>
        </w:tc>
        <w:tc>
          <w:tcPr>
            <w:tcW w:w="639" w:type="pct"/>
            <w:tcBorders>
              <w:top w:val="nil"/>
              <w:left w:val="single" w:sz="4" w:space="0" w:color="auto"/>
              <w:bottom w:val="nil"/>
              <w:right w:val="nil"/>
            </w:tcBorders>
            <w:shd w:val="clear" w:color="auto" w:fill="C5E0B3" w:themeFill="accent6" w:themeFillTint="66"/>
            <w:noWrap/>
            <w:vAlign w:val="bottom"/>
            <w:hideMark/>
          </w:tcPr>
          <w:p w14:paraId="36B71442" w14:textId="7F6459BB" w:rsidR="00285C63" w:rsidRPr="004E74A6" w:rsidRDefault="00285C63" w:rsidP="00CE62C1">
            <w:pPr>
              <w:spacing w:line="276" w:lineRule="auto"/>
              <w:jc w:val="center"/>
              <w:rPr>
                <w:rFonts w:cs="Calibri"/>
                <w:color w:val="000000"/>
                <w:sz w:val="20"/>
                <w:lang w:eastAsia="es-CR"/>
              </w:rPr>
            </w:pPr>
            <w:r w:rsidRPr="004E74A6">
              <w:rPr>
                <w:rFonts w:cs="Calibri"/>
                <w:color w:val="000000"/>
                <w:sz w:val="20"/>
              </w:rPr>
              <w:t>2,7</w:t>
            </w:r>
          </w:p>
        </w:tc>
        <w:tc>
          <w:tcPr>
            <w:tcW w:w="1337" w:type="pct"/>
            <w:tcBorders>
              <w:top w:val="nil"/>
              <w:left w:val="single" w:sz="4" w:space="0" w:color="auto"/>
              <w:bottom w:val="nil"/>
              <w:right w:val="nil"/>
            </w:tcBorders>
            <w:shd w:val="clear" w:color="auto" w:fill="C5E0B3" w:themeFill="accent6" w:themeFillTint="66"/>
            <w:vAlign w:val="bottom"/>
          </w:tcPr>
          <w:p w14:paraId="4190216B" w14:textId="78C516C2" w:rsidR="00285C63" w:rsidRPr="004E74A6" w:rsidRDefault="00285C63" w:rsidP="00CE62C1">
            <w:pPr>
              <w:spacing w:line="276" w:lineRule="auto"/>
              <w:jc w:val="center"/>
              <w:rPr>
                <w:rFonts w:cs="Calibri"/>
                <w:color w:val="000000"/>
                <w:sz w:val="20"/>
              </w:rPr>
            </w:pPr>
            <w:r w:rsidRPr="004E74A6">
              <w:rPr>
                <w:rFonts w:cs="Calibri"/>
                <w:color w:val="000000"/>
                <w:sz w:val="20"/>
              </w:rPr>
              <w:t>6%</w:t>
            </w:r>
          </w:p>
        </w:tc>
      </w:tr>
      <w:tr w:rsidR="00285C63" w:rsidRPr="004E74A6" w14:paraId="70817193" w14:textId="2B91FBD6" w:rsidTr="00817DA8">
        <w:trPr>
          <w:trHeight w:val="288"/>
          <w:jc w:val="center"/>
        </w:trPr>
        <w:tc>
          <w:tcPr>
            <w:tcW w:w="1597" w:type="pct"/>
            <w:tcBorders>
              <w:top w:val="nil"/>
              <w:left w:val="nil"/>
              <w:bottom w:val="nil"/>
              <w:right w:val="single" w:sz="4" w:space="0" w:color="auto"/>
            </w:tcBorders>
            <w:shd w:val="clear" w:color="auto" w:fill="C5E0B3" w:themeFill="accent6" w:themeFillTint="66"/>
            <w:noWrap/>
            <w:vAlign w:val="bottom"/>
            <w:hideMark/>
          </w:tcPr>
          <w:p w14:paraId="5C89D169" w14:textId="77777777" w:rsidR="00285C63" w:rsidRPr="004E74A6" w:rsidRDefault="00285C63" w:rsidP="00CE62C1">
            <w:pPr>
              <w:spacing w:line="276" w:lineRule="auto"/>
              <w:jc w:val="left"/>
              <w:rPr>
                <w:rFonts w:cs="Calibri"/>
                <w:color w:val="000000"/>
                <w:sz w:val="20"/>
                <w:lang w:eastAsia="es-CR"/>
              </w:rPr>
            </w:pPr>
            <w:r w:rsidRPr="004E74A6">
              <w:rPr>
                <w:rFonts w:cs="Calibri"/>
                <w:color w:val="000000"/>
                <w:sz w:val="20"/>
                <w:lang w:eastAsia="es-CR"/>
              </w:rPr>
              <w:t>De ¢3.000.001 A ¢4.000.000</w:t>
            </w:r>
          </w:p>
        </w:tc>
        <w:tc>
          <w:tcPr>
            <w:tcW w:w="477" w:type="pct"/>
            <w:tcBorders>
              <w:top w:val="nil"/>
              <w:left w:val="single" w:sz="4" w:space="0" w:color="auto"/>
              <w:bottom w:val="nil"/>
              <w:right w:val="single" w:sz="4" w:space="0" w:color="auto"/>
            </w:tcBorders>
            <w:shd w:val="clear" w:color="auto" w:fill="C5E0B3" w:themeFill="accent6" w:themeFillTint="66"/>
            <w:noWrap/>
            <w:vAlign w:val="center"/>
            <w:hideMark/>
          </w:tcPr>
          <w:p w14:paraId="2E338130" w14:textId="47D3658D" w:rsidR="00285C63" w:rsidRPr="004E74A6" w:rsidRDefault="00285C63" w:rsidP="00CE62C1">
            <w:pPr>
              <w:spacing w:line="276" w:lineRule="auto"/>
              <w:jc w:val="center"/>
              <w:rPr>
                <w:rFonts w:cs="Calibri"/>
                <w:color w:val="000000"/>
                <w:sz w:val="20"/>
                <w:lang w:eastAsia="es-CR"/>
              </w:rPr>
            </w:pPr>
            <w:r w:rsidRPr="004E74A6">
              <w:rPr>
                <w:rFonts w:cs="Calibri"/>
                <w:color w:val="000000"/>
                <w:sz w:val="20"/>
              </w:rPr>
              <w:t>0</w:t>
            </w:r>
          </w:p>
        </w:tc>
        <w:tc>
          <w:tcPr>
            <w:tcW w:w="475" w:type="pct"/>
            <w:tcBorders>
              <w:top w:val="nil"/>
              <w:left w:val="single" w:sz="4" w:space="0" w:color="auto"/>
              <w:bottom w:val="nil"/>
              <w:right w:val="single" w:sz="4" w:space="0" w:color="auto"/>
            </w:tcBorders>
            <w:shd w:val="clear" w:color="auto" w:fill="C5E0B3" w:themeFill="accent6" w:themeFillTint="66"/>
            <w:noWrap/>
            <w:vAlign w:val="center"/>
            <w:hideMark/>
          </w:tcPr>
          <w:p w14:paraId="08EFD254" w14:textId="536E30E6" w:rsidR="00285C63" w:rsidRPr="004E74A6" w:rsidRDefault="00285C63" w:rsidP="00CE62C1">
            <w:pPr>
              <w:spacing w:line="276" w:lineRule="auto"/>
              <w:jc w:val="center"/>
              <w:rPr>
                <w:rFonts w:cs="Calibri"/>
                <w:color w:val="000000"/>
                <w:sz w:val="20"/>
                <w:lang w:eastAsia="es-CR"/>
              </w:rPr>
            </w:pPr>
            <w:r w:rsidRPr="004E74A6">
              <w:rPr>
                <w:rFonts w:cs="Calibri"/>
                <w:color w:val="000000"/>
                <w:sz w:val="20"/>
              </w:rPr>
              <w:t>5</w:t>
            </w:r>
          </w:p>
        </w:tc>
        <w:tc>
          <w:tcPr>
            <w:tcW w:w="475" w:type="pct"/>
            <w:tcBorders>
              <w:top w:val="nil"/>
              <w:left w:val="single" w:sz="4" w:space="0" w:color="auto"/>
              <w:bottom w:val="nil"/>
              <w:right w:val="single" w:sz="4" w:space="0" w:color="auto"/>
            </w:tcBorders>
            <w:shd w:val="clear" w:color="auto" w:fill="C5E0B3" w:themeFill="accent6" w:themeFillTint="66"/>
            <w:noWrap/>
            <w:vAlign w:val="center"/>
            <w:hideMark/>
          </w:tcPr>
          <w:p w14:paraId="7364835B" w14:textId="2B5A5BF8" w:rsidR="00285C63" w:rsidRPr="004E74A6" w:rsidRDefault="00285C63" w:rsidP="00CE62C1">
            <w:pPr>
              <w:spacing w:line="276" w:lineRule="auto"/>
              <w:jc w:val="center"/>
              <w:rPr>
                <w:rFonts w:cs="Calibri"/>
                <w:color w:val="000000"/>
                <w:sz w:val="20"/>
                <w:lang w:eastAsia="es-CR"/>
              </w:rPr>
            </w:pPr>
            <w:r w:rsidRPr="004E74A6">
              <w:rPr>
                <w:rFonts w:cs="Calibri"/>
                <w:color w:val="000000"/>
                <w:sz w:val="20"/>
              </w:rPr>
              <w:t>6</w:t>
            </w:r>
          </w:p>
        </w:tc>
        <w:tc>
          <w:tcPr>
            <w:tcW w:w="639" w:type="pct"/>
            <w:tcBorders>
              <w:top w:val="nil"/>
              <w:left w:val="single" w:sz="4" w:space="0" w:color="auto"/>
              <w:bottom w:val="nil"/>
              <w:right w:val="nil"/>
            </w:tcBorders>
            <w:shd w:val="clear" w:color="auto" w:fill="C5E0B3" w:themeFill="accent6" w:themeFillTint="66"/>
            <w:noWrap/>
            <w:vAlign w:val="bottom"/>
            <w:hideMark/>
          </w:tcPr>
          <w:p w14:paraId="721025A7" w14:textId="0BC339F3" w:rsidR="00285C63" w:rsidRPr="004E74A6" w:rsidRDefault="00285C63" w:rsidP="00CE62C1">
            <w:pPr>
              <w:spacing w:line="276" w:lineRule="auto"/>
              <w:jc w:val="center"/>
              <w:rPr>
                <w:rFonts w:cs="Calibri"/>
                <w:color w:val="000000"/>
                <w:sz w:val="20"/>
                <w:lang w:eastAsia="es-CR"/>
              </w:rPr>
            </w:pPr>
            <w:r w:rsidRPr="004E74A6">
              <w:rPr>
                <w:rFonts w:cs="Calibri"/>
                <w:color w:val="000000"/>
                <w:sz w:val="20"/>
              </w:rPr>
              <w:t>3,7</w:t>
            </w:r>
          </w:p>
        </w:tc>
        <w:tc>
          <w:tcPr>
            <w:tcW w:w="1337" w:type="pct"/>
            <w:tcBorders>
              <w:top w:val="nil"/>
              <w:left w:val="single" w:sz="4" w:space="0" w:color="auto"/>
              <w:bottom w:val="nil"/>
              <w:right w:val="nil"/>
            </w:tcBorders>
            <w:shd w:val="clear" w:color="auto" w:fill="C5E0B3" w:themeFill="accent6" w:themeFillTint="66"/>
            <w:vAlign w:val="bottom"/>
          </w:tcPr>
          <w:p w14:paraId="1A77047B" w14:textId="3C07115B" w:rsidR="00285C63" w:rsidRPr="004E74A6" w:rsidRDefault="00285C63" w:rsidP="00CE62C1">
            <w:pPr>
              <w:spacing w:line="276" w:lineRule="auto"/>
              <w:jc w:val="center"/>
              <w:rPr>
                <w:rFonts w:cs="Calibri"/>
                <w:color w:val="000000"/>
                <w:sz w:val="20"/>
              </w:rPr>
            </w:pPr>
            <w:r w:rsidRPr="004E74A6">
              <w:rPr>
                <w:rFonts w:cs="Calibri"/>
                <w:color w:val="000000"/>
                <w:sz w:val="20"/>
              </w:rPr>
              <w:t>15%</w:t>
            </w:r>
          </w:p>
        </w:tc>
      </w:tr>
      <w:tr w:rsidR="00285C63" w:rsidRPr="004E74A6" w14:paraId="40EFFA53" w14:textId="7F23BCB1" w:rsidTr="00817DA8">
        <w:trPr>
          <w:trHeight w:val="288"/>
          <w:jc w:val="center"/>
        </w:trPr>
        <w:tc>
          <w:tcPr>
            <w:tcW w:w="1597" w:type="pct"/>
            <w:tcBorders>
              <w:top w:val="nil"/>
              <w:left w:val="nil"/>
              <w:bottom w:val="nil"/>
              <w:right w:val="single" w:sz="4" w:space="0" w:color="auto"/>
            </w:tcBorders>
            <w:shd w:val="clear" w:color="auto" w:fill="C5E0B3" w:themeFill="accent6" w:themeFillTint="66"/>
            <w:noWrap/>
            <w:vAlign w:val="bottom"/>
            <w:hideMark/>
          </w:tcPr>
          <w:p w14:paraId="30EF02A0" w14:textId="77777777" w:rsidR="00285C63" w:rsidRPr="00832773" w:rsidRDefault="00285C63" w:rsidP="00CE62C1">
            <w:pPr>
              <w:spacing w:line="276" w:lineRule="auto"/>
              <w:jc w:val="left"/>
              <w:rPr>
                <w:rFonts w:cs="Calibri"/>
                <w:b/>
                <w:bCs/>
                <w:color w:val="000000"/>
                <w:sz w:val="20"/>
                <w:lang w:eastAsia="es-CR"/>
              </w:rPr>
            </w:pPr>
            <w:r w:rsidRPr="00832773">
              <w:rPr>
                <w:rFonts w:cs="Calibri"/>
                <w:b/>
                <w:bCs/>
                <w:color w:val="000000"/>
                <w:sz w:val="20"/>
                <w:lang w:eastAsia="es-CR"/>
              </w:rPr>
              <w:t>De ¢4.000.001 A ¢5.000.000</w:t>
            </w:r>
          </w:p>
        </w:tc>
        <w:tc>
          <w:tcPr>
            <w:tcW w:w="477" w:type="pct"/>
            <w:tcBorders>
              <w:top w:val="nil"/>
              <w:left w:val="single" w:sz="4" w:space="0" w:color="auto"/>
              <w:bottom w:val="nil"/>
              <w:right w:val="single" w:sz="4" w:space="0" w:color="auto"/>
            </w:tcBorders>
            <w:shd w:val="clear" w:color="auto" w:fill="C5E0B3" w:themeFill="accent6" w:themeFillTint="66"/>
            <w:noWrap/>
            <w:vAlign w:val="center"/>
            <w:hideMark/>
          </w:tcPr>
          <w:p w14:paraId="5C446F18" w14:textId="2B97BD2F" w:rsidR="00285C63" w:rsidRPr="00832773" w:rsidRDefault="00285C63" w:rsidP="00CE62C1">
            <w:pPr>
              <w:spacing w:line="276" w:lineRule="auto"/>
              <w:jc w:val="center"/>
              <w:rPr>
                <w:rFonts w:cs="Calibri"/>
                <w:b/>
                <w:bCs/>
                <w:color w:val="000000"/>
                <w:sz w:val="20"/>
                <w:lang w:eastAsia="es-CR"/>
              </w:rPr>
            </w:pPr>
            <w:r w:rsidRPr="00832773">
              <w:rPr>
                <w:rFonts w:cs="Calibri"/>
                <w:b/>
                <w:bCs/>
                <w:color w:val="000000"/>
                <w:sz w:val="20"/>
              </w:rPr>
              <w:t>3</w:t>
            </w:r>
          </w:p>
        </w:tc>
        <w:tc>
          <w:tcPr>
            <w:tcW w:w="475" w:type="pct"/>
            <w:tcBorders>
              <w:top w:val="nil"/>
              <w:left w:val="single" w:sz="4" w:space="0" w:color="auto"/>
              <w:bottom w:val="nil"/>
              <w:right w:val="single" w:sz="4" w:space="0" w:color="auto"/>
            </w:tcBorders>
            <w:shd w:val="clear" w:color="auto" w:fill="C5E0B3" w:themeFill="accent6" w:themeFillTint="66"/>
            <w:noWrap/>
            <w:vAlign w:val="center"/>
            <w:hideMark/>
          </w:tcPr>
          <w:p w14:paraId="4866C3AF" w14:textId="2436D200" w:rsidR="00285C63" w:rsidRPr="00832773" w:rsidRDefault="00285C63" w:rsidP="00CE62C1">
            <w:pPr>
              <w:spacing w:line="276" w:lineRule="auto"/>
              <w:jc w:val="center"/>
              <w:rPr>
                <w:rFonts w:cs="Calibri"/>
                <w:b/>
                <w:bCs/>
                <w:color w:val="000000"/>
                <w:sz w:val="20"/>
                <w:lang w:eastAsia="es-CR"/>
              </w:rPr>
            </w:pPr>
            <w:r w:rsidRPr="00832773">
              <w:rPr>
                <w:rFonts w:cs="Calibri"/>
                <w:b/>
                <w:bCs/>
                <w:color w:val="000000"/>
                <w:sz w:val="20"/>
              </w:rPr>
              <w:t>5</w:t>
            </w:r>
          </w:p>
        </w:tc>
        <w:tc>
          <w:tcPr>
            <w:tcW w:w="475" w:type="pct"/>
            <w:tcBorders>
              <w:top w:val="nil"/>
              <w:left w:val="single" w:sz="4" w:space="0" w:color="auto"/>
              <w:bottom w:val="nil"/>
              <w:right w:val="single" w:sz="4" w:space="0" w:color="auto"/>
            </w:tcBorders>
            <w:shd w:val="clear" w:color="auto" w:fill="C5E0B3" w:themeFill="accent6" w:themeFillTint="66"/>
            <w:noWrap/>
            <w:vAlign w:val="center"/>
            <w:hideMark/>
          </w:tcPr>
          <w:p w14:paraId="296DF3DB" w14:textId="6803FBBF" w:rsidR="00285C63" w:rsidRPr="00832773" w:rsidRDefault="00285C63" w:rsidP="00CE62C1">
            <w:pPr>
              <w:spacing w:line="276" w:lineRule="auto"/>
              <w:jc w:val="center"/>
              <w:rPr>
                <w:rFonts w:cs="Calibri"/>
                <w:b/>
                <w:bCs/>
                <w:color w:val="000000"/>
                <w:sz w:val="20"/>
                <w:lang w:eastAsia="es-CR"/>
              </w:rPr>
            </w:pPr>
            <w:r w:rsidRPr="00832773">
              <w:rPr>
                <w:rFonts w:cs="Calibri"/>
                <w:b/>
                <w:bCs/>
                <w:color w:val="000000"/>
                <w:sz w:val="20"/>
              </w:rPr>
              <w:t>5</w:t>
            </w:r>
          </w:p>
        </w:tc>
        <w:tc>
          <w:tcPr>
            <w:tcW w:w="639" w:type="pct"/>
            <w:tcBorders>
              <w:top w:val="nil"/>
              <w:left w:val="single" w:sz="4" w:space="0" w:color="auto"/>
              <w:bottom w:val="nil"/>
              <w:right w:val="nil"/>
            </w:tcBorders>
            <w:shd w:val="clear" w:color="auto" w:fill="C5E0B3" w:themeFill="accent6" w:themeFillTint="66"/>
            <w:noWrap/>
            <w:vAlign w:val="bottom"/>
            <w:hideMark/>
          </w:tcPr>
          <w:p w14:paraId="7A30E5E2" w14:textId="07230A57" w:rsidR="00285C63" w:rsidRPr="00832773" w:rsidRDefault="00285C63" w:rsidP="00CE62C1">
            <w:pPr>
              <w:spacing w:line="276" w:lineRule="auto"/>
              <w:jc w:val="center"/>
              <w:rPr>
                <w:rFonts w:cs="Calibri"/>
                <w:b/>
                <w:bCs/>
                <w:color w:val="000000"/>
                <w:sz w:val="20"/>
                <w:lang w:eastAsia="es-CR"/>
              </w:rPr>
            </w:pPr>
            <w:r w:rsidRPr="00832773">
              <w:rPr>
                <w:rFonts w:cs="Calibri"/>
                <w:b/>
                <w:bCs/>
                <w:color w:val="000000"/>
                <w:sz w:val="20"/>
              </w:rPr>
              <w:t>4,3</w:t>
            </w:r>
          </w:p>
        </w:tc>
        <w:tc>
          <w:tcPr>
            <w:tcW w:w="1337" w:type="pct"/>
            <w:tcBorders>
              <w:top w:val="nil"/>
              <w:left w:val="single" w:sz="4" w:space="0" w:color="auto"/>
              <w:bottom w:val="nil"/>
              <w:right w:val="nil"/>
            </w:tcBorders>
            <w:shd w:val="clear" w:color="auto" w:fill="C5E0B3" w:themeFill="accent6" w:themeFillTint="66"/>
            <w:vAlign w:val="bottom"/>
          </w:tcPr>
          <w:p w14:paraId="190AC77E" w14:textId="7631AACB" w:rsidR="00285C63" w:rsidRPr="00832773" w:rsidRDefault="00285C63" w:rsidP="00CE62C1">
            <w:pPr>
              <w:spacing w:line="276" w:lineRule="auto"/>
              <w:jc w:val="center"/>
              <w:rPr>
                <w:rFonts w:cs="Calibri"/>
                <w:b/>
                <w:bCs/>
                <w:color w:val="000000"/>
                <w:sz w:val="20"/>
              </w:rPr>
            </w:pPr>
            <w:r w:rsidRPr="00832773">
              <w:rPr>
                <w:rFonts w:cs="Calibri"/>
                <w:b/>
                <w:bCs/>
                <w:color w:val="000000"/>
                <w:sz w:val="20"/>
              </w:rPr>
              <w:t>24%</w:t>
            </w:r>
          </w:p>
        </w:tc>
      </w:tr>
      <w:tr w:rsidR="00285C63" w:rsidRPr="004E74A6" w14:paraId="54EDFE85" w14:textId="6F59124F" w:rsidTr="00817DA8">
        <w:trPr>
          <w:trHeight w:val="288"/>
          <w:jc w:val="center"/>
        </w:trPr>
        <w:tc>
          <w:tcPr>
            <w:tcW w:w="1597" w:type="pct"/>
            <w:tcBorders>
              <w:top w:val="nil"/>
              <w:left w:val="nil"/>
              <w:bottom w:val="nil"/>
              <w:right w:val="single" w:sz="4" w:space="0" w:color="auto"/>
            </w:tcBorders>
            <w:shd w:val="clear" w:color="auto" w:fill="C5E0B3" w:themeFill="accent6" w:themeFillTint="66"/>
            <w:noWrap/>
            <w:vAlign w:val="bottom"/>
            <w:hideMark/>
          </w:tcPr>
          <w:p w14:paraId="5163194B" w14:textId="77777777" w:rsidR="00285C63" w:rsidRPr="004E74A6" w:rsidRDefault="00285C63" w:rsidP="00CE62C1">
            <w:pPr>
              <w:spacing w:line="276" w:lineRule="auto"/>
              <w:jc w:val="left"/>
              <w:rPr>
                <w:rFonts w:cs="Calibri"/>
                <w:color w:val="000000"/>
                <w:sz w:val="20"/>
                <w:lang w:eastAsia="es-CR"/>
              </w:rPr>
            </w:pPr>
            <w:r w:rsidRPr="004E74A6">
              <w:rPr>
                <w:rFonts w:cs="Calibri"/>
                <w:color w:val="000000"/>
                <w:sz w:val="20"/>
                <w:lang w:eastAsia="es-CR"/>
              </w:rPr>
              <w:t>De ¢5.000.001 A ¢6.000.000</w:t>
            </w:r>
          </w:p>
        </w:tc>
        <w:tc>
          <w:tcPr>
            <w:tcW w:w="477" w:type="pct"/>
            <w:tcBorders>
              <w:top w:val="nil"/>
              <w:left w:val="single" w:sz="4" w:space="0" w:color="auto"/>
              <w:bottom w:val="nil"/>
              <w:right w:val="single" w:sz="4" w:space="0" w:color="auto"/>
            </w:tcBorders>
            <w:shd w:val="clear" w:color="auto" w:fill="C5E0B3" w:themeFill="accent6" w:themeFillTint="66"/>
            <w:noWrap/>
            <w:vAlign w:val="center"/>
            <w:hideMark/>
          </w:tcPr>
          <w:p w14:paraId="61CE3599" w14:textId="3730D9B6" w:rsidR="00285C63" w:rsidRPr="004E74A6" w:rsidRDefault="00285C63" w:rsidP="00CE62C1">
            <w:pPr>
              <w:spacing w:line="276" w:lineRule="auto"/>
              <w:jc w:val="center"/>
              <w:rPr>
                <w:rFonts w:cs="Calibri"/>
                <w:color w:val="000000"/>
                <w:sz w:val="20"/>
                <w:lang w:eastAsia="es-CR"/>
              </w:rPr>
            </w:pPr>
            <w:r w:rsidRPr="004E74A6">
              <w:rPr>
                <w:rFonts w:cs="Calibri"/>
                <w:color w:val="000000"/>
                <w:sz w:val="20"/>
              </w:rPr>
              <w:t>1</w:t>
            </w:r>
          </w:p>
        </w:tc>
        <w:tc>
          <w:tcPr>
            <w:tcW w:w="475" w:type="pct"/>
            <w:tcBorders>
              <w:top w:val="nil"/>
              <w:left w:val="single" w:sz="4" w:space="0" w:color="auto"/>
              <w:bottom w:val="nil"/>
              <w:right w:val="single" w:sz="4" w:space="0" w:color="auto"/>
            </w:tcBorders>
            <w:shd w:val="clear" w:color="auto" w:fill="C5E0B3" w:themeFill="accent6" w:themeFillTint="66"/>
            <w:noWrap/>
            <w:vAlign w:val="center"/>
            <w:hideMark/>
          </w:tcPr>
          <w:p w14:paraId="3EEB293D" w14:textId="3975721C" w:rsidR="00285C63" w:rsidRPr="004E74A6" w:rsidRDefault="00285C63" w:rsidP="00CE62C1">
            <w:pPr>
              <w:spacing w:line="276" w:lineRule="auto"/>
              <w:jc w:val="center"/>
              <w:rPr>
                <w:rFonts w:cs="Calibri"/>
                <w:color w:val="000000"/>
                <w:sz w:val="20"/>
                <w:lang w:eastAsia="es-CR"/>
              </w:rPr>
            </w:pPr>
            <w:r w:rsidRPr="004E74A6">
              <w:rPr>
                <w:rFonts w:cs="Calibri"/>
                <w:color w:val="000000"/>
                <w:sz w:val="20"/>
              </w:rPr>
              <w:t>1</w:t>
            </w:r>
          </w:p>
        </w:tc>
        <w:tc>
          <w:tcPr>
            <w:tcW w:w="475" w:type="pct"/>
            <w:tcBorders>
              <w:top w:val="nil"/>
              <w:left w:val="single" w:sz="4" w:space="0" w:color="auto"/>
              <w:bottom w:val="nil"/>
              <w:right w:val="single" w:sz="4" w:space="0" w:color="auto"/>
            </w:tcBorders>
            <w:shd w:val="clear" w:color="auto" w:fill="C5E0B3" w:themeFill="accent6" w:themeFillTint="66"/>
            <w:noWrap/>
            <w:vAlign w:val="center"/>
            <w:hideMark/>
          </w:tcPr>
          <w:p w14:paraId="5E99F043" w14:textId="558743DE" w:rsidR="00285C63" w:rsidRPr="004E74A6" w:rsidRDefault="00285C63" w:rsidP="00CE62C1">
            <w:pPr>
              <w:spacing w:line="276" w:lineRule="auto"/>
              <w:jc w:val="center"/>
              <w:rPr>
                <w:rFonts w:cs="Calibri"/>
                <w:color w:val="000000"/>
                <w:sz w:val="20"/>
                <w:lang w:eastAsia="es-CR"/>
              </w:rPr>
            </w:pPr>
            <w:r w:rsidRPr="004E74A6">
              <w:rPr>
                <w:rFonts w:cs="Calibri"/>
                <w:color w:val="000000"/>
                <w:sz w:val="20"/>
              </w:rPr>
              <w:t>5</w:t>
            </w:r>
          </w:p>
        </w:tc>
        <w:tc>
          <w:tcPr>
            <w:tcW w:w="639" w:type="pct"/>
            <w:tcBorders>
              <w:top w:val="nil"/>
              <w:left w:val="single" w:sz="4" w:space="0" w:color="auto"/>
              <w:bottom w:val="nil"/>
              <w:right w:val="nil"/>
            </w:tcBorders>
            <w:shd w:val="clear" w:color="auto" w:fill="C5E0B3" w:themeFill="accent6" w:themeFillTint="66"/>
            <w:noWrap/>
            <w:vAlign w:val="bottom"/>
            <w:hideMark/>
          </w:tcPr>
          <w:p w14:paraId="52A311C8" w14:textId="56CDADC0" w:rsidR="00285C63" w:rsidRPr="004E74A6" w:rsidRDefault="00285C63" w:rsidP="00CE62C1">
            <w:pPr>
              <w:spacing w:line="276" w:lineRule="auto"/>
              <w:jc w:val="center"/>
              <w:rPr>
                <w:rFonts w:cs="Calibri"/>
                <w:color w:val="000000"/>
                <w:sz w:val="20"/>
                <w:lang w:eastAsia="es-CR"/>
              </w:rPr>
            </w:pPr>
            <w:r w:rsidRPr="004E74A6">
              <w:rPr>
                <w:rFonts w:cs="Calibri"/>
                <w:color w:val="000000"/>
                <w:sz w:val="20"/>
              </w:rPr>
              <w:t>2,3</w:t>
            </w:r>
          </w:p>
        </w:tc>
        <w:tc>
          <w:tcPr>
            <w:tcW w:w="1337" w:type="pct"/>
            <w:tcBorders>
              <w:top w:val="nil"/>
              <w:left w:val="single" w:sz="4" w:space="0" w:color="auto"/>
              <w:bottom w:val="nil"/>
              <w:right w:val="nil"/>
            </w:tcBorders>
            <w:shd w:val="clear" w:color="auto" w:fill="C5E0B3" w:themeFill="accent6" w:themeFillTint="66"/>
            <w:vAlign w:val="bottom"/>
          </w:tcPr>
          <w:p w14:paraId="472065C6" w14:textId="6A722CAC" w:rsidR="00285C63" w:rsidRPr="004E74A6" w:rsidRDefault="00285C63" w:rsidP="00CE62C1">
            <w:pPr>
              <w:spacing w:line="276" w:lineRule="auto"/>
              <w:jc w:val="center"/>
              <w:rPr>
                <w:rFonts w:cs="Calibri"/>
                <w:color w:val="000000"/>
                <w:sz w:val="20"/>
              </w:rPr>
            </w:pPr>
            <w:r w:rsidRPr="004E74A6">
              <w:rPr>
                <w:rFonts w:cs="Calibri"/>
                <w:color w:val="000000"/>
                <w:sz w:val="20"/>
              </w:rPr>
              <w:t>30%</w:t>
            </w:r>
          </w:p>
        </w:tc>
      </w:tr>
      <w:tr w:rsidR="00285C63" w:rsidRPr="004E74A6" w14:paraId="079569B8" w14:textId="0E48F54C" w:rsidTr="00817DA8">
        <w:trPr>
          <w:trHeight w:val="288"/>
          <w:jc w:val="center"/>
        </w:trPr>
        <w:tc>
          <w:tcPr>
            <w:tcW w:w="1597" w:type="pct"/>
            <w:tcBorders>
              <w:top w:val="nil"/>
              <w:left w:val="nil"/>
              <w:bottom w:val="nil"/>
              <w:right w:val="single" w:sz="4" w:space="0" w:color="auto"/>
            </w:tcBorders>
            <w:shd w:val="clear" w:color="auto" w:fill="C5E0B3" w:themeFill="accent6" w:themeFillTint="66"/>
            <w:noWrap/>
            <w:vAlign w:val="bottom"/>
            <w:hideMark/>
          </w:tcPr>
          <w:p w14:paraId="494A1E7D" w14:textId="77777777" w:rsidR="00285C63" w:rsidRPr="004E74A6" w:rsidRDefault="00285C63" w:rsidP="00CE62C1">
            <w:pPr>
              <w:spacing w:line="276" w:lineRule="auto"/>
              <w:jc w:val="left"/>
              <w:rPr>
                <w:rFonts w:cs="Calibri"/>
                <w:color w:val="000000"/>
                <w:sz w:val="20"/>
                <w:lang w:eastAsia="es-CR"/>
              </w:rPr>
            </w:pPr>
            <w:r w:rsidRPr="004E74A6">
              <w:rPr>
                <w:rFonts w:cs="Calibri"/>
                <w:color w:val="000000"/>
                <w:sz w:val="20"/>
                <w:lang w:eastAsia="es-CR"/>
              </w:rPr>
              <w:t>De ¢6.000.001 A ¢7.000.000</w:t>
            </w:r>
          </w:p>
        </w:tc>
        <w:tc>
          <w:tcPr>
            <w:tcW w:w="477" w:type="pct"/>
            <w:tcBorders>
              <w:top w:val="nil"/>
              <w:left w:val="single" w:sz="4" w:space="0" w:color="auto"/>
              <w:bottom w:val="nil"/>
              <w:right w:val="single" w:sz="4" w:space="0" w:color="auto"/>
            </w:tcBorders>
            <w:shd w:val="clear" w:color="auto" w:fill="C5E0B3" w:themeFill="accent6" w:themeFillTint="66"/>
            <w:noWrap/>
            <w:vAlign w:val="center"/>
            <w:hideMark/>
          </w:tcPr>
          <w:p w14:paraId="3B808A03" w14:textId="2B8F7DB0" w:rsidR="00285C63" w:rsidRPr="004E74A6" w:rsidRDefault="00285C63" w:rsidP="00CE62C1">
            <w:pPr>
              <w:spacing w:line="276" w:lineRule="auto"/>
              <w:jc w:val="center"/>
              <w:rPr>
                <w:rFonts w:cs="Calibri"/>
                <w:color w:val="000000"/>
                <w:sz w:val="20"/>
                <w:lang w:eastAsia="es-CR"/>
              </w:rPr>
            </w:pPr>
            <w:r w:rsidRPr="004E74A6">
              <w:rPr>
                <w:rFonts w:cs="Calibri"/>
                <w:color w:val="000000"/>
                <w:sz w:val="20"/>
              </w:rPr>
              <w:t>0</w:t>
            </w:r>
          </w:p>
        </w:tc>
        <w:tc>
          <w:tcPr>
            <w:tcW w:w="475" w:type="pct"/>
            <w:tcBorders>
              <w:top w:val="nil"/>
              <w:left w:val="single" w:sz="4" w:space="0" w:color="auto"/>
              <w:bottom w:val="nil"/>
              <w:right w:val="single" w:sz="4" w:space="0" w:color="auto"/>
            </w:tcBorders>
            <w:shd w:val="clear" w:color="auto" w:fill="C5E0B3" w:themeFill="accent6" w:themeFillTint="66"/>
            <w:noWrap/>
            <w:vAlign w:val="center"/>
            <w:hideMark/>
          </w:tcPr>
          <w:p w14:paraId="4D3B5E72" w14:textId="2BDED700" w:rsidR="00285C63" w:rsidRPr="004E74A6" w:rsidRDefault="00285C63" w:rsidP="00CE62C1">
            <w:pPr>
              <w:spacing w:line="276" w:lineRule="auto"/>
              <w:jc w:val="center"/>
              <w:rPr>
                <w:rFonts w:cs="Calibri"/>
                <w:color w:val="000000"/>
                <w:sz w:val="20"/>
                <w:lang w:eastAsia="es-CR"/>
              </w:rPr>
            </w:pPr>
            <w:r w:rsidRPr="004E74A6">
              <w:rPr>
                <w:rFonts w:cs="Calibri"/>
                <w:color w:val="000000"/>
                <w:sz w:val="20"/>
              </w:rPr>
              <w:t>1</w:t>
            </w:r>
          </w:p>
        </w:tc>
        <w:tc>
          <w:tcPr>
            <w:tcW w:w="475" w:type="pct"/>
            <w:tcBorders>
              <w:top w:val="nil"/>
              <w:left w:val="single" w:sz="4" w:space="0" w:color="auto"/>
              <w:bottom w:val="nil"/>
              <w:right w:val="single" w:sz="4" w:space="0" w:color="auto"/>
            </w:tcBorders>
            <w:shd w:val="clear" w:color="auto" w:fill="C5E0B3" w:themeFill="accent6" w:themeFillTint="66"/>
            <w:noWrap/>
            <w:vAlign w:val="center"/>
            <w:hideMark/>
          </w:tcPr>
          <w:p w14:paraId="79A30E95" w14:textId="3313B811" w:rsidR="00285C63" w:rsidRPr="004E74A6" w:rsidRDefault="00285C63" w:rsidP="00CE62C1">
            <w:pPr>
              <w:spacing w:line="276" w:lineRule="auto"/>
              <w:jc w:val="center"/>
              <w:rPr>
                <w:rFonts w:cs="Calibri"/>
                <w:color w:val="000000"/>
                <w:sz w:val="20"/>
                <w:lang w:eastAsia="es-CR"/>
              </w:rPr>
            </w:pPr>
            <w:r w:rsidRPr="004E74A6">
              <w:rPr>
                <w:rFonts w:cs="Calibri"/>
                <w:color w:val="000000"/>
                <w:sz w:val="20"/>
              </w:rPr>
              <w:t>4</w:t>
            </w:r>
          </w:p>
        </w:tc>
        <w:tc>
          <w:tcPr>
            <w:tcW w:w="639" w:type="pct"/>
            <w:tcBorders>
              <w:top w:val="nil"/>
              <w:left w:val="single" w:sz="4" w:space="0" w:color="auto"/>
              <w:bottom w:val="nil"/>
              <w:right w:val="nil"/>
            </w:tcBorders>
            <w:shd w:val="clear" w:color="auto" w:fill="C5E0B3" w:themeFill="accent6" w:themeFillTint="66"/>
            <w:noWrap/>
            <w:vAlign w:val="bottom"/>
            <w:hideMark/>
          </w:tcPr>
          <w:p w14:paraId="7F735BCB" w14:textId="2AC6897F" w:rsidR="00285C63" w:rsidRPr="004E74A6" w:rsidRDefault="00285C63" w:rsidP="00CE62C1">
            <w:pPr>
              <w:spacing w:line="276" w:lineRule="auto"/>
              <w:jc w:val="center"/>
              <w:rPr>
                <w:rFonts w:cs="Calibri"/>
                <w:color w:val="000000"/>
                <w:sz w:val="20"/>
                <w:lang w:eastAsia="es-CR"/>
              </w:rPr>
            </w:pPr>
            <w:r w:rsidRPr="004E74A6">
              <w:rPr>
                <w:rFonts w:cs="Calibri"/>
                <w:color w:val="000000"/>
                <w:sz w:val="20"/>
              </w:rPr>
              <w:t>1,7</w:t>
            </w:r>
          </w:p>
        </w:tc>
        <w:tc>
          <w:tcPr>
            <w:tcW w:w="1337" w:type="pct"/>
            <w:tcBorders>
              <w:top w:val="nil"/>
              <w:left w:val="single" w:sz="4" w:space="0" w:color="auto"/>
              <w:bottom w:val="nil"/>
              <w:right w:val="nil"/>
            </w:tcBorders>
            <w:shd w:val="clear" w:color="auto" w:fill="C5E0B3" w:themeFill="accent6" w:themeFillTint="66"/>
            <w:vAlign w:val="bottom"/>
          </w:tcPr>
          <w:p w14:paraId="1FF70B46" w14:textId="3928B74C" w:rsidR="00285C63" w:rsidRPr="004E74A6" w:rsidRDefault="00285C63" w:rsidP="00CE62C1">
            <w:pPr>
              <w:spacing w:line="276" w:lineRule="auto"/>
              <w:jc w:val="center"/>
              <w:rPr>
                <w:rFonts w:cs="Calibri"/>
                <w:color w:val="000000"/>
                <w:sz w:val="20"/>
              </w:rPr>
            </w:pPr>
            <w:r w:rsidRPr="004E74A6">
              <w:rPr>
                <w:rFonts w:cs="Calibri"/>
                <w:color w:val="000000"/>
                <w:sz w:val="20"/>
              </w:rPr>
              <w:t>34%</w:t>
            </w:r>
          </w:p>
        </w:tc>
      </w:tr>
      <w:tr w:rsidR="00285C63" w:rsidRPr="004E74A6" w14:paraId="1557D91A" w14:textId="2EFA515C" w:rsidTr="00817DA8">
        <w:trPr>
          <w:trHeight w:val="288"/>
          <w:jc w:val="center"/>
        </w:trPr>
        <w:tc>
          <w:tcPr>
            <w:tcW w:w="1597" w:type="pct"/>
            <w:tcBorders>
              <w:top w:val="nil"/>
              <w:left w:val="nil"/>
              <w:bottom w:val="nil"/>
              <w:right w:val="single" w:sz="4" w:space="0" w:color="auto"/>
            </w:tcBorders>
            <w:shd w:val="clear" w:color="auto" w:fill="C5E0B3" w:themeFill="accent6" w:themeFillTint="66"/>
            <w:noWrap/>
            <w:vAlign w:val="bottom"/>
            <w:hideMark/>
          </w:tcPr>
          <w:p w14:paraId="0A056BC6" w14:textId="77777777" w:rsidR="00285C63" w:rsidRPr="004E74A6" w:rsidRDefault="00285C63" w:rsidP="00CE62C1">
            <w:pPr>
              <w:spacing w:line="276" w:lineRule="auto"/>
              <w:jc w:val="left"/>
              <w:rPr>
                <w:rFonts w:cs="Calibri"/>
                <w:color w:val="000000"/>
                <w:sz w:val="20"/>
                <w:lang w:eastAsia="es-CR"/>
              </w:rPr>
            </w:pPr>
            <w:r w:rsidRPr="004E74A6">
              <w:rPr>
                <w:rFonts w:cs="Calibri"/>
                <w:color w:val="000000"/>
                <w:sz w:val="20"/>
                <w:lang w:eastAsia="es-CR"/>
              </w:rPr>
              <w:t>De ¢7.000.001 A ¢8.000.000</w:t>
            </w:r>
          </w:p>
        </w:tc>
        <w:tc>
          <w:tcPr>
            <w:tcW w:w="477" w:type="pct"/>
            <w:tcBorders>
              <w:top w:val="nil"/>
              <w:left w:val="single" w:sz="4" w:space="0" w:color="auto"/>
              <w:bottom w:val="nil"/>
              <w:right w:val="single" w:sz="4" w:space="0" w:color="auto"/>
            </w:tcBorders>
            <w:shd w:val="clear" w:color="auto" w:fill="C5E0B3" w:themeFill="accent6" w:themeFillTint="66"/>
            <w:noWrap/>
            <w:vAlign w:val="center"/>
            <w:hideMark/>
          </w:tcPr>
          <w:p w14:paraId="0D0439B0" w14:textId="1D959991" w:rsidR="00285C63" w:rsidRPr="004E74A6" w:rsidRDefault="00285C63" w:rsidP="00CE62C1">
            <w:pPr>
              <w:spacing w:line="276" w:lineRule="auto"/>
              <w:jc w:val="center"/>
              <w:rPr>
                <w:rFonts w:cs="Calibri"/>
                <w:color w:val="000000"/>
                <w:sz w:val="20"/>
                <w:lang w:eastAsia="es-CR"/>
              </w:rPr>
            </w:pPr>
            <w:r w:rsidRPr="004E74A6">
              <w:rPr>
                <w:rFonts w:cs="Calibri"/>
                <w:color w:val="000000"/>
                <w:sz w:val="20"/>
              </w:rPr>
              <w:t>0</w:t>
            </w:r>
          </w:p>
        </w:tc>
        <w:tc>
          <w:tcPr>
            <w:tcW w:w="475" w:type="pct"/>
            <w:tcBorders>
              <w:top w:val="nil"/>
              <w:left w:val="single" w:sz="4" w:space="0" w:color="auto"/>
              <w:bottom w:val="nil"/>
              <w:right w:val="single" w:sz="4" w:space="0" w:color="auto"/>
            </w:tcBorders>
            <w:shd w:val="clear" w:color="auto" w:fill="C5E0B3" w:themeFill="accent6" w:themeFillTint="66"/>
            <w:noWrap/>
            <w:vAlign w:val="center"/>
            <w:hideMark/>
          </w:tcPr>
          <w:p w14:paraId="7625D599" w14:textId="67E52EBB" w:rsidR="00285C63" w:rsidRPr="004E74A6" w:rsidRDefault="00285C63" w:rsidP="00CE62C1">
            <w:pPr>
              <w:spacing w:line="276" w:lineRule="auto"/>
              <w:jc w:val="center"/>
              <w:rPr>
                <w:rFonts w:cs="Calibri"/>
                <w:color w:val="000000"/>
                <w:sz w:val="20"/>
                <w:lang w:eastAsia="es-CR"/>
              </w:rPr>
            </w:pPr>
            <w:r w:rsidRPr="004E74A6">
              <w:rPr>
                <w:rFonts w:cs="Calibri"/>
                <w:color w:val="000000"/>
                <w:sz w:val="20"/>
              </w:rPr>
              <w:t>4</w:t>
            </w:r>
          </w:p>
        </w:tc>
        <w:tc>
          <w:tcPr>
            <w:tcW w:w="475" w:type="pct"/>
            <w:tcBorders>
              <w:top w:val="nil"/>
              <w:left w:val="single" w:sz="4" w:space="0" w:color="auto"/>
              <w:bottom w:val="nil"/>
              <w:right w:val="single" w:sz="4" w:space="0" w:color="auto"/>
            </w:tcBorders>
            <w:shd w:val="clear" w:color="auto" w:fill="C5E0B3" w:themeFill="accent6" w:themeFillTint="66"/>
            <w:noWrap/>
            <w:vAlign w:val="center"/>
            <w:hideMark/>
          </w:tcPr>
          <w:p w14:paraId="2480456C" w14:textId="27799FC0" w:rsidR="00285C63" w:rsidRPr="004E74A6" w:rsidRDefault="00285C63" w:rsidP="00CE62C1">
            <w:pPr>
              <w:spacing w:line="276" w:lineRule="auto"/>
              <w:jc w:val="center"/>
              <w:rPr>
                <w:rFonts w:cs="Calibri"/>
                <w:color w:val="000000"/>
                <w:sz w:val="20"/>
                <w:lang w:eastAsia="es-CR"/>
              </w:rPr>
            </w:pPr>
            <w:r w:rsidRPr="004E74A6">
              <w:rPr>
                <w:rFonts w:cs="Calibri"/>
                <w:color w:val="000000"/>
                <w:sz w:val="20"/>
              </w:rPr>
              <w:t>3</w:t>
            </w:r>
          </w:p>
        </w:tc>
        <w:tc>
          <w:tcPr>
            <w:tcW w:w="639" w:type="pct"/>
            <w:tcBorders>
              <w:top w:val="nil"/>
              <w:left w:val="single" w:sz="4" w:space="0" w:color="auto"/>
              <w:bottom w:val="nil"/>
              <w:right w:val="nil"/>
            </w:tcBorders>
            <w:shd w:val="clear" w:color="auto" w:fill="C5E0B3" w:themeFill="accent6" w:themeFillTint="66"/>
            <w:noWrap/>
            <w:vAlign w:val="bottom"/>
            <w:hideMark/>
          </w:tcPr>
          <w:p w14:paraId="67F3F701" w14:textId="0F7B1B04" w:rsidR="00285C63" w:rsidRPr="004E74A6" w:rsidRDefault="00285C63" w:rsidP="00CE62C1">
            <w:pPr>
              <w:spacing w:line="276" w:lineRule="auto"/>
              <w:jc w:val="center"/>
              <w:rPr>
                <w:rFonts w:cs="Calibri"/>
                <w:color w:val="000000"/>
                <w:sz w:val="20"/>
                <w:lang w:eastAsia="es-CR"/>
              </w:rPr>
            </w:pPr>
            <w:r w:rsidRPr="004E74A6">
              <w:rPr>
                <w:rFonts w:cs="Calibri"/>
                <w:color w:val="000000"/>
                <w:sz w:val="20"/>
              </w:rPr>
              <w:t>2,3</w:t>
            </w:r>
          </w:p>
        </w:tc>
        <w:tc>
          <w:tcPr>
            <w:tcW w:w="1337" w:type="pct"/>
            <w:tcBorders>
              <w:top w:val="nil"/>
              <w:left w:val="single" w:sz="4" w:space="0" w:color="auto"/>
              <w:bottom w:val="nil"/>
              <w:right w:val="nil"/>
            </w:tcBorders>
            <w:shd w:val="clear" w:color="auto" w:fill="C5E0B3" w:themeFill="accent6" w:themeFillTint="66"/>
            <w:vAlign w:val="bottom"/>
          </w:tcPr>
          <w:p w14:paraId="540FF68F" w14:textId="6A0CBF44" w:rsidR="00285C63" w:rsidRPr="004E74A6" w:rsidRDefault="00285C63" w:rsidP="00CE62C1">
            <w:pPr>
              <w:spacing w:line="276" w:lineRule="auto"/>
              <w:jc w:val="center"/>
              <w:rPr>
                <w:rFonts w:cs="Calibri"/>
                <w:color w:val="000000"/>
                <w:sz w:val="20"/>
              </w:rPr>
            </w:pPr>
            <w:r w:rsidRPr="004E74A6">
              <w:rPr>
                <w:rFonts w:cs="Calibri"/>
                <w:color w:val="000000"/>
                <w:sz w:val="20"/>
              </w:rPr>
              <w:t>39%</w:t>
            </w:r>
          </w:p>
        </w:tc>
      </w:tr>
      <w:tr w:rsidR="00285C63" w:rsidRPr="004E74A6" w14:paraId="7F2077D7" w14:textId="272B6F5D" w:rsidTr="00817DA8">
        <w:trPr>
          <w:trHeight w:val="288"/>
          <w:jc w:val="center"/>
        </w:trPr>
        <w:tc>
          <w:tcPr>
            <w:tcW w:w="1597" w:type="pct"/>
            <w:tcBorders>
              <w:top w:val="nil"/>
              <w:left w:val="nil"/>
              <w:bottom w:val="nil"/>
              <w:right w:val="single" w:sz="4" w:space="0" w:color="auto"/>
            </w:tcBorders>
            <w:shd w:val="clear" w:color="auto" w:fill="C5E0B3" w:themeFill="accent6" w:themeFillTint="66"/>
            <w:noWrap/>
            <w:vAlign w:val="bottom"/>
            <w:hideMark/>
          </w:tcPr>
          <w:p w14:paraId="663077F6" w14:textId="77777777" w:rsidR="00285C63" w:rsidRPr="004E74A6" w:rsidRDefault="00285C63" w:rsidP="00CE62C1">
            <w:pPr>
              <w:spacing w:line="276" w:lineRule="auto"/>
              <w:jc w:val="left"/>
              <w:rPr>
                <w:rFonts w:cs="Calibri"/>
                <w:color w:val="000000"/>
                <w:sz w:val="20"/>
                <w:lang w:eastAsia="es-CR"/>
              </w:rPr>
            </w:pPr>
            <w:r w:rsidRPr="004E74A6">
              <w:rPr>
                <w:rFonts w:cs="Calibri"/>
                <w:color w:val="000000"/>
                <w:sz w:val="20"/>
                <w:lang w:eastAsia="es-CR"/>
              </w:rPr>
              <w:t>De ¢8.000.001 A ¢9.000.000</w:t>
            </w:r>
          </w:p>
        </w:tc>
        <w:tc>
          <w:tcPr>
            <w:tcW w:w="477" w:type="pct"/>
            <w:tcBorders>
              <w:top w:val="nil"/>
              <w:left w:val="single" w:sz="4" w:space="0" w:color="auto"/>
              <w:bottom w:val="nil"/>
              <w:right w:val="single" w:sz="4" w:space="0" w:color="auto"/>
            </w:tcBorders>
            <w:shd w:val="clear" w:color="auto" w:fill="C5E0B3" w:themeFill="accent6" w:themeFillTint="66"/>
            <w:noWrap/>
            <w:vAlign w:val="center"/>
            <w:hideMark/>
          </w:tcPr>
          <w:p w14:paraId="6C76F713" w14:textId="00C81CD5" w:rsidR="00285C63" w:rsidRPr="004E74A6" w:rsidRDefault="00285C63" w:rsidP="00CE62C1">
            <w:pPr>
              <w:spacing w:line="276" w:lineRule="auto"/>
              <w:jc w:val="center"/>
              <w:rPr>
                <w:rFonts w:cs="Calibri"/>
                <w:color w:val="000000"/>
                <w:sz w:val="20"/>
                <w:lang w:eastAsia="es-CR"/>
              </w:rPr>
            </w:pPr>
            <w:r w:rsidRPr="004E74A6">
              <w:rPr>
                <w:rFonts w:cs="Calibri"/>
                <w:color w:val="000000"/>
                <w:sz w:val="20"/>
              </w:rPr>
              <w:t>0</w:t>
            </w:r>
          </w:p>
        </w:tc>
        <w:tc>
          <w:tcPr>
            <w:tcW w:w="475" w:type="pct"/>
            <w:tcBorders>
              <w:top w:val="nil"/>
              <w:left w:val="single" w:sz="4" w:space="0" w:color="auto"/>
              <w:bottom w:val="nil"/>
              <w:right w:val="single" w:sz="4" w:space="0" w:color="auto"/>
            </w:tcBorders>
            <w:shd w:val="clear" w:color="auto" w:fill="C5E0B3" w:themeFill="accent6" w:themeFillTint="66"/>
            <w:noWrap/>
            <w:vAlign w:val="center"/>
            <w:hideMark/>
          </w:tcPr>
          <w:p w14:paraId="2AF18485" w14:textId="5770276E" w:rsidR="00285C63" w:rsidRPr="004E74A6" w:rsidRDefault="00285C63" w:rsidP="00CE62C1">
            <w:pPr>
              <w:spacing w:line="276" w:lineRule="auto"/>
              <w:jc w:val="center"/>
              <w:rPr>
                <w:rFonts w:cs="Calibri"/>
                <w:color w:val="000000"/>
                <w:sz w:val="20"/>
                <w:lang w:eastAsia="es-CR"/>
              </w:rPr>
            </w:pPr>
            <w:r w:rsidRPr="004E74A6">
              <w:rPr>
                <w:rFonts w:cs="Calibri"/>
                <w:color w:val="000000"/>
                <w:sz w:val="20"/>
              </w:rPr>
              <w:t>1</w:t>
            </w:r>
          </w:p>
        </w:tc>
        <w:tc>
          <w:tcPr>
            <w:tcW w:w="475" w:type="pct"/>
            <w:tcBorders>
              <w:top w:val="nil"/>
              <w:left w:val="single" w:sz="4" w:space="0" w:color="auto"/>
              <w:bottom w:val="nil"/>
              <w:right w:val="single" w:sz="4" w:space="0" w:color="auto"/>
            </w:tcBorders>
            <w:shd w:val="clear" w:color="auto" w:fill="C5E0B3" w:themeFill="accent6" w:themeFillTint="66"/>
            <w:noWrap/>
            <w:vAlign w:val="center"/>
            <w:hideMark/>
          </w:tcPr>
          <w:p w14:paraId="0E75BC75" w14:textId="04A58530" w:rsidR="00285C63" w:rsidRPr="004E74A6" w:rsidRDefault="00285C63" w:rsidP="00CE62C1">
            <w:pPr>
              <w:spacing w:line="276" w:lineRule="auto"/>
              <w:jc w:val="center"/>
              <w:rPr>
                <w:rFonts w:cs="Calibri"/>
                <w:color w:val="000000"/>
                <w:sz w:val="20"/>
                <w:lang w:eastAsia="es-CR"/>
              </w:rPr>
            </w:pPr>
            <w:r w:rsidRPr="004E74A6">
              <w:rPr>
                <w:rFonts w:cs="Calibri"/>
                <w:color w:val="000000"/>
                <w:sz w:val="20"/>
              </w:rPr>
              <w:t>0</w:t>
            </w:r>
          </w:p>
        </w:tc>
        <w:tc>
          <w:tcPr>
            <w:tcW w:w="639" w:type="pct"/>
            <w:tcBorders>
              <w:top w:val="nil"/>
              <w:left w:val="single" w:sz="4" w:space="0" w:color="auto"/>
              <w:bottom w:val="nil"/>
              <w:right w:val="nil"/>
            </w:tcBorders>
            <w:shd w:val="clear" w:color="auto" w:fill="C5E0B3" w:themeFill="accent6" w:themeFillTint="66"/>
            <w:noWrap/>
            <w:vAlign w:val="bottom"/>
            <w:hideMark/>
          </w:tcPr>
          <w:p w14:paraId="55CB9BAF" w14:textId="78E6C97F" w:rsidR="00285C63" w:rsidRPr="004E74A6" w:rsidRDefault="00285C63" w:rsidP="00CE62C1">
            <w:pPr>
              <w:spacing w:line="276" w:lineRule="auto"/>
              <w:jc w:val="center"/>
              <w:rPr>
                <w:rFonts w:cs="Calibri"/>
                <w:color w:val="000000"/>
                <w:sz w:val="20"/>
                <w:lang w:eastAsia="es-CR"/>
              </w:rPr>
            </w:pPr>
            <w:r w:rsidRPr="004E74A6">
              <w:rPr>
                <w:rFonts w:cs="Calibri"/>
                <w:color w:val="000000"/>
                <w:sz w:val="20"/>
              </w:rPr>
              <w:t>0,3</w:t>
            </w:r>
          </w:p>
        </w:tc>
        <w:tc>
          <w:tcPr>
            <w:tcW w:w="1337" w:type="pct"/>
            <w:tcBorders>
              <w:top w:val="nil"/>
              <w:left w:val="single" w:sz="4" w:space="0" w:color="auto"/>
              <w:bottom w:val="nil"/>
              <w:right w:val="nil"/>
            </w:tcBorders>
            <w:shd w:val="clear" w:color="auto" w:fill="C5E0B3" w:themeFill="accent6" w:themeFillTint="66"/>
            <w:vAlign w:val="bottom"/>
          </w:tcPr>
          <w:p w14:paraId="485BFAD5" w14:textId="061279AF" w:rsidR="00285C63" w:rsidRPr="004E74A6" w:rsidRDefault="00285C63" w:rsidP="00CE62C1">
            <w:pPr>
              <w:spacing w:line="276" w:lineRule="auto"/>
              <w:jc w:val="center"/>
              <w:rPr>
                <w:rFonts w:cs="Calibri"/>
                <w:color w:val="000000"/>
                <w:sz w:val="20"/>
              </w:rPr>
            </w:pPr>
            <w:r w:rsidRPr="004E74A6">
              <w:rPr>
                <w:rFonts w:cs="Calibri"/>
                <w:color w:val="000000"/>
                <w:sz w:val="20"/>
              </w:rPr>
              <w:t>40%</w:t>
            </w:r>
          </w:p>
        </w:tc>
      </w:tr>
      <w:tr w:rsidR="00285C63" w:rsidRPr="004E74A6" w14:paraId="003370C7" w14:textId="7EC57F46" w:rsidTr="00817DA8">
        <w:trPr>
          <w:trHeight w:val="288"/>
          <w:jc w:val="center"/>
        </w:trPr>
        <w:tc>
          <w:tcPr>
            <w:tcW w:w="1597" w:type="pct"/>
            <w:tcBorders>
              <w:top w:val="nil"/>
              <w:left w:val="nil"/>
              <w:bottom w:val="nil"/>
              <w:right w:val="single" w:sz="4" w:space="0" w:color="auto"/>
            </w:tcBorders>
            <w:shd w:val="clear" w:color="auto" w:fill="C5E0B3" w:themeFill="accent6" w:themeFillTint="66"/>
            <w:noWrap/>
            <w:vAlign w:val="bottom"/>
            <w:hideMark/>
          </w:tcPr>
          <w:p w14:paraId="1BA26932" w14:textId="77777777" w:rsidR="00285C63" w:rsidRPr="004E74A6" w:rsidRDefault="00285C63" w:rsidP="00CE62C1">
            <w:pPr>
              <w:spacing w:line="276" w:lineRule="auto"/>
              <w:jc w:val="left"/>
              <w:rPr>
                <w:rFonts w:cs="Calibri"/>
                <w:color w:val="000000"/>
                <w:sz w:val="20"/>
                <w:lang w:eastAsia="es-CR"/>
              </w:rPr>
            </w:pPr>
            <w:r w:rsidRPr="004E74A6">
              <w:rPr>
                <w:rFonts w:cs="Calibri"/>
                <w:color w:val="000000"/>
                <w:sz w:val="20"/>
                <w:lang w:eastAsia="es-CR"/>
              </w:rPr>
              <w:t>De ¢9.000.001 A ¢10.000.000</w:t>
            </w:r>
          </w:p>
        </w:tc>
        <w:tc>
          <w:tcPr>
            <w:tcW w:w="477" w:type="pct"/>
            <w:tcBorders>
              <w:top w:val="nil"/>
              <w:left w:val="single" w:sz="4" w:space="0" w:color="auto"/>
              <w:bottom w:val="nil"/>
              <w:right w:val="single" w:sz="4" w:space="0" w:color="auto"/>
            </w:tcBorders>
            <w:shd w:val="clear" w:color="auto" w:fill="C5E0B3" w:themeFill="accent6" w:themeFillTint="66"/>
            <w:noWrap/>
            <w:vAlign w:val="center"/>
            <w:hideMark/>
          </w:tcPr>
          <w:p w14:paraId="40AA60D5" w14:textId="48CD0685" w:rsidR="00285C63" w:rsidRPr="004E74A6" w:rsidRDefault="00285C63" w:rsidP="00CE62C1">
            <w:pPr>
              <w:spacing w:line="276" w:lineRule="auto"/>
              <w:jc w:val="center"/>
              <w:rPr>
                <w:rFonts w:cs="Calibri"/>
                <w:color w:val="000000"/>
                <w:sz w:val="20"/>
                <w:lang w:eastAsia="es-CR"/>
              </w:rPr>
            </w:pPr>
            <w:r w:rsidRPr="004E74A6">
              <w:rPr>
                <w:rFonts w:cs="Calibri"/>
                <w:color w:val="000000"/>
                <w:sz w:val="20"/>
              </w:rPr>
              <w:t>0</w:t>
            </w:r>
          </w:p>
        </w:tc>
        <w:tc>
          <w:tcPr>
            <w:tcW w:w="475" w:type="pct"/>
            <w:tcBorders>
              <w:top w:val="nil"/>
              <w:left w:val="single" w:sz="4" w:space="0" w:color="auto"/>
              <w:bottom w:val="nil"/>
              <w:right w:val="single" w:sz="4" w:space="0" w:color="auto"/>
            </w:tcBorders>
            <w:shd w:val="clear" w:color="auto" w:fill="C5E0B3" w:themeFill="accent6" w:themeFillTint="66"/>
            <w:noWrap/>
            <w:vAlign w:val="center"/>
            <w:hideMark/>
          </w:tcPr>
          <w:p w14:paraId="635191A9" w14:textId="558E9D22" w:rsidR="00285C63" w:rsidRPr="004E74A6" w:rsidRDefault="00285C63" w:rsidP="00CE62C1">
            <w:pPr>
              <w:spacing w:line="276" w:lineRule="auto"/>
              <w:jc w:val="center"/>
              <w:rPr>
                <w:rFonts w:cs="Calibri"/>
                <w:color w:val="000000"/>
                <w:sz w:val="20"/>
                <w:lang w:eastAsia="es-CR"/>
              </w:rPr>
            </w:pPr>
            <w:r w:rsidRPr="004E74A6">
              <w:rPr>
                <w:rFonts w:cs="Calibri"/>
                <w:color w:val="000000"/>
                <w:sz w:val="20"/>
              </w:rPr>
              <w:t>1</w:t>
            </w:r>
          </w:p>
        </w:tc>
        <w:tc>
          <w:tcPr>
            <w:tcW w:w="475" w:type="pct"/>
            <w:tcBorders>
              <w:top w:val="nil"/>
              <w:left w:val="single" w:sz="4" w:space="0" w:color="auto"/>
              <w:bottom w:val="nil"/>
              <w:right w:val="single" w:sz="4" w:space="0" w:color="auto"/>
            </w:tcBorders>
            <w:shd w:val="clear" w:color="auto" w:fill="C5E0B3" w:themeFill="accent6" w:themeFillTint="66"/>
            <w:noWrap/>
            <w:vAlign w:val="center"/>
            <w:hideMark/>
          </w:tcPr>
          <w:p w14:paraId="4B4DE8C5" w14:textId="335364E4" w:rsidR="00285C63" w:rsidRPr="004E74A6" w:rsidRDefault="00285C63" w:rsidP="00CE62C1">
            <w:pPr>
              <w:spacing w:line="276" w:lineRule="auto"/>
              <w:jc w:val="center"/>
              <w:rPr>
                <w:rFonts w:cs="Calibri"/>
                <w:color w:val="000000"/>
                <w:sz w:val="20"/>
                <w:lang w:eastAsia="es-CR"/>
              </w:rPr>
            </w:pPr>
            <w:r w:rsidRPr="004E74A6">
              <w:rPr>
                <w:rFonts w:cs="Calibri"/>
                <w:color w:val="000000"/>
                <w:sz w:val="20"/>
              </w:rPr>
              <w:t>3</w:t>
            </w:r>
          </w:p>
        </w:tc>
        <w:tc>
          <w:tcPr>
            <w:tcW w:w="639" w:type="pct"/>
            <w:tcBorders>
              <w:top w:val="nil"/>
              <w:left w:val="single" w:sz="4" w:space="0" w:color="auto"/>
              <w:bottom w:val="nil"/>
              <w:right w:val="nil"/>
            </w:tcBorders>
            <w:shd w:val="clear" w:color="auto" w:fill="C5E0B3" w:themeFill="accent6" w:themeFillTint="66"/>
            <w:noWrap/>
            <w:vAlign w:val="bottom"/>
            <w:hideMark/>
          </w:tcPr>
          <w:p w14:paraId="06E7A862" w14:textId="6B1B5817" w:rsidR="00285C63" w:rsidRPr="004E74A6" w:rsidRDefault="00285C63" w:rsidP="00CE62C1">
            <w:pPr>
              <w:spacing w:line="276" w:lineRule="auto"/>
              <w:jc w:val="center"/>
              <w:rPr>
                <w:rFonts w:cs="Calibri"/>
                <w:color w:val="000000"/>
                <w:sz w:val="20"/>
                <w:lang w:eastAsia="es-CR"/>
              </w:rPr>
            </w:pPr>
            <w:r w:rsidRPr="004E74A6">
              <w:rPr>
                <w:rFonts w:cs="Calibri"/>
                <w:color w:val="000000"/>
                <w:sz w:val="20"/>
              </w:rPr>
              <w:t>1,3</w:t>
            </w:r>
          </w:p>
        </w:tc>
        <w:tc>
          <w:tcPr>
            <w:tcW w:w="1337" w:type="pct"/>
            <w:tcBorders>
              <w:top w:val="nil"/>
              <w:left w:val="single" w:sz="4" w:space="0" w:color="auto"/>
              <w:bottom w:val="nil"/>
              <w:right w:val="nil"/>
            </w:tcBorders>
            <w:shd w:val="clear" w:color="auto" w:fill="C5E0B3" w:themeFill="accent6" w:themeFillTint="66"/>
            <w:vAlign w:val="bottom"/>
          </w:tcPr>
          <w:p w14:paraId="79B0A1E7" w14:textId="0DD2EA38" w:rsidR="00285C63" w:rsidRPr="004E74A6" w:rsidRDefault="00285C63" w:rsidP="00CE62C1">
            <w:pPr>
              <w:spacing w:line="276" w:lineRule="auto"/>
              <w:jc w:val="center"/>
              <w:rPr>
                <w:rFonts w:cs="Calibri"/>
                <w:color w:val="000000"/>
                <w:sz w:val="20"/>
              </w:rPr>
            </w:pPr>
            <w:r w:rsidRPr="004E74A6">
              <w:rPr>
                <w:rFonts w:cs="Calibri"/>
                <w:color w:val="000000"/>
                <w:sz w:val="20"/>
              </w:rPr>
              <w:t>43%</w:t>
            </w:r>
          </w:p>
        </w:tc>
      </w:tr>
      <w:tr w:rsidR="00285C63" w:rsidRPr="004E74A6" w14:paraId="0CA1EFDF" w14:textId="69B92214" w:rsidTr="00817DA8">
        <w:trPr>
          <w:trHeight w:val="288"/>
          <w:jc w:val="center"/>
        </w:trPr>
        <w:tc>
          <w:tcPr>
            <w:tcW w:w="1597" w:type="pct"/>
            <w:tcBorders>
              <w:top w:val="nil"/>
              <w:left w:val="nil"/>
              <w:bottom w:val="nil"/>
              <w:right w:val="single" w:sz="4" w:space="0" w:color="auto"/>
            </w:tcBorders>
            <w:shd w:val="clear" w:color="auto" w:fill="C5E0B3" w:themeFill="accent6" w:themeFillTint="66"/>
            <w:noWrap/>
            <w:vAlign w:val="bottom"/>
            <w:hideMark/>
          </w:tcPr>
          <w:p w14:paraId="507A261C" w14:textId="77777777" w:rsidR="00285C63" w:rsidRPr="004E74A6" w:rsidRDefault="00285C63" w:rsidP="00CE62C1">
            <w:pPr>
              <w:spacing w:line="276" w:lineRule="auto"/>
              <w:jc w:val="left"/>
              <w:rPr>
                <w:rFonts w:cs="Calibri"/>
                <w:color w:val="000000"/>
                <w:sz w:val="20"/>
                <w:lang w:eastAsia="es-CR"/>
              </w:rPr>
            </w:pPr>
            <w:r w:rsidRPr="004E74A6">
              <w:rPr>
                <w:rFonts w:cs="Calibri"/>
                <w:color w:val="000000"/>
                <w:sz w:val="20"/>
                <w:lang w:eastAsia="es-CR"/>
              </w:rPr>
              <w:t>De ¢10.000.001 A ¢15.000.000</w:t>
            </w:r>
          </w:p>
        </w:tc>
        <w:tc>
          <w:tcPr>
            <w:tcW w:w="477" w:type="pct"/>
            <w:tcBorders>
              <w:top w:val="nil"/>
              <w:left w:val="single" w:sz="4" w:space="0" w:color="auto"/>
              <w:bottom w:val="nil"/>
              <w:right w:val="single" w:sz="4" w:space="0" w:color="auto"/>
            </w:tcBorders>
            <w:shd w:val="clear" w:color="auto" w:fill="C5E0B3" w:themeFill="accent6" w:themeFillTint="66"/>
            <w:noWrap/>
            <w:vAlign w:val="center"/>
            <w:hideMark/>
          </w:tcPr>
          <w:p w14:paraId="7914D344" w14:textId="4E47666D" w:rsidR="00285C63" w:rsidRPr="004E74A6" w:rsidRDefault="00285C63" w:rsidP="00CE62C1">
            <w:pPr>
              <w:spacing w:line="276" w:lineRule="auto"/>
              <w:jc w:val="center"/>
              <w:rPr>
                <w:rFonts w:cs="Calibri"/>
                <w:color w:val="000000"/>
                <w:sz w:val="20"/>
                <w:lang w:eastAsia="es-CR"/>
              </w:rPr>
            </w:pPr>
            <w:r w:rsidRPr="004E74A6">
              <w:rPr>
                <w:rFonts w:cs="Calibri"/>
                <w:color w:val="000000"/>
                <w:sz w:val="20"/>
              </w:rPr>
              <w:t>1</w:t>
            </w:r>
          </w:p>
        </w:tc>
        <w:tc>
          <w:tcPr>
            <w:tcW w:w="475" w:type="pct"/>
            <w:tcBorders>
              <w:top w:val="nil"/>
              <w:left w:val="single" w:sz="4" w:space="0" w:color="auto"/>
              <w:bottom w:val="nil"/>
              <w:right w:val="single" w:sz="4" w:space="0" w:color="auto"/>
            </w:tcBorders>
            <w:shd w:val="clear" w:color="auto" w:fill="C5E0B3" w:themeFill="accent6" w:themeFillTint="66"/>
            <w:noWrap/>
            <w:vAlign w:val="center"/>
            <w:hideMark/>
          </w:tcPr>
          <w:p w14:paraId="2EF9D0CA" w14:textId="0E3478B4" w:rsidR="00285C63" w:rsidRPr="004E74A6" w:rsidRDefault="00285C63" w:rsidP="00CE62C1">
            <w:pPr>
              <w:spacing w:line="276" w:lineRule="auto"/>
              <w:jc w:val="center"/>
              <w:rPr>
                <w:rFonts w:cs="Calibri"/>
                <w:color w:val="000000"/>
                <w:sz w:val="20"/>
                <w:lang w:eastAsia="es-CR"/>
              </w:rPr>
            </w:pPr>
            <w:r w:rsidRPr="004E74A6">
              <w:rPr>
                <w:rFonts w:cs="Calibri"/>
                <w:color w:val="000000"/>
                <w:sz w:val="20"/>
              </w:rPr>
              <w:t>6</w:t>
            </w:r>
          </w:p>
        </w:tc>
        <w:tc>
          <w:tcPr>
            <w:tcW w:w="475" w:type="pct"/>
            <w:tcBorders>
              <w:top w:val="nil"/>
              <w:left w:val="single" w:sz="4" w:space="0" w:color="auto"/>
              <w:bottom w:val="nil"/>
              <w:right w:val="single" w:sz="4" w:space="0" w:color="auto"/>
            </w:tcBorders>
            <w:shd w:val="clear" w:color="auto" w:fill="C5E0B3" w:themeFill="accent6" w:themeFillTint="66"/>
            <w:noWrap/>
            <w:vAlign w:val="center"/>
            <w:hideMark/>
          </w:tcPr>
          <w:p w14:paraId="40CB9D3D" w14:textId="46433D55" w:rsidR="00285C63" w:rsidRPr="004E74A6" w:rsidRDefault="00285C63" w:rsidP="00CE62C1">
            <w:pPr>
              <w:spacing w:line="276" w:lineRule="auto"/>
              <w:jc w:val="center"/>
              <w:rPr>
                <w:rFonts w:cs="Calibri"/>
                <w:color w:val="000000"/>
                <w:sz w:val="20"/>
                <w:lang w:eastAsia="es-CR"/>
              </w:rPr>
            </w:pPr>
            <w:r w:rsidRPr="004E74A6">
              <w:rPr>
                <w:rFonts w:cs="Calibri"/>
                <w:color w:val="000000"/>
                <w:sz w:val="20"/>
              </w:rPr>
              <w:t>8</w:t>
            </w:r>
          </w:p>
        </w:tc>
        <w:tc>
          <w:tcPr>
            <w:tcW w:w="639" w:type="pct"/>
            <w:tcBorders>
              <w:top w:val="nil"/>
              <w:left w:val="single" w:sz="4" w:space="0" w:color="auto"/>
              <w:bottom w:val="nil"/>
              <w:right w:val="nil"/>
            </w:tcBorders>
            <w:shd w:val="clear" w:color="auto" w:fill="C5E0B3" w:themeFill="accent6" w:themeFillTint="66"/>
            <w:noWrap/>
            <w:vAlign w:val="bottom"/>
            <w:hideMark/>
          </w:tcPr>
          <w:p w14:paraId="5E5C0E6A" w14:textId="1046F622" w:rsidR="00285C63" w:rsidRPr="004E74A6" w:rsidRDefault="00285C63" w:rsidP="00CE62C1">
            <w:pPr>
              <w:spacing w:line="276" w:lineRule="auto"/>
              <w:jc w:val="center"/>
              <w:rPr>
                <w:rFonts w:cs="Calibri"/>
                <w:color w:val="000000"/>
                <w:sz w:val="20"/>
                <w:lang w:eastAsia="es-CR"/>
              </w:rPr>
            </w:pPr>
            <w:r w:rsidRPr="004E74A6">
              <w:rPr>
                <w:rFonts w:cs="Calibri"/>
                <w:color w:val="000000"/>
                <w:sz w:val="20"/>
              </w:rPr>
              <w:t>5,0</w:t>
            </w:r>
          </w:p>
        </w:tc>
        <w:tc>
          <w:tcPr>
            <w:tcW w:w="1337" w:type="pct"/>
            <w:tcBorders>
              <w:top w:val="nil"/>
              <w:left w:val="single" w:sz="4" w:space="0" w:color="auto"/>
              <w:bottom w:val="nil"/>
              <w:right w:val="nil"/>
            </w:tcBorders>
            <w:shd w:val="clear" w:color="auto" w:fill="C5E0B3" w:themeFill="accent6" w:themeFillTint="66"/>
            <w:vAlign w:val="bottom"/>
          </w:tcPr>
          <w:p w14:paraId="7E5D581E" w14:textId="6F70304C" w:rsidR="00285C63" w:rsidRPr="004E74A6" w:rsidRDefault="00285C63" w:rsidP="00CE62C1">
            <w:pPr>
              <w:spacing w:line="276" w:lineRule="auto"/>
              <w:jc w:val="center"/>
              <w:rPr>
                <w:rFonts w:cs="Calibri"/>
                <w:color w:val="000000"/>
                <w:sz w:val="20"/>
              </w:rPr>
            </w:pPr>
            <w:r w:rsidRPr="004E74A6">
              <w:rPr>
                <w:rFonts w:cs="Calibri"/>
                <w:color w:val="000000"/>
                <w:sz w:val="20"/>
              </w:rPr>
              <w:t>54%</w:t>
            </w:r>
          </w:p>
        </w:tc>
      </w:tr>
      <w:tr w:rsidR="00285C63" w:rsidRPr="004E74A6" w14:paraId="04B59FCC" w14:textId="5E70174B" w:rsidTr="00817DA8">
        <w:trPr>
          <w:trHeight w:val="288"/>
          <w:jc w:val="center"/>
        </w:trPr>
        <w:tc>
          <w:tcPr>
            <w:tcW w:w="1597" w:type="pct"/>
            <w:tcBorders>
              <w:top w:val="nil"/>
              <w:left w:val="nil"/>
              <w:bottom w:val="nil"/>
              <w:right w:val="single" w:sz="4" w:space="0" w:color="auto"/>
            </w:tcBorders>
            <w:shd w:val="clear" w:color="auto" w:fill="C5E0B3" w:themeFill="accent6" w:themeFillTint="66"/>
            <w:noWrap/>
            <w:vAlign w:val="bottom"/>
            <w:hideMark/>
          </w:tcPr>
          <w:p w14:paraId="3B7BFF0D" w14:textId="77777777" w:rsidR="00285C63" w:rsidRPr="004E74A6" w:rsidRDefault="00285C63" w:rsidP="00CE62C1">
            <w:pPr>
              <w:spacing w:line="276" w:lineRule="auto"/>
              <w:jc w:val="left"/>
              <w:rPr>
                <w:rFonts w:cs="Calibri"/>
                <w:color w:val="000000"/>
                <w:sz w:val="20"/>
                <w:lang w:eastAsia="es-CR"/>
              </w:rPr>
            </w:pPr>
            <w:r w:rsidRPr="004E74A6">
              <w:rPr>
                <w:rFonts w:cs="Calibri"/>
                <w:color w:val="000000"/>
                <w:sz w:val="20"/>
                <w:lang w:eastAsia="es-CR"/>
              </w:rPr>
              <w:t>De ¢15.000.001 A ¢20.000.000</w:t>
            </w:r>
          </w:p>
        </w:tc>
        <w:tc>
          <w:tcPr>
            <w:tcW w:w="477" w:type="pct"/>
            <w:tcBorders>
              <w:top w:val="nil"/>
              <w:left w:val="single" w:sz="4" w:space="0" w:color="auto"/>
              <w:bottom w:val="nil"/>
              <w:right w:val="single" w:sz="4" w:space="0" w:color="auto"/>
            </w:tcBorders>
            <w:shd w:val="clear" w:color="auto" w:fill="C5E0B3" w:themeFill="accent6" w:themeFillTint="66"/>
            <w:noWrap/>
            <w:vAlign w:val="center"/>
            <w:hideMark/>
          </w:tcPr>
          <w:p w14:paraId="1EF462AD" w14:textId="0D5D2EB3" w:rsidR="00285C63" w:rsidRPr="004E74A6" w:rsidRDefault="00285C63" w:rsidP="00CE62C1">
            <w:pPr>
              <w:spacing w:line="276" w:lineRule="auto"/>
              <w:jc w:val="center"/>
              <w:rPr>
                <w:rFonts w:cs="Calibri"/>
                <w:color w:val="000000"/>
                <w:sz w:val="20"/>
                <w:lang w:eastAsia="es-CR"/>
              </w:rPr>
            </w:pPr>
            <w:r w:rsidRPr="004E74A6">
              <w:rPr>
                <w:rFonts w:cs="Calibri"/>
                <w:color w:val="000000"/>
                <w:sz w:val="20"/>
              </w:rPr>
              <w:t>0</w:t>
            </w:r>
          </w:p>
        </w:tc>
        <w:tc>
          <w:tcPr>
            <w:tcW w:w="475" w:type="pct"/>
            <w:tcBorders>
              <w:top w:val="nil"/>
              <w:left w:val="single" w:sz="4" w:space="0" w:color="auto"/>
              <w:bottom w:val="nil"/>
              <w:right w:val="single" w:sz="4" w:space="0" w:color="auto"/>
            </w:tcBorders>
            <w:shd w:val="clear" w:color="auto" w:fill="C5E0B3" w:themeFill="accent6" w:themeFillTint="66"/>
            <w:noWrap/>
            <w:vAlign w:val="center"/>
            <w:hideMark/>
          </w:tcPr>
          <w:p w14:paraId="207A4F3B" w14:textId="74E8CB38" w:rsidR="00285C63" w:rsidRPr="004E74A6" w:rsidRDefault="00285C63" w:rsidP="00CE62C1">
            <w:pPr>
              <w:spacing w:line="276" w:lineRule="auto"/>
              <w:jc w:val="center"/>
              <w:rPr>
                <w:rFonts w:cs="Calibri"/>
                <w:color w:val="000000"/>
                <w:sz w:val="20"/>
                <w:lang w:eastAsia="es-CR"/>
              </w:rPr>
            </w:pPr>
            <w:r w:rsidRPr="004E74A6">
              <w:rPr>
                <w:rFonts w:cs="Calibri"/>
                <w:color w:val="000000"/>
                <w:sz w:val="20"/>
              </w:rPr>
              <w:t>2</w:t>
            </w:r>
          </w:p>
        </w:tc>
        <w:tc>
          <w:tcPr>
            <w:tcW w:w="475" w:type="pct"/>
            <w:tcBorders>
              <w:top w:val="nil"/>
              <w:left w:val="single" w:sz="4" w:space="0" w:color="auto"/>
              <w:bottom w:val="nil"/>
              <w:right w:val="single" w:sz="4" w:space="0" w:color="auto"/>
            </w:tcBorders>
            <w:shd w:val="clear" w:color="auto" w:fill="C5E0B3" w:themeFill="accent6" w:themeFillTint="66"/>
            <w:noWrap/>
            <w:vAlign w:val="center"/>
            <w:hideMark/>
          </w:tcPr>
          <w:p w14:paraId="0F3E4FBF" w14:textId="388E6FD6" w:rsidR="00285C63" w:rsidRPr="004E74A6" w:rsidRDefault="00285C63" w:rsidP="00CE62C1">
            <w:pPr>
              <w:spacing w:line="276" w:lineRule="auto"/>
              <w:jc w:val="center"/>
              <w:rPr>
                <w:rFonts w:cs="Calibri"/>
                <w:color w:val="000000"/>
                <w:sz w:val="20"/>
                <w:lang w:eastAsia="es-CR"/>
              </w:rPr>
            </w:pPr>
            <w:r w:rsidRPr="004E74A6">
              <w:rPr>
                <w:rFonts w:cs="Calibri"/>
                <w:color w:val="000000"/>
                <w:sz w:val="20"/>
              </w:rPr>
              <w:t>7</w:t>
            </w:r>
          </w:p>
        </w:tc>
        <w:tc>
          <w:tcPr>
            <w:tcW w:w="639" w:type="pct"/>
            <w:tcBorders>
              <w:top w:val="nil"/>
              <w:left w:val="single" w:sz="4" w:space="0" w:color="auto"/>
              <w:bottom w:val="nil"/>
              <w:right w:val="nil"/>
            </w:tcBorders>
            <w:shd w:val="clear" w:color="auto" w:fill="C5E0B3" w:themeFill="accent6" w:themeFillTint="66"/>
            <w:noWrap/>
            <w:vAlign w:val="bottom"/>
            <w:hideMark/>
          </w:tcPr>
          <w:p w14:paraId="64860689" w14:textId="059791E2" w:rsidR="00285C63" w:rsidRPr="004E74A6" w:rsidRDefault="00285C63" w:rsidP="00CE62C1">
            <w:pPr>
              <w:spacing w:line="276" w:lineRule="auto"/>
              <w:jc w:val="center"/>
              <w:rPr>
                <w:rFonts w:cs="Calibri"/>
                <w:color w:val="000000"/>
                <w:sz w:val="20"/>
                <w:lang w:eastAsia="es-CR"/>
              </w:rPr>
            </w:pPr>
            <w:r w:rsidRPr="004E74A6">
              <w:rPr>
                <w:rFonts w:cs="Calibri"/>
                <w:color w:val="000000"/>
                <w:sz w:val="20"/>
              </w:rPr>
              <w:t>3,0</w:t>
            </w:r>
          </w:p>
        </w:tc>
        <w:tc>
          <w:tcPr>
            <w:tcW w:w="1337" w:type="pct"/>
            <w:tcBorders>
              <w:top w:val="nil"/>
              <w:left w:val="single" w:sz="4" w:space="0" w:color="auto"/>
              <w:bottom w:val="nil"/>
              <w:right w:val="nil"/>
            </w:tcBorders>
            <w:shd w:val="clear" w:color="auto" w:fill="C5E0B3" w:themeFill="accent6" w:themeFillTint="66"/>
            <w:vAlign w:val="bottom"/>
          </w:tcPr>
          <w:p w14:paraId="0D3A7D07" w14:textId="3DF9B82A" w:rsidR="00285C63" w:rsidRPr="004E74A6" w:rsidRDefault="00285C63" w:rsidP="00CE62C1">
            <w:pPr>
              <w:spacing w:line="276" w:lineRule="auto"/>
              <w:jc w:val="center"/>
              <w:rPr>
                <w:rFonts w:cs="Calibri"/>
                <w:color w:val="000000"/>
                <w:sz w:val="20"/>
              </w:rPr>
            </w:pPr>
            <w:r w:rsidRPr="004E74A6">
              <w:rPr>
                <w:rFonts w:cs="Calibri"/>
                <w:color w:val="000000"/>
                <w:sz w:val="20"/>
              </w:rPr>
              <w:t>61%</w:t>
            </w:r>
          </w:p>
        </w:tc>
      </w:tr>
      <w:tr w:rsidR="00285C63" w:rsidRPr="004E74A6" w14:paraId="6BCAEFFD" w14:textId="331A63A3" w:rsidTr="00285C63">
        <w:trPr>
          <w:trHeight w:val="288"/>
          <w:jc w:val="center"/>
        </w:trPr>
        <w:tc>
          <w:tcPr>
            <w:tcW w:w="1597" w:type="pct"/>
            <w:tcBorders>
              <w:top w:val="nil"/>
              <w:left w:val="nil"/>
              <w:bottom w:val="nil"/>
              <w:right w:val="single" w:sz="4" w:space="0" w:color="auto"/>
            </w:tcBorders>
            <w:shd w:val="clear" w:color="auto" w:fill="auto"/>
            <w:noWrap/>
            <w:vAlign w:val="bottom"/>
            <w:hideMark/>
          </w:tcPr>
          <w:p w14:paraId="46C00969" w14:textId="77777777" w:rsidR="00285C63" w:rsidRPr="004E74A6" w:rsidRDefault="00285C63" w:rsidP="00CE62C1">
            <w:pPr>
              <w:spacing w:line="276" w:lineRule="auto"/>
              <w:jc w:val="left"/>
              <w:rPr>
                <w:rFonts w:cs="Calibri"/>
                <w:color w:val="000000"/>
                <w:sz w:val="20"/>
                <w:lang w:eastAsia="es-CR"/>
              </w:rPr>
            </w:pPr>
            <w:r w:rsidRPr="004E74A6">
              <w:rPr>
                <w:rFonts w:cs="Calibri"/>
                <w:color w:val="000000"/>
                <w:sz w:val="20"/>
                <w:lang w:eastAsia="es-CR"/>
              </w:rPr>
              <w:t>De ¢20.000.001 A ¢25.000.000</w:t>
            </w:r>
          </w:p>
        </w:tc>
        <w:tc>
          <w:tcPr>
            <w:tcW w:w="477" w:type="pct"/>
            <w:tcBorders>
              <w:top w:val="nil"/>
              <w:left w:val="single" w:sz="4" w:space="0" w:color="auto"/>
              <w:bottom w:val="nil"/>
              <w:right w:val="single" w:sz="4" w:space="0" w:color="auto"/>
            </w:tcBorders>
            <w:shd w:val="clear" w:color="auto" w:fill="auto"/>
            <w:noWrap/>
            <w:vAlign w:val="center"/>
            <w:hideMark/>
          </w:tcPr>
          <w:p w14:paraId="5035D2BE" w14:textId="5DD822FB" w:rsidR="00285C63" w:rsidRPr="004E74A6" w:rsidRDefault="00285C63" w:rsidP="00CE62C1">
            <w:pPr>
              <w:spacing w:line="276" w:lineRule="auto"/>
              <w:jc w:val="center"/>
              <w:rPr>
                <w:rFonts w:cs="Calibri"/>
                <w:color w:val="000000"/>
                <w:sz w:val="20"/>
                <w:lang w:eastAsia="es-CR"/>
              </w:rPr>
            </w:pPr>
            <w:r w:rsidRPr="004E74A6">
              <w:rPr>
                <w:rFonts w:cs="Calibri"/>
                <w:color w:val="000000"/>
                <w:sz w:val="20"/>
              </w:rPr>
              <w:t>2</w:t>
            </w:r>
          </w:p>
        </w:tc>
        <w:tc>
          <w:tcPr>
            <w:tcW w:w="475" w:type="pct"/>
            <w:tcBorders>
              <w:top w:val="nil"/>
              <w:left w:val="single" w:sz="4" w:space="0" w:color="auto"/>
              <w:bottom w:val="nil"/>
              <w:right w:val="single" w:sz="4" w:space="0" w:color="auto"/>
            </w:tcBorders>
            <w:shd w:val="clear" w:color="auto" w:fill="auto"/>
            <w:noWrap/>
            <w:vAlign w:val="center"/>
            <w:hideMark/>
          </w:tcPr>
          <w:p w14:paraId="3BE29572" w14:textId="178C0859" w:rsidR="00285C63" w:rsidRPr="004E74A6" w:rsidRDefault="00285C63" w:rsidP="00CE62C1">
            <w:pPr>
              <w:spacing w:line="276" w:lineRule="auto"/>
              <w:jc w:val="center"/>
              <w:rPr>
                <w:rFonts w:cs="Calibri"/>
                <w:color w:val="000000"/>
                <w:sz w:val="20"/>
                <w:lang w:eastAsia="es-CR"/>
              </w:rPr>
            </w:pPr>
            <w:r w:rsidRPr="004E74A6">
              <w:rPr>
                <w:rFonts w:cs="Calibri"/>
                <w:color w:val="000000"/>
                <w:sz w:val="20"/>
              </w:rPr>
              <w:t>3</w:t>
            </w:r>
          </w:p>
        </w:tc>
        <w:tc>
          <w:tcPr>
            <w:tcW w:w="475" w:type="pct"/>
            <w:tcBorders>
              <w:top w:val="nil"/>
              <w:left w:val="single" w:sz="4" w:space="0" w:color="auto"/>
              <w:bottom w:val="nil"/>
              <w:right w:val="single" w:sz="4" w:space="0" w:color="auto"/>
            </w:tcBorders>
            <w:shd w:val="clear" w:color="auto" w:fill="auto"/>
            <w:noWrap/>
            <w:vAlign w:val="center"/>
            <w:hideMark/>
          </w:tcPr>
          <w:p w14:paraId="7E8C08C2" w14:textId="272D8B3F" w:rsidR="00285C63" w:rsidRPr="004E74A6" w:rsidRDefault="00285C63" w:rsidP="00CE62C1">
            <w:pPr>
              <w:spacing w:line="276" w:lineRule="auto"/>
              <w:jc w:val="center"/>
              <w:rPr>
                <w:rFonts w:cs="Calibri"/>
                <w:color w:val="000000"/>
                <w:sz w:val="20"/>
                <w:lang w:eastAsia="es-CR"/>
              </w:rPr>
            </w:pPr>
            <w:r w:rsidRPr="004E74A6">
              <w:rPr>
                <w:rFonts w:cs="Calibri"/>
                <w:color w:val="000000"/>
                <w:sz w:val="20"/>
              </w:rPr>
              <w:t>2</w:t>
            </w:r>
          </w:p>
        </w:tc>
        <w:tc>
          <w:tcPr>
            <w:tcW w:w="639" w:type="pct"/>
            <w:tcBorders>
              <w:top w:val="nil"/>
              <w:left w:val="single" w:sz="4" w:space="0" w:color="auto"/>
              <w:bottom w:val="nil"/>
              <w:right w:val="nil"/>
            </w:tcBorders>
            <w:shd w:val="clear" w:color="auto" w:fill="auto"/>
            <w:noWrap/>
            <w:vAlign w:val="bottom"/>
            <w:hideMark/>
          </w:tcPr>
          <w:p w14:paraId="5D38EC37" w14:textId="5385B0F5" w:rsidR="00285C63" w:rsidRPr="004E74A6" w:rsidRDefault="00285C63" w:rsidP="00CE62C1">
            <w:pPr>
              <w:spacing w:line="276" w:lineRule="auto"/>
              <w:jc w:val="center"/>
              <w:rPr>
                <w:rFonts w:cs="Calibri"/>
                <w:color w:val="000000"/>
                <w:sz w:val="20"/>
                <w:lang w:eastAsia="es-CR"/>
              </w:rPr>
            </w:pPr>
            <w:r w:rsidRPr="004E74A6">
              <w:rPr>
                <w:rFonts w:cs="Calibri"/>
                <w:color w:val="000000"/>
                <w:sz w:val="20"/>
              </w:rPr>
              <w:t>2,3</w:t>
            </w:r>
          </w:p>
        </w:tc>
        <w:tc>
          <w:tcPr>
            <w:tcW w:w="1337" w:type="pct"/>
            <w:tcBorders>
              <w:top w:val="nil"/>
              <w:left w:val="single" w:sz="4" w:space="0" w:color="auto"/>
              <w:bottom w:val="nil"/>
              <w:right w:val="nil"/>
            </w:tcBorders>
            <w:shd w:val="clear" w:color="auto" w:fill="auto"/>
            <w:vAlign w:val="bottom"/>
          </w:tcPr>
          <w:p w14:paraId="166D2089" w14:textId="301AF41B" w:rsidR="00285C63" w:rsidRPr="004E74A6" w:rsidRDefault="00285C63" w:rsidP="00CE62C1">
            <w:pPr>
              <w:spacing w:line="276" w:lineRule="auto"/>
              <w:jc w:val="center"/>
              <w:rPr>
                <w:rFonts w:cs="Calibri"/>
                <w:color w:val="000000"/>
                <w:sz w:val="20"/>
              </w:rPr>
            </w:pPr>
            <w:r w:rsidRPr="004E74A6">
              <w:rPr>
                <w:rFonts w:cs="Calibri"/>
                <w:color w:val="000000"/>
                <w:sz w:val="20"/>
              </w:rPr>
              <w:t>66%</w:t>
            </w:r>
          </w:p>
        </w:tc>
      </w:tr>
      <w:tr w:rsidR="00285C63" w:rsidRPr="004E74A6" w14:paraId="36924091" w14:textId="58E0F20F" w:rsidTr="00285C63">
        <w:trPr>
          <w:trHeight w:val="288"/>
          <w:jc w:val="center"/>
        </w:trPr>
        <w:tc>
          <w:tcPr>
            <w:tcW w:w="1597" w:type="pct"/>
            <w:tcBorders>
              <w:top w:val="nil"/>
              <w:left w:val="nil"/>
              <w:bottom w:val="nil"/>
              <w:right w:val="single" w:sz="4" w:space="0" w:color="auto"/>
            </w:tcBorders>
            <w:shd w:val="clear" w:color="auto" w:fill="auto"/>
            <w:noWrap/>
            <w:vAlign w:val="bottom"/>
            <w:hideMark/>
          </w:tcPr>
          <w:p w14:paraId="6365C055" w14:textId="77777777" w:rsidR="00285C63" w:rsidRPr="004E74A6" w:rsidRDefault="00285C63" w:rsidP="00CE62C1">
            <w:pPr>
              <w:spacing w:line="276" w:lineRule="auto"/>
              <w:jc w:val="left"/>
              <w:rPr>
                <w:rFonts w:cs="Calibri"/>
                <w:color w:val="000000"/>
                <w:sz w:val="20"/>
                <w:lang w:eastAsia="es-CR"/>
              </w:rPr>
            </w:pPr>
            <w:r w:rsidRPr="004E74A6">
              <w:rPr>
                <w:rFonts w:cs="Calibri"/>
                <w:color w:val="000000"/>
                <w:sz w:val="20"/>
                <w:lang w:eastAsia="es-CR"/>
              </w:rPr>
              <w:t>De ¢25.000.001 A ¢30.000.000</w:t>
            </w:r>
          </w:p>
        </w:tc>
        <w:tc>
          <w:tcPr>
            <w:tcW w:w="477" w:type="pct"/>
            <w:tcBorders>
              <w:top w:val="nil"/>
              <w:left w:val="single" w:sz="4" w:space="0" w:color="auto"/>
              <w:bottom w:val="nil"/>
              <w:right w:val="single" w:sz="4" w:space="0" w:color="auto"/>
            </w:tcBorders>
            <w:shd w:val="clear" w:color="auto" w:fill="auto"/>
            <w:noWrap/>
            <w:vAlign w:val="center"/>
            <w:hideMark/>
          </w:tcPr>
          <w:p w14:paraId="51906DCC" w14:textId="6D11402D" w:rsidR="00285C63" w:rsidRPr="004E74A6" w:rsidRDefault="00285C63" w:rsidP="00CE62C1">
            <w:pPr>
              <w:spacing w:line="276" w:lineRule="auto"/>
              <w:jc w:val="center"/>
              <w:rPr>
                <w:rFonts w:cs="Calibri"/>
                <w:color w:val="000000"/>
                <w:sz w:val="20"/>
                <w:lang w:eastAsia="es-CR"/>
              </w:rPr>
            </w:pPr>
            <w:r w:rsidRPr="004E74A6">
              <w:rPr>
                <w:rFonts w:cs="Calibri"/>
                <w:color w:val="000000"/>
                <w:sz w:val="20"/>
              </w:rPr>
              <w:t>3</w:t>
            </w:r>
          </w:p>
        </w:tc>
        <w:tc>
          <w:tcPr>
            <w:tcW w:w="475" w:type="pct"/>
            <w:tcBorders>
              <w:top w:val="nil"/>
              <w:left w:val="single" w:sz="4" w:space="0" w:color="auto"/>
              <w:bottom w:val="nil"/>
              <w:right w:val="single" w:sz="4" w:space="0" w:color="auto"/>
            </w:tcBorders>
            <w:shd w:val="clear" w:color="auto" w:fill="auto"/>
            <w:noWrap/>
            <w:vAlign w:val="center"/>
            <w:hideMark/>
          </w:tcPr>
          <w:p w14:paraId="2CD0FAAF" w14:textId="7A53A6BF" w:rsidR="00285C63" w:rsidRPr="004E74A6" w:rsidRDefault="00285C63" w:rsidP="00CE62C1">
            <w:pPr>
              <w:spacing w:line="276" w:lineRule="auto"/>
              <w:jc w:val="center"/>
              <w:rPr>
                <w:rFonts w:cs="Calibri"/>
                <w:color w:val="000000"/>
                <w:sz w:val="20"/>
                <w:lang w:eastAsia="es-CR"/>
              </w:rPr>
            </w:pPr>
            <w:r w:rsidRPr="004E74A6">
              <w:rPr>
                <w:rFonts w:cs="Calibri"/>
                <w:color w:val="000000"/>
                <w:sz w:val="20"/>
              </w:rPr>
              <w:t>3</w:t>
            </w:r>
          </w:p>
        </w:tc>
        <w:tc>
          <w:tcPr>
            <w:tcW w:w="475" w:type="pct"/>
            <w:tcBorders>
              <w:top w:val="nil"/>
              <w:left w:val="single" w:sz="4" w:space="0" w:color="auto"/>
              <w:bottom w:val="nil"/>
              <w:right w:val="single" w:sz="4" w:space="0" w:color="auto"/>
            </w:tcBorders>
            <w:shd w:val="clear" w:color="auto" w:fill="auto"/>
            <w:noWrap/>
            <w:vAlign w:val="center"/>
            <w:hideMark/>
          </w:tcPr>
          <w:p w14:paraId="682DE1AA" w14:textId="4F39DE77" w:rsidR="00285C63" w:rsidRPr="004E74A6" w:rsidRDefault="00285C63" w:rsidP="00CE62C1">
            <w:pPr>
              <w:spacing w:line="276" w:lineRule="auto"/>
              <w:jc w:val="center"/>
              <w:rPr>
                <w:rFonts w:cs="Calibri"/>
                <w:color w:val="000000"/>
                <w:sz w:val="20"/>
                <w:lang w:eastAsia="es-CR"/>
              </w:rPr>
            </w:pPr>
            <w:r w:rsidRPr="004E74A6">
              <w:rPr>
                <w:rFonts w:cs="Calibri"/>
                <w:color w:val="000000"/>
                <w:sz w:val="20"/>
              </w:rPr>
              <w:t>2</w:t>
            </w:r>
          </w:p>
        </w:tc>
        <w:tc>
          <w:tcPr>
            <w:tcW w:w="639" w:type="pct"/>
            <w:tcBorders>
              <w:top w:val="nil"/>
              <w:left w:val="single" w:sz="4" w:space="0" w:color="auto"/>
              <w:bottom w:val="nil"/>
              <w:right w:val="nil"/>
            </w:tcBorders>
            <w:shd w:val="clear" w:color="auto" w:fill="auto"/>
            <w:noWrap/>
            <w:vAlign w:val="bottom"/>
            <w:hideMark/>
          </w:tcPr>
          <w:p w14:paraId="43372BA5" w14:textId="13535BE7" w:rsidR="00285C63" w:rsidRPr="004E74A6" w:rsidRDefault="00285C63" w:rsidP="00CE62C1">
            <w:pPr>
              <w:spacing w:line="276" w:lineRule="auto"/>
              <w:jc w:val="center"/>
              <w:rPr>
                <w:rFonts w:cs="Calibri"/>
                <w:color w:val="000000"/>
                <w:sz w:val="20"/>
                <w:lang w:eastAsia="es-CR"/>
              </w:rPr>
            </w:pPr>
            <w:r w:rsidRPr="004E74A6">
              <w:rPr>
                <w:rFonts w:cs="Calibri"/>
                <w:color w:val="000000"/>
                <w:sz w:val="20"/>
              </w:rPr>
              <w:t>2,7</w:t>
            </w:r>
          </w:p>
        </w:tc>
        <w:tc>
          <w:tcPr>
            <w:tcW w:w="1337" w:type="pct"/>
            <w:tcBorders>
              <w:top w:val="nil"/>
              <w:left w:val="single" w:sz="4" w:space="0" w:color="auto"/>
              <w:bottom w:val="nil"/>
              <w:right w:val="nil"/>
            </w:tcBorders>
            <w:shd w:val="clear" w:color="auto" w:fill="auto"/>
            <w:vAlign w:val="bottom"/>
          </w:tcPr>
          <w:p w14:paraId="48B302B0" w14:textId="15138947" w:rsidR="00285C63" w:rsidRPr="004E74A6" w:rsidRDefault="00285C63" w:rsidP="00CE62C1">
            <w:pPr>
              <w:spacing w:line="276" w:lineRule="auto"/>
              <w:jc w:val="center"/>
              <w:rPr>
                <w:rFonts w:cs="Calibri"/>
                <w:color w:val="000000"/>
                <w:sz w:val="20"/>
              </w:rPr>
            </w:pPr>
            <w:r w:rsidRPr="004E74A6">
              <w:rPr>
                <w:rFonts w:cs="Calibri"/>
                <w:color w:val="000000"/>
                <w:sz w:val="20"/>
              </w:rPr>
              <w:t>73%</w:t>
            </w:r>
          </w:p>
        </w:tc>
      </w:tr>
      <w:tr w:rsidR="00285C63" w:rsidRPr="004E74A6" w14:paraId="022E9A33" w14:textId="2FD99A6D" w:rsidTr="00285C63">
        <w:trPr>
          <w:trHeight w:val="288"/>
          <w:jc w:val="center"/>
        </w:trPr>
        <w:tc>
          <w:tcPr>
            <w:tcW w:w="1597" w:type="pct"/>
            <w:tcBorders>
              <w:top w:val="nil"/>
              <w:left w:val="nil"/>
              <w:bottom w:val="nil"/>
              <w:right w:val="single" w:sz="4" w:space="0" w:color="auto"/>
            </w:tcBorders>
            <w:shd w:val="clear" w:color="auto" w:fill="auto"/>
            <w:noWrap/>
            <w:vAlign w:val="bottom"/>
            <w:hideMark/>
          </w:tcPr>
          <w:p w14:paraId="23C3DC89" w14:textId="77777777" w:rsidR="00285C63" w:rsidRPr="004E74A6" w:rsidRDefault="00285C63" w:rsidP="00CE62C1">
            <w:pPr>
              <w:spacing w:line="276" w:lineRule="auto"/>
              <w:jc w:val="left"/>
              <w:rPr>
                <w:rFonts w:cs="Calibri"/>
                <w:color w:val="000000"/>
                <w:sz w:val="20"/>
                <w:lang w:eastAsia="es-CR"/>
              </w:rPr>
            </w:pPr>
            <w:r w:rsidRPr="004E74A6">
              <w:rPr>
                <w:rFonts w:cs="Calibri"/>
                <w:color w:val="000000"/>
                <w:sz w:val="20"/>
                <w:lang w:eastAsia="es-CR"/>
              </w:rPr>
              <w:t>De ¢30.000.001 A ¢35.000.000</w:t>
            </w:r>
          </w:p>
        </w:tc>
        <w:tc>
          <w:tcPr>
            <w:tcW w:w="477" w:type="pct"/>
            <w:tcBorders>
              <w:top w:val="nil"/>
              <w:left w:val="single" w:sz="4" w:space="0" w:color="auto"/>
              <w:bottom w:val="nil"/>
              <w:right w:val="single" w:sz="4" w:space="0" w:color="auto"/>
            </w:tcBorders>
            <w:shd w:val="clear" w:color="auto" w:fill="auto"/>
            <w:noWrap/>
            <w:vAlign w:val="center"/>
            <w:hideMark/>
          </w:tcPr>
          <w:p w14:paraId="2BF02FCA" w14:textId="7FF96A48" w:rsidR="00285C63" w:rsidRPr="004E74A6" w:rsidRDefault="00285C63" w:rsidP="00CE62C1">
            <w:pPr>
              <w:spacing w:line="276" w:lineRule="auto"/>
              <w:jc w:val="center"/>
              <w:rPr>
                <w:rFonts w:cs="Calibri"/>
                <w:color w:val="000000"/>
                <w:sz w:val="20"/>
                <w:lang w:eastAsia="es-CR"/>
              </w:rPr>
            </w:pPr>
            <w:r w:rsidRPr="004E74A6">
              <w:rPr>
                <w:rFonts w:cs="Calibri"/>
                <w:color w:val="000000"/>
                <w:sz w:val="20"/>
              </w:rPr>
              <w:t>0</w:t>
            </w:r>
          </w:p>
        </w:tc>
        <w:tc>
          <w:tcPr>
            <w:tcW w:w="475" w:type="pct"/>
            <w:tcBorders>
              <w:top w:val="nil"/>
              <w:left w:val="single" w:sz="4" w:space="0" w:color="auto"/>
              <w:bottom w:val="nil"/>
              <w:right w:val="single" w:sz="4" w:space="0" w:color="auto"/>
            </w:tcBorders>
            <w:shd w:val="clear" w:color="auto" w:fill="auto"/>
            <w:noWrap/>
            <w:vAlign w:val="center"/>
            <w:hideMark/>
          </w:tcPr>
          <w:p w14:paraId="38661ED1" w14:textId="2D7566E5" w:rsidR="00285C63" w:rsidRPr="004E74A6" w:rsidRDefault="00285C63" w:rsidP="00CE62C1">
            <w:pPr>
              <w:spacing w:line="276" w:lineRule="auto"/>
              <w:jc w:val="center"/>
              <w:rPr>
                <w:rFonts w:cs="Calibri"/>
                <w:color w:val="000000"/>
                <w:sz w:val="20"/>
                <w:lang w:eastAsia="es-CR"/>
              </w:rPr>
            </w:pPr>
            <w:r w:rsidRPr="004E74A6">
              <w:rPr>
                <w:rFonts w:cs="Calibri"/>
                <w:color w:val="000000"/>
                <w:sz w:val="20"/>
              </w:rPr>
              <w:t>1</w:t>
            </w:r>
          </w:p>
        </w:tc>
        <w:tc>
          <w:tcPr>
            <w:tcW w:w="475" w:type="pct"/>
            <w:tcBorders>
              <w:top w:val="nil"/>
              <w:left w:val="single" w:sz="4" w:space="0" w:color="auto"/>
              <w:bottom w:val="nil"/>
              <w:right w:val="single" w:sz="4" w:space="0" w:color="auto"/>
            </w:tcBorders>
            <w:shd w:val="clear" w:color="auto" w:fill="auto"/>
            <w:noWrap/>
            <w:vAlign w:val="center"/>
            <w:hideMark/>
          </w:tcPr>
          <w:p w14:paraId="40B907E0" w14:textId="6F5084A4" w:rsidR="00285C63" w:rsidRPr="004E74A6" w:rsidRDefault="00285C63" w:rsidP="00CE62C1">
            <w:pPr>
              <w:spacing w:line="276" w:lineRule="auto"/>
              <w:jc w:val="center"/>
              <w:rPr>
                <w:rFonts w:cs="Calibri"/>
                <w:color w:val="000000"/>
                <w:sz w:val="20"/>
                <w:lang w:eastAsia="es-CR"/>
              </w:rPr>
            </w:pPr>
            <w:r w:rsidRPr="004E74A6">
              <w:rPr>
                <w:rFonts w:cs="Calibri"/>
                <w:color w:val="000000"/>
                <w:sz w:val="20"/>
              </w:rPr>
              <w:t>3</w:t>
            </w:r>
          </w:p>
        </w:tc>
        <w:tc>
          <w:tcPr>
            <w:tcW w:w="639" w:type="pct"/>
            <w:tcBorders>
              <w:top w:val="nil"/>
              <w:left w:val="single" w:sz="4" w:space="0" w:color="auto"/>
              <w:bottom w:val="nil"/>
              <w:right w:val="nil"/>
            </w:tcBorders>
            <w:shd w:val="clear" w:color="auto" w:fill="auto"/>
            <w:noWrap/>
            <w:vAlign w:val="bottom"/>
            <w:hideMark/>
          </w:tcPr>
          <w:p w14:paraId="156FEEF3" w14:textId="5DED453C" w:rsidR="00285C63" w:rsidRPr="004E74A6" w:rsidRDefault="00285C63" w:rsidP="00CE62C1">
            <w:pPr>
              <w:spacing w:line="276" w:lineRule="auto"/>
              <w:jc w:val="center"/>
              <w:rPr>
                <w:rFonts w:cs="Calibri"/>
                <w:color w:val="000000"/>
                <w:sz w:val="20"/>
                <w:lang w:eastAsia="es-CR"/>
              </w:rPr>
            </w:pPr>
            <w:r w:rsidRPr="004E74A6">
              <w:rPr>
                <w:rFonts w:cs="Calibri"/>
                <w:color w:val="000000"/>
                <w:sz w:val="20"/>
              </w:rPr>
              <w:t>1,3</w:t>
            </w:r>
          </w:p>
        </w:tc>
        <w:tc>
          <w:tcPr>
            <w:tcW w:w="1337" w:type="pct"/>
            <w:tcBorders>
              <w:top w:val="nil"/>
              <w:left w:val="single" w:sz="4" w:space="0" w:color="auto"/>
              <w:bottom w:val="nil"/>
              <w:right w:val="nil"/>
            </w:tcBorders>
            <w:shd w:val="clear" w:color="auto" w:fill="auto"/>
            <w:vAlign w:val="bottom"/>
          </w:tcPr>
          <w:p w14:paraId="4A060929" w14:textId="298617A0" w:rsidR="00285C63" w:rsidRPr="004E74A6" w:rsidRDefault="00285C63" w:rsidP="00CE62C1">
            <w:pPr>
              <w:spacing w:line="276" w:lineRule="auto"/>
              <w:jc w:val="center"/>
              <w:rPr>
                <w:rFonts w:cs="Calibri"/>
                <w:color w:val="000000"/>
                <w:sz w:val="20"/>
              </w:rPr>
            </w:pPr>
            <w:r w:rsidRPr="004E74A6">
              <w:rPr>
                <w:rFonts w:cs="Calibri"/>
                <w:color w:val="000000"/>
                <w:sz w:val="20"/>
              </w:rPr>
              <w:t>76%</w:t>
            </w:r>
          </w:p>
        </w:tc>
      </w:tr>
      <w:tr w:rsidR="00285C63" w:rsidRPr="004E74A6" w14:paraId="05746B85" w14:textId="3525E118" w:rsidTr="00285C63">
        <w:trPr>
          <w:trHeight w:val="288"/>
          <w:jc w:val="center"/>
        </w:trPr>
        <w:tc>
          <w:tcPr>
            <w:tcW w:w="1597" w:type="pct"/>
            <w:tcBorders>
              <w:top w:val="nil"/>
              <w:left w:val="nil"/>
              <w:bottom w:val="nil"/>
              <w:right w:val="single" w:sz="4" w:space="0" w:color="auto"/>
            </w:tcBorders>
            <w:shd w:val="clear" w:color="auto" w:fill="auto"/>
            <w:noWrap/>
            <w:vAlign w:val="bottom"/>
            <w:hideMark/>
          </w:tcPr>
          <w:p w14:paraId="50DE59AA" w14:textId="77777777" w:rsidR="00285C63" w:rsidRPr="004E74A6" w:rsidRDefault="00285C63" w:rsidP="00CE62C1">
            <w:pPr>
              <w:spacing w:line="276" w:lineRule="auto"/>
              <w:jc w:val="left"/>
              <w:rPr>
                <w:rFonts w:cs="Calibri"/>
                <w:color w:val="000000"/>
                <w:sz w:val="20"/>
                <w:lang w:eastAsia="es-CR"/>
              </w:rPr>
            </w:pPr>
            <w:r w:rsidRPr="004E74A6">
              <w:rPr>
                <w:rFonts w:cs="Calibri"/>
                <w:color w:val="000000"/>
                <w:sz w:val="20"/>
                <w:lang w:eastAsia="es-CR"/>
              </w:rPr>
              <w:t>De ¢35.000.001 A ¢40.000.000</w:t>
            </w:r>
          </w:p>
        </w:tc>
        <w:tc>
          <w:tcPr>
            <w:tcW w:w="477" w:type="pct"/>
            <w:tcBorders>
              <w:top w:val="nil"/>
              <w:left w:val="single" w:sz="4" w:space="0" w:color="auto"/>
              <w:bottom w:val="nil"/>
              <w:right w:val="single" w:sz="4" w:space="0" w:color="auto"/>
            </w:tcBorders>
            <w:shd w:val="clear" w:color="auto" w:fill="auto"/>
            <w:noWrap/>
            <w:vAlign w:val="center"/>
            <w:hideMark/>
          </w:tcPr>
          <w:p w14:paraId="7D229F01" w14:textId="17657971" w:rsidR="00285C63" w:rsidRPr="004E74A6" w:rsidRDefault="00285C63" w:rsidP="00CE62C1">
            <w:pPr>
              <w:spacing w:line="276" w:lineRule="auto"/>
              <w:jc w:val="center"/>
              <w:rPr>
                <w:rFonts w:cs="Calibri"/>
                <w:color w:val="000000"/>
                <w:sz w:val="20"/>
                <w:lang w:eastAsia="es-CR"/>
              </w:rPr>
            </w:pPr>
            <w:r w:rsidRPr="004E74A6">
              <w:rPr>
                <w:rFonts w:cs="Calibri"/>
                <w:color w:val="000000"/>
                <w:sz w:val="20"/>
              </w:rPr>
              <w:t>1</w:t>
            </w:r>
          </w:p>
        </w:tc>
        <w:tc>
          <w:tcPr>
            <w:tcW w:w="475" w:type="pct"/>
            <w:tcBorders>
              <w:top w:val="nil"/>
              <w:left w:val="single" w:sz="4" w:space="0" w:color="auto"/>
              <w:bottom w:val="nil"/>
              <w:right w:val="single" w:sz="4" w:space="0" w:color="auto"/>
            </w:tcBorders>
            <w:shd w:val="clear" w:color="auto" w:fill="auto"/>
            <w:noWrap/>
            <w:vAlign w:val="center"/>
            <w:hideMark/>
          </w:tcPr>
          <w:p w14:paraId="343AEED0" w14:textId="69E9739C" w:rsidR="00285C63" w:rsidRPr="004E74A6" w:rsidRDefault="00285C63" w:rsidP="00CE62C1">
            <w:pPr>
              <w:spacing w:line="276" w:lineRule="auto"/>
              <w:jc w:val="center"/>
              <w:rPr>
                <w:rFonts w:cs="Calibri"/>
                <w:color w:val="000000"/>
                <w:sz w:val="20"/>
                <w:lang w:eastAsia="es-CR"/>
              </w:rPr>
            </w:pPr>
            <w:r w:rsidRPr="004E74A6">
              <w:rPr>
                <w:rFonts w:cs="Calibri"/>
                <w:color w:val="000000"/>
                <w:sz w:val="20"/>
              </w:rPr>
              <w:t>2</w:t>
            </w:r>
          </w:p>
        </w:tc>
        <w:tc>
          <w:tcPr>
            <w:tcW w:w="475" w:type="pct"/>
            <w:tcBorders>
              <w:top w:val="nil"/>
              <w:left w:val="single" w:sz="4" w:space="0" w:color="auto"/>
              <w:bottom w:val="nil"/>
              <w:right w:val="single" w:sz="4" w:space="0" w:color="auto"/>
            </w:tcBorders>
            <w:shd w:val="clear" w:color="auto" w:fill="auto"/>
            <w:noWrap/>
            <w:vAlign w:val="center"/>
            <w:hideMark/>
          </w:tcPr>
          <w:p w14:paraId="53E8685E" w14:textId="2C19D695" w:rsidR="00285C63" w:rsidRPr="004E74A6" w:rsidRDefault="00285C63" w:rsidP="00CE62C1">
            <w:pPr>
              <w:spacing w:line="276" w:lineRule="auto"/>
              <w:jc w:val="center"/>
              <w:rPr>
                <w:rFonts w:cs="Calibri"/>
                <w:color w:val="000000"/>
                <w:sz w:val="20"/>
                <w:lang w:eastAsia="es-CR"/>
              </w:rPr>
            </w:pPr>
            <w:r w:rsidRPr="004E74A6">
              <w:rPr>
                <w:rFonts w:cs="Calibri"/>
                <w:color w:val="000000"/>
                <w:sz w:val="20"/>
              </w:rPr>
              <w:t>3</w:t>
            </w:r>
          </w:p>
        </w:tc>
        <w:tc>
          <w:tcPr>
            <w:tcW w:w="639" w:type="pct"/>
            <w:tcBorders>
              <w:top w:val="nil"/>
              <w:left w:val="single" w:sz="4" w:space="0" w:color="auto"/>
              <w:bottom w:val="nil"/>
              <w:right w:val="nil"/>
            </w:tcBorders>
            <w:shd w:val="clear" w:color="auto" w:fill="auto"/>
            <w:noWrap/>
            <w:vAlign w:val="bottom"/>
            <w:hideMark/>
          </w:tcPr>
          <w:p w14:paraId="15F8D0F1" w14:textId="0D615599" w:rsidR="00285C63" w:rsidRPr="004E74A6" w:rsidRDefault="00285C63" w:rsidP="00CE62C1">
            <w:pPr>
              <w:spacing w:line="276" w:lineRule="auto"/>
              <w:jc w:val="center"/>
              <w:rPr>
                <w:rFonts w:cs="Calibri"/>
                <w:color w:val="000000"/>
                <w:sz w:val="20"/>
                <w:lang w:eastAsia="es-CR"/>
              </w:rPr>
            </w:pPr>
            <w:r w:rsidRPr="004E74A6">
              <w:rPr>
                <w:rFonts w:cs="Calibri"/>
                <w:color w:val="000000"/>
                <w:sz w:val="20"/>
              </w:rPr>
              <w:t>2,0</w:t>
            </w:r>
          </w:p>
        </w:tc>
        <w:tc>
          <w:tcPr>
            <w:tcW w:w="1337" w:type="pct"/>
            <w:tcBorders>
              <w:top w:val="nil"/>
              <w:left w:val="single" w:sz="4" w:space="0" w:color="auto"/>
              <w:bottom w:val="nil"/>
              <w:right w:val="nil"/>
            </w:tcBorders>
            <w:shd w:val="clear" w:color="auto" w:fill="auto"/>
            <w:vAlign w:val="bottom"/>
          </w:tcPr>
          <w:p w14:paraId="09391796" w14:textId="18451CC2" w:rsidR="00285C63" w:rsidRPr="004E74A6" w:rsidRDefault="00285C63" w:rsidP="00CE62C1">
            <w:pPr>
              <w:spacing w:line="276" w:lineRule="auto"/>
              <w:jc w:val="center"/>
              <w:rPr>
                <w:rFonts w:cs="Calibri"/>
                <w:color w:val="000000"/>
                <w:sz w:val="20"/>
              </w:rPr>
            </w:pPr>
            <w:r w:rsidRPr="004E74A6">
              <w:rPr>
                <w:rFonts w:cs="Calibri"/>
                <w:color w:val="000000"/>
                <w:sz w:val="20"/>
              </w:rPr>
              <w:t>80%</w:t>
            </w:r>
          </w:p>
        </w:tc>
      </w:tr>
      <w:tr w:rsidR="00285C63" w:rsidRPr="004E74A6" w14:paraId="0F05276D" w14:textId="78EBA094" w:rsidTr="00285C63">
        <w:trPr>
          <w:trHeight w:val="288"/>
          <w:jc w:val="center"/>
        </w:trPr>
        <w:tc>
          <w:tcPr>
            <w:tcW w:w="1597" w:type="pct"/>
            <w:tcBorders>
              <w:top w:val="nil"/>
              <w:left w:val="nil"/>
              <w:bottom w:val="nil"/>
              <w:right w:val="single" w:sz="4" w:space="0" w:color="auto"/>
            </w:tcBorders>
            <w:shd w:val="clear" w:color="auto" w:fill="auto"/>
            <w:noWrap/>
            <w:vAlign w:val="bottom"/>
            <w:hideMark/>
          </w:tcPr>
          <w:p w14:paraId="5E4D891C" w14:textId="77777777" w:rsidR="00285C63" w:rsidRPr="004E74A6" w:rsidRDefault="00285C63" w:rsidP="00CE62C1">
            <w:pPr>
              <w:spacing w:line="276" w:lineRule="auto"/>
              <w:jc w:val="left"/>
              <w:rPr>
                <w:rFonts w:cs="Calibri"/>
                <w:color w:val="000000"/>
                <w:sz w:val="20"/>
                <w:lang w:eastAsia="es-CR"/>
              </w:rPr>
            </w:pPr>
            <w:r w:rsidRPr="004E74A6">
              <w:rPr>
                <w:rFonts w:cs="Calibri"/>
                <w:color w:val="000000"/>
                <w:sz w:val="20"/>
                <w:lang w:eastAsia="es-CR"/>
              </w:rPr>
              <w:t>De ¢40.000.001 A ¢45.000.000</w:t>
            </w:r>
          </w:p>
        </w:tc>
        <w:tc>
          <w:tcPr>
            <w:tcW w:w="477" w:type="pct"/>
            <w:tcBorders>
              <w:top w:val="nil"/>
              <w:left w:val="single" w:sz="4" w:space="0" w:color="auto"/>
              <w:bottom w:val="nil"/>
              <w:right w:val="single" w:sz="4" w:space="0" w:color="auto"/>
            </w:tcBorders>
            <w:shd w:val="clear" w:color="auto" w:fill="auto"/>
            <w:noWrap/>
            <w:vAlign w:val="center"/>
            <w:hideMark/>
          </w:tcPr>
          <w:p w14:paraId="5F91CF10" w14:textId="0752DF4D" w:rsidR="00285C63" w:rsidRPr="004E74A6" w:rsidRDefault="00285C63" w:rsidP="00CE62C1">
            <w:pPr>
              <w:spacing w:line="276" w:lineRule="auto"/>
              <w:jc w:val="center"/>
              <w:rPr>
                <w:rFonts w:cs="Calibri"/>
                <w:color w:val="000000"/>
                <w:sz w:val="20"/>
                <w:lang w:eastAsia="es-CR"/>
              </w:rPr>
            </w:pPr>
            <w:r w:rsidRPr="004E74A6">
              <w:rPr>
                <w:rFonts w:cs="Calibri"/>
                <w:color w:val="000000"/>
                <w:sz w:val="20"/>
              </w:rPr>
              <w:t>1</w:t>
            </w:r>
          </w:p>
        </w:tc>
        <w:tc>
          <w:tcPr>
            <w:tcW w:w="475" w:type="pct"/>
            <w:tcBorders>
              <w:top w:val="nil"/>
              <w:left w:val="single" w:sz="4" w:space="0" w:color="auto"/>
              <w:bottom w:val="nil"/>
              <w:right w:val="single" w:sz="4" w:space="0" w:color="auto"/>
            </w:tcBorders>
            <w:shd w:val="clear" w:color="auto" w:fill="auto"/>
            <w:noWrap/>
            <w:vAlign w:val="center"/>
            <w:hideMark/>
          </w:tcPr>
          <w:p w14:paraId="77C1751F" w14:textId="5A389E43" w:rsidR="00285C63" w:rsidRPr="004E74A6" w:rsidRDefault="00285C63" w:rsidP="00CE62C1">
            <w:pPr>
              <w:spacing w:line="276" w:lineRule="auto"/>
              <w:jc w:val="center"/>
              <w:rPr>
                <w:rFonts w:cs="Calibri"/>
                <w:color w:val="000000"/>
                <w:sz w:val="20"/>
                <w:lang w:eastAsia="es-CR"/>
              </w:rPr>
            </w:pPr>
            <w:r w:rsidRPr="004E74A6">
              <w:rPr>
                <w:rFonts w:cs="Calibri"/>
                <w:color w:val="000000"/>
                <w:sz w:val="20"/>
              </w:rPr>
              <w:t>2</w:t>
            </w:r>
          </w:p>
        </w:tc>
        <w:tc>
          <w:tcPr>
            <w:tcW w:w="475" w:type="pct"/>
            <w:tcBorders>
              <w:top w:val="nil"/>
              <w:left w:val="single" w:sz="4" w:space="0" w:color="auto"/>
              <w:bottom w:val="nil"/>
              <w:right w:val="single" w:sz="4" w:space="0" w:color="auto"/>
            </w:tcBorders>
            <w:shd w:val="clear" w:color="auto" w:fill="auto"/>
            <w:noWrap/>
            <w:vAlign w:val="center"/>
            <w:hideMark/>
          </w:tcPr>
          <w:p w14:paraId="53B71E12" w14:textId="491C4861" w:rsidR="00285C63" w:rsidRPr="004E74A6" w:rsidRDefault="00285C63" w:rsidP="00CE62C1">
            <w:pPr>
              <w:spacing w:line="276" w:lineRule="auto"/>
              <w:jc w:val="center"/>
              <w:rPr>
                <w:rFonts w:cs="Calibri"/>
                <w:color w:val="000000"/>
                <w:sz w:val="20"/>
                <w:lang w:eastAsia="es-CR"/>
              </w:rPr>
            </w:pPr>
            <w:r w:rsidRPr="004E74A6">
              <w:rPr>
                <w:rFonts w:cs="Calibri"/>
                <w:color w:val="000000"/>
                <w:sz w:val="20"/>
              </w:rPr>
              <w:t>0</w:t>
            </w:r>
          </w:p>
        </w:tc>
        <w:tc>
          <w:tcPr>
            <w:tcW w:w="639" w:type="pct"/>
            <w:tcBorders>
              <w:top w:val="nil"/>
              <w:left w:val="single" w:sz="4" w:space="0" w:color="auto"/>
              <w:bottom w:val="nil"/>
              <w:right w:val="nil"/>
            </w:tcBorders>
            <w:shd w:val="clear" w:color="auto" w:fill="auto"/>
            <w:noWrap/>
            <w:vAlign w:val="bottom"/>
            <w:hideMark/>
          </w:tcPr>
          <w:p w14:paraId="33098376" w14:textId="0786D39E" w:rsidR="00285C63" w:rsidRPr="004E74A6" w:rsidRDefault="00285C63" w:rsidP="00CE62C1">
            <w:pPr>
              <w:spacing w:line="276" w:lineRule="auto"/>
              <w:jc w:val="center"/>
              <w:rPr>
                <w:rFonts w:cs="Calibri"/>
                <w:color w:val="000000"/>
                <w:sz w:val="20"/>
                <w:lang w:eastAsia="es-CR"/>
              </w:rPr>
            </w:pPr>
            <w:r w:rsidRPr="004E74A6">
              <w:rPr>
                <w:rFonts w:cs="Calibri"/>
                <w:color w:val="000000"/>
                <w:sz w:val="20"/>
              </w:rPr>
              <w:t>1,0</w:t>
            </w:r>
          </w:p>
        </w:tc>
        <w:tc>
          <w:tcPr>
            <w:tcW w:w="1337" w:type="pct"/>
            <w:tcBorders>
              <w:top w:val="nil"/>
              <w:left w:val="single" w:sz="4" w:space="0" w:color="auto"/>
              <w:bottom w:val="nil"/>
              <w:right w:val="nil"/>
            </w:tcBorders>
            <w:shd w:val="clear" w:color="auto" w:fill="auto"/>
            <w:vAlign w:val="bottom"/>
          </w:tcPr>
          <w:p w14:paraId="027C553D" w14:textId="2E6D0AD4" w:rsidR="00285C63" w:rsidRPr="004E74A6" w:rsidRDefault="00285C63" w:rsidP="00CE62C1">
            <w:pPr>
              <w:spacing w:line="276" w:lineRule="auto"/>
              <w:jc w:val="center"/>
              <w:rPr>
                <w:rFonts w:cs="Calibri"/>
                <w:color w:val="000000"/>
                <w:sz w:val="20"/>
              </w:rPr>
            </w:pPr>
            <w:r w:rsidRPr="004E74A6">
              <w:rPr>
                <w:rFonts w:cs="Calibri"/>
                <w:color w:val="000000"/>
                <w:sz w:val="20"/>
              </w:rPr>
              <w:t>82%</w:t>
            </w:r>
          </w:p>
        </w:tc>
      </w:tr>
      <w:tr w:rsidR="00285C63" w:rsidRPr="004E74A6" w14:paraId="75BEEAB8" w14:textId="22D6FC31" w:rsidTr="00285C63">
        <w:trPr>
          <w:trHeight w:val="288"/>
          <w:jc w:val="center"/>
        </w:trPr>
        <w:tc>
          <w:tcPr>
            <w:tcW w:w="1597" w:type="pct"/>
            <w:tcBorders>
              <w:top w:val="nil"/>
              <w:left w:val="nil"/>
              <w:bottom w:val="nil"/>
              <w:right w:val="single" w:sz="4" w:space="0" w:color="auto"/>
            </w:tcBorders>
            <w:shd w:val="clear" w:color="auto" w:fill="auto"/>
            <w:noWrap/>
            <w:vAlign w:val="bottom"/>
            <w:hideMark/>
          </w:tcPr>
          <w:p w14:paraId="53C6471B" w14:textId="77777777" w:rsidR="00285C63" w:rsidRPr="004E74A6" w:rsidRDefault="00285C63" w:rsidP="00CE62C1">
            <w:pPr>
              <w:spacing w:line="276" w:lineRule="auto"/>
              <w:jc w:val="left"/>
              <w:rPr>
                <w:rFonts w:cs="Calibri"/>
                <w:color w:val="000000"/>
                <w:sz w:val="20"/>
                <w:lang w:eastAsia="es-CR"/>
              </w:rPr>
            </w:pPr>
            <w:r w:rsidRPr="004E74A6">
              <w:rPr>
                <w:rFonts w:cs="Calibri"/>
                <w:color w:val="000000"/>
                <w:sz w:val="20"/>
                <w:lang w:eastAsia="es-CR"/>
              </w:rPr>
              <w:t>De ¢45.000.001 A ¢50.000.000</w:t>
            </w:r>
          </w:p>
        </w:tc>
        <w:tc>
          <w:tcPr>
            <w:tcW w:w="477" w:type="pct"/>
            <w:tcBorders>
              <w:top w:val="nil"/>
              <w:left w:val="single" w:sz="4" w:space="0" w:color="auto"/>
              <w:bottom w:val="nil"/>
              <w:right w:val="single" w:sz="4" w:space="0" w:color="auto"/>
            </w:tcBorders>
            <w:shd w:val="clear" w:color="auto" w:fill="auto"/>
            <w:noWrap/>
            <w:vAlign w:val="center"/>
            <w:hideMark/>
          </w:tcPr>
          <w:p w14:paraId="78A2ADB9" w14:textId="5A7119A2" w:rsidR="00285C63" w:rsidRPr="004E74A6" w:rsidRDefault="00285C63" w:rsidP="00CE62C1">
            <w:pPr>
              <w:spacing w:line="276" w:lineRule="auto"/>
              <w:jc w:val="center"/>
              <w:rPr>
                <w:rFonts w:cs="Calibri"/>
                <w:color w:val="000000"/>
                <w:sz w:val="20"/>
                <w:lang w:eastAsia="es-CR"/>
              </w:rPr>
            </w:pPr>
            <w:r w:rsidRPr="004E74A6">
              <w:rPr>
                <w:rFonts w:cs="Calibri"/>
                <w:color w:val="000000"/>
                <w:sz w:val="20"/>
              </w:rPr>
              <w:t>0</w:t>
            </w:r>
          </w:p>
        </w:tc>
        <w:tc>
          <w:tcPr>
            <w:tcW w:w="475" w:type="pct"/>
            <w:tcBorders>
              <w:top w:val="nil"/>
              <w:left w:val="single" w:sz="4" w:space="0" w:color="auto"/>
              <w:bottom w:val="nil"/>
              <w:right w:val="single" w:sz="4" w:space="0" w:color="auto"/>
            </w:tcBorders>
            <w:shd w:val="clear" w:color="auto" w:fill="auto"/>
            <w:noWrap/>
            <w:vAlign w:val="center"/>
            <w:hideMark/>
          </w:tcPr>
          <w:p w14:paraId="13EF8706" w14:textId="3FF12F66" w:rsidR="00285C63" w:rsidRPr="004E74A6" w:rsidRDefault="00285C63" w:rsidP="00CE62C1">
            <w:pPr>
              <w:spacing w:line="276" w:lineRule="auto"/>
              <w:jc w:val="center"/>
              <w:rPr>
                <w:sz w:val="20"/>
                <w:lang w:eastAsia="es-CR"/>
              </w:rPr>
            </w:pPr>
            <w:r w:rsidRPr="004E74A6">
              <w:rPr>
                <w:rFonts w:cs="Calibri"/>
                <w:color w:val="000000"/>
                <w:sz w:val="20"/>
              </w:rPr>
              <w:t>0</w:t>
            </w:r>
          </w:p>
        </w:tc>
        <w:tc>
          <w:tcPr>
            <w:tcW w:w="475" w:type="pct"/>
            <w:tcBorders>
              <w:top w:val="nil"/>
              <w:left w:val="single" w:sz="4" w:space="0" w:color="auto"/>
              <w:bottom w:val="nil"/>
              <w:right w:val="single" w:sz="4" w:space="0" w:color="auto"/>
            </w:tcBorders>
            <w:shd w:val="clear" w:color="auto" w:fill="auto"/>
            <w:noWrap/>
            <w:vAlign w:val="center"/>
            <w:hideMark/>
          </w:tcPr>
          <w:p w14:paraId="671BAB8C" w14:textId="73CFA307" w:rsidR="00285C63" w:rsidRPr="004E74A6" w:rsidRDefault="00285C63" w:rsidP="00CE62C1">
            <w:pPr>
              <w:spacing w:line="276" w:lineRule="auto"/>
              <w:jc w:val="center"/>
              <w:rPr>
                <w:rFonts w:cs="Calibri"/>
                <w:color w:val="000000"/>
                <w:sz w:val="20"/>
                <w:lang w:eastAsia="es-CR"/>
              </w:rPr>
            </w:pPr>
            <w:r w:rsidRPr="004E74A6">
              <w:rPr>
                <w:rFonts w:cs="Calibri"/>
                <w:color w:val="000000"/>
                <w:sz w:val="20"/>
              </w:rPr>
              <w:t>2</w:t>
            </w:r>
          </w:p>
        </w:tc>
        <w:tc>
          <w:tcPr>
            <w:tcW w:w="639" w:type="pct"/>
            <w:tcBorders>
              <w:top w:val="nil"/>
              <w:left w:val="single" w:sz="4" w:space="0" w:color="auto"/>
              <w:bottom w:val="nil"/>
              <w:right w:val="nil"/>
            </w:tcBorders>
            <w:shd w:val="clear" w:color="auto" w:fill="auto"/>
            <w:noWrap/>
            <w:vAlign w:val="bottom"/>
            <w:hideMark/>
          </w:tcPr>
          <w:p w14:paraId="2B9106CF" w14:textId="5AB4B034" w:rsidR="00285C63" w:rsidRPr="004E74A6" w:rsidRDefault="00285C63" w:rsidP="00CE62C1">
            <w:pPr>
              <w:spacing w:line="276" w:lineRule="auto"/>
              <w:jc w:val="center"/>
              <w:rPr>
                <w:rFonts w:cs="Calibri"/>
                <w:color w:val="000000"/>
                <w:sz w:val="20"/>
                <w:lang w:eastAsia="es-CR"/>
              </w:rPr>
            </w:pPr>
            <w:r w:rsidRPr="004E74A6">
              <w:rPr>
                <w:rFonts w:cs="Calibri"/>
                <w:color w:val="000000"/>
                <w:sz w:val="20"/>
              </w:rPr>
              <w:t>0,7</w:t>
            </w:r>
          </w:p>
        </w:tc>
        <w:tc>
          <w:tcPr>
            <w:tcW w:w="1337" w:type="pct"/>
            <w:tcBorders>
              <w:top w:val="nil"/>
              <w:left w:val="single" w:sz="4" w:space="0" w:color="auto"/>
              <w:bottom w:val="nil"/>
              <w:right w:val="nil"/>
            </w:tcBorders>
            <w:shd w:val="clear" w:color="auto" w:fill="auto"/>
            <w:vAlign w:val="bottom"/>
          </w:tcPr>
          <w:p w14:paraId="2C95B121" w14:textId="28454461" w:rsidR="00285C63" w:rsidRPr="004E74A6" w:rsidRDefault="00285C63" w:rsidP="00CE62C1">
            <w:pPr>
              <w:spacing w:line="276" w:lineRule="auto"/>
              <w:jc w:val="center"/>
              <w:rPr>
                <w:rFonts w:cs="Calibri"/>
                <w:color w:val="000000"/>
                <w:sz w:val="20"/>
              </w:rPr>
            </w:pPr>
            <w:r w:rsidRPr="004E74A6">
              <w:rPr>
                <w:rFonts w:cs="Calibri"/>
                <w:color w:val="000000"/>
                <w:sz w:val="20"/>
              </w:rPr>
              <w:t>84%</w:t>
            </w:r>
          </w:p>
        </w:tc>
      </w:tr>
      <w:tr w:rsidR="00285C63" w:rsidRPr="004E74A6" w14:paraId="4DB27B43" w14:textId="08A5BDF2" w:rsidTr="00285C63">
        <w:trPr>
          <w:trHeight w:val="288"/>
          <w:jc w:val="center"/>
        </w:trPr>
        <w:tc>
          <w:tcPr>
            <w:tcW w:w="1597" w:type="pct"/>
            <w:tcBorders>
              <w:top w:val="nil"/>
              <w:left w:val="nil"/>
              <w:bottom w:val="nil"/>
              <w:right w:val="single" w:sz="4" w:space="0" w:color="auto"/>
            </w:tcBorders>
            <w:shd w:val="clear" w:color="auto" w:fill="auto"/>
            <w:noWrap/>
            <w:vAlign w:val="bottom"/>
            <w:hideMark/>
          </w:tcPr>
          <w:p w14:paraId="383F8589" w14:textId="77777777" w:rsidR="00285C63" w:rsidRPr="004E74A6" w:rsidRDefault="00285C63" w:rsidP="00CE62C1">
            <w:pPr>
              <w:spacing w:line="276" w:lineRule="auto"/>
              <w:jc w:val="left"/>
              <w:rPr>
                <w:rFonts w:cs="Calibri"/>
                <w:color w:val="000000"/>
                <w:sz w:val="20"/>
                <w:lang w:eastAsia="es-CR"/>
              </w:rPr>
            </w:pPr>
            <w:r w:rsidRPr="004E74A6">
              <w:rPr>
                <w:rFonts w:cs="Calibri"/>
                <w:color w:val="000000"/>
                <w:sz w:val="20"/>
                <w:lang w:eastAsia="es-CR"/>
              </w:rPr>
              <w:t>De ¢50.000.001 A ¢55.000.000</w:t>
            </w:r>
          </w:p>
        </w:tc>
        <w:tc>
          <w:tcPr>
            <w:tcW w:w="477" w:type="pct"/>
            <w:tcBorders>
              <w:top w:val="nil"/>
              <w:left w:val="single" w:sz="4" w:space="0" w:color="auto"/>
              <w:bottom w:val="nil"/>
              <w:right w:val="single" w:sz="4" w:space="0" w:color="auto"/>
            </w:tcBorders>
            <w:shd w:val="clear" w:color="auto" w:fill="auto"/>
            <w:noWrap/>
            <w:vAlign w:val="center"/>
            <w:hideMark/>
          </w:tcPr>
          <w:p w14:paraId="77F2B9CC" w14:textId="7429E96D" w:rsidR="00285C63" w:rsidRPr="004E74A6" w:rsidRDefault="00285C63" w:rsidP="00CE62C1">
            <w:pPr>
              <w:spacing w:line="276" w:lineRule="auto"/>
              <w:jc w:val="center"/>
              <w:rPr>
                <w:rFonts w:cs="Calibri"/>
                <w:color w:val="000000"/>
                <w:sz w:val="20"/>
                <w:lang w:eastAsia="es-CR"/>
              </w:rPr>
            </w:pPr>
            <w:r w:rsidRPr="004E74A6">
              <w:rPr>
                <w:rFonts w:cs="Calibri"/>
                <w:color w:val="000000"/>
                <w:sz w:val="20"/>
              </w:rPr>
              <w:t>1</w:t>
            </w:r>
          </w:p>
        </w:tc>
        <w:tc>
          <w:tcPr>
            <w:tcW w:w="475" w:type="pct"/>
            <w:tcBorders>
              <w:top w:val="nil"/>
              <w:left w:val="single" w:sz="4" w:space="0" w:color="auto"/>
              <w:bottom w:val="nil"/>
              <w:right w:val="single" w:sz="4" w:space="0" w:color="auto"/>
            </w:tcBorders>
            <w:shd w:val="clear" w:color="auto" w:fill="auto"/>
            <w:noWrap/>
            <w:vAlign w:val="center"/>
            <w:hideMark/>
          </w:tcPr>
          <w:p w14:paraId="35CECFEE" w14:textId="06ECE047" w:rsidR="00285C63" w:rsidRPr="004E74A6" w:rsidRDefault="00285C63" w:rsidP="00CE62C1">
            <w:pPr>
              <w:spacing w:line="276" w:lineRule="auto"/>
              <w:jc w:val="center"/>
              <w:rPr>
                <w:rFonts w:cs="Calibri"/>
                <w:color w:val="000000"/>
                <w:sz w:val="20"/>
                <w:lang w:eastAsia="es-CR"/>
              </w:rPr>
            </w:pPr>
            <w:r w:rsidRPr="004E74A6">
              <w:rPr>
                <w:rFonts w:cs="Calibri"/>
                <w:color w:val="000000"/>
                <w:sz w:val="20"/>
              </w:rPr>
              <w:t>0</w:t>
            </w:r>
          </w:p>
        </w:tc>
        <w:tc>
          <w:tcPr>
            <w:tcW w:w="475" w:type="pct"/>
            <w:tcBorders>
              <w:top w:val="nil"/>
              <w:left w:val="single" w:sz="4" w:space="0" w:color="auto"/>
              <w:bottom w:val="nil"/>
              <w:right w:val="single" w:sz="4" w:space="0" w:color="auto"/>
            </w:tcBorders>
            <w:shd w:val="clear" w:color="auto" w:fill="auto"/>
            <w:noWrap/>
            <w:vAlign w:val="center"/>
            <w:hideMark/>
          </w:tcPr>
          <w:p w14:paraId="5A0BAB03" w14:textId="4864CA00" w:rsidR="00285C63" w:rsidRPr="004E74A6" w:rsidRDefault="00285C63" w:rsidP="00CE62C1">
            <w:pPr>
              <w:spacing w:line="276" w:lineRule="auto"/>
              <w:jc w:val="center"/>
              <w:rPr>
                <w:sz w:val="20"/>
                <w:lang w:eastAsia="es-CR"/>
              </w:rPr>
            </w:pPr>
            <w:r w:rsidRPr="004E74A6">
              <w:rPr>
                <w:rFonts w:cs="Calibri"/>
                <w:color w:val="000000"/>
                <w:sz w:val="20"/>
              </w:rPr>
              <w:t>0</w:t>
            </w:r>
          </w:p>
        </w:tc>
        <w:tc>
          <w:tcPr>
            <w:tcW w:w="639" w:type="pct"/>
            <w:tcBorders>
              <w:top w:val="nil"/>
              <w:left w:val="single" w:sz="4" w:space="0" w:color="auto"/>
              <w:bottom w:val="nil"/>
              <w:right w:val="nil"/>
            </w:tcBorders>
            <w:shd w:val="clear" w:color="auto" w:fill="auto"/>
            <w:noWrap/>
            <w:vAlign w:val="bottom"/>
            <w:hideMark/>
          </w:tcPr>
          <w:p w14:paraId="0CAC6BDB" w14:textId="4E74CBB7" w:rsidR="00285C63" w:rsidRPr="004E74A6" w:rsidRDefault="00285C63" w:rsidP="00CE62C1">
            <w:pPr>
              <w:spacing w:line="276" w:lineRule="auto"/>
              <w:jc w:val="center"/>
              <w:rPr>
                <w:rFonts w:cs="Calibri"/>
                <w:color w:val="000000"/>
                <w:sz w:val="20"/>
                <w:lang w:eastAsia="es-CR"/>
              </w:rPr>
            </w:pPr>
            <w:r w:rsidRPr="004E74A6">
              <w:rPr>
                <w:rFonts w:cs="Calibri"/>
                <w:color w:val="000000"/>
                <w:sz w:val="20"/>
              </w:rPr>
              <w:t>0,3</w:t>
            </w:r>
          </w:p>
        </w:tc>
        <w:tc>
          <w:tcPr>
            <w:tcW w:w="1337" w:type="pct"/>
            <w:tcBorders>
              <w:top w:val="nil"/>
              <w:left w:val="single" w:sz="4" w:space="0" w:color="auto"/>
              <w:bottom w:val="nil"/>
              <w:right w:val="nil"/>
            </w:tcBorders>
            <w:shd w:val="clear" w:color="auto" w:fill="auto"/>
            <w:vAlign w:val="bottom"/>
          </w:tcPr>
          <w:p w14:paraId="59749EF7" w14:textId="045CFD28" w:rsidR="00285C63" w:rsidRPr="004E74A6" w:rsidRDefault="00285C63" w:rsidP="00CE62C1">
            <w:pPr>
              <w:spacing w:line="276" w:lineRule="auto"/>
              <w:jc w:val="center"/>
              <w:rPr>
                <w:rFonts w:cs="Calibri"/>
                <w:color w:val="000000"/>
                <w:sz w:val="20"/>
              </w:rPr>
            </w:pPr>
            <w:r w:rsidRPr="004E74A6">
              <w:rPr>
                <w:rFonts w:cs="Calibri"/>
                <w:color w:val="000000"/>
                <w:sz w:val="20"/>
              </w:rPr>
              <w:t>85%</w:t>
            </w:r>
          </w:p>
        </w:tc>
      </w:tr>
      <w:tr w:rsidR="00285C63" w:rsidRPr="004E74A6" w14:paraId="6353CD01" w14:textId="568489B3" w:rsidTr="00285C63">
        <w:trPr>
          <w:trHeight w:val="288"/>
          <w:jc w:val="center"/>
        </w:trPr>
        <w:tc>
          <w:tcPr>
            <w:tcW w:w="1597" w:type="pct"/>
            <w:tcBorders>
              <w:top w:val="nil"/>
              <w:left w:val="nil"/>
              <w:bottom w:val="nil"/>
              <w:right w:val="single" w:sz="4" w:space="0" w:color="auto"/>
            </w:tcBorders>
            <w:shd w:val="clear" w:color="auto" w:fill="auto"/>
            <w:noWrap/>
            <w:vAlign w:val="bottom"/>
            <w:hideMark/>
          </w:tcPr>
          <w:p w14:paraId="532F96D9" w14:textId="77777777" w:rsidR="00285C63" w:rsidRPr="004E74A6" w:rsidRDefault="00285C63" w:rsidP="00CE62C1">
            <w:pPr>
              <w:spacing w:line="276" w:lineRule="auto"/>
              <w:jc w:val="left"/>
              <w:rPr>
                <w:rFonts w:cs="Calibri"/>
                <w:color w:val="000000"/>
                <w:sz w:val="20"/>
                <w:lang w:eastAsia="es-CR"/>
              </w:rPr>
            </w:pPr>
            <w:r w:rsidRPr="004E74A6">
              <w:rPr>
                <w:rFonts w:cs="Calibri"/>
                <w:color w:val="000000"/>
                <w:sz w:val="20"/>
                <w:lang w:eastAsia="es-CR"/>
              </w:rPr>
              <w:t>De ¢55.000.001 A ¢60.000.000</w:t>
            </w:r>
          </w:p>
        </w:tc>
        <w:tc>
          <w:tcPr>
            <w:tcW w:w="477" w:type="pct"/>
            <w:tcBorders>
              <w:top w:val="nil"/>
              <w:left w:val="single" w:sz="4" w:space="0" w:color="auto"/>
              <w:bottom w:val="nil"/>
              <w:right w:val="single" w:sz="4" w:space="0" w:color="auto"/>
            </w:tcBorders>
            <w:shd w:val="clear" w:color="auto" w:fill="auto"/>
            <w:noWrap/>
            <w:vAlign w:val="center"/>
            <w:hideMark/>
          </w:tcPr>
          <w:p w14:paraId="63BAF70B" w14:textId="71B80AA3" w:rsidR="00285C63" w:rsidRPr="004E74A6" w:rsidRDefault="00285C63" w:rsidP="00CE62C1">
            <w:pPr>
              <w:spacing w:line="276" w:lineRule="auto"/>
              <w:jc w:val="center"/>
              <w:rPr>
                <w:rFonts w:cs="Calibri"/>
                <w:color w:val="000000"/>
                <w:sz w:val="20"/>
                <w:lang w:eastAsia="es-CR"/>
              </w:rPr>
            </w:pPr>
            <w:r w:rsidRPr="004E74A6">
              <w:rPr>
                <w:rFonts w:cs="Calibri"/>
                <w:color w:val="000000"/>
                <w:sz w:val="20"/>
              </w:rPr>
              <w:t>0</w:t>
            </w:r>
          </w:p>
        </w:tc>
        <w:tc>
          <w:tcPr>
            <w:tcW w:w="475" w:type="pct"/>
            <w:tcBorders>
              <w:top w:val="nil"/>
              <w:left w:val="single" w:sz="4" w:space="0" w:color="auto"/>
              <w:bottom w:val="nil"/>
              <w:right w:val="single" w:sz="4" w:space="0" w:color="auto"/>
            </w:tcBorders>
            <w:shd w:val="clear" w:color="auto" w:fill="auto"/>
            <w:noWrap/>
            <w:vAlign w:val="center"/>
            <w:hideMark/>
          </w:tcPr>
          <w:p w14:paraId="16A456A3" w14:textId="22F3A292" w:rsidR="00285C63" w:rsidRPr="004E74A6" w:rsidRDefault="00285C63" w:rsidP="00CE62C1">
            <w:pPr>
              <w:spacing w:line="276" w:lineRule="auto"/>
              <w:jc w:val="center"/>
              <w:rPr>
                <w:rFonts w:cs="Calibri"/>
                <w:color w:val="000000"/>
                <w:sz w:val="20"/>
                <w:lang w:eastAsia="es-CR"/>
              </w:rPr>
            </w:pPr>
            <w:r w:rsidRPr="004E74A6">
              <w:rPr>
                <w:rFonts w:cs="Calibri"/>
                <w:color w:val="000000"/>
                <w:sz w:val="20"/>
              </w:rPr>
              <w:t>1</w:t>
            </w:r>
          </w:p>
        </w:tc>
        <w:tc>
          <w:tcPr>
            <w:tcW w:w="475" w:type="pct"/>
            <w:tcBorders>
              <w:top w:val="nil"/>
              <w:left w:val="single" w:sz="4" w:space="0" w:color="auto"/>
              <w:bottom w:val="nil"/>
              <w:right w:val="single" w:sz="4" w:space="0" w:color="auto"/>
            </w:tcBorders>
            <w:shd w:val="clear" w:color="auto" w:fill="auto"/>
            <w:noWrap/>
            <w:vAlign w:val="center"/>
            <w:hideMark/>
          </w:tcPr>
          <w:p w14:paraId="399C656F" w14:textId="49D6C9BB" w:rsidR="00285C63" w:rsidRPr="004E74A6" w:rsidRDefault="00285C63" w:rsidP="00CE62C1">
            <w:pPr>
              <w:spacing w:line="276" w:lineRule="auto"/>
              <w:jc w:val="center"/>
              <w:rPr>
                <w:rFonts w:cs="Calibri"/>
                <w:color w:val="000000"/>
                <w:sz w:val="20"/>
                <w:lang w:eastAsia="es-CR"/>
              </w:rPr>
            </w:pPr>
            <w:r w:rsidRPr="004E74A6">
              <w:rPr>
                <w:rFonts w:cs="Calibri"/>
                <w:color w:val="000000"/>
                <w:sz w:val="20"/>
              </w:rPr>
              <w:t>1</w:t>
            </w:r>
          </w:p>
        </w:tc>
        <w:tc>
          <w:tcPr>
            <w:tcW w:w="639" w:type="pct"/>
            <w:tcBorders>
              <w:top w:val="nil"/>
              <w:left w:val="single" w:sz="4" w:space="0" w:color="auto"/>
              <w:bottom w:val="nil"/>
              <w:right w:val="nil"/>
            </w:tcBorders>
            <w:shd w:val="clear" w:color="auto" w:fill="auto"/>
            <w:noWrap/>
            <w:vAlign w:val="bottom"/>
            <w:hideMark/>
          </w:tcPr>
          <w:p w14:paraId="3FEC3255" w14:textId="101D2F76" w:rsidR="00285C63" w:rsidRPr="004E74A6" w:rsidRDefault="00285C63" w:rsidP="00CE62C1">
            <w:pPr>
              <w:spacing w:line="276" w:lineRule="auto"/>
              <w:jc w:val="center"/>
              <w:rPr>
                <w:rFonts w:cs="Calibri"/>
                <w:color w:val="000000"/>
                <w:sz w:val="20"/>
                <w:lang w:eastAsia="es-CR"/>
              </w:rPr>
            </w:pPr>
            <w:r w:rsidRPr="004E74A6">
              <w:rPr>
                <w:rFonts w:cs="Calibri"/>
                <w:color w:val="000000"/>
                <w:sz w:val="20"/>
              </w:rPr>
              <w:t>0,7</w:t>
            </w:r>
          </w:p>
        </w:tc>
        <w:tc>
          <w:tcPr>
            <w:tcW w:w="1337" w:type="pct"/>
            <w:tcBorders>
              <w:top w:val="nil"/>
              <w:left w:val="single" w:sz="4" w:space="0" w:color="auto"/>
              <w:bottom w:val="nil"/>
              <w:right w:val="nil"/>
            </w:tcBorders>
            <w:shd w:val="clear" w:color="auto" w:fill="auto"/>
            <w:vAlign w:val="bottom"/>
          </w:tcPr>
          <w:p w14:paraId="35A38054" w14:textId="7E6898AE" w:rsidR="00285C63" w:rsidRPr="004E74A6" w:rsidRDefault="00285C63" w:rsidP="00CE62C1">
            <w:pPr>
              <w:spacing w:line="276" w:lineRule="auto"/>
              <w:jc w:val="center"/>
              <w:rPr>
                <w:rFonts w:cs="Calibri"/>
                <w:color w:val="000000"/>
                <w:sz w:val="20"/>
              </w:rPr>
            </w:pPr>
            <w:r w:rsidRPr="004E74A6">
              <w:rPr>
                <w:rFonts w:cs="Calibri"/>
                <w:color w:val="000000"/>
                <w:sz w:val="20"/>
              </w:rPr>
              <w:t>86%</w:t>
            </w:r>
          </w:p>
        </w:tc>
      </w:tr>
      <w:tr w:rsidR="00285C63" w:rsidRPr="004E74A6" w14:paraId="0479738D" w14:textId="51D65C12" w:rsidTr="00285C63">
        <w:trPr>
          <w:trHeight w:val="288"/>
          <w:jc w:val="center"/>
        </w:trPr>
        <w:tc>
          <w:tcPr>
            <w:tcW w:w="1597" w:type="pct"/>
            <w:tcBorders>
              <w:top w:val="nil"/>
              <w:left w:val="nil"/>
              <w:bottom w:val="nil"/>
              <w:right w:val="single" w:sz="4" w:space="0" w:color="auto"/>
            </w:tcBorders>
            <w:shd w:val="clear" w:color="auto" w:fill="auto"/>
            <w:noWrap/>
            <w:vAlign w:val="bottom"/>
            <w:hideMark/>
          </w:tcPr>
          <w:p w14:paraId="20EC8F4F" w14:textId="77777777" w:rsidR="00285C63" w:rsidRPr="004E74A6" w:rsidRDefault="00285C63" w:rsidP="00CE62C1">
            <w:pPr>
              <w:spacing w:line="276" w:lineRule="auto"/>
              <w:jc w:val="left"/>
              <w:rPr>
                <w:rFonts w:cs="Calibri"/>
                <w:color w:val="000000"/>
                <w:sz w:val="20"/>
                <w:lang w:eastAsia="es-CR"/>
              </w:rPr>
            </w:pPr>
            <w:r w:rsidRPr="004E74A6">
              <w:rPr>
                <w:rFonts w:cs="Calibri"/>
                <w:color w:val="000000"/>
                <w:sz w:val="20"/>
                <w:lang w:eastAsia="es-CR"/>
              </w:rPr>
              <w:t>De ¢60.000.001 A ¢65.000.000</w:t>
            </w:r>
          </w:p>
        </w:tc>
        <w:tc>
          <w:tcPr>
            <w:tcW w:w="477" w:type="pct"/>
            <w:tcBorders>
              <w:top w:val="nil"/>
              <w:left w:val="single" w:sz="4" w:space="0" w:color="auto"/>
              <w:bottom w:val="nil"/>
              <w:right w:val="single" w:sz="4" w:space="0" w:color="auto"/>
            </w:tcBorders>
            <w:shd w:val="clear" w:color="auto" w:fill="auto"/>
            <w:noWrap/>
            <w:vAlign w:val="center"/>
            <w:hideMark/>
          </w:tcPr>
          <w:p w14:paraId="2E428B6A" w14:textId="4AB28D78" w:rsidR="00285C63" w:rsidRPr="004E74A6" w:rsidRDefault="00285C63" w:rsidP="00CE62C1">
            <w:pPr>
              <w:spacing w:line="276" w:lineRule="auto"/>
              <w:jc w:val="center"/>
              <w:rPr>
                <w:rFonts w:cs="Calibri"/>
                <w:color w:val="000000"/>
                <w:sz w:val="20"/>
                <w:lang w:eastAsia="es-CR"/>
              </w:rPr>
            </w:pPr>
            <w:r w:rsidRPr="004E74A6">
              <w:rPr>
                <w:rFonts w:cs="Calibri"/>
                <w:color w:val="000000"/>
                <w:sz w:val="20"/>
              </w:rPr>
              <w:t>0</w:t>
            </w:r>
          </w:p>
        </w:tc>
        <w:tc>
          <w:tcPr>
            <w:tcW w:w="475" w:type="pct"/>
            <w:tcBorders>
              <w:top w:val="nil"/>
              <w:left w:val="single" w:sz="4" w:space="0" w:color="auto"/>
              <w:bottom w:val="nil"/>
              <w:right w:val="single" w:sz="4" w:space="0" w:color="auto"/>
            </w:tcBorders>
            <w:shd w:val="clear" w:color="auto" w:fill="auto"/>
            <w:noWrap/>
            <w:vAlign w:val="center"/>
            <w:hideMark/>
          </w:tcPr>
          <w:p w14:paraId="49EB2073" w14:textId="3EEA1900" w:rsidR="00285C63" w:rsidRPr="004E74A6" w:rsidRDefault="00285C63" w:rsidP="00CE62C1">
            <w:pPr>
              <w:spacing w:line="276" w:lineRule="auto"/>
              <w:jc w:val="center"/>
              <w:rPr>
                <w:sz w:val="20"/>
                <w:lang w:eastAsia="es-CR"/>
              </w:rPr>
            </w:pPr>
            <w:r w:rsidRPr="004E74A6">
              <w:rPr>
                <w:rFonts w:cs="Calibri"/>
                <w:color w:val="000000"/>
                <w:sz w:val="20"/>
              </w:rPr>
              <w:t>0</w:t>
            </w:r>
          </w:p>
        </w:tc>
        <w:tc>
          <w:tcPr>
            <w:tcW w:w="475" w:type="pct"/>
            <w:tcBorders>
              <w:top w:val="nil"/>
              <w:left w:val="single" w:sz="4" w:space="0" w:color="auto"/>
              <w:bottom w:val="nil"/>
              <w:right w:val="single" w:sz="4" w:space="0" w:color="auto"/>
            </w:tcBorders>
            <w:shd w:val="clear" w:color="auto" w:fill="auto"/>
            <w:noWrap/>
            <w:vAlign w:val="center"/>
            <w:hideMark/>
          </w:tcPr>
          <w:p w14:paraId="5C48A56E" w14:textId="34DB279C" w:rsidR="00285C63" w:rsidRPr="004E74A6" w:rsidRDefault="00285C63" w:rsidP="00CE62C1">
            <w:pPr>
              <w:spacing w:line="276" w:lineRule="auto"/>
              <w:jc w:val="center"/>
              <w:rPr>
                <w:rFonts w:cs="Calibri"/>
                <w:color w:val="000000"/>
                <w:sz w:val="20"/>
                <w:lang w:eastAsia="es-CR"/>
              </w:rPr>
            </w:pPr>
            <w:r w:rsidRPr="004E74A6">
              <w:rPr>
                <w:rFonts w:cs="Calibri"/>
                <w:color w:val="000000"/>
                <w:sz w:val="20"/>
              </w:rPr>
              <w:t>2</w:t>
            </w:r>
          </w:p>
        </w:tc>
        <w:tc>
          <w:tcPr>
            <w:tcW w:w="639" w:type="pct"/>
            <w:tcBorders>
              <w:top w:val="nil"/>
              <w:left w:val="single" w:sz="4" w:space="0" w:color="auto"/>
              <w:bottom w:val="nil"/>
              <w:right w:val="nil"/>
            </w:tcBorders>
            <w:shd w:val="clear" w:color="auto" w:fill="auto"/>
            <w:noWrap/>
            <w:vAlign w:val="bottom"/>
            <w:hideMark/>
          </w:tcPr>
          <w:p w14:paraId="69FF5C01" w14:textId="3D2F5F59" w:rsidR="00285C63" w:rsidRPr="004E74A6" w:rsidRDefault="00285C63" w:rsidP="00CE62C1">
            <w:pPr>
              <w:spacing w:line="276" w:lineRule="auto"/>
              <w:jc w:val="center"/>
              <w:rPr>
                <w:rFonts w:cs="Calibri"/>
                <w:color w:val="000000"/>
                <w:sz w:val="20"/>
                <w:lang w:eastAsia="es-CR"/>
              </w:rPr>
            </w:pPr>
            <w:r w:rsidRPr="004E74A6">
              <w:rPr>
                <w:rFonts w:cs="Calibri"/>
                <w:color w:val="000000"/>
                <w:sz w:val="20"/>
              </w:rPr>
              <w:t>0,7</w:t>
            </w:r>
          </w:p>
        </w:tc>
        <w:tc>
          <w:tcPr>
            <w:tcW w:w="1337" w:type="pct"/>
            <w:tcBorders>
              <w:top w:val="nil"/>
              <w:left w:val="single" w:sz="4" w:space="0" w:color="auto"/>
              <w:bottom w:val="nil"/>
              <w:right w:val="nil"/>
            </w:tcBorders>
            <w:shd w:val="clear" w:color="auto" w:fill="auto"/>
            <w:vAlign w:val="bottom"/>
          </w:tcPr>
          <w:p w14:paraId="2796F528" w14:textId="0DB65169" w:rsidR="00285C63" w:rsidRPr="004E74A6" w:rsidRDefault="00285C63" w:rsidP="00CE62C1">
            <w:pPr>
              <w:spacing w:line="276" w:lineRule="auto"/>
              <w:jc w:val="center"/>
              <w:rPr>
                <w:rFonts w:cs="Calibri"/>
                <w:color w:val="000000"/>
                <w:sz w:val="20"/>
              </w:rPr>
            </w:pPr>
            <w:r w:rsidRPr="004E74A6">
              <w:rPr>
                <w:rFonts w:cs="Calibri"/>
                <w:color w:val="000000"/>
                <w:sz w:val="20"/>
              </w:rPr>
              <w:t>88%</w:t>
            </w:r>
          </w:p>
        </w:tc>
      </w:tr>
      <w:tr w:rsidR="00285C63" w:rsidRPr="004E74A6" w14:paraId="651B3C3D" w14:textId="444D64C7" w:rsidTr="00285C63">
        <w:trPr>
          <w:trHeight w:val="288"/>
          <w:jc w:val="center"/>
        </w:trPr>
        <w:tc>
          <w:tcPr>
            <w:tcW w:w="1597" w:type="pct"/>
            <w:tcBorders>
              <w:top w:val="nil"/>
              <w:left w:val="nil"/>
              <w:bottom w:val="nil"/>
              <w:right w:val="single" w:sz="4" w:space="0" w:color="auto"/>
            </w:tcBorders>
            <w:shd w:val="clear" w:color="auto" w:fill="auto"/>
            <w:noWrap/>
            <w:vAlign w:val="bottom"/>
            <w:hideMark/>
          </w:tcPr>
          <w:p w14:paraId="42528BE4" w14:textId="77777777" w:rsidR="00285C63" w:rsidRPr="004E74A6" w:rsidRDefault="00285C63" w:rsidP="00CE62C1">
            <w:pPr>
              <w:spacing w:line="276" w:lineRule="auto"/>
              <w:jc w:val="left"/>
              <w:rPr>
                <w:rFonts w:cs="Calibri"/>
                <w:color w:val="000000"/>
                <w:sz w:val="20"/>
                <w:lang w:eastAsia="es-CR"/>
              </w:rPr>
            </w:pPr>
            <w:r w:rsidRPr="004E74A6">
              <w:rPr>
                <w:rFonts w:cs="Calibri"/>
                <w:color w:val="000000"/>
                <w:sz w:val="20"/>
                <w:lang w:eastAsia="es-CR"/>
              </w:rPr>
              <w:t>De ¢65.000.001 A ¢70.000.000</w:t>
            </w:r>
          </w:p>
        </w:tc>
        <w:tc>
          <w:tcPr>
            <w:tcW w:w="477" w:type="pct"/>
            <w:tcBorders>
              <w:top w:val="nil"/>
              <w:left w:val="single" w:sz="4" w:space="0" w:color="auto"/>
              <w:bottom w:val="nil"/>
              <w:right w:val="single" w:sz="4" w:space="0" w:color="auto"/>
            </w:tcBorders>
            <w:shd w:val="clear" w:color="auto" w:fill="auto"/>
            <w:noWrap/>
            <w:vAlign w:val="center"/>
            <w:hideMark/>
          </w:tcPr>
          <w:p w14:paraId="73CD6EFC" w14:textId="5D69AF93" w:rsidR="00285C63" w:rsidRPr="004E74A6" w:rsidRDefault="00285C63" w:rsidP="00CE62C1">
            <w:pPr>
              <w:spacing w:line="276" w:lineRule="auto"/>
              <w:jc w:val="center"/>
              <w:rPr>
                <w:rFonts w:cs="Calibri"/>
                <w:color w:val="000000"/>
                <w:sz w:val="20"/>
                <w:lang w:eastAsia="es-CR"/>
              </w:rPr>
            </w:pPr>
            <w:r w:rsidRPr="004E74A6">
              <w:rPr>
                <w:rFonts w:cs="Calibri"/>
                <w:color w:val="000000"/>
                <w:sz w:val="20"/>
              </w:rPr>
              <w:t>0</w:t>
            </w:r>
          </w:p>
        </w:tc>
        <w:tc>
          <w:tcPr>
            <w:tcW w:w="475" w:type="pct"/>
            <w:tcBorders>
              <w:top w:val="nil"/>
              <w:left w:val="single" w:sz="4" w:space="0" w:color="auto"/>
              <w:bottom w:val="nil"/>
              <w:right w:val="single" w:sz="4" w:space="0" w:color="auto"/>
            </w:tcBorders>
            <w:shd w:val="clear" w:color="auto" w:fill="auto"/>
            <w:noWrap/>
            <w:vAlign w:val="center"/>
            <w:hideMark/>
          </w:tcPr>
          <w:p w14:paraId="2B27AC7D" w14:textId="13B9DBAC" w:rsidR="00285C63" w:rsidRPr="004E74A6" w:rsidRDefault="00285C63" w:rsidP="00CE62C1">
            <w:pPr>
              <w:spacing w:line="276" w:lineRule="auto"/>
              <w:jc w:val="center"/>
              <w:rPr>
                <w:rFonts w:cs="Calibri"/>
                <w:color w:val="000000"/>
                <w:sz w:val="20"/>
                <w:lang w:eastAsia="es-CR"/>
              </w:rPr>
            </w:pPr>
            <w:r w:rsidRPr="004E74A6">
              <w:rPr>
                <w:rFonts w:cs="Calibri"/>
                <w:color w:val="000000"/>
                <w:sz w:val="20"/>
              </w:rPr>
              <w:t>1</w:t>
            </w:r>
          </w:p>
        </w:tc>
        <w:tc>
          <w:tcPr>
            <w:tcW w:w="475" w:type="pct"/>
            <w:tcBorders>
              <w:top w:val="nil"/>
              <w:left w:val="single" w:sz="4" w:space="0" w:color="auto"/>
              <w:bottom w:val="nil"/>
              <w:right w:val="single" w:sz="4" w:space="0" w:color="auto"/>
            </w:tcBorders>
            <w:shd w:val="clear" w:color="auto" w:fill="auto"/>
            <w:noWrap/>
            <w:vAlign w:val="center"/>
            <w:hideMark/>
          </w:tcPr>
          <w:p w14:paraId="2C110377" w14:textId="5C2D11BA" w:rsidR="00285C63" w:rsidRPr="004E74A6" w:rsidRDefault="00285C63" w:rsidP="00CE62C1">
            <w:pPr>
              <w:spacing w:line="276" w:lineRule="auto"/>
              <w:jc w:val="center"/>
              <w:rPr>
                <w:rFonts w:cs="Calibri"/>
                <w:color w:val="000000"/>
                <w:sz w:val="20"/>
                <w:lang w:eastAsia="es-CR"/>
              </w:rPr>
            </w:pPr>
            <w:r w:rsidRPr="004E74A6">
              <w:rPr>
                <w:rFonts w:cs="Calibri"/>
                <w:color w:val="000000"/>
                <w:sz w:val="20"/>
              </w:rPr>
              <w:t>0</w:t>
            </w:r>
          </w:p>
        </w:tc>
        <w:tc>
          <w:tcPr>
            <w:tcW w:w="639" w:type="pct"/>
            <w:tcBorders>
              <w:top w:val="nil"/>
              <w:left w:val="single" w:sz="4" w:space="0" w:color="auto"/>
              <w:bottom w:val="nil"/>
              <w:right w:val="nil"/>
            </w:tcBorders>
            <w:shd w:val="clear" w:color="auto" w:fill="auto"/>
            <w:noWrap/>
            <w:vAlign w:val="bottom"/>
            <w:hideMark/>
          </w:tcPr>
          <w:p w14:paraId="23BEADB8" w14:textId="5886993B" w:rsidR="00285C63" w:rsidRPr="004E74A6" w:rsidRDefault="00285C63" w:rsidP="00CE62C1">
            <w:pPr>
              <w:spacing w:line="276" w:lineRule="auto"/>
              <w:jc w:val="center"/>
              <w:rPr>
                <w:rFonts w:cs="Calibri"/>
                <w:color w:val="000000"/>
                <w:sz w:val="20"/>
                <w:lang w:eastAsia="es-CR"/>
              </w:rPr>
            </w:pPr>
            <w:r w:rsidRPr="004E74A6">
              <w:rPr>
                <w:rFonts w:cs="Calibri"/>
                <w:color w:val="000000"/>
                <w:sz w:val="20"/>
              </w:rPr>
              <w:t>0,3</w:t>
            </w:r>
          </w:p>
        </w:tc>
        <w:tc>
          <w:tcPr>
            <w:tcW w:w="1337" w:type="pct"/>
            <w:tcBorders>
              <w:top w:val="nil"/>
              <w:left w:val="single" w:sz="4" w:space="0" w:color="auto"/>
              <w:bottom w:val="nil"/>
              <w:right w:val="nil"/>
            </w:tcBorders>
            <w:shd w:val="clear" w:color="auto" w:fill="auto"/>
            <w:vAlign w:val="bottom"/>
          </w:tcPr>
          <w:p w14:paraId="681FF005" w14:textId="265DE8E9" w:rsidR="00285C63" w:rsidRPr="004E74A6" w:rsidRDefault="00285C63" w:rsidP="00CE62C1">
            <w:pPr>
              <w:spacing w:line="276" w:lineRule="auto"/>
              <w:jc w:val="center"/>
              <w:rPr>
                <w:rFonts w:cs="Calibri"/>
                <w:color w:val="000000"/>
                <w:sz w:val="20"/>
              </w:rPr>
            </w:pPr>
            <w:r w:rsidRPr="004E74A6">
              <w:rPr>
                <w:rFonts w:cs="Calibri"/>
                <w:color w:val="000000"/>
                <w:sz w:val="20"/>
              </w:rPr>
              <w:t>89%</w:t>
            </w:r>
          </w:p>
        </w:tc>
      </w:tr>
      <w:tr w:rsidR="00285C63" w:rsidRPr="004E74A6" w14:paraId="245C46A8" w14:textId="4DD670AB" w:rsidTr="00285C63">
        <w:trPr>
          <w:trHeight w:val="288"/>
          <w:jc w:val="center"/>
        </w:trPr>
        <w:tc>
          <w:tcPr>
            <w:tcW w:w="1597" w:type="pct"/>
            <w:tcBorders>
              <w:top w:val="nil"/>
              <w:left w:val="nil"/>
              <w:bottom w:val="nil"/>
              <w:right w:val="single" w:sz="4" w:space="0" w:color="auto"/>
            </w:tcBorders>
            <w:shd w:val="clear" w:color="auto" w:fill="auto"/>
            <w:noWrap/>
            <w:vAlign w:val="bottom"/>
            <w:hideMark/>
          </w:tcPr>
          <w:p w14:paraId="60E2EC8A" w14:textId="77777777" w:rsidR="00285C63" w:rsidRPr="004E74A6" w:rsidRDefault="00285C63" w:rsidP="00CE62C1">
            <w:pPr>
              <w:spacing w:line="276" w:lineRule="auto"/>
              <w:jc w:val="left"/>
              <w:rPr>
                <w:rFonts w:cs="Calibri"/>
                <w:color w:val="000000"/>
                <w:sz w:val="20"/>
                <w:lang w:eastAsia="es-CR"/>
              </w:rPr>
            </w:pPr>
            <w:r w:rsidRPr="004E74A6">
              <w:rPr>
                <w:rFonts w:cs="Calibri"/>
                <w:color w:val="000000"/>
                <w:sz w:val="20"/>
                <w:lang w:eastAsia="es-CR"/>
              </w:rPr>
              <w:t>De ¢70.000.001 A ¢75.000.000</w:t>
            </w:r>
          </w:p>
        </w:tc>
        <w:tc>
          <w:tcPr>
            <w:tcW w:w="477" w:type="pct"/>
            <w:tcBorders>
              <w:top w:val="nil"/>
              <w:left w:val="single" w:sz="4" w:space="0" w:color="auto"/>
              <w:bottom w:val="nil"/>
              <w:right w:val="single" w:sz="4" w:space="0" w:color="auto"/>
            </w:tcBorders>
            <w:shd w:val="clear" w:color="auto" w:fill="auto"/>
            <w:noWrap/>
            <w:vAlign w:val="center"/>
            <w:hideMark/>
          </w:tcPr>
          <w:p w14:paraId="7C99580D" w14:textId="3EB14021" w:rsidR="00285C63" w:rsidRPr="004E74A6" w:rsidRDefault="00285C63" w:rsidP="00CE62C1">
            <w:pPr>
              <w:spacing w:line="276" w:lineRule="auto"/>
              <w:jc w:val="center"/>
              <w:rPr>
                <w:rFonts w:cs="Calibri"/>
                <w:color w:val="000000"/>
                <w:sz w:val="20"/>
                <w:lang w:eastAsia="es-CR"/>
              </w:rPr>
            </w:pPr>
            <w:r w:rsidRPr="004E74A6">
              <w:rPr>
                <w:rFonts w:cs="Calibri"/>
                <w:color w:val="000000"/>
                <w:sz w:val="20"/>
              </w:rPr>
              <w:t>0</w:t>
            </w:r>
          </w:p>
        </w:tc>
        <w:tc>
          <w:tcPr>
            <w:tcW w:w="475" w:type="pct"/>
            <w:tcBorders>
              <w:top w:val="nil"/>
              <w:left w:val="single" w:sz="4" w:space="0" w:color="auto"/>
              <w:bottom w:val="nil"/>
              <w:right w:val="single" w:sz="4" w:space="0" w:color="auto"/>
            </w:tcBorders>
            <w:shd w:val="clear" w:color="auto" w:fill="auto"/>
            <w:noWrap/>
            <w:vAlign w:val="center"/>
            <w:hideMark/>
          </w:tcPr>
          <w:p w14:paraId="21D3D679" w14:textId="69927CCC" w:rsidR="00285C63" w:rsidRPr="004E74A6" w:rsidRDefault="00285C63" w:rsidP="00CE62C1">
            <w:pPr>
              <w:spacing w:line="276" w:lineRule="auto"/>
              <w:jc w:val="center"/>
              <w:rPr>
                <w:rFonts w:cs="Calibri"/>
                <w:color w:val="000000"/>
                <w:sz w:val="20"/>
                <w:lang w:eastAsia="es-CR"/>
              </w:rPr>
            </w:pPr>
            <w:r w:rsidRPr="004E74A6">
              <w:rPr>
                <w:rFonts w:cs="Calibri"/>
                <w:color w:val="000000"/>
                <w:sz w:val="20"/>
              </w:rPr>
              <w:t>1</w:t>
            </w:r>
          </w:p>
        </w:tc>
        <w:tc>
          <w:tcPr>
            <w:tcW w:w="475" w:type="pct"/>
            <w:tcBorders>
              <w:top w:val="nil"/>
              <w:left w:val="single" w:sz="4" w:space="0" w:color="auto"/>
              <w:bottom w:val="nil"/>
              <w:right w:val="single" w:sz="4" w:space="0" w:color="auto"/>
            </w:tcBorders>
            <w:shd w:val="clear" w:color="auto" w:fill="auto"/>
            <w:noWrap/>
            <w:vAlign w:val="center"/>
            <w:hideMark/>
          </w:tcPr>
          <w:p w14:paraId="56D79B39" w14:textId="7E8FDB96" w:rsidR="00285C63" w:rsidRPr="004E74A6" w:rsidRDefault="00285C63" w:rsidP="00CE62C1">
            <w:pPr>
              <w:spacing w:line="276" w:lineRule="auto"/>
              <w:jc w:val="center"/>
              <w:rPr>
                <w:rFonts w:cs="Calibri"/>
                <w:color w:val="000000"/>
                <w:sz w:val="20"/>
                <w:lang w:eastAsia="es-CR"/>
              </w:rPr>
            </w:pPr>
            <w:r w:rsidRPr="004E74A6">
              <w:rPr>
                <w:rFonts w:cs="Calibri"/>
                <w:color w:val="000000"/>
                <w:sz w:val="20"/>
              </w:rPr>
              <w:t>1</w:t>
            </w:r>
          </w:p>
        </w:tc>
        <w:tc>
          <w:tcPr>
            <w:tcW w:w="639" w:type="pct"/>
            <w:tcBorders>
              <w:top w:val="nil"/>
              <w:left w:val="single" w:sz="4" w:space="0" w:color="auto"/>
              <w:bottom w:val="nil"/>
              <w:right w:val="nil"/>
            </w:tcBorders>
            <w:shd w:val="clear" w:color="auto" w:fill="auto"/>
            <w:noWrap/>
            <w:vAlign w:val="bottom"/>
            <w:hideMark/>
          </w:tcPr>
          <w:p w14:paraId="286ACD8C" w14:textId="31F4386B" w:rsidR="00285C63" w:rsidRPr="004E74A6" w:rsidRDefault="00285C63" w:rsidP="00CE62C1">
            <w:pPr>
              <w:spacing w:line="276" w:lineRule="auto"/>
              <w:jc w:val="center"/>
              <w:rPr>
                <w:rFonts w:cs="Calibri"/>
                <w:color w:val="000000"/>
                <w:sz w:val="20"/>
                <w:lang w:eastAsia="es-CR"/>
              </w:rPr>
            </w:pPr>
            <w:r w:rsidRPr="004E74A6">
              <w:rPr>
                <w:rFonts w:cs="Calibri"/>
                <w:color w:val="000000"/>
                <w:sz w:val="20"/>
              </w:rPr>
              <w:t>0,7</w:t>
            </w:r>
          </w:p>
        </w:tc>
        <w:tc>
          <w:tcPr>
            <w:tcW w:w="1337" w:type="pct"/>
            <w:tcBorders>
              <w:top w:val="nil"/>
              <w:left w:val="single" w:sz="4" w:space="0" w:color="auto"/>
              <w:bottom w:val="nil"/>
              <w:right w:val="nil"/>
            </w:tcBorders>
            <w:shd w:val="clear" w:color="auto" w:fill="auto"/>
            <w:vAlign w:val="bottom"/>
          </w:tcPr>
          <w:p w14:paraId="36AD381F" w14:textId="7BBCFC39" w:rsidR="00285C63" w:rsidRPr="004E74A6" w:rsidRDefault="00285C63" w:rsidP="00CE62C1">
            <w:pPr>
              <w:spacing w:line="276" w:lineRule="auto"/>
              <w:jc w:val="center"/>
              <w:rPr>
                <w:rFonts w:cs="Calibri"/>
                <w:color w:val="000000"/>
                <w:sz w:val="20"/>
              </w:rPr>
            </w:pPr>
            <w:r w:rsidRPr="004E74A6">
              <w:rPr>
                <w:rFonts w:cs="Calibri"/>
                <w:color w:val="000000"/>
                <w:sz w:val="20"/>
              </w:rPr>
              <w:t>90%</w:t>
            </w:r>
          </w:p>
        </w:tc>
      </w:tr>
      <w:tr w:rsidR="00285C63" w:rsidRPr="004E74A6" w14:paraId="3E2CBFD6" w14:textId="3D7073BA" w:rsidTr="00285C63">
        <w:trPr>
          <w:trHeight w:val="288"/>
          <w:jc w:val="center"/>
        </w:trPr>
        <w:tc>
          <w:tcPr>
            <w:tcW w:w="1597" w:type="pct"/>
            <w:tcBorders>
              <w:top w:val="nil"/>
              <w:left w:val="nil"/>
              <w:bottom w:val="nil"/>
              <w:right w:val="single" w:sz="4" w:space="0" w:color="auto"/>
            </w:tcBorders>
            <w:shd w:val="clear" w:color="auto" w:fill="auto"/>
            <w:noWrap/>
            <w:vAlign w:val="bottom"/>
            <w:hideMark/>
          </w:tcPr>
          <w:p w14:paraId="030F69DC" w14:textId="77777777" w:rsidR="00285C63" w:rsidRPr="004E74A6" w:rsidRDefault="00285C63" w:rsidP="00CE62C1">
            <w:pPr>
              <w:spacing w:line="276" w:lineRule="auto"/>
              <w:jc w:val="left"/>
              <w:rPr>
                <w:rFonts w:cs="Calibri"/>
                <w:color w:val="000000"/>
                <w:sz w:val="20"/>
                <w:lang w:eastAsia="es-CR"/>
              </w:rPr>
            </w:pPr>
            <w:r w:rsidRPr="004E74A6">
              <w:rPr>
                <w:rFonts w:cs="Calibri"/>
                <w:color w:val="000000"/>
                <w:sz w:val="20"/>
                <w:lang w:eastAsia="es-CR"/>
              </w:rPr>
              <w:t>De ¢85.000.001 A ¢90.000.000</w:t>
            </w:r>
          </w:p>
        </w:tc>
        <w:tc>
          <w:tcPr>
            <w:tcW w:w="477" w:type="pct"/>
            <w:tcBorders>
              <w:top w:val="nil"/>
              <w:left w:val="single" w:sz="4" w:space="0" w:color="auto"/>
              <w:bottom w:val="nil"/>
              <w:right w:val="single" w:sz="4" w:space="0" w:color="auto"/>
            </w:tcBorders>
            <w:shd w:val="clear" w:color="auto" w:fill="auto"/>
            <w:noWrap/>
            <w:vAlign w:val="center"/>
            <w:hideMark/>
          </w:tcPr>
          <w:p w14:paraId="015CD3B3" w14:textId="01252788" w:rsidR="00285C63" w:rsidRPr="004E74A6" w:rsidRDefault="00285C63" w:rsidP="00CE62C1">
            <w:pPr>
              <w:spacing w:line="276" w:lineRule="auto"/>
              <w:jc w:val="center"/>
              <w:rPr>
                <w:rFonts w:cs="Calibri"/>
                <w:color w:val="000000"/>
                <w:sz w:val="20"/>
                <w:lang w:eastAsia="es-CR"/>
              </w:rPr>
            </w:pPr>
            <w:r w:rsidRPr="004E74A6">
              <w:rPr>
                <w:rFonts w:cs="Calibri"/>
                <w:color w:val="000000"/>
                <w:sz w:val="20"/>
              </w:rPr>
              <w:t>0</w:t>
            </w:r>
          </w:p>
        </w:tc>
        <w:tc>
          <w:tcPr>
            <w:tcW w:w="475" w:type="pct"/>
            <w:tcBorders>
              <w:top w:val="nil"/>
              <w:left w:val="single" w:sz="4" w:space="0" w:color="auto"/>
              <w:bottom w:val="nil"/>
              <w:right w:val="single" w:sz="4" w:space="0" w:color="auto"/>
            </w:tcBorders>
            <w:shd w:val="clear" w:color="auto" w:fill="auto"/>
            <w:noWrap/>
            <w:vAlign w:val="center"/>
            <w:hideMark/>
          </w:tcPr>
          <w:p w14:paraId="61322509" w14:textId="096A4AE6" w:rsidR="00285C63" w:rsidRPr="004E74A6" w:rsidRDefault="00285C63" w:rsidP="00CE62C1">
            <w:pPr>
              <w:spacing w:line="276" w:lineRule="auto"/>
              <w:jc w:val="center"/>
              <w:rPr>
                <w:sz w:val="20"/>
                <w:lang w:eastAsia="es-CR"/>
              </w:rPr>
            </w:pPr>
            <w:r w:rsidRPr="004E74A6">
              <w:rPr>
                <w:rFonts w:cs="Calibri"/>
                <w:color w:val="000000"/>
                <w:sz w:val="20"/>
              </w:rPr>
              <w:t>0</w:t>
            </w:r>
          </w:p>
        </w:tc>
        <w:tc>
          <w:tcPr>
            <w:tcW w:w="475" w:type="pct"/>
            <w:tcBorders>
              <w:top w:val="nil"/>
              <w:left w:val="single" w:sz="4" w:space="0" w:color="auto"/>
              <w:bottom w:val="nil"/>
              <w:right w:val="single" w:sz="4" w:space="0" w:color="auto"/>
            </w:tcBorders>
            <w:shd w:val="clear" w:color="auto" w:fill="auto"/>
            <w:noWrap/>
            <w:vAlign w:val="center"/>
            <w:hideMark/>
          </w:tcPr>
          <w:p w14:paraId="5BC3C525" w14:textId="117768C0" w:rsidR="00285C63" w:rsidRPr="004E74A6" w:rsidRDefault="00285C63" w:rsidP="00CE62C1">
            <w:pPr>
              <w:spacing w:line="276" w:lineRule="auto"/>
              <w:jc w:val="center"/>
              <w:rPr>
                <w:rFonts w:cs="Calibri"/>
                <w:color w:val="000000"/>
                <w:sz w:val="20"/>
                <w:lang w:eastAsia="es-CR"/>
              </w:rPr>
            </w:pPr>
            <w:r w:rsidRPr="004E74A6">
              <w:rPr>
                <w:rFonts w:cs="Calibri"/>
                <w:color w:val="000000"/>
                <w:sz w:val="20"/>
              </w:rPr>
              <w:t>2</w:t>
            </w:r>
          </w:p>
        </w:tc>
        <w:tc>
          <w:tcPr>
            <w:tcW w:w="639" w:type="pct"/>
            <w:tcBorders>
              <w:top w:val="nil"/>
              <w:left w:val="single" w:sz="4" w:space="0" w:color="auto"/>
              <w:bottom w:val="nil"/>
              <w:right w:val="nil"/>
            </w:tcBorders>
            <w:shd w:val="clear" w:color="auto" w:fill="auto"/>
            <w:noWrap/>
            <w:vAlign w:val="bottom"/>
            <w:hideMark/>
          </w:tcPr>
          <w:p w14:paraId="006F0558" w14:textId="1A991DBB" w:rsidR="00285C63" w:rsidRPr="004E74A6" w:rsidRDefault="00285C63" w:rsidP="00CE62C1">
            <w:pPr>
              <w:spacing w:line="276" w:lineRule="auto"/>
              <w:jc w:val="center"/>
              <w:rPr>
                <w:rFonts w:cs="Calibri"/>
                <w:color w:val="000000"/>
                <w:sz w:val="20"/>
                <w:lang w:eastAsia="es-CR"/>
              </w:rPr>
            </w:pPr>
            <w:r w:rsidRPr="004E74A6">
              <w:rPr>
                <w:rFonts w:cs="Calibri"/>
                <w:color w:val="000000"/>
                <w:sz w:val="20"/>
              </w:rPr>
              <w:t>0,7</w:t>
            </w:r>
          </w:p>
        </w:tc>
        <w:tc>
          <w:tcPr>
            <w:tcW w:w="1337" w:type="pct"/>
            <w:tcBorders>
              <w:top w:val="nil"/>
              <w:left w:val="single" w:sz="4" w:space="0" w:color="auto"/>
              <w:bottom w:val="nil"/>
              <w:right w:val="nil"/>
            </w:tcBorders>
            <w:shd w:val="clear" w:color="auto" w:fill="auto"/>
            <w:vAlign w:val="bottom"/>
          </w:tcPr>
          <w:p w14:paraId="1E148B47" w14:textId="1C24FEC9" w:rsidR="00285C63" w:rsidRPr="004E74A6" w:rsidRDefault="00285C63" w:rsidP="00CE62C1">
            <w:pPr>
              <w:spacing w:line="276" w:lineRule="auto"/>
              <w:jc w:val="center"/>
              <w:rPr>
                <w:rFonts w:cs="Calibri"/>
                <w:color w:val="000000"/>
                <w:sz w:val="20"/>
              </w:rPr>
            </w:pPr>
            <w:r w:rsidRPr="004E74A6">
              <w:rPr>
                <w:rFonts w:cs="Calibri"/>
                <w:color w:val="000000"/>
                <w:sz w:val="20"/>
              </w:rPr>
              <w:t>92%</w:t>
            </w:r>
          </w:p>
        </w:tc>
      </w:tr>
      <w:tr w:rsidR="00285C63" w:rsidRPr="004E74A6" w14:paraId="20C09735" w14:textId="11AA330E" w:rsidTr="00285C63">
        <w:trPr>
          <w:trHeight w:val="288"/>
          <w:jc w:val="center"/>
        </w:trPr>
        <w:tc>
          <w:tcPr>
            <w:tcW w:w="1597" w:type="pct"/>
            <w:tcBorders>
              <w:top w:val="nil"/>
              <w:left w:val="nil"/>
              <w:bottom w:val="nil"/>
              <w:right w:val="single" w:sz="4" w:space="0" w:color="auto"/>
            </w:tcBorders>
            <w:shd w:val="clear" w:color="auto" w:fill="auto"/>
            <w:noWrap/>
            <w:vAlign w:val="bottom"/>
            <w:hideMark/>
          </w:tcPr>
          <w:p w14:paraId="55C8376E" w14:textId="77777777" w:rsidR="00285C63" w:rsidRPr="004E74A6" w:rsidRDefault="00285C63" w:rsidP="00CE62C1">
            <w:pPr>
              <w:spacing w:line="276" w:lineRule="auto"/>
              <w:jc w:val="left"/>
              <w:rPr>
                <w:rFonts w:cs="Calibri"/>
                <w:color w:val="000000"/>
                <w:sz w:val="20"/>
                <w:lang w:eastAsia="es-CR"/>
              </w:rPr>
            </w:pPr>
            <w:r w:rsidRPr="004E74A6">
              <w:rPr>
                <w:rFonts w:cs="Calibri"/>
                <w:color w:val="000000"/>
                <w:sz w:val="20"/>
                <w:lang w:eastAsia="es-CR"/>
              </w:rPr>
              <w:t>Más De ¢100.000.000</w:t>
            </w:r>
          </w:p>
        </w:tc>
        <w:tc>
          <w:tcPr>
            <w:tcW w:w="477" w:type="pct"/>
            <w:tcBorders>
              <w:top w:val="nil"/>
              <w:left w:val="single" w:sz="4" w:space="0" w:color="auto"/>
              <w:bottom w:val="nil"/>
              <w:right w:val="single" w:sz="4" w:space="0" w:color="auto"/>
            </w:tcBorders>
            <w:shd w:val="clear" w:color="auto" w:fill="auto"/>
            <w:noWrap/>
            <w:vAlign w:val="center"/>
            <w:hideMark/>
          </w:tcPr>
          <w:p w14:paraId="7D034F39" w14:textId="183A3710" w:rsidR="00285C63" w:rsidRPr="004E74A6" w:rsidRDefault="00285C63" w:rsidP="00CE62C1">
            <w:pPr>
              <w:spacing w:line="276" w:lineRule="auto"/>
              <w:jc w:val="center"/>
              <w:rPr>
                <w:rFonts w:cs="Calibri"/>
                <w:color w:val="000000"/>
                <w:sz w:val="20"/>
                <w:lang w:eastAsia="es-CR"/>
              </w:rPr>
            </w:pPr>
            <w:r w:rsidRPr="004E74A6">
              <w:rPr>
                <w:rFonts w:cs="Calibri"/>
                <w:color w:val="000000"/>
                <w:sz w:val="20"/>
              </w:rPr>
              <w:t>1</w:t>
            </w:r>
          </w:p>
        </w:tc>
        <w:tc>
          <w:tcPr>
            <w:tcW w:w="475" w:type="pct"/>
            <w:tcBorders>
              <w:top w:val="nil"/>
              <w:left w:val="single" w:sz="4" w:space="0" w:color="auto"/>
              <w:bottom w:val="nil"/>
              <w:right w:val="single" w:sz="4" w:space="0" w:color="auto"/>
            </w:tcBorders>
            <w:shd w:val="clear" w:color="auto" w:fill="auto"/>
            <w:noWrap/>
            <w:vAlign w:val="center"/>
            <w:hideMark/>
          </w:tcPr>
          <w:p w14:paraId="03033CDD" w14:textId="396E8BF7" w:rsidR="00285C63" w:rsidRPr="004E74A6" w:rsidRDefault="00285C63" w:rsidP="00CE62C1">
            <w:pPr>
              <w:spacing w:line="276" w:lineRule="auto"/>
              <w:jc w:val="center"/>
              <w:rPr>
                <w:rFonts w:cs="Calibri"/>
                <w:color w:val="000000"/>
                <w:sz w:val="20"/>
                <w:lang w:eastAsia="es-CR"/>
              </w:rPr>
            </w:pPr>
            <w:r w:rsidRPr="004E74A6">
              <w:rPr>
                <w:rFonts w:cs="Calibri"/>
                <w:color w:val="000000"/>
                <w:sz w:val="20"/>
              </w:rPr>
              <w:t>3</w:t>
            </w:r>
          </w:p>
        </w:tc>
        <w:tc>
          <w:tcPr>
            <w:tcW w:w="475" w:type="pct"/>
            <w:tcBorders>
              <w:top w:val="nil"/>
              <w:left w:val="single" w:sz="4" w:space="0" w:color="auto"/>
              <w:bottom w:val="nil"/>
              <w:right w:val="single" w:sz="4" w:space="0" w:color="auto"/>
            </w:tcBorders>
            <w:shd w:val="clear" w:color="auto" w:fill="auto"/>
            <w:noWrap/>
            <w:vAlign w:val="center"/>
            <w:hideMark/>
          </w:tcPr>
          <w:p w14:paraId="2E42A734" w14:textId="4BFF6424" w:rsidR="00285C63" w:rsidRPr="004E74A6" w:rsidRDefault="00285C63" w:rsidP="00CE62C1">
            <w:pPr>
              <w:spacing w:line="276" w:lineRule="auto"/>
              <w:jc w:val="center"/>
              <w:rPr>
                <w:rFonts w:cs="Calibri"/>
                <w:color w:val="000000"/>
                <w:sz w:val="20"/>
                <w:lang w:eastAsia="es-CR"/>
              </w:rPr>
            </w:pPr>
            <w:r w:rsidRPr="004E74A6">
              <w:rPr>
                <w:rFonts w:cs="Calibri"/>
                <w:color w:val="000000"/>
                <w:sz w:val="20"/>
              </w:rPr>
              <w:t>6</w:t>
            </w:r>
          </w:p>
        </w:tc>
        <w:tc>
          <w:tcPr>
            <w:tcW w:w="639" w:type="pct"/>
            <w:tcBorders>
              <w:top w:val="nil"/>
              <w:left w:val="single" w:sz="4" w:space="0" w:color="auto"/>
              <w:bottom w:val="nil"/>
              <w:right w:val="nil"/>
            </w:tcBorders>
            <w:shd w:val="clear" w:color="auto" w:fill="auto"/>
            <w:noWrap/>
            <w:vAlign w:val="bottom"/>
            <w:hideMark/>
          </w:tcPr>
          <w:p w14:paraId="4E154338" w14:textId="7D3DF1EF" w:rsidR="00285C63" w:rsidRPr="004E74A6" w:rsidRDefault="00285C63" w:rsidP="00CE62C1">
            <w:pPr>
              <w:spacing w:line="276" w:lineRule="auto"/>
              <w:jc w:val="center"/>
              <w:rPr>
                <w:rFonts w:cs="Calibri"/>
                <w:color w:val="000000"/>
                <w:sz w:val="20"/>
                <w:lang w:eastAsia="es-CR"/>
              </w:rPr>
            </w:pPr>
            <w:r w:rsidRPr="004E74A6">
              <w:rPr>
                <w:rFonts w:cs="Calibri"/>
                <w:color w:val="000000"/>
                <w:sz w:val="20"/>
              </w:rPr>
              <w:t>3,3</w:t>
            </w:r>
          </w:p>
        </w:tc>
        <w:tc>
          <w:tcPr>
            <w:tcW w:w="1337" w:type="pct"/>
            <w:tcBorders>
              <w:top w:val="nil"/>
              <w:left w:val="single" w:sz="4" w:space="0" w:color="auto"/>
              <w:bottom w:val="nil"/>
              <w:right w:val="nil"/>
            </w:tcBorders>
            <w:shd w:val="clear" w:color="auto" w:fill="auto"/>
            <w:vAlign w:val="bottom"/>
          </w:tcPr>
          <w:p w14:paraId="49755FED" w14:textId="524F2409" w:rsidR="00285C63" w:rsidRPr="004E74A6" w:rsidRDefault="00285C63" w:rsidP="00CE62C1">
            <w:pPr>
              <w:spacing w:line="276" w:lineRule="auto"/>
              <w:jc w:val="center"/>
              <w:rPr>
                <w:rFonts w:cs="Calibri"/>
                <w:color w:val="000000"/>
                <w:sz w:val="20"/>
              </w:rPr>
            </w:pPr>
            <w:r w:rsidRPr="004E74A6">
              <w:rPr>
                <w:rFonts w:cs="Calibri"/>
                <w:color w:val="000000"/>
                <w:sz w:val="20"/>
              </w:rPr>
              <w:t>99%</w:t>
            </w:r>
          </w:p>
        </w:tc>
      </w:tr>
      <w:tr w:rsidR="00285C63" w:rsidRPr="004E74A6" w14:paraId="4878CDBF" w14:textId="2EA00EDF" w:rsidTr="00285C63">
        <w:trPr>
          <w:trHeight w:val="288"/>
          <w:jc w:val="center"/>
        </w:trPr>
        <w:tc>
          <w:tcPr>
            <w:tcW w:w="1597" w:type="pct"/>
            <w:tcBorders>
              <w:top w:val="nil"/>
              <w:left w:val="nil"/>
              <w:bottom w:val="nil"/>
              <w:right w:val="single" w:sz="4" w:space="0" w:color="auto"/>
            </w:tcBorders>
            <w:shd w:val="clear" w:color="auto" w:fill="auto"/>
            <w:noWrap/>
            <w:vAlign w:val="bottom"/>
            <w:hideMark/>
          </w:tcPr>
          <w:p w14:paraId="17759A42" w14:textId="77777777" w:rsidR="00285C63" w:rsidRPr="004E74A6" w:rsidRDefault="00285C63" w:rsidP="00CE62C1">
            <w:pPr>
              <w:spacing w:line="276" w:lineRule="auto"/>
              <w:jc w:val="left"/>
              <w:rPr>
                <w:rFonts w:cs="Calibri"/>
                <w:color w:val="ED7D31" w:themeColor="accent2"/>
                <w:sz w:val="20"/>
                <w:lang w:eastAsia="es-CR"/>
              </w:rPr>
            </w:pPr>
            <w:r w:rsidRPr="004E74A6">
              <w:rPr>
                <w:rFonts w:cs="Calibri"/>
                <w:color w:val="ED7D31" w:themeColor="accent2"/>
                <w:sz w:val="20"/>
                <w:lang w:eastAsia="es-CR"/>
              </w:rPr>
              <w:t>Expedientes Cuantía Cero</w:t>
            </w:r>
          </w:p>
        </w:tc>
        <w:tc>
          <w:tcPr>
            <w:tcW w:w="477" w:type="pct"/>
            <w:tcBorders>
              <w:top w:val="nil"/>
              <w:left w:val="single" w:sz="4" w:space="0" w:color="auto"/>
              <w:bottom w:val="nil"/>
              <w:right w:val="single" w:sz="4" w:space="0" w:color="auto"/>
            </w:tcBorders>
            <w:shd w:val="clear" w:color="auto" w:fill="auto"/>
            <w:noWrap/>
            <w:vAlign w:val="center"/>
            <w:hideMark/>
          </w:tcPr>
          <w:p w14:paraId="15AB8CD4" w14:textId="176DE62D" w:rsidR="00285C63" w:rsidRPr="004E74A6" w:rsidRDefault="00285C63" w:rsidP="00CE62C1">
            <w:pPr>
              <w:spacing w:line="276" w:lineRule="auto"/>
              <w:jc w:val="center"/>
              <w:rPr>
                <w:rFonts w:cs="Calibri"/>
                <w:color w:val="ED7D31" w:themeColor="accent2"/>
                <w:sz w:val="20"/>
                <w:lang w:eastAsia="es-CR"/>
              </w:rPr>
            </w:pPr>
            <w:r w:rsidRPr="004E74A6">
              <w:rPr>
                <w:rFonts w:cs="Calibri"/>
                <w:color w:val="ED7D31" w:themeColor="accent2"/>
                <w:sz w:val="20"/>
              </w:rPr>
              <w:t>1</w:t>
            </w:r>
          </w:p>
        </w:tc>
        <w:tc>
          <w:tcPr>
            <w:tcW w:w="475" w:type="pct"/>
            <w:tcBorders>
              <w:top w:val="nil"/>
              <w:left w:val="single" w:sz="4" w:space="0" w:color="auto"/>
              <w:bottom w:val="nil"/>
              <w:right w:val="single" w:sz="4" w:space="0" w:color="auto"/>
            </w:tcBorders>
            <w:shd w:val="clear" w:color="auto" w:fill="auto"/>
            <w:noWrap/>
            <w:vAlign w:val="center"/>
            <w:hideMark/>
          </w:tcPr>
          <w:p w14:paraId="714652FD" w14:textId="6E240BE2" w:rsidR="00285C63" w:rsidRPr="004E74A6" w:rsidRDefault="00285C63" w:rsidP="00CE62C1">
            <w:pPr>
              <w:spacing w:line="276" w:lineRule="auto"/>
              <w:jc w:val="center"/>
              <w:rPr>
                <w:rFonts w:cs="Calibri"/>
                <w:color w:val="ED7D31" w:themeColor="accent2"/>
                <w:sz w:val="20"/>
                <w:lang w:eastAsia="es-CR"/>
              </w:rPr>
            </w:pPr>
            <w:r w:rsidRPr="004E74A6">
              <w:rPr>
                <w:rFonts w:cs="Calibri"/>
                <w:color w:val="ED7D31" w:themeColor="accent2"/>
                <w:sz w:val="20"/>
              </w:rPr>
              <w:t>0</w:t>
            </w:r>
          </w:p>
        </w:tc>
        <w:tc>
          <w:tcPr>
            <w:tcW w:w="475" w:type="pct"/>
            <w:tcBorders>
              <w:top w:val="nil"/>
              <w:left w:val="single" w:sz="4" w:space="0" w:color="auto"/>
              <w:bottom w:val="nil"/>
              <w:right w:val="single" w:sz="4" w:space="0" w:color="auto"/>
            </w:tcBorders>
            <w:shd w:val="clear" w:color="auto" w:fill="auto"/>
            <w:noWrap/>
            <w:vAlign w:val="center"/>
            <w:hideMark/>
          </w:tcPr>
          <w:p w14:paraId="31EABA08" w14:textId="77E8DE80" w:rsidR="00285C63" w:rsidRPr="004E74A6" w:rsidRDefault="00285C63" w:rsidP="00CE62C1">
            <w:pPr>
              <w:spacing w:line="276" w:lineRule="auto"/>
              <w:jc w:val="center"/>
              <w:rPr>
                <w:rFonts w:cs="Calibri"/>
                <w:color w:val="ED7D31" w:themeColor="accent2"/>
                <w:sz w:val="20"/>
                <w:lang w:eastAsia="es-CR"/>
              </w:rPr>
            </w:pPr>
            <w:r w:rsidRPr="004E74A6">
              <w:rPr>
                <w:rFonts w:cs="Calibri"/>
                <w:color w:val="ED7D31" w:themeColor="accent2"/>
                <w:sz w:val="20"/>
              </w:rPr>
              <w:t>0</w:t>
            </w:r>
          </w:p>
        </w:tc>
        <w:tc>
          <w:tcPr>
            <w:tcW w:w="639" w:type="pct"/>
            <w:tcBorders>
              <w:top w:val="nil"/>
              <w:left w:val="single" w:sz="4" w:space="0" w:color="auto"/>
              <w:bottom w:val="nil"/>
              <w:right w:val="nil"/>
            </w:tcBorders>
            <w:shd w:val="clear" w:color="auto" w:fill="auto"/>
            <w:noWrap/>
            <w:vAlign w:val="bottom"/>
            <w:hideMark/>
          </w:tcPr>
          <w:p w14:paraId="14EFA425" w14:textId="6EA8634F" w:rsidR="00285C63" w:rsidRPr="004E74A6" w:rsidRDefault="00285C63" w:rsidP="00CE62C1">
            <w:pPr>
              <w:spacing w:line="276" w:lineRule="auto"/>
              <w:jc w:val="center"/>
              <w:rPr>
                <w:rFonts w:cs="Calibri"/>
                <w:color w:val="ED7D31" w:themeColor="accent2"/>
                <w:sz w:val="20"/>
                <w:lang w:eastAsia="es-CR"/>
              </w:rPr>
            </w:pPr>
            <w:r w:rsidRPr="004E74A6">
              <w:rPr>
                <w:rFonts w:cs="Calibri"/>
                <w:color w:val="ED7D31" w:themeColor="accent2"/>
                <w:sz w:val="20"/>
              </w:rPr>
              <w:t>0,3</w:t>
            </w:r>
          </w:p>
        </w:tc>
        <w:tc>
          <w:tcPr>
            <w:tcW w:w="1337" w:type="pct"/>
            <w:tcBorders>
              <w:top w:val="nil"/>
              <w:left w:val="single" w:sz="4" w:space="0" w:color="auto"/>
              <w:bottom w:val="nil"/>
              <w:right w:val="nil"/>
            </w:tcBorders>
            <w:shd w:val="clear" w:color="auto" w:fill="auto"/>
            <w:vAlign w:val="bottom"/>
          </w:tcPr>
          <w:p w14:paraId="4D674725" w14:textId="41263DE5" w:rsidR="00285C63" w:rsidRPr="004E74A6" w:rsidRDefault="00285C63" w:rsidP="00CE62C1">
            <w:pPr>
              <w:spacing w:line="276" w:lineRule="auto"/>
              <w:jc w:val="center"/>
              <w:rPr>
                <w:rFonts w:cs="Calibri"/>
                <w:color w:val="ED7D31" w:themeColor="accent2"/>
                <w:sz w:val="20"/>
              </w:rPr>
            </w:pPr>
            <w:r w:rsidRPr="004E74A6">
              <w:rPr>
                <w:rFonts w:cs="Calibri"/>
                <w:color w:val="ED7D31" w:themeColor="accent2"/>
                <w:sz w:val="20"/>
              </w:rPr>
              <w:t>100%</w:t>
            </w:r>
          </w:p>
        </w:tc>
      </w:tr>
      <w:tr w:rsidR="00285C63" w:rsidRPr="004E74A6" w14:paraId="1F2A5F6A" w14:textId="4E73EC88" w:rsidTr="00285C63">
        <w:trPr>
          <w:trHeight w:val="288"/>
          <w:jc w:val="center"/>
        </w:trPr>
        <w:tc>
          <w:tcPr>
            <w:tcW w:w="1597" w:type="pct"/>
            <w:tcBorders>
              <w:top w:val="nil"/>
              <w:left w:val="nil"/>
              <w:bottom w:val="single" w:sz="4" w:space="0" w:color="auto"/>
              <w:right w:val="single" w:sz="4" w:space="0" w:color="auto"/>
            </w:tcBorders>
            <w:shd w:val="clear" w:color="auto" w:fill="auto"/>
            <w:noWrap/>
            <w:vAlign w:val="bottom"/>
          </w:tcPr>
          <w:p w14:paraId="723943DB" w14:textId="77777777" w:rsidR="00285C63" w:rsidRPr="004E74A6" w:rsidRDefault="00285C63" w:rsidP="00CE62C1">
            <w:pPr>
              <w:spacing w:line="276" w:lineRule="auto"/>
              <w:jc w:val="left"/>
              <w:rPr>
                <w:rFonts w:cs="Calibri"/>
                <w:color w:val="000000"/>
                <w:sz w:val="20"/>
                <w:lang w:eastAsia="es-CR"/>
              </w:rPr>
            </w:pPr>
          </w:p>
        </w:tc>
        <w:tc>
          <w:tcPr>
            <w:tcW w:w="477" w:type="pct"/>
            <w:tcBorders>
              <w:top w:val="nil"/>
              <w:left w:val="single" w:sz="4" w:space="0" w:color="auto"/>
              <w:bottom w:val="single" w:sz="4" w:space="0" w:color="auto"/>
              <w:right w:val="single" w:sz="4" w:space="0" w:color="auto"/>
            </w:tcBorders>
            <w:shd w:val="clear" w:color="auto" w:fill="auto"/>
            <w:noWrap/>
            <w:vAlign w:val="center"/>
          </w:tcPr>
          <w:p w14:paraId="19ED2C0F" w14:textId="77777777" w:rsidR="00285C63" w:rsidRPr="004E74A6" w:rsidRDefault="00285C63" w:rsidP="00CE62C1">
            <w:pPr>
              <w:spacing w:line="276" w:lineRule="auto"/>
              <w:jc w:val="center"/>
              <w:rPr>
                <w:rFonts w:cs="Calibri"/>
                <w:color w:val="000000"/>
                <w:sz w:val="20"/>
                <w:lang w:eastAsia="es-CR"/>
              </w:rPr>
            </w:pPr>
          </w:p>
        </w:tc>
        <w:tc>
          <w:tcPr>
            <w:tcW w:w="475" w:type="pct"/>
            <w:tcBorders>
              <w:top w:val="nil"/>
              <w:left w:val="single" w:sz="4" w:space="0" w:color="auto"/>
              <w:bottom w:val="single" w:sz="4" w:space="0" w:color="auto"/>
              <w:right w:val="single" w:sz="4" w:space="0" w:color="auto"/>
            </w:tcBorders>
            <w:shd w:val="clear" w:color="auto" w:fill="auto"/>
            <w:noWrap/>
            <w:vAlign w:val="center"/>
          </w:tcPr>
          <w:p w14:paraId="3AC00CE6" w14:textId="77777777" w:rsidR="00285C63" w:rsidRPr="004E74A6" w:rsidRDefault="00285C63" w:rsidP="00CE62C1">
            <w:pPr>
              <w:spacing w:line="276" w:lineRule="auto"/>
              <w:jc w:val="center"/>
              <w:rPr>
                <w:rFonts w:cs="Calibri"/>
                <w:color w:val="000000"/>
                <w:sz w:val="20"/>
                <w:lang w:eastAsia="es-CR"/>
              </w:rPr>
            </w:pPr>
          </w:p>
        </w:tc>
        <w:tc>
          <w:tcPr>
            <w:tcW w:w="475" w:type="pct"/>
            <w:tcBorders>
              <w:top w:val="nil"/>
              <w:left w:val="single" w:sz="4" w:space="0" w:color="auto"/>
              <w:bottom w:val="single" w:sz="4" w:space="0" w:color="auto"/>
              <w:right w:val="single" w:sz="4" w:space="0" w:color="auto"/>
            </w:tcBorders>
            <w:shd w:val="clear" w:color="auto" w:fill="auto"/>
            <w:noWrap/>
            <w:vAlign w:val="center"/>
          </w:tcPr>
          <w:p w14:paraId="74BB9809" w14:textId="77777777" w:rsidR="00285C63" w:rsidRPr="004E74A6" w:rsidRDefault="00285C63" w:rsidP="00CE62C1">
            <w:pPr>
              <w:spacing w:line="276" w:lineRule="auto"/>
              <w:jc w:val="center"/>
              <w:rPr>
                <w:rFonts w:cs="Calibri"/>
                <w:color w:val="000000"/>
                <w:sz w:val="20"/>
                <w:lang w:eastAsia="es-CR"/>
              </w:rPr>
            </w:pPr>
          </w:p>
        </w:tc>
        <w:tc>
          <w:tcPr>
            <w:tcW w:w="639" w:type="pct"/>
            <w:tcBorders>
              <w:top w:val="nil"/>
              <w:left w:val="single" w:sz="4" w:space="0" w:color="auto"/>
              <w:bottom w:val="single" w:sz="4" w:space="0" w:color="auto"/>
              <w:right w:val="nil"/>
            </w:tcBorders>
            <w:shd w:val="clear" w:color="auto" w:fill="auto"/>
            <w:noWrap/>
            <w:vAlign w:val="center"/>
          </w:tcPr>
          <w:p w14:paraId="5BC49238" w14:textId="77777777" w:rsidR="00285C63" w:rsidRPr="004E74A6" w:rsidRDefault="00285C63" w:rsidP="00CE62C1">
            <w:pPr>
              <w:spacing w:line="276" w:lineRule="auto"/>
              <w:jc w:val="center"/>
              <w:rPr>
                <w:rFonts w:cs="Calibri"/>
                <w:color w:val="000000"/>
                <w:sz w:val="20"/>
                <w:lang w:eastAsia="es-CR"/>
              </w:rPr>
            </w:pPr>
          </w:p>
        </w:tc>
        <w:tc>
          <w:tcPr>
            <w:tcW w:w="1337" w:type="pct"/>
            <w:tcBorders>
              <w:top w:val="nil"/>
              <w:left w:val="single" w:sz="4" w:space="0" w:color="auto"/>
              <w:bottom w:val="single" w:sz="4" w:space="0" w:color="auto"/>
              <w:right w:val="nil"/>
            </w:tcBorders>
          </w:tcPr>
          <w:p w14:paraId="5045EEA1" w14:textId="77777777" w:rsidR="00285C63" w:rsidRPr="004E74A6" w:rsidRDefault="00285C63" w:rsidP="00CE62C1">
            <w:pPr>
              <w:spacing w:line="276" w:lineRule="auto"/>
              <w:jc w:val="center"/>
              <w:rPr>
                <w:rFonts w:cs="Calibri"/>
                <w:color w:val="000000"/>
                <w:sz w:val="20"/>
                <w:lang w:eastAsia="es-CR"/>
              </w:rPr>
            </w:pPr>
          </w:p>
        </w:tc>
      </w:tr>
    </w:tbl>
    <w:p w14:paraId="0F6B35F6" w14:textId="4DFE4C2E" w:rsidR="003E4755" w:rsidRPr="004E74A6" w:rsidRDefault="003E4755" w:rsidP="00832773">
      <w:pPr>
        <w:spacing w:line="276" w:lineRule="auto"/>
        <w:ind w:left="1191" w:right="1191"/>
        <w:rPr>
          <w:rFonts w:cs="Calibri"/>
          <w:i/>
          <w:iCs/>
          <w:color w:val="000000"/>
          <w:sz w:val="20"/>
          <w:lang w:eastAsia="es-CR"/>
        </w:rPr>
      </w:pPr>
      <w:r w:rsidRPr="004E74A6">
        <w:rPr>
          <w:rFonts w:cs="Calibri"/>
          <w:b/>
          <w:bCs/>
          <w:i/>
          <w:iCs/>
          <w:color w:val="000000"/>
          <w:sz w:val="20"/>
          <w:lang w:eastAsia="es-CR"/>
        </w:rPr>
        <w:t>Fuente</w:t>
      </w:r>
      <w:r w:rsidRPr="004E74A6">
        <w:rPr>
          <w:rFonts w:cs="Calibri"/>
          <w:i/>
          <w:iCs/>
          <w:color w:val="000000"/>
          <w:sz w:val="20"/>
          <w:lang w:eastAsia="es-CR"/>
        </w:rPr>
        <w:t>: Subproceso de Modernización Institucional con datos extraídos del sistema SIGMA, Dirección de Planificación.</w:t>
      </w:r>
    </w:p>
    <w:p w14:paraId="379B1CA8" w14:textId="38350CF2" w:rsidR="008647ED" w:rsidRPr="004E74A6" w:rsidRDefault="008647ED" w:rsidP="00832773">
      <w:pPr>
        <w:spacing w:line="276" w:lineRule="auto"/>
        <w:rPr>
          <w:rFonts w:cs="Calibri"/>
          <w:color w:val="000000"/>
          <w:szCs w:val="24"/>
          <w:lang w:eastAsia="es-CR"/>
        </w:rPr>
      </w:pPr>
    </w:p>
    <w:p w14:paraId="5111775D" w14:textId="77777777" w:rsidR="00082A6F" w:rsidRPr="004E74A6" w:rsidRDefault="00082A6F" w:rsidP="00CE62C1">
      <w:pPr>
        <w:spacing w:after="160" w:line="276" w:lineRule="auto"/>
        <w:rPr>
          <w:rFonts w:cs="Calibri"/>
          <w:color w:val="000000"/>
          <w:szCs w:val="24"/>
          <w:lang w:eastAsia="es-CR"/>
        </w:rPr>
      </w:pPr>
      <w:r w:rsidRPr="004E74A6">
        <w:rPr>
          <w:rFonts w:cs="Calibri"/>
          <w:color w:val="000000"/>
          <w:szCs w:val="24"/>
          <w:lang w:eastAsia="es-CR"/>
        </w:rPr>
        <w:t xml:space="preserve">Para el 2019 se reportaron 1 asuntos con el rango de cuantía </w:t>
      </w:r>
      <w:r w:rsidRPr="004E74A6">
        <w:rPr>
          <w:rFonts w:cs="Calibri"/>
          <w:i/>
          <w:iCs/>
          <w:color w:val="000000"/>
          <w:szCs w:val="24"/>
          <w:lang w:eastAsia="es-CR"/>
        </w:rPr>
        <w:t>“expedientes cuantía cero”</w:t>
      </w:r>
      <w:r w:rsidRPr="004E74A6">
        <w:rPr>
          <w:rFonts w:cs="Calibri"/>
          <w:color w:val="000000"/>
          <w:szCs w:val="24"/>
          <w:lang w:eastAsia="es-CR"/>
        </w:rPr>
        <w:t>, 0 en 2020 y 0 en 2021, eso sucedió porque el Tribunal indicó que el proceso era estimable pero no completó la opción de rango.</w:t>
      </w:r>
    </w:p>
    <w:p w14:paraId="52BBAD65" w14:textId="759B02E5" w:rsidR="00A731B5" w:rsidRPr="004E74A6" w:rsidRDefault="001E71F7" w:rsidP="00CE62C1">
      <w:pPr>
        <w:spacing w:after="160" w:line="276" w:lineRule="auto"/>
        <w:rPr>
          <w:rFonts w:cs="Calibri"/>
          <w:color w:val="000000"/>
          <w:szCs w:val="24"/>
          <w:lang w:eastAsia="es-CR"/>
        </w:rPr>
      </w:pPr>
      <w:r w:rsidRPr="004E74A6">
        <w:rPr>
          <w:rFonts w:cs="Calibri"/>
          <w:color w:val="000000"/>
          <w:szCs w:val="24"/>
          <w:lang w:eastAsia="es-CR"/>
        </w:rPr>
        <w:lastRenderedPageBreak/>
        <w:t>De elevarse cuantía según escenario A.1 este Tribunal perdería un</w:t>
      </w:r>
      <w:r w:rsidR="00082A6F" w:rsidRPr="004E74A6">
        <w:rPr>
          <w:rFonts w:cs="Calibri"/>
          <w:color w:val="000000"/>
          <w:szCs w:val="24"/>
          <w:lang w:eastAsia="es-CR"/>
        </w:rPr>
        <w:t xml:space="preserve"> 61</w:t>
      </w:r>
      <w:r w:rsidRPr="004E74A6">
        <w:rPr>
          <w:rFonts w:cs="Calibri"/>
          <w:color w:val="000000"/>
          <w:szCs w:val="24"/>
          <w:lang w:eastAsia="es-CR"/>
        </w:rPr>
        <w:t xml:space="preserve">% </w:t>
      </w:r>
      <w:r w:rsidR="00A731B5" w:rsidRPr="004E74A6">
        <w:rPr>
          <w:rFonts w:cs="Calibri"/>
          <w:color w:val="000000"/>
          <w:szCs w:val="24"/>
          <w:lang w:eastAsia="es-CR"/>
        </w:rPr>
        <w:t xml:space="preserve">de su entrada actual de asuntos ordinarios estimables que se trasladarían a conocimiento de los Juzgados Civiles y por ende </w:t>
      </w:r>
      <w:r w:rsidR="00A731B5" w:rsidRPr="004E74A6">
        <w:rPr>
          <w:rFonts w:cs="Calibri"/>
          <w:b/>
          <w:bCs/>
          <w:color w:val="000000"/>
          <w:szCs w:val="24"/>
          <w:lang w:eastAsia="es-CR"/>
        </w:rPr>
        <w:t xml:space="preserve">las apelaciones de sentencia </w:t>
      </w:r>
      <w:r w:rsidR="00A731B5" w:rsidRPr="004E74A6">
        <w:rPr>
          <w:rFonts w:cs="Calibri"/>
          <w:color w:val="000000"/>
          <w:szCs w:val="24"/>
          <w:lang w:eastAsia="es-CR"/>
        </w:rPr>
        <w:t xml:space="preserve">en esos procesos se conocerían en los Tribunales de Apelación.  Sin embargo, la desactualización en el dato de cuantía en este tribunal implica que este porcentaje de disminución de entrada proyectada tenga un alto grado de error. </w:t>
      </w:r>
    </w:p>
    <w:p w14:paraId="04F7DB3B" w14:textId="77777777" w:rsidR="00A731B5" w:rsidRPr="004E74A6" w:rsidRDefault="00A731B5" w:rsidP="00CE62C1">
      <w:pPr>
        <w:spacing w:after="160" w:line="276" w:lineRule="auto"/>
        <w:rPr>
          <w:rFonts w:cs="Calibri"/>
          <w:color w:val="000000"/>
          <w:szCs w:val="24"/>
          <w:lang w:eastAsia="es-CR"/>
        </w:rPr>
      </w:pPr>
      <w:r w:rsidRPr="004E74A6">
        <w:rPr>
          <w:rFonts w:cs="Calibri"/>
          <w:color w:val="000000"/>
          <w:szCs w:val="24"/>
          <w:lang w:eastAsia="es-CR"/>
        </w:rPr>
        <w:t>De elevarse cuantía según escenario A.2, no se modificaría la entrada de ordinarios, sino que el efecto sería en el recurso del que dispondrían las sentencias en los ordinarios estimados hasta en 20 millones de colones, que pese a que se mantendrían en trámite en estos tribunales de primera instancia, dejarían de disponer recurso de casación ante la Sala Primera y pasarían a disponer únicamente de recurso de apelación ante el Tribunal de Apelación en Segunda Instancia.</w:t>
      </w:r>
    </w:p>
    <w:p w14:paraId="6F4A5183" w14:textId="77777777" w:rsidR="008647ED" w:rsidRPr="004E74A6" w:rsidRDefault="008647ED" w:rsidP="00CE62C1">
      <w:pPr>
        <w:spacing w:after="160" w:line="276" w:lineRule="auto"/>
        <w:rPr>
          <w:rFonts w:cs="Calibri"/>
          <w:color w:val="000000"/>
          <w:szCs w:val="24"/>
          <w:lang w:eastAsia="es-CR"/>
        </w:rPr>
      </w:pPr>
    </w:p>
    <w:p w14:paraId="1125F4B8" w14:textId="77777777" w:rsidR="008647ED" w:rsidRPr="004E74A6" w:rsidRDefault="008647ED" w:rsidP="00CE62C1">
      <w:pPr>
        <w:numPr>
          <w:ilvl w:val="2"/>
          <w:numId w:val="21"/>
        </w:numPr>
        <w:spacing w:after="160" w:line="276" w:lineRule="auto"/>
        <w:ind w:left="1225" w:hanging="505"/>
        <w:outlineLvl w:val="5"/>
        <w:rPr>
          <w:rFonts w:cs="Calibri"/>
          <w:color w:val="000000"/>
          <w:szCs w:val="24"/>
          <w:lang w:eastAsia="es-CR"/>
        </w:rPr>
      </w:pPr>
      <w:r w:rsidRPr="004E74A6">
        <w:rPr>
          <w:rFonts w:cs="Calibri"/>
          <w:color w:val="000000"/>
          <w:szCs w:val="24"/>
          <w:lang w:eastAsia="es-CR"/>
        </w:rPr>
        <w:t>Tribunal Colegiado Primera Instancia Civil Segundo Circuito Judicial de Guanacaste, Nicoya</w:t>
      </w:r>
    </w:p>
    <w:p w14:paraId="7E61F72D" w14:textId="27383F6C" w:rsidR="008647ED" w:rsidRPr="004E74A6" w:rsidRDefault="00E20E39" w:rsidP="00CE62C1">
      <w:pPr>
        <w:spacing w:after="160" w:line="276" w:lineRule="auto"/>
        <w:rPr>
          <w:rFonts w:cs="Calibri"/>
          <w:color w:val="000000"/>
          <w:szCs w:val="24"/>
          <w:lang w:eastAsia="es-CR"/>
        </w:rPr>
      </w:pPr>
      <w:r w:rsidRPr="004E74A6">
        <w:rPr>
          <w:rFonts w:cs="Calibri"/>
          <w:color w:val="000000"/>
          <w:szCs w:val="24"/>
          <w:lang w:eastAsia="es-CR"/>
        </w:rPr>
        <w:t xml:space="preserve">Para el caso de este Tribunal, según la tabla por tipo de carpeta principal representa el </w:t>
      </w:r>
      <w:r w:rsidR="008647ED" w:rsidRPr="004E74A6">
        <w:rPr>
          <w:rFonts w:cs="Calibri"/>
          <w:color w:val="000000"/>
          <w:szCs w:val="24"/>
          <w:lang w:eastAsia="es-CR"/>
        </w:rPr>
        <w:t>95,3% de los asuntos que ingresan y que tuvieron un ligero aumento para el año 2021 en relación con el 2020.</w:t>
      </w:r>
    </w:p>
    <w:p w14:paraId="54AA580E" w14:textId="54E4F19B" w:rsidR="0055421A" w:rsidRPr="00832773" w:rsidRDefault="0055421A" w:rsidP="00F0204A">
      <w:pPr>
        <w:pStyle w:val="Descripcin"/>
        <w:keepNext/>
        <w:spacing w:line="276" w:lineRule="auto"/>
        <w:jc w:val="center"/>
        <w:rPr>
          <w:rFonts w:ascii="Book Antiqua" w:hAnsi="Book Antiqua"/>
          <w:i/>
          <w:iCs/>
          <w:sz w:val="20"/>
          <w:szCs w:val="16"/>
          <w:lang w:val="es-CR"/>
        </w:rPr>
      </w:pPr>
      <w:r w:rsidRPr="00832773">
        <w:rPr>
          <w:rFonts w:ascii="Book Antiqua" w:hAnsi="Book Antiqua"/>
          <w:i/>
          <w:iCs/>
          <w:sz w:val="20"/>
          <w:szCs w:val="16"/>
          <w:lang w:val="es-CR"/>
        </w:rPr>
        <w:t xml:space="preserve">Tabla </w:t>
      </w:r>
      <w:r w:rsidRPr="00832773">
        <w:rPr>
          <w:rFonts w:ascii="Book Antiqua" w:hAnsi="Book Antiqua"/>
          <w:i/>
          <w:iCs/>
          <w:sz w:val="20"/>
          <w:szCs w:val="16"/>
          <w:lang w:val="es-CR"/>
        </w:rPr>
        <w:fldChar w:fldCharType="begin"/>
      </w:r>
      <w:r w:rsidRPr="00832773">
        <w:rPr>
          <w:rFonts w:ascii="Book Antiqua" w:hAnsi="Book Antiqua"/>
          <w:i/>
          <w:iCs/>
          <w:sz w:val="20"/>
          <w:szCs w:val="16"/>
          <w:lang w:val="es-CR"/>
        </w:rPr>
        <w:instrText xml:space="preserve"> SEQ Tabla \* ARABIC </w:instrText>
      </w:r>
      <w:r w:rsidRPr="00832773">
        <w:rPr>
          <w:rFonts w:ascii="Book Antiqua" w:hAnsi="Book Antiqua"/>
          <w:i/>
          <w:iCs/>
          <w:sz w:val="20"/>
          <w:szCs w:val="16"/>
          <w:lang w:val="es-CR"/>
        </w:rPr>
        <w:fldChar w:fldCharType="separate"/>
      </w:r>
      <w:r w:rsidR="00374B51">
        <w:rPr>
          <w:rFonts w:ascii="Book Antiqua" w:hAnsi="Book Antiqua"/>
          <w:i/>
          <w:iCs/>
          <w:noProof/>
          <w:sz w:val="20"/>
          <w:szCs w:val="16"/>
          <w:lang w:val="es-CR"/>
        </w:rPr>
        <w:t>33</w:t>
      </w:r>
      <w:r w:rsidRPr="00832773">
        <w:rPr>
          <w:rFonts w:ascii="Book Antiqua" w:hAnsi="Book Antiqua"/>
          <w:i/>
          <w:iCs/>
          <w:sz w:val="20"/>
          <w:szCs w:val="16"/>
          <w:lang w:val="es-CR"/>
        </w:rPr>
        <w:fldChar w:fldCharType="end"/>
      </w:r>
      <w:r w:rsidRPr="00832773">
        <w:rPr>
          <w:rFonts w:ascii="Book Antiqua" w:hAnsi="Book Antiqua"/>
          <w:i/>
          <w:iCs/>
          <w:sz w:val="20"/>
          <w:szCs w:val="16"/>
          <w:lang w:val="es-CR"/>
        </w:rPr>
        <w:t xml:space="preserve"> Cantidad de entrados por tipo de </w:t>
      </w:r>
      <w:r w:rsidR="00E20E39" w:rsidRPr="00832773">
        <w:rPr>
          <w:rFonts w:ascii="Book Antiqua" w:hAnsi="Book Antiqua"/>
          <w:i/>
          <w:iCs/>
          <w:sz w:val="20"/>
          <w:szCs w:val="16"/>
          <w:lang w:val="es-CR"/>
        </w:rPr>
        <w:t>carpeta</w:t>
      </w:r>
      <w:r w:rsidRPr="00832773">
        <w:rPr>
          <w:rFonts w:ascii="Book Antiqua" w:hAnsi="Book Antiqua"/>
          <w:i/>
          <w:iCs/>
          <w:sz w:val="20"/>
          <w:szCs w:val="16"/>
          <w:lang w:val="es-CR"/>
        </w:rPr>
        <w:t xml:space="preserve"> del 2019 al 2021 para el Tribunal Colegiado Primera Instancia Civil Segundo Circuito Judicial de Guanacaste, Nicoya</w:t>
      </w:r>
    </w:p>
    <w:tbl>
      <w:tblPr>
        <w:tblW w:w="3950" w:type="pct"/>
        <w:jc w:val="center"/>
        <w:tblLayout w:type="fixed"/>
        <w:tblCellMar>
          <w:left w:w="70" w:type="dxa"/>
          <w:right w:w="70" w:type="dxa"/>
        </w:tblCellMar>
        <w:tblLook w:val="04A0" w:firstRow="1" w:lastRow="0" w:firstColumn="1" w:lastColumn="0" w:noHBand="0" w:noVBand="1"/>
      </w:tblPr>
      <w:tblGrid>
        <w:gridCol w:w="3355"/>
        <w:gridCol w:w="839"/>
        <w:gridCol w:w="837"/>
        <w:gridCol w:w="837"/>
        <w:gridCol w:w="1116"/>
      </w:tblGrid>
      <w:tr w:rsidR="00AD599A" w:rsidRPr="004E74A6" w14:paraId="2C97C972" w14:textId="77777777" w:rsidTr="00AD599A">
        <w:trPr>
          <w:trHeight w:val="454"/>
          <w:tblHeader/>
          <w:jc w:val="center"/>
        </w:trPr>
        <w:tc>
          <w:tcPr>
            <w:tcW w:w="2402" w:type="pct"/>
            <w:tcBorders>
              <w:top w:val="single" w:sz="4" w:space="0" w:color="auto"/>
              <w:bottom w:val="single" w:sz="4" w:space="0" w:color="auto"/>
              <w:right w:val="single" w:sz="4" w:space="0" w:color="auto"/>
            </w:tcBorders>
            <w:shd w:val="clear" w:color="auto" w:fill="auto"/>
            <w:noWrap/>
            <w:vAlign w:val="center"/>
            <w:hideMark/>
          </w:tcPr>
          <w:p w14:paraId="37E75B0A" w14:textId="58670528" w:rsidR="008647ED" w:rsidRPr="004E74A6" w:rsidRDefault="00AD599A" w:rsidP="00CE62C1">
            <w:pPr>
              <w:spacing w:line="276" w:lineRule="auto"/>
              <w:jc w:val="center"/>
              <w:rPr>
                <w:sz w:val="20"/>
                <w:lang w:eastAsia="es-CR"/>
              </w:rPr>
            </w:pPr>
            <w:r w:rsidRPr="004E74A6">
              <w:rPr>
                <w:sz w:val="20"/>
                <w:lang w:eastAsia="es-CR"/>
              </w:rPr>
              <w:t>Tipo</w:t>
            </w:r>
            <w:r w:rsidR="008647ED" w:rsidRPr="004E74A6">
              <w:rPr>
                <w:sz w:val="20"/>
                <w:lang w:eastAsia="es-CR"/>
              </w:rPr>
              <w:t xml:space="preserve"> De </w:t>
            </w:r>
            <w:r w:rsidR="00E20E39" w:rsidRPr="004E74A6">
              <w:rPr>
                <w:sz w:val="20"/>
                <w:lang w:eastAsia="es-CR"/>
              </w:rPr>
              <w:t>Carpeta</w:t>
            </w:r>
          </w:p>
        </w:tc>
        <w:tc>
          <w:tcPr>
            <w:tcW w:w="6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9C5285"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2019</w:t>
            </w:r>
          </w:p>
        </w:tc>
        <w:tc>
          <w:tcPr>
            <w:tcW w:w="59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168186"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2020</w:t>
            </w:r>
          </w:p>
        </w:tc>
        <w:tc>
          <w:tcPr>
            <w:tcW w:w="59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73B6E9"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2021</w:t>
            </w:r>
          </w:p>
        </w:tc>
        <w:tc>
          <w:tcPr>
            <w:tcW w:w="799" w:type="pct"/>
            <w:tcBorders>
              <w:top w:val="single" w:sz="4" w:space="0" w:color="auto"/>
              <w:left w:val="single" w:sz="4" w:space="0" w:color="auto"/>
              <w:bottom w:val="single" w:sz="4" w:space="0" w:color="auto"/>
            </w:tcBorders>
            <w:shd w:val="clear" w:color="auto" w:fill="auto"/>
            <w:noWrap/>
            <w:vAlign w:val="center"/>
            <w:hideMark/>
          </w:tcPr>
          <w:p w14:paraId="513D028D" w14:textId="1A6E8B1D" w:rsidR="008647ED" w:rsidRPr="004E74A6" w:rsidRDefault="00AD599A" w:rsidP="00CE62C1">
            <w:pPr>
              <w:spacing w:line="276" w:lineRule="auto"/>
              <w:jc w:val="center"/>
              <w:rPr>
                <w:rFonts w:cs="Calibri"/>
                <w:color w:val="000000"/>
                <w:sz w:val="20"/>
                <w:lang w:eastAsia="es-CR"/>
              </w:rPr>
            </w:pPr>
            <w:r w:rsidRPr="004E74A6">
              <w:rPr>
                <w:rFonts w:cs="Calibri"/>
                <w:color w:val="000000"/>
                <w:sz w:val="20"/>
                <w:lang w:eastAsia="es-CR"/>
              </w:rPr>
              <w:t>Promedio</w:t>
            </w:r>
          </w:p>
        </w:tc>
      </w:tr>
      <w:tr w:rsidR="00AD599A" w:rsidRPr="004E74A6" w14:paraId="611CE0D2" w14:textId="77777777" w:rsidTr="00AD599A">
        <w:trPr>
          <w:trHeight w:val="288"/>
          <w:jc w:val="center"/>
        </w:trPr>
        <w:tc>
          <w:tcPr>
            <w:tcW w:w="2402" w:type="pct"/>
            <w:tcBorders>
              <w:top w:val="single" w:sz="4" w:space="0" w:color="auto"/>
              <w:right w:val="single" w:sz="4" w:space="0" w:color="auto"/>
            </w:tcBorders>
            <w:shd w:val="clear" w:color="auto" w:fill="auto"/>
            <w:noWrap/>
            <w:vAlign w:val="bottom"/>
          </w:tcPr>
          <w:p w14:paraId="5617D54F" w14:textId="77777777" w:rsidR="008647ED" w:rsidRPr="004E74A6" w:rsidRDefault="008647ED" w:rsidP="00CE62C1">
            <w:pPr>
              <w:spacing w:line="276" w:lineRule="auto"/>
              <w:jc w:val="left"/>
              <w:rPr>
                <w:rFonts w:cs="Calibri"/>
                <w:color w:val="000000"/>
                <w:sz w:val="20"/>
                <w:lang w:eastAsia="es-CR"/>
              </w:rPr>
            </w:pPr>
          </w:p>
        </w:tc>
        <w:tc>
          <w:tcPr>
            <w:tcW w:w="601" w:type="pct"/>
            <w:tcBorders>
              <w:top w:val="single" w:sz="4" w:space="0" w:color="auto"/>
              <w:left w:val="single" w:sz="4" w:space="0" w:color="auto"/>
              <w:right w:val="single" w:sz="4" w:space="0" w:color="auto"/>
            </w:tcBorders>
            <w:shd w:val="clear" w:color="auto" w:fill="auto"/>
            <w:noWrap/>
            <w:vAlign w:val="center"/>
          </w:tcPr>
          <w:p w14:paraId="6B5F08B2" w14:textId="77777777" w:rsidR="008647ED" w:rsidRPr="004E74A6" w:rsidRDefault="008647ED" w:rsidP="00CE62C1">
            <w:pPr>
              <w:spacing w:line="276" w:lineRule="auto"/>
              <w:jc w:val="center"/>
              <w:rPr>
                <w:rFonts w:cs="Calibri"/>
                <w:color w:val="000000"/>
                <w:sz w:val="20"/>
                <w:lang w:eastAsia="es-CR"/>
              </w:rPr>
            </w:pPr>
          </w:p>
        </w:tc>
        <w:tc>
          <w:tcPr>
            <w:tcW w:w="599" w:type="pct"/>
            <w:tcBorders>
              <w:top w:val="single" w:sz="4" w:space="0" w:color="auto"/>
              <w:left w:val="single" w:sz="4" w:space="0" w:color="auto"/>
              <w:right w:val="single" w:sz="4" w:space="0" w:color="auto"/>
            </w:tcBorders>
            <w:shd w:val="clear" w:color="auto" w:fill="auto"/>
            <w:noWrap/>
            <w:vAlign w:val="center"/>
          </w:tcPr>
          <w:p w14:paraId="37DD7C11" w14:textId="77777777" w:rsidR="008647ED" w:rsidRPr="004E74A6" w:rsidRDefault="008647ED" w:rsidP="00CE62C1">
            <w:pPr>
              <w:spacing w:line="276" w:lineRule="auto"/>
              <w:jc w:val="center"/>
              <w:rPr>
                <w:rFonts w:cs="Calibri"/>
                <w:color w:val="000000"/>
                <w:sz w:val="20"/>
                <w:lang w:eastAsia="es-CR"/>
              </w:rPr>
            </w:pPr>
          </w:p>
        </w:tc>
        <w:tc>
          <w:tcPr>
            <w:tcW w:w="599" w:type="pct"/>
            <w:tcBorders>
              <w:top w:val="single" w:sz="4" w:space="0" w:color="auto"/>
              <w:left w:val="single" w:sz="4" w:space="0" w:color="auto"/>
              <w:right w:val="single" w:sz="4" w:space="0" w:color="auto"/>
            </w:tcBorders>
            <w:shd w:val="clear" w:color="auto" w:fill="auto"/>
            <w:noWrap/>
            <w:vAlign w:val="center"/>
          </w:tcPr>
          <w:p w14:paraId="46ED6521" w14:textId="77777777" w:rsidR="008647ED" w:rsidRPr="004E74A6" w:rsidRDefault="008647ED" w:rsidP="00CE62C1">
            <w:pPr>
              <w:spacing w:line="276" w:lineRule="auto"/>
              <w:jc w:val="center"/>
              <w:rPr>
                <w:sz w:val="20"/>
                <w:lang w:eastAsia="es-CR"/>
              </w:rPr>
            </w:pPr>
          </w:p>
        </w:tc>
        <w:tc>
          <w:tcPr>
            <w:tcW w:w="799" w:type="pct"/>
            <w:tcBorders>
              <w:top w:val="single" w:sz="4" w:space="0" w:color="auto"/>
              <w:left w:val="single" w:sz="4" w:space="0" w:color="auto"/>
            </w:tcBorders>
            <w:shd w:val="clear" w:color="auto" w:fill="auto"/>
            <w:noWrap/>
            <w:vAlign w:val="center"/>
          </w:tcPr>
          <w:p w14:paraId="1C4D6B5F" w14:textId="77777777" w:rsidR="008647ED" w:rsidRPr="004E74A6" w:rsidRDefault="008647ED" w:rsidP="00CE62C1">
            <w:pPr>
              <w:spacing w:line="276" w:lineRule="auto"/>
              <w:jc w:val="center"/>
              <w:rPr>
                <w:rFonts w:cs="Calibri"/>
                <w:color w:val="000000"/>
                <w:sz w:val="20"/>
                <w:lang w:eastAsia="es-CR"/>
              </w:rPr>
            </w:pPr>
          </w:p>
        </w:tc>
      </w:tr>
      <w:tr w:rsidR="00E20E39" w:rsidRPr="004E74A6" w14:paraId="3DB1A840" w14:textId="77777777" w:rsidTr="00B32800">
        <w:trPr>
          <w:trHeight w:val="288"/>
          <w:jc w:val="center"/>
        </w:trPr>
        <w:tc>
          <w:tcPr>
            <w:tcW w:w="2402" w:type="pct"/>
            <w:tcBorders>
              <w:right w:val="single" w:sz="4" w:space="0" w:color="auto"/>
            </w:tcBorders>
            <w:shd w:val="clear" w:color="auto" w:fill="auto"/>
            <w:noWrap/>
            <w:vAlign w:val="bottom"/>
          </w:tcPr>
          <w:p w14:paraId="6E7BF9C3" w14:textId="157A5E42" w:rsidR="00E20E39" w:rsidRPr="004E74A6" w:rsidRDefault="00E20E39" w:rsidP="00CE62C1">
            <w:pPr>
              <w:spacing w:line="276" w:lineRule="auto"/>
              <w:jc w:val="center"/>
              <w:rPr>
                <w:rFonts w:cs="Calibri"/>
                <w:color w:val="000000"/>
                <w:sz w:val="20"/>
                <w:lang w:eastAsia="es-CR"/>
              </w:rPr>
            </w:pPr>
            <w:r w:rsidRPr="004E74A6">
              <w:rPr>
                <w:rFonts w:cs="Calibri"/>
                <w:color w:val="000000"/>
                <w:sz w:val="20"/>
                <w:lang w:eastAsia="es-CR"/>
              </w:rPr>
              <w:t>Total General</w:t>
            </w:r>
          </w:p>
        </w:tc>
        <w:tc>
          <w:tcPr>
            <w:tcW w:w="601" w:type="pct"/>
            <w:tcBorders>
              <w:left w:val="single" w:sz="4" w:space="0" w:color="auto"/>
              <w:right w:val="single" w:sz="4" w:space="0" w:color="auto"/>
            </w:tcBorders>
            <w:shd w:val="clear" w:color="auto" w:fill="auto"/>
            <w:noWrap/>
            <w:vAlign w:val="bottom"/>
          </w:tcPr>
          <w:p w14:paraId="2529A01C" w14:textId="127ED176" w:rsidR="00E20E39" w:rsidRPr="004E74A6" w:rsidRDefault="00E20E39" w:rsidP="00CE62C1">
            <w:pPr>
              <w:spacing w:line="276" w:lineRule="auto"/>
              <w:jc w:val="center"/>
              <w:rPr>
                <w:rFonts w:cs="Calibri"/>
                <w:color w:val="000000"/>
                <w:sz w:val="20"/>
              </w:rPr>
            </w:pPr>
            <w:r w:rsidRPr="004E74A6">
              <w:rPr>
                <w:rFonts w:cs="Calibri"/>
                <w:color w:val="000000"/>
                <w:sz w:val="20"/>
              </w:rPr>
              <w:t>130</w:t>
            </w:r>
          </w:p>
        </w:tc>
        <w:tc>
          <w:tcPr>
            <w:tcW w:w="599" w:type="pct"/>
            <w:tcBorders>
              <w:left w:val="single" w:sz="4" w:space="0" w:color="auto"/>
              <w:right w:val="single" w:sz="4" w:space="0" w:color="auto"/>
            </w:tcBorders>
            <w:shd w:val="clear" w:color="auto" w:fill="auto"/>
            <w:noWrap/>
            <w:vAlign w:val="bottom"/>
          </w:tcPr>
          <w:p w14:paraId="48F005CC" w14:textId="26365A49" w:rsidR="00E20E39" w:rsidRPr="004E74A6" w:rsidRDefault="00E20E39" w:rsidP="00CE62C1">
            <w:pPr>
              <w:spacing w:line="276" w:lineRule="auto"/>
              <w:jc w:val="center"/>
              <w:rPr>
                <w:rFonts w:cs="Calibri"/>
                <w:color w:val="000000"/>
                <w:sz w:val="20"/>
              </w:rPr>
            </w:pPr>
            <w:r w:rsidRPr="004E74A6">
              <w:rPr>
                <w:rFonts w:cs="Calibri"/>
                <w:color w:val="000000"/>
                <w:sz w:val="20"/>
              </w:rPr>
              <w:t>120</w:t>
            </w:r>
          </w:p>
        </w:tc>
        <w:tc>
          <w:tcPr>
            <w:tcW w:w="599" w:type="pct"/>
            <w:tcBorders>
              <w:left w:val="single" w:sz="4" w:space="0" w:color="auto"/>
              <w:right w:val="single" w:sz="4" w:space="0" w:color="auto"/>
            </w:tcBorders>
            <w:shd w:val="clear" w:color="auto" w:fill="auto"/>
            <w:noWrap/>
            <w:vAlign w:val="bottom"/>
          </w:tcPr>
          <w:p w14:paraId="3B1B42B8" w14:textId="0E3261C3" w:rsidR="00E20E39" w:rsidRPr="004E74A6" w:rsidRDefault="00E20E39" w:rsidP="00CE62C1">
            <w:pPr>
              <w:spacing w:line="276" w:lineRule="auto"/>
              <w:jc w:val="center"/>
              <w:rPr>
                <w:rFonts w:cs="Calibri"/>
                <w:color w:val="000000"/>
                <w:sz w:val="20"/>
              </w:rPr>
            </w:pPr>
            <w:r w:rsidRPr="004E74A6">
              <w:rPr>
                <w:rFonts w:cs="Calibri"/>
                <w:color w:val="000000"/>
                <w:sz w:val="20"/>
              </w:rPr>
              <w:t>136</w:t>
            </w:r>
          </w:p>
        </w:tc>
        <w:tc>
          <w:tcPr>
            <w:tcW w:w="799" w:type="pct"/>
            <w:tcBorders>
              <w:left w:val="single" w:sz="4" w:space="0" w:color="auto"/>
            </w:tcBorders>
            <w:shd w:val="clear" w:color="auto" w:fill="auto"/>
            <w:noWrap/>
            <w:vAlign w:val="bottom"/>
          </w:tcPr>
          <w:p w14:paraId="1FDB5DFE" w14:textId="3DDD3501" w:rsidR="00E20E39" w:rsidRPr="004E74A6" w:rsidRDefault="00E20E39" w:rsidP="00CE62C1">
            <w:pPr>
              <w:spacing w:line="276" w:lineRule="auto"/>
              <w:jc w:val="center"/>
              <w:rPr>
                <w:rFonts w:cs="Calibri"/>
                <w:color w:val="000000"/>
                <w:sz w:val="20"/>
              </w:rPr>
            </w:pPr>
            <w:r w:rsidRPr="004E74A6">
              <w:rPr>
                <w:rFonts w:cs="Calibri"/>
                <w:color w:val="000000"/>
                <w:sz w:val="20"/>
              </w:rPr>
              <w:t>129</w:t>
            </w:r>
          </w:p>
        </w:tc>
      </w:tr>
      <w:tr w:rsidR="00E20E39" w:rsidRPr="004E74A6" w14:paraId="4AFBB246" w14:textId="77777777" w:rsidTr="00B32800">
        <w:trPr>
          <w:trHeight w:val="288"/>
          <w:jc w:val="center"/>
        </w:trPr>
        <w:tc>
          <w:tcPr>
            <w:tcW w:w="2402" w:type="pct"/>
            <w:tcBorders>
              <w:right w:val="single" w:sz="4" w:space="0" w:color="auto"/>
            </w:tcBorders>
            <w:shd w:val="clear" w:color="auto" w:fill="auto"/>
            <w:noWrap/>
            <w:vAlign w:val="bottom"/>
          </w:tcPr>
          <w:p w14:paraId="5BF90C31" w14:textId="77777777" w:rsidR="00E20E39" w:rsidRPr="004E74A6" w:rsidRDefault="00E20E39" w:rsidP="00CE62C1">
            <w:pPr>
              <w:spacing w:line="276" w:lineRule="auto"/>
              <w:jc w:val="left"/>
              <w:rPr>
                <w:rFonts w:cs="Calibri"/>
                <w:color w:val="000000"/>
                <w:sz w:val="20"/>
                <w:lang w:eastAsia="es-CR"/>
              </w:rPr>
            </w:pPr>
          </w:p>
        </w:tc>
        <w:tc>
          <w:tcPr>
            <w:tcW w:w="601" w:type="pct"/>
            <w:tcBorders>
              <w:left w:val="single" w:sz="4" w:space="0" w:color="auto"/>
              <w:right w:val="single" w:sz="4" w:space="0" w:color="auto"/>
            </w:tcBorders>
            <w:shd w:val="clear" w:color="auto" w:fill="auto"/>
            <w:noWrap/>
            <w:vAlign w:val="bottom"/>
          </w:tcPr>
          <w:p w14:paraId="7C55A5C3" w14:textId="77777777" w:rsidR="00E20E39" w:rsidRPr="004E74A6" w:rsidRDefault="00E20E39" w:rsidP="00CE62C1">
            <w:pPr>
              <w:spacing w:line="276" w:lineRule="auto"/>
              <w:jc w:val="center"/>
              <w:rPr>
                <w:rFonts w:cs="Calibri"/>
                <w:color w:val="000000"/>
                <w:sz w:val="20"/>
              </w:rPr>
            </w:pPr>
          </w:p>
        </w:tc>
        <w:tc>
          <w:tcPr>
            <w:tcW w:w="599" w:type="pct"/>
            <w:tcBorders>
              <w:left w:val="single" w:sz="4" w:space="0" w:color="auto"/>
              <w:right w:val="single" w:sz="4" w:space="0" w:color="auto"/>
            </w:tcBorders>
            <w:shd w:val="clear" w:color="auto" w:fill="auto"/>
            <w:noWrap/>
            <w:vAlign w:val="bottom"/>
          </w:tcPr>
          <w:p w14:paraId="7CC5349B" w14:textId="77777777" w:rsidR="00E20E39" w:rsidRPr="004E74A6" w:rsidRDefault="00E20E39" w:rsidP="00CE62C1">
            <w:pPr>
              <w:spacing w:line="276" w:lineRule="auto"/>
              <w:jc w:val="center"/>
              <w:rPr>
                <w:rFonts w:cs="Calibri"/>
                <w:color w:val="000000"/>
                <w:sz w:val="20"/>
              </w:rPr>
            </w:pPr>
          </w:p>
        </w:tc>
        <w:tc>
          <w:tcPr>
            <w:tcW w:w="599" w:type="pct"/>
            <w:tcBorders>
              <w:left w:val="single" w:sz="4" w:space="0" w:color="auto"/>
              <w:right w:val="single" w:sz="4" w:space="0" w:color="auto"/>
            </w:tcBorders>
            <w:shd w:val="clear" w:color="auto" w:fill="auto"/>
            <w:noWrap/>
            <w:vAlign w:val="bottom"/>
          </w:tcPr>
          <w:p w14:paraId="3480076F" w14:textId="77777777" w:rsidR="00E20E39" w:rsidRPr="004E74A6" w:rsidRDefault="00E20E39" w:rsidP="00CE62C1">
            <w:pPr>
              <w:spacing w:line="276" w:lineRule="auto"/>
              <w:jc w:val="center"/>
              <w:rPr>
                <w:rFonts w:cs="Calibri"/>
                <w:color w:val="000000"/>
                <w:sz w:val="20"/>
              </w:rPr>
            </w:pPr>
          </w:p>
        </w:tc>
        <w:tc>
          <w:tcPr>
            <w:tcW w:w="799" w:type="pct"/>
            <w:tcBorders>
              <w:left w:val="single" w:sz="4" w:space="0" w:color="auto"/>
            </w:tcBorders>
            <w:shd w:val="clear" w:color="auto" w:fill="auto"/>
            <w:noWrap/>
            <w:vAlign w:val="bottom"/>
          </w:tcPr>
          <w:p w14:paraId="2EAA012C" w14:textId="77777777" w:rsidR="00E20E39" w:rsidRPr="004E74A6" w:rsidRDefault="00E20E39" w:rsidP="00CE62C1">
            <w:pPr>
              <w:spacing w:line="276" w:lineRule="auto"/>
              <w:jc w:val="center"/>
              <w:rPr>
                <w:rFonts w:cs="Calibri"/>
                <w:color w:val="000000"/>
                <w:sz w:val="20"/>
              </w:rPr>
            </w:pPr>
          </w:p>
        </w:tc>
      </w:tr>
      <w:tr w:rsidR="00E20E39" w:rsidRPr="004E74A6" w14:paraId="228C73B7" w14:textId="77777777" w:rsidTr="00B32800">
        <w:trPr>
          <w:trHeight w:val="288"/>
          <w:jc w:val="center"/>
        </w:trPr>
        <w:tc>
          <w:tcPr>
            <w:tcW w:w="2402" w:type="pct"/>
            <w:tcBorders>
              <w:right w:val="single" w:sz="4" w:space="0" w:color="auto"/>
            </w:tcBorders>
            <w:shd w:val="clear" w:color="auto" w:fill="auto"/>
            <w:noWrap/>
            <w:vAlign w:val="bottom"/>
            <w:hideMark/>
          </w:tcPr>
          <w:p w14:paraId="2BE9B2CE" w14:textId="77777777" w:rsidR="00E20E39" w:rsidRPr="004E74A6" w:rsidRDefault="00E20E39" w:rsidP="00CE62C1">
            <w:pPr>
              <w:spacing w:line="276" w:lineRule="auto"/>
              <w:jc w:val="left"/>
              <w:rPr>
                <w:rFonts w:cs="Calibri"/>
                <w:color w:val="000000"/>
                <w:sz w:val="20"/>
                <w:lang w:eastAsia="es-CR"/>
              </w:rPr>
            </w:pPr>
            <w:r w:rsidRPr="004E74A6">
              <w:rPr>
                <w:rFonts w:cs="Calibri"/>
                <w:color w:val="000000"/>
                <w:sz w:val="20"/>
                <w:lang w:eastAsia="es-CR"/>
              </w:rPr>
              <w:t>Comisiones Recibidas</w:t>
            </w:r>
          </w:p>
        </w:tc>
        <w:tc>
          <w:tcPr>
            <w:tcW w:w="601" w:type="pct"/>
            <w:tcBorders>
              <w:left w:val="single" w:sz="4" w:space="0" w:color="auto"/>
              <w:right w:val="single" w:sz="4" w:space="0" w:color="auto"/>
            </w:tcBorders>
            <w:shd w:val="clear" w:color="auto" w:fill="auto"/>
            <w:noWrap/>
            <w:vAlign w:val="bottom"/>
            <w:hideMark/>
          </w:tcPr>
          <w:p w14:paraId="3F7D4C7F" w14:textId="7D5F7F02" w:rsidR="00E20E39" w:rsidRPr="004E74A6" w:rsidRDefault="00E20E39" w:rsidP="00CE62C1">
            <w:pPr>
              <w:spacing w:line="276" w:lineRule="auto"/>
              <w:jc w:val="center"/>
              <w:rPr>
                <w:rFonts w:cs="Calibri"/>
                <w:color w:val="000000"/>
                <w:sz w:val="20"/>
                <w:lang w:eastAsia="es-CR"/>
              </w:rPr>
            </w:pPr>
            <w:r w:rsidRPr="004E74A6">
              <w:rPr>
                <w:rFonts w:cs="Calibri"/>
                <w:color w:val="000000"/>
                <w:sz w:val="20"/>
              </w:rPr>
              <w:t>1</w:t>
            </w:r>
          </w:p>
        </w:tc>
        <w:tc>
          <w:tcPr>
            <w:tcW w:w="599" w:type="pct"/>
            <w:tcBorders>
              <w:left w:val="single" w:sz="4" w:space="0" w:color="auto"/>
              <w:right w:val="single" w:sz="4" w:space="0" w:color="auto"/>
            </w:tcBorders>
            <w:shd w:val="clear" w:color="auto" w:fill="auto"/>
            <w:noWrap/>
            <w:vAlign w:val="bottom"/>
            <w:hideMark/>
          </w:tcPr>
          <w:p w14:paraId="44EC7ECD" w14:textId="53987A6B" w:rsidR="00E20E39" w:rsidRPr="004E74A6" w:rsidRDefault="00E20E39" w:rsidP="00CE62C1">
            <w:pPr>
              <w:spacing w:line="276" w:lineRule="auto"/>
              <w:jc w:val="center"/>
              <w:rPr>
                <w:rFonts w:cs="Calibri"/>
                <w:color w:val="000000"/>
                <w:sz w:val="20"/>
                <w:lang w:eastAsia="es-CR"/>
              </w:rPr>
            </w:pPr>
            <w:r w:rsidRPr="004E74A6">
              <w:rPr>
                <w:rFonts w:cs="Calibri"/>
                <w:color w:val="000000"/>
                <w:sz w:val="20"/>
              </w:rPr>
              <w:t>0</w:t>
            </w:r>
          </w:p>
        </w:tc>
        <w:tc>
          <w:tcPr>
            <w:tcW w:w="599" w:type="pct"/>
            <w:tcBorders>
              <w:left w:val="single" w:sz="4" w:space="0" w:color="auto"/>
              <w:right w:val="single" w:sz="4" w:space="0" w:color="auto"/>
            </w:tcBorders>
            <w:shd w:val="clear" w:color="auto" w:fill="auto"/>
            <w:noWrap/>
            <w:vAlign w:val="bottom"/>
            <w:hideMark/>
          </w:tcPr>
          <w:p w14:paraId="3FC95012" w14:textId="1B9D3D1B" w:rsidR="00E20E39" w:rsidRPr="004E74A6" w:rsidRDefault="00E20E39" w:rsidP="00CE62C1">
            <w:pPr>
              <w:spacing w:line="276" w:lineRule="auto"/>
              <w:jc w:val="center"/>
              <w:rPr>
                <w:sz w:val="20"/>
                <w:lang w:eastAsia="es-CR"/>
              </w:rPr>
            </w:pPr>
            <w:r w:rsidRPr="004E74A6">
              <w:rPr>
                <w:rFonts w:cs="Calibri"/>
                <w:color w:val="000000"/>
                <w:sz w:val="20"/>
              </w:rPr>
              <w:t>0</w:t>
            </w:r>
          </w:p>
        </w:tc>
        <w:tc>
          <w:tcPr>
            <w:tcW w:w="799" w:type="pct"/>
            <w:tcBorders>
              <w:left w:val="single" w:sz="4" w:space="0" w:color="auto"/>
            </w:tcBorders>
            <w:shd w:val="clear" w:color="auto" w:fill="auto"/>
            <w:noWrap/>
            <w:vAlign w:val="bottom"/>
            <w:hideMark/>
          </w:tcPr>
          <w:p w14:paraId="291194F6" w14:textId="34C5A187" w:rsidR="00E20E39" w:rsidRPr="004E74A6" w:rsidRDefault="00E20E39" w:rsidP="00CE62C1">
            <w:pPr>
              <w:spacing w:line="276" w:lineRule="auto"/>
              <w:jc w:val="center"/>
              <w:rPr>
                <w:rFonts w:cs="Calibri"/>
                <w:color w:val="000000"/>
                <w:sz w:val="20"/>
                <w:lang w:eastAsia="es-CR"/>
              </w:rPr>
            </w:pPr>
            <w:r w:rsidRPr="004E74A6">
              <w:rPr>
                <w:rFonts w:cs="Calibri"/>
                <w:color w:val="000000"/>
                <w:sz w:val="20"/>
              </w:rPr>
              <w:t>0,3</w:t>
            </w:r>
          </w:p>
        </w:tc>
      </w:tr>
      <w:tr w:rsidR="00E20E39" w:rsidRPr="004E74A6" w14:paraId="794CA628" w14:textId="77777777" w:rsidTr="00B32800">
        <w:trPr>
          <w:trHeight w:val="288"/>
          <w:jc w:val="center"/>
        </w:trPr>
        <w:tc>
          <w:tcPr>
            <w:tcW w:w="2402" w:type="pct"/>
            <w:tcBorders>
              <w:right w:val="single" w:sz="4" w:space="0" w:color="auto"/>
            </w:tcBorders>
            <w:shd w:val="clear" w:color="auto" w:fill="auto"/>
            <w:noWrap/>
            <w:vAlign w:val="bottom"/>
            <w:hideMark/>
          </w:tcPr>
          <w:p w14:paraId="013FFEDD" w14:textId="77777777" w:rsidR="00E20E39" w:rsidRPr="004E74A6" w:rsidRDefault="00E20E39" w:rsidP="00CE62C1">
            <w:pPr>
              <w:spacing w:line="276" w:lineRule="auto"/>
              <w:jc w:val="left"/>
              <w:rPr>
                <w:rFonts w:cs="Calibri"/>
                <w:color w:val="000000"/>
                <w:sz w:val="20"/>
                <w:lang w:eastAsia="es-CR"/>
              </w:rPr>
            </w:pPr>
            <w:r w:rsidRPr="004E74A6">
              <w:rPr>
                <w:rFonts w:cs="Calibri"/>
                <w:color w:val="000000"/>
                <w:sz w:val="20"/>
                <w:lang w:eastAsia="es-CR"/>
              </w:rPr>
              <w:t>Consulta</w:t>
            </w:r>
          </w:p>
        </w:tc>
        <w:tc>
          <w:tcPr>
            <w:tcW w:w="601" w:type="pct"/>
            <w:tcBorders>
              <w:left w:val="single" w:sz="4" w:space="0" w:color="auto"/>
              <w:right w:val="single" w:sz="4" w:space="0" w:color="auto"/>
            </w:tcBorders>
            <w:shd w:val="clear" w:color="auto" w:fill="auto"/>
            <w:noWrap/>
            <w:vAlign w:val="bottom"/>
            <w:hideMark/>
          </w:tcPr>
          <w:p w14:paraId="0F210D6D" w14:textId="1CD289F1" w:rsidR="00E20E39" w:rsidRPr="004E74A6" w:rsidRDefault="00E20E39" w:rsidP="00CE62C1">
            <w:pPr>
              <w:spacing w:line="276" w:lineRule="auto"/>
              <w:jc w:val="center"/>
              <w:rPr>
                <w:sz w:val="20"/>
                <w:lang w:eastAsia="es-CR"/>
              </w:rPr>
            </w:pPr>
            <w:r w:rsidRPr="004E74A6">
              <w:rPr>
                <w:rFonts w:cs="Calibri"/>
                <w:color w:val="000000"/>
                <w:sz w:val="20"/>
              </w:rPr>
              <w:t>0</w:t>
            </w:r>
          </w:p>
        </w:tc>
        <w:tc>
          <w:tcPr>
            <w:tcW w:w="599" w:type="pct"/>
            <w:tcBorders>
              <w:left w:val="single" w:sz="4" w:space="0" w:color="auto"/>
              <w:right w:val="single" w:sz="4" w:space="0" w:color="auto"/>
            </w:tcBorders>
            <w:shd w:val="clear" w:color="auto" w:fill="auto"/>
            <w:noWrap/>
            <w:vAlign w:val="bottom"/>
            <w:hideMark/>
          </w:tcPr>
          <w:p w14:paraId="020CB75D" w14:textId="055318EA" w:rsidR="00E20E39" w:rsidRPr="004E74A6" w:rsidRDefault="00E20E39" w:rsidP="00CE62C1">
            <w:pPr>
              <w:spacing w:line="276" w:lineRule="auto"/>
              <w:jc w:val="center"/>
              <w:rPr>
                <w:rFonts w:cs="Calibri"/>
                <w:color w:val="000000"/>
                <w:sz w:val="20"/>
                <w:lang w:eastAsia="es-CR"/>
              </w:rPr>
            </w:pPr>
            <w:r w:rsidRPr="004E74A6">
              <w:rPr>
                <w:rFonts w:cs="Calibri"/>
                <w:color w:val="000000"/>
                <w:sz w:val="20"/>
              </w:rPr>
              <w:t>1</w:t>
            </w:r>
          </w:p>
        </w:tc>
        <w:tc>
          <w:tcPr>
            <w:tcW w:w="599" w:type="pct"/>
            <w:tcBorders>
              <w:left w:val="single" w:sz="4" w:space="0" w:color="auto"/>
              <w:right w:val="single" w:sz="4" w:space="0" w:color="auto"/>
            </w:tcBorders>
            <w:shd w:val="clear" w:color="auto" w:fill="auto"/>
            <w:noWrap/>
            <w:vAlign w:val="bottom"/>
            <w:hideMark/>
          </w:tcPr>
          <w:p w14:paraId="3CE32292" w14:textId="5FEF6F85" w:rsidR="00E20E39" w:rsidRPr="004E74A6" w:rsidRDefault="00E20E39" w:rsidP="00CE62C1">
            <w:pPr>
              <w:spacing w:line="276" w:lineRule="auto"/>
              <w:jc w:val="center"/>
              <w:rPr>
                <w:rFonts w:cs="Calibri"/>
                <w:color w:val="000000"/>
                <w:sz w:val="20"/>
                <w:lang w:eastAsia="es-CR"/>
              </w:rPr>
            </w:pPr>
            <w:r w:rsidRPr="004E74A6">
              <w:rPr>
                <w:rFonts w:cs="Calibri"/>
                <w:color w:val="000000"/>
                <w:sz w:val="20"/>
              </w:rPr>
              <w:t>0</w:t>
            </w:r>
          </w:p>
        </w:tc>
        <w:tc>
          <w:tcPr>
            <w:tcW w:w="799" w:type="pct"/>
            <w:tcBorders>
              <w:left w:val="single" w:sz="4" w:space="0" w:color="auto"/>
            </w:tcBorders>
            <w:shd w:val="clear" w:color="auto" w:fill="auto"/>
            <w:noWrap/>
            <w:vAlign w:val="bottom"/>
            <w:hideMark/>
          </w:tcPr>
          <w:p w14:paraId="70B20A93" w14:textId="3EB34726" w:rsidR="00E20E39" w:rsidRPr="004E74A6" w:rsidRDefault="00E20E39" w:rsidP="00CE62C1">
            <w:pPr>
              <w:spacing w:line="276" w:lineRule="auto"/>
              <w:jc w:val="center"/>
              <w:rPr>
                <w:rFonts w:cs="Calibri"/>
                <w:color w:val="000000"/>
                <w:sz w:val="20"/>
                <w:lang w:eastAsia="es-CR"/>
              </w:rPr>
            </w:pPr>
            <w:r w:rsidRPr="004E74A6">
              <w:rPr>
                <w:rFonts w:cs="Calibri"/>
                <w:color w:val="000000"/>
                <w:sz w:val="20"/>
              </w:rPr>
              <w:t>0</w:t>
            </w:r>
          </w:p>
        </w:tc>
      </w:tr>
      <w:tr w:rsidR="00E20E39" w:rsidRPr="004E74A6" w14:paraId="20F3FB6D" w14:textId="77777777" w:rsidTr="00B32800">
        <w:trPr>
          <w:trHeight w:val="288"/>
          <w:jc w:val="center"/>
        </w:trPr>
        <w:tc>
          <w:tcPr>
            <w:tcW w:w="2402" w:type="pct"/>
            <w:tcBorders>
              <w:right w:val="single" w:sz="4" w:space="0" w:color="auto"/>
            </w:tcBorders>
            <w:shd w:val="clear" w:color="auto" w:fill="auto"/>
            <w:noWrap/>
            <w:vAlign w:val="bottom"/>
            <w:hideMark/>
          </w:tcPr>
          <w:p w14:paraId="0C8F3702" w14:textId="77777777" w:rsidR="00E20E39" w:rsidRPr="004E74A6" w:rsidRDefault="00E20E39" w:rsidP="00CE62C1">
            <w:pPr>
              <w:spacing w:line="276" w:lineRule="auto"/>
              <w:jc w:val="left"/>
              <w:rPr>
                <w:rFonts w:cs="Calibri"/>
                <w:color w:val="000000"/>
                <w:sz w:val="20"/>
                <w:lang w:eastAsia="es-CR"/>
              </w:rPr>
            </w:pPr>
            <w:r w:rsidRPr="004E74A6">
              <w:rPr>
                <w:rFonts w:cs="Calibri"/>
                <w:color w:val="000000"/>
                <w:sz w:val="20"/>
                <w:lang w:eastAsia="es-CR"/>
              </w:rPr>
              <w:t>Incidentes Procesales</w:t>
            </w:r>
          </w:p>
        </w:tc>
        <w:tc>
          <w:tcPr>
            <w:tcW w:w="601" w:type="pct"/>
            <w:tcBorders>
              <w:left w:val="single" w:sz="4" w:space="0" w:color="auto"/>
              <w:right w:val="single" w:sz="4" w:space="0" w:color="auto"/>
            </w:tcBorders>
            <w:shd w:val="clear" w:color="auto" w:fill="auto"/>
            <w:noWrap/>
            <w:vAlign w:val="bottom"/>
            <w:hideMark/>
          </w:tcPr>
          <w:p w14:paraId="6D3DFF8C" w14:textId="40BD4919" w:rsidR="00E20E39" w:rsidRPr="004E74A6" w:rsidRDefault="00E20E39" w:rsidP="00CE62C1">
            <w:pPr>
              <w:spacing w:line="276" w:lineRule="auto"/>
              <w:jc w:val="center"/>
              <w:rPr>
                <w:rFonts w:cs="Calibri"/>
                <w:color w:val="000000"/>
                <w:sz w:val="20"/>
                <w:lang w:eastAsia="es-CR"/>
              </w:rPr>
            </w:pPr>
            <w:r w:rsidRPr="004E74A6">
              <w:rPr>
                <w:rFonts w:cs="Calibri"/>
                <w:color w:val="000000"/>
                <w:sz w:val="20"/>
              </w:rPr>
              <w:t>2</w:t>
            </w:r>
          </w:p>
        </w:tc>
        <w:tc>
          <w:tcPr>
            <w:tcW w:w="599" w:type="pct"/>
            <w:tcBorders>
              <w:left w:val="single" w:sz="4" w:space="0" w:color="auto"/>
              <w:right w:val="single" w:sz="4" w:space="0" w:color="auto"/>
            </w:tcBorders>
            <w:shd w:val="clear" w:color="auto" w:fill="auto"/>
            <w:noWrap/>
            <w:vAlign w:val="bottom"/>
            <w:hideMark/>
          </w:tcPr>
          <w:p w14:paraId="7E81840F" w14:textId="6EC6D55F" w:rsidR="00E20E39" w:rsidRPr="004E74A6" w:rsidRDefault="00E20E39" w:rsidP="00CE62C1">
            <w:pPr>
              <w:spacing w:line="276" w:lineRule="auto"/>
              <w:jc w:val="center"/>
              <w:rPr>
                <w:rFonts w:cs="Calibri"/>
                <w:color w:val="000000"/>
                <w:sz w:val="20"/>
                <w:lang w:eastAsia="es-CR"/>
              </w:rPr>
            </w:pPr>
            <w:r w:rsidRPr="004E74A6">
              <w:rPr>
                <w:rFonts w:cs="Calibri"/>
                <w:color w:val="000000"/>
                <w:sz w:val="20"/>
              </w:rPr>
              <w:t>5</w:t>
            </w:r>
          </w:p>
        </w:tc>
        <w:tc>
          <w:tcPr>
            <w:tcW w:w="599" w:type="pct"/>
            <w:tcBorders>
              <w:left w:val="single" w:sz="4" w:space="0" w:color="auto"/>
              <w:right w:val="single" w:sz="4" w:space="0" w:color="auto"/>
            </w:tcBorders>
            <w:shd w:val="clear" w:color="auto" w:fill="auto"/>
            <w:noWrap/>
            <w:vAlign w:val="bottom"/>
            <w:hideMark/>
          </w:tcPr>
          <w:p w14:paraId="49B42A5C" w14:textId="2F9E03DE" w:rsidR="00E20E39" w:rsidRPr="004E74A6" w:rsidRDefault="00E20E39" w:rsidP="00CE62C1">
            <w:pPr>
              <w:spacing w:line="276" w:lineRule="auto"/>
              <w:jc w:val="center"/>
              <w:rPr>
                <w:rFonts w:cs="Calibri"/>
                <w:color w:val="000000"/>
                <w:sz w:val="20"/>
                <w:lang w:eastAsia="es-CR"/>
              </w:rPr>
            </w:pPr>
            <w:r w:rsidRPr="004E74A6">
              <w:rPr>
                <w:rFonts w:cs="Calibri"/>
                <w:color w:val="000000"/>
                <w:sz w:val="20"/>
              </w:rPr>
              <w:t>4</w:t>
            </w:r>
          </w:p>
        </w:tc>
        <w:tc>
          <w:tcPr>
            <w:tcW w:w="799" w:type="pct"/>
            <w:tcBorders>
              <w:left w:val="single" w:sz="4" w:space="0" w:color="auto"/>
            </w:tcBorders>
            <w:shd w:val="clear" w:color="auto" w:fill="auto"/>
            <w:noWrap/>
            <w:vAlign w:val="bottom"/>
            <w:hideMark/>
          </w:tcPr>
          <w:p w14:paraId="1FC9EF74" w14:textId="1806D757" w:rsidR="00E20E39" w:rsidRPr="004E74A6" w:rsidRDefault="00E20E39" w:rsidP="00CE62C1">
            <w:pPr>
              <w:spacing w:line="276" w:lineRule="auto"/>
              <w:jc w:val="center"/>
              <w:rPr>
                <w:rFonts w:cs="Calibri"/>
                <w:color w:val="000000"/>
                <w:sz w:val="20"/>
                <w:lang w:eastAsia="es-CR"/>
              </w:rPr>
            </w:pPr>
            <w:r w:rsidRPr="004E74A6">
              <w:rPr>
                <w:rFonts w:cs="Calibri"/>
                <w:color w:val="000000"/>
                <w:sz w:val="20"/>
              </w:rPr>
              <w:t>3,7</w:t>
            </w:r>
          </w:p>
        </w:tc>
      </w:tr>
      <w:tr w:rsidR="00E20E39" w:rsidRPr="004E74A6" w14:paraId="00138673" w14:textId="77777777" w:rsidTr="00B32800">
        <w:trPr>
          <w:trHeight w:val="288"/>
          <w:jc w:val="center"/>
        </w:trPr>
        <w:tc>
          <w:tcPr>
            <w:tcW w:w="2402" w:type="pct"/>
            <w:tcBorders>
              <w:right w:val="single" w:sz="4" w:space="0" w:color="auto"/>
            </w:tcBorders>
            <w:shd w:val="clear" w:color="auto" w:fill="auto"/>
            <w:noWrap/>
            <w:vAlign w:val="bottom"/>
            <w:hideMark/>
          </w:tcPr>
          <w:p w14:paraId="4B01469C" w14:textId="77777777" w:rsidR="00E20E39" w:rsidRPr="004E74A6" w:rsidRDefault="00E20E39" w:rsidP="00CE62C1">
            <w:pPr>
              <w:spacing w:line="276" w:lineRule="auto"/>
              <w:jc w:val="left"/>
              <w:rPr>
                <w:rFonts w:cs="Calibri"/>
                <w:color w:val="000000"/>
                <w:sz w:val="20"/>
                <w:lang w:eastAsia="es-CR"/>
              </w:rPr>
            </w:pPr>
            <w:r w:rsidRPr="004E74A6">
              <w:rPr>
                <w:rFonts w:cs="Calibri"/>
                <w:color w:val="000000"/>
                <w:sz w:val="20"/>
                <w:lang w:eastAsia="es-CR"/>
              </w:rPr>
              <w:t>Legajo De Ejecución Provisional</w:t>
            </w:r>
          </w:p>
        </w:tc>
        <w:tc>
          <w:tcPr>
            <w:tcW w:w="601" w:type="pct"/>
            <w:tcBorders>
              <w:left w:val="single" w:sz="4" w:space="0" w:color="auto"/>
              <w:right w:val="single" w:sz="4" w:space="0" w:color="auto"/>
            </w:tcBorders>
            <w:shd w:val="clear" w:color="auto" w:fill="auto"/>
            <w:noWrap/>
            <w:vAlign w:val="bottom"/>
            <w:hideMark/>
          </w:tcPr>
          <w:p w14:paraId="0AFEA97D" w14:textId="597FE1E5" w:rsidR="00E20E39" w:rsidRPr="004E74A6" w:rsidRDefault="00E20E39" w:rsidP="00CE62C1">
            <w:pPr>
              <w:spacing w:line="276" w:lineRule="auto"/>
              <w:jc w:val="center"/>
              <w:rPr>
                <w:sz w:val="20"/>
                <w:lang w:eastAsia="es-CR"/>
              </w:rPr>
            </w:pPr>
            <w:r w:rsidRPr="004E74A6">
              <w:rPr>
                <w:rFonts w:cs="Calibri"/>
                <w:color w:val="000000"/>
                <w:sz w:val="20"/>
              </w:rPr>
              <w:t>0</w:t>
            </w:r>
          </w:p>
        </w:tc>
        <w:tc>
          <w:tcPr>
            <w:tcW w:w="599" w:type="pct"/>
            <w:tcBorders>
              <w:left w:val="single" w:sz="4" w:space="0" w:color="auto"/>
              <w:right w:val="single" w:sz="4" w:space="0" w:color="auto"/>
            </w:tcBorders>
            <w:shd w:val="clear" w:color="auto" w:fill="auto"/>
            <w:noWrap/>
            <w:vAlign w:val="bottom"/>
            <w:hideMark/>
          </w:tcPr>
          <w:p w14:paraId="66B8D994" w14:textId="0C6FE60B" w:rsidR="00E20E39" w:rsidRPr="004E74A6" w:rsidRDefault="00E20E39" w:rsidP="00CE62C1">
            <w:pPr>
              <w:spacing w:line="276" w:lineRule="auto"/>
              <w:jc w:val="center"/>
              <w:rPr>
                <w:rFonts w:cs="Calibri"/>
                <w:color w:val="000000"/>
                <w:sz w:val="20"/>
                <w:lang w:eastAsia="es-CR"/>
              </w:rPr>
            </w:pPr>
            <w:r w:rsidRPr="004E74A6">
              <w:rPr>
                <w:rFonts w:cs="Calibri"/>
                <w:color w:val="000000"/>
                <w:sz w:val="20"/>
              </w:rPr>
              <w:t>1</w:t>
            </w:r>
          </w:p>
        </w:tc>
        <w:tc>
          <w:tcPr>
            <w:tcW w:w="599" w:type="pct"/>
            <w:tcBorders>
              <w:left w:val="single" w:sz="4" w:space="0" w:color="auto"/>
              <w:right w:val="single" w:sz="4" w:space="0" w:color="auto"/>
            </w:tcBorders>
            <w:shd w:val="clear" w:color="auto" w:fill="auto"/>
            <w:noWrap/>
            <w:vAlign w:val="bottom"/>
            <w:hideMark/>
          </w:tcPr>
          <w:p w14:paraId="5C7FF34E" w14:textId="0B12602F" w:rsidR="00E20E39" w:rsidRPr="004E74A6" w:rsidRDefault="00E20E39" w:rsidP="00CE62C1">
            <w:pPr>
              <w:spacing w:line="276" w:lineRule="auto"/>
              <w:jc w:val="center"/>
              <w:rPr>
                <w:rFonts w:cs="Calibri"/>
                <w:color w:val="000000"/>
                <w:sz w:val="20"/>
                <w:lang w:eastAsia="es-CR"/>
              </w:rPr>
            </w:pPr>
            <w:r w:rsidRPr="004E74A6">
              <w:rPr>
                <w:rFonts w:cs="Calibri"/>
                <w:color w:val="000000"/>
                <w:sz w:val="20"/>
              </w:rPr>
              <w:t>2</w:t>
            </w:r>
          </w:p>
        </w:tc>
        <w:tc>
          <w:tcPr>
            <w:tcW w:w="799" w:type="pct"/>
            <w:tcBorders>
              <w:left w:val="single" w:sz="4" w:space="0" w:color="auto"/>
            </w:tcBorders>
            <w:shd w:val="clear" w:color="auto" w:fill="auto"/>
            <w:noWrap/>
            <w:vAlign w:val="bottom"/>
            <w:hideMark/>
          </w:tcPr>
          <w:p w14:paraId="33A5F0CC" w14:textId="43678688" w:rsidR="00E20E39" w:rsidRPr="004E74A6" w:rsidRDefault="00E20E39" w:rsidP="00CE62C1">
            <w:pPr>
              <w:spacing w:line="276" w:lineRule="auto"/>
              <w:jc w:val="center"/>
              <w:rPr>
                <w:rFonts w:cs="Calibri"/>
                <w:color w:val="000000"/>
                <w:sz w:val="20"/>
                <w:lang w:eastAsia="es-CR"/>
              </w:rPr>
            </w:pPr>
            <w:r w:rsidRPr="004E74A6">
              <w:rPr>
                <w:rFonts w:cs="Calibri"/>
                <w:color w:val="000000"/>
                <w:sz w:val="20"/>
              </w:rPr>
              <w:t>1</w:t>
            </w:r>
          </w:p>
        </w:tc>
      </w:tr>
      <w:tr w:rsidR="00E20E39" w:rsidRPr="004E74A6" w14:paraId="26F0C521" w14:textId="77777777" w:rsidTr="00B32800">
        <w:trPr>
          <w:trHeight w:val="288"/>
          <w:jc w:val="center"/>
        </w:trPr>
        <w:tc>
          <w:tcPr>
            <w:tcW w:w="2402" w:type="pct"/>
            <w:tcBorders>
              <w:right w:val="single" w:sz="4" w:space="0" w:color="auto"/>
            </w:tcBorders>
            <w:shd w:val="clear" w:color="auto" w:fill="auto"/>
            <w:noWrap/>
            <w:vAlign w:val="bottom"/>
            <w:hideMark/>
          </w:tcPr>
          <w:p w14:paraId="08199012" w14:textId="77777777" w:rsidR="00E20E39" w:rsidRPr="004E74A6" w:rsidRDefault="00E20E39" w:rsidP="00CE62C1">
            <w:pPr>
              <w:spacing w:line="276" w:lineRule="auto"/>
              <w:jc w:val="left"/>
              <w:rPr>
                <w:rFonts w:cs="Calibri"/>
                <w:color w:val="000000"/>
                <w:sz w:val="20"/>
                <w:lang w:eastAsia="es-CR"/>
              </w:rPr>
            </w:pPr>
            <w:r w:rsidRPr="004E74A6">
              <w:rPr>
                <w:rFonts w:cs="Calibri"/>
                <w:color w:val="000000"/>
                <w:sz w:val="20"/>
                <w:lang w:eastAsia="es-CR"/>
              </w:rPr>
              <w:t>Principal</w:t>
            </w:r>
          </w:p>
        </w:tc>
        <w:tc>
          <w:tcPr>
            <w:tcW w:w="601" w:type="pct"/>
            <w:tcBorders>
              <w:left w:val="single" w:sz="4" w:space="0" w:color="auto"/>
              <w:right w:val="single" w:sz="4" w:space="0" w:color="auto"/>
            </w:tcBorders>
            <w:shd w:val="clear" w:color="auto" w:fill="auto"/>
            <w:noWrap/>
            <w:vAlign w:val="bottom"/>
            <w:hideMark/>
          </w:tcPr>
          <w:p w14:paraId="57B8AF0C" w14:textId="3799F926" w:rsidR="00E20E39" w:rsidRPr="004E74A6" w:rsidRDefault="00E20E39" w:rsidP="00CE62C1">
            <w:pPr>
              <w:spacing w:line="276" w:lineRule="auto"/>
              <w:jc w:val="center"/>
              <w:rPr>
                <w:rFonts w:cs="Calibri"/>
                <w:color w:val="000000"/>
                <w:sz w:val="20"/>
                <w:lang w:eastAsia="es-CR"/>
              </w:rPr>
            </w:pPr>
            <w:r w:rsidRPr="004E74A6">
              <w:rPr>
                <w:rFonts w:cs="Calibri"/>
                <w:color w:val="000000"/>
                <w:sz w:val="20"/>
              </w:rPr>
              <w:t>126</w:t>
            </w:r>
          </w:p>
        </w:tc>
        <w:tc>
          <w:tcPr>
            <w:tcW w:w="599" w:type="pct"/>
            <w:tcBorders>
              <w:left w:val="single" w:sz="4" w:space="0" w:color="auto"/>
              <w:right w:val="single" w:sz="4" w:space="0" w:color="auto"/>
            </w:tcBorders>
            <w:shd w:val="clear" w:color="auto" w:fill="auto"/>
            <w:noWrap/>
            <w:vAlign w:val="bottom"/>
            <w:hideMark/>
          </w:tcPr>
          <w:p w14:paraId="632042CE" w14:textId="4AF325FF" w:rsidR="00E20E39" w:rsidRPr="004E74A6" w:rsidRDefault="00E20E39" w:rsidP="00CE62C1">
            <w:pPr>
              <w:spacing w:line="276" w:lineRule="auto"/>
              <w:jc w:val="center"/>
              <w:rPr>
                <w:rFonts w:cs="Calibri"/>
                <w:color w:val="000000"/>
                <w:sz w:val="20"/>
                <w:lang w:eastAsia="es-CR"/>
              </w:rPr>
            </w:pPr>
            <w:r w:rsidRPr="004E74A6">
              <w:rPr>
                <w:rFonts w:cs="Calibri"/>
                <w:color w:val="000000"/>
                <w:sz w:val="20"/>
              </w:rPr>
              <w:t>112</w:t>
            </w:r>
          </w:p>
        </w:tc>
        <w:tc>
          <w:tcPr>
            <w:tcW w:w="599" w:type="pct"/>
            <w:tcBorders>
              <w:left w:val="single" w:sz="4" w:space="0" w:color="auto"/>
              <w:right w:val="single" w:sz="4" w:space="0" w:color="auto"/>
            </w:tcBorders>
            <w:shd w:val="clear" w:color="auto" w:fill="auto"/>
            <w:noWrap/>
            <w:vAlign w:val="bottom"/>
            <w:hideMark/>
          </w:tcPr>
          <w:p w14:paraId="67AFD298" w14:textId="06B53D76" w:rsidR="00E20E39" w:rsidRPr="004E74A6" w:rsidRDefault="00E20E39" w:rsidP="00CE62C1">
            <w:pPr>
              <w:spacing w:line="276" w:lineRule="auto"/>
              <w:jc w:val="center"/>
              <w:rPr>
                <w:rFonts w:cs="Calibri"/>
                <w:color w:val="000000"/>
                <w:sz w:val="20"/>
                <w:lang w:eastAsia="es-CR"/>
              </w:rPr>
            </w:pPr>
            <w:r w:rsidRPr="004E74A6">
              <w:rPr>
                <w:rFonts w:cs="Calibri"/>
                <w:color w:val="000000"/>
                <w:sz w:val="20"/>
              </w:rPr>
              <w:t>130</w:t>
            </w:r>
          </w:p>
        </w:tc>
        <w:tc>
          <w:tcPr>
            <w:tcW w:w="799" w:type="pct"/>
            <w:tcBorders>
              <w:left w:val="single" w:sz="4" w:space="0" w:color="auto"/>
            </w:tcBorders>
            <w:shd w:val="clear" w:color="auto" w:fill="auto"/>
            <w:noWrap/>
            <w:vAlign w:val="bottom"/>
            <w:hideMark/>
          </w:tcPr>
          <w:p w14:paraId="5F2EF16D" w14:textId="0F1668D9" w:rsidR="00E20E39" w:rsidRPr="004E74A6" w:rsidRDefault="00E20E39" w:rsidP="00CE62C1">
            <w:pPr>
              <w:spacing w:line="276" w:lineRule="auto"/>
              <w:jc w:val="center"/>
              <w:rPr>
                <w:rFonts w:cs="Calibri"/>
                <w:color w:val="000000"/>
                <w:sz w:val="20"/>
                <w:lang w:eastAsia="es-CR"/>
              </w:rPr>
            </w:pPr>
            <w:r w:rsidRPr="004E74A6">
              <w:rPr>
                <w:rFonts w:cs="Calibri"/>
                <w:color w:val="000000"/>
                <w:sz w:val="20"/>
              </w:rPr>
              <w:t>123</w:t>
            </w:r>
          </w:p>
        </w:tc>
      </w:tr>
      <w:tr w:rsidR="00E20E39" w:rsidRPr="004E74A6" w14:paraId="0153D14F" w14:textId="77777777" w:rsidTr="00B32800">
        <w:trPr>
          <w:trHeight w:val="288"/>
          <w:jc w:val="center"/>
        </w:trPr>
        <w:tc>
          <w:tcPr>
            <w:tcW w:w="2402" w:type="pct"/>
            <w:tcBorders>
              <w:right w:val="single" w:sz="4" w:space="0" w:color="auto"/>
            </w:tcBorders>
            <w:shd w:val="clear" w:color="auto" w:fill="auto"/>
            <w:noWrap/>
            <w:vAlign w:val="bottom"/>
            <w:hideMark/>
          </w:tcPr>
          <w:p w14:paraId="7DC7575B" w14:textId="77777777" w:rsidR="00E20E39" w:rsidRPr="004E74A6" w:rsidRDefault="00E20E39" w:rsidP="00CE62C1">
            <w:pPr>
              <w:spacing w:line="276" w:lineRule="auto"/>
              <w:jc w:val="left"/>
              <w:rPr>
                <w:rFonts w:cs="Calibri"/>
                <w:color w:val="000000"/>
                <w:sz w:val="20"/>
                <w:lang w:eastAsia="es-CR"/>
              </w:rPr>
            </w:pPr>
            <w:r w:rsidRPr="004E74A6">
              <w:rPr>
                <w:rFonts w:cs="Calibri"/>
                <w:color w:val="000000"/>
                <w:sz w:val="20"/>
                <w:lang w:eastAsia="es-CR"/>
              </w:rPr>
              <w:t>Recurso</w:t>
            </w:r>
          </w:p>
        </w:tc>
        <w:tc>
          <w:tcPr>
            <w:tcW w:w="601" w:type="pct"/>
            <w:tcBorders>
              <w:left w:val="single" w:sz="4" w:space="0" w:color="auto"/>
              <w:right w:val="single" w:sz="4" w:space="0" w:color="auto"/>
            </w:tcBorders>
            <w:shd w:val="clear" w:color="auto" w:fill="auto"/>
            <w:noWrap/>
            <w:vAlign w:val="bottom"/>
            <w:hideMark/>
          </w:tcPr>
          <w:p w14:paraId="636F2C20" w14:textId="2D83195F" w:rsidR="00E20E39" w:rsidRPr="004E74A6" w:rsidRDefault="00E20E39" w:rsidP="00CE62C1">
            <w:pPr>
              <w:spacing w:line="276" w:lineRule="auto"/>
              <w:jc w:val="center"/>
              <w:rPr>
                <w:rFonts w:cs="Calibri"/>
                <w:color w:val="000000"/>
                <w:sz w:val="20"/>
                <w:lang w:eastAsia="es-CR"/>
              </w:rPr>
            </w:pPr>
            <w:r w:rsidRPr="004E74A6">
              <w:rPr>
                <w:rFonts w:cs="Calibri"/>
                <w:color w:val="000000"/>
                <w:sz w:val="20"/>
              </w:rPr>
              <w:t>1</w:t>
            </w:r>
          </w:p>
        </w:tc>
        <w:tc>
          <w:tcPr>
            <w:tcW w:w="599" w:type="pct"/>
            <w:tcBorders>
              <w:left w:val="single" w:sz="4" w:space="0" w:color="auto"/>
              <w:right w:val="single" w:sz="4" w:space="0" w:color="auto"/>
            </w:tcBorders>
            <w:shd w:val="clear" w:color="auto" w:fill="auto"/>
            <w:noWrap/>
            <w:vAlign w:val="bottom"/>
            <w:hideMark/>
          </w:tcPr>
          <w:p w14:paraId="3AFCC162" w14:textId="19711939" w:rsidR="00E20E39" w:rsidRPr="004E74A6" w:rsidRDefault="00E20E39" w:rsidP="00CE62C1">
            <w:pPr>
              <w:spacing w:line="276" w:lineRule="auto"/>
              <w:jc w:val="center"/>
              <w:rPr>
                <w:rFonts w:cs="Calibri"/>
                <w:color w:val="000000"/>
                <w:sz w:val="20"/>
                <w:lang w:eastAsia="es-CR"/>
              </w:rPr>
            </w:pPr>
            <w:r w:rsidRPr="004E74A6">
              <w:rPr>
                <w:rFonts w:cs="Calibri"/>
                <w:color w:val="000000"/>
                <w:sz w:val="20"/>
              </w:rPr>
              <w:t>0</w:t>
            </w:r>
          </w:p>
        </w:tc>
        <w:tc>
          <w:tcPr>
            <w:tcW w:w="599" w:type="pct"/>
            <w:tcBorders>
              <w:left w:val="single" w:sz="4" w:space="0" w:color="auto"/>
              <w:right w:val="single" w:sz="4" w:space="0" w:color="auto"/>
            </w:tcBorders>
            <w:shd w:val="clear" w:color="auto" w:fill="auto"/>
            <w:noWrap/>
            <w:vAlign w:val="bottom"/>
            <w:hideMark/>
          </w:tcPr>
          <w:p w14:paraId="0D93ACD0" w14:textId="22E14CAB" w:rsidR="00E20E39" w:rsidRPr="004E74A6" w:rsidRDefault="00E20E39" w:rsidP="00CE62C1">
            <w:pPr>
              <w:spacing w:line="276" w:lineRule="auto"/>
              <w:jc w:val="center"/>
              <w:rPr>
                <w:sz w:val="20"/>
                <w:lang w:eastAsia="es-CR"/>
              </w:rPr>
            </w:pPr>
            <w:r w:rsidRPr="004E74A6">
              <w:rPr>
                <w:rFonts w:cs="Calibri"/>
                <w:color w:val="000000"/>
                <w:sz w:val="20"/>
              </w:rPr>
              <w:t>0</w:t>
            </w:r>
          </w:p>
        </w:tc>
        <w:tc>
          <w:tcPr>
            <w:tcW w:w="799" w:type="pct"/>
            <w:tcBorders>
              <w:left w:val="single" w:sz="4" w:space="0" w:color="auto"/>
            </w:tcBorders>
            <w:shd w:val="clear" w:color="auto" w:fill="auto"/>
            <w:noWrap/>
            <w:vAlign w:val="bottom"/>
            <w:hideMark/>
          </w:tcPr>
          <w:p w14:paraId="755963BA" w14:textId="144B934B" w:rsidR="00E20E39" w:rsidRPr="004E74A6" w:rsidRDefault="00E20E39" w:rsidP="00CE62C1">
            <w:pPr>
              <w:spacing w:line="276" w:lineRule="auto"/>
              <w:jc w:val="center"/>
              <w:rPr>
                <w:rFonts w:cs="Calibri"/>
                <w:color w:val="000000"/>
                <w:sz w:val="20"/>
                <w:lang w:eastAsia="es-CR"/>
              </w:rPr>
            </w:pPr>
            <w:r w:rsidRPr="004E74A6">
              <w:rPr>
                <w:rFonts w:cs="Calibri"/>
                <w:color w:val="000000"/>
                <w:sz w:val="20"/>
              </w:rPr>
              <w:t>0,3</w:t>
            </w:r>
          </w:p>
        </w:tc>
      </w:tr>
      <w:tr w:rsidR="00E20E39" w:rsidRPr="004E74A6" w14:paraId="1FEF5215" w14:textId="77777777" w:rsidTr="00B32800">
        <w:trPr>
          <w:trHeight w:val="288"/>
          <w:jc w:val="center"/>
        </w:trPr>
        <w:tc>
          <w:tcPr>
            <w:tcW w:w="2402" w:type="pct"/>
            <w:tcBorders>
              <w:right w:val="single" w:sz="4" w:space="0" w:color="auto"/>
            </w:tcBorders>
            <w:shd w:val="clear" w:color="auto" w:fill="auto"/>
            <w:noWrap/>
            <w:vAlign w:val="bottom"/>
            <w:hideMark/>
          </w:tcPr>
          <w:p w14:paraId="07916532" w14:textId="77777777" w:rsidR="00E20E39" w:rsidRPr="004E74A6" w:rsidRDefault="00E20E39" w:rsidP="00CE62C1">
            <w:pPr>
              <w:spacing w:line="276" w:lineRule="auto"/>
              <w:jc w:val="left"/>
              <w:rPr>
                <w:rFonts w:cs="Calibri"/>
                <w:color w:val="000000"/>
                <w:sz w:val="20"/>
                <w:lang w:eastAsia="es-CR"/>
              </w:rPr>
            </w:pPr>
            <w:r w:rsidRPr="004E74A6">
              <w:rPr>
                <w:rFonts w:cs="Calibri"/>
                <w:color w:val="000000"/>
                <w:sz w:val="20"/>
                <w:lang w:eastAsia="es-CR"/>
              </w:rPr>
              <w:t>Tercerías</w:t>
            </w:r>
          </w:p>
        </w:tc>
        <w:tc>
          <w:tcPr>
            <w:tcW w:w="601" w:type="pct"/>
            <w:tcBorders>
              <w:left w:val="single" w:sz="4" w:space="0" w:color="auto"/>
              <w:right w:val="single" w:sz="4" w:space="0" w:color="auto"/>
            </w:tcBorders>
            <w:shd w:val="clear" w:color="auto" w:fill="auto"/>
            <w:noWrap/>
            <w:vAlign w:val="bottom"/>
            <w:hideMark/>
          </w:tcPr>
          <w:p w14:paraId="6FE3EA0E" w14:textId="325E51E1" w:rsidR="00E20E39" w:rsidRPr="004E74A6" w:rsidRDefault="00E20E39" w:rsidP="00CE62C1">
            <w:pPr>
              <w:spacing w:line="276" w:lineRule="auto"/>
              <w:jc w:val="center"/>
              <w:rPr>
                <w:sz w:val="20"/>
                <w:lang w:eastAsia="es-CR"/>
              </w:rPr>
            </w:pPr>
            <w:r w:rsidRPr="004E74A6">
              <w:rPr>
                <w:rFonts w:cs="Calibri"/>
                <w:color w:val="000000"/>
                <w:sz w:val="20"/>
              </w:rPr>
              <w:t>0</w:t>
            </w:r>
          </w:p>
        </w:tc>
        <w:tc>
          <w:tcPr>
            <w:tcW w:w="599" w:type="pct"/>
            <w:tcBorders>
              <w:left w:val="single" w:sz="4" w:space="0" w:color="auto"/>
              <w:right w:val="single" w:sz="4" w:space="0" w:color="auto"/>
            </w:tcBorders>
            <w:shd w:val="clear" w:color="auto" w:fill="auto"/>
            <w:noWrap/>
            <w:vAlign w:val="bottom"/>
            <w:hideMark/>
          </w:tcPr>
          <w:p w14:paraId="15971DF3" w14:textId="7F3DBEA7" w:rsidR="00E20E39" w:rsidRPr="004E74A6" w:rsidRDefault="00E20E39" w:rsidP="00CE62C1">
            <w:pPr>
              <w:spacing w:line="276" w:lineRule="auto"/>
              <w:jc w:val="center"/>
              <w:rPr>
                <w:rFonts w:cs="Calibri"/>
                <w:color w:val="000000"/>
                <w:sz w:val="20"/>
                <w:lang w:eastAsia="es-CR"/>
              </w:rPr>
            </w:pPr>
            <w:r w:rsidRPr="004E74A6">
              <w:rPr>
                <w:rFonts w:cs="Calibri"/>
                <w:color w:val="000000"/>
                <w:sz w:val="20"/>
              </w:rPr>
              <w:t>1</w:t>
            </w:r>
          </w:p>
        </w:tc>
        <w:tc>
          <w:tcPr>
            <w:tcW w:w="599" w:type="pct"/>
            <w:tcBorders>
              <w:left w:val="single" w:sz="4" w:space="0" w:color="auto"/>
              <w:right w:val="single" w:sz="4" w:space="0" w:color="auto"/>
            </w:tcBorders>
            <w:shd w:val="clear" w:color="auto" w:fill="auto"/>
            <w:noWrap/>
            <w:vAlign w:val="bottom"/>
            <w:hideMark/>
          </w:tcPr>
          <w:p w14:paraId="6164C313" w14:textId="7EC80A65" w:rsidR="00E20E39" w:rsidRPr="004E74A6" w:rsidRDefault="00E20E39" w:rsidP="00CE62C1">
            <w:pPr>
              <w:spacing w:line="276" w:lineRule="auto"/>
              <w:jc w:val="center"/>
              <w:rPr>
                <w:rFonts w:cs="Calibri"/>
                <w:color w:val="000000"/>
                <w:sz w:val="20"/>
                <w:lang w:eastAsia="es-CR"/>
              </w:rPr>
            </w:pPr>
            <w:r w:rsidRPr="004E74A6">
              <w:rPr>
                <w:rFonts w:cs="Calibri"/>
                <w:color w:val="000000"/>
                <w:sz w:val="20"/>
              </w:rPr>
              <w:t>0</w:t>
            </w:r>
          </w:p>
        </w:tc>
        <w:tc>
          <w:tcPr>
            <w:tcW w:w="799" w:type="pct"/>
            <w:tcBorders>
              <w:left w:val="single" w:sz="4" w:space="0" w:color="auto"/>
            </w:tcBorders>
            <w:shd w:val="clear" w:color="auto" w:fill="auto"/>
            <w:noWrap/>
            <w:vAlign w:val="bottom"/>
            <w:hideMark/>
          </w:tcPr>
          <w:p w14:paraId="719C9AE6" w14:textId="50BA6463" w:rsidR="00E20E39" w:rsidRPr="004E74A6" w:rsidRDefault="00E20E39" w:rsidP="00CE62C1">
            <w:pPr>
              <w:spacing w:line="276" w:lineRule="auto"/>
              <w:jc w:val="center"/>
              <w:rPr>
                <w:rFonts w:cs="Calibri"/>
                <w:color w:val="000000"/>
                <w:sz w:val="20"/>
                <w:lang w:eastAsia="es-CR"/>
              </w:rPr>
            </w:pPr>
            <w:r w:rsidRPr="004E74A6">
              <w:rPr>
                <w:rFonts w:cs="Calibri"/>
                <w:color w:val="000000"/>
                <w:sz w:val="20"/>
              </w:rPr>
              <w:t>0,3</w:t>
            </w:r>
          </w:p>
        </w:tc>
      </w:tr>
      <w:tr w:rsidR="00E20E39" w:rsidRPr="004E74A6" w14:paraId="38FDA8BF" w14:textId="77777777" w:rsidTr="00AD599A">
        <w:trPr>
          <w:trHeight w:val="288"/>
          <w:jc w:val="center"/>
        </w:trPr>
        <w:tc>
          <w:tcPr>
            <w:tcW w:w="2402" w:type="pct"/>
            <w:tcBorders>
              <w:bottom w:val="single" w:sz="4" w:space="0" w:color="auto"/>
              <w:right w:val="single" w:sz="4" w:space="0" w:color="auto"/>
            </w:tcBorders>
            <w:shd w:val="clear" w:color="auto" w:fill="auto"/>
            <w:noWrap/>
            <w:vAlign w:val="bottom"/>
          </w:tcPr>
          <w:p w14:paraId="20F204C7" w14:textId="77777777" w:rsidR="00E20E39" w:rsidRPr="004E74A6" w:rsidRDefault="00E20E39" w:rsidP="00CE62C1">
            <w:pPr>
              <w:spacing w:line="276" w:lineRule="auto"/>
              <w:jc w:val="left"/>
              <w:rPr>
                <w:rFonts w:cs="Calibri"/>
                <w:color w:val="000000"/>
                <w:sz w:val="20"/>
                <w:lang w:eastAsia="es-CR"/>
              </w:rPr>
            </w:pPr>
          </w:p>
        </w:tc>
        <w:tc>
          <w:tcPr>
            <w:tcW w:w="601" w:type="pct"/>
            <w:tcBorders>
              <w:left w:val="single" w:sz="4" w:space="0" w:color="auto"/>
              <w:bottom w:val="single" w:sz="4" w:space="0" w:color="auto"/>
              <w:right w:val="single" w:sz="4" w:space="0" w:color="auto"/>
            </w:tcBorders>
            <w:shd w:val="clear" w:color="auto" w:fill="auto"/>
            <w:noWrap/>
            <w:vAlign w:val="center"/>
          </w:tcPr>
          <w:p w14:paraId="7FADFC3D" w14:textId="77777777" w:rsidR="00E20E39" w:rsidRPr="004E74A6" w:rsidRDefault="00E20E39" w:rsidP="00CE62C1">
            <w:pPr>
              <w:spacing w:line="276" w:lineRule="auto"/>
              <w:jc w:val="center"/>
              <w:rPr>
                <w:rFonts w:cs="Calibri"/>
                <w:color w:val="000000"/>
                <w:sz w:val="20"/>
                <w:lang w:eastAsia="es-CR"/>
              </w:rPr>
            </w:pPr>
          </w:p>
        </w:tc>
        <w:tc>
          <w:tcPr>
            <w:tcW w:w="599" w:type="pct"/>
            <w:tcBorders>
              <w:left w:val="single" w:sz="4" w:space="0" w:color="auto"/>
              <w:bottom w:val="single" w:sz="4" w:space="0" w:color="auto"/>
              <w:right w:val="single" w:sz="4" w:space="0" w:color="auto"/>
            </w:tcBorders>
            <w:shd w:val="clear" w:color="auto" w:fill="auto"/>
            <w:noWrap/>
            <w:vAlign w:val="center"/>
          </w:tcPr>
          <w:p w14:paraId="50B2A7F8" w14:textId="77777777" w:rsidR="00E20E39" w:rsidRPr="004E74A6" w:rsidRDefault="00E20E39" w:rsidP="00CE62C1">
            <w:pPr>
              <w:spacing w:line="276" w:lineRule="auto"/>
              <w:jc w:val="center"/>
              <w:rPr>
                <w:rFonts w:cs="Calibri"/>
                <w:color w:val="000000"/>
                <w:sz w:val="20"/>
                <w:lang w:eastAsia="es-CR"/>
              </w:rPr>
            </w:pPr>
          </w:p>
        </w:tc>
        <w:tc>
          <w:tcPr>
            <w:tcW w:w="599" w:type="pct"/>
            <w:tcBorders>
              <w:left w:val="single" w:sz="4" w:space="0" w:color="auto"/>
              <w:bottom w:val="single" w:sz="4" w:space="0" w:color="auto"/>
              <w:right w:val="single" w:sz="4" w:space="0" w:color="auto"/>
            </w:tcBorders>
            <w:shd w:val="clear" w:color="auto" w:fill="auto"/>
            <w:noWrap/>
            <w:vAlign w:val="center"/>
          </w:tcPr>
          <w:p w14:paraId="70E2C004" w14:textId="77777777" w:rsidR="00E20E39" w:rsidRPr="004E74A6" w:rsidRDefault="00E20E39" w:rsidP="00CE62C1">
            <w:pPr>
              <w:spacing w:line="276" w:lineRule="auto"/>
              <w:jc w:val="center"/>
              <w:rPr>
                <w:rFonts w:cs="Calibri"/>
                <w:color w:val="000000"/>
                <w:sz w:val="20"/>
                <w:lang w:eastAsia="es-CR"/>
              </w:rPr>
            </w:pPr>
          </w:p>
        </w:tc>
        <w:tc>
          <w:tcPr>
            <w:tcW w:w="799" w:type="pct"/>
            <w:tcBorders>
              <w:left w:val="single" w:sz="4" w:space="0" w:color="auto"/>
              <w:bottom w:val="single" w:sz="4" w:space="0" w:color="auto"/>
            </w:tcBorders>
            <w:shd w:val="clear" w:color="auto" w:fill="auto"/>
            <w:noWrap/>
            <w:vAlign w:val="center"/>
          </w:tcPr>
          <w:p w14:paraId="45ED3B02" w14:textId="77777777" w:rsidR="00E20E39" w:rsidRPr="004E74A6" w:rsidRDefault="00E20E39" w:rsidP="00CE62C1">
            <w:pPr>
              <w:spacing w:line="276" w:lineRule="auto"/>
              <w:jc w:val="center"/>
              <w:rPr>
                <w:rFonts w:cs="Calibri"/>
                <w:color w:val="000000"/>
                <w:sz w:val="20"/>
                <w:lang w:eastAsia="es-CR"/>
              </w:rPr>
            </w:pPr>
          </w:p>
        </w:tc>
      </w:tr>
    </w:tbl>
    <w:p w14:paraId="2ED6CF96" w14:textId="2FBD6E55" w:rsidR="003E4755" w:rsidRPr="004E74A6" w:rsidRDefault="003E4755" w:rsidP="00832773">
      <w:pPr>
        <w:spacing w:line="276" w:lineRule="auto"/>
        <w:ind w:left="850" w:right="907"/>
        <w:rPr>
          <w:rFonts w:cs="Calibri"/>
          <w:i/>
          <w:iCs/>
          <w:color w:val="000000"/>
          <w:sz w:val="20"/>
          <w:lang w:eastAsia="es-CR"/>
        </w:rPr>
      </w:pPr>
      <w:r w:rsidRPr="004E74A6">
        <w:rPr>
          <w:rFonts w:cs="Calibri"/>
          <w:b/>
          <w:bCs/>
          <w:i/>
          <w:iCs/>
          <w:color w:val="000000"/>
          <w:sz w:val="20"/>
          <w:lang w:eastAsia="es-CR"/>
        </w:rPr>
        <w:t>Fuente</w:t>
      </w:r>
      <w:r w:rsidRPr="004E74A6">
        <w:rPr>
          <w:rFonts w:cs="Calibri"/>
          <w:i/>
          <w:iCs/>
          <w:color w:val="000000"/>
          <w:sz w:val="20"/>
          <w:lang w:eastAsia="es-CR"/>
        </w:rPr>
        <w:t>: Subproceso de Modernización Institucional con datos extraídos del sistema SIGMA, Dirección de Planificación.</w:t>
      </w:r>
    </w:p>
    <w:p w14:paraId="763F8C3D" w14:textId="598FEA15" w:rsidR="008647ED" w:rsidRPr="004E74A6" w:rsidRDefault="008647ED" w:rsidP="00832773">
      <w:pPr>
        <w:spacing w:line="276" w:lineRule="auto"/>
        <w:rPr>
          <w:rFonts w:cs="Calibri"/>
          <w:color w:val="000000"/>
          <w:szCs w:val="24"/>
          <w:lang w:eastAsia="es-CR"/>
        </w:rPr>
      </w:pPr>
    </w:p>
    <w:p w14:paraId="7EF3ECBA" w14:textId="322DA4D4" w:rsidR="008647ED" w:rsidRPr="004E74A6" w:rsidRDefault="001D2AFC" w:rsidP="00CE62C1">
      <w:pPr>
        <w:spacing w:after="160" w:line="276" w:lineRule="auto"/>
        <w:rPr>
          <w:rFonts w:cs="Calibri"/>
          <w:color w:val="000000"/>
          <w:szCs w:val="24"/>
          <w:lang w:eastAsia="es-CR"/>
        </w:rPr>
      </w:pPr>
      <w:r w:rsidRPr="004E74A6">
        <w:rPr>
          <w:rFonts w:cs="Calibri"/>
          <w:color w:val="000000"/>
          <w:szCs w:val="24"/>
          <w:lang w:eastAsia="es-CR"/>
        </w:rPr>
        <w:lastRenderedPageBreak/>
        <w:t xml:space="preserve">Se puede observar aún más a detalle para determinar la clase de asuntos principales, que tal y como lo refleja la siguiente tabla, </w:t>
      </w:r>
      <w:r w:rsidR="008647ED" w:rsidRPr="004E74A6">
        <w:rPr>
          <w:rFonts w:cs="Calibri"/>
          <w:color w:val="000000"/>
          <w:szCs w:val="24"/>
          <w:lang w:eastAsia="es-CR"/>
        </w:rPr>
        <w:t>el 92,4% está compuesto por los asuntos ordinarios, seguido de un 4,9% de medidas cautelares, siendo lo ordinario lo dominante a través de los años.</w:t>
      </w:r>
    </w:p>
    <w:p w14:paraId="65E02DD9" w14:textId="6E15A112" w:rsidR="00AD599A" w:rsidRPr="00832773" w:rsidRDefault="00AD599A" w:rsidP="00F0204A">
      <w:pPr>
        <w:pStyle w:val="Descripcin"/>
        <w:keepNext/>
        <w:spacing w:line="276" w:lineRule="auto"/>
        <w:jc w:val="center"/>
        <w:rPr>
          <w:rFonts w:ascii="Book Antiqua" w:hAnsi="Book Antiqua"/>
          <w:i/>
          <w:iCs/>
          <w:sz w:val="20"/>
          <w:szCs w:val="16"/>
          <w:lang w:val="es-CR"/>
        </w:rPr>
      </w:pPr>
      <w:r w:rsidRPr="00832773">
        <w:rPr>
          <w:rFonts w:ascii="Book Antiqua" w:hAnsi="Book Antiqua"/>
          <w:i/>
          <w:iCs/>
          <w:sz w:val="20"/>
          <w:szCs w:val="16"/>
          <w:lang w:val="es-CR"/>
        </w:rPr>
        <w:t xml:space="preserve">Tabla </w:t>
      </w:r>
      <w:r w:rsidRPr="00832773">
        <w:rPr>
          <w:rFonts w:ascii="Book Antiqua" w:hAnsi="Book Antiqua"/>
          <w:i/>
          <w:iCs/>
          <w:sz w:val="20"/>
          <w:szCs w:val="16"/>
          <w:lang w:val="es-CR"/>
        </w:rPr>
        <w:fldChar w:fldCharType="begin"/>
      </w:r>
      <w:r w:rsidRPr="00832773">
        <w:rPr>
          <w:rFonts w:ascii="Book Antiqua" w:hAnsi="Book Antiqua"/>
          <w:i/>
          <w:iCs/>
          <w:sz w:val="20"/>
          <w:szCs w:val="16"/>
          <w:lang w:val="es-CR"/>
        </w:rPr>
        <w:instrText xml:space="preserve"> SEQ Tabla \* ARABIC </w:instrText>
      </w:r>
      <w:r w:rsidRPr="00832773">
        <w:rPr>
          <w:rFonts w:ascii="Book Antiqua" w:hAnsi="Book Antiqua"/>
          <w:i/>
          <w:iCs/>
          <w:sz w:val="20"/>
          <w:szCs w:val="16"/>
          <w:lang w:val="es-CR"/>
        </w:rPr>
        <w:fldChar w:fldCharType="separate"/>
      </w:r>
      <w:r w:rsidR="00374B51">
        <w:rPr>
          <w:rFonts w:ascii="Book Antiqua" w:hAnsi="Book Antiqua"/>
          <w:i/>
          <w:iCs/>
          <w:noProof/>
          <w:sz w:val="20"/>
          <w:szCs w:val="16"/>
          <w:lang w:val="es-CR"/>
        </w:rPr>
        <w:t>34</w:t>
      </w:r>
      <w:r w:rsidRPr="00832773">
        <w:rPr>
          <w:rFonts w:ascii="Book Antiqua" w:hAnsi="Book Antiqua"/>
          <w:i/>
          <w:iCs/>
          <w:sz w:val="20"/>
          <w:szCs w:val="16"/>
          <w:lang w:val="es-CR"/>
        </w:rPr>
        <w:fldChar w:fldCharType="end"/>
      </w:r>
      <w:r w:rsidRPr="00832773">
        <w:rPr>
          <w:rFonts w:ascii="Book Antiqua" w:hAnsi="Book Antiqua"/>
          <w:i/>
          <w:iCs/>
          <w:sz w:val="20"/>
          <w:szCs w:val="16"/>
          <w:lang w:val="es-CR"/>
        </w:rPr>
        <w:t xml:space="preserve"> Cantidad de principales según clase de asuntos del 2019 al 2021 para el Tribunal Colegiado de Primera Instancia Civil Segundo Circuito Judicial de Guanacaste, Nicoya</w:t>
      </w:r>
    </w:p>
    <w:tbl>
      <w:tblPr>
        <w:tblW w:w="3631" w:type="pct"/>
        <w:jc w:val="center"/>
        <w:tblCellMar>
          <w:left w:w="70" w:type="dxa"/>
          <w:right w:w="70" w:type="dxa"/>
        </w:tblCellMar>
        <w:tblLook w:val="04A0" w:firstRow="1" w:lastRow="0" w:firstColumn="1" w:lastColumn="0" w:noHBand="0" w:noVBand="1"/>
      </w:tblPr>
      <w:tblGrid>
        <w:gridCol w:w="2796"/>
        <w:gridCol w:w="836"/>
        <w:gridCol w:w="836"/>
        <w:gridCol w:w="837"/>
        <w:gridCol w:w="1115"/>
      </w:tblGrid>
      <w:tr w:rsidR="00AD599A" w:rsidRPr="004E74A6" w14:paraId="1BA1C89D" w14:textId="77777777" w:rsidTr="001D2AFC">
        <w:trPr>
          <w:trHeight w:val="454"/>
          <w:tblHeader/>
          <w:jc w:val="center"/>
        </w:trPr>
        <w:tc>
          <w:tcPr>
            <w:tcW w:w="2178" w:type="pct"/>
            <w:tcBorders>
              <w:top w:val="single" w:sz="4" w:space="0" w:color="auto"/>
              <w:left w:val="nil"/>
              <w:bottom w:val="single" w:sz="4" w:space="0" w:color="auto"/>
              <w:right w:val="single" w:sz="4" w:space="0" w:color="auto"/>
            </w:tcBorders>
            <w:shd w:val="clear" w:color="auto" w:fill="auto"/>
            <w:noWrap/>
            <w:vAlign w:val="center"/>
            <w:hideMark/>
          </w:tcPr>
          <w:p w14:paraId="6202FF7C"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Principal</w:t>
            </w:r>
          </w:p>
        </w:tc>
        <w:tc>
          <w:tcPr>
            <w:tcW w:w="65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8101A21"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2019</w:t>
            </w:r>
          </w:p>
        </w:tc>
        <w:tc>
          <w:tcPr>
            <w:tcW w:w="65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CC734EA"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2020</w:t>
            </w:r>
          </w:p>
        </w:tc>
        <w:tc>
          <w:tcPr>
            <w:tcW w:w="65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145AF14"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2021</w:t>
            </w:r>
          </w:p>
        </w:tc>
        <w:tc>
          <w:tcPr>
            <w:tcW w:w="868" w:type="pct"/>
            <w:tcBorders>
              <w:top w:val="single" w:sz="4" w:space="0" w:color="auto"/>
              <w:left w:val="single" w:sz="4" w:space="0" w:color="auto"/>
              <w:bottom w:val="single" w:sz="4" w:space="0" w:color="auto"/>
              <w:right w:val="nil"/>
            </w:tcBorders>
            <w:shd w:val="clear" w:color="auto" w:fill="auto"/>
            <w:noWrap/>
            <w:vAlign w:val="center"/>
          </w:tcPr>
          <w:p w14:paraId="795A6356" w14:textId="4DEFE45D" w:rsidR="008647ED" w:rsidRPr="004E74A6" w:rsidRDefault="00AD599A" w:rsidP="00CE62C1">
            <w:pPr>
              <w:spacing w:line="276" w:lineRule="auto"/>
              <w:jc w:val="center"/>
              <w:rPr>
                <w:rFonts w:cs="Calibri"/>
                <w:color w:val="000000"/>
                <w:sz w:val="20"/>
                <w:lang w:eastAsia="es-CR"/>
              </w:rPr>
            </w:pPr>
            <w:r w:rsidRPr="004E74A6">
              <w:rPr>
                <w:rFonts w:cs="Calibri"/>
                <w:color w:val="000000"/>
                <w:sz w:val="20"/>
                <w:lang w:eastAsia="es-CR"/>
              </w:rPr>
              <w:t>Promedio</w:t>
            </w:r>
          </w:p>
        </w:tc>
      </w:tr>
      <w:tr w:rsidR="00AD599A" w:rsidRPr="004E74A6" w14:paraId="10739B87" w14:textId="77777777" w:rsidTr="001D2AFC">
        <w:trPr>
          <w:trHeight w:val="288"/>
          <w:jc w:val="center"/>
        </w:trPr>
        <w:tc>
          <w:tcPr>
            <w:tcW w:w="2178" w:type="pct"/>
            <w:tcBorders>
              <w:top w:val="single" w:sz="4" w:space="0" w:color="auto"/>
              <w:left w:val="nil"/>
              <w:bottom w:val="nil"/>
              <w:right w:val="single" w:sz="4" w:space="0" w:color="auto"/>
            </w:tcBorders>
            <w:shd w:val="clear" w:color="auto" w:fill="auto"/>
            <w:noWrap/>
            <w:vAlign w:val="center"/>
          </w:tcPr>
          <w:p w14:paraId="2899F7F1" w14:textId="77777777" w:rsidR="008647ED" w:rsidRPr="004E74A6" w:rsidRDefault="008647ED" w:rsidP="00CE62C1">
            <w:pPr>
              <w:spacing w:line="276" w:lineRule="auto"/>
              <w:ind w:firstLineChars="100" w:firstLine="200"/>
              <w:jc w:val="center"/>
              <w:rPr>
                <w:rFonts w:cs="Calibri"/>
                <w:color w:val="000000"/>
                <w:sz w:val="20"/>
                <w:lang w:eastAsia="es-CR"/>
              </w:rPr>
            </w:pPr>
          </w:p>
        </w:tc>
        <w:tc>
          <w:tcPr>
            <w:tcW w:w="651" w:type="pct"/>
            <w:tcBorders>
              <w:top w:val="single" w:sz="4" w:space="0" w:color="auto"/>
              <w:left w:val="single" w:sz="4" w:space="0" w:color="auto"/>
              <w:bottom w:val="nil"/>
              <w:right w:val="single" w:sz="4" w:space="0" w:color="auto"/>
            </w:tcBorders>
            <w:shd w:val="clear" w:color="auto" w:fill="auto"/>
            <w:noWrap/>
            <w:vAlign w:val="center"/>
          </w:tcPr>
          <w:p w14:paraId="35C9A847" w14:textId="77777777" w:rsidR="008647ED" w:rsidRPr="004E74A6" w:rsidRDefault="008647ED" w:rsidP="00CE62C1">
            <w:pPr>
              <w:spacing w:line="276" w:lineRule="auto"/>
              <w:jc w:val="center"/>
              <w:rPr>
                <w:rFonts w:cs="Calibri"/>
                <w:color w:val="000000"/>
                <w:sz w:val="20"/>
                <w:lang w:eastAsia="es-CR"/>
              </w:rPr>
            </w:pPr>
          </w:p>
        </w:tc>
        <w:tc>
          <w:tcPr>
            <w:tcW w:w="651" w:type="pct"/>
            <w:tcBorders>
              <w:top w:val="single" w:sz="4" w:space="0" w:color="auto"/>
              <w:left w:val="single" w:sz="4" w:space="0" w:color="auto"/>
              <w:bottom w:val="nil"/>
              <w:right w:val="single" w:sz="4" w:space="0" w:color="auto"/>
            </w:tcBorders>
            <w:shd w:val="clear" w:color="auto" w:fill="auto"/>
            <w:noWrap/>
            <w:vAlign w:val="center"/>
          </w:tcPr>
          <w:p w14:paraId="14496976" w14:textId="77777777" w:rsidR="008647ED" w:rsidRPr="004E74A6" w:rsidRDefault="008647ED" w:rsidP="00CE62C1">
            <w:pPr>
              <w:spacing w:line="276" w:lineRule="auto"/>
              <w:jc w:val="center"/>
              <w:rPr>
                <w:rFonts w:cs="Calibri"/>
                <w:color w:val="000000"/>
                <w:sz w:val="20"/>
                <w:lang w:eastAsia="es-CR"/>
              </w:rPr>
            </w:pPr>
          </w:p>
        </w:tc>
        <w:tc>
          <w:tcPr>
            <w:tcW w:w="652" w:type="pct"/>
            <w:tcBorders>
              <w:top w:val="single" w:sz="4" w:space="0" w:color="auto"/>
              <w:left w:val="single" w:sz="4" w:space="0" w:color="auto"/>
              <w:bottom w:val="nil"/>
              <w:right w:val="single" w:sz="4" w:space="0" w:color="auto"/>
            </w:tcBorders>
            <w:shd w:val="clear" w:color="auto" w:fill="auto"/>
            <w:noWrap/>
            <w:vAlign w:val="center"/>
          </w:tcPr>
          <w:p w14:paraId="5F5F9A26" w14:textId="77777777" w:rsidR="008647ED" w:rsidRPr="004E74A6" w:rsidRDefault="008647ED" w:rsidP="00CE62C1">
            <w:pPr>
              <w:spacing w:line="276" w:lineRule="auto"/>
              <w:jc w:val="center"/>
              <w:rPr>
                <w:rFonts w:cs="Calibri"/>
                <w:color w:val="000000"/>
                <w:sz w:val="20"/>
                <w:lang w:eastAsia="es-CR"/>
              </w:rPr>
            </w:pPr>
          </w:p>
        </w:tc>
        <w:tc>
          <w:tcPr>
            <w:tcW w:w="868" w:type="pct"/>
            <w:tcBorders>
              <w:top w:val="single" w:sz="4" w:space="0" w:color="auto"/>
              <w:left w:val="single" w:sz="4" w:space="0" w:color="auto"/>
              <w:bottom w:val="nil"/>
              <w:right w:val="nil"/>
            </w:tcBorders>
            <w:shd w:val="clear" w:color="auto" w:fill="auto"/>
            <w:noWrap/>
            <w:vAlign w:val="center"/>
          </w:tcPr>
          <w:p w14:paraId="71A98C2D" w14:textId="77777777" w:rsidR="008647ED" w:rsidRPr="004E74A6" w:rsidRDefault="008647ED" w:rsidP="00CE62C1">
            <w:pPr>
              <w:spacing w:line="276" w:lineRule="auto"/>
              <w:jc w:val="center"/>
              <w:rPr>
                <w:rFonts w:cs="Calibri"/>
                <w:color w:val="000000"/>
                <w:sz w:val="20"/>
                <w:lang w:eastAsia="es-CR"/>
              </w:rPr>
            </w:pPr>
          </w:p>
        </w:tc>
      </w:tr>
      <w:tr w:rsidR="001D2AFC" w:rsidRPr="004E74A6" w14:paraId="1BFE7207" w14:textId="77777777" w:rsidTr="00B32800">
        <w:trPr>
          <w:trHeight w:val="288"/>
          <w:jc w:val="center"/>
        </w:trPr>
        <w:tc>
          <w:tcPr>
            <w:tcW w:w="2178" w:type="pct"/>
            <w:tcBorders>
              <w:top w:val="nil"/>
              <w:left w:val="nil"/>
              <w:bottom w:val="nil"/>
              <w:right w:val="single" w:sz="4" w:space="0" w:color="auto"/>
            </w:tcBorders>
            <w:shd w:val="clear" w:color="auto" w:fill="auto"/>
            <w:noWrap/>
            <w:vAlign w:val="center"/>
          </w:tcPr>
          <w:p w14:paraId="3E224337" w14:textId="77777777" w:rsidR="001D2AFC" w:rsidRPr="004E74A6" w:rsidRDefault="001D2AFC" w:rsidP="00CE62C1">
            <w:pPr>
              <w:spacing w:line="276" w:lineRule="auto"/>
              <w:jc w:val="center"/>
              <w:rPr>
                <w:rFonts w:cs="Calibri"/>
                <w:color w:val="000000"/>
                <w:sz w:val="20"/>
                <w:lang w:eastAsia="es-CR"/>
              </w:rPr>
            </w:pPr>
            <w:r w:rsidRPr="004E74A6">
              <w:rPr>
                <w:rFonts w:cs="Calibri"/>
                <w:color w:val="000000"/>
                <w:sz w:val="20"/>
                <w:lang w:eastAsia="es-CR"/>
              </w:rPr>
              <w:t>Total</w:t>
            </w:r>
          </w:p>
        </w:tc>
        <w:tc>
          <w:tcPr>
            <w:tcW w:w="651" w:type="pct"/>
            <w:tcBorders>
              <w:top w:val="nil"/>
              <w:left w:val="single" w:sz="4" w:space="0" w:color="auto"/>
              <w:bottom w:val="nil"/>
              <w:right w:val="single" w:sz="4" w:space="0" w:color="auto"/>
            </w:tcBorders>
            <w:shd w:val="clear" w:color="auto" w:fill="auto"/>
            <w:noWrap/>
            <w:vAlign w:val="bottom"/>
          </w:tcPr>
          <w:p w14:paraId="43795F29" w14:textId="14A969F5" w:rsidR="001D2AFC" w:rsidRPr="004E74A6" w:rsidRDefault="001D2AFC" w:rsidP="00CE62C1">
            <w:pPr>
              <w:spacing w:line="276" w:lineRule="auto"/>
              <w:jc w:val="center"/>
              <w:rPr>
                <w:rFonts w:cs="Calibri"/>
                <w:color w:val="000000"/>
                <w:sz w:val="20"/>
                <w:lang w:eastAsia="es-CR"/>
              </w:rPr>
            </w:pPr>
            <w:r w:rsidRPr="004E74A6">
              <w:rPr>
                <w:rFonts w:cs="Calibri"/>
                <w:color w:val="000000"/>
                <w:sz w:val="20"/>
              </w:rPr>
              <w:t>126</w:t>
            </w:r>
          </w:p>
        </w:tc>
        <w:tc>
          <w:tcPr>
            <w:tcW w:w="651" w:type="pct"/>
            <w:tcBorders>
              <w:top w:val="nil"/>
              <w:left w:val="single" w:sz="4" w:space="0" w:color="auto"/>
              <w:bottom w:val="nil"/>
              <w:right w:val="single" w:sz="4" w:space="0" w:color="auto"/>
            </w:tcBorders>
            <w:shd w:val="clear" w:color="auto" w:fill="auto"/>
            <w:noWrap/>
            <w:vAlign w:val="bottom"/>
          </w:tcPr>
          <w:p w14:paraId="22447AFE" w14:textId="75C1630F" w:rsidR="001D2AFC" w:rsidRPr="004E74A6" w:rsidRDefault="001D2AFC" w:rsidP="00CE62C1">
            <w:pPr>
              <w:spacing w:line="276" w:lineRule="auto"/>
              <w:jc w:val="center"/>
              <w:rPr>
                <w:rFonts w:cs="Calibri"/>
                <w:color w:val="000000"/>
                <w:sz w:val="20"/>
                <w:lang w:eastAsia="es-CR"/>
              </w:rPr>
            </w:pPr>
            <w:r w:rsidRPr="004E74A6">
              <w:rPr>
                <w:rFonts w:cs="Calibri"/>
                <w:color w:val="000000"/>
                <w:sz w:val="20"/>
              </w:rPr>
              <w:t>112</w:t>
            </w:r>
          </w:p>
        </w:tc>
        <w:tc>
          <w:tcPr>
            <w:tcW w:w="652" w:type="pct"/>
            <w:tcBorders>
              <w:top w:val="nil"/>
              <w:left w:val="single" w:sz="4" w:space="0" w:color="auto"/>
              <w:bottom w:val="nil"/>
              <w:right w:val="single" w:sz="4" w:space="0" w:color="auto"/>
            </w:tcBorders>
            <w:shd w:val="clear" w:color="auto" w:fill="auto"/>
            <w:noWrap/>
            <w:vAlign w:val="bottom"/>
          </w:tcPr>
          <w:p w14:paraId="382F269C" w14:textId="47D29AA0" w:rsidR="001D2AFC" w:rsidRPr="004E74A6" w:rsidRDefault="001D2AFC" w:rsidP="00CE62C1">
            <w:pPr>
              <w:spacing w:line="276" w:lineRule="auto"/>
              <w:jc w:val="center"/>
              <w:rPr>
                <w:rFonts w:cs="Calibri"/>
                <w:color w:val="000000"/>
                <w:sz w:val="20"/>
                <w:lang w:eastAsia="es-CR"/>
              </w:rPr>
            </w:pPr>
            <w:r w:rsidRPr="004E74A6">
              <w:rPr>
                <w:rFonts w:cs="Calibri"/>
                <w:color w:val="000000"/>
                <w:sz w:val="20"/>
              </w:rPr>
              <w:t>130</w:t>
            </w:r>
          </w:p>
        </w:tc>
        <w:tc>
          <w:tcPr>
            <w:tcW w:w="868" w:type="pct"/>
            <w:tcBorders>
              <w:top w:val="nil"/>
              <w:left w:val="single" w:sz="4" w:space="0" w:color="auto"/>
              <w:bottom w:val="nil"/>
              <w:right w:val="nil"/>
            </w:tcBorders>
            <w:shd w:val="clear" w:color="auto" w:fill="auto"/>
            <w:noWrap/>
            <w:vAlign w:val="bottom"/>
          </w:tcPr>
          <w:p w14:paraId="03E8FB54" w14:textId="365E75FB" w:rsidR="001D2AFC" w:rsidRPr="004E74A6" w:rsidRDefault="001D2AFC" w:rsidP="00CE62C1">
            <w:pPr>
              <w:spacing w:line="276" w:lineRule="auto"/>
              <w:jc w:val="center"/>
              <w:rPr>
                <w:rFonts w:cs="Calibri"/>
                <w:color w:val="000000"/>
                <w:sz w:val="20"/>
                <w:lang w:eastAsia="es-CR"/>
              </w:rPr>
            </w:pPr>
            <w:r w:rsidRPr="004E74A6">
              <w:rPr>
                <w:rFonts w:cs="Calibri"/>
                <w:color w:val="000000"/>
                <w:sz w:val="20"/>
              </w:rPr>
              <w:t>123</w:t>
            </w:r>
          </w:p>
        </w:tc>
      </w:tr>
      <w:tr w:rsidR="00AD599A" w:rsidRPr="004E74A6" w14:paraId="37676AB0" w14:textId="77777777" w:rsidTr="001D2AFC">
        <w:trPr>
          <w:trHeight w:val="288"/>
          <w:jc w:val="center"/>
        </w:trPr>
        <w:tc>
          <w:tcPr>
            <w:tcW w:w="2178" w:type="pct"/>
            <w:tcBorders>
              <w:top w:val="nil"/>
              <w:left w:val="nil"/>
              <w:bottom w:val="nil"/>
              <w:right w:val="single" w:sz="4" w:space="0" w:color="auto"/>
            </w:tcBorders>
            <w:shd w:val="clear" w:color="auto" w:fill="auto"/>
            <w:noWrap/>
            <w:vAlign w:val="bottom"/>
          </w:tcPr>
          <w:p w14:paraId="0B6925FA" w14:textId="77777777" w:rsidR="00AD599A" w:rsidRPr="004E74A6" w:rsidRDefault="00AD599A" w:rsidP="00CE62C1">
            <w:pPr>
              <w:spacing w:line="276" w:lineRule="auto"/>
              <w:ind w:firstLineChars="100" w:firstLine="200"/>
              <w:jc w:val="left"/>
              <w:rPr>
                <w:rFonts w:cs="Calibri"/>
                <w:color w:val="000000"/>
                <w:sz w:val="20"/>
                <w:lang w:eastAsia="es-CR"/>
              </w:rPr>
            </w:pPr>
          </w:p>
        </w:tc>
        <w:tc>
          <w:tcPr>
            <w:tcW w:w="651" w:type="pct"/>
            <w:tcBorders>
              <w:top w:val="nil"/>
              <w:left w:val="single" w:sz="4" w:space="0" w:color="auto"/>
              <w:bottom w:val="nil"/>
              <w:right w:val="single" w:sz="4" w:space="0" w:color="auto"/>
            </w:tcBorders>
            <w:shd w:val="clear" w:color="auto" w:fill="auto"/>
            <w:noWrap/>
            <w:vAlign w:val="center"/>
          </w:tcPr>
          <w:p w14:paraId="5BE29A78" w14:textId="77777777" w:rsidR="00AD599A" w:rsidRPr="004E74A6" w:rsidRDefault="00AD599A" w:rsidP="00CE62C1">
            <w:pPr>
              <w:spacing w:line="276" w:lineRule="auto"/>
              <w:jc w:val="center"/>
              <w:rPr>
                <w:rFonts w:cs="Calibri"/>
                <w:color w:val="000000"/>
                <w:sz w:val="20"/>
                <w:lang w:eastAsia="es-CR"/>
              </w:rPr>
            </w:pPr>
          </w:p>
        </w:tc>
        <w:tc>
          <w:tcPr>
            <w:tcW w:w="651" w:type="pct"/>
            <w:tcBorders>
              <w:top w:val="nil"/>
              <w:left w:val="single" w:sz="4" w:space="0" w:color="auto"/>
              <w:bottom w:val="nil"/>
              <w:right w:val="single" w:sz="4" w:space="0" w:color="auto"/>
            </w:tcBorders>
            <w:shd w:val="clear" w:color="auto" w:fill="auto"/>
            <w:noWrap/>
            <w:vAlign w:val="center"/>
          </w:tcPr>
          <w:p w14:paraId="1F4CE5B5" w14:textId="77777777" w:rsidR="00AD599A" w:rsidRPr="004E74A6" w:rsidRDefault="00AD599A" w:rsidP="00CE62C1">
            <w:pPr>
              <w:spacing w:line="276" w:lineRule="auto"/>
              <w:jc w:val="center"/>
              <w:rPr>
                <w:rFonts w:cs="Calibri"/>
                <w:color w:val="000000"/>
                <w:sz w:val="20"/>
                <w:lang w:eastAsia="es-CR"/>
              </w:rPr>
            </w:pPr>
          </w:p>
        </w:tc>
        <w:tc>
          <w:tcPr>
            <w:tcW w:w="652" w:type="pct"/>
            <w:tcBorders>
              <w:top w:val="nil"/>
              <w:left w:val="single" w:sz="4" w:space="0" w:color="auto"/>
              <w:bottom w:val="nil"/>
              <w:right w:val="single" w:sz="4" w:space="0" w:color="auto"/>
            </w:tcBorders>
            <w:shd w:val="clear" w:color="auto" w:fill="auto"/>
            <w:noWrap/>
            <w:vAlign w:val="center"/>
          </w:tcPr>
          <w:p w14:paraId="64150ABF" w14:textId="77777777" w:rsidR="00AD599A" w:rsidRPr="004E74A6" w:rsidRDefault="00AD599A" w:rsidP="00CE62C1">
            <w:pPr>
              <w:spacing w:line="276" w:lineRule="auto"/>
              <w:jc w:val="center"/>
              <w:rPr>
                <w:rFonts w:cs="Calibri"/>
                <w:color w:val="000000"/>
                <w:sz w:val="20"/>
                <w:lang w:eastAsia="es-CR"/>
              </w:rPr>
            </w:pPr>
          </w:p>
        </w:tc>
        <w:tc>
          <w:tcPr>
            <w:tcW w:w="868" w:type="pct"/>
            <w:tcBorders>
              <w:top w:val="nil"/>
              <w:left w:val="single" w:sz="4" w:space="0" w:color="auto"/>
              <w:bottom w:val="nil"/>
              <w:right w:val="nil"/>
            </w:tcBorders>
            <w:shd w:val="clear" w:color="auto" w:fill="auto"/>
            <w:noWrap/>
            <w:vAlign w:val="center"/>
          </w:tcPr>
          <w:p w14:paraId="164A31DB" w14:textId="77777777" w:rsidR="00AD599A" w:rsidRPr="004E74A6" w:rsidRDefault="00AD599A" w:rsidP="00CE62C1">
            <w:pPr>
              <w:spacing w:line="276" w:lineRule="auto"/>
              <w:jc w:val="center"/>
              <w:rPr>
                <w:rFonts w:cs="Calibri"/>
                <w:color w:val="000000"/>
                <w:sz w:val="20"/>
                <w:lang w:eastAsia="es-CR"/>
              </w:rPr>
            </w:pPr>
          </w:p>
        </w:tc>
      </w:tr>
      <w:tr w:rsidR="001D2AFC" w:rsidRPr="004E74A6" w14:paraId="7FE94DF0" w14:textId="77777777" w:rsidTr="001D2AFC">
        <w:trPr>
          <w:trHeight w:val="288"/>
          <w:jc w:val="center"/>
        </w:trPr>
        <w:tc>
          <w:tcPr>
            <w:tcW w:w="2178" w:type="pct"/>
            <w:tcBorders>
              <w:top w:val="nil"/>
              <w:left w:val="nil"/>
              <w:bottom w:val="nil"/>
              <w:right w:val="single" w:sz="4" w:space="0" w:color="auto"/>
            </w:tcBorders>
            <w:shd w:val="clear" w:color="auto" w:fill="auto"/>
            <w:noWrap/>
            <w:vAlign w:val="bottom"/>
            <w:hideMark/>
          </w:tcPr>
          <w:p w14:paraId="1574AA65" w14:textId="77777777" w:rsidR="001D2AFC" w:rsidRPr="004E74A6" w:rsidRDefault="001D2AFC" w:rsidP="00CE62C1">
            <w:pPr>
              <w:spacing w:line="276" w:lineRule="auto"/>
              <w:ind w:firstLineChars="100" w:firstLine="200"/>
              <w:jc w:val="left"/>
              <w:rPr>
                <w:rFonts w:cs="Calibri"/>
                <w:color w:val="000000"/>
                <w:sz w:val="20"/>
                <w:lang w:eastAsia="es-CR"/>
              </w:rPr>
            </w:pPr>
            <w:r w:rsidRPr="004E74A6">
              <w:rPr>
                <w:rFonts w:cs="Calibri"/>
                <w:color w:val="000000"/>
                <w:sz w:val="20"/>
                <w:lang w:eastAsia="es-CR"/>
              </w:rPr>
              <w:t>Medida Cautelar</w:t>
            </w:r>
          </w:p>
        </w:tc>
        <w:tc>
          <w:tcPr>
            <w:tcW w:w="651" w:type="pct"/>
            <w:tcBorders>
              <w:top w:val="nil"/>
              <w:left w:val="single" w:sz="4" w:space="0" w:color="auto"/>
              <w:bottom w:val="nil"/>
              <w:right w:val="single" w:sz="4" w:space="0" w:color="auto"/>
            </w:tcBorders>
            <w:shd w:val="clear" w:color="auto" w:fill="auto"/>
            <w:noWrap/>
            <w:vAlign w:val="bottom"/>
            <w:hideMark/>
          </w:tcPr>
          <w:p w14:paraId="37B9B0F8" w14:textId="524150BF" w:rsidR="001D2AFC" w:rsidRPr="004E74A6" w:rsidRDefault="001D2AFC" w:rsidP="00CE62C1">
            <w:pPr>
              <w:spacing w:line="276" w:lineRule="auto"/>
              <w:jc w:val="center"/>
              <w:rPr>
                <w:rFonts w:cs="Calibri"/>
                <w:color w:val="000000"/>
                <w:sz w:val="20"/>
                <w:lang w:eastAsia="es-CR"/>
              </w:rPr>
            </w:pPr>
            <w:r w:rsidRPr="004E74A6">
              <w:rPr>
                <w:rFonts w:cs="Calibri"/>
                <w:color w:val="000000"/>
                <w:sz w:val="20"/>
              </w:rPr>
              <w:t>5</w:t>
            </w:r>
          </w:p>
        </w:tc>
        <w:tc>
          <w:tcPr>
            <w:tcW w:w="651" w:type="pct"/>
            <w:tcBorders>
              <w:top w:val="nil"/>
              <w:left w:val="single" w:sz="4" w:space="0" w:color="auto"/>
              <w:bottom w:val="nil"/>
              <w:right w:val="single" w:sz="4" w:space="0" w:color="auto"/>
            </w:tcBorders>
            <w:shd w:val="clear" w:color="auto" w:fill="auto"/>
            <w:noWrap/>
            <w:vAlign w:val="bottom"/>
            <w:hideMark/>
          </w:tcPr>
          <w:p w14:paraId="69C6F07C" w14:textId="1F405E90" w:rsidR="001D2AFC" w:rsidRPr="004E74A6" w:rsidRDefault="001D2AFC" w:rsidP="00CE62C1">
            <w:pPr>
              <w:spacing w:line="276" w:lineRule="auto"/>
              <w:jc w:val="center"/>
              <w:rPr>
                <w:rFonts w:cs="Calibri"/>
                <w:color w:val="000000"/>
                <w:sz w:val="20"/>
                <w:lang w:eastAsia="es-CR"/>
              </w:rPr>
            </w:pPr>
            <w:r w:rsidRPr="004E74A6">
              <w:rPr>
                <w:rFonts w:cs="Calibri"/>
                <w:color w:val="000000"/>
                <w:sz w:val="20"/>
              </w:rPr>
              <w:t>7</w:t>
            </w:r>
          </w:p>
        </w:tc>
        <w:tc>
          <w:tcPr>
            <w:tcW w:w="652" w:type="pct"/>
            <w:tcBorders>
              <w:top w:val="nil"/>
              <w:left w:val="single" w:sz="4" w:space="0" w:color="auto"/>
              <w:bottom w:val="nil"/>
              <w:right w:val="single" w:sz="4" w:space="0" w:color="auto"/>
            </w:tcBorders>
            <w:shd w:val="clear" w:color="auto" w:fill="auto"/>
            <w:noWrap/>
            <w:vAlign w:val="bottom"/>
            <w:hideMark/>
          </w:tcPr>
          <w:p w14:paraId="1004AF73" w14:textId="402C7821" w:rsidR="001D2AFC" w:rsidRPr="004E74A6" w:rsidRDefault="001D2AFC" w:rsidP="00CE62C1">
            <w:pPr>
              <w:spacing w:line="276" w:lineRule="auto"/>
              <w:jc w:val="center"/>
              <w:rPr>
                <w:rFonts w:cs="Calibri"/>
                <w:color w:val="000000"/>
                <w:sz w:val="20"/>
                <w:lang w:eastAsia="es-CR"/>
              </w:rPr>
            </w:pPr>
            <w:r w:rsidRPr="004E74A6">
              <w:rPr>
                <w:rFonts w:cs="Calibri"/>
                <w:color w:val="000000"/>
                <w:sz w:val="20"/>
              </w:rPr>
              <w:t>6</w:t>
            </w:r>
          </w:p>
        </w:tc>
        <w:tc>
          <w:tcPr>
            <w:tcW w:w="868" w:type="pct"/>
            <w:tcBorders>
              <w:top w:val="nil"/>
              <w:left w:val="single" w:sz="4" w:space="0" w:color="auto"/>
              <w:bottom w:val="nil"/>
              <w:right w:val="nil"/>
            </w:tcBorders>
            <w:shd w:val="clear" w:color="auto" w:fill="auto"/>
            <w:noWrap/>
            <w:vAlign w:val="bottom"/>
            <w:hideMark/>
          </w:tcPr>
          <w:p w14:paraId="1ECB7F8F" w14:textId="54F1260E" w:rsidR="001D2AFC" w:rsidRPr="004E74A6" w:rsidRDefault="001D2AFC" w:rsidP="00CE62C1">
            <w:pPr>
              <w:spacing w:line="276" w:lineRule="auto"/>
              <w:jc w:val="center"/>
              <w:rPr>
                <w:rFonts w:cs="Calibri"/>
                <w:color w:val="000000"/>
                <w:sz w:val="20"/>
                <w:lang w:eastAsia="es-CR"/>
              </w:rPr>
            </w:pPr>
            <w:r w:rsidRPr="004E74A6">
              <w:rPr>
                <w:rFonts w:cs="Calibri"/>
                <w:color w:val="000000"/>
                <w:sz w:val="20"/>
              </w:rPr>
              <w:t>6,0</w:t>
            </w:r>
          </w:p>
        </w:tc>
      </w:tr>
      <w:tr w:rsidR="001D2AFC" w:rsidRPr="004E74A6" w14:paraId="2FC071E0" w14:textId="77777777" w:rsidTr="001D2AFC">
        <w:trPr>
          <w:trHeight w:val="288"/>
          <w:jc w:val="center"/>
        </w:trPr>
        <w:tc>
          <w:tcPr>
            <w:tcW w:w="2178" w:type="pct"/>
            <w:tcBorders>
              <w:top w:val="nil"/>
              <w:left w:val="nil"/>
              <w:bottom w:val="nil"/>
              <w:right w:val="single" w:sz="4" w:space="0" w:color="auto"/>
            </w:tcBorders>
            <w:shd w:val="clear" w:color="auto" w:fill="C5E0B3" w:themeFill="accent6" w:themeFillTint="66"/>
            <w:noWrap/>
            <w:vAlign w:val="bottom"/>
            <w:hideMark/>
          </w:tcPr>
          <w:p w14:paraId="345FEAD9" w14:textId="77777777" w:rsidR="001D2AFC" w:rsidRPr="004E74A6" w:rsidRDefault="001D2AFC" w:rsidP="00CE62C1">
            <w:pPr>
              <w:spacing w:line="276" w:lineRule="auto"/>
              <w:ind w:firstLineChars="100" w:firstLine="200"/>
              <w:jc w:val="left"/>
              <w:rPr>
                <w:rFonts w:cs="Calibri"/>
                <w:color w:val="000000"/>
                <w:sz w:val="20"/>
                <w:lang w:eastAsia="es-CR"/>
              </w:rPr>
            </w:pPr>
            <w:r w:rsidRPr="004E74A6">
              <w:rPr>
                <w:rFonts w:cs="Calibri"/>
                <w:color w:val="000000"/>
                <w:sz w:val="20"/>
                <w:lang w:eastAsia="es-CR"/>
              </w:rPr>
              <w:t>Ordinario</w:t>
            </w:r>
          </w:p>
        </w:tc>
        <w:tc>
          <w:tcPr>
            <w:tcW w:w="651" w:type="pct"/>
            <w:tcBorders>
              <w:top w:val="nil"/>
              <w:left w:val="single" w:sz="4" w:space="0" w:color="auto"/>
              <w:bottom w:val="nil"/>
              <w:right w:val="single" w:sz="4" w:space="0" w:color="auto"/>
            </w:tcBorders>
            <w:shd w:val="clear" w:color="auto" w:fill="C5E0B3" w:themeFill="accent6" w:themeFillTint="66"/>
            <w:noWrap/>
            <w:vAlign w:val="bottom"/>
            <w:hideMark/>
          </w:tcPr>
          <w:p w14:paraId="5EC147A5" w14:textId="3FAC4AB4" w:rsidR="001D2AFC" w:rsidRPr="004E74A6" w:rsidRDefault="001D2AFC" w:rsidP="00CE62C1">
            <w:pPr>
              <w:spacing w:line="276" w:lineRule="auto"/>
              <w:jc w:val="center"/>
              <w:rPr>
                <w:rFonts w:cs="Calibri"/>
                <w:color w:val="000000"/>
                <w:sz w:val="20"/>
                <w:lang w:eastAsia="es-CR"/>
              </w:rPr>
            </w:pPr>
            <w:r w:rsidRPr="004E74A6">
              <w:rPr>
                <w:rFonts w:cs="Calibri"/>
                <w:color w:val="000000"/>
                <w:sz w:val="20"/>
              </w:rPr>
              <w:t>120</w:t>
            </w:r>
          </w:p>
        </w:tc>
        <w:tc>
          <w:tcPr>
            <w:tcW w:w="651" w:type="pct"/>
            <w:tcBorders>
              <w:top w:val="nil"/>
              <w:left w:val="single" w:sz="4" w:space="0" w:color="auto"/>
              <w:bottom w:val="nil"/>
              <w:right w:val="single" w:sz="4" w:space="0" w:color="auto"/>
            </w:tcBorders>
            <w:shd w:val="clear" w:color="auto" w:fill="C5E0B3" w:themeFill="accent6" w:themeFillTint="66"/>
            <w:noWrap/>
            <w:vAlign w:val="bottom"/>
            <w:hideMark/>
          </w:tcPr>
          <w:p w14:paraId="37E6635A" w14:textId="4A067BC0" w:rsidR="001D2AFC" w:rsidRPr="004E74A6" w:rsidRDefault="001D2AFC" w:rsidP="00CE62C1">
            <w:pPr>
              <w:spacing w:line="276" w:lineRule="auto"/>
              <w:jc w:val="center"/>
              <w:rPr>
                <w:rFonts w:cs="Calibri"/>
                <w:color w:val="000000"/>
                <w:sz w:val="20"/>
                <w:lang w:eastAsia="es-CR"/>
              </w:rPr>
            </w:pPr>
            <w:r w:rsidRPr="004E74A6">
              <w:rPr>
                <w:rFonts w:cs="Calibri"/>
                <w:color w:val="000000"/>
                <w:sz w:val="20"/>
              </w:rPr>
              <w:t>100</w:t>
            </w:r>
          </w:p>
        </w:tc>
        <w:tc>
          <w:tcPr>
            <w:tcW w:w="652" w:type="pct"/>
            <w:tcBorders>
              <w:top w:val="nil"/>
              <w:left w:val="single" w:sz="4" w:space="0" w:color="auto"/>
              <w:bottom w:val="nil"/>
              <w:right w:val="single" w:sz="4" w:space="0" w:color="auto"/>
            </w:tcBorders>
            <w:shd w:val="clear" w:color="auto" w:fill="C5E0B3" w:themeFill="accent6" w:themeFillTint="66"/>
            <w:noWrap/>
            <w:vAlign w:val="bottom"/>
            <w:hideMark/>
          </w:tcPr>
          <w:p w14:paraId="1C7E4871" w14:textId="5420A442" w:rsidR="001D2AFC" w:rsidRPr="004E74A6" w:rsidRDefault="001D2AFC" w:rsidP="00CE62C1">
            <w:pPr>
              <w:spacing w:line="276" w:lineRule="auto"/>
              <w:jc w:val="center"/>
              <w:rPr>
                <w:rFonts w:cs="Calibri"/>
                <w:color w:val="000000"/>
                <w:sz w:val="20"/>
                <w:lang w:eastAsia="es-CR"/>
              </w:rPr>
            </w:pPr>
            <w:r w:rsidRPr="004E74A6">
              <w:rPr>
                <w:rFonts w:cs="Calibri"/>
                <w:color w:val="000000"/>
                <w:sz w:val="20"/>
              </w:rPr>
              <w:t>120</w:t>
            </w:r>
          </w:p>
        </w:tc>
        <w:tc>
          <w:tcPr>
            <w:tcW w:w="868" w:type="pct"/>
            <w:tcBorders>
              <w:top w:val="nil"/>
              <w:left w:val="single" w:sz="4" w:space="0" w:color="auto"/>
              <w:bottom w:val="nil"/>
              <w:right w:val="nil"/>
            </w:tcBorders>
            <w:shd w:val="clear" w:color="auto" w:fill="C5E0B3" w:themeFill="accent6" w:themeFillTint="66"/>
            <w:noWrap/>
            <w:vAlign w:val="bottom"/>
            <w:hideMark/>
          </w:tcPr>
          <w:p w14:paraId="33ADDB3D" w14:textId="57C0F31C" w:rsidR="001D2AFC" w:rsidRPr="004E74A6" w:rsidRDefault="001D2AFC" w:rsidP="00CE62C1">
            <w:pPr>
              <w:spacing w:line="276" w:lineRule="auto"/>
              <w:jc w:val="center"/>
              <w:rPr>
                <w:rFonts w:cs="Calibri"/>
                <w:color w:val="000000"/>
                <w:sz w:val="20"/>
                <w:lang w:eastAsia="es-CR"/>
              </w:rPr>
            </w:pPr>
            <w:r w:rsidRPr="004E74A6">
              <w:rPr>
                <w:rFonts w:cs="Calibri"/>
                <w:color w:val="000000"/>
                <w:sz w:val="20"/>
              </w:rPr>
              <w:t>113</w:t>
            </w:r>
          </w:p>
        </w:tc>
      </w:tr>
      <w:tr w:rsidR="001D2AFC" w:rsidRPr="004E74A6" w14:paraId="7DD91554" w14:textId="77777777" w:rsidTr="001D2AFC">
        <w:trPr>
          <w:trHeight w:val="288"/>
          <w:jc w:val="center"/>
        </w:trPr>
        <w:tc>
          <w:tcPr>
            <w:tcW w:w="2178" w:type="pct"/>
            <w:tcBorders>
              <w:top w:val="nil"/>
              <w:left w:val="nil"/>
              <w:bottom w:val="nil"/>
              <w:right w:val="single" w:sz="4" w:space="0" w:color="auto"/>
            </w:tcBorders>
            <w:shd w:val="clear" w:color="auto" w:fill="auto"/>
            <w:noWrap/>
            <w:vAlign w:val="bottom"/>
            <w:hideMark/>
          </w:tcPr>
          <w:p w14:paraId="04DD797E" w14:textId="77777777" w:rsidR="001D2AFC" w:rsidRPr="004E74A6" w:rsidRDefault="001D2AFC" w:rsidP="00CE62C1">
            <w:pPr>
              <w:spacing w:line="276" w:lineRule="auto"/>
              <w:ind w:firstLineChars="100" w:firstLine="200"/>
              <w:jc w:val="left"/>
              <w:rPr>
                <w:rFonts w:cs="Calibri"/>
                <w:color w:val="000000"/>
                <w:sz w:val="20"/>
                <w:lang w:eastAsia="es-CR"/>
              </w:rPr>
            </w:pPr>
            <w:r w:rsidRPr="004E74A6">
              <w:rPr>
                <w:rFonts w:cs="Calibri"/>
                <w:color w:val="000000"/>
                <w:sz w:val="20"/>
                <w:lang w:eastAsia="es-CR"/>
              </w:rPr>
              <w:t>Procesos De Ejecución</w:t>
            </w:r>
          </w:p>
        </w:tc>
        <w:tc>
          <w:tcPr>
            <w:tcW w:w="651" w:type="pct"/>
            <w:tcBorders>
              <w:top w:val="nil"/>
              <w:left w:val="single" w:sz="4" w:space="0" w:color="auto"/>
              <w:bottom w:val="nil"/>
              <w:right w:val="single" w:sz="4" w:space="0" w:color="auto"/>
            </w:tcBorders>
            <w:shd w:val="clear" w:color="auto" w:fill="auto"/>
            <w:noWrap/>
            <w:vAlign w:val="bottom"/>
            <w:hideMark/>
          </w:tcPr>
          <w:p w14:paraId="3F8A8574" w14:textId="203B660C" w:rsidR="001D2AFC" w:rsidRPr="004E74A6" w:rsidRDefault="001D2AFC" w:rsidP="00CE62C1">
            <w:pPr>
              <w:spacing w:line="276" w:lineRule="auto"/>
              <w:jc w:val="center"/>
              <w:rPr>
                <w:sz w:val="20"/>
                <w:lang w:eastAsia="es-CR"/>
              </w:rPr>
            </w:pPr>
            <w:r w:rsidRPr="004E74A6">
              <w:rPr>
                <w:rFonts w:cs="Calibri"/>
                <w:color w:val="000000"/>
                <w:sz w:val="20"/>
              </w:rPr>
              <w:t>0</w:t>
            </w:r>
          </w:p>
        </w:tc>
        <w:tc>
          <w:tcPr>
            <w:tcW w:w="651" w:type="pct"/>
            <w:tcBorders>
              <w:top w:val="nil"/>
              <w:left w:val="single" w:sz="4" w:space="0" w:color="auto"/>
              <w:bottom w:val="nil"/>
              <w:right w:val="single" w:sz="4" w:space="0" w:color="auto"/>
            </w:tcBorders>
            <w:shd w:val="clear" w:color="auto" w:fill="auto"/>
            <w:noWrap/>
            <w:vAlign w:val="bottom"/>
            <w:hideMark/>
          </w:tcPr>
          <w:p w14:paraId="402E9333" w14:textId="5C3E79C1" w:rsidR="001D2AFC" w:rsidRPr="004E74A6" w:rsidRDefault="001D2AFC" w:rsidP="00CE62C1">
            <w:pPr>
              <w:spacing w:line="276" w:lineRule="auto"/>
              <w:jc w:val="center"/>
              <w:rPr>
                <w:rFonts w:cs="Calibri"/>
                <w:color w:val="000000"/>
                <w:sz w:val="20"/>
                <w:lang w:eastAsia="es-CR"/>
              </w:rPr>
            </w:pPr>
            <w:r w:rsidRPr="004E74A6">
              <w:rPr>
                <w:rFonts w:cs="Calibri"/>
                <w:color w:val="000000"/>
                <w:sz w:val="20"/>
              </w:rPr>
              <w:t>2</w:t>
            </w:r>
          </w:p>
        </w:tc>
        <w:tc>
          <w:tcPr>
            <w:tcW w:w="652" w:type="pct"/>
            <w:tcBorders>
              <w:top w:val="nil"/>
              <w:left w:val="single" w:sz="4" w:space="0" w:color="auto"/>
              <w:bottom w:val="nil"/>
              <w:right w:val="single" w:sz="4" w:space="0" w:color="auto"/>
            </w:tcBorders>
            <w:shd w:val="clear" w:color="auto" w:fill="auto"/>
            <w:noWrap/>
            <w:vAlign w:val="bottom"/>
            <w:hideMark/>
          </w:tcPr>
          <w:p w14:paraId="55D1E01F" w14:textId="01232720" w:rsidR="001D2AFC" w:rsidRPr="004E74A6" w:rsidRDefault="001D2AFC" w:rsidP="00CE62C1">
            <w:pPr>
              <w:spacing w:line="276" w:lineRule="auto"/>
              <w:jc w:val="center"/>
              <w:rPr>
                <w:rFonts w:cs="Calibri"/>
                <w:color w:val="000000"/>
                <w:sz w:val="20"/>
                <w:lang w:eastAsia="es-CR"/>
              </w:rPr>
            </w:pPr>
            <w:r w:rsidRPr="004E74A6">
              <w:rPr>
                <w:rFonts w:cs="Calibri"/>
                <w:color w:val="000000"/>
                <w:sz w:val="20"/>
              </w:rPr>
              <w:t>3</w:t>
            </w:r>
          </w:p>
        </w:tc>
        <w:tc>
          <w:tcPr>
            <w:tcW w:w="868" w:type="pct"/>
            <w:tcBorders>
              <w:top w:val="nil"/>
              <w:left w:val="single" w:sz="4" w:space="0" w:color="auto"/>
              <w:bottom w:val="nil"/>
              <w:right w:val="nil"/>
            </w:tcBorders>
            <w:shd w:val="clear" w:color="auto" w:fill="auto"/>
            <w:noWrap/>
            <w:vAlign w:val="bottom"/>
            <w:hideMark/>
          </w:tcPr>
          <w:p w14:paraId="6F8FE1DF" w14:textId="7AD8770C" w:rsidR="001D2AFC" w:rsidRPr="004E74A6" w:rsidRDefault="001D2AFC" w:rsidP="00CE62C1">
            <w:pPr>
              <w:spacing w:line="276" w:lineRule="auto"/>
              <w:jc w:val="center"/>
              <w:rPr>
                <w:rFonts w:cs="Calibri"/>
                <w:color w:val="000000"/>
                <w:sz w:val="20"/>
                <w:lang w:eastAsia="es-CR"/>
              </w:rPr>
            </w:pPr>
            <w:r w:rsidRPr="004E74A6">
              <w:rPr>
                <w:rFonts w:cs="Calibri"/>
                <w:color w:val="000000"/>
                <w:sz w:val="20"/>
              </w:rPr>
              <w:t>1,7</w:t>
            </w:r>
          </w:p>
        </w:tc>
      </w:tr>
      <w:tr w:rsidR="001D2AFC" w:rsidRPr="004E74A6" w14:paraId="226E6CE7" w14:textId="77777777" w:rsidTr="001D2AFC">
        <w:trPr>
          <w:trHeight w:val="288"/>
          <w:jc w:val="center"/>
        </w:trPr>
        <w:tc>
          <w:tcPr>
            <w:tcW w:w="2178" w:type="pct"/>
            <w:tcBorders>
              <w:top w:val="nil"/>
              <w:left w:val="nil"/>
              <w:bottom w:val="nil"/>
              <w:right w:val="single" w:sz="4" w:space="0" w:color="auto"/>
            </w:tcBorders>
            <w:shd w:val="clear" w:color="auto" w:fill="auto"/>
            <w:noWrap/>
            <w:vAlign w:val="bottom"/>
            <w:hideMark/>
          </w:tcPr>
          <w:p w14:paraId="0C143852" w14:textId="77777777" w:rsidR="001D2AFC" w:rsidRPr="004E74A6" w:rsidRDefault="001D2AFC" w:rsidP="00CE62C1">
            <w:pPr>
              <w:spacing w:line="276" w:lineRule="auto"/>
              <w:ind w:firstLineChars="100" w:firstLine="200"/>
              <w:jc w:val="left"/>
              <w:rPr>
                <w:rFonts w:cs="Calibri"/>
                <w:color w:val="000000"/>
                <w:sz w:val="20"/>
                <w:lang w:eastAsia="es-CR"/>
              </w:rPr>
            </w:pPr>
            <w:r w:rsidRPr="004E74A6">
              <w:rPr>
                <w:rFonts w:cs="Calibri"/>
                <w:color w:val="000000"/>
                <w:sz w:val="20"/>
                <w:lang w:eastAsia="es-CR"/>
              </w:rPr>
              <w:t>Prueba Anticipada</w:t>
            </w:r>
          </w:p>
        </w:tc>
        <w:tc>
          <w:tcPr>
            <w:tcW w:w="651" w:type="pct"/>
            <w:tcBorders>
              <w:top w:val="nil"/>
              <w:left w:val="single" w:sz="4" w:space="0" w:color="auto"/>
              <w:bottom w:val="nil"/>
              <w:right w:val="single" w:sz="4" w:space="0" w:color="auto"/>
            </w:tcBorders>
            <w:shd w:val="clear" w:color="auto" w:fill="auto"/>
            <w:noWrap/>
            <w:vAlign w:val="bottom"/>
            <w:hideMark/>
          </w:tcPr>
          <w:p w14:paraId="7EC15E8D" w14:textId="5D5BF700" w:rsidR="001D2AFC" w:rsidRPr="004E74A6" w:rsidRDefault="001D2AFC" w:rsidP="00CE62C1">
            <w:pPr>
              <w:spacing w:line="276" w:lineRule="auto"/>
              <w:jc w:val="center"/>
              <w:rPr>
                <w:sz w:val="20"/>
                <w:lang w:eastAsia="es-CR"/>
              </w:rPr>
            </w:pPr>
            <w:r w:rsidRPr="004E74A6">
              <w:rPr>
                <w:rFonts w:cs="Calibri"/>
                <w:color w:val="000000"/>
                <w:sz w:val="20"/>
              </w:rPr>
              <w:t>0</w:t>
            </w:r>
          </w:p>
        </w:tc>
        <w:tc>
          <w:tcPr>
            <w:tcW w:w="651" w:type="pct"/>
            <w:tcBorders>
              <w:top w:val="nil"/>
              <w:left w:val="single" w:sz="4" w:space="0" w:color="auto"/>
              <w:bottom w:val="nil"/>
              <w:right w:val="single" w:sz="4" w:space="0" w:color="auto"/>
            </w:tcBorders>
            <w:shd w:val="clear" w:color="auto" w:fill="auto"/>
            <w:noWrap/>
            <w:vAlign w:val="bottom"/>
            <w:hideMark/>
          </w:tcPr>
          <w:p w14:paraId="5B555356" w14:textId="565822D7" w:rsidR="001D2AFC" w:rsidRPr="004E74A6" w:rsidRDefault="001D2AFC" w:rsidP="00CE62C1">
            <w:pPr>
              <w:spacing w:line="276" w:lineRule="auto"/>
              <w:jc w:val="center"/>
              <w:rPr>
                <w:rFonts w:cs="Calibri"/>
                <w:color w:val="000000"/>
                <w:sz w:val="20"/>
                <w:lang w:eastAsia="es-CR"/>
              </w:rPr>
            </w:pPr>
            <w:r w:rsidRPr="004E74A6">
              <w:rPr>
                <w:rFonts w:cs="Calibri"/>
                <w:color w:val="000000"/>
                <w:sz w:val="20"/>
              </w:rPr>
              <w:t>3</w:t>
            </w:r>
          </w:p>
        </w:tc>
        <w:tc>
          <w:tcPr>
            <w:tcW w:w="652" w:type="pct"/>
            <w:tcBorders>
              <w:top w:val="nil"/>
              <w:left w:val="single" w:sz="4" w:space="0" w:color="auto"/>
              <w:bottom w:val="nil"/>
              <w:right w:val="single" w:sz="4" w:space="0" w:color="auto"/>
            </w:tcBorders>
            <w:shd w:val="clear" w:color="auto" w:fill="auto"/>
            <w:noWrap/>
            <w:vAlign w:val="bottom"/>
            <w:hideMark/>
          </w:tcPr>
          <w:p w14:paraId="736AFDDB" w14:textId="67401F1E" w:rsidR="001D2AFC" w:rsidRPr="004E74A6" w:rsidRDefault="001D2AFC" w:rsidP="00CE62C1">
            <w:pPr>
              <w:spacing w:line="276" w:lineRule="auto"/>
              <w:jc w:val="center"/>
              <w:rPr>
                <w:rFonts w:cs="Calibri"/>
                <w:color w:val="000000"/>
                <w:sz w:val="20"/>
                <w:lang w:eastAsia="es-CR"/>
              </w:rPr>
            </w:pPr>
            <w:r w:rsidRPr="004E74A6">
              <w:rPr>
                <w:rFonts w:cs="Calibri"/>
                <w:color w:val="000000"/>
                <w:sz w:val="20"/>
              </w:rPr>
              <w:t>1</w:t>
            </w:r>
          </w:p>
        </w:tc>
        <w:tc>
          <w:tcPr>
            <w:tcW w:w="868" w:type="pct"/>
            <w:tcBorders>
              <w:top w:val="nil"/>
              <w:left w:val="single" w:sz="4" w:space="0" w:color="auto"/>
              <w:bottom w:val="nil"/>
              <w:right w:val="nil"/>
            </w:tcBorders>
            <w:shd w:val="clear" w:color="auto" w:fill="auto"/>
            <w:noWrap/>
            <w:vAlign w:val="bottom"/>
            <w:hideMark/>
          </w:tcPr>
          <w:p w14:paraId="6A999ECF" w14:textId="0DA768FD" w:rsidR="001D2AFC" w:rsidRPr="004E74A6" w:rsidRDefault="001D2AFC" w:rsidP="00CE62C1">
            <w:pPr>
              <w:spacing w:line="276" w:lineRule="auto"/>
              <w:jc w:val="center"/>
              <w:rPr>
                <w:rFonts w:cs="Calibri"/>
                <w:color w:val="000000"/>
                <w:sz w:val="20"/>
                <w:lang w:eastAsia="es-CR"/>
              </w:rPr>
            </w:pPr>
            <w:r w:rsidRPr="004E74A6">
              <w:rPr>
                <w:rFonts w:cs="Calibri"/>
                <w:color w:val="000000"/>
                <w:sz w:val="20"/>
              </w:rPr>
              <w:t>1,3</w:t>
            </w:r>
          </w:p>
        </w:tc>
      </w:tr>
      <w:tr w:rsidR="001D2AFC" w:rsidRPr="004E74A6" w14:paraId="5D3B26B2" w14:textId="77777777" w:rsidTr="001D2AFC">
        <w:trPr>
          <w:trHeight w:val="288"/>
          <w:jc w:val="center"/>
        </w:trPr>
        <w:tc>
          <w:tcPr>
            <w:tcW w:w="2178" w:type="pct"/>
            <w:tcBorders>
              <w:top w:val="nil"/>
              <w:left w:val="nil"/>
              <w:right w:val="single" w:sz="4" w:space="0" w:color="auto"/>
            </w:tcBorders>
            <w:shd w:val="clear" w:color="auto" w:fill="auto"/>
            <w:noWrap/>
            <w:vAlign w:val="bottom"/>
            <w:hideMark/>
          </w:tcPr>
          <w:p w14:paraId="01549D82" w14:textId="77777777" w:rsidR="001D2AFC" w:rsidRPr="004E74A6" w:rsidRDefault="001D2AFC" w:rsidP="00CE62C1">
            <w:pPr>
              <w:spacing w:line="276" w:lineRule="auto"/>
              <w:ind w:firstLineChars="100" w:firstLine="200"/>
              <w:jc w:val="left"/>
              <w:rPr>
                <w:rFonts w:cs="Calibri"/>
                <w:color w:val="000000"/>
                <w:sz w:val="20"/>
                <w:lang w:eastAsia="es-CR"/>
              </w:rPr>
            </w:pPr>
            <w:r w:rsidRPr="004E74A6">
              <w:rPr>
                <w:rFonts w:cs="Calibri"/>
                <w:color w:val="000000"/>
                <w:sz w:val="20"/>
                <w:lang w:eastAsia="es-CR"/>
              </w:rPr>
              <w:t>Sucesorio</w:t>
            </w:r>
          </w:p>
        </w:tc>
        <w:tc>
          <w:tcPr>
            <w:tcW w:w="651" w:type="pct"/>
            <w:tcBorders>
              <w:top w:val="nil"/>
              <w:left w:val="single" w:sz="4" w:space="0" w:color="auto"/>
              <w:right w:val="single" w:sz="4" w:space="0" w:color="auto"/>
            </w:tcBorders>
            <w:shd w:val="clear" w:color="auto" w:fill="auto"/>
            <w:noWrap/>
            <w:vAlign w:val="bottom"/>
            <w:hideMark/>
          </w:tcPr>
          <w:p w14:paraId="262B318F" w14:textId="6A49FE83" w:rsidR="001D2AFC" w:rsidRPr="004E74A6" w:rsidRDefault="001D2AFC" w:rsidP="00CE62C1">
            <w:pPr>
              <w:spacing w:line="276" w:lineRule="auto"/>
              <w:jc w:val="center"/>
              <w:rPr>
                <w:rFonts w:cs="Calibri"/>
                <w:color w:val="000000"/>
                <w:sz w:val="20"/>
                <w:lang w:eastAsia="es-CR"/>
              </w:rPr>
            </w:pPr>
            <w:r w:rsidRPr="004E74A6">
              <w:rPr>
                <w:rFonts w:cs="Calibri"/>
                <w:color w:val="000000"/>
                <w:sz w:val="20"/>
              </w:rPr>
              <w:t>1</w:t>
            </w:r>
          </w:p>
        </w:tc>
        <w:tc>
          <w:tcPr>
            <w:tcW w:w="651" w:type="pct"/>
            <w:tcBorders>
              <w:top w:val="nil"/>
              <w:left w:val="single" w:sz="4" w:space="0" w:color="auto"/>
              <w:right w:val="single" w:sz="4" w:space="0" w:color="auto"/>
            </w:tcBorders>
            <w:shd w:val="clear" w:color="auto" w:fill="auto"/>
            <w:noWrap/>
            <w:vAlign w:val="bottom"/>
            <w:hideMark/>
          </w:tcPr>
          <w:p w14:paraId="621910AB" w14:textId="33B5CC85" w:rsidR="001D2AFC" w:rsidRPr="004E74A6" w:rsidRDefault="001D2AFC" w:rsidP="00CE62C1">
            <w:pPr>
              <w:spacing w:line="276" w:lineRule="auto"/>
              <w:jc w:val="center"/>
              <w:rPr>
                <w:rFonts w:cs="Calibri"/>
                <w:color w:val="000000"/>
                <w:sz w:val="20"/>
                <w:lang w:eastAsia="es-CR"/>
              </w:rPr>
            </w:pPr>
            <w:r w:rsidRPr="004E74A6">
              <w:rPr>
                <w:rFonts w:cs="Calibri"/>
                <w:color w:val="000000"/>
                <w:sz w:val="20"/>
              </w:rPr>
              <w:t>0</w:t>
            </w:r>
          </w:p>
        </w:tc>
        <w:tc>
          <w:tcPr>
            <w:tcW w:w="652" w:type="pct"/>
            <w:tcBorders>
              <w:top w:val="nil"/>
              <w:left w:val="single" w:sz="4" w:space="0" w:color="auto"/>
              <w:right w:val="single" w:sz="4" w:space="0" w:color="auto"/>
            </w:tcBorders>
            <w:shd w:val="clear" w:color="auto" w:fill="auto"/>
            <w:noWrap/>
            <w:vAlign w:val="bottom"/>
            <w:hideMark/>
          </w:tcPr>
          <w:p w14:paraId="76A14DAB" w14:textId="6073D77E" w:rsidR="001D2AFC" w:rsidRPr="004E74A6" w:rsidRDefault="001D2AFC" w:rsidP="00CE62C1">
            <w:pPr>
              <w:spacing w:line="276" w:lineRule="auto"/>
              <w:jc w:val="center"/>
              <w:rPr>
                <w:sz w:val="20"/>
                <w:lang w:eastAsia="es-CR"/>
              </w:rPr>
            </w:pPr>
            <w:r w:rsidRPr="004E74A6">
              <w:rPr>
                <w:rFonts w:cs="Calibri"/>
                <w:color w:val="000000"/>
                <w:sz w:val="20"/>
              </w:rPr>
              <w:t>0</w:t>
            </w:r>
          </w:p>
        </w:tc>
        <w:tc>
          <w:tcPr>
            <w:tcW w:w="868" w:type="pct"/>
            <w:tcBorders>
              <w:top w:val="nil"/>
              <w:left w:val="single" w:sz="4" w:space="0" w:color="auto"/>
              <w:right w:val="nil"/>
            </w:tcBorders>
            <w:shd w:val="clear" w:color="auto" w:fill="auto"/>
            <w:noWrap/>
            <w:vAlign w:val="bottom"/>
            <w:hideMark/>
          </w:tcPr>
          <w:p w14:paraId="252D7DAD" w14:textId="55A050C2" w:rsidR="001D2AFC" w:rsidRPr="004E74A6" w:rsidRDefault="001D2AFC" w:rsidP="00CE62C1">
            <w:pPr>
              <w:spacing w:line="276" w:lineRule="auto"/>
              <w:jc w:val="center"/>
              <w:rPr>
                <w:rFonts w:cs="Calibri"/>
                <w:color w:val="000000"/>
                <w:sz w:val="20"/>
                <w:lang w:eastAsia="es-CR"/>
              </w:rPr>
            </w:pPr>
            <w:r w:rsidRPr="004E74A6">
              <w:rPr>
                <w:rFonts w:cs="Calibri"/>
                <w:color w:val="000000"/>
                <w:sz w:val="20"/>
              </w:rPr>
              <w:t>0,3</w:t>
            </w:r>
          </w:p>
        </w:tc>
      </w:tr>
      <w:tr w:rsidR="00AD599A" w:rsidRPr="004E74A6" w14:paraId="320F9DE6" w14:textId="77777777" w:rsidTr="001D2AFC">
        <w:trPr>
          <w:trHeight w:val="288"/>
          <w:jc w:val="center"/>
        </w:trPr>
        <w:tc>
          <w:tcPr>
            <w:tcW w:w="2178" w:type="pct"/>
            <w:tcBorders>
              <w:top w:val="nil"/>
              <w:left w:val="nil"/>
              <w:bottom w:val="single" w:sz="4" w:space="0" w:color="auto"/>
              <w:right w:val="single" w:sz="4" w:space="0" w:color="auto"/>
            </w:tcBorders>
            <w:shd w:val="clear" w:color="auto" w:fill="auto"/>
            <w:noWrap/>
            <w:vAlign w:val="bottom"/>
          </w:tcPr>
          <w:p w14:paraId="41485421" w14:textId="77777777" w:rsidR="008647ED" w:rsidRPr="004E74A6" w:rsidRDefault="008647ED" w:rsidP="00CE62C1">
            <w:pPr>
              <w:spacing w:line="276" w:lineRule="auto"/>
              <w:ind w:firstLineChars="100" w:firstLine="200"/>
              <w:jc w:val="left"/>
              <w:rPr>
                <w:rFonts w:cs="Calibri"/>
                <w:color w:val="000000"/>
                <w:sz w:val="20"/>
                <w:lang w:eastAsia="es-CR"/>
              </w:rPr>
            </w:pPr>
          </w:p>
        </w:tc>
        <w:tc>
          <w:tcPr>
            <w:tcW w:w="651" w:type="pct"/>
            <w:tcBorders>
              <w:top w:val="nil"/>
              <w:left w:val="single" w:sz="4" w:space="0" w:color="auto"/>
              <w:bottom w:val="single" w:sz="4" w:space="0" w:color="auto"/>
              <w:right w:val="single" w:sz="4" w:space="0" w:color="auto"/>
            </w:tcBorders>
            <w:shd w:val="clear" w:color="auto" w:fill="auto"/>
            <w:noWrap/>
            <w:vAlign w:val="center"/>
          </w:tcPr>
          <w:p w14:paraId="0ED04B2F" w14:textId="77777777" w:rsidR="008647ED" w:rsidRPr="004E74A6" w:rsidRDefault="008647ED" w:rsidP="00CE62C1">
            <w:pPr>
              <w:spacing w:line="276" w:lineRule="auto"/>
              <w:jc w:val="center"/>
              <w:rPr>
                <w:rFonts w:cs="Calibri"/>
                <w:color w:val="000000"/>
                <w:sz w:val="20"/>
                <w:lang w:eastAsia="es-CR"/>
              </w:rPr>
            </w:pPr>
          </w:p>
        </w:tc>
        <w:tc>
          <w:tcPr>
            <w:tcW w:w="651" w:type="pct"/>
            <w:tcBorders>
              <w:top w:val="nil"/>
              <w:left w:val="single" w:sz="4" w:space="0" w:color="auto"/>
              <w:bottom w:val="single" w:sz="4" w:space="0" w:color="auto"/>
              <w:right w:val="single" w:sz="4" w:space="0" w:color="auto"/>
            </w:tcBorders>
            <w:shd w:val="clear" w:color="auto" w:fill="auto"/>
            <w:noWrap/>
            <w:vAlign w:val="center"/>
          </w:tcPr>
          <w:p w14:paraId="67E111B4" w14:textId="77777777" w:rsidR="008647ED" w:rsidRPr="004E74A6" w:rsidRDefault="008647ED" w:rsidP="00CE62C1">
            <w:pPr>
              <w:spacing w:line="276" w:lineRule="auto"/>
              <w:jc w:val="center"/>
              <w:rPr>
                <w:rFonts w:cs="Calibri"/>
                <w:color w:val="000000"/>
                <w:sz w:val="20"/>
                <w:lang w:eastAsia="es-CR"/>
              </w:rPr>
            </w:pPr>
          </w:p>
        </w:tc>
        <w:tc>
          <w:tcPr>
            <w:tcW w:w="652" w:type="pct"/>
            <w:tcBorders>
              <w:top w:val="nil"/>
              <w:left w:val="single" w:sz="4" w:space="0" w:color="auto"/>
              <w:bottom w:val="single" w:sz="4" w:space="0" w:color="auto"/>
              <w:right w:val="single" w:sz="4" w:space="0" w:color="auto"/>
            </w:tcBorders>
            <w:shd w:val="clear" w:color="auto" w:fill="auto"/>
            <w:noWrap/>
            <w:vAlign w:val="center"/>
          </w:tcPr>
          <w:p w14:paraId="4071191B" w14:textId="77777777" w:rsidR="008647ED" w:rsidRPr="004E74A6" w:rsidRDefault="008647ED" w:rsidP="00CE62C1">
            <w:pPr>
              <w:spacing w:line="276" w:lineRule="auto"/>
              <w:jc w:val="center"/>
              <w:rPr>
                <w:sz w:val="20"/>
                <w:lang w:eastAsia="es-CR"/>
              </w:rPr>
            </w:pPr>
          </w:p>
        </w:tc>
        <w:tc>
          <w:tcPr>
            <w:tcW w:w="868" w:type="pct"/>
            <w:tcBorders>
              <w:top w:val="nil"/>
              <w:left w:val="single" w:sz="4" w:space="0" w:color="auto"/>
              <w:bottom w:val="single" w:sz="4" w:space="0" w:color="auto"/>
              <w:right w:val="nil"/>
            </w:tcBorders>
            <w:shd w:val="clear" w:color="auto" w:fill="auto"/>
            <w:noWrap/>
            <w:vAlign w:val="center"/>
          </w:tcPr>
          <w:p w14:paraId="4DDCFE2B" w14:textId="77777777" w:rsidR="008647ED" w:rsidRPr="004E74A6" w:rsidRDefault="008647ED" w:rsidP="00CE62C1">
            <w:pPr>
              <w:spacing w:line="276" w:lineRule="auto"/>
              <w:jc w:val="center"/>
              <w:rPr>
                <w:rFonts w:cs="Calibri"/>
                <w:color w:val="000000"/>
                <w:sz w:val="20"/>
                <w:lang w:eastAsia="es-CR"/>
              </w:rPr>
            </w:pPr>
          </w:p>
        </w:tc>
      </w:tr>
    </w:tbl>
    <w:p w14:paraId="458EF33B" w14:textId="113E82C1" w:rsidR="003E4755" w:rsidRPr="004E74A6" w:rsidRDefault="003E4755" w:rsidP="00832773">
      <w:pPr>
        <w:spacing w:line="276" w:lineRule="auto"/>
        <w:ind w:left="1191" w:right="1191"/>
        <w:rPr>
          <w:rFonts w:cs="Calibri"/>
          <w:i/>
          <w:iCs/>
          <w:color w:val="000000"/>
          <w:sz w:val="20"/>
          <w:lang w:eastAsia="es-CR"/>
        </w:rPr>
      </w:pPr>
      <w:r w:rsidRPr="004E74A6">
        <w:rPr>
          <w:rFonts w:cs="Calibri"/>
          <w:b/>
          <w:bCs/>
          <w:i/>
          <w:iCs/>
          <w:color w:val="000000"/>
          <w:sz w:val="20"/>
          <w:lang w:eastAsia="es-CR"/>
        </w:rPr>
        <w:t>Fuente</w:t>
      </w:r>
      <w:r w:rsidRPr="004E74A6">
        <w:rPr>
          <w:rFonts w:cs="Calibri"/>
          <w:i/>
          <w:iCs/>
          <w:color w:val="000000"/>
          <w:sz w:val="20"/>
          <w:lang w:eastAsia="es-CR"/>
        </w:rPr>
        <w:t>: Subproceso de Modernización Institucional con datos extraídos del sistema SIGMA, Dirección de Planificación.</w:t>
      </w:r>
    </w:p>
    <w:p w14:paraId="54100849" w14:textId="1E6FEA01" w:rsidR="00AD599A" w:rsidRPr="004E74A6" w:rsidRDefault="00AD599A" w:rsidP="00832773">
      <w:pPr>
        <w:spacing w:line="276" w:lineRule="auto"/>
        <w:rPr>
          <w:rFonts w:cs="Calibri"/>
          <w:i/>
          <w:iCs/>
          <w:color w:val="000000"/>
          <w:sz w:val="20"/>
          <w:lang w:eastAsia="es-CR"/>
        </w:rPr>
      </w:pPr>
    </w:p>
    <w:p w14:paraId="1C295813" w14:textId="77777777" w:rsidR="008647ED" w:rsidRPr="004E74A6" w:rsidRDefault="008647ED" w:rsidP="00CE62C1">
      <w:pPr>
        <w:spacing w:after="160" w:line="276" w:lineRule="auto"/>
        <w:rPr>
          <w:rFonts w:cs="Calibri"/>
          <w:color w:val="000000"/>
          <w:szCs w:val="24"/>
          <w:lang w:eastAsia="es-CR"/>
        </w:rPr>
      </w:pPr>
    </w:p>
    <w:p w14:paraId="02952F0F" w14:textId="79B3FBFF" w:rsidR="001D2AFC" w:rsidRPr="004E74A6" w:rsidRDefault="001D2AFC" w:rsidP="00CE62C1">
      <w:pPr>
        <w:spacing w:after="160" w:line="276" w:lineRule="auto"/>
        <w:rPr>
          <w:rFonts w:cs="Calibri"/>
          <w:color w:val="000000"/>
          <w:szCs w:val="24"/>
          <w:lang w:eastAsia="es-CR"/>
        </w:rPr>
      </w:pPr>
      <w:r w:rsidRPr="004E74A6">
        <w:rPr>
          <w:rFonts w:cs="Calibri"/>
          <w:color w:val="000000"/>
          <w:szCs w:val="24"/>
          <w:lang w:eastAsia="es-CR"/>
        </w:rPr>
        <w:t>Con un mayor detalle es posible observar que dentro de la clase de asunto ordinario, los procedimientos ordinarios son la mayoría con el 95% de los asuntos. Como se observa de los 113 registros, solo 112 tienen el procedimiento correcto, ya que según la fórmula estadística la clase “</w:t>
      </w:r>
      <w:r w:rsidRPr="004E74A6">
        <w:rPr>
          <w:rFonts w:cs="Calibri"/>
          <w:i/>
          <w:iCs/>
          <w:color w:val="000000"/>
          <w:szCs w:val="24"/>
          <w:lang w:eastAsia="es-CR"/>
        </w:rPr>
        <w:t>ordinario</w:t>
      </w:r>
      <w:r w:rsidRPr="004E74A6">
        <w:rPr>
          <w:rFonts w:cs="Calibri"/>
          <w:color w:val="000000"/>
          <w:szCs w:val="24"/>
          <w:lang w:eastAsia="es-CR"/>
        </w:rPr>
        <w:t>” solamente tiene como procedimiento asociado “</w:t>
      </w:r>
      <w:r w:rsidRPr="004E74A6">
        <w:rPr>
          <w:rFonts w:cs="Calibri"/>
          <w:i/>
          <w:iCs/>
          <w:color w:val="000000"/>
          <w:szCs w:val="24"/>
          <w:lang w:eastAsia="es-CR"/>
        </w:rPr>
        <w:t>ordinario</w:t>
      </w:r>
      <w:r w:rsidRPr="004E74A6">
        <w:rPr>
          <w:rFonts w:cs="Calibri"/>
          <w:color w:val="000000"/>
          <w:szCs w:val="24"/>
          <w:lang w:eastAsia="es-CR"/>
        </w:rPr>
        <w:t xml:space="preserve">”. </w:t>
      </w:r>
    </w:p>
    <w:p w14:paraId="65D52B21" w14:textId="0EB83623" w:rsidR="00F0204A" w:rsidRDefault="00F0204A" w:rsidP="00CE62C1">
      <w:pPr>
        <w:spacing w:after="160" w:line="276" w:lineRule="auto"/>
        <w:rPr>
          <w:rFonts w:cs="Calibri"/>
          <w:color w:val="000000"/>
          <w:szCs w:val="24"/>
          <w:lang w:eastAsia="es-CR"/>
        </w:rPr>
      </w:pPr>
    </w:p>
    <w:p w14:paraId="4C019596" w14:textId="73D47029" w:rsidR="00193D21" w:rsidRDefault="00193D21" w:rsidP="00CE62C1">
      <w:pPr>
        <w:spacing w:after="160" w:line="276" w:lineRule="auto"/>
        <w:rPr>
          <w:rFonts w:cs="Calibri"/>
          <w:color w:val="000000"/>
          <w:szCs w:val="24"/>
          <w:lang w:eastAsia="es-CR"/>
        </w:rPr>
      </w:pPr>
    </w:p>
    <w:p w14:paraId="37DFB87A" w14:textId="1CB4E33C" w:rsidR="00193D21" w:rsidRDefault="00193D21" w:rsidP="00CE62C1">
      <w:pPr>
        <w:spacing w:after="160" w:line="276" w:lineRule="auto"/>
        <w:rPr>
          <w:rFonts w:cs="Calibri"/>
          <w:color w:val="000000"/>
          <w:szCs w:val="24"/>
          <w:lang w:eastAsia="es-CR"/>
        </w:rPr>
      </w:pPr>
    </w:p>
    <w:p w14:paraId="627E3023" w14:textId="1E09A986" w:rsidR="00193D21" w:rsidRDefault="00193D21" w:rsidP="00CE62C1">
      <w:pPr>
        <w:spacing w:after="160" w:line="276" w:lineRule="auto"/>
        <w:rPr>
          <w:rFonts w:cs="Calibri"/>
          <w:color w:val="000000"/>
          <w:szCs w:val="24"/>
          <w:lang w:eastAsia="es-CR"/>
        </w:rPr>
      </w:pPr>
    </w:p>
    <w:p w14:paraId="73B9485A" w14:textId="26199A42" w:rsidR="00193D21" w:rsidRDefault="00193D21" w:rsidP="00CE62C1">
      <w:pPr>
        <w:spacing w:after="160" w:line="276" w:lineRule="auto"/>
        <w:rPr>
          <w:rFonts w:cs="Calibri"/>
          <w:color w:val="000000"/>
          <w:szCs w:val="24"/>
          <w:lang w:eastAsia="es-CR"/>
        </w:rPr>
      </w:pPr>
    </w:p>
    <w:p w14:paraId="3F3FAFAB" w14:textId="0942F6DC" w:rsidR="00193D21" w:rsidRDefault="00193D21" w:rsidP="00CE62C1">
      <w:pPr>
        <w:spacing w:after="160" w:line="276" w:lineRule="auto"/>
        <w:rPr>
          <w:rFonts w:cs="Calibri"/>
          <w:color w:val="000000"/>
          <w:szCs w:val="24"/>
          <w:lang w:eastAsia="es-CR"/>
        </w:rPr>
      </w:pPr>
    </w:p>
    <w:p w14:paraId="69051130" w14:textId="02715248" w:rsidR="00193D21" w:rsidRDefault="00193D21" w:rsidP="00CE62C1">
      <w:pPr>
        <w:spacing w:after="160" w:line="276" w:lineRule="auto"/>
        <w:rPr>
          <w:rFonts w:cs="Calibri"/>
          <w:color w:val="000000"/>
          <w:szCs w:val="24"/>
          <w:lang w:eastAsia="es-CR"/>
        </w:rPr>
      </w:pPr>
    </w:p>
    <w:p w14:paraId="506E4097" w14:textId="77777777" w:rsidR="00193D21" w:rsidRPr="004E74A6" w:rsidRDefault="00193D21" w:rsidP="00CE62C1">
      <w:pPr>
        <w:spacing w:after="160" w:line="276" w:lineRule="auto"/>
        <w:rPr>
          <w:rFonts w:cs="Calibri"/>
          <w:color w:val="000000"/>
          <w:szCs w:val="24"/>
          <w:lang w:eastAsia="es-CR"/>
        </w:rPr>
      </w:pPr>
    </w:p>
    <w:p w14:paraId="3C912623" w14:textId="4ED1209B" w:rsidR="00AD599A" w:rsidRPr="00832773" w:rsidRDefault="00AD599A" w:rsidP="00F0204A">
      <w:pPr>
        <w:pStyle w:val="Descripcin"/>
        <w:keepNext/>
        <w:spacing w:line="276" w:lineRule="auto"/>
        <w:jc w:val="center"/>
        <w:rPr>
          <w:rFonts w:ascii="Book Antiqua" w:hAnsi="Book Antiqua"/>
          <w:i/>
          <w:iCs/>
          <w:sz w:val="20"/>
          <w:szCs w:val="16"/>
          <w:lang w:val="es-CR"/>
        </w:rPr>
      </w:pPr>
      <w:r w:rsidRPr="00832773">
        <w:rPr>
          <w:rFonts w:ascii="Book Antiqua" w:hAnsi="Book Antiqua"/>
          <w:i/>
          <w:iCs/>
          <w:sz w:val="20"/>
          <w:szCs w:val="16"/>
          <w:lang w:val="es-CR"/>
        </w:rPr>
        <w:lastRenderedPageBreak/>
        <w:t xml:space="preserve">Tabla </w:t>
      </w:r>
      <w:r w:rsidRPr="00832773">
        <w:rPr>
          <w:rFonts w:ascii="Book Antiqua" w:hAnsi="Book Antiqua"/>
          <w:i/>
          <w:iCs/>
          <w:sz w:val="20"/>
          <w:szCs w:val="16"/>
          <w:lang w:val="es-CR"/>
        </w:rPr>
        <w:fldChar w:fldCharType="begin"/>
      </w:r>
      <w:r w:rsidRPr="00832773">
        <w:rPr>
          <w:rFonts w:ascii="Book Antiqua" w:hAnsi="Book Antiqua"/>
          <w:i/>
          <w:iCs/>
          <w:sz w:val="20"/>
          <w:szCs w:val="16"/>
          <w:lang w:val="es-CR"/>
        </w:rPr>
        <w:instrText xml:space="preserve"> SEQ Tabla \* ARABIC </w:instrText>
      </w:r>
      <w:r w:rsidRPr="00832773">
        <w:rPr>
          <w:rFonts w:ascii="Book Antiqua" w:hAnsi="Book Antiqua"/>
          <w:i/>
          <w:iCs/>
          <w:sz w:val="20"/>
          <w:szCs w:val="16"/>
          <w:lang w:val="es-CR"/>
        </w:rPr>
        <w:fldChar w:fldCharType="separate"/>
      </w:r>
      <w:r w:rsidR="00374B51">
        <w:rPr>
          <w:rFonts w:ascii="Book Antiqua" w:hAnsi="Book Antiqua"/>
          <w:i/>
          <w:iCs/>
          <w:noProof/>
          <w:sz w:val="20"/>
          <w:szCs w:val="16"/>
          <w:lang w:val="es-CR"/>
        </w:rPr>
        <w:t>35</w:t>
      </w:r>
      <w:r w:rsidRPr="00832773">
        <w:rPr>
          <w:rFonts w:ascii="Book Antiqua" w:hAnsi="Book Antiqua"/>
          <w:i/>
          <w:iCs/>
          <w:sz w:val="20"/>
          <w:szCs w:val="16"/>
          <w:lang w:val="es-CR"/>
        </w:rPr>
        <w:fldChar w:fldCharType="end"/>
      </w:r>
      <w:r w:rsidRPr="00832773">
        <w:rPr>
          <w:rFonts w:ascii="Book Antiqua" w:hAnsi="Book Antiqua"/>
          <w:i/>
          <w:iCs/>
          <w:sz w:val="20"/>
          <w:szCs w:val="16"/>
          <w:lang w:val="es-CR"/>
        </w:rPr>
        <w:t xml:space="preserve"> Cantidad de asuntos ordinarios según procedimiento del 2019 al 2021 para el Tribunal Colegiado de Primera Instancia Civil Segundo Circuito Judicial de Guanacaste, Nicoya</w:t>
      </w:r>
    </w:p>
    <w:tbl>
      <w:tblPr>
        <w:tblW w:w="4421" w:type="pct"/>
        <w:jc w:val="center"/>
        <w:tblCellMar>
          <w:left w:w="70" w:type="dxa"/>
          <w:right w:w="70" w:type="dxa"/>
        </w:tblCellMar>
        <w:tblLook w:val="04A0" w:firstRow="1" w:lastRow="0" w:firstColumn="1" w:lastColumn="0" w:noHBand="0" w:noVBand="1"/>
      </w:tblPr>
      <w:tblGrid>
        <w:gridCol w:w="4190"/>
        <w:gridCol w:w="839"/>
        <w:gridCol w:w="835"/>
        <w:gridCol w:w="836"/>
        <w:gridCol w:w="1116"/>
      </w:tblGrid>
      <w:tr w:rsidR="00AD599A" w:rsidRPr="004E74A6" w14:paraId="3C44D1C9" w14:textId="77777777" w:rsidTr="00904DCA">
        <w:trPr>
          <w:trHeight w:val="454"/>
          <w:tblHeader/>
          <w:jc w:val="center"/>
        </w:trPr>
        <w:tc>
          <w:tcPr>
            <w:tcW w:w="2680" w:type="pct"/>
            <w:tcBorders>
              <w:top w:val="single" w:sz="4" w:space="0" w:color="auto"/>
              <w:left w:val="nil"/>
              <w:bottom w:val="single" w:sz="4" w:space="0" w:color="auto"/>
              <w:right w:val="single" w:sz="4" w:space="0" w:color="auto"/>
            </w:tcBorders>
            <w:shd w:val="clear" w:color="auto" w:fill="auto"/>
            <w:noWrap/>
            <w:vAlign w:val="center"/>
            <w:hideMark/>
          </w:tcPr>
          <w:p w14:paraId="089C3171"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Ordinario</w:t>
            </w:r>
          </w:p>
        </w:tc>
        <w:tc>
          <w:tcPr>
            <w:tcW w:w="53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B216974"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2019</w:t>
            </w:r>
          </w:p>
        </w:tc>
        <w:tc>
          <w:tcPr>
            <w:tcW w:w="5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BD78A30"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2020</w:t>
            </w:r>
          </w:p>
        </w:tc>
        <w:tc>
          <w:tcPr>
            <w:tcW w:w="53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6DD47CE"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2021</w:t>
            </w:r>
          </w:p>
        </w:tc>
        <w:tc>
          <w:tcPr>
            <w:tcW w:w="714" w:type="pct"/>
            <w:tcBorders>
              <w:top w:val="single" w:sz="4" w:space="0" w:color="auto"/>
              <w:left w:val="single" w:sz="4" w:space="0" w:color="auto"/>
              <w:bottom w:val="single" w:sz="4" w:space="0" w:color="auto"/>
              <w:right w:val="nil"/>
            </w:tcBorders>
            <w:shd w:val="clear" w:color="auto" w:fill="auto"/>
            <w:noWrap/>
            <w:vAlign w:val="center"/>
          </w:tcPr>
          <w:p w14:paraId="421860C2" w14:textId="49438681" w:rsidR="008647ED" w:rsidRPr="004E74A6" w:rsidRDefault="00AD599A" w:rsidP="00CE62C1">
            <w:pPr>
              <w:spacing w:line="276" w:lineRule="auto"/>
              <w:jc w:val="center"/>
              <w:rPr>
                <w:rFonts w:cs="Calibri"/>
                <w:color w:val="000000"/>
                <w:sz w:val="20"/>
                <w:lang w:eastAsia="es-CR"/>
              </w:rPr>
            </w:pPr>
            <w:r w:rsidRPr="004E74A6">
              <w:rPr>
                <w:rFonts w:cs="Calibri"/>
                <w:color w:val="000000"/>
                <w:sz w:val="20"/>
                <w:lang w:eastAsia="es-CR"/>
              </w:rPr>
              <w:t>Promedio</w:t>
            </w:r>
          </w:p>
        </w:tc>
      </w:tr>
      <w:tr w:rsidR="00AD599A" w:rsidRPr="004E74A6" w14:paraId="3F8C976E" w14:textId="77777777" w:rsidTr="00AD599A">
        <w:trPr>
          <w:trHeight w:val="288"/>
          <w:tblHeader/>
          <w:jc w:val="center"/>
        </w:trPr>
        <w:tc>
          <w:tcPr>
            <w:tcW w:w="2680" w:type="pct"/>
            <w:tcBorders>
              <w:top w:val="single" w:sz="4" w:space="0" w:color="auto"/>
              <w:left w:val="nil"/>
              <w:bottom w:val="nil"/>
              <w:right w:val="single" w:sz="4" w:space="0" w:color="auto"/>
            </w:tcBorders>
            <w:shd w:val="clear" w:color="auto" w:fill="auto"/>
            <w:noWrap/>
            <w:vAlign w:val="center"/>
          </w:tcPr>
          <w:p w14:paraId="3730E7A8" w14:textId="77777777" w:rsidR="008647ED" w:rsidRPr="004E74A6" w:rsidRDefault="008647ED" w:rsidP="00CE62C1">
            <w:pPr>
              <w:spacing w:line="276" w:lineRule="auto"/>
              <w:ind w:firstLineChars="200" w:firstLine="400"/>
              <w:jc w:val="center"/>
              <w:rPr>
                <w:rFonts w:cs="Calibri"/>
                <w:color w:val="000000"/>
                <w:sz w:val="20"/>
                <w:lang w:eastAsia="es-CR"/>
              </w:rPr>
            </w:pPr>
          </w:p>
        </w:tc>
        <w:tc>
          <w:tcPr>
            <w:tcW w:w="537" w:type="pct"/>
            <w:tcBorders>
              <w:top w:val="single" w:sz="4" w:space="0" w:color="auto"/>
              <w:left w:val="single" w:sz="4" w:space="0" w:color="auto"/>
              <w:bottom w:val="nil"/>
              <w:right w:val="single" w:sz="4" w:space="0" w:color="auto"/>
            </w:tcBorders>
            <w:shd w:val="clear" w:color="auto" w:fill="auto"/>
            <w:noWrap/>
            <w:vAlign w:val="center"/>
          </w:tcPr>
          <w:p w14:paraId="6A33F77D" w14:textId="77777777" w:rsidR="008647ED" w:rsidRPr="004E74A6" w:rsidRDefault="008647ED" w:rsidP="00CE62C1">
            <w:pPr>
              <w:spacing w:line="276" w:lineRule="auto"/>
              <w:jc w:val="center"/>
              <w:rPr>
                <w:sz w:val="20"/>
                <w:lang w:eastAsia="es-CR"/>
              </w:rPr>
            </w:pPr>
          </w:p>
        </w:tc>
        <w:tc>
          <w:tcPr>
            <w:tcW w:w="534" w:type="pct"/>
            <w:tcBorders>
              <w:top w:val="single" w:sz="4" w:space="0" w:color="auto"/>
              <w:left w:val="single" w:sz="4" w:space="0" w:color="auto"/>
              <w:bottom w:val="nil"/>
              <w:right w:val="single" w:sz="4" w:space="0" w:color="auto"/>
            </w:tcBorders>
            <w:shd w:val="clear" w:color="auto" w:fill="auto"/>
            <w:noWrap/>
            <w:vAlign w:val="center"/>
          </w:tcPr>
          <w:p w14:paraId="66AA5FFB" w14:textId="77777777" w:rsidR="008647ED" w:rsidRPr="004E74A6" w:rsidRDefault="008647ED" w:rsidP="00CE62C1">
            <w:pPr>
              <w:spacing w:line="276" w:lineRule="auto"/>
              <w:jc w:val="center"/>
              <w:rPr>
                <w:sz w:val="20"/>
                <w:lang w:eastAsia="es-CR"/>
              </w:rPr>
            </w:pPr>
          </w:p>
        </w:tc>
        <w:tc>
          <w:tcPr>
            <w:tcW w:w="535" w:type="pct"/>
            <w:tcBorders>
              <w:top w:val="single" w:sz="4" w:space="0" w:color="auto"/>
              <w:left w:val="single" w:sz="4" w:space="0" w:color="auto"/>
              <w:bottom w:val="nil"/>
              <w:right w:val="single" w:sz="4" w:space="0" w:color="auto"/>
            </w:tcBorders>
            <w:shd w:val="clear" w:color="auto" w:fill="auto"/>
            <w:noWrap/>
            <w:vAlign w:val="center"/>
          </w:tcPr>
          <w:p w14:paraId="31311DC4" w14:textId="77777777" w:rsidR="008647ED" w:rsidRPr="004E74A6" w:rsidRDefault="008647ED" w:rsidP="00CE62C1">
            <w:pPr>
              <w:spacing w:line="276" w:lineRule="auto"/>
              <w:jc w:val="center"/>
              <w:rPr>
                <w:rFonts w:cs="Calibri"/>
                <w:color w:val="000000"/>
                <w:sz w:val="20"/>
                <w:lang w:eastAsia="es-CR"/>
              </w:rPr>
            </w:pPr>
          </w:p>
        </w:tc>
        <w:tc>
          <w:tcPr>
            <w:tcW w:w="714" w:type="pct"/>
            <w:tcBorders>
              <w:top w:val="single" w:sz="4" w:space="0" w:color="auto"/>
              <w:left w:val="single" w:sz="4" w:space="0" w:color="auto"/>
              <w:bottom w:val="nil"/>
              <w:right w:val="nil"/>
            </w:tcBorders>
            <w:shd w:val="clear" w:color="auto" w:fill="auto"/>
            <w:noWrap/>
            <w:vAlign w:val="center"/>
          </w:tcPr>
          <w:p w14:paraId="444FAC2A" w14:textId="77777777" w:rsidR="008647ED" w:rsidRPr="004E74A6" w:rsidRDefault="008647ED" w:rsidP="00CE62C1">
            <w:pPr>
              <w:spacing w:line="276" w:lineRule="auto"/>
              <w:jc w:val="center"/>
              <w:rPr>
                <w:rFonts w:cs="Calibri"/>
                <w:color w:val="000000"/>
                <w:sz w:val="20"/>
                <w:lang w:eastAsia="es-CR"/>
              </w:rPr>
            </w:pPr>
          </w:p>
        </w:tc>
      </w:tr>
      <w:tr w:rsidR="001D2AFC" w:rsidRPr="004E74A6" w14:paraId="3BFB3FC3" w14:textId="77777777" w:rsidTr="00B32800">
        <w:trPr>
          <w:trHeight w:val="288"/>
          <w:tblHeader/>
          <w:jc w:val="center"/>
        </w:trPr>
        <w:tc>
          <w:tcPr>
            <w:tcW w:w="2680" w:type="pct"/>
            <w:tcBorders>
              <w:top w:val="nil"/>
              <w:left w:val="nil"/>
              <w:bottom w:val="nil"/>
              <w:right w:val="single" w:sz="4" w:space="0" w:color="auto"/>
            </w:tcBorders>
            <w:shd w:val="clear" w:color="auto" w:fill="auto"/>
            <w:noWrap/>
            <w:vAlign w:val="center"/>
          </w:tcPr>
          <w:p w14:paraId="0F9A3E71" w14:textId="77777777" w:rsidR="001D2AFC" w:rsidRPr="004E74A6" w:rsidRDefault="001D2AFC" w:rsidP="00CE62C1">
            <w:pPr>
              <w:spacing w:line="276" w:lineRule="auto"/>
              <w:jc w:val="center"/>
              <w:rPr>
                <w:rFonts w:cs="Calibri"/>
                <w:color w:val="000000"/>
                <w:sz w:val="20"/>
                <w:lang w:eastAsia="es-CR"/>
              </w:rPr>
            </w:pPr>
            <w:r w:rsidRPr="004E74A6">
              <w:rPr>
                <w:rFonts w:cs="Calibri"/>
                <w:color w:val="000000"/>
                <w:sz w:val="20"/>
                <w:lang w:eastAsia="es-CR"/>
              </w:rPr>
              <w:t>Total</w:t>
            </w:r>
          </w:p>
        </w:tc>
        <w:tc>
          <w:tcPr>
            <w:tcW w:w="537" w:type="pct"/>
            <w:tcBorders>
              <w:top w:val="nil"/>
              <w:left w:val="single" w:sz="4" w:space="0" w:color="auto"/>
              <w:bottom w:val="nil"/>
              <w:right w:val="single" w:sz="4" w:space="0" w:color="auto"/>
            </w:tcBorders>
            <w:shd w:val="clear" w:color="auto" w:fill="auto"/>
            <w:noWrap/>
            <w:vAlign w:val="bottom"/>
          </w:tcPr>
          <w:p w14:paraId="2B5A229C" w14:textId="7E387E91" w:rsidR="001D2AFC" w:rsidRPr="004E74A6" w:rsidRDefault="001D2AFC" w:rsidP="00CE62C1">
            <w:pPr>
              <w:spacing w:line="276" w:lineRule="auto"/>
              <w:jc w:val="center"/>
              <w:rPr>
                <w:sz w:val="20"/>
                <w:lang w:eastAsia="es-CR"/>
              </w:rPr>
            </w:pPr>
            <w:r w:rsidRPr="004E74A6">
              <w:rPr>
                <w:rFonts w:cs="Calibri"/>
                <w:color w:val="000000"/>
                <w:sz w:val="20"/>
              </w:rPr>
              <w:t>120</w:t>
            </w:r>
          </w:p>
        </w:tc>
        <w:tc>
          <w:tcPr>
            <w:tcW w:w="534" w:type="pct"/>
            <w:tcBorders>
              <w:top w:val="nil"/>
              <w:left w:val="single" w:sz="4" w:space="0" w:color="auto"/>
              <w:bottom w:val="nil"/>
              <w:right w:val="single" w:sz="4" w:space="0" w:color="auto"/>
            </w:tcBorders>
            <w:shd w:val="clear" w:color="auto" w:fill="auto"/>
            <w:noWrap/>
            <w:vAlign w:val="bottom"/>
          </w:tcPr>
          <w:p w14:paraId="3BEE7EEF" w14:textId="6EBAD5A4" w:rsidR="001D2AFC" w:rsidRPr="004E74A6" w:rsidRDefault="001D2AFC" w:rsidP="00CE62C1">
            <w:pPr>
              <w:spacing w:line="276" w:lineRule="auto"/>
              <w:jc w:val="center"/>
              <w:rPr>
                <w:sz w:val="20"/>
                <w:lang w:eastAsia="es-CR"/>
              </w:rPr>
            </w:pPr>
            <w:r w:rsidRPr="004E74A6">
              <w:rPr>
                <w:rFonts w:cs="Calibri"/>
                <w:color w:val="000000"/>
                <w:sz w:val="20"/>
              </w:rPr>
              <w:t>100</w:t>
            </w:r>
          </w:p>
        </w:tc>
        <w:tc>
          <w:tcPr>
            <w:tcW w:w="535" w:type="pct"/>
            <w:tcBorders>
              <w:top w:val="nil"/>
              <w:left w:val="single" w:sz="4" w:space="0" w:color="auto"/>
              <w:bottom w:val="nil"/>
              <w:right w:val="single" w:sz="4" w:space="0" w:color="auto"/>
            </w:tcBorders>
            <w:shd w:val="clear" w:color="auto" w:fill="auto"/>
            <w:noWrap/>
            <w:vAlign w:val="bottom"/>
          </w:tcPr>
          <w:p w14:paraId="47885C82" w14:textId="525F7ED3" w:rsidR="001D2AFC" w:rsidRPr="004E74A6" w:rsidRDefault="001D2AFC" w:rsidP="00CE62C1">
            <w:pPr>
              <w:spacing w:line="276" w:lineRule="auto"/>
              <w:jc w:val="center"/>
              <w:rPr>
                <w:rFonts w:cs="Calibri"/>
                <w:color w:val="000000"/>
                <w:sz w:val="20"/>
                <w:lang w:eastAsia="es-CR"/>
              </w:rPr>
            </w:pPr>
            <w:r w:rsidRPr="004E74A6">
              <w:rPr>
                <w:rFonts w:cs="Calibri"/>
                <w:color w:val="000000"/>
                <w:sz w:val="20"/>
              </w:rPr>
              <w:t>120</w:t>
            </w:r>
          </w:p>
        </w:tc>
        <w:tc>
          <w:tcPr>
            <w:tcW w:w="714" w:type="pct"/>
            <w:tcBorders>
              <w:top w:val="nil"/>
              <w:left w:val="single" w:sz="4" w:space="0" w:color="auto"/>
              <w:bottom w:val="nil"/>
              <w:right w:val="nil"/>
            </w:tcBorders>
            <w:shd w:val="clear" w:color="auto" w:fill="auto"/>
            <w:noWrap/>
            <w:vAlign w:val="bottom"/>
          </w:tcPr>
          <w:p w14:paraId="5551BE38" w14:textId="44A6C778" w:rsidR="001D2AFC" w:rsidRPr="004E74A6" w:rsidRDefault="001D2AFC" w:rsidP="00CE62C1">
            <w:pPr>
              <w:spacing w:line="276" w:lineRule="auto"/>
              <w:jc w:val="center"/>
              <w:rPr>
                <w:rFonts w:cs="Calibri"/>
                <w:color w:val="000000"/>
                <w:sz w:val="20"/>
                <w:lang w:eastAsia="es-CR"/>
              </w:rPr>
            </w:pPr>
            <w:r w:rsidRPr="004E74A6">
              <w:rPr>
                <w:rFonts w:cs="Calibri"/>
                <w:color w:val="000000"/>
                <w:sz w:val="20"/>
              </w:rPr>
              <w:t>113</w:t>
            </w:r>
          </w:p>
        </w:tc>
      </w:tr>
      <w:tr w:rsidR="00AD599A" w:rsidRPr="004E74A6" w14:paraId="316597B9" w14:textId="77777777" w:rsidTr="00AD599A">
        <w:trPr>
          <w:trHeight w:val="288"/>
          <w:tblHeader/>
          <w:jc w:val="center"/>
        </w:trPr>
        <w:tc>
          <w:tcPr>
            <w:tcW w:w="2680" w:type="pct"/>
            <w:tcBorders>
              <w:top w:val="nil"/>
              <w:left w:val="nil"/>
              <w:bottom w:val="nil"/>
              <w:right w:val="single" w:sz="4" w:space="0" w:color="auto"/>
            </w:tcBorders>
            <w:shd w:val="clear" w:color="auto" w:fill="auto"/>
            <w:noWrap/>
            <w:vAlign w:val="bottom"/>
          </w:tcPr>
          <w:p w14:paraId="30C9F861" w14:textId="77777777" w:rsidR="00AD599A" w:rsidRPr="004E74A6" w:rsidRDefault="00AD599A" w:rsidP="00CE62C1">
            <w:pPr>
              <w:spacing w:line="276" w:lineRule="auto"/>
              <w:ind w:firstLineChars="200" w:firstLine="400"/>
              <w:jc w:val="left"/>
              <w:rPr>
                <w:rFonts w:cs="Calibri"/>
                <w:color w:val="000000"/>
                <w:sz w:val="20"/>
                <w:lang w:eastAsia="es-CR"/>
              </w:rPr>
            </w:pPr>
          </w:p>
        </w:tc>
        <w:tc>
          <w:tcPr>
            <w:tcW w:w="537" w:type="pct"/>
            <w:tcBorders>
              <w:top w:val="nil"/>
              <w:left w:val="single" w:sz="4" w:space="0" w:color="auto"/>
              <w:bottom w:val="nil"/>
              <w:right w:val="single" w:sz="4" w:space="0" w:color="auto"/>
            </w:tcBorders>
            <w:shd w:val="clear" w:color="auto" w:fill="auto"/>
            <w:noWrap/>
            <w:vAlign w:val="center"/>
          </w:tcPr>
          <w:p w14:paraId="4F4A613A" w14:textId="77777777" w:rsidR="00AD599A" w:rsidRPr="004E74A6" w:rsidRDefault="00AD599A" w:rsidP="00CE62C1">
            <w:pPr>
              <w:spacing w:line="276" w:lineRule="auto"/>
              <w:jc w:val="center"/>
              <w:rPr>
                <w:sz w:val="20"/>
                <w:lang w:eastAsia="es-CR"/>
              </w:rPr>
            </w:pPr>
          </w:p>
        </w:tc>
        <w:tc>
          <w:tcPr>
            <w:tcW w:w="534" w:type="pct"/>
            <w:tcBorders>
              <w:top w:val="nil"/>
              <w:left w:val="single" w:sz="4" w:space="0" w:color="auto"/>
              <w:bottom w:val="nil"/>
              <w:right w:val="single" w:sz="4" w:space="0" w:color="auto"/>
            </w:tcBorders>
            <w:shd w:val="clear" w:color="auto" w:fill="auto"/>
            <w:noWrap/>
            <w:vAlign w:val="center"/>
          </w:tcPr>
          <w:p w14:paraId="7380CC8D" w14:textId="77777777" w:rsidR="00AD599A" w:rsidRPr="004E74A6" w:rsidRDefault="00AD599A" w:rsidP="00CE62C1">
            <w:pPr>
              <w:spacing w:line="276" w:lineRule="auto"/>
              <w:jc w:val="center"/>
              <w:rPr>
                <w:sz w:val="20"/>
                <w:lang w:eastAsia="es-CR"/>
              </w:rPr>
            </w:pPr>
          </w:p>
        </w:tc>
        <w:tc>
          <w:tcPr>
            <w:tcW w:w="535" w:type="pct"/>
            <w:tcBorders>
              <w:top w:val="nil"/>
              <w:left w:val="single" w:sz="4" w:space="0" w:color="auto"/>
              <w:bottom w:val="nil"/>
              <w:right w:val="single" w:sz="4" w:space="0" w:color="auto"/>
            </w:tcBorders>
            <w:shd w:val="clear" w:color="auto" w:fill="auto"/>
            <w:noWrap/>
            <w:vAlign w:val="center"/>
          </w:tcPr>
          <w:p w14:paraId="2F343F4D" w14:textId="77777777" w:rsidR="00AD599A" w:rsidRPr="004E74A6" w:rsidRDefault="00AD599A" w:rsidP="00CE62C1">
            <w:pPr>
              <w:spacing w:line="276" w:lineRule="auto"/>
              <w:jc w:val="center"/>
              <w:rPr>
                <w:rFonts w:cs="Calibri"/>
                <w:color w:val="000000"/>
                <w:sz w:val="20"/>
                <w:lang w:eastAsia="es-CR"/>
              </w:rPr>
            </w:pPr>
          </w:p>
        </w:tc>
        <w:tc>
          <w:tcPr>
            <w:tcW w:w="714" w:type="pct"/>
            <w:tcBorders>
              <w:top w:val="nil"/>
              <w:left w:val="single" w:sz="4" w:space="0" w:color="auto"/>
              <w:bottom w:val="nil"/>
              <w:right w:val="nil"/>
            </w:tcBorders>
            <w:shd w:val="clear" w:color="auto" w:fill="auto"/>
            <w:noWrap/>
            <w:vAlign w:val="center"/>
          </w:tcPr>
          <w:p w14:paraId="026D2D0A" w14:textId="77777777" w:rsidR="00AD599A" w:rsidRPr="004E74A6" w:rsidRDefault="00AD599A" w:rsidP="00CE62C1">
            <w:pPr>
              <w:spacing w:line="276" w:lineRule="auto"/>
              <w:jc w:val="center"/>
              <w:rPr>
                <w:rFonts w:cs="Calibri"/>
                <w:color w:val="000000"/>
                <w:sz w:val="20"/>
                <w:lang w:eastAsia="es-CR"/>
              </w:rPr>
            </w:pPr>
          </w:p>
        </w:tc>
      </w:tr>
      <w:tr w:rsidR="001D2AFC" w:rsidRPr="004E74A6" w14:paraId="540FD27E" w14:textId="77777777" w:rsidTr="00B32800">
        <w:trPr>
          <w:trHeight w:val="288"/>
          <w:tblHeader/>
          <w:jc w:val="center"/>
        </w:trPr>
        <w:tc>
          <w:tcPr>
            <w:tcW w:w="2680" w:type="pct"/>
            <w:tcBorders>
              <w:top w:val="nil"/>
              <w:left w:val="nil"/>
              <w:bottom w:val="nil"/>
              <w:right w:val="single" w:sz="4" w:space="0" w:color="auto"/>
            </w:tcBorders>
            <w:shd w:val="clear" w:color="auto" w:fill="auto"/>
            <w:noWrap/>
            <w:vAlign w:val="bottom"/>
            <w:hideMark/>
          </w:tcPr>
          <w:p w14:paraId="0180495D" w14:textId="77777777" w:rsidR="001D2AFC" w:rsidRPr="004E74A6" w:rsidRDefault="001D2AFC" w:rsidP="00CE62C1">
            <w:pPr>
              <w:spacing w:line="276" w:lineRule="auto"/>
              <w:ind w:firstLineChars="200" w:firstLine="400"/>
              <w:jc w:val="left"/>
              <w:rPr>
                <w:rFonts w:cs="Calibri"/>
                <w:color w:val="000000"/>
                <w:sz w:val="20"/>
                <w:lang w:eastAsia="es-CR"/>
              </w:rPr>
            </w:pPr>
            <w:r w:rsidRPr="004E74A6">
              <w:rPr>
                <w:rFonts w:cs="Calibri"/>
                <w:color w:val="000000"/>
                <w:sz w:val="20"/>
                <w:lang w:eastAsia="es-CR"/>
              </w:rPr>
              <w:t>Apertura y comprobación de testamento</w:t>
            </w:r>
          </w:p>
        </w:tc>
        <w:tc>
          <w:tcPr>
            <w:tcW w:w="537" w:type="pct"/>
            <w:tcBorders>
              <w:top w:val="nil"/>
              <w:left w:val="single" w:sz="4" w:space="0" w:color="auto"/>
              <w:bottom w:val="nil"/>
              <w:right w:val="single" w:sz="4" w:space="0" w:color="auto"/>
            </w:tcBorders>
            <w:shd w:val="clear" w:color="auto" w:fill="auto"/>
            <w:noWrap/>
            <w:vAlign w:val="bottom"/>
            <w:hideMark/>
          </w:tcPr>
          <w:p w14:paraId="318B1322" w14:textId="05BC3B8D" w:rsidR="001D2AFC" w:rsidRPr="004E74A6" w:rsidRDefault="001D2AFC" w:rsidP="00CE62C1">
            <w:pPr>
              <w:spacing w:line="276" w:lineRule="auto"/>
              <w:jc w:val="center"/>
              <w:rPr>
                <w:rFonts w:cs="Calibri"/>
                <w:color w:val="000000"/>
                <w:sz w:val="20"/>
                <w:lang w:eastAsia="es-CR"/>
              </w:rPr>
            </w:pPr>
            <w:r w:rsidRPr="004E74A6">
              <w:rPr>
                <w:rFonts w:cs="Calibri"/>
                <w:color w:val="000000"/>
                <w:sz w:val="20"/>
              </w:rPr>
              <w:t>1</w:t>
            </w:r>
          </w:p>
        </w:tc>
        <w:tc>
          <w:tcPr>
            <w:tcW w:w="534" w:type="pct"/>
            <w:tcBorders>
              <w:top w:val="nil"/>
              <w:left w:val="single" w:sz="4" w:space="0" w:color="auto"/>
              <w:bottom w:val="nil"/>
              <w:right w:val="single" w:sz="4" w:space="0" w:color="auto"/>
            </w:tcBorders>
            <w:shd w:val="clear" w:color="auto" w:fill="auto"/>
            <w:noWrap/>
            <w:vAlign w:val="bottom"/>
            <w:hideMark/>
          </w:tcPr>
          <w:p w14:paraId="3F69C87C" w14:textId="77ECEB16" w:rsidR="001D2AFC" w:rsidRPr="004E74A6" w:rsidRDefault="001D2AFC" w:rsidP="00CE62C1">
            <w:pPr>
              <w:spacing w:line="276" w:lineRule="auto"/>
              <w:jc w:val="center"/>
              <w:rPr>
                <w:rFonts w:cs="Calibri"/>
                <w:color w:val="000000"/>
                <w:sz w:val="20"/>
                <w:lang w:eastAsia="es-CR"/>
              </w:rPr>
            </w:pPr>
            <w:r w:rsidRPr="004E74A6">
              <w:rPr>
                <w:rFonts w:cs="Calibri"/>
                <w:color w:val="000000"/>
                <w:sz w:val="20"/>
              </w:rPr>
              <w:t>0</w:t>
            </w:r>
          </w:p>
        </w:tc>
        <w:tc>
          <w:tcPr>
            <w:tcW w:w="535" w:type="pct"/>
            <w:tcBorders>
              <w:top w:val="nil"/>
              <w:left w:val="single" w:sz="4" w:space="0" w:color="auto"/>
              <w:bottom w:val="nil"/>
              <w:right w:val="single" w:sz="4" w:space="0" w:color="auto"/>
            </w:tcBorders>
            <w:shd w:val="clear" w:color="auto" w:fill="auto"/>
            <w:noWrap/>
            <w:vAlign w:val="bottom"/>
            <w:hideMark/>
          </w:tcPr>
          <w:p w14:paraId="583D06D0" w14:textId="417B1E1E" w:rsidR="001D2AFC" w:rsidRPr="004E74A6" w:rsidRDefault="001D2AFC" w:rsidP="00CE62C1">
            <w:pPr>
              <w:spacing w:line="276" w:lineRule="auto"/>
              <w:jc w:val="center"/>
              <w:rPr>
                <w:sz w:val="20"/>
                <w:lang w:eastAsia="es-CR"/>
              </w:rPr>
            </w:pPr>
            <w:r w:rsidRPr="004E74A6">
              <w:rPr>
                <w:rFonts w:cs="Calibri"/>
                <w:color w:val="000000"/>
                <w:sz w:val="20"/>
              </w:rPr>
              <w:t>0</w:t>
            </w:r>
          </w:p>
        </w:tc>
        <w:tc>
          <w:tcPr>
            <w:tcW w:w="714" w:type="pct"/>
            <w:tcBorders>
              <w:top w:val="nil"/>
              <w:left w:val="single" w:sz="4" w:space="0" w:color="auto"/>
              <w:bottom w:val="nil"/>
              <w:right w:val="nil"/>
            </w:tcBorders>
            <w:shd w:val="clear" w:color="auto" w:fill="auto"/>
            <w:noWrap/>
            <w:vAlign w:val="bottom"/>
            <w:hideMark/>
          </w:tcPr>
          <w:p w14:paraId="383B3FEA" w14:textId="33E0CFA3" w:rsidR="001D2AFC" w:rsidRPr="004E74A6" w:rsidRDefault="001D2AFC" w:rsidP="00CE62C1">
            <w:pPr>
              <w:spacing w:line="276" w:lineRule="auto"/>
              <w:jc w:val="center"/>
              <w:rPr>
                <w:rFonts w:cs="Calibri"/>
                <w:color w:val="000000"/>
                <w:sz w:val="20"/>
                <w:lang w:eastAsia="es-CR"/>
              </w:rPr>
            </w:pPr>
            <w:r w:rsidRPr="004E74A6">
              <w:rPr>
                <w:rFonts w:cs="Calibri"/>
                <w:color w:val="000000"/>
                <w:sz w:val="20"/>
              </w:rPr>
              <w:t>0,3</w:t>
            </w:r>
          </w:p>
        </w:tc>
      </w:tr>
      <w:tr w:rsidR="001D2AFC" w:rsidRPr="004E74A6" w14:paraId="68B40BF5" w14:textId="77777777" w:rsidTr="00B32800">
        <w:trPr>
          <w:trHeight w:val="288"/>
          <w:tblHeader/>
          <w:jc w:val="center"/>
        </w:trPr>
        <w:tc>
          <w:tcPr>
            <w:tcW w:w="2680" w:type="pct"/>
            <w:tcBorders>
              <w:top w:val="nil"/>
              <w:left w:val="nil"/>
              <w:bottom w:val="nil"/>
              <w:right w:val="single" w:sz="4" w:space="0" w:color="auto"/>
            </w:tcBorders>
            <w:shd w:val="clear" w:color="auto" w:fill="auto"/>
            <w:noWrap/>
            <w:vAlign w:val="bottom"/>
            <w:hideMark/>
          </w:tcPr>
          <w:p w14:paraId="7E0B077B" w14:textId="77777777" w:rsidR="001D2AFC" w:rsidRPr="004E74A6" w:rsidRDefault="001D2AFC" w:rsidP="00CE62C1">
            <w:pPr>
              <w:spacing w:line="276" w:lineRule="auto"/>
              <w:ind w:firstLineChars="200" w:firstLine="400"/>
              <w:jc w:val="left"/>
              <w:rPr>
                <w:rFonts w:cs="Calibri"/>
                <w:color w:val="000000"/>
                <w:sz w:val="20"/>
                <w:lang w:eastAsia="es-CR"/>
              </w:rPr>
            </w:pPr>
            <w:r w:rsidRPr="004E74A6">
              <w:rPr>
                <w:rFonts w:cs="Calibri"/>
                <w:color w:val="000000"/>
                <w:sz w:val="20"/>
                <w:lang w:eastAsia="es-CR"/>
              </w:rPr>
              <w:t>Embargo preventivo</w:t>
            </w:r>
          </w:p>
        </w:tc>
        <w:tc>
          <w:tcPr>
            <w:tcW w:w="537" w:type="pct"/>
            <w:tcBorders>
              <w:top w:val="nil"/>
              <w:left w:val="single" w:sz="4" w:space="0" w:color="auto"/>
              <w:bottom w:val="nil"/>
              <w:right w:val="single" w:sz="4" w:space="0" w:color="auto"/>
            </w:tcBorders>
            <w:shd w:val="clear" w:color="auto" w:fill="auto"/>
            <w:noWrap/>
            <w:vAlign w:val="bottom"/>
            <w:hideMark/>
          </w:tcPr>
          <w:p w14:paraId="082B067A" w14:textId="21FB44FB" w:rsidR="001D2AFC" w:rsidRPr="004E74A6" w:rsidRDefault="001D2AFC" w:rsidP="00CE62C1">
            <w:pPr>
              <w:spacing w:line="276" w:lineRule="auto"/>
              <w:jc w:val="center"/>
              <w:rPr>
                <w:sz w:val="20"/>
                <w:lang w:eastAsia="es-CR"/>
              </w:rPr>
            </w:pPr>
            <w:r w:rsidRPr="004E74A6">
              <w:rPr>
                <w:rFonts w:cs="Calibri"/>
                <w:color w:val="000000"/>
                <w:sz w:val="20"/>
              </w:rPr>
              <w:t>0</w:t>
            </w:r>
          </w:p>
        </w:tc>
        <w:tc>
          <w:tcPr>
            <w:tcW w:w="534" w:type="pct"/>
            <w:tcBorders>
              <w:top w:val="nil"/>
              <w:left w:val="single" w:sz="4" w:space="0" w:color="auto"/>
              <w:bottom w:val="nil"/>
              <w:right w:val="single" w:sz="4" w:space="0" w:color="auto"/>
            </w:tcBorders>
            <w:shd w:val="clear" w:color="auto" w:fill="auto"/>
            <w:noWrap/>
            <w:vAlign w:val="bottom"/>
            <w:hideMark/>
          </w:tcPr>
          <w:p w14:paraId="75A4357B" w14:textId="62111ED0" w:rsidR="001D2AFC" w:rsidRPr="004E74A6" w:rsidRDefault="001D2AFC" w:rsidP="00CE62C1">
            <w:pPr>
              <w:spacing w:line="276" w:lineRule="auto"/>
              <w:jc w:val="center"/>
              <w:rPr>
                <w:sz w:val="20"/>
                <w:lang w:eastAsia="es-CR"/>
              </w:rPr>
            </w:pPr>
            <w:r w:rsidRPr="004E74A6">
              <w:rPr>
                <w:rFonts w:cs="Calibri"/>
                <w:color w:val="000000"/>
                <w:sz w:val="20"/>
              </w:rPr>
              <w:t>0</w:t>
            </w:r>
          </w:p>
        </w:tc>
        <w:tc>
          <w:tcPr>
            <w:tcW w:w="535" w:type="pct"/>
            <w:tcBorders>
              <w:top w:val="nil"/>
              <w:left w:val="single" w:sz="4" w:space="0" w:color="auto"/>
              <w:bottom w:val="nil"/>
              <w:right w:val="single" w:sz="4" w:space="0" w:color="auto"/>
            </w:tcBorders>
            <w:shd w:val="clear" w:color="auto" w:fill="auto"/>
            <w:noWrap/>
            <w:vAlign w:val="bottom"/>
            <w:hideMark/>
          </w:tcPr>
          <w:p w14:paraId="37A4B49B" w14:textId="0879F411" w:rsidR="001D2AFC" w:rsidRPr="004E74A6" w:rsidRDefault="001D2AFC" w:rsidP="00CE62C1">
            <w:pPr>
              <w:spacing w:line="276" w:lineRule="auto"/>
              <w:jc w:val="center"/>
              <w:rPr>
                <w:rFonts w:cs="Calibri"/>
                <w:color w:val="000000"/>
                <w:sz w:val="20"/>
                <w:lang w:eastAsia="es-CR"/>
              </w:rPr>
            </w:pPr>
            <w:r w:rsidRPr="004E74A6">
              <w:rPr>
                <w:rFonts w:cs="Calibri"/>
                <w:color w:val="000000"/>
                <w:sz w:val="20"/>
              </w:rPr>
              <w:t>1</w:t>
            </w:r>
          </w:p>
        </w:tc>
        <w:tc>
          <w:tcPr>
            <w:tcW w:w="714" w:type="pct"/>
            <w:tcBorders>
              <w:top w:val="nil"/>
              <w:left w:val="single" w:sz="4" w:space="0" w:color="auto"/>
              <w:bottom w:val="nil"/>
              <w:right w:val="nil"/>
            </w:tcBorders>
            <w:shd w:val="clear" w:color="auto" w:fill="auto"/>
            <w:noWrap/>
            <w:vAlign w:val="bottom"/>
            <w:hideMark/>
          </w:tcPr>
          <w:p w14:paraId="44B18124" w14:textId="6FEB6F77" w:rsidR="001D2AFC" w:rsidRPr="004E74A6" w:rsidRDefault="001D2AFC" w:rsidP="00CE62C1">
            <w:pPr>
              <w:spacing w:line="276" w:lineRule="auto"/>
              <w:jc w:val="center"/>
              <w:rPr>
                <w:rFonts w:cs="Calibri"/>
                <w:color w:val="000000"/>
                <w:sz w:val="20"/>
                <w:lang w:eastAsia="es-CR"/>
              </w:rPr>
            </w:pPr>
            <w:r w:rsidRPr="004E74A6">
              <w:rPr>
                <w:rFonts w:cs="Calibri"/>
                <w:color w:val="000000"/>
                <w:sz w:val="20"/>
              </w:rPr>
              <w:t>0</w:t>
            </w:r>
          </w:p>
        </w:tc>
      </w:tr>
      <w:tr w:rsidR="001D2AFC" w:rsidRPr="004E74A6" w14:paraId="18EBD14C" w14:textId="77777777" w:rsidTr="00B32800">
        <w:trPr>
          <w:trHeight w:val="288"/>
          <w:tblHeader/>
          <w:jc w:val="center"/>
        </w:trPr>
        <w:tc>
          <w:tcPr>
            <w:tcW w:w="2680" w:type="pct"/>
            <w:tcBorders>
              <w:top w:val="nil"/>
              <w:left w:val="nil"/>
              <w:bottom w:val="nil"/>
              <w:right w:val="single" w:sz="4" w:space="0" w:color="auto"/>
            </w:tcBorders>
            <w:shd w:val="clear" w:color="auto" w:fill="auto"/>
            <w:noWrap/>
            <w:vAlign w:val="bottom"/>
            <w:hideMark/>
          </w:tcPr>
          <w:p w14:paraId="5E3B9396" w14:textId="77777777" w:rsidR="001D2AFC" w:rsidRPr="004E74A6" w:rsidRDefault="001D2AFC" w:rsidP="00CE62C1">
            <w:pPr>
              <w:spacing w:line="276" w:lineRule="auto"/>
              <w:ind w:firstLineChars="200" w:firstLine="400"/>
              <w:jc w:val="left"/>
              <w:rPr>
                <w:rFonts w:cs="Calibri"/>
                <w:color w:val="000000"/>
                <w:sz w:val="20"/>
                <w:lang w:eastAsia="es-CR"/>
              </w:rPr>
            </w:pPr>
            <w:r w:rsidRPr="004E74A6">
              <w:rPr>
                <w:rFonts w:cs="Calibri"/>
                <w:color w:val="000000"/>
                <w:sz w:val="20"/>
                <w:lang w:eastAsia="es-CR"/>
              </w:rPr>
              <w:t>Liquidación persona jurídica</w:t>
            </w:r>
          </w:p>
        </w:tc>
        <w:tc>
          <w:tcPr>
            <w:tcW w:w="537" w:type="pct"/>
            <w:tcBorders>
              <w:top w:val="nil"/>
              <w:left w:val="single" w:sz="4" w:space="0" w:color="auto"/>
              <w:bottom w:val="nil"/>
              <w:right w:val="single" w:sz="4" w:space="0" w:color="auto"/>
            </w:tcBorders>
            <w:shd w:val="clear" w:color="auto" w:fill="auto"/>
            <w:noWrap/>
            <w:vAlign w:val="bottom"/>
            <w:hideMark/>
          </w:tcPr>
          <w:p w14:paraId="2E99DCAD" w14:textId="0B48D5AA" w:rsidR="001D2AFC" w:rsidRPr="004E74A6" w:rsidRDefault="001D2AFC" w:rsidP="00CE62C1">
            <w:pPr>
              <w:spacing w:line="276" w:lineRule="auto"/>
              <w:jc w:val="center"/>
              <w:rPr>
                <w:sz w:val="20"/>
                <w:lang w:eastAsia="es-CR"/>
              </w:rPr>
            </w:pPr>
            <w:r w:rsidRPr="004E74A6">
              <w:rPr>
                <w:rFonts w:cs="Calibri"/>
                <w:color w:val="000000"/>
                <w:sz w:val="20"/>
              </w:rPr>
              <w:t>0</w:t>
            </w:r>
          </w:p>
        </w:tc>
        <w:tc>
          <w:tcPr>
            <w:tcW w:w="534" w:type="pct"/>
            <w:tcBorders>
              <w:top w:val="nil"/>
              <w:left w:val="single" w:sz="4" w:space="0" w:color="auto"/>
              <w:bottom w:val="nil"/>
              <w:right w:val="single" w:sz="4" w:space="0" w:color="auto"/>
            </w:tcBorders>
            <w:shd w:val="clear" w:color="auto" w:fill="auto"/>
            <w:noWrap/>
            <w:vAlign w:val="bottom"/>
            <w:hideMark/>
          </w:tcPr>
          <w:p w14:paraId="5FB3A400" w14:textId="2D7D17B5" w:rsidR="001D2AFC" w:rsidRPr="004E74A6" w:rsidRDefault="001D2AFC" w:rsidP="00CE62C1">
            <w:pPr>
              <w:spacing w:line="276" w:lineRule="auto"/>
              <w:jc w:val="center"/>
              <w:rPr>
                <w:rFonts w:cs="Calibri"/>
                <w:color w:val="000000"/>
                <w:sz w:val="20"/>
                <w:lang w:eastAsia="es-CR"/>
              </w:rPr>
            </w:pPr>
            <w:r w:rsidRPr="004E74A6">
              <w:rPr>
                <w:rFonts w:cs="Calibri"/>
                <w:color w:val="000000"/>
                <w:sz w:val="20"/>
              </w:rPr>
              <w:t>1</w:t>
            </w:r>
          </w:p>
        </w:tc>
        <w:tc>
          <w:tcPr>
            <w:tcW w:w="535" w:type="pct"/>
            <w:tcBorders>
              <w:top w:val="nil"/>
              <w:left w:val="single" w:sz="4" w:space="0" w:color="auto"/>
              <w:bottom w:val="nil"/>
              <w:right w:val="single" w:sz="4" w:space="0" w:color="auto"/>
            </w:tcBorders>
            <w:shd w:val="clear" w:color="auto" w:fill="auto"/>
            <w:noWrap/>
            <w:vAlign w:val="bottom"/>
            <w:hideMark/>
          </w:tcPr>
          <w:p w14:paraId="09A774F6" w14:textId="1CD7B62F" w:rsidR="001D2AFC" w:rsidRPr="004E74A6" w:rsidRDefault="001D2AFC" w:rsidP="00CE62C1">
            <w:pPr>
              <w:spacing w:line="276" w:lineRule="auto"/>
              <w:jc w:val="center"/>
              <w:rPr>
                <w:rFonts w:cs="Calibri"/>
                <w:color w:val="000000"/>
                <w:sz w:val="20"/>
                <w:lang w:eastAsia="es-CR"/>
              </w:rPr>
            </w:pPr>
            <w:r w:rsidRPr="004E74A6">
              <w:rPr>
                <w:rFonts w:cs="Calibri"/>
                <w:color w:val="000000"/>
                <w:sz w:val="20"/>
              </w:rPr>
              <w:t>0</w:t>
            </w:r>
          </w:p>
        </w:tc>
        <w:tc>
          <w:tcPr>
            <w:tcW w:w="714" w:type="pct"/>
            <w:tcBorders>
              <w:top w:val="nil"/>
              <w:left w:val="single" w:sz="4" w:space="0" w:color="auto"/>
              <w:bottom w:val="nil"/>
              <w:right w:val="nil"/>
            </w:tcBorders>
            <w:shd w:val="clear" w:color="auto" w:fill="auto"/>
            <w:noWrap/>
            <w:vAlign w:val="bottom"/>
            <w:hideMark/>
          </w:tcPr>
          <w:p w14:paraId="783EB67D" w14:textId="138DD8BF" w:rsidR="001D2AFC" w:rsidRPr="004E74A6" w:rsidRDefault="001D2AFC" w:rsidP="00CE62C1">
            <w:pPr>
              <w:spacing w:line="276" w:lineRule="auto"/>
              <w:jc w:val="center"/>
              <w:rPr>
                <w:rFonts w:cs="Calibri"/>
                <w:color w:val="000000"/>
                <w:sz w:val="20"/>
                <w:lang w:eastAsia="es-CR"/>
              </w:rPr>
            </w:pPr>
            <w:r w:rsidRPr="004E74A6">
              <w:rPr>
                <w:rFonts w:cs="Calibri"/>
                <w:color w:val="000000"/>
                <w:sz w:val="20"/>
              </w:rPr>
              <w:t>0,3</w:t>
            </w:r>
          </w:p>
        </w:tc>
      </w:tr>
      <w:tr w:rsidR="001D2AFC" w:rsidRPr="004E74A6" w14:paraId="083C8770" w14:textId="77777777" w:rsidTr="00B32800">
        <w:trPr>
          <w:trHeight w:val="288"/>
          <w:tblHeader/>
          <w:jc w:val="center"/>
        </w:trPr>
        <w:tc>
          <w:tcPr>
            <w:tcW w:w="2680" w:type="pct"/>
            <w:tcBorders>
              <w:top w:val="nil"/>
              <w:left w:val="nil"/>
              <w:bottom w:val="nil"/>
              <w:right w:val="single" w:sz="4" w:space="0" w:color="auto"/>
            </w:tcBorders>
            <w:shd w:val="clear" w:color="auto" w:fill="auto"/>
            <w:noWrap/>
            <w:vAlign w:val="bottom"/>
            <w:hideMark/>
          </w:tcPr>
          <w:p w14:paraId="29C91C10" w14:textId="77777777" w:rsidR="001D2AFC" w:rsidRPr="004E74A6" w:rsidRDefault="001D2AFC" w:rsidP="00CE62C1">
            <w:pPr>
              <w:spacing w:line="276" w:lineRule="auto"/>
              <w:ind w:firstLineChars="200" w:firstLine="400"/>
              <w:jc w:val="left"/>
              <w:rPr>
                <w:rFonts w:cs="Calibri"/>
                <w:color w:val="000000"/>
                <w:sz w:val="20"/>
                <w:lang w:eastAsia="es-CR"/>
              </w:rPr>
            </w:pPr>
            <w:r w:rsidRPr="004E74A6">
              <w:rPr>
                <w:rFonts w:cs="Calibri"/>
                <w:color w:val="000000"/>
                <w:sz w:val="20"/>
                <w:lang w:eastAsia="es-CR"/>
              </w:rPr>
              <w:t>Localización de derechos</w:t>
            </w:r>
          </w:p>
        </w:tc>
        <w:tc>
          <w:tcPr>
            <w:tcW w:w="537" w:type="pct"/>
            <w:tcBorders>
              <w:top w:val="nil"/>
              <w:left w:val="single" w:sz="4" w:space="0" w:color="auto"/>
              <w:bottom w:val="nil"/>
              <w:right w:val="single" w:sz="4" w:space="0" w:color="auto"/>
            </w:tcBorders>
            <w:shd w:val="clear" w:color="auto" w:fill="auto"/>
            <w:noWrap/>
            <w:vAlign w:val="bottom"/>
            <w:hideMark/>
          </w:tcPr>
          <w:p w14:paraId="23466848" w14:textId="57EB1E2B" w:rsidR="001D2AFC" w:rsidRPr="004E74A6" w:rsidRDefault="001D2AFC" w:rsidP="00CE62C1">
            <w:pPr>
              <w:spacing w:line="276" w:lineRule="auto"/>
              <w:jc w:val="center"/>
              <w:rPr>
                <w:sz w:val="20"/>
                <w:lang w:eastAsia="es-CR"/>
              </w:rPr>
            </w:pPr>
            <w:r w:rsidRPr="004E74A6">
              <w:rPr>
                <w:rFonts w:cs="Calibri"/>
                <w:color w:val="000000"/>
                <w:sz w:val="20"/>
              </w:rPr>
              <w:t>0</w:t>
            </w:r>
          </w:p>
        </w:tc>
        <w:tc>
          <w:tcPr>
            <w:tcW w:w="534" w:type="pct"/>
            <w:tcBorders>
              <w:top w:val="nil"/>
              <w:left w:val="single" w:sz="4" w:space="0" w:color="auto"/>
              <w:bottom w:val="nil"/>
              <w:right w:val="single" w:sz="4" w:space="0" w:color="auto"/>
            </w:tcBorders>
            <w:shd w:val="clear" w:color="auto" w:fill="auto"/>
            <w:noWrap/>
            <w:vAlign w:val="bottom"/>
            <w:hideMark/>
          </w:tcPr>
          <w:p w14:paraId="5F1B5D28" w14:textId="5030C8F0" w:rsidR="001D2AFC" w:rsidRPr="004E74A6" w:rsidRDefault="001D2AFC" w:rsidP="00CE62C1">
            <w:pPr>
              <w:spacing w:line="276" w:lineRule="auto"/>
              <w:jc w:val="center"/>
              <w:rPr>
                <w:rFonts w:cs="Calibri"/>
                <w:color w:val="000000"/>
                <w:sz w:val="20"/>
                <w:lang w:eastAsia="es-CR"/>
              </w:rPr>
            </w:pPr>
            <w:r w:rsidRPr="004E74A6">
              <w:rPr>
                <w:rFonts w:cs="Calibri"/>
                <w:color w:val="000000"/>
                <w:sz w:val="20"/>
              </w:rPr>
              <w:t>1</w:t>
            </w:r>
          </w:p>
        </w:tc>
        <w:tc>
          <w:tcPr>
            <w:tcW w:w="535" w:type="pct"/>
            <w:tcBorders>
              <w:top w:val="nil"/>
              <w:left w:val="single" w:sz="4" w:space="0" w:color="auto"/>
              <w:bottom w:val="nil"/>
              <w:right w:val="single" w:sz="4" w:space="0" w:color="auto"/>
            </w:tcBorders>
            <w:shd w:val="clear" w:color="auto" w:fill="auto"/>
            <w:noWrap/>
            <w:vAlign w:val="bottom"/>
            <w:hideMark/>
          </w:tcPr>
          <w:p w14:paraId="37D1C0EA" w14:textId="7028EC28" w:rsidR="001D2AFC" w:rsidRPr="004E74A6" w:rsidRDefault="001D2AFC" w:rsidP="00CE62C1">
            <w:pPr>
              <w:spacing w:line="276" w:lineRule="auto"/>
              <w:jc w:val="center"/>
              <w:rPr>
                <w:rFonts w:cs="Calibri"/>
                <w:color w:val="000000"/>
                <w:sz w:val="20"/>
                <w:lang w:eastAsia="es-CR"/>
              </w:rPr>
            </w:pPr>
            <w:r w:rsidRPr="004E74A6">
              <w:rPr>
                <w:rFonts w:cs="Calibri"/>
                <w:color w:val="000000"/>
                <w:sz w:val="20"/>
              </w:rPr>
              <w:t>0</w:t>
            </w:r>
          </w:p>
        </w:tc>
        <w:tc>
          <w:tcPr>
            <w:tcW w:w="714" w:type="pct"/>
            <w:tcBorders>
              <w:top w:val="nil"/>
              <w:left w:val="single" w:sz="4" w:space="0" w:color="auto"/>
              <w:bottom w:val="nil"/>
              <w:right w:val="nil"/>
            </w:tcBorders>
            <w:shd w:val="clear" w:color="auto" w:fill="auto"/>
            <w:noWrap/>
            <w:vAlign w:val="bottom"/>
            <w:hideMark/>
          </w:tcPr>
          <w:p w14:paraId="04E2B4BE" w14:textId="1A85AE0D" w:rsidR="001D2AFC" w:rsidRPr="004E74A6" w:rsidRDefault="001D2AFC" w:rsidP="00CE62C1">
            <w:pPr>
              <w:spacing w:line="276" w:lineRule="auto"/>
              <w:jc w:val="center"/>
              <w:rPr>
                <w:rFonts w:cs="Calibri"/>
                <w:color w:val="000000"/>
                <w:sz w:val="20"/>
                <w:lang w:eastAsia="es-CR"/>
              </w:rPr>
            </w:pPr>
            <w:r w:rsidRPr="004E74A6">
              <w:rPr>
                <w:rFonts w:cs="Calibri"/>
                <w:color w:val="000000"/>
                <w:sz w:val="20"/>
              </w:rPr>
              <w:t>0,3</w:t>
            </w:r>
          </w:p>
        </w:tc>
      </w:tr>
      <w:tr w:rsidR="001D2AFC" w:rsidRPr="004E74A6" w14:paraId="14D6520F" w14:textId="77777777" w:rsidTr="00B32800">
        <w:trPr>
          <w:trHeight w:val="288"/>
          <w:tblHeader/>
          <w:jc w:val="center"/>
        </w:trPr>
        <w:tc>
          <w:tcPr>
            <w:tcW w:w="2680" w:type="pct"/>
            <w:tcBorders>
              <w:top w:val="nil"/>
              <w:left w:val="nil"/>
              <w:bottom w:val="nil"/>
              <w:right w:val="single" w:sz="4" w:space="0" w:color="auto"/>
            </w:tcBorders>
            <w:shd w:val="clear" w:color="auto" w:fill="C5E0B3" w:themeFill="accent6" w:themeFillTint="66"/>
            <w:noWrap/>
            <w:vAlign w:val="bottom"/>
            <w:hideMark/>
          </w:tcPr>
          <w:p w14:paraId="15247FD3" w14:textId="77777777" w:rsidR="001D2AFC" w:rsidRPr="004E74A6" w:rsidRDefault="001D2AFC" w:rsidP="00CE62C1">
            <w:pPr>
              <w:spacing w:line="276" w:lineRule="auto"/>
              <w:ind w:firstLineChars="200" w:firstLine="400"/>
              <w:jc w:val="left"/>
              <w:rPr>
                <w:rFonts w:cs="Calibri"/>
                <w:color w:val="000000"/>
                <w:sz w:val="20"/>
                <w:lang w:eastAsia="es-CR"/>
              </w:rPr>
            </w:pPr>
            <w:r w:rsidRPr="004E74A6">
              <w:rPr>
                <w:rFonts w:cs="Calibri"/>
                <w:color w:val="000000"/>
                <w:sz w:val="20"/>
                <w:lang w:eastAsia="es-CR"/>
              </w:rPr>
              <w:t>Ordinario</w:t>
            </w:r>
          </w:p>
        </w:tc>
        <w:tc>
          <w:tcPr>
            <w:tcW w:w="537" w:type="pct"/>
            <w:tcBorders>
              <w:top w:val="nil"/>
              <w:left w:val="single" w:sz="4" w:space="0" w:color="auto"/>
              <w:bottom w:val="nil"/>
              <w:right w:val="single" w:sz="4" w:space="0" w:color="auto"/>
            </w:tcBorders>
            <w:shd w:val="clear" w:color="auto" w:fill="C5E0B3" w:themeFill="accent6" w:themeFillTint="66"/>
            <w:noWrap/>
            <w:vAlign w:val="bottom"/>
            <w:hideMark/>
          </w:tcPr>
          <w:p w14:paraId="3448749B" w14:textId="73005BFD" w:rsidR="001D2AFC" w:rsidRPr="004E74A6" w:rsidRDefault="001D2AFC" w:rsidP="00CE62C1">
            <w:pPr>
              <w:spacing w:line="276" w:lineRule="auto"/>
              <w:jc w:val="center"/>
              <w:rPr>
                <w:rFonts w:cs="Calibri"/>
                <w:color w:val="000000"/>
                <w:sz w:val="20"/>
                <w:lang w:eastAsia="es-CR"/>
              </w:rPr>
            </w:pPr>
            <w:r w:rsidRPr="004E74A6">
              <w:rPr>
                <w:rFonts w:cs="Calibri"/>
                <w:color w:val="000000"/>
                <w:sz w:val="20"/>
              </w:rPr>
              <w:t>118</w:t>
            </w:r>
          </w:p>
        </w:tc>
        <w:tc>
          <w:tcPr>
            <w:tcW w:w="534" w:type="pct"/>
            <w:tcBorders>
              <w:top w:val="nil"/>
              <w:left w:val="single" w:sz="4" w:space="0" w:color="auto"/>
              <w:bottom w:val="nil"/>
              <w:right w:val="single" w:sz="4" w:space="0" w:color="auto"/>
            </w:tcBorders>
            <w:shd w:val="clear" w:color="auto" w:fill="C5E0B3" w:themeFill="accent6" w:themeFillTint="66"/>
            <w:noWrap/>
            <w:vAlign w:val="bottom"/>
            <w:hideMark/>
          </w:tcPr>
          <w:p w14:paraId="5AAE2590" w14:textId="7DCB6A67" w:rsidR="001D2AFC" w:rsidRPr="004E74A6" w:rsidRDefault="001D2AFC" w:rsidP="00CE62C1">
            <w:pPr>
              <w:spacing w:line="276" w:lineRule="auto"/>
              <w:jc w:val="center"/>
              <w:rPr>
                <w:rFonts w:cs="Calibri"/>
                <w:color w:val="000000"/>
                <w:sz w:val="20"/>
                <w:lang w:eastAsia="es-CR"/>
              </w:rPr>
            </w:pPr>
            <w:r w:rsidRPr="004E74A6">
              <w:rPr>
                <w:rFonts w:cs="Calibri"/>
                <w:color w:val="000000"/>
                <w:sz w:val="20"/>
              </w:rPr>
              <w:t>98</w:t>
            </w:r>
          </w:p>
        </w:tc>
        <w:tc>
          <w:tcPr>
            <w:tcW w:w="535" w:type="pct"/>
            <w:tcBorders>
              <w:top w:val="nil"/>
              <w:left w:val="single" w:sz="4" w:space="0" w:color="auto"/>
              <w:bottom w:val="nil"/>
              <w:right w:val="single" w:sz="4" w:space="0" w:color="auto"/>
            </w:tcBorders>
            <w:shd w:val="clear" w:color="auto" w:fill="C5E0B3" w:themeFill="accent6" w:themeFillTint="66"/>
            <w:noWrap/>
            <w:vAlign w:val="bottom"/>
            <w:hideMark/>
          </w:tcPr>
          <w:p w14:paraId="65E3FB8C" w14:textId="31871991" w:rsidR="001D2AFC" w:rsidRPr="004E74A6" w:rsidRDefault="001D2AFC" w:rsidP="00CE62C1">
            <w:pPr>
              <w:spacing w:line="276" w:lineRule="auto"/>
              <w:jc w:val="center"/>
              <w:rPr>
                <w:rFonts w:cs="Calibri"/>
                <w:color w:val="000000"/>
                <w:sz w:val="20"/>
                <w:lang w:eastAsia="es-CR"/>
              </w:rPr>
            </w:pPr>
            <w:r w:rsidRPr="004E74A6">
              <w:rPr>
                <w:rFonts w:cs="Calibri"/>
                <w:color w:val="000000"/>
                <w:sz w:val="20"/>
              </w:rPr>
              <w:t>119</w:t>
            </w:r>
          </w:p>
        </w:tc>
        <w:tc>
          <w:tcPr>
            <w:tcW w:w="714" w:type="pct"/>
            <w:tcBorders>
              <w:top w:val="nil"/>
              <w:left w:val="single" w:sz="4" w:space="0" w:color="auto"/>
              <w:bottom w:val="nil"/>
              <w:right w:val="nil"/>
            </w:tcBorders>
            <w:shd w:val="clear" w:color="auto" w:fill="C5E0B3" w:themeFill="accent6" w:themeFillTint="66"/>
            <w:noWrap/>
            <w:vAlign w:val="bottom"/>
            <w:hideMark/>
          </w:tcPr>
          <w:p w14:paraId="76361BD3" w14:textId="5DF6D83B" w:rsidR="001D2AFC" w:rsidRPr="004E74A6" w:rsidRDefault="001D2AFC" w:rsidP="00CE62C1">
            <w:pPr>
              <w:spacing w:line="276" w:lineRule="auto"/>
              <w:jc w:val="center"/>
              <w:rPr>
                <w:rFonts w:cs="Calibri"/>
                <w:color w:val="000000"/>
                <w:sz w:val="20"/>
                <w:lang w:eastAsia="es-CR"/>
              </w:rPr>
            </w:pPr>
            <w:r w:rsidRPr="004E74A6">
              <w:rPr>
                <w:rFonts w:cs="Calibri"/>
                <w:color w:val="000000"/>
                <w:sz w:val="20"/>
              </w:rPr>
              <w:t>112</w:t>
            </w:r>
          </w:p>
        </w:tc>
      </w:tr>
      <w:tr w:rsidR="001D2AFC" w:rsidRPr="004E74A6" w14:paraId="1A9943C7" w14:textId="77777777" w:rsidTr="00B32800">
        <w:trPr>
          <w:trHeight w:val="288"/>
          <w:tblHeader/>
          <w:jc w:val="center"/>
        </w:trPr>
        <w:tc>
          <w:tcPr>
            <w:tcW w:w="2680" w:type="pct"/>
            <w:tcBorders>
              <w:top w:val="nil"/>
              <w:left w:val="nil"/>
              <w:right w:val="single" w:sz="4" w:space="0" w:color="auto"/>
            </w:tcBorders>
            <w:shd w:val="clear" w:color="auto" w:fill="auto"/>
            <w:noWrap/>
            <w:vAlign w:val="bottom"/>
            <w:hideMark/>
          </w:tcPr>
          <w:p w14:paraId="7D16CC35" w14:textId="77777777" w:rsidR="001D2AFC" w:rsidRPr="004E74A6" w:rsidRDefault="001D2AFC" w:rsidP="00CE62C1">
            <w:pPr>
              <w:spacing w:line="276" w:lineRule="auto"/>
              <w:ind w:firstLineChars="200" w:firstLine="400"/>
              <w:jc w:val="left"/>
              <w:rPr>
                <w:rFonts w:cs="Calibri"/>
                <w:color w:val="000000"/>
                <w:sz w:val="20"/>
                <w:lang w:eastAsia="es-CR"/>
              </w:rPr>
            </w:pPr>
            <w:r w:rsidRPr="004E74A6">
              <w:rPr>
                <w:rFonts w:cs="Calibri"/>
                <w:color w:val="000000"/>
                <w:sz w:val="20"/>
                <w:lang w:eastAsia="es-CR"/>
              </w:rPr>
              <w:t>Prueba anticipada declaración de parte</w:t>
            </w:r>
          </w:p>
        </w:tc>
        <w:tc>
          <w:tcPr>
            <w:tcW w:w="537" w:type="pct"/>
            <w:tcBorders>
              <w:top w:val="nil"/>
              <w:left w:val="single" w:sz="4" w:space="0" w:color="auto"/>
              <w:right w:val="single" w:sz="4" w:space="0" w:color="auto"/>
            </w:tcBorders>
            <w:shd w:val="clear" w:color="auto" w:fill="auto"/>
            <w:noWrap/>
            <w:vAlign w:val="bottom"/>
            <w:hideMark/>
          </w:tcPr>
          <w:p w14:paraId="6EA50762" w14:textId="5801A308" w:rsidR="001D2AFC" w:rsidRPr="004E74A6" w:rsidRDefault="001D2AFC" w:rsidP="00CE62C1">
            <w:pPr>
              <w:spacing w:line="276" w:lineRule="auto"/>
              <w:jc w:val="center"/>
              <w:rPr>
                <w:rFonts w:cs="Calibri"/>
                <w:color w:val="000000"/>
                <w:sz w:val="20"/>
                <w:lang w:eastAsia="es-CR"/>
              </w:rPr>
            </w:pPr>
            <w:r w:rsidRPr="004E74A6">
              <w:rPr>
                <w:rFonts w:cs="Calibri"/>
                <w:color w:val="000000"/>
                <w:sz w:val="20"/>
              </w:rPr>
              <w:t>1</w:t>
            </w:r>
          </w:p>
        </w:tc>
        <w:tc>
          <w:tcPr>
            <w:tcW w:w="534" w:type="pct"/>
            <w:tcBorders>
              <w:top w:val="nil"/>
              <w:left w:val="single" w:sz="4" w:space="0" w:color="auto"/>
              <w:right w:val="single" w:sz="4" w:space="0" w:color="auto"/>
            </w:tcBorders>
            <w:shd w:val="clear" w:color="auto" w:fill="auto"/>
            <w:noWrap/>
            <w:vAlign w:val="bottom"/>
            <w:hideMark/>
          </w:tcPr>
          <w:p w14:paraId="4C193DCD" w14:textId="6F9214BB" w:rsidR="001D2AFC" w:rsidRPr="004E74A6" w:rsidRDefault="001D2AFC" w:rsidP="00CE62C1">
            <w:pPr>
              <w:spacing w:line="276" w:lineRule="auto"/>
              <w:jc w:val="center"/>
              <w:rPr>
                <w:rFonts w:cs="Calibri"/>
                <w:color w:val="000000"/>
                <w:sz w:val="20"/>
                <w:lang w:eastAsia="es-CR"/>
              </w:rPr>
            </w:pPr>
            <w:r w:rsidRPr="004E74A6">
              <w:rPr>
                <w:rFonts w:cs="Calibri"/>
                <w:color w:val="000000"/>
                <w:sz w:val="20"/>
              </w:rPr>
              <w:t>0</w:t>
            </w:r>
          </w:p>
        </w:tc>
        <w:tc>
          <w:tcPr>
            <w:tcW w:w="535" w:type="pct"/>
            <w:tcBorders>
              <w:top w:val="nil"/>
              <w:left w:val="single" w:sz="4" w:space="0" w:color="auto"/>
              <w:right w:val="single" w:sz="4" w:space="0" w:color="auto"/>
            </w:tcBorders>
            <w:shd w:val="clear" w:color="auto" w:fill="auto"/>
            <w:noWrap/>
            <w:vAlign w:val="bottom"/>
            <w:hideMark/>
          </w:tcPr>
          <w:p w14:paraId="7F64BD68" w14:textId="6B8A1288" w:rsidR="001D2AFC" w:rsidRPr="004E74A6" w:rsidRDefault="001D2AFC" w:rsidP="00CE62C1">
            <w:pPr>
              <w:spacing w:line="276" w:lineRule="auto"/>
              <w:jc w:val="center"/>
              <w:rPr>
                <w:sz w:val="20"/>
                <w:lang w:eastAsia="es-CR"/>
              </w:rPr>
            </w:pPr>
            <w:r w:rsidRPr="004E74A6">
              <w:rPr>
                <w:rFonts w:cs="Calibri"/>
                <w:color w:val="000000"/>
                <w:sz w:val="20"/>
              </w:rPr>
              <w:t>0</w:t>
            </w:r>
          </w:p>
        </w:tc>
        <w:tc>
          <w:tcPr>
            <w:tcW w:w="714" w:type="pct"/>
            <w:tcBorders>
              <w:top w:val="nil"/>
              <w:left w:val="single" w:sz="4" w:space="0" w:color="auto"/>
              <w:right w:val="nil"/>
            </w:tcBorders>
            <w:shd w:val="clear" w:color="auto" w:fill="auto"/>
            <w:noWrap/>
            <w:vAlign w:val="bottom"/>
            <w:hideMark/>
          </w:tcPr>
          <w:p w14:paraId="56C33A1D" w14:textId="3645BE0A" w:rsidR="001D2AFC" w:rsidRPr="004E74A6" w:rsidRDefault="001D2AFC" w:rsidP="00CE62C1">
            <w:pPr>
              <w:spacing w:line="276" w:lineRule="auto"/>
              <w:jc w:val="center"/>
              <w:rPr>
                <w:rFonts w:cs="Calibri"/>
                <w:color w:val="000000"/>
                <w:sz w:val="20"/>
                <w:lang w:eastAsia="es-CR"/>
              </w:rPr>
            </w:pPr>
            <w:r w:rsidRPr="004E74A6">
              <w:rPr>
                <w:rFonts w:cs="Calibri"/>
                <w:color w:val="000000"/>
                <w:sz w:val="20"/>
              </w:rPr>
              <w:t>0</w:t>
            </w:r>
          </w:p>
        </w:tc>
      </w:tr>
      <w:tr w:rsidR="00AD599A" w:rsidRPr="004E74A6" w14:paraId="7992B462" w14:textId="77777777" w:rsidTr="00AD599A">
        <w:trPr>
          <w:trHeight w:val="288"/>
          <w:tblHeader/>
          <w:jc w:val="center"/>
        </w:trPr>
        <w:tc>
          <w:tcPr>
            <w:tcW w:w="2680" w:type="pct"/>
            <w:tcBorders>
              <w:top w:val="nil"/>
              <w:left w:val="nil"/>
              <w:bottom w:val="single" w:sz="4" w:space="0" w:color="auto"/>
              <w:right w:val="single" w:sz="4" w:space="0" w:color="auto"/>
            </w:tcBorders>
            <w:shd w:val="clear" w:color="auto" w:fill="auto"/>
            <w:noWrap/>
            <w:vAlign w:val="bottom"/>
          </w:tcPr>
          <w:p w14:paraId="04C9E996" w14:textId="77777777" w:rsidR="008647ED" w:rsidRPr="004E74A6" w:rsidRDefault="008647ED" w:rsidP="00CE62C1">
            <w:pPr>
              <w:spacing w:line="276" w:lineRule="auto"/>
              <w:ind w:firstLineChars="200" w:firstLine="400"/>
              <w:jc w:val="left"/>
              <w:rPr>
                <w:rFonts w:cs="Calibri"/>
                <w:color w:val="000000"/>
                <w:sz w:val="20"/>
                <w:lang w:eastAsia="es-CR"/>
              </w:rPr>
            </w:pPr>
          </w:p>
        </w:tc>
        <w:tc>
          <w:tcPr>
            <w:tcW w:w="537" w:type="pct"/>
            <w:tcBorders>
              <w:top w:val="nil"/>
              <w:left w:val="single" w:sz="4" w:space="0" w:color="auto"/>
              <w:bottom w:val="single" w:sz="4" w:space="0" w:color="auto"/>
              <w:right w:val="single" w:sz="4" w:space="0" w:color="auto"/>
            </w:tcBorders>
            <w:shd w:val="clear" w:color="auto" w:fill="auto"/>
            <w:noWrap/>
            <w:vAlign w:val="center"/>
          </w:tcPr>
          <w:p w14:paraId="5112CD1F" w14:textId="77777777" w:rsidR="008647ED" w:rsidRPr="004E74A6" w:rsidRDefault="008647ED" w:rsidP="00CE62C1">
            <w:pPr>
              <w:spacing w:line="276" w:lineRule="auto"/>
              <w:jc w:val="center"/>
              <w:rPr>
                <w:rFonts w:cs="Calibri"/>
                <w:color w:val="000000"/>
                <w:sz w:val="20"/>
                <w:lang w:eastAsia="es-CR"/>
              </w:rPr>
            </w:pPr>
          </w:p>
        </w:tc>
        <w:tc>
          <w:tcPr>
            <w:tcW w:w="534" w:type="pct"/>
            <w:tcBorders>
              <w:top w:val="nil"/>
              <w:left w:val="single" w:sz="4" w:space="0" w:color="auto"/>
              <w:bottom w:val="single" w:sz="4" w:space="0" w:color="auto"/>
              <w:right w:val="single" w:sz="4" w:space="0" w:color="auto"/>
            </w:tcBorders>
            <w:shd w:val="clear" w:color="auto" w:fill="auto"/>
            <w:noWrap/>
            <w:vAlign w:val="center"/>
          </w:tcPr>
          <w:p w14:paraId="59540FDA" w14:textId="77777777" w:rsidR="008647ED" w:rsidRPr="004E74A6" w:rsidRDefault="008647ED" w:rsidP="00CE62C1">
            <w:pPr>
              <w:spacing w:line="276" w:lineRule="auto"/>
              <w:jc w:val="center"/>
              <w:rPr>
                <w:rFonts w:cs="Calibri"/>
                <w:color w:val="000000"/>
                <w:sz w:val="20"/>
                <w:lang w:eastAsia="es-CR"/>
              </w:rPr>
            </w:pPr>
          </w:p>
        </w:tc>
        <w:tc>
          <w:tcPr>
            <w:tcW w:w="535" w:type="pct"/>
            <w:tcBorders>
              <w:top w:val="nil"/>
              <w:left w:val="single" w:sz="4" w:space="0" w:color="auto"/>
              <w:bottom w:val="single" w:sz="4" w:space="0" w:color="auto"/>
              <w:right w:val="single" w:sz="4" w:space="0" w:color="auto"/>
            </w:tcBorders>
            <w:shd w:val="clear" w:color="auto" w:fill="auto"/>
            <w:noWrap/>
            <w:vAlign w:val="center"/>
          </w:tcPr>
          <w:p w14:paraId="08F10620" w14:textId="77777777" w:rsidR="008647ED" w:rsidRPr="004E74A6" w:rsidRDefault="008647ED" w:rsidP="00CE62C1">
            <w:pPr>
              <w:spacing w:line="276" w:lineRule="auto"/>
              <w:jc w:val="center"/>
              <w:rPr>
                <w:sz w:val="20"/>
                <w:lang w:eastAsia="es-CR"/>
              </w:rPr>
            </w:pPr>
          </w:p>
        </w:tc>
        <w:tc>
          <w:tcPr>
            <w:tcW w:w="714" w:type="pct"/>
            <w:tcBorders>
              <w:top w:val="nil"/>
              <w:left w:val="single" w:sz="4" w:space="0" w:color="auto"/>
              <w:bottom w:val="single" w:sz="4" w:space="0" w:color="auto"/>
              <w:right w:val="nil"/>
            </w:tcBorders>
            <w:shd w:val="clear" w:color="auto" w:fill="auto"/>
            <w:noWrap/>
            <w:vAlign w:val="center"/>
          </w:tcPr>
          <w:p w14:paraId="2184AAA1" w14:textId="77777777" w:rsidR="008647ED" w:rsidRPr="004E74A6" w:rsidRDefault="008647ED" w:rsidP="00CE62C1">
            <w:pPr>
              <w:spacing w:line="276" w:lineRule="auto"/>
              <w:jc w:val="center"/>
              <w:rPr>
                <w:rFonts w:cs="Calibri"/>
                <w:color w:val="000000"/>
                <w:sz w:val="20"/>
                <w:lang w:eastAsia="es-CR"/>
              </w:rPr>
            </w:pPr>
          </w:p>
        </w:tc>
      </w:tr>
    </w:tbl>
    <w:p w14:paraId="18DC42E2" w14:textId="262AF1B8" w:rsidR="003E4755" w:rsidRPr="004E74A6" w:rsidRDefault="003E4755" w:rsidP="00832773">
      <w:pPr>
        <w:spacing w:line="276" w:lineRule="auto"/>
        <w:ind w:left="454" w:right="454"/>
        <w:rPr>
          <w:rFonts w:cs="Calibri"/>
          <w:i/>
          <w:iCs/>
          <w:color w:val="000000"/>
          <w:sz w:val="20"/>
          <w:lang w:eastAsia="es-CR"/>
        </w:rPr>
      </w:pPr>
      <w:r w:rsidRPr="004E74A6">
        <w:rPr>
          <w:rFonts w:cs="Calibri"/>
          <w:b/>
          <w:bCs/>
          <w:i/>
          <w:iCs/>
          <w:color w:val="000000"/>
          <w:sz w:val="20"/>
          <w:lang w:eastAsia="es-CR"/>
        </w:rPr>
        <w:t>Fuente</w:t>
      </w:r>
      <w:r w:rsidRPr="004E74A6">
        <w:rPr>
          <w:rFonts w:cs="Calibri"/>
          <w:i/>
          <w:iCs/>
          <w:color w:val="000000"/>
          <w:sz w:val="20"/>
          <w:lang w:eastAsia="es-CR"/>
        </w:rPr>
        <w:t>: Subproceso de Modernización Institucional con datos extraídos del sistema SIGMA, Dirección de Planificación.</w:t>
      </w:r>
    </w:p>
    <w:p w14:paraId="498861DF" w14:textId="77777777" w:rsidR="003F7A7F" w:rsidRDefault="003F7A7F" w:rsidP="00CE62C1">
      <w:pPr>
        <w:spacing w:after="160" w:line="276" w:lineRule="auto"/>
        <w:rPr>
          <w:rFonts w:cs="Calibri"/>
          <w:color w:val="000000"/>
          <w:szCs w:val="24"/>
          <w:lang w:eastAsia="es-CR"/>
        </w:rPr>
      </w:pPr>
    </w:p>
    <w:p w14:paraId="1AC8A864" w14:textId="776A7145" w:rsidR="001D2AFC" w:rsidRPr="004E74A6" w:rsidRDefault="003F7A7F" w:rsidP="00CE62C1">
      <w:pPr>
        <w:spacing w:after="160" w:line="276" w:lineRule="auto"/>
        <w:rPr>
          <w:rFonts w:cs="Calibri"/>
          <w:color w:val="000000"/>
          <w:szCs w:val="24"/>
          <w:lang w:eastAsia="es-CR"/>
        </w:rPr>
      </w:pPr>
      <w:r>
        <w:rPr>
          <w:rFonts w:cs="Calibri"/>
          <w:color w:val="000000"/>
          <w:szCs w:val="24"/>
          <w:lang w:eastAsia="es-CR"/>
        </w:rPr>
        <w:t>En</w:t>
      </w:r>
      <w:r w:rsidR="001D2AFC" w:rsidRPr="004E74A6">
        <w:rPr>
          <w:rFonts w:cs="Calibri"/>
          <w:color w:val="000000"/>
          <w:szCs w:val="24"/>
          <w:lang w:eastAsia="es-CR"/>
        </w:rPr>
        <w:t xml:space="preserve"> la siguiente tabla se puede observar el detalle de la cuantía según los procedimientos ordinarios del Tribunal.</w:t>
      </w:r>
    </w:p>
    <w:p w14:paraId="1EF0CF8F" w14:textId="61FDB7EF" w:rsidR="001D2AFC" w:rsidRPr="004E74A6" w:rsidRDefault="001D2AFC" w:rsidP="00CE62C1">
      <w:pPr>
        <w:spacing w:line="276" w:lineRule="auto"/>
        <w:rPr>
          <w:rFonts w:cs="Calibri"/>
          <w:color w:val="000000"/>
          <w:szCs w:val="24"/>
          <w:lang w:eastAsia="es-CR"/>
        </w:rPr>
      </w:pPr>
      <w:r w:rsidRPr="004E74A6">
        <w:rPr>
          <w:rFonts w:cs="Calibri"/>
          <w:color w:val="000000"/>
          <w:szCs w:val="24"/>
          <w:lang w:eastAsia="es-CR"/>
        </w:rPr>
        <w:t xml:space="preserve">De los procesos ordinarios ingresados en el Tribunal, en promedio </w:t>
      </w:r>
      <w:r w:rsidR="00053D0A" w:rsidRPr="004E74A6">
        <w:rPr>
          <w:rFonts w:cs="Calibri"/>
          <w:color w:val="000000"/>
          <w:szCs w:val="24"/>
          <w:lang w:eastAsia="es-CR"/>
        </w:rPr>
        <w:t>0,3</w:t>
      </w:r>
      <w:r w:rsidRPr="004E74A6">
        <w:rPr>
          <w:rFonts w:cs="Calibri"/>
          <w:color w:val="000000"/>
          <w:szCs w:val="24"/>
          <w:lang w:eastAsia="es-CR"/>
        </w:rPr>
        <w:t xml:space="preserve"> asuntos son inestimables (</w:t>
      </w:r>
      <w:r w:rsidR="00053D0A" w:rsidRPr="004E74A6">
        <w:rPr>
          <w:rFonts w:cs="Calibri"/>
          <w:color w:val="000000"/>
          <w:szCs w:val="24"/>
          <w:lang w:eastAsia="es-CR"/>
        </w:rPr>
        <w:t>0,3</w:t>
      </w:r>
      <w:r w:rsidRPr="004E74A6">
        <w:rPr>
          <w:rFonts w:cs="Calibri"/>
          <w:color w:val="000000"/>
          <w:szCs w:val="24"/>
          <w:lang w:eastAsia="es-CR"/>
        </w:rPr>
        <w:t xml:space="preserve">%), </w:t>
      </w:r>
      <w:r w:rsidR="00053D0A" w:rsidRPr="004E74A6">
        <w:rPr>
          <w:rFonts w:cs="Calibri"/>
          <w:color w:val="000000"/>
          <w:szCs w:val="24"/>
          <w:lang w:eastAsia="es-CR"/>
        </w:rPr>
        <w:t>17</w:t>
      </w:r>
      <w:r w:rsidRPr="004E74A6">
        <w:rPr>
          <w:rFonts w:cs="Calibri"/>
          <w:color w:val="000000"/>
          <w:szCs w:val="24"/>
          <w:lang w:eastAsia="es-CR"/>
        </w:rPr>
        <w:t xml:space="preserve"> estimables (</w:t>
      </w:r>
      <w:r w:rsidR="00053D0A" w:rsidRPr="004E74A6">
        <w:rPr>
          <w:rFonts w:cs="Calibri"/>
          <w:color w:val="000000"/>
          <w:szCs w:val="24"/>
          <w:lang w:eastAsia="es-CR"/>
        </w:rPr>
        <w:t>15</w:t>
      </w:r>
      <w:r w:rsidR="009D0EF1" w:rsidRPr="004E74A6">
        <w:rPr>
          <w:rFonts w:cs="Calibri"/>
          <w:color w:val="000000"/>
          <w:szCs w:val="24"/>
          <w:lang w:eastAsia="es-CR"/>
        </w:rPr>
        <w:t>,2</w:t>
      </w:r>
      <w:r w:rsidRPr="004E74A6">
        <w:rPr>
          <w:rFonts w:cs="Calibri"/>
          <w:color w:val="000000"/>
          <w:szCs w:val="24"/>
          <w:lang w:eastAsia="es-CR"/>
        </w:rPr>
        <w:t xml:space="preserve">%), </w:t>
      </w:r>
      <w:r w:rsidR="00053D0A" w:rsidRPr="004E74A6">
        <w:rPr>
          <w:rFonts w:cs="Calibri"/>
          <w:color w:val="000000"/>
          <w:szCs w:val="24"/>
          <w:lang w:eastAsia="es-CR"/>
        </w:rPr>
        <w:t>10</w:t>
      </w:r>
      <w:r w:rsidRPr="004E74A6">
        <w:rPr>
          <w:rFonts w:cs="Calibri"/>
          <w:color w:val="000000"/>
          <w:szCs w:val="24"/>
          <w:lang w:eastAsia="es-CR"/>
        </w:rPr>
        <w:t xml:space="preserve"> casos “no aplica” (</w:t>
      </w:r>
      <w:r w:rsidR="00053D0A" w:rsidRPr="004E74A6">
        <w:rPr>
          <w:rFonts w:cs="Calibri"/>
          <w:color w:val="000000"/>
          <w:szCs w:val="24"/>
          <w:lang w:eastAsia="es-CR"/>
        </w:rPr>
        <w:t>9</w:t>
      </w:r>
      <w:r w:rsidRPr="004E74A6">
        <w:rPr>
          <w:rFonts w:cs="Calibri"/>
          <w:color w:val="000000"/>
          <w:szCs w:val="24"/>
          <w:lang w:eastAsia="es-CR"/>
        </w:rPr>
        <w:t xml:space="preserve">%) y sin actualizar </w:t>
      </w:r>
      <w:r w:rsidR="00053D0A" w:rsidRPr="004E74A6">
        <w:rPr>
          <w:rFonts w:cs="Calibri"/>
          <w:color w:val="000000"/>
          <w:szCs w:val="24"/>
          <w:lang w:eastAsia="es-CR"/>
        </w:rPr>
        <w:t>84</w:t>
      </w:r>
      <w:r w:rsidR="009D0EF1" w:rsidRPr="004E74A6">
        <w:rPr>
          <w:rFonts w:cs="Calibri"/>
          <w:color w:val="000000"/>
          <w:szCs w:val="24"/>
          <w:lang w:eastAsia="es-CR"/>
        </w:rPr>
        <w:t>,3</w:t>
      </w:r>
      <w:r w:rsidRPr="004E74A6">
        <w:rPr>
          <w:rFonts w:cs="Calibri"/>
          <w:color w:val="000000"/>
          <w:szCs w:val="24"/>
          <w:lang w:eastAsia="es-CR"/>
        </w:rPr>
        <w:t xml:space="preserve"> casos (</w:t>
      </w:r>
      <w:r w:rsidR="00053D0A" w:rsidRPr="004E74A6">
        <w:rPr>
          <w:rFonts w:cs="Calibri"/>
          <w:color w:val="000000"/>
          <w:szCs w:val="24"/>
          <w:lang w:eastAsia="es-CR"/>
        </w:rPr>
        <w:t>7</w:t>
      </w:r>
      <w:r w:rsidR="00B83185" w:rsidRPr="004E74A6">
        <w:rPr>
          <w:rFonts w:cs="Calibri"/>
          <w:color w:val="000000"/>
          <w:szCs w:val="24"/>
          <w:lang w:eastAsia="es-CR"/>
        </w:rPr>
        <w:t>5</w:t>
      </w:r>
      <w:r w:rsidR="009D0EF1" w:rsidRPr="004E74A6">
        <w:rPr>
          <w:rFonts w:cs="Calibri"/>
          <w:color w:val="000000"/>
          <w:szCs w:val="24"/>
          <w:lang w:eastAsia="es-CR"/>
        </w:rPr>
        <w:t>,5</w:t>
      </w:r>
      <w:r w:rsidRPr="004E74A6">
        <w:rPr>
          <w:rFonts w:cs="Calibri"/>
          <w:color w:val="000000"/>
          <w:szCs w:val="24"/>
          <w:lang w:eastAsia="es-CR"/>
        </w:rPr>
        <w:t>%).</w:t>
      </w:r>
    </w:p>
    <w:p w14:paraId="17576284" w14:textId="77777777" w:rsidR="001D2AFC" w:rsidRPr="004E74A6" w:rsidRDefault="001D2AFC" w:rsidP="00CE62C1">
      <w:pPr>
        <w:spacing w:line="276" w:lineRule="auto"/>
        <w:rPr>
          <w:rFonts w:cs="Calibri"/>
          <w:color w:val="000000"/>
          <w:szCs w:val="24"/>
          <w:lang w:eastAsia="es-CR"/>
        </w:rPr>
      </w:pPr>
    </w:p>
    <w:p w14:paraId="0E6B12F6" w14:textId="016FBA0B" w:rsidR="001D2AFC" w:rsidRPr="004E74A6" w:rsidRDefault="001D2AFC" w:rsidP="00CE62C1">
      <w:pPr>
        <w:spacing w:line="276" w:lineRule="auto"/>
        <w:rPr>
          <w:rFonts w:cs="Calibri"/>
          <w:color w:val="000000"/>
          <w:szCs w:val="24"/>
          <w:lang w:eastAsia="es-CR"/>
        </w:rPr>
      </w:pPr>
      <w:r w:rsidRPr="004E74A6">
        <w:rPr>
          <w:rFonts w:cs="Calibri"/>
          <w:color w:val="000000"/>
          <w:szCs w:val="24"/>
          <w:lang w:eastAsia="es-CR"/>
        </w:rPr>
        <w:t xml:space="preserve">De lo anterior, el </w:t>
      </w:r>
      <w:r w:rsidR="00053D0A" w:rsidRPr="004E74A6">
        <w:rPr>
          <w:rFonts w:cs="Calibri"/>
          <w:color w:val="000000"/>
          <w:szCs w:val="24"/>
          <w:lang w:eastAsia="es-CR"/>
        </w:rPr>
        <w:t>9</w:t>
      </w:r>
      <w:r w:rsidRPr="004E74A6">
        <w:rPr>
          <w:rFonts w:cs="Calibri"/>
          <w:color w:val="000000"/>
          <w:szCs w:val="24"/>
          <w:lang w:eastAsia="es-CR"/>
        </w:rPr>
        <w:t xml:space="preserve">% que indicaron no aplica cuantía, se debe a una actualización errores a de la informa, ya que desde el inicio en el uso de la mejora se les indicó a las oficinas que esta opción solo aplica para materia de Trabajo, no así para Civil donde los asuntos son estimables o inestimables solamente. </w:t>
      </w:r>
    </w:p>
    <w:p w14:paraId="3CC312E7" w14:textId="77777777" w:rsidR="001D2AFC" w:rsidRPr="004E74A6" w:rsidRDefault="001D2AFC" w:rsidP="00CE62C1">
      <w:pPr>
        <w:spacing w:line="276" w:lineRule="auto"/>
        <w:rPr>
          <w:rFonts w:cs="Calibri"/>
          <w:color w:val="000000"/>
          <w:szCs w:val="24"/>
          <w:lang w:eastAsia="es-CR"/>
        </w:rPr>
      </w:pPr>
    </w:p>
    <w:p w14:paraId="22B8EFDA" w14:textId="2B9668B8" w:rsidR="001D2AFC" w:rsidRPr="004E74A6" w:rsidRDefault="001D2AFC" w:rsidP="00CE62C1">
      <w:pPr>
        <w:spacing w:line="276" w:lineRule="auto"/>
        <w:rPr>
          <w:rFonts w:cs="Calibri"/>
          <w:color w:val="000000"/>
          <w:szCs w:val="24"/>
          <w:lang w:eastAsia="es-CR"/>
        </w:rPr>
      </w:pPr>
      <w:r w:rsidRPr="004E74A6">
        <w:rPr>
          <w:rFonts w:cs="Calibri"/>
          <w:color w:val="000000"/>
          <w:szCs w:val="24"/>
          <w:lang w:eastAsia="es-CR"/>
        </w:rPr>
        <w:t xml:space="preserve">De los </w:t>
      </w:r>
      <w:r w:rsidR="00053D0A" w:rsidRPr="004E74A6">
        <w:rPr>
          <w:rFonts w:cs="Calibri"/>
          <w:color w:val="000000"/>
          <w:szCs w:val="24"/>
          <w:lang w:eastAsia="es-CR"/>
        </w:rPr>
        <w:t>17</w:t>
      </w:r>
      <w:r w:rsidRPr="004E74A6">
        <w:rPr>
          <w:rFonts w:cs="Calibri"/>
          <w:color w:val="000000"/>
          <w:szCs w:val="24"/>
          <w:lang w:eastAsia="es-CR"/>
        </w:rPr>
        <w:t xml:space="preserve"> ordinarios estimables, la distribución de esos asuntos por rango de cuantía es el siguiente: </w:t>
      </w:r>
    </w:p>
    <w:p w14:paraId="443C3715" w14:textId="2B3AA4B2" w:rsidR="00F0204A" w:rsidRPr="004E74A6" w:rsidRDefault="00F0204A" w:rsidP="00CE62C1">
      <w:pPr>
        <w:spacing w:line="276" w:lineRule="auto"/>
        <w:rPr>
          <w:rFonts w:cs="Calibri"/>
          <w:color w:val="000000"/>
          <w:szCs w:val="24"/>
          <w:lang w:eastAsia="es-CR"/>
        </w:rPr>
      </w:pPr>
    </w:p>
    <w:p w14:paraId="03CD115E" w14:textId="7EEC7E51" w:rsidR="00F0204A" w:rsidRDefault="00F0204A" w:rsidP="00CE62C1">
      <w:pPr>
        <w:spacing w:line="276" w:lineRule="auto"/>
        <w:rPr>
          <w:rFonts w:cs="Calibri"/>
          <w:color w:val="000000"/>
          <w:szCs w:val="24"/>
          <w:lang w:eastAsia="es-CR"/>
        </w:rPr>
      </w:pPr>
    </w:p>
    <w:p w14:paraId="51B6F8C3" w14:textId="73723D1C" w:rsidR="004E4F14" w:rsidRDefault="004E4F14" w:rsidP="00CE62C1">
      <w:pPr>
        <w:spacing w:line="276" w:lineRule="auto"/>
        <w:rPr>
          <w:rFonts w:cs="Calibri"/>
          <w:color w:val="000000"/>
          <w:szCs w:val="24"/>
          <w:lang w:eastAsia="es-CR"/>
        </w:rPr>
      </w:pPr>
    </w:p>
    <w:p w14:paraId="009F4713" w14:textId="79764697" w:rsidR="004E4F14" w:rsidRDefault="004E4F14" w:rsidP="00CE62C1">
      <w:pPr>
        <w:spacing w:line="276" w:lineRule="auto"/>
        <w:rPr>
          <w:rFonts w:cs="Calibri"/>
          <w:color w:val="000000"/>
          <w:szCs w:val="24"/>
          <w:lang w:eastAsia="es-CR"/>
        </w:rPr>
      </w:pPr>
    </w:p>
    <w:p w14:paraId="497F12E1" w14:textId="77777777" w:rsidR="004E4F14" w:rsidRPr="004E74A6" w:rsidRDefault="004E4F14" w:rsidP="00CE62C1">
      <w:pPr>
        <w:spacing w:line="276" w:lineRule="auto"/>
        <w:rPr>
          <w:rFonts w:cs="Calibri"/>
          <w:color w:val="000000"/>
          <w:szCs w:val="24"/>
          <w:lang w:eastAsia="es-CR"/>
        </w:rPr>
      </w:pPr>
    </w:p>
    <w:p w14:paraId="3D0AF6B9" w14:textId="3392F026" w:rsidR="00F0204A" w:rsidRPr="004E74A6" w:rsidRDefault="00F0204A" w:rsidP="00CE62C1">
      <w:pPr>
        <w:spacing w:line="276" w:lineRule="auto"/>
        <w:rPr>
          <w:rFonts w:cs="Calibri"/>
          <w:color w:val="000000"/>
          <w:szCs w:val="24"/>
          <w:lang w:eastAsia="es-CR"/>
        </w:rPr>
      </w:pPr>
    </w:p>
    <w:p w14:paraId="2713B2BB" w14:textId="77777777" w:rsidR="00F0204A" w:rsidRPr="004E74A6" w:rsidRDefault="00F0204A" w:rsidP="00CE62C1">
      <w:pPr>
        <w:spacing w:line="276" w:lineRule="auto"/>
        <w:rPr>
          <w:rFonts w:cs="Calibri"/>
          <w:color w:val="000000"/>
          <w:szCs w:val="24"/>
          <w:lang w:eastAsia="es-CR"/>
        </w:rPr>
      </w:pPr>
    </w:p>
    <w:p w14:paraId="53F575DC" w14:textId="47DCB7E5" w:rsidR="00AD599A" w:rsidRPr="00832773" w:rsidRDefault="00AD599A" w:rsidP="00F0204A">
      <w:pPr>
        <w:pStyle w:val="Descripcin"/>
        <w:keepNext/>
        <w:spacing w:line="276" w:lineRule="auto"/>
        <w:jc w:val="center"/>
        <w:rPr>
          <w:rFonts w:ascii="Book Antiqua" w:hAnsi="Book Antiqua"/>
          <w:i/>
          <w:iCs/>
          <w:sz w:val="20"/>
          <w:szCs w:val="16"/>
          <w:lang w:val="es-CR"/>
        </w:rPr>
      </w:pPr>
      <w:r w:rsidRPr="00832773">
        <w:rPr>
          <w:rFonts w:ascii="Book Antiqua" w:hAnsi="Book Antiqua"/>
          <w:i/>
          <w:iCs/>
          <w:sz w:val="20"/>
          <w:szCs w:val="16"/>
          <w:lang w:val="es-CR"/>
        </w:rPr>
        <w:lastRenderedPageBreak/>
        <w:t xml:space="preserve">Tabla </w:t>
      </w:r>
      <w:r w:rsidRPr="00832773">
        <w:rPr>
          <w:rFonts w:ascii="Book Antiqua" w:hAnsi="Book Antiqua"/>
          <w:i/>
          <w:iCs/>
          <w:sz w:val="20"/>
          <w:szCs w:val="16"/>
          <w:lang w:val="es-CR"/>
        </w:rPr>
        <w:fldChar w:fldCharType="begin"/>
      </w:r>
      <w:r w:rsidRPr="00832773">
        <w:rPr>
          <w:rFonts w:ascii="Book Antiqua" w:hAnsi="Book Antiqua"/>
          <w:i/>
          <w:iCs/>
          <w:sz w:val="20"/>
          <w:szCs w:val="16"/>
          <w:lang w:val="es-CR"/>
        </w:rPr>
        <w:instrText xml:space="preserve"> SEQ Tabla \* ARABIC </w:instrText>
      </w:r>
      <w:r w:rsidRPr="00832773">
        <w:rPr>
          <w:rFonts w:ascii="Book Antiqua" w:hAnsi="Book Antiqua"/>
          <w:i/>
          <w:iCs/>
          <w:sz w:val="20"/>
          <w:szCs w:val="16"/>
          <w:lang w:val="es-CR"/>
        </w:rPr>
        <w:fldChar w:fldCharType="separate"/>
      </w:r>
      <w:r w:rsidR="00374B51">
        <w:rPr>
          <w:rFonts w:ascii="Book Antiqua" w:hAnsi="Book Antiqua"/>
          <w:i/>
          <w:iCs/>
          <w:noProof/>
          <w:sz w:val="20"/>
          <w:szCs w:val="16"/>
          <w:lang w:val="es-CR"/>
        </w:rPr>
        <w:t>36</w:t>
      </w:r>
      <w:r w:rsidRPr="00832773">
        <w:rPr>
          <w:rFonts w:ascii="Book Antiqua" w:hAnsi="Book Antiqua"/>
          <w:i/>
          <w:iCs/>
          <w:sz w:val="20"/>
          <w:szCs w:val="16"/>
          <w:lang w:val="es-CR"/>
        </w:rPr>
        <w:fldChar w:fldCharType="end"/>
      </w:r>
      <w:r w:rsidRPr="00832773">
        <w:rPr>
          <w:rFonts w:ascii="Book Antiqua" w:hAnsi="Book Antiqua"/>
          <w:i/>
          <w:iCs/>
          <w:sz w:val="20"/>
          <w:szCs w:val="16"/>
          <w:lang w:val="es-CR"/>
        </w:rPr>
        <w:t xml:space="preserve"> </w:t>
      </w:r>
      <w:r w:rsidR="00053D0A" w:rsidRPr="00832773">
        <w:rPr>
          <w:rFonts w:ascii="Book Antiqua" w:hAnsi="Book Antiqua"/>
          <w:i/>
          <w:iCs/>
          <w:sz w:val="20"/>
          <w:szCs w:val="16"/>
          <w:lang w:val="es-CR"/>
        </w:rPr>
        <w:t xml:space="preserve">Cantidad de entrados ordinarios estimables por cuantía del 2019 al 2021 para el </w:t>
      </w:r>
      <w:r w:rsidRPr="00832773">
        <w:rPr>
          <w:rFonts w:ascii="Book Antiqua" w:hAnsi="Book Antiqua"/>
          <w:i/>
          <w:iCs/>
          <w:sz w:val="20"/>
          <w:szCs w:val="16"/>
          <w:lang w:val="es-CR"/>
        </w:rPr>
        <w:t>Tribunal Colegiado Primera Instancia Civil Segundo Circuito Judicial de Guanacaste, Nicoya</w:t>
      </w:r>
    </w:p>
    <w:p w14:paraId="59D0A523" w14:textId="77777777" w:rsidR="009D0EF1" w:rsidRPr="00832773" w:rsidRDefault="009D0EF1" w:rsidP="00832773">
      <w:pPr>
        <w:spacing w:line="276" w:lineRule="auto"/>
      </w:pPr>
    </w:p>
    <w:tbl>
      <w:tblPr>
        <w:tblW w:w="5035" w:type="pct"/>
        <w:jc w:val="center"/>
        <w:tblCellMar>
          <w:left w:w="70" w:type="dxa"/>
          <w:right w:w="70" w:type="dxa"/>
        </w:tblCellMar>
        <w:tblLook w:val="04A0" w:firstRow="1" w:lastRow="0" w:firstColumn="1" w:lastColumn="0" w:noHBand="0" w:noVBand="1"/>
      </w:tblPr>
      <w:tblGrid>
        <w:gridCol w:w="2843"/>
        <w:gridCol w:w="849"/>
        <w:gridCol w:w="846"/>
        <w:gridCol w:w="846"/>
        <w:gridCol w:w="1138"/>
        <w:gridCol w:w="2380"/>
      </w:tblGrid>
      <w:tr w:rsidR="00817DA8" w:rsidRPr="004E74A6" w14:paraId="5C2F7F4C" w14:textId="35AB4E51" w:rsidTr="009D0EF1">
        <w:trPr>
          <w:trHeight w:val="454"/>
          <w:tblHeader/>
          <w:jc w:val="center"/>
        </w:trPr>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40CCAE2A" w14:textId="77777777" w:rsidR="00817DA8" w:rsidRPr="004E74A6" w:rsidRDefault="00817DA8" w:rsidP="00CE62C1">
            <w:pPr>
              <w:spacing w:line="276" w:lineRule="auto"/>
              <w:jc w:val="center"/>
              <w:rPr>
                <w:rFonts w:cs="Calibri"/>
                <w:color w:val="000000"/>
                <w:sz w:val="20"/>
                <w:lang w:eastAsia="es-CR"/>
              </w:rPr>
            </w:pPr>
            <w:r w:rsidRPr="004E74A6">
              <w:rPr>
                <w:rFonts w:cs="Calibri"/>
                <w:color w:val="000000"/>
                <w:sz w:val="20"/>
                <w:lang w:eastAsia="es-CR"/>
              </w:rPr>
              <w:t>Ordinario</w:t>
            </w:r>
          </w:p>
        </w:tc>
        <w:tc>
          <w:tcPr>
            <w:tcW w:w="4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7424AB1" w14:textId="77777777" w:rsidR="00817DA8" w:rsidRPr="004E74A6" w:rsidRDefault="00817DA8" w:rsidP="00CE62C1">
            <w:pPr>
              <w:spacing w:line="276" w:lineRule="auto"/>
              <w:jc w:val="center"/>
              <w:rPr>
                <w:rFonts w:cs="Calibri"/>
                <w:color w:val="000000"/>
                <w:sz w:val="20"/>
                <w:lang w:eastAsia="es-CR"/>
              </w:rPr>
            </w:pPr>
            <w:r w:rsidRPr="004E74A6">
              <w:rPr>
                <w:rFonts w:cs="Calibri"/>
                <w:color w:val="000000"/>
                <w:sz w:val="20"/>
                <w:lang w:eastAsia="es-CR"/>
              </w:rPr>
              <w:t>2019</w:t>
            </w:r>
          </w:p>
        </w:tc>
        <w:tc>
          <w:tcPr>
            <w:tcW w:w="47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5381C14" w14:textId="77777777" w:rsidR="00817DA8" w:rsidRPr="004E74A6" w:rsidRDefault="00817DA8" w:rsidP="00CE62C1">
            <w:pPr>
              <w:spacing w:line="276" w:lineRule="auto"/>
              <w:jc w:val="center"/>
              <w:rPr>
                <w:rFonts w:cs="Calibri"/>
                <w:color w:val="000000"/>
                <w:sz w:val="20"/>
                <w:lang w:eastAsia="es-CR"/>
              </w:rPr>
            </w:pPr>
            <w:r w:rsidRPr="004E74A6">
              <w:rPr>
                <w:rFonts w:cs="Calibri"/>
                <w:color w:val="000000"/>
                <w:sz w:val="20"/>
                <w:lang w:eastAsia="es-CR"/>
              </w:rPr>
              <w:t>2020</w:t>
            </w:r>
          </w:p>
        </w:tc>
        <w:tc>
          <w:tcPr>
            <w:tcW w:w="47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499F273" w14:textId="77777777" w:rsidR="00817DA8" w:rsidRPr="004E74A6" w:rsidRDefault="00817DA8" w:rsidP="00CE62C1">
            <w:pPr>
              <w:spacing w:line="276" w:lineRule="auto"/>
              <w:jc w:val="center"/>
              <w:rPr>
                <w:rFonts w:cs="Calibri"/>
                <w:color w:val="000000"/>
                <w:sz w:val="20"/>
                <w:lang w:eastAsia="es-CR"/>
              </w:rPr>
            </w:pPr>
            <w:r w:rsidRPr="004E74A6">
              <w:rPr>
                <w:rFonts w:cs="Calibri"/>
                <w:color w:val="000000"/>
                <w:sz w:val="20"/>
                <w:lang w:eastAsia="es-CR"/>
              </w:rPr>
              <w:t>2021</w:t>
            </w:r>
          </w:p>
        </w:tc>
        <w:tc>
          <w:tcPr>
            <w:tcW w:w="639" w:type="pct"/>
            <w:tcBorders>
              <w:top w:val="single" w:sz="4" w:space="0" w:color="auto"/>
              <w:left w:val="single" w:sz="4" w:space="0" w:color="auto"/>
              <w:bottom w:val="single" w:sz="4" w:space="0" w:color="auto"/>
              <w:right w:val="nil"/>
            </w:tcBorders>
            <w:shd w:val="clear" w:color="auto" w:fill="auto"/>
            <w:noWrap/>
            <w:vAlign w:val="center"/>
          </w:tcPr>
          <w:p w14:paraId="40F6EEAF" w14:textId="7FBCDD99" w:rsidR="00817DA8" w:rsidRPr="004E74A6" w:rsidRDefault="00817DA8" w:rsidP="00CE62C1">
            <w:pPr>
              <w:spacing w:line="276" w:lineRule="auto"/>
              <w:jc w:val="center"/>
              <w:rPr>
                <w:rFonts w:cs="Calibri"/>
                <w:color w:val="000000"/>
                <w:sz w:val="20"/>
                <w:lang w:eastAsia="es-CR"/>
              </w:rPr>
            </w:pPr>
            <w:r w:rsidRPr="004E74A6">
              <w:rPr>
                <w:rFonts w:cs="Calibri"/>
                <w:color w:val="000000"/>
                <w:sz w:val="20"/>
                <w:lang w:eastAsia="es-CR"/>
              </w:rPr>
              <w:t>Promedio</w:t>
            </w:r>
          </w:p>
        </w:tc>
        <w:tc>
          <w:tcPr>
            <w:tcW w:w="1337" w:type="pct"/>
            <w:tcBorders>
              <w:top w:val="single" w:sz="4" w:space="0" w:color="auto"/>
              <w:left w:val="single" w:sz="4" w:space="0" w:color="auto"/>
              <w:bottom w:val="single" w:sz="4" w:space="0" w:color="auto"/>
              <w:right w:val="nil"/>
            </w:tcBorders>
          </w:tcPr>
          <w:p w14:paraId="07E83A8B" w14:textId="1C6CB9B7" w:rsidR="00817DA8" w:rsidRPr="004E74A6" w:rsidRDefault="00817DA8" w:rsidP="00832773">
            <w:pPr>
              <w:spacing w:line="276" w:lineRule="auto"/>
              <w:jc w:val="center"/>
              <w:rPr>
                <w:rFonts w:cs="Calibri"/>
                <w:color w:val="000000"/>
                <w:sz w:val="20"/>
                <w:lang w:eastAsia="es-CR"/>
              </w:rPr>
            </w:pPr>
            <w:r w:rsidRPr="004E74A6">
              <w:rPr>
                <w:rFonts w:cs="Calibri"/>
                <w:color w:val="000000"/>
                <w:sz w:val="20"/>
              </w:rPr>
              <w:t>Pérdida porcentual en la entrada en caso de elevarse la cuantía según rango escenario A1</w:t>
            </w:r>
          </w:p>
        </w:tc>
      </w:tr>
      <w:tr w:rsidR="00817DA8" w:rsidRPr="004E74A6" w14:paraId="403E3EBF" w14:textId="0F709918" w:rsidTr="00817DA8">
        <w:trPr>
          <w:trHeight w:val="288"/>
          <w:jc w:val="center"/>
        </w:trPr>
        <w:tc>
          <w:tcPr>
            <w:tcW w:w="1597" w:type="pct"/>
            <w:tcBorders>
              <w:top w:val="single" w:sz="4" w:space="0" w:color="auto"/>
              <w:left w:val="nil"/>
              <w:bottom w:val="nil"/>
              <w:right w:val="single" w:sz="4" w:space="0" w:color="auto"/>
            </w:tcBorders>
            <w:shd w:val="clear" w:color="auto" w:fill="auto"/>
            <w:noWrap/>
            <w:vAlign w:val="center"/>
          </w:tcPr>
          <w:p w14:paraId="25336AA4" w14:textId="77777777" w:rsidR="00817DA8" w:rsidRPr="004E74A6" w:rsidRDefault="00817DA8" w:rsidP="00CE62C1">
            <w:pPr>
              <w:spacing w:line="276" w:lineRule="auto"/>
              <w:jc w:val="center"/>
              <w:rPr>
                <w:rFonts w:cs="Calibri"/>
                <w:color w:val="000000"/>
                <w:sz w:val="20"/>
                <w:lang w:eastAsia="es-CR"/>
              </w:rPr>
            </w:pPr>
          </w:p>
        </w:tc>
        <w:tc>
          <w:tcPr>
            <w:tcW w:w="477" w:type="pct"/>
            <w:tcBorders>
              <w:top w:val="single" w:sz="4" w:space="0" w:color="auto"/>
              <w:left w:val="single" w:sz="4" w:space="0" w:color="auto"/>
              <w:bottom w:val="nil"/>
              <w:right w:val="single" w:sz="4" w:space="0" w:color="auto"/>
            </w:tcBorders>
            <w:shd w:val="clear" w:color="auto" w:fill="auto"/>
            <w:noWrap/>
            <w:vAlign w:val="center"/>
          </w:tcPr>
          <w:p w14:paraId="408EDBDC" w14:textId="77777777" w:rsidR="00817DA8" w:rsidRPr="004E74A6" w:rsidRDefault="00817DA8" w:rsidP="00CE62C1">
            <w:pPr>
              <w:spacing w:line="276" w:lineRule="auto"/>
              <w:jc w:val="center"/>
              <w:rPr>
                <w:rFonts w:cs="Calibri"/>
                <w:color w:val="000000"/>
                <w:sz w:val="20"/>
                <w:lang w:eastAsia="es-CR"/>
              </w:rPr>
            </w:pPr>
          </w:p>
        </w:tc>
        <w:tc>
          <w:tcPr>
            <w:tcW w:w="475" w:type="pct"/>
            <w:tcBorders>
              <w:top w:val="single" w:sz="4" w:space="0" w:color="auto"/>
              <w:left w:val="single" w:sz="4" w:space="0" w:color="auto"/>
              <w:bottom w:val="nil"/>
              <w:right w:val="single" w:sz="4" w:space="0" w:color="auto"/>
            </w:tcBorders>
            <w:shd w:val="clear" w:color="auto" w:fill="auto"/>
            <w:noWrap/>
            <w:vAlign w:val="center"/>
          </w:tcPr>
          <w:p w14:paraId="43956F4C" w14:textId="77777777" w:rsidR="00817DA8" w:rsidRPr="004E74A6" w:rsidRDefault="00817DA8" w:rsidP="00CE62C1">
            <w:pPr>
              <w:spacing w:line="276" w:lineRule="auto"/>
              <w:jc w:val="center"/>
              <w:rPr>
                <w:rFonts w:cs="Calibri"/>
                <w:color w:val="000000"/>
                <w:sz w:val="20"/>
                <w:lang w:eastAsia="es-CR"/>
              </w:rPr>
            </w:pPr>
          </w:p>
        </w:tc>
        <w:tc>
          <w:tcPr>
            <w:tcW w:w="475" w:type="pct"/>
            <w:tcBorders>
              <w:top w:val="single" w:sz="4" w:space="0" w:color="auto"/>
              <w:left w:val="single" w:sz="4" w:space="0" w:color="auto"/>
              <w:bottom w:val="nil"/>
              <w:right w:val="single" w:sz="4" w:space="0" w:color="auto"/>
            </w:tcBorders>
            <w:shd w:val="clear" w:color="auto" w:fill="auto"/>
            <w:noWrap/>
            <w:vAlign w:val="center"/>
          </w:tcPr>
          <w:p w14:paraId="56DB916C" w14:textId="77777777" w:rsidR="00817DA8" w:rsidRPr="004E74A6" w:rsidRDefault="00817DA8" w:rsidP="00CE62C1">
            <w:pPr>
              <w:spacing w:line="276" w:lineRule="auto"/>
              <w:jc w:val="center"/>
              <w:rPr>
                <w:rFonts w:cs="Calibri"/>
                <w:color w:val="000000"/>
                <w:sz w:val="20"/>
                <w:lang w:eastAsia="es-CR"/>
              </w:rPr>
            </w:pPr>
          </w:p>
        </w:tc>
        <w:tc>
          <w:tcPr>
            <w:tcW w:w="639" w:type="pct"/>
            <w:tcBorders>
              <w:top w:val="single" w:sz="4" w:space="0" w:color="auto"/>
              <w:left w:val="single" w:sz="4" w:space="0" w:color="auto"/>
              <w:bottom w:val="nil"/>
              <w:right w:val="nil"/>
            </w:tcBorders>
            <w:shd w:val="clear" w:color="auto" w:fill="auto"/>
            <w:noWrap/>
            <w:vAlign w:val="center"/>
          </w:tcPr>
          <w:p w14:paraId="4066BBC5" w14:textId="77777777" w:rsidR="00817DA8" w:rsidRPr="004E74A6" w:rsidRDefault="00817DA8" w:rsidP="00CE62C1">
            <w:pPr>
              <w:spacing w:line="276" w:lineRule="auto"/>
              <w:jc w:val="center"/>
              <w:rPr>
                <w:rFonts w:cs="Calibri"/>
                <w:color w:val="000000"/>
                <w:sz w:val="20"/>
                <w:lang w:eastAsia="es-CR"/>
              </w:rPr>
            </w:pPr>
          </w:p>
        </w:tc>
        <w:tc>
          <w:tcPr>
            <w:tcW w:w="1337" w:type="pct"/>
            <w:tcBorders>
              <w:top w:val="single" w:sz="4" w:space="0" w:color="auto"/>
              <w:left w:val="single" w:sz="4" w:space="0" w:color="auto"/>
              <w:bottom w:val="nil"/>
              <w:right w:val="nil"/>
            </w:tcBorders>
          </w:tcPr>
          <w:p w14:paraId="6DADE550" w14:textId="77777777" w:rsidR="00817DA8" w:rsidRPr="004E74A6" w:rsidRDefault="00817DA8" w:rsidP="00CE62C1">
            <w:pPr>
              <w:spacing w:line="276" w:lineRule="auto"/>
              <w:jc w:val="center"/>
              <w:rPr>
                <w:rFonts w:cs="Calibri"/>
                <w:color w:val="000000"/>
                <w:sz w:val="20"/>
                <w:lang w:eastAsia="es-CR"/>
              </w:rPr>
            </w:pPr>
          </w:p>
        </w:tc>
      </w:tr>
      <w:tr w:rsidR="00817DA8" w:rsidRPr="004E74A6" w14:paraId="31B45032" w14:textId="7C1FCC99" w:rsidTr="00817DA8">
        <w:trPr>
          <w:trHeight w:val="288"/>
          <w:jc w:val="center"/>
        </w:trPr>
        <w:tc>
          <w:tcPr>
            <w:tcW w:w="1597" w:type="pct"/>
            <w:tcBorders>
              <w:top w:val="nil"/>
              <w:left w:val="nil"/>
              <w:bottom w:val="nil"/>
              <w:right w:val="single" w:sz="4" w:space="0" w:color="auto"/>
            </w:tcBorders>
            <w:shd w:val="clear" w:color="auto" w:fill="auto"/>
            <w:noWrap/>
            <w:vAlign w:val="center"/>
          </w:tcPr>
          <w:p w14:paraId="2EF9F87C" w14:textId="77777777" w:rsidR="00817DA8" w:rsidRPr="004E74A6" w:rsidRDefault="00817DA8" w:rsidP="00CE62C1">
            <w:pPr>
              <w:spacing w:line="276" w:lineRule="auto"/>
              <w:jc w:val="center"/>
              <w:rPr>
                <w:rFonts w:cs="Calibri"/>
                <w:color w:val="000000"/>
                <w:sz w:val="20"/>
                <w:lang w:eastAsia="es-CR"/>
              </w:rPr>
            </w:pPr>
            <w:r w:rsidRPr="004E74A6">
              <w:rPr>
                <w:rFonts w:cs="Calibri"/>
                <w:color w:val="000000"/>
                <w:sz w:val="20"/>
                <w:lang w:eastAsia="es-CR"/>
              </w:rPr>
              <w:t>Total</w:t>
            </w:r>
          </w:p>
        </w:tc>
        <w:tc>
          <w:tcPr>
            <w:tcW w:w="477" w:type="pct"/>
            <w:tcBorders>
              <w:top w:val="nil"/>
              <w:left w:val="single" w:sz="4" w:space="0" w:color="auto"/>
              <w:bottom w:val="nil"/>
              <w:right w:val="single" w:sz="4" w:space="0" w:color="auto"/>
            </w:tcBorders>
            <w:shd w:val="clear" w:color="auto" w:fill="auto"/>
            <w:noWrap/>
            <w:vAlign w:val="center"/>
          </w:tcPr>
          <w:p w14:paraId="46BE7162" w14:textId="319A4962"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0</w:t>
            </w:r>
          </w:p>
        </w:tc>
        <w:tc>
          <w:tcPr>
            <w:tcW w:w="475" w:type="pct"/>
            <w:tcBorders>
              <w:top w:val="nil"/>
              <w:left w:val="single" w:sz="4" w:space="0" w:color="auto"/>
              <w:bottom w:val="nil"/>
              <w:right w:val="single" w:sz="4" w:space="0" w:color="auto"/>
            </w:tcBorders>
            <w:shd w:val="clear" w:color="auto" w:fill="auto"/>
            <w:noWrap/>
            <w:vAlign w:val="center"/>
          </w:tcPr>
          <w:p w14:paraId="13108942" w14:textId="57B7022D"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23</w:t>
            </w:r>
          </w:p>
        </w:tc>
        <w:tc>
          <w:tcPr>
            <w:tcW w:w="475" w:type="pct"/>
            <w:tcBorders>
              <w:top w:val="nil"/>
              <w:left w:val="single" w:sz="4" w:space="0" w:color="auto"/>
              <w:bottom w:val="nil"/>
              <w:right w:val="single" w:sz="4" w:space="0" w:color="auto"/>
            </w:tcBorders>
            <w:shd w:val="clear" w:color="auto" w:fill="auto"/>
            <w:noWrap/>
            <w:vAlign w:val="center"/>
          </w:tcPr>
          <w:p w14:paraId="7C6E557B" w14:textId="536587AD"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28</w:t>
            </w:r>
          </w:p>
        </w:tc>
        <w:tc>
          <w:tcPr>
            <w:tcW w:w="639" w:type="pct"/>
            <w:tcBorders>
              <w:top w:val="nil"/>
              <w:left w:val="single" w:sz="4" w:space="0" w:color="auto"/>
              <w:bottom w:val="nil"/>
              <w:right w:val="nil"/>
            </w:tcBorders>
            <w:shd w:val="clear" w:color="auto" w:fill="auto"/>
            <w:noWrap/>
            <w:vAlign w:val="center"/>
          </w:tcPr>
          <w:p w14:paraId="2FD24BD7" w14:textId="64C07F0D" w:rsidR="00817DA8" w:rsidRPr="004E74A6" w:rsidRDefault="00817DA8" w:rsidP="00CE62C1">
            <w:pPr>
              <w:spacing w:line="276" w:lineRule="auto"/>
              <w:jc w:val="center"/>
              <w:rPr>
                <w:rFonts w:cs="Calibri"/>
                <w:color w:val="000000"/>
                <w:sz w:val="20"/>
                <w:lang w:eastAsia="es-CR"/>
              </w:rPr>
            </w:pPr>
            <w:r w:rsidRPr="004E74A6">
              <w:rPr>
                <w:rFonts w:ascii="Calibri" w:hAnsi="Calibri" w:cs="Calibri"/>
                <w:color w:val="000000"/>
                <w:sz w:val="22"/>
                <w:szCs w:val="22"/>
              </w:rPr>
              <w:t>17,0</w:t>
            </w:r>
          </w:p>
        </w:tc>
        <w:tc>
          <w:tcPr>
            <w:tcW w:w="1337" w:type="pct"/>
            <w:tcBorders>
              <w:top w:val="nil"/>
              <w:left w:val="single" w:sz="4" w:space="0" w:color="auto"/>
              <w:bottom w:val="nil"/>
              <w:right w:val="nil"/>
            </w:tcBorders>
          </w:tcPr>
          <w:p w14:paraId="6AF8F5B4" w14:textId="77777777" w:rsidR="00817DA8" w:rsidRPr="004E74A6" w:rsidRDefault="00817DA8" w:rsidP="00CE62C1">
            <w:pPr>
              <w:spacing w:line="276" w:lineRule="auto"/>
              <w:jc w:val="center"/>
              <w:rPr>
                <w:rFonts w:ascii="Calibri" w:hAnsi="Calibri" w:cs="Calibri"/>
                <w:color w:val="000000"/>
                <w:sz w:val="22"/>
                <w:szCs w:val="22"/>
              </w:rPr>
            </w:pPr>
          </w:p>
        </w:tc>
      </w:tr>
      <w:tr w:rsidR="00817DA8" w:rsidRPr="004E74A6" w14:paraId="226A5E8A" w14:textId="43EA5A90" w:rsidTr="00817DA8">
        <w:trPr>
          <w:trHeight w:val="288"/>
          <w:jc w:val="center"/>
        </w:trPr>
        <w:tc>
          <w:tcPr>
            <w:tcW w:w="1597" w:type="pct"/>
            <w:tcBorders>
              <w:top w:val="nil"/>
              <w:left w:val="nil"/>
              <w:bottom w:val="nil"/>
              <w:right w:val="single" w:sz="4" w:space="0" w:color="auto"/>
            </w:tcBorders>
            <w:shd w:val="clear" w:color="auto" w:fill="auto"/>
            <w:noWrap/>
            <w:vAlign w:val="bottom"/>
          </w:tcPr>
          <w:p w14:paraId="6D7566E0" w14:textId="77777777" w:rsidR="00817DA8" w:rsidRPr="004E74A6" w:rsidRDefault="00817DA8" w:rsidP="00CE62C1">
            <w:pPr>
              <w:spacing w:line="276" w:lineRule="auto"/>
              <w:jc w:val="left"/>
              <w:rPr>
                <w:rFonts w:cs="Calibri"/>
                <w:color w:val="000000"/>
                <w:sz w:val="20"/>
                <w:lang w:eastAsia="es-CR"/>
              </w:rPr>
            </w:pPr>
          </w:p>
        </w:tc>
        <w:tc>
          <w:tcPr>
            <w:tcW w:w="477" w:type="pct"/>
            <w:tcBorders>
              <w:top w:val="nil"/>
              <w:left w:val="single" w:sz="4" w:space="0" w:color="auto"/>
              <w:bottom w:val="nil"/>
              <w:right w:val="single" w:sz="4" w:space="0" w:color="auto"/>
            </w:tcBorders>
            <w:shd w:val="clear" w:color="auto" w:fill="auto"/>
            <w:noWrap/>
            <w:vAlign w:val="center"/>
          </w:tcPr>
          <w:p w14:paraId="4BF8A1FA" w14:textId="77777777" w:rsidR="00817DA8" w:rsidRPr="004E74A6" w:rsidRDefault="00817DA8" w:rsidP="00CE62C1">
            <w:pPr>
              <w:spacing w:line="276" w:lineRule="auto"/>
              <w:jc w:val="center"/>
              <w:rPr>
                <w:rFonts w:cs="Calibri"/>
                <w:color w:val="000000"/>
                <w:sz w:val="20"/>
                <w:lang w:eastAsia="es-CR"/>
              </w:rPr>
            </w:pPr>
          </w:p>
        </w:tc>
        <w:tc>
          <w:tcPr>
            <w:tcW w:w="475" w:type="pct"/>
            <w:tcBorders>
              <w:top w:val="nil"/>
              <w:left w:val="single" w:sz="4" w:space="0" w:color="auto"/>
              <w:bottom w:val="nil"/>
              <w:right w:val="single" w:sz="4" w:space="0" w:color="auto"/>
            </w:tcBorders>
            <w:shd w:val="clear" w:color="auto" w:fill="auto"/>
            <w:noWrap/>
            <w:vAlign w:val="center"/>
          </w:tcPr>
          <w:p w14:paraId="1C6ABE60" w14:textId="77777777" w:rsidR="00817DA8" w:rsidRPr="004E74A6" w:rsidRDefault="00817DA8" w:rsidP="00CE62C1">
            <w:pPr>
              <w:spacing w:line="276" w:lineRule="auto"/>
              <w:jc w:val="center"/>
              <w:rPr>
                <w:rFonts w:cs="Calibri"/>
                <w:color w:val="000000"/>
                <w:sz w:val="20"/>
                <w:lang w:eastAsia="es-CR"/>
              </w:rPr>
            </w:pPr>
          </w:p>
        </w:tc>
        <w:tc>
          <w:tcPr>
            <w:tcW w:w="475" w:type="pct"/>
            <w:tcBorders>
              <w:top w:val="nil"/>
              <w:left w:val="single" w:sz="4" w:space="0" w:color="auto"/>
              <w:bottom w:val="nil"/>
              <w:right w:val="single" w:sz="4" w:space="0" w:color="auto"/>
            </w:tcBorders>
            <w:shd w:val="clear" w:color="auto" w:fill="auto"/>
            <w:noWrap/>
            <w:vAlign w:val="center"/>
          </w:tcPr>
          <w:p w14:paraId="46163873" w14:textId="77777777" w:rsidR="00817DA8" w:rsidRPr="004E74A6" w:rsidRDefault="00817DA8" w:rsidP="00CE62C1">
            <w:pPr>
              <w:spacing w:line="276" w:lineRule="auto"/>
              <w:jc w:val="center"/>
              <w:rPr>
                <w:rFonts w:cs="Calibri"/>
                <w:color w:val="000000"/>
                <w:sz w:val="20"/>
                <w:lang w:eastAsia="es-CR"/>
              </w:rPr>
            </w:pPr>
          </w:p>
        </w:tc>
        <w:tc>
          <w:tcPr>
            <w:tcW w:w="639" w:type="pct"/>
            <w:tcBorders>
              <w:top w:val="nil"/>
              <w:left w:val="single" w:sz="4" w:space="0" w:color="auto"/>
              <w:bottom w:val="nil"/>
              <w:right w:val="nil"/>
            </w:tcBorders>
            <w:shd w:val="clear" w:color="auto" w:fill="auto"/>
            <w:noWrap/>
            <w:vAlign w:val="center"/>
          </w:tcPr>
          <w:p w14:paraId="5D8069DE" w14:textId="77777777" w:rsidR="00817DA8" w:rsidRPr="004E74A6" w:rsidRDefault="00817DA8" w:rsidP="00CE62C1">
            <w:pPr>
              <w:spacing w:line="276" w:lineRule="auto"/>
              <w:jc w:val="center"/>
              <w:rPr>
                <w:rFonts w:cs="Calibri"/>
                <w:color w:val="000000"/>
                <w:sz w:val="20"/>
                <w:lang w:eastAsia="es-CR"/>
              </w:rPr>
            </w:pPr>
          </w:p>
        </w:tc>
        <w:tc>
          <w:tcPr>
            <w:tcW w:w="1337" w:type="pct"/>
            <w:tcBorders>
              <w:top w:val="nil"/>
              <w:left w:val="single" w:sz="4" w:space="0" w:color="auto"/>
              <w:bottom w:val="nil"/>
              <w:right w:val="nil"/>
            </w:tcBorders>
          </w:tcPr>
          <w:p w14:paraId="10A12BFE" w14:textId="77777777" w:rsidR="00817DA8" w:rsidRPr="004E74A6" w:rsidRDefault="00817DA8" w:rsidP="00CE62C1">
            <w:pPr>
              <w:spacing w:line="276" w:lineRule="auto"/>
              <w:jc w:val="center"/>
              <w:rPr>
                <w:rFonts w:cs="Calibri"/>
                <w:color w:val="000000"/>
                <w:sz w:val="20"/>
                <w:lang w:eastAsia="es-CR"/>
              </w:rPr>
            </w:pPr>
          </w:p>
        </w:tc>
      </w:tr>
      <w:tr w:rsidR="00817DA8" w:rsidRPr="004E74A6" w14:paraId="1B3D2737" w14:textId="67AFD466" w:rsidTr="00817DA8">
        <w:trPr>
          <w:trHeight w:val="288"/>
          <w:jc w:val="center"/>
        </w:trPr>
        <w:tc>
          <w:tcPr>
            <w:tcW w:w="1597" w:type="pct"/>
            <w:tcBorders>
              <w:top w:val="nil"/>
              <w:left w:val="nil"/>
              <w:bottom w:val="nil"/>
              <w:right w:val="single" w:sz="4" w:space="0" w:color="auto"/>
            </w:tcBorders>
            <w:shd w:val="clear" w:color="auto" w:fill="C5E0B3" w:themeFill="accent6" w:themeFillTint="66"/>
            <w:noWrap/>
            <w:vAlign w:val="bottom"/>
            <w:hideMark/>
          </w:tcPr>
          <w:p w14:paraId="65B99565" w14:textId="77777777" w:rsidR="00817DA8" w:rsidRPr="004E74A6" w:rsidRDefault="00817DA8" w:rsidP="00CE62C1">
            <w:pPr>
              <w:spacing w:line="276" w:lineRule="auto"/>
              <w:jc w:val="left"/>
              <w:rPr>
                <w:rFonts w:cs="Calibri"/>
                <w:color w:val="000000"/>
                <w:sz w:val="20"/>
                <w:lang w:eastAsia="es-CR"/>
              </w:rPr>
            </w:pPr>
            <w:r w:rsidRPr="004E74A6">
              <w:rPr>
                <w:rFonts w:cs="Calibri"/>
                <w:color w:val="000000"/>
                <w:sz w:val="20"/>
                <w:lang w:eastAsia="es-CR"/>
              </w:rPr>
              <w:t>Menos De ¢3.000.001</w:t>
            </w:r>
          </w:p>
        </w:tc>
        <w:tc>
          <w:tcPr>
            <w:tcW w:w="477" w:type="pct"/>
            <w:tcBorders>
              <w:top w:val="nil"/>
              <w:left w:val="single" w:sz="4" w:space="0" w:color="auto"/>
              <w:bottom w:val="nil"/>
              <w:right w:val="single" w:sz="4" w:space="0" w:color="auto"/>
            </w:tcBorders>
            <w:shd w:val="clear" w:color="auto" w:fill="C5E0B3" w:themeFill="accent6" w:themeFillTint="66"/>
            <w:noWrap/>
            <w:vAlign w:val="center"/>
            <w:hideMark/>
          </w:tcPr>
          <w:p w14:paraId="1BA5258D" w14:textId="1C81373A"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0</w:t>
            </w:r>
          </w:p>
        </w:tc>
        <w:tc>
          <w:tcPr>
            <w:tcW w:w="475" w:type="pct"/>
            <w:tcBorders>
              <w:top w:val="nil"/>
              <w:left w:val="single" w:sz="4" w:space="0" w:color="auto"/>
              <w:bottom w:val="nil"/>
              <w:right w:val="single" w:sz="4" w:space="0" w:color="auto"/>
            </w:tcBorders>
            <w:shd w:val="clear" w:color="auto" w:fill="C5E0B3" w:themeFill="accent6" w:themeFillTint="66"/>
            <w:noWrap/>
            <w:vAlign w:val="center"/>
            <w:hideMark/>
          </w:tcPr>
          <w:p w14:paraId="299E4E3E" w14:textId="6F8C06FE"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1</w:t>
            </w:r>
          </w:p>
        </w:tc>
        <w:tc>
          <w:tcPr>
            <w:tcW w:w="475" w:type="pct"/>
            <w:tcBorders>
              <w:top w:val="nil"/>
              <w:left w:val="single" w:sz="4" w:space="0" w:color="auto"/>
              <w:bottom w:val="nil"/>
              <w:right w:val="single" w:sz="4" w:space="0" w:color="auto"/>
            </w:tcBorders>
            <w:shd w:val="clear" w:color="auto" w:fill="C5E0B3" w:themeFill="accent6" w:themeFillTint="66"/>
            <w:noWrap/>
            <w:vAlign w:val="center"/>
            <w:hideMark/>
          </w:tcPr>
          <w:p w14:paraId="392C66F5" w14:textId="7FD526CA"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5</w:t>
            </w:r>
          </w:p>
        </w:tc>
        <w:tc>
          <w:tcPr>
            <w:tcW w:w="639" w:type="pct"/>
            <w:tcBorders>
              <w:top w:val="nil"/>
              <w:left w:val="single" w:sz="4" w:space="0" w:color="auto"/>
              <w:bottom w:val="nil"/>
              <w:right w:val="nil"/>
            </w:tcBorders>
            <w:shd w:val="clear" w:color="auto" w:fill="C5E0B3" w:themeFill="accent6" w:themeFillTint="66"/>
            <w:noWrap/>
            <w:vAlign w:val="center"/>
            <w:hideMark/>
          </w:tcPr>
          <w:p w14:paraId="777694F3" w14:textId="7A1AE37A"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2,0</w:t>
            </w:r>
          </w:p>
        </w:tc>
        <w:tc>
          <w:tcPr>
            <w:tcW w:w="1337" w:type="pct"/>
            <w:tcBorders>
              <w:top w:val="nil"/>
              <w:left w:val="single" w:sz="4" w:space="0" w:color="auto"/>
              <w:bottom w:val="nil"/>
              <w:right w:val="nil"/>
            </w:tcBorders>
            <w:shd w:val="clear" w:color="auto" w:fill="C5E0B3" w:themeFill="accent6" w:themeFillTint="66"/>
            <w:vAlign w:val="bottom"/>
          </w:tcPr>
          <w:p w14:paraId="5F742BD6" w14:textId="3C437630" w:rsidR="00817DA8" w:rsidRPr="004E74A6" w:rsidRDefault="00817DA8" w:rsidP="00CE62C1">
            <w:pPr>
              <w:spacing w:line="276" w:lineRule="auto"/>
              <w:jc w:val="center"/>
              <w:rPr>
                <w:rFonts w:cs="Calibri"/>
                <w:color w:val="000000"/>
                <w:sz w:val="20"/>
              </w:rPr>
            </w:pPr>
            <w:r w:rsidRPr="004E74A6">
              <w:rPr>
                <w:rFonts w:cs="Calibri"/>
                <w:color w:val="000000"/>
                <w:sz w:val="20"/>
              </w:rPr>
              <w:t>12%</w:t>
            </w:r>
          </w:p>
        </w:tc>
      </w:tr>
      <w:tr w:rsidR="00817DA8" w:rsidRPr="004E74A6" w14:paraId="22673917" w14:textId="16409375" w:rsidTr="00817DA8">
        <w:trPr>
          <w:trHeight w:val="288"/>
          <w:jc w:val="center"/>
        </w:trPr>
        <w:tc>
          <w:tcPr>
            <w:tcW w:w="1597" w:type="pct"/>
            <w:tcBorders>
              <w:top w:val="nil"/>
              <w:left w:val="nil"/>
              <w:bottom w:val="nil"/>
              <w:right w:val="single" w:sz="4" w:space="0" w:color="auto"/>
            </w:tcBorders>
            <w:shd w:val="clear" w:color="auto" w:fill="C5E0B3" w:themeFill="accent6" w:themeFillTint="66"/>
            <w:noWrap/>
            <w:vAlign w:val="bottom"/>
            <w:hideMark/>
          </w:tcPr>
          <w:p w14:paraId="1416230E" w14:textId="77777777" w:rsidR="00817DA8" w:rsidRPr="004E74A6" w:rsidRDefault="00817DA8" w:rsidP="00CE62C1">
            <w:pPr>
              <w:spacing w:line="276" w:lineRule="auto"/>
              <w:jc w:val="left"/>
              <w:rPr>
                <w:rFonts w:cs="Calibri"/>
                <w:color w:val="000000"/>
                <w:sz w:val="20"/>
                <w:lang w:eastAsia="es-CR"/>
              </w:rPr>
            </w:pPr>
            <w:r w:rsidRPr="004E74A6">
              <w:rPr>
                <w:rFonts w:cs="Calibri"/>
                <w:color w:val="000000"/>
                <w:sz w:val="20"/>
                <w:lang w:eastAsia="es-CR"/>
              </w:rPr>
              <w:t>De ¢3.000.001 A ¢4.000.000</w:t>
            </w:r>
          </w:p>
        </w:tc>
        <w:tc>
          <w:tcPr>
            <w:tcW w:w="477" w:type="pct"/>
            <w:tcBorders>
              <w:top w:val="nil"/>
              <w:left w:val="single" w:sz="4" w:space="0" w:color="auto"/>
              <w:bottom w:val="nil"/>
              <w:right w:val="single" w:sz="4" w:space="0" w:color="auto"/>
            </w:tcBorders>
            <w:shd w:val="clear" w:color="auto" w:fill="C5E0B3" w:themeFill="accent6" w:themeFillTint="66"/>
            <w:noWrap/>
            <w:vAlign w:val="center"/>
            <w:hideMark/>
          </w:tcPr>
          <w:p w14:paraId="304B7ACC" w14:textId="7495B70E"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0</w:t>
            </w:r>
          </w:p>
        </w:tc>
        <w:tc>
          <w:tcPr>
            <w:tcW w:w="475" w:type="pct"/>
            <w:tcBorders>
              <w:top w:val="nil"/>
              <w:left w:val="single" w:sz="4" w:space="0" w:color="auto"/>
              <w:bottom w:val="nil"/>
              <w:right w:val="single" w:sz="4" w:space="0" w:color="auto"/>
            </w:tcBorders>
            <w:shd w:val="clear" w:color="auto" w:fill="C5E0B3" w:themeFill="accent6" w:themeFillTint="66"/>
            <w:noWrap/>
            <w:vAlign w:val="center"/>
            <w:hideMark/>
          </w:tcPr>
          <w:p w14:paraId="5AB2AC1D" w14:textId="43B8DD42"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2</w:t>
            </w:r>
          </w:p>
        </w:tc>
        <w:tc>
          <w:tcPr>
            <w:tcW w:w="475" w:type="pct"/>
            <w:tcBorders>
              <w:top w:val="nil"/>
              <w:left w:val="single" w:sz="4" w:space="0" w:color="auto"/>
              <w:bottom w:val="nil"/>
              <w:right w:val="single" w:sz="4" w:space="0" w:color="auto"/>
            </w:tcBorders>
            <w:shd w:val="clear" w:color="auto" w:fill="C5E0B3" w:themeFill="accent6" w:themeFillTint="66"/>
            <w:noWrap/>
            <w:vAlign w:val="center"/>
            <w:hideMark/>
          </w:tcPr>
          <w:p w14:paraId="1381C3BB" w14:textId="260CF5F5"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0</w:t>
            </w:r>
          </w:p>
        </w:tc>
        <w:tc>
          <w:tcPr>
            <w:tcW w:w="639" w:type="pct"/>
            <w:tcBorders>
              <w:top w:val="nil"/>
              <w:left w:val="single" w:sz="4" w:space="0" w:color="auto"/>
              <w:bottom w:val="nil"/>
              <w:right w:val="nil"/>
            </w:tcBorders>
            <w:shd w:val="clear" w:color="auto" w:fill="C5E0B3" w:themeFill="accent6" w:themeFillTint="66"/>
            <w:noWrap/>
            <w:vAlign w:val="center"/>
            <w:hideMark/>
          </w:tcPr>
          <w:p w14:paraId="743EA5B0" w14:textId="13232293"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0,7</w:t>
            </w:r>
          </w:p>
        </w:tc>
        <w:tc>
          <w:tcPr>
            <w:tcW w:w="1337" w:type="pct"/>
            <w:tcBorders>
              <w:top w:val="nil"/>
              <w:left w:val="single" w:sz="4" w:space="0" w:color="auto"/>
              <w:bottom w:val="nil"/>
              <w:right w:val="nil"/>
            </w:tcBorders>
            <w:shd w:val="clear" w:color="auto" w:fill="C5E0B3" w:themeFill="accent6" w:themeFillTint="66"/>
            <w:vAlign w:val="bottom"/>
          </w:tcPr>
          <w:p w14:paraId="4665B929" w14:textId="0319D5E0" w:rsidR="00817DA8" w:rsidRPr="004E74A6" w:rsidRDefault="00817DA8" w:rsidP="00CE62C1">
            <w:pPr>
              <w:spacing w:line="276" w:lineRule="auto"/>
              <w:jc w:val="center"/>
              <w:rPr>
                <w:rFonts w:cs="Calibri"/>
                <w:color w:val="000000"/>
                <w:sz w:val="20"/>
              </w:rPr>
            </w:pPr>
            <w:r w:rsidRPr="004E74A6">
              <w:rPr>
                <w:rFonts w:cs="Calibri"/>
                <w:color w:val="000000"/>
                <w:sz w:val="20"/>
              </w:rPr>
              <w:t>16%</w:t>
            </w:r>
          </w:p>
        </w:tc>
      </w:tr>
      <w:tr w:rsidR="00817DA8" w:rsidRPr="004E74A6" w14:paraId="13EB6967" w14:textId="069B3E86" w:rsidTr="00817DA8">
        <w:trPr>
          <w:trHeight w:val="288"/>
          <w:jc w:val="center"/>
        </w:trPr>
        <w:tc>
          <w:tcPr>
            <w:tcW w:w="1597" w:type="pct"/>
            <w:tcBorders>
              <w:top w:val="nil"/>
              <w:left w:val="nil"/>
              <w:bottom w:val="nil"/>
              <w:right w:val="single" w:sz="4" w:space="0" w:color="auto"/>
            </w:tcBorders>
            <w:shd w:val="clear" w:color="auto" w:fill="C5E0B3" w:themeFill="accent6" w:themeFillTint="66"/>
            <w:noWrap/>
            <w:vAlign w:val="bottom"/>
            <w:hideMark/>
          </w:tcPr>
          <w:p w14:paraId="6D05ED69" w14:textId="77777777" w:rsidR="00817DA8" w:rsidRPr="00832773" w:rsidRDefault="00817DA8" w:rsidP="00CE62C1">
            <w:pPr>
              <w:spacing w:line="276" w:lineRule="auto"/>
              <w:jc w:val="left"/>
              <w:rPr>
                <w:rFonts w:cs="Calibri"/>
                <w:b/>
                <w:bCs/>
                <w:color w:val="000000"/>
                <w:sz w:val="20"/>
                <w:lang w:eastAsia="es-CR"/>
              </w:rPr>
            </w:pPr>
            <w:r w:rsidRPr="00832773">
              <w:rPr>
                <w:rFonts w:cs="Calibri"/>
                <w:b/>
                <w:bCs/>
                <w:color w:val="000000"/>
                <w:sz w:val="20"/>
                <w:lang w:eastAsia="es-CR"/>
              </w:rPr>
              <w:t>De ¢4.000.001 A ¢5.000.000</w:t>
            </w:r>
          </w:p>
        </w:tc>
        <w:tc>
          <w:tcPr>
            <w:tcW w:w="477" w:type="pct"/>
            <w:tcBorders>
              <w:top w:val="nil"/>
              <w:left w:val="single" w:sz="4" w:space="0" w:color="auto"/>
              <w:bottom w:val="nil"/>
              <w:right w:val="single" w:sz="4" w:space="0" w:color="auto"/>
            </w:tcBorders>
            <w:shd w:val="clear" w:color="auto" w:fill="C5E0B3" w:themeFill="accent6" w:themeFillTint="66"/>
            <w:noWrap/>
            <w:vAlign w:val="center"/>
            <w:hideMark/>
          </w:tcPr>
          <w:p w14:paraId="1771CEFB" w14:textId="45F2280F" w:rsidR="00817DA8" w:rsidRPr="00832773" w:rsidRDefault="00817DA8" w:rsidP="00CE62C1">
            <w:pPr>
              <w:spacing w:line="276" w:lineRule="auto"/>
              <w:jc w:val="center"/>
              <w:rPr>
                <w:rFonts w:cs="Calibri"/>
                <w:b/>
                <w:bCs/>
                <w:color w:val="000000"/>
                <w:sz w:val="20"/>
                <w:lang w:eastAsia="es-CR"/>
              </w:rPr>
            </w:pPr>
            <w:r w:rsidRPr="00832773">
              <w:rPr>
                <w:rFonts w:cs="Calibri"/>
                <w:b/>
                <w:bCs/>
                <w:color w:val="000000"/>
                <w:sz w:val="20"/>
              </w:rPr>
              <w:t>0</w:t>
            </w:r>
          </w:p>
        </w:tc>
        <w:tc>
          <w:tcPr>
            <w:tcW w:w="475" w:type="pct"/>
            <w:tcBorders>
              <w:top w:val="nil"/>
              <w:left w:val="single" w:sz="4" w:space="0" w:color="auto"/>
              <w:bottom w:val="nil"/>
              <w:right w:val="single" w:sz="4" w:space="0" w:color="auto"/>
            </w:tcBorders>
            <w:shd w:val="clear" w:color="auto" w:fill="C5E0B3" w:themeFill="accent6" w:themeFillTint="66"/>
            <w:noWrap/>
            <w:vAlign w:val="center"/>
            <w:hideMark/>
          </w:tcPr>
          <w:p w14:paraId="041E3427" w14:textId="3999F28B" w:rsidR="00817DA8" w:rsidRPr="00832773" w:rsidRDefault="00817DA8" w:rsidP="00CE62C1">
            <w:pPr>
              <w:spacing w:line="276" w:lineRule="auto"/>
              <w:jc w:val="center"/>
              <w:rPr>
                <w:rFonts w:cs="Calibri"/>
                <w:b/>
                <w:bCs/>
                <w:color w:val="000000"/>
                <w:sz w:val="20"/>
                <w:lang w:eastAsia="es-CR"/>
              </w:rPr>
            </w:pPr>
            <w:r w:rsidRPr="00832773">
              <w:rPr>
                <w:rFonts w:cs="Calibri"/>
                <w:b/>
                <w:bCs/>
                <w:color w:val="000000"/>
                <w:sz w:val="20"/>
              </w:rPr>
              <w:t>1</w:t>
            </w:r>
          </w:p>
        </w:tc>
        <w:tc>
          <w:tcPr>
            <w:tcW w:w="475" w:type="pct"/>
            <w:tcBorders>
              <w:top w:val="nil"/>
              <w:left w:val="single" w:sz="4" w:space="0" w:color="auto"/>
              <w:bottom w:val="nil"/>
              <w:right w:val="single" w:sz="4" w:space="0" w:color="auto"/>
            </w:tcBorders>
            <w:shd w:val="clear" w:color="auto" w:fill="C5E0B3" w:themeFill="accent6" w:themeFillTint="66"/>
            <w:noWrap/>
            <w:vAlign w:val="center"/>
            <w:hideMark/>
          </w:tcPr>
          <w:p w14:paraId="15C35BCA" w14:textId="66D81FB9" w:rsidR="00817DA8" w:rsidRPr="00832773" w:rsidRDefault="00817DA8" w:rsidP="00CE62C1">
            <w:pPr>
              <w:spacing w:line="276" w:lineRule="auto"/>
              <w:jc w:val="center"/>
              <w:rPr>
                <w:rFonts w:cs="Calibri"/>
                <w:b/>
                <w:bCs/>
                <w:color w:val="000000"/>
                <w:sz w:val="20"/>
                <w:lang w:eastAsia="es-CR"/>
              </w:rPr>
            </w:pPr>
            <w:r w:rsidRPr="00832773">
              <w:rPr>
                <w:rFonts w:cs="Calibri"/>
                <w:b/>
                <w:bCs/>
                <w:color w:val="000000"/>
                <w:sz w:val="20"/>
              </w:rPr>
              <w:t>3</w:t>
            </w:r>
          </w:p>
        </w:tc>
        <w:tc>
          <w:tcPr>
            <w:tcW w:w="639" w:type="pct"/>
            <w:tcBorders>
              <w:top w:val="nil"/>
              <w:left w:val="single" w:sz="4" w:space="0" w:color="auto"/>
              <w:bottom w:val="nil"/>
              <w:right w:val="nil"/>
            </w:tcBorders>
            <w:shd w:val="clear" w:color="auto" w:fill="C5E0B3" w:themeFill="accent6" w:themeFillTint="66"/>
            <w:noWrap/>
            <w:vAlign w:val="center"/>
            <w:hideMark/>
          </w:tcPr>
          <w:p w14:paraId="02A520E3" w14:textId="6E5F59F6" w:rsidR="00817DA8" w:rsidRPr="00832773" w:rsidRDefault="00817DA8" w:rsidP="00CE62C1">
            <w:pPr>
              <w:spacing w:line="276" w:lineRule="auto"/>
              <w:jc w:val="center"/>
              <w:rPr>
                <w:rFonts w:cs="Calibri"/>
                <w:b/>
                <w:bCs/>
                <w:color w:val="000000"/>
                <w:sz w:val="20"/>
                <w:lang w:eastAsia="es-CR"/>
              </w:rPr>
            </w:pPr>
            <w:r w:rsidRPr="00832773">
              <w:rPr>
                <w:rFonts w:cs="Calibri"/>
                <w:b/>
                <w:bCs/>
                <w:color w:val="000000"/>
                <w:sz w:val="20"/>
              </w:rPr>
              <w:t>1,3</w:t>
            </w:r>
          </w:p>
        </w:tc>
        <w:tc>
          <w:tcPr>
            <w:tcW w:w="1337" w:type="pct"/>
            <w:tcBorders>
              <w:top w:val="nil"/>
              <w:left w:val="single" w:sz="4" w:space="0" w:color="auto"/>
              <w:bottom w:val="nil"/>
              <w:right w:val="nil"/>
            </w:tcBorders>
            <w:shd w:val="clear" w:color="auto" w:fill="C5E0B3" w:themeFill="accent6" w:themeFillTint="66"/>
            <w:vAlign w:val="bottom"/>
          </w:tcPr>
          <w:p w14:paraId="0CBA5FD8" w14:textId="112E9BF7" w:rsidR="00817DA8" w:rsidRPr="00832773" w:rsidRDefault="00817DA8" w:rsidP="00CE62C1">
            <w:pPr>
              <w:spacing w:line="276" w:lineRule="auto"/>
              <w:jc w:val="center"/>
              <w:rPr>
                <w:rFonts w:cs="Calibri"/>
                <w:b/>
                <w:bCs/>
                <w:color w:val="000000"/>
                <w:sz w:val="20"/>
              </w:rPr>
            </w:pPr>
            <w:r w:rsidRPr="00832773">
              <w:rPr>
                <w:rFonts w:cs="Calibri"/>
                <w:b/>
                <w:bCs/>
                <w:color w:val="000000"/>
                <w:sz w:val="20"/>
              </w:rPr>
              <w:t>24%</w:t>
            </w:r>
          </w:p>
        </w:tc>
      </w:tr>
      <w:tr w:rsidR="00817DA8" w:rsidRPr="004E74A6" w14:paraId="0A3C990E" w14:textId="7831F23B" w:rsidTr="00817DA8">
        <w:trPr>
          <w:trHeight w:val="288"/>
          <w:jc w:val="center"/>
        </w:trPr>
        <w:tc>
          <w:tcPr>
            <w:tcW w:w="1597" w:type="pct"/>
            <w:tcBorders>
              <w:top w:val="nil"/>
              <w:left w:val="nil"/>
              <w:bottom w:val="nil"/>
              <w:right w:val="single" w:sz="4" w:space="0" w:color="auto"/>
            </w:tcBorders>
            <w:shd w:val="clear" w:color="auto" w:fill="C5E0B3" w:themeFill="accent6" w:themeFillTint="66"/>
            <w:noWrap/>
            <w:vAlign w:val="bottom"/>
            <w:hideMark/>
          </w:tcPr>
          <w:p w14:paraId="49374C18" w14:textId="77777777" w:rsidR="00817DA8" w:rsidRPr="004E74A6" w:rsidRDefault="00817DA8" w:rsidP="00CE62C1">
            <w:pPr>
              <w:spacing w:line="276" w:lineRule="auto"/>
              <w:jc w:val="left"/>
              <w:rPr>
                <w:rFonts w:cs="Calibri"/>
                <w:color w:val="000000"/>
                <w:sz w:val="20"/>
                <w:lang w:eastAsia="es-CR"/>
              </w:rPr>
            </w:pPr>
            <w:r w:rsidRPr="004E74A6">
              <w:rPr>
                <w:rFonts w:cs="Calibri"/>
                <w:color w:val="000000"/>
                <w:sz w:val="20"/>
                <w:lang w:eastAsia="es-CR"/>
              </w:rPr>
              <w:t>De ¢6.000.001 A ¢7.000.000</w:t>
            </w:r>
          </w:p>
        </w:tc>
        <w:tc>
          <w:tcPr>
            <w:tcW w:w="477" w:type="pct"/>
            <w:tcBorders>
              <w:top w:val="nil"/>
              <w:left w:val="single" w:sz="4" w:space="0" w:color="auto"/>
              <w:bottom w:val="nil"/>
              <w:right w:val="single" w:sz="4" w:space="0" w:color="auto"/>
            </w:tcBorders>
            <w:shd w:val="clear" w:color="auto" w:fill="C5E0B3" w:themeFill="accent6" w:themeFillTint="66"/>
            <w:noWrap/>
            <w:vAlign w:val="center"/>
            <w:hideMark/>
          </w:tcPr>
          <w:p w14:paraId="696EFD9F" w14:textId="5B0B168C"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0</w:t>
            </w:r>
          </w:p>
        </w:tc>
        <w:tc>
          <w:tcPr>
            <w:tcW w:w="475" w:type="pct"/>
            <w:tcBorders>
              <w:top w:val="nil"/>
              <w:left w:val="single" w:sz="4" w:space="0" w:color="auto"/>
              <w:bottom w:val="nil"/>
              <w:right w:val="single" w:sz="4" w:space="0" w:color="auto"/>
            </w:tcBorders>
            <w:shd w:val="clear" w:color="auto" w:fill="C5E0B3" w:themeFill="accent6" w:themeFillTint="66"/>
            <w:noWrap/>
            <w:vAlign w:val="center"/>
            <w:hideMark/>
          </w:tcPr>
          <w:p w14:paraId="6204B2D9" w14:textId="536CCD27" w:rsidR="00817DA8" w:rsidRPr="004E74A6" w:rsidRDefault="00817DA8" w:rsidP="00CE62C1">
            <w:pPr>
              <w:spacing w:line="276" w:lineRule="auto"/>
              <w:jc w:val="center"/>
              <w:rPr>
                <w:sz w:val="20"/>
                <w:lang w:eastAsia="es-CR"/>
              </w:rPr>
            </w:pPr>
            <w:r w:rsidRPr="004E74A6">
              <w:rPr>
                <w:rFonts w:cs="Calibri"/>
                <w:color w:val="000000"/>
                <w:sz w:val="20"/>
              </w:rPr>
              <w:t>0</w:t>
            </w:r>
          </w:p>
        </w:tc>
        <w:tc>
          <w:tcPr>
            <w:tcW w:w="475" w:type="pct"/>
            <w:tcBorders>
              <w:top w:val="nil"/>
              <w:left w:val="single" w:sz="4" w:space="0" w:color="auto"/>
              <w:bottom w:val="nil"/>
              <w:right w:val="single" w:sz="4" w:space="0" w:color="auto"/>
            </w:tcBorders>
            <w:shd w:val="clear" w:color="auto" w:fill="C5E0B3" w:themeFill="accent6" w:themeFillTint="66"/>
            <w:noWrap/>
            <w:vAlign w:val="center"/>
            <w:hideMark/>
          </w:tcPr>
          <w:p w14:paraId="694E12DC" w14:textId="00068683"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2</w:t>
            </w:r>
          </w:p>
        </w:tc>
        <w:tc>
          <w:tcPr>
            <w:tcW w:w="639" w:type="pct"/>
            <w:tcBorders>
              <w:top w:val="nil"/>
              <w:left w:val="single" w:sz="4" w:space="0" w:color="auto"/>
              <w:bottom w:val="nil"/>
              <w:right w:val="nil"/>
            </w:tcBorders>
            <w:shd w:val="clear" w:color="auto" w:fill="C5E0B3" w:themeFill="accent6" w:themeFillTint="66"/>
            <w:noWrap/>
            <w:vAlign w:val="center"/>
            <w:hideMark/>
          </w:tcPr>
          <w:p w14:paraId="73366E91" w14:textId="12541689"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0,7</w:t>
            </w:r>
          </w:p>
        </w:tc>
        <w:tc>
          <w:tcPr>
            <w:tcW w:w="1337" w:type="pct"/>
            <w:tcBorders>
              <w:top w:val="nil"/>
              <w:left w:val="single" w:sz="4" w:space="0" w:color="auto"/>
              <w:bottom w:val="nil"/>
              <w:right w:val="nil"/>
            </w:tcBorders>
            <w:shd w:val="clear" w:color="auto" w:fill="C5E0B3" w:themeFill="accent6" w:themeFillTint="66"/>
            <w:vAlign w:val="bottom"/>
          </w:tcPr>
          <w:p w14:paraId="2F26C070" w14:textId="4421FEF1" w:rsidR="00817DA8" w:rsidRPr="004E74A6" w:rsidRDefault="00817DA8" w:rsidP="00CE62C1">
            <w:pPr>
              <w:spacing w:line="276" w:lineRule="auto"/>
              <w:jc w:val="center"/>
              <w:rPr>
                <w:rFonts w:cs="Calibri"/>
                <w:color w:val="000000"/>
                <w:sz w:val="20"/>
              </w:rPr>
            </w:pPr>
            <w:r w:rsidRPr="004E74A6">
              <w:rPr>
                <w:rFonts w:cs="Calibri"/>
                <w:color w:val="000000"/>
                <w:sz w:val="20"/>
              </w:rPr>
              <w:t>27%</w:t>
            </w:r>
          </w:p>
        </w:tc>
      </w:tr>
      <w:tr w:rsidR="00817DA8" w:rsidRPr="004E74A6" w14:paraId="10FBB003" w14:textId="0010C296" w:rsidTr="00817DA8">
        <w:trPr>
          <w:trHeight w:val="288"/>
          <w:jc w:val="center"/>
        </w:trPr>
        <w:tc>
          <w:tcPr>
            <w:tcW w:w="1597" w:type="pct"/>
            <w:tcBorders>
              <w:top w:val="nil"/>
              <w:left w:val="nil"/>
              <w:bottom w:val="nil"/>
              <w:right w:val="single" w:sz="4" w:space="0" w:color="auto"/>
            </w:tcBorders>
            <w:shd w:val="clear" w:color="auto" w:fill="C5E0B3" w:themeFill="accent6" w:themeFillTint="66"/>
            <w:noWrap/>
            <w:vAlign w:val="bottom"/>
            <w:hideMark/>
          </w:tcPr>
          <w:p w14:paraId="51C8629C" w14:textId="77777777" w:rsidR="00817DA8" w:rsidRPr="004E74A6" w:rsidRDefault="00817DA8" w:rsidP="00CE62C1">
            <w:pPr>
              <w:spacing w:line="276" w:lineRule="auto"/>
              <w:jc w:val="left"/>
              <w:rPr>
                <w:rFonts w:cs="Calibri"/>
                <w:color w:val="000000"/>
                <w:sz w:val="20"/>
                <w:lang w:eastAsia="es-CR"/>
              </w:rPr>
            </w:pPr>
            <w:r w:rsidRPr="004E74A6">
              <w:rPr>
                <w:rFonts w:cs="Calibri"/>
                <w:color w:val="000000"/>
                <w:sz w:val="20"/>
                <w:lang w:eastAsia="es-CR"/>
              </w:rPr>
              <w:t>De ¢8.000.001 A ¢9.000.000</w:t>
            </w:r>
          </w:p>
        </w:tc>
        <w:tc>
          <w:tcPr>
            <w:tcW w:w="477" w:type="pct"/>
            <w:tcBorders>
              <w:top w:val="nil"/>
              <w:left w:val="single" w:sz="4" w:space="0" w:color="auto"/>
              <w:bottom w:val="nil"/>
              <w:right w:val="single" w:sz="4" w:space="0" w:color="auto"/>
            </w:tcBorders>
            <w:shd w:val="clear" w:color="auto" w:fill="C5E0B3" w:themeFill="accent6" w:themeFillTint="66"/>
            <w:noWrap/>
            <w:vAlign w:val="center"/>
            <w:hideMark/>
          </w:tcPr>
          <w:p w14:paraId="0F7BE12D" w14:textId="3EF12F4D"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0</w:t>
            </w:r>
          </w:p>
        </w:tc>
        <w:tc>
          <w:tcPr>
            <w:tcW w:w="475" w:type="pct"/>
            <w:tcBorders>
              <w:top w:val="nil"/>
              <w:left w:val="single" w:sz="4" w:space="0" w:color="auto"/>
              <w:bottom w:val="nil"/>
              <w:right w:val="single" w:sz="4" w:space="0" w:color="auto"/>
            </w:tcBorders>
            <w:shd w:val="clear" w:color="auto" w:fill="C5E0B3" w:themeFill="accent6" w:themeFillTint="66"/>
            <w:noWrap/>
            <w:vAlign w:val="center"/>
            <w:hideMark/>
          </w:tcPr>
          <w:p w14:paraId="1E7A4168" w14:textId="45B060BA" w:rsidR="00817DA8" w:rsidRPr="004E74A6" w:rsidRDefault="00817DA8" w:rsidP="00CE62C1">
            <w:pPr>
              <w:spacing w:line="276" w:lineRule="auto"/>
              <w:jc w:val="center"/>
              <w:rPr>
                <w:sz w:val="20"/>
                <w:lang w:eastAsia="es-CR"/>
              </w:rPr>
            </w:pPr>
            <w:r w:rsidRPr="004E74A6">
              <w:rPr>
                <w:rFonts w:cs="Calibri"/>
                <w:color w:val="000000"/>
                <w:sz w:val="20"/>
              </w:rPr>
              <w:t>0</w:t>
            </w:r>
          </w:p>
        </w:tc>
        <w:tc>
          <w:tcPr>
            <w:tcW w:w="475" w:type="pct"/>
            <w:tcBorders>
              <w:top w:val="nil"/>
              <w:left w:val="single" w:sz="4" w:space="0" w:color="auto"/>
              <w:bottom w:val="nil"/>
              <w:right w:val="single" w:sz="4" w:space="0" w:color="auto"/>
            </w:tcBorders>
            <w:shd w:val="clear" w:color="auto" w:fill="C5E0B3" w:themeFill="accent6" w:themeFillTint="66"/>
            <w:noWrap/>
            <w:vAlign w:val="center"/>
            <w:hideMark/>
          </w:tcPr>
          <w:p w14:paraId="532C0640" w14:textId="12B642F3"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2</w:t>
            </w:r>
          </w:p>
        </w:tc>
        <w:tc>
          <w:tcPr>
            <w:tcW w:w="639" w:type="pct"/>
            <w:tcBorders>
              <w:top w:val="nil"/>
              <w:left w:val="single" w:sz="4" w:space="0" w:color="auto"/>
              <w:bottom w:val="nil"/>
              <w:right w:val="nil"/>
            </w:tcBorders>
            <w:shd w:val="clear" w:color="auto" w:fill="C5E0B3" w:themeFill="accent6" w:themeFillTint="66"/>
            <w:noWrap/>
            <w:vAlign w:val="center"/>
            <w:hideMark/>
          </w:tcPr>
          <w:p w14:paraId="5AF8AC6D" w14:textId="44AFF273"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0,7</w:t>
            </w:r>
          </w:p>
        </w:tc>
        <w:tc>
          <w:tcPr>
            <w:tcW w:w="1337" w:type="pct"/>
            <w:tcBorders>
              <w:top w:val="nil"/>
              <w:left w:val="single" w:sz="4" w:space="0" w:color="auto"/>
              <w:bottom w:val="nil"/>
              <w:right w:val="nil"/>
            </w:tcBorders>
            <w:shd w:val="clear" w:color="auto" w:fill="C5E0B3" w:themeFill="accent6" w:themeFillTint="66"/>
            <w:vAlign w:val="bottom"/>
          </w:tcPr>
          <w:p w14:paraId="1E0593D1" w14:textId="673E3479" w:rsidR="00817DA8" w:rsidRPr="004E74A6" w:rsidRDefault="00817DA8" w:rsidP="00CE62C1">
            <w:pPr>
              <w:spacing w:line="276" w:lineRule="auto"/>
              <w:jc w:val="center"/>
              <w:rPr>
                <w:rFonts w:cs="Calibri"/>
                <w:color w:val="000000"/>
                <w:sz w:val="20"/>
              </w:rPr>
            </w:pPr>
            <w:r w:rsidRPr="004E74A6">
              <w:rPr>
                <w:rFonts w:cs="Calibri"/>
                <w:color w:val="000000"/>
                <w:sz w:val="20"/>
              </w:rPr>
              <w:t>31%</w:t>
            </w:r>
          </w:p>
        </w:tc>
      </w:tr>
      <w:tr w:rsidR="00817DA8" w:rsidRPr="004E74A6" w14:paraId="74D38FAD" w14:textId="73C6255C" w:rsidTr="00817DA8">
        <w:trPr>
          <w:trHeight w:val="288"/>
          <w:jc w:val="center"/>
        </w:trPr>
        <w:tc>
          <w:tcPr>
            <w:tcW w:w="1597" w:type="pct"/>
            <w:tcBorders>
              <w:top w:val="nil"/>
              <w:left w:val="nil"/>
              <w:bottom w:val="nil"/>
              <w:right w:val="single" w:sz="4" w:space="0" w:color="auto"/>
            </w:tcBorders>
            <w:shd w:val="clear" w:color="auto" w:fill="C5E0B3" w:themeFill="accent6" w:themeFillTint="66"/>
            <w:noWrap/>
            <w:vAlign w:val="bottom"/>
            <w:hideMark/>
          </w:tcPr>
          <w:p w14:paraId="229C1179" w14:textId="77777777" w:rsidR="00817DA8" w:rsidRPr="004E74A6" w:rsidRDefault="00817DA8" w:rsidP="00CE62C1">
            <w:pPr>
              <w:spacing w:line="276" w:lineRule="auto"/>
              <w:jc w:val="left"/>
              <w:rPr>
                <w:rFonts w:cs="Calibri"/>
                <w:color w:val="000000"/>
                <w:sz w:val="20"/>
                <w:lang w:eastAsia="es-CR"/>
              </w:rPr>
            </w:pPr>
            <w:r w:rsidRPr="004E74A6">
              <w:rPr>
                <w:rFonts w:cs="Calibri"/>
                <w:color w:val="000000"/>
                <w:sz w:val="20"/>
                <w:lang w:eastAsia="es-CR"/>
              </w:rPr>
              <w:t>De ¢9.000.001 A ¢10.000.000</w:t>
            </w:r>
          </w:p>
        </w:tc>
        <w:tc>
          <w:tcPr>
            <w:tcW w:w="477" w:type="pct"/>
            <w:tcBorders>
              <w:top w:val="nil"/>
              <w:left w:val="single" w:sz="4" w:space="0" w:color="auto"/>
              <w:bottom w:val="nil"/>
              <w:right w:val="single" w:sz="4" w:space="0" w:color="auto"/>
            </w:tcBorders>
            <w:shd w:val="clear" w:color="auto" w:fill="C5E0B3" w:themeFill="accent6" w:themeFillTint="66"/>
            <w:noWrap/>
            <w:vAlign w:val="center"/>
            <w:hideMark/>
          </w:tcPr>
          <w:p w14:paraId="58571324" w14:textId="2CF4F521"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0</w:t>
            </w:r>
          </w:p>
        </w:tc>
        <w:tc>
          <w:tcPr>
            <w:tcW w:w="475" w:type="pct"/>
            <w:tcBorders>
              <w:top w:val="nil"/>
              <w:left w:val="single" w:sz="4" w:space="0" w:color="auto"/>
              <w:bottom w:val="nil"/>
              <w:right w:val="single" w:sz="4" w:space="0" w:color="auto"/>
            </w:tcBorders>
            <w:shd w:val="clear" w:color="auto" w:fill="C5E0B3" w:themeFill="accent6" w:themeFillTint="66"/>
            <w:noWrap/>
            <w:vAlign w:val="center"/>
            <w:hideMark/>
          </w:tcPr>
          <w:p w14:paraId="1F863129" w14:textId="0148FD3D"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2</w:t>
            </w:r>
          </w:p>
        </w:tc>
        <w:tc>
          <w:tcPr>
            <w:tcW w:w="475" w:type="pct"/>
            <w:tcBorders>
              <w:top w:val="nil"/>
              <w:left w:val="single" w:sz="4" w:space="0" w:color="auto"/>
              <w:bottom w:val="nil"/>
              <w:right w:val="single" w:sz="4" w:space="0" w:color="auto"/>
            </w:tcBorders>
            <w:shd w:val="clear" w:color="auto" w:fill="C5E0B3" w:themeFill="accent6" w:themeFillTint="66"/>
            <w:noWrap/>
            <w:vAlign w:val="center"/>
            <w:hideMark/>
          </w:tcPr>
          <w:p w14:paraId="7A18A6A4" w14:textId="59FBC908"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1</w:t>
            </w:r>
          </w:p>
        </w:tc>
        <w:tc>
          <w:tcPr>
            <w:tcW w:w="639" w:type="pct"/>
            <w:tcBorders>
              <w:top w:val="nil"/>
              <w:left w:val="single" w:sz="4" w:space="0" w:color="auto"/>
              <w:bottom w:val="nil"/>
              <w:right w:val="nil"/>
            </w:tcBorders>
            <w:shd w:val="clear" w:color="auto" w:fill="C5E0B3" w:themeFill="accent6" w:themeFillTint="66"/>
            <w:noWrap/>
            <w:vAlign w:val="center"/>
            <w:hideMark/>
          </w:tcPr>
          <w:p w14:paraId="1EBDDCFD" w14:textId="06E51545"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1,0</w:t>
            </w:r>
          </w:p>
        </w:tc>
        <w:tc>
          <w:tcPr>
            <w:tcW w:w="1337" w:type="pct"/>
            <w:tcBorders>
              <w:top w:val="nil"/>
              <w:left w:val="single" w:sz="4" w:space="0" w:color="auto"/>
              <w:bottom w:val="nil"/>
              <w:right w:val="nil"/>
            </w:tcBorders>
            <w:shd w:val="clear" w:color="auto" w:fill="C5E0B3" w:themeFill="accent6" w:themeFillTint="66"/>
            <w:vAlign w:val="bottom"/>
          </w:tcPr>
          <w:p w14:paraId="13943203" w14:textId="586FE663" w:rsidR="00817DA8" w:rsidRPr="004E74A6" w:rsidRDefault="00817DA8" w:rsidP="00CE62C1">
            <w:pPr>
              <w:spacing w:line="276" w:lineRule="auto"/>
              <w:jc w:val="center"/>
              <w:rPr>
                <w:rFonts w:cs="Calibri"/>
                <w:color w:val="000000"/>
                <w:sz w:val="20"/>
              </w:rPr>
            </w:pPr>
            <w:r w:rsidRPr="004E74A6">
              <w:rPr>
                <w:rFonts w:cs="Calibri"/>
                <w:color w:val="000000"/>
                <w:sz w:val="20"/>
              </w:rPr>
              <w:t>37%</w:t>
            </w:r>
          </w:p>
        </w:tc>
      </w:tr>
      <w:tr w:rsidR="00817DA8" w:rsidRPr="004E74A6" w14:paraId="2BE7EED5" w14:textId="5C775968" w:rsidTr="00817DA8">
        <w:trPr>
          <w:trHeight w:val="288"/>
          <w:jc w:val="center"/>
        </w:trPr>
        <w:tc>
          <w:tcPr>
            <w:tcW w:w="1597" w:type="pct"/>
            <w:tcBorders>
              <w:top w:val="nil"/>
              <w:left w:val="nil"/>
              <w:bottom w:val="nil"/>
              <w:right w:val="single" w:sz="4" w:space="0" w:color="auto"/>
            </w:tcBorders>
            <w:shd w:val="clear" w:color="auto" w:fill="C5E0B3" w:themeFill="accent6" w:themeFillTint="66"/>
            <w:noWrap/>
            <w:vAlign w:val="bottom"/>
            <w:hideMark/>
          </w:tcPr>
          <w:p w14:paraId="733BE1C5" w14:textId="77777777" w:rsidR="00817DA8" w:rsidRPr="004E74A6" w:rsidRDefault="00817DA8" w:rsidP="00CE62C1">
            <w:pPr>
              <w:spacing w:line="276" w:lineRule="auto"/>
              <w:jc w:val="left"/>
              <w:rPr>
                <w:rFonts w:cs="Calibri"/>
                <w:color w:val="000000"/>
                <w:sz w:val="20"/>
                <w:lang w:eastAsia="es-CR"/>
              </w:rPr>
            </w:pPr>
            <w:r w:rsidRPr="004E74A6">
              <w:rPr>
                <w:rFonts w:cs="Calibri"/>
                <w:color w:val="000000"/>
                <w:sz w:val="20"/>
                <w:lang w:eastAsia="es-CR"/>
              </w:rPr>
              <w:t>De ¢10.000.001 A ¢15.000.000</w:t>
            </w:r>
          </w:p>
        </w:tc>
        <w:tc>
          <w:tcPr>
            <w:tcW w:w="477" w:type="pct"/>
            <w:tcBorders>
              <w:top w:val="nil"/>
              <w:left w:val="single" w:sz="4" w:space="0" w:color="auto"/>
              <w:bottom w:val="nil"/>
              <w:right w:val="single" w:sz="4" w:space="0" w:color="auto"/>
            </w:tcBorders>
            <w:shd w:val="clear" w:color="auto" w:fill="C5E0B3" w:themeFill="accent6" w:themeFillTint="66"/>
            <w:noWrap/>
            <w:vAlign w:val="center"/>
            <w:hideMark/>
          </w:tcPr>
          <w:p w14:paraId="5B514192" w14:textId="1D6D9F68"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0</w:t>
            </w:r>
          </w:p>
        </w:tc>
        <w:tc>
          <w:tcPr>
            <w:tcW w:w="475" w:type="pct"/>
            <w:tcBorders>
              <w:top w:val="nil"/>
              <w:left w:val="single" w:sz="4" w:space="0" w:color="auto"/>
              <w:bottom w:val="nil"/>
              <w:right w:val="single" w:sz="4" w:space="0" w:color="auto"/>
            </w:tcBorders>
            <w:shd w:val="clear" w:color="auto" w:fill="C5E0B3" w:themeFill="accent6" w:themeFillTint="66"/>
            <w:noWrap/>
            <w:vAlign w:val="center"/>
            <w:hideMark/>
          </w:tcPr>
          <w:p w14:paraId="574D5362" w14:textId="53BBD9B9"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1</w:t>
            </w:r>
          </w:p>
        </w:tc>
        <w:tc>
          <w:tcPr>
            <w:tcW w:w="475" w:type="pct"/>
            <w:tcBorders>
              <w:top w:val="nil"/>
              <w:left w:val="single" w:sz="4" w:space="0" w:color="auto"/>
              <w:bottom w:val="nil"/>
              <w:right w:val="single" w:sz="4" w:space="0" w:color="auto"/>
            </w:tcBorders>
            <w:shd w:val="clear" w:color="auto" w:fill="C5E0B3" w:themeFill="accent6" w:themeFillTint="66"/>
            <w:noWrap/>
            <w:vAlign w:val="center"/>
            <w:hideMark/>
          </w:tcPr>
          <w:p w14:paraId="4C84AC2B" w14:textId="53F9FE66"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2</w:t>
            </w:r>
          </w:p>
        </w:tc>
        <w:tc>
          <w:tcPr>
            <w:tcW w:w="639" w:type="pct"/>
            <w:tcBorders>
              <w:top w:val="nil"/>
              <w:left w:val="single" w:sz="4" w:space="0" w:color="auto"/>
              <w:bottom w:val="nil"/>
              <w:right w:val="nil"/>
            </w:tcBorders>
            <w:shd w:val="clear" w:color="auto" w:fill="C5E0B3" w:themeFill="accent6" w:themeFillTint="66"/>
            <w:noWrap/>
            <w:vAlign w:val="center"/>
            <w:hideMark/>
          </w:tcPr>
          <w:p w14:paraId="18CDD819" w14:textId="26FF1FCD"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1,0</w:t>
            </w:r>
          </w:p>
        </w:tc>
        <w:tc>
          <w:tcPr>
            <w:tcW w:w="1337" w:type="pct"/>
            <w:tcBorders>
              <w:top w:val="nil"/>
              <w:left w:val="single" w:sz="4" w:space="0" w:color="auto"/>
              <w:bottom w:val="nil"/>
              <w:right w:val="nil"/>
            </w:tcBorders>
            <w:shd w:val="clear" w:color="auto" w:fill="C5E0B3" w:themeFill="accent6" w:themeFillTint="66"/>
            <w:vAlign w:val="bottom"/>
          </w:tcPr>
          <w:p w14:paraId="69ADCBF6" w14:textId="57E65B66" w:rsidR="00817DA8" w:rsidRPr="004E74A6" w:rsidRDefault="00817DA8" w:rsidP="00CE62C1">
            <w:pPr>
              <w:spacing w:line="276" w:lineRule="auto"/>
              <w:jc w:val="center"/>
              <w:rPr>
                <w:rFonts w:cs="Calibri"/>
                <w:color w:val="000000"/>
                <w:sz w:val="20"/>
              </w:rPr>
            </w:pPr>
            <w:r w:rsidRPr="004E74A6">
              <w:rPr>
                <w:rFonts w:cs="Calibri"/>
                <w:color w:val="000000"/>
                <w:sz w:val="20"/>
              </w:rPr>
              <w:t>43%</w:t>
            </w:r>
          </w:p>
        </w:tc>
      </w:tr>
      <w:tr w:rsidR="00817DA8" w:rsidRPr="004E74A6" w14:paraId="228F896C" w14:textId="6E71FE93" w:rsidTr="00817DA8">
        <w:trPr>
          <w:trHeight w:val="288"/>
          <w:jc w:val="center"/>
        </w:trPr>
        <w:tc>
          <w:tcPr>
            <w:tcW w:w="1597" w:type="pct"/>
            <w:tcBorders>
              <w:top w:val="nil"/>
              <w:left w:val="nil"/>
              <w:bottom w:val="nil"/>
              <w:right w:val="single" w:sz="4" w:space="0" w:color="auto"/>
            </w:tcBorders>
            <w:shd w:val="clear" w:color="auto" w:fill="C5E0B3" w:themeFill="accent6" w:themeFillTint="66"/>
            <w:noWrap/>
            <w:vAlign w:val="bottom"/>
            <w:hideMark/>
          </w:tcPr>
          <w:p w14:paraId="7BC21A3F" w14:textId="77777777" w:rsidR="00817DA8" w:rsidRPr="004E74A6" w:rsidRDefault="00817DA8" w:rsidP="00CE62C1">
            <w:pPr>
              <w:spacing w:line="276" w:lineRule="auto"/>
              <w:jc w:val="left"/>
              <w:rPr>
                <w:rFonts w:cs="Calibri"/>
                <w:color w:val="000000"/>
                <w:sz w:val="20"/>
                <w:lang w:eastAsia="es-CR"/>
              </w:rPr>
            </w:pPr>
            <w:r w:rsidRPr="004E74A6">
              <w:rPr>
                <w:rFonts w:cs="Calibri"/>
                <w:color w:val="000000"/>
                <w:sz w:val="20"/>
                <w:lang w:eastAsia="es-CR"/>
              </w:rPr>
              <w:t>De ¢15.000.001 A ¢20.000.000</w:t>
            </w:r>
          </w:p>
        </w:tc>
        <w:tc>
          <w:tcPr>
            <w:tcW w:w="477" w:type="pct"/>
            <w:tcBorders>
              <w:top w:val="nil"/>
              <w:left w:val="single" w:sz="4" w:space="0" w:color="auto"/>
              <w:bottom w:val="nil"/>
              <w:right w:val="single" w:sz="4" w:space="0" w:color="auto"/>
            </w:tcBorders>
            <w:shd w:val="clear" w:color="auto" w:fill="C5E0B3" w:themeFill="accent6" w:themeFillTint="66"/>
            <w:noWrap/>
            <w:vAlign w:val="center"/>
            <w:hideMark/>
          </w:tcPr>
          <w:p w14:paraId="6075DDEB" w14:textId="2473B744"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0</w:t>
            </w:r>
          </w:p>
        </w:tc>
        <w:tc>
          <w:tcPr>
            <w:tcW w:w="475" w:type="pct"/>
            <w:tcBorders>
              <w:top w:val="nil"/>
              <w:left w:val="single" w:sz="4" w:space="0" w:color="auto"/>
              <w:bottom w:val="nil"/>
              <w:right w:val="single" w:sz="4" w:space="0" w:color="auto"/>
            </w:tcBorders>
            <w:shd w:val="clear" w:color="auto" w:fill="C5E0B3" w:themeFill="accent6" w:themeFillTint="66"/>
            <w:noWrap/>
            <w:vAlign w:val="center"/>
            <w:hideMark/>
          </w:tcPr>
          <w:p w14:paraId="24CF641A" w14:textId="73A73A87"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1</w:t>
            </w:r>
          </w:p>
        </w:tc>
        <w:tc>
          <w:tcPr>
            <w:tcW w:w="475" w:type="pct"/>
            <w:tcBorders>
              <w:top w:val="nil"/>
              <w:left w:val="single" w:sz="4" w:space="0" w:color="auto"/>
              <w:bottom w:val="nil"/>
              <w:right w:val="single" w:sz="4" w:space="0" w:color="auto"/>
            </w:tcBorders>
            <w:shd w:val="clear" w:color="auto" w:fill="C5E0B3" w:themeFill="accent6" w:themeFillTint="66"/>
            <w:noWrap/>
            <w:vAlign w:val="center"/>
            <w:hideMark/>
          </w:tcPr>
          <w:p w14:paraId="43400A38" w14:textId="6DC74A1E"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4</w:t>
            </w:r>
          </w:p>
        </w:tc>
        <w:tc>
          <w:tcPr>
            <w:tcW w:w="639" w:type="pct"/>
            <w:tcBorders>
              <w:top w:val="nil"/>
              <w:left w:val="single" w:sz="4" w:space="0" w:color="auto"/>
              <w:bottom w:val="nil"/>
              <w:right w:val="nil"/>
            </w:tcBorders>
            <w:shd w:val="clear" w:color="auto" w:fill="C5E0B3" w:themeFill="accent6" w:themeFillTint="66"/>
            <w:noWrap/>
            <w:vAlign w:val="center"/>
            <w:hideMark/>
          </w:tcPr>
          <w:p w14:paraId="0AD4D8D8" w14:textId="0DCC28F6"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1,7</w:t>
            </w:r>
          </w:p>
        </w:tc>
        <w:tc>
          <w:tcPr>
            <w:tcW w:w="1337" w:type="pct"/>
            <w:tcBorders>
              <w:top w:val="nil"/>
              <w:left w:val="single" w:sz="4" w:space="0" w:color="auto"/>
              <w:bottom w:val="nil"/>
              <w:right w:val="nil"/>
            </w:tcBorders>
            <w:shd w:val="clear" w:color="auto" w:fill="C5E0B3" w:themeFill="accent6" w:themeFillTint="66"/>
            <w:vAlign w:val="bottom"/>
          </w:tcPr>
          <w:p w14:paraId="26403FAB" w14:textId="3B4D466D" w:rsidR="00817DA8" w:rsidRPr="004E74A6" w:rsidRDefault="00817DA8" w:rsidP="00CE62C1">
            <w:pPr>
              <w:spacing w:line="276" w:lineRule="auto"/>
              <w:jc w:val="center"/>
              <w:rPr>
                <w:rFonts w:cs="Calibri"/>
                <w:color w:val="000000"/>
                <w:sz w:val="20"/>
              </w:rPr>
            </w:pPr>
            <w:r w:rsidRPr="004E74A6">
              <w:rPr>
                <w:rFonts w:cs="Calibri"/>
                <w:color w:val="000000"/>
                <w:sz w:val="20"/>
              </w:rPr>
              <w:t>53%</w:t>
            </w:r>
          </w:p>
        </w:tc>
      </w:tr>
      <w:tr w:rsidR="00817DA8" w:rsidRPr="004E74A6" w14:paraId="57AD8034" w14:textId="15A4FBCE" w:rsidTr="00817DA8">
        <w:trPr>
          <w:trHeight w:val="288"/>
          <w:jc w:val="center"/>
        </w:trPr>
        <w:tc>
          <w:tcPr>
            <w:tcW w:w="1597" w:type="pct"/>
            <w:tcBorders>
              <w:top w:val="nil"/>
              <w:left w:val="nil"/>
              <w:bottom w:val="nil"/>
              <w:right w:val="single" w:sz="4" w:space="0" w:color="auto"/>
            </w:tcBorders>
            <w:shd w:val="clear" w:color="auto" w:fill="auto"/>
            <w:noWrap/>
            <w:vAlign w:val="bottom"/>
            <w:hideMark/>
          </w:tcPr>
          <w:p w14:paraId="7797BB7D" w14:textId="77777777" w:rsidR="00817DA8" w:rsidRPr="004E74A6" w:rsidRDefault="00817DA8" w:rsidP="00CE62C1">
            <w:pPr>
              <w:spacing w:line="276" w:lineRule="auto"/>
              <w:jc w:val="left"/>
              <w:rPr>
                <w:rFonts w:cs="Calibri"/>
                <w:color w:val="000000"/>
                <w:sz w:val="20"/>
                <w:lang w:eastAsia="es-CR"/>
              </w:rPr>
            </w:pPr>
            <w:r w:rsidRPr="004E74A6">
              <w:rPr>
                <w:rFonts w:cs="Calibri"/>
                <w:color w:val="000000"/>
                <w:sz w:val="20"/>
                <w:lang w:eastAsia="es-CR"/>
              </w:rPr>
              <w:t>De ¢20.000.001 A ¢25.000.000</w:t>
            </w:r>
          </w:p>
        </w:tc>
        <w:tc>
          <w:tcPr>
            <w:tcW w:w="477" w:type="pct"/>
            <w:tcBorders>
              <w:top w:val="nil"/>
              <w:left w:val="single" w:sz="4" w:space="0" w:color="auto"/>
              <w:bottom w:val="nil"/>
              <w:right w:val="single" w:sz="4" w:space="0" w:color="auto"/>
            </w:tcBorders>
            <w:shd w:val="clear" w:color="auto" w:fill="auto"/>
            <w:noWrap/>
            <w:vAlign w:val="center"/>
            <w:hideMark/>
          </w:tcPr>
          <w:p w14:paraId="1300A0A6" w14:textId="6C4C18C4"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0</w:t>
            </w:r>
          </w:p>
        </w:tc>
        <w:tc>
          <w:tcPr>
            <w:tcW w:w="475" w:type="pct"/>
            <w:tcBorders>
              <w:top w:val="nil"/>
              <w:left w:val="single" w:sz="4" w:space="0" w:color="auto"/>
              <w:bottom w:val="nil"/>
              <w:right w:val="single" w:sz="4" w:space="0" w:color="auto"/>
            </w:tcBorders>
            <w:shd w:val="clear" w:color="auto" w:fill="auto"/>
            <w:noWrap/>
            <w:vAlign w:val="center"/>
            <w:hideMark/>
          </w:tcPr>
          <w:p w14:paraId="1A1FCC0F" w14:textId="3E5F0845" w:rsidR="00817DA8" w:rsidRPr="004E74A6" w:rsidRDefault="00817DA8" w:rsidP="00CE62C1">
            <w:pPr>
              <w:spacing w:line="276" w:lineRule="auto"/>
              <w:jc w:val="center"/>
              <w:rPr>
                <w:sz w:val="20"/>
                <w:lang w:eastAsia="es-CR"/>
              </w:rPr>
            </w:pPr>
            <w:r w:rsidRPr="004E74A6">
              <w:rPr>
                <w:rFonts w:cs="Calibri"/>
                <w:color w:val="000000"/>
                <w:sz w:val="20"/>
              </w:rPr>
              <w:t>0</w:t>
            </w:r>
          </w:p>
        </w:tc>
        <w:tc>
          <w:tcPr>
            <w:tcW w:w="475" w:type="pct"/>
            <w:tcBorders>
              <w:top w:val="nil"/>
              <w:left w:val="single" w:sz="4" w:space="0" w:color="auto"/>
              <w:bottom w:val="nil"/>
              <w:right w:val="single" w:sz="4" w:space="0" w:color="auto"/>
            </w:tcBorders>
            <w:shd w:val="clear" w:color="auto" w:fill="auto"/>
            <w:noWrap/>
            <w:vAlign w:val="center"/>
            <w:hideMark/>
          </w:tcPr>
          <w:p w14:paraId="50E4276D" w14:textId="7DD1077C"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2</w:t>
            </w:r>
          </w:p>
        </w:tc>
        <w:tc>
          <w:tcPr>
            <w:tcW w:w="639" w:type="pct"/>
            <w:tcBorders>
              <w:top w:val="nil"/>
              <w:left w:val="single" w:sz="4" w:space="0" w:color="auto"/>
              <w:bottom w:val="nil"/>
              <w:right w:val="nil"/>
            </w:tcBorders>
            <w:shd w:val="clear" w:color="auto" w:fill="auto"/>
            <w:noWrap/>
            <w:vAlign w:val="center"/>
            <w:hideMark/>
          </w:tcPr>
          <w:p w14:paraId="5BC9617B" w14:textId="77C3A257"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0,7</w:t>
            </w:r>
          </w:p>
        </w:tc>
        <w:tc>
          <w:tcPr>
            <w:tcW w:w="1337" w:type="pct"/>
            <w:tcBorders>
              <w:top w:val="nil"/>
              <w:left w:val="single" w:sz="4" w:space="0" w:color="auto"/>
              <w:bottom w:val="nil"/>
              <w:right w:val="nil"/>
            </w:tcBorders>
            <w:shd w:val="clear" w:color="auto" w:fill="auto"/>
            <w:vAlign w:val="bottom"/>
          </w:tcPr>
          <w:p w14:paraId="755CDCCF" w14:textId="1E938C6E" w:rsidR="00817DA8" w:rsidRPr="004E74A6" w:rsidRDefault="00817DA8" w:rsidP="00CE62C1">
            <w:pPr>
              <w:spacing w:line="276" w:lineRule="auto"/>
              <w:jc w:val="center"/>
              <w:rPr>
                <w:rFonts w:cs="Calibri"/>
                <w:color w:val="000000"/>
                <w:sz w:val="20"/>
              </w:rPr>
            </w:pPr>
            <w:r w:rsidRPr="004E74A6">
              <w:rPr>
                <w:rFonts w:cs="Calibri"/>
                <w:color w:val="000000"/>
                <w:sz w:val="20"/>
              </w:rPr>
              <w:t>57%</w:t>
            </w:r>
          </w:p>
        </w:tc>
      </w:tr>
      <w:tr w:rsidR="00817DA8" w:rsidRPr="004E74A6" w14:paraId="2A651142" w14:textId="675D5C72" w:rsidTr="00817DA8">
        <w:trPr>
          <w:trHeight w:val="288"/>
          <w:jc w:val="center"/>
        </w:trPr>
        <w:tc>
          <w:tcPr>
            <w:tcW w:w="1597" w:type="pct"/>
            <w:tcBorders>
              <w:top w:val="nil"/>
              <w:left w:val="nil"/>
              <w:bottom w:val="nil"/>
              <w:right w:val="single" w:sz="4" w:space="0" w:color="auto"/>
            </w:tcBorders>
            <w:shd w:val="clear" w:color="auto" w:fill="auto"/>
            <w:noWrap/>
            <w:vAlign w:val="bottom"/>
            <w:hideMark/>
          </w:tcPr>
          <w:p w14:paraId="361C2089" w14:textId="77777777" w:rsidR="00817DA8" w:rsidRPr="004E74A6" w:rsidRDefault="00817DA8" w:rsidP="00CE62C1">
            <w:pPr>
              <w:spacing w:line="276" w:lineRule="auto"/>
              <w:jc w:val="left"/>
              <w:rPr>
                <w:rFonts w:cs="Calibri"/>
                <w:color w:val="000000"/>
                <w:sz w:val="20"/>
                <w:lang w:eastAsia="es-CR"/>
              </w:rPr>
            </w:pPr>
            <w:r w:rsidRPr="004E74A6">
              <w:rPr>
                <w:rFonts w:cs="Calibri"/>
                <w:color w:val="000000"/>
                <w:sz w:val="20"/>
                <w:lang w:eastAsia="es-CR"/>
              </w:rPr>
              <w:t>De ¢25.000.001 A ¢30.000.000</w:t>
            </w:r>
          </w:p>
        </w:tc>
        <w:tc>
          <w:tcPr>
            <w:tcW w:w="477" w:type="pct"/>
            <w:tcBorders>
              <w:top w:val="nil"/>
              <w:left w:val="single" w:sz="4" w:space="0" w:color="auto"/>
              <w:bottom w:val="nil"/>
              <w:right w:val="single" w:sz="4" w:space="0" w:color="auto"/>
            </w:tcBorders>
            <w:shd w:val="clear" w:color="auto" w:fill="auto"/>
            <w:noWrap/>
            <w:vAlign w:val="center"/>
            <w:hideMark/>
          </w:tcPr>
          <w:p w14:paraId="7018F2D8" w14:textId="2737EC6D"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0</w:t>
            </w:r>
          </w:p>
        </w:tc>
        <w:tc>
          <w:tcPr>
            <w:tcW w:w="475" w:type="pct"/>
            <w:tcBorders>
              <w:top w:val="nil"/>
              <w:left w:val="single" w:sz="4" w:space="0" w:color="auto"/>
              <w:bottom w:val="nil"/>
              <w:right w:val="single" w:sz="4" w:space="0" w:color="auto"/>
            </w:tcBorders>
            <w:shd w:val="clear" w:color="auto" w:fill="auto"/>
            <w:noWrap/>
            <w:vAlign w:val="center"/>
            <w:hideMark/>
          </w:tcPr>
          <w:p w14:paraId="082948D3" w14:textId="6FFE8E91"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1</w:t>
            </w:r>
          </w:p>
        </w:tc>
        <w:tc>
          <w:tcPr>
            <w:tcW w:w="475" w:type="pct"/>
            <w:tcBorders>
              <w:top w:val="nil"/>
              <w:left w:val="single" w:sz="4" w:space="0" w:color="auto"/>
              <w:bottom w:val="nil"/>
              <w:right w:val="single" w:sz="4" w:space="0" w:color="auto"/>
            </w:tcBorders>
            <w:shd w:val="clear" w:color="auto" w:fill="auto"/>
            <w:noWrap/>
            <w:vAlign w:val="center"/>
            <w:hideMark/>
          </w:tcPr>
          <w:p w14:paraId="32DB7FF9" w14:textId="13B041BF"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0</w:t>
            </w:r>
          </w:p>
        </w:tc>
        <w:tc>
          <w:tcPr>
            <w:tcW w:w="639" w:type="pct"/>
            <w:tcBorders>
              <w:top w:val="nil"/>
              <w:left w:val="single" w:sz="4" w:space="0" w:color="auto"/>
              <w:bottom w:val="nil"/>
              <w:right w:val="nil"/>
            </w:tcBorders>
            <w:shd w:val="clear" w:color="auto" w:fill="auto"/>
            <w:noWrap/>
            <w:vAlign w:val="center"/>
            <w:hideMark/>
          </w:tcPr>
          <w:p w14:paraId="29C94B93" w14:textId="304C7C7E"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0,3</w:t>
            </w:r>
          </w:p>
        </w:tc>
        <w:tc>
          <w:tcPr>
            <w:tcW w:w="1337" w:type="pct"/>
            <w:tcBorders>
              <w:top w:val="nil"/>
              <w:left w:val="single" w:sz="4" w:space="0" w:color="auto"/>
              <w:bottom w:val="nil"/>
              <w:right w:val="nil"/>
            </w:tcBorders>
            <w:shd w:val="clear" w:color="auto" w:fill="auto"/>
            <w:vAlign w:val="bottom"/>
          </w:tcPr>
          <w:p w14:paraId="03B07B54" w14:textId="1D7F20B8" w:rsidR="00817DA8" w:rsidRPr="004E74A6" w:rsidRDefault="00817DA8" w:rsidP="00CE62C1">
            <w:pPr>
              <w:spacing w:line="276" w:lineRule="auto"/>
              <w:jc w:val="center"/>
              <w:rPr>
                <w:rFonts w:cs="Calibri"/>
                <w:color w:val="000000"/>
                <w:sz w:val="20"/>
              </w:rPr>
            </w:pPr>
            <w:r w:rsidRPr="004E74A6">
              <w:rPr>
                <w:rFonts w:cs="Calibri"/>
                <w:color w:val="000000"/>
                <w:sz w:val="20"/>
              </w:rPr>
              <w:t>59%</w:t>
            </w:r>
          </w:p>
        </w:tc>
      </w:tr>
      <w:tr w:rsidR="00817DA8" w:rsidRPr="004E74A6" w14:paraId="38566BD8" w14:textId="7612E2A7" w:rsidTr="00817DA8">
        <w:trPr>
          <w:trHeight w:val="288"/>
          <w:jc w:val="center"/>
        </w:trPr>
        <w:tc>
          <w:tcPr>
            <w:tcW w:w="1597" w:type="pct"/>
            <w:tcBorders>
              <w:top w:val="nil"/>
              <w:left w:val="nil"/>
              <w:bottom w:val="nil"/>
              <w:right w:val="single" w:sz="4" w:space="0" w:color="auto"/>
            </w:tcBorders>
            <w:shd w:val="clear" w:color="auto" w:fill="auto"/>
            <w:noWrap/>
            <w:vAlign w:val="bottom"/>
            <w:hideMark/>
          </w:tcPr>
          <w:p w14:paraId="0253D611" w14:textId="77777777" w:rsidR="00817DA8" w:rsidRPr="004E74A6" w:rsidRDefault="00817DA8" w:rsidP="00CE62C1">
            <w:pPr>
              <w:spacing w:line="276" w:lineRule="auto"/>
              <w:jc w:val="left"/>
              <w:rPr>
                <w:rFonts w:cs="Calibri"/>
                <w:color w:val="000000"/>
                <w:sz w:val="20"/>
                <w:lang w:eastAsia="es-CR"/>
              </w:rPr>
            </w:pPr>
            <w:r w:rsidRPr="004E74A6">
              <w:rPr>
                <w:rFonts w:cs="Calibri"/>
                <w:color w:val="000000"/>
                <w:sz w:val="20"/>
                <w:lang w:eastAsia="es-CR"/>
              </w:rPr>
              <w:t>De ¢30.000.001 A ¢35.000.000</w:t>
            </w:r>
          </w:p>
        </w:tc>
        <w:tc>
          <w:tcPr>
            <w:tcW w:w="477" w:type="pct"/>
            <w:tcBorders>
              <w:top w:val="nil"/>
              <w:left w:val="single" w:sz="4" w:space="0" w:color="auto"/>
              <w:bottom w:val="nil"/>
              <w:right w:val="single" w:sz="4" w:space="0" w:color="auto"/>
            </w:tcBorders>
            <w:shd w:val="clear" w:color="auto" w:fill="auto"/>
            <w:noWrap/>
            <w:vAlign w:val="center"/>
            <w:hideMark/>
          </w:tcPr>
          <w:p w14:paraId="6547E96B" w14:textId="0150B8EE"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0</w:t>
            </w:r>
          </w:p>
        </w:tc>
        <w:tc>
          <w:tcPr>
            <w:tcW w:w="475" w:type="pct"/>
            <w:tcBorders>
              <w:top w:val="nil"/>
              <w:left w:val="single" w:sz="4" w:space="0" w:color="auto"/>
              <w:bottom w:val="nil"/>
              <w:right w:val="single" w:sz="4" w:space="0" w:color="auto"/>
            </w:tcBorders>
            <w:shd w:val="clear" w:color="auto" w:fill="auto"/>
            <w:noWrap/>
            <w:vAlign w:val="center"/>
            <w:hideMark/>
          </w:tcPr>
          <w:p w14:paraId="12D2A443" w14:textId="10D33D0F" w:rsidR="00817DA8" w:rsidRPr="004E74A6" w:rsidRDefault="00817DA8" w:rsidP="00CE62C1">
            <w:pPr>
              <w:spacing w:line="276" w:lineRule="auto"/>
              <w:jc w:val="center"/>
              <w:rPr>
                <w:sz w:val="20"/>
                <w:lang w:eastAsia="es-CR"/>
              </w:rPr>
            </w:pPr>
            <w:r w:rsidRPr="004E74A6">
              <w:rPr>
                <w:rFonts w:cs="Calibri"/>
                <w:color w:val="000000"/>
                <w:sz w:val="20"/>
              </w:rPr>
              <w:t>0</w:t>
            </w:r>
          </w:p>
        </w:tc>
        <w:tc>
          <w:tcPr>
            <w:tcW w:w="475" w:type="pct"/>
            <w:tcBorders>
              <w:top w:val="nil"/>
              <w:left w:val="single" w:sz="4" w:space="0" w:color="auto"/>
              <w:bottom w:val="nil"/>
              <w:right w:val="single" w:sz="4" w:space="0" w:color="auto"/>
            </w:tcBorders>
            <w:shd w:val="clear" w:color="auto" w:fill="auto"/>
            <w:noWrap/>
            <w:vAlign w:val="center"/>
            <w:hideMark/>
          </w:tcPr>
          <w:p w14:paraId="35F46885" w14:textId="54AD6D6D"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2</w:t>
            </w:r>
          </w:p>
        </w:tc>
        <w:tc>
          <w:tcPr>
            <w:tcW w:w="639" w:type="pct"/>
            <w:tcBorders>
              <w:top w:val="nil"/>
              <w:left w:val="single" w:sz="4" w:space="0" w:color="auto"/>
              <w:bottom w:val="nil"/>
              <w:right w:val="nil"/>
            </w:tcBorders>
            <w:shd w:val="clear" w:color="auto" w:fill="auto"/>
            <w:noWrap/>
            <w:vAlign w:val="center"/>
            <w:hideMark/>
          </w:tcPr>
          <w:p w14:paraId="7C5A8969" w14:textId="225F51F2"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0,7</w:t>
            </w:r>
          </w:p>
        </w:tc>
        <w:tc>
          <w:tcPr>
            <w:tcW w:w="1337" w:type="pct"/>
            <w:tcBorders>
              <w:top w:val="nil"/>
              <w:left w:val="single" w:sz="4" w:space="0" w:color="auto"/>
              <w:bottom w:val="nil"/>
              <w:right w:val="nil"/>
            </w:tcBorders>
            <w:shd w:val="clear" w:color="auto" w:fill="auto"/>
            <w:vAlign w:val="bottom"/>
          </w:tcPr>
          <w:p w14:paraId="4D8E07B2" w14:textId="3116F4A2" w:rsidR="00817DA8" w:rsidRPr="004E74A6" w:rsidRDefault="00817DA8" w:rsidP="00CE62C1">
            <w:pPr>
              <w:spacing w:line="276" w:lineRule="auto"/>
              <w:jc w:val="center"/>
              <w:rPr>
                <w:rFonts w:cs="Calibri"/>
                <w:color w:val="000000"/>
                <w:sz w:val="20"/>
              </w:rPr>
            </w:pPr>
            <w:r w:rsidRPr="004E74A6">
              <w:rPr>
                <w:rFonts w:cs="Calibri"/>
                <w:color w:val="000000"/>
                <w:sz w:val="20"/>
              </w:rPr>
              <w:t>63%</w:t>
            </w:r>
          </w:p>
        </w:tc>
      </w:tr>
      <w:tr w:rsidR="00817DA8" w:rsidRPr="004E74A6" w14:paraId="18578D9C" w14:textId="098C3DB8" w:rsidTr="00817DA8">
        <w:trPr>
          <w:trHeight w:val="288"/>
          <w:jc w:val="center"/>
        </w:trPr>
        <w:tc>
          <w:tcPr>
            <w:tcW w:w="1597" w:type="pct"/>
            <w:tcBorders>
              <w:top w:val="nil"/>
              <w:left w:val="nil"/>
              <w:bottom w:val="nil"/>
              <w:right w:val="single" w:sz="4" w:space="0" w:color="auto"/>
            </w:tcBorders>
            <w:shd w:val="clear" w:color="auto" w:fill="auto"/>
            <w:noWrap/>
            <w:vAlign w:val="bottom"/>
            <w:hideMark/>
          </w:tcPr>
          <w:p w14:paraId="66740A1E" w14:textId="77777777" w:rsidR="00817DA8" w:rsidRPr="004E74A6" w:rsidRDefault="00817DA8" w:rsidP="00CE62C1">
            <w:pPr>
              <w:spacing w:line="276" w:lineRule="auto"/>
              <w:jc w:val="left"/>
              <w:rPr>
                <w:rFonts w:cs="Calibri"/>
                <w:color w:val="000000"/>
                <w:sz w:val="20"/>
                <w:lang w:eastAsia="es-CR"/>
              </w:rPr>
            </w:pPr>
            <w:r w:rsidRPr="004E74A6">
              <w:rPr>
                <w:rFonts w:cs="Calibri"/>
                <w:color w:val="000000"/>
                <w:sz w:val="20"/>
                <w:lang w:eastAsia="es-CR"/>
              </w:rPr>
              <w:t>De ¢35.000.001 A ¢40.000.000</w:t>
            </w:r>
          </w:p>
        </w:tc>
        <w:tc>
          <w:tcPr>
            <w:tcW w:w="477" w:type="pct"/>
            <w:tcBorders>
              <w:top w:val="nil"/>
              <w:left w:val="single" w:sz="4" w:space="0" w:color="auto"/>
              <w:bottom w:val="nil"/>
              <w:right w:val="single" w:sz="4" w:space="0" w:color="auto"/>
            </w:tcBorders>
            <w:shd w:val="clear" w:color="auto" w:fill="auto"/>
            <w:noWrap/>
            <w:vAlign w:val="center"/>
            <w:hideMark/>
          </w:tcPr>
          <w:p w14:paraId="0CB51A23" w14:textId="3DD77F5D"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0</w:t>
            </w:r>
          </w:p>
        </w:tc>
        <w:tc>
          <w:tcPr>
            <w:tcW w:w="475" w:type="pct"/>
            <w:tcBorders>
              <w:top w:val="nil"/>
              <w:left w:val="single" w:sz="4" w:space="0" w:color="auto"/>
              <w:bottom w:val="nil"/>
              <w:right w:val="single" w:sz="4" w:space="0" w:color="auto"/>
            </w:tcBorders>
            <w:shd w:val="clear" w:color="auto" w:fill="auto"/>
            <w:noWrap/>
            <w:vAlign w:val="center"/>
            <w:hideMark/>
          </w:tcPr>
          <w:p w14:paraId="1AB86026" w14:textId="0F3DF372" w:rsidR="00817DA8" w:rsidRPr="004E74A6" w:rsidRDefault="00817DA8" w:rsidP="00CE62C1">
            <w:pPr>
              <w:spacing w:line="276" w:lineRule="auto"/>
              <w:jc w:val="center"/>
              <w:rPr>
                <w:sz w:val="20"/>
                <w:lang w:eastAsia="es-CR"/>
              </w:rPr>
            </w:pPr>
            <w:r w:rsidRPr="004E74A6">
              <w:rPr>
                <w:rFonts w:cs="Calibri"/>
                <w:color w:val="000000"/>
                <w:sz w:val="20"/>
              </w:rPr>
              <w:t>0</w:t>
            </w:r>
          </w:p>
        </w:tc>
        <w:tc>
          <w:tcPr>
            <w:tcW w:w="475" w:type="pct"/>
            <w:tcBorders>
              <w:top w:val="nil"/>
              <w:left w:val="single" w:sz="4" w:space="0" w:color="auto"/>
              <w:bottom w:val="nil"/>
              <w:right w:val="single" w:sz="4" w:space="0" w:color="auto"/>
            </w:tcBorders>
            <w:shd w:val="clear" w:color="auto" w:fill="auto"/>
            <w:noWrap/>
            <w:vAlign w:val="center"/>
            <w:hideMark/>
          </w:tcPr>
          <w:p w14:paraId="2E4D4475" w14:textId="638D1A8C"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1</w:t>
            </w:r>
          </w:p>
        </w:tc>
        <w:tc>
          <w:tcPr>
            <w:tcW w:w="639" w:type="pct"/>
            <w:tcBorders>
              <w:top w:val="nil"/>
              <w:left w:val="single" w:sz="4" w:space="0" w:color="auto"/>
              <w:bottom w:val="nil"/>
              <w:right w:val="nil"/>
            </w:tcBorders>
            <w:shd w:val="clear" w:color="auto" w:fill="auto"/>
            <w:noWrap/>
            <w:vAlign w:val="center"/>
            <w:hideMark/>
          </w:tcPr>
          <w:p w14:paraId="65480E40" w14:textId="3B436BE7"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0,3</w:t>
            </w:r>
          </w:p>
        </w:tc>
        <w:tc>
          <w:tcPr>
            <w:tcW w:w="1337" w:type="pct"/>
            <w:tcBorders>
              <w:top w:val="nil"/>
              <w:left w:val="single" w:sz="4" w:space="0" w:color="auto"/>
              <w:bottom w:val="nil"/>
              <w:right w:val="nil"/>
            </w:tcBorders>
            <w:shd w:val="clear" w:color="auto" w:fill="auto"/>
            <w:vAlign w:val="bottom"/>
          </w:tcPr>
          <w:p w14:paraId="642881FA" w14:textId="58B3B0C2" w:rsidR="00817DA8" w:rsidRPr="004E74A6" w:rsidRDefault="00817DA8" w:rsidP="00CE62C1">
            <w:pPr>
              <w:spacing w:line="276" w:lineRule="auto"/>
              <w:jc w:val="center"/>
              <w:rPr>
                <w:rFonts w:cs="Calibri"/>
                <w:color w:val="000000"/>
                <w:sz w:val="20"/>
              </w:rPr>
            </w:pPr>
            <w:r w:rsidRPr="004E74A6">
              <w:rPr>
                <w:rFonts w:cs="Calibri"/>
                <w:color w:val="000000"/>
                <w:sz w:val="20"/>
              </w:rPr>
              <w:t>65%</w:t>
            </w:r>
          </w:p>
        </w:tc>
      </w:tr>
      <w:tr w:rsidR="00817DA8" w:rsidRPr="004E74A6" w14:paraId="012236EF" w14:textId="2FBF7AB1" w:rsidTr="00817DA8">
        <w:trPr>
          <w:trHeight w:val="288"/>
          <w:jc w:val="center"/>
        </w:trPr>
        <w:tc>
          <w:tcPr>
            <w:tcW w:w="1597" w:type="pct"/>
            <w:tcBorders>
              <w:top w:val="nil"/>
              <w:left w:val="nil"/>
              <w:bottom w:val="nil"/>
              <w:right w:val="single" w:sz="4" w:space="0" w:color="auto"/>
            </w:tcBorders>
            <w:shd w:val="clear" w:color="auto" w:fill="auto"/>
            <w:noWrap/>
            <w:vAlign w:val="bottom"/>
            <w:hideMark/>
          </w:tcPr>
          <w:p w14:paraId="71E063C6" w14:textId="77777777" w:rsidR="00817DA8" w:rsidRPr="004E74A6" w:rsidRDefault="00817DA8" w:rsidP="00CE62C1">
            <w:pPr>
              <w:spacing w:line="276" w:lineRule="auto"/>
              <w:jc w:val="left"/>
              <w:rPr>
                <w:rFonts w:cs="Calibri"/>
                <w:color w:val="000000"/>
                <w:sz w:val="20"/>
                <w:lang w:eastAsia="es-CR"/>
              </w:rPr>
            </w:pPr>
            <w:r w:rsidRPr="004E74A6">
              <w:rPr>
                <w:rFonts w:cs="Calibri"/>
                <w:color w:val="000000"/>
                <w:sz w:val="20"/>
                <w:lang w:eastAsia="es-CR"/>
              </w:rPr>
              <w:t>De ¢55.000.001 A ¢60.000.000</w:t>
            </w:r>
          </w:p>
        </w:tc>
        <w:tc>
          <w:tcPr>
            <w:tcW w:w="477" w:type="pct"/>
            <w:tcBorders>
              <w:top w:val="nil"/>
              <w:left w:val="single" w:sz="4" w:space="0" w:color="auto"/>
              <w:bottom w:val="nil"/>
              <w:right w:val="single" w:sz="4" w:space="0" w:color="auto"/>
            </w:tcBorders>
            <w:shd w:val="clear" w:color="auto" w:fill="auto"/>
            <w:noWrap/>
            <w:vAlign w:val="center"/>
            <w:hideMark/>
          </w:tcPr>
          <w:p w14:paraId="4860956C" w14:textId="248F4D9E"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0</w:t>
            </w:r>
          </w:p>
        </w:tc>
        <w:tc>
          <w:tcPr>
            <w:tcW w:w="475" w:type="pct"/>
            <w:tcBorders>
              <w:top w:val="nil"/>
              <w:left w:val="single" w:sz="4" w:space="0" w:color="auto"/>
              <w:bottom w:val="nil"/>
              <w:right w:val="single" w:sz="4" w:space="0" w:color="auto"/>
            </w:tcBorders>
            <w:shd w:val="clear" w:color="auto" w:fill="auto"/>
            <w:noWrap/>
            <w:vAlign w:val="center"/>
            <w:hideMark/>
          </w:tcPr>
          <w:p w14:paraId="3C5118B1" w14:textId="549C6E88"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1</w:t>
            </w:r>
          </w:p>
        </w:tc>
        <w:tc>
          <w:tcPr>
            <w:tcW w:w="475" w:type="pct"/>
            <w:tcBorders>
              <w:top w:val="nil"/>
              <w:left w:val="single" w:sz="4" w:space="0" w:color="auto"/>
              <w:bottom w:val="nil"/>
              <w:right w:val="single" w:sz="4" w:space="0" w:color="auto"/>
            </w:tcBorders>
            <w:shd w:val="clear" w:color="auto" w:fill="auto"/>
            <w:noWrap/>
            <w:vAlign w:val="center"/>
            <w:hideMark/>
          </w:tcPr>
          <w:p w14:paraId="0E2D0A95" w14:textId="104944A8"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0</w:t>
            </w:r>
          </w:p>
        </w:tc>
        <w:tc>
          <w:tcPr>
            <w:tcW w:w="639" w:type="pct"/>
            <w:tcBorders>
              <w:top w:val="nil"/>
              <w:left w:val="single" w:sz="4" w:space="0" w:color="auto"/>
              <w:bottom w:val="nil"/>
              <w:right w:val="nil"/>
            </w:tcBorders>
            <w:shd w:val="clear" w:color="auto" w:fill="auto"/>
            <w:noWrap/>
            <w:vAlign w:val="center"/>
            <w:hideMark/>
          </w:tcPr>
          <w:p w14:paraId="70FBA628" w14:textId="32E5DC06"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0,3</w:t>
            </w:r>
          </w:p>
        </w:tc>
        <w:tc>
          <w:tcPr>
            <w:tcW w:w="1337" w:type="pct"/>
            <w:tcBorders>
              <w:top w:val="nil"/>
              <w:left w:val="single" w:sz="4" w:space="0" w:color="auto"/>
              <w:bottom w:val="nil"/>
              <w:right w:val="nil"/>
            </w:tcBorders>
            <w:shd w:val="clear" w:color="auto" w:fill="auto"/>
            <w:vAlign w:val="bottom"/>
          </w:tcPr>
          <w:p w14:paraId="5FD2B4FC" w14:textId="0090EE61" w:rsidR="00817DA8" w:rsidRPr="004E74A6" w:rsidRDefault="00817DA8" w:rsidP="00CE62C1">
            <w:pPr>
              <w:spacing w:line="276" w:lineRule="auto"/>
              <w:jc w:val="center"/>
              <w:rPr>
                <w:rFonts w:cs="Calibri"/>
                <w:color w:val="000000"/>
                <w:sz w:val="20"/>
              </w:rPr>
            </w:pPr>
            <w:r w:rsidRPr="004E74A6">
              <w:rPr>
                <w:rFonts w:cs="Calibri"/>
                <w:color w:val="000000"/>
                <w:sz w:val="20"/>
              </w:rPr>
              <w:t>67%</w:t>
            </w:r>
          </w:p>
        </w:tc>
      </w:tr>
      <w:tr w:rsidR="00817DA8" w:rsidRPr="004E74A6" w14:paraId="25DE60B8" w14:textId="5176BE02" w:rsidTr="00817DA8">
        <w:trPr>
          <w:trHeight w:val="288"/>
          <w:jc w:val="center"/>
        </w:trPr>
        <w:tc>
          <w:tcPr>
            <w:tcW w:w="1597" w:type="pct"/>
            <w:tcBorders>
              <w:top w:val="nil"/>
              <w:left w:val="nil"/>
              <w:bottom w:val="nil"/>
              <w:right w:val="single" w:sz="4" w:space="0" w:color="auto"/>
            </w:tcBorders>
            <w:shd w:val="clear" w:color="auto" w:fill="auto"/>
            <w:noWrap/>
            <w:vAlign w:val="bottom"/>
            <w:hideMark/>
          </w:tcPr>
          <w:p w14:paraId="18A21F9B" w14:textId="77777777" w:rsidR="00817DA8" w:rsidRPr="004E74A6" w:rsidRDefault="00817DA8" w:rsidP="00CE62C1">
            <w:pPr>
              <w:spacing w:line="276" w:lineRule="auto"/>
              <w:jc w:val="left"/>
              <w:rPr>
                <w:rFonts w:cs="Calibri"/>
                <w:color w:val="000000"/>
                <w:sz w:val="20"/>
                <w:lang w:eastAsia="es-CR"/>
              </w:rPr>
            </w:pPr>
            <w:r w:rsidRPr="004E74A6">
              <w:rPr>
                <w:rFonts w:cs="Calibri"/>
                <w:color w:val="000000"/>
                <w:sz w:val="20"/>
                <w:lang w:eastAsia="es-CR"/>
              </w:rPr>
              <w:t>Más De ¢100.000.000</w:t>
            </w:r>
          </w:p>
        </w:tc>
        <w:tc>
          <w:tcPr>
            <w:tcW w:w="477" w:type="pct"/>
            <w:tcBorders>
              <w:top w:val="nil"/>
              <w:left w:val="single" w:sz="4" w:space="0" w:color="auto"/>
              <w:bottom w:val="nil"/>
              <w:right w:val="single" w:sz="4" w:space="0" w:color="auto"/>
            </w:tcBorders>
            <w:shd w:val="clear" w:color="auto" w:fill="auto"/>
            <w:noWrap/>
            <w:vAlign w:val="center"/>
            <w:hideMark/>
          </w:tcPr>
          <w:p w14:paraId="1EA33A4E" w14:textId="37368E59"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0</w:t>
            </w:r>
          </w:p>
        </w:tc>
        <w:tc>
          <w:tcPr>
            <w:tcW w:w="475" w:type="pct"/>
            <w:tcBorders>
              <w:top w:val="nil"/>
              <w:left w:val="single" w:sz="4" w:space="0" w:color="auto"/>
              <w:bottom w:val="nil"/>
              <w:right w:val="single" w:sz="4" w:space="0" w:color="auto"/>
            </w:tcBorders>
            <w:shd w:val="clear" w:color="auto" w:fill="auto"/>
            <w:noWrap/>
            <w:vAlign w:val="center"/>
            <w:hideMark/>
          </w:tcPr>
          <w:p w14:paraId="77007BC4" w14:textId="42FFC0B4" w:rsidR="00817DA8" w:rsidRPr="004E74A6" w:rsidRDefault="00817DA8" w:rsidP="00CE62C1">
            <w:pPr>
              <w:spacing w:line="276" w:lineRule="auto"/>
              <w:jc w:val="center"/>
              <w:rPr>
                <w:sz w:val="20"/>
                <w:lang w:eastAsia="es-CR"/>
              </w:rPr>
            </w:pPr>
            <w:r w:rsidRPr="004E74A6">
              <w:rPr>
                <w:rFonts w:cs="Calibri"/>
                <w:color w:val="000000"/>
                <w:sz w:val="20"/>
              </w:rPr>
              <w:t>0</w:t>
            </w:r>
          </w:p>
        </w:tc>
        <w:tc>
          <w:tcPr>
            <w:tcW w:w="475" w:type="pct"/>
            <w:tcBorders>
              <w:top w:val="nil"/>
              <w:left w:val="single" w:sz="4" w:space="0" w:color="auto"/>
              <w:bottom w:val="nil"/>
              <w:right w:val="single" w:sz="4" w:space="0" w:color="auto"/>
            </w:tcBorders>
            <w:shd w:val="clear" w:color="auto" w:fill="auto"/>
            <w:noWrap/>
            <w:vAlign w:val="center"/>
            <w:hideMark/>
          </w:tcPr>
          <w:p w14:paraId="689903F3" w14:textId="0AB56F68"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3</w:t>
            </w:r>
          </w:p>
        </w:tc>
        <w:tc>
          <w:tcPr>
            <w:tcW w:w="639" w:type="pct"/>
            <w:tcBorders>
              <w:top w:val="nil"/>
              <w:left w:val="single" w:sz="4" w:space="0" w:color="auto"/>
              <w:bottom w:val="nil"/>
              <w:right w:val="nil"/>
            </w:tcBorders>
            <w:shd w:val="clear" w:color="auto" w:fill="auto"/>
            <w:noWrap/>
            <w:vAlign w:val="center"/>
            <w:hideMark/>
          </w:tcPr>
          <w:p w14:paraId="51397F88" w14:textId="538362AF"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1,0</w:t>
            </w:r>
          </w:p>
        </w:tc>
        <w:tc>
          <w:tcPr>
            <w:tcW w:w="1337" w:type="pct"/>
            <w:tcBorders>
              <w:top w:val="nil"/>
              <w:left w:val="single" w:sz="4" w:space="0" w:color="auto"/>
              <w:bottom w:val="nil"/>
              <w:right w:val="nil"/>
            </w:tcBorders>
            <w:shd w:val="clear" w:color="auto" w:fill="auto"/>
            <w:vAlign w:val="bottom"/>
          </w:tcPr>
          <w:p w14:paraId="5364321C" w14:textId="5315A1EE" w:rsidR="00817DA8" w:rsidRPr="004E74A6" w:rsidRDefault="00817DA8" w:rsidP="00CE62C1">
            <w:pPr>
              <w:spacing w:line="276" w:lineRule="auto"/>
              <w:jc w:val="center"/>
              <w:rPr>
                <w:rFonts w:cs="Calibri"/>
                <w:color w:val="000000"/>
                <w:sz w:val="20"/>
              </w:rPr>
            </w:pPr>
            <w:r w:rsidRPr="004E74A6">
              <w:rPr>
                <w:rFonts w:cs="Calibri"/>
                <w:color w:val="000000"/>
                <w:sz w:val="20"/>
              </w:rPr>
              <w:t>73%</w:t>
            </w:r>
          </w:p>
        </w:tc>
      </w:tr>
      <w:tr w:rsidR="00817DA8" w:rsidRPr="004E74A6" w14:paraId="159059F6" w14:textId="35859170" w:rsidTr="00817DA8">
        <w:trPr>
          <w:trHeight w:val="288"/>
          <w:jc w:val="center"/>
        </w:trPr>
        <w:tc>
          <w:tcPr>
            <w:tcW w:w="1597" w:type="pct"/>
            <w:tcBorders>
              <w:top w:val="nil"/>
              <w:left w:val="nil"/>
              <w:bottom w:val="nil"/>
              <w:right w:val="single" w:sz="4" w:space="0" w:color="auto"/>
            </w:tcBorders>
            <w:shd w:val="clear" w:color="auto" w:fill="auto"/>
            <w:noWrap/>
            <w:vAlign w:val="bottom"/>
            <w:hideMark/>
          </w:tcPr>
          <w:p w14:paraId="5F31444A" w14:textId="77777777" w:rsidR="00817DA8" w:rsidRPr="004E74A6" w:rsidRDefault="00817DA8" w:rsidP="00CE62C1">
            <w:pPr>
              <w:spacing w:line="276" w:lineRule="auto"/>
              <w:jc w:val="left"/>
              <w:rPr>
                <w:rFonts w:cs="Calibri"/>
                <w:color w:val="ED7D31" w:themeColor="accent2"/>
                <w:sz w:val="20"/>
                <w:lang w:eastAsia="es-CR"/>
              </w:rPr>
            </w:pPr>
            <w:r w:rsidRPr="004E74A6">
              <w:rPr>
                <w:rFonts w:cs="Calibri"/>
                <w:color w:val="ED7D31" w:themeColor="accent2"/>
                <w:sz w:val="20"/>
                <w:lang w:eastAsia="es-CR"/>
              </w:rPr>
              <w:t>Expedientes Cuantía Cero</w:t>
            </w:r>
          </w:p>
        </w:tc>
        <w:tc>
          <w:tcPr>
            <w:tcW w:w="477" w:type="pct"/>
            <w:tcBorders>
              <w:top w:val="nil"/>
              <w:left w:val="single" w:sz="4" w:space="0" w:color="auto"/>
              <w:bottom w:val="nil"/>
              <w:right w:val="single" w:sz="4" w:space="0" w:color="auto"/>
            </w:tcBorders>
            <w:shd w:val="clear" w:color="auto" w:fill="auto"/>
            <w:noWrap/>
            <w:vAlign w:val="center"/>
            <w:hideMark/>
          </w:tcPr>
          <w:p w14:paraId="0015B5BC" w14:textId="73C81701" w:rsidR="00817DA8" w:rsidRPr="004E74A6" w:rsidRDefault="00817DA8" w:rsidP="00CE62C1">
            <w:pPr>
              <w:spacing w:line="276" w:lineRule="auto"/>
              <w:jc w:val="center"/>
              <w:rPr>
                <w:rFonts w:cs="Calibri"/>
                <w:color w:val="ED7D31" w:themeColor="accent2"/>
                <w:sz w:val="20"/>
                <w:lang w:eastAsia="es-CR"/>
              </w:rPr>
            </w:pPr>
            <w:r w:rsidRPr="004E74A6">
              <w:rPr>
                <w:rFonts w:cs="Calibri"/>
                <w:color w:val="ED7D31" w:themeColor="accent2"/>
                <w:sz w:val="20"/>
              </w:rPr>
              <w:t>0</w:t>
            </w:r>
          </w:p>
        </w:tc>
        <w:tc>
          <w:tcPr>
            <w:tcW w:w="475" w:type="pct"/>
            <w:tcBorders>
              <w:top w:val="nil"/>
              <w:left w:val="single" w:sz="4" w:space="0" w:color="auto"/>
              <w:bottom w:val="nil"/>
              <w:right w:val="single" w:sz="4" w:space="0" w:color="auto"/>
            </w:tcBorders>
            <w:shd w:val="clear" w:color="auto" w:fill="auto"/>
            <w:noWrap/>
            <w:vAlign w:val="center"/>
            <w:hideMark/>
          </w:tcPr>
          <w:p w14:paraId="5BE9A185" w14:textId="2D885F14" w:rsidR="00817DA8" w:rsidRPr="004E74A6" w:rsidRDefault="00817DA8" w:rsidP="00CE62C1">
            <w:pPr>
              <w:spacing w:line="276" w:lineRule="auto"/>
              <w:jc w:val="center"/>
              <w:rPr>
                <w:rFonts w:cs="Calibri"/>
                <w:color w:val="ED7D31" w:themeColor="accent2"/>
                <w:sz w:val="20"/>
                <w:lang w:eastAsia="es-CR"/>
              </w:rPr>
            </w:pPr>
            <w:r w:rsidRPr="004E74A6">
              <w:rPr>
                <w:rFonts w:cs="Calibri"/>
                <w:color w:val="ED7D31" w:themeColor="accent2"/>
                <w:sz w:val="20"/>
              </w:rPr>
              <w:t>13</w:t>
            </w:r>
          </w:p>
        </w:tc>
        <w:tc>
          <w:tcPr>
            <w:tcW w:w="475" w:type="pct"/>
            <w:tcBorders>
              <w:top w:val="nil"/>
              <w:left w:val="single" w:sz="4" w:space="0" w:color="auto"/>
              <w:bottom w:val="nil"/>
              <w:right w:val="single" w:sz="4" w:space="0" w:color="auto"/>
            </w:tcBorders>
            <w:shd w:val="clear" w:color="auto" w:fill="auto"/>
            <w:noWrap/>
            <w:vAlign w:val="center"/>
            <w:hideMark/>
          </w:tcPr>
          <w:p w14:paraId="2CE65C50" w14:textId="16CE858C" w:rsidR="00817DA8" w:rsidRPr="004E74A6" w:rsidRDefault="00817DA8" w:rsidP="00CE62C1">
            <w:pPr>
              <w:spacing w:line="276" w:lineRule="auto"/>
              <w:jc w:val="center"/>
              <w:rPr>
                <w:rFonts w:cs="Calibri"/>
                <w:color w:val="ED7D31" w:themeColor="accent2"/>
                <w:sz w:val="20"/>
                <w:lang w:eastAsia="es-CR"/>
              </w:rPr>
            </w:pPr>
            <w:r w:rsidRPr="004E74A6">
              <w:rPr>
                <w:rFonts w:cs="Calibri"/>
                <w:color w:val="ED7D31" w:themeColor="accent2"/>
                <w:sz w:val="20"/>
              </w:rPr>
              <w:t>1</w:t>
            </w:r>
          </w:p>
        </w:tc>
        <w:tc>
          <w:tcPr>
            <w:tcW w:w="639" w:type="pct"/>
            <w:tcBorders>
              <w:top w:val="nil"/>
              <w:left w:val="single" w:sz="4" w:space="0" w:color="auto"/>
              <w:bottom w:val="nil"/>
              <w:right w:val="nil"/>
            </w:tcBorders>
            <w:shd w:val="clear" w:color="auto" w:fill="auto"/>
            <w:noWrap/>
            <w:vAlign w:val="center"/>
            <w:hideMark/>
          </w:tcPr>
          <w:p w14:paraId="1C7026E1" w14:textId="13392421" w:rsidR="00817DA8" w:rsidRPr="004E74A6" w:rsidRDefault="00817DA8" w:rsidP="00CE62C1">
            <w:pPr>
              <w:spacing w:line="276" w:lineRule="auto"/>
              <w:jc w:val="center"/>
              <w:rPr>
                <w:rFonts w:cs="Calibri"/>
                <w:color w:val="ED7D31" w:themeColor="accent2"/>
                <w:sz w:val="20"/>
                <w:lang w:eastAsia="es-CR"/>
              </w:rPr>
            </w:pPr>
            <w:r w:rsidRPr="004E74A6">
              <w:rPr>
                <w:rFonts w:cs="Calibri"/>
                <w:color w:val="ED7D31" w:themeColor="accent2"/>
                <w:sz w:val="20"/>
              </w:rPr>
              <w:t>4,7</w:t>
            </w:r>
          </w:p>
        </w:tc>
        <w:tc>
          <w:tcPr>
            <w:tcW w:w="1337" w:type="pct"/>
            <w:tcBorders>
              <w:top w:val="nil"/>
              <w:left w:val="single" w:sz="4" w:space="0" w:color="auto"/>
              <w:bottom w:val="nil"/>
              <w:right w:val="nil"/>
            </w:tcBorders>
            <w:shd w:val="clear" w:color="auto" w:fill="auto"/>
            <w:vAlign w:val="bottom"/>
          </w:tcPr>
          <w:p w14:paraId="60294961" w14:textId="7FF2051E" w:rsidR="00817DA8" w:rsidRPr="004E74A6" w:rsidRDefault="00817DA8" w:rsidP="00CE62C1">
            <w:pPr>
              <w:spacing w:line="276" w:lineRule="auto"/>
              <w:jc w:val="center"/>
              <w:rPr>
                <w:rFonts w:cs="Calibri"/>
                <w:color w:val="ED7D31" w:themeColor="accent2"/>
                <w:sz w:val="20"/>
              </w:rPr>
            </w:pPr>
            <w:r w:rsidRPr="004E74A6">
              <w:rPr>
                <w:rFonts w:cs="Calibri"/>
                <w:color w:val="ED7D31" w:themeColor="accent2"/>
                <w:sz w:val="20"/>
              </w:rPr>
              <w:t>100%</w:t>
            </w:r>
          </w:p>
        </w:tc>
      </w:tr>
      <w:tr w:rsidR="00817DA8" w:rsidRPr="004E74A6" w14:paraId="6B59025F" w14:textId="4EF0909C" w:rsidTr="00817DA8">
        <w:trPr>
          <w:trHeight w:val="288"/>
          <w:jc w:val="center"/>
        </w:trPr>
        <w:tc>
          <w:tcPr>
            <w:tcW w:w="1597" w:type="pct"/>
            <w:tcBorders>
              <w:top w:val="nil"/>
              <w:left w:val="nil"/>
              <w:bottom w:val="single" w:sz="4" w:space="0" w:color="auto"/>
              <w:right w:val="single" w:sz="4" w:space="0" w:color="auto"/>
            </w:tcBorders>
            <w:shd w:val="clear" w:color="auto" w:fill="auto"/>
            <w:noWrap/>
            <w:vAlign w:val="bottom"/>
          </w:tcPr>
          <w:p w14:paraId="2CB1E730" w14:textId="77777777" w:rsidR="00817DA8" w:rsidRPr="004E74A6" w:rsidRDefault="00817DA8" w:rsidP="00CE62C1">
            <w:pPr>
              <w:spacing w:line="276" w:lineRule="auto"/>
              <w:jc w:val="left"/>
              <w:rPr>
                <w:rFonts w:cs="Calibri"/>
                <w:color w:val="000000"/>
                <w:sz w:val="20"/>
                <w:lang w:eastAsia="es-CR"/>
              </w:rPr>
            </w:pPr>
          </w:p>
        </w:tc>
        <w:tc>
          <w:tcPr>
            <w:tcW w:w="477" w:type="pct"/>
            <w:tcBorders>
              <w:top w:val="nil"/>
              <w:left w:val="single" w:sz="4" w:space="0" w:color="auto"/>
              <w:bottom w:val="single" w:sz="4" w:space="0" w:color="auto"/>
              <w:right w:val="single" w:sz="4" w:space="0" w:color="auto"/>
            </w:tcBorders>
            <w:shd w:val="clear" w:color="auto" w:fill="auto"/>
            <w:noWrap/>
            <w:vAlign w:val="center"/>
          </w:tcPr>
          <w:p w14:paraId="3FFED78E" w14:textId="77777777" w:rsidR="00817DA8" w:rsidRPr="004E74A6" w:rsidRDefault="00817DA8" w:rsidP="00CE62C1">
            <w:pPr>
              <w:spacing w:line="276" w:lineRule="auto"/>
              <w:jc w:val="center"/>
              <w:rPr>
                <w:rFonts w:cs="Calibri"/>
                <w:color w:val="000000"/>
                <w:sz w:val="20"/>
                <w:lang w:eastAsia="es-CR"/>
              </w:rPr>
            </w:pPr>
          </w:p>
        </w:tc>
        <w:tc>
          <w:tcPr>
            <w:tcW w:w="475" w:type="pct"/>
            <w:tcBorders>
              <w:top w:val="nil"/>
              <w:left w:val="single" w:sz="4" w:space="0" w:color="auto"/>
              <w:bottom w:val="single" w:sz="4" w:space="0" w:color="auto"/>
              <w:right w:val="single" w:sz="4" w:space="0" w:color="auto"/>
            </w:tcBorders>
            <w:shd w:val="clear" w:color="auto" w:fill="auto"/>
            <w:noWrap/>
            <w:vAlign w:val="center"/>
          </w:tcPr>
          <w:p w14:paraId="2EA0487D" w14:textId="77777777" w:rsidR="00817DA8" w:rsidRPr="004E74A6" w:rsidRDefault="00817DA8" w:rsidP="00CE62C1">
            <w:pPr>
              <w:spacing w:line="276" w:lineRule="auto"/>
              <w:jc w:val="center"/>
              <w:rPr>
                <w:rFonts w:cs="Calibri"/>
                <w:color w:val="000000"/>
                <w:sz w:val="20"/>
                <w:lang w:eastAsia="es-CR"/>
              </w:rPr>
            </w:pPr>
          </w:p>
        </w:tc>
        <w:tc>
          <w:tcPr>
            <w:tcW w:w="475" w:type="pct"/>
            <w:tcBorders>
              <w:top w:val="nil"/>
              <w:left w:val="single" w:sz="4" w:space="0" w:color="auto"/>
              <w:bottom w:val="single" w:sz="4" w:space="0" w:color="auto"/>
              <w:right w:val="single" w:sz="4" w:space="0" w:color="auto"/>
            </w:tcBorders>
            <w:shd w:val="clear" w:color="auto" w:fill="auto"/>
            <w:noWrap/>
            <w:vAlign w:val="center"/>
          </w:tcPr>
          <w:p w14:paraId="5609BE72" w14:textId="77777777" w:rsidR="00817DA8" w:rsidRPr="004E74A6" w:rsidRDefault="00817DA8" w:rsidP="00CE62C1">
            <w:pPr>
              <w:spacing w:line="276" w:lineRule="auto"/>
              <w:jc w:val="center"/>
              <w:rPr>
                <w:rFonts w:cs="Calibri"/>
                <w:color w:val="000000"/>
                <w:sz w:val="20"/>
                <w:lang w:eastAsia="es-CR"/>
              </w:rPr>
            </w:pPr>
          </w:p>
        </w:tc>
        <w:tc>
          <w:tcPr>
            <w:tcW w:w="639" w:type="pct"/>
            <w:tcBorders>
              <w:top w:val="nil"/>
              <w:left w:val="single" w:sz="4" w:space="0" w:color="auto"/>
              <w:bottom w:val="single" w:sz="4" w:space="0" w:color="auto"/>
              <w:right w:val="nil"/>
            </w:tcBorders>
            <w:shd w:val="clear" w:color="auto" w:fill="auto"/>
            <w:noWrap/>
            <w:vAlign w:val="center"/>
          </w:tcPr>
          <w:p w14:paraId="4EDC0FDA" w14:textId="77777777" w:rsidR="00817DA8" w:rsidRPr="004E74A6" w:rsidRDefault="00817DA8" w:rsidP="00CE62C1">
            <w:pPr>
              <w:spacing w:line="276" w:lineRule="auto"/>
              <w:jc w:val="center"/>
              <w:rPr>
                <w:rFonts w:cs="Calibri"/>
                <w:color w:val="000000"/>
                <w:sz w:val="20"/>
                <w:lang w:eastAsia="es-CR"/>
              </w:rPr>
            </w:pPr>
          </w:p>
        </w:tc>
        <w:tc>
          <w:tcPr>
            <w:tcW w:w="1337" w:type="pct"/>
            <w:tcBorders>
              <w:top w:val="nil"/>
              <w:left w:val="single" w:sz="4" w:space="0" w:color="auto"/>
              <w:bottom w:val="single" w:sz="4" w:space="0" w:color="auto"/>
              <w:right w:val="nil"/>
            </w:tcBorders>
          </w:tcPr>
          <w:p w14:paraId="7DE890CD" w14:textId="77777777" w:rsidR="00817DA8" w:rsidRPr="004E74A6" w:rsidRDefault="00817DA8" w:rsidP="00CE62C1">
            <w:pPr>
              <w:spacing w:line="276" w:lineRule="auto"/>
              <w:jc w:val="center"/>
              <w:rPr>
                <w:rFonts w:cs="Calibri"/>
                <w:color w:val="000000"/>
                <w:sz w:val="20"/>
                <w:lang w:eastAsia="es-CR"/>
              </w:rPr>
            </w:pPr>
          </w:p>
        </w:tc>
      </w:tr>
    </w:tbl>
    <w:p w14:paraId="643DA843" w14:textId="5887DDE2" w:rsidR="003E4755" w:rsidRPr="004E74A6" w:rsidRDefault="003E4755" w:rsidP="00832773">
      <w:pPr>
        <w:spacing w:line="276" w:lineRule="auto"/>
        <w:ind w:left="57" w:right="57"/>
        <w:rPr>
          <w:rFonts w:cs="Calibri"/>
          <w:i/>
          <w:iCs/>
          <w:color w:val="000000"/>
          <w:sz w:val="20"/>
          <w:lang w:eastAsia="es-CR"/>
        </w:rPr>
      </w:pPr>
      <w:r w:rsidRPr="004E74A6">
        <w:rPr>
          <w:rFonts w:cs="Calibri"/>
          <w:b/>
          <w:bCs/>
          <w:i/>
          <w:iCs/>
          <w:color w:val="000000"/>
          <w:sz w:val="20"/>
          <w:lang w:eastAsia="es-CR"/>
        </w:rPr>
        <w:t>Fuente</w:t>
      </w:r>
      <w:r w:rsidRPr="004E74A6">
        <w:rPr>
          <w:rFonts w:cs="Calibri"/>
          <w:i/>
          <w:iCs/>
          <w:color w:val="000000"/>
          <w:sz w:val="20"/>
          <w:lang w:eastAsia="es-CR"/>
        </w:rPr>
        <w:t>: Subproceso de Modernización Institucional con datos extraídos del sistema SIGMA, Dirección de Planificación.</w:t>
      </w:r>
    </w:p>
    <w:p w14:paraId="01CAB19E" w14:textId="77777777" w:rsidR="00F0204A" w:rsidRPr="004E74A6" w:rsidRDefault="00F0204A" w:rsidP="00CE62C1">
      <w:pPr>
        <w:spacing w:after="160" w:line="276" w:lineRule="auto"/>
        <w:rPr>
          <w:rFonts w:cs="Calibri"/>
          <w:color w:val="000000"/>
          <w:szCs w:val="24"/>
          <w:lang w:eastAsia="es-CR"/>
        </w:rPr>
      </w:pPr>
    </w:p>
    <w:p w14:paraId="4089C8EB" w14:textId="3C72238D" w:rsidR="0056385E" w:rsidRPr="004E74A6" w:rsidRDefault="0056385E" w:rsidP="00CE62C1">
      <w:pPr>
        <w:spacing w:after="160" w:line="276" w:lineRule="auto"/>
        <w:rPr>
          <w:rFonts w:cs="Calibri"/>
          <w:color w:val="000000"/>
          <w:szCs w:val="24"/>
          <w:lang w:eastAsia="es-CR"/>
        </w:rPr>
      </w:pPr>
      <w:r w:rsidRPr="004E74A6">
        <w:rPr>
          <w:rFonts w:cs="Calibri"/>
          <w:color w:val="000000"/>
          <w:szCs w:val="24"/>
          <w:lang w:eastAsia="es-CR"/>
        </w:rPr>
        <w:t xml:space="preserve">Para el 2019 se reportaron 0 asuntos con el rango de cuantía </w:t>
      </w:r>
      <w:r w:rsidRPr="004E74A6">
        <w:rPr>
          <w:rFonts w:cs="Calibri"/>
          <w:i/>
          <w:iCs/>
          <w:color w:val="000000"/>
          <w:szCs w:val="24"/>
          <w:lang w:eastAsia="es-CR"/>
        </w:rPr>
        <w:t>“expedientes cuantía cero”</w:t>
      </w:r>
      <w:r w:rsidRPr="004E74A6">
        <w:rPr>
          <w:rFonts w:cs="Calibri"/>
          <w:color w:val="000000"/>
          <w:szCs w:val="24"/>
          <w:lang w:eastAsia="es-CR"/>
        </w:rPr>
        <w:t>, 13 en 2020 y 1 en 2021, eso sucedió porque el Tribunal indicó que el proceso era estimable pero no completó la opción de rango.</w:t>
      </w:r>
    </w:p>
    <w:p w14:paraId="206860CD" w14:textId="19EF0798" w:rsidR="00A731B5" w:rsidRPr="004E74A6" w:rsidRDefault="00053D0A" w:rsidP="00CE62C1">
      <w:pPr>
        <w:spacing w:after="160" w:line="276" w:lineRule="auto"/>
        <w:rPr>
          <w:rFonts w:cs="Calibri"/>
          <w:color w:val="000000"/>
          <w:szCs w:val="24"/>
          <w:lang w:eastAsia="es-CR"/>
        </w:rPr>
      </w:pPr>
      <w:r w:rsidRPr="004E74A6">
        <w:rPr>
          <w:rFonts w:cs="Calibri"/>
          <w:color w:val="000000"/>
          <w:szCs w:val="24"/>
          <w:lang w:eastAsia="es-CR"/>
        </w:rPr>
        <w:t xml:space="preserve">De elevarse cuantía según escenario A.1 este Tribunal perdería un </w:t>
      </w:r>
      <w:r w:rsidR="0056385E" w:rsidRPr="004E74A6">
        <w:rPr>
          <w:rFonts w:cs="Calibri"/>
          <w:color w:val="000000"/>
          <w:szCs w:val="24"/>
          <w:lang w:eastAsia="es-CR"/>
        </w:rPr>
        <w:t>5</w:t>
      </w:r>
      <w:r w:rsidRPr="004E74A6">
        <w:rPr>
          <w:rFonts w:cs="Calibri"/>
          <w:color w:val="000000"/>
          <w:szCs w:val="24"/>
          <w:lang w:eastAsia="es-CR"/>
        </w:rPr>
        <w:t xml:space="preserve">3% </w:t>
      </w:r>
      <w:r w:rsidR="00A731B5" w:rsidRPr="004E74A6">
        <w:rPr>
          <w:rFonts w:cs="Calibri"/>
          <w:color w:val="000000"/>
          <w:szCs w:val="24"/>
          <w:lang w:eastAsia="es-CR"/>
        </w:rPr>
        <w:t xml:space="preserve">de su entrada actual de asuntos ordinarios estimables que se trasladarían a conocimiento de los Juzgados Civiles y por ende </w:t>
      </w:r>
      <w:r w:rsidR="00A731B5" w:rsidRPr="004E74A6">
        <w:rPr>
          <w:rFonts w:cs="Calibri"/>
          <w:b/>
          <w:bCs/>
          <w:color w:val="000000"/>
          <w:szCs w:val="24"/>
          <w:lang w:eastAsia="es-CR"/>
        </w:rPr>
        <w:t xml:space="preserve">las apelaciones de sentencia </w:t>
      </w:r>
      <w:r w:rsidR="00A731B5" w:rsidRPr="004E74A6">
        <w:rPr>
          <w:rFonts w:cs="Calibri"/>
          <w:color w:val="000000"/>
          <w:szCs w:val="24"/>
          <w:lang w:eastAsia="es-CR"/>
        </w:rPr>
        <w:t xml:space="preserve">en esos procesos se conocerían en los Tribunales de Apelación.  </w:t>
      </w:r>
    </w:p>
    <w:p w14:paraId="5F566E44" w14:textId="77777777" w:rsidR="00A731B5" w:rsidRPr="004E74A6" w:rsidRDefault="00A731B5" w:rsidP="00CE62C1">
      <w:pPr>
        <w:spacing w:after="160" w:line="276" w:lineRule="auto"/>
        <w:rPr>
          <w:rFonts w:cs="Calibri"/>
          <w:color w:val="000000"/>
          <w:szCs w:val="24"/>
          <w:lang w:eastAsia="es-CR"/>
        </w:rPr>
      </w:pPr>
      <w:r w:rsidRPr="004E74A6">
        <w:rPr>
          <w:rFonts w:cs="Calibri"/>
          <w:color w:val="000000"/>
          <w:szCs w:val="24"/>
          <w:lang w:eastAsia="es-CR"/>
        </w:rPr>
        <w:t xml:space="preserve">De elevarse cuantía según escenario A.2, no se modificaría la entrada de ordinarios, sino que el efecto sería en el recurso del que dispondrían las sentencias en los </w:t>
      </w:r>
      <w:r w:rsidRPr="004E74A6">
        <w:rPr>
          <w:rFonts w:cs="Calibri"/>
          <w:color w:val="000000"/>
          <w:szCs w:val="24"/>
          <w:lang w:eastAsia="es-CR"/>
        </w:rPr>
        <w:lastRenderedPageBreak/>
        <w:t>ordinarios estimados hasta en 20 millones de colones, que pese a que se mantendrían en trámite en estos tribunales de primera instancia, dejarían de disponer recurso de casación ante la Sala Primera y pasarían a disponer únicamente de recurso de apelación ante el Tribunal de Apelación en Segunda Instancia.</w:t>
      </w:r>
    </w:p>
    <w:p w14:paraId="2F73FA39" w14:textId="77777777" w:rsidR="008647ED" w:rsidRPr="004E74A6" w:rsidRDefault="008647ED" w:rsidP="00CE62C1">
      <w:pPr>
        <w:numPr>
          <w:ilvl w:val="2"/>
          <w:numId w:val="21"/>
        </w:numPr>
        <w:spacing w:after="160" w:line="276" w:lineRule="auto"/>
        <w:ind w:left="1225" w:hanging="505"/>
        <w:outlineLvl w:val="5"/>
        <w:rPr>
          <w:rFonts w:cs="Calibri"/>
          <w:color w:val="000000"/>
          <w:szCs w:val="24"/>
          <w:lang w:eastAsia="es-CR"/>
        </w:rPr>
      </w:pPr>
      <w:r w:rsidRPr="004E74A6">
        <w:rPr>
          <w:rFonts w:cs="Calibri"/>
          <w:color w:val="000000"/>
          <w:szCs w:val="24"/>
          <w:lang w:eastAsia="es-CR"/>
        </w:rPr>
        <w:t>Tribunal Colegiado Primera Instancia Civil Puntarenas</w:t>
      </w:r>
    </w:p>
    <w:p w14:paraId="05CAF143" w14:textId="3F3CEDD0" w:rsidR="008647ED" w:rsidRPr="004E74A6" w:rsidRDefault="00B055B1" w:rsidP="00CE62C1">
      <w:pPr>
        <w:spacing w:after="160" w:line="276" w:lineRule="auto"/>
        <w:rPr>
          <w:rFonts w:cs="Calibri"/>
          <w:color w:val="000000"/>
          <w:szCs w:val="24"/>
          <w:lang w:eastAsia="es-CR"/>
        </w:rPr>
      </w:pPr>
      <w:r w:rsidRPr="004E74A6">
        <w:rPr>
          <w:rFonts w:cs="Calibri"/>
          <w:color w:val="000000"/>
          <w:szCs w:val="24"/>
          <w:lang w:eastAsia="es-CR"/>
        </w:rPr>
        <w:t xml:space="preserve">Para el caso de este Tribunal, según la tabla por tipo de carpeta principal representa el </w:t>
      </w:r>
      <w:r w:rsidR="008647ED" w:rsidRPr="004E74A6">
        <w:rPr>
          <w:rFonts w:cs="Calibri"/>
          <w:color w:val="000000"/>
          <w:szCs w:val="24"/>
          <w:lang w:eastAsia="es-CR"/>
        </w:rPr>
        <w:t>87% de los asuntos que ingresan y que tuvo un ligero aumento para el 2021 en relación con el 2020.</w:t>
      </w:r>
    </w:p>
    <w:p w14:paraId="46DF98A0" w14:textId="230E1F66" w:rsidR="003B05D5" w:rsidRPr="00832773" w:rsidRDefault="003B05D5" w:rsidP="00F0204A">
      <w:pPr>
        <w:pStyle w:val="Descripcin"/>
        <w:keepNext/>
        <w:spacing w:line="276" w:lineRule="auto"/>
        <w:jc w:val="center"/>
        <w:rPr>
          <w:rFonts w:ascii="Book Antiqua" w:hAnsi="Book Antiqua"/>
          <w:i/>
          <w:iCs/>
          <w:sz w:val="20"/>
          <w:szCs w:val="16"/>
          <w:lang w:val="es-CR"/>
        </w:rPr>
      </w:pPr>
      <w:r w:rsidRPr="00832773">
        <w:rPr>
          <w:rFonts w:ascii="Book Antiqua" w:hAnsi="Book Antiqua"/>
          <w:i/>
          <w:iCs/>
          <w:sz w:val="20"/>
          <w:szCs w:val="16"/>
          <w:lang w:val="es-CR"/>
        </w:rPr>
        <w:t xml:space="preserve">Tabla </w:t>
      </w:r>
      <w:r w:rsidRPr="00832773">
        <w:rPr>
          <w:rFonts w:ascii="Book Antiqua" w:hAnsi="Book Antiqua"/>
          <w:i/>
          <w:iCs/>
          <w:sz w:val="20"/>
          <w:szCs w:val="16"/>
          <w:lang w:val="es-CR"/>
        </w:rPr>
        <w:fldChar w:fldCharType="begin"/>
      </w:r>
      <w:r w:rsidRPr="00832773">
        <w:rPr>
          <w:rFonts w:ascii="Book Antiqua" w:hAnsi="Book Antiqua"/>
          <w:i/>
          <w:iCs/>
          <w:sz w:val="20"/>
          <w:szCs w:val="16"/>
          <w:lang w:val="es-CR"/>
        </w:rPr>
        <w:instrText xml:space="preserve"> SEQ Tabla \* ARABIC </w:instrText>
      </w:r>
      <w:r w:rsidRPr="00832773">
        <w:rPr>
          <w:rFonts w:ascii="Book Antiqua" w:hAnsi="Book Antiqua"/>
          <w:i/>
          <w:iCs/>
          <w:sz w:val="20"/>
          <w:szCs w:val="16"/>
          <w:lang w:val="es-CR"/>
        </w:rPr>
        <w:fldChar w:fldCharType="separate"/>
      </w:r>
      <w:r w:rsidR="00374B51">
        <w:rPr>
          <w:rFonts w:ascii="Book Antiqua" w:hAnsi="Book Antiqua"/>
          <w:i/>
          <w:iCs/>
          <w:noProof/>
          <w:sz w:val="20"/>
          <w:szCs w:val="16"/>
          <w:lang w:val="es-CR"/>
        </w:rPr>
        <w:t>37</w:t>
      </w:r>
      <w:r w:rsidRPr="00832773">
        <w:rPr>
          <w:rFonts w:ascii="Book Antiqua" w:hAnsi="Book Antiqua"/>
          <w:i/>
          <w:iCs/>
          <w:sz w:val="20"/>
          <w:szCs w:val="16"/>
          <w:lang w:val="es-CR"/>
        </w:rPr>
        <w:fldChar w:fldCharType="end"/>
      </w:r>
      <w:r w:rsidRPr="00832773">
        <w:rPr>
          <w:rFonts w:ascii="Book Antiqua" w:hAnsi="Book Antiqua"/>
          <w:i/>
          <w:iCs/>
          <w:sz w:val="20"/>
          <w:szCs w:val="16"/>
          <w:lang w:val="es-CR"/>
        </w:rPr>
        <w:t xml:space="preserve"> Cantidad de entrados por tipo de </w:t>
      </w:r>
      <w:r w:rsidR="00B055B1" w:rsidRPr="00832773">
        <w:rPr>
          <w:rFonts w:ascii="Book Antiqua" w:hAnsi="Book Antiqua"/>
          <w:i/>
          <w:iCs/>
          <w:sz w:val="20"/>
          <w:szCs w:val="16"/>
          <w:lang w:val="es-CR"/>
        </w:rPr>
        <w:t>carpeta</w:t>
      </w:r>
      <w:r w:rsidRPr="00832773">
        <w:rPr>
          <w:rFonts w:ascii="Book Antiqua" w:hAnsi="Book Antiqua"/>
          <w:i/>
          <w:iCs/>
          <w:sz w:val="20"/>
          <w:szCs w:val="16"/>
          <w:lang w:val="es-CR"/>
        </w:rPr>
        <w:t xml:space="preserve"> del 2019 al 2021 para el Tribunal Colegiado Primera Instancia Civil Puntarenas</w:t>
      </w:r>
    </w:p>
    <w:tbl>
      <w:tblPr>
        <w:tblW w:w="4579" w:type="pct"/>
        <w:jc w:val="center"/>
        <w:tblLayout w:type="fixed"/>
        <w:tblCellMar>
          <w:left w:w="70" w:type="dxa"/>
          <w:right w:w="70" w:type="dxa"/>
        </w:tblCellMar>
        <w:tblLook w:val="04A0" w:firstRow="1" w:lastRow="0" w:firstColumn="1" w:lastColumn="0" w:noHBand="0" w:noVBand="1"/>
      </w:tblPr>
      <w:tblGrid>
        <w:gridCol w:w="4470"/>
        <w:gridCol w:w="837"/>
        <w:gridCol w:w="837"/>
        <w:gridCol w:w="836"/>
        <w:gridCol w:w="1116"/>
      </w:tblGrid>
      <w:tr w:rsidR="003B05D5" w:rsidRPr="004E74A6" w14:paraId="30C63F14" w14:textId="77777777" w:rsidTr="00B055B1">
        <w:trPr>
          <w:trHeight w:val="454"/>
          <w:tblHeader/>
          <w:jc w:val="center"/>
        </w:trPr>
        <w:tc>
          <w:tcPr>
            <w:tcW w:w="2761" w:type="pct"/>
            <w:tcBorders>
              <w:top w:val="single" w:sz="4" w:space="0" w:color="auto"/>
              <w:bottom w:val="single" w:sz="4" w:space="0" w:color="auto"/>
              <w:right w:val="single" w:sz="4" w:space="0" w:color="auto"/>
            </w:tcBorders>
            <w:shd w:val="clear" w:color="auto" w:fill="auto"/>
            <w:noWrap/>
            <w:vAlign w:val="center"/>
            <w:hideMark/>
          </w:tcPr>
          <w:p w14:paraId="7F4E61CA" w14:textId="393BA02F" w:rsidR="008647ED" w:rsidRPr="004E74A6" w:rsidRDefault="003B05D5" w:rsidP="00CE62C1">
            <w:pPr>
              <w:spacing w:line="276" w:lineRule="auto"/>
              <w:jc w:val="center"/>
              <w:rPr>
                <w:sz w:val="20"/>
                <w:lang w:eastAsia="es-CR"/>
              </w:rPr>
            </w:pPr>
            <w:r w:rsidRPr="004E74A6">
              <w:rPr>
                <w:sz w:val="20"/>
                <w:lang w:eastAsia="es-CR"/>
              </w:rPr>
              <w:t>Tipo</w:t>
            </w:r>
            <w:r w:rsidR="008647ED" w:rsidRPr="004E74A6">
              <w:rPr>
                <w:sz w:val="20"/>
                <w:lang w:eastAsia="es-CR"/>
              </w:rPr>
              <w:t xml:space="preserve"> De </w:t>
            </w:r>
            <w:r w:rsidR="00B055B1" w:rsidRPr="004E74A6">
              <w:rPr>
                <w:sz w:val="20"/>
                <w:lang w:eastAsia="es-CR"/>
              </w:rPr>
              <w:t>Carpeta</w:t>
            </w:r>
          </w:p>
        </w:tc>
        <w:tc>
          <w:tcPr>
            <w:tcW w:w="51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0A6BCE"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2019</w:t>
            </w:r>
          </w:p>
        </w:tc>
        <w:tc>
          <w:tcPr>
            <w:tcW w:w="51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D6AD8F"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2020</w:t>
            </w:r>
          </w:p>
        </w:tc>
        <w:tc>
          <w:tcPr>
            <w:tcW w:w="51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CCF3D5"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2021</w:t>
            </w:r>
          </w:p>
        </w:tc>
        <w:tc>
          <w:tcPr>
            <w:tcW w:w="689" w:type="pct"/>
            <w:tcBorders>
              <w:top w:val="single" w:sz="4" w:space="0" w:color="auto"/>
              <w:left w:val="single" w:sz="4" w:space="0" w:color="auto"/>
              <w:bottom w:val="single" w:sz="4" w:space="0" w:color="auto"/>
            </w:tcBorders>
            <w:shd w:val="clear" w:color="auto" w:fill="auto"/>
            <w:noWrap/>
            <w:vAlign w:val="center"/>
            <w:hideMark/>
          </w:tcPr>
          <w:p w14:paraId="2AB304A7" w14:textId="41D83A02" w:rsidR="008647ED" w:rsidRPr="004E74A6" w:rsidRDefault="003B05D5" w:rsidP="00CE62C1">
            <w:pPr>
              <w:spacing w:line="276" w:lineRule="auto"/>
              <w:jc w:val="center"/>
              <w:rPr>
                <w:rFonts w:cs="Calibri"/>
                <w:color w:val="000000"/>
                <w:sz w:val="20"/>
                <w:lang w:eastAsia="es-CR"/>
              </w:rPr>
            </w:pPr>
            <w:r w:rsidRPr="004E74A6">
              <w:rPr>
                <w:rFonts w:cs="Calibri"/>
                <w:color w:val="000000"/>
                <w:sz w:val="20"/>
                <w:lang w:eastAsia="es-CR"/>
              </w:rPr>
              <w:t>Promedio</w:t>
            </w:r>
          </w:p>
        </w:tc>
      </w:tr>
      <w:tr w:rsidR="003B05D5" w:rsidRPr="004E74A6" w14:paraId="6EC3108C" w14:textId="77777777" w:rsidTr="00B055B1">
        <w:trPr>
          <w:trHeight w:val="288"/>
          <w:jc w:val="center"/>
        </w:trPr>
        <w:tc>
          <w:tcPr>
            <w:tcW w:w="2761" w:type="pct"/>
            <w:tcBorders>
              <w:top w:val="single" w:sz="4" w:space="0" w:color="auto"/>
              <w:right w:val="single" w:sz="4" w:space="0" w:color="auto"/>
            </w:tcBorders>
            <w:shd w:val="clear" w:color="auto" w:fill="auto"/>
            <w:noWrap/>
            <w:vAlign w:val="bottom"/>
          </w:tcPr>
          <w:p w14:paraId="406EB5E3" w14:textId="77777777" w:rsidR="008647ED" w:rsidRPr="004E74A6" w:rsidRDefault="008647ED" w:rsidP="00CE62C1">
            <w:pPr>
              <w:spacing w:line="276" w:lineRule="auto"/>
              <w:jc w:val="left"/>
              <w:rPr>
                <w:rFonts w:cs="Calibri"/>
                <w:color w:val="000000"/>
                <w:sz w:val="20"/>
                <w:lang w:eastAsia="es-CR"/>
              </w:rPr>
            </w:pPr>
          </w:p>
        </w:tc>
        <w:tc>
          <w:tcPr>
            <w:tcW w:w="517" w:type="pct"/>
            <w:tcBorders>
              <w:top w:val="single" w:sz="4" w:space="0" w:color="auto"/>
              <w:left w:val="single" w:sz="4" w:space="0" w:color="auto"/>
              <w:right w:val="single" w:sz="4" w:space="0" w:color="auto"/>
            </w:tcBorders>
            <w:shd w:val="clear" w:color="auto" w:fill="auto"/>
            <w:noWrap/>
            <w:vAlign w:val="center"/>
          </w:tcPr>
          <w:p w14:paraId="72449436" w14:textId="77777777" w:rsidR="008647ED" w:rsidRPr="004E74A6" w:rsidRDefault="008647ED" w:rsidP="00CE62C1">
            <w:pPr>
              <w:spacing w:line="276" w:lineRule="auto"/>
              <w:jc w:val="center"/>
              <w:rPr>
                <w:rFonts w:cs="Calibri"/>
                <w:color w:val="000000"/>
                <w:sz w:val="20"/>
                <w:lang w:eastAsia="es-CR"/>
              </w:rPr>
            </w:pPr>
          </w:p>
        </w:tc>
        <w:tc>
          <w:tcPr>
            <w:tcW w:w="517" w:type="pct"/>
            <w:tcBorders>
              <w:top w:val="single" w:sz="4" w:space="0" w:color="auto"/>
              <w:left w:val="single" w:sz="4" w:space="0" w:color="auto"/>
              <w:right w:val="single" w:sz="4" w:space="0" w:color="auto"/>
            </w:tcBorders>
            <w:shd w:val="clear" w:color="auto" w:fill="auto"/>
            <w:noWrap/>
            <w:vAlign w:val="center"/>
          </w:tcPr>
          <w:p w14:paraId="4BF6D826" w14:textId="77777777" w:rsidR="008647ED" w:rsidRPr="004E74A6" w:rsidRDefault="008647ED" w:rsidP="00CE62C1">
            <w:pPr>
              <w:spacing w:line="276" w:lineRule="auto"/>
              <w:jc w:val="center"/>
              <w:rPr>
                <w:rFonts w:cs="Calibri"/>
                <w:color w:val="000000"/>
                <w:sz w:val="20"/>
                <w:lang w:eastAsia="es-CR"/>
              </w:rPr>
            </w:pPr>
          </w:p>
        </w:tc>
        <w:tc>
          <w:tcPr>
            <w:tcW w:w="516" w:type="pct"/>
            <w:tcBorders>
              <w:top w:val="single" w:sz="4" w:space="0" w:color="auto"/>
              <w:left w:val="single" w:sz="4" w:space="0" w:color="auto"/>
              <w:right w:val="single" w:sz="4" w:space="0" w:color="auto"/>
            </w:tcBorders>
            <w:shd w:val="clear" w:color="auto" w:fill="auto"/>
            <w:noWrap/>
            <w:vAlign w:val="center"/>
          </w:tcPr>
          <w:p w14:paraId="57CEFF72" w14:textId="77777777" w:rsidR="008647ED" w:rsidRPr="004E74A6" w:rsidRDefault="008647ED" w:rsidP="00CE62C1">
            <w:pPr>
              <w:spacing w:line="276" w:lineRule="auto"/>
              <w:jc w:val="center"/>
              <w:rPr>
                <w:rFonts w:cs="Calibri"/>
                <w:color w:val="000000"/>
                <w:sz w:val="20"/>
                <w:lang w:eastAsia="es-CR"/>
              </w:rPr>
            </w:pPr>
          </w:p>
        </w:tc>
        <w:tc>
          <w:tcPr>
            <w:tcW w:w="689" w:type="pct"/>
            <w:tcBorders>
              <w:top w:val="single" w:sz="4" w:space="0" w:color="auto"/>
              <w:left w:val="single" w:sz="4" w:space="0" w:color="auto"/>
            </w:tcBorders>
            <w:shd w:val="clear" w:color="auto" w:fill="auto"/>
            <w:noWrap/>
            <w:vAlign w:val="center"/>
          </w:tcPr>
          <w:p w14:paraId="3B2AA9DB" w14:textId="77777777" w:rsidR="008647ED" w:rsidRPr="004E74A6" w:rsidRDefault="008647ED" w:rsidP="00CE62C1">
            <w:pPr>
              <w:spacing w:line="276" w:lineRule="auto"/>
              <w:jc w:val="center"/>
              <w:rPr>
                <w:rFonts w:cs="Calibri"/>
                <w:color w:val="000000"/>
                <w:sz w:val="20"/>
                <w:lang w:eastAsia="es-CR"/>
              </w:rPr>
            </w:pPr>
          </w:p>
        </w:tc>
      </w:tr>
      <w:tr w:rsidR="00B055B1" w:rsidRPr="004E74A6" w14:paraId="0F73EB2C" w14:textId="77777777" w:rsidTr="00B055B1">
        <w:trPr>
          <w:trHeight w:val="288"/>
          <w:jc w:val="center"/>
        </w:trPr>
        <w:tc>
          <w:tcPr>
            <w:tcW w:w="2761" w:type="pct"/>
            <w:tcBorders>
              <w:right w:val="single" w:sz="4" w:space="0" w:color="auto"/>
            </w:tcBorders>
            <w:shd w:val="clear" w:color="auto" w:fill="auto"/>
            <w:noWrap/>
            <w:vAlign w:val="bottom"/>
          </w:tcPr>
          <w:p w14:paraId="48731132" w14:textId="6FE30CD9" w:rsidR="00B055B1" w:rsidRPr="004E74A6" w:rsidRDefault="00B055B1" w:rsidP="00CE62C1">
            <w:pPr>
              <w:spacing w:line="276" w:lineRule="auto"/>
              <w:jc w:val="center"/>
              <w:rPr>
                <w:rFonts w:cs="Calibri"/>
                <w:color w:val="000000"/>
                <w:sz w:val="20"/>
                <w:lang w:eastAsia="es-CR"/>
              </w:rPr>
            </w:pPr>
            <w:r w:rsidRPr="004E74A6">
              <w:rPr>
                <w:rFonts w:cs="Calibri"/>
                <w:color w:val="000000"/>
                <w:sz w:val="20"/>
                <w:lang w:eastAsia="es-CR"/>
              </w:rPr>
              <w:t>Total General</w:t>
            </w:r>
          </w:p>
        </w:tc>
        <w:tc>
          <w:tcPr>
            <w:tcW w:w="517" w:type="pct"/>
            <w:tcBorders>
              <w:left w:val="single" w:sz="4" w:space="0" w:color="auto"/>
              <w:right w:val="single" w:sz="4" w:space="0" w:color="auto"/>
            </w:tcBorders>
            <w:shd w:val="clear" w:color="auto" w:fill="auto"/>
            <w:noWrap/>
            <w:vAlign w:val="bottom"/>
          </w:tcPr>
          <w:p w14:paraId="0167792B" w14:textId="7470D844" w:rsidR="00B055B1" w:rsidRPr="004E74A6" w:rsidRDefault="00B055B1" w:rsidP="00CE62C1">
            <w:pPr>
              <w:spacing w:line="276" w:lineRule="auto"/>
              <w:jc w:val="center"/>
              <w:rPr>
                <w:rFonts w:cs="Calibri"/>
                <w:color w:val="000000"/>
                <w:sz w:val="20"/>
              </w:rPr>
            </w:pPr>
            <w:r w:rsidRPr="004E74A6">
              <w:rPr>
                <w:rFonts w:cs="Calibri"/>
                <w:color w:val="000000"/>
                <w:sz w:val="20"/>
              </w:rPr>
              <w:t>148</w:t>
            </w:r>
          </w:p>
        </w:tc>
        <w:tc>
          <w:tcPr>
            <w:tcW w:w="517" w:type="pct"/>
            <w:tcBorders>
              <w:left w:val="single" w:sz="4" w:space="0" w:color="auto"/>
              <w:right w:val="single" w:sz="4" w:space="0" w:color="auto"/>
            </w:tcBorders>
            <w:shd w:val="clear" w:color="auto" w:fill="auto"/>
            <w:noWrap/>
            <w:vAlign w:val="bottom"/>
          </w:tcPr>
          <w:p w14:paraId="79A01D77" w14:textId="28259739" w:rsidR="00B055B1" w:rsidRPr="004E74A6" w:rsidRDefault="00B055B1" w:rsidP="00CE62C1">
            <w:pPr>
              <w:spacing w:line="276" w:lineRule="auto"/>
              <w:jc w:val="center"/>
              <w:rPr>
                <w:rFonts w:cs="Calibri"/>
                <w:color w:val="000000"/>
                <w:sz w:val="20"/>
              </w:rPr>
            </w:pPr>
            <w:r w:rsidRPr="004E74A6">
              <w:rPr>
                <w:rFonts w:cs="Calibri"/>
                <w:color w:val="000000"/>
                <w:sz w:val="20"/>
              </w:rPr>
              <w:t>137</w:t>
            </w:r>
          </w:p>
        </w:tc>
        <w:tc>
          <w:tcPr>
            <w:tcW w:w="516" w:type="pct"/>
            <w:tcBorders>
              <w:left w:val="single" w:sz="4" w:space="0" w:color="auto"/>
              <w:right w:val="single" w:sz="4" w:space="0" w:color="auto"/>
            </w:tcBorders>
            <w:shd w:val="clear" w:color="auto" w:fill="auto"/>
            <w:noWrap/>
            <w:vAlign w:val="bottom"/>
          </w:tcPr>
          <w:p w14:paraId="0E975CF0" w14:textId="45273C8D" w:rsidR="00B055B1" w:rsidRPr="004E74A6" w:rsidRDefault="00B055B1" w:rsidP="00CE62C1">
            <w:pPr>
              <w:spacing w:line="276" w:lineRule="auto"/>
              <w:jc w:val="center"/>
              <w:rPr>
                <w:rFonts w:cs="Calibri"/>
                <w:color w:val="000000"/>
                <w:sz w:val="20"/>
              </w:rPr>
            </w:pPr>
            <w:r w:rsidRPr="004E74A6">
              <w:rPr>
                <w:rFonts w:cs="Calibri"/>
                <w:color w:val="000000"/>
                <w:sz w:val="20"/>
              </w:rPr>
              <w:t>151</w:t>
            </w:r>
          </w:p>
        </w:tc>
        <w:tc>
          <w:tcPr>
            <w:tcW w:w="689" w:type="pct"/>
            <w:tcBorders>
              <w:left w:val="single" w:sz="4" w:space="0" w:color="auto"/>
            </w:tcBorders>
            <w:shd w:val="clear" w:color="auto" w:fill="auto"/>
            <w:noWrap/>
            <w:vAlign w:val="bottom"/>
          </w:tcPr>
          <w:p w14:paraId="5FD52832" w14:textId="0D4AB4B5" w:rsidR="00B055B1" w:rsidRPr="004E74A6" w:rsidRDefault="00B055B1" w:rsidP="00CE62C1">
            <w:pPr>
              <w:spacing w:line="276" w:lineRule="auto"/>
              <w:jc w:val="center"/>
              <w:rPr>
                <w:rFonts w:cs="Calibri"/>
                <w:color w:val="000000"/>
                <w:sz w:val="20"/>
              </w:rPr>
            </w:pPr>
            <w:r w:rsidRPr="004E74A6">
              <w:rPr>
                <w:rFonts w:cs="Calibri"/>
                <w:color w:val="000000"/>
                <w:sz w:val="20"/>
              </w:rPr>
              <w:t>145</w:t>
            </w:r>
          </w:p>
        </w:tc>
      </w:tr>
      <w:tr w:rsidR="00B055B1" w:rsidRPr="004E74A6" w14:paraId="2030C910" w14:textId="77777777" w:rsidTr="00B055B1">
        <w:trPr>
          <w:trHeight w:val="288"/>
          <w:jc w:val="center"/>
        </w:trPr>
        <w:tc>
          <w:tcPr>
            <w:tcW w:w="2761" w:type="pct"/>
            <w:tcBorders>
              <w:right w:val="single" w:sz="4" w:space="0" w:color="auto"/>
            </w:tcBorders>
            <w:shd w:val="clear" w:color="auto" w:fill="auto"/>
            <w:noWrap/>
            <w:vAlign w:val="bottom"/>
          </w:tcPr>
          <w:p w14:paraId="61106E25" w14:textId="77777777" w:rsidR="00B055B1" w:rsidRPr="004E74A6" w:rsidRDefault="00B055B1" w:rsidP="00CE62C1">
            <w:pPr>
              <w:spacing w:line="276" w:lineRule="auto"/>
              <w:jc w:val="left"/>
              <w:rPr>
                <w:rFonts w:cs="Calibri"/>
                <w:color w:val="000000"/>
                <w:sz w:val="20"/>
                <w:lang w:eastAsia="es-CR"/>
              </w:rPr>
            </w:pPr>
          </w:p>
        </w:tc>
        <w:tc>
          <w:tcPr>
            <w:tcW w:w="517" w:type="pct"/>
            <w:tcBorders>
              <w:left w:val="single" w:sz="4" w:space="0" w:color="auto"/>
              <w:right w:val="single" w:sz="4" w:space="0" w:color="auto"/>
            </w:tcBorders>
            <w:shd w:val="clear" w:color="auto" w:fill="auto"/>
            <w:noWrap/>
            <w:vAlign w:val="bottom"/>
          </w:tcPr>
          <w:p w14:paraId="4E5E6625" w14:textId="77777777" w:rsidR="00B055B1" w:rsidRPr="004E74A6" w:rsidRDefault="00B055B1" w:rsidP="00CE62C1">
            <w:pPr>
              <w:spacing w:line="276" w:lineRule="auto"/>
              <w:jc w:val="center"/>
              <w:rPr>
                <w:rFonts w:cs="Calibri"/>
                <w:color w:val="000000"/>
                <w:sz w:val="20"/>
              </w:rPr>
            </w:pPr>
          </w:p>
        </w:tc>
        <w:tc>
          <w:tcPr>
            <w:tcW w:w="517" w:type="pct"/>
            <w:tcBorders>
              <w:left w:val="single" w:sz="4" w:space="0" w:color="auto"/>
              <w:right w:val="single" w:sz="4" w:space="0" w:color="auto"/>
            </w:tcBorders>
            <w:shd w:val="clear" w:color="auto" w:fill="auto"/>
            <w:noWrap/>
            <w:vAlign w:val="bottom"/>
          </w:tcPr>
          <w:p w14:paraId="16817814" w14:textId="77777777" w:rsidR="00B055B1" w:rsidRPr="004E74A6" w:rsidRDefault="00B055B1" w:rsidP="00CE62C1">
            <w:pPr>
              <w:spacing w:line="276" w:lineRule="auto"/>
              <w:jc w:val="center"/>
              <w:rPr>
                <w:rFonts w:cs="Calibri"/>
                <w:color w:val="000000"/>
                <w:sz w:val="20"/>
              </w:rPr>
            </w:pPr>
          </w:p>
        </w:tc>
        <w:tc>
          <w:tcPr>
            <w:tcW w:w="516" w:type="pct"/>
            <w:tcBorders>
              <w:left w:val="single" w:sz="4" w:space="0" w:color="auto"/>
              <w:right w:val="single" w:sz="4" w:space="0" w:color="auto"/>
            </w:tcBorders>
            <w:shd w:val="clear" w:color="auto" w:fill="auto"/>
            <w:noWrap/>
            <w:vAlign w:val="bottom"/>
          </w:tcPr>
          <w:p w14:paraId="7FE85A8C" w14:textId="77777777" w:rsidR="00B055B1" w:rsidRPr="004E74A6" w:rsidRDefault="00B055B1" w:rsidP="00CE62C1">
            <w:pPr>
              <w:spacing w:line="276" w:lineRule="auto"/>
              <w:jc w:val="center"/>
              <w:rPr>
                <w:rFonts w:cs="Calibri"/>
                <w:color w:val="000000"/>
                <w:sz w:val="20"/>
              </w:rPr>
            </w:pPr>
          </w:p>
        </w:tc>
        <w:tc>
          <w:tcPr>
            <w:tcW w:w="689" w:type="pct"/>
            <w:tcBorders>
              <w:left w:val="single" w:sz="4" w:space="0" w:color="auto"/>
            </w:tcBorders>
            <w:shd w:val="clear" w:color="auto" w:fill="auto"/>
            <w:noWrap/>
            <w:vAlign w:val="bottom"/>
          </w:tcPr>
          <w:p w14:paraId="0FE6B169" w14:textId="77777777" w:rsidR="00B055B1" w:rsidRPr="004E74A6" w:rsidRDefault="00B055B1" w:rsidP="00CE62C1">
            <w:pPr>
              <w:spacing w:line="276" w:lineRule="auto"/>
              <w:jc w:val="center"/>
              <w:rPr>
                <w:rFonts w:cs="Calibri"/>
                <w:color w:val="000000"/>
                <w:sz w:val="20"/>
              </w:rPr>
            </w:pPr>
          </w:p>
        </w:tc>
      </w:tr>
      <w:tr w:rsidR="00B055B1" w:rsidRPr="004E74A6" w14:paraId="3D5A0284" w14:textId="77777777" w:rsidTr="00B055B1">
        <w:trPr>
          <w:trHeight w:val="288"/>
          <w:jc w:val="center"/>
        </w:trPr>
        <w:tc>
          <w:tcPr>
            <w:tcW w:w="2761" w:type="pct"/>
            <w:tcBorders>
              <w:right w:val="single" w:sz="4" w:space="0" w:color="auto"/>
            </w:tcBorders>
            <w:shd w:val="clear" w:color="auto" w:fill="auto"/>
            <w:noWrap/>
            <w:vAlign w:val="bottom"/>
            <w:hideMark/>
          </w:tcPr>
          <w:p w14:paraId="4C5EAA78" w14:textId="77777777" w:rsidR="00B055B1" w:rsidRPr="004E74A6" w:rsidRDefault="00B055B1" w:rsidP="00CE62C1">
            <w:pPr>
              <w:spacing w:line="276" w:lineRule="auto"/>
              <w:jc w:val="left"/>
              <w:rPr>
                <w:rFonts w:cs="Calibri"/>
                <w:color w:val="000000"/>
                <w:sz w:val="20"/>
                <w:lang w:eastAsia="es-CR"/>
              </w:rPr>
            </w:pPr>
            <w:r w:rsidRPr="004E74A6">
              <w:rPr>
                <w:rFonts w:cs="Calibri"/>
                <w:color w:val="000000"/>
                <w:sz w:val="20"/>
                <w:lang w:eastAsia="es-CR"/>
              </w:rPr>
              <w:t>Comisiones Recibidas</w:t>
            </w:r>
          </w:p>
        </w:tc>
        <w:tc>
          <w:tcPr>
            <w:tcW w:w="517" w:type="pct"/>
            <w:tcBorders>
              <w:left w:val="single" w:sz="4" w:space="0" w:color="auto"/>
              <w:right w:val="single" w:sz="4" w:space="0" w:color="auto"/>
            </w:tcBorders>
            <w:shd w:val="clear" w:color="auto" w:fill="auto"/>
            <w:noWrap/>
            <w:vAlign w:val="bottom"/>
            <w:hideMark/>
          </w:tcPr>
          <w:p w14:paraId="66BE8EBD" w14:textId="547691EA" w:rsidR="00B055B1" w:rsidRPr="004E74A6" w:rsidRDefault="00B055B1" w:rsidP="00CE62C1">
            <w:pPr>
              <w:spacing w:line="276" w:lineRule="auto"/>
              <w:jc w:val="center"/>
              <w:rPr>
                <w:rFonts w:cs="Calibri"/>
                <w:color w:val="000000"/>
                <w:sz w:val="20"/>
                <w:lang w:eastAsia="es-CR"/>
              </w:rPr>
            </w:pPr>
            <w:r w:rsidRPr="004E74A6">
              <w:rPr>
                <w:rFonts w:cs="Calibri"/>
                <w:color w:val="000000"/>
                <w:sz w:val="20"/>
              </w:rPr>
              <w:t>1</w:t>
            </w:r>
          </w:p>
        </w:tc>
        <w:tc>
          <w:tcPr>
            <w:tcW w:w="517" w:type="pct"/>
            <w:tcBorders>
              <w:left w:val="single" w:sz="4" w:space="0" w:color="auto"/>
              <w:right w:val="single" w:sz="4" w:space="0" w:color="auto"/>
            </w:tcBorders>
            <w:shd w:val="clear" w:color="auto" w:fill="auto"/>
            <w:noWrap/>
            <w:vAlign w:val="bottom"/>
            <w:hideMark/>
          </w:tcPr>
          <w:p w14:paraId="3776DE00" w14:textId="20485F16" w:rsidR="00B055B1" w:rsidRPr="004E74A6" w:rsidRDefault="00B055B1" w:rsidP="00CE62C1">
            <w:pPr>
              <w:spacing w:line="276" w:lineRule="auto"/>
              <w:jc w:val="center"/>
              <w:rPr>
                <w:rFonts w:cs="Calibri"/>
                <w:color w:val="000000"/>
                <w:sz w:val="20"/>
                <w:lang w:eastAsia="es-CR"/>
              </w:rPr>
            </w:pPr>
            <w:r w:rsidRPr="004E74A6">
              <w:rPr>
                <w:rFonts w:cs="Calibri"/>
                <w:color w:val="000000"/>
                <w:sz w:val="20"/>
              </w:rPr>
              <w:t>1</w:t>
            </w:r>
          </w:p>
        </w:tc>
        <w:tc>
          <w:tcPr>
            <w:tcW w:w="516" w:type="pct"/>
            <w:tcBorders>
              <w:left w:val="single" w:sz="4" w:space="0" w:color="auto"/>
              <w:right w:val="single" w:sz="4" w:space="0" w:color="auto"/>
            </w:tcBorders>
            <w:shd w:val="clear" w:color="auto" w:fill="auto"/>
            <w:noWrap/>
            <w:vAlign w:val="bottom"/>
            <w:hideMark/>
          </w:tcPr>
          <w:p w14:paraId="662F6AB5" w14:textId="7947D58B" w:rsidR="00B055B1" w:rsidRPr="004E74A6" w:rsidRDefault="00B055B1" w:rsidP="00CE62C1">
            <w:pPr>
              <w:spacing w:line="276" w:lineRule="auto"/>
              <w:jc w:val="center"/>
              <w:rPr>
                <w:rFonts w:cs="Calibri"/>
                <w:color w:val="000000"/>
                <w:sz w:val="20"/>
                <w:lang w:eastAsia="es-CR"/>
              </w:rPr>
            </w:pPr>
            <w:r w:rsidRPr="004E74A6">
              <w:rPr>
                <w:rFonts w:cs="Calibri"/>
                <w:color w:val="000000"/>
                <w:sz w:val="20"/>
              </w:rPr>
              <w:t>1</w:t>
            </w:r>
          </w:p>
        </w:tc>
        <w:tc>
          <w:tcPr>
            <w:tcW w:w="689" w:type="pct"/>
            <w:tcBorders>
              <w:left w:val="single" w:sz="4" w:space="0" w:color="auto"/>
            </w:tcBorders>
            <w:shd w:val="clear" w:color="auto" w:fill="auto"/>
            <w:noWrap/>
            <w:vAlign w:val="bottom"/>
            <w:hideMark/>
          </w:tcPr>
          <w:p w14:paraId="441D913F" w14:textId="2A2073E0" w:rsidR="00B055B1" w:rsidRPr="004E74A6" w:rsidRDefault="00B055B1" w:rsidP="00CE62C1">
            <w:pPr>
              <w:spacing w:line="276" w:lineRule="auto"/>
              <w:jc w:val="center"/>
              <w:rPr>
                <w:rFonts w:cs="Calibri"/>
                <w:color w:val="000000"/>
                <w:sz w:val="20"/>
                <w:lang w:eastAsia="es-CR"/>
              </w:rPr>
            </w:pPr>
            <w:r w:rsidRPr="004E74A6">
              <w:rPr>
                <w:rFonts w:cs="Calibri"/>
                <w:color w:val="000000"/>
                <w:sz w:val="20"/>
              </w:rPr>
              <w:t>1,0</w:t>
            </w:r>
          </w:p>
        </w:tc>
      </w:tr>
      <w:tr w:rsidR="00B055B1" w:rsidRPr="004E74A6" w14:paraId="6A316FA6" w14:textId="77777777" w:rsidTr="00B055B1">
        <w:trPr>
          <w:trHeight w:val="288"/>
          <w:jc w:val="center"/>
        </w:trPr>
        <w:tc>
          <w:tcPr>
            <w:tcW w:w="2761" w:type="pct"/>
            <w:tcBorders>
              <w:right w:val="single" w:sz="4" w:space="0" w:color="auto"/>
            </w:tcBorders>
            <w:shd w:val="clear" w:color="auto" w:fill="auto"/>
            <w:noWrap/>
            <w:vAlign w:val="bottom"/>
            <w:hideMark/>
          </w:tcPr>
          <w:p w14:paraId="411F599F" w14:textId="77777777" w:rsidR="00B055B1" w:rsidRPr="004E74A6" w:rsidRDefault="00B055B1" w:rsidP="00CE62C1">
            <w:pPr>
              <w:spacing w:line="276" w:lineRule="auto"/>
              <w:jc w:val="left"/>
              <w:rPr>
                <w:rFonts w:cs="Calibri"/>
                <w:color w:val="000000"/>
                <w:sz w:val="20"/>
                <w:lang w:eastAsia="es-CR"/>
              </w:rPr>
            </w:pPr>
            <w:r w:rsidRPr="004E74A6">
              <w:rPr>
                <w:rFonts w:cs="Calibri"/>
                <w:color w:val="000000"/>
                <w:sz w:val="20"/>
                <w:lang w:eastAsia="es-CR"/>
              </w:rPr>
              <w:t>Consulta</w:t>
            </w:r>
          </w:p>
        </w:tc>
        <w:tc>
          <w:tcPr>
            <w:tcW w:w="517" w:type="pct"/>
            <w:tcBorders>
              <w:left w:val="single" w:sz="4" w:space="0" w:color="auto"/>
              <w:right w:val="single" w:sz="4" w:space="0" w:color="auto"/>
            </w:tcBorders>
            <w:shd w:val="clear" w:color="auto" w:fill="auto"/>
            <w:noWrap/>
            <w:vAlign w:val="bottom"/>
            <w:hideMark/>
          </w:tcPr>
          <w:p w14:paraId="6ABDF02B" w14:textId="3A0A1BF6" w:rsidR="00B055B1" w:rsidRPr="004E74A6" w:rsidRDefault="00B055B1" w:rsidP="00CE62C1">
            <w:pPr>
              <w:spacing w:line="276" w:lineRule="auto"/>
              <w:jc w:val="center"/>
              <w:rPr>
                <w:sz w:val="20"/>
                <w:lang w:eastAsia="es-CR"/>
              </w:rPr>
            </w:pPr>
            <w:r w:rsidRPr="004E74A6">
              <w:rPr>
                <w:rFonts w:cs="Calibri"/>
                <w:color w:val="000000"/>
                <w:sz w:val="20"/>
              </w:rPr>
              <w:t>0</w:t>
            </w:r>
          </w:p>
        </w:tc>
        <w:tc>
          <w:tcPr>
            <w:tcW w:w="517" w:type="pct"/>
            <w:tcBorders>
              <w:left w:val="single" w:sz="4" w:space="0" w:color="auto"/>
              <w:right w:val="single" w:sz="4" w:space="0" w:color="auto"/>
            </w:tcBorders>
            <w:shd w:val="clear" w:color="auto" w:fill="auto"/>
            <w:noWrap/>
            <w:vAlign w:val="bottom"/>
            <w:hideMark/>
          </w:tcPr>
          <w:p w14:paraId="13B37F6F" w14:textId="30DF8010" w:rsidR="00B055B1" w:rsidRPr="004E74A6" w:rsidRDefault="00B055B1" w:rsidP="00CE62C1">
            <w:pPr>
              <w:spacing w:line="276" w:lineRule="auto"/>
              <w:jc w:val="center"/>
              <w:rPr>
                <w:sz w:val="20"/>
                <w:lang w:eastAsia="es-CR"/>
              </w:rPr>
            </w:pPr>
            <w:r w:rsidRPr="004E74A6">
              <w:rPr>
                <w:rFonts w:cs="Calibri"/>
                <w:color w:val="000000"/>
                <w:sz w:val="20"/>
              </w:rPr>
              <w:t>0</w:t>
            </w:r>
          </w:p>
        </w:tc>
        <w:tc>
          <w:tcPr>
            <w:tcW w:w="516" w:type="pct"/>
            <w:tcBorders>
              <w:left w:val="single" w:sz="4" w:space="0" w:color="auto"/>
              <w:right w:val="single" w:sz="4" w:space="0" w:color="auto"/>
            </w:tcBorders>
            <w:shd w:val="clear" w:color="auto" w:fill="auto"/>
            <w:noWrap/>
            <w:vAlign w:val="bottom"/>
            <w:hideMark/>
          </w:tcPr>
          <w:p w14:paraId="682C88AF" w14:textId="13672275" w:rsidR="00B055B1" w:rsidRPr="004E74A6" w:rsidRDefault="00B055B1" w:rsidP="00CE62C1">
            <w:pPr>
              <w:spacing w:line="276" w:lineRule="auto"/>
              <w:jc w:val="center"/>
              <w:rPr>
                <w:rFonts w:cs="Calibri"/>
                <w:color w:val="000000"/>
                <w:sz w:val="20"/>
                <w:lang w:eastAsia="es-CR"/>
              </w:rPr>
            </w:pPr>
            <w:r w:rsidRPr="004E74A6">
              <w:rPr>
                <w:rFonts w:cs="Calibri"/>
                <w:color w:val="000000"/>
                <w:sz w:val="20"/>
              </w:rPr>
              <w:t>1</w:t>
            </w:r>
          </w:p>
        </w:tc>
        <w:tc>
          <w:tcPr>
            <w:tcW w:w="689" w:type="pct"/>
            <w:tcBorders>
              <w:left w:val="single" w:sz="4" w:space="0" w:color="auto"/>
            </w:tcBorders>
            <w:shd w:val="clear" w:color="auto" w:fill="auto"/>
            <w:noWrap/>
            <w:vAlign w:val="bottom"/>
            <w:hideMark/>
          </w:tcPr>
          <w:p w14:paraId="0F8486BB" w14:textId="2F6B36B6" w:rsidR="00B055B1" w:rsidRPr="004E74A6" w:rsidRDefault="00B055B1" w:rsidP="00CE62C1">
            <w:pPr>
              <w:spacing w:line="276" w:lineRule="auto"/>
              <w:jc w:val="center"/>
              <w:rPr>
                <w:rFonts w:cs="Calibri"/>
                <w:color w:val="000000"/>
                <w:sz w:val="20"/>
                <w:lang w:eastAsia="es-CR"/>
              </w:rPr>
            </w:pPr>
            <w:r w:rsidRPr="004E74A6">
              <w:rPr>
                <w:rFonts w:cs="Calibri"/>
                <w:color w:val="000000"/>
                <w:sz w:val="20"/>
              </w:rPr>
              <w:t>0</w:t>
            </w:r>
          </w:p>
        </w:tc>
      </w:tr>
      <w:tr w:rsidR="00B055B1" w:rsidRPr="004E74A6" w14:paraId="7723027D" w14:textId="77777777" w:rsidTr="00B055B1">
        <w:trPr>
          <w:trHeight w:val="288"/>
          <w:jc w:val="center"/>
        </w:trPr>
        <w:tc>
          <w:tcPr>
            <w:tcW w:w="2761" w:type="pct"/>
            <w:tcBorders>
              <w:right w:val="single" w:sz="4" w:space="0" w:color="auto"/>
            </w:tcBorders>
            <w:shd w:val="clear" w:color="auto" w:fill="auto"/>
            <w:noWrap/>
            <w:vAlign w:val="bottom"/>
            <w:hideMark/>
          </w:tcPr>
          <w:p w14:paraId="05952A98" w14:textId="77777777" w:rsidR="00B055B1" w:rsidRPr="004E74A6" w:rsidRDefault="00B055B1" w:rsidP="00CE62C1">
            <w:pPr>
              <w:spacing w:line="276" w:lineRule="auto"/>
              <w:jc w:val="left"/>
              <w:rPr>
                <w:rFonts w:cs="Calibri"/>
                <w:color w:val="000000"/>
                <w:sz w:val="20"/>
                <w:lang w:eastAsia="es-CR"/>
              </w:rPr>
            </w:pPr>
            <w:r w:rsidRPr="004E74A6">
              <w:rPr>
                <w:rFonts w:cs="Calibri"/>
                <w:color w:val="000000"/>
                <w:sz w:val="20"/>
                <w:lang w:eastAsia="es-CR"/>
              </w:rPr>
              <w:t>Incidentes Procesales</w:t>
            </w:r>
          </w:p>
        </w:tc>
        <w:tc>
          <w:tcPr>
            <w:tcW w:w="517" w:type="pct"/>
            <w:tcBorders>
              <w:left w:val="single" w:sz="4" w:space="0" w:color="auto"/>
              <w:right w:val="single" w:sz="4" w:space="0" w:color="auto"/>
            </w:tcBorders>
            <w:shd w:val="clear" w:color="auto" w:fill="auto"/>
            <w:noWrap/>
            <w:vAlign w:val="bottom"/>
            <w:hideMark/>
          </w:tcPr>
          <w:p w14:paraId="468FC34A" w14:textId="179886A1" w:rsidR="00B055B1" w:rsidRPr="004E74A6" w:rsidRDefault="00B055B1" w:rsidP="00CE62C1">
            <w:pPr>
              <w:spacing w:line="276" w:lineRule="auto"/>
              <w:jc w:val="center"/>
              <w:rPr>
                <w:rFonts w:cs="Calibri"/>
                <w:color w:val="000000"/>
                <w:sz w:val="20"/>
                <w:lang w:eastAsia="es-CR"/>
              </w:rPr>
            </w:pPr>
            <w:r w:rsidRPr="004E74A6">
              <w:rPr>
                <w:rFonts w:cs="Calibri"/>
                <w:color w:val="000000"/>
                <w:sz w:val="20"/>
              </w:rPr>
              <w:t>7</w:t>
            </w:r>
          </w:p>
        </w:tc>
        <w:tc>
          <w:tcPr>
            <w:tcW w:w="517" w:type="pct"/>
            <w:tcBorders>
              <w:left w:val="single" w:sz="4" w:space="0" w:color="auto"/>
              <w:right w:val="single" w:sz="4" w:space="0" w:color="auto"/>
            </w:tcBorders>
            <w:shd w:val="clear" w:color="auto" w:fill="auto"/>
            <w:noWrap/>
            <w:vAlign w:val="bottom"/>
            <w:hideMark/>
          </w:tcPr>
          <w:p w14:paraId="1443BEF5" w14:textId="0CD2988A" w:rsidR="00B055B1" w:rsidRPr="004E74A6" w:rsidRDefault="00B055B1" w:rsidP="00CE62C1">
            <w:pPr>
              <w:spacing w:line="276" w:lineRule="auto"/>
              <w:jc w:val="center"/>
              <w:rPr>
                <w:rFonts w:cs="Calibri"/>
                <w:color w:val="000000"/>
                <w:sz w:val="20"/>
                <w:lang w:eastAsia="es-CR"/>
              </w:rPr>
            </w:pPr>
            <w:r w:rsidRPr="004E74A6">
              <w:rPr>
                <w:rFonts w:cs="Calibri"/>
                <w:color w:val="000000"/>
                <w:sz w:val="20"/>
              </w:rPr>
              <w:t>7</w:t>
            </w:r>
          </w:p>
        </w:tc>
        <w:tc>
          <w:tcPr>
            <w:tcW w:w="516" w:type="pct"/>
            <w:tcBorders>
              <w:left w:val="single" w:sz="4" w:space="0" w:color="auto"/>
              <w:right w:val="single" w:sz="4" w:space="0" w:color="auto"/>
            </w:tcBorders>
            <w:shd w:val="clear" w:color="auto" w:fill="auto"/>
            <w:noWrap/>
            <w:vAlign w:val="bottom"/>
            <w:hideMark/>
          </w:tcPr>
          <w:p w14:paraId="06018504" w14:textId="612165FA" w:rsidR="00B055B1" w:rsidRPr="004E74A6" w:rsidRDefault="00B055B1" w:rsidP="00CE62C1">
            <w:pPr>
              <w:spacing w:line="276" w:lineRule="auto"/>
              <w:jc w:val="center"/>
              <w:rPr>
                <w:rFonts w:cs="Calibri"/>
                <w:color w:val="000000"/>
                <w:sz w:val="20"/>
                <w:lang w:eastAsia="es-CR"/>
              </w:rPr>
            </w:pPr>
            <w:r w:rsidRPr="004E74A6">
              <w:rPr>
                <w:rFonts w:cs="Calibri"/>
                <w:color w:val="000000"/>
                <w:sz w:val="20"/>
              </w:rPr>
              <w:t>5</w:t>
            </w:r>
          </w:p>
        </w:tc>
        <w:tc>
          <w:tcPr>
            <w:tcW w:w="689" w:type="pct"/>
            <w:tcBorders>
              <w:left w:val="single" w:sz="4" w:space="0" w:color="auto"/>
            </w:tcBorders>
            <w:shd w:val="clear" w:color="auto" w:fill="auto"/>
            <w:noWrap/>
            <w:vAlign w:val="bottom"/>
            <w:hideMark/>
          </w:tcPr>
          <w:p w14:paraId="03588CED" w14:textId="3BA8EFF6" w:rsidR="00B055B1" w:rsidRPr="004E74A6" w:rsidRDefault="00B055B1" w:rsidP="00CE62C1">
            <w:pPr>
              <w:spacing w:line="276" w:lineRule="auto"/>
              <w:jc w:val="center"/>
              <w:rPr>
                <w:rFonts w:cs="Calibri"/>
                <w:color w:val="000000"/>
                <w:sz w:val="20"/>
                <w:lang w:eastAsia="es-CR"/>
              </w:rPr>
            </w:pPr>
            <w:r w:rsidRPr="004E74A6">
              <w:rPr>
                <w:rFonts w:cs="Calibri"/>
                <w:color w:val="000000"/>
                <w:sz w:val="20"/>
              </w:rPr>
              <w:t>6,3</w:t>
            </w:r>
          </w:p>
        </w:tc>
      </w:tr>
      <w:tr w:rsidR="00B055B1" w:rsidRPr="004E74A6" w14:paraId="0C4CED20" w14:textId="77777777" w:rsidTr="00B055B1">
        <w:trPr>
          <w:trHeight w:val="288"/>
          <w:jc w:val="center"/>
        </w:trPr>
        <w:tc>
          <w:tcPr>
            <w:tcW w:w="2761" w:type="pct"/>
            <w:tcBorders>
              <w:right w:val="single" w:sz="4" w:space="0" w:color="auto"/>
            </w:tcBorders>
            <w:shd w:val="clear" w:color="auto" w:fill="auto"/>
            <w:noWrap/>
            <w:vAlign w:val="bottom"/>
            <w:hideMark/>
          </w:tcPr>
          <w:p w14:paraId="15235D90" w14:textId="77777777" w:rsidR="00B055B1" w:rsidRPr="004E74A6" w:rsidRDefault="00B055B1" w:rsidP="00CE62C1">
            <w:pPr>
              <w:spacing w:line="276" w:lineRule="auto"/>
              <w:jc w:val="left"/>
              <w:rPr>
                <w:rFonts w:cs="Calibri"/>
                <w:color w:val="000000"/>
                <w:sz w:val="20"/>
                <w:lang w:eastAsia="es-CR"/>
              </w:rPr>
            </w:pPr>
            <w:r w:rsidRPr="004E74A6">
              <w:rPr>
                <w:rFonts w:cs="Calibri"/>
                <w:color w:val="000000"/>
                <w:sz w:val="20"/>
                <w:lang w:eastAsia="es-CR"/>
              </w:rPr>
              <w:t>Legajo</w:t>
            </w:r>
          </w:p>
        </w:tc>
        <w:tc>
          <w:tcPr>
            <w:tcW w:w="517" w:type="pct"/>
            <w:tcBorders>
              <w:left w:val="single" w:sz="4" w:space="0" w:color="auto"/>
              <w:right w:val="single" w:sz="4" w:space="0" w:color="auto"/>
            </w:tcBorders>
            <w:shd w:val="clear" w:color="auto" w:fill="auto"/>
            <w:noWrap/>
            <w:vAlign w:val="bottom"/>
            <w:hideMark/>
          </w:tcPr>
          <w:p w14:paraId="08C92360" w14:textId="5B0A8842" w:rsidR="00B055B1" w:rsidRPr="004E74A6" w:rsidRDefault="00B055B1" w:rsidP="00CE62C1">
            <w:pPr>
              <w:spacing w:line="276" w:lineRule="auto"/>
              <w:jc w:val="center"/>
              <w:rPr>
                <w:sz w:val="20"/>
                <w:lang w:eastAsia="es-CR"/>
              </w:rPr>
            </w:pPr>
            <w:r w:rsidRPr="004E74A6">
              <w:rPr>
                <w:rFonts w:cs="Calibri"/>
                <w:color w:val="000000"/>
                <w:sz w:val="20"/>
              </w:rPr>
              <w:t>0</w:t>
            </w:r>
          </w:p>
        </w:tc>
        <w:tc>
          <w:tcPr>
            <w:tcW w:w="517" w:type="pct"/>
            <w:tcBorders>
              <w:left w:val="single" w:sz="4" w:space="0" w:color="auto"/>
              <w:right w:val="single" w:sz="4" w:space="0" w:color="auto"/>
            </w:tcBorders>
            <w:shd w:val="clear" w:color="auto" w:fill="auto"/>
            <w:noWrap/>
            <w:vAlign w:val="bottom"/>
            <w:hideMark/>
          </w:tcPr>
          <w:p w14:paraId="275EC6FC" w14:textId="3E1A284A" w:rsidR="00B055B1" w:rsidRPr="004E74A6" w:rsidRDefault="00B055B1" w:rsidP="00CE62C1">
            <w:pPr>
              <w:spacing w:line="276" w:lineRule="auto"/>
              <w:jc w:val="center"/>
              <w:rPr>
                <w:sz w:val="20"/>
                <w:lang w:eastAsia="es-CR"/>
              </w:rPr>
            </w:pPr>
            <w:r w:rsidRPr="004E74A6">
              <w:rPr>
                <w:rFonts w:cs="Calibri"/>
                <w:color w:val="000000"/>
                <w:sz w:val="20"/>
              </w:rPr>
              <w:t>0</w:t>
            </w:r>
          </w:p>
        </w:tc>
        <w:tc>
          <w:tcPr>
            <w:tcW w:w="516" w:type="pct"/>
            <w:tcBorders>
              <w:left w:val="single" w:sz="4" w:space="0" w:color="auto"/>
              <w:right w:val="single" w:sz="4" w:space="0" w:color="auto"/>
            </w:tcBorders>
            <w:shd w:val="clear" w:color="auto" w:fill="auto"/>
            <w:noWrap/>
            <w:vAlign w:val="bottom"/>
            <w:hideMark/>
          </w:tcPr>
          <w:p w14:paraId="7A04725B" w14:textId="694A315C" w:rsidR="00B055B1" w:rsidRPr="004E74A6" w:rsidRDefault="00B055B1" w:rsidP="00CE62C1">
            <w:pPr>
              <w:spacing w:line="276" w:lineRule="auto"/>
              <w:jc w:val="center"/>
              <w:rPr>
                <w:rFonts w:cs="Calibri"/>
                <w:color w:val="000000"/>
                <w:sz w:val="20"/>
                <w:lang w:eastAsia="es-CR"/>
              </w:rPr>
            </w:pPr>
            <w:r w:rsidRPr="004E74A6">
              <w:rPr>
                <w:rFonts w:cs="Calibri"/>
                <w:color w:val="000000"/>
                <w:sz w:val="20"/>
              </w:rPr>
              <w:t>1</w:t>
            </w:r>
          </w:p>
        </w:tc>
        <w:tc>
          <w:tcPr>
            <w:tcW w:w="689" w:type="pct"/>
            <w:tcBorders>
              <w:left w:val="single" w:sz="4" w:space="0" w:color="auto"/>
            </w:tcBorders>
            <w:shd w:val="clear" w:color="auto" w:fill="auto"/>
            <w:noWrap/>
            <w:vAlign w:val="bottom"/>
            <w:hideMark/>
          </w:tcPr>
          <w:p w14:paraId="17A411D6" w14:textId="6E400880" w:rsidR="00B055B1" w:rsidRPr="004E74A6" w:rsidRDefault="00B055B1" w:rsidP="00CE62C1">
            <w:pPr>
              <w:spacing w:line="276" w:lineRule="auto"/>
              <w:jc w:val="center"/>
              <w:rPr>
                <w:rFonts w:cs="Calibri"/>
                <w:color w:val="000000"/>
                <w:sz w:val="20"/>
                <w:lang w:eastAsia="es-CR"/>
              </w:rPr>
            </w:pPr>
            <w:r w:rsidRPr="004E74A6">
              <w:rPr>
                <w:rFonts w:cs="Calibri"/>
                <w:color w:val="000000"/>
                <w:sz w:val="20"/>
              </w:rPr>
              <w:t>0,3</w:t>
            </w:r>
          </w:p>
        </w:tc>
      </w:tr>
      <w:tr w:rsidR="00B055B1" w:rsidRPr="004E74A6" w14:paraId="2D05756B" w14:textId="77777777" w:rsidTr="00B055B1">
        <w:trPr>
          <w:trHeight w:val="288"/>
          <w:jc w:val="center"/>
        </w:trPr>
        <w:tc>
          <w:tcPr>
            <w:tcW w:w="2761" w:type="pct"/>
            <w:tcBorders>
              <w:right w:val="single" w:sz="4" w:space="0" w:color="auto"/>
            </w:tcBorders>
            <w:shd w:val="clear" w:color="auto" w:fill="auto"/>
            <w:noWrap/>
            <w:vAlign w:val="bottom"/>
            <w:hideMark/>
          </w:tcPr>
          <w:p w14:paraId="7E31A8CE" w14:textId="77777777" w:rsidR="00B055B1" w:rsidRPr="004E74A6" w:rsidRDefault="00B055B1" w:rsidP="00CE62C1">
            <w:pPr>
              <w:spacing w:line="276" w:lineRule="auto"/>
              <w:jc w:val="left"/>
              <w:rPr>
                <w:rFonts w:cs="Calibri"/>
                <w:color w:val="000000"/>
                <w:sz w:val="20"/>
                <w:lang w:eastAsia="es-CR"/>
              </w:rPr>
            </w:pPr>
            <w:r w:rsidRPr="004E74A6">
              <w:rPr>
                <w:rFonts w:cs="Calibri"/>
                <w:color w:val="000000"/>
                <w:sz w:val="20"/>
                <w:lang w:eastAsia="es-CR"/>
              </w:rPr>
              <w:t>Legajo Apelación Por Inadmisión</w:t>
            </w:r>
          </w:p>
        </w:tc>
        <w:tc>
          <w:tcPr>
            <w:tcW w:w="517" w:type="pct"/>
            <w:tcBorders>
              <w:left w:val="single" w:sz="4" w:space="0" w:color="auto"/>
              <w:right w:val="single" w:sz="4" w:space="0" w:color="auto"/>
            </w:tcBorders>
            <w:shd w:val="clear" w:color="auto" w:fill="auto"/>
            <w:noWrap/>
            <w:vAlign w:val="bottom"/>
            <w:hideMark/>
          </w:tcPr>
          <w:p w14:paraId="5225F247" w14:textId="0A5C4ED5" w:rsidR="00B055B1" w:rsidRPr="004E74A6" w:rsidRDefault="00B055B1" w:rsidP="00CE62C1">
            <w:pPr>
              <w:spacing w:line="276" w:lineRule="auto"/>
              <w:jc w:val="center"/>
              <w:rPr>
                <w:rFonts w:cs="Calibri"/>
                <w:color w:val="000000"/>
                <w:sz w:val="20"/>
                <w:lang w:eastAsia="es-CR"/>
              </w:rPr>
            </w:pPr>
            <w:r w:rsidRPr="004E74A6">
              <w:rPr>
                <w:rFonts w:cs="Calibri"/>
                <w:color w:val="000000"/>
                <w:sz w:val="20"/>
              </w:rPr>
              <w:t>6</w:t>
            </w:r>
          </w:p>
        </w:tc>
        <w:tc>
          <w:tcPr>
            <w:tcW w:w="517" w:type="pct"/>
            <w:tcBorders>
              <w:left w:val="single" w:sz="4" w:space="0" w:color="auto"/>
              <w:right w:val="single" w:sz="4" w:space="0" w:color="auto"/>
            </w:tcBorders>
            <w:shd w:val="clear" w:color="auto" w:fill="auto"/>
            <w:noWrap/>
            <w:vAlign w:val="bottom"/>
            <w:hideMark/>
          </w:tcPr>
          <w:p w14:paraId="14CC68FC" w14:textId="134DEE16" w:rsidR="00B055B1" w:rsidRPr="004E74A6" w:rsidRDefault="00B055B1" w:rsidP="00CE62C1">
            <w:pPr>
              <w:spacing w:line="276" w:lineRule="auto"/>
              <w:jc w:val="center"/>
              <w:rPr>
                <w:rFonts w:cs="Calibri"/>
                <w:color w:val="000000"/>
                <w:sz w:val="20"/>
                <w:lang w:eastAsia="es-CR"/>
              </w:rPr>
            </w:pPr>
            <w:r w:rsidRPr="004E74A6">
              <w:rPr>
                <w:rFonts w:cs="Calibri"/>
                <w:color w:val="000000"/>
                <w:sz w:val="20"/>
              </w:rPr>
              <w:t>6</w:t>
            </w:r>
          </w:p>
        </w:tc>
        <w:tc>
          <w:tcPr>
            <w:tcW w:w="516" w:type="pct"/>
            <w:tcBorders>
              <w:left w:val="single" w:sz="4" w:space="0" w:color="auto"/>
              <w:right w:val="single" w:sz="4" w:space="0" w:color="auto"/>
            </w:tcBorders>
            <w:shd w:val="clear" w:color="auto" w:fill="auto"/>
            <w:noWrap/>
            <w:vAlign w:val="bottom"/>
            <w:hideMark/>
          </w:tcPr>
          <w:p w14:paraId="00E44133" w14:textId="16998122" w:rsidR="00B055B1" w:rsidRPr="004E74A6" w:rsidRDefault="00B055B1" w:rsidP="00CE62C1">
            <w:pPr>
              <w:spacing w:line="276" w:lineRule="auto"/>
              <w:jc w:val="center"/>
              <w:rPr>
                <w:rFonts w:cs="Calibri"/>
                <w:color w:val="000000"/>
                <w:sz w:val="20"/>
                <w:lang w:eastAsia="es-CR"/>
              </w:rPr>
            </w:pPr>
            <w:r w:rsidRPr="004E74A6">
              <w:rPr>
                <w:rFonts w:cs="Calibri"/>
                <w:color w:val="000000"/>
                <w:sz w:val="20"/>
              </w:rPr>
              <w:t>8</w:t>
            </w:r>
          </w:p>
        </w:tc>
        <w:tc>
          <w:tcPr>
            <w:tcW w:w="689" w:type="pct"/>
            <w:tcBorders>
              <w:left w:val="single" w:sz="4" w:space="0" w:color="auto"/>
            </w:tcBorders>
            <w:shd w:val="clear" w:color="auto" w:fill="auto"/>
            <w:noWrap/>
            <w:vAlign w:val="bottom"/>
            <w:hideMark/>
          </w:tcPr>
          <w:p w14:paraId="4FA5F71A" w14:textId="69659DB5" w:rsidR="00B055B1" w:rsidRPr="004E74A6" w:rsidRDefault="00B055B1" w:rsidP="00CE62C1">
            <w:pPr>
              <w:spacing w:line="276" w:lineRule="auto"/>
              <w:jc w:val="center"/>
              <w:rPr>
                <w:rFonts w:cs="Calibri"/>
                <w:color w:val="000000"/>
                <w:sz w:val="20"/>
                <w:lang w:eastAsia="es-CR"/>
              </w:rPr>
            </w:pPr>
            <w:r w:rsidRPr="004E74A6">
              <w:rPr>
                <w:rFonts w:cs="Calibri"/>
                <w:color w:val="000000"/>
                <w:sz w:val="20"/>
              </w:rPr>
              <w:t>7</w:t>
            </w:r>
          </w:p>
        </w:tc>
      </w:tr>
      <w:tr w:rsidR="00B055B1" w:rsidRPr="004E74A6" w14:paraId="3D7D7C05" w14:textId="77777777" w:rsidTr="00B055B1">
        <w:trPr>
          <w:trHeight w:val="288"/>
          <w:jc w:val="center"/>
        </w:trPr>
        <w:tc>
          <w:tcPr>
            <w:tcW w:w="2761" w:type="pct"/>
            <w:tcBorders>
              <w:right w:val="single" w:sz="4" w:space="0" w:color="auto"/>
            </w:tcBorders>
            <w:shd w:val="clear" w:color="auto" w:fill="auto"/>
            <w:noWrap/>
            <w:vAlign w:val="bottom"/>
            <w:hideMark/>
          </w:tcPr>
          <w:p w14:paraId="45764810" w14:textId="77777777" w:rsidR="00B055B1" w:rsidRPr="004E74A6" w:rsidRDefault="00B055B1" w:rsidP="00CE62C1">
            <w:pPr>
              <w:spacing w:line="276" w:lineRule="auto"/>
              <w:jc w:val="left"/>
              <w:rPr>
                <w:rFonts w:cs="Calibri"/>
                <w:color w:val="000000"/>
                <w:sz w:val="20"/>
                <w:lang w:eastAsia="es-CR"/>
              </w:rPr>
            </w:pPr>
            <w:r w:rsidRPr="004E74A6">
              <w:rPr>
                <w:rFonts w:cs="Calibri"/>
                <w:color w:val="000000"/>
                <w:sz w:val="20"/>
                <w:lang w:eastAsia="es-CR"/>
              </w:rPr>
              <w:t>Legajo De Ejecución Provisional</w:t>
            </w:r>
          </w:p>
        </w:tc>
        <w:tc>
          <w:tcPr>
            <w:tcW w:w="517" w:type="pct"/>
            <w:tcBorders>
              <w:left w:val="single" w:sz="4" w:space="0" w:color="auto"/>
              <w:right w:val="single" w:sz="4" w:space="0" w:color="auto"/>
            </w:tcBorders>
            <w:shd w:val="clear" w:color="auto" w:fill="auto"/>
            <w:noWrap/>
            <w:vAlign w:val="bottom"/>
            <w:hideMark/>
          </w:tcPr>
          <w:p w14:paraId="65B75E82" w14:textId="7A601971" w:rsidR="00B055B1" w:rsidRPr="004E74A6" w:rsidRDefault="00B055B1" w:rsidP="00CE62C1">
            <w:pPr>
              <w:spacing w:line="276" w:lineRule="auto"/>
              <w:jc w:val="center"/>
              <w:rPr>
                <w:sz w:val="20"/>
                <w:lang w:eastAsia="es-CR"/>
              </w:rPr>
            </w:pPr>
            <w:r w:rsidRPr="004E74A6">
              <w:rPr>
                <w:rFonts w:cs="Calibri"/>
                <w:color w:val="000000"/>
                <w:sz w:val="20"/>
              </w:rPr>
              <w:t>0</w:t>
            </w:r>
          </w:p>
        </w:tc>
        <w:tc>
          <w:tcPr>
            <w:tcW w:w="517" w:type="pct"/>
            <w:tcBorders>
              <w:left w:val="single" w:sz="4" w:space="0" w:color="auto"/>
              <w:right w:val="single" w:sz="4" w:space="0" w:color="auto"/>
            </w:tcBorders>
            <w:shd w:val="clear" w:color="auto" w:fill="auto"/>
            <w:noWrap/>
            <w:vAlign w:val="bottom"/>
            <w:hideMark/>
          </w:tcPr>
          <w:p w14:paraId="46B1931E" w14:textId="166CF6F3" w:rsidR="00B055B1" w:rsidRPr="004E74A6" w:rsidRDefault="00B055B1" w:rsidP="00CE62C1">
            <w:pPr>
              <w:spacing w:line="276" w:lineRule="auto"/>
              <w:jc w:val="center"/>
              <w:rPr>
                <w:rFonts w:cs="Calibri"/>
                <w:color w:val="000000"/>
                <w:sz w:val="20"/>
                <w:lang w:eastAsia="es-CR"/>
              </w:rPr>
            </w:pPr>
            <w:r w:rsidRPr="004E74A6">
              <w:rPr>
                <w:rFonts w:cs="Calibri"/>
                <w:color w:val="000000"/>
                <w:sz w:val="20"/>
              </w:rPr>
              <w:t>1</w:t>
            </w:r>
          </w:p>
        </w:tc>
        <w:tc>
          <w:tcPr>
            <w:tcW w:w="516" w:type="pct"/>
            <w:tcBorders>
              <w:left w:val="single" w:sz="4" w:space="0" w:color="auto"/>
              <w:right w:val="single" w:sz="4" w:space="0" w:color="auto"/>
            </w:tcBorders>
            <w:shd w:val="clear" w:color="auto" w:fill="auto"/>
            <w:noWrap/>
            <w:vAlign w:val="bottom"/>
            <w:hideMark/>
          </w:tcPr>
          <w:p w14:paraId="2565C356" w14:textId="5CA89639" w:rsidR="00B055B1" w:rsidRPr="004E74A6" w:rsidRDefault="00B055B1" w:rsidP="00CE62C1">
            <w:pPr>
              <w:spacing w:line="276" w:lineRule="auto"/>
              <w:jc w:val="center"/>
              <w:rPr>
                <w:rFonts w:cs="Calibri"/>
                <w:color w:val="000000"/>
                <w:sz w:val="20"/>
                <w:lang w:eastAsia="es-CR"/>
              </w:rPr>
            </w:pPr>
            <w:r w:rsidRPr="004E74A6">
              <w:rPr>
                <w:rFonts w:cs="Calibri"/>
                <w:color w:val="000000"/>
                <w:sz w:val="20"/>
              </w:rPr>
              <w:t>6</w:t>
            </w:r>
          </w:p>
        </w:tc>
        <w:tc>
          <w:tcPr>
            <w:tcW w:w="689" w:type="pct"/>
            <w:tcBorders>
              <w:left w:val="single" w:sz="4" w:space="0" w:color="auto"/>
            </w:tcBorders>
            <w:shd w:val="clear" w:color="auto" w:fill="auto"/>
            <w:noWrap/>
            <w:vAlign w:val="bottom"/>
            <w:hideMark/>
          </w:tcPr>
          <w:p w14:paraId="4C038120" w14:textId="44A36F70" w:rsidR="00B055B1" w:rsidRPr="004E74A6" w:rsidRDefault="00B055B1" w:rsidP="00CE62C1">
            <w:pPr>
              <w:spacing w:line="276" w:lineRule="auto"/>
              <w:jc w:val="center"/>
              <w:rPr>
                <w:rFonts w:cs="Calibri"/>
                <w:color w:val="000000"/>
                <w:sz w:val="20"/>
                <w:lang w:eastAsia="es-CR"/>
              </w:rPr>
            </w:pPr>
            <w:r w:rsidRPr="004E74A6">
              <w:rPr>
                <w:rFonts w:cs="Calibri"/>
                <w:color w:val="000000"/>
                <w:sz w:val="20"/>
              </w:rPr>
              <w:t>2</w:t>
            </w:r>
          </w:p>
        </w:tc>
      </w:tr>
      <w:tr w:rsidR="00B055B1" w:rsidRPr="004E74A6" w14:paraId="69EFE895" w14:textId="77777777" w:rsidTr="00B055B1">
        <w:trPr>
          <w:trHeight w:val="288"/>
          <w:jc w:val="center"/>
        </w:trPr>
        <w:tc>
          <w:tcPr>
            <w:tcW w:w="2761" w:type="pct"/>
            <w:tcBorders>
              <w:right w:val="single" w:sz="4" w:space="0" w:color="auto"/>
            </w:tcBorders>
            <w:shd w:val="clear" w:color="auto" w:fill="auto"/>
            <w:noWrap/>
            <w:vAlign w:val="bottom"/>
            <w:hideMark/>
          </w:tcPr>
          <w:p w14:paraId="120BAC07" w14:textId="77777777" w:rsidR="00B055B1" w:rsidRPr="004E74A6" w:rsidRDefault="00B055B1" w:rsidP="00CE62C1">
            <w:pPr>
              <w:spacing w:line="276" w:lineRule="auto"/>
              <w:jc w:val="left"/>
              <w:rPr>
                <w:rFonts w:cs="Calibri"/>
                <w:color w:val="000000"/>
                <w:sz w:val="20"/>
                <w:lang w:eastAsia="es-CR"/>
              </w:rPr>
            </w:pPr>
            <w:r w:rsidRPr="004E74A6">
              <w:rPr>
                <w:rFonts w:cs="Calibri"/>
                <w:color w:val="000000"/>
                <w:sz w:val="20"/>
                <w:lang w:eastAsia="es-CR"/>
              </w:rPr>
              <w:t>Legajo Ejec. Sentencia Acuerdos En Conciliación</w:t>
            </w:r>
          </w:p>
        </w:tc>
        <w:tc>
          <w:tcPr>
            <w:tcW w:w="517" w:type="pct"/>
            <w:tcBorders>
              <w:left w:val="single" w:sz="4" w:space="0" w:color="auto"/>
              <w:right w:val="single" w:sz="4" w:space="0" w:color="auto"/>
            </w:tcBorders>
            <w:shd w:val="clear" w:color="auto" w:fill="auto"/>
            <w:noWrap/>
            <w:vAlign w:val="bottom"/>
            <w:hideMark/>
          </w:tcPr>
          <w:p w14:paraId="64D344B5" w14:textId="3A837EB7" w:rsidR="00B055B1" w:rsidRPr="004E74A6" w:rsidRDefault="00B055B1" w:rsidP="00CE62C1">
            <w:pPr>
              <w:spacing w:line="276" w:lineRule="auto"/>
              <w:jc w:val="center"/>
              <w:rPr>
                <w:rFonts w:cs="Calibri"/>
                <w:color w:val="000000"/>
                <w:sz w:val="20"/>
                <w:lang w:eastAsia="es-CR"/>
              </w:rPr>
            </w:pPr>
            <w:r w:rsidRPr="004E74A6">
              <w:rPr>
                <w:rFonts w:cs="Calibri"/>
                <w:color w:val="000000"/>
                <w:sz w:val="20"/>
              </w:rPr>
              <w:t>1</w:t>
            </w:r>
          </w:p>
        </w:tc>
        <w:tc>
          <w:tcPr>
            <w:tcW w:w="517" w:type="pct"/>
            <w:tcBorders>
              <w:left w:val="single" w:sz="4" w:space="0" w:color="auto"/>
              <w:right w:val="single" w:sz="4" w:space="0" w:color="auto"/>
            </w:tcBorders>
            <w:shd w:val="clear" w:color="auto" w:fill="auto"/>
            <w:noWrap/>
            <w:vAlign w:val="bottom"/>
            <w:hideMark/>
          </w:tcPr>
          <w:p w14:paraId="17FFCE7D" w14:textId="61A0FA2F" w:rsidR="00B055B1" w:rsidRPr="004E74A6" w:rsidRDefault="00B055B1" w:rsidP="00CE62C1">
            <w:pPr>
              <w:spacing w:line="276" w:lineRule="auto"/>
              <w:jc w:val="center"/>
              <w:rPr>
                <w:rFonts w:cs="Calibri"/>
                <w:color w:val="000000"/>
                <w:sz w:val="20"/>
                <w:lang w:eastAsia="es-CR"/>
              </w:rPr>
            </w:pPr>
            <w:r w:rsidRPr="004E74A6">
              <w:rPr>
                <w:rFonts w:cs="Calibri"/>
                <w:color w:val="000000"/>
                <w:sz w:val="20"/>
              </w:rPr>
              <w:t>0</w:t>
            </w:r>
          </w:p>
        </w:tc>
        <w:tc>
          <w:tcPr>
            <w:tcW w:w="516" w:type="pct"/>
            <w:tcBorders>
              <w:left w:val="single" w:sz="4" w:space="0" w:color="auto"/>
              <w:right w:val="single" w:sz="4" w:space="0" w:color="auto"/>
            </w:tcBorders>
            <w:shd w:val="clear" w:color="auto" w:fill="auto"/>
            <w:noWrap/>
            <w:vAlign w:val="bottom"/>
            <w:hideMark/>
          </w:tcPr>
          <w:p w14:paraId="4BA1591E" w14:textId="77AAD6C1" w:rsidR="00B055B1" w:rsidRPr="004E74A6" w:rsidRDefault="00B055B1" w:rsidP="00CE62C1">
            <w:pPr>
              <w:spacing w:line="276" w:lineRule="auto"/>
              <w:jc w:val="center"/>
              <w:rPr>
                <w:sz w:val="20"/>
                <w:lang w:eastAsia="es-CR"/>
              </w:rPr>
            </w:pPr>
            <w:r w:rsidRPr="004E74A6">
              <w:rPr>
                <w:rFonts w:cs="Calibri"/>
                <w:color w:val="000000"/>
                <w:sz w:val="20"/>
              </w:rPr>
              <w:t>0</w:t>
            </w:r>
          </w:p>
        </w:tc>
        <w:tc>
          <w:tcPr>
            <w:tcW w:w="689" w:type="pct"/>
            <w:tcBorders>
              <w:left w:val="single" w:sz="4" w:space="0" w:color="auto"/>
            </w:tcBorders>
            <w:shd w:val="clear" w:color="auto" w:fill="auto"/>
            <w:noWrap/>
            <w:vAlign w:val="bottom"/>
            <w:hideMark/>
          </w:tcPr>
          <w:p w14:paraId="07E4A739" w14:textId="7164B834" w:rsidR="00B055B1" w:rsidRPr="004E74A6" w:rsidRDefault="00B055B1" w:rsidP="00CE62C1">
            <w:pPr>
              <w:spacing w:line="276" w:lineRule="auto"/>
              <w:jc w:val="center"/>
              <w:rPr>
                <w:rFonts w:cs="Calibri"/>
                <w:color w:val="000000"/>
                <w:sz w:val="20"/>
                <w:lang w:eastAsia="es-CR"/>
              </w:rPr>
            </w:pPr>
            <w:r w:rsidRPr="004E74A6">
              <w:rPr>
                <w:rFonts w:cs="Calibri"/>
                <w:color w:val="000000"/>
                <w:sz w:val="20"/>
              </w:rPr>
              <w:t>0</w:t>
            </w:r>
          </w:p>
        </w:tc>
      </w:tr>
      <w:tr w:rsidR="00B055B1" w:rsidRPr="004E74A6" w14:paraId="327BFC9A" w14:textId="77777777" w:rsidTr="00B055B1">
        <w:trPr>
          <w:trHeight w:val="288"/>
          <w:jc w:val="center"/>
        </w:trPr>
        <w:tc>
          <w:tcPr>
            <w:tcW w:w="2761" w:type="pct"/>
            <w:tcBorders>
              <w:right w:val="single" w:sz="4" w:space="0" w:color="auto"/>
            </w:tcBorders>
            <w:shd w:val="clear" w:color="auto" w:fill="auto"/>
            <w:noWrap/>
            <w:vAlign w:val="bottom"/>
            <w:hideMark/>
          </w:tcPr>
          <w:p w14:paraId="33BA82C8" w14:textId="77777777" w:rsidR="00B055B1" w:rsidRPr="004E74A6" w:rsidRDefault="00B055B1" w:rsidP="00CE62C1">
            <w:pPr>
              <w:spacing w:line="276" w:lineRule="auto"/>
              <w:jc w:val="left"/>
              <w:rPr>
                <w:rFonts w:cs="Calibri"/>
                <w:color w:val="000000"/>
                <w:sz w:val="20"/>
                <w:lang w:eastAsia="es-CR"/>
              </w:rPr>
            </w:pPr>
            <w:r w:rsidRPr="004E74A6">
              <w:rPr>
                <w:rFonts w:cs="Calibri"/>
                <w:color w:val="000000"/>
                <w:sz w:val="20"/>
                <w:lang w:eastAsia="es-CR"/>
              </w:rPr>
              <w:t>Legajo Legalizaciones</w:t>
            </w:r>
          </w:p>
        </w:tc>
        <w:tc>
          <w:tcPr>
            <w:tcW w:w="517" w:type="pct"/>
            <w:tcBorders>
              <w:left w:val="single" w:sz="4" w:space="0" w:color="auto"/>
              <w:right w:val="single" w:sz="4" w:space="0" w:color="auto"/>
            </w:tcBorders>
            <w:shd w:val="clear" w:color="auto" w:fill="auto"/>
            <w:noWrap/>
            <w:vAlign w:val="bottom"/>
            <w:hideMark/>
          </w:tcPr>
          <w:p w14:paraId="153806A7" w14:textId="3FFBA44B" w:rsidR="00B055B1" w:rsidRPr="004E74A6" w:rsidRDefault="00B055B1" w:rsidP="00CE62C1">
            <w:pPr>
              <w:spacing w:line="276" w:lineRule="auto"/>
              <w:jc w:val="center"/>
              <w:rPr>
                <w:sz w:val="20"/>
                <w:lang w:eastAsia="es-CR"/>
              </w:rPr>
            </w:pPr>
            <w:r w:rsidRPr="004E74A6">
              <w:rPr>
                <w:rFonts w:cs="Calibri"/>
                <w:color w:val="000000"/>
                <w:sz w:val="20"/>
              </w:rPr>
              <w:t>0</w:t>
            </w:r>
          </w:p>
        </w:tc>
        <w:tc>
          <w:tcPr>
            <w:tcW w:w="517" w:type="pct"/>
            <w:tcBorders>
              <w:left w:val="single" w:sz="4" w:space="0" w:color="auto"/>
              <w:right w:val="single" w:sz="4" w:space="0" w:color="auto"/>
            </w:tcBorders>
            <w:shd w:val="clear" w:color="auto" w:fill="auto"/>
            <w:noWrap/>
            <w:vAlign w:val="bottom"/>
            <w:hideMark/>
          </w:tcPr>
          <w:p w14:paraId="2163FFE6" w14:textId="33DA9F66" w:rsidR="00B055B1" w:rsidRPr="004E74A6" w:rsidRDefault="00B055B1" w:rsidP="00CE62C1">
            <w:pPr>
              <w:spacing w:line="276" w:lineRule="auto"/>
              <w:jc w:val="center"/>
              <w:rPr>
                <w:sz w:val="20"/>
                <w:lang w:eastAsia="es-CR"/>
              </w:rPr>
            </w:pPr>
            <w:r w:rsidRPr="004E74A6">
              <w:rPr>
                <w:rFonts w:cs="Calibri"/>
                <w:color w:val="000000"/>
                <w:sz w:val="20"/>
              </w:rPr>
              <w:t>0</w:t>
            </w:r>
          </w:p>
        </w:tc>
        <w:tc>
          <w:tcPr>
            <w:tcW w:w="516" w:type="pct"/>
            <w:tcBorders>
              <w:left w:val="single" w:sz="4" w:space="0" w:color="auto"/>
              <w:right w:val="single" w:sz="4" w:space="0" w:color="auto"/>
            </w:tcBorders>
            <w:shd w:val="clear" w:color="auto" w:fill="auto"/>
            <w:noWrap/>
            <w:vAlign w:val="bottom"/>
            <w:hideMark/>
          </w:tcPr>
          <w:p w14:paraId="145CDC1F" w14:textId="5D559834" w:rsidR="00B055B1" w:rsidRPr="004E74A6" w:rsidRDefault="00B055B1" w:rsidP="00CE62C1">
            <w:pPr>
              <w:spacing w:line="276" w:lineRule="auto"/>
              <w:jc w:val="center"/>
              <w:rPr>
                <w:rFonts w:cs="Calibri"/>
                <w:color w:val="000000"/>
                <w:sz w:val="20"/>
                <w:lang w:eastAsia="es-CR"/>
              </w:rPr>
            </w:pPr>
            <w:r w:rsidRPr="004E74A6">
              <w:rPr>
                <w:rFonts w:cs="Calibri"/>
                <w:color w:val="000000"/>
                <w:sz w:val="20"/>
              </w:rPr>
              <w:t>1</w:t>
            </w:r>
          </w:p>
        </w:tc>
        <w:tc>
          <w:tcPr>
            <w:tcW w:w="689" w:type="pct"/>
            <w:tcBorders>
              <w:left w:val="single" w:sz="4" w:space="0" w:color="auto"/>
            </w:tcBorders>
            <w:shd w:val="clear" w:color="auto" w:fill="auto"/>
            <w:noWrap/>
            <w:vAlign w:val="bottom"/>
            <w:hideMark/>
          </w:tcPr>
          <w:p w14:paraId="49754244" w14:textId="646C9818" w:rsidR="00B055B1" w:rsidRPr="004E74A6" w:rsidRDefault="00B055B1" w:rsidP="00CE62C1">
            <w:pPr>
              <w:spacing w:line="276" w:lineRule="auto"/>
              <w:jc w:val="center"/>
              <w:rPr>
                <w:rFonts w:cs="Calibri"/>
                <w:color w:val="000000"/>
                <w:sz w:val="20"/>
                <w:lang w:eastAsia="es-CR"/>
              </w:rPr>
            </w:pPr>
            <w:r w:rsidRPr="004E74A6">
              <w:rPr>
                <w:rFonts w:cs="Calibri"/>
                <w:color w:val="000000"/>
                <w:sz w:val="20"/>
              </w:rPr>
              <w:t>0</w:t>
            </w:r>
          </w:p>
        </w:tc>
      </w:tr>
      <w:tr w:rsidR="00B055B1" w:rsidRPr="004E74A6" w14:paraId="63CCAD3A" w14:textId="77777777" w:rsidTr="00B055B1">
        <w:trPr>
          <w:trHeight w:val="288"/>
          <w:jc w:val="center"/>
        </w:trPr>
        <w:tc>
          <w:tcPr>
            <w:tcW w:w="2761" w:type="pct"/>
            <w:tcBorders>
              <w:right w:val="single" w:sz="4" w:space="0" w:color="auto"/>
            </w:tcBorders>
            <w:shd w:val="clear" w:color="auto" w:fill="auto"/>
            <w:noWrap/>
            <w:vAlign w:val="bottom"/>
            <w:hideMark/>
          </w:tcPr>
          <w:p w14:paraId="599667E0" w14:textId="77777777" w:rsidR="00B055B1" w:rsidRPr="004E74A6" w:rsidRDefault="00B055B1" w:rsidP="00CE62C1">
            <w:pPr>
              <w:spacing w:line="276" w:lineRule="auto"/>
              <w:jc w:val="left"/>
              <w:rPr>
                <w:rFonts w:cs="Calibri"/>
                <w:color w:val="000000"/>
                <w:sz w:val="20"/>
                <w:lang w:eastAsia="es-CR"/>
              </w:rPr>
            </w:pPr>
            <w:r w:rsidRPr="004E74A6">
              <w:rPr>
                <w:rFonts w:cs="Calibri"/>
                <w:color w:val="000000"/>
                <w:sz w:val="20"/>
                <w:lang w:eastAsia="es-CR"/>
              </w:rPr>
              <w:t>Principal</w:t>
            </w:r>
          </w:p>
        </w:tc>
        <w:tc>
          <w:tcPr>
            <w:tcW w:w="517" w:type="pct"/>
            <w:tcBorders>
              <w:left w:val="single" w:sz="4" w:space="0" w:color="auto"/>
              <w:right w:val="single" w:sz="4" w:space="0" w:color="auto"/>
            </w:tcBorders>
            <w:shd w:val="clear" w:color="auto" w:fill="auto"/>
            <w:noWrap/>
            <w:vAlign w:val="bottom"/>
            <w:hideMark/>
          </w:tcPr>
          <w:p w14:paraId="7A1BE499" w14:textId="50F8854C" w:rsidR="00B055B1" w:rsidRPr="004E74A6" w:rsidRDefault="00B055B1" w:rsidP="00CE62C1">
            <w:pPr>
              <w:spacing w:line="276" w:lineRule="auto"/>
              <w:jc w:val="center"/>
              <w:rPr>
                <w:rFonts w:cs="Calibri"/>
                <w:color w:val="000000"/>
                <w:sz w:val="20"/>
                <w:lang w:eastAsia="es-CR"/>
              </w:rPr>
            </w:pPr>
            <w:r w:rsidRPr="004E74A6">
              <w:rPr>
                <w:rFonts w:cs="Calibri"/>
                <w:color w:val="000000"/>
                <w:sz w:val="20"/>
              </w:rPr>
              <w:t>129</w:t>
            </w:r>
          </w:p>
        </w:tc>
        <w:tc>
          <w:tcPr>
            <w:tcW w:w="517" w:type="pct"/>
            <w:tcBorders>
              <w:left w:val="single" w:sz="4" w:space="0" w:color="auto"/>
              <w:right w:val="single" w:sz="4" w:space="0" w:color="auto"/>
            </w:tcBorders>
            <w:shd w:val="clear" w:color="auto" w:fill="auto"/>
            <w:noWrap/>
            <w:vAlign w:val="bottom"/>
            <w:hideMark/>
          </w:tcPr>
          <w:p w14:paraId="1B1DB4D3" w14:textId="56F4E4CC" w:rsidR="00B055B1" w:rsidRPr="004E74A6" w:rsidRDefault="00B055B1" w:rsidP="00CE62C1">
            <w:pPr>
              <w:spacing w:line="276" w:lineRule="auto"/>
              <w:jc w:val="center"/>
              <w:rPr>
                <w:rFonts w:cs="Calibri"/>
                <w:color w:val="000000"/>
                <w:sz w:val="20"/>
                <w:lang w:eastAsia="es-CR"/>
              </w:rPr>
            </w:pPr>
            <w:r w:rsidRPr="004E74A6">
              <w:rPr>
                <w:rFonts w:cs="Calibri"/>
                <w:color w:val="000000"/>
                <w:sz w:val="20"/>
              </w:rPr>
              <w:t>122</w:t>
            </w:r>
          </w:p>
        </w:tc>
        <w:tc>
          <w:tcPr>
            <w:tcW w:w="516" w:type="pct"/>
            <w:tcBorders>
              <w:left w:val="single" w:sz="4" w:space="0" w:color="auto"/>
              <w:right w:val="single" w:sz="4" w:space="0" w:color="auto"/>
            </w:tcBorders>
            <w:shd w:val="clear" w:color="auto" w:fill="auto"/>
            <w:noWrap/>
            <w:vAlign w:val="bottom"/>
            <w:hideMark/>
          </w:tcPr>
          <w:p w14:paraId="5DAEC437" w14:textId="1D7F1BE8" w:rsidR="00B055B1" w:rsidRPr="004E74A6" w:rsidRDefault="00B055B1" w:rsidP="00CE62C1">
            <w:pPr>
              <w:spacing w:line="276" w:lineRule="auto"/>
              <w:jc w:val="center"/>
              <w:rPr>
                <w:rFonts w:cs="Calibri"/>
                <w:color w:val="000000"/>
                <w:sz w:val="20"/>
                <w:lang w:eastAsia="es-CR"/>
              </w:rPr>
            </w:pPr>
            <w:r w:rsidRPr="004E74A6">
              <w:rPr>
                <w:rFonts w:cs="Calibri"/>
                <w:color w:val="000000"/>
                <w:sz w:val="20"/>
              </w:rPr>
              <w:t>127</w:t>
            </w:r>
          </w:p>
        </w:tc>
        <w:tc>
          <w:tcPr>
            <w:tcW w:w="689" w:type="pct"/>
            <w:tcBorders>
              <w:left w:val="single" w:sz="4" w:space="0" w:color="auto"/>
            </w:tcBorders>
            <w:shd w:val="clear" w:color="auto" w:fill="auto"/>
            <w:noWrap/>
            <w:vAlign w:val="bottom"/>
            <w:hideMark/>
          </w:tcPr>
          <w:p w14:paraId="14AA495A" w14:textId="2B183A4C" w:rsidR="00B055B1" w:rsidRPr="004E74A6" w:rsidRDefault="00B055B1" w:rsidP="00CE62C1">
            <w:pPr>
              <w:spacing w:line="276" w:lineRule="auto"/>
              <w:jc w:val="center"/>
              <w:rPr>
                <w:rFonts w:cs="Calibri"/>
                <w:color w:val="000000"/>
                <w:sz w:val="20"/>
                <w:lang w:eastAsia="es-CR"/>
              </w:rPr>
            </w:pPr>
            <w:r w:rsidRPr="004E74A6">
              <w:rPr>
                <w:rFonts w:cs="Calibri"/>
                <w:color w:val="000000"/>
                <w:sz w:val="20"/>
              </w:rPr>
              <w:t>126</w:t>
            </w:r>
          </w:p>
        </w:tc>
      </w:tr>
      <w:tr w:rsidR="00B055B1" w:rsidRPr="004E74A6" w14:paraId="7748E92B" w14:textId="77777777" w:rsidTr="00B055B1">
        <w:trPr>
          <w:trHeight w:val="288"/>
          <w:jc w:val="center"/>
        </w:trPr>
        <w:tc>
          <w:tcPr>
            <w:tcW w:w="2761" w:type="pct"/>
            <w:tcBorders>
              <w:right w:val="single" w:sz="4" w:space="0" w:color="auto"/>
            </w:tcBorders>
            <w:shd w:val="clear" w:color="auto" w:fill="auto"/>
            <w:noWrap/>
            <w:vAlign w:val="bottom"/>
            <w:hideMark/>
          </w:tcPr>
          <w:p w14:paraId="3E1E785D" w14:textId="77777777" w:rsidR="00B055B1" w:rsidRPr="004E74A6" w:rsidRDefault="00B055B1" w:rsidP="00CE62C1">
            <w:pPr>
              <w:spacing w:line="276" w:lineRule="auto"/>
              <w:jc w:val="left"/>
              <w:rPr>
                <w:rFonts w:cs="Calibri"/>
                <w:color w:val="000000"/>
                <w:sz w:val="20"/>
                <w:lang w:eastAsia="es-CR"/>
              </w:rPr>
            </w:pPr>
            <w:r w:rsidRPr="004E74A6">
              <w:rPr>
                <w:rFonts w:cs="Calibri"/>
                <w:color w:val="000000"/>
                <w:sz w:val="20"/>
                <w:lang w:eastAsia="es-CR"/>
              </w:rPr>
              <w:t>Recurso</w:t>
            </w:r>
          </w:p>
        </w:tc>
        <w:tc>
          <w:tcPr>
            <w:tcW w:w="517" w:type="pct"/>
            <w:tcBorders>
              <w:left w:val="single" w:sz="4" w:space="0" w:color="auto"/>
              <w:right w:val="single" w:sz="4" w:space="0" w:color="auto"/>
            </w:tcBorders>
            <w:shd w:val="clear" w:color="auto" w:fill="auto"/>
            <w:noWrap/>
            <w:vAlign w:val="bottom"/>
            <w:hideMark/>
          </w:tcPr>
          <w:p w14:paraId="31FC7003" w14:textId="096A709E" w:rsidR="00B055B1" w:rsidRPr="004E74A6" w:rsidRDefault="00B055B1" w:rsidP="00CE62C1">
            <w:pPr>
              <w:spacing w:line="276" w:lineRule="auto"/>
              <w:jc w:val="center"/>
              <w:rPr>
                <w:rFonts w:cs="Calibri"/>
                <w:color w:val="000000"/>
                <w:sz w:val="20"/>
                <w:lang w:eastAsia="es-CR"/>
              </w:rPr>
            </w:pPr>
            <w:r w:rsidRPr="004E74A6">
              <w:rPr>
                <w:rFonts w:cs="Calibri"/>
                <w:color w:val="000000"/>
                <w:sz w:val="20"/>
              </w:rPr>
              <w:t>1</w:t>
            </w:r>
          </w:p>
        </w:tc>
        <w:tc>
          <w:tcPr>
            <w:tcW w:w="517" w:type="pct"/>
            <w:tcBorders>
              <w:left w:val="single" w:sz="4" w:space="0" w:color="auto"/>
              <w:right w:val="single" w:sz="4" w:space="0" w:color="auto"/>
            </w:tcBorders>
            <w:shd w:val="clear" w:color="auto" w:fill="auto"/>
            <w:noWrap/>
            <w:vAlign w:val="bottom"/>
            <w:hideMark/>
          </w:tcPr>
          <w:p w14:paraId="3C61EFF8" w14:textId="536F20D5" w:rsidR="00B055B1" w:rsidRPr="004E74A6" w:rsidRDefault="00B055B1" w:rsidP="00CE62C1">
            <w:pPr>
              <w:spacing w:line="276" w:lineRule="auto"/>
              <w:jc w:val="center"/>
              <w:rPr>
                <w:rFonts w:cs="Calibri"/>
                <w:color w:val="000000"/>
                <w:sz w:val="20"/>
                <w:lang w:eastAsia="es-CR"/>
              </w:rPr>
            </w:pPr>
            <w:r w:rsidRPr="004E74A6">
              <w:rPr>
                <w:rFonts w:cs="Calibri"/>
                <w:color w:val="000000"/>
                <w:sz w:val="20"/>
              </w:rPr>
              <w:t>0</w:t>
            </w:r>
          </w:p>
        </w:tc>
        <w:tc>
          <w:tcPr>
            <w:tcW w:w="516" w:type="pct"/>
            <w:tcBorders>
              <w:left w:val="single" w:sz="4" w:space="0" w:color="auto"/>
              <w:right w:val="single" w:sz="4" w:space="0" w:color="auto"/>
            </w:tcBorders>
            <w:shd w:val="clear" w:color="auto" w:fill="auto"/>
            <w:noWrap/>
            <w:vAlign w:val="bottom"/>
            <w:hideMark/>
          </w:tcPr>
          <w:p w14:paraId="143FBE82" w14:textId="694B7780" w:rsidR="00B055B1" w:rsidRPr="004E74A6" w:rsidRDefault="00B055B1" w:rsidP="00CE62C1">
            <w:pPr>
              <w:spacing w:line="276" w:lineRule="auto"/>
              <w:jc w:val="center"/>
              <w:rPr>
                <w:sz w:val="20"/>
                <w:lang w:eastAsia="es-CR"/>
              </w:rPr>
            </w:pPr>
            <w:r w:rsidRPr="004E74A6">
              <w:rPr>
                <w:rFonts w:cs="Calibri"/>
                <w:color w:val="000000"/>
                <w:sz w:val="20"/>
              </w:rPr>
              <w:t>0</w:t>
            </w:r>
          </w:p>
        </w:tc>
        <w:tc>
          <w:tcPr>
            <w:tcW w:w="689" w:type="pct"/>
            <w:tcBorders>
              <w:left w:val="single" w:sz="4" w:space="0" w:color="auto"/>
            </w:tcBorders>
            <w:shd w:val="clear" w:color="auto" w:fill="auto"/>
            <w:noWrap/>
            <w:vAlign w:val="bottom"/>
            <w:hideMark/>
          </w:tcPr>
          <w:p w14:paraId="6C7C4AA7" w14:textId="63A64B2A" w:rsidR="00B055B1" w:rsidRPr="004E74A6" w:rsidRDefault="00B055B1" w:rsidP="00CE62C1">
            <w:pPr>
              <w:spacing w:line="276" w:lineRule="auto"/>
              <w:jc w:val="center"/>
              <w:rPr>
                <w:rFonts w:cs="Calibri"/>
                <w:color w:val="000000"/>
                <w:sz w:val="20"/>
                <w:lang w:eastAsia="es-CR"/>
              </w:rPr>
            </w:pPr>
            <w:r w:rsidRPr="004E74A6">
              <w:rPr>
                <w:rFonts w:cs="Calibri"/>
                <w:color w:val="000000"/>
                <w:sz w:val="20"/>
              </w:rPr>
              <w:t>0,3</w:t>
            </w:r>
          </w:p>
        </w:tc>
      </w:tr>
      <w:tr w:rsidR="00B055B1" w:rsidRPr="004E74A6" w14:paraId="7A5EF0C9" w14:textId="77777777" w:rsidTr="00B055B1">
        <w:trPr>
          <w:trHeight w:val="288"/>
          <w:jc w:val="center"/>
        </w:trPr>
        <w:tc>
          <w:tcPr>
            <w:tcW w:w="2761" w:type="pct"/>
            <w:tcBorders>
              <w:right w:val="single" w:sz="4" w:space="0" w:color="auto"/>
            </w:tcBorders>
            <w:shd w:val="clear" w:color="auto" w:fill="auto"/>
            <w:noWrap/>
            <w:vAlign w:val="bottom"/>
            <w:hideMark/>
          </w:tcPr>
          <w:p w14:paraId="4326043E" w14:textId="77777777" w:rsidR="00B055B1" w:rsidRPr="004E74A6" w:rsidRDefault="00B055B1" w:rsidP="00CE62C1">
            <w:pPr>
              <w:spacing w:line="276" w:lineRule="auto"/>
              <w:jc w:val="left"/>
              <w:rPr>
                <w:rFonts w:cs="Calibri"/>
                <w:color w:val="000000"/>
                <w:sz w:val="20"/>
                <w:lang w:eastAsia="es-CR"/>
              </w:rPr>
            </w:pPr>
            <w:r w:rsidRPr="004E74A6">
              <w:rPr>
                <w:rFonts w:cs="Calibri"/>
                <w:color w:val="000000"/>
                <w:sz w:val="20"/>
                <w:lang w:eastAsia="es-CR"/>
              </w:rPr>
              <w:t>Tercerías</w:t>
            </w:r>
          </w:p>
        </w:tc>
        <w:tc>
          <w:tcPr>
            <w:tcW w:w="517" w:type="pct"/>
            <w:tcBorders>
              <w:left w:val="single" w:sz="4" w:space="0" w:color="auto"/>
              <w:right w:val="single" w:sz="4" w:space="0" w:color="auto"/>
            </w:tcBorders>
            <w:shd w:val="clear" w:color="auto" w:fill="auto"/>
            <w:noWrap/>
            <w:vAlign w:val="bottom"/>
            <w:hideMark/>
          </w:tcPr>
          <w:p w14:paraId="247D8E79" w14:textId="40E8BF74" w:rsidR="00B055B1" w:rsidRPr="004E74A6" w:rsidRDefault="00B055B1" w:rsidP="00CE62C1">
            <w:pPr>
              <w:spacing w:line="276" w:lineRule="auto"/>
              <w:jc w:val="center"/>
              <w:rPr>
                <w:rFonts w:cs="Calibri"/>
                <w:color w:val="000000"/>
                <w:sz w:val="20"/>
                <w:lang w:eastAsia="es-CR"/>
              </w:rPr>
            </w:pPr>
            <w:r w:rsidRPr="004E74A6">
              <w:rPr>
                <w:rFonts w:cs="Calibri"/>
                <w:color w:val="000000"/>
                <w:sz w:val="20"/>
              </w:rPr>
              <w:t>3</w:t>
            </w:r>
          </w:p>
        </w:tc>
        <w:tc>
          <w:tcPr>
            <w:tcW w:w="517" w:type="pct"/>
            <w:tcBorders>
              <w:left w:val="single" w:sz="4" w:space="0" w:color="auto"/>
              <w:right w:val="single" w:sz="4" w:space="0" w:color="auto"/>
            </w:tcBorders>
            <w:shd w:val="clear" w:color="auto" w:fill="auto"/>
            <w:noWrap/>
            <w:vAlign w:val="bottom"/>
            <w:hideMark/>
          </w:tcPr>
          <w:p w14:paraId="7FCF8A86" w14:textId="3C058F18" w:rsidR="00B055B1" w:rsidRPr="004E74A6" w:rsidRDefault="00B055B1" w:rsidP="00CE62C1">
            <w:pPr>
              <w:spacing w:line="276" w:lineRule="auto"/>
              <w:jc w:val="center"/>
              <w:rPr>
                <w:rFonts w:cs="Calibri"/>
                <w:color w:val="000000"/>
                <w:sz w:val="20"/>
                <w:lang w:eastAsia="es-CR"/>
              </w:rPr>
            </w:pPr>
            <w:r w:rsidRPr="004E74A6">
              <w:rPr>
                <w:rFonts w:cs="Calibri"/>
                <w:color w:val="000000"/>
                <w:sz w:val="20"/>
              </w:rPr>
              <w:t>0</w:t>
            </w:r>
          </w:p>
        </w:tc>
        <w:tc>
          <w:tcPr>
            <w:tcW w:w="516" w:type="pct"/>
            <w:tcBorders>
              <w:left w:val="single" w:sz="4" w:space="0" w:color="auto"/>
              <w:right w:val="single" w:sz="4" w:space="0" w:color="auto"/>
            </w:tcBorders>
            <w:shd w:val="clear" w:color="auto" w:fill="auto"/>
            <w:noWrap/>
            <w:vAlign w:val="bottom"/>
            <w:hideMark/>
          </w:tcPr>
          <w:p w14:paraId="58023D53" w14:textId="4E92FE20" w:rsidR="00B055B1" w:rsidRPr="004E74A6" w:rsidRDefault="00B055B1" w:rsidP="00CE62C1">
            <w:pPr>
              <w:spacing w:line="276" w:lineRule="auto"/>
              <w:jc w:val="center"/>
              <w:rPr>
                <w:rFonts w:cs="Calibri"/>
                <w:color w:val="000000"/>
                <w:sz w:val="20"/>
                <w:lang w:eastAsia="es-CR"/>
              </w:rPr>
            </w:pPr>
            <w:r w:rsidRPr="004E74A6">
              <w:rPr>
                <w:rFonts w:cs="Calibri"/>
                <w:color w:val="000000"/>
                <w:sz w:val="20"/>
              </w:rPr>
              <w:t>1</w:t>
            </w:r>
          </w:p>
        </w:tc>
        <w:tc>
          <w:tcPr>
            <w:tcW w:w="689" w:type="pct"/>
            <w:tcBorders>
              <w:left w:val="single" w:sz="4" w:space="0" w:color="auto"/>
            </w:tcBorders>
            <w:shd w:val="clear" w:color="auto" w:fill="auto"/>
            <w:noWrap/>
            <w:vAlign w:val="bottom"/>
            <w:hideMark/>
          </w:tcPr>
          <w:p w14:paraId="68F782B9" w14:textId="4B8FBC63" w:rsidR="00B055B1" w:rsidRPr="004E74A6" w:rsidRDefault="00B055B1" w:rsidP="00CE62C1">
            <w:pPr>
              <w:spacing w:line="276" w:lineRule="auto"/>
              <w:jc w:val="center"/>
              <w:rPr>
                <w:rFonts w:cs="Calibri"/>
                <w:color w:val="000000"/>
                <w:sz w:val="20"/>
                <w:lang w:eastAsia="es-CR"/>
              </w:rPr>
            </w:pPr>
            <w:r w:rsidRPr="004E74A6">
              <w:rPr>
                <w:rFonts w:cs="Calibri"/>
                <w:color w:val="000000"/>
                <w:sz w:val="20"/>
              </w:rPr>
              <w:t>1</w:t>
            </w:r>
          </w:p>
        </w:tc>
      </w:tr>
      <w:tr w:rsidR="00B055B1" w:rsidRPr="004E74A6" w14:paraId="5B87A7C2" w14:textId="77777777" w:rsidTr="00B055B1">
        <w:trPr>
          <w:trHeight w:val="288"/>
          <w:jc w:val="center"/>
        </w:trPr>
        <w:tc>
          <w:tcPr>
            <w:tcW w:w="2761" w:type="pct"/>
            <w:tcBorders>
              <w:bottom w:val="single" w:sz="4" w:space="0" w:color="auto"/>
              <w:right w:val="single" w:sz="4" w:space="0" w:color="auto"/>
            </w:tcBorders>
            <w:shd w:val="clear" w:color="auto" w:fill="auto"/>
            <w:noWrap/>
            <w:vAlign w:val="bottom"/>
          </w:tcPr>
          <w:p w14:paraId="3DC111C9" w14:textId="77777777" w:rsidR="00B055B1" w:rsidRPr="004E74A6" w:rsidRDefault="00B055B1" w:rsidP="00CE62C1">
            <w:pPr>
              <w:spacing w:line="276" w:lineRule="auto"/>
              <w:jc w:val="left"/>
              <w:rPr>
                <w:rFonts w:cs="Calibri"/>
                <w:color w:val="000000"/>
                <w:sz w:val="20"/>
                <w:lang w:eastAsia="es-CR"/>
              </w:rPr>
            </w:pPr>
          </w:p>
        </w:tc>
        <w:tc>
          <w:tcPr>
            <w:tcW w:w="517" w:type="pct"/>
            <w:tcBorders>
              <w:left w:val="single" w:sz="4" w:space="0" w:color="auto"/>
              <w:bottom w:val="single" w:sz="4" w:space="0" w:color="auto"/>
              <w:right w:val="single" w:sz="4" w:space="0" w:color="auto"/>
            </w:tcBorders>
            <w:shd w:val="clear" w:color="auto" w:fill="auto"/>
            <w:noWrap/>
            <w:vAlign w:val="center"/>
          </w:tcPr>
          <w:p w14:paraId="32D431B3" w14:textId="77777777" w:rsidR="00B055B1" w:rsidRPr="004E74A6" w:rsidRDefault="00B055B1" w:rsidP="00CE62C1">
            <w:pPr>
              <w:spacing w:line="276" w:lineRule="auto"/>
              <w:jc w:val="center"/>
              <w:rPr>
                <w:rFonts w:cs="Calibri"/>
                <w:color w:val="000000"/>
                <w:sz w:val="20"/>
                <w:lang w:eastAsia="es-CR"/>
              </w:rPr>
            </w:pPr>
          </w:p>
        </w:tc>
        <w:tc>
          <w:tcPr>
            <w:tcW w:w="517" w:type="pct"/>
            <w:tcBorders>
              <w:left w:val="single" w:sz="4" w:space="0" w:color="auto"/>
              <w:bottom w:val="single" w:sz="4" w:space="0" w:color="auto"/>
              <w:right w:val="single" w:sz="4" w:space="0" w:color="auto"/>
            </w:tcBorders>
            <w:shd w:val="clear" w:color="auto" w:fill="auto"/>
            <w:noWrap/>
            <w:vAlign w:val="center"/>
          </w:tcPr>
          <w:p w14:paraId="1183662A" w14:textId="77777777" w:rsidR="00B055B1" w:rsidRPr="004E74A6" w:rsidRDefault="00B055B1" w:rsidP="00CE62C1">
            <w:pPr>
              <w:spacing w:line="276" w:lineRule="auto"/>
              <w:jc w:val="center"/>
              <w:rPr>
                <w:rFonts w:cs="Calibri"/>
                <w:color w:val="000000"/>
                <w:sz w:val="20"/>
                <w:lang w:eastAsia="es-CR"/>
              </w:rPr>
            </w:pPr>
          </w:p>
        </w:tc>
        <w:tc>
          <w:tcPr>
            <w:tcW w:w="516" w:type="pct"/>
            <w:tcBorders>
              <w:left w:val="single" w:sz="4" w:space="0" w:color="auto"/>
              <w:bottom w:val="single" w:sz="4" w:space="0" w:color="auto"/>
              <w:right w:val="single" w:sz="4" w:space="0" w:color="auto"/>
            </w:tcBorders>
            <w:shd w:val="clear" w:color="auto" w:fill="auto"/>
            <w:noWrap/>
            <w:vAlign w:val="center"/>
          </w:tcPr>
          <w:p w14:paraId="78F30D54" w14:textId="77777777" w:rsidR="00B055B1" w:rsidRPr="004E74A6" w:rsidRDefault="00B055B1" w:rsidP="00CE62C1">
            <w:pPr>
              <w:spacing w:line="276" w:lineRule="auto"/>
              <w:jc w:val="center"/>
              <w:rPr>
                <w:rFonts w:cs="Calibri"/>
                <w:color w:val="000000"/>
                <w:sz w:val="20"/>
                <w:lang w:eastAsia="es-CR"/>
              </w:rPr>
            </w:pPr>
          </w:p>
        </w:tc>
        <w:tc>
          <w:tcPr>
            <w:tcW w:w="689" w:type="pct"/>
            <w:tcBorders>
              <w:left w:val="single" w:sz="4" w:space="0" w:color="auto"/>
              <w:bottom w:val="single" w:sz="4" w:space="0" w:color="auto"/>
            </w:tcBorders>
            <w:shd w:val="clear" w:color="auto" w:fill="auto"/>
            <w:noWrap/>
            <w:vAlign w:val="center"/>
          </w:tcPr>
          <w:p w14:paraId="1F5358F0" w14:textId="77777777" w:rsidR="00B055B1" w:rsidRPr="004E74A6" w:rsidRDefault="00B055B1" w:rsidP="00CE62C1">
            <w:pPr>
              <w:spacing w:line="276" w:lineRule="auto"/>
              <w:jc w:val="center"/>
              <w:rPr>
                <w:rFonts w:cs="Calibri"/>
                <w:color w:val="000000"/>
                <w:sz w:val="20"/>
                <w:lang w:eastAsia="es-CR"/>
              </w:rPr>
            </w:pPr>
          </w:p>
        </w:tc>
      </w:tr>
    </w:tbl>
    <w:p w14:paraId="14A4F516" w14:textId="6F581039" w:rsidR="003E4755" w:rsidRPr="004E74A6" w:rsidRDefault="003E4755" w:rsidP="00832773">
      <w:pPr>
        <w:spacing w:line="276" w:lineRule="auto"/>
        <w:ind w:left="340" w:right="340"/>
        <w:rPr>
          <w:rFonts w:cs="Calibri"/>
          <w:i/>
          <w:iCs/>
          <w:color w:val="000000"/>
          <w:sz w:val="20"/>
          <w:lang w:eastAsia="es-CR"/>
        </w:rPr>
      </w:pPr>
      <w:r w:rsidRPr="004E74A6">
        <w:rPr>
          <w:rFonts w:cs="Calibri"/>
          <w:b/>
          <w:bCs/>
          <w:i/>
          <w:iCs/>
          <w:color w:val="000000"/>
          <w:sz w:val="20"/>
          <w:lang w:eastAsia="es-CR"/>
        </w:rPr>
        <w:t>Fuente</w:t>
      </w:r>
      <w:r w:rsidRPr="004E74A6">
        <w:rPr>
          <w:rFonts w:cs="Calibri"/>
          <w:i/>
          <w:iCs/>
          <w:color w:val="000000"/>
          <w:sz w:val="20"/>
          <w:lang w:eastAsia="es-CR"/>
        </w:rPr>
        <w:t>: Subproceso de Modernización Institucional con datos extraídos del sistema SIGMA, Dirección de Planificación.</w:t>
      </w:r>
    </w:p>
    <w:p w14:paraId="29882A07" w14:textId="729A4693" w:rsidR="003B05D5" w:rsidRPr="004E74A6" w:rsidRDefault="003B05D5" w:rsidP="00832773">
      <w:pPr>
        <w:spacing w:line="276" w:lineRule="auto"/>
        <w:rPr>
          <w:rFonts w:cs="Calibri"/>
          <w:i/>
          <w:iCs/>
          <w:color w:val="000000"/>
          <w:sz w:val="20"/>
          <w:lang w:eastAsia="es-CR"/>
        </w:rPr>
      </w:pPr>
    </w:p>
    <w:p w14:paraId="4FF4E6EA" w14:textId="7B4354EE" w:rsidR="008647ED" w:rsidRPr="004E74A6" w:rsidRDefault="00B055B1" w:rsidP="00CE62C1">
      <w:pPr>
        <w:spacing w:after="160" w:line="276" w:lineRule="auto"/>
        <w:rPr>
          <w:rFonts w:cs="Calibri"/>
          <w:color w:val="000000"/>
          <w:szCs w:val="24"/>
          <w:lang w:eastAsia="es-CR"/>
        </w:rPr>
      </w:pPr>
      <w:r w:rsidRPr="004E74A6">
        <w:rPr>
          <w:rFonts w:cs="Calibri"/>
          <w:color w:val="000000"/>
          <w:szCs w:val="24"/>
          <w:lang w:eastAsia="es-CR"/>
        </w:rPr>
        <w:t xml:space="preserve">Se puede observar aún más a detalle para determinar la clase de asuntos principales, que tal y como lo refleja la siguiente tabla, </w:t>
      </w:r>
      <w:r w:rsidR="008647ED" w:rsidRPr="004E74A6">
        <w:rPr>
          <w:rFonts w:cs="Calibri"/>
          <w:color w:val="000000"/>
          <w:szCs w:val="24"/>
          <w:lang w:eastAsia="es-CR"/>
        </w:rPr>
        <w:t>el 88,5% está compuesto por los asuntos ordinarios, seguido de un 4,4% de medidas cautelares, siendo lo ordinario lo dominante a través de los años.</w:t>
      </w:r>
    </w:p>
    <w:p w14:paraId="611E2119" w14:textId="6D8E26D4" w:rsidR="00F0204A" w:rsidRPr="004E74A6" w:rsidRDefault="00F0204A" w:rsidP="00CE62C1">
      <w:pPr>
        <w:spacing w:after="160" w:line="276" w:lineRule="auto"/>
        <w:rPr>
          <w:rFonts w:cs="Calibri"/>
          <w:color w:val="000000"/>
          <w:szCs w:val="24"/>
          <w:lang w:eastAsia="es-CR"/>
        </w:rPr>
      </w:pPr>
    </w:p>
    <w:p w14:paraId="01749731" w14:textId="2B042911" w:rsidR="00F0204A" w:rsidRDefault="00F0204A" w:rsidP="00CE62C1">
      <w:pPr>
        <w:spacing w:after="160" w:line="276" w:lineRule="auto"/>
        <w:rPr>
          <w:rFonts w:cs="Calibri"/>
          <w:color w:val="000000"/>
          <w:szCs w:val="24"/>
          <w:lang w:eastAsia="es-CR"/>
        </w:rPr>
      </w:pPr>
    </w:p>
    <w:p w14:paraId="5F71C9FD" w14:textId="77777777" w:rsidR="004E4F14" w:rsidRDefault="004E4F14" w:rsidP="00F0204A">
      <w:pPr>
        <w:pStyle w:val="Descripcin"/>
        <w:keepNext/>
        <w:spacing w:line="276" w:lineRule="auto"/>
        <w:jc w:val="center"/>
        <w:rPr>
          <w:rFonts w:ascii="Book Antiqua" w:hAnsi="Book Antiqua"/>
          <w:i/>
          <w:iCs/>
          <w:sz w:val="20"/>
          <w:szCs w:val="16"/>
          <w:lang w:val="es-CR"/>
        </w:rPr>
      </w:pPr>
    </w:p>
    <w:p w14:paraId="2B39F920" w14:textId="2558EC66" w:rsidR="003B05D5" w:rsidRPr="00832773" w:rsidRDefault="003B05D5" w:rsidP="00F0204A">
      <w:pPr>
        <w:pStyle w:val="Descripcin"/>
        <w:keepNext/>
        <w:spacing w:line="276" w:lineRule="auto"/>
        <w:jc w:val="center"/>
        <w:rPr>
          <w:rFonts w:ascii="Book Antiqua" w:hAnsi="Book Antiqua"/>
          <w:i/>
          <w:iCs/>
          <w:sz w:val="20"/>
          <w:szCs w:val="16"/>
          <w:lang w:val="es-CR"/>
        </w:rPr>
      </w:pPr>
      <w:r w:rsidRPr="00832773">
        <w:rPr>
          <w:rFonts w:ascii="Book Antiqua" w:hAnsi="Book Antiqua"/>
          <w:i/>
          <w:iCs/>
          <w:sz w:val="20"/>
          <w:szCs w:val="16"/>
          <w:lang w:val="es-CR"/>
        </w:rPr>
        <w:t xml:space="preserve">Tabla </w:t>
      </w:r>
      <w:r w:rsidRPr="00832773">
        <w:rPr>
          <w:rFonts w:ascii="Book Antiqua" w:hAnsi="Book Antiqua"/>
          <w:i/>
          <w:iCs/>
          <w:sz w:val="20"/>
          <w:szCs w:val="16"/>
          <w:lang w:val="es-CR"/>
        </w:rPr>
        <w:fldChar w:fldCharType="begin"/>
      </w:r>
      <w:r w:rsidRPr="00832773">
        <w:rPr>
          <w:rFonts w:ascii="Book Antiqua" w:hAnsi="Book Antiqua"/>
          <w:i/>
          <w:iCs/>
          <w:sz w:val="20"/>
          <w:szCs w:val="16"/>
          <w:lang w:val="es-CR"/>
        </w:rPr>
        <w:instrText xml:space="preserve"> SEQ Tabla \* ARABIC </w:instrText>
      </w:r>
      <w:r w:rsidRPr="00832773">
        <w:rPr>
          <w:rFonts w:ascii="Book Antiqua" w:hAnsi="Book Antiqua"/>
          <w:i/>
          <w:iCs/>
          <w:sz w:val="20"/>
          <w:szCs w:val="16"/>
          <w:lang w:val="es-CR"/>
        </w:rPr>
        <w:fldChar w:fldCharType="separate"/>
      </w:r>
      <w:r w:rsidR="00374B51">
        <w:rPr>
          <w:rFonts w:ascii="Book Antiqua" w:hAnsi="Book Antiqua"/>
          <w:i/>
          <w:iCs/>
          <w:noProof/>
          <w:sz w:val="20"/>
          <w:szCs w:val="16"/>
          <w:lang w:val="es-CR"/>
        </w:rPr>
        <w:t>38</w:t>
      </w:r>
      <w:r w:rsidRPr="00832773">
        <w:rPr>
          <w:rFonts w:ascii="Book Antiqua" w:hAnsi="Book Antiqua"/>
          <w:i/>
          <w:iCs/>
          <w:sz w:val="20"/>
          <w:szCs w:val="16"/>
          <w:lang w:val="es-CR"/>
        </w:rPr>
        <w:fldChar w:fldCharType="end"/>
      </w:r>
      <w:r w:rsidRPr="00832773">
        <w:rPr>
          <w:rFonts w:ascii="Book Antiqua" w:hAnsi="Book Antiqua"/>
          <w:i/>
          <w:iCs/>
          <w:sz w:val="20"/>
          <w:szCs w:val="16"/>
          <w:lang w:val="es-CR"/>
        </w:rPr>
        <w:t xml:space="preserve"> Cantidad de principales según clase de asuntos del 2019 al 2021 para el Tribunal Colegiado de Primera Instancia Civil Puntarenas</w:t>
      </w:r>
    </w:p>
    <w:tbl>
      <w:tblPr>
        <w:tblW w:w="3635" w:type="pct"/>
        <w:jc w:val="center"/>
        <w:tblCellMar>
          <w:left w:w="70" w:type="dxa"/>
          <w:right w:w="70" w:type="dxa"/>
        </w:tblCellMar>
        <w:tblLook w:val="04A0" w:firstRow="1" w:lastRow="0" w:firstColumn="1" w:lastColumn="0" w:noHBand="0" w:noVBand="1"/>
      </w:tblPr>
      <w:tblGrid>
        <w:gridCol w:w="2797"/>
        <w:gridCol w:w="838"/>
        <w:gridCol w:w="838"/>
        <w:gridCol w:w="838"/>
        <w:gridCol w:w="1116"/>
      </w:tblGrid>
      <w:tr w:rsidR="00D62A98" w:rsidRPr="004E74A6" w14:paraId="38D470EE" w14:textId="77777777" w:rsidTr="00D62A98">
        <w:trPr>
          <w:trHeight w:val="454"/>
          <w:tblHeader/>
          <w:jc w:val="center"/>
        </w:trPr>
        <w:tc>
          <w:tcPr>
            <w:tcW w:w="2176" w:type="pct"/>
            <w:tcBorders>
              <w:top w:val="single" w:sz="4" w:space="0" w:color="auto"/>
              <w:left w:val="nil"/>
              <w:bottom w:val="single" w:sz="4" w:space="0" w:color="auto"/>
              <w:right w:val="single" w:sz="4" w:space="0" w:color="auto"/>
            </w:tcBorders>
            <w:shd w:val="clear" w:color="auto" w:fill="auto"/>
            <w:noWrap/>
            <w:vAlign w:val="center"/>
            <w:hideMark/>
          </w:tcPr>
          <w:p w14:paraId="497E9673"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Principal</w:t>
            </w:r>
          </w:p>
        </w:tc>
        <w:tc>
          <w:tcPr>
            <w:tcW w:w="65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85E93EC"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2019</w:t>
            </w:r>
          </w:p>
        </w:tc>
        <w:tc>
          <w:tcPr>
            <w:tcW w:w="65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F5D7103"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2020</w:t>
            </w:r>
          </w:p>
        </w:tc>
        <w:tc>
          <w:tcPr>
            <w:tcW w:w="65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EC58DB4"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2021</w:t>
            </w:r>
          </w:p>
        </w:tc>
        <w:tc>
          <w:tcPr>
            <w:tcW w:w="868" w:type="pct"/>
            <w:tcBorders>
              <w:top w:val="single" w:sz="4" w:space="0" w:color="auto"/>
              <w:left w:val="single" w:sz="4" w:space="0" w:color="auto"/>
              <w:bottom w:val="single" w:sz="4" w:space="0" w:color="auto"/>
              <w:right w:val="nil"/>
            </w:tcBorders>
            <w:shd w:val="clear" w:color="auto" w:fill="auto"/>
            <w:noWrap/>
            <w:vAlign w:val="center"/>
          </w:tcPr>
          <w:p w14:paraId="3BDA17EB" w14:textId="37937D66" w:rsidR="008647ED" w:rsidRPr="004E74A6" w:rsidRDefault="00D62A98" w:rsidP="00CE62C1">
            <w:pPr>
              <w:spacing w:line="276" w:lineRule="auto"/>
              <w:jc w:val="center"/>
              <w:rPr>
                <w:rFonts w:cs="Calibri"/>
                <w:color w:val="000000"/>
                <w:sz w:val="20"/>
                <w:lang w:eastAsia="es-CR"/>
              </w:rPr>
            </w:pPr>
            <w:r w:rsidRPr="004E74A6">
              <w:rPr>
                <w:rFonts w:cs="Calibri"/>
                <w:color w:val="000000"/>
                <w:sz w:val="20"/>
                <w:lang w:eastAsia="es-CR"/>
              </w:rPr>
              <w:t>Promedio</w:t>
            </w:r>
          </w:p>
        </w:tc>
      </w:tr>
      <w:tr w:rsidR="00D62A98" w:rsidRPr="004E74A6" w14:paraId="5AAC82FD" w14:textId="77777777" w:rsidTr="00D62A98">
        <w:trPr>
          <w:trHeight w:val="288"/>
          <w:jc w:val="center"/>
        </w:trPr>
        <w:tc>
          <w:tcPr>
            <w:tcW w:w="2176" w:type="pct"/>
            <w:tcBorders>
              <w:top w:val="single" w:sz="4" w:space="0" w:color="auto"/>
              <w:left w:val="nil"/>
              <w:bottom w:val="nil"/>
              <w:right w:val="single" w:sz="4" w:space="0" w:color="auto"/>
            </w:tcBorders>
            <w:shd w:val="clear" w:color="auto" w:fill="auto"/>
            <w:noWrap/>
            <w:vAlign w:val="center"/>
          </w:tcPr>
          <w:p w14:paraId="48FD3D24" w14:textId="77777777" w:rsidR="008647ED" w:rsidRPr="004E74A6" w:rsidRDefault="008647ED" w:rsidP="00CE62C1">
            <w:pPr>
              <w:spacing w:line="276" w:lineRule="auto"/>
              <w:ind w:firstLineChars="100" w:firstLine="200"/>
              <w:jc w:val="center"/>
              <w:rPr>
                <w:rFonts w:cs="Calibri"/>
                <w:color w:val="000000"/>
                <w:sz w:val="20"/>
                <w:lang w:eastAsia="es-CR"/>
              </w:rPr>
            </w:pPr>
          </w:p>
        </w:tc>
        <w:tc>
          <w:tcPr>
            <w:tcW w:w="652" w:type="pct"/>
            <w:tcBorders>
              <w:top w:val="single" w:sz="4" w:space="0" w:color="auto"/>
              <w:left w:val="single" w:sz="4" w:space="0" w:color="auto"/>
              <w:bottom w:val="nil"/>
              <w:right w:val="single" w:sz="4" w:space="0" w:color="auto"/>
            </w:tcBorders>
            <w:shd w:val="clear" w:color="auto" w:fill="auto"/>
            <w:noWrap/>
            <w:vAlign w:val="center"/>
          </w:tcPr>
          <w:p w14:paraId="361F7063" w14:textId="77777777" w:rsidR="008647ED" w:rsidRPr="004E74A6" w:rsidRDefault="008647ED" w:rsidP="00CE62C1">
            <w:pPr>
              <w:spacing w:line="276" w:lineRule="auto"/>
              <w:jc w:val="center"/>
              <w:rPr>
                <w:rFonts w:cs="Calibri"/>
                <w:color w:val="000000"/>
                <w:sz w:val="20"/>
                <w:lang w:eastAsia="es-CR"/>
              </w:rPr>
            </w:pPr>
          </w:p>
        </w:tc>
        <w:tc>
          <w:tcPr>
            <w:tcW w:w="652" w:type="pct"/>
            <w:tcBorders>
              <w:top w:val="single" w:sz="4" w:space="0" w:color="auto"/>
              <w:left w:val="single" w:sz="4" w:space="0" w:color="auto"/>
              <w:bottom w:val="nil"/>
              <w:right w:val="single" w:sz="4" w:space="0" w:color="auto"/>
            </w:tcBorders>
            <w:shd w:val="clear" w:color="auto" w:fill="auto"/>
            <w:noWrap/>
            <w:vAlign w:val="center"/>
          </w:tcPr>
          <w:p w14:paraId="6F27456D" w14:textId="77777777" w:rsidR="008647ED" w:rsidRPr="004E74A6" w:rsidRDefault="008647ED" w:rsidP="00CE62C1">
            <w:pPr>
              <w:spacing w:line="276" w:lineRule="auto"/>
              <w:jc w:val="center"/>
              <w:rPr>
                <w:rFonts w:cs="Calibri"/>
                <w:color w:val="000000"/>
                <w:sz w:val="20"/>
                <w:lang w:eastAsia="es-CR"/>
              </w:rPr>
            </w:pPr>
          </w:p>
        </w:tc>
        <w:tc>
          <w:tcPr>
            <w:tcW w:w="652" w:type="pct"/>
            <w:tcBorders>
              <w:top w:val="single" w:sz="4" w:space="0" w:color="auto"/>
              <w:left w:val="single" w:sz="4" w:space="0" w:color="auto"/>
              <w:bottom w:val="nil"/>
              <w:right w:val="single" w:sz="4" w:space="0" w:color="auto"/>
            </w:tcBorders>
            <w:shd w:val="clear" w:color="auto" w:fill="auto"/>
            <w:noWrap/>
            <w:vAlign w:val="center"/>
          </w:tcPr>
          <w:p w14:paraId="509F6108" w14:textId="77777777" w:rsidR="008647ED" w:rsidRPr="004E74A6" w:rsidRDefault="008647ED" w:rsidP="00CE62C1">
            <w:pPr>
              <w:spacing w:line="276" w:lineRule="auto"/>
              <w:jc w:val="center"/>
              <w:rPr>
                <w:rFonts w:cs="Calibri"/>
                <w:color w:val="000000"/>
                <w:sz w:val="20"/>
                <w:lang w:eastAsia="es-CR"/>
              </w:rPr>
            </w:pPr>
          </w:p>
        </w:tc>
        <w:tc>
          <w:tcPr>
            <w:tcW w:w="868" w:type="pct"/>
            <w:tcBorders>
              <w:top w:val="single" w:sz="4" w:space="0" w:color="auto"/>
              <w:left w:val="single" w:sz="4" w:space="0" w:color="auto"/>
              <w:bottom w:val="nil"/>
              <w:right w:val="nil"/>
            </w:tcBorders>
            <w:shd w:val="clear" w:color="auto" w:fill="auto"/>
            <w:noWrap/>
            <w:vAlign w:val="center"/>
          </w:tcPr>
          <w:p w14:paraId="0D5A4242" w14:textId="77777777" w:rsidR="008647ED" w:rsidRPr="004E74A6" w:rsidRDefault="008647ED" w:rsidP="00CE62C1">
            <w:pPr>
              <w:spacing w:line="276" w:lineRule="auto"/>
              <w:jc w:val="center"/>
              <w:rPr>
                <w:rFonts w:cs="Calibri"/>
                <w:color w:val="000000"/>
                <w:sz w:val="20"/>
                <w:lang w:eastAsia="es-CR"/>
              </w:rPr>
            </w:pPr>
          </w:p>
        </w:tc>
      </w:tr>
      <w:tr w:rsidR="00F73190" w:rsidRPr="004E74A6" w14:paraId="737A9EC3" w14:textId="77777777" w:rsidTr="00B32800">
        <w:trPr>
          <w:trHeight w:val="288"/>
          <w:jc w:val="center"/>
        </w:trPr>
        <w:tc>
          <w:tcPr>
            <w:tcW w:w="2176" w:type="pct"/>
            <w:tcBorders>
              <w:top w:val="nil"/>
              <w:left w:val="nil"/>
              <w:bottom w:val="nil"/>
              <w:right w:val="single" w:sz="4" w:space="0" w:color="auto"/>
            </w:tcBorders>
            <w:shd w:val="clear" w:color="auto" w:fill="auto"/>
            <w:noWrap/>
            <w:vAlign w:val="center"/>
          </w:tcPr>
          <w:p w14:paraId="272A19C6" w14:textId="77777777" w:rsidR="00F73190" w:rsidRPr="004E74A6" w:rsidRDefault="00F73190" w:rsidP="00CE62C1">
            <w:pPr>
              <w:spacing w:line="276" w:lineRule="auto"/>
              <w:jc w:val="center"/>
              <w:rPr>
                <w:rFonts w:cs="Calibri"/>
                <w:color w:val="000000"/>
                <w:sz w:val="20"/>
                <w:lang w:eastAsia="es-CR"/>
              </w:rPr>
            </w:pPr>
            <w:r w:rsidRPr="004E74A6">
              <w:rPr>
                <w:rFonts w:cs="Calibri"/>
                <w:color w:val="000000"/>
                <w:sz w:val="20"/>
                <w:lang w:eastAsia="es-CR"/>
              </w:rPr>
              <w:t>Total</w:t>
            </w:r>
          </w:p>
        </w:tc>
        <w:tc>
          <w:tcPr>
            <w:tcW w:w="652" w:type="pct"/>
            <w:tcBorders>
              <w:top w:val="nil"/>
              <w:left w:val="single" w:sz="4" w:space="0" w:color="auto"/>
              <w:bottom w:val="nil"/>
              <w:right w:val="single" w:sz="4" w:space="0" w:color="auto"/>
            </w:tcBorders>
            <w:shd w:val="clear" w:color="auto" w:fill="auto"/>
            <w:noWrap/>
            <w:vAlign w:val="bottom"/>
          </w:tcPr>
          <w:p w14:paraId="152B900F" w14:textId="285D25F3" w:rsidR="00F73190" w:rsidRPr="004E74A6" w:rsidRDefault="00F73190" w:rsidP="00CE62C1">
            <w:pPr>
              <w:spacing w:line="276" w:lineRule="auto"/>
              <w:jc w:val="center"/>
              <w:rPr>
                <w:rFonts w:cs="Calibri"/>
                <w:color w:val="000000"/>
                <w:sz w:val="20"/>
                <w:lang w:eastAsia="es-CR"/>
              </w:rPr>
            </w:pPr>
            <w:r w:rsidRPr="004E74A6">
              <w:rPr>
                <w:rFonts w:cs="Calibri"/>
                <w:color w:val="000000"/>
                <w:sz w:val="20"/>
              </w:rPr>
              <w:t>129</w:t>
            </w:r>
          </w:p>
        </w:tc>
        <w:tc>
          <w:tcPr>
            <w:tcW w:w="652" w:type="pct"/>
            <w:tcBorders>
              <w:top w:val="nil"/>
              <w:left w:val="single" w:sz="4" w:space="0" w:color="auto"/>
              <w:bottom w:val="nil"/>
              <w:right w:val="single" w:sz="4" w:space="0" w:color="auto"/>
            </w:tcBorders>
            <w:shd w:val="clear" w:color="auto" w:fill="auto"/>
            <w:noWrap/>
            <w:vAlign w:val="bottom"/>
          </w:tcPr>
          <w:p w14:paraId="43423BBB" w14:textId="57942A58" w:rsidR="00F73190" w:rsidRPr="004E74A6" w:rsidRDefault="00F73190" w:rsidP="00CE62C1">
            <w:pPr>
              <w:spacing w:line="276" w:lineRule="auto"/>
              <w:jc w:val="center"/>
              <w:rPr>
                <w:rFonts w:cs="Calibri"/>
                <w:color w:val="000000"/>
                <w:sz w:val="20"/>
                <w:lang w:eastAsia="es-CR"/>
              </w:rPr>
            </w:pPr>
            <w:r w:rsidRPr="004E74A6">
              <w:rPr>
                <w:rFonts w:cs="Calibri"/>
                <w:color w:val="000000"/>
                <w:sz w:val="20"/>
              </w:rPr>
              <w:t>122</w:t>
            </w:r>
          </w:p>
        </w:tc>
        <w:tc>
          <w:tcPr>
            <w:tcW w:w="652" w:type="pct"/>
            <w:tcBorders>
              <w:top w:val="nil"/>
              <w:left w:val="single" w:sz="4" w:space="0" w:color="auto"/>
              <w:bottom w:val="nil"/>
              <w:right w:val="single" w:sz="4" w:space="0" w:color="auto"/>
            </w:tcBorders>
            <w:shd w:val="clear" w:color="auto" w:fill="auto"/>
            <w:noWrap/>
            <w:vAlign w:val="bottom"/>
          </w:tcPr>
          <w:p w14:paraId="5EFA5C2F" w14:textId="4E25AC2C" w:rsidR="00F73190" w:rsidRPr="004E74A6" w:rsidRDefault="00F73190" w:rsidP="00CE62C1">
            <w:pPr>
              <w:spacing w:line="276" w:lineRule="auto"/>
              <w:jc w:val="center"/>
              <w:rPr>
                <w:rFonts w:cs="Calibri"/>
                <w:color w:val="000000"/>
                <w:sz w:val="20"/>
                <w:lang w:eastAsia="es-CR"/>
              </w:rPr>
            </w:pPr>
            <w:r w:rsidRPr="004E74A6">
              <w:rPr>
                <w:rFonts w:cs="Calibri"/>
                <w:color w:val="000000"/>
                <w:sz w:val="20"/>
              </w:rPr>
              <w:t>127</w:t>
            </w:r>
          </w:p>
        </w:tc>
        <w:tc>
          <w:tcPr>
            <w:tcW w:w="868" w:type="pct"/>
            <w:tcBorders>
              <w:top w:val="nil"/>
              <w:left w:val="single" w:sz="4" w:space="0" w:color="auto"/>
              <w:bottom w:val="nil"/>
              <w:right w:val="nil"/>
            </w:tcBorders>
            <w:shd w:val="clear" w:color="auto" w:fill="auto"/>
            <w:noWrap/>
            <w:vAlign w:val="bottom"/>
          </w:tcPr>
          <w:p w14:paraId="45AF5C74" w14:textId="532DEDDA" w:rsidR="00F73190" w:rsidRPr="004E74A6" w:rsidRDefault="00F73190" w:rsidP="00CE62C1">
            <w:pPr>
              <w:spacing w:line="276" w:lineRule="auto"/>
              <w:jc w:val="center"/>
              <w:rPr>
                <w:rFonts w:cs="Calibri"/>
                <w:color w:val="000000"/>
                <w:sz w:val="20"/>
                <w:lang w:eastAsia="es-CR"/>
              </w:rPr>
            </w:pPr>
            <w:r w:rsidRPr="004E74A6">
              <w:rPr>
                <w:rFonts w:cs="Calibri"/>
                <w:color w:val="000000"/>
                <w:sz w:val="20"/>
              </w:rPr>
              <w:t>126,0</w:t>
            </w:r>
          </w:p>
        </w:tc>
      </w:tr>
      <w:tr w:rsidR="00D62A98" w:rsidRPr="004E74A6" w14:paraId="4858E421" w14:textId="77777777" w:rsidTr="00D62A98">
        <w:trPr>
          <w:trHeight w:val="288"/>
          <w:jc w:val="center"/>
        </w:trPr>
        <w:tc>
          <w:tcPr>
            <w:tcW w:w="2176" w:type="pct"/>
            <w:tcBorders>
              <w:top w:val="nil"/>
              <w:left w:val="nil"/>
              <w:bottom w:val="nil"/>
              <w:right w:val="single" w:sz="4" w:space="0" w:color="auto"/>
            </w:tcBorders>
            <w:shd w:val="clear" w:color="auto" w:fill="auto"/>
            <w:noWrap/>
            <w:vAlign w:val="bottom"/>
          </w:tcPr>
          <w:p w14:paraId="422989C3" w14:textId="77777777" w:rsidR="003B05D5" w:rsidRPr="004E74A6" w:rsidRDefault="003B05D5" w:rsidP="00CE62C1">
            <w:pPr>
              <w:spacing w:line="276" w:lineRule="auto"/>
              <w:ind w:firstLineChars="100" w:firstLine="200"/>
              <w:jc w:val="left"/>
              <w:rPr>
                <w:rFonts w:cs="Calibri"/>
                <w:color w:val="000000"/>
                <w:sz w:val="20"/>
                <w:lang w:eastAsia="es-CR"/>
              </w:rPr>
            </w:pPr>
          </w:p>
        </w:tc>
        <w:tc>
          <w:tcPr>
            <w:tcW w:w="652" w:type="pct"/>
            <w:tcBorders>
              <w:top w:val="nil"/>
              <w:left w:val="single" w:sz="4" w:space="0" w:color="auto"/>
              <w:bottom w:val="nil"/>
              <w:right w:val="single" w:sz="4" w:space="0" w:color="auto"/>
            </w:tcBorders>
            <w:shd w:val="clear" w:color="auto" w:fill="auto"/>
            <w:noWrap/>
            <w:vAlign w:val="center"/>
          </w:tcPr>
          <w:p w14:paraId="4E96DF79" w14:textId="77777777" w:rsidR="003B05D5" w:rsidRPr="004E74A6" w:rsidRDefault="003B05D5" w:rsidP="00CE62C1">
            <w:pPr>
              <w:spacing w:line="276" w:lineRule="auto"/>
              <w:jc w:val="center"/>
              <w:rPr>
                <w:rFonts w:cs="Calibri"/>
                <w:color w:val="000000"/>
                <w:sz w:val="20"/>
                <w:lang w:eastAsia="es-CR"/>
              </w:rPr>
            </w:pPr>
          </w:p>
        </w:tc>
        <w:tc>
          <w:tcPr>
            <w:tcW w:w="652" w:type="pct"/>
            <w:tcBorders>
              <w:top w:val="nil"/>
              <w:left w:val="single" w:sz="4" w:space="0" w:color="auto"/>
              <w:bottom w:val="nil"/>
              <w:right w:val="single" w:sz="4" w:space="0" w:color="auto"/>
            </w:tcBorders>
            <w:shd w:val="clear" w:color="auto" w:fill="auto"/>
            <w:noWrap/>
            <w:vAlign w:val="center"/>
          </w:tcPr>
          <w:p w14:paraId="0D07F270" w14:textId="77777777" w:rsidR="003B05D5" w:rsidRPr="004E74A6" w:rsidRDefault="003B05D5" w:rsidP="00CE62C1">
            <w:pPr>
              <w:spacing w:line="276" w:lineRule="auto"/>
              <w:jc w:val="center"/>
              <w:rPr>
                <w:rFonts w:cs="Calibri"/>
                <w:color w:val="000000"/>
                <w:sz w:val="20"/>
                <w:lang w:eastAsia="es-CR"/>
              </w:rPr>
            </w:pPr>
          </w:p>
        </w:tc>
        <w:tc>
          <w:tcPr>
            <w:tcW w:w="652" w:type="pct"/>
            <w:tcBorders>
              <w:top w:val="nil"/>
              <w:left w:val="single" w:sz="4" w:space="0" w:color="auto"/>
              <w:bottom w:val="nil"/>
              <w:right w:val="single" w:sz="4" w:space="0" w:color="auto"/>
            </w:tcBorders>
            <w:shd w:val="clear" w:color="auto" w:fill="auto"/>
            <w:noWrap/>
            <w:vAlign w:val="center"/>
          </w:tcPr>
          <w:p w14:paraId="04EC5F20" w14:textId="77777777" w:rsidR="003B05D5" w:rsidRPr="004E74A6" w:rsidRDefault="003B05D5" w:rsidP="00CE62C1">
            <w:pPr>
              <w:spacing w:line="276" w:lineRule="auto"/>
              <w:jc w:val="center"/>
              <w:rPr>
                <w:rFonts w:cs="Calibri"/>
                <w:color w:val="000000"/>
                <w:sz w:val="20"/>
                <w:lang w:eastAsia="es-CR"/>
              </w:rPr>
            </w:pPr>
          </w:p>
        </w:tc>
        <w:tc>
          <w:tcPr>
            <w:tcW w:w="868" w:type="pct"/>
            <w:tcBorders>
              <w:top w:val="nil"/>
              <w:left w:val="single" w:sz="4" w:space="0" w:color="auto"/>
              <w:bottom w:val="nil"/>
              <w:right w:val="nil"/>
            </w:tcBorders>
            <w:shd w:val="clear" w:color="auto" w:fill="auto"/>
            <w:noWrap/>
            <w:vAlign w:val="center"/>
          </w:tcPr>
          <w:p w14:paraId="7B09F715" w14:textId="77777777" w:rsidR="003B05D5" w:rsidRPr="004E74A6" w:rsidRDefault="003B05D5" w:rsidP="00CE62C1">
            <w:pPr>
              <w:spacing w:line="276" w:lineRule="auto"/>
              <w:jc w:val="center"/>
              <w:rPr>
                <w:rFonts w:cs="Calibri"/>
                <w:color w:val="000000"/>
                <w:sz w:val="20"/>
                <w:lang w:eastAsia="es-CR"/>
              </w:rPr>
            </w:pPr>
          </w:p>
        </w:tc>
      </w:tr>
      <w:tr w:rsidR="00F73190" w:rsidRPr="004E74A6" w14:paraId="6DCE56BF" w14:textId="77777777" w:rsidTr="00B32800">
        <w:trPr>
          <w:trHeight w:val="288"/>
          <w:jc w:val="center"/>
        </w:trPr>
        <w:tc>
          <w:tcPr>
            <w:tcW w:w="2176" w:type="pct"/>
            <w:tcBorders>
              <w:top w:val="nil"/>
              <w:left w:val="nil"/>
              <w:bottom w:val="nil"/>
              <w:right w:val="single" w:sz="4" w:space="0" w:color="auto"/>
            </w:tcBorders>
            <w:shd w:val="clear" w:color="auto" w:fill="auto"/>
            <w:noWrap/>
            <w:vAlign w:val="bottom"/>
            <w:hideMark/>
          </w:tcPr>
          <w:p w14:paraId="15349770" w14:textId="77777777" w:rsidR="00F73190" w:rsidRPr="004E74A6" w:rsidRDefault="00F73190" w:rsidP="00CE62C1">
            <w:pPr>
              <w:spacing w:line="276" w:lineRule="auto"/>
              <w:ind w:firstLineChars="100" w:firstLine="200"/>
              <w:jc w:val="left"/>
              <w:rPr>
                <w:rFonts w:cs="Calibri"/>
                <w:color w:val="000000"/>
                <w:sz w:val="20"/>
                <w:lang w:eastAsia="es-CR"/>
              </w:rPr>
            </w:pPr>
            <w:r w:rsidRPr="004E74A6">
              <w:rPr>
                <w:rFonts w:cs="Calibri"/>
                <w:color w:val="000000"/>
                <w:sz w:val="20"/>
                <w:lang w:eastAsia="es-CR"/>
              </w:rPr>
              <w:t>Actividad Preparatoria</w:t>
            </w:r>
          </w:p>
        </w:tc>
        <w:tc>
          <w:tcPr>
            <w:tcW w:w="652" w:type="pct"/>
            <w:tcBorders>
              <w:top w:val="nil"/>
              <w:left w:val="single" w:sz="4" w:space="0" w:color="auto"/>
              <w:bottom w:val="nil"/>
              <w:right w:val="single" w:sz="4" w:space="0" w:color="auto"/>
            </w:tcBorders>
            <w:shd w:val="clear" w:color="auto" w:fill="auto"/>
            <w:noWrap/>
            <w:vAlign w:val="bottom"/>
            <w:hideMark/>
          </w:tcPr>
          <w:p w14:paraId="1DA2682D" w14:textId="056B61DE" w:rsidR="00F73190" w:rsidRPr="004E74A6" w:rsidRDefault="00F73190" w:rsidP="00CE62C1">
            <w:pPr>
              <w:spacing w:line="276" w:lineRule="auto"/>
              <w:jc w:val="center"/>
              <w:rPr>
                <w:rFonts w:cs="Calibri"/>
                <w:color w:val="000000"/>
                <w:sz w:val="20"/>
                <w:lang w:eastAsia="es-CR"/>
              </w:rPr>
            </w:pPr>
            <w:r w:rsidRPr="004E74A6">
              <w:rPr>
                <w:rFonts w:cs="Calibri"/>
                <w:color w:val="000000"/>
                <w:sz w:val="20"/>
              </w:rPr>
              <w:t>1</w:t>
            </w:r>
          </w:p>
        </w:tc>
        <w:tc>
          <w:tcPr>
            <w:tcW w:w="652" w:type="pct"/>
            <w:tcBorders>
              <w:top w:val="nil"/>
              <w:left w:val="single" w:sz="4" w:space="0" w:color="auto"/>
              <w:bottom w:val="nil"/>
              <w:right w:val="single" w:sz="4" w:space="0" w:color="auto"/>
            </w:tcBorders>
            <w:shd w:val="clear" w:color="auto" w:fill="auto"/>
            <w:noWrap/>
            <w:vAlign w:val="bottom"/>
            <w:hideMark/>
          </w:tcPr>
          <w:p w14:paraId="7A833A92" w14:textId="3316AE98" w:rsidR="00F73190" w:rsidRPr="004E74A6" w:rsidRDefault="00F73190" w:rsidP="00CE62C1">
            <w:pPr>
              <w:spacing w:line="276" w:lineRule="auto"/>
              <w:jc w:val="center"/>
              <w:rPr>
                <w:rFonts w:cs="Calibri"/>
                <w:color w:val="000000"/>
                <w:sz w:val="20"/>
                <w:lang w:eastAsia="es-CR"/>
              </w:rPr>
            </w:pPr>
            <w:r w:rsidRPr="004E74A6">
              <w:rPr>
                <w:rFonts w:cs="Calibri"/>
                <w:color w:val="000000"/>
                <w:sz w:val="20"/>
              </w:rPr>
              <w:t>1</w:t>
            </w:r>
          </w:p>
        </w:tc>
        <w:tc>
          <w:tcPr>
            <w:tcW w:w="652" w:type="pct"/>
            <w:tcBorders>
              <w:top w:val="nil"/>
              <w:left w:val="single" w:sz="4" w:space="0" w:color="auto"/>
              <w:bottom w:val="nil"/>
              <w:right w:val="single" w:sz="4" w:space="0" w:color="auto"/>
            </w:tcBorders>
            <w:shd w:val="clear" w:color="auto" w:fill="auto"/>
            <w:noWrap/>
            <w:vAlign w:val="bottom"/>
            <w:hideMark/>
          </w:tcPr>
          <w:p w14:paraId="176AE409" w14:textId="0834C4C7" w:rsidR="00F73190" w:rsidRPr="004E74A6" w:rsidRDefault="00F73190" w:rsidP="00CE62C1">
            <w:pPr>
              <w:spacing w:line="276" w:lineRule="auto"/>
              <w:jc w:val="center"/>
              <w:rPr>
                <w:rFonts w:cs="Calibri"/>
                <w:color w:val="000000"/>
                <w:sz w:val="20"/>
                <w:lang w:eastAsia="es-CR"/>
              </w:rPr>
            </w:pPr>
            <w:r w:rsidRPr="004E74A6">
              <w:rPr>
                <w:rFonts w:cs="Calibri"/>
                <w:color w:val="000000"/>
                <w:sz w:val="20"/>
              </w:rPr>
              <w:t>0</w:t>
            </w:r>
          </w:p>
        </w:tc>
        <w:tc>
          <w:tcPr>
            <w:tcW w:w="868" w:type="pct"/>
            <w:tcBorders>
              <w:top w:val="nil"/>
              <w:left w:val="single" w:sz="4" w:space="0" w:color="auto"/>
              <w:bottom w:val="nil"/>
              <w:right w:val="nil"/>
            </w:tcBorders>
            <w:shd w:val="clear" w:color="auto" w:fill="auto"/>
            <w:noWrap/>
            <w:vAlign w:val="bottom"/>
            <w:hideMark/>
          </w:tcPr>
          <w:p w14:paraId="7ABADD72" w14:textId="6E2B8D54" w:rsidR="00F73190" w:rsidRPr="004E74A6" w:rsidRDefault="00F73190" w:rsidP="00CE62C1">
            <w:pPr>
              <w:spacing w:line="276" w:lineRule="auto"/>
              <w:jc w:val="center"/>
              <w:rPr>
                <w:rFonts w:cs="Calibri"/>
                <w:color w:val="000000"/>
                <w:sz w:val="20"/>
                <w:lang w:eastAsia="es-CR"/>
              </w:rPr>
            </w:pPr>
            <w:r w:rsidRPr="004E74A6">
              <w:rPr>
                <w:rFonts w:cs="Calibri"/>
                <w:color w:val="000000"/>
                <w:sz w:val="20"/>
              </w:rPr>
              <w:t>0,7</w:t>
            </w:r>
          </w:p>
        </w:tc>
      </w:tr>
      <w:tr w:rsidR="00F73190" w:rsidRPr="004E74A6" w14:paraId="3DDB32A4" w14:textId="77777777" w:rsidTr="00B32800">
        <w:trPr>
          <w:trHeight w:val="288"/>
          <w:jc w:val="center"/>
        </w:trPr>
        <w:tc>
          <w:tcPr>
            <w:tcW w:w="2176" w:type="pct"/>
            <w:tcBorders>
              <w:top w:val="nil"/>
              <w:left w:val="nil"/>
              <w:bottom w:val="nil"/>
              <w:right w:val="single" w:sz="4" w:space="0" w:color="auto"/>
            </w:tcBorders>
            <w:shd w:val="clear" w:color="auto" w:fill="auto"/>
            <w:noWrap/>
            <w:vAlign w:val="bottom"/>
            <w:hideMark/>
          </w:tcPr>
          <w:p w14:paraId="1FE2D2CD" w14:textId="77777777" w:rsidR="00F73190" w:rsidRPr="004E74A6" w:rsidRDefault="00F73190" w:rsidP="00CE62C1">
            <w:pPr>
              <w:spacing w:line="276" w:lineRule="auto"/>
              <w:ind w:firstLineChars="100" w:firstLine="200"/>
              <w:jc w:val="left"/>
              <w:rPr>
                <w:rFonts w:cs="Calibri"/>
                <w:color w:val="000000"/>
                <w:sz w:val="20"/>
                <w:lang w:eastAsia="es-CR"/>
              </w:rPr>
            </w:pPr>
            <w:r w:rsidRPr="004E74A6">
              <w:rPr>
                <w:rFonts w:cs="Calibri"/>
                <w:color w:val="000000"/>
                <w:sz w:val="20"/>
                <w:lang w:eastAsia="es-CR"/>
              </w:rPr>
              <w:t>Medida Cautelar</w:t>
            </w:r>
          </w:p>
        </w:tc>
        <w:tc>
          <w:tcPr>
            <w:tcW w:w="652" w:type="pct"/>
            <w:tcBorders>
              <w:top w:val="nil"/>
              <w:left w:val="single" w:sz="4" w:space="0" w:color="auto"/>
              <w:bottom w:val="nil"/>
              <w:right w:val="single" w:sz="4" w:space="0" w:color="auto"/>
            </w:tcBorders>
            <w:shd w:val="clear" w:color="auto" w:fill="auto"/>
            <w:noWrap/>
            <w:vAlign w:val="bottom"/>
            <w:hideMark/>
          </w:tcPr>
          <w:p w14:paraId="5BBDCE39" w14:textId="161484DC" w:rsidR="00F73190" w:rsidRPr="004E74A6" w:rsidRDefault="00F73190" w:rsidP="00CE62C1">
            <w:pPr>
              <w:spacing w:line="276" w:lineRule="auto"/>
              <w:jc w:val="center"/>
              <w:rPr>
                <w:rFonts w:cs="Calibri"/>
                <w:color w:val="000000"/>
                <w:sz w:val="20"/>
                <w:lang w:eastAsia="es-CR"/>
              </w:rPr>
            </w:pPr>
            <w:r w:rsidRPr="004E74A6">
              <w:rPr>
                <w:rFonts w:cs="Calibri"/>
                <w:color w:val="000000"/>
                <w:sz w:val="20"/>
              </w:rPr>
              <w:t>5</w:t>
            </w:r>
          </w:p>
        </w:tc>
        <w:tc>
          <w:tcPr>
            <w:tcW w:w="652" w:type="pct"/>
            <w:tcBorders>
              <w:top w:val="nil"/>
              <w:left w:val="single" w:sz="4" w:space="0" w:color="auto"/>
              <w:bottom w:val="nil"/>
              <w:right w:val="single" w:sz="4" w:space="0" w:color="auto"/>
            </w:tcBorders>
            <w:shd w:val="clear" w:color="auto" w:fill="auto"/>
            <w:noWrap/>
            <w:vAlign w:val="bottom"/>
            <w:hideMark/>
          </w:tcPr>
          <w:p w14:paraId="1B9D530D" w14:textId="384ECD1E" w:rsidR="00F73190" w:rsidRPr="004E74A6" w:rsidRDefault="00F73190" w:rsidP="00CE62C1">
            <w:pPr>
              <w:spacing w:line="276" w:lineRule="auto"/>
              <w:jc w:val="center"/>
              <w:rPr>
                <w:rFonts w:cs="Calibri"/>
                <w:color w:val="000000"/>
                <w:sz w:val="20"/>
                <w:lang w:eastAsia="es-CR"/>
              </w:rPr>
            </w:pPr>
            <w:r w:rsidRPr="004E74A6">
              <w:rPr>
                <w:rFonts w:cs="Calibri"/>
                <w:color w:val="000000"/>
                <w:sz w:val="20"/>
              </w:rPr>
              <w:t>8</w:t>
            </w:r>
          </w:p>
        </w:tc>
        <w:tc>
          <w:tcPr>
            <w:tcW w:w="652" w:type="pct"/>
            <w:tcBorders>
              <w:top w:val="nil"/>
              <w:left w:val="single" w:sz="4" w:space="0" w:color="auto"/>
              <w:bottom w:val="nil"/>
              <w:right w:val="single" w:sz="4" w:space="0" w:color="auto"/>
            </w:tcBorders>
            <w:shd w:val="clear" w:color="auto" w:fill="auto"/>
            <w:noWrap/>
            <w:vAlign w:val="bottom"/>
            <w:hideMark/>
          </w:tcPr>
          <w:p w14:paraId="7D87D43D" w14:textId="586DC076" w:rsidR="00F73190" w:rsidRPr="004E74A6" w:rsidRDefault="00F73190" w:rsidP="00CE62C1">
            <w:pPr>
              <w:spacing w:line="276" w:lineRule="auto"/>
              <w:jc w:val="center"/>
              <w:rPr>
                <w:rFonts w:cs="Calibri"/>
                <w:color w:val="000000"/>
                <w:sz w:val="20"/>
                <w:lang w:eastAsia="es-CR"/>
              </w:rPr>
            </w:pPr>
            <w:r w:rsidRPr="004E74A6">
              <w:rPr>
                <w:rFonts w:cs="Calibri"/>
                <w:color w:val="000000"/>
                <w:sz w:val="20"/>
              </w:rPr>
              <w:t>4</w:t>
            </w:r>
          </w:p>
        </w:tc>
        <w:tc>
          <w:tcPr>
            <w:tcW w:w="868" w:type="pct"/>
            <w:tcBorders>
              <w:top w:val="nil"/>
              <w:left w:val="single" w:sz="4" w:space="0" w:color="auto"/>
              <w:bottom w:val="nil"/>
              <w:right w:val="nil"/>
            </w:tcBorders>
            <w:shd w:val="clear" w:color="auto" w:fill="auto"/>
            <w:noWrap/>
            <w:vAlign w:val="bottom"/>
            <w:hideMark/>
          </w:tcPr>
          <w:p w14:paraId="5EE6230A" w14:textId="358E5492" w:rsidR="00F73190" w:rsidRPr="004E74A6" w:rsidRDefault="00F73190" w:rsidP="00CE62C1">
            <w:pPr>
              <w:spacing w:line="276" w:lineRule="auto"/>
              <w:jc w:val="center"/>
              <w:rPr>
                <w:rFonts w:cs="Calibri"/>
                <w:color w:val="000000"/>
                <w:sz w:val="20"/>
                <w:lang w:eastAsia="es-CR"/>
              </w:rPr>
            </w:pPr>
            <w:r w:rsidRPr="004E74A6">
              <w:rPr>
                <w:rFonts w:cs="Calibri"/>
                <w:color w:val="000000"/>
                <w:sz w:val="20"/>
              </w:rPr>
              <w:t>6</w:t>
            </w:r>
          </w:p>
        </w:tc>
      </w:tr>
      <w:tr w:rsidR="00F73190" w:rsidRPr="004E74A6" w14:paraId="6B6D3A7E" w14:textId="77777777" w:rsidTr="00B32800">
        <w:trPr>
          <w:trHeight w:val="288"/>
          <w:jc w:val="center"/>
        </w:trPr>
        <w:tc>
          <w:tcPr>
            <w:tcW w:w="2176" w:type="pct"/>
            <w:tcBorders>
              <w:top w:val="nil"/>
              <w:left w:val="nil"/>
              <w:bottom w:val="nil"/>
              <w:right w:val="single" w:sz="4" w:space="0" w:color="auto"/>
            </w:tcBorders>
            <w:shd w:val="clear" w:color="auto" w:fill="auto"/>
            <w:noWrap/>
            <w:vAlign w:val="bottom"/>
            <w:hideMark/>
          </w:tcPr>
          <w:p w14:paraId="1D3288A9" w14:textId="77777777" w:rsidR="00F73190" w:rsidRPr="004E74A6" w:rsidRDefault="00F73190" w:rsidP="00CE62C1">
            <w:pPr>
              <w:spacing w:line="276" w:lineRule="auto"/>
              <w:ind w:firstLineChars="100" w:firstLine="200"/>
              <w:jc w:val="left"/>
              <w:rPr>
                <w:rFonts w:cs="Calibri"/>
                <w:color w:val="000000"/>
                <w:sz w:val="20"/>
                <w:lang w:eastAsia="es-CR"/>
              </w:rPr>
            </w:pPr>
            <w:r w:rsidRPr="004E74A6">
              <w:rPr>
                <w:rFonts w:cs="Calibri"/>
                <w:color w:val="000000"/>
                <w:sz w:val="20"/>
                <w:lang w:eastAsia="es-CR"/>
              </w:rPr>
              <w:t>Monitorio</w:t>
            </w:r>
          </w:p>
        </w:tc>
        <w:tc>
          <w:tcPr>
            <w:tcW w:w="652" w:type="pct"/>
            <w:tcBorders>
              <w:top w:val="nil"/>
              <w:left w:val="single" w:sz="4" w:space="0" w:color="auto"/>
              <w:bottom w:val="nil"/>
              <w:right w:val="single" w:sz="4" w:space="0" w:color="auto"/>
            </w:tcBorders>
            <w:shd w:val="clear" w:color="auto" w:fill="auto"/>
            <w:noWrap/>
            <w:vAlign w:val="bottom"/>
            <w:hideMark/>
          </w:tcPr>
          <w:p w14:paraId="36B16F05" w14:textId="679158EC" w:rsidR="00F73190" w:rsidRPr="004E74A6" w:rsidRDefault="00F73190" w:rsidP="00CE62C1">
            <w:pPr>
              <w:spacing w:line="276" w:lineRule="auto"/>
              <w:jc w:val="center"/>
              <w:rPr>
                <w:rFonts w:cs="Calibri"/>
                <w:color w:val="000000"/>
                <w:sz w:val="20"/>
                <w:lang w:eastAsia="es-CR"/>
              </w:rPr>
            </w:pPr>
            <w:r w:rsidRPr="004E74A6">
              <w:rPr>
                <w:rFonts w:cs="Calibri"/>
                <w:color w:val="000000"/>
                <w:sz w:val="20"/>
              </w:rPr>
              <w:t>1</w:t>
            </w:r>
          </w:p>
        </w:tc>
        <w:tc>
          <w:tcPr>
            <w:tcW w:w="652" w:type="pct"/>
            <w:tcBorders>
              <w:top w:val="nil"/>
              <w:left w:val="single" w:sz="4" w:space="0" w:color="auto"/>
              <w:bottom w:val="nil"/>
              <w:right w:val="single" w:sz="4" w:space="0" w:color="auto"/>
            </w:tcBorders>
            <w:shd w:val="clear" w:color="auto" w:fill="auto"/>
            <w:noWrap/>
            <w:vAlign w:val="bottom"/>
            <w:hideMark/>
          </w:tcPr>
          <w:p w14:paraId="4FFCF26D" w14:textId="6D9BACE7" w:rsidR="00F73190" w:rsidRPr="004E74A6" w:rsidRDefault="00F73190" w:rsidP="00CE62C1">
            <w:pPr>
              <w:spacing w:line="276" w:lineRule="auto"/>
              <w:jc w:val="center"/>
              <w:rPr>
                <w:rFonts w:cs="Calibri"/>
                <w:color w:val="000000"/>
                <w:sz w:val="20"/>
                <w:lang w:eastAsia="es-CR"/>
              </w:rPr>
            </w:pPr>
            <w:r w:rsidRPr="004E74A6">
              <w:rPr>
                <w:rFonts w:cs="Calibri"/>
                <w:color w:val="000000"/>
                <w:sz w:val="20"/>
              </w:rPr>
              <w:t>1</w:t>
            </w:r>
          </w:p>
        </w:tc>
        <w:tc>
          <w:tcPr>
            <w:tcW w:w="652" w:type="pct"/>
            <w:tcBorders>
              <w:top w:val="nil"/>
              <w:left w:val="single" w:sz="4" w:space="0" w:color="auto"/>
              <w:bottom w:val="nil"/>
              <w:right w:val="single" w:sz="4" w:space="0" w:color="auto"/>
            </w:tcBorders>
            <w:shd w:val="clear" w:color="auto" w:fill="auto"/>
            <w:noWrap/>
            <w:vAlign w:val="bottom"/>
            <w:hideMark/>
          </w:tcPr>
          <w:p w14:paraId="35ED10BF" w14:textId="5E9A827C" w:rsidR="00F73190" w:rsidRPr="004E74A6" w:rsidRDefault="00F73190" w:rsidP="00CE62C1">
            <w:pPr>
              <w:spacing w:line="276" w:lineRule="auto"/>
              <w:jc w:val="center"/>
              <w:rPr>
                <w:rFonts w:cs="Calibri"/>
                <w:color w:val="000000"/>
                <w:sz w:val="20"/>
                <w:lang w:eastAsia="es-CR"/>
              </w:rPr>
            </w:pPr>
            <w:r w:rsidRPr="004E74A6">
              <w:rPr>
                <w:rFonts w:cs="Calibri"/>
                <w:color w:val="000000"/>
                <w:sz w:val="20"/>
              </w:rPr>
              <w:t>1</w:t>
            </w:r>
          </w:p>
        </w:tc>
        <w:tc>
          <w:tcPr>
            <w:tcW w:w="868" w:type="pct"/>
            <w:tcBorders>
              <w:top w:val="nil"/>
              <w:left w:val="single" w:sz="4" w:space="0" w:color="auto"/>
              <w:bottom w:val="nil"/>
              <w:right w:val="nil"/>
            </w:tcBorders>
            <w:shd w:val="clear" w:color="auto" w:fill="auto"/>
            <w:noWrap/>
            <w:vAlign w:val="bottom"/>
            <w:hideMark/>
          </w:tcPr>
          <w:p w14:paraId="62A83E5C" w14:textId="7C3CC453" w:rsidR="00F73190" w:rsidRPr="004E74A6" w:rsidRDefault="00F73190" w:rsidP="00CE62C1">
            <w:pPr>
              <w:spacing w:line="276" w:lineRule="auto"/>
              <w:jc w:val="center"/>
              <w:rPr>
                <w:rFonts w:cs="Calibri"/>
                <w:color w:val="000000"/>
                <w:sz w:val="20"/>
                <w:lang w:eastAsia="es-CR"/>
              </w:rPr>
            </w:pPr>
            <w:r w:rsidRPr="004E74A6">
              <w:rPr>
                <w:rFonts w:cs="Calibri"/>
                <w:color w:val="000000"/>
                <w:sz w:val="20"/>
              </w:rPr>
              <w:t>1,0</w:t>
            </w:r>
          </w:p>
        </w:tc>
      </w:tr>
      <w:tr w:rsidR="00F73190" w:rsidRPr="004E74A6" w14:paraId="2002F719" w14:textId="77777777" w:rsidTr="00B32800">
        <w:trPr>
          <w:trHeight w:val="288"/>
          <w:jc w:val="center"/>
        </w:trPr>
        <w:tc>
          <w:tcPr>
            <w:tcW w:w="2176" w:type="pct"/>
            <w:tcBorders>
              <w:top w:val="nil"/>
              <w:left w:val="nil"/>
              <w:bottom w:val="nil"/>
              <w:right w:val="single" w:sz="4" w:space="0" w:color="auto"/>
            </w:tcBorders>
            <w:shd w:val="clear" w:color="auto" w:fill="auto"/>
            <w:noWrap/>
            <w:vAlign w:val="bottom"/>
            <w:hideMark/>
          </w:tcPr>
          <w:p w14:paraId="5869E344" w14:textId="77777777" w:rsidR="00F73190" w:rsidRPr="004E74A6" w:rsidRDefault="00F73190" w:rsidP="00CE62C1">
            <w:pPr>
              <w:spacing w:line="276" w:lineRule="auto"/>
              <w:ind w:firstLineChars="100" w:firstLine="200"/>
              <w:jc w:val="left"/>
              <w:rPr>
                <w:rFonts w:cs="Calibri"/>
                <w:color w:val="000000"/>
                <w:sz w:val="20"/>
                <w:lang w:eastAsia="es-CR"/>
              </w:rPr>
            </w:pPr>
            <w:r w:rsidRPr="004E74A6">
              <w:rPr>
                <w:rFonts w:cs="Calibri"/>
                <w:color w:val="000000"/>
                <w:sz w:val="20"/>
                <w:lang w:eastAsia="es-CR"/>
              </w:rPr>
              <w:t>No Contencioso</w:t>
            </w:r>
          </w:p>
        </w:tc>
        <w:tc>
          <w:tcPr>
            <w:tcW w:w="652" w:type="pct"/>
            <w:tcBorders>
              <w:top w:val="nil"/>
              <w:left w:val="single" w:sz="4" w:space="0" w:color="auto"/>
              <w:bottom w:val="nil"/>
              <w:right w:val="single" w:sz="4" w:space="0" w:color="auto"/>
            </w:tcBorders>
            <w:shd w:val="clear" w:color="auto" w:fill="auto"/>
            <w:noWrap/>
            <w:vAlign w:val="bottom"/>
            <w:hideMark/>
          </w:tcPr>
          <w:p w14:paraId="71408C54" w14:textId="5E36EAAB" w:rsidR="00F73190" w:rsidRPr="004E74A6" w:rsidRDefault="00F73190" w:rsidP="00CE62C1">
            <w:pPr>
              <w:spacing w:line="276" w:lineRule="auto"/>
              <w:jc w:val="center"/>
              <w:rPr>
                <w:rFonts w:cs="Calibri"/>
                <w:color w:val="000000"/>
                <w:sz w:val="20"/>
                <w:lang w:eastAsia="es-CR"/>
              </w:rPr>
            </w:pPr>
            <w:r w:rsidRPr="004E74A6">
              <w:rPr>
                <w:rFonts w:cs="Calibri"/>
                <w:color w:val="000000"/>
                <w:sz w:val="20"/>
              </w:rPr>
              <w:t>2</w:t>
            </w:r>
          </w:p>
        </w:tc>
        <w:tc>
          <w:tcPr>
            <w:tcW w:w="652" w:type="pct"/>
            <w:tcBorders>
              <w:top w:val="nil"/>
              <w:left w:val="single" w:sz="4" w:space="0" w:color="auto"/>
              <w:bottom w:val="nil"/>
              <w:right w:val="single" w:sz="4" w:space="0" w:color="auto"/>
            </w:tcBorders>
            <w:shd w:val="clear" w:color="auto" w:fill="auto"/>
            <w:noWrap/>
            <w:vAlign w:val="bottom"/>
            <w:hideMark/>
          </w:tcPr>
          <w:p w14:paraId="5454708B" w14:textId="7BD592F6" w:rsidR="00F73190" w:rsidRPr="004E74A6" w:rsidRDefault="00F73190" w:rsidP="00CE62C1">
            <w:pPr>
              <w:spacing w:line="276" w:lineRule="auto"/>
              <w:jc w:val="center"/>
              <w:rPr>
                <w:rFonts w:cs="Calibri"/>
                <w:color w:val="000000"/>
                <w:sz w:val="20"/>
                <w:lang w:eastAsia="es-CR"/>
              </w:rPr>
            </w:pPr>
            <w:r w:rsidRPr="004E74A6">
              <w:rPr>
                <w:rFonts w:cs="Calibri"/>
                <w:color w:val="000000"/>
                <w:sz w:val="20"/>
              </w:rPr>
              <w:t>0</w:t>
            </w:r>
          </w:p>
        </w:tc>
        <w:tc>
          <w:tcPr>
            <w:tcW w:w="652" w:type="pct"/>
            <w:tcBorders>
              <w:top w:val="nil"/>
              <w:left w:val="single" w:sz="4" w:space="0" w:color="auto"/>
              <w:bottom w:val="nil"/>
              <w:right w:val="single" w:sz="4" w:space="0" w:color="auto"/>
            </w:tcBorders>
            <w:shd w:val="clear" w:color="auto" w:fill="auto"/>
            <w:noWrap/>
            <w:vAlign w:val="bottom"/>
            <w:hideMark/>
          </w:tcPr>
          <w:p w14:paraId="466E726A" w14:textId="4B73D656" w:rsidR="00F73190" w:rsidRPr="004E74A6" w:rsidRDefault="00F73190" w:rsidP="00CE62C1">
            <w:pPr>
              <w:spacing w:line="276" w:lineRule="auto"/>
              <w:jc w:val="center"/>
              <w:rPr>
                <w:sz w:val="20"/>
                <w:lang w:eastAsia="es-CR"/>
              </w:rPr>
            </w:pPr>
            <w:r w:rsidRPr="004E74A6">
              <w:rPr>
                <w:rFonts w:cs="Calibri"/>
                <w:color w:val="000000"/>
                <w:sz w:val="20"/>
              </w:rPr>
              <w:t>0</w:t>
            </w:r>
          </w:p>
        </w:tc>
        <w:tc>
          <w:tcPr>
            <w:tcW w:w="868" w:type="pct"/>
            <w:tcBorders>
              <w:top w:val="nil"/>
              <w:left w:val="single" w:sz="4" w:space="0" w:color="auto"/>
              <w:bottom w:val="nil"/>
              <w:right w:val="nil"/>
            </w:tcBorders>
            <w:shd w:val="clear" w:color="auto" w:fill="auto"/>
            <w:noWrap/>
            <w:vAlign w:val="bottom"/>
            <w:hideMark/>
          </w:tcPr>
          <w:p w14:paraId="16283842" w14:textId="3279E587" w:rsidR="00F73190" w:rsidRPr="004E74A6" w:rsidRDefault="00F73190" w:rsidP="00CE62C1">
            <w:pPr>
              <w:spacing w:line="276" w:lineRule="auto"/>
              <w:jc w:val="center"/>
              <w:rPr>
                <w:rFonts w:cs="Calibri"/>
                <w:color w:val="000000"/>
                <w:sz w:val="20"/>
                <w:lang w:eastAsia="es-CR"/>
              </w:rPr>
            </w:pPr>
            <w:r w:rsidRPr="004E74A6">
              <w:rPr>
                <w:rFonts w:cs="Calibri"/>
                <w:color w:val="000000"/>
                <w:sz w:val="20"/>
              </w:rPr>
              <w:t>0,7</w:t>
            </w:r>
          </w:p>
        </w:tc>
      </w:tr>
      <w:tr w:rsidR="00F73190" w:rsidRPr="004E74A6" w14:paraId="6CC00E1B" w14:textId="77777777" w:rsidTr="00B32800">
        <w:trPr>
          <w:trHeight w:val="288"/>
          <w:jc w:val="center"/>
        </w:trPr>
        <w:tc>
          <w:tcPr>
            <w:tcW w:w="2176" w:type="pct"/>
            <w:tcBorders>
              <w:top w:val="nil"/>
              <w:left w:val="nil"/>
              <w:bottom w:val="nil"/>
              <w:right w:val="single" w:sz="4" w:space="0" w:color="auto"/>
            </w:tcBorders>
            <w:shd w:val="clear" w:color="auto" w:fill="C5E0B3" w:themeFill="accent6" w:themeFillTint="66"/>
            <w:noWrap/>
            <w:vAlign w:val="bottom"/>
            <w:hideMark/>
          </w:tcPr>
          <w:p w14:paraId="2CCE399F" w14:textId="77777777" w:rsidR="00F73190" w:rsidRPr="004E74A6" w:rsidRDefault="00F73190" w:rsidP="00CE62C1">
            <w:pPr>
              <w:spacing w:line="276" w:lineRule="auto"/>
              <w:ind w:firstLineChars="100" w:firstLine="200"/>
              <w:jc w:val="left"/>
              <w:rPr>
                <w:rFonts w:cs="Calibri"/>
                <w:color w:val="000000"/>
                <w:sz w:val="20"/>
                <w:lang w:eastAsia="es-CR"/>
              </w:rPr>
            </w:pPr>
            <w:r w:rsidRPr="004E74A6">
              <w:rPr>
                <w:rFonts w:cs="Calibri"/>
                <w:color w:val="000000"/>
                <w:sz w:val="20"/>
                <w:lang w:eastAsia="es-CR"/>
              </w:rPr>
              <w:t>Ordinario</w:t>
            </w:r>
          </w:p>
        </w:tc>
        <w:tc>
          <w:tcPr>
            <w:tcW w:w="652" w:type="pct"/>
            <w:tcBorders>
              <w:top w:val="nil"/>
              <w:left w:val="single" w:sz="4" w:space="0" w:color="auto"/>
              <w:bottom w:val="nil"/>
              <w:right w:val="single" w:sz="4" w:space="0" w:color="auto"/>
            </w:tcBorders>
            <w:shd w:val="clear" w:color="auto" w:fill="C5E0B3" w:themeFill="accent6" w:themeFillTint="66"/>
            <w:noWrap/>
            <w:vAlign w:val="bottom"/>
            <w:hideMark/>
          </w:tcPr>
          <w:p w14:paraId="7E8563CC" w14:textId="562AEC3A" w:rsidR="00F73190" w:rsidRPr="004E74A6" w:rsidRDefault="00F73190" w:rsidP="00CE62C1">
            <w:pPr>
              <w:spacing w:line="276" w:lineRule="auto"/>
              <w:jc w:val="center"/>
              <w:rPr>
                <w:rFonts w:cs="Calibri"/>
                <w:color w:val="000000"/>
                <w:sz w:val="20"/>
                <w:lang w:eastAsia="es-CR"/>
              </w:rPr>
            </w:pPr>
            <w:r w:rsidRPr="004E74A6">
              <w:rPr>
                <w:rFonts w:cs="Calibri"/>
                <w:color w:val="000000"/>
                <w:sz w:val="20"/>
              </w:rPr>
              <w:t>107</w:t>
            </w:r>
          </w:p>
        </w:tc>
        <w:tc>
          <w:tcPr>
            <w:tcW w:w="652" w:type="pct"/>
            <w:tcBorders>
              <w:top w:val="nil"/>
              <w:left w:val="single" w:sz="4" w:space="0" w:color="auto"/>
              <w:bottom w:val="nil"/>
              <w:right w:val="single" w:sz="4" w:space="0" w:color="auto"/>
            </w:tcBorders>
            <w:shd w:val="clear" w:color="auto" w:fill="C5E0B3" w:themeFill="accent6" w:themeFillTint="66"/>
            <w:noWrap/>
            <w:vAlign w:val="bottom"/>
            <w:hideMark/>
          </w:tcPr>
          <w:p w14:paraId="5E527D8C" w14:textId="10E6E4E3" w:rsidR="00F73190" w:rsidRPr="004E74A6" w:rsidRDefault="00F73190" w:rsidP="00CE62C1">
            <w:pPr>
              <w:spacing w:line="276" w:lineRule="auto"/>
              <w:jc w:val="center"/>
              <w:rPr>
                <w:rFonts w:cs="Calibri"/>
                <w:color w:val="000000"/>
                <w:sz w:val="20"/>
                <w:lang w:eastAsia="es-CR"/>
              </w:rPr>
            </w:pPr>
            <w:r w:rsidRPr="004E74A6">
              <w:rPr>
                <w:rFonts w:cs="Calibri"/>
                <w:color w:val="000000"/>
                <w:sz w:val="20"/>
              </w:rPr>
              <w:t>108</w:t>
            </w:r>
          </w:p>
        </w:tc>
        <w:tc>
          <w:tcPr>
            <w:tcW w:w="652" w:type="pct"/>
            <w:tcBorders>
              <w:top w:val="nil"/>
              <w:left w:val="single" w:sz="4" w:space="0" w:color="auto"/>
              <w:bottom w:val="nil"/>
              <w:right w:val="single" w:sz="4" w:space="0" w:color="auto"/>
            </w:tcBorders>
            <w:shd w:val="clear" w:color="auto" w:fill="C5E0B3" w:themeFill="accent6" w:themeFillTint="66"/>
            <w:noWrap/>
            <w:vAlign w:val="bottom"/>
            <w:hideMark/>
          </w:tcPr>
          <w:p w14:paraId="1DA74831" w14:textId="44ADCEAB" w:rsidR="00F73190" w:rsidRPr="004E74A6" w:rsidRDefault="00F73190" w:rsidP="00CE62C1">
            <w:pPr>
              <w:spacing w:line="276" w:lineRule="auto"/>
              <w:jc w:val="center"/>
              <w:rPr>
                <w:rFonts w:cs="Calibri"/>
                <w:color w:val="000000"/>
                <w:sz w:val="20"/>
                <w:lang w:eastAsia="es-CR"/>
              </w:rPr>
            </w:pPr>
            <w:r w:rsidRPr="004E74A6">
              <w:rPr>
                <w:rFonts w:cs="Calibri"/>
                <w:color w:val="000000"/>
                <w:sz w:val="20"/>
              </w:rPr>
              <w:t>118</w:t>
            </w:r>
          </w:p>
        </w:tc>
        <w:tc>
          <w:tcPr>
            <w:tcW w:w="868" w:type="pct"/>
            <w:tcBorders>
              <w:top w:val="nil"/>
              <w:left w:val="single" w:sz="4" w:space="0" w:color="auto"/>
              <w:bottom w:val="nil"/>
              <w:right w:val="nil"/>
            </w:tcBorders>
            <w:shd w:val="clear" w:color="auto" w:fill="C5E0B3" w:themeFill="accent6" w:themeFillTint="66"/>
            <w:noWrap/>
            <w:vAlign w:val="bottom"/>
            <w:hideMark/>
          </w:tcPr>
          <w:p w14:paraId="35893B98" w14:textId="1C66B0C9" w:rsidR="00F73190" w:rsidRPr="004E74A6" w:rsidRDefault="00F73190" w:rsidP="00CE62C1">
            <w:pPr>
              <w:spacing w:line="276" w:lineRule="auto"/>
              <w:jc w:val="center"/>
              <w:rPr>
                <w:rFonts w:cs="Calibri"/>
                <w:color w:val="000000"/>
                <w:sz w:val="20"/>
                <w:lang w:eastAsia="es-CR"/>
              </w:rPr>
            </w:pPr>
            <w:r w:rsidRPr="004E74A6">
              <w:rPr>
                <w:rFonts w:cs="Calibri"/>
                <w:color w:val="000000"/>
                <w:sz w:val="20"/>
              </w:rPr>
              <w:t>111</w:t>
            </w:r>
          </w:p>
        </w:tc>
      </w:tr>
      <w:tr w:rsidR="00F73190" w:rsidRPr="004E74A6" w14:paraId="235045B2" w14:textId="77777777" w:rsidTr="00B32800">
        <w:trPr>
          <w:trHeight w:val="288"/>
          <w:jc w:val="center"/>
        </w:trPr>
        <w:tc>
          <w:tcPr>
            <w:tcW w:w="2176" w:type="pct"/>
            <w:tcBorders>
              <w:top w:val="nil"/>
              <w:left w:val="nil"/>
              <w:bottom w:val="nil"/>
              <w:right w:val="single" w:sz="4" w:space="0" w:color="auto"/>
            </w:tcBorders>
            <w:shd w:val="clear" w:color="auto" w:fill="auto"/>
            <w:noWrap/>
            <w:vAlign w:val="bottom"/>
            <w:hideMark/>
          </w:tcPr>
          <w:p w14:paraId="1EEA247C" w14:textId="77777777" w:rsidR="00F73190" w:rsidRPr="004E74A6" w:rsidRDefault="00F73190" w:rsidP="00CE62C1">
            <w:pPr>
              <w:spacing w:line="276" w:lineRule="auto"/>
              <w:ind w:firstLineChars="100" w:firstLine="200"/>
              <w:jc w:val="left"/>
              <w:rPr>
                <w:rFonts w:cs="Calibri"/>
                <w:color w:val="000000"/>
                <w:sz w:val="20"/>
                <w:lang w:eastAsia="es-CR"/>
              </w:rPr>
            </w:pPr>
            <w:r w:rsidRPr="004E74A6">
              <w:rPr>
                <w:rFonts w:cs="Calibri"/>
                <w:color w:val="000000"/>
                <w:sz w:val="20"/>
                <w:lang w:eastAsia="es-CR"/>
              </w:rPr>
              <w:t>Procesos De Ejecución</w:t>
            </w:r>
          </w:p>
        </w:tc>
        <w:tc>
          <w:tcPr>
            <w:tcW w:w="652" w:type="pct"/>
            <w:tcBorders>
              <w:top w:val="nil"/>
              <w:left w:val="single" w:sz="4" w:space="0" w:color="auto"/>
              <w:bottom w:val="nil"/>
              <w:right w:val="single" w:sz="4" w:space="0" w:color="auto"/>
            </w:tcBorders>
            <w:shd w:val="clear" w:color="auto" w:fill="auto"/>
            <w:noWrap/>
            <w:vAlign w:val="bottom"/>
            <w:hideMark/>
          </w:tcPr>
          <w:p w14:paraId="17867A7F" w14:textId="42C3444A" w:rsidR="00F73190" w:rsidRPr="004E74A6" w:rsidRDefault="00F73190" w:rsidP="00CE62C1">
            <w:pPr>
              <w:spacing w:line="276" w:lineRule="auto"/>
              <w:jc w:val="center"/>
              <w:rPr>
                <w:rFonts w:cs="Calibri"/>
                <w:color w:val="000000"/>
                <w:sz w:val="20"/>
                <w:lang w:eastAsia="es-CR"/>
              </w:rPr>
            </w:pPr>
            <w:r w:rsidRPr="004E74A6">
              <w:rPr>
                <w:rFonts w:cs="Calibri"/>
                <w:color w:val="000000"/>
                <w:sz w:val="20"/>
              </w:rPr>
              <w:t>2</w:t>
            </w:r>
          </w:p>
        </w:tc>
        <w:tc>
          <w:tcPr>
            <w:tcW w:w="652" w:type="pct"/>
            <w:tcBorders>
              <w:top w:val="nil"/>
              <w:left w:val="single" w:sz="4" w:space="0" w:color="auto"/>
              <w:bottom w:val="nil"/>
              <w:right w:val="single" w:sz="4" w:space="0" w:color="auto"/>
            </w:tcBorders>
            <w:shd w:val="clear" w:color="auto" w:fill="auto"/>
            <w:noWrap/>
            <w:vAlign w:val="bottom"/>
            <w:hideMark/>
          </w:tcPr>
          <w:p w14:paraId="1D161EA0" w14:textId="518ED869" w:rsidR="00F73190" w:rsidRPr="004E74A6" w:rsidRDefault="00F73190" w:rsidP="00CE62C1">
            <w:pPr>
              <w:spacing w:line="276" w:lineRule="auto"/>
              <w:jc w:val="center"/>
              <w:rPr>
                <w:rFonts w:cs="Calibri"/>
                <w:color w:val="000000"/>
                <w:sz w:val="20"/>
                <w:lang w:eastAsia="es-CR"/>
              </w:rPr>
            </w:pPr>
            <w:r w:rsidRPr="004E74A6">
              <w:rPr>
                <w:rFonts w:cs="Calibri"/>
                <w:color w:val="000000"/>
                <w:sz w:val="20"/>
              </w:rPr>
              <w:t>1</w:t>
            </w:r>
          </w:p>
        </w:tc>
        <w:tc>
          <w:tcPr>
            <w:tcW w:w="652" w:type="pct"/>
            <w:tcBorders>
              <w:top w:val="nil"/>
              <w:left w:val="single" w:sz="4" w:space="0" w:color="auto"/>
              <w:bottom w:val="nil"/>
              <w:right w:val="single" w:sz="4" w:space="0" w:color="auto"/>
            </w:tcBorders>
            <w:shd w:val="clear" w:color="auto" w:fill="auto"/>
            <w:noWrap/>
            <w:vAlign w:val="bottom"/>
            <w:hideMark/>
          </w:tcPr>
          <w:p w14:paraId="74A19459" w14:textId="5CDEA55A" w:rsidR="00F73190" w:rsidRPr="004E74A6" w:rsidRDefault="00F73190" w:rsidP="00CE62C1">
            <w:pPr>
              <w:spacing w:line="276" w:lineRule="auto"/>
              <w:jc w:val="center"/>
              <w:rPr>
                <w:rFonts w:cs="Calibri"/>
                <w:color w:val="000000"/>
                <w:sz w:val="20"/>
                <w:lang w:eastAsia="es-CR"/>
              </w:rPr>
            </w:pPr>
            <w:r w:rsidRPr="004E74A6">
              <w:rPr>
                <w:rFonts w:cs="Calibri"/>
                <w:color w:val="000000"/>
                <w:sz w:val="20"/>
              </w:rPr>
              <w:t>1</w:t>
            </w:r>
          </w:p>
        </w:tc>
        <w:tc>
          <w:tcPr>
            <w:tcW w:w="868" w:type="pct"/>
            <w:tcBorders>
              <w:top w:val="nil"/>
              <w:left w:val="single" w:sz="4" w:space="0" w:color="auto"/>
              <w:bottom w:val="nil"/>
              <w:right w:val="nil"/>
            </w:tcBorders>
            <w:shd w:val="clear" w:color="auto" w:fill="auto"/>
            <w:noWrap/>
            <w:vAlign w:val="bottom"/>
            <w:hideMark/>
          </w:tcPr>
          <w:p w14:paraId="75C50B52" w14:textId="425C2156" w:rsidR="00F73190" w:rsidRPr="004E74A6" w:rsidRDefault="00F73190" w:rsidP="00CE62C1">
            <w:pPr>
              <w:spacing w:line="276" w:lineRule="auto"/>
              <w:jc w:val="center"/>
              <w:rPr>
                <w:rFonts w:cs="Calibri"/>
                <w:color w:val="000000"/>
                <w:sz w:val="20"/>
                <w:lang w:eastAsia="es-CR"/>
              </w:rPr>
            </w:pPr>
            <w:r w:rsidRPr="004E74A6">
              <w:rPr>
                <w:rFonts w:cs="Calibri"/>
                <w:color w:val="000000"/>
                <w:sz w:val="20"/>
              </w:rPr>
              <w:t>1</w:t>
            </w:r>
          </w:p>
        </w:tc>
      </w:tr>
      <w:tr w:rsidR="00F73190" w:rsidRPr="004E74A6" w14:paraId="4EC3C529" w14:textId="77777777" w:rsidTr="00B32800">
        <w:trPr>
          <w:trHeight w:val="288"/>
          <w:jc w:val="center"/>
        </w:trPr>
        <w:tc>
          <w:tcPr>
            <w:tcW w:w="2176" w:type="pct"/>
            <w:tcBorders>
              <w:top w:val="nil"/>
              <w:left w:val="nil"/>
              <w:bottom w:val="nil"/>
              <w:right w:val="single" w:sz="4" w:space="0" w:color="auto"/>
            </w:tcBorders>
            <w:shd w:val="clear" w:color="auto" w:fill="auto"/>
            <w:noWrap/>
            <w:vAlign w:val="bottom"/>
            <w:hideMark/>
          </w:tcPr>
          <w:p w14:paraId="598E8FB6" w14:textId="77777777" w:rsidR="00F73190" w:rsidRPr="004E74A6" w:rsidRDefault="00F73190" w:rsidP="00CE62C1">
            <w:pPr>
              <w:spacing w:line="276" w:lineRule="auto"/>
              <w:ind w:firstLineChars="100" w:firstLine="200"/>
              <w:jc w:val="left"/>
              <w:rPr>
                <w:rFonts w:cs="Calibri"/>
                <w:color w:val="000000"/>
                <w:sz w:val="20"/>
                <w:lang w:eastAsia="es-CR"/>
              </w:rPr>
            </w:pPr>
            <w:r w:rsidRPr="004E74A6">
              <w:rPr>
                <w:rFonts w:cs="Calibri"/>
                <w:color w:val="000000"/>
                <w:sz w:val="20"/>
                <w:lang w:eastAsia="es-CR"/>
              </w:rPr>
              <w:t>Procesos Otras Materias</w:t>
            </w:r>
          </w:p>
        </w:tc>
        <w:tc>
          <w:tcPr>
            <w:tcW w:w="652" w:type="pct"/>
            <w:tcBorders>
              <w:top w:val="nil"/>
              <w:left w:val="single" w:sz="4" w:space="0" w:color="auto"/>
              <w:bottom w:val="nil"/>
              <w:right w:val="single" w:sz="4" w:space="0" w:color="auto"/>
            </w:tcBorders>
            <w:shd w:val="clear" w:color="auto" w:fill="auto"/>
            <w:noWrap/>
            <w:vAlign w:val="bottom"/>
            <w:hideMark/>
          </w:tcPr>
          <w:p w14:paraId="4D2C0EFC" w14:textId="05862E25" w:rsidR="00F73190" w:rsidRPr="004E74A6" w:rsidRDefault="00F73190" w:rsidP="00CE62C1">
            <w:pPr>
              <w:spacing w:line="276" w:lineRule="auto"/>
              <w:jc w:val="center"/>
              <w:rPr>
                <w:rFonts w:cs="Calibri"/>
                <w:color w:val="000000"/>
                <w:sz w:val="20"/>
                <w:lang w:eastAsia="es-CR"/>
              </w:rPr>
            </w:pPr>
            <w:r w:rsidRPr="004E74A6">
              <w:rPr>
                <w:rFonts w:cs="Calibri"/>
                <w:color w:val="000000"/>
                <w:sz w:val="20"/>
              </w:rPr>
              <w:t>2</w:t>
            </w:r>
          </w:p>
        </w:tc>
        <w:tc>
          <w:tcPr>
            <w:tcW w:w="652" w:type="pct"/>
            <w:tcBorders>
              <w:top w:val="nil"/>
              <w:left w:val="single" w:sz="4" w:space="0" w:color="auto"/>
              <w:bottom w:val="nil"/>
              <w:right w:val="single" w:sz="4" w:space="0" w:color="auto"/>
            </w:tcBorders>
            <w:shd w:val="clear" w:color="auto" w:fill="auto"/>
            <w:noWrap/>
            <w:vAlign w:val="bottom"/>
            <w:hideMark/>
          </w:tcPr>
          <w:p w14:paraId="2E47B988" w14:textId="07A50568" w:rsidR="00F73190" w:rsidRPr="004E74A6" w:rsidRDefault="00F73190" w:rsidP="00CE62C1">
            <w:pPr>
              <w:spacing w:line="276" w:lineRule="auto"/>
              <w:jc w:val="center"/>
              <w:rPr>
                <w:rFonts w:cs="Calibri"/>
                <w:color w:val="000000"/>
                <w:sz w:val="20"/>
                <w:lang w:eastAsia="es-CR"/>
              </w:rPr>
            </w:pPr>
            <w:r w:rsidRPr="004E74A6">
              <w:rPr>
                <w:rFonts w:cs="Calibri"/>
                <w:color w:val="000000"/>
                <w:sz w:val="20"/>
              </w:rPr>
              <w:t>0</w:t>
            </w:r>
          </w:p>
        </w:tc>
        <w:tc>
          <w:tcPr>
            <w:tcW w:w="652" w:type="pct"/>
            <w:tcBorders>
              <w:top w:val="nil"/>
              <w:left w:val="single" w:sz="4" w:space="0" w:color="auto"/>
              <w:bottom w:val="nil"/>
              <w:right w:val="single" w:sz="4" w:space="0" w:color="auto"/>
            </w:tcBorders>
            <w:shd w:val="clear" w:color="auto" w:fill="auto"/>
            <w:noWrap/>
            <w:vAlign w:val="bottom"/>
            <w:hideMark/>
          </w:tcPr>
          <w:p w14:paraId="10A56409" w14:textId="36025855" w:rsidR="00F73190" w:rsidRPr="004E74A6" w:rsidRDefault="00F73190" w:rsidP="00CE62C1">
            <w:pPr>
              <w:spacing w:line="276" w:lineRule="auto"/>
              <w:jc w:val="center"/>
              <w:rPr>
                <w:rFonts w:cs="Calibri"/>
                <w:color w:val="000000"/>
                <w:sz w:val="20"/>
                <w:lang w:eastAsia="es-CR"/>
              </w:rPr>
            </w:pPr>
            <w:r w:rsidRPr="004E74A6">
              <w:rPr>
                <w:rFonts w:cs="Calibri"/>
                <w:color w:val="000000"/>
                <w:sz w:val="20"/>
              </w:rPr>
              <w:t>1</w:t>
            </w:r>
          </w:p>
        </w:tc>
        <w:tc>
          <w:tcPr>
            <w:tcW w:w="868" w:type="pct"/>
            <w:tcBorders>
              <w:top w:val="nil"/>
              <w:left w:val="single" w:sz="4" w:space="0" w:color="auto"/>
              <w:bottom w:val="nil"/>
              <w:right w:val="nil"/>
            </w:tcBorders>
            <w:shd w:val="clear" w:color="auto" w:fill="auto"/>
            <w:noWrap/>
            <w:vAlign w:val="bottom"/>
            <w:hideMark/>
          </w:tcPr>
          <w:p w14:paraId="33FB67A4" w14:textId="09A3E4BC" w:rsidR="00F73190" w:rsidRPr="004E74A6" w:rsidRDefault="00F73190" w:rsidP="00CE62C1">
            <w:pPr>
              <w:spacing w:line="276" w:lineRule="auto"/>
              <w:jc w:val="center"/>
              <w:rPr>
                <w:rFonts w:cs="Calibri"/>
                <w:color w:val="000000"/>
                <w:sz w:val="20"/>
                <w:lang w:eastAsia="es-CR"/>
              </w:rPr>
            </w:pPr>
            <w:r w:rsidRPr="004E74A6">
              <w:rPr>
                <w:rFonts w:cs="Calibri"/>
                <w:color w:val="000000"/>
                <w:sz w:val="20"/>
              </w:rPr>
              <w:t>1</w:t>
            </w:r>
          </w:p>
        </w:tc>
      </w:tr>
      <w:tr w:rsidR="00F73190" w:rsidRPr="004E74A6" w14:paraId="2091F2BE" w14:textId="77777777" w:rsidTr="00B32800">
        <w:trPr>
          <w:trHeight w:val="288"/>
          <w:jc w:val="center"/>
        </w:trPr>
        <w:tc>
          <w:tcPr>
            <w:tcW w:w="2176" w:type="pct"/>
            <w:tcBorders>
              <w:top w:val="nil"/>
              <w:left w:val="nil"/>
              <w:bottom w:val="nil"/>
              <w:right w:val="single" w:sz="4" w:space="0" w:color="auto"/>
            </w:tcBorders>
            <w:shd w:val="clear" w:color="auto" w:fill="auto"/>
            <w:noWrap/>
            <w:vAlign w:val="bottom"/>
            <w:hideMark/>
          </w:tcPr>
          <w:p w14:paraId="476F93C8" w14:textId="77777777" w:rsidR="00F73190" w:rsidRPr="004E74A6" w:rsidRDefault="00F73190" w:rsidP="00CE62C1">
            <w:pPr>
              <w:spacing w:line="276" w:lineRule="auto"/>
              <w:ind w:firstLineChars="100" w:firstLine="200"/>
              <w:jc w:val="left"/>
              <w:rPr>
                <w:rFonts w:cs="Calibri"/>
                <w:color w:val="000000"/>
                <w:sz w:val="20"/>
                <w:lang w:eastAsia="es-CR"/>
              </w:rPr>
            </w:pPr>
            <w:r w:rsidRPr="004E74A6">
              <w:rPr>
                <w:rFonts w:cs="Calibri"/>
                <w:color w:val="000000"/>
                <w:sz w:val="20"/>
                <w:lang w:eastAsia="es-CR"/>
              </w:rPr>
              <w:t>Prueba Anticipada</w:t>
            </w:r>
          </w:p>
        </w:tc>
        <w:tc>
          <w:tcPr>
            <w:tcW w:w="652" w:type="pct"/>
            <w:tcBorders>
              <w:top w:val="nil"/>
              <w:left w:val="single" w:sz="4" w:space="0" w:color="auto"/>
              <w:bottom w:val="nil"/>
              <w:right w:val="single" w:sz="4" w:space="0" w:color="auto"/>
            </w:tcBorders>
            <w:shd w:val="clear" w:color="auto" w:fill="auto"/>
            <w:noWrap/>
            <w:vAlign w:val="bottom"/>
            <w:hideMark/>
          </w:tcPr>
          <w:p w14:paraId="1E8529FD" w14:textId="39DA052D" w:rsidR="00F73190" w:rsidRPr="004E74A6" w:rsidRDefault="00F73190" w:rsidP="00CE62C1">
            <w:pPr>
              <w:spacing w:line="276" w:lineRule="auto"/>
              <w:jc w:val="center"/>
              <w:rPr>
                <w:rFonts w:cs="Calibri"/>
                <w:color w:val="000000"/>
                <w:sz w:val="20"/>
                <w:lang w:eastAsia="es-CR"/>
              </w:rPr>
            </w:pPr>
            <w:r w:rsidRPr="004E74A6">
              <w:rPr>
                <w:rFonts w:cs="Calibri"/>
                <w:color w:val="000000"/>
                <w:sz w:val="20"/>
              </w:rPr>
              <w:t>7</w:t>
            </w:r>
          </w:p>
        </w:tc>
        <w:tc>
          <w:tcPr>
            <w:tcW w:w="652" w:type="pct"/>
            <w:tcBorders>
              <w:top w:val="nil"/>
              <w:left w:val="single" w:sz="4" w:space="0" w:color="auto"/>
              <w:bottom w:val="nil"/>
              <w:right w:val="single" w:sz="4" w:space="0" w:color="auto"/>
            </w:tcBorders>
            <w:shd w:val="clear" w:color="auto" w:fill="auto"/>
            <w:noWrap/>
            <w:vAlign w:val="bottom"/>
            <w:hideMark/>
          </w:tcPr>
          <w:p w14:paraId="75A88993" w14:textId="75FA6F9B" w:rsidR="00F73190" w:rsidRPr="004E74A6" w:rsidRDefault="00F73190" w:rsidP="00CE62C1">
            <w:pPr>
              <w:spacing w:line="276" w:lineRule="auto"/>
              <w:jc w:val="center"/>
              <w:rPr>
                <w:rFonts w:cs="Calibri"/>
                <w:color w:val="000000"/>
                <w:sz w:val="20"/>
                <w:lang w:eastAsia="es-CR"/>
              </w:rPr>
            </w:pPr>
            <w:r w:rsidRPr="004E74A6">
              <w:rPr>
                <w:rFonts w:cs="Calibri"/>
                <w:color w:val="000000"/>
                <w:sz w:val="20"/>
              </w:rPr>
              <w:t>3</w:t>
            </w:r>
          </w:p>
        </w:tc>
        <w:tc>
          <w:tcPr>
            <w:tcW w:w="652" w:type="pct"/>
            <w:tcBorders>
              <w:top w:val="nil"/>
              <w:left w:val="single" w:sz="4" w:space="0" w:color="auto"/>
              <w:bottom w:val="nil"/>
              <w:right w:val="single" w:sz="4" w:space="0" w:color="auto"/>
            </w:tcBorders>
            <w:shd w:val="clear" w:color="auto" w:fill="auto"/>
            <w:noWrap/>
            <w:vAlign w:val="bottom"/>
            <w:hideMark/>
          </w:tcPr>
          <w:p w14:paraId="5DB2D538" w14:textId="2FBB9DDA" w:rsidR="00F73190" w:rsidRPr="004E74A6" w:rsidRDefault="00F73190" w:rsidP="00CE62C1">
            <w:pPr>
              <w:spacing w:line="276" w:lineRule="auto"/>
              <w:jc w:val="center"/>
              <w:rPr>
                <w:rFonts w:cs="Calibri"/>
                <w:color w:val="000000"/>
                <w:sz w:val="20"/>
                <w:lang w:eastAsia="es-CR"/>
              </w:rPr>
            </w:pPr>
            <w:r w:rsidRPr="004E74A6">
              <w:rPr>
                <w:rFonts w:cs="Calibri"/>
                <w:color w:val="000000"/>
                <w:sz w:val="20"/>
              </w:rPr>
              <w:t>2</w:t>
            </w:r>
          </w:p>
        </w:tc>
        <w:tc>
          <w:tcPr>
            <w:tcW w:w="868" w:type="pct"/>
            <w:tcBorders>
              <w:top w:val="nil"/>
              <w:left w:val="single" w:sz="4" w:space="0" w:color="auto"/>
              <w:bottom w:val="nil"/>
              <w:right w:val="nil"/>
            </w:tcBorders>
            <w:shd w:val="clear" w:color="auto" w:fill="auto"/>
            <w:noWrap/>
            <w:vAlign w:val="bottom"/>
            <w:hideMark/>
          </w:tcPr>
          <w:p w14:paraId="30AAB942" w14:textId="5D58D7C2" w:rsidR="00F73190" w:rsidRPr="004E74A6" w:rsidRDefault="00F73190" w:rsidP="00CE62C1">
            <w:pPr>
              <w:spacing w:line="276" w:lineRule="auto"/>
              <w:jc w:val="center"/>
              <w:rPr>
                <w:rFonts w:cs="Calibri"/>
                <w:color w:val="000000"/>
                <w:sz w:val="20"/>
                <w:lang w:eastAsia="es-CR"/>
              </w:rPr>
            </w:pPr>
            <w:r w:rsidRPr="004E74A6">
              <w:rPr>
                <w:rFonts w:cs="Calibri"/>
                <w:color w:val="000000"/>
                <w:sz w:val="20"/>
              </w:rPr>
              <w:t>4</w:t>
            </w:r>
          </w:p>
        </w:tc>
      </w:tr>
      <w:tr w:rsidR="00F73190" w:rsidRPr="004E74A6" w14:paraId="15243865" w14:textId="77777777" w:rsidTr="00B32800">
        <w:trPr>
          <w:trHeight w:val="288"/>
          <w:jc w:val="center"/>
        </w:trPr>
        <w:tc>
          <w:tcPr>
            <w:tcW w:w="2176" w:type="pct"/>
            <w:tcBorders>
              <w:top w:val="nil"/>
              <w:left w:val="nil"/>
              <w:right w:val="single" w:sz="4" w:space="0" w:color="auto"/>
            </w:tcBorders>
            <w:shd w:val="clear" w:color="auto" w:fill="auto"/>
            <w:noWrap/>
            <w:vAlign w:val="bottom"/>
            <w:hideMark/>
          </w:tcPr>
          <w:p w14:paraId="1A1A2DBB" w14:textId="77777777" w:rsidR="00F73190" w:rsidRPr="004E74A6" w:rsidRDefault="00F73190" w:rsidP="00CE62C1">
            <w:pPr>
              <w:spacing w:line="276" w:lineRule="auto"/>
              <w:ind w:firstLineChars="100" w:firstLine="200"/>
              <w:jc w:val="left"/>
              <w:rPr>
                <w:rFonts w:cs="Calibri"/>
                <w:color w:val="000000"/>
                <w:sz w:val="20"/>
                <w:lang w:eastAsia="es-CR"/>
              </w:rPr>
            </w:pPr>
            <w:r w:rsidRPr="004E74A6">
              <w:rPr>
                <w:rFonts w:cs="Calibri"/>
                <w:color w:val="000000"/>
                <w:sz w:val="20"/>
                <w:lang w:eastAsia="es-CR"/>
              </w:rPr>
              <w:t>Sucesorio</w:t>
            </w:r>
          </w:p>
        </w:tc>
        <w:tc>
          <w:tcPr>
            <w:tcW w:w="652" w:type="pct"/>
            <w:tcBorders>
              <w:top w:val="nil"/>
              <w:left w:val="single" w:sz="4" w:space="0" w:color="auto"/>
              <w:right w:val="single" w:sz="4" w:space="0" w:color="auto"/>
            </w:tcBorders>
            <w:shd w:val="clear" w:color="auto" w:fill="auto"/>
            <w:noWrap/>
            <w:vAlign w:val="bottom"/>
            <w:hideMark/>
          </w:tcPr>
          <w:p w14:paraId="79591614" w14:textId="7EEB482B" w:rsidR="00F73190" w:rsidRPr="004E74A6" w:rsidRDefault="00F73190" w:rsidP="00CE62C1">
            <w:pPr>
              <w:spacing w:line="276" w:lineRule="auto"/>
              <w:jc w:val="center"/>
              <w:rPr>
                <w:rFonts w:cs="Calibri"/>
                <w:color w:val="000000"/>
                <w:sz w:val="20"/>
                <w:lang w:eastAsia="es-CR"/>
              </w:rPr>
            </w:pPr>
            <w:r w:rsidRPr="004E74A6">
              <w:rPr>
                <w:rFonts w:cs="Calibri"/>
                <w:color w:val="000000"/>
                <w:sz w:val="20"/>
              </w:rPr>
              <w:t>2</w:t>
            </w:r>
          </w:p>
        </w:tc>
        <w:tc>
          <w:tcPr>
            <w:tcW w:w="652" w:type="pct"/>
            <w:tcBorders>
              <w:top w:val="nil"/>
              <w:left w:val="single" w:sz="4" w:space="0" w:color="auto"/>
              <w:right w:val="single" w:sz="4" w:space="0" w:color="auto"/>
            </w:tcBorders>
            <w:shd w:val="clear" w:color="auto" w:fill="auto"/>
            <w:noWrap/>
            <w:vAlign w:val="bottom"/>
            <w:hideMark/>
          </w:tcPr>
          <w:p w14:paraId="69B0F17A" w14:textId="233C9E3F" w:rsidR="00F73190" w:rsidRPr="004E74A6" w:rsidRDefault="00F73190" w:rsidP="00CE62C1">
            <w:pPr>
              <w:spacing w:line="276" w:lineRule="auto"/>
              <w:jc w:val="center"/>
              <w:rPr>
                <w:rFonts w:cs="Calibri"/>
                <w:color w:val="000000"/>
                <w:sz w:val="20"/>
                <w:lang w:eastAsia="es-CR"/>
              </w:rPr>
            </w:pPr>
            <w:r w:rsidRPr="004E74A6">
              <w:rPr>
                <w:rFonts w:cs="Calibri"/>
                <w:color w:val="000000"/>
                <w:sz w:val="20"/>
              </w:rPr>
              <w:t>0</w:t>
            </w:r>
          </w:p>
        </w:tc>
        <w:tc>
          <w:tcPr>
            <w:tcW w:w="652" w:type="pct"/>
            <w:tcBorders>
              <w:top w:val="nil"/>
              <w:left w:val="single" w:sz="4" w:space="0" w:color="auto"/>
              <w:right w:val="single" w:sz="4" w:space="0" w:color="auto"/>
            </w:tcBorders>
            <w:shd w:val="clear" w:color="auto" w:fill="auto"/>
            <w:noWrap/>
            <w:vAlign w:val="bottom"/>
            <w:hideMark/>
          </w:tcPr>
          <w:p w14:paraId="442CCB08" w14:textId="678F9DD7" w:rsidR="00F73190" w:rsidRPr="004E74A6" w:rsidRDefault="00F73190" w:rsidP="00CE62C1">
            <w:pPr>
              <w:spacing w:line="276" w:lineRule="auto"/>
              <w:jc w:val="center"/>
              <w:rPr>
                <w:sz w:val="20"/>
                <w:lang w:eastAsia="es-CR"/>
              </w:rPr>
            </w:pPr>
            <w:r w:rsidRPr="004E74A6">
              <w:rPr>
                <w:rFonts w:cs="Calibri"/>
                <w:color w:val="000000"/>
                <w:sz w:val="20"/>
              </w:rPr>
              <w:t>0</w:t>
            </w:r>
          </w:p>
        </w:tc>
        <w:tc>
          <w:tcPr>
            <w:tcW w:w="868" w:type="pct"/>
            <w:tcBorders>
              <w:top w:val="nil"/>
              <w:left w:val="single" w:sz="4" w:space="0" w:color="auto"/>
              <w:right w:val="nil"/>
            </w:tcBorders>
            <w:shd w:val="clear" w:color="auto" w:fill="auto"/>
            <w:noWrap/>
            <w:vAlign w:val="bottom"/>
            <w:hideMark/>
          </w:tcPr>
          <w:p w14:paraId="0575D976" w14:textId="2A956478" w:rsidR="00F73190" w:rsidRPr="004E74A6" w:rsidRDefault="00F73190" w:rsidP="00CE62C1">
            <w:pPr>
              <w:spacing w:line="276" w:lineRule="auto"/>
              <w:jc w:val="center"/>
              <w:rPr>
                <w:rFonts w:cs="Calibri"/>
                <w:color w:val="000000"/>
                <w:sz w:val="20"/>
                <w:lang w:eastAsia="es-CR"/>
              </w:rPr>
            </w:pPr>
            <w:r w:rsidRPr="004E74A6">
              <w:rPr>
                <w:rFonts w:cs="Calibri"/>
                <w:color w:val="000000"/>
                <w:sz w:val="20"/>
              </w:rPr>
              <w:t>1</w:t>
            </w:r>
          </w:p>
        </w:tc>
      </w:tr>
      <w:tr w:rsidR="00D62A98" w:rsidRPr="004E74A6" w14:paraId="453151DF" w14:textId="77777777" w:rsidTr="00D62A98">
        <w:trPr>
          <w:trHeight w:val="288"/>
          <w:jc w:val="center"/>
        </w:trPr>
        <w:tc>
          <w:tcPr>
            <w:tcW w:w="2176" w:type="pct"/>
            <w:tcBorders>
              <w:top w:val="nil"/>
              <w:left w:val="nil"/>
              <w:bottom w:val="single" w:sz="4" w:space="0" w:color="auto"/>
              <w:right w:val="single" w:sz="4" w:space="0" w:color="auto"/>
            </w:tcBorders>
            <w:shd w:val="clear" w:color="auto" w:fill="auto"/>
            <w:noWrap/>
            <w:vAlign w:val="bottom"/>
          </w:tcPr>
          <w:p w14:paraId="29943AD5" w14:textId="77777777" w:rsidR="008647ED" w:rsidRPr="004E74A6" w:rsidRDefault="008647ED" w:rsidP="00CE62C1">
            <w:pPr>
              <w:spacing w:line="276" w:lineRule="auto"/>
              <w:ind w:firstLineChars="100" w:firstLine="200"/>
              <w:jc w:val="left"/>
              <w:rPr>
                <w:rFonts w:cs="Calibri"/>
                <w:color w:val="000000"/>
                <w:sz w:val="20"/>
                <w:lang w:eastAsia="es-CR"/>
              </w:rPr>
            </w:pPr>
          </w:p>
        </w:tc>
        <w:tc>
          <w:tcPr>
            <w:tcW w:w="652" w:type="pct"/>
            <w:tcBorders>
              <w:top w:val="nil"/>
              <w:left w:val="single" w:sz="4" w:space="0" w:color="auto"/>
              <w:bottom w:val="single" w:sz="4" w:space="0" w:color="auto"/>
              <w:right w:val="single" w:sz="4" w:space="0" w:color="auto"/>
            </w:tcBorders>
            <w:shd w:val="clear" w:color="auto" w:fill="auto"/>
            <w:noWrap/>
            <w:vAlign w:val="center"/>
          </w:tcPr>
          <w:p w14:paraId="36A1C370" w14:textId="77777777" w:rsidR="008647ED" w:rsidRPr="004E74A6" w:rsidRDefault="008647ED" w:rsidP="00CE62C1">
            <w:pPr>
              <w:spacing w:line="276" w:lineRule="auto"/>
              <w:jc w:val="center"/>
              <w:rPr>
                <w:rFonts w:cs="Calibri"/>
                <w:color w:val="000000"/>
                <w:sz w:val="20"/>
                <w:lang w:eastAsia="es-CR"/>
              </w:rPr>
            </w:pPr>
          </w:p>
        </w:tc>
        <w:tc>
          <w:tcPr>
            <w:tcW w:w="652" w:type="pct"/>
            <w:tcBorders>
              <w:top w:val="nil"/>
              <w:left w:val="single" w:sz="4" w:space="0" w:color="auto"/>
              <w:bottom w:val="single" w:sz="4" w:space="0" w:color="auto"/>
              <w:right w:val="single" w:sz="4" w:space="0" w:color="auto"/>
            </w:tcBorders>
            <w:shd w:val="clear" w:color="auto" w:fill="auto"/>
            <w:noWrap/>
            <w:vAlign w:val="center"/>
          </w:tcPr>
          <w:p w14:paraId="76D37328" w14:textId="77777777" w:rsidR="008647ED" w:rsidRPr="004E74A6" w:rsidRDefault="008647ED" w:rsidP="00CE62C1">
            <w:pPr>
              <w:spacing w:line="276" w:lineRule="auto"/>
              <w:jc w:val="center"/>
              <w:rPr>
                <w:rFonts w:cs="Calibri"/>
                <w:color w:val="000000"/>
                <w:sz w:val="20"/>
                <w:lang w:eastAsia="es-CR"/>
              </w:rPr>
            </w:pPr>
          </w:p>
        </w:tc>
        <w:tc>
          <w:tcPr>
            <w:tcW w:w="652" w:type="pct"/>
            <w:tcBorders>
              <w:top w:val="nil"/>
              <w:left w:val="single" w:sz="4" w:space="0" w:color="auto"/>
              <w:bottom w:val="single" w:sz="4" w:space="0" w:color="auto"/>
              <w:right w:val="single" w:sz="4" w:space="0" w:color="auto"/>
            </w:tcBorders>
            <w:shd w:val="clear" w:color="auto" w:fill="auto"/>
            <w:noWrap/>
            <w:vAlign w:val="center"/>
          </w:tcPr>
          <w:p w14:paraId="28F5ACB6" w14:textId="77777777" w:rsidR="008647ED" w:rsidRPr="004E74A6" w:rsidRDefault="008647ED" w:rsidP="00CE62C1">
            <w:pPr>
              <w:spacing w:line="276" w:lineRule="auto"/>
              <w:jc w:val="center"/>
              <w:rPr>
                <w:sz w:val="20"/>
                <w:lang w:eastAsia="es-CR"/>
              </w:rPr>
            </w:pPr>
          </w:p>
        </w:tc>
        <w:tc>
          <w:tcPr>
            <w:tcW w:w="868" w:type="pct"/>
            <w:tcBorders>
              <w:top w:val="nil"/>
              <w:left w:val="single" w:sz="4" w:space="0" w:color="auto"/>
              <w:bottom w:val="single" w:sz="4" w:space="0" w:color="auto"/>
              <w:right w:val="nil"/>
            </w:tcBorders>
            <w:shd w:val="clear" w:color="auto" w:fill="auto"/>
            <w:noWrap/>
            <w:vAlign w:val="center"/>
          </w:tcPr>
          <w:p w14:paraId="73EF7A3C" w14:textId="77777777" w:rsidR="008647ED" w:rsidRPr="004E74A6" w:rsidRDefault="008647ED" w:rsidP="00CE62C1">
            <w:pPr>
              <w:spacing w:line="276" w:lineRule="auto"/>
              <w:jc w:val="center"/>
              <w:rPr>
                <w:rFonts w:cs="Calibri"/>
                <w:color w:val="000000"/>
                <w:sz w:val="20"/>
                <w:lang w:eastAsia="es-CR"/>
              </w:rPr>
            </w:pPr>
          </w:p>
        </w:tc>
      </w:tr>
    </w:tbl>
    <w:p w14:paraId="1A351CCB" w14:textId="207354D8" w:rsidR="003E4755" w:rsidRPr="004E74A6" w:rsidRDefault="003E4755" w:rsidP="00832773">
      <w:pPr>
        <w:spacing w:line="276" w:lineRule="auto"/>
        <w:ind w:left="1191" w:right="1191"/>
        <w:rPr>
          <w:rFonts w:cs="Calibri"/>
          <w:i/>
          <w:iCs/>
          <w:color w:val="000000"/>
          <w:sz w:val="20"/>
          <w:lang w:eastAsia="es-CR"/>
        </w:rPr>
      </w:pPr>
      <w:r w:rsidRPr="004E74A6">
        <w:rPr>
          <w:rFonts w:cs="Calibri"/>
          <w:b/>
          <w:bCs/>
          <w:i/>
          <w:iCs/>
          <w:color w:val="000000"/>
          <w:sz w:val="20"/>
          <w:lang w:eastAsia="es-CR"/>
        </w:rPr>
        <w:t>Fuente</w:t>
      </w:r>
      <w:r w:rsidRPr="004E74A6">
        <w:rPr>
          <w:rFonts w:cs="Calibri"/>
          <w:i/>
          <w:iCs/>
          <w:color w:val="000000"/>
          <w:sz w:val="20"/>
          <w:lang w:eastAsia="es-CR"/>
        </w:rPr>
        <w:t>: Subproceso de Modernización Institucional con datos extraídos del sistema SIGMA, Dirección de Planificación.</w:t>
      </w:r>
    </w:p>
    <w:p w14:paraId="101EBE71" w14:textId="2F535168" w:rsidR="008647ED" w:rsidRPr="004E74A6" w:rsidRDefault="008647ED" w:rsidP="00832773">
      <w:pPr>
        <w:spacing w:line="276" w:lineRule="auto"/>
        <w:rPr>
          <w:rFonts w:cs="Calibri"/>
          <w:color w:val="000000"/>
          <w:szCs w:val="24"/>
          <w:lang w:eastAsia="es-CR"/>
        </w:rPr>
      </w:pPr>
    </w:p>
    <w:p w14:paraId="3A5DEE37" w14:textId="48EC5344" w:rsidR="00F73190" w:rsidRPr="004E74A6" w:rsidRDefault="00F73190" w:rsidP="00CE62C1">
      <w:pPr>
        <w:spacing w:after="160" w:line="276" w:lineRule="auto"/>
        <w:rPr>
          <w:rFonts w:cs="Calibri"/>
          <w:color w:val="000000"/>
          <w:szCs w:val="24"/>
          <w:lang w:eastAsia="es-CR"/>
        </w:rPr>
      </w:pPr>
      <w:r w:rsidRPr="004E74A6">
        <w:rPr>
          <w:rFonts w:cs="Calibri"/>
          <w:color w:val="000000"/>
          <w:szCs w:val="24"/>
          <w:lang w:eastAsia="es-CR"/>
        </w:rPr>
        <w:t>Con un mayor detalle es posible observar que dentro de la clase de asunto ordinario, los procedimientos ordinarios son la mayoría con el 95% de los asuntos. Como se observa de los 111 registros, solo 107 tienen el procedimiento correcto, ya que según la fórmula estadística la clase “</w:t>
      </w:r>
      <w:r w:rsidRPr="004E74A6">
        <w:rPr>
          <w:rFonts w:cs="Calibri"/>
          <w:i/>
          <w:iCs/>
          <w:color w:val="000000"/>
          <w:szCs w:val="24"/>
          <w:lang w:eastAsia="es-CR"/>
        </w:rPr>
        <w:t>ordinario</w:t>
      </w:r>
      <w:r w:rsidRPr="004E74A6">
        <w:rPr>
          <w:rFonts w:cs="Calibri"/>
          <w:color w:val="000000"/>
          <w:szCs w:val="24"/>
          <w:lang w:eastAsia="es-CR"/>
        </w:rPr>
        <w:t>” solamente tiene como procedimiento asociado “</w:t>
      </w:r>
      <w:r w:rsidRPr="004E74A6">
        <w:rPr>
          <w:rFonts w:cs="Calibri"/>
          <w:i/>
          <w:iCs/>
          <w:color w:val="000000"/>
          <w:szCs w:val="24"/>
          <w:lang w:eastAsia="es-CR"/>
        </w:rPr>
        <w:t>ordinario</w:t>
      </w:r>
      <w:r w:rsidRPr="004E74A6">
        <w:rPr>
          <w:rFonts w:cs="Calibri"/>
          <w:color w:val="000000"/>
          <w:szCs w:val="24"/>
          <w:lang w:eastAsia="es-CR"/>
        </w:rPr>
        <w:t xml:space="preserve">”. </w:t>
      </w:r>
    </w:p>
    <w:p w14:paraId="528032A0" w14:textId="22927462" w:rsidR="00F0204A" w:rsidRPr="004E74A6" w:rsidRDefault="00F0204A">
      <w:pPr>
        <w:spacing w:after="160" w:line="276" w:lineRule="auto"/>
        <w:rPr>
          <w:rFonts w:cs="Calibri"/>
          <w:color w:val="000000"/>
          <w:szCs w:val="24"/>
          <w:lang w:eastAsia="es-CR"/>
        </w:rPr>
      </w:pPr>
    </w:p>
    <w:p w14:paraId="67879E3A" w14:textId="158E93FC" w:rsidR="00F0204A" w:rsidRPr="004E74A6" w:rsidRDefault="00F0204A">
      <w:pPr>
        <w:spacing w:after="160" w:line="276" w:lineRule="auto"/>
        <w:rPr>
          <w:rFonts w:cs="Calibri"/>
          <w:color w:val="000000"/>
          <w:szCs w:val="24"/>
          <w:lang w:eastAsia="es-CR"/>
        </w:rPr>
      </w:pPr>
    </w:p>
    <w:p w14:paraId="19CFF8D9" w14:textId="35CBEA99" w:rsidR="00F0204A" w:rsidRPr="004E74A6" w:rsidRDefault="00F0204A">
      <w:pPr>
        <w:spacing w:after="160" w:line="276" w:lineRule="auto"/>
        <w:rPr>
          <w:rFonts w:cs="Calibri"/>
          <w:color w:val="000000"/>
          <w:szCs w:val="24"/>
          <w:lang w:eastAsia="es-CR"/>
        </w:rPr>
      </w:pPr>
    </w:p>
    <w:p w14:paraId="6AF3CDEA" w14:textId="722F1D58" w:rsidR="00F0204A" w:rsidRPr="004E74A6" w:rsidRDefault="00F0204A">
      <w:pPr>
        <w:spacing w:after="160" w:line="276" w:lineRule="auto"/>
        <w:rPr>
          <w:rFonts w:cs="Calibri"/>
          <w:color w:val="000000"/>
          <w:szCs w:val="24"/>
          <w:lang w:eastAsia="es-CR"/>
        </w:rPr>
      </w:pPr>
    </w:p>
    <w:p w14:paraId="14859E20" w14:textId="369A6D28" w:rsidR="00F0204A" w:rsidRPr="004E74A6" w:rsidRDefault="00F0204A">
      <w:pPr>
        <w:spacing w:after="160" w:line="276" w:lineRule="auto"/>
        <w:rPr>
          <w:rFonts w:cs="Calibri"/>
          <w:color w:val="000000"/>
          <w:szCs w:val="24"/>
          <w:lang w:eastAsia="es-CR"/>
        </w:rPr>
      </w:pPr>
    </w:p>
    <w:p w14:paraId="5D5A5B6A" w14:textId="424118D6" w:rsidR="00F0204A" w:rsidRPr="004E74A6" w:rsidRDefault="00F0204A">
      <w:pPr>
        <w:spacing w:after="160" w:line="276" w:lineRule="auto"/>
        <w:rPr>
          <w:rFonts w:cs="Calibri"/>
          <w:color w:val="000000"/>
          <w:szCs w:val="24"/>
          <w:lang w:eastAsia="es-CR"/>
        </w:rPr>
      </w:pPr>
    </w:p>
    <w:p w14:paraId="5662A527" w14:textId="2B5ECCF2" w:rsidR="00F0204A" w:rsidRDefault="00F0204A">
      <w:pPr>
        <w:spacing w:after="160" w:line="276" w:lineRule="auto"/>
        <w:rPr>
          <w:rFonts w:cs="Calibri"/>
          <w:color w:val="000000"/>
          <w:szCs w:val="24"/>
          <w:lang w:eastAsia="es-CR"/>
        </w:rPr>
      </w:pPr>
    </w:p>
    <w:p w14:paraId="6EE9382D" w14:textId="77777777" w:rsidR="004E4F14" w:rsidRPr="004E74A6" w:rsidRDefault="004E4F14">
      <w:pPr>
        <w:spacing w:after="160" w:line="276" w:lineRule="auto"/>
        <w:rPr>
          <w:rFonts w:cs="Calibri"/>
          <w:color w:val="000000"/>
          <w:szCs w:val="24"/>
          <w:lang w:eastAsia="es-CR"/>
        </w:rPr>
      </w:pPr>
    </w:p>
    <w:p w14:paraId="4C9826D6" w14:textId="77777777" w:rsidR="00662185" w:rsidRPr="004E74A6" w:rsidRDefault="00662185" w:rsidP="00CE62C1">
      <w:pPr>
        <w:spacing w:after="160" w:line="276" w:lineRule="auto"/>
        <w:rPr>
          <w:rFonts w:cs="Calibri"/>
          <w:color w:val="000000"/>
          <w:szCs w:val="24"/>
          <w:lang w:eastAsia="es-CR"/>
        </w:rPr>
      </w:pPr>
    </w:p>
    <w:p w14:paraId="46F2DDE5" w14:textId="041D1581" w:rsidR="00D62A98" w:rsidRDefault="00D62A98" w:rsidP="00F0204A">
      <w:pPr>
        <w:pStyle w:val="Descripcin"/>
        <w:keepNext/>
        <w:spacing w:line="276" w:lineRule="auto"/>
        <w:jc w:val="center"/>
        <w:rPr>
          <w:rFonts w:ascii="Book Antiqua" w:hAnsi="Book Antiqua"/>
          <w:i/>
          <w:iCs/>
          <w:sz w:val="20"/>
          <w:szCs w:val="16"/>
          <w:lang w:val="es-CR"/>
        </w:rPr>
      </w:pPr>
      <w:r w:rsidRPr="00832773">
        <w:rPr>
          <w:rFonts w:ascii="Book Antiqua" w:hAnsi="Book Antiqua"/>
          <w:i/>
          <w:iCs/>
          <w:sz w:val="20"/>
          <w:szCs w:val="16"/>
          <w:lang w:val="es-CR"/>
        </w:rPr>
        <w:lastRenderedPageBreak/>
        <w:t xml:space="preserve">Tabla </w:t>
      </w:r>
      <w:r w:rsidRPr="00832773">
        <w:rPr>
          <w:rFonts w:ascii="Book Antiqua" w:hAnsi="Book Antiqua"/>
          <w:i/>
          <w:iCs/>
          <w:sz w:val="20"/>
          <w:szCs w:val="16"/>
          <w:lang w:val="es-CR"/>
        </w:rPr>
        <w:fldChar w:fldCharType="begin"/>
      </w:r>
      <w:r w:rsidRPr="00832773">
        <w:rPr>
          <w:rFonts w:ascii="Book Antiqua" w:hAnsi="Book Antiqua"/>
          <w:i/>
          <w:iCs/>
          <w:sz w:val="20"/>
          <w:szCs w:val="16"/>
          <w:lang w:val="es-CR"/>
        </w:rPr>
        <w:instrText xml:space="preserve"> SEQ Tabla \* ARABIC </w:instrText>
      </w:r>
      <w:r w:rsidRPr="00832773">
        <w:rPr>
          <w:rFonts w:ascii="Book Antiqua" w:hAnsi="Book Antiqua"/>
          <w:i/>
          <w:iCs/>
          <w:sz w:val="20"/>
          <w:szCs w:val="16"/>
          <w:lang w:val="es-CR"/>
        </w:rPr>
        <w:fldChar w:fldCharType="separate"/>
      </w:r>
      <w:r w:rsidR="00374B51">
        <w:rPr>
          <w:rFonts w:ascii="Book Antiqua" w:hAnsi="Book Antiqua"/>
          <w:i/>
          <w:iCs/>
          <w:noProof/>
          <w:sz w:val="20"/>
          <w:szCs w:val="16"/>
          <w:lang w:val="es-CR"/>
        </w:rPr>
        <w:t>39</w:t>
      </w:r>
      <w:r w:rsidRPr="00832773">
        <w:rPr>
          <w:rFonts w:ascii="Book Antiqua" w:hAnsi="Book Antiqua"/>
          <w:i/>
          <w:iCs/>
          <w:sz w:val="20"/>
          <w:szCs w:val="16"/>
          <w:lang w:val="es-CR"/>
        </w:rPr>
        <w:fldChar w:fldCharType="end"/>
      </w:r>
      <w:r w:rsidRPr="00832773">
        <w:rPr>
          <w:rFonts w:ascii="Book Antiqua" w:hAnsi="Book Antiqua"/>
          <w:i/>
          <w:iCs/>
          <w:sz w:val="20"/>
          <w:szCs w:val="16"/>
          <w:lang w:val="es-CR"/>
        </w:rPr>
        <w:t xml:space="preserve"> Cantidad de asuntos ordinarios según procedimiento del 2019 al 2021 para el Tribunal Colegiado de Primera Instancia Civil Puntarenas</w:t>
      </w:r>
    </w:p>
    <w:p w14:paraId="6ACEB2C7" w14:textId="77777777" w:rsidR="004E4F14" w:rsidRPr="004E4F14" w:rsidRDefault="004E4F14" w:rsidP="004E4F14"/>
    <w:tbl>
      <w:tblPr>
        <w:tblW w:w="4998" w:type="pct"/>
        <w:jc w:val="center"/>
        <w:tblCellMar>
          <w:left w:w="70" w:type="dxa"/>
          <w:right w:w="70" w:type="dxa"/>
        </w:tblCellMar>
        <w:tblLook w:val="04A0" w:firstRow="1" w:lastRow="0" w:firstColumn="1" w:lastColumn="0" w:noHBand="0" w:noVBand="1"/>
      </w:tblPr>
      <w:tblGrid>
        <w:gridCol w:w="5211"/>
        <w:gridCol w:w="836"/>
        <w:gridCol w:w="836"/>
        <w:gridCol w:w="836"/>
        <w:gridCol w:w="1117"/>
      </w:tblGrid>
      <w:tr w:rsidR="008647ED" w:rsidRPr="004E74A6" w14:paraId="2F295C90" w14:textId="77777777" w:rsidTr="003E4755">
        <w:trPr>
          <w:trHeight w:val="454"/>
          <w:tblHeader/>
          <w:jc w:val="center"/>
        </w:trPr>
        <w:tc>
          <w:tcPr>
            <w:tcW w:w="2949" w:type="pct"/>
            <w:tcBorders>
              <w:top w:val="single" w:sz="4" w:space="0" w:color="auto"/>
              <w:left w:val="nil"/>
              <w:bottom w:val="single" w:sz="4" w:space="0" w:color="auto"/>
              <w:right w:val="single" w:sz="4" w:space="0" w:color="auto"/>
            </w:tcBorders>
            <w:shd w:val="clear" w:color="auto" w:fill="auto"/>
            <w:noWrap/>
            <w:vAlign w:val="center"/>
            <w:hideMark/>
          </w:tcPr>
          <w:p w14:paraId="1A7BA6ED"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Ordinario</w:t>
            </w:r>
          </w:p>
        </w:tc>
        <w:tc>
          <w:tcPr>
            <w:tcW w:w="47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4BF8DAB"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2019</w:t>
            </w:r>
          </w:p>
        </w:tc>
        <w:tc>
          <w:tcPr>
            <w:tcW w:w="47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3AA9C1C"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2020</w:t>
            </w:r>
          </w:p>
        </w:tc>
        <w:tc>
          <w:tcPr>
            <w:tcW w:w="47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333A07D"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2021</w:t>
            </w:r>
          </w:p>
        </w:tc>
        <w:tc>
          <w:tcPr>
            <w:tcW w:w="632" w:type="pct"/>
            <w:tcBorders>
              <w:top w:val="single" w:sz="4" w:space="0" w:color="auto"/>
              <w:left w:val="single" w:sz="4" w:space="0" w:color="auto"/>
              <w:bottom w:val="single" w:sz="4" w:space="0" w:color="auto"/>
              <w:right w:val="nil"/>
            </w:tcBorders>
            <w:shd w:val="clear" w:color="auto" w:fill="auto"/>
            <w:noWrap/>
            <w:vAlign w:val="center"/>
          </w:tcPr>
          <w:p w14:paraId="3EA0855F" w14:textId="58736E69" w:rsidR="008647ED" w:rsidRPr="004E74A6" w:rsidRDefault="00D62A98" w:rsidP="00CE62C1">
            <w:pPr>
              <w:spacing w:line="276" w:lineRule="auto"/>
              <w:jc w:val="center"/>
              <w:rPr>
                <w:rFonts w:cs="Calibri"/>
                <w:color w:val="000000"/>
                <w:sz w:val="20"/>
                <w:lang w:eastAsia="es-CR"/>
              </w:rPr>
            </w:pPr>
            <w:r w:rsidRPr="004E74A6">
              <w:rPr>
                <w:rFonts w:cs="Calibri"/>
                <w:color w:val="000000"/>
                <w:sz w:val="20"/>
                <w:lang w:eastAsia="es-CR"/>
              </w:rPr>
              <w:t>Promedio</w:t>
            </w:r>
          </w:p>
        </w:tc>
      </w:tr>
      <w:tr w:rsidR="008647ED" w:rsidRPr="004E74A6" w14:paraId="18ED29CC" w14:textId="77777777" w:rsidTr="003E4755">
        <w:trPr>
          <w:trHeight w:val="288"/>
          <w:jc w:val="center"/>
        </w:trPr>
        <w:tc>
          <w:tcPr>
            <w:tcW w:w="2949" w:type="pct"/>
            <w:tcBorders>
              <w:top w:val="single" w:sz="4" w:space="0" w:color="auto"/>
              <w:left w:val="nil"/>
              <w:bottom w:val="nil"/>
              <w:right w:val="single" w:sz="4" w:space="0" w:color="auto"/>
            </w:tcBorders>
            <w:shd w:val="clear" w:color="auto" w:fill="auto"/>
            <w:noWrap/>
            <w:vAlign w:val="center"/>
          </w:tcPr>
          <w:p w14:paraId="60D0CBFD" w14:textId="77777777" w:rsidR="008647ED" w:rsidRPr="004E74A6" w:rsidRDefault="008647ED" w:rsidP="00CE62C1">
            <w:pPr>
              <w:spacing w:line="276" w:lineRule="auto"/>
              <w:ind w:firstLineChars="200" w:firstLine="400"/>
              <w:jc w:val="center"/>
              <w:rPr>
                <w:rFonts w:cs="Calibri"/>
                <w:color w:val="000000"/>
                <w:sz w:val="20"/>
                <w:lang w:eastAsia="es-CR"/>
              </w:rPr>
            </w:pPr>
          </w:p>
        </w:tc>
        <w:tc>
          <w:tcPr>
            <w:tcW w:w="473" w:type="pct"/>
            <w:tcBorders>
              <w:top w:val="single" w:sz="4" w:space="0" w:color="auto"/>
              <w:left w:val="single" w:sz="4" w:space="0" w:color="auto"/>
              <w:bottom w:val="nil"/>
              <w:right w:val="single" w:sz="4" w:space="0" w:color="auto"/>
            </w:tcBorders>
            <w:shd w:val="clear" w:color="auto" w:fill="auto"/>
            <w:noWrap/>
            <w:vAlign w:val="center"/>
          </w:tcPr>
          <w:p w14:paraId="452E9448" w14:textId="77777777" w:rsidR="008647ED" w:rsidRPr="004E74A6" w:rsidRDefault="008647ED" w:rsidP="00CE62C1">
            <w:pPr>
              <w:spacing w:line="276" w:lineRule="auto"/>
              <w:jc w:val="center"/>
              <w:rPr>
                <w:sz w:val="20"/>
                <w:lang w:eastAsia="es-CR"/>
              </w:rPr>
            </w:pPr>
          </w:p>
        </w:tc>
        <w:tc>
          <w:tcPr>
            <w:tcW w:w="473" w:type="pct"/>
            <w:tcBorders>
              <w:top w:val="single" w:sz="4" w:space="0" w:color="auto"/>
              <w:left w:val="single" w:sz="4" w:space="0" w:color="auto"/>
              <w:bottom w:val="nil"/>
              <w:right w:val="single" w:sz="4" w:space="0" w:color="auto"/>
            </w:tcBorders>
            <w:shd w:val="clear" w:color="auto" w:fill="auto"/>
            <w:noWrap/>
            <w:vAlign w:val="center"/>
          </w:tcPr>
          <w:p w14:paraId="26FB7329" w14:textId="77777777" w:rsidR="008647ED" w:rsidRPr="004E74A6" w:rsidRDefault="008647ED" w:rsidP="00CE62C1">
            <w:pPr>
              <w:spacing w:line="276" w:lineRule="auto"/>
              <w:jc w:val="center"/>
              <w:rPr>
                <w:rFonts w:cs="Calibri"/>
                <w:color w:val="000000"/>
                <w:sz w:val="20"/>
                <w:lang w:eastAsia="es-CR"/>
              </w:rPr>
            </w:pPr>
          </w:p>
        </w:tc>
        <w:tc>
          <w:tcPr>
            <w:tcW w:w="473" w:type="pct"/>
            <w:tcBorders>
              <w:top w:val="single" w:sz="4" w:space="0" w:color="auto"/>
              <w:left w:val="single" w:sz="4" w:space="0" w:color="auto"/>
              <w:bottom w:val="nil"/>
              <w:right w:val="single" w:sz="4" w:space="0" w:color="auto"/>
            </w:tcBorders>
            <w:shd w:val="clear" w:color="auto" w:fill="auto"/>
            <w:noWrap/>
            <w:vAlign w:val="center"/>
          </w:tcPr>
          <w:p w14:paraId="177DC00B" w14:textId="77777777" w:rsidR="008647ED" w:rsidRPr="004E74A6" w:rsidRDefault="008647ED" w:rsidP="00CE62C1">
            <w:pPr>
              <w:spacing w:line="276" w:lineRule="auto"/>
              <w:jc w:val="center"/>
              <w:rPr>
                <w:rFonts w:cs="Calibri"/>
                <w:color w:val="000000"/>
                <w:sz w:val="20"/>
                <w:lang w:eastAsia="es-CR"/>
              </w:rPr>
            </w:pPr>
          </w:p>
        </w:tc>
        <w:tc>
          <w:tcPr>
            <w:tcW w:w="632" w:type="pct"/>
            <w:tcBorders>
              <w:top w:val="single" w:sz="4" w:space="0" w:color="auto"/>
              <w:left w:val="single" w:sz="4" w:space="0" w:color="auto"/>
              <w:bottom w:val="nil"/>
              <w:right w:val="nil"/>
            </w:tcBorders>
            <w:shd w:val="clear" w:color="auto" w:fill="auto"/>
            <w:noWrap/>
            <w:vAlign w:val="center"/>
          </w:tcPr>
          <w:p w14:paraId="4E3D18CC" w14:textId="77777777" w:rsidR="008647ED" w:rsidRPr="004E74A6" w:rsidRDefault="008647ED" w:rsidP="00CE62C1">
            <w:pPr>
              <w:spacing w:line="276" w:lineRule="auto"/>
              <w:jc w:val="center"/>
              <w:rPr>
                <w:rFonts w:cs="Calibri"/>
                <w:color w:val="000000"/>
                <w:sz w:val="20"/>
                <w:lang w:eastAsia="es-CR"/>
              </w:rPr>
            </w:pPr>
          </w:p>
        </w:tc>
      </w:tr>
      <w:tr w:rsidR="00F73190" w:rsidRPr="004E74A6" w14:paraId="19C28707" w14:textId="77777777" w:rsidTr="00B32800">
        <w:trPr>
          <w:trHeight w:val="288"/>
          <w:jc w:val="center"/>
        </w:trPr>
        <w:tc>
          <w:tcPr>
            <w:tcW w:w="2949" w:type="pct"/>
            <w:tcBorders>
              <w:top w:val="nil"/>
              <w:left w:val="nil"/>
              <w:bottom w:val="nil"/>
              <w:right w:val="single" w:sz="4" w:space="0" w:color="auto"/>
            </w:tcBorders>
            <w:shd w:val="clear" w:color="auto" w:fill="auto"/>
            <w:noWrap/>
            <w:vAlign w:val="center"/>
          </w:tcPr>
          <w:p w14:paraId="5D6928DC" w14:textId="77777777" w:rsidR="00F73190" w:rsidRPr="004E74A6" w:rsidRDefault="00F73190" w:rsidP="00CE62C1">
            <w:pPr>
              <w:spacing w:line="276" w:lineRule="auto"/>
              <w:jc w:val="center"/>
              <w:rPr>
                <w:rFonts w:cs="Calibri"/>
                <w:color w:val="000000"/>
                <w:sz w:val="20"/>
                <w:lang w:eastAsia="es-CR"/>
              </w:rPr>
            </w:pPr>
            <w:r w:rsidRPr="004E74A6">
              <w:rPr>
                <w:rFonts w:cs="Calibri"/>
                <w:color w:val="000000"/>
                <w:sz w:val="20"/>
                <w:lang w:eastAsia="es-CR"/>
              </w:rPr>
              <w:t>Total</w:t>
            </w:r>
          </w:p>
        </w:tc>
        <w:tc>
          <w:tcPr>
            <w:tcW w:w="473" w:type="pct"/>
            <w:tcBorders>
              <w:top w:val="nil"/>
              <w:left w:val="single" w:sz="4" w:space="0" w:color="auto"/>
              <w:bottom w:val="nil"/>
              <w:right w:val="single" w:sz="4" w:space="0" w:color="auto"/>
            </w:tcBorders>
            <w:shd w:val="clear" w:color="auto" w:fill="auto"/>
            <w:noWrap/>
            <w:vAlign w:val="bottom"/>
          </w:tcPr>
          <w:p w14:paraId="26517124" w14:textId="37AFC724" w:rsidR="00F73190" w:rsidRPr="004E74A6" w:rsidRDefault="00F73190" w:rsidP="00CE62C1">
            <w:pPr>
              <w:spacing w:line="276" w:lineRule="auto"/>
              <w:jc w:val="center"/>
              <w:rPr>
                <w:sz w:val="20"/>
                <w:lang w:eastAsia="es-CR"/>
              </w:rPr>
            </w:pPr>
            <w:r w:rsidRPr="004E74A6">
              <w:rPr>
                <w:rFonts w:cs="Calibri"/>
                <w:color w:val="000000"/>
                <w:sz w:val="20"/>
              </w:rPr>
              <w:t>107</w:t>
            </w:r>
          </w:p>
        </w:tc>
        <w:tc>
          <w:tcPr>
            <w:tcW w:w="473" w:type="pct"/>
            <w:tcBorders>
              <w:top w:val="nil"/>
              <w:left w:val="single" w:sz="4" w:space="0" w:color="auto"/>
              <w:bottom w:val="nil"/>
              <w:right w:val="single" w:sz="4" w:space="0" w:color="auto"/>
            </w:tcBorders>
            <w:shd w:val="clear" w:color="auto" w:fill="auto"/>
            <w:noWrap/>
            <w:vAlign w:val="bottom"/>
          </w:tcPr>
          <w:p w14:paraId="1D6E372A" w14:textId="1BAB484C" w:rsidR="00F73190" w:rsidRPr="004E74A6" w:rsidRDefault="00F73190" w:rsidP="00CE62C1">
            <w:pPr>
              <w:spacing w:line="276" w:lineRule="auto"/>
              <w:jc w:val="center"/>
              <w:rPr>
                <w:rFonts w:cs="Calibri"/>
                <w:color w:val="000000"/>
                <w:sz w:val="20"/>
                <w:lang w:eastAsia="es-CR"/>
              </w:rPr>
            </w:pPr>
            <w:r w:rsidRPr="004E74A6">
              <w:rPr>
                <w:rFonts w:cs="Calibri"/>
                <w:color w:val="000000"/>
                <w:sz w:val="20"/>
              </w:rPr>
              <w:t>108</w:t>
            </w:r>
          </w:p>
        </w:tc>
        <w:tc>
          <w:tcPr>
            <w:tcW w:w="473" w:type="pct"/>
            <w:tcBorders>
              <w:top w:val="nil"/>
              <w:left w:val="single" w:sz="4" w:space="0" w:color="auto"/>
              <w:bottom w:val="nil"/>
              <w:right w:val="single" w:sz="4" w:space="0" w:color="auto"/>
            </w:tcBorders>
            <w:shd w:val="clear" w:color="auto" w:fill="auto"/>
            <w:noWrap/>
            <w:vAlign w:val="bottom"/>
          </w:tcPr>
          <w:p w14:paraId="28470BDE" w14:textId="7072CBE5" w:rsidR="00F73190" w:rsidRPr="004E74A6" w:rsidRDefault="00F73190" w:rsidP="00CE62C1">
            <w:pPr>
              <w:spacing w:line="276" w:lineRule="auto"/>
              <w:jc w:val="center"/>
              <w:rPr>
                <w:rFonts w:cs="Calibri"/>
                <w:color w:val="000000"/>
                <w:sz w:val="20"/>
                <w:lang w:eastAsia="es-CR"/>
              </w:rPr>
            </w:pPr>
            <w:r w:rsidRPr="004E74A6">
              <w:rPr>
                <w:rFonts w:cs="Calibri"/>
                <w:color w:val="000000"/>
                <w:sz w:val="20"/>
              </w:rPr>
              <w:t>118</w:t>
            </w:r>
          </w:p>
        </w:tc>
        <w:tc>
          <w:tcPr>
            <w:tcW w:w="632" w:type="pct"/>
            <w:tcBorders>
              <w:top w:val="nil"/>
              <w:left w:val="single" w:sz="4" w:space="0" w:color="auto"/>
              <w:bottom w:val="nil"/>
              <w:right w:val="nil"/>
            </w:tcBorders>
            <w:shd w:val="clear" w:color="auto" w:fill="auto"/>
            <w:noWrap/>
            <w:vAlign w:val="bottom"/>
          </w:tcPr>
          <w:p w14:paraId="489F13AC" w14:textId="013E79D6" w:rsidR="00F73190" w:rsidRPr="004E74A6" w:rsidRDefault="00F73190" w:rsidP="00CE62C1">
            <w:pPr>
              <w:spacing w:line="276" w:lineRule="auto"/>
              <w:jc w:val="center"/>
              <w:rPr>
                <w:rFonts w:cs="Calibri"/>
                <w:color w:val="000000"/>
                <w:sz w:val="20"/>
                <w:lang w:eastAsia="es-CR"/>
              </w:rPr>
            </w:pPr>
            <w:r w:rsidRPr="004E74A6">
              <w:rPr>
                <w:rFonts w:cs="Calibri"/>
                <w:color w:val="000000"/>
                <w:sz w:val="20"/>
              </w:rPr>
              <w:t>111</w:t>
            </w:r>
          </w:p>
        </w:tc>
      </w:tr>
      <w:tr w:rsidR="00D62A98" w:rsidRPr="004E74A6" w14:paraId="4391AEBC" w14:textId="77777777" w:rsidTr="003E4755">
        <w:trPr>
          <w:trHeight w:val="288"/>
          <w:jc w:val="center"/>
        </w:trPr>
        <w:tc>
          <w:tcPr>
            <w:tcW w:w="2949" w:type="pct"/>
            <w:tcBorders>
              <w:top w:val="nil"/>
              <w:left w:val="nil"/>
              <w:bottom w:val="nil"/>
              <w:right w:val="single" w:sz="4" w:space="0" w:color="auto"/>
            </w:tcBorders>
            <w:shd w:val="clear" w:color="auto" w:fill="auto"/>
            <w:noWrap/>
            <w:vAlign w:val="bottom"/>
          </w:tcPr>
          <w:p w14:paraId="56C2CD57" w14:textId="77777777" w:rsidR="00D62A98" w:rsidRPr="004E74A6" w:rsidRDefault="00D62A98" w:rsidP="00CE62C1">
            <w:pPr>
              <w:spacing w:line="276" w:lineRule="auto"/>
              <w:ind w:firstLineChars="200" w:firstLine="400"/>
              <w:jc w:val="left"/>
              <w:rPr>
                <w:rFonts w:cs="Calibri"/>
                <w:color w:val="000000"/>
                <w:sz w:val="20"/>
                <w:lang w:eastAsia="es-CR"/>
              </w:rPr>
            </w:pPr>
          </w:p>
        </w:tc>
        <w:tc>
          <w:tcPr>
            <w:tcW w:w="473" w:type="pct"/>
            <w:tcBorders>
              <w:top w:val="nil"/>
              <w:left w:val="single" w:sz="4" w:space="0" w:color="auto"/>
              <w:bottom w:val="nil"/>
              <w:right w:val="single" w:sz="4" w:space="0" w:color="auto"/>
            </w:tcBorders>
            <w:shd w:val="clear" w:color="auto" w:fill="auto"/>
            <w:noWrap/>
            <w:vAlign w:val="center"/>
          </w:tcPr>
          <w:p w14:paraId="0A4C6C7C" w14:textId="77777777" w:rsidR="00D62A98" w:rsidRPr="004E74A6" w:rsidRDefault="00D62A98" w:rsidP="00CE62C1">
            <w:pPr>
              <w:spacing w:line="276" w:lineRule="auto"/>
              <w:jc w:val="center"/>
              <w:rPr>
                <w:sz w:val="20"/>
                <w:lang w:eastAsia="es-CR"/>
              </w:rPr>
            </w:pPr>
          </w:p>
        </w:tc>
        <w:tc>
          <w:tcPr>
            <w:tcW w:w="473" w:type="pct"/>
            <w:tcBorders>
              <w:top w:val="nil"/>
              <w:left w:val="single" w:sz="4" w:space="0" w:color="auto"/>
              <w:bottom w:val="nil"/>
              <w:right w:val="single" w:sz="4" w:space="0" w:color="auto"/>
            </w:tcBorders>
            <w:shd w:val="clear" w:color="auto" w:fill="auto"/>
            <w:noWrap/>
            <w:vAlign w:val="center"/>
          </w:tcPr>
          <w:p w14:paraId="30EA7769" w14:textId="77777777" w:rsidR="00D62A98" w:rsidRPr="004E74A6" w:rsidRDefault="00D62A98" w:rsidP="00CE62C1">
            <w:pPr>
              <w:spacing w:line="276" w:lineRule="auto"/>
              <w:jc w:val="center"/>
              <w:rPr>
                <w:rFonts w:cs="Calibri"/>
                <w:color w:val="000000"/>
                <w:sz w:val="20"/>
                <w:lang w:eastAsia="es-CR"/>
              </w:rPr>
            </w:pPr>
          </w:p>
        </w:tc>
        <w:tc>
          <w:tcPr>
            <w:tcW w:w="473" w:type="pct"/>
            <w:tcBorders>
              <w:top w:val="nil"/>
              <w:left w:val="single" w:sz="4" w:space="0" w:color="auto"/>
              <w:bottom w:val="nil"/>
              <w:right w:val="single" w:sz="4" w:space="0" w:color="auto"/>
            </w:tcBorders>
            <w:shd w:val="clear" w:color="auto" w:fill="auto"/>
            <w:noWrap/>
            <w:vAlign w:val="center"/>
          </w:tcPr>
          <w:p w14:paraId="2DF3D0FC" w14:textId="77777777" w:rsidR="00D62A98" w:rsidRPr="004E74A6" w:rsidRDefault="00D62A98" w:rsidP="00CE62C1">
            <w:pPr>
              <w:spacing w:line="276" w:lineRule="auto"/>
              <w:jc w:val="center"/>
              <w:rPr>
                <w:rFonts w:cs="Calibri"/>
                <w:color w:val="000000"/>
                <w:sz w:val="20"/>
                <w:lang w:eastAsia="es-CR"/>
              </w:rPr>
            </w:pPr>
          </w:p>
        </w:tc>
        <w:tc>
          <w:tcPr>
            <w:tcW w:w="632" w:type="pct"/>
            <w:tcBorders>
              <w:top w:val="nil"/>
              <w:left w:val="single" w:sz="4" w:space="0" w:color="auto"/>
              <w:bottom w:val="nil"/>
              <w:right w:val="nil"/>
            </w:tcBorders>
            <w:shd w:val="clear" w:color="auto" w:fill="auto"/>
            <w:noWrap/>
            <w:vAlign w:val="center"/>
          </w:tcPr>
          <w:p w14:paraId="7DA52537" w14:textId="77777777" w:rsidR="00D62A98" w:rsidRPr="004E74A6" w:rsidRDefault="00D62A98" w:rsidP="00CE62C1">
            <w:pPr>
              <w:spacing w:line="276" w:lineRule="auto"/>
              <w:jc w:val="center"/>
              <w:rPr>
                <w:rFonts w:cs="Calibri"/>
                <w:color w:val="000000"/>
                <w:sz w:val="20"/>
                <w:lang w:eastAsia="es-CR"/>
              </w:rPr>
            </w:pPr>
          </w:p>
        </w:tc>
      </w:tr>
      <w:tr w:rsidR="00F73190" w:rsidRPr="004E74A6" w14:paraId="49FEECA4" w14:textId="77777777" w:rsidTr="00B32800">
        <w:trPr>
          <w:trHeight w:val="288"/>
          <w:jc w:val="center"/>
        </w:trPr>
        <w:tc>
          <w:tcPr>
            <w:tcW w:w="2949" w:type="pct"/>
            <w:tcBorders>
              <w:top w:val="nil"/>
              <w:left w:val="nil"/>
              <w:bottom w:val="nil"/>
              <w:right w:val="single" w:sz="4" w:space="0" w:color="auto"/>
            </w:tcBorders>
            <w:shd w:val="clear" w:color="auto" w:fill="auto"/>
            <w:noWrap/>
            <w:vAlign w:val="bottom"/>
            <w:hideMark/>
          </w:tcPr>
          <w:p w14:paraId="22BC79F9" w14:textId="77777777" w:rsidR="00F73190" w:rsidRPr="004E74A6" w:rsidRDefault="00F73190" w:rsidP="00CE62C1">
            <w:pPr>
              <w:spacing w:line="276" w:lineRule="auto"/>
              <w:ind w:firstLineChars="200" w:firstLine="400"/>
              <w:jc w:val="left"/>
              <w:rPr>
                <w:rFonts w:cs="Calibri"/>
                <w:color w:val="000000"/>
                <w:sz w:val="20"/>
                <w:lang w:eastAsia="es-CR"/>
              </w:rPr>
            </w:pPr>
            <w:r w:rsidRPr="004E74A6">
              <w:rPr>
                <w:rFonts w:cs="Calibri"/>
                <w:color w:val="000000"/>
                <w:sz w:val="20"/>
                <w:lang w:eastAsia="es-CR"/>
              </w:rPr>
              <w:t>Cambio De Nombre</w:t>
            </w:r>
          </w:p>
        </w:tc>
        <w:tc>
          <w:tcPr>
            <w:tcW w:w="473" w:type="pct"/>
            <w:tcBorders>
              <w:top w:val="nil"/>
              <w:left w:val="single" w:sz="4" w:space="0" w:color="auto"/>
              <w:bottom w:val="nil"/>
              <w:right w:val="single" w:sz="4" w:space="0" w:color="auto"/>
            </w:tcBorders>
            <w:shd w:val="clear" w:color="auto" w:fill="auto"/>
            <w:noWrap/>
            <w:vAlign w:val="bottom"/>
            <w:hideMark/>
          </w:tcPr>
          <w:p w14:paraId="33A00AC4" w14:textId="43618841" w:rsidR="00F73190" w:rsidRPr="004E74A6" w:rsidRDefault="00F73190" w:rsidP="00CE62C1">
            <w:pPr>
              <w:spacing w:line="276" w:lineRule="auto"/>
              <w:jc w:val="center"/>
              <w:rPr>
                <w:sz w:val="20"/>
                <w:lang w:eastAsia="es-CR"/>
              </w:rPr>
            </w:pPr>
            <w:r w:rsidRPr="004E74A6">
              <w:rPr>
                <w:rFonts w:cs="Calibri"/>
                <w:color w:val="000000"/>
                <w:sz w:val="20"/>
              </w:rPr>
              <w:t>0</w:t>
            </w:r>
          </w:p>
        </w:tc>
        <w:tc>
          <w:tcPr>
            <w:tcW w:w="473" w:type="pct"/>
            <w:tcBorders>
              <w:top w:val="nil"/>
              <w:left w:val="single" w:sz="4" w:space="0" w:color="auto"/>
              <w:bottom w:val="nil"/>
              <w:right w:val="single" w:sz="4" w:space="0" w:color="auto"/>
            </w:tcBorders>
            <w:shd w:val="clear" w:color="auto" w:fill="auto"/>
            <w:noWrap/>
            <w:vAlign w:val="bottom"/>
            <w:hideMark/>
          </w:tcPr>
          <w:p w14:paraId="1DC9DBB8" w14:textId="0FB5054D" w:rsidR="00F73190" w:rsidRPr="004E74A6" w:rsidRDefault="00F73190" w:rsidP="00CE62C1">
            <w:pPr>
              <w:spacing w:line="276" w:lineRule="auto"/>
              <w:jc w:val="center"/>
              <w:rPr>
                <w:sz w:val="20"/>
                <w:lang w:eastAsia="es-CR"/>
              </w:rPr>
            </w:pPr>
            <w:r w:rsidRPr="004E74A6">
              <w:rPr>
                <w:rFonts w:cs="Calibri"/>
                <w:color w:val="000000"/>
                <w:sz w:val="20"/>
              </w:rPr>
              <w:t>0</w:t>
            </w:r>
          </w:p>
        </w:tc>
        <w:tc>
          <w:tcPr>
            <w:tcW w:w="473" w:type="pct"/>
            <w:tcBorders>
              <w:top w:val="nil"/>
              <w:left w:val="single" w:sz="4" w:space="0" w:color="auto"/>
              <w:bottom w:val="nil"/>
              <w:right w:val="single" w:sz="4" w:space="0" w:color="auto"/>
            </w:tcBorders>
            <w:shd w:val="clear" w:color="auto" w:fill="auto"/>
            <w:noWrap/>
            <w:vAlign w:val="bottom"/>
            <w:hideMark/>
          </w:tcPr>
          <w:p w14:paraId="63FEE581" w14:textId="408A066D" w:rsidR="00F73190" w:rsidRPr="004E74A6" w:rsidRDefault="00F73190" w:rsidP="00CE62C1">
            <w:pPr>
              <w:spacing w:line="276" w:lineRule="auto"/>
              <w:jc w:val="center"/>
              <w:rPr>
                <w:rFonts w:cs="Calibri"/>
                <w:color w:val="000000"/>
                <w:sz w:val="20"/>
                <w:lang w:eastAsia="es-CR"/>
              </w:rPr>
            </w:pPr>
            <w:r w:rsidRPr="004E74A6">
              <w:rPr>
                <w:rFonts w:cs="Calibri"/>
                <w:color w:val="000000"/>
                <w:sz w:val="20"/>
              </w:rPr>
              <w:t>1</w:t>
            </w:r>
          </w:p>
        </w:tc>
        <w:tc>
          <w:tcPr>
            <w:tcW w:w="632" w:type="pct"/>
            <w:tcBorders>
              <w:top w:val="nil"/>
              <w:left w:val="single" w:sz="4" w:space="0" w:color="auto"/>
              <w:bottom w:val="nil"/>
              <w:right w:val="nil"/>
            </w:tcBorders>
            <w:shd w:val="clear" w:color="auto" w:fill="auto"/>
            <w:noWrap/>
            <w:vAlign w:val="bottom"/>
            <w:hideMark/>
          </w:tcPr>
          <w:p w14:paraId="44B76087" w14:textId="5362272F" w:rsidR="00F73190" w:rsidRPr="004E74A6" w:rsidRDefault="00F73190" w:rsidP="00CE62C1">
            <w:pPr>
              <w:spacing w:line="276" w:lineRule="auto"/>
              <w:jc w:val="center"/>
              <w:rPr>
                <w:rFonts w:cs="Calibri"/>
                <w:color w:val="000000"/>
                <w:sz w:val="20"/>
                <w:lang w:eastAsia="es-CR"/>
              </w:rPr>
            </w:pPr>
            <w:r w:rsidRPr="004E74A6">
              <w:rPr>
                <w:rFonts w:cs="Calibri"/>
                <w:color w:val="000000"/>
                <w:sz w:val="20"/>
              </w:rPr>
              <w:t>0,3</w:t>
            </w:r>
          </w:p>
        </w:tc>
      </w:tr>
      <w:tr w:rsidR="00F73190" w:rsidRPr="004E74A6" w14:paraId="7B32E132" w14:textId="77777777" w:rsidTr="00B32800">
        <w:trPr>
          <w:trHeight w:val="288"/>
          <w:jc w:val="center"/>
        </w:trPr>
        <w:tc>
          <w:tcPr>
            <w:tcW w:w="2949" w:type="pct"/>
            <w:tcBorders>
              <w:top w:val="nil"/>
              <w:left w:val="nil"/>
              <w:bottom w:val="nil"/>
              <w:right w:val="single" w:sz="4" w:space="0" w:color="auto"/>
            </w:tcBorders>
            <w:shd w:val="clear" w:color="auto" w:fill="auto"/>
            <w:noWrap/>
            <w:vAlign w:val="bottom"/>
            <w:hideMark/>
          </w:tcPr>
          <w:p w14:paraId="53C92200" w14:textId="77777777" w:rsidR="00F73190" w:rsidRPr="004E74A6" w:rsidRDefault="00F73190" w:rsidP="00CE62C1">
            <w:pPr>
              <w:spacing w:line="276" w:lineRule="auto"/>
              <w:ind w:firstLineChars="200" w:firstLine="400"/>
              <w:jc w:val="left"/>
              <w:rPr>
                <w:rFonts w:cs="Calibri"/>
                <w:color w:val="000000"/>
                <w:sz w:val="20"/>
                <w:lang w:eastAsia="es-CR"/>
              </w:rPr>
            </w:pPr>
            <w:r w:rsidRPr="004E74A6">
              <w:rPr>
                <w:rFonts w:cs="Calibri"/>
                <w:color w:val="000000"/>
                <w:sz w:val="20"/>
                <w:lang w:eastAsia="es-CR"/>
              </w:rPr>
              <w:t>Ejecución De Sentencia</w:t>
            </w:r>
          </w:p>
        </w:tc>
        <w:tc>
          <w:tcPr>
            <w:tcW w:w="473" w:type="pct"/>
            <w:tcBorders>
              <w:top w:val="nil"/>
              <w:left w:val="single" w:sz="4" w:space="0" w:color="auto"/>
              <w:bottom w:val="nil"/>
              <w:right w:val="single" w:sz="4" w:space="0" w:color="auto"/>
            </w:tcBorders>
            <w:shd w:val="clear" w:color="auto" w:fill="auto"/>
            <w:noWrap/>
            <w:vAlign w:val="bottom"/>
            <w:hideMark/>
          </w:tcPr>
          <w:p w14:paraId="662A2C58" w14:textId="6BA4C69E" w:rsidR="00F73190" w:rsidRPr="004E74A6" w:rsidRDefault="00F73190" w:rsidP="00CE62C1">
            <w:pPr>
              <w:spacing w:line="276" w:lineRule="auto"/>
              <w:jc w:val="center"/>
              <w:rPr>
                <w:rFonts w:cs="Calibri"/>
                <w:color w:val="000000"/>
                <w:sz w:val="20"/>
                <w:lang w:eastAsia="es-CR"/>
              </w:rPr>
            </w:pPr>
            <w:r w:rsidRPr="004E74A6">
              <w:rPr>
                <w:rFonts w:cs="Calibri"/>
                <w:color w:val="000000"/>
                <w:sz w:val="20"/>
              </w:rPr>
              <w:t>1</w:t>
            </w:r>
          </w:p>
        </w:tc>
        <w:tc>
          <w:tcPr>
            <w:tcW w:w="473" w:type="pct"/>
            <w:tcBorders>
              <w:top w:val="nil"/>
              <w:left w:val="single" w:sz="4" w:space="0" w:color="auto"/>
              <w:bottom w:val="nil"/>
              <w:right w:val="single" w:sz="4" w:space="0" w:color="auto"/>
            </w:tcBorders>
            <w:shd w:val="clear" w:color="auto" w:fill="auto"/>
            <w:noWrap/>
            <w:vAlign w:val="bottom"/>
            <w:hideMark/>
          </w:tcPr>
          <w:p w14:paraId="7AF41DB5" w14:textId="4E0E308E" w:rsidR="00F73190" w:rsidRPr="004E74A6" w:rsidRDefault="00F73190" w:rsidP="00CE62C1">
            <w:pPr>
              <w:spacing w:line="276" w:lineRule="auto"/>
              <w:jc w:val="center"/>
              <w:rPr>
                <w:rFonts w:cs="Calibri"/>
                <w:color w:val="000000"/>
                <w:sz w:val="20"/>
                <w:lang w:eastAsia="es-CR"/>
              </w:rPr>
            </w:pPr>
            <w:r w:rsidRPr="004E74A6">
              <w:rPr>
                <w:rFonts w:cs="Calibri"/>
                <w:color w:val="000000"/>
                <w:sz w:val="20"/>
              </w:rPr>
              <w:t>2</w:t>
            </w:r>
          </w:p>
        </w:tc>
        <w:tc>
          <w:tcPr>
            <w:tcW w:w="473" w:type="pct"/>
            <w:tcBorders>
              <w:top w:val="nil"/>
              <w:left w:val="single" w:sz="4" w:space="0" w:color="auto"/>
              <w:bottom w:val="nil"/>
              <w:right w:val="single" w:sz="4" w:space="0" w:color="auto"/>
            </w:tcBorders>
            <w:shd w:val="clear" w:color="auto" w:fill="auto"/>
            <w:noWrap/>
            <w:vAlign w:val="bottom"/>
            <w:hideMark/>
          </w:tcPr>
          <w:p w14:paraId="02249E9F" w14:textId="187305FD" w:rsidR="00F73190" w:rsidRPr="004E74A6" w:rsidRDefault="00F73190" w:rsidP="00CE62C1">
            <w:pPr>
              <w:spacing w:line="276" w:lineRule="auto"/>
              <w:jc w:val="center"/>
              <w:rPr>
                <w:rFonts w:cs="Calibri"/>
                <w:color w:val="000000"/>
                <w:sz w:val="20"/>
                <w:lang w:eastAsia="es-CR"/>
              </w:rPr>
            </w:pPr>
            <w:r w:rsidRPr="004E74A6">
              <w:rPr>
                <w:rFonts w:cs="Calibri"/>
                <w:color w:val="000000"/>
                <w:sz w:val="20"/>
              </w:rPr>
              <w:t>1</w:t>
            </w:r>
          </w:p>
        </w:tc>
        <w:tc>
          <w:tcPr>
            <w:tcW w:w="632" w:type="pct"/>
            <w:tcBorders>
              <w:top w:val="nil"/>
              <w:left w:val="single" w:sz="4" w:space="0" w:color="auto"/>
              <w:bottom w:val="nil"/>
              <w:right w:val="nil"/>
            </w:tcBorders>
            <w:shd w:val="clear" w:color="auto" w:fill="auto"/>
            <w:noWrap/>
            <w:vAlign w:val="bottom"/>
            <w:hideMark/>
          </w:tcPr>
          <w:p w14:paraId="51E5E299" w14:textId="5BDA4EF3" w:rsidR="00F73190" w:rsidRPr="004E74A6" w:rsidRDefault="00F73190" w:rsidP="00CE62C1">
            <w:pPr>
              <w:spacing w:line="276" w:lineRule="auto"/>
              <w:jc w:val="center"/>
              <w:rPr>
                <w:rFonts w:cs="Calibri"/>
                <w:color w:val="000000"/>
                <w:sz w:val="20"/>
                <w:lang w:eastAsia="es-CR"/>
              </w:rPr>
            </w:pPr>
            <w:r w:rsidRPr="004E74A6">
              <w:rPr>
                <w:rFonts w:cs="Calibri"/>
                <w:color w:val="000000"/>
                <w:sz w:val="20"/>
              </w:rPr>
              <w:t>1</w:t>
            </w:r>
          </w:p>
        </w:tc>
      </w:tr>
      <w:tr w:rsidR="00F73190" w:rsidRPr="004E74A6" w14:paraId="26B47659" w14:textId="77777777" w:rsidTr="00B32800">
        <w:trPr>
          <w:trHeight w:val="288"/>
          <w:jc w:val="center"/>
        </w:trPr>
        <w:tc>
          <w:tcPr>
            <w:tcW w:w="2949" w:type="pct"/>
            <w:tcBorders>
              <w:top w:val="nil"/>
              <w:left w:val="nil"/>
              <w:bottom w:val="nil"/>
              <w:right w:val="single" w:sz="4" w:space="0" w:color="auto"/>
            </w:tcBorders>
            <w:shd w:val="clear" w:color="auto" w:fill="auto"/>
            <w:noWrap/>
            <w:vAlign w:val="bottom"/>
            <w:hideMark/>
          </w:tcPr>
          <w:p w14:paraId="69F6354C" w14:textId="77777777" w:rsidR="00F73190" w:rsidRPr="004E74A6" w:rsidRDefault="00F73190" w:rsidP="00CE62C1">
            <w:pPr>
              <w:spacing w:line="276" w:lineRule="auto"/>
              <w:ind w:firstLineChars="200" w:firstLine="400"/>
              <w:jc w:val="left"/>
              <w:rPr>
                <w:rFonts w:cs="Calibri"/>
                <w:color w:val="000000"/>
                <w:sz w:val="20"/>
                <w:lang w:eastAsia="es-CR"/>
              </w:rPr>
            </w:pPr>
            <w:r w:rsidRPr="004E74A6">
              <w:rPr>
                <w:rFonts w:cs="Calibri"/>
                <w:color w:val="000000"/>
                <w:sz w:val="20"/>
                <w:lang w:eastAsia="es-CR"/>
              </w:rPr>
              <w:t>Embargo Preventivo</w:t>
            </w:r>
          </w:p>
        </w:tc>
        <w:tc>
          <w:tcPr>
            <w:tcW w:w="473" w:type="pct"/>
            <w:tcBorders>
              <w:top w:val="nil"/>
              <w:left w:val="single" w:sz="4" w:space="0" w:color="auto"/>
              <w:bottom w:val="nil"/>
              <w:right w:val="single" w:sz="4" w:space="0" w:color="auto"/>
            </w:tcBorders>
            <w:shd w:val="clear" w:color="auto" w:fill="auto"/>
            <w:noWrap/>
            <w:vAlign w:val="bottom"/>
            <w:hideMark/>
          </w:tcPr>
          <w:p w14:paraId="25678173" w14:textId="6113A222" w:rsidR="00F73190" w:rsidRPr="004E74A6" w:rsidRDefault="00F73190" w:rsidP="00CE62C1">
            <w:pPr>
              <w:spacing w:line="276" w:lineRule="auto"/>
              <w:jc w:val="center"/>
              <w:rPr>
                <w:sz w:val="20"/>
                <w:lang w:eastAsia="es-CR"/>
              </w:rPr>
            </w:pPr>
            <w:r w:rsidRPr="004E74A6">
              <w:rPr>
                <w:rFonts w:cs="Calibri"/>
                <w:color w:val="000000"/>
                <w:sz w:val="20"/>
              </w:rPr>
              <w:t>0</w:t>
            </w:r>
          </w:p>
        </w:tc>
        <w:tc>
          <w:tcPr>
            <w:tcW w:w="473" w:type="pct"/>
            <w:tcBorders>
              <w:top w:val="nil"/>
              <w:left w:val="single" w:sz="4" w:space="0" w:color="auto"/>
              <w:bottom w:val="nil"/>
              <w:right w:val="single" w:sz="4" w:space="0" w:color="auto"/>
            </w:tcBorders>
            <w:shd w:val="clear" w:color="auto" w:fill="auto"/>
            <w:noWrap/>
            <w:vAlign w:val="bottom"/>
            <w:hideMark/>
          </w:tcPr>
          <w:p w14:paraId="0EDDCE48" w14:textId="30D0F6BB" w:rsidR="00F73190" w:rsidRPr="004E74A6" w:rsidRDefault="00F73190" w:rsidP="00CE62C1">
            <w:pPr>
              <w:spacing w:line="276" w:lineRule="auto"/>
              <w:jc w:val="center"/>
              <w:rPr>
                <w:rFonts w:cs="Calibri"/>
                <w:color w:val="000000"/>
                <w:sz w:val="20"/>
                <w:lang w:eastAsia="es-CR"/>
              </w:rPr>
            </w:pPr>
            <w:r w:rsidRPr="004E74A6">
              <w:rPr>
                <w:rFonts w:cs="Calibri"/>
                <w:color w:val="000000"/>
                <w:sz w:val="20"/>
              </w:rPr>
              <w:t>1</w:t>
            </w:r>
          </w:p>
        </w:tc>
        <w:tc>
          <w:tcPr>
            <w:tcW w:w="473" w:type="pct"/>
            <w:tcBorders>
              <w:top w:val="nil"/>
              <w:left w:val="single" w:sz="4" w:space="0" w:color="auto"/>
              <w:bottom w:val="nil"/>
              <w:right w:val="single" w:sz="4" w:space="0" w:color="auto"/>
            </w:tcBorders>
            <w:shd w:val="clear" w:color="auto" w:fill="auto"/>
            <w:noWrap/>
            <w:vAlign w:val="bottom"/>
            <w:hideMark/>
          </w:tcPr>
          <w:p w14:paraId="6E3F47CA" w14:textId="5B9633E1" w:rsidR="00F73190" w:rsidRPr="004E74A6" w:rsidRDefault="00F73190" w:rsidP="00CE62C1">
            <w:pPr>
              <w:spacing w:line="276" w:lineRule="auto"/>
              <w:jc w:val="center"/>
              <w:rPr>
                <w:rFonts w:cs="Calibri"/>
                <w:color w:val="000000"/>
                <w:sz w:val="20"/>
                <w:lang w:eastAsia="es-CR"/>
              </w:rPr>
            </w:pPr>
            <w:r w:rsidRPr="004E74A6">
              <w:rPr>
                <w:rFonts w:cs="Calibri"/>
                <w:color w:val="000000"/>
                <w:sz w:val="20"/>
              </w:rPr>
              <w:t>0</w:t>
            </w:r>
          </w:p>
        </w:tc>
        <w:tc>
          <w:tcPr>
            <w:tcW w:w="632" w:type="pct"/>
            <w:tcBorders>
              <w:top w:val="nil"/>
              <w:left w:val="single" w:sz="4" w:space="0" w:color="auto"/>
              <w:bottom w:val="nil"/>
              <w:right w:val="nil"/>
            </w:tcBorders>
            <w:shd w:val="clear" w:color="auto" w:fill="auto"/>
            <w:noWrap/>
            <w:vAlign w:val="bottom"/>
            <w:hideMark/>
          </w:tcPr>
          <w:p w14:paraId="0CB213F6" w14:textId="42D1A1C4" w:rsidR="00F73190" w:rsidRPr="004E74A6" w:rsidRDefault="00F73190" w:rsidP="00CE62C1">
            <w:pPr>
              <w:spacing w:line="276" w:lineRule="auto"/>
              <w:jc w:val="center"/>
              <w:rPr>
                <w:rFonts w:cs="Calibri"/>
                <w:color w:val="000000"/>
                <w:sz w:val="20"/>
                <w:lang w:eastAsia="es-CR"/>
              </w:rPr>
            </w:pPr>
            <w:r w:rsidRPr="004E74A6">
              <w:rPr>
                <w:rFonts w:cs="Calibri"/>
                <w:color w:val="000000"/>
                <w:sz w:val="20"/>
              </w:rPr>
              <w:t>0,3</w:t>
            </w:r>
          </w:p>
        </w:tc>
      </w:tr>
      <w:tr w:rsidR="00F73190" w:rsidRPr="004E74A6" w14:paraId="4BFDF358" w14:textId="77777777" w:rsidTr="00B32800">
        <w:trPr>
          <w:trHeight w:val="288"/>
          <w:jc w:val="center"/>
        </w:trPr>
        <w:tc>
          <w:tcPr>
            <w:tcW w:w="2949" w:type="pct"/>
            <w:tcBorders>
              <w:top w:val="nil"/>
              <w:left w:val="nil"/>
              <w:bottom w:val="nil"/>
              <w:right w:val="single" w:sz="4" w:space="0" w:color="auto"/>
            </w:tcBorders>
            <w:shd w:val="clear" w:color="auto" w:fill="auto"/>
            <w:noWrap/>
            <w:vAlign w:val="bottom"/>
            <w:hideMark/>
          </w:tcPr>
          <w:p w14:paraId="742CEDB9" w14:textId="77777777" w:rsidR="00F73190" w:rsidRPr="004E74A6" w:rsidRDefault="00F73190" w:rsidP="00CE62C1">
            <w:pPr>
              <w:spacing w:line="276" w:lineRule="auto"/>
              <w:ind w:firstLineChars="200" w:firstLine="400"/>
              <w:jc w:val="left"/>
              <w:rPr>
                <w:rFonts w:cs="Calibri"/>
                <w:color w:val="000000"/>
                <w:sz w:val="20"/>
                <w:lang w:eastAsia="es-CR"/>
              </w:rPr>
            </w:pPr>
            <w:r w:rsidRPr="004E74A6">
              <w:rPr>
                <w:rFonts w:cs="Calibri"/>
                <w:color w:val="000000"/>
                <w:sz w:val="20"/>
                <w:lang w:eastAsia="es-CR"/>
              </w:rPr>
              <w:t>Información Posesoria</w:t>
            </w:r>
          </w:p>
        </w:tc>
        <w:tc>
          <w:tcPr>
            <w:tcW w:w="473" w:type="pct"/>
            <w:tcBorders>
              <w:top w:val="nil"/>
              <w:left w:val="single" w:sz="4" w:space="0" w:color="auto"/>
              <w:bottom w:val="nil"/>
              <w:right w:val="single" w:sz="4" w:space="0" w:color="auto"/>
            </w:tcBorders>
            <w:shd w:val="clear" w:color="auto" w:fill="auto"/>
            <w:noWrap/>
            <w:vAlign w:val="bottom"/>
            <w:hideMark/>
          </w:tcPr>
          <w:p w14:paraId="7AA8D7A7" w14:textId="7F37C5B3" w:rsidR="00F73190" w:rsidRPr="004E74A6" w:rsidRDefault="00F73190" w:rsidP="00CE62C1">
            <w:pPr>
              <w:spacing w:line="276" w:lineRule="auto"/>
              <w:jc w:val="center"/>
              <w:rPr>
                <w:sz w:val="20"/>
                <w:lang w:eastAsia="es-CR"/>
              </w:rPr>
            </w:pPr>
            <w:r w:rsidRPr="004E74A6">
              <w:rPr>
                <w:rFonts w:cs="Calibri"/>
                <w:color w:val="000000"/>
                <w:sz w:val="20"/>
              </w:rPr>
              <w:t>0</w:t>
            </w:r>
          </w:p>
        </w:tc>
        <w:tc>
          <w:tcPr>
            <w:tcW w:w="473" w:type="pct"/>
            <w:tcBorders>
              <w:top w:val="nil"/>
              <w:left w:val="single" w:sz="4" w:space="0" w:color="auto"/>
              <w:bottom w:val="nil"/>
              <w:right w:val="single" w:sz="4" w:space="0" w:color="auto"/>
            </w:tcBorders>
            <w:shd w:val="clear" w:color="auto" w:fill="auto"/>
            <w:noWrap/>
            <w:vAlign w:val="bottom"/>
            <w:hideMark/>
          </w:tcPr>
          <w:p w14:paraId="3A660ED7" w14:textId="6AAA0DBB" w:rsidR="00F73190" w:rsidRPr="004E74A6" w:rsidRDefault="00F73190" w:rsidP="00CE62C1">
            <w:pPr>
              <w:spacing w:line="276" w:lineRule="auto"/>
              <w:jc w:val="center"/>
              <w:rPr>
                <w:rFonts w:cs="Calibri"/>
                <w:color w:val="000000"/>
                <w:sz w:val="20"/>
                <w:lang w:eastAsia="es-CR"/>
              </w:rPr>
            </w:pPr>
            <w:r w:rsidRPr="004E74A6">
              <w:rPr>
                <w:rFonts w:cs="Calibri"/>
                <w:color w:val="000000"/>
                <w:sz w:val="20"/>
              </w:rPr>
              <w:t>1</w:t>
            </w:r>
          </w:p>
        </w:tc>
        <w:tc>
          <w:tcPr>
            <w:tcW w:w="473" w:type="pct"/>
            <w:tcBorders>
              <w:top w:val="nil"/>
              <w:left w:val="single" w:sz="4" w:space="0" w:color="auto"/>
              <w:bottom w:val="nil"/>
              <w:right w:val="single" w:sz="4" w:space="0" w:color="auto"/>
            </w:tcBorders>
            <w:shd w:val="clear" w:color="auto" w:fill="auto"/>
            <w:noWrap/>
            <w:vAlign w:val="bottom"/>
            <w:hideMark/>
          </w:tcPr>
          <w:p w14:paraId="78541A9B" w14:textId="0D8498B1" w:rsidR="00F73190" w:rsidRPr="004E74A6" w:rsidRDefault="00F73190" w:rsidP="00CE62C1">
            <w:pPr>
              <w:spacing w:line="276" w:lineRule="auto"/>
              <w:jc w:val="center"/>
              <w:rPr>
                <w:rFonts w:cs="Calibri"/>
                <w:color w:val="000000"/>
                <w:sz w:val="20"/>
                <w:lang w:eastAsia="es-CR"/>
              </w:rPr>
            </w:pPr>
            <w:r w:rsidRPr="004E74A6">
              <w:rPr>
                <w:rFonts w:cs="Calibri"/>
                <w:color w:val="000000"/>
                <w:sz w:val="20"/>
              </w:rPr>
              <w:t>1</w:t>
            </w:r>
          </w:p>
        </w:tc>
        <w:tc>
          <w:tcPr>
            <w:tcW w:w="632" w:type="pct"/>
            <w:tcBorders>
              <w:top w:val="nil"/>
              <w:left w:val="single" w:sz="4" w:space="0" w:color="auto"/>
              <w:bottom w:val="nil"/>
              <w:right w:val="nil"/>
            </w:tcBorders>
            <w:shd w:val="clear" w:color="auto" w:fill="auto"/>
            <w:noWrap/>
            <w:vAlign w:val="bottom"/>
            <w:hideMark/>
          </w:tcPr>
          <w:p w14:paraId="4D8D979B" w14:textId="367576F9" w:rsidR="00F73190" w:rsidRPr="004E74A6" w:rsidRDefault="00F73190" w:rsidP="00CE62C1">
            <w:pPr>
              <w:spacing w:line="276" w:lineRule="auto"/>
              <w:jc w:val="center"/>
              <w:rPr>
                <w:rFonts w:cs="Calibri"/>
                <w:color w:val="000000"/>
                <w:sz w:val="20"/>
                <w:lang w:eastAsia="es-CR"/>
              </w:rPr>
            </w:pPr>
            <w:r w:rsidRPr="004E74A6">
              <w:rPr>
                <w:rFonts w:cs="Calibri"/>
                <w:color w:val="000000"/>
                <w:sz w:val="20"/>
              </w:rPr>
              <w:t>0,7</w:t>
            </w:r>
          </w:p>
        </w:tc>
      </w:tr>
      <w:tr w:rsidR="00F73190" w:rsidRPr="004E74A6" w14:paraId="5D364B9B" w14:textId="77777777" w:rsidTr="00B32800">
        <w:trPr>
          <w:trHeight w:val="288"/>
          <w:jc w:val="center"/>
        </w:trPr>
        <w:tc>
          <w:tcPr>
            <w:tcW w:w="2949" w:type="pct"/>
            <w:tcBorders>
              <w:top w:val="nil"/>
              <w:left w:val="nil"/>
              <w:bottom w:val="nil"/>
              <w:right w:val="single" w:sz="4" w:space="0" w:color="auto"/>
            </w:tcBorders>
            <w:shd w:val="clear" w:color="auto" w:fill="auto"/>
            <w:noWrap/>
            <w:vAlign w:val="bottom"/>
            <w:hideMark/>
          </w:tcPr>
          <w:p w14:paraId="686D4F3B" w14:textId="77777777" w:rsidR="00F73190" w:rsidRPr="004E74A6" w:rsidRDefault="00F73190" w:rsidP="00CE62C1">
            <w:pPr>
              <w:spacing w:line="276" w:lineRule="auto"/>
              <w:ind w:firstLineChars="200" w:firstLine="400"/>
              <w:jc w:val="left"/>
              <w:rPr>
                <w:rFonts w:cs="Calibri"/>
                <w:color w:val="000000"/>
                <w:sz w:val="20"/>
                <w:lang w:eastAsia="es-CR"/>
              </w:rPr>
            </w:pPr>
            <w:r w:rsidRPr="004E74A6">
              <w:rPr>
                <w:rFonts w:cs="Calibri"/>
                <w:color w:val="000000"/>
                <w:sz w:val="20"/>
                <w:lang w:eastAsia="es-CR"/>
              </w:rPr>
              <w:t>Monitorio Arrendaticio</w:t>
            </w:r>
          </w:p>
        </w:tc>
        <w:tc>
          <w:tcPr>
            <w:tcW w:w="473" w:type="pct"/>
            <w:tcBorders>
              <w:top w:val="nil"/>
              <w:left w:val="single" w:sz="4" w:space="0" w:color="auto"/>
              <w:bottom w:val="nil"/>
              <w:right w:val="single" w:sz="4" w:space="0" w:color="auto"/>
            </w:tcBorders>
            <w:shd w:val="clear" w:color="auto" w:fill="auto"/>
            <w:noWrap/>
            <w:vAlign w:val="bottom"/>
            <w:hideMark/>
          </w:tcPr>
          <w:p w14:paraId="44858996" w14:textId="5361F124" w:rsidR="00F73190" w:rsidRPr="004E74A6" w:rsidRDefault="00F73190" w:rsidP="00CE62C1">
            <w:pPr>
              <w:spacing w:line="276" w:lineRule="auto"/>
              <w:jc w:val="center"/>
              <w:rPr>
                <w:sz w:val="20"/>
                <w:lang w:eastAsia="es-CR"/>
              </w:rPr>
            </w:pPr>
            <w:r w:rsidRPr="004E74A6">
              <w:rPr>
                <w:rFonts w:cs="Calibri"/>
                <w:color w:val="000000"/>
                <w:sz w:val="20"/>
              </w:rPr>
              <w:t>0</w:t>
            </w:r>
          </w:p>
        </w:tc>
        <w:tc>
          <w:tcPr>
            <w:tcW w:w="473" w:type="pct"/>
            <w:tcBorders>
              <w:top w:val="nil"/>
              <w:left w:val="single" w:sz="4" w:space="0" w:color="auto"/>
              <w:bottom w:val="nil"/>
              <w:right w:val="single" w:sz="4" w:space="0" w:color="auto"/>
            </w:tcBorders>
            <w:shd w:val="clear" w:color="auto" w:fill="auto"/>
            <w:noWrap/>
            <w:vAlign w:val="bottom"/>
            <w:hideMark/>
          </w:tcPr>
          <w:p w14:paraId="51FC22B2" w14:textId="3FA35C55" w:rsidR="00F73190" w:rsidRPr="004E74A6" w:rsidRDefault="00F73190" w:rsidP="00CE62C1">
            <w:pPr>
              <w:spacing w:line="276" w:lineRule="auto"/>
              <w:jc w:val="center"/>
              <w:rPr>
                <w:rFonts w:cs="Calibri"/>
                <w:color w:val="000000"/>
                <w:sz w:val="20"/>
                <w:lang w:eastAsia="es-CR"/>
              </w:rPr>
            </w:pPr>
            <w:r w:rsidRPr="004E74A6">
              <w:rPr>
                <w:rFonts w:cs="Calibri"/>
                <w:color w:val="000000"/>
                <w:sz w:val="20"/>
              </w:rPr>
              <w:t>1</w:t>
            </w:r>
          </w:p>
        </w:tc>
        <w:tc>
          <w:tcPr>
            <w:tcW w:w="473" w:type="pct"/>
            <w:tcBorders>
              <w:top w:val="nil"/>
              <w:left w:val="single" w:sz="4" w:space="0" w:color="auto"/>
              <w:bottom w:val="nil"/>
              <w:right w:val="single" w:sz="4" w:space="0" w:color="auto"/>
            </w:tcBorders>
            <w:shd w:val="clear" w:color="auto" w:fill="auto"/>
            <w:noWrap/>
            <w:vAlign w:val="bottom"/>
            <w:hideMark/>
          </w:tcPr>
          <w:p w14:paraId="50CBF362" w14:textId="7919F66D" w:rsidR="00F73190" w:rsidRPr="004E74A6" w:rsidRDefault="00F73190" w:rsidP="00CE62C1">
            <w:pPr>
              <w:spacing w:line="276" w:lineRule="auto"/>
              <w:jc w:val="center"/>
              <w:rPr>
                <w:rFonts w:cs="Calibri"/>
                <w:color w:val="000000"/>
                <w:sz w:val="20"/>
                <w:lang w:eastAsia="es-CR"/>
              </w:rPr>
            </w:pPr>
            <w:r w:rsidRPr="004E74A6">
              <w:rPr>
                <w:rFonts w:cs="Calibri"/>
                <w:color w:val="000000"/>
                <w:sz w:val="20"/>
              </w:rPr>
              <w:t>0</w:t>
            </w:r>
          </w:p>
        </w:tc>
        <w:tc>
          <w:tcPr>
            <w:tcW w:w="632" w:type="pct"/>
            <w:tcBorders>
              <w:top w:val="nil"/>
              <w:left w:val="single" w:sz="4" w:space="0" w:color="auto"/>
              <w:bottom w:val="nil"/>
              <w:right w:val="nil"/>
            </w:tcBorders>
            <w:shd w:val="clear" w:color="auto" w:fill="auto"/>
            <w:noWrap/>
            <w:vAlign w:val="bottom"/>
            <w:hideMark/>
          </w:tcPr>
          <w:p w14:paraId="3B44E5F2" w14:textId="196EB16D" w:rsidR="00F73190" w:rsidRPr="004E74A6" w:rsidRDefault="00F73190" w:rsidP="00CE62C1">
            <w:pPr>
              <w:spacing w:line="276" w:lineRule="auto"/>
              <w:jc w:val="center"/>
              <w:rPr>
                <w:rFonts w:cs="Calibri"/>
                <w:color w:val="000000"/>
                <w:sz w:val="20"/>
                <w:lang w:eastAsia="es-CR"/>
              </w:rPr>
            </w:pPr>
            <w:r w:rsidRPr="004E74A6">
              <w:rPr>
                <w:rFonts w:cs="Calibri"/>
                <w:color w:val="000000"/>
                <w:sz w:val="20"/>
              </w:rPr>
              <w:t>0</w:t>
            </w:r>
          </w:p>
        </w:tc>
      </w:tr>
      <w:tr w:rsidR="00F73190" w:rsidRPr="004E74A6" w14:paraId="6AFB10FD" w14:textId="77777777" w:rsidTr="00B32800">
        <w:trPr>
          <w:trHeight w:val="288"/>
          <w:jc w:val="center"/>
        </w:trPr>
        <w:tc>
          <w:tcPr>
            <w:tcW w:w="2949" w:type="pct"/>
            <w:tcBorders>
              <w:top w:val="nil"/>
              <w:left w:val="nil"/>
              <w:bottom w:val="nil"/>
              <w:right w:val="single" w:sz="4" w:space="0" w:color="auto"/>
            </w:tcBorders>
            <w:shd w:val="clear" w:color="auto" w:fill="C5E0B3" w:themeFill="accent6" w:themeFillTint="66"/>
            <w:noWrap/>
            <w:vAlign w:val="bottom"/>
            <w:hideMark/>
          </w:tcPr>
          <w:p w14:paraId="06FF5938" w14:textId="77777777" w:rsidR="00F73190" w:rsidRPr="004E74A6" w:rsidRDefault="00F73190" w:rsidP="00CE62C1">
            <w:pPr>
              <w:spacing w:line="276" w:lineRule="auto"/>
              <w:ind w:firstLineChars="200" w:firstLine="400"/>
              <w:jc w:val="left"/>
              <w:rPr>
                <w:rFonts w:cs="Calibri"/>
                <w:color w:val="000000"/>
                <w:sz w:val="20"/>
                <w:lang w:eastAsia="es-CR"/>
              </w:rPr>
            </w:pPr>
            <w:r w:rsidRPr="004E74A6">
              <w:rPr>
                <w:rFonts w:cs="Calibri"/>
                <w:color w:val="000000"/>
                <w:sz w:val="20"/>
                <w:lang w:eastAsia="es-CR"/>
              </w:rPr>
              <w:t>Ordinario</w:t>
            </w:r>
          </w:p>
        </w:tc>
        <w:tc>
          <w:tcPr>
            <w:tcW w:w="473" w:type="pct"/>
            <w:tcBorders>
              <w:top w:val="nil"/>
              <w:left w:val="single" w:sz="4" w:space="0" w:color="auto"/>
              <w:bottom w:val="nil"/>
              <w:right w:val="single" w:sz="4" w:space="0" w:color="auto"/>
            </w:tcBorders>
            <w:shd w:val="clear" w:color="auto" w:fill="C5E0B3" w:themeFill="accent6" w:themeFillTint="66"/>
            <w:noWrap/>
            <w:vAlign w:val="bottom"/>
            <w:hideMark/>
          </w:tcPr>
          <w:p w14:paraId="0D0E8001" w14:textId="062E4A0F" w:rsidR="00F73190" w:rsidRPr="004E74A6" w:rsidRDefault="00F73190" w:rsidP="00CE62C1">
            <w:pPr>
              <w:spacing w:line="276" w:lineRule="auto"/>
              <w:jc w:val="center"/>
              <w:rPr>
                <w:rFonts w:cs="Calibri"/>
                <w:color w:val="000000"/>
                <w:sz w:val="20"/>
                <w:lang w:eastAsia="es-CR"/>
              </w:rPr>
            </w:pPr>
            <w:r w:rsidRPr="004E74A6">
              <w:rPr>
                <w:rFonts w:cs="Calibri"/>
                <w:color w:val="000000"/>
                <w:sz w:val="20"/>
              </w:rPr>
              <w:t>105</w:t>
            </w:r>
          </w:p>
        </w:tc>
        <w:tc>
          <w:tcPr>
            <w:tcW w:w="473" w:type="pct"/>
            <w:tcBorders>
              <w:top w:val="nil"/>
              <w:left w:val="single" w:sz="4" w:space="0" w:color="auto"/>
              <w:bottom w:val="nil"/>
              <w:right w:val="single" w:sz="4" w:space="0" w:color="auto"/>
            </w:tcBorders>
            <w:shd w:val="clear" w:color="auto" w:fill="C5E0B3" w:themeFill="accent6" w:themeFillTint="66"/>
            <w:noWrap/>
            <w:vAlign w:val="bottom"/>
            <w:hideMark/>
          </w:tcPr>
          <w:p w14:paraId="005164DC" w14:textId="626DB1D3" w:rsidR="00F73190" w:rsidRPr="004E74A6" w:rsidRDefault="00F73190" w:rsidP="00CE62C1">
            <w:pPr>
              <w:spacing w:line="276" w:lineRule="auto"/>
              <w:jc w:val="center"/>
              <w:rPr>
                <w:rFonts w:cs="Calibri"/>
                <w:color w:val="000000"/>
                <w:sz w:val="20"/>
                <w:lang w:eastAsia="es-CR"/>
              </w:rPr>
            </w:pPr>
            <w:r w:rsidRPr="004E74A6">
              <w:rPr>
                <w:rFonts w:cs="Calibri"/>
                <w:color w:val="000000"/>
                <w:sz w:val="20"/>
              </w:rPr>
              <w:t>102</w:t>
            </w:r>
          </w:p>
        </w:tc>
        <w:tc>
          <w:tcPr>
            <w:tcW w:w="473" w:type="pct"/>
            <w:tcBorders>
              <w:top w:val="nil"/>
              <w:left w:val="single" w:sz="4" w:space="0" w:color="auto"/>
              <w:bottom w:val="nil"/>
              <w:right w:val="single" w:sz="4" w:space="0" w:color="auto"/>
            </w:tcBorders>
            <w:shd w:val="clear" w:color="auto" w:fill="C5E0B3" w:themeFill="accent6" w:themeFillTint="66"/>
            <w:noWrap/>
            <w:vAlign w:val="bottom"/>
            <w:hideMark/>
          </w:tcPr>
          <w:p w14:paraId="4D96EBC4" w14:textId="66B64683" w:rsidR="00F73190" w:rsidRPr="004E74A6" w:rsidRDefault="00F73190" w:rsidP="00CE62C1">
            <w:pPr>
              <w:spacing w:line="276" w:lineRule="auto"/>
              <w:jc w:val="center"/>
              <w:rPr>
                <w:rFonts w:cs="Calibri"/>
                <w:color w:val="000000"/>
                <w:sz w:val="20"/>
                <w:lang w:eastAsia="es-CR"/>
              </w:rPr>
            </w:pPr>
            <w:r w:rsidRPr="004E74A6">
              <w:rPr>
                <w:rFonts w:cs="Calibri"/>
                <w:color w:val="000000"/>
                <w:sz w:val="20"/>
              </w:rPr>
              <w:t>113</w:t>
            </w:r>
          </w:p>
        </w:tc>
        <w:tc>
          <w:tcPr>
            <w:tcW w:w="632" w:type="pct"/>
            <w:tcBorders>
              <w:top w:val="nil"/>
              <w:left w:val="single" w:sz="4" w:space="0" w:color="auto"/>
              <w:bottom w:val="nil"/>
              <w:right w:val="nil"/>
            </w:tcBorders>
            <w:shd w:val="clear" w:color="auto" w:fill="C5E0B3" w:themeFill="accent6" w:themeFillTint="66"/>
            <w:noWrap/>
            <w:vAlign w:val="bottom"/>
            <w:hideMark/>
          </w:tcPr>
          <w:p w14:paraId="31DF9F9D" w14:textId="3D0783D1" w:rsidR="00F73190" w:rsidRPr="004E74A6" w:rsidRDefault="00F73190" w:rsidP="00CE62C1">
            <w:pPr>
              <w:spacing w:line="276" w:lineRule="auto"/>
              <w:jc w:val="center"/>
              <w:rPr>
                <w:rFonts w:cs="Calibri"/>
                <w:color w:val="000000"/>
                <w:sz w:val="20"/>
                <w:lang w:eastAsia="es-CR"/>
              </w:rPr>
            </w:pPr>
            <w:r w:rsidRPr="004E74A6">
              <w:rPr>
                <w:rFonts w:cs="Calibri"/>
                <w:color w:val="000000"/>
                <w:sz w:val="20"/>
              </w:rPr>
              <w:t>107</w:t>
            </w:r>
          </w:p>
        </w:tc>
      </w:tr>
      <w:tr w:rsidR="00F73190" w:rsidRPr="004E74A6" w14:paraId="393668C6" w14:textId="77777777" w:rsidTr="00B32800">
        <w:trPr>
          <w:trHeight w:val="288"/>
          <w:jc w:val="center"/>
        </w:trPr>
        <w:tc>
          <w:tcPr>
            <w:tcW w:w="2949" w:type="pct"/>
            <w:tcBorders>
              <w:top w:val="nil"/>
              <w:left w:val="nil"/>
              <w:bottom w:val="nil"/>
              <w:right w:val="single" w:sz="4" w:space="0" w:color="auto"/>
            </w:tcBorders>
            <w:shd w:val="clear" w:color="auto" w:fill="auto"/>
            <w:noWrap/>
            <w:vAlign w:val="bottom"/>
            <w:hideMark/>
          </w:tcPr>
          <w:p w14:paraId="0C40F5DE" w14:textId="77777777" w:rsidR="00F73190" w:rsidRPr="004E74A6" w:rsidRDefault="00F73190" w:rsidP="00CE62C1">
            <w:pPr>
              <w:spacing w:line="276" w:lineRule="auto"/>
              <w:ind w:firstLineChars="200" w:firstLine="400"/>
              <w:jc w:val="left"/>
              <w:rPr>
                <w:rFonts w:cs="Calibri"/>
                <w:color w:val="000000"/>
                <w:sz w:val="20"/>
                <w:lang w:eastAsia="es-CR"/>
              </w:rPr>
            </w:pPr>
            <w:r w:rsidRPr="004E74A6">
              <w:rPr>
                <w:rFonts w:cs="Calibri"/>
                <w:color w:val="000000"/>
                <w:sz w:val="20"/>
                <w:lang w:eastAsia="es-CR"/>
              </w:rPr>
              <w:t>Sucesorio</w:t>
            </w:r>
          </w:p>
        </w:tc>
        <w:tc>
          <w:tcPr>
            <w:tcW w:w="473" w:type="pct"/>
            <w:tcBorders>
              <w:top w:val="nil"/>
              <w:left w:val="single" w:sz="4" w:space="0" w:color="auto"/>
              <w:bottom w:val="nil"/>
              <w:right w:val="single" w:sz="4" w:space="0" w:color="auto"/>
            </w:tcBorders>
            <w:shd w:val="clear" w:color="auto" w:fill="auto"/>
            <w:noWrap/>
            <w:vAlign w:val="bottom"/>
            <w:hideMark/>
          </w:tcPr>
          <w:p w14:paraId="3324EFC2" w14:textId="6458C6A9" w:rsidR="00F73190" w:rsidRPr="004E74A6" w:rsidRDefault="00F73190" w:rsidP="00CE62C1">
            <w:pPr>
              <w:spacing w:line="276" w:lineRule="auto"/>
              <w:jc w:val="center"/>
              <w:rPr>
                <w:sz w:val="20"/>
                <w:lang w:eastAsia="es-CR"/>
              </w:rPr>
            </w:pPr>
            <w:r w:rsidRPr="004E74A6">
              <w:rPr>
                <w:rFonts w:cs="Calibri"/>
                <w:color w:val="000000"/>
                <w:sz w:val="20"/>
              </w:rPr>
              <w:t>0</w:t>
            </w:r>
          </w:p>
        </w:tc>
        <w:tc>
          <w:tcPr>
            <w:tcW w:w="473" w:type="pct"/>
            <w:tcBorders>
              <w:top w:val="nil"/>
              <w:left w:val="single" w:sz="4" w:space="0" w:color="auto"/>
              <w:bottom w:val="nil"/>
              <w:right w:val="single" w:sz="4" w:space="0" w:color="auto"/>
            </w:tcBorders>
            <w:shd w:val="clear" w:color="auto" w:fill="auto"/>
            <w:noWrap/>
            <w:vAlign w:val="bottom"/>
            <w:hideMark/>
          </w:tcPr>
          <w:p w14:paraId="2B0EC277" w14:textId="31D9AF15" w:rsidR="00F73190" w:rsidRPr="004E74A6" w:rsidRDefault="00F73190" w:rsidP="00CE62C1">
            <w:pPr>
              <w:spacing w:line="276" w:lineRule="auto"/>
              <w:jc w:val="center"/>
              <w:rPr>
                <w:rFonts w:cs="Calibri"/>
                <w:color w:val="000000"/>
                <w:sz w:val="20"/>
                <w:lang w:eastAsia="es-CR"/>
              </w:rPr>
            </w:pPr>
            <w:r w:rsidRPr="004E74A6">
              <w:rPr>
                <w:rFonts w:cs="Calibri"/>
                <w:color w:val="000000"/>
                <w:sz w:val="20"/>
              </w:rPr>
              <w:t>1</w:t>
            </w:r>
          </w:p>
        </w:tc>
        <w:tc>
          <w:tcPr>
            <w:tcW w:w="473" w:type="pct"/>
            <w:tcBorders>
              <w:top w:val="nil"/>
              <w:left w:val="single" w:sz="4" w:space="0" w:color="auto"/>
              <w:bottom w:val="nil"/>
              <w:right w:val="single" w:sz="4" w:space="0" w:color="auto"/>
            </w:tcBorders>
            <w:shd w:val="clear" w:color="auto" w:fill="auto"/>
            <w:noWrap/>
            <w:vAlign w:val="bottom"/>
            <w:hideMark/>
          </w:tcPr>
          <w:p w14:paraId="704712AA" w14:textId="071E73FA" w:rsidR="00F73190" w:rsidRPr="004E74A6" w:rsidRDefault="00F73190" w:rsidP="00CE62C1">
            <w:pPr>
              <w:spacing w:line="276" w:lineRule="auto"/>
              <w:jc w:val="center"/>
              <w:rPr>
                <w:rFonts w:cs="Calibri"/>
                <w:color w:val="000000"/>
                <w:sz w:val="20"/>
                <w:lang w:eastAsia="es-CR"/>
              </w:rPr>
            </w:pPr>
            <w:r w:rsidRPr="004E74A6">
              <w:rPr>
                <w:rFonts w:cs="Calibri"/>
                <w:color w:val="000000"/>
                <w:sz w:val="20"/>
              </w:rPr>
              <w:t>0</w:t>
            </w:r>
          </w:p>
        </w:tc>
        <w:tc>
          <w:tcPr>
            <w:tcW w:w="632" w:type="pct"/>
            <w:tcBorders>
              <w:top w:val="nil"/>
              <w:left w:val="single" w:sz="4" w:space="0" w:color="auto"/>
              <w:bottom w:val="nil"/>
              <w:right w:val="nil"/>
            </w:tcBorders>
            <w:shd w:val="clear" w:color="auto" w:fill="auto"/>
            <w:noWrap/>
            <w:vAlign w:val="bottom"/>
            <w:hideMark/>
          </w:tcPr>
          <w:p w14:paraId="71A3EFE0" w14:textId="4C8DCB98" w:rsidR="00F73190" w:rsidRPr="004E74A6" w:rsidRDefault="00F73190" w:rsidP="00CE62C1">
            <w:pPr>
              <w:spacing w:line="276" w:lineRule="auto"/>
              <w:jc w:val="center"/>
              <w:rPr>
                <w:rFonts w:cs="Calibri"/>
                <w:color w:val="000000"/>
                <w:sz w:val="20"/>
                <w:lang w:eastAsia="es-CR"/>
              </w:rPr>
            </w:pPr>
            <w:r w:rsidRPr="004E74A6">
              <w:rPr>
                <w:rFonts w:cs="Calibri"/>
                <w:color w:val="000000"/>
                <w:sz w:val="20"/>
              </w:rPr>
              <w:t>0</w:t>
            </w:r>
          </w:p>
        </w:tc>
      </w:tr>
      <w:tr w:rsidR="00F73190" w:rsidRPr="004E74A6" w14:paraId="4E91507F" w14:textId="77777777" w:rsidTr="00B32800">
        <w:trPr>
          <w:trHeight w:val="288"/>
          <w:jc w:val="center"/>
        </w:trPr>
        <w:tc>
          <w:tcPr>
            <w:tcW w:w="2949" w:type="pct"/>
            <w:tcBorders>
              <w:top w:val="nil"/>
              <w:left w:val="nil"/>
              <w:bottom w:val="nil"/>
              <w:right w:val="single" w:sz="4" w:space="0" w:color="auto"/>
            </w:tcBorders>
            <w:shd w:val="clear" w:color="auto" w:fill="auto"/>
            <w:noWrap/>
            <w:vAlign w:val="bottom"/>
            <w:hideMark/>
          </w:tcPr>
          <w:p w14:paraId="775E4C44" w14:textId="77777777" w:rsidR="00F73190" w:rsidRPr="004E74A6" w:rsidRDefault="00F73190" w:rsidP="00CE62C1">
            <w:pPr>
              <w:spacing w:line="276" w:lineRule="auto"/>
              <w:ind w:firstLineChars="200" w:firstLine="400"/>
              <w:jc w:val="left"/>
              <w:rPr>
                <w:rFonts w:cs="Calibri"/>
                <w:color w:val="000000"/>
                <w:sz w:val="20"/>
                <w:lang w:eastAsia="es-CR"/>
              </w:rPr>
            </w:pPr>
            <w:r w:rsidRPr="004E74A6">
              <w:rPr>
                <w:rFonts w:cs="Calibri"/>
                <w:color w:val="000000"/>
                <w:sz w:val="20"/>
                <w:lang w:eastAsia="es-CR"/>
              </w:rPr>
              <w:t>Sumario De Defensa Del Consumidor</w:t>
            </w:r>
          </w:p>
        </w:tc>
        <w:tc>
          <w:tcPr>
            <w:tcW w:w="473" w:type="pct"/>
            <w:tcBorders>
              <w:top w:val="nil"/>
              <w:left w:val="single" w:sz="4" w:space="0" w:color="auto"/>
              <w:bottom w:val="nil"/>
              <w:right w:val="single" w:sz="4" w:space="0" w:color="auto"/>
            </w:tcBorders>
            <w:shd w:val="clear" w:color="auto" w:fill="auto"/>
            <w:noWrap/>
            <w:vAlign w:val="bottom"/>
            <w:hideMark/>
          </w:tcPr>
          <w:p w14:paraId="77A0D2D2" w14:textId="76C8556A" w:rsidR="00F73190" w:rsidRPr="004E74A6" w:rsidRDefault="00F73190" w:rsidP="00CE62C1">
            <w:pPr>
              <w:spacing w:line="276" w:lineRule="auto"/>
              <w:jc w:val="center"/>
              <w:rPr>
                <w:sz w:val="20"/>
                <w:lang w:eastAsia="es-CR"/>
              </w:rPr>
            </w:pPr>
            <w:r w:rsidRPr="004E74A6">
              <w:rPr>
                <w:rFonts w:cs="Calibri"/>
                <w:color w:val="000000"/>
                <w:sz w:val="20"/>
              </w:rPr>
              <w:t>0</w:t>
            </w:r>
          </w:p>
        </w:tc>
        <w:tc>
          <w:tcPr>
            <w:tcW w:w="473" w:type="pct"/>
            <w:tcBorders>
              <w:top w:val="nil"/>
              <w:left w:val="single" w:sz="4" w:space="0" w:color="auto"/>
              <w:bottom w:val="nil"/>
              <w:right w:val="single" w:sz="4" w:space="0" w:color="auto"/>
            </w:tcBorders>
            <w:shd w:val="clear" w:color="auto" w:fill="auto"/>
            <w:noWrap/>
            <w:vAlign w:val="bottom"/>
            <w:hideMark/>
          </w:tcPr>
          <w:p w14:paraId="6FC4C7E2" w14:textId="7E81C37B" w:rsidR="00F73190" w:rsidRPr="004E74A6" w:rsidRDefault="00F73190" w:rsidP="00CE62C1">
            <w:pPr>
              <w:spacing w:line="276" w:lineRule="auto"/>
              <w:jc w:val="center"/>
              <w:rPr>
                <w:sz w:val="20"/>
                <w:lang w:eastAsia="es-CR"/>
              </w:rPr>
            </w:pPr>
            <w:r w:rsidRPr="004E74A6">
              <w:rPr>
                <w:rFonts w:cs="Calibri"/>
                <w:color w:val="000000"/>
                <w:sz w:val="20"/>
              </w:rPr>
              <w:t>0</w:t>
            </w:r>
          </w:p>
        </w:tc>
        <w:tc>
          <w:tcPr>
            <w:tcW w:w="473" w:type="pct"/>
            <w:tcBorders>
              <w:top w:val="nil"/>
              <w:left w:val="single" w:sz="4" w:space="0" w:color="auto"/>
              <w:bottom w:val="nil"/>
              <w:right w:val="single" w:sz="4" w:space="0" w:color="auto"/>
            </w:tcBorders>
            <w:shd w:val="clear" w:color="auto" w:fill="auto"/>
            <w:noWrap/>
            <w:vAlign w:val="bottom"/>
            <w:hideMark/>
          </w:tcPr>
          <w:p w14:paraId="6B352435" w14:textId="3F2B572D" w:rsidR="00F73190" w:rsidRPr="004E74A6" w:rsidRDefault="00F73190" w:rsidP="00CE62C1">
            <w:pPr>
              <w:spacing w:line="276" w:lineRule="auto"/>
              <w:jc w:val="center"/>
              <w:rPr>
                <w:rFonts w:cs="Calibri"/>
                <w:color w:val="000000"/>
                <w:sz w:val="20"/>
                <w:lang w:eastAsia="es-CR"/>
              </w:rPr>
            </w:pPr>
            <w:r w:rsidRPr="004E74A6">
              <w:rPr>
                <w:rFonts w:cs="Calibri"/>
                <w:color w:val="000000"/>
                <w:sz w:val="20"/>
              </w:rPr>
              <w:t>1</w:t>
            </w:r>
          </w:p>
        </w:tc>
        <w:tc>
          <w:tcPr>
            <w:tcW w:w="632" w:type="pct"/>
            <w:tcBorders>
              <w:top w:val="nil"/>
              <w:left w:val="single" w:sz="4" w:space="0" w:color="auto"/>
              <w:bottom w:val="nil"/>
              <w:right w:val="nil"/>
            </w:tcBorders>
            <w:shd w:val="clear" w:color="auto" w:fill="auto"/>
            <w:noWrap/>
            <w:vAlign w:val="bottom"/>
            <w:hideMark/>
          </w:tcPr>
          <w:p w14:paraId="70BAEFE0" w14:textId="5A273411" w:rsidR="00F73190" w:rsidRPr="004E74A6" w:rsidRDefault="00F73190" w:rsidP="00CE62C1">
            <w:pPr>
              <w:spacing w:line="276" w:lineRule="auto"/>
              <w:jc w:val="center"/>
              <w:rPr>
                <w:rFonts w:cs="Calibri"/>
                <w:color w:val="000000"/>
                <w:sz w:val="20"/>
                <w:lang w:eastAsia="es-CR"/>
              </w:rPr>
            </w:pPr>
            <w:r w:rsidRPr="004E74A6">
              <w:rPr>
                <w:rFonts w:cs="Calibri"/>
                <w:color w:val="000000"/>
                <w:sz w:val="20"/>
              </w:rPr>
              <w:t>0</w:t>
            </w:r>
          </w:p>
        </w:tc>
      </w:tr>
      <w:tr w:rsidR="00F73190" w:rsidRPr="004E74A6" w14:paraId="194F3437" w14:textId="77777777" w:rsidTr="00B32800">
        <w:trPr>
          <w:trHeight w:val="288"/>
          <w:jc w:val="center"/>
        </w:trPr>
        <w:tc>
          <w:tcPr>
            <w:tcW w:w="2949" w:type="pct"/>
            <w:tcBorders>
              <w:top w:val="nil"/>
              <w:left w:val="nil"/>
              <w:bottom w:val="nil"/>
              <w:right w:val="single" w:sz="4" w:space="0" w:color="auto"/>
            </w:tcBorders>
            <w:shd w:val="clear" w:color="auto" w:fill="auto"/>
            <w:noWrap/>
            <w:vAlign w:val="bottom"/>
            <w:hideMark/>
          </w:tcPr>
          <w:p w14:paraId="37C9F62C" w14:textId="77777777" w:rsidR="00F73190" w:rsidRPr="004E74A6" w:rsidRDefault="00F73190" w:rsidP="00CE62C1">
            <w:pPr>
              <w:spacing w:line="276" w:lineRule="auto"/>
              <w:ind w:firstLineChars="200" w:firstLine="400"/>
              <w:jc w:val="left"/>
              <w:rPr>
                <w:rFonts w:cs="Calibri"/>
                <w:color w:val="000000"/>
                <w:sz w:val="20"/>
                <w:lang w:eastAsia="es-CR"/>
              </w:rPr>
            </w:pPr>
            <w:r w:rsidRPr="004E74A6">
              <w:rPr>
                <w:rFonts w:cs="Calibri"/>
                <w:color w:val="000000"/>
                <w:sz w:val="20"/>
                <w:lang w:eastAsia="es-CR"/>
              </w:rPr>
              <w:t>Sumario De Desahucio</w:t>
            </w:r>
          </w:p>
        </w:tc>
        <w:tc>
          <w:tcPr>
            <w:tcW w:w="473" w:type="pct"/>
            <w:tcBorders>
              <w:top w:val="nil"/>
              <w:left w:val="single" w:sz="4" w:space="0" w:color="auto"/>
              <w:bottom w:val="nil"/>
              <w:right w:val="single" w:sz="4" w:space="0" w:color="auto"/>
            </w:tcBorders>
            <w:shd w:val="clear" w:color="auto" w:fill="auto"/>
            <w:noWrap/>
            <w:vAlign w:val="bottom"/>
            <w:hideMark/>
          </w:tcPr>
          <w:p w14:paraId="59F5CE40" w14:textId="40767BCC" w:rsidR="00F73190" w:rsidRPr="004E74A6" w:rsidRDefault="00F73190" w:rsidP="00CE62C1">
            <w:pPr>
              <w:spacing w:line="276" w:lineRule="auto"/>
              <w:jc w:val="center"/>
              <w:rPr>
                <w:rFonts w:cs="Calibri"/>
                <w:color w:val="000000"/>
                <w:sz w:val="20"/>
                <w:lang w:eastAsia="es-CR"/>
              </w:rPr>
            </w:pPr>
            <w:r w:rsidRPr="004E74A6">
              <w:rPr>
                <w:rFonts w:cs="Calibri"/>
                <w:color w:val="000000"/>
                <w:sz w:val="20"/>
              </w:rPr>
              <w:t>1</w:t>
            </w:r>
          </w:p>
        </w:tc>
        <w:tc>
          <w:tcPr>
            <w:tcW w:w="473" w:type="pct"/>
            <w:tcBorders>
              <w:top w:val="nil"/>
              <w:left w:val="single" w:sz="4" w:space="0" w:color="auto"/>
              <w:bottom w:val="nil"/>
              <w:right w:val="single" w:sz="4" w:space="0" w:color="auto"/>
            </w:tcBorders>
            <w:shd w:val="clear" w:color="auto" w:fill="auto"/>
            <w:noWrap/>
            <w:vAlign w:val="bottom"/>
            <w:hideMark/>
          </w:tcPr>
          <w:p w14:paraId="45F6460A" w14:textId="1C780B5E" w:rsidR="00F73190" w:rsidRPr="004E74A6" w:rsidRDefault="00F73190" w:rsidP="00CE62C1">
            <w:pPr>
              <w:spacing w:line="276" w:lineRule="auto"/>
              <w:jc w:val="center"/>
              <w:rPr>
                <w:rFonts w:cs="Calibri"/>
                <w:color w:val="000000"/>
                <w:sz w:val="20"/>
                <w:lang w:eastAsia="es-CR"/>
              </w:rPr>
            </w:pPr>
            <w:r w:rsidRPr="004E74A6">
              <w:rPr>
                <w:rFonts w:cs="Calibri"/>
                <w:color w:val="000000"/>
                <w:sz w:val="20"/>
              </w:rPr>
              <w:t>0</w:t>
            </w:r>
          </w:p>
        </w:tc>
        <w:tc>
          <w:tcPr>
            <w:tcW w:w="473" w:type="pct"/>
            <w:tcBorders>
              <w:top w:val="nil"/>
              <w:left w:val="single" w:sz="4" w:space="0" w:color="auto"/>
              <w:bottom w:val="nil"/>
              <w:right w:val="single" w:sz="4" w:space="0" w:color="auto"/>
            </w:tcBorders>
            <w:shd w:val="clear" w:color="auto" w:fill="auto"/>
            <w:noWrap/>
            <w:vAlign w:val="bottom"/>
            <w:hideMark/>
          </w:tcPr>
          <w:p w14:paraId="13E9D0D7" w14:textId="4458C8D9" w:rsidR="00F73190" w:rsidRPr="004E74A6" w:rsidRDefault="00F73190" w:rsidP="00CE62C1">
            <w:pPr>
              <w:spacing w:line="276" w:lineRule="auto"/>
              <w:jc w:val="center"/>
              <w:rPr>
                <w:sz w:val="20"/>
                <w:lang w:eastAsia="es-CR"/>
              </w:rPr>
            </w:pPr>
            <w:r w:rsidRPr="004E74A6">
              <w:rPr>
                <w:rFonts w:cs="Calibri"/>
                <w:color w:val="000000"/>
                <w:sz w:val="20"/>
              </w:rPr>
              <w:t>0</w:t>
            </w:r>
          </w:p>
        </w:tc>
        <w:tc>
          <w:tcPr>
            <w:tcW w:w="632" w:type="pct"/>
            <w:tcBorders>
              <w:top w:val="nil"/>
              <w:left w:val="single" w:sz="4" w:space="0" w:color="auto"/>
              <w:bottom w:val="nil"/>
              <w:right w:val="nil"/>
            </w:tcBorders>
            <w:shd w:val="clear" w:color="auto" w:fill="auto"/>
            <w:noWrap/>
            <w:vAlign w:val="bottom"/>
            <w:hideMark/>
          </w:tcPr>
          <w:p w14:paraId="0BFD8E77" w14:textId="25DB702C" w:rsidR="00F73190" w:rsidRPr="004E74A6" w:rsidRDefault="00F73190" w:rsidP="00CE62C1">
            <w:pPr>
              <w:spacing w:line="276" w:lineRule="auto"/>
              <w:jc w:val="center"/>
              <w:rPr>
                <w:rFonts w:cs="Calibri"/>
                <w:color w:val="000000"/>
                <w:sz w:val="20"/>
                <w:lang w:eastAsia="es-CR"/>
              </w:rPr>
            </w:pPr>
            <w:r w:rsidRPr="004E74A6">
              <w:rPr>
                <w:rFonts w:cs="Calibri"/>
                <w:color w:val="000000"/>
                <w:sz w:val="20"/>
              </w:rPr>
              <w:t>0</w:t>
            </w:r>
          </w:p>
        </w:tc>
      </w:tr>
      <w:tr w:rsidR="00F73190" w:rsidRPr="004E74A6" w14:paraId="19CC8441" w14:textId="77777777" w:rsidTr="00B32800">
        <w:trPr>
          <w:trHeight w:val="288"/>
          <w:jc w:val="center"/>
        </w:trPr>
        <w:tc>
          <w:tcPr>
            <w:tcW w:w="2949" w:type="pct"/>
            <w:tcBorders>
              <w:top w:val="nil"/>
              <w:left w:val="nil"/>
              <w:right w:val="single" w:sz="4" w:space="0" w:color="auto"/>
            </w:tcBorders>
            <w:shd w:val="clear" w:color="auto" w:fill="auto"/>
            <w:noWrap/>
            <w:vAlign w:val="bottom"/>
            <w:hideMark/>
          </w:tcPr>
          <w:p w14:paraId="0E92D250" w14:textId="77777777" w:rsidR="00F73190" w:rsidRPr="004E74A6" w:rsidRDefault="00F73190" w:rsidP="00CE62C1">
            <w:pPr>
              <w:spacing w:line="276" w:lineRule="auto"/>
              <w:ind w:firstLineChars="200" w:firstLine="400"/>
              <w:jc w:val="left"/>
              <w:rPr>
                <w:rFonts w:cs="Calibri"/>
                <w:color w:val="000000"/>
                <w:sz w:val="20"/>
                <w:lang w:eastAsia="es-CR"/>
              </w:rPr>
            </w:pPr>
            <w:r w:rsidRPr="004E74A6">
              <w:rPr>
                <w:rFonts w:cs="Calibri"/>
                <w:color w:val="000000"/>
                <w:sz w:val="20"/>
                <w:lang w:eastAsia="es-CR"/>
              </w:rPr>
              <w:t>Sumario De Reajuste Del Precio Del Arrendamiento</w:t>
            </w:r>
          </w:p>
        </w:tc>
        <w:tc>
          <w:tcPr>
            <w:tcW w:w="473" w:type="pct"/>
            <w:tcBorders>
              <w:top w:val="nil"/>
              <w:left w:val="single" w:sz="4" w:space="0" w:color="auto"/>
              <w:right w:val="single" w:sz="4" w:space="0" w:color="auto"/>
            </w:tcBorders>
            <w:shd w:val="clear" w:color="auto" w:fill="auto"/>
            <w:noWrap/>
            <w:vAlign w:val="bottom"/>
            <w:hideMark/>
          </w:tcPr>
          <w:p w14:paraId="319B009C" w14:textId="6E6B1755" w:rsidR="00F73190" w:rsidRPr="004E74A6" w:rsidRDefault="00F73190" w:rsidP="00CE62C1">
            <w:pPr>
              <w:spacing w:line="276" w:lineRule="auto"/>
              <w:jc w:val="center"/>
              <w:rPr>
                <w:sz w:val="20"/>
                <w:lang w:eastAsia="es-CR"/>
              </w:rPr>
            </w:pPr>
            <w:r w:rsidRPr="004E74A6">
              <w:rPr>
                <w:rFonts w:cs="Calibri"/>
                <w:color w:val="000000"/>
                <w:sz w:val="20"/>
              </w:rPr>
              <w:t>0</w:t>
            </w:r>
          </w:p>
        </w:tc>
        <w:tc>
          <w:tcPr>
            <w:tcW w:w="473" w:type="pct"/>
            <w:tcBorders>
              <w:top w:val="nil"/>
              <w:left w:val="single" w:sz="4" w:space="0" w:color="auto"/>
              <w:right w:val="single" w:sz="4" w:space="0" w:color="auto"/>
            </w:tcBorders>
            <w:shd w:val="clear" w:color="auto" w:fill="auto"/>
            <w:noWrap/>
            <w:vAlign w:val="bottom"/>
            <w:hideMark/>
          </w:tcPr>
          <w:p w14:paraId="22732755" w14:textId="1D6AFF6F" w:rsidR="00F73190" w:rsidRPr="004E74A6" w:rsidRDefault="00F73190" w:rsidP="00CE62C1">
            <w:pPr>
              <w:spacing w:line="276" w:lineRule="auto"/>
              <w:jc w:val="center"/>
              <w:rPr>
                <w:sz w:val="20"/>
                <w:lang w:eastAsia="es-CR"/>
              </w:rPr>
            </w:pPr>
            <w:r w:rsidRPr="004E74A6">
              <w:rPr>
                <w:rFonts w:cs="Calibri"/>
                <w:color w:val="000000"/>
                <w:sz w:val="20"/>
              </w:rPr>
              <w:t>0</w:t>
            </w:r>
          </w:p>
        </w:tc>
        <w:tc>
          <w:tcPr>
            <w:tcW w:w="473" w:type="pct"/>
            <w:tcBorders>
              <w:top w:val="nil"/>
              <w:left w:val="single" w:sz="4" w:space="0" w:color="auto"/>
              <w:right w:val="single" w:sz="4" w:space="0" w:color="auto"/>
            </w:tcBorders>
            <w:shd w:val="clear" w:color="auto" w:fill="auto"/>
            <w:noWrap/>
            <w:vAlign w:val="bottom"/>
            <w:hideMark/>
          </w:tcPr>
          <w:p w14:paraId="36B8A65F" w14:textId="27E4A014" w:rsidR="00F73190" w:rsidRPr="004E74A6" w:rsidRDefault="00F73190" w:rsidP="00CE62C1">
            <w:pPr>
              <w:spacing w:line="276" w:lineRule="auto"/>
              <w:jc w:val="center"/>
              <w:rPr>
                <w:rFonts w:cs="Calibri"/>
                <w:color w:val="000000"/>
                <w:sz w:val="20"/>
                <w:lang w:eastAsia="es-CR"/>
              </w:rPr>
            </w:pPr>
            <w:r w:rsidRPr="004E74A6">
              <w:rPr>
                <w:rFonts w:cs="Calibri"/>
                <w:color w:val="000000"/>
                <w:sz w:val="20"/>
              </w:rPr>
              <w:t>1</w:t>
            </w:r>
          </w:p>
        </w:tc>
        <w:tc>
          <w:tcPr>
            <w:tcW w:w="632" w:type="pct"/>
            <w:tcBorders>
              <w:top w:val="nil"/>
              <w:left w:val="single" w:sz="4" w:space="0" w:color="auto"/>
              <w:right w:val="nil"/>
            </w:tcBorders>
            <w:shd w:val="clear" w:color="auto" w:fill="auto"/>
            <w:noWrap/>
            <w:vAlign w:val="bottom"/>
            <w:hideMark/>
          </w:tcPr>
          <w:p w14:paraId="64D350B8" w14:textId="427742D9" w:rsidR="00F73190" w:rsidRPr="004E74A6" w:rsidRDefault="00F73190" w:rsidP="00CE62C1">
            <w:pPr>
              <w:spacing w:line="276" w:lineRule="auto"/>
              <w:jc w:val="center"/>
              <w:rPr>
                <w:rFonts w:cs="Calibri"/>
                <w:color w:val="000000"/>
                <w:sz w:val="20"/>
                <w:lang w:eastAsia="es-CR"/>
              </w:rPr>
            </w:pPr>
            <w:r w:rsidRPr="004E74A6">
              <w:rPr>
                <w:rFonts w:cs="Calibri"/>
                <w:color w:val="000000"/>
                <w:sz w:val="20"/>
              </w:rPr>
              <w:t>0,3</w:t>
            </w:r>
          </w:p>
        </w:tc>
      </w:tr>
      <w:tr w:rsidR="008647ED" w:rsidRPr="004E74A6" w14:paraId="23A6AD3C" w14:textId="77777777" w:rsidTr="003E4755">
        <w:trPr>
          <w:trHeight w:val="288"/>
          <w:jc w:val="center"/>
        </w:trPr>
        <w:tc>
          <w:tcPr>
            <w:tcW w:w="2949" w:type="pct"/>
            <w:tcBorders>
              <w:top w:val="nil"/>
              <w:left w:val="nil"/>
              <w:bottom w:val="single" w:sz="4" w:space="0" w:color="auto"/>
              <w:right w:val="single" w:sz="4" w:space="0" w:color="auto"/>
            </w:tcBorders>
            <w:shd w:val="clear" w:color="auto" w:fill="auto"/>
            <w:noWrap/>
            <w:vAlign w:val="bottom"/>
          </w:tcPr>
          <w:p w14:paraId="55FA6A2F" w14:textId="77777777" w:rsidR="008647ED" w:rsidRPr="004E74A6" w:rsidRDefault="008647ED" w:rsidP="00CE62C1">
            <w:pPr>
              <w:spacing w:line="276" w:lineRule="auto"/>
              <w:ind w:firstLineChars="200" w:firstLine="400"/>
              <w:jc w:val="left"/>
              <w:rPr>
                <w:rFonts w:cs="Calibri"/>
                <w:color w:val="000000"/>
                <w:sz w:val="20"/>
                <w:lang w:eastAsia="es-CR"/>
              </w:rPr>
            </w:pPr>
          </w:p>
        </w:tc>
        <w:tc>
          <w:tcPr>
            <w:tcW w:w="473" w:type="pct"/>
            <w:tcBorders>
              <w:top w:val="nil"/>
              <w:left w:val="single" w:sz="4" w:space="0" w:color="auto"/>
              <w:bottom w:val="single" w:sz="4" w:space="0" w:color="auto"/>
              <w:right w:val="single" w:sz="4" w:space="0" w:color="auto"/>
            </w:tcBorders>
            <w:shd w:val="clear" w:color="auto" w:fill="auto"/>
            <w:noWrap/>
            <w:vAlign w:val="center"/>
          </w:tcPr>
          <w:p w14:paraId="02C86C3D" w14:textId="77777777" w:rsidR="008647ED" w:rsidRPr="004E74A6" w:rsidRDefault="008647ED" w:rsidP="00CE62C1">
            <w:pPr>
              <w:spacing w:line="276" w:lineRule="auto"/>
              <w:jc w:val="center"/>
              <w:rPr>
                <w:sz w:val="20"/>
                <w:lang w:eastAsia="es-CR"/>
              </w:rPr>
            </w:pPr>
          </w:p>
        </w:tc>
        <w:tc>
          <w:tcPr>
            <w:tcW w:w="473" w:type="pct"/>
            <w:tcBorders>
              <w:top w:val="nil"/>
              <w:left w:val="single" w:sz="4" w:space="0" w:color="auto"/>
              <w:bottom w:val="single" w:sz="4" w:space="0" w:color="auto"/>
              <w:right w:val="single" w:sz="4" w:space="0" w:color="auto"/>
            </w:tcBorders>
            <w:shd w:val="clear" w:color="auto" w:fill="auto"/>
            <w:noWrap/>
            <w:vAlign w:val="center"/>
          </w:tcPr>
          <w:p w14:paraId="5DED077F" w14:textId="77777777" w:rsidR="008647ED" w:rsidRPr="004E74A6" w:rsidRDefault="008647ED" w:rsidP="00CE62C1">
            <w:pPr>
              <w:spacing w:line="276" w:lineRule="auto"/>
              <w:jc w:val="center"/>
              <w:rPr>
                <w:sz w:val="20"/>
                <w:lang w:eastAsia="es-CR"/>
              </w:rPr>
            </w:pPr>
          </w:p>
        </w:tc>
        <w:tc>
          <w:tcPr>
            <w:tcW w:w="473" w:type="pct"/>
            <w:tcBorders>
              <w:top w:val="nil"/>
              <w:left w:val="single" w:sz="4" w:space="0" w:color="auto"/>
              <w:bottom w:val="single" w:sz="4" w:space="0" w:color="auto"/>
              <w:right w:val="single" w:sz="4" w:space="0" w:color="auto"/>
            </w:tcBorders>
            <w:shd w:val="clear" w:color="auto" w:fill="auto"/>
            <w:noWrap/>
            <w:vAlign w:val="center"/>
          </w:tcPr>
          <w:p w14:paraId="69457AD6" w14:textId="77777777" w:rsidR="008647ED" w:rsidRPr="004E74A6" w:rsidRDefault="008647ED" w:rsidP="00CE62C1">
            <w:pPr>
              <w:spacing w:line="276" w:lineRule="auto"/>
              <w:jc w:val="center"/>
              <w:rPr>
                <w:rFonts w:cs="Calibri"/>
                <w:color w:val="000000"/>
                <w:sz w:val="20"/>
                <w:lang w:eastAsia="es-CR"/>
              </w:rPr>
            </w:pPr>
          </w:p>
        </w:tc>
        <w:tc>
          <w:tcPr>
            <w:tcW w:w="632" w:type="pct"/>
            <w:tcBorders>
              <w:top w:val="nil"/>
              <w:left w:val="single" w:sz="4" w:space="0" w:color="auto"/>
              <w:bottom w:val="single" w:sz="4" w:space="0" w:color="auto"/>
              <w:right w:val="nil"/>
            </w:tcBorders>
            <w:shd w:val="clear" w:color="auto" w:fill="auto"/>
            <w:noWrap/>
            <w:vAlign w:val="center"/>
          </w:tcPr>
          <w:p w14:paraId="29866392" w14:textId="77777777" w:rsidR="008647ED" w:rsidRPr="004E74A6" w:rsidRDefault="008647ED" w:rsidP="00CE62C1">
            <w:pPr>
              <w:spacing w:line="276" w:lineRule="auto"/>
              <w:jc w:val="center"/>
              <w:rPr>
                <w:rFonts w:cs="Calibri"/>
                <w:color w:val="000000"/>
                <w:sz w:val="20"/>
                <w:lang w:eastAsia="es-CR"/>
              </w:rPr>
            </w:pPr>
          </w:p>
        </w:tc>
      </w:tr>
    </w:tbl>
    <w:p w14:paraId="5BF39E34" w14:textId="77777777" w:rsidR="003E4755" w:rsidRPr="004E74A6" w:rsidRDefault="003E4755" w:rsidP="00832773">
      <w:pPr>
        <w:spacing w:line="276" w:lineRule="auto"/>
        <w:rPr>
          <w:rFonts w:cs="Calibri"/>
          <w:i/>
          <w:iCs/>
          <w:color w:val="000000"/>
          <w:sz w:val="20"/>
          <w:lang w:eastAsia="es-CR"/>
        </w:rPr>
      </w:pPr>
      <w:r w:rsidRPr="004E74A6">
        <w:rPr>
          <w:rFonts w:cs="Calibri"/>
          <w:b/>
          <w:bCs/>
          <w:i/>
          <w:iCs/>
          <w:color w:val="000000"/>
          <w:sz w:val="20"/>
          <w:lang w:eastAsia="es-CR"/>
        </w:rPr>
        <w:t>Fuente</w:t>
      </w:r>
      <w:r w:rsidRPr="004E74A6">
        <w:rPr>
          <w:rFonts w:cs="Calibri"/>
          <w:i/>
          <w:iCs/>
          <w:color w:val="000000"/>
          <w:sz w:val="20"/>
          <w:lang w:eastAsia="es-CR"/>
        </w:rPr>
        <w:t>: Subproceso de Modernización Institucional con datos extraídos del sistema SIGMA, Dirección de Planificación.</w:t>
      </w:r>
    </w:p>
    <w:p w14:paraId="4C509E6E" w14:textId="77777777" w:rsidR="008647ED" w:rsidRPr="004E74A6" w:rsidRDefault="008647ED" w:rsidP="00CE62C1">
      <w:pPr>
        <w:spacing w:after="160" w:line="276" w:lineRule="auto"/>
        <w:rPr>
          <w:rFonts w:cs="Calibri"/>
          <w:color w:val="000000"/>
          <w:szCs w:val="24"/>
          <w:lang w:eastAsia="es-CR"/>
        </w:rPr>
      </w:pPr>
    </w:p>
    <w:p w14:paraId="03C7CB67" w14:textId="7EAB9F3A" w:rsidR="00F73190" w:rsidRPr="004E74A6" w:rsidRDefault="000B51BD" w:rsidP="00CE62C1">
      <w:pPr>
        <w:spacing w:after="160" w:line="276" w:lineRule="auto"/>
        <w:rPr>
          <w:rFonts w:cs="Calibri"/>
          <w:color w:val="000000"/>
          <w:szCs w:val="24"/>
          <w:lang w:eastAsia="es-CR"/>
        </w:rPr>
      </w:pPr>
      <w:r>
        <w:rPr>
          <w:rFonts w:cs="Calibri"/>
          <w:color w:val="000000"/>
          <w:szCs w:val="24"/>
          <w:lang w:eastAsia="es-CR"/>
        </w:rPr>
        <w:t>En</w:t>
      </w:r>
      <w:r w:rsidR="00F73190" w:rsidRPr="004E74A6">
        <w:rPr>
          <w:rFonts w:cs="Calibri"/>
          <w:color w:val="000000"/>
          <w:szCs w:val="24"/>
          <w:lang w:eastAsia="es-CR"/>
        </w:rPr>
        <w:t xml:space="preserve"> la siguiente tabla se puede observar el detalle de la cuantía según los procedimientos ordinarios del Tribunal.</w:t>
      </w:r>
    </w:p>
    <w:p w14:paraId="22D2F30E" w14:textId="30D73A7F" w:rsidR="00F73190" w:rsidRPr="004E74A6" w:rsidRDefault="00F73190" w:rsidP="00CE62C1">
      <w:pPr>
        <w:spacing w:line="276" w:lineRule="auto"/>
        <w:rPr>
          <w:rFonts w:cs="Calibri"/>
          <w:color w:val="000000"/>
          <w:szCs w:val="24"/>
          <w:lang w:eastAsia="es-CR"/>
        </w:rPr>
      </w:pPr>
      <w:r w:rsidRPr="004E74A6">
        <w:rPr>
          <w:rFonts w:cs="Calibri"/>
          <w:color w:val="000000"/>
          <w:szCs w:val="24"/>
          <w:lang w:eastAsia="es-CR"/>
        </w:rPr>
        <w:t xml:space="preserve">De los procesos ordinarios ingresados en el Tribunal, en promedio 4 asuntos son inestimables (4%), </w:t>
      </w:r>
      <w:r w:rsidR="006E68BE" w:rsidRPr="004E74A6">
        <w:rPr>
          <w:rFonts w:cs="Calibri"/>
          <w:color w:val="000000"/>
          <w:szCs w:val="24"/>
          <w:lang w:eastAsia="es-CR"/>
        </w:rPr>
        <w:t>70</w:t>
      </w:r>
      <w:r w:rsidRPr="004E74A6">
        <w:rPr>
          <w:rFonts w:cs="Calibri"/>
          <w:color w:val="000000"/>
          <w:szCs w:val="24"/>
          <w:lang w:eastAsia="es-CR"/>
        </w:rPr>
        <w:t xml:space="preserve"> estimables (6</w:t>
      </w:r>
      <w:r w:rsidR="006E68BE" w:rsidRPr="004E74A6">
        <w:rPr>
          <w:rFonts w:cs="Calibri"/>
          <w:color w:val="000000"/>
          <w:szCs w:val="24"/>
          <w:lang w:eastAsia="es-CR"/>
        </w:rPr>
        <w:t>6</w:t>
      </w:r>
      <w:r w:rsidRPr="004E74A6">
        <w:rPr>
          <w:rFonts w:cs="Calibri"/>
          <w:color w:val="000000"/>
          <w:szCs w:val="24"/>
          <w:lang w:eastAsia="es-CR"/>
        </w:rPr>
        <w:t xml:space="preserve">%), </w:t>
      </w:r>
      <w:r w:rsidR="006E68BE" w:rsidRPr="004E74A6">
        <w:rPr>
          <w:rFonts w:cs="Calibri"/>
          <w:color w:val="000000"/>
          <w:szCs w:val="24"/>
          <w:lang w:eastAsia="es-CR"/>
        </w:rPr>
        <w:t>5</w:t>
      </w:r>
      <w:r w:rsidRPr="004E74A6">
        <w:rPr>
          <w:rFonts w:cs="Calibri"/>
          <w:color w:val="000000"/>
          <w:szCs w:val="24"/>
          <w:lang w:eastAsia="es-CR"/>
        </w:rPr>
        <w:t xml:space="preserve"> casos “no aplica” (</w:t>
      </w:r>
      <w:r w:rsidR="006E68BE" w:rsidRPr="004E74A6">
        <w:rPr>
          <w:rFonts w:cs="Calibri"/>
          <w:color w:val="000000"/>
          <w:szCs w:val="24"/>
          <w:lang w:eastAsia="es-CR"/>
        </w:rPr>
        <w:t>4</w:t>
      </w:r>
      <w:r w:rsidRPr="004E74A6">
        <w:rPr>
          <w:rFonts w:cs="Calibri"/>
          <w:color w:val="000000"/>
          <w:szCs w:val="24"/>
          <w:lang w:eastAsia="es-CR"/>
        </w:rPr>
        <w:t xml:space="preserve">%) y sin actualizar </w:t>
      </w:r>
      <w:r w:rsidR="006E68BE" w:rsidRPr="004E74A6">
        <w:rPr>
          <w:rFonts w:cs="Calibri"/>
          <w:color w:val="000000"/>
          <w:szCs w:val="24"/>
          <w:lang w:eastAsia="es-CR"/>
        </w:rPr>
        <w:t>28</w:t>
      </w:r>
      <w:r w:rsidRPr="004E74A6">
        <w:rPr>
          <w:rFonts w:cs="Calibri"/>
          <w:color w:val="000000"/>
          <w:szCs w:val="24"/>
          <w:lang w:eastAsia="es-CR"/>
        </w:rPr>
        <w:t xml:space="preserve"> casos (2</w:t>
      </w:r>
      <w:r w:rsidR="006E68BE" w:rsidRPr="004E74A6">
        <w:rPr>
          <w:rFonts w:cs="Calibri"/>
          <w:color w:val="000000"/>
          <w:szCs w:val="24"/>
          <w:lang w:eastAsia="es-CR"/>
        </w:rPr>
        <w:t>6</w:t>
      </w:r>
      <w:r w:rsidRPr="004E74A6">
        <w:rPr>
          <w:rFonts w:cs="Calibri"/>
          <w:color w:val="000000"/>
          <w:szCs w:val="24"/>
          <w:lang w:eastAsia="es-CR"/>
        </w:rPr>
        <w:t>%).</w:t>
      </w:r>
    </w:p>
    <w:p w14:paraId="11C32240" w14:textId="77777777" w:rsidR="00F73190" w:rsidRPr="004E74A6" w:rsidRDefault="00F73190" w:rsidP="00CE62C1">
      <w:pPr>
        <w:spacing w:line="276" w:lineRule="auto"/>
        <w:rPr>
          <w:rFonts w:cs="Calibri"/>
          <w:color w:val="000000"/>
          <w:szCs w:val="24"/>
          <w:lang w:eastAsia="es-CR"/>
        </w:rPr>
      </w:pPr>
    </w:p>
    <w:p w14:paraId="0605B3A4" w14:textId="4BE25811" w:rsidR="00F73190" w:rsidRPr="004E74A6" w:rsidRDefault="00F73190" w:rsidP="00CE62C1">
      <w:pPr>
        <w:spacing w:line="276" w:lineRule="auto"/>
        <w:rPr>
          <w:rFonts w:cs="Calibri"/>
          <w:color w:val="000000"/>
          <w:szCs w:val="24"/>
          <w:lang w:eastAsia="es-CR"/>
        </w:rPr>
      </w:pPr>
      <w:r w:rsidRPr="004E74A6">
        <w:rPr>
          <w:rFonts w:cs="Calibri"/>
          <w:color w:val="000000"/>
          <w:szCs w:val="24"/>
          <w:lang w:eastAsia="es-CR"/>
        </w:rPr>
        <w:t>De lo anterior, el</w:t>
      </w:r>
      <w:r w:rsidR="006E68BE" w:rsidRPr="004E74A6">
        <w:rPr>
          <w:rFonts w:cs="Calibri"/>
          <w:color w:val="000000"/>
          <w:szCs w:val="24"/>
          <w:lang w:eastAsia="es-CR"/>
        </w:rPr>
        <w:t xml:space="preserve"> 4</w:t>
      </w:r>
      <w:r w:rsidRPr="004E74A6">
        <w:rPr>
          <w:rFonts w:cs="Calibri"/>
          <w:color w:val="000000"/>
          <w:szCs w:val="24"/>
          <w:lang w:eastAsia="es-CR"/>
        </w:rPr>
        <w:t xml:space="preserve">% que indicaron no aplica cuantía, se debe a una actualización errores a de la informa, ya que desde el inicio en el uso de la mejora se les indicó a las oficinas que esta opción solo aplica para materia de Trabajo, no así para Civil donde los asuntos son estimables o inestimables solamente. </w:t>
      </w:r>
    </w:p>
    <w:p w14:paraId="23C94B82" w14:textId="77777777" w:rsidR="00F73190" w:rsidRPr="004E74A6" w:rsidRDefault="00F73190" w:rsidP="00CE62C1">
      <w:pPr>
        <w:spacing w:line="276" w:lineRule="auto"/>
        <w:rPr>
          <w:rFonts w:cs="Calibri"/>
          <w:color w:val="000000"/>
          <w:szCs w:val="24"/>
          <w:lang w:eastAsia="es-CR"/>
        </w:rPr>
      </w:pPr>
    </w:p>
    <w:p w14:paraId="16ADDB69" w14:textId="77777777" w:rsidR="004E4F14" w:rsidRDefault="004E4F14" w:rsidP="00CE62C1">
      <w:pPr>
        <w:spacing w:line="276" w:lineRule="auto"/>
        <w:rPr>
          <w:rFonts w:cs="Calibri"/>
          <w:color w:val="000000"/>
          <w:szCs w:val="24"/>
          <w:lang w:eastAsia="es-CR"/>
        </w:rPr>
      </w:pPr>
    </w:p>
    <w:p w14:paraId="3AB89038" w14:textId="77777777" w:rsidR="004E4F14" w:rsidRDefault="004E4F14" w:rsidP="00CE62C1">
      <w:pPr>
        <w:spacing w:line="276" w:lineRule="auto"/>
        <w:rPr>
          <w:rFonts w:cs="Calibri"/>
          <w:color w:val="000000"/>
          <w:szCs w:val="24"/>
          <w:lang w:eastAsia="es-CR"/>
        </w:rPr>
      </w:pPr>
    </w:p>
    <w:p w14:paraId="6601D534" w14:textId="77777777" w:rsidR="004E4F14" w:rsidRDefault="004E4F14" w:rsidP="00CE62C1">
      <w:pPr>
        <w:spacing w:line="276" w:lineRule="auto"/>
        <w:rPr>
          <w:rFonts w:cs="Calibri"/>
          <w:color w:val="000000"/>
          <w:szCs w:val="24"/>
          <w:lang w:eastAsia="es-CR"/>
        </w:rPr>
      </w:pPr>
    </w:p>
    <w:p w14:paraId="5EDCC6AA" w14:textId="77777777" w:rsidR="004E4F14" w:rsidRDefault="004E4F14" w:rsidP="00CE62C1">
      <w:pPr>
        <w:spacing w:line="276" w:lineRule="auto"/>
        <w:rPr>
          <w:rFonts w:cs="Calibri"/>
          <w:color w:val="000000"/>
          <w:szCs w:val="24"/>
          <w:lang w:eastAsia="es-CR"/>
        </w:rPr>
      </w:pPr>
    </w:p>
    <w:p w14:paraId="7C628527" w14:textId="6F5D06DA" w:rsidR="00F73190" w:rsidRPr="004E74A6" w:rsidRDefault="00F73190" w:rsidP="00CE62C1">
      <w:pPr>
        <w:spacing w:line="276" w:lineRule="auto"/>
        <w:rPr>
          <w:rFonts w:cs="Calibri"/>
          <w:color w:val="000000"/>
          <w:szCs w:val="24"/>
          <w:lang w:eastAsia="es-CR"/>
        </w:rPr>
      </w:pPr>
      <w:r w:rsidRPr="004E74A6">
        <w:rPr>
          <w:rFonts w:cs="Calibri"/>
          <w:color w:val="000000"/>
          <w:szCs w:val="24"/>
          <w:lang w:eastAsia="es-CR"/>
        </w:rPr>
        <w:lastRenderedPageBreak/>
        <w:t xml:space="preserve">De los </w:t>
      </w:r>
      <w:r w:rsidR="006E68BE" w:rsidRPr="004E74A6">
        <w:rPr>
          <w:rFonts w:cs="Calibri"/>
          <w:color w:val="000000"/>
          <w:szCs w:val="24"/>
          <w:lang w:eastAsia="es-CR"/>
        </w:rPr>
        <w:t>70</w:t>
      </w:r>
      <w:r w:rsidRPr="004E74A6">
        <w:rPr>
          <w:rFonts w:cs="Calibri"/>
          <w:color w:val="000000"/>
          <w:szCs w:val="24"/>
          <w:lang w:eastAsia="es-CR"/>
        </w:rPr>
        <w:t xml:space="preserve"> ordinarios estimables, la distribución de esos asuntos por rango de cuantía es el siguiente: </w:t>
      </w:r>
    </w:p>
    <w:p w14:paraId="5E15032A" w14:textId="77777777" w:rsidR="004E4F14" w:rsidRDefault="004E4F14" w:rsidP="00F0204A">
      <w:pPr>
        <w:pStyle w:val="Descripcin"/>
        <w:keepNext/>
        <w:spacing w:line="276" w:lineRule="auto"/>
        <w:jc w:val="center"/>
        <w:rPr>
          <w:rFonts w:ascii="Book Antiqua" w:hAnsi="Book Antiqua"/>
          <w:i/>
          <w:iCs/>
          <w:sz w:val="20"/>
          <w:szCs w:val="16"/>
          <w:lang w:val="es-CR"/>
        </w:rPr>
      </w:pPr>
    </w:p>
    <w:p w14:paraId="13EAE91D" w14:textId="672741CA" w:rsidR="00D62A98" w:rsidRDefault="00D62A98" w:rsidP="00F0204A">
      <w:pPr>
        <w:pStyle w:val="Descripcin"/>
        <w:keepNext/>
        <w:spacing w:line="276" w:lineRule="auto"/>
        <w:jc w:val="center"/>
        <w:rPr>
          <w:rFonts w:ascii="Book Antiqua" w:hAnsi="Book Antiqua"/>
          <w:i/>
          <w:iCs/>
          <w:sz w:val="20"/>
          <w:szCs w:val="16"/>
          <w:lang w:val="es-CR"/>
        </w:rPr>
      </w:pPr>
      <w:r w:rsidRPr="00832773">
        <w:rPr>
          <w:rFonts w:ascii="Book Antiqua" w:hAnsi="Book Antiqua"/>
          <w:i/>
          <w:iCs/>
          <w:sz w:val="20"/>
          <w:szCs w:val="16"/>
          <w:lang w:val="es-CR"/>
        </w:rPr>
        <w:t xml:space="preserve">Tabla </w:t>
      </w:r>
      <w:r w:rsidRPr="00832773">
        <w:rPr>
          <w:rFonts w:ascii="Book Antiqua" w:hAnsi="Book Antiqua"/>
          <w:i/>
          <w:iCs/>
          <w:sz w:val="20"/>
          <w:szCs w:val="16"/>
          <w:lang w:val="es-CR"/>
        </w:rPr>
        <w:fldChar w:fldCharType="begin"/>
      </w:r>
      <w:r w:rsidRPr="00832773">
        <w:rPr>
          <w:rFonts w:ascii="Book Antiqua" w:hAnsi="Book Antiqua"/>
          <w:i/>
          <w:iCs/>
          <w:sz w:val="20"/>
          <w:szCs w:val="16"/>
          <w:lang w:val="es-CR"/>
        </w:rPr>
        <w:instrText xml:space="preserve"> SEQ Tabla \* ARABIC </w:instrText>
      </w:r>
      <w:r w:rsidRPr="00832773">
        <w:rPr>
          <w:rFonts w:ascii="Book Antiqua" w:hAnsi="Book Antiqua"/>
          <w:i/>
          <w:iCs/>
          <w:sz w:val="20"/>
          <w:szCs w:val="16"/>
          <w:lang w:val="es-CR"/>
        </w:rPr>
        <w:fldChar w:fldCharType="separate"/>
      </w:r>
      <w:r w:rsidR="00374B51">
        <w:rPr>
          <w:rFonts w:ascii="Book Antiqua" w:hAnsi="Book Antiqua"/>
          <w:i/>
          <w:iCs/>
          <w:noProof/>
          <w:sz w:val="20"/>
          <w:szCs w:val="16"/>
          <w:lang w:val="es-CR"/>
        </w:rPr>
        <w:t>40</w:t>
      </w:r>
      <w:r w:rsidRPr="00832773">
        <w:rPr>
          <w:rFonts w:ascii="Book Antiqua" w:hAnsi="Book Antiqua"/>
          <w:i/>
          <w:iCs/>
          <w:sz w:val="20"/>
          <w:szCs w:val="16"/>
          <w:lang w:val="es-CR"/>
        </w:rPr>
        <w:fldChar w:fldCharType="end"/>
      </w:r>
      <w:r w:rsidRPr="00832773">
        <w:rPr>
          <w:rFonts w:ascii="Book Antiqua" w:hAnsi="Book Antiqua"/>
          <w:i/>
          <w:iCs/>
          <w:sz w:val="20"/>
          <w:szCs w:val="16"/>
          <w:lang w:val="es-CR"/>
        </w:rPr>
        <w:t xml:space="preserve"> </w:t>
      </w:r>
      <w:r w:rsidR="006E68BE" w:rsidRPr="00832773">
        <w:rPr>
          <w:rFonts w:ascii="Book Antiqua" w:hAnsi="Book Antiqua"/>
          <w:i/>
          <w:iCs/>
          <w:sz w:val="20"/>
          <w:szCs w:val="16"/>
          <w:lang w:val="es-CR"/>
        </w:rPr>
        <w:t xml:space="preserve">Cantidad de entrados ordinarios estimables por cuantía del 2019 al 2021 para el </w:t>
      </w:r>
      <w:r w:rsidRPr="00832773">
        <w:rPr>
          <w:rFonts w:ascii="Book Antiqua" w:hAnsi="Book Antiqua"/>
          <w:i/>
          <w:iCs/>
          <w:sz w:val="20"/>
          <w:szCs w:val="16"/>
          <w:lang w:val="es-CR"/>
        </w:rPr>
        <w:t>Tribunal Colegiado Primera Instancia Civil Puntarenas</w:t>
      </w:r>
    </w:p>
    <w:p w14:paraId="6813D2EC" w14:textId="77777777" w:rsidR="004E4F14" w:rsidRPr="004E4F14" w:rsidRDefault="004E4F14" w:rsidP="004E4F14"/>
    <w:tbl>
      <w:tblPr>
        <w:tblW w:w="5036" w:type="pct"/>
        <w:jc w:val="center"/>
        <w:tblCellMar>
          <w:left w:w="70" w:type="dxa"/>
          <w:right w:w="70" w:type="dxa"/>
        </w:tblCellMar>
        <w:tblLook w:val="04A0" w:firstRow="1" w:lastRow="0" w:firstColumn="1" w:lastColumn="0" w:noHBand="0" w:noVBand="1"/>
      </w:tblPr>
      <w:tblGrid>
        <w:gridCol w:w="2832"/>
        <w:gridCol w:w="850"/>
        <w:gridCol w:w="852"/>
        <w:gridCol w:w="851"/>
        <w:gridCol w:w="1138"/>
        <w:gridCol w:w="2381"/>
      </w:tblGrid>
      <w:tr w:rsidR="00022B73" w:rsidRPr="004E74A6" w14:paraId="075601D0" w14:textId="42C04903" w:rsidTr="00022B73">
        <w:trPr>
          <w:trHeight w:val="454"/>
          <w:tblHeader/>
          <w:jc w:val="center"/>
        </w:trPr>
        <w:tc>
          <w:tcPr>
            <w:tcW w:w="1590" w:type="pct"/>
            <w:tcBorders>
              <w:top w:val="single" w:sz="4" w:space="0" w:color="auto"/>
              <w:left w:val="nil"/>
              <w:bottom w:val="single" w:sz="4" w:space="0" w:color="auto"/>
              <w:right w:val="single" w:sz="4" w:space="0" w:color="auto"/>
            </w:tcBorders>
            <w:shd w:val="clear" w:color="auto" w:fill="auto"/>
            <w:noWrap/>
            <w:vAlign w:val="center"/>
            <w:hideMark/>
          </w:tcPr>
          <w:p w14:paraId="76A8E582" w14:textId="7212EB5D" w:rsidR="00817DA8" w:rsidRPr="004E74A6" w:rsidRDefault="00817DA8" w:rsidP="00CE62C1">
            <w:pPr>
              <w:spacing w:line="276" w:lineRule="auto"/>
              <w:jc w:val="center"/>
              <w:rPr>
                <w:rFonts w:cs="Calibri"/>
                <w:color w:val="000000"/>
                <w:sz w:val="20"/>
                <w:lang w:eastAsia="es-CR"/>
              </w:rPr>
            </w:pPr>
            <w:r w:rsidRPr="004E74A6">
              <w:rPr>
                <w:rFonts w:cs="Calibri"/>
                <w:color w:val="000000"/>
                <w:sz w:val="20"/>
                <w:lang w:eastAsia="es-CR"/>
              </w:rPr>
              <w:t>Ordinario Estimable</w:t>
            </w:r>
          </w:p>
        </w:tc>
        <w:tc>
          <w:tcPr>
            <w:tcW w:w="4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879AA1B" w14:textId="77777777" w:rsidR="00817DA8" w:rsidRPr="004E74A6" w:rsidRDefault="00817DA8" w:rsidP="00CE62C1">
            <w:pPr>
              <w:spacing w:line="276" w:lineRule="auto"/>
              <w:jc w:val="center"/>
              <w:rPr>
                <w:rFonts w:cs="Calibri"/>
                <w:color w:val="000000"/>
                <w:sz w:val="20"/>
                <w:lang w:eastAsia="es-CR"/>
              </w:rPr>
            </w:pPr>
            <w:r w:rsidRPr="004E74A6">
              <w:rPr>
                <w:rFonts w:cs="Calibri"/>
                <w:color w:val="000000"/>
                <w:sz w:val="20"/>
                <w:lang w:eastAsia="es-CR"/>
              </w:rPr>
              <w:t>2019</w:t>
            </w:r>
          </w:p>
        </w:tc>
        <w:tc>
          <w:tcPr>
            <w:tcW w:w="47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E7FADA3" w14:textId="77777777" w:rsidR="00817DA8" w:rsidRPr="004E74A6" w:rsidRDefault="00817DA8" w:rsidP="00CE62C1">
            <w:pPr>
              <w:spacing w:line="276" w:lineRule="auto"/>
              <w:jc w:val="center"/>
              <w:rPr>
                <w:rFonts w:cs="Calibri"/>
                <w:color w:val="000000"/>
                <w:sz w:val="20"/>
                <w:lang w:eastAsia="es-CR"/>
              </w:rPr>
            </w:pPr>
            <w:r w:rsidRPr="004E74A6">
              <w:rPr>
                <w:rFonts w:cs="Calibri"/>
                <w:color w:val="000000"/>
                <w:sz w:val="20"/>
                <w:lang w:eastAsia="es-CR"/>
              </w:rPr>
              <w:t>2020</w:t>
            </w:r>
          </w:p>
        </w:tc>
        <w:tc>
          <w:tcPr>
            <w:tcW w:w="47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33552A2" w14:textId="77777777" w:rsidR="00817DA8" w:rsidRPr="004E74A6" w:rsidRDefault="00817DA8" w:rsidP="00CE62C1">
            <w:pPr>
              <w:spacing w:line="276" w:lineRule="auto"/>
              <w:jc w:val="center"/>
              <w:rPr>
                <w:rFonts w:cs="Calibri"/>
                <w:color w:val="000000"/>
                <w:sz w:val="20"/>
                <w:lang w:eastAsia="es-CR"/>
              </w:rPr>
            </w:pPr>
            <w:r w:rsidRPr="004E74A6">
              <w:rPr>
                <w:rFonts w:cs="Calibri"/>
                <w:color w:val="000000"/>
                <w:sz w:val="20"/>
                <w:lang w:eastAsia="es-CR"/>
              </w:rPr>
              <w:t>2021</w:t>
            </w:r>
          </w:p>
        </w:tc>
        <w:tc>
          <w:tcPr>
            <w:tcW w:w="639" w:type="pct"/>
            <w:tcBorders>
              <w:top w:val="single" w:sz="4" w:space="0" w:color="auto"/>
              <w:left w:val="single" w:sz="4" w:space="0" w:color="auto"/>
              <w:bottom w:val="single" w:sz="4" w:space="0" w:color="auto"/>
              <w:right w:val="nil"/>
            </w:tcBorders>
            <w:shd w:val="clear" w:color="auto" w:fill="auto"/>
            <w:noWrap/>
            <w:vAlign w:val="center"/>
          </w:tcPr>
          <w:p w14:paraId="2FAFD39D" w14:textId="26E93461" w:rsidR="00817DA8" w:rsidRPr="004E74A6" w:rsidRDefault="00817DA8" w:rsidP="00CE62C1">
            <w:pPr>
              <w:spacing w:line="276" w:lineRule="auto"/>
              <w:jc w:val="center"/>
              <w:rPr>
                <w:rFonts w:cs="Calibri"/>
                <w:color w:val="000000"/>
                <w:sz w:val="20"/>
                <w:lang w:eastAsia="es-CR"/>
              </w:rPr>
            </w:pPr>
            <w:r w:rsidRPr="004E74A6">
              <w:rPr>
                <w:rFonts w:cs="Calibri"/>
                <w:color w:val="000000"/>
                <w:sz w:val="20"/>
                <w:lang w:eastAsia="es-CR"/>
              </w:rPr>
              <w:t>Promedio</w:t>
            </w:r>
          </w:p>
        </w:tc>
        <w:tc>
          <w:tcPr>
            <w:tcW w:w="1337" w:type="pct"/>
            <w:tcBorders>
              <w:top w:val="single" w:sz="4" w:space="0" w:color="auto"/>
              <w:left w:val="single" w:sz="4" w:space="0" w:color="auto"/>
              <w:bottom w:val="single" w:sz="4" w:space="0" w:color="auto"/>
              <w:right w:val="nil"/>
            </w:tcBorders>
          </w:tcPr>
          <w:p w14:paraId="65BDE363" w14:textId="2BDBDAFD" w:rsidR="00817DA8" w:rsidRPr="004E74A6" w:rsidRDefault="00817DA8" w:rsidP="00832773">
            <w:pPr>
              <w:spacing w:line="276" w:lineRule="auto"/>
              <w:jc w:val="center"/>
              <w:rPr>
                <w:rFonts w:cs="Calibri"/>
                <w:color w:val="000000"/>
                <w:sz w:val="20"/>
                <w:lang w:eastAsia="es-CR"/>
              </w:rPr>
            </w:pPr>
            <w:r w:rsidRPr="004E74A6">
              <w:rPr>
                <w:rFonts w:cs="Calibri"/>
                <w:color w:val="000000"/>
                <w:sz w:val="20"/>
              </w:rPr>
              <w:t>Pérdida porcentual en la entrada en caso de elevarse la cuantía según rango escenario A1</w:t>
            </w:r>
          </w:p>
        </w:tc>
      </w:tr>
      <w:tr w:rsidR="00022B73" w:rsidRPr="004E74A6" w14:paraId="1E9E10AC" w14:textId="4E83447E" w:rsidTr="00022B73">
        <w:trPr>
          <w:trHeight w:val="288"/>
          <w:jc w:val="center"/>
        </w:trPr>
        <w:tc>
          <w:tcPr>
            <w:tcW w:w="1590" w:type="pct"/>
            <w:tcBorders>
              <w:top w:val="single" w:sz="4" w:space="0" w:color="auto"/>
              <w:left w:val="nil"/>
              <w:bottom w:val="nil"/>
              <w:right w:val="single" w:sz="4" w:space="0" w:color="auto"/>
            </w:tcBorders>
            <w:shd w:val="clear" w:color="auto" w:fill="auto"/>
            <w:noWrap/>
            <w:vAlign w:val="center"/>
          </w:tcPr>
          <w:p w14:paraId="09902F87" w14:textId="77777777" w:rsidR="00817DA8" w:rsidRPr="004E74A6" w:rsidRDefault="00817DA8" w:rsidP="00CE62C1">
            <w:pPr>
              <w:spacing w:line="276" w:lineRule="auto"/>
              <w:jc w:val="center"/>
              <w:rPr>
                <w:rFonts w:cs="Calibri"/>
                <w:color w:val="000000"/>
                <w:sz w:val="20"/>
                <w:lang w:eastAsia="es-CR"/>
              </w:rPr>
            </w:pPr>
          </w:p>
        </w:tc>
        <w:tc>
          <w:tcPr>
            <w:tcW w:w="477" w:type="pct"/>
            <w:tcBorders>
              <w:top w:val="single" w:sz="4" w:space="0" w:color="auto"/>
              <w:left w:val="single" w:sz="4" w:space="0" w:color="auto"/>
              <w:bottom w:val="nil"/>
              <w:right w:val="single" w:sz="4" w:space="0" w:color="auto"/>
            </w:tcBorders>
            <w:shd w:val="clear" w:color="auto" w:fill="auto"/>
            <w:noWrap/>
            <w:vAlign w:val="center"/>
          </w:tcPr>
          <w:p w14:paraId="7B7C12E6" w14:textId="77777777" w:rsidR="00817DA8" w:rsidRPr="004E74A6" w:rsidRDefault="00817DA8" w:rsidP="00CE62C1">
            <w:pPr>
              <w:spacing w:line="276" w:lineRule="auto"/>
              <w:jc w:val="center"/>
              <w:rPr>
                <w:rFonts w:cs="Calibri"/>
                <w:color w:val="000000"/>
                <w:sz w:val="20"/>
                <w:lang w:eastAsia="es-CR"/>
              </w:rPr>
            </w:pPr>
          </w:p>
        </w:tc>
        <w:tc>
          <w:tcPr>
            <w:tcW w:w="478" w:type="pct"/>
            <w:tcBorders>
              <w:top w:val="single" w:sz="4" w:space="0" w:color="auto"/>
              <w:left w:val="single" w:sz="4" w:space="0" w:color="auto"/>
              <w:bottom w:val="nil"/>
              <w:right w:val="single" w:sz="4" w:space="0" w:color="auto"/>
            </w:tcBorders>
            <w:shd w:val="clear" w:color="auto" w:fill="auto"/>
            <w:noWrap/>
            <w:vAlign w:val="center"/>
          </w:tcPr>
          <w:p w14:paraId="61EDFEFC" w14:textId="77777777" w:rsidR="00817DA8" w:rsidRPr="004E74A6" w:rsidRDefault="00817DA8" w:rsidP="00CE62C1">
            <w:pPr>
              <w:spacing w:line="276" w:lineRule="auto"/>
              <w:jc w:val="center"/>
              <w:rPr>
                <w:rFonts w:cs="Calibri"/>
                <w:color w:val="000000"/>
                <w:sz w:val="20"/>
                <w:lang w:eastAsia="es-CR"/>
              </w:rPr>
            </w:pPr>
          </w:p>
        </w:tc>
        <w:tc>
          <w:tcPr>
            <w:tcW w:w="478" w:type="pct"/>
            <w:tcBorders>
              <w:top w:val="single" w:sz="4" w:space="0" w:color="auto"/>
              <w:left w:val="single" w:sz="4" w:space="0" w:color="auto"/>
              <w:bottom w:val="nil"/>
              <w:right w:val="single" w:sz="4" w:space="0" w:color="auto"/>
            </w:tcBorders>
            <w:shd w:val="clear" w:color="auto" w:fill="auto"/>
            <w:noWrap/>
            <w:vAlign w:val="center"/>
          </w:tcPr>
          <w:p w14:paraId="025BE616" w14:textId="77777777" w:rsidR="00817DA8" w:rsidRPr="004E74A6" w:rsidRDefault="00817DA8" w:rsidP="00CE62C1">
            <w:pPr>
              <w:spacing w:line="276" w:lineRule="auto"/>
              <w:jc w:val="center"/>
              <w:rPr>
                <w:rFonts w:cs="Calibri"/>
                <w:color w:val="000000"/>
                <w:sz w:val="20"/>
                <w:lang w:eastAsia="es-CR"/>
              </w:rPr>
            </w:pPr>
          </w:p>
        </w:tc>
        <w:tc>
          <w:tcPr>
            <w:tcW w:w="639" w:type="pct"/>
            <w:tcBorders>
              <w:top w:val="single" w:sz="4" w:space="0" w:color="auto"/>
              <w:left w:val="single" w:sz="4" w:space="0" w:color="auto"/>
              <w:bottom w:val="nil"/>
              <w:right w:val="nil"/>
            </w:tcBorders>
            <w:shd w:val="clear" w:color="auto" w:fill="auto"/>
            <w:noWrap/>
            <w:vAlign w:val="center"/>
          </w:tcPr>
          <w:p w14:paraId="1A9699FC" w14:textId="77777777" w:rsidR="00817DA8" w:rsidRPr="004E74A6" w:rsidRDefault="00817DA8" w:rsidP="00CE62C1">
            <w:pPr>
              <w:spacing w:line="276" w:lineRule="auto"/>
              <w:jc w:val="center"/>
              <w:rPr>
                <w:rFonts w:cs="Calibri"/>
                <w:color w:val="000000"/>
                <w:sz w:val="20"/>
                <w:lang w:eastAsia="es-CR"/>
              </w:rPr>
            </w:pPr>
          </w:p>
        </w:tc>
        <w:tc>
          <w:tcPr>
            <w:tcW w:w="1337" w:type="pct"/>
            <w:tcBorders>
              <w:top w:val="single" w:sz="4" w:space="0" w:color="auto"/>
              <w:left w:val="single" w:sz="4" w:space="0" w:color="auto"/>
              <w:bottom w:val="nil"/>
              <w:right w:val="nil"/>
            </w:tcBorders>
          </w:tcPr>
          <w:p w14:paraId="1CE778FB" w14:textId="77777777" w:rsidR="00817DA8" w:rsidRPr="004E74A6" w:rsidRDefault="00817DA8" w:rsidP="00CE62C1">
            <w:pPr>
              <w:spacing w:line="276" w:lineRule="auto"/>
              <w:jc w:val="center"/>
              <w:rPr>
                <w:rFonts w:cs="Calibri"/>
                <w:color w:val="000000"/>
                <w:sz w:val="20"/>
                <w:lang w:eastAsia="es-CR"/>
              </w:rPr>
            </w:pPr>
          </w:p>
        </w:tc>
      </w:tr>
      <w:tr w:rsidR="00022B73" w:rsidRPr="004E74A6" w14:paraId="3BCDDAB0" w14:textId="14A4845D" w:rsidTr="00022B73">
        <w:trPr>
          <w:trHeight w:val="288"/>
          <w:jc w:val="center"/>
        </w:trPr>
        <w:tc>
          <w:tcPr>
            <w:tcW w:w="1590" w:type="pct"/>
            <w:tcBorders>
              <w:top w:val="nil"/>
              <w:left w:val="nil"/>
              <w:bottom w:val="nil"/>
              <w:right w:val="single" w:sz="4" w:space="0" w:color="auto"/>
            </w:tcBorders>
            <w:shd w:val="clear" w:color="auto" w:fill="auto"/>
            <w:noWrap/>
            <w:vAlign w:val="center"/>
          </w:tcPr>
          <w:p w14:paraId="30F262D6" w14:textId="77777777" w:rsidR="00817DA8" w:rsidRPr="004E74A6" w:rsidRDefault="00817DA8" w:rsidP="00CE62C1">
            <w:pPr>
              <w:spacing w:line="276" w:lineRule="auto"/>
              <w:jc w:val="center"/>
              <w:rPr>
                <w:rFonts w:cs="Calibri"/>
                <w:color w:val="000000"/>
                <w:sz w:val="20"/>
                <w:lang w:eastAsia="es-CR"/>
              </w:rPr>
            </w:pPr>
            <w:r w:rsidRPr="004E74A6">
              <w:rPr>
                <w:rFonts w:cs="Calibri"/>
                <w:color w:val="000000"/>
                <w:sz w:val="20"/>
                <w:lang w:eastAsia="es-CR"/>
              </w:rPr>
              <w:t>Total</w:t>
            </w:r>
          </w:p>
        </w:tc>
        <w:tc>
          <w:tcPr>
            <w:tcW w:w="477" w:type="pct"/>
            <w:tcBorders>
              <w:top w:val="nil"/>
              <w:left w:val="single" w:sz="4" w:space="0" w:color="auto"/>
              <w:bottom w:val="nil"/>
              <w:right w:val="single" w:sz="4" w:space="0" w:color="auto"/>
            </w:tcBorders>
            <w:shd w:val="clear" w:color="auto" w:fill="auto"/>
            <w:noWrap/>
            <w:vAlign w:val="bottom"/>
          </w:tcPr>
          <w:p w14:paraId="5DC6891A" w14:textId="53B0A5E3"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52</w:t>
            </w:r>
          </w:p>
        </w:tc>
        <w:tc>
          <w:tcPr>
            <w:tcW w:w="478" w:type="pct"/>
            <w:tcBorders>
              <w:top w:val="nil"/>
              <w:left w:val="single" w:sz="4" w:space="0" w:color="auto"/>
              <w:bottom w:val="nil"/>
              <w:right w:val="single" w:sz="4" w:space="0" w:color="auto"/>
            </w:tcBorders>
            <w:shd w:val="clear" w:color="auto" w:fill="auto"/>
            <w:noWrap/>
            <w:vAlign w:val="bottom"/>
          </w:tcPr>
          <w:p w14:paraId="248690B9" w14:textId="2CC91BA9"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71</w:t>
            </w:r>
          </w:p>
        </w:tc>
        <w:tc>
          <w:tcPr>
            <w:tcW w:w="478" w:type="pct"/>
            <w:tcBorders>
              <w:top w:val="nil"/>
              <w:left w:val="single" w:sz="4" w:space="0" w:color="auto"/>
              <w:bottom w:val="nil"/>
              <w:right w:val="single" w:sz="4" w:space="0" w:color="auto"/>
            </w:tcBorders>
            <w:shd w:val="clear" w:color="auto" w:fill="auto"/>
            <w:noWrap/>
            <w:vAlign w:val="bottom"/>
          </w:tcPr>
          <w:p w14:paraId="596AE0B9" w14:textId="6A159FDD"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87</w:t>
            </w:r>
          </w:p>
        </w:tc>
        <w:tc>
          <w:tcPr>
            <w:tcW w:w="639" w:type="pct"/>
            <w:tcBorders>
              <w:top w:val="nil"/>
              <w:left w:val="single" w:sz="4" w:space="0" w:color="auto"/>
              <w:bottom w:val="nil"/>
              <w:right w:val="nil"/>
            </w:tcBorders>
            <w:shd w:val="clear" w:color="auto" w:fill="auto"/>
            <w:noWrap/>
            <w:vAlign w:val="bottom"/>
          </w:tcPr>
          <w:p w14:paraId="743BF90A" w14:textId="33A061E1"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70,0</w:t>
            </w:r>
          </w:p>
        </w:tc>
        <w:tc>
          <w:tcPr>
            <w:tcW w:w="1337" w:type="pct"/>
            <w:tcBorders>
              <w:top w:val="nil"/>
              <w:left w:val="single" w:sz="4" w:space="0" w:color="auto"/>
              <w:bottom w:val="nil"/>
              <w:right w:val="nil"/>
            </w:tcBorders>
          </w:tcPr>
          <w:p w14:paraId="067690E5" w14:textId="77777777" w:rsidR="00817DA8" w:rsidRPr="004E74A6" w:rsidRDefault="00817DA8" w:rsidP="00CE62C1">
            <w:pPr>
              <w:spacing w:line="276" w:lineRule="auto"/>
              <w:jc w:val="center"/>
              <w:rPr>
                <w:rFonts w:cs="Calibri"/>
                <w:color w:val="000000"/>
                <w:sz w:val="20"/>
              </w:rPr>
            </w:pPr>
          </w:p>
        </w:tc>
      </w:tr>
      <w:tr w:rsidR="00022B73" w:rsidRPr="004E74A6" w14:paraId="5A8E610D" w14:textId="548CE6AC" w:rsidTr="00022B73">
        <w:trPr>
          <w:trHeight w:val="288"/>
          <w:jc w:val="center"/>
        </w:trPr>
        <w:tc>
          <w:tcPr>
            <w:tcW w:w="1590" w:type="pct"/>
            <w:tcBorders>
              <w:top w:val="nil"/>
              <w:left w:val="nil"/>
              <w:bottom w:val="nil"/>
              <w:right w:val="single" w:sz="4" w:space="0" w:color="auto"/>
            </w:tcBorders>
            <w:shd w:val="clear" w:color="auto" w:fill="auto"/>
            <w:noWrap/>
            <w:vAlign w:val="bottom"/>
          </w:tcPr>
          <w:p w14:paraId="634B54B2" w14:textId="77777777" w:rsidR="00817DA8" w:rsidRPr="004E74A6" w:rsidRDefault="00817DA8" w:rsidP="00CE62C1">
            <w:pPr>
              <w:spacing w:line="276" w:lineRule="auto"/>
              <w:jc w:val="left"/>
              <w:rPr>
                <w:rFonts w:cs="Calibri"/>
                <w:color w:val="000000"/>
                <w:sz w:val="20"/>
                <w:lang w:eastAsia="es-CR"/>
              </w:rPr>
            </w:pPr>
          </w:p>
        </w:tc>
        <w:tc>
          <w:tcPr>
            <w:tcW w:w="477" w:type="pct"/>
            <w:tcBorders>
              <w:top w:val="nil"/>
              <w:left w:val="single" w:sz="4" w:space="0" w:color="auto"/>
              <w:bottom w:val="nil"/>
              <w:right w:val="single" w:sz="4" w:space="0" w:color="auto"/>
            </w:tcBorders>
            <w:shd w:val="clear" w:color="auto" w:fill="auto"/>
            <w:noWrap/>
            <w:vAlign w:val="center"/>
          </w:tcPr>
          <w:p w14:paraId="5BFD2ACC" w14:textId="77777777" w:rsidR="00817DA8" w:rsidRPr="004E74A6" w:rsidRDefault="00817DA8" w:rsidP="00CE62C1">
            <w:pPr>
              <w:spacing w:line="276" w:lineRule="auto"/>
              <w:jc w:val="center"/>
              <w:rPr>
                <w:rFonts w:cs="Calibri"/>
                <w:color w:val="000000"/>
                <w:sz w:val="20"/>
                <w:lang w:eastAsia="es-CR"/>
              </w:rPr>
            </w:pPr>
          </w:p>
        </w:tc>
        <w:tc>
          <w:tcPr>
            <w:tcW w:w="478" w:type="pct"/>
            <w:tcBorders>
              <w:top w:val="nil"/>
              <w:left w:val="single" w:sz="4" w:space="0" w:color="auto"/>
              <w:bottom w:val="nil"/>
              <w:right w:val="single" w:sz="4" w:space="0" w:color="auto"/>
            </w:tcBorders>
            <w:shd w:val="clear" w:color="auto" w:fill="auto"/>
            <w:noWrap/>
            <w:vAlign w:val="center"/>
          </w:tcPr>
          <w:p w14:paraId="1A5FB0CC" w14:textId="77777777" w:rsidR="00817DA8" w:rsidRPr="004E74A6" w:rsidRDefault="00817DA8" w:rsidP="00CE62C1">
            <w:pPr>
              <w:spacing w:line="276" w:lineRule="auto"/>
              <w:jc w:val="center"/>
              <w:rPr>
                <w:rFonts w:cs="Calibri"/>
                <w:color w:val="000000"/>
                <w:sz w:val="20"/>
                <w:lang w:eastAsia="es-CR"/>
              </w:rPr>
            </w:pPr>
          </w:p>
        </w:tc>
        <w:tc>
          <w:tcPr>
            <w:tcW w:w="478" w:type="pct"/>
            <w:tcBorders>
              <w:top w:val="nil"/>
              <w:left w:val="single" w:sz="4" w:space="0" w:color="auto"/>
              <w:bottom w:val="nil"/>
              <w:right w:val="single" w:sz="4" w:space="0" w:color="auto"/>
            </w:tcBorders>
            <w:shd w:val="clear" w:color="auto" w:fill="auto"/>
            <w:noWrap/>
            <w:vAlign w:val="center"/>
          </w:tcPr>
          <w:p w14:paraId="640E5008" w14:textId="77777777" w:rsidR="00817DA8" w:rsidRPr="004E74A6" w:rsidRDefault="00817DA8" w:rsidP="00CE62C1">
            <w:pPr>
              <w:spacing w:line="276" w:lineRule="auto"/>
              <w:jc w:val="center"/>
              <w:rPr>
                <w:rFonts w:cs="Calibri"/>
                <w:color w:val="000000"/>
                <w:sz w:val="20"/>
                <w:lang w:eastAsia="es-CR"/>
              </w:rPr>
            </w:pPr>
          </w:p>
        </w:tc>
        <w:tc>
          <w:tcPr>
            <w:tcW w:w="639" w:type="pct"/>
            <w:tcBorders>
              <w:top w:val="nil"/>
              <w:left w:val="single" w:sz="4" w:space="0" w:color="auto"/>
              <w:bottom w:val="nil"/>
              <w:right w:val="nil"/>
            </w:tcBorders>
            <w:shd w:val="clear" w:color="auto" w:fill="auto"/>
            <w:noWrap/>
            <w:vAlign w:val="center"/>
          </w:tcPr>
          <w:p w14:paraId="14213F84" w14:textId="77777777" w:rsidR="00817DA8" w:rsidRPr="004E74A6" w:rsidRDefault="00817DA8" w:rsidP="00CE62C1">
            <w:pPr>
              <w:spacing w:line="276" w:lineRule="auto"/>
              <w:jc w:val="center"/>
              <w:rPr>
                <w:rFonts w:cs="Calibri"/>
                <w:color w:val="000000"/>
                <w:sz w:val="20"/>
                <w:lang w:eastAsia="es-CR"/>
              </w:rPr>
            </w:pPr>
          </w:p>
        </w:tc>
        <w:tc>
          <w:tcPr>
            <w:tcW w:w="1337" w:type="pct"/>
            <w:tcBorders>
              <w:top w:val="nil"/>
              <w:left w:val="single" w:sz="4" w:space="0" w:color="auto"/>
              <w:bottom w:val="nil"/>
              <w:right w:val="nil"/>
            </w:tcBorders>
          </w:tcPr>
          <w:p w14:paraId="3C7A3F09" w14:textId="77777777" w:rsidR="00817DA8" w:rsidRPr="004E74A6" w:rsidRDefault="00817DA8" w:rsidP="00CE62C1">
            <w:pPr>
              <w:spacing w:line="276" w:lineRule="auto"/>
              <w:jc w:val="center"/>
              <w:rPr>
                <w:rFonts w:cs="Calibri"/>
                <w:color w:val="000000"/>
                <w:sz w:val="20"/>
                <w:lang w:eastAsia="es-CR"/>
              </w:rPr>
            </w:pPr>
          </w:p>
        </w:tc>
      </w:tr>
      <w:tr w:rsidR="00022B73" w:rsidRPr="004E74A6" w14:paraId="3B6FE665" w14:textId="2914D4E0" w:rsidTr="00022B73">
        <w:trPr>
          <w:trHeight w:val="288"/>
          <w:jc w:val="center"/>
        </w:trPr>
        <w:tc>
          <w:tcPr>
            <w:tcW w:w="1590" w:type="pct"/>
            <w:tcBorders>
              <w:top w:val="nil"/>
              <w:left w:val="nil"/>
              <w:bottom w:val="nil"/>
              <w:right w:val="single" w:sz="4" w:space="0" w:color="auto"/>
            </w:tcBorders>
            <w:shd w:val="clear" w:color="auto" w:fill="C5E0B3" w:themeFill="accent6" w:themeFillTint="66"/>
            <w:noWrap/>
            <w:vAlign w:val="bottom"/>
            <w:hideMark/>
          </w:tcPr>
          <w:p w14:paraId="232E0F1C" w14:textId="77777777" w:rsidR="00817DA8" w:rsidRPr="004E74A6" w:rsidRDefault="00817DA8" w:rsidP="00CE62C1">
            <w:pPr>
              <w:spacing w:line="276" w:lineRule="auto"/>
              <w:jc w:val="left"/>
              <w:rPr>
                <w:rFonts w:cs="Calibri"/>
                <w:color w:val="000000"/>
                <w:sz w:val="20"/>
                <w:lang w:eastAsia="es-CR"/>
              </w:rPr>
            </w:pPr>
            <w:r w:rsidRPr="004E74A6">
              <w:rPr>
                <w:rFonts w:cs="Calibri"/>
                <w:color w:val="000000"/>
                <w:sz w:val="20"/>
                <w:lang w:eastAsia="es-CR"/>
              </w:rPr>
              <w:t>Menos De ¢3.000.001</w:t>
            </w:r>
          </w:p>
        </w:tc>
        <w:tc>
          <w:tcPr>
            <w:tcW w:w="477" w:type="pct"/>
            <w:tcBorders>
              <w:top w:val="nil"/>
              <w:left w:val="single" w:sz="4" w:space="0" w:color="auto"/>
              <w:bottom w:val="nil"/>
              <w:right w:val="single" w:sz="4" w:space="0" w:color="auto"/>
            </w:tcBorders>
            <w:shd w:val="clear" w:color="auto" w:fill="C5E0B3" w:themeFill="accent6" w:themeFillTint="66"/>
            <w:noWrap/>
            <w:vAlign w:val="bottom"/>
            <w:hideMark/>
          </w:tcPr>
          <w:p w14:paraId="3906616A" w14:textId="59366026"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1</w:t>
            </w:r>
          </w:p>
        </w:tc>
        <w:tc>
          <w:tcPr>
            <w:tcW w:w="478" w:type="pct"/>
            <w:tcBorders>
              <w:top w:val="nil"/>
              <w:left w:val="single" w:sz="4" w:space="0" w:color="auto"/>
              <w:bottom w:val="nil"/>
              <w:right w:val="single" w:sz="4" w:space="0" w:color="auto"/>
            </w:tcBorders>
            <w:shd w:val="clear" w:color="auto" w:fill="C5E0B3" w:themeFill="accent6" w:themeFillTint="66"/>
            <w:noWrap/>
            <w:vAlign w:val="bottom"/>
            <w:hideMark/>
          </w:tcPr>
          <w:p w14:paraId="44D3FAD8" w14:textId="019F8FEB"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2</w:t>
            </w:r>
          </w:p>
        </w:tc>
        <w:tc>
          <w:tcPr>
            <w:tcW w:w="478" w:type="pct"/>
            <w:tcBorders>
              <w:top w:val="nil"/>
              <w:left w:val="single" w:sz="4" w:space="0" w:color="auto"/>
              <w:bottom w:val="nil"/>
              <w:right w:val="single" w:sz="4" w:space="0" w:color="auto"/>
            </w:tcBorders>
            <w:shd w:val="clear" w:color="auto" w:fill="C5E0B3" w:themeFill="accent6" w:themeFillTint="66"/>
            <w:noWrap/>
            <w:vAlign w:val="bottom"/>
            <w:hideMark/>
          </w:tcPr>
          <w:p w14:paraId="134B1A6C" w14:textId="5E6D6582"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4</w:t>
            </w:r>
          </w:p>
        </w:tc>
        <w:tc>
          <w:tcPr>
            <w:tcW w:w="639" w:type="pct"/>
            <w:tcBorders>
              <w:top w:val="nil"/>
              <w:left w:val="single" w:sz="4" w:space="0" w:color="auto"/>
              <w:bottom w:val="nil"/>
              <w:right w:val="nil"/>
            </w:tcBorders>
            <w:shd w:val="clear" w:color="auto" w:fill="C5E0B3" w:themeFill="accent6" w:themeFillTint="66"/>
            <w:noWrap/>
            <w:vAlign w:val="bottom"/>
            <w:hideMark/>
          </w:tcPr>
          <w:p w14:paraId="43414E91" w14:textId="08E0DDD0"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2,3</w:t>
            </w:r>
          </w:p>
        </w:tc>
        <w:tc>
          <w:tcPr>
            <w:tcW w:w="1337" w:type="pct"/>
            <w:tcBorders>
              <w:top w:val="nil"/>
              <w:left w:val="single" w:sz="4" w:space="0" w:color="auto"/>
              <w:bottom w:val="nil"/>
              <w:right w:val="nil"/>
            </w:tcBorders>
            <w:shd w:val="clear" w:color="auto" w:fill="C5E0B3" w:themeFill="accent6" w:themeFillTint="66"/>
            <w:vAlign w:val="bottom"/>
          </w:tcPr>
          <w:p w14:paraId="1F374EFF" w14:textId="18B22E3C" w:rsidR="00817DA8" w:rsidRPr="004E74A6" w:rsidRDefault="00817DA8" w:rsidP="00CE62C1">
            <w:pPr>
              <w:spacing w:line="276" w:lineRule="auto"/>
              <w:jc w:val="center"/>
              <w:rPr>
                <w:rFonts w:cs="Calibri"/>
                <w:color w:val="000000"/>
                <w:sz w:val="20"/>
              </w:rPr>
            </w:pPr>
            <w:r w:rsidRPr="004E74A6">
              <w:rPr>
                <w:rFonts w:cs="Calibri"/>
                <w:color w:val="000000"/>
                <w:sz w:val="20"/>
              </w:rPr>
              <w:t>3%</w:t>
            </w:r>
          </w:p>
        </w:tc>
      </w:tr>
      <w:tr w:rsidR="00022B73" w:rsidRPr="004E74A6" w14:paraId="6BB15088" w14:textId="754BA87B" w:rsidTr="00022B73">
        <w:trPr>
          <w:trHeight w:val="288"/>
          <w:jc w:val="center"/>
        </w:trPr>
        <w:tc>
          <w:tcPr>
            <w:tcW w:w="1590" w:type="pct"/>
            <w:tcBorders>
              <w:top w:val="nil"/>
              <w:left w:val="nil"/>
              <w:bottom w:val="nil"/>
              <w:right w:val="single" w:sz="4" w:space="0" w:color="auto"/>
            </w:tcBorders>
            <w:shd w:val="clear" w:color="auto" w:fill="C5E0B3" w:themeFill="accent6" w:themeFillTint="66"/>
            <w:noWrap/>
            <w:vAlign w:val="bottom"/>
            <w:hideMark/>
          </w:tcPr>
          <w:p w14:paraId="4EE682BD" w14:textId="77777777" w:rsidR="00817DA8" w:rsidRPr="004E74A6" w:rsidRDefault="00817DA8" w:rsidP="00CE62C1">
            <w:pPr>
              <w:spacing w:line="276" w:lineRule="auto"/>
              <w:jc w:val="left"/>
              <w:rPr>
                <w:rFonts w:cs="Calibri"/>
                <w:color w:val="000000"/>
                <w:sz w:val="20"/>
                <w:lang w:eastAsia="es-CR"/>
              </w:rPr>
            </w:pPr>
            <w:r w:rsidRPr="004E74A6">
              <w:rPr>
                <w:rFonts w:cs="Calibri"/>
                <w:color w:val="000000"/>
                <w:sz w:val="20"/>
                <w:lang w:eastAsia="es-CR"/>
              </w:rPr>
              <w:t>De ¢3.000.001 A ¢4.000.000</w:t>
            </w:r>
          </w:p>
        </w:tc>
        <w:tc>
          <w:tcPr>
            <w:tcW w:w="477" w:type="pct"/>
            <w:tcBorders>
              <w:top w:val="nil"/>
              <w:left w:val="single" w:sz="4" w:space="0" w:color="auto"/>
              <w:bottom w:val="nil"/>
              <w:right w:val="single" w:sz="4" w:space="0" w:color="auto"/>
            </w:tcBorders>
            <w:shd w:val="clear" w:color="auto" w:fill="C5E0B3" w:themeFill="accent6" w:themeFillTint="66"/>
            <w:noWrap/>
            <w:vAlign w:val="bottom"/>
            <w:hideMark/>
          </w:tcPr>
          <w:p w14:paraId="7C326286" w14:textId="5A592A1E"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6</w:t>
            </w:r>
          </w:p>
        </w:tc>
        <w:tc>
          <w:tcPr>
            <w:tcW w:w="478" w:type="pct"/>
            <w:tcBorders>
              <w:top w:val="nil"/>
              <w:left w:val="single" w:sz="4" w:space="0" w:color="auto"/>
              <w:bottom w:val="nil"/>
              <w:right w:val="single" w:sz="4" w:space="0" w:color="auto"/>
            </w:tcBorders>
            <w:shd w:val="clear" w:color="auto" w:fill="C5E0B3" w:themeFill="accent6" w:themeFillTint="66"/>
            <w:noWrap/>
            <w:vAlign w:val="bottom"/>
            <w:hideMark/>
          </w:tcPr>
          <w:p w14:paraId="33FAB507" w14:textId="1D451970"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4</w:t>
            </w:r>
          </w:p>
        </w:tc>
        <w:tc>
          <w:tcPr>
            <w:tcW w:w="478" w:type="pct"/>
            <w:tcBorders>
              <w:top w:val="nil"/>
              <w:left w:val="single" w:sz="4" w:space="0" w:color="auto"/>
              <w:bottom w:val="nil"/>
              <w:right w:val="single" w:sz="4" w:space="0" w:color="auto"/>
            </w:tcBorders>
            <w:shd w:val="clear" w:color="auto" w:fill="C5E0B3" w:themeFill="accent6" w:themeFillTint="66"/>
            <w:noWrap/>
            <w:vAlign w:val="bottom"/>
            <w:hideMark/>
          </w:tcPr>
          <w:p w14:paraId="33FF9B3F" w14:textId="7E28646C"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4</w:t>
            </w:r>
          </w:p>
        </w:tc>
        <w:tc>
          <w:tcPr>
            <w:tcW w:w="639" w:type="pct"/>
            <w:tcBorders>
              <w:top w:val="nil"/>
              <w:left w:val="single" w:sz="4" w:space="0" w:color="auto"/>
              <w:bottom w:val="nil"/>
              <w:right w:val="nil"/>
            </w:tcBorders>
            <w:shd w:val="clear" w:color="auto" w:fill="C5E0B3" w:themeFill="accent6" w:themeFillTint="66"/>
            <w:noWrap/>
            <w:vAlign w:val="bottom"/>
            <w:hideMark/>
          </w:tcPr>
          <w:p w14:paraId="6FF38139" w14:textId="444ABC4C"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4,7</w:t>
            </w:r>
          </w:p>
        </w:tc>
        <w:tc>
          <w:tcPr>
            <w:tcW w:w="1337" w:type="pct"/>
            <w:tcBorders>
              <w:top w:val="nil"/>
              <w:left w:val="single" w:sz="4" w:space="0" w:color="auto"/>
              <w:bottom w:val="nil"/>
              <w:right w:val="nil"/>
            </w:tcBorders>
            <w:shd w:val="clear" w:color="auto" w:fill="C5E0B3" w:themeFill="accent6" w:themeFillTint="66"/>
            <w:vAlign w:val="bottom"/>
          </w:tcPr>
          <w:p w14:paraId="728B7AEE" w14:textId="06A471C4" w:rsidR="00817DA8" w:rsidRPr="004E74A6" w:rsidRDefault="00817DA8" w:rsidP="00CE62C1">
            <w:pPr>
              <w:spacing w:line="276" w:lineRule="auto"/>
              <w:jc w:val="center"/>
              <w:rPr>
                <w:rFonts w:cs="Calibri"/>
                <w:color w:val="000000"/>
                <w:sz w:val="20"/>
              </w:rPr>
            </w:pPr>
            <w:r w:rsidRPr="004E74A6">
              <w:rPr>
                <w:rFonts w:cs="Calibri"/>
                <w:color w:val="000000"/>
                <w:sz w:val="20"/>
              </w:rPr>
              <w:t>10%</w:t>
            </w:r>
          </w:p>
        </w:tc>
      </w:tr>
      <w:tr w:rsidR="00022B73" w:rsidRPr="004E74A6" w14:paraId="4A5D6816" w14:textId="49431AD2" w:rsidTr="00022B73">
        <w:trPr>
          <w:trHeight w:val="288"/>
          <w:jc w:val="center"/>
        </w:trPr>
        <w:tc>
          <w:tcPr>
            <w:tcW w:w="1590" w:type="pct"/>
            <w:tcBorders>
              <w:top w:val="nil"/>
              <w:left w:val="nil"/>
              <w:bottom w:val="nil"/>
              <w:right w:val="single" w:sz="4" w:space="0" w:color="auto"/>
            </w:tcBorders>
            <w:shd w:val="clear" w:color="auto" w:fill="C5E0B3" w:themeFill="accent6" w:themeFillTint="66"/>
            <w:noWrap/>
            <w:vAlign w:val="bottom"/>
            <w:hideMark/>
          </w:tcPr>
          <w:p w14:paraId="0C6B4FBF" w14:textId="77777777" w:rsidR="00817DA8" w:rsidRPr="00832773" w:rsidRDefault="00817DA8" w:rsidP="00CE62C1">
            <w:pPr>
              <w:spacing w:line="276" w:lineRule="auto"/>
              <w:jc w:val="left"/>
              <w:rPr>
                <w:rFonts w:cs="Calibri"/>
                <w:b/>
                <w:bCs/>
                <w:color w:val="000000"/>
                <w:sz w:val="20"/>
                <w:lang w:eastAsia="es-CR"/>
              </w:rPr>
            </w:pPr>
            <w:r w:rsidRPr="00832773">
              <w:rPr>
                <w:rFonts w:cs="Calibri"/>
                <w:b/>
                <w:bCs/>
                <w:color w:val="000000"/>
                <w:sz w:val="20"/>
                <w:lang w:eastAsia="es-CR"/>
              </w:rPr>
              <w:t>De ¢4.000.001 A ¢5.000.000</w:t>
            </w:r>
          </w:p>
        </w:tc>
        <w:tc>
          <w:tcPr>
            <w:tcW w:w="477" w:type="pct"/>
            <w:tcBorders>
              <w:top w:val="nil"/>
              <w:left w:val="single" w:sz="4" w:space="0" w:color="auto"/>
              <w:bottom w:val="nil"/>
              <w:right w:val="single" w:sz="4" w:space="0" w:color="auto"/>
            </w:tcBorders>
            <w:shd w:val="clear" w:color="auto" w:fill="C5E0B3" w:themeFill="accent6" w:themeFillTint="66"/>
            <w:noWrap/>
            <w:vAlign w:val="bottom"/>
            <w:hideMark/>
          </w:tcPr>
          <w:p w14:paraId="0BDEF9E1" w14:textId="1C934585" w:rsidR="00817DA8" w:rsidRPr="00832773" w:rsidRDefault="00817DA8" w:rsidP="00CE62C1">
            <w:pPr>
              <w:spacing w:line="276" w:lineRule="auto"/>
              <w:jc w:val="center"/>
              <w:rPr>
                <w:rFonts w:cs="Calibri"/>
                <w:b/>
                <w:bCs/>
                <w:color w:val="000000"/>
                <w:sz w:val="20"/>
                <w:lang w:eastAsia="es-CR"/>
              </w:rPr>
            </w:pPr>
            <w:r w:rsidRPr="00832773">
              <w:rPr>
                <w:rFonts w:cs="Calibri"/>
                <w:b/>
                <w:bCs/>
                <w:color w:val="000000"/>
                <w:sz w:val="20"/>
              </w:rPr>
              <w:t>2</w:t>
            </w:r>
          </w:p>
        </w:tc>
        <w:tc>
          <w:tcPr>
            <w:tcW w:w="478" w:type="pct"/>
            <w:tcBorders>
              <w:top w:val="nil"/>
              <w:left w:val="single" w:sz="4" w:space="0" w:color="auto"/>
              <w:bottom w:val="nil"/>
              <w:right w:val="single" w:sz="4" w:space="0" w:color="auto"/>
            </w:tcBorders>
            <w:shd w:val="clear" w:color="auto" w:fill="C5E0B3" w:themeFill="accent6" w:themeFillTint="66"/>
            <w:noWrap/>
            <w:vAlign w:val="bottom"/>
            <w:hideMark/>
          </w:tcPr>
          <w:p w14:paraId="0424D5A7" w14:textId="73E82E1F" w:rsidR="00817DA8" w:rsidRPr="00832773" w:rsidRDefault="00817DA8" w:rsidP="00CE62C1">
            <w:pPr>
              <w:spacing w:line="276" w:lineRule="auto"/>
              <w:jc w:val="center"/>
              <w:rPr>
                <w:rFonts w:cs="Calibri"/>
                <w:b/>
                <w:bCs/>
                <w:color w:val="000000"/>
                <w:sz w:val="20"/>
                <w:lang w:eastAsia="es-CR"/>
              </w:rPr>
            </w:pPr>
            <w:r w:rsidRPr="00832773">
              <w:rPr>
                <w:rFonts w:cs="Calibri"/>
                <w:b/>
                <w:bCs/>
                <w:color w:val="000000"/>
                <w:sz w:val="20"/>
              </w:rPr>
              <w:t>6</w:t>
            </w:r>
          </w:p>
        </w:tc>
        <w:tc>
          <w:tcPr>
            <w:tcW w:w="478" w:type="pct"/>
            <w:tcBorders>
              <w:top w:val="nil"/>
              <w:left w:val="single" w:sz="4" w:space="0" w:color="auto"/>
              <w:bottom w:val="nil"/>
              <w:right w:val="single" w:sz="4" w:space="0" w:color="auto"/>
            </w:tcBorders>
            <w:shd w:val="clear" w:color="auto" w:fill="C5E0B3" w:themeFill="accent6" w:themeFillTint="66"/>
            <w:noWrap/>
            <w:vAlign w:val="bottom"/>
            <w:hideMark/>
          </w:tcPr>
          <w:p w14:paraId="142521E4" w14:textId="4D86C7B2" w:rsidR="00817DA8" w:rsidRPr="00832773" w:rsidRDefault="00817DA8" w:rsidP="00CE62C1">
            <w:pPr>
              <w:spacing w:line="276" w:lineRule="auto"/>
              <w:jc w:val="center"/>
              <w:rPr>
                <w:rFonts w:cs="Calibri"/>
                <w:b/>
                <w:bCs/>
                <w:color w:val="000000"/>
                <w:sz w:val="20"/>
                <w:lang w:eastAsia="es-CR"/>
              </w:rPr>
            </w:pPr>
            <w:r w:rsidRPr="00832773">
              <w:rPr>
                <w:rFonts w:cs="Calibri"/>
                <w:b/>
                <w:bCs/>
                <w:color w:val="000000"/>
                <w:sz w:val="20"/>
              </w:rPr>
              <w:t>4</w:t>
            </w:r>
          </w:p>
        </w:tc>
        <w:tc>
          <w:tcPr>
            <w:tcW w:w="639" w:type="pct"/>
            <w:tcBorders>
              <w:top w:val="nil"/>
              <w:left w:val="single" w:sz="4" w:space="0" w:color="auto"/>
              <w:bottom w:val="nil"/>
              <w:right w:val="nil"/>
            </w:tcBorders>
            <w:shd w:val="clear" w:color="auto" w:fill="C5E0B3" w:themeFill="accent6" w:themeFillTint="66"/>
            <w:noWrap/>
            <w:vAlign w:val="bottom"/>
            <w:hideMark/>
          </w:tcPr>
          <w:p w14:paraId="6F91E079" w14:textId="31929737" w:rsidR="00817DA8" w:rsidRPr="00832773" w:rsidRDefault="00817DA8" w:rsidP="00CE62C1">
            <w:pPr>
              <w:spacing w:line="276" w:lineRule="auto"/>
              <w:jc w:val="center"/>
              <w:rPr>
                <w:rFonts w:cs="Calibri"/>
                <w:b/>
                <w:bCs/>
                <w:color w:val="000000"/>
                <w:sz w:val="20"/>
                <w:lang w:eastAsia="es-CR"/>
              </w:rPr>
            </w:pPr>
            <w:r w:rsidRPr="00832773">
              <w:rPr>
                <w:rFonts w:cs="Calibri"/>
                <w:b/>
                <w:bCs/>
                <w:color w:val="000000"/>
                <w:sz w:val="20"/>
              </w:rPr>
              <w:t>4,0</w:t>
            </w:r>
          </w:p>
        </w:tc>
        <w:tc>
          <w:tcPr>
            <w:tcW w:w="1337" w:type="pct"/>
            <w:tcBorders>
              <w:top w:val="nil"/>
              <w:left w:val="single" w:sz="4" w:space="0" w:color="auto"/>
              <w:bottom w:val="nil"/>
              <w:right w:val="nil"/>
            </w:tcBorders>
            <w:shd w:val="clear" w:color="auto" w:fill="C5E0B3" w:themeFill="accent6" w:themeFillTint="66"/>
            <w:vAlign w:val="bottom"/>
          </w:tcPr>
          <w:p w14:paraId="2E68BAEA" w14:textId="6DAD27FE" w:rsidR="00817DA8" w:rsidRPr="00832773" w:rsidRDefault="00817DA8" w:rsidP="00CE62C1">
            <w:pPr>
              <w:spacing w:line="276" w:lineRule="auto"/>
              <w:jc w:val="center"/>
              <w:rPr>
                <w:rFonts w:cs="Calibri"/>
                <w:b/>
                <w:bCs/>
                <w:color w:val="000000"/>
                <w:sz w:val="20"/>
              </w:rPr>
            </w:pPr>
            <w:r w:rsidRPr="00832773">
              <w:rPr>
                <w:rFonts w:cs="Calibri"/>
                <w:b/>
                <w:bCs/>
                <w:color w:val="000000"/>
                <w:sz w:val="20"/>
              </w:rPr>
              <w:t>16%</w:t>
            </w:r>
          </w:p>
        </w:tc>
      </w:tr>
      <w:tr w:rsidR="00022B73" w:rsidRPr="004E74A6" w14:paraId="32D27B8E" w14:textId="34FB4F4F" w:rsidTr="00022B73">
        <w:trPr>
          <w:trHeight w:val="288"/>
          <w:jc w:val="center"/>
        </w:trPr>
        <w:tc>
          <w:tcPr>
            <w:tcW w:w="1590" w:type="pct"/>
            <w:tcBorders>
              <w:top w:val="nil"/>
              <w:left w:val="nil"/>
              <w:bottom w:val="nil"/>
              <w:right w:val="single" w:sz="4" w:space="0" w:color="auto"/>
            </w:tcBorders>
            <w:shd w:val="clear" w:color="auto" w:fill="C5E0B3" w:themeFill="accent6" w:themeFillTint="66"/>
            <w:noWrap/>
            <w:vAlign w:val="bottom"/>
            <w:hideMark/>
          </w:tcPr>
          <w:p w14:paraId="7C6EDDA5" w14:textId="77777777" w:rsidR="00817DA8" w:rsidRPr="004E74A6" w:rsidRDefault="00817DA8" w:rsidP="00CE62C1">
            <w:pPr>
              <w:spacing w:line="276" w:lineRule="auto"/>
              <w:jc w:val="left"/>
              <w:rPr>
                <w:rFonts w:cs="Calibri"/>
                <w:color w:val="000000"/>
                <w:sz w:val="20"/>
                <w:lang w:eastAsia="es-CR"/>
              </w:rPr>
            </w:pPr>
            <w:r w:rsidRPr="004E74A6">
              <w:rPr>
                <w:rFonts w:cs="Calibri"/>
                <w:color w:val="000000"/>
                <w:sz w:val="20"/>
                <w:lang w:eastAsia="es-CR"/>
              </w:rPr>
              <w:t>De ¢5.000.001 A ¢6.000.000</w:t>
            </w:r>
          </w:p>
        </w:tc>
        <w:tc>
          <w:tcPr>
            <w:tcW w:w="477" w:type="pct"/>
            <w:tcBorders>
              <w:top w:val="nil"/>
              <w:left w:val="single" w:sz="4" w:space="0" w:color="auto"/>
              <w:bottom w:val="nil"/>
              <w:right w:val="single" w:sz="4" w:space="0" w:color="auto"/>
            </w:tcBorders>
            <w:shd w:val="clear" w:color="auto" w:fill="C5E0B3" w:themeFill="accent6" w:themeFillTint="66"/>
            <w:noWrap/>
            <w:vAlign w:val="bottom"/>
            <w:hideMark/>
          </w:tcPr>
          <w:p w14:paraId="4439F1FC" w14:textId="5FBFDE36"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0</w:t>
            </w:r>
          </w:p>
        </w:tc>
        <w:tc>
          <w:tcPr>
            <w:tcW w:w="478" w:type="pct"/>
            <w:tcBorders>
              <w:top w:val="nil"/>
              <w:left w:val="single" w:sz="4" w:space="0" w:color="auto"/>
              <w:bottom w:val="nil"/>
              <w:right w:val="single" w:sz="4" w:space="0" w:color="auto"/>
            </w:tcBorders>
            <w:shd w:val="clear" w:color="auto" w:fill="C5E0B3" w:themeFill="accent6" w:themeFillTint="66"/>
            <w:noWrap/>
            <w:vAlign w:val="bottom"/>
            <w:hideMark/>
          </w:tcPr>
          <w:p w14:paraId="7E0531E0" w14:textId="08D97DD4"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5</w:t>
            </w:r>
          </w:p>
        </w:tc>
        <w:tc>
          <w:tcPr>
            <w:tcW w:w="478" w:type="pct"/>
            <w:tcBorders>
              <w:top w:val="nil"/>
              <w:left w:val="single" w:sz="4" w:space="0" w:color="auto"/>
              <w:bottom w:val="nil"/>
              <w:right w:val="single" w:sz="4" w:space="0" w:color="auto"/>
            </w:tcBorders>
            <w:shd w:val="clear" w:color="auto" w:fill="C5E0B3" w:themeFill="accent6" w:themeFillTint="66"/>
            <w:noWrap/>
            <w:vAlign w:val="bottom"/>
            <w:hideMark/>
          </w:tcPr>
          <w:p w14:paraId="28575CB5" w14:textId="5B34AFAB"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12</w:t>
            </w:r>
          </w:p>
        </w:tc>
        <w:tc>
          <w:tcPr>
            <w:tcW w:w="639" w:type="pct"/>
            <w:tcBorders>
              <w:top w:val="nil"/>
              <w:left w:val="single" w:sz="4" w:space="0" w:color="auto"/>
              <w:bottom w:val="nil"/>
              <w:right w:val="nil"/>
            </w:tcBorders>
            <w:shd w:val="clear" w:color="auto" w:fill="C5E0B3" w:themeFill="accent6" w:themeFillTint="66"/>
            <w:noWrap/>
            <w:vAlign w:val="bottom"/>
            <w:hideMark/>
          </w:tcPr>
          <w:p w14:paraId="3A8C48D2" w14:textId="42ABF447"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5,7</w:t>
            </w:r>
          </w:p>
        </w:tc>
        <w:tc>
          <w:tcPr>
            <w:tcW w:w="1337" w:type="pct"/>
            <w:tcBorders>
              <w:top w:val="nil"/>
              <w:left w:val="single" w:sz="4" w:space="0" w:color="auto"/>
              <w:bottom w:val="nil"/>
              <w:right w:val="nil"/>
            </w:tcBorders>
            <w:shd w:val="clear" w:color="auto" w:fill="C5E0B3" w:themeFill="accent6" w:themeFillTint="66"/>
            <w:vAlign w:val="bottom"/>
          </w:tcPr>
          <w:p w14:paraId="281E5142" w14:textId="26E43988" w:rsidR="00817DA8" w:rsidRPr="004E74A6" w:rsidRDefault="00817DA8" w:rsidP="00CE62C1">
            <w:pPr>
              <w:spacing w:line="276" w:lineRule="auto"/>
              <w:jc w:val="center"/>
              <w:rPr>
                <w:rFonts w:cs="Calibri"/>
                <w:color w:val="000000"/>
                <w:sz w:val="20"/>
              </w:rPr>
            </w:pPr>
            <w:r w:rsidRPr="004E74A6">
              <w:rPr>
                <w:rFonts w:cs="Calibri"/>
                <w:color w:val="000000"/>
                <w:sz w:val="20"/>
              </w:rPr>
              <w:t>24%</w:t>
            </w:r>
          </w:p>
        </w:tc>
      </w:tr>
      <w:tr w:rsidR="00022B73" w:rsidRPr="004E74A6" w14:paraId="074B0868" w14:textId="3A8A8BD2" w:rsidTr="00022B73">
        <w:trPr>
          <w:trHeight w:val="288"/>
          <w:jc w:val="center"/>
        </w:trPr>
        <w:tc>
          <w:tcPr>
            <w:tcW w:w="1590" w:type="pct"/>
            <w:tcBorders>
              <w:top w:val="nil"/>
              <w:left w:val="nil"/>
              <w:bottom w:val="nil"/>
              <w:right w:val="single" w:sz="4" w:space="0" w:color="auto"/>
            </w:tcBorders>
            <w:shd w:val="clear" w:color="auto" w:fill="C5E0B3" w:themeFill="accent6" w:themeFillTint="66"/>
            <w:noWrap/>
            <w:vAlign w:val="bottom"/>
            <w:hideMark/>
          </w:tcPr>
          <w:p w14:paraId="4FDAB334" w14:textId="77777777" w:rsidR="00817DA8" w:rsidRPr="004E74A6" w:rsidRDefault="00817DA8" w:rsidP="00CE62C1">
            <w:pPr>
              <w:spacing w:line="276" w:lineRule="auto"/>
              <w:jc w:val="left"/>
              <w:rPr>
                <w:rFonts w:cs="Calibri"/>
                <w:color w:val="000000"/>
                <w:sz w:val="20"/>
                <w:lang w:eastAsia="es-CR"/>
              </w:rPr>
            </w:pPr>
            <w:r w:rsidRPr="004E74A6">
              <w:rPr>
                <w:rFonts w:cs="Calibri"/>
                <w:color w:val="000000"/>
                <w:sz w:val="20"/>
                <w:lang w:eastAsia="es-CR"/>
              </w:rPr>
              <w:t>De ¢6.000.001 A ¢7.000.000</w:t>
            </w:r>
          </w:p>
        </w:tc>
        <w:tc>
          <w:tcPr>
            <w:tcW w:w="477" w:type="pct"/>
            <w:tcBorders>
              <w:top w:val="nil"/>
              <w:left w:val="single" w:sz="4" w:space="0" w:color="auto"/>
              <w:bottom w:val="nil"/>
              <w:right w:val="single" w:sz="4" w:space="0" w:color="auto"/>
            </w:tcBorders>
            <w:shd w:val="clear" w:color="auto" w:fill="C5E0B3" w:themeFill="accent6" w:themeFillTint="66"/>
            <w:noWrap/>
            <w:vAlign w:val="bottom"/>
            <w:hideMark/>
          </w:tcPr>
          <w:p w14:paraId="1419A9B6" w14:textId="47DAD017"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1</w:t>
            </w:r>
          </w:p>
        </w:tc>
        <w:tc>
          <w:tcPr>
            <w:tcW w:w="478" w:type="pct"/>
            <w:tcBorders>
              <w:top w:val="nil"/>
              <w:left w:val="single" w:sz="4" w:space="0" w:color="auto"/>
              <w:bottom w:val="nil"/>
              <w:right w:val="single" w:sz="4" w:space="0" w:color="auto"/>
            </w:tcBorders>
            <w:shd w:val="clear" w:color="auto" w:fill="C5E0B3" w:themeFill="accent6" w:themeFillTint="66"/>
            <w:noWrap/>
            <w:vAlign w:val="bottom"/>
            <w:hideMark/>
          </w:tcPr>
          <w:p w14:paraId="37905A19" w14:textId="306DEE7A"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0</w:t>
            </w:r>
          </w:p>
        </w:tc>
        <w:tc>
          <w:tcPr>
            <w:tcW w:w="478" w:type="pct"/>
            <w:tcBorders>
              <w:top w:val="nil"/>
              <w:left w:val="single" w:sz="4" w:space="0" w:color="auto"/>
              <w:bottom w:val="nil"/>
              <w:right w:val="single" w:sz="4" w:space="0" w:color="auto"/>
            </w:tcBorders>
            <w:shd w:val="clear" w:color="auto" w:fill="C5E0B3" w:themeFill="accent6" w:themeFillTint="66"/>
            <w:noWrap/>
            <w:vAlign w:val="bottom"/>
            <w:hideMark/>
          </w:tcPr>
          <w:p w14:paraId="37DD46A7" w14:textId="56124774"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2</w:t>
            </w:r>
          </w:p>
        </w:tc>
        <w:tc>
          <w:tcPr>
            <w:tcW w:w="639" w:type="pct"/>
            <w:tcBorders>
              <w:top w:val="nil"/>
              <w:left w:val="single" w:sz="4" w:space="0" w:color="auto"/>
              <w:bottom w:val="nil"/>
              <w:right w:val="nil"/>
            </w:tcBorders>
            <w:shd w:val="clear" w:color="auto" w:fill="C5E0B3" w:themeFill="accent6" w:themeFillTint="66"/>
            <w:noWrap/>
            <w:vAlign w:val="bottom"/>
            <w:hideMark/>
          </w:tcPr>
          <w:p w14:paraId="3EEC38C7" w14:textId="7E2A778D"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1,0</w:t>
            </w:r>
          </w:p>
        </w:tc>
        <w:tc>
          <w:tcPr>
            <w:tcW w:w="1337" w:type="pct"/>
            <w:tcBorders>
              <w:top w:val="nil"/>
              <w:left w:val="single" w:sz="4" w:space="0" w:color="auto"/>
              <w:bottom w:val="nil"/>
              <w:right w:val="nil"/>
            </w:tcBorders>
            <w:shd w:val="clear" w:color="auto" w:fill="C5E0B3" w:themeFill="accent6" w:themeFillTint="66"/>
            <w:vAlign w:val="bottom"/>
          </w:tcPr>
          <w:p w14:paraId="7022D253" w14:textId="1C7FCC6F" w:rsidR="00817DA8" w:rsidRPr="004E74A6" w:rsidRDefault="00817DA8" w:rsidP="00CE62C1">
            <w:pPr>
              <w:spacing w:line="276" w:lineRule="auto"/>
              <w:jc w:val="center"/>
              <w:rPr>
                <w:rFonts w:cs="Calibri"/>
                <w:color w:val="000000"/>
                <w:sz w:val="20"/>
              </w:rPr>
            </w:pPr>
            <w:r w:rsidRPr="004E74A6">
              <w:rPr>
                <w:rFonts w:cs="Calibri"/>
                <w:color w:val="000000"/>
                <w:sz w:val="20"/>
              </w:rPr>
              <w:t>25%</w:t>
            </w:r>
          </w:p>
        </w:tc>
      </w:tr>
      <w:tr w:rsidR="00022B73" w:rsidRPr="004E74A6" w14:paraId="7ACAD85E" w14:textId="593ADC3B" w:rsidTr="00022B73">
        <w:trPr>
          <w:trHeight w:val="288"/>
          <w:jc w:val="center"/>
        </w:trPr>
        <w:tc>
          <w:tcPr>
            <w:tcW w:w="1590" w:type="pct"/>
            <w:tcBorders>
              <w:top w:val="nil"/>
              <w:left w:val="nil"/>
              <w:bottom w:val="nil"/>
              <w:right w:val="single" w:sz="4" w:space="0" w:color="auto"/>
            </w:tcBorders>
            <w:shd w:val="clear" w:color="auto" w:fill="C5E0B3" w:themeFill="accent6" w:themeFillTint="66"/>
            <w:noWrap/>
            <w:vAlign w:val="bottom"/>
            <w:hideMark/>
          </w:tcPr>
          <w:p w14:paraId="648E36A6" w14:textId="77777777" w:rsidR="00817DA8" w:rsidRPr="004E74A6" w:rsidRDefault="00817DA8" w:rsidP="00CE62C1">
            <w:pPr>
              <w:spacing w:line="276" w:lineRule="auto"/>
              <w:jc w:val="left"/>
              <w:rPr>
                <w:rFonts w:cs="Calibri"/>
                <w:color w:val="000000"/>
                <w:sz w:val="20"/>
                <w:lang w:eastAsia="es-CR"/>
              </w:rPr>
            </w:pPr>
            <w:r w:rsidRPr="004E74A6">
              <w:rPr>
                <w:rFonts w:cs="Calibri"/>
                <w:color w:val="000000"/>
                <w:sz w:val="20"/>
                <w:lang w:eastAsia="es-CR"/>
              </w:rPr>
              <w:t>De ¢7.000.001 A ¢8.000.000</w:t>
            </w:r>
          </w:p>
        </w:tc>
        <w:tc>
          <w:tcPr>
            <w:tcW w:w="477" w:type="pct"/>
            <w:tcBorders>
              <w:top w:val="nil"/>
              <w:left w:val="single" w:sz="4" w:space="0" w:color="auto"/>
              <w:bottom w:val="nil"/>
              <w:right w:val="single" w:sz="4" w:space="0" w:color="auto"/>
            </w:tcBorders>
            <w:shd w:val="clear" w:color="auto" w:fill="C5E0B3" w:themeFill="accent6" w:themeFillTint="66"/>
            <w:noWrap/>
            <w:vAlign w:val="bottom"/>
            <w:hideMark/>
          </w:tcPr>
          <w:p w14:paraId="3ED37956" w14:textId="37374EF7"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1</w:t>
            </w:r>
          </w:p>
        </w:tc>
        <w:tc>
          <w:tcPr>
            <w:tcW w:w="478" w:type="pct"/>
            <w:tcBorders>
              <w:top w:val="nil"/>
              <w:left w:val="single" w:sz="4" w:space="0" w:color="auto"/>
              <w:bottom w:val="nil"/>
              <w:right w:val="single" w:sz="4" w:space="0" w:color="auto"/>
            </w:tcBorders>
            <w:shd w:val="clear" w:color="auto" w:fill="C5E0B3" w:themeFill="accent6" w:themeFillTint="66"/>
            <w:noWrap/>
            <w:vAlign w:val="bottom"/>
            <w:hideMark/>
          </w:tcPr>
          <w:p w14:paraId="51E2BBD2" w14:textId="45664A52"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1</w:t>
            </w:r>
          </w:p>
        </w:tc>
        <w:tc>
          <w:tcPr>
            <w:tcW w:w="478" w:type="pct"/>
            <w:tcBorders>
              <w:top w:val="nil"/>
              <w:left w:val="single" w:sz="4" w:space="0" w:color="auto"/>
              <w:bottom w:val="nil"/>
              <w:right w:val="single" w:sz="4" w:space="0" w:color="auto"/>
            </w:tcBorders>
            <w:shd w:val="clear" w:color="auto" w:fill="C5E0B3" w:themeFill="accent6" w:themeFillTint="66"/>
            <w:noWrap/>
            <w:vAlign w:val="bottom"/>
            <w:hideMark/>
          </w:tcPr>
          <w:p w14:paraId="024C507E" w14:textId="67989594"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2</w:t>
            </w:r>
          </w:p>
        </w:tc>
        <w:tc>
          <w:tcPr>
            <w:tcW w:w="639" w:type="pct"/>
            <w:tcBorders>
              <w:top w:val="nil"/>
              <w:left w:val="single" w:sz="4" w:space="0" w:color="auto"/>
              <w:bottom w:val="nil"/>
              <w:right w:val="nil"/>
            </w:tcBorders>
            <w:shd w:val="clear" w:color="auto" w:fill="C5E0B3" w:themeFill="accent6" w:themeFillTint="66"/>
            <w:noWrap/>
            <w:vAlign w:val="bottom"/>
            <w:hideMark/>
          </w:tcPr>
          <w:p w14:paraId="44B8A626" w14:textId="55C9136C"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1,3</w:t>
            </w:r>
          </w:p>
        </w:tc>
        <w:tc>
          <w:tcPr>
            <w:tcW w:w="1337" w:type="pct"/>
            <w:tcBorders>
              <w:top w:val="nil"/>
              <w:left w:val="single" w:sz="4" w:space="0" w:color="auto"/>
              <w:bottom w:val="nil"/>
              <w:right w:val="nil"/>
            </w:tcBorders>
            <w:shd w:val="clear" w:color="auto" w:fill="C5E0B3" w:themeFill="accent6" w:themeFillTint="66"/>
            <w:vAlign w:val="bottom"/>
          </w:tcPr>
          <w:p w14:paraId="421FB254" w14:textId="6DD27060" w:rsidR="00817DA8" w:rsidRPr="004E74A6" w:rsidRDefault="00817DA8" w:rsidP="00CE62C1">
            <w:pPr>
              <w:spacing w:line="276" w:lineRule="auto"/>
              <w:jc w:val="center"/>
              <w:rPr>
                <w:rFonts w:cs="Calibri"/>
                <w:color w:val="000000"/>
                <w:sz w:val="20"/>
              </w:rPr>
            </w:pPr>
            <w:r w:rsidRPr="004E74A6">
              <w:rPr>
                <w:rFonts w:cs="Calibri"/>
                <w:color w:val="000000"/>
                <w:sz w:val="20"/>
              </w:rPr>
              <w:t>27%</w:t>
            </w:r>
          </w:p>
        </w:tc>
      </w:tr>
      <w:tr w:rsidR="00022B73" w:rsidRPr="004E74A6" w14:paraId="2F72D303" w14:textId="5B2006F1" w:rsidTr="00022B73">
        <w:trPr>
          <w:trHeight w:val="288"/>
          <w:jc w:val="center"/>
        </w:trPr>
        <w:tc>
          <w:tcPr>
            <w:tcW w:w="1590" w:type="pct"/>
            <w:tcBorders>
              <w:top w:val="nil"/>
              <w:left w:val="nil"/>
              <w:bottom w:val="nil"/>
              <w:right w:val="single" w:sz="4" w:space="0" w:color="auto"/>
            </w:tcBorders>
            <w:shd w:val="clear" w:color="auto" w:fill="C5E0B3" w:themeFill="accent6" w:themeFillTint="66"/>
            <w:noWrap/>
            <w:vAlign w:val="bottom"/>
            <w:hideMark/>
          </w:tcPr>
          <w:p w14:paraId="52DB99D0" w14:textId="77777777" w:rsidR="00817DA8" w:rsidRPr="004E74A6" w:rsidRDefault="00817DA8" w:rsidP="00CE62C1">
            <w:pPr>
              <w:spacing w:line="276" w:lineRule="auto"/>
              <w:jc w:val="left"/>
              <w:rPr>
                <w:rFonts w:cs="Calibri"/>
                <w:color w:val="000000"/>
                <w:sz w:val="20"/>
                <w:lang w:eastAsia="es-CR"/>
              </w:rPr>
            </w:pPr>
            <w:r w:rsidRPr="004E74A6">
              <w:rPr>
                <w:rFonts w:cs="Calibri"/>
                <w:color w:val="000000"/>
                <w:sz w:val="20"/>
                <w:lang w:eastAsia="es-CR"/>
              </w:rPr>
              <w:t>De ¢9.000.001 A ¢10.000.000</w:t>
            </w:r>
          </w:p>
        </w:tc>
        <w:tc>
          <w:tcPr>
            <w:tcW w:w="477" w:type="pct"/>
            <w:tcBorders>
              <w:top w:val="nil"/>
              <w:left w:val="single" w:sz="4" w:space="0" w:color="auto"/>
              <w:bottom w:val="nil"/>
              <w:right w:val="single" w:sz="4" w:space="0" w:color="auto"/>
            </w:tcBorders>
            <w:shd w:val="clear" w:color="auto" w:fill="C5E0B3" w:themeFill="accent6" w:themeFillTint="66"/>
            <w:noWrap/>
            <w:vAlign w:val="bottom"/>
            <w:hideMark/>
          </w:tcPr>
          <w:p w14:paraId="4DA8B094" w14:textId="3E18433D"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2</w:t>
            </w:r>
          </w:p>
        </w:tc>
        <w:tc>
          <w:tcPr>
            <w:tcW w:w="478" w:type="pct"/>
            <w:tcBorders>
              <w:top w:val="nil"/>
              <w:left w:val="single" w:sz="4" w:space="0" w:color="auto"/>
              <w:bottom w:val="nil"/>
              <w:right w:val="single" w:sz="4" w:space="0" w:color="auto"/>
            </w:tcBorders>
            <w:shd w:val="clear" w:color="auto" w:fill="C5E0B3" w:themeFill="accent6" w:themeFillTint="66"/>
            <w:noWrap/>
            <w:vAlign w:val="bottom"/>
            <w:hideMark/>
          </w:tcPr>
          <w:p w14:paraId="5B8B0CCF" w14:textId="5E52C662"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7</w:t>
            </w:r>
          </w:p>
        </w:tc>
        <w:tc>
          <w:tcPr>
            <w:tcW w:w="478" w:type="pct"/>
            <w:tcBorders>
              <w:top w:val="nil"/>
              <w:left w:val="single" w:sz="4" w:space="0" w:color="auto"/>
              <w:bottom w:val="nil"/>
              <w:right w:val="single" w:sz="4" w:space="0" w:color="auto"/>
            </w:tcBorders>
            <w:shd w:val="clear" w:color="auto" w:fill="C5E0B3" w:themeFill="accent6" w:themeFillTint="66"/>
            <w:noWrap/>
            <w:vAlign w:val="bottom"/>
            <w:hideMark/>
          </w:tcPr>
          <w:p w14:paraId="00774263" w14:textId="7420A7DC"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5</w:t>
            </w:r>
          </w:p>
        </w:tc>
        <w:tc>
          <w:tcPr>
            <w:tcW w:w="639" w:type="pct"/>
            <w:tcBorders>
              <w:top w:val="nil"/>
              <w:left w:val="single" w:sz="4" w:space="0" w:color="auto"/>
              <w:bottom w:val="nil"/>
              <w:right w:val="nil"/>
            </w:tcBorders>
            <w:shd w:val="clear" w:color="auto" w:fill="C5E0B3" w:themeFill="accent6" w:themeFillTint="66"/>
            <w:noWrap/>
            <w:vAlign w:val="bottom"/>
            <w:hideMark/>
          </w:tcPr>
          <w:p w14:paraId="7A3A73A1" w14:textId="2F017A45"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4,7</w:t>
            </w:r>
          </w:p>
        </w:tc>
        <w:tc>
          <w:tcPr>
            <w:tcW w:w="1337" w:type="pct"/>
            <w:tcBorders>
              <w:top w:val="nil"/>
              <w:left w:val="single" w:sz="4" w:space="0" w:color="auto"/>
              <w:bottom w:val="nil"/>
              <w:right w:val="nil"/>
            </w:tcBorders>
            <w:shd w:val="clear" w:color="auto" w:fill="C5E0B3" w:themeFill="accent6" w:themeFillTint="66"/>
            <w:vAlign w:val="bottom"/>
          </w:tcPr>
          <w:p w14:paraId="76B74588" w14:textId="3D2DF99A" w:rsidR="00817DA8" w:rsidRPr="004E74A6" w:rsidRDefault="00817DA8" w:rsidP="00CE62C1">
            <w:pPr>
              <w:spacing w:line="276" w:lineRule="auto"/>
              <w:jc w:val="center"/>
              <w:rPr>
                <w:rFonts w:cs="Calibri"/>
                <w:color w:val="000000"/>
                <w:sz w:val="20"/>
              </w:rPr>
            </w:pPr>
            <w:r w:rsidRPr="004E74A6">
              <w:rPr>
                <w:rFonts w:cs="Calibri"/>
                <w:color w:val="000000"/>
                <w:sz w:val="20"/>
              </w:rPr>
              <w:t>34%</w:t>
            </w:r>
          </w:p>
        </w:tc>
      </w:tr>
      <w:tr w:rsidR="00022B73" w:rsidRPr="004E74A6" w14:paraId="38CBE767" w14:textId="45485D7C" w:rsidTr="00022B73">
        <w:trPr>
          <w:trHeight w:val="288"/>
          <w:jc w:val="center"/>
        </w:trPr>
        <w:tc>
          <w:tcPr>
            <w:tcW w:w="1590" w:type="pct"/>
            <w:tcBorders>
              <w:top w:val="nil"/>
              <w:left w:val="nil"/>
              <w:bottom w:val="nil"/>
              <w:right w:val="single" w:sz="4" w:space="0" w:color="auto"/>
            </w:tcBorders>
            <w:shd w:val="clear" w:color="auto" w:fill="C5E0B3" w:themeFill="accent6" w:themeFillTint="66"/>
            <w:noWrap/>
            <w:vAlign w:val="bottom"/>
            <w:hideMark/>
          </w:tcPr>
          <w:p w14:paraId="6315F247" w14:textId="77777777" w:rsidR="00817DA8" w:rsidRPr="004E74A6" w:rsidRDefault="00817DA8" w:rsidP="00CE62C1">
            <w:pPr>
              <w:spacing w:line="276" w:lineRule="auto"/>
              <w:jc w:val="left"/>
              <w:rPr>
                <w:rFonts w:cs="Calibri"/>
                <w:color w:val="000000"/>
                <w:sz w:val="20"/>
                <w:lang w:eastAsia="es-CR"/>
              </w:rPr>
            </w:pPr>
            <w:r w:rsidRPr="004E74A6">
              <w:rPr>
                <w:rFonts w:cs="Calibri"/>
                <w:color w:val="000000"/>
                <w:sz w:val="20"/>
                <w:lang w:eastAsia="es-CR"/>
              </w:rPr>
              <w:t>De ¢10.000.001 A ¢15.000.000</w:t>
            </w:r>
          </w:p>
        </w:tc>
        <w:tc>
          <w:tcPr>
            <w:tcW w:w="477" w:type="pct"/>
            <w:tcBorders>
              <w:top w:val="nil"/>
              <w:left w:val="single" w:sz="4" w:space="0" w:color="auto"/>
              <w:bottom w:val="nil"/>
              <w:right w:val="single" w:sz="4" w:space="0" w:color="auto"/>
            </w:tcBorders>
            <w:shd w:val="clear" w:color="auto" w:fill="C5E0B3" w:themeFill="accent6" w:themeFillTint="66"/>
            <w:noWrap/>
            <w:vAlign w:val="bottom"/>
            <w:hideMark/>
          </w:tcPr>
          <w:p w14:paraId="5BFC85FA" w14:textId="644825E1"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7</w:t>
            </w:r>
          </w:p>
        </w:tc>
        <w:tc>
          <w:tcPr>
            <w:tcW w:w="478" w:type="pct"/>
            <w:tcBorders>
              <w:top w:val="nil"/>
              <w:left w:val="single" w:sz="4" w:space="0" w:color="auto"/>
              <w:bottom w:val="nil"/>
              <w:right w:val="single" w:sz="4" w:space="0" w:color="auto"/>
            </w:tcBorders>
            <w:shd w:val="clear" w:color="auto" w:fill="C5E0B3" w:themeFill="accent6" w:themeFillTint="66"/>
            <w:noWrap/>
            <w:vAlign w:val="bottom"/>
            <w:hideMark/>
          </w:tcPr>
          <w:p w14:paraId="01ACAF27" w14:textId="040A6595"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4</w:t>
            </w:r>
          </w:p>
        </w:tc>
        <w:tc>
          <w:tcPr>
            <w:tcW w:w="478" w:type="pct"/>
            <w:tcBorders>
              <w:top w:val="nil"/>
              <w:left w:val="single" w:sz="4" w:space="0" w:color="auto"/>
              <w:bottom w:val="nil"/>
              <w:right w:val="single" w:sz="4" w:space="0" w:color="auto"/>
            </w:tcBorders>
            <w:shd w:val="clear" w:color="auto" w:fill="C5E0B3" w:themeFill="accent6" w:themeFillTint="66"/>
            <w:noWrap/>
            <w:vAlign w:val="bottom"/>
            <w:hideMark/>
          </w:tcPr>
          <w:p w14:paraId="58C80AC9" w14:textId="5D2089CC"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6</w:t>
            </w:r>
          </w:p>
        </w:tc>
        <w:tc>
          <w:tcPr>
            <w:tcW w:w="639" w:type="pct"/>
            <w:tcBorders>
              <w:top w:val="nil"/>
              <w:left w:val="single" w:sz="4" w:space="0" w:color="auto"/>
              <w:bottom w:val="nil"/>
              <w:right w:val="nil"/>
            </w:tcBorders>
            <w:shd w:val="clear" w:color="auto" w:fill="C5E0B3" w:themeFill="accent6" w:themeFillTint="66"/>
            <w:noWrap/>
            <w:vAlign w:val="bottom"/>
            <w:hideMark/>
          </w:tcPr>
          <w:p w14:paraId="0D52B3E4" w14:textId="4B43D581"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5,7</w:t>
            </w:r>
          </w:p>
        </w:tc>
        <w:tc>
          <w:tcPr>
            <w:tcW w:w="1337" w:type="pct"/>
            <w:tcBorders>
              <w:top w:val="nil"/>
              <w:left w:val="single" w:sz="4" w:space="0" w:color="auto"/>
              <w:bottom w:val="nil"/>
              <w:right w:val="nil"/>
            </w:tcBorders>
            <w:shd w:val="clear" w:color="auto" w:fill="C5E0B3" w:themeFill="accent6" w:themeFillTint="66"/>
            <w:vAlign w:val="bottom"/>
          </w:tcPr>
          <w:p w14:paraId="04374467" w14:textId="27CD63FC" w:rsidR="00817DA8" w:rsidRPr="004E74A6" w:rsidRDefault="00817DA8" w:rsidP="00CE62C1">
            <w:pPr>
              <w:spacing w:line="276" w:lineRule="auto"/>
              <w:jc w:val="center"/>
              <w:rPr>
                <w:rFonts w:cs="Calibri"/>
                <w:color w:val="000000"/>
                <w:sz w:val="20"/>
              </w:rPr>
            </w:pPr>
            <w:r w:rsidRPr="004E74A6">
              <w:rPr>
                <w:rFonts w:cs="Calibri"/>
                <w:color w:val="000000"/>
                <w:sz w:val="20"/>
              </w:rPr>
              <w:t>42%</w:t>
            </w:r>
          </w:p>
        </w:tc>
      </w:tr>
      <w:tr w:rsidR="00022B73" w:rsidRPr="004E74A6" w14:paraId="4110BF57" w14:textId="69CBFCE5" w:rsidTr="00022B73">
        <w:trPr>
          <w:trHeight w:val="288"/>
          <w:jc w:val="center"/>
        </w:trPr>
        <w:tc>
          <w:tcPr>
            <w:tcW w:w="1590" w:type="pct"/>
            <w:tcBorders>
              <w:top w:val="nil"/>
              <w:left w:val="nil"/>
              <w:bottom w:val="nil"/>
              <w:right w:val="single" w:sz="4" w:space="0" w:color="auto"/>
            </w:tcBorders>
            <w:shd w:val="clear" w:color="auto" w:fill="C5E0B3" w:themeFill="accent6" w:themeFillTint="66"/>
            <w:noWrap/>
            <w:vAlign w:val="bottom"/>
            <w:hideMark/>
          </w:tcPr>
          <w:p w14:paraId="01792F64" w14:textId="77777777" w:rsidR="00817DA8" w:rsidRPr="004E74A6" w:rsidRDefault="00817DA8" w:rsidP="00CE62C1">
            <w:pPr>
              <w:spacing w:line="276" w:lineRule="auto"/>
              <w:jc w:val="left"/>
              <w:rPr>
                <w:rFonts w:cs="Calibri"/>
                <w:color w:val="000000"/>
                <w:sz w:val="20"/>
                <w:lang w:eastAsia="es-CR"/>
              </w:rPr>
            </w:pPr>
            <w:r w:rsidRPr="004E74A6">
              <w:rPr>
                <w:rFonts w:cs="Calibri"/>
                <w:color w:val="000000"/>
                <w:sz w:val="20"/>
                <w:lang w:eastAsia="es-CR"/>
              </w:rPr>
              <w:t>De ¢15.000.001 A ¢20.000.000</w:t>
            </w:r>
          </w:p>
        </w:tc>
        <w:tc>
          <w:tcPr>
            <w:tcW w:w="477" w:type="pct"/>
            <w:tcBorders>
              <w:top w:val="nil"/>
              <w:left w:val="single" w:sz="4" w:space="0" w:color="auto"/>
              <w:bottom w:val="nil"/>
              <w:right w:val="single" w:sz="4" w:space="0" w:color="auto"/>
            </w:tcBorders>
            <w:shd w:val="clear" w:color="auto" w:fill="C5E0B3" w:themeFill="accent6" w:themeFillTint="66"/>
            <w:noWrap/>
            <w:vAlign w:val="bottom"/>
            <w:hideMark/>
          </w:tcPr>
          <w:p w14:paraId="211BC20F" w14:textId="52D3EDB6"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5</w:t>
            </w:r>
          </w:p>
        </w:tc>
        <w:tc>
          <w:tcPr>
            <w:tcW w:w="478" w:type="pct"/>
            <w:tcBorders>
              <w:top w:val="nil"/>
              <w:left w:val="single" w:sz="4" w:space="0" w:color="auto"/>
              <w:bottom w:val="nil"/>
              <w:right w:val="single" w:sz="4" w:space="0" w:color="auto"/>
            </w:tcBorders>
            <w:shd w:val="clear" w:color="auto" w:fill="C5E0B3" w:themeFill="accent6" w:themeFillTint="66"/>
            <w:noWrap/>
            <w:vAlign w:val="bottom"/>
            <w:hideMark/>
          </w:tcPr>
          <w:p w14:paraId="40F06BCD" w14:textId="3EA8C195"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4</w:t>
            </w:r>
          </w:p>
        </w:tc>
        <w:tc>
          <w:tcPr>
            <w:tcW w:w="478" w:type="pct"/>
            <w:tcBorders>
              <w:top w:val="nil"/>
              <w:left w:val="single" w:sz="4" w:space="0" w:color="auto"/>
              <w:bottom w:val="nil"/>
              <w:right w:val="single" w:sz="4" w:space="0" w:color="auto"/>
            </w:tcBorders>
            <w:shd w:val="clear" w:color="auto" w:fill="C5E0B3" w:themeFill="accent6" w:themeFillTint="66"/>
            <w:noWrap/>
            <w:vAlign w:val="bottom"/>
            <w:hideMark/>
          </w:tcPr>
          <w:p w14:paraId="62647F36" w14:textId="76258EF7"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5</w:t>
            </w:r>
          </w:p>
        </w:tc>
        <w:tc>
          <w:tcPr>
            <w:tcW w:w="639" w:type="pct"/>
            <w:tcBorders>
              <w:top w:val="nil"/>
              <w:left w:val="single" w:sz="4" w:space="0" w:color="auto"/>
              <w:bottom w:val="nil"/>
              <w:right w:val="nil"/>
            </w:tcBorders>
            <w:shd w:val="clear" w:color="auto" w:fill="C5E0B3" w:themeFill="accent6" w:themeFillTint="66"/>
            <w:noWrap/>
            <w:vAlign w:val="bottom"/>
            <w:hideMark/>
          </w:tcPr>
          <w:p w14:paraId="447113C8" w14:textId="53F8A76C"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4,7</w:t>
            </w:r>
          </w:p>
        </w:tc>
        <w:tc>
          <w:tcPr>
            <w:tcW w:w="1337" w:type="pct"/>
            <w:tcBorders>
              <w:top w:val="nil"/>
              <w:left w:val="single" w:sz="4" w:space="0" w:color="auto"/>
              <w:bottom w:val="nil"/>
              <w:right w:val="nil"/>
            </w:tcBorders>
            <w:shd w:val="clear" w:color="auto" w:fill="C5E0B3" w:themeFill="accent6" w:themeFillTint="66"/>
            <w:vAlign w:val="bottom"/>
          </w:tcPr>
          <w:p w14:paraId="51B1C2B8" w14:textId="0D8188A0" w:rsidR="00817DA8" w:rsidRPr="004E74A6" w:rsidRDefault="00817DA8" w:rsidP="00CE62C1">
            <w:pPr>
              <w:spacing w:line="276" w:lineRule="auto"/>
              <w:jc w:val="center"/>
              <w:rPr>
                <w:rFonts w:cs="Calibri"/>
                <w:color w:val="000000"/>
                <w:sz w:val="20"/>
              </w:rPr>
            </w:pPr>
            <w:r w:rsidRPr="004E74A6">
              <w:rPr>
                <w:rFonts w:cs="Calibri"/>
                <w:color w:val="000000"/>
                <w:sz w:val="20"/>
              </w:rPr>
              <w:t>49%</w:t>
            </w:r>
          </w:p>
        </w:tc>
      </w:tr>
      <w:tr w:rsidR="00022B73" w:rsidRPr="004E74A6" w14:paraId="3079E1B2" w14:textId="03BCEE64" w:rsidTr="00022B73">
        <w:trPr>
          <w:trHeight w:val="288"/>
          <w:jc w:val="center"/>
        </w:trPr>
        <w:tc>
          <w:tcPr>
            <w:tcW w:w="1590" w:type="pct"/>
            <w:tcBorders>
              <w:top w:val="nil"/>
              <w:left w:val="nil"/>
              <w:bottom w:val="nil"/>
              <w:right w:val="single" w:sz="4" w:space="0" w:color="auto"/>
            </w:tcBorders>
            <w:shd w:val="clear" w:color="auto" w:fill="auto"/>
            <w:noWrap/>
            <w:vAlign w:val="bottom"/>
            <w:hideMark/>
          </w:tcPr>
          <w:p w14:paraId="3A8944B9" w14:textId="77777777" w:rsidR="00817DA8" w:rsidRPr="004E74A6" w:rsidRDefault="00817DA8" w:rsidP="00CE62C1">
            <w:pPr>
              <w:spacing w:line="276" w:lineRule="auto"/>
              <w:jc w:val="left"/>
              <w:rPr>
                <w:rFonts w:cs="Calibri"/>
                <w:color w:val="000000"/>
                <w:sz w:val="20"/>
                <w:lang w:eastAsia="es-CR"/>
              </w:rPr>
            </w:pPr>
            <w:r w:rsidRPr="004E74A6">
              <w:rPr>
                <w:rFonts w:cs="Calibri"/>
                <w:color w:val="000000"/>
                <w:sz w:val="20"/>
                <w:lang w:eastAsia="es-CR"/>
              </w:rPr>
              <w:t>De ¢20.000.001 A ¢25.000.000</w:t>
            </w:r>
          </w:p>
        </w:tc>
        <w:tc>
          <w:tcPr>
            <w:tcW w:w="477" w:type="pct"/>
            <w:tcBorders>
              <w:top w:val="nil"/>
              <w:left w:val="single" w:sz="4" w:space="0" w:color="auto"/>
              <w:bottom w:val="nil"/>
              <w:right w:val="single" w:sz="4" w:space="0" w:color="auto"/>
            </w:tcBorders>
            <w:shd w:val="clear" w:color="auto" w:fill="auto"/>
            <w:noWrap/>
            <w:vAlign w:val="bottom"/>
            <w:hideMark/>
          </w:tcPr>
          <w:p w14:paraId="3F1E3810" w14:textId="5DFC7422"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2</w:t>
            </w:r>
          </w:p>
        </w:tc>
        <w:tc>
          <w:tcPr>
            <w:tcW w:w="478" w:type="pct"/>
            <w:tcBorders>
              <w:top w:val="nil"/>
              <w:left w:val="single" w:sz="4" w:space="0" w:color="auto"/>
              <w:bottom w:val="nil"/>
              <w:right w:val="single" w:sz="4" w:space="0" w:color="auto"/>
            </w:tcBorders>
            <w:shd w:val="clear" w:color="auto" w:fill="auto"/>
            <w:noWrap/>
            <w:vAlign w:val="bottom"/>
            <w:hideMark/>
          </w:tcPr>
          <w:p w14:paraId="055982E6" w14:textId="56DE1F40"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5</w:t>
            </w:r>
          </w:p>
        </w:tc>
        <w:tc>
          <w:tcPr>
            <w:tcW w:w="478" w:type="pct"/>
            <w:tcBorders>
              <w:top w:val="nil"/>
              <w:left w:val="single" w:sz="4" w:space="0" w:color="auto"/>
              <w:bottom w:val="nil"/>
              <w:right w:val="single" w:sz="4" w:space="0" w:color="auto"/>
            </w:tcBorders>
            <w:shd w:val="clear" w:color="auto" w:fill="auto"/>
            <w:noWrap/>
            <w:vAlign w:val="bottom"/>
            <w:hideMark/>
          </w:tcPr>
          <w:p w14:paraId="55FF7729" w14:textId="1C9C619F"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7</w:t>
            </w:r>
          </w:p>
        </w:tc>
        <w:tc>
          <w:tcPr>
            <w:tcW w:w="639" w:type="pct"/>
            <w:tcBorders>
              <w:top w:val="nil"/>
              <w:left w:val="single" w:sz="4" w:space="0" w:color="auto"/>
              <w:bottom w:val="nil"/>
              <w:right w:val="nil"/>
            </w:tcBorders>
            <w:shd w:val="clear" w:color="auto" w:fill="auto"/>
            <w:noWrap/>
            <w:vAlign w:val="bottom"/>
            <w:hideMark/>
          </w:tcPr>
          <w:p w14:paraId="448B5648" w14:textId="2D45C446"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4,7</w:t>
            </w:r>
          </w:p>
        </w:tc>
        <w:tc>
          <w:tcPr>
            <w:tcW w:w="1337" w:type="pct"/>
            <w:tcBorders>
              <w:top w:val="nil"/>
              <w:left w:val="single" w:sz="4" w:space="0" w:color="auto"/>
              <w:bottom w:val="nil"/>
              <w:right w:val="nil"/>
            </w:tcBorders>
            <w:shd w:val="clear" w:color="auto" w:fill="auto"/>
            <w:vAlign w:val="bottom"/>
          </w:tcPr>
          <w:p w14:paraId="021231CC" w14:textId="3D631FF1" w:rsidR="00817DA8" w:rsidRPr="004E74A6" w:rsidRDefault="00817DA8" w:rsidP="00CE62C1">
            <w:pPr>
              <w:spacing w:line="276" w:lineRule="auto"/>
              <w:jc w:val="center"/>
              <w:rPr>
                <w:rFonts w:cs="Calibri"/>
                <w:color w:val="000000"/>
                <w:sz w:val="20"/>
              </w:rPr>
            </w:pPr>
            <w:r w:rsidRPr="004E74A6">
              <w:rPr>
                <w:rFonts w:cs="Calibri"/>
                <w:color w:val="000000"/>
                <w:sz w:val="20"/>
              </w:rPr>
              <w:t>55%</w:t>
            </w:r>
          </w:p>
        </w:tc>
      </w:tr>
      <w:tr w:rsidR="00022B73" w:rsidRPr="004E74A6" w14:paraId="20814988" w14:textId="6E8D2011" w:rsidTr="00022B73">
        <w:trPr>
          <w:trHeight w:val="288"/>
          <w:jc w:val="center"/>
        </w:trPr>
        <w:tc>
          <w:tcPr>
            <w:tcW w:w="1590" w:type="pct"/>
            <w:tcBorders>
              <w:top w:val="nil"/>
              <w:left w:val="nil"/>
              <w:bottom w:val="nil"/>
              <w:right w:val="single" w:sz="4" w:space="0" w:color="auto"/>
            </w:tcBorders>
            <w:shd w:val="clear" w:color="auto" w:fill="auto"/>
            <w:noWrap/>
            <w:vAlign w:val="bottom"/>
            <w:hideMark/>
          </w:tcPr>
          <w:p w14:paraId="4ED445D3" w14:textId="77777777" w:rsidR="00817DA8" w:rsidRPr="004E74A6" w:rsidRDefault="00817DA8" w:rsidP="00CE62C1">
            <w:pPr>
              <w:spacing w:line="276" w:lineRule="auto"/>
              <w:jc w:val="left"/>
              <w:rPr>
                <w:rFonts w:cs="Calibri"/>
                <w:color w:val="000000"/>
                <w:sz w:val="20"/>
                <w:lang w:eastAsia="es-CR"/>
              </w:rPr>
            </w:pPr>
            <w:r w:rsidRPr="004E74A6">
              <w:rPr>
                <w:rFonts w:cs="Calibri"/>
                <w:color w:val="000000"/>
                <w:sz w:val="20"/>
                <w:lang w:eastAsia="es-CR"/>
              </w:rPr>
              <w:t>De ¢25.000.001 A ¢30.000.000</w:t>
            </w:r>
          </w:p>
        </w:tc>
        <w:tc>
          <w:tcPr>
            <w:tcW w:w="477" w:type="pct"/>
            <w:tcBorders>
              <w:top w:val="nil"/>
              <w:left w:val="single" w:sz="4" w:space="0" w:color="auto"/>
              <w:bottom w:val="nil"/>
              <w:right w:val="single" w:sz="4" w:space="0" w:color="auto"/>
            </w:tcBorders>
            <w:shd w:val="clear" w:color="auto" w:fill="auto"/>
            <w:noWrap/>
            <w:vAlign w:val="bottom"/>
            <w:hideMark/>
          </w:tcPr>
          <w:p w14:paraId="40879987" w14:textId="2F563183"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1</w:t>
            </w:r>
          </w:p>
        </w:tc>
        <w:tc>
          <w:tcPr>
            <w:tcW w:w="478" w:type="pct"/>
            <w:tcBorders>
              <w:top w:val="nil"/>
              <w:left w:val="single" w:sz="4" w:space="0" w:color="auto"/>
              <w:bottom w:val="nil"/>
              <w:right w:val="single" w:sz="4" w:space="0" w:color="auto"/>
            </w:tcBorders>
            <w:shd w:val="clear" w:color="auto" w:fill="auto"/>
            <w:noWrap/>
            <w:vAlign w:val="bottom"/>
            <w:hideMark/>
          </w:tcPr>
          <w:p w14:paraId="2D199CC5" w14:textId="2236AA75"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2</w:t>
            </w:r>
          </w:p>
        </w:tc>
        <w:tc>
          <w:tcPr>
            <w:tcW w:w="478" w:type="pct"/>
            <w:tcBorders>
              <w:top w:val="nil"/>
              <w:left w:val="single" w:sz="4" w:space="0" w:color="auto"/>
              <w:bottom w:val="nil"/>
              <w:right w:val="single" w:sz="4" w:space="0" w:color="auto"/>
            </w:tcBorders>
            <w:shd w:val="clear" w:color="auto" w:fill="auto"/>
            <w:noWrap/>
            <w:vAlign w:val="bottom"/>
            <w:hideMark/>
          </w:tcPr>
          <w:p w14:paraId="4AA00B68" w14:textId="01FE251B"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4</w:t>
            </w:r>
          </w:p>
        </w:tc>
        <w:tc>
          <w:tcPr>
            <w:tcW w:w="639" w:type="pct"/>
            <w:tcBorders>
              <w:top w:val="nil"/>
              <w:left w:val="single" w:sz="4" w:space="0" w:color="auto"/>
              <w:bottom w:val="nil"/>
              <w:right w:val="nil"/>
            </w:tcBorders>
            <w:shd w:val="clear" w:color="auto" w:fill="auto"/>
            <w:noWrap/>
            <w:vAlign w:val="bottom"/>
            <w:hideMark/>
          </w:tcPr>
          <w:p w14:paraId="78E26673" w14:textId="3BC1B6E8"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2,3</w:t>
            </w:r>
          </w:p>
        </w:tc>
        <w:tc>
          <w:tcPr>
            <w:tcW w:w="1337" w:type="pct"/>
            <w:tcBorders>
              <w:top w:val="nil"/>
              <w:left w:val="single" w:sz="4" w:space="0" w:color="auto"/>
              <w:bottom w:val="nil"/>
              <w:right w:val="nil"/>
            </w:tcBorders>
            <w:shd w:val="clear" w:color="auto" w:fill="auto"/>
            <w:vAlign w:val="bottom"/>
          </w:tcPr>
          <w:p w14:paraId="37142138" w14:textId="1ECD34C6" w:rsidR="00817DA8" w:rsidRPr="004E74A6" w:rsidRDefault="00817DA8" w:rsidP="00CE62C1">
            <w:pPr>
              <w:spacing w:line="276" w:lineRule="auto"/>
              <w:jc w:val="center"/>
              <w:rPr>
                <w:rFonts w:cs="Calibri"/>
                <w:color w:val="000000"/>
                <w:sz w:val="20"/>
              </w:rPr>
            </w:pPr>
            <w:r w:rsidRPr="004E74A6">
              <w:rPr>
                <w:rFonts w:cs="Calibri"/>
                <w:color w:val="000000"/>
                <w:sz w:val="20"/>
              </w:rPr>
              <w:t>59%</w:t>
            </w:r>
          </w:p>
        </w:tc>
      </w:tr>
      <w:tr w:rsidR="00022B73" w:rsidRPr="004E74A6" w14:paraId="3DDFF3BD" w14:textId="0D7D999C" w:rsidTr="00022B73">
        <w:trPr>
          <w:trHeight w:val="288"/>
          <w:jc w:val="center"/>
        </w:trPr>
        <w:tc>
          <w:tcPr>
            <w:tcW w:w="1590" w:type="pct"/>
            <w:tcBorders>
              <w:top w:val="nil"/>
              <w:left w:val="nil"/>
              <w:bottom w:val="nil"/>
              <w:right w:val="single" w:sz="4" w:space="0" w:color="auto"/>
            </w:tcBorders>
            <w:shd w:val="clear" w:color="auto" w:fill="auto"/>
            <w:noWrap/>
            <w:vAlign w:val="bottom"/>
            <w:hideMark/>
          </w:tcPr>
          <w:p w14:paraId="1AEEB4B5" w14:textId="77777777" w:rsidR="00817DA8" w:rsidRPr="004E74A6" w:rsidRDefault="00817DA8" w:rsidP="00CE62C1">
            <w:pPr>
              <w:spacing w:line="276" w:lineRule="auto"/>
              <w:jc w:val="left"/>
              <w:rPr>
                <w:rFonts w:cs="Calibri"/>
                <w:color w:val="000000"/>
                <w:sz w:val="20"/>
                <w:lang w:eastAsia="es-CR"/>
              </w:rPr>
            </w:pPr>
            <w:r w:rsidRPr="004E74A6">
              <w:rPr>
                <w:rFonts w:cs="Calibri"/>
                <w:color w:val="000000"/>
                <w:sz w:val="20"/>
                <w:lang w:eastAsia="es-CR"/>
              </w:rPr>
              <w:t>De ¢30.000.001 A ¢35.000.000</w:t>
            </w:r>
          </w:p>
        </w:tc>
        <w:tc>
          <w:tcPr>
            <w:tcW w:w="477" w:type="pct"/>
            <w:tcBorders>
              <w:top w:val="nil"/>
              <w:left w:val="single" w:sz="4" w:space="0" w:color="auto"/>
              <w:bottom w:val="nil"/>
              <w:right w:val="single" w:sz="4" w:space="0" w:color="auto"/>
            </w:tcBorders>
            <w:shd w:val="clear" w:color="auto" w:fill="auto"/>
            <w:noWrap/>
            <w:vAlign w:val="bottom"/>
            <w:hideMark/>
          </w:tcPr>
          <w:p w14:paraId="52975679" w14:textId="1192B920"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0</w:t>
            </w:r>
          </w:p>
        </w:tc>
        <w:tc>
          <w:tcPr>
            <w:tcW w:w="478" w:type="pct"/>
            <w:tcBorders>
              <w:top w:val="nil"/>
              <w:left w:val="single" w:sz="4" w:space="0" w:color="auto"/>
              <w:bottom w:val="nil"/>
              <w:right w:val="single" w:sz="4" w:space="0" w:color="auto"/>
            </w:tcBorders>
            <w:shd w:val="clear" w:color="auto" w:fill="auto"/>
            <w:noWrap/>
            <w:vAlign w:val="bottom"/>
            <w:hideMark/>
          </w:tcPr>
          <w:p w14:paraId="12DD4E2E" w14:textId="320D9897"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3</w:t>
            </w:r>
          </w:p>
        </w:tc>
        <w:tc>
          <w:tcPr>
            <w:tcW w:w="478" w:type="pct"/>
            <w:tcBorders>
              <w:top w:val="nil"/>
              <w:left w:val="single" w:sz="4" w:space="0" w:color="auto"/>
              <w:bottom w:val="nil"/>
              <w:right w:val="single" w:sz="4" w:space="0" w:color="auto"/>
            </w:tcBorders>
            <w:shd w:val="clear" w:color="auto" w:fill="auto"/>
            <w:noWrap/>
            <w:vAlign w:val="bottom"/>
            <w:hideMark/>
          </w:tcPr>
          <w:p w14:paraId="4F0CF59B" w14:textId="750EB63E"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3</w:t>
            </w:r>
          </w:p>
        </w:tc>
        <w:tc>
          <w:tcPr>
            <w:tcW w:w="639" w:type="pct"/>
            <w:tcBorders>
              <w:top w:val="nil"/>
              <w:left w:val="single" w:sz="4" w:space="0" w:color="auto"/>
              <w:bottom w:val="nil"/>
              <w:right w:val="nil"/>
            </w:tcBorders>
            <w:shd w:val="clear" w:color="auto" w:fill="auto"/>
            <w:noWrap/>
            <w:vAlign w:val="bottom"/>
            <w:hideMark/>
          </w:tcPr>
          <w:p w14:paraId="3F370C4E" w14:textId="50DD913E"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2,0</w:t>
            </w:r>
          </w:p>
        </w:tc>
        <w:tc>
          <w:tcPr>
            <w:tcW w:w="1337" w:type="pct"/>
            <w:tcBorders>
              <w:top w:val="nil"/>
              <w:left w:val="single" w:sz="4" w:space="0" w:color="auto"/>
              <w:bottom w:val="nil"/>
              <w:right w:val="nil"/>
            </w:tcBorders>
            <w:shd w:val="clear" w:color="auto" w:fill="auto"/>
            <w:vAlign w:val="bottom"/>
          </w:tcPr>
          <w:p w14:paraId="267AB55D" w14:textId="416E49B3" w:rsidR="00817DA8" w:rsidRPr="004E74A6" w:rsidRDefault="00817DA8" w:rsidP="00CE62C1">
            <w:pPr>
              <w:spacing w:line="276" w:lineRule="auto"/>
              <w:jc w:val="center"/>
              <w:rPr>
                <w:rFonts w:cs="Calibri"/>
                <w:color w:val="000000"/>
                <w:sz w:val="20"/>
              </w:rPr>
            </w:pPr>
            <w:r w:rsidRPr="004E74A6">
              <w:rPr>
                <w:rFonts w:cs="Calibri"/>
                <w:color w:val="000000"/>
                <w:sz w:val="20"/>
              </w:rPr>
              <w:t>61%</w:t>
            </w:r>
          </w:p>
        </w:tc>
      </w:tr>
      <w:tr w:rsidR="00022B73" w:rsidRPr="004E74A6" w14:paraId="18C1EEAD" w14:textId="36A14A65" w:rsidTr="00022B73">
        <w:trPr>
          <w:trHeight w:val="288"/>
          <w:jc w:val="center"/>
        </w:trPr>
        <w:tc>
          <w:tcPr>
            <w:tcW w:w="1590" w:type="pct"/>
            <w:tcBorders>
              <w:top w:val="nil"/>
              <w:left w:val="nil"/>
              <w:bottom w:val="nil"/>
              <w:right w:val="single" w:sz="4" w:space="0" w:color="auto"/>
            </w:tcBorders>
            <w:shd w:val="clear" w:color="auto" w:fill="auto"/>
            <w:noWrap/>
            <w:vAlign w:val="bottom"/>
            <w:hideMark/>
          </w:tcPr>
          <w:p w14:paraId="5396669C" w14:textId="77777777" w:rsidR="00817DA8" w:rsidRPr="004E74A6" w:rsidRDefault="00817DA8" w:rsidP="00CE62C1">
            <w:pPr>
              <w:spacing w:line="276" w:lineRule="auto"/>
              <w:jc w:val="left"/>
              <w:rPr>
                <w:rFonts w:cs="Calibri"/>
                <w:color w:val="000000"/>
                <w:sz w:val="20"/>
                <w:lang w:eastAsia="es-CR"/>
              </w:rPr>
            </w:pPr>
            <w:r w:rsidRPr="004E74A6">
              <w:rPr>
                <w:rFonts w:cs="Calibri"/>
                <w:color w:val="000000"/>
                <w:sz w:val="20"/>
                <w:lang w:eastAsia="es-CR"/>
              </w:rPr>
              <w:t>De ¢35.000.001 A ¢40.000.000</w:t>
            </w:r>
          </w:p>
        </w:tc>
        <w:tc>
          <w:tcPr>
            <w:tcW w:w="477" w:type="pct"/>
            <w:tcBorders>
              <w:top w:val="nil"/>
              <w:left w:val="single" w:sz="4" w:space="0" w:color="auto"/>
              <w:bottom w:val="nil"/>
              <w:right w:val="single" w:sz="4" w:space="0" w:color="auto"/>
            </w:tcBorders>
            <w:shd w:val="clear" w:color="auto" w:fill="auto"/>
            <w:noWrap/>
            <w:vAlign w:val="bottom"/>
            <w:hideMark/>
          </w:tcPr>
          <w:p w14:paraId="4BEB5D6A" w14:textId="7FDD27C9"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1</w:t>
            </w:r>
          </w:p>
        </w:tc>
        <w:tc>
          <w:tcPr>
            <w:tcW w:w="478" w:type="pct"/>
            <w:tcBorders>
              <w:top w:val="nil"/>
              <w:left w:val="single" w:sz="4" w:space="0" w:color="auto"/>
              <w:bottom w:val="nil"/>
              <w:right w:val="single" w:sz="4" w:space="0" w:color="auto"/>
            </w:tcBorders>
            <w:shd w:val="clear" w:color="auto" w:fill="auto"/>
            <w:noWrap/>
            <w:vAlign w:val="bottom"/>
            <w:hideMark/>
          </w:tcPr>
          <w:p w14:paraId="1F6B972F" w14:textId="624C4533"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0</w:t>
            </w:r>
          </w:p>
        </w:tc>
        <w:tc>
          <w:tcPr>
            <w:tcW w:w="478" w:type="pct"/>
            <w:tcBorders>
              <w:top w:val="nil"/>
              <w:left w:val="single" w:sz="4" w:space="0" w:color="auto"/>
              <w:bottom w:val="nil"/>
              <w:right w:val="single" w:sz="4" w:space="0" w:color="auto"/>
            </w:tcBorders>
            <w:shd w:val="clear" w:color="auto" w:fill="auto"/>
            <w:noWrap/>
            <w:vAlign w:val="bottom"/>
            <w:hideMark/>
          </w:tcPr>
          <w:p w14:paraId="7D939A39" w14:textId="77A031F3"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2</w:t>
            </w:r>
          </w:p>
        </w:tc>
        <w:tc>
          <w:tcPr>
            <w:tcW w:w="639" w:type="pct"/>
            <w:tcBorders>
              <w:top w:val="nil"/>
              <w:left w:val="single" w:sz="4" w:space="0" w:color="auto"/>
              <w:bottom w:val="nil"/>
              <w:right w:val="nil"/>
            </w:tcBorders>
            <w:shd w:val="clear" w:color="auto" w:fill="auto"/>
            <w:noWrap/>
            <w:vAlign w:val="bottom"/>
            <w:hideMark/>
          </w:tcPr>
          <w:p w14:paraId="229066BC" w14:textId="12017897"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1,0</w:t>
            </w:r>
          </w:p>
        </w:tc>
        <w:tc>
          <w:tcPr>
            <w:tcW w:w="1337" w:type="pct"/>
            <w:tcBorders>
              <w:top w:val="nil"/>
              <w:left w:val="single" w:sz="4" w:space="0" w:color="auto"/>
              <w:bottom w:val="nil"/>
              <w:right w:val="nil"/>
            </w:tcBorders>
            <w:shd w:val="clear" w:color="auto" w:fill="auto"/>
            <w:vAlign w:val="bottom"/>
          </w:tcPr>
          <w:p w14:paraId="64AFD1DE" w14:textId="3F0E3397" w:rsidR="00817DA8" w:rsidRPr="004E74A6" w:rsidRDefault="00817DA8" w:rsidP="00CE62C1">
            <w:pPr>
              <w:spacing w:line="276" w:lineRule="auto"/>
              <w:jc w:val="center"/>
              <w:rPr>
                <w:rFonts w:cs="Calibri"/>
                <w:color w:val="000000"/>
                <w:sz w:val="20"/>
              </w:rPr>
            </w:pPr>
            <w:r w:rsidRPr="004E74A6">
              <w:rPr>
                <w:rFonts w:cs="Calibri"/>
                <w:color w:val="000000"/>
                <w:sz w:val="20"/>
              </w:rPr>
              <w:t>63%</w:t>
            </w:r>
          </w:p>
        </w:tc>
      </w:tr>
      <w:tr w:rsidR="00022B73" w:rsidRPr="004E74A6" w14:paraId="3CCB226F" w14:textId="502DE1FD" w:rsidTr="00022B73">
        <w:trPr>
          <w:trHeight w:val="288"/>
          <w:jc w:val="center"/>
        </w:trPr>
        <w:tc>
          <w:tcPr>
            <w:tcW w:w="1590" w:type="pct"/>
            <w:tcBorders>
              <w:top w:val="nil"/>
              <w:left w:val="nil"/>
              <w:bottom w:val="nil"/>
              <w:right w:val="single" w:sz="4" w:space="0" w:color="auto"/>
            </w:tcBorders>
            <w:shd w:val="clear" w:color="auto" w:fill="auto"/>
            <w:noWrap/>
            <w:vAlign w:val="bottom"/>
            <w:hideMark/>
          </w:tcPr>
          <w:p w14:paraId="62EE150C" w14:textId="77777777" w:rsidR="00817DA8" w:rsidRPr="004E74A6" w:rsidRDefault="00817DA8" w:rsidP="00CE62C1">
            <w:pPr>
              <w:spacing w:line="276" w:lineRule="auto"/>
              <w:jc w:val="left"/>
              <w:rPr>
                <w:rFonts w:cs="Calibri"/>
                <w:color w:val="000000"/>
                <w:sz w:val="20"/>
                <w:lang w:eastAsia="es-CR"/>
              </w:rPr>
            </w:pPr>
            <w:r w:rsidRPr="004E74A6">
              <w:rPr>
                <w:rFonts w:cs="Calibri"/>
                <w:color w:val="000000"/>
                <w:sz w:val="20"/>
                <w:lang w:eastAsia="es-CR"/>
              </w:rPr>
              <w:t>De ¢40.000.001 A ¢45.000.000</w:t>
            </w:r>
          </w:p>
        </w:tc>
        <w:tc>
          <w:tcPr>
            <w:tcW w:w="477" w:type="pct"/>
            <w:tcBorders>
              <w:top w:val="nil"/>
              <w:left w:val="single" w:sz="4" w:space="0" w:color="auto"/>
              <w:bottom w:val="nil"/>
              <w:right w:val="single" w:sz="4" w:space="0" w:color="auto"/>
            </w:tcBorders>
            <w:shd w:val="clear" w:color="auto" w:fill="auto"/>
            <w:noWrap/>
            <w:vAlign w:val="bottom"/>
            <w:hideMark/>
          </w:tcPr>
          <w:p w14:paraId="62AA6205" w14:textId="7509B75A"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1</w:t>
            </w:r>
          </w:p>
        </w:tc>
        <w:tc>
          <w:tcPr>
            <w:tcW w:w="478" w:type="pct"/>
            <w:tcBorders>
              <w:top w:val="nil"/>
              <w:left w:val="single" w:sz="4" w:space="0" w:color="auto"/>
              <w:bottom w:val="nil"/>
              <w:right w:val="single" w:sz="4" w:space="0" w:color="auto"/>
            </w:tcBorders>
            <w:shd w:val="clear" w:color="auto" w:fill="auto"/>
            <w:noWrap/>
            <w:vAlign w:val="bottom"/>
            <w:hideMark/>
          </w:tcPr>
          <w:p w14:paraId="3D7F52E7" w14:textId="79C73D55"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1</w:t>
            </w:r>
          </w:p>
        </w:tc>
        <w:tc>
          <w:tcPr>
            <w:tcW w:w="478" w:type="pct"/>
            <w:tcBorders>
              <w:top w:val="nil"/>
              <w:left w:val="single" w:sz="4" w:space="0" w:color="auto"/>
              <w:bottom w:val="nil"/>
              <w:right w:val="single" w:sz="4" w:space="0" w:color="auto"/>
            </w:tcBorders>
            <w:shd w:val="clear" w:color="auto" w:fill="auto"/>
            <w:noWrap/>
            <w:vAlign w:val="bottom"/>
            <w:hideMark/>
          </w:tcPr>
          <w:p w14:paraId="589C2FC6" w14:textId="7E6B1FE3"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5</w:t>
            </w:r>
          </w:p>
        </w:tc>
        <w:tc>
          <w:tcPr>
            <w:tcW w:w="639" w:type="pct"/>
            <w:tcBorders>
              <w:top w:val="nil"/>
              <w:left w:val="single" w:sz="4" w:space="0" w:color="auto"/>
              <w:bottom w:val="nil"/>
              <w:right w:val="nil"/>
            </w:tcBorders>
            <w:shd w:val="clear" w:color="auto" w:fill="auto"/>
            <w:noWrap/>
            <w:vAlign w:val="bottom"/>
            <w:hideMark/>
          </w:tcPr>
          <w:p w14:paraId="7AE1A02F" w14:textId="6D4A4E74"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2,3</w:t>
            </w:r>
          </w:p>
        </w:tc>
        <w:tc>
          <w:tcPr>
            <w:tcW w:w="1337" w:type="pct"/>
            <w:tcBorders>
              <w:top w:val="nil"/>
              <w:left w:val="single" w:sz="4" w:space="0" w:color="auto"/>
              <w:bottom w:val="nil"/>
              <w:right w:val="nil"/>
            </w:tcBorders>
            <w:shd w:val="clear" w:color="auto" w:fill="auto"/>
            <w:vAlign w:val="bottom"/>
          </w:tcPr>
          <w:p w14:paraId="0B43865F" w14:textId="1EDE0059" w:rsidR="00817DA8" w:rsidRPr="004E74A6" w:rsidRDefault="00817DA8" w:rsidP="00CE62C1">
            <w:pPr>
              <w:spacing w:line="276" w:lineRule="auto"/>
              <w:jc w:val="center"/>
              <w:rPr>
                <w:rFonts w:cs="Calibri"/>
                <w:color w:val="000000"/>
                <w:sz w:val="20"/>
              </w:rPr>
            </w:pPr>
            <w:r w:rsidRPr="004E74A6">
              <w:rPr>
                <w:rFonts w:cs="Calibri"/>
                <w:color w:val="000000"/>
                <w:sz w:val="20"/>
              </w:rPr>
              <w:t>66%</w:t>
            </w:r>
          </w:p>
        </w:tc>
      </w:tr>
      <w:tr w:rsidR="00022B73" w:rsidRPr="004E74A6" w14:paraId="4B8CA2DC" w14:textId="60B03E8E" w:rsidTr="00022B73">
        <w:trPr>
          <w:trHeight w:val="288"/>
          <w:jc w:val="center"/>
        </w:trPr>
        <w:tc>
          <w:tcPr>
            <w:tcW w:w="1590" w:type="pct"/>
            <w:tcBorders>
              <w:top w:val="nil"/>
              <w:left w:val="nil"/>
              <w:bottom w:val="nil"/>
              <w:right w:val="single" w:sz="4" w:space="0" w:color="auto"/>
            </w:tcBorders>
            <w:shd w:val="clear" w:color="auto" w:fill="auto"/>
            <w:noWrap/>
            <w:vAlign w:val="bottom"/>
            <w:hideMark/>
          </w:tcPr>
          <w:p w14:paraId="57F4E3CD" w14:textId="77777777" w:rsidR="00817DA8" w:rsidRPr="004E74A6" w:rsidRDefault="00817DA8" w:rsidP="00CE62C1">
            <w:pPr>
              <w:spacing w:line="276" w:lineRule="auto"/>
              <w:jc w:val="left"/>
              <w:rPr>
                <w:rFonts w:cs="Calibri"/>
                <w:color w:val="000000"/>
                <w:sz w:val="20"/>
                <w:lang w:eastAsia="es-CR"/>
              </w:rPr>
            </w:pPr>
            <w:r w:rsidRPr="004E74A6">
              <w:rPr>
                <w:rFonts w:cs="Calibri"/>
                <w:color w:val="000000"/>
                <w:sz w:val="20"/>
                <w:lang w:eastAsia="es-CR"/>
              </w:rPr>
              <w:t>De ¢45.000.001 A ¢50.000.000</w:t>
            </w:r>
          </w:p>
        </w:tc>
        <w:tc>
          <w:tcPr>
            <w:tcW w:w="477" w:type="pct"/>
            <w:tcBorders>
              <w:top w:val="nil"/>
              <w:left w:val="single" w:sz="4" w:space="0" w:color="auto"/>
              <w:bottom w:val="nil"/>
              <w:right w:val="single" w:sz="4" w:space="0" w:color="auto"/>
            </w:tcBorders>
            <w:shd w:val="clear" w:color="auto" w:fill="auto"/>
            <w:noWrap/>
            <w:vAlign w:val="bottom"/>
            <w:hideMark/>
          </w:tcPr>
          <w:p w14:paraId="68D40364" w14:textId="535AE833"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3</w:t>
            </w:r>
          </w:p>
        </w:tc>
        <w:tc>
          <w:tcPr>
            <w:tcW w:w="478" w:type="pct"/>
            <w:tcBorders>
              <w:top w:val="nil"/>
              <w:left w:val="single" w:sz="4" w:space="0" w:color="auto"/>
              <w:bottom w:val="nil"/>
              <w:right w:val="single" w:sz="4" w:space="0" w:color="auto"/>
            </w:tcBorders>
            <w:shd w:val="clear" w:color="auto" w:fill="auto"/>
            <w:noWrap/>
            <w:vAlign w:val="bottom"/>
            <w:hideMark/>
          </w:tcPr>
          <w:p w14:paraId="2892FDF4" w14:textId="2510E880"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3</w:t>
            </w:r>
          </w:p>
        </w:tc>
        <w:tc>
          <w:tcPr>
            <w:tcW w:w="478" w:type="pct"/>
            <w:tcBorders>
              <w:top w:val="nil"/>
              <w:left w:val="single" w:sz="4" w:space="0" w:color="auto"/>
              <w:bottom w:val="nil"/>
              <w:right w:val="single" w:sz="4" w:space="0" w:color="auto"/>
            </w:tcBorders>
            <w:shd w:val="clear" w:color="auto" w:fill="auto"/>
            <w:noWrap/>
            <w:vAlign w:val="bottom"/>
            <w:hideMark/>
          </w:tcPr>
          <w:p w14:paraId="2A253F53" w14:textId="640AD052"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1</w:t>
            </w:r>
          </w:p>
        </w:tc>
        <w:tc>
          <w:tcPr>
            <w:tcW w:w="639" w:type="pct"/>
            <w:tcBorders>
              <w:top w:val="nil"/>
              <w:left w:val="single" w:sz="4" w:space="0" w:color="auto"/>
              <w:bottom w:val="nil"/>
              <w:right w:val="nil"/>
            </w:tcBorders>
            <w:shd w:val="clear" w:color="auto" w:fill="auto"/>
            <w:noWrap/>
            <w:vAlign w:val="bottom"/>
            <w:hideMark/>
          </w:tcPr>
          <w:p w14:paraId="71FB2A24" w14:textId="678B8D64"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2,3</w:t>
            </w:r>
          </w:p>
        </w:tc>
        <w:tc>
          <w:tcPr>
            <w:tcW w:w="1337" w:type="pct"/>
            <w:tcBorders>
              <w:top w:val="nil"/>
              <w:left w:val="single" w:sz="4" w:space="0" w:color="auto"/>
              <w:bottom w:val="nil"/>
              <w:right w:val="nil"/>
            </w:tcBorders>
            <w:shd w:val="clear" w:color="auto" w:fill="auto"/>
            <w:vAlign w:val="bottom"/>
          </w:tcPr>
          <w:p w14:paraId="645CC41F" w14:textId="45C01DAA" w:rsidR="00817DA8" w:rsidRPr="004E74A6" w:rsidRDefault="00817DA8" w:rsidP="00CE62C1">
            <w:pPr>
              <w:spacing w:line="276" w:lineRule="auto"/>
              <w:jc w:val="center"/>
              <w:rPr>
                <w:rFonts w:cs="Calibri"/>
                <w:color w:val="000000"/>
                <w:sz w:val="20"/>
              </w:rPr>
            </w:pPr>
            <w:r w:rsidRPr="004E74A6">
              <w:rPr>
                <w:rFonts w:cs="Calibri"/>
                <w:color w:val="000000"/>
                <w:sz w:val="20"/>
              </w:rPr>
              <w:t>70%</w:t>
            </w:r>
          </w:p>
        </w:tc>
      </w:tr>
      <w:tr w:rsidR="00022B73" w:rsidRPr="004E74A6" w14:paraId="45B23592" w14:textId="38CCA664" w:rsidTr="00022B73">
        <w:trPr>
          <w:trHeight w:val="288"/>
          <w:jc w:val="center"/>
        </w:trPr>
        <w:tc>
          <w:tcPr>
            <w:tcW w:w="1590" w:type="pct"/>
            <w:tcBorders>
              <w:top w:val="nil"/>
              <w:left w:val="nil"/>
              <w:bottom w:val="nil"/>
              <w:right w:val="single" w:sz="4" w:space="0" w:color="auto"/>
            </w:tcBorders>
            <w:shd w:val="clear" w:color="auto" w:fill="auto"/>
            <w:noWrap/>
            <w:vAlign w:val="bottom"/>
            <w:hideMark/>
          </w:tcPr>
          <w:p w14:paraId="6D50AE75" w14:textId="77777777" w:rsidR="00817DA8" w:rsidRPr="004E74A6" w:rsidRDefault="00817DA8" w:rsidP="00CE62C1">
            <w:pPr>
              <w:spacing w:line="276" w:lineRule="auto"/>
              <w:jc w:val="left"/>
              <w:rPr>
                <w:rFonts w:cs="Calibri"/>
                <w:color w:val="000000"/>
                <w:sz w:val="20"/>
                <w:lang w:eastAsia="es-CR"/>
              </w:rPr>
            </w:pPr>
            <w:r w:rsidRPr="004E74A6">
              <w:rPr>
                <w:rFonts w:cs="Calibri"/>
                <w:color w:val="000000"/>
                <w:sz w:val="20"/>
                <w:lang w:eastAsia="es-CR"/>
              </w:rPr>
              <w:t>De ¢50.000.001 A ¢55.000.000</w:t>
            </w:r>
          </w:p>
        </w:tc>
        <w:tc>
          <w:tcPr>
            <w:tcW w:w="477" w:type="pct"/>
            <w:tcBorders>
              <w:top w:val="nil"/>
              <w:left w:val="single" w:sz="4" w:space="0" w:color="auto"/>
              <w:bottom w:val="nil"/>
              <w:right w:val="single" w:sz="4" w:space="0" w:color="auto"/>
            </w:tcBorders>
            <w:shd w:val="clear" w:color="auto" w:fill="auto"/>
            <w:noWrap/>
            <w:vAlign w:val="bottom"/>
            <w:hideMark/>
          </w:tcPr>
          <w:p w14:paraId="4B41A4DB" w14:textId="6FBC1755"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0</w:t>
            </w:r>
          </w:p>
        </w:tc>
        <w:tc>
          <w:tcPr>
            <w:tcW w:w="478" w:type="pct"/>
            <w:tcBorders>
              <w:top w:val="nil"/>
              <w:left w:val="single" w:sz="4" w:space="0" w:color="auto"/>
              <w:bottom w:val="nil"/>
              <w:right w:val="single" w:sz="4" w:space="0" w:color="auto"/>
            </w:tcBorders>
            <w:shd w:val="clear" w:color="auto" w:fill="auto"/>
            <w:noWrap/>
            <w:vAlign w:val="bottom"/>
            <w:hideMark/>
          </w:tcPr>
          <w:p w14:paraId="305E4432" w14:textId="03BF4ACC"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3</w:t>
            </w:r>
          </w:p>
        </w:tc>
        <w:tc>
          <w:tcPr>
            <w:tcW w:w="478" w:type="pct"/>
            <w:tcBorders>
              <w:top w:val="nil"/>
              <w:left w:val="single" w:sz="4" w:space="0" w:color="auto"/>
              <w:bottom w:val="nil"/>
              <w:right w:val="single" w:sz="4" w:space="0" w:color="auto"/>
            </w:tcBorders>
            <w:shd w:val="clear" w:color="auto" w:fill="auto"/>
            <w:noWrap/>
            <w:vAlign w:val="bottom"/>
            <w:hideMark/>
          </w:tcPr>
          <w:p w14:paraId="2B6AF574" w14:textId="46991AEA"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2</w:t>
            </w:r>
          </w:p>
        </w:tc>
        <w:tc>
          <w:tcPr>
            <w:tcW w:w="639" w:type="pct"/>
            <w:tcBorders>
              <w:top w:val="nil"/>
              <w:left w:val="single" w:sz="4" w:space="0" w:color="auto"/>
              <w:bottom w:val="nil"/>
              <w:right w:val="nil"/>
            </w:tcBorders>
            <w:shd w:val="clear" w:color="auto" w:fill="auto"/>
            <w:noWrap/>
            <w:vAlign w:val="bottom"/>
            <w:hideMark/>
          </w:tcPr>
          <w:p w14:paraId="41571AF6" w14:textId="75511BA6"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1,7</w:t>
            </w:r>
          </w:p>
        </w:tc>
        <w:tc>
          <w:tcPr>
            <w:tcW w:w="1337" w:type="pct"/>
            <w:tcBorders>
              <w:top w:val="nil"/>
              <w:left w:val="single" w:sz="4" w:space="0" w:color="auto"/>
              <w:bottom w:val="nil"/>
              <w:right w:val="nil"/>
            </w:tcBorders>
            <w:shd w:val="clear" w:color="auto" w:fill="auto"/>
            <w:vAlign w:val="bottom"/>
          </w:tcPr>
          <w:p w14:paraId="1E181004" w14:textId="763ED999" w:rsidR="00817DA8" w:rsidRPr="004E74A6" w:rsidRDefault="00817DA8" w:rsidP="00CE62C1">
            <w:pPr>
              <w:spacing w:line="276" w:lineRule="auto"/>
              <w:jc w:val="center"/>
              <w:rPr>
                <w:rFonts w:cs="Calibri"/>
                <w:color w:val="000000"/>
                <w:sz w:val="20"/>
              </w:rPr>
            </w:pPr>
            <w:r w:rsidRPr="004E74A6">
              <w:rPr>
                <w:rFonts w:cs="Calibri"/>
                <w:color w:val="000000"/>
                <w:sz w:val="20"/>
              </w:rPr>
              <w:t>72%</w:t>
            </w:r>
          </w:p>
        </w:tc>
      </w:tr>
      <w:tr w:rsidR="00022B73" w:rsidRPr="004E74A6" w14:paraId="22E641AC" w14:textId="252841E6" w:rsidTr="00022B73">
        <w:trPr>
          <w:trHeight w:val="288"/>
          <w:jc w:val="center"/>
        </w:trPr>
        <w:tc>
          <w:tcPr>
            <w:tcW w:w="1590" w:type="pct"/>
            <w:tcBorders>
              <w:top w:val="nil"/>
              <w:left w:val="nil"/>
              <w:bottom w:val="nil"/>
              <w:right w:val="single" w:sz="4" w:space="0" w:color="auto"/>
            </w:tcBorders>
            <w:shd w:val="clear" w:color="auto" w:fill="auto"/>
            <w:noWrap/>
            <w:vAlign w:val="bottom"/>
            <w:hideMark/>
          </w:tcPr>
          <w:p w14:paraId="60BDF296" w14:textId="77777777" w:rsidR="00817DA8" w:rsidRPr="004E74A6" w:rsidRDefault="00817DA8" w:rsidP="00CE62C1">
            <w:pPr>
              <w:spacing w:line="276" w:lineRule="auto"/>
              <w:jc w:val="left"/>
              <w:rPr>
                <w:rFonts w:cs="Calibri"/>
                <w:color w:val="000000"/>
                <w:sz w:val="20"/>
                <w:lang w:eastAsia="es-CR"/>
              </w:rPr>
            </w:pPr>
            <w:r w:rsidRPr="004E74A6">
              <w:rPr>
                <w:rFonts w:cs="Calibri"/>
                <w:color w:val="000000"/>
                <w:sz w:val="20"/>
                <w:lang w:eastAsia="es-CR"/>
              </w:rPr>
              <w:t>De ¢55.000.001 A ¢60.000.000</w:t>
            </w:r>
          </w:p>
        </w:tc>
        <w:tc>
          <w:tcPr>
            <w:tcW w:w="477" w:type="pct"/>
            <w:tcBorders>
              <w:top w:val="nil"/>
              <w:left w:val="single" w:sz="4" w:space="0" w:color="auto"/>
              <w:bottom w:val="nil"/>
              <w:right w:val="single" w:sz="4" w:space="0" w:color="auto"/>
            </w:tcBorders>
            <w:shd w:val="clear" w:color="auto" w:fill="auto"/>
            <w:noWrap/>
            <w:vAlign w:val="bottom"/>
            <w:hideMark/>
          </w:tcPr>
          <w:p w14:paraId="72104872" w14:textId="439E9488"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0</w:t>
            </w:r>
          </w:p>
        </w:tc>
        <w:tc>
          <w:tcPr>
            <w:tcW w:w="478" w:type="pct"/>
            <w:tcBorders>
              <w:top w:val="nil"/>
              <w:left w:val="single" w:sz="4" w:space="0" w:color="auto"/>
              <w:bottom w:val="nil"/>
              <w:right w:val="single" w:sz="4" w:space="0" w:color="auto"/>
            </w:tcBorders>
            <w:shd w:val="clear" w:color="auto" w:fill="auto"/>
            <w:noWrap/>
            <w:vAlign w:val="bottom"/>
            <w:hideMark/>
          </w:tcPr>
          <w:p w14:paraId="75B82317" w14:textId="35B50E88" w:rsidR="00817DA8" w:rsidRPr="004E74A6" w:rsidRDefault="00817DA8" w:rsidP="00CE62C1">
            <w:pPr>
              <w:spacing w:line="276" w:lineRule="auto"/>
              <w:jc w:val="center"/>
              <w:rPr>
                <w:sz w:val="20"/>
                <w:lang w:eastAsia="es-CR"/>
              </w:rPr>
            </w:pPr>
            <w:r w:rsidRPr="004E74A6">
              <w:rPr>
                <w:rFonts w:cs="Calibri"/>
                <w:color w:val="000000"/>
                <w:sz w:val="20"/>
              </w:rPr>
              <w:t>0</w:t>
            </w:r>
          </w:p>
        </w:tc>
        <w:tc>
          <w:tcPr>
            <w:tcW w:w="478" w:type="pct"/>
            <w:tcBorders>
              <w:top w:val="nil"/>
              <w:left w:val="single" w:sz="4" w:space="0" w:color="auto"/>
              <w:bottom w:val="nil"/>
              <w:right w:val="single" w:sz="4" w:space="0" w:color="auto"/>
            </w:tcBorders>
            <w:shd w:val="clear" w:color="auto" w:fill="auto"/>
            <w:noWrap/>
            <w:vAlign w:val="bottom"/>
            <w:hideMark/>
          </w:tcPr>
          <w:p w14:paraId="342715ED" w14:textId="2C7FDA09"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4</w:t>
            </w:r>
          </w:p>
        </w:tc>
        <w:tc>
          <w:tcPr>
            <w:tcW w:w="639" w:type="pct"/>
            <w:tcBorders>
              <w:top w:val="nil"/>
              <w:left w:val="single" w:sz="4" w:space="0" w:color="auto"/>
              <w:bottom w:val="nil"/>
              <w:right w:val="nil"/>
            </w:tcBorders>
            <w:shd w:val="clear" w:color="auto" w:fill="auto"/>
            <w:noWrap/>
            <w:vAlign w:val="bottom"/>
            <w:hideMark/>
          </w:tcPr>
          <w:p w14:paraId="5A810694" w14:textId="03598948"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1,3</w:t>
            </w:r>
          </w:p>
        </w:tc>
        <w:tc>
          <w:tcPr>
            <w:tcW w:w="1337" w:type="pct"/>
            <w:tcBorders>
              <w:top w:val="nil"/>
              <w:left w:val="single" w:sz="4" w:space="0" w:color="auto"/>
              <w:bottom w:val="nil"/>
              <w:right w:val="nil"/>
            </w:tcBorders>
            <w:shd w:val="clear" w:color="auto" w:fill="auto"/>
            <w:vAlign w:val="bottom"/>
          </w:tcPr>
          <w:p w14:paraId="1474D48C" w14:textId="642EB06D" w:rsidR="00817DA8" w:rsidRPr="004E74A6" w:rsidRDefault="00817DA8" w:rsidP="00CE62C1">
            <w:pPr>
              <w:spacing w:line="276" w:lineRule="auto"/>
              <w:jc w:val="center"/>
              <w:rPr>
                <w:rFonts w:cs="Calibri"/>
                <w:color w:val="000000"/>
                <w:sz w:val="20"/>
              </w:rPr>
            </w:pPr>
            <w:r w:rsidRPr="004E74A6">
              <w:rPr>
                <w:rFonts w:cs="Calibri"/>
                <w:color w:val="000000"/>
                <w:sz w:val="20"/>
              </w:rPr>
              <w:t>74%</w:t>
            </w:r>
          </w:p>
        </w:tc>
      </w:tr>
      <w:tr w:rsidR="00022B73" w:rsidRPr="004E74A6" w14:paraId="6C08ADBA" w14:textId="5E1BB59E" w:rsidTr="00022B73">
        <w:trPr>
          <w:trHeight w:val="288"/>
          <w:jc w:val="center"/>
        </w:trPr>
        <w:tc>
          <w:tcPr>
            <w:tcW w:w="1590" w:type="pct"/>
            <w:tcBorders>
              <w:top w:val="nil"/>
              <w:left w:val="nil"/>
              <w:bottom w:val="nil"/>
              <w:right w:val="single" w:sz="4" w:space="0" w:color="auto"/>
            </w:tcBorders>
            <w:shd w:val="clear" w:color="auto" w:fill="auto"/>
            <w:noWrap/>
            <w:vAlign w:val="bottom"/>
            <w:hideMark/>
          </w:tcPr>
          <w:p w14:paraId="76721828" w14:textId="77777777" w:rsidR="00817DA8" w:rsidRPr="004E74A6" w:rsidRDefault="00817DA8" w:rsidP="00CE62C1">
            <w:pPr>
              <w:spacing w:line="276" w:lineRule="auto"/>
              <w:jc w:val="left"/>
              <w:rPr>
                <w:rFonts w:cs="Calibri"/>
                <w:color w:val="000000"/>
                <w:sz w:val="20"/>
                <w:lang w:eastAsia="es-CR"/>
              </w:rPr>
            </w:pPr>
            <w:r w:rsidRPr="004E74A6">
              <w:rPr>
                <w:rFonts w:cs="Calibri"/>
                <w:color w:val="000000"/>
                <w:sz w:val="20"/>
                <w:lang w:eastAsia="es-CR"/>
              </w:rPr>
              <w:t>De ¢60.000.001 A ¢65.000.000</w:t>
            </w:r>
          </w:p>
        </w:tc>
        <w:tc>
          <w:tcPr>
            <w:tcW w:w="477" w:type="pct"/>
            <w:tcBorders>
              <w:top w:val="nil"/>
              <w:left w:val="single" w:sz="4" w:space="0" w:color="auto"/>
              <w:bottom w:val="nil"/>
              <w:right w:val="single" w:sz="4" w:space="0" w:color="auto"/>
            </w:tcBorders>
            <w:shd w:val="clear" w:color="auto" w:fill="auto"/>
            <w:noWrap/>
            <w:vAlign w:val="bottom"/>
            <w:hideMark/>
          </w:tcPr>
          <w:p w14:paraId="1215AAF9" w14:textId="1CF44123"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0</w:t>
            </w:r>
          </w:p>
        </w:tc>
        <w:tc>
          <w:tcPr>
            <w:tcW w:w="478" w:type="pct"/>
            <w:tcBorders>
              <w:top w:val="nil"/>
              <w:left w:val="single" w:sz="4" w:space="0" w:color="auto"/>
              <w:bottom w:val="nil"/>
              <w:right w:val="single" w:sz="4" w:space="0" w:color="auto"/>
            </w:tcBorders>
            <w:shd w:val="clear" w:color="auto" w:fill="auto"/>
            <w:noWrap/>
            <w:vAlign w:val="bottom"/>
            <w:hideMark/>
          </w:tcPr>
          <w:p w14:paraId="644CD06C" w14:textId="2A2C3242"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1</w:t>
            </w:r>
          </w:p>
        </w:tc>
        <w:tc>
          <w:tcPr>
            <w:tcW w:w="478" w:type="pct"/>
            <w:tcBorders>
              <w:top w:val="nil"/>
              <w:left w:val="single" w:sz="4" w:space="0" w:color="auto"/>
              <w:bottom w:val="nil"/>
              <w:right w:val="single" w:sz="4" w:space="0" w:color="auto"/>
            </w:tcBorders>
            <w:shd w:val="clear" w:color="auto" w:fill="auto"/>
            <w:noWrap/>
            <w:vAlign w:val="bottom"/>
            <w:hideMark/>
          </w:tcPr>
          <w:p w14:paraId="71E4A163" w14:textId="5B3D0F93"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1</w:t>
            </w:r>
          </w:p>
        </w:tc>
        <w:tc>
          <w:tcPr>
            <w:tcW w:w="639" w:type="pct"/>
            <w:tcBorders>
              <w:top w:val="nil"/>
              <w:left w:val="single" w:sz="4" w:space="0" w:color="auto"/>
              <w:bottom w:val="nil"/>
              <w:right w:val="nil"/>
            </w:tcBorders>
            <w:shd w:val="clear" w:color="auto" w:fill="auto"/>
            <w:noWrap/>
            <w:vAlign w:val="bottom"/>
            <w:hideMark/>
          </w:tcPr>
          <w:p w14:paraId="6B105137" w14:textId="0E5F06DA"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0,7</w:t>
            </w:r>
          </w:p>
        </w:tc>
        <w:tc>
          <w:tcPr>
            <w:tcW w:w="1337" w:type="pct"/>
            <w:tcBorders>
              <w:top w:val="nil"/>
              <w:left w:val="single" w:sz="4" w:space="0" w:color="auto"/>
              <w:bottom w:val="nil"/>
              <w:right w:val="nil"/>
            </w:tcBorders>
            <w:shd w:val="clear" w:color="auto" w:fill="auto"/>
            <w:vAlign w:val="bottom"/>
          </w:tcPr>
          <w:p w14:paraId="681353ED" w14:textId="6E332A86" w:rsidR="00817DA8" w:rsidRPr="004E74A6" w:rsidRDefault="00817DA8" w:rsidP="00CE62C1">
            <w:pPr>
              <w:spacing w:line="276" w:lineRule="auto"/>
              <w:jc w:val="center"/>
              <w:rPr>
                <w:rFonts w:cs="Calibri"/>
                <w:color w:val="000000"/>
                <w:sz w:val="20"/>
              </w:rPr>
            </w:pPr>
            <w:r w:rsidRPr="004E74A6">
              <w:rPr>
                <w:rFonts w:cs="Calibri"/>
                <w:color w:val="000000"/>
                <w:sz w:val="20"/>
              </w:rPr>
              <w:t>75%</w:t>
            </w:r>
          </w:p>
        </w:tc>
      </w:tr>
      <w:tr w:rsidR="00022B73" w:rsidRPr="004E74A6" w14:paraId="4EF58F5D" w14:textId="57C52C6C" w:rsidTr="00022B73">
        <w:trPr>
          <w:trHeight w:val="288"/>
          <w:jc w:val="center"/>
        </w:trPr>
        <w:tc>
          <w:tcPr>
            <w:tcW w:w="1590" w:type="pct"/>
            <w:tcBorders>
              <w:top w:val="nil"/>
              <w:left w:val="nil"/>
              <w:bottom w:val="nil"/>
              <w:right w:val="single" w:sz="4" w:space="0" w:color="auto"/>
            </w:tcBorders>
            <w:shd w:val="clear" w:color="auto" w:fill="auto"/>
            <w:noWrap/>
            <w:vAlign w:val="bottom"/>
            <w:hideMark/>
          </w:tcPr>
          <w:p w14:paraId="23FDB76D" w14:textId="77777777" w:rsidR="00817DA8" w:rsidRPr="004E74A6" w:rsidRDefault="00817DA8" w:rsidP="00CE62C1">
            <w:pPr>
              <w:spacing w:line="276" w:lineRule="auto"/>
              <w:jc w:val="left"/>
              <w:rPr>
                <w:rFonts w:cs="Calibri"/>
                <w:color w:val="000000"/>
                <w:sz w:val="20"/>
                <w:lang w:eastAsia="es-CR"/>
              </w:rPr>
            </w:pPr>
            <w:r w:rsidRPr="004E74A6">
              <w:rPr>
                <w:rFonts w:cs="Calibri"/>
                <w:color w:val="000000"/>
                <w:sz w:val="20"/>
                <w:lang w:eastAsia="es-CR"/>
              </w:rPr>
              <w:t>De ¢65.000.001 A ¢70.000.000</w:t>
            </w:r>
          </w:p>
        </w:tc>
        <w:tc>
          <w:tcPr>
            <w:tcW w:w="477" w:type="pct"/>
            <w:tcBorders>
              <w:top w:val="nil"/>
              <w:left w:val="single" w:sz="4" w:space="0" w:color="auto"/>
              <w:bottom w:val="nil"/>
              <w:right w:val="single" w:sz="4" w:space="0" w:color="auto"/>
            </w:tcBorders>
            <w:shd w:val="clear" w:color="auto" w:fill="auto"/>
            <w:noWrap/>
            <w:vAlign w:val="bottom"/>
            <w:hideMark/>
          </w:tcPr>
          <w:p w14:paraId="57729801" w14:textId="6E968A1F"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0</w:t>
            </w:r>
          </w:p>
        </w:tc>
        <w:tc>
          <w:tcPr>
            <w:tcW w:w="478" w:type="pct"/>
            <w:tcBorders>
              <w:top w:val="nil"/>
              <w:left w:val="single" w:sz="4" w:space="0" w:color="auto"/>
              <w:bottom w:val="nil"/>
              <w:right w:val="single" w:sz="4" w:space="0" w:color="auto"/>
            </w:tcBorders>
            <w:shd w:val="clear" w:color="auto" w:fill="auto"/>
            <w:noWrap/>
            <w:vAlign w:val="bottom"/>
            <w:hideMark/>
          </w:tcPr>
          <w:p w14:paraId="623E3C2C" w14:textId="7ADDEBA3"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1</w:t>
            </w:r>
          </w:p>
        </w:tc>
        <w:tc>
          <w:tcPr>
            <w:tcW w:w="478" w:type="pct"/>
            <w:tcBorders>
              <w:top w:val="nil"/>
              <w:left w:val="single" w:sz="4" w:space="0" w:color="auto"/>
              <w:bottom w:val="nil"/>
              <w:right w:val="single" w:sz="4" w:space="0" w:color="auto"/>
            </w:tcBorders>
            <w:shd w:val="clear" w:color="auto" w:fill="auto"/>
            <w:noWrap/>
            <w:vAlign w:val="bottom"/>
            <w:hideMark/>
          </w:tcPr>
          <w:p w14:paraId="08974DB6" w14:textId="2EA5B411"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0</w:t>
            </w:r>
          </w:p>
        </w:tc>
        <w:tc>
          <w:tcPr>
            <w:tcW w:w="639" w:type="pct"/>
            <w:tcBorders>
              <w:top w:val="nil"/>
              <w:left w:val="single" w:sz="4" w:space="0" w:color="auto"/>
              <w:bottom w:val="nil"/>
              <w:right w:val="nil"/>
            </w:tcBorders>
            <w:shd w:val="clear" w:color="auto" w:fill="auto"/>
            <w:noWrap/>
            <w:vAlign w:val="bottom"/>
            <w:hideMark/>
          </w:tcPr>
          <w:p w14:paraId="2F8CFDE9" w14:textId="79635D28"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0,3</w:t>
            </w:r>
          </w:p>
        </w:tc>
        <w:tc>
          <w:tcPr>
            <w:tcW w:w="1337" w:type="pct"/>
            <w:tcBorders>
              <w:top w:val="nil"/>
              <w:left w:val="single" w:sz="4" w:space="0" w:color="auto"/>
              <w:bottom w:val="nil"/>
              <w:right w:val="nil"/>
            </w:tcBorders>
            <w:shd w:val="clear" w:color="auto" w:fill="auto"/>
            <w:vAlign w:val="bottom"/>
          </w:tcPr>
          <w:p w14:paraId="42461110" w14:textId="3BF34A38" w:rsidR="00817DA8" w:rsidRPr="004E74A6" w:rsidRDefault="00817DA8" w:rsidP="00CE62C1">
            <w:pPr>
              <w:spacing w:line="276" w:lineRule="auto"/>
              <w:jc w:val="center"/>
              <w:rPr>
                <w:rFonts w:cs="Calibri"/>
                <w:color w:val="000000"/>
                <w:sz w:val="20"/>
              </w:rPr>
            </w:pPr>
            <w:r w:rsidRPr="004E74A6">
              <w:rPr>
                <w:rFonts w:cs="Calibri"/>
                <w:color w:val="000000"/>
                <w:sz w:val="20"/>
              </w:rPr>
              <w:t>75%</w:t>
            </w:r>
          </w:p>
        </w:tc>
      </w:tr>
      <w:tr w:rsidR="00022B73" w:rsidRPr="004E74A6" w14:paraId="299EDB23" w14:textId="77DD4D69" w:rsidTr="00022B73">
        <w:trPr>
          <w:trHeight w:val="288"/>
          <w:jc w:val="center"/>
        </w:trPr>
        <w:tc>
          <w:tcPr>
            <w:tcW w:w="1590" w:type="pct"/>
            <w:tcBorders>
              <w:top w:val="nil"/>
              <w:left w:val="nil"/>
              <w:bottom w:val="nil"/>
              <w:right w:val="single" w:sz="4" w:space="0" w:color="auto"/>
            </w:tcBorders>
            <w:shd w:val="clear" w:color="auto" w:fill="auto"/>
            <w:noWrap/>
            <w:vAlign w:val="bottom"/>
            <w:hideMark/>
          </w:tcPr>
          <w:p w14:paraId="3D89B3B5" w14:textId="77777777" w:rsidR="00817DA8" w:rsidRPr="004E74A6" w:rsidRDefault="00817DA8" w:rsidP="00CE62C1">
            <w:pPr>
              <w:spacing w:line="276" w:lineRule="auto"/>
              <w:jc w:val="left"/>
              <w:rPr>
                <w:rFonts w:cs="Calibri"/>
                <w:color w:val="000000"/>
                <w:sz w:val="20"/>
                <w:lang w:eastAsia="es-CR"/>
              </w:rPr>
            </w:pPr>
            <w:r w:rsidRPr="004E74A6">
              <w:rPr>
                <w:rFonts w:cs="Calibri"/>
                <w:color w:val="000000"/>
                <w:sz w:val="20"/>
                <w:lang w:eastAsia="es-CR"/>
              </w:rPr>
              <w:t>De ¢70.000.001 A ¢75.000.000</w:t>
            </w:r>
          </w:p>
        </w:tc>
        <w:tc>
          <w:tcPr>
            <w:tcW w:w="477" w:type="pct"/>
            <w:tcBorders>
              <w:top w:val="nil"/>
              <w:left w:val="single" w:sz="4" w:space="0" w:color="auto"/>
              <w:bottom w:val="nil"/>
              <w:right w:val="single" w:sz="4" w:space="0" w:color="auto"/>
            </w:tcBorders>
            <w:shd w:val="clear" w:color="auto" w:fill="auto"/>
            <w:noWrap/>
            <w:vAlign w:val="bottom"/>
            <w:hideMark/>
          </w:tcPr>
          <w:p w14:paraId="66C0072F" w14:textId="73F9D392"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0</w:t>
            </w:r>
          </w:p>
        </w:tc>
        <w:tc>
          <w:tcPr>
            <w:tcW w:w="478" w:type="pct"/>
            <w:tcBorders>
              <w:top w:val="nil"/>
              <w:left w:val="single" w:sz="4" w:space="0" w:color="auto"/>
              <w:bottom w:val="nil"/>
              <w:right w:val="single" w:sz="4" w:space="0" w:color="auto"/>
            </w:tcBorders>
            <w:shd w:val="clear" w:color="auto" w:fill="auto"/>
            <w:noWrap/>
            <w:vAlign w:val="bottom"/>
            <w:hideMark/>
          </w:tcPr>
          <w:p w14:paraId="6FE08D82" w14:textId="0E246628"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1</w:t>
            </w:r>
          </w:p>
        </w:tc>
        <w:tc>
          <w:tcPr>
            <w:tcW w:w="478" w:type="pct"/>
            <w:tcBorders>
              <w:top w:val="nil"/>
              <w:left w:val="single" w:sz="4" w:space="0" w:color="auto"/>
              <w:bottom w:val="nil"/>
              <w:right w:val="single" w:sz="4" w:space="0" w:color="auto"/>
            </w:tcBorders>
            <w:shd w:val="clear" w:color="auto" w:fill="auto"/>
            <w:noWrap/>
            <w:vAlign w:val="bottom"/>
            <w:hideMark/>
          </w:tcPr>
          <w:p w14:paraId="14A1A299" w14:textId="256FCC13"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0</w:t>
            </w:r>
          </w:p>
        </w:tc>
        <w:tc>
          <w:tcPr>
            <w:tcW w:w="639" w:type="pct"/>
            <w:tcBorders>
              <w:top w:val="nil"/>
              <w:left w:val="single" w:sz="4" w:space="0" w:color="auto"/>
              <w:bottom w:val="nil"/>
              <w:right w:val="nil"/>
            </w:tcBorders>
            <w:shd w:val="clear" w:color="auto" w:fill="auto"/>
            <w:noWrap/>
            <w:vAlign w:val="bottom"/>
            <w:hideMark/>
          </w:tcPr>
          <w:p w14:paraId="17E7907D" w14:textId="611A60D7"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0,3</w:t>
            </w:r>
          </w:p>
        </w:tc>
        <w:tc>
          <w:tcPr>
            <w:tcW w:w="1337" w:type="pct"/>
            <w:tcBorders>
              <w:top w:val="nil"/>
              <w:left w:val="single" w:sz="4" w:space="0" w:color="auto"/>
              <w:bottom w:val="nil"/>
              <w:right w:val="nil"/>
            </w:tcBorders>
            <w:shd w:val="clear" w:color="auto" w:fill="auto"/>
            <w:vAlign w:val="bottom"/>
          </w:tcPr>
          <w:p w14:paraId="7FEFB33F" w14:textId="7F7323C7" w:rsidR="00817DA8" w:rsidRPr="004E74A6" w:rsidRDefault="00817DA8" w:rsidP="00CE62C1">
            <w:pPr>
              <w:spacing w:line="276" w:lineRule="auto"/>
              <w:jc w:val="center"/>
              <w:rPr>
                <w:rFonts w:cs="Calibri"/>
                <w:color w:val="000000"/>
                <w:sz w:val="20"/>
              </w:rPr>
            </w:pPr>
            <w:r w:rsidRPr="004E74A6">
              <w:rPr>
                <w:rFonts w:cs="Calibri"/>
                <w:color w:val="000000"/>
                <w:sz w:val="20"/>
              </w:rPr>
              <w:t>76%</w:t>
            </w:r>
          </w:p>
        </w:tc>
      </w:tr>
      <w:tr w:rsidR="00022B73" w:rsidRPr="004E74A6" w14:paraId="77336067" w14:textId="51D4D26C" w:rsidTr="00022B73">
        <w:trPr>
          <w:trHeight w:val="288"/>
          <w:jc w:val="center"/>
        </w:trPr>
        <w:tc>
          <w:tcPr>
            <w:tcW w:w="1590" w:type="pct"/>
            <w:tcBorders>
              <w:top w:val="nil"/>
              <w:left w:val="nil"/>
              <w:bottom w:val="nil"/>
              <w:right w:val="single" w:sz="4" w:space="0" w:color="auto"/>
            </w:tcBorders>
            <w:shd w:val="clear" w:color="auto" w:fill="auto"/>
            <w:noWrap/>
            <w:vAlign w:val="bottom"/>
            <w:hideMark/>
          </w:tcPr>
          <w:p w14:paraId="4E498B61" w14:textId="77777777" w:rsidR="00817DA8" w:rsidRPr="004E74A6" w:rsidRDefault="00817DA8" w:rsidP="00CE62C1">
            <w:pPr>
              <w:spacing w:line="276" w:lineRule="auto"/>
              <w:jc w:val="left"/>
              <w:rPr>
                <w:rFonts w:cs="Calibri"/>
                <w:color w:val="000000"/>
                <w:sz w:val="20"/>
                <w:lang w:eastAsia="es-CR"/>
              </w:rPr>
            </w:pPr>
            <w:r w:rsidRPr="004E74A6">
              <w:rPr>
                <w:rFonts w:cs="Calibri"/>
                <w:color w:val="000000"/>
                <w:sz w:val="20"/>
                <w:lang w:eastAsia="es-CR"/>
              </w:rPr>
              <w:t>De ¢75.000.001 A ¢80.000.000</w:t>
            </w:r>
          </w:p>
        </w:tc>
        <w:tc>
          <w:tcPr>
            <w:tcW w:w="477" w:type="pct"/>
            <w:tcBorders>
              <w:top w:val="nil"/>
              <w:left w:val="single" w:sz="4" w:space="0" w:color="auto"/>
              <w:bottom w:val="nil"/>
              <w:right w:val="single" w:sz="4" w:space="0" w:color="auto"/>
            </w:tcBorders>
            <w:shd w:val="clear" w:color="auto" w:fill="auto"/>
            <w:noWrap/>
            <w:vAlign w:val="bottom"/>
            <w:hideMark/>
          </w:tcPr>
          <w:p w14:paraId="7674F4E2" w14:textId="4C01FC49"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0</w:t>
            </w:r>
          </w:p>
        </w:tc>
        <w:tc>
          <w:tcPr>
            <w:tcW w:w="478" w:type="pct"/>
            <w:tcBorders>
              <w:top w:val="nil"/>
              <w:left w:val="single" w:sz="4" w:space="0" w:color="auto"/>
              <w:bottom w:val="nil"/>
              <w:right w:val="single" w:sz="4" w:space="0" w:color="auto"/>
            </w:tcBorders>
            <w:shd w:val="clear" w:color="auto" w:fill="auto"/>
            <w:noWrap/>
            <w:vAlign w:val="bottom"/>
            <w:hideMark/>
          </w:tcPr>
          <w:p w14:paraId="7FE36A79" w14:textId="227E42CC"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2</w:t>
            </w:r>
          </w:p>
        </w:tc>
        <w:tc>
          <w:tcPr>
            <w:tcW w:w="478" w:type="pct"/>
            <w:tcBorders>
              <w:top w:val="nil"/>
              <w:left w:val="single" w:sz="4" w:space="0" w:color="auto"/>
              <w:bottom w:val="nil"/>
              <w:right w:val="single" w:sz="4" w:space="0" w:color="auto"/>
            </w:tcBorders>
            <w:shd w:val="clear" w:color="auto" w:fill="auto"/>
            <w:noWrap/>
            <w:vAlign w:val="bottom"/>
            <w:hideMark/>
          </w:tcPr>
          <w:p w14:paraId="5278A535" w14:textId="60D5414F"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0</w:t>
            </w:r>
          </w:p>
        </w:tc>
        <w:tc>
          <w:tcPr>
            <w:tcW w:w="639" w:type="pct"/>
            <w:tcBorders>
              <w:top w:val="nil"/>
              <w:left w:val="single" w:sz="4" w:space="0" w:color="auto"/>
              <w:bottom w:val="nil"/>
              <w:right w:val="nil"/>
            </w:tcBorders>
            <w:shd w:val="clear" w:color="auto" w:fill="auto"/>
            <w:noWrap/>
            <w:vAlign w:val="bottom"/>
            <w:hideMark/>
          </w:tcPr>
          <w:p w14:paraId="7966C8D4" w14:textId="17E5336F"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0,7</w:t>
            </w:r>
          </w:p>
        </w:tc>
        <w:tc>
          <w:tcPr>
            <w:tcW w:w="1337" w:type="pct"/>
            <w:tcBorders>
              <w:top w:val="nil"/>
              <w:left w:val="single" w:sz="4" w:space="0" w:color="auto"/>
              <w:bottom w:val="nil"/>
              <w:right w:val="nil"/>
            </w:tcBorders>
            <w:shd w:val="clear" w:color="auto" w:fill="auto"/>
            <w:vAlign w:val="bottom"/>
          </w:tcPr>
          <w:p w14:paraId="6C99571E" w14:textId="7F307689" w:rsidR="00817DA8" w:rsidRPr="004E74A6" w:rsidRDefault="00817DA8" w:rsidP="00CE62C1">
            <w:pPr>
              <w:spacing w:line="276" w:lineRule="auto"/>
              <w:jc w:val="center"/>
              <w:rPr>
                <w:rFonts w:cs="Calibri"/>
                <w:color w:val="000000"/>
                <w:sz w:val="20"/>
              </w:rPr>
            </w:pPr>
            <w:r w:rsidRPr="004E74A6">
              <w:rPr>
                <w:rFonts w:cs="Calibri"/>
                <w:color w:val="000000"/>
                <w:sz w:val="20"/>
              </w:rPr>
              <w:t>77%</w:t>
            </w:r>
          </w:p>
        </w:tc>
      </w:tr>
      <w:tr w:rsidR="00022B73" w:rsidRPr="004E74A6" w14:paraId="4672AFAC" w14:textId="4CD49DEC" w:rsidTr="00022B73">
        <w:trPr>
          <w:trHeight w:val="288"/>
          <w:jc w:val="center"/>
        </w:trPr>
        <w:tc>
          <w:tcPr>
            <w:tcW w:w="1590" w:type="pct"/>
            <w:tcBorders>
              <w:top w:val="nil"/>
              <w:left w:val="nil"/>
              <w:bottom w:val="nil"/>
              <w:right w:val="single" w:sz="4" w:space="0" w:color="auto"/>
            </w:tcBorders>
            <w:shd w:val="clear" w:color="auto" w:fill="auto"/>
            <w:noWrap/>
            <w:vAlign w:val="bottom"/>
            <w:hideMark/>
          </w:tcPr>
          <w:p w14:paraId="09064522" w14:textId="77777777" w:rsidR="00817DA8" w:rsidRPr="004E74A6" w:rsidRDefault="00817DA8" w:rsidP="00CE62C1">
            <w:pPr>
              <w:spacing w:line="276" w:lineRule="auto"/>
              <w:jc w:val="left"/>
              <w:rPr>
                <w:rFonts w:cs="Calibri"/>
                <w:color w:val="000000"/>
                <w:sz w:val="20"/>
                <w:lang w:eastAsia="es-CR"/>
              </w:rPr>
            </w:pPr>
            <w:r w:rsidRPr="004E74A6">
              <w:rPr>
                <w:rFonts w:cs="Calibri"/>
                <w:color w:val="000000"/>
                <w:sz w:val="20"/>
                <w:lang w:eastAsia="es-CR"/>
              </w:rPr>
              <w:t>De ¢90.000.001 A ¢95.000.000</w:t>
            </w:r>
          </w:p>
        </w:tc>
        <w:tc>
          <w:tcPr>
            <w:tcW w:w="477" w:type="pct"/>
            <w:tcBorders>
              <w:top w:val="nil"/>
              <w:left w:val="single" w:sz="4" w:space="0" w:color="auto"/>
              <w:bottom w:val="nil"/>
              <w:right w:val="single" w:sz="4" w:space="0" w:color="auto"/>
            </w:tcBorders>
            <w:shd w:val="clear" w:color="auto" w:fill="auto"/>
            <w:noWrap/>
            <w:vAlign w:val="bottom"/>
            <w:hideMark/>
          </w:tcPr>
          <w:p w14:paraId="5096EA9D" w14:textId="4EF2DAB4"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0</w:t>
            </w:r>
          </w:p>
        </w:tc>
        <w:tc>
          <w:tcPr>
            <w:tcW w:w="478" w:type="pct"/>
            <w:tcBorders>
              <w:top w:val="nil"/>
              <w:left w:val="single" w:sz="4" w:space="0" w:color="auto"/>
              <w:bottom w:val="nil"/>
              <w:right w:val="single" w:sz="4" w:space="0" w:color="auto"/>
            </w:tcBorders>
            <w:shd w:val="clear" w:color="auto" w:fill="auto"/>
            <w:noWrap/>
            <w:vAlign w:val="bottom"/>
            <w:hideMark/>
          </w:tcPr>
          <w:p w14:paraId="48B36AE4" w14:textId="55BCF9C4" w:rsidR="00817DA8" w:rsidRPr="004E74A6" w:rsidRDefault="00817DA8" w:rsidP="00CE62C1">
            <w:pPr>
              <w:spacing w:line="276" w:lineRule="auto"/>
              <w:jc w:val="center"/>
              <w:rPr>
                <w:sz w:val="20"/>
                <w:lang w:eastAsia="es-CR"/>
              </w:rPr>
            </w:pPr>
            <w:r w:rsidRPr="004E74A6">
              <w:rPr>
                <w:rFonts w:cs="Calibri"/>
                <w:color w:val="000000"/>
                <w:sz w:val="20"/>
              </w:rPr>
              <w:t>0</w:t>
            </w:r>
          </w:p>
        </w:tc>
        <w:tc>
          <w:tcPr>
            <w:tcW w:w="478" w:type="pct"/>
            <w:tcBorders>
              <w:top w:val="nil"/>
              <w:left w:val="single" w:sz="4" w:space="0" w:color="auto"/>
              <w:bottom w:val="nil"/>
              <w:right w:val="single" w:sz="4" w:space="0" w:color="auto"/>
            </w:tcBorders>
            <w:shd w:val="clear" w:color="auto" w:fill="auto"/>
            <w:noWrap/>
            <w:vAlign w:val="bottom"/>
            <w:hideMark/>
          </w:tcPr>
          <w:p w14:paraId="26188F36" w14:textId="5A09EDED"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1</w:t>
            </w:r>
          </w:p>
        </w:tc>
        <w:tc>
          <w:tcPr>
            <w:tcW w:w="639" w:type="pct"/>
            <w:tcBorders>
              <w:top w:val="nil"/>
              <w:left w:val="single" w:sz="4" w:space="0" w:color="auto"/>
              <w:bottom w:val="nil"/>
              <w:right w:val="nil"/>
            </w:tcBorders>
            <w:shd w:val="clear" w:color="auto" w:fill="auto"/>
            <w:noWrap/>
            <w:vAlign w:val="bottom"/>
            <w:hideMark/>
          </w:tcPr>
          <w:p w14:paraId="173AD10D" w14:textId="037F996A"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0,3</w:t>
            </w:r>
          </w:p>
        </w:tc>
        <w:tc>
          <w:tcPr>
            <w:tcW w:w="1337" w:type="pct"/>
            <w:tcBorders>
              <w:top w:val="nil"/>
              <w:left w:val="single" w:sz="4" w:space="0" w:color="auto"/>
              <w:bottom w:val="nil"/>
              <w:right w:val="nil"/>
            </w:tcBorders>
            <w:shd w:val="clear" w:color="auto" w:fill="auto"/>
            <w:vAlign w:val="bottom"/>
          </w:tcPr>
          <w:p w14:paraId="13BB3423" w14:textId="01405FAF" w:rsidR="00817DA8" w:rsidRPr="004E74A6" w:rsidRDefault="00817DA8" w:rsidP="00CE62C1">
            <w:pPr>
              <w:spacing w:line="276" w:lineRule="auto"/>
              <w:jc w:val="center"/>
              <w:rPr>
                <w:rFonts w:cs="Calibri"/>
                <w:color w:val="000000"/>
                <w:sz w:val="20"/>
              </w:rPr>
            </w:pPr>
            <w:r w:rsidRPr="004E74A6">
              <w:rPr>
                <w:rFonts w:cs="Calibri"/>
                <w:color w:val="000000"/>
                <w:sz w:val="20"/>
              </w:rPr>
              <w:t>77%</w:t>
            </w:r>
          </w:p>
        </w:tc>
      </w:tr>
      <w:tr w:rsidR="00022B73" w:rsidRPr="004E74A6" w14:paraId="74E912EB" w14:textId="7CF554CF" w:rsidTr="00022B73">
        <w:trPr>
          <w:trHeight w:val="288"/>
          <w:jc w:val="center"/>
        </w:trPr>
        <w:tc>
          <w:tcPr>
            <w:tcW w:w="1590" w:type="pct"/>
            <w:tcBorders>
              <w:top w:val="nil"/>
              <w:left w:val="nil"/>
              <w:bottom w:val="nil"/>
              <w:right w:val="single" w:sz="4" w:space="0" w:color="auto"/>
            </w:tcBorders>
            <w:shd w:val="clear" w:color="auto" w:fill="auto"/>
            <w:noWrap/>
            <w:vAlign w:val="bottom"/>
            <w:hideMark/>
          </w:tcPr>
          <w:p w14:paraId="38CA2C0E" w14:textId="77777777" w:rsidR="00817DA8" w:rsidRPr="004E74A6" w:rsidRDefault="00817DA8" w:rsidP="00CE62C1">
            <w:pPr>
              <w:spacing w:line="276" w:lineRule="auto"/>
              <w:jc w:val="left"/>
              <w:rPr>
                <w:rFonts w:cs="Calibri"/>
                <w:color w:val="000000"/>
                <w:sz w:val="20"/>
                <w:lang w:eastAsia="es-CR"/>
              </w:rPr>
            </w:pPr>
            <w:r w:rsidRPr="004E74A6">
              <w:rPr>
                <w:rFonts w:cs="Calibri"/>
                <w:color w:val="000000"/>
                <w:sz w:val="20"/>
                <w:lang w:eastAsia="es-CR"/>
              </w:rPr>
              <w:t>De ¢95.000.001 A ¢100.000.000</w:t>
            </w:r>
          </w:p>
        </w:tc>
        <w:tc>
          <w:tcPr>
            <w:tcW w:w="477" w:type="pct"/>
            <w:tcBorders>
              <w:top w:val="nil"/>
              <w:left w:val="single" w:sz="4" w:space="0" w:color="auto"/>
              <w:bottom w:val="nil"/>
              <w:right w:val="single" w:sz="4" w:space="0" w:color="auto"/>
            </w:tcBorders>
            <w:shd w:val="clear" w:color="auto" w:fill="auto"/>
            <w:noWrap/>
            <w:vAlign w:val="bottom"/>
            <w:hideMark/>
          </w:tcPr>
          <w:p w14:paraId="3F08F55F" w14:textId="4BC8A360"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1</w:t>
            </w:r>
          </w:p>
        </w:tc>
        <w:tc>
          <w:tcPr>
            <w:tcW w:w="478" w:type="pct"/>
            <w:tcBorders>
              <w:top w:val="nil"/>
              <w:left w:val="single" w:sz="4" w:space="0" w:color="auto"/>
              <w:bottom w:val="nil"/>
              <w:right w:val="single" w:sz="4" w:space="0" w:color="auto"/>
            </w:tcBorders>
            <w:shd w:val="clear" w:color="auto" w:fill="auto"/>
            <w:noWrap/>
            <w:vAlign w:val="bottom"/>
            <w:hideMark/>
          </w:tcPr>
          <w:p w14:paraId="55BA00A5" w14:textId="6B307702"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0</w:t>
            </w:r>
          </w:p>
        </w:tc>
        <w:tc>
          <w:tcPr>
            <w:tcW w:w="478" w:type="pct"/>
            <w:tcBorders>
              <w:top w:val="nil"/>
              <w:left w:val="single" w:sz="4" w:space="0" w:color="auto"/>
              <w:bottom w:val="nil"/>
              <w:right w:val="single" w:sz="4" w:space="0" w:color="auto"/>
            </w:tcBorders>
            <w:shd w:val="clear" w:color="auto" w:fill="auto"/>
            <w:noWrap/>
            <w:vAlign w:val="bottom"/>
            <w:hideMark/>
          </w:tcPr>
          <w:p w14:paraId="5BB7B08D" w14:textId="20F0B5E6"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1</w:t>
            </w:r>
          </w:p>
        </w:tc>
        <w:tc>
          <w:tcPr>
            <w:tcW w:w="639" w:type="pct"/>
            <w:tcBorders>
              <w:top w:val="nil"/>
              <w:left w:val="single" w:sz="4" w:space="0" w:color="auto"/>
              <w:bottom w:val="nil"/>
              <w:right w:val="nil"/>
            </w:tcBorders>
            <w:shd w:val="clear" w:color="auto" w:fill="auto"/>
            <w:noWrap/>
            <w:vAlign w:val="bottom"/>
            <w:hideMark/>
          </w:tcPr>
          <w:p w14:paraId="30FCFFAB" w14:textId="1C03401F"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0,7</w:t>
            </w:r>
          </w:p>
        </w:tc>
        <w:tc>
          <w:tcPr>
            <w:tcW w:w="1337" w:type="pct"/>
            <w:tcBorders>
              <w:top w:val="nil"/>
              <w:left w:val="single" w:sz="4" w:space="0" w:color="auto"/>
              <w:bottom w:val="nil"/>
              <w:right w:val="nil"/>
            </w:tcBorders>
            <w:shd w:val="clear" w:color="auto" w:fill="auto"/>
            <w:vAlign w:val="bottom"/>
          </w:tcPr>
          <w:p w14:paraId="6AC38474" w14:textId="1DA35E12" w:rsidR="00817DA8" w:rsidRPr="004E74A6" w:rsidRDefault="00817DA8" w:rsidP="00CE62C1">
            <w:pPr>
              <w:spacing w:line="276" w:lineRule="auto"/>
              <w:jc w:val="center"/>
              <w:rPr>
                <w:rFonts w:cs="Calibri"/>
                <w:color w:val="000000"/>
                <w:sz w:val="20"/>
              </w:rPr>
            </w:pPr>
            <w:r w:rsidRPr="004E74A6">
              <w:rPr>
                <w:rFonts w:cs="Calibri"/>
                <w:color w:val="000000"/>
                <w:sz w:val="20"/>
              </w:rPr>
              <w:t>78%</w:t>
            </w:r>
          </w:p>
        </w:tc>
      </w:tr>
      <w:tr w:rsidR="00022B73" w:rsidRPr="004E74A6" w14:paraId="019CFB5B" w14:textId="57D61F1E" w:rsidTr="00022B73">
        <w:trPr>
          <w:trHeight w:val="288"/>
          <w:jc w:val="center"/>
        </w:trPr>
        <w:tc>
          <w:tcPr>
            <w:tcW w:w="1590" w:type="pct"/>
            <w:tcBorders>
              <w:top w:val="nil"/>
              <w:left w:val="nil"/>
              <w:bottom w:val="nil"/>
              <w:right w:val="single" w:sz="4" w:space="0" w:color="auto"/>
            </w:tcBorders>
            <w:shd w:val="clear" w:color="auto" w:fill="auto"/>
            <w:noWrap/>
            <w:vAlign w:val="bottom"/>
            <w:hideMark/>
          </w:tcPr>
          <w:p w14:paraId="2C87AC5F" w14:textId="77777777" w:rsidR="00817DA8" w:rsidRPr="004E74A6" w:rsidRDefault="00817DA8" w:rsidP="00CE62C1">
            <w:pPr>
              <w:spacing w:line="276" w:lineRule="auto"/>
              <w:jc w:val="left"/>
              <w:rPr>
                <w:rFonts w:cs="Calibri"/>
                <w:color w:val="000000"/>
                <w:sz w:val="20"/>
                <w:lang w:eastAsia="es-CR"/>
              </w:rPr>
            </w:pPr>
            <w:r w:rsidRPr="004E74A6">
              <w:rPr>
                <w:rFonts w:cs="Calibri"/>
                <w:color w:val="000000"/>
                <w:sz w:val="20"/>
                <w:lang w:eastAsia="es-CR"/>
              </w:rPr>
              <w:t>Más De ¢100.000.000</w:t>
            </w:r>
          </w:p>
        </w:tc>
        <w:tc>
          <w:tcPr>
            <w:tcW w:w="477" w:type="pct"/>
            <w:tcBorders>
              <w:top w:val="nil"/>
              <w:left w:val="single" w:sz="4" w:space="0" w:color="auto"/>
              <w:bottom w:val="nil"/>
              <w:right w:val="single" w:sz="4" w:space="0" w:color="auto"/>
            </w:tcBorders>
            <w:shd w:val="clear" w:color="auto" w:fill="auto"/>
            <w:noWrap/>
            <w:vAlign w:val="bottom"/>
            <w:hideMark/>
          </w:tcPr>
          <w:p w14:paraId="6BEC7AAC" w14:textId="2878BAA7"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5</w:t>
            </w:r>
          </w:p>
        </w:tc>
        <w:tc>
          <w:tcPr>
            <w:tcW w:w="478" w:type="pct"/>
            <w:tcBorders>
              <w:top w:val="nil"/>
              <w:left w:val="single" w:sz="4" w:space="0" w:color="auto"/>
              <w:bottom w:val="nil"/>
              <w:right w:val="single" w:sz="4" w:space="0" w:color="auto"/>
            </w:tcBorders>
            <w:shd w:val="clear" w:color="auto" w:fill="auto"/>
            <w:noWrap/>
            <w:vAlign w:val="bottom"/>
            <w:hideMark/>
          </w:tcPr>
          <w:p w14:paraId="6A2B013B" w14:textId="42E5F1ED"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12</w:t>
            </w:r>
          </w:p>
        </w:tc>
        <w:tc>
          <w:tcPr>
            <w:tcW w:w="478" w:type="pct"/>
            <w:tcBorders>
              <w:top w:val="nil"/>
              <w:left w:val="single" w:sz="4" w:space="0" w:color="auto"/>
              <w:bottom w:val="nil"/>
              <w:right w:val="single" w:sz="4" w:space="0" w:color="auto"/>
            </w:tcBorders>
            <w:shd w:val="clear" w:color="auto" w:fill="auto"/>
            <w:noWrap/>
            <w:vAlign w:val="bottom"/>
            <w:hideMark/>
          </w:tcPr>
          <w:p w14:paraId="0EDB323E" w14:textId="448E8DC3"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12</w:t>
            </w:r>
          </w:p>
        </w:tc>
        <w:tc>
          <w:tcPr>
            <w:tcW w:w="639" w:type="pct"/>
            <w:tcBorders>
              <w:top w:val="nil"/>
              <w:left w:val="single" w:sz="4" w:space="0" w:color="auto"/>
              <w:bottom w:val="nil"/>
              <w:right w:val="nil"/>
            </w:tcBorders>
            <w:shd w:val="clear" w:color="auto" w:fill="auto"/>
            <w:noWrap/>
            <w:vAlign w:val="bottom"/>
            <w:hideMark/>
          </w:tcPr>
          <w:p w14:paraId="0A232707" w14:textId="7C15CFE8" w:rsidR="00817DA8" w:rsidRPr="004E74A6" w:rsidRDefault="00817DA8" w:rsidP="00CE62C1">
            <w:pPr>
              <w:spacing w:line="276" w:lineRule="auto"/>
              <w:jc w:val="center"/>
              <w:rPr>
                <w:rFonts w:cs="Calibri"/>
                <w:color w:val="000000"/>
                <w:sz w:val="20"/>
                <w:lang w:eastAsia="es-CR"/>
              </w:rPr>
            </w:pPr>
            <w:r w:rsidRPr="004E74A6">
              <w:rPr>
                <w:rFonts w:cs="Calibri"/>
                <w:color w:val="000000"/>
                <w:sz w:val="20"/>
              </w:rPr>
              <w:t>9,7</w:t>
            </w:r>
          </w:p>
        </w:tc>
        <w:tc>
          <w:tcPr>
            <w:tcW w:w="1337" w:type="pct"/>
            <w:tcBorders>
              <w:top w:val="nil"/>
              <w:left w:val="single" w:sz="4" w:space="0" w:color="auto"/>
              <w:bottom w:val="nil"/>
              <w:right w:val="nil"/>
            </w:tcBorders>
            <w:shd w:val="clear" w:color="auto" w:fill="auto"/>
            <w:vAlign w:val="bottom"/>
          </w:tcPr>
          <w:p w14:paraId="4C74B6A3" w14:textId="1F5C9370" w:rsidR="00817DA8" w:rsidRPr="004E74A6" w:rsidRDefault="00817DA8" w:rsidP="00CE62C1">
            <w:pPr>
              <w:spacing w:line="276" w:lineRule="auto"/>
              <w:jc w:val="center"/>
              <w:rPr>
                <w:rFonts w:cs="Calibri"/>
                <w:color w:val="000000"/>
                <w:sz w:val="20"/>
              </w:rPr>
            </w:pPr>
            <w:r w:rsidRPr="004E74A6">
              <w:rPr>
                <w:rFonts w:cs="Calibri"/>
                <w:color w:val="000000"/>
                <w:sz w:val="20"/>
              </w:rPr>
              <w:t>92%</w:t>
            </w:r>
          </w:p>
        </w:tc>
      </w:tr>
      <w:tr w:rsidR="00022B73" w:rsidRPr="004E74A6" w14:paraId="37933CD6" w14:textId="46EB6716" w:rsidTr="00022B73">
        <w:trPr>
          <w:trHeight w:val="288"/>
          <w:jc w:val="center"/>
        </w:trPr>
        <w:tc>
          <w:tcPr>
            <w:tcW w:w="1590" w:type="pct"/>
            <w:tcBorders>
              <w:top w:val="nil"/>
              <w:left w:val="nil"/>
              <w:bottom w:val="nil"/>
              <w:right w:val="single" w:sz="4" w:space="0" w:color="auto"/>
            </w:tcBorders>
            <w:shd w:val="clear" w:color="auto" w:fill="auto"/>
            <w:noWrap/>
            <w:vAlign w:val="bottom"/>
            <w:hideMark/>
          </w:tcPr>
          <w:p w14:paraId="7E63944B" w14:textId="77777777" w:rsidR="00817DA8" w:rsidRPr="004E74A6" w:rsidRDefault="00817DA8" w:rsidP="00CE62C1">
            <w:pPr>
              <w:spacing w:line="276" w:lineRule="auto"/>
              <w:jc w:val="left"/>
              <w:rPr>
                <w:rFonts w:cs="Calibri"/>
                <w:color w:val="ED7D31" w:themeColor="accent2"/>
                <w:sz w:val="20"/>
                <w:lang w:eastAsia="es-CR"/>
              </w:rPr>
            </w:pPr>
            <w:r w:rsidRPr="004E74A6">
              <w:rPr>
                <w:rFonts w:cs="Calibri"/>
                <w:color w:val="ED7D31" w:themeColor="accent2"/>
                <w:sz w:val="20"/>
                <w:lang w:eastAsia="es-CR"/>
              </w:rPr>
              <w:t>Expedientes Cuantía Cero</w:t>
            </w:r>
          </w:p>
        </w:tc>
        <w:tc>
          <w:tcPr>
            <w:tcW w:w="477" w:type="pct"/>
            <w:tcBorders>
              <w:top w:val="nil"/>
              <w:left w:val="single" w:sz="4" w:space="0" w:color="auto"/>
              <w:bottom w:val="nil"/>
              <w:right w:val="single" w:sz="4" w:space="0" w:color="auto"/>
            </w:tcBorders>
            <w:shd w:val="clear" w:color="auto" w:fill="auto"/>
            <w:noWrap/>
            <w:vAlign w:val="bottom"/>
            <w:hideMark/>
          </w:tcPr>
          <w:p w14:paraId="4D3CF0F7" w14:textId="0A648325" w:rsidR="00817DA8" w:rsidRPr="004E74A6" w:rsidRDefault="00817DA8" w:rsidP="00CE62C1">
            <w:pPr>
              <w:spacing w:line="276" w:lineRule="auto"/>
              <w:jc w:val="center"/>
              <w:rPr>
                <w:rFonts w:cs="Calibri"/>
                <w:color w:val="ED7D31" w:themeColor="accent2"/>
                <w:sz w:val="20"/>
                <w:lang w:eastAsia="es-CR"/>
              </w:rPr>
            </w:pPr>
            <w:r w:rsidRPr="004E74A6">
              <w:rPr>
                <w:rFonts w:cs="Calibri"/>
                <w:color w:val="ED7D31" w:themeColor="accent2"/>
                <w:sz w:val="20"/>
              </w:rPr>
              <w:t>13</w:t>
            </w:r>
          </w:p>
        </w:tc>
        <w:tc>
          <w:tcPr>
            <w:tcW w:w="478" w:type="pct"/>
            <w:tcBorders>
              <w:top w:val="nil"/>
              <w:left w:val="single" w:sz="4" w:space="0" w:color="auto"/>
              <w:bottom w:val="nil"/>
              <w:right w:val="single" w:sz="4" w:space="0" w:color="auto"/>
            </w:tcBorders>
            <w:shd w:val="clear" w:color="auto" w:fill="auto"/>
            <w:noWrap/>
            <w:vAlign w:val="bottom"/>
            <w:hideMark/>
          </w:tcPr>
          <w:p w14:paraId="35F51284" w14:textId="41A35EAA" w:rsidR="00817DA8" w:rsidRPr="004E74A6" w:rsidRDefault="00817DA8" w:rsidP="00CE62C1">
            <w:pPr>
              <w:spacing w:line="276" w:lineRule="auto"/>
              <w:jc w:val="center"/>
              <w:rPr>
                <w:rFonts w:cs="Calibri"/>
                <w:color w:val="ED7D31" w:themeColor="accent2"/>
                <w:sz w:val="20"/>
                <w:lang w:eastAsia="es-CR"/>
              </w:rPr>
            </w:pPr>
            <w:r w:rsidRPr="004E74A6">
              <w:rPr>
                <w:rFonts w:cs="Calibri"/>
                <w:color w:val="ED7D31" w:themeColor="accent2"/>
                <w:sz w:val="20"/>
              </w:rPr>
              <w:t>4</w:t>
            </w:r>
          </w:p>
        </w:tc>
        <w:tc>
          <w:tcPr>
            <w:tcW w:w="478" w:type="pct"/>
            <w:tcBorders>
              <w:top w:val="nil"/>
              <w:left w:val="single" w:sz="4" w:space="0" w:color="auto"/>
              <w:bottom w:val="nil"/>
              <w:right w:val="single" w:sz="4" w:space="0" w:color="auto"/>
            </w:tcBorders>
            <w:shd w:val="clear" w:color="auto" w:fill="auto"/>
            <w:noWrap/>
            <w:vAlign w:val="bottom"/>
            <w:hideMark/>
          </w:tcPr>
          <w:p w14:paraId="15D4232E" w14:textId="6D609308" w:rsidR="00817DA8" w:rsidRPr="004E74A6" w:rsidRDefault="00817DA8" w:rsidP="00CE62C1">
            <w:pPr>
              <w:spacing w:line="276" w:lineRule="auto"/>
              <w:jc w:val="center"/>
              <w:rPr>
                <w:rFonts w:cs="Calibri"/>
                <w:color w:val="ED7D31" w:themeColor="accent2"/>
                <w:sz w:val="20"/>
                <w:lang w:eastAsia="es-CR"/>
              </w:rPr>
            </w:pPr>
            <w:r w:rsidRPr="004E74A6">
              <w:rPr>
                <w:rFonts w:cs="Calibri"/>
                <w:color w:val="ED7D31" w:themeColor="accent2"/>
                <w:sz w:val="20"/>
              </w:rPr>
              <w:t>0</w:t>
            </w:r>
          </w:p>
        </w:tc>
        <w:tc>
          <w:tcPr>
            <w:tcW w:w="639" w:type="pct"/>
            <w:tcBorders>
              <w:top w:val="nil"/>
              <w:left w:val="single" w:sz="4" w:space="0" w:color="auto"/>
              <w:bottom w:val="nil"/>
              <w:right w:val="nil"/>
            </w:tcBorders>
            <w:shd w:val="clear" w:color="auto" w:fill="auto"/>
            <w:noWrap/>
            <w:vAlign w:val="bottom"/>
            <w:hideMark/>
          </w:tcPr>
          <w:p w14:paraId="06564B4B" w14:textId="62969367" w:rsidR="00817DA8" w:rsidRPr="004E74A6" w:rsidRDefault="00817DA8" w:rsidP="00CE62C1">
            <w:pPr>
              <w:spacing w:line="276" w:lineRule="auto"/>
              <w:jc w:val="center"/>
              <w:rPr>
                <w:rFonts w:cs="Calibri"/>
                <w:color w:val="ED7D31" w:themeColor="accent2"/>
                <w:sz w:val="20"/>
                <w:lang w:eastAsia="es-CR"/>
              </w:rPr>
            </w:pPr>
            <w:r w:rsidRPr="004E74A6">
              <w:rPr>
                <w:rFonts w:cs="Calibri"/>
                <w:color w:val="ED7D31" w:themeColor="accent2"/>
                <w:sz w:val="20"/>
              </w:rPr>
              <w:t>5,7</w:t>
            </w:r>
          </w:p>
        </w:tc>
        <w:tc>
          <w:tcPr>
            <w:tcW w:w="1337" w:type="pct"/>
            <w:tcBorders>
              <w:top w:val="nil"/>
              <w:left w:val="single" w:sz="4" w:space="0" w:color="auto"/>
              <w:bottom w:val="nil"/>
              <w:right w:val="nil"/>
            </w:tcBorders>
            <w:shd w:val="clear" w:color="auto" w:fill="auto"/>
            <w:vAlign w:val="bottom"/>
          </w:tcPr>
          <w:p w14:paraId="4FDE848B" w14:textId="354C2C9A" w:rsidR="00817DA8" w:rsidRPr="004E74A6" w:rsidRDefault="00817DA8" w:rsidP="00CE62C1">
            <w:pPr>
              <w:spacing w:line="276" w:lineRule="auto"/>
              <w:jc w:val="center"/>
              <w:rPr>
                <w:rFonts w:cs="Calibri"/>
                <w:color w:val="ED7D31" w:themeColor="accent2"/>
                <w:sz w:val="20"/>
              </w:rPr>
            </w:pPr>
            <w:r w:rsidRPr="004E74A6">
              <w:rPr>
                <w:rFonts w:cs="Calibri"/>
                <w:color w:val="ED7D31" w:themeColor="accent2"/>
                <w:sz w:val="20"/>
              </w:rPr>
              <w:t>100%</w:t>
            </w:r>
          </w:p>
        </w:tc>
      </w:tr>
      <w:tr w:rsidR="00022B73" w:rsidRPr="004E74A6" w14:paraId="31B21BE1" w14:textId="05581683" w:rsidTr="00022B73">
        <w:trPr>
          <w:trHeight w:val="288"/>
          <w:jc w:val="center"/>
        </w:trPr>
        <w:tc>
          <w:tcPr>
            <w:tcW w:w="1590" w:type="pct"/>
            <w:tcBorders>
              <w:top w:val="nil"/>
              <w:left w:val="nil"/>
              <w:bottom w:val="single" w:sz="4" w:space="0" w:color="auto"/>
              <w:right w:val="single" w:sz="4" w:space="0" w:color="auto"/>
            </w:tcBorders>
            <w:shd w:val="clear" w:color="auto" w:fill="auto"/>
            <w:noWrap/>
            <w:vAlign w:val="bottom"/>
          </w:tcPr>
          <w:p w14:paraId="21F743FF" w14:textId="77777777" w:rsidR="00817DA8" w:rsidRPr="004E74A6" w:rsidRDefault="00817DA8" w:rsidP="00CE62C1">
            <w:pPr>
              <w:spacing w:line="276" w:lineRule="auto"/>
              <w:jc w:val="left"/>
              <w:rPr>
                <w:rFonts w:cs="Calibri"/>
                <w:color w:val="000000"/>
                <w:sz w:val="20"/>
                <w:lang w:eastAsia="es-CR"/>
              </w:rPr>
            </w:pPr>
          </w:p>
        </w:tc>
        <w:tc>
          <w:tcPr>
            <w:tcW w:w="477" w:type="pct"/>
            <w:tcBorders>
              <w:top w:val="nil"/>
              <w:left w:val="single" w:sz="4" w:space="0" w:color="auto"/>
              <w:bottom w:val="single" w:sz="4" w:space="0" w:color="auto"/>
              <w:right w:val="single" w:sz="4" w:space="0" w:color="auto"/>
            </w:tcBorders>
            <w:shd w:val="clear" w:color="auto" w:fill="auto"/>
            <w:noWrap/>
            <w:vAlign w:val="center"/>
          </w:tcPr>
          <w:p w14:paraId="25F86049" w14:textId="77777777" w:rsidR="00817DA8" w:rsidRPr="004E74A6" w:rsidRDefault="00817DA8" w:rsidP="00CE62C1">
            <w:pPr>
              <w:spacing w:line="276" w:lineRule="auto"/>
              <w:jc w:val="center"/>
              <w:rPr>
                <w:rFonts w:cs="Calibri"/>
                <w:color w:val="000000"/>
                <w:sz w:val="20"/>
                <w:lang w:eastAsia="es-CR"/>
              </w:rPr>
            </w:pPr>
          </w:p>
        </w:tc>
        <w:tc>
          <w:tcPr>
            <w:tcW w:w="478" w:type="pct"/>
            <w:tcBorders>
              <w:top w:val="nil"/>
              <w:left w:val="single" w:sz="4" w:space="0" w:color="auto"/>
              <w:bottom w:val="single" w:sz="4" w:space="0" w:color="auto"/>
              <w:right w:val="single" w:sz="4" w:space="0" w:color="auto"/>
            </w:tcBorders>
            <w:shd w:val="clear" w:color="auto" w:fill="auto"/>
            <w:noWrap/>
            <w:vAlign w:val="center"/>
          </w:tcPr>
          <w:p w14:paraId="44929168" w14:textId="77777777" w:rsidR="00817DA8" w:rsidRPr="004E74A6" w:rsidRDefault="00817DA8" w:rsidP="00CE62C1">
            <w:pPr>
              <w:spacing w:line="276" w:lineRule="auto"/>
              <w:jc w:val="center"/>
              <w:rPr>
                <w:rFonts w:cs="Calibri"/>
                <w:color w:val="000000"/>
                <w:sz w:val="20"/>
                <w:lang w:eastAsia="es-CR"/>
              </w:rPr>
            </w:pPr>
          </w:p>
        </w:tc>
        <w:tc>
          <w:tcPr>
            <w:tcW w:w="478" w:type="pct"/>
            <w:tcBorders>
              <w:top w:val="nil"/>
              <w:left w:val="single" w:sz="4" w:space="0" w:color="auto"/>
              <w:bottom w:val="single" w:sz="4" w:space="0" w:color="auto"/>
              <w:right w:val="single" w:sz="4" w:space="0" w:color="auto"/>
            </w:tcBorders>
            <w:shd w:val="clear" w:color="auto" w:fill="auto"/>
            <w:noWrap/>
            <w:vAlign w:val="center"/>
          </w:tcPr>
          <w:p w14:paraId="45E12829" w14:textId="77777777" w:rsidR="00817DA8" w:rsidRPr="004E74A6" w:rsidRDefault="00817DA8" w:rsidP="00CE62C1">
            <w:pPr>
              <w:spacing w:line="276" w:lineRule="auto"/>
              <w:jc w:val="center"/>
              <w:rPr>
                <w:rFonts w:cs="Calibri"/>
                <w:color w:val="000000"/>
                <w:sz w:val="20"/>
                <w:lang w:eastAsia="es-CR"/>
              </w:rPr>
            </w:pPr>
          </w:p>
        </w:tc>
        <w:tc>
          <w:tcPr>
            <w:tcW w:w="639" w:type="pct"/>
            <w:tcBorders>
              <w:top w:val="nil"/>
              <w:left w:val="single" w:sz="4" w:space="0" w:color="auto"/>
              <w:bottom w:val="single" w:sz="4" w:space="0" w:color="auto"/>
              <w:right w:val="nil"/>
            </w:tcBorders>
            <w:shd w:val="clear" w:color="auto" w:fill="auto"/>
            <w:noWrap/>
            <w:vAlign w:val="center"/>
          </w:tcPr>
          <w:p w14:paraId="69CE7D84" w14:textId="77777777" w:rsidR="00817DA8" w:rsidRPr="004E74A6" w:rsidRDefault="00817DA8" w:rsidP="00CE62C1">
            <w:pPr>
              <w:spacing w:line="276" w:lineRule="auto"/>
              <w:jc w:val="center"/>
              <w:rPr>
                <w:rFonts w:cs="Calibri"/>
                <w:color w:val="000000"/>
                <w:sz w:val="20"/>
                <w:lang w:eastAsia="es-CR"/>
              </w:rPr>
            </w:pPr>
          </w:p>
        </w:tc>
        <w:tc>
          <w:tcPr>
            <w:tcW w:w="1337" w:type="pct"/>
            <w:tcBorders>
              <w:top w:val="nil"/>
              <w:left w:val="single" w:sz="4" w:space="0" w:color="auto"/>
              <w:bottom w:val="single" w:sz="4" w:space="0" w:color="auto"/>
              <w:right w:val="nil"/>
            </w:tcBorders>
          </w:tcPr>
          <w:p w14:paraId="1F644714" w14:textId="77777777" w:rsidR="00817DA8" w:rsidRPr="004E74A6" w:rsidRDefault="00817DA8" w:rsidP="00CE62C1">
            <w:pPr>
              <w:spacing w:line="276" w:lineRule="auto"/>
              <w:jc w:val="center"/>
              <w:rPr>
                <w:rFonts w:cs="Calibri"/>
                <w:color w:val="000000"/>
                <w:sz w:val="20"/>
                <w:lang w:eastAsia="es-CR"/>
              </w:rPr>
            </w:pPr>
          </w:p>
        </w:tc>
      </w:tr>
    </w:tbl>
    <w:p w14:paraId="45180CC4" w14:textId="038A98F2" w:rsidR="003E4755" w:rsidRPr="004E74A6" w:rsidRDefault="003E4755" w:rsidP="00832773">
      <w:pPr>
        <w:spacing w:line="276" w:lineRule="auto"/>
        <w:ind w:left="57" w:right="57"/>
        <w:rPr>
          <w:rFonts w:cs="Calibri"/>
          <w:i/>
          <w:iCs/>
          <w:color w:val="000000"/>
          <w:sz w:val="20"/>
          <w:lang w:eastAsia="es-CR"/>
        </w:rPr>
      </w:pPr>
      <w:r w:rsidRPr="004E74A6">
        <w:rPr>
          <w:rFonts w:cs="Calibri"/>
          <w:b/>
          <w:bCs/>
          <w:i/>
          <w:iCs/>
          <w:color w:val="000000"/>
          <w:sz w:val="20"/>
          <w:lang w:eastAsia="es-CR"/>
        </w:rPr>
        <w:t>Fuente</w:t>
      </w:r>
      <w:r w:rsidRPr="004E74A6">
        <w:rPr>
          <w:rFonts w:cs="Calibri"/>
          <w:i/>
          <w:iCs/>
          <w:color w:val="000000"/>
          <w:sz w:val="20"/>
          <w:lang w:eastAsia="es-CR"/>
        </w:rPr>
        <w:t>: Subproceso de Modernización Institucional con datos extraídos del sistema SIGMA, Dirección de Planificación.</w:t>
      </w:r>
    </w:p>
    <w:p w14:paraId="35CEBF2B" w14:textId="77777777" w:rsidR="0056385E" w:rsidRPr="004E74A6" w:rsidRDefault="0056385E" w:rsidP="00CE62C1">
      <w:pPr>
        <w:spacing w:after="160" w:line="276" w:lineRule="auto"/>
        <w:rPr>
          <w:rFonts w:cs="Calibri"/>
          <w:color w:val="000000"/>
          <w:szCs w:val="24"/>
          <w:lang w:eastAsia="es-CR"/>
        </w:rPr>
      </w:pPr>
      <w:r w:rsidRPr="004E74A6">
        <w:rPr>
          <w:rFonts w:cs="Calibri"/>
          <w:color w:val="000000"/>
          <w:szCs w:val="24"/>
          <w:lang w:eastAsia="es-CR"/>
        </w:rPr>
        <w:lastRenderedPageBreak/>
        <w:t xml:space="preserve">Para el 2019 se reportaron 13 asuntos con el rango de cuantía </w:t>
      </w:r>
      <w:r w:rsidRPr="004E74A6">
        <w:rPr>
          <w:rFonts w:cs="Calibri"/>
          <w:i/>
          <w:iCs/>
          <w:color w:val="000000"/>
          <w:szCs w:val="24"/>
          <w:lang w:eastAsia="es-CR"/>
        </w:rPr>
        <w:t>“expedientes cuantía cero”</w:t>
      </w:r>
      <w:r w:rsidRPr="004E74A6">
        <w:rPr>
          <w:rFonts w:cs="Calibri"/>
          <w:color w:val="000000"/>
          <w:szCs w:val="24"/>
          <w:lang w:eastAsia="es-CR"/>
        </w:rPr>
        <w:t>, 4 en 2020 y 0 en 2021, eso sucedió porque el Tribunal indicó que el proceso era estimable pero no completó la opción de rango.</w:t>
      </w:r>
    </w:p>
    <w:p w14:paraId="7020383E" w14:textId="21D57C7F" w:rsidR="00A731B5" w:rsidRPr="004E74A6" w:rsidRDefault="006E68BE" w:rsidP="00CE62C1">
      <w:pPr>
        <w:spacing w:after="160" w:line="276" w:lineRule="auto"/>
        <w:rPr>
          <w:rFonts w:cs="Calibri"/>
          <w:color w:val="000000"/>
          <w:szCs w:val="24"/>
          <w:lang w:eastAsia="es-CR"/>
        </w:rPr>
      </w:pPr>
      <w:r w:rsidRPr="004E74A6">
        <w:rPr>
          <w:rFonts w:cs="Calibri"/>
          <w:color w:val="000000"/>
          <w:szCs w:val="24"/>
          <w:lang w:eastAsia="es-CR"/>
        </w:rPr>
        <w:t xml:space="preserve">De elevarse cuantía según escenario A.1 este Tribunal perdería un 49% </w:t>
      </w:r>
      <w:r w:rsidR="00A731B5" w:rsidRPr="004E74A6">
        <w:rPr>
          <w:rFonts w:cs="Calibri"/>
          <w:color w:val="000000"/>
          <w:szCs w:val="24"/>
          <w:lang w:eastAsia="es-CR"/>
        </w:rPr>
        <w:t xml:space="preserve">de su entrada actual de asuntos ordinarios estimables que se trasladarían a conocimiento de los Juzgados Civiles y por ende </w:t>
      </w:r>
      <w:r w:rsidR="00A731B5" w:rsidRPr="004E74A6">
        <w:rPr>
          <w:rFonts w:cs="Calibri"/>
          <w:b/>
          <w:bCs/>
          <w:color w:val="000000"/>
          <w:szCs w:val="24"/>
          <w:lang w:eastAsia="es-CR"/>
        </w:rPr>
        <w:t xml:space="preserve">las apelaciones de sentencia </w:t>
      </w:r>
      <w:r w:rsidR="00A731B5" w:rsidRPr="004E74A6">
        <w:rPr>
          <w:rFonts w:cs="Calibri"/>
          <w:color w:val="000000"/>
          <w:szCs w:val="24"/>
          <w:lang w:eastAsia="es-CR"/>
        </w:rPr>
        <w:t xml:space="preserve">en esos procesos se conocerían en los Tribunales de Apelación.  </w:t>
      </w:r>
    </w:p>
    <w:p w14:paraId="1F1AA87F" w14:textId="727D0A28" w:rsidR="00A731B5" w:rsidRPr="004E74A6" w:rsidRDefault="00A731B5" w:rsidP="00CE62C1">
      <w:pPr>
        <w:spacing w:after="160" w:line="276" w:lineRule="auto"/>
        <w:rPr>
          <w:rFonts w:cs="Calibri"/>
          <w:color w:val="000000"/>
          <w:szCs w:val="24"/>
          <w:lang w:eastAsia="es-CR"/>
        </w:rPr>
      </w:pPr>
      <w:r w:rsidRPr="004E74A6">
        <w:rPr>
          <w:rFonts w:cs="Calibri"/>
          <w:color w:val="000000"/>
          <w:szCs w:val="24"/>
          <w:lang w:eastAsia="es-CR"/>
        </w:rPr>
        <w:t>De elevarse cuantía según escenario A.2, no se modificaría la entrada de ordinarios, sino que el efecto sería en el recurso del que dispondrían las sentencias en los ordinarios estimados hasta en 20 millones de colones, que pese a que se mantendrían en trámite en estos tribunales de primera instancia, dejarían de disponer recurso de casación ante la Sala Primera y pasarían a disponer únicamente de recurso de apelación ante el Tribunal de Apelación en Segunda Instancia.</w:t>
      </w:r>
    </w:p>
    <w:p w14:paraId="41FBA53B" w14:textId="77777777" w:rsidR="00662185" w:rsidRPr="004E74A6" w:rsidRDefault="00662185" w:rsidP="00CE62C1">
      <w:pPr>
        <w:spacing w:after="160" w:line="276" w:lineRule="auto"/>
        <w:rPr>
          <w:rFonts w:cs="Calibri"/>
          <w:color w:val="000000"/>
          <w:szCs w:val="24"/>
          <w:lang w:eastAsia="es-CR"/>
        </w:rPr>
      </w:pPr>
    </w:p>
    <w:p w14:paraId="2CED294A" w14:textId="77777777" w:rsidR="008647ED" w:rsidRPr="004E74A6" w:rsidRDefault="008647ED" w:rsidP="00CE62C1">
      <w:pPr>
        <w:numPr>
          <w:ilvl w:val="2"/>
          <w:numId w:val="21"/>
        </w:numPr>
        <w:spacing w:after="160" w:line="276" w:lineRule="auto"/>
        <w:ind w:left="1225" w:hanging="505"/>
        <w:outlineLvl w:val="5"/>
        <w:rPr>
          <w:rFonts w:cs="Calibri"/>
          <w:color w:val="000000"/>
          <w:szCs w:val="24"/>
          <w:lang w:eastAsia="es-CR"/>
        </w:rPr>
      </w:pPr>
      <w:r w:rsidRPr="004E74A6">
        <w:rPr>
          <w:rFonts w:cs="Calibri"/>
          <w:color w:val="000000"/>
          <w:szCs w:val="24"/>
          <w:lang w:eastAsia="es-CR"/>
        </w:rPr>
        <w:t>Tribunal Colegiado Primera Instancia Civil Primer Circuito Judicial Zona Sur, Pérez Zeledón</w:t>
      </w:r>
    </w:p>
    <w:p w14:paraId="73E0F84B" w14:textId="25666E34" w:rsidR="008647ED" w:rsidRPr="004E74A6" w:rsidRDefault="002716B2" w:rsidP="00CE62C1">
      <w:pPr>
        <w:spacing w:after="160" w:line="276" w:lineRule="auto"/>
        <w:rPr>
          <w:rFonts w:cs="Calibri"/>
          <w:color w:val="000000"/>
          <w:szCs w:val="24"/>
          <w:lang w:eastAsia="es-CR"/>
        </w:rPr>
      </w:pPr>
      <w:r w:rsidRPr="004E74A6">
        <w:rPr>
          <w:rFonts w:cs="Calibri"/>
          <w:color w:val="000000"/>
          <w:szCs w:val="24"/>
          <w:lang w:eastAsia="es-CR"/>
        </w:rPr>
        <w:t xml:space="preserve">Para el caso de este Tribunal, según la tabla por tipo de carpeta principal representa el </w:t>
      </w:r>
      <w:r w:rsidR="008647ED" w:rsidRPr="004E74A6">
        <w:rPr>
          <w:rFonts w:cs="Calibri"/>
          <w:color w:val="000000"/>
          <w:szCs w:val="24"/>
          <w:lang w:eastAsia="es-CR"/>
        </w:rPr>
        <w:t>97% de los asuntos que ingresan y que, si bien a nivel general ha experimentado una ligera disminución para el año 2021, continúa siendo el principal tipo en los años de estudio.</w:t>
      </w:r>
    </w:p>
    <w:p w14:paraId="349445BB" w14:textId="035A01A3" w:rsidR="004F0BF3" w:rsidRPr="00832773" w:rsidRDefault="004F0BF3" w:rsidP="00F0204A">
      <w:pPr>
        <w:pStyle w:val="Descripcin"/>
        <w:keepNext/>
        <w:spacing w:line="276" w:lineRule="auto"/>
        <w:jc w:val="center"/>
        <w:rPr>
          <w:rFonts w:ascii="Book Antiqua" w:hAnsi="Book Antiqua"/>
          <w:i/>
          <w:iCs/>
          <w:sz w:val="20"/>
          <w:szCs w:val="16"/>
          <w:lang w:val="es-CR"/>
        </w:rPr>
      </w:pPr>
      <w:r w:rsidRPr="00832773">
        <w:rPr>
          <w:rFonts w:ascii="Book Antiqua" w:hAnsi="Book Antiqua"/>
          <w:i/>
          <w:iCs/>
          <w:sz w:val="20"/>
          <w:szCs w:val="16"/>
          <w:lang w:val="es-CR"/>
        </w:rPr>
        <w:t xml:space="preserve">Tabla </w:t>
      </w:r>
      <w:r w:rsidRPr="00832773">
        <w:rPr>
          <w:rFonts w:ascii="Book Antiqua" w:hAnsi="Book Antiqua"/>
          <w:i/>
          <w:iCs/>
          <w:sz w:val="20"/>
          <w:szCs w:val="16"/>
          <w:lang w:val="es-CR"/>
        </w:rPr>
        <w:fldChar w:fldCharType="begin"/>
      </w:r>
      <w:r w:rsidRPr="00832773">
        <w:rPr>
          <w:rFonts w:ascii="Book Antiqua" w:hAnsi="Book Antiqua"/>
          <w:i/>
          <w:iCs/>
          <w:sz w:val="20"/>
          <w:szCs w:val="16"/>
          <w:lang w:val="es-CR"/>
        </w:rPr>
        <w:instrText xml:space="preserve"> SEQ Tabla \* ARABIC </w:instrText>
      </w:r>
      <w:r w:rsidRPr="00832773">
        <w:rPr>
          <w:rFonts w:ascii="Book Antiqua" w:hAnsi="Book Antiqua"/>
          <w:i/>
          <w:iCs/>
          <w:sz w:val="20"/>
          <w:szCs w:val="16"/>
          <w:lang w:val="es-CR"/>
        </w:rPr>
        <w:fldChar w:fldCharType="separate"/>
      </w:r>
      <w:r w:rsidR="00374B51">
        <w:rPr>
          <w:rFonts w:ascii="Book Antiqua" w:hAnsi="Book Antiqua"/>
          <w:i/>
          <w:iCs/>
          <w:noProof/>
          <w:sz w:val="20"/>
          <w:szCs w:val="16"/>
          <w:lang w:val="es-CR"/>
        </w:rPr>
        <w:t>41</w:t>
      </w:r>
      <w:r w:rsidRPr="00832773">
        <w:rPr>
          <w:rFonts w:ascii="Book Antiqua" w:hAnsi="Book Antiqua"/>
          <w:i/>
          <w:iCs/>
          <w:sz w:val="20"/>
          <w:szCs w:val="16"/>
          <w:lang w:val="es-CR"/>
        </w:rPr>
        <w:fldChar w:fldCharType="end"/>
      </w:r>
      <w:r w:rsidRPr="00832773">
        <w:rPr>
          <w:rFonts w:ascii="Book Antiqua" w:hAnsi="Book Antiqua"/>
          <w:i/>
          <w:iCs/>
          <w:sz w:val="20"/>
          <w:szCs w:val="16"/>
          <w:lang w:val="es-CR"/>
        </w:rPr>
        <w:t xml:space="preserve"> Cantidad de entrados por tipo de </w:t>
      </w:r>
      <w:r w:rsidR="002716B2" w:rsidRPr="00832773">
        <w:rPr>
          <w:rFonts w:ascii="Book Antiqua" w:hAnsi="Book Antiqua"/>
          <w:i/>
          <w:iCs/>
          <w:sz w:val="20"/>
          <w:szCs w:val="16"/>
          <w:lang w:val="es-CR"/>
        </w:rPr>
        <w:t>carpeta</w:t>
      </w:r>
      <w:r w:rsidRPr="00832773">
        <w:rPr>
          <w:rFonts w:ascii="Book Antiqua" w:hAnsi="Book Antiqua"/>
          <w:i/>
          <w:iCs/>
          <w:sz w:val="20"/>
          <w:szCs w:val="16"/>
          <w:lang w:val="es-CR"/>
        </w:rPr>
        <w:t xml:space="preserve"> del 2019 al 2021 para el Tribunal Colegiado Primera Instancia Civil Primer Circuito Judicial Zona Sur, Pérez Zeledón</w:t>
      </w:r>
    </w:p>
    <w:tbl>
      <w:tblPr>
        <w:tblW w:w="4579" w:type="pct"/>
        <w:jc w:val="center"/>
        <w:tblLayout w:type="fixed"/>
        <w:tblCellMar>
          <w:left w:w="70" w:type="dxa"/>
          <w:right w:w="70" w:type="dxa"/>
        </w:tblCellMar>
        <w:tblLook w:val="04A0" w:firstRow="1" w:lastRow="0" w:firstColumn="1" w:lastColumn="0" w:noHBand="0" w:noVBand="1"/>
      </w:tblPr>
      <w:tblGrid>
        <w:gridCol w:w="4471"/>
        <w:gridCol w:w="836"/>
        <w:gridCol w:w="836"/>
        <w:gridCol w:w="836"/>
        <w:gridCol w:w="1117"/>
      </w:tblGrid>
      <w:tr w:rsidR="004F0BF3" w:rsidRPr="004E74A6" w14:paraId="2B3B5C2A" w14:textId="77777777" w:rsidTr="002716B2">
        <w:trPr>
          <w:trHeight w:val="454"/>
          <w:tblHeader/>
          <w:jc w:val="center"/>
        </w:trPr>
        <w:tc>
          <w:tcPr>
            <w:tcW w:w="2761" w:type="pct"/>
            <w:tcBorders>
              <w:top w:val="single" w:sz="4" w:space="0" w:color="auto"/>
              <w:bottom w:val="single" w:sz="4" w:space="0" w:color="auto"/>
              <w:right w:val="single" w:sz="4" w:space="0" w:color="auto"/>
            </w:tcBorders>
            <w:shd w:val="clear" w:color="auto" w:fill="auto"/>
            <w:noWrap/>
            <w:vAlign w:val="center"/>
            <w:hideMark/>
          </w:tcPr>
          <w:p w14:paraId="22AFDCD3" w14:textId="4CAABC26" w:rsidR="008647ED" w:rsidRPr="004E74A6" w:rsidRDefault="004F0BF3" w:rsidP="00CE62C1">
            <w:pPr>
              <w:spacing w:line="276" w:lineRule="auto"/>
              <w:jc w:val="center"/>
              <w:rPr>
                <w:sz w:val="20"/>
                <w:lang w:eastAsia="es-CR"/>
              </w:rPr>
            </w:pPr>
            <w:r w:rsidRPr="004E74A6">
              <w:rPr>
                <w:sz w:val="20"/>
                <w:lang w:eastAsia="es-CR"/>
              </w:rPr>
              <w:t>Tipo</w:t>
            </w:r>
            <w:r w:rsidR="008647ED" w:rsidRPr="004E74A6">
              <w:rPr>
                <w:sz w:val="20"/>
                <w:lang w:eastAsia="es-CR"/>
              </w:rPr>
              <w:t xml:space="preserve"> De </w:t>
            </w:r>
            <w:r w:rsidR="002716B2" w:rsidRPr="004E74A6">
              <w:rPr>
                <w:sz w:val="20"/>
                <w:lang w:eastAsia="es-CR"/>
              </w:rPr>
              <w:t>Carpeta</w:t>
            </w:r>
          </w:p>
        </w:tc>
        <w:tc>
          <w:tcPr>
            <w:tcW w:w="51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B7562E"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2019</w:t>
            </w:r>
          </w:p>
        </w:tc>
        <w:tc>
          <w:tcPr>
            <w:tcW w:w="51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720025"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2020</w:t>
            </w:r>
          </w:p>
        </w:tc>
        <w:tc>
          <w:tcPr>
            <w:tcW w:w="51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7C78AF"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2021</w:t>
            </w:r>
          </w:p>
        </w:tc>
        <w:tc>
          <w:tcPr>
            <w:tcW w:w="690" w:type="pct"/>
            <w:tcBorders>
              <w:top w:val="single" w:sz="4" w:space="0" w:color="auto"/>
              <w:left w:val="single" w:sz="4" w:space="0" w:color="auto"/>
              <w:bottom w:val="single" w:sz="4" w:space="0" w:color="auto"/>
            </w:tcBorders>
            <w:shd w:val="clear" w:color="auto" w:fill="auto"/>
            <w:noWrap/>
            <w:vAlign w:val="center"/>
            <w:hideMark/>
          </w:tcPr>
          <w:p w14:paraId="712ECB54" w14:textId="2B860C03" w:rsidR="008647ED" w:rsidRPr="004E74A6" w:rsidRDefault="004F0BF3" w:rsidP="00CE62C1">
            <w:pPr>
              <w:spacing w:line="276" w:lineRule="auto"/>
              <w:jc w:val="center"/>
              <w:rPr>
                <w:rFonts w:cs="Calibri"/>
                <w:color w:val="000000"/>
                <w:sz w:val="20"/>
                <w:lang w:eastAsia="es-CR"/>
              </w:rPr>
            </w:pPr>
            <w:r w:rsidRPr="004E74A6">
              <w:rPr>
                <w:rFonts w:cs="Calibri"/>
                <w:color w:val="000000"/>
                <w:sz w:val="20"/>
                <w:lang w:eastAsia="es-CR"/>
              </w:rPr>
              <w:t>Promedio</w:t>
            </w:r>
          </w:p>
        </w:tc>
      </w:tr>
      <w:tr w:rsidR="004F0BF3" w:rsidRPr="004E74A6" w14:paraId="643AB767" w14:textId="77777777" w:rsidTr="002716B2">
        <w:trPr>
          <w:trHeight w:val="288"/>
          <w:jc w:val="center"/>
        </w:trPr>
        <w:tc>
          <w:tcPr>
            <w:tcW w:w="2761" w:type="pct"/>
            <w:tcBorders>
              <w:top w:val="single" w:sz="4" w:space="0" w:color="auto"/>
              <w:right w:val="single" w:sz="4" w:space="0" w:color="auto"/>
            </w:tcBorders>
            <w:shd w:val="clear" w:color="auto" w:fill="auto"/>
            <w:noWrap/>
            <w:vAlign w:val="bottom"/>
          </w:tcPr>
          <w:p w14:paraId="1F4B7A79" w14:textId="77777777" w:rsidR="008647ED" w:rsidRPr="004E74A6" w:rsidRDefault="008647ED" w:rsidP="00CE62C1">
            <w:pPr>
              <w:spacing w:line="276" w:lineRule="auto"/>
              <w:jc w:val="left"/>
              <w:rPr>
                <w:rFonts w:cs="Calibri"/>
                <w:color w:val="000000"/>
                <w:sz w:val="20"/>
                <w:lang w:eastAsia="es-CR"/>
              </w:rPr>
            </w:pPr>
          </w:p>
        </w:tc>
        <w:tc>
          <w:tcPr>
            <w:tcW w:w="516" w:type="pct"/>
            <w:tcBorders>
              <w:top w:val="single" w:sz="4" w:space="0" w:color="auto"/>
              <w:left w:val="single" w:sz="4" w:space="0" w:color="auto"/>
              <w:right w:val="single" w:sz="4" w:space="0" w:color="auto"/>
            </w:tcBorders>
            <w:shd w:val="clear" w:color="auto" w:fill="auto"/>
            <w:noWrap/>
            <w:vAlign w:val="center"/>
          </w:tcPr>
          <w:p w14:paraId="2DA624D0" w14:textId="77777777" w:rsidR="008647ED" w:rsidRPr="004E74A6" w:rsidRDefault="008647ED" w:rsidP="00CE62C1">
            <w:pPr>
              <w:spacing w:line="276" w:lineRule="auto"/>
              <w:jc w:val="center"/>
              <w:rPr>
                <w:rFonts w:cs="Calibri"/>
                <w:color w:val="000000"/>
                <w:sz w:val="20"/>
                <w:lang w:eastAsia="es-CR"/>
              </w:rPr>
            </w:pPr>
          </w:p>
        </w:tc>
        <w:tc>
          <w:tcPr>
            <w:tcW w:w="516" w:type="pct"/>
            <w:tcBorders>
              <w:top w:val="single" w:sz="4" w:space="0" w:color="auto"/>
              <w:left w:val="single" w:sz="4" w:space="0" w:color="auto"/>
              <w:right w:val="single" w:sz="4" w:space="0" w:color="auto"/>
            </w:tcBorders>
            <w:shd w:val="clear" w:color="auto" w:fill="auto"/>
            <w:noWrap/>
            <w:vAlign w:val="center"/>
          </w:tcPr>
          <w:p w14:paraId="59DF0385" w14:textId="77777777" w:rsidR="008647ED" w:rsidRPr="004E74A6" w:rsidRDefault="008647ED" w:rsidP="00CE62C1">
            <w:pPr>
              <w:spacing w:line="276" w:lineRule="auto"/>
              <w:jc w:val="center"/>
              <w:rPr>
                <w:rFonts w:cs="Calibri"/>
                <w:color w:val="000000"/>
                <w:sz w:val="20"/>
                <w:lang w:eastAsia="es-CR"/>
              </w:rPr>
            </w:pPr>
          </w:p>
        </w:tc>
        <w:tc>
          <w:tcPr>
            <w:tcW w:w="516" w:type="pct"/>
            <w:tcBorders>
              <w:top w:val="single" w:sz="4" w:space="0" w:color="auto"/>
              <w:left w:val="single" w:sz="4" w:space="0" w:color="auto"/>
              <w:right w:val="single" w:sz="4" w:space="0" w:color="auto"/>
            </w:tcBorders>
            <w:shd w:val="clear" w:color="auto" w:fill="auto"/>
            <w:noWrap/>
            <w:vAlign w:val="center"/>
          </w:tcPr>
          <w:p w14:paraId="5B96FBDA" w14:textId="77777777" w:rsidR="008647ED" w:rsidRPr="004E74A6" w:rsidRDefault="008647ED" w:rsidP="00CE62C1">
            <w:pPr>
              <w:spacing w:line="276" w:lineRule="auto"/>
              <w:jc w:val="center"/>
              <w:rPr>
                <w:rFonts w:cs="Calibri"/>
                <w:color w:val="000000"/>
                <w:sz w:val="20"/>
                <w:lang w:eastAsia="es-CR"/>
              </w:rPr>
            </w:pPr>
          </w:p>
        </w:tc>
        <w:tc>
          <w:tcPr>
            <w:tcW w:w="690" w:type="pct"/>
            <w:tcBorders>
              <w:top w:val="single" w:sz="4" w:space="0" w:color="auto"/>
              <w:left w:val="single" w:sz="4" w:space="0" w:color="auto"/>
            </w:tcBorders>
            <w:shd w:val="clear" w:color="auto" w:fill="auto"/>
            <w:noWrap/>
            <w:vAlign w:val="center"/>
          </w:tcPr>
          <w:p w14:paraId="4A48C1AC" w14:textId="77777777" w:rsidR="008647ED" w:rsidRPr="004E74A6" w:rsidRDefault="008647ED" w:rsidP="00CE62C1">
            <w:pPr>
              <w:spacing w:line="276" w:lineRule="auto"/>
              <w:jc w:val="center"/>
              <w:rPr>
                <w:rFonts w:cs="Calibri"/>
                <w:color w:val="000000"/>
                <w:sz w:val="20"/>
                <w:lang w:eastAsia="es-CR"/>
              </w:rPr>
            </w:pPr>
          </w:p>
        </w:tc>
      </w:tr>
      <w:tr w:rsidR="002716B2" w:rsidRPr="004E74A6" w14:paraId="5E69074D" w14:textId="77777777" w:rsidTr="002716B2">
        <w:trPr>
          <w:trHeight w:val="288"/>
          <w:jc w:val="center"/>
        </w:trPr>
        <w:tc>
          <w:tcPr>
            <w:tcW w:w="2761" w:type="pct"/>
            <w:tcBorders>
              <w:right w:val="single" w:sz="4" w:space="0" w:color="auto"/>
            </w:tcBorders>
            <w:shd w:val="clear" w:color="auto" w:fill="auto"/>
            <w:noWrap/>
            <w:vAlign w:val="bottom"/>
          </w:tcPr>
          <w:p w14:paraId="46F271BA" w14:textId="7DA4D31E" w:rsidR="002716B2" w:rsidRPr="004E74A6" w:rsidRDefault="002716B2" w:rsidP="00CE62C1">
            <w:pPr>
              <w:spacing w:line="276" w:lineRule="auto"/>
              <w:jc w:val="center"/>
              <w:rPr>
                <w:rFonts w:cs="Calibri"/>
                <w:color w:val="000000"/>
                <w:sz w:val="20"/>
                <w:lang w:eastAsia="es-CR"/>
              </w:rPr>
            </w:pPr>
            <w:r w:rsidRPr="004E74A6">
              <w:rPr>
                <w:rFonts w:cs="Calibri"/>
                <w:color w:val="000000"/>
                <w:sz w:val="20"/>
                <w:lang w:eastAsia="es-CR"/>
              </w:rPr>
              <w:t>Total General</w:t>
            </w:r>
          </w:p>
        </w:tc>
        <w:tc>
          <w:tcPr>
            <w:tcW w:w="516" w:type="pct"/>
            <w:tcBorders>
              <w:left w:val="single" w:sz="4" w:space="0" w:color="auto"/>
              <w:right w:val="single" w:sz="4" w:space="0" w:color="auto"/>
            </w:tcBorders>
            <w:shd w:val="clear" w:color="auto" w:fill="auto"/>
            <w:noWrap/>
            <w:vAlign w:val="bottom"/>
          </w:tcPr>
          <w:p w14:paraId="5E01C4C2" w14:textId="374416BE" w:rsidR="002716B2" w:rsidRPr="004E74A6" w:rsidRDefault="002716B2" w:rsidP="00CE62C1">
            <w:pPr>
              <w:spacing w:line="276" w:lineRule="auto"/>
              <w:jc w:val="center"/>
              <w:rPr>
                <w:rFonts w:cs="Calibri"/>
                <w:color w:val="000000"/>
                <w:sz w:val="20"/>
              </w:rPr>
            </w:pPr>
            <w:r w:rsidRPr="004E74A6">
              <w:rPr>
                <w:rFonts w:cs="Calibri"/>
                <w:color w:val="000000"/>
                <w:sz w:val="20"/>
              </w:rPr>
              <w:t>114</w:t>
            </w:r>
          </w:p>
        </w:tc>
        <w:tc>
          <w:tcPr>
            <w:tcW w:w="516" w:type="pct"/>
            <w:tcBorders>
              <w:left w:val="single" w:sz="4" w:space="0" w:color="auto"/>
              <w:right w:val="single" w:sz="4" w:space="0" w:color="auto"/>
            </w:tcBorders>
            <w:shd w:val="clear" w:color="auto" w:fill="auto"/>
            <w:noWrap/>
            <w:vAlign w:val="bottom"/>
          </w:tcPr>
          <w:p w14:paraId="04E63EAA" w14:textId="4A293FC7" w:rsidR="002716B2" w:rsidRPr="004E74A6" w:rsidRDefault="002716B2" w:rsidP="00CE62C1">
            <w:pPr>
              <w:spacing w:line="276" w:lineRule="auto"/>
              <w:jc w:val="center"/>
              <w:rPr>
                <w:rFonts w:cs="Calibri"/>
                <w:color w:val="000000"/>
                <w:sz w:val="20"/>
              </w:rPr>
            </w:pPr>
            <w:r w:rsidRPr="004E74A6">
              <w:rPr>
                <w:rFonts w:cs="Calibri"/>
                <w:color w:val="000000"/>
                <w:sz w:val="20"/>
              </w:rPr>
              <w:t>124</w:t>
            </w:r>
          </w:p>
        </w:tc>
        <w:tc>
          <w:tcPr>
            <w:tcW w:w="516" w:type="pct"/>
            <w:tcBorders>
              <w:left w:val="single" w:sz="4" w:space="0" w:color="auto"/>
              <w:right w:val="single" w:sz="4" w:space="0" w:color="auto"/>
            </w:tcBorders>
            <w:shd w:val="clear" w:color="auto" w:fill="auto"/>
            <w:noWrap/>
            <w:vAlign w:val="bottom"/>
          </w:tcPr>
          <w:p w14:paraId="0FFEC0B9" w14:textId="2B809D72" w:rsidR="002716B2" w:rsidRPr="004E74A6" w:rsidRDefault="002716B2" w:rsidP="00CE62C1">
            <w:pPr>
              <w:spacing w:line="276" w:lineRule="auto"/>
              <w:jc w:val="center"/>
              <w:rPr>
                <w:rFonts w:cs="Calibri"/>
                <w:color w:val="000000"/>
                <w:sz w:val="20"/>
              </w:rPr>
            </w:pPr>
            <w:r w:rsidRPr="004E74A6">
              <w:rPr>
                <w:rFonts w:cs="Calibri"/>
                <w:color w:val="000000"/>
                <w:sz w:val="20"/>
              </w:rPr>
              <w:t>119</w:t>
            </w:r>
          </w:p>
        </w:tc>
        <w:tc>
          <w:tcPr>
            <w:tcW w:w="690" w:type="pct"/>
            <w:tcBorders>
              <w:left w:val="single" w:sz="4" w:space="0" w:color="auto"/>
            </w:tcBorders>
            <w:shd w:val="clear" w:color="auto" w:fill="auto"/>
            <w:noWrap/>
            <w:vAlign w:val="bottom"/>
          </w:tcPr>
          <w:p w14:paraId="3B343F31" w14:textId="0024E454" w:rsidR="002716B2" w:rsidRPr="004E74A6" w:rsidRDefault="002716B2" w:rsidP="00CE62C1">
            <w:pPr>
              <w:spacing w:line="276" w:lineRule="auto"/>
              <w:jc w:val="center"/>
              <w:rPr>
                <w:rFonts w:cs="Calibri"/>
                <w:color w:val="000000"/>
                <w:sz w:val="20"/>
              </w:rPr>
            </w:pPr>
            <w:r w:rsidRPr="004E74A6">
              <w:rPr>
                <w:rFonts w:cs="Calibri"/>
                <w:color w:val="000000"/>
                <w:sz w:val="20"/>
              </w:rPr>
              <w:t>119</w:t>
            </w:r>
          </w:p>
        </w:tc>
      </w:tr>
      <w:tr w:rsidR="002716B2" w:rsidRPr="004E74A6" w14:paraId="43DC29DF" w14:textId="77777777" w:rsidTr="002716B2">
        <w:trPr>
          <w:trHeight w:val="288"/>
          <w:jc w:val="center"/>
        </w:trPr>
        <w:tc>
          <w:tcPr>
            <w:tcW w:w="2761" w:type="pct"/>
            <w:tcBorders>
              <w:right w:val="single" w:sz="4" w:space="0" w:color="auto"/>
            </w:tcBorders>
            <w:shd w:val="clear" w:color="auto" w:fill="auto"/>
            <w:noWrap/>
            <w:vAlign w:val="bottom"/>
          </w:tcPr>
          <w:p w14:paraId="2F895676" w14:textId="77777777" w:rsidR="002716B2" w:rsidRPr="004E74A6" w:rsidRDefault="002716B2" w:rsidP="00CE62C1">
            <w:pPr>
              <w:spacing w:line="276" w:lineRule="auto"/>
              <w:jc w:val="left"/>
              <w:rPr>
                <w:rFonts w:cs="Calibri"/>
                <w:color w:val="000000"/>
                <w:sz w:val="20"/>
                <w:lang w:eastAsia="es-CR"/>
              </w:rPr>
            </w:pPr>
          </w:p>
        </w:tc>
        <w:tc>
          <w:tcPr>
            <w:tcW w:w="516" w:type="pct"/>
            <w:tcBorders>
              <w:left w:val="single" w:sz="4" w:space="0" w:color="auto"/>
              <w:right w:val="single" w:sz="4" w:space="0" w:color="auto"/>
            </w:tcBorders>
            <w:shd w:val="clear" w:color="auto" w:fill="auto"/>
            <w:noWrap/>
            <w:vAlign w:val="bottom"/>
          </w:tcPr>
          <w:p w14:paraId="42C6B6BF" w14:textId="77777777" w:rsidR="002716B2" w:rsidRPr="004E74A6" w:rsidRDefault="002716B2" w:rsidP="00CE62C1">
            <w:pPr>
              <w:spacing w:line="276" w:lineRule="auto"/>
              <w:jc w:val="center"/>
              <w:rPr>
                <w:rFonts w:cs="Calibri"/>
                <w:color w:val="000000"/>
                <w:sz w:val="20"/>
              </w:rPr>
            </w:pPr>
          </w:p>
        </w:tc>
        <w:tc>
          <w:tcPr>
            <w:tcW w:w="516" w:type="pct"/>
            <w:tcBorders>
              <w:left w:val="single" w:sz="4" w:space="0" w:color="auto"/>
              <w:right w:val="single" w:sz="4" w:space="0" w:color="auto"/>
            </w:tcBorders>
            <w:shd w:val="clear" w:color="auto" w:fill="auto"/>
            <w:noWrap/>
            <w:vAlign w:val="bottom"/>
          </w:tcPr>
          <w:p w14:paraId="5C5D9AF9" w14:textId="77777777" w:rsidR="002716B2" w:rsidRPr="004E74A6" w:rsidRDefault="002716B2" w:rsidP="00CE62C1">
            <w:pPr>
              <w:spacing w:line="276" w:lineRule="auto"/>
              <w:jc w:val="center"/>
              <w:rPr>
                <w:rFonts w:cs="Calibri"/>
                <w:color w:val="000000"/>
                <w:sz w:val="20"/>
              </w:rPr>
            </w:pPr>
          </w:p>
        </w:tc>
        <w:tc>
          <w:tcPr>
            <w:tcW w:w="516" w:type="pct"/>
            <w:tcBorders>
              <w:left w:val="single" w:sz="4" w:space="0" w:color="auto"/>
              <w:right w:val="single" w:sz="4" w:space="0" w:color="auto"/>
            </w:tcBorders>
            <w:shd w:val="clear" w:color="auto" w:fill="auto"/>
            <w:noWrap/>
            <w:vAlign w:val="bottom"/>
          </w:tcPr>
          <w:p w14:paraId="0E0F1747" w14:textId="77777777" w:rsidR="002716B2" w:rsidRPr="004E74A6" w:rsidRDefault="002716B2" w:rsidP="00CE62C1">
            <w:pPr>
              <w:spacing w:line="276" w:lineRule="auto"/>
              <w:jc w:val="center"/>
              <w:rPr>
                <w:rFonts w:cs="Calibri"/>
                <w:color w:val="000000"/>
                <w:sz w:val="20"/>
              </w:rPr>
            </w:pPr>
          </w:p>
        </w:tc>
        <w:tc>
          <w:tcPr>
            <w:tcW w:w="690" w:type="pct"/>
            <w:tcBorders>
              <w:left w:val="single" w:sz="4" w:space="0" w:color="auto"/>
            </w:tcBorders>
            <w:shd w:val="clear" w:color="auto" w:fill="auto"/>
            <w:noWrap/>
            <w:vAlign w:val="bottom"/>
          </w:tcPr>
          <w:p w14:paraId="73FCC9F1" w14:textId="77777777" w:rsidR="002716B2" w:rsidRPr="004E74A6" w:rsidRDefault="002716B2" w:rsidP="00CE62C1">
            <w:pPr>
              <w:spacing w:line="276" w:lineRule="auto"/>
              <w:jc w:val="center"/>
              <w:rPr>
                <w:rFonts w:cs="Calibri"/>
                <w:color w:val="000000"/>
                <w:sz w:val="20"/>
              </w:rPr>
            </w:pPr>
          </w:p>
        </w:tc>
      </w:tr>
      <w:tr w:rsidR="002716B2" w:rsidRPr="004E74A6" w14:paraId="341AA926" w14:textId="77777777" w:rsidTr="002716B2">
        <w:trPr>
          <w:trHeight w:val="288"/>
          <w:jc w:val="center"/>
        </w:trPr>
        <w:tc>
          <w:tcPr>
            <w:tcW w:w="2761" w:type="pct"/>
            <w:tcBorders>
              <w:right w:val="single" w:sz="4" w:space="0" w:color="auto"/>
            </w:tcBorders>
            <w:shd w:val="clear" w:color="auto" w:fill="auto"/>
            <w:noWrap/>
            <w:vAlign w:val="bottom"/>
            <w:hideMark/>
          </w:tcPr>
          <w:p w14:paraId="3B9AD50B" w14:textId="77777777" w:rsidR="002716B2" w:rsidRPr="004E74A6" w:rsidRDefault="002716B2" w:rsidP="00CE62C1">
            <w:pPr>
              <w:spacing w:line="276" w:lineRule="auto"/>
              <w:jc w:val="left"/>
              <w:rPr>
                <w:rFonts w:cs="Calibri"/>
                <w:color w:val="000000"/>
                <w:sz w:val="20"/>
                <w:lang w:eastAsia="es-CR"/>
              </w:rPr>
            </w:pPr>
            <w:r w:rsidRPr="004E74A6">
              <w:rPr>
                <w:rFonts w:cs="Calibri"/>
                <w:color w:val="000000"/>
                <w:sz w:val="20"/>
                <w:lang w:eastAsia="es-CR"/>
              </w:rPr>
              <w:t>Incidentes Procesales</w:t>
            </w:r>
          </w:p>
        </w:tc>
        <w:tc>
          <w:tcPr>
            <w:tcW w:w="516" w:type="pct"/>
            <w:tcBorders>
              <w:left w:val="single" w:sz="4" w:space="0" w:color="auto"/>
              <w:right w:val="single" w:sz="4" w:space="0" w:color="auto"/>
            </w:tcBorders>
            <w:shd w:val="clear" w:color="auto" w:fill="auto"/>
            <w:noWrap/>
            <w:vAlign w:val="bottom"/>
            <w:hideMark/>
          </w:tcPr>
          <w:p w14:paraId="3DEBCCAE" w14:textId="1E6E406E" w:rsidR="002716B2" w:rsidRPr="004E74A6" w:rsidRDefault="002716B2" w:rsidP="00CE62C1">
            <w:pPr>
              <w:spacing w:line="276" w:lineRule="auto"/>
              <w:jc w:val="center"/>
              <w:rPr>
                <w:rFonts w:cs="Calibri"/>
                <w:color w:val="000000"/>
                <w:sz w:val="20"/>
                <w:lang w:eastAsia="es-CR"/>
              </w:rPr>
            </w:pPr>
            <w:r w:rsidRPr="004E74A6">
              <w:rPr>
                <w:rFonts w:cs="Calibri"/>
                <w:color w:val="000000"/>
                <w:sz w:val="20"/>
              </w:rPr>
              <w:t>5</w:t>
            </w:r>
          </w:p>
        </w:tc>
        <w:tc>
          <w:tcPr>
            <w:tcW w:w="516" w:type="pct"/>
            <w:tcBorders>
              <w:left w:val="single" w:sz="4" w:space="0" w:color="auto"/>
              <w:right w:val="single" w:sz="4" w:space="0" w:color="auto"/>
            </w:tcBorders>
            <w:shd w:val="clear" w:color="auto" w:fill="auto"/>
            <w:noWrap/>
            <w:vAlign w:val="bottom"/>
            <w:hideMark/>
          </w:tcPr>
          <w:p w14:paraId="1A180635" w14:textId="54370536" w:rsidR="002716B2" w:rsidRPr="004E74A6" w:rsidRDefault="002716B2" w:rsidP="00CE62C1">
            <w:pPr>
              <w:spacing w:line="276" w:lineRule="auto"/>
              <w:jc w:val="center"/>
              <w:rPr>
                <w:rFonts w:cs="Calibri"/>
                <w:color w:val="000000"/>
                <w:sz w:val="20"/>
                <w:lang w:eastAsia="es-CR"/>
              </w:rPr>
            </w:pPr>
            <w:r w:rsidRPr="004E74A6">
              <w:rPr>
                <w:rFonts w:cs="Calibri"/>
                <w:color w:val="000000"/>
                <w:sz w:val="20"/>
              </w:rPr>
              <w:t>4</w:t>
            </w:r>
          </w:p>
        </w:tc>
        <w:tc>
          <w:tcPr>
            <w:tcW w:w="516" w:type="pct"/>
            <w:tcBorders>
              <w:left w:val="single" w:sz="4" w:space="0" w:color="auto"/>
              <w:right w:val="single" w:sz="4" w:space="0" w:color="auto"/>
            </w:tcBorders>
            <w:shd w:val="clear" w:color="auto" w:fill="auto"/>
            <w:noWrap/>
            <w:vAlign w:val="bottom"/>
            <w:hideMark/>
          </w:tcPr>
          <w:p w14:paraId="26B2CE50" w14:textId="07A8A591" w:rsidR="002716B2" w:rsidRPr="004E74A6" w:rsidRDefault="002716B2" w:rsidP="00CE62C1">
            <w:pPr>
              <w:spacing w:line="276" w:lineRule="auto"/>
              <w:jc w:val="center"/>
              <w:rPr>
                <w:rFonts w:cs="Calibri"/>
                <w:color w:val="000000"/>
                <w:sz w:val="20"/>
                <w:lang w:eastAsia="es-CR"/>
              </w:rPr>
            </w:pPr>
            <w:r w:rsidRPr="004E74A6">
              <w:rPr>
                <w:rFonts w:cs="Calibri"/>
                <w:color w:val="000000"/>
                <w:sz w:val="20"/>
              </w:rPr>
              <w:t>1</w:t>
            </w:r>
          </w:p>
        </w:tc>
        <w:tc>
          <w:tcPr>
            <w:tcW w:w="690" w:type="pct"/>
            <w:tcBorders>
              <w:left w:val="single" w:sz="4" w:space="0" w:color="auto"/>
            </w:tcBorders>
            <w:shd w:val="clear" w:color="auto" w:fill="auto"/>
            <w:noWrap/>
            <w:vAlign w:val="bottom"/>
            <w:hideMark/>
          </w:tcPr>
          <w:p w14:paraId="34A1893D" w14:textId="3245D6CD" w:rsidR="002716B2" w:rsidRPr="004E74A6" w:rsidRDefault="002716B2" w:rsidP="00CE62C1">
            <w:pPr>
              <w:spacing w:line="276" w:lineRule="auto"/>
              <w:jc w:val="center"/>
              <w:rPr>
                <w:rFonts w:cs="Calibri"/>
                <w:color w:val="000000"/>
                <w:sz w:val="20"/>
                <w:lang w:eastAsia="es-CR"/>
              </w:rPr>
            </w:pPr>
            <w:r w:rsidRPr="004E74A6">
              <w:rPr>
                <w:rFonts w:cs="Calibri"/>
                <w:color w:val="000000"/>
                <w:sz w:val="20"/>
              </w:rPr>
              <w:t>3,3</w:t>
            </w:r>
          </w:p>
        </w:tc>
      </w:tr>
      <w:tr w:rsidR="002716B2" w:rsidRPr="004E74A6" w14:paraId="70E91DF5" w14:textId="77777777" w:rsidTr="002716B2">
        <w:trPr>
          <w:trHeight w:val="288"/>
          <w:jc w:val="center"/>
        </w:trPr>
        <w:tc>
          <w:tcPr>
            <w:tcW w:w="2761" w:type="pct"/>
            <w:tcBorders>
              <w:right w:val="single" w:sz="4" w:space="0" w:color="auto"/>
            </w:tcBorders>
            <w:shd w:val="clear" w:color="auto" w:fill="auto"/>
            <w:noWrap/>
            <w:vAlign w:val="bottom"/>
            <w:hideMark/>
          </w:tcPr>
          <w:p w14:paraId="7DD7F549" w14:textId="77777777" w:rsidR="002716B2" w:rsidRPr="004E74A6" w:rsidRDefault="002716B2" w:rsidP="00CE62C1">
            <w:pPr>
              <w:spacing w:line="276" w:lineRule="auto"/>
              <w:jc w:val="left"/>
              <w:rPr>
                <w:rFonts w:cs="Calibri"/>
                <w:color w:val="000000"/>
                <w:sz w:val="20"/>
                <w:lang w:eastAsia="es-CR"/>
              </w:rPr>
            </w:pPr>
            <w:r w:rsidRPr="004E74A6">
              <w:rPr>
                <w:rFonts w:cs="Calibri"/>
                <w:color w:val="000000"/>
                <w:sz w:val="20"/>
                <w:lang w:eastAsia="es-CR"/>
              </w:rPr>
              <w:t>Legajo Ejec. Sentencia Acuerdos En Conciliación</w:t>
            </w:r>
          </w:p>
        </w:tc>
        <w:tc>
          <w:tcPr>
            <w:tcW w:w="516" w:type="pct"/>
            <w:tcBorders>
              <w:left w:val="single" w:sz="4" w:space="0" w:color="auto"/>
              <w:right w:val="single" w:sz="4" w:space="0" w:color="auto"/>
            </w:tcBorders>
            <w:shd w:val="clear" w:color="auto" w:fill="auto"/>
            <w:noWrap/>
            <w:vAlign w:val="bottom"/>
            <w:hideMark/>
          </w:tcPr>
          <w:p w14:paraId="60E9F398" w14:textId="1F2D4F9F" w:rsidR="002716B2" w:rsidRPr="004E74A6" w:rsidRDefault="002716B2" w:rsidP="00CE62C1">
            <w:pPr>
              <w:spacing w:line="276" w:lineRule="auto"/>
              <w:jc w:val="center"/>
              <w:rPr>
                <w:rFonts w:cs="Calibri"/>
                <w:color w:val="000000"/>
                <w:sz w:val="20"/>
                <w:lang w:eastAsia="es-CR"/>
              </w:rPr>
            </w:pPr>
            <w:r w:rsidRPr="004E74A6">
              <w:rPr>
                <w:rFonts w:cs="Calibri"/>
                <w:color w:val="000000"/>
                <w:sz w:val="20"/>
              </w:rPr>
              <w:t>1</w:t>
            </w:r>
          </w:p>
        </w:tc>
        <w:tc>
          <w:tcPr>
            <w:tcW w:w="516" w:type="pct"/>
            <w:tcBorders>
              <w:left w:val="single" w:sz="4" w:space="0" w:color="auto"/>
              <w:right w:val="single" w:sz="4" w:space="0" w:color="auto"/>
            </w:tcBorders>
            <w:shd w:val="clear" w:color="auto" w:fill="auto"/>
            <w:noWrap/>
            <w:vAlign w:val="bottom"/>
            <w:hideMark/>
          </w:tcPr>
          <w:p w14:paraId="0A32F4A6" w14:textId="28545104" w:rsidR="002716B2" w:rsidRPr="004E74A6" w:rsidRDefault="002716B2" w:rsidP="00CE62C1">
            <w:pPr>
              <w:spacing w:line="276" w:lineRule="auto"/>
              <w:jc w:val="center"/>
              <w:rPr>
                <w:rFonts w:cs="Calibri"/>
                <w:color w:val="000000"/>
                <w:sz w:val="20"/>
                <w:lang w:eastAsia="es-CR"/>
              </w:rPr>
            </w:pPr>
            <w:r w:rsidRPr="004E74A6">
              <w:rPr>
                <w:rFonts w:cs="Calibri"/>
                <w:color w:val="000000"/>
                <w:sz w:val="20"/>
              </w:rPr>
              <w:t>0</w:t>
            </w:r>
          </w:p>
        </w:tc>
        <w:tc>
          <w:tcPr>
            <w:tcW w:w="516" w:type="pct"/>
            <w:tcBorders>
              <w:left w:val="single" w:sz="4" w:space="0" w:color="auto"/>
              <w:right w:val="single" w:sz="4" w:space="0" w:color="auto"/>
            </w:tcBorders>
            <w:shd w:val="clear" w:color="auto" w:fill="auto"/>
            <w:noWrap/>
            <w:vAlign w:val="bottom"/>
            <w:hideMark/>
          </w:tcPr>
          <w:p w14:paraId="5FE04365" w14:textId="45B4E084" w:rsidR="002716B2" w:rsidRPr="004E74A6" w:rsidRDefault="002716B2" w:rsidP="00CE62C1">
            <w:pPr>
              <w:spacing w:line="276" w:lineRule="auto"/>
              <w:jc w:val="center"/>
              <w:rPr>
                <w:sz w:val="20"/>
                <w:lang w:eastAsia="es-CR"/>
              </w:rPr>
            </w:pPr>
            <w:r w:rsidRPr="004E74A6">
              <w:rPr>
                <w:rFonts w:cs="Calibri"/>
                <w:color w:val="000000"/>
                <w:sz w:val="20"/>
              </w:rPr>
              <w:t>0</w:t>
            </w:r>
          </w:p>
        </w:tc>
        <w:tc>
          <w:tcPr>
            <w:tcW w:w="690" w:type="pct"/>
            <w:tcBorders>
              <w:left w:val="single" w:sz="4" w:space="0" w:color="auto"/>
            </w:tcBorders>
            <w:shd w:val="clear" w:color="auto" w:fill="auto"/>
            <w:noWrap/>
            <w:vAlign w:val="bottom"/>
            <w:hideMark/>
          </w:tcPr>
          <w:p w14:paraId="39865149" w14:textId="3438446F" w:rsidR="002716B2" w:rsidRPr="004E74A6" w:rsidRDefault="002716B2" w:rsidP="00CE62C1">
            <w:pPr>
              <w:spacing w:line="276" w:lineRule="auto"/>
              <w:jc w:val="center"/>
              <w:rPr>
                <w:rFonts w:cs="Calibri"/>
                <w:color w:val="000000"/>
                <w:sz w:val="20"/>
                <w:lang w:eastAsia="es-CR"/>
              </w:rPr>
            </w:pPr>
            <w:r w:rsidRPr="004E74A6">
              <w:rPr>
                <w:rFonts w:cs="Calibri"/>
                <w:color w:val="000000"/>
                <w:sz w:val="20"/>
              </w:rPr>
              <w:t>0</w:t>
            </w:r>
          </w:p>
        </w:tc>
      </w:tr>
      <w:tr w:rsidR="002716B2" w:rsidRPr="004E74A6" w14:paraId="4C86933D" w14:textId="77777777" w:rsidTr="002716B2">
        <w:trPr>
          <w:trHeight w:val="288"/>
          <w:jc w:val="center"/>
        </w:trPr>
        <w:tc>
          <w:tcPr>
            <w:tcW w:w="2761" w:type="pct"/>
            <w:tcBorders>
              <w:right w:val="single" w:sz="4" w:space="0" w:color="auto"/>
            </w:tcBorders>
            <w:shd w:val="clear" w:color="auto" w:fill="auto"/>
            <w:noWrap/>
            <w:vAlign w:val="bottom"/>
            <w:hideMark/>
          </w:tcPr>
          <w:p w14:paraId="3A2F21F0" w14:textId="77777777" w:rsidR="002716B2" w:rsidRPr="004E74A6" w:rsidRDefault="002716B2" w:rsidP="00CE62C1">
            <w:pPr>
              <w:spacing w:line="276" w:lineRule="auto"/>
              <w:jc w:val="left"/>
              <w:rPr>
                <w:rFonts w:cs="Calibri"/>
                <w:color w:val="000000"/>
                <w:sz w:val="20"/>
                <w:lang w:eastAsia="es-CR"/>
              </w:rPr>
            </w:pPr>
            <w:r w:rsidRPr="004E74A6">
              <w:rPr>
                <w:rFonts w:cs="Calibri"/>
                <w:color w:val="000000"/>
                <w:sz w:val="20"/>
                <w:lang w:eastAsia="es-CR"/>
              </w:rPr>
              <w:t>Principal</w:t>
            </w:r>
          </w:p>
        </w:tc>
        <w:tc>
          <w:tcPr>
            <w:tcW w:w="516" w:type="pct"/>
            <w:tcBorders>
              <w:left w:val="single" w:sz="4" w:space="0" w:color="auto"/>
              <w:right w:val="single" w:sz="4" w:space="0" w:color="auto"/>
            </w:tcBorders>
            <w:shd w:val="clear" w:color="auto" w:fill="auto"/>
            <w:noWrap/>
            <w:vAlign w:val="bottom"/>
            <w:hideMark/>
          </w:tcPr>
          <w:p w14:paraId="3D35B740" w14:textId="1A001F0A" w:rsidR="002716B2" w:rsidRPr="004E74A6" w:rsidRDefault="002716B2" w:rsidP="00CE62C1">
            <w:pPr>
              <w:spacing w:line="276" w:lineRule="auto"/>
              <w:jc w:val="center"/>
              <w:rPr>
                <w:rFonts w:cs="Calibri"/>
                <w:color w:val="000000"/>
                <w:sz w:val="20"/>
                <w:lang w:eastAsia="es-CR"/>
              </w:rPr>
            </w:pPr>
            <w:r w:rsidRPr="004E74A6">
              <w:rPr>
                <w:rFonts w:cs="Calibri"/>
                <w:color w:val="000000"/>
                <w:sz w:val="20"/>
              </w:rPr>
              <w:t>107</w:t>
            </w:r>
          </w:p>
        </w:tc>
        <w:tc>
          <w:tcPr>
            <w:tcW w:w="516" w:type="pct"/>
            <w:tcBorders>
              <w:left w:val="single" w:sz="4" w:space="0" w:color="auto"/>
              <w:right w:val="single" w:sz="4" w:space="0" w:color="auto"/>
            </w:tcBorders>
            <w:shd w:val="clear" w:color="auto" w:fill="auto"/>
            <w:noWrap/>
            <w:vAlign w:val="bottom"/>
            <w:hideMark/>
          </w:tcPr>
          <w:p w14:paraId="50C3DB87" w14:textId="2CF4DFC7" w:rsidR="002716B2" w:rsidRPr="004E74A6" w:rsidRDefault="002716B2" w:rsidP="00CE62C1">
            <w:pPr>
              <w:spacing w:line="276" w:lineRule="auto"/>
              <w:jc w:val="center"/>
              <w:rPr>
                <w:rFonts w:cs="Calibri"/>
                <w:color w:val="000000"/>
                <w:sz w:val="20"/>
                <w:lang w:eastAsia="es-CR"/>
              </w:rPr>
            </w:pPr>
            <w:r w:rsidRPr="004E74A6">
              <w:rPr>
                <w:rFonts w:cs="Calibri"/>
                <w:color w:val="000000"/>
                <w:sz w:val="20"/>
              </w:rPr>
              <w:t>120</w:t>
            </w:r>
          </w:p>
        </w:tc>
        <w:tc>
          <w:tcPr>
            <w:tcW w:w="516" w:type="pct"/>
            <w:tcBorders>
              <w:left w:val="single" w:sz="4" w:space="0" w:color="auto"/>
              <w:right w:val="single" w:sz="4" w:space="0" w:color="auto"/>
            </w:tcBorders>
            <w:shd w:val="clear" w:color="auto" w:fill="auto"/>
            <w:noWrap/>
            <w:vAlign w:val="bottom"/>
            <w:hideMark/>
          </w:tcPr>
          <w:p w14:paraId="04C9BC9D" w14:textId="40CD6D64" w:rsidR="002716B2" w:rsidRPr="004E74A6" w:rsidRDefault="002716B2" w:rsidP="00CE62C1">
            <w:pPr>
              <w:spacing w:line="276" w:lineRule="auto"/>
              <w:jc w:val="center"/>
              <w:rPr>
                <w:rFonts w:cs="Calibri"/>
                <w:color w:val="000000"/>
                <w:sz w:val="20"/>
                <w:lang w:eastAsia="es-CR"/>
              </w:rPr>
            </w:pPr>
            <w:r w:rsidRPr="004E74A6">
              <w:rPr>
                <w:rFonts w:cs="Calibri"/>
                <w:color w:val="000000"/>
                <w:sz w:val="20"/>
              </w:rPr>
              <w:t>118</w:t>
            </w:r>
          </w:p>
        </w:tc>
        <w:tc>
          <w:tcPr>
            <w:tcW w:w="690" w:type="pct"/>
            <w:tcBorders>
              <w:left w:val="single" w:sz="4" w:space="0" w:color="auto"/>
            </w:tcBorders>
            <w:shd w:val="clear" w:color="auto" w:fill="auto"/>
            <w:noWrap/>
            <w:vAlign w:val="bottom"/>
            <w:hideMark/>
          </w:tcPr>
          <w:p w14:paraId="4A557C18" w14:textId="74A90B6D" w:rsidR="002716B2" w:rsidRPr="004E74A6" w:rsidRDefault="002716B2" w:rsidP="00CE62C1">
            <w:pPr>
              <w:spacing w:line="276" w:lineRule="auto"/>
              <w:jc w:val="center"/>
              <w:rPr>
                <w:rFonts w:cs="Calibri"/>
                <w:color w:val="000000"/>
                <w:sz w:val="20"/>
                <w:lang w:eastAsia="es-CR"/>
              </w:rPr>
            </w:pPr>
            <w:r w:rsidRPr="004E74A6">
              <w:rPr>
                <w:rFonts w:cs="Calibri"/>
                <w:color w:val="000000"/>
                <w:sz w:val="20"/>
              </w:rPr>
              <w:t>115,0</w:t>
            </w:r>
          </w:p>
        </w:tc>
      </w:tr>
      <w:tr w:rsidR="002716B2" w:rsidRPr="004E74A6" w14:paraId="52769EB6" w14:textId="77777777" w:rsidTr="002716B2">
        <w:trPr>
          <w:trHeight w:val="288"/>
          <w:jc w:val="center"/>
        </w:trPr>
        <w:tc>
          <w:tcPr>
            <w:tcW w:w="2761" w:type="pct"/>
            <w:tcBorders>
              <w:right w:val="single" w:sz="4" w:space="0" w:color="auto"/>
            </w:tcBorders>
            <w:shd w:val="clear" w:color="auto" w:fill="auto"/>
            <w:noWrap/>
            <w:vAlign w:val="bottom"/>
            <w:hideMark/>
          </w:tcPr>
          <w:p w14:paraId="61CB61ED" w14:textId="77777777" w:rsidR="002716B2" w:rsidRPr="004E74A6" w:rsidRDefault="002716B2" w:rsidP="00CE62C1">
            <w:pPr>
              <w:spacing w:line="276" w:lineRule="auto"/>
              <w:jc w:val="left"/>
              <w:rPr>
                <w:rFonts w:cs="Calibri"/>
                <w:color w:val="000000"/>
                <w:sz w:val="20"/>
                <w:lang w:eastAsia="es-CR"/>
              </w:rPr>
            </w:pPr>
            <w:r w:rsidRPr="004E74A6">
              <w:rPr>
                <w:rFonts w:cs="Calibri"/>
                <w:color w:val="000000"/>
                <w:sz w:val="20"/>
                <w:lang w:eastAsia="es-CR"/>
              </w:rPr>
              <w:t>Tercerías</w:t>
            </w:r>
          </w:p>
        </w:tc>
        <w:tc>
          <w:tcPr>
            <w:tcW w:w="516" w:type="pct"/>
            <w:tcBorders>
              <w:left w:val="single" w:sz="4" w:space="0" w:color="auto"/>
              <w:right w:val="single" w:sz="4" w:space="0" w:color="auto"/>
            </w:tcBorders>
            <w:shd w:val="clear" w:color="auto" w:fill="auto"/>
            <w:noWrap/>
            <w:vAlign w:val="bottom"/>
            <w:hideMark/>
          </w:tcPr>
          <w:p w14:paraId="5278A7F9" w14:textId="6A16508C" w:rsidR="002716B2" w:rsidRPr="004E74A6" w:rsidRDefault="002716B2" w:rsidP="00CE62C1">
            <w:pPr>
              <w:spacing w:line="276" w:lineRule="auto"/>
              <w:jc w:val="center"/>
              <w:rPr>
                <w:rFonts w:cs="Calibri"/>
                <w:color w:val="000000"/>
                <w:sz w:val="20"/>
                <w:lang w:eastAsia="es-CR"/>
              </w:rPr>
            </w:pPr>
            <w:r w:rsidRPr="004E74A6">
              <w:rPr>
                <w:rFonts w:cs="Calibri"/>
                <w:color w:val="000000"/>
                <w:sz w:val="20"/>
              </w:rPr>
              <w:t>1</w:t>
            </w:r>
          </w:p>
        </w:tc>
        <w:tc>
          <w:tcPr>
            <w:tcW w:w="516" w:type="pct"/>
            <w:tcBorders>
              <w:left w:val="single" w:sz="4" w:space="0" w:color="auto"/>
              <w:right w:val="single" w:sz="4" w:space="0" w:color="auto"/>
            </w:tcBorders>
            <w:shd w:val="clear" w:color="auto" w:fill="auto"/>
            <w:noWrap/>
            <w:vAlign w:val="bottom"/>
            <w:hideMark/>
          </w:tcPr>
          <w:p w14:paraId="79D0E45A" w14:textId="751CE8AB" w:rsidR="002716B2" w:rsidRPr="004E74A6" w:rsidRDefault="002716B2" w:rsidP="00CE62C1">
            <w:pPr>
              <w:spacing w:line="276" w:lineRule="auto"/>
              <w:jc w:val="center"/>
              <w:rPr>
                <w:rFonts w:cs="Calibri"/>
                <w:color w:val="000000"/>
                <w:sz w:val="20"/>
                <w:lang w:eastAsia="es-CR"/>
              </w:rPr>
            </w:pPr>
            <w:r w:rsidRPr="004E74A6">
              <w:rPr>
                <w:rFonts w:cs="Calibri"/>
                <w:color w:val="000000"/>
                <w:sz w:val="20"/>
              </w:rPr>
              <w:t>0</w:t>
            </w:r>
          </w:p>
        </w:tc>
        <w:tc>
          <w:tcPr>
            <w:tcW w:w="516" w:type="pct"/>
            <w:tcBorders>
              <w:left w:val="single" w:sz="4" w:space="0" w:color="auto"/>
              <w:right w:val="single" w:sz="4" w:space="0" w:color="auto"/>
            </w:tcBorders>
            <w:shd w:val="clear" w:color="auto" w:fill="auto"/>
            <w:noWrap/>
            <w:vAlign w:val="bottom"/>
            <w:hideMark/>
          </w:tcPr>
          <w:p w14:paraId="5DD55C49" w14:textId="7116D1D8" w:rsidR="002716B2" w:rsidRPr="004E74A6" w:rsidRDefault="002716B2" w:rsidP="00CE62C1">
            <w:pPr>
              <w:spacing w:line="276" w:lineRule="auto"/>
              <w:jc w:val="center"/>
              <w:rPr>
                <w:sz w:val="20"/>
                <w:lang w:eastAsia="es-CR"/>
              </w:rPr>
            </w:pPr>
            <w:r w:rsidRPr="004E74A6">
              <w:rPr>
                <w:rFonts w:cs="Calibri"/>
                <w:color w:val="000000"/>
                <w:sz w:val="20"/>
              </w:rPr>
              <w:t>0</w:t>
            </w:r>
          </w:p>
        </w:tc>
        <w:tc>
          <w:tcPr>
            <w:tcW w:w="690" w:type="pct"/>
            <w:tcBorders>
              <w:left w:val="single" w:sz="4" w:space="0" w:color="auto"/>
            </w:tcBorders>
            <w:shd w:val="clear" w:color="auto" w:fill="auto"/>
            <w:noWrap/>
            <w:vAlign w:val="bottom"/>
            <w:hideMark/>
          </w:tcPr>
          <w:p w14:paraId="5D4245A4" w14:textId="44C205CA" w:rsidR="002716B2" w:rsidRPr="004E74A6" w:rsidRDefault="002716B2" w:rsidP="00CE62C1">
            <w:pPr>
              <w:spacing w:line="276" w:lineRule="auto"/>
              <w:jc w:val="center"/>
              <w:rPr>
                <w:rFonts w:cs="Calibri"/>
                <w:color w:val="000000"/>
                <w:sz w:val="20"/>
                <w:lang w:eastAsia="es-CR"/>
              </w:rPr>
            </w:pPr>
            <w:r w:rsidRPr="004E74A6">
              <w:rPr>
                <w:rFonts w:cs="Calibri"/>
                <w:color w:val="000000"/>
                <w:sz w:val="20"/>
              </w:rPr>
              <w:t>0,3</w:t>
            </w:r>
          </w:p>
        </w:tc>
      </w:tr>
      <w:tr w:rsidR="002716B2" w:rsidRPr="004E74A6" w14:paraId="763CA0D0" w14:textId="77777777" w:rsidTr="002716B2">
        <w:trPr>
          <w:trHeight w:val="288"/>
          <w:jc w:val="center"/>
        </w:trPr>
        <w:tc>
          <w:tcPr>
            <w:tcW w:w="2761" w:type="pct"/>
            <w:tcBorders>
              <w:bottom w:val="single" w:sz="4" w:space="0" w:color="auto"/>
              <w:right w:val="single" w:sz="4" w:space="0" w:color="auto"/>
            </w:tcBorders>
            <w:shd w:val="clear" w:color="auto" w:fill="auto"/>
            <w:noWrap/>
            <w:vAlign w:val="bottom"/>
          </w:tcPr>
          <w:p w14:paraId="668FB30A" w14:textId="77777777" w:rsidR="002716B2" w:rsidRPr="004E74A6" w:rsidRDefault="002716B2" w:rsidP="00CE62C1">
            <w:pPr>
              <w:spacing w:line="276" w:lineRule="auto"/>
              <w:jc w:val="left"/>
              <w:rPr>
                <w:rFonts w:cs="Calibri"/>
                <w:color w:val="000000"/>
                <w:sz w:val="20"/>
                <w:lang w:eastAsia="es-CR"/>
              </w:rPr>
            </w:pPr>
          </w:p>
        </w:tc>
        <w:tc>
          <w:tcPr>
            <w:tcW w:w="516" w:type="pct"/>
            <w:tcBorders>
              <w:left w:val="single" w:sz="4" w:space="0" w:color="auto"/>
              <w:bottom w:val="single" w:sz="4" w:space="0" w:color="auto"/>
              <w:right w:val="single" w:sz="4" w:space="0" w:color="auto"/>
            </w:tcBorders>
            <w:shd w:val="clear" w:color="auto" w:fill="auto"/>
            <w:noWrap/>
            <w:vAlign w:val="center"/>
          </w:tcPr>
          <w:p w14:paraId="31D47095" w14:textId="77777777" w:rsidR="002716B2" w:rsidRPr="004E74A6" w:rsidRDefault="002716B2" w:rsidP="00CE62C1">
            <w:pPr>
              <w:spacing w:line="276" w:lineRule="auto"/>
              <w:jc w:val="center"/>
              <w:rPr>
                <w:rFonts w:cs="Calibri"/>
                <w:color w:val="000000"/>
                <w:sz w:val="20"/>
                <w:lang w:eastAsia="es-CR"/>
              </w:rPr>
            </w:pPr>
          </w:p>
        </w:tc>
        <w:tc>
          <w:tcPr>
            <w:tcW w:w="516" w:type="pct"/>
            <w:tcBorders>
              <w:left w:val="single" w:sz="4" w:space="0" w:color="auto"/>
              <w:bottom w:val="single" w:sz="4" w:space="0" w:color="auto"/>
              <w:right w:val="single" w:sz="4" w:space="0" w:color="auto"/>
            </w:tcBorders>
            <w:shd w:val="clear" w:color="auto" w:fill="auto"/>
            <w:noWrap/>
            <w:vAlign w:val="center"/>
          </w:tcPr>
          <w:p w14:paraId="3DEFD7D3" w14:textId="77777777" w:rsidR="002716B2" w:rsidRPr="004E74A6" w:rsidRDefault="002716B2" w:rsidP="00CE62C1">
            <w:pPr>
              <w:spacing w:line="276" w:lineRule="auto"/>
              <w:jc w:val="center"/>
              <w:rPr>
                <w:rFonts w:cs="Calibri"/>
                <w:color w:val="000000"/>
                <w:sz w:val="20"/>
                <w:lang w:eastAsia="es-CR"/>
              </w:rPr>
            </w:pPr>
          </w:p>
        </w:tc>
        <w:tc>
          <w:tcPr>
            <w:tcW w:w="516" w:type="pct"/>
            <w:tcBorders>
              <w:left w:val="single" w:sz="4" w:space="0" w:color="auto"/>
              <w:bottom w:val="single" w:sz="4" w:space="0" w:color="auto"/>
              <w:right w:val="single" w:sz="4" w:space="0" w:color="auto"/>
            </w:tcBorders>
            <w:shd w:val="clear" w:color="auto" w:fill="auto"/>
            <w:noWrap/>
            <w:vAlign w:val="center"/>
          </w:tcPr>
          <w:p w14:paraId="35378F5F" w14:textId="77777777" w:rsidR="002716B2" w:rsidRPr="004E74A6" w:rsidRDefault="002716B2" w:rsidP="00CE62C1">
            <w:pPr>
              <w:spacing w:line="276" w:lineRule="auto"/>
              <w:jc w:val="center"/>
              <w:rPr>
                <w:rFonts w:cs="Calibri"/>
                <w:color w:val="000000"/>
                <w:sz w:val="20"/>
                <w:lang w:eastAsia="es-CR"/>
              </w:rPr>
            </w:pPr>
          </w:p>
        </w:tc>
        <w:tc>
          <w:tcPr>
            <w:tcW w:w="690" w:type="pct"/>
            <w:tcBorders>
              <w:left w:val="single" w:sz="4" w:space="0" w:color="auto"/>
              <w:bottom w:val="single" w:sz="4" w:space="0" w:color="auto"/>
            </w:tcBorders>
            <w:shd w:val="clear" w:color="auto" w:fill="auto"/>
            <w:noWrap/>
            <w:vAlign w:val="center"/>
          </w:tcPr>
          <w:p w14:paraId="2F84018F" w14:textId="77777777" w:rsidR="002716B2" w:rsidRPr="004E74A6" w:rsidRDefault="002716B2" w:rsidP="00CE62C1">
            <w:pPr>
              <w:spacing w:line="276" w:lineRule="auto"/>
              <w:jc w:val="center"/>
              <w:rPr>
                <w:rFonts w:cs="Calibri"/>
                <w:color w:val="000000"/>
                <w:sz w:val="20"/>
                <w:lang w:eastAsia="es-CR"/>
              </w:rPr>
            </w:pPr>
          </w:p>
        </w:tc>
      </w:tr>
    </w:tbl>
    <w:p w14:paraId="1C88592E" w14:textId="771A3169" w:rsidR="003E4755" w:rsidRPr="004E74A6" w:rsidRDefault="003E4755" w:rsidP="00832773">
      <w:pPr>
        <w:spacing w:line="276" w:lineRule="auto"/>
        <w:ind w:left="340" w:right="340"/>
        <w:rPr>
          <w:rFonts w:cs="Calibri"/>
          <w:i/>
          <w:iCs/>
          <w:color w:val="000000"/>
          <w:sz w:val="20"/>
          <w:lang w:eastAsia="es-CR"/>
        </w:rPr>
      </w:pPr>
      <w:r w:rsidRPr="004E74A6">
        <w:rPr>
          <w:rFonts w:cs="Calibri"/>
          <w:b/>
          <w:bCs/>
          <w:i/>
          <w:iCs/>
          <w:color w:val="000000"/>
          <w:sz w:val="20"/>
          <w:lang w:eastAsia="es-CR"/>
        </w:rPr>
        <w:t>Fuente</w:t>
      </w:r>
      <w:r w:rsidRPr="004E74A6">
        <w:rPr>
          <w:rFonts w:cs="Calibri"/>
          <w:i/>
          <w:iCs/>
          <w:color w:val="000000"/>
          <w:sz w:val="20"/>
          <w:lang w:eastAsia="es-CR"/>
        </w:rPr>
        <w:t>: Subproceso de Modernización Institucional con datos extraídos del sistema SIGMA, Dirección de Planificación.</w:t>
      </w:r>
    </w:p>
    <w:p w14:paraId="459852F2" w14:textId="7D0E2697" w:rsidR="004F0BF3" w:rsidRPr="004E74A6" w:rsidRDefault="004F0BF3" w:rsidP="00832773">
      <w:pPr>
        <w:spacing w:line="276" w:lineRule="auto"/>
        <w:rPr>
          <w:rFonts w:cs="Calibri"/>
          <w:i/>
          <w:iCs/>
          <w:color w:val="000000"/>
          <w:sz w:val="20"/>
          <w:lang w:eastAsia="es-CR"/>
        </w:rPr>
      </w:pPr>
    </w:p>
    <w:p w14:paraId="013D2559" w14:textId="1BF54370" w:rsidR="008647ED" w:rsidRPr="004E74A6" w:rsidRDefault="002716B2" w:rsidP="00CE62C1">
      <w:pPr>
        <w:spacing w:after="160" w:line="276" w:lineRule="auto"/>
        <w:rPr>
          <w:rFonts w:cs="Calibri"/>
          <w:color w:val="000000"/>
          <w:szCs w:val="24"/>
          <w:lang w:eastAsia="es-CR"/>
        </w:rPr>
      </w:pPr>
      <w:r w:rsidRPr="004E74A6">
        <w:rPr>
          <w:rFonts w:cs="Calibri"/>
          <w:color w:val="000000"/>
          <w:szCs w:val="24"/>
          <w:lang w:eastAsia="es-CR"/>
        </w:rPr>
        <w:lastRenderedPageBreak/>
        <w:t xml:space="preserve">Se puede observar aún más a detalle para determinar la clase de asuntos principales, que tal y como lo refleja la siguiente tabla, </w:t>
      </w:r>
      <w:r w:rsidR="008647ED" w:rsidRPr="004E74A6">
        <w:rPr>
          <w:rFonts w:cs="Calibri"/>
          <w:color w:val="000000"/>
          <w:szCs w:val="24"/>
          <w:lang w:eastAsia="es-CR"/>
        </w:rPr>
        <w:t>el 91% está compuesto por los asuntos ordinarios, seguido de un 4% de medidas cautelares, siendo lo ordinario lo dominante a través de los años.</w:t>
      </w:r>
    </w:p>
    <w:p w14:paraId="15A48662" w14:textId="158AD6AC" w:rsidR="004F0BF3" w:rsidRPr="00832773" w:rsidRDefault="004F0BF3" w:rsidP="00F0204A">
      <w:pPr>
        <w:pStyle w:val="Descripcin"/>
        <w:keepNext/>
        <w:spacing w:line="276" w:lineRule="auto"/>
        <w:jc w:val="center"/>
        <w:rPr>
          <w:rFonts w:ascii="Book Antiqua" w:hAnsi="Book Antiqua"/>
          <w:i/>
          <w:iCs/>
          <w:sz w:val="20"/>
          <w:szCs w:val="16"/>
          <w:lang w:val="es-CR"/>
        </w:rPr>
      </w:pPr>
      <w:r w:rsidRPr="00832773">
        <w:rPr>
          <w:rFonts w:ascii="Book Antiqua" w:hAnsi="Book Antiqua"/>
          <w:i/>
          <w:iCs/>
          <w:sz w:val="20"/>
          <w:szCs w:val="16"/>
          <w:lang w:val="es-CR"/>
        </w:rPr>
        <w:t xml:space="preserve">Tabla </w:t>
      </w:r>
      <w:r w:rsidRPr="00832773">
        <w:rPr>
          <w:rFonts w:ascii="Book Antiqua" w:hAnsi="Book Antiqua"/>
          <w:i/>
          <w:iCs/>
          <w:sz w:val="20"/>
          <w:szCs w:val="16"/>
          <w:lang w:val="es-CR"/>
        </w:rPr>
        <w:fldChar w:fldCharType="begin"/>
      </w:r>
      <w:r w:rsidRPr="00832773">
        <w:rPr>
          <w:rFonts w:ascii="Book Antiqua" w:hAnsi="Book Antiqua"/>
          <w:i/>
          <w:iCs/>
          <w:sz w:val="20"/>
          <w:szCs w:val="16"/>
          <w:lang w:val="es-CR"/>
        </w:rPr>
        <w:instrText xml:space="preserve"> SEQ Tabla \* ARABIC </w:instrText>
      </w:r>
      <w:r w:rsidRPr="00832773">
        <w:rPr>
          <w:rFonts w:ascii="Book Antiqua" w:hAnsi="Book Antiqua"/>
          <w:i/>
          <w:iCs/>
          <w:sz w:val="20"/>
          <w:szCs w:val="16"/>
          <w:lang w:val="es-CR"/>
        </w:rPr>
        <w:fldChar w:fldCharType="separate"/>
      </w:r>
      <w:r w:rsidR="00374B51">
        <w:rPr>
          <w:rFonts w:ascii="Book Antiqua" w:hAnsi="Book Antiqua"/>
          <w:i/>
          <w:iCs/>
          <w:noProof/>
          <w:sz w:val="20"/>
          <w:szCs w:val="16"/>
          <w:lang w:val="es-CR"/>
        </w:rPr>
        <w:t>42</w:t>
      </w:r>
      <w:r w:rsidRPr="00832773">
        <w:rPr>
          <w:rFonts w:ascii="Book Antiqua" w:hAnsi="Book Antiqua"/>
          <w:i/>
          <w:iCs/>
          <w:sz w:val="20"/>
          <w:szCs w:val="16"/>
          <w:lang w:val="es-CR"/>
        </w:rPr>
        <w:fldChar w:fldCharType="end"/>
      </w:r>
      <w:r w:rsidRPr="00832773">
        <w:rPr>
          <w:rFonts w:ascii="Book Antiqua" w:hAnsi="Book Antiqua"/>
          <w:i/>
          <w:iCs/>
          <w:sz w:val="20"/>
          <w:szCs w:val="16"/>
          <w:lang w:val="es-CR"/>
        </w:rPr>
        <w:t xml:space="preserve"> Cantidad de principales según clase de asuntos del 2019 al 2021 para el Tribunal Colegiado de Primera Instancia Civil Primer Circuito Judicial de Zona Sur, Pérez Zeledón</w:t>
      </w:r>
    </w:p>
    <w:tbl>
      <w:tblPr>
        <w:tblW w:w="3633" w:type="pct"/>
        <w:jc w:val="center"/>
        <w:tblCellMar>
          <w:left w:w="70" w:type="dxa"/>
          <w:right w:w="70" w:type="dxa"/>
        </w:tblCellMar>
        <w:tblLook w:val="04A0" w:firstRow="1" w:lastRow="0" w:firstColumn="1" w:lastColumn="0" w:noHBand="0" w:noVBand="1"/>
      </w:tblPr>
      <w:tblGrid>
        <w:gridCol w:w="2798"/>
        <w:gridCol w:w="838"/>
        <w:gridCol w:w="836"/>
        <w:gridCol w:w="836"/>
        <w:gridCol w:w="1115"/>
      </w:tblGrid>
      <w:tr w:rsidR="004F0BF3" w:rsidRPr="004E74A6" w14:paraId="69C03636" w14:textId="77777777" w:rsidTr="00EB79A1">
        <w:trPr>
          <w:trHeight w:val="454"/>
          <w:tblHeader/>
          <w:jc w:val="center"/>
        </w:trPr>
        <w:tc>
          <w:tcPr>
            <w:tcW w:w="2178" w:type="pct"/>
            <w:tcBorders>
              <w:top w:val="single" w:sz="4" w:space="0" w:color="auto"/>
              <w:left w:val="nil"/>
              <w:bottom w:val="single" w:sz="4" w:space="0" w:color="auto"/>
              <w:right w:val="single" w:sz="4" w:space="0" w:color="auto"/>
            </w:tcBorders>
            <w:shd w:val="clear" w:color="auto" w:fill="auto"/>
            <w:noWrap/>
            <w:vAlign w:val="center"/>
            <w:hideMark/>
          </w:tcPr>
          <w:p w14:paraId="0B5DF0F3"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Principal</w:t>
            </w:r>
          </w:p>
        </w:tc>
        <w:tc>
          <w:tcPr>
            <w:tcW w:w="65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DF15DAD"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2019</w:t>
            </w:r>
          </w:p>
        </w:tc>
        <w:tc>
          <w:tcPr>
            <w:tcW w:w="65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FA38B4E"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2020</w:t>
            </w:r>
          </w:p>
        </w:tc>
        <w:tc>
          <w:tcPr>
            <w:tcW w:w="65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023FC2C"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2021</w:t>
            </w:r>
          </w:p>
        </w:tc>
        <w:tc>
          <w:tcPr>
            <w:tcW w:w="868" w:type="pct"/>
            <w:tcBorders>
              <w:top w:val="single" w:sz="4" w:space="0" w:color="auto"/>
              <w:left w:val="single" w:sz="4" w:space="0" w:color="auto"/>
              <w:bottom w:val="single" w:sz="4" w:space="0" w:color="auto"/>
              <w:right w:val="nil"/>
            </w:tcBorders>
            <w:shd w:val="clear" w:color="auto" w:fill="auto"/>
            <w:noWrap/>
            <w:vAlign w:val="center"/>
          </w:tcPr>
          <w:p w14:paraId="5F8E1B75" w14:textId="6DFBE0E0" w:rsidR="008647ED" w:rsidRPr="004E74A6" w:rsidRDefault="004F0BF3" w:rsidP="00CE62C1">
            <w:pPr>
              <w:spacing w:line="276" w:lineRule="auto"/>
              <w:jc w:val="center"/>
              <w:rPr>
                <w:rFonts w:cs="Calibri"/>
                <w:color w:val="000000"/>
                <w:sz w:val="20"/>
                <w:lang w:eastAsia="es-CR"/>
              </w:rPr>
            </w:pPr>
            <w:r w:rsidRPr="004E74A6">
              <w:rPr>
                <w:rFonts w:cs="Calibri"/>
                <w:color w:val="000000"/>
                <w:sz w:val="20"/>
                <w:lang w:eastAsia="es-CR"/>
              </w:rPr>
              <w:t>Promedio</w:t>
            </w:r>
          </w:p>
        </w:tc>
      </w:tr>
      <w:tr w:rsidR="00EB79A1" w:rsidRPr="004E74A6" w14:paraId="6CD07EB5" w14:textId="77777777" w:rsidTr="00EB79A1">
        <w:trPr>
          <w:trHeight w:val="288"/>
          <w:jc w:val="center"/>
        </w:trPr>
        <w:tc>
          <w:tcPr>
            <w:tcW w:w="2178" w:type="pct"/>
            <w:tcBorders>
              <w:top w:val="nil"/>
              <w:left w:val="nil"/>
              <w:bottom w:val="nil"/>
              <w:right w:val="single" w:sz="4" w:space="0" w:color="auto"/>
            </w:tcBorders>
            <w:shd w:val="clear" w:color="auto" w:fill="auto"/>
            <w:noWrap/>
            <w:vAlign w:val="center"/>
          </w:tcPr>
          <w:p w14:paraId="28E949A1" w14:textId="77777777" w:rsidR="00EB79A1" w:rsidRPr="004E74A6" w:rsidRDefault="00EB79A1" w:rsidP="00CE62C1">
            <w:pPr>
              <w:spacing w:line="276" w:lineRule="auto"/>
              <w:jc w:val="center"/>
              <w:rPr>
                <w:rFonts w:cs="Calibri"/>
                <w:color w:val="000000"/>
                <w:sz w:val="20"/>
                <w:lang w:eastAsia="es-CR"/>
              </w:rPr>
            </w:pPr>
            <w:r w:rsidRPr="004E74A6">
              <w:rPr>
                <w:rFonts w:cs="Calibri"/>
                <w:color w:val="000000"/>
                <w:sz w:val="20"/>
                <w:lang w:eastAsia="es-CR"/>
              </w:rPr>
              <w:t>Total</w:t>
            </w:r>
          </w:p>
        </w:tc>
        <w:tc>
          <w:tcPr>
            <w:tcW w:w="652" w:type="pct"/>
            <w:tcBorders>
              <w:top w:val="nil"/>
              <w:left w:val="single" w:sz="4" w:space="0" w:color="auto"/>
              <w:bottom w:val="nil"/>
              <w:right w:val="single" w:sz="4" w:space="0" w:color="auto"/>
            </w:tcBorders>
            <w:shd w:val="clear" w:color="auto" w:fill="auto"/>
            <w:noWrap/>
            <w:vAlign w:val="bottom"/>
          </w:tcPr>
          <w:p w14:paraId="18BA65A1" w14:textId="536D81C1" w:rsidR="00EB79A1" w:rsidRPr="004E74A6" w:rsidRDefault="00EB79A1" w:rsidP="00CE62C1">
            <w:pPr>
              <w:spacing w:line="276" w:lineRule="auto"/>
              <w:jc w:val="center"/>
              <w:rPr>
                <w:sz w:val="20"/>
                <w:lang w:eastAsia="es-CR"/>
              </w:rPr>
            </w:pPr>
            <w:r w:rsidRPr="004E74A6">
              <w:rPr>
                <w:rFonts w:cs="Calibri"/>
                <w:color w:val="000000"/>
                <w:sz w:val="20"/>
              </w:rPr>
              <w:t>107</w:t>
            </w:r>
          </w:p>
        </w:tc>
        <w:tc>
          <w:tcPr>
            <w:tcW w:w="651" w:type="pct"/>
            <w:tcBorders>
              <w:top w:val="nil"/>
              <w:left w:val="single" w:sz="4" w:space="0" w:color="auto"/>
              <w:bottom w:val="nil"/>
              <w:right w:val="single" w:sz="4" w:space="0" w:color="auto"/>
            </w:tcBorders>
            <w:shd w:val="clear" w:color="auto" w:fill="auto"/>
            <w:noWrap/>
            <w:vAlign w:val="bottom"/>
          </w:tcPr>
          <w:p w14:paraId="41D9978C" w14:textId="46D8A509" w:rsidR="00EB79A1" w:rsidRPr="004E74A6" w:rsidRDefault="00EB79A1" w:rsidP="00CE62C1">
            <w:pPr>
              <w:spacing w:line="276" w:lineRule="auto"/>
              <w:jc w:val="center"/>
              <w:rPr>
                <w:rFonts w:cs="Calibri"/>
                <w:color w:val="000000"/>
                <w:sz w:val="20"/>
                <w:lang w:eastAsia="es-CR"/>
              </w:rPr>
            </w:pPr>
            <w:r w:rsidRPr="004E74A6">
              <w:rPr>
                <w:rFonts w:cs="Calibri"/>
                <w:color w:val="000000"/>
                <w:sz w:val="20"/>
              </w:rPr>
              <w:t>120</w:t>
            </w:r>
          </w:p>
        </w:tc>
        <w:tc>
          <w:tcPr>
            <w:tcW w:w="651" w:type="pct"/>
            <w:tcBorders>
              <w:top w:val="nil"/>
              <w:left w:val="single" w:sz="4" w:space="0" w:color="auto"/>
              <w:bottom w:val="nil"/>
              <w:right w:val="single" w:sz="4" w:space="0" w:color="auto"/>
            </w:tcBorders>
            <w:shd w:val="clear" w:color="auto" w:fill="auto"/>
            <w:noWrap/>
            <w:vAlign w:val="bottom"/>
          </w:tcPr>
          <w:p w14:paraId="5397A954" w14:textId="35B66EDD" w:rsidR="00EB79A1" w:rsidRPr="004E74A6" w:rsidRDefault="00EB79A1" w:rsidP="00CE62C1">
            <w:pPr>
              <w:spacing w:line="276" w:lineRule="auto"/>
              <w:jc w:val="center"/>
              <w:rPr>
                <w:rFonts w:cs="Calibri"/>
                <w:color w:val="000000"/>
                <w:sz w:val="20"/>
                <w:lang w:eastAsia="es-CR"/>
              </w:rPr>
            </w:pPr>
            <w:r w:rsidRPr="004E74A6">
              <w:rPr>
                <w:rFonts w:cs="Calibri"/>
                <w:color w:val="000000"/>
                <w:sz w:val="20"/>
              </w:rPr>
              <w:t>118</w:t>
            </w:r>
          </w:p>
        </w:tc>
        <w:tc>
          <w:tcPr>
            <w:tcW w:w="868" w:type="pct"/>
            <w:tcBorders>
              <w:top w:val="nil"/>
              <w:left w:val="single" w:sz="4" w:space="0" w:color="auto"/>
              <w:bottom w:val="nil"/>
              <w:right w:val="nil"/>
            </w:tcBorders>
            <w:shd w:val="clear" w:color="auto" w:fill="auto"/>
            <w:noWrap/>
            <w:vAlign w:val="bottom"/>
          </w:tcPr>
          <w:p w14:paraId="7C47E2B0" w14:textId="3BA81A71" w:rsidR="00EB79A1" w:rsidRPr="004E74A6" w:rsidRDefault="00EB79A1" w:rsidP="00CE62C1">
            <w:pPr>
              <w:spacing w:line="276" w:lineRule="auto"/>
              <w:jc w:val="center"/>
              <w:rPr>
                <w:rFonts w:cs="Calibri"/>
                <w:color w:val="000000"/>
                <w:sz w:val="20"/>
                <w:lang w:eastAsia="es-CR"/>
              </w:rPr>
            </w:pPr>
            <w:r w:rsidRPr="004E74A6">
              <w:rPr>
                <w:rFonts w:cs="Calibri"/>
                <w:color w:val="000000"/>
                <w:sz w:val="20"/>
              </w:rPr>
              <w:t>115</w:t>
            </w:r>
          </w:p>
        </w:tc>
      </w:tr>
      <w:tr w:rsidR="004F0BF3" w:rsidRPr="004E74A6" w14:paraId="2EB5B66D" w14:textId="77777777" w:rsidTr="00EB79A1">
        <w:trPr>
          <w:trHeight w:val="288"/>
          <w:jc w:val="center"/>
        </w:trPr>
        <w:tc>
          <w:tcPr>
            <w:tcW w:w="2178" w:type="pct"/>
            <w:tcBorders>
              <w:top w:val="nil"/>
              <w:left w:val="nil"/>
              <w:bottom w:val="nil"/>
              <w:right w:val="single" w:sz="4" w:space="0" w:color="auto"/>
            </w:tcBorders>
            <w:shd w:val="clear" w:color="auto" w:fill="auto"/>
            <w:noWrap/>
            <w:vAlign w:val="bottom"/>
          </w:tcPr>
          <w:p w14:paraId="1599E0DD" w14:textId="77777777" w:rsidR="004F0BF3" w:rsidRPr="004E74A6" w:rsidRDefault="004F0BF3" w:rsidP="00CE62C1">
            <w:pPr>
              <w:spacing w:line="276" w:lineRule="auto"/>
              <w:ind w:firstLineChars="100" w:firstLine="200"/>
              <w:jc w:val="left"/>
              <w:rPr>
                <w:rFonts w:cs="Calibri"/>
                <w:color w:val="000000"/>
                <w:sz w:val="20"/>
                <w:lang w:eastAsia="es-CR"/>
              </w:rPr>
            </w:pPr>
          </w:p>
        </w:tc>
        <w:tc>
          <w:tcPr>
            <w:tcW w:w="652" w:type="pct"/>
            <w:tcBorders>
              <w:top w:val="nil"/>
              <w:left w:val="single" w:sz="4" w:space="0" w:color="auto"/>
              <w:bottom w:val="nil"/>
              <w:right w:val="single" w:sz="4" w:space="0" w:color="auto"/>
            </w:tcBorders>
            <w:shd w:val="clear" w:color="auto" w:fill="auto"/>
            <w:noWrap/>
            <w:vAlign w:val="center"/>
          </w:tcPr>
          <w:p w14:paraId="4B54428B" w14:textId="77777777" w:rsidR="004F0BF3" w:rsidRPr="004E74A6" w:rsidRDefault="004F0BF3" w:rsidP="00CE62C1">
            <w:pPr>
              <w:spacing w:line="276" w:lineRule="auto"/>
              <w:jc w:val="center"/>
              <w:rPr>
                <w:sz w:val="20"/>
                <w:lang w:eastAsia="es-CR"/>
              </w:rPr>
            </w:pPr>
          </w:p>
        </w:tc>
        <w:tc>
          <w:tcPr>
            <w:tcW w:w="651" w:type="pct"/>
            <w:tcBorders>
              <w:top w:val="nil"/>
              <w:left w:val="single" w:sz="4" w:space="0" w:color="auto"/>
              <w:bottom w:val="nil"/>
              <w:right w:val="single" w:sz="4" w:space="0" w:color="auto"/>
            </w:tcBorders>
            <w:shd w:val="clear" w:color="auto" w:fill="auto"/>
            <w:noWrap/>
            <w:vAlign w:val="center"/>
          </w:tcPr>
          <w:p w14:paraId="7A89BA8A" w14:textId="77777777" w:rsidR="004F0BF3" w:rsidRPr="004E74A6" w:rsidRDefault="004F0BF3" w:rsidP="00CE62C1">
            <w:pPr>
              <w:spacing w:line="276" w:lineRule="auto"/>
              <w:jc w:val="center"/>
              <w:rPr>
                <w:rFonts w:cs="Calibri"/>
                <w:color w:val="000000"/>
                <w:sz w:val="20"/>
                <w:lang w:eastAsia="es-CR"/>
              </w:rPr>
            </w:pPr>
          </w:p>
        </w:tc>
        <w:tc>
          <w:tcPr>
            <w:tcW w:w="651" w:type="pct"/>
            <w:tcBorders>
              <w:top w:val="nil"/>
              <w:left w:val="single" w:sz="4" w:space="0" w:color="auto"/>
              <w:bottom w:val="nil"/>
              <w:right w:val="single" w:sz="4" w:space="0" w:color="auto"/>
            </w:tcBorders>
            <w:shd w:val="clear" w:color="auto" w:fill="auto"/>
            <w:noWrap/>
            <w:vAlign w:val="center"/>
          </w:tcPr>
          <w:p w14:paraId="10C63D7E" w14:textId="77777777" w:rsidR="004F0BF3" w:rsidRPr="004E74A6" w:rsidRDefault="004F0BF3" w:rsidP="00CE62C1">
            <w:pPr>
              <w:spacing w:line="276" w:lineRule="auto"/>
              <w:jc w:val="center"/>
              <w:rPr>
                <w:rFonts w:cs="Calibri"/>
                <w:color w:val="000000"/>
                <w:sz w:val="20"/>
                <w:lang w:eastAsia="es-CR"/>
              </w:rPr>
            </w:pPr>
          </w:p>
        </w:tc>
        <w:tc>
          <w:tcPr>
            <w:tcW w:w="868" w:type="pct"/>
            <w:tcBorders>
              <w:top w:val="nil"/>
              <w:left w:val="single" w:sz="4" w:space="0" w:color="auto"/>
              <w:bottom w:val="nil"/>
              <w:right w:val="nil"/>
            </w:tcBorders>
            <w:shd w:val="clear" w:color="auto" w:fill="auto"/>
            <w:noWrap/>
            <w:vAlign w:val="center"/>
          </w:tcPr>
          <w:p w14:paraId="2031B9E8" w14:textId="77777777" w:rsidR="004F0BF3" w:rsidRPr="004E74A6" w:rsidRDefault="004F0BF3" w:rsidP="00CE62C1">
            <w:pPr>
              <w:spacing w:line="276" w:lineRule="auto"/>
              <w:jc w:val="center"/>
              <w:rPr>
                <w:rFonts w:cs="Calibri"/>
                <w:color w:val="000000"/>
                <w:sz w:val="20"/>
                <w:lang w:eastAsia="es-CR"/>
              </w:rPr>
            </w:pPr>
          </w:p>
        </w:tc>
      </w:tr>
      <w:tr w:rsidR="00EB79A1" w:rsidRPr="004E74A6" w14:paraId="362D5B1E" w14:textId="77777777" w:rsidTr="00EB79A1">
        <w:trPr>
          <w:trHeight w:val="288"/>
          <w:jc w:val="center"/>
        </w:trPr>
        <w:tc>
          <w:tcPr>
            <w:tcW w:w="2178" w:type="pct"/>
            <w:tcBorders>
              <w:top w:val="nil"/>
              <w:left w:val="nil"/>
              <w:bottom w:val="nil"/>
              <w:right w:val="single" w:sz="4" w:space="0" w:color="auto"/>
            </w:tcBorders>
            <w:shd w:val="clear" w:color="auto" w:fill="auto"/>
            <w:noWrap/>
            <w:vAlign w:val="bottom"/>
            <w:hideMark/>
          </w:tcPr>
          <w:p w14:paraId="0C242F78" w14:textId="77777777" w:rsidR="00EB79A1" w:rsidRPr="004E74A6" w:rsidRDefault="00EB79A1" w:rsidP="00CE62C1">
            <w:pPr>
              <w:spacing w:line="276" w:lineRule="auto"/>
              <w:ind w:firstLineChars="100" w:firstLine="200"/>
              <w:jc w:val="left"/>
              <w:rPr>
                <w:rFonts w:cs="Calibri"/>
                <w:color w:val="000000"/>
                <w:sz w:val="20"/>
                <w:lang w:eastAsia="es-CR"/>
              </w:rPr>
            </w:pPr>
            <w:r w:rsidRPr="004E74A6">
              <w:rPr>
                <w:rFonts w:cs="Calibri"/>
                <w:color w:val="000000"/>
                <w:sz w:val="20"/>
                <w:lang w:eastAsia="es-CR"/>
              </w:rPr>
              <w:t>Actividad Preparatoria</w:t>
            </w:r>
          </w:p>
        </w:tc>
        <w:tc>
          <w:tcPr>
            <w:tcW w:w="652" w:type="pct"/>
            <w:tcBorders>
              <w:top w:val="nil"/>
              <w:left w:val="single" w:sz="4" w:space="0" w:color="auto"/>
              <w:bottom w:val="nil"/>
              <w:right w:val="single" w:sz="4" w:space="0" w:color="auto"/>
            </w:tcBorders>
            <w:shd w:val="clear" w:color="auto" w:fill="auto"/>
            <w:noWrap/>
            <w:vAlign w:val="bottom"/>
            <w:hideMark/>
          </w:tcPr>
          <w:p w14:paraId="633DC716" w14:textId="799D649C" w:rsidR="00EB79A1" w:rsidRPr="004E74A6" w:rsidRDefault="00EB79A1" w:rsidP="00CE62C1">
            <w:pPr>
              <w:spacing w:line="276" w:lineRule="auto"/>
              <w:jc w:val="center"/>
              <w:rPr>
                <w:sz w:val="20"/>
                <w:lang w:eastAsia="es-CR"/>
              </w:rPr>
            </w:pPr>
            <w:r w:rsidRPr="004E74A6">
              <w:rPr>
                <w:rFonts w:cs="Calibri"/>
                <w:color w:val="000000"/>
                <w:sz w:val="20"/>
              </w:rPr>
              <w:t>0</w:t>
            </w:r>
          </w:p>
        </w:tc>
        <w:tc>
          <w:tcPr>
            <w:tcW w:w="651" w:type="pct"/>
            <w:tcBorders>
              <w:top w:val="nil"/>
              <w:left w:val="single" w:sz="4" w:space="0" w:color="auto"/>
              <w:bottom w:val="nil"/>
              <w:right w:val="single" w:sz="4" w:space="0" w:color="auto"/>
            </w:tcBorders>
            <w:shd w:val="clear" w:color="auto" w:fill="auto"/>
            <w:noWrap/>
            <w:vAlign w:val="bottom"/>
            <w:hideMark/>
          </w:tcPr>
          <w:p w14:paraId="540B958C" w14:textId="2840B03B" w:rsidR="00EB79A1" w:rsidRPr="004E74A6" w:rsidRDefault="00EB79A1" w:rsidP="00CE62C1">
            <w:pPr>
              <w:spacing w:line="276" w:lineRule="auto"/>
              <w:jc w:val="center"/>
              <w:rPr>
                <w:rFonts w:cs="Calibri"/>
                <w:color w:val="000000"/>
                <w:sz w:val="20"/>
                <w:lang w:eastAsia="es-CR"/>
              </w:rPr>
            </w:pPr>
            <w:r w:rsidRPr="004E74A6">
              <w:rPr>
                <w:rFonts w:cs="Calibri"/>
                <w:color w:val="000000"/>
                <w:sz w:val="20"/>
              </w:rPr>
              <w:t>1</w:t>
            </w:r>
          </w:p>
        </w:tc>
        <w:tc>
          <w:tcPr>
            <w:tcW w:w="651" w:type="pct"/>
            <w:tcBorders>
              <w:top w:val="nil"/>
              <w:left w:val="single" w:sz="4" w:space="0" w:color="auto"/>
              <w:bottom w:val="nil"/>
              <w:right w:val="single" w:sz="4" w:space="0" w:color="auto"/>
            </w:tcBorders>
            <w:shd w:val="clear" w:color="auto" w:fill="auto"/>
            <w:noWrap/>
            <w:vAlign w:val="bottom"/>
            <w:hideMark/>
          </w:tcPr>
          <w:p w14:paraId="5B74EDAE" w14:textId="54B59283" w:rsidR="00EB79A1" w:rsidRPr="004E74A6" w:rsidRDefault="00EB79A1" w:rsidP="00CE62C1">
            <w:pPr>
              <w:spacing w:line="276" w:lineRule="auto"/>
              <w:jc w:val="center"/>
              <w:rPr>
                <w:rFonts w:cs="Calibri"/>
                <w:color w:val="000000"/>
                <w:sz w:val="20"/>
                <w:lang w:eastAsia="es-CR"/>
              </w:rPr>
            </w:pPr>
            <w:r w:rsidRPr="004E74A6">
              <w:rPr>
                <w:rFonts w:cs="Calibri"/>
                <w:color w:val="000000"/>
                <w:sz w:val="20"/>
              </w:rPr>
              <w:t>0</w:t>
            </w:r>
          </w:p>
        </w:tc>
        <w:tc>
          <w:tcPr>
            <w:tcW w:w="868" w:type="pct"/>
            <w:tcBorders>
              <w:top w:val="nil"/>
              <w:left w:val="single" w:sz="4" w:space="0" w:color="auto"/>
              <w:bottom w:val="nil"/>
              <w:right w:val="nil"/>
            </w:tcBorders>
            <w:shd w:val="clear" w:color="auto" w:fill="auto"/>
            <w:noWrap/>
            <w:vAlign w:val="bottom"/>
            <w:hideMark/>
          </w:tcPr>
          <w:p w14:paraId="2FCF138A" w14:textId="458B5E60" w:rsidR="00EB79A1" w:rsidRPr="004E74A6" w:rsidRDefault="00EB79A1" w:rsidP="00CE62C1">
            <w:pPr>
              <w:spacing w:line="276" w:lineRule="auto"/>
              <w:jc w:val="center"/>
              <w:rPr>
                <w:rFonts w:cs="Calibri"/>
                <w:color w:val="000000"/>
                <w:sz w:val="20"/>
                <w:lang w:eastAsia="es-CR"/>
              </w:rPr>
            </w:pPr>
            <w:r w:rsidRPr="004E74A6">
              <w:rPr>
                <w:rFonts w:cs="Calibri"/>
                <w:color w:val="000000"/>
                <w:sz w:val="20"/>
              </w:rPr>
              <w:t>0,3</w:t>
            </w:r>
          </w:p>
        </w:tc>
      </w:tr>
      <w:tr w:rsidR="00EB79A1" w:rsidRPr="004E74A6" w14:paraId="7995AFAB" w14:textId="77777777" w:rsidTr="00EB79A1">
        <w:trPr>
          <w:trHeight w:val="288"/>
          <w:jc w:val="center"/>
        </w:trPr>
        <w:tc>
          <w:tcPr>
            <w:tcW w:w="2178" w:type="pct"/>
            <w:tcBorders>
              <w:top w:val="nil"/>
              <w:left w:val="nil"/>
              <w:bottom w:val="nil"/>
              <w:right w:val="single" w:sz="4" w:space="0" w:color="auto"/>
            </w:tcBorders>
            <w:shd w:val="clear" w:color="auto" w:fill="auto"/>
            <w:noWrap/>
            <w:vAlign w:val="bottom"/>
            <w:hideMark/>
          </w:tcPr>
          <w:p w14:paraId="050D5A67" w14:textId="77777777" w:rsidR="00EB79A1" w:rsidRPr="004E74A6" w:rsidRDefault="00EB79A1" w:rsidP="00CE62C1">
            <w:pPr>
              <w:spacing w:line="276" w:lineRule="auto"/>
              <w:ind w:firstLineChars="100" w:firstLine="200"/>
              <w:jc w:val="left"/>
              <w:rPr>
                <w:rFonts w:cs="Calibri"/>
                <w:color w:val="000000"/>
                <w:sz w:val="20"/>
                <w:lang w:eastAsia="es-CR"/>
              </w:rPr>
            </w:pPr>
            <w:r w:rsidRPr="004E74A6">
              <w:rPr>
                <w:rFonts w:cs="Calibri"/>
                <w:color w:val="000000"/>
                <w:sz w:val="20"/>
                <w:lang w:eastAsia="es-CR"/>
              </w:rPr>
              <w:t>Medida Cautelar</w:t>
            </w:r>
          </w:p>
        </w:tc>
        <w:tc>
          <w:tcPr>
            <w:tcW w:w="652" w:type="pct"/>
            <w:tcBorders>
              <w:top w:val="nil"/>
              <w:left w:val="single" w:sz="4" w:space="0" w:color="auto"/>
              <w:bottom w:val="nil"/>
              <w:right w:val="single" w:sz="4" w:space="0" w:color="auto"/>
            </w:tcBorders>
            <w:shd w:val="clear" w:color="auto" w:fill="auto"/>
            <w:noWrap/>
            <w:vAlign w:val="bottom"/>
            <w:hideMark/>
          </w:tcPr>
          <w:p w14:paraId="6C51E65A" w14:textId="1E7A6728" w:rsidR="00EB79A1" w:rsidRPr="004E74A6" w:rsidRDefault="00EB79A1" w:rsidP="00CE62C1">
            <w:pPr>
              <w:spacing w:line="276" w:lineRule="auto"/>
              <w:jc w:val="center"/>
              <w:rPr>
                <w:rFonts w:cs="Calibri"/>
                <w:color w:val="000000"/>
                <w:sz w:val="20"/>
                <w:lang w:eastAsia="es-CR"/>
              </w:rPr>
            </w:pPr>
            <w:r w:rsidRPr="004E74A6">
              <w:rPr>
                <w:rFonts w:cs="Calibri"/>
                <w:color w:val="000000"/>
                <w:sz w:val="20"/>
              </w:rPr>
              <w:t>8</w:t>
            </w:r>
          </w:p>
        </w:tc>
        <w:tc>
          <w:tcPr>
            <w:tcW w:w="651" w:type="pct"/>
            <w:tcBorders>
              <w:top w:val="nil"/>
              <w:left w:val="single" w:sz="4" w:space="0" w:color="auto"/>
              <w:bottom w:val="nil"/>
              <w:right w:val="single" w:sz="4" w:space="0" w:color="auto"/>
            </w:tcBorders>
            <w:shd w:val="clear" w:color="auto" w:fill="auto"/>
            <w:noWrap/>
            <w:vAlign w:val="bottom"/>
            <w:hideMark/>
          </w:tcPr>
          <w:p w14:paraId="1CFEE8BC" w14:textId="5EFEC9A7" w:rsidR="00EB79A1" w:rsidRPr="004E74A6" w:rsidRDefault="00EB79A1" w:rsidP="00CE62C1">
            <w:pPr>
              <w:spacing w:line="276" w:lineRule="auto"/>
              <w:jc w:val="center"/>
              <w:rPr>
                <w:rFonts w:cs="Calibri"/>
                <w:color w:val="000000"/>
                <w:sz w:val="20"/>
                <w:lang w:eastAsia="es-CR"/>
              </w:rPr>
            </w:pPr>
            <w:r w:rsidRPr="004E74A6">
              <w:rPr>
                <w:rFonts w:cs="Calibri"/>
                <w:color w:val="000000"/>
                <w:sz w:val="20"/>
              </w:rPr>
              <w:t>2</w:t>
            </w:r>
          </w:p>
        </w:tc>
        <w:tc>
          <w:tcPr>
            <w:tcW w:w="651" w:type="pct"/>
            <w:tcBorders>
              <w:top w:val="nil"/>
              <w:left w:val="single" w:sz="4" w:space="0" w:color="auto"/>
              <w:bottom w:val="nil"/>
              <w:right w:val="single" w:sz="4" w:space="0" w:color="auto"/>
            </w:tcBorders>
            <w:shd w:val="clear" w:color="auto" w:fill="auto"/>
            <w:noWrap/>
            <w:vAlign w:val="bottom"/>
            <w:hideMark/>
          </w:tcPr>
          <w:p w14:paraId="7A332645" w14:textId="40316B47" w:rsidR="00EB79A1" w:rsidRPr="004E74A6" w:rsidRDefault="00EB79A1" w:rsidP="00CE62C1">
            <w:pPr>
              <w:spacing w:line="276" w:lineRule="auto"/>
              <w:jc w:val="center"/>
              <w:rPr>
                <w:rFonts w:cs="Calibri"/>
                <w:color w:val="000000"/>
                <w:sz w:val="20"/>
                <w:lang w:eastAsia="es-CR"/>
              </w:rPr>
            </w:pPr>
            <w:r w:rsidRPr="004E74A6">
              <w:rPr>
                <w:rFonts w:cs="Calibri"/>
                <w:color w:val="000000"/>
                <w:sz w:val="20"/>
              </w:rPr>
              <w:t>4</w:t>
            </w:r>
          </w:p>
        </w:tc>
        <w:tc>
          <w:tcPr>
            <w:tcW w:w="868" w:type="pct"/>
            <w:tcBorders>
              <w:top w:val="nil"/>
              <w:left w:val="single" w:sz="4" w:space="0" w:color="auto"/>
              <w:bottom w:val="nil"/>
              <w:right w:val="nil"/>
            </w:tcBorders>
            <w:shd w:val="clear" w:color="auto" w:fill="auto"/>
            <w:noWrap/>
            <w:vAlign w:val="bottom"/>
            <w:hideMark/>
          </w:tcPr>
          <w:p w14:paraId="17502B31" w14:textId="244A2415" w:rsidR="00EB79A1" w:rsidRPr="004E74A6" w:rsidRDefault="00EB79A1" w:rsidP="00CE62C1">
            <w:pPr>
              <w:spacing w:line="276" w:lineRule="auto"/>
              <w:jc w:val="center"/>
              <w:rPr>
                <w:rFonts w:cs="Calibri"/>
                <w:color w:val="000000"/>
                <w:sz w:val="20"/>
                <w:lang w:eastAsia="es-CR"/>
              </w:rPr>
            </w:pPr>
            <w:r w:rsidRPr="004E74A6">
              <w:rPr>
                <w:rFonts w:cs="Calibri"/>
                <w:color w:val="000000"/>
                <w:sz w:val="20"/>
              </w:rPr>
              <w:t>5</w:t>
            </w:r>
          </w:p>
        </w:tc>
      </w:tr>
      <w:tr w:rsidR="00EB79A1" w:rsidRPr="004E74A6" w14:paraId="5F11633D" w14:textId="77777777" w:rsidTr="00EB79A1">
        <w:trPr>
          <w:trHeight w:val="288"/>
          <w:jc w:val="center"/>
        </w:trPr>
        <w:tc>
          <w:tcPr>
            <w:tcW w:w="2178" w:type="pct"/>
            <w:tcBorders>
              <w:top w:val="nil"/>
              <w:left w:val="nil"/>
              <w:bottom w:val="nil"/>
              <w:right w:val="single" w:sz="4" w:space="0" w:color="auto"/>
            </w:tcBorders>
            <w:shd w:val="clear" w:color="auto" w:fill="auto"/>
            <w:noWrap/>
            <w:vAlign w:val="bottom"/>
            <w:hideMark/>
          </w:tcPr>
          <w:p w14:paraId="7E812E26" w14:textId="77777777" w:rsidR="00EB79A1" w:rsidRPr="004E74A6" w:rsidRDefault="00EB79A1" w:rsidP="00CE62C1">
            <w:pPr>
              <w:spacing w:line="276" w:lineRule="auto"/>
              <w:ind w:firstLineChars="100" w:firstLine="200"/>
              <w:jc w:val="left"/>
              <w:rPr>
                <w:rFonts w:cs="Calibri"/>
                <w:color w:val="000000"/>
                <w:sz w:val="20"/>
                <w:lang w:eastAsia="es-CR"/>
              </w:rPr>
            </w:pPr>
            <w:r w:rsidRPr="004E74A6">
              <w:rPr>
                <w:rFonts w:cs="Calibri"/>
                <w:color w:val="000000"/>
                <w:sz w:val="20"/>
                <w:lang w:eastAsia="es-CR"/>
              </w:rPr>
              <w:t>No Contencioso</w:t>
            </w:r>
          </w:p>
        </w:tc>
        <w:tc>
          <w:tcPr>
            <w:tcW w:w="652" w:type="pct"/>
            <w:tcBorders>
              <w:top w:val="nil"/>
              <w:left w:val="single" w:sz="4" w:space="0" w:color="auto"/>
              <w:bottom w:val="nil"/>
              <w:right w:val="single" w:sz="4" w:space="0" w:color="auto"/>
            </w:tcBorders>
            <w:shd w:val="clear" w:color="auto" w:fill="auto"/>
            <w:noWrap/>
            <w:vAlign w:val="bottom"/>
            <w:hideMark/>
          </w:tcPr>
          <w:p w14:paraId="3CD471E6" w14:textId="4B56F4BF" w:rsidR="00EB79A1" w:rsidRPr="004E74A6" w:rsidRDefault="00EB79A1" w:rsidP="00CE62C1">
            <w:pPr>
              <w:spacing w:line="276" w:lineRule="auto"/>
              <w:jc w:val="center"/>
              <w:rPr>
                <w:sz w:val="20"/>
                <w:lang w:eastAsia="es-CR"/>
              </w:rPr>
            </w:pPr>
            <w:r w:rsidRPr="004E74A6">
              <w:rPr>
                <w:rFonts w:cs="Calibri"/>
                <w:color w:val="000000"/>
                <w:sz w:val="20"/>
              </w:rPr>
              <w:t>0</w:t>
            </w:r>
          </w:p>
        </w:tc>
        <w:tc>
          <w:tcPr>
            <w:tcW w:w="651" w:type="pct"/>
            <w:tcBorders>
              <w:top w:val="nil"/>
              <w:left w:val="single" w:sz="4" w:space="0" w:color="auto"/>
              <w:bottom w:val="nil"/>
              <w:right w:val="single" w:sz="4" w:space="0" w:color="auto"/>
            </w:tcBorders>
            <w:shd w:val="clear" w:color="auto" w:fill="auto"/>
            <w:noWrap/>
            <w:vAlign w:val="bottom"/>
            <w:hideMark/>
          </w:tcPr>
          <w:p w14:paraId="3D225567" w14:textId="0854D6ED" w:rsidR="00EB79A1" w:rsidRPr="004E74A6" w:rsidRDefault="00EB79A1" w:rsidP="00CE62C1">
            <w:pPr>
              <w:spacing w:line="276" w:lineRule="auto"/>
              <w:jc w:val="center"/>
              <w:rPr>
                <w:rFonts w:cs="Calibri"/>
                <w:color w:val="000000"/>
                <w:sz w:val="20"/>
                <w:lang w:eastAsia="es-CR"/>
              </w:rPr>
            </w:pPr>
            <w:r w:rsidRPr="004E74A6">
              <w:rPr>
                <w:rFonts w:cs="Calibri"/>
                <w:color w:val="000000"/>
                <w:sz w:val="20"/>
              </w:rPr>
              <w:t>1</w:t>
            </w:r>
          </w:p>
        </w:tc>
        <w:tc>
          <w:tcPr>
            <w:tcW w:w="651" w:type="pct"/>
            <w:tcBorders>
              <w:top w:val="nil"/>
              <w:left w:val="single" w:sz="4" w:space="0" w:color="auto"/>
              <w:bottom w:val="nil"/>
              <w:right w:val="single" w:sz="4" w:space="0" w:color="auto"/>
            </w:tcBorders>
            <w:shd w:val="clear" w:color="auto" w:fill="auto"/>
            <w:noWrap/>
            <w:vAlign w:val="bottom"/>
            <w:hideMark/>
          </w:tcPr>
          <w:p w14:paraId="693329E1" w14:textId="78A78E60" w:rsidR="00EB79A1" w:rsidRPr="004E74A6" w:rsidRDefault="00EB79A1" w:rsidP="00CE62C1">
            <w:pPr>
              <w:spacing w:line="276" w:lineRule="auto"/>
              <w:jc w:val="center"/>
              <w:rPr>
                <w:rFonts w:cs="Calibri"/>
                <w:color w:val="000000"/>
                <w:sz w:val="20"/>
                <w:lang w:eastAsia="es-CR"/>
              </w:rPr>
            </w:pPr>
            <w:r w:rsidRPr="004E74A6">
              <w:rPr>
                <w:rFonts w:cs="Calibri"/>
                <w:color w:val="000000"/>
                <w:sz w:val="20"/>
              </w:rPr>
              <w:t>1</w:t>
            </w:r>
          </w:p>
        </w:tc>
        <w:tc>
          <w:tcPr>
            <w:tcW w:w="868" w:type="pct"/>
            <w:tcBorders>
              <w:top w:val="nil"/>
              <w:left w:val="single" w:sz="4" w:space="0" w:color="auto"/>
              <w:bottom w:val="nil"/>
              <w:right w:val="nil"/>
            </w:tcBorders>
            <w:shd w:val="clear" w:color="auto" w:fill="auto"/>
            <w:noWrap/>
            <w:vAlign w:val="bottom"/>
            <w:hideMark/>
          </w:tcPr>
          <w:p w14:paraId="6ADA984B" w14:textId="6541AFA3" w:rsidR="00EB79A1" w:rsidRPr="004E74A6" w:rsidRDefault="00EB79A1" w:rsidP="00CE62C1">
            <w:pPr>
              <w:spacing w:line="276" w:lineRule="auto"/>
              <w:jc w:val="center"/>
              <w:rPr>
                <w:rFonts w:cs="Calibri"/>
                <w:color w:val="000000"/>
                <w:sz w:val="20"/>
                <w:lang w:eastAsia="es-CR"/>
              </w:rPr>
            </w:pPr>
            <w:r w:rsidRPr="004E74A6">
              <w:rPr>
                <w:rFonts w:cs="Calibri"/>
                <w:color w:val="000000"/>
                <w:sz w:val="20"/>
              </w:rPr>
              <w:t>0,7</w:t>
            </w:r>
          </w:p>
        </w:tc>
      </w:tr>
      <w:tr w:rsidR="00EB79A1" w:rsidRPr="004E74A6" w14:paraId="78018AF1" w14:textId="77777777" w:rsidTr="00EB79A1">
        <w:trPr>
          <w:trHeight w:val="288"/>
          <w:jc w:val="center"/>
        </w:trPr>
        <w:tc>
          <w:tcPr>
            <w:tcW w:w="2178" w:type="pct"/>
            <w:tcBorders>
              <w:top w:val="nil"/>
              <w:left w:val="nil"/>
              <w:bottom w:val="nil"/>
              <w:right w:val="single" w:sz="4" w:space="0" w:color="auto"/>
            </w:tcBorders>
            <w:shd w:val="clear" w:color="auto" w:fill="C5E0B3" w:themeFill="accent6" w:themeFillTint="66"/>
            <w:noWrap/>
            <w:vAlign w:val="bottom"/>
            <w:hideMark/>
          </w:tcPr>
          <w:p w14:paraId="39190DE0" w14:textId="77777777" w:rsidR="00EB79A1" w:rsidRPr="004E74A6" w:rsidRDefault="00EB79A1" w:rsidP="00CE62C1">
            <w:pPr>
              <w:spacing w:line="276" w:lineRule="auto"/>
              <w:ind w:firstLineChars="100" w:firstLine="200"/>
              <w:jc w:val="left"/>
              <w:rPr>
                <w:rFonts w:cs="Calibri"/>
                <w:color w:val="000000"/>
                <w:sz w:val="20"/>
                <w:lang w:eastAsia="es-CR"/>
              </w:rPr>
            </w:pPr>
            <w:r w:rsidRPr="004E74A6">
              <w:rPr>
                <w:rFonts w:cs="Calibri"/>
                <w:color w:val="000000"/>
                <w:sz w:val="20"/>
                <w:lang w:eastAsia="es-CR"/>
              </w:rPr>
              <w:t>Ordinario</w:t>
            </w:r>
          </w:p>
        </w:tc>
        <w:tc>
          <w:tcPr>
            <w:tcW w:w="652" w:type="pct"/>
            <w:tcBorders>
              <w:top w:val="nil"/>
              <w:left w:val="single" w:sz="4" w:space="0" w:color="auto"/>
              <w:bottom w:val="nil"/>
              <w:right w:val="single" w:sz="4" w:space="0" w:color="auto"/>
            </w:tcBorders>
            <w:shd w:val="clear" w:color="auto" w:fill="C5E0B3" w:themeFill="accent6" w:themeFillTint="66"/>
            <w:noWrap/>
            <w:vAlign w:val="bottom"/>
            <w:hideMark/>
          </w:tcPr>
          <w:p w14:paraId="113627BD" w14:textId="102B39C9" w:rsidR="00EB79A1" w:rsidRPr="004E74A6" w:rsidRDefault="00EB79A1" w:rsidP="00CE62C1">
            <w:pPr>
              <w:spacing w:line="276" w:lineRule="auto"/>
              <w:jc w:val="center"/>
              <w:rPr>
                <w:rFonts w:cs="Calibri"/>
                <w:color w:val="000000"/>
                <w:sz w:val="20"/>
                <w:lang w:eastAsia="es-CR"/>
              </w:rPr>
            </w:pPr>
            <w:r w:rsidRPr="004E74A6">
              <w:rPr>
                <w:rFonts w:cs="Calibri"/>
                <w:color w:val="000000"/>
                <w:sz w:val="20"/>
              </w:rPr>
              <w:t>94</w:t>
            </w:r>
          </w:p>
        </w:tc>
        <w:tc>
          <w:tcPr>
            <w:tcW w:w="651" w:type="pct"/>
            <w:tcBorders>
              <w:top w:val="nil"/>
              <w:left w:val="single" w:sz="4" w:space="0" w:color="auto"/>
              <w:bottom w:val="nil"/>
              <w:right w:val="single" w:sz="4" w:space="0" w:color="auto"/>
            </w:tcBorders>
            <w:shd w:val="clear" w:color="auto" w:fill="C5E0B3" w:themeFill="accent6" w:themeFillTint="66"/>
            <w:noWrap/>
            <w:vAlign w:val="bottom"/>
            <w:hideMark/>
          </w:tcPr>
          <w:p w14:paraId="659F3D92" w14:textId="79D8A289" w:rsidR="00EB79A1" w:rsidRPr="004E74A6" w:rsidRDefault="00EB79A1" w:rsidP="00CE62C1">
            <w:pPr>
              <w:spacing w:line="276" w:lineRule="auto"/>
              <w:jc w:val="center"/>
              <w:rPr>
                <w:rFonts w:cs="Calibri"/>
                <w:color w:val="000000"/>
                <w:sz w:val="20"/>
                <w:lang w:eastAsia="es-CR"/>
              </w:rPr>
            </w:pPr>
            <w:r w:rsidRPr="004E74A6">
              <w:rPr>
                <w:rFonts w:cs="Calibri"/>
                <w:color w:val="000000"/>
                <w:sz w:val="20"/>
              </w:rPr>
              <w:t>110</w:t>
            </w:r>
          </w:p>
        </w:tc>
        <w:tc>
          <w:tcPr>
            <w:tcW w:w="651" w:type="pct"/>
            <w:tcBorders>
              <w:top w:val="nil"/>
              <w:left w:val="single" w:sz="4" w:space="0" w:color="auto"/>
              <w:bottom w:val="nil"/>
              <w:right w:val="single" w:sz="4" w:space="0" w:color="auto"/>
            </w:tcBorders>
            <w:shd w:val="clear" w:color="auto" w:fill="C5E0B3" w:themeFill="accent6" w:themeFillTint="66"/>
            <w:noWrap/>
            <w:vAlign w:val="bottom"/>
            <w:hideMark/>
          </w:tcPr>
          <w:p w14:paraId="290A07EC" w14:textId="665B1EF6" w:rsidR="00EB79A1" w:rsidRPr="004E74A6" w:rsidRDefault="00EB79A1" w:rsidP="00CE62C1">
            <w:pPr>
              <w:spacing w:line="276" w:lineRule="auto"/>
              <w:jc w:val="center"/>
              <w:rPr>
                <w:rFonts w:cs="Calibri"/>
                <w:color w:val="000000"/>
                <w:sz w:val="20"/>
                <w:lang w:eastAsia="es-CR"/>
              </w:rPr>
            </w:pPr>
            <w:r w:rsidRPr="004E74A6">
              <w:rPr>
                <w:rFonts w:cs="Calibri"/>
                <w:color w:val="000000"/>
                <w:sz w:val="20"/>
              </w:rPr>
              <w:t>110</w:t>
            </w:r>
          </w:p>
        </w:tc>
        <w:tc>
          <w:tcPr>
            <w:tcW w:w="868" w:type="pct"/>
            <w:tcBorders>
              <w:top w:val="nil"/>
              <w:left w:val="single" w:sz="4" w:space="0" w:color="auto"/>
              <w:bottom w:val="nil"/>
              <w:right w:val="nil"/>
            </w:tcBorders>
            <w:shd w:val="clear" w:color="auto" w:fill="C5E0B3" w:themeFill="accent6" w:themeFillTint="66"/>
            <w:noWrap/>
            <w:vAlign w:val="bottom"/>
            <w:hideMark/>
          </w:tcPr>
          <w:p w14:paraId="00DEA235" w14:textId="65D8BF91" w:rsidR="00EB79A1" w:rsidRPr="004E74A6" w:rsidRDefault="00EB79A1" w:rsidP="00CE62C1">
            <w:pPr>
              <w:spacing w:line="276" w:lineRule="auto"/>
              <w:jc w:val="center"/>
              <w:rPr>
                <w:rFonts w:cs="Calibri"/>
                <w:color w:val="000000"/>
                <w:sz w:val="20"/>
                <w:lang w:eastAsia="es-CR"/>
              </w:rPr>
            </w:pPr>
            <w:r w:rsidRPr="004E74A6">
              <w:rPr>
                <w:rFonts w:cs="Calibri"/>
                <w:color w:val="000000"/>
                <w:sz w:val="20"/>
              </w:rPr>
              <w:t>105</w:t>
            </w:r>
          </w:p>
        </w:tc>
      </w:tr>
      <w:tr w:rsidR="00EB79A1" w:rsidRPr="004E74A6" w14:paraId="5AFC6828" w14:textId="77777777" w:rsidTr="00EB79A1">
        <w:trPr>
          <w:trHeight w:val="288"/>
          <w:jc w:val="center"/>
        </w:trPr>
        <w:tc>
          <w:tcPr>
            <w:tcW w:w="2178" w:type="pct"/>
            <w:tcBorders>
              <w:top w:val="nil"/>
              <w:left w:val="nil"/>
              <w:bottom w:val="nil"/>
              <w:right w:val="single" w:sz="4" w:space="0" w:color="auto"/>
            </w:tcBorders>
            <w:shd w:val="clear" w:color="auto" w:fill="auto"/>
            <w:noWrap/>
            <w:vAlign w:val="bottom"/>
            <w:hideMark/>
          </w:tcPr>
          <w:p w14:paraId="6E3C2886" w14:textId="77777777" w:rsidR="00EB79A1" w:rsidRPr="004E74A6" w:rsidRDefault="00EB79A1" w:rsidP="00CE62C1">
            <w:pPr>
              <w:spacing w:line="276" w:lineRule="auto"/>
              <w:ind w:firstLineChars="100" w:firstLine="200"/>
              <w:jc w:val="left"/>
              <w:rPr>
                <w:rFonts w:cs="Calibri"/>
                <w:color w:val="000000"/>
                <w:sz w:val="20"/>
                <w:lang w:eastAsia="es-CR"/>
              </w:rPr>
            </w:pPr>
            <w:r w:rsidRPr="004E74A6">
              <w:rPr>
                <w:rFonts w:cs="Calibri"/>
                <w:color w:val="000000"/>
                <w:sz w:val="20"/>
                <w:lang w:eastAsia="es-CR"/>
              </w:rPr>
              <w:t>Procesos De Ejecución</w:t>
            </w:r>
          </w:p>
        </w:tc>
        <w:tc>
          <w:tcPr>
            <w:tcW w:w="652" w:type="pct"/>
            <w:tcBorders>
              <w:top w:val="nil"/>
              <w:left w:val="single" w:sz="4" w:space="0" w:color="auto"/>
              <w:bottom w:val="nil"/>
              <w:right w:val="single" w:sz="4" w:space="0" w:color="auto"/>
            </w:tcBorders>
            <w:shd w:val="clear" w:color="auto" w:fill="auto"/>
            <w:noWrap/>
            <w:vAlign w:val="bottom"/>
            <w:hideMark/>
          </w:tcPr>
          <w:p w14:paraId="14EB947E" w14:textId="4739FCFC" w:rsidR="00EB79A1" w:rsidRPr="004E74A6" w:rsidRDefault="00EB79A1" w:rsidP="00CE62C1">
            <w:pPr>
              <w:spacing w:line="276" w:lineRule="auto"/>
              <w:jc w:val="center"/>
              <w:rPr>
                <w:sz w:val="20"/>
                <w:lang w:eastAsia="es-CR"/>
              </w:rPr>
            </w:pPr>
            <w:r w:rsidRPr="004E74A6">
              <w:rPr>
                <w:rFonts w:cs="Calibri"/>
                <w:color w:val="000000"/>
                <w:sz w:val="20"/>
              </w:rPr>
              <w:t>0</w:t>
            </w:r>
          </w:p>
        </w:tc>
        <w:tc>
          <w:tcPr>
            <w:tcW w:w="651" w:type="pct"/>
            <w:tcBorders>
              <w:top w:val="nil"/>
              <w:left w:val="single" w:sz="4" w:space="0" w:color="auto"/>
              <w:bottom w:val="nil"/>
              <w:right w:val="single" w:sz="4" w:space="0" w:color="auto"/>
            </w:tcBorders>
            <w:shd w:val="clear" w:color="auto" w:fill="auto"/>
            <w:noWrap/>
            <w:vAlign w:val="bottom"/>
            <w:hideMark/>
          </w:tcPr>
          <w:p w14:paraId="2CAC6A56" w14:textId="16AB2B30" w:rsidR="00EB79A1" w:rsidRPr="004E74A6" w:rsidRDefault="00EB79A1" w:rsidP="00CE62C1">
            <w:pPr>
              <w:spacing w:line="276" w:lineRule="auto"/>
              <w:jc w:val="center"/>
              <w:rPr>
                <w:sz w:val="20"/>
                <w:lang w:eastAsia="es-CR"/>
              </w:rPr>
            </w:pPr>
            <w:r w:rsidRPr="004E74A6">
              <w:rPr>
                <w:rFonts w:cs="Calibri"/>
                <w:color w:val="000000"/>
                <w:sz w:val="20"/>
              </w:rPr>
              <w:t>0</w:t>
            </w:r>
          </w:p>
        </w:tc>
        <w:tc>
          <w:tcPr>
            <w:tcW w:w="651" w:type="pct"/>
            <w:tcBorders>
              <w:top w:val="nil"/>
              <w:left w:val="single" w:sz="4" w:space="0" w:color="auto"/>
              <w:bottom w:val="nil"/>
              <w:right w:val="single" w:sz="4" w:space="0" w:color="auto"/>
            </w:tcBorders>
            <w:shd w:val="clear" w:color="auto" w:fill="auto"/>
            <w:noWrap/>
            <w:vAlign w:val="bottom"/>
            <w:hideMark/>
          </w:tcPr>
          <w:p w14:paraId="6D78206F" w14:textId="263D0FFB" w:rsidR="00EB79A1" w:rsidRPr="004E74A6" w:rsidRDefault="00EB79A1" w:rsidP="00CE62C1">
            <w:pPr>
              <w:spacing w:line="276" w:lineRule="auto"/>
              <w:jc w:val="center"/>
              <w:rPr>
                <w:rFonts w:cs="Calibri"/>
                <w:color w:val="000000"/>
                <w:sz w:val="20"/>
                <w:lang w:eastAsia="es-CR"/>
              </w:rPr>
            </w:pPr>
            <w:r w:rsidRPr="004E74A6">
              <w:rPr>
                <w:rFonts w:cs="Calibri"/>
                <w:color w:val="000000"/>
                <w:sz w:val="20"/>
              </w:rPr>
              <w:t>1</w:t>
            </w:r>
          </w:p>
        </w:tc>
        <w:tc>
          <w:tcPr>
            <w:tcW w:w="868" w:type="pct"/>
            <w:tcBorders>
              <w:top w:val="nil"/>
              <w:left w:val="single" w:sz="4" w:space="0" w:color="auto"/>
              <w:bottom w:val="nil"/>
              <w:right w:val="nil"/>
            </w:tcBorders>
            <w:shd w:val="clear" w:color="auto" w:fill="auto"/>
            <w:noWrap/>
            <w:vAlign w:val="bottom"/>
            <w:hideMark/>
          </w:tcPr>
          <w:p w14:paraId="34812F32" w14:textId="44AC1E61" w:rsidR="00EB79A1" w:rsidRPr="004E74A6" w:rsidRDefault="00EB79A1" w:rsidP="00CE62C1">
            <w:pPr>
              <w:spacing w:line="276" w:lineRule="auto"/>
              <w:jc w:val="center"/>
              <w:rPr>
                <w:rFonts w:cs="Calibri"/>
                <w:color w:val="000000"/>
                <w:sz w:val="20"/>
                <w:lang w:eastAsia="es-CR"/>
              </w:rPr>
            </w:pPr>
            <w:r w:rsidRPr="004E74A6">
              <w:rPr>
                <w:rFonts w:cs="Calibri"/>
                <w:color w:val="000000"/>
                <w:sz w:val="20"/>
              </w:rPr>
              <w:t>0</w:t>
            </w:r>
          </w:p>
        </w:tc>
      </w:tr>
      <w:tr w:rsidR="00EB79A1" w:rsidRPr="004E74A6" w14:paraId="43DAC579" w14:textId="77777777" w:rsidTr="00EB79A1">
        <w:trPr>
          <w:trHeight w:val="288"/>
          <w:jc w:val="center"/>
        </w:trPr>
        <w:tc>
          <w:tcPr>
            <w:tcW w:w="2178" w:type="pct"/>
            <w:tcBorders>
              <w:top w:val="nil"/>
              <w:left w:val="nil"/>
              <w:bottom w:val="nil"/>
              <w:right w:val="single" w:sz="4" w:space="0" w:color="auto"/>
            </w:tcBorders>
            <w:shd w:val="clear" w:color="auto" w:fill="auto"/>
            <w:noWrap/>
            <w:vAlign w:val="bottom"/>
            <w:hideMark/>
          </w:tcPr>
          <w:p w14:paraId="20349BF4" w14:textId="77777777" w:rsidR="00EB79A1" w:rsidRPr="004E74A6" w:rsidRDefault="00EB79A1" w:rsidP="00CE62C1">
            <w:pPr>
              <w:spacing w:line="276" w:lineRule="auto"/>
              <w:ind w:firstLineChars="100" w:firstLine="200"/>
              <w:jc w:val="left"/>
              <w:rPr>
                <w:rFonts w:cs="Calibri"/>
                <w:color w:val="000000"/>
                <w:sz w:val="20"/>
                <w:lang w:eastAsia="es-CR"/>
              </w:rPr>
            </w:pPr>
            <w:r w:rsidRPr="004E74A6">
              <w:rPr>
                <w:rFonts w:cs="Calibri"/>
                <w:color w:val="000000"/>
                <w:sz w:val="20"/>
                <w:lang w:eastAsia="es-CR"/>
              </w:rPr>
              <w:t>Prueba Anticipada</w:t>
            </w:r>
          </w:p>
        </w:tc>
        <w:tc>
          <w:tcPr>
            <w:tcW w:w="652" w:type="pct"/>
            <w:tcBorders>
              <w:top w:val="nil"/>
              <w:left w:val="single" w:sz="4" w:space="0" w:color="auto"/>
              <w:bottom w:val="nil"/>
              <w:right w:val="single" w:sz="4" w:space="0" w:color="auto"/>
            </w:tcBorders>
            <w:shd w:val="clear" w:color="auto" w:fill="auto"/>
            <w:noWrap/>
            <w:vAlign w:val="bottom"/>
            <w:hideMark/>
          </w:tcPr>
          <w:p w14:paraId="1D4F95D1" w14:textId="628B869E" w:rsidR="00EB79A1" w:rsidRPr="004E74A6" w:rsidRDefault="00EB79A1" w:rsidP="00CE62C1">
            <w:pPr>
              <w:spacing w:line="276" w:lineRule="auto"/>
              <w:jc w:val="center"/>
              <w:rPr>
                <w:rFonts w:cs="Calibri"/>
                <w:color w:val="000000"/>
                <w:sz w:val="20"/>
                <w:lang w:eastAsia="es-CR"/>
              </w:rPr>
            </w:pPr>
            <w:r w:rsidRPr="004E74A6">
              <w:rPr>
                <w:rFonts w:cs="Calibri"/>
                <w:color w:val="000000"/>
                <w:sz w:val="20"/>
              </w:rPr>
              <w:t>4</w:t>
            </w:r>
          </w:p>
        </w:tc>
        <w:tc>
          <w:tcPr>
            <w:tcW w:w="651" w:type="pct"/>
            <w:tcBorders>
              <w:top w:val="nil"/>
              <w:left w:val="single" w:sz="4" w:space="0" w:color="auto"/>
              <w:bottom w:val="nil"/>
              <w:right w:val="single" w:sz="4" w:space="0" w:color="auto"/>
            </w:tcBorders>
            <w:shd w:val="clear" w:color="auto" w:fill="auto"/>
            <w:noWrap/>
            <w:vAlign w:val="bottom"/>
            <w:hideMark/>
          </w:tcPr>
          <w:p w14:paraId="113332EB" w14:textId="43BBDED6" w:rsidR="00EB79A1" w:rsidRPr="004E74A6" w:rsidRDefault="00EB79A1" w:rsidP="00CE62C1">
            <w:pPr>
              <w:spacing w:line="276" w:lineRule="auto"/>
              <w:jc w:val="center"/>
              <w:rPr>
                <w:rFonts w:cs="Calibri"/>
                <w:color w:val="000000"/>
                <w:sz w:val="20"/>
                <w:lang w:eastAsia="es-CR"/>
              </w:rPr>
            </w:pPr>
            <w:r w:rsidRPr="004E74A6">
              <w:rPr>
                <w:rFonts w:cs="Calibri"/>
                <w:color w:val="000000"/>
                <w:sz w:val="20"/>
              </w:rPr>
              <w:t>3</w:t>
            </w:r>
          </w:p>
        </w:tc>
        <w:tc>
          <w:tcPr>
            <w:tcW w:w="651" w:type="pct"/>
            <w:tcBorders>
              <w:top w:val="nil"/>
              <w:left w:val="single" w:sz="4" w:space="0" w:color="auto"/>
              <w:bottom w:val="nil"/>
              <w:right w:val="single" w:sz="4" w:space="0" w:color="auto"/>
            </w:tcBorders>
            <w:shd w:val="clear" w:color="auto" w:fill="auto"/>
            <w:noWrap/>
            <w:vAlign w:val="bottom"/>
            <w:hideMark/>
          </w:tcPr>
          <w:p w14:paraId="7435197D" w14:textId="25B89597" w:rsidR="00EB79A1" w:rsidRPr="004E74A6" w:rsidRDefault="00EB79A1" w:rsidP="00CE62C1">
            <w:pPr>
              <w:spacing w:line="276" w:lineRule="auto"/>
              <w:jc w:val="center"/>
              <w:rPr>
                <w:rFonts w:cs="Calibri"/>
                <w:color w:val="000000"/>
                <w:sz w:val="20"/>
                <w:lang w:eastAsia="es-CR"/>
              </w:rPr>
            </w:pPr>
            <w:r w:rsidRPr="004E74A6">
              <w:rPr>
                <w:rFonts w:cs="Calibri"/>
                <w:color w:val="000000"/>
                <w:sz w:val="20"/>
              </w:rPr>
              <w:t>2</w:t>
            </w:r>
          </w:p>
        </w:tc>
        <w:tc>
          <w:tcPr>
            <w:tcW w:w="868" w:type="pct"/>
            <w:tcBorders>
              <w:top w:val="nil"/>
              <w:left w:val="single" w:sz="4" w:space="0" w:color="auto"/>
              <w:bottom w:val="nil"/>
              <w:right w:val="nil"/>
            </w:tcBorders>
            <w:shd w:val="clear" w:color="auto" w:fill="auto"/>
            <w:noWrap/>
            <w:vAlign w:val="bottom"/>
            <w:hideMark/>
          </w:tcPr>
          <w:p w14:paraId="341FD27D" w14:textId="496B34F7" w:rsidR="00EB79A1" w:rsidRPr="004E74A6" w:rsidRDefault="00EB79A1" w:rsidP="00CE62C1">
            <w:pPr>
              <w:spacing w:line="276" w:lineRule="auto"/>
              <w:jc w:val="center"/>
              <w:rPr>
                <w:rFonts w:cs="Calibri"/>
                <w:color w:val="000000"/>
                <w:sz w:val="20"/>
                <w:lang w:eastAsia="es-CR"/>
              </w:rPr>
            </w:pPr>
            <w:r w:rsidRPr="004E74A6">
              <w:rPr>
                <w:rFonts w:cs="Calibri"/>
                <w:color w:val="000000"/>
                <w:sz w:val="20"/>
              </w:rPr>
              <w:t>3</w:t>
            </w:r>
          </w:p>
        </w:tc>
      </w:tr>
      <w:tr w:rsidR="00EB79A1" w:rsidRPr="004E74A6" w14:paraId="39F4A05D" w14:textId="77777777" w:rsidTr="00EB79A1">
        <w:trPr>
          <w:trHeight w:val="288"/>
          <w:jc w:val="center"/>
        </w:trPr>
        <w:tc>
          <w:tcPr>
            <w:tcW w:w="2178" w:type="pct"/>
            <w:tcBorders>
              <w:top w:val="nil"/>
              <w:left w:val="nil"/>
              <w:bottom w:val="nil"/>
              <w:right w:val="single" w:sz="4" w:space="0" w:color="auto"/>
            </w:tcBorders>
            <w:shd w:val="clear" w:color="auto" w:fill="auto"/>
            <w:noWrap/>
            <w:vAlign w:val="bottom"/>
            <w:hideMark/>
          </w:tcPr>
          <w:p w14:paraId="3AD69869" w14:textId="77777777" w:rsidR="00EB79A1" w:rsidRPr="004E74A6" w:rsidRDefault="00EB79A1" w:rsidP="00CE62C1">
            <w:pPr>
              <w:spacing w:line="276" w:lineRule="auto"/>
              <w:ind w:firstLineChars="100" w:firstLine="200"/>
              <w:jc w:val="left"/>
              <w:rPr>
                <w:rFonts w:cs="Calibri"/>
                <w:color w:val="000000"/>
                <w:sz w:val="20"/>
                <w:lang w:eastAsia="es-CR"/>
              </w:rPr>
            </w:pPr>
            <w:r w:rsidRPr="004E74A6">
              <w:rPr>
                <w:rFonts w:cs="Calibri"/>
                <w:color w:val="000000"/>
                <w:sz w:val="20"/>
                <w:lang w:eastAsia="es-CR"/>
              </w:rPr>
              <w:t>Sucesorio</w:t>
            </w:r>
          </w:p>
        </w:tc>
        <w:tc>
          <w:tcPr>
            <w:tcW w:w="652" w:type="pct"/>
            <w:tcBorders>
              <w:top w:val="nil"/>
              <w:left w:val="single" w:sz="4" w:space="0" w:color="auto"/>
              <w:bottom w:val="nil"/>
              <w:right w:val="single" w:sz="4" w:space="0" w:color="auto"/>
            </w:tcBorders>
            <w:shd w:val="clear" w:color="auto" w:fill="auto"/>
            <w:noWrap/>
            <w:vAlign w:val="bottom"/>
            <w:hideMark/>
          </w:tcPr>
          <w:p w14:paraId="55A1CBBC" w14:textId="7B7DDA1C" w:rsidR="00EB79A1" w:rsidRPr="004E74A6" w:rsidRDefault="00EB79A1" w:rsidP="00CE62C1">
            <w:pPr>
              <w:spacing w:line="276" w:lineRule="auto"/>
              <w:jc w:val="center"/>
              <w:rPr>
                <w:rFonts w:cs="Calibri"/>
                <w:color w:val="000000"/>
                <w:sz w:val="20"/>
                <w:lang w:eastAsia="es-CR"/>
              </w:rPr>
            </w:pPr>
            <w:r w:rsidRPr="004E74A6">
              <w:rPr>
                <w:rFonts w:cs="Calibri"/>
                <w:color w:val="000000"/>
                <w:sz w:val="20"/>
              </w:rPr>
              <w:t>1</w:t>
            </w:r>
          </w:p>
        </w:tc>
        <w:tc>
          <w:tcPr>
            <w:tcW w:w="651" w:type="pct"/>
            <w:tcBorders>
              <w:top w:val="nil"/>
              <w:left w:val="single" w:sz="4" w:space="0" w:color="auto"/>
              <w:bottom w:val="nil"/>
              <w:right w:val="single" w:sz="4" w:space="0" w:color="auto"/>
            </w:tcBorders>
            <w:shd w:val="clear" w:color="auto" w:fill="auto"/>
            <w:noWrap/>
            <w:vAlign w:val="bottom"/>
            <w:hideMark/>
          </w:tcPr>
          <w:p w14:paraId="3B11D219" w14:textId="03D06551" w:rsidR="00EB79A1" w:rsidRPr="004E74A6" w:rsidRDefault="00EB79A1" w:rsidP="00CE62C1">
            <w:pPr>
              <w:spacing w:line="276" w:lineRule="auto"/>
              <w:jc w:val="center"/>
              <w:rPr>
                <w:rFonts w:cs="Calibri"/>
                <w:color w:val="000000"/>
                <w:sz w:val="20"/>
                <w:lang w:eastAsia="es-CR"/>
              </w:rPr>
            </w:pPr>
            <w:r w:rsidRPr="004E74A6">
              <w:rPr>
                <w:rFonts w:cs="Calibri"/>
                <w:color w:val="000000"/>
                <w:sz w:val="20"/>
              </w:rPr>
              <w:t>1</w:t>
            </w:r>
          </w:p>
        </w:tc>
        <w:tc>
          <w:tcPr>
            <w:tcW w:w="651" w:type="pct"/>
            <w:tcBorders>
              <w:top w:val="nil"/>
              <w:left w:val="single" w:sz="4" w:space="0" w:color="auto"/>
              <w:bottom w:val="nil"/>
              <w:right w:val="single" w:sz="4" w:space="0" w:color="auto"/>
            </w:tcBorders>
            <w:shd w:val="clear" w:color="auto" w:fill="auto"/>
            <w:noWrap/>
            <w:vAlign w:val="bottom"/>
            <w:hideMark/>
          </w:tcPr>
          <w:p w14:paraId="35B5EB04" w14:textId="6CCB9383" w:rsidR="00EB79A1" w:rsidRPr="004E74A6" w:rsidRDefault="00EB79A1" w:rsidP="00CE62C1">
            <w:pPr>
              <w:spacing w:line="276" w:lineRule="auto"/>
              <w:jc w:val="center"/>
              <w:rPr>
                <w:rFonts w:cs="Calibri"/>
                <w:color w:val="000000"/>
                <w:sz w:val="20"/>
                <w:lang w:eastAsia="es-CR"/>
              </w:rPr>
            </w:pPr>
            <w:r w:rsidRPr="004E74A6">
              <w:rPr>
                <w:rFonts w:cs="Calibri"/>
                <w:color w:val="000000"/>
                <w:sz w:val="20"/>
              </w:rPr>
              <w:t>0</w:t>
            </w:r>
          </w:p>
        </w:tc>
        <w:tc>
          <w:tcPr>
            <w:tcW w:w="868" w:type="pct"/>
            <w:tcBorders>
              <w:top w:val="nil"/>
              <w:left w:val="single" w:sz="4" w:space="0" w:color="auto"/>
              <w:bottom w:val="nil"/>
              <w:right w:val="nil"/>
            </w:tcBorders>
            <w:shd w:val="clear" w:color="auto" w:fill="auto"/>
            <w:noWrap/>
            <w:vAlign w:val="bottom"/>
            <w:hideMark/>
          </w:tcPr>
          <w:p w14:paraId="1F05BB71" w14:textId="31F2E960" w:rsidR="00EB79A1" w:rsidRPr="004E74A6" w:rsidRDefault="00EB79A1" w:rsidP="00CE62C1">
            <w:pPr>
              <w:spacing w:line="276" w:lineRule="auto"/>
              <w:jc w:val="center"/>
              <w:rPr>
                <w:rFonts w:cs="Calibri"/>
                <w:color w:val="000000"/>
                <w:sz w:val="20"/>
                <w:lang w:eastAsia="es-CR"/>
              </w:rPr>
            </w:pPr>
            <w:r w:rsidRPr="004E74A6">
              <w:rPr>
                <w:rFonts w:cs="Calibri"/>
                <w:color w:val="000000"/>
                <w:sz w:val="20"/>
              </w:rPr>
              <w:t>1</w:t>
            </w:r>
          </w:p>
        </w:tc>
      </w:tr>
      <w:tr w:rsidR="00EB79A1" w:rsidRPr="004E74A6" w14:paraId="6F6EDD36" w14:textId="77777777" w:rsidTr="00EB79A1">
        <w:trPr>
          <w:trHeight w:val="288"/>
          <w:jc w:val="center"/>
        </w:trPr>
        <w:tc>
          <w:tcPr>
            <w:tcW w:w="2178" w:type="pct"/>
            <w:tcBorders>
              <w:top w:val="nil"/>
              <w:left w:val="nil"/>
              <w:bottom w:val="nil"/>
              <w:right w:val="single" w:sz="4" w:space="0" w:color="auto"/>
            </w:tcBorders>
            <w:shd w:val="clear" w:color="auto" w:fill="auto"/>
            <w:noWrap/>
            <w:vAlign w:val="bottom"/>
            <w:hideMark/>
          </w:tcPr>
          <w:p w14:paraId="78B8E01B" w14:textId="77777777" w:rsidR="00EB79A1" w:rsidRPr="004E74A6" w:rsidRDefault="00EB79A1" w:rsidP="00CE62C1">
            <w:pPr>
              <w:spacing w:line="276" w:lineRule="auto"/>
              <w:ind w:firstLineChars="100" w:firstLine="200"/>
              <w:jc w:val="left"/>
              <w:rPr>
                <w:rFonts w:cs="Calibri"/>
                <w:color w:val="000000"/>
                <w:sz w:val="20"/>
                <w:lang w:eastAsia="es-CR"/>
              </w:rPr>
            </w:pPr>
            <w:r w:rsidRPr="004E74A6">
              <w:rPr>
                <w:rFonts w:cs="Calibri"/>
                <w:color w:val="000000"/>
                <w:sz w:val="20"/>
                <w:lang w:eastAsia="es-CR"/>
              </w:rPr>
              <w:t>Sumario</w:t>
            </w:r>
          </w:p>
        </w:tc>
        <w:tc>
          <w:tcPr>
            <w:tcW w:w="652" w:type="pct"/>
            <w:tcBorders>
              <w:top w:val="nil"/>
              <w:left w:val="single" w:sz="4" w:space="0" w:color="auto"/>
              <w:bottom w:val="nil"/>
              <w:right w:val="single" w:sz="4" w:space="0" w:color="auto"/>
            </w:tcBorders>
            <w:shd w:val="clear" w:color="auto" w:fill="auto"/>
            <w:noWrap/>
            <w:vAlign w:val="bottom"/>
            <w:hideMark/>
          </w:tcPr>
          <w:p w14:paraId="677A6138" w14:textId="4EEFCA69" w:rsidR="00EB79A1" w:rsidRPr="004E74A6" w:rsidRDefault="00EB79A1" w:rsidP="00CE62C1">
            <w:pPr>
              <w:spacing w:line="276" w:lineRule="auto"/>
              <w:jc w:val="center"/>
              <w:rPr>
                <w:sz w:val="20"/>
                <w:lang w:eastAsia="es-CR"/>
              </w:rPr>
            </w:pPr>
            <w:r w:rsidRPr="004E74A6">
              <w:rPr>
                <w:rFonts w:cs="Calibri"/>
                <w:color w:val="000000"/>
                <w:sz w:val="20"/>
              </w:rPr>
              <w:t>0</w:t>
            </w:r>
          </w:p>
        </w:tc>
        <w:tc>
          <w:tcPr>
            <w:tcW w:w="651" w:type="pct"/>
            <w:tcBorders>
              <w:top w:val="nil"/>
              <w:left w:val="single" w:sz="4" w:space="0" w:color="auto"/>
              <w:bottom w:val="nil"/>
              <w:right w:val="single" w:sz="4" w:space="0" w:color="auto"/>
            </w:tcBorders>
            <w:shd w:val="clear" w:color="auto" w:fill="auto"/>
            <w:noWrap/>
            <w:vAlign w:val="bottom"/>
            <w:hideMark/>
          </w:tcPr>
          <w:p w14:paraId="5CF09375" w14:textId="6CCF3C8F" w:rsidR="00EB79A1" w:rsidRPr="004E74A6" w:rsidRDefault="00EB79A1" w:rsidP="00CE62C1">
            <w:pPr>
              <w:spacing w:line="276" w:lineRule="auto"/>
              <w:jc w:val="center"/>
              <w:rPr>
                <w:rFonts w:cs="Calibri"/>
                <w:color w:val="000000"/>
                <w:sz w:val="20"/>
                <w:lang w:eastAsia="es-CR"/>
              </w:rPr>
            </w:pPr>
            <w:r w:rsidRPr="004E74A6">
              <w:rPr>
                <w:rFonts w:cs="Calibri"/>
                <w:color w:val="000000"/>
                <w:sz w:val="20"/>
              </w:rPr>
              <w:t>2</w:t>
            </w:r>
          </w:p>
        </w:tc>
        <w:tc>
          <w:tcPr>
            <w:tcW w:w="651" w:type="pct"/>
            <w:tcBorders>
              <w:top w:val="nil"/>
              <w:left w:val="single" w:sz="4" w:space="0" w:color="auto"/>
              <w:bottom w:val="nil"/>
              <w:right w:val="single" w:sz="4" w:space="0" w:color="auto"/>
            </w:tcBorders>
            <w:shd w:val="clear" w:color="auto" w:fill="auto"/>
            <w:noWrap/>
            <w:vAlign w:val="bottom"/>
            <w:hideMark/>
          </w:tcPr>
          <w:p w14:paraId="1455E1D9" w14:textId="65532D1D" w:rsidR="00EB79A1" w:rsidRPr="004E74A6" w:rsidRDefault="00EB79A1" w:rsidP="00CE62C1">
            <w:pPr>
              <w:spacing w:line="276" w:lineRule="auto"/>
              <w:jc w:val="center"/>
              <w:rPr>
                <w:rFonts w:cs="Calibri"/>
                <w:color w:val="000000"/>
                <w:sz w:val="20"/>
                <w:lang w:eastAsia="es-CR"/>
              </w:rPr>
            </w:pPr>
            <w:r w:rsidRPr="004E74A6">
              <w:rPr>
                <w:rFonts w:cs="Calibri"/>
                <w:color w:val="000000"/>
                <w:sz w:val="20"/>
              </w:rPr>
              <w:t>0</w:t>
            </w:r>
          </w:p>
        </w:tc>
        <w:tc>
          <w:tcPr>
            <w:tcW w:w="868" w:type="pct"/>
            <w:tcBorders>
              <w:top w:val="nil"/>
              <w:left w:val="single" w:sz="4" w:space="0" w:color="auto"/>
              <w:bottom w:val="nil"/>
              <w:right w:val="nil"/>
            </w:tcBorders>
            <w:shd w:val="clear" w:color="auto" w:fill="auto"/>
            <w:noWrap/>
            <w:vAlign w:val="bottom"/>
            <w:hideMark/>
          </w:tcPr>
          <w:p w14:paraId="3DC5FC5A" w14:textId="085BE765" w:rsidR="00EB79A1" w:rsidRPr="004E74A6" w:rsidRDefault="00EB79A1" w:rsidP="00CE62C1">
            <w:pPr>
              <w:spacing w:line="276" w:lineRule="auto"/>
              <w:jc w:val="center"/>
              <w:rPr>
                <w:rFonts w:cs="Calibri"/>
                <w:color w:val="000000"/>
                <w:sz w:val="20"/>
                <w:lang w:eastAsia="es-CR"/>
              </w:rPr>
            </w:pPr>
            <w:r w:rsidRPr="004E74A6">
              <w:rPr>
                <w:rFonts w:cs="Calibri"/>
                <w:color w:val="000000"/>
                <w:sz w:val="20"/>
              </w:rPr>
              <w:t>1</w:t>
            </w:r>
          </w:p>
        </w:tc>
      </w:tr>
      <w:tr w:rsidR="00EB79A1" w:rsidRPr="004E74A6" w14:paraId="66C30406" w14:textId="77777777" w:rsidTr="00EB79A1">
        <w:trPr>
          <w:trHeight w:val="288"/>
          <w:jc w:val="center"/>
        </w:trPr>
        <w:tc>
          <w:tcPr>
            <w:tcW w:w="2178" w:type="pct"/>
            <w:tcBorders>
              <w:top w:val="nil"/>
              <w:left w:val="nil"/>
              <w:right w:val="single" w:sz="4" w:space="0" w:color="auto"/>
            </w:tcBorders>
            <w:shd w:val="clear" w:color="auto" w:fill="auto"/>
            <w:noWrap/>
            <w:vAlign w:val="bottom"/>
            <w:hideMark/>
          </w:tcPr>
          <w:p w14:paraId="0B295CA1" w14:textId="77777777" w:rsidR="00EB79A1" w:rsidRPr="004E74A6" w:rsidRDefault="00EB79A1" w:rsidP="00CE62C1">
            <w:pPr>
              <w:spacing w:line="276" w:lineRule="auto"/>
              <w:ind w:firstLineChars="100" w:firstLine="200"/>
              <w:jc w:val="left"/>
              <w:rPr>
                <w:rFonts w:cs="Calibri"/>
                <w:color w:val="000000"/>
                <w:sz w:val="20"/>
                <w:lang w:eastAsia="es-CR"/>
              </w:rPr>
            </w:pPr>
            <w:r w:rsidRPr="004E74A6">
              <w:rPr>
                <w:rFonts w:cs="Calibri"/>
                <w:color w:val="000000"/>
                <w:sz w:val="20"/>
                <w:lang w:eastAsia="es-CR"/>
              </w:rPr>
              <w:t>Violencia Doméstica</w:t>
            </w:r>
          </w:p>
        </w:tc>
        <w:tc>
          <w:tcPr>
            <w:tcW w:w="652" w:type="pct"/>
            <w:tcBorders>
              <w:top w:val="nil"/>
              <w:left w:val="single" w:sz="4" w:space="0" w:color="auto"/>
              <w:right w:val="single" w:sz="4" w:space="0" w:color="auto"/>
            </w:tcBorders>
            <w:shd w:val="clear" w:color="auto" w:fill="auto"/>
            <w:noWrap/>
            <w:vAlign w:val="bottom"/>
            <w:hideMark/>
          </w:tcPr>
          <w:p w14:paraId="4CD33147" w14:textId="58066789" w:rsidR="00EB79A1" w:rsidRPr="004E74A6" w:rsidRDefault="00EB79A1" w:rsidP="00CE62C1">
            <w:pPr>
              <w:spacing w:line="276" w:lineRule="auto"/>
              <w:jc w:val="center"/>
              <w:rPr>
                <w:rFonts w:cs="Calibri"/>
                <w:color w:val="000000"/>
                <w:sz w:val="20"/>
                <w:lang w:eastAsia="es-CR"/>
              </w:rPr>
            </w:pPr>
            <w:r w:rsidRPr="004E74A6">
              <w:rPr>
                <w:rFonts w:cs="Calibri"/>
                <w:color w:val="000000"/>
                <w:sz w:val="20"/>
              </w:rPr>
              <w:t>0</w:t>
            </w:r>
          </w:p>
        </w:tc>
        <w:tc>
          <w:tcPr>
            <w:tcW w:w="651" w:type="pct"/>
            <w:tcBorders>
              <w:top w:val="nil"/>
              <w:left w:val="single" w:sz="4" w:space="0" w:color="auto"/>
              <w:right w:val="single" w:sz="4" w:space="0" w:color="auto"/>
            </w:tcBorders>
            <w:shd w:val="clear" w:color="auto" w:fill="auto"/>
            <w:noWrap/>
            <w:vAlign w:val="bottom"/>
            <w:hideMark/>
          </w:tcPr>
          <w:p w14:paraId="5D1651C0" w14:textId="08BECCC3" w:rsidR="00EB79A1" w:rsidRPr="004E74A6" w:rsidRDefault="00EB79A1" w:rsidP="00CE62C1">
            <w:pPr>
              <w:spacing w:line="276" w:lineRule="auto"/>
              <w:jc w:val="center"/>
              <w:rPr>
                <w:rFonts w:cs="Calibri"/>
                <w:color w:val="000000"/>
                <w:sz w:val="20"/>
                <w:lang w:eastAsia="es-CR"/>
              </w:rPr>
            </w:pPr>
            <w:r w:rsidRPr="004E74A6">
              <w:rPr>
                <w:rFonts w:cs="Calibri"/>
                <w:color w:val="000000"/>
                <w:sz w:val="20"/>
              </w:rPr>
              <w:t>1</w:t>
            </w:r>
          </w:p>
        </w:tc>
        <w:tc>
          <w:tcPr>
            <w:tcW w:w="651" w:type="pct"/>
            <w:tcBorders>
              <w:top w:val="nil"/>
              <w:left w:val="single" w:sz="4" w:space="0" w:color="auto"/>
              <w:right w:val="single" w:sz="4" w:space="0" w:color="auto"/>
            </w:tcBorders>
            <w:shd w:val="clear" w:color="auto" w:fill="auto"/>
            <w:noWrap/>
            <w:vAlign w:val="bottom"/>
            <w:hideMark/>
          </w:tcPr>
          <w:p w14:paraId="3C4B0E3D" w14:textId="1AC20E16" w:rsidR="00EB79A1" w:rsidRPr="004E74A6" w:rsidRDefault="00EB79A1" w:rsidP="00CE62C1">
            <w:pPr>
              <w:spacing w:line="276" w:lineRule="auto"/>
              <w:jc w:val="center"/>
              <w:rPr>
                <w:sz w:val="20"/>
                <w:lang w:eastAsia="es-CR"/>
              </w:rPr>
            </w:pPr>
            <w:r w:rsidRPr="004E74A6">
              <w:rPr>
                <w:rFonts w:cs="Calibri"/>
                <w:color w:val="000000"/>
                <w:sz w:val="20"/>
              </w:rPr>
              <w:t>0</w:t>
            </w:r>
          </w:p>
        </w:tc>
        <w:tc>
          <w:tcPr>
            <w:tcW w:w="868" w:type="pct"/>
            <w:tcBorders>
              <w:top w:val="nil"/>
              <w:left w:val="single" w:sz="4" w:space="0" w:color="auto"/>
              <w:right w:val="nil"/>
            </w:tcBorders>
            <w:shd w:val="clear" w:color="auto" w:fill="auto"/>
            <w:noWrap/>
            <w:vAlign w:val="bottom"/>
            <w:hideMark/>
          </w:tcPr>
          <w:p w14:paraId="266E0BAF" w14:textId="0CEDBB0E" w:rsidR="00EB79A1" w:rsidRPr="004E74A6" w:rsidRDefault="00EB79A1" w:rsidP="00CE62C1">
            <w:pPr>
              <w:spacing w:line="276" w:lineRule="auto"/>
              <w:jc w:val="center"/>
              <w:rPr>
                <w:rFonts w:cs="Calibri"/>
                <w:color w:val="000000"/>
                <w:sz w:val="20"/>
                <w:lang w:eastAsia="es-CR"/>
              </w:rPr>
            </w:pPr>
            <w:r w:rsidRPr="004E74A6">
              <w:rPr>
                <w:rFonts w:cs="Calibri"/>
                <w:color w:val="000000"/>
                <w:sz w:val="20"/>
              </w:rPr>
              <w:t>0,3</w:t>
            </w:r>
          </w:p>
        </w:tc>
      </w:tr>
      <w:tr w:rsidR="004F0BF3" w:rsidRPr="004E74A6" w14:paraId="6D57D717" w14:textId="77777777" w:rsidTr="00EB79A1">
        <w:trPr>
          <w:trHeight w:val="288"/>
          <w:jc w:val="center"/>
        </w:trPr>
        <w:tc>
          <w:tcPr>
            <w:tcW w:w="2178" w:type="pct"/>
            <w:tcBorders>
              <w:top w:val="nil"/>
              <w:left w:val="nil"/>
              <w:bottom w:val="single" w:sz="4" w:space="0" w:color="auto"/>
              <w:right w:val="single" w:sz="4" w:space="0" w:color="auto"/>
            </w:tcBorders>
            <w:shd w:val="clear" w:color="auto" w:fill="auto"/>
            <w:noWrap/>
            <w:vAlign w:val="bottom"/>
          </w:tcPr>
          <w:p w14:paraId="627E5702" w14:textId="77777777" w:rsidR="008647ED" w:rsidRPr="004E74A6" w:rsidRDefault="008647ED" w:rsidP="00CE62C1">
            <w:pPr>
              <w:spacing w:line="276" w:lineRule="auto"/>
              <w:ind w:firstLineChars="100" w:firstLine="200"/>
              <w:jc w:val="left"/>
              <w:rPr>
                <w:rFonts w:cs="Calibri"/>
                <w:color w:val="000000"/>
                <w:sz w:val="20"/>
                <w:lang w:eastAsia="es-CR"/>
              </w:rPr>
            </w:pPr>
          </w:p>
        </w:tc>
        <w:tc>
          <w:tcPr>
            <w:tcW w:w="652" w:type="pct"/>
            <w:tcBorders>
              <w:top w:val="nil"/>
              <w:left w:val="single" w:sz="4" w:space="0" w:color="auto"/>
              <w:bottom w:val="single" w:sz="4" w:space="0" w:color="auto"/>
              <w:right w:val="single" w:sz="4" w:space="0" w:color="auto"/>
            </w:tcBorders>
            <w:shd w:val="clear" w:color="auto" w:fill="auto"/>
            <w:noWrap/>
            <w:vAlign w:val="center"/>
          </w:tcPr>
          <w:p w14:paraId="23DCD918" w14:textId="77777777" w:rsidR="008647ED" w:rsidRPr="004E74A6" w:rsidRDefault="008647ED" w:rsidP="00CE62C1">
            <w:pPr>
              <w:spacing w:line="276" w:lineRule="auto"/>
              <w:jc w:val="center"/>
              <w:rPr>
                <w:rFonts w:cs="Calibri"/>
                <w:color w:val="000000"/>
                <w:sz w:val="20"/>
                <w:lang w:eastAsia="es-CR"/>
              </w:rPr>
            </w:pPr>
          </w:p>
        </w:tc>
        <w:tc>
          <w:tcPr>
            <w:tcW w:w="651" w:type="pct"/>
            <w:tcBorders>
              <w:top w:val="nil"/>
              <w:left w:val="single" w:sz="4" w:space="0" w:color="auto"/>
              <w:bottom w:val="single" w:sz="4" w:space="0" w:color="auto"/>
              <w:right w:val="single" w:sz="4" w:space="0" w:color="auto"/>
            </w:tcBorders>
            <w:shd w:val="clear" w:color="auto" w:fill="auto"/>
            <w:noWrap/>
            <w:vAlign w:val="center"/>
          </w:tcPr>
          <w:p w14:paraId="6A8140BD" w14:textId="77777777" w:rsidR="008647ED" w:rsidRPr="004E74A6" w:rsidRDefault="008647ED" w:rsidP="00CE62C1">
            <w:pPr>
              <w:spacing w:line="276" w:lineRule="auto"/>
              <w:jc w:val="center"/>
              <w:rPr>
                <w:rFonts w:cs="Calibri"/>
                <w:color w:val="000000"/>
                <w:sz w:val="20"/>
                <w:lang w:eastAsia="es-CR"/>
              </w:rPr>
            </w:pPr>
          </w:p>
        </w:tc>
        <w:tc>
          <w:tcPr>
            <w:tcW w:w="651" w:type="pct"/>
            <w:tcBorders>
              <w:top w:val="nil"/>
              <w:left w:val="single" w:sz="4" w:space="0" w:color="auto"/>
              <w:bottom w:val="single" w:sz="4" w:space="0" w:color="auto"/>
              <w:right w:val="single" w:sz="4" w:space="0" w:color="auto"/>
            </w:tcBorders>
            <w:shd w:val="clear" w:color="auto" w:fill="auto"/>
            <w:noWrap/>
            <w:vAlign w:val="center"/>
          </w:tcPr>
          <w:p w14:paraId="7B9D7663" w14:textId="77777777" w:rsidR="008647ED" w:rsidRPr="004E74A6" w:rsidRDefault="008647ED" w:rsidP="00CE62C1">
            <w:pPr>
              <w:spacing w:line="276" w:lineRule="auto"/>
              <w:jc w:val="center"/>
              <w:rPr>
                <w:sz w:val="20"/>
                <w:lang w:eastAsia="es-CR"/>
              </w:rPr>
            </w:pPr>
          </w:p>
        </w:tc>
        <w:tc>
          <w:tcPr>
            <w:tcW w:w="868" w:type="pct"/>
            <w:tcBorders>
              <w:top w:val="nil"/>
              <w:left w:val="single" w:sz="4" w:space="0" w:color="auto"/>
              <w:bottom w:val="single" w:sz="4" w:space="0" w:color="auto"/>
              <w:right w:val="nil"/>
            </w:tcBorders>
            <w:shd w:val="clear" w:color="auto" w:fill="auto"/>
            <w:noWrap/>
            <w:vAlign w:val="center"/>
          </w:tcPr>
          <w:p w14:paraId="62D3AB19" w14:textId="77777777" w:rsidR="008647ED" w:rsidRPr="004E74A6" w:rsidRDefault="008647ED" w:rsidP="00CE62C1">
            <w:pPr>
              <w:spacing w:line="276" w:lineRule="auto"/>
              <w:jc w:val="center"/>
              <w:rPr>
                <w:rFonts w:cs="Calibri"/>
                <w:color w:val="000000"/>
                <w:sz w:val="20"/>
                <w:lang w:eastAsia="es-CR"/>
              </w:rPr>
            </w:pPr>
          </w:p>
        </w:tc>
      </w:tr>
    </w:tbl>
    <w:p w14:paraId="4C963D77" w14:textId="1CC36C71" w:rsidR="003E4755" w:rsidRPr="004E74A6" w:rsidRDefault="003E4755" w:rsidP="00832773">
      <w:pPr>
        <w:spacing w:line="276" w:lineRule="auto"/>
        <w:ind w:left="1191" w:right="1191"/>
        <w:rPr>
          <w:rFonts w:cs="Calibri"/>
          <w:i/>
          <w:iCs/>
          <w:color w:val="000000"/>
          <w:sz w:val="20"/>
          <w:lang w:eastAsia="es-CR"/>
        </w:rPr>
      </w:pPr>
      <w:r w:rsidRPr="004E74A6">
        <w:rPr>
          <w:rFonts w:cs="Calibri"/>
          <w:b/>
          <w:bCs/>
          <w:i/>
          <w:iCs/>
          <w:color w:val="000000"/>
          <w:sz w:val="20"/>
          <w:lang w:eastAsia="es-CR"/>
        </w:rPr>
        <w:t>Fuente</w:t>
      </w:r>
      <w:r w:rsidRPr="004E74A6">
        <w:rPr>
          <w:rFonts w:cs="Calibri"/>
          <w:i/>
          <w:iCs/>
          <w:color w:val="000000"/>
          <w:sz w:val="20"/>
          <w:lang w:eastAsia="es-CR"/>
        </w:rPr>
        <w:t>: Subproceso de Modernización Institucional con datos extraídos del sistema SIGMA, Dirección de Planificación.</w:t>
      </w:r>
    </w:p>
    <w:p w14:paraId="544612F3" w14:textId="66C6EAE4" w:rsidR="004F0BF3" w:rsidRPr="004E74A6" w:rsidRDefault="004F0BF3" w:rsidP="00832773">
      <w:pPr>
        <w:spacing w:line="276" w:lineRule="auto"/>
        <w:rPr>
          <w:rFonts w:cs="Calibri"/>
          <w:i/>
          <w:iCs/>
          <w:color w:val="000000"/>
          <w:sz w:val="20"/>
          <w:lang w:eastAsia="es-CR"/>
        </w:rPr>
      </w:pPr>
    </w:p>
    <w:p w14:paraId="0420474E" w14:textId="40D07329" w:rsidR="008647ED" w:rsidRPr="004E74A6" w:rsidRDefault="00EB79A1" w:rsidP="00CE62C1">
      <w:pPr>
        <w:spacing w:after="160" w:line="276" w:lineRule="auto"/>
        <w:rPr>
          <w:rFonts w:cs="Calibri"/>
          <w:color w:val="000000"/>
          <w:szCs w:val="24"/>
          <w:lang w:eastAsia="es-CR"/>
        </w:rPr>
      </w:pPr>
      <w:r w:rsidRPr="004E74A6">
        <w:rPr>
          <w:rFonts w:cs="Calibri"/>
          <w:color w:val="000000"/>
          <w:szCs w:val="24"/>
          <w:lang w:eastAsia="es-CR"/>
        </w:rPr>
        <w:t>Con un mayor detalle es posible observar que dentro de la clase de asunto ordinario, los procedimientos ordinarios son la mayoría con el 95% de los asuntos. Como se observa de los 105 registros, solo 103 tienen el procedimiento correcto, ya que según la fórmula estadística la clase “</w:t>
      </w:r>
      <w:r w:rsidRPr="004E74A6">
        <w:rPr>
          <w:rFonts w:cs="Calibri"/>
          <w:i/>
          <w:iCs/>
          <w:color w:val="000000"/>
          <w:szCs w:val="24"/>
          <w:lang w:eastAsia="es-CR"/>
        </w:rPr>
        <w:t>ordinario</w:t>
      </w:r>
      <w:r w:rsidRPr="004E74A6">
        <w:rPr>
          <w:rFonts w:cs="Calibri"/>
          <w:color w:val="000000"/>
          <w:szCs w:val="24"/>
          <w:lang w:eastAsia="es-CR"/>
        </w:rPr>
        <w:t>” solamente tiene como procedimiento asociado “</w:t>
      </w:r>
      <w:r w:rsidRPr="004E74A6">
        <w:rPr>
          <w:rFonts w:cs="Calibri"/>
          <w:i/>
          <w:iCs/>
          <w:color w:val="000000"/>
          <w:szCs w:val="24"/>
          <w:lang w:eastAsia="es-CR"/>
        </w:rPr>
        <w:t>ordinario</w:t>
      </w:r>
      <w:r w:rsidRPr="004E74A6">
        <w:rPr>
          <w:rFonts w:cs="Calibri"/>
          <w:color w:val="000000"/>
          <w:szCs w:val="24"/>
          <w:lang w:eastAsia="es-CR"/>
        </w:rPr>
        <w:t xml:space="preserve">”. </w:t>
      </w:r>
    </w:p>
    <w:p w14:paraId="3027BF80" w14:textId="77777777" w:rsidR="004E4F14" w:rsidRDefault="004E4F14" w:rsidP="004E4F14"/>
    <w:p w14:paraId="5D2AD10A" w14:textId="77777777" w:rsidR="004E4F14" w:rsidRDefault="004E4F14" w:rsidP="004E4F14"/>
    <w:p w14:paraId="41E0E85B" w14:textId="77777777" w:rsidR="004E4F14" w:rsidRDefault="004E4F14" w:rsidP="004E4F14"/>
    <w:p w14:paraId="3CA1D96C" w14:textId="77777777" w:rsidR="004E4F14" w:rsidRDefault="004E4F14" w:rsidP="004E4F14"/>
    <w:p w14:paraId="3FD077E4" w14:textId="77777777" w:rsidR="004E4F14" w:rsidRDefault="004E4F14" w:rsidP="004E4F14"/>
    <w:p w14:paraId="3F502C55" w14:textId="77777777" w:rsidR="004E4F14" w:rsidRDefault="004E4F14" w:rsidP="004E4F14"/>
    <w:p w14:paraId="778F1D34" w14:textId="6C3E4095" w:rsidR="004E4F14" w:rsidRDefault="004E4F14" w:rsidP="004E4F14">
      <w:pPr>
        <w:pStyle w:val="Descripcin"/>
        <w:keepNext/>
        <w:spacing w:line="276" w:lineRule="auto"/>
        <w:rPr>
          <w:rFonts w:ascii="Book Antiqua" w:hAnsi="Book Antiqua"/>
          <w:i/>
          <w:iCs/>
          <w:sz w:val="20"/>
          <w:szCs w:val="16"/>
          <w:lang w:val="es-CR"/>
        </w:rPr>
      </w:pPr>
    </w:p>
    <w:p w14:paraId="2B408DBD" w14:textId="77777777" w:rsidR="004E4F14" w:rsidRPr="004E4F14" w:rsidRDefault="004E4F14" w:rsidP="004E4F14"/>
    <w:p w14:paraId="1CF5995D" w14:textId="4749DC24" w:rsidR="004F0BF3" w:rsidRPr="00832773" w:rsidRDefault="004F0BF3" w:rsidP="00F0204A">
      <w:pPr>
        <w:pStyle w:val="Descripcin"/>
        <w:keepNext/>
        <w:spacing w:line="276" w:lineRule="auto"/>
        <w:jc w:val="center"/>
        <w:rPr>
          <w:rFonts w:ascii="Book Antiqua" w:hAnsi="Book Antiqua"/>
          <w:i/>
          <w:iCs/>
          <w:sz w:val="20"/>
          <w:szCs w:val="16"/>
          <w:lang w:val="es-CR"/>
        </w:rPr>
      </w:pPr>
      <w:r w:rsidRPr="00832773">
        <w:rPr>
          <w:rFonts w:ascii="Book Antiqua" w:hAnsi="Book Antiqua"/>
          <w:i/>
          <w:iCs/>
          <w:sz w:val="20"/>
          <w:szCs w:val="16"/>
          <w:lang w:val="es-CR"/>
        </w:rPr>
        <w:lastRenderedPageBreak/>
        <w:t xml:space="preserve">Tabla </w:t>
      </w:r>
      <w:r w:rsidRPr="00832773">
        <w:rPr>
          <w:rFonts w:ascii="Book Antiqua" w:hAnsi="Book Antiqua"/>
          <w:i/>
          <w:iCs/>
          <w:sz w:val="20"/>
          <w:szCs w:val="16"/>
          <w:lang w:val="es-CR"/>
        </w:rPr>
        <w:fldChar w:fldCharType="begin"/>
      </w:r>
      <w:r w:rsidRPr="00832773">
        <w:rPr>
          <w:rFonts w:ascii="Book Antiqua" w:hAnsi="Book Antiqua"/>
          <w:i/>
          <w:iCs/>
          <w:sz w:val="20"/>
          <w:szCs w:val="16"/>
          <w:lang w:val="es-CR"/>
        </w:rPr>
        <w:instrText xml:space="preserve"> SEQ Tabla \* ARABIC </w:instrText>
      </w:r>
      <w:r w:rsidRPr="00832773">
        <w:rPr>
          <w:rFonts w:ascii="Book Antiqua" w:hAnsi="Book Antiqua"/>
          <w:i/>
          <w:iCs/>
          <w:sz w:val="20"/>
          <w:szCs w:val="16"/>
          <w:lang w:val="es-CR"/>
        </w:rPr>
        <w:fldChar w:fldCharType="separate"/>
      </w:r>
      <w:r w:rsidR="00374B51">
        <w:rPr>
          <w:rFonts w:ascii="Book Antiqua" w:hAnsi="Book Antiqua"/>
          <w:i/>
          <w:iCs/>
          <w:noProof/>
          <w:sz w:val="20"/>
          <w:szCs w:val="16"/>
          <w:lang w:val="es-CR"/>
        </w:rPr>
        <w:t>43</w:t>
      </w:r>
      <w:r w:rsidRPr="00832773">
        <w:rPr>
          <w:rFonts w:ascii="Book Antiqua" w:hAnsi="Book Antiqua"/>
          <w:i/>
          <w:iCs/>
          <w:sz w:val="20"/>
          <w:szCs w:val="16"/>
          <w:lang w:val="es-CR"/>
        </w:rPr>
        <w:fldChar w:fldCharType="end"/>
      </w:r>
      <w:r w:rsidRPr="00832773">
        <w:rPr>
          <w:rFonts w:ascii="Book Antiqua" w:hAnsi="Book Antiqua"/>
          <w:i/>
          <w:iCs/>
          <w:sz w:val="20"/>
          <w:szCs w:val="16"/>
          <w:lang w:val="es-CR"/>
        </w:rPr>
        <w:t xml:space="preserve"> Cantidad de asuntos ordinarios según procedimiento del 2019 al 2021 para el Tribunal Colegiado de Primera Instancia Civil Primer Circuito Judicial Zona Sur, Pérez Zeledón</w:t>
      </w:r>
    </w:p>
    <w:tbl>
      <w:tblPr>
        <w:tblW w:w="4576" w:type="pct"/>
        <w:jc w:val="center"/>
        <w:tblCellMar>
          <w:left w:w="70" w:type="dxa"/>
          <w:right w:w="70" w:type="dxa"/>
        </w:tblCellMar>
        <w:tblLook w:val="04A0" w:firstRow="1" w:lastRow="0" w:firstColumn="1" w:lastColumn="0" w:noHBand="0" w:noVBand="1"/>
      </w:tblPr>
      <w:tblGrid>
        <w:gridCol w:w="4469"/>
        <w:gridCol w:w="835"/>
        <w:gridCol w:w="835"/>
        <w:gridCol w:w="835"/>
        <w:gridCol w:w="1116"/>
      </w:tblGrid>
      <w:tr w:rsidR="00CE0DFD" w:rsidRPr="004E74A6" w14:paraId="77636856" w14:textId="77777777" w:rsidTr="00EB79A1">
        <w:trPr>
          <w:trHeight w:val="567"/>
          <w:tblHeader/>
          <w:jc w:val="center"/>
        </w:trPr>
        <w:tc>
          <w:tcPr>
            <w:tcW w:w="2762" w:type="pct"/>
            <w:tcBorders>
              <w:top w:val="single" w:sz="4" w:space="0" w:color="auto"/>
              <w:left w:val="nil"/>
              <w:bottom w:val="single" w:sz="4" w:space="0" w:color="auto"/>
              <w:right w:val="single" w:sz="4" w:space="0" w:color="auto"/>
            </w:tcBorders>
            <w:shd w:val="clear" w:color="auto" w:fill="auto"/>
            <w:noWrap/>
            <w:vAlign w:val="center"/>
            <w:hideMark/>
          </w:tcPr>
          <w:p w14:paraId="655C37CD"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Ordinario</w:t>
            </w:r>
          </w:p>
        </w:tc>
        <w:tc>
          <w:tcPr>
            <w:tcW w:w="51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DD5A3B8"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2019</w:t>
            </w:r>
          </w:p>
        </w:tc>
        <w:tc>
          <w:tcPr>
            <w:tcW w:w="51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7F68111"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2020</w:t>
            </w:r>
          </w:p>
        </w:tc>
        <w:tc>
          <w:tcPr>
            <w:tcW w:w="51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6C23DFF"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2021</w:t>
            </w:r>
          </w:p>
        </w:tc>
        <w:tc>
          <w:tcPr>
            <w:tcW w:w="690" w:type="pct"/>
            <w:tcBorders>
              <w:top w:val="single" w:sz="4" w:space="0" w:color="auto"/>
              <w:left w:val="single" w:sz="4" w:space="0" w:color="auto"/>
              <w:bottom w:val="single" w:sz="4" w:space="0" w:color="auto"/>
              <w:right w:val="nil"/>
            </w:tcBorders>
            <w:shd w:val="clear" w:color="auto" w:fill="auto"/>
            <w:noWrap/>
            <w:vAlign w:val="center"/>
          </w:tcPr>
          <w:p w14:paraId="54D12ACA" w14:textId="6DFB14ED" w:rsidR="008647ED" w:rsidRPr="004E74A6" w:rsidRDefault="00CE0DFD" w:rsidP="00CE62C1">
            <w:pPr>
              <w:spacing w:line="276" w:lineRule="auto"/>
              <w:jc w:val="center"/>
              <w:rPr>
                <w:rFonts w:cs="Calibri"/>
                <w:color w:val="000000"/>
                <w:sz w:val="20"/>
                <w:lang w:eastAsia="es-CR"/>
              </w:rPr>
            </w:pPr>
            <w:r w:rsidRPr="004E74A6">
              <w:rPr>
                <w:rFonts w:cs="Calibri"/>
                <w:color w:val="000000"/>
                <w:sz w:val="20"/>
                <w:lang w:eastAsia="es-CR"/>
              </w:rPr>
              <w:t>Promedio</w:t>
            </w:r>
          </w:p>
        </w:tc>
      </w:tr>
      <w:tr w:rsidR="00EB79A1" w:rsidRPr="004E74A6" w14:paraId="5615C6D0" w14:textId="77777777" w:rsidTr="00B32800">
        <w:trPr>
          <w:trHeight w:val="288"/>
          <w:jc w:val="center"/>
        </w:trPr>
        <w:tc>
          <w:tcPr>
            <w:tcW w:w="2762" w:type="pct"/>
            <w:tcBorders>
              <w:top w:val="nil"/>
              <w:left w:val="nil"/>
              <w:bottom w:val="nil"/>
              <w:right w:val="single" w:sz="4" w:space="0" w:color="auto"/>
            </w:tcBorders>
            <w:shd w:val="clear" w:color="auto" w:fill="auto"/>
            <w:noWrap/>
            <w:vAlign w:val="center"/>
          </w:tcPr>
          <w:p w14:paraId="30CF2CAF" w14:textId="77777777" w:rsidR="00EB79A1" w:rsidRPr="004E74A6" w:rsidRDefault="00EB79A1" w:rsidP="00CE62C1">
            <w:pPr>
              <w:spacing w:line="276" w:lineRule="auto"/>
              <w:jc w:val="center"/>
              <w:rPr>
                <w:rFonts w:cs="Calibri"/>
                <w:color w:val="000000"/>
                <w:sz w:val="20"/>
                <w:lang w:eastAsia="es-CR"/>
              </w:rPr>
            </w:pPr>
            <w:r w:rsidRPr="004E74A6">
              <w:rPr>
                <w:rFonts w:cs="Calibri"/>
                <w:color w:val="000000"/>
                <w:sz w:val="20"/>
                <w:lang w:eastAsia="es-CR"/>
              </w:rPr>
              <w:t>Total</w:t>
            </w:r>
          </w:p>
        </w:tc>
        <w:tc>
          <w:tcPr>
            <w:tcW w:w="516" w:type="pct"/>
            <w:tcBorders>
              <w:top w:val="nil"/>
              <w:left w:val="single" w:sz="4" w:space="0" w:color="auto"/>
              <w:bottom w:val="nil"/>
              <w:right w:val="single" w:sz="4" w:space="0" w:color="auto"/>
            </w:tcBorders>
            <w:shd w:val="clear" w:color="auto" w:fill="auto"/>
            <w:noWrap/>
            <w:vAlign w:val="bottom"/>
          </w:tcPr>
          <w:p w14:paraId="16F20839" w14:textId="74B97BDA" w:rsidR="00EB79A1" w:rsidRPr="004E74A6" w:rsidRDefault="00EB79A1" w:rsidP="00CE62C1">
            <w:pPr>
              <w:spacing w:line="276" w:lineRule="auto"/>
              <w:jc w:val="center"/>
              <w:rPr>
                <w:rFonts w:cs="Calibri"/>
                <w:color w:val="000000"/>
                <w:sz w:val="20"/>
                <w:lang w:eastAsia="es-CR"/>
              </w:rPr>
            </w:pPr>
            <w:r w:rsidRPr="004E74A6">
              <w:rPr>
                <w:rFonts w:cs="Calibri"/>
                <w:color w:val="000000"/>
                <w:sz w:val="20"/>
              </w:rPr>
              <w:t>94</w:t>
            </w:r>
          </w:p>
        </w:tc>
        <w:tc>
          <w:tcPr>
            <w:tcW w:w="516" w:type="pct"/>
            <w:tcBorders>
              <w:top w:val="nil"/>
              <w:left w:val="single" w:sz="4" w:space="0" w:color="auto"/>
              <w:bottom w:val="nil"/>
              <w:right w:val="single" w:sz="4" w:space="0" w:color="auto"/>
            </w:tcBorders>
            <w:shd w:val="clear" w:color="auto" w:fill="auto"/>
            <w:noWrap/>
            <w:vAlign w:val="bottom"/>
          </w:tcPr>
          <w:p w14:paraId="5E323398" w14:textId="1A04C992" w:rsidR="00EB79A1" w:rsidRPr="004E74A6" w:rsidRDefault="00EB79A1" w:rsidP="00CE62C1">
            <w:pPr>
              <w:spacing w:line="276" w:lineRule="auto"/>
              <w:jc w:val="center"/>
              <w:rPr>
                <w:rFonts w:cs="Calibri"/>
                <w:color w:val="000000"/>
                <w:sz w:val="20"/>
                <w:lang w:eastAsia="es-CR"/>
              </w:rPr>
            </w:pPr>
            <w:r w:rsidRPr="004E74A6">
              <w:rPr>
                <w:rFonts w:cs="Calibri"/>
                <w:color w:val="000000"/>
                <w:sz w:val="20"/>
              </w:rPr>
              <w:t>110</w:t>
            </w:r>
          </w:p>
        </w:tc>
        <w:tc>
          <w:tcPr>
            <w:tcW w:w="516" w:type="pct"/>
            <w:tcBorders>
              <w:top w:val="nil"/>
              <w:left w:val="single" w:sz="4" w:space="0" w:color="auto"/>
              <w:bottom w:val="nil"/>
              <w:right w:val="single" w:sz="4" w:space="0" w:color="auto"/>
            </w:tcBorders>
            <w:shd w:val="clear" w:color="auto" w:fill="auto"/>
            <w:noWrap/>
            <w:vAlign w:val="bottom"/>
          </w:tcPr>
          <w:p w14:paraId="46F23399" w14:textId="057BD261" w:rsidR="00EB79A1" w:rsidRPr="004E74A6" w:rsidRDefault="00EB79A1" w:rsidP="00CE62C1">
            <w:pPr>
              <w:spacing w:line="276" w:lineRule="auto"/>
              <w:jc w:val="center"/>
              <w:rPr>
                <w:sz w:val="20"/>
                <w:lang w:eastAsia="es-CR"/>
              </w:rPr>
            </w:pPr>
            <w:r w:rsidRPr="004E74A6">
              <w:rPr>
                <w:rFonts w:cs="Calibri"/>
                <w:color w:val="000000"/>
                <w:sz w:val="20"/>
              </w:rPr>
              <w:t>110</w:t>
            </w:r>
          </w:p>
        </w:tc>
        <w:tc>
          <w:tcPr>
            <w:tcW w:w="690" w:type="pct"/>
            <w:tcBorders>
              <w:top w:val="nil"/>
              <w:left w:val="single" w:sz="4" w:space="0" w:color="auto"/>
              <w:bottom w:val="nil"/>
              <w:right w:val="nil"/>
            </w:tcBorders>
            <w:shd w:val="clear" w:color="auto" w:fill="auto"/>
            <w:noWrap/>
            <w:vAlign w:val="bottom"/>
          </w:tcPr>
          <w:p w14:paraId="54B24534" w14:textId="65CF454C" w:rsidR="00EB79A1" w:rsidRPr="004E74A6" w:rsidRDefault="00EB79A1" w:rsidP="00CE62C1">
            <w:pPr>
              <w:spacing w:line="276" w:lineRule="auto"/>
              <w:jc w:val="center"/>
              <w:rPr>
                <w:rFonts w:cs="Calibri"/>
                <w:color w:val="000000"/>
                <w:sz w:val="20"/>
                <w:lang w:eastAsia="es-CR"/>
              </w:rPr>
            </w:pPr>
            <w:r w:rsidRPr="004E74A6">
              <w:rPr>
                <w:rFonts w:cs="Calibri"/>
                <w:color w:val="000000"/>
                <w:sz w:val="20"/>
              </w:rPr>
              <w:t>105</w:t>
            </w:r>
          </w:p>
        </w:tc>
      </w:tr>
      <w:tr w:rsidR="00CE0DFD" w:rsidRPr="004E74A6" w14:paraId="443EBA98" w14:textId="77777777" w:rsidTr="00EB79A1">
        <w:trPr>
          <w:trHeight w:val="288"/>
          <w:jc w:val="center"/>
        </w:trPr>
        <w:tc>
          <w:tcPr>
            <w:tcW w:w="2762" w:type="pct"/>
            <w:tcBorders>
              <w:top w:val="nil"/>
              <w:left w:val="nil"/>
              <w:bottom w:val="nil"/>
              <w:right w:val="single" w:sz="4" w:space="0" w:color="auto"/>
            </w:tcBorders>
            <w:shd w:val="clear" w:color="auto" w:fill="auto"/>
            <w:noWrap/>
            <w:vAlign w:val="bottom"/>
          </w:tcPr>
          <w:p w14:paraId="1C78FB1F" w14:textId="77777777" w:rsidR="00CE0DFD" w:rsidRPr="004E74A6" w:rsidRDefault="00CE0DFD" w:rsidP="00CE62C1">
            <w:pPr>
              <w:spacing w:line="276" w:lineRule="auto"/>
              <w:ind w:firstLineChars="200" w:firstLine="400"/>
              <w:jc w:val="left"/>
              <w:rPr>
                <w:rFonts w:cs="Calibri"/>
                <w:color w:val="000000"/>
                <w:sz w:val="20"/>
                <w:lang w:eastAsia="es-CR"/>
              </w:rPr>
            </w:pPr>
          </w:p>
        </w:tc>
        <w:tc>
          <w:tcPr>
            <w:tcW w:w="516" w:type="pct"/>
            <w:tcBorders>
              <w:top w:val="nil"/>
              <w:left w:val="single" w:sz="4" w:space="0" w:color="auto"/>
              <w:bottom w:val="nil"/>
              <w:right w:val="single" w:sz="4" w:space="0" w:color="auto"/>
            </w:tcBorders>
            <w:shd w:val="clear" w:color="auto" w:fill="auto"/>
            <w:noWrap/>
            <w:vAlign w:val="center"/>
          </w:tcPr>
          <w:p w14:paraId="68469AC4" w14:textId="77777777" w:rsidR="00CE0DFD" w:rsidRPr="004E74A6" w:rsidRDefault="00CE0DFD" w:rsidP="00CE62C1">
            <w:pPr>
              <w:spacing w:line="276" w:lineRule="auto"/>
              <w:jc w:val="center"/>
              <w:rPr>
                <w:rFonts w:cs="Calibri"/>
                <w:color w:val="000000"/>
                <w:sz w:val="20"/>
                <w:lang w:eastAsia="es-CR"/>
              </w:rPr>
            </w:pPr>
          </w:p>
        </w:tc>
        <w:tc>
          <w:tcPr>
            <w:tcW w:w="516" w:type="pct"/>
            <w:tcBorders>
              <w:top w:val="nil"/>
              <w:left w:val="single" w:sz="4" w:space="0" w:color="auto"/>
              <w:bottom w:val="nil"/>
              <w:right w:val="single" w:sz="4" w:space="0" w:color="auto"/>
            </w:tcBorders>
            <w:shd w:val="clear" w:color="auto" w:fill="auto"/>
            <w:noWrap/>
            <w:vAlign w:val="center"/>
          </w:tcPr>
          <w:p w14:paraId="77AC4E7B" w14:textId="77777777" w:rsidR="00CE0DFD" w:rsidRPr="004E74A6" w:rsidRDefault="00CE0DFD" w:rsidP="00CE62C1">
            <w:pPr>
              <w:spacing w:line="276" w:lineRule="auto"/>
              <w:jc w:val="center"/>
              <w:rPr>
                <w:rFonts w:cs="Calibri"/>
                <w:color w:val="000000"/>
                <w:sz w:val="20"/>
                <w:lang w:eastAsia="es-CR"/>
              </w:rPr>
            </w:pPr>
          </w:p>
        </w:tc>
        <w:tc>
          <w:tcPr>
            <w:tcW w:w="516" w:type="pct"/>
            <w:tcBorders>
              <w:top w:val="nil"/>
              <w:left w:val="single" w:sz="4" w:space="0" w:color="auto"/>
              <w:bottom w:val="nil"/>
              <w:right w:val="single" w:sz="4" w:space="0" w:color="auto"/>
            </w:tcBorders>
            <w:shd w:val="clear" w:color="auto" w:fill="auto"/>
            <w:noWrap/>
            <w:vAlign w:val="center"/>
          </w:tcPr>
          <w:p w14:paraId="284BB980" w14:textId="77777777" w:rsidR="00CE0DFD" w:rsidRPr="004E74A6" w:rsidRDefault="00CE0DFD" w:rsidP="00CE62C1">
            <w:pPr>
              <w:spacing w:line="276" w:lineRule="auto"/>
              <w:jc w:val="center"/>
              <w:rPr>
                <w:sz w:val="20"/>
                <w:lang w:eastAsia="es-CR"/>
              </w:rPr>
            </w:pPr>
          </w:p>
        </w:tc>
        <w:tc>
          <w:tcPr>
            <w:tcW w:w="690" w:type="pct"/>
            <w:tcBorders>
              <w:top w:val="nil"/>
              <w:left w:val="single" w:sz="4" w:space="0" w:color="auto"/>
              <w:bottom w:val="nil"/>
              <w:right w:val="nil"/>
            </w:tcBorders>
            <w:shd w:val="clear" w:color="auto" w:fill="auto"/>
            <w:noWrap/>
            <w:vAlign w:val="center"/>
          </w:tcPr>
          <w:p w14:paraId="7C181DDE" w14:textId="77777777" w:rsidR="00CE0DFD" w:rsidRPr="004E74A6" w:rsidRDefault="00CE0DFD" w:rsidP="00CE62C1">
            <w:pPr>
              <w:spacing w:line="276" w:lineRule="auto"/>
              <w:jc w:val="center"/>
              <w:rPr>
                <w:rFonts w:cs="Calibri"/>
                <w:color w:val="000000"/>
                <w:sz w:val="20"/>
                <w:lang w:eastAsia="es-CR"/>
              </w:rPr>
            </w:pPr>
          </w:p>
        </w:tc>
      </w:tr>
      <w:tr w:rsidR="00EB79A1" w:rsidRPr="004E74A6" w14:paraId="24F9939B" w14:textId="77777777" w:rsidTr="00B32800">
        <w:trPr>
          <w:trHeight w:val="288"/>
          <w:jc w:val="center"/>
        </w:trPr>
        <w:tc>
          <w:tcPr>
            <w:tcW w:w="2762" w:type="pct"/>
            <w:tcBorders>
              <w:top w:val="nil"/>
              <w:left w:val="nil"/>
              <w:bottom w:val="nil"/>
              <w:right w:val="single" w:sz="4" w:space="0" w:color="auto"/>
            </w:tcBorders>
            <w:shd w:val="clear" w:color="auto" w:fill="auto"/>
            <w:noWrap/>
            <w:vAlign w:val="bottom"/>
            <w:hideMark/>
          </w:tcPr>
          <w:p w14:paraId="4A568D90" w14:textId="77777777" w:rsidR="00EB79A1" w:rsidRPr="004E74A6" w:rsidRDefault="00EB79A1" w:rsidP="00CE62C1">
            <w:pPr>
              <w:spacing w:line="276" w:lineRule="auto"/>
              <w:ind w:firstLineChars="200" w:firstLine="400"/>
              <w:jc w:val="left"/>
              <w:rPr>
                <w:rFonts w:cs="Calibri"/>
                <w:color w:val="000000"/>
                <w:sz w:val="20"/>
                <w:lang w:eastAsia="es-CR"/>
              </w:rPr>
            </w:pPr>
            <w:r w:rsidRPr="004E74A6">
              <w:rPr>
                <w:rFonts w:cs="Calibri"/>
                <w:color w:val="000000"/>
                <w:sz w:val="20"/>
                <w:lang w:eastAsia="es-CR"/>
              </w:rPr>
              <w:t>Apertura Y Comprobación De Testamento</w:t>
            </w:r>
          </w:p>
        </w:tc>
        <w:tc>
          <w:tcPr>
            <w:tcW w:w="516" w:type="pct"/>
            <w:tcBorders>
              <w:top w:val="nil"/>
              <w:left w:val="single" w:sz="4" w:space="0" w:color="auto"/>
              <w:bottom w:val="nil"/>
              <w:right w:val="single" w:sz="4" w:space="0" w:color="auto"/>
            </w:tcBorders>
            <w:shd w:val="clear" w:color="auto" w:fill="auto"/>
            <w:noWrap/>
            <w:vAlign w:val="bottom"/>
            <w:hideMark/>
          </w:tcPr>
          <w:p w14:paraId="7581A9D9" w14:textId="452F9714" w:rsidR="00EB79A1" w:rsidRPr="004E74A6" w:rsidRDefault="00EB79A1" w:rsidP="00CE62C1">
            <w:pPr>
              <w:spacing w:line="276" w:lineRule="auto"/>
              <w:jc w:val="center"/>
              <w:rPr>
                <w:rFonts w:cs="Calibri"/>
                <w:color w:val="000000"/>
                <w:sz w:val="20"/>
                <w:lang w:eastAsia="es-CR"/>
              </w:rPr>
            </w:pPr>
            <w:r w:rsidRPr="004E74A6">
              <w:rPr>
                <w:rFonts w:cs="Calibri"/>
                <w:color w:val="000000"/>
                <w:sz w:val="20"/>
              </w:rPr>
              <w:t>1</w:t>
            </w:r>
          </w:p>
        </w:tc>
        <w:tc>
          <w:tcPr>
            <w:tcW w:w="516" w:type="pct"/>
            <w:tcBorders>
              <w:top w:val="nil"/>
              <w:left w:val="single" w:sz="4" w:space="0" w:color="auto"/>
              <w:bottom w:val="nil"/>
              <w:right w:val="single" w:sz="4" w:space="0" w:color="auto"/>
            </w:tcBorders>
            <w:shd w:val="clear" w:color="auto" w:fill="auto"/>
            <w:noWrap/>
            <w:vAlign w:val="bottom"/>
            <w:hideMark/>
          </w:tcPr>
          <w:p w14:paraId="0A5DD030" w14:textId="4DC3C1D1" w:rsidR="00EB79A1" w:rsidRPr="004E74A6" w:rsidRDefault="00EB79A1" w:rsidP="00CE62C1">
            <w:pPr>
              <w:spacing w:line="276" w:lineRule="auto"/>
              <w:jc w:val="center"/>
              <w:rPr>
                <w:rFonts w:cs="Calibri"/>
                <w:color w:val="000000"/>
                <w:sz w:val="20"/>
                <w:lang w:eastAsia="es-CR"/>
              </w:rPr>
            </w:pPr>
            <w:r w:rsidRPr="004E74A6">
              <w:rPr>
                <w:rFonts w:cs="Calibri"/>
                <w:color w:val="000000"/>
                <w:sz w:val="20"/>
              </w:rPr>
              <w:t>0</w:t>
            </w:r>
          </w:p>
        </w:tc>
        <w:tc>
          <w:tcPr>
            <w:tcW w:w="516" w:type="pct"/>
            <w:tcBorders>
              <w:top w:val="nil"/>
              <w:left w:val="single" w:sz="4" w:space="0" w:color="auto"/>
              <w:bottom w:val="nil"/>
              <w:right w:val="single" w:sz="4" w:space="0" w:color="auto"/>
            </w:tcBorders>
            <w:shd w:val="clear" w:color="auto" w:fill="auto"/>
            <w:noWrap/>
            <w:vAlign w:val="bottom"/>
            <w:hideMark/>
          </w:tcPr>
          <w:p w14:paraId="4C0879B5" w14:textId="69EF49D0" w:rsidR="00EB79A1" w:rsidRPr="004E74A6" w:rsidRDefault="00EB79A1" w:rsidP="00CE62C1">
            <w:pPr>
              <w:spacing w:line="276" w:lineRule="auto"/>
              <w:jc w:val="center"/>
              <w:rPr>
                <w:sz w:val="20"/>
                <w:lang w:eastAsia="es-CR"/>
              </w:rPr>
            </w:pPr>
            <w:r w:rsidRPr="004E74A6">
              <w:rPr>
                <w:rFonts w:cs="Calibri"/>
                <w:color w:val="000000"/>
                <w:sz w:val="20"/>
              </w:rPr>
              <w:t>0</w:t>
            </w:r>
          </w:p>
        </w:tc>
        <w:tc>
          <w:tcPr>
            <w:tcW w:w="690" w:type="pct"/>
            <w:tcBorders>
              <w:top w:val="nil"/>
              <w:left w:val="single" w:sz="4" w:space="0" w:color="auto"/>
              <w:bottom w:val="nil"/>
              <w:right w:val="nil"/>
            </w:tcBorders>
            <w:shd w:val="clear" w:color="auto" w:fill="auto"/>
            <w:noWrap/>
            <w:vAlign w:val="bottom"/>
            <w:hideMark/>
          </w:tcPr>
          <w:p w14:paraId="7C31FE66" w14:textId="51832D3C" w:rsidR="00EB79A1" w:rsidRPr="004E74A6" w:rsidRDefault="00EB79A1" w:rsidP="00CE62C1">
            <w:pPr>
              <w:spacing w:line="276" w:lineRule="auto"/>
              <w:jc w:val="center"/>
              <w:rPr>
                <w:rFonts w:cs="Calibri"/>
                <w:color w:val="000000"/>
                <w:sz w:val="20"/>
                <w:lang w:eastAsia="es-CR"/>
              </w:rPr>
            </w:pPr>
            <w:r w:rsidRPr="004E74A6">
              <w:rPr>
                <w:rFonts w:cs="Calibri"/>
                <w:color w:val="000000"/>
                <w:sz w:val="20"/>
              </w:rPr>
              <w:t>0,3</w:t>
            </w:r>
          </w:p>
        </w:tc>
      </w:tr>
      <w:tr w:rsidR="00EB79A1" w:rsidRPr="004E74A6" w14:paraId="3CFB71A2" w14:textId="77777777" w:rsidTr="00B32800">
        <w:trPr>
          <w:trHeight w:val="288"/>
          <w:jc w:val="center"/>
        </w:trPr>
        <w:tc>
          <w:tcPr>
            <w:tcW w:w="2762" w:type="pct"/>
            <w:tcBorders>
              <w:top w:val="nil"/>
              <w:left w:val="nil"/>
              <w:bottom w:val="nil"/>
              <w:right w:val="single" w:sz="4" w:space="0" w:color="auto"/>
            </w:tcBorders>
            <w:shd w:val="clear" w:color="auto" w:fill="auto"/>
            <w:noWrap/>
            <w:vAlign w:val="bottom"/>
            <w:hideMark/>
          </w:tcPr>
          <w:p w14:paraId="15A0613A" w14:textId="77777777" w:rsidR="00EB79A1" w:rsidRPr="004E74A6" w:rsidRDefault="00EB79A1" w:rsidP="00CE62C1">
            <w:pPr>
              <w:spacing w:line="276" w:lineRule="auto"/>
              <w:ind w:firstLineChars="200" w:firstLine="400"/>
              <w:jc w:val="left"/>
              <w:rPr>
                <w:rFonts w:cs="Calibri"/>
                <w:color w:val="000000"/>
                <w:sz w:val="20"/>
                <w:lang w:eastAsia="es-CR"/>
              </w:rPr>
            </w:pPr>
            <w:r w:rsidRPr="004E74A6">
              <w:rPr>
                <w:rFonts w:cs="Calibri"/>
                <w:color w:val="000000"/>
                <w:sz w:val="20"/>
                <w:lang w:eastAsia="es-CR"/>
              </w:rPr>
              <w:t>Cambio De Nombre</w:t>
            </w:r>
          </w:p>
        </w:tc>
        <w:tc>
          <w:tcPr>
            <w:tcW w:w="516" w:type="pct"/>
            <w:tcBorders>
              <w:top w:val="nil"/>
              <w:left w:val="single" w:sz="4" w:space="0" w:color="auto"/>
              <w:bottom w:val="nil"/>
              <w:right w:val="single" w:sz="4" w:space="0" w:color="auto"/>
            </w:tcBorders>
            <w:shd w:val="clear" w:color="auto" w:fill="auto"/>
            <w:noWrap/>
            <w:vAlign w:val="bottom"/>
            <w:hideMark/>
          </w:tcPr>
          <w:p w14:paraId="44BE9F39" w14:textId="1A4159E2" w:rsidR="00EB79A1" w:rsidRPr="004E74A6" w:rsidRDefault="00EB79A1" w:rsidP="00CE62C1">
            <w:pPr>
              <w:spacing w:line="276" w:lineRule="auto"/>
              <w:jc w:val="center"/>
              <w:rPr>
                <w:rFonts w:cs="Calibri"/>
                <w:color w:val="000000"/>
                <w:sz w:val="20"/>
                <w:lang w:eastAsia="es-CR"/>
              </w:rPr>
            </w:pPr>
            <w:r w:rsidRPr="004E74A6">
              <w:rPr>
                <w:rFonts w:cs="Calibri"/>
                <w:color w:val="000000"/>
                <w:sz w:val="20"/>
              </w:rPr>
              <w:t>1</w:t>
            </w:r>
          </w:p>
        </w:tc>
        <w:tc>
          <w:tcPr>
            <w:tcW w:w="516" w:type="pct"/>
            <w:tcBorders>
              <w:top w:val="nil"/>
              <w:left w:val="single" w:sz="4" w:space="0" w:color="auto"/>
              <w:bottom w:val="nil"/>
              <w:right w:val="single" w:sz="4" w:space="0" w:color="auto"/>
            </w:tcBorders>
            <w:shd w:val="clear" w:color="auto" w:fill="auto"/>
            <w:noWrap/>
            <w:vAlign w:val="bottom"/>
            <w:hideMark/>
          </w:tcPr>
          <w:p w14:paraId="5FEF2D8A" w14:textId="5821EB26" w:rsidR="00EB79A1" w:rsidRPr="004E74A6" w:rsidRDefault="00EB79A1" w:rsidP="00CE62C1">
            <w:pPr>
              <w:spacing w:line="276" w:lineRule="auto"/>
              <w:jc w:val="center"/>
              <w:rPr>
                <w:rFonts w:cs="Calibri"/>
                <w:color w:val="000000"/>
                <w:sz w:val="20"/>
                <w:lang w:eastAsia="es-CR"/>
              </w:rPr>
            </w:pPr>
            <w:r w:rsidRPr="004E74A6">
              <w:rPr>
                <w:rFonts w:cs="Calibri"/>
                <w:color w:val="000000"/>
                <w:sz w:val="20"/>
              </w:rPr>
              <w:t>0</w:t>
            </w:r>
          </w:p>
        </w:tc>
        <w:tc>
          <w:tcPr>
            <w:tcW w:w="516" w:type="pct"/>
            <w:tcBorders>
              <w:top w:val="nil"/>
              <w:left w:val="single" w:sz="4" w:space="0" w:color="auto"/>
              <w:bottom w:val="nil"/>
              <w:right w:val="single" w:sz="4" w:space="0" w:color="auto"/>
            </w:tcBorders>
            <w:shd w:val="clear" w:color="auto" w:fill="auto"/>
            <w:noWrap/>
            <w:vAlign w:val="bottom"/>
            <w:hideMark/>
          </w:tcPr>
          <w:p w14:paraId="75B2ED2F" w14:textId="2846E58D" w:rsidR="00EB79A1" w:rsidRPr="004E74A6" w:rsidRDefault="00EB79A1" w:rsidP="00CE62C1">
            <w:pPr>
              <w:spacing w:line="276" w:lineRule="auto"/>
              <w:jc w:val="center"/>
              <w:rPr>
                <w:sz w:val="20"/>
                <w:lang w:eastAsia="es-CR"/>
              </w:rPr>
            </w:pPr>
            <w:r w:rsidRPr="004E74A6">
              <w:rPr>
                <w:rFonts w:cs="Calibri"/>
                <w:color w:val="000000"/>
                <w:sz w:val="20"/>
              </w:rPr>
              <w:t>0</w:t>
            </w:r>
          </w:p>
        </w:tc>
        <w:tc>
          <w:tcPr>
            <w:tcW w:w="690" w:type="pct"/>
            <w:tcBorders>
              <w:top w:val="nil"/>
              <w:left w:val="single" w:sz="4" w:space="0" w:color="auto"/>
              <w:bottom w:val="nil"/>
              <w:right w:val="nil"/>
            </w:tcBorders>
            <w:shd w:val="clear" w:color="auto" w:fill="auto"/>
            <w:noWrap/>
            <w:vAlign w:val="bottom"/>
            <w:hideMark/>
          </w:tcPr>
          <w:p w14:paraId="6C420D0C" w14:textId="502578DC" w:rsidR="00EB79A1" w:rsidRPr="004E74A6" w:rsidRDefault="00EB79A1" w:rsidP="00CE62C1">
            <w:pPr>
              <w:spacing w:line="276" w:lineRule="auto"/>
              <w:jc w:val="center"/>
              <w:rPr>
                <w:rFonts w:cs="Calibri"/>
                <w:color w:val="000000"/>
                <w:sz w:val="20"/>
                <w:lang w:eastAsia="es-CR"/>
              </w:rPr>
            </w:pPr>
            <w:r w:rsidRPr="004E74A6">
              <w:rPr>
                <w:rFonts w:cs="Calibri"/>
                <w:color w:val="000000"/>
                <w:sz w:val="20"/>
              </w:rPr>
              <w:t>0</w:t>
            </w:r>
          </w:p>
        </w:tc>
      </w:tr>
      <w:tr w:rsidR="00EB79A1" w:rsidRPr="004E74A6" w14:paraId="058EAD22" w14:textId="77777777" w:rsidTr="00B32800">
        <w:trPr>
          <w:trHeight w:val="288"/>
          <w:jc w:val="center"/>
        </w:trPr>
        <w:tc>
          <w:tcPr>
            <w:tcW w:w="2762" w:type="pct"/>
            <w:tcBorders>
              <w:top w:val="nil"/>
              <w:left w:val="nil"/>
              <w:bottom w:val="nil"/>
              <w:right w:val="single" w:sz="4" w:space="0" w:color="auto"/>
            </w:tcBorders>
            <w:shd w:val="clear" w:color="auto" w:fill="C5E0B3" w:themeFill="accent6" w:themeFillTint="66"/>
            <w:noWrap/>
            <w:vAlign w:val="bottom"/>
            <w:hideMark/>
          </w:tcPr>
          <w:p w14:paraId="15431976" w14:textId="77777777" w:rsidR="00EB79A1" w:rsidRPr="004E74A6" w:rsidRDefault="00EB79A1" w:rsidP="00CE62C1">
            <w:pPr>
              <w:spacing w:line="276" w:lineRule="auto"/>
              <w:ind w:firstLineChars="200" w:firstLine="400"/>
              <w:jc w:val="left"/>
              <w:rPr>
                <w:rFonts w:cs="Calibri"/>
                <w:color w:val="000000"/>
                <w:sz w:val="20"/>
                <w:lang w:eastAsia="es-CR"/>
              </w:rPr>
            </w:pPr>
            <w:r w:rsidRPr="004E74A6">
              <w:rPr>
                <w:rFonts w:cs="Calibri"/>
                <w:color w:val="000000"/>
                <w:sz w:val="20"/>
                <w:lang w:eastAsia="es-CR"/>
              </w:rPr>
              <w:t>Ordinario</w:t>
            </w:r>
          </w:p>
        </w:tc>
        <w:tc>
          <w:tcPr>
            <w:tcW w:w="516" w:type="pct"/>
            <w:tcBorders>
              <w:top w:val="nil"/>
              <w:left w:val="single" w:sz="4" w:space="0" w:color="auto"/>
              <w:bottom w:val="nil"/>
              <w:right w:val="single" w:sz="4" w:space="0" w:color="auto"/>
            </w:tcBorders>
            <w:shd w:val="clear" w:color="auto" w:fill="C5E0B3" w:themeFill="accent6" w:themeFillTint="66"/>
            <w:noWrap/>
            <w:vAlign w:val="bottom"/>
            <w:hideMark/>
          </w:tcPr>
          <w:p w14:paraId="4A3493E4" w14:textId="67090D50" w:rsidR="00EB79A1" w:rsidRPr="004E74A6" w:rsidRDefault="00EB79A1" w:rsidP="00CE62C1">
            <w:pPr>
              <w:spacing w:line="276" w:lineRule="auto"/>
              <w:jc w:val="center"/>
              <w:rPr>
                <w:rFonts w:cs="Calibri"/>
                <w:color w:val="000000"/>
                <w:sz w:val="20"/>
                <w:lang w:eastAsia="es-CR"/>
              </w:rPr>
            </w:pPr>
            <w:r w:rsidRPr="004E74A6">
              <w:rPr>
                <w:rFonts w:cs="Calibri"/>
                <w:color w:val="000000"/>
                <w:sz w:val="20"/>
              </w:rPr>
              <w:t>90</w:t>
            </w:r>
          </w:p>
        </w:tc>
        <w:tc>
          <w:tcPr>
            <w:tcW w:w="516" w:type="pct"/>
            <w:tcBorders>
              <w:top w:val="nil"/>
              <w:left w:val="single" w:sz="4" w:space="0" w:color="auto"/>
              <w:bottom w:val="nil"/>
              <w:right w:val="single" w:sz="4" w:space="0" w:color="auto"/>
            </w:tcBorders>
            <w:shd w:val="clear" w:color="auto" w:fill="C5E0B3" w:themeFill="accent6" w:themeFillTint="66"/>
            <w:noWrap/>
            <w:vAlign w:val="bottom"/>
            <w:hideMark/>
          </w:tcPr>
          <w:p w14:paraId="5E1A6B5E" w14:textId="6B9BF7DA" w:rsidR="00EB79A1" w:rsidRPr="004E74A6" w:rsidRDefault="00EB79A1" w:rsidP="00CE62C1">
            <w:pPr>
              <w:spacing w:line="276" w:lineRule="auto"/>
              <w:jc w:val="center"/>
              <w:rPr>
                <w:rFonts w:cs="Calibri"/>
                <w:color w:val="000000"/>
                <w:sz w:val="20"/>
                <w:lang w:eastAsia="es-CR"/>
              </w:rPr>
            </w:pPr>
            <w:r w:rsidRPr="004E74A6">
              <w:rPr>
                <w:rFonts w:cs="Calibri"/>
                <w:color w:val="000000"/>
                <w:sz w:val="20"/>
              </w:rPr>
              <w:t>110</w:t>
            </w:r>
          </w:p>
        </w:tc>
        <w:tc>
          <w:tcPr>
            <w:tcW w:w="516" w:type="pct"/>
            <w:tcBorders>
              <w:top w:val="nil"/>
              <w:left w:val="single" w:sz="4" w:space="0" w:color="auto"/>
              <w:bottom w:val="nil"/>
              <w:right w:val="single" w:sz="4" w:space="0" w:color="auto"/>
            </w:tcBorders>
            <w:shd w:val="clear" w:color="auto" w:fill="C5E0B3" w:themeFill="accent6" w:themeFillTint="66"/>
            <w:noWrap/>
            <w:vAlign w:val="bottom"/>
            <w:hideMark/>
          </w:tcPr>
          <w:p w14:paraId="3695D150" w14:textId="2E4F83F1" w:rsidR="00EB79A1" w:rsidRPr="004E74A6" w:rsidRDefault="00EB79A1" w:rsidP="00CE62C1">
            <w:pPr>
              <w:spacing w:line="276" w:lineRule="auto"/>
              <w:jc w:val="center"/>
              <w:rPr>
                <w:rFonts w:cs="Calibri"/>
                <w:color w:val="000000"/>
                <w:sz w:val="20"/>
                <w:lang w:eastAsia="es-CR"/>
              </w:rPr>
            </w:pPr>
            <w:r w:rsidRPr="004E74A6">
              <w:rPr>
                <w:rFonts w:cs="Calibri"/>
                <w:color w:val="000000"/>
                <w:sz w:val="20"/>
              </w:rPr>
              <w:t>110</w:t>
            </w:r>
          </w:p>
        </w:tc>
        <w:tc>
          <w:tcPr>
            <w:tcW w:w="690" w:type="pct"/>
            <w:tcBorders>
              <w:top w:val="nil"/>
              <w:left w:val="single" w:sz="4" w:space="0" w:color="auto"/>
              <w:bottom w:val="nil"/>
              <w:right w:val="nil"/>
            </w:tcBorders>
            <w:shd w:val="clear" w:color="auto" w:fill="C5E0B3" w:themeFill="accent6" w:themeFillTint="66"/>
            <w:noWrap/>
            <w:vAlign w:val="bottom"/>
            <w:hideMark/>
          </w:tcPr>
          <w:p w14:paraId="2C8BAD93" w14:textId="0DC88319" w:rsidR="00EB79A1" w:rsidRPr="004E74A6" w:rsidRDefault="00EB79A1" w:rsidP="00CE62C1">
            <w:pPr>
              <w:spacing w:line="276" w:lineRule="auto"/>
              <w:jc w:val="center"/>
              <w:rPr>
                <w:rFonts w:cs="Calibri"/>
                <w:color w:val="000000"/>
                <w:sz w:val="20"/>
                <w:lang w:eastAsia="es-CR"/>
              </w:rPr>
            </w:pPr>
            <w:r w:rsidRPr="004E74A6">
              <w:rPr>
                <w:rFonts w:cs="Calibri"/>
                <w:color w:val="000000"/>
                <w:sz w:val="20"/>
              </w:rPr>
              <w:t>103</w:t>
            </w:r>
          </w:p>
        </w:tc>
      </w:tr>
      <w:tr w:rsidR="00EB79A1" w:rsidRPr="004E74A6" w14:paraId="75938BE1" w14:textId="77777777" w:rsidTr="00B32800">
        <w:trPr>
          <w:trHeight w:val="288"/>
          <w:jc w:val="center"/>
        </w:trPr>
        <w:tc>
          <w:tcPr>
            <w:tcW w:w="2762" w:type="pct"/>
            <w:tcBorders>
              <w:top w:val="nil"/>
              <w:left w:val="nil"/>
              <w:right w:val="single" w:sz="4" w:space="0" w:color="auto"/>
            </w:tcBorders>
            <w:shd w:val="clear" w:color="auto" w:fill="auto"/>
            <w:noWrap/>
            <w:vAlign w:val="bottom"/>
            <w:hideMark/>
          </w:tcPr>
          <w:p w14:paraId="176760F4" w14:textId="77777777" w:rsidR="00EB79A1" w:rsidRPr="004E74A6" w:rsidRDefault="00EB79A1" w:rsidP="00CE62C1">
            <w:pPr>
              <w:spacing w:line="276" w:lineRule="auto"/>
              <w:ind w:firstLineChars="200" w:firstLine="400"/>
              <w:jc w:val="left"/>
              <w:rPr>
                <w:rFonts w:cs="Calibri"/>
                <w:color w:val="000000"/>
                <w:sz w:val="20"/>
                <w:lang w:eastAsia="es-CR"/>
              </w:rPr>
            </w:pPr>
            <w:r w:rsidRPr="004E74A6">
              <w:rPr>
                <w:rFonts w:cs="Calibri"/>
                <w:color w:val="000000"/>
                <w:sz w:val="20"/>
                <w:lang w:eastAsia="es-CR"/>
              </w:rPr>
              <w:t>Sumario De Defensa Del Consumidor</w:t>
            </w:r>
          </w:p>
        </w:tc>
        <w:tc>
          <w:tcPr>
            <w:tcW w:w="516" w:type="pct"/>
            <w:tcBorders>
              <w:top w:val="nil"/>
              <w:left w:val="single" w:sz="4" w:space="0" w:color="auto"/>
              <w:right w:val="single" w:sz="4" w:space="0" w:color="auto"/>
            </w:tcBorders>
            <w:shd w:val="clear" w:color="auto" w:fill="auto"/>
            <w:noWrap/>
            <w:vAlign w:val="bottom"/>
            <w:hideMark/>
          </w:tcPr>
          <w:p w14:paraId="73FF1ECB" w14:textId="7A8954F8" w:rsidR="00EB79A1" w:rsidRPr="004E74A6" w:rsidRDefault="00EB79A1" w:rsidP="00CE62C1">
            <w:pPr>
              <w:spacing w:line="276" w:lineRule="auto"/>
              <w:jc w:val="center"/>
              <w:rPr>
                <w:rFonts w:cs="Calibri"/>
                <w:color w:val="000000"/>
                <w:sz w:val="20"/>
                <w:lang w:eastAsia="es-CR"/>
              </w:rPr>
            </w:pPr>
            <w:r w:rsidRPr="004E74A6">
              <w:rPr>
                <w:rFonts w:cs="Calibri"/>
                <w:color w:val="000000"/>
                <w:sz w:val="20"/>
              </w:rPr>
              <w:t>2</w:t>
            </w:r>
          </w:p>
        </w:tc>
        <w:tc>
          <w:tcPr>
            <w:tcW w:w="516" w:type="pct"/>
            <w:tcBorders>
              <w:top w:val="nil"/>
              <w:left w:val="single" w:sz="4" w:space="0" w:color="auto"/>
              <w:right w:val="single" w:sz="4" w:space="0" w:color="auto"/>
            </w:tcBorders>
            <w:shd w:val="clear" w:color="auto" w:fill="auto"/>
            <w:noWrap/>
            <w:vAlign w:val="bottom"/>
            <w:hideMark/>
          </w:tcPr>
          <w:p w14:paraId="1D4D4DC1" w14:textId="018DADED" w:rsidR="00EB79A1" w:rsidRPr="004E74A6" w:rsidRDefault="00EB79A1" w:rsidP="00CE62C1">
            <w:pPr>
              <w:spacing w:line="276" w:lineRule="auto"/>
              <w:jc w:val="center"/>
              <w:rPr>
                <w:rFonts w:cs="Calibri"/>
                <w:color w:val="000000"/>
                <w:sz w:val="20"/>
                <w:lang w:eastAsia="es-CR"/>
              </w:rPr>
            </w:pPr>
            <w:r w:rsidRPr="004E74A6">
              <w:rPr>
                <w:rFonts w:cs="Calibri"/>
                <w:color w:val="000000"/>
                <w:sz w:val="20"/>
              </w:rPr>
              <w:t>0</w:t>
            </w:r>
          </w:p>
        </w:tc>
        <w:tc>
          <w:tcPr>
            <w:tcW w:w="516" w:type="pct"/>
            <w:tcBorders>
              <w:top w:val="nil"/>
              <w:left w:val="single" w:sz="4" w:space="0" w:color="auto"/>
              <w:right w:val="single" w:sz="4" w:space="0" w:color="auto"/>
            </w:tcBorders>
            <w:shd w:val="clear" w:color="auto" w:fill="auto"/>
            <w:noWrap/>
            <w:vAlign w:val="bottom"/>
            <w:hideMark/>
          </w:tcPr>
          <w:p w14:paraId="39ACB044" w14:textId="33560C14" w:rsidR="00EB79A1" w:rsidRPr="004E74A6" w:rsidRDefault="00EB79A1" w:rsidP="00CE62C1">
            <w:pPr>
              <w:spacing w:line="276" w:lineRule="auto"/>
              <w:jc w:val="center"/>
              <w:rPr>
                <w:sz w:val="20"/>
                <w:lang w:eastAsia="es-CR"/>
              </w:rPr>
            </w:pPr>
            <w:r w:rsidRPr="004E74A6">
              <w:rPr>
                <w:rFonts w:cs="Calibri"/>
                <w:color w:val="000000"/>
                <w:sz w:val="20"/>
              </w:rPr>
              <w:t>0</w:t>
            </w:r>
          </w:p>
        </w:tc>
        <w:tc>
          <w:tcPr>
            <w:tcW w:w="690" w:type="pct"/>
            <w:tcBorders>
              <w:top w:val="nil"/>
              <w:left w:val="single" w:sz="4" w:space="0" w:color="auto"/>
              <w:right w:val="nil"/>
            </w:tcBorders>
            <w:shd w:val="clear" w:color="auto" w:fill="auto"/>
            <w:noWrap/>
            <w:vAlign w:val="bottom"/>
            <w:hideMark/>
          </w:tcPr>
          <w:p w14:paraId="30F301A9" w14:textId="12D0515B" w:rsidR="00EB79A1" w:rsidRPr="004E74A6" w:rsidRDefault="00EB79A1" w:rsidP="00CE62C1">
            <w:pPr>
              <w:spacing w:line="276" w:lineRule="auto"/>
              <w:jc w:val="center"/>
              <w:rPr>
                <w:rFonts w:cs="Calibri"/>
                <w:color w:val="000000"/>
                <w:sz w:val="20"/>
                <w:lang w:eastAsia="es-CR"/>
              </w:rPr>
            </w:pPr>
            <w:r w:rsidRPr="004E74A6">
              <w:rPr>
                <w:rFonts w:cs="Calibri"/>
                <w:color w:val="000000"/>
                <w:sz w:val="20"/>
              </w:rPr>
              <w:t>1</w:t>
            </w:r>
          </w:p>
        </w:tc>
      </w:tr>
      <w:tr w:rsidR="00CE0DFD" w:rsidRPr="004E74A6" w14:paraId="3C83AB60" w14:textId="77777777" w:rsidTr="00EB79A1">
        <w:trPr>
          <w:trHeight w:val="288"/>
          <w:jc w:val="center"/>
        </w:trPr>
        <w:tc>
          <w:tcPr>
            <w:tcW w:w="2762" w:type="pct"/>
            <w:tcBorders>
              <w:top w:val="nil"/>
              <w:left w:val="nil"/>
              <w:bottom w:val="single" w:sz="4" w:space="0" w:color="auto"/>
              <w:right w:val="single" w:sz="4" w:space="0" w:color="auto"/>
            </w:tcBorders>
            <w:shd w:val="clear" w:color="auto" w:fill="auto"/>
            <w:noWrap/>
            <w:vAlign w:val="bottom"/>
          </w:tcPr>
          <w:p w14:paraId="386A2EA0" w14:textId="77777777" w:rsidR="008647ED" w:rsidRPr="004E74A6" w:rsidRDefault="008647ED" w:rsidP="00CE62C1">
            <w:pPr>
              <w:spacing w:line="276" w:lineRule="auto"/>
              <w:ind w:firstLineChars="200" w:firstLine="400"/>
              <w:jc w:val="left"/>
              <w:rPr>
                <w:rFonts w:cs="Calibri"/>
                <w:color w:val="000000"/>
                <w:sz w:val="20"/>
                <w:lang w:eastAsia="es-CR"/>
              </w:rPr>
            </w:pPr>
          </w:p>
        </w:tc>
        <w:tc>
          <w:tcPr>
            <w:tcW w:w="516" w:type="pct"/>
            <w:tcBorders>
              <w:top w:val="nil"/>
              <w:left w:val="single" w:sz="4" w:space="0" w:color="auto"/>
              <w:bottom w:val="single" w:sz="4" w:space="0" w:color="auto"/>
              <w:right w:val="single" w:sz="4" w:space="0" w:color="auto"/>
            </w:tcBorders>
            <w:shd w:val="clear" w:color="auto" w:fill="auto"/>
            <w:noWrap/>
            <w:vAlign w:val="center"/>
          </w:tcPr>
          <w:p w14:paraId="5C8B7B94" w14:textId="77777777" w:rsidR="008647ED" w:rsidRPr="004E74A6" w:rsidRDefault="008647ED" w:rsidP="00CE62C1">
            <w:pPr>
              <w:spacing w:line="276" w:lineRule="auto"/>
              <w:jc w:val="center"/>
              <w:rPr>
                <w:rFonts w:cs="Calibri"/>
                <w:color w:val="000000"/>
                <w:sz w:val="20"/>
                <w:lang w:eastAsia="es-CR"/>
              </w:rPr>
            </w:pPr>
          </w:p>
        </w:tc>
        <w:tc>
          <w:tcPr>
            <w:tcW w:w="516" w:type="pct"/>
            <w:tcBorders>
              <w:top w:val="nil"/>
              <w:left w:val="single" w:sz="4" w:space="0" w:color="auto"/>
              <w:bottom w:val="single" w:sz="4" w:space="0" w:color="auto"/>
              <w:right w:val="single" w:sz="4" w:space="0" w:color="auto"/>
            </w:tcBorders>
            <w:shd w:val="clear" w:color="auto" w:fill="auto"/>
            <w:noWrap/>
            <w:vAlign w:val="center"/>
          </w:tcPr>
          <w:p w14:paraId="6E10B33B" w14:textId="77777777" w:rsidR="008647ED" w:rsidRPr="004E74A6" w:rsidRDefault="008647ED" w:rsidP="00CE62C1">
            <w:pPr>
              <w:spacing w:line="276" w:lineRule="auto"/>
              <w:jc w:val="center"/>
              <w:rPr>
                <w:rFonts w:cs="Calibri"/>
                <w:color w:val="000000"/>
                <w:sz w:val="20"/>
                <w:lang w:eastAsia="es-CR"/>
              </w:rPr>
            </w:pPr>
          </w:p>
        </w:tc>
        <w:tc>
          <w:tcPr>
            <w:tcW w:w="516" w:type="pct"/>
            <w:tcBorders>
              <w:top w:val="nil"/>
              <w:left w:val="single" w:sz="4" w:space="0" w:color="auto"/>
              <w:bottom w:val="single" w:sz="4" w:space="0" w:color="auto"/>
              <w:right w:val="single" w:sz="4" w:space="0" w:color="auto"/>
            </w:tcBorders>
            <w:shd w:val="clear" w:color="auto" w:fill="auto"/>
            <w:noWrap/>
            <w:vAlign w:val="center"/>
          </w:tcPr>
          <w:p w14:paraId="11B8CFCE" w14:textId="77777777" w:rsidR="008647ED" w:rsidRPr="004E74A6" w:rsidRDefault="008647ED" w:rsidP="00CE62C1">
            <w:pPr>
              <w:spacing w:line="276" w:lineRule="auto"/>
              <w:jc w:val="center"/>
              <w:rPr>
                <w:sz w:val="20"/>
                <w:lang w:eastAsia="es-CR"/>
              </w:rPr>
            </w:pPr>
          </w:p>
        </w:tc>
        <w:tc>
          <w:tcPr>
            <w:tcW w:w="690" w:type="pct"/>
            <w:tcBorders>
              <w:top w:val="nil"/>
              <w:left w:val="single" w:sz="4" w:space="0" w:color="auto"/>
              <w:bottom w:val="single" w:sz="4" w:space="0" w:color="auto"/>
              <w:right w:val="nil"/>
            </w:tcBorders>
            <w:shd w:val="clear" w:color="auto" w:fill="auto"/>
            <w:noWrap/>
            <w:vAlign w:val="center"/>
          </w:tcPr>
          <w:p w14:paraId="7A08BE91" w14:textId="77777777" w:rsidR="008647ED" w:rsidRPr="004E74A6" w:rsidRDefault="008647ED" w:rsidP="00CE62C1">
            <w:pPr>
              <w:spacing w:line="276" w:lineRule="auto"/>
              <w:jc w:val="center"/>
              <w:rPr>
                <w:rFonts w:cs="Calibri"/>
                <w:color w:val="000000"/>
                <w:sz w:val="20"/>
                <w:lang w:eastAsia="es-CR"/>
              </w:rPr>
            </w:pPr>
          </w:p>
        </w:tc>
      </w:tr>
    </w:tbl>
    <w:p w14:paraId="75B578C7" w14:textId="1023EF04" w:rsidR="003E4755" w:rsidRPr="004E74A6" w:rsidRDefault="003E4755" w:rsidP="00832773">
      <w:pPr>
        <w:spacing w:line="276" w:lineRule="auto"/>
        <w:ind w:left="340" w:right="340"/>
        <w:rPr>
          <w:rFonts w:cs="Calibri"/>
          <w:i/>
          <w:iCs/>
          <w:color w:val="000000"/>
          <w:sz w:val="20"/>
          <w:lang w:eastAsia="es-CR"/>
        </w:rPr>
      </w:pPr>
      <w:r w:rsidRPr="004E74A6">
        <w:rPr>
          <w:rFonts w:cs="Calibri"/>
          <w:b/>
          <w:bCs/>
          <w:i/>
          <w:iCs/>
          <w:color w:val="000000"/>
          <w:sz w:val="20"/>
          <w:lang w:eastAsia="es-CR"/>
        </w:rPr>
        <w:t>Fuente</w:t>
      </w:r>
      <w:r w:rsidRPr="004E74A6">
        <w:rPr>
          <w:rFonts w:cs="Calibri"/>
          <w:i/>
          <w:iCs/>
          <w:color w:val="000000"/>
          <w:sz w:val="20"/>
          <w:lang w:eastAsia="es-CR"/>
        </w:rPr>
        <w:t>: Subproceso de Modernización Institucional con datos extraídos del sistema SIGMA, Dirección de Planificación.</w:t>
      </w:r>
    </w:p>
    <w:p w14:paraId="1133DECF" w14:textId="0D35286E" w:rsidR="004F0BF3" w:rsidRPr="004E74A6" w:rsidRDefault="004F0BF3" w:rsidP="00832773">
      <w:pPr>
        <w:spacing w:line="276" w:lineRule="auto"/>
        <w:rPr>
          <w:rFonts w:cs="Calibri"/>
          <w:i/>
          <w:iCs/>
          <w:color w:val="000000"/>
          <w:sz w:val="20"/>
          <w:lang w:eastAsia="es-CR"/>
        </w:rPr>
      </w:pPr>
    </w:p>
    <w:p w14:paraId="002AE28F" w14:textId="2CD4FF62" w:rsidR="00EB79A1" w:rsidRPr="004E74A6" w:rsidRDefault="000B51BD" w:rsidP="00CE62C1">
      <w:pPr>
        <w:spacing w:after="160" w:line="276" w:lineRule="auto"/>
        <w:rPr>
          <w:rFonts w:cs="Calibri"/>
          <w:color w:val="000000"/>
          <w:szCs w:val="24"/>
          <w:lang w:eastAsia="es-CR"/>
        </w:rPr>
      </w:pPr>
      <w:r>
        <w:rPr>
          <w:rFonts w:cs="Calibri"/>
          <w:color w:val="000000"/>
          <w:szCs w:val="24"/>
          <w:lang w:eastAsia="es-CR"/>
        </w:rPr>
        <w:t>En</w:t>
      </w:r>
      <w:r w:rsidR="00EB79A1" w:rsidRPr="004E74A6">
        <w:rPr>
          <w:rFonts w:cs="Calibri"/>
          <w:color w:val="000000"/>
          <w:szCs w:val="24"/>
          <w:lang w:eastAsia="es-CR"/>
        </w:rPr>
        <w:t xml:space="preserve"> la siguiente tabla se puede observar el detalle de la cuantía según los procedimientos ordinarios del Tribunal.</w:t>
      </w:r>
    </w:p>
    <w:p w14:paraId="08424B17" w14:textId="137EC3B6" w:rsidR="00EB79A1" w:rsidRPr="004E74A6" w:rsidRDefault="00EB79A1" w:rsidP="00CE62C1">
      <w:pPr>
        <w:spacing w:line="276" w:lineRule="auto"/>
        <w:rPr>
          <w:rFonts w:cs="Calibri"/>
          <w:color w:val="000000"/>
          <w:szCs w:val="24"/>
          <w:lang w:eastAsia="es-CR"/>
        </w:rPr>
      </w:pPr>
      <w:r w:rsidRPr="004E74A6">
        <w:rPr>
          <w:rFonts w:cs="Calibri"/>
          <w:color w:val="000000"/>
          <w:szCs w:val="24"/>
          <w:lang w:eastAsia="es-CR"/>
        </w:rPr>
        <w:t xml:space="preserve">De los procesos ordinarios ingresados en el Tribunal, en promedio </w:t>
      </w:r>
      <w:r w:rsidR="000D0F8E" w:rsidRPr="004E74A6">
        <w:rPr>
          <w:rFonts w:cs="Calibri"/>
          <w:color w:val="000000"/>
          <w:szCs w:val="24"/>
          <w:lang w:eastAsia="es-CR"/>
        </w:rPr>
        <w:t>1,7</w:t>
      </w:r>
      <w:r w:rsidRPr="004E74A6">
        <w:rPr>
          <w:rFonts w:cs="Calibri"/>
          <w:color w:val="000000"/>
          <w:szCs w:val="24"/>
          <w:lang w:eastAsia="es-CR"/>
        </w:rPr>
        <w:t xml:space="preserve"> asuntos son inestimables (</w:t>
      </w:r>
      <w:r w:rsidR="000D0F8E" w:rsidRPr="004E74A6">
        <w:rPr>
          <w:rFonts w:cs="Calibri"/>
          <w:color w:val="000000"/>
          <w:szCs w:val="24"/>
          <w:lang w:eastAsia="es-CR"/>
        </w:rPr>
        <w:t>2</w:t>
      </w:r>
      <w:r w:rsidRPr="004E74A6">
        <w:rPr>
          <w:rFonts w:cs="Calibri"/>
          <w:color w:val="000000"/>
          <w:szCs w:val="24"/>
          <w:lang w:eastAsia="es-CR"/>
        </w:rPr>
        <w:t xml:space="preserve">%), </w:t>
      </w:r>
      <w:r w:rsidR="000D0F8E" w:rsidRPr="004E74A6">
        <w:rPr>
          <w:rFonts w:cs="Calibri"/>
          <w:color w:val="000000"/>
          <w:szCs w:val="24"/>
          <w:lang w:eastAsia="es-CR"/>
        </w:rPr>
        <w:t>69</w:t>
      </w:r>
      <w:r w:rsidRPr="004E74A6">
        <w:rPr>
          <w:rFonts w:cs="Calibri"/>
          <w:color w:val="000000"/>
          <w:szCs w:val="24"/>
          <w:lang w:eastAsia="es-CR"/>
        </w:rPr>
        <w:t xml:space="preserve"> estimables (6</w:t>
      </w:r>
      <w:r w:rsidR="000D0F8E" w:rsidRPr="004E74A6">
        <w:rPr>
          <w:rFonts w:cs="Calibri"/>
          <w:color w:val="000000"/>
          <w:szCs w:val="24"/>
          <w:lang w:eastAsia="es-CR"/>
        </w:rPr>
        <w:t>7</w:t>
      </w:r>
      <w:r w:rsidRPr="004E74A6">
        <w:rPr>
          <w:rFonts w:cs="Calibri"/>
          <w:color w:val="000000"/>
          <w:szCs w:val="24"/>
          <w:lang w:eastAsia="es-CR"/>
        </w:rPr>
        <w:t xml:space="preserve">%), </w:t>
      </w:r>
      <w:r w:rsidR="000D0F8E" w:rsidRPr="004E74A6">
        <w:rPr>
          <w:rFonts w:cs="Calibri"/>
          <w:color w:val="000000"/>
          <w:szCs w:val="24"/>
          <w:lang w:eastAsia="es-CR"/>
        </w:rPr>
        <w:t>0,3</w:t>
      </w:r>
      <w:r w:rsidRPr="004E74A6">
        <w:rPr>
          <w:rFonts w:cs="Calibri"/>
          <w:color w:val="000000"/>
          <w:szCs w:val="24"/>
          <w:lang w:eastAsia="es-CR"/>
        </w:rPr>
        <w:t xml:space="preserve"> casos “no aplica” (</w:t>
      </w:r>
      <w:r w:rsidR="000D0F8E" w:rsidRPr="004E74A6">
        <w:rPr>
          <w:rFonts w:cs="Calibri"/>
          <w:color w:val="000000"/>
          <w:szCs w:val="24"/>
          <w:lang w:eastAsia="es-CR"/>
        </w:rPr>
        <w:t>0,3</w:t>
      </w:r>
      <w:r w:rsidRPr="004E74A6">
        <w:rPr>
          <w:rFonts w:cs="Calibri"/>
          <w:color w:val="000000"/>
          <w:szCs w:val="24"/>
          <w:lang w:eastAsia="es-CR"/>
        </w:rPr>
        <w:t xml:space="preserve">%) y sin actualizar </w:t>
      </w:r>
      <w:r w:rsidR="000D0F8E" w:rsidRPr="004E74A6">
        <w:rPr>
          <w:rFonts w:cs="Calibri"/>
          <w:color w:val="000000"/>
          <w:szCs w:val="24"/>
          <w:lang w:eastAsia="es-CR"/>
        </w:rPr>
        <w:t>32</w:t>
      </w:r>
      <w:r w:rsidRPr="004E74A6">
        <w:rPr>
          <w:rFonts w:cs="Calibri"/>
          <w:color w:val="000000"/>
          <w:szCs w:val="24"/>
          <w:lang w:eastAsia="es-CR"/>
        </w:rPr>
        <w:t xml:space="preserve"> casos (</w:t>
      </w:r>
      <w:r w:rsidR="000D0F8E" w:rsidRPr="004E74A6">
        <w:rPr>
          <w:rFonts w:cs="Calibri"/>
          <w:color w:val="000000"/>
          <w:szCs w:val="24"/>
          <w:lang w:eastAsia="es-CR"/>
        </w:rPr>
        <w:t>31</w:t>
      </w:r>
      <w:r w:rsidRPr="004E74A6">
        <w:rPr>
          <w:rFonts w:cs="Calibri"/>
          <w:color w:val="000000"/>
          <w:szCs w:val="24"/>
          <w:lang w:eastAsia="es-CR"/>
        </w:rPr>
        <w:t>%).</w:t>
      </w:r>
    </w:p>
    <w:p w14:paraId="72475B3D" w14:textId="77777777" w:rsidR="00EB79A1" w:rsidRPr="004E74A6" w:rsidRDefault="00EB79A1" w:rsidP="00CE62C1">
      <w:pPr>
        <w:spacing w:line="276" w:lineRule="auto"/>
        <w:rPr>
          <w:rFonts w:cs="Calibri"/>
          <w:color w:val="000000"/>
          <w:szCs w:val="24"/>
          <w:lang w:eastAsia="es-CR"/>
        </w:rPr>
      </w:pPr>
    </w:p>
    <w:p w14:paraId="36842FFB" w14:textId="7E245E16" w:rsidR="00EB79A1" w:rsidRPr="004E74A6" w:rsidRDefault="00EB79A1" w:rsidP="00CE62C1">
      <w:pPr>
        <w:spacing w:line="276" w:lineRule="auto"/>
        <w:rPr>
          <w:rFonts w:cs="Calibri"/>
          <w:color w:val="000000"/>
          <w:szCs w:val="24"/>
          <w:lang w:eastAsia="es-CR"/>
        </w:rPr>
      </w:pPr>
      <w:r w:rsidRPr="004E74A6">
        <w:rPr>
          <w:rFonts w:cs="Calibri"/>
          <w:color w:val="000000"/>
          <w:szCs w:val="24"/>
          <w:lang w:eastAsia="es-CR"/>
        </w:rPr>
        <w:t xml:space="preserve">De lo anterior, el </w:t>
      </w:r>
      <w:r w:rsidR="000D0F8E" w:rsidRPr="004E74A6">
        <w:rPr>
          <w:rFonts w:cs="Calibri"/>
          <w:color w:val="000000"/>
          <w:szCs w:val="24"/>
          <w:lang w:eastAsia="es-CR"/>
        </w:rPr>
        <w:t>0,3</w:t>
      </w:r>
      <w:r w:rsidRPr="004E74A6">
        <w:rPr>
          <w:rFonts w:cs="Calibri"/>
          <w:color w:val="000000"/>
          <w:szCs w:val="24"/>
          <w:lang w:eastAsia="es-CR"/>
        </w:rPr>
        <w:t xml:space="preserve">% que indicaron no aplica cuantía, se debe a una actualización errores a de la informa, ya que desde el inicio en el uso de la mejora se les indicó a las oficinas que esta opción solo aplica para materia de Trabajo, no así para Civil donde los asuntos son estimables o inestimables solamente. </w:t>
      </w:r>
    </w:p>
    <w:p w14:paraId="0831926B" w14:textId="77777777" w:rsidR="00EB79A1" w:rsidRPr="004E74A6" w:rsidRDefault="00EB79A1" w:rsidP="00CE62C1">
      <w:pPr>
        <w:spacing w:line="276" w:lineRule="auto"/>
        <w:rPr>
          <w:rFonts w:cs="Calibri"/>
          <w:color w:val="000000"/>
          <w:szCs w:val="24"/>
          <w:lang w:eastAsia="es-CR"/>
        </w:rPr>
      </w:pPr>
    </w:p>
    <w:p w14:paraId="70CACB5D" w14:textId="674BD933" w:rsidR="00EB79A1" w:rsidRPr="004E74A6" w:rsidRDefault="00EB79A1" w:rsidP="00CE62C1">
      <w:pPr>
        <w:spacing w:line="276" w:lineRule="auto"/>
        <w:rPr>
          <w:rFonts w:cs="Calibri"/>
          <w:color w:val="000000"/>
          <w:szCs w:val="24"/>
          <w:lang w:eastAsia="es-CR"/>
        </w:rPr>
      </w:pPr>
      <w:r w:rsidRPr="004E74A6">
        <w:rPr>
          <w:rFonts w:cs="Calibri"/>
          <w:color w:val="000000"/>
          <w:szCs w:val="24"/>
          <w:lang w:eastAsia="es-CR"/>
        </w:rPr>
        <w:t xml:space="preserve">De los </w:t>
      </w:r>
      <w:r w:rsidR="000D0F8E" w:rsidRPr="004E74A6">
        <w:rPr>
          <w:rFonts w:cs="Calibri"/>
          <w:color w:val="000000"/>
          <w:szCs w:val="24"/>
          <w:lang w:eastAsia="es-CR"/>
        </w:rPr>
        <w:t>69</w:t>
      </w:r>
      <w:r w:rsidRPr="004E74A6">
        <w:rPr>
          <w:rFonts w:cs="Calibri"/>
          <w:color w:val="000000"/>
          <w:szCs w:val="24"/>
          <w:lang w:eastAsia="es-CR"/>
        </w:rPr>
        <w:t xml:space="preserve"> ordinarios estimables, la distribución de esos asuntos por rango de cuantía es el siguiente: </w:t>
      </w:r>
    </w:p>
    <w:p w14:paraId="615742DE" w14:textId="668A5E01" w:rsidR="00662185" w:rsidRDefault="00662185" w:rsidP="00CE62C1">
      <w:pPr>
        <w:spacing w:after="160" w:line="276" w:lineRule="auto"/>
        <w:rPr>
          <w:rFonts w:cs="Calibri"/>
          <w:color w:val="000000"/>
          <w:szCs w:val="24"/>
          <w:lang w:eastAsia="es-CR"/>
        </w:rPr>
      </w:pPr>
    </w:p>
    <w:p w14:paraId="65453E1A" w14:textId="2C6C614F" w:rsidR="004E4F14" w:rsidRDefault="004E4F14" w:rsidP="00CE62C1">
      <w:pPr>
        <w:spacing w:after="160" w:line="276" w:lineRule="auto"/>
        <w:rPr>
          <w:rFonts w:cs="Calibri"/>
          <w:color w:val="000000"/>
          <w:szCs w:val="24"/>
          <w:lang w:eastAsia="es-CR"/>
        </w:rPr>
      </w:pPr>
    </w:p>
    <w:p w14:paraId="54DDE2D3" w14:textId="5F538B4C" w:rsidR="004E4F14" w:rsidRDefault="004E4F14" w:rsidP="00CE62C1">
      <w:pPr>
        <w:spacing w:after="160" w:line="276" w:lineRule="auto"/>
        <w:rPr>
          <w:rFonts w:cs="Calibri"/>
          <w:color w:val="000000"/>
          <w:szCs w:val="24"/>
          <w:lang w:eastAsia="es-CR"/>
        </w:rPr>
      </w:pPr>
    </w:p>
    <w:p w14:paraId="2313C9DD" w14:textId="4933E24D" w:rsidR="004E4F14" w:rsidRDefault="004E4F14" w:rsidP="00CE62C1">
      <w:pPr>
        <w:spacing w:after="160" w:line="276" w:lineRule="auto"/>
        <w:rPr>
          <w:rFonts w:cs="Calibri"/>
          <w:color w:val="000000"/>
          <w:szCs w:val="24"/>
          <w:lang w:eastAsia="es-CR"/>
        </w:rPr>
      </w:pPr>
    </w:p>
    <w:p w14:paraId="667D7498" w14:textId="75EED623" w:rsidR="004E4F14" w:rsidRDefault="004E4F14" w:rsidP="00CE62C1">
      <w:pPr>
        <w:spacing w:after="160" w:line="276" w:lineRule="auto"/>
        <w:rPr>
          <w:rFonts w:cs="Calibri"/>
          <w:color w:val="000000"/>
          <w:szCs w:val="24"/>
          <w:lang w:eastAsia="es-CR"/>
        </w:rPr>
      </w:pPr>
    </w:p>
    <w:p w14:paraId="669A04A2" w14:textId="3DB0A7DF" w:rsidR="004E4F14" w:rsidRDefault="004E4F14" w:rsidP="00CE62C1">
      <w:pPr>
        <w:spacing w:after="160" w:line="276" w:lineRule="auto"/>
        <w:rPr>
          <w:rFonts w:cs="Calibri"/>
          <w:color w:val="000000"/>
          <w:szCs w:val="24"/>
          <w:lang w:eastAsia="es-CR"/>
        </w:rPr>
      </w:pPr>
    </w:p>
    <w:p w14:paraId="3D24FADE" w14:textId="77777777" w:rsidR="004E4F14" w:rsidRPr="004E74A6" w:rsidRDefault="004E4F14" w:rsidP="00CE62C1">
      <w:pPr>
        <w:spacing w:after="160" w:line="276" w:lineRule="auto"/>
        <w:rPr>
          <w:rFonts w:cs="Calibri"/>
          <w:color w:val="000000"/>
          <w:szCs w:val="24"/>
          <w:lang w:eastAsia="es-CR"/>
        </w:rPr>
      </w:pPr>
    </w:p>
    <w:p w14:paraId="30E39E77" w14:textId="6C68A4AB" w:rsidR="00CE0DFD" w:rsidRPr="00832773" w:rsidRDefault="00CE0DFD" w:rsidP="00F0204A">
      <w:pPr>
        <w:pStyle w:val="Descripcin"/>
        <w:keepNext/>
        <w:spacing w:line="276" w:lineRule="auto"/>
        <w:jc w:val="center"/>
        <w:rPr>
          <w:rFonts w:ascii="Book Antiqua" w:hAnsi="Book Antiqua"/>
          <w:i/>
          <w:iCs/>
          <w:sz w:val="20"/>
          <w:szCs w:val="16"/>
          <w:lang w:val="es-CR"/>
        </w:rPr>
      </w:pPr>
      <w:r w:rsidRPr="00832773">
        <w:rPr>
          <w:rFonts w:ascii="Book Antiqua" w:hAnsi="Book Antiqua"/>
          <w:i/>
          <w:iCs/>
          <w:sz w:val="20"/>
          <w:szCs w:val="16"/>
          <w:lang w:val="es-CR"/>
        </w:rPr>
        <w:lastRenderedPageBreak/>
        <w:t xml:space="preserve">Tabla </w:t>
      </w:r>
      <w:r w:rsidRPr="00832773">
        <w:rPr>
          <w:rFonts w:ascii="Book Antiqua" w:hAnsi="Book Antiqua"/>
          <w:i/>
          <w:iCs/>
          <w:sz w:val="20"/>
          <w:szCs w:val="16"/>
          <w:lang w:val="es-CR"/>
        </w:rPr>
        <w:fldChar w:fldCharType="begin"/>
      </w:r>
      <w:r w:rsidRPr="00832773">
        <w:rPr>
          <w:rFonts w:ascii="Book Antiqua" w:hAnsi="Book Antiqua"/>
          <w:i/>
          <w:iCs/>
          <w:sz w:val="20"/>
          <w:szCs w:val="16"/>
          <w:lang w:val="es-CR"/>
        </w:rPr>
        <w:instrText xml:space="preserve"> SEQ Tabla \* ARABIC </w:instrText>
      </w:r>
      <w:r w:rsidRPr="00832773">
        <w:rPr>
          <w:rFonts w:ascii="Book Antiqua" w:hAnsi="Book Antiqua"/>
          <w:i/>
          <w:iCs/>
          <w:sz w:val="20"/>
          <w:szCs w:val="16"/>
          <w:lang w:val="es-CR"/>
        </w:rPr>
        <w:fldChar w:fldCharType="separate"/>
      </w:r>
      <w:r w:rsidR="00374B51">
        <w:rPr>
          <w:rFonts w:ascii="Book Antiqua" w:hAnsi="Book Antiqua"/>
          <w:i/>
          <w:iCs/>
          <w:noProof/>
          <w:sz w:val="20"/>
          <w:szCs w:val="16"/>
          <w:lang w:val="es-CR"/>
        </w:rPr>
        <w:t>44</w:t>
      </w:r>
      <w:r w:rsidRPr="00832773">
        <w:rPr>
          <w:rFonts w:ascii="Book Antiqua" w:hAnsi="Book Antiqua"/>
          <w:i/>
          <w:iCs/>
          <w:sz w:val="20"/>
          <w:szCs w:val="16"/>
          <w:lang w:val="es-CR"/>
        </w:rPr>
        <w:fldChar w:fldCharType="end"/>
      </w:r>
      <w:r w:rsidRPr="00832773">
        <w:rPr>
          <w:rFonts w:ascii="Book Antiqua" w:hAnsi="Book Antiqua"/>
          <w:i/>
          <w:iCs/>
          <w:sz w:val="20"/>
          <w:szCs w:val="16"/>
          <w:lang w:val="es-CR"/>
        </w:rPr>
        <w:t xml:space="preserve"> </w:t>
      </w:r>
      <w:r w:rsidR="000D0F8E" w:rsidRPr="00832773">
        <w:rPr>
          <w:rFonts w:ascii="Book Antiqua" w:hAnsi="Book Antiqua"/>
          <w:i/>
          <w:iCs/>
          <w:sz w:val="20"/>
          <w:szCs w:val="16"/>
          <w:lang w:val="es-CR"/>
        </w:rPr>
        <w:t xml:space="preserve">Cantidad de entrados ordinarios estimables por cuantía del 2019 al 2021 para el </w:t>
      </w:r>
      <w:r w:rsidRPr="00832773">
        <w:rPr>
          <w:rFonts w:ascii="Book Antiqua" w:hAnsi="Book Antiqua"/>
          <w:i/>
          <w:iCs/>
          <w:sz w:val="20"/>
          <w:szCs w:val="16"/>
          <w:lang w:val="es-CR"/>
        </w:rPr>
        <w:t>Colegiado Primera Instancia Civil Primer Circuito Judicial Zona Sur, Pérez Zeledón</w:t>
      </w:r>
    </w:p>
    <w:tbl>
      <w:tblPr>
        <w:tblW w:w="5036" w:type="pct"/>
        <w:jc w:val="center"/>
        <w:tblCellMar>
          <w:left w:w="70" w:type="dxa"/>
          <w:right w:w="70" w:type="dxa"/>
        </w:tblCellMar>
        <w:tblLook w:val="04A0" w:firstRow="1" w:lastRow="0" w:firstColumn="1" w:lastColumn="0" w:noHBand="0" w:noVBand="1"/>
      </w:tblPr>
      <w:tblGrid>
        <w:gridCol w:w="2836"/>
        <w:gridCol w:w="855"/>
        <w:gridCol w:w="855"/>
        <w:gridCol w:w="855"/>
        <w:gridCol w:w="1124"/>
        <w:gridCol w:w="2379"/>
      </w:tblGrid>
      <w:tr w:rsidR="00022B73" w:rsidRPr="004E74A6" w14:paraId="4CF9DE19" w14:textId="7223573B" w:rsidTr="00022B73">
        <w:trPr>
          <w:trHeight w:val="451"/>
          <w:tblHeader/>
          <w:jc w:val="center"/>
        </w:trPr>
        <w:tc>
          <w:tcPr>
            <w:tcW w:w="1593" w:type="pct"/>
            <w:tcBorders>
              <w:top w:val="single" w:sz="4" w:space="0" w:color="auto"/>
              <w:left w:val="nil"/>
              <w:bottom w:val="single" w:sz="4" w:space="0" w:color="auto"/>
              <w:right w:val="single" w:sz="4" w:space="0" w:color="auto"/>
            </w:tcBorders>
            <w:shd w:val="clear" w:color="auto" w:fill="auto"/>
            <w:noWrap/>
            <w:vAlign w:val="center"/>
            <w:hideMark/>
          </w:tcPr>
          <w:p w14:paraId="40CDDA7D" w14:textId="77777777" w:rsidR="00022B73" w:rsidRPr="004E74A6" w:rsidRDefault="00022B73" w:rsidP="00CE62C1">
            <w:pPr>
              <w:spacing w:line="276" w:lineRule="auto"/>
              <w:jc w:val="center"/>
              <w:rPr>
                <w:rFonts w:cs="Calibri"/>
                <w:color w:val="000000"/>
                <w:sz w:val="20"/>
                <w:lang w:eastAsia="es-CR"/>
              </w:rPr>
            </w:pPr>
            <w:r w:rsidRPr="004E74A6">
              <w:rPr>
                <w:rFonts w:cs="Calibri"/>
                <w:color w:val="000000"/>
                <w:sz w:val="20"/>
                <w:lang w:eastAsia="es-CR"/>
              </w:rPr>
              <w:t>Ordinario</w:t>
            </w:r>
          </w:p>
        </w:tc>
        <w:tc>
          <w:tcPr>
            <w:tcW w:w="48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443BF28" w14:textId="77777777" w:rsidR="00022B73" w:rsidRPr="004E74A6" w:rsidRDefault="00022B73" w:rsidP="00CE62C1">
            <w:pPr>
              <w:spacing w:line="276" w:lineRule="auto"/>
              <w:jc w:val="center"/>
              <w:rPr>
                <w:rFonts w:cs="Calibri"/>
                <w:color w:val="000000"/>
                <w:sz w:val="20"/>
                <w:lang w:eastAsia="es-CR"/>
              </w:rPr>
            </w:pPr>
            <w:r w:rsidRPr="004E74A6">
              <w:rPr>
                <w:rFonts w:cs="Calibri"/>
                <w:color w:val="000000"/>
                <w:sz w:val="20"/>
                <w:lang w:eastAsia="es-CR"/>
              </w:rPr>
              <w:t>2019</w:t>
            </w:r>
          </w:p>
        </w:tc>
        <w:tc>
          <w:tcPr>
            <w:tcW w:w="48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60941E4" w14:textId="77777777" w:rsidR="00022B73" w:rsidRPr="004E74A6" w:rsidRDefault="00022B73" w:rsidP="00CE62C1">
            <w:pPr>
              <w:spacing w:line="276" w:lineRule="auto"/>
              <w:jc w:val="center"/>
              <w:rPr>
                <w:rFonts w:cs="Calibri"/>
                <w:color w:val="000000"/>
                <w:sz w:val="20"/>
                <w:lang w:eastAsia="es-CR"/>
              </w:rPr>
            </w:pPr>
            <w:r w:rsidRPr="004E74A6">
              <w:rPr>
                <w:rFonts w:cs="Calibri"/>
                <w:color w:val="000000"/>
                <w:sz w:val="20"/>
                <w:lang w:eastAsia="es-CR"/>
              </w:rPr>
              <w:t>2020</w:t>
            </w:r>
          </w:p>
        </w:tc>
        <w:tc>
          <w:tcPr>
            <w:tcW w:w="48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C3191EF" w14:textId="77777777" w:rsidR="00022B73" w:rsidRPr="004E74A6" w:rsidRDefault="00022B73" w:rsidP="00CE62C1">
            <w:pPr>
              <w:spacing w:line="276" w:lineRule="auto"/>
              <w:jc w:val="center"/>
              <w:rPr>
                <w:rFonts w:cs="Calibri"/>
                <w:color w:val="000000"/>
                <w:sz w:val="20"/>
                <w:lang w:eastAsia="es-CR"/>
              </w:rPr>
            </w:pPr>
            <w:r w:rsidRPr="004E74A6">
              <w:rPr>
                <w:rFonts w:cs="Calibri"/>
                <w:color w:val="000000"/>
                <w:sz w:val="20"/>
                <w:lang w:eastAsia="es-CR"/>
              </w:rPr>
              <w:t>2021</w:t>
            </w:r>
          </w:p>
        </w:tc>
        <w:tc>
          <w:tcPr>
            <w:tcW w:w="631" w:type="pct"/>
            <w:tcBorders>
              <w:top w:val="single" w:sz="4" w:space="0" w:color="auto"/>
              <w:left w:val="single" w:sz="4" w:space="0" w:color="auto"/>
              <w:bottom w:val="single" w:sz="4" w:space="0" w:color="auto"/>
              <w:right w:val="nil"/>
            </w:tcBorders>
            <w:shd w:val="clear" w:color="auto" w:fill="auto"/>
            <w:noWrap/>
            <w:vAlign w:val="center"/>
          </w:tcPr>
          <w:p w14:paraId="24B849F4" w14:textId="6AA40F6E" w:rsidR="00022B73" w:rsidRPr="004E74A6" w:rsidRDefault="00022B73" w:rsidP="00CE62C1">
            <w:pPr>
              <w:spacing w:line="276" w:lineRule="auto"/>
              <w:jc w:val="center"/>
              <w:rPr>
                <w:rFonts w:cs="Calibri"/>
                <w:color w:val="000000"/>
                <w:sz w:val="20"/>
                <w:lang w:eastAsia="es-CR"/>
              </w:rPr>
            </w:pPr>
            <w:r w:rsidRPr="004E74A6">
              <w:rPr>
                <w:rFonts w:cs="Calibri"/>
                <w:color w:val="000000"/>
                <w:sz w:val="20"/>
                <w:lang w:eastAsia="es-CR"/>
              </w:rPr>
              <w:t>Promedio</w:t>
            </w:r>
          </w:p>
        </w:tc>
        <w:tc>
          <w:tcPr>
            <w:tcW w:w="1337" w:type="pct"/>
            <w:tcBorders>
              <w:top w:val="single" w:sz="4" w:space="0" w:color="auto"/>
              <w:left w:val="single" w:sz="4" w:space="0" w:color="auto"/>
              <w:bottom w:val="single" w:sz="4" w:space="0" w:color="auto"/>
              <w:right w:val="nil"/>
            </w:tcBorders>
          </w:tcPr>
          <w:p w14:paraId="50D66FB7" w14:textId="740B6293" w:rsidR="00022B73" w:rsidRPr="004E74A6" w:rsidRDefault="00022B73" w:rsidP="00832773">
            <w:pPr>
              <w:spacing w:line="276" w:lineRule="auto"/>
              <w:jc w:val="center"/>
              <w:rPr>
                <w:rFonts w:cs="Calibri"/>
                <w:color w:val="000000"/>
                <w:sz w:val="20"/>
                <w:lang w:eastAsia="es-CR"/>
              </w:rPr>
            </w:pPr>
            <w:r w:rsidRPr="004E74A6">
              <w:rPr>
                <w:rFonts w:cs="Calibri"/>
                <w:color w:val="000000"/>
                <w:sz w:val="20"/>
              </w:rPr>
              <w:t>Pérdida porcentual en la entrada en caso de elevarse la cuantía según rango escenario A1</w:t>
            </w:r>
          </w:p>
        </w:tc>
      </w:tr>
      <w:tr w:rsidR="00022B73" w:rsidRPr="004E74A6" w14:paraId="26E8376D" w14:textId="13A598E1" w:rsidTr="00022B73">
        <w:trPr>
          <w:trHeight w:val="288"/>
          <w:jc w:val="center"/>
        </w:trPr>
        <w:tc>
          <w:tcPr>
            <w:tcW w:w="1593" w:type="pct"/>
            <w:tcBorders>
              <w:top w:val="single" w:sz="4" w:space="0" w:color="auto"/>
              <w:left w:val="nil"/>
              <w:bottom w:val="nil"/>
              <w:right w:val="single" w:sz="4" w:space="0" w:color="auto"/>
            </w:tcBorders>
            <w:shd w:val="clear" w:color="auto" w:fill="auto"/>
            <w:noWrap/>
            <w:vAlign w:val="center"/>
          </w:tcPr>
          <w:p w14:paraId="28CA315C" w14:textId="77777777" w:rsidR="00022B73" w:rsidRPr="004E74A6" w:rsidRDefault="00022B73" w:rsidP="00CE62C1">
            <w:pPr>
              <w:spacing w:line="276" w:lineRule="auto"/>
              <w:jc w:val="center"/>
              <w:rPr>
                <w:rFonts w:cs="Calibri"/>
                <w:color w:val="000000"/>
                <w:sz w:val="20"/>
                <w:lang w:eastAsia="es-CR"/>
              </w:rPr>
            </w:pPr>
          </w:p>
        </w:tc>
        <w:tc>
          <w:tcPr>
            <w:tcW w:w="480" w:type="pct"/>
            <w:tcBorders>
              <w:top w:val="single" w:sz="4" w:space="0" w:color="auto"/>
              <w:left w:val="single" w:sz="4" w:space="0" w:color="auto"/>
              <w:bottom w:val="nil"/>
              <w:right w:val="single" w:sz="4" w:space="0" w:color="auto"/>
            </w:tcBorders>
            <w:shd w:val="clear" w:color="auto" w:fill="auto"/>
            <w:noWrap/>
            <w:vAlign w:val="center"/>
          </w:tcPr>
          <w:p w14:paraId="6FD46CD0" w14:textId="77777777" w:rsidR="00022B73" w:rsidRPr="004E74A6" w:rsidRDefault="00022B73" w:rsidP="00CE62C1">
            <w:pPr>
              <w:spacing w:line="276" w:lineRule="auto"/>
              <w:jc w:val="center"/>
              <w:rPr>
                <w:rFonts w:cs="Calibri"/>
                <w:color w:val="000000"/>
                <w:sz w:val="20"/>
                <w:lang w:eastAsia="es-CR"/>
              </w:rPr>
            </w:pPr>
          </w:p>
        </w:tc>
        <w:tc>
          <w:tcPr>
            <w:tcW w:w="480" w:type="pct"/>
            <w:tcBorders>
              <w:top w:val="single" w:sz="4" w:space="0" w:color="auto"/>
              <w:left w:val="single" w:sz="4" w:space="0" w:color="auto"/>
              <w:bottom w:val="nil"/>
              <w:right w:val="single" w:sz="4" w:space="0" w:color="auto"/>
            </w:tcBorders>
            <w:shd w:val="clear" w:color="auto" w:fill="auto"/>
            <w:noWrap/>
            <w:vAlign w:val="center"/>
          </w:tcPr>
          <w:p w14:paraId="435F51F6" w14:textId="77777777" w:rsidR="00022B73" w:rsidRPr="004E74A6" w:rsidRDefault="00022B73" w:rsidP="00CE62C1">
            <w:pPr>
              <w:spacing w:line="276" w:lineRule="auto"/>
              <w:jc w:val="center"/>
              <w:rPr>
                <w:rFonts w:cs="Calibri"/>
                <w:color w:val="000000"/>
                <w:sz w:val="20"/>
                <w:lang w:eastAsia="es-CR"/>
              </w:rPr>
            </w:pPr>
          </w:p>
        </w:tc>
        <w:tc>
          <w:tcPr>
            <w:tcW w:w="480" w:type="pct"/>
            <w:tcBorders>
              <w:top w:val="single" w:sz="4" w:space="0" w:color="auto"/>
              <w:left w:val="single" w:sz="4" w:space="0" w:color="auto"/>
              <w:bottom w:val="nil"/>
              <w:right w:val="single" w:sz="4" w:space="0" w:color="auto"/>
            </w:tcBorders>
            <w:shd w:val="clear" w:color="auto" w:fill="auto"/>
            <w:noWrap/>
            <w:vAlign w:val="center"/>
          </w:tcPr>
          <w:p w14:paraId="3AD82182" w14:textId="77777777" w:rsidR="00022B73" w:rsidRPr="004E74A6" w:rsidRDefault="00022B73" w:rsidP="00CE62C1">
            <w:pPr>
              <w:spacing w:line="276" w:lineRule="auto"/>
              <w:jc w:val="center"/>
              <w:rPr>
                <w:rFonts w:cs="Calibri"/>
                <w:color w:val="000000"/>
                <w:sz w:val="20"/>
                <w:lang w:eastAsia="es-CR"/>
              </w:rPr>
            </w:pPr>
          </w:p>
        </w:tc>
        <w:tc>
          <w:tcPr>
            <w:tcW w:w="631" w:type="pct"/>
            <w:tcBorders>
              <w:top w:val="single" w:sz="4" w:space="0" w:color="auto"/>
              <w:left w:val="single" w:sz="4" w:space="0" w:color="auto"/>
              <w:bottom w:val="nil"/>
              <w:right w:val="nil"/>
            </w:tcBorders>
            <w:shd w:val="clear" w:color="auto" w:fill="auto"/>
            <w:noWrap/>
            <w:vAlign w:val="center"/>
          </w:tcPr>
          <w:p w14:paraId="108A5B96" w14:textId="77777777" w:rsidR="00022B73" w:rsidRPr="004E74A6" w:rsidRDefault="00022B73" w:rsidP="00CE62C1">
            <w:pPr>
              <w:spacing w:line="276" w:lineRule="auto"/>
              <w:jc w:val="center"/>
              <w:rPr>
                <w:rFonts w:cs="Calibri"/>
                <w:color w:val="000000"/>
                <w:sz w:val="20"/>
                <w:lang w:eastAsia="es-CR"/>
              </w:rPr>
            </w:pPr>
          </w:p>
        </w:tc>
        <w:tc>
          <w:tcPr>
            <w:tcW w:w="1337" w:type="pct"/>
            <w:tcBorders>
              <w:top w:val="single" w:sz="4" w:space="0" w:color="auto"/>
              <w:left w:val="single" w:sz="4" w:space="0" w:color="auto"/>
              <w:bottom w:val="nil"/>
              <w:right w:val="nil"/>
            </w:tcBorders>
          </w:tcPr>
          <w:p w14:paraId="52E6AB61" w14:textId="77777777" w:rsidR="00022B73" w:rsidRPr="004E74A6" w:rsidRDefault="00022B73" w:rsidP="00CE62C1">
            <w:pPr>
              <w:spacing w:line="276" w:lineRule="auto"/>
              <w:jc w:val="center"/>
              <w:rPr>
                <w:rFonts w:cs="Calibri"/>
                <w:color w:val="000000"/>
                <w:sz w:val="20"/>
                <w:lang w:eastAsia="es-CR"/>
              </w:rPr>
            </w:pPr>
          </w:p>
        </w:tc>
      </w:tr>
      <w:tr w:rsidR="00022B73" w:rsidRPr="004E74A6" w14:paraId="62E5D0E7" w14:textId="260489ED" w:rsidTr="00022B73">
        <w:trPr>
          <w:trHeight w:val="288"/>
          <w:jc w:val="center"/>
        </w:trPr>
        <w:tc>
          <w:tcPr>
            <w:tcW w:w="1593" w:type="pct"/>
            <w:tcBorders>
              <w:top w:val="nil"/>
              <w:left w:val="nil"/>
              <w:bottom w:val="nil"/>
              <w:right w:val="single" w:sz="4" w:space="0" w:color="auto"/>
            </w:tcBorders>
            <w:shd w:val="clear" w:color="auto" w:fill="auto"/>
            <w:noWrap/>
            <w:vAlign w:val="center"/>
          </w:tcPr>
          <w:p w14:paraId="35A31156" w14:textId="77777777" w:rsidR="00022B73" w:rsidRPr="004E74A6" w:rsidRDefault="00022B73" w:rsidP="00CE62C1">
            <w:pPr>
              <w:spacing w:line="276" w:lineRule="auto"/>
              <w:jc w:val="center"/>
              <w:rPr>
                <w:rFonts w:cs="Calibri"/>
                <w:color w:val="000000"/>
                <w:sz w:val="20"/>
                <w:lang w:eastAsia="es-CR"/>
              </w:rPr>
            </w:pPr>
            <w:r w:rsidRPr="004E74A6">
              <w:rPr>
                <w:rFonts w:cs="Calibri"/>
                <w:color w:val="000000"/>
                <w:sz w:val="20"/>
                <w:lang w:eastAsia="es-CR"/>
              </w:rPr>
              <w:t>Total</w:t>
            </w:r>
          </w:p>
        </w:tc>
        <w:tc>
          <w:tcPr>
            <w:tcW w:w="480" w:type="pct"/>
            <w:tcBorders>
              <w:top w:val="nil"/>
              <w:left w:val="single" w:sz="4" w:space="0" w:color="auto"/>
              <w:bottom w:val="nil"/>
              <w:right w:val="single" w:sz="4" w:space="0" w:color="auto"/>
            </w:tcBorders>
            <w:shd w:val="clear" w:color="auto" w:fill="auto"/>
            <w:noWrap/>
            <w:vAlign w:val="bottom"/>
          </w:tcPr>
          <w:p w14:paraId="4BDCE7AF" w14:textId="27F02E5C" w:rsidR="00022B73" w:rsidRPr="004E74A6" w:rsidRDefault="00022B73" w:rsidP="00CE62C1">
            <w:pPr>
              <w:spacing w:line="276" w:lineRule="auto"/>
              <w:jc w:val="center"/>
              <w:rPr>
                <w:rFonts w:cs="Calibri"/>
                <w:color w:val="000000"/>
                <w:sz w:val="20"/>
                <w:lang w:eastAsia="es-CR"/>
              </w:rPr>
            </w:pPr>
            <w:r w:rsidRPr="004E74A6">
              <w:rPr>
                <w:rFonts w:cs="Calibri"/>
                <w:color w:val="000000"/>
                <w:sz w:val="20"/>
              </w:rPr>
              <w:t>32</w:t>
            </w:r>
          </w:p>
        </w:tc>
        <w:tc>
          <w:tcPr>
            <w:tcW w:w="480" w:type="pct"/>
            <w:tcBorders>
              <w:top w:val="nil"/>
              <w:left w:val="single" w:sz="4" w:space="0" w:color="auto"/>
              <w:bottom w:val="nil"/>
              <w:right w:val="single" w:sz="4" w:space="0" w:color="auto"/>
            </w:tcBorders>
            <w:shd w:val="clear" w:color="auto" w:fill="auto"/>
            <w:noWrap/>
            <w:vAlign w:val="bottom"/>
          </w:tcPr>
          <w:p w14:paraId="74B0FD70" w14:textId="67523314" w:rsidR="00022B73" w:rsidRPr="004E74A6" w:rsidRDefault="00022B73" w:rsidP="00CE62C1">
            <w:pPr>
              <w:spacing w:line="276" w:lineRule="auto"/>
              <w:jc w:val="center"/>
              <w:rPr>
                <w:rFonts w:cs="Calibri"/>
                <w:color w:val="000000"/>
                <w:sz w:val="20"/>
                <w:lang w:eastAsia="es-CR"/>
              </w:rPr>
            </w:pPr>
            <w:r w:rsidRPr="004E74A6">
              <w:rPr>
                <w:rFonts w:cs="Calibri"/>
                <w:color w:val="000000"/>
                <w:sz w:val="20"/>
              </w:rPr>
              <w:t>72</w:t>
            </w:r>
          </w:p>
        </w:tc>
        <w:tc>
          <w:tcPr>
            <w:tcW w:w="480" w:type="pct"/>
            <w:tcBorders>
              <w:top w:val="nil"/>
              <w:left w:val="single" w:sz="4" w:space="0" w:color="auto"/>
              <w:bottom w:val="nil"/>
              <w:right w:val="single" w:sz="4" w:space="0" w:color="auto"/>
            </w:tcBorders>
            <w:shd w:val="clear" w:color="auto" w:fill="auto"/>
            <w:noWrap/>
            <w:vAlign w:val="bottom"/>
          </w:tcPr>
          <w:p w14:paraId="44F79BDC" w14:textId="2A4A4EAB" w:rsidR="00022B73" w:rsidRPr="004E74A6" w:rsidRDefault="00022B73" w:rsidP="00CE62C1">
            <w:pPr>
              <w:spacing w:line="276" w:lineRule="auto"/>
              <w:jc w:val="center"/>
              <w:rPr>
                <w:rFonts w:cs="Calibri"/>
                <w:color w:val="000000"/>
                <w:sz w:val="20"/>
                <w:lang w:eastAsia="es-CR"/>
              </w:rPr>
            </w:pPr>
            <w:r w:rsidRPr="004E74A6">
              <w:rPr>
                <w:rFonts w:cs="Calibri"/>
                <w:color w:val="000000"/>
                <w:sz w:val="20"/>
              </w:rPr>
              <w:t>103</w:t>
            </w:r>
          </w:p>
        </w:tc>
        <w:tc>
          <w:tcPr>
            <w:tcW w:w="631" w:type="pct"/>
            <w:tcBorders>
              <w:top w:val="nil"/>
              <w:left w:val="single" w:sz="4" w:space="0" w:color="auto"/>
              <w:bottom w:val="nil"/>
              <w:right w:val="nil"/>
            </w:tcBorders>
            <w:shd w:val="clear" w:color="auto" w:fill="auto"/>
            <w:noWrap/>
            <w:vAlign w:val="bottom"/>
          </w:tcPr>
          <w:p w14:paraId="6A232F98" w14:textId="6AE49D87" w:rsidR="00022B73" w:rsidRPr="004E74A6" w:rsidRDefault="00022B73" w:rsidP="00CE62C1">
            <w:pPr>
              <w:spacing w:line="276" w:lineRule="auto"/>
              <w:jc w:val="center"/>
              <w:rPr>
                <w:rFonts w:cs="Calibri"/>
                <w:color w:val="000000"/>
                <w:sz w:val="20"/>
                <w:lang w:eastAsia="es-CR"/>
              </w:rPr>
            </w:pPr>
            <w:r w:rsidRPr="004E74A6">
              <w:rPr>
                <w:rFonts w:cs="Calibri"/>
                <w:color w:val="000000"/>
                <w:sz w:val="20"/>
              </w:rPr>
              <w:t>69,0</w:t>
            </w:r>
          </w:p>
        </w:tc>
        <w:tc>
          <w:tcPr>
            <w:tcW w:w="1337" w:type="pct"/>
            <w:tcBorders>
              <w:top w:val="nil"/>
              <w:left w:val="single" w:sz="4" w:space="0" w:color="auto"/>
              <w:bottom w:val="nil"/>
              <w:right w:val="nil"/>
            </w:tcBorders>
          </w:tcPr>
          <w:p w14:paraId="172C2291" w14:textId="77777777" w:rsidR="00022B73" w:rsidRPr="004E74A6" w:rsidRDefault="00022B73" w:rsidP="00CE62C1">
            <w:pPr>
              <w:spacing w:line="276" w:lineRule="auto"/>
              <w:jc w:val="center"/>
              <w:rPr>
                <w:rFonts w:cs="Calibri"/>
                <w:color w:val="000000"/>
                <w:sz w:val="20"/>
              </w:rPr>
            </w:pPr>
          </w:p>
        </w:tc>
      </w:tr>
      <w:tr w:rsidR="00022B73" w:rsidRPr="004E74A6" w14:paraId="108DC92E" w14:textId="5FE0577D" w:rsidTr="00022B73">
        <w:trPr>
          <w:trHeight w:val="288"/>
          <w:jc w:val="center"/>
        </w:trPr>
        <w:tc>
          <w:tcPr>
            <w:tcW w:w="1593" w:type="pct"/>
            <w:tcBorders>
              <w:top w:val="nil"/>
              <w:left w:val="nil"/>
              <w:bottom w:val="nil"/>
              <w:right w:val="single" w:sz="4" w:space="0" w:color="auto"/>
            </w:tcBorders>
            <w:shd w:val="clear" w:color="auto" w:fill="auto"/>
            <w:noWrap/>
            <w:vAlign w:val="bottom"/>
          </w:tcPr>
          <w:p w14:paraId="258C2355" w14:textId="77777777" w:rsidR="00022B73" w:rsidRPr="004E74A6" w:rsidRDefault="00022B73" w:rsidP="00CE62C1">
            <w:pPr>
              <w:spacing w:line="276" w:lineRule="auto"/>
              <w:jc w:val="left"/>
              <w:rPr>
                <w:rFonts w:cs="Calibri"/>
                <w:color w:val="000000"/>
                <w:sz w:val="20"/>
                <w:lang w:eastAsia="es-CR"/>
              </w:rPr>
            </w:pPr>
          </w:p>
        </w:tc>
        <w:tc>
          <w:tcPr>
            <w:tcW w:w="480" w:type="pct"/>
            <w:tcBorders>
              <w:top w:val="nil"/>
              <w:left w:val="single" w:sz="4" w:space="0" w:color="auto"/>
              <w:bottom w:val="nil"/>
              <w:right w:val="single" w:sz="4" w:space="0" w:color="auto"/>
            </w:tcBorders>
            <w:shd w:val="clear" w:color="auto" w:fill="auto"/>
            <w:noWrap/>
            <w:vAlign w:val="center"/>
          </w:tcPr>
          <w:p w14:paraId="0C343F8F" w14:textId="77777777" w:rsidR="00022B73" w:rsidRPr="004E74A6" w:rsidRDefault="00022B73" w:rsidP="00CE62C1">
            <w:pPr>
              <w:spacing w:line="276" w:lineRule="auto"/>
              <w:jc w:val="center"/>
              <w:rPr>
                <w:rFonts w:cs="Calibri"/>
                <w:color w:val="000000"/>
                <w:sz w:val="20"/>
                <w:lang w:eastAsia="es-CR"/>
              </w:rPr>
            </w:pPr>
          </w:p>
        </w:tc>
        <w:tc>
          <w:tcPr>
            <w:tcW w:w="480" w:type="pct"/>
            <w:tcBorders>
              <w:top w:val="nil"/>
              <w:left w:val="single" w:sz="4" w:space="0" w:color="auto"/>
              <w:bottom w:val="nil"/>
              <w:right w:val="single" w:sz="4" w:space="0" w:color="auto"/>
            </w:tcBorders>
            <w:shd w:val="clear" w:color="auto" w:fill="auto"/>
            <w:noWrap/>
            <w:vAlign w:val="center"/>
          </w:tcPr>
          <w:p w14:paraId="4B7715F5" w14:textId="77777777" w:rsidR="00022B73" w:rsidRPr="004E74A6" w:rsidRDefault="00022B73" w:rsidP="00CE62C1">
            <w:pPr>
              <w:spacing w:line="276" w:lineRule="auto"/>
              <w:jc w:val="center"/>
              <w:rPr>
                <w:rFonts w:cs="Calibri"/>
                <w:color w:val="000000"/>
                <w:sz w:val="20"/>
                <w:lang w:eastAsia="es-CR"/>
              </w:rPr>
            </w:pPr>
          </w:p>
        </w:tc>
        <w:tc>
          <w:tcPr>
            <w:tcW w:w="480" w:type="pct"/>
            <w:tcBorders>
              <w:top w:val="nil"/>
              <w:left w:val="single" w:sz="4" w:space="0" w:color="auto"/>
              <w:bottom w:val="nil"/>
              <w:right w:val="single" w:sz="4" w:space="0" w:color="auto"/>
            </w:tcBorders>
            <w:shd w:val="clear" w:color="auto" w:fill="auto"/>
            <w:noWrap/>
            <w:vAlign w:val="center"/>
          </w:tcPr>
          <w:p w14:paraId="32923D02" w14:textId="77777777" w:rsidR="00022B73" w:rsidRPr="004E74A6" w:rsidRDefault="00022B73" w:rsidP="00CE62C1">
            <w:pPr>
              <w:spacing w:line="276" w:lineRule="auto"/>
              <w:jc w:val="center"/>
              <w:rPr>
                <w:rFonts w:cs="Calibri"/>
                <w:color w:val="000000"/>
                <w:sz w:val="20"/>
                <w:lang w:eastAsia="es-CR"/>
              </w:rPr>
            </w:pPr>
          </w:p>
        </w:tc>
        <w:tc>
          <w:tcPr>
            <w:tcW w:w="631" w:type="pct"/>
            <w:tcBorders>
              <w:top w:val="nil"/>
              <w:left w:val="single" w:sz="4" w:space="0" w:color="auto"/>
              <w:bottom w:val="nil"/>
              <w:right w:val="nil"/>
            </w:tcBorders>
            <w:shd w:val="clear" w:color="auto" w:fill="auto"/>
            <w:noWrap/>
            <w:vAlign w:val="center"/>
          </w:tcPr>
          <w:p w14:paraId="2F3B49DF" w14:textId="77777777" w:rsidR="00022B73" w:rsidRPr="004E74A6" w:rsidRDefault="00022B73" w:rsidP="00CE62C1">
            <w:pPr>
              <w:spacing w:line="276" w:lineRule="auto"/>
              <w:jc w:val="center"/>
              <w:rPr>
                <w:rFonts w:cs="Calibri"/>
                <w:color w:val="000000"/>
                <w:sz w:val="20"/>
                <w:lang w:eastAsia="es-CR"/>
              </w:rPr>
            </w:pPr>
          </w:p>
        </w:tc>
        <w:tc>
          <w:tcPr>
            <w:tcW w:w="1337" w:type="pct"/>
            <w:tcBorders>
              <w:top w:val="nil"/>
              <w:left w:val="single" w:sz="4" w:space="0" w:color="auto"/>
              <w:bottom w:val="nil"/>
              <w:right w:val="nil"/>
            </w:tcBorders>
          </w:tcPr>
          <w:p w14:paraId="3C8946F4" w14:textId="77777777" w:rsidR="00022B73" w:rsidRPr="004E74A6" w:rsidRDefault="00022B73" w:rsidP="00CE62C1">
            <w:pPr>
              <w:spacing w:line="276" w:lineRule="auto"/>
              <w:jc w:val="center"/>
              <w:rPr>
                <w:rFonts w:cs="Calibri"/>
                <w:color w:val="000000"/>
                <w:sz w:val="20"/>
                <w:lang w:eastAsia="es-CR"/>
              </w:rPr>
            </w:pPr>
          </w:p>
        </w:tc>
      </w:tr>
      <w:tr w:rsidR="00022B73" w:rsidRPr="004E74A6" w14:paraId="2E7A8709" w14:textId="5EA01A49" w:rsidTr="00022B73">
        <w:trPr>
          <w:trHeight w:val="288"/>
          <w:jc w:val="center"/>
        </w:trPr>
        <w:tc>
          <w:tcPr>
            <w:tcW w:w="1593" w:type="pct"/>
            <w:tcBorders>
              <w:top w:val="nil"/>
              <w:left w:val="nil"/>
              <w:bottom w:val="nil"/>
              <w:right w:val="single" w:sz="4" w:space="0" w:color="auto"/>
            </w:tcBorders>
            <w:shd w:val="clear" w:color="auto" w:fill="C5E0B3" w:themeFill="accent6" w:themeFillTint="66"/>
            <w:noWrap/>
            <w:vAlign w:val="bottom"/>
            <w:hideMark/>
          </w:tcPr>
          <w:p w14:paraId="2A6BA308" w14:textId="77777777" w:rsidR="00022B73" w:rsidRPr="004E74A6" w:rsidRDefault="00022B73" w:rsidP="00CE62C1">
            <w:pPr>
              <w:spacing w:line="276" w:lineRule="auto"/>
              <w:jc w:val="left"/>
              <w:rPr>
                <w:rFonts w:cs="Calibri"/>
                <w:color w:val="000000"/>
                <w:sz w:val="20"/>
                <w:lang w:eastAsia="es-CR"/>
              </w:rPr>
            </w:pPr>
            <w:r w:rsidRPr="004E74A6">
              <w:rPr>
                <w:rFonts w:cs="Calibri"/>
                <w:color w:val="000000"/>
                <w:sz w:val="20"/>
                <w:lang w:eastAsia="es-CR"/>
              </w:rPr>
              <w:t>Menos De ¢3.000.001</w:t>
            </w:r>
          </w:p>
        </w:tc>
        <w:tc>
          <w:tcPr>
            <w:tcW w:w="480" w:type="pct"/>
            <w:tcBorders>
              <w:top w:val="nil"/>
              <w:left w:val="single" w:sz="4" w:space="0" w:color="auto"/>
              <w:bottom w:val="nil"/>
              <w:right w:val="single" w:sz="4" w:space="0" w:color="auto"/>
            </w:tcBorders>
            <w:shd w:val="clear" w:color="auto" w:fill="C5E0B3" w:themeFill="accent6" w:themeFillTint="66"/>
            <w:noWrap/>
            <w:vAlign w:val="bottom"/>
            <w:hideMark/>
          </w:tcPr>
          <w:p w14:paraId="7E5A4205" w14:textId="3A4AE34E" w:rsidR="00022B73" w:rsidRPr="004E74A6" w:rsidRDefault="00022B73" w:rsidP="00CE62C1">
            <w:pPr>
              <w:spacing w:line="276" w:lineRule="auto"/>
              <w:jc w:val="center"/>
              <w:rPr>
                <w:rFonts w:cs="Calibri"/>
                <w:color w:val="000000"/>
                <w:sz w:val="20"/>
                <w:lang w:eastAsia="es-CR"/>
              </w:rPr>
            </w:pPr>
            <w:r w:rsidRPr="004E74A6">
              <w:rPr>
                <w:rFonts w:cs="Calibri"/>
                <w:color w:val="000000"/>
                <w:sz w:val="20"/>
              </w:rPr>
              <w:t>0</w:t>
            </w:r>
          </w:p>
        </w:tc>
        <w:tc>
          <w:tcPr>
            <w:tcW w:w="480" w:type="pct"/>
            <w:tcBorders>
              <w:top w:val="nil"/>
              <w:left w:val="single" w:sz="4" w:space="0" w:color="auto"/>
              <w:bottom w:val="nil"/>
              <w:right w:val="single" w:sz="4" w:space="0" w:color="auto"/>
            </w:tcBorders>
            <w:shd w:val="clear" w:color="auto" w:fill="C5E0B3" w:themeFill="accent6" w:themeFillTint="66"/>
            <w:noWrap/>
            <w:vAlign w:val="bottom"/>
            <w:hideMark/>
          </w:tcPr>
          <w:p w14:paraId="67A3AB08" w14:textId="7F4AD624" w:rsidR="00022B73" w:rsidRPr="004E74A6" w:rsidRDefault="00022B73" w:rsidP="00CE62C1">
            <w:pPr>
              <w:spacing w:line="276" w:lineRule="auto"/>
              <w:jc w:val="center"/>
              <w:rPr>
                <w:rFonts w:cs="Calibri"/>
                <w:color w:val="000000"/>
                <w:sz w:val="20"/>
                <w:lang w:eastAsia="es-CR"/>
              </w:rPr>
            </w:pPr>
            <w:r w:rsidRPr="004E74A6">
              <w:rPr>
                <w:rFonts w:cs="Calibri"/>
                <w:color w:val="000000"/>
                <w:sz w:val="20"/>
              </w:rPr>
              <w:t>2</w:t>
            </w:r>
          </w:p>
        </w:tc>
        <w:tc>
          <w:tcPr>
            <w:tcW w:w="480" w:type="pct"/>
            <w:tcBorders>
              <w:top w:val="nil"/>
              <w:left w:val="single" w:sz="4" w:space="0" w:color="auto"/>
              <w:bottom w:val="nil"/>
              <w:right w:val="single" w:sz="4" w:space="0" w:color="auto"/>
            </w:tcBorders>
            <w:shd w:val="clear" w:color="auto" w:fill="C5E0B3" w:themeFill="accent6" w:themeFillTint="66"/>
            <w:noWrap/>
            <w:vAlign w:val="bottom"/>
            <w:hideMark/>
          </w:tcPr>
          <w:p w14:paraId="0CE53D6F" w14:textId="085EC914" w:rsidR="00022B73" w:rsidRPr="004E74A6" w:rsidRDefault="00022B73" w:rsidP="00CE62C1">
            <w:pPr>
              <w:spacing w:line="276" w:lineRule="auto"/>
              <w:jc w:val="center"/>
              <w:rPr>
                <w:rFonts w:cs="Calibri"/>
                <w:color w:val="000000"/>
                <w:sz w:val="20"/>
                <w:lang w:eastAsia="es-CR"/>
              </w:rPr>
            </w:pPr>
            <w:r w:rsidRPr="004E74A6">
              <w:rPr>
                <w:rFonts w:cs="Calibri"/>
                <w:color w:val="000000"/>
                <w:sz w:val="20"/>
              </w:rPr>
              <w:t>3</w:t>
            </w:r>
          </w:p>
        </w:tc>
        <w:tc>
          <w:tcPr>
            <w:tcW w:w="631" w:type="pct"/>
            <w:tcBorders>
              <w:top w:val="nil"/>
              <w:left w:val="single" w:sz="4" w:space="0" w:color="auto"/>
              <w:bottom w:val="nil"/>
              <w:right w:val="nil"/>
            </w:tcBorders>
            <w:shd w:val="clear" w:color="auto" w:fill="C5E0B3" w:themeFill="accent6" w:themeFillTint="66"/>
            <w:noWrap/>
            <w:vAlign w:val="bottom"/>
            <w:hideMark/>
          </w:tcPr>
          <w:p w14:paraId="51727189" w14:textId="4825452E" w:rsidR="00022B73" w:rsidRPr="004E74A6" w:rsidRDefault="00022B73" w:rsidP="00CE62C1">
            <w:pPr>
              <w:spacing w:line="276" w:lineRule="auto"/>
              <w:jc w:val="center"/>
              <w:rPr>
                <w:rFonts w:cs="Calibri"/>
                <w:color w:val="000000"/>
                <w:sz w:val="20"/>
                <w:lang w:eastAsia="es-CR"/>
              </w:rPr>
            </w:pPr>
            <w:r w:rsidRPr="004E74A6">
              <w:rPr>
                <w:rFonts w:cs="Calibri"/>
                <w:color w:val="000000"/>
                <w:sz w:val="20"/>
              </w:rPr>
              <w:t>1,7</w:t>
            </w:r>
          </w:p>
        </w:tc>
        <w:tc>
          <w:tcPr>
            <w:tcW w:w="1337" w:type="pct"/>
            <w:tcBorders>
              <w:top w:val="nil"/>
              <w:left w:val="single" w:sz="4" w:space="0" w:color="auto"/>
              <w:bottom w:val="nil"/>
              <w:right w:val="nil"/>
            </w:tcBorders>
            <w:shd w:val="clear" w:color="auto" w:fill="C5E0B3" w:themeFill="accent6" w:themeFillTint="66"/>
            <w:vAlign w:val="bottom"/>
          </w:tcPr>
          <w:p w14:paraId="3F1D5BD4" w14:textId="1386751E" w:rsidR="00022B73" w:rsidRPr="004E74A6" w:rsidRDefault="00022B73" w:rsidP="00CE62C1">
            <w:pPr>
              <w:spacing w:line="276" w:lineRule="auto"/>
              <w:jc w:val="center"/>
              <w:rPr>
                <w:rFonts w:cs="Calibri"/>
                <w:color w:val="000000"/>
                <w:sz w:val="20"/>
              </w:rPr>
            </w:pPr>
            <w:r w:rsidRPr="004E74A6">
              <w:rPr>
                <w:rFonts w:cs="Calibri"/>
                <w:color w:val="000000"/>
                <w:sz w:val="20"/>
              </w:rPr>
              <w:t>2%</w:t>
            </w:r>
          </w:p>
        </w:tc>
      </w:tr>
      <w:tr w:rsidR="00022B73" w:rsidRPr="004E74A6" w14:paraId="331F47D6" w14:textId="61EEDE8F" w:rsidTr="00022B73">
        <w:trPr>
          <w:trHeight w:val="288"/>
          <w:jc w:val="center"/>
        </w:trPr>
        <w:tc>
          <w:tcPr>
            <w:tcW w:w="1593" w:type="pct"/>
            <w:tcBorders>
              <w:top w:val="nil"/>
              <w:left w:val="nil"/>
              <w:bottom w:val="nil"/>
              <w:right w:val="single" w:sz="4" w:space="0" w:color="auto"/>
            </w:tcBorders>
            <w:shd w:val="clear" w:color="auto" w:fill="C5E0B3" w:themeFill="accent6" w:themeFillTint="66"/>
            <w:noWrap/>
            <w:vAlign w:val="bottom"/>
            <w:hideMark/>
          </w:tcPr>
          <w:p w14:paraId="2D9B3E2F" w14:textId="77777777" w:rsidR="00022B73" w:rsidRPr="004E74A6" w:rsidRDefault="00022B73" w:rsidP="00CE62C1">
            <w:pPr>
              <w:spacing w:line="276" w:lineRule="auto"/>
              <w:jc w:val="left"/>
              <w:rPr>
                <w:rFonts w:cs="Calibri"/>
                <w:color w:val="000000"/>
                <w:sz w:val="20"/>
                <w:lang w:eastAsia="es-CR"/>
              </w:rPr>
            </w:pPr>
            <w:r w:rsidRPr="004E74A6">
              <w:rPr>
                <w:rFonts w:cs="Calibri"/>
                <w:color w:val="000000"/>
                <w:sz w:val="20"/>
                <w:lang w:eastAsia="es-CR"/>
              </w:rPr>
              <w:t>De ¢3.000.001 A ¢4.000.000</w:t>
            </w:r>
          </w:p>
        </w:tc>
        <w:tc>
          <w:tcPr>
            <w:tcW w:w="480" w:type="pct"/>
            <w:tcBorders>
              <w:top w:val="nil"/>
              <w:left w:val="single" w:sz="4" w:space="0" w:color="auto"/>
              <w:bottom w:val="nil"/>
              <w:right w:val="single" w:sz="4" w:space="0" w:color="auto"/>
            </w:tcBorders>
            <w:shd w:val="clear" w:color="auto" w:fill="C5E0B3" w:themeFill="accent6" w:themeFillTint="66"/>
            <w:noWrap/>
            <w:vAlign w:val="bottom"/>
            <w:hideMark/>
          </w:tcPr>
          <w:p w14:paraId="37AD69B7" w14:textId="012C8320" w:rsidR="00022B73" w:rsidRPr="004E74A6" w:rsidRDefault="00022B73" w:rsidP="00CE62C1">
            <w:pPr>
              <w:spacing w:line="276" w:lineRule="auto"/>
              <w:jc w:val="center"/>
              <w:rPr>
                <w:rFonts w:cs="Calibri"/>
                <w:color w:val="000000"/>
                <w:sz w:val="20"/>
                <w:lang w:eastAsia="es-CR"/>
              </w:rPr>
            </w:pPr>
            <w:r w:rsidRPr="004E74A6">
              <w:rPr>
                <w:rFonts w:cs="Calibri"/>
                <w:color w:val="000000"/>
                <w:sz w:val="20"/>
              </w:rPr>
              <w:t>3</w:t>
            </w:r>
          </w:p>
        </w:tc>
        <w:tc>
          <w:tcPr>
            <w:tcW w:w="480" w:type="pct"/>
            <w:tcBorders>
              <w:top w:val="nil"/>
              <w:left w:val="single" w:sz="4" w:space="0" w:color="auto"/>
              <w:bottom w:val="nil"/>
              <w:right w:val="single" w:sz="4" w:space="0" w:color="auto"/>
            </w:tcBorders>
            <w:shd w:val="clear" w:color="auto" w:fill="C5E0B3" w:themeFill="accent6" w:themeFillTint="66"/>
            <w:noWrap/>
            <w:vAlign w:val="bottom"/>
            <w:hideMark/>
          </w:tcPr>
          <w:p w14:paraId="12BD66C1" w14:textId="1076A389" w:rsidR="00022B73" w:rsidRPr="004E74A6" w:rsidRDefault="00022B73" w:rsidP="00CE62C1">
            <w:pPr>
              <w:spacing w:line="276" w:lineRule="auto"/>
              <w:jc w:val="center"/>
              <w:rPr>
                <w:rFonts w:cs="Calibri"/>
                <w:color w:val="000000"/>
                <w:sz w:val="20"/>
                <w:lang w:eastAsia="es-CR"/>
              </w:rPr>
            </w:pPr>
            <w:r w:rsidRPr="004E74A6">
              <w:rPr>
                <w:rFonts w:cs="Calibri"/>
                <w:color w:val="000000"/>
                <w:sz w:val="20"/>
              </w:rPr>
              <w:t>4</w:t>
            </w:r>
          </w:p>
        </w:tc>
        <w:tc>
          <w:tcPr>
            <w:tcW w:w="480" w:type="pct"/>
            <w:tcBorders>
              <w:top w:val="nil"/>
              <w:left w:val="single" w:sz="4" w:space="0" w:color="auto"/>
              <w:bottom w:val="nil"/>
              <w:right w:val="single" w:sz="4" w:space="0" w:color="auto"/>
            </w:tcBorders>
            <w:shd w:val="clear" w:color="auto" w:fill="C5E0B3" w:themeFill="accent6" w:themeFillTint="66"/>
            <w:noWrap/>
            <w:vAlign w:val="bottom"/>
            <w:hideMark/>
          </w:tcPr>
          <w:p w14:paraId="071BA25B" w14:textId="038ED1D6" w:rsidR="00022B73" w:rsidRPr="004E74A6" w:rsidRDefault="00022B73" w:rsidP="00CE62C1">
            <w:pPr>
              <w:spacing w:line="276" w:lineRule="auto"/>
              <w:jc w:val="center"/>
              <w:rPr>
                <w:rFonts w:cs="Calibri"/>
                <w:color w:val="000000"/>
                <w:sz w:val="20"/>
                <w:lang w:eastAsia="es-CR"/>
              </w:rPr>
            </w:pPr>
            <w:r w:rsidRPr="004E74A6">
              <w:rPr>
                <w:rFonts w:cs="Calibri"/>
                <w:color w:val="000000"/>
                <w:sz w:val="20"/>
              </w:rPr>
              <w:t>9</w:t>
            </w:r>
          </w:p>
        </w:tc>
        <w:tc>
          <w:tcPr>
            <w:tcW w:w="631" w:type="pct"/>
            <w:tcBorders>
              <w:top w:val="nil"/>
              <w:left w:val="single" w:sz="4" w:space="0" w:color="auto"/>
              <w:bottom w:val="nil"/>
              <w:right w:val="nil"/>
            </w:tcBorders>
            <w:shd w:val="clear" w:color="auto" w:fill="C5E0B3" w:themeFill="accent6" w:themeFillTint="66"/>
            <w:noWrap/>
            <w:vAlign w:val="bottom"/>
            <w:hideMark/>
          </w:tcPr>
          <w:p w14:paraId="4A301EED" w14:textId="4AF0257A" w:rsidR="00022B73" w:rsidRPr="004E74A6" w:rsidRDefault="00022B73" w:rsidP="00CE62C1">
            <w:pPr>
              <w:spacing w:line="276" w:lineRule="auto"/>
              <w:jc w:val="center"/>
              <w:rPr>
                <w:rFonts w:cs="Calibri"/>
                <w:color w:val="000000"/>
                <w:sz w:val="20"/>
                <w:lang w:eastAsia="es-CR"/>
              </w:rPr>
            </w:pPr>
            <w:r w:rsidRPr="004E74A6">
              <w:rPr>
                <w:rFonts w:cs="Calibri"/>
                <w:color w:val="000000"/>
                <w:sz w:val="20"/>
              </w:rPr>
              <w:t>5,3</w:t>
            </w:r>
          </w:p>
        </w:tc>
        <w:tc>
          <w:tcPr>
            <w:tcW w:w="1337" w:type="pct"/>
            <w:tcBorders>
              <w:top w:val="nil"/>
              <w:left w:val="single" w:sz="4" w:space="0" w:color="auto"/>
              <w:bottom w:val="nil"/>
              <w:right w:val="nil"/>
            </w:tcBorders>
            <w:shd w:val="clear" w:color="auto" w:fill="C5E0B3" w:themeFill="accent6" w:themeFillTint="66"/>
            <w:vAlign w:val="bottom"/>
          </w:tcPr>
          <w:p w14:paraId="23DCF0CA" w14:textId="2847C91B" w:rsidR="00022B73" w:rsidRPr="004E74A6" w:rsidRDefault="00022B73" w:rsidP="00CE62C1">
            <w:pPr>
              <w:spacing w:line="276" w:lineRule="auto"/>
              <w:jc w:val="center"/>
              <w:rPr>
                <w:rFonts w:cs="Calibri"/>
                <w:color w:val="000000"/>
                <w:sz w:val="20"/>
              </w:rPr>
            </w:pPr>
            <w:r w:rsidRPr="004E74A6">
              <w:rPr>
                <w:rFonts w:cs="Calibri"/>
                <w:color w:val="000000"/>
                <w:sz w:val="20"/>
              </w:rPr>
              <w:t>10%</w:t>
            </w:r>
          </w:p>
        </w:tc>
      </w:tr>
      <w:tr w:rsidR="00022B73" w:rsidRPr="004E74A6" w14:paraId="1CFAB2B8" w14:textId="1CAE38BC" w:rsidTr="00022B73">
        <w:trPr>
          <w:trHeight w:val="288"/>
          <w:jc w:val="center"/>
        </w:trPr>
        <w:tc>
          <w:tcPr>
            <w:tcW w:w="1593" w:type="pct"/>
            <w:tcBorders>
              <w:top w:val="nil"/>
              <w:left w:val="nil"/>
              <w:bottom w:val="nil"/>
              <w:right w:val="single" w:sz="4" w:space="0" w:color="auto"/>
            </w:tcBorders>
            <w:shd w:val="clear" w:color="auto" w:fill="C5E0B3" w:themeFill="accent6" w:themeFillTint="66"/>
            <w:noWrap/>
            <w:vAlign w:val="bottom"/>
            <w:hideMark/>
          </w:tcPr>
          <w:p w14:paraId="52139922" w14:textId="77777777" w:rsidR="00022B73" w:rsidRPr="00832773" w:rsidRDefault="00022B73" w:rsidP="00CE62C1">
            <w:pPr>
              <w:spacing w:line="276" w:lineRule="auto"/>
              <w:jc w:val="left"/>
              <w:rPr>
                <w:rFonts w:cs="Calibri"/>
                <w:b/>
                <w:bCs/>
                <w:color w:val="000000"/>
                <w:sz w:val="20"/>
                <w:lang w:eastAsia="es-CR"/>
              </w:rPr>
            </w:pPr>
            <w:r w:rsidRPr="00832773">
              <w:rPr>
                <w:rFonts w:cs="Calibri"/>
                <w:b/>
                <w:bCs/>
                <w:color w:val="000000"/>
                <w:sz w:val="20"/>
                <w:lang w:eastAsia="es-CR"/>
              </w:rPr>
              <w:t>De ¢4.000.001 A ¢5.000.000</w:t>
            </w:r>
          </w:p>
        </w:tc>
        <w:tc>
          <w:tcPr>
            <w:tcW w:w="480" w:type="pct"/>
            <w:tcBorders>
              <w:top w:val="nil"/>
              <w:left w:val="single" w:sz="4" w:space="0" w:color="auto"/>
              <w:bottom w:val="nil"/>
              <w:right w:val="single" w:sz="4" w:space="0" w:color="auto"/>
            </w:tcBorders>
            <w:shd w:val="clear" w:color="auto" w:fill="C5E0B3" w:themeFill="accent6" w:themeFillTint="66"/>
            <w:noWrap/>
            <w:vAlign w:val="bottom"/>
            <w:hideMark/>
          </w:tcPr>
          <w:p w14:paraId="54E696A0" w14:textId="4FC3FF42" w:rsidR="00022B73" w:rsidRPr="00832773" w:rsidRDefault="00022B73" w:rsidP="00CE62C1">
            <w:pPr>
              <w:spacing w:line="276" w:lineRule="auto"/>
              <w:jc w:val="center"/>
              <w:rPr>
                <w:rFonts w:cs="Calibri"/>
                <w:b/>
                <w:bCs/>
                <w:color w:val="000000"/>
                <w:sz w:val="20"/>
                <w:lang w:eastAsia="es-CR"/>
              </w:rPr>
            </w:pPr>
            <w:r w:rsidRPr="00832773">
              <w:rPr>
                <w:rFonts w:cs="Calibri"/>
                <w:b/>
                <w:bCs/>
                <w:color w:val="000000"/>
                <w:sz w:val="20"/>
              </w:rPr>
              <w:t>2</w:t>
            </w:r>
          </w:p>
        </w:tc>
        <w:tc>
          <w:tcPr>
            <w:tcW w:w="480" w:type="pct"/>
            <w:tcBorders>
              <w:top w:val="nil"/>
              <w:left w:val="single" w:sz="4" w:space="0" w:color="auto"/>
              <w:bottom w:val="nil"/>
              <w:right w:val="single" w:sz="4" w:space="0" w:color="auto"/>
            </w:tcBorders>
            <w:shd w:val="clear" w:color="auto" w:fill="C5E0B3" w:themeFill="accent6" w:themeFillTint="66"/>
            <w:noWrap/>
            <w:vAlign w:val="bottom"/>
            <w:hideMark/>
          </w:tcPr>
          <w:p w14:paraId="2D2D59D5" w14:textId="662794AB" w:rsidR="00022B73" w:rsidRPr="00832773" w:rsidRDefault="00022B73" w:rsidP="00CE62C1">
            <w:pPr>
              <w:spacing w:line="276" w:lineRule="auto"/>
              <w:jc w:val="center"/>
              <w:rPr>
                <w:rFonts w:cs="Calibri"/>
                <w:b/>
                <w:bCs/>
                <w:color w:val="000000"/>
                <w:sz w:val="20"/>
                <w:lang w:eastAsia="es-CR"/>
              </w:rPr>
            </w:pPr>
            <w:r w:rsidRPr="00832773">
              <w:rPr>
                <w:rFonts w:cs="Calibri"/>
                <w:b/>
                <w:bCs/>
                <w:color w:val="000000"/>
                <w:sz w:val="20"/>
              </w:rPr>
              <w:t>6</w:t>
            </w:r>
          </w:p>
        </w:tc>
        <w:tc>
          <w:tcPr>
            <w:tcW w:w="480" w:type="pct"/>
            <w:tcBorders>
              <w:top w:val="nil"/>
              <w:left w:val="single" w:sz="4" w:space="0" w:color="auto"/>
              <w:bottom w:val="nil"/>
              <w:right w:val="single" w:sz="4" w:space="0" w:color="auto"/>
            </w:tcBorders>
            <w:shd w:val="clear" w:color="auto" w:fill="C5E0B3" w:themeFill="accent6" w:themeFillTint="66"/>
            <w:noWrap/>
            <w:vAlign w:val="bottom"/>
            <w:hideMark/>
          </w:tcPr>
          <w:p w14:paraId="3FDC14D3" w14:textId="08700CEC" w:rsidR="00022B73" w:rsidRPr="00832773" w:rsidRDefault="00022B73" w:rsidP="00CE62C1">
            <w:pPr>
              <w:spacing w:line="276" w:lineRule="auto"/>
              <w:jc w:val="center"/>
              <w:rPr>
                <w:rFonts w:cs="Calibri"/>
                <w:b/>
                <w:bCs/>
                <w:color w:val="000000"/>
                <w:sz w:val="20"/>
                <w:lang w:eastAsia="es-CR"/>
              </w:rPr>
            </w:pPr>
            <w:r w:rsidRPr="00832773">
              <w:rPr>
                <w:rFonts w:cs="Calibri"/>
                <w:b/>
                <w:bCs/>
                <w:color w:val="000000"/>
                <w:sz w:val="20"/>
              </w:rPr>
              <w:t>14</w:t>
            </w:r>
          </w:p>
        </w:tc>
        <w:tc>
          <w:tcPr>
            <w:tcW w:w="631" w:type="pct"/>
            <w:tcBorders>
              <w:top w:val="nil"/>
              <w:left w:val="single" w:sz="4" w:space="0" w:color="auto"/>
              <w:bottom w:val="nil"/>
              <w:right w:val="nil"/>
            </w:tcBorders>
            <w:shd w:val="clear" w:color="auto" w:fill="C5E0B3" w:themeFill="accent6" w:themeFillTint="66"/>
            <w:noWrap/>
            <w:vAlign w:val="bottom"/>
            <w:hideMark/>
          </w:tcPr>
          <w:p w14:paraId="7917B153" w14:textId="697692D7" w:rsidR="00022B73" w:rsidRPr="00832773" w:rsidRDefault="00022B73" w:rsidP="00CE62C1">
            <w:pPr>
              <w:spacing w:line="276" w:lineRule="auto"/>
              <w:jc w:val="center"/>
              <w:rPr>
                <w:rFonts w:cs="Calibri"/>
                <w:b/>
                <w:bCs/>
                <w:color w:val="000000"/>
                <w:sz w:val="20"/>
                <w:lang w:eastAsia="es-CR"/>
              </w:rPr>
            </w:pPr>
            <w:r w:rsidRPr="00832773">
              <w:rPr>
                <w:rFonts w:cs="Calibri"/>
                <w:b/>
                <w:bCs/>
                <w:color w:val="000000"/>
                <w:sz w:val="20"/>
              </w:rPr>
              <w:t>7,3</w:t>
            </w:r>
          </w:p>
        </w:tc>
        <w:tc>
          <w:tcPr>
            <w:tcW w:w="1337" w:type="pct"/>
            <w:tcBorders>
              <w:top w:val="nil"/>
              <w:left w:val="single" w:sz="4" w:space="0" w:color="auto"/>
              <w:bottom w:val="nil"/>
              <w:right w:val="nil"/>
            </w:tcBorders>
            <w:shd w:val="clear" w:color="auto" w:fill="C5E0B3" w:themeFill="accent6" w:themeFillTint="66"/>
            <w:vAlign w:val="bottom"/>
          </w:tcPr>
          <w:p w14:paraId="62C33D3E" w14:textId="64FAD60A" w:rsidR="00022B73" w:rsidRPr="00832773" w:rsidRDefault="00022B73" w:rsidP="00CE62C1">
            <w:pPr>
              <w:spacing w:line="276" w:lineRule="auto"/>
              <w:jc w:val="center"/>
              <w:rPr>
                <w:rFonts w:cs="Calibri"/>
                <w:b/>
                <w:bCs/>
                <w:color w:val="000000"/>
                <w:sz w:val="20"/>
              </w:rPr>
            </w:pPr>
            <w:r w:rsidRPr="00832773">
              <w:rPr>
                <w:rFonts w:cs="Calibri"/>
                <w:b/>
                <w:bCs/>
                <w:color w:val="000000"/>
                <w:sz w:val="20"/>
              </w:rPr>
              <w:t>21%</w:t>
            </w:r>
          </w:p>
        </w:tc>
      </w:tr>
      <w:tr w:rsidR="00022B73" w:rsidRPr="004E74A6" w14:paraId="2154231C" w14:textId="7884E16A" w:rsidTr="00022B73">
        <w:trPr>
          <w:trHeight w:val="288"/>
          <w:jc w:val="center"/>
        </w:trPr>
        <w:tc>
          <w:tcPr>
            <w:tcW w:w="1593" w:type="pct"/>
            <w:tcBorders>
              <w:top w:val="nil"/>
              <w:left w:val="nil"/>
              <w:bottom w:val="nil"/>
              <w:right w:val="single" w:sz="4" w:space="0" w:color="auto"/>
            </w:tcBorders>
            <w:shd w:val="clear" w:color="auto" w:fill="C5E0B3" w:themeFill="accent6" w:themeFillTint="66"/>
            <w:noWrap/>
            <w:vAlign w:val="bottom"/>
            <w:hideMark/>
          </w:tcPr>
          <w:p w14:paraId="58A6F02B" w14:textId="77777777" w:rsidR="00022B73" w:rsidRPr="004E74A6" w:rsidRDefault="00022B73" w:rsidP="00CE62C1">
            <w:pPr>
              <w:spacing w:line="276" w:lineRule="auto"/>
              <w:jc w:val="left"/>
              <w:rPr>
                <w:rFonts w:cs="Calibri"/>
                <w:color w:val="000000"/>
                <w:sz w:val="20"/>
                <w:lang w:eastAsia="es-CR"/>
              </w:rPr>
            </w:pPr>
            <w:r w:rsidRPr="004E74A6">
              <w:rPr>
                <w:rFonts w:cs="Calibri"/>
                <w:color w:val="000000"/>
                <w:sz w:val="20"/>
                <w:lang w:eastAsia="es-CR"/>
              </w:rPr>
              <w:t>De ¢5.000.001 A ¢6.000.000</w:t>
            </w:r>
          </w:p>
        </w:tc>
        <w:tc>
          <w:tcPr>
            <w:tcW w:w="480" w:type="pct"/>
            <w:tcBorders>
              <w:top w:val="nil"/>
              <w:left w:val="single" w:sz="4" w:space="0" w:color="auto"/>
              <w:bottom w:val="nil"/>
              <w:right w:val="single" w:sz="4" w:space="0" w:color="auto"/>
            </w:tcBorders>
            <w:shd w:val="clear" w:color="auto" w:fill="C5E0B3" w:themeFill="accent6" w:themeFillTint="66"/>
            <w:noWrap/>
            <w:vAlign w:val="bottom"/>
            <w:hideMark/>
          </w:tcPr>
          <w:p w14:paraId="17588BB9" w14:textId="753773B3" w:rsidR="00022B73" w:rsidRPr="004E74A6" w:rsidRDefault="00022B73" w:rsidP="00CE62C1">
            <w:pPr>
              <w:spacing w:line="276" w:lineRule="auto"/>
              <w:jc w:val="center"/>
              <w:rPr>
                <w:rFonts w:cs="Calibri"/>
                <w:color w:val="000000"/>
                <w:sz w:val="20"/>
                <w:lang w:eastAsia="es-CR"/>
              </w:rPr>
            </w:pPr>
            <w:r w:rsidRPr="004E74A6">
              <w:rPr>
                <w:rFonts w:cs="Calibri"/>
                <w:color w:val="000000"/>
                <w:sz w:val="20"/>
              </w:rPr>
              <w:t>3</w:t>
            </w:r>
          </w:p>
        </w:tc>
        <w:tc>
          <w:tcPr>
            <w:tcW w:w="480" w:type="pct"/>
            <w:tcBorders>
              <w:top w:val="nil"/>
              <w:left w:val="single" w:sz="4" w:space="0" w:color="auto"/>
              <w:bottom w:val="nil"/>
              <w:right w:val="single" w:sz="4" w:space="0" w:color="auto"/>
            </w:tcBorders>
            <w:shd w:val="clear" w:color="auto" w:fill="C5E0B3" w:themeFill="accent6" w:themeFillTint="66"/>
            <w:noWrap/>
            <w:vAlign w:val="bottom"/>
            <w:hideMark/>
          </w:tcPr>
          <w:p w14:paraId="3AF4F37A" w14:textId="23C3440D" w:rsidR="00022B73" w:rsidRPr="004E74A6" w:rsidRDefault="00022B73" w:rsidP="00CE62C1">
            <w:pPr>
              <w:spacing w:line="276" w:lineRule="auto"/>
              <w:jc w:val="center"/>
              <w:rPr>
                <w:rFonts w:cs="Calibri"/>
                <w:color w:val="000000"/>
                <w:sz w:val="20"/>
                <w:lang w:eastAsia="es-CR"/>
              </w:rPr>
            </w:pPr>
            <w:r w:rsidRPr="004E74A6">
              <w:rPr>
                <w:rFonts w:cs="Calibri"/>
                <w:color w:val="000000"/>
                <w:sz w:val="20"/>
              </w:rPr>
              <w:t>5</w:t>
            </w:r>
          </w:p>
        </w:tc>
        <w:tc>
          <w:tcPr>
            <w:tcW w:w="480" w:type="pct"/>
            <w:tcBorders>
              <w:top w:val="nil"/>
              <w:left w:val="single" w:sz="4" w:space="0" w:color="auto"/>
              <w:bottom w:val="nil"/>
              <w:right w:val="single" w:sz="4" w:space="0" w:color="auto"/>
            </w:tcBorders>
            <w:shd w:val="clear" w:color="auto" w:fill="C5E0B3" w:themeFill="accent6" w:themeFillTint="66"/>
            <w:noWrap/>
            <w:vAlign w:val="bottom"/>
            <w:hideMark/>
          </w:tcPr>
          <w:p w14:paraId="622D5CCB" w14:textId="163BA071" w:rsidR="00022B73" w:rsidRPr="004E74A6" w:rsidRDefault="00022B73" w:rsidP="00CE62C1">
            <w:pPr>
              <w:spacing w:line="276" w:lineRule="auto"/>
              <w:jc w:val="center"/>
              <w:rPr>
                <w:rFonts w:cs="Calibri"/>
                <w:color w:val="000000"/>
                <w:sz w:val="20"/>
                <w:lang w:eastAsia="es-CR"/>
              </w:rPr>
            </w:pPr>
            <w:r w:rsidRPr="004E74A6">
              <w:rPr>
                <w:rFonts w:cs="Calibri"/>
                <w:color w:val="000000"/>
                <w:sz w:val="20"/>
              </w:rPr>
              <w:t>9</w:t>
            </w:r>
          </w:p>
        </w:tc>
        <w:tc>
          <w:tcPr>
            <w:tcW w:w="631" w:type="pct"/>
            <w:tcBorders>
              <w:top w:val="nil"/>
              <w:left w:val="single" w:sz="4" w:space="0" w:color="auto"/>
              <w:bottom w:val="nil"/>
              <w:right w:val="nil"/>
            </w:tcBorders>
            <w:shd w:val="clear" w:color="auto" w:fill="C5E0B3" w:themeFill="accent6" w:themeFillTint="66"/>
            <w:noWrap/>
            <w:vAlign w:val="bottom"/>
            <w:hideMark/>
          </w:tcPr>
          <w:p w14:paraId="014DD0E9" w14:textId="3800A2C3" w:rsidR="00022B73" w:rsidRPr="004E74A6" w:rsidRDefault="00022B73" w:rsidP="00CE62C1">
            <w:pPr>
              <w:spacing w:line="276" w:lineRule="auto"/>
              <w:jc w:val="center"/>
              <w:rPr>
                <w:rFonts w:cs="Calibri"/>
                <w:color w:val="000000"/>
                <w:sz w:val="20"/>
                <w:lang w:eastAsia="es-CR"/>
              </w:rPr>
            </w:pPr>
            <w:r w:rsidRPr="004E74A6">
              <w:rPr>
                <w:rFonts w:cs="Calibri"/>
                <w:color w:val="000000"/>
                <w:sz w:val="20"/>
              </w:rPr>
              <w:t>5,7</w:t>
            </w:r>
          </w:p>
        </w:tc>
        <w:tc>
          <w:tcPr>
            <w:tcW w:w="1337" w:type="pct"/>
            <w:tcBorders>
              <w:top w:val="nil"/>
              <w:left w:val="single" w:sz="4" w:space="0" w:color="auto"/>
              <w:bottom w:val="nil"/>
              <w:right w:val="nil"/>
            </w:tcBorders>
            <w:shd w:val="clear" w:color="auto" w:fill="C5E0B3" w:themeFill="accent6" w:themeFillTint="66"/>
            <w:vAlign w:val="bottom"/>
          </w:tcPr>
          <w:p w14:paraId="1CC8AB1A" w14:textId="05F2378C" w:rsidR="00022B73" w:rsidRPr="004E74A6" w:rsidRDefault="00022B73" w:rsidP="00CE62C1">
            <w:pPr>
              <w:spacing w:line="276" w:lineRule="auto"/>
              <w:jc w:val="center"/>
              <w:rPr>
                <w:rFonts w:cs="Calibri"/>
                <w:color w:val="000000"/>
                <w:sz w:val="20"/>
              </w:rPr>
            </w:pPr>
            <w:r w:rsidRPr="004E74A6">
              <w:rPr>
                <w:rFonts w:cs="Calibri"/>
                <w:color w:val="000000"/>
                <w:sz w:val="20"/>
              </w:rPr>
              <w:t>29%</w:t>
            </w:r>
          </w:p>
        </w:tc>
      </w:tr>
      <w:tr w:rsidR="00022B73" w:rsidRPr="004E74A6" w14:paraId="0049BAA8" w14:textId="317692DE" w:rsidTr="00022B73">
        <w:trPr>
          <w:trHeight w:val="288"/>
          <w:jc w:val="center"/>
        </w:trPr>
        <w:tc>
          <w:tcPr>
            <w:tcW w:w="1593" w:type="pct"/>
            <w:tcBorders>
              <w:top w:val="nil"/>
              <w:left w:val="nil"/>
              <w:bottom w:val="nil"/>
              <w:right w:val="single" w:sz="4" w:space="0" w:color="auto"/>
            </w:tcBorders>
            <w:shd w:val="clear" w:color="auto" w:fill="C5E0B3" w:themeFill="accent6" w:themeFillTint="66"/>
            <w:noWrap/>
            <w:vAlign w:val="bottom"/>
            <w:hideMark/>
          </w:tcPr>
          <w:p w14:paraId="33D39FF2" w14:textId="77777777" w:rsidR="00022B73" w:rsidRPr="004E74A6" w:rsidRDefault="00022B73" w:rsidP="00CE62C1">
            <w:pPr>
              <w:spacing w:line="276" w:lineRule="auto"/>
              <w:jc w:val="left"/>
              <w:rPr>
                <w:rFonts w:cs="Calibri"/>
                <w:color w:val="000000"/>
                <w:sz w:val="20"/>
                <w:lang w:eastAsia="es-CR"/>
              </w:rPr>
            </w:pPr>
            <w:r w:rsidRPr="004E74A6">
              <w:rPr>
                <w:rFonts w:cs="Calibri"/>
                <w:color w:val="000000"/>
                <w:sz w:val="20"/>
                <w:lang w:eastAsia="es-CR"/>
              </w:rPr>
              <w:t>De ¢6.000.001 A ¢7.000.000</w:t>
            </w:r>
          </w:p>
        </w:tc>
        <w:tc>
          <w:tcPr>
            <w:tcW w:w="480" w:type="pct"/>
            <w:tcBorders>
              <w:top w:val="nil"/>
              <w:left w:val="single" w:sz="4" w:space="0" w:color="auto"/>
              <w:bottom w:val="nil"/>
              <w:right w:val="single" w:sz="4" w:space="0" w:color="auto"/>
            </w:tcBorders>
            <w:shd w:val="clear" w:color="auto" w:fill="C5E0B3" w:themeFill="accent6" w:themeFillTint="66"/>
            <w:noWrap/>
            <w:vAlign w:val="bottom"/>
            <w:hideMark/>
          </w:tcPr>
          <w:p w14:paraId="58ABE3C9" w14:textId="06EC989C" w:rsidR="00022B73" w:rsidRPr="004E74A6" w:rsidRDefault="00022B73" w:rsidP="00CE62C1">
            <w:pPr>
              <w:spacing w:line="276" w:lineRule="auto"/>
              <w:jc w:val="center"/>
              <w:rPr>
                <w:rFonts w:cs="Calibri"/>
                <w:color w:val="000000"/>
                <w:sz w:val="20"/>
                <w:lang w:eastAsia="es-CR"/>
              </w:rPr>
            </w:pPr>
            <w:r w:rsidRPr="004E74A6">
              <w:rPr>
                <w:rFonts w:cs="Calibri"/>
                <w:color w:val="000000"/>
                <w:sz w:val="20"/>
              </w:rPr>
              <w:t>1</w:t>
            </w:r>
          </w:p>
        </w:tc>
        <w:tc>
          <w:tcPr>
            <w:tcW w:w="480" w:type="pct"/>
            <w:tcBorders>
              <w:top w:val="nil"/>
              <w:left w:val="single" w:sz="4" w:space="0" w:color="auto"/>
              <w:bottom w:val="nil"/>
              <w:right w:val="single" w:sz="4" w:space="0" w:color="auto"/>
            </w:tcBorders>
            <w:shd w:val="clear" w:color="auto" w:fill="C5E0B3" w:themeFill="accent6" w:themeFillTint="66"/>
            <w:noWrap/>
            <w:vAlign w:val="bottom"/>
            <w:hideMark/>
          </w:tcPr>
          <w:p w14:paraId="554E888C" w14:textId="56C7D7F9" w:rsidR="00022B73" w:rsidRPr="004E74A6" w:rsidRDefault="00022B73" w:rsidP="00CE62C1">
            <w:pPr>
              <w:spacing w:line="276" w:lineRule="auto"/>
              <w:jc w:val="center"/>
              <w:rPr>
                <w:rFonts w:cs="Calibri"/>
                <w:color w:val="000000"/>
                <w:sz w:val="20"/>
                <w:lang w:eastAsia="es-CR"/>
              </w:rPr>
            </w:pPr>
            <w:r w:rsidRPr="004E74A6">
              <w:rPr>
                <w:rFonts w:cs="Calibri"/>
                <w:color w:val="000000"/>
                <w:sz w:val="20"/>
              </w:rPr>
              <w:t>6</w:t>
            </w:r>
          </w:p>
        </w:tc>
        <w:tc>
          <w:tcPr>
            <w:tcW w:w="480" w:type="pct"/>
            <w:tcBorders>
              <w:top w:val="nil"/>
              <w:left w:val="single" w:sz="4" w:space="0" w:color="auto"/>
              <w:bottom w:val="nil"/>
              <w:right w:val="single" w:sz="4" w:space="0" w:color="auto"/>
            </w:tcBorders>
            <w:shd w:val="clear" w:color="auto" w:fill="C5E0B3" w:themeFill="accent6" w:themeFillTint="66"/>
            <w:noWrap/>
            <w:vAlign w:val="bottom"/>
            <w:hideMark/>
          </w:tcPr>
          <w:p w14:paraId="40D94205" w14:textId="088B941B" w:rsidR="00022B73" w:rsidRPr="004E74A6" w:rsidRDefault="00022B73" w:rsidP="00CE62C1">
            <w:pPr>
              <w:spacing w:line="276" w:lineRule="auto"/>
              <w:jc w:val="center"/>
              <w:rPr>
                <w:rFonts w:cs="Calibri"/>
                <w:color w:val="000000"/>
                <w:sz w:val="20"/>
                <w:lang w:eastAsia="es-CR"/>
              </w:rPr>
            </w:pPr>
            <w:r w:rsidRPr="004E74A6">
              <w:rPr>
                <w:rFonts w:cs="Calibri"/>
                <w:color w:val="000000"/>
                <w:sz w:val="20"/>
              </w:rPr>
              <w:t>6</w:t>
            </w:r>
          </w:p>
        </w:tc>
        <w:tc>
          <w:tcPr>
            <w:tcW w:w="631" w:type="pct"/>
            <w:tcBorders>
              <w:top w:val="nil"/>
              <w:left w:val="single" w:sz="4" w:space="0" w:color="auto"/>
              <w:bottom w:val="nil"/>
              <w:right w:val="nil"/>
            </w:tcBorders>
            <w:shd w:val="clear" w:color="auto" w:fill="C5E0B3" w:themeFill="accent6" w:themeFillTint="66"/>
            <w:noWrap/>
            <w:vAlign w:val="bottom"/>
            <w:hideMark/>
          </w:tcPr>
          <w:p w14:paraId="69C68784" w14:textId="1C2884C3" w:rsidR="00022B73" w:rsidRPr="004E74A6" w:rsidRDefault="00022B73" w:rsidP="00CE62C1">
            <w:pPr>
              <w:spacing w:line="276" w:lineRule="auto"/>
              <w:jc w:val="center"/>
              <w:rPr>
                <w:rFonts w:cs="Calibri"/>
                <w:color w:val="000000"/>
                <w:sz w:val="20"/>
                <w:lang w:eastAsia="es-CR"/>
              </w:rPr>
            </w:pPr>
            <w:r w:rsidRPr="004E74A6">
              <w:rPr>
                <w:rFonts w:cs="Calibri"/>
                <w:color w:val="000000"/>
                <w:sz w:val="20"/>
              </w:rPr>
              <w:t>4,3</w:t>
            </w:r>
          </w:p>
        </w:tc>
        <w:tc>
          <w:tcPr>
            <w:tcW w:w="1337" w:type="pct"/>
            <w:tcBorders>
              <w:top w:val="nil"/>
              <w:left w:val="single" w:sz="4" w:space="0" w:color="auto"/>
              <w:bottom w:val="nil"/>
              <w:right w:val="nil"/>
            </w:tcBorders>
            <w:shd w:val="clear" w:color="auto" w:fill="C5E0B3" w:themeFill="accent6" w:themeFillTint="66"/>
            <w:vAlign w:val="bottom"/>
          </w:tcPr>
          <w:p w14:paraId="2CED1C93" w14:textId="38499747" w:rsidR="00022B73" w:rsidRPr="004E74A6" w:rsidRDefault="00022B73" w:rsidP="00CE62C1">
            <w:pPr>
              <w:spacing w:line="276" w:lineRule="auto"/>
              <w:jc w:val="center"/>
              <w:rPr>
                <w:rFonts w:cs="Calibri"/>
                <w:color w:val="000000"/>
                <w:sz w:val="20"/>
              </w:rPr>
            </w:pPr>
            <w:r w:rsidRPr="004E74A6">
              <w:rPr>
                <w:rFonts w:cs="Calibri"/>
                <w:color w:val="000000"/>
                <w:sz w:val="20"/>
              </w:rPr>
              <w:t>35%</w:t>
            </w:r>
          </w:p>
        </w:tc>
      </w:tr>
      <w:tr w:rsidR="00022B73" w:rsidRPr="004E74A6" w14:paraId="041BDB94" w14:textId="2D11DDCE" w:rsidTr="00022B73">
        <w:trPr>
          <w:trHeight w:val="288"/>
          <w:jc w:val="center"/>
        </w:trPr>
        <w:tc>
          <w:tcPr>
            <w:tcW w:w="1593" w:type="pct"/>
            <w:tcBorders>
              <w:top w:val="nil"/>
              <w:left w:val="nil"/>
              <w:bottom w:val="nil"/>
              <w:right w:val="single" w:sz="4" w:space="0" w:color="auto"/>
            </w:tcBorders>
            <w:shd w:val="clear" w:color="auto" w:fill="C5E0B3" w:themeFill="accent6" w:themeFillTint="66"/>
            <w:noWrap/>
            <w:vAlign w:val="bottom"/>
            <w:hideMark/>
          </w:tcPr>
          <w:p w14:paraId="278A817F" w14:textId="77777777" w:rsidR="00022B73" w:rsidRPr="004E74A6" w:rsidRDefault="00022B73" w:rsidP="00CE62C1">
            <w:pPr>
              <w:spacing w:line="276" w:lineRule="auto"/>
              <w:jc w:val="left"/>
              <w:rPr>
                <w:rFonts w:cs="Calibri"/>
                <w:color w:val="000000"/>
                <w:sz w:val="20"/>
                <w:lang w:eastAsia="es-CR"/>
              </w:rPr>
            </w:pPr>
            <w:r w:rsidRPr="004E74A6">
              <w:rPr>
                <w:rFonts w:cs="Calibri"/>
                <w:color w:val="000000"/>
                <w:sz w:val="20"/>
                <w:lang w:eastAsia="es-CR"/>
              </w:rPr>
              <w:t>De ¢7.000.001 A ¢8.000.000</w:t>
            </w:r>
          </w:p>
        </w:tc>
        <w:tc>
          <w:tcPr>
            <w:tcW w:w="480" w:type="pct"/>
            <w:tcBorders>
              <w:top w:val="nil"/>
              <w:left w:val="single" w:sz="4" w:space="0" w:color="auto"/>
              <w:bottom w:val="nil"/>
              <w:right w:val="single" w:sz="4" w:space="0" w:color="auto"/>
            </w:tcBorders>
            <w:shd w:val="clear" w:color="auto" w:fill="C5E0B3" w:themeFill="accent6" w:themeFillTint="66"/>
            <w:noWrap/>
            <w:vAlign w:val="bottom"/>
            <w:hideMark/>
          </w:tcPr>
          <w:p w14:paraId="07969D0A" w14:textId="33B65410" w:rsidR="00022B73" w:rsidRPr="004E74A6" w:rsidRDefault="00022B73" w:rsidP="00CE62C1">
            <w:pPr>
              <w:spacing w:line="276" w:lineRule="auto"/>
              <w:jc w:val="center"/>
              <w:rPr>
                <w:rFonts w:cs="Calibri"/>
                <w:color w:val="000000"/>
                <w:sz w:val="20"/>
                <w:lang w:eastAsia="es-CR"/>
              </w:rPr>
            </w:pPr>
            <w:r w:rsidRPr="004E74A6">
              <w:rPr>
                <w:rFonts w:cs="Calibri"/>
                <w:color w:val="000000"/>
                <w:sz w:val="20"/>
              </w:rPr>
              <w:t>1</w:t>
            </w:r>
          </w:p>
        </w:tc>
        <w:tc>
          <w:tcPr>
            <w:tcW w:w="480" w:type="pct"/>
            <w:tcBorders>
              <w:top w:val="nil"/>
              <w:left w:val="single" w:sz="4" w:space="0" w:color="auto"/>
              <w:bottom w:val="nil"/>
              <w:right w:val="single" w:sz="4" w:space="0" w:color="auto"/>
            </w:tcBorders>
            <w:shd w:val="clear" w:color="auto" w:fill="C5E0B3" w:themeFill="accent6" w:themeFillTint="66"/>
            <w:noWrap/>
            <w:vAlign w:val="bottom"/>
            <w:hideMark/>
          </w:tcPr>
          <w:p w14:paraId="38133777" w14:textId="15F366CF" w:rsidR="00022B73" w:rsidRPr="004E74A6" w:rsidRDefault="00022B73" w:rsidP="00CE62C1">
            <w:pPr>
              <w:spacing w:line="276" w:lineRule="auto"/>
              <w:jc w:val="center"/>
              <w:rPr>
                <w:rFonts w:cs="Calibri"/>
                <w:color w:val="000000"/>
                <w:sz w:val="20"/>
                <w:lang w:eastAsia="es-CR"/>
              </w:rPr>
            </w:pPr>
            <w:r w:rsidRPr="004E74A6">
              <w:rPr>
                <w:rFonts w:cs="Calibri"/>
                <w:color w:val="000000"/>
                <w:sz w:val="20"/>
              </w:rPr>
              <w:t>5</w:t>
            </w:r>
          </w:p>
        </w:tc>
        <w:tc>
          <w:tcPr>
            <w:tcW w:w="480" w:type="pct"/>
            <w:tcBorders>
              <w:top w:val="nil"/>
              <w:left w:val="single" w:sz="4" w:space="0" w:color="auto"/>
              <w:bottom w:val="nil"/>
              <w:right w:val="single" w:sz="4" w:space="0" w:color="auto"/>
            </w:tcBorders>
            <w:shd w:val="clear" w:color="auto" w:fill="C5E0B3" w:themeFill="accent6" w:themeFillTint="66"/>
            <w:noWrap/>
            <w:vAlign w:val="bottom"/>
            <w:hideMark/>
          </w:tcPr>
          <w:p w14:paraId="544397DC" w14:textId="7F2C333E" w:rsidR="00022B73" w:rsidRPr="004E74A6" w:rsidRDefault="00022B73" w:rsidP="00CE62C1">
            <w:pPr>
              <w:spacing w:line="276" w:lineRule="auto"/>
              <w:jc w:val="center"/>
              <w:rPr>
                <w:rFonts w:cs="Calibri"/>
                <w:color w:val="000000"/>
                <w:sz w:val="20"/>
                <w:lang w:eastAsia="es-CR"/>
              </w:rPr>
            </w:pPr>
            <w:r w:rsidRPr="004E74A6">
              <w:rPr>
                <w:rFonts w:cs="Calibri"/>
                <w:color w:val="000000"/>
                <w:sz w:val="20"/>
              </w:rPr>
              <w:t>2</w:t>
            </w:r>
          </w:p>
        </w:tc>
        <w:tc>
          <w:tcPr>
            <w:tcW w:w="631" w:type="pct"/>
            <w:tcBorders>
              <w:top w:val="nil"/>
              <w:left w:val="single" w:sz="4" w:space="0" w:color="auto"/>
              <w:bottom w:val="nil"/>
              <w:right w:val="nil"/>
            </w:tcBorders>
            <w:shd w:val="clear" w:color="auto" w:fill="C5E0B3" w:themeFill="accent6" w:themeFillTint="66"/>
            <w:noWrap/>
            <w:vAlign w:val="bottom"/>
            <w:hideMark/>
          </w:tcPr>
          <w:p w14:paraId="4025C5A3" w14:textId="4725FA83" w:rsidR="00022B73" w:rsidRPr="004E74A6" w:rsidRDefault="00022B73" w:rsidP="00CE62C1">
            <w:pPr>
              <w:spacing w:line="276" w:lineRule="auto"/>
              <w:jc w:val="center"/>
              <w:rPr>
                <w:rFonts w:cs="Calibri"/>
                <w:color w:val="000000"/>
                <w:sz w:val="20"/>
                <w:lang w:eastAsia="es-CR"/>
              </w:rPr>
            </w:pPr>
            <w:r w:rsidRPr="004E74A6">
              <w:rPr>
                <w:rFonts w:cs="Calibri"/>
                <w:color w:val="000000"/>
                <w:sz w:val="20"/>
              </w:rPr>
              <w:t>2,7</w:t>
            </w:r>
          </w:p>
        </w:tc>
        <w:tc>
          <w:tcPr>
            <w:tcW w:w="1337" w:type="pct"/>
            <w:tcBorders>
              <w:top w:val="nil"/>
              <w:left w:val="single" w:sz="4" w:space="0" w:color="auto"/>
              <w:bottom w:val="nil"/>
              <w:right w:val="nil"/>
            </w:tcBorders>
            <w:shd w:val="clear" w:color="auto" w:fill="C5E0B3" w:themeFill="accent6" w:themeFillTint="66"/>
            <w:vAlign w:val="bottom"/>
          </w:tcPr>
          <w:p w14:paraId="2176E415" w14:textId="7A3D5914" w:rsidR="00022B73" w:rsidRPr="004E74A6" w:rsidRDefault="00022B73" w:rsidP="00CE62C1">
            <w:pPr>
              <w:spacing w:line="276" w:lineRule="auto"/>
              <w:jc w:val="center"/>
              <w:rPr>
                <w:rFonts w:cs="Calibri"/>
                <w:color w:val="000000"/>
                <w:sz w:val="20"/>
              </w:rPr>
            </w:pPr>
            <w:r w:rsidRPr="004E74A6">
              <w:rPr>
                <w:rFonts w:cs="Calibri"/>
                <w:color w:val="000000"/>
                <w:sz w:val="20"/>
              </w:rPr>
              <w:t>39%</w:t>
            </w:r>
          </w:p>
        </w:tc>
      </w:tr>
      <w:tr w:rsidR="00022B73" w:rsidRPr="004E74A6" w14:paraId="322BDFE0" w14:textId="5DA6ABE3" w:rsidTr="00022B73">
        <w:trPr>
          <w:trHeight w:val="288"/>
          <w:jc w:val="center"/>
        </w:trPr>
        <w:tc>
          <w:tcPr>
            <w:tcW w:w="1593" w:type="pct"/>
            <w:tcBorders>
              <w:top w:val="nil"/>
              <w:left w:val="nil"/>
              <w:bottom w:val="nil"/>
              <w:right w:val="single" w:sz="4" w:space="0" w:color="auto"/>
            </w:tcBorders>
            <w:shd w:val="clear" w:color="auto" w:fill="C5E0B3" w:themeFill="accent6" w:themeFillTint="66"/>
            <w:noWrap/>
            <w:vAlign w:val="bottom"/>
            <w:hideMark/>
          </w:tcPr>
          <w:p w14:paraId="3BC37CAE" w14:textId="77777777" w:rsidR="00022B73" w:rsidRPr="004E74A6" w:rsidRDefault="00022B73" w:rsidP="00CE62C1">
            <w:pPr>
              <w:spacing w:line="276" w:lineRule="auto"/>
              <w:jc w:val="left"/>
              <w:rPr>
                <w:rFonts w:cs="Calibri"/>
                <w:color w:val="000000"/>
                <w:sz w:val="20"/>
                <w:lang w:eastAsia="es-CR"/>
              </w:rPr>
            </w:pPr>
            <w:r w:rsidRPr="004E74A6">
              <w:rPr>
                <w:rFonts w:cs="Calibri"/>
                <w:color w:val="000000"/>
                <w:sz w:val="20"/>
                <w:lang w:eastAsia="es-CR"/>
              </w:rPr>
              <w:t>De ¢8.000.001 A ¢9.000.000</w:t>
            </w:r>
          </w:p>
        </w:tc>
        <w:tc>
          <w:tcPr>
            <w:tcW w:w="480" w:type="pct"/>
            <w:tcBorders>
              <w:top w:val="nil"/>
              <w:left w:val="single" w:sz="4" w:space="0" w:color="auto"/>
              <w:bottom w:val="nil"/>
              <w:right w:val="single" w:sz="4" w:space="0" w:color="auto"/>
            </w:tcBorders>
            <w:shd w:val="clear" w:color="auto" w:fill="C5E0B3" w:themeFill="accent6" w:themeFillTint="66"/>
            <w:noWrap/>
            <w:vAlign w:val="bottom"/>
            <w:hideMark/>
          </w:tcPr>
          <w:p w14:paraId="5592F6BA" w14:textId="3230C1EC" w:rsidR="00022B73" w:rsidRPr="004E74A6" w:rsidRDefault="00022B73" w:rsidP="00CE62C1">
            <w:pPr>
              <w:spacing w:line="276" w:lineRule="auto"/>
              <w:jc w:val="center"/>
              <w:rPr>
                <w:rFonts w:cs="Calibri"/>
                <w:color w:val="000000"/>
                <w:sz w:val="20"/>
                <w:lang w:eastAsia="es-CR"/>
              </w:rPr>
            </w:pPr>
            <w:r w:rsidRPr="004E74A6">
              <w:rPr>
                <w:rFonts w:cs="Calibri"/>
                <w:color w:val="000000"/>
                <w:sz w:val="20"/>
              </w:rPr>
              <w:t>1</w:t>
            </w:r>
          </w:p>
        </w:tc>
        <w:tc>
          <w:tcPr>
            <w:tcW w:w="480" w:type="pct"/>
            <w:tcBorders>
              <w:top w:val="nil"/>
              <w:left w:val="single" w:sz="4" w:space="0" w:color="auto"/>
              <w:bottom w:val="nil"/>
              <w:right w:val="single" w:sz="4" w:space="0" w:color="auto"/>
            </w:tcBorders>
            <w:shd w:val="clear" w:color="auto" w:fill="C5E0B3" w:themeFill="accent6" w:themeFillTint="66"/>
            <w:noWrap/>
            <w:vAlign w:val="bottom"/>
            <w:hideMark/>
          </w:tcPr>
          <w:p w14:paraId="02101D68" w14:textId="079893F8" w:rsidR="00022B73" w:rsidRPr="004E74A6" w:rsidRDefault="00022B73" w:rsidP="00CE62C1">
            <w:pPr>
              <w:spacing w:line="276" w:lineRule="auto"/>
              <w:jc w:val="center"/>
              <w:rPr>
                <w:rFonts w:cs="Calibri"/>
                <w:color w:val="000000"/>
                <w:sz w:val="20"/>
                <w:lang w:eastAsia="es-CR"/>
              </w:rPr>
            </w:pPr>
            <w:r w:rsidRPr="004E74A6">
              <w:rPr>
                <w:rFonts w:cs="Calibri"/>
                <w:color w:val="000000"/>
                <w:sz w:val="20"/>
              </w:rPr>
              <w:t>2</w:t>
            </w:r>
          </w:p>
        </w:tc>
        <w:tc>
          <w:tcPr>
            <w:tcW w:w="480" w:type="pct"/>
            <w:tcBorders>
              <w:top w:val="nil"/>
              <w:left w:val="single" w:sz="4" w:space="0" w:color="auto"/>
              <w:bottom w:val="nil"/>
              <w:right w:val="single" w:sz="4" w:space="0" w:color="auto"/>
            </w:tcBorders>
            <w:shd w:val="clear" w:color="auto" w:fill="C5E0B3" w:themeFill="accent6" w:themeFillTint="66"/>
            <w:noWrap/>
            <w:vAlign w:val="bottom"/>
            <w:hideMark/>
          </w:tcPr>
          <w:p w14:paraId="3F44DE78" w14:textId="2B634695" w:rsidR="00022B73" w:rsidRPr="004E74A6" w:rsidRDefault="00022B73" w:rsidP="00CE62C1">
            <w:pPr>
              <w:spacing w:line="276" w:lineRule="auto"/>
              <w:jc w:val="center"/>
              <w:rPr>
                <w:rFonts w:cs="Calibri"/>
                <w:color w:val="000000"/>
                <w:sz w:val="20"/>
                <w:lang w:eastAsia="es-CR"/>
              </w:rPr>
            </w:pPr>
            <w:r w:rsidRPr="004E74A6">
              <w:rPr>
                <w:rFonts w:cs="Calibri"/>
                <w:color w:val="000000"/>
                <w:sz w:val="20"/>
              </w:rPr>
              <w:t>3</w:t>
            </w:r>
          </w:p>
        </w:tc>
        <w:tc>
          <w:tcPr>
            <w:tcW w:w="631" w:type="pct"/>
            <w:tcBorders>
              <w:top w:val="nil"/>
              <w:left w:val="single" w:sz="4" w:space="0" w:color="auto"/>
              <w:bottom w:val="nil"/>
              <w:right w:val="nil"/>
            </w:tcBorders>
            <w:shd w:val="clear" w:color="auto" w:fill="C5E0B3" w:themeFill="accent6" w:themeFillTint="66"/>
            <w:noWrap/>
            <w:vAlign w:val="bottom"/>
            <w:hideMark/>
          </w:tcPr>
          <w:p w14:paraId="50178A92" w14:textId="4497F2A8" w:rsidR="00022B73" w:rsidRPr="004E74A6" w:rsidRDefault="00022B73" w:rsidP="00CE62C1">
            <w:pPr>
              <w:spacing w:line="276" w:lineRule="auto"/>
              <w:jc w:val="center"/>
              <w:rPr>
                <w:rFonts w:cs="Calibri"/>
                <w:color w:val="000000"/>
                <w:sz w:val="20"/>
                <w:lang w:eastAsia="es-CR"/>
              </w:rPr>
            </w:pPr>
            <w:r w:rsidRPr="004E74A6">
              <w:rPr>
                <w:rFonts w:cs="Calibri"/>
                <w:color w:val="000000"/>
                <w:sz w:val="20"/>
              </w:rPr>
              <w:t>2,0</w:t>
            </w:r>
          </w:p>
        </w:tc>
        <w:tc>
          <w:tcPr>
            <w:tcW w:w="1337" w:type="pct"/>
            <w:tcBorders>
              <w:top w:val="nil"/>
              <w:left w:val="single" w:sz="4" w:space="0" w:color="auto"/>
              <w:bottom w:val="nil"/>
              <w:right w:val="nil"/>
            </w:tcBorders>
            <w:shd w:val="clear" w:color="auto" w:fill="C5E0B3" w:themeFill="accent6" w:themeFillTint="66"/>
            <w:vAlign w:val="bottom"/>
          </w:tcPr>
          <w:p w14:paraId="5E1CF942" w14:textId="1E8F4FC0" w:rsidR="00022B73" w:rsidRPr="004E74A6" w:rsidRDefault="00022B73" w:rsidP="00CE62C1">
            <w:pPr>
              <w:spacing w:line="276" w:lineRule="auto"/>
              <w:jc w:val="center"/>
              <w:rPr>
                <w:rFonts w:cs="Calibri"/>
                <w:color w:val="000000"/>
                <w:sz w:val="20"/>
              </w:rPr>
            </w:pPr>
            <w:r w:rsidRPr="004E74A6">
              <w:rPr>
                <w:rFonts w:cs="Calibri"/>
                <w:color w:val="000000"/>
                <w:sz w:val="20"/>
              </w:rPr>
              <w:t>42%</w:t>
            </w:r>
          </w:p>
        </w:tc>
      </w:tr>
      <w:tr w:rsidR="00022B73" w:rsidRPr="004E74A6" w14:paraId="7DB57065" w14:textId="0FD4332D" w:rsidTr="00022B73">
        <w:trPr>
          <w:trHeight w:val="288"/>
          <w:jc w:val="center"/>
        </w:trPr>
        <w:tc>
          <w:tcPr>
            <w:tcW w:w="1593" w:type="pct"/>
            <w:tcBorders>
              <w:top w:val="nil"/>
              <w:left w:val="nil"/>
              <w:bottom w:val="nil"/>
              <w:right w:val="single" w:sz="4" w:space="0" w:color="auto"/>
            </w:tcBorders>
            <w:shd w:val="clear" w:color="auto" w:fill="C5E0B3" w:themeFill="accent6" w:themeFillTint="66"/>
            <w:noWrap/>
            <w:vAlign w:val="bottom"/>
            <w:hideMark/>
          </w:tcPr>
          <w:p w14:paraId="5838703C" w14:textId="77777777" w:rsidR="00022B73" w:rsidRPr="004E74A6" w:rsidRDefault="00022B73" w:rsidP="00CE62C1">
            <w:pPr>
              <w:spacing w:line="276" w:lineRule="auto"/>
              <w:jc w:val="left"/>
              <w:rPr>
                <w:rFonts w:cs="Calibri"/>
                <w:color w:val="000000"/>
                <w:sz w:val="20"/>
                <w:lang w:eastAsia="es-CR"/>
              </w:rPr>
            </w:pPr>
            <w:r w:rsidRPr="004E74A6">
              <w:rPr>
                <w:rFonts w:cs="Calibri"/>
                <w:color w:val="000000"/>
                <w:sz w:val="20"/>
                <w:lang w:eastAsia="es-CR"/>
              </w:rPr>
              <w:t>De ¢9.000.001 A ¢10.000.000</w:t>
            </w:r>
          </w:p>
        </w:tc>
        <w:tc>
          <w:tcPr>
            <w:tcW w:w="480" w:type="pct"/>
            <w:tcBorders>
              <w:top w:val="nil"/>
              <w:left w:val="single" w:sz="4" w:space="0" w:color="auto"/>
              <w:bottom w:val="nil"/>
              <w:right w:val="single" w:sz="4" w:space="0" w:color="auto"/>
            </w:tcBorders>
            <w:shd w:val="clear" w:color="auto" w:fill="C5E0B3" w:themeFill="accent6" w:themeFillTint="66"/>
            <w:noWrap/>
            <w:vAlign w:val="bottom"/>
            <w:hideMark/>
          </w:tcPr>
          <w:p w14:paraId="0836A22A" w14:textId="3135EB14" w:rsidR="00022B73" w:rsidRPr="004E74A6" w:rsidRDefault="00022B73" w:rsidP="00CE62C1">
            <w:pPr>
              <w:spacing w:line="276" w:lineRule="auto"/>
              <w:jc w:val="center"/>
              <w:rPr>
                <w:rFonts w:cs="Calibri"/>
                <w:color w:val="000000"/>
                <w:sz w:val="20"/>
                <w:lang w:eastAsia="es-CR"/>
              </w:rPr>
            </w:pPr>
            <w:r w:rsidRPr="004E74A6">
              <w:rPr>
                <w:rFonts w:cs="Calibri"/>
                <w:color w:val="000000"/>
                <w:sz w:val="20"/>
              </w:rPr>
              <w:t>1</w:t>
            </w:r>
          </w:p>
        </w:tc>
        <w:tc>
          <w:tcPr>
            <w:tcW w:w="480" w:type="pct"/>
            <w:tcBorders>
              <w:top w:val="nil"/>
              <w:left w:val="single" w:sz="4" w:space="0" w:color="auto"/>
              <w:bottom w:val="nil"/>
              <w:right w:val="single" w:sz="4" w:space="0" w:color="auto"/>
            </w:tcBorders>
            <w:shd w:val="clear" w:color="auto" w:fill="C5E0B3" w:themeFill="accent6" w:themeFillTint="66"/>
            <w:noWrap/>
            <w:vAlign w:val="bottom"/>
            <w:hideMark/>
          </w:tcPr>
          <w:p w14:paraId="32F7DC1B" w14:textId="0C73884F" w:rsidR="00022B73" w:rsidRPr="004E74A6" w:rsidRDefault="00022B73" w:rsidP="00CE62C1">
            <w:pPr>
              <w:spacing w:line="276" w:lineRule="auto"/>
              <w:jc w:val="center"/>
              <w:rPr>
                <w:rFonts w:cs="Calibri"/>
                <w:color w:val="000000"/>
                <w:sz w:val="20"/>
                <w:lang w:eastAsia="es-CR"/>
              </w:rPr>
            </w:pPr>
            <w:r w:rsidRPr="004E74A6">
              <w:rPr>
                <w:rFonts w:cs="Calibri"/>
                <w:color w:val="000000"/>
                <w:sz w:val="20"/>
              </w:rPr>
              <w:t>3</w:t>
            </w:r>
          </w:p>
        </w:tc>
        <w:tc>
          <w:tcPr>
            <w:tcW w:w="480" w:type="pct"/>
            <w:tcBorders>
              <w:top w:val="nil"/>
              <w:left w:val="single" w:sz="4" w:space="0" w:color="auto"/>
              <w:bottom w:val="nil"/>
              <w:right w:val="single" w:sz="4" w:space="0" w:color="auto"/>
            </w:tcBorders>
            <w:shd w:val="clear" w:color="auto" w:fill="C5E0B3" w:themeFill="accent6" w:themeFillTint="66"/>
            <w:noWrap/>
            <w:vAlign w:val="bottom"/>
            <w:hideMark/>
          </w:tcPr>
          <w:p w14:paraId="69C3D026" w14:textId="22C82C50" w:rsidR="00022B73" w:rsidRPr="004E74A6" w:rsidRDefault="00022B73" w:rsidP="00CE62C1">
            <w:pPr>
              <w:spacing w:line="276" w:lineRule="auto"/>
              <w:jc w:val="center"/>
              <w:rPr>
                <w:rFonts w:cs="Calibri"/>
                <w:color w:val="000000"/>
                <w:sz w:val="20"/>
                <w:lang w:eastAsia="es-CR"/>
              </w:rPr>
            </w:pPr>
            <w:r w:rsidRPr="004E74A6">
              <w:rPr>
                <w:rFonts w:cs="Calibri"/>
                <w:color w:val="000000"/>
                <w:sz w:val="20"/>
              </w:rPr>
              <w:t>7</w:t>
            </w:r>
          </w:p>
        </w:tc>
        <w:tc>
          <w:tcPr>
            <w:tcW w:w="631" w:type="pct"/>
            <w:tcBorders>
              <w:top w:val="nil"/>
              <w:left w:val="single" w:sz="4" w:space="0" w:color="auto"/>
              <w:bottom w:val="nil"/>
              <w:right w:val="nil"/>
            </w:tcBorders>
            <w:shd w:val="clear" w:color="auto" w:fill="C5E0B3" w:themeFill="accent6" w:themeFillTint="66"/>
            <w:noWrap/>
            <w:vAlign w:val="bottom"/>
            <w:hideMark/>
          </w:tcPr>
          <w:p w14:paraId="18152191" w14:textId="0C5553FA" w:rsidR="00022B73" w:rsidRPr="004E74A6" w:rsidRDefault="00022B73" w:rsidP="00CE62C1">
            <w:pPr>
              <w:spacing w:line="276" w:lineRule="auto"/>
              <w:jc w:val="center"/>
              <w:rPr>
                <w:rFonts w:cs="Calibri"/>
                <w:color w:val="000000"/>
                <w:sz w:val="20"/>
                <w:lang w:eastAsia="es-CR"/>
              </w:rPr>
            </w:pPr>
            <w:r w:rsidRPr="004E74A6">
              <w:rPr>
                <w:rFonts w:cs="Calibri"/>
                <w:color w:val="000000"/>
                <w:sz w:val="20"/>
              </w:rPr>
              <w:t>3,7</w:t>
            </w:r>
          </w:p>
        </w:tc>
        <w:tc>
          <w:tcPr>
            <w:tcW w:w="1337" w:type="pct"/>
            <w:tcBorders>
              <w:top w:val="nil"/>
              <w:left w:val="single" w:sz="4" w:space="0" w:color="auto"/>
              <w:bottom w:val="nil"/>
              <w:right w:val="nil"/>
            </w:tcBorders>
            <w:shd w:val="clear" w:color="auto" w:fill="C5E0B3" w:themeFill="accent6" w:themeFillTint="66"/>
            <w:vAlign w:val="bottom"/>
          </w:tcPr>
          <w:p w14:paraId="5ABC0F73" w14:textId="7AF33969" w:rsidR="00022B73" w:rsidRPr="004E74A6" w:rsidRDefault="00022B73" w:rsidP="00CE62C1">
            <w:pPr>
              <w:spacing w:line="276" w:lineRule="auto"/>
              <w:jc w:val="center"/>
              <w:rPr>
                <w:rFonts w:cs="Calibri"/>
                <w:color w:val="000000"/>
                <w:sz w:val="20"/>
              </w:rPr>
            </w:pPr>
            <w:r w:rsidRPr="004E74A6">
              <w:rPr>
                <w:rFonts w:cs="Calibri"/>
                <w:color w:val="000000"/>
                <w:sz w:val="20"/>
              </w:rPr>
              <w:t>47%</w:t>
            </w:r>
          </w:p>
        </w:tc>
      </w:tr>
      <w:tr w:rsidR="00022B73" w:rsidRPr="004E74A6" w14:paraId="4089B9DE" w14:textId="542D8D08" w:rsidTr="00022B73">
        <w:trPr>
          <w:trHeight w:val="288"/>
          <w:jc w:val="center"/>
        </w:trPr>
        <w:tc>
          <w:tcPr>
            <w:tcW w:w="1593" w:type="pct"/>
            <w:tcBorders>
              <w:top w:val="nil"/>
              <w:left w:val="nil"/>
              <w:bottom w:val="nil"/>
              <w:right w:val="single" w:sz="4" w:space="0" w:color="auto"/>
            </w:tcBorders>
            <w:shd w:val="clear" w:color="auto" w:fill="C5E0B3" w:themeFill="accent6" w:themeFillTint="66"/>
            <w:noWrap/>
            <w:vAlign w:val="bottom"/>
            <w:hideMark/>
          </w:tcPr>
          <w:p w14:paraId="34A5BFCA" w14:textId="77777777" w:rsidR="00022B73" w:rsidRPr="004E74A6" w:rsidRDefault="00022B73" w:rsidP="00CE62C1">
            <w:pPr>
              <w:spacing w:line="276" w:lineRule="auto"/>
              <w:jc w:val="left"/>
              <w:rPr>
                <w:rFonts w:cs="Calibri"/>
                <w:color w:val="000000"/>
                <w:sz w:val="20"/>
                <w:lang w:eastAsia="es-CR"/>
              </w:rPr>
            </w:pPr>
            <w:r w:rsidRPr="004E74A6">
              <w:rPr>
                <w:rFonts w:cs="Calibri"/>
                <w:color w:val="000000"/>
                <w:sz w:val="20"/>
                <w:lang w:eastAsia="es-CR"/>
              </w:rPr>
              <w:t>De ¢10.000.001 A ¢15.000.000</w:t>
            </w:r>
          </w:p>
        </w:tc>
        <w:tc>
          <w:tcPr>
            <w:tcW w:w="480" w:type="pct"/>
            <w:tcBorders>
              <w:top w:val="nil"/>
              <w:left w:val="single" w:sz="4" w:space="0" w:color="auto"/>
              <w:bottom w:val="nil"/>
              <w:right w:val="single" w:sz="4" w:space="0" w:color="auto"/>
            </w:tcBorders>
            <w:shd w:val="clear" w:color="auto" w:fill="C5E0B3" w:themeFill="accent6" w:themeFillTint="66"/>
            <w:noWrap/>
            <w:vAlign w:val="bottom"/>
            <w:hideMark/>
          </w:tcPr>
          <w:p w14:paraId="55BB6DD7" w14:textId="0848A87E" w:rsidR="00022B73" w:rsidRPr="004E74A6" w:rsidRDefault="00022B73" w:rsidP="00CE62C1">
            <w:pPr>
              <w:spacing w:line="276" w:lineRule="auto"/>
              <w:jc w:val="center"/>
              <w:rPr>
                <w:rFonts w:cs="Calibri"/>
                <w:color w:val="000000"/>
                <w:sz w:val="20"/>
                <w:lang w:eastAsia="es-CR"/>
              </w:rPr>
            </w:pPr>
            <w:r w:rsidRPr="004E74A6">
              <w:rPr>
                <w:rFonts w:cs="Calibri"/>
                <w:color w:val="000000"/>
                <w:sz w:val="20"/>
              </w:rPr>
              <w:t>2</w:t>
            </w:r>
          </w:p>
        </w:tc>
        <w:tc>
          <w:tcPr>
            <w:tcW w:w="480" w:type="pct"/>
            <w:tcBorders>
              <w:top w:val="nil"/>
              <w:left w:val="single" w:sz="4" w:space="0" w:color="auto"/>
              <w:bottom w:val="nil"/>
              <w:right w:val="single" w:sz="4" w:space="0" w:color="auto"/>
            </w:tcBorders>
            <w:shd w:val="clear" w:color="auto" w:fill="C5E0B3" w:themeFill="accent6" w:themeFillTint="66"/>
            <w:noWrap/>
            <w:vAlign w:val="bottom"/>
            <w:hideMark/>
          </w:tcPr>
          <w:p w14:paraId="1271B98F" w14:textId="2396285B" w:rsidR="00022B73" w:rsidRPr="004E74A6" w:rsidRDefault="00022B73" w:rsidP="00CE62C1">
            <w:pPr>
              <w:spacing w:line="276" w:lineRule="auto"/>
              <w:jc w:val="center"/>
              <w:rPr>
                <w:rFonts w:cs="Calibri"/>
                <w:color w:val="000000"/>
                <w:sz w:val="20"/>
                <w:lang w:eastAsia="es-CR"/>
              </w:rPr>
            </w:pPr>
            <w:r w:rsidRPr="004E74A6">
              <w:rPr>
                <w:rFonts w:cs="Calibri"/>
                <w:color w:val="000000"/>
                <w:sz w:val="20"/>
              </w:rPr>
              <w:t>13</w:t>
            </w:r>
          </w:p>
        </w:tc>
        <w:tc>
          <w:tcPr>
            <w:tcW w:w="480" w:type="pct"/>
            <w:tcBorders>
              <w:top w:val="nil"/>
              <w:left w:val="single" w:sz="4" w:space="0" w:color="auto"/>
              <w:bottom w:val="nil"/>
              <w:right w:val="single" w:sz="4" w:space="0" w:color="auto"/>
            </w:tcBorders>
            <w:shd w:val="clear" w:color="auto" w:fill="C5E0B3" w:themeFill="accent6" w:themeFillTint="66"/>
            <w:noWrap/>
            <w:vAlign w:val="bottom"/>
            <w:hideMark/>
          </w:tcPr>
          <w:p w14:paraId="2FE85E5E" w14:textId="011D7CDC" w:rsidR="00022B73" w:rsidRPr="004E74A6" w:rsidRDefault="00022B73" w:rsidP="00CE62C1">
            <w:pPr>
              <w:spacing w:line="276" w:lineRule="auto"/>
              <w:jc w:val="center"/>
              <w:rPr>
                <w:rFonts w:cs="Calibri"/>
                <w:color w:val="000000"/>
                <w:sz w:val="20"/>
                <w:lang w:eastAsia="es-CR"/>
              </w:rPr>
            </w:pPr>
            <w:r w:rsidRPr="004E74A6">
              <w:rPr>
                <w:rFonts w:cs="Calibri"/>
                <w:color w:val="000000"/>
                <w:sz w:val="20"/>
              </w:rPr>
              <w:t>13</w:t>
            </w:r>
          </w:p>
        </w:tc>
        <w:tc>
          <w:tcPr>
            <w:tcW w:w="631" w:type="pct"/>
            <w:tcBorders>
              <w:top w:val="nil"/>
              <w:left w:val="single" w:sz="4" w:space="0" w:color="auto"/>
              <w:bottom w:val="nil"/>
              <w:right w:val="nil"/>
            </w:tcBorders>
            <w:shd w:val="clear" w:color="auto" w:fill="C5E0B3" w:themeFill="accent6" w:themeFillTint="66"/>
            <w:noWrap/>
            <w:vAlign w:val="bottom"/>
            <w:hideMark/>
          </w:tcPr>
          <w:p w14:paraId="00791791" w14:textId="69DBE055" w:rsidR="00022B73" w:rsidRPr="004E74A6" w:rsidRDefault="00022B73" w:rsidP="00CE62C1">
            <w:pPr>
              <w:spacing w:line="276" w:lineRule="auto"/>
              <w:jc w:val="center"/>
              <w:rPr>
                <w:rFonts w:cs="Calibri"/>
                <w:color w:val="000000"/>
                <w:sz w:val="20"/>
                <w:lang w:eastAsia="es-CR"/>
              </w:rPr>
            </w:pPr>
            <w:r w:rsidRPr="004E74A6">
              <w:rPr>
                <w:rFonts w:cs="Calibri"/>
                <w:color w:val="000000"/>
                <w:sz w:val="20"/>
              </w:rPr>
              <w:t>9,3</w:t>
            </w:r>
          </w:p>
        </w:tc>
        <w:tc>
          <w:tcPr>
            <w:tcW w:w="1337" w:type="pct"/>
            <w:tcBorders>
              <w:top w:val="nil"/>
              <w:left w:val="single" w:sz="4" w:space="0" w:color="auto"/>
              <w:bottom w:val="nil"/>
              <w:right w:val="nil"/>
            </w:tcBorders>
            <w:shd w:val="clear" w:color="auto" w:fill="C5E0B3" w:themeFill="accent6" w:themeFillTint="66"/>
            <w:vAlign w:val="bottom"/>
          </w:tcPr>
          <w:p w14:paraId="72884944" w14:textId="5FEE67FB" w:rsidR="00022B73" w:rsidRPr="004E74A6" w:rsidRDefault="00022B73" w:rsidP="00CE62C1">
            <w:pPr>
              <w:spacing w:line="276" w:lineRule="auto"/>
              <w:jc w:val="center"/>
              <w:rPr>
                <w:rFonts w:cs="Calibri"/>
                <w:color w:val="000000"/>
                <w:sz w:val="20"/>
              </w:rPr>
            </w:pPr>
            <w:r w:rsidRPr="004E74A6">
              <w:rPr>
                <w:rFonts w:cs="Calibri"/>
                <w:color w:val="000000"/>
                <w:sz w:val="20"/>
              </w:rPr>
              <w:t>61%</w:t>
            </w:r>
          </w:p>
        </w:tc>
      </w:tr>
      <w:tr w:rsidR="00022B73" w:rsidRPr="004E74A6" w14:paraId="6A2A9568" w14:textId="14C669CF" w:rsidTr="00022B73">
        <w:trPr>
          <w:trHeight w:val="288"/>
          <w:jc w:val="center"/>
        </w:trPr>
        <w:tc>
          <w:tcPr>
            <w:tcW w:w="1593" w:type="pct"/>
            <w:tcBorders>
              <w:top w:val="nil"/>
              <w:left w:val="nil"/>
              <w:bottom w:val="nil"/>
              <w:right w:val="single" w:sz="4" w:space="0" w:color="auto"/>
            </w:tcBorders>
            <w:shd w:val="clear" w:color="auto" w:fill="C5E0B3" w:themeFill="accent6" w:themeFillTint="66"/>
            <w:noWrap/>
            <w:vAlign w:val="bottom"/>
            <w:hideMark/>
          </w:tcPr>
          <w:p w14:paraId="7EAC4938" w14:textId="77777777" w:rsidR="00022B73" w:rsidRPr="004E74A6" w:rsidRDefault="00022B73" w:rsidP="00CE62C1">
            <w:pPr>
              <w:spacing w:line="276" w:lineRule="auto"/>
              <w:jc w:val="left"/>
              <w:rPr>
                <w:rFonts w:cs="Calibri"/>
                <w:color w:val="000000"/>
                <w:sz w:val="20"/>
                <w:lang w:eastAsia="es-CR"/>
              </w:rPr>
            </w:pPr>
            <w:r w:rsidRPr="004E74A6">
              <w:rPr>
                <w:rFonts w:cs="Calibri"/>
                <w:color w:val="000000"/>
                <w:sz w:val="20"/>
                <w:lang w:eastAsia="es-CR"/>
              </w:rPr>
              <w:t>De ¢15.000.001 A ¢20.000.000</w:t>
            </w:r>
          </w:p>
        </w:tc>
        <w:tc>
          <w:tcPr>
            <w:tcW w:w="480" w:type="pct"/>
            <w:tcBorders>
              <w:top w:val="nil"/>
              <w:left w:val="single" w:sz="4" w:space="0" w:color="auto"/>
              <w:bottom w:val="nil"/>
              <w:right w:val="single" w:sz="4" w:space="0" w:color="auto"/>
            </w:tcBorders>
            <w:shd w:val="clear" w:color="auto" w:fill="C5E0B3" w:themeFill="accent6" w:themeFillTint="66"/>
            <w:noWrap/>
            <w:vAlign w:val="bottom"/>
            <w:hideMark/>
          </w:tcPr>
          <w:p w14:paraId="3281F144" w14:textId="52479C2E" w:rsidR="00022B73" w:rsidRPr="004E74A6" w:rsidRDefault="00022B73" w:rsidP="00CE62C1">
            <w:pPr>
              <w:spacing w:line="276" w:lineRule="auto"/>
              <w:jc w:val="center"/>
              <w:rPr>
                <w:rFonts w:cs="Calibri"/>
                <w:color w:val="000000"/>
                <w:sz w:val="20"/>
                <w:lang w:eastAsia="es-CR"/>
              </w:rPr>
            </w:pPr>
            <w:r w:rsidRPr="004E74A6">
              <w:rPr>
                <w:rFonts w:cs="Calibri"/>
                <w:color w:val="000000"/>
                <w:sz w:val="20"/>
              </w:rPr>
              <w:t>2</w:t>
            </w:r>
          </w:p>
        </w:tc>
        <w:tc>
          <w:tcPr>
            <w:tcW w:w="480" w:type="pct"/>
            <w:tcBorders>
              <w:top w:val="nil"/>
              <w:left w:val="single" w:sz="4" w:space="0" w:color="auto"/>
              <w:bottom w:val="nil"/>
              <w:right w:val="single" w:sz="4" w:space="0" w:color="auto"/>
            </w:tcBorders>
            <w:shd w:val="clear" w:color="auto" w:fill="C5E0B3" w:themeFill="accent6" w:themeFillTint="66"/>
            <w:noWrap/>
            <w:vAlign w:val="bottom"/>
            <w:hideMark/>
          </w:tcPr>
          <w:p w14:paraId="3E11845C" w14:textId="3A522721" w:rsidR="00022B73" w:rsidRPr="004E74A6" w:rsidRDefault="00022B73" w:rsidP="00CE62C1">
            <w:pPr>
              <w:spacing w:line="276" w:lineRule="auto"/>
              <w:jc w:val="center"/>
              <w:rPr>
                <w:rFonts w:cs="Calibri"/>
                <w:color w:val="000000"/>
                <w:sz w:val="20"/>
                <w:lang w:eastAsia="es-CR"/>
              </w:rPr>
            </w:pPr>
            <w:r w:rsidRPr="004E74A6">
              <w:rPr>
                <w:rFonts w:cs="Calibri"/>
                <w:color w:val="000000"/>
                <w:sz w:val="20"/>
              </w:rPr>
              <w:t>3</w:t>
            </w:r>
          </w:p>
        </w:tc>
        <w:tc>
          <w:tcPr>
            <w:tcW w:w="480" w:type="pct"/>
            <w:tcBorders>
              <w:top w:val="nil"/>
              <w:left w:val="single" w:sz="4" w:space="0" w:color="auto"/>
              <w:bottom w:val="nil"/>
              <w:right w:val="single" w:sz="4" w:space="0" w:color="auto"/>
            </w:tcBorders>
            <w:shd w:val="clear" w:color="auto" w:fill="C5E0B3" w:themeFill="accent6" w:themeFillTint="66"/>
            <w:noWrap/>
            <w:vAlign w:val="bottom"/>
            <w:hideMark/>
          </w:tcPr>
          <w:p w14:paraId="410FA247" w14:textId="1FD74BC4" w:rsidR="00022B73" w:rsidRPr="004E74A6" w:rsidRDefault="00022B73" w:rsidP="00CE62C1">
            <w:pPr>
              <w:spacing w:line="276" w:lineRule="auto"/>
              <w:jc w:val="center"/>
              <w:rPr>
                <w:rFonts w:cs="Calibri"/>
                <w:color w:val="000000"/>
                <w:sz w:val="20"/>
                <w:lang w:eastAsia="es-CR"/>
              </w:rPr>
            </w:pPr>
            <w:r w:rsidRPr="004E74A6">
              <w:rPr>
                <w:rFonts w:cs="Calibri"/>
                <w:color w:val="000000"/>
                <w:sz w:val="20"/>
              </w:rPr>
              <w:t>10</w:t>
            </w:r>
          </w:p>
        </w:tc>
        <w:tc>
          <w:tcPr>
            <w:tcW w:w="631" w:type="pct"/>
            <w:tcBorders>
              <w:top w:val="nil"/>
              <w:left w:val="single" w:sz="4" w:space="0" w:color="auto"/>
              <w:bottom w:val="nil"/>
              <w:right w:val="nil"/>
            </w:tcBorders>
            <w:shd w:val="clear" w:color="auto" w:fill="C5E0B3" w:themeFill="accent6" w:themeFillTint="66"/>
            <w:noWrap/>
            <w:vAlign w:val="bottom"/>
            <w:hideMark/>
          </w:tcPr>
          <w:p w14:paraId="0FD14401" w14:textId="22D72B9B" w:rsidR="00022B73" w:rsidRPr="004E74A6" w:rsidRDefault="00022B73" w:rsidP="00CE62C1">
            <w:pPr>
              <w:spacing w:line="276" w:lineRule="auto"/>
              <w:jc w:val="center"/>
              <w:rPr>
                <w:rFonts w:cs="Calibri"/>
                <w:color w:val="000000"/>
                <w:sz w:val="20"/>
                <w:lang w:eastAsia="es-CR"/>
              </w:rPr>
            </w:pPr>
            <w:r w:rsidRPr="004E74A6">
              <w:rPr>
                <w:rFonts w:cs="Calibri"/>
                <w:color w:val="000000"/>
                <w:sz w:val="20"/>
              </w:rPr>
              <w:t>5,0</w:t>
            </w:r>
          </w:p>
        </w:tc>
        <w:tc>
          <w:tcPr>
            <w:tcW w:w="1337" w:type="pct"/>
            <w:tcBorders>
              <w:top w:val="nil"/>
              <w:left w:val="single" w:sz="4" w:space="0" w:color="auto"/>
              <w:bottom w:val="nil"/>
              <w:right w:val="nil"/>
            </w:tcBorders>
            <w:shd w:val="clear" w:color="auto" w:fill="C5E0B3" w:themeFill="accent6" w:themeFillTint="66"/>
            <w:vAlign w:val="bottom"/>
          </w:tcPr>
          <w:p w14:paraId="1AD5ECBD" w14:textId="5817E551" w:rsidR="00022B73" w:rsidRPr="004E74A6" w:rsidRDefault="00022B73" w:rsidP="00CE62C1">
            <w:pPr>
              <w:spacing w:line="276" w:lineRule="auto"/>
              <w:jc w:val="center"/>
              <w:rPr>
                <w:rFonts w:cs="Calibri"/>
                <w:color w:val="000000"/>
                <w:sz w:val="20"/>
              </w:rPr>
            </w:pPr>
            <w:r w:rsidRPr="004E74A6">
              <w:rPr>
                <w:rFonts w:cs="Calibri"/>
                <w:color w:val="000000"/>
                <w:sz w:val="20"/>
              </w:rPr>
              <w:t>68%</w:t>
            </w:r>
          </w:p>
        </w:tc>
      </w:tr>
      <w:tr w:rsidR="00022B73" w:rsidRPr="004E74A6" w14:paraId="37BAC1FD" w14:textId="5A0BB0BC" w:rsidTr="00022B73">
        <w:trPr>
          <w:trHeight w:val="288"/>
          <w:jc w:val="center"/>
        </w:trPr>
        <w:tc>
          <w:tcPr>
            <w:tcW w:w="1593" w:type="pct"/>
            <w:tcBorders>
              <w:top w:val="nil"/>
              <w:left w:val="nil"/>
              <w:bottom w:val="nil"/>
              <w:right w:val="single" w:sz="4" w:space="0" w:color="auto"/>
            </w:tcBorders>
            <w:shd w:val="clear" w:color="auto" w:fill="auto"/>
            <w:noWrap/>
            <w:vAlign w:val="bottom"/>
            <w:hideMark/>
          </w:tcPr>
          <w:p w14:paraId="7EB295B6" w14:textId="77777777" w:rsidR="00022B73" w:rsidRPr="004E74A6" w:rsidRDefault="00022B73" w:rsidP="00CE62C1">
            <w:pPr>
              <w:spacing w:line="276" w:lineRule="auto"/>
              <w:jc w:val="left"/>
              <w:rPr>
                <w:rFonts w:cs="Calibri"/>
                <w:color w:val="000000"/>
                <w:sz w:val="20"/>
                <w:lang w:eastAsia="es-CR"/>
              </w:rPr>
            </w:pPr>
            <w:r w:rsidRPr="004E74A6">
              <w:rPr>
                <w:rFonts w:cs="Calibri"/>
                <w:color w:val="000000"/>
                <w:sz w:val="20"/>
                <w:lang w:eastAsia="es-CR"/>
              </w:rPr>
              <w:t>De ¢20.000.001 A ¢25.000.000</w:t>
            </w:r>
          </w:p>
        </w:tc>
        <w:tc>
          <w:tcPr>
            <w:tcW w:w="480" w:type="pct"/>
            <w:tcBorders>
              <w:top w:val="nil"/>
              <w:left w:val="single" w:sz="4" w:space="0" w:color="auto"/>
              <w:bottom w:val="nil"/>
              <w:right w:val="single" w:sz="4" w:space="0" w:color="auto"/>
            </w:tcBorders>
            <w:shd w:val="clear" w:color="auto" w:fill="auto"/>
            <w:noWrap/>
            <w:vAlign w:val="bottom"/>
            <w:hideMark/>
          </w:tcPr>
          <w:p w14:paraId="24266CA4" w14:textId="182F8005" w:rsidR="00022B73" w:rsidRPr="004E74A6" w:rsidRDefault="00022B73" w:rsidP="00CE62C1">
            <w:pPr>
              <w:spacing w:line="276" w:lineRule="auto"/>
              <w:jc w:val="center"/>
              <w:rPr>
                <w:rFonts w:cs="Calibri"/>
                <w:color w:val="000000"/>
                <w:sz w:val="20"/>
                <w:lang w:eastAsia="es-CR"/>
              </w:rPr>
            </w:pPr>
            <w:r w:rsidRPr="004E74A6">
              <w:rPr>
                <w:rFonts w:cs="Calibri"/>
                <w:color w:val="000000"/>
                <w:sz w:val="20"/>
              </w:rPr>
              <w:t>3</w:t>
            </w:r>
          </w:p>
        </w:tc>
        <w:tc>
          <w:tcPr>
            <w:tcW w:w="480" w:type="pct"/>
            <w:tcBorders>
              <w:top w:val="nil"/>
              <w:left w:val="single" w:sz="4" w:space="0" w:color="auto"/>
              <w:bottom w:val="nil"/>
              <w:right w:val="single" w:sz="4" w:space="0" w:color="auto"/>
            </w:tcBorders>
            <w:shd w:val="clear" w:color="auto" w:fill="auto"/>
            <w:noWrap/>
            <w:vAlign w:val="bottom"/>
            <w:hideMark/>
          </w:tcPr>
          <w:p w14:paraId="71229D6D" w14:textId="7F7EB765" w:rsidR="00022B73" w:rsidRPr="004E74A6" w:rsidRDefault="00022B73" w:rsidP="00CE62C1">
            <w:pPr>
              <w:spacing w:line="276" w:lineRule="auto"/>
              <w:jc w:val="center"/>
              <w:rPr>
                <w:rFonts w:cs="Calibri"/>
                <w:color w:val="000000"/>
                <w:sz w:val="20"/>
                <w:lang w:eastAsia="es-CR"/>
              </w:rPr>
            </w:pPr>
            <w:r w:rsidRPr="004E74A6">
              <w:rPr>
                <w:rFonts w:cs="Calibri"/>
                <w:color w:val="000000"/>
                <w:sz w:val="20"/>
              </w:rPr>
              <w:t>2</w:t>
            </w:r>
          </w:p>
        </w:tc>
        <w:tc>
          <w:tcPr>
            <w:tcW w:w="480" w:type="pct"/>
            <w:tcBorders>
              <w:top w:val="nil"/>
              <w:left w:val="single" w:sz="4" w:space="0" w:color="auto"/>
              <w:bottom w:val="nil"/>
              <w:right w:val="single" w:sz="4" w:space="0" w:color="auto"/>
            </w:tcBorders>
            <w:shd w:val="clear" w:color="auto" w:fill="auto"/>
            <w:noWrap/>
            <w:vAlign w:val="bottom"/>
            <w:hideMark/>
          </w:tcPr>
          <w:p w14:paraId="57FE543C" w14:textId="4FFB43BC" w:rsidR="00022B73" w:rsidRPr="004E74A6" w:rsidRDefault="00022B73" w:rsidP="00CE62C1">
            <w:pPr>
              <w:spacing w:line="276" w:lineRule="auto"/>
              <w:jc w:val="center"/>
              <w:rPr>
                <w:rFonts w:cs="Calibri"/>
                <w:color w:val="000000"/>
                <w:sz w:val="20"/>
                <w:lang w:eastAsia="es-CR"/>
              </w:rPr>
            </w:pPr>
            <w:r w:rsidRPr="004E74A6">
              <w:rPr>
                <w:rFonts w:cs="Calibri"/>
                <w:color w:val="000000"/>
                <w:sz w:val="20"/>
              </w:rPr>
              <w:t>4</w:t>
            </w:r>
          </w:p>
        </w:tc>
        <w:tc>
          <w:tcPr>
            <w:tcW w:w="631" w:type="pct"/>
            <w:tcBorders>
              <w:top w:val="nil"/>
              <w:left w:val="single" w:sz="4" w:space="0" w:color="auto"/>
              <w:bottom w:val="nil"/>
              <w:right w:val="nil"/>
            </w:tcBorders>
            <w:shd w:val="clear" w:color="auto" w:fill="auto"/>
            <w:noWrap/>
            <w:vAlign w:val="bottom"/>
            <w:hideMark/>
          </w:tcPr>
          <w:p w14:paraId="52F26287" w14:textId="593CFDA7" w:rsidR="00022B73" w:rsidRPr="004E74A6" w:rsidRDefault="00022B73" w:rsidP="00CE62C1">
            <w:pPr>
              <w:spacing w:line="276" w:lineRule="auto"/>
              <w:jc w:val="center"/>
              <w:rPr>
                <w:rFonts w:cs="Calibri"/>
                <w:color w:val="000000"/>
                <w:sz w:val="20"/>
                <w:lang w:eastAsia="es-CR"/>
              </w:rPr>
            </w:pPr>
            <w:r w:rsidRPr="004E74A6">
              <w:rPr>
                <w:rFonts w:cs="Calibri"/>
                <w:color w:val="000000"/>
                <w:sz w:val="20"/>
              </w:rPr>
              <w:t>3,0</w:t>
            </w:r>
          </w:p>
        </w:tc>
        <w:tc>
          <w:tcPr>
            <w:tcW w:w="1337" w:type="pct"/>
            <w:tcBorders>
              <w:top w:val="nil"/>
              <w:left w:val="single" w:sz="4" w:space="0" w:color="auto"/>
              <w:bottom w:val="nil"/>
              <w:right w:val="nil"/>
            </w:tcBorders>
            <w:shd w:val="clear" w:color="auto" w:fill="auto"/>
            <w:vAlign w:val="bottom"/>
          </w:tcPr>
          <w:p w14:paraId="0D87FD1C" w14:textId="27C54C2A" w:rsidR="00022B73" w:rsidRPr="004E74A6" w:rsidRDefault="00022B73" w:rsidP="00CE62C1">
            <w:pPr>
              <w:spacing w:line="276" w:lineRule="auto"/>
              <w:jc w:val="center"/>
              <w:rPr>
                <w:rFonts w:cs="Calibri"/>
                <w:color w:val="000000"/>
                <w:sz w:val="20"/>
              </w:rPr>
            </w:pPr>
            <w:r w:rsidRPr="004E74A6">
              <w:rPr>
                <w:rFonts w:cs="Calibri"/>
                <w:color w:val="000000"/>
                <w:sz w:val="20"/>
              </w:rPr>
              <w:t>72%</w:t>
            </w:r>
          </w:p>
        </w:tc>
      </w:tr>
      <w:tr w:rsidR="00022B73" w:rsidRPr="004E74A6" w14:paraId="583B23B4" w14:textId="07B28525" w:rsidTr="00022B73">
        <w:trPr>
          <w:trHeight w:val="288"/>
          <w:jc w:val="center"/>
        </w:trPr>
        <w:tc>
          <w:tcPr>
            <w:tcW w:w="1593" w:type="pct"/>
            <w:tcBorders>
              <w:top w:val="nil"/>
              <w:left w:val="nil"/>
              <w:bottom w:val="nil"/>
              <w:right w:val="single" w:sz="4" w:space="0" w:color="auto"/>
            </w:tcBorders>
            <w:shd w:val="clear" w:color="auto" w:fill="auto"/>
            <w:noWrap/>
            <w:vAlign w:val="bottom"/>
            <w:hideMark/>
          </w:tcPr>
          <w:p w14:paraId="12B0E4CC" w14:textId="77777777" w:rsidR="00022B73" w:rsidRPr="004E74A6" w:rsidRDefault="00022B73" w:rsidP="00CE62C1">
            <w:pPr>
              <w:spacing w:line="276" w:lineRule="auto"/>
              <w:jc w:val="left"/>
              <w:rPr>
                <w:rFonts w:cs="Calibri"/>
                <w:color w:val="000000"/>
                <w:sz w:val="20"/>
                <w:lang w:eastAsia="es-CR"/>
              </w:rPr>
            </w:pPr>
            <w:r w:rsidRPr="004E74A6">
              <w:rPr>
                <w:rFonts w:cs="Calibri"/>
                <w:color w:val="000000"/>
                <w:sz w:val="20"/>
                <w:lang w:eastAsia="es-CR"/>
              </w:rPr>
              <w:t>De ¢25.000.001 A ¢30.000.000</w:t>
            </w:r>
          </w:p>
        </w:tc>
        <w:tc>
          <w:tcPr>
            <w:tcW w:w="480" w:type="pct"/>
            <w:tcBorders>
              <w:top w:val="nil"/>
              <w:left w:val="single" w:sz="4" w:space="0" w:color="auto"/>
              <w:bottom w:val="nil"/>
              <w:right w:val="single" w:sz="4" w:space="0" w:color="auto"/>
            </w:tcBorders>
            <w:shd w:val="clear" w:color="auto" w:fill="auto"/>
            <w:noWrap/>
            <w:vAlign w:val="bottom"/>
            <w:hideMark/>
          </w:tcPr>
          <w:p w14:paraId="27463071" w14:textId="13DBDE0A" w:rsidR="00022B73" w:rsidRPr="004E74A6" w:rsidRDefault="00022B73" w:rsidP="00CE62C1">
            <w:pPr>
              <w:spacing w:line="276" w:lineRule="auto"/>
              <w:jc w:val="center"/>
              <w:rPr>
                <w:rFonts w:cs="Calibri"/>
                <w:color w:val="000000"/>
                <w:sz w:val="20"/>
                <w:lang w:eastAsia="es-CR"/>
              </w:rPr>
            </w:pPr>
            <w:r w:rsidRPr="004E74A6">
              <w:rPr>
                <w:rFonts w:cs="Calibri"/>
                <w:color w:val="000000"/>
                <w:sz w:val="20"/>
              </w:rPr>
              <w:t>0</w:t>
            </w:r>
          </w:p>
        </w:tc>
        <w:tc>
          <w:tcPr>
            <w:tcW w:w="480" w:type="pct"/>
            <w:tcBorders>
              <w:top w:val="nil"/>
              <w:left w:val="single" w:sz="4" w:space="0" w:color="auto"/>
              <w:bottom w:val="nil"/>
              <w:right w:val="single" w:sz="4" w:space="0" w:color="auto"/>
            </w:tcBorders>
            <w:shd w:val="clear" w:color="auto" w:fill="auto"/>
            <w:noWrap/>
            <w:vAlign w:val="bottom"/>
            <w:hideMark/>
          </w:tcPr>
          <w:p w14:paraId="4ABD19B8" w14:textId="74E1EE76" w:rsidR="00022B73" w:rsidRPr="004E74A6" w:rsidRDefault="00022B73" w:rsidP="00CE62C1">
            <w:pPr>
              <w:spacing w:line="276" w:lineRule="auto"/>
              <w:jc w:val="center"/>
              <w:rPr>
                <w:sz w:val="20"/>
                <w:lang w:eastAsia="es-CR"/>
              </w:rPr>
            </w:pPr>
            <w:r w:rsidRPr="004E74A6">
              <w:rPr>
                <w:rFonts w:cs="Calibri"/>
                <w:color w:val="000000"/>
                <w:sz w:val="20"/>
              </w:rPr>
              <w:t>0</w:t>
            </w:r>
          </w:p>
        </w:tc>
        <w:tc>
          <w:tcPr>
            <w:tcW w:w="480" w:type="pct"/>
            <w:tcBorders>
              <w:top w:val="nil"/>
              <w:left w:val="single" w:sz="4" w:space="0" w:color="auto"/>
              <w:bottom w:val="nil"/>
              <w:right w:val="single" w:sz="4" w:space="0" w:color="auto"/>
            </w:tcBorders>
            <w:shd w:val="clear" w:color="auto" w:fill="auto"/>
            <w:noWrap/>
            <w:vAlign w:val="bottom"/>
            <w:hideMark/>
          </w:tcPr>
          <w:p w14:paraId="53908A4C" w14:textId="24B992C6" w:rsidR="00022B73" w:rsidRPr="004E74A6" w:rsidRDefault="00022B73" w:rsidP="00CE62C1">
            <w:pPr>
              <w:spacing w:line="276" w:lineRule="auto"/>
              <w:jc w:val="center"/>
              <w:rPr>
                <w:rFonts w:cs="Calibri"/>
                <w:color w:val="000000"/>
                <w:sz w:val="20"/>
                <w:lang w:eastAsia="es-CR"/>
              </w:rPr>
            </w:pPr>
            <w:r w:rsidRPr="004E74A6">
              <w:rPr>
                <w:rFonts w:cs="Calibri"/>
                <w:color w:val="000000"/>
                <w:sz w:val="20"/>
              </w:rPr>
              <w:t>3</w:t>
            </w:r>
          </w:p>
        </w:tc>
        <w:tc>
          <w:tcPr>
            <w:tcW w:w="631" w:type="pct"/>
            <w:tcBorders>
              <w:top w:val="nil"/>
              <w:left w:val="single" w:sz="4" w:space="0" w:color="auto"/>
              <w:bottom w:val="nil"/>
              <w:right w:val="nil"/>
            </w:tcBorders>
            <w:shd w:val="clear" w:color="auto" w:fill="auto"/>
            <w:noWrap/>
            <w:vAlign w:val="bottom"/>
            <w:hideMark/>
          </w:tcPr>
          <w:p w14:paraId="6B16795F" w14:textId="0BE7009D" w:rsidR="00022B73" w:rsidRPr="004E74A6" w:rsidRDefault="00022B73" w:rsidP="00CE62C1">
            <w:pPr>
              <w:spacing w:line="276" w:lineRule="auto"/>
              <w:jc w:val="center"/>
              <w:rPr>
                <w:rFonts w:cs="Calibri"/>
                <w:color w:val="000000"/>
                <w:sz w:val="20"/>
                <w:lang w:eastAsia="es-CR"/>
              </w:rPr>
            </w:pPr>
            <w:r w:rsidRPr="004E74A6">
              <w:rPr>
                <w:rFonts w:cs="Calibri"/>
                <w:color w:val="000000"/>
                <w:sz w:val="20"/>
              </w:rPr>
              <w:t>1,0</w:t>
            </w:r>
          </w:p>
        </w:tc>
        <w:tc>
          <w:tcPr>
            <w:tcW w:w="1337" w:type="pct"/>
            <w:tcBorders>
              <w:top w:val="nil"/>
              <w:left w:val="single" w:sz="4" w:space="0" w:color="auto"/>
              <w:bottom w:val="nil"/>
              <w:right w:val="nil"/>
            </w:tcBorders>
            <w:shd w:val="clear" w:color="auto" w:fill="auto"/>
            <w:vAlign w:val="bottom"/>
          </w:tcPr>
          <w:p w14:paraId="66AA9396" w14:textId="5707A4C6" w:rsidR="00022B73" w:rsidRPr="004E74A6" w:rsidRDefault="00022B73" w:rsidP="00CE62C1">
            <w:pPr>
              <w:spacing w:line="276" w:lineRule="auto"/>
              <w:jc w:val="center"/>
              <w:rPr>
                <w:rFonts w:cs="Calibri"/>
                <w:color w:val="000000"/>
                <w:sz w:val="20"/>
              </w:rPr>
            </w:pPr>
            <w:r w:rsidRPr="004E74A6">
              <w:rPr>
                <w:rFonts w:cs="Calibri"/>
                <w:color w:val="000000"/>
                <w:sz w:val="20"/>
              </w:rPr>
              <w:t>74%</w:t>
            </w:r>
          </w:p>
        </w:tc>
      </w:tr>
      <w:tr w:rsidR="00022B73" w:rsidRPr="004E74A6" w14:paraId="16CC2067" w14:textId="5C3DFD20" w:rsidTr="00022B73">
        <w:trPr>
          <w:trHeight w:val="288"/>
          <w:jc w:val="center"/>
        </w:trPr>
        <w:tc>
          <w:tcPr>
            <w:tcW w:w="1593" w:type="pct"/>
            <w:tcBorders>
              <w:top w:val="nil"/>
              <w:left w:val="nil"/>
              <w:bottom w:val="nil"/>
              <w:right w:val="single" w:sz="4" w:space="0" w:color="auto"/>
            </w:tcBorders>
            <w:shd w:val="clear" w:color="auto" w:fill="auto"/>
            <w:noWrap/>
            <w:vAlign w:val="bottom"/>
            <w:hideMark/>
          </w:tcPr>
          <w:p w14:paraId="6FD58355" w14:textId="77777777" w:rsidR="00022B73" w:rsidRPr="004E74A6" w:rsidRDefault="00022B73" w:rsidP="00CE62C1">
            <w:pPr>
              <w:spacing w:line="276" w:lineRule="auto"/>
              <w:jc w:val="left"/>
              <w:rPr>
                <w:rFonts w:cs="Calibri"/>
                <w:color w:val="000000"/>
                <w:sz w:val="20"/>
                <w:lang w:eastAsia="es-CR"/>
              </w:rPr>
            </w:pPr>
            <w:r w:rsidRPr="004E74A6">
              <w:rPr>
                <w:rFonts w:cs="Calibri"/>
                <w:color w:val="000000"/>
                <w:sz w:val="20"/>
                <w:lang w:eastAsia="es-CR"/>
              </w:rPr>
              <w:t>De ¢30.000.001 A ¢35.000.000</w:t>
            </w:r>
          </w:p>
        </w:tc>
        <w:tc>
          <w:tcPr>
            <w:tcW w:w="480" w:type="pct"/>
            <w:tcBorders>
              <w:top w:val="nil"/>
              <w:left w:val="single" w:sz="4" w:space="0" w:color="auto"/>
              <w:bottom w:val="nil"/>
              <w:right w:val="single" w:sz="4" w:space="0" w:color="auto"/>
            </w:tcBorders>
            <w:shd w:val="clear" w:color="auto" w:fill="auto"/>
            <w:noWrap/>
            <w:vAlign w:val="bottom"/>
            <w:hideMark/>
          </w:tcPr>
          <w:p w14:paraId="6D1C5700" w14:textId="3E919F3E" w:rsidR="00022B73" w:rsidRPr="004E74A6" w:rsidRDefault="00022B73" w:rsidP="00CE62C1">
            <w:pPr>
              <w:spacing w:line="276" w:lineRule="auto"/>
              <w:jc w:val="center"/>
              <w:rPr>
                <w:rFonts w:cs="Calibri"/>
                <w:color w:val="000000"/>
                <w:sz w:val="20"/>
                <w:lang w:eastAsia="es-CR"/>
              </w:rPr>
            </w:pPr>
            <w:r w:rsidRPr="004E74A6">
              <w:rPr>
                <w:rFonts w:cs="Calibri"/>
                <w:color w:val="000000"/>
                <w:sz w:val="20"/>
              </w:rPr>
              <w:t>1</w:t>
            </w:r>
          </w:p>
        </w:tc>
        <w:tc>
          <w:tcPr>
            <w:tcW w:w="480" w:type="pct"/>
            <w:tcBorders>
              <w:top w:val="nil"/>
              <w:left w:val="single" w:sz="4" w:space="0" w:color="auto"/>
              <w:bottom w:val="nil"/>
              <w:right w:val="single" w:sz="4" w:space="0" w:color="auto"/>
            </w:tcBorders>
            <w:shd w:val="clear" w:color="auto" w:fill="auto"/>
            <w:noWrap/>
            <w:vAlign w:val="bottom"/>
            <w:hideMark/>
          </w:tcPr>
          <w:p w14:paraId="73429667" w14:textId="7BCCD3C5" w:rsidR="00022B73" w:rsidRPr="004E74A6" w:rsidRDefault="00022B73" w:rsidP="00CE62C1">
            <w:pPr>
              <w:spacing w:line="276" w:lineRule="auto"/>
              <w:jc w:val="center"/>
              <w:rPr>
                <w:rFonts w:cs="Calibri"/>
                <w:color w:val="000000"/>
                <w:sz w:val="20"/>
                <w:lang w:eastAsia="es-CR"/>
              </w:rPr>
            </w:pPr>
            <w:r w:rsidRPr="004E74A6">
              <w:rPr>
                <w:rFonts w:cs="Calibri"/>
                <w:color w:val="000000"/>
                <w:sz w:val="20"/>
              </w:rPr>
              <w:t>2</w:t>
            </w:r>
          </w:p>
        </w:tc>
        <w:tc>
          <w:tcPr>
            <w:tcW w:w="480" w:type="pct"/>
            <w:tcBorders>
              <w:top w:val="nil"/>
              <w:left w:val="single" w:sz="4" w:space="0" w:color="auto"/>
              <w:bottom w:val="nil"/>
              <w:right w:val="single" w:sz="4" w:space="0" w:color="auto"/>
            </w:tcBorders>
            <w:shd w:val="clear" w:color="auto" w:fill="auto"/>
            <w:noWrap/>
            <w:vAlign w:val="bottom"/>
            <w:hideMark/>
          </w:tcPr>
          <w:p w14:paraId="5C90F3EA" w14:textId="1FEDEA98" w:rsidR="00022B73" w:rsidRPr="004E74A6" w:rsidRDefault="00022B73" w:rsidP="00CE62C1">
            <w:pPr>
              <w:spacing w:line="276" w:lineRule="auto"/>
              <w:jc w:val="center"/>
              <w:rPr>
                <w:rFonts w:cs="Calibri"/>
                <w:color w:val="000000"/>
                <w:sz w:val="20"/>
                <w:lang w:eastAsia="es-CR"/>
              </w:rPr>
            </w:pPr>
            <w:r w:rsidRPr="004E74A6">
              <w:rPr>
                <w:rFonts w:cs="Calibri"/>
                <w:color w:val="000000"/>
                <w:sz w:val="20"/>
              </w:rPr>
              <w:t>2</w:t>
            </w:r>
          </w:p>
        </w:tc>
        <w:tc>
          <w:tcPr>
            <w:tcW w:w="631" w:type="pct"/>
            <w:tcBorders>
              <w:top w:val="nil"/>
              <w:left w:val="single" w:sz="4" w:space="0" w:color="auto"/>
              <w:bottom w:val="nil"/>
              <w:right w:val="nil"/>
            </w:tcBorders>
            <w:shd w:val="clear" w:color="auto" w:fill="auto"/>
            <w:noWrap/>
            <w:vAlign w:val="bottom"/>
            <w:hideMark/>
          </w:tcPr>
          <w:p w14:paraId="3FEA33A5" w14:textId="0BA0E8B7" w:rsidR="00022B73" w:rsidRPr="004E74A6" w:rsidRDefault="00022B73" w:rsidP="00CE62C1">
            <w:pPr>
              <w:spacing w:line="276" w:lineRule="auto"/>
              <w:jc w:val="center"/>
              <w:rPr>
                <w:rFonts w:cs="Calibri"/>
                <w:color w:val="000000"/>
                <w:sz w:val="20"/>
                <w:lang w:eastAsia="es-CR"/>
              </w:rPr>
            </w:pPr>
            <w:r w:rsidRPr="004E74A6">
              <w:rPr>
                <w:rFonts w:cs="Calibri"/>
                <w:color w:val="000000"/>
                <w:sz w:val="20"/>
              </w:rPr>
              <w:t>1,7</w:t>
            </w:r>
          </w:p>
        </w:tc>
        <w:tc>
          <w:tcPr>
            <w:tcW w:w="1337" w:type="pct"/>
            <w:tcBorders>
              <w:top w:val="nil"/>
              <w:left w:val="single" w:sz="4" w:space="0" w:color="auto"/>
              <w:bottom w:val="nil"/>
              <w:right w:val="nil"/>
            </w:tcBorders>
            <w:shd w:val="clear" w:color="auto" w:fill="auto"/>
            <w:vAlign w:val="bottom"/>
          </w:tcPr>
          <w:p w14:paraId="512493B5" w14:textId="5B491EA3" w:rsidR="00022B73" w:rsidRPr="004E74A6" w:rsidRDefault="00022B73" w:rsidP="00CE62C1">
            <w:pPr>
              <w:spacing w:line="276" w:lineRule="auto"/>
              <w:jc w:val="center"/>
              <w:rPr>
                <w:rFonts w:cs="Calibri"/>
                <w:color w:val="000000"/>
                <w:sz w:val="20"/>
              </w:rPr>
            </w:pPr>
            <w:r w:rsidRPr="004E74A6">
              <w:rPr>
                <w:rFonts w:cs="Calibri"/>
                <w:color w:val="000000"/>
                <w:sz w:val="20"/>
              </w:rPr>
              <w:t>76%</w:t>
            </w:r>
          </w:p>
        </w:tc>
      </w:tr>
      <w:tr w:rsidR="00022B73" w:rsidRPr="004E74A6" w14:paraId="1480715D" w14:textId="6223EA1E" w:rsidTr="00022B73">
        <w:trPr>
          <w:trHeight w:val="288"/>
          <w:jc w:val="center"/>
        </w:trPr>
        <w:tc>
          <w:tcPr>
            <w:tcW w:w="1593" w:type="pct"/>
            <w:tcBorders>
              <w:top w:val="nil"/>
              <w:left w:val="nil"/>
              <w:bottom w:val="nil"/>
              <w:right w:val="single" w:sz="4" w:space="0" w:color="auto"/>
            </w:tcBorders>
            <w:shd w:val="clear" w:color="auto" w:fill="auto"/>
            <w:noWrap/>
            <w:vAlign w:val="bottom"/>
            <w:hideMark/>
          </w:tcPr>
          <w:p w14:paraId="3003D2A1" w14:textId="77777777" w:rsidR="00022B73" w:rsidRPr="004E74A6" w:rsidRDefault="00022B73" w:rsidP="00CE62C1">
            <w:pPr>
              <w:spacing w:line="276" w:lineRule="auto"/>
              <w:jc w:val="left"/>
              <w:rPr>
                <w:rFonts w:cs="Calibri"/>
                <w:color w:val="000000"/>
                <w:sz w:val="20"/>
                <w:lang w:eastAsia="es-CR"/>
              </w:rPr>
            </w:pPr>
            <w:r w:rsidRPr="004E74A6">
              <w:rPr>
                <w:rFonts w:cs="Calibri"/>
                <w:color w:val="000000"/>
                <w:sz w:val="20"/>
                <w:lang w:eastAsia="es-CR"/>
              </w:rPr>
              <w:t>De ¢35.000.001 A ¢40.000.000</w:t>
            </w:r>
          </w:p>
        </w:tc>
        <w:tc>
          <w:tcPr>
            <w:tcW w:w="480" w:type="pct"/>
            <w:tcBorders>
              <w:top w:val="nil"/>
              <w:left w:val="single" w:sz="4" w:space="0" w:color="auto"/>
              <w:bottom w:val="nil"/>
              <w:right w:val="single" w:sz="4" w:space="0" w:color="auto"/>
            </w:tcBorders>
            <w:shd w:val="clear" w:color="auto" w:fill="auto"/>
            <w:noWrap/>
            <w:vAlign w:val="bottom"/>
            <w:hideMark/>
          </w:tcPr>
          <w:p w14:paraId="1DB441B5" w14:textId="72532FCB" w:rsidR="00022B73" w:rsidRPr="004E74A6" w:rsidRDefault="00022B73" w:rsidP="00CE62C1">
            <w:pPr>
              <w:spacing w:line="276" w:lineRule="auto"/>
              <w:jc w:val="center"/>
              <w:rPr>
                <w:rFonts w:cs="Calibri"/>
                <w:color w:val="000000"/>
                <w:sz w:val="20"/>
                <w:lang w:eastAsia="es-CR"/>
              </w:rPr>
            </w:pPr>
            <w:r w:rsidRPr="004E74A6">
              <w:rPr>
                <w:rFonts w:cs="Calibri"/>
                <w:color w:val="000000"/>
                <w:sz w:val="20"/>
              </w:rPr>
              <w:t>1</w:t>
            </w:r>
          </w:p>
        </w:tc>
        <w:tc>
          <w:tcPr>
            <w:tcW w:w="480" w:type="pct"/>
            <w:tcBorders>
              <w:top w:val="nil"/>
              <w:left w:val="single" w:sz="4" w:space="0" w:color="auto"/>
              <w:bottom w:val="nil"/>
              <w:right w:val="single" w:sz="4" w:space="0" w:color="auto"/>
            </w:tcBorders>
            <w:shd w:val="clear" w:color="auto" w:fill="auto"/>
            <w:noWrap/>
            <w:vAlign w:val="bottom"/>
            <w:hideMark/>
          </w:tcPr>
          <w:p w14:paraId="274980B7" w14:textId="2883118C" w:rsidR="00022B73" w:rsidRPr="004E74A6" w:rsidRDefault="00022B73" w:rsidP="00CE62C1">
            <w:pPr>
              <w:spacing w:line="276" w:lineRule="auto"/>
              <w:jc w:val="center"/>
              <w:rPr>
                <w:rFonts w:cs="Calibri"/>
                <w:color w:val="000000"/>
                <w:sz w:val="20"/>
                <w:lang w:eastAsia="es-CR"/>
              </w:rPr>
            </w:pPr>
            <w:r w:rsidRPr="004E74A6">
              <w:rPr>
                <w:rFonts w:cs="Calibri"/>
                <w:color w:val="000000"/>
                <w:sz w:val="20"/>
              </w:rPr>
              <w:t>1</w:t>
            </w:r>
          </w:p>
        </w:tc>
        <w:tc>
          <w:tcPr>
            <w:tcW w:w="480" w:type="pct"/>
            <w:tcBorders>
              <w:top w:val="nil"/>
              <w:left w:val="single" w:sz="4" w:space="0" w:color="auto"/>
              <w:bottom w:val="nil"/>
              <w:right w:val="single" w:sz="4" w:space="0" w:color="auto"/>
            </w:tcBorders>
            <w:shd w:val="clear" w:color="auto" w:fill="auto"/>
            <w:noWrap/>
            <w:vAlign w:val="bottom"/>
            <w:hideMark/>
          </w:tcPr>
          <w:p w14:paraId="49DBBCA7" w14:textId="37FB3FC7" w:rsidR="00022B73" w:rsidRPr="004E74A6" w:rsidRDefault="00022B73" w:rsidP="00CE62C1">
            <w:pPr>
              <w:spacing w:line="276" w:lineRule="auto"/>
              <w:jc w:val="center"/>
              <w:rPr>
                <w:rFonts w:cs="Calibri"/>
                <w:color w:val="000000"/>
                <w:sz w:val="20"/>
                <w:lang w:eastAsia="es-CR"/>
              </w:rPr>
            </w:pPr>
            <w:r w:rsidRPr="004E74A6">
              <w:rPr>
                <w:rFonts w:cs="Calibri"/>
                <w:color w:val="000000"/>
                <w:sz w:val="20"/>
              </w:rPr>
              <w:t>3</w:t>
            </w:r>
          </w:p>
        </w:tc>
        <w:tc>
          <w:tcPr>
            <w:tcW w:w="631" w:type="pct"/>
            <w:tcBorders>
              <w:top w:val="nil"/>
              <w:left w:val="single" w:sz="4" w:space="0" w:color="auto"/>
              <w:bottom w:val="nil"/>
              <w:right w:val="nil"/>
            </w:tcBorders>
            <w:shd w:val="clear" w:color="auto" w:fill="auto"/>
            <w:noWrap/>
            <w:vAlign w:val="bottom"/>
            <w:hideMark/>
          </w:tcPr>
          <w:p w14:paraId="0DE13A26" w14:textId="3F4CBAC5" w:rsidR="00022B73" w:rsidRPr="004E74A6" w:rsidRDefault="00022B73" w:rsidP="00CE62C1">
            <w:pPr>
              <w:spacing w:line="276" w:lineRule="auto"/>
              <w:jc w:val="center"/>
              <w:rPr>
                <w:rFonts w:cs="Calibri"/>
                <w:color w:val="000000"/>
                <w:sz w:val="20"/>
                <w:lang w:eastAsia="es-CR"/>
              </w:rPr>
            </w:pPr>
            <w:r w:rsidRPr="004E74A6">
              <w:rPr>
                <w:rFonts w:cs="Calibri"/>
                <w:color w:val="000000"/>
                <w:sz w:val="20"/>
              </w:rPr>
              <w:t>1,7</w:t>
            </w:r>
          </w:p>
        </w:tc>
        <w:tc>
          <w:tcPr>
            <w:tcW w:w="1337" w:type="pct"/>
            <w:tcBorders>
              <w:top w:val="nil"/>
              <w:left w:val="single" w:sz="4" w:space="0" w:color="auto"/>
              <w:bottom w:val="nil"/>
              <w:right w:val="nil"/>
            </w:tcBorders>
            <w:shd w:val="clear" w:color="auto" w:fill="auto"/>
            <w:vAlign w:val="bottom"/>
          </w:tcPr>
          <w:p w14:paraId="16D979B0" w14:textId="1F2943D6" w:rsidR="00022B73" w:rsidRPr="004E74A6" w:rsidRDefault="00022B73" w:rsidP="00CE62C1">
            <w:pPr>
              <w:spacing w:line="276" w:lineRule="auto"/>
              <w:jc w:val="center"/>
              <w:rPr>
                <w:rFonts w:cs="Calibri"/>
                <w:color w:val="000000"/>
                <w:sz w:val="20"/>
              </w:rPr>
            </w:pPr>
            <w:r w:rsidRPr="004E74A6">
              <w:rPr>
                <w:rFonts w:cs="Calibri"/>
                <w:color w:val="000000"/>
                <w:sz w:val="20"/>
              </w:rPr>
              <w:t>79%</w:t>
            </w:r>
          </w:p>
        </w:tc>
      </w:tr>
      <w:tr w:rsidR="00022B73" w:rsidRPr="004E74A6" w14:paraId="6A49E213" w14:textId="0F340D0A" w:rsidTr="00022B73">
        <w:trPr>
          <w:trHeight w:val="288"/>
          <w:jc w:val="center"/>
        </w:trPr>
        <w:tc>
          <w:tcPr>
            <w:tcW w:w="1593" w:type="pct"/>
            <w:tcBorders>
              <w:top w:val="nil"/>
              <w:left w:val="nil"/>
              <w:bottom w:val="nil"/>
              <w:right w:val="single" w:sz="4" w:space="0" w:color="auto"/>
            </w:tcBorders>
            <w:shd w:val="clear" w:color="auto" w:fill="auto"/>
            <w:noWrap/>
            <w:vAlign w:val="bottom"/>
            <w:hideMark/>
          </w:tcPr>
          <w:p w14:paraId="1E89C10C" w14:textId="77777777" w:rsidR="00022B73" w:rsidRPr="004E74A6" w:rsidRDefault="00022B73" w:rsidP="00CE62C1">
            <w:pPr>
              <w:spacing w:line="276" w:lineRule="auto"/>
              <w:jc w:val="left"/>
              <w:rPr>
                <w:rFonts w:cs="Calibri"/>
                <w:color w:val="000000"/>
                <w:sz w:val="20"/>
                <w:lang w:eastAsia="es-CR"/>
              </w:rPr>
            </w:pPr>
            <w:r w:rsidRPr="004E74A6">
              <w:rPr>
                <w:rFonts w:cs="Calibri"/>
                <w:color w:val="000000"/>
                <w:sz w:val="20"/>
                <w:lang w:eastAsia="es-CR"/>
              </w:rPr>
              <w:t>De ¢40.000.001 A ¢45.000.000</w:t>
            </w:r>
          </w:p>
        </w:tc>
        <w:tc>
          <w:tcPr>
            <w:tcW w:w="480" w:type="pct"/>
            <w:tcBorders>
              <w:top w:val="nil"/>
              <w:left w:val="single" w:sz="4" w:space="0" w:color="auto"/>
              <w:bottom w:val="nil"/>
              <w:right w:val="single" w:sz="4" w:space="0" w:color="auto"/>
            </w:tcBorders>
            <w:shd w:val="clear" w:color="auto" w:fill="auto"/>
            <w:noWrap/>
            <w:vAlign w:val="bottom"/>
            <w:hideMark/>
          </w:tcPr>
          <w:p w14:paraId="25BFAF0B" w14:textId="7DA5E5B7" w:rsidR="00022B73" w:rsidRPr="004E74A6" w:rsidRDefault="00022B73" w:rsidP="00CE62C1">
            <w:pPr>
              <w:spacing w:line="276" w:lineRule="auto"/>
              <w:jc w:val="center"/>
              <w:rPr>
                <w:rFonts w:cs="Calibri"/>
                <w:color w:val="000000"/>
                <w:sz w:val="20"/>
                <w:lang w:eastAsia="es-CR"/>
              </w:rPr>
            </w:pPr>
            <w:r w:rsidRPr="004E74A6">
              <w:rPr>
                <w:rFonts w:cs="Calibri"/>
                <w:color w:val="000000"/>
                <w:sz w:val="20"/>
              </w:rPr>
              <w:t>0</w:t>
            </w:r>
          </w:p>
        </w:tc>
        <w:tc>
          <w:tcPr>
            <w:tcW w:w="480" w:type="pct"/>
            <w:tcBorders>
              <w:top w:val="nil"/>
              <w:left w:val="single" w:sz="4" w:space="0" w:color="auto"/>
              <w:bottom w:val="nil"/>
              <w:right w:val="single" w:sz="4" w:space="0" w:color="auto"/>
            </w:tcBorders>
            <w:shd w:val="clear" w:color="auto" w:fill="auto"/>
            <w:noWrap/>
            <w:vAlign w:val="bottom"/>
            <w:hideMark/>
          </w:tcPr>
          <w:p w14:paraId="45AB0FFD" w14:textId="720858BC" w:rsidR="00022B73" w:rsidRPr="004E74A6" w:rsidRDefault="00022B73" w:rsidP="00CE62C1">
            <w:pPr>
              <w:spacing w:line="276" w:lineRule="auto"/>
              <w:jc w:val="center"/>
              <w:rPr>
                <w:rFonts w:cs="Calibri"/>
                <w:color w:val="000000"/>
                <w:sz w:val="20"/>
                <w:lang w:eastAsia="es-CR"/>
              </w:rPr>
            </w:pPr>
            <w:r w:rsidRPr="004E74A6">
              <w:rPr>
                <w:rFonts w:cs="Calibri"/>
                <w:color w:val="000000"/>
                <w:sz w:val="20"/>
              </w:rPr>
              <w:t>2</w:t>
            </w:r>
          </w:p>
        </w:tc>
        <w:tc>
          <w:tcPr>
            <w:tcW w:w="480" w:type="pct"/>
            <w:tcBorders>
              <w:top w:val="nil"/>
              <w:left w:val="single" w:sz="4" w:space="0" w:color="auto"/>
              <w:bottom w:val="nil"/>
              <w:right w:val="single" w:sz="4" w:space="0" w:color="auto"/>
            </w:tcBorders>
            <w:shd w:val="clear" w:color="auto" w:fill="auto"/>
            <w:noWrap/>
            <w:vAlign w:val="bottom"/>
            <w:hideMark/>
          </w:tcPr>
          <w:p w14:paraId="4E913254" w14:textId="6C78D2F8" w:rsidR="00022B73" w:rsidRPr="004E74A6" w:rsidRDefault="00022B73" w:rsidP="00CE62C1">
            <w:pPr>
              <w:spacing w:line="276" w:lineRule="auto"/>
              <w:jc w:val="center"/>
              <w:rPr>
                <w:rFonts w:cs="Calibri"/>
                <w:color w:val="000000"/>
                <w:sz w:val="20"/>
                <w:lang w:eastAsia="es-CR"/>
              </w:rPr>
            </w:pPr>
            <w:r w:rsidRPr="004E74A6">
              <w:rPr>
                <w:rFonts w:cs="Calibri"/>
                <w:color w:val="000000"/>
                <w:sz w:val="20"/>
              </w:rPr>
              <w:t>2</w:t>
            </w:r>
          </w:p>
        </w:tc>
        <w:tc>
          <w:tcPr>
            <w:tcW w:w="631" w:type="pct"/>
            <w:tcBorders>
              <w:top w:val="nil"/>
              <w:left w:val="single" w:sz="4" w:space="0" w:color="auto"/>
              <w:bottom w:val="nil"/>
              <w:right w:val="nil"/>
            </w:tcBorders>
            <w:shd w:val="clear" w:color="auto" w:fill="auto"/>
            <w:noWrap/>
            <w:vAlign w:val="bottom"/>
            <w:hideMark/>
          </w:tcPr>
          <w:p w14:paraId="33449D0E" w14:textId="795D85F9" w:rsidR="00022B73" w:rsidRPr="004E74A6" w:rsidRDefault="00022B73" w:rsidP="00CE62C1">
            <w:pPr>
              <w:spacing w:line="276" w:lineRule="auto"/>
              <w:jc w:val="center"/>
              <w:rPr>
                <w:rFonts w:cs="Calibri"/>
                <w:color w:val="000000"/>
                <w:sz w:val="20"/>
                <w:lang w:eastAsia="es-CR"/>
              </w:rPr>
            </w:pPr>
            <w:r w:rsidRPr="004E74A6">
              <w:rPr>
                <w:rFonts w:cs="Calibri"/>
                <w:color w:val="000000"/>
                <w:sz w:val="20"/>
              </w:rPr>
              <w:t>1,3</w:t>
            </w:r>
          </w:p>
        </w:tc>
        <w:tc>
          <w:tcPr>
            <w:tcW w:w="1337" w:type="pct"/>
            <w:tcBorders>
              <w:top w:val="nil"/>
              <w:left w:val="single" w:sz="4" w:space="0" w:color="auto"/>
              <w:bottom w:val="nil"/>
              <w:right w:val="nil"/>
            </w:tcBorders>
            <w:shd w:val="clear" w:color="auto" w:fill="auto"/>
            <w:vAlign w:val="bottom"/>
          </w:tcPr>
          <w:p w14:paraId="5AE4E164" w14:textId="0D1C1C72" w:rsidR="00022B73" w:rsidRPr="004E74A6" w:rsidRDefault="00022B73" w:rsidP="00CE62C1">
            <w:pPr>
              <w:spacing w:line="276" w:lineRule="auto"/>
              <w:jc w:val="center"/>
              <w:rPr>
                <w:rFonts w:cs="Calibri"/>
                <w:color w:val="000000"/>
                <w:sz w:val="20"/>
              </w:rPr>
            </w:pPr>
            <w:r w:rsidRPr="004E74A6">
              <w:rPr>
                <w:rFonts w:cs="Calibri"/>
                <w:color w:val="000000"/>
                <w:sz w:val="20"/>
              </w:rPr>
              <w:t>81%</w:t>
            </w:r>
          </w:p>
        </w:tc>
      </w:tr>
      <w:tr w:rsidR="00022B73" w:rsidRPr="004E74A6" w14:paraId="08E73D1B" w14:textId="088EEB28" w:rsidTr="00022B73">
        <w:trPr>
          <w:trHeight w:val="288"/>
          <w:jc w:val="center"/>
        </w:trPr>
        <w:tc>
          <w:tcPr>
            <w:tcW w:w="1593" w:type="pct"/>
            <w:tcBorders>
              <w:top w:val="nil"/>
              <w:left w:val="nil"/>
              <w:bottom w:val="nil"/>
              <w:right w:val="single" w:sz="4" w:space="0" w:color="auto"/>
            </w:tcBorders>
            <w:shd w:val="clear" w:color="auto" w:fill="auto"/>
            <w:noWrap/>
            <w:vAlign w:val="bottom"/>
            <w:hideMark/>
          </w:tcPr>
          <w:p w14:paraId="2F72D163" w14:textId="77777777" w:rsidR="00022B73" w:rsidRPr="004E74A6" w:rsidRDefault="00022B73" w:rsidP="00CE62C1">
            <w:pPr>
              <w:spacing w:line="276" w:lineRule="auto"/>
              <w:jc w:val="left"/>
              <w:rPr>
                <w:rFonts w:cs="Calibri"/>
                <w:color w:val="000000"/>
                <w:sz w:val="20"/>
                <w:lang w:eastAsia="es-CR"/>
              </w:rPr>
            </w:pPr>
            <w:r w:rsidRPr="004E74A6">
              <w:rPr>
                <w:rFonts w:cs="Calibri"/>
                <w:color w:val="000000"/>
                <w:sz w:val="20"/>
                <w:lang w:eastAsia="es-CR"/>
              </w:rPr>
              <w:t>De ¢45.000.001 A ¢50.000.000</w:t>
            </w:r>
          </w:p>
        </w:tc>
        <w:tc>
          <w:tcPr>
            <w:tcW w:w="480" w:type="pct"/>
            <w:tcBorders>
              <w:top w:val="nil"/>
              <w:left w:val="single" w:sz="4" w:space="0" w:color="auto"/>
              <w:bottom w:val="nil"/>
              <w:right w:val="single" w:sz="4" w:space="0" w:color="auto"/>
            </w:tcBorders>
            <w:shd w:val="clear" w:color="auto" w:fill="auto"/>
            <w:noWrap/>
            <w:vAlign w:val="bottom"/>
            <w:hideMark/>
          </w:tcPr>
          <w:p w14:paraId="62D79EAD" w14:textId="039E3126" w:rsidR="00022B73" w:rsidRPr="004E74A6" w:rsidRDefault="00022B73" w:rsidP="00CE62C1">
            <w:pPr>
              <w:spacing w:line="276" w:lineRule="auto"/>
              <w:jc w:val="center"/>
              <w:rPr>
                <w:rFonts w:cs="Calibri"/>
                <w:color w:val="000000"/>
                <w:sz w:val="20"/>
                <w:lang w:eastAsia="es-CR"/>
              </w:rPr>
            </w:pPr>
            <w:r w:rsidRPr="004E74A6">
              <w:rPr>
                <w:rFonts w:cs="Calibri"/>
                <w:color w:val="000000"/>
                <w:sz w:val="20"/>
              </w:rPr>
              <w:t>1</w:t>
            </w:r>
          </w:p>
        </w:tc>
        <w:tc>
          <w:tcPr>
            <w:tcW w:w="480" w:type="pct"/>
            <w:tcBorders>
              <w:top w:val="nil"/>
              <w:left w:val="single" w:sz="4" w:space="0" w:color="auto"/>
              <w:bottom w:val="nil"/>
              <w:right w:val="single" w:sz="4" w:space="0" w:color="auto"/>
            </w:tcBorders>
            <w:shd w:val="clear" w:color="auto" w:fill="auto"/>
            <w:noWrap/>
            <w:vAlign w:val="bottom"/>
            <w:hideMark/>
          </w:tcPr>
          <w:p w14:paraId="04EF3947" w14:textId="5A067E45" w:rsidR="00022B73" w:rsidRPr="004E74A6" w:rsidRDefault="00022B73" w:rsidP="00CE62C1">
            <w:pPr>
              <w:spacing w:line="276" w:lineRule="auto"/>
              <w:jc w:val="center"/>
              <w:rPr>
                <w:rFonts w:cs="Calibri"/>
                <w:color w:val="000000"/>
                <w:sz w:val="20"/>
                <w:lang w:eastAsia="es-CR"/>
              </w:rPr>
            </w:pPr>
            <w:r w:rsidRPr="004E74A6">
              <w:rPr>
                <w:rFonts w:cs="Calibri"/>
                <w:color w:val="000000"/>
                <w:sz w:val="20"/>
              </w:rPr>
              <w:t>2</w:t>
            </w:r>
          </w:p>
        </w:tc>
        <w:tc>
          <w:tcPr>
            <w:tcW w:w="480" w:type="pct"/>
            <w:tcBorders>
              <w:top w:val="nil"/>
              <w:left w:val="single" w:sz="4" w:space="0" w:color="auto"/>
              <w:bottom w:val="nil"/>
              <w:right w:val="single" w:sz="4" w:space="0" w:color="auto"/>
            </w:tcBorders>
            <w:shd w:val="clear" w:color="auto" w:fill="auto"/>
            <w:noWrap/>
            <w:vAlign w:val="bottom"/>
            <w:hideMark/>
          </w:tcPr>
          <w:p w14:paraId="687517E1" w14:textId="618740AF" w:rsidR="00022B73" w:rsidRPr="004E74A6" w:rsidRDefault="00022B73" w:rsidP="00CE62C1">
            <w:pPr>
              <w:spacing w:line="276" w:lineRule="auto"/>
              <w:jc w:val="center"/>
              <w:rPr>
                <w:rFonts w:cs="Calibri"/>
                <w:color w:val="000000"/>
                <w:sz w:val="20"/>
                <w:lang w:eastAsia="es-CR"/>
              </w:rPr>
            </w:pPr>
            <w:r w:rsidRPr="004E74A6">
              <w:rPr>
                <w:rFonts w:cs="Calibri"/>
                <w:color w:val="000000"/>
                <w:sz w:val="20"/>
              </w:rPr>
              <w:t>1</w:t>
            </w:r>
          </w:p>
        </w:tc>
        <w:tc>
          <w:tcPr>
            <w:tcW w:w="631" w:type="pct"/>
            <w:tcBorders>
              <w:top w:val="nil"/>
              <w:left w:val="single" w:sz="4" w:space="0" w:color="auto"/>
              <w:bottom w:val="nil"/>
              <w:right w:val="nil"/>
            </w:tcBorders>
            <w:shd w:val="clear" w:color="auto" w:fill="auto"/>
            <w:noWrap/>
            <w:vAlign w:val="bottom"/>
            <w:hideMark/>
          </w:tcPr>
          <w:p w14:paraId="6F2210B1" w14:textId="7277FC57" w:rsidR="00022B73" w:rsidRPr="004E74A6" w:rsidRDefault="00022B73" w:rsidP="00CE62C1">
            <w:pPr>
              <w:spacing w:line="276" w:lineRule="auto"/>
              <w:jc w:val="center"/>
              <w:rPr>
                <w:rFonts w:cs="Calibri"/>
                <w:color w:val="000000"/>
                <w:sz w:val="20"/>
                <w:lang w:eastAsia="es-CR"/>
              </w:rPr>
            </w:pPr>
            <w:r w:rsidRPr="004E74A6">
              <w:rPr>
                <w:rFonts w:cs="Calibri"/>
                <w:color w:val="000000"/>
                <w:sz w:val="20"/>
              </w:rPr>
              <w:t>1,3</w:t>
            </w:r>
          </w:p>
        </w:tc>
        <w:tc>
          <w:tcPr>
            <w:tcW w:w="1337" w:type="pct"/>
            <w:tcBorders>
              <w:top w:val="nil"/>
              <w:left w:val="single" w:sz="4" w:space="0" w:color="auto"/>
              <w:bottom w:val="nil"/>
              <w:right w:val="nil"/>
            </w:tcBorders>
            <w:shd w:val="clear" w:color="auto" w:fill="auto"/>
            <w:vAlign w:val="bottom"/>
          </w:tcPr>
          <w:p w14:paraId="6DE007CA" w14:textId="0A7C01A2" w:rsidR="00022B73" w:rsidRPr="004E74A6" w:rsidRDefault="00022B73" w:rsidP="00CE62C1">
            <w:pPr>
              <w:spacing w:line="276" w:lineRule="auto"/>
              <w:jc w:val="center"/>
              <w:rPr>
                <w:rFonts w:cs="Calibri"/>
                <w:color w:val="000000"/>
                <w:sz w:val="20"/>
              </w:rPr>
            </w:pPr>
            <w:r w:rsidRPr="004E74A6">
              <w:rPr>
                <w:rFonts w:cs="Calibri"/>
                <w:color w:val="000000"/>
                <w:sz w:val="20"/>
              </w:rPr>
              <w:t>83%</w:t>
            </w:r>
          </w:p>
        </w:tc>
      </w:tr>
      <w:tr w:rsidR="00022B73" w:rsidRPr="004E74A6" w14:paraId="413DD67C" w14:textId="0FD57793" w:rsidTr="00022B73">
        <w:trPr>
          <w:trHeight w:val="288"/>
          <w:jc w:val="center"/>
        </w:trPr>
        <w:tc>
          <w:tcPr>
            <w:tcW w:w="1593" w:type="pct"/>
            <w:tcBorders>
              <w:top w:val="nil"/>
              <w:left w:val="nil"/>
              <w:bottom w:val="nil"/>
              <w:right w:val="single" w:sz="4" w:space="0" w:color="auto"/>
            </w:tcBorders>
            <w:shd w:val="clear" w:color="auto" w:fill="auto"/>
            <w:noWrap/>
            <w:vAlign w:val="bottom"/>
            <w:hideMark/>
          </w:tcPr>
          <w:p w14:paraId="2A1FF061" w14:textId="77777777" w:rsidR="00022B73" w:rsidRPr="004E74A6" w:rsidRDefault="00022B73" w:rsidP="00CE62C1">
            <w:pPr>
              <w:spacing w:line="276" w:lineRule="auto"/>
              <w:jc w:val="left"/>
              <w:rPr>
                <w:rFonts w:cs="Calibri"/>
                <w:color w:val="000000"/>
                <w:sz w:val="20"/>
                <w:lang w:eastAsia="es-CR"/>
              </w:rPr>
            </w:pPr>
            <w:r w:rsidRPr="004E74A6">
              <w:rPr>
                <w:rFonts w:cs="Calibri"/>
                <w:color w:val="000000"/>
                <w:sz w:val="20"/>
                <w:lang w:eastAsia="es-CR"/>
              </w:rPr>
              <w:t>De ¢55.000.001 A ¢60.000.000</w:t>
            </w:r>
          </w:p>
        </w:tc>
        <w:tc>
          <w:tcPr>
            <w:tcW w:w="480" w:type="pct"/>
            <w:tcBorders>
              <w:top w:val="nil"/>
              <w:left w:val="single" w:sz="4" w:space="0" w:color="auto"/>
              <w:bottom w:val="nil"/>
              <w:right w:val="single" w:sz="4" w:space="0" w:color="auto"/>
            </w:tcBorders>
            <w:shd w:val="clear" w:color="auto" w:fill="auto"/>
            <w:noWrap/>
            <w:vAlign w:val="bottom"/>
            <w:hideMark/>
          </w:tcPr>
          <w:p w14:paraId="26557C3A" w14:textId="00189417" w:rsidR="00022B73" w:rsidRPr="004E74A6" w:rsidRDefault="00022B73" w:rsidP="00CE62C1">
            <w:pPr>
              <w:spacing w:line="276" w:lineRule="auto"/>
              <w:jc w:val="center"/>
              <w:rPr>
                <w:rFonts w:cs="Calibri"/>
                <w:color w:val="000000"/>
                <w:sz w:val="20"/>
                <w:lang w:eastAsia="es-CR"/>
              </w:rPr>
            </w:pPr>
            <w:r w:rsidRPr="004E74A6">
              <w:rPr>
                <w:rFonts w:cs="Calibri"/>
                <w:color w:val="000000"/>
                <w:sz w:val="20"/>
              </w:rPr>
              <w:t>0</w:t>
            </w:r>
          </w:p>
        </w:tc>
        <w:tc>
          <w:tcPr>
            <w:tcW w:w="480" w:type="pct"/>
            <w:tcBorders>
              <w:top w:val="nil"/>
              <w:left w:val="single" w:sz="4" w:space="0" w:color="auto"/>
              <w:bottom w:val="nil"/>
              <w:right w:val="single" w:sz="4" w:space="0" w:color="auto"/>
            </w:tcBorders>
            <w:shd w:val="clear" w:color="auto" w:fill="auto"/>
            <w:noWrap/>
            <w:vAlign w:val="bottom"/>
            <w:hideMark/>
          </w:tcPr>
          <w:p w14:paraId="388B7F62" w14:textId="77D97BEA" w:rsidR="00022B73" w:rsidRPr="004E74A6" w:rsidRDefault="00022B73" w:rsidP="00CE62C1">
            <w:pPr>
              <w:spacing w:line="276" w:lineRule="auto"/>
              <w:jc w:val="center"/>
              <w:rPr>
                <w:rFonts w:cs="Calibri"/>
                <w:color w:val="000000"/>
                <w:sz w:val="20"/>
                <w:lang w:eastAsia="es-CR"/>
              </w:rPr>
            </w:pPr>
            <w:r w:rsidRPr="004E74A6">
              <w:rPr>
                <w:rFonts w:cs="Calibri"/>
                <w:color w:val="000000"/>
                <w:sz w:val="20"/>
              </w:rPr>
              <w:t>1</w:t>
            </w:r>
          </w:p>
        </w:tc>
        <w:tc>
          <w:tcPr>
            <w:tcW w:w="480" w:type="pct"/>
            <w:tcBorders>
              <w:top w:val="nil"/>
              <w:left w:val="single" w:sz="4" w:space="0" w:color="auto"/>
              <w:bottom w:val="nil"/>
              <w:right w:val="single" w:sz="4" w:space="0" w:color="auto"/>
            </w:tcBorders>
            <w:shd w:val="clear" w:color="auto" w:fill="auto"/>
            <w:noWrap/>
            <w:vAlign w:val="bottom"/>
            <w:hideMark/>
          </w:tcPr>
          <w:p w14:paraId="5AA2A2EC" w14:textId="0BA4B4C0" w:rsidR="00022B73" w:rsidRPr="004E74A6" w:rsidRDefault="00022B73" w:rsidP="00CE62C1">
            <w:pPr>
              <w:spacing w:line="276" w:lineRule="auto"/>
              <w:jc w:val="center"/>
              <w:rPr>
                <w:rFonts w:cs="Calibri"/>
                <w:color w:val="000000"/>
                <w:sz w:val="20"/>
                <w:lang w:eastAsia="es-CR"/>
              </w:rPr>
            </w:pPr>
            <w:r w:rsidRPr="004E74A6">
              <w:rPr>
                <w:rFonts w:cs="Calibri"/>
                <w:color w:val="000000"/>
                <w:sz w:val="20"/>
              </w:rPr>
              <w:t>1</w:t>
            </w:r>
          </w:p>
        </w:tc>
        <w:tc>
          <w:tcPr>
            <w:tcW w:w="631" w:type="pct"/>
            <w:tcBorders>
              <w:top w:val="nil"/>
              <w:left w:val="single" w:sz="4" w:space="0" w:color="auto"/>
              <w:bottom w:val="nil"/>
              <w:right w:val="nil"/>
            </w:tcBorders>
            <w:shd w:val="clear" w:color="auto" w:fill="auto"/>
            <w:noWrap/>
            <w:vAlign w:val="bottom"/>
            <w:hideMark/>
          </w:tcPr>
          <w:p w14:paraId="2C512D26" w14:textId="2829E493" w:rsidR="00022B73" w:rsidRPr="004E74A6" w:rsidRDefault="00022B73" w:rsidP="00CE62C1">
            <w:pPr>
              <w:spacing w:line="276" w:lineRule="auto"/>
              <w:jc w:val="center"/>
              <w:rPr>
                <w:rFonts w:cs="Calibri"/>
                <w:color w:val="000000"/>
                <w:sz w:val="20"/>
                <w:lang w:eastAsia="es-CR"/>
              </w:rPr>
            </w:pPr>
            <w:r w:rsidRPr="004E74A6">
              <w:rPr>
                <w:rFonts w:cs="Calibri"/>
                <w:color w:val="000000"/>
                <w:sz w:val="20"/>
              </w:rPr>
              <w:t>0,7</w:t>
            </w:r>
          </w:p>
        </w:tc>
        <w:tc>
          <w:tcPr>
            <w:tcW w:w="1337" w:type="pct"/>
            <w:tcBorders>
              <w:top w:val="nil"/>
              <w:left w:val="single" w:sz="4" w:space="0" w:color="auto"/>
              <w:bottom w:val="nil"/>
              <w:right w:val="nil"/>
            </w:tcBorders>
            <w:shd w:val="clear" w:color="auto" w:fill="auto"/>
            <w:vAlign w:val="bottom"/>
          </w:tcPr>
          <w:p w14:paraId="0B58EED7" w14:textId="52574A84" w:rsidR="00022B73" w:rsidRPr="004E74A6" w:rsidRDefault="00022B73" w:rsidP="00CE62C1">
            <w:pPr>
              <w:spacing w:line="276" w:lineRule="auto"/>
              <w:jc w:val="center"/>
              <w:rPr>
                <w:rFonts w:cs="Calibri"/>
                <w:color w:val="000000"/>
                <w:sz w:val="20"/>
              </w:rPr>
            </w:pPr>
            <w:r w:rsidRPr="004E74A6">
              <w:rPr>
                <w:rFonts w:cs="Calibri"/>
                <w:color w:val="000000"/>
                <w:sz w:val="20"/>
              </w:rPr>
              <w:t>84%</w:t>
            </w:r>
          </w:p>
        </w:tc>
      </w:tr>
      <w:tr w:rsidR="00022B73" w:rsidRPr="004E74A6" w14:paraId="3C0B8F2B" w14:textId="0D6F5E03" w:rsidTr="00022B73">
        <w:trPr>
          <w:trHeight w:val="288"/>
          <w:jc w:val="center"/>
        </w:trPr>
        <w:tc>
          <w:tcPr>
            <w:tcW w:w="1593" w:type="pct"/>
            <w:tcBorders>
              <w:top w:val="nil"/>
              <w:left w:val="nil"/>
              <w:bottom w:val="nil"/>
              <w:right w:val="single" w:sz="4" w:space="0" w:color="auto"/>
            </w:tcBorders>
            <w:shd w:val="clear" w:color="auto" w:fill="auto"/>
            <w:noWrap/>
            <w:vAlign w:val="bottom"/>
            <w:hideMark/>
          </w:tcPr>
          <w:p w14:paraId="7C5A180D" w14:textId="77777777" w:rsidR="00022B73" w:rsidRPr="004E74A6" w:rsidRDefault="00022B73" w:rsidP="00CE62C1">
            <w:pPr>
              <w:spacing w:line="276" w:lineRule="auto"/>
              <w:jc w:val="left"/>
              <w:rPr>
                <w:rFonts w:cs="Calibri"/>
                <w:color w:val="000000"/>
                <w:sz w:val="20"/>
                <w:lang w:eastAsia="es-CR"/>
              </w:rPr>
            </w:pPr>
            <w:r w:rsidRPr="004E74A6">
              <w:rPr>
                <w:rFonts w:cs="Calibri"/>
                <w:color w:val="000000"/>
                <w:sz w:val="20"/>
                <w:lang w:eastAsia="es-CR"/>
              </w:rPr>
              <w:t>De ¢60.000.001 A ¢65.000.000</w:t>
            </w:r>
          </w:p>
        </w:tc>
        <w:tc>
          <w:tcPr>
            <w:tcW w:w="480" w:type="pct"/>
            <w:tcBorders>
              <w:top w:val="nil"/>
              <w:left w:val="single" w:sz="4" w:space="0" w:color="auto"/>
              <w:bottom w:val="nil"/>
              <w:right w:val="single" w:sz="4" w:space="0" w:color="auto"/>
            </w:tcBorders>
            <w:shd w:val="clear" w:color="auto" w:fill="auto"/>
            <w:noWrap/>
            <w:vAlign w:val="bottom"/>
            <w:hideMark/>
          </w:tcPr>
          <w:p w14:paraId="2759B617" w14:textId="6A32A667" w:rsidR="00022B73" w:rsidRPr="004E74A6" w:rsidRDefault="00022B73" w:rsidP="00CE62C1">
            <w:pPr>
              <w:spacing w:line="276" w:lineRule="auto"/>
              <w:jc w:val="center"/>
              <w:rPr>
                <w:rFonts w:cs="Calibri"/>
                <w:color w:val="000000"/>
                <w:sz w:val="20"/>
                <w:lang w:eastAsia="es-CR"/>
              </w:rPr>
            </w:pPr>
            <w:r w:rsidRPr="004E74A6">
              <w:rPr>
                <w:rFonts w:cs="Calibri"/>
                <w:color w:val="000000"/>
                <w:sz w:val="20"/>
              </w:rPr>
              <w:t>0</w:t>
            </w:r>
          </w:p>
        </w:tc>
        <w:tc>
          <w:tcPr>
            <w:tcW w:w="480" w:type="pct"/>
            <w:tcBorders>
              <w:top w:val="nil"/>
              <w:left w:val="single" w:sz="4" w:space="0" w:color="auto"/>
              <w:bottom w:val="nil"/>
              <w:right w:val="single" w:sz="4" w:space="0" w:color="auto"/>
            </w:tcBorders>
            <w:shd w:val="clear" w:color="auto" w:fill="auto"/>
            <w:noWrap/>
            <w:vAlign w:val="bottom"/>
            <w:hideMark/>
          </w:tcPr>
          <w:p w14:paraId="37AB6480" w14:textId="3426B6CE" w:rsidR="00022B73" w:rsidRPr="004E74A6" w:rsidRDefault="00022B73" w:rsidP="00CE62C1">
            <w:pPr>
              <w:spacing w:line="276" w:lineRule="auto"/>
              <w:jc w:val="center"/>
              <w:rPr>
                <w:sz w:val="20"/>
                <w:lang w:eastAsia="es-CR"/>
              </w:rPr>
            </w:pPr>
            <w:r w:rsidRPr="004E74A6">
              <w:rPr>
                <w:rFonts w:cs="Calibri"/>
                <w:color w:val="000000"/>
                <w:sz w:val="20"/>
              </w:rPr>
              <w:t>0</w:t>
            </w:r>
          </w:p>
        </w:tc>
        <w:tc>
          <w:tcPr>
            <w:tcW w:w="480" w:type="pct"/>
            <w:tcBorders>
              <w:top w:val="nil"/>
              <w:left w:val="single" w:sz="4" w:space="0" w:color="auto"/>
              <w:bottom w:val="nil"/>
              <w:right w:val="single" w:sz="4" w:space="0" w:color="auto"/>
            </w:tcBorders>
            <w:shd w:val="clear" w:color="auto" w:fill="auto"/>
            <w:noWrap/>
            <w:vAlign w:val="bottom"/>
            <w:hideMark/>
          </w:tcPr>
          <w:p w14:paraId="453B5BAA" w14:textId="43D72DAA" w:rsidR="00022B73" w:rsidRPr="004E74A6" w:rsidRDefault="00022B73" w:rsidP="00CE62C1">
            <w:pPr>
              <w:spacing w:line="276" w:lineRule="auto"/>
              <w:jc w:val="center"/>
              <w:rPr>
                <w:rFonts w:cs="Calibri"/>
                <w:color w:val="000000"/>
                <w:sz w:val="20"/>
                <w:lang w:eastAsia="es-CR"/>
              </w:rPr>
            </w:pPr>
            <w:r w:rsidRPr="004E74A6">
              <w:rPr>
                <w:rFonts w:cs="Calibri"/>
                <w:color w:val="000000"/>
                <w:sz w:val="20"/>
              </w:rPr>
              <w:t>1</w:t>
            </w:r>
          </w:p>
        </w:tc>
        <w:tc>
          <w:tcPr>
            <w:tcW w:w="631" w:type="pct"/>
            <w:tcBorders>
              <w:top w:val="nil"/>
              <w:left w:val="single" w:sz="4" w:space="0" w:color="auto"/>
              <w:bottom w:val="nil"/>
              <w:right w:val="nil"/>
            </w:tcBorders>
            <w:shd w:val="clear" w:color="auto" w:fill="auto"/>
            <w:noWrap/>
            <w:vAlign w:val="bottom"/>
            <w:hideMark/>
          </w:tcPr>
          <w:p w14:paraId="11386872" w14:textId="5A7387ED" w:rsidR="00022B73" w:rsidRPr="004E74A6" w:rsidRDefault="00022B73" w:rsidP="00CE62C1">
            <w:pPr>
              <w:spacing w:line="276" w:lineRule="auto"/>
              <w:jc w:val="center"/>
              <w:rPr>
                <w:rFonts w:cs="Calibri"/>
                <w:color w:val="000000"/>
                <w:sz w:val="20"/>
                <w:lang w:eastAsia="es-CR"/>
              </w:rPr>
            </w:pPr>
            <w:r w:rsidRPr="004E74A6">
              <w:rPr>
                <w:rFonts w:cs="Calibri"/>
                <w:color w:val="000000"/>
                <w:sz w:val="20"/>
              </w:rPr>
              <w:t>0,3</w:t>
            </w:r>
          </w:p>
        </w:tc>
        <w:tc>
          <w:tcPr>
            <w:tcW w:w="1337" w:type="pct"/>
            <w:tcBorders>
              <w:top w:val="nil"/>
              <w:left w:val="single" w:sz="4" w:space="0" w:color="auto"/>
              <w:bottom w:val="nil"/>
              <w:right w:val="nil"/>
            </w:tcBorders>
            <w:shd w:val="clear" w:color="auto" w:fill="auto"/>
            <w:vAlign w:val="bottom"/>
          </w:tcPr>
          <w:p w14:paraId="04765D94" w14:textId="79D2794D" w:rsidR="00022B73" w:rsidRPr="004E74A6" w:rsidRDefault="00022B73" w:rsidP="00CE62C1">
            <w:pPr>
              <w:spacing w:line="276" w:lineRule="auto"/>
              <w:jc w:val="center"/>
              <w:rPr>
                <w:rFonts w:cs="Calibri"/>
                <w:color w:val="000000"/>
                <w:sz w:val="20"/>
              </w:rPr>
            </w:pPr>
            <w:r w:rsidRPr="004E74A6">
              <w:rPr>
                <w:rFonts w:cs="Calibri"/>
                <w:color w:val="000000"/>
                <w:sz w:val="20"/>
              </w:rPr>
              <w:t>84%</w:t>
            </w:r>
          </w:p>
        </w:tc>
      </w:tr>
      <w:tr w:rsidR="00022B73" w:rsidRPr="004E74A6" w14:paraId="56442AF5" w14:textId="2C7C2076" w:rsidTr="00022B73">
        <w:trPr>
          <w:trHeight w:val="288"/>
          <w:jc w:val="center"/>
        </w:trPr>
        <w:tc>
          <w:tcPr>
            <w:tcW w:w="1593" w:type="pct"/>
            <w:tcBorders>
              <w:top w:val="nil"/>
              <w:left w:val="nil"/>
              <w:bottom w:val="nil"/>
              <w:right w:val="single" w:sz="4" w:space="0" w:color="auto"/>
            </w:tcBorders>
            <w:shd w:val="clear" w:color="auto" w:fill="auto"/>
            <w:noWrap/>
            <w:vAlign w:val="bottom"/>
            <w:hideMark/>
          </w:tcPr>
          <w:p w14:paraId="22802F7A" w14:textId="77777777" w:rsidR="00022B73" w:rsidRPr="004E74A6" w:rsidRDefault="00022B73" w:rsidP="00CE62C1">
            <w:pPr>
              <w:spacing w:line="276" w:lineRule="auto"/>
              <w:jc w:val="left"/>
              <w:rPr>
                <w:rFonts w:cs="Calibri"/>
                <w:color w:val="000000"/>
                <w:sz w:val="20"/>
                <w:lang w:eastAsia="es-CR"/>
              </w:rPr>
            </w:pPr>
            <w:r w:rsidRPr="004E74A6">
              <w:rPr>
                <w:rFonts w:cs="Calibri"/>
                <w:color w:val="000000"/>
                <w:sz w:val="20"/>
                <w:lang w:eastAsia="es-CR"/>
              </w:rPr>
              <w:t>De ¢65.000.001 A ¢70.000.000</w:t>
            </w:r>
          </w:p>
        </w:tc>
        <w:tc>
          <w:tcPr>
            <w:tcW w:w="480" w:type="pct"/>
            <w:tcBorders>
              <w:top w:val="nil"/>
              <w:left w:val="single" w:sz="4" w:space="0" w:color="auto"/>
              <w:bottom w:val="nil"/>
              <w:right w:val="single" w:sz="4" w:space="0" w:color="auto"/>
            </w:tcBorders>
            <w:shd w:val="clear" w:color="auto" w:fill="auto"/>
            <w:noWrap/>
            <w:vAlign w:val="bottom"/>
            <w:hideMark/>
          </w:tcPr>
          <w:p w14:paraId="2AAA2068" w14:textId="34E76EB8" w:rsidR="00022B73" w:rsidRPr="004E74A6" w:rsidRDefault="00022B73" w:rsidP="00CE62C1">
            <w:pPr>
              <w:spacing w:line="276" w:lineRule="auto"/>
              <w:jc w:val="center"/>
              <w:rPr>
                <w:rFonts w:cs="Calibri"/>
                <w:color w:val="000000"/>
                <w:sz w:val="20"/>
                <w:lang w:eastAsia="es-CR"/>
              </w:rPr>
            </w:pPr>
            <w:r w:rsidRPr="004E74A6">
              <w:rPr>
                <w:rFonts w:cs="Calibri"/>
                <w:color w:val="000000"/>
                <w:sz w:val="20"/>
              </w:rPr>
              <w:t>1</w:t>
            </w:r>
          </w:p>
        </w:tc>
        <w:tc>
          <w:tcPr>
            <w:tcW w:w="480" w:type="pct"/>
            <w:tcBorders>
              <w:top w:val="nil"/>
              <w:left w:val="single" w:sz="4" w:space="0" w:color="auto"/>
              <w:bottom w:val="nil"/>
              <w:right w:val="single" w:sz="4" w:space="0" w:color="auto"/>
            </w:tcBorders>
            <w:shd w:val="clear" w:color="auto" w:fill="auto"/>
            <w:noWrap/>
            <w:vAlign w:val="bottom"/>
            <w:hideMark/>
          </w:tcPr>
          <w:p w14:paraId="5BA9FB63" w14:textId="6EA77DD1" w:rsidR="00022B73" w:rsidRPr="004E74A6" w:rsidRDefault="00022B73" w:rsidP="00CE62C1">
            <w:pPr>
              <w:spacing w:line="276" w:lineRule="auto"/>
              <w:jc w:val="center"/>
              <w:rPr>
                <w:rFonts w:cs="Calibri"/>
                <w:color w:val="000000"/>
                <w:sz w:val="20"/>
                <w:lang w:eastAsia="es-CR"/>
              </w:rPr>
            </w:pPr>
            <w:r w:rsidRPr="004E74A6">
              <w:rPr>
                <w:rFonts w:cs="Calibri"/>
                <w:color w:val="000000"/>
                <w:sz w:val="20"/>
              </w:rPr>
              <w:t>1</w:t>
            </w:r>
          </w:p>
        </w:tc>
        <w:tc>
          <w:tcPr>
            <w:tcW w:w="480" w:type="pct"/>
            <w:tcBorders>
              <w:top w:val="nil"/>
              <w:left w:val="single" w:sz="4" w:space="0" w:color="auto"/>
              <w:bottom w:val="nil"/>
              <w:right w:val="single" w:sz="4" w:space="0" w:color="auto"/>
            </w:tcBorders>
            <w:shd w:val="clear" w:color="auto" w:fill="auto"/>
            <w:noWrap/>
            <w:vAlign w:val="bottom"/>
            <w:hideMark/>
          </w:tcPr>
          <w:p w14:paraId="231DFB5B" w14:textId="56AC5A91" w:rsidR="00022B73" w:rsidRPr="004E74A6" w:rsidRDefault="00022B73" w:rsidP="00CE62C1">
            <w:pPr>
              <w:spacing w:line="276" w:lineRule="auto"/>
              <w:jc w:val="center"/>
              <w:rPr>
                <w:rFonts w:cs="Calibri"/>
                <w:color w:val="000000"/>
                <w:sz w:val="20"/>
                <w:lang w:eastAsia="es-CR"/>
              </w:rPr>
            </w:pPr>
            <w:r w:rsidRPr="004E74A6">
              <w:rPr>
                <w:rFonts w:cs="Calibri"/>
                <w:color w:val="000000"/>
                <w:sz w:val="20"/>
              </w:rPr>
              <w:t>1</w:t>
            </w:r>
          </w:p>
        </w:tc>
        <w:tc>
          <w:tcPr>
            <w:tcW w:w="631" w:type="pct"/>
            <w:tcBorders>
              <w:top w:val="nil"/>
              <w:left w:val="single" w:sz="4" w:space="0" w:color="auto"/>
              <w:bottom w:val="nil"/>
              <w:right w:val="nil"/>
            </w:tcBorders>
            <w:shd w:val="clear" w:color="auto" w:fill="auto"/>
            <w:noWrap/>
            <w:vAlign w:val="bottom"/>
            <w:hideMark/>
          </w:tcPr>
          <w:p w14:paraId="5040853C" w14:textId="0BE596B0" w:rsidR="00022B73" w:rsidRPr="004E74A6" w:rsidRDefault="00022B73" w:rsidP="00CE62C1">
            <w:pPr>
              <w:spacing w:line="276" w:lineRule="auto"/>
              <w:jc w:val="center"/>
              <w:rPr>
                <w:rFonts w:cs="Calibri"/>
                <w:color w:val="000000"/>
                <w:sz w:val="20"/>
                <w:lang w:eastAsia="es-CR"/>
              </w:rPr>
            </w:pPr>
            <w:r w:rsidRPr="004E74A6">
              <w:rPr>
                <w:rFonts w:cs="Calibri"/>
                <w:color w:val="000000"/>
                <w:sz w:val="20"/>
              </w:rPr>
              <w:t>1,0</w:t>
            </w:r>
          </w:p>
        </w:tc>
        <w:tc>
          <w:tcPr>
            <w:tcW w:w="1337" w:type="pct"/>
            <w:tcBorders>
              <w:top w:val="nil"/>
              <w:left w:val="single" w:sz="4" w:space="0" w:color="auto"/>
              <w:bottom w:val="nil"/>
              <w:right w:val="nil"/>
            </w:tcBorders>
            <w:shd w:val="clear" w:color="auto" w:fill="auto"/>
            <w:vAlign w:val="bottom"/>
          </w:tcPr>
          <w:p w14:paraId="30F620EA" w14:textId="1A846687" w:rsidR="00022B73" w:rsidRPr="004E74A6" w:rsidRDefault="00022B73" w:rsidP="00CE62C1">
            <w:pPr>
              <w:spacing w:line="276" w:lineRule="auto"/>
              <w:jc w:val="center"/>
              <w:rPr>
                <w:rFonts w:cs="Calibri"/>
                <w:color w:val="000000"/>
                <w:sz w:val="20"/>
              </w:rPr>
            </w:pPr>
            <w:r w:rsidRPr="004E74A6">
              <w:rPr>
                <w:rFonts w:cs="Calibri"/>
                <w:color w:val="000000"/>
                <w:sz w:val="20"/>
              </w:rPr>
              <w:t>86%</w:t>
            </w:r>
          </w:p>
        </w:tc>
      </w:tr>
      <w:tr w:rsidR="00022B73" w:rsidRPr="004E74A6" w14:paraId="61B1B506" w14:textId="4CF7DA1F" w:rsidTr="00022B73">
        <w:trPr>
          <w:trHeight w:val="288"/>
          <w:jc w:val="center"/>
        </w:trPr>
        <w:tc>
          <w:tcPr>
            <w:tcW w:w="1593" w:type="pct"/>
            <w:tcBorders>
              <w:top w:val="nil"/>
              <w:left w:val="nil"/>
              <w:bottom w:val="nil"/>
              <w:right w:val="single" w:sz="4" w:space="0" w:color="auto"/>
            </w:tcBorders>
            <w:shd w:val="clear" w:color="auto" w:fill="auto"/>
            <w:noWrap/>
            <w:vAlign w:val="bottom"/>
            <w:hideMark/>
          </w:tcPr>
          <w:p w14:paraId="1030E2E1" w14:textId="77777777" w:rsidR="00022B73" w:rsidRPr="004E74A6" w:rsidRDefault="00022B73" w:rsidP="00CE62C1">
            <w:pPr>
              <w:spacing w:line="276" w:lineRule="auto"/>
              <w:jc w:val="left"/>
              <w:rPr>
                <w:rFonts w:cs="Calibri"/>
                <w:color w:val="000000"/>
                <w:sz w:val="20"/>
                <w:lang w:eastAsia="es-CR"/>
              </w:rPr>
            </w:pPr>
            <w:r w:rsidRPr="004E74A6">
              <w:rPr>
                <w:rFonts w:cs="Calibri"/>
                <w:color w:val="000000"/>
                <w:sz w:val="20"/>
                <w:lang w:eastAsia="es-CR"/>
              </w:rPr>
              <w:t>De ¢75.000.001 A ¢80.000.000</w:t>
            </w:r>
          </w:p>
        </w:tc>
        <w:tc>
          <w:tcPr>
            <w:tcW w:w="480" w:type="pct"/>
            <w:tcBorders>
              <w:top w:val="nil"/>
              <w:left w:val="single" w:sz="4" w:space="0" w:color="auto"/>
              <w:bottom w:val="nil"/>
              <w:right w:val="single" w:sz="4" w:space="0" w:color="auto"/>
            </w:tcBorders>
            <w:shd w:val="clear" w:color="auto" w:fill="auto"/>
            <w:noWrap/>
            <w:vAlign w:val="bottom"/>
            <w:hideMark/>
          </w:tcPr>
          <w:p w14:paraId="3E7C9E77" w14:textId="01D28E32" w:rsidR="00022B73" w:rsidRPr="004E74A6" w:rsidRDefault="00022B73" w:rsidP="00CE62C1">
            <w:pPr>
              <w:spacing w:line="276" w:lineRule="auto"/>
              <w:jc w:val="center"/>
              <w:rPr>
                <w:rFonts w:cs="Calibri"/>
                <w:color w:val="000000"/>
                <w:sz w:val="20"/>
                <w:lang w:eastAsia="es-CR"/>
              </w:rPr>
            </w:pPr>
            <w:r w:rsidRPr="004E74A6">
              <w:rPr>
                <w:rFonts w:cs="Calibri"/>
                <w:color w:val="000000"/>
                <w:sz w:val="20"/>
              </w:rPr>
              <w:t>0</w:t>
            </w:r>
          </w:p>
        </w:tc>
        <w:tc>
          <w:tcPr>
            <w:tcW w:w="480" w:type="pct"/>
            <w:tcBorders>
              <w:top w:val="nil"/>
              <w:left w:val="single" w:sz="4" w:space="0" w:color="auto"/>
              <w:bottom w:val="nil"/>
              <w:right w:val="single" w:sz="4" w:space="0" w:color="auto"/>
            </w:tcBorders>
            <w:shd w:val="clear" w:color="auto" w:fill="auto"/>
            <w:noWrap/>
            <w:vAlign w:val="bottom"/>
            <w:hideMark/>
          </w:tcPr>
          <w:p w14:paraId="4DD81512" w14:textId="43C631CE" w:rsidR="00022B73" w:rsidRPr="004E74A6" w:rsidRDefault="00022B73" w:rsidP="00CE62C1">
            <w:pPr>
              <w:spacing w:line="276" w:lineRule="auto"/>
              <w:jc w:val="center"/>
              <w:rPr>
                <w:rFonts w:cs="Calibri"/>
                <w:color w:val="000000"/>
                <w:sz w:val="20"/>
                <w:lang w:eastAsia="es-CR"/>
              </w:rPr>
            </w:pPr>
            <w:r w:rsidRPr="004E74A6">
              <w:rPr>
                <w:rFonts w:cs="Calibri"/>
                <w:color w:val="000000"/>
                <w:sz w:val="20"/>
              </w:rPr>
              <w:t>1</w:t>
            </w:r>
          </w:p>
        </w:tc>
        <w:tc>
          <w:tcPr>
            <w:tcW w:w="480" w:type="pct"/>
            <w:tcBorders>
              <w:top w:val="nil"/>
              <w:left w:val="single" w:sz="4" w:space="0" w:color="auto"/>
              <w:bottom w:val="nil"/>
              <w:right w:val="single" w:sz="4" w:space="0" w:color="auto"/>
            </w:tcBorders>
            <w:shd w:val="clear" w:color="auto" w:fill="auto"/>
            <w:noWrap/>
            <w:vAlign w:val="bottom"/>
            <w:hideMark/>
          </w:tcPr>
          <w:p w14:paraId="75AD2535" w14:textId="0E6C9BA9" w:rsidR="00022B73" w:rsidRPr="004E74A6" w:rsidRDefault="00022B73" w:rsidP="00CE62C1">
            <w:pPr>
              <w:spacing w:line="276" w:lineRule="auto"/>
              <w:jc w:val="center"/>
              <w:rPr>
                <w:rFonts w:cs="Calibri"/>
                <w:color w:val="000000"/>
                <w:sz w:val="20"/>
                <w:lang w:eastAsia="es-CR"/>
              </w:rPr>
            </w:pPr>
            <w:r w:rsidRPr="004E74A6">
              <w:rPr>
                <w:rFonts w:cs="Calibri"/>
                <w:color w:val="000000"/>
                <w:sz w:val="20"/>
              </w:rPr>
              <w:t>1</w:t>
            </w:r>
          </w:p>
        </w:tc>
        <w:tc>
          <w:tcPr>
            <w:tcW w:w="631" w:type="pct"/>
            <w:tcBorders>
              <w:top w:val="nil"/>
              <w:left w:val="single" w:sz="4" w:space="0" w:color="auto"/>
              <w:bottom w:val="nil"/>
              <w:right w:val="nil"/>
            </w:tcBorders>
            <w:shd w:val="clear" w:color="auto" w:fill="auto"/>
            <w:noWrap/>
            <w:vAlign w:val="bottom"/>
            <w:hideMark/>
          </w:tcPr>
          <w:p w14:paraId="0E796203" w14:textId="41DF5178" w:rsidR="00022B73" w:rsidRPr="004E74A6" w:rsidRDefault="00022B73" w:rsidP="00CE62C1">
            <w:pPr>
              <w:spacing w:line="276" w:lineRule="auto"/>
              <w:jc w:val="center"/>
              <w:rPr>
                <w:rFonts w:cs="Calibri"/>
                <w:color w:val="000000"/>
                <w:sz w:val="20"/>
                <w:lang w:eastAsia="es-CR"/>
              </w:rPr>
            </w:pPr>
            <w:r w:rsidRPr="004E74A6">
              <w:rPr>
                <w:rFonts w:cs="Calibri"/>
                <w:color w:val="000000"/>
                <w:sz w:val="20"/>
              </w:rPr>
              <w:t>0,7</w:t>
            </w:r>
          </w:p>
        </w:tc>
        <w:tc>
          <w:tcPr>
            <w:tcW w:w="1337" w:type="pct"/>
            <w:tcBorders>
              <w:top w:val="nil"/>
              <w:left w:val="single" w:sz="4" w:space="0" w:color="auto"/>
              <w:bottom w:val="nil"/>
              <w:right w:val="nil"/>
            </w:tcBorders>
            <w:shd w:val="clear" w:color="auto" w:fill="auto"/>
            <w:vAlign w:val="bottom"/>
          </w:tcPr>
          <w:p w14:paraId="5B77BEF6" w14:textId="645DFDB7" w:rsidR="00022B73" w:rsidRPr="004E74A6" w:rsidRDefault="00022B73" w:rsidP="00CE62C1">
            <w:pPr>
              <w:spacing w:line="276" w:lineRule="auto"/>
              <w:jc w:val="center"/>
              <w:rPr>
                <w:rFonts w:cs="Calibri"/>
                <w:color w:val="000000"/>
                <w:sz w:val="20"/>
              </w:rPr>
            </w:pPr>
            <w:r w:rsidRPr="004E74A6">
              <w:rPr>
                <w:rFonts w:cs="Calibri"/>
                <w:color w:val="000000"/>
                <w:sz w:val="20"/>
              </w:rPr>
              <w:t>86%</w:t>
            </w:r>
          </w:p>
        </w:tc>
      </w:tr>
      <w:tr w:rsidR="00022B73" w:rsidRPr="004E74A6" w14:paraId="2110C8B7" w14:textId="3473F69F" w:rsidTr="00022B73">
        <w:trPr>
          <w:trHeight w:val="288"/>
          <w:jc w:val="center"/>
        </w:trPr>
        <w:tc>
          <w:tcPr>
            <w:tcW w:w="1593" w:type="pct"/>
            <w:tcBorders>
              <w:top w:val="nil"/>
              <w:left w:val="nil"/>
              <w:bottom w:val="nil"/>
              <w:right w:val="single" w:sz="4" w:space="0" w:color="auto"/>
            </w:tcBorders>
            <w:shd w:val="clear" w:color="auto" w:fill="auto"/>
            <w:noWrap/>
            <w:vAlign w:val="bottom"/>
            <w:hideMark/>
          </w:tcPr>
          <w:p w14:paraId="797AA043" w14:textId="77777777" w:rsidR="00022B73" w:rsidRPr="004E74A6" w:rsidRDefault="00022B73" w:rsidP="00CE62C1">
            <w:pPr>
              <w:spacing w:line="276" w:lineRule="auto"/>
              <w:jc w:val="left"/>
              <w:rPr>
                <w:rFonts w:cs="Calibri"/>
                <w:color w:val="000000"/>
                <w:sz w:val="20"/>
                <w:lang w:eastAsia="es-CR"/>
              </w:rPr>
            </w:pPr>
            <w:r w:rsidRPr="004E74A6">
              <w:rPr>
                <w:rFonts w:cs="Calibri"/>
                <w:color w:val="000000"/>
                <w:sz w:val="20"/>
                <w:lang w:eastAsia="es-CR"/>
              </w:rPr>
              <w:t>De ¢80.000.001 A ¢85.000.000</w:t>
            </w:r>
          </w:p>
        </w:tc>
        <w:tc>
          <w:tcPr>
            <w:tcW w:w="480" w:type="pct"/>
            <w:tcBorders>
              <w:top w:val="nil"/>
              <w:left w:val="single" w:sz="4" w:space="0" w:color="auto"/>
              <w:bottom w:val="nil"/>
              <w:right w:val="single" w:sz="4" w:space="0" w:color="auto"/>
            </w:tcBorders>
            <w:shd w:val="clear" w:color="auto" w:fill="auto"/>
            <w:noWrap/>
            <w:vAlign w:val="bottom"/>
            <w:hideMark/>
          </w:tcPr>
          <w:p w14:paraId="7063188F" w14:textId="2F4552C5" w:rsidR="00022B73" w:rsidRPr="004E74A6" w:rsidRDefault="00022B73" w:rsidP="00CE62C1">
            <w:pPr>
              <w:spacing w:line="276" w:lineRule="auto"/>
              <w:jc w:val="center"/>
              <w:rPr>
                <w:rFonts w:cs="Calibri"/>
                <w:color w:val="000000"/>
                <w:sz w:val="20"/>
                <w:lang w:eastAsia="es-CR"/>
              </w:rPr>
            </w:pPr>
            <w:r w:rsidRPr="004E74A6">
              <w:rPr>
                <w:rFonts w:cs="Calibri"/>
                <w:color w:val="000000"/>
                <w:sz w:val="20"/>
              </w:rPr>
              <w:t>0</w:t>
            </w:r>
          </w:p>
        </w:tc>
        <w:tc>
          <w:tcPr>
            <w:tcW w:w="480" w:type="pct"/>
            <w:tcBorders>
              <w:top w:val="nil"/>
              <w:left w:val="single" w:sz="4" w:space="0" w:color="auto"/>
              <w:bottom w:val="nil"/>
              <w:right w:val="single" w:sz="4" w:space="0" w:color="auto"/>
            </w:tcBorders>
            <w:shd w:val="clear" w:color="auto" w:fill="auto"/>
            <w:noWrap/>
            <w:vAlign w:val="bottom"/>
            <w:hideMark/>
          </w:tcPr>
          <w:p w14:paraId="24B20748" w14:textId="3908D531" w:rsidR="00022B73" w:rsidRPr="004E74A6" w:rsidRDefault="00022B73" w:rsidP="00CE62C1">
            <w:pPr>
              <w:spacing w:line="276" w:lineRule="auto"/>
              <w:jc w:val="center"/>
              <w:rPr>
                <w:rFonts w:cs="Calibri"/>
                <w:color w:val="000000"/>
                <w:sz w:val="20"/>
                <w:lang w:eastAsia="es-CR"/>
              </w:rPr>
            </w:pPr>
            <w:r w:rsidRPr="004E74A6">
              <w:rPr>
                <w:rFonts w:cs="Calibri"/>
                <w:color w:val="000000"/>
                <w:sz w:val="20"/>
              </w:rPr>
              <w:t>1</w:t>
            </w:r>
          </w:p>
        </w:tc>
        <w:tc>
          <w:tcPr>
            <w:tcW w:w="480" w:type="pct"/>
            <w:tcBorders>
              <w:top w:val="nil"/>
              <w:left w:val="single" w:sz="4" w:space="0" w:color="auto"/>
              <w:bottom w:val="nil"/>
              <w:right w:val="single" w:sz="4" w:space="0" w:color="auto"/>
            </w:tcBorders>
            <w:shd w:val="clear" w:color="auto" w:fill="auto"/>
            <w:noWrap/>
            <w:vAlign w:val="bottom"/>
            <w:hideMark/>
          </w:tcPr>
          <w:p w14:paraId="5CCE2D32" w14:textId="22E78BF9" w:rsidR="00022B73" w:rsidRPr="004E74A6" w:rsidRDefault="00022B73" w:rsidP="00CE62C1">
            <w:pPr>
              <w:spacing w:line="276" w:lineRule="auto"/>
              <w:jc w:val="center"/>
              <w:rPr>
                <w:rFonts w:cs="Calibri"/>
                <w:color w:val="000000"/>
                <w:sz w:val="20"/>
                <w:lang w:eastAsia="es-CR"/>
              </w:rPr>
            </w:pPr>
            <w:r w:rsidRPr="004E74A6">
              <w:rPr>
                <w:rFonts w:cs="Calibri"/>
                <w:color w:val="000000"/>
                <w:sz w:val="20"/>
              </w:rPr>
              <w:t>0</w:t>
            </w:r>
          </w:p>
        </w:tc>
        <w:tc>
          <w:tcPr>
            <w:tcW w:w="631" w:type="pct"/>
            <w:tcBorders>
              <w:top w:val="nil"/>
              <w:left w:val="single" w:sz="4" w:space="0" w:color="auto"/>
              <w:bottom w:val="nil"/>
              <w:right w:val="nil"/>
            </w:tcBorders>
            <w:shd w:val="clear" w:color="auto" w:fill="auto"/>
            <w:noWrap/>
            <w:vAlign w:val="bottom"/>
            <w:hideMark/>
          </w:tcPr>
          <w:p w14:paraId="6CA8C169" w14:textId="7ACAF35E" w:rsidR="00022B73" w:rsidRPr="004E74A6" w:rsidRDefault="00022B73" w:rsidP="00CE62C1">
            <w:pPr>
              <w:spacing w:line="276" w:lineRule="auto"/>
              <w:jc w:val="center"/>
              <w:rPr>
                <w:rFonts w:cs="Calibri"/>
                <w:color w:val="000000"/>
                <w:sz w:val="20"/>
                <w:lang w:eastAsia="es-CR"/>
              </w:rPr>
            </w:pPr>
            <w:r w:rsidRPr="004E74A6">
              <w:rPr>
                <w:rFonts w:cs="Calibri"/>
                <w:color w:val="000000"/>
                <w:sz w:val="20"/>
              </w:rPr>
              <w:t>0,3</w:t>
            </w:r>
          </w:p>
        </w:tc>
        <w:tc>
          <w:tcPr>
            <w:tcW w:w="1337" w:type="pct"/>
            <w:tcBorders>
              <w:top w:val="nil"/>
              <w:left w:val="single" w:sz="4" w:space="0" w:color="auto"/>
              <w:bottom w:val="nil"/>
              <w:right w:val="nil"/>
            </w:tcBorders>
            <w:shd w:val="clear" w:color="auto" w:fill="auto"/>
            <w:vAlign w:val="bottom"/>
          </w:tcPr>
          <w:p w14:paraId="5FC8FE30" w14:textId="04DB49EC" w:rsidR="00022B73" w:rsidRPr="004E74A6" w:rsidRDefault="00022B73" w:rsidP="00CE62C1">
            <w:pPr>
              <w:spacing w:line="276" w:lineRule="auto"/>
              <w:jc w:val="center"/>
              <w:rPr>
                <w:rFonts w:cs="Calibri"/>
                <w:color w:val="000000"/>
                <w:sz w:val="20"/>
              </w:rPr>
            </w:pPr>
            <w:r w:rsidRPr="004E74A6">
              <w:rPr>
                <w:rFonts w:cs="Calibri"/>
                <w:color w:val="000000"/>
                <w:sz w:val="20"/>
              </w:rPr>
              <w:t>87%</w:t>
            </w:r>
          </w:p>
        </w:tc>
      </w:tr>
      <w:tr w:rsidR="00022B73" w:rsidRPr="004E74A6" w14:paraId="7E274ED6" w14:textId="3FBCB150" w:rsidTr="00022B73">
        <w:trPr>
          <w:trHeight w:val="288"/>
          <w:jc w:val="center"/>
        </w:trPr>
        <w:tc>
          <w:tcPr>
            <w:tcW w:w="1593" w:type="pct"/>
            <w:tcBorders>
              <w:top w:val="nil"/>
              <w:left w:val="nil"/>
              <w:bottom w:val="nil"/>
              <w:right w:val="single" w:sz="4" w:space="0" w:color="auto"/>
            </w:tcBorders>
            <w:shd w:val="clear" w:color="auto" w:fill="auto"/>
            <w:noWrap/>
            <w:vAlign w:val="bottom"/>
            <w:hideMark/>
          </w:tcPr>
          <w:p w14:paraId="1BF0D9CB" w14:textId="77777777" w:rsidR="00022B73" w:rsidRPr="004E74A6" w:rsidRDefault="00022B73" w:rsidP="00CE62C1">
            <w:pPr>
              <w:spacing w:line="276" w:lineRule="auto"/>
              <w:jc w:val="left"/>
              <w:rPr>
                <w:rFonts w:cs="Calibri"/>
                <w:color w:val="000000"/>
                <w:sz w:val="20"/>
                <w:lang w:eastAsia="es-CR"/>
              </w:rPr>
            </w:pPr>
            <w:r w:rsidRPr="004E74A6">
              <w:rPr>
                <w:rFonts w:cs="Calibri"/>
                <w:color w:val="000000"/>
                <w:sz w:val="20"/>
                <w:lang w:eastAsia="es-CR"/>
              </w:rPr>
              <w:t>De ¢85.000.001 A ¢90.000.000</w:t>
            </w:r>
          </w:p>
        </w:tc>
        <w:tc>
          <w:tcPr>
            <w:tcW w:w="480" w:type="pct"/>
            <w:tcBorders>
              <w:top w:val="nil"/>
              <w:left w:val="single" w:sz="4" w:space="0" w:color="auto"/>
              <w:bottom w:val="nil"/>
              <w:right w:val="single" w:sz="4" w:space="0" w:color="auto"/>
            </w:tcBorders>
            <w:shd w:val="clear" w:color="auto" w:fill="auto"/>
            <w:noWrap/>
            <w:vAlign w:val="bottom"/>
            <w:hideMark/>
          </w:tcPr>
          <w:p w14:paraId="01DFF4E6" w14:textId="56E756C2" w:rsidR="00022B73" w:rsidRPr="004E74A6" w:rsidRDefault="00022B73" w:rsidP="00CE62C1">
            <w:pPr>
              <w:spacing w:line="276" w:lineRule="auto"/>
              <w:jc w:val="center"/>
              <w:rPr>
                <w:rFonts w:cs="Calibri"/>
                <w:color w:val="000000"/>
                <w:sz w:val="20"/>
                <w:lang w:eastAsia="es-CR"/>
              </w:rPr>
            </w:pPr>
            <w:r w:rsidRPr="004E74A6">
              <w:rPr>
                <w:rFonts w:cs="Calibri"/>
                <w:color w:val="000000"/>
                <w:sz w:val="20"/>
              </w:rPr>
              <w:t>0</w:t>
            </w:r>
          </w:p>
        </w:tc>
        <w:tc>
          <w:tcPr>
            <w:tcW w:w="480" w:type="pct"/>
            <w:tcBorders>
              <w:top w:val="nil"/>
              <w:left w:val="single" w:sz="4" w:space="0" w:color="auto"/>
              <w:bottom w:val="nil"/>
              <w:right w:val="single" w:sz="4" w:space="0" w:color="auto"/>
            </w:tcBorders>
            <w:shd w:val="clear" w:color="auto" w:fill="auto"/>
            <w:noWrap/>
            <w:vAlign w:val="bottom"/>
            <w:hideMark/>
          </w:tcPr>
          <w:p w14:paraId="07C2DF38" w14:textId="03F822D4" w:rsidR="00022B73" w:rsidRPr="004E74A6" w:rsidRDefault="00022B73" w:rsidP="00CE62C1">
            <w:pPr>
              <w:spacing w:line="276" w:lineRule="auto"/>
              <w:jc w:val="center"/>
              <w:rPr>
                <w:sz w:val="20"/>
                <w:lang w:eastAsia="es-CR"/>
              </w:rPr>
            </w:pPr>
            <w:r w:rsidRPr="004E74A6">
              <w:rPr>
                <w:rFonts w:cs="Calibri"/>
                <w:color w:val="000000"/>
                <w:sz w:val="20"/>
              </w:rPr>
              <w:t>0</w:t>
            </w:r>
          </w:p>
        </w:tc>
        <w:tc>
          <w:tcPr>
            <w:tcW w:w="480" w:type="pct"/>
            <w:tcBorders>
              <w:top w:val="nil"/>
              <w:left w:val="single" w:sz="4" w:space="0" w:color="auto"/>
              <w:bottom w:val="nil"/>
              <w:right w:val="single" w:sz="4" w:space="0" w:color="auto"/>
            </w:tcBorders>
            <w:shd w:val="clear" w:color="auto" w:fill="auto"/>
            <w:noWrap/>
            <w:vAlign w:val="bottom"/>
            <w:hideMark/>
          </w:tcPr>
          <w:p w14:paraId="59FA1BA5" w14:textId="3ED93668" w:rsidR="00022B73" w:rsidRPr="004E74A6" w:rsidRDefault="00022B73" w:rsidP="00CE62C1">
            <w:pPr>
              <w:spacing w:line="276" w:lineRule="auto"/>
              <w:jc w:val="center"/>
              <w:rPr>
                <w:rFonts w:cs="Calibri"/>
                <w:color w:val="000000"/>
                <w:sz w:val="20"/>
                <w:lang w:eastAsia="es-CR"/>
              </w:rPr>
            </w:pPr>
            <w:r w:rsidRPr="004E74A6">
              <w:rPr>
                <w:rFonts w:cs="Calibri"/>
                <w:color w:val="000000"/>
                <w:sz w:val="20"/>
              </w:rPr>
              <w:t>1</w:t>
            </w:r>
          </w:p>
        </w:tc>
        <w:tc>
          <w:tcPr>
            <w:tcW w:w="631" w:type="pct"/>
            <w:tcBorders>
              <w:top w:val="nil"/>
              <w:left w:val="single" w:sz="4" w:space="0" w:color="auto"/>
              <w:bottom w:val="nil"/>
              <w:right w:val="nil"/>
            </w:tcBorders>
            <w:shd w:val="clear" w:color="auto" w:fill="auto"/>
            <w:noWrap/>
            <w:vAlign w:val="bottom"/>
            <w:hideMark/>
          </w:tcPr>
          <w:p w14:paraId="6B037188" w14:textId="2AC150EE" w:rsidR="00022B73" w:rsidRPr="004E74A6" w:rsidRDefault="00022B73" w:rsidP="00CE62C1">
            <w:pPr>
              <w:spacing w:line="276" w:lineRule="auto"/>
              <w:jc w:val="center"/>
              <w:rPr>
                <w:rFonts w:cs="Calibri"/>
                <w:color w:val="000000"/>
                <w:sz w:val="20"/>
                <w:lang w:eastAsia="es-CR"/>
              </w:rPr>
            </w:pPr>
            <w:r w:rsidRPr="004E74A6">
              <w:rPr>
                <w:rFonts w:cs="Calibri"/>
                <w:color w:val="000000"/>
                <w:sz w:val="20"/>
              </w:rPr>
              <w:t>0,3</w:t>
            </w:r>
          </w:p>
        </w:tc>
        <w:tc>
          <w:tcPr>
            <w:tcW w:w="1337" w:type="pct"/>
            <w:tcBorders>
              <w:top w:val="nil"/>
              <w:left w:val="single" w:sz="4" w:space="0" w:color="auto"/>
              <w:bottom w:val="nil"/>
              <w:right w:val="nil"/>
            </w:tcBorders>
            <w:shd w:val="clear" w:color="auto" w:fill="auto"/>
            <w:vAlign w:val="bottom"/>
          </w:tcPr>
          <w:p w14:paraId="44EB2660" w14:textId="6BAFA08C" w:rsidR="00022B73" w:rsidRPr="004E74A6" w:rsidRDefault="00022B73" w:rsidP="00CE62C1">
            <w:pPr>
              <w:spacing w:line="276" w:lineRule="auto"/>
              <w:jc w:val="center"/>
              <w:rPr>
                <w:rFonts w:cs="Calibri"/>
                <w:color w:val="000000"/>
                <w:sz w:val="20"/>
              </w:rPr>
            </w:pPr>
            <w:r w:rsidRPr="004E74A6">
              <w:rPr>
                <w:rFonts w:cs="Calibri"/>
                <w:color w:val="000000"/>
                <w:sz w:val="20"/>
              </w:rPr>
              <w:t>87%</w:t>
            </w:r>
          </w:p>
        </w:tc>
      </w:tr>
      <w:tr w:rsidR="00022B73" w:rsidRPr="004E74A6" w14:paraId="1FCD420D" w14:textId="3B0CBDCE" w:rsidTr="00022B73">
        <w:trPr>
          <w:trHeight w:val="288"/>
          <w:jc w:val="center"/>
        </w:trPr>
        <w:tc>
          <w:tcPr>
            <w:tcW w:w="1593" w:type="pct"/>
            <w:tcBorders>
              <w:top w:val="nil"/>
              <w:left w:val="nil"/>
              <w:bottom w:val="nil"/>
              <w:right w:val="single" w:sz="4" w:space="0" w:color="auto"/>
            </w:tcBorders>
            <w:shd w:val="clear" w:color="auto" w:fill="auto"/>
            <w:noWrap/>
            <w:vAlign w:val="bottom"/>
            <w:hideMark/>
          </w:tcPr>
          <w:p w14:paraId="45085F41" w14:textId="77777777" w:rsidR="00022B73" w:rsidRPr="004E74A6" w:rsidRDefault="00022B73" w:rsidP="00CE62C1">
            <w:pPr>
              <w:spacing w:line="276" w:lineRule="auto"/>
              <w:jc w:val="left"/>
              <w:rPr>
                <w:rFonts w:cs="Calibri"/>
                <w:color w:val="000000"/>
                <w:sz w:val="20"/>
                <w:lang w:eastAsia="es-CR"/>
              </w:rPr>
            </w:pPr>
            <w:r w:rsidRPr="004E74A6">
              <w:rPr>
                <w:rFonts w:cs="Calibri"/>
                <w:color w:val="000000"/>
                <w:sz w:val="20"/>
                <w:lang w:eastAsia="es-CR"/>
              </w:rPr>
              <w:t>De ¢95.000.001 A ¢100.000.000</w:t>
            </w:r>
          </w:p>
        </w:tc>
        <w:tc>
          <w:tcPr>
            <w:tcW w:w="480" w:type="pct"/>
            <w:tcBorders>
              <w:top w:val="nil"/>
              <w:left w:val="single" w:sz="4" w:space="0" w:color="auto"/>
              <w:bottom w:val="nil"/>
              <w:right w:val="single" w:sz="4" w:space="0" w:color="auto"/>
            </w:tcBorders>
            <w:shd w:val="clear" w:color="auto" w:fill="auto"/>
            <w:noWrap/>
            <w:vAlign w:val="bottom"/>
            <w:hideMark/>
          </w:tcPr>
          <w:p w14:paraId="6D3B0FA9" w14:textId="256AEAB6" w:rsidR="00022B73" w:rsidRPr="004E74A6" w:rsidRDefault="00022B73" w:rsidP="00CE62C1">
            <w:pPr>
              <w:spacing w:line="276" w:lineRule="auto"/>
              <w:jc w:val="center"/>
              <w:rPr>
                <w:rFonts w:cs="Calibri"/>
                <w:color w:val="000000"/>
                <w:sz w:val="20"/>
                <w:lang w:eastAsia="es-CR"/>
              </w:rPr>
            </w:pPr>
            <w:r w:rsidRPr="004E74A6">
              <w:rPr>
                <w:rFonts w:cs="Calibri"/>
                <w:color w:val="000000"/>
                <w:sz w:val="20"/>
              </w:rPr>
              <w:t>2</w:t>
            </w:r>
          </w:p>
        </w:tc>
        <w:tc>
          <w:tcPr>
            <w:tcW w:w="480" w:type="pct"/>
            <w:tcBorders>
              <w:top w:val="nil"/>
              <w:left w:val="single" w:sz="4" w:space="0" w:color="auto"/>
              <w:bottom w:val="nil"/>
              <w:right w:val="single" w:sz="4" w:space="0" w:color="auto"/>
            </w:tcBorders>
            <w:shd w:val="clear" w:color="auto" w:fill="auto"/>
            <w:noWrap/>
            <w:vAlign w:val="bottom"/>
            <w:hideMark/>
          </w:tcPr>
          <w:p w14:paraId="0DD4B870" w14:textId="51B0F595" w:rsidR="00022B73" w:rsidRPr="004E74A6" w:rsidRDefault="00022B73" w:rsidP="00CE62C1">
            <w:pPr>
              <w:spacing w:line="276" w:lineRule="auto"/>
              <w:jc w:val="center"/>
              <w:rPr>
                <w:rFonts w:cs="Calibri"/>
                <w:color w:val="000000"/>
                <w:sz w:val="20"/>
                <w:lang w:eastAsia="es-CR"/>
              </w:rPr>
            </w:pPr>
            <w:r w:rsidRPr="004E74A6">
              <w:rPr>
                <w:rFonts w:cs="Calibri"/>
                <w:color w:val="000000"/>
                <w:sz w:val="20"/>
              </w:rPr>
              <w:t>1</w:t>
            </w:r>
          </w:p>
        </w:tc>
        <w:tc>
          <w:tcPr>
            <w:tcW w:w="480" w:type="pct"/>
            <w:tcBorders>
              <w:top w:val="nil"/>
              <w:left w:val="single" w:sz="4" w:space="0" w:color="auto"/>
              <w:bottom w:val="nil"/>
              <w:right w:val="single" w:sz="4" w:space="0" w:color="auto"/>
            </w:tcBorders>
            <w:shd w:val="clear" w:color="auto" w:fill="auto"/>
            <w:noWrap/>
            <w:vAlign w:val="bottom"/>
            <w:hideMark/>
          </w:tcPr>
          <w:p w14:paraId="34B465D9" w14:textId="0CCA36B0" w:rsidR="00022B73" w:rsidRPr="004E74A6" w:rsidRDefault="00022B73" w:rsidP="00CE62C1">
            <w:pPr>
              <w:spacing w:line="276" w:lineRule="auto"/>
              <w:jc w:val="center"/>
              <w:rPr>
                <w:rFonts w:cs="Calibri"/>
                <w:color w:val="000000"/>
                <w:sz w:val="20"/>
                <w:lang w:eastAsia="es-CR"/>
              </w:rPr>
            </w:pPr>
            <w:r w:rsidRPr="004E74A6">
              <w:rPr>
                <w:rFonts w:cs="Calibri"/>
                <w:color w:val="000000"/>
                <w:sz w:val="20"/>
              </w:rPr>
              <w:t>0</w:t>
            </w:r>
          </w:p>
        </w:tc>
        <w:tc>
          <w:tcPr>
            <w:tcW w:w="631" w:type="pct"/>
            <w:tcBorders>
              <w:top w:val="nil"/>
              <w:left w:val="single" w:sz="4" w:space="0" w:color="auto"/>
              <w:bottom w:val="nil"/>
              <w:right w:val="nil"/>
            </w:tcBorders>
            <w:shd w:val="clear" w:color="auto" w:fill="auto"/>
            <w:noWrap/>
            <w:vAlign w:val="bottom"/>
            <w:hideMark/>
          </w:tcPr>
          <w:p w14:paraId="07B4026A" w14:textId="669D2054" w:rsidR="00022B73" w:rsidRPr="004E74A6" w:rsidRDefault="00022B73" w:rsidP="00CE62C1">
            <w:pPr>
              <w:spacing w:line="276" w:lineRule="auto"/>
              <w:jc w:val="center"/>
              <w:rPr>
                <w:rFonts w:cs="Calibri"/>
                <w:color w:val="000000"/>
                <w:sz w:val="20"/>
                <w:lang w:eastAsia="es-CR"/>
              </w:rPr>
            </w:pPr>
            <w:r w:rsidRPr="004E74A6">
              <w:rPr>
                <w:rFonts w:cs="Calibri"/>
                <w:color w:val="000000"/>
                <w:sz w:val="20"/>
              </w:rPr>
              <w:t>1,0</w:t>
            </w:r>
          </w:p>
        </w:tc>
        <w:tc>
          <w:tcPr>
            <w:tcW w:w="1337" w:type="pct"/>
            <w:tcBorders>
              <w:top w:val="nil"/>
              <w:left w:val="single" w:sz="4" w:space="0" w:color="auto"/>
              <w:bottom w:val="nil"/>
              <w:right w:val="nil"/>
            </w:tcBorders>
            <w:shd w:val="clear" w:color="auto" w:fill="auto"/>
            <w:vAlign w:val="bottom"/>
          </w:tcPr>
          <w:p w14:paraId="72DA5276" w14:textId="4BAF1571" w:rsidR="00022B73" w:rsidRPr="004E74A6" w:rsidRDefault="00022B73" w:rsidP="00CE62C1">
            <w:pPr>
              <w:spacing w:line="276" w:lineRule="auto"/>
              <w:jc w:val="center"/>
              <w:rPr>
                <w:rFonts w:cs="Calibri"/>
                <w:color w:val="000000"/>
                <w:sz w:val="20"/>
              </w:rPr>
            </w:pPr>
            <w:r w:rsidRPr="004E74A6">
              <w:rPr>
                <w:rFonts w:cs="Calibri"/>
                <w:color w:val="000000"/>
                <w:sz w:val="20"/>
              </w:rPr>
              <w:t>89%</w:t>
            </w:r>
          </w:p>
        </w:tc>
      </w:tr>
      <w:tr w:rsidR="00022B73" w:rsidRPr="004E74A6" w14:paraId="08B4FB21" w14:textId="30D692B0" w:rsidTr="00022B73">
        <w:trPr>
          <w:trHeight w:val="288"/>
          <w:jc w:val="center"/>
        </w:trPr>
        <w:tc>
          <w:tcPr>
            <w:tcW w:w="1593" w:type="pct"/>
            <w:tcBorders>
              <w:top w:val="nil"/>
              <w:left w:val="nil"/>
              <w:bottom w:val="nil"/>
              <w:right w:val="single" w:sz="4" w:space="0" w:color="auto"/>
            </w:tcBorders>
            <w:shd w:val="clear" w:color="auto" w:fill="auto"/>
            <w:noWrap/>
            <w:vAlign w:val="bottom"/>
            <w:hideMark/>
          </w:tcPr>
          <w:p w14:paraId="206BA047" w14:textId="77777777" w:rsidR="00022B73" w:rsidRPr="004E74A6" w:rsidRDefault="00022B73" w:rsidP="00CE62C1">
            <w:pPr>
              <w:spacing w:line="276" w:lineRule="auto"/>
              <w:jc w:val="left"/>
              <w:rPr>
                <w:rFonts w:cs="Calibri"/>
                <w:color w:val="000000"/>
                <w:sz w:val="20"/>
                <w:lang w:eastAsia="es-CR"/>
              </w:rPr>
            </w:pPr>
            <w:r w:rsidRPr="004E74A6">
              <w:rPr>
                <w:rFonts w:cs="Calibri"/>
                <w:color w:val="000000"/>
                <w:sz w:val="20"/>
                <w:lang w:eastAsia="es-CR"/>
              </w:rPr>
              <w:t>Más De ¢100.000.000</w:t>
            </w:r>
          </w:p>
        </w:tc>
        <w:tc>
          <w:tcPr>
            <w:tcW w:w="480" w:type="pct"/>
            <w:tcBorders>
              <w:top w:val="nil"/>
              <w:left w:val="single" w:sz="4" w:space="0" w:color="auto"/>
              <w:bottom w:val="nil"/>
              <w:right w:val="single" w:sz="4" w:space="0" w:color="auto"/>
            </w:tcBorders>
            <w:shd w:val="clear" w:color="auto" w:fill="auto"/>
            <w:noWrap/>
            <w:vAlign w:val="bottom"/>
            <w:hideMark/>
          </w:tcPr>
          <w:p w14:paraId="5BF07612" w14:textId="3001162D" w:rsidR="00022B73" w:rsidRPr="004E74A6" w:rsidRDefault="00022B73" w:rsidP="00CE62C1">
            <w:pPr>
              <w:spacing w:line="276" w:lineRule="auto"/>
              <w:jc w:val="center"/>
              <w:rPr>
                <w:rFonts w:cs="Calibri"/>
                <w:color w:val="000000"/>
                <w:sz w:val="20"/>
                <w:lang w:eastAsia="es-CR"/>
              </w:rPr>
            </w:pPr>
            <w:r w:rsidRPr="004E74A6">
              <w:rPr>
                <w:rFonts w:cs="Calibri"/>
                <w:color w:val="000000"/>
                <w:sz w:val="20"/>
              </w:rPr>
              <w:t>2</w:t>
            </w:r>
          </w:p>
        </w:tc>
        <w:tc>
          <w:tcPr>
            <w:tcW w:w="480" w:type="pct"/>
            <w:tcBorders>
              <w:top w:val="nil"/>
              <w:left w:val="single" w:sz="4" w:space="0" w:color="auto"/>
              <w:bottom w:val="nil"/>
              <w:right w:val="single" w:sz="4" w:space="0" w:color="auto"/>
            </w:tcBorders>
            <w:shd w:val="clear" w:color="auto" w:fill="auto"/>
            <w:noWrap/>
            <w:vAlign w:val="bottom"/>
            <w:hideMark/>
          </w:tcPr>
          <w:p w14:paraId="32EE65CF" w14:textId="3DEC6E60" w:rsidR="00022B73" w:rsidRPr="004E74A6" w:rsidRDefault="00022B73" w:rsidP="00CE62C1">
            <w:pPr>
              <w:spacing w:line="276" w:lineRule="auto"/>
              <w:jc w:val="center"/>
              <w:rPr>
                <w:rFonts w:cs="Calibri"/>
                <w:color w:val="000000"/>
                <w:sz w:val="20"/>
                <w:lang w:eastAsia="es-CR"/>
              </w:rPr>
            </w:pPr>
            <w:r w:rsidRPr="004E74A6">
              <w:rPr>
                <w:rFonts w:cs="Calibri"/>
                <w:color w:val="000000"/>
                <w:sz w:val="20"/>
              </w:rPr>
              <w:t>6</w:t>
            </w:r>
          </w:p>
        </w:tc>
        <w:tc>
          <w:tcPr>
            <w:tcW w:w="480" w:type="pct"/>
            <w:tcBorders>
              <w:top w:val="nil"/>
              <w:left w:val="single" w:sz="4" w:space="0" w:color="auto"/>
              <w:bottom w:val="nil"/>
              <w:right w:val="single" w:sz="4" w:space="0" w:color="auto"/>
            </w:tcBorders>
            <w:shd w:val="clear" w:color="auto" w:fill="auto"/>
            <w:noWrap/>
            <w:vAlign w:val="bottom"/>
            <w:hideMark/>
          </w:tcPr>
          <w:p w14:paraId="7EC484CC" w14:textId="3A6C0392" w:rsidR="00022B73" w:rsidRPr="004E74A6" w:rsidRDefault="00022B73" w:rsidP="00CE62C1">
            <w:pPr>
              <w:spacing w:line="276" w:lineRule="auto"/>
              <w:jc w:val="center"/>
              <w:rPr>
                <w:rFonts w:cs="Calibri"/>
                <w:color w:val="000000"/>
                <w:sz w:val="20"/>
                <w:lang w:eastAsia="es-CR"/>
              </w:rPr>
            </w:pPr>
            <w:r w:rsidRPr="004E74A6">
              <w:rPr>
                <w:rFonts w:cs="Calibri"/>
                <w:color w:val="000000"/>
                <w:sz w:val="20"/>
              </w:rPr>
              <w:t>7</w:t>
            </w:r>
          </w:p>
        </w:tc>
        <w:tc>
          <w:tcPr>
            <w:tcW w:w="631" w:type="pct"/>
            <w:tcBorders>
              <w:top w:val="nil"/>
              <w:left w:val="single" w:sz="4" w:space="0" w:color="auto"/>
              <w:bottom w:val="nil"/>
              <w:right w:val="nil"/>
            </w:tcBorders>
            <w:shd w:val="clear" w:color="auto" w:fill="auto"/>
            <w:noWrap/>
            <w:vAlign w:val="bottom"/>
            <w:hideMark/>
          </w:tcPr>
          <w:p w14:paraId="542774B4" w14:textId="770EC62F" w:rsidR="00022B73" w:rsidRPr="004E74A6" w:rsidRDefault="00022B73" w:rsidP="00CE62C1">
            <w:pPr>
              <w:spacing w:line="276" w:lineRule="auto"/>
              <w:jc w:val="center"/>
              <w:rPr>
                <w:rFonts w:cs="Calibri"/>
                <w:color w:val="000000"/>
                <w:sz w:val="20"/>
                <w:lang w:eastAsia="es-CR"/>
              </w:rPr>
            </w:pPr>
            <w:r w:rsidRPr="004E74A6">
              <w:rPr>
                <w:rFonts w:cs="Calibri"/>
                <w:color w:val="000000"/>
                <w:sz w:val="20"/>
              </w:rPr>
              <w:t>5,0</w:t>
            </w:r>
          </w:p>
        </w:tc>
        <w:tc>
          <w:tcPr>
            <w:tcW w:w="1337" w:type="pct"/>
            <w:tcBorders>
              <w:top w:val="nil"/>
              <w:left w:val="single" w:sz="4" w:space="0" w:color="auto"/>
              <w:bottom w:val="nil"/>
              <w:right w:val="nil"/>
            </w:tcBorders>
            <w:shd w:val="clear" w:color="auto" w:fill="auto"/>
            <w:vAlign w:val="bottom"/>
          </w:tcPr>
          <w:p w14:paraId="32C649EC" w14:textId="16D67030" w:rsidR="00022B73" w:rsidRPr="004E74A6" w:rsidRDefault="00022B73" w:rsidP="00CE62C1">
            <w:pPr>
              <w:spacing w:line="276" w:lineRule="auto"/>
              <w:jc w:val="center"/>
              <w:rPr>
                <w:rFonts w:cs="Calibri"/>
                <w:color w:val="000000"/>
                <w:sz w:val="20"/>
              </w:rPr>
            </w:pPr>
            <w:r w:rsidRPr="004E74A6">
              <w:rPr>
                <w:rFonts w:cs="Calibri"/>
                <w:color w:val="000000"/>
                <w:sz w:val="20"/>
              </w:rPr>
              <w:t>96%</w:t>
            </w:r>
          </w:p>
        </w:tc>
      </w:tr>
      <w:tr w:rsidR="00022B73" w:rsidRPr="004E74A6" w14:paraId="043D2531" w14:textId="7876B72F" w:rsidTr="00022B73">
        <w:trPr>
          <w:trHeight w:val="288"/>
          <w:jc w:val="center"/>
        </w:trPr>
        <w:tc>
          <w:tcPr>
            <w:tcW w:w="1593" w:type="pct"/>
            <w:tcBorders>
              <w:top w:val="nil"/>
              <w:left w:val="nil"/>
              <w:bottom w:val="nil"/>
              <w:right w:val="single" w:sz="4" w:space="0" w:color="auto"/>
            </w:tcBorders>
            <w:shd w:val="clear" w:color="auto" w:fill="auto"/>
            <w:noWrap/>
            <w:vAlign w:val="bottom"/>
            <w:hideMark/>
          </w:tcPr>
          <w:p w14:paraId="2212DD62" w14:textId="77777777" w:rsidR="00022B73" w:rsidRPr="004E74A6" w:rsidRDefault="00022B73" w:rsidP="00CE62C1">
            <w:pPr>
              <w:spacing w:line="276" w:lineRule="auto"/>
              <w:jc w:val="left"/>
              <w:rPr>
                <w:rFonts w:cs="Calibri"/>
                <w:color w:val="ED7D31" w:themeColor="accent2"/>
                <w:sz w:val="20"/>
                <w:lang w:eastAsia="es-CR"/>
              </w:rPr>
            </w:pPr>
            <w:r w:rsidRPr="004E74A6">
              <w:rPr>
                <w:rFonts w:cs="Calibri"/>
                <w:color w:val="ED7D31" w:themeColor="accent2"/>
                <w:sz w:val="20"/>
                <w:lang w:eastAsia="es-CR"/>
              </w:rPr>
              <w:t>Expedientes Cuantía Cero</w:t>
            </w:r>
          </w:p>
        </w:tc>
        <w:tc>
          <w:tcPr>
            <w:tcW w:w="480" w:type="pct"/>
            <w:tcBorders>
              <w:top w:val="nil"/>
              <w:left w:val="single" w:sz="4" w:space="0" w:color="auto"/>
              <w:bottom w:val="nil"/>
              <w:right w:val="single" w:sz="4" w:space="0" w:color="auto"/>
            </w:tcBorders>
            <w:shd w:val="clear" w:color="auto" w:fill="auto"/>
            <w:noWrap/>
            <w:vAlign w:val="bottom"/>
            <w:hideMark/>
          </w:tcPr>
          <w:p w14:paraId="48C3BB83" w14:textId="0852E456" w:rsidR="00022B73" w:rsidRPr="004E74A6" w:rsidRDefault="00022B73" w:rsidP="00CE62C1">
            <w:pPr>
              <w:spacing w:line="276" w:lineRule="auto"/>
              <w:jc w:val="center"/>
              <w:rPr>
                <w:rFonts w:cs="Calibri"/>
                <w:color w:val="ED7D31" w:themeColor="accent2"/>
                <w:sz w:val="20"/>
                <w:lang w:eastAsia="es-CR"/>
              </w:rPr>
            </w:pPr>
            <w:r w:rsidRPr="004E74A6">
              <w:rPr>
                <w:rFonts w:cs="Calibri"/>
                <w:color w:val="ED7D31" w:themeColor="accent2"/>
                <w:sz w:val="20"/>
              </w:rPr>
              <w:t>5</w:t>
            </w:r>
          </w:p>
        </w:tc>
        <w:tc>
          <w:tcPr>
            <w:tcW w:w="480" w:type="pct"/>
            <w:tcBorders>
              <w:top w:val="nil"/>
              <w:left w:val="single" w:sz="4" w:space="0" w:color="auto"/>
              <w:bottom w:val="nil"/>
              <w:right w:val="single" w:sz="4" w:space="0" w:color="auto"/>
            </w:tcBorders>
            <w:shd w:val="clear" w:color="auto" w:fill="auto"/>
            <w:noWrap/>
            <w:vAlign w:val="bottom"/>
            <w:hideMark/>
          </w:tcPr>
          <w:p w14:paraId="17FD724D" w14:textId="1735059D" w:rsidR="00022B73" w:rsidRPr="004E74A6" w:rsidRDefault="00022B73" w:rsidP="00CE62C1">
            <w:pPr>
              <w:spacing w:line="276" w:lineRule="auto"/>
              <w:jc w:val="center"/>
              <w:rPr>
                <w:rFonts w:cs="Calibri"/>
                <w:color w:val="ED7D31" w:themeColor="accent2"/>
                <w:sz w:val="20"/>
                <w:lang w:eastAsia="es-CR"/>
              </w:rPr>
            </w:pPr>
            <w:r w:rsidRPr="004E74A6">
              <w:rPr>
                <w:rFonts w:cs="Calibri"/>
                <w:color w:val="ED7D31" w:themeColor="accent2"/>
                <w:sz w:val="20"/>
              </w:rPr>
              <w:t>3</w:t>
            </w:r>
          </w:p>
        </w:tc>
        <w:tc>
          <w:tcPr>
            <w:tcW w:w="480" w:type="pct"/>
            <w:tcBorders>
              <w:top w:val="nil"/>
              <w:left w:val="single" w:sz="4" w:space="0" w:color="auto"/>
              <w:bottom w:val="nil"/>
              <w:right w:val="single" w:sz="4" w:space="0" w:color="auto"/>
            </w:tcBorders>
            <w:shd w:val="clear" w:color="auto" w:fill="auto"/>
            <w:noWrap/>
            <w:vAlign w:val="bottom"/>
            <w:hideMark/>
          </w:tcPr>
          <w:p w14:paraId="7116A20D" w14:textId="7196227B" w:rsidR="00022B73" w:rsidRPr="004E74A6" w:rsidRDefault="00022B73" w:rsidP="00CE62C1">
            <w:pPr>
              <w:spacing w:line="276" w:lineRule="auto"/>
              <w:jc w:val="center"/>
              <w:rPr>
                <w:rFonts w:cs="Calibri"/>
                <w:color w:val="ED7D31" w:themeColor="accent2"/>
                <w:sz w:val="20"/>
                <w:lang w:eastAsia="es-CR"/>
              </w:rPr>
            </w:pPr>
            <w:r w:rsidRPr="004E74A6">
              <w:rPr>
                <w:rFonts w:cs="Calibri"/>
                <w:color w:val="ED7D31" w:themeColor="accent2"/>
                <w:sz w:val="20"/>
              </w:rPr>
              <w:t>0</w:t>
            </w:r>
          </w:p>
        </w:tc>
        <w:tc>
          <w:tcPr>
            <w:tcW w:w="631" w:type="pct"/>
            <w:tcBorders>
              <w:top w:val="nil"/>
              <w:left w:val="single" w:sz="4" w:space="0" w:color="auto"/>
              <w:bottom w:val="nil"/>
              <w:right w:val="nil"/>
            </w:tcBorders>
            <w:shd w:val="clear" w:color="auto" w:fill="auto"/>
            <w:noWrap/>
            <w:vAlign w:val="bottom"/>
            <w:hideMark/>
          </w:tcPr>
          <w:p w14:paraId="0C53C1C4" w14:textId="033C05FA" w:rsidR="00022B73" w:rsidRPr="004E74A6" w:rsidRDefault="00022B73" w:rsidP="00CE62C1">
            <w:pPr>
              <w:spacing w:line="276" w:lineRule="auto"/>
              <w:jc w:val="center"/>
              <w:rPr>
                <w:rFonts w:cs="Calibri"/>
                <w:color w:val="ED7D31" w:themeColor="accent2"/>
                <w:sz w:val="20"/>
                <w:lang w:eastAsia="es-CR"/>
              </w:rPr>
            </w:pPr>
            <w:r w:rsidRPr="004E74A6">
              <w:rPr>
                <w:rFonts w:cs="Calibri"/>
                <w:color w:val="ED7D31" w:themeColor="accent2"/>
                <w:sz w:val="20"/>
              </w:rPr>
              <w:t>2,7</w:t>
            </w:r>
          </w:p>
        </w:tc>
        <w:tc>
          <w:tcPr>
            <w:tcW w:w="1337" w:type="pct"/>
            <w:tcBorders>
              <w:top w:val="nil"/>
              <w:left w:val="single" w:sz="4" w:space="0" w:color="auto"/>
              <w:bottom w:val="nil"/>
              <w:right w:val="nil"/>
            </w:tcBorders>
            <w:shd w:val="clear" w:color="auto" w:fill="auto"/>
            <w:vAlign w:val="bottom"/>
          </w:tcPr>
          <w:p w14:paraId="7D5E914A" w14:textId="3B9A96A3" w:rsidR="00022B73" w:rsidRPr="004E74A6" w:rsidRDefault="00022B73" w:rsidP="00CE62C1">
            <w:pPr>
              <w:spacing w:line="276" w:lineRule="auto"/>
              <w:jc w:val="center"/>
              <w:rPr>
                <w:rFonts w:cs="Calibri"/>
                <w:color w:val="ED7D31" w:themeColor="accent2"/>
                <w:sz w:val="20"/>
              </w:rPr>
            </w:pPr>
            <w:r w:rsidRPr="004E74A6">
              <w:rPr>
                <w:rFonts w:cs="Calibri"/>
                <w:color w:val="ED7D31" w:themeColor="accent2"/>
                <w:sz w:val="20"/>
              </w:rPr>
              <w:t>100%</w:t>
            </w:r>
          </w:p>
        </w:tc>
      </w:tr>
      <w:tr w:rsidR="00022B73" w:rsidRPr="004E74A6" w14:paraId="72BE40DA" w14:textId="63D41472" w:rsidTr="00022B73">
        <w:trPr>
          <w:trHeight w:val="288"/>
          <w:jc w:val="center"/>
        </w:trPr>
        <w:tc>
          <w:tcPr>
            <w:tcW w:w="1593" w:type="pct"/>
            <w:tcBorders>
              <w:top w:val="nil"/>
              <w:left w:val="nil"/>
              <w:bottom w:val="single" w:sz="4" w:space="0" w:color="auto"/>
              <w:right w:val="single" w:sz="4" w:space="0" w:color="auto"/>
            </w:tcBorders>
            <w:shd w:val="clear" w:color="auto" w:fill="auto"/>
            <w:noWrap/>
            <w:vAlign w:val="bottom"/>
          </w:tcPr>
          <w:p w14:paraId="71E8A273" w14:textId="77777777" w:rsidR="00022B73" w:rsidRPr="004E74A6" w:rsidRDefault="00022B73" w:rsidP="00CE62C1">
            <w:pPr>
              <w:spacing w:line="276" w:lineRule="auto"/>
              <w:jc w:val="left"/>
              <w:rPr>
                <w:rFonts w:cs="Calibri"/>
                <w:color w:val="000000"/>
                <w:sz w:val="20"/>
                <w:lang w:eastAsia="es-CR"/>
              </w:rPr>
            </w:pPr>
          </w:p>
        </w:tc>
        <w:tc>
          <w:tcPr>
            <w:tcW w:w="480" w:type="pct"/>
            <w:tcBorders>
              <w:top w:val="nil"/>
              <w:left w:val="single" w:sz="4" w:space="0" w:color="auto"/>
              <w:bottom w:val="single" w:sz="4" w:space="0" w:color="auto"/>
              <w:right w:val="single" w:sz="4" w:space="0" w:color="auto"/>
            </w:tcBorders>
            <w:shd w:val="clear" w:color="auto" w:fill="auto"/>
            <w:noWrap/>
            <w:vAlign w:val="center"/>
          </w:tcPr>
          <w:p w14:paraId="04AD0C18" w14:textId="77777777" w:rsidR="00022B73" w:rsidRPr="004E74A6" w:rsidRDefault="00022B73" w:rsidP="00CE62C1">
            <w:pPr>
              <w:spacing w:line="276" w:lineRule="auto"/>
              <w:jc w:val="center"/>
              <w:rPr>
                <w:rFonts w:cs="Calibri"/>
                <w:color w:val="000000"/>
                <w:sz w:val="20"/>
                <w:lang w:eastAsia="es-CR"/>
              </w:rPr>
            </w:pPr>
          </w:p>
        </w:tc>
        <w:tc>
          <w:tcPr>
            <w:tcW w:w="480" w:type="pct"/>
            <w:tcBorders>
              <w:top w:val="nil"/>
              <w:left w:val="single" w:sz="4" w:space="0" w:color="auto"/>
              <w:bottom w:val="single" w:sz="4" w:space="0" w:color="auto"/>
              <w:right w:val="single" w:sz="4" w:space="0" w:color="auto"/>
            </w:tcBorders>
            <w:shd w:val="clear" w:color="auto" w:fill="auto"/>
            <w:noWrap/>
            <w:vAlign w:val="center"/>
          </w:tcPr>
          <w:p w14:paraId="7DB5A0FF" w14:textId="77777777" w:rsidR="00022B73" w:rsidRPr="004E74A6" w:rsidRDefault="00022B73" w:rsidP="00CE62C1">
            <w:pPr>
              <w:spacing w:line="276" w:lineRule="auto"/>
              <w:jc w:val="center"/>
              <w:rPr>
                <w:rFonts w:cs="Calibri"/>
                <w:color w:val="000000"/>
                <w:sz w:val="20"/>
                <w:lang w:eastAsia="es-CR"/>
              </w:rPr>
            </w:pPr>
          </w:p>
        </w:tc>
        <w:tc>
          <w:tcPr>
            <w:tcW w:w="480" w:type="pct"/>
            <w:tcBorders>
              <w:top w:val="nil"/>
              <w:left w:val="single" w:sz="4" w:space="0" w:color="auto"/>
              <w:bottom w:val="single" w:sz="4" w:space="0" w:color="auto"/>
              <w:right w:val="single" w:sz="4" w:space="0" w:color="auto"/>
            </w:tcBorders>
            <w:shd w:val="clear" w:color="auto" w:fill="auto"/>
            <w:noWrap/>
            <w:vAlign w:val="center"/>
          </w:tcPr>
          <w:p w14:paraId="3BEE6440" w14:textId="77777777" w:rsidR="00022B73" w:rsidRPr="004E74A6" w:rsidRDefault="00022B73" w:rsidP="00CE62C1">
            <w:pPr>
              <w:spacing w:line="276" w:lineRule="auto"/>
              <w:jc w:val="center"/>
              <w:rPr>
                <w:rFonts w:cs="Calibri"/>
                <w:color w:val="000000"/>
                <w:sz w:val="20"/>
                <w:lang w:eastAsia="es-CR"/>
              </w:rPr>
            </w:pPr>
          </w:p>
        </w:tc>
        <w:tc>
          <w:tcPr>
            <w:tcW w:w="631" w:type="pct"/>
            <w:tcBorders>
              <w:top w:val="nil"/>
              <w:left w:val="single" w:sz="4" w:space="0" w:color="auto"/>
              <w:bottom w:val="single" w:sz="4" w:space="0" w:color="auto"/>
              <w:right w:val="nil"/>
            </w:tcBorders>
            <w:shd w:val="clear" w:color="auto" w:fill="auto"/>
            <w:noWrap/>
            <w:vAlign w:val="center"/>
          </w:tcPr>
          <w:p w14:paraId="4388D0C7" w14:textId="77777777" w:rsidR="00022B73" w:rsidRPr="004E74A6" w:rsidRDefault="00022B73" w:rsidP="00CE62C1">
            <w:pPr>
              <w:spacing w:line="276" w:lineRule="auto"/>
              <w:jc w:val="center"/>
              <w:rPr>
                <w:rFonts w:cs="Calibri"/>
                <w:color w:val="000000"/>
                <w:sz w:val="20"/>
                <w:lang w:eastAsia="es-CR"/>
              </w:rPr>
            </w:pPr>
          </w:p>
        </w:tc>
        <w:tc>
          <w:tcPr>
            <w:tcW w:w="1337" w:type="pct"/>
            <w:tcBorders>
              <w:top w:val="nil"/>
              <w:left w:val="single" w:sz="4" w:space="0" w:color="auto"/>
              <w:bottom w:val="single" w:sz="4" w:space="0" w:color="auto"/>
              <w:right w:val="nil"/>
            </w:tcBorders>
          </w:tcPr>
          <w:p w14:paraId="5A21355A" w14:textId="77777777" w:rsidR="00022B73" w:rsidRPr="004E74A6" w:rsidRDefault="00022B73" w:rsidP="00CE62C1">
            <w:pPr>
              <w:spacing w:line="276" w:lineRule="auto"/>
              <w:jc w:val="center"/>
              <w:rPr>
                <w:rFonts w:cs="Calibri"/>
                <w:color w:val="000000"/>
                <w:sz w:val="20"/>
                <w:lang w:eastAsia="es-CR"/>
              </w:rPr>
            </w:pPr>
          </w:p>
        </w:tc>
      </w:tr>
    </w:tbl>
    <w:p w14:paraId="31B7549A" w14:textId="4D951643" w:rsidR="003E4755" w:rsidRPr="004E74A6" w:rsidRDefault="003E4755" w:rsidP="00832773">
      <w:pPr>
        <w:spacing w:line="276" w:lineRule="auto"/>
        <w:ind w:left="57" w:right="57"/>
        <w:rPr>
          <w:rFonts w:cs="Calibri"/>
          <w:i/>
          <w:iCs/>
          <w:color w:val="000000"/>
          <w:sz w:val="20"/>
          <w:lang w:eastAsia="es-CR"/>
        </w:rPr>
      </w:pPr>
      <w:r w:rsidRPr="004E74A6">
        <w:rPr>
          <w:rFonts w:cs="Calibri"/>
          <w:b/>
          <w:bCs/>
          <w:i/>
          <w:iCs/>
          <w:color w:val="000000"/>
          <w:sz w:val="20"/>
          <w:lang w:eastAsia="es-CR"/>
        </w:rPr>
        <w:t>Fuente</w:t>
      </w:r>
      <w:r w:rsidRPr="004E74A6">
        <w:rPr>
          <w:rFonts w:cs="Calibri"/>
          <w:i/>
          <w:iCs/>
          <w:color w:val="000000"/>
          <w:sz w:val="20"/>
          <w:lang w:eastAsia="es-CR"/>
        </w:rPr>
        <w:t>: Subproceso de Modernización Institucional con datos extraídos del sistema SIGMA, Dirección de Planificación.</w:t>
      </w:r>
    </w:p>
    <w:p w14:paraId="07CACDE1" w14:textId="3255FDD7" w:rsidR="008647ED" w:rsidRPr="004E74A6" w:rsidRDefault="008647ED" w:rsidP="00832773">
      <w:pPr>
        <w:spacing w:line="276" w:lineRule="auto"/>
        <w:rPr>
          <w:rFonts w:cs="Calibri"/>
          <w:color w:val="000000"/>
          <w:szCs w:val="24"/>
          <w:lang w:eastAsia="es-CR"/>
        </w:rPr>
      </w:pPr>
    </w:p>
    <w:p w14:paraId="24FD9EF8" w14:textId="77777777" w:rsidR="004E4F14" w:rsidRDefault="004E4F14" w:rsidP="00CE62C1">
      <w:pPr>
        <w:spacing w:after="160" w:line="276" w:lineRule="auto"/>
        <w:rPr>
          <w:rFonts w:cs="Calibri"/>
          <w:color w:val="000000"/>
          <w:szCs w:val="24"/>
          <w:lang w:eastAsia="es-CR"/>
        </w:rPr>
      </w:pPr>
    </w:p>
    <w:p w14:paraId="0E9880EC" w14:textId="77777777" w:rsidR="004E4F14" w:rsidRDefault="004E4F14" w:rsidP="00CE62C1">
      <w:pPr>
        <w:spacing w:after="160" w:line="276" w:lineRule="auto"/>
        <w:rPr>
          <w:rFonts w:cs="Calibri"/>
          <w:color w:val="000000"/>
          <w:szCs w:val="24"/>
          <w:lang w:eastAsia="es-CR"/>
        </w:rPr>
      </w:pPr>
    </w:p>
    <w:p w14:paraId="42CB619C" w14:textId="30C848AA" w:rsidR="00A731B5" w:rsidRPr="004E74A6" w:rsidRDefault="000D0F8E" w:rsidP="00CE62C1">
      <w:pPr>
        <w:spacing w:after="160" w:line="276" w:lineRule="auto"/>
        <w:rPr>
          <w:rFonts w:cs="Calibri"/>
          <w:color w:val="000000"/>
          <w:szCs w:val="24"/>
          <w:lang w:eastAsia="es-CR"/>
        </w:rPr>
      </w:pPr>
      <w:r w:rsidRPr="004E74A6">
        <w:rPr>
          <w:rFonts w:cs="Calibri"/>
          <w:color w:val="000000"/>
          <w:szCs w:val="24"/>
          <w:lang w:eastAsia="es-CR"/>
        </w:rPr>
        <w:lastRenderedPageBreak/>
        <w:t xml:space="preserve">De elevarse cuantía según escenario A.1 este Tribunal perdería un </w:t>
      </w:r>
      <w:r w:rsidR="00116AB0" w:rsidRPr="004E74A6">
        <w:rPr>
          <w:rFonts w:cs="Calibri"/>
          <w:color w:val="000000"/>
          <w:szCs w:val="24"/>
          <w:lang w:eastAsia="es-CR"/>
        </w:rPr>
        <w:t>68</w:t>
      </w:r>
      <w:r w:rsidRPr="004E74A6">
        <w:rPr>
          <w:rFonts w:cs="Calibri"/>
          <w:color w:val="000000"/>
          <w:szCs w:val="24"/>
          <w:lang w:eastAsia="es-CR"/>
        </w:rPr>
        <w:t xml:space="preserve">% </w:t>
      </w:r>
      <w:r w:rsidR="00A731B5" w:rsidRPr="004E74A6">
        <w:rPr>
          <w:rFonts w:cs="Calibri"/>
          <w:color w:val="000000"/>
          <w:szCs w:val="24"/>
          <w:lang w:eastAsia="es-CR"/>
        </w:rPr>
        <w:t xml:space="preserve">de su entrada actual de asuntos ordinarios estimables que se trasladarían a conocimiento de los Juzgados Civiles y por ende </w:t>
      </w:r>
      <w:r w:rsidR="00A731B5" w:rsidRPr="004E74A6">
        <w:rPr>
          <w:rFonts w:cs="Calibri"/>
          <w:b/>
          <w:bCs/>
          <w:color w:val="000000"/>
          <w:szCs w:val="24"/>
          <w:lang w:eastAsia="es-CR"/>
        </w:rPr>
        <w:t xml:space="preserve">las apelaciones de sentencia </w:t>
      </w:r>
      <w:r w:rsidR="00A731B5" w:rsidRPr="004E74A6">
        <w:rPr>
          <w:rFonts w:cs="Calibri"/>
          <w:color w:val="000000"/>
          <w:szCs w:val="24"/>
          <w:lang w:eastAsia="es-CR"/>
        </w:rPr>
        <w:t xml:space="preserve">en esos procesos se conocerían en los Tribunales de Apelación.   </w:t>
      </w:r>
    </w:p>
    <w:p w14:paraId="0F6C86E0" w14:textId="6BAD2466" w:rsidR="00A731B5" w:rsidRPr="004E74A6" w:rsidRDefault="00A731B5" w:rsidP="00CE62C1">
      <w:pPr>
        <w:spacing w:after="160" w:line="276" w:lineRule="auto"/>
        <w:rPr>
          <w:rFonts w:cs="Calibri"/>
          <w:color w:val="000000"/>
          <w:szCs w:val="24"/>
          <w:lang w:eastAsia="es-CR"/>
        </w:rPr>
      </w:pPr>
      <w:r w:rsidRPr="004E74A6">
        <w:rPr>
          <w:rFonts w:cs="Calibri"/>
          <w:color w:val="000000"/>
          <w:szCs w:val="24"/>
          <w:lang w:eastAsia="es-CR"/>
        </w:rPr>
        <w:t>De elevarse cuantía según escenario A.2, no se modificaría la entrada de ordinarios, sino que el efecto sería en el recurso del que dispondrían las sentencias en los ordinarios estimados hasta en 20 millones de colones, que pese a que se mantendrían en trámite en estos tribunales de primera instancia, dejarían de disponer recurso de casación ante la Sala Primera y pasarían a disponer únicamente de recurso de apelación ante el Tribunal de Apelación en Segunda Instancia.</w:t>
      </w:r>
    </w:p>
    <w:p w14:paraId="6C5A5084" w14:textId="77777777" w:rsidR="00662185" w:rsidRPr="004E74A6" w:rsidRDefault="00662185" w:rsidP="00CE62C1">
      <w:pPr>
        <w:spacing w:after="160" w:line="276" w:lineRule="auto"/>
        <w:rPr>
          <w:rFonts w:cs="Calibri"/>
          <w:color w:val="000000"/>
          <w:szCs w:val="24"/>
          <w:lang w:eastAsia="es-CR"/>
        </w:rPr>
      </w:pPr>
    </w:p>
    <w:p w14:paraId="17A8A8AB" w14:textId="77777777" w:rsidR="008647ED" w:rsidRPr="004E74A6" w:rsidRDefault="008647ED" w:rsidP="00CE62C1">
      <w:pPr>
        <w:numPr>
          <w:ilvl w:val="2"/>
          <w:numId w:val="21"/>
        </w:numPr>
        <w:spacing w:after="160" w:line="276" w:lineRule="auto"/>
        <w:ind w:left="1225" w:hanging="505"/>
        <w:outlineLvl w:val="5"/>
        <w:rPr>
          <w:rFonts w:cs="Calibri"/>
          <w:color w:val="000000"/>
          <w:szCs w:val="24"/>
          <w:lang w:eastAsia="es-CR"/>
        </w:rPr>
      </w:pPr>
      <w:r w:rsidRPr="004E74A6">
        <w:rPr>
          <w:rFonts w:cs="Calibri"/>
          <w:color w:val="000000"/>
          <w:szCs w:val="24"/>
          <w:lang w:eastAsia="es-CR"/>
        </w:rPr>
        <w:t>Tribunal Colegiado Primera Instancia Civil Primer Circuito Judicial Zona Atlántica</w:t>
      </w:r>
    </w:p>
    <w:p w14:paraId="3C5B6B42" w14:textId="77777777" w:rsidR="008647ED" w:rsidRPr="004E74A6" w:rsidRDefault="008647ED" w:rsidP="00CE62C1">
      <w:pPr>
        <w:spacing w:after="160" w:line="276" w:lineRule="auto"/>
        <w:rPr>
          <w:rFonts w:cs="Calibri"/>
          <w:color w:val="000000"/>
          <w:szCs w:val="24"/>
          <w:lang w:eastAsia="es-CR"/>
        </w:rPr>
      </w:pPr>
    </w:p>
    <w:p w14:paraId="1A2E933A" w14:textId="72CF2603" w:rsidR="008647ED" w:rsidRPr="004E74A6" w:rsidRDefault="00E30E46" w:rsidP="00CE62C1">
      <w:pPr>
        <w:spacing w:after="160" w:line="276" w:lineRule="auto"/>
        <w:rPr>
          <w:rFonts w:cs="Calibri"/>
          <w:color w:val="000000"/>
          <w:szCs w:val="24"/>
          <w:lang w:eastAsia="es-CR"/>
        </w:rPr>
      </w:pPr>
      <w:r w:rsidRPr="004E74A6">
        <w:rPr>
          <w:rFonts w:cs="Calibri"/>
          <w:color w:val="000000"/>
          <w:szCs w:val="24"/>
          <w:lang w:eastAsia="es-CR"/>
        </w:rPr>
        <w:t xml:space="preserve">Para el caso de este Tribunal, según la tabla por tipo de carpeta principal representa el </w:t>
      </w:r>
      <w:r w:rsidR="008647ED" w:rsidRPr="004E74A6">
        <w:rPr>
          <w:rFonts w:cs="Calibri"/>
          <w:color w:val="000000"/>
          <w:szCs w:val="24"/>
          <w:lang w:eastAsia="es-CR"/>
        </w:rPr>
        <w:t>93% de los asuntos que ingresan y que tuvo un ligero aumento para el año 2021 en relación con el 2020.</w:t>
      </w:r>
    </w:p>
    <w:p w14:paraId="07D2E028" w14:textId="77777777" w:rsidR="008647ED" w:rsidRPr="004E74A6" w:rsidRDefault="008647ED" w:rsidP="00CE62C1">
      <w:pPr>
        <w:spacing w:after="160" w:line="276" w:lineRule="auto"/>
        <w:rPr>
          <w:rFonts w:cs="Calibri"/>
          <w:color w:val="000000"/>
          <w:szCs w:val="24"/>
          <w:lang w:eastAsia="es-CR"/>
        </w:rPr>
      </w:pPr>
    </w:p>
    <w:p w14:paraId="6BE58E24" w14:textId="058237C6" w:rsidR="00CB44AA" w:rsidRPr="00832773" w:rsidRDefault="00CB44AA" w:rsidP="00F0204A">
      <w:pPr>
        <w:pStyle w:val="Descripcin"/>
        <w:keepNext/>
        <w:spacing w:line="276" w:lineRule="auto"/>
        <w:jc w:val="center"/>
        <w:rPr>
          <w:rFonts w:ascii="Book Antiqua" w:hAnsi="Book Antiqua"/>
          <w:i/>
          <w:iCs/>
          <w:sz w:val="20"/>
          <w:szCs w:val="16"/>
          <w:lang w:val="es-CR"/>
        </w:rPr>
      </w:pPr>
      <w:r w:rsidRPr="00832773">
        <w:rPr>
          <w:rFonts w:ascii="Book Antiqua" w:hAnsi="Book Antiqua"/>
          <w:i/>
          <w:iCs/>
          <w:sz w:val="20"/>
          <w:szCs w:val="16"/>
          <w:lang w:val="es-CR"/>
        </w:rPr>
        <w:t xml:space="preserve">Tabla </w:t>
      </w:r>
      <w:r w:rsidRPr="00832773">
        <w:rPr>
          <w:rFonts w:ascii="Book Antiqua" w:hAnsi="Book Antiqua"/>
          <w:i/>
          <w:iCs/>
          <w:sz w:val="20"/>
          <w:szCs w:val="16"/>
          <w:lang w:val="es-CR"/>
        </w:rPr>
        <w:fldChar w:fldCharType="begin"/>
      </w:r>
      <w:r w:rsidRPr="00832773">
        <w:rPr>
          <w:rFonts w:ascii="Book Antiqua" w:hAnsi="Book Antiqua"/>
          <w:i/>
          <w:iCs/>
          <w:sz w:val="20"/>
          <w:szCs w:val="16"/>
          <w:lang w:val="es-CR"/>
        </w:rPr>
        <w:instrText xml:space="preserve"> SEQ Tabla \* ARABIC </w:instrText>
      </w:r>
      <w:r w:rsidRPr="00832773">
        <w:rPr>
          <w:rFonts w:ascii="Book Antiqua" w:hAnsi="Book Antiqua"/>
          <w:i/>
          <w:iCs/>
          <w:sz w:val="20"/>
          <w:szCs w:val="16"/>
          <w:lang w:val="es-CR"/>
        </w:rPr>
        <w:fldChar w:fldCharType="separate"/>
      </w:r>
      <w:r w:rsidR="00374B51">
        <w:rPr>
          <w:rFonts w:ascii="Book Antiqua" w:hAnsi="Book Antiqua"/>
          <w:i/>
          <w:iCs/>
          <w:noProof/>
          <w:sz w:val="20"/>
          <w:szCs w:val="16"/>
          <w:lang w:val="es-CR"/>
        </w:rPr>
        <w:t>45</w:t>
      </w:r>
      <w:r w:rsidRPr="00832773">
        <w:rPr>
          <w:rFonts w:ascii="Book Antiqua" w:hAnsi="Book Antiqua"/>
          <w:i/>
          <w:iCs/>
          <w:sz w:val="20"/>
          <w:szCs w:val="16"/>
          <w:lang w:val="es-CR"/>
        </w:rPr>
        <w:fldChar w:fldCharType="end"/>
      </w:r>
      <w:r w:rsidRPr="00832773">
        <w:rPr>
          <w:rFonts w:ascii="Book Antiqua" w:hAnsi="Book Antiqua"/>
          <w:i/>
          <w:iCs/>
          <w:sz w:val="20"/>
          <w:szCs w:val="16"/>
          <w:lang w:val="es-CR"/>
        </w:rPr>
        <w:t xml:space="preserve"> Cantidad de entrados por tipo de</w:t>
      </w:r>
      <w:r w:rsidR="00E30E46" w:rsidRPr="00832773">
        <w:rPr>
          <w:rFonts w:ascii="Book Antiqua" w:hAnsi="Book Antiqua"/>
          <w:i/>
          <w:iCs/>
          <w:sz w:val="20"/>
          <w:szCs w:val="16"/>
          <w:lang w:val="es-CR"/>
        </w:rPr>
        <w:t xml:space="preserve"> carpeta</w:t>
      </w:r>
      <w:r w:rsidRPr="00832773">
        <w:rPr>
          <w:rFonts w:ascii="Book Antiqua" w:hAnsi="Book Antiqua"/>
          <w:i/>
          <w:iCs/>
          <w:sz w:val="20"/>
          <w:szCs w:val="16"/>
          <w:lang w:val="es-CR"/>
        </w:rPr>
        <w:t xml:space="preserve"> del 2019 al 2021 para el Tribunal Colegiado Primera Instancia Civil Primer Circuito Judicial Zona Atlántica</w:t>
      </w:r>
    </w:p>
    <w:tbl>
      <w:tblPr>
        <w:tblW w:w="3955" w:type="pct"/>
        <w:jc w:val="center"/>
        <w:tblLayout w:type="fixed"/>
        <w:tblCellMar>
          <w:left w:w="70" w:type="dxa"/>
          <w:right w:w="70" w:type="dxa"/>
        </w:tblCellMar>
        <w:tblLook w:val="04A0" w:firstRow="1" w:lastRow="0" w:firstColumn="1" w:lastColumn="0" w:noHBand="0" w:noVBand="1"/>
      </w:tblPr>
      <w:tblGrid>
        <w:gridCol w:w="3356"/>
        <w:gridCol w:w="842"/>
        <w:gridCol w:w="839"/>
        <w:gridCol w:w="836"/>
        <w:gridCol w:w="1119"/>
      </w:tblGrid>
      <w:tr w:rsidR="00CB44AA" w:rsidRPr="004E74A6" w14:paraId="3BD11365" w14:textId="77777777" w:rsidTr="00CB44AA">
        <w:trPr>
          <w:trHeight w:val="454"/>
          <w:tblHeader/>
          <w:jc w:val="center"/>
        </w:trPr>
        <w:tc>
          <w:tcPr>
            <w:tcW w:w="2400" w:type="pct"/>
            <w:tcBorders>
              <w:top w:val="single" w:sz="4" w:space="0" w:color="auto"/>
              <w:bottom w:val="single" w:sz="4" w:space="0" w:color="auto"/>
              <w:right w:val="single" w:sz="4" w:space="0" w:color="auto"/>
            </w:tcBorders>
            <w:shd w:val="clear" w:color="auto" w:fill="auto"/>
            <w:noWrap/>
            <w:vAlign w:val="center"/>
            <w:hideMark/>
          </w:tcPr>
          <w:p w14:paraId="3FEE07F8" w14:textId="60217132" w:rsidR="008647ED" w:rsidRPr="004E74A6" w:rsidRDefault="00CB44AA" w:rsidP="00CE62C1">
            <w:pPr>
              <w:spacing w:line="276" w:lineRule="auto"/>
              <w:jc w:val="center"/>
              <w:rPr>
                <w:sz w:val="20"/>
                <w:lang w:eastAsia="es-CR"/>
              </w:rPr>
            </w:pPr>
            <w:r w:rsidRPr="004E74A6">
              <w:rPr>
                <w:sz w:val="20"/>
                <w:lang w:eastAsia="es-CR"/>
              </w:rPr>
              <w:t>Tipo</w:t>
            </w:r>
            <w:r w:rsidR="008647ED" w:rsidRPr="004E74A6">
              <w:rPr>
                <w:sz w:val="20"/>
                <w:lang w:eastAsia="es-CR"/>
              </w:rPr>
              <w:t xml:space="preserve"> De </w:t>
            </w:r>
            <w:r w:rsidR="00E30E46" w:rsidRPr="004E74A6">
              <w:rPr>
                <w:sz w:val="20"/>
                <w:lang w:eastAsia="es-CR"/>
              </w:rPr>
              <w:t>Carpeta</w:t>
            </w:r>
          </w:p>
        </w:tc>
        <w:tc>
          <w:tcPr>
            <w:tcW w:w="60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B479BB"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2019</w:t>
            </w:r>
          </w:p>
        </w:tc>
        <w:tc>
          <w:tcPr>
            <w:tcW w:w="6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AEBD19"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2020</w:t>
            </w:r>
          </w:p>
        </w:tc>
        <w:tc>
          <w:tcPr>
            <w:tcW w:w="59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992A78"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2021</w:t>
            </w:r>
          </w:p>
        </w:tc>
        <w:tc>
          <w:tcPr>
            <w:tcW w:w="800" w:type="pct"/>
            <w:tcBorders>
              <w:top w:val="single" w:sz="4" w:space="0" w:color="auto"/>
              <w:left w:val="single" w:sz="4" w:space="0" w:color="auto"/>
              <w:bottom w:val="single" w:sz="4" w:space="0" w:color="auto"/>
            </w:tcBorders>
            <w:shd w:val="clear" w:color="auto" w:fill="auto"/>
            <w:noWrap/>
            <w:vAlign w:val="center"/>
            <w:hideMark/>
          </w:tcPr>
          <w:p w14:paraId="13FF14E3" w14:textId="1DCB58DF" w:rsidR="008647ED" w:rsidRPr="004E74A6" w:rsidRDefault="00CB44AA" w:rsidP="00CE62C1">
            <w:pPr>
              <w:spacing w:line="276" w:lineRule="auto"/>
              <w:jc w:val="center"/>
              <w:rPr>
                <w:rFonts w:cs="Calibri"/>
                <w:color w:val="000000"/>
                <w:sz w:val="20"/>
                <w:lang w:eastAsia="es-CR"/>
              </w:rPr>
            </w:pPr>
            <w:r w:rsidRPr="004E74A6">
              <w:rPr>
                <w:rFonts w:cs="Calibri"/>
                <w:color w:val="000000"/>
                <w:sz w:val="20"/>
                <w:lang w:eastAsia="es-CR"/>
              </w:rPr>
              <w:t>Promedio</w:t>
            </w:r>
          </w:p>
        </w:tc>
      </w:tr>
      <w:tr w:rsidR="00CB44AA" w:rsidRPr="004E74A6" w14:paraId="3C836320" w14:textId="77777777" w:rsidTr="00CB44AA">
        <w:trPr>
          <w:trHeight w:val="288"/>
          <w:jc w:val="center"/>
        </w:trPr>
        <w:tc>
          <w:tcPr>
            <w:tcW w:w="2400" w:type="pct"/>
            <w:tcBorders>
              <w:top w:val="single" w:sz="4" w:space="0" w:color="auto"/>
              <w:right w:val="single" w:sz="4" w:space="0" w:color="auto"/>
            </w:tcBorders>
            <w:shd w:val="clear" w:color="auto" w:fill="auto"/>
            <w:noWrap/>
            <w:vAlign w:val="bottom"/>
          </w:tcPr>
          <w:p w14:paraId="5EE1D5BE" w14:textId="77777777" w:rsidR="008647ED" w:rsidRPr="004E74A6" w:rsidRDefault="008647ED" w:rsidP="00CE62C1">
            <w:pPr>
              <w:spacing w:line="276" w:lineRule="auto"/>
              <w:jc w:val="left"/>
              <w:rPr>
                <w:rFonts w:cs="Calibri"/>
                <w:color w:val="000000"/>
                <w:sz w:val="20"/>
                <w:lang w:eastAsia="es-CR"/>
              </w:rPr>
            </w:pPr>
          </w:p>
        </w:tc>
        <w:tc>
          <w:tcPr>
            <w:tcW w:w="602" w:type="pct"/>
            <w:tcBorders>
              <w:top w:val="single" w:sz="4" w:space="0" w:color="auto"/>
              <w:left w:val="single" w:sz="4" w:space="0" w:color="auto"/>
              <w:right w:val="single" w:sz="4" w:space="0" w:color="auto"/>
            </w:tcBorders>
            <w:shd w:val="clear" w:color="auto" w:fill="auto"/>
            <w:noWrap/>
            <w:vAlign w:val="center"/>
          </w:tcPr>
          <w:p w14:paraId="18D1C1E0" w14:textId="77777777" w:rsidR="008647ED" w:rsidRPr="004E74A6" w:rsidRDefault="008647ED" w:rsidP="00CE62C1">
            <w:pPr>
              <w:spacing w:line="276" w:lineRule="auto"/>
              <w:jc w:val="center"/>
              <w:rPr>
                <w:rFonts w:cs="Calibri"/>
                <w:color w:val="000000"/>
                <w:sz w:val="20"/>
                <w:lang w:eastAsia="es-CR"/>
              </w:rPr>
            </w:pPr>
          </w:p>
        </w:tc>
        <w:tc>
          <w:tcPr>
            <w:tcW w:w="600" w:type="pct"/>
            <w:tcBorders>
              <w:top w:val="single" w:sz="4" w:space="0" w:color="auto"/>
              <w:left w:val="single" w:sz="4" w:space="0" w:color="auto"/>
              <w:right w:val="single" w:sz="4" w:space="0" w:color="auto"/>
            </w:tcBorders>
            <w:shd w:val="clear" w:color="auto" w:fill="auto"/>
            <w:noWrap/>
            <w:vAlign w:val="center"/>
          </w:tcPr>
          <w:p w14:paraId="42077EC6" w14:textId="77777777" w:rsidR="008647ED" w:rsidRPr="004E74A6" w:rsidRDefault="008647ED" w:rsidP="00CE62C1">
            <w:pPr>
              <w:spacing w:line="276" w:lineRule="auto"/>
              <w:jc w:val="center"/>
              <w:rPr>
                <w:rFonts w:cs="Calibri"/>
                <w:color w:val="000000"/>
                <w:sz w:val="20"/>
                <w:lang w:eastAsia="es-CR"/>
              </w:rPr>
            </w:pPr>
          </w:p>
        </w:tc>
        <w:tc>
          <w:tcPr>
            <w:tcW w:w="598" w:type="pct"/>
            <w:tcBorders>
              <w:top w:val="single" w:sz="4" w:space="0" w:color="auto"/>
              <w:left w:val="single" w:sz="4" w:space="0" w:color="auto"/>
              <w:right w:val="single" w:sz="4" w:space="0" w:color="auto"/>
            </w:tcBorders>
            <w:shd w:val="clear" w:color="auto" w:fill="auto"/>
            <w:noWrap/>
            <w:vAlign w:val="center"/>
          </w:tcPr>
          <w:p w14:paraId="349747F3" w14:textId="77777777" w:rsidR="008647ED" w:rsidRPr="004E74A6" w:rsidRDefault="008647ED" w:rsidP="00CE62C1">
            <w:pPr>
              <w:spacing w:line="276" w:lineRule="auto"/>
              <w:jc w:val="center"/>
              <w:rPr>
                <w:rFonts w:cs="Calibri"/>
                <w:color w:val="000000"/>
                <w:sz w:val="20"/>
                <w:lang w:eastAsia="es-CR"/>
              </w:rPr>
            </w:pPr>
          </w:p>
        </w:tc>
        <w:tc>
          <w:tcPr>
            <w:tcW w:w="800" w:type="pct"/>
            <w:tcBorders>
              <w:top w:val="single" w:sz="4" w:space="0" w:color="auto"/>
              <w:left w:val="single" w:sz="4" w:space="0" w:color="auto"/>
            </w:tcBorders>
            <w:shd w:val="clear" w:color="auto" w:fill="auto"/>
            <w:noWrap/>
            <w:vAlign w:val="center"/>
          </w:tcPr>
          <w:p w14:paraId="2AAFFCD6" w14:textId="77777777" w:rsidR="008647ED" w:rsidRPr="004E74A6" w:rsidRDefault="008647ED" w:rsidP="00CE62C1">
            <w:pPr>
              <w:spacing w:line="276" w:lineRule="auto"/>
              <w:jc w:val="center"/>
              <w:rPr>
                <w:rFonts w:cs="Calibri"/>
                <w:color w:val="000000"/>
                <w:sz w:val="20"/>
                <w:lang w:eastAsia="es-CR"/>
              </w:rPr>
            </w:pPr>
          </w:p>
        </w:tc>
      </w:tr>
      <w:tr w:rsidR="00E30E46" w:rsidRPr="004E74A6" w14:paraId="5E451809" w14:textId="77777777" w:rsidTr="00B32800">
        <w:trPr>
          <w:trHeight w:val="288"/>
          <w:jc w:val="center"/>
        </w:trPr>
        <w:tc>
          <w:tcPr>
            <w:tcW w:w="2400" w:type="pct"/>
            <w:tcBorders>
              <w:right w:val="single" w:sz="4" w:space="0" w:color="auto"/>
            </w:tcBorders>
            <w:shd w:val="clear" w:color="auto" w:fill="auto"/>
            <w:noWrap/>
            <w:vAlign w:val="bottom"/>
          </w:tcPr>
          <w:p w14:paraId="01EE576B" w14:textId="6E286CD1" w:rsidR="00E30E46" w:rsidRPr="004E74A6" w:rsidRDefault="00E30E46" w:rsidP="00CE62C1">
            <w:pPr>
              <w:spacing w:line="276" w:lineRule="auto"/>
              <w:jc w:val="center"/>
              <w:rPr>
                <w:rFonts w:cs="Calibri"/>
                <w:color w:val="000000"/>
                <w:sz w:val="20"/>
                <w:lang w:eastAsia="es-CR"/>
              </w:rPr>
            </w:pPr>
            <w:r w:rsidRPr="004E74A6">
              <w:rPr>
                <w:rFonts w:cs="Calibri"/>
                <w:color w:val="000000"/>
                <w:sz w:val="20"/>
                <w:lang w:eastAsia="es-CR"/>
              </w:rPr>
              <w:t>Total General</w:t>
            </w:r>
          </w:p>
        </w:tc>
        <w:tc>
          <w:tcPr>
            <w:tcW w:w="602" w:type="pct"/>
            <w:tcBorders>
              <w:left w:val="single" w:sz="4" w:space="0" w:color="auto"/>
              <w:right w:val="single" w:sz="4" w:space="0" w:color="auto"/>
            </w:tcBorders>
            <w:shd w:val="clear" w:color="auto" w:fill="auto"/>
            <w:noWrap/>
            <w:vAlign w:val="bottom"/>
          </w:tcPr>
          <w:p w14:paraId="2F9C4E0F" w14:textId="1FE38D75" w:rsidR="00E30E46" w:rsidRPr="004E74A6" w:rsidRDefault="00E30E46" w:rsidP="00CE62C1">
            <w:pPr>
              <w:spacing w:line="276" w:lineRule="auto"/>
              <w:jc w:val="center"/>
              <w:rPr>
                <w:rFonts w:cs="Calibri"/>
                <w:color w:val="000000"/>
                <w:sz w:val="20"/>
              </w:rPr>
            </w:pPr>
            <w:r w:rsidRPr="004E74A6">
              <w:rPr>
                <w:rFonts w:cs="Calibri"/>
                <w:color w:val="000000"/>
                <w:sz w:val="20"/>
              </w:rPr>
              <w:t>142</w:t>
            </w:r>
          </w:p>
        </w:tc>
        <w:tc>
          <w:tcPr>
            <w:tcW w:w="600" w:type="pct"/>
            <w:tcBorders>
              <w:left w:val="single" w:sz="4" w:space="0" w:color="auto"/>
              <w:right w:val="single" w:sz="4" w:space="0" w:color="auto"/>
            </w:tcBorders>
            <w:shd w:val="clear" w:color="auto" w:fill="auto"/>
            <w:noWrap/>
            <w:vAlign w:val="bottom"/>
          </w:tcPr>
          <w:p w14:paraId="1A6B530C" w14:textId="77B67AF9" w:rsidR="00E30E46" w:rsidRPr="004E74A6" w:rsidRDefault="00E30E46" w:rsidP="00CE62C1">
            <w:pPr>
              <w:spacing w:line="276" w:lineRule="auto"/>
              <w:jc w:val="center"/>
              <w:rPr>
                <w:rFonts w:cs="Calibri"/>
                <w:color w:val="000000"/>
                <w:sz w:val="20"/>
              </w:rPr>
            </w:pPr>
            <w:r w:rsidRPr="004E74A6">
              <w:rPr>
                <w:rFonts w:cs="Calibri"/>
                <w:color w:val="000000"/>
                <w:sz w:val="20"/>
              </w:rPr>
              <w:t>110</w:t>
            </w:r>
          </w:p>
        </w:tc>
        <w:tc>
          <w:tcPr>
            <w:tcW w:w="598" w:type="pct"/>
            <w:tcBorders>
              <w:left w:val="single" w:sz="4" w:space="0" w:color="auto"/>
              <w:right w:val="single" w:sz="4" w:space="0" w:color="auto"/>
            </w:tcBorders>
            <w:shd w:val="clear" w:color="auto" w:fill="auto"/>
            <w:noWrap/>
            <w:vAlign w:val="bottom"/>
          </w:tcPr>
          <w:p w14:paraId="225DA351" w14:textId="2E988883" w:rsidR="00E30E46" w:rsidRPr="004E74A6" w:rsidRDefault="00E30E46" w:rsidP="00CE62C1">
            <w:pPr>
              <w:spacing w:line="276" w:lineRule="auto"/>
              <w:jc w:val="center"/>
              <w:rPr>
                <w:rFonts w:cs="Calibri"/>
                <w:color w:val="000000"/>
                <w:sz w:val="20"/>
              </w:rPr>
            </w:pPr>
            <w:r w:rsidRPr="004E74A6">
              <w:rPr>
                <w:rFonts w:cs="Calibri"/>
                <w:color w:val="000000"/>
                <w:sz w:val="20"/>
              </w:rPr>
              <w:t>137</w:t>
            </w:r>
          </w:p>
        </w:tc>
        <w:tc>
          <w:tcPr>
            <w:tcW w:w="800" w:type="pct"/>
            <w:tcBorders>
              <w:left w:val="single" w:sz="4" w:space="0" w:color="auto"/>
            </w:tcBorders>
            <w:shd w:val="clear" w:color="auto" w:fill="auto"/>
            <w:noWrap/>
            <w:vAlign w:val="bottom"/>
          </w:tcPr>
          <w:p w14:paraId="7D4F177D" w14:textId="2CB9CC5A" w:rsidR="00E30E46" w:rsidRPr="004E74A6" w:rsidRDefault="00E30E46" w:rsidP="00CE62C1">
            <w:pPr>
              <w:spacing w:line="276" w:lineRule="auto"/>
              <w:jc w:val="center"/>
              <w:rPr>
                <w:rFonts w:cs="Calibri"/>
                <w:color w:val="000000"/>
                <w:sz w:val="20"/>
              </w:rPr>
            </w:pPr>
            <w:r w:rsidRPr="004E74A6">
              <w:rPr>
                <w:rFonts w:cs="Calibri"/>
                <w:color w:val="000000"/>
                <w:sz w:val="20"/>
              </w:rPr>
              <w:t>130</w:t>
            </w:r>
          </w:p>
        </w:tc>
      </w:tr>
      <w:tr w:rsidR="00E30E46" w:rsidRPr="004E74A6" w14:paraId="52E7971A" w14:textId="77777777" w:rsidTr="00B32800">
        <w:trPr>
          <w:trHeight w:val="288"/>
          <w:jc w:val="center"/>
        </w:trPr>
        <w:tc>
          <w:tcPr>
            <w:tcW w:w="2400" w:type="pct"/>
            <w:tcBorders>
              <w:right w:val="single" w:sz="4" w:space="0" w:color="auto"/>
            </w:tcBorders>
            <w:shd w:val="clear" w:color="auto" w:fill="auto"/>
            <w:noWrap/>
            <w:vAlign w:val="bottom"/>
          </w:tcPr>
          <w:p w14:paraId="2162BE1D" w14:textId="77777777" w:rsidR="00E30E46" w:rsidRPr="004E74A6" w:rsidRDefault="00E30E46" w:rsidP="00CE62C1">
            <w:pPr>
              <w:spacing w:line="276" w:lineRule="auto"/>
              <w:jc w:val="left"/>
              <w:rPr>
                <w:rFonts w:cs="Calibri"/>
                <w:color w:val="000000"/>
                <w:sz w:val="20"/>
                <w:lang w:eastAsia="es-CR"/>
              </w:rPr>
            </w:pPr>
          </w:p>
        </w:tc>
        <w:tc>
          <w:tcPr>
            <w:tcW w:w="602" w:type="pct"/>
            <w:tcBorders>
              <w:left w:val="single" w:sz="4" w:space="0" w:color="auto"/>
              <w:right w:val="single" w:sz="4" w:space="0" w:color="auto"/>
            </w:tcBorders>
            <w:shd w:val="clear" w:color="auto" w:fill="auto"/>
            <w:noWrap/>
            <w:vAlign w:val="bottom"/>
          </w:tcPr>
          <w:p w14:paraId="64242EA2" w14:textId="77777777" w:rsidR="00E30E46" w:rsidRPr="004E74A6" w:rsidRDefault="00E30E46" w:rsidP="00CE62C1">
            <w:pPr>
              <w:spacing w:line="276" w:lineRule="auto"/>
              <w:jc w:val="center"/>
              <w:rPr>
                <w:rFonts w:cs="Calibri"/>
                <w:color w:val="000000"/>
                <w:sz w:val="20"/>
              </w:rPr>
            </w:pPr>
          </w:p>
        </w:tc>
        <w:tc>
          <w:tcPr>
            <w:tcW w:w="600" w:type="pct"/>
            <w:tcBorders>
              <w:left w:val="single" w:sz="4" w:space="0" w:color="auto"/>
              <w:right w:val="single" w:sz="4" w:space="0" w:color="auto"/>
            </w:tcBorders>
            <w:shd w:val="clear" w:color="auto" w:fill="auto"/>
            <w:noWrap/>
            <w:vAlign w:val="bottom"/>
          </w:tcPr>
          <w:p w14:paraId="5B1DDD5C" w14:textId="77777777" w:rsidR="00E30E46" w:rsidRPr="004E74A6" w:rsidRDefault="00E30E46" w:rsidP="00CE62C1">
            <w:pPr>
              <w:spacing w:line="276" w:lineRule="auto"/>
              <w:jc w:val="center"/>
              <w:rPr>
                <w:rFonts w:cs="Calibri"/>
                <w:color w:val="000000"/>
                <w:sz w:val="20"/>
              </w:rPr>
            </w:pPr>
          </w:p>
        </w:tc>
        <w:tc>
          <w:tcPr>
            <w:tcW w:w="598" w:type="pct"/>
            <w:tcBorders>
              <w:left w:val="single" w:sz="4" w:space="0" w:color="auto"/>
              <w:right w:val="single" w:sz="4" w:space="0" w:color="auto"/>
            </w:tcBorders>
            <w:shd w:val="clear" w:color="auto" w:fill="auto"/>
            <w:noWrap/>
            <w:vAlign w:val="bottom"/>
          </w:tcPr>
          <w:p w14:paraId="23C1EA77" w14:textId="77777777" w:rsidR="00E30E46" w:rsidRPr="004E74A6" w:rsidRDefault="00E30E46" w:rsidP="00CE62C1">
            <w:pPr>
              <w:spacing w:line="276" w:lineRule="auto"/>
              <w:jc w:val="center"/>
              <w:rPr>
                <w:rFonts w:cs="Calibri"/>
                <w:color w:val="000000"/>
                <w:sz w:val="20"/>
              </w:rPr>
            </w:pPr>
          </w:p>
        </w:tc>
        <w:tc>
          <w:tcPr>
            <w:tcW w:w="800" w:type="pct"/>
            <w:tcBorders>
              <w:left w:val="single" w:sz="4" w:space="0" w:color="auto"/>
            </w:tcBorders>
            <w:shd w:val="clear" w:color="auto" w:fill="auto"/>
            <w:noWrap/>
            <w:vAlign w:val="bottom"/>
          </w:tcPr>
          <w:p w14:paraId="614C9B1D" w14:textId="77777777" w:rsidR="00E30E46" w:rsidRPr="004E74A6" w:rsidRDefault="00E30E46" w:rsidP="00CE62C1">
            <w:pPr>
              <w:spacing w:line="276" w:lineRule="auto"/>
              <w:jc w:val="center"/>
              <w:rPr>
                <w:rFonts w:cs="Calibri"/>
                <w:color w:val="000000"/>
                <w:sz w:val="20"/>
              </w:rPr>
            </w:pPr>
          </w:p>
        </w:tc>
      </w:tr>
      <w:tr w:rsidR="00E30E46" w:rsidRPr="004E74A6" w14:paraId="6F614585" w14:textId="77777777" w:rsidTr="00B32800">
        <w:trPr>
          <w:trHeight w:val="288"/>
          <w:jc w:val="center"/>
        </w:trPr>
        <w:tc>
          <w:tcPr>
            <w:tcW w:w="2400" w:type="pct"/>
            <w:tcBorders>
              <w:right w:val="single" w:sz="4" w:space="0" w:color="auto"/>
            </w:tcBorders>
            <w:shd w:val="clear" w:color="auto" w:fill="auto"/>
            <w:noWrap/>
            <w:vAlign w:val="bottom"/>
            <w:hideMark/>
          </w:tcPr>
          <w:p w14:paraId="177EA41C" w14:textId="77777777" w:rsidR="00E30E46" w:rsidRPr="004E74A6" w:rsidRDefault="00E30E46" w:rsidP="00CE62C1">
            <w:pPr>
              <w:spacing w:line="276" w:lineRule="auto"/>
              <w:jc w:val="left"/>
              <w:rPr>
                <w:rFonts w:cs="Calibri"/>
                <w:color w:val="000000"/>
                <w:sz w:val="20"/>
                <w:lang w:eastAsia="es-CR"/>
              </w:rPr>
            </w:pPr>
            <w:r w:rsidRPr="004E74A6">
              <w:rPr>
                <w:rFonts w:cs="Calibri"/>
                <w:color w:val="000000"/>
                <w:sz w:val="20"/>
                <w:lang w:eastAsia="es-CR"/>
              </w:rPr>
              <w:t>Incidentes Procesales</w:t>
            </w:r>
          </w:p>
        </w:tc>
        <w:tc>
          <w:tcPr>
            <w:tcW w:w="602" w:type="pct"/>
            <w:tcBorders>
              <w:left w:val="single" w:sz="4" w:space="0" w:color="auto"/>
              <w:right w:val="single" w:sz="4" w:space="0" w:color="auto"/>
            </w:tcBorders>
            <w:shd w:val="clear" w:color="auto" w:fill="auto"/>
            <w:noWrap/>
            <w:vAlign w:val="bottom"/>
            <w:hideMark/>
          </w:tcPr>
          <w:p w14:paraId="706A85B5" w14:textId="3B650F8F" w:rsidR="00E30E46" w:rsidRPr="004E74A6" w:rsidRDefault="00E30E46" w:rsidP="00CE62C1">
            <w:pPr>
              <w:spacing w:line="276" w:lineRule="auto"/>
              <w:jc w:val="center"/>
              <w:rPr>
                <w:rFonts w:cs="Calibri"/>
                <w:color w:val="000000"/>
                <w:sz w:val="20"/>
                <w:lang w:eastAsia="es-CR"/>
              </w:rPr>
            </w:pPr>
            <w:r w:rsidRPr="004E74A6">
              <w:rPr>
                <w:rFonts w:cs="Calibri"/>
                <w:color w:val="000000"/>
                <w:sz w:val="20"/>
              </w:rPr>
              <w:t>14</w:t>
            </w:r>
          </w:p>
        </w:tc>
        <w:tc>
          <w:tcPr>
            <w:tcW w:w="600" w:type="pct"/>
            <w:tcBorders>
              <w:left w:val="single" w:sz="4" w:space="0" w:color="auto"/>
              <w:right w:val="single" w:sz="4" w:space="0" w:color="auto"/>
            </w:tcBorders>
            <w:shd w:val="clear" w:color="auto" w:fill="auto"/>
            <w:noWrap/>
            <w:vAlign w:val="bottom"/>
            <w:hideMark/>
          </w:tcPr>
          <w:p w14:paraId="41987228" w14:textId="7C35CD52" w:rsidR="00E30E46" w:rsidRPr="004E74A6" w:rsidRDefault="00E30E46" w:rsidP="00CE62C1">
            <w:pPr>
              <w:spacing w:line="276" w:lineRule="auto"/>
              <w:jc w:val="center"/>
              <w:rPr>
                <w:rFonts w:cs="Calibri"/>
                <w:color w:val="000000"/>
                <w:sz w:val="20"/>
                <w:lang w:eastAsia="es-CR"/>
              </w:rPr>
            </w:pPr>
            <w:r w:rsidRPr="004E74A6">
              <w:rPr>
                <w:rFonts w:cs="Calibri"/>
                <w:color w:val="000000"/>
                <w:sz w:val="20"/>
              </w:rPr>
              <w:t>6</w:t>
            </w:r>
          </w:p>
        </w:tc>
        <w:tc>
          <w:tcPr>
            <w:tcW w:w="598" w:type="pct"/>
            <w:tcBorders>
              <w:left w:val="single" w:sz="4" w:space="0" w:color="auto"/>
              <w:right w:val="single" w:sz="4" w:space="0" w:color="auto"/>
            </w:tcBorders>
            <w:shd w:val="clear" w:color="auto" w:fill="auto"/>
            <w:noWrap/>
            <w:vAlign w:val="bottom"/>
            <w:hideMark/>
          </w:tcPr>
          <w:p w14:paraId="106036AF" w14:textId="63205ADA" w:rsidR="00E30E46" w:rsidRPr="004E74A6" w:rsidRDefault="00E30E46" w:rsidP="00CE62C1">
            <w:pPr>
              <w:spacing w:line="276" w:lineRule="auto"/>
              <w:jc w:val="center"/>
              <w:rPr>
                <w:rFonts w:cs="Calibri"/>
                <w:color w:val="000000"/>
                <w:sz w:val="20"/>
                <w:lang w:eastAsia="es-CR"/>
              </w:rPr>
            </w:pPr>
            <w:r w:rsidRPr="004E74A6">
              <w:rPr>
                <w:rFonts w:cs="Calibri"/>
                <w:color w:val="000000"/>
                <w:sz w:val="20"/>
              </w:rPr>
              <w:t>2</w:t>
            </w:r>
          </w:p>
        </w:tc>
        <w:tc>
          <w:tcPr>
            <w:tcW w:w="800" w:type="pct"/>
            <w:tcBorders>
              <w:left w:val="single" w:sz="4" w:space="0" w:color="auto"/>
            </w:tcBorders>
            <w:shd w:val="clear" w:color="auto" w:fill="auto"/>
            <w:noWrap/>
            <w:vAlign w:val="bottom"/>
            <w:hideMark/>
          </w:tcPr>
          <w:p w14:paraId="561E9C5B" w14:textId="1CFC9A1A" w:rsidR="00E30E46" w:rsidRPr="004E74A6" w:rsidRDefault="00E30E46" w:rsidP="00CE62C1">
            <w:pPr>
              <w:spacing w:line="276" w:lineRule="auto"/>
              <w:jc w:val="center"/>
              <w:rPr>
                <w:rFonts w:cs="Calibri"/>
                <w:color w:val="000000"/>
                <w:sz w:val="20"/>
                <w:lang w:eastAsia="es-CR"/>
              </w:rPr>
            </w:pPr>
            <w:r w:rsidRPr="004E74A6">
              <w:rPr>
                <w:rFonts w:cs="Calibri"/>
                <w:color w:val="000000"/>
                <w:sz w:val="20"/>
              </w:rPr>
              <w:t>7,3</w:t>
            </w:r>
          </w:p>
        </w:tc>
      </w:tr>
      <w:tr w:rsidR="00E30E46" w:rsidRPr="004E74A6" w14:paraId="6C709E24" w14:textId="77777777" w:rsidTr="00B32800">
        <w:trPr>
          <w:trHeight w:val="288"/>
          <w:jc w:val="center"/>
        </w:trPr>
        <w:tc>
          <w:tcPr>
            <w:tcW w:w="2400" w:type="pct"/>
            <w:tcBorders>
              <w:right w:val="single" w:sz="4" w:space="0" w:color="auto"/>
            </w:tcBorders>
            <w:shd w:val="clear" w:color="auto" w:fill="auto"/>
            <w:noWrap/>
            <w:vAlign w:val="bottom"/>
            <w:hideMark/>
          </w:tcPr>
          <w:p w14:paraId="01B4DFD4" w14:textId="77777777" w:rsidR="00E30E46" w:rsidRPr="004E74A6" w:rsidRDefault="00E30E46" w:rsidP="00CE62C1">
            <w:pPr>
              <w:spacing w:line="276" w:lineRule="auto"/>
              <w:jc w:val="left"/>
              <w:rPr>
                <w:rFonts w:cs="Calibri"/>
                <w:color w:val="000000"/>
                <w:sz w:val="20"/>
                <w:lang w:eastAsia="es-CR"/>
              </w:rPr>
            </w:pPr>
            <w:r w:rsidRPr="004E74A6">
              <w:rPr>
                <w:rFonts w:cs="Calibri"/>
                <w:color w:val="000000"/>
                <w:sz w:val="20"/>
                <w:lang w:eastAsia="es-CR"/>
              </w:rPr>
              <w:t>Legajo De Ejecución Provisional</w:t>
            </w:r>
          </w:p>
        </w:tc>
        <w:tc>
          <w:tcPr>
            <w:tcW w:w="602" w:type="pct"/>
            <w:tcBorders>
              <w:left w:val="single" w:sz="4" w:space="0" w:color="auto"/>
              <w:right w:val="single" w:sz="4" w:space="0" w:color="auto"/>
            </w:tcBorders>
            <w:shd w:val="clear" w:color="auto" w:fill="auto"/>
            <w:noWrap/>
            <w:vAlign w:val="bottom"/>
            <w:hideMark/>
          </w:tcPr>
          <w:p w14:paraId="12FB79B2" w14:textId="21B0A0F4" w:rsidR="00E30E46" w:rsidRPr="004E74A6" w:rsidRDefault="00E30E46" w:rsidP="00CE62C1">
            <w:pPr>
              <w:spacing w:line="276" w:lineRule="auto"/>
              <w:jc w:val="center"/>
              <w:rPr>
                <w:sz w:val="20"/>
                <w:lang w:eastAsia="es-CR"/>
              </w:rPr>
            </w:pPr>
            <w:r w:rsidRPr="004E74A6">
              <w:rPr>
                <w:rFonts w:cs="Calibri"/>
                <w:color w:val="000000"/>
                <w:sz w:val="20"/>
              </w:rPr>
              <w:t>0</w:t>
            </w:r>
          </w:p>
        </w:tc>
        <w:tc>
          <w:tcPr>
            <w:tcW w:w="600" w:type="pct"/>
            <w:tcBorders>
              <w:left w:val="single" w:sz="4" w:space="0" w:color="auto"/>
              <w:right w:val="single" w:sz="4" w:space="0" w:color="auto"/>
            </w:tcBorders>
            <w:shd w:val="clear" w:color="auto" w:fill="auto"/>
            <w:noWrap/>
            <w:vAlign w:val="bottom"/>
            <w:hideMark/>
          </w:tcPr>
          <w:p w14:paraId="5478658D" w14:textId="06F37808" w:rsidR="00E30E46" w:rsidRPr="004E74A6" w:rsidRDefault="00E30E46" w:rsidP="00CE62C1">
            <w:pPr>
              <w:spacing w:line="276" w:lineRule="auto"/>
              <w:jc w:val="center"/>
              <w:rPr>
                <w:rFonts w:cs="Calibri"/>
                <w:color w:val="000000"/>
                <w:sz w:val="20"/>
                <w:lang w:eastAsia="es-CR"/>
              </w:rPr>
            </w:pPr>
            <w:r w:rsidRPr="004E74A6">
              <w:rPr>
                <w:rFonts w:cs="Calibri"/>
                <w:color w:val="000000"/>
                <w:sz w:val="20"/>
              </w:rPr>
              <w:t>1</w:t>
            </w:r>
          </w:p>
        </w:tc>
        <w:tc>
          <w:tcPr>
            <w:tcW w:w="598" w:type="pct"/>
            <w:tcBorders>
              <w:left w:val="single" w:sz="4" w:space="0" w:color="auto"/>
              <w:right w:val="single" w:sz="4" w:space="0" w:color="auto"/>
            </w:tcBorders>
            <w:shd w:val="clear" w:color="auto" w:fill="auto"/>
            <w:noWrap/>
            <w:vAlign w:val="bottom"/>
            <w:hideMark/>
          </w:tcPr>
          <w:p w14:paraId="29DCB26F" w14:textId="45506DD3" w:rsidR="00E30E46" w:rsidRPr="004E74A6" w:rsidRDefault="00E30E46" w:rsidP="00CE62C1">
            <w:pPr>
              <w:spacing w:line="276" w:lineRule="auto"/>
              <w:jc w:val="center"/>
              <w:rPr>
                <w:rFonts w:cs="Calibri"/>
                <w:color w:val="000000"/>
                <w:sz w:val="20"/>
                <w:lang w:eastAsia="es-CR"/>
              </w:rPr>
            </w:pPr>
            <w:r w:rsidRPr="004E74A6">
              <w:rPr>
                <w:rFonts w:cs="Calibri"/>
                <w:color w:val="000000"/>
                <w:sz w:val="20"/>
              </w:rPr>
              <w:t>0</w:t>
            </w:r>
          </w:p>
        </w:tc>
        <w:tc>
          <w:tcPr>
            <w:tcW w:w="800" w:type="pct"/>
            <w:tcBorders>
              <w:left w:val="single" w:sz="4" w:space="0" w:color="auto"/>
            </w:tcBorders>
            <w:shd w:val="clear" w:color="auto" w:fill="auto"/>
            <w:noWrap/>
            <w:vAlign w:val="bottom"/>
            <w:hideMark/>
          </w:tcPr>
          <w:p w14:paraId="12B6087F" w14:textId="31AAB7FC" w:rsidR="00E30E46" w:rsidRPr="004E74A6" w:rsidRDefault="00E30E46" w:rsidP="00CE62C1">
            <w:pPr>
              <w:spacing w:line="276" w:lineRule="auto"/>
              <w:jc w:val="center"/>
              <w:rPr>
                <w:rFonts w:cs="Calibri"/>
                <w:color w:val="000000"/>
                <w:sz w:val="20"/>
                <w:lang w:eastAsia="es-CR"/>
              </w:rPr>
            </w:pPr>
            <w:r w:rsidRPr="004E74A6">
              <w:rPr>
                <w:rFonts w:cs="Calibri"/>
                <w:color w:val="000000"/>
                <w:sz w:val="20"/>
              </w:rPr>
              <w:t>0,3</w:t>
            </w:r>
          </w:p>
        </w:tc>
      </w:tr>
      <w:tr w:rsidR="00E30E46" w:rsidRPr="004E74A6" w14:paraId="52099ED2" w14:textId="77777777" w:rsidTr="00B32800">
        <w:trPr>
          <w:trHeight w:val="288"/>
          <w:jc w:val="center"/>
        </w:trPr>
        <w:tc>
          <w:tcPr>
            <w:tcW w:w="2400" w:type="pct"/>
            <w:tcBorders>
              <w:right w:val="single" w:sz="4" w:space="0" w:color="auto"/>
            </w:tcBorders>
            <w:shd w:val="clear" w:color="auto" w:fill="auto"/>
            <w:noWrap/>
            <w:vAlign w:val="bottom"/>
            <w:hideMark/>
          </w:tcPr>
          <w:p w14:paraId="376FB926" w14:textId="77777777" w:rsidR="00E30E46" w:rsidRPr="004E74A6" w:rsidRDefault="00E30E46" w:rsidP="00CE62C1">
            <w:pPr>
              <w:spacing w:line="276" w:lineRule="auto"/>
              <w:jc w:val="left"/>
              <w:rPr>
                <w:rFonts w:cs="Calibri"/>
                <w:color w:val="000000"/>
                <w:sz w:val="20"/>
                <w:lang w:eastAsia="es-CR"/>
              </w:rPr>
            </w:pPr>
            <w:r w:rsidRPr="004E74A6">
              <w:rPr>
                <w:rFonts w:cs="Calibri"/>
                <w:color w:val="000000"/>
                <w:sz w:val="20"/>
                <w:lang w:eastAsia="es-CR"/>
              </w:rPr>
              <w:t>Legajo Medida Cautelar Anticipada</w:t>
            </w:r>
          </w:p>
        </w:tc>
        <w:tc>
          <w:tcPr>
            <w:tcW w:w="602" w:type="pct"/>
            <w:tcBorders>
              <w:left w:val="single" w:sz="4" w:space="0" w:color="auto"/>
              <w:right w:val="single" w:sz="4" w:space="0" w:color="auto"/>
            </w:tcBorders>
            <w:shd w:val="clear" w:color="auto" w:fill="auto"/>
            <w:noWrap/>
            <w:vAlign w:val="bottom"/>
            <w:hideMark/>
          </w:tcPr>
          <w:p w14:paraId="541EBA33" w14:textId="7D6106B3" w:rsidR="00E30E46" w:rsidRPr="004E74A6" w:rsidRDefault="00E30E46" w:rsidP="00CE62C1">
            <w:pPr>
              <w:spacing w:line="276" w:lineRule="auto"/>
              <w:jc w:val="center"/>
              <w:rPr>
                <w:sz w:val="20"/>
                <w:lang w:eastAsia="es-CR"/>
              </w:rPr>
            </w:pPr>
            <w:r w:rsidRPr="004E74A6">
              <w:rPr>
                <w:rFonts w:cs="Calibri"/>
                <w:color w:val="000000"/>
                <w:sz w:val="20"/>
              </w:rPr>
              <w:t>0</w:t>
            </w:r>
          </w:p>
        </w:tc>
        <w:tc>
          <w:tcPr>
            <w:tcW w:w="600" w:type="pct"/>
            <w:tcBorders>
              <w:left w:val="single" w:sz="4" w:space="0" w:color="auto"/>
              <w:right w:val="single" w:sz="4" w:space="0" w:color="auto"/>
            </w:tcBorders>
            <w:shd w:val="clear" w:color="auto" w:fill="auto"/>
            <w:noWrap/>
            <w:vAlign w:val="bottom"/>
            <w:hideMark/>
          </w:tcPr>
          <w:p w14:paraId="39DA16BC" w14:textId="6E052B8E" w:rsidR="00E30E46" w:rsidRPr="004E74A6" w:rsidRDefault="00E30E46" w:rsidP="00CE62C1">
            <w:pPr>
              <w:spacing w:line="276" w:lineRule="auto"/>
              <w:jc w:val="center"/>
              <w:rPr>
                <w:rFonts w:cs="Calibri"/>
                <w:color w:val="000000"/>
                <w:sz w:val="20"/>
                <w:lang w:eastAsia="es-CR"/>
              </w:rPr>
            </w:pPr>
            <w:r w:rsidRPr="004E74A6">
              <w:rPr>
                <w:rFonts w:cs="Calibri"/>
                <w:color w:val="000000"/>
                <w:sz w:val="20"/>
              </w:rPr>
              <w:t>1</w:t>
            </w:r>
          </w:p>
        </w:tc>
        <w:tc>
          <w:tcPr>
            <w:tcW w:w="598" w:type="pct"/>
            <w:tcBorders>
              <w:left w:val="single" w:sz="4" w:space="0" w:color="auto"/>
              <w:right w:val="single" w:sz="4" w:space="0" w:color="auto"/>
            </w:tcBorders>
            <w:shd w:val="clear" w:color="auto" w:fill="auto"/>
            <w:noWrap/>
            <w:vAlign w:val="bottom"/>
            <w:hideMark/>
          </w:tcPr>
          <w:p w14:paraId="7EA70CD3" w14:textId="5764DD6C" w:rsidR="00E30E46" w:rsidRPr="004E74A6" w:rsidRDefault="00E30E46" w:rsidP="00CE62C1">
            <w:pPr>
              <w:spacing w:line="276" w:lineRule="auto"/>
              <w:jc w:val="center"/>
              <w:rPr>
                <w:rFonts w:cs="Calibri"/>
                <w:color w:val="000000"/>
                <w:sz w:val="20"/>
                <w:lang w:eastAsia="es-CR"/>
              </w:rPr>
            </w:pPr>
            <w:r w:rsidRPr="004E74A6">
              <w:rPr>
                <w:rFonts w:cs="Calibri"/>
                <w:color w:val="000000"/>
                <w:sz w:val="20"/>
              </w:rPr>
              <w:t>0</w:t>
            </w:r>
          </w:p>
        </w:tc>
        <w:tc>
          <w:tcPr>
            <w:tcW w:w="800" w:type="pct"/>
            <w:tcBorders>
              <w:left w:val="single" w:sz="4" w:space="0" w:color="auto"/>
            </w:tcBorders>
            <w:shd w:val="clear" w:color="auto" w:fill="auto"/>
            <w:noWrap/>
            <w:vAlign w:val="bottom"/>
            <w:hideMark/>
          </w:tcPr>
          <w:p w14:paraId="69A3F562" w14:textId="3CCAEEE2" w:rsidR="00E30E46" w:rsidRPr="004E74A6" w:rsidRDefault="00E30E46" w:rsidP="00CE62C1">
            <w:pPr>
              <w:spacing w:line="276" w:lineRule="auto"/>
              <w:jc w:val="center"/>
              <w:rPr>
                <w:rFonts w:cs="Calibri"/>
                <w:color w:val="000000"/>
                <w:sz w:val="20"/>
                <w:lang w:eastAsia="es-CR"/>
              </w:rPr>
            </w:pPr>
            <w:r w:rsidRPr="004E74A6">
              <w:rPr>
                <w:rFonts w:cs="Calibri"/>
                <w:color w:val="000000"/>
                <w:sz w:val="20"/>
              </w:rPr>
              <w:t>0,3</w:t>
            </w:r>
          </w:p>
        </w:tc>
      </w:tr>
      <w:tr w:rsidR="00E30E46" w:rsidRPr="004E74A6" w14:paraId="2DFE874B" w14:textId="77777777" w:rsidTr="00B32800">
        <w:trPr>
          <w:trHeight w:val="288"/>
          <w:jc w:val="center"/>
        </w:trPr>
        <w:tc>
          <w:tcPr>
            <w:tcW w:w="2400" w:type="pct"/>
            <w:tcBorders>
              <w:right w:val="single" w:sz="4" w:space="0" w:color="auto"/>
            </w:tcBorders>
            <w:shd w:val="clear" w:color="auto" w:fill="auto"/>
            <w:noWrap/>
            <w:vAlign w:val="bottom"/>
            <w:hideMark/>
          </w:tcPr>
          <w:p w14:paraId="561EBF8C" w14:textId="77777777" w:rsidR="00E30E46" w:rsidRPr="004E74A6" w:rsidRDefault="00E30E46" w:rsidP="00CE62C1">
            <w:pPr>
              <w:spacing w:line="276" w:lineRule="auto"/>
              <w:jc w:val="left"/>
              <w:rPr>
                <w:rFonts w:cs="Calibri"/>
                <w:color w:val="000000"/>
                <w:sz w:val="20"/>
                <w:lang w:eastAsia="es-CR"/>
              </w:rPr>
            </w:pPr>
            <w:r w:rsidRPr="004E74A6">
              <w:rPr>
                <w:rFonts w:cs="Calibri"/>
                <w:color w:val="000000"/>
                <w:sz w:val="20"/>
                <w:lang w:eastAsia="es-CR"/>
              </w:rPr>
              <w:t>Principal</w:t>
            </w:r>
          </w:p>
        </w:tc>
        <w:tc>
          <w:tcPr>
            <w:tcW w:w="602" w:type="pct"/>
            <w:tcBorders>
              <w:left w:val="single" w:sz="4" w:space="0" w:color="auto"/>
              <w:right w:val="single" w:sz="4" w:space="0" w:color="auto"/>
            </w:tcBorders>
            <w:shd w:val="clear" w:color="auto" w:fill="auto"/>
            <w:noWrap/>
            <w:vAlign w:val="bottom"/>
            <w:hideMark/>
          </w:tcPr>
          <w:p w14:paraId="74A72EDB" w14:textId="0ADF76E6" w:rsidR="00E30E46" w:rsidRPr="004E74A6" w:rsidRDefault="00E30E46" w:rsidP="00CE62C1">
            <w:pPr>
              <w:spacing w:line="276" w:lineRule="auto"/>
              <w:jc w:val="center"/>
              <w:rPr>
                <w:rFonts w:cs="Calibri"/>
                <w:color w:val="000000"/>
                <w:sz w:val="20"/>
                <w:lang w:eastAsia="es-CR"/>
              </w:rPr>
            </w:pPr>
            <w:r w:rsidRPr="004E74A6">
              <w:rPr>
                <w:rFonts w:cs="Calibri"/>
                <w:color w:val="000000"/>
                <w:sz w:val="20"/>
              </w:rPr>
              <w:t>127</w:t>
            </w:r>
          </w:p>
        </w:tc>
        <w:tc>
          <w:tcPr>
            <w:tcW w:w="600" w:type="pct"/>
            <w:tcBorders>
              <w:left w:val="single" w:sz="4" w:space="0" w:color="auto"/>
              <w:right w:val="single" w:sz="4" w:space="0" w:color="auto"/>
            </w:tcBorders>
            <w:shd w:val="clear" w:color="auto" w:fill="auto"/>
            <w:noWrap/>
            <w:vAlign w:val="bottom"/>
            <w:hideMark/>
          </w:tcPr>
          <w:p w14:paraId="4CBD6EF6" w14:textId="06CE647B" w:rsidR="00E30E46" w:rsidRPr="004E74A6" w:rsidRDefault="00E30E46" w:rsidP="00CE62C1">
            <w:pPr>
              <w:spacing w:line="276" w:lineRule="auto"/>
              <w:jc w:val="center"/>
              <w:rPr>
                <w:rFonts w:cs="Calibri"/>
                <w:color w:val="000000"/>
                <w:sz w:val="20"/>
                <w:lang w:eastAsia="es-CR"/>
              </w:rPr>
            </w:pPr>
            <w:r w:rsidRPr="004E74A6">
              <w:rPr>
                <w:rFonts w:cs="Calibri"/>
                <w:color w:val="000000"/>
                <w:sz w:val="20"/>
              </w:rPr>
              <w:t>102</w:t>
            </w:r>
          </w:p>
        </w:tc>
        <w:tc>
          <w:tcPr>
            <w:tcW w:w="598" w:type="pct"/>
            <w:tcBorders>
              <w:left w:val="single" w:sz="4" w:space="0" w:color="auto"/>
              <w:right w:val="single" w:sz="4" w:space="0" w:color="auto"/>
            </w:tcBorders>
            <w:shd w:val="clear" w:color="auto" w:fill="auto"/>
            <w:noWrap/>
            <w:vAlign w:val="bottom"/>
            <w:hideMark/>
          </w:tcPr>
          <w:p w14:paraId="1A56A052" w14:textId="6A377E94" w:rsidR="00E30E46" w:rsidRPr="004E74A6" w:rsidRDefault="00E30E46" w:rsidP="00CE62C1">
            <w:pPr>
              <w:spacing w:line="276" w:lineRule="auto"/>
              <w:jc w:val="center"/>
              <w:rPr>
                <w:rFonts w:cs="Calibri"/>
                <w:color w:val="000000"/>
                <w:sz w:val="20"/>
                <w:lang w:eastAsia="es-CR"/>
              </w:rPr>
            </w:pPr>
            <w:r w:rsidRPr="004E74A6">
              <w:rPr>
                <w:rFonts w:cs="Calibri"/>
                <w:color w:val="000000"/>
                <w:sz w:val="20"/>
              </w:rPr>
              <w:t>133</w:t>
            </w:r>
          </w:p>
        </w:tc>
        <w:tc>
          <w:tcPr>
            <w:tcW w:w="800" w:type="pct"/>
            <w:tcBorders>
              <w:left w:val="single" w:sz="4" w:space="0" w:color="auto"/>
            </w:tcBorders>
            <w:shd w:val="clear" w:color="auto" w:fill="auto"/>
            <w:noWrap/>
            <w:vAlign w:val="bottom"/>
            <w:hideMark/>
          </w:tcPr>
          <w:p w14:paraId="0851322C" w14:textId="0DACD4E0" w:rsidR="00E30E46" w:rsidRPr="004E74A6" w:rsidRDefault="00E30E46" w:rsidP="00CE62C1">
            <w:pPr>
              <w:spacing w:line="276" w:lineRule="auto"/>
              <w:jc w:val="center"/>
              <w:rPr>
                <w:rFonts w:cs="Calibri"/>
                <w:color w:val="000000"/>
                <w:sz w:val="20"/>
                <w:lang w:eastAsia="es-CR"/>
              </w:rPr>
            </w:pPr>
            <w:r w:rsidRPr="004E74A6">
              <w:rPr>
                <w:rFonts w:cs="Calibri"/>
                <w:color w:val="000000"/>
                <w:sz w:val="20"/>
              </w:rPr>
              <w:t>121</w:t>
            </w:r>
          </w:p>
        </w:tc>
      </w:tr>
      <w:tr w:rsidR="00E30E46" w:rsidRPr="004E74A6" w14:paraId="64B7E566" w14:textId="77777777" w:rsidTr="00B32800">
        <w:trPr>
          <w:trHeight w:val="288"/>
          <w:jc w:val="center"/>
        </w:trPr>
        <w:tc>
          <w:tcPr>
            <w:tcW w:w="2400" w:type="pct"/>
            <w:tcBorders>
              <w:right w:val="single" w:sz="4" w:space="0" w:color="auto"/>
            </w:tcBorders>
            <w:shd w:val="clear" w:color="auto" w:fill="auto"/>
            <w:noWrap/>
            <w:vAlign w:val="bottom"/>
            <w:hideMark/>
          </w:tcPr>
          <w:p w14:paraId="189922C3" w14:textId="77777777" w:rsidR="00E30E46" w:rsidRPr="004E74A6" w:rsidRDefault="00E30E46" w:rsidP="00CE62C1">
            <w:pPr>
              <w:spacing w:line="276" w:lineRule="auto"/>
              <w:jc w:val="left"/>
              <w:rPr>
                <w:rFonts w:cs="Calibri"/>
                <w:color w:val="000000"/>
                <w:sz w:val="20"/>
                <w:lang w:eastAsia="es-CR"/>
              </w:rPr>
            </w:pPr>
            <w:r w:rsidRPr="004E74A6">
              <w:rPr>
                <w:rFonts w:cs="Calibri"/>
                <w:color w:val="000000"/>
                <w:sz w:val="20"/>
                <w:lang w:eastAsia="es-CR"/>
              </w:rPr>
              <w:t>Tercerías</w:t>
            </w:r>
          </w:p>
        </w:tc>
        <w:tc>
          <w:tcPr>
            <w:tcW w:w="602" w:type="pct"/>
            <w:tcBorders>
              <w:left w:val="single" w:sz="4" w:space="0" w:color="auto"/>
              <w:right w:val="single" w:sz="4" w:space="0" w:color="auto"/>
            </w:tcBorders>
            <w:shd w:val="clear" w:color="auto" w:fill="auto"/>
            <w:noWrap/>
            <w:vAlign w:val="bottom"/>
            <w:hideMark/>
          </w:tcPr>
          <w:p w14:paraId="45D75680" w14:textId="5A78A2CC" w:rsidR="00E30E46" w:rsidRPr="004E74A6" w:rsidRDefault="00E30E46" w:rsidP="00CE62C1">
            <w:pPr>
              <w:spacing w:line="276" w:lineRule="auto"/>
              <w:jc w:val="center"/>
              <w:rPr>
                <w:rFonts w:cs="Calibri"/>
                <w:color w:val="000000"/>
                <w:sz w:val="20"/>
                <w:lang w:eastAsia="es-CR"/>
              </w:rPr>
            </w:pPr>
            <w:r w:rsidRPr="004E74A6">
              <w:rPr>
                <w:rFonts w:cs="Calibri"/>
                <w:color w:val="000000"/>
                <w:sz w:val="20"/>
              </w:rPr>
              <w:t>1</w:t>
            </w:r>
          </w:p>
        </w:tc>
        <w:tc>
          <w:tcPr>
            <w:tcW w:w="600" w:type="pct"/>
            <w:tcBorders>
              <w:left w:val="single" w:sz="4" w:space="0" w:color="auto"/>
              <w:right w:val="single" w:sz="4" w:space="0" w:color="auto"/>
            </w:tcBorders>
            <w:shd w:val="clear" w:color="auto" w:fill="auto"/>
            <w:noWrap/>
            <w:vAlign w:val="bottom"/>
            <w:hideMark/>
          </w:tcPr>
          <w:p w14:paraId="711E4729" w14:textId="610A5049" w:rsidR="00E30E46" w:rsidRPr="004E74A6" w:rsidRDefault="00E30E46" w:rsidP="00CE62C1">
            <w:pPr>
              <w:spacing w:line="276" w:lineRule="auto"/>
              <w:jc w:val="center"/>
              <w:rPr>
                <w:rFonts w:cs="Calibri"/>
                <w:color w:val="000000"/>
                <w:sz w:val="20"/>
                <w:lang w:eastAsia="es-CR"/>
              </w:rPr>
            </w:pPr>
            <w:r w:rsidRPr="004E74A6">
              <w:rPr>
                <w:rFonts w:cs="Calibri"/>
                <w:color w:val="000000"/>
                <w:sz w:val="20"/>
              </w:rPr>
              <w:t>0</w:t>
            </w:r>
          </w:p>
        </w:tc>
        <w:tc>
          <w:tcPr>
            <w:tcW w:w="598" w:type="pct"/>
            <w:tcBorders>
              <w:left w:val="single" w:sz="4" w:space="0" w:color="auto"/>
              <w:right w:val="single" w:sz="4" w:space="0" w:color="auto"/>
            </w:tcBorders>
            <w:shd w:val="clear" w:color="auto" w:fill="auto"/>
            <w:noWrap/>
            <w:vAlign w:val="bottom"/>
            <w:hideMark/>
          </w:tcPr>
          <w:p w14:paraId="319CE7DB" w14:textId="7DCBF493" w:rsidR="00E30E46" w:rsidRPr="004E74A6" w:rsidRDefault="00E30E46" w:rsidP="00CE62C1">
            <w:pPr>
              <w:spacing w:line="276" w:lineRule="auto"/>
              <w:jc w:val="center"/>
              <w:rPr>
                <w:rFonts w:cs="Calibri"/>
                <w:color w:val="000000"/>
                <w:sz w:val="20"/>
                <w:lang w:eastAsia="es-CR"/>
              </w:rPr>
            </w:pPr>
            <w:r w:rsidRPr="004E74A6">
              <w:rPr>
                <w:rFonts w:cs="Calibri"/>
                <w:color w:val="000000"/>
                <w:sz w:val="20"/>
              </w:rPr>
              <w:t>2</w:t>
            </w:r>
          </w:p>
        </w:tc>
        <w:tc>
          <w:tcPr>
            <w:tcW w:w="800" w:type="pct"/>
            <w:tcBorders>
              <w:left w:val="single" w:sz="4" w:space="0" w:color="auto"/>
            </w:tcBorders>
            <w:shd w:val="clear" w:color="auto" w:fill="auto"/>
            <w:noWrap/>
            <w:vAlign w:val="bottom"/>
            <w:hideMark/>
          </w:tcPr>
          <w:p w14:paraId="6B778F0D" w14:textId="0E704829" w:rsidR="00E30E46" w:rsidRPr="004E74A6" w:rsidRDefault="00E30E46" w:rsidP="00CE62C1">
            <w:pPr>
              <w:spacing w:line="276" w:lineRule="auto"/>
              <w:jc w:val="center"/>
              <w:rPr>
                <w:rFonts w:cs="Calibri"/>
                <w:color w:val="000000"/>
                <w:sz w:val="20"/>
                <w:lang w:eastAsia="es-CR"/>
              </w:rPr>
            </w:pPr>
            <w:r w:rsidRPr="004E74A6">
              <w:rPr>
                <w:rFonts w:cs="Calibri"/>
                <w:color w:val="000000"/>
                <w:sz w:val="20"/>
              </w:rPr>
              <w:t>1</w:t>
            </w:r>
          </w:p>
        </w:tc>
      </w:tr>
      <w:tr w:rsidR="00E30E46" w:rsidRPr="004E74A6" w14:paraId="7B9E7051" w14:textId="77777777" w:rsidTr="00CB44AA">
        <w:trPr>
          <w:trHeight w:val="288"/>
          <w:jc w:val="center"/>
        </w:trPr>
        <w:tc>
          <w:tcPr>
            <w:tcW w:w="2400" w:type="pct"/>
            <w:tcBorders>
              <w:bottom w:val="single" w:sz="4" w:space="0" w:color="auto"/>
              <w:right w:val="single" w:sz="4" w:space="0" w:color="auto"/>
            </w:tcBorders>
            <w:shd w:val="clear" w:color="auto" w:fill="auto"/>
            <w:noWrap/>
            <w:vAlign w:val="bottom"/>
          </w:tcPr>
          <w:p w14:paraId="4A075D4F" w14:textId="77777777" w:rsidR="00E30E46" w:rsidRPr="004E74A6" w:rsidRDefault="00E30E46" w:rsidP="00CE62C1">
            <w:pPr>
              <w:spacing w:line="276" w:lineRule="auto"/>
              <w:jc w:val="left"/>
              <w:rPr>
                <w:rFonts w:cs="Calibri"/>
                <w:color w:val="000000"/>
                <w:sz w:val="20"/>
                <w:lang w:eastAsia="es-CR"/>
              </w:rPr>
            </w:pPr>
          </w:p>
        </w:tc>
        <w:tc>
          <w:tcPr>
            <w:tcW w:w="602" w:type="pct"/>
            <w:tcBorders>
              <w:left w:val="single" w:sz="4" w:space="0" w:color="auto"/>
              <w:bottom w:val="single" w:sz="4" w:space="0" w:color="auto"/>
              <w:right w:val="single" w:sz="4" w:space="0" w:color="auto"/>
            </w:tcBorders>
            <w:shd w:val="clear" w:color="auto" w:fill="auto"/>
            <w:noWrap/>
            <w:vAlign w:val="center"/>
          </w:tcPr>
          <w:p w14:paraId="179381DC" w14:textId="77777777" w:rsidR="00E30E46" w:rsidRPr="004E74A6" w:rsidRDefault="00E30E46" w:rsidP="00CE62C1">
            <w:pPr>
              <w:spacing w:line="276" w:lineRule="auto"/>
              <w:jc w:val="center"/>
              <w:rPr>
                <w:rFonts w:cs="Calibri"/>
                <w:color w:val="000000"/>
                <w:sz w:val="20"/>
                <w:lang w:eastAsia="es-CR"/>
              </w:rPr>
            </w:pPr>
          </w:p>
        </w:tc>
        <w:tc>
          <w:tcPr>
            <w:tcW w:w="600" w:type="pct"/>
            <w:tcBorders>
              <w:left w:val="single" w:sz="4" w:space="0" w:color="auto"/>
              <w:bottom w:val="single" w:sz="4" w:space="0" w:color="auto"/>
              <w:right w:val="single" w:sz="4" w:space="0" w:color="auto"/>
            </w:tcBorders>
            <w:shd w:val="clear" w:color="auto" w:fill="auto"/>
            <w:noWrap/>
            <w:vAlign w:val="center"/>
          </w:tcPr>
          <w:p w14:paraId="10E98674" w14:textId="77777777" w:rsidR="00E30E46" w:rsidRPr="004E74A6" w:rsidRDefault="00E30E46" w:rsidP="00CE62C1">
            <w:pPr>
              <w:spacing w:line="276" w:lineRule="auto"/>
              <w:jc w:val="center"/>
              <w:rPr>
                <w:rFonts w:cs="Calibri"/>
                <w:color w:val="000000"/>
                <w:sz w:val="20"/>
                <w:lang w:eastAsia="es-CR"/>
              </w:rPr>
            </w:pPr>
          </w:p>
        </w:tc>
        <w:tc>
          <w:tcPr>
            <w:tcW w:w="598" w:type="pct"/>
            <w:tcBorders>
              <w:left w:val="single" w:sz="4" w:space="0" w:color="auto"/>
              <w:bottom w:val="single" w:sz="4" w:space="0" w:color="auto"/>
              <w:right w:val="single" w:sz="4" w:space="0" w:color="auto"/>
            </w:tcBorders>
            <w:shd w:val="clear" w:color="auto" w:fill="auto"/>
            <w:noWrap/>
            <w:vAlign w:val="center"/>
          </w:tcPr>
          <w:p w14:paraId="69D7C616" w14:textId="77777777" w:rsidR="00E30E46" w:rsidRPr="004E74A6" w:rsidRDefault="00E30E46" w:rsidP="00CE62C1">
            <w:pPr>
              <w:spacing w:line="276" w:lineRule="auto"/>
              <w:jc w:val="center"/>
              <w:rPr>
                <w:rFonts w:cs="Calibri"/>
                <w:color w:val="000000"/>
                <w:sz w:val="20"/>
                <w:lang w:eastAsia="es-CR"/>
              </w:rPr>
            </w:pPr>
          </w:p>
        </w:tc>
        <w:tc>
          <w:tcPr>
            <w:tcW w:w="800" w:type="pct"/>
            <w:tcBorders>
              <w:left w:val="single" w:sz="4" w:space="0" w:color="auto"/>
              <w:bottom w:val="single" w:sz="4" w:space="0" w:color="auto"/>
            </w:tcBorders>
            <w:shd w:val="clear" w:color="auto" w:fill="auto"/>
            <w:noWrap/>
            <w:vAlign w:val="center"/>
          </w:tcPr>
          <w:p w14:paraId="15D731CE" w14:textId="77777777" w:rsidR="00E30E46" w:rsidRPr="004E74A6" w:rsidRDefault="00E30E46" w:rsidP="00CE62C1">
            <w:pPr>
              <w:spacing w:line="276" w:lineRule="auto"/>
              <w:jc w:val="center"/>
              <w:rPr>
                <w:rFonts w:cs="Calibri"/>
                <w:color w:val="000000"/>
                <w:sz w:val="20"/>
                <w:lang w:eastAsia="es-CR"/>
              </w:rPr>
            </w:pPr>
          </w:p>
        </w:tc>
      </w:tr>
    </w:tbl>
    <w:p w14:paraId="06816788" w14:textId="2ABE6118" w:rsidR="003E4755" w:rsidRPr="004E74A6" w:rsidRDefault="007464A7" w:rsidP="00832773">
      <w:pPr>
        <w:spacing w:line="276" w:lineRule="auto"/>
        <w:ind w:left="907" w:right="907"/>
        <w:rPr>
          <w:rFonts w:cs="Calibri"/>
          <w:i/>
          <w:iCs/>
          <w:color w:val="000000"/>
          <w:sz w:val="20"/>
          <w:lang w:eastAsia="es-CR"/>
        </w:rPr>
      </w:pPr>
      <w:r w:rsidRPr="004E74A6">
        <w:rPr>
          <w:rFonts w:cs="Calibri"/>
          <w:b/>
          <w:bCs/>
          <w:i/>
          <w:iCs/>
          <w:color w:val="000000"/>
          <w:sz w:val="20"/>
          <w:lang w:eastAsia="es-CR"/>
        </w:rPr>
        <w:t>F</w:t>
      </w:r>
      <w:r w:rsidR="003E4755" w:rsidRPr="004E74A6">
        <w:rPr>
          <w:rFonts w:cs="Calibri"/>
          <w:b/>
          <w:bCs/>
          <w:i/>
          <w:iCs/>
          <w:color w:val="000000"/>
          <w:sz w:val="20"/>
          <w:lang w:eastAsia="es-CR"/>
        </w:rPr>
        <w:t>uente</w:t>
      </w:r>
      <w:r w:rsidR="003E4755" w:rsidRPr="004E74A6">
        <w:rPr>
          <w:rFonts w:cs="Calibri"/>
          <w:i/>
          <w:iCs/>
          <w:color w:val="000000"/>
          <w:sz w:val="20"/>
          <w:lang w:eastAsia="es-CR"/>
        </w:rPr>
        <w:t>: Subproceso de Modernización Institucional con datos extraídos del sistema SIGMA, Dirección de Planificación.</w:t>
      </w:r>
    </w:p>
    <w:p w14:paraId="0847D462" w14:textId="3FBF82DB" w:rsidR="008647ED" w:rsidRPr="004E74A6" w:rsidRDefault="008647ED" w:rsidP="00832773">
      <w:pPr>
        <w:spacing w:line="276" w:lineRule="auto"/>
        <w:rPr>
          <w:rFonts w:cs="Calibri"/>
          <w:color w:val="000000"/>
          <w:szCs w:val="24"/>
          <w:lang w:eastAsia="es-CR"/>
        </w:rPr>
      </w:pPr>
    </w:p>
    <w:p w14:paraId="46AB57F1" w14:textId="4E65B5A6" w:rsidR="008647ED" w:rsidRPr="004E74A6" w:rsidRDefault="00E30E46" w:rsidP="00CE62C1">
      <w:pPr>
        <w:spacing w:after="160" w:line="276" w:lineRule="auto"/>
        <w:rPr>
          <w:rFonts w:cs="Calibri"/>
          <w:color w:val="000000"/>
          <w:szCs w:val="24"/>
          <w:lang w:eastAsia="es-CR"/>
        </w:rPr>
      </w:pPr>
      <w:r w:rsidRPr="004E74A6">
        <w:rPr>
          <w:rFonts w:cs="Calibri"/>
          <w:color w:val="000000"/>
          <w:szCs w:val="24"/>
          <w:lang w:eastAsia="es-CR"/>
        </w:rPr>
        <w:lastRenderedPageBreak/>
        <w:t xml:space="preserve">Se puede observar aún más a detalle para determinar la clase de asuntos principales, que tal y como lo refleja la siguiente tabla, </w:t>
      </w:r>
      <w:r w:rsidR="008647ED" w:rsidRPr="004E74A6">
        <w:rPr>
          <w:rFonts w:cs="Calibri"/>
          <w:color w:val="000000"/>
          <w:szCs w:val="24"/>
          <w:lang w:eastAsia="es-CR"/>
        </w:rPr>
        <w:t>el 93,5% está compuesto por los asuntos ordinarios, seguido de un 2,2% de medidas cautelares, siendo lo ordinario lo dominante a través de los años.</w:t>
      </w:r>
    </w:p>
    <w:p w14:paraId="3E8D774A" w14:textId="6FA25FF3" w:rsidR="003F416B" w:rsidRPr="00832773" w:rsidRDefault="003F416B" w:rsidP="00F0204A">
      <w:pPr>
        <w:pStyle w:val="Descripcin"/>
        <w:keepNext/>
        <w:spacing w:line="276" w:lineRule="auto"/>
        <w:jc w:val="center"/>
        <w:rPr>
          <w:rFonts w:ascii="Book Antiqua" w:hAnsi="Book Antiqua"/>
          <w:i/>
          <w:iCs/>
          <w:sz w:val="20"/>
          <w:lang w:val="es-CR"/>
        </w:rPr>
      </w:pPr>
      <w:r w:rsidRPr="00832773">
        <w:rPr>
          <w:rFonts w:ascii="Book Antiqua" w:hAnsi="Book Antiqua"/>
          <w:i/>
          <w:iCs/>
          <w:sz w:val="20"/>
          <w:lang w:val="es-CR"/>
        </w:rPr>
        <w:t xml:space="preserve">Tabla </w:t>
      </w:r>
      <w:r w:rsidRPr="00832773">
        <w:rPr>
          <w:rFonts w:ascii="Book Antiqua" w:hAnsi="Book Antiqua"/>
          <w:i/>
          <w:iCs/>
          <w:sz w:val="20"/>
          <w:lang w:val="es-CR"/>
        </w:rPr>
        <w:fldChar w:fldCharType="begin"/>
      </w:r>
      <w:r w:rsidRPr="00832773">
        <w:rPr>
          <w:rFonts w:ascii="Book Antiqua" w:hAnsi="Book Antiqua"/>
          <w:i/>
          <w:iCs/>
          <w:sz w:val="20"/>
          <w:lang w:val="es-CR"/>
        </w:rPr>
        <w:instrText xml:space="preserve"> SEQ Tabla \* ARABIC </w:instrText>
      </w:r>
      <w:r w:rsidRPr="00832773">
        <w:rPr>
          <w:rFonts w:ascii="Book Antiqua" w:hAnsi="Book Antiqua"/>
          <w:i/>
          <w:iCs/>
          <w:sz w:val="20"/>
          <w:lang w:val="es-CR"/>
        </w:rPr>
        <w:fldChar w:fldCharType="separate"/>
      </w:r>
      <w:r w:rsidR="00374B51">
        <w:rPr>
          <w:rFonts w:ascii="Book Antiqua" w:hAnsi="Book Antiqua"/>
          <w:i/>
          <w:iCs/>
          <w:noProof/>
          <w:sz w:val="20"/>
          <w:lang w:val="es-CR"/>
        </w:rPr>
        <w:t>46</w:t>
      </w:r>
      <w:r w:rsidRPr="00832773">
        <w:rPr>
          <w:rFonts w:ascii="Book Antiqua" w:hAnsi="Book Antiqua"/>
          <w:i/>
          <w:iCs/>
          <w:sz w:val="20"/>
          <w:lang w:val="es-CR"/>
        </w:rPr>
        <w:fldChar w:fldCharType="end"/>
      </w:r>
      <w:r w:rsidRPr="00832773">
        <w:rPr>
          <w:rFonts w:ascii="Book Antiqua" w:hAnsi="Book Antiqua"/>
          <w:i/>
          <w:iCs/>
          <w:sz w:val="20"/>
          <w:lang w:val="es-CR"/>
        </w:rPr>
        <w:t xml:space="preserve"> Cantidad de principales según clase de asuntos del 2019 al 2021 para el Tribunal Colegiado de Primera Instancia Civil Primer Circuito Judicial Zona Atlántica</w:t>
      </w:r>
    </w:p>
    <w:tbl>
      <w:tblPr>
        <w:tblW w:w="3631" w:type="pct"/>
        <w:jc w:val="center"/>
        <w:tblCellMar>
          <w:left w:w="70" w:type="dxa"/>
          <w:right w:w="70" w:type="dxa"/>
        </w:tblCellMar>
        <w:tblLook w:val="04A0" w:firstRow="1" w:lastRow="0" w:firstColumn="1" w:lastColumn="0" w:noHBand="0" w:noVBand="1"/>
      </w:tblPr>
      <w:tblGrid>
        <w:gridCol w:w="2795"/>
        <w:gridCol w:w="837"/>
        <w:gridCol w:w="836"/>
        <w:gridCol w:w="836"/>
        <w:gridCol w:w="1116"/>
      </w:tblGrid>
      <w:tr w:rsidR="003F416B" w:rsidRPr="004E74A6" w14:paraId="7CB6C578" w14:textId="77777777" w:rsidTr="003F416B">
        <w:trPr>
          <w:trHeight w:val="454"/>
          <w:tblHeader/>
          <w:jc w:val="center"/>
        </w:trPr>
        <w:tc>
          <w:tcPr>
            <w:tcW w:w="2177" w:type="pct"/>
            <w:tcBorders>
              <w:top w:val="single" w:sz="4" w:space="0" w:color="auto"/>
              <w:left w:val="nil"/>
              <w:bottom w:val="single" w:sz="4" w:space="0" w:color="auto"/>
              <w:right w:val="single" w:sz="4" w:space="0" w:color="auto"/>
            </w:tcBorders>
            <w:shd w:val="clear" w:color="auto" w:fill="auto"/>
            <w:noWrap/>
            <w:vAlign w:val="center"/>
            <w:hideMark/>
          </w:tcPr>
          <w:p w14:paraId="25DEB1AA"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Principal</w:t>
            </w:r>
          </w:p>
        </w:tc>
        <w:tc>
          <w:tcPr>
            <w:tcW w:w="65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B529608"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2019</w:t>
            </w:r>
          </w:p>
        </w:tc>
        <w:tc>
          <w:tcPr>
            <w:tcW w:w="65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A52917D"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2020</w:t>
            </w:r>
          </w:p>
        </w:tc>
        <w:tc>
          <w:tcPr>
            <w:tcW w:w="65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CA4477F"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2021</w:t>
            </w:r>
          </w:p>
        </w:tc>
        <w:tc>
          <w:tcPr>
            <w:tcW w:w="869" w:type="pct"/>
            <w:tcBorders>
              <w:top w:val="single" w:sz="4" w:space="0" w:color="auto"/>
              <w:left w:val="single" w:sz="4" w:space="0" w:color="auto"/>
              <w:bottom w:val="single" w:sz="4" w:space="0" w:color="auto"/>
              <w:right w:val="nil"/>
            </w:tcBorders>
            <w:shd w:val="clear" w:color="auto" w:fill="auto"/>
            <w:noWrap/>
            <w:vAlign w:val="center"/>
          </w:tcPr>
          <w:p w14:paraId="355799DF" w14:textId="1DEB2065" w:rsidR="008647ED" w:rsidRPr="004E74A6" w:rsidRDefault="003F416B" w:rsidP="00CE62C1">
            <w:pPr>
              <w:spacing w:line="276" w:lineRule="auto"/>
              <w:jc w:val="center"/>
              <w:rPr>
                <w:rFonts w:cs="Calibri"/>
                <w:color w:val="000000"/>
                <w:sz w:val="20"/>
                <w:lang w:eastAsia="es-CR"/>
              </w:rPr>
            </w:pPr>
            <w:r w:rsidRPr="004E74A6">
              <w:rPr>
                <w:rFonts w:cs="Calibri"/>
                <w:color w:val="000000"/>
                <w:sz w:val="20"/>
                <w:lang w:eastAsia="es-CR"/>
              </w:rPr>
              <w:t>Promedio</w:t>
            </w:r>
          </w:p>
        </w:tc>
      </w:tr>
      <w:tr w:rsidR="003F416B" w:rsidRPr="004E74A6" w14:paraId="1826F343" w14:textId="77777777" w:rsidTr="003F416B">
        <w:trPr>
          <w:trHeight w:val="288"/>
          <w:jc w:val="center"/>
        </w:trPr>
        <w:tc>
          <w:tcPr>
            <w:tcW w:w="2177" w:type="pct"/>
            <w:tcBorders>
              <w:top w:val="single" w:sz="4" w:space="0" w:color="auto"/>
              <w:left w:val="nil"/>
              <w:bottom w:val="nil"/>
              <w:right w:val="single" w:sz="4" w:space="0" w:color="auto"/>
            </w:tcBorders>
            <w:shd w:val="clear" w:color="auto" w:fill="auto"/>
            <w:noWrap/>
            <w:vAlign w:val="center"/>
          </w:tcPr>
          <w:p w14:paraId="0AC2750C" w14:textId="77777777" w:rsidR="008647ED" w:rsidRPr="004E74A6" w:rsidRDefault="008647ED" w:rsidP="00CE62C1">
            <w:pPr>
              <w:spacing w:line="276" w:lineRule="auto"/>
              <w:ind w:firstLineChars="100" w:firstLine="200"/>
              <w:jc w:val="center"/>
              <w:rPr>
                <w:rFonts w:cs="Calibri"/>
                <w:color w:val="000000"/>
                <w:sz w:val="20"/>
                <w:lang w:eastAsia="es-CR"/>
              </w:rPr>
            </w:pPr>
          </w:p>
        </w:tc>
        <w:tc>
          <w:tcPr>
            <w:tcW w:w="652" w:type="pct"/>
            <w:tcBorders>
              <w:top w:val="single" w:sz="4" w:space="0" w:color="auto"/>
              <w:left w:val="single" w:sz="4" w:space="0" w:color="auto"/>
              <w:bottom w:val="nil"/>
              <w:right w:val="single" w:sz="4" w:space="0" w:color="auto"/>
            </w:tcBorders>
            <w:shd w:val="clear" w:color="auto" w:fill="auto"/>
            <w:noWrap/>
            <w:vAlign w:val="center"/>
          </w:tcPr>
          <w:p w14:paraId="611108ED" w14:textId="77777777" w:rsidR="008647ED" w:rsidRPr="004E74A6" w:rsidRDefault="008647ED" w:rsidP="00CE62C1">
            <w:pPr>
              <w:spacing w:line="276" w:lineRule="auto"/>
              <w:jc w:val="center"/>
              <w:rPr>
                <w:rFonts w:cs="Calibri"/>
                <w:color w:val="000000"/>
                <w:sz w:val="20"/>
                <w:lang w:eastAsia="es-CR"/>
              </w:rPr>
            </w:pPr>
          </w:p>
        </w:tc>
        <w:tc>
          <w:tcPr>
            <w:tcW w:w="651" w:type="pct"/>
            <w:tcBorders>
              <w:top w:val="single" w:sz="4" w:space="0" w:color="auto"/>
              <w:left w:val="single" w:sz="4" w:space="0" w:color="auto"/>
              <w:bottom w:val="nil"/>
              <w:right w:val="single" w:sz="4" w:space="0" w:color="auto"/>
            </w:tcBorders>
            <w:shd w:val="clear" w:color="auto" w:fill="auto"/>
            <w:noWrap/>
            <w:vAlign w:val="center"/>
          </w:tcPr>
          <w:p w14:paraId="65905572" w14:textId="77777777" w:rsidR="008647ED" w:rsidRPr="004E74A6" w:rsidRDefault="008647ED" w:rsidP="00CE62C1">
            <w:pPr>
              <w:spacing w:line="276" w:lineRule="auto"/>
              <w:jc w:val="center"/>
              <w:rPr>
                <w:rFonts w:cs="Calibri"/>
                <w:color w:val="000000"/>
                <w:sz w:val="20"/>
                <w:lang w:eastAsia="es-CR"/>
              </w:rPr>
            </w:pPr>
          </w:p>
        </w:tc>
        <w:tc>
          <w:tcPr>
            <w:tcW w:w="651" w:type="pct"/>
            <w:tcBorders>
              <w:top w:val="single" w:sz="4" w:space="0" w:color="auto"/>
              <w:left w:val="single" w:sz="4" w:space="0" w:color="auto"/>
              <w:bottom w:val="nil"/>
              <w:right w:val="single" w:sz="4" w:space="0" w:color="auto"/>
            </w:tcBorders>
            <w:shd w:val="clear" w:color="auto" w:fill="auto"/>
            <w:noWrap/>
            <w:vAlign w:val="center"/>
          </w:tcPr>
          <w:p w14:paraId="6D2ADF16" w14:textId="77777777" w:rsidR="008647ED" w:rsidRPr="004E74A6" w:rsidRDefault="008647ED" w:rsidP="00CE62C1">
            <w:pPr>
              <w:spacing w:line="276" w:lineRule="auto"/>
              <w:jc w:val="center"/>
              <w:rPr>
                <w:rFonts w:cs="Calibri"/>
                <w:color w:val="000000"/>
                <w:sz w:val="20"/>
                <w:lang w:eastAsia="es-CR"/>
              </w:rPr>
            </w:pPr>
          </w:p>
        </w:tc>
        <w:tc>
          <w:tcPr>
            <w:tcW w:w="869" w:type="pct"/>
            <w:tcBorders>
              <w:top w:val="single" w:sz="4" w:space="0" w:color="auto"/>
              <w:left w:val="single" w:sz="4" w:space="0" w:color="auto"/>
              <w:bottom w:val="nil"/>
              <w:right w:val="nil"/>
            </w:tcBorders>
            <w:shd w:val="clear" w:color="auto" w:fill="auto"/>
            <w:noWrap/>
            <w:vAlign w:val="center"/>
          </w:tcPr>
          <w:p w14:paraId="20BD45AE" w14:textId="77777777" w:rsidR="008647ED" w:rsidRPr="004E74A6" w:rsidRDefault="008647ED" w:rsidP="00CE62C1">
            <w:pPr>
              <w:spacing w:line="276" w:lineRule="auto"/>
              <w:jc w:val="center"/>
              <w:rPr>
                <w:rFonts w:cs="Calibri"/>
                <w:color w:val="000000"/>
                <w:sz w:val="20"/>
                <w:lang w:eastAsia="es-CR"/>
              </w:rPr>
            </w:pPr>
          </w:p>
        </w:tc>
      </w:tr>
      <w:tr w:rsidR="00734CC1" w:rsidRPr="004E74A6" w14:paraId="53243125" w14:textId="77777777" w:rsidTr="00B32800">
        <w:trPr>
          <w:trHeight w:val="288"/>
          <w:jc w:val="center"/>
        </w:trPr>
        <w:tc>
          <w:tcPr>
            <w:tcW w:w="2177" w:type="pct"/>
            <w:tcBorders>
              <w:top w:val="nil"/>
              <w:left w:val="nil"/>
              <w:bottom w:val="nil"/>
              <w:right w:val="single" w:sz="4" w:space="0" w:color="auto"/>
            </w:tcBorders>
            <w:shd w:val="clear" w:color="auto" w:fill="auto"/>
            <w:noWrap/>
            <w:vAlign w:val="center"/>
          </w:tcPr>
          <w:p w14:paraId="294F1D05" w14:textId="77777777" w:rsidR="00734CC1" w:rsidRPr="004E74A6" w:rsidRDefault="00734CC1" w:rsidP="00CE62C1">
            <w:pPr>
              <w:spacing w:line="276" w:lineRule="auto"/>
              <w:jc w:val="center"/>
              <w:rPr>
                <w:rFonts w:cs="Calibri"/>
                <w:color w:val="000000"/>
                <w:sz w:val="20"/>
                <w:lang w:eastAsia="es-CR"/>
              </w:rPr>
            </w:pPr>
            <w:r w:rsidRPr="004E74A6">
              <w:rPr>
                <w:rFonts w:cs="Calibri"/>
                <w:color w:val="000000"/>
                <w:sz w:val="20"/>
                <w:lang w:eastAsia="es-CR"/>
              </w:rPr>
              <w:t>Total</w:t>
            </w:r>
          </w:p>
        </w:tc>
        <w:tc>
          <w:tcPr>
            <w:tcW w:w="652" w:type="pct"/>
            <w:tcBorders>
              <w:top w:val="nil"/>
              <w:left w:val="single" w:sz="4" w:space="0" w:color="auto"/>
              <w:bottom w:val="nil"/>
              <w:right w:val="single" w:sz="4" w:space="0" w:color="auto"/>
            </w:tcBorders>
            <w:shd w:val="clear" w:color="auto" w:fill="auto"/>
            <w:noWrap/>
            <w:vAlign w:val="bottom"/>
          </w:tcPr>
          <w:p w14:paraId="5B190DD3" w14:textId="52585BD1" w:rsidR="00734CC1" w:rsidRPr="004E74A6" w:rsidRDefault="00734CC1" w:rsidP="00CE62C1">
            <w:pPr>
              <w:spacing w:line="276" w:lineRule="auto"/>
              <w:jc w:val="center"/>
              <w:rPr>
                <w:rFonts w:cs="Calibri"/>
                <w:color w:val="000000"/>
                <w:sz w:val="20"/>
                <w:lang w:eastAsia="es-CR"/>
              </w:rPr>
            </w:pPr>
            <w:r w:rsidRPr="004E74A6">
              <w:rPr>
                <w:rFonts w:cs="Calibri"/>
                <w:color w:val="000000"/>
                <w:sz w:val="20"/>
              </w:rPr>
              <w:t>127</w:t>
            </w:r>
          </w:p>
        </w:tc>
        <w:tc>
          <w:tcPr>
            <w:tcW w:w="651" w:type="pct"/>
            <w:tcBorders>
              <w:top w:val="nil"/>
              <w:left w:val="single" w:sz="4" w:space="0" w:color="auto"/>
              <w:bottom w:val="nil"/>
              <w:right w:val="single" w:sz="4" w:space="0" w:color="auto"/>
            </w:tcBorders>
            <w:shd w:val="clear" w:color="auto" w:fill="auto"/>
            <w:noWrap/>
            <w:vAlign w:val="bottom"/>
          </w:tcPr>
          <w:p w14:paraId="6B343CA7" w14:textId="50965DD5" w:rsidR="00734CC1" w:rsidRPr="004E74A6" w:rsidRDefault="00734CC1" w:rsidP="00CE62C1">
            <w:pPr>
              <w:spacing w:line="276" w:lineRule="auto"/>
              <w:jc w:val="center"/>
              <w:rPr>
                <w:rFonts w:cs="Calibri"/>
                <w:color w:val="000000"/>
                <w:sz w:val="20"/>
                <w:lang w:eastAsia="es-CR"/>
              </w:rPr>
            </w:pPr>
            <w:r w:rsidRPr="004E74A6">
              <w:rPr>
                <w:rFonts w:cs="Calibri"/>
                <w:color w:val="000000"/>
                <w:sz w:val="20"/>
              </w:rPr>
              <w:t>102</w:t>
            </w:r>
          </w:p>
        </w:tc>
        <w:tc>
          <w:tcPr>
            <w:tcW w:w="651" w:type="pct"/>
            <w:tcBorders>
              <w:top w:val="nil"/>
              <w:left w:val="single" w:sz="4" w:space="0" w:color="auto"/>
              <w:bottom w:val="nil"/>
              <w:right w:val="single" w:sz="4" w:space="0" w:color="auto"/>
            </w:tcBorders>
            <w:shd w:val="clear" w:color="auto" w:fill="auto"/>
            <w:noWrap/>
            <w:vAlign w:val="bottom"/>
          </w:tcPr>
          <w:p w14:paraId="4E07CD2D" w14:textId="4A26B956" w:rsidR="00734CC1" w:rsidRPr="004E74A6" w:rsidRDefault="00734CC1" w:rsidP="00CE62C1">
            <w:pPr>
              <w:spacing w:line="276" w:lineRule="auto"/>
              <w:jc w:val="center"/>
              <w:rPr>
                <w:rFonts w:cs="Calibri"/>
                <w:color w:val="000000"/>
                <w:sz w:val="20"/>
                <w:lang w:eastAsia="es-CR"/>
              </w:rPr>
            </w:pPr>
            <w:r w:rsidRPr="004E74A6">
              <w:rPr>
                <w:rFonts w:cs="Calibri"/>
                <w:color w:val="000000"/>
                <w:sz w:val="20"/>
              </w:rPr>
              <w:t>133</w:t>
            </w:r>
          </w:p>
        </w:tc>
        <w:tc>
          <w:tcPr>
            <w:tcW w:w="869" w:type="pct"/>
            <w:tcBorders>
              <w:top w:val="nil"/>
              <w:left w:val="single" w:sz="4" w:space="0" w:color="auto"/>
              <w:bottom w:val="nil"/>
              <w:right w:val="nil"/>
            </w:tcBorders>
            <w:shd w:val="clear" w:color="auto" w:fill="auto"/>
            <w:noWrap/>
            <w:vAlign w:val="bottom"/>
          </w:tcPr>
          <w:p w14:paraId="1C571097" w14:textId="1BC17DD0" w:rsidR="00734CC1" w:rsidRPr="004E74A6" w:rsidRDefault="00734CC1" w:rsidP="00CE62C1">
            <w:pPr>
              <w:spacing w:line="276" w:lineRule="auto"/>
              <w:jc w:val="center"/>
              <w:rPr>
                <w:rFonts w:cs="Calibri"/>
                <w:color w:val="000000"/>
                <w:sz w:val="20"/>
                <w:lang w:eastAsia="es-CR"/>
              </w:rPr>
            </w:pPr>
            <w:r w:rsidRPr="004E74A6">
              <w:rPr>
                <w:rFonts w:cs="Calibri"/>
                <w:color w:val="000000"/>
                <w:sz w:val="20"/>
              </w:rPr>
              <w:t>121</w:t>
            </w:r>
          </w:p>
        </w:tc>
      </w:tr>
      <w:tr w:rsidR="003F416B" w:rsidRPr="004E74A6" w14:paraId="7AE4FEF5" w14:textId="77777777" w:rsidTr="003F416B">
        <w:trPr>
          <w:trHeight w:val="288"/>
          <w:jc w:val="center"/>
        </w:trPr>
        <w:tc>
          <w:tcPr>
            <w:tcW w:w="2177" w:type="pct"/>
            <w:tcBorders>
              <w:top w:val="nil"/>
              <w:left w:val="nil"/>
              <w:bottom w:val="nil"/>
              <w:right w:val="single" w:sz="4" w:space="0" w:color="auto"/>
            </w:tcBorders>
            <w:shd w:val="clear" w:color="auto" w:fill="auto"/>
            <w:noWrap/>
            <w:vAlign w:val="bottom"/>
          </w:tcPr>
          <w:p w14:paraId="2E7E2C70" w14:textId="77777777" w:rsidR="003F416B" w:rsidRPr="004E74A6" w:rsidRDefault="003F416B" w:rsidP="00CE62C1">
            <w:pPr>
              <w:spacing w:line="276" w:lineRule="auto"/>
              <w:ind w:firstLineChars="100" w:firstLine="200"/>
              <w:jc w:val="left"/>
              <w:rPr>
                <w:rFonts w:cs="Calibri"/>
                <w:color w:val="000000"/>
                <w:sz w:val="20"/>
                <w:lang w:eastAsia="es-CR"/>
              </w:rPr>
            </w:pPr>
          </w:p>
        </w:tc>
        <w:tc>
          <w:tcPr>
            <w:tcW w:w="652" w:type="pct"/>
            <w:tcBorders>
              <w:top w:val="nil"/>
              <w:left w:val="single" w:sz="4" w:space="0" w:color="auto"/>
              <w:bottom w:val="nil"/>
              <w:right w:val="single" w:sz="4" w:space="0" w:color="auto"/>
            </w:tcBorders>
            <w:shd w:val="clear" w:color="auto" w:fill="auto"/>
            <w:noWrap/>
            <w:vAlign w:val="center"/>
          </w:tcPr>
          <w:p w14:paraId="397B8FEB" w14:textId="77777777" w:rsidR="003F416B" w:rsidRPr="004E74A6" w:rsidRDefault="003F416B" w:rsidP="00CE62C1">
            <w:pPr>
              <w:spacing w:line="276" w:lineRule="auto"/>
              <w:jc w:val="center"/>
              <w:rPr>
                <w:rFonts w:cs="Calibri"/>
                <w:color w:val="000000"/>
                <w:sz w:val="20"/>
                <w:lang w:eastAsia="es-CR"/>
              </w:rPr>
            </w:pPr>
          </w:p>
        </w:tc>
        <w:tc>
          <w:tcPr>
            <w:tcW w:w="651" w:type="pct"/>
            <w:tcBorders>
              <w:top w:val="nil"/>
              <w:left w:val="single" w:sz="4" w:space="0" w:color="auto"/>
              <w:bottom w:val="nil"/>
              <w:right w:val="single" w:sz="4" w:space="0" w:color="auto"/>
            </w:tcBorders>
            <w:shd w:val="clear" w:color="auto" w:fill="auto"/>
            <w:noWrap/>
            <w:vAlign w:val="center"/>
          </w:tcPr>
          <w:p w14:paraId="544CEBEF" w14:textId="77777777" w:rsidR="003F416B" w:rsidRPr="004E74A6" w:rsidRDefault="003F416B" w:rsidP="00CE62C1">
            <w:pPr>
              <w:spacing w:line="276" w:lineRule="auto"/>
              <w:jc w:val="center"/>
              <w:rPr>
                <w:rFonts w:cs="Calibri"/>
                <w:color w:val="000000"/>
                <w:sz w:val="20"/>
                <w:lang w:eastAsia="es-CR"/>
              </w:rPr>
            </w:pPr>
          </w:p>
        </w:tc>
        <w:tc>
          <w:tcPr>
            <w:tcW w:w="651" w:type="pct"/>
            <w:tcBorders>
              <w:top w:val="nil"/>
              <w:left w:val="single" w:sz="4" w:space="0" w:color="auto"/>
              <w:bottom w:val="nil"/>
              <w:right w:val="single" w:sz="4" w:space="0" w:color="auto"/>
            </w:tcBorders>
            <w:shd w:val="clear" w:color="auto" w:fill="auto"/>
            <w:noWrap/>
            <w:vAlign w:val="center"/>
          </w:tcPr>
          <w:p w14:paraId="26040731" w14:textId="77777777" w:rsidR="003F416B" w:rsidRPr="004E74A6" w:rsidRDefault="003F416B" w:rsidP="00CE62C1">
            <w:pPr>
              <w:spacing w:line="276" w:lineRule="auto"/>
              <w:jc w:val="center"/>
              <w:rPr>
                <w:rFonts w:cs="Calibri"/>
                <w:color w:val="000000"/>
                <w:sz w:val="20"/>
                <w:lang w:eastAsia="es-CR"/>
              </w:rPr>
            </w:pPr>
          </w:p>
        </w:tc>
        <w:tc>
          <w:tcPr>
            <w:tcW w:w="869" w:type="pct"/>
            <w:tcBorders>
              <w:top w:val="nil"/>
              <w:left w:val="single" w:sz="4" w:space="0" w:color="auto"/>
              <w:bottom w:val="nil"/>
              <w:right w:val="nil"/>
            </w:tcBorders>
            <w:shd w:val="clear" w:color="auto" w:fill="auto"/>
            <w:noWrap/>
            <w:vAlign w:val="center"/>
          </w:tcPr>
          <w:p w14:paraId="0394B4B4" w14:textId="77777777" w:rsidR="003F416B" w:rsidRPr="004E74A6" w:rsidRDefault="003F416B" w:rsidP="00CE62C1">
            <w:pPr>
              <w:spacing w:line="276" w:lineRule="auto"/>
              <w:jc w:val="center"/>
              <w:rPr>
                <w:rFonts w:cs="Calibri"/>
                <w:color w:val="000000"/>
                <w:sz w:val="20"/>
                <w:lang w:eastAsia="es-CR"/>
              </w:rPr>
            </w:pPr>
          </w:p>
        </w:tc>
      </w:tr>
      <w:tr w:rsidR="00734CC1" w:rsidRPr="004E74A6" w14:paraId="13806041" w14:textId="77777777" w:rsidTr="00B32800">
        <w:trPr>
          <w:trHeight w:val="288"/>
          <w:jc w:val="center"/>
        </w:trPr>
        <w:tc>
          <w:tcPr>
            <w:tcW w:w="2177" w:type="pct"/>
            <w:tcBorders>
              <w:top w:val="nil"/>
              <w:left w:val="nil"/>
              <w:bottom w:val="nil"/>
              <w:right w:val="single" w:sz="4" w:space="0" w:color="auto"/>
            </w:tcBorders>
            <w:shd w:val="clear" w:color="auto" w:fill="auto"/>
            <w:noWrap/>
            <w:vAlign w:val="bottom"/>
            <w:hideMark/>
          </w:tcPr>
          <w:p w14:paraId="3E15E53B" w14:textId="77777777" w:rsidR="00734CC1" w:rsidRPr="004E74A6" w:rsidRDefault="00734CC1" w:rsidP="00CE62C1">
            <w:pPr>
              <w:spacing w:line="276" w:lineRule="auto"/>
              <w:ind w:firstLineChars="100" w:firstLine="200"/>
              <w:jc w:val="left"/>
              <w:rPr>
                <w:rFonts w:cs="Calibri"/>
                <w:color w:val="000000"/>
                <w:sz w:val="20"/>
                <w:lang w:eastAsia="es-CR"/>
              </w:rPr>
            </w:pPr>
            <w:r w:rsidRPr="004E74A6">
              <w:rPr>
                <w:rFonts w:cs="Calibri"/>
                <w:color w:val="000000"/>
                <w:sz w:val="20"/>
                <w:lang w:eastAsia="es-CR"/>
              </w:rPr>
              <w:t>Medida Cautelar</w:t>
            </w:r>
          </w:p>
        </w:tc>
        <w:tc>
          <w:tcPr>
            <w:tcW w:w="652" w:type="pct"/>
            <w:tcBorders>
              <w:top w:val="nil"/>
              <w:left w:val="single" w:sz="4" w:space="0" w:color="auto"/>
              <w:bottom w:val="nil"/>
              <w:right w:val="single" w:sz="4" w:space="0" w:color="auto"/>
            </w:tcBorders>
            <w:shd w:val="clear" w:color="auto" w:fill="auto"/>
            <w:noWrap/>
            <w:vAlign w:val="bottom"/>
            <w:hideMark/>
          </w:tcPr>
          <w:p w14:paraId="6907D562" w14:textId="3856A5A2" w:rsidR="00734CC1" w:rsidRPr="004E74A6" w:rsidRDefault="00734CC1" w:rsidP="00CE62C1">
            <w:pPr>
              <w:spacing w:line="276" w:lineRule="auto"/>
              <w:jc w:val="center"/>
              <w:rPr>
                <w:rFonts w:cs="Calibri"/>
                <w:color w:val="000000"/>
                <w:sz w:val="20"/>
                <w:lang w:eastAsia="es-CR"/>
              </w:rPr>
            </w:pPr>
            <w:r w:rsidRPr="004E74A6">
              <w:rPr>
                <w:rFonts w:cs="Calibri"/>
                <w:color w:val="000000"/>
                <w:sz w:val="20"/>
              </w:rPr>
              <w:t>2</w:t>
            </w:r>
          </w:p>
        </w:tc>
        <w:tc>
          <w:tcPr>
            <w:tcW w:w="651" w:type="pct"/>
            <w:tcBorders>
              <w:top w:val="nil"/>
              <w:left w:val="single" w:sz="4" w:space="0" w:color="auto"/>
              <w:bottom w:val="nil"/>
              <w:right w:val="single" w:sz="4" w:space="0" w:color="auto"/>
            </w:tcBorders>
            <w:shd w:val="clear" w:color="auto" w:fill="auto"/>
            <w:noWrap/>
            <w:vAlign w:val="bottom"/>
            <w:hideMark/>
          </w:tcPr>
          <w:p w14:paraId="6C91FF58" w14:textId="4576B06D" w:rsidR="00734CC1" w:rsidRPr="004E74A6" w:rsidRDefault="00734CC1" w:rsidP="00CE62C1">
            <w:pPr>
              <w:spacing w:line="276" w:lineRule="auto"/>
              <w:jc w:val="center"/>
              <w:rPr>
                <w:rFonts w:cs="Calibri"/>
                <w:color w:val="000000"/>
                <w:sz w:val="20"/>
                <w:lang w:eastAsia="es-CR"/>
              </w:rPr>
            </w:pPr>
            <w:r w:rsidRPr="004E74A6">
              <w:rPr>
                <w:rFonts w:cs="Calibri"/>
                <w:color w:val="000000"/>
                <w:sz w:val="20"/>
              </w:rPr>
              <w:t>4</w:t>
            </w:r>
          </w:p>
        </w:tc>
        <w:tc>
          <w:tcPr>
            <w:tcW w:w="651" w:type="pct"/>
            <w:tcBorders>
              <w:top w:val="nil"/>
              <w:left w:val="single" w:sz="4" w:space="0" w:color="auto"/>
              <w:bottom w:val="nil"/>
              <w:right w:val="single" w:sz="4" w:space="0" w:color="auto"/>
            </w:tcBorders>
            <w:shd w:val="clear" w:color="auto" w:fill="auto"/>
            <w:noWrap/>
            <w:vAlign w:val="bottom"/>
            <w:hideMark/>
          </w:tcPr>
          <w:p w14:paraId="37FDBEA4" w14:textId="445057AB" w:rsidR="00734CC1" w:rsidRPr="004E74A6" w:rsidRDefault="00734CC1" w:rsidP="00CE62C1">
            <w:pPr>
              <w:spacing w:line="276" w:lineRule="auto"/>
              <w:jc w:val="center"/>
              <w:rPr>
                <w:rFonts w:cs="Calibri"/>
                <w:color w:val="000000"/>
                <w:sz w:val="20"/>
                <w:lang w:eastAsia="es-CR"/>
              </w:rPr>
            </w:pPr>
            <w:r w:rsidRPr="004E74A6">
              <w:rPr>
                <w:rFonts w:cs="Calibri"/>
                <w:color w:val="000000"/>
                <w:sz w:val="20"/>
              </w:rPr>
              <w:t>2</w:t>
            </w:r>
          </w:p>
        </w:tc>
        <w:tc>
          <w:tcPr>
            <w:tcW w:w="869" w:type="pct"/>
            <w:tcBorders>
              <w:top w:val="nil"/>
              <w:left w:val="single" w:sz="4" w:space="0" w:color="auto"/>
              <w:bottom w:val="nil"/>
              <w:right w:val="nil"/>
            </w:tcBorders>
            <w:shd w:val="clear" w:color="auto" w:fill="auto"/>
            <w:noWrap/>
            <w:vAlign w:val="bottom"/>
            <w:hideMark/>
          </w:tcPr>
          <w:p w14:paraId="1C87742B" w14:textId="0BF7E174" w:rsidR="00734CC1" w:rsidRPr="004E74A6" w:rsidRDefault="00734CC1" w:rsidP="00CE62C1">
            <w:pPr>
              <w:spacing w:line="276" w:lineRule="auto"/>
              <w:jc w:val="center"/>
              <w:rPr>
                <w:rFonts w:cs="Calibri"/>
                <w:color w:val="000000"/>
                <w:sz w:val="20"/>
                <w:lang w:eastAsia="es-CR"/>
              </w:rPr>
            </w:pPr>
            <w:r w:rsidRPr="004E74A6">
              <w:rPr>
                <w:rFonts w:cs="Calibri"/>
                <w:color w:val="000000"/>
                <w:sz w:val="20"/>
              </w:rPr>
              <w:t>2,7</w:t>
            </w:r>
          </w:p>
        </w:tc>
      </w:tr>
      <w:tr w:rsidR="00734CC1" w:rsidRPr="004E74A6" w14:paraId="330DD54E" w14:textId="77777777" w:rsidTr="00B32800">
        <w:trPr>
          <w:trHeight w:val="288"/>
          <w:jc w:val="center"/>
        </w:trPr>
        <w:tc>
          <w:tcPr>
            <w:tcW w:w="2177" w:type="pct"/>
            <w:tcBorders>
              <w:top w:val="nil"/>
              <w:left w:val="nil"/>
              <w:bottom w:val="nil"/>
              <w:right w:val="single" w:sz="4" w:space="0" w:color="auto"/>
            </w:tcBorders>
            <w:shd w:val="clear" w:color="auto" w:fill="auto"/>
            <w:noWrap/>
            <w:vAlign w:val="bottom"/>
            <w:hideMark/>
          </w:tcPr>
          <w:p w14:paraId="3EF94DCB" w14:textId="77777777" w:rsidR="00734CC1" w:rsidRPr="004E74A6" w:rsidRDefault="00734CC1" w:rsidP="00CE62C1">
            <w:pPr>
              <w:spacing w:line="276" w:lineRule="auto"/>
              <w:ind w:firstLineChars="100" w:firstLine="200"/>
              <w:jc w:val="left"/>
              <w:rPr>
                <w:rFonts w:cs="Calibri"/>
                <w:color w:val="000000"/>
                <w:sz w:val="20"/>
                <w:lang w:eastAsia="es-CR"/>
              </w:rPr>
            </w:pPr>
            <w:r w:rsidRPr="004E74A6">
              <w:rPr>
                <w:rFonts w:cs="Calibri"/>
                <w:color w:val="000000"/>
                <w:sz w:val="20"/>
                <w:lang w:eastAsia="es-CR"/>
              </w:rPr>
              <w:t>Monitorio</w:t>
            </w:r>
          </w:p>
        </w:tc>
        <w:tc>
          <w:tcPr>
            <w:tcW w:w="652" w:type="pct"/>
            <w:tcBorders>
              <w:top w:val="nil"/>
              <w:left w:val="single" w:sz="4" w:space="0" w:color="auto"/>
              <w:bottom w:val="nil"/>
              <w:right w:val="single" w:sz="4" w:space="0" w:color="auto"/>
            </w:tcBorders>
            <w:shd w:val="clear" w:color="auto" w:fill="auto"/>
            <w:noWrap/>
            <w:vAlign w:val="bottom"/>
            <w:hideMark/>
          </w:tcPr>
          <w:p w14:paraId="7D2A36B7" w14:textId="3F90E127" w:rsidR="00734CC1" w:rsidRPr="004E74A6" w:rsidRDefault="00734CC1" w:rsidP="00CE62C1">
            <w:pPr>
              <w:spacing w:line="276" w:lineRule="auto"/>
              <w:jc w:val="center"/>
              <w:rPr>
                <w:sz w:val="20"/>
                <w:lang w:eastAsia="es-CR"/>
              </w:rPr>
            </w:pPr>
            <w:r w:rsidRPr="004E74A6">
              <w:rPr>
                <w:rFonts w:cs="Calibri"/>
                <w:color w:val="000000"/>
                <w:sz w:val="20"/>
              </w:rPr>
              <w:t>0</w:t>
            </w:r>
          </w:p>
        </w:tc>
        <w:tc>
          <w:tcPr>
            <w:tcW w:w="651" w:type="pct"/>
            <w:tcBorders>
              <w:top w:val="nil"/>
              <w:left w:val="single" w:sz="4" w:space="0" w:color="auto"/>
              <w:bottom w:val="nil"/>
              <w:right w:val="single" w:sz="4" w:space="0" w:color="auto"/>
            </w:tcBorders>
            <w:shd w:val="clear" w:color="auto" w:fill="auto"/>
            <w:noWrap/>
            <w:vAlign w:val="bottom"/>
            <w:hideMark/>
          </w:tcPr>
          <w:p w14:paraId="5781FFBE" w14:textId="341A6FFB" w:rsidR="00734CC1" w:rsidRPr="004E74A6" w:rsidRDefault="00734CC1" w:rsidP="00CE62C1">
            <w:pPr>
              <w:spacing w:line="276" w:lineRule="auto"/>
              <w:jc w:val="center"/>
              <w:rPr>
                <w:sz w:val="20"/>
                <w:lang w:eastAsia="es-CR"/>
              </w:rPr>
            </w:pPr>
            <w:r w:rsidRPr="004E74A6">
              <w:rPr>
                <w:rFonts w:cs="Calibri"/>
                <w:color w:val="000000"/>
                <w:sz w:val="20"/>
              </w:rPr>
              <w:t>0</w:t>
            </w:r>
          </w:p>
        </w:tc>
        <w:tc>
          <w:tcPr>
            <w:tcW w:w="651" w:type="pct"/>
            <w:tcBorders>
              <w:top w:val="nil"/>
              <w:left w:val="single" w:sz="4" w:space="0" w:color="auto"/>
              <w:bottom w:val="nil"/>
              <w:right w:val="single" w:sz="4" w:space="0" w:color="auto"/>
            </w:tcBorders>
            <w:shd w:val="clear" w:color="auto" w:fill="auto"/>
            <w:noWrap/>
            <w:vAlign w:val="bottom"/>
            <w:hideMark/>
          </w:tcPr>
          <w:p w14:paraId="313D0034" w14:textId="389B9006" w:rsidR="00734CC1" w:rsidRPr="004E74A6" w:rsidRDefault="00734CC1" w:rsidP="00CE62C1">
            <w:pPr>
              <w:spacing w:line="276" w:lineRule="auto"/>
              <w:jc w:val="center"/>
              <w:rPr>
                <w:rFonts w:cs="Calibri"/>
                <w:color w:val="000000"/>
                <w:sz w:val="20"/>
                <w:lang w:eastAsia="es-CR"/>
              </w:rPr>
            </w:pPr>
            <w:r w:rsidRPr="004E74A6">
              <w:rPr>
                <w:rFonts w:cs="Calibri"/>
                <w:color w:val="000000"/>
                <w:sz w:val="20"/>
              </w:rPr>
              <w:t>1</w:t>
            </w:r>
          </w:p>
        </w:tc>
        <w:tc>
          <w:tcPr>
            <w:tcW w:w="869" w:type="pct"/>
            <w:tcBorders>
              <w:top w:val="nil"/>
              <w:left w:val="single" w:sz="4" w:space="0" w:color="auto"/>
              <w:bottom w:val="nil"/>
              <w:right w:val="nil"/>
            </w:tcBorders>
            <w:shd w:val="clear" w:color="auto" w:fill="auto"/>
            <w:noWrap/>
            <w:vAlign w:val="bottom"/>
            <w:hideMark/>
          </w:tcPr>
          <w:p w14:paraId="0C3D9F1D" w14:textId="34036CDF" w:rsidR="00734CC1" w:rsidRPr="004E74A6" w:rsidRDefault="00734CC1" w:rsidP="00CE62C1">
            <w:pPr>
              <w:spacing w:line="276" w:lineRule="auto"/>
              <w:jc w:val="center"/>
              <w:rPr>
                <w:rFonts w:cs="Calibri"/>
                <w:color w:val="000000"/>
                <w:sz w:val="20"/>
                <w:lang w:eastAsia="es-CR"/>
              </w:rPr>
            </w:pPr>
            <w:r w:rsidRPr="004E74A6">
              <w:rPr>
                <w:rFonts w:cs="Calibri"/>
                <w:color w:val="000000"/>
                <w:sz w:val="20"/>
              </w:rPr>
              <w:t>0,3</w:t>
            </w:r>
          </w:p>
        </w:tc>
      </w:tr>
      <w:tr w:rsidR="00734CC1" w:rsidRPr="004E74A6" w14:paraId="33BF9C62" w14:textId="77777777" w:rsidTr="00B32800">
        <w:trPr>
          <w:trHeight w:val="288"/>
          <w:jc w:val="center"/>
        </w:trPr>
        <w:tc>
          <w:tcPr>
            <w:tcW w:w="2177" w:type="pct"/>
            <w:tcBorders>
              <w:top w:val="nil"/>
              <w:left w:val="nil"/>
              <w:bottom w:val="nil"/>
              <w:right w:val="single" w:sz="4" w:space="0" w:color="auto"/>
            </w:tcBorders>
            <w:shd w:val="clear" w:color="auto" w:fill="C5E0B3" w:themeFill="accent6" w:themeFillTint="66"/>
            <w:noWrap/>
            <w:vAlign w:val="bottom"/>
            <w:hideMark/>
          </w:tcPr>
          <w:p w14:paraId="34BCECE6" w14:textId="77777777" w:rsidR="00734CC1" w:rsidRPr="004E74A6" w:rsidRDefault="00734CC1" w:rsidP="00CE62C1">
            <w:pPr>
              <w:spacing w:line="276" w:lineRule="auto"/>
              <w:ind w:firstLineChars="100" w:firstLine="200"/>
              <w:jc w:val="left"/>
              <w:rPr>
                <w:rFonts w:cs="Calibri"/>
                <w:color w:val="000000"/>
                <w:sz w:val="20"/>
                <w:lang w:eastAsia="es-CR"/>
              </w:rPr>
            </w:pPr>
            <w:r w:rsidRPr="004E74A6">
              <w:rPr>
                <w:rFonts w:cs="Calibri"/>
                <w:color w:val="000000"/>
                <w:sz w:val="20"/>
                <w:lang w:eastAsia="es-CR"/>
              </w:rPr>
              <w:t>Ordinario</w:t>
            </w:r>
          </w:p>
        </w:tc>
        <w:tc>
          <w:tcPr>
            <w:tcW w:w="652" w:type="pct"/>
            <w:tcBorders>
              <w:top w:val="nil"/>
              <w:left w:val="single" w:sz="4" w:space="0" w:color="auto"/>
              <w:bottom w:val="nil"/>
              <w:right w:val="single" w:sz="4" w:space="0" w:color="auto"/>
            </w:tcBorders>
            <w:shd w:val="clear" w:color="auto" w:fill="C5E0B3" w:themeFill="accent6" w:themeFillTint="66"/>
            <w:noWrap/>
            <w:vAlign w:val="bottom"/>
            <w:hideMark/>
          </w:tcPr>
          <w:p w14:paraId="4ED90C0B" w14:textId="4749E1DB" w:rsidR="00734CC1" w:rsidRPr="004E74A6" w:rsidRDefault="00734CC1" w:rsidP="00CE62C1">
            <w:pPr>
              <w:spacing w:line="276" w:lineRule="auto"/>
              <w:jc w:val="center"/>
              <w:rPr>
                <w:rFonts w:cs="Calibri"/>
                <w:color w:val="000000"/>
                <w:sz w:val="20"/>
                <w:lang w:eastAsia="es-CR"/>
              </w:rPr>
            </w:pPr>
            <w:r w:rsidRPr="004E74A6">
              <w:rPr>
                <w:rFonts w:cs="Calibri"/>
                <w:color w:val="000000"/>
                <w:sz w:val="20"/>
              </w:rPr>
              <w:t>120</w:t>
            </w:r>
          </w:p>
        </w:tc>
        <w:tc>
          <w:tcPr>
            <w:tcW w:w="651" w:type="pct"/>
            <w:tcBorders>
              <w:top w:val="nil"/>
              <w:left w:val="single" w:sz="4" w:space="0" w:color="auto"/>
              <w:bottom w:val="nil"/>
              <w:right w:val="single" w:sz="4" w:space="0" w:color="auto"/>
            </w:tcBorders>
            <w:shd w:val="clear" w:color="auto" w:fill="C5E0B3" w:themeFill="accent6" w:themeFillTint="66"/>
            <w:noWrap/>
            <w:vAlign w:val="bottom"/>
            <w:hideMark/>
          </w:tcPr>
          <w:p w14:paraId="77AFEFB0" w14:textId="238A8CDF" w:rsidR="00734CC1" w:rsidRPr="004E74A6" w:rsidRDefault="00734CC1" w:rsidP="00CE62C1">
            <w:pPr>
              <w:spacing w:line="276" w:lineRule="auto"/>
              <w:jc w:val="center"/>
              <w:rPr>
                <w:rFonts w:cs="Calibri"/>
                <w:color w:val="000000"/>
                <w:sz w:val="20"/>
                <w:lang w:eastAsia="es-CR"/>
              </w:rPr>
            </w:pPr>
            <w:r w:rsidRPr="004E74A6">
              <w:rPr>
                <w:rFonts w:cs="Calibri"/>
                <w:color w:val="000000"/>
                <w:sz w:val="20"/>
              </w:rPr>
              <w:t>94</w:t>
            </w:r>
          </w:p>
        </w:tc>
        <w:tc>
          <w:tcPr>
            <w:tcW w:w="651" w:type="pct"/>
            <w:tcBorders>
              <w:top w:val="nil"/>
              <w:left w:val="single" w:sz="4" w:space="0" w:color="auto"/>
              <w:bottom w:val="nil"/>
              <w:right w:val="single" w:sz="4" w:space="0" w:color="auto"/>
            </w:tcBorders>
            <w:shd w:val="clear" w:color="auto" w:fill="C5E0B3" w:themeFill="accent6" w:themeFillTint="66"/>
            <w:noWrap/>
            <w:vAlign w:val="bottom"/>
            <w:hideMark/>
          </w:tcPr>
          <w:p w14:paraId="338B3025" w14:textId="7C3873E2" w:rsidR="00734CC1" w:rsidRPr="004E74A6" w:rsidRDefault="00734CC1" w:rsidP="00CE62C1">
            <w:pPr>
              <w:spacing w:line="276" w:lineRule="auto"/>
              <w:jc w:val="center"/>
              <w:rPr>
                <w:rFonts w:cs="Calibri"/>
                <w:color w:val="000000"/>
                <w:sz w:val="20"/>
                <w:lang w:eastAsia="es-CR"/>
              </w:rPr>
            </w:pPr>
            <w:r w:rsidRPr="004E74A6">
              <w:rPr>
                <w:rFonts w:cs="Calibri"/>
                <w:color w:val="000000"/>
                <w:sz w:val="20"/>
              </w:rPr>
              <w:t>124</w:t>
            </w:r>
          </w:p>
        </w:tc>
        <w:tc>
          <w:tcPr>
            <w:tcW w:w="869" w:type="pct"/>
            <w:tcBorders>
              <w:top w:val="nil"/>
              <w:left w:val="single" w:sz="4" w:space="0" w:color="auto"/>
              <w:bottom w:val="nil"/>
              <w:right w:val="nil"/>
            </w:tcBorders>
            <w:shd w:val="clear" w:color="auto" w:fill="C5E0B3" w:themeFill="accent6" w:themeFillTint="66"/>
            <w:noWrap/>
            <w:vAlign w:val="bottom"/>
            <w:hideMark/>
          </w:tcPr>
          <w:p w14:paraId="7DC2C2FF" w14:textId="72ED6BD6" w:rsidR="00734CC1" w:rsidRPr="004E74A6" w:rsidRDefault="00734CC1" w:rsidP="00CE62C1">
            <w:pPr>
              <w:spacing w:line="276" w:lineRule="auto"/>
              <w:jc w:val="center"/>
              <w:rPr>
                <w:rFonts w:cs="Calibri"/>
                <w:color w:val="000000"/>
                <w:sz w:val="20"/>
                <w:lang w:eastAsia="es-CR"/>
              </w:rPr>
            </w:pPr>
            <w:r w:rsidRPr="004E74A6">
              <w:rPr>
                <w:rFonts w:cs="Calibri"/>
                <w:color w:val="000000"/>
                <w:sz w:val="20"/>
              </w:rPr>
              <w:t>113</w:t>
            </w:r>
          </w:p>
        </w:tc>
      </w:tr>
      <w:tr w:rsidR="00734CC1" w:rsidRPr="004E74A6" w14:paraId="7C9898E2" w14:textId="77777777" w:rsidTr="00B32800">
        <w:trPr>
          <w:trHeight w:val="288"/>
          <w:jc w:val="center"/>
        </w:trPr>
        <w:tc>
          <w:tcPr>
            <w:tcW w:w="2177" w:type="pct"/>
            <w:tcBorders>
              <w:top w:val="nil"/>
              <w:left w:val="nil"/>
              <w:bottom w:val="nil"/>
              <w:right w:val="single" w:sz="4" w:space="0" w:color="auto"/>
            </w:tcBorders>
            <w:shd w:val="clear" w:color="auto" w:fill="auto"/>
            <w:noWrap/>
            <w:vAlign w:val="bottom"/>
            <w:hideMark/>
          </w:tcPr>
          <w:p w14:paraId="58DF3D3B" w14:textId="77777777" w:rsidR="00734CC1" w:rsidRPr="004E74A6" w:rsidRDefault="00734CC1" w:rsidP="00CE62C1">
            <w:pPr>
              <w:spacing w:line="276" w:lineRule="auto"/>
              <w:ind w:firstLineChars="100" w:firstLine="200"/>
              <w:jc w:val="left"/>
              <w:rPr>
                <w:rFonts w:cs="Calibri"/>
                <w:color w:val="000000"/>
                <w:sz w:val="20"/>
                <w:lang w:eastAsia="es-CR"/>
              </w:rPr>
            </w:pPr>
            <w:r w:rsidRPr="004E74A6">
              <w:rPr>
                <w:rFonts w:cs="Calibri"/>
                <w:color w:val="000000"/>
                <w:sz w:val="20"/>
                <w:lang w:eastAsia="es-CR"/>
              </w:rPr>
              <w:t>Procesos De Ejecución</w:t>
            </w:r>
          </w:p>
        </w:tc>
        <w:tc>
          <w:tcPr>
            <w:tcW w:w="652" w:type="pct"/>
            <w:tcBorders>
              <w:top w:val="nil"/>
              <w:left w:val="single" w:sz="4" w:space="0" w:color="auto"/>
              <w:bottom w:val="nil"/>
              <w:right w:val="single" w:sz="4" w:space="0" w:color="auto"/>
            </w:tcBorders>
            <w:shd w:val="clear" w:color="auto" w:fill="auto"/>
            <w:noWrap/>
            <w:vAlign w:val="bottom"/>
            <w:hideMark/>
          </w:tcPr>
          <w:p w14:paraId="073CF447" w14:textId="05615B86" w:rsidR="00734CC1" w:rsidRPr="004E74A6" w:rsidRDefault="00734CC1" w:rsidP="00CE62C1">
            <w:pPr>
              <w:spacing w:line="276" w:lineRule="auto"/>
              <w:jc w:val="center"/>
              <w:rPr>
                <w:rFonts w:cs="Calibri"/>
                <w:color w:val="000000"/>
                <w:sz w:val="20"/>
                <w:lang w:eastAsia="es-CR"/>
              </w:rPr>
            </w:pPr>
            <w:r w:rsidRPr="004E74A6">
              <w:rPr>
                <w:rFonts w:cs="Calibri"/>
                <w:color w:val="000000"/>
                <w:sz w:val="20"/>
              </w:rPr>
              <w:t>1</w:t>
            </w:r>
          </w:p>
        </w:tc>
        <w:tc>
          <w:tcPr>
            <w:tcW w:w="651" w:type="pct"/>
            <w:tcBorders>
              <w:top w:val="nil"/>
              <w:left w:val="single" w:sz="4" w:space="0" w:color="auto"/>
              <w:bottom w:val="nil"/>
              <w:right w:val="single" w:sz="4" w:space="0" w:color="auto"/>
            </w:tcBorders>
            <w:shd w:val="clear" w:color="auto" w:fill="auto"/>
            <w:noWrap/>
            <w:vAlign w:val="bottom"/>
            <w:hideMark/>
          </w:tcPr>
          <w:p w14:paraId="4873F43A" w14:textId="0300D1FD" w:rsidR="00734CC1" w:rsidRPr="004E74A6" w:rsidRDefault="00734CC1" w:rsidP="00CE62C1">
            <w:pPr>
              <w:spacing w:line="276" w:lineRule="auto"/>
              <w:jc w:val="center"/>
              <w:rPr>
                <w:rFonts w:cs="Calibri"/>
                <w:color w:val="000000"/>
                <w:sz w:val="20"/>
                <w:lang w:eastAsia="es-CR"/>
              </w:rPr>
            </w:pPr>
            <w:r w:rsidRPr="004E74A6">
              <w:rPr>
                <w:rFonts w:cs="Calibri"/>
                <w:color w:val="000000"/>
                <w:sz w:val="20"/>
              </w:rPr>
              <w:t>0</w:t>
            </w:r>
          </w:p>
        </w:tc>
        <w:tc>
          <w:tcPr>
            <w:tcW w:w="651" w:type="pct"/>
            <w:tcBorders>
              <w:top w:val="nil"/>
              <w:left w:val="single" w:sz="4" w:space="0" w:color="auto"/>
              <w:bottom w:val="nil"/>
              <w:right w:val="single" w:sz="4" w:space="0" w:color="auto"/>
            </w:tcBorders>
            <w:shd w:val="clear" w:color="auto" w:fill="auto"/>
            <w:noWrap/>
            <w:vAlign w:val="bottom"/>
            <w:hideMark/>
          </w:tcPr>
          <w:p w14:paraId="236D23E6" w14:textId="51849420" w:rsidR="00734CC1" w:rsidRPr="004E74A6" w:rsidRDefault="00734CC1" w:rsidP="00CE62C1">
            <w:pPr>
              <w:spacing w:line="276" w:lineRule="auto"/>
              <w:jc w:val="center"/>
              <w:rPr>
                <w:sz w:val="20"/>
                <w:lang w:eastAsia="es-CR"/>
              </w:rPr>
            </w:pPr>
            <w:r w:rsidRPr="004E74A6">
              <w:rPr>
                <w:rFonts w:cs="Calibri"/>
                <w:color w:val="000000"/>
                <w:sz w:val="20"/>
              </w:rPr>
              <w:t>0</w:t>
            </w:r>
          </w:p>
        </w:tc>
        <w:tc>
          <w:tcPr>
            <w:tcW w:w="869" w:type="pct"/>
            <w:tcBorders>
              <w:top w:val="nil"/>
              <w:left w:val="single" w:sz="4" w:space="0" w:color="auto"/>
              <w:bottom w:val="nil"/>
              <w:right w:val="nil"/>
            </w:tcBorders>
            <w:shd w:val="clear" w:color="auto" w:fill="auto"/>
            <w:noWrap/>
            <w:vAlign w:val="bottom"/>
            <w:hideMark/>
          </w:tcPr>
          <w:p w14:paraId="2D06E554" w14:textId="5FAF2864" w:rsidR="00734CC1" w:rsidRPr="004E74A6" w:rsidRDefault="00734CC1" w:rsidP="00CE62C1">
            <w:pPr>
              <w:spacing w:line="276" w:lineRule="auto"/>
              <w:jc w:val="center"/>
              <w:rPr>
                <w:rFonts w:cs="Calibri"/>
                <w:color w:val="000000"/>
                <w:sz w:val="20"/>
                <w:lang w:eastAsia="es-CR"/>
              </w:rPr>
            </w:pPr>
            <w:r w:rsidRPr="004E74A6">
              <w:rPr>
                <w:rFonts w:cs="Calibri"/>
                <w:color w:val="000000"/>
                <w:sz w:val="20"/>
              </w:rPr>
              <w:t>0,3</w:t>
            </w:r>
          </w:p>
        </w:tc>
      </w:tr>
      <w:tr w:rsidR="00734CC1" w:rsidRPr="004E74A6" w14:paraId="6493C00C" w14:textId="77777777" w:rsidTr="00B32800">
        <w:trPr>
          <w:trHeight w:val="288"/>
          <w:jc w:val="center"/>
        </w:trPr>
        <w:tc>
          <w:tcPr>
            <w:tcW w:w="2177" w:type="pct"/>
            <w:tcBorders>
              <w:top w:val="nil"/>
              <w:left w:val="nil"/>
              <w:bottom w:val="nil"/>
              <w:right w:val="single" w:sz="4" w:space="0" w:color="auto"/>
            </w:tcBorders>
            <w:shd w:val="clear" w:color="auto" w:fill="auto"/>
            <w:noWrap/>
            <w:vAlign w:val="bottom"/>
            <w:hideMark/>
          </w:tcPr>
          <w:p w14:paraId="052E2059" w14:textId="77777777" w:rsidR="00734CC1" w:rsidRPr="004E74A6" w:rsidRDefault="00734CC1" w:rsidP="00CE62C1">
            <w:pPr>
              <w:spacing w:line="276" w:lineRule="auto"/>
              <w:ind w:firstLineChars="100" w:firstLine="200"/>
              <w:jc w:val="left"/>
              <w:rPr>
                <w:rFonts w:cs="Calibri"/>
                <w:color w:val="000000"/>
                <w:sz w:val="20"/>
                <w:lang w:eastAsia="es-CR"/>
              </w:rPr>
            </w:pPr>
            <w:r w:rsidRPr="004E74A6">
              <w:rPr>
                <w:rFonts w:cs="Calibri"/>
                <w:color w:val="000000"/>
                <w:sz w:val="20"/>
                <w:lang w:eastAsia="es-CR"/>
              </w:rPr>
              <w:t>Procesos Otras Materias</w:t>
            </w:r>
          </w:p>
        </w:tc>
        <w:tc>
          <w:tcPr>
            <w:tcW w:w="652" w:type="pct"/>
            <w:tcBorders>
              <w:top w:val="nil"/>
              <w:left w:val="single" w:sz="4" w:space="0" w:color="auto"/>
              <w:bottom w:val="nil"/>
              <w:right w:val="single" w:sz="4" w:space="0" w:color="auto"/>
            </w:tcBorders>
            <w:shd w:val="clear" w:color="auto" w:fill="auto"/>
            <w:noWrap/>
            <w:vAlign w:val="bottom"/>
            <w:hideMark/>
          </w:tcPr>
          <w:p w14:paraId="559BAEC1" w14:textId="633578EC" w:rsidR="00734CC1" w:rsidRPr="004E74A6" w:rsidRDefault="00734CC1" w:rsidP="00CE62C1">
            <w:pPr>
              <w:spacing w:line="276" w:lineRule="auto"/>
              <w:jc w:val="center"/>
              <w:rPr>
                <w:rFonts w:cs="Calibri"/>
                <w:color w:val="000000"/>
                <w:sz w:val="20"/>
                <w:lang w:eastAsia="es-CR"/>
              </w:rPr>
            </w:pPr>
            <w:r w:rsidRPr="004E74A6">
              <w:rPr>
                <w:rFonts w:cs="Calibri"/>
                <w:color w:val="000000"/>
                <w:sz w:val="20"/>
              </w:rPr>
              <w:t>2</w:t>
            </w:r>
          </w:p>
        </w:tc>
        <w:tc>
          <w:tcPr>
            <w:tcW w:w="651" w:type="pct"/>
            <w:tcBorders>
              <w:top w:val="nil"/>
              <w:left w:val="single" w:sz="4" w:space="0" w:color="auto"/>
              <w:bottom w:val="nil"/>
              <w:right w:val="single" w:sz="4" w:space="0" w:color="auto"/>
            </w:tcBorders>
            <w:shd w:val="clear" w:color="auto" w:fill="auto"/>
            <w:noWrap/>
            <w:vAlign w:val="bottom"/>
            <w:hideMark/>
          </w:tcPr>
          <w:p w14:paraId="508BF356" w14:textId="0F0FD647" w:rsidR="00734CC1" w:rsidRPr="004E74A6" w:rsidRDefault="00734CC1" w:rsidP="00CE62C1">
            <w:pPr>
              <w:spacing w:line="276" w:lineRule="auto"/>
              <w:jc w:val="center"/>
              <w:rPr>
                <w:rFonts w:cs="Calibri"/>
                <w:color w:val="000000"/>
                <w:sz w:val="20"/>
                <w:lang w:eastAsia="es-CR"/>
              </w:rPr>
            </w:pPr>
            <w:r w:rsidRPr="004E74A6">
              <w:rPr>
                <w:rFonts w:cs="Calibri"/>
                <w:color w:val="000000"/>
                <w:sz w:val="20"/>
              </w:rPr>
              <w:t>1</w:t>
            </w:r>
          </w:p>
        </w:tc>
        <w:tc>
          <w:tcPr>
            <w:tcW w:w="651" w:type="pct"/>
            <w:tcBorders>
              <w:top w:val="nil"/>
              <w:left w:val="single" w:sz="4" w:space="0" w:color="auto"/>
              <w:bottom w:val="nil"/>
              <w:right w:val="single" w:sz="4" w:space="0" w:color="auto"/>
            </w:tcBorders>
            <w:shd w:val="clear" w:color="auto" w:fill="auto"/>
            <w:noWrap/>
            <w:vAlign w:val="bottom"/>
            <w:hideMark/>
          </w:tcPr>
          <w:p w14:paraId="24030030" w14:textId="19A375D3" w:rsidR="00734CC1" w:rsidRPr="004E74A6" w:rsidRDefault="00734CC1" w:rsidP="00CE62C1">
            <w:pPr>
              <w:spacing w:line="276" w:lineRule="auto"/>
              <w:jc w:val="center"/>
              <w:rPr>
                <w:rFonts w:cs="Calibri"/>
                <w:color w:val="000000"/>
                <w:sz w:val="20"/>
                <w:lang w:eastAsia="es-CR"/>
              </w:rPr>
            </w:pPr>
            <w:r w:rsidRPr="004E74A6">
              <w:rPr>
                <w:rFonts w:cs="Calibri"/>
                <w:color w:val="000000"/>
                <w:sz w:val="20"/>
              </w:rPr>
              <w:t>1</w:t>
            </w:r>
          </w:p>
        </w:tc>
        <w:tc>
          <w:tcPr>
            <w:tcW w:w="869" w:type="pct"/>
            <w:tcBorders>
              <w:top w:val="nil"/>
              <w:left w:val="single" w:sz="4" w:space="0" w:color="auto"/>
              <w:bottom w:val="nil"/>
              <w:right w:val="nil"/>
            </w:tcBorders>
            <w:shd w:val="clear" w:color="auto" w:fill="auto"/>
            <w:noWrap/>
            <w:vAlign w:val="bottom"/>
            <w:hideMark/>
          </w:tcPr>
          <w:p w14:paraId="222AF207" w14:textId="2A9ECD2D" w:rsidR="00734CC1" w:rsidRPr="004E74A6" w:rsidRDefault="00734CC1" w:rsidP="00CE62C1">
            <w:pPr>
              <w:spacing w:line="276" w:lineRule="auto"/>
              <w:jc w:val="center"/>
              <w:rPr>
                <w:rFonts w:cs="Calibri"/>
                <w:color w:val="000000"/>
                <w:sz w:val="20"/>
                <w:lang w:eastAsia="es-CR"/>
              </w:rPr>
            </w:pPr>
            <w:r w:rsidRPr="004E74A6">
              <w:rPr>
                <w:rFonts w:cs="Calibri"/>
                <w:color w:val="000000"/>
                <w:sz w:val="20"/>
              </w:rPr>
              <w:t>1,3</w:t>
            </w:r>
          </w:p>
        </w:tc>
      </w:tr>
      <w:tr w:rsidR="00734CC1" w:rsidRPr="004E74A6" w14:paraId="22D06025" w14:textId="77777777" w:rsidTr="00B32800">
        <w:trPr>
          <w:trHeight w:val="288"/>
          <w:jc w:val="center"/>
        </w:trPr>
        <w:tc>
          <w:tcPr>
            <w:tcW w:w="2177" w:type="pct"/>
            <w:tcBorders>
              <w:top w:val="nil"/>
              <w:left w:val="nil"/>
              <w:bottom w:val="nil"/>
              <w:right w:val="single" w:sz="4" w:space="0" w:color="auto"/>
            </w:tcBorders>
            <w:shd w:val="clear" w:color="auto" w:fill="auto"/>
            <w:noWrap/>
            <w:vAlign w:val="bottom"/>
            <w:hideMark/>
          </w:tcPr>
          <w:p w14:paraId="133B6D78" w14:textId="77777777" w:rsidR="00734CC1" w:rsidRPr="004E74A6" w:rsidRDefault="00734CC1" w:rsidP="00CE62C1">
            <w:pPr>
              <w:spacing w:line="276" w:lineRule="auto"/>
              <w:ind w:firstLineChars="100" w:firstLine="200"/>
              <w:jc w:val="left"/>
              <w:rPr>
                <w:rFonts w:cs="Calibri"/>
                <w:color w:val="000000"/>
                <w:sz w:val="20"/>
                <w:lang w:eastAsia="es-CR"/>
              </w:rPr>
            </w:pPr>
            <w:r w:rsidRPr="004E74A6">
              <w:rPr>
                <w:rFonts w:cs="Calibri"/>
                <w:color w:val="000000"/>
                <w:sz w:val="20"/>
                <w:lang w:eastAsia="es-CR"/>
              </w:rPr>
              <w:t>Prueba Anticipada</w:t>
            </w:r>
          </w:p>
        </w:tc>
        <w:tc>
          <w:tcPr>
            <w:tcW w:w="652" w:type="pct"/>
            <w:tcBorders>
              <w:top w:val="nil"/>
              <w:left w:val="single" w:sz="4" w:space="0" w:color="auto"/>
              <w:bottom w:val="nil"/>
              <w:right w:val="single" w:sz="4" w:space="0" w:color="auto"/>
            </w:tcBorders>
            <w:shd w:val="clear" w:color="auto" w:fill="auto"/>
            <w:noWrap/>
            <w:vAlign w:val="bottom"/>
            <w:hideMark/>
          </w:tcPr>
          <w:p w14:paraId="69E357A7" w14:textId="7DE49179" w:rsidR="00734CC1" w:rsidRPr="004E74A6" w:rsidRDefault="00734CC1" w:rsidP="00CE62C1">
            <w:pPr>
              <w:spacing w:line="276" w:lineRule="auto"/>
              <w:jc w:val="center"/>
              <w:rPr>
                <w:rFonts w:cs="Calibri"/>
                <w:color w:val="000000"/>
                <w:sz w:val="20"/>
                <w:lang w:eastAsia="es-CR"/>
              </w:rPr>
            </w:pPr>
            <w:r w:rsidRPr="004E74A6">
              <w:rPr>
                <w:rFonts w:cs="Calibri"/>
                <w:color w:val="000000"/>
                <w:sz w:val="20"/>
              </w:rPr>
              <w:t>2</w:t>
            </w:r>
          </w:p>
        </w:tc>
        <w:tc>
          <w:tcPr>
            <w:tcW w:w="651" w:type="pct"/>
            <w:tcBorders>
              <w:top w:val="nil"/>
              <w:left w:val="single" w:sz="4" w:space="0" w:color="auto"/>
              <w:bottom w:val="nil"/>
              <w:right w:val="single" w:sz="4" w:space="0" w:color="auto"/>
            </w:tcBorders>
            <w:shd w:val="clear" w:color="auto" w:fill="auto"/>
            <w:noWrap/>
            <w:vAlign w:val="bottom"/>
            <w:hideMark/>
          </w:tcPr>
          <w:p w14:paraId="51A6914F" w14:textId="593C3D4C" w:rsidR="00734CC1" w:rsidRPr="004E74A6" w:rsidRDefault="00734CC1" w:rsidP="00CE62C1">
            <w:pPr>
              <w:spacing w:line="276" w:lineRule="auto"/>
              <w:jc w:val="center"/>
              <w:rPr>
                <w:rFonts w:cs="Calibri"/>
                <w:color w:val="000000"/>
                <w:sz w:val="20"/>
                <w:lang w:eastAsia="es-CR"/>
              </w:rPr>
            </w:pPr>
            <w:r w:rsidRPr="004E74A6">
              <w:rPr>
                <w:rFonts w:cs="Calibri"/>
                <w:color w:val="000000"/>
                <w:sz w:val="20"/>
              </w:rPr>
              <w:t>3</w:t>
            </w:r>
          </w:p>
        </w:tc>
        <w:tc>
          <w:tcPr>
            <w:tcW w:w="651" w:type="pct"/>
            <w:tcBorders>
              <w:top w:val="nil"/>
              <w:left w:val="single" w:sz="4" w:space="0" w:color="auto"/>
              <w:bottom w:val="nil"/>
              <w:right w:val="single" w:sz="4" w:space="0" w:color="auto"/>
            </w:tcBorders>
            <w:shd w:val="clear" w:color="auto" w:fill="auto"/>
            <w:noWrap/>
            <w:vAlign w:val="bottom"/>
            <w:hideMark/>
          </w:tcPr>
          <w:p w14:paraId="7E217643" w14:textId="1B2C1A79" w:rsidR="00734CC1" w:rsidRPr="004E74A6" w:rsidRDefault="00734CC1" w:rsidP="00CE62C1">
            <w:pPr>
              <w:spacing w:line="276" w:lineRule="auto"/>
              <w:jc w:val="center"/>
              <w:rPr>
                <w:rFonts w:cs="Calibri"/>
                <w:color w:val="000000"/>
                <w:sz w:val="20"/>
                <w:lang w:eastAsia="es-CR"/>
              </w:rPr>
            </w:pPr>
            <w:r w:rsidRPr="004E74A6">
              <w:rPr>
                <w:rFonts w:cs="Calibri"/>
                <w:color w:val="000000"/>
                <w:sz w:val="20"/>
              </w:rPr>
              <w:t>2</w:t>
            </w:r>
          </w:p>
        </w:tc>
        <w:tc>
          <w:tcPr>
            <w:tcW w:w="869" w:type="pct"/>
            <w:tcBorders>
              <w:top w:val="nil"/>
              <w:left w:val="single" w:sz="4" w:space="0" w:color="auto"/>
              <w:bottom w:val="nil"/>
              <w:right w:val="nil"/>
            </w:tcBorders>
            <w:shd w:val="clear" w:color="auto" w:fill="auto"/>
            <w:noWrap/>
            <w:vAlign w:val="bottom"/>
            <w:hideMark/>
          </w:tcPr>
          <w:p w14:paraId="64C2DE20" w14:textId="5730D76C" w:rsidR="00734CC1" w:rsidRPr="004E74A6" w:rsidRDefault="00734CC1" w:rsidP="00CE62C1">
            <w:pPr>
              <w:spacing w:line="276" w:lineRule="auto"/>
              <w:jc w:val="center"/>
              <w:rPr>
                <w:rFonts w:cs="Calibri"/>
                <w:color w:val="000000"/>
                <w:sz w:val="20"/>
                <w:lang w:eastAsia="es-CR"/>
              </w:rPr>
            </w:pPr>
            <w:r w:rsidRPr="004E74A6">
              <w:rPr>
                <w:rFonts w:cs="Calibri"/>
                <w:color w:val="000000"/>
                <w:sz w:val="20"/>
              </w:rPr>
              <w:t>2,3</w:t>
            </w:r>
          </w:p>
        </w:tc>
      </w:tr>
      <w:tr w:rsidR="00734CC1" w:rsidRPr="004E74A6" w14:paraId="0AAD4180" w14:textId="77777777" w:rsidTr="00B32800">
        <w:trPr>
          <w:trHeight w:val="288"/>
          <w:jc w:val="center"/>
        </w:trPr>
        <w:tc>
          <w:tcPr>
            <w:tcW w:w="2177" w:type="pct"/>
            <w:tcBorders>
              <w:top w:val="nil"/>
              <w:left w:val="nil"/>
              <w:bottom w:val="nil"/>
              <w:right w:val="single" w:sz="4" w:space="0" w:color="auto"/>
            </w:tcBorders>
            <w:shd w:val="clear" w:color="auto" w:fill="auto"/>
            <w:noWrap/>
            <w:vAlign w:val="bottom"/>
            <w:hideMark/>
          </w:tcPr>
          <w:p w14:paraId="2F054236" w14:textId="77777777" w:rsidR="00734CC1" w:rsidRPr="004E74A6" w:rsidRDefault="00734CC1" w:rsidP="00CE62C1">
            <w:pPr>
              <w:spacing w:line="276" w:lineRule="auto"/>
              <w:ind w:firstLineChars="100" w:firstLine="200"/>
              <w:jc w:val="left"/>
              <w:rPr>
                <w:rFonts w:cs="Calibri"/>
                <w:color w:val="000000"/>
                <w:sz w:val="20"/>
                <w:lang w:eastAsia="es-CR"/>
              </w:rPr>
            </w:pPr>
            <w:r w:rsidRPr="004E74A6">
              <w:rPr>
                <w:rFonts w:cs="Calibri"/>
                <w:color w:val="000000"/>
                <w:sz w:val="20"/>
                <w:lang w:eastAsia="es-CR"/>
              </w:rPr>
              <w:t>Sumario</w:t>
            </w:r>
          </w:p>
        </w:tc>
        <w:tc>
          <w:tcPr>
            <w:tcW w:w="652" w:type="pct"/>
            <w:tcBorders>
              <w:top w:val="nil"/>
              <w:left w:val="single" w:sz="4" w:space="0" w:color="auto"/>
              <w:bottom w:val="nil"/>
              <w:right w:val="single" w:sz="4" w:space="0" w:color="auto"/>
            </w:tcBorders>
            <w:shd w:val="clear" w:color="auto" w:fill="auto"/>
            <w:noWrap/>
            <w:vAlign w:val="bottom"/>
            <w:hideMark/>
          </w:tcPr>
          <w:p w14:paraId="77C9D221" w14:textId="07C52893" w:rsidR="00734CC1" w:rsidRPr="004E74A6" w:rsidRDefault="00734CC1" w:rsidP="00CE62C1">
            <w:pPr>
              <w:spacing w:line="276" w:lineRule="auto"/>
              <w:jc w:val="center"/>
              <w:rPr>
                <w:sz w:val="20"/>
                <w:lang w:eastAsia="es-CR"/>
              </w:rPr>
            </w:pPr>
            <w:r w:rsidRPr="004E74A6">
              <w:rPr>
                <w:rFonts w:cs="Calibri"/>
                <w:color w:val="000000"/>
                <w:sz w:val="20"/>
              </w:rPr>
              <w:t>0</w:t>
            </w:r>
          </w:p>
        </w:tc>
        <w:tc>
          <w:tcPr>
            <w:tcW w:w="651" w:type="pct"/>
            <w:tcBorders>
              <w:top w:val="nil"/>
              <w:left w:val="single" w:sz="4" w:space="0" w:color="auto"/>
              <w:bottom w:val="nil"/>
              <w:right w:val="single" w:sz="4" w:space="0" w:color="auto"/>
            </w:tcBorders>
            <w:shd w:val="clear" w:color="auto" w:fill="auto"/>
            <w:noWrap/>
            <w:vAlign w:val="bottom"/>
            <w:hideMark/>
          </w:tcPr>
          <w:p w14:paraId="148F24E4" w14:textId="31B236D1" w:rsidR="00734CC1" w:rsidRPr="004E74A6" w:rsidRDefault="00734CC1" w:rsidP="00CE62C1">
            <w:pPr>
              <w:spacing w:line="276" w:lineRule="auto"/>
              <w:jc w:val="center"/>
              <w:rPr>
                <w:sz w:val="20"/>
                <w:lang w:eastAsia="es-CR"/>
              </w:rPr>
            </w:pPr>
            <w:r w:rsidRPr="004E74A6">
              <w:rPr>
                <w:rFonts w:cs="Calibri"/>
                <w:color w:val="000000"/>
                <w:sz w:val="20"/>
              </w:rPr>
              <w:t>0</w:t>
            </w:r>
          </w:p>
        </w:tc>
        <w:tc>
          <w:tcPr>
            <w:tcW w:w="651" w:type="pct"/>
            <w:tcBorders>
              <w:top w:val="nil"/>
              <w:left w:val="single" w:sz="4" w:space="0" w:color="auto"/>
              <w:bottom w:val="nil"/>
              <w:right w:val="single" w:sz="4" w:space="0" w:color="auto"/>
            </w:tcBorders>
            <w:shd w:val="clear" w:color="auto" w:fill="auto"/>
            <w:noWrap/>
            <w:vAlign w:val="bottom"/>
            <w:hideMark/>
          </w:tcPr>
          <w:p w14:paraId="5286FDB1" w14:textId="66C19423" w:rsidR="00734CC1" w:rsidRPr="004E74A6" w:rsidRDefault="00734CC1" w:rsidP="00CE62C1">
            <w:pPr>
              <w:spacing w:line="276" w:lineRule="auto"/>
              <w:jc w:val="center"/>
              <w:rPr>
                <w:rFonts w:cs="Calibri"/>
                <w:color w:val="000000"/>
                <w:sz w:val="20"/>
                <w:lang w:eastAsia="es-CR"/>
              </w:rPr>
            </w:pPr>
            <w:r w:rsidRPr="004E74A6">
              <w:rPr>
                <w:rFonts w:cs="Calibri"/>
                <w:color w:val="000000"/>
                <w:sz w:val="20"/>
              </w:rPr>
              <w:t>1</w:t>
            </w:r>
          </w:p>
        </w:tc>
        <w:tc>
          <w:tcPr>
            <w:tcW w:w="869" w:type="pct"/>
            <w:tcBorders>
              <w:top w:val="nil"/>
              <w:left w:val="single" w:sz="4" w:space="0" w:color="auto"/>
              <w:bottom w:val="nil"/>
              <w:right w:val="nil"/>
            </w:tcBorders>
            <w:shd w:val="clear" w:color="auto" w:fill="auto"/>
            <w:noWrap/>
            <w:vAlign w:val="bottom"/>
            <w:hideMark/>
          </w:tcPr>
          <w:p w14:paraId="1FBF585A" w14:textId="253DFCFC" w:rsidR="00734CC1" w:rsidRPr="004E74A6" w:rsidRDefault="00734CC1" w:rsidP="00CE62C1">
            <w:pPr>
              <w:spacing w:line="276" w:lineRule="auto"/>
              <w:jc w:val="center"/>
              <w:rPr>
                <w:rFonts w:cs="Calibri"/>
                <w:color w:val="000000"/>
                <w:sz w:val="20"/>
                <w:lang w:eastAsia="es-CR"/>
              </w:rPr>
            </w:pPr>
            <w:r w:rsidRPr="004E74A6">
              <w:rPr>
                <w:rFonts w:cs="Calibri"/>
                <w:color w:val="000000"/>
                <w:sz w:val="20"/>
              </w:rPr>
              <w:t>0,3</w:t>
            </w:r>
          </w:p>
        </w:tc>
      </w:tr>
      <w:tr w:rsidR="00734CC1" w:rsidRPr="004E74A6" w14:paraId="342E3CAE" w14:textId="77777777" w:rsidTr="00B32800">
        <w:trPr>
          <w:trHeight w:val="288"/>
          <w:jc w:val="center"/>
        </w:trPr>
        <w:tc>
          <w:tcPr>
            <w:tcW w:w="2177" w:type="pct"/>
            <w:tcBorders>
              <w:top w:val="nil"/>
              <w:left w:val="nil"/>
              <w:right w:val="single" w:sz="4" w:space="0" w:color="auto"/>
            </w:tcBorders>
            <w:shd w:val="clear" w:color="auto" w:fill="auto"/>
            <w:noWrap/>
            <w:vAlign w:val="bottom"/>
            <w:hideMark/>
          </w:tcPr>
          <w:p w14:paraId="33B685F2" w14:textId="77777777" w:rsidR="00734CC1" w:rsidRPr="004E74A6" w:rsidRDefault="00734CC1" w:rsidP="00CE62C1">
            <w:pPr>
              <w:spacing w:line="276" w:lineRule="auto"/>
              <w:ind w:firstLineChars="100" w:firstLine="200"/>
              <w:jc w:val="left"/>
              <w:rPr>
                <w:rFonts w:cs="Calibri"/>
                <w:color w:val="000000"/>
                <w:sz w:val="20"/>
                <w:lang w:eastAsia="es-CR"/>
              </w:rPr>
            </w:pPr>
            <w:r w:rsidRPr="004E74A6">
              <w:rPr>
                <w:rFonts w:cs="Calibri"/>
                <w:color w:val="000000"/>
                <w:sz w:val="20"/>
                <w:lang w:eastAsia="es-CR"/>
              </w:rPr>
              <w:t>Inhib. Ordinario</w:t>
            </w:r>
          </w:p>
        </w:tc>
        <w:tc>
          <w:tcPr>
            <w:tcW w:w="652" w:type="pct"/>
            <w:tcBorders>
              <w:top w:val="nil"/>
              <w:left w:val="single" w:sz="4" w:space="0" w:color="auto"/>
              <w:right w:val="single" w:sz="4" w:space="0" w:color="auto"/>
            </w:tcBorders>
            <w:shd w:val="clear" w:color="auto" w:fill="auto"/>
            <w:noWrap/>
            <w:vAlign w:val="bottom"/>
            <w:hideMark/>
          </w:tcPr>
          <w:p w14:paraId="7C3D6276" w14:textId="561F075E" w:rsidR="00734CC1" w:rsidRPr="004E74A6" w:rsidRDefault="00734CC1" w:rsidP="00CE62C1">
            <w:pPr>
              <w:spacing w:line="276" w:lineRule="auto"/>
              <w:jc w:val="center"/>
              <w:rPr>
                <w:sz w:val="20"/>
                <w:lang w:eastAsia="es-CR"/>
              </w:rPr>
            </w:pPr>
            <w:r w:rsidRPr="004E74A6">
              <w:rPr>
                <w:rFonts w:cs="Calibri"/>
                <w:color w:val="000000"/>
                <w:sz w:val="20"/>
              </w:rPr>
              <w:t>0</w:t>
            </w:r>
          </w:p>
        </w:tc>
        <w:tc>
          <w:tcPr>
            <w:tcW w:w="651" w:type="pct"/>
            <w:tcBorders>
              <w:top w:val="nil"/>
              <w:left w:val="single" w:sz="4" w:space="0" w:color="auto"/>
              <w:right w:val="single" w:sz="4" w:space="0" w:color="auto"/>
            </w:tcBorders>
            <w:shd w:val="clear" w:color="auto" w:fill="auto"/>
            <w:noWrap/>
            <w:vAlign w:val="bottom"/>
            <w:hideMark/>
          </w:tcPr>
          <w:p w14:paraId="59F748FE" w14:textId="7F6A8759" w:rsidR="00734CC1" w:rsidRPr="004E74A6" w:rsidRDefault="00734CC1" w:rsidP="00CE62C1">
            <w:pPr>
              <w:spacing w:line="276" w:lineRule="auto"/>
              <w:jc w:val="center"/>
              <w:rPr>
                <w:sz w:val="20"/>
                <w:lang w:eastAsia="es-CR"/>
              </w:rPr>
            </w:pPr>
            <w:r w:rsidRPr="004E74A6">
              <w:rPr>
                <w:rFonts w:cs="Calibri"/>
                <w:color w:val="000000"/>
                <w:sz w:val="20"/>
              </w:rPr>
              <w:t>0</w:t>
            </w:r>
          </w:p>
        </w:tc>
        <w:tc>
          <w:tcPr>
            <w:tcW w:w="651" w:type="pct"/>
            <w:tcBorders>
              <w:top w:val="nil"/>
              <w:left w:val="single" w:sz="4" w:space="0" w:color="auto"/>
              <w:right w:val="single" w:sz="4" w:space="0" w:color="auto"/>
            </w:tcBorders>
            <w:shd w:val="clear" w:color="auto" w:fill="auto"/>
            <w:noWrap/>
            <w:vAlign w:val="bottom"/>
            <w:hideMark/>
          </w:tcPr>
          <w:p w14:paraId="7EB8297D" w14:textId="4461268E" w:rsidR="00734CC1" w:rsidRPr="004E74A6" w:rsidRDefault="00734CC1" w:rsidP="00CE62C1">
            <w:pPr>
              <w:spacing w:line="276" w:lineRule="auto"/>
              <w:jc w:val="center"/>
              <w:rPr>
                <w:rFonts w:cs="Calibri"/>
                <w:color w:val="000000"/>
                <w:sz w:val="20"/>
                <w:lang w:eastAsia="es-CR"/>
              </w:rPr>
            </w:pPr>
            <w:r w:rsidRPr="004E74A6">
              <w:rPr>
                <w:rFonts w:cs="Calibri"/>
                <w:color w:val="000000"/>
                <w:sz w:val="20"/>
              </w:rPr>
              <w:t>2</w:t>
            </w:r>
          </w:p>
        </w:tc>
        <w:tc>
          <w:tcPr>
            <w:tcW w:w="869" w:type="pct"/>
            <w:tcBorders>
              <w:top w:val="nil"/>
              <w:left w:val="single" w:sz="4" w:space="0" w:color="auto"/>
              <w:right w:val="nil"/>
            </w:tcBorders>
            <w:shd w:val="clear" w:color="auto" w:fill="auto"/>
            <w:noWrap/>
            <w:vAlign w:val="bottom"/>
            <w:hideMark/>
          </w:tcPr>
          <w:p w14:paraId="7A1C8BDB" w14:textId="47CFBC06" w:rsidR="00734CC1" w:rsidRPr="004E74A6" w:rsidRDefault="00734CC1" w:rsidP="00CE62C1">
            <w:pPr>
              <w:spacing w:line="276" w:lineRule="auto"/>
              <w:jc w:val="center"/>
              <w:rPr>
                <w:rFonts w:cs="Calibri"/>
                <w:color w:val="000000"/>
                <w:sz w:val="20"/>
                <w:lang w:eastAsia="es-CR"/>
              </w:rPr>
            </w:pPr>
            <w:r w:rsidRPr="004E74A6">
              <w:rPr>
                <w:rFonts w:cs="Calibri"/>
                <w:color w:val="000000"/>
                <w:sz w:val="20"/>
              </w:rPr>
              <w:t>0,7</w:t>
            </w:r>
          </w:p>
        </w:tc>
      </w:tr>
      <w:tr w:rsidR="003F416B" w:rsidRPr="004E74A6" w14:paraId="348C1535" w14:textId="77777777" w:rsidTr="003F416B">
        <w:trPr>
          <w:trHeight w:val="288"/>
          <w:jc w:val="center"/>
        </w:trPr>
        <w:tc>
          <w:tcPr>
            <w:tcW w:w="2177" w:type="pct"/>
            <w:tcBorders>
              <w:top w:val="nil"/>
              <w:left w:val="nil"/>
              <w:bottom w:val="single" w:sz="4" w:space="0" w:color="auto"/>
              <w:right w:val="single" w:sz="4" w:space="0" w:color="auto"/>
            </w:tcBorders>
            <w:shd w:val="clear" w:color="auto" w:fill="auto"/>
            <w:noWrap/>
            <w:vAlign w:val="bottom"/>
          </w:tcPr>
          <w:p w14:paraId="6CDABD3E" w14:textId="77777777" w:rsidR="008647ED" w:rsidRPr="004E74A6" w:rsidRDefault="008647ED" w:rsidP="00CE62C1">
            <w:pPr>
              <w:spacing w:line="276" w:lineRule="auto"/>
              <w:ind w:firstLineChars="100" w:firstLine="200"/>
              <w:jc w:val="left"/>
              <w:rPr>
                <w:rFonts w:cs="Calibri"/>
                <w:color w:val="000000"/>
                <w:sz w:val="20"/>
                <w:lang w:eastAsia="es-CR"/>
              </w:rPr>
            </w:pPr>
          </w:p>
        </w:tc>
        <w:tc>
          <w:tcPr>
            <w:tcW w:w="652" w:type="pct"/>
            <w:tcBorders>
              <w:top w:val="nil"/>
              <w:left w:val="single" w:sz="4" w:space="0" w:color="auto"/>
              <w:bottom w:val="single" w:sz="4" w:space="0" w:color="auto"/>
              <w:right w:val="single" w:sz="4" w:space="0" w:color="auto"/>
            </w:tcBorders>
            <w:shd w:val="clear" w:color="auto" w:fill="auto"/>
            <w:noWrap/>
            <w:vAlign w:val="center"/>
          </w:tcPr>
          <w:p w14:paraId="1E9AF228" w14:textId="77777777" w:rsidR="008647ED" w:rsidRPr="004E74A6" w:rsidRDefault="008647ED" w:rsidP="00CE62C1">
            <w:pPr>
              <w:spacing w:line="276" w:lineRule="auto"/>
              <w:jc w:val="center"/>
              <w:rPr>
                <w:sz w:val="20"/>
                <w:lang w:eastAsia="es-CR"/>
              </w:rPr>
            </w:pPr>
          </w:p>
        </w:tc>
        <w:tc>
          <w:tcPr>
            <w:tcW w:w="651" w:type="pct"/>
            <w:tcBorders>
              <w:top w:val="nil"/>
              <w:left w:val="single" w:sz="4" w:space="0" w:color="auto"/>
              <w:bottom w:val="single" w:sz="4" w:space="0" w:color="auto"/>
              <w:right w:val="single" w:sz="4" w:space="0" w:color="auto"/>
            </w:tcBorders>
            <w:shd w:val="clear" w:color="auto" w:fill="auto"/>
            <w:noWrap/>
            <w:vAlign w:val="center"/>
          </w:tcPr>
          <w:p w14:paraId="39489B1C" w14:textId="77777777" w:rsidR="008647ED" w:rsidRPr="004E74A6" w:rsidRDefault="008647ED" w:rsidP="00CE62C1">
            <w:pPr>
              <w:spacing w:line="276" w:lineRule="auto"/>
              <w:jc w:val="center"/>
              <w:rPr>
                <w:sz w:val="20"/>
                <w:lang w:eastAsia="es-CR"/>
              </w:rPr>
            </w:pPr>
          </w:p>
        </w:tc>
        <w:tc>
          <w:tcPr>
            <w:tcW w:w="651" w:type="pct"/>
            <w:tcBorders>
              <w:top w:val="nil"/>
              <w:left w:val="single" w:sz="4" w:space="0" w:color="auto"/>
              <w:bottom w:val="single" w:sz="4" w:space="0" w:color="auto"/>
              <w:right w:val="single" w:sz="4" w:space="0" w:color="auto"/>
            </w:tcBorders>
            <w:shd w:val="clear" w:color="auto" w:fill="auto"/>
            <w:noWrap/>
            <w:vAlign w:val="center"/>
          </w:tcPr>
          <w:p w14:paraId="31734BF4" w14:textId="77777777" w:rsidR="008647ED" w:rsidRPr="004E74A6" w:rsidRDefault="008647ED" w:rsidP="00CE62C1">
            <w:pPr>
              <w:spacing w:line="276" w:lineRule="auto"/>
              <w:jc w:val="center"/>
              <w:rPr>
                <w:rFonts w:cs="Calibri"/>
                <w:color w:val="000000"/>
                <w:sz w:val="20"/>
                <w:lang w:eastAsia="es-CR"/>
              </w:rPr>
            </w:pPr>
          </w:p>
        </w:tc>
        <w:tc>
          <w:tcPr>
            <w:tcW w:w="869" w:type="pct"/>
            <w:tcBorders>
              <w:top w:val="nil"/>
              <w:left w:val="single" w:sz="4" w:space="0" w:color="auto"/>
              <w:bottom w:val="single" w:sz="4" w:space="0" w:color="auto"/>
              <w:right w:val="nil"/>
            </w:tcBorders>
            <w:shd w:val="clear" w:color="auto" w:fill="auto"/>
            <w:noWrap/>
            <w:vAlign w:val="center"/>
          </w:tcPr>
          <w:p w14:paraId="2F358DC2" w14:textId="77777777" w:rsidR="008647ED" w:rsidRPr="004E74A6" w:rsidRDefault="008647ED" w:rsidP="00CE62C1">
            <w:pPr>
              <w:spacing w:line="276" w:lineRule="auto"/>
              <w:jc w:val="center"/>
              <w:rPr>
                <w:rFonts w:cs="Calibri"/>
                <w:color w:val="000000"/>
                <w:sz w:val="20"/>
                <w:lang w:eastAsia="es-CR"/>
              </w:rPr>
            </w:pPr>
          </w:p>
        </w:tc>
      </w:tr>
    </w:tbl>
    <w:p w14:paraId="0E5682EF" w14:textId="649F9B66" w:rsidR="003E4755" w:rsidRPr="004E74A6" w:rsidRDefault="003E4755" w:rsidP="00832773">
      <w:pPr>
        <w:spacing w:line="276" w:lineRule="auto"/>
        <w:ind w:left="1191" w:right="1191"/>
        <w:rPr>
          <w:rFonts w:cs="Calibri"/>
          <w:i/>
          <w:iCs/>
          <w:color w:val="000000"/>
          <w:sz w:val="20"/>
          <w:lang w:eastAsia="es-CR"/>
        </w:rPr>
      </w:pPr>
      <w:r w:rsidRPr="004E74A6">
        <w:rPr>
          <w:rFonts w:cs="Calibri"/>
          <w:b/>
          <w:bCs/>
          <w:i/>
          <w:iCs/>
          <w:color w:val="000000"/>
          <w:sz w:val="20"/>
          <w:lang w:eastAsia="es-CR"/>
        </w:rPr>
        <w:t>Fuente</w:t>
      </w:r>
      <w:r w:rsidRPr="004E74A6">
        <w:rPr>
          <w:rFonts w:cs="Calibri"/>
          <w:i/>
          <w:iCs/>
          <w:color w:val="000000"/>
          <w:sz w:val="20"/>
          <w:lang w:eastAsia="es-CR"/>
        </w:rPr>
        <w:t>: Subproceso de Modernización Institucional con datos extraídos del sistema SIGMA, Dirección de Planificación.</w:t>
      </w:r>
    </w:p>
    <w:p w14:paraId="70BDDA73" w14:textId="2F739DDE" w:rsidR="003F416B" w:rsidRPr="004E74A6" w:rsidRDefault="003F416B" w:rsidP="00832773">
      <w:pPr>
        <w:spacing w:line="276" w:lineRule="auto"/>
        <w:rPr>
          <w:rFonts w:cs="Calibri"/>
          <w:i/>
          <w:iCs/>
          <w:color w:val="000000"/>
          <w:sz w:val="20"/>
          <w:lang w:eastAsia="es-CR"/>
        </w:rPr>
      </w:pPr>
    </w:p>
    <w:p w14:paraId="024D1938" w14:textId="704C9D3D" w:rsidR="00734CC1" w:rsidRPr="004E74A6" w:rsidRDefault="00734CC1" w:rsidP="00CE62C1">
      <w:pPr>
        <w:spacing w:after="160" w:line="276" w:lineRule="auto"/>
        <w:rPr>
          <w:rFonts w:cs="Calibri"/>
          <w:color w:val="000000"/>
          <w:szCs w:val="24"/>
          <w:lang w:eastAsia="es-CR"/>
        </w:rPr>
      </w:pPr>
      <w:r w:rsidRPr="004E74A6">
        <w:rPr>
          <w:rFonts w:cs="Calibri"/>
          <w:color w:val="000000"/>
          <w:szCs w:val="24"/>
          <w:lang w:eastAsia="es-CR"/>
        </w:rPr>
        <w:t>Con un mayor detalle es posible observar que dentro de la clase de asunto ordinario, los procedimientos ordinarios son la mayoría con el 95% de los asuntos. Como se observa de los 113 registros, solo 111 tienen el procedimiento correcto, ya que según la fórmula estadística la clase “</w:t>
      </w:r>
      <w:r w:rsidRPr="004E74A6">
        <w:rPr>
          <w:rFonts w:cs="Calibri"/>
          <w:i/>
          <w:iCs/>
          <w:color w:val="000000"/>
          <w:szCs w:val="24"/>
          <w:lang w:eastAsia="es-CR"/>
        </w:rPr>
        <w:t>ordinario</w:t>
      </w:r>
      <w:r w:rsidRPr="004E74A6">
        <w:rPr>
          <w:rFonts w:cs="Calibri"/>
          <w:color w:val="000000"/>
          <w:szCs w:val="24"/>
          <w:lang w:eastAsia="es-CR"/>
        </w:rPr>
        <w:t>” solamente tiene como procedimiento asociado “</w:t>
      </w:r>
      <w:r w:rsidRPr="004E74A6">
        <w:rPr>
          <w:rFonts w:cs="Calibri"/>
          <w:i/>
          <w:iCs/>
          <w:color w:val="000000"/>
          <w:szCs w:val="24"/>
          <w:lang w:eastAsia="es-CR"/>
        </w:rPr>
        <w:t>ordinario</w:t>
      </w:r>
      <w:r w:rsidRPr="004E74A6">
        <w:rPr>
          <w:rFonts w:cs="Calibri"/>
          <w:color w:val="000000"/>
          <w:szCs w:val="24"/>
          <w:lang w:eastAsia="es-CR"/>
        </w:rPr>
        <w:t xml:space="preserve">”. </w:t>
      </w:r>
    </w:p>
    <w:p w14:paraId="287BEB3E" w14:textId="77777777" w:rsidR="004E4F14" w:rsidRDefault="004E4F14" w:rsidP="00F0204A">
      <w:pPr>
        <w:pStyle w:val="Descripcin"/>
        <w:keepNext/>
        <w:spacing w:line="276" w:lineRule="auto"/>
        <w:jc w:val="center"/>
        <w:rPr>
          <w:rFonts w:ascii="Book Antiqua" w:hAnsi="Book Antiqua"/>
          <w:i/>
          <w:iCs/>
          <w:sz w:val="20"/>
          <w:szCs w:val="16"/>
          <w:lang w:val="es-CR"/>
        </w:rPr>
      </w:pPr>
    </w:p>
    <w:p w14:paraId="2C4E573B" w14:textId="75138F2E" w:rsidR="004E4F14" w:rsidRDefault="004E4F14" w:rsidP="00F0204A">
      <w:pPr>
        <w:pStyle w:val="Descripcin"/>
        <w:keepNext/>
        <w:spacing w:line="276" w:lineRule="auto"/>
        <w:jc w:val="center"/>
        <w:rPr>
          <w:rFonts w:ascii="Book Antiqua" w:hAnsi="Book Antiqua"/>
          <w:i/>
          <w:iCs/>
          <w:sz w:val="20"/>
          <w:szCs w:val="16"/>
          <w:lang w:val="es-CR"/>
        </w:rPr>
      </w:pPr>
    </w:p>
    <w:p w14:paraId="0A68DE19" w14:textId="741D230B" w:rsidR="004E4F14" w:rsidRDefault="004E4F14" w:rsidP="004E4F14"/>
    <w:p w14:paraId="1CD66585" w14:textId="680150FE" w:rsidR="004E4F14" w:rsidRDefault="004E4F14" w:rsidP="004E4F14"/>
    <w:p w14:paraId="158D0A86" w14:textId="5ED97FE2" w:rsidR="004E4F14" w:rsidRDefault="004E4F14" w:rsidP="004E4F14"/>
    <w:p w14:paraId="590BECB3" w14:textId="39846293" w:rsidR="004E4F14" w:rsidRDefault="004E4F14" w:rsidP="004E4F14"/>
    <w:p w14:paraId="26C6692F" w14:textId="24BE0A5D" w:rsidR="004E4F14" w:rsidRDefault="004E4F14" w:rsidP="004E4F14"/>
    <w:p w14:paraId="29A066E8" w14:textId="77777777" w:rsidR="004E4F14" w:rsidRPr="004E4F14" w:rsidRDefault="004E4F14" w:rsidP="004E4F14"/>
    <w:p w14:paraId="38E87DBF" w14:textId="4708811F" w:rsidR="003F416B" w:rsidRPr="00832773" w:rsidRDefault="003F416B" w:rsidP="00F0204A">
      <w:pPr>
        <w:pStyle w:val="Descripcin"/>
        <w:keepNext/>
        <w:spacing w:line="276" w:lineRule="auto"/>
        <w:jc w:val="center"/>
        <w:rPr>
          <w:rFonts w:ascii="Book Antiqua" w:hAnsi="Book Antiqua"/>
          <w:i/>
          <w:iCs/>
          <w:sz w:val="20"/>
          <w:szCs w:val="16"/>
          <w:lang w:val="es-CR"/>
        </w:rPr>
      </w:pPr>
      <w:r w:rsidRPr="00832773">
        <w:rPr>
          <w:rFonts w:ascii="Book Antiqua" w:hAnsi="Book Antiqua"/>
          <w:i/>
          <w:iCs/>
          <w:sz w:val="20"/>
          <w:szCs w:val="16"/>
          <w:lang w:val="es-CR"/>
        </w:rPr>
        <w:lastRenderedPageBreak/>
        <w:t xml:space="preserve">Tabla </w:t>
      </w:r>
      <w:r w:rsidRPr="00832773">
        <w:rPr>
          <w:rFonts w:ascii="Book Antiqua" w:hAnsi="Book Antiqua"/>
          <w:i/>
          <w:iCs/>
          <w:sz w:val="20"/>
          <w:szCs w:val="16"/>
          <w:lang w:val="es-CR"/>
        </w:rPr>
        <w:fldChar w:fldCharType="begin"/>
      </w:r>
      <w:r w:rsidRPr="00832773">
        <w:rPr>
          <w:rFonts w:ascii="Book Antiqua" w:hAnsi="Book Antiqua"/>
          <w:i/>
          <w:iCs/>
          <w:sz w:val="20"/>
          <w:szCs w:val="16"/>
          <w:lang w:val="es-CR"/>
        </w:rPr>
        <w:instrText xml:space="preserve"> SEQ Tabla \* ARABIC </w:instrText>
      </w:r>
      <w:r w:rsidRPr="00832773">
        <w:rPr>
          <w:rFonts w:ascii="Book Antiqua" w:hAnsi="Book Antiqua"/>
          <w:i/>
          <w:iCs/>
          <w:sz w:val="20"/>
          <w:szCs w:val="16"/>
          <w:lang w:val="es-CR"/>
        </w:rPr>
        <w:fldChar w:fldCharType="separate"/>
      </w:r>
      <w:r w:rsidR="00374B51">
        <w:rPr>
          <w:rFonts w:ascii="Book Antiqua" w:hAnsi="Book Antiqua"/>
          <w:i/>
          <w:iCs/>
          <w:noProof/>
          <w:sz w:val="20"/>
          <w:szCs w:val="16"/>
          <w:lang w:val="es-CR"/>
        </w:rPr>
        <w:t>47</w:t>
      </w:r>
      <w:r w:rsidRPr="00832773">
        <w:rPr>
          <w:rFonts w:ascii="Book Antiqua" w:hAnsi="Book Antiqua"/>
          <w:i/>
          <w:iCs/>
          <w:sz w:val="20"/>
          <w:szCs w:val="16"/>
          <w:lang w:val="es-CR"/>
        </w:rPr>
        <w:fldChar w:fldCharType="end"/>
      </w:r>
      <w:r w:rsidRPr="00832773">
        <w:rPr>
          <w:rFonts w:ascii="Book Antiqua" w:hAnsi="Book Antiqua"/>
          <w:i/>
          <w:iCs/>
          <w:sz w:val="20"/>
          <w:szCs w:val="16"/>
          <w:lang w:val="es-CR"/>
        </w:rPr>
        <w:t xml:space="preserve"> Cantidad de asuntos ordinarios según procedimiento del 2019 al 2021 para el Tribunal Colegiado de Primera Instancia Civil Primer Circuito Judicial Zona Atlántica</w:t>
      </w:r>
    </w:p>
    <w:tbl>
      <w:tblPr>
        <w:tblW w:w="4580" w:type="pct"/>
        <w:jc w:val="center"/>
        <w:tblCellMar>
          <w:left w:w="70" w:type="dxa"/>
          <w:right w:w="70" w:type="dxa"/>
        </w:tblCellMar>
        <w:tblLook w:val="04A0" w:firstRow="1" w:lastRow="0" w:firstColumn="1" w:lastColumn="0" w:noHBand="0" w:noVBand="1"/>
      </w:tblPr>
      <w:tblGrid>
        <w:gridCol w:w="4473"/>
        <w:gridCol w:w="834"/>
        <w:gridCol w:w="837"/>
        <w:gridCol w:w="837"/>
        <w:gridCol w:w="1116"/>
      </w:tblGrid>
      <w:tr w:rsidR="003F416B" w:rsidRPr="004E74A6" w14:paraId="05806B53" w14:textId="77777777" w:rsidTr="00734CC1">
        <w:trPr>
          <w:trHeight w:val="454"/>
          <w:tblHeader/>
          <w:jc w:val="center"/>
        </w:trPr>
        <w:tc>
          <w:tcPr>
            <w:tcW w:w="2762" w:type="pct"/>
            <w:tcBorders>
              <w:top w:val="single" w:sz="4" w:space="0" w:color="auto"/>
              <w:left w:val="nil"/>
              <w:bottom w:val="single" w:sz="4" w:space="0" w:color="auto"/>
              <w:right w:val="single" w:sz="4" w:space="0" w:color="auto"/>
            </w:tcBorders>
            <w:shd w:val="clear" w:color="auto" w:fill="auto"/>
            <w:noWrap/>
            <w:vAlign w:val="center"/>
            <w:hideMark/>
          </w:tcPr>
          <w:p w14:paraId="43533C3C"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Ordinario</w:t>
            </w:r>
          </w:p>
        </w:tc>
        <w:tc>
          <w:tcPr>
            <w:tcW w:w="51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B3A9FE3"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2019</w:t>
            </w:r>
          </w:p>
        </w:tc>
        <w:tc>
          <w:tcPr>
            <w:tcW w:w="51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314BC5A"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2020</w:t>
            </w:r>
          </w:p>
        </w:tc>
        <w:tc>
          <w:tcPr>
            <w:tcW w:w="51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D8AB053"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2021</w:t>
            </w:r>
          </w:p>
        </w:tc>
        <w:tc>
          <w:tcPr>
            <w:tcW w:w="689" w:type="pct"/>
            <w:tcBorders>
              <w:top w:val="single" w:sz="4" w:space="0" w:color="auto"/>
              <w:left w:val="single" w:sz="4" w:space="0" w:color="auto"/>
              <w:bottom w:val="single" w:sz="4" w:space="0" w:color="auto"/>
              <w:right w:val="nil"/>
            </w:tcBorders>
            <w:shd w:val="clear" w:color="auto" w:fill="auto"/>
            <w:noWrap/>
            <w:vAlign w:val="center"/>
          </w:tcPr>
          <w:p w14:paraId="1C9B1BA6" w14:textId="0FEA4774" w:rsidR="008647ED" w:rsidRPr="004E74A6" w:rsidRDefault="003F416B" w:rsidP="00CE62C1">
            <w:pPr>
              <w:spacing w:line="276" w:lineRule="auto"/>
              <w:jc w:val="center"/>
              <w:rPr>
                <w:rFonts w:cs="Calibri"/>
                <w:color w:val="000000"/>
                <w:sz w:val="20"/>
                <w:lang w:eastAsia="es-CR"/>
              </w:rPr>
            </w:pPr>
            <w:r w:rsidRPr="004E74A6">
              <w:rPr>
                <w:rFonts w:cs="Calibri"/>
                <w:color w:val="000000"/>
                <w:sz w:val="20"/>
                <w:lang w:eastAsia="es-CR"/>
              </w:rPr>
              <w:t>Promedio</w:t>
            </w:r>
          </w:p>
        </w:tc>
      </w:tr>
      <w:tr w:rsidR="003F416B" w:rsidRPr="004E74A6" w14:paraId="06C4D664" w14:textId="77777777" w:rsidTr="00734CC1">
        <w:trPr>
          <w:trHeight w:val="288"/>
          <w:jc w:val="center"/>
        </w:trPr>
        <w:tc>
          <w:tcPr>
            <w:tcW w:w="2762" w:type="pct"/>
            <w:tcBorders>
              <w:top w:val="single" w:sz="4" w:space="0" w:color="auto"/>
              <w:left w:val="nil"/>
              <w:bottom w:val="nil"/>
              <w:right w:val="single" w:sz="4" w:space="0" w:color="auto"/>
            </w:tcBorders>
            <w:shd w:val="clear" w:color="auto" w:fill="auto"/>
            <w:noWrap/>
            <w:vAlign w:val="center"/>
          </w:tcPr>
          <w:p w14:paraId="2AA21596" w14:textId="77777777" w:rsidR="008647ED" w:rsidRPr="004E74A6" w:rsidRDefault="008647ED" w:rsidP="00CE62C1">
            <w:pPr>
              <w:spacing w:line="276" w:lineRule="auto"/>
              <w:ind w:firstLineChars="200" w:firstLine="400"/>
              <w:jc w:val="center"/>
              <w:rPr>
                <w:rFonts w:cs="Calibri"/>
                <w:color w:val="000000"/>
                <w:sz w:val="20"/>
                <w:lang w:eastAsia="es-CR"/>
              </w:rPr>
            </w:pPr>
          </w:p>
        </w:tc>
        <w:tc>
          <w:tcPr>
            <w:tcW w:w="515" w:type="pct"/>
            <w:tcBorders>
              <w:top w:val="single" w:sz="4" w:space="0" w:color="auto"/>
              <w:left w:val="single" w:sz="4" w:space="0" w:color="auto"/>
              <w:bottom w:val="nil"/>
              <w:right w:val="single" w:sz="4" w:space="0" w:color="auto"/>
            </w:tcBorders>
            <w:shd w:val="clear" w:color="auto" w:fill="auto"/>
            <w:noWrap/>
            <w:vAlign w:val="center"/>
          </w:tcPr>
          <w:p w14:paraId="2722EB71" w14:textId="77777777" w:rsidR="008647ED" w:rsidRPr="004E74A6" w:rsidRDefault="008647ED" w:rsidP="00CE62C1">
            <w:pPr>
              <w:spacing w:line="276" w:lineRule="auto"/>
              <w:jc w:val="center"/>
              <w:rPr>
                <w:rFonts w:cs="Calibri"/>
                <w:color w:val="000000"/>
                <w:sz w:val="20"/>
                <w:lang w:eastAsia="es-CR"/>
              </w:rPr>
            </w:pPr>
          </w:p>
        </w:tc>
        <w:tc>
          <w:tcPr>
            <w:tcW w:w="517" w:type="pct"/>
            <w:tcBorders>
              <w:top w:val="single" w:sz="4" w:space="0" w:color="auto"/>
              <w:left w:val="single" w:sz="4" w:space="0" w:color="auto"/>
              <w:bottom w:val="nil"/>
              <w:right w:val="single" w:sz="4" w:space="0" w:color="auto"/>
            </w:tcBorders>
            <w:shd w:val="clear" w:color="auto" w:fill="auto"/>
            <w:noWrap/>
            <w:vAlign w:val="center"/>
          </w:tcPr>
          <w:p w14:paraId="01AF20A0" w14:textId="77777777" w:rsidR="008647ED" w:rsidRPr="004E74A6" w:rsidRDefault="008647ED" w:rsidP="00CE62C1">
            <w:pPr>
              <w:spacing w:line="276" w:lineRule="auto"/>
              <w:jc w:val="center"/>
              <w:rPr>
                <w:rFonts w:cs="Calibri"/>
                <w:color w:val="000000"/>
                <w:sz w:val="20"/>
                <w:lang w:eastAsia="es-CR"/>
              </w:rPr>
            </w:pPr>
          </w:p>
        </w:tc>
        <w:tc>
          <w:tcPr>
            <w:tcW w:w="517" w:type="pct"/>
            <w:tcBorders>
              <w:top w:val="single" w:sz="4" w:space="0" w:color="auto"/>
              <w:left w:val="single" w:sz="4" w:space="0" w:color="auto"/>
              <w:bottom w:val="nil"/>
              <w:right w:val="single" w:sz="4" w:space="0" w:color="auto"/>
            </w:tcBorders>
            <w:shd w:val="clear" w:color="auto" w:fill="auto"/>
            <w:noWrap/>
            <w:vAlign w:val="center"/>
          </w:tcPr>
          <w:p w14:paraId="3683540C" w14:textId="77777777" w:rsidR="008647ED" w:rsidRPr="004E74A6" w:rsidRDefault="008647ED" w:rsidP="00CE62C1">
            <w:pPr>
              <w:spacing w:line="276" w:lineRule="auto"/>
              <w:jc w:val="center"/>
              <w:rPr>
                <w:sz w:val="20"/>
                <w:lang w:eastAsia="es-CR"/>
              </w:rPr>
            </w:pPr>
          </w:p>
        </w:tc>
        <w:tc>
          <w:tcPr>
            <w:tcW w:w="689" w:type="pct"/>
            <w:tcBorders>
              <w:top w:val="single" w:sz="4" w:space="0" w:color="auto"/>
              <w:left w:val="single" w:sz="4" w:space="0" w:color="auto"/>
              <w:bottom w:val="nil"/>
              <w:right w:val="nil"/>
            </w:tcBorders>
            <w:shd w:val="clear" w:color="auto" w:fill="auto"/>
            <w:noWrap/>
            <w:vAlign w:val="center"/>
          </w:tcPr>
          <w:p w14:paraId="673C137F" w14:textId="77777777" w:rsidR="008647ED" w:rsidRPr="004E74A6" w:rsidRDefault="008647ED" w:rsidP="00CE62C1">
            <w:pPr>
              <w:spacing w:line="276" w:lineRule="auto"/>
              <w:jc w:val="center"/>
              <w:rPr>
                <w:rFonts w:cs="Calibri"/>
                <w:color w:val="000000"/>
                <w:sz w:val="20"/>
                <w:lang w:eastAsia="es-CR"/>
              </w:rPr>
            </w:pPr>
          </w:p>
        </w:tc>
      </w:tr>
      <w:tr w:rsidR="00734CC1" w:rsidRPr="004E74A6" w14:paraId="69BA244F" w14:textId="77777777" w:rsidTr="00B32800">
        <w:trPr>
          <w:trHeight w:val="288"/>
          <w:jc w:val="center"/>
        </w:trPr>
        <w:tc>
          <w:tcPr>
            <w:tcW w:w="2762" w:type="pct"/>
            <w:tcBorders>
              <w:top w:val="nil"/>
              <w:left w:val="nil"/>
              <w:bottom w:val="nil"/>
              <w:right w:val="single" w:sz="4" w:space="0" w:color="auto"/>
            </w:tcBorders>
            <w:shd w:val="clear" w:color="auto" w:fill="auto"/>
            <w:noWrap/>
            <w:vAlign w:val="center"/>
          </w:tcPr>
          <w:p w14:paraId="48617958" w14:textId="77777777" w:rsidR="00734CC1" w:rsidRPr="004E74A6" w:rsidRDefault="00734CC1" w:rsidP="00CE62C1">
            <w:pPr>
              <w:spacing w:line="276" w:lineRule="auto"/>
              <w:jc w:val="center"/>
              <w:rPr>
                <w:rFonts w:cs="Calibri"/>
                <w:color w:val="000000"/>
                <w:sz w:val="20"/>
                <w:lang w:eastAsia="es-CR"/>
              </w:rPr>
            </w:pPr>
            <w:r w:rsidRPr="004E74A6">
              <w:rPr>
                <w:rFonts w:cs="Calibri"/>
                <w:color w:val="000000"/>
                <w:sz w:val="20"/>
                <w:lang w:eastAsia="es-CR"/>
              </w:rPr>
              <w:t>Total</w:t>
            </w:r>
          </w:p>
        </w:tc>
        <w:tc>
          <w:tcPr>
            <w:tcW w:w="515" w:type="pct"/>
            <w:tcBorders>
              <w:top w:val="nil"/>
              <w:left w:val="single" w:sz="4" w:space="0" w:color="auto"/>
              <w:bottom w:val="nil"/>
              <w:right w:val="single" w:sz="4" w:space="0" w:color="auto"/>
            </w:tcBorders>
            <w:shd w:val="clear" w:color="auto" w:fill="auto"/>
            <w:noWrap/>
            <w:vAlign w:val="bottom"/>
          </w:tcPr>
          <w:p w14:paraId="5E78F597" w14:textId="6DC9EBD7" w:rsidR="00734CC1" w:rsidRPr="004E74A6" w:rsidRDefault="00734CC1" w:rsidP="00CE62C1">
            <w:pPr>
              <w:spacing w:line="276" w:lineRule="auto"/>
              <w:jc w:val="center"/>
              <w:rPr>
                <w:rFonts w:cs="Calibri"/>
                <w:color w:val="000000"/>
                <w:sz w:val="20"/>
                <w:lang w:eastAsia="es-CR"/>
              </w:rPr>
            </w:pPr>
            <w:r w:rsidRPr="004E74A6">
              <w:rPr>
                <w:rFonts w:cs="Calibri"/>
                <w:color w:val="000000"/>
                <w:sz w:val="20"/>
              </w:rPr>
              <w:t>120</w:t>
            </w:r>
          </w:p>
        </w:tc>
        <w:tc>
          <w:tcPr>
            <w:tcW w:w="517" w:type="pct"/>
            <w:tcBorders>
              <w:top w:val="nil"/>
              <w:left w:val="single" w:sz="4" w:space="0" w:color="auto"/>
              <w:bottom w:val="nil"/>
              <w:right w:val="single" w:sz="4" w:space="0" w:color="auto"/>
            </w:tcBorders>
            <w:shd w:val="clear" w:color="auto" w:fill="auto"/>
            <w:noWrap/>
            <w:vAlign w:val="bottom"/>
          </w:tcPr>
          <w:p w14:paraId="61728CC7" w14:textId="48BF6766" w:rsidR="00734CC1" w:rsidRPr="004E74A6" w:rsidRDefault="00734CC1" w:rsidP="00CE62C1">
            <w:pPr>
              <w:spacing w:line="276" w:lineRule="auto"/>
              <w:jc w:val="center"/>
              <w:rPr>
                <w:rFonts w:cs="Calibri"/>
                <w:color w:val="000000"/>
                <w:sz w:val="20"/>
                <w:lang w:eastAsia="es-CR"/>
              </w:rPr>
            </w:pPr>
            <w:r w:rsidRPr="004E74A6">
              <w:rPr>
                <w:rFonts w:cs="Calibri"/>
                <w:color w:val="000000"/>
                <w:sz w:val="20"/>
              </w:rPr>
              <w:t>94</w:t>
            </w:r>
          </w:p>
        </w:tc>
        <w:tc>
          <w:tcPr>
            <w:tcW w:w="517" w:type="pct"/>
            <w:tcBorders>
              <w:top w:val="nil"/>
              <w:left w:val="single" w:sz="4" w:space="0" w:color="auto"/>
              <w:bottom w:val="nil"/>
              <w:right w:val="single" w:sz="4" w:space="0" w:color="auto"/>
            </w:tcBorders>
            <w:shd w:val="clear" w:color="auto" w:fill="auto"/>
            <w:noWrap/>
            <w:vAlign w:val="bottom"/>
          </w:tcPr>
          <w:p w14:paraId="028F8FDB" w14:textId="67FA1989" w:rsidR="00734CC1" w:rsidRPr="004E74A6" w:rsidRDefault="00734CC1" w:rsidP="00CE62C1">
            <w:pPr>
              <w:spacing w:line="276" w:lineRule="auto"/>
              <w:jc w:val="center"/>
              <w:rPr>
                <w:sz w:val="20"/>
                <w:lang w:eastAsia="es-CR"/>
              </w:rPr>
            </w:pPr>
            <w:r w:rsidRPr="004E74A6">
              <w:rPr>
                <w:rFonts w:cs="Calibri"/>
                <w:color w:val="000000"/>
                <w:sz w:val="20"/>
              </w:rPr>
              <w:t>124</w:t>
            </w:r>
          </w:p>
        </w:tc>
        <w:tc>
          <w:tcPr>
            <w:tcW w:w="689" w:type="pct"/>
            <w:tcBorders>
              <w:top w:val="nil"/>
              <w:left w:val="single" w:sz="4" w:space="0" w:color="auto"/>
              <w:bottom w:val="nil"/>
              <w:right w:val="nil"/>
            </w:tcBorders>
            <w:shd w:val="clear" w:color="auto" w:fill="auto"/>
            <w:noWrap/>
            <w:vAlign w:val="bottom"/>
          </w:tcPr>
          <w:p w14:paraId="588E64B4" w14:textId="59CD8CB9" w:rsidR="00734CC1" w:rsidRPr="004E74A6" w:rsidRDefault="00734CC1" w:rsidP="00CE62C1">
            <w:pPr>
              <w:spacing w:line="276" w:lineRule="auto"/>
              <w:jc w:val="center"/>
              <w:rPr>
                <w:rFonts w:cs="Calibri"/>
                <w:color w:val="000000"/>
                <w:sz w:val="20"/>
                <w:lang w:eastAsia="es-CR"/>
              </w:rPr>
            </w:pPr>
            <w:r w:rsidRPr="004E74A6">
              <w:rPr>
                <w:rFonts w:cs="Calibri"/>
                <w:color w:val="000000"/>
                <w:sz w:val="20"/>
              </w:rPr>
              <w:t>113</w:t>
            </w:r>
          </w:p>
        </w:tc>
      </w:tr>
      <w:tr w:rsidR="003F416B" w:rsidRPr="004E74A6" w14:paraId="3700C343" w14:textId="77777777" w:rsidTr="00734CC1">
        <w:trPr>
          <w:trHeight w:val="288"/>
          <w:jc w:val="center"/>
        </w:trPr>
        <w:tc>
          <w:tcPr>
            <w:tcW w:w="2762" w:type="pct"/>
            <w:tcBorders>
              <w:top w:val="nil"/>
              <w:left w:val="nil"/>
              <w:bottom w:val="nil"/>
              <w:right w:val="single" w:sz="4" w:space="0" w:color="auto"/>
            </w:tcBorders>
            <w:shd w:val="clear" w:color="auto" w:fill="auto"/>
            <w:noWrap/>
            <w:vAlign w:val="bottom"/>
          </w:tcPr>
          <w:p w14:paraId="250FD027" w14:textId="77777777" w:rsidR="003F416B" w:rsidRPr="004E74A6" w:rsidRDefault="003F416B" w:rsidP="00CE62C1">
            <w:pPr>
              <w:spacing w:line="276" w:lineRule="auto"/>
              <w:ind w:firstLineChars="200" w:firstLine="400"/>
              <w:jc w:val="left"/>
              <w:rPr>
                <w:rFonts w:cs="Calibri"/>
                <w:color w:val="000000"/>
                <w:sz w:val="20"/>
                <w:lang w:eastAsia="es-CR"/>
              </w:rPr>
            </w:pPr>
          </w:p>
        </w:tc>
        <w:tc>
          <w:tcPr>
            <w:tcW w:w="515" w:type="pct"/>
            <w:tcBorders>
              <w:top w:val="nil"/>
              <w:left w:val="single" w:sz="4" w:space="0" w:color="auto"/>
              <w:bottom w:val="nil"/>
              <w:right w:val="single" w:sz="4" w:space="0" w:color="auto"/>
            </w:tcBorders>
            <w:shd w:val="clear" w:color="auto" w:fill="auto"/>
            <w:noWrap/>
            <w:vAlign w:val="center"/>
          </w:tcPr>
          <w:p w14:paraId="6AB13FC2" w14:textId="77777777" w:rsidR="003F416B" w:rsidRPr="004E74A6" w:rsidRDefault="003F416B" w:rsidP="00CE62C1">
            <w:pPr>
              <w:spacing w:line="276" w:lineRule="auto"/>
              <w:jc w:val="center"/>
              <w:rPr>
                <w:rFonts w:cs="Calibri"/>
                <w:color w:val="000000"/>
                <w:sz w:val="20"/>
                <w:lang w:eastAsia="es-CR"/>
              </w:rPr>
            </w:pPr>
          </w:p>
        </w:tc>
        <w:tc>
          <w:tcPr>
            <w:tcW w:w="517" w:type="pct"/>
            <w:tcBorders>
              <w:top w:val="nil"/>
              <w:left w:val="single" w:sz="4" w:space="0" w:color="auto"/>
              <w:bottom w:val="nil"/>
              <w:right w:val="single" w:sz="4" w:space="0" w:color="auto"/>
            </w:tcBorders>
            <w:shd w:val="clear" w:color="auto" w:fill="auto"/>
            <w:noWrap/>
            <w:vAlign w:val="center"/>
          </w:tcPr>
          <w:p w14:paraId="2CE7DC48" w14:textId="77777777" w:rsidR="003F416B" w:rsidRPr="004E74A6" w:rsidRDefault="003F416B" w:rsidP="00CE62C1">
            <w:pPr>
              <w:spacing w:line="276" w:lineRule="auto"/>
              <w:jc w:val="center"/>
              <w:rPr>
                <w:rFonts w:cs="Calibri"/>
                <w:color w:val="000000"/>
                <w:sz w:val="20"/>
                <w:lang w:eastAsia="es-CR"/>
              </w:rPr>
            </w:pPr>
          </w:p>
        </w:tc>
        <w:tc>
          <w:tcPr>
            <w:tcW w:w="517" w:type="pct"/>
            <w:tcBorders>
              <w:top w:val="nil"/>
              <w:left w:val="single" w:sz="4" w:space="0" w:color="auto"/>
              <w:bottom w:val="nil"/>
              <w:right w:val="single" w:sz="4" w:space="0" w:color="auto"/>
            </w:tcBorders>
            <w:shd w:val="clear" w:color="auto" w:fill="auto"/>
            <w:noWrap/>
            <w:vAlign w:val="center"/>
          </w:tcPr>
          <w:p w14:paraId="55FA71B9" w14:textId="77777777" w:rsidR="003F416B" w:rsidRPr="004E74A6" w:rsidRDefault="003F416B" w:rsidP="00CE62C1">
            <w:pPr>
              <w:spacing w:line="276" w:lineRule="auto"/>
              <w:jc w:val="center"/>
              <w:rPr>
                <w:sz w:val="20"/>
                <w:lang w:eastAsia="es-CR"/>
              </w:rPr>
            </w:pPr>
          </w:p>
        </w:tc>
        <w:tc>
          <w:tcPr>
            <w:tcW w:w="689" w:type="pct"/>
            <w:tcBorders>
              <w:top w:val="nil"/>
              <w:left w:val="single" w:sz="4" w:space="0" w:color="auto"/>
              <w:bottom w:val="nil"/>
              <w:right w:val="nil"/>
            </w:tcBorders>
            <w:shd w:val="clear" w:color="auto" w:fill="auto"/>
            <w:noWrap/>
            <w:vAlign w:val="center"/>
          </w:tcPr>
          <w:p w14:paraId="03E9AF8F" w14:textId="77777777" w:rsidR="003F416B" w:rsidRPr="004E74A6" w:rsidRDefault="003F416B" w:rsidP="00CE62C1">
            <w:pPr>
              <w:spacing w:line="276" w:lineRule="auto"/>
              <w:jc w:val="center"/>
              <w:rPr>
                <w:rFonts w:cs="Calibri"/>
                <w:color w:val="000000"/>
                <w:sz w:val="20"/>
                <w:lang w:eastAsia="es-CR"/>
              </w:rPr>
            </w:pPr>
          </w:p>
        </w:tc>
      </w:tr>
      <w:tr w:rsidR="00734CC1" w:rsidRPr="004E74A6" w14:paraId="414353DB" w14:textId="77777777" w:rsidTr="00B32800">
        <w:trPr>
          <w:trHeight w:val="288"/>
          <w:jc w:val="center"/>
        </w:trPr>
        <w:tc>
          <w:tcPr>
            <w:tcW w:w="2762" w:type="pct"/>
            <w:tcBorders>
              <w:top w:val="nil"/>
              <w:left w:val="nil"/>
              <w:bottom w:val="nil"/>
              <w:right w:val="single" w:sz="4" w:space="0" w:color="auto"/>
            </w:tcBorders>
            <w:shd w:val="clear" w:color="auto" w:fill="auto"/>
            <w:noWrap/>
            <w:vAlign w:val="bottom"/>
            <w:hideMark/>
          </w:tcPr>
          <w:p w14:paraId="4E4C5C1F" w14:textId="77777777" w:rsidR="00734CC1" w:rsidRPr="004E74A6" w:rsidRDefault="00734CC1" w:rsidP="00CE62C1">
            <w:pPr>
              <w:spacing w:line="276" w:lineRule="auto"/>
              <w:ind w:firstLineChars="200" w:firstLine="400"/>
              <w:jc w:val="left"/>
              <w:rPr>
                <w:rFonts w:cs="Calibri"/>
                <w:color w:val="000000"/>
                <w:sz w:val="20"/>
                <w:lang w:eastAsia="es-CR"/>
              </w:rPr>
            </w:pPr>
            <w:r w:rsidRPr="004E74A6">
              <w:rPr>
                <w:rFonts w:cs="Calibri"/>
                <w:color w:val="000000"/>
                <w:sz w:val="20"/>
                <w:lang w:eastAsia="es-CR"/>
              </w:rPr>
              <w:t>Interdicto</w:t>
            </w:r>
          </w:p>
        </w:tc>
        <w:tc>
          <w:tcPr>
            <w:tcW w:w="515" w:type="pct"/>
            <w:tcBorders>
              <w:top w:val="nil"/>
              <w:left w:val="single" w:sz="4" w:space="0" w:color="auto"/>
              <w:bottom w:val="nil"/>
              <w:right w:val="single" w:sz="4" w:space="0" w:color="auto"/>
            </w:tcBorders>
            <w:shd w:val="clear" w:color="auto" w:fill="auto"/>
            <w:noWrap/>
            <w:vAlign w:val="bottom"/>
            <w:hideMark/>
          </w:tcPr>
          <w:p w14:paraId="6276F0F2" w14:textId="58D27FDC" w:rsidR="00734CC1" w:rsidRPr="004E74A6" w:rsidRDefault="00734CC1" w:rsidP="00CE62C1">
            <w:pPr>
              <w:spacing w:line="276" w:lineRule="auto"/>
              <w:jc w:val="center"/>
              <w:rPr>
                <w:rFonts w:cs="Calibri"/>
                <w:color w:val="000000"/>
                <w:sz w:val="20"/>
                <w:lang w:eastAsia="es-CR"/>
              </w:rPr>
            </w:pPr>
            <w:r w:rsidRPr="004E74A6">
              <w:rPr>
                <w:rFonts w:cs="Calibri"/>
                <w:color w:val="000000"/>
                <w:sz w:val="20"/>
              </w:rPr>
              <w:t>1</w:t>
            </w:r>
          </w:p>
        </w:tc>
        <w:tc>
          <w:tcPr>
            <w:tcW w:w="517" w:type="pct"/>
            <w:tcBorders>
              <w:top w:val="nil"/>
              <w:left w:val="single" w:sz="4" w:space="0" w:color="auto"/>
              <w:bottom w:val="nil"/>
              <w:right w:val="single" w:sz="4" w:space="0" w:color="auto"/>
            </w:tcBorders>
            <w:shd w:val="clear" w:color="auto" w:fill="auto"/>
            <w:noWrap/>
            <w:vAlign w:val="bottom"/>
            <w:hideMark/>
          </w:tcPr>
          <w:p w14:paraId="08064C09" w14:textId="1E7FF297" w:rsidR="00734CC1" w:rsidRPr="004E74A6" w:rsidRDefault="00734CC1" w:rsidP="00CE62C1">
            <w:pPr>
              <w:spacing w:line="276" w:lineRule="auto"/>
              <w:jc w:val="center"/>
              <w:rPr>
                <w:rFonts w:cs="Calibri"/>
                <w:color w:val="000000"/>
                <w:sz w:val="20"/>
                <w:lang w:eastAsia="es-CR"/>
              </w:rPr>
            </w:pPr>
            <w:r w:rsidRPr="004E74A6">
              <w:rPr>
                <w:rFonts w:cs="Calibri"/>
                <w:color w:val="000000"/>
                <w:sz w:val="20"/>
              </w:rPr>
              <w:t>0</w:t>
            </w:r>
          </w:p>
        </w:tc>
        <w:tc>
          <w:tcPr>
            <w:tcW w:w="517" w:type="pct"/>
            <w:tcBorders>
              <w:top w:val="nil"/>
              <w:left w:val="single" w:sz="4" w:space="0" w:color="auto"/>
              <w:bottom w:val="nil"/>
              <w:right w:val="single" w:sz="4" w:space="0" w:color="auto"/>
            </w:tcBorders>
            <w:shd w:val="clear" w:color="auto" w:fill="auto"/>
            <w:noWrap/>
            <w:vAlign w:val="bottom"/>
            <w:hideMark/>
          </w:tcPr>
          <w:p w14:paraId="749F99C2" w14:textId="2D8A5243" w:rsidR="00734CC1" w:rsidRPr="004E74A6" w:rsidRDefault="00734CC1" w:rsidP="00CE62C1">
            <w:pPr>
              <w:spacing w:line="276" w:lineRule="auto"/>
              <w:jc w:val="center"/>
              <w:rPr>
                <w:sz w:val="20"/>
                <w:lang w:eastAsia="es-CR"/>
              </w:rPr>
            </w:pPr>
            <w:r w:rsidRPr="004E74A6">
              <w:rPr>
                <w:rFonts w:cs="Calibri"/>
                <w:color w:val="000000"/>
                <w:sz w:val="20"/>
              </w:rPr>
              <w:t>0</w:t>
            </w:r>
          </w:p>
        </w:tc>
        <w:tc>
          <w:tcPr>
            <w:tcW w:w="689" w:type="pct"/>
            <w:tcBorders>
              <w:top w:val="nil"/>
              <w:left w:val="single" w:sz="4" w:space="0" w:color="auto"/>
              <w:bottom w:val="nil"/>
              <w:right w:val="nil"/>
            </w:tcBorders>
            <w:shd w:val="clear" w:color="auto" w:fill="auto"/>
            <w:noWrap/>
            <w:vAlign w:val="bottom"/>
            <w:hideMark/>
          </w:tcPr>
          <w:p w14:paraId="29DA92ED" w14:textId="66F94587" w:rsidR="00734CC1" w:rsidRPr="004E74A6" w:rsidRDefault="00734CC1" w:rsidP="00CE62C1">
            <w:pPr>
              <w:spacing w:line="276" w:lineRule="auto"/>
              <w:jc w:val="center"/>
              <w:rPr>
                <w:rFonts w:cs="Calibri"/>
                <w:color w:val="000000"/>
                <w:sz w:val="20"/>
                <w:lang w:eastAsia="es-CR"/>
              </w:rPr>
            </w:pPr>
            <w:r w:rsidRPr="004E74A6">
              <w:rPr>
                <w:rFonts w:cs="Calibri"/>
                <w:color w:val="000000"/>
                <w:sz w:val="20"/>
              </w:rPr>
              <w:t>0,3</w:t>
            </w:r>
          </w:p>
        </w:tc>
      </w:tr>
      <w:tr w:rsidR="00734CC1" w:rsidRPr="004E74A6" w14:paraId="35D2054A" w14:textId="77777777" w:rsidTr="00B32800">
        <w:trPr>
          <w:trHeight w:val="288"/>
          <w:jc w:val="center"/>
        </w:trPr>
        <w:tc>
          <w:tcPr>
            <w:tcW w:w="2762" w:type="pct"/>
            <w:tcBorders>
              <w:top w:val="nil"/>
              <w:left w:val="nil"/>
              <w:bottom w:val="nil"/>
              <w:right w:val="single" w:sz="4" w:space="0" w:color="auto"/>
            </w:tcBorders>
            <w:shd w:val="clear" w:color="auto" w:fill="auto"/>
            <w:noWrap/>
            <w:vAlign w:val="bottom"/>
            <w:hideMark/>
          </w:tcPr>
          <w:p w14:paraId="4EF4D685" w14:textId="77777777" w:rsidR="00734CC1" w:rsidRPr="004E74A6" w:rsidRDefault="00734CC1" w:rsidP="00CE62C1">
            <w:pPr>
              <w:spacing w:line="276" w:lineRule="auto"/>
              <w:ind w:firstLineChars="200" w:firstLine="400"/>
              <w:jc w:val="left"/>
              <w:rPr>
                <w:rFonts w:cs="Calibri"/>
                <w:color w:val="000000"/>
                <w:sz w:val="20"/>
                <w:lang w:eastAsia="es-CR"/>
              </w:rPr>
            </w:pPr>
            <w:r w:rsidRPr="004E74A6">
              <w:rPr>
                <w:rFonts w:cs="Calibri"/>
                <w:color w:val="000000"/>
                <w:sz w:val="20"/>
                <w:lang w:eastAsia="es-CR"/>
              </w:rPr>
              <w:t>Medidas Cautelares Atípicas</w:t>
            </w:r>
          </w:p>
        </w:tc>
        <w:tc>
          <w:tcPr>
            <w:tcW w:w="515" w:type="pct"/>
            <w:tcBorders>
              <w:top w:val="nil"/>
              <w:left w:val="single" w:sz="4" w:space="0" w:color="auto"/>
              <w:bottom w:val="nil"/>
              <w:right w:val="single" w:sz="4" w:space="0" w:color="auto"/>
            </w:tcBorders>
            <w:shd w:val="clear" w:color="auto" w:fill="auto"/>
            <w:noWrap/>
            <w:vAlign w:val="bottom"/>
            <w:hideMark/>
          </w:tcPr>
          <w:p w14:paraId="21D67D9E" w14:textId="3D852D3F" w:rsidR="00734CC1" w:rsidRPr="004E74A6" w:rsidRDefault="00734CC1" w:rsidP="00CE62C1">
            <w:pPr>
              <w:spacing w:line="276" w:lineRule="auto"/>
              <w:jc w:val="center"/>
              <w:rPr>
                <w:rFonts w:cs="Calibri"/>
                <w:color w:val="000000"/>
                <w:sz w:val="20"/>
                <w:lang w:eastAsia="es-CR"/>
              </w:rPr>
            </w:pPr>
            <w:r w:rsidRPr="004E74A6">
              <w:rPr>
                <w:rFonts w:cs="Calibri"/>
                <w:color w:val="000000"/>
                <w:sz w:val="20"/>
              </w:rPr>
              <w:t>1</w:t>
            </w:r>
          </w:p>
        </w:tc>
        <w:tc>
          <w:tcPr>
            <w:tcW w:w="517" w:type="pct"/>
            <w:tcBorders>
              <w:top w:val="nil"/>
              <w:left w:val="single" w:sz="4" w:space="0" w:color="auto"/>
              <w:bottom w:val="nil"/>
              <w:right w:val="single" w:sz="4" w:space="0" w:color="auto"/>
            </w:tcBorders>
            <w:shd w:val="clear" w:color="auto" w:fill="auto"/>
            <w:noWrap/>
            <w:vAlign w:val="bottom"/>
            <w:hideMark/>
          </w:tcPr>
          <w:p w14:paraId="3C9DCCF2" w14:textId="39259ACF" w:rsidR="00734CC1" w:rsidRPr="004E74A6" w:rsidRDefault="00734CC1" w:rsidP="00CE62C1">
            <w:pPr>
              <w:spacing w:line="276" w:lineRule="auto"/>
              <w:jc w:val="center"/>
              <w:rPr>
                <w:rFonts w:cs="Calibri"/>
                <w:color w:val="000000"/>
                <w:sz w:val="20"/>
                <w:lang w:eastAsia="es-CR"/>
              </w:rPr>
            </w:pPr>
            <w:r w:rsidRPr="004E74A6">
              <w:rPr>
                <w:rFonts w:cs="Calibri"/>
                <w:color w:val="000000"/>
                <w:sz w:val="20"/>
              </w:rPr>
              <w:t>0</w:t>
            </w:r>
          </w:p>
        </w:tc>
        <w:tc>
          <w:tcPr>
            <w:tcW w:w="517" w:type="pct"/>
            <w:tcBorders>
              <w:top w:val="nil"/>
              <w:left w:val="single" w:sz="4" w:space="0" w:color="auto"/>
              <w:bottom w:val="nil"/>
              <w:right w:val="single" w:sz="4" w:space="0" w:color="auto"/>
            </w:tcBorders>
            <w:shd w:val="clear" w:color="auto" w:fill="auto"/>
            <w:noWrap/>
            <w:vAlign w:val="bottom"/>
            <w:hideMark/>
          </w:tcPr>
          <w:p w14:paraId="0CCC42BF" w14:textId="72B0D7A1" w:rsidR="00734CC1" w:rsidRPr="004E74A6" w:rsidRDefault="00734CC1" w:rsidP="00CE62C1">
            <w:pPr>
              <w:spacing w:line="276" w:lineRule="auto"/>
              <w:jc w:val="center"/>
              <w:rPr>
                <w:sz w:val="20"/>
                <w:lang w:eastAsia="es-CR"/>
              </w:rPr>
            </w:pPr>
            <w:r w:rsidRPr="004E74A6">
              <w:rPr>
                <w:rFonts w:cs="Calibri"/>
                <w:color w:val="000000"/>
                <w:sz w:val="20"/>
              </w:rPr>
              <w:t>0</w:t>
            </w:r>
          </w:p>
        </w:tc>
        <w:tc>
          <w:tcPr>
            <w:tcW w:w="689" w:type="pct"/>
            <w:tcBorders>
              <w:top w:val="nil"/>
              <w:left w:val="single" w:sz="4" w:space="0" w:color="auto"/>
              <w:bottom w:val="nil"/>
              <w:right w:val="nil"/>
            </w:tcBorders>
            <w:shd w:val="clear" w:color="auto" w:fill="auto"/>
            <w:noWrap/>
            <w:vAlign w:val="bottom"/>
            <w:hideMark/>
          </w:tcPr>
          <w:p w14:paraId="13296345" w14:textId="7DA77640" w:rsidR="00734CC1" w:rsidRPr="004E74A6" w:rsidRDefault="00734CC1" w:rsidP="00CE62C1">
            <w:pPr>
              <w:spacing w:line="276" w:lineRule="auto"/>
              <w:jc w:val="center"/>
              <w:rPr>
                <w:rFonts w:cs="Calibri"/>
                <w:color w:val="000000"/>
                <w:sz w:val="20"/>
                <w:lang w:eastAsia="es-CR"/>
              </w:rPr>
            </w:pPr>
            <w:r w:rsidRPr="004E74A6">
              <w:rPr>
                <w:rFonts w:cs="Calibri"/>
                <w:color w:val="000000"/>
                <w:sz w:val="20"/>
              </w:rPr>
              <w:t>0,3</w:t>
            </w:r>
          </w:p>
        </w:tc>
      </w:tr>
      <w:tr w:rsidR="00734CC1" w:rsidRPr="004E74A6" w14:paraId="29DAA68B" w14:textId="77777777" w:rsidTr="00B32800">
        <w:trPr>
          <w:trHeight w:val="288"/>
          <w:jc w:val="center"/>
        </w:trPr>
        <w:tc>
          <w:tcPr>
            <w:tcW w:w="2762" w:type="pct"/>
            <w:tcBorders>
              <w:top w:val="nil"/>
              <w:left w:val="nil"/>
              <w:bottom w:val="nil"/>
              <w:right w:val="single" w:sz="4" w:space="0" w:color="auto"/>
            </w:tcBorders>
            <w:shd w:val="clear" w:color="auto" w:fill="C5E0B3" w:themeFill="accent6" w:themeFillTint="66"/>
            <w:noWrap/>
            <w:vAlign w:val="bottom"/>
            <w:hideMark/>
          </w:tcPr>
          <w:p w14:paraId="5521BCB3" w14:textId="77777777" w:rsidR="00734CC1" w:rsidRPr="004E74A6" w:rsidRDefault="00734CC1" w:rsidP="00CE62C1">
            <w:pPr>
              <w:spacing w:line="276" w:lineRule="auto"/>
              <w:ind w:firstLineChars="200" w:firstLine="400"/>
              <w:jc w:val="left"/>
              <w:rPr>
                <w:rFonts w:cs="Calibri"/>
                <w:color w:val="000000"/>
                <w:sz w:val="20"/>
                <w:lang w:eastAsia="es-CR"/>
              </w:rPr>
            </w:pPr>
            <w:r w:rsidRPr="004E74A6">
              <w:rPr>
                <w:rFonts w:cs="Calibri"/>
                <w:color w:val="000000"/>
                <w:sz w:val="20"/>
                <w:lang w:eastAsia="es-CR"/>
              </w:rPr>
              <w:t>Ordinario</w:t>
            </w:r>
          </w:p>
        </w:tc>
        <w:tc>
          <w:tcPr>
            <w:tcW w:w="515" w:type="pct"/>
            <w:tcBorders>
              <w:top w:val="nil"/>
              <w:left w:val="single" w:sz="4" w:space="0" w:color="auto"/>
              <w:bottom w:val="nil"/>
              <w:right w:val="single" w:sz="4" w:space="0" w:color="auto"/>
            </w:tcBorders>
            <w:shd w:val="clear" w:color="auto" w:fill="C5E0B3" w:themeFill="accent6" w:themeFillTint="66"/>
            <w:noWrap/>
            <w:vAlign w:val="bottom"/>
            <w:hideMark/>
          </w:tcPr>
          <w:p w14:paraId="0A51108C" w14:textId="20E0DA44" w:rsidR="00734CC1" w:rsidRPr="004E74A6" w:rsidRDefault="00734CC1" w:rsidP="00CE62C1">
            <w:pPr>
              <w:spacing w:line="276" w:lineRule="auto"/>
              <w:jc w:val="center"/>
              <w:rPr>
                <w:rFonts w:cs="Calibri"/>
                <w:color w:val="000000"/>
                <w:sz w:val="20"/>
                <w:lang w:eastAsia="es-CR"/>
              </w:rPr>
            </w:pPr>
            <w:r w:rsidRPr="004E74A6">
              <w:rPr>
                <w:rFonts w:cs="Calibri"/>
                <w:color w:val="000000"/>
                <w:sz w:val="20"/>
              </w:rPr>
              <w:t>116</w:t>
            </w:r>
          </w:p>
        </w:tc>
        <w:tc>
          <w:tcPr>
            <w:tcW w:w="517" w:type="pct"/>
            <w:tcBorders>
              <w:top w:val="nil"/>
              <w:left w:val="single" w:sz="4" w:space="0" w:color="auto"/>
              <w:bottom w:val="nil"/>
              <w:right w:val="single" w:sz="4" w:space="0" w:color="auto"/>
            </w:tcBorders>
            <w:shd w:val="clear" w:color="auto" w:fill="C5E0B3" w:themeFill="accent6" w:themeFillTint="66"/>
            <w:noWrap/>
            <w:vAlign w:val="bottom"/>
            <w:hideMark/>
          </w:tcPr>
          <w:p w14:paraId="62F48574" w14:textId="54122255" w:rsidR="00734CC1" w:rsidRPr="004E74A6" w:rsidRDefault="00734CC1" w:rsidP="00CE62C1">
            <w:pPr>
              <w:spacing w:line="276" w:lineRule="auto"/>
              <w:jc w:val="center"/>
              <w:rPr>
                <w:rFonts w:cs="Calibri"/>
                <w:color w:val="000000"/>
                <w:sz w:val="20"/>
                <w:lang w:eastAsia="es-CR"/>
              </w:rPr>
            </w:pPr>
            <w:r w:rsidRPr="004E74A6">
              <w:rPr>
                <w:rFonts w:cs="Calibri"/>
                <w:color w:val="000000"/>
                <w:sz w:val="20"/>
              </w:rPr>
              <w:t>92</w:t>
            </w:r>
          </w:p>
        </w:tc>
        <w:tc>
          <w:tcPr>
            <w:tcW w:w="517" w:type="pct"/>
            <w:tcBorders>
              <w:top w:val="nil"/>
              <w:left w:val="single" w:sz="4" w:space="0" w:color="auto"/>
              <w:bottom w:val="nil"/>
              <w:right w:val="single" w:sz="4" w:space="0" w:color="auto"/>
            </w:tcBorders>
            <w:shd w:val="clear" w:color="auto" w:fill="C5E0B3" w:themeFill="accent6" w:themeFillTint="66"/>
            <w:noWrap/>
            <w:vAlign w:val="bottom"/>
            <w:hideMark/>
          </w:tcPr>
          <w:p w14:paraId="59B08EA0" w14:textId="0575B8D8" w:rsidR="00734CC1" w:rsidRPr="004E74A6" w:rsidRDefault="00734CC1" w:rsidP="00CE62C1">
            <w:pPr>
              <w:spacing w:line="276" w:lineRule="auto"/>
              <w:jc w:val="center"/>
              <w:rPr>
                <w:rFonts w:cs="Calibri"/>
                <w:color w:val="000000"/>
                <w:sz w:val="20"/>
                <w:lang w:eastAsia="es-CR"/>
              </w:rPr>
            </w:pPr>
            <w:r w:rsidRPr="004E74A6">
              <w:rPr>
                <w:rFonts w:cs="Calibri"/>
                <w:color w:val="000000"/>
                <w:sz w:val="20"/>
              </w:rPr>
              <w:t>124</w:t>
            </w:r>
          </w:p>
        </w:tc>
        <w:tc>
          <w:tcPr>
            <w:tcW w:w="689" w:type="pct"/>
            <w:tcBorders>
              <w:top w:val="nil"/>
              <w:left w:val="single" w:sz="4" w:space="0" w:color="auto"/>
              <w:bottom w:val="nil"/>
              <w:right w:val="nil"/>
            </w:tcBorders>
            <w:shd w:val="clear" w:color="auto" w:fill="C5E0B3" w:themeFill="accent6" w:themeFillTint="66"/>
            <w:noWrap/>
            <w:vAlign w:val="bottom"/>
            <w:hideMark/>
          </w:tcPr>
          <w:p w14:paraId="655C8802" w14:textId="255BBA96" w:rsidR="00734CC1" w:rsidRPr="004E74A6" w:rsidRDefault="00734CC1" w:rsidP="00CE62C1">
            <w:pPr>
              <w:spacing w:line="276" w:lineRule="auto"/>
              <w:jc w:val="center"/>
              <w:rPr>
                <w:rFonts w:cs="Calibri"/>
                <w:color w:val="000000"/>
                <w:sz w:val="20"/>
                <w:lang w:eastAsia="es-CR"/>
              </w:rPr>
            </w:pPr>
            <w:r w:rsidRPr="004E74A6">
              <w:rPr>
                <w:rFonts w:cs="Calibri"/>
                <w:color w:val="000000"/>
                <w:sz w:val="20"/>
              </w:rPr>
              <w:t>111</w:t>
            </w:r>
          </w:p>
        </w:tc>
      </w:tr>
      <w:tr w:rsidR="00734CC1" w:rsidRPr="004E74A6" w14:paraId="5BCCC280" w14:textId="77777777" w:rsidTr="00B32800">
        <w:trPr>
          <w:trHeight w:val="288"/>
          <w:jc w:val="center"/>
        </w:trPr>
        <w:tc>
          <w:tcPr>
            <w:tcW w:w="2762" w:type="pct"/>
            <w:tcBorders>
              <w:top w:val="nil"/>
              <w:left w:val="nil"/>
              <w:bottom w:val="nil"/>
              <w:right w:val="single" w:sz="4" w:space="0" w:color="auto"/>
            </w:tcBorders>
            <w:shd w:val="clear" w:color="auto" w:fill="auto"/>
            <w:noWrap/>
            <w:vAlign w:val="bottom"/>
            <w:hideMark/>
          </w:tcPr>
          <w:p w14:paraId="0FF4C5B2" w14:textId="77777777" w:rsidR="00734CC1" w:rsidRPr="004E74A6" w:rsidRDefault="00734CC1" w:rsidP="00CE62C1">
            <w:pPr>
              <w:spacing w:line="276" w:lineRule="auto"/>
              <w:ind w:firstLineChars="200" w:firstLine="400"/>
              <w:jc w:val="left"/>
              <w:rPr>
                <w:rFonts w:cs="Calibri"/>
                <w:color w:val="000000"/>
                <w:sz w:val="20"/>
                <w:lang w:eastAsia="es-CR"/>
              </w:rPr>
            </w:pPr>
            <w:r w:rsidRPr="004E74A6">
              <w:rPr>
                <w:rFonts w:cs="Calibri"/>
                <w:color w:val="000000"/>
                <w:sz w:val="20"/>
                <w:lang w:eastAsia="es-CR"/>
              </w:rPr>
              <w:t>Prueba Anticipada Mixta</w:t>
            </w:r>
          </w:p>
        </w:tc>
        <w:tc>
          <w:tcPr>
            <w:tcW w:w="515" w:type="pct"/>
            <w:tcBorders>
              <w:top w:val="nil"/>
              <w:left w:val="single" w:sz="4" w:space="0" w:color="auto"/>
              <w:bottom w:val="nil"/>
              <w:right w:val="single" w:sz="4" w:space="0" w:color="auto"/>
            </w:tcBorders>
            <w:shd w:val="clear" w:color="auto" w:fill="auto"/>
            <w:noWrap/>
            <w:vAlign w:val="bottom"/>
            <w:hideMark/>
          </w:tcPr>
          <w:p w14:paraId="3C5104EC" w14:textId="08ACDD55" w:rsidR="00734CC1" w:rsidRPr="004E74A6" w:rsidRDefault="00734CC1" w:rsidP="00CE62C1">
            <w:pPr>
              <w:spacing w:line="276" w:lineRule="auto"/>
              <w:jc w:val="center"/>
              <w:rPr>
                <w:rFonts w:cs="Calibri"/>
                <w:color w:val="000000"/>
                <w:sz w:val="20"/>
                <w:lang w:eastAsia="es-CR"/>
              </w:rPr>
            </w:pPr>
            <w:r w:rsidRPr="004E74A6">
              <w:rPr>
                <w:rFonts w:cs="Calibri"/>
                <w:color w:val="000000"/>
                <w:sz w:val="20"/>
              </w:rPr>
              <w:t>1</w:t>
            </w:r>
          </w:p>
        </w:tc>
        <w:tc>
          <w:tcPr>
            <w:tcW w:w="517" w:type="pct"/>
            <w:tcBorders>
              <w:top w:val="nil"/>
              <w:left w:val="single" w:sz="4" w:space="0" w:color="auto"/>
              <w:bottom w:val="nil"/>
              <w:right w:val="single" w:sz="4" w:space="0" w:color="auto"/>
            </w:tcBorders>
            <w:shd w:val="clear" w:color="auto" w:fill="auto"/>
            <w:noWrap/>
            <w:vAlign w:val="bottom"/>
            <w:hideMark/>
          </w:tcPr>
          <w:p w14:paraId="0B36A19D" w14:textId="6AB3AB44" w:rsidR="00734CC1" w:rsidRPr="004E74A6" w:rsidRDefault="00734CC1" w:rsidP="00CE62C1">
            <w:pPr>
              <w:spacing w:line="276" w:lineRule="auto"/>
              <w:jc w:val="center"/>
              <w:rPr>
                <w:rFonts w:cs="Calibri"/>
                <w:color w:val="000000"/>
                <w:sz w:val="20"/>
                <w:lang w:eastAsia="es-CR"/>
              </w:rPr>
            </w:pPr>
            <w:r w:rsidRPr="004E74A6">
              <w:rPr>
                <w:rFonts w:cs="Calibri"/>
                <w:color w:val="000000"/>
                <w:sz w:val="20"/>
              </w:rPr>
              <w:t>0</w:t>
            </w:r>
          </w:p>
        </w:tc>
        <w:tc>
          <w:tcPr>
            <w:tcW w:w="517" w:type="pct"/>
            <w:tcBorders>
              <w:top w:val="nil"/>
              <w:left w:val="single" w:sz="4" w:space="0" w:color="auto"/>
              <w:bottom w:val="nil"/>
              <w:right w:val="single" w:sz="4" w:space="0" w:color="auto"/>
            </w:tcBorders>
            <w:shd w:val="clear" w:color="auto" w:fill="auto"/>
            <w:noWrap/>
            <w:vAlign w:val="bottom"/>
            <w:hideMark/>
          </w:tcPr>
          <w:p w14:paraId="49E2A946" w14:textId="09BE420C" w:rsidR="00734CC1" w:rsidRPr="004E74A6" w:rsidRDefault="00734CC1" w:rsidP="00CE62C1">
            <w:pPr>
              <w:spacing w:line="276" w:lineRule="auto"/>
              <w:jc w:val="center"/>
              <w:rPr>
                <w:sz w:val="20"/>
                <w:lang w:eastAsia="es-CR"/>
              </w:rPr>
            </w:pPr>
            <w:r w:rsidRPr="004E74A6">
              <w:rPr>
                <w:rFonts w:cs="Calibri"/>
                <w:color w:val="000000"/>
                <w:sz w:val="20"/>
              </w:rPr>
              <w:t>0</w:t>
            </w:r>
          </w:p>
        </w:tc>
        <w:tc>
          <w:tcPr>
            <w:tcW w:w="689" w:type="pct"/>
            <w:tcBorders>
              <w:top w:val="nil"/>
              <w:left w:val="single" w:sz="4" w:space="0" w:color="auto"/>
              <w:bottom w:val="nil"/>
              <w:right w:val="nil"/>
            </w:tcBorders>
            <w:shd w:val="clear" w:color="auto" w:fill="auto"/>
            <w:noWrap/>
            <w:vAlign w:val="bottom"/>
            <w:hideMark/>
          </w:tcPr>
          <w:p w14:paraId="1784C6D6" w14:textId="72750C41" w:rsidR="00734CC1" w:rsidRPr="004E74A6" w:rsidRDefault="00734CC1" w:rsidP="00CE62C1">
            <w:pPr>
              <w:spacing w:line="276" w:lineRule="auto"/>
              <w:jc w:val="center"/>
              <w:rPr>
                <w:rFonts w:cs="Calibri"/>
                <w:color w:val="000000"/>
                <w:sz w:val="20"/>
                <w:lang w:eastAsia="es-CR"/>
              </w:rPr>
            </w:pPr>
            <w:r w:rsidRPr="004E74A6">
              <w:rPr>
                <w:rFonts w:cs="Calibri"/>
                <w:color w:val="000000"/>
                <w:sz w:val="20"/>
              </w:rPr>
              <w:t>0,3</w:t>
            </w:r>
          </w:p>
        </w:tc>
      </w:tr>
      <w:tr w:rsidR="00734CC1" w:rsidRPr="004E74A6" w14:paraId="450F2860" w14:textId="77777777" w:rsidTr="00B32800">
        <w:trPr>
          <w:trHeight w:val="288"/>
          <w:jc w:val="center"/>
        </w:trPr>
        <w:tc>
          <w:tcPr>
            <w:tcW w:w="2762" w:type="pct"/>
            <w:tcBorders>
              <w:top w:val="nil"/>
              <w:left w:val="nil"/>
              <w:bottom w:val="nil"/>
              <w:right w:val="single" w:sz="4" w:space="0" w:color="auto"/>
            </w:tcBorders>
            <w:shd w:val="clear" w:color="auto" w:fill="auto"/>
            <w:noWrap/>
            <w:vAlign w:val="bottom"/>
            <w:hideMark/>
          </w:tcPr>
          <w:p w14:paraId="594EA2A2" w14:textId="77777777" w:rsidR="00734CC1" w:rsidRPr="004E74A6" w:rsidRDefault="00734CC1" w:rsidP="00CE62C1">
            <w:pPr>
              <w:spacing w:line="276" w:lineRule="auto"/>
              <w:ind w:firstLineChars="200" w:firstLine="400"/>
              <w:jc w:val="left"/>
              <w:rPr>
                <w:rFonts w:cs="Calibri"/>
                <w:color w:val="000000"/>
                <w:sz w:val="20"/>
                <w:lang w:eastAsia="es-CR"/>
              </w:rPr>
            </w:pPr>
            <w:r w:rsidRPr="004E74A6">
              <w:rPr>
                <w:rFonts w:cs="Calibri"/>
                <w:color w:val="000000"/>
                <w:sz w:val="20"/>
                <w:lang w:eastAsia="es-CR"/>
              </w:rPr>
              <w:t>Sumarios Especiales</w:t>
            </w:r>
          </w:p>
        </w:tc>
        <w:tc>
          <w:tcPr>
            <w:tcW w:w="515" w:type="pct"/>
            <w:tcBorders>
              <w:top w:val="nil"/>
              <w:left w:val="single" w:sz="4" w:space="0" w:color="auto"/>
              <w:bottom w:val="nil"/>
              <w:right w:val="single" w:sz="4" w:space="0" w:color="auto"/>
            </w:tcBorders>
            <w:shd w:val="clear" w:color="auto" w:fill="auto"/>
            <w:noWrap/>
            <w:vAlign w:val="bottom"/>
            <w:hideMark/>
          </w:tcPr>
          <w:p w14:paraId="38C1FD8A" w14:textId="0D9E3FEB" w:rsidR="00734CC1" w:rsidRPr="004E74A6" w:rsidRDefault="00734CC1" w:rsidP="00CE62C1">
            <w:pPr>
              <w:spacing w:line="276" w:lineRule="auto"/>
              <w:jc w:val="center"/>
              <w:rPr>
                <w:rFonts w:cs="Calibri"/>
                <w:color w:val="000000"/>
                <w:sz w:val="20"/>
                <w:lang w:eastAsia="es-CR"/>
              </w:rPr>
            </w:pPr>
            <w:r w:rsidRPr="004E74A6">
              <w:rPr>
                <w:rFonts w:cs="Calibri"/>
                <w:color w:val="000000"/>
                <w:sz w:val="20"/>
              </w:rPr>
              <w:t>1</w:t>
            </w:r>
          </w:p>
        </w:tc>
        <w:tc>
          <w:tcPr>
            <w:tcW w:w="517" w:type="pct"/>
            <w:tcBorders>
              <w:top w:val="nil"/>
              <w:left w:val="single" w:sz="4" w:space="0" w:color="auto"/>
              <w:bottom w:val="nil"/>
              <w:right w:val="single" w:sz="4" w:space="0" w:color="auto"/>
            </w:tcBorders>
            <w:shd w:val="clear" w:color="auto" w:fill="auto"/>
            <w:noWrap/>
            <w:vAlign w:val="bottom"/>
            <w:hideMark/>
          </w:tcPr>
          <w:p w14:paraId="05286510" w14:textId="2024E338" w:rsidR="00734CC1" w:rsidRPr="004E74A6" w:rsidRDefault="00734CC1" w:rsidP="00CE62C1">
            <w:pPr>
              <w:spacing w:line="276" w:lineRule="auto"/>
              <w:jc w:val="center"/>
              <w:rPr>
                <w:rFonts w:cs="Calibri"/>
                <w:color w:val="000000"/>
                <w:sz w:val="20"/>
                <w:lang w:eastAsia="es-CR"/>
              </w:rPr>
            </w:pPr>
            <w:r w:rsidRPr="004E74A6">
              <w:rPr>
                <w:rFonts w:cs="Calibri"/>
                <w:color w:val="000000"/>
                <w:sz w:val="20"/>
              </w:rPr>
              <w:t>1</w:t>
            </w:r>
          </w:p>
        </w:tc>
        <w:tc>
          <w:tcPr>
            <w:tcW w:w="517" w:type="pct"/>
            <w:tcBorders>
              <w:top w:val="nil"/>
              <w:left w:val="single" w:sz="4" w:space="0" w:color="auto"/>
              <w:bottom w:val="nil"/>
              <w:right w:val="single" w:sz="4" w:space="0" w:color="auto"/>
            </w:tcBorders>
            <w:shd w:val="clear" w:color="auto" w:fill="auto"/>
            <w:noWrap/>
            <w:vAlign w:val="bottom"/>
            <w:hideMark/>
          </w:tcPr>
          <w:p w14:paraId="79B9C6B0" w14:textId="422DACDE" w:rsidR="00734CC1" w:rsidRPr="004E74A6" w:rsidRDefault="00734CC1" w:rsidP="00CE62C1">
            <w:pPr>
              <w:spacing w:line="276" w:lineRule="auto"/>
              <w:jc w:val="center"/>
              <w:rPr>
                <w:rFonts w:cs="Calibri"/>
                <w:color w:val="000000"/>
                <w:sz w:val="20"/>
                <w:lang w:eastAsia="es-CR"/>
              </w:rPr>
            </w:pPr>
            <w:r w:rsidRPr="004E74A6">
              <w:rPr>
                <w:rFonts w:cs="Calibri"/>
                <w:color w:val="000000"/>
                <w:sz w:val="20"/>
              </w:rPr>
              <w:t>0</w:t>
            </w:r>
          </w:p>
        </w:tc>
        <w:tc>
          <w:tcPr>
            <w:tcW w:w="689" w:type="pct"/>
            <w:tcBorders>
              <w:top w:val="nil"/>
              <w:left w:val="single" w:sz="4" w:space="0" w:color="auto"/>
              <w:bottom w:val="nil"/>
              <w:right w:val="nil"/>
            </w:tcBorders>
            <w:shd w:val="clear" w:color="auto" w:fill="auto"/>
            <w:noWrap/>
            <w:vAlign w:val="bottom"/>
            <w:hideMark/>
          </w:tcPr>
          <w:p w14:paraId="670850C3" w14:textId="530497E9" w:rsidR="00734CC1" w:rsidRPr="004E74A6" w:rsidRDefault="00734CC1" w:rsidP="00CE62C1">
            <w:pPr>
              <w:spacing w:line="276" w:lineRule="auto"/>
              <w:jc w:val="center"/>
              <w:rPr>
                <w:rFonts w:cs="Calibri"/>
                <w:color w:val="000000"/>
                <w:sz w:val="20"/>
                <w:lang w:eastAsia="es-CR"/>
              </w:rPr>
            </w:pPr>
            <w:r w:rsidRPr="004E74A6">
              <w:rPr>
                <w:rFonts w:cs="Calibri"/>
                <w:color w:val="000000"/>
                <w:sz w:val="20"/>
              </w:rPr>
              <w:t>0,7</w:t>
            </w:r>
          </w:p>
        </w:tc>
      </w:tr>
      <w:tr w:rsidR="00734CC1" w:rsidRPr="004E74A6" w14:paraId="7056272D" w14:textId="77777777" w:rsidTr="00B32800">
        <w:trPr>
          <w:trHeight w:val="288"/>
          <w:jc w:val="center"/>
        </w:trPr>
        <w:tc>
          <w:tcPr>
            <w:tcW w:w="2762" w:type="pct"/>
            <w:tcBorders>
              <w:top w:val="nil"/>
              <w:left w:val="nil"/>
              <w:right w:val="single" w:sz="4" w:space="0" w:color="auto"/>
            </w:tcBorders>
            <w:shd w:val="clear" w:color="auto" w:fill="auto"/>
            <w:noWrap/>
            <w:vAlign w:val="bottom"/>
            <w:hideMark/>
          </w:tcPr>
          <w:p w14:paraId="718CB50D" w14:textId="77777777" w:rsidR="00734CC1" w:rsidRPr="004E74A6" w:rsidRDefault="00734CC1" w:rsidP="00CE62C1">
            <w:pPr>
              <w:spacing w:line="276" w:lineRule="auto"/>
              <w:ind w:firstLineChars="200" w:firstLine="400"/>
              <w:jc w:val="left"/>
              <w:rPr>
                <w:rFonts w:cs="Calibri"/>
                <w:color w:val="000000"/>
                <w:sz w:val="20"/>
                <w:lang w:eastAsia="es-CR"/>
              </w:rPr>
            </w:pPr>
            <w:r w:rsidRPr="004E74A6">
              <w:rPr>
                <w:rFonts w:cs="Calibri"/>
                <w:color w:val="000000"/>
                <w:sz w:val="20"/>
                <w:lang w:eastAsia="es-CR"/>
              </w:rPr>
              <w:t>Deslinde Y Demarcación De Linderos</w:t>
            </w:r>
          </w:p>
        </w:tc>
        <w:tc>
          <w:tcPr>
            <w:tcW w:w="515" w:type="pct"/>
            <w:tcBorders>
              <w:top w:val="nil"/>
              <w:left w:val="single" w:sz="4" w:space="0" w:color="auto"/>
              <w:right w:val="single" w:sz="4" w:space="0" w:color="auto"/>
            </w:tcBorders>
            <w:shd w:val="clear" w:color="auto" w:fill="auto"/>
            <w:noWrap/>
            <w:vAlign w:val="bottom"/>
            <w:hideMark/>
          </w:tcPr>
          <w:p w14:paraId="3E0AAD2F" w14:textId="7244B728" w:rsidR="00734CC1" w:rsidRPr="004E74A6" w:rsidRDefault="00734CC1" w:rsidP="00CE62C1">
            <w:pPr>
              <w:spacing w:line="276" w:lineRule="auto"/>
              <w:jc w:val="center"/>
              <w:rPr>
                <w:sz w:val="20"/>
                <w:lang w:eastAsia="es-CR"/>
              </w:rPr>
            </w:pPr>
            <w:r w:rsidRPr="004E74A6">
              <w:rPr>
                <w:rFonts w:cs="Calibri"/>
                <w:color w:val="000000"/>
                <w:sz w:val="20"/>
              </w:rPr>
              <w:t>0</w:t>
            </w:r>
          </w:p>
        </w:tc>
        <w:tc>
          <w:tcPr>
            <w:tcW w:w="517" w:type="pct"/>
            <w:tcBorders>
              <w:top w:val="nil"/>
              <w:left w:val="single" w:sz="4" w:space="0" w:color="auto"/>
              <w:right w:val="single" w:sz="4" w:space="0" w:color="auto"/>
            </w:tcBorders>
            <w:shd w:val="clear" w:color="auto" w:fill="auto"/>
            <w:noWrap/>
            <w:vAlign w:val="bottom"/>
            <w:hideMark/>
          </w:tcPr>
          <w:p w14:paraId="3AA2A87C" w14:textId="3FE306D5" w:rsidR="00734CC1" w:rsidRPr="004E74A6" w:rsidRDefault="00734CC1" w:rsidP="00CE62C1">
            <w:pPr>
              <w:spacing w:line="276" w:lineRule="auto"/>
              <w:jc w:val="center"/>
              <w:rPr>
                <w:rFonts w:cs="Calibri"/>
                <w:color w:val="000000"/>
                <w:sz w:val="20"/>
                <w:lang w:eastAsia="es-CR"/>
              </w:rPr>
            </w:pPr>
            <w:r w:rsidRPr="004E74A6">
              <w:rPr>
                <w:rFonts w:cs="Calibri"/>
                <w:color w:val="000000"/>
                <w:sz w:val="20"/>
              </w:rPr>
              <w:t>1</w:t>
            </w:r>
          </w:p>
        </w:tc>
        <w:tc>
          <w:tcPr>
            <w:tcW w:w="517" w:type="pct"/>
            <w:tcBorders>
              <w:top w:val="nil"/>
              <w:left w:val="single" w:sz="4" w:space="0" w:color="auto"/>
              <w:right w:val="single" w:sz="4" w:space="0" w:color="auto"/>
            </w:tcBorders>
            <w:shd w:val="clear" w:color="auto" w:fill="auto"/>
            <w:noWrap/>
            <w:vAlign w:val="bottom"/>
            <w:hideMark/>
          </w:tcPr>
          <w:p w14:paraId="0D2670AC" w14:textId="0389F8D7" w:rsidR="00734CC1" w:rsidRPr="004E74A6" w:rsidRDefault="00734CC1" w:rsidP="00CE62C1">
            <w:pPr>
              <w:spacing w:line="276" w:lineRule="auto"/>
              <w:jc w:val="center"/>
              <w:rPr>
                <w:rFonts w:cs="Calibri"/>
                <w:color w:val="000000"/>
                <w:sz w:val="20"/>
                <w:lang w:eastAsia="es-CR"/>
              </w:rPr>
            </w:pPr>
            <w:r w:rsidRPr="004E74A6">
              <w:rPr>
                <w:rFonts w:cs="Calibri"/>
                <w:color w:val="000000"/>
                <w:sz w:val="20"/>
              </w:rPr>
              <w:t>0</w:t>
            </w:r>
          </w:p>
        </w:tc>
        <w:tc>
          <w:tcPr>
            <w:tcW w:w="689" w:type="pct"/>
            <w:tcBorders>
              <w:top w:val="nil"/>
              <w:left w:val="single" w:sz="4" w:space="0" w:color="auto"/>
              <w:right w:val="nil"/>
            </w:tcBorders>
            <w:shd w:val="clear" w:color="auto" w:fill="auto"/>
            <w:noWrap/>
            <w:vAlign w:val="bottom"/>
            <w:hideMark/>
          </w:tcPr>
          <w:p w14:paraId="16BD1EE0" w14:textId="531DE1A4" w:rsidR="00734CC1" w:rsidRPr="004E74A6" w:rsidRDefault="00734CC1" w:rsidP="00CE62C1">
            <w:pPr>
              <w:spacing w:line="276" w:lineRule="auto"/>
              <w:jc w:val="center"/>
              <w:rPr>
                <w:rFonts w:cs="Calibri"/>
                <w:color w:val="000000"/>
                <w:sz w:val="20"/>
                <w:lang w:eastAsia="es-CR"/>
              </w:rPr>
            </w:pPr>
            <w:r w:rsidRPr="004E74A6">
              <w:rPr>
                <w:rFonts w:cs="Calibri"/>
                <w:color w:val="000000"/>
                <w:sz w:val="20"/>
              </w:rPr>
              <w:t>0,3</w:t>
            </w:r>
          </w:p>
        </w:tc>
      </w:tr>
      <w:tr w:rsidR="003F416B" w:rsidRPr="004E74A6" w14:paraId="19F86756" w14:textId="77777777" w:rsidTr="00734CC1">
        <w:trPr>
          <w:trHeight w:val="288"/>
          <w:jc w:val="center"/>
        </w:trPr>
        <w:tc>
          <w:tcPr>
            <w:tcW w:w="2762" w:type="pct"/>
            <w:tcBorders>
              <w:top w:val="nil"/>
              <w:left w:val="nil"/>
              <w:bottom w:val="single" w:sz="4" w:space="0" w:color="auto"/>
              <w:right w:val="single" w:sz="4" w:space="0" w:color="auto"/>
            </w:tcBorders>
            <w:shd w:val="clear" w:color="auto" w:fill="auto"/>
            <w:noWrap/>
            <w:vAlign w:val="bottom"/>
          </w:tcPr>
          <w:p w14:paraId="3429E535" w14:textId="77777777" w:rsidR="008647ED" w:rsidRPr="004E74A6" w:rsidRDefault="008647ED" w:rsidP="00CE62C1">
            <w:pPr>
              <w:spacing w:line="276" w:lineRule="auto"/>
              <w:ind w:firstLineChars="200" w:firstLine="400"/>
              <w:jc w:val="left"/>
              <w:rPr>
                <w:rFonts w:cs="Calibri"/>
                <w:color w:val="000000"/>
                <w:sz w:val="20"/>
                <w:lang w:eastAsia="es-CR"/>
              </w:rPr>
            </w:pPr>
          </w:p>
        </w:tc>
        <w:tc>
          <w:tcPr>
            <w:tcW w:w="515" w:type="pct"/>
            <w:tcBorders>
              <w:top w:val="nil"/>
              <w:left w:val="single" w:sz="4" w:space="0" w:color="auto"/>
              <w:bottom w:val="single" w:sz="4" w:space="0" w:color="auto"/>
              <w:right w:val="single" w:sz="4" w:space="0" w:color="auto"/>
            </w:tcBorders>
            <w:shd w:val="clear" w:color="auto" w:fill="auto"/>
            <w:noWrap/>
            <w:vAlign w:val="center"/>
          </w:tcPr>
          <w:p w14:paraId="464ADF78" w14:textId="77777777" w:rsidR="008647ED" w:rsidRPr="004E74A6" w:rsidRDefault="008647ED" w:rsidP="00CE62C1">
            <w:pPr>
              <w:spacing w:line="276" w:lineRule="auto"/>
              <w:jc w:val="center"/>
              <w:rPr>
                <w:sz w:val="20"/>
                <w:lang w:eastAsia="es-CR"/>
              </w:rPr>
            </w:pPr>
          </w:p>
        </w:tc>
        <w:tc>
          <w:tcPr>
            <w:tcW w:w="517" w:type="pct"/>
            <w:tcBorders>
              <w:top w:val="nil"/>
              <w:left w:val="single" w:sz="4" w:space="0" w:color="auto"/>
              <w:bottom w:val="single" w:sz="4" w:space="0" w:color="auto"/>
              <w:right w:val="single" w:sz="4" w:space="0" w:color="auto"/>
            </w:tcBorders>
            <w:shd w:val="clear" w:color="auto" w:fill="auto"/>
            <w:noWrap/>
            <w:vAlign w:val="center"/>
          </w:tcPr>
          <w:p w14:paraId="416BE7CB" w14:textId="77777777" w:rsidR="008647ED" w:rsidRPr="004E74A6" w:rsidRDefault="008647ED" w:rsidP="00CE62C1">
            <w:pPr>
              <w:spacing w:line="276" w:lineRule="auto"/>
              <w:jc w:val="center"/>
              <w:rPr>
                <w:rFonts w:cs="Calibri"/>
                <w:color w:val="000000"/>
                <w:sz w:val="20"/>
                <w:lang w:eastAsia="es-CR"/>
              </w:rPr>
            </w:pPr>
          </w:p>
        </w:tc>
        <w:tc>
          <w:tcPr>
            <w:tcW w:w="517" w:type="pct"/>
            <w:tcBorders>
              <w:top w:val="nil"/>
              <w:left w:val="single" w:sz="4" w:space="0" w:color="auto"/>
              <w:bottom w:val="single" w:sz="4" w:space="0" w:color="auto"/>
              <w:right w:val="single" w:sz="4" w:space="0" w:color="auto"/>
            </w:tcBorders>
            <w:shd w:val="clear" w:color="auto" w:fill="auto"/>
            <w:noWrap/>
            <w:vAlign w:val="center"/>
          </w:tcPr>
          <w:p w14:paraId="63A8317B" w14:textId="77777777" w:rsidR="008647ED" w:rsidRPr="004E74A6" w:rsidRDefault="008647ED" w:rsidP="00CE62C1">
            <w:pPr>
              <w:spacing w:line="276" w:lineRule="auto"/>
              <w:jc w:val="center"/>
              <w:rPr>
                <w:rFonts w:cs="Calibri"/>
                <w:color w:val="000000"/>
                <w:sz w:val="20"/>
                <w:lang w:eastAsia="es-CR"/>
              </w:rPr>
            </w:pPr>
          </w:p>
        </w:tc>
        <w:tc>
          <w:tcPr>
            <w:tcW w:w="689" w:type="pct"/>
            <w:tcBorders>
              <w:top w:val="nil"/>
              <w:left w:val="single" w:sz="4" w:space="0" w:color="auto"/>
              <w:bottom w:val="single" w:sz="4" w:space="0" w:color="auto"/>
              <w:right w:val="nil"/>
            </w:tcBorders>
            <w:shd w:val="clear" w:color="auto" w:fill="auto"/>
            <w:noWrap/>
            <w:vAlign w:val="center"/>
          </w:tcPr>
          <w:p w14:paraId="467F3A9D" w14:textId="77777777" w:rsidR="008647ED" w:rsidRPr="004E74A6" w:rsidRDefault="008647ED" w:rsidP="00CE62C1">
            <w:pPr>
              <w:spacing w:line="276" w:lineRule="auto"/>
              <w:jc w:val="center"/>
              <w:rPr>
                <w:rFonts w:cs="Calibri"/>
                <w:color w:val="000000"/>
                <w:sz w:val="20"/>
                <w:lang w:eastAsia="es-CR"/>
              </w:rPr>
            </w:pPr>
          </w:p>
        </w:tc>
      </w:tr>
    </w:tbl>
    <w:p w14:paraId="0D6245F4" w14:textId="12923368" w:rsidR="003E4755" w:rsidRPr="004E74A6" w:rsidRDefault="003E4755" w:rsidP="00832773">
      <w:pPr>
        <w:spacing w:line="276" w:lineRule="auto"/>
        <w:ind w:left="340" w:right="340"/>
        <w:rPr>
          <w:rFonts w:cs="Calibri"/>
          <w:i/>
          <w:iCs/>
          <w:color w:val="000000"/>
          <w:sz w:val="20"/>
          <w:lang w:eastAsia="es-CR"/>
        </w:rPr>
      </w:pPr>
      <w:r w:rsidRPr="004E74A6">
        <w:rPr>
          <w:rFonts w:cs="Calibri"/>
          <w:b/>
          <w:bCs/>
          <w:i/>
          <w:iCs/>
          <w:color w:val="000000"/>
          <w:sz w:val="20"/>
          <w:lang w:eastAsia="es-CR"/>
        </w:rPr>
        <w:t>Fuente</w:t>
      </w:r>
      <w:r w:rsidRPr="004E74A6">
        <w:rPr>
          <w:rFonts w:cs="Calibri"/>
          <w:i/>
          <w:iCs/>
          <w:color w:val="000000"/>
          <w:sz w:val="20"/>
          <w:lang w:eastAsia="es-CR"/>
        </w:rPr>
        <w:t>: Subproceso de Modernización Institucional con datos extraídos del sistema SIGMA, Dirección de Planificación.</w:t>
      </w:r>
    </w:p>
    <w:p w14:paraId="1F69F4C5" w14:textId="15FD81C2" w:rsidR="003F416B" w:rsidRPr="004E74A6" w:rsidRDefault="003F416B" w:rsidP="00832773">
      <w:pPr>
        <w:spacing w:line="276" w:lineRule="auto"/>
        <w:rPr>
          <w:rFonts w:cs="Calibri"/>
          <w:i/>
          <w:iCs/>
          <w:color w:val="000000"/>
          <w:sz w:val="20"/>
          <w:lang w:eastAsia="es-CR"/>
        </w:rPr>
      </w:pPr>
    </w:p>
    <w:p w14:paraId="69A120F6" w14:textId="77777777" w:rsidR="008647ED" w:rsidRPr="004E74A6" w:rsidRDefault="008647ED" w:rsidP="00CE62C1">
      <w:pPr>
        <w:spacing w:line="276" w:lineRule="auto"/>
      </w:pPr>
    </w:p>
    <w:p w14:paraId="63A8F15D" w14:textId="476121F7" w:rsidR="00734CC1" w:rsidRPr="004E74A6" w:rsidRDefault="00906985" w:rsidP="00CE62C1">
      <w:pPr>
        <w:spacing w:after="160" w:line="276" w:lineRule="auto"/>
        <w:rPr>
          <w:rFonts w:cs="Calibri"/>
          <w:color w:val="000000"/>
          <w:szCs w:val="24"/>
          <w:lang w:eastAsia="es-CR"/>
        </w:rPr>
      </w:pPr>
      <w:r>
        <w:rPr>
          <w:rFonts w:cs="Calibri"/>
          <w:color w:val="000000"/>
          <w:szCs w:val="24"/>
          <w:lang w:eastAsia="es-CR"/>
        </w:rPr>
        <w:t>En</w:t>
      </w:r>
      <w:r w:rsidR="00734CC1" w:rsidRPr="004E74A6">
        <w:rPr>
          <w:rFonts w:cs="Calibri"/>
          <w:color w:val="000000"/>
          <w:szCs w:val="24"/>
          <w:lang w:eastAsia="es-CR"/>
        </w:rPr>
        <w:t xml:space="preserve"> la siguiente tabla se puede observar el detalle de la cuantía según los procedimientos ordinarios del Tribunal.</w:t>
      </w:r>
    </w:p>
    <w:p w14:paraId="63405FC3" w14:textId="66F0966D" w:rsidR="00734CC1" w:rsidRPr="004E74A6" w:rsidRDefault="00734CC1" w:rsidP="00CE62C1">
      <w:pPr>
        <w:spacing w:line="276" w:lineRule="auto"/>
        <w:rPr>
          <w:rFonts w:cs="Calibri"/>
          <w:color w:val="000000"/>
          <w:szCs w:val="24"/>
          <w:lang w:eastAsia="es-CR"/>
        </w:rPr>
      </w:pPr>
      <w:r w:rsidRPr="004E74A6">
        <w:rPr>
          <w:rFonts w:cs="Calibri"/>
          <w:color w:val="000000"/>
          <w:szCs w:val="24"/>
          <w:lang w:eastAsia="es-CR"/>
        </w:rPr>
        <w:t>De los procesos ordinarios ingresados en el Tribunal, en promedio 2 asuntos son inestimables (2%), 80 estimables (73%), 2 casos “no aplica” (2%) y sin actualizar 26 casos (2</w:t>
      </w:r>
      <w:r w:rsidR="00A906DE" w:rsidRPr="004E74A6">
        <w:rPr>
          <w:rFonts w:cs="Calibri"/>
          <w:color w:val="000000"/>
          <w:szCs w:val="24"/>
          <w:lang w:eastAsia="es-CR"/>
        </w:rPr>
        <w:t>3</w:t>
      </w:r>
      <w:r w:rsidRPr="004E74A6">
        <w:rPr>
          <w:rFonts w:cs="Calibri"/>
          <w:color w:val="000000"/>
          <w:szCs w:val="24"/>
          <w:lang w:eastAsia="es-CR"/>
        </w:rPr>
        <w:t>%).</w:t>
      </w:r>
    </w:p>
    <w:p w14:paraId="37A6BA05" w14:textId="77777777" w:rsidR="00734CC1" w:rsidRPr="004E74A6" w:rsidRDefault="00734CC1" w:rsidP="00CE62C1">
      <w:pPr>
        <w:spacing w:line="276" w:lineRule="auto"/>
        <w:rPr>
          <w:rFonts w:cs="Calibri"/>
          <w:color w:val="000000"/>
          <w:szCs w:val="24"/>
          <w:lang w:eastAsia="es-CR"/>
        </w:rPr>
      </w:pPr>
    </w:p>
    <w:p w14:paraId="123B272A" w14:textId="29F5BE14" w:rsidR="00734CC1" w:rsidRPr="004E74A6" w:rsidRDefault="00734CC1" w:rsidP="00CE62C1">
      <w:pPr>
        <w:spacing w:line="276" w:lineRule="auto"/>
        <w:rPr>
          <w:rFonts w:cs="Calibri"/>
          <w:color w:val="000000"/>
          <w:szCs w:val="24"/>
          <w:lang w:eastAsia="es-CR"/>
        </w:rPr>
      </w:pPr>
      <w:r w:rsidRPr="004E74A6">
        <w:rPr>
          <w:rFonts w:cs="Calibri"/>
          <w:color w:val="000000"/>
          <w:szCs w:val="24"/>
          <w:lang w:eastAsia="es-CR"/>
        </w:rPr>
        <w:t xml:space="preserve">De lo anterior, el </w:t>
      </w:r>
      <w:r w:rsidR="00A906DE" w:rsidRPr="004E74A6">
        <w:rPr>
          <w:rFonts w:cs="Calibri"/>
          <w:color w:val="000000"/>
          <w:szCs w:val="24"/>
          <w:lang w:eastAsia="es-CR"/>
        </w:rPr>
        <w:t>2</w:t>
      </w:r>
      <w:r w:rsidRPr="004E74A6">
        <w:rPr>
          <w:rFonts w:cs="Calibri"/>
          <w:color w:val="000000"/>
          <w:szCs w:val="24"/>
          <w:lang w:eastAsia="es-CR"/>
        </w:rPr>
        <w:t xml:space="preserve">% que indicaron no aplica cuantía, se debe a una actualización errores a de la informa, ya que desde el inicio en el uso de la mejora se les indicó a las oficinas que esta opción solo aplica para materia de Trabajo, no así para Civil donde los asuntos son estimables o inestimables solamente. </w:t>
      </w:r>
    </w:p>
    <w:p w14:paraId="025A2577" w14:textId="77777777" w:rsidR="00734CC1" w:rsidRPr="004E74A6" w:rsidRDefault="00734CC1" w:rsidP="00CE62C1">
      <w:pPr>
        <w:spacing w:line="276" w:lineRule="auto"/>
        <w:rPr>
          <w:rFonts w:cs="Calibri"/>
          <w:color w:val="000000"/>
          <w:szCs w:val="24"/>
          <w:lang w:eastAsia="es-CR"/>
        </w:rPr>
      </w:pPr>
    </w:p>
    <w:p w14:paraId="3D4A1E63" w14:textId="77777777" w:rsidR="004E4F14" w:rsidRDefault="004E4F14" w:rsidP="00CE62C1">
      <w:pPr>
        <w:spacing w:line="276" w:lineRule="auto"/>
        <w:rPr>
          <w:rFonts w:cs="Calibri"/>
          <w:color w:val="000000"/>
          <w:szCs w:val="24"/>
          <w:lang w:eastAsia="es-CR"/>
        </w:rPr>
      </w:pPr>
    </w:p>
    <w:p w14:paraId="4A048C13" w14:textId="77777777" w:rsidR="004E4F14" w:rsidRDefault="004E4F14" w:rsidP="00CE62C1">
      <w:pPr>
        <w:spacing w:line="276" w:lineRule="auto"/>
        <w:rPr>
          <w:rFonts w:cs="Calibri"/>
          <w:color w:val="000000"/>
          <w:szCs w:val="24"/>
          <w:lang w:eastAsia="es-CR"/>
        </w:rPr>
      </w:pPr>
    </w:p>
    <w:p w14:paraId="33F44124" w14:textId="77777777" w:rsidR="004E4F14" w:rsidRDefault="004E4F14" w:rsidP="00CE62C1">
      <w:pPr>
        <w:spacing w:line="276" w:lineRule="auto"/>
        <w:rPr>
          <w:rFonts w:cs="Calibri"/>
          <w:color w:val="000000"/>
          <w:szCs w:val="24"/>
          <w:lang w:eastAsia="es-CR"/>
        </w:rPr>
      </w:pPr>
    </w:p>
    <w:p w14:paraId="4280E6C9" w14:textId="77777777" w:rsidR="004E4F14" w:rsidRDefault="004E4F14" w:rsidP="00CE62C1">
      <w:pPr>
        <w:spacing w:line="276" w:lineRule="auto"/>
        <w:rPr>
          <w:rFonts w:cs="Calibri"/>
          <w:color w:val="000000"/>
          <w:szCs w:val="24"/>
          <w:lang w:eastAsia="es-CR"/>
        </w:rPr>
      </w:pPr>
    </w:p>
    <w:p w14:paraId="56F56813" w14:textId="77777777" w:rsidR="004E4F14" w:rsidRDefault="004E4F14" w:rsidP="00CE62C1">
      <w:pPr>
        <w:spacing w:line="276" w:lineRule="auto"/>
        <w:rPr>
          <w:rFonts w:cs="Calibri"/>
          <w:color w:val="000000"/>
          <w:szCs w:val="24"/>
          <w:lang w:eastAsia="es-CR"/>
        </w:rPr>
      </w:pPr>
    </w:p>
    <w:p w14:paraId="514F563A" w14:textId="77777777" w:rsidR="004E4F14" w:rsidRDefault="004E4F14" w:rsidP="00CE62C1">
      <w:pPr>
        <w:spacing w:line="276" w:lineRule="auto"/>
        <w:rPr>
          <w:rFonts w:cs="Calibri"/>
          <w:color w:val="000000"/>
          <w:szCs w:val="24"/>
          <w:lang w:eastAsia="es-CR"/>
        </w:rPr>
      </w:pPr>
    </w:p>
    <w:p w14:paraId="3BD3BB73" w14:textId="77777777" w:rsidR="004E4F14" w:rsidRDefault="004E4F14" w:rsidP="00CE62C1">
      <w:pPr>
        <w:spacing w:line="276" w:lineRule="auto"/>
        <w:rPr>
          <w:rFonts w:cs="Calibri"/>
          <w:color w:val="000000"/>
          <w:szCs w:val="24"/>
          <w:lang w:eastAsia="es-CR"/>
        </w:rPr>
      </w:pPr>
    </w:p>
    <w:p w14:paraId="3BC1EFF8" w14:textId="77777777" w:rsidR="004E4F14" w:rsidRDefault="004E4F14" w:rsidP="00CE62C1">
      <w:pPr>
        <w:spacing w:line="276" w:lineRule="auto"/>
        <w:rPr>
          <w:rFonts w:cs="Calibri"/>
          <w:color w:val="000000"/>
          <w:szCs w:val="24"/>
          <w:lang w:eastAsia="es-CR"/>
        </w:rPr>
      </w:pPr>
    </w:p>
    <w:p w14:paraId="575C0A57" w14:textId="44CB066A" w:rsidR="00734CC1" w:rsidRPr="004E74A6" w:rsidRDefault="00734CC1" w:rsidP="00CE62C1">
      <w:pPr>
        <w:spacing w:line="276" w:lineRule="auto"/>
        <w:rPr>
          <w:rFonts w:cs="Calibri"/>
          <w:color w:val="000000"/>
          <w:szCs w:val="24"/>
          <w:lang w:eastAsia="es-CR"/>
        </w:rPr>
      </w:pPr>
      <w:r w:rsidRPr="004E74A6">
        <w:rPr>
          <w:rFonts w:cs="Calibri"/>
          <w:color w:val="000000"/>
          <w:szCs w:val="24"/>
          <w:lang w:eastAsia="es-CR"/>
        </w:rPr>
        <w:lastRenderedPageBreak/>
        <w:t xml:space="preserve">De los </w:t>
      </w:r>
      <w:r w:rsidR="00A906DE" w:rsidRPr="004E74A6">
        <w:rPr>
          <w:rFonts w:cs="Calibri"/>
          <w:color w:val="000000"/>
          <w:szCs w:val="24"/>
          <w:lang w:eastAsia="es-CR"/>
        </w:rPr>
        <w:t>8</w:t>
      </w:r>
      <w:r w:rsidRPr="004E74A6">
        <w:rPr>
          <w:rFonts w:cs="Calibri"/>
          <w:color w:val="000000"/>
          <w:szCs w:val="24"/>
          <w:lang w:eastAsia="es-CR"/>
        </w:rPr>
        <w:t xml:space="preserve">0 ordinarios estimables, la distribución de esos asuntos por rango de cuantía es el siguiente: </w:t>
      </w:r>
    </w:p>
    <w:p w14:paraId="7C74206C" w14:textId="77777777" w:rsidR="00662185" w:rsidRPr="004E74A6" w:rsidRDefault="00662185" w:rsidP="00CE62C1">
      <w:pPr>
        <w:spacing w:after="160" w:line="276" w:lineRule="auto"/>
        <w:rPr>
          <w:rFonts w:cs="Calibri"/>
          <w:color w:val="000000"/>
          <w:szCs w:val="24"/>
          <w:lang w:eastAsia="es-CR"/>
        </w:rPr>
      </w:pPr>
    </w:p>
    <w:p w14:paraId="3F15BE77" w14:textId="05F36427" w:rsidR="003F416B" w:rsidRPr="00832773" w:rsidRDefault="003F416B" w:rsidP="00F0204A">
      <w:pPr>
        <w:pStyle w:val="Descripcin"/>
        <w:keepNext/>
        <w:spacing w:line="276" w:lineRule="auto"/>
        <w:jc w:val="center"/>
        <w:rPr>
          <w:rFonts w:ascii="Book Antiqua" w:hAnsi="Book Antiqua"/>
          <w:i/>
          <w:iCs/>
          <w:sz w:val="20"/>
          <w:szCs w:val="16"/>
          <w:lang w:val="es-CR"/>
        </w:rPr>
      </w:pPr>
      <w:r w:rsidRPr="00832773">
        <w:rPr>
          <w:rFonts w:ascii="Book Antiqua" w:hAnsi="Book Antiqua"/>
          <w:i/>
          <w:iCs/>
          <w:sz w:val="20"/>
          <w:szCs w:val="16"/>
          <w:lang w:val="es-CR"/>
        </w:rPr>
        <w:t xml:space="preserve">Tabla </w:t>
      </w:r>
      <w:r w:rsidRPr="00832773">
        <w:rPr>
          <w:rFonts w:ascii="Book Antiqua" w:hAnsi="Book Antiqua"/>
          <w:i/>
          <w:iCs/>
          <w:sz w:val="20"/>
          <w:szCs w:val="16"/>
          <w:lang w:val="es-CR"/>
        </w:rPr>
        <w:fldChar w:fldCharType="begin"/>
      </w:r>
      <w:r w:rsidRPr="00832773">
        <w:rPr>
          <w:rFonts w:ascii="Book Antiqua" w:hAnsi="Book Antiqua"/>
          <w:i/>
          <w:iCs/>
          <w:sz w:val="20"/>
          <w:szCs w:val="16"/>
          <w:lang w:val="es-CR"/>
        </w:rPr>
        <w:instrText xml:space="preserve"> SEQ Tabla \* ARABIC </w:instrText>
      </w:r>
      <w:r w:rsidRPr="00832773">
        <w:rPr>
          <w:rFonts w:ascii="Book Antiqua" w:hAnsi="Book Antiqua"/>
          <w:i/>
          <w:iCs/>
          <w:sz w:val="20"/>
          <w:szCs w:val="16"/>
          <w:lang w:val="es-CR"/>
        </w:rPr>
        <w:fldChar w:fldCharType="separate"/>
      </w:r>
      <w:r w:rsidR="00374B51">
        <w:rPr>
          <w:rFonts w:ascii="Book Antiqua" w:hAnsi="Book Antiqua"/>
          <w:i/>
          <w:iCs/>
          <w:noProof/>
          <w:sz w:val="20"/>
          <w:szCs w:val="16"/>
          <w:lang w:val="es-CR"/>
        </w:rPr>
        <w:t>48</w:t>
      </w:r>
      <w:r w:rsidRPr="00832773">
        <w:rPr>
          <w:rFonts w:ascii="Book Antiqua" w:hAnsi="Book Antiqua"/>
          <w:i/>
          <w:iCs/>
          <w:sz w:val="20"/>
          <w:szCs w:val="16"/>
          <w:lang w:val="es-CR"/>
        </w:rPr>
        <w:fldChar w:fldCharType="end"/>
      </w:r>
      <w:r w:rsidRPr="00832773">
        <w:rPr>
          <w:rFonts w:ascii="Book Antiqua" w:hAnsi="Book Antiqua"/>
          <w:i/>
          <w:iCs/>
          <w:sz w:val="20"/>
          <w:szCs w:val="16"/>
          <w:lang w:val="es-CR"/>
        </w:rPr>
        <w:t xml:space="preserve"> </w:t>
      </w:r>
      <w:r w:rsidR="00A906DE" w:rsidRPr="00832773">
        <w:rPr>
          <w:rFonts w:ascii="Book Antiqua" w:hAnsi="Book Antiqua"/>
          <w:i/>
          <w:iCs/>
          <w:sz w:val="20"/>
          <w:szCs w:val="16"/>
          <w:lang w:val="es-CR"/>
        </w:rPr>
        <w:t xml:space="preserve">Cantidad de entrados ordinarios estimables por cuantía del 2019 al 2021 para el </w:t>
      </w:r>
      <w:r w:rsidRPr="00832773">
        <w:rPr>
          <w:rFonts w:ascii="Book Antiqua" w:hAnsi="Book Antiqua"/>
          <w:i/>
          <w:iCs/>
          <w:sz w:val="20"/>
          <w:szCs w:val="16"/>
          <w:lang w:val="es-CR"/>
        </w:rPr>
        <w:t>Tribunal Colegiado Primera Instancia Civil Primer Circuito Judicial Zona Atlántica</w:t>
      </w:r>
    </w:p>
    <w:tbl>
      <w:tblPr>
        <w:tblW w:w="5038" w:type="pct"/>
        <w:jc w:val="center"/>
        <w:tblCellMar>
          <w:left w:w="70" w:type="dxa"/>
          <w:right w:w="70" w:type="dxa"/>
        </w:tblCellMar>
        <w:tblLook w:val="04A0" w:firstRow="1" w:lastRow="0" w:firstColumn="1" w:lastColumn="0" w:noHBand="0" w:noVBand="1"/>
      </w:tblPr>
      <w:tblGrid>
        <w:gridCol w:w="2830"/>
        <w:gridCol w:w="856"/>
        <w:gridCol w:w="852"/>
        <w:gridCol w:w="852"/>
        <w:gridCol w:w="1135"/>
        <w:gridCol w:w="2382"/>
      </w:tblGrid>
      <w:tr w:rsidR="00357FBD" w:rsidRPr="004E74A6" w14:paraId="460A6AD6" w14:textId="54010715" w:rsidTr="00357FBD">
        <w:trPr>
          <w:trHeight w:val="454"/>
          <w:tblHeader/>
          <w:jc w:val="center"/>
        </w:trPr>
        <w:tc>
          <w:tcPr>
            <w:tcW w:w="1589" w:type="pct"/>
            <w:tcBorders>
              <w:top w:val="single" w:sz="4" w:space="0" w:color="auto"/>
              <w:left w:val="nil"/>
              <w:bottom w:val="single" w:sz="4" w:space="0" w:color="auto"/>
              <w:right w:val="single" w:sz="4" w:space="0" w:color="auto"/>
            </w:tcBorders>
            <w:shd w:val="clear" w:color="auto" w:fill="auto"/>
            <w:noWrap/>
            <w:vAlign w:val="center"/>
            <w:hideMark/>
          </w:tcPr>
          <w:p w14:paraId="19A0A8C0" w14:textId="77777777" w:rsidR="00C34C5B" w:rsidRPr="004E74A6" w:rsidRDefault="00C34C5B" w:rsidP="00CE62C1">
            <w:pPr>
              <w:spacing w:line="276" w:lineRule="auto"/>
              <w:jc w:val="center"/>
              <w:rPr>
                <w:rFonts w:cs="Calibri"/>
                <w:color w:val="000000"/>
                <w:sz w:val="20"/>
                <w:lang w:eastAsia="es-CR"/>
              </w:rPr>
            </w:pPr>
            <w:r w:rsidRPr="004E74A6">
              <w:rPr>
                <w:rFonts w:cs="Calibri"/>
                <w:color w:val="000000"/>
                <w:sz w:val="20"/>
                <w:lang w:eastAsia="es-CR"/>
              </w:rPr>
              <w:t>Ordinario</w:t>
            </w:r>
          </w:p>
        </w:tc>
        <w:tc>
          <w:tcPr>
            <w:tcW w:w="48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3768ECA" w14:textId="77777777" w:rsidR="00C34C5B" w:rsidRPr="004E74A6" w:rsidRDefault="00C34C5B" w:rsidP="00CE62C1">
            <w:pPr>
              <w:spacing w:line="276" w:lineRule="auto"/>
              <w:jc w:val="center"/>
              <w:rPr>
                <w:rFonts w:cs="Calibri"/>
                <w:color w:val="000000"/>
                <w:sz w:val="20"/>
                <w:lang w:eastAsia="es-CR"/>
              </w:rPr>
            </w:pPr>
            <w:r w:rsidRPr="004E74A6">
              <w:rPr>
                <w:rFonts w:cs="Calibri"/>
                <w:color w:val="000000"/>
                <w:sz w:val="20"/>
                <w:lang w:eastAsia="es-CR"/>
              </w:rPr>
              <w:t>2019</w:t>
            </w:r>
          </w:p>
        </w:tc>
        <w:tc>
          <w:tcPr>
            <w:tcW w:w="47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650A856" w14:textId="77777777" w:rsidR="00C34C5B" w:rsidRPr="004E74A6" w:rsidRDefault="00C34C5B" w:rsidP="00CE62C1">
            <w:pPr>
              <w:spacing w:line="276" w:lineRule="auto"/>
              <w:jc w:val="center"/>
              <w:rPr>
                <w:rFonts w:cs="Calibri"/>
                <w:color w:val="000000"/>
                <w:sz w:val="20"/>
                <w:lang w:eastAsia="es-CR"/>
              </w:rPr>
            </w:pPr>
            <w:r w:rsidRPr="004E74A6">
              <w:rPr>
                <w:rFonts w:cs="Calibri"/>
                <w:color w:val="000000"/>
                <w:sz w:val="20"/>
                <w:lang w:eastAsia="es-CR"/>
              </w:rPr>
              <w:t>2020</w:t>
            </w:r>
          </w:p>
        </w:tc>
        <w:tc>
          <w:tcPr>
            <w:tcW w:w="47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F56B39F" w14:textId="77777777" w:rsidR="00C34C5B" w:rsidRPr="004E74A6" w:rsidRDefault="00C34C5B" w:rsidP="00CE62C1">
            <w:pPr>
              <w:spacing w:line="276" w:lineRule="auto"/>
              <w:jc w:val="center"/>
              <w:rPr>
                <w:rFonts w:cs="Calibri"/>
                <w:color w:val="000000"/>
                <w:sz w:val="20"/>
                <w:lang w:eastAsia="es-CR"/>
              </w:rPr>
            </w:pPr>
            <w:r w:rsidRPr="004E74A6">
              <w:rPr>
                <w:rFonts w:cs="Calibri"/>
                <w:color w:val="000000"/>
                <w:sz w:val="20"/>
                <w:lang w:eastAsia="es-CR"/>
              </w:rPr>
              <w:t>2021</w:t>
            </w:r>
          </w:p>
        </w:tc>
        <w:tc>
          <w:tcPr>
            <w:tcW w:w="637" w:type="pct"/>
            <w:tcBorders>
              <w:top w:val="single" w:sz="4" w:space="0" w:color="auto"/>
              <w:left w:val="single" w:sz="4" w:space="0" w:color="auto"/>
              <w:bottom w:val="single" w:sz="4" w:space="0" w:color="auto"/>
              <w:right w:val="nil"/>
            </w:tcBorders>
            <w:shd w:val="clear" w:color="auto" w:fill="auto"/>
            <w:noWrap/>
            <w:vAlign w:val="center"/>
          </w:tcPr>
          <w:p w14:paraId="4C35C66F" w14:textId="3CF93571" w:rsidR="00C34C5B" w:rsidRPr="004E74A6" w:rsidRDefault="00C34C5B" w:rsidP="00CE62C1">
            <w:pPr>
              <w:spacing w:line="276" w:lineRule="auto"/>
              <w:jc w:val="center"/>
              <w:rPr>
                <w:rFonts w:cs="Calibri"/>
                <w:color w:val="000000"/>
                <w:sz w:val="20"/>
                <w:lang w:eastAsia="es-CR"/>
              </w:rPr>
            </w:pPr>
            <w:r w:rsidRPr="004E74A6">
              <w:rPr>
                <w:rFonts w:cs="Calibri"/>
                <w:color w:val="000000"/>
                <w:sz w:val="20"/>
                <w:lang w:eastAsia="es-CR"/>
              </w:rPr>
              <w:t>Promedio</w:t>
            </w:r>
          </w:p>
        </w:tc>
        <w:tc>
          <w:tcPr>
            <w:tcW w:w="1337" w:type="pct"/>
            <w:tcBorders>
              <w:top w:val="single" w:sz="4" w:space="0" w:color="auto"/>
              <w:left w:val="single" w:sz="4" w:space="0" w:color="auto"/>
              <w:bottom w:val="single" w:sz="4" w:space="0" w:color="auto"/>
              <w:right w:val="nil"/>
            </w:tcBorders>
          </w:tcPr>
          <w:p w14:paraId="4679952F" w14:textId="6FFCCA4B" w:rsidR="00C34C5B" w:rsidRPr="004E74A6" w:rsidRDefault="00357FBD" w:rsidP="00832773">
            <w:pPr>
              <w:spacing w:line="276" w:lineRule="auto"/>
              <w:jc w:val="center"/>
              <w:rPr>
                <w:rFonts w:cs="Calibri"/>
                <w:color w:val="000000"/>
                <w:sz w:val="20"/>
                <w:lang w:eastAsia="es-CR"/>
              </w:rPr>
            </w:pPr>
            <w:r w:rsidRPr="004E74A6">
              <w:rPr>
                <w:rFonts w:cs="Calibri"/>
                <w:color w:val="000000"/>
                <w:sz w:val="20"/>
              </w:rPr>
              <w:t>Pérdida porcentual en la entrada en caso de elevarse la cuantía según rango escenario A1</w:t>
            </w:r>
          </w:p>
        </w:tc>
      </w:tr>
      <w:tr w:rsidR="00357FBD" w:rsidRPr="004E74A6" w14:paraId="5AEF917F" w14:textId="43437CF1" w:rsidTr="00357FBD">
        <w:trPr>
          <w:trHeight w:val="288"/>
          <w:jc w:val="center"/>
        </w:trPr>
        <w:tc>
          <w:tcPr>
            <w:tcW w:w="1589" w:type="pct"/>
            <w:tcBorders>
              <w:top w:val="single" w:sz="4" w:space="0" w:color="auto"/>
              <w:left w:val="nil"/>
              <w:bottom w:val="nil"/>
              <w:right w:val="single" w:sz="4" w:space="0" w:color="auto"/>
            </w:tcBorders>
            <w:shd w:val="clear" w:color="auto" w:fill="auto"/>
            <w:noWrap/>
            <w:vAlign w:val="center"/>
          </w:tcPr>
          <w:p w14:paraId="18B17DC5" w14:textId="77777777" w:rsidR="00C34C5B" w:rsidRPr="004E74A6" w:rsidRDefault="00C34C5B" w:rsidP="00CE62C1">
            <w:pPr>
              <w:spacing w:line="276" w:lineRule="auto"/>
              <w:jc w:val="center"/>
              <w:rPr>
                <w:rFonts w:cs="Calibri"/>
                <w:color w:val="000000"/>
                <w:sz w:val="20"/>
                <w:lang w:eastAsia="es-CR"/>
              </w:rPr>
            </w:pPr>
          </w:p>
        </w:tc>
        <w:tc>
          <w:tcPr>
            <w:tcW w:w="481" w:type="pct"/>
            <w:tcBorders>
              <w:top w:val="single" w:sz="4" w:space="0" w:color="auto"/>
              <w:left w:val="single" w:sz="4" w:space="0" w:color="auto"/>
              <w:bottom w:val="nil"/>
              <w:right w:val="single" w:sz="4" w:space="0" w:color="auto"/>
            </w:tcBorders>
            <w:shd w:val="clear" w:color="auto" w:fill="auto"/>
            <w:noWrap/>
            <w:vAlign w:val="center"/>
          </w:tcPr>
          <w:p w14:paraId="6C32A2DD" w14:textId="77777777" w:rsidR="00C34C5B" w:rsidRPr="004E74A6" w:rsidRDefault="00C34C5B" w:rsidP="00CE62C1">
            <w:pPr>
              <w:spacing w:line="276" w:lineRule="auto"/>
              <w:jc w:val="center"/>
              <w:rPr>
                <w:rFonts w:cs="Calibri"/>
                <w:color w:val="000000"/>
                <w:sz w:val="20"/>
                <w:lang w:eastAsia="es-CR"/>
              </w:rPr>
            </w:pPr>
          </w:p>
        </w:tc>
        <w:tc>
          <w:tcPr>
            <w:tcW w:w="478" w:type="pct"/>
            <w:tcBorders>
              <w:top w:val="single" w:sz="4" w:space="0" w:color="auto"/>
              <w:left w:val="single" w:sz="4" w:space="0" w:color="auto"/>
              <w:bottom w:val="nil"/>
              <w:right w:val="single" w:sz="4" w:space="0" w:color="auto"/>
            </w:tcBorders>
            <w:shd w:val="clear" w:color="auto" w:fill="auto"/>
            <w:noWrap/>
            <w:vAlign w:val="center"/>
          </w:tcPr>
          <w:p w14:paraId="6D9EF03E" w14:textId="77777777" w:rsidR="00C34C5B" w:rsidRPr="004E74A6" w:rsidRDefault="00C34C5B" w:rsidP="00CE62C1">
            <w:pPr>
              <w:spacing w:line="276" w:lineRule="auto"/>
              <w:jc w:val="center"/>
              <w:rPr>
                <w:rFonts w:cs="Calibri"/>
                <w:color w:val="000000"/>
                <w:sz w:val="20"/>
                <w:lang w:eastAsia="es-CR"/>
              </w:rPr>
            </w:pPr>
          </w:p>
        </w:tc>
        <w:tc>
          <w:tcPr>
            <w:tcW w:w="478" w:type="pct"/>
            <w:tcBorders>
              <w:top w:val="single" w:sz="4" w:space="0" w:color="auto"/>
              <w:left w:val="single" w:sz="4" w:space="0" w:color="auto"/>
              <w:bottom w:val="nil"/>
              <w:right w:val="single" w:sz="4" w:space="0" w:color="auto"/>
            </w:tcBorders>
            <w:shd w:val="clear" w:color="auto" w:fill="auto"/>
            <w:noWrap/>
            <w:vAlign w:val="center"/>
          </w:tcPr>
          <w:p w14:paraId="05737363" w14:textId="77777777" w:rsidR="00C34C5B" w:rsidRPr="004E74A6" w:rsidRDefault="00C34C5B" w:rsidP="00CE62C1">
            <w:pPr>
              <w:spacing w:line="276" w:lineRule="auto"/>
              <w:jc w:val="center"/>
              <w:rPr>
                <w:rFonts w:cs="Calibri"/>
                <w:color w:val="000000"/>
                <w:sz w:val="20"/>
                <w:lang w:eastAsia="es-CR"/>
              </w:rPr>
            </w:pPr>
          </w:p>
        </w:tc>
        <w:tc>
          <w:tcPr>
            <w:tcW w:w="637" w:type="pct"/>
            <w:tcBorders>
              <w:top w:val="single" w:sz="4" w:space="0" w:color="auto"/>
              <w:left w:val="single" w:sz="4" w:space="0" w:color="auto"/>
              <w:bottom w:val="nil"/>
              <w:right w:val="nil"/>
            </w:tcBorders>
            <w:shd w:val="clear" w:color="auto" w:fill="auto"/>
            <w:noWrap/>
            <w:vAlign w:val="center"/>
          </w:tcPr>
          <w:p w14:paraId="391E4FFE" w14:textId="77777777" w:rsidR="00C34C5B" w:rsidRPr="004E74A6" w:rsidRDefault="00C34C5B" w:rsidP="00CE62C1">
            <w:pPr>
              <w:spacing w:line="276" w:lineRule="auto"/>
              <w:jc w:val="center"/>
              <w:rPr>
                <w:rFonts w:cs="Calibri"/>
                <w:color w:val="000000"/>
                <w:sz w:val="20"/>
                <w:lang w:eastAsia="es-CR"/>
              </w:rPr>
            </w:pPr>
          </w:p>
        </w:tc>
        <w:tc>
          <w:tcPr>
            <w:tcW w:w="1337" w:type="pct"/>
            <w:tcBorders>
              <w:top w:val="single" w:sz="4" w:space="0" w:color="auto"/>
              <w:left w:val="single" w:sz="4" w:space="0" w:color="auto"/>
              <w:bottom w:val="nil"/>
              <w:right w:val="nil"/>
            </w:tcBorders>
          </w:tcPr>
          <w:p w14:paraId="0F1CF070" w14:textId="77777777" w:rsidR="00C34C5B" w:rsidRPr="004E74A6" w:rsidRDefault="00C34C5B" w:rsidP="00CE62C1">
            <w:pPr>
              <w:spacing w:line="276" w:lineRule="auto"/>
              <w:jc w:val="center"/>
              <w:rPr>
                <w:rFonts w:cs="Calibri"/>
                <w:color w:val="000000"/>
                <w:sz w:val="20"/>
                <w:lang w:eastAsia="es-CR"/>
              </w:rPr>
            </w:pPr>
          </w:p>
        </w:tc>
      </w:tr>
      <w:tr w:rsidR="00357FBD" w:rsidRPr="004E74A6" w14:paraId="73619822" w14:textId="05652942" w:rsidTr="00357FBD">
        <w:trPr>
          <w:trHeight w:val="288"/>
          <w:jc w:val="center"/>
        </w:trPr>
        <w:tc>
          <w:tcPr>
            <w:tcW w:w="1589" w:type="pct"/>
            <w:tcBorders>
              <w:top w:val="nil"/>
              <w:left w:val="nil"/>
              <w:bottom w:val="nil"/>
              <w:right w:val="single" w:sz="4" w:space="0" w:color="auto"/>
            </w:tcBorders>
            <w:shd w:val="clear" w:color="auto" w:fill="auto"/>
            <w:noWrap/>
            <w:vAlign w:val="center"/>
          </w:tcPr>
          <w:p w14:paraId="33ADA741" w14:textId="77777777" w:rsidR="00C34C5B" w:rsidRPr="004E74A6" w:rsidRDefault="00C34C5B" w:rsidP="00CE62C1">
            <w:pPr>
              <w:spacing w:line="276" w:lineRule="auto"/>
              <w:jc w:val="center"/>
              <w:rPr>
                <w:rFonts w:cs="Calibri"/>
                <w:color w:val="000000"/>
                <w:sz w:val="20"/>
                <w:lang w:eastAsia="es-CR"/>
              </w:rPr>
            </w:pPr>
            <w:r w:rsidRPr="004E74A6">
              <w:rPr>
                <w:rFonts w:cs="Calibri"/>
                <w:color w:val="000000"/>
                <w:sz w:val="20"/>
                <w:lang w:eastAsia="es-CR"/>
              </w:rPr>
              <w:t>Total</w:t>
            </w:r>
          </w:p>
        </w:tc>
        <w:tc>
          <w:tcPr>
            <w:tcW w:w="481" w:type="pct"/>
            <w:tcBorders>
              <w:top w:val="nil"/>
              <w:left w:val="single" w:sz="4" w:space="0" w:color="auto"/>
              <w:bottom w:val="nil"/>
              <w:right w:val="single" w:sz="4" w:space="0" w:color="auto"/>
            </w:tcBorders>
            <w:shd w:val="clear" w:color="auto" w:fill="auto"/>
            <w:noWrap/>
            <w:vAlign w:val="bottom"/>
          </w:tcPr>
          <w:p w14:paraId="27F63498" w14:textId="3E9F8457" w:rsidR="00C34C5B" w:rsidRPr="004E74A6" w:rsidRDefault="00C34C5B" w:rsidP="00CE62C1">
            <w:pPr>
              <w:spacing w:line="276" w:lineRule="auto"/>
              <w:jc w:val="center"/>
              <w:rPr>
                <w:rFonts w:cs="Calibri"/>
                <w:color w:val="000000"/>
                <w:sz w:val="20"/>
                <w:lang w:eastAsia="es-CR"/>
              </w:rPr>
            </w:pPr>
            <w:r w:rsidRPr="004E74A6">
              <w:rPr>
                <w:rFonts w:cs="Calibri"/>
                <w:color w:val="000000"/>
                <w:sz w:val="20"/>
              </w:rPr>
              <w:t>55</w:t>
            </w:r>
          </w:p>
        </w:tc>
        <w:tc>
          <w:tcPr>
            <w:tcW w:w="478" w:type="pct"/>
            <w:tcBorders>
              <w:top w:val="nil"/>
              <w:left w:val="single" w:sz="4" w:space="0" w:color="auto"/>
              <w:bottom w:val="nil"/>
              <w:right w:val="single" w:sz="4" w:space="0" w:color="auto"/>
            </w:tcBorders>
            <w:shd w:val="clear" w:color="auto" w:fill="auto"/>
            <w:noWrap/>
            <w:vAlign w:val="bottom"/>
          </w:tcPr>
          <w:p w14:paraId="2B4C65BD" w14:textId="38908F13" w:rsidR="00C34C5B" w:rsidRPr="004E74A6" w:rsidRDefault="00C34C5B" w:rsidP="00CE62C1">
            <w:pPr>
              <w:spacing w:line="276" w:lineRule="auto"/>
              <w:jc w:val="center"/>
              <w:rPr>
                <w:rFonts w:cs="Calibri"/>
                <w:color w:val="000000"/>
                <w:sz w:val="20"/>
                <w:lang w:eastAsia="es-CR"/>
              </w:rPr>
            </w:pPr>
            <w:r w:rsidRPr="004E74A6">
              <w:rPr>
                <w:rFonts w:cs="Calibri"/>
                <w:color w:val="000000"/>
                <w:sz w:val="20"/>
              </w:rPr>
              <w:t>72</w:t>
            </w:r>
          </w:p>
        </w:tc>
        <w:tc>
          <w:tcPr>
            <w:tcW w:w="478" w:type="pct"/>
            <w:tcBorders>
              <w:top w:val="nil"/>
              <w:left w:val="single" w:sz="4" w:space="0" w:color="auto"/>
              <w:bottom w:val="nil"/>
              <w:right w:val="single" w:sz="4" w:space="0" w:color="auto"/>
            </w:tcBorders>
            <w:shd w:val="clear" w:color="auto" w:fill="auto"/>
            <w:noWrap/>
            <w:vAlign w:val="bottom"/>
          </w:tcPr>
          <w:p w14:paraId="2CE7D82E" w14:textId="197E8EA3" w:rsidR="00C34C5B" w:rsidRPr="004E74A6" w:rsidRDefault="00C34C5B" w:rsidP="00CE62C1">
            <w:pPr>
              <w:spacing w:line="276" w:lineRule="auto"/>
              <w:jc w:val="center"/>
              <w:rPr>
                <w:rFonts w:cs="Calibri"/>
                <w:color w:val="000000"/>
                <w:sz w:val="20"/>
                <w:lang w:eastAsia="es-CR"/>
              </w:rPr>
            </w:pPr>
            <w:r w:rsidRPr="004E74A6">
              <w:rPr>
                <w:rFonts w:cs="Calibri"/>
                <w:color w:val="000000"/>
                <w:sz w:val="20"/>
              </w:rPr>
              <w:t>114</w:t>
            </w:r>
          </w:p>
        </w:tc>
        <w:tc>
          <w:tcPr>
            <w:tcW w:w="637" w:type="pct"/>
            <w:tcBorders>
              <w:top w:val="nil"/>
              <w:left w:val="single" w:sz="4" w:space="0" w:color="auto"/>
              <w:bottom w:val="nil"/>
              <w:right w:val="nil"/>
            </w:tcBorders>
            <w:shd w:val="clear" w:color="auto" w:fill="auto"/>
            <w:noWrap/>
            <w:vAlign w:val="bottom"/>
          </w:tcPr>
          <w:p w14:paraId="555D325A" w14:textId="60638CCA" w:rsidR="00C34C5B" w:rsidRPr="004E74A6" w:rsidRDefault="00C34C5B" w:rsidP="00CE62C1">
            <w:pPr>
              <w:spacing w:line="276" w:lineRule="auto"/>
              <w:jc w:val="center"/>
              <w:rPr>
                <w:rFonts w:cs="Calibri"/>
                <w:color w:val="000000"/>
                <w:sz w:val="20"/>
                <w:lang w:eastAsia="es-CR"/>
              </w:rPr>
            </w:pPr>
            <w:r w:rsidRPr="004E74A6">
              <w:rPr>
                <w:rFonts w:cs="Calibri"/>
                <w:color w:val="000000"/>
                <w:sz w:val="20"/>
              </w:rPr>
              <w:t>80</w:t>
            </w:r>
          </w:p>
        </w:tc>
        <w:tc>
          <w:tcPr>
            <w:tcW w:w="1337" w:type="pct"/>
            <w:tcBorders>
              <w:top w:val="nil"/>
              <w:left w:val="single" w:sz="4" w:space="0" w:color="auto"/>
              <w:bottom w:val="nil"/>
              <w:right w:val="nil"/>
            </w:tcBorders>
          </w:tcPr>
          <w:p w14:paraId="14EC76FC" w14:textId="77777777" w:rsidR="00C34C5B" w:rsidRPr="004E74A6" w:rsidRDefault="00C34C5B" w:rsidP="00CE62C1">
            <w:pPr>
              <w:spacing w:line="276" w:lineRule="auto"/>
              <w:jc w:val="center"/>
              <w:rPr>
                <w:rFonts w:cs="Calibri"/>
                <w:color w:val="000000"/>
                <w:sz w:val="20"/>
              </w:rPr>
            </w:pPr>
          </w:p>
        </w:tc>
      </w:tr>
      <w:tr w:rsidR="00357FBD" w:rsidRPr="004E74A6" w14:paraId="538F2A15" w14:textId="12DF6B11" w:rsidTr="00357FBD">
        <w:trPr>
          <w:trHeight w:val="288"/>
          <w:jc w:val="center"/>
        </w:trPr>
        <w:tc>
          <w:tcPr>
            <w:tcW w:w="1589" w:type="pct"/>
            <w:tcBorders>
              <w:top w:val="nil"/>
              <w:left w:val="nil"/>
              <w:bottom w:val="nil"/>
              <w:right w:val="single" w:sz="4" w:space="0" w:color="auto"/>
            </w:tcBorders>
            <w:shd w:val="clear" w:color="auto" w:fill="auto"/>
            <w:noWrap/>
            <w:vAlign w:val="bottom"/>
          </w:tcPr>
          <w:p w14:paraId="021650B5" w14:textId="77777777" w:rsidR="00C34C5B" w:rsidRPr="004E74A6" w:rsidRDefault="00C34C5B" w:rsidP="00CE62C1">
            <w:pPr>
              <w:spacing w:line="276" w:lineRule="auto"/>
              <w:jc w:val="left"/>
              <w:rPr>
                <w:rFonts w:cs="Calibri"/>
                <w:color w:val="000000"/>
                <w:sz w:val="20"/>
                <w:lang w:eastAsia="es-CR"/>
              </w:rPr>
            </w:pPr>
          </w:p>
        </w:tc>
        <w:tc>
          <w:tcPr>
            <w:tcW w:w="481" w:type="pct"/>
            <w:tcBorders>
              <w:top w:val="nil"/>
              <w:left w:val="single" w:sz="4" w:space="0" w:color="auto"/>
              <w:bottom w:val="nil"/>
              <w:right w:val="single" w:sz="4" w:space="0" w:color="auto"/>
            </w:tcBorders>
            <w:shd w:val="clear" w:color="auto" w:fill="auto"/>
            <w:noWrap/>
            <w:vAlign w:val="center"/>
          </w:tcPr>
          <w:p w14:paraId="2D22E913" w14:textId="77777777" w:rsidR="00C34C5B" w:rsidRPr="004E74A6" w:rsidRDefault="00C34C5B" w:rsidP="00CE62C1">
            <w:pPr>
              <w:spacing w:line="276" w:lineRule="auto"/>
              <w:jc w:val="center"/>
              <w:rPr>
                <w:rFonts w:cs="Calibri"/>
                <w:color w:val="000000"/>
                <w:sz w:val="20"/>
                <w:lang w:eastAsia="es-CR"/>
              </w:rPr>
            </w:pPr>
          </w:p>
        </w:tc>
        <w:tc>
          <w:tcPr>
            <w:tcW w:w="478" w:type="pct"/>
            <w:tcBorders>
              <w:top w:val="nil"/>
              <w:left w:val="single" w:sz="4" w:space="0" w:color="auto"/>
              <w:bottom w:val="nil"/>
              <w:right w:val="single" w:sz="4" w:space="0" w:color="auto"/>
            </w:tcBorders>
            <w:shd w:val="clear" w:color="auto" w:fill="auto"/>
            <w:noWrap/>
            <w:vAlign w:val="center"/>
          </w:tcPr>
          <w:p w14:paraId="2F545606" w14:textId="77777777" w:rsidR="00C34C5B" w:rsidRPr="004E74A6" w:rsidRDefault="00C34C5B" w:rsidP="00CE62C1">
            <w:pPr>
              <w:spacing w:line="276" w:lineRule="auto"/>
              <w:jc w:val="center"/>
              <w:rPr>
                <w:rFonts w:cs="Calibri"/>
                <w:color w:val="000000"/>
                <w:sz w:val="20"/>
                <w:lang w:eastAsia="es-CR"/>
              </w:rPr>
            </w:pPr>
          </w:p>
        </w:tc>
        <w:tc>
          <w:tcPr>
            <w:tcW w:w="478" w:type="pct"/>
            <w:tcBorders>
              <w:top w:val="nil"/>
              <w:left w:val="single" w:sz="4" w:space="0" w:color="auto"/>
              <w:bottom w:val="nil"/>
              <w:right w:val="single" w:sz="4" w:space="0" w:color="auto"/>
            </w:tcBorders>
            <w:shd w:val="clear" w:color="auto" w:fill="auto"/>
            <w:noWrap/>
            <w:vAlign w:val="center"/>
          </w:tcPr>
          <w:p w14:paraId="5174DFAC" w14:textId="77777777" w:rsidR="00C34C5B" w:rsidRPr="004E74A6" w:rsidRDefault="00C34C5B" w:rsidP="00CE62C1">
            <w:pPr>
              <w:spacing w:line="276" w:lineRule="auto"/>
              <w:jc w:val="center"/>
              <w:rPr>
                <w:rFonts w:cs="Calibri"/>
                <w:color w:val="000000"/>
                <w:sz w:val="20"/>
                <w:lang w:eastAsia="es-CR"/>
              </w:rPr>
            </w:pPr>
          </w:p>
        </w:tc>
        <w:tc>
          <w:tcPr>
            <w:tcW w:w="637" w:type="pct"/>
            <w:tcBorders>
              <w:top w:val="nil"/>
              <w:left w:val="single" w:sz="4" w:space="0" w:color="auto"/>
              <w:bottom w:val="nil"/>
              <w:right w:val="nil"/>
            </w:tcBorders>
            <w:shd w:val="clear" w:color="auto" w:fill="auto"/>
            <w:noWrap/>
            <w:vAlign w:val="center"/>
          </w:tcPr>
          <w:p w14:paraId="0BB5ABDE" w14:textId="77777777" w:rsidR="00C34C5B" w:rsidRPr="004E74A6" w:rsidRDefault="00C34C5B" w:rsidP="00CE62C1">
            <w:pPr>
              <w:spacing w:line="276" w:lineRule="auto"/>
              <w:jc w:val="center"/>
              <w:rPr>
                <w:rFonts w:cs="Calibri"/>
                <w:color w:val="000000"/>
                <w:sz w:val="20"/>
                <w:lang w:eastAsia="es-CR"/>
              </w:rPr>
            </w:pPr>
          </w:p>
        </w:tc>
        <w:tc>
          <w:tcPr>
            <w:tcW w:w="1337" w:type="pct"/>
            <w:tcBorders>
              <w:top w:val="nil"/>
              <w:left w:val="single" w:sz="4" w:space="0" w:color="auto"/>
              <w:bottom w:val="nil"/>
              <w:right w:val="nil"/>
            </w:tcBorders>
          </w:tcPr>
          <w:p w14:paraId="201B2B77" w14:textId="77777777" w:rsidR="00C34C5B" w:rsidRPr="004E74A6" w:rsidRDefault="00C34C5B" w:rsidP="00CE62C1">
            <w:pPr>
              <w:spacing w:line="276" w:lineRule="auto"/>
              <w:jc w:val="center"/>
              <w:rPr>
                <w:rFonts w:cs="Calibri"/>
                <w:color w:val="000000"/>
                <w:sz w:val="20"/>
                <w:lang w:eastAsia="es-CR"/>
              </w:rPr>
            </w:pPr>
          </w:p>
        </w:tc>
      </w:tr>
      <w:tr w:rsidR="00357FBD" w:rsidRPr="004E74A6" w14:paraId="2CFE9B57" w14:textId="7245DF88" w:rsidTr="00832773">
        <w:trPr>
          <w:trHeight w:val="288"/>
          <w:jc w:val="center"/>
        </w:trPr>
        <w:tc>
          <w:tcPr>
            <w:tcW w:w="1589" w:type="pct"/>
            <w:tcBorders>
              <w:top w:val="nil"/>
              <w:left w:val="nil"/>
              <w:bottom w:val="nil"/>
              <w:right w:val="single" w:sz="4" w:space="0" w:color="auto"/>
            </w:tcBorders>
            <w:shd w:val="clear" w:color="auto" w:fill="C5E0B3" w:themeFill="accent6" w:themeFillTint="66"/>
            <w:noWrap/>
            <w:vAlign w:val="bottom"/>
            <w:hideMark/>
          </w:tcPr>
          <w:p w14:paraId="364E3794" w14:textId="77777777" w:rsidR="00C34C5B" w:rsidRPr="004E74A6" w:rsidRDefault="00C34C5B" w:rsidP="00CE62C1">
            <w:pPr>
              <w:spacing w:line="276" w:lineRule="auto"/>
              <w:jc w:val="left"/>
              <w:rPr>
                <w:rFonts w:cs="Calibri"/>
                <w:color w:val="000000"/>
                <w:sz w:val="20"/>
                <w:lang w:eastAsia="es-CR"/>
              </w:rPr>
            </w:pPr>
            <w:r w:rsidRPr="004E74A6">
              <w:rPr>
                <w:rFonts w:cs="Calibri"/>
                <w:color w:val="000000"/>
                <w:sz w:val="20"/>
                <w:lang w:eastAsia="es-CR"/>
              </w:rPr>
              <w:t>Menos De ¢3.000.001</w:t>
            </w:r>
          </w:p>
        </w:tc>
        <w:tc>
          <w:tcPr>
            <w:tcW w:w="481" w:type="pct"/>
            <w:tcBorders>
              <w:top w:val="nil"/>
              <w:left w:val="single" w:sz="4" w:space="0" w:color="auto"/>
              <w:bottom w:val="nil"/>
              <w:right w:val="single" w:sz="4" w:space="0" w:color="auto"/>
            </w:tcBorders>
            <w:shd w:val="clear" w:color="auto" w:fill="C5E0B3" w:themeFill="accent6" w:themeFillTint="66"/>
            <w:noWrap/>
            <w:vAlign w:val="bottom"/>
            <w:hideMark/>
          </w:tcPr>
          <w:p w14:paraId="71B6FB55" w14:textId="155300A6" w:rsidR="00C34C5B" w:rsidRPr="004E74A6" w:rsidRDefault="00C34C5B" w:rsidP="00CE62C1">
            <w:pPr>
              <w:spacing w:line="276" w:lineRule="auto"/>
              <w:jc w:val="center"/>
              <w:rPr>
                <w:rFonts w:cs="Calibri"/>
                <w:color w:val="000000"/>
                <w:sz w:val="20"/>
                <w:lang w:eastAsia="es-CR"/>
              </w:rPr>
            </w:pPr>
            <w:r w:rsidRPr="004E74A6">
              <w:rPr>
                <w:rFonts w:cs="Calibri"/>
                <w:color w:val="000000"/>
                <w:sz w:val="20"/>
              </w:rPr>
              <w:t>2</w:t>
            </w:r>
          </w:p>
        </w:tc>
        <w:tc>
          <w:tcPr>
            <w:tcW w:w="478" w:type="pct"/>
            <w:tcBorders>
              <w:top w:val="nil"/>
              <w:left w:val="single" w:sz="4" w:space="0" w:color="auto"/>
              <w:bottom w:val="nil"/>
              <w:right w:val="single" w:sz="4" w:space="0" w:color="auto"/>
            </w:tcBorders>
            <w:shd w:val="clear" w:color="auto" w:fill="C5E0B3" w:themeFill="accent6" w:themeFillTint="66"/>
            <w:noWrap/>
            <w:vAlign w:val="bottom"/>
            <w:hideMark/>
          </w:tcPr>
          <w:p w14:paraId="13D4F287" w14:textId="2C4C9DF9" w:rsidR="00C34C5B" w:rsidRPr="004E74A6" w:rsidRDefault="00C34C5B" w:rsidP="00CE62C1">
            <w:pPr>
              <w:spacing w:line="276" w:lineRule="auto"/>
              <w:jc w:val="center"/>
              <w:rPr>
                <w:rFonts w:cs="Calibri"/>
                <w:color w:val="000000"/>
                <w:sz w:val="20"/>
                <w:lang w:eastAsia="es-CR"/>
              </w:rPr>
            </w:pPr>
            <w:r w:rsidRPr="004E74A6">
              <w:rPr>
                <w:rFonts w:cs="Calibri"/>
                <w:color w:val="000000"/>
                <w:sz w:val="20"/>
              </w:rPr>
              <w:t>0</w:t>
            </w:r>
          </w:p>
        </w:tc>
        <w:tc>
          <w:tcPr>
            <w:tcW w:w="478" w:type="pct"/>
            <w:tcBorders>
              <w:top w:val="nil"/>
              <w:left w:val="single" w:sz="4" w:space="0" w:color="auto"/>
              <w:bottom w:val="nil"/>
              <w:right w:val="single" w:sz="4" w:space="0" w:color="auto"/>
            </w:tcBorders>
            <w:shd w:val="clear" w:color="auto" w:fill="C5E0B3" w:themeFill="accent6" w:themeFillTint="66"/>
            <w:noWrap/>
            <w:vAlign w:val="bottom"/>
            <w:hideMark/>
          </w:tcPr>
          <w:p w14:paraId="6B68E840" w14:textId="66AF7E09" w:rsidR="00C34C5B" w:rsidRPr="004E74A6" w:rsidRDefault="00C34C5B" w:rsidP="00CE62C1">
            <w:pPr>
              <w:spacing w:line="276" w:lineRule="auto"/>
              <w:jc w:val="center"/>
              <w:rPr>
                <w:rFonts w:cs="Calibri"/>
                <w:color w:val="000000"/>
                <w:sz w:val="20"/>
                <w:lang w:eastAsia="es-CR"/>
              </w:rPr>
            </w:pPr>
            <w:r w:rsidRPr="004E74A6">
              <w:rPr>
                <w:rFonts w:cs="Calibri"/>
                <w:color w:val="000000"/>
                <w:sz w:val="20"/>
              </w:rPr>
              <w:t>1</w:t>
            </w:r>
          </w:p>
        </w:tc>
        <w:tc>
          <w:tcPr>
            <w:tcW w:w="637" w:type="pct"/>
            <w:tcBorders>
              <w:top w:val="nil"/>
              <w:left w:val="single" w:sz="4" w:space="0" w:color="auto"/>
              <w:bottom w:val="nil"/>
              <w:right w:val="nil"/>
            </w:tcBorders>
            <w:shd w:val="clear" w:color="auto" w:fill="C5E0B3" w:themeFill="accent6" w:themeFillTint="66"/>
            <w:noWrap/>
            <w:vAlign w:val="bottom"/>
            <w:hideMark/>
          </w:tcPr>
          <w:p w14:paraId="32A2DCD5" w14:textId="3CC0D72A" w:rsidR="00C34C5B" w:rsidRPr="004E74A6" w:rsidRDefault="00C34C5B" w:rsidP="00CE62C1">
            <w:pPr>
              <w:spacing w:line="276" w:lineRule="auto"/>
              <w:jc w:val="center"/>
              <w:rPr>
                <w:rFonts w:cs="Calibri"/>
                <w:color w:val="000000"/>
                <w:sz w:val="20"/>
                <w:lang w:eastAsia="es-CR"/>
              </w:rPr>
            </w:pPr>
            <w:r w:rsidRPr="004E74A6">
              <w:rPr>
                <w:rFonts w:cs="Calibri"/>
                <w:color w:val="000000"/>
                <w:sz w:val="20"/>
              </w:rPr>
              <w:t>1,0</w:t>
            </w:r>
          </w:p>
        </w:tc>
        <w:tc>
          <w:tcPr>
            <w:tcW w:w="1337" w:type="pct"/>
            <w:tcBorders>
              <w:top w:val="nil"/>
              <w:left w:val="single" w:sz="4" w:space="0" w:color="auto"/>
              <w:bottom w:val="nil"/>
              <w:right w:val="nil"/>
            </w:tcBorders>
            <w:shd w:val="clear" w:color="auto" w:fill="C5E0B3" w:themeFill="accent6" w:themeFillTint="66"/>
            <w:vAlign w:val="bottom"/>
          </w:tcPr>
          <w:p w14:paraId="7D9D6222" w14:textId="7C6DA721" w:rsidR="00C34C5B" w:rsidRPr="004E74A6" w:rsidRDefault="00C34C5B" w:rsidP="00CE62C1">
            <w:pPr>
              <w:spacing w:line="276" w:lineRule="auto"/>
              <w:jc w:val="center"/>
              <w:rPr>
                <w:rFonts w:cs="Calibri"/>
                <w:color w:val="000000"/>
                <w:sz w:val="20"/>
              </w:rPr>
            </w:pPr>
            <w:r w:rsidRPr="004E74A6">
              <w:rPr>
                <w:rFonts w:cs="Calibri"/>
                <w:color w:val="000000"/>
                <w:sz w:val="20"/>
              </w:rPr>
              <w:t>1%</w:t>
            </w:r>
          </w:p>
        </w:tc>
      </w:tr>
      <w:tr w:rsidR="00357FBD" w:rsidRPr="004E74A6" w14:paraId="4F1CA99D" w14:textId="6D276F9B" w:rsidTr="00832773">
        <w:trPr>
          <w:trHeight w:val="288"/>
          <w:jc w:val="center"/>
        </w:trPr>
        <w:tc>
          <w:tcPr>
            <w:tcW w:w="1589" w:type="pct"/>
            <w:tcBorders>
              <w:top w:val="nil"/>
              <w:left w:val="nil"/>
              <w:bottom w:val="nil"/>
              <w:right w:val="single" w:sz="4" w:space="0" w:color="auto"/>
            </w:tcBorders>
            <w:shd w:val="clear" w:color="auto" w:fill="C5E0B3" w:themeFill="accent6" w:themeFillTint="66"/>
            <w:noWrap/>
            <w:vAlign w:val="bottom"/>
            <w:hideMark/>
          </w:tcPr>
          <w:p w14:paraId="3E9A28C7" w14:textId="77777777" w:rsidR="00C34C5B" w:rsidRPr="004E74A6" w:rsidRDefault="00C34C5B" w:rsidP="00CE62C1">
            <w:pPr>
              <w:spacing w:line="276" w:lineRule="auto"/>
              <w:jc w:val="left"/>
              <w:rPr>
                <w:rFonts w:cs="Calibri"/>
                <w:color w:val="000000"/>
                <w:sz w:val="20"/>
                <w:lang w:eastAsia="es-CR"/>
              </w:rPr>
            </w:pPr>
            <w:r w:rsidRPr="004E74A6">
              <w:rPr>
                <w:rFonts w:cs="Calibri"/>
                <w:color w:val="000000"/>
                <w:sz w:val="20"/>
                <w:lang w:eastAsia="es-CR"/>
              </w:rPr>
              <w:t>De ¢3.000.001 A ¢4.000.000</w:t>
            </w:r>
          </w:p>
        </w:tc>
        <w:tc>
          <w:tcPr>
            <w:tcW w:w="481" w:type="pct"/>
            <w:tcBorders>
              <w:top w:val="nil"/>
              <w:left w:val="single" w:sz="4" w:space="0" w:color="auto"/>
              <w:bottom w:val="nil"/>
              <w:right w:val="single" w:sz="4" w:space="0" w:color="auto"/>
            </w:tcBorders>
            <w:shd w:val="clear" w:color="auto" w:fill="C5E0B3" w:themeFill="accent6" w:themeFillTint="66"/>
            <w:noWrap/>
            <w:vAlign w:val="bottom"/>
            <w:hideMark/>
          </w:tcPr>
          <w:p w14:paraId="3B1B41C5" w14:textId="4150EBA7" w:rsidR="00C34C5B" w:rsidRPr="004E74A6" w:rsidRDefault="00C34C5B" w:rsidP="00CE62C1">
            <w:pPr>
              <w:spacing w:line="276" w:lineRule="auto"/>
              <w:jc w:val="center"/>
              <w:rPr>
                <w:rFonts w:cs="Calibri"/>
                <w:color w:val="000000"/>
                <w:sz w:val="20"/>
                <w:lang w:eastAsia="es-CR"/>
              </w:rPr>
            </w:pPr>
            <w:r w:rsidRPr="004E74A6">
              <w:rPr>
                <w:rFonts w:cs="Calibri"/>
                <w:color w:val="000000"/>
                <w:sz w:val="20"/>
              </w:rPr>
              <w:t>1</w:t>
            </w:r>
          </w:p>
        </w:tc>
        <w:tc>
          <w:tcPr>
            <w:tcW w:w="478" w:type="pct"/>
            <w:tcBorders>
              <w:top w:val="nil"/>
              <w:left w:val="single" w:sz="4" w:space="0" w:color="auto"/>
              <w:bottom w:val="nil"/>
              <w:right w:val="single" w:sz="4" w:space="0" w:color="auto"/>
            </w:tcBorders>
            <w:shd w:val="clear" w:color="auto" w:fill="C5E0B3" w:themeFill="accent6" w:themeFillTint="66"/>
            <w:noWrap/>
            <w:vAlign w:val="bottom"/>
            <w:hideMark/>
          </w:tcPr>
          <w:p w14:paraId="1FB6F67D" w14:textId="7412D9E9" w:rsidR="00C34C5B" w:rsidRPr="004E74A6" w:rsidRDefault="00C34C5B" w:rsidP="00CE62C1">
            <w:pPr>
              <w:spacing w:line="276" w:lineRule="auto"/>
              <w:jc w:val="center"/>
              <w:rPr>
                <w:rFonts w:cs="Calibri"/>
                <w:color w:val="000000"/>
                <w:sz w:val="20"/>
                <w:lang w:eastAsia="es-CR"/>
              </w:rPr>
            </w:pPr>
            <w:r w:rsidRPr="004E74A6">
              <w:rPr>
                <w:rFonts w:cs="Calibri"/>
                <w:color w:val="000000"/>
                <w:sz w:val="20"/>
              </w:rPr>
              <w:t>2</w:t>
            </w:r>
          </w:p>
        </w:tc>
        <w:tc>
          <w:tcPr>
            <w:tcW w:w="478" w:type="pct"/>
            <w:tcBorders>
              <w:top w:val="nil"/>
              <w:left w:val="single" w:sz="4" w:space="0" w:color="auto"/>
              <w:bottom w:val="nil"/>
              <w:right w:val="single" w:sz="4" w:space="0" w:color="auto"/>
            </w:tcBorders>
            <w:shd w:val="clear" w:color="auto" w:fill="C5E0B3" w:themeFill="accent6" w:themeFillTint="66"/>
            <w:noWrap/>
            <w:vAlign w:val="bottom"/>
            <w:hideMark/>
          </w:tcPr>
          <w:p w14:paraId="491ADDAB" w14:textId="0AC04BB0" w:rsidR="00C34C5B" w:rsidRPr="004E74A6" w:rsidRDefault="00C34C5B" w:rsidP="00CE62C1">
            <w:pPr>
              <w:spacing w:line="276" w:lineRule="auto"/>
              <w:jc w:val="center"/>
              <w:rPr>
                <w:rFonts w:cs="Calibri"/>
                <w:color w:val="000000"/>
                <w:sz w:val="20"/>
                <w:lang w:eastAsia="es-CR"/>
              </w:rPr>
            </w:pPr>
            <w:r w:rsidRPr="004E74A6">
              <w:rPr>
                <w:rFonts w:cs="Calibri"/>
                <w:color w:val="000000"/>
                <w:sz w:val="20"/>
              </w:rPr>
              <w:t>4</w:t>
            </w:r>
          </w:p>
        </w:tc>
        <w:tc>
          <w:tcPr>
            <w:tcW w:w="637" w:type="pct"/>
            <w:tcBorders>
              <w:top w:val="nil"/>
              <w:left w:val="single" w:sz="4" w:space="0" w:color="auto"/>
              <w:bottom w:val="nil"/>
              <w:right w:val="nil"/>
            </w:tcBorders>
            <w:shd w:val="clear" w:color="auto" w:fill="C5E0B3" w:themeFill="accent6" w:themeFillTint="66"/>
            <w:noWrap/>
            <w:vAlign w:val="bottom"/>
            <w:hideMark/>
          </w:tcPr>
          <w:p w14:paraId="26B6D52B" w14:textId="23AE1058" w:rsidR="00C34C5B" w:rsidRPr="004E74A6" w:rsidRDefault="00C34C5B" w:rsidP="00CE62C1">
            <w:pPr>
              <w:spacing w:line="276" w:lineRule="auto"/>
              <w:jc w:val="center"/>
              <w:rPr>
                <w:rFonts w:cs="Calibri"/>
                <w:color w:val="000000"/>
                <w:sz w:val="20"/>
                <w:lang w:eastAsia="es-CR"/>
              </w:rPr>
            </w:pPr>
            <w:r w:rsidRPr="004E74A6">
              <w:rPr>
                <w:rFonts w:cs="Calibri"/>
                <w:color w:val="000000"/>
                <w:sz w:val="20"/>
              </w:rPr>
              <w:t>2,3</w:t>
            </w:r>
          </w:p>
        </w:tc>
        <w:tc>
          <w:tcPr>
            <w:tcW w:w="1337" w:type="pct"/>
            <w:tcBorders>
              <w:top w:val="nil"/>
              <w:left w:val="single" w:sz="4" w:space="0" w:color="auto"/>
              <w:bottom w:val="nil"/>
              <w:right w:val="nil"/>
            </w:tcBorders>
            <w:shd w:val="clear" w:color="auto" w:fill="C5E0B3" w:themeFill="accent6" w:themeFillTint="66"/>
            <w:vAlign w:val="bottom"/>
          </w:tcPr>
          <w:p w14:paraId="1CF17D2E" w14:textId="15B184C4" w:rsidR="00C34C5B" w:rsidRPr="004E74A6" w:rsidRDefault="00C34C5B" w:rsidP="00CE62C1">
            <w:pPr>
              <w:spacing w:line="276" w:lineRule="auto"/>
              <w:jc w:val="center"/>
              <w:rPr>
                <w:rFonts w:cs="Calibri"/>
                <w:color w:val="000000"/>
                <w:sz w:val="20"/>
              </w:rPr>
            </w:pPr>
            <w:r w:rsidRPr="004E74A6">
              <w:rPr>
                <w:rFonts w:cs="Calibri"/>
                <w:color w:val="000000"/>
                <w:sz w:val="20"/>
              </w:rPr>
              <w:t>4%</w:t>
            </w:r>
          </w:p>
        </w:tc>
      </w:tr>
      <w:tr w:rsidR="00357FBD" w:rsidRPr="004E74A6" w14:paraId="0DFC19C6" w14:textId="03B674DA" w:rsidTr="00832773">
        <w:trPr>
          <w:trHeight w:val="288"/>
          <w:jc w:val="center"/>
        </w:trPr>
        <w:tc>
          <w:tcPr>
            <w:tcW w:w="1589" w:type="pct"/>
            <w:tcBorders>
              <w:top w:val="nil"/>
              <w:left w:val="nil"/>
              <w:bottom w:val="nil"/>
              <w:right w:val="single" w:sz="4" w:space="0" w:color="auto"/>
            </w:tcBorders>
            <w:shd w:val="clear" w:color="auto" w:fill="C5E0B3" w:themeFill="accent6" w:themeFillTint="66"/>
            <w:noWrap/>
            <w:vAlign w:val="bottom"/>
            <w:hideMark/>
          </w:tcPr>
          <w:p w14:paraId="19A3C175" w14:textId="77777777" w:rsidR="00C34C5B" w:rsidRPr="00832773" w:rsidRDefault="00C34C5B" w:rsidP="00CE62C1">
            <w:pPr>
              <w:spacing w:line="276" w:lineRule="auto"/>
              <w:jc w:val="left"/>
              <w:rPr>
                <w:rFonts w:cs="Calibri"/>
                <w:b/>
                <w:bCs/>
                <w:color w:val="000000"/>
                <w:sz w:val="20"/>
                <w:lang w:eastAsia="es-CR"/>
              </w:rPr>
            </w:pPr>
            <w:r w:rsidRPr="00832773">
              <w:rPr>
                <w:rFonts w:cs="Calibri"/>
                <w:b/>
                <w:bCs/>
                <w:color w:val="000000"/>
                <w:sz w:val="20"/>
                <w:lang w:eastAsia="es-CR"/>
              </w:rPr>
              <w:t>De ¢4.000.001 A ¢5.000.000</w:t>
            </w:r>
          </w:p>
        </w:tc>
        <w:tc>
          <w:tcPr>
            <w:tcW w:w="481" w:type="pct"/>
            <w:tcBorders>
              <w:top w:val="nil"/>
              <w:left w:val="single" w:sz="4" w:space="0" w:color="auto"/>
              <w:bottom w:val="nil"/>
              <w:right w:val="single" w:sz="4" w:space="0" w:color="auto"/>
            </w:tcBorders>
            <w:shd w:val="clear" w:color="auto" w:fill="C5E0B3" w:themeFill="accent6" w:themeFillTint="66"/>
            <w:noWrap/>
            <w:vAlign w:val="bottom"/>
            <w:hideMark/>
          </w:tcPr>
          <w:p w14:paraId="3A415BAE" w14:textId="43892D5E" w:rsidR="00C34C5B" w:rsidRPr="00832773" w:rsidRDefault="00C34C5B" w:rsidP="00CE62C1">
            <w:pPr>
              <w:spacing w:line="276" w:lineRule="auto"/>
              <w:jc w:val="center"/>
              <w:rPr>
                <w:rFonts w:cs="Calibri"/>
                <w:b/>
                <w:bCs/>
                <w:color w:val="000000"/>
                <w:sz w:val="20"/>
                <w:lang w:eastAsia="es-CR"/>
              </w:rPr>
            </w:pPr>
            <w:r w:rsidRPr="00832773">
              <w:rPr>
                <w:rFonts w:cs="Calibri"/>
                <w:b/>
                <w:bCs/>
                <w:color w:val="000000"/>
                <w:sz w:val="20"/>
              </w:rPr>
              <w:t>2</w:t>
            </w:r>
          </w:p>
        </w:tc>
        <w:tc>
          <w:tcPr>
            <w:tcW w:w="478" w:type="pct"/>
            <w:tcBorders>
              <w:top w:val="nil"/>
              <w:left w:val="single" w:sz="4" w:space="0" w:color="auto"/>
              <w:bottom w:val="nil"/>
              <w:right w:val="single" w:sz="4" w:space="0" w:color="auto"/>
            </w:tcBorders>
            <w:shd w:val="clear" w:color="auto" w:fill="C5E0B3" w:themeFill="accent6" w:themeFillTint="66"/>
            <w:noWrap/>
            <w:vAlign w:val="bottom"/>
            <w:hideMark/>
          </w:tcPr>
          <w:p w14:paraId="7866E232" w14:textId="524C1020" w:rsidR="00C34C5B" w:rsidRPr="00832773" w:rsidRDefault="00C34C5B" w:rsidP="00CE62C1">
            <w:pPr>
              <w:spacing w:line="276" w:lineRule="auto"/>
              <w:jc w:val="center"/>
              <w:rPr>
                <w:rFonts w:cs="Calibri"/>
                <w:b/>
                <w:bCs/>
                <w:color w:val="000000"/>
                <w:sz w:val="20"/>
                <w:lang w:eastAsia="es-CR"/>
              </w:rPr>
            </w:pPr>
            <w:r w:rsidRPr="00832773">
              <w:rPr>
                <w:rFonts w:cs="Calibri"/>
                <w:b/>
                <w:bCs/>
                <w:color w:val="000000"/>
                <w:sz w:val="20"/>
              </w:rPr>
              <w:t>9</w:t>
            </w:r>
          </w:p>
        </w:tc>
        <w:tc>
          <w:tcPr>
            <w:tcW w:w="478" w:type="pct"/>
            <w:tcBorders>
              <w:top w:val="nil"/>
              <w:left w:val="single" w:sz="4" w:space="0" w:color="auto"/>
              <w:bottom w:val="nil"/>
              <w:right w:val="single" w:sz="4" w:space="0" w:color="auto"/>
            </w:tcBorders>
            <w:shd w:val="clear" w:color="auto" w:fill="C5E0B3" w:themeFill="accent6" w:themeFillTint="66"/>
            <w:noWrap/>
            <w:vAlign w:val="bottom"/>
            <w:hideMark/>
          </w:tcPr>
          <w:p w14:paraId="1E009D04" w14:textId="46E6F856" w:rsidR="00C34C5B" w:rsidRPr="00832773" w:rsidRDefault="00C34C5B" w:rsidP="00CE62C1">
            <w:pPr>
              <w:spacing w:line="276" w:lineRule="auto"/>
              <w:jc w:val="center"/>
              <w:rPr>
                <w:rFonts w:cs="Calibri"/>
                <w:b/>
                <w:bCs/>
                <w:color w:val="000000"/>
                <w:sz w:val="20"/>
                <w:lang w:eastAsia="es-CR"/>
              </w:rPr>
            </w:pPr>
            <w:r w:rsidRPr="00832773">
              <w:rPr>
                <w:rFonts w:cs="Calibri"/>
                <w:b/>
                <w:bCs/>
                <w:color w:val="000000"/>
                <w:sz w:val="20"/>
              </w:rPr>
              <w:t>11</w:t>
            </w:r>
          </w:p>
        </w:tc>
        <w:tc>
          <w:tcPr>
            <w:tcW w:w="637" w:type="pct"/>
            <w:tcBorders>
              <w:top w:val="nil"/>
              <w:left w:val="single" w:sz="4" w:space="0" w:color="auto"/>
              <w:bottom w:val="nil"/>
              <w:right w:val="nil"/>
            </w:tcBorders>
            <w:shd w:val="clear" w:color="auto" w:fill="C5E0B3" w:themeFill="accent6" w:themeFillTint="66"/>
            <w:noWrap/>
            <w:vAlign w:val="bottom"/>
            <w:hideMark/>
          </w:tcPr>
          <w:p w14:paraId="189457E1" w14:textId="7FCB4292" w:rsidR="00C34C5B" w:rsidRPr="00832773" w:rsidRDefault="00C34C5B" w:rsidP="00CE62C1">
            <w:pPr>
              <w:spacing w:line="276" w:lineRule="auto"/>
              <w:jc w:val="center"/>
              <w:rPr>
                <w:rFonts w:cs="Calibri"/>
                <w:b/>
                <w:bCs/>
                <w:color w:val="000000"/>
                <w:sz w:val="20"/>
                <w:lang w:eastAsia="es-CR"/>
              </w:rPr>
            </w:pPr>
            <w:r w:rsidRPr="00832773">
              <w:rPr>
                <w:rFonts w:cs="Calibri"/>
                <w:b/>
                <w:bCs/>
                <w:color w:val="000000"/>
                <w:sz w:val="20"/>
              </w:rPr>
              <w:t>7,3</w:t>
            </w:r>
          </w:p>
        </w:tc>
        <w:tc>
          <w:tcPr>
            <w:tcW w:w="1337" w:type="pct"/>
            <w:tcBorders>
              <w:top w:val="nil"/>
              <w:left w:val="single" w:sz="4" w:space="0" w:color="auto"/>
              <w:bottom w:val="nil"/>
              <w:right w:val="nil"/>
            </w:tcBorders>
            <w:shd w:val="clear" w:color="auto" w:fill="C5E0B3" w:themeFill="accent6" w:themeFillTint="66"/>
            <w:vAlign w:val="bottom"/>
          </w:tcPr>
          <w:p w14:paraId="09AD756A" w14:textId="563F1CB5" w:rsidR="00C34C5B" w:rsidRPr="00832773" w:rsidRDefault="00C34C5B" w:rsidP="00CE62C1">
            <w:pPr>
              <w:spacing w:line="276" w:lineRule="auto"/>
              <w:jc w:val="center"/>
              <w:rPr>
                <w:rFonts w:cs="Calibri"/>
                <w:b/>
                <w:bCs/>
                <w:color w:val="000000"/>
                <w:sz w:val="20"/>
              </w:rPr>
            </w:pPr>
            <w:r w:rsidRPr="00832773">
              <w:rPr>
                <w:rFonts w:cs="Calibri"/>
                <w:b/>
                <w:bCs/>
                <w:color w:val="000000"/>
                <w:sz w:val="20"/>
              </w:rPr>
              <w:t>13%</w:t>
            </w:r>
          </w:p>
        </w:tc>
      </w:tr>
      <w:tr w:rsidR="00357FBD" w:rsidRPr="004E74A6" w14:paraId="59373BEE" w14:textId="10A7B513" w:rsidTr="00832773">
        <w:trPr>
          <w:trHeight w:val="288"/>
          <w:jc w:val="center"/>
        </w:trPr>
        <w:tc>
          <w:tcPr>
            <w:tcW w:w="1589" w:type="pct"/>
            <w:tcBorders>
              <w:top w:val="nil"/>
              <w:left w:val="nil"/>
              <w:bottom w:val="nil"/>
              <w:right w:val="single" w:sz="4" w:space="0" w:color="auto"/>
            </w:tcBorders>
            <w:shd w:val="clear" w:color="auto" w:fill="C5E0B3" w:themeFill="accent6" w:themeFillTint="66"/>
            <w:noWrap/>
            <w:vAlign w:val="bottom"/>
            <w:hideMark/>
          </w:tcPr>
          <w:p w14:paraId="1B757BE7" w14:textId="77777777" w:rsidR="00C34C5B" w:rsidRPr="004E74A6" w:rsidRDefault="00C34C5B" w:rsidP="00CE62C1">
            <w:pPr>
              <w:spacing w:line="276" w:lineRule="auto"/>
              <w:jc w:val="left"/>
              <w:rPr>
                <w:rFonts w:cs="Calibri"/>
                <w:color w:val="000000"/>
                <w:sz w:val="20"/>
                <w:lang w:eastAsia="es-CR"/>
              </w:rPr>
            </w:pPr>
            <w:r w:rsidRPr="004E74A6">
              <w:rPr>
                <w:rFonts w:cs="Calibri"/>
                <w:color w:val="000000"/>
                <w:sz w:val="20"/>
                <w:lang w:eastAsia="es-CR"/>
              </w:rPr>
              <w:t>De ¢5.000.001 A ¢6.000.000</w:t>
            </w:r>
          </w:p>
        </w:tc>
        <w:tc>
          <w:tcPr>
            <w:tcW w:w="481" w:type="pct"/>
            <w:tcBorders>
              <w:top w:val="nil"/>
              <w:left w:val="single" w:sz="4" w:space="0" w:color="auto"/>
              <w:bottom w:val="nil"/>
              <w:right w:val="single" w:sz="4" w:space="0" w:color="auto"/>
            </w:tcBorders>
            <w:shd w:val="clear" w:color="auto" w:fill="C5E0B3" w:themeFill="accent6" w:themeFillTint="66"/>
            <w:noWrap/>
            <w:vAlign w:val="bottom"/>
            <w:hideMark/>
          </w:tcPr>
          <w:p w14:paraId="051EFE86" w14:textId="48226F26" w:rsidR="00C34C5B" w:rsidRPr="004E74A6" w:rsidRDefault="00C34C5B" w:rsidP="00CE62C1">
            <w:pPr>
              <w:spacing w:line="276" w:lineRule="auto"/>
              <w:jc w:val="center"/>
              <w:rPr>
                <w:rFonts w:cs="Calibri"/>
                <w:color w:val="000000"/>
                <w:sz w:val="20"/>
                <w:lang w:eastAsia="es-CR"/>
              </w:rPr>
            </w:pPr>
            <w:r w:rsidRPr="004E74A6">
              <w:rPr>
                <w:rFonts w:cs="Calibri"/>
                <w:color w:val="000000"/>
                <w:sz w:val="20"/>
              </w:rPr>
              <w:t>6</w:t>
            </w:r>
          </w:p>
        </w:tc>
        <w:tc>
          <w:tcPr>
            <w:tcW w:w="478" w:type="pct"/>
            <w:tcBorders>
              <w:top w:val="nil"/>
              <w:left w:val="single" w:sz="4" w:space="0" w:color="auto"/>
              <w:bottom w:val="nil"/>
              <w:right w:val="single" w:sz="4" w:space="0" w:color="auto"/>
            </w:tcBorders>
            <w:shd w:val="clear" w:color="auto" w:fill="C5E0B3" w:themeFill="accent6" w:themeFillTint="66"/>
            <w:noWrap/>
            <w:vAlign w:val="bottom"/>
            <w:hideMark/>
          </w:tcPr>
          <w:p w14:paraId="11171799" w14:textId="13C1F79F" w:rsidR="00C34C5B" w:rsidRPr="004E74A6" w:rsidRDefault="00C34C5B" w:rsidP="00CE62C1">
            <w:pPr>
              <w:spacing w:line="276" w:lineRule="auto"/>
              <w:jc w:val="center"/>
              <w:rPr>
                <w:rFonts w:cs="Calibri"/>
                <w:color w:val="000000"/>
                <w:sz w:val="20"/>
                <w:lang w:eastAsia="es-CR"/>
              </w:rPr>
            </w:pPr>
            <w:r w:rsidRPr="004E74A6">
              <w:rPr>
                <w:rFonts w:cs="Calibri"/>
                <w:color w:val="000000"/>
                <w:sz w:val="20"/>
              </w:rPr>
              <w:t>5</w:t>
            </w:r>
          </w:p>
        </w:tc>
        <w:tc>
          <w:tcPr>
            <w:tcW w:w="478" w:type="pct"/>
            <w:tcBorders>
              <w:top w:val="nil"/>
              <w:left w:val="single" w:sz="4" w:space="0" w:color="auto"/>
              <w:bottom w:val="nil"/>
              <w:right w:val="single" w:sz="4" w:space="0" w:color="auto"/>
            </w:tcBorders>
            <w:shd w:val="clear" w:color="auto" w:fill="C5E0B3" w:themeFill="accent6" w:themeFillTint="66"/>
            <w:noWrap/>
            <w:vAlign w:val="bottom"/>
            <w:hideMark/>
          </w:tcPr>
          <w:p w14:paraId="3DF115E9" w14:textId="13455187" w:rsidR="00C34C5B" w:rsidRPr="004E74A6" w:rsidRDefault="00C34C5B" w:rsidP="00CE62C1">
            <w:pPr>
              <w:spacing w:line="276" w:lineRule="auto"/>
              <w:jc w:val="center"/>
              <w:rPr>
                <w:rFonts w:cs="Calibri"/>
                <w:color w:val="000000"/>
                <w:sz w:val="20"/>
                <w:lang w:eastAsia="es-CR"/>
              </w:rPr>
            </w:pPr>
            <w:r w:rsidRPr="004E74A6">
              <w:rPr>
                <w:rFonts w:cs="Calibri"/>
                <w:color w:val="000000"/>
                <w:sz w:val="20"/>
              </w:rPr>
              <w:t>0</w:t>
            </w:r>
          </w:p>
        </w:tc>
        <w:tc>
          <w:tcPr>
            <w:tcW w:w="637" w:type="pct"/>
            <w:tcBorders>
              <w:top w:val="nil"/>
              <w:left w:val="single" w:sz="4" w:space="0" w:color="auto"/>
              <w:bottom w:val="nil"/>
              <w:right w:val="nil"/>
            </w:tcBorders>
            <w:shd w:val="clear" w:color="auto" w:fill="C5E0B3" w:themeFill="accent6" w:themeFillTint="66"/>
            <w:noWrap/>
            <w:vAlign w:val="bottom"/>
            <w:hideMark/>
          </w:tcPr>
          <w:p w14:paraId="64E25080" w14:textId="15BBF977" w:rsidR="00C34C5B" w:rsidRPr="004E74A6" w:rsidRDefault="00C34C5B" w:rsidP="00CE62C1">
            <w:pPr>
              <w:spacing w:line="276" w:lineRule="auto"/>
              <w:jc w:val="center"/>
              <w:rPr>
                <w:rFonts w:cs="Calibri"/>
                <w:color w:val="000000"/>
                <w:sz w:val="20"/>
                <w:lang w:eastAsia="es-CR"/>
              </w:rPr>
            </w:pPr>
            <w:r w:rsidRPr="004E74A6">
              <w:rPr>
                <w:rFonts w:cs="Calibri"/>
                <w:color w:val="000000"/>
                <w:sz w:val="20"/>
              </w:rPr>
              <w:t>3,7</w:t>
            </w:r>
          </w:p>
        </w:tc>
        <w:tc>
          <w:tcPr>
            <w:tcW w:w="1337" w:type="pct"/>
            <w:tcBorders>
              <w:top w:val="nil"/>
              <w:left w:val="single" w:sz="4" w:space="0" w:color="auto"/>
              <w:bottom w:val="nil"/>
              <w:right w:val="nil"/>
            </w:tcBorders>
            <w:shd w:val="clear" w:color="auto" w:fill="C5E0B3" w:themeFill="accent6" w:themeFillTint="66"/>
            <w:vAlign w:val="bottom"/>
          </w:tcPr>
          <w:p w14:paraId="0CDA48D0" w14:textId="4E3D2CDC" w:rsidR="00C34C5B" w:rsidRPr="004E74A6" w:rsidRDefault="00C34C5B" w:rsidP="00CE62C1">
            <w:pPr>
              <w:spacing w:line="276" w:lineRule="auto"/>
              <w:jc w:val="center"/>
              <w:rPr>
                <w:rFonts w:cs="Calibri"/>
                <w:color w:val="000000"/>
                <w:sz w:val="20"/>
              </w:rPr>
            </w:pPr>
            <w:r w:rsidRPr="004E74A6">
              <w:rPr>
                <w:rFonts w:cs="Calibri"/>
                <w:color w:val="000000"/>
                <w:sz w:val="20"/>
              </w:rPr>
              <w:t>18%</w:t>
            </w:r>
          </w:p>
        </w:tc>
      </w:tr>
      <w:tr w:rsidR="00357FBD" w:rsidRPr="004E74A6" w14:paraId="7EAEA21B" w14:textId="2CA86A21" w:rsidTr="00832773">
        <w:trPr>
          <w:trHeight w:val="288"/>
          <w:jc w:val="center"/>
        </w:trPr>
        <w:tc>
          <w:tcPr>
            <w:tcW w:w="1589" w:type="pct"/>
            <w:tcBorders>
              <w:top w:val="nil"/>
              <w:left w:val="nil"/>
              <w:bottom w:val="nil"/>
              <w:right w:val="single" w:sz="4" w:space="0" w:color="auto"/>
            </w:tcBorders>
            <w:shd w:val="clear" w:color="auto" w:fill="C5E0B3" w:themeFill="accent6" w:themeFillTint="66"/>
            <w:noWrap/>
            <w:vAlign w:val="bottom"/>
            <w:hideMark/>
          </w:tcPr>
          <w:p w14:paraId="3702F5D9" w14:textId="77777777" w:rsidR="00C34C5B" w:rsidRPr="004E74A6" w:rsidRDefault="00C34C5B" w:rsidP="00CE62C1">
            <w:pPr>
              <w:spacing w:line="276" w:lineRule="auto"/>
              <w:jc w:val="left"/>
              <w:rPr>
                <w:rFonts w:cs="Calibri"/>
                <w:color w:val="000000"/>
                <w:sz w:val="20"/>
                <w:lang w:eastAsia="es-CR"/>
              </w:rPr>
            </w:pPr>
            <w:r w:rsidRPr="004E74A6">
              <w:rPr>
                <w:rFonts w:cs="Calibri"/>
                <w:color w:val="000000"/>
                <w:sz w:val="20"/>
                <w:lang w:eastAsia="es-CR"/>
              </w:rPr>
              <w:t>De ¢6.000.001 A ¢7.000.000</w:t>
            </w:r>
          </w:p>
        </w:tc>
        <w:tc>
          <w:tcPr>
            <w:tcW w:w="481" w:type="pct"/>
            <w:tcBorders>
              <w:top w:val="nil"/>
              <w:left w:val="single" w:sz="4" w:space="0" w:color="auto"/>
              <w:bottom w:val="nil"/>
              <w:right w:val="single" w:sz="4" w:space="0" w:color="auto"/>
            </w:tcBorders>
            <w:shd w:val="clear" w:color="auto" w:fill="C5E0B3" w:themeFill="accent6" w:themeFillTint="66"/>
            <w:noWrap/>
            <w:vAlign w:val="bottom"/>
            <w:hideMark/>
          </w:tcPr>
          <w:p w14:paraId="079E5E40" w14:textId="1FD18CC7" w:rsidR="00C34C5B" w:rsidRPr="004E74A6" w:rsidRDefault="00C34C5B" w:rsidP="00CE62C1">
            <w:pPr>
              <w:spacing w:line="276" w:lineRule="auto"/>
              <w:jc w:val="center"/>
              <w:rPr>
                <w:rFonts w:cs="Calibri"/>
                <w:color w:val="000000"/>
                <w:sz w:val="20"/>
                <w:lang w:eastAsia="es-CR"/>
              </w:rPr>
            </w:pPr>
            <w:r w:rsidRPr="004E74A6">
              <w:rPr>
                <w:rFonts w:cs="Calibri"/>
                <w:color w:val="000000"/>
                <w:sz w:val="20"/>
              </w:rPr>
              <w:t>3</w:t>
            </w:r>
          </w:p>
        </w:tc>
        <w:tc>
          <w:tcPr>
            <w:tcW w:w="478" w:type="pct"/>
            <w:tcBorders>
              <w:top w:val="nil"/>
              <w:left w:val="single" w:sz="4" w:space="0" w:color="auto"/>
              <w:bottom w:val="nil"/>
              <w:right w:val="single" w:sz="4" w:space="0" w:color="auto"/>
            </w:tcBorders>
            <w:shd w:val="clear" w:color="auto" w:fill="C5E0B3" w:themeFill="accent6" w:themeFillTint="66"/>
            <w:noWrap/>
            <w:vAlign w:val="bottom"/>
            <w:hideMark/>
          </w:tcPr>
          <w:p w14:paraId="61927D9D" w14:textId="6DA22FB6" w:rsidR="00C34C5B" w:rsidRPr="004E74A6" w:rsidRDefault="00C34C5B" w:rsidP="00CE62C1">
            <w:pPr>
              <w:spacing w:line="276" w:lineRule="auto"/>
              <w:jc w:val="center"/>
              <w:rPr>
                <w:rFonts w:cs="Calibri"/>
                <w:color w:val="000000"/>
                <w:sz w:val="20"/>
                <w:lang w:eastAsia="es-CR"/>
              </w:rPr>
            </w:pPr>
            <w:r w:rsidRPr="004E74A6">
              <w:rPr>
                <w:rFonts w:cs="Calibri"/>
                <w:color w:val="000000"/>
                <w:sz w:val="20"/>
              </w:rPr>
              <w:t>1</w:t>
            </w:r>
          </w:p>
        </w:tc>
        <w:tc>
          <w:tcPr>
            <w:tcW w:w="478" w:type="pct"/>
            <w:tcBorders>
              <w:top w:val="nil"/>
              <w:left w:val="single" w:sz="4" w:space="0" w:color="auto"/>
              <w:bottom w:val="nil"/>
              <w:right w:val="single" w:sz="4" w:space="0" w:color="auto"/>
            </w:tcBorders>
            <w:shd w:val="clear" w:color="auto" w:fill="C5E0B3" w:themeFill="accent6" w:themeFillTint="66"/>
            <w:noWrap/>
            <w:vAlign w:val="bottom"/>
            <w:hideMark/>
          </w:tcPr>
          <w:p w14:paraId="4BE9CAFF" w14:textId="50B9038B" w:rsidR="00C34C5B" w:rsidRPr="004E74A6" w:rsidRDefault="00C34C5B" w:rsidP="00CE62C1">
            <w:pPr>
              <w:spacing w:line="276" w:lineRule="auto"/>
              <w:jc w:val="center"/>
              <w:rPr>
                <w:rFonts w:cs="Calibri"/>
                <w:color w:val="000000"/>
                <w:sz w:val="20"/>
                <w:lang w:eastAsia="es-CR"/>
              </w:rPr>
            </w:pPr>
            <w:r w:rsidRPr="004E74A6">
              <w:rPr>
                <w:rFonts w:cs="Calibri"/>
                <w:color w:val="000000"/>
                <w:sz w:val="20"/>
              </w:rPr>
              <w:t>4</w:t>
            </w:r>
          </w:p>
        </w:tc>
        <w:tc>
          <w:tcPr>
            <w:tcW w:w="637" w:type="pct"/>
            <w:tcBorders>
              <w:top w:val="nil"/>
              <w:left w:val="single" w:sz="4" w:space="0" w:color="auto"/>
              <w:bottom w:val="nil"/>
              <w:right w:val="nil"/>
            </w:tcBorders>
            <w:shd w:val="clear" w:color="auto" w:fill="C5E0B3" w:themeFill="accent6" w:themeFillTint="66"/>
            <w:noWrap/>
            <w:vAlign w:val="bottom"/>
            <w:hideMark/>
          </w:tcPr>
          <w:p w14:paraId="631D861B" w14:textId="2E0E611D" w:rsidR="00C34C5B" w:rsidRPr="004E74A6" w:rsidRDefault="00C34C5B" w:rsidP="00CE62C1">
            <w:pPr>
              <w:spacing w:line="276" w:lineRule="auto"/>
              <w:jc w:val="center"/>
              <w:rPr>
                <w:rFonts w:cs="Calibri"/>
                <w:color w:val="000000"/>
                <w:sz w:val="20"/>
                <w:lang w:eastAsia="es-CR"/>
              </w:rPr>
            </w:pPr>
            <w:r w:rsidRPr="004E74A6">
              <w:rPr>
                <w:rFonts w:cs="Calibri"/>
                <w:color w:val="000000"/>
                <w:sz w:val="20"/>
              </w:rPr>
              <w:t>2,7</w:t>
            </w:r>
          </w:p>
        </w:tc>
        <w:tc>
          <w:tcPr>
            <w:tcW w:w="1337" w:type="pct"/>
            <w:tcBorders>
              <w:top w:val="nil"/>
              <w:left w:val="single" w:sz="4" w:space="0" w:color="auto"/>
              <w:bottom w:val="nil"/>
              <w:right w:val="nil"/>
            </w:tcBorders>
            <w:shd w:val="clear" w:color="auto" w:fill="C5E0B3" w:themeFill="accent6" w:themeFillTint="66"/>
            <w:vAlign w:val="bottom"/>
          </w:tcPr>
          <w:p w14:paraId="53FC3074" w14:textId="1BEEDD59" w:rsidR="00C34C5B" w:rsidRPr="004E74A6" w:rsidRDefault="00C34C5B" w:rsidP="00CE62C1">
            <w:pPr>
              <w:spacing w:line="276" w:lineRule="auto"/>
              <w:jc w:val="center"/>
              <w:rPr>
                <w:rFonts w:cs="Calibri"/>
                <w:color w:val="000000"/>
                <w:sz w:val="20"/>
              </w:rPr>
            </w:pPr>
            <w:r w:rsidRPr="004E74A6">
              <w:rPr>
                <w:rFonts w:cs="Calibri"/>
                <w:color w:val="000000"/>
                <w:sz w:val="20"/>
              </w:rPr>
              <w:t>21%</w:t>
            </w:r>
          </w:p>
        </w:tc>
      </w:tr>
      <w:tr w:rsidR="00357FBD" w:rsidRPr="004E74A6" w14:paraId="315A08A3" w14:textId="1FC99142" w:rsidTr="00832773">
        <w:trPr>
          <w:trHeight w:val="288"/>
          <w:jc w:val="center"/>
        </w:trPr>
        <w:tc>
          <w:tcPr>
            <w:tcW w:w="1589" w:type="pct"/>
            <w:tcBorders>
              <w:top w:val="nil"/>
              <w:left w:val="nil"/>
              <w:bottom w:val="nil"/>
              <w:right w:val="single" w:sz="4" w:space="0" w:color="auto"/>
            </w:tcBorders>
            <w:shd w:val="clear" w:color="auto" w:fill="C5E0B3" w:themeFill="accent6" w:themeFillTint="66"/>
            <w:noWrap/>
            <w:vAlign w:val="bottom"/>
            <w:hideMark/>
          </w:tcPr>
          <w:p w14:paraId="0C8DE005" w14:textId="77777777" w:rsidR="00C34C5B" w:rsidRPr="004E74A6" w:rsidRDefault="00C34C5B" w:rsidP="00CE62C1">
            <w:pPr>
              <w:spacing w:line="276" w:lineRule="auto"/>
              <w:jc w:val="left"/>
              <w:rPr>
                <w:rFonts w:cs="Calibri"/>
                <w:color w:val="000000"/>
                <w:sz w:val="20"/>
                <w:lang w:eastAsia="es-CR"/>
              </w:rPr>
            </w:pPr>
            <w:r w:rsidRPr="004E74A6">
              <w:rPr>
                <w:rFonts w:cs="Calibri"/>
                <w:color w:val="000000"/>
                <w:sz w:val="20"/>
                <w:lang w:eastAsia="es-CR"/>
              </w:rPr>
              <w:t>De ¢7.000.001 A ¢8.000.000</w:t>
            </w:r>
          </w:p>
        </w:tc>
        <w:tc>
          <w:tcPr>
            <w:tcW w:w="481" w:type="pct"/>
            <w:tcBorders>
              <w:top w:val="nil"/>
              <w:left w:val="single" w:sz="4" w:space="0" w:color="auto"/>
              <w:bottom w:val="nil"/>
              <w:right w:val="single" w:sz="4" w:space="0" w:color="auto"/>
            </w:tcBorders>
            <w:shd w:val="clear" w:color="auto" w:fill="C5E0B3" w:themeFill="accent6" w:themeFillTint="66"/>
            <w:noWrap/>
            <w:vAlign w:val="bottom"/>
            <w:hideMark/>
          </w:tcPr>
          <w:p w14:paraId="39D7DD2F" w14:textId="21B39E4F" w:rsidR="00C34C5B" w:rsidRPr="004E74A6" w:rsidRDefault="00C34C5B" w:rsidP="00CE62C1">
            <w:pPr>
              <w:spacing w:line="276" w:lineRule="auto"/>
              <w:jc w:val="center"/>
              <w:rPr>
                <w:rFonts w:cs="Calibri"/>
                <w:color w:val="000000"/>
                <w:sz w:val="20"/>
                <w:lang w:eastAsia="es-CR"/>
              </w:rPr>
            </w:pPr>
            <w:r w:rsidRPr="004E74A6">
              <w:rPr>
                <w:rFonts w:cs="Calibri"/>
                <w:color w:val="000000"/>
                <w:sz w:val="20"/>
              </w:rPr>
              <w:t>1</w:t>
            </w:r>
          </w:p>
        </w:tc>
        <w:tc>
          <w:tcPr>
            <w:tcW w:w="478" w:type="pct"/>
            <w:tcBorders>
              <w:top w:val="nil"/>
              <w:left w:val="single" w:sz="4" w:space="0" w:color="auto"/>
              <w:bottom w:val="nil"/>
              <w:right w:val="single" w:sz="4" w:space="0" w:color="auto"/>
            </w:tcBorders>
            <w:shd w:val="clear" w:color="auto" w:fill="C5E0B3" w:themeFill="accent6" w:themeFillTint="66"/>
            <w:noWrap/>
            <w:vAlign w:val="bottom"/>
            <w:hideMark/>
          </w:tcPr>
          <w:p w14:paraId="294D24D9" w14:textId="02CD12A5" w:rsidR="00C34C5B" w:rsidRPr="004E74A6" w:rsidRDefault="00C34C5B" w:rsidP="00CE62C1">
            <w:pPr>
              <w:spacing w:line="276" w:lineRule="auto"/>
              <w:jc w:val="center"/>
              <w:rPr>
                <w:rFonts w:cs="Calibri"/>
                <w:color w:val="000000"/>
                <w:sz w:val="20"/>
                <w:lang w:eastAsia="es-CR"/>
              </w:rPr>
            </w:pPr>
            <w:r w:rsidRPr="004E74A6">
              <w:rPr>
                <w:rFonts w:cs="Calibri"/>
                <w:color w:val="000000"/>
                <w:sz w:val="20"/>
              </w:rPr>
              <w:t>0</w:t>
            </w:r>
          </w:p>
        </w:tc>
        <w:tc>
          <w:tcPr>
            <w:tcW w:w="478" w:type="pct"/>
            <w:tcBorders>
              <w:top w:val="nil"/>
              <w:left w:val="single" w:sz="4" w:space="0" w:color="auto"/>
              <w:bottom w:val="nil"/>
              <w:right w:val="single" w:sz="4" w:space="0" w:color="auto"/>
            </w:tcBorders>
            <w:shd w:val="clear" w:color="auto" w:fill="C5E0B3" w:themeFill="accent6" w:themeFillTint="66"/>
            <w:noWrap/>
            <w:vAlign w:val="bottom"/>
            <w:hideMark/>
          </w:tcPr>
          <w:p w14:paraId="0F8B6B55" w14:textId="0F279EEB" w:rsidR="00C34C5B" w:rsidRPr="004E74A6" w:rsidRDefault="00C34C5B" w:rsidP="00CE62C1">
            <w:pPr>
              <w:spacing w:line="276" w:lineRule="auto"/>
              <w:jc w:val="center"/>
              <w:rPr>
                <w:rFonts w:cs="Calibri"/>
                <w:color w:val="000000"/>
                <w:sz w:val="20"/>
                <w:lang w:eastAsia="es-CR"/>
              </w:rPr>
            </w:pPr>
            <w:r w:rsidRPr="004E74A6">
              <w:rPr>
                <w:rFonts w:cs="Calibri"/>
                <w:color w:val="000000"/>
                <w:sz w:val="20"/>
              </w:rPr>
              <w:t>4</w:t>
            </w:r>
          </w:p>
        </w:tc>
        <w:tc>
          <w:tcPr>
            <w:tcW w:w="637" w:type="pct"/>
            <w:tcBorders>
              <w:top w:val="nil"/>
              <w:left w:val="single" w:sz="4" w:space="0" w:color="auto"/>
              <w:bottom w:val="nil"/>
              <w:right w:val="nil"/>
            </w:tcBorders>
            <w:shd w:val="clear" w:color="auto" w:fill="C5E0B3" w:themeFill="accent6" w:themeFillTint="66"/>
            <w:noWrap/>
            <w:vAlign w:val="bottom"/>
            <w:hideMark/>
          </w:tcPr>
          <w:p w14:paraId="72A14ED4" w14:textId="1EDBF479" w:rsidR="00C34C5B" w:rsidRPr="004E74A6" w:rsidRDefault="00C34C5B" w:rsidP="00CE62C1">
            <w:pPr>
              <w:spacing w:line="276" w:lineRule="auto"/>
              <w:jc w:val="center"/>
              <w:rPr>
                <w:rFonts w:cs="Calibri"/>
                <w:color w:val="000000"/>
                <w:sz w:val="20"/>
                <w:lang w:eastAsia="es-CR"/>
              </w:rPr>
            </w:pPr>
            <w:r w:rsidRPr="004E74A6">
              <w:rPr>
                <w:rFonts w:cs="Calibri"/>
                <w:color w:val="000000"/>
                <w:sz w:val="20"/>
              </w:rPr>
              <w:t>1,7</w:t>
            </w:r>
          </w:p>
        </w:tc>
        <w:tc>
          <w:tcPr>
            <w:tcW w:w="1337" w:type="pct"/>
            <w:tcBorders>
              <w:top w:val="nil"/>
              <w:left w:val="single" w:sz="4" w:space="0" w:color="auto"/>
              <w:bottom w:val="nil"/>
              <w:right w:val="nil"/>
            </w:tcBorders>
            <w:shd w:val="clear" w:color="auto" w:fill="C5E0B3" w:themeFill="accent6" w:themeFillTint="66"/>
            <w:vAlign w:val="bottom"/>
          </w:tcPr>
          <w:p w14:paraId="12D65C22" w14:textId="35AE689D" w:rsidR="00C34C5B" w:rsidRPr="004E74A6" w:rsidRDefault="00C34C5B" w:rsidP="00CE62C1">
            <w:pPr>
              <w:spacing w:line="276" w:lineRule="auto"/>
              <w:jc w:val="center"/>
              <w:rPr>
                <w:rFonts w:cs="Calibri"/>
                <w:color w:val="000000"/>
                <w:sz w:val="20"/>
              </w:rPr>
            </w:pPr>
            <w:r w:rsidRPr="004E74A6">
              <w:rPr>
                <w:rFonts w:cs="Calibri"/>
                <w:color w:val="000000"/>
                <w:sz w:val="20"/>
              </w:rPr>
              <w:t>23%</w:t>
            </w:r>
          </w:p>
        </w:tc>
      </w:tr>
      <w:tr w:rsidR="00357FBD" w:rsidRPr="004E74A6" w14:paraId="04214D52" w14:textId="07A631F2" w:rsidTr="00832773">
        <w:trPr>
          <w:trHeight w:val="288"/>
          <w:jc w:val="center"/>
        </w:trPr>
        <w:tc>
          <w:tcPr>
            <w:tcW w:w="1589" w:type="pct"/>
            <w:tcBorders>
              <w:top w:val="nil"/>
              <w:left w:val="nil"/>
              <w:bottom w:val="nil"/>
              <w:right w:val="single" w:sz="4" w:space="0" w:color="auto"/>
            </w:tcBorders>
            <w:shd w:val="clear" w:color="auto" w:fill="C5E0B3" w:themeFill="accent6" w:themeFillTint="66"/>
            <w:noWrap/>
            <w:vAlign w:val="bottom"/>
            <w:hideMark/>
          </w:tcPr>
          <w:p w14:paraId="660A2529" w14:textId="77777777" w:rsidR="00C34C5B" w:rsidRPr="004E74A6" w:rsidRDefault="00C34C5B" w:rsidP="00CE62C1">
            <w:pPr>
              <w:spacing w:line="276" w:lineRule="auto"/>
              <w:jc w:val="left"/>
              <w:rPr>
                <w:rFonts w:cs="Calibri"/>
                <w:color w:val="000000"/>
                <w:sz w:val="20"/>
                <w:lang w:eastAsia="es-CR"/>
              </w:rPr>
            </w:pPr>
            <w:r w:rsidRPr="004E74A6">
              <w:rPr>
                <w:rFonts w:cs="Calibri"/>
                <w:color w:val="000000"/>
                <w:sz w:val="20"/>
                <w:lang w:eastAsia="es-CR"/>
              </w:rPr>
              <w:t>De ¢8.000.001 A ¢9.000.000</w:t>
            </w:r>
          </w:p>
        </w:tc>
        <w:tc>
          <w:tcPr>
            <w:tcW w:w="481" w:type="pct"/>
            <w:tcBorders>
              <w:top w:val="nil"/>
              <w:left w:val="single" w:sz="4" w:space="0" w:color="auto"/>
              <w:bottom w:val="nil"/>
              <w:right w:val="single" w:sz="4" w:space="0" w:color="auto"/>
            </w:tcBorders>
            <w:shd w:val="clear" w:color="auto" w:fill="C5E0B3" w:themeFill="accent6" w:themeFillTint="66"/>
            <w:noWrap/>
            <w:vAlign w:val="bottom"/>
            <w:hideMark/>
          </w:tcPr>
          <w:p w14:paraId="2E408ED5" w14:textId="773E9035" w:rsidR="00C34C5B" w:rsidRPr="004E74A6" w:rsidRDefault="00C34C5B" w:rsidP="00CE62C1">
            <w:pPr>
              <w:spacing w:line="276" w:lineRule="auto"/>
              <w:jc w:val="center"/>
              <w:rPr>
                <w:rFonts w:cs="Calibri"/>
                <w:color w:val="000000"/>
                <w:sz w:val="20"/>
                <w:lang w:eastAsia="es-CR"/>
              </w:rPr>
            </w:pPr>
            <w:r w:rsidRPr="004E74A6">
              <w:rPr>
                <w:rFonts w:cs="Calibri"/>
                <w:color w:val="000000"/>
                <w:sz w:val="20"/>
              </w:rPr>
              <w:t>0</w:t>
            </w:r>
          </w:p>
        </w:tc>
        <w:tc>
          <w:tcPr>
            <w:tcW w:w="478" w:type="pct"/>
            <w:tcBorders>
              <w:top w:val="nil"/>
              <w:left w:val="single" w:sz="4" w:space="0" w:color="auto"/>
              <w:bottom w:val="nil"/>
              <w:right w:val="single" w:sz="4" w:space="0" w:color="auto"/>
            </w:tcBorders>
            <w:shd w:val="clear" w:color="auto" w:fill="C5E0B3" w:themeFill="accent6" w:themeFillTint="66"/>
            <w:noWrap/>
            <w:vAlign w:val="bottom"/>
            <w:hideMark/>
          </w:tcPr>
          <w:p w14:paraId="7DB43B4C" w14:textId="4DF796F0" w:rsidR="00C34C5B" w:rsidRPr="004E74A6" w:rsidRDefault="00C34C5B" w:rsidP="00CE62C1">
            <w:pPr>
              <w:spacing w:line="276" w:lineRule="auto"/>
              <w:jc w:val="center"/>
              <w:rPr>
                <w:rFonts w:cs="Calibri"/>
                <w:color w:val="000000"/>
                <w:sz w:val="20"/>
                <w:lang w:eastAsia="es-CR"/>
              </w:rPr>
            </w:pPr>
            <w:r w:rsidRPr="004E74A6">
              <w:rPr>
                <w:rFonts w:cs="Calibri"/>
                <w:color w:val="000000"/>
                <w:sz w:val="20"/>
              </w:rPr>
              <w:t>1</w:t>
            </w:r>
          </w:p>
        </w:tc>
        <w:tc>
          <w:tcPr>
            <w:tcW w:w="478" w:type="pct"/>
            <w:tcBorders>
              <w:top w:val="nil"/>
              <w:left w:val="single" w:sz="4" w:space="0" w:color="auto"/>
              <w:bottom w:val="nil"/>
              <w:right w:val="single" w:sz="4" w:space="0" w:color="auto"/>
            </w:tcBorders>
            <w:shd w:val="clear" w:color="auto" w:fill="C5E0B3" w:themeFill="accent6" w:themeFillTint="66"/>
            <w:noWrap/>
            <w:vAlign w:val="bottom"/>
            <w:hideMark/>
          </w:tcPr>
          <w:p w14:paraId="0653BC1D" w14:textId="261DAF47" w:rsidR="00C34C5B" w:rsidRPr="004E74A6" w:rsidRDefault="00C34C5B" w:rsidP="00CE62C1">
            <w:pPr>
              <w:spacing w:line="276" w:lineRule="auto"/>
              <w:jc w:val="center"/>
              <w:rPr>
                <w:rFonts w:cs="Calibri"/>
                <w:color w:val="000000"/>
                <w:sz w:val="20"/>
                <w:lang w:eastAsia="es-CR"/>
              </w:rPr>
            </w:pPr>
            <w:r w:rsidRPr="004E74A6">
              <w:rPr>
                <w:rFonts w:cs="Calibri"/>
                <w:color w:val="000000"/>
                <w:sz w:val="20"/>
              </w:rPr>
              <w:t>1</w:t>
            </w:r>
          </w:p>
        </w:tc>
        <w:tc>
          <w:tcPr>
            <w:tcW w:w="637" w:type="pct"/>
            <w:tcBorders>
              <w:top w:val="nil"/>
              <w:left w:val="single" w:sz="4" w:space="0" w:color="auto"/>
              <w:bottom w:val="nil"/>
              <w:right w:val="nil"/>
            </w:tcBorders>
            <w:shd w:val="clear" w:color="auto" w:fill="C5E0B3" w:themeFill="accent6" w:themeFillTint="66"/>
            <w:noWrap/>
            <w:vAlign w:val="bottom"/>
            <w:hideMark/>
          </w:tcPr>
          <w:p w14:paraId="55644E6B" w14:textId="5427F1C7" w:rsidR="00C34C5B" w:rsidRPr="004E74A6" w:rsidRDefault="00C34C5B" w:rsidP="00CE62C1">
            <w:pPr>
              <w:spacing w:line="276" w:lineRule="auto"/>
              <w:jc w:val="center"/>
              <w:rPr>
                <w:rFonts w:cs="Calibri"/>
                <w:color w:val="000000"/>
                <w:sz w:val="20"/>
                <w:lang w:eastAsia="es-CR"/>
              </w:rPr>
            </w:pPr>
            <w:r w:rsidRPr="004E74A6">
              <w:rPr>
                <w:rFonts w:cs="Calibri"/>
                <w:color w:val="000000"/>
                <w:sz w:val="20"/>
              </w:rPr>
              <w:t>0,7</w:t>
            </w:r>
          </w:p>
        </w:tc>
        <w:tc>
          <w:tcPr>
            <w:tcW w:w="1337" w:type="pct"/>
            <w:tcBorders>
              <w:top w:val="nil"/>
              <w:left w:val="single" w:sz="4" w:space="0" w:color="auto"/>
              <w:bottom w:val="nil"/>
              <w:right w:val="nil"/>
            </w:tcBorders>
            <w:shd w:val="clear" w:color="auto" w:fill="C5E0B3" w:themeFill="accent6" w:themeFillTint="66"/>
            <w:vAlign w:val="bottom"/>
          </w:tcPr>
          <w:p w14:paraId="0DD6B602" w14:textId="7EF01B3C" w:rsidR="00C34C5B" w:rsidRPr="004E74A6" w:rsidRDefault="00C34C5B" w:rsidP="00CE62C1">
            <w:pPr>
              <w:spacing w:line="276" w:lineRule="auto"/>
              <w:jc w:val="center"/>
              <w:rPr>
                <w:rFonts w:cs="Calibri"/>
                <w:color w:val="000000"/>
                <w:sz w:val="20"/>
              </w:rPr>
            </w:pPr>
            <w:r w:rsidRPr="004E74A6">
              <w:rPr>
                <w:rFonts w:cs="Calibri"/>
                <w:color w:val="000000"/>
                <w:sz w:val="20"/>
              </w:rPr>
              <w:t>24%</w:t>
            </w:r>
          </w:p>
        </w:tc>
      </w:tr>
      <w:tr w:rsidR="00357FBD" w:rsidRPr="004E74A6" w14:paraId="35444689" w14:textId="79FD0A9F" w:rsidTr="00832773">
        <w:trPr>
          <w:trHeight w:val="288"/>
          <w:jc w:val="center"/>
        </w:trPr>
        <w:tc>
          <w:tcPr>
            <w:tcW w:w="1589" w:type="pct"/>
            <w:tcBorders>
              <w:top w:val="nil"/>
              <w:left w:val="nil"/>
              <w:bottom w:val="nil"/>
              <w:right w:val="single" w:sz="4" w:space="0" w:color="auto"/>
            </w:tcBorders>
            <w:shd w:val="clear" w:color="auto" w:fill="C5E0B3" w:themeFill="accent6" w:themeFillTint="66"/>
            <w:noWrap/>
            <w:vAlign w:val="bottom"/>
            <w:hideMark/>
          </w:tcPr>
          <w:p w14:paraId="0C9FEC3A" w14:textId="77777777" w:rsidR="00C34C5B" w:rsidRPr="004E74A6" w:rsidRDefault="00C34C5B" w:rsidP="00CE62C1">
            <w:pPr>
              <w:spacing w:line="276" w:lineRule="auto"/>
              <w:jc w:val="left"/>
              <w:rPr>
                <w:rFonts w:cs="Calibri"/>
                <w:color w:val="000000"/>
                <w:sz w:val="20"/>
                <w:lang w:eastAsia="es-CR"/>
              </w:rPr>
            </w:pPr>
            <w:r w:rsidRPr="004E74A6">
              <w:rPr>
                <w:rFonts w:cs="Calibri"/>
                <w:color w:val="000000"/>
                <w:sz w:val="20"/>
                <w:lang w:eastAsia="es-CR"/>
              </w:rPr>
              <w:t>De ¢9.000.001 A ¢10.000.000</w:t>
            </w:r>
          </w:p>
        </w:tc>
        <w:tc>
          <w:tcPr>
            <w:tcW w:w="481" w:type="pct"/>
            <w:tcBorders>
              <w:top w:val="nil"/>
              <w:left w:val="single" w:sz="4" w:space="0" w:color="auto"/>
              <w:bottom w:val="nil"/>
              <w:right w:val="single" w:sz="4" w:space="0" w:color="auto"/>
            </w:tcBorders>
            <w:shd w:val="clear" w:color="auto" w:fill="C5E0B3" w:themeFill="accent6" w:themeFillTint="66"/>
            <w:noWrap/>
            <w:vAlign w:val="bottom"/>
            <w:hideMark/>
          </w:tcPr>
          <w:p w14:paraId="6E3631B4" w14:textId="2FDC2E15" w:rsidR="00C34C5B" w:rsidRPr="004E74A6" w:rsidRDefault="00C34C5B" w:rsidP="00CE62C1">
            <w:pPr>
              <w:spacing w:line="276" w:lineRule="auto"/>
              <w:jc w:val="center"/>
              <w:rPr>
                <w:rFonts w:cs="Calibri"/>
                <w:color w:val="000000"/>
                <w:sz w:val="20"/>
                <w:lang w:eastAsia="es-CR"/>
              </w:rPr>
            </w:pPr>
            <w:r w:rsidRPr="004E74A6">
              <w:rPr>
                <w:rFonts w:cs="Calibri"/>
                <w:color w:val="000000"/>
                <w:sz w:val="20"/>
              </w:rPr>
              <w:t>4</w:t>
            </w:r>
          </w:p>
        </w:tc>
        <w:tc>
          <w:tcPr>
            <w:tcW w:w="478" w:type="pct"/>
            <w:tcBorders>
              <w:top w:val="nil"/>
              <w:left w:val="single" w:sz="4" w:space="0" w:color="auto"/>
              <w:bottom w:val="nil"/>
              <w:right w:val="single" w:sz="4" w:space="0" w:color="auto"/>
            </w:tcBorders>
            <w:shd w:val="clear" w:color="auto" w:fill="C5E0B3" w:themeFill="accent6" w:themeFillTint="66"/>
            <w:noWrap/>
            <w:vAlign w:val="bottom"/>
            <w:hideMark/>
          </w:tcPr>
          <w:p w14:paraId="301DAEEB" w14:textId="4322F3D4" w:rsidR="00C34C5B" w:rsidRPr="004E74A6" w:rsidRDefault="00C34C5B" w:rsidP="00CE62C1">
            <w:pPr>
              <w:spacing w:line="276" w:lineRule="auto"/>
              <w:jc w:val="center"/>
              <w:rPr>
                <w:rFonts w:cs="Calibri"/>
                <w:color w:val="000000"/>
                <w:sz w:val="20"/>
                <w:lang w:eastAsia="es-CR"/>
              </w:rPr>
            </w:pPr>
            <w:r w:rsidRPr="004E74A6">
              <w:rPr>
                <w:rFonts w:cs="Calibri"/>
                <w:color w:val="000000"/>
                <w:sz w:val="20"/>
              </w:rPr>
              <w:t>7</w:t>
            </w:r>
          </w:p>
        </w:tc>
        <w:tc>
          <w:tcPr>
            <w:tcW w:w="478" w:type="pct"/>
            <w:tcBorders>
              <w:top w:val="nil"/>
              <w:left w:val="single" w:sz="4" w:space="0" w:color="auto"/>
              <w:bottom w:val="nil"/>
              <w:right w:val="single" w:sz="4" w:space="0" w:color="auto"/>
            </w:tcBorders>
            <w:shd w:val="clear" w:color="auto" w:fill="C5E0B3" w:themeFill="accent6" w:themeFillTint="66"/>
            <w:noWrap/>
            <w:vAlign w:val="bottom"/>
            <w:hideMark/>
          </w:tcPr>
          <w:p w14:paraId="7DCC2FD4" w14:textId="686D0E39" w:rsidR="00C34C5B" w:rsidRPr="004E74A6" w:rsidRDefault="00C34C5B" w:rsidP="00CE62C1">
            <w:pPr>
              <w:spacing w:line="276" w:lineRule="auto"/>
              <w:jc w:val="center"/>
              <w:rPr>
                <w:rFonts w:cs="Calibri"/>
                <w:color w:val="000000"/>
                <w:sz w:val="20"/>
                <w:lang w:eastAsia="es-CR"/>
              </w:rPr>
            </w:pPr>
            <w:r w:rsidRPr="004E74A6">
              <w:rPr>
                <w:rFonts w:cs="Calibri"/>
                <w:color w:val="000000"/>
                <w:sz w:val="20"/>
              </w:rPr>
              <w:t>14</w:t>
            </w:r>
          </w:p>
        </w:tc>
        <w:tc>
          <w:tcPr>
            <w:tcW w:w="637" w:type="pct"/>
            <w:tcBorders>
              <w:top w:val="nil"/>
              <w:left w:val="single" w:sz="4" w:space="0" w:color="auto"/>
              <w:bottom w:val="nil"/>
              <w:right w:val="nil"/>
            </w:tcBorders>
            <w:shd w:val="clear" w:color="auto" w:fill="C5E0B3" w:themeFill="accent6" w:themeFillTint="66"/>
            <w:noWrap/>
            <w:vAlign w:val="bottom"/>
            <w:hideMark/>
          </w:tcPr>
          <w:p w14:paraId="1D53DCA4" w14:textId="150AD820" w:rsidR="00C34C5B" w:rsidRPr="004E74A6" w:rsidRDefault="00C34C5B" w:rsidP="00CE62C1">
            <w:pPr>
              <w:spacing w:line="276" w:lineRule="auto"/>
              <w:jc w:val="center"/>
              <w:rPr>
                <w:rFonts w:cs="Calibri"/>
                <w:color w:val="000000"/>
                <w:sz w:val="20"/>
                <w:lang w:eastAsia="es-CR"/>
              </w:rPr>
            </w:pPr>
            <w:r w:rsidRPr="004E74A6">
              <w:rPr>
                <w:rFonts w:cs="Calibri"/>
                <w:color w:val="000000"/>
                <w:sz w:val="20"/>
              </w:rPr>
              <w:t>8,3</w:t>
            </w:r>
          </w:p>
        </w:tc>
        <w:tc>
          <w:tcPr>
            <w:tcW w:w="1337" w:type="pct"/>
            <w:tcBorders>
              <w:top w:val="nil"/>
              <w:left w:val="single" w:sz="4" w:space="0" w:color="auto"/>
              <w:bottom w:val="nil"/>
              <w:right w:val="nil"/>
            </w:tcBorders>
            <w:shd w:val="clear" w:color="auto" w:fill="C5E0B3" w:themeFill="accent6" w:themeFillTint="66"/>
            <w:vAlign w:val="bottom"/>
          </w:tcPr>
          <w:p w14:paraId="7B8D64FD" w14:textId="5C51C295" w:rsidR="00C34C5B" w:rsidRPr="004E74A6" w:rsidRDefault="00C34C5B" w:rsidP="00CE62C1">
            <w:pPr>
              <w:spacing w:line="276" w:lineRule="auto"/>
              <w:jc w:val="center"/>
              <w:rPr>
                <w:rFonts w:cs="Calibri"/>
                <w:color w:val="000000"/>
                <w:sz w:val="20"/>
              </w:rPr>
            </w:pPr>
            <w:r w:rsidRPr="004E74A6">
              <w:rPr>
                <w:rFonts w:cs="Calibri"/>
                <w:color w:val="000000"/>
                <w:sz w:val="20"/>
              </w:rPr>
              <w:t>34%</w:t>
            </w:r>
          </w:p>
        </w:tc>
      </w:tr>
      <w:tr w:rsidR="00357FBD" w:rsidRPr="004E74A6" w14:paraId="78508CC5" w14:textId="0D160A48" w:rsidTr="00832773">
        <w:trPr>
          <w:trHeight w:val="288"/>
          <w:jc w:val="center"/>
        </w:trPr>
        <w:tc>
          <w:tcPr>
            <w:tcW w:w="1589" w:type="pct"/>
            <w:tcBorders>
              <w:top w:val="nil"/>
              <w:left w:val="nil"/>
              <w:bottom w:val="nil"/>
              <w:right w:val="single" w:sz="4" w:space="0" w:color="auto"/>
            </w:tcBorders>
            <w:shd w:val="clear" w:color="auto" w:fill="C5E0B3" w:themeFill="accent6" w:themeFillTint="66"/>
            <w:noWrap/>
            <w:vAlign w:val="bottom"/>
            <w:hideMark/>
          </w:tcPr>
          <w:p w14:paraId="1752D023" w14:textId="77777777" w:rsidR="00C34C5B" w:rsidRPr="004E74A6" w:rsidRDefault="00C34C5B" w:rsidP="00CE62C1">
            <w:pPr>
              <w:spacing w:line="276" w:lineRule="auto"/>
              <w:jc w:val="left"/>
              <w:rPr>
                <w:rFonts w:cs="Calibri"/>
                <w:color w:val="000000"/>
                <w:sz w:val="20"/>
                <w:lang w:eastAsia="es-CR"/>
              </w:rPr>
            </w:pPr>
            <w:r w:rsidRPr="004E74A6">
              <w:rPr>
                <w:rFonts w:cs="Calibri"/>
                <w:color w:val="000000"/>
                <w:sz w:val="20"/>
                <w:lang w:eastAsia="es-CR"/>
              </w:rPr>
              <w:t>De ¢10.000.001 A ¢15.000.000</w:t>
            </w:r>
          </w:p>
        </w:tc>
        <w:tc>
          <w:tcPr>
            <w:tcW w:w="481" w:type="pct"/>
            <w:tcBorders>
              <w:top w:val="nil"/>
              <w:left w:val="single" w:sz="4" w:space="0" w:color="auto"/>
              <w:bottom w:val="nil"/>
              <w:right w:val="single" w:sz="4" w:space="0" w:color="auto"/>
            </w:tcBorders>
            <w:shd w:val="clear" w:color="auto" w:fill="C5E0B3" w:themeFill="accent6" w:themeFillTint="66"/>
            <w:noWrap/>
            <w:vAlign w:val="bottom"/>
            <w:hideMark/>
          </w:tcPr>
          <w:p w14:paraId="5F078470" w14:textId="38BD0C8F" w:rsidR="00C34C5B" w:rsidRPr="004E74A6" w:rsidRDefault="00C34C5B" w:rsidP="00CE62C1">
            <w:pPr>
              <w:spacing w:line="276" w:lineRule="auto"/>
              <w:jc w:val="center"/>
              <w:rPr>
                <w:rFonts w:cs="Calibri"/>
                <w:color w:val="000000"/>
                <w:sz w:val="20"/>
                <w:lang w:eastAsia="es-CR"/>
              </w:rPr>
            </w:pPr>
            <w:r w:rsidRPr="004E74A6">
              <w:rPr>
                <w:rFonts w:cs="Calibri"/>
                <w:color w:val="000000"/>
                <w:sz w:val="20"/>
              </w:rPr>
              <w:t>6</w:t>
            </w:r>
          </w:p>
        </w:tc>
        <w:tc>
          <w:tcPr>
            <w:tcW w:w="478" w:type="pct"/>
            <w:tcBorders>
              <w:top w:val="nil"/>
              <w:left w:val="single" w:sz="4" w:space="0" w:color="auto"/>
              <w:bottom w:val="nil"/>
              <w:right w:val="single" w:sz="4" w:space="0" w:color="auto"/>
            </w:tcBorders>
            <w:shd w:val="clear" w:color="auto" w:fill="C5E0B3" w:themeFill="accent6" w:themeFillTint="66"/>
            <w:noWrap/>
            <w:vAlign w:val="bottom"/>
            <w:hideMark/>
          </w:tcPr>
          <w:p w14:paraId="3E709F98" w14:textId="1BD2D7D4" w:rsidR="00C34C5B" w:rsidRPr="004E74A6" w:rsidRDefault="00C34C5B" w:rsidP="00CE62C1">
            <w:pPr>
              <w:spacing w:line="276" w:lineRule="auto"/>
              <w:jc w:val="center"/>
              <w:rPr>
                <w:rFonts w:cs="Calibri"/>
                <w:color w:val="000000"/>
                <w:sz w:val="20"/>
                <w:lang w:eastAsia="es-CR"/>
              </w:rPr>
            </w:pPr>
            <w:r w:rsidRPr="004E74A6">
              <w:rPr>
                <w:rFonts w:cs="Calibri"/>
                <w:color w:val="000000"/>
                <w:sz w:val="20"/>
              </w:rPr>
              <w:t>6</w:t>
            </w:r>
          </w:p>
        </w:tc>
        <w:tc>
          <w:tcPr>
            <w:tcW w:w="478" w:type="pct"/>
            <w:tcBorders>
              <w:top w:val="nil"/>
              <w:left w:val="single" w:sz="4" w:space="0" w:color="auto"/>
              <w:bottom w:val="nil"/>
              <w:right w:val="single" w:sz="4" w:space="0" w:color="auto"/>
            </w:tcBorders>
            <w:shd w:val="clear" w:color="auto" w:fill="C5E0B3" w:themeFill="accent6" w:themeFillTint="66"/>
            <w:noWrap/>
            <w:vAlign w:val="bottom"/>
            <w:hideMark/>
          </w:tcPr>
          <w:p w14:paraId="01A75B12" w14:textId="024E0D0E" w:rsidR="00C34C5B" w:rsidRPr="004E74A6" w:rsidRDefault="00C34C5B" w:rsidP="00CE62C1">
            <w:pPr>
              <w:spacing w:line="276" w:lineRule="auto"/>
              <w:jc w:val="center"/>
              <w:rPr>
                <w:rFonts w:cs="Calibri"/>
                <w:color w:val="000000"/>
                <w:sz w:val="20"/>
                <w:lang w:eastAsia="es-CR"/>
              </w:rPr>
            </w:pPr>
            <w:r w:rsidRPr="004E74A6">
              <w:rPr>
                <w:rFonts w:cs="Calibri"/>
                <w:color w:val="000000"/>
                <w:sz w:val="20"/>
              </w:rPr>
              <w:t>17</w:t>
            </w:r>
          </w:p>
        </w:tc>
        <w:tc>
          <w:tcPr>
            <w:tcW w:w="637" w:type="pct"/>
            <w:tcBorders>
              <w:top w:val="nil"/>
              <w:left w:val="single" w:sz="4" w:space="0" w:color="auto"/>
              <w:bottom w:val="nil"/>
              <w:right w:val="nil"/>
            </w:tcBorders>
            <w:shd w:val="clear" w:color="auto" w:fill="C5E0B3" w:themeFill="accent6" w:themeFillTint="66"/>
            <w:noWrap/>
            <w:vAlign w:val="bottom"/>
            <w:hideMark/>
          </w:tcPr>
          <w:p w14:paraId="0C5D74A5" w14:textId="454C9B3B" w:rsidR="00C34C5B" w:rsidRPr="004E74A6" w:rsidRDefault="00C34C5B" w:rsidP="00CE62C1">
            <w:pPr>
              <w:spacing w:line="276" w:lineRule="auto"/>
              <w:jc w:val="center"/>
              <w:rPr>
                <w:rFonts w:cs="Calibri"/>
                <w:color w:val="000000"/>
                <w:sz w:val="20"/>
                <w:lang w:eastAsia="es-CR"/>
              </w:rPr>
            </w:pPr>
            <w:r w:rsidRPr="004E74A6">
              <w:rPr>
                <w:rFonts w:cs="Calibri"/>
                <w:color w:val="000000"/>
                <w:sz w:val="20"/>
              </w:rPr>
              <w:t>9,7</w:t>
            </w:r>
          </w:p>
        </w:tc>
        <w:tc>
          <w:tcPr>
            <w:tcW w:w="1337" w:type="pct"/>
            <w:tcBorders>
              <w:top w:val="nil"/>
              <w:left w:val="single" w:sz="4" w:space="0" w:color="auto"/>
              <w:bottom w:val="nil"/>
              <w:right w:val="nil"/>
            </w:tcBorders>
            <w:shd w:val="clear" w:color="auto" w:fill="C5E0B3" w:themeFill="accent6" w:themeFillTint="66"/>
            <w:vAlign w:val="bottom"/>
          </w:tcPr>
          <w:p w14:paraId="21953357" w14:textId="47A2BCA6" w:rsidR="00C34C5B" w:rsidRPr="004E74A6" w:rsidRDefault="00C34C5B" w:rsidP="00CE62C1">
            <w:pPr>
              <w:spacing w:line="276" w:lineRule="auto"/>
              <w:jc w:val="center"/>
              <w:rPr>
                <w:rFonts w:cs="Calibri"/>
                <w:color w:val="000000"/>
                <w:sz w:val="20"/>
              </w:rPr>
            </w:pPr>
            <w:r w:rsidRPr="004E74A6">
              <w:rPr>
                <w:rFonts w:cs="Calibri"/>
                <w:color w:val="000000"/>
                <w:sz w:val="20"/>
              </w:rPr>
              <w:t>46%</w:t>
            </w:r>
          </w:p>
        </w:tc>
      </w:tr>
      <w:tr w:rsidR="00357FBD" w:rsidRPr="004E74A6" w14:paraId="500A2BF1" w14:textId="0CB9CF18" w:rsidTr="00357FBD">
        <w:trPr>
          <w:trHeight w:val="288"/>
          <w:jc w:val="center"/>
        </w:trPr>
        <w:tc>
          <w:tcPr>
            <w:tcW w:w="1589" w:type="pct"/>
            <w:tcBorders>
              <w:top w:val="nil"/>
              <w:left w:val="nil"/>
              <w:bottom w:val="nil"/>
              <w:right w:val="single" w:sz="4" w:space="0" w:color="auto"/>
            </w:tcBorders>
            <w:shd w:val="clear" w:color="auto" w:fill="C5E0B3" w:themeFill="accent6" w:themeFillTint="66"/>
            <w:noWrap/>
            <w:vAlign w:val="bottom"/>
            <w:hideMark/>
          </w:tcPr>
          <w:p w14:paraId="45355B10" w14:textId="77777777" w:rsidR="00C34C5B" w:rsidRPr="004E74A6" w:rsidRDefault="00C34C5B" w:rsidP="00CE62C1">
            <w:pPr>
              <w:spacing w:line="276" w:lineRule="auto"/>
              <w:jc w:val="left"/>
              <w:rPr>
                <w:rFonts w:cs="Calibri"/>
                <w:color w:val="000000"/>
                <w:sz w:val="20"/>
                <w:lang w:eastAsia="es-CR"/>
              </w:rPr>
            </w:pPr>
            <w:r w:rsidRPr="004E74A6">
              <w:rPr>
                <w:rFonts w:cs="Calibri"/>
                <w:color w:val="000000"/>
                <w:sz w:val="20"/>
                <w:lang w:eastAsia="es-CR"/>
              </w:rPr>
              <w:t>De ¢15.000.001 A ¢20.000.000</w:t>
            </w:r>
          </w:p>
        </w:tc>
        <w:tc>
          <w:tcPr>
            <w:tcW w:w="481" w:type="pct"/>
            <w:tcBorders>
              <w:top w:val="nil"/>
              <w:left w:val="single" w:sz="4" w:space="0" w:color="auto"/>
              <w:bottom w:val="nil"/>
              <w:right w:val="single" w:sz="4" w:space="0" w:color="auto"/>
            </w:tcBorders>
            <w:shd w:val="clear" w:color="auto" w:fill="C5E0B3" w:themeFill="accent6" w:themeFillTint="66"/>
            <w:noWrap/>
            <w:vAlign w:val="bottom"/>
            <w:hideMark/>
          </w:tcPr>
          <w:p w14:paraId="2AF34FDA" w14:textId="46B1889A" w:rsidR="00C34C5B" w:rsidRPr="004E74A6" w:rsidRDefault="00C34C5B" w:rsidP="00CE62C1">
            <w:pPr>
              <w:spacing w:line="276" w:lineRule="auto"/>
              <w:jc w:val="center"/>
              <w:rPr>
                <w:rFonts w:cs="Calibri"/>
                <w:color w:val="000000"/>
                <w:sz w:val="20"/>
                <w:lang w:eastAsia="es-CR"/>
              </w:rPr>
            </w:pPr>
            <w:r w:rsidRPr="004E74A6">
              <w:rPr>
                <w:rFonts w:cs="Calibri"/>
                <w:color w:val="000000"/>
                <w:sz w:val="20"/>
              </w:rPr>
              <w:t>2</w:t>
            </w:r>
          </w:p>
        </w:tc>
        <w:tc>
          <w:tcPr>
            <w:tcW w:w="478" w:type="pct"/>
            <w:tcBorders>
              <w:top w:val="nil"/>
              <w:left w:val="single" w:sz="4" w:space="0" w:color="auto"/>
              <w:bottom w:val="nil"/>
              <w:right w:val="single" w:sz="4" w:space="0" w:color="auto"/>
            </w:tcBorders>
            <w:shd w:val="clear" w:color="auto" w:fill="C5E0B3" w:themeFill="accent6" w:themeFillTint="66"/>
            <w:noWrap/>
            <w:vAlign w:val="bottom"/>
            <w:hideMark/>
          </w:tcPr>
          <w:p w14:paraId="534B2C45" w14:textId="585FA41C" w:rsidR="00C34C5B" w:rsidRPr="004E74A6" w:rsidRDefault="00C34C5B" w:rsidP="00CE62C1">
            <w:pPr>
              <w:spacing w:line="276" w:lineRule="auto"/>
              <w:jc w:val="center"/>
              <w:rPr>
                <w:rFonts w:cs="Calibri"/>
                <w:color w:val="000000"/>
                <w:sz w:val="20"/>
                <w:lang w:eastAsia="es-CR"/>
              </w:rPr>
            </w:pPr>
            <w:r w:rsidRPr="004E74A6">
              <w:rPr>
                <w:rFonts w:cs="Calibri"/>
                <w:color w:val="000000"/>
                <w:sz w:val="20"/>
              </w:rPr>
              <w:t>5</w:t>
            </w:r>
          </w:p>
        </w:tc>
        <w:tc>
          <w:tcPr>
            <w:tcW w:w="478" w:type="pct"/>
            <w:tcBorders>
              <w:top w:val="nil"/>
              <w:left w:val="single" w:sz="4" w:space="0" w:color="auto"/>
              <w:bottom w:val="nil"/>
              <w:right w:val="single" w:sz="4" w:space="0" w:color="auto"/>
            </w:tcBorders>
            <w:shd w:val="clear" w:color="auto" w:fill="C5E0B3" w:themeFill="accent6" w:themeFillTint="66"/>
            <w:noWrap/>
            <w:vAlign w:val="bottom"/>
            <w:hideMark/>
          </w:tcPr>
          <w:p w14:paraId="05EE3740" w14:textId="5745D5D1" w:rsidR="00C34C5B" w:rsidRPr="004E74A6" w:rsidRDefault="00C34C5B" w:rsidP="00CE62C1">
            <w:pPr>
              <w:spacing w:line="276" w:lineRule="auto"/>
              <w:jc w:val="center"/>
              <w:rPr>
                <w:rFonts w:cs="Calibri"/>
                <w:color w:val="000000"/>
                <w:sz w:val="20"/>
                <w:lang w:eastAsia="es-CR"/>
              </w:rPr>
            </w:pPr>
            <w:r w:rsidRPr="004E74A6">
              <w:rPr>
                <w:rFonts w:cs="Calibri"/>
                <w:color w:val="000000"/>
                <w:sz w:val="20"/>
              </w:rPr>
              <w:t>13</w:t>
            </w:r>
          </w:p>
        </w:tc>
        <w:tc>
          <w:tcPr>
            <w:tcW w:w="637" w:type="pct"/>
            <w:tcBorders>
              <w:top w:val="nil"/>
              <w:left w:val="single" w:sz="4" w:space="0" w:color="auto"/>
              <w:bottom w:val="nil"/>
              <w:right w:val="nil"/>
            </w:tcBorders>
            <w:shd w:val="clear" w:color="auto" w:fill="C5E0B3" w:themeFill="accent6" w:themeFillTint="66"/>
            <w:noWrap/>
            <w:vAlign w:val="bottom"/>
            <w:hideMark/>
          </w:tcPr>
          <w:p w14:paraId="1ECA401C" w14:textId="07A46D44" w:rsidR="00C34C5B" w:rsidRPr="004E74A6" w:rsidRDefault="00C34C5B" w:rsidP="00CE62C1">
            <w:pPr>
              <w:spacing w:line="276" w:lineRule="auto"/>
              <w:jc w:val="center"/>
              <w:rPr>
                <w:rFonts w:cs="Calibri"/>
                <w:color w:val="000000"/>
                <w:sz w:val="20"/>
                <w:lang w:eastAsia="es-CR"/>
              </w:rPr>
            </w:pPr>
            <w:r w:rsidRPr="004E74A6">
              <w:rPr>
                <w:rFonts w:cs="Calibri"/>
                <w:color w:val="000000"/>
                <w:sz w:val="20"/>
              </w:rPr>
              <w:t>6,7</w:t>
            </w:r>
          </w:p>
        </w:tc>
        <w:tc>
          <w:tcPr>
            <w:tcW w:w="1337" w:type="pct"/>
            <w:tcBorders>
              <w:top w:val="nil"/>
              <w:left w:val="single" w:sz="4" w:space="0" w:color="auto"/>
              <w:bottom w:val="nil"/>
              <w:right w:val="nil"/>
            </w:tcBorders>
            <w:shd w:val="clear" w:color="auto" w:fill="C5E0B3" w:themeFill="accent6" w:themeFillTint="66"/>
            <w:vAlign w:val="bottom"/>
          </w:tcPr>
          <w:p w14:paraId="4F4A9200" w14:textId="492C0312" w:rsidR="00C34C5B" w:rsidRPr="004E74A6" w:rsidRDefault="00C34C5B" w:rsidP="00CE62C1">
            <w:pPr>
              <w:spacing w:line="276" w:lineRule="auto"/>
              <w:jc w:val="center"/>
              <w:rPr>
                <w:rFonts w:cs="Calibri"/>
                <w:color w:val="000000"/>
                <w:sz w:val="20"/>
              </w:rPr>
            </w:pPr>
            <w:r w:rsidRPr="004E74A6">
              <w:rPr>
                <w:rFonts w:cs="Calibri"/>
                <w:color w:val="000000"/>
                <w:sz w:val="20"/>
              </w:rPr>
              <w:t>55%</w:t>
            </w:r>
          </w:p>
        </w:tc>
      </w:tr>
      <w:tr w:rsidR="00357FBD" w:rsidRPr="004E74A6" w14:paraId="7574A26E" w14:textId="00096A7A" w:rsidTr="00357FBD">
        <w:trPr>
          <w:trHeight w:val="288"/>
          <w:jc w:val="center"/>
        </w:trPr>
        <w:tc>
          <w:tcPr>
            <w:tcW w:w="1589" w:type="pct"/>
            <w:tcBorders>
              <w:top w:val="nil"/>
              <w:left w:val="nil"/>
              <w:bottom w:val="nil"/>
              <w:right w:val="single" w:sz="4" w:space="0" w:color="auto"/>
            </w:tcBorders>
            <w:shd w:val="clear" w:color="auto" w:fill="auto"/>
            <w:noWrap/>
            <w:vAlign w:val="bottom"/>
            <w:hideMark/>
          </w:tcPr>
          <w:p w14:paraId="3144981D" w14:textId="77777777" w:rsidR="00C34C5B" w:rsidRPr="004E74A6" w:rsidRDefault="00C34C5B" w:rsidP="00CE62C1">
            <w:pPr>
              <w:spacing w:line="276" w:lineRule="auto"/>
              <w:jc w:val="left"/>
              <w:rPr>
                <w:rFonts w:cs="Calibri"/>
                <w:color w:val="000000"/>
                <w:sz w:val="20"/>
                <w:lang w:eastAsia="es-CR"/>
              </w:rPr>
            </w:pPr>
            <w:r w:rsidRPr="004E74A6">
              <w:rPr>
                <w:rFonts w:cs="Calibri"/>
                <w:color w:val="000000"/>
                <w:sz w:val="20"/>
                <w:lang w:eastAsia="es-CR"/>
              </w:rPr>
              <w:t>De ¢20.000.001 A ¢25.000.000</w:t>
            </w:r>
          </w:p>
        </w:tc>
        <w:tc>
          <w:tcPr>
            <w:tcW w:w="481" w:type="pct"/>
            <w:tcBorders>
              <w:top w:val="nil"/>
              <w:left w:val="single" w:sz="4" w:space="0" w:color="auto"/>
              <w:bottom w:val="nil"/>
              <w:right w:val="single" w:sz="4" w:space="0" w:color="auto"/>
            </w:tcBorders>
            <w:shd w:val="clear" w:color="auto" w:fill="auto"/>
            <w:noWrap/>
            <w:vAlign w:val="bottom"/>
            <w:hideMark/>
          </w:tcPr>
          <w:p w14:paraId="2F8C6907" w14:textId="11982AD3" w:rsidR="00C34C5B" w:rsidRPr="004E74A6" w:rsidRDefault="00C34C5B" w:rsidP="00CE62C1">
            <w:pPr>
              <w:spacing w:line="276" w:lineRule="auto"/>
              <w:jc w:val="center"/>
              <w:rPr>
                <w:rFonts w:cs="Calibri"/>
                <w:color w:val="000000"/>
                <w:sz w:val="20"/>
                <w:lang w:eastAsia="es-CR"/>
              </w:rPr>
            </w:pPr>
            <w:r w:rsidRPr="004E74A6">
              <w:rPr>
                <w:rFonts w:cs="Calibri"/>
                <w:color w:val="000000"/>
                <w:sz w:val="20"/>
              </w:rPr>
              <w:t>2</w:t>
            </w:r>
          </w:p>
        </w:tc>
        <w:tc>
          <w:tcPr>
            <w:tcW w:w="478" w:type="pct"/>
            <w:tcBorders>
              <w:top w:val="nil"/>
              <w:left w:val="single" w:sz="4" w:space="0" w:color="auto"/>
              <w:bottom w:val="nil"/>
              <w:right w:val="single" w:sz="4" w:space="0" w:color="auto"/>
            </w:tcBorders>
            <w:shd w:val="clear" w:color="auto" w:fill="auto"/>
            <w:noWrap/>
            <w:vAlign w:val="bottom"/>
            <w:hideMark/>
          </w:tcPr>
          <w:p w14:paraId="38A5F8E0" w14:textId="0B4B6DBE" w:rsidR="00C34C5B" w:rsidRPr="004E74A6" w:rsidRDefault="00C34C5B" w:rsidP="00CE62C1">
            <w:pPr>
              <w:spacing w:line="276" w:lineRule="auto"/>
              <w:jc w:val="center"/>
              <w:rPr>
                <w:rFonts w:cs="Calibri"/>
                <w:color w:val="000000"/>
                <w:sz w:val="20"/>
                <w:lang w:eastAsia="es-CR"/>
              </w:rPr>
            </w:pPr>
            <w:r w:rsidRPr="004E74A6">
              <w:rPr>
                <w:rFonts w:cs="Calibri"/>
                <w:color w:val="000000"/>
                <w:sz w:val="20"/>
              </w:rPr>
              <w:t>2</w:t>
            </w:r>
          </w:p>
        </w:tc>
        <w:tc>
          <w:tcPr>
            <w:tcW w:w="478" w:type="pct"/>
            <w:tcBorders>
              <w:top w:val="nil"/>
              <w:left w:val="single" w:sz="4" w:space="0" w:color="auto"/>
              <w:bottom w:val="nil"/>
              <w:right w:val="single" w:sz="4" w:space="0" w:color="auto"/>
            </w:tcBorders>
            <w:shd w:val="clear" w:color="auto" w:fill="auto"/>
            <w:noWrap/>
            <w:vAlign w:val="bottom"/>
            <w:hideMark/>
          </w:tcPr>
          <w:p w14:paraId="52498037" w14:textId="76852EB6" w:rsidR="00C34C5B" w:rsidRPr="004E74A6" w:rsidRDefault="00C34C5B" w:rsidP="00CE62C1">
            <w:pPr>
              <w:spacing w:line="276" w:lineRule="auto"/>
              <w:jc w:val="center"/>
              <w:rPr>
                <w:rFonts w:cs="Calibri"/>
                <w:color w:val="000000"/>
                <w:sz w:val="20"/>
                <w:lang w:eastAsia="es-CR"/>
              </w:rPr>
            </w:pPr>
            <w:r w:rsidRPr="004E74A6">
              <w:rPr>
                <w:rFonts w:cs="Calibri"/>
                <w:color w:val="000000"/>
                <w:sz w:val="20"/>
              </w:rPr>
              <w:t>10</w:t>
            </w:r>
          </w:p>
        </w:tc>
        <w:tc>
          <w:tcPr>
            <w:tcW w:w="637" w:type="pct"/>
            <w:tcBorders>
              <w:top w:val="nil"/>
              <w:left w:val="single" w:sz="4" w:space="0" w:color="auto"/>
              <w:bottom w:val="nil"/>
              <w:right w:val="nil"/>
            </w:tcBorders>
            <w:shd w:val="clear" w:color="auto" w:fill="auto"/>
            <w:noWrap/>
            <w:vAlign w:val="bottom"/>
            <w:hideMark/>
          </w:tcPr>
          <w:p w14:paraId="68C8ABD3" w14:textId="26580AF4" w:rsidR="00C34C5B" w:rsidRPr="004E74A6" w:rsidRDefault="00C34C5B" w:rsidP="00CE62C1">
            <w:pPr>
              <w:spacing w:line="276" w:lineRule="auto"/>
              <w:jc w:val="center"/>
              <w:rPr>
                <w:rFonts w:cs="Calibri"/>
                <w:color w:val="000000"/>
                <w:sz w:val="20"/>
                <w:lang w:eastAsia="es-CR"/>
              </w:rPr>
            </w:pPr>
            <w:r w:rsidRPr="004E74A6">
              <w:rPr>
                <w:rFonts w:cs="Calibri"/>
                <w:color w:val="000000"/>
                <w:sz w:val="20"/>
              </w:rPr>
              <w:t>4,7</w:t>
            </w:r>
          </w:p>
        </w:tc>
        <w:tc>
          <w:tcPr>
            <w:tcW w:w="1337" w:type="pct"/>
            <w:tcBorders>
              <w:top w:val="nil"/>
              <w:left w:val="single" w:sz="4" w:space="0" w:color="auto"/>
              <w:bottom w:val="nil"/>
              <w:right w:val="nil"/>
            </w:tcBorders>
            <w:shd w:val="clear" w:color="auto" w:fill="auto"/>
            <w:vAlign w:val="bottom"/>
          </w:tcPr>
          <w:p w14:paraId="04466E24" w14:textId="387EB06B" w:rsidR="00C34C5B" w:rsidRPr="004E74A6" w:rsidRDefault="00C34C5B" w:rsidP="00CE62C1">
            <w:pPr>
              <w:spacing w:line="276" w:lineRule="auto"/>
              <w:jc w:val="center"/>
              <w:rPr>
                <w:rFonts w:cs="Calibri"/>
                <w:color w:val="000000"/>
                <w:sz w:val="20"/>
              </w:rPr>
            </w:pPr>
            <w:r w:rsidRPr="004E74A6">
              <w:rPr>
                <w:rFonts w:cs="Calibri"/>
                <w:color w:val="000000"/>
                <w:sz w:val="20"/>
              </w:rPr>
              <w:t>61%</w:t>
            </w:r>
          </w:p>
        </w:tc>
      </w:tr>
      <w:tr w:rsidR="00357FBD" w:rsidRPr="004E74A6" w14:paraId="2D97CA1A" w14:textId="0DB7769F" w:rsidTr="00357FBD">
        <w:trPr>
          <w:trHeight w:val="288"/>
          <w:jc w:val="center"/>
        </w:trPr>
        <w:tc>
          <w:tcPr>
            <w:tcW w:w="1589" w:type="pct"/>
            <w:tcBorders>
              <w:top w:val="nil"/>
              <w:left w:val="nil"/>
              <w:bottom w:val="nil"/>
              <w:right w:val="single" w:sz="4" w:space="0" w:color="auto"/>
            </w:tcBorders>
            <w:shd w:val="clear" w:color="auto" w:fill="auto"/>
            <w:noWrap/>
            <w:vAlign w:val="bottom"/>
            <w:hideMark/>
          </w:tcPr>
          <w:p w14:paraId="16883B91" w14:textId="77777777" w:rsidR="00C34C5B" w:rsidRPr="004E74A6" w:rsidRDefault="00C34C5B" w:rsidP="00CE62C1">
            <w:pPr>
              <w:spacing w:line="276" w:lineRule="auto"/>
              <w:jc w:val="left"/>
              <w:rPr>
                <w:rFonts w:cs="Calibri"/>
                <w:color w:val="000000"/>
                <w:sz w:val="20"/>
                <w:lang w:eastAsia="es-CR"/>
              </w:rPr>
            </w:pPr>
            <w:r w:rsidRPr="004E74A6">
              <w:rPr>
                <w:rFonts w:cs="Calibri"/>
                <w:color w:val="000000"/>
                <w:sz w:val="20"/>
                <w:lang w:eastAsia="es-CR"/>
              </w:rPr>
              <w:t>De ¢25.000.001 A ¢30.000.000</w:t>
            </w:r>
          </w:p>
        </w:tc>
        <w:tc>
          <w:tcPr>
            <w:tcW w:w="481" w:type="pct"/>
            <w:tcBorders>
              <w:top w:val="nil"/>
              <w:left w:val="single" w:sz="4" w:space="0" w:color="auto"/>
              <w:bottom w:val="nil"/>
              <w:right w:val="single" w:sz="4" w:space="0" w:color="auto"/>
            </w:tcBorders>
            <w:shd w:val="clear" w:color="auto" w:fill="auto"/>
            <w:noWrap/>
            <w:vAlign w:val="bottom"/>
            <w:hideMark/>
          </w:tcPr>
          <w:p w14:paraId="0361E8D8" w14:textId="1AA90849" w:rsidR="00C34C5B" w:rsidRPr="004E74A6" w:rsidRDefault="00C34C5B" w:rsidP="00CE62C1">
            <w:pPr>
              <w:spacing w:line="276" w:lineRule="auto"/>
              <w:jc w:val="center"/>
              <w:rPr>
                <w:rFonts w:cs="Calibri"/>
                <w:color w:val="000000"/>
                <w:sz w:val="20"/>
                <w:lang w:eastAsia="es-CR"/>
              </w:rPr>
            </w:pPr>
            <w:r w:rsidRPr="004E74A6">
              <w:rPr>
                <w:rFonts w:cs="Calibri"/>
                <w:color w:val="000000"/>
                <w:sz w:val="20"/>
              </w:rPr>
              <w:t>0</w:t>
            </w:r>
          </w:p>
        </w:tc>
        <w:tc>
          <w:tcPr>
            <w:tcW w:w="478" w:type="pct"/>
            <w:tcBorders>
              <w:top w:val="nil"/>
              <w:left w:val="single" w:sz="4" w:space="0" w:color="auto"/>
              <w:bottom w:val="nil"/>
              <w:right w:val="single" w:sz="4" w:space="0" w:color="auto"/>
            </w:tcBorders>
            <w:shd w:val="clear" w:color="auto" w:fill="auto"/>
            <w:noWrap/>
            <w:vAlign w:val="bottom"/>
            <w:hideMark/>
          </w:tcPr>
          <w:p w14:paraId="5E2E5EAA" w14:textId="2A23FE93" w:rsidR="00C34C5B" w:rsidRPr="004E74A6" w:rsidRDefault="00C34C5B" w:rsidP="00CE62C1">
            <w:pPr>
              <w:spacing w:line="276" w:lineRule="auto"/>
              <w:jc w:val="center"/>
              <w:rPr>
                <w:rFonts w:cs="Calibri"/>
                <w:color w:val="000000"/>
                <w:sz w:val="20"/>
                <w:lang w:eastAsia="es-CR"/>
              </w:rPr>
            </w:pPr>
            <w:r w:rsidRPr="004E74A6">
              <w:rPr>
                <w:rFonts w:cs="Calibri"/>
                <w:color w:val="000000"/>
                <w:sz w:val="20"/>
              </w:rPr>
              <w:t>3</w:t>
            </w:r>
          </w:p>
        </w:tc>
        <w:tc>
          <w:tcPr>
            <w:tcW w:w="478" w:type="pct"/>
            <w:tcBorders>
              <w:top w:val="nil"/>
              <w:left w:val="single" w:sz="4" w:space="0" w:color="auto"/>
              <w:bottom w:val="nil"/>
              <w:right w:val="single" w:sz="4" w:space="0" w:color="auto"/>
            </w:tcBorders>
            <w:shd w:val="clear" w:color="auto" w:fill="auto"/>
            <w:noWrap/>
            <w:vAlign w:val="bottom"/>
            <w:hideMark/>
          </w:tcPr>
          <w:p w14:paraId="33F28270" w14:textId="4A0DDF74" w:rsidR="00C34C5B" w:rsidRPr="004E74A6" w:rsidRDefault="00C34C5B" w:rsidP="00CE62C1">
            <w:pPr>
              <w:spacing w:line="276" w:lineRule="auto"/>
              <w:jc w:val="center"/>
              <w:rPr>
                <w:rFonts w:cs="Calibri"/>
                <w:color w:val="000000"/>
                <w:sz w:val="20"/>
                <w:lang w:eastAsia="es-CR"/>
              </w:rPr>
            </w:pPr>
            <w:r w:rsidRPr="004E74A6">
              <w:rPr>
                <w:rFonts w:cs="Calibri"/>
                <w:color w:val="000000"/>
                <w:sz w:val="20"/>
              </w:rPr>
              <w:t>6</w:t>
            </w:r>
          </w:p>
        </w:tc>
        <w:tc>
          <w:tcPr>
            <w:tcW w:w="637" w:type="pct"/>
            <w:tcBorders>
              <w:top w:val="nil"/>
              <w:left w:val="single" w:sz="4" w:space="0" w:color="auto"/>
              <w:bottom w:val="nil"/>
              <w:right w:val="nil"/>
            </w:tcBorders>
            <w:shd w:val="clear" w:color="auto" w:fill="auto"/>
            <w:noWrap/>
            <w:vAlign w:val="bottom"/>
            <w:hideMark/>
          </w:tcPr>
          <w:p w14:paraId="7982E4FD" w14:textId="33D6279C" w:rsidR="00C34C5B" w:rsidRPr="004E74A6" w:rsidRDefault="00C34C5B" w:rsidP="00CE62C1">
            <w:pPr>
              <w:spacing w:line="276" w:lineRule="auto"/>
              <w:jc w:val="center"/>
              <w:rPr>
                <w:rFonts w:cs="Calibri"/>
                <w:color w:val="000000"/>
                <w:sz w:val="20"/>
                <w:lang w:eastAsia="es-CR"/>
              </w:rPr>
            </w:pPr>
            <w:r w:rsidRPr="004E74A6">
              <w:rPr>
                <w:rFonts w:cs="Calibri"/>
                <w:color w:val="000000"/>
                <w:sz w:val="20"/>
              </w:rPr>
              <w:t>3,0</w:t>
            </w:r>
          </w:p>
        </w:tc>
        <w:tc>
          <w:tcPr>
            <w:tcW w:w="1337" w:type="pct"/>
            <w:tcBorders>
              <w:top w:val="nil"/>
              <w:left w:val="single" w:sz="4" w:space="0" w:color="auto"/>
              <w:bottom w:val="nil"/>
              <w:right w:val="nil"/>
            </w:tcBorders>
            <w:shd w:val="clear" w:color="auto" w:fill="auto"/>
            <w:vAlign w:val="bottom"/>
          </w:tcPr>
          <w:p w14:paraId="524E6CBB" w14:textId="6F42BB68" w:rsidR="00C34C5B" w:rsidRPr="004E74A6" w:rsidRDefault="00C34C5B" w:rsidP="00CE62C1">
            <w:pPr>
              <w:spacing w:line="276" w:lineRule="auto"/>
              <w:jc w:val="center"/>
              <w:rPr>
                <w:rFonts w:cs="Calibri"/>
                <w:color w:val="000000"/>
                <w:sz w:val="20"/>
              </w:rPr>
            </w:pPr>
            <w:r w:rsidRPr="004E74A6">
              <w:rPr>
                <w:rFonts w:cs="Calibri"/>
                <w:color w:val="000000"/>
                <w:sz w:val="20"/>
              </w:rPr>
              <w:t>64%</w:t>
            </w:r>
          </w:p>
        </w:tc>
      </w:tr>
      <w:tr w:rsidR="00357FBD" w:rsidRPr="004E74A6" w14:paraId="6ED1EE96" w14:textId="47E33211" w:rsidTr="00357FBD">
        <w:trPr>
          <w:trHeight w:val="288"/>
          <w:jc w:val="center"/>
        </w:trPr>
        <w:tc>
          <w:tcPr>
            <w:tcW w:w="1589" w:type="pct"/>
            <w:tcBorders>
              <w:top w:val="nil"/>
              <w:left w:val="nil"/>
              <w:bottom w:val="nil"/>
              <w:right w:val="single" w:sz="4" w:space="0" w:color="auto"/>
            </w:tcBorders>
            <w:shd w:val="clear" w:color="auto" w:fill="auto"/>
            <w:noWrap/>
            <w:vAlign w:val="bottom"/>
            <w:hideMark/>
          </w:tcPr>
          <w:p w14:paraId="33311B97" w14:textId="77777777" w:rsidR="00C34C5B" w:rsidRPr="004E74A6" w:rsidRDefault="00C34C5B" w:rsidP="00CE62C1">
            <w:pPr>
              <w:spacing w:line="276" w:lineRule="auto"/>
              <w:jc w:val="left"/>
              <w:rPr>
                <w:rFonts w:cs="Calibri"/>
                <w:color w:val="000000"/>
                <w:sz w:val="20"/>
                <w:lang w:eastAsia="es-CR"/>
              </w:rPr>
            </w:pPr>
            <w:r w:rsidRPr="004E74A6">
              <w:rPr>
                <w:rFonts w:cs="Calibri"/>
                <w:color w:val="000000"/>
                <w:sz w:val="20"/>
                <w:lang w:eastAsia="es-CR"/>
              </w:rPr>
              <w:t>De ¢30.000.001 A ¢35.000.000</w:t>
            </w:r>
          </w:p>
        </w:tc>
        <w:tc>
          <w:tcPr>
            <w:tcW w:w="481" w:type="pct"/>
            <w:tcBorders>
              <w:top w:val="nil"/>
              <w:left w:val="single" w:sz="4" w:space="0" w:color="auto"/>
              <w:bottom w:val="nil"/>
              <w:right w:val="single" w:sz="4" w:space="0" w:color="auto"/>
            </w:tcBorders>
            <w:shd w:val="clear" w:color="auto" w:fill="auto"/>
            <w:noWrap/>
            <w:vAlign w:val="bottom"/>
            <w:hideMark/>
          </w:tcPr>
          <w:p w14:paraId="7DFC4904" w14:textId="39BA54CD" w:rsidR="00C34C5B" w:rsidRPr="004E74A6" w:rsidRDefault="00C34C5B" w:rsidP="00CE62C1">
            <w:pPr>
              <w:spacing w:line="276" w:lineRule="auto"/>
              <w:jc w:val="center"/>
              <w:rPr>
                <w:rFonts w:cs="Calibri"/>
                <w:color w:val="000000"/>
                <w:sz w:val="20"/>
                <w:lang w:eastAsia="es-CR"/>
              </w:rPr>
            </w:pPr>
            <w:r w:rsidRPr="004E74A6">
              <w:rPr>
                <w:rFonts w:cs="Calibri"/>
                <w:color w:val="000000"/>
                <w:sz w:val="20"/>
              </w:rPr>
              <w:t>0</w:t>
            </w:r>
          </w:p>
        </w:tc>
        <w:tc>
          <w:tcPr>
            <w:tcW w:w="478" w:type="pct"/>
            <w:tcBorders>
              <w:top w:val="nil"/>
              <w:left w:val="single" w:sz="4" w:space="0" w:color="auto"/>
              <w:bottom w:val="nil"/>
              <w:right w:val="single" w:sz="4" w:space="0" w:color="auto"/>
            </w:tcBorders>
            <w:shd w:val="clear" w:color="auto" w:fill="auto"/>
            <w:noWrap/>
            <w:vAlign w:val="bottom"/>
            <w:hideMark/>
          </w:tcPr>
          <w:p w14:paraId="528A2480" w14:textId="0286BA1E" w:rsidR="00C34C5B" w:rsidRPr="004E74A6" w:rsidRDefault="00C34C5B" w:rsidP="00CE62C1">
            <w:pPr>
              <w:spacing w:line="276" w:lineRule="auto"/>
              <w:jc w:val="center"/>
              <w:rPr>
                <w:rFonts w:cs="Calibri"/>
                <w:color w:val="000000"/>
                <w:sz w:val="20"/>
                <w:lang w:eastAsia="es-CR"/>
              </w:rPr>
            </w:pPr>
            <w:r w:rsidRPr="004E74A6">
              <w:rPr>
                <w:rFonts w:cs="Calibri"/>
                <w:color w:val="000000"/>
                <w:sz w:val="20"/>
              </w:rPr>
              <w:t>1</w:t>
            </w:r>
          </w:p>
        </w:tc>
        <w:tc>
          <w:tcPr>
            <w:tcW w:w="478" w:type="pct"/>
            <w:tcBorders>
              <w:top w:val="nil"/>
              <w:left w:val="single" w:sz="4" w:space="0" w:color="auto"/>
              <w:bottom w:val="nil"/>
              <w:right w:val="single" w:sz="4" w:space="0" w:color="auto"/>
            </w:tcBorders>
            <w:shd w:val="clear" w:color="auto" w:fill="auto"/>
            <w:noWrap/>
            <w:vAlign w:val="bottom"/>
            <w:hideMark/>
          </w:tcPr>
          <w:p w14:paraId="18A71AB1" w14:textId="341D485D" w:rsidR="00C34C5B" w:rsidRPr="004E74A6" w:rsidRDefault="00C34C5B" w:rsidP="00CE62C1">
            <w:pPr>
              <w:spacing w:line="276" w:lineRule="auto"/>
              <w:jc w:val="center"/>
              <w:rPr>
                <w:rFonts w:cs="Calibri"/>
                <w:color w:val="000000"/>
                <w:sz w:val="20"/>
                <w:lang w:eastAsia="es-CR"/>
              </w:rPr>
            </w:pPr>
            <w:r w:rsidRPr="004E74A6">
              <w:rPr>
                <w:rFonts w:cs="Calibri"/>
                <w:color w:val="000000"/>
                <w:sz w:val="20"/>
              </w:rPr>
              <w:t>3</w:t>
            </w:r>
          </w:p>
        </w:tc>
        <w:tc>
          <w:tcPr>
            <w:tcW w:w="637" w:type="pct"/>
            <w:tcBorders>
              <w:top w:val="nil"/>
              <w:left w:val="single" w:sz="4" w:space="0" w:color="auto"/>
              <w:bottom w:val="nil"/>
              <w:right w:val="nil"/>
            </w:tcBorders>
            <w:shd w:val="clear" w:color="auto" w:fill="auto"/>
            <w:noWrap/>
            <w:vAlign w:val="bottom"/>
            <w:hideMark/>
          </w:tcPr>
          <w:p w14:paraId="5DB7CA1F" w14:textId="2EEF1BEB" w:rsidR="00C34C5B" w:rsidRPr="004E74A6" w:rsidRDefault="00C34C5B" w:rsidP="00CE62C1">
            <w:pPr>
              <w:spacing w:line="276" w:lineRule="auto"/>
              <w:jc w:val="center"/>
              <w:rPr>
                <w:rFonts w:cs="Calibri"/>
                <w:color w:val="000000"/>
                <w:sz w:val="20"/>
                <w:lang w:eastAsia="es-CR"/>
              </w:rPr>
            </w:pPr>
            <w:r w:rsidRPr="004E74A6">
              <w:rPr>
                <w:rFonts w:cs="Calibri"/>
                <w:color w:val="000000"/>
                <w:sz w:val="20"/>
              </w:rPr>
              <w:t>1,3</w:t>
            </w:r>
          </w:p>
        </w:tc>
        <w:tc>
          <w:tcPr>
            <w:tcW w:w="1337" w:type="pct"/>
            <w:tcBorders>
              <w:top w:val="nil"/>
              <w:left w:val="single" w:sz="4" w:space="0" w:color="auto"/>
              <w:bottom w:val="nil"/>
              <w:right w:val="nil"/>
            </w:tcBorders>
            <w:shd w:val="clear" w:color="auto" w:fill="auto"/>
            <w:vAlign w:val="bottom"/>
          </w:tcPr>
          <w:p w14:paraId="7204A165" w14:textId="6E1C6A02" w:rsidR="00C34C5B" w:rsidRPr="004E74A6" w:rsidRDefault="00C34C5B" w:rsidP="00CE62C1">
            <w:pPr>
              <w:spacing w:line="276" w:lineRule="auto"/>
              <w:jc w:val="center"/>
              <w:rPr>
                <w:rFonts w:cs="Calibri"/>
                <w:color w:val="000000"/>
                <w:sz w:val="20"/>
              </w:rPr>
            </w:pPr>
            <w:r w:rsidRPr="004E74A6">
              <w:rPr>
                <w:rFonts w:cs="Calibri"/>
                <w:color w:val="000000"/>
                <w:sz w:val="20"/>
              </w:rPr>
              <w:t>66%</w:t>
            </w:r>
          </w:p>
        </w:tc>
      </w:tr>
      <w:tr w:rsidR="00357FBD" w:rsidRPr="004E74A6" w14:paraId="4791EE53" w14:textId="01419A77" w:rsidTr="00357FBD">
        <w:trPr>
          <w:trHeight w:val="288"/>
          <w:jc w:val="center"/>
        </w:trPr>
        <w:tc>
          <w:tcPr>
            <w:tcW w:w="1589" w:type="pct"/>
            <w:tcBorders>
              <w:top w:val="nil"/>
              <w:left w:val="nil"/>
              <w:bottom w:val="nil"/>
              <w:right w:val="single" w:sz="4" w:space="0" w:color="auto"/>
            </w:tcBorders>
            <w:shd w:val="clear" w:color="auto" w:fill="auto"/>
            <w:noWrap/>
            <w:vAlign w:val="bottom"/>
            <w:hideMark/>
          </w:tcPr>
          <w:p w14:paraId="06BADCD8" w14:textId="77777777" w:rsidR="00C34C5B" w:rsidRPr="004E74A6" w:rsidRDefault="00C34C5B" w:rsidP="00CE62C1">
            <w:pPr>
              <w:spacing w:line="276" w:lineRule="auto"/>
              <w:jc w:val="left"/>
              <w:rPr>
                <w:rFonts w:cs="Calibri"/>
                <w:color w:val="000000"/>
                <w:sz w:val="20"/>
                <w:lang w:eastAsia="es-CR"/>
              </w:rPr>
            </w:pPr>
            <w:r w:rsidRPr="004E74A6">
              <w:rPr>
                <w:rFonts w:cs="Calibri"/>
                <w:color w:val="000000"/>
                <w:sz w:val="20"/>
                <w:lang w:eastAsia="es-CR"/>
              </w:rPr>
              <w:t>De ¢35.000.001 A ¢40.000.000</w:t>
            </w:r>
          </w:p>
        </w:tc>
        <w:tc>
          <w:tcPr>
            <w:tcW w:w="481" w:type="pct"/>
            <w:tcBorders>
              <w:top w:val="nil"/>
              <w:left w:val="single" w:sz="4" w:space="0" w:color="auto"/>
              <w:bottom w:val="nil"/>
              <w:right w:val="single" w:sz="4" w:space="0" w:color="auto"/>
            </w:tcBorders>
            <w:shd w:val="clear" w:color="auto" w:fill="auto"/>
            <w:noWrap/>
            <w:vAlign w:val="bottom"/>
            <w:hideMark/>
          </w:tcPr>
          <w:p w14:paraId="49B6F0C2" w14:textId="260ED772" w:rsidR="00C34C5B" w:rsidRPr="004E74A6" w:rsidRDefault="00C34C5B" w:rsidP="00CE62C1">
            <w:pPr>
              <w:spacing w:line="276" w:lineRule="auto"/>
              <w:jc w:val="center"/>
              <w:rPr>
                <w:rFonts w:cs="Calibri"/>
                <w:color w:val="000000"/>
                <w:sz w:val="20"/>
                <w:lang w:eastAsia="es-CR"/>
              </w:rPr>
            </w:pPr>
            <w:r w:rsidRPr="004E74A6">
              <w:rPr>
                <w:rFonts w:cs="Calibri"/>
                <w:color w:val="000000"/>
                <w:sz w:val="20"/>
              </w:rPr>
              <w:t>0</w:t>
            </w:r>
          </w:p>
        </w:tc>
        <w:tc>
          <w:tcPr>
            <w:tcW w:w="478" w:type="pct"/>
            <w:tcBorders>
              <w:top w:val="nil"/>
              <w:left w:val="single" w:sz="4" w:space="0" w:color="auto"/>
              <w:bottom w:val="nil"/>
              <w:right w:val="single" w:sz="4" w:space="0" w:color="auto"/>
            </w:tcBorders>
            <w:shd w:val="clear" w:color="auto" w:fill="auto"/>
            <w:noWrap/>
            <w:vAlign w:val="bottom"/>
            <w:hideMark/>
          </w:tcPr>
          <w:p w14:paraId="0A3F155A" w14:textId="23261011" w:rsidR="00C34C5B" w:rsidRPr="004E74A6" w:rsidRDefault="00C34C5B" w:rsidP="00CE62C1">
            <w:pPr>
              <w:spacing w:line="276" w:lineRule="auto"/>
              <w:jc w:val="center"/>
              <w:rPr>
                <w:rFonts w:cs="Calibri"/>
                <w:color w:val="000000"/>
                <w:sz w:val="20"/>
                <w:lang w:eastAsia="es-CR"/>
              </w:rPr>
            </w:pPr>
            <w:r w:rsidRPr="004E74A6">
              <w:rPr>
                <w:rFonts w:cs="Calibri"/>
                <w:color w:val="000000"/>
                <w:sz w:val="20"/>
              </w:rPr>
              <w:t>3</w:t>
            </w:r>
          </w:p>
        </w:tc>
        <w:tc>
          <w:tcPr>
            <w:tcW w:w="478" w:type="pct"/>
            <w:tcBorders>
              <w:top w:val="nil"/>
              <w:left w:val="single" w:sz="4" w:space="0" w:color="auto"/>
              <w:bottom w:val="nil"/>
              <w:right w:val="single" w:sz="4" w:space="0" w:color="auto"/>
            </w:tcBorders>
            <w:shd w:val="clear" w:color="auto" w:fill="auto"/>
            <w:noWrap/>
            <w:vAlign w:val="bottom"/>
            <w:hideMark/>
          </w:tcPr>
          <w:p w14:paraId="3122CD20" w14:textId="58ECA69C" w:rsidR="00C34C5B" w:rsidRPr="004E74A6" w:rsidRDefault="00C34C5B" w:rsidP="00CE62C1">
            <w:pPr>
              <w:spacing w:line="276" w:lineRule="auto"/>
              <w:jc w:val="center"/>
              <w:rPr>
                <w:rFonts w:cs="Calibri"/>
                <w:color w:val="000000"/>
                <w:sz w:val="20"/>
                <w:lang w:eastAsia="es-CR"/>
              </w:rPr>
            </w:pPr>
            <w:r w:rsidRPr="004E74A6">
              <w:rPr>
                <w:rFonts w:cs="Calibri"/>
                <w:color w:val="000000"/>
                <w:sz w:val="20"/>
              </w:rPr>
              <w:t>4</w:t>
            </w:r>
          </w:p>
        </w:tc>
        <w:tc>
          <w:tcPr>
            <w:tcW w:w="637" w:type="pct"/>
            <w:tcBorders>
              <w:top w:val="nil"/>
              <w:left w:val="single" w:sz="4" w:space="0" w:color="auto"/>
              <w:bottom w:val="nil"/>
              <w:right w:val="nil"/>
            </w:tcBorders>
            <w:shd w:val="clear" w:color="auto" w:fill="auto"/>
            <w:noWrap/>
            <w:vAlign w:val="bottom"/>
            <w:hideMark/>
          </w:tcPr>
          <w:p w14:paraId="1F241DA4" w14:textId="3D04FB73" w:rsidR="00C34C5B" w:rsidRPr="004E74A6" w:rsidRDefault="00C34C5B" w:rsidP="00CE62C1">
            <w:pPr>
              <w:spacing w:line="276" w:lineRule="auto"/>
              <w:jc w:val="center"/>
              <w:rPr>
                <w:rFonts w:cs="Calibri"/>
                <w:color w:val="000000"/>
                <w:sz w:val="20"/>
                <w:lang w:eastAsia="es-CR"/>
              </w:rPr>
            </w:pPr>
            <w:r w:rsidRPr="004E74A6">
              <w:rPr>
                <w:rFonts w:cs="Calibri"/>
                <w:color w:val="000000"/>
                <w:sz w:val="20"/>
              </w:rPr>
              <w:t>2,3</w:t>
            </w:r>
          </w:p>
        </w:tc>
        <w:tc>
          <w:tcPr>
            <w:tcW w:w="1337" w:type="pct"/>
            <w:tcBorders>
              <w:top w:val="nil"/>
              <w:left w:val="single" w:sz="4" w:space="0" w:color="auto"/>
              <w:bottom w:val="nil"/>
              <w:right w:val="nil"/>
            </w:tcBorders>
            <w:shd w:val="clear" w:color="auto" w:fill="auto"/>
            <w:vAlign w:val="bottom"/>
          </w:tcPr>
          <w:p w14:paraId="4CCF7F5A" w14:textId="531BB7DA" w:rsidR="00C34C5B" w:rsidRPr="004E74A6" w:rsidRDefault="00C34C5B" w:rsidP="00CE62C1">
            <w:pPr>
              <w:spacing w:line="276" w:lineRule="auto"/>
              <w:jc w:val="center"/>
              <w:rPr>
                <w:rFonts w:cs="Calibri"/>
                <w:color w:val="000000"/>
                <w:sz w:val="20"/>
              </w:rPr>
            </w:pPr>
            <w:r w:rsidRPr="004E74A6">
              <w:rPr>
                <w:rFonts w:cs="Calibri"/>
                <w:color w:val="000000"/>
                <w:sz w:val="20"/>
              </w:rPr>
              <w:t>69%</w:t>
            </w:r>
          </w:p>
        </w:tc>
      </w:tr>
      <w:tr w:rsidR="00357FBD" w:rsidRPr="004E74A6" w14:paraId="1E23D7E3" w14:textId="5B7A41EB" w:rsidTr="00357FBD">
        <w:trPr>
          <w:trHeight w:val="288"/>
          <w:jc w:val="center"/>
        </w:trPr>
        <w:tc>
          <w:tcPr>
            <w:tcW w:w="1589" w:type="pct"/>
            <w:tcBorders>
              <w:top w:val="nil"/>
              <w:left w:val="nil"/>
              <w:bottom w:val="nil"/>
              <w:right w:val="single" w:sz="4" w:space="0" w:color="auto"/>
            </w:tcBorders>
            <w:shd w:val="clear" w:color="auto" w:fill="auto"/>
            <w:noWrap/>
            <w:vAlign w:val="bottom"/>
            <w:hideMark/>
          </w:tcPr>
          <w:p w14:paraId="4470C683" w14:textId="77777777" w:rsidR="00C34C5B" w:rsidRPr="004E74A6" w:rsidRDefault="00C34C5B" w:rsidP="00CE62C1">
            <w:pPr>
              <w:spacing w:line="276" w:lineRule="auto"/>
              <w:jc w:val="left"/>
              <w:rPr>
                <w:rFonts w:cs="Calibri"/>
                <w:color w:val="000000"/>
                <w:sz w:val="20"/>
                <w:lang w:eastAsia="es-CR"/>
              </w:rPr>
            </w:pPr>
            <w:r w:rsidRPr="004E74A6">
              <w:rPr>
                <w:rFonts w:cs="Calibri"/>
                <w:color w:val="000000"/>
                <w:sz w:val="20"/>
                <w:lang w:eastAsia="es-CR"/>
              </w:rPr>
              <w:t>De ¢40.000.001 A ¢45.000.000</w:t>
            </w:r>
          </w:p>
        </w:tc>
        <w:tc>
          <w:tcPr>
            <w:tcW w:w="481" w:type="pct"/>
            <w:tcBorders>
              <w:top w:val="nil"/>
              <w:left w:val="single" w:sz="4" w:space="0" w:color="auto"/>
              <w:bottom w:val="nil"/>
              <w:right w:val="single" w:sz="4" w:space="0" w:color="auto"/>
            </w:tcBorders>
            <w:shd w:val="clear" w:color="auto" w:fill="auto"/>
            <w:noWrap/>
            <w:vAlign w:val="bottom"/>
            <w:hideMark/>
          </w:tcPr>
          <w:p w14:paraId="357C59B2" w14:textId="44E4500A" w:rsidR="00C34C5B" w:rsidRPr="004E74A6" w:rsidRDefault="00C34C5B" w:rsidP="00CE62C1">
            <w:pPr>
              <w:spacing w:line="276" w:lineRule="auto"/>
              <w:jc w:val="center"/>
              <w:rPr>
                <w:rFonts w:cs="Calibri"/>
                <w:color w:val="000000"/>
                <w:sz w:val="20"/>
                <w:lang w:eastAsia="es-CR"/>
              </w:rPr>
            </w:pPr>
            <w:r w:rsidRPr="004E74A6">
              <w:rPr>
                <w:rFonts w:cs="Calibri"/>
                <w:color w:val="000000"/>
                <w:sz w:val="20"/>
              </w:rPr>
              <w:t>1</w:t>
            </w:r>
          </w:p>
        </w:tc>
        <w:tc>
          <w:tcPr>
            <w:tcW w:w="478" w:type="pct"/>
            <w:tcBorders>
              <w:top w:val="nil"/>
              <w:left w:val="single" w:sz="4" w:space="0" w:color="auto"/>
              <w:bottom w:val="nil"/>
              <w:right w:val="single" w:sz="4" w:space="0" w:color="auto"/>
            </w:tcBorders>
            <w:shd w:val="clear" w:color="auto" w:fill="auto"/>
            <w:noWrap/>
            <w:vAlign w:val="bottom"/>
            <w:hideMark/>
          </w:tcPr>
          <w:p w14:paraId="7E89CDCA" w14:textId="6728EC44" w:rsidR="00C34C5B" w:rsidRPr="004E74A6" w:rsidRDefault="00C34C5B" w:rsidP="00CE62C1">
            <w:pPr>
              <w:spacing w:line="276" w:lineRule="auto"/>
              <w:jc w:val="center"/>
              <w:rPr>
                <w:rFonts w:cs="Calibri"/>
                <w:color w:val="000000"/>
                <w:sz w:val="20"/>
                <w:lang w:eastAsia="es-CR"/>
              </w:rPr>
            </w:pPr>
            <w:r w:rsidRPr="004E74A6">
              <w:rPr>
                <w:rFonts w:cs="Calibri"/>
                <w:color w:val="000000"/>
                <w:sz w:val="20"/>
              </w:rPr>
              <w:t>1</w:t>
            </w:r>
          </w:p>
        </w:tc>
        <w:tc>
          <w:tcPr>
            <w:tcW w:w="478" w:type="pct"/>
            <w:tcBorders>
              <w:top w:val="nil"/>
              <w:left w:val="single" w:sz="4" w:space="0" w:color="auto"/>
              <w:bottom w:val="nil"/>
              <w:right w:val="single" w:sz="4" w:space="0" w:color="auto"/>
            </w:tcBorders>
            <w:shd w:val="clear" w:color="auto" w:fill="auto"/>
            <w:noWrap/>
            <w:vAlign w:val="bottom"/>
            <w:hideMark/>
          </w:tcPr>
          <w:p w14:paraId="07A8AD35" w14:textId="2CDCF4AC" w:rsidR="00C34C5B" w:rsidRPr="004E74A6" w:rsidRDefault="00C34C5B" w:rsidP="00CE62C1">
            <w:pPr>
              <w:spacing w:line="276" w:lineRule="auto"/>
              <w:jc w:val="center"/>
              <w:rPr>
                <w:rFonts w:cs="Calibri"/>
                <w:color w:val="000000"/>
                <w:sz w:val="20"/>
                <w:lang w:eastAsia="es-CR"/>
              </w:rPr>
            </w:pPr>
            <w:r w:rsidRPr="004E74A6">
              <w:rPr>
                <w:rFonts w:cs="Calibri"/>
                <w:color w:val="000000"/>
                <w:sz w:val="20"/>
              </w:rPr>
              <w:t>3</w:t>
            </w:r>
          </w:p>
        </w:tc>
        <w:tc>
          <w:tcPr>
            <w:tcW w:w="637" w:type="pct"/>
            <w:tcBorders>
              <w:top w:val="nil"/>
              <w:left w:val="single" w:sz="4" w:space="0" w:color="auto"/>
              <w:bottom w:val="nil"/>
              <w:right w:val="nil"/>
            </w:tcBorders>
            <w:shd w:val="clear" w:color="auto" w:fill="auto"/>
            <w:noWrap/>
            <w:vAlign w:val="bottom"/>
            <w:hideMark/>
          </w:tcPr>
          <w:p w14:paraId="6D09703D" w14:textId="152887E0" w:rsidR="00C34C5B" w:rsidRPr="004E74A6" w:rsidRDefault="00C34C5B" w:rsidP="00CE62C1">
            <w:pPr>
              <w:spacing w:line="276" w:lineRule="auto"/>
              <w:jc w:val="center"/>
              <w:rPr>
                <w:rFonts w:cs="Calibri"/>
                <w:color w:val="000000"/>
                <w:sz w:val="20"/>
                <w:lang w:eastAsia="es-CR"/>
              </w:rPr>
            </w:pPr>
            <w:r w:rsidRPr="004E74A6">
              <w:rPr>
                <w:rFonts w:cs="Calibri"/>
                <w:color w:val="000000"/>
                <w:sz w:val="20"/>
              </w:rPr>
              <w:t>1,7</w:t>
            </w:r>
          </w:p>
        </w:tc>
        <w:tc>
          <w:tcPr>
            <w:tcW w:w="1337" w:type="pct"/>
            <w:tcBorders>
              <w:top w:val="nil"/>
              <w:left w:val="single" w:sz="4" w:space="0" w:color="auto"/>
              <w:bottom w:val="nil"/>
              <w:right w:val="nil"/>
            </w:tcBorders>
            <w:shd w:val="clear" w:color="auto" w:fill="auto"/>
            <w:vAlign w:val="bottom"/>
          </w:tcPr>
          <w:p w14:paraId="7C3FC19D" w14:textId="6968FA0A" w:rsidR="00C34C5B" w:rsidRPr="004E74A6" w:rsidRDefault="00C34C5B" w:rsidP="00CE62C1">
            <w:pPr>
              <w:spacing w:line="276" w:lineRule="auto"/>
              <w:jc w:val="center"/>
              <w:rPr>
                <w:rFonts w:cs="Calibri"/>
                <w:color w:val="000000"/>
                <w:sz w:val="20"/>
              </w:rPr>
            </w:pPr>
            <w:r w:rsidRPr="004E74A6">
              <w:rPr>
                <w:rFonts w:cs="Calibri"/>
                <w:color w:val="000000"/>
                <w:sz w:val="20"/>
              </w:rPr>
              <w:t>71%</w:t>
            </w:r>
          </w:p>
        </w:tc>
      </w:tr>
      <w:tr w:rsidR="00357FBD" w:rsidRPr="004E74A6" w14:paraId="42118C4A" w14:textId="783FD70A" w:rsidTr="00357FBD">
        <w:trPr>
          <w:trHeight w:val="288"/>
          <w:jc w:val="center"/>
        </w:trPr>
        <w:tc>
          <w:tcPr>
            <w:tcW w:w="1589" w:type="pct"/>
            <w:tcBorders>
              <w:top w:val="nil"/>
              <w:left w:val="nil"/>
              <w:bottom w:val="nil"/>
              <w:right w:val="single" w:sz="4" w:space="0" w:color="auto"/>
            </w:tcBorders>
            <w:shd w:val="clear" w:color="auto" w:fill="auto"/>
            <w:noWrap/>
            <w:vAlign w:val="bottom"/>
            <w:hideMark/>
          </w:tcPr>
          <w:p w14:paraId="601DDF87" w14:textId="77777777" w:rsidR="00C34C5B" w:rsidRPr="004E74A6" w:rsidRDefault="00C34C5B" w:rsidP="00CE62C1">
            <w:pPr>
              <w:spacing w:line="276" w:lineRule="auto"/>
              <w:jc w:val="left"/>
              <w:rPr>
                <w:rFonts w:cs="Calibri"/>
                <w:color w:val="000000"/>
                <w:sz w:val="20"/>
                <w:lang w:eastAsia="es-CR"/>
              </w:rPr>
            </w:pPr>
            <w:r w:rsidRPr="004E74A6">
              <w:rPr>
                <w:rFonts w:cs="Calibri"/>
                <w:color w:val="000000"/>
                <w:sz w:val="20"/>
                <w:lang w:eastAsia="es-CR"/>
              </w:rPr>
              <w:t>De ¢45.000.001 A ¢50.000.000</w:t>
            </w:r>
          </w:p>
        </w:tc>
        <w:tc>
          <w:tcPr>
            <w:tcW w:w="481" w:type="pct"/>
            <w:tcBorders>
              <w:top w:val="nil"/>
              <w:left w:val="single" w:sz="4" w:space="0" w:color="auto"/>
              <w:bottom w:val="nil"/>
              <w:right w:val="single" w:sz="4" w:space="0" w:color="auto"/>
            </w:tcBorders>
            <w:shd w:val="clear" w:color="auto" w:fill="auto"/>
            <w:noWrap/>
            <w:vAlign w:val="bottom"/>
            <w:hideMark/>
          </w:tcPr>
          <w:p w14:paraId="7515237E" w14:textId="1DCA2AC1" w:rsidR="00C34C5B" w:rsidRPr="004E74A6" w:rsidRDefault="00C34C5B" w:rsidP="00CE62C1">
            <w:pPr>
              <w:spacing w:line="276" w:lineRule="auto"/>
              <w:jc w:val="center"/>
              <w:rPr>
                <w:rFonts w:cs="Calibri"/>
                <w:color w:val="000000"/>
                <w:sz w:val="20"/>
                <w:lang w:eastAsia="es-CR"/>
              </w:rPr>
            </w:pPr>
            <w:r w:rsidRPr="004E74A6">
              <w:rPr>
                <w:rFonts w:cs="Calibri"/>
                <w:color w:val="000000"/>
                <w:sz w:val="20"/>
              </w:rPr>
              <w:t>1</w:t>
            </w:r>
          </w:p>
        </w:tc>
        <w:tc>
          <w:tcPr>
            <w:tcW w:w="478" w:type="pct"/>
            <w:tcBorders>
              <w:top w:val="nil"/>
              <w:left w:val="single" w:sz="4" w:space="0" w:color="auto"/>
              <w:bottom w:val="nil"/>
              <w:right w:val="single" w:sz="4" w:space="0" w:color="auto"/>
            </w:tcBorders>
            <w:shd w:val="clear" w:color="auto" w:fill="auto"/>
            <w:noWrap/>
            <w:vAlign w:val="bottom"/>
            <w:hideMark/>
          </w:tcPr>
          <w:p w14:paraId="46FF96BA" w14:textId="2282050E" w:rsidR="00C34C5B" w:rsidRPr="004E74A6" w:rsidRDefault="00C34C5B" w:rsidP="00CE62C1">
            <w:pPr>
              <w:spacing w:line="276" w:lineRule="auto"/>
              <w:jc w:val="center"/>
              <w:rPr>
                <w:rFonts w:cs="Calibri"/>
                <w:color w:val="000000"/>
                <w:sz w:val="20"/>
                <w:lang w:eastAsia="es-CR"/>
              </w:rPr>
            </w:pPr>
            <w:r w:rsidRPr="004E74A6">
              <w:rPr>
                <w:rFonts w:cs="Calibri"/>
                <w:color w:val="000000"/>
                <w:sz w:val="20"/>
              </w:rPr>
              <w:t>1</w:t>
            </w:r>
          </w:p>
        </w:tc>
        <w:tc>
          <w:tcPr>
            <w:tcW w:w="478" w:type="pct"/>
            <w:tcBorders>
              <w:top w:val="nil"/>
              <w:left w:val="single" w:sz="4" w:space="0" w:color="auto"/>
              <w:bottom w:val="nil"/>
              <w:right w:val="single" w:sz="4" w:space="0" w:color="auto"/>
            </w:tcBorders>
            <w:shd w:val="clear" w:color="auto" w:fill="auto"/>
            <w:noWrap/>
            <w:vAlign w:val="bottom"/>
            <w:hideMark/>
          </w:tcPr>
          <w:p w14:paraId="56464472" w14:textId="743ADBD7" w:rsidR="00C34C5B" w:rsidRPr="004E74A6" w:rsidRDefault="00C34C5B" w:rsidP="00CE62C1">
            <w:pPr>
              <w:spacing w:line="276" w:lineRule="auto"/>
              <w:jc w:val="center"/>
              <w:rPr>
                <w:rFonts w:cs="Calibri"/>
                <w:color w:val="000000"/>
                <w:sz w:val="20"/>
                <w:lang w:eastAsia="es-CR"/>
              </w:rPr>
            </w:pPr>
            <w:r w:rsidRPr="004E74A6">
              <w:rPr>
                <w:rFonts w:cs="Calibri"/>
                <w:color w:val="000000"/>
                <w:sz w:val="20"/>
              </w:rPr>
              <w:t>4</w:t>
            </w:r>
          </w:p>
        </w:tc>
        <w:tc>
          <w:tcPr>
            <w:tcW w:w="637" w:type="pct"/>
            <w:tcBorders>
              <w:top w:val="nil"/>
              <w:left w:val="single" w:sz="4" w:space="0" w:color="auto"/>
              <w:bottom w:val="nil"/>
              <w:right w:val="nil"/>
            </w:tcBorders>
            <w:shd w:val="clear" w:color="auto" w:fill="auto"/>
            <w:noWrap/>
            <w:vAlign w:val="bottom"/>
            <w:hideMark/>
          </w:tcPr>
          <w:p w14:paraId="60BCB250" w14:textId="4C44ED3D" w:rsidR="00C34C5B" w:rsidRPr="004E74A6" w:rsidRDefault="00C34C5B" w:rsidP="00CE62C1">
            <w:pPr>
              <w:spacing w:line="276" w:lineRule="auto"/>
              <w:jc w:val="center"/>
              <w:rPr>
                <w:rFonts w:cs="Calibri"/>
                <w:color w:val="000000"/>
                <w:sz w:val="20"/>
                <w:lang w:eastAsia="es-CR"/>
              </w:rPr>
            </w:pPr>
            <w:r w:rsidRPr="004E74A6">
              <w:rPr>
                <w:rFonts w:cs="Calibri"/>
                <w:color w:val="000000"/>
                <w:sz w:val="20"/>
              </w:rPr>
              <w:t>2,0</w:t>
            </w:r>
          </w:p>
        </w:tc>
        <w:tc>
          <w:tcPr>
            <w:tcW w:w="1337" w:type="pct"/>
            <w:tcBorders>
              <w:top w:val="nil"/>
              <w:left w:val="single" w:sz="4" w:space="0" w:color="auto"/>
              <w:bottom w:val="nil"/>
              <w:right w:val="nil"/>
            </w:tcBorders>
            <w:shd w:val="clear" w:color="auto" w:fill="auto"/>
            <w:vAlign w:val="bottom"/>
          </w:tcPr>
          <w:p w14:paraId="4429913F" w14:textId="7B4D3549" w:rsidR="00C34C5B" w:rsidRPr="004E74A6" w:rsidRDefault="00C34C5B" w:rsidP="00CE62C1">
            <w:pPr>
              <w:spacing w:line="276" w:lineRule="auto"/>
              <w:jc w:val="center"/>
              <w:rPr>
                <w:rFonts w:cs="Calibri"/>
                <w:color w:val="000000"/>
                <w:sz w:val="20"/>
              </w:rPr>
            </w:pPr>
            <w:r w:rsidRPr="004E74A6">
              <w:rPr>
                <w:rFonts w:cs="Calibri"/>
                <w:color w:val="000000"/>
                <w:sz w:val="20"/>
              </w:rPr>
              <w:t>73%</w:t>
            </w:r>
          </w:p>
        </w:tc>
      </w:tr>
      <w:tr w:rsidR="00357FBD" w:rsidRPr="004E74A6" w14:paraId="78996647" w14:textId="70D074E0" w:rsidTr="00357FBD">
        <w:trPr>
          <w:trHeight w:val="288"/>
          <w:jc w:val="center"/>
        </w:trPr>
        <w:tc>
          <w:tcPr>
            <w:tcW w:w="1589" w:type="pct"/>
            <w:tcBorders>
              <w:top w:val="nil"/>
              <w:left w:val="nil"/>
              <w:bottom w:val="nil"/>
              <w:right w:val="single" w:sz="4" w:space="0" w:color="auto"/>
            </w:tcBorders>
            <w:shd w:val="clear" w:color="auto" w:fill="auto"/>
            <w:noWrap/>
            <w:vAlign w:val="bottom"/>
            <w:hideMark/>
          </w:tcPr>
          <w:p w14:paraId="363FDBEF" w14:textId="77777777" w:rsidR="00C34C5B" w:rsidRPr="004E74A6" w:rsidRDefault="00C34C5B" w:rsidP="00CE62C1">
            <w:pPr>
              <w:spacing w:line="276" w:lineRule="auto"/>
              <w:jc w:val="left"/>
              <w:rPr>
                <w:rFonts w:cs="Calibri"/>
                <w:color w:val="000000"/>
                <w:sz w:val="20"/>
                <w:lang w:eastAsia="es-CR"/>
              </w:rPr>
            </w:pPr>
            <w:r w:rsidRPr="004E74A6">
              <w:rPr>
                <w:rFonts w:cs="Calibri"/>
                <w:color w:val="000000"/>
                <w:sz w:val="20"/>
                <w:lang w:eastAsia="es-CR"/>
              </w:rPr>
              <w:t>De ¢50.000.001 A ¢55.000.000</w:t>
            </w:r>
          </w:p>
        </w:tc>
        <w:tc>
          <w:tcPr>
            <w:tcW w:w="481" w:type="pct"/>
            <w:tcBorders>
              <w:top w:val="nil"/>
              <w:left w:val="single" w:sz="4" w:space="0" w:color="auto"/>
              <w:bottom w:val="nil"/>
              <w:right w:val="single" w:sz="4" w:space="0" w:color="auto"/>
            </w:tcBorders>
            <w:shd w:val="clear" w:color="auto" w:fill="auto"/>
            <w:noWrap/>
            <w:vAlign w:val="bottom"/>
            <w:hideMark/>
          </w:tcPr>
          <w:p w14:paraId="4AE52CA0" w14:textId="4DE94BC4" w:rsidR="00C34C5B" w:rsidRPr="004E74A6" w:rsidRDefault="00C34C5B" w:rsidP="00CE62C1">
            <w:pPr>
              <w:spacing w:line="276" w:lineRule="auto"/>
              <w:jc w:val="center"/>
              <w:rPr>
                <w:rFonts w:cs="Calibri"/>
                <w:color w:val="000000"/>
                <w:sz w:val="20"/>
                <w:lang w:eastAsia="es-CR"/>
              </w:rPr>
            </w:pPr>
            <w:r w:rsidRPr="004E74A6">
              <w:rPr>
                <w:rFonts w:cs="Calibri"/>
                <w:color w:val="000000"/>
                <w:sz w:val="20"/>
              </w:rPr>
              <w:t>1</w:t>
            </w:r>
          </w:p>
        </w:tc>
        <w:tc>
          <w:tcPr>
            <w:tcW w:w="478" w:type="pct"/>
            <w:tcBorders>
              <w:top w:val="nil"/>
              <w:left w:val="single" w:sz="4" w:space="0" w:color="auto"/>
              <w:bottom w:val="nil"/>
              <w:right w:val="single" w:sz="4" w:space="0" w:color="auto"/>
            </w:tcBorders>
            <w:shd w:val="clear" w:color="auto" w:fill="auto"/>
            <w:noWrap/>
            <w:vAlign w:val="bottom"/>
            <w:hideMark/>
          </w:tcPr>
          <w:p w14:paraId="54EDD6EE" w14:textId="1CC1E006" w:rsidR="00C34C5B" w:rsidRPr="004E74A6" w:rsidRDefault="00C34C5B" w:rsidP="00CE62C1">
            <w:pPr>
              <w:spacing w:line="276" w:lineRule="auto"/>
              <w:jc w:val="center"/>
              <w:rPr>
                <w:rFonts w:cs="Calibri"/>
                <w:color w:val="000000"/>
                <w:sz w:val="20"/>
                <w:lang w:eastAsia="es-CR"/>
              </w:rPr>
            </w:pPr>
            <w:r w:rsidRPr="004E74A6">
              <w:rPr>
                <w:rFonts w:cs="Calibri"/>
                <w:color w:val="000000"/>
                <w:sz w:val="20"/>
              </w:rPr>
              <w:t>1</w:t>
            </w:r>
          </w:p>
        </w:tc>
        <w:tc>
          <w:tcPr>
            <w:tcW w:w="478" w:type="pct"/>
            <w:tcBorders>
              <w:top w:val="nil"/>
              <w:left w:val="single" w:sz="4" w:space="0" w:color="auto"/>
              <w:bottom w:val="nil"/>
              <w:right w:val="single" w:sz="4" w:space="0" w:color="auto"/>
            </w:tcBorders>
            <w:shd w:val="clear" w:color="auto" w:fill="auto"/>
            <w:noWrap/>
            <w:vAlign w:val="bottom"/>
            <w:hideMark/>
          </w:tcPr>
          <w:p w14:paraId="435B5C60" w14:textId="4A571459" w:rsidR="00C34C5B" w:rsidRPr="004E74A6" w:rsidRDefault="00C34C5B" w:rsidP="00CE62C1">
            <w:pPr>
              <w:spacing w:line="276" w:lineRule="auto"/>
              <w:jc w:val="center"/>
              <w:rPr>
                <w:rFonts w:cs="Calibri"/>
                <w:color w:val="000000"/>
                <w:sz w:val="20"/>
                <w:lang w:eastAsia="es-CR"/>
              </w:rPr>
            </w:pPr>
            <w:r w:rsidRPr="004E74A6">
              <w:rPr>
                <w:rFonts w:cs="Calibri"/>
                <w:color w:val="000000"/>
                <w:sz w:val="20"/>
              </w:rPr>
              <w:t>3</w:t>
            </w:r>
          </w:p>
        </w:tc>
        <w:tc>
          <w:tcPr>
            <w:tcW w:w="637" w:type="pct"/>
            <w:tcBorders>
              <w:top w:val="nil"/>
              <w:left w:val="single" w:sz="4" w:space="0" w:color="auto"/>
              <w:bottom w:val="nil"/>
              <w:right w:val="nil"/>
            </w:tcBorders>
            <w:shd w:val="clear" w:color="auto" w:fill="auto"/>
            <w:noWrap/>
            <w:vAlign w:val="bottom"/>
            <w:hideMark/>
          </w:tcPr>
          <w:p w14:paraId="22F3A8A4" w14:textId="6DDECADD" w:rsidR="00C34C5B" w:rsidRPr="004E74A6" w:rsidRDefault="00C34C5B" w:rsidP="00CE62C1">
            <w:pPr>
              <w:spacing w:line="276" w:lineRule="auto"/>
              <w:jc w:val="center"/>
              <w:rPr>
                <w:rFonts w:cs="Calibri"/>
                <w:color w:val="000000"/>
                <w:sz w:val="20"/>
                <w:lang w:eastAsia="es-CR"/>
              </w:rPr>
            </w:pPr>
            <w:r w:rsidRPr="004E74A6">
              <w:rPr>
                <w:rFonts w:cs="Calibri"/>
                <w:color w:val="000000"/>
                <w:sz w:val="20"/>
              </w:rPr>
              <w:t>1,7</w:t>
            </w:r>
          </w:p>
        </w:tc>
        <w:tc>
          <w:tcPr>
            <w:tcW w:w="1337" w:type="pct"/>
            <w:tcBorders>
              <w:top w:val="nil"/>
              <w:left w:val="single" w:sz="4" w:space="0" w:color="auto"/>
              <w:bottom w:val="nil"/>
              <w:right w:val="nil"/>
            </w:tcBorders>
            <w:shd w:val="clear" w:color="auto" w:fill="auto"/>
            <w:vAlign w:val="bottom"/>
          </w:tcPr>
          <w:p w14:paraId="0820B19C" w14:textId="5C0221B0" w:rsidR="00C34C5B" w:rsidRPr="004E74A6" w:rsidRDefault="00C34C5B" w:rsidP="00CE62C1">
            <w:pPr>
              <w:spacing w:line="276" w:lineRule="auto"/>
              <w:jc w:val="center"/>
              <w:rPr>
                <w:rFonts w:cs="Calibri"/>
                <w:color w:val="000000"/>
                <w:sz w:val="20"/>
              </w:rPr>
            </w:pPr>
            <w:r w:rsidRPr="004E74A6">
              <w:rPr>
                <w:rFonts w:cs="Calibri"/>
                <w:color w:val="000000"/>
                <w:sz w:val="20"/>
              </w:rPr>
              <w:t>76%</w:t>
            </w:r>
          </w:p>
        </w:tc>
      </w:tr>
      <w:tr w:rsidR="00357FBD" w:rsidRPr="004E74A6" w14:paraId="4A95B7AA" w14:textId="5368A086" w:rsidTr="00357FBD">
        <w:trPr>
          <w:trHeight w:val="288"/>
          <w:jc w:val="center"/>
        </w:trPr>
        <w:tc>
          <w:tcPr>
            <w:tcW w:w="1589" w:type="pct"/>
            <w:tcBorders>
              <w:top w:val="nil"/>
              <w:left w:val="nil"/>
              <w:bottom w:val="nil"/>
              <w:right w:val="single" w:sz="4" w:space="0" w:color="auto"/>
            </w:tcBorders>
            <w:shd w:val="clear" w:color="auto" w:fill="auto"/>
            <w:noWrap/>
            <w:vAlign w:val="bottom"/>
            <w:hideMark/>
          </w:tcPr>
          <w:p w14:paraId="2FF5B5AB" w14:textId="77777777" w:rsidR="00C34C5B" w:rsidRPr="004E74A6" w:rsidRDefault="00C34C5B" w:rsidP="00CE62C1">
            <w:pPr>
              <w:spacing w:line="276" w:lineRule="auto"/>
              <w:jc w:val="left"/>
              <w:rPr>
                <w:rFonts w:cs="Calibri"/>
                <w:color w:val="000000"/>
                <w:sz w:val="20"/>
                <w:lang w:eastAsia="es-CR"/>
              </w:rPr>
            </w:pPr>
            <w:r w:rsidRPr="004E74A6">
              <w:rPr>
                <w:rFonts w:cs="Calibri"/>
                <w:color w:val="000000"/>
                <w:sz w:val="20"/>
                <w:lang w:eastAsia="es-CR"/>
              </w:rPr>
              <w:t>De ¢60.000.001 A ¢65.000.000</w:t>
            </w:r>
          </w:p>
        </w:tc>
        <w:tc>
          <w:tcPr>
            <w:tcW w:w="481" w:type="pct"/>
            <w:tcBorders>
              <w:top w:val="nil"/>
              <w:left w:val="single" w:sz="4" w:space="0" w:color="auto"/>
              <w:bottom w:val="nil"/>
              <w:right w:val="single" w:sz="4" w:space="0" w:color="auto"/>
            </w:tcBorders>
            <w:shd w:val="clear" w:color="auto" w:fill="auto"/>
            <w:noWrap/>
            <w:vAlign w:val="bottom"/>
            <w:hideMark/>
          </w:tcPr>
          <w:p w14:paraId="00472EFA" w14:textId="17198403" w:rsidR="00C34C5B" w:rsidRPr="004E74A6" w:rsidRDefault="00C34C5B" w:rsidP="00CE62C1">
            <w:pPr>
              <w:spacing w:line="276" w:lineRule="auto"/>
              <w:jc w:val="center"/>
              <w:rPr>
                <w:rFonts w:cs="Calibri"/>
                <w:color w:val="000000"/>
                <w:sz w:val="20"/>
                <w:lang w:eastAsia="es-CR"/>
              </w:rPr>
            </w:pPr>
            <w:r w:rsidRPr="004E74A6">
              <w:rPr>
                <w:rFonts w:cs="Calibri"/>
                <w:color w:val="000000"/>
                <w:sz w:val="20"/>
              </w:rPr>
              <w:t>0</w:t>
            </w:r>
          </w:p>
        </w:tc>
        <w:tc>
          <w:tcPr>
            <w:tcW w:w="478" w:type="pct"/>
            <w:tcBorders>
              <w:top w:val="nil"/>
              <w:left w:val="single" w:sz="4" w:space="0" w:color="auto"/>
              <w:bottom w:val="nil"/>
              <w:right w:val="single" w:sz="4" w:space="0" w:color="auto"/>
            </w:tcBorders>
            <w:shd w:val="clear" w:color="auto" w:fill="auto"/>
            <w:noWrap/>
            <w:vAlign w:val="bottom"/>
            <w:hideMark/>
          </w:tcPr>
          <w:p w14:paraId="45E1D5BB" w14:textId="59ECE89F" w:rsidR="00C34C5B" w:rsidRPr="004E74A6" w:rsidRDefault="00C34C5B" w:rsidP="00CE62C1">
            <w:pPr>
              <w:spacing w:line="276" w:lineRule="auto"/>
              <w:jc w:val="center"/>
              <w:rPr>
                <w:rFonts w:cs="Calibri"/>
                <w:color w:val="000000"/>
                <w:sz w:val="20"/>
                <w:lang w:eastAsia="es-CR"/>
              </w:rPr>
            </w:pPr>
            <w:r w:rsidRPr="004E74A6">
              <w:rPr>
                <w:rFonts w:cs="Calibri"/>
                <w:color w:val="000000"/>
                <w:sz w:val="20"/>
              </w:rPr>
              <w:t>1</w:t>
            </w:r>
          </w:p>
        </w:tc>
        <w:tc>
          <w:tcPr>
            <w:tcW w:w="478" w:type="pct"/>
            <w:tcBorders>
              <w:top w:val="nil"/>
              <w:left w:val="single" w:sz="4" w:space="0" w:color="auto"/>
              <w:bottom w:val="nil"/>
              <w:right w:val="single" w:sz="4" w:space="0" w:color="auto"/>
            </w:tcBorders>
            <w:shd w:val="clear" w:color="auto" w:fill="auto"/>
            <w:noWrap/>
            <w:vAlign w:val="bottom"/>
            <w:hideMark/>
          </w:tcPr>
          <w:p w14:paraId="03D14786" w14:textId="70A4F35A" w:rsidR="00C34C5B" w:rsidRPr="004E74A6" w:rsidRDefault="00C34C5B" w:rsidP="00CE62C1">
            <w:pPr>
              <w:spacing w:line="276" w:lineRule="auto"/>
              <w:jc w:val="center"/>
              <w:rPr>
                <w:rFonts w:cs="Calibri"/>
                <w:color w:val="000000"/>
                <w:sz w:val="20"/>
                <w:lang w:eastAsia="es-CR"/>
              </w:rPr>
            </w:pPr>
            <w:r w:rsidRPr="004E74A6">
              <w:rPr>
                <w:rFonts w:cs="Calibri"/>
                <w:color w:val="000000"/>
                <w:sz w:val="20"/>
              </w:rPr>
              <w:t>0</w:t>
            </w:r>
          </w:p>
        </w:tc>
        <w:tc>
          <w:tcPr>
            <w:tcW w:w="637" w:type="pct"/>
            <w:tcBorders>
              <w:top w:val="nil"/>
              <w:left w:val="single" w:sz="4" w:space="0" w:color="auto"/>
              <w:bottom w:val="nil"/>
              <w:right w:val="nil"/>
            </w:tcBorders>
            <w:shd w:val="clear" w:color="auto" w:fill="auto"/>
            <w:noWrap/>
            <w:vAlign w:val="bottom"/>
            <w:hideMark/>
          </w:tcPr>
          <w:p w14:paraId="0EB1805A" w14:textId="6451AC11" w:rsidR="00C34C5B" w:rsidRPr="004E74A6" w:rsidRDefault="00C34C5B" w:rsidP="00CE62C1">
            <w:pPr>
              <w:spacing w:line="276" w:lineRule="auto"/>
              <w:jc w:val="center"/>
              <w:rPr>
                <w:rFonts w:cs="Calibri"/>
                <w:color w:val="000000"/>
                <w:sz w:val="20"/>
                <w:lang w:eastAsia="es-CR"/>
              </w:rPr>
            </w:pPr>
            <w:r w:rsidRPr="004E74A6">
              <w:rPr>
                <w:rFonts w:cs="Calibri"/>
                <w:color w:val="000000"/>
                <w:sz w:val="20"/>
              </w:rPr>
              <w:t>0,3</w:t>
            </w:r>
          </w:p>
        </w:tc>
        <w:tc>
          <w:tcPr>
            <w:tcW w:w="1337" w:type="pct"/>
            <w:tcBorders>
              <w:top w:val="nil"/>
              <w:left w:val="single" w:sz="4" w:space="0" w:color="auto"/>
              <w:bottom w:val="nil"/>
              <w:right w:val="nil"/>
            </w:tcBorders>
            <w:shd w:val="clear" w:color="auto" w:fill="auto"/>
            <w:vAlign w:val="bottom"/>
          </w:tcPr>
          <w:p w14:paraId="6FE3225F" w14:textId="58D333A1" w:rsidR="00C34C5B" w:rsidRPr="004E74A6" w:rsidRDefault="00C34C5B" w:rsidP="00CE62C1">
            <w:pPr>
              <w:spacing w:line="276" w:lineRule="auto"/>
              <w:jc w:val="center"/>
              <w:rPr>
                <w:rFonts w:cs="Calibri"/>
                <w:color w:val="000000"/>
                <w:sz w:val="20"/>
              </w:rPr>
            </w:pPr>
            <w:r w:rsidRPr="004E74A6">
              <w:rPr>
                <w:rFonts w:cs="Calibri"/>
                <w:color w:val="000000"/>
                <w:sz w:val="20"/>
              </w:rPr>
              <w:t>76%</w:t>
            </w:r>
          </w:p>
        </w:tc>
      </w:tr>
      <w:tr w:rsidR="00357FBD" w:rsidRPr="004E74A6" w14:paraId="41D85C31" w14:textId="069551E1" w:rsidTr="00357FBD">
        <w:trPr>
          <w:trHeight w:val="288"/>
          <w:jc w:val="center"/>
        </w:trPr>
        <w:tc>
          <w:tcPr>
            <w:tcW w:w="1589" w:type="pct"/>
            <w:tcBorders>
              <w:top w:val="nil"/>
              <w:left w:val="nil"/>
              <w:bottom w:val="nil"/>
              <w:right w:val="single" w:sz="4" w:space="0" w:color="auto"/>
            </w:tcBorders>
            <w:shd w:val="clear" w:color="auto" w:fill="auto"/>
            <w:noWrap/>
            <w:vAlign w:val="bottom"/>
            <w:hideMark/>
          </w:tcPr>
          <w:p w14:paraId="6CB3CCB9" w14:textId="77777777" w:rsidR="00C34C5B" w:rsidRPr="004E74A6" w:rsidRDefault="00C34C5B" w:rsidP="00CE62C1">
            <w:pPr>
              <w:spacing w:line="276" w:lineRule="auto"/>
              <w:jc w:val="left"/>
              <w:rPr>
                <w:rFonts w:cs="Calibri"/>
                <w:color w:val="000000"/>
                <w:sz w:val="20"/>
                <w:lang w:eastAsia="es-CR"/>
              </w:rPr>
            </w:pPr>
            <w:r w:rsidRPr="004E74A6">
              <w:rPr>
                <w:rFonts w:cs="Calibri"/>
                <w:color w:val="000000"/>
                <w:sz w:val="20"/>
                <w:lang w:eastAsia="es-CR"/>
              </w:rPr>
              <w:t>De ¢65.000.001 A ¢70.000.000</w:t>
            </w:r>
          </w:p>
        </w:tc>
        <w:tc>
          <w:tcPr>
            <w:tcW w:w="481" w:type="pct"/>
            <w:tcBorders>
              <w:top w:val="nil"/>
              <w:left w:val="single" w:sz="4" w:space="0" w:color="auto"/>
              <w:bottom w:val="nil"/>
              <w:right w:val="single" w:sz="4" w:space="0" w:color="auto"/>
            </w:tcBorders>
            <w:shd w:val="clear" w:color="auto" w:fill="auto"/>
            <w:noWrap/>
            <w:vAlign w:val="bottom"/>
            <w:hideMark/>
          </w:tcPr>
          <w:p w14:paraId="48C1B87D" w14:textId="1F38A15C" w:rsidR="00C34C5B" w:rsidRPr="004E74A6" w:rsidRDefault="00C34C5B" w:rsidP="00CE62C1">
            <w:pPr>
              <w:spacing w:line="276" w:lineRule="auto"/>
              <w:jc w:val="center"/>
              <w:rPr>
                <w:rFonts w:cs="Calibri"/>
                <w:color w:val="000000"/>
                <w:sz w:val="20"/>
                <w:lang w:eastAsia="es-CR"/>
              </w:rPr>
            </w:pPr>
            <w:r w:rsidRPr="004E74A6">
              <w:rPr>
                <w:rFonts w:cs="Calibri"/>
                <w:color w:val="000000"/>
                <w:sz w:val="20"/>
              </w:rPr>
              <w:t>1</w:t>
            </w:r>
          </w:p>
        </w:tc>
        <w:tc>
          <w:tcPr>
            <w:tcW w:w="478" w:type="pct"/>
            <w:tcBorders>
              <w:top w:val="nil"/>
              <w:left w:val="single" w:sz="4" w:space="0" w:color="auto"/>
              <w:bottom w:val="nil"/>
              <w:right w:val="single" w:sz="4" w:space="0" w:color="auto"/>
            </w:tcBorders>
            <w:shd w:val="clear" w:color="auto" w:fill="auto"/>
            <w:noWrap/>
            <w:vAlign w:val="bottom"/>
            <w:hideMark/>
          </w:tcPr>
          <w:p w14:paraId="4ACF60D0" w14:textId="5A930DAD" w:rsidR="00C34C5B" w:rsidRPr="004E74A6" w:rsidRDefault="00C34C5B" w:rsidP="00CE62C1">
            <w:pPr>
              <w:spacing w:line="276" w:lineRule="auto"/>
              <w:jc w:val="center"/>
              <w:rPr>
                <w:rFonts w:cs="Calibri"/>
                <w:color w:val="000000"/>
                <w:sz w:val="20"/>
                <w:lang w:eastAsia="es-CR"/>
              </w:rPr>
            </w:pPr>
            <w:r w:rsidRPr="004E74A6">
              <w:rPr>
                <w:rFonts w:cs="Calibri"/>
                <w:color w:val="000000"/>
                <w:sz w:val="20"/>
              </w:rPr>
              <w:t>0</w:t>
            </w:r>
          </w:p>
        </w:tc>
        <w:tc>
          <w:tcPr>
            <w:tcW w:w="478" w:type="pct"/>
            <w:tcBorders>
              <w:top w:val="nil"/>
              <w:left w:val="single" w:sz="4" w:space="0" w:color="auto"/>
              <w:bottom w:val="nil"/>
              <w:right w:val="single" w:sz="4" w:space="0" w:color="auto"/>
            </w:tcBorders>
            <w:shd w:val="clear" w:color="auto" w:fill="auto"/>
            <w:noWrap/>
            <w:vAlign w:val="bottom"/>
            <w:hideMark/>
          </w:tcPr>
          <w:p w14:paraId="10C1D765" w14:textId="1EF0C399" w:rsidR="00C34C5B" w:rsidRPr="004E74A6" w:rsidRDefault="00C34C5B" w:rsidP="00CE62C1">
            <w:pPr>
              <w:spacing w:line="276" w:lineRule="auto"/>
              <w:jc w:val="center"/>
              <w:rPr>
                <w:rFonts w:cs="Calibri"/>
                <w:color w:val="000000"/>
                <w:sz w:val="20"/>
                <w:lang w:eastAsia="es-CR"/>
              </w:rPr>
            </w:pPr>
            <w:r w:rsidRPr="004E74A6">
              <w:rPr>
                <w:rFonts w:cs="Calibri"/>
                <w:color w:val="000000"/>
                <w:sz w:val="20"/>
              </w:rPr>
              <w:t>2</w:t>
            </w:r>
          </w:p>
        </w:tc>
        <w:tc>
          <w:tcPr>
            <w:tcW w:w="637" w:type="pct"/>
            <w:tcBorders>
              <w:top w:val="nil"/>
              <w:left w:val="single" w:sz="4" w:space="0" w:color="auto"/>
              <w:bottom w:val="nil"/>
              <w:right w:val="nil"/>
            </w:tcBorders>
            <w:shd w:val="clear" w:color="auto" w:fill="auto"/>
            <w:noWrap/>
            <w:vAlign w:val="bottom"/>
            <w:hideMark/>
          </w:tcPr>
          <w:p w14:paraId="7770EA45" w14:textId="4A7BF6E3" w:rsidR="00C34C5B" w:rsidRPr="004E74A6" w:rsidRDefault="00C34C5B" w:rsidP="00CE62C1">
            <w:pPr>
              <w:spacing w:line="276" w:lineRule="auto"/>
              <w:jc w:val="center"/>
              <w:rPr>
                <w:rFonts w:cs="Calibri"/>
                <w:color w:val="000000"/>
                <w:sz w:val="20"/>
                <w:lang w:eastAsia="es-CR"/>
              </w:rPr>
            </w:pPr>
            <w:r w:rsidRPr="004E74A6">
              <w:rPr>
                <w:rFonts w:cs="Calibri"/>
                <w:color w:val="000000"/>
                <w:sz w:val="20"/>
              </w:rPr>
              <w:t>1,0</w:t>
            </w:r>
          </w:p>
        </w:tc>
        <w:tc>
          <w:tcPr>
            <w:tcW w:w="1337" w:type="pct"/>
            <w:tcBorders>
              <w:top w:val="nil"/>
              <w:left w:val="single" w:sz="4" w:space="0" w:color="auto"/>
              <w:bottom w:val="nil"/>
              <w:right w:val="nil"/>
            </w:tcBorders>
            <w:shd w:val="clear" w:color="auto" w:fill="auto"/>
            <w:vAlign w:val="bottom"/>
          </w:tcPr>
          <w:p w14:paraId="2972E6D4" w14:textId="39708766" w:rsidR="00C34C5B" w:rsidRPr="004E74A6" w:rsidRDefault="00C34C5B" w:rsidP="00CE62C1">
            <w:pPr>
              <w:spacing w:line="276" w:lineRule="auto"/>
              <w:jc w:val="center"/>
              <w:rPr>
                <w:rFonts w:cs="Calibri"/>
                <w:color w:val="000000"/>
                <w:sz w:val="20"/>
              </w:rPr>
            </w:pPr>
            <w:r w:rsidRPr="004E74A6">
              <w:rPr>
                <w:rFonts w:cs="Calibri"/>
                <w:color w:val="000000"/>
                <w:sz w:val="20"/>
              </w:rPr>
              <w:t>77%</w:t>
            </w:r>
          </w:p>
        </w:tc>
      </w:tr>
      <w:tr w:rsidR="00357FBD" w:rsidRPr="004E74A6" w14:paraId="13BD141F" w14:textId="2ACC8437" w:rsidTr="00357FBD">
        <w:trPr>
          <w:trHeight w:val="288"/>
          <w:jc w:val="center"/>
        </w:trPr>
        <w:tc>
          <w:tcPr>
            <w:tcW w:w="1589" w:type="pct"/>
            <w:tcBorders>
              <w:top w:val="nil"/>
              <w:left w:val="nil"/>
              <w:bottom w:val="nil"/>
              <w:right w:val="single" w:sz="4" w:space="0" w:color="auto"/>
            </w:tcBorders>
            <w:shd w:val="clear" w:color="auto" w:fill="auto"/>
            <w:noWrap/>
            <w:vAlign w:val="bottom"/>
            <w:hideMark/>
          </w:tcPr>
          <w:p w14:paraId="245598D9" w14:textId="77777777" w:rsidR="00C34C5B" w:rsidRPr="004E74A6" w:rsidRDefault="00C34C5B" w:rsidP="00CE62C1">
            <w:pPr>
              <w:spacing w:line="276" w:lineRule="auto"/>
              <w:jc w:val="left"/>
              <w:rPr>
                <w:rFonts w:cs="Calibri"/>
                <w:color w:val="000000"/>
                <w:sz w:val="20"/>
                <w:lang w:eastAsia="es-CR"/>
              </w:rPr>
            </w:pPr>
            <w:r w:rsidRPr="004E74A6">
              <w:rPr>
                <w:rFonts w:cs="Calibri"/>
                <w:color w:val="000000"/>
                <w:sz w:val="20"/>
                <w:lang w:eastAsia="es-CR"/>
              </w:rPr>
              <w:t>De ¢70.000.001 A ¢75.000.000</w:t>
            </w:r>
          </w:p>
        </w:tc>
        <w:tc>
          <w:tcPr>
            <w:tcW w:w="481" w:type="pct"/>
            <w:tcBorders>
              <w:top w:val="nil"/>
              <w:left w:val="single" w:sz="4" w:space="0" w:color="auto"/>
              <w:bottom w:val="nil"/>
              <w:right w:val="single" w:sz="4" w:space="0" w:color="auto"/>
            </w:tcBorders>
            <w:shd w:val="clear" w:color="auto" w:fill="auto"/>
            <w:noWrap/>
            <w:vAlign w:val="bottom"/>
            <w:hideMark/>
          </w:tcPr>
          <w:p w14:paraId="02D57688" w14:textId="10BB363D" w:rsidR="00C34C5B" w:rsidRPr="004E74A6" w:rsidRDefault="00C34C5B" w:rsidP="00CE62C1">
            <w:pPr>
              <w:spacing w:line="276" w:lineRule="auto"/>
              <w:jc w:val="center"/>
              <w:rPr>
                <w:rFonts w:cs="Calibri"/>
                <w:color w:val="000000"/>
                <w:sz w:val="20"/>
                <w:lang w:eastAsia="es-CR"/>
              </w:rPr>
            </w:pPr>
            <w:r w:rsidRPr="004E74A6">
              <w:rPr>
                <w:rFonts w:cs="Calibri"/>
                <w:color w:val="000000"/>
                <w:sz w:val="20"/>
              </w:rPr>
              <w:t>0</w:t>
            </w:r>
          </w:p>
        </w:tc>
        <w:tc>
          <w:tcPr>
            <w:tcW w:w="478" w:type="pct"/>
            <w:tcBorders>
              <w:top w:val="nil"/>
              <w:left w:val="single" w:sz="4" w:space="0" w:color="auto"/>
              <w:bottom w:val="nil"/>
              <w:right w:val="single" w:sz="4" w:space="0" w:color="auto"/>
            </w:tcBorders>
            <w:shd w:val="clear" w:color="auto" w:fill="auto"/>
            <w:noWrap/>
            <w:vAlign w:val="bottom"/>
            <w:hideMark/>
          </w:tcPr>
          <w:p w14:paraId="5230EDA3" w14:textId="5446FAF9" w:rsidR="00C34C5B" w:rsidRPr="004E74A6" w:rsidRDefault="00C34C5B" w:rsidP="00CE62C1">
            <w:pPr>
              <w:spacing w:line="276" w:lineRule="auto"/>
              <w:jc w:val="center"/>
              <w:rPr>
                <w:rFonts w:cs="Calibri"/>
                <w:color w:val="000000"/>
                <w:sz w:val="20"/>
                <w:lang w:eastAsia="es-CR"/>
              </w:rPr>
            </w:pPr>
            <w:r w:rsidRPr="004E74A6">
              <w:rPr>
                <w:rFonts w:cs="Calibri"/>
                <w:color w:val="000000"/>
                <w:sz w:val="20"/>
              </w:rPr>
              <w:t>1</w:t>
            </w:r>
          </w:p>
        </w:tc>
        <w:tc>
          <w:tcPr>
            <w:tcW w:w="478" w:type="pct"/>
            <w:tcBorders>
              <w:top w:val="nil"/>
              <w:left w:val="single" w:sz="4" w:space="0" w:color="auto"/>
              <w:bottom w:val="nil"/>
              <w:right w:val="single" w:sz="4" w:space="0" w:color="auto"/>
            </w:tcBorders>
            <w:shd w:val="clear" w:color="auto" w:fill="auto"/>
            <w:noWrap/>
            <w:vAlign w:val="bottom"/>
            <w:hideMark/>
          </w:tcPr>
          <w:p w14:paraId="3A1962D4" w14:textId="064FC77E" w:rsidR="00C34C5B" w:rsidRPr="004E74A6" w:rsidRDefault="00C34C5B" w:rsidP="00CE62C1">
            <w:pPr>
              <w:spacing w:line="276" w:lineRule="auto"/>
              <w:jc w:val="center"/>
              <w:rPr>
                <w:rFonts w:cs="Calibri"/>
                <w:color w:val="000000"/>
                <w:sz w:val="20"/>
                <w:lang w:eastAsia="es-CR"/>
              </w:rPr>
            </w:pPr>
            <w:r w:rsidRPr="004E74A6">
              <w:rPr>
                <w:rFonts w:cs="Calibri"/>
                <w:color w:val="000000"/>
                <w:sz w:val="20"/>
              </w:rPr>
              <w:t>1</w:t>
            </w:r>
          </w:p>
        </w:tc>
        <w:tc>
          <w:tcPr>
            <w:tcW w:w="637" w:type="pct"/>
            <w:tcBorders>
              <w:top w:val="nil"/>
              <w:left w:val="single" w:sz="4" w:space="0" w:color="auto"/>
              <w:bottom w:val="nil"/>
              <w:right w:val="nil"/>
            </w:tcBorders>
            <w:shd w:val="clear" w:color="auto" w:fill="auto"/>
            <w:noWrap/>
            <w:vAlign w:val="bottom"/>
            <w:hideMark/>
          </w:tcPr>
          <w:p w14:paraId="7AF13CF9" w14:textId="7A107F59" w:rsidR="00C34C5B" w:rsidRPr="004E74A6" w:rsidRDefault="00C34C5B" w:rsidP="00CE62C1">
            <w:pPr>
              <w:spacing w:line="276" w:lineRule="auto"/>
              <w:jc w:val="center"/>
              <w:rPr>
                <w:rFonts w:cs="Calibri"/>
                <w:color w:val="000000"/>
                <w:sz w:val="20"/>
                <w:lang w:eastAsia="es-CR"/>
              </w:rPr>
            </w:pPr>
            <w:r w:rsidRPr="004E74A6">
              <w:rPr>
                <w:rFonts w:cs="Calibri"/>
                <w:color w:val="000000"/>
                <w:sz w:val="20"/>
              </w:rPr>
              <w:t>0,7</w:t>
            </w:r>
          </w:p>
        </w:tc>
        <w:tc>
          <w:tcPr>
            <w:tcW w:w="1337" w:type="pct"/>
            <w:tcBorders>
              <w:top w:val="nil"/>
              <w:left w:val="single" w:sz="4" w:space="0" w:color="auto"/>
              <w:bottom w:val="nil"/>
              <w:right w:val="nil"/>
            </w:tcBorders>
            <w:shd w:val="clear" w:color="auto" w:fill="auto"/>
            <w:vAlign w:val="bottom"/>
          </w:tcPr>
          <w:p w14:paraId="02F9018F" w14:textId="2D071AB7" w:rsidR="00C34C5B" w:rsidRPr="004E74A6" w:rsidRDefault="00C34C5B" w:rsidP="00CE62C1">
            <w:pPr>
              <w:spacing w:line="276" w:lineRule="auto"/>
              <w:jc w:val="center"/>
              <w:rPr>
                <w:rFonts w:cs="Calibri"/>
                <w:color w:val="000000"/>
                <w:sz w:val="20"/>
              </w:rPr>
            </w:pPr>
            <w:r w:rsidRPr="004E74A6">
              <w:rPr>
                <w:rFonts w:cs="Calibri"/>
                <w:color w:val="000000"/>
                <w:sz w:val="20"/>
              </w:rPr>
              <w:t>78%</w:t>
            </w:r>
          </w:p>
        </w:tc>
      </w:tr>
      <w:tr w:rsidR="00357FBD" w:rsidRPr="004E74A6" w14:paraId="498F95CA" w14:textId="4885B1ED" w:rsidTr="00357FBD">
        <w:trPr>
          <w:trHeight w:val="288"/>
          <w:jc w:val="center"/>
        </w:trPr>
        <w:tc>
          <w:tcPr>
            <w:tcW w:w="1589" w:type="pct"/>
            <w:tcBorders>
              <w:top w:val="nil"/>
              <w:left w:val="nil"/>
              <w:bottom w:val="nil"/>
              <w:right w:val="single" w:sz="4" w:space="0" w:color="auto"/>
            </w:tcBorders>
            <w:shd w:val="clear" w:color="auto" w:fill="auto"/>
            <w:noWrap/>
            <w:vAlign w:val="bottom"/>
            <w:hideMark/>
          </w:tcPr>
          <w:p w14:paraId="57B99FE2" w14:textId="77777777" w:rsidR="00C34C5B" w:rsidRPr="004E74A6" w:rsidRDefault="00C34C5B" w:rsidP="00CE62C1">
            <w:pPr>
              <w:spacing w:line="276" w:lineRule="auto"/>
              <w:jc w:val="left"/>
              <w:rPr>
                <w:rFonts w:cs="Calibri"/>
                <w:color w:val="000000"/>
                <w:sz w:val="20"/>
                <w:lang w:eastAsia="es-CR"/>
              </w:rPr>
            </w:pPr>
            <w:r w:rsidRPr="004E74A6">
              <w:rPr>
                <w:rFonts w:cs="Calibri"/>
                <w:color w:val="000000"/>
                <w:sz w:val="20"/>
                <w:lang w:eastAsia="es-CR"/>
              </w:rPr>
              <w:t>De ¢75.000.001 A ¢80.000.000</w:t>
            </w:r>
          </w:p>
        </w:tc>
        <w:tc>
          <w:tcPr>
            <w:tcW w:w="481" w:type="pct"/>
            <w:tcBorders>
              <w:top w:val="nil"/>
              <w:left w:val="single" w:sz="4" w:space="0" w:color="auto"/>
              <w:bottom w:val="nil"/>
              <w:right w:val="single" w:sz="4" w:space="0" w:color="auto"/>
            </w:tcBorders>
            <w:shd w:val="clear" w:color="auto" w:fill="auto"/>
            <w:noWrap/>
            <w:vAlign w:val="bottom"/>
            <w:hideMark/>
          </w:tcPr>
          <w:p w14:paraId="07378AE7" w14:textId="2266CBEF" w:rsidR="00C34C5B" w:rsidRPr="004E74A6" w:rsidRDefault="00C34C5B" w:rsidP="00CE62C1">
            <w:pPr>
              <w:spacing w:line="276" w:lineRule="auto"/>
              <w:jc w:val="center"/>
              <w:rPr>
                <w:rFonts w:cs="Calibri"/>
                <w:color w:val="000000"/>
                <w:sz w:val="20"/>
                <w:lang w:eastAsia="es-CR"/>
              </w:rPr>
            </w:pPr>
            <w:r w:rsidRPr="004E74A6">
              <w:rPr>
                <w:rFonts w:cs="Calibri"/>
                <w:color w:val="000000"/>
                <w:sz w:val="20"/>
              </w:rPr>
              <w:t>2</w:t>
            </w:r>
          </w:p>
        </w:tc>
        <w:tc>
          <w:tcPr>
            <w:tcW w:w="478" w:type="pct"/>
            <w:tcBorders>
              <w:top w:val="nil"/>
              <w:left w:val="single" w:sz="4" w:space="0" w:color="auto"/>
              <w:bottom w:val="nil"/>
              <w:right w:val="single" w:sz="4" w:space="0" w:color="auto"/>
            </w:tcBorders>
            <w:shd w:val="clear" w:color="auto" w:fill="auto"/>
            <w:noWrap/>
            <w:vAlign w:val="bottom"/>
            <w:hideMark/>
          </w:tcPr>
          <w:p w14:paraId="78D885AC" w14:textId="5CAA441F" w:rsidR="00C34C5B" w:rsidRPr="004E74A6" w:rsidRDefault="00C34C5B" w:rsidP="00CE62C1">
            <w:pPr>
              <w:spacing w:line="276" w:lineRule="auto"/>
              <w:jc w:val="center"/>
              <w:rPr>
                <w:rFonts w:cs="Calibri"/>
                <w:color w:val="000000"/>
                <w:sz w:val="20"/>
                <w:lang w:eastAsia="es-CR"/>
              </w:rPr>
            </w:pPr>
            <w:r w:rsidRPr="004E74A6">
              <w:rPr>
                <w:rFonts w:cs="Calibri"/>
                <w:color w:val="000000"/>
                <w:sz w:val="20"/>
              </w:rPr>
              <w:t>0</w:t>
            </w:r>
          </w:p>
        </w:tc>
        <w:tc>
          <w:tcPr>
            <w:tcW w:w="478" w:type="pct"/>
            <w:tcBorders>
              <w:top w:val="nil"/>
              <w:left w:val="single" w:sz="4" w:space="0" w:color="auto"/>
              <w:bottom w:val="nil"/>
              <w:right w:val="single" w:sz="4" w:space="0" w:color="auto"/>
            </w:tcBorders>
            <w:shd w:val="clear" w:color="auto" w:fill="auto"/>
            <w:noWrap/>
            <w:vAlign w:val="bottom"/>
            <w:hideMark/>
          </w:tcPr>
          <w:p w14:paraId="258D1BCF" w14:textId="0B04513A" w:rsidR="00C34C5B" w:rsidRPr="004E74A6" w:rsidRDefault="00C34C5B" w:rsidP="00CE62C1">
            <w:pPr>
              <w:spacing w:line="276" w:lineRule="auto"/>
              <w:jc w:val="center"/>
              <w:rPr>
                <w:sz w:val="20"/>
                <w:lang w:eastAsia="es-CR"/>
              </w:rPr>
            </w:pPr>
            <w:r w:rsidRPr="004E74A6">
              <w:rPr>
                <w:rFonts w:cs="Calibri"/>
                <w:color w:val="000000"/>
                <w:sz w:val="20"/>
              </w:rPr>
              <w:t>0</w:t>
            </w:r>
          </w:p>
        </w:tc>
        <w:tc>
          <w:tcPr>
            <w:tcW w:w="637" w:type="pct"/>
            <w:tcBorders>
              <w:top w:val="nil"/>
              <w:left w:val="single" w:sz="4" w:space="0" w:color="auto"/>
              <w:bottom w:val="nil"/>
              <w:right w:val="nil"/>
            </w:tcBorders>
            <w:shd w:val="clear" w:color="auto" w:fill="auto"/>
            <w:noWrap/>
            <w:vAlign w:val="bottom"/>
            <w:hideMark/>
          </w:tcPr>
          <w:p w14:paraId="3170A5A6" w14:textId="62D32655" w:rsidR="00C34C5B" w:rsidRPr="004E74A6" w:rsidRDefault="00C34C5B" w:rsidP="00CE62C1">
            <w:pPr>
              <w:spacing w:line="276" w:lineRule="auto"/>
              <w:jc w:val="center"/>
              <w:rPr>
                <w:rFonts w:cs="Calibri"/>
                <w:color w:val="000000"/>
                <w:sz w:val="20"/>
                <w:lang w:eastAsia="es-CR"/>
              </w:rPr>
            </w:pPr>
            <w:r w:rsidRPr="004E74A6">
              <w:rPr>
                <w:rFonts w:cs="Calibri"/>
                <w:color w:val="000000"/>
                <w:sz w:val="20"/>
              </w:rPr>
              <w:t>0,7</w:t>
            </w:r>
          </w:p>
        </w:tc>
        <w:tc>
          <w:tcPr>
            <w:tcW w:w="1337" w:type="pct"/>
            <w:tcBorders>
              <w:top w:val="nil"/>
              <w:left w:val="single" w:sz="4" w:space="0" w:color="auto"/>
              <w:bottom w:val="nil"/>
              <w:right w:val="nil"/>
            </w:tcBorders>
            <w:shd w:val="clear" w:color="auto" w:fill="auto"/>
            <w:vAlign w:val="bottom"/>
          </w:tcPr>
          <w:p w14:paraId="4C07AA0A" w14:textId="04989CFA" w:rsidR="00C34C5B" w:rsidRPr="004E74A6" w:rsidRDefault="00C34C5B" w:rsidP="00CE62C1">
            <w:pPr>
              <w:spacing w:line="276" w:lineRule="auto"/>
              <w:jc w:val="center"/>
              <w:rPr>
                <w:rFonts w:cs="Calibri"/>
                <w:color w:val="000000"/>
                <w:sz w:val="20"/>
              </w:rPr>
            </w:pPr>
            <w:r w:rsidRPr="004E74A6">
              <w:rPr>
                <w:rFonts w:cs="Calibri"/>
                <w:color w:val="000000"/>
                <w:sz w:val="20"/>
              </w:rPr>
              <w:t>79%</w:t>
            </w:r>
          </w:p>
        </w:tc>
      </w:tr>
      <w:tr w:rsidR="00357FBD" w:rsidRPr="004E74A6" w14:paraId="7607E2D6" w14:textId="4C1B4FDB" w:rsidTr="00357FBD">
        <w:trPr>
          <w:trHeight w:val="288"/>
          <w:jc w:val="center"/>
        </w:trPr>
        <w:tc>
          <w:tcPr>
            <w:tcW w:w="1589" w:type="pct"/>
            <w:tcBorders>
              <w:top w:val="nil"/>
              <w:left w:val="nil"/>
              <w:bottom w:val="nil"/>
              <w:right w:val="single" w:sz="4" w:space="0" w:color="auto"/>
            </w:tcBorders>
            <w:shd w:val="clear" w:color="auto" w:fill="auto"/>
            <w:noWrap/>
            <w:vAlign w:val="bottom"/>
            <w:hideMark/>
          </w:tcPr>
          <w:p w14:paraId="247240F9" w14:textId="77777777" w:rsidR="00C34C5B" w:rsidRPr="004E74A6" w:rsidRDefault="00C34C5B" w:rsidP="00CE62C1">
            <w:pPr>
              <w:spacing w:line="276" w:lineRule="auto"/>
              <w:jc w:val="left"/>
              <w:rPr>
                <w:rFonts w:cs="Calibri"/>
                <w:color w:val="000000"/>
                <w:sz w:val="20"/>
                <w:lang w:eastAsia="es-CR"/>
              </w:rPr>
            </w:pPr>
            <w:r w:rsidRPr="004E74A6">
              <w:rPr>
                <w:rFonts w:cs="Calibri"/>
                <w:color w:val="000000"/>
                <w:sz w:val="20"/>
                <w:lang w:eastAsia="es-CR"/>
              </w:rPr>
              <w:t>De ¢90.000.001 A ¢95.000.000</w:t>
            </w:r>
          </w:p>
        </w:tc>
        <w:tc>
          <w:tcPr>
            <w:tcW w:w="481" w:type="pct"/>
            <w:tcBorders>
              <w:top w:val="nil"/>
              <w:left w:val="single" w:sz="4" w:space="0" w:color="auto"/>
              <w:bottom w:val="nil"/>
              <w:right w:val="single" w:sz="4" w:space="0" w:color="auto"/>
            </w:tcBorders>
            <w:shd w:val="clear" w:color="auto" w:fill="auto"/>
            <w:noWrap/>
            <w:vAlign w:val="bottom"/>
            <w:hideMark/>
          </w:tcPr>
          <w:p w14:paraId="4E335B16" w14:textId="59727C9E" w:rsidR="00C34C5B" w:rsidRPr="004E74A6" w:rsidRDefault="00C34C5B" w:rsidP="00CE62C1">
            <w:pPr>
              <w:spacing w:line="276" w:lineRule="auto"/>
              <w:jc w:val="center"/>
              <w:rPr>
                <w:rFonts w:cs="Calibri"/>
                <w:color w:val="000000"/>
                <w:sz w:val="20"/>
                <w:lang w:eastAsia="es-CR"/>
              </w:rPr>
            </w:pPr>
            <w:r w:rsidRPr="004E74A6">
              <w:rPr>
                <w:rFonts w:cs="Calibri"/>
                <w:color w:val="000000"/>
                <w:sz w:val="20"/>
              </w:rPr>
              <w:t>0</w:t>
            </w:r>
          </w:p>
        </w:tc>
        <w:tc>
          <w:tcPr>
            <w:tcW w:w="478" w:type="pct"/>
            <w:tcBorders>
              <w:top w:val="nil"/>
              <w:left w:val="single" w:sz="4" w:space="0" w:color="auto"/>
              <w:bottom w:val="nil"/>
              <w:right w:val="single" w:sz="4" w:space="0" w:color="auto"/>
            </w:tcBorders>
            <w:shd w:val="clear" w:color="auto" w:fill="auto"/>
            <w:noWrap/>
            <w:vAlign w:val="bottom"/>
            <w:hideMark/>
          </w:tcPr>
          <w:p w14:paraId="233A3189" w14:textId="2C076C77" w:rsidR="00C34C5B" w:rsidRPr="004E74A6" w:rsidRDefault="00C34C5B" w:rsidP="00CE62C1">
            <w:pPr>
              <w:spacing w:line="276" w:lineRule="auto"/>
              <w:jc w:val="center"/>
              <w:rPr>
                <w:rFonts w:cs="Calibri"/>
                <w:color w:val="000000"/>
                <w:sz w:val="20"/>
                <w:lang w:eastAsia="es-CR"/>
              </w:rPr>
            </w:pPr>
            <w:r w:rsidRPr="004E74A6">
              <w:rPr>
                <w:rFonts w:cs="Calibri"/>
                <w:color w:val="000000"/>
                <w:sz w:val="20"/>
              </w:rPr>
              <w:t>1</w:t>
            </w:r>
          </w:p>
        </w:tc>
        <w:tc>
          <w:tcPr>
            <w:tcW w:w="478" w:type="pct"/>
            <w:tcBorders>
              <w:top w:val="nil"/>
              <w:left w:val="single" w:sz="4" w:space="0" w:color="auto"/>
              <w:bottom w:val="nil"/>
              <w:right w:val="single" w:sz="4" w:space="0" w:color="auto"/>
            </w:tcBorders>
            <w:shd w:val="clear" w:color="auto" w:fill="auto"/>
            <w:noWrap/>
            <w:vAlign w:val="bottom"/>
            <w:hideMark/>
          </w:tcPr>
          <w:p w14:paraId="0A8B26BF" w14:textId="33D8E3E1" w:rsidR="00C34C5B" w:rsidRPr="004E74A6" w:rsidRDefault="00C34C5B" w:rsidP="00CE62C1">
            <w:pPr>
              <w:spacing w:line="276" w:lineRule="auto"/>
              <w:jc w:val="center"/>
              <w:rPr>
                <w:rFonts w:cs="Calibri"/>
                <w:color w:val="000000"/>
                <w:sz w:val="20"/>
                <w:lang w:eastAsia="es-CR"/>
              </w:rPr>
            </w:pPr>
            <w:r w:rsidRPr="004E74A6">
              <w:rPr>
                <w:rFonts w:cs="Calibri"/>
                <w:color w:val="000000"/>
                <w:sz w:val="20"/>
              </w:rPr>
              <w:t>0</w:t>
            </w:r>
          </w:p>
        </w:tc>
        <w:tc>
          <w:tcPr>
            <w:tcW w:w="637" w:type="pct"/>
            <w:tcBorders>
              <w:top w:val="nil"/>
              <w:left w:val="single" w:sz="4" w:space="0" w:color="auto"/>
              <w:bottom w:val="nil"/>
              <w:right w:val="nil"/>
            </w:tcBorders>
            <w:shd w:val="clear" w:color="auto" w:fill="auto"/>
            <w:noWrap/>
            <w:vAlign w:val="bottom"/>
            <w:hideMark/>
          </w:tcPr>
          <w:p w14:paraId="175A15ED" w14:textId="12B7B282" w:rsidR="00C34C5B" w:rsidRPr="004E74A6" w:rsidRDefault="00C34C5B" w:rsidP="00CE62C1">
            <w:pPr>
              <w:spacing w:line="276" w:lineRule="auto"/>
              <w:jc w:val="center"/>
              <w:rPr>
                <w:rFonts w:cs="Calibri"/>
                <w:color w:val="000000"/>
                <w:sz w:val="20"/>
                <w:lang w:eastAsia="es-CR"/>
              </w:rPr>
            </w:pPr>
            <w:r w:rsidRPr="004E74A6">
              <w:rPr>
                <w:rFonts w:cs="Calibri"/>
                <w:color w:val="000000"/>
                <w:sz w:val="20"/>
              </w:rPr>
              <w:t>0,3</w:t>
            </w:r>
          </w:p>
        </w:tc>
        <w:tc>
          <w:tcPr>
            <w:tcW w:w="1337" w:type="pct"/>
            <w:tcBorders>
              <w:top w:val="nil"/>
              <w:left w:val="single" w:sz="4" w:space="0" w:color="auto"/>
              <w:bottom w:val="nil"/>
              <w:right w:val="nil"/>
            </w:tcBorders>
            <w:shd w:val="clear" w:color="auto" w:fill="auto"/>
            <w:vAlign w:val="bottom"/>
          </w:tcPr>
          <w:p w14:paraId="4ED35435" w14:textId="6DCAC2AA" w:rsidR="00C34C5B" w:rsidRPr="004E74A6" w:rsidRDefault="00C34C5B" w:rsidP="00CE62C1">
            <w:pPr>
              <w:spacing w:line="276" w:lineRule="auto"/>
              <w:jc w:val="center"/>
              <w:rPr>
                <w:rFonts w:cs="Calibri"/>
                <w:color w:val="000000"/>
                <w:sz w:val="20"/>
              </w:rPr>
            </w:pPr>
            <w:r w:rsidRPr="004E74A6">
              <w:rPr>
                <w:rFonts w:cs="Calibri"/>
                <w:color w:val="000000"/>
                <w:sz w:val="20"/>
              </w:rPr>
              <w:t>79%</w:t>
            </w:r>
          </w:p>
        </w:tc>
      </w:tr>
      <w:tr w:rsidR="00357FBD" w:rsidRPr="004E74A6" w14:paraId="1FAC2B01" w14:textId="57952804" w:rsidTr="00357FBD">
        <w:trPr>
          <w:trHeight w:val="288"/>
          <w:jc w:val="center"/>
        </w:trPr>
        <w:tc>
          <w:tcPr>
            <w:tcW w:w="1589" w:type="pct"/>
            <w:tcBorders>
              <w:top w:val="nil"/>
              <w:left w:val="nil"/>
              <w:bottom w:val="nil"/>
              <w:right w:val="single" w:sz="4" w:space="0" w:color="auto"/>
            </w:tcBorders>
            <w:shd w:val="clear" w:color="auto" w:fill="auto"/>
            <w:noWrap/>
            <w:vAlign w:val="bottom"/>
            <w:hideMark/>
          </w:tcPr>
          <w:p w14:paraId="27961F5C" w14:textId="77777777" w:rsidR="00C34C5B" w:rsidRPr="004E74A6" w:rsidRDefault="00C34C5B" w:rsidP="00CE62C1">
            <w:pPr>
              <w:spacing w:line="276" w:lineRule="auto"/>
              <w:jc w:val="left"/>
              <w:rPr>
                <w:rFonts w:cs="Calibri"/>
                <w:color w:val="000000"/>
                <w:sz w:val="20"/>
                <w:lang w:eastAsia="es-CR"/>
              </w:rPr>
            </w:pPr>
            <w:r w:rsidRPr="004E74A6">
              <w:rPr>
                <w:rFonts w:cs="Calibri"/>
                <w:color w:val="000000"/>
                <w:sz w:val="20"/>
                <w:lang w:eastAsia="es-CR"/>
              </w:rPr>
              <w:t>De ¢95.000.001 A ¢100.000.000</w:t>
            </w:r>
          </w:p>
        </w:tc>
        <w:tc>
          <w:tcPr>
            <w:tcW w:w="481" w:type="pct"/>
            <w:tcBorders>
              <w:top w:val="nil"/>
              <w:left w:val="single" w:sz="4" w:space="0" w:color="auto"/>
              <w:bottom w:val="nil"/>
              <w:right w:val="single" w:sz="4" w:space="0" w:color="auto"/>
            </w:tcBorders>
            <w:shd w:val="clear" w:color="auto" w:fill="auto"/>
            <w:noWrap/>
            <w:vAlign w:val="bottom"/>
            <w:hideMark/>
          </w:tcPr>
          <w:p w14:paraId="453DCA63" w14:textId="2C47CF7D" w:rsidR="00C34C5B" w:rsidRPr="004E74A6" w:rsidRDefault="00C34C5B" w:rsidP="00CE62C1">
            <w:pPr>
              <w:spacing w:line="276" w:lineRule="auto"/>
              <w:jc w:val="center"/>
              <w:rPr>
                <w:rFonts w:cs="Calibri"/>
                <w:color w:val="000000"/>
                <w:sz w:val="20"/>
                <w:lang w:eastAsia="es-CR"/>
              </w:rPr>
            </w:pPr>
            <w:r w:rsidRPr="004E74A6">
              <w:rPr>
                <w:rFonts w:cs="Calibri"/>
                <w:color w:val="000000"/>
                <w:sz w:val="20"/>
              </w:rPr>
              <w:t>0</w:t>
            </w:r>
          </w:p>
        </w:tc>
        <w:tc>
          <w:tcPr>
            <w:tcW w:w="478" w:type="pct"/>
            <w:tcBorders>
              <w:top w:val="nil"/>
              <w:left w:val="single" w:sz="4" w:space="0" w:color="auto"/>
              <w:bottom w:val="nil"/>
              <w:right w:val="single" w:sz="4" w:space="0" w:color="auto"/>
            </w:tcBorders>
            <w:shd w:val="clear" w:color="auto" w:fill="auto"/>
            <w:noWrap/>
            <w:vAlign w:val="bottom"/>
            <w:hideMark/>
          </w:tcPr>
          <w:p w14:paraId="6E8A1A1E" w14:textId="59EFB2F8" w:rsidR="00C34C5B" w:rsidRPr="004E74A6" w:rsidRDefault="00C34C5B" w:rsidP="00CE62C1">
            <w:pPr>
              <w:spacing w:line="276" w:lineRule="auto"/>
              <w:jc w:val="center"/>
              <w:rPr>
                <w:sz w:val="20"/>
                <w:lang w:eastAsia="es-CR"/>
              </w:rPr>
            </w:pPr>
            <w:r w:rsidRPr="004E74A6">
              <w:rPr>
                <w:rFonts w:cs="Calibri"/>
                <w:color w:val="000000"/>
                <w:sz w:val="20"/>
              </w:rPr>
              <w:t>0</w:t>
            </w:r>
          </w:p>
        </w:tc>
        <w:tc>
          <w:tcPr>
            <w:tcW w:w="478" w:type="pct"/>
            <w:tcBorders>
              <w:top w:val="nil"/>
              <w:left w:val="single" w:sz="4" w:space="0" w:color="auto"/>
              <w:bottom w:val="nil"/>
              <w:right w:val="single" w:sz="4" w:space="0" w:color="auto"/>
            </w:tcBorders>
            <w:shd w:val="clear" w:color="auto" w:fill="auto"/>
            <w:noWrap/>
            <w:vAlign w:val="bottom"/>
            <w:hideMark/>
          </w:tcPr>
          <w:p w14:paraId="4318EF27" w14:textId="4B928E2D" w:rsidR="00C34C5B" w:rsidRPr="004E74A6" w:rsidRDefault="00C34C5B" w:rsidP="00CE62C1">
            <w:pPr>
              <w:spacing w:line="276" w:lineRule="auto"/>
              <w:jc w:val="center"/>
              <w:rPr>
                <w:rFonts w:cs="Calibri"/>
                <w:color w:val="000000"/>
                <w:sz w:val="20"/>
                <w:lang w:eastAsia="es-CR"/>
              </w:rPr>
            </w:pPr>
            <w:r w:rsidRPr="004E74A6">
              <w:rPr>
                <w:rFonts w:cs="Calibri"/>
                <w:color w:val="000000"/>
                <w:sz w:val="20"/>
              </w:rPr>
              <w:t>1</w:t>
            </w:r>
          </w:p>
        </w:tc>
        <w:tc>
          <w:tcPr>
            <w:tcW w:w="637" w:type="pct"/>
            <w:tcBorders>
              <w:top w:val="nil"/>
              <w:left w:val="single" w:sz="4" w:space="0" w:color="auto"/>
              <w:bottom w:val="nil"/>
              <w:right w:val="nil"/>
            </w:tcBorders>
            <w:shd w:val="clear" w:color="auto" w:fill="auto"/>
            <w:noWrap/>
            <w:vAlign w:val="bottom"/>
            <w:hideMark/>
          </w:tcPr>
          <w:p w14:paraId="2E9B878E" w14:textId="54399E27" w:rsidR="00C34C5B" w:rsidRPr="004E74A6" w:rsidRDefault="00C34C5B" w:rsidP="00CE62C1">
            <w:pPr>
              <w:spacing w:line="276" w:lineRule="auto"/>
              <w:jc w:val="center"/>
              <w:rPr>
                <w:rFonts w:cs="Calibri"/>
                <w:color w:val="000000"/>
                <w:sz w:val="20"/>
                <w:lang w:eastAsia="es-CR"/>
              </w:rPr>
            </w:pPr>
            <w:r w:rsidRPr="004E74A6">
              <w:rPr>
                <w:rFonts w:cs="Calibri"/>
                <w:color w:val="000000"/>
                <w:sz w:val="20"/>
              </w:rPr>
              <w:t>0,3</w:t>
            </w:r>
          </w:p>
        </w:tc>
        <w:tc>
          <w:tcPr>
            <w:tcW w:w="1337" w:type="pct"/>
            <w:tcBorders>
              <w:top w:val="nil"/>
              <w:left w:val="single" w:sz="4" w:space="0" w:color="auto"/>
              <w:bottom w:val="nil"/>
              <w:right w:val="nil"/>
            </w:tcBorders>
            <w:shd w:val="clear" w:color="auto" w:fill="auto"/>
            <w:vAlign w:val="bottom"/>
          </w:tcPr>
          <w:p w14:paraId="102CFFCB" w14:textId="169AD52B" w:rsidR="00C34C5B" w:rsidRPr="004E74A6" w:rsidRDefault="00C34C5B" w:rsidP="00CE62C1">
            <w:pPr>
              <w:spacing w:line="276" w:lineRule="auto"/>
              <w:jc w:val="center"/>
              <w:rPr>
                <w:rFonts w:cs="Calibri"/>
                <w:color w:val="000000"/>
                <w:sz w:val="20"/>
              </w:rPr>
            </w:pPr>
            <w:r w:rsidRPr="004E74A6">
              <w:rPr>
                <w:rFonts w:cs="Calibri"/>
                <w:color w:val="000000"/>
                <w:sz w:val="20"/>
              </w:rPr>
              <w:t>80%</w:t>
            </w:r>
          </w:p>
        </w:tc>
      </w:tr>
      <w:tr w:rsidR="00357FBD" w:rsidRPr="004E74A6" w14:paraId="75D2ABF4" w14:textId="3414883B" w:rsidTr="00357FBD">
        <w:trPr>
          <w:trHeight w:val="288"/>
          <w:jc w:val="center"/>
        </w:trPr>
        <w:tc>
          <w:tcPr>
            <w:tcW w:w="1589" w:type="pct"/>
            <w:tcBorders>
              <w:top w:val="nil"/>
              <w:left w:val="nil"/>
              <w:bottom w:val="nil"/>
              <w:right w:val="single" w:sz="4" w:space="0" w:color="auto"/>
            </w:tcBorders>
            <w:shd w:val="clear" w:color="auto" w:fill="auto"/>
            <w:noWrap/>
            <w:vAlign w:val="bottom"/>
            <w:hideMark/>
          </w:tcPr>
          <w:p w14:paraId="2AFA85BA" w14:textId="77777777" w:rsidR="00C34C5B" w:rsidRPr="004E74A6" w:rsidRDefault="00C34C5B" w:rsidP="00CE62C1">
            <w:pPr>
              <w:spacing w:line="276" w:lineRule="auto"/>
              <w:jc w:val="left"/>
              <w:rPr>
                <w:rFonts w:cs="Calibri"/>
                <w:color w:val="000000"/>
                <w:sz w:val="20"/>
                <w:lang w:eastAsia="es-CR"/>
              </w:rPr>
            </w:pPr>
            <w:r w:rsidRPr="004E74A6">
              <w:rPr>
                <w:rFonts w:cs="Calibri"/>
                <w:color w:val="000000"/>
                <w:sz w:val="20"/>
                <w:lang w:eastAsia="es-CR"/>
              </w:rPr>
              <w:t>Más De ¢100.000.000</w:t>
            </w:r>
          </w:p>
        </w:tc>
        <w:tc>
          <w:tcPr>
            <w:tcW w:w="481" w:type="pct"/>
            <w:tcBorders>
              <w:top w:val="nil"/>
              <w:left w:val="single" w:sz="4" w:space="0" w:color="auto"/>
              <w:bottom w:val="nil"/>
              <w:right w:val="single" w:sz="4" w:space="0" w:color="auto"/>
            </w:tcBorders>
            <w:shd w:val="clear" w:color="auto" w:fill="auto"/>
            <w:noWrap/>
            <w:vAlign w:val="bottom"/>
            <w:hideMark/>
          </w:tcPr>
          <w:p w14:paraId="67E90B88" w14:textId="452C6AA1" w:rsidR="00C34C5B" w:rsidRPr="004E74A6" w:rsidRDefault="00C34C5B" w:rsidP="00CE62C1">
            <w:pPr>
              <w:spacing w:line="276" w:lineRule="auto"/>
              <w:jc w:val="center"/>
              <w:rPr>
                <w:rFonts w:cs="Calibri"/>
                <w:color w:val="000000"/>
                <w:sz w:val="20"/>
                <w:lang w:eastAsia="es-CR"/>
              </w:rPr>
            </w:pPr>
            <w:r w:rsidRPr="004E74A6">
              <w:rPr>
                <w:rFonts w:cs="Calibri"/>
                <w:color w:val="000000"/>
                <w:sz w:val="20"/>
              </w:rPr>
              <w:t>3</w:t>
            </w:r>
          </w:p>
        </w:tc>
        <w:tc>
          <w:tcPr>
            <w:tcW w:w="478" w:type="pct"/>
            <w:tcBorders>
              <w:top w:val="nil"/>
              <w:left w:val="single" w:sz="4" w:space="0" w:color="auto"/>
              <w:bottom w:val="nil"/>
              <w:right w:val="single" w:sz="4" w:space="0" w:color="auto"/>
            </w:tcBorders>
            <w:shd w:val="clear" w:color="auto" w:fill="auto"/>
            <w:noWrap/>
            <w:vAlign w:val="bottom"/>
            <w:hideMark/>
          </w:tcPr>
          <w:p w14:paraId="726C4DE0" w14:textId="25FEC618" w:rsidR="00C34C5B" w:rsidRPr="004E74A6" w:rsidRDefault="00C34C5B" w:rsidP="00CE62C1">
            <w:pPr>
              <w:spacing w:line="276" w:lineRule="auto"/>
              <w:jc w:val="center"/>
              <w:rPr>
                <w:rFonts w:cs="Calibri"/>
                <w:color w:val="000000"/>
                <w:sz w:val="20"/>
                <w:lang w:eastAsia="es-CR"/>
              </w:rPr>
            </w:pPr>
            <w:r w:rsidRPr="004E74A6">
              <w:rPr>
                <w:rFonts w:cs="Calibri"/>
                <w:color w:val="000000"/>
                <w:sz w:val="20"/>
              </w:rPr>
              <w:t>2</w:t>
            </w:r>
          </w:p>
        </w:tc>
        <w:tc>
          <w:tcPr>
            <w:tcW w:w="478" w:type="pct"/>
            <w:tcBorders>
              <w:top w:val="nil"/>
              <w:left w:val="single" w:sz="4" w:space="0" w:color="auto"/>
              <w:bottom w:val="nil"/>
              <w:right w:val="single" w:sz="4" w:space="0" w:color="auto"/>
            </w:tcBorders>
            <w:shd w:val="clear" w:color="auto" w:fill="auto"/>
            <w:noWrap/>
            <w:vAlign w:val="bottom"/>
            <w:hideMark/>
          </w:tcPr>
          <w:p w14:paraId="3FF472AD" w14:textId="041A6F59" w:rsidR="00C34C5B" w:rsidRPr="004E74A6" w:rsidRDefault="00C34C5B" w:rsidP="00CE62C1">
            <w:pPr>
              <w:spacing w:line="276" w:lineRule="auto"/>
              <w:jc w:val="center"/>
              <w:rPr>
                <w:rFonts w:cs="Calibri"/>
                <w:color w:val="000000"/>
                <w:sz w:val="20"/>
                <w:lang w:eastAsia="es-CR"/>
              </w:rPr>
            </w:pPr>
            <w:r w:rsidRPr="004E74A6">
              <w:rPr>
                <w:rFonts w:cs="Calibri"/>
                <w:color w:val="000000"/>
                <w:sz w:val="20"/>
              </w:rPr>
              <w:t>8</w:t>
            </w:r>
          </w:p>
        </w:tc>
        <w:tc>
          <w:tcPr>
            <w:tcW w:w="637" w:type="pct"/>
            <w:tcBorders>
              <w:top w:val="nil"/>
              <w:left w:val="single" w:sz="4" w:space="0" w:color="auto"/>
              <w:bottom w:val="nil"/>
              <w:right w:val="nil"/>
            </w:tcBorders>
            <w:shd w:val="clear" w:color="auto" w:fill="auto"/>
            <w:noWrap/>
            <w:vAlign w:val="bottom"/>
            <w:hideMark/>
          </w:tcPr>
          <w:p w14:paraId="1FE02AB2" w14:textId="5C863B92" w:rsidR="00C34C5B" w:rsidRPr="004E74A6" w:rsidRDefault="00C34C5B" w:rsidP="00CE62C1">
            <w:pPr>
              <w:spacing w:line="276" w:lineRule="auto"/>
              <w:jc w:val="center"/>
              <w:rPr>
                <w:rFonts w:cs="Calibri"/>
                <w:color w:val="000000"/>
                <w:sz w:val="20"/>
                <w:lang w:eastAsia="es-CR"/>
              </w:rPr>
            </w:pPr>
            <w:r w:rsidRPr="004E74A6">
              <w:rPr>
                <w:rFonts w:cs="Calibri"/>
                <w:color w:val="000000"/>
                <w:sz w:val="20"/>
              </w:rPr>
              <w:t>4,3</w:t>
            </w:r>
          </w:p>
        </w:tc>
        <w:tc>
          <w:tcPr>
            <w:tcW w:w="1337" w:type="pct"/>
            <w:tcBorders>
              <w:top w:val="nil"/>
              <w:left w:val="single" w:sz="4" w:space="0" w:color="auto"/>
              <w:bottom w:val="nil"/>
              <w:right w:val="nil"/>
            </w:tcBorders>
            <w:shd w:val="clear" w:color="auto" w:fill="auto"/>
            <w:vAlign w:val="bottom"/>
          </w:tcPr>
          <w:p w14:paraId="12BB1E12" w14:textId="4CF08B31" w:rsidR="00C34C5B" w:rsidRPr="004E74A6" w:rsidRDefault="00C34C5B" w:rsidP="00CE62C1">
            <w:pPr>
              <w:spacing w:line="276" w:lineRule="auto"/>
              <w:jc w:val="center"/>
              <w:rPr>
                <w:rFonts w:cs="Calibri"/>
                <w:color w:val="000000"/>
                <w:sz w:val="20"/>
              </w:rPr>
            </w:pPr>
            <w:r w:rsidRPr="004E74A6">
              <w:rPr>
                <w:rFonts w:cs="Calibri"/>
                <w:color w:val="000000"/>
                <w:sz w:val="20"/>
              </w:rPr>
              <w:t>85%</w:t>
            </w:r>
          </w:p>
        </w:tc>
      </w:tr>
      <w:tr w:rsidR="00357FBD" w:rsidRPr="004E74A6" w14:paraId="4015495D" w14:textId="4F5976F2" w:rsidTr="00357FBD">
        <w:trPr>
          <w:trHeight w:val="288"/>
          <w:jc w:val="center"/>
        </w:trPr>
        <w:tc>
          <w:tcPr>
            <w:tcW w:w="1589" w:type="pct"/>
            <w:tcBorders>
              <w:top w:val="nil"/>
              <w:left w:val="nil"/>
              <w:bottom w:val="nil"/>
              <w:right w:val="single" w:sz="4" w:space="0" w:color="auto"/>
            </w:tcBorders>
            <w:shd w:val="clear" w:color="auto" w:fill="auto"/>
            <w:noWrap/>
            <w:vAlign w:val="bottom"/>
            <w:hideMark/>
          </w:tcPr>
          <w:p w14:paraId="2E1B9FCF" w14:textId="77777777" w:rsidR="00C34C5B" w:rsidRPr="004E74A6" w:rsidRDefault="00C34C5B" w:rsidP="00CE62C1">
            <w:pPr>
              <w:spacing w:line="276" w:lineRule="auto"/>
              <w:jc w:val="left"/>
              <w:rPr>
                <w:rFonts w:cs="Calibri"/>
                <w:color w:val="ED7D31" w:themeColor="accent2"/>
                <w:sz w:val="20"/>
                <w:lang w:eastAsia="es-CR"/>
              </w:rPr>
            </w:pPr>
            <w:r w:rsidRPr="004E74A6">
              <w:rPr>
                <w:rFonts w:cs="Calibri"/>
                <w:color w:val="ED7D31" w:themeColor="accent2"/>
                <w:sz w:val="20"/>
                <w:lang w:eastAsia="es-CR"/>
              </w:rPr>
              <w:t>Expedientes Cuantía Cero</w:t>
            </w:r>
          </w:p>
        </w:tc>
        <w:tc>
          <w:tcPr>
            <w:tcW w:w="481" w:type="pct"/>
            <w:tcBorders>
              <w:top w:val="nil"/>
              <w:left w:val="single" w:sz="4" w:space="0" w:color="auto"/>
              <w:bottom w:val="nil"/>
              <w:right w:val="single" w:sz="4" w:space="0" w:color="auto"/>
            </w:tcBorders>
            <w:shd w:val="clear" w:color="auto" w:fill="auto"/>
            <w:noWrap/>
            <w:vAlign w:val="bottom"/>
            <w:hideMark/>
          </w:tcPr>
          <w:p w14:paraId="74CE9EE3" w14:textId="6543ECEA" w:rsidR="00C34C5B" w:rsidRPr="004E74A6" w:rsidRDefault="00C34C5B" w:rsidP="00CE62C1">
            <w:pPr>
              <w:spacing w:line="276" w:lineRule="auto"/>
              <w:jc w:val="center"/>
              <w:rPr>
                <w:rFonts w:cs="Calibri"/>
                <w:color w:val="ED7D31" w:themeColor="accent2"/>
                <w:sz w:val="20"/>
                <w:lang w:eastAsia="es-CR"/>
              </w:rPr>
            </w:pPr>
            <w:r w:rsidRPr="004E74A6">
              <w:rPr>
                <w:rFonts w:cs="Calibri"/>
                <w:color w:val="ED7D31" w:themeColor="accent2"/>
                <w:sz w:val="20"/>
              </w:rPr>
              <w:t>17</w:t>
            </w:r>
          </w:p>
        </w:tc>
        <w:tc>
          <w:tcPr>
            <w:tcW w:w="478" w:type="pct"/>
            <w:tcBorders>
              <w:top w:val="nil"/>
              <w:left w:val="single" w:sz="4" w:space="0" w:color="auto"/>
              <w:bottom w:val="nil"/>
              <w:right w:val="single" w:sz="4" w:space="0" w:color="auto"/>
            </w:tcBorders>
            <w:shd w:val="clear" w:color="auto" w:fill="auto"/>
            <w:noWrap/>
            <w:vAlign w:val="bottom"/>
            <w:hideMark/>
          </w:tcPr>
          <w:p w14:paraId="35B270BD" w14:textId="54D5F983" w:rsidR="00C34C5B" w:rsidRPr="004E74A6" w:rsidRDefault="00C34C5B" w:rsidP="00CE62C1">
            <w:pPr>
              <w:spacing w:line="276" w:lineRule="auto"/>
              <w:jc w:val="center"/>
              <w:rPr>
                <w:rFonts w:cs="Calibri"/>
                <w:color w:val="ED7D31" w:themeColor="accent2"/>
                <w:sz w:val="20"/>
                <w:lang w:eastAsia="es-CR"/>
              </w:rPr>
            </w:pPr>
            <w:r w:rsidRPr="004E74A6">
              <w:rPr>
                <w:rFonts w:cs="Calibri"/>
                <w:color w:val="ED7D31" w:themeColor="accent2"/>
                <w:sz w:val="20"/>
              </w:rPr>
              <w:t>19</w:t>
            </w:r>
          </w:p>
        </w:tc>
        <w:tc>
          <w:tcPr>
            <w:tcW w:w="478" w:type="pct"/>
            <w:tcBorders>
              <w:top w:val="nil"/>
              <w:left w:val="single" w:sz="4" w:space="0" w:color="auto"/>
              <w:bottom w:val="nil"/>
              <w:right w:val="single" w:sz="4" w:space="0" w:color="auto"/>
            </w:tcBorders>
            <w:shd w:val="clear" w:color="auto" w:fill="auto"/>
            <w:noWrap/>
            <w:vAlign w:val="bottom"/>
            <w:hideMark/>
          </w:tcPr>
          <w:p w14:paraId="199BC952" w14:textId="233286F2" w:rsidR="00C34C5B" w:rsidRPr="004E74A6" w:rsidRDefault="00C34C5B" w:rsidP="00CE62C1">
            <w:pPr>
              <w:spacing w:line="276" w:lineRule="auto"/>
              <w:jc w:val="center"/>
              <w:rPr>
                <w:rFonts w:cs="Calibri"/>
                <w:color w:val="ED7D31" w:themeColor="accent2"/>
                <w:sz w:val="20"/>
                <w:lang w:eastAsia="es-CR"/>
              </w:rPr>
            </w:pPr>
            <w:r w:rsidRPr="004E74A6">
              <w:rPr>
                <w:rFonts w:cs="Calibri"/>
                <w:color w:val="ED7D31" w:themeColor="accent2"/>
                <w:sz w:val="20"/>
              </w:rPr>
              <w:t>0</w:t>
            </w:r>
          </w:p>
        </w:tc>
        <w:tc>
          <w:tcPr>
            <w:tcW w:w="637" w:type="pct"/>
            <w:tcBorders>
              <w:top w:val="nil"/>
              <w:left w:val="single" w:sz="4" w:space="0" w:color="auto"/>
              <w:bottom w:val="nil"/>
              <w:right w:val="nil"/>
            </w:tcBorders>
            <w:shd w:val="clear" w:color="auto" w:fill="auto"/>
            <w:noWrap/>
            <w:vAlign w:val="bottom"/>
            <w:hideMark/>
          </w:tcPr>
          <w:p w14:paraId="08870D48" w14:textId="2E504F27" w:rsidR="00C34C5B" w:rsidRPr="004E74A6" w:rsidRDefault="00C34C5B" w:rsidP="00CE62C1">
            <w:pPr>
              <w:spacing w:line="276" w:lineRule="auto"/>
              <w:jc w:val="center"/>
              <w:rPr>
                <w:rFonts w:cs="Calibri"/>
                <w:color w:val="ED7D31" w:themeColor="accent2"/>
                <w:sz w:val="20"/>
                <w:lang w:eastAsia="es-CR"/>
              </w:rPr>
            </w:pPr>
            <w:r w:rsidRPr="004E74A6">
              <w:rPr>
                <w:rFonts w:cs="Calibri"/>
                <w:color w:val="ED7D31" w:themeColor="accent2"/>
                <w:sz w:val="20"/>
              </w:rPr>
              <w:t>12,0</w:t>
            </w:r>
          </w:p>
        </w:tc>
        <w:tc>
          <w:tcPr>
            <w:tcW w:w="1337" w:type="pct"/>
            <w:tcBorders>
              <w:top w:val="nil"/>
              <w:left w:val="single" w:sz="4" w:space="0" w:color="auto"/>
              <w:bottom w:val="nil"/>
              <w:right w:val="nil"/>
            </w:tcBorders>
            <w:shd w:val="clear" w:color="auto" w:fill="auto"/>
            <w:vAlign w:val="bottom"/>
          </w:tcPr>
          <w:p w14:paraId="3634F277" w14:textId="4318B5F6" w:rsidR="00C34C5B" w:rsidRPr="004E74A6" w:rsidRDefault="00C34C5B" w:rsidP="00CE62C1">
            <w:pPr>
              <w:spacing w:line="276" w:lineRule="auto"/>
              <w:jc w:val="center"/>
              <w:rPr>
                <w:rFonts w:cs="Calibri"/>
                <w:color w:val="ED7D31" w:themeColor="accent2"/>
                <w:sz w:val="20"/>
              </w:rPr>
            </w:pPr>
            <w:r w:rsidRPr="004E74A6">
              <w:rPr>
                <w:rFonts w:cs="Calibri"/>
                <w:color w:val="ED7D31" w:themeColor="accent2"/>
                <w:sz w:val="20"/>
              </w:rPr>
              <w:t>100%</w:t>
            </w:r>
          </w:p>
        </w:tc>
      </w:tr>
      <w:tr w:rsidR="00357FBD" w:rsidRPr="004E74A6" w14:paraId="715F72A3" w14:textId="3D01153A" w:rsidTr="00357FBD">
        <w:trPr>
          <w:trHeight w:val="288"/>
          <w:jc w:val="center"/>
        </w:trPr>
        <w:tc>
          <w:tcPr>
            <w:tcW w:w="1589" w:type="pct"/>
            <w:tcBorders>
              <w:top w:val="nil"/>
              <w:left w:val="nil"/>
              <w:bottom w:val="single" w:sz="4" w:space="0" w:color="auto"/>
              <w:right w:val="single" w:sz="4" w:space="0" w:color="auto"/>
            </w:tcBorders>
            <w:shd w:val="clear" w:color="auto" w:fill="auto"/>
            <w:noWrap/>
            <w:vAlign w:val="bottom"/>
          </w:tcPr>
          <w:p w14:paraId="4028F217" w14:textId="77777777" w:rsidR="00C34C5B" w:rsidRPr="004E74A6" w:rsidRDefault="00C34C5B" w:rsidP="00CE62C1">
            <w:pPr>
              <w:spacing w:line="276" w:lineRule="auto"/>
              <w:jc w:val="left"/>
              <w:rPr>
                <w:rFonts w:cs="Calibri"/>
                <w:color w:val="000000"/>
                <w:sz w:val="20"/>
                <w:lang w:eastAsia="es-CR"/>
              </w:rPr>
            </w:pPr>
          </w:p>
        </w:tc>
        <w:tc>
          <w:tcPr>
            <w:tcW w:w="481" w:type="pct"/>
            <w:tcBorders>
              <w:top w:val="nil"/>
              <w:left w:val="single" w:sz="4" w:space="0" w:color="auto"/>
              <w:bottom w:val="single" w:sz="4" w:space="0" w:color="auto"/>
              <w:right w:val="single" w:sz="4" w:space="0" w:color="auto"/>
            </w:tcBorders>
            <w:shd w:val="clear" w:color="auto" w:fill="auto"/>
            <w:noWrap/>
            <w:vAlign w:val="center"/>
          </w:tcPr>
          <w:p w14:paraId="7DDC31C5" w14:textId="77777777" w:rsidR="00C34C5B" w:rsidRPr="004E74A6" w:rsidRDefault="00C34C5B" w:rsidP="00CE62C1">
            <w:pPr>
              <w:spacing w:line="276" w:lineRule="auto"/>
              <w:jc w:val="center"/>
              <w:rPr>
                <w:rFonts w:cs="Calibri"/>
                <w:color w:val="000000"/>
                <w:sz w:val="20"/>
                <w:lang w:eastAsia="es-CR"/>
              </w:rPr>
            </w:pPr>
          </w:p>
        </w:tc>
        <w:tc>
          <w:tcPr>
            <w:tcW w:w="478" w:type="pct"/>
            <w:tcBorders>
              <w:top w:val="nil"/>
              <w:left w:val="single" w:sz="4" w:space="0" w:color="auto"/>
              <w:bottom w:val="single" w:sz="4" w:space="0" w:color="auto"/>
              <w:right w:val="single" w:sz="4" w:space="0" w:color="auto"/>
            </w:tcBorders>
            <w:shd w:val="clear" w:color="auto" w:fill="auto"/>
            <w:noWrap/>
            <w:vAlign w:val="center"/>
          </w:tcPr>
          <w:p w14:paraId="036E5578" w14:textId="77777777" w:rsidR="00C34C5B" w:rsidRPr="004E74A6" w:rsidRDefault="00C34C5B" w:rsidP="00CE62C1">
            <w:pPr>
              <w:spacing w:line="276" w:lineRule="auto"/>
              <w:jc w:val="center"/>
              <w:rPr>
                <w:rFonts w:cs="Calibri"/>
                <w:color w:val="000000"/>
                <w:sz w:val="20"/>
                <w:lang w:eastAsia="es-CR"/>
              </w:rPr>
            </w:pPr>
          </w:p>
        </w:tc>
        <w:tc>
          <w:tcPr>
            <w:tcW w:w="478" w:type="pct"/>
            <w:tcBorders>
              <w:top w:val="nil"/>
              <w:left w:val="single" w:sz="4" w:space="0" w:color="auto"/>
              <w:bottom w:val="single" w:sz="4" w:space="0" w:color="auto"/>
              <w:right w:val="single" w:sz="4" w:space="0" w:color="auto"/>
            </w:tcBorders>
            <w:shd w:val="clear" w:color="auto" w:fill="auto"/>
            <w:noWrap/>
            <w:vAlign w:val="center"/>
          </w:tcPr>
          <w:p w14:paraId="3AD19CA8" w14:textId="77777777" w:rsidR="00C34C5B" w:rsidRPr="004E74A6" w:rsidRDefault="00C34C5B" w:rsidP="00CE62C1">
            <w:pPr>
              <w:spacing w:line="276" w:lineRule="auto"/>
              <w:jc w:val="center"/>
              <w:rPr>
                <w:rFonts w:cs="Calibri"/>
                <w:color w:val="000000"/>
                <w:sz w:val="20"/>
                <w:lang w:eastAsia="es-CR"/>
              </w:rPr>
            </w:pPr>
          </w:p>
        </w:tc>
        <w:tc>
          <w:tcPr>
            <w:tcW w:w="637" w:type="pct"/>
            <w:tcBorders>
              <w:top w:val="nil"/>
              <w:left w:val="single" w:sz="4" w:space="0" w:color="auto"/>
              <w:bottom w:val="single" w:sz="4" w:space="0" w:color="auto"/>
              <w:right w:val="nil"/>
            </w:tcBorders>
            <w:shd w:val="clear" w:color="auto" w:fill="auto"/>
            <w:noWrap/>
            <w:vAlign w:val="center"/>
          </w:tcPr>
          <w:p w14:paraId="1673BE7D" w14:textId="77777777" w:rsidR="00C34C5B" w:rsidRPr="004E74A6" w:rsidRDefault="00C34C5B" w:rsidP="00CE62C1">
            <w:pPr>
              <w:spacing w:line="276" w:lineRule="auto"/>
              <w:jc w:val="center"/>
              <w:rPr>
                <w:rFonts w:cs="Calibri"/>
                <w:color w:val="000000"/>
                <w:sz w:val="20"/>
                <w:lang w:eastAsia="es-CR"/>
              </w:rPr>
            </w:pPr>
          </w:p>
        </w:tc>
        <w:tc>
          <w:tcPr>
            <w:tcW w:w="1337" w:type="pct"/>
            <w:tcBorders>
              <w:top w:val="nil"/>
              <w:left w:val="single" w:sz="4" w:space="0" w:color="auto"/>
              <w:bottom w:val="single" w:sz="4" w:space="0" w:color="auto"/>
              <w:right w:val="nil"/>
            </w:tcBorders>
          </w:tcPr>
          <w:p w14:paraId="6D982C82" w14:textId="77777777" w:rsidR="00C34C5B" w:rsidRPr="004E74A6" w:rsidRDefault="00C34C5B" w:rsidP="00CE62C1">
            <w:pPr>
              <w:spacing w:line="276" w:lineRule="auto"/>
              <w:jc w:val="center"/>
              <w:rPr>
                <w:rFonts w:cs="Calibri"/>
                <w:color w:val="000000"/>
                <w:sz w:val="20"/>
                <w:lang w:eastAsia="es-CR"/>
              </w:rPr>
            </w:pPr>
          </w:p>
        </w:tc>
      </w:tr>
    </w:tbl>
    <w:p w14:paraId="59D3EA43" w14:textId="0DCAD49B" w:rsidR="003E4755" w:rsidRPr="004E74A6" w:rsidRDefault="003E4755" w:rsidP="00832773">
      <w:pPr>
        <w:spacing w:line="276" w:lineRule="auto"/>
        <w:ind w:left="57" w:right="57"/>
        <w:rPr>
          <w:rFonts w:cs="Calibri"/>
          <w:i/>
          <w:iCs/>
          <w:color w:val="000000"/>
          <w:sz w:val="20"/>
          <w:lang w:eastAsia="es-CR"/>
        </w:rPr>
      </w:pPr>
      <w:r w:rsidRPr="004E74A6">
        <w:rPr>
          <w:rFonts w:cs="Calibri"/>
          <w:b/>
          <w:bCs/>
          <w:i/>
          <w:iCs/>
          <w:color w:val="000000"/>
          <w:sz w:val="20"/>
          <w:lang w:eastAsia="es-CR"/>
        </w:rPr>
        <w:t>Fuente</w:t>
      </w:r>
      <w:r w:rsidRPr="004E74A6">
        <w:rPr>
          <w:rFonts w:cs="Calibri"/>
          <w:i/>
          <w:iCs/>
          <w:color w:val="000000"/>
          <w:sz w:val="20"/>
          <w:lang w:eastAsia="es-CR"/>
        </w:rPr>
        <w:t>: Subproceso de Modernización Institucional con datos extraídos del sistema SIGMA, Dirección de Planificación.</w:t>
      </w:r>
    </w:p>
    <w:p w14:paraId="3FE33F60" w14:textId="55A1C2CB" w:rsidR="003F416B" w:rsidRPr="004E74A6" w:rsidRDefault="003F416B" w:rsidP="00832773">
      <w:pPr>
        <w:spacing w:line="276" w:lineRule="auto"/>
        <w:rPr>
          <w:rFonts w:cs="Calibri"/>
          <w:i/>
          <w:iCs/>
          <w:color w:val="000000"/>
          <w:sz w:val="20"/>
          <w:lang w:eastAsia="es-CR"/>
        </w:rPr>
      </w:pPr>
    </w:p>
    <w:p w14:paraId="62E0188E" w14:textId="77777777" w:rsidR="00357FBD" w:rsidRPr="004E74A6" w:rsidRDefault="00357FBD" w:rsidP="00CE62C1">
      <w:pPr>
        <w:spacing w:after="160" w:line="276" w:lineRule="auto"/>
        <w:rPr>
          <w:rFonts w:cs="Calibri"/>
          <w:color w:val="000000"/>
          <w:szCs w:val="24"/>
          <w:lang w:eastAsia="es-CR"/>
        </w:rPr>
      </w:pPr>
      <w:r w:rsidRPr="004E74A6">
        <w:rPr>
          <w:rFonts w:cs="Calibri"/>
          <w:color w:val="000000"/>
          <w:szCs w:val="24"/>
          <w:lang w:eastAsia="es-CR"/>
        </w:rPr>
        <w:lastRenderedPageBreak/>
        <w:t xml:space="preserve">Para el 2019 se reportaron 17 asuntos con el rango de cuantía </w:t>
      </w:r>
      <w:r w:rsidRPr="004E74A6">
        <w:rPr>
          <w:rFonts w:cs="Calibri"/>
          <w:i/>
          <w:iCs/>
          <w:color w:val="000000"/>
          <w:szCs w:val="24"/>
          <w:lang w:eastAsia="es-CR"/>
        </w:rPr>
        <w:t>“expedientes cuantía cero”</w:t>
      </w:r>
      <w:r w:rsidRPr="004E74A6">
        <w:rPr>
          <w:rFonts w:cs="Calibri"/>
          <w:color w:val="000000"/>
          <w:szCs w:val="24"/>
          <w:lang w:eastAsia="es-CR"/>
        </w:rPr>
        <w:t>, 19 en 2020 y 0 en 2021, eso sucedió porque el Tribunal indicó que el proceso era estimable pero no completó la opción de rango.</w:t>
      </w:r>
    </w:p>
    <w:p w14:paraId="747445C7" w14:textId="07D63B22" w:rsidR="00A731B5" w:rsidRPr="004E74A6" w:rsidRDefault="00A906DE" w:rsidP="00CE62C1">
      <w:pPr>
        <w:spacing w:after="160" w:line="276" w:lineRule="auto"/>
        <w:rPr>
          <w:rFonts w:cs="Calibri"/>
          <w:color w:val="000000"/>
          <w:szCs w:val="24"/>
          <w:lang w:eastAsia="es-CR"/>
        </w:rPr>
      </w:pPr>
      <w:r w:rsidRPr="004E74A6">
        <w:rPr>
          <w:rFonts w:cs="Calibri"/>
          <w:color w:val="000000"/>
          <w:szCs w:val="24"/>
          <w:lang w:eastAsia="es-CR"/>
        </w:rPr>
        <w:t xml:space="preserve">De elevarse cuantía según escenario A.1 este Tribunal perdería un 55% </w:t>
      </w:r>
      <w:r w:rsidR="00A731B5" w:rsidRPr="004E74A6">
        <w:rPr>
          <w:rFonts w:cs="Calibri"/>
          <w:color w:val="000000"/>
          <w:szCs w:val="24"/>
          <w:lang w:eastAsia="es-CR"/>
        </w:rPr>
        <w:t xml:space="preserve">de su entrada actual de asuntos ordinarios estimables que se trasladarían a conocimiento de los Juzgados Civiles y por ende </w:t>
      </w:r>
      <w:r w:rsidR="00A731B5" w:rsidRPr="004E74A6">
        <w:rPr>
          <w:rFonts w:cs="Calibri"/>
          <w:b/>
          <w:bCs/>
          <w:color w:val="000000"/>
          <w:szCs w:val="24"/>
          <w:lang w:eastAsia="es-CR"/>
        </w:rPr>
        <w:t xml:space="preserve">las apelaciones de sentencia </w:t>
      </w:r>
      <w:r w:rsidR="00A731B5" w:rsidRPr="004E74A6">
        <w:rPr>
          <w:rFonts w:cs="Calibri"/>
          <w:color w:val="000000"/>
          <w:szCs w:val="24"/>
          <w:lang w:eastAsia="es-CR"/>
        </w:rPr>
        <w:t xml:space="preserve">en esos procesos se conocerían en los Tribunales de Apelación.  </w:t>
      </w:r>
    </w:p>
    <w:p w14:paraId="77893728" w14:textId="6615F649" w:rsidR="00A731B5" w:rsidRPr="004E74A6" w:rsidRDefault="00A731B5" w:rsidP="00CE62C1">
      <w:pPr>
        <w:spacing w:after="160" w:line="276" w:lineRule="auto"/>
        <w:rPr>
          <w:rFonts w:cs="Calibri"/>
          <w:color w:val="000000"/>
          <w:szCs w:val="24"/>
          <w:lang w:eastAsia="es-CR"/>
        </w:rPr>
      </w:pPr>
      <w:r w:rsidRPr="004E74A6">
        <w:rPr>
          <w:rFonts w:cs="Calibri"/>
          <w:color w:val="000000"/>
          <w:szCs w:val="24"/>
          <w:lang w:eastAsia="es-CR"/>
        </w:rPr>
        <w:t>De elevarse cuantía según escenario A.2, no se modificaría la entrada de ordinarios, sino que el efecto sería en el recurso del que dispondrían las sentencias en los ordinarios estimados hasta en 20 millones de colones, que pese a que se mantendrían en trámite en estos tribunales de primera instancia, dejarían de disponer recurso de casación ante la Sala Primera y pasarían a disponer únicamente de recurso de apelación ante el Tribunal de Apelación en Segunda Instancia.</w:t>
      </w:r>
    </w:p>
    <w:p w14:paraId="04C24D93" w14:textId="77777777" w:rsidR="006D1E3E" w:rsidRPr="004E74A6" w:rsidRDefault="006D1E3E" w:rsidP="00CE62C1">
      <w:pPr>
        <w:spacing w:after="160" w:line="276" w:lineRule="auto"/>
        <w:rPr>
          <w:rFonts w:cs="Calibri"/>
          <w:color w:val="000000"/>
          <w:szCs w:val="24"/>
          <w:lang w:eastAsia="es-CR"/>
        </w:rPr>
      </w:pPr>
    </w:p>
    <w:p w14:paraId="6ECE74C6" w14:textId="0E0CD50F" w:rsidR="00F236AF" w:rsidRPr="004E74A6" w:rsidRDefault="00F236AF" w:rsidP="00CE62C1">
      <w:pPr>
        <w:spacing w:line="276" w:lineRule="auto"/>
        <w:outlineLvl w:val="3"/>
        <w:rPr>
          <w:rFonts w:eastAsia="Calibri"/>
          <w:b/>
          <w:bCs/>
          <w:sz w:val="28"/>
          <w:szCs w:val="22"/>
          <w:lang w:eastAsia="en-US"/>
        </w:rPr>
      </w:pPr>
      <w:r w:rsidRPr="004E74A6">
        <w:rPr>
          <w:rFonts w:eastAsia="Calibri"/>
          <w:b/>
          <w:bCs/>
          <w:sz w:val="28"/>
          <w:szCs w:val="22"/>
          <w:lang w:eastAsia="en-US"/>
        </w:rPr>
        <w:t>Resumen del impacto del escenario A1 y A2 en Tribunales Colegiados de Primer Instancia Civil Primera Instancia Civil</w:t>
      </w:r>
    </w:p>
    <w:p w14:paraId="557FCE99" w14:textId="77777777" w:rsidR="006601E7" w:rsidRPr="004E74A6" w:rsidRDefault="006601E7" w:rsidP="00CE62C1">
      <w:pPr>
        <w:spacing w:after="160" w:line="276" w:lineRule="auto"/>
        <w:rPr>
          <w:rFonts w:cs="Calibri"/>
          <w:color w:val="000000"/>
          <w:szCs w:val="24"/>
          <w:lang w:eastAsia="es-CR"/>
        </w:rPr>
      </w:pPr>
    </w:p>
    <w:p w14:paraId="26ABBF42" w14:textId="57543B9D" w:rsidR="00C135F9" w:rsidRPr="004E74A6" w:rsidRDefault="00C135F9" w:rsidP="00CE62C1">
      <w:pPr>
        <w:spacing w:after="160" w:line="276" w:lineRule="auto"/>
        <w:rPr>
          <w:rFonts w:cs="Calibri"/>
          <w:color w:val="000000"/>
          <w:szCs w:val="24"/>
          <w:lang w:eastAsia="es-CR"/>
        </w:rPr>
      </w:pPr>
      <w:r w:rsidRPr="004E74A6">
        <w:rPr>
          <w:rFonts w:cs="Calibri"/>
          <w:color w:val="000000"/>
          <w:szCs w:val="24"/>
          <w:lang w:eastAsia="es-CR"/>
        </w:rPr>
        <w:t>En resumen, estas serían las variaciones proyectadas en cantidad de asuntos, según escenario “</w:t>
      </w:r>
      <w:r w:rsidRPr="004E74A6">
        <w:rPr>
          <w:rFonts w:cs="Calibri"/>
          <w:i/>
          <w:iCs/>
          <w:color w:val="000000"/>
          <w:szCs w:val="24"/>
          <w:lang w:eastAsia="es-CR"/>
        </w:rPr>
        <w:t>A. Criterio Experto</w:t>
      </w:r>
      <w:r w:rsidRPr="004E74A6">
        <w:rPr>
          <w:rFonts w:cs="Calibri"/>
          <w:color w:val="000000"/>
          <w:szCs w:val="24"/>
          <w:lang w:eastAsia="es-CR"/>
        </w:rPr>
        <w:t>” según ambas versiones del escenario y el posible impacto en Sala Primera:</w:t>
      </w:r>
    </w:p>
    <w:p w14:paraId="04AFC08D" w14:textId="77777777" w:rsidR="00357FBD" w:rsidRPr="004E74A6" w:rsidRDefault="00357FBD" w:rsidP="00CE62C1">
      <w:pPr>
        <w:spacing w:after="160" w:line="276" w:lineRule="auto"/>
        <w:rPr>
          <w:rFonts w:cs="Calibri"/>
          <w:color w:val="000000"/>
          <w:szCs w:val="24"/>
          <w:lang w:eastAsia="es-CR"/>
        </w:rPr>
        <w:sectPr w:rsidR="00357FBD" w:rsidRPr="004E74A6" w:rsidSect="00B32800">
          <w:headerReference w:type="default" r:id="rId25"/>
          <w:footerReference w:type="default" r:id="rId26"/>
          <w:pgSz w:w="12242" w:h="15842" w:code="1"/>
          <w:pgMar w:top="2015" w:right="1701" w:bottom="1134" w:left="1701" w:header="709" w:footer="709" w:gutter="0"/>
          <w:cols w:space="708"/>
          <w:docGrid w:linePitch="360"/>
        </w:sectPr>
      </w:pPr>
    </w:p>
    <w:p w14:paraId="095DAAA6" w14:textId="02E6217A" w:rsidR="00C51D8E" w:rsidRPr="00832773" w:rsidRDefault="00C51D8E" w:rsidP="00F0204A">
      <w:pPr>
        <w:pStyle w:val="Descripcin"/>
        <w:keepNext/>
        <w:spacing w:line="276" w:lineRule="auto"/>
        <w:jc w:val="center"/>
        <w:rPr>
          <w:rFonts w:ascii="Book Antiqua" w:hAnsi="Book Antiqua"/>
          <w:i/>
          <w:iCs/>
          <w:sz w:val="20"/>
          <w:szCs w:val="16"/>
          <w:lang w:val="es-CR"/>
        </w:rPr>
      </w:pPr>
      <w:r w:rsidRPr="00832773">
        <w:rPr>
          <w:rFonts w:ascii="Book Antiqua" w:hAnsi="Book Antiqua"/>
          <w:i/>
          <w:iCs/>
          <w:sz w:val="20"/>
          <w:szCs w:val="16"/>
          <w:lang w:val="es-CR"/>
        </w:rPr>
        <w:lastRenderedPageBreak/>
        <w:t xml:space="preserve">Tabla </w:t>
      </w:r>
      <w:r w:rsidRPr="00832773">
        <w:rPr>
          <w:rFonts w:ascii="Book Antiqua" w:hAnsi="Book Antiqua"/>
          <w:i/>
          <w:iCs/>
          <w:sz w:val="20"/>
          <w:szCs w:val="16"/>
          <w:lang w:val="es-CR"/>
        </w:rPr>
        <w:fldChar w:fldCharType="begin"/>
      </w:r>
      <w:r w:rsidRPr="00832773">
        <w:rPr>
          <w:rFonts w:ascii="Book Antiqua" w:hAnsi="Book Antiqua"/>
          <w:i/>
          <w:iCs/>
          <w:sz w:val="20"/>
          <w:szCs w:val="16"/>
          <w:lang w:val="es-CR"/>
        </w:rPr>
        <w:instrText xml:space="preserve"> SEQ Tabla \* ARABIC </w:instrText>
      </w:r>
      <w:r w:rsidRPr="00832773">
        <w:rPr>
          <w:rFonts w:ascii="Book Antiqua" w:hAnsi="Book Antiqua"/>
          <w:i/>
          <w:iCs/>
          <w:sz w:val="20"/>
          <w:szCs w:val="16"/>
          <w:lang w:val="es-CR"/>
        </w:rPr>
        <w:fldChar w:fldCharType="separate"/>
      </w:r>
      <w:r w:rsidR="00374B51">
        <w:rPr>
          <w:rFonts w:ascii="Book Antiqua" w:hAnsi="Book Antiqua"/>
          <w:i/>
          <w:iCs/>
          <w:noProof/>
          <w:sz w:val="20"/>
          <w:szCs w:val="16"/>
          <w:lang w:val="es-CR"/>
        </w:rPr>
        <w:t>49</w:t>
      </w:r>
      <w:r w:rsidRPr="00832773">
        <w:rPr>
          <w:rFonts w:ascii="Book Antiqua" w:hAnsi="Book Antiqua"/>
          <w:i/>
          <w:iCs/>
          <w:sz w:val="20"/>
          <w:szCs w:val="16"/>
          <w:lang w:val="es-CR"/>
        </w:rPr>
        <w:fldChar w:fldCharType="end"/>
      </w:r>
      <w:r w:rsidRPr="00832773">
        <w:rPr>
          <w:rFonts w:ascii="Book Antiqua" w:hAnsi="Book Antiqua"/>
          <w:i/>
          <w:iCs/>
          <w:sz w:val="20"/>
          <w:szCs w:val="16"/>
          <w:lang w:val="es-CR"/>
        </w:rPr>
        <w:t xml:space="preserve"> Resumen de datos Tribunales Colegiados de Primera Instancia Civil, comparación entre escenarios</w:t>
      </w:r>
    </w:p>
    <w:tbl>
      <w:tblPr>
        <w:tblW w:w="13750" w:type="dxa"/>
        <w:tblCellMar>
          <w:left w:w="70" w:type="dxa"/>
          <w:right w:w="70" w:type="dxa"/>
        </w:tblCellMar>
        <w:tblLook w:val="04A0" w:firstRow="1" w:lastRow="0" w:firstColumn="1" w:lastColumn="0" w:noHBand="0" w:noVBand="1"/>
      </w:tblPr>
      <w:tblGrid>
        <w:gridCol w:w="2130"/>
        <w:gridCol w:w="1012"/>
        <w:gridCol w:w="1176"/>
        <w:gridCol w:w="1155"/>
        <w:gridCol w:w="1075"/>
        <w:gridCol w:w="1738"/>
        <w:gridCol w:w="1107"/>
        <w:gridCol w:w="758"/>
        <w:gridCol w:w="1312"/>
        <w:gridCol w:w="2287"/>
      </w:tblGrid>
      <w:tr w:rsidR="00F53B9E" w:rsidRPr="004E74A6" w14:paraId="7DAFAF7D" w14:textId="77777777" w:rsidTr="000F6981">
        <w:trPr>
          <w:trHeight w:val="1248"/>
          <w:tblHeader/>
        </w:trPr>
        <w:tc>
          <w:tcPr>
            <w:tcW w:w="2130" w:type="dxa"/>
            <w:vMerge w:val="restart"/>
            <w:tcBorders>
              <w:top w:val="single" w:sz="4" w:space="0" w:color="auto"/>
              <w:bottom w:val="single" w:sz="4" w:space="0" w:color="auto"/>
              <w:right w:val="single" w:sz="4" w:space="0" w:color="auto"/>
            </w:tcBorders>
            <w:shd w:val="clear" w:color="auto" w:fill="D9D9D9" w:themeFill="background1" w:themeFillShade="D9"/>
            <w:vAlign w:val="center"/>
            <w:hideMark/>
          </w:tcPr>
          <w:p w14:paraId="5F045419" w14:textId="77777777" w:rsidR="00F53B9E" w:rsidRPr="004E74A6" w:rsidRDefault="00F53B9E" w:rsidP="00832773">
            <w:pPr>
              <w:spacing w:line="276" w:lineRule="auto"/>
              <w:jc w:val="center"/>
              <w:rPr>
                <w:rFonts w:cs="Calibri"/>
                <w:color w:val="000000"/>
                <w:sz w:val="20"/>
                <w:lang w:eastAsia="es-CR"/>
              </w:rPr>
            </w:pPr>
            <w:r w:rsidRPr="004E74A6">
              <w:rPr>
                <w:rFonts w:cs="Calibri"/>
                <w:color w:val="000000"/>
                <w:sz w:val="20"/>
                <w:lang w:eastAsia="es-CR"/>
              </w:rPr>
              <w:t>Tribunal Colegiado Primera Instancia Civil</w:t>
            </w:r>
          </w:p>
        </w:tc>
        <w:tc>
          <w:tcPr>
            <w:tcW w:w="4418" w:type="dxa"/>
            <w:gridSpan w:val="4"/>
            <w:tcBorders>
              <w:top w:val="single" w:sz="4" w:space="0" w:color="auto"/>
              <w:left w:val="nil"/>
              <w:bottom w:val="single" w:sz="4" w:space="0" w:color="auto"/>
              <w:right w:val="single" w:sz="4" w:space="0" w:color="000000"/>
            </w:tcBorders>
            <w:shd w:val="clear" w:color="auto" w:fill="D9D9D9" w:themeFill="background1" w:themeFillShade="D9"/>
            <w:vAlign w:val="center"/>
            <w:hideMark/>
          </w:tcPr>
          <w:p w14:paraId="441B29F5" w14:textId="1BC8DFE0" w:rsidR="00F53B9E" w:rsidRPr="004E74A6" w:rsidRDefault="00F53B9E" w:rsidP="00832773">
            <w:pPr>
              <w:spacing w:line="276" w:lineRule="auto"/>
              <w:jc w:val="center"/>
              <w:rPr>
                <w:rFonts w:cs="Calibri"/>
                <w:color w:val="000000"/>
                <w:sz w:val="20"/>
                <w:lang w:eastAsia="es-CR"/>
              </w:rPr>
            </w:pPr>
            <w:r w:rsidRPr="004E74A6">
              <w:rPr>
                <w:rFonts w:cs="Calibri"/>
                <w:color w:val="000000"/>
                <w:sz w:val="20"/>
                <w:lang w:eastAsia="es-CR"/>
              </w:rPr>
              <w:t>Composición entrada procedimientos ordinarios, dato promedio entrada 2019 al 2021</w:t>
            </w:r>
          </w:p>
        </w:tc>
        <w:tc>
          <w:tcPr>
            <w:tcW w:w="1738" w:type="dxa"/>
            <w:tcBorders>
              <w:top w:val="single" w:sz="4" w:space="0" w:color="auto"/>
              <w:left w:val="nil"/>
              <w:bottom w:val="single" w:sz="4" w:space="0" w:color="auto"/>
              <w:right w:val="single" w:sz="4" w:space="0" w:color="000000"/>
            </w:tcBorders>
            <w:shd w:val="clear" w:color="auto" w:fill="D9D9D9" w:themeFill="background1" w:themeFillShade="D9"/>
            <w:vAlign w:val="center"/>
            <w:hideMark/>
          </w:tcPr>
          <w:p w14:paraId="612584E7" w14:textId="77777777" w:rsidR="00F53B9E" w:rsidRPr="004E74A6" w:rsidRDefault="00F53B9E" w:rsidP="00832773">
            <w:pPr>
              <w:spacing w:line="276" w:lineRule="auto"/>
              <w:jc w:val="center"/>
              <w:rPr>
                <w:rFonts w:cs="Calibri"/>
                <w:color w:val="000000"/>
                <w:sz w:val="18"/>
                <w:szCs w:val="18"/>
                <w:lang w:eastAsia="es-CR"/>
              </w:rPr>
            </w:pPr>
            <w:r w:rsidRPr="004E74A6">
              <w:rPr>
                <w:rFonts w:cs="Calibri"/>
                <w:color w:val="000000"/>
                <w:sz w:val="18"/>
                <w:szCs w:val="18"/>
                <w:lang w:eastAsia="es-CR"/>
              </w:rPr>
              <w:t>Cantidad de casos que se trasladarían (por entrada) de Tribunales a los Juzgados</w:t>
            </w:r>
          </w:p>
        </w:tc>
        <w:tc>
          <w:tcPr>
            <w:tcW w:w="1865" w:type="dxa"/>
            <w:gridSpan w:val="2"/>
            <w:tcBorders>
              <w:top w:val="single" w:sz="4" w:space="0" w:color="000000"/>
              <w:left w:val="nil"/>
              <w:bottom w:val="single" w:sz="4" w:space="0" w:color="000000"/>
              <w:right w:val="nil"/>
            </w:tcBorders>
            <w:shd w:val="clear" w:color="auto" w:fill="D9D9D9" w:themeFill="background1" w:themeFillShade="D9"/>
          </w:tcPr>
          <w:p w14:paraId="37845187" w14:textId="77777777" w:rsidR="00F53B9E" w:rsidRPr="004E74A6" w:rsidRDefault="00F53B9E" w:rsidP="00832773">
            <w:pPr>
              <w:spacing w:line="276" w:lineRule="auto"/>
              <w:jc w:val="center"/>
              <w:rPr>
                <w:rFonts w:cs="Calibri"/>
                <w:color w:val="000000"/>
                <w:sz w:val="20"/>
                <w:lang w:eastAsia="es-CR"/>
              </w:rPr>
            </w:pPr>
          </w:p>
        </w:tc>
        <w:tc>
          <w:tcPr>
            <w:tcW w:w="3599" w:type="dxa"/>
            <w:gridSpan w:val="2"/>
            <w:tcBorders>
              <w:top w:val="single" w:sz="4" w:space="0" w:color="000000"/>
              <w:left w:val="nil"/>
              <w:bottom w:val="single" w:sz="4" w:space="0" w:color="000000"/>
            </w:tcBorders>
            <w:shd w:val="clear" w:color="auto" w:fill="D9D9D9" w:themeFill="background1" w:themeFillShade="D9"/>
            <w:vAlign w:val="center"/>
            <w:hideMark/>
          </w:tcPr>
          <w:p w14:paraId="77687725" w14:textId="3164830B" w:rsidR="00F53B9E" w:rsidRPr="004E74A6" w:rsidRDefault="00F53B9E" w:rsidP="00832773">
            <w:pPr>
              <w:spacing w:line="276" w:lineRule="auto"/>
              <w:jc w:val="center"/>
              <w:rPr>
                <w:rFonts w:cs="Calibri"/>
                <w:color w:val="000000"/>
                <w:sz w:val="20"/>
                <w:lang w:eastAsia="es-CR"/>
              </w:rPr>
            </w:pPr>
            <w:r w:rsidRPr="004E74A6">
              <w:rPr>
                <w:rFonts w:cs="Calibri"/>
                <w:color w:val="000000"/>
                <w:sz w:val="20"/>
                <w:lang w:eastAsia="es-CR"/>
              </w:rPr>
              <w:t>Cantidad de asuntos que dejarían de ingresar por recurso de casación contra la sentencia en materia Civil en Sala Primera (escenario A, cualquier versión)</w:t>
            </w:r>
            <w:r w:rsidR="000F6981" w:rsidRPr="004E74A6">
              <w:rPr>
                <w:rStyle w:val="Refdenotaalpie"/>
                <w:color w:val="000000"/>
                <w:sz w:val="20"/>
                <w:lang w:eastAsia="es-CR"/>
              </w:rPr>
              <w:footnoteReference w:id="15"/>
            </w:r>
            <w:r w:rsidRPr="004E74A6">
              <w:rPr>
                <w:rFonts w:cs="Calibri"/>
                <w:color w:val="000000"/>
                <w:sz w:val="20"/>
                <w:lang w:eastAsia="es-CR"/>
              </w:rPr>
              <w:t xml:space="preserve">  </w:t>
            </w:r>
          </w:p>
        </w:tc>
      </w:tr>
      <w:tr w:rsidR="00F53B9E" w:rsidRPr="004E74A6" w14:paraId="6E09204F" w14:textId="77777777" w:rsidTr="000F6981">
        <w:trPr>
          <w:trHeight w:val="1248"/>
          <w:tblHeader/>
        </w:trPr>
        <w:tc>
          <w:tcPr>
            <w:tcW w:w="2130" w:type="dxa"/>
            <w:vMerge/>
            <w:tcBorders>
              <w:top w:val="single" w:sz="4" w:space="0" w:color="auto"/>
              <w:bottom w:val="single" w:sz="4" w:space="0" w:color="auto"/>
              <w:right w:val="single" w:sz="4" w:space="0" w:color="auto"/>
            </w:tcBorders>
            <w:shd w:val="clear" w:color="auto" w:fill="D9D9D9" w:themeFill="background1" w:themeFillShade="D9"/>
            <w:vAlign w:val="center"/>
            <w:hideMark/>
          </w:tcPr>
          <w:p w14:paraId="57EC41B9" w14:textId="77777777" w:rsidR="00F53B9E" w:rsidRPr="004E74A6" w:rsidRDefault="00F53B9E" w:rsidP="00832773">
            <w:pPr>
              <w:spacing w:line="276" w:lineRule="auto"/>
              <w:jc w:val="left"/>
              <w:rPr>
                <w:rFonts w:cs="Calibri"/>
                <w:color w:val="000000"/>
                <w:sz w:val="20"/>
                <w:lang w:eastAsia="es-CR"/>
              </w:rPr>
            </w:pPr>
          </w:p>
        </w:tc>
        <w:tc>
          <w:tcPr>
            <w:tcW w:w="1012" w:type="dxa"/>
            <w:vMerge w:val="restart"/>
            <w:tcBorders>
              <w:top w:val="nil"/>
              <w:left w:val="single" w:sz="4" w:space="0" w:color="auto"/>
              <w:bottom w:val="single" w:sz="4" w:space="0" w:color="000000"/>
              <w:right w:val="single" w:sz="4" w:space="0" w:color="000000"/>
            </w:tcBorders>
            <w:shd w:val="clear" w:color="auto" w:fill="D9D9D9" w:themeFill="background1" w:themeFillShade="D9"/>
            <w:vAlign w:val="center"/>
            <w:hideMark/>
          </w:tcPr>
          <w:p w14:paraId="1DA24507" w14:textId="77777777" w:rsidR="00F53B9E" w:rsidRPr="004E74A6" w:rsidRDefault="00F53B9E" w:rsidP="00832773">
            <w:pPr>
              <w:spacing w:line="276" w:lineRule="auto"/>
              <w:jc w:val="center"/>
              <w:rPr>
                <w:rFonts w:cs="Calibri"/>
                <w:color w:val="000000"/>
                <w:sz w:val="20"/>
                <w:lang w:eastAsia="es-CR"/>
              </w:rPr>
            </w:pPr>
            <w:r w:rsidRPr="004E74A6">
              <w:rPr>
                <w:rFonts w:cs="Calibri"/>
                <w:color w:val="000000"/>
                <w:sz w:val="20"/>
                <w:lang w:eastAsia="es-CR"/>
              </w:rPr>
              <w:t>Estimable</w:t>
            </w:r>
          </w:p>
        </w:tc>
        <w:tc>
          <w:tcPr>
            <w:tcW w:w="1176" w:type="dxa"/>
            <w:vMerge w:val="restart"/>
            <w:tcBorders>
              <w:top w:val="nil"/>
              <w:left w:val="single" w:sz="4" w:space="0" w:color="000000"/>
              <w:bottom w:val="single" w:sz="4" w:space="0" w:color="000000"/>
              <w:right w:val="single" w:sz="4" w:space="0" w:color="000000"/>
            </w:tcBorders>
            <w:shd w:val="clear" w:color="auto" w:fill="D9D9D9" w:themeFill="background1" w:themeFillShade="D9"/>
            <w:vAlign w:val="center"/>
            <w:hideMark/>
          </w:tcPr>
          <w:p w14:paraId="753EE9D1" w14:textId="77777777" w:rsidR="00F53B9E" w:rsidRPr="004E74A6" w:rsidRDefault="00F53B9E" w:rsidP="00832773">
            <w:pPr>
              <w:spacing w:line="276" w:lineRule="auto"/>
              <w:jc w:val="center"/>
              <w:rPr>
                <w:rFonts w:cs="Calibri"/>
                <w:color w:val="000000"/>
                <w:sz w:val="20"/>
                <w:lang w:eastAsia="es-CR"/>
              </w:rPr>
            </w:pPr>
            <w:r w:rsidRPr="004E74A6">
              <w:rPr>
                <w:rFonts w:cs="Calibri"/>
                <w:color w:val="000000"/>
                <w:sz w:val="20"/>
                <w:lang w:eastAsia="es-CR"/>
              </w:rPr>
              <w:t>Inestimable</w:t>
            </w:r>
          </w:p>
        </w:tc>
        <w:tc>
          <w:tcPr>
            <w:tcW w:w="1155" w:type="dxa"/>
            <w:vMerge w:val="restart"/>
            <w:tcBorders>
              <w:top w:val="nil"/>
              <w:left w:val="single" w:sz="4" w:space="0" w:color="000000"/>
              <w:bottom w:val="single" w:sz="4" w:space="0" w:color="000000"/>
              <w:right w:val="single" w:sz="4" w:space="0" w:color="000000"/>
            </w:tcBorders>
            <w:shd w:val="clear" w:color="auto" w:fill="D9D9D9" w:themeFill="background1" w:themeFillShade="D9"/>
            <w:vAlign w:val="center"/>
            <w:hideMark/>
          </w:tcPr>
          <w:p w14:paraId="099CF3AF" w14:textId="77777777" w:rsidR="00F53B9E" w:rsidRPr="004E74A6" w:rsidRDefault="00F53B9E" w:rsidP="00832773">
            <w:pPr>
              <w:spacing w:line="276" w:lineRule="auto"/>
              <w:jc w:val="center"/>
              <w:rPr>
                <w:rFonts w:cs="Calibri"/>
                <w:color w:val="000000"/>
                <w:sz w:val="20"/>
                <w:lang w:eastAsia="es-CR"/>
              </w:rPr>
            </w:pPr>
            <w:r w:rsidRPr="004E74A6">
              <w:rPr>
                <w:rFonts w:cs="Calibri"/>
                <w:color w:val="000000"/>
                <w:sz w:val="20"/>
                <w:lang w:eastAsia="es-CR"/>
              </w:rPr>
              <w:t>Sin Actualizar</w:t>
            </w:r>
          </w:p>
        </w:tc>
        <w:tc>
          <w:tcPr>
            <w:tcW w:w="1075" w:type="dxa"/>
            <w:vMerge w:val="restart"/>
            <w:tcBorders>
              <w:top w:val="nil"/>
              <w:left w:val="single" w:sz="4" w:space="0" w:color="000000"/>
              <w:bottom w:val="single" w:sz="4" w:space="0" w:color="000000"/>
              <w:right w:val="single" w:sz="4" w:space="0" w:color="auto"/>
            </w:tcBorders>
            <w:shd w:val="clear" w:color="auto" w:fill="D9D9D9" w:themeFill="background1" w:themeFillShade="D9"/>
            <w:vAlign w:val="center"/>
            <w:hideMark/>
          </w:tcPr>
          <w:p w14:paraId="653D44AF" w14:textId="77777777" w:rsidR="00F53B9E" w:rsidRPr="004E74A6" w:rsidRDefault="00F53B9E" w:rsidP="00832773">
            <w:pPr>
              <w:spacing w:line="276" w:lineRule="auto"/>
              <w:jc w:val="center"/>
              <w:rPr>
                <w:rFonts w:cs="Calibri"/>
                <w:color w:val="000000"/>
                <w:sz w:val="20"/>
                <w:lang w:eastAsia="es-CR"/>
              </w:rPr>
            </w:pPr>
            <w:r w:rsidRPr="004E74A6">
              <w:rPr>
                <w:rFonts w:cs="Calibri"/>
                <w:color w:val="000000"/>
                <w:sz w:val="20"/>
                <w:lang w:eastAsia="es-CR"/>
              </w:rPr>
              <w:t>No aplica</w:t>
            </w:r>
          </w:p>
        </w:tc>
        <w:tc>
          <w:tcPr>
            <w:tcW w:w="1738" w:type="dxa"/>
            <w:vMerge w:val="restart"/>
            <w:tcBorders>
              <w:top w:val="nil"/>
              <w:left w:val="single" w:sz="4" w:space="0" w:color="auto"/>
              <w:bottom w:val="single" w:sz="4" w:space="0" w:color="auto"/>
              <w:right w:val="single" w:sz="4" w:space="0" w:color="000000"/>
            </w:tcBorders>
            <w:shd w:val="clear" w:color="auto" w:fill="D9D9D9" w:themeFill="background1" w:themeFillShade="D9"/>
            <w:vAlign w:val="center"/>
            <w:hideMark/>
          </w:tcPr>
          <w:p w14:paraId="63076225" w14:textId="77777777" w:rsidR="00F53B9E" w:rsidRPr="004E74A6" w:rsidRDefault="00F53B9E" w:rsidP="00832773">
            <w:pPr>
              <w:spacing w:line="276" w:lineRule="auto"/>
              <w:jc w:val="center"/>
              <w:rPr>
                <w:rFonts w:cs="Calibri"/>
                <w:color w:val="000000"/>
                <w:sz w:val="18"/>
                <w:szCs w:val="18"/>
                <w:lang w:eastAsia="es-CR"/>
              </w:rPr>
            </w:pPr>
            <w:r w:rsidRPr="004E74A6">
              <w:rPr>
                <w:rFonts w:cs="Calibri"/>
                <w:color w:val="000000"/>
                <w:sz w:val="20"/>
                <w:lang w:eastAsia="es-CR"/>
              </w:rPr>
              <w:t xml:space="preserve">Escenario A.1 </w:t>
            </w:r>
            <w:r w:rsidRPr="004E74A6">
              <w:rPr>
                <w:rFonts w:cs="Calibri"/>
                <w:color w:val="000000"/>
                <w:sz w:val="18"/>
                <w:szCs w:val="18"/>
                <w:lang w:eastAsia="es-CR"/>
              </w:rPr>
              <w:t xml:space="preserve">(asuntos estimables de </w:t>
            </w:r>
            <w:r w:rsidRPr="004E74A6">
              <w:rPr>
                <w:rFonts w:eastAsia="Calibri"/>
                <w:sz w:val="18"/>
                <w:szCs w:val="18"/>
                <w:lang w:eastAsia="en-US"/>
              </w:rPr>
              <w:t>¢1 a ¢20.000.00</w:t>
            </w:r>
            <w:r w:rsidRPr="004E74A6">
              <w:rPr>
                <w:rFonts w:cs="Calibri"/>
                <w:color w:val="000000"/>
                <w:sz w:val="18"/>
                <w:szCs w:val="18"/>
                <w:lang w:eastAsia="es-CR"/>
              </w:rPr>
              <w:t>)</w:t>
            </w:r>
          </w:p>
          <w:p w14:paraId="7A80CBAE" w14:textId="102FFF1B" w:rsidR="009A0BD2" w:rsidRPr="004E74A6" w:rsidRDefault="009A0BD2" w:rsidP="00832773">
            <w:pPr>
              <w:spacing w:line="276" w:lineRule="auto"/>
              <w:jc w:val="center"/>
              <w:rPr>
                <w:rFonts w:cs="Calibri"/>
                <w:color w:val="000000"/>
                <w:sz w:val="20"/>
                <w:lang w:eastAsia="es-CR"/>
              </w:rPr>
            </w:pPr>
            <w:r w:rsidRPr="004E74A6">
              <w:rPr>
                <w:rFonts w:cs="Calibri"/>
                <w:color w:val="000000"/>
                <w:sz w:val="18"/>
                <w:szCs w:val="18"/>
                <w:lang w:eastAsia="es-CR"/>
              </w:rPr>
              <w:t>(i)</w:t>
            </w:r>
          </w:p>
        </w:tc>
        <w:tc>
          <w:tcPr>
            <w:tcW w:w="1107" w:type="dxa"/>
            <w:vMerge w:val="restart"/>
            <w:tcBorders>
              <w:top w:val="nil"/>
              <w:left w:val="single" w:sz="4" w:space="0" w:color="000000"/>
              <w:bottom w:val="single" w:sz="4" w:space="0" w:color="000000"/>
              <w:right w:val="single" w:sz="4" w:space="0" w:color="000000"/>
            </w:tcBorders>
            <w:shd w:val="clear" w:color="auto" w:fill="D9D9D9" w:themeFill="background1" w:themeFillShade="D9"/>
            <w:vAlign w:val="center"/>
            <w:hideMark/>
          </w:tcPr>
          <w:p w14:paraId="544832DF" w14:textId="77777777" w:rsidR="009A0BD2" w:rsidRPr="004E74A6" w:rsidRDefault="00F53B9E" w:rsidP="00832773">
            <w:pPr>
              <w:spacing w:line="276" w:lineRule="auto"/>
              <w:jc w:val="center"/>
              <w:rPr>
                <w:rFonts w:cs="Calibri"/>
                <w:color w:val="000000"/>
                <w:sz w:val="18"/>
                <w:szCs w:val="18"/>
                <w:lang w:eastAsia="es-CR"/>
              </w:rPr>
            </w:pPr>
            <w:r w:rsidRPr="004E74A6">
              <w:rPr>
                <w:rFonts w:cs="Calibri"/>
                <w:color w:val="000000"/>
                <w:sz w:val="18"/>
                <w:szCs w:val="18"/>
                <w:lang w:eastAsia="es-CR"/>
              </w:rPr>
              <w:t>Entrada actual en casación Civil a la Sala Primera según oficina de procedencia</w:t>
            </w:r>
          </w:p>
          <w:p w14:paraId="3A12D7CF" w14:textId="6C43F171" w:rsidR="00F53B9E" w:rsidRPr="004E74A6" w:rsidRDefault="009A0BD2" w:rsidP="00832773">
            <w:pPr>
              <w:spacing w:line="276" w:lineRule="auto"/>
              <w:jc w:val="center"/>
              <w:rPr>
                <w:rFonts w:cs="Calibri"/>
                <w:color w:val="000000"/>
                <w:sz w:val="18"/>
                <w:szCs w:val="18"/>
                <w:lang w:eastAsia="es-CR"/>
              </w:rPr>
            </w:pPr>
            <w:r w:rsidRPr="004E74A6">
              <w:rPr>
                <w:rFonts w:cs="Calibri"/>
                <w:color w:val="000000"/>
                <w:sz w:val="18"/>
                <w:szCs w:val="18"/>
                <w:lang w:eastAsia="es-CR"/>
              </w:rPr>
              <w:t>(ii)</w:t>
            </w:r>
            <w:r w:rsidR="00F53B9E" w:rsidRPr="004E74A6">
              <w:rPr>
                <w:rFonts w:cs="Calibri"/>
                <w:color w:val="000000"/>
                <w:sz w:val="18"/>
                <w:szCs w:val="18"/>
                <w:lang w:eastAsia="es-CR"/>
              </w:rPr>
              <w:t xml:space="preserve"> </w:t>
            </w:r>
          </w:p>
        </w:tc>
        <w:tc>
          <w:tcPr>
            <w:tcW w:w="2070" w:type="dxa"/>
            <w:gridSpan w:val="2"/>
            <w:tcBorders>
              <w:top w:val="nil"/>
              <w:left w:val="single" w:sz="4" w:space="0" w:color="000000"/>
              <w:bottom w:val="single" w:sz="4" w:space="0" w:color="000000"/>
              <w:right w:val="single" w:sz="4" w:space="0" w:color="000000"/>
            </w:tcBorders>
            <w:shd w:val="clear" w:color="auto" w:fill="D9D9D9" w:themeFill="background1" w:themeFillShade="D9"/>
          </w:tcPr>
          <w:p w14:paraId="78670DC0" w14:textId="77777777" w:rsidR="00F53B9E" w:rsidRPr="004E74A6" w:rsidRDefault="00F53B9E" w:rsidP="00832773">
            <w:pPr>
              <w:spacing w:line="276" w:lineRule="auto"/>
              <w:jc w:val="center"/>
              <w:rPr>
                <w:rFonts w:cs="Calibri"/>
                <w:color w:val="000000"/>
                <w:sz w:val="18"/>
                <w:szCs w:val="18"/>
                <w:lang w:eastAsia="es-CR"/>
              </w:rPr>
            </w:pPr>
            <w:r w:rsidRPr="004E74A6">
              <w:rPr>
                <w:rFonts w:cs="Calibri"/>
                <w:color w:val="000000"/>
                <w:sz w:val="18"/>
                <w:szCs w:val="18"/>
                <w:lang w:eastAsia="es-CR"/>
              </w:rPr>
              <w:t>Diferencia/disminución de la entrada de la Sala Primera (43%</w:t>
            </w:r>
            <w:r w:rsidRPr="004E74A6">
              <w:rPr>
                <w:rStyle w:val="Refdenotaalpie"/>
                <w:color w:val="000000"/>
                <w:sz w:val="18"/>
                <w:szCs w:val="18"/>
                <w:lang w:eastAsia="es-CR"/>
              </w:rPr>
              <w:footnoteReference w:id="16"/>
            </w:r>
            <w:r w:rsidRPr="004E74A6">
              <w:rPr>
                <w:rFonts w:cs="Calibri"/>
                <w:color w:val="000000"/>
                <w:sz w:val="18"/>
                <w:szCs w:val="18"/>
                <w:lang w:eastAsia="es-CR"/>
              </w:rPr>
              <w:t>)</w:t>
            </w:r>
          </w:p>
          <w:p w14:paraId="162BDDA5" w14:textId="255AB320" w:rsidR="00F53B9E" w:rsidRPr="004E74A6" w:rsidRDefault="00F53B9E" w:rsidP="00832773">
            <w:pPr>
              <w:spacing w:line="276" w:lineRule="auto"/>
              <w:jc w:val="center"/>
              <w:rPr>
                <w:rFonts w:cs="Calibri"/>
                <w:color w:val="000000"/>
                <w:sz w:val="18"/>
                <w:szCs w:val="18"/>
                <w:lang w:eastAsia="es-CR"/>
              </w:rPr>
            </w:pPr>
            <w:r w:rsidRPr="004E74A6">
              <w:rPr>
                <w:rFonts w:cs="Calibri"/>
                <w:color w:val="000000"/>
                <w:sz w:val="18"/>
                <w:szCs w:val="18"/>
                <w:lang w:eastAsia="es-CR"/>
              </w:rPr>
              <w:t>(ii</w:t>
            </w:r>
            <w:r w:rsidR="009A0BD2" w:rsidRPr="004E74A6">
              <w:rPr>
                <w:rFonts w:cs="Calibri"/>
                <w:color w:val="000000"/>
                <w:sz w:val="18"/>
                <w:szCs w:val="18"/>
                <w:lang w:eastAsia="es-CR"/>
              </w:rPr>
              <w:t xml:space="preserve"> -43%</w:t>
            </w:r>
            <w:r w:rsidR="00B34B21" w:rsidRPr="004E74A6">
              <w:rPr>
                <w:rFonts w:cs="Calibri"/>
                <w:color w:val="000000"/>
                <w:sz w:val="18"/>
                <w:szCs w:val="18"/>
                <w:lang w:eastAsia="es-CR"/>
              </w:rPr>
              <w:t>=iii</w:t>
            </w:r>
            <w:r w:rsidRPr="004E74A6">
              <w:rPr>
                <w:rFonts w:cs="Calibri"/>
                <w:color w:val="000000"/>
                <w:sz w:val="18"/>
                <w:szCs w:val="18"/>
                <w:lang w:eastAsia="es-CR"/>
              </w:rPr>
              <w:t>)</w:t>
            </w:r>
          </w:p>
        </w:tc>
        <w:tc>
          <w:tcPr>
            <w:tcW w:w="2287" w:type="dxa"/>
            <w:vMerge w:val="restart"/>
            <w:tcBorders>
              <w:top w:val="nil"/>
              <w:left w:val="single" w:sz="4" w:space="0" w:color="000000"/>
            </w:tcBorders>
            <w:shd w:val="clear" w:color="auto" w:fill="D9D9D9" w:themeFill="background1" w:themeFillShade="D9"/>
            <w:vAlign w:val="center"/>
            <w:hideMark/>
          </w:tcPr>
          <w:p w14:paraId="0AD36A60" w14:textId="77777777" w:rsidR="00F53B9E" w:rsidRPr="004E74A6" w:rsidRDefault="00F53B9E" w:rsidP="00832773">
            <w:pPr>
              <w:spacing w:line="276" w:lineRule="auto"/>
              <w:jc w:val="center"/>
              <w:rPr>
                <w:rFonts w:cs="Calibri"/>
                <w:color w:val="000000"/>
                <w:sz w:val="18"/>
                <w:szCs w:val="18"/>
                <w:lang w:eastAsia="es-CR"/>
              </w:rPr>
            </w:pPr>
            <w:r w:rsidRPr="004E74A6">
              <w:rPr>
                <w:rFonts w:cs="Calibri"/>
                <w:color w:val="000000"/>
                <w:sz w:val="18"/>
                <w:szCs w:val="18"/>
                <w:lang w:eastAsia="es-CR"/>
              </w:rPr>
              <w:t xml:space="preserve">Entrada proyectada en la Sala a partir del cambio de cuantía según escenario A, ambas versiones </w:t>
            </w:r>
          </w:p>
          <w:p w14:paraId="66DAAC19" w14:textId="07432879" w:rsidR="00F53B9E" w:rsidRPr="004E74A6" w:rsidRDefault="00F53B9E" w:rsidP="00832773">
            <w:pPr>
              <w:spacing w:line="276" w:lineRule="auto"/>
              <w:jc w:val="center"/>
              <w:rPr>
                <w:rFonts w:cs="Calibri"/>
                <w:color w:val="000000"/>
                <w:sz w:val="18"/>
                <w:szCs w:val="18"/>
                <w:lang w:eastAsia="es-CR"/>
              </w:rPr>
            </w:pPr>
            <w:r w:rsidRPr="004E74A6">
              <w:rPr>
                <w:rFonts w:cs="Calibri"/>
                <w:color w:val="000000"/>
                <w:sz w:val="18"/>
                <w:szCs w:val="18"/>
                <w:lang w:eastAsia="es-CR"/>
              </w:rPr>
              <w:t>(i</w:t>
            </w:r>
            <w:r w:rsidR="00B34B21" w:rsidRPr="004E74A6">
              <w:rPr>
                <w:rFonts w:cs="Calibri"/>
                <w:color w:val="000000"/>
                <w:sz w:val="18"/>
                <w:szCs w:val="18"/>
                <w:lang w:eastAsia="es-CR"/>
              </w:rPr>
              <w:t>i-iii</w:t>
            </w:r>
            <w:r w:rsidRPr="004E74A6">
              <w:rPr>
                <w:rFonts w:cs="Calibri"/>
                <w:color w:val="000000"/>
                <w:sz w:val="18"/>
                <w:szCs w:val="18"/>
                <w:lang w:eastAsia="es-CR"/>
              </w:rPr>
              <w:t>)</w:t>
            </w:r>
          </w:p>
        </w:tc>
      </w:tr>
      <w:tr w:rsidR="00F53B9E" w:rsidRPr="004E74A6" w14:paraId="19C46470" w14:textId="77777777" w:rsidTr="000F6981">
        <w:trPr>
          <w:trHeight w:val="636"/>
          <w:tblHeader/>
        </w:trPr>
        <w:tc>
          <w:tcPr>
            <w:tcW w:w="2130" w:type="dxa"/>
            <w:vMerge/>
            <w:tcBorders>
              <w:top w:val="single" w:sz="4" w:space="0" w:color="auto"/>
              <w:bottom w:val="single" w:sz="4" w:space="0" w:color="auto"/>
              <w:right w:val="single" w:sz="4" w:space="0" w:color="auto"/>
            </w:tcBorders>
            <w:shd w:val="clear" w:color="auto" w:fill="D9D9D9" w:themeFill="background1" w:themeFillShade="D9"/>
            <w:vAlign w:val="center"/>
            <w:hideMark/>
          </w:tcPr>
          <w:p w14:paraId="6F295FBF" w14:textId="77777777" w:rsidR="00F53B9E" w:rsidRPr="004E74A6" w:rsidRDefault="00F53B9E" w:rsidP="00832773">
            <w:pPr>
              <w:spacing w:line="276" w:lineRule="auto"/>
              <w:jc w:val="left"/>
              <w:rPr>
                <w:rFonts w:cs="Calibri"/>
                <w:color w:val="000000"/>
                <w:sz w:val="20"/>
                <w:lang w:eastAsia="es-CR"/>
              </w:rPr>
            </w:pPr>
          </w:p>
        </w:tc>
        <w:tc>
          <w:tcPr>
            <w:tcW w:w="1012" w:type="dxa"/>
            <w:vMerge/>
            <w:tcBorders>
              <w:top w:val="nil"/>
              <w:left w:val="single" w:sz="4" w:space="0" w:color="auto"/>
              <w:bottom w:val="single" w:sz="4" w:space="0" w:color="000000"/>
              <w:right w:val="single" w:sz="4" w:space="0" w:color="000000"/>
            </w:tcBorders>
            <w:shd w:val="clear" w:color="auto" w:fill="D9D9D9" w:themeFill="background1" w:themeFillShade="D9"/>
            <w:vAlign w:val="center"/>
            <w:hideMark/>
          </w:tcPr>
          <w:p w14:paraId="214B15B4" w14:textId="77777777" w:rsidR="00F53B9E" w:rsidRPr="004E74A6" w:rsidRDefault="00F53B9E" w:rsidP="00832773">
            <w:pPr>
              <w:spacing w:line="276" w:lineRule="auto"/>
              <w:jc w:val="left"/>
              <w:rPr>
                <w:rFonts w:cs="Calibri"/>
                <w:color w:val="000000"/>
                <w:sz w:val="20"/>
                <w:lang w:eastAsia="es-CR"/>
              </w:rPr>
            </w:pPr>
          </w:p>
        </w:tc>
        <w:tc>
          <w:tcPr>
            <w:tcW w:w="1176" w:type="dxa"/>
            <w:vMerge/>
            <w:tcBorders>
              <w:top w:val="nil"/>
              <w:left w:val="single" w:sz="4" w:space="0" w:color="000000"/>
              <w:bottom w:val="single" w:sz="4" w:space="0" w:color="000000"/>
              <w:right w:val="single" w:sz="4" w:space="0" w:color="000000"/>
            </w:tcBorders>
            <w:shd w:val="clear" w:color="auto" w:fill="D9D9D9" w:themeFill="background1" w:themeFillShade="D9"/>
            <w:vAlign w:val="center"/>
            <w:hideMark/>
          </w:tcPr>
          <w:p w14:paraId="588C62D8" w14:textId="77777777" w:rsidR="00F53B9E" w:rsidRPr="004E74A6" w:rsidRDefault="00F53B9E" w:rsidP="00832773">
            <w:pPr>
              <w:spacing w:line="276" w:lineRule="auto"/>
              <w:jc w:val="left"/>
              <w:rPr>
                <w:rFonts w:cs="Calibri"/>
                <w:color w:val="000000"/>
                <w:sz w:val="20"/>
                <w:lang w:eastAsia="es-CR"/>
              </w:rPr>
            </w:pPr>
          </w:p>
        </w:tc>
        <w:tc>
          <w:tcPr>
            <w:tcW w:w="1155" w:type="dxa"/>
            <w:vMerge/>
            <w:tcBorders>
              <w:top w:val="nil"/>
              <w:left w:val="single" w:sz="4" w:space="0" w:color="000000"/>
              <w:bottom w:val="single" w:sz="4" w:space="0" w:color="000000"/>
              <w:right w:val="single" w:sz="4" w:space="0" w:color="000000"/>
            </w:tcBorders>
            <w:shd w:val="clear" w:color="auto" w:fill="D9D9D9" w:themeFill="background1" w:themeFillShade="D9"/>
            <w:vAlign w:val="center"/>
            <w:hideMark/>
          </w:tcPr>
          <w:p w14:paraId="1CB8EB1D" w14:textId="77777777" w:rsidR="00F53B9E" w:rsidRPr="004E74A6" w:rsidRDefault="00F53B9E" w:rsidP="00832773">
            <w:pPr>
              <w:spacing w:line="276" w:lineRule="auto"/>
              <w:jc w:val="left"/>
              <w:rPr>
                <w:rFonts w:cs="Calibri"/>
                <w:color w:val="000000"/>
                <w:sz w:val="20"/>
                <w:lang w:eastAsia="es-CR"/>
              </w:rPr>
            </w:pPr>
          </w:p>
        </w:tc>
        <w:tc>
          <w:tcPr>
            <w:tcW w:w="1075" w:type="dxa"/>
            <w:vMerge/>
            <w:tcBorders>
              <w:top w:val="nil"/>
              <w:left w:val="single" w:sz="4" w:space="0" w:color="000000"/>
              <w:bottom w:val="single" w:sz="4" w:space="0" w:color="000000"/>
              <w:right w:val="single" w:sz="4" w:space="0" w:color="auto"/>
            </w:tcBorders>
            <w:shd w:val="clear" w:color="auto" w:fill="D9D9D9" w:themeFill="background1" w:themeFillShade="D9"/>
            <w:vAlign w:val="center"/>
            <w:hideMark/>
          </w:tcPr>
          <w:p w14:paraId="7D206790" w14:textId="77777777" w:rsidR="00F53B9E" w:rsidRPr="004E74A6" w:rsidRDefault="00F53B9E" w:rsidP="00832773">
            <w:pPr>
              <w:spacing w:line="276" w:lineRule="auto"/>
              <w:jc w:val="left"/>
              <w:rPr>
                <w:rFonts w:cs="Calibri"/>
                <w:color w:val="000000"/>
                <w:sz w:val="20"/>
                <w:lang w:eastAsia="es-CR"/>
              </w:rPr>
            </w:pPr>
          </w:p>
        </w:tc>
        <w:tc>
          <w:tcPr>
            <w:tcW w:w="1738" w:type="dxa"/>
            <w:vMerge/>
            <w:tcBorders>
              <w:top w:val="nil"/>
              <w:left w:val="single" w:sz="4" w:space="0" w:color="auto"/>
              <w:bottom w:val="single" w:sz="4" w:space="0" w:color="auto"/>
              <w:right w:val="single" w:sz="4" w:space="0" w:color="000000"/>
            </w:tcBorders>
            <w:shd w:val="clear" w:color="auto" w:fill="D9D9D9" w:themeFill="background1" w:themeFillShade="D9"/>
            <w:vAlign w:val="center"/>
            <w:hideMark/>
          </w:tcPr>
          <w:p w14:paraId="5F31E9B6" w14:textId="77777777" w:rsidR="00F53B9E" w:rsidRPr="004E74A6" w:rsidRDefault="00F53B9E" w:rsidP="00832773">
            <w:pPr>
              <w:spacing w:line="276" w:lineRule="auto"/>
              <w:jc w:val="left"/>
              <w:rPr>
                <w:rFonts w:cs="Calibri"/>
                <w:color w:val="000000"/>
                <w:sz w:val="20"/>
                <w:lang w:eastAsia="es-CR"/>
              </w:rPr>
            </w:pPr>
          </w:p>
        </w:tc>
        <w:tc>
          <w:tcPr>
            <w:tcW w:w="1107" w:type="dxa"/>
            <w:vMerge/>
            <w:tcBorders>
              <w:top w:val="nil"/>
              <w:left w:val="single" w:sz="4" w:space="0" w:color="000000"/>
              <w:bottom w:val="single" w:sz="4" w:space="0" w:color="000000"/>
              <w:right w:val="single" w:sz="4" w:space="0" w:color="000000"/>
            </w:tcBorders>
            <w:shd w:val="clear" w:color="auto" w:fill="D9D9D9" w:themeFill="background1" w:themeFillShade="D9"/>
            <w:vAlign w:val="center"/>
            <w:hideMark/>
          </w:tcPr>
          <w:p w14:paraId="18DFC243" w14:textId="77777777" w:rsidR="00F53B9E" w:rsidRPr="004E74A6" w:rsidRDefault="00F53B9E" w:rsidP="00832773">
            <w:pPr>
              <w:spacing w:line="276" w:lineRule="auto"/>
              <w:jc w:val="left"/>
              <w:rPr>
                <w:rFonts w:cs="Calibri"/>
                <w:color w:val="000000"/>
                <w:sz w:val="18"/>
                <w:szCs w:val="18"/>
                <w:lang w:eastAsia="es-CR"/>
              </w:rPr>
            </w:pPr>
          </w:p>
        </w:tc>
        <w:tc>
          <w:tcPr>
            <w:tcW w:w="2070" w:type="dxa"/>
            <w:gridSpan w:val="2"/>
            <w:tcBorders>
              <w:top w:val="nil"/>
              <w:left w:val="single" w:sz="4" w:space="0" w:color="000000"/>
              <w:bottom w:val="single" w:sz="4" w:space="0" w:color="000000"/>
              <w:right w:val="single" w:sz="4" w:space="0" w:color="000000"/>
            </w:tcBorders>
            <w:shd w:val="clear" w:color="auto" w:fill="D9D9D9" w:themeFill="background1" w:themeFillShade="D9"/>
          </w:tcPr>
          <w:p w14:paraId="42C7B8A3" w14:textId="77777777" w:rsidR="00F53B9E" w:rsidRPr="004E74A6" w:rsidRDefault="00F53B9E" w:rsidP="00832773">
            <w:pPr>
              <w:spacing w:line="276" w:lineRule="auto"/>
              <w:jc w:val="center"/>
              <w:rPr>
                <w:rFonts w:cs="Calibri"/>
                <w:color w:val="000000"/>
                <w:sz w:val="18"/>
                <w:szCs w:val="18"/>
                <w:lang w:eastAsia="es-CR"/>
              </w:rPr>
            </w:pPr>
            <w:r w:rsidRPr="004E74A6">
              <w:rPr>
                <w:rFonts w:cs="Calibri"/>
                <w:color w:val="000000"/>
                <w:sz w:val="18"/>
                <w:szCs w:val="18"/>
                <w:lang w:eastAsia="es-CR"/>
              </w:rPr>
              <w:t>Nominal</w:t>
            </w:r>
          </w:p>
          <w:p w14:paraId="35E6FCBD" w14:textId="1668E4E5" w:rsidR="009A0BD2" w:rsidRPr="004E74A6" w:rsidRDefault="009A0BD2" w:rsidP="00832773">
            <w:pPr>
              <w:spacing w:line="276" w:lineRule="auto"/>
              <w:jc w:val="center"/>
              <w:rPr>
                <w:rFonts w:cs="Calibri"/>
                <w:color w:val="000000"/>
                <w:sz w:val="18"/>
                <w:szCs w:val="18"/>
                <w:lang w:eastAsia="es-CR"/>
              </w:rPr>
            </w:pPr>
            <w:r w:rsidRPr="004E74A6">
              <w:rPr>
                <w:rFonts w:cs="Calibri"/>
                <w:color w:val="000000"/>
                <w:sz w:val="18"/>
                <w:szCs w:val="18"/>
                <w:lang w:eastAsia="es-CR"/>
              </w:rPr>
              <w:t>(</w:t>
            </w:r>
            <w:r w:rsidR="00B34B21" w:rsidRPr="004E74A6">
              <w:rPr>
                <w:rFonts w:cs="Calibri"/>
                <w:color w:val="000000"/>
                <w:sz w:val="18"/>
                <w:szCs w:val="18"/>
                <w:lang w:eastAsia="es-CR"/>
              </w:rPr>
              <w:t>iii</w:t>
            </w:r>
            <w:r w:rsidRPr="004E74A6">
              <w:rPr>
                <w:rFonts w:cs="Calibri"/>
                <w:color w:val="000000"/>
                <w:sz w:val="18"/>
                <w:szCs w:val="18"/>
                <w:lang w:eastAsia="es-CR"/>
              </w:rPr>
              <w:t>)</w:t>
            </w:r>
          </w:p>
        </w:tc>
        <w:tc>
          <w:tcPr>
            <w:tcW w:w="2287" w:type="dxa"/>
            <w:vMerge/>
            <w:tcBorders>
              <w:left w:val="single" w:sz="4" w:space="0" w:color="000000"/>
              <w:bottom w:val="single" w:sz="4" w:space="0" w:color="000000"/>
            </w:tcBorders>
            <w:shd w:val="clear" w:color="auto" w:fill="D9D9D9" w:themeFill="background1" w:themeFillShade="D9"/>
            <w:vAlign w:val="center"/>
            <w:hideMark/>
          </w:tcPr>
          <w:p w14:paraId="7F9F3515" w14:textId="2C5CAD03" w:rsidR="00F53B9E" w:rsidRPr="004E74A6" w:rsidRDefault="00F53B9E" w:rsidP="00832773">
            <w:pPr>
              <w:spacing w:line="276" w:lineRule="auto"/>
              <w:jc w:val="center"/>
              <w:rPr>
                <w:rFonts w:cs="Calibri"/>
                <w:color w:val="000000"/>
                <w:sz w:val="18"/>
                <w:szCs w:val="18"/>
                <w:lang w:eastAsia="es-CR"/>
              </w:rPr>
            </w:pPr>
          </w:p>
        </w:tc>
      </w:tr>
      <w:tr w:rsidR="00F53B9E" w:rsidRPr="004E74A6" w14:paraId="6FAD5E23" w14:textId="77777777" w:rsidTr="000F6981">
        <w:trPr>
          <w:trHeight w:val="900"/>
        </w:trPr>
        <w:tc>
          <w:tcPr>
            <w:tcW w:w="2130" w:type="dxa"/>
            <w:tcBorders>
              <w:top w:val="single" w:sz="4" w:space="0" w:color="auto"/>
              <w:bottom w:val="single" w:sz="4" w:space="0" w:color="auto"/>
              <w:right w:val="single" w:sz="4" w:space="0" w:color="auto"/>
            </w:tcBorders>
            <w:shd w:val="clear" w:color="auto" w:fill="auto"/>
            <w:vAlign w:val="center"/>
            <w:hideMark/>
          </w:tcPr>
          <w:p w14:paraId="1E4DCF44" w14:textId="30486B89" w:rsidR="00F53B9E" w:rsidRPr="004E74A6" w:rsidRDefault="00F53B9E" w:rsidP="00832773">
            <w:pPr>
              <w:spacing w:line="276" w:lineRule="auto"/>
              <w:rPr>
                <w:rFonts w:cs="Calibri"/>
                <w:color w:val="000000"/>
                <w:sz w:val="20"/>
                <w:lang w:eastAsia="es-CR"/>
              </w:rPr>
            </w:pPr>
            <w:r w:rsidRPr="004E74A6">
              <w:rPr>
                <w:rFonts w:cs="Calibri"/>
                <w:color w:val="000000"/>
                <w:sz w:val="20"/>
                <w:lang w:eastAsia="es-CR"/>
              </w:rPr>
              <w:t>Tribunal Primero del Primer Circuito Judicial San José</w:t>
            </w:r>
          </w:p>
        </w:tc>
        <w:tc>
          <w:tcPr>
            <w:tcW w:w="1012" w:type="dxa"/>
            <w:tcBorders>
              <w:top w:val="nil"/>
              <w:left w:val="nil"/>
              <w:bottom w:val="single" w:sz="4" w:space="0" w:color="auto"/>
              <w:right w:val="single" w:sz="4" w:space="0" w:color="auto"/>
            </w:tcBorders>
            <w:shd w:val="clear" w:color="auto" w:fill="auto"/>
            <w:vAlign w:val="center"/>
            <w:hideMark/>
          </w:tcPr>
          <w:p w14:paraId="2A152E7C" w14:textId="77777777" w:rsidR="00F53B9E" w:rsidRPr="004E74A6" w:rsidRDefault="00F53B9E" w:rsidP="00832773">
            <w:pPr>
              <w:spacing w:line="276" w:lineRule="auto"/>
              <w:jc w:val="center"/>
              <w:rPr>
                <w:rFonts w:cs="Calibri"/>
                <w:color w:val="000000"/>
                <w:sz w:val="20"/>
                <w:lang w:eastAsia="es-CR"/>
              </w:rPr>
            </w:pPr>
            <w:r w:rsidRPr="004E74A6">
              <w:rPr>
                <w:rFonts w:cs="Calibri"/>
                <w:color w:val="000000"/>
                <w:sz w:val="20"/>
                <w:lang w:eastAsia="es-CR"/>
              </w:rPr>
              <w:t>68,3%</w:t>
            </w:r>
            <w:r w:rsidRPr="004E74A6">
              <w:rPr>
                <w:rFonts w:cs="Calibri"/>
                <w:color w:val="000000"/>
                <w:sz w:val="20"/>
                <w:lang w:eastAsia="es-CR"/>
              </w:rPr>
              <w:br/>
              <w:t>220</w:t>
            </w:r>
          </w:p>
        </w:tc>
        <w:tc>
          <w:tcPr>
            <w:tcW w:w="1176" w:type="dxa"/>
            <w:tcBorders>
              <w:top w:val="nil"/>
              <w:left w:val="nil"/>
              <w:bottom w:val="single" w:sz="4" w:space="0" w:color="auto"/>
              <w:right w:val="single" w:sz="4" w:space="0" w:color="auto"/>
            </w:tcBorders>
            <w:shd w:val="clear" w:color="auto" w:fill="auto"/>
            <w:vAlign w:val="center"/>
            <w:hideMark/>
          </w:tcPr>
          <w:p w14:paraId="09A5092B" w14:textId="77777777" w:rsidR="00F53B9E" w:rsidRPr="004E74A6" w:rsidRDefault="00F53B9E" w:rsidP="00832773">
            <w:pPr>
              <w:spacing w:line="276" w:lineRule="auto"/>
              <w:jc w:val="center"/>
              <w:rPr>
                <w:rFonts w:cs="Calibri"/>
                <w:color w:val="000000"/>
                <w:sz w:val="20"/>
                <w:lang w:eastAsia="es-CR"/>
              </w:rPr>
            </w:pPr>
            <w:r w:rsidRPr="004E74A6">
              <w:rPr>
                <w:rFonts w:cs="Calibri"/>
                <w:color w:val="000000"/>
                <w:sz w:val="20"/>
                <w:lang w:eastAsia="es-CR"/>
              </w:rPr>
              <w:t>4,3%</w:t>
            </w:r>
            <w:r w:rsidRPr="004E74A6">
              <w:rPr>
                <w:rFonts w:cs="Calibri"/>
                <w:color w:val="000000"/>
                <w:sz w:val="20"/>
                <w:lang w:eastAsia="es-CR"/>
              </w:rPr>
              <w:br/>
              <w:t>14</w:t>
            </w:r>
          </w:p>
        </w:tc>
        <w:tc>
          <w:tcPr>
            <w:tcW w:w="1155" w:type="dxa"/>
            <w:tcBorders>
              <w:top w:val="nil"/>
              <w:left w:val="nil"/>
              <w:bottom w:val="single" w:sz="4" w:space="0" w:color="auto"/>
              <w:right w:val="single" w:sz="4" w:space="0" w:color="auto"/>
            </w:tcBorders>
            <w:shd w:val="clear" w:color="auto" w:fill="auto"/>
            <w:vAlign w:val="center"/>
            <w:hideMark/>
          </w:tcPr>
          <w:p w14:paraId="1B5D59FD" w14:textId="77777777" w:rsidR="00F53B9E" w:rsidRPr="004E74A6" w:rsidRDefault="00F53B9E" w:rsidP="00832773">
            <w:pPr>
              <w:spacing w:line="276" w:lineRule="auto"/>
              <w:jc w:val="center"/>
              <w:rPr>
                <w:rFonts w:cs="Calibri"/>
                <w:color w:val="000000"/>
                <w:sz w:val="20"/>
                <w:lang w:eastAsia="es-CR"/>
              </w:rPr>
            </w:pPr>
            <w:r w:rsidRPr="004E74A6">
              <w:rPr>
                <w:rFonts w:cs="Calibri"/>
                <w:color w:val="000000"/>
                <w:sz w:val="20"/>
                <w:lang w:eastAsia="es-CR"/>
              </w:rPr>
              <w:t>20,2%</w:t>
            </w:r>
            <w:r w:rsidRPr="004E74A6">
              <w:rPr>
                <w:rFonts w:cs="Calibri"/>
                <w:color w:val="000000"/>
                <w:sz w:val="20"/>
                <w:lang w:eastAsia="es-CR"/>
              </w:rPr>
              <w:br/>
              <w:t>65</w:t>
            </w:r>
          </w:p>
        </w:tc>
        <w:tc>
          <w:tcPr>
            <w:tcW w:w="1075" w:type="dxa"/>
            <w:tcBorders>
              <w:top w:val="nil"/>
              <w:left w:val="nil"/>
              <w:bottom w:val="single" w:sz="4" w:space="0" w:color="auto"/>
              <w:right w:val="single" w:sz="4" w:space="0" w:color="auto"/>
            </w:tcBorders>
            <w:shd w:val="clear" w:color="auto" w:fill="auto"/>
            <w:vAlign w:val="center"/>
            <w:hideMark/>
          </w:tcPr>
          <w:p w14:paraId="67520E8F" w14:textId="77777777" w:rsidR="00F53B9E" w:rsidRPr="004E74A6" w:rsidRDefault="00F53B9E" w:rsidP="00832773">
            <w:pPr>
              <w:spacing w:line="276" w:lineRule="auto"/>
              <w:jc w:val="center"/>
              <w:rPr>
                <w:rFonts w:cs="Calibri"/>
                <w:color w:val="000000"/>
                <w:sz w:val="20"/>
                <w:lang w:eastAsia="es-CR"/>
              </w:rPr>
            </w:pPr>
            <w:r w:rsidRPr="004E74A6">
              <w:rPr>
                <w:rFonts w:cs="Calibri"/>
                <w:color w:val="000000"/>
                <w:sz w:val="20"/>
                <w:lang w:eastAsia="es-CR"/>
              </w:rPr>
              <w:t>7,2%</w:t>
            </w:r>
            <w:r w:rsidRPr="004E74A6">
              <w:rPr>
                <w:rFonts w:cs="Calibri"/>
                <w:color w:val="000000"/>
                <w:sz w:val="20"/>
                <w:lang w:eastAsia="es-CR"/>
              </w:rPr>
              <w:br/>
              <w:t>23</w:t>
            </w:r>
          </w:p>
        </w:tc>
        <w:tc>
          <w:tcPr>
            <w:tcW w:w="1738" w:type="dxa"/>
            <w:tcBorders>
              <w:top w:val="nil"/>
              <w:left w:val="nil"/>
              <w:bottom w:val="single" w:sz="4" w:space="0" w:color="auto"/>
              <w:right w:val="single" w:sz="4" w:space="0" w:color="auto"/>
            </w:tcBorders>
            <w:shd w:val="clear" w:color="000000" w:fill="F2F2F2"/>
            <w:vAlign w:val="center"/>
            <w:hideMark/>
          </w:tcPr>
          <w:p w14:paraId="52056102" w14:textId="519EF74C" w:rsidR="00F53B9E" w:rsidRPr="004E74A6" w:rsidRDefault="00F53B9E" w:rsidP="00832773">
            <w:pPr>
              <w:spacing w:line="276" w:lineRule="auto"/>
              <w:jc w:val="center"/>
              <w:rPr>
                <w:rFonts w:cs="Calibri"/>
                <w:color w:val="000000"/>
                <w:sz w:val="20"/>
                <w:lang w:eastAsia="es-CR"/>
              </w:rPr>
            </w:pPr>
            <w:r w:rsidRPr="004E74A6">
              <w:rPr>
                <w:rFonts w:cs="Calibri"/>
                <w:color w:val="000000"/>
                <w:sz w:val="20"/>
                <w:lang w:eastAsia="es-CR"/>
              </w:rPr>
              <w:t>47%</w:t>
            </w:r>
            <w:r w:rsidRPr="004E74A6">
              <w:rPr>
                <w:rFonts w:cs="Calibri"/>
                <w:color w:val="000000"/>
                <w:sz w:val="20"/>
                <w:lang w:eastAsia="es-CR"/>
              </w:rPr>
              <w:br/>
              <w:t>(220 *47</w:t>
            </w:r>
            <w:r w:rsidR="00F15F0E" w:rsidRPr="004E74A6">
              <w:rPr>
                <w:rFonts w:cs="Calibri"/>
                <w:color w:val="000000"/>
                <w:sz w:val="20"/>
                <w:lang w:eastAsia="es-CR"/>
              </w:rPr>
              <w:t>%) =</w:t>
            </w:r>
            <w:r w:rsidRPr="004E74A6">
              <w:rPr>
                <w:rFonts w:cs="Calibri"/>
                <w:color w:val="000000"/>
                <w:sz w:val="20"/>
                <w:lang w:eastAsia="es-CR"/>
              </w:rPr>
              <w:t>104</w:t>
            </w:r>
          </w:p>
        </w:tc>
        <w:tc>
          <w:tcPr>
            <w:tcW w:w="1107" w:type="dxa"/>
            <w:tcBorders>
              <w:top w:val="nil"/>
              <w:left w:val="nil"/>
              <w:bottom w:val="single" w:sz="4" w:space="0" w:color="auto"/>
              <w:right w:val="single" w:sz="4" w:space="0" w:color="auto"/>
            </w:tcBorders>
            <w:shd w:val="clear" w:color="auto" w:fill="auto"/>
            <w:vAlign w:val="center"/>
            <w:hideMark/>
          </w:tcPr>
          <w:p w14:paraId="33677A7F" w14:textId="0F18DD12" w:rsidR="00F53B9E" w:rsidRPr="004E74A6" w:rsidRDefault="00F53B9E" w:rsidP="00832773">
            <w:pPr>
              <w:spacing w:line="276" w:lineRule="auto"/>
              <w:jc w:val="center"/>
              <w:rPr>
                <w:rFonts w:cs="Calibri"/>
                <w:color w:val="000000"/>
                <w:sz w:val="20"/>
                <w:lang w:eastAsia="es-CR"/>
              </w:rPr>
            </w:pPr>
            <w:r w:rsidRPr="004E74A6">
              <w:rPr>
                <w:rFonts w:cs="Calibri"/>
                <w:color w:val="000000"/>
                <w:sz w:val="20"/>
                <w:lang w:eastAsia="es-CR"/>
              </w:rPr>
              <w:t>64</w:t>
            </w:r>
          </w:p>
        </w:tc>
        <w:tc>
          <w:tcPr>
            <w:tcW w:w="2070" w:type="dxa"/>
            <w:gridSpan w:val="2"/>
            <w:tcBorders>
              <w:top w:val="nil"/>
              <w:left w:val="nil"/>
              <w:bottom w:val="single" w:sz="4" w:space="0" w:color="auto"/>
              <w:right w:val="nil"/>
            </w:tcBorders>
            <w:vAlign w:val="center"/>
          </w:tcPr>
          <w:p w14:paraId="7366BF48" w14:textId="70BBBA30" w:rsidR="00F53B9E" w:rsidRPr="004E74A6" w:rsidRDefault="00F53B9E" w:rsidP="00832773">
            <w:pPr>
              <w:spacing w:line="276" w:lineRule="auto"/>
              <w:jc w:val="center"/>
              <w:rPr>
                <w:rFonts w:cs="Calibri"/>
                <w:color w:val="000000"/>
                <w:sz w:val="20"/>
                <w:lang w:eastAsia="es-CR"/>
              </w:rPr>
            </w:pPr>
            <w:r w:rsidRPr="004E74A6">
              <w:rPr>
                <w:rFonts w:cs="Calibri"/>
                <w:color w:val="000000"/>
                <w:sz w:val="20"/>
                <w:lang w:eastAsia="es-CR"/>
              </w:rPr>
              <w:t>28</w:t>
            </w:r>
          </w:p>
        </w:tc>
        <w:tc>
          <w:tcPr>
            <w:tcW w:w="2287" w:type="dxa"/>
            <w:tcBorders>
              <w:top w:val="nil"/>
              <w:left w:val="nil"/>
              <w:bottom w:val="single" w:sz="4" w:space="0" w:color="auto"/>
            </w:tcBorders>
            <w:shd w:val="clear" w:color="auto" w:fill="auto"/>
            <w:vAlign w:val="center"/>
          </w:tcPr>
          <w:p w14:paraId="6AB6537A" w14:textId="71268D53" w:rsidR="00F53B9E" w:rsidRPr="004E74A6" w:rsidRDefault="00F53B9E" w:rsidP="00832773">
            <w:pPr>
              <w:spacing w:line="276" w:lineRule="auto"/>
              <w:jc w:val="center"/>
              <w:rPr>
                <w:rFonts w:cs="Calibri"/>
                <w:color w:val="000000"/>
                <w:sz w:val="20"/>
                <w:lang w:eastAsia="es-CR"/>
              </w:rPr>
            </w:pPr>
            <w:r w:rsidRPr="004E74A6">
              <w:rPr>
                <w:rFonts w:cs="Calibri"/>
                <w:color w:val="000000"/>
                <w:sz w:val="20"/>
                <w:lang w:eastAsia="es-CR"/>
              </w:rPr>
              <w:t>36</w:t>
            </w:r>
          </w:p>
        </w:tc>
      </w:tr>
      <w:tr w:rsidR="00F53B9E" w:rsidRPr="004E74A6" w14:paraId="501784A6" w14:textId="77777777" w:rsidTr="000F6981">
        <w:trPr>
          <w:trHeight w:val="900"/>
        </w:trPr>
        <w:tc>
          <w:tcPr>
            <w:tcW w:w="2130" w:type="dxa"/>
            <w:tcBorders>
              <w:top w:val="single" w:sz="4" w:space="0" w:color="auto"/>
              <w:bottom w:val="single" w:sz="4" w:space="0" w:color="auto"/>
              <w:right w:val="single" w:sz="4" w:space="0" w:color="auto"/>
            </w:tcBorders>
            <w:shd w:val="clear" w:color="auto" w:fill="auto"/>
            <w:vAlign w:val="center"/>
            <w:hideMark/>
          </w:tcPr>
          <w:p w14:paraId="6901575A" w14:textId="77777777" w:rsidR="00F53B9E" w:rsidRPr="004E74A6" w:rsidRDefault="00F53B9E" w:rsidP="00832773">
            <w:pPr>
              <w:spacing w:line="276" w:lineRule="auto"/>
              <w:rPr>
                <w:rFonts w:cs="Calibri"/>
                <w:color w:val="000000"/>
                <w:sz w:val="20"/>
                <w:lang w:eastAsia="es-CR"/>
              </w:rPr>
            </w:pPr>
            <w:r w:rsidRPr="004E74A6">
              <w:rPr>
                <w:rFonts w:cs="Calibri"/>
                <w:color w:val="000000"/>
                <w:sz w:val="20"/>
                <w:lang w:eastAsia="es-CR"/>
              </w:rPr>
              <w:t>Tribunal Segundo Primer Circuito Judicial San José</w:t>
            </w:r>
          </w:p>
        </w:tc>
        <w:tc>
          <w:tcPr>
            <w:tcW w:w="1012" w:type="dxa"/>
            <w:tcBorders>
              <w:top w:val="nil"/>
              <w:left w:val="nil"/>
              <w:bottom w:val="single" w:sz="4" w:space="0" w:color="auto"/>
              <w:right w:val="single" w:sz="4" w:space="0" w:color="auto"/>
            </w:tcBorders>
            <w:shd w:val="clear" w:color="auto" w:fill="auto"/>
            <w:vAlign w:val="center"/>
            <w:hideMark/>
          </w:tcPr>
          <w:p w14:paraId="73811499" w14:textId="77777777" w:rsidR="00F53B9E" w:rsidRPr="004E74A6" w:rsidRDefault="00F53B9E" w:rsidP="00832773">
            <w:pPr>
              <w:spacing w:line="276" w:lineRule="auto"/>
              <w:jc w:val="center"/>
              <w:rPr>
                <w:rFonts w:cs="Calibri"/>
                <w:color w:val="000000"/>
                <w:sz w:val="20"/>
                <w:lang w:eastAsia="es-CR"/>
              </w:rPr>
            </w:pPr>
            <w:r w:rsidRPr="004E74A6">
              <w:rPr>
                <w:rFonts w:cs="Calibri"/>
                <w:color w:val="000000"/>
                <w:sz w:val="20"/>
                <w:lang w:eastAsia="es-CR"/>
              </w:rPr>
              <w:t>51%</w:t>
            </w:r>
            <w:r w:rsidRPr="004E74A6">
              <w:rPr>
                <w:rFonts w:cs="Calibri"/>
                <w:color w:val="000000"/>
                <w:sz w:val="20"/>
                <w:lang w:eastAsia="es-CR"/>
              </w:rPr>
              <w:br/>
              <w:t>140</w:t>
            </w:r>
          </w:p>
        </w:tc>
        <w:tc>
          <w:tcPr>
            <w:tcW w:w="1176" w:type="dxa"/>
            <w:tcBorders>
              <w:top w:val="nil"/>
              <w:left w:val="nil"/>
              <w:bottom w:val="single" w:sz="4" w:space="0" w:color="auto"/>
              <w:right w:val="single" w:sz="4" w:space="0" w:color="auto"/>
            </w:tcBorders>
            <w:shd w:val="clear" w:color="auto" w:fill="auto"/>
            <w:vAlign w:val="center"/>
            <w:hideMark/>
          </w:tcPr>
          <w:p w14:paraId="3A0029EB" w14:textId="77777777" w:rsidR="00F53B9E" w:rsidRPr="004E74A6" w:rsidRDefault="00F53B9E" w:rsidP="00832773">
            <w:pPr>
              <w:spacing w:line="276" w:lineRule="auto"/>
              <w:jc w:val="center"/>
              <w:rPr>
                <w:rFonts w:cs="Calibri"/>
                <w:color w:val="000000"/>
                <w:sz w:val="20"/>
                <w:lang w:eastAsia="es-CR"/>
              </w:rPr>
            </w:pPr>
            <w:r w:rsidRPr="004E74A6">
              <w:rPr>
                <w:rFonts w:cs="Calibri"/>
                <w:color w:val="000000"/>
                <w:sz w:val="20"/>
                <w:lang w:eastAsia="es-CR"/>
              </w:rPr>
              <w:t>4%</w:t>
            </w:r>
            <w:r w:rsidRPr="004E74A6">
              <w:rPr>
                <w:rFonts w:cs="Calibri"/>
                <w:color w:val="000000"/>
                <w:sz w:val="20"/>
                <w:lang w:eastAsia="es-CR"/>
              </w:rPr>
              <w:br/>
              <w:t>11</w:t>
            </w:r>
          </w:p>
        </w:tc>
        <w:tc>
          <w:tcPr>
            <w:tcW w:w="1155" w:type="dxa"/>
            <w:tcBorders>
              <w:top w:val="nil"/>
              <w:left w:val="nil"/>
              <w:bottom w:val="single" w:sz="4" w:space="0" w:color="auto"/>
              <w:right w:val="single" w:sz="4" w:space="0" w:color="auto"/>
            </w:tcBorders>
            <w:shd w:val="clear" w:color="auto" w:fill="auto"/>
            <w:vAlign w:val="center"/>
            <w:hideMark/>
          </w:tcPr>
          <w:p w14:paraId="3354EB6C" w14:textId="77777777" w:rsidR="00F53B9E" w:rsidRPr="004E74A6" w:rsidRDefault="00F53B9E" w:rsidP="00832773">
            <w:pPr>
              <w:spacing w:line="276" w:lineRule="auto"/>
              <w:jc w:val="center"/>
              <w:rPr>
                <w:rFonts w:cs="Calibri"/>
                <w:color w:val="000000"/>
                <w:sz w:val="20"/>
                <w:lang w:eastAsia="es-CR"/>
              </w:rPr>
            </w:pPr>
            <w:r w:rsidRPr="004E74A6">
              <w:rPr>
                <w:rFonts w:cs="Calibri"/>
                <w:color w:val="000000"/>
                <w:sz w:val="20"/>
                <w:lang w:eastAsia="es-CR"/>
              </w:rPr>
              <w:t>33%</w:t>
            </w:r>
            <w:r w:rsidRPr="004E74A6">
              <w:rPr>
                <w:rFonts w:cs="Calibri"/>
                <w:color w:val="000000"/>
                <w:sz w:val="20"/>
                <w:lang w:eastAsia="es-CR"/>
              </w:rPr>
              <w:br/>
              <w:t>89</w:t>
            </w:r>
          </w:p>
        </w:tc>
        <w:tc>
          <w:tcPr>
            <w:tcW w:w="1075" w:type="dxa"/>
            <w:tcBorders>
              <w:top w:val="nil"/>
              <w:left w:val="nil"/>
              <w:bottom w:val="single" w:sz="4" w:space="0" w:color="auto"/>
              <w:right w:val="single" w:sz="4" w:space="0" w:color="auto"/>
            </w:tcBorders>
            <w:shd w:val="clear" w:color="auto" w:fill="auto"/>
            <w:vAlign w:val="center"/>
            <w:hideMark/>
          </w:tcPr>
          <w:p w14:paraId="5BD859E9" w14:textId="77777777" w:rsidR="00F53B9E" w:rsidRPr="004E74A6" w:rsidRDefault="00F53B9E" w:rsidP="00832773">
            <w:pPr>
              <w:spacing w:line="276" w:lineRule="auto"/>
              <w:jc w:val="center"/>
              <w:rPr>
                <w:rFonts w:cs="Calibri"/>
                <w:color w:val="000000"/>
                <w:sz w:val="20"/>
                <w:lang w:eastAsia="es-CR"/>
              </w:rPr>
            </w:pPr>
            <w:r w:rsidRPr="004E74A6">
              <w:rPr>
                <w:rFonts w:cs="Calibri"/>
                <w:color w:val="000000"/>
                <w:sz w:val="20"/>
                <w:lang w:eastAsia="es-CR"/>
              </w:rPr>
              <w:t>12%</w:t>
            </w:r>
            <w:r w:rsidRPr="004E74A6">
              <w:rPr>
                <w:rFonts w:cs="Calibri"/>
                <w:color w:val="000000"/>
                <w:sz w:val="20"/>
                <w:lang w:eastAsia="es-CR"/>
              </w:rPr>
              <w:br/>
              <w:t>33</w:t>
            </w:r>
          </w:p>
        </w:tc>
        <w:tc>
          <w:tcPr>
            <w:tcW w:w="1738" w:type="dxa"/>
            <w:tcBorders>
              <w:top w:val="nil"/>
              <w:left w:val="nil"/>
              <w:bottom w:val="single" w:sz="4" w:space="0" w:color="auto"/>
              <w:right w:val="single" w:sz="4" w:space="0" w:color="auto"/>
            </w:tcBorders>
            <w:shd w:val="clear" w:color="000000" w:fill="F2F2F2"/>
            <w:vAlign w:val="center"/>
            <w:hideMark/>
          </w:tcPr>
          <w:p w14:paraId="15FE2B05" w14:textId="77777777" w:rsidR="00F53B9E" w:rsidRPr="004E74A6" w:rsidRDefault="00F53B9E" w:rsidP="00832773">
            <w:pPr>
              <w:spacing w:line="276" w:lineRule="auto"/>
              <w:jc w:val="center"/>
              <w:rPr>
                <w:rFonts w:cs="Calibri"/>
                <w:color w:val="000000"/>
                <w:sz w:val="20"/>
                <w:lang w:eastAsia="es-CR"/>
              </w:rPr>
            </w:pPr>
            <w:r w:rsidRPr="004E74A6">
              <w:rPr>
                <w:rFonts w:cs="Calibri"/>
                <w:color w:val="000000"/>
                <w:sz w:val="20"/>
                <w:lang w:eastAsia="es-CR"/>
              </w:rPr>
              <w:t>44%</w:t>
            </w:r>
            <w:r w:rsidRPr="004E74A6">
              <w:rPr>
                <w:rFonts w:cs="Calibri"/>
                <w:color w:val="000000"/>
                <w:sz w:val="20"/>
                <w:lang w:eastAsia="es-CR"/>
              </w:rPr>
              <w:br/>
              <w:t>61</w:t>
            </w:r>
          </w:p>
        </w:tc>
        <w:tc>
          <w:tcPr>
            <w:tcW w:w="1107" w:type="dxa"/>
            <w:tcBorders>
              <w:top w:val="nil"/>
              <w:left w:val="nil"/>
              <w:bottom w:val="single" w:sz="4" w:space="0" w:color="auto"/>
              <w:right w:val="single" w:sz="4" w:space="0" w:color="auto"/>
            </w:tcBorders>
            <w:shd w:val="clear" w:color="auto" w:fill="auto"/>
            <w:vAlign w:val="center"/>
            <w:hideMark/>
          </w:tcPr>
          <w:p w14:paraId="52C51D75" w14:textId="0DC5A2A4" w:rsidR="00F53B9E" w:rsidRPr="004E74A6" w:rsidRDefault="00F53B9E" w:rsidP="00832773">
            <w:pPr>
              <w:spacing w:line="276" w:lineRule="auto"/>
              <w:jc w:val="center"/>
              <w:rPr>
                <w:rFonts w:cs="Calibri"/>
                <w:color w:val="000000"/>
                <w:sz w:val="20"/>
                <w:lang w:eastAsia="es-CR"/>
              </w:rPr>
            </w:pPr>
            <w:r w:rsidRPr="004E74A6">
              <w:rPr>
                <w:rFonts w:cs="Calibri"/>
                <w:color w:val="000000"/>
                <w:sz w:val="20"/>
                <w:lang w:eastAsia="es-CR"/>
              </w:rPr>
              <w:t>55</w:t>
            </w:r>
          </w:p>
        </w:tc>
        <w:tc>
          <w:tcPr>
            <w:tcW w:w="2070" w:type="dxa"/>
            <w:gridSpan w:val="2"/>
            <w:tcBorders>
              <w:top w:val="nil"/>
              <w:left w:val="nil"/>
              <w:bottom w:val="single" w:sz="4" w:space="0" w:color="auto"/>
              <w:right w:val="nil"/>
            </w:tcBorders>
            <w:vAlign w:val="center"/>
          </w:tcPr>
          <w:p w14:paraId="71D47AE4" w14:textId="6CE2A6F1" w:rsidR="00F53B9E" w:rsidRPr="004E74A6" w:rsidRDefault="00F53B9E" w:rsidP="00832773">
            <w:pPr>
              <w:spacing w:line="276" w:lineRule="auto"/>
              <w:jc w:val="center"/>
              <w:rPr>
                <w:rFonts w:cs="Calibri"/>
                <w:color w:val="000000"/>
                <w:sz w:val="20"/>
                <w:lang w:eastAsia="es-CR"/>
              </w:rPr>
            </w:pPr>
            <w:r w:rsidRPr="004E74A6">
              <w:rPr>
                <w:rFonts w:cs="Calibri"/>
                <w:color w:val="000000"/>
                <w:sz w:val="20"/>
                <w:lang w:eastAsia="es-CR"/>
              </w:rPr>
              <w:t>24</w:t>
            </w:r>
          </w:p>
        </w:tc>
        <w:tc>
          <w:tcPr>
            <w:tcW w:w="2287" w:type="dxa"/>
            <w:tcBorders>
              <w:top w:val="nil"/>
              <w:left w:val="nil"/>
              <w:bottom w:val="single" w:sz="4" w:space="0" w:color="auto"/>
            </w:tcBorders>
            <w:shd w:val="clear" w:color="auto" w:fill="auto"/>
            <w:vAlign w:val="center"/>
          </w:tcPr>
          <w:p w14:paraId="6D8CDD6D" w14:textId="2C2BBF65" w:rsidR="00F53B9E" w:rsidRPr="004E74A6" w:rsidRDefault="00F53B9E" w:rsidP="00832773">
            <w:pPr>
              <w:spacing w:line="276" w:lineRule="auto"/>
              <w:jc w:val="center"/>
              <w:rPr>
                <w:rFonts w:cs="Calibri"/>
                <w:color w:val="000000"/>
                <w:sz w:val="20"/>
                <w:lang w:eastAsia="es-CR"/>
              </w:rPr>
            </w:pPr>
            <w:r w:rsidRPr="004E74A6">
              <w:rPr>
                <w:rFonts w:cs="Calibri"/>
                <w:color w:val="000000"/>
                <w:sz w:val="20"/>
                <w:lang w:eastAsia="es-CR"/>
              </w:rPr>
              <w:t>31</w:t>
            </w:r>
          </w:p>
        </w:tc>
      </w:tr>
      <w:tr w:rsidR="00F53B9E" w:rsidRPr="004E74A6" w14:paraId="6F09072B" w14:textId="77777777" w:rsidTr="000F6981">
        <w:trPr>
          <w:trHeight w:val="900"/>
        </w:trPr>
        <w:tc>
          <w:tcPr>
            <w:tcW w:w="2130" w:type="dxa"/>
            <w:tcBorders>
              <w:top w:val="single" w:sz="4" w:space="0" w:color="auto"/>
              <w:bottom w:val="single" w:sz="4" w:space="0" w:color="auto"/>
              <w:right w:val="single" w:sz="4" w:space="0" w:color="auto"/>
            </w:tcBorders>
            <w:shd w:val="clear" w:color="auto" w:fill="auto"/>
            <w:vAlign w:val="center"/>
            <w:hideMark/>
          </w:tcPr>
          <w:p w14:paraId="3148BD6E" w14:textId="77777777" w:rsidR="00F53B9E" w:rsidRPr="004E74A6" w:rsidRDefault="00F53B9E" w:rsidP="00832773">
            <w:pPr>
              <w:spacing w:line="276" w:lineRule="auto"/>
              <w:rPr>
                <w:rFonts w:cs="Calibri"/>
                <w:color w:val="000000"/>
                <w:sz w:val="20"/>
                <w:lang w:eastAsia="es-CR"/>
              </w:rPr>
            </w:pPr>
            <w:r w:rsidRPr="004E74A6">
              <w:rPr>
                <w:rFonts w:cs="Calibri"/>
                <w:color w:val="000000"/>
                <w:sz w:val="20"/>
                <w:lang w:eastAsia="es-CR"/>
              </w:rPr>
              <w:t>Tercer Circuito Judicial San José, Hatillo</w:t>
            </w:r>
          </w:p>
        </w:tc>
        <w:tc>
          <w:tcPr>
            <w:tcW w:w="1012" w:type="dxa"/>
            <w:tcBorders>
              <w:top w:val="nil"/>
              <w:left w:val="nil"/>
              <w:bottom w:val="single" w:sz="4" w:space="0" w:color="auto"/>
              <w:right w:val="single" w:sz="4" w:space="0" w:color="auto"/>
            </w:tcBorders>
            <w:shd w:val="clear" w:color="auto" w:fill="auto"/>
            <w:vAlign w:val="center"/>
            <w:hideMark/>
          </w:tcPr>
          <w:p w14:paraId="4E97F8BB" w14:textId="77777777" w:rsidR="00F53B9E" w:rsidRPr="004E74A6" w:rsidRDefault="00F53B9E" w:rsidP="00832773">
            <w:pPr>
              <w:spacing w:line="276" w:lineRule="auto"/>
              <w:jc w:val="center"/>
              <w:rPr>
                <w:rFonts w:cs="Calibri"/>
                <w:color w:val="000000"/>
                <w:sz w:val="20"/>
                <w:lang w:eastAsia="es-CR"/>
              </w:rPr>
            </w:pPr>
            <w:r w:rsidRPr="004E74A6">
              <w:rPr>
                <w:rFonts w:cs="Calibri"/>
                <w:color w:val="000000"/>
                <w:sz w:val="20"/>
                <w:lang w:eastAsia="es-CR"/>
              </w:rPr>
              <w:t>13%</w:t>
            </w:r>
            <w:r w:rsidRPr="004E74A6">
              <w:rPr>
                <w:rFonts w:cs="Calibri"/>
                <w:color w:val="000000"/>
                <w:sz w:val="20"/>
                <w:lang w:eastAsia="es-CR"/>
              </w:rPr>
              <w:br/>
              <w:t>16</w:t>
            </w:r>
          </w:p>
        </w:tc>
        <w:tc>
          <w:tcPr>
            <w:tcW w:w="1176" w:type="dxa"/>
            <w:tcBorders>
              <w:top w:val="nil"/>
              <w:left w:val="nil"/>
              <w:bottom w:val="single" w:sz="4" w:space="0" w:color="auto"/>
              <w:right w:val="single" w:sz="4" w:space="0" w:color="auto"/>
            </w:tcBorders>
            <w:shd w:val="clear" w:color="auto" w:fill="auto"/>
            <w:vAlign w:val="center"/>
            <w:hideMark/>
          </w:tcPr>
          <w:p w14:paraId="372DFA9F" w14:textId="77777777" w:rsidR="00F53B9E" w:rsidRPr="004E74A6" w:rsidRDefault="00F53B9E" w:rsidP="00832773">
            <w:pPr>
              <w:spacing w:line="276" w:lineRule="auto"/>
              <w:jc w:val="center"/>
              <w:rPr>
                <w:rFonts w:cs="Calibri"/>
                <w:color w:val="000000"/>
                <w:sz w:val="20"/>
                <w:lang w:eastAsia="es-CR"/>
              </w:rPr>
            </w:pPr>
            <w:r w:rsidRPr="004E74A6">
              <w:rPr>
                <w:rFonts w:cs="Calibri"/>
                <w:color w:val="000000"/>
                <w:sz w:val="20"/>
                <w:lang w:eastAsia="es-CR"/>
              </w:rPr>
              <w:t>1%</w:t>
            </w:r>
            <w:r w:rsidRPr="004E74A6">
              <w:rPr>
                <w:rFonts w:cs="Calibri"/>
                <w:color w:val="000000"/>
                <w:sz w:val="20"/>
                <w:lang w:eastAsia="es-CR"/>
              </w:rPr>
              <w:br/>
              <w:t>1</w:t>
            </w:r>
          </w:p>
        </w:tc>
        <w:tc>
          <w:tcPr>
            <w:tcW w:w="1155" w:type="dxa"/>
            <w:tcBorders>
              <w:top w:val="nil"/>
              <w:left w:val="nil"/>
              <w:bottom w:val="single" w:sz="4" w:space="0" w:color="auto"/>
              <w:right w:val="single" w:sz="4" w:space="0" w:color="auto"/>
            </w:tcBorders>
            <w:shd w:val="clear" w:color="auto" w:fill="auto"/>
            <w:vAlign w:val="center"/>
            <w:hideMark/>
          </w:tcPr>
          <w:p w14:paraId="79F473AF" w14:textId="77777777" w:rsidR="00F53B9E" w:rsidRPr="004E74A6" w:rsidRDefault="00F53B9E" w:rsidP="00832773">
            <w:pPr>
              <w:spacing w:line="276" w:lineRule="auto"/>
              <w:jc w:val="center"/>
              <w:rPr>
                <w:rFonts w:cs="Calibri"/>
                <w:color w:val="000000"/>
                <w:sz w:val="20"/>
                <w:lang w:eastAsia="es-CR"/>
              </w:rPr>
            </w:pPr>
            <w:r w:rsidRPr="004E74A6">
              <w:rPr>
                <w:rFonts w:cs="Calibri"/>
                <w:color w:val="000000"/>
                <w:sz w:val="20"/>
                <w:lang w:eastAsia="es-CR"/>
              </w:rPr>
              <w:t>82%</w:t>
            </w:r>
            <w:r w:rsidRPr="004E74A6">
              <w:rPr>
                <w:rFonts w:cs="Calibri"/>
                <w:color w:val="000000"/>
                <w:sz w:val="20"/>
                <w:lang w:eastAsia="es-CR"/>
              </w:rPr>
              <w:br/>
              <w:t>101</w:t>
            </w:r>
          </w:p>
        </w:tc>
        <w:tc>
          <w:tcPr>
            <w:tcW w:w="1075" w:type="dxa"/>
            <w:tcBorders>
              <w:top w:val="nil"/>
              <w:left w:val="nil"/>
              <w:bottom w:val="single" w:sz="4" w:space="0" w:color="auto"/>
              <w:right w:val="single" w:sz="4" w:space="0" w:color="auto"/>
            </w:tcBorders>
            <w:shd w:val="clear" w:color="auto" w:fill="auto"/>
            <w:vAlign w:val="center"/>
            <w:hideMark/>
          </w:tcPr>
          <w:p w14:paraId="3206FD2E" w14:textId="77777777" w:rsidR="00F53B9E" w:rsidRPr="004E74A6" w:rsidRDefault="00F53B9E" w:rsidP="00832773">
            <w:pPr>
              <w:spacing w:line="276" w:lineRule="auto"/>
              <w:jc w:val="center"/>
              <w:rPr>
                <w:rFonts w:cs="Calibri"/>
                <w:color w:val="000000"/>
                <w:sz w:val="20"/>
                <w:lang w:eastAsia="es-CR"/>
              </w:rPr>
            </w:pPr>
            <w:r w:rsidRPr="004E74A6">
              <w:rPr>
                <w:rFonts w:cs="Calibri"/>
                <w:color w:val="000000"/>
                <w:sz w:val="20"/>
                <w:lang w:eastAsia="es-CR"/>
              </w:rPr>
              <w:t>4%</w:t>
            </w:r>
            <w:r w:rsidRPr="004E74A6">
              <w:rPr>
                <w:rFonts w:cs="Calibri"/>
                <w:color w:val="000000"/>
                <w:sz w:val="20"/>
                <w:lang w:eastAsia="es-CR"/>
              </w:rPr>
              <w:br/>
              <w:t>6</w:t>
            </w:r>
          </w:p>
        </w:tc>
        <w:tc>
          <w:tcPr>
            <w:tcW w:w="1738" w:type="dxa"/>
            <w:tcBorders>
              <w:top w:val="nil"/>
              <w:left w:val="nil"/>
              <w:bottom w:val="single" w:sz="4" w:space="0" w:color="auto"/>
              <w:right w:val="single" w:sz="4" w:space="0" w:color="auto"/>
            </w:tcBorders>
            <w:shd w:val="clear" w:color="000000" w:fill="F2F2F2"/>
            <w:vAlign w:val="center"/>
            <w:hideMark/>
          </w:tcPr>
          <w:p w14:paraId="512BAA3F" w14:textId="77777777" w:rsidR="00F53B9E" w:rsidRPr="004E74A6" w:rsidRDefault="00F53B9E" w:rsidP="00832773">
            <w:pPr>
              <w:spacing w:line="276" w:lineRule="auto"/>
              <w:jc w:val="center"/>
              <w:rPr>
                <w:rFonts w:cs="Calibri"/>
                <w:color w:val="000000"/>
                <w:sz w:val="20"/>
                <w:lang w:eastAsia="es-CR"/>
              </w:rPr>
            </w:pPr>
            <w:r w:rsidRPr="004E74A6">
              <w:rPr>
                <w:rFonts w:cs="Calibri"/>
                <w:color w:val="000000"/>
                <w:sz w:val="20"/>
                <w:lang w:eastAsia="es-CR"/>
              </w:rPr>
              <w:t>61%</w:t>
            </w:r>
            <w:r w:rsidRPr="004E74A6">
              <w:rPr>
                <w:rFonts w:cs="Calibri"/>
                <w:color w:val="000000"/>
                <w:sz w:val="20"/>
                <w:lang w:eastAsia="es-CR"/>
              </w:rPr>
              <w:br/>
              <w:t>10</w:t>
            </w:r>
          </w:p>
        </w:tc>
        <w:tc>
          <w:tcPr>
            <w:tcW w:w="1107" w:type="dxa"/>
            <w:tcBorders>
              <w:top w:val="nil"/>
              <w:left w:val="nil"/>
              <w:bottom w:val="single" w:sz="4" w:space="0" w:color="auto"/>
              <w:right w:val="single" w:sz="4" w:space="0" w:color="auto"/>
            </w:tcBorders>
            <w:shd w:val="clear" w:color="auto" w:fill="auto"/>
            <w:vAlign w:val="center"/>
            <w:hideMark/>
          </w:tcPr>
          <w:p w14:paraId="132F193E" w14:textId="0C5D01F0" w:rsidR="00F53B9E" w:rsidRPr="004E74A6" w:rsidRDefault="00F53B9E" w:rsidP="00832773">
            <w:pPr>
              <w:spacing w:line="276" w:lineRule="auto"/>
              <w:jc w:val="center"/>
              <w:rPr>
                <w:rFonts w:cs="Calibri"/>
                <w:color w:val="000000"/>
                <w:sz w:val="20"/>
                <w:lang w:eastAsia="es-CR"/>
              </w:rPr>
            </w:pPr>
            <w:r w:rsidRPr="004E74A6">
              <w:rPr>
                <w:rFonts w:cs="Calibri"/>
                <w:color w:val="000000"/>
                <w:sz w:val="20"/>
                <w:lang w:eastAsia="es-CR"/>
              </w:rPr>
              <w:t>20</w:t>
            </w:r>
          </w:p>
        </w:tc>
        <w:tc>
          <w:tcPr>
            <w:tcW w:w="2070" w:type="dxa"/>
            <w:gridSpan w:val="2"/>
            <w:tcBorders>
              <w:top w:val="nil"/>
              <w:left w:val="nil"/>
              <w:bottom w:val="single" w:sz="4" w:space="0" w:color="auto"/>
              <w:right w:val="nil"/>
            </w:tcBorders>
            <w:vAlign w:val="center"/>
          </w:tcPr>
          <w:p w14:paraId="3E111DE5" w14:textId="4E2B4DC8" w:rsidR="00F53B9E" w:rsidRPr="004E74A6" w:rsidRDefault="00F53B9E" w:rsidP="00832773">
            <w:pPr>
              <w:spacing w:line="276" w:lineRule="auto"/>
              <w:jc w:val="center"/>
              <w:rPr>
                <w:rFonts w:cs="Calibri"/>
                <w:color w:val="000000"/>
                <w:sz w:val="20"/>
                <w:lang w:eastAsia="es-CR"/>
              </w:rPr>
            </w:pPr>
            <w:r w:rsidRPr="004E74A6">
              <w:rPr>
                <w:rFonts w:cs="Calibri"/>
                <w:color w:val="000000"/>
                <w:sz w:val="20"/>
                <w:lang w:eastAsia="es-CR"/>
              </w:rPr>
              <w:t>9</w:t>
            </w:r>
          </w:p>
        </w:tc>
        <w:tc>
          <w:tcPr>
            <w:tcW w:w="2287" w:type="dxa"/>
            <w:tcBorders>
              <w:top w:val="nil"/>
              <w:left w:val="nil"/>
              <w:bottom w:val="single" w:sz="4" w:space="0" w:color="auto"/>
            </w:tcBorders>
            <w:shd w:val="clear" w:color="auto" w:fill="auto"/>
            <w:vAlign w:val="center"/>
          </w:tcPr>
          <w:p w14:paraId="54201D18" w14:textId="089D4827" w:rsidR="00F53B9E" w:rsidRPr="004E74A6" w:rsidRDefault="00F53B9E" w:rsidP="00832773">
            <w:pPr>
              <w:spacing w:line="276" w:lineRule="auto"/>
              <w:jc w:val="center"/>
              <w:rPr>
                <w:rFonts w:cs="Calibri"/>
                <w:color w:val="000000"/>
                <w:sz w:val="20"/>
                <w:lang w:eastAsia="es-CR"/>
              </w:rPr>
            </w:pPr>
            <w:r w:rsidRPr="004E74A6">
              <w:rPr>
                <w:rFonts w:cs="Calibri"/>
                <w:color w:val="000000"/>
                <w:sz w:val="20"/>
                <w:lang w:eastAsia="es-CR"/>
              </w:rPr>
              <w:t>11</w:t>
            </w:r>
          </w:p>
        </w:tc>
      </w:tr>
      <w:tr w:rsidR="00F53B9E" w:rsidRPr="004E74A6" w14:paraId="182FA8B4" w14:textId="77777777" w:rsidTr="000F6981">
        <w:trPr>
          <w:trHeight w:val="900"/>
        </w:trPr>
        <w:tc>
          <w:tcPr>
            <w:tcW w:w="2130" w:type="dxa"/>
            <w:tcBorders>
              <w:top w:val="single" w:sz="4" w:space="0" w:color="auto"/>
              <w:bottom w:val="single" w:sz="4" w:space="0" w:color="auto"/>
              <w:right w:val="single" w:sz="4" w:space="0" w:color="auto"/>
            </w:tcBorders>
            <w:shd w:val="clear" w:color="auto" w:fill="auto"/>
            <w:vAlign w:val="center"/>
            <w:hideMark/>
          </w:tcPr>
          <w:p w14:paraId="4864FA93" w14:textId="77777777" w:rsidR="00F53B9E" w:rsidRPr="004E74A6" w:rsidRDefault="00F53B9E" w:rsidP="00832773">
            <w:pPr>
              <w:spacing w:line="276" w:lineRule="auto"/>
              <w:rPr>
                <w:rFonts w:cs="Calibri"/>
                <w:color w:val="000000"/>
                <w:sz w:val="20"/>
                <w:lang w:eastAsia="es-CR"/>
              </w:rPr>
            </w:pPr>
            <w:r w:rsidRPr="004E74A6">
              <w:rPr>
                <w:rFonts w:cs="Calibri"/>
                <w:color w:val="000000"/>
                <w:sz w:val="20"/>
                <w:lang w:eastAsia="es-CR"/>
              </w:rPr>
              <w:lastRenderedPageBreak/>
              <w:t>Primer Circuito Judicial de Alajuela</w:t>
            </w:r>
          </w:p>
        </w:tc>
        <w:tc>
          <w:tcPr>
            <w:tcW w:w="1012" w:type="dxa"/>
            <w:tcBorders>
              <w:top w:val="nil"/>
              <w:left w:val="nil"/>
              <w:bottom w:val="single" w:sz="4" w:space="0" w:color="auto"/>
              <w:right w:val="single" w:sz="4" w:space="0" w:color="auto"/>
            </w:tcBorders>
            <w:shd w:val="clear" w:color="auto" w:fill="auto"/>
            <w:vAlign w:val="center"/>
            <w:hideMark/>
          </w:tcPr>
          <w:p w14:paraId="64EDC047" w14:textId="77777777" w:rsidR="00F53B9E" w:rsidRPr="004E74A6" w:rsidRDefault="00F53B9E" w:rsidP="00832773">
            <w:pPr>
              <w:spacing w:line="276" w:lineRule="auto"/>
              <w:jc w:val="center"/>
              <w:rPr>
                <w:rFonts w:cs="Calibri"/>
                <w:color w:val="000000"/>
                <w:sz w:val="20"/>
                <w:lang w:eastAsia="es-CR"/>
              </w:rPr>
            </w:pPr>
            <w:r w:rsidRPr="004E74A6">
              <w:rPr>
                <w:rFonts w:cs="Calibri"/>
                <w:color w:val="000000"/>
                <w:sz w:val="20"/>
                <w:lang w:eastAsia="es-CR"/>
              </w:rPr>
              <w:t>20%</w:t>
            </w:r>
            <w:r w:rsidRPr="004E74A6">
              <w:rPr>
                <w:rFonts w:cs="Calibri"/>
                <w:color w:val="000000"/>
                <w:sz w:val="20"/>
                <w:lang w:eastAsia="es-CR"/>
              </w:rPr>
              <w:br/>
              <w:t>31</w:t>
            </w:r>
          </w:p>
        </w:tc>
        <w:tc>
          <w:tcPr>
            <w:tcW w:w="1176" w:type="dxa"/>
            <w:tcBorders>
              <w:top w:val="nil"/>
              <w:left w:val="nil"/>
              <w:bottom w:val="single" w:sz="4" w:space="0" w:color="auto"/>
              <w:right w:val="single" w:sz="4" w:space="0" w:color="auto"/>
            </w:tcBorders>
            <w:shd w:val="clear" w:color="auto" w:fill="auto"/>
            <w:vAlign w:val="center"/>
            <w:hideMark/>
          </w:tcPr>
          <w:p w14:paraId="0FF64CB2" w14:textId="77777777" w:rsidR="00F53B9E" w:rsidRPr="004E74A6" w:rsidRDefault="00F53B9E" w:rsidP="00832773">
            <w:pPr>
              <w:spacing w:line="276" w:lineRule="auto"/>
              <w:jc w:val="center"/>
              <w:rPr>
                <w:rFonts w:cs="Calibri"/>
                <w:color w:val="000000"/>
                <w:sz w:val="20"/>
                <w:lang w:eastAsia="es-CR"/>
              </w:rPr>
            </w:pPr>
            <w:r w:rsidRPr="004E74A6">
              <w:rPr>
                <w:rFonts w:cs="Calibri"/>
                <w:color w:val="000000"/>
                <w:sz w:val="20"/>
                <w:lang w:eastAsia="es-CR"/>
              </w:rPr>
              <w:t>1%</w:t>
            </w:r>
            <w:r w:rsidRPr="004E74A6">
              <w:rPr>
                <w:rFonts w:cs="Calibri"/>
                <w:color w:val="000000"/>
                <w:sz w:val="20"/>
                <w:lang w:eastAsia="es-CR"/>
              </w:rPr>
              <w:br/>
              <w:t>2</w:t>
            </w:r>
          </w:p>
        </w:tc>
        <w:tc>
          <w:tcPr>
            <w:tcW w:w="1155" w:type="dxa"/>
            <w:tcBorders>
              <w:top w:val="nil"/>
              <w:left w:val="nil"/>
              <w:bottom w:val="single" w:sz="4" w:space="0" w:color="auto"/>
              <w:right w:val="single" w:sz="4" w:space="0" w:color="auto"/>
            </w:tcBorders>
            <w:shd w:val="clear" w:color="auto" w:fill="auto"/>
            <w:vAlign w:val="center"/>
            <w:hideMark/>
          </w:tcPr>
          <w:p w14:paraId="76E90787" w14:textId="77777777" w:rsidR="00F53B9E" w:rsidRPr="004E74A6" w:rsidRDefault="00F53B9E" w:rsidP="00832773">
            <w:pPr>
              <w:spacing w:line="276" w:lineRule="auto"/>
              <w:jc w:val="center"/>
              <w:rPr>
                <w:rFonts w:cs="Calibri"/>
                <w:color w:val="000000"/>
                <w:sz w:val="20"/>
                <w:lang w:eastAsia="es-CR"/>
              </w:rPr>
            </w:pPr>
            <w:r w:rsidRPr="004E74A6">
              <w:rPr>
                <w:rFonts w:cs="Calibri"/>
                <w:color w:val="000000"/>
                <w:sz w:val="20"/>
                <w:lang w:eastAsia="es-CR"/>
              </w:rPr>
              <w:t>76%</w:t>
            </w:r>
            <w:r w:rsidRPr="004E74A6">
              <w:rPr>
                <w:rFonts w:cs="Calibri"/>
                <w:color w:val="000000"/>
                <w:sz w:val="20"/>
                <w:lang w:eastAsia="es-CR"/>
              </w:rPr>
              <w:br/>
              <w:t>120</w:t>
            </w:r>
          </w:p>
        </w:tc>
        <w:tc>
          <w:tcPr>
            <w:tcW w:w="1075" w:type="dxa"/>
            <w:tcBorders>
              <w:top w:val="nil"/>
              <w:left w:val="nil"/>
              <w:bottom w:val="single" w:sz="4" w:space="0" w:color="auto"/>
              <w:right w:val="single" w:sz="4" w:space="0" w:color="auto"/>
            </w:tcBorders>
            <w:shd w:val="clear" w:color="auto" w:fill="auto"/>
            <w:vAlign w:val="center"/>
            <w:hideMark/>
          </w:tcPr>
          <w:p w14:paraId="64D2AF17" w14:textId="77777777" w:rsidR="00F53B9E" w:rsidRPr="004E74A6" w:rsidRDefault="00F53B9E" w:rsidP="00832773">
            <w:pPr>
              <w:spacing w:line="276" w:lineRule="auto"/>
              <w:jc w:val="center"/>
              <w:rPr>
                <w:rFonts w:cs="Calibri"/>
                <w:color w:val="000000"/>
                <w:sz w:val="20"/>
                <w:lang w:eastAsia="es-CR"/>
              </w:rPr>
            </w:pPr>
            <w:r w:rsidRPr="004E74A6">
              <w:rPr>
                <w:rFonts w:cs="Calibri"/>
                <w:color w:val="000000"/>
                <w:sz w:val="20"/>
                <w:lang w:eastAsia="es-CR"/>
              </w:rPr>
              <w:t>3%</w:t>
            </w:r>
            <w:r w:rsidRPr="004E74A6">
              <w:rPr>
                <w:rFonts w:cs="Calibri"/>
                <w:color w:val="000000"/>
                <w:sz w:val="20"/>
                <w:lang w:eastAsia="es-CR"/>
              </w:rPr>
              <w:br/>
              <w:t>5</w:t>
            </w:r>
          </w:p>
        </w:tc>
        <w:tc>
          <w:tcPr>
            <w:tcW w:w="1738" w:type="dxa"/>
            <w:tcBorders>
              <w:top w:val="nil"/>
              <w:left w:val="nil"/>
              <w:bottom w:val="single" w:sz="4" w:space="0" w:color="auto"/>
              <w:right w:val="single" w:sz="4" w:space="0" w:color="auto"/>
            </w:tcBorders>
            <w:shd w:val="clear" w:color="000000" w:fill="F2F2F2"/>
            <w:vAlign w:val="center"/>
            <w:hideMark/>
          </w:tcPr>
          <w:p w14:paraId="0193F8AD" w14:textId="77777777" w:rsidR="00F53B9E" w:rsidRPr="004E74A6" w:rsidRDefault="00F53B9E" w:rsidP="00832773">
            <w:pPr>
              <w:spacing w:line="276" w:lineRule="auto"/>
              <w:jc w:val="center"/>
              <w:rPr>
                <w:rFonts w:cs="Calibri"/>
                <w:color w:val="000000"/>
                <w:sz w:val="20"/>
                <w:lang w:eastAsia="es-CR"/>
              </w:rPr>
            </w:pPr>
            <w:r w:rsidRPr="004E74A6">
              <w:rPr>
                <w:rFonts w:cs="Calibri"/>
                <w:color w:val="000000"/>
                <w:sz w:val="20"/>
                <w:lang w:eastAsia="es-CR"/>
              </w:rPr>
              <w:t>47%</w:t>
            </w:r>
            <w:r w:rsidRPr="004E74A6">
              <w:rPr>
                <w:rFonts w:cs="Calibri"/>
                <w:color w:val="000000"/>
                <w:sz w:val="20"/>
                <w:lang w:eastAsia="es-CR"/>
              </w:rPr>
              <w:br/>
              <w:t>14,7</w:t>
            </w:r>
          </w:p>
        </w:tc>
        <w:tc>
          <w:tcPr>
            <w:tcW w:w="1107" w:type="dxa"/>
            <w:tcBorders>
              <w:top w:val="nil"/>
              <w:left w:val="nil"/>
              <w:bottom w:val="single" w:sz="4" w:space="0" w:color="auto"/>
              <w:right w:val="single" w:sz="4" w:space="0" w:color="auto"/>
            </w:tcBorders>
            <w:shd w:val="clear" w:color="auto" w:fill="auto"/>
            <w:vAlign w:val="center"/>
            <w:hideMark/>
          </w:tcPr>
          <w:p w14:paraId="24B7A6DE" w14:textId="2C74B510" w:rsidR="00F53B9E" w:rsidRPr="004E74A6" w:rsidRDefault="00F53B9E" w:rsidP="00832773">
            <w:pPr>
              <w:spacing w:line="276" w:lineRule="auto"/>
              <w:jc w:val="center"/>
              <w:rPr>
                <w:rFonts w:cs="Calibri"/>
                <w:color w:val="000000"/>
                <w:sz w:val="20"/>
                <w:lang w:eastAsia="es-CR"/>
              </w:rPr>
            </w:pPr>
            <w:r w:rsidRPr="004E74A6">
              <w:rPr>
                <w:rFonts w:cs="Calibri"/>
                <w:color w:val="000000"/>
                <w:sz w:val="20"/>
                <w:lang w:eastAsia="es-CR"/>
              </w:rPr>
              <w:t>38</w:t>
            </w:r>
          </w:p>
        </w:tc>
        <w:tc>
          <w:tcPr>
            <w:tcW w:w="2070" w:type="dxa"/>
            <w:gridSpan w:val="2"/>
            <w:tcBorders>
              <w:top w:val="nil"/>
              <w:left w:val="nil"/>
              <w:bottom w:val="single" w:sz="4" w:space="0" w:color="auto"/>
              <w:right w:val="nil"/>
            </w:tcBorders>
            <w:vAlign w:val="center"/>
          </w:tcPr>
          <w:p w14:paraId="7B29770F" w14:textId="6E53D097" w:rsidR="00F53B9E" w:rsidRPr="004E74A6" w:rsidRDefault="00F53B9E" w:rsidP="00832773">
            <w:pPr>
              <w:spacing w:line="276" w:lineRule="auto"/>
              <w:jc w:val="center"/>
              <w:rPr>
                <w:rFonts w:cs="Calibri"/>
                <w:color w:val="000000"/>
                <w:sz w:val="20"/>
                <w:lang w:eastAsia="es-CR"/>
              </w:rPr>
            </w:pPr>
            <w:r w:rsidRPr="004E74A6">
              <w:rPr>
                <w:rFonts w:cs="Calibri"/>
                <w:color w:val="000000"/>
                <w:sz w:val="20"/>
                <w:lang w:eastAsia="es-CR"/>
              </w:rPr>
              <w:t>16</w:t>
            </w:r>
          </w:p>
        </w:tc>
        <w:tc>
          <w:tcPr>
            <w:tcW w:w="2287" w:type="dxa"/>
            <w:tcBorders>
              <w:top w:val="nil"/>
              <w:left w:val="nil"/>
              <w:bottom w:val="single" w:sz="4" w:space="0" w:color="auto"/>
            </w:tcBorders>
            <w:shd w:val="clear" w:color="auto" w:fill="auto"/>
            <w:vAlign w:val="center"/>
          </w:tcPr>
          <w:p w14:paraId="6771EA20" w14:textId="3E20C558" w:rsidR="00F53B9E" w:rsidRPr="004E74A6" w:rsidRDefault="00F53B9E" w:rsidP="00832773">
            <w:pPr>
              <w:spacing w:line="276" w:lineRule="auto"/>
              <w:jc w:val="center"/>
              <w:rPr>
                <w:rFonts w:cs="Calibri"/>
                <w:color w:val="000000"/>
                <w:sz w:val="20"/>
                <w:lang w:eastAsia="es-CR"/>
              </w:rPr>
            </w:pPr>
            <w:r w:rsidRPr="004E74A6">
              <w:rPr>
                <w:rFonts w:cs="Calibri"/>
                <w:color w:val="000000"/>
                <w:sz w:val="20"/>
                <w:lang w:eastAsia="es-CR"/>
              </w:rPr>
              <w:t>22</w:t>
            </w:r>
          </w:p>
        </w:tc>
      </w:tr>
      <w:tr w:rsidR="00F53B9E" w:rsidRPr="004E74A6" w14:paraId="29206374" w14:textId="77777777" w:rsidTr="000F6981">
        <w:trPr>
          <w:trHeight w:val="900"/>
        </w:trPr>
        <w:tc>
          <w:tcPr>
            <w:tcW w:w="2130" w:type="dxa"/>
            <w:tcBorders>
              <w:top w:val="single" w:sz="4" w:space="0" w:color="auto"/>
              <w:bottom w:val="single" w:sz="4" w:space="0" w:color="auto"/>
              <w:right w:val="single" w:sz="4" w:space="0" w:color="auto"/>
            </w:tcBorders>
            <w:shd w:val="clear" w:color="auto" w:fill="auto"/>
            <w:vAlign w:val="center"/>
            <w:hideMark/>
          </w:tcPr>
          <w:p w14:paraId="7767BFBA" w14:textId="77777777" w:rsidR="00F53B9E" w:rsidRPr="004E74A6" w:rsidRDefault="00F53B9E" w:rsidP="00832773">
            <w:pPr>
              <w:spacing w:line="276" w:lineRule="auto"/>
              <w:rPr>
                <w:rFonts w:cs="Calibri"/>
                <w:color w:val="000000"/>
                <w:sz w:val="20"/>
                <w:lang w:eastAsia="es-CR"/>
              </w:rPr>
            </w:pPr>
            <w:r w:rsidRPr="004E74A6">
              <w:rPr>
                <w:rFonts w:cs="Calibri"/>
                <w:color w:val="000000"/>
                <w:sz w:val="20"/>
                <w:lang w:eastAsia="es-CR"/>
              </w:rPr>
              <w:t>Tercer Circuito Judicial Alajuela, San Ramón</w:t>
            </w:r>
          </w:p>
        </w:tc>
        <w:tc>
          <w:tcPr>
            <w:tcW w:w="1012" w:type="dxa"/>
            <w:tcBorders>
              <w:top w:val="nil"/>
              <w:left w:val="nil"/>
              <w:bottom w:val="single" w:sz="4" w:space="0" w:color="auto"/>
              <w:right w:val="single" w:sz="4" w:space="0" w:color="auto"/>
            </w:tcBorders>
            <w:shd w:val="clear" w:color="auto" w:fill="auto"/>
            <w:vAlign w:val="center"/>
            <w:hideMark/>
          </w:tcPr>
          <w:p w14:paraId="62334791" w14:textId="77777777" w:rsidR="00F53B9E" w:rsidRPr="004E74A6" w:rsidRDefault="00F53B9E" w:rsidP="00832773">
            <w:pPr>
              <w:spacing w:line="276" w:lineRule="auto"/>
              <w:jc w:val="center"/>
              <w:rPr>
                <w:rFonts w:cs="Calibri"/>
                <w:color w:val="000000"/>
                <w:sz w:val="20"/>
                <w:lang w:eastAsia="es-CR"/>
              </w:rPr>
            </w:pPr>
            <w:r w:rsidRPr="004E74A6">
              <w:rPr>
                <w:rFonts w:cs="Calibri"/>
                <w:color w:val="000000"/>
                <w:sz w:val="20"/>
                <w:lang w:eastAsia="es-CR"/>
              </w:rPr>
              <w:t>21,2%</w:t>
            </w:r>
            <w:r w:rsidRPr="004E74A6">
              <w:rPr>
                <w:rFonts w:cs="Calibri"/>
                <w:color w:val="000000"/>
                <w:sz w:val="20"/>
                <w:lang w:eastAsia="es-CR"/>
              </w:rPr>
              <w:br/>
              <w:t>32</w:t>
            </w:r>
          </w:p>
        </w:tc>
        <w:tc>
          <w:tcPr>
            <w:tcW w:w="1176" w:type="dxa"/>
            <w:tcBorders>
              <w:top w:val="nil"/>
              <w:left w:val="nil"/>
              <w:bottom w:val="single" w:sz="4" w:space="0" w:color="auto"/>
              <w:right w:val="single" w:sz="4" w:space="0" w:color="auto"/>
            </w:tcBorders>
            <w:shd w:val="clear" w:color="auto" w:fill="auto"/>
            <w:vAlign w:val="center"/>
            <w:hideMark/>
          </w:tcPr>
          <w:p w14:paraId="644D6F66" w14:textId="77777777" w:rsidR="00F53B9E" w:rsidRPr="004E74A6" w:rsidRDefault="00F53B9E" w:rsidP="00832773">
            <w:pPr>
              <w:spacing w:line="276" w:lineRule="auto"/>
              <w:jc w:val="center"/>
              <w:rPr>
                <w:rFonts w:cs="Calibri"/>
                <w:color w:val="000000"/>
                <w:sz w:val="20"/>
                <w:lang w:eastAsia="es-CR"/>
              </w:rPr>
            </w:pPr>
            <w:r w:rsidRPr="004E74A6">
              <w:rPr>
                <w:rFonts w:cs="Calibri"/>
                <w:color w:val="000000"/>
                <w:sz w:val="20"/>
                <w:lang w:eastAsia="es-CR"/>
              </w:rPr>
              <w:t>1,3%</w:t>
            </w:r>
            <w:r w:rsidRPr="004E74A6">
              <w:rPr>
                <w:rFonts w:cs="Calibri"/>
                <w:color w:val="000000"/>
                <w:sz w:val="20"/>
                <w:lang w:eastAsia="es-CR"/>
              </w:rPr>
              <w:br/>
              <w:t>2</w:t>
            </w:r>
          </w:p>
        </w:tc>
        <w:tc>
          <w:tcPr>
            <w:tcW w:w="1155" w:type="dxa"/>
            <w:tcBorders>
              <w:top w:val="nil"/>
              <w:left w:val="nil"/>
              <w:bottom w:val="single" w:sz="4" w:space="0" w:color="auto"/>
              <w:right w:val="single" w:sz="4" w:space="0" w:color="auto"/>
            </w:tcBorders>
            <w:shd w:val="clear" w:color="auto" w:fill="auto"/>
            <w:vAlign w:val="center"/>
            <w:hideMark/>
          </w:tcPr>
          <w:p w14:paraId="09B78136" w14:textId="77777777" w:rsidR="00F53B9E" w:rsidRPr="004E74A6" w:rsidRDefault="00F53B9E" w:rsidP="00832773">
            <w:pPr>
              <w:spacing w:line="276" w:lineRule="auto"/>
              <w:jc w:val="center"/>
              <w:rPr>
                <w:rFonts w:cs="Calibri"/>
                <w:color w:val="000000"/>
                <w:sz w:val="20"/>
                <w:lang w:eastAsia="es-CR"/>
              </w:rPr>
            </w:pPr>
            <w:r w:rsidRPr="004E74A6">
              <w:rPr>
                <w:rFonts w:cs="Calibri"/>
                <w:color w:val="000000"/>
                <w:sz w:val="20"/>
                <w:lang w:eastAsia="es-CR"/>
              </w:rPr>
              <w:t>75,5%</w:t>
            </w:r>
            <w:r w:rsidRPr="004E74A6">
              <w:rPr>
                <w:rFonts w:cs="Calibri"/>
                <w:color w:val="000000"/>
                <w:sz w:val="20"/>
                <w:lang w:eastAsia="es-CR"/>
              </w:rPr>
              <w:br/>
              <w:t>114</w:t>
            </w:r>
          </w:p>
        </w:tc>
        <w:tc>
          <w:tcPr>
            <w:tcW w:w="1075" w:type="dxa"/>
            <w:tcBorders>
              <w:top w:val="nil"/>
              <w:left w:val="nil"/>
              <w:bottom w:val="single" w:sz="4" w:space="0" w:color="auto"/>
              <w:right w:val="single" w:sz="4" w:space="0" w:color="auto"/>
            </w:tcBorders>
            <w:shd w:val="clear" w:color="auto" w:fill="auto"/>
            <w:vAlign w:val="center"/>
            <w:hideMark/>
          </w:tcPr>
          <w:p w14:paraId="5FE4B055" w14:textId="77777777" w:rsidR="00F53B9E" w:rsidRPr="004E74A6" w:rsidRDefault="00F53B9E" w:rsidP="00832773">
            <w:pPr>
              <w:spacing w:line="276" w:lineRule="auto"/>
              <w:jc w:val="center"/>
              <w:rPr>
                <w:rFonts w:cs="Calibri"/>
                <w:color w:val="000000"/>
                <w:sz w:val="20"/>
                <w:lang w:eastAsia="es-CR"/>
              </w:rPr>
            </w:pPr>
            <w:r w:rsidRPr="004E74A6">
              <w:rPr>
                <w:rFonts w:cs="Calibri"/>
                <w:color w:val="000000"/>
                <w:sz w:val="20"/>
                <w:lang w:eastAsia="es-CR"/>
              </w:rPr>
              <w:t>2%</w:t>
            </w:r>
            <w:r w:rsidRPr="004E74A6">
              <w:rPr>
                <w:rFonts w:cs="Calibri"/>
                <w:color w:val="000000"/>
                <w:sz w:val="20"/>
                <w:lang w:eastAsia="es-CR"/>
              </w:rPr>
              <w:br/>
              <w:t>3</w:t>
            </w:r>
          </w:p>
        </w:tc>
        <w:tc>
          <w:tcPr>
            <w:tcW w:w="1738" w:type="dxa"/>
            <w:tcBorders>
              <w:top w:val="nil"/>
              <w:left w:val="nil"/>
              <w:bottom w:val="single" w:sz="4" w:space="0" w:color="auto"/>
              <w:right w:val="single" w:sz="4" w:space="0" w:color="auto"/>
            </w:tcBorders>
            <w:shd w:val="clear" w:color="000000" w:fill="F2F2F2"/>
            <w:vAlign w:val="center"/>
            <w:hideMark/>
          </w:tcPr>
          <w:p w14:paraId="634DA42A" w14:textId="77777777" w:rsidR="00F53B9E" w:rsidRPr="004E74A6" w:rsidRDefault="00F53B9E" w:rsidP="00832773">
            <w:pPr>
              <w:spacing w:line="276" w:lineRule="auto"/>
              <w:jc w:val="center"/>
              <w:rPr>
                <w:rFonts w:cs="Calibri"/>
                <w:color w:val="000000"/>
                <w:sz w:val="20"/>
                <w:lang w:eastAsia="es-CR"/>
              </w:rPr>
            </w:pPr>
            <w:r w:rsidRPr="004E74A6">
              <w:rPr>
                <w:rFonts w:cs="Calibri"/>
                <w:color w:val="000000"/>
                <w:sz w:val="20"/>
                <w:lang w:eastAsia="es-CR"/>
              </w:rPr>
              <w:t>66%</w:t>
            </w:r>
            <w:r w:rsidRPr="004E74A6">
              <w:rPr>
                <w:rFonts w:cs="Calibri"/>
                <w:color w:val="000000"/>
                <w:sz w:val="20"/>
                <w:lang w:eastAsia="es-CR"/>
              </w:rPr>
              <w:br/>
              <w:t>21,3</w:t>
            </w:r>
          </w:p>
        </w:tc>
        <w:tc>
          <w:tcPr>
            <w:tcW w:w="1107" w:type="dxa"/>
            <w:tcBorders>
              <w:top w:val="nil"/>
              <w:left w:val="nil"/>
              <w:bottom w:val="single" w:sz="4" w:space="0" w:color="auto"/>
              <w:right w:val="single" w:sz="4" w:space="0" w:color="auto"/>
            </w:tcBorders>
            <w:shd w:val="clear" w:color="auto" w:fill="auto"/>
            <w:vAlign w:val="center"/>
            <w:hideMark/>
          </w:tcPr>
          <w:p w14:paraId="349FBFB1" w14:textId="5EB4D672" w:rsidR="00F53B9E" w:rsidRPr="004E74A6" w:rsidRDefault="00F53B9E" w:rsidP="00832773">
            <w:pPr>
              <w:spacing w:line="276" w:lineRule="auto"/>
              <w:jc w:val="center"/>
              <w:rPr>
                <w:rFonts w:cs="Calibri"/>
                <w:color w:val="000000"/>
                <w:sz w:val="20"/>
                <w:lang w:eastAsia="es-CR"/>
              </w:rPr>
            </w:pPr>
            <w:r w:rsidRPr="004E74A6">
              <w:rPr>
                <w:rFonts w:cs="Calibri"/>
                <w:color w:val="000000"/>
                <w:sz w:val="20"/>
                <w:lang w:eastAsia="es-CR"/>
              </w:rPr>
              <w:t>28</w:t>
            </w:r>
          </w:p>
        </w:tc>
        <w:tc>
          <w:tcPr>
            <w:tcW w:w="2070" w:type="dxa"/>
            <w:gridSpan w:val="2"/>
            <w:tcBorders>
              <w:top w:val="nil"/>
              <w:left w:val="nil"/>
              <w:bottom w:val="single" w:sz="4" w:space="0" w:color="auto"/>
              <w:right w:val="nil"/>
            </w:tcBorders>
            <w:vAlign w:val="center"/>
          </w:tcPr>
          <w:p w14:paraId="4C8FE91F" w14:textId="20761004" w:rsidR="00F53B9E" w:rsidRPr="004E74A6" w:rsidRDefault="00F53B9E" w:rsidP="00832773">
            <w:pPr>
              <w:spacing w:line="276" w:lineRule="auto"/>
              <w:jc w:val="center"/>
              <w:rPr>
                <w:rFonts w:cs="Calibri"/>
                <w:color w:val="000000"/>
                <w:sz w:val="20"/>
                <w:lang w:eastAsia="es-CR"/>
              </w:rPr>
            </w:pPr>
            <w:r w:rsidRPr="004E74A6">
              <w:rPr>
                <w:rFonts w:cs="Calibri"/>
                <w:color w:val="000000"/>
                <w:sz w:val="20"/>
                <w:lang w:eastAsia="es-CR"/>
              </w:rPr>
              <w:t>12</w:t>
            </w:r>
          </w:p>
        </w:tc>
        <w:tc>
          <w:tcPr>
            <w:tcW w:w="2287" w:type="dxa"/>
            <w:tcBorders>
              <w:top w:val="nil"/>
              <w:left w:val="nil"/>
              <w:bottom w:val="single" w:sz="4" w:space="0" w:color="auto"/>
            </w:tcBorders>
            <w:shd w:val="clear" w:color="auto" w:fill="auto"/>
            <w:vAlign w:val="center"/>
          </w:tcPr>
          <w:p w14:paraId="03BDF303" w14:textId="2F7552F3" w:rsidR="00F53B9E" w:rsidRPr="004E74A6" w:rsidRDefault="00F53B9E" w:rsidP="00832773">
            <w:pPr>
              <w:spacing w:line="276" w:lineRule="auto"/>
              <w:jc w:val="center"/>
              <w:rPr>
                <w:rFonts w:cs="Calibri"/>
                <w:color w:val="000000"/>
                <w:sz w:val="20"/>
                <w:lang w:eastAsia="es-CR"/>
              </w:rPr>
            </w:pPr>
            <w:r w:rsidRPr="004E74A6">
              <w:rPr>
                <w:rFonts w:cs="Calibri"/>
                <w:color w:val="000000"/>
                <w:sz w:val="20"/>
                <w:lang w:eastAsia="es-CR"/>
              </w:rPr>
              <w:t>16</w:t>
            </w:r>
          </w:p>
        </w:tc>
      </w:tr>
      <w:tr w:rsidR="00F53B9E" w:rsidRPr="004E74A6" w14:paraId="197D6767" w14:textId="77777777" w:rsidTr="000F6981">
        <w:trPr>
          <w:trHeight w:val="900"/>
        </w:trPr>
        <w:tc>
          <w:tcPr>
            <w:tcW w:w="2130" w:type="dxa"/>
            <w:tcBorders>
              <w:top w:val="single" w:sz="4" w:space="0" w:color="auto"/>
              <w:bottom w:val="single" w:sz="4" w:space="0" w:color="auto"/>
              <w:right w:val="single" w:sz="4" w:space="0" w:color="auto"/>
            </w:tcBorders>
            <w:shd w:val="clear" w:color="auto" w:fill="auto"/>
            <w:vAlign w:val="center"/>
            <w:hideMark/>
          </w:tcPr>
          <w:p w14:paraId="5A9416CE" w14:textId="77777777" w:rsidR="00F53B9E" w:rsidRPr="004E74A6" w:rsidRDefault="00F53B9E" w:rsidP="00832773">
            <w:pPr>
              <w:spacing w:line="276" w:lineRule="auto"/>
              <w:rPr>
                <w:rFonts w:cs="Calibri"/>
                <w:color w:val="000000"/>
                <w:sz w:val="20"/>
                <w:lang w:eastAsia="es-CR"/>
              </w:rPr>
            </w:pPr>
            <w:r w:rsidRPr="004E74A6">
              <w:rPr>
                <w:rFonts w:cs="Calibri"/>
                <w:color w:val="000000"/>
                <w:sz w:val="20"/>
                <w:lang w:eastAsia="es-CR"/>
              </w:rPr>
              <w:t>Cartago</w:t>
            </w:r>
          </w:p>
        </w:tc>
        <w:tc>
          <w:tcPr>
            <w:tcW w:w="1012" w:type="dxa"/>
            <w:tcBorders>
              <w:top w:val="nil"/>
              <w:left w:val="nil"/>
              <w:bottom w:val="single" w:sz="4" w:space="0" w:color="auto"/>
              <w:right w:val="single" w:sz="4" w:space="0" w:color="auto"/>
            </w:tcBorders>
            <w:shd w:val="clear" w:color="auto" w:fill="auto"/>
            <w:vAlign w:val="center"/>
            <w:hideMark/>
          </w:tcPr>
          <w:p w14:paraId="7E3BC97A" w14:textId="77777777" w:rsidR="00F53B9E" w:rsidRPr="004E74A6" w:rsidRDefault="00F53B9E" w:rsidP="00832773">
            <w:pPr>
              <w:spacing w:line="276" w:lineRule="auto"/>
              <w:jc w:val="center"/>
              <w:rPr>
                <w:rFonts w:cs="Calibri"/>
                <w:color w:val="000000"/>
                <w:sz w:val="20"/>
                <w:lang w:eastAsia="es-CR"/>
              </w:rPr>
            </w:pPr>
            <w:r w:rsidRPr="004E74A6">
              <w:rPr>
                <w:rFonts w:cs="Calibri"/>
                <w:color w:val="000000"/>
                <w:sz w:val="20"/>
                <w:lang w:eastAsia="es-CR"/>
              </w:rPr>
              <w:t>68%</w:t>
            </w:r>
            <w:r w:rsidRPr="004E74A6">
              <w:rPr>
                <w:rFonts w:cs="Calibri"/>
                <w:color w:val="000000"/>
                <w:sz w:val="20"/>
                <w:lang w:eastAsia="es-CR"/>
              </w:rPr>
              <w:br/>
              <w:t>115</w:t>
            </w:r>
          </w:p>
        </w:tc>
        <w:tc>
          <w:tcPr>
            <w:tcW w:w="1176" w:type="dxa"/>
            <w:tcBorders>
              <w:top w:val="nil"/>
              <w:left w:val="nil"/>
              <w:bottom w:val="single" w:sz="4" w:space="0" w:color="auto"/>
              <w:right w:val="single" w:sz="4" w:space="0" w:color="auto"/>
            </w:tcBorders>
            <w:shd w:val="clear" w:color="auto" w:fill="auto"/>
            <w:vAlign w:val="center"/>
            <w:hideMark/>
          </w:tcPr>
          <w:p w14:paraId="56AD5C0F" w14:textId="77777777" w:rsidR="00F53B9E" w:rsidRPr="004E74A6" w:rsidRDefault="00F53B9E" w:rsidP="00832773">
            <w:pPr>
              <w:spacing w:line="276" w:lineRule="auto"/>
              <w:jc w:val="center"/>
              <w:rPr>
                <w:rFonts w:cs="Calibri"/>
                <w:color w:val="000000"/>
                <w:sz w:val="20"/>
                <w:lang w:eastAsia="es-CR"/>
              </w:rPr>
            </w:pPr>
            <w:r w:rsidRPr="004E74A6">
              <w:rPr>
                <w:rFonts w:cs="Calibri"/>
                <w:color w:val="000000"/>
                <w:sz w:val="20"/>
                <w:lang w:eastAsia="es-CR"/>
              </w:rPr>
              <w:t>1,2%</w:t>
            </w:r>
            <w:r w:rsidRPr="004E74A6">
              <w:rPr>
                <w:rFonts w:cs="Calibri"/>
                <w:color w:val="000000"/>
                <w:sz w:val="20"/>
                <w:lang w:eastAsia="es-CR"/>
              </w:rPr>
              <w:br/>
              <w:t>2</w:t>
            </w:r>
          </w:p>
        </w:tc>
        <w:tc>
          <w:tcPr>
            <w:tcW w:w="1155" w:type="dxa"/>
            <w:tcBorders>
              <w:top w:val="nil"/>
              <w:left w:val="nil"/>
              <w:bottom w:val="single" w:sz="4" w:space="0" w:color="auto"/>
              <w:right w:val="single" w:sz="4" w:space="0" w:color="auto"/>
            </w:tcBorders>
            <w:shd w:val="clear" w:color="auto" w:fill="auto"/>
            <w:vAlign w:val="center"/>
            <w:hideMark/>
          </w:tcPr>
          <w:p w14:paraId="53B18656" w14:textId="77777777" w:rsidR="00F53B9E" w:rsidRPr="004E74A6" w:rsidRDefault="00F53B9E" w:rsidP="00832773">
            <w:pPr>
              <w:spacing w:line="276" w:lineRule="auto"/>
              <w:jc w:val="center"/>
              <w:rPr>
                <w:rFonts w:cs="Calibri"/>
                <w:color w:val="000000"/>
                <w:sz w:val="20"/>
                <w:lang w:eastAsia="es-CR"/>
              </w:rPr>
            </w:pPr>
            <w:r w:rsidRPr="004E74A6">
              <w:rPr>
                <w:rFonts w:cs="Calibri"/>
                <w:color w:val="000000"/>
                <w:sz w:val="20"/>
                <w:lang w:eastAsia="es-CR"/>
              </w:rPr>
              <w:t>12,4%</w:t>
            </w:r>
            <w:r w:rsidRPr="004E74A6">
              <w:rPr>
                <w:rFonts w:cs="Calibri"/>
                <w:color w:val="000000"/>
                <w:sz w:val="20"/>
                <w:lang w:eastAsia="es-CR"/>
              </w:rPr>
              <w:br/>
              <w:t>21</w:t>
            </w:r>
          </w:p>
        </w:tc>
        <w:tc>
          <w:tcPr>
            <w:tcW w:w="1075" w:type="dxa"/>
            <w:tcBorders>
              <w:top w:val="nil"/>
              <w:left w:val="nil"/>
              <w:bottom w:val="single" w:sz="4" w:space="0" w:color="auto"/>
              <w:right w:val="single" w:sz="4" w:space="0" w:color="auto"/>
            </w:tcBorders>
            <w:shd w:val="clear" w:color="auto" w:fill="auto"/>
            <w:vAlign w:val="center"/>
            <w:hideMark/>
          </w:tcPr>
          <w:p w14:paraId="5C7B77BE" w14:textId="77777777" w:rsidR="00F53B9E" w:rsidRPr="004E74A6" w:rsidRDefault="00F53B9E" w:rsidP="00832773">
            <w:pPr>
              <w:spacing w:line="276" w:lineRule="auto"/>
              <w:jc w:val="center"/>
              <w:rPr>
                <w:rFonts w:cs="Calibri"/>
                <w:color w:val="000000"/>
                <w:sz w:val="20"/>
                <w:lang w:eastAsia="es-CR"/>
              </w:rPr>
            </w:pPr>
            <w:r w:rsidRPr="004E74A6">
              <w:rPr>
                <w:rFonts w:cs="Calibri"/>
                <w:color w:val="000000"/>
                <w:sz w:val="20"/>
                <w:lang w:eastAsia="es-CR"/>
              </w:rPr>
              <w:t>18,3%</w:t>
            </w:r>
            <w:r w:rsidRPr="004E74A6">
              <w:rPr>
                <w:rFonts w:cs="Calibri"/>
                <w:color w:val="000000"/>
                <w:sz w:val="20"/>
                <w:lang w:eastAsia="es-CR"/>
              </w:rPr>
              <w:br/>
              <w:t>31</w:t>
            </w:r>
          </w:p>
        </w:tc>
        <w:tc>
          <w:tcPr>
            <w:tcW w:w="1738" w:type="dxa"/>
            <w:tcBorders>
              <w:top w:val="nil"/>
              <w:left w:val="nil"/>
              <w:bottom w:val="single" w:sz="4" w:space="0" w:color="auto"/>
              <w:right w:val="single" w:sz="4" w:space="0" w:color="auto"/>
            </w:tcBorders>
            <w:shd w:val="clear" w:color="000000" w:fill="F2F2F2"/>
            <w:vAlign w:val="center"/>
            <w:hideMark/>
          </w:tcPr>
          <w:p w14:paraId="07ADA073" w14:textId="77777777" w:rsidR="00F53B9E" w:rsidRPr="004E74A6" w:rsidRDefault="00F53B9E" w:rsidP="00832773">
            <w:pPr>
              <w:spacing w:line="276" w:lineRule="auto"/>
              <w:jc w:val="center"/>
              <w:rPr>
                <w:rFonts w:cs="Calibri"/>
                <w:color w:val="000000"/>
                <w:sz w:val="20"/>
                <w:lang w:eastAsia="es-CR"/>
              </w:rPr>
            </w:pPr>
            <w:r w:rsidRPr="004E74A6">
              <w:rPr>
                <w:rFonts w:cs="Calibri"/>
                <w:color w:val="000000"/>
                <w:sz w:val="20"/>
                <w:lang w:eastAsia="es-CR"/>
              </w:rPr>
              <w:t>56%</w:t>
            </w:r>
            <w:r w:rsidRPr="004E74A6">
              <w:rPr>
                <w:rFonts w:cs="Calibri"/>
                <w:color w:val="000000"/>
                <w:sz w:val="20"/>
                <w:lang w:eastAsia="es-CR"/>
              </w:rPr>
              <w:br/>
              <w:t>64,7</w:t>
            </w:r>
          </w:p>
        </w:tc>
        <w:tc>
          <w:tcPr>
            <w:tcW w:w="1107" w:type="dxa"/>
            <w:tcBorders>
              <w:top w:val="nil"/>
              <w:left w:val="nil"/>
              <w:bottom w:val="single" w:sz="4" w:space="0" w:color="auto"/>
              <w:right w:val="single" w:sz="4" w:space="0" w:color="auto"/>
            </w:tcBorders>
            <w:shd w:val="clear" w:color="auto" w:fill="auto"/>
            <w:noWrap/>
            <w:vAlign w:val="center"/>
            <w:hideMark/>
          </w:tcPr>
          <w:p w14:paraId="2AF108E3" w14:textId="3DD2C637" w:rsidR="00F53B9E" w:rsidRPr="004E74A6" w:rsidRDefault="00F53B9E" w:rsidP="00832773">
            <w:pPr>
              <w:spacing w:line="276" w:lineRule="auto"/>
              <w:jc w:val="center"/>
              <w:rPr>
                <w:rFonts w:cs="Calibri"/>
                <w:color w:val="000000"/>
                <w:sz w:val="20"/>
                <w:lang w:eastAsia="es-CR"/>
              </w:rPr>
            </w:pPr>
            <w:r w:rsidRPr="004E74A6">
              <w:rPr>
                <w:rFonts w:cs="Calibri"/>
                <w:color w:val="000000"/>
                <w:sz w:val="20"/>
                <w:lang w:eastAsia="es-CR"/>
              </w:rPr>
              <w:t>47</w:t>
            </w:r>
          </w:p>
        </w:tc>
        <w:tc>
          <w:tcPr>
            <w:tcW w:w="2070" w:type="dxa"/>
            <w:gridSpan w:val="2"/>
            <w:tcBorders>
              <w:top w:val="nil"/>
              <w:left w:val="nil"/>
              <w:bottom w:val="single" w:sz="4" w:space="0" w:color="auto"/>
              <w:right w:val="nil"/>
            </w:tcBorders>
            <w:vAlign w:val="center"/>
          </w:tcPr>
          <w:p w14:paraId="3CD5B03F" w14:textId="6C51374D" w:rsidR="00F53B9E" w:rsidRPr="004E74A6" w:rsidRDefault="00F53B9E" w:rsidP="00832773">
            <w:pPr>
              <w:spacing w:line="276" w:lineRule="auto"/>
              <w:jc w:val="center"/>
              <w:rPr>
                <w:rFonts w:cs="Calibri"/>
                <w:color w:val="000000"/>
                <w:sz w:val="20"/>
                <w:lang w:eastAsia="es-CR"/>
              </w:rPr>
            </w:pPr>
            <w:r w:rsidRPr="004E74A6">
              <w:rPr>
                <w:rFonts w:cs="Calibri"/>
                <w:color w:val="000000"/>
                <w:sz w:val="20"/>
                <w:lang w:eastAsia="es-CR"/>
              </w:rPr>
              <w:t>20</w:t>
            </w:r>
          </w:p>
        </w:tc>
        <w:tc>
          <w:tcPr>
            <w:tcW w:w="2287" w:type="dxa"/>
            <w:tcBorders>
              <w:top w:val="nil"/>
              <w:left w:val="nil"/>
              <w:bottom w:val="single" w:sz="4" w:space="0" w:color="auto"/>
            </w:tcBorders>
            <w:shd w:val="clear" w:color="auto" w:fill="auto"/>
            <w:noWrap/>
            <w:vAlign w:val="center"/>
          </w:tcPr>
          <w:p w14:paraId="0709AEA3" w14:textId="658798EE" w:rsidR="00F53B9E" w:rsidRPr="004E74A6" w:rsidRDefault="00F53B9E" w:rsidP="00832773">
            <w:pPr>
              <w:spacing w:line="276" w:lineRule="auto"/>
              <w:jc w:val="center"/>
              <w:rPr>
                <w:rFonts w:cs="Calibri"/>
                <w:color w:val="000000"/>
                <w:sz w:val="20"/>
                <w:lang w:eastAsia="es-CR"/>
              </w:rPr>
            </w:pPr>
            <w:r w:rsidRPr="004E74A6">
              <w:rPr>
                <w:rFonts w:cs="Calibri"/>
                <w:color w:val="000000"/>
                <w:sz w:val="20"/>
                <w:lang w:eastAsia="es-CR"/>
              </w:rPr>
              <w:t>27</w:t>
            </w:r>
          </w:p>
        </w:tc>
      </w:tr>
      <w:tr w:rsidR="00F53B9E" w:rsidRPr="004E74A6" w14:paraId="58B01AC3" w14:textId="77777777" w:rsidTr="000F6981">
        <w:trPr>
          <w:trHeight w:val="900"/>
        </w:trPr>
        <w:tc>
          <w:tcPr>
            <w:tcW w:w="2130" w:type="dxa"/>
            <w:tcBorders>
              <w:top w:val="single" w:sz="4" w:space="0" w:color="auto"/>
              <w:bottom w:val="single" w:sz="4" w:space="0" w:color="auto"/>
              <w:right w:val="single" w:sz="4" w:space="0" w:color="auto"/>
            </w:tcBorders>
            <w:shd w:val="clear" w:color="auto" w:fill="auto"/>
            <w:vAlign w:val="center"/>
            <w:hideMark/>
          </w:tcPr>
          <w:p w14:paraId="7AF49921" w14:textId="77777777" w:rsidR="00F53B9E" w:rsidRPr="004E74A6" w:rsidRDefault="00F53B9E" w:rsidP="00832773">
            <w:pPr>
              <w:spacing w:line="276" w:lineRule="auto"/>
              <w:rPr>
                <w:rFonts w:cs="Calibri"/>
                <w:color w:val="000000"/>
                <w:sz w:val="20"/>
                <w:lang w:eastAsia="es-CR"/>
              </w:rPr>
            </w:pPr>
            <w:r w:rsidRPr="004E74A6">
              <w:rPr>
                <w:rFonts w:cs="Calibri"/>
                <w:color w:val="000000"/>
                <w:sz w:val="20"/>
                <w:lang w:eastAsia="es-CR"/>
              </w:rPr>
              <w:t>Heredia</w:t>
            </w:r>
          </w:p>
        </w:tc>
        <w:tc>
          <w:tcPr>
            <w:tcW w:w="1012" w:type="dxa"/>
            <w:tcBorders>
              <w:top w:val="nil"/>
              <w:left w:val="nil"/>
              <w:bottom w:val="single" w:sz="4" w:space="0" w:color="auto"/>
              <w:right w:val="single" w:sz="4" w:space="0" w:color="auto"/>
            </w:tcBorders>
            <w:shd w:val="clear" w:color="auto" w:fill="auto"/>
            <w:vAlign w:val="center"/>
            <w:hideMark/>
          </w:tcPr>
          <w:p w14:paraId="14A38878" w14:textId="77777777" w:rsidR="00F53B9E" w:rsidRPr="004E74A6" w:rsidRDefault="00F53B9E" w:rsidP="00832773">
            <w:pPr>
              <w:spacing w:line="276" w:lineRule="auto"/>
              <w:jc w:val="center"/>
              <w:rPr>
                <w:rFonts w:cs="Calibri"/>
                <w:color w:val="000000"/>
                <w:sz w:val="20"/>
                <w:lang w:eastAsia="es-CR"/>
              </w:rPr>
            </w:pPr>
            <w:r w:rsidRPr="004E74A6">
              <w:rPr>
                <w:rFonts w:cs="Calibri"/>
                <w:color w:val="000000"/>
                <w:sz w:val="20"/>
                <w:lang w:eastAsia="es-CR"/>
              </w:rPr>
              <w:t>72%</w:t>
            </w:r>
            <w:r w:rsidRPr="004E74A6">
              <w:rPr>
                <w:rFonts w:cs="Calibri"/>
                <w:color w:val="000000"/>
                <w:sz w:val="20"/>
                <w:lang w:eastAsia="es-CR"/>
              </w:rPr>
              <w:br/>
              <w:t>138</w:t>
            </w:r>
          </w:p>
        </w:tc>
        <w:tc>
          <w:tcPr>
            <w:tcW w:w="1176" w:type="dxa"/>
            <w:tcBorders>
              <w:top w:val="nil"/>
              <w:left w:val="nil"/>
              <w:bottom w:val="single" w:sz="4" w:space="0" w:color="auto"/>
              <w:right w:val="single" w:sz="4" w:space="0" w:color="auto"/>
            </w:tcBorders>
            <w:shd w:val="clear" w:color="auto" w:fill="auto"/>
            <w:vAlign w:val="center"/>
            <w:hideMark/>
          </w:tcPr>
          <w:p w14:paraId="60B71246" w14:textId="77777777" w:rsidR="00F53B9E" w:rsidRPr="004E74A6" w:rsidRDefault="00F53B9E" w:rsidP="00832773">
            <w:pPr>
              <w:spacing w:line="276" w:lineRule="auto"/>
              <w:jc w:val="center"/>
              <w:rPr>
                <w:rFonts w:cs="Calibri"/>
                <w:color w:val="000000"/>
                <w:sz w:val="20"/>
                <w:lang w:eastAsia="es-CR"/>
              </w:rPr>
            </w:pPr>
            <w:r w:rsidRPr="004E74A6">
              <w:rPr>
                <w:rFonts w:cs="Calibri"/>
                <w:color w:val="000000"/>
                <w:sz w:val="20"/>
                <w:lang w:eastAsia="es-CR"/>
              </w:rPr>
              <w:t>3%</w:t>
            </w:r>
            <w:r w:rsidRPr="004E74A6">
              <w:rPr>
                <w:rFonts w:cs="Calibri"/>
                <w:color w:val="000000"/>
                <w:sz w:val="20"/>
                <w:lang w:eastAsia="es-CR"/>
              </w:rPr>
              <w:br/>
              <w:t>7</w:t>
            </w:r>
          </w:p>
        </w:tc>
        <w:tc>
          <w:tcPr>
            <w:tcW w:w="1155" w:type="dxa"/>
            <w:tcBorders>
              <w:top w:val="nil"/>
              <w:left w:val="nil"/>
              <w:bottom w:val="single" w:sz="4" w:space="0" w:color="auto"/>
              <w:right w:val="single" w:sz="4" w:space="0" w:color="auto"/>
            </w:tcBorders>
            <w:shd w:val="clear" w:color="auto" w:fill="auto"/>
            <w:vAlign w:val="center"/>
            <w:hideMark/>
          </w:tcPr>
          <w:p w14:paraId="6A44E77C" w14:textId="77777777" w:rsidR="00F53B9E" w:rsidRPr="004E74A6" w:rsidRDefault="00F53B9E" w:rsidP="00832773">
            <w:pPr>
              <w:spacing w:line="276" w:lineRule="auto"/>
              <w:jc w:val="center"/>
              <w:rPr>
                <w:rFonts w:cs="Calibri"/>
                <w:color w:val="000000"/>
                <w:sz w:val="20"/>
                <w:lang w:eastAsia="es-CR"/>
              </w:rPr>
            </w:pPr>
            <w:r w:rsidRPr="004E74A6">
              <w:rPr>
                <w:rFonts w:cs="Calibri"/>
                <w:color w:val="000000"/>
                <w:sz w:val="20"/>
                <w:lang w:eastAsia="es-CR"/>
              </w:rPr>
              <w:t>23%</w:t>
            </w:r>
            <w:r w:rsidRPr="004E74A6">
              <w:rPr>
                <w:rFonts w:cs="Calibri"/>
                <w:color w:val="000000"/>
                <w:sz w:val="20"/>
                <w:lang w:eastAsia="es-CR"/>
              </w:rPr>
              <w:br/>
              <w:t>44</w:t>
            </w:r>
          </w:p>
        </w:tc>
        <w:tc>
          <w:tcPr>
            <w:tcW w:w="1075" w:type="dxa"/>
            <w:tcBorders>
              <w:top w:val="nil"/>
              <w:left w:val="nil"/>
              <w:bottom w:val="single" w:sz="4" w:space="0" w:color="auto"/>
              <w:right w:val="single" w:sz="4" w:space="0" w:color="auto"/>
            </w:tcBorders>
            <w:shd w:val="clear" w:color="auto" w:fill="auto"/>
            <w:vAlign w:val="center"/>
            <w:hideMark/>
          </w:tcPr>
          <w:p w14:paraId="70717B00" w14:textId="77777777" w:rsidR="00F53B9E" w:rsidRPr="004E74A6" w:rsidRDefault="00F53B9E" w:rsidP="00832773">
            <w:pPr>
              <w:spacing w:line="276" w:lineRule="auto"/>
              <w:jc w:val="center"/>
              <w:rPr>
                <w:rFonts w:cs="Calibri"/>
                <w:color w:val="000000"/>
                <w:sz w:val="20"/>
                <w:lang w:eastAsia="es-CR"/>
              </w:rPr>
            </w:pPr>
            <w:r w:rsidRPr="004E74A6">
              <w:rPr>
                <w:rFonts w:cs="Calibri"/>
                <w:color w:val="000000"/>
                <w:sz w:val="20"/>
                <w:lang w:eastAsia="es-CR"/>
              </w:rPr>
              <w:t>2%</w:t>
            </w:r>
            <w:r w:rsidRPr="004E74A6">
              <w:rPr>
                <w:rFonts w:cs="Calibri"/>
                <w:color w:val="000000"/>
                <w:sz w:val="20"/>
                <w:lang w:eastAsia="es-CR"/>
              </w:rPr>
              <w:br/>
              <w:t>3</w:t>
            </w:r>
          </w:p>
        </w:tc>
        <w:tc>
          <w:tcPr>
            <w:tcW w:w="1738" w:type="dxa"/>
            <w:tcBorders>
              <w:top w:val="nil"/>
              <w:left w:val="nil"/>
              <w:bottom w:val="single" w:sz="4" w:space="0" w:color="auto"/>
              <w:right w:val="single" w:sz="4" w:space="0" w:color="auto"/>
            </w:tcBorders>
            <w:shd w:val="clear" w:color="000000" w:fill="F2F2F2"/>
            <w:vAlign w:val="center"/>
            <w:hideMark/>
          </w:tcPr>
          <w:p w14:paraId="4C88B1F9" w14:textId="77777777" w:rsidR="00F53B9E" w:rsidRPr="004E74A6" w:rsidRDefault="00F53B9E" w:rsidP="00832773">
            <w:pPr>
              <w:spacing w:line="276" w:lineRule="auto"/>
              <w:jc w:val="center"/>
              <w:rPr>
                <w:rFonts w:cs="Calibri"/>
                <w:color w:val="000000"/>
                <w:sz w:val="20"/>
                <w:lang w:eastAsia="es-CR"/>
              </w:rPr>
            </w:pPr>
            <w:r w:rsidRPr="004E74A6">
              <w:rPr>
                <w:rFonts w:cs="Calibri"/>
                <w:color w:val="000000"/>
                <w:sz w:val="20"/>
                <w:lang w:eastAsia="es-CR"/>
              </w:rPr>
              <w:t>51%</w:t>
            </w:r>
            <w:r w:rsidRPr="004E74A6">
              <w:rPr>
                <w:rFonts w:cs="Calibri"/>
                <w:color w:val="000000"/>
                <w:sz w:val="20"/>
                <w:lang w:eastAsia="es-CR"/>
              </w:rPr>
              <w:br/>
              <w:t>70,3</w:t>
            </w:r>
          </w:p>
        </w:tc>
        <w:tc>
          <w:tcPr>
            <w:tcW w:w="1107" w:type="dxa"/>
            <w:tcBorders>
              <w:top w:val="nil"/>
              <w:left w:val="nil"/>
              <w:bottom w:val="single" w:sz="4" w:space="0" w:color="auto"/>
              <w:right w:val="single" w:sz="4" w:space="0" w:color="auto"/>
            </w:tcBorders>
            <w:shd w:val="clear" w:color="auto" w:fill="auto"/>
            <w:noWrap/>
            <w:vAlign w:val="center"/>
            <w:hideMark/>
          </w:tcPr>
          <w:p w14:paraId="33208AC7" w14:textId="645C8131" w:rsidR="00F53B9E" w:rsidRPr="004E74A6" w:rsidRDefault="00F53B9E" w:rsidP="00832773">
            <w:pPr>
              <w:spacing w:line="276" w:lineRule="auto"/>
              <w:jc w:val="center"/>
              <w:rPr>
                <w:rFonts w:cs="Calibri"/>
                <w:color w:val="000000"/>
                <w:sz w:val="20"/>
                <w:lang w:eastAsia="es-CR"/>
              </w:rPr>
            </w:pPr>
            <w:r w:rsidRPr="004E74A6">
              <w:rPr>
                <w:rFonts w:cs="Calibri"/>
                <w:color w:val="000000"/>
                <w:sz w:val="20"/>
                <w:lang w:eastAsia="es-CR"/>
              </w:rPr>
              <w:t>36</w:t>
            </w:r>
          </w:p>
        </w:tc>
        <w:tc>
          <w:tcPr>
            <w:tcW w:w="2070" w:type="dxa"/>
            <w:gridSpan w:val="2"/>
            <w:tcBorders>
              <w:top w:val="nil"/>
              <w:left w:val="nil"/>
              <w:bottom w:val="single" w:sz="4" w:space="0" w:color="auto"/>
              <w:right w:val="nil"/>
            </w:tcBorders>
            <w:vAlign w:val="center"/>
          </w:tcPr>
          <w:p w14:paraId="02C37A9D" w14:textId="77777777" w:rsidR="00F53B9E" w:rsidRPr="004E74A6" w:rsidRDefault="00F53B9E" w:rsidP="00832773">
            <w:pPr>
              <w:spacing w:line="276" w:lineRule="auto"/>
              <w:jc w:val="center"/>
              <w:rPr>
                <w:rFonts w:cs="Calibri"/>
                <w:color w:val="000000"/>
                <w:sz w:val="20"/>
                <w:lang w:eastAsia="es-CR"/>
              </w:rPr>
            </w:pPr>
            <w:r w:rsidRPr="004E74A6">
              <w:rPr>
                <w:rFonts w:cs="Calibri"/>
                <w:color w:val="000000"/>
                <w:sz w:val="20"/>
                <w:lang w:eastAsia="es-CR"/>
              </w:rPr>
              <w:t>15</w:t>
            </w:r>
          </w:p>
          <w:p w14:paraId="152BE351" w14:textId="77777777" w:rsidR="00F53B9E" w:rsidRPr="004E74A6" w:rsidRDefault="00F53B9E" w:rsidP="00832773">
            <w:pPr>
              <w:spacing w:line="276" w:lineRule="auto"/>
              <w:jc w:val="center"/>
              <w:rPr>
                <w:rFonts w:cs="Calibri"/>
                <w:color w:val="000000"/>
                <w:sz w:val="20"/>
                <w:lang w:eastAsia="es-CR"/>
              </w:rPr>
            </w:pPr>
          </w:p>
        </w:tc>
        <w:tc>
          <w:tcPr>
            <w:tcW w:w="2287" w:type="dxa"/>
            <w:tcBorders>
              <w:top w:val="nil"/>
              <w:left w:val="nil"/>
              <w:bottom w:val="single" w:sz="4" w:space="0" w:color="auto"/>
            </w:tcBorders>
            <w:shd w:val="clear" w:color="auto" w:fill="auto"/>
            <w:noWrap/>
            <w:vAlign w:val="center"/>
          </w:tcPr>
          <w:p w14:paraId="702864CE" w14:textId="4CE8D051" w:rsidR="00F53B9E" w:rsidRPr="004E74A6" w:rsidRDefault="00F53B9E" w:rsidP="00832773">
            <w:pPr>
              <w:spacing w:line="276" w:lineRule="auto"/>
              <w:jc w:val="center"/>
              <w:rPr>
                <w:rFonts w:cs="Calibri"/>
                <w:color w:val="000000"/>
                <w:sz w:val="20"/>
                <w:lang w:eastAsia="es-CR"/>
              </w:rPr>
            </w:pPr>
            <w:r w:rsidRPr="004E74A6">
              <w:rPr>
                <w:rFonts w:cs="Calibri"/>
                <w:color w:val="000000"/>
                <w:sz w:val="20"/>
                <w:lang w:eastAsia="es-CR"/>
              </w:rPr>
              <w:t>21</w:t>
            </w:r>
          </w:p>
        </w:tc>
      </w:tr>
      <w:tr w:rsidR="00F53B9E" w:rsidRPr="004E74A6" w14:paraId="2A008B9B" w14:textId="77777777" w:rsidTr="000F6981">
        <w:trPr>
          <w:trHeight w:val="900"/>
        </w:trPr>
        <w:tc>
          <w:tcPr>
            <w:tcW w:w="2130" w:type="dxa"/>
            <w:tcBorders>
              <w:top w:val="single" w:sz="4" w:space="0" w:color="auto"/>
              <w:bottom w:val="single" w:sz="4" w:space="0" w:color="auto"/>
              <w:right w:val="single" w:sz="4" w:space="0" w:color="auto"/>
            </w:tcBorders>
            <w:shd w:val="clear" w:color="auto" w:fill="auto"/>
            <w:vAlign w:val="center"/>
            <w:hideMark/>
          </w:tcPr>
          <w:p w14:paraId="76FF8247" w14:textId="77777777" w:rsidR="00F53B9E" w:rsidRPr="004E74A6" w:rsidRDefault="00F53B9E" w:rsidP="00832773">
            <w:pPr>
              <w:spacing w:line="276" w:lineRule="auto"/>
              <w:rPr>
                <w:rFonts w:cs="Calibri"/>
                <w:color w:val="000000"/>
                <w:sz w:val="20"/>
                <w:lang w:eastAsia="es-CR"/>
              </w:rPr>
            </w:pPr>
            <w:r w:rsidRPr="004E74A6">
              <w:rPr>
                <w:rFonts w:cs="Calibri"/>
                <w:color w:val="000000"/>
                <w:sz w:val="20"/>
                <w:lang w:eastAsia="es-CR"/>
              </w:rPr>
              <w:lastRenderedPageBreak/>
              <w:t>Primer Circuito Judicial Guanacaste, Liberia</w:t>
            </w:r>
          </w:p>
        </w:tc>
        <w:tc>
          <w:tcPr>
            <w:tcW w:w="1012" w:type="dxa"/>
            <w:tcBorders>
              <w:top w:val="nil"/>
              <w:left w:val="nil"/>
              <w:bottom w:val="single" w:sz="4" w:space="0" w:color="auto"/>
              <w:right w:val="single" w:sz="4" w:space="0" w:color="auto"/>
            </w:tcBorders>
            <w:shd w:val="clear" w:color="auto" w:fill="auto"/>
            <w:vAlign w:val="center"/>
            <w:hideMark/>
          </w:tcPr>
          <w:p w14:paraId="4335DD05" w14:textId="77777777" w:rsidR="00F53B9E" w:rsidRPr="004E74A6" w:rsidRDefault="00F53B9E" w:rsidP="00832773">
            <w:pPr>
              <w:spacing w:line="276" w:lineRule="auto"/>
              <w:jc w:val="center"/>
              <w:rPr>
                <w:rFonts w:cs="Calibri"/>
                <w:color w:val="000000"/>
                <w:sz w:val="20"/>
                <w:lang w:eastAsia="es-CR"/>
              </w:rPr>
            </w:pPr>
            <w:r w:rsidRPr="004E74A6">
              <w:rPr>
                <w:rFonts w:cs="Calibri"/>
                <w:color w:val="000000"/>
                <w:sz w:val="20"/>
                <w:lang w:eastAsia="es-CR"/>
              </w:rPr>
              <w:t>49,4%</w:t>
            </w:r>
            <w:r w:rsidRPr="004E74A6">
              <w:rPr>
                <w:rFonts w:cs="Calibri"/>
                <w:color w:val="000000"/>
                <w:sz w:val="20"/>
                <w:lang w:eastAsia="es-CR"/>
              </w:rPr>
              <w:br/>
              <w:t>44</w:t>
            </w:r>
          </w:p>
        </w:tc>
        <w:tc>
          <w:tcPr>
            <w:tcW w:w="1176" w:type="dxa"/>
            <w:tcBorders>
              <w:top w:val="nil"/>
              <w:left w:val="nil"/>
              <w:bottom w:val="single" w:sz="4" w:space="0" w:color="auto"/>
              <w:right w:val="single" w:sz="4" w:space="0" w:color="auto"/>
            </w:tcBorders>
            <w:shd w:val="clear" w:color="auto" w:fill="auto"/>
            <w:vAlign w:val="center"/>
            <w:hideMark/>
          </w:tcPr>
          <w:p w14:paraId="046CF325" w14:textId="77777777" w:rsidR="00F53B9E" w:rsidRPr="004E74A6" w:rsidRDefault="00F53B9E" w:rsidP="00832773">
            <w:pPr>
              <w:spacing w:line="276" w:lineRule="auto"/>
              <w:jc w:val="center"/>
              <w:rPr>
                <w:rFonts w:cs="Calibri"/>
                <w:color w:val="000000"/>
                <w:sz w:val="20"/>
                <w:lang w:eastAsia="es-CR"/>
              </w:rPr>
            </w:pPr>
            <w:r w:rsidRPr="004E74A6">
              <w:rPr>
                <w:rFonts w:cs="Calibri"/>
                <w:color w:val="000000"/>
                <w:sz w:val="20"/>
                <w:lang w:eastAsia="es-CR"/>
              </w:rPr>
              <w:t>3,4%</w:t>
            </w:r>
            <w:r w:rsidRPr="004E74A6">
              <w:rPr>
                <w:rFonts w:cs="Calibri"/>
                <w:color w:val="000000"/>
                <w:sz w:val="20"/>
                <w:lang w:eastAsia="es-CR"/>
              </w:rPr>
              <w:br/>
              <w:t>3</w:t>
            </w:r>
          </w:p>
        </w:tc>
        <w:tc>
          <w:tcPr>
            <w:tcW w:w="1155" w:type="dxa"/>
            <w:tcBorders>
              <w:top w:val="nil"/>
              <w:left w:val="nil"/>
              <w:bottom w:val="single" w:sz="4" w:space="0" w:color="auto"/>
              <w:right w:val="single" w:sz="4" w:space="0" w:color="auto"/>
            </w:tcBorders>
            <w:shd w:val="clear" w:color="auto" w:fill="auto"/>
            <w:vAlign w:val="center"/>
            <w:hideMark/>
          </w:tcPr>
          <w:p w14:paraId="62B87C40" w14:textId="77777777" w:rsidR="00F53B9E" w:rsidRPr="004E74A6" w:rsidRDefault="00F53B9E" w:rsidP="00832773">
            <w:pPr>
              <w:spacing w:line="276" w:lineRule="auto"/>
              <w:jc w:val="center"/>
              <w:rPr>
                <w:rFonts w:cs="Calibri"/>
                <w:color w:val="000000"/>
                <w:sz w:val="20"/>
                <w:lang w:eastAsia="es-CR"/>
              </w:rPr>
            </w:pPr>
            <w:r w:rsidRPr="004E74A6">
              <w:rPr>
                <w:rFonts w:cs="Calibri"/>
                <w:color w:val="000000"/>
                <w:sz w:val="20"/>
                <w:lang w:eastAsia="es-CR"/>
              </w:rPr>
              <w:t>37,1%</w:t>
            </w:r>
            <w:r w:rsidRPr="004E74A6">
              <w:rPr>
                <w:rFonts w:cs="Calibri"/>
                <w:color w:val="000000"/>
                <w:sz w:val="20"/>
                <w:lang w:eastAsia="es-CR"/>
              </w:rPr>
              <w:br/>
              <w:t>33</w:t>
            </w:r>
          </w:p>
        </w:tc>
        <w:tc>
          <w:tcPr>
            <w:tcW w:w="1075" w:type="dxa"/>
            <w:tcBorders>
              <w:top w:val="nil"/>
              <w:left w:val="nil"/>
              <w:bottom w:val="single" w:sz="4" w:space="0" w:color="auto"/>
              <w:right w:val="single" w:sz="4" w:space="0" w:color="auto"/>
            </w:tcBorders>
            <w:shd w:val="clear" w:color="auto" w:fill="auto"/>
            <w:vAlign w:val="center"/>
            <w:hideMark/>
          </w:tcPr>
          <w:p w14:paraId="5A838ABA" w14:textId="77777777" w:rsidR="00F53B9E" w:rsidRPr="004E74A6" w:rsidRDefault="00F53B9E" w:rsidP="00832773">
            <w:pPr>
              <w:spacing w:line="276" w:lineRule="auto"/>
              <w:jc w:val="center"/>
              <w:rPr>
                <w:rFonts w:cs="Calibri"/>
                <w:color w:val="000000"/>
                <w:sz w:val="20"/>
                <w:lang w:eastAsia="es-CR"/>
              </w:rPr>
            </w:pPr>
            <w:r w:rsidRPr="004E74A6">
              <w:rPr>
                <w:rFonts w:cs="Calibri"/>
                <w:color w:val="000000"/>
                <w:sz w:val="20"/>
                <w:lang w:eastAsia="es-CR"/>
              </w:rPr>
              <w:t>10,1%</w:t>
            </w:r>
            <w:r w:rsidRPr="004E74A6">
              <w:rPr>
                <w:rFonts w:cs="Calibri"/>
                <w:color w:val="000000"/>
                <w:sz w:val="20"/>
                <w:lang w:eastAsia="es-CR"/>
              </w:rPr>
              <w:br/>
              <w:t>9</w:t>
            </w:r>
          </w:p>
        </w:tc>
        <w:tc>
          <w:tcPr>
            <w:tcW w:w="1738" w:type="dxa"/>
            <w:tcBorders>
              <w:top w:val="nil"/>
              <w:left w:val="nil"/>
              <w:bottom w:val="single" w:sz="4" w:space="0" w:color="auto"/>
              <w:right w:val="single" w:sz="4" w:space="0" w:color="auto"/>
            </w:tcBorders>
            <w:shd w:val="clear" w:color="000000" w:fill="F2F2F2"/>
            <w:vAlign w:val="center"/>
            <w:hideMark/>
          </w:tcPr>
          <w:p w14:paraId="036DD57E" w14:textId="77777777" w:rsidR="00F53B9E" w:rsidRPr="004E74A6" w:rsidRDefault="00F53B9E" w:rsidP="00832773">
            <w:pPr>
              <w:spacing w:line="276" w:lineRule="auto"/>
              <w:jc w:val="center"/>
              <w:rPr>
                <w:rFonts w:cs="Calibri"/>
                <w:color w:val="000000"/>
                <w:sz w:val="20"/>
                <w:lang w:eastAsia="es-CR"/>
              </w:rPr>
            </w:pPr>
            <w:r w:rsidRPr="004E74A6">
              <w:rPr>
                <w:rFonts w:cs="Calibri"/>
                <w:color w:val="000000"/>
                <w:sz w:val="20"/>
                <w:lang w:eastAsia="es-CR"/>
              </w:rPr>
              <w:t>61%</w:t>
            </w:r>
            <w:r w:rsidRPr="004E74A6">
              <w:rPr>
                <w:rFonts w:cs="Calibri"/>
                <w:color w:val="000000"/>
                <w:sz w:val="20"/>
                <w:lang w:eastAsia="es-CR"/>
              </w:rPr>
              <w:br/>
              <w:t>26,7</w:t>
            </w:r>
          </w:p>
        </w:tc>
        <w:tc>
          <w:tcPr>
            <w:tcW w:w="1107" w:type="dxa"/>
            <w:tcBorders>
              <w:top w:val="nil"/>
              <w:left w:val="nil"/>
              <w:bottom w:val="single" w:sz="4" w:space="0" w:color="auto"/>
              <w:right w:val="single" w:sz="4" w:space="0" w:color="auto"/>
            </w:tcBorders>
            <w:shd w:val="clear" w:color="auto" w:fill="auto"/>
            <w:noWrap/>
            <w:vAlign w:val="center"/>
            <w:hideMark/>
          </w:tcPr>
          <w:p w14:paraId="27A40709" w14:textId="653FEEAF" w:rsidR="00F53B9E" w:rsidRPr="004E74A6" w:rsidRDefault="00F53B9E" w:rsidP="00832773">
            <w:pPr>
              <w:spacing w:line="276" w:lineRule="auto"/>
              <w:jc w:val="center"/>
              <w:rPr>
                <w:rFonts w:cs="Calibri"/>
                <w:color w:val="000000"/>
                <w:sz w:val="20"/>
                <w:lang w:eastAsia="es-CR"/>
              </w:rPr>
            </w:pPr>
            <w:r w:rsidRPr="004E74A6">
              <w:rPr>
                <w:rFonts w:cs="Calibri"/>
                <w:color w:val="000000"/>
                <w:sz w:val="20"/>
                <w:lang w:eastAsia="es-CR"/>
              </w:rPr>
              <w:t>18</w:t>
            </w:r>
          </w:p>
        </w:tc>
        <w:tc>
          <w:tcPr>
            <w:tcW w:w="2070" w:type="dxa"/>
            <w:gridSpan w:val="2"/>
            <w:tcBorders>
              <w:top w:val="nil"/>
              <w:left w:val="nil"/>
              <w:bottom w:val="single" w:sz="4" w:space="0" w:color="auto"/>
              <w:right w:val="nil"/>
            </w:tcBorders>
            <w:vAlign w:val="center"/>
          </w:tcPr>
          <w:p w14:paraId="09A8BEB1" w14:textId="20439368" w:rsidR="00F53B9E" w:rsidRPr="004E74A6" w:rsidRDefault="00F53B9E" w:rsidP="00832773">
            <w:pPr>
              <w:spacing w:line="276" w:lineRule="auto"/>
              <w:jc w:val="center"/>
              <w:rPr>
                <w:rFonts w:cs="Calibri"/>
                <w:color w:val="000000"/>
                <w:sz w:val="20"/>
                <w:lang w:eastAsia="es-CR"/>
              </w:rPr>
            </w:pPr>
            <w:r w:rsidRPr="004E74A6">
              <w:rPr>
                <w:rFonts w:cs="Calibri"/>
                <w:color w:val="000000"/>
                <w:sz w:val="20"/>
                <w:lang w:eastAsia="es-CR"/>
              </w:rPr>
              <w:t>8</w:t>
            </w:r>
          </w:p>
        </w:tc>
        <w:tc>
          <w:tcPr>
            <w:tcW w:w="2287" w:type="dxa"/>
            <w:tcBorders>
              <w:top w:val="nil"/>
              <w:left w:val="nil"/>
              <w:bottom w:val="single" w:sz="4" w:space="0" w:color="auto"/>
            </w:tcBorders>
            <w:shd w:val="clear" w:color="auto" w:fill="auto"/>
            <w:noWrap/>
            <w:vAlign w:val="center"/>
          </w:tcPr>
          <w:p w14:paraId="0E493846" w14:textId="3A9F276D" w:rsidR="00F53B9E" w:rsidRPr="004E74A6" w:rsidRDefault="00F53B9E" w:rsidP="00832773">
            <w:pPr>
              <w:spacing w:line="276" w:lineRule="auto"/>
              <w:jc w:val="center"/>
              <w:rPr>
                <w:rFonts w:cs="Calibri"/>
                <w:color w:val="000000"/>
                <w:sz w:val="20"/>
                <w:lang w:eastAsia="es-CR"/>
              </w:rPr>
            </w:pPr>
            <w:r w:rsidRPr="004E74A6">
              <w:rPr>
                <w:rFonts w:cs="Calibri"/>
                <w:color w:val="000000"/>
                <w:sz w:val="20"/>
                <w:lang w:eastAsia="es-CR"/>
              </w:rPr>
              <w:t>10</w:t>
            </w:r>
          </w:p>
        </w:tc>
      </w:tr>
      <w:tr w:rsidR="00F53B9E" w:rsidRPr="004E74A6" w14:paraId="5BFEAA1A" w14:textId="77777777" w:rsidTr="000F6981">
        <w:trPr>
          <w:trHeight w:val="900"/>
        </w:trPr>
        <w:tc>
          <w:tcPr>
            <w:tcW w:w="2130" w:type="dxa"/>
            <w:tcBorders>
              <w:top w:val="single" w:sz="4" w:space="0" w:color="auto"/>
              <w:bottom w:val="single" w:sz="4" w:space="0" w:color="auto"/>
              <w:right w:val="single" w:sz="4" w:space="0" w:color="auto"/>
            </w:tcBorders>
            <w:shd w:val="clear" w:color="auto" w:fill="auto"/>
            <w:vAlign w:val="center"/>
            <w:hideMark/>
          </w:tcPr>
          <w:p w14:paraId="71F8794B" w14:textId="77777777" w:rsidR="00F53B9E" w:rsidRPr="004E74A6" w:rsidRDefault="00F53B9E" w:rsidP="00832773">
            <w:pPr>
              <w:spacing w:line="276" w:lineRule="auto"/>
              <w:rPr>
                <w:rFonts w:cs="Calibri"/>
                <w:color w:val="000000"/>
                <w:sz w:val="20"/>
                <w:lang w:eastAsia="es-CR"/>
              </w:rPr>
            </w:pPr>
            <w:r w:rsidRPr="004E74A6">
              <w:rPr>
                <w:rFonts w:cs="Calibri"/>
                <w:color w:val="000000"/>
                <w:sz w:val="20"/>
                <w:lang w:eastAsia="es-CR"/>
              </w:rPr>
              <w:t>Segundo Circuito Judicial de Guanacaste, Nicoya</w:t>
            </w:r>
          </w:p>
        </w:tc>
        <w:tc>
          <w:tcPr>
            <w:tcW w:w="1012" w:type="dxa"/>
            <w:tcBorders>
              <w:top w:val="nil"/>
              <w:left w:val="nil"/>
              <w:bottom w:val="single" w:sz="4" w:space="0" w:color="auto"/>
              <w:right w:val="single" w:sz="4" w:space="0" w:color="auto"/>
            </w:tcBorders>
            <w:shd w:val="clear" w:color="auto" w:fill="auto"/>
            <w:vAlign w:val="center"/>
            <w:hideMark/>
          </w:tcPr>
          <w:p w14:paraId="64523718" w14:textId="77777777" w:rsidR="00F53B9E" w:rsidRPr="004E74A6" w:rsidRDefault="00F53B9E" w:rsidP="00832773">
            <w:pPr>
              <w:spacing w:line="276" w:lineRule="auto"/>
              <w:jc w:val="center"/>
              <w:rPr>
                <w:rFonts w:cs="Calibri"/>
                <w:color w:val="000000"/>
                <w:sz w:val="20"/>
                <w:lang w:eastAsia="es-CR"/>
              </w:rPr>
            </w:pPr>
            <w:r w:rsidRPr="004E74A6">
              <w:rPr>
                <w:rFonts w:cs="Calibri"/>
                <w:color w:val="000000"/>
                <w:sz w:val="20"/>
                <w:lang w:eastAsia="es-CR"/>
              </w:rPr>
              <w:t>15,2%</w:t>
            </w:r>
            <w:r w:rsidRPr="004E74A6">
              <w:rPr>
                <w:rFonts w:cs="Calibri"/>
                <w:color w:val="000000"/>
                <w:sz w:val="20"/>
                <w:lang w:eastAsia="es-CR"/>
              </w:rPr>
              <w:br/>
              <w:t>17</w:t>
            </w:r>
          </w:p>
        </w:tc>
        <w:tc>
          <w:tcPr>
            <w:tcW w:w="1176" w:type="dxa"/>
            <w:tcBorders>
              <w:top w:val="nil"/>
              <w:left w:val="nil"/>
              <w:bottom w:val="single" w:sz="4" w:space="0" w:color="auto"/>
              <w:right w:val="single" w:sz="4" w:space="0" w:color="auto"/>
            </w:tcBorders>
            <w:shd w:val="clear" w:color="auto" w:fill="auto"/>
            <w:vAlign w:val="center"/>
            <w:hideMark/>
          </w:tcPr>
          <w:p w14:paraId="41186F82" w14:textId="77777777" w:rsidR="00F53B9E" w:rsidRPr="004E74A6" w:rsidRDefault="00F53B9E" w:rsidP="00832773">
            <w:pPr>
              <w:spacing w:line="276" w:lineRule="auto"/>
              <w:jc w:val="center"/>
              <w:rPr>
                <w:rFonts w:cs="Calibri"/>
                <w:color w:val="000000"/>
                <w:sz w:val="20"/>
                <w:lang w:eastAsia="es-CR"/>
              </w:rPr>
            </w:pPr>
            <w:r w:rsidRPr="004E74A6">
              <w:rPr>
                <w:rFonts w:cs="Calibri"/>
                <w:color w:val="000000"/>
                <w:sz w:val="20"/>
                <w:lang w:eastAsia="es-CR"/>
              </w:rPr>
              <w:t>0,3%</w:t>
            </w:r>
            <w:r w:rsidRPr="004E74A6">
              <w:rPr>
                <w:rFonts w:cs="Calibri"/>
                <w:color w:val="000000"/>
                <w:sz w:val="20"/>
                <w:lang w:eastAsia="es-CR"/>
              </w:rPr>
              <w:br/>
              <w:t>0,3</w:t>
            </w:r>
          </w:p>
        </w:tc>
        <w:tc>
          <w:tcPr>
            <w:tcW w:w="1155" w:type="dxa"/>
            <w:tcBorders>
              <w:top w:val="nil"/>
              <w:left w:val="nil"/>
              <w:bottom w:val="single" w:sz="4" w:space="0" w:color="auto"/>
              <w:right w:val="single" w:sz="4" w:space="0" w:color="auto"/>
            </w:tcBorders>
            <w:shd w:val="clear" w:color="auto" w:fill="auto"/>
            <w:vAlign w:val="center"/>
            <w:hideMark/>
          </w:tcPr>
          <w:p w14:paraId="617A9542" w14:textId="77777777" w:rsidR="00F53B9E" w:rsidRPr="004E74A6" w:rsidRDefault="00F53B9E" w:rsidP="00832773">
            <w:pPr>
              <w:spacing w:line="276" w:lineRule="auto"/>
              <w:jc w:val="center"/>
              <w:rPr>
                <w:rFonts w:cs="Calibri"/>
                <w:color w:val="000000"/>
                <w:sz w:val="20"/>
                <w:lang w:eastAsia="es-CR"/>
              </w:rPr>
            </w:pPr>
            <w:r w:rsidRPr="004E74A6">
              <w:rPr>
                <w:rFonts w:cs="Calibri"/>
                <w:color w:val="000000"/>
                <w:sz w:val="20"/>
                <w:lang w:eastAsia="es-CR"/>
              </w:rPr>
              <w:t>9%</w:t>
            </w:r>
            <w:r w:rsidRPr="004E74A6">
              <w:rPr>
                <w:rFonts w:cs="Calibri"/>
                <w:color w:val="000000"/>
                <w:sz w:val="20"/>
                <w:lang w:eastAsia="es-CR"/>
              </w:rPr>
              <w:br/>
              <w:t>10</w:t>
            </w:r>
          </w:p>
        </w:tc>
        <w:tc>
          <w:tcPr>
            <w:tcW w:w="1075" w:type="dxa"/>
            <w:tcBorders>
              <w:top w:val="nil"/>
              <w:left w:val="nil"/>
              <w:bottom w:val="single" w:sz="4" w:space="0" w:color="auto"/>
              <w:right w:val="single" w:sz="4" w:space="0" w:color="auto"/>
            </w:tcBorders>
            <w:shd w:val="clear" w:color="auto" w:fill="auto"/>
            <w:vAlign w:val="center"/>
            <w:hideMark/>
          </w:tcPr>
          <w:p w14:paraId="36BCE64F" w14:textId="77777777" w:rsidR="00F53B9E" w:rsidRPr="004E74A6" w:rsidRDefault="00F53B9E" w:rsidP="00832773">
            <w:pPr>
              <w:spacing w:line="276" w:lineRule="auto"/>
              <w:jc w:val="center"/>
              <w:rPr>
                <w:rFonts w:cs="Calibri"/>
                <w:color w:val="000000"/>
                <w:sz w:val="20"/>
                <w:lang w:eastAsia="es-CR"/>
              </w:rPr>
            </w:pPr>
            <w:r w:rsidRPr="004E74A6">
              <w:rPr>
                <w:rFonts w:cs="Calibri"/>
                <w:color w:val="000000"/>
                <w:sz w:val="20"/>
                <w:lang w:eastAsia="es-CR"/>
              </w:rPr>
              <w:t>75,5%</w:t>
            </w:r>
            <w:r w:rsidRPr="004E74A6">
              <w:rPr>
                <w:rFonts w:cs="Calibri"/>
                <w:color w:val="000000"/>
                <w:sz w:val="20"/>
                <w:lang w:eastAsia="es-CR"/>
              </w:rPr>
              <w:br/>
              <w:t>84,3</w:t>
            </w:r>
          </w:p>
        </w:tc>
        <w:tc>
          <w:tcPr>
            <w:tcW w:w="1738" w:type="dxa"/>
            <w:tcBorders>
              <w:top w:val="nil"/>
              <w:left w:val="nil"/>
              <w:bottom w:val="single" w:sz="4" w:space="0" w:color="auto"/>
              <w:right w:val="single" w:sz="4" w:space="0" w:color="auto"/>
            </w:tcBorders>
            <w:shd w:val="clear" w:color="000000" w:fill="F2F2F2"/>
            <w:vAlign w:val="center"/>
            <w:hideMark/>
          </w:tcPr>
          <w:p w14:paraId="07DC3CAB" w14:textId="77777777" w:rsidR="00F53B9E" w:rsidRPr="004E74A6" w:rsidRDefault="00F53B9E" w:rsidP="00832773">
            <w:pPr>
              <w:spacing w:line="276" w:lineRule="auto"/>
              <w:jc w:val="center"/>
              <w:rPr>
                <w:rFonts w:cs="Calibri"/>
                <w:color w:val="000000"/>
                <w:sz w:val="20"/>
                <w:lang w:eastAsia="es-CR"/>
              </w:rPr>
            </w:pPr>
            <w:r w:rsidRPr="004E74A6">
              <w:rPr>
                <w:rFonts w:cs="Calibri"/>
                <w:color w:val="000000"/>
                <w:sz w:val="20"/>
                <w:lang w:eastAsia="es-CR"/>
              </w:rPr>
              <w:t>53%</w:t>
            </w:r>
            <w:r w:rsidRPr="004E74A6">
              <w:rPr>
                <w:rFonts w:cs="Calibri"/>
                <w:color w:val="000000"/>
                <w:sz w:val="20"/>
                <w:lang w:eastAsia="es-CR"/>
              </w:rPr>
              <w:br/>
              <w:t>9</w:t>
            </w:r>
          </w:p>
        </w:tc>
        <w:tc>
          <w:tcPr>
            <w:tcW w:w="1107" w:type="dxa"/>
            <w:tcBorders>
              <w:top w:val="nil"/>
              <w:left w:val="nil"/>
              <w:bottom w:val="single" w:sz="4" w:space="0" w:color="auto"/>
              <w:right w:val="single" w:sz="4" w:space="0" w:color="auto"/>
            </w:tcBorders>
            <w:shd w:val="clear" w:color="auto" w:fill="auto"/>
            <w:noWrap/>
            <w:vAlign w:val="center"/>
            <w:hideMark/>
          </w:tcPr>
          <w:p w14:paraId="2710290A" w14:textId="36D74936" w:rsidR="00F53B9E" w:rsidRPr="004E74A6" w:rsidRDefault="00F53B9E" w:rsidP="00832773">
            <w:pPr>
              <w:spacing w:line="276" w:lineRule="auto"/>
              <w:jc w:val="center"/>
              <w:rPr>
                <w:rFonts w:cs="Calibri"/>
                <w:color w:val="000000"/>
                <w:sz w:val="20"/>
                <w:lang w:eastAsia="es-CR"/>
              </w:rPr>
            </w:pPr>
            <w:r w:rsidRPr="004E74A6">
              <w:rPr>
                <w:rFonts w:cs="Calibri"/>
                <w:color w:val="000000"/>
                <w:sz w:val="20"/>
                <w:lang w:eastAsia="es-CR"/>
              </w:rPr>
              <w:t>21</w:t>
            </w:r>
          </w:p>
        </w:tc>
        <w:tc>
          <w:tcPr>
            <w:tcW w:w="2070" w:type="dxa"/>
            <w:gridSpan w:val="2"/>
            <w:tcBorders>
              <w:top w:val="nil"/>
              <w:left w:val="nil"/>
              <w:bottom w:val="single" w:sz="4" w:space="0" w:color="auto"/>
              <w:right w:val="nil"/>
            </w:tcBorders>
            <w:vAlign w:val="center"/>
          </w:tcPr>
          <w:p w14:paraId="37B1BACF" w14:textId="5B7AC35D" w:rsidR="00F53B9E" w:rsidRPr="004E74A6" w:rsidRDefault="00F53B9E" w:rsidP="00832773">
            <w:pPr>
              <w:spacing w:line="276" w:lineRule="auto"/>
              <w:jc w:val="center"/>
              <w:rPr>
                <w:rFonts w:cs="Calibri"/>
                <w:color w:val="000000"/>
                <w:sz w:val="20"/>
                <w:lang w:eastAsia="es-CR"/>
              </w:rPr>
            </w:pPr>
            <w:r w:rsidRPr="004E74A6">
              <w:rPr>
                <w:rFonts w:cs="Calibri"/>
                <w:color w:val="000000"/>
                <w:sz w:val="20"/>
                <w:lang w:eastAsia="es-CR"/>
              </w:rPr>
              <w:t>9</w:t>
            </w:r>
          </w:p>
        </w:tc>
        <w:tc>
          <w:tcPr>
            <w:tcW w:w="2287" w:type="dxa"/>
            <w:tcBorders>
              <w:top w:val="nil"/>
              <w:left w:val="nil"/>
              <w:bottom w:val="single" w:sz="4" w:space="0" w:color="auto"/>
            </w:tcBorders>
            <w:shd w:val="clear" w:color="auto" w:fill="auto"/>
            <w:noWrap/>
            <w:vAlign w:val="center"/>
          </w:tcPr>
          <w:p w14:paraId="08D7DB24" w14:textId="3FE78169" w:rsidR="00F53B9E" w:rsidRPr="004E74A6" w:rsidRDefault="00F53B9E" w:rsidP="00832773">
            <w:pPr>
              <w:spacing w:line="276" w:lineRule="auto"/>
              <w:jc w:val="center"/>
              <w:rPr>
                <w:rFonts w:cs="Calibri"/>
                <w:color w:val="000000"/>
                <w:sz w:val="20"/>
                <w:lang w:eastAsia="es-CR"/>
              </w:rPr>
            </w:pPr>
            <w:r w:rsidRPr="004E74A6">
              <w:rPr>
                <w:rFonts w:cs="Calibri"/>
                <w:color w:val="000000"/>
                <w:sz w:val="20"/>
                <w:lang w:eastAsia="es-CR"/>
              </w:rPr>
              <w:t>12</w:t>
            </w:r>
          </w:p>
        </w:tc>
      </w:tr>
      <w:tr w:rsidR="00F53B9E" w:rsidRPr="004E74A6" w14:paraId="40CFD94C" w14:textId="77777777" w:rsidTr="000F6981">
        <w:trPr>
          <w:trHeight w:val="900"/>
        </w:trPr>
        <w:tc>
          <w:tcPr>
            <w:tcW w:w="2130" w:type="dxa"/>
            <w:tcBorders>
              <w:top w:val="single" w:sz="4" w:space="0" w:color="auto"/>
              <w:bottom w:val="single" w:sz="4" w:space="0" w:color="auto"/>
              <w:right w:val="single" w:sz="4" w:space="0" w:color="auto"/>
            </w:tcBorders>
            <w:shd w:val="clear" w:color="auto" w:fill="auto"/>
            <w:vAlign w:val="center"/>
            <w:hideMark/>
          </w:tcPr>
          <w:p w14:paraId="53D07FDC" w14:textId="77777777" w:rsidR="00F53B9E" w:rsidRPr="004E74A6" w:rsidRDefault="00F53B9E" w:rsidP="00832773">
            <w:pPr>
              <w:spacing w:line="276" w:lineRule="auto"/>
              <w:rPr>
                <w:rFonts w:cs="Calibri"/>
                <w:color w:val="000000"/>
                <w:sz w:val="20"/>
                <w:lang w:eastAsia="es-CR"/>
              </w:rPr>
            </w:pPr>
            <w:r w:rsidRPr="004E74A6">
              <w:rPr>
                <w:rFonts w:cs="Calibri"/>
                <w:color w:val="000000"/>
                <w:sz w:val="20"/>
                <w:lang w:eastAsia="es-CR"/>
              </w:rPr>
              <w:t>Puntarenas</w:t>
            </w:r>
          </w:p>
        </w:tc>
        <w:tc>
          <w:tcPr>
            <w:tcW w:w="1012" w:type="dxa"/>
            <w:tcBorders>
              <w:top w:val="nil"/>
              <w:left w:val="nil"/>
              <w:bottom w:val="single" w:sz="4" w:space="0" w:color="auto"/>
              <w:right w:val="single" w:sz="4" w:space="0" w:color="auto"/>
            </w:tcBorders>
            <w:shd w:val="clear" w:color="auto" w:fill="auto"/>
            <w:vAlign w:val="center"/>
            <w:hideMark/>
          </w:tcPr>
          <w:p w14:paraId="00C601A7" w14:textId="77777777" w:rsidR="00F53B9E" w:rsidRPr="004E74A6" w:rsidRDefault="00F53B9E" w:rsidP="00832773">
            <w:pPr>
              <w:spacing w:line="276" w:lineRule="auto"/>
              <w:jc w:val="center"/>
              <w:rPr>
                <w:rFonts w:cs="Calibri"/>
                <w:color w:val="000000"/>
                <w:sz w:val="20"/>
                <w:lang w:eastAsia="es-CR"/>
              </w:rPr>
            </w:pPr>
            <w:r w:rsidRPr="004E74A6">
              <w:rPr>
                <w:rFonts w:cs="Calibri"/>
                <w:color w:val="000000"/>
                <w:sz w:val="20"/>
                <w:lang w:eastAsia="es-CR"/>
              </w:rPr>
              <w:t>66%</w:t>
            </w:r>
            <w:r w:rsidRPr="004E74A6">
              <w:rPr>
                <w:rFonts w:cs="Calibri"/>
                <w:color w:val="000000"/>
                <w:sz w:val="20"/>
                <w:lang w:eastAsia="es-CR"/>
              </w:rPr>
              <w:br/>
              <w:t>70</w:t>
            </w:r>
          </w:p>
        </w:tc>
        <w:tc>
          <w:tcPr>
            <w:tcW w:w="1176" w:type="dxa"/>
            <w:tcBorders>
              <w:top w:val="nil"/>
              <w:left w:val="nil"/>
              <w:bottom w:val="single" w:sz="4" w:space="0" w:color="auto"/>
              <w:right w:val="single" w:sz="4" w:space="0" w:color="auto"/>
            </w:tcBorders>
            <w:shd w:val="clear" w:color="auto" w:fill="auto"/>
            <w:vAlign w:val="center"/>
            <w:hideMark/>
          </w:tcPr>
          <w:p w14:paraId="473A1844" w14:textId="77777777" w:rsidR="00F53B9E" w:rsidRPr="004E74A6" w:rsidRDefault="00F53B9E" w:rsidP="00832773">
            <w:pPr>
              <w:spacing w:line="276" w:lineRule="auto"/>
              <w:jc w:val="center"/>
              <w:rPr>
                <w:rFonts w:cs="Calibri"/>
                <w:color w:val="000000"/>
                <w:sz w:val="20"/>
                <w:lang w:eastAsia="es-CR"/>
              </w:rPr>
            </w:pPr>
            <w:r w:rsidRPr="004E74A6">
              <w:rPr>
                <w:rFonts w:cs="Calibri"/>
                <w:color w:val="000000"/>
                <w:sz w:val="20"/>
                <w:lang w:eastAsia="es-CR"/>
              </w:rPr>
              <w:t>4%</w:t>
            </w:r>
            <w:r w:rsidRPr="004E74A6">
              <w:rPr>
                <w:rFonts w:cs="Calibri"/>
                <w:color w:val="000000"/>
                <w:sz w:val="20"/>
                <w:lang w:eastAsia="es-CR"/>
              </w:rPr>
              <w:br/>
              <w:t>4</w:t>
            </w:r>
          </w:p>
        </w:tc>
        <w:tc>
          <w:tcPr>
            <w:tcW w:w="1155" w:type="dxa"/>
            <w:tcBorders>
              <w:top w:val="nil"/>
              <w:left w:val="nil"/>
              <w:bottom w:val="single" w:sz="4" w:space="0" w:color="auto"/>
              <w:right w:val="single" w:sz="4" w:space="0" w:color="auto"/>
            </w:tcBorders>
            <w:shd w:val="clear" w:color="auto" w:fill="auto"/>
            <w:vAlign w:val="center"/>
            <w:hideMark/>
          </w:tcPr>
          <w:p w14:paraId="1AC1D62D" w14:textId="77777777" w:rsidR="00F53B9E" w:rsidRPr="004E74A6" w:rsidRDefault="00F53B9E" w:rsidP="00832773">
            <w:pPr>
              <w:spacing w:line="276" w:lineRule="auto"/>
              <w:jc w:val="center"/>
              <w:rPr>
                <w:rFonts w:cs="Calibri"/>
                <w:color w:val="000000"/>
                <w:sz w:val="20"/>
                <w:lang w:eastAsia="es-CR"/>
              </w:rPr>
            </w:pPr>
            <w:r w:rsidRPr="004E74A6">
              <w:rPr>
                <w:rFonts w:cs="Calibri"/>
                <w:color w:val="000000"/>
                <w:sz w:val="20"/>
                <w:lang w:eastAsia="es-CR"/>
              </w:rPr>
              <w:t>26%</w:t>
            </w:r>
            <w:r w:rsidRPr="004E74A6">
              <w:rPr>
                <w:rFonts w:cs="Calibri"/>
                <w:color w:val="000000"/>
                <w:sz w:val="20"/>
                <w:lang w:eastAsia="es-CR"/>
              </w:rPr>
              <w:br/>
              <w:t>28</w:t>
            </w:r>
          </w:p>
        </w:tc>
        <w:tc>
          <w:tcPr>
            <w:tcW w:w="1075" w:type="dxa"/>
            <w:tcBorders>
              <w:top w:val="nil"/>
              <w:left w:val="nil"/>
              <w:bottom w:val="single" w:sz="4" w:space="0" w:color="auto"/>
              <w:right w:val="single" w:sz="4" w:space="0" w:color="auto"/>
            </w:tcBorders>
            <w:shd w:val="clear" w:color="auto" w:fill="auto"/>
            <w:vAlign w:val="center"/>
            <w:hideMark/>
          </w:tcPr>
          <w:p w14:paraId="194249C0" w14:textId="77777777" w:rsidR="00F53B9E" w:rsidRPr="004E74A6" w:rsidRDefault="00F53B9E" w:rsidP="00832773">
            <w:pPr>
              <w:spacing w:line="276" w:lineRule="auto"/>
              <w:jc w:val="center"/>
              <w:rPr>
                <w:rFonts w:cs="Calibri"/>
                <w:color w:val="000000"/>
                <w:sz w:val="20"/>
                <w:lang w:eastAsia="es-CR"/>
              </w:rPr>
            </w:pPr>
            <w:r w:rsidRPr="004E74A6">
              <w:rPr>
                <w:rFonts w:cs="Calibri"/>
                <w:color w:val="000000"/>
                <w:sz w:val="20"/>
                <w:lang w:eastAsia="es-CR"/>
              </w:rPr>
              <w:t>4%</w:t>
            </w:r>
            <w:r w:rsidRPr="004E74A6">
              <w:rPr>
                <w:rFonts w:cs="Calibri"/>
                <w:color w:val="000000"/>
                <w:sz w:val="20"/>
                <w:lang w:eastAsia="es-CR"/>
              </w:rPr>
              <w:br/>
              <w:t>5</w:t>
            </w:r>
          </w:p>
        </w:tc>
        <w:tc>
          <w:tcPr>
            <w:tcW w:w="1738" w:type="dxa"/>
            <w:tcBorders>
              <w:top w:val="nil"/>
              <w:left w:val="nil"/>
              <w:bottom w:val="single" w:sz="4" w:space="0" w:color="auto"/>
              <w:right w:val="single" w:sz="4" w:space="0" w:color="auto"/>
            </w:tcBorders>
            <w:shd w:val="clear" w:color="000000" w:fill="F2F2F2"/>
            <w:vAlign w:val="center"/>
            <w:hideMark/>
          </w:tcPr>
          <w:p w14:paraId="1F141694" w14:textId="77777777" w:rsidR="00F53B9E" w:rsidRPr="004E74A6" w:rsidRDefault="00F53B9E" w:rsidP="00832773">
            <w:pPr>
              <w:spacing w:line="276" w:lineRule="auto"/>
              <w:jc w:val="center"/>
              <w:rPr>
                <w:rFonts w:cs="Calibri"/>
                <w:color w:val="000000"/>
                <w:sz w:val="20"/>
                <w:lang w:eastAsia="es-CR"/>
              </w:rPr>
            </w:pPr>
            <w:r w:rsidRPr="004E74A6">
              <w:rPr>
                <w:rFonts w:cs="Calibri"/>
                <w:color w:val="000000"/>
                <w:sz w:val="20"/>
                <w:lang w:eastAsia="es-CR"/>
              </w:rPr>
              <w:t>49%</w:t>
            </w:r>
            <w:r w:rsidRPr="004E74A6">
              <w:rPr>
                <w:rFonts w:cs="Calibri"/>
                <w:color w:val="000000"/>
                <w:sz w:val="20"/>
                <w:lang w:eastAsia="es-CR"/>
              </w:rPr>
              <w:br/>
              <w:t>34</w:t>
            </w:r>
          </w:p>
        </w:tc>
        <w:tc>
          <w:tcPr>
            <w:tcW w:w="1107" w:type="dxa"/>
            <w:tcBorders>
              <w:top w:val="nil"/>
              <w:left w:val="nil"/>
              <w:bottom w:val="single" w:sz="4" w:space="0" w:color="auto"/>
              <w:right w:val="single" w:sz="4" w:space="0" w:color="auto"/>
            </w:tcBorders>
            <w:shd w:val="clear" w:color="auto" w:fill="auto"/>
            <w:noWrap/>
            <w:vAlign w:val="center"/>
            <w:hideMark/>
          </w:tcPr>
          <w:p w14:paraId="60B2FEB6" w14:textId="010EC163" w:rsidR="00F53B9E" w:rsidRPr="004E74A6" w:rsidRDefault="00F53B9E" w:rsidP="00832773">
            <w:pPr>
              <w:spacing w:line="276" w:lineRule="auto"/>
              <w:jc w:val="center"/>
              <w:rPr>
                <w:rFonts w:cs="Calibri"/>
                <w:color w:val="000000"/>
                <w:sz w:val="20"/>
                <w:lang w:eastAsia="es-CR"/>
              </w:rPr>
            </w:pPr>
            <w:r w:rsidRPr="004E74A6">
              <w:rPr>
                <w:rFonts w:cs="Calibri"/>
                <w:color w:val="000000"/>
                <w:sz w:val="20"/>
                <w:lang w:eastAsia="es-CR"/>
              </w:rPr>
              <w:t>18</w:t>
            </w:r>
          </w:p>
        </w:tc>
        <w:tc>
          <w:tcPr>
            <w:tcW w:w="2070" w:type="dxa"/>
            <w:gridSpan w:val="2"/>
            <w:tcBorders>
              <w:top w:val="nil"/>
              <w:left w:val="nil"/>
              <w:bottom w:val="single" w:sz="4" w:space="0" w:color="auto"/>
              <w:right w:val="nil"/>
            </w:tcBorders>
            <w:vAlign w:val="center"/>
          </w:tcPr>
          <w:p w14:paraId="3354658C" w14:textId="0FA5BBAD" w:rsidR="00F53B9E" w:rsidRPr="004E74A6" w:rsidRDefault="00F53B9E" w:rsidP="00832773">
            <w:pPr>
              <w:spacing w:line="276" w:lineRule="auto"/>
              <w:jc w:val="center"/>
              <w:rPr>
                <w:rFonts w:cs="Calibri"/>
                <w:color w:val="000000"/>
                <w:sz w:val="20"/>
                <w:lang w:eastAsia="es-CR"/>
              </w:rPr>
            </w:pPr>
            <w:r w:rsidRPr="004E74A6">
              <w:rPr>
                <w:rFonts w:cs="Calibri"/>
                <w:color w:val="000000"/>
                <w:sz w:val="20"/>
                <w:lang w:eastAsia="es-CR"/>
              </w:rPr>
              <w:t>8</w:t>
            </w:r>
          </w:p>
        </w:tc>
        <w:tc>
          <w:tcPr>
            <w:tcW w:w="2287" w:type="dxa"/>
            <w:tcBorders>
              <w:top w:val="nil"/>
              <w:left w:val="nil"/>
              <w:bottom w:val="single" w:sz="4" w:space="0" w:color="auto"/>
            </w:tcBorders>
            <w:shd w:val="clear" w:color="auto" w:fill="auto"/>
            <w:noWrap/>
            <w:vAlign w:val="center"/>
          </w:tcPr>
          <w:p w14:paraId="49619CF9" w14:textId="6CD9808B" w:rsidR="00F53B9E" w:rsidRPr="004E74A6" w:rsidRDefault="00F53B9E" w:rsidP="00832773">
            <w:pPr>
              <w:spacing w:line="276" w:lineRule="auto"/>
              <w:jc w:val="center"/>
              <w:rPr>
                <w:rFonts w:cs="Calibri"/>
                <w:color w:val="000000"/>
                <w:sz w:val="20"/>
                <w:lang w:eastAsia="es-CR"/>
              </w:rPr>
            </w:pPr>
            <w:r w:rsidRPr="004E74A6">
              <w:rPr>
                <w:rFonts w:cs="Calibri"/>
                <w:color w:val="000000"/>
                <w:sz w:val="20"/>
                <w:lang w:eastAsia="es-CR"/>
              </w:rPr>
              <w:t>10</w:t>
            </w:r>
          </w:p>
        </w:tc>
      </w:tr>
      <w:tr w:rsidR="00F53B9E" w:rsidRPr="004E74A6" w14:paraId="72853B4C" w14:textId="77777777" w:rsidTr="000F6981">
        <w:trPr>
          <w:trHeight w:val="900"/>
        </w:trPr>
        <w:tc>
          <w:tcPr>
            <w:tcW w:w="2130" w:type="dxa"/>
            <w:tcBorders>
              <w:top w:val="single" w:sz="4" w:space="0" w:color="auto"/>
              <w:bottom w:val="single" w:sz="4" w:space="0" w:color="auto"/>
              <w:right w:val="single" w:sz="4" w:space="0" w:color="auto"/>
            </w:tcBorders>
            <w:shd w:val="clear" w:color="auto" w:fill="auto"/>
            <w:vAlign w:val="center"/>
            <w:hideMark/>
          </w:tcPr>
          <w:p w14:paraId="00D0051E" w14:textId="77777777" w:rsidR="00F53B9E" w:rsidRPr="004E74A6" w:rsidRDefault="00F53B9E" w:rsidP="00832773">
            <w:pPr>
              <w:spacing w:line="276" w:lineRule="auto"/>
              <w:rPr>
                <w:rFonts w:cs="Calibri"/>
                <w:color w:val="000000"/>
                <w:sz w:val="20"/>
                <w:lang w:eastAsia="es-CR"/>
              </w:rPr>
            </w:pPr>
            <w:r w:rsidRPr="004E74A6">
              <w:rPr>
                <w:rFonts w:cs="Calibri"/>
                <w:color w:val="000000"/>
                <w:sz w:val="20"/>
                <w:lang w:eastAsia="es-CR"/>
              </w:rPr>
              <w:t>Primer Circuito Judicial Zona Sur, Pérez Zeledón</w:t>
            </w:r>
          </w:p>
        </w:tc>
        <w:tc>
          <w:tcPr>
            <w:tcW w:w="1012" w:type="dxa"/>
            <w:tcBorders>
              <w:top w:val="nil"/>
              <w:left w:val="nil"/>
              <w:bottom w:val="single" w:sz="4" w:space="0" w:color="auto"/>
              <w:right w:val="single" w:sz="4" w:space="0" w:color="auto"/>
            </w:tcBorders>
            <w:shd w:val="clear" w:color="auto" w:fill="auto"/>
            <w:vAlign w:val="center"/>
            <w:hideMark/>
          </w:tcPr>
          <w:p w14:paraId="4760EE78" w14:textId="77777777" w:rsidR="00F53B9E" w:rsidRPr="004E74A6" w:rsidRDefault="00F53B9E" w:rsidP="00832773">
            <w:pPr>
              <w:spacing w:line="276" w:lineRule="auto"/>
              <w:jc w:val="center"/>
              <w:rPr>
                <w:rFonts w:cs="Calibri"/>
                <w:color w:val="000000"/>
                <w:sz w:val="20"/>
                <w:lang w:eastAsia="es-CR"/>
              </w:rPr>
            </w:pPr>
            <w:r w:rsidRPr="004E74A6">
              <w:rPr>
                <w:rFonts w:cs="Calibri"/>
                <w:color w:val="000000"/>
                <w:sz w:val="20"/>
                <w:lang w:eastAsia="es-CR"/>
              </w:rPr>
              <w:t>67%</w:t>
            </w:r>
            <w:r w:rsidRPr="004E74A6">
              <w:rPr>
                <w:rFonts w:cs="Calibri"/>
                <w:color w:val="000000"/>
                <w:sz w:val="20"/>
                <w:lang w:eastAsia="es-CR"/>
              </w:rPr>
              <w:br/>
              <w:t>69</w:t>
            </w:r>
          </w:p>
        </w:tc>
        <w:tc>
          <w:tcPr>
            <w:tcW w:w="1176" w:type="dxa"/>
            <w:tcBorders>
              <w:top w:val="nil"/>
              <w:left w:val="nil"/>
              <w:bottom w:val="single" w:sz="4" w:space="0" w:color="auto"/>
              <w:right w:val="single" w:sz="4" w:space="0" w:color="auto"/>
            </w:tcBorders>
            <w:shd w:val="clear" w:color="auto" w:fill="auto"/>
            <w:vAlign w:val="center"/>
            <w:hideMark/>
          </w:tcPr>
          <w:p w14:paraId="6CA94FA1" w14:textId="77777777" w:rsidR="00F53B9E" w:rsidRPr="004E74A6" w:rsidRDefault="00F53B9E" w:rsidP="00832773">
            <w:pPr>
              <w:spacing w:line="276" w:lineRule="auto"/>
              <w:jc w:val="center"/>
              <w:rPr>
                <w:rFonts w:cs="Calibri"/>
                <w:color w:val="000000"/>
                <w:sz w:val="20"/>
                <w:lang w:eastAsia="es-CR"/>
              </w:rPr>
            </w:pPr>
            <w:r w:rsidRPr="004E74A6">
              <w:rPr>
                <w:rFonts w:cs="Calibri"/>
                <w:color w:val="000000"/>
                <w:sz w:val="20"/>
                <w:lang w:eastAsia="es-CR"/>
              </w:rPr>
              <w:t>2%</w:t>
            </w:r>
            <w:r w:rsidRPr="004E74A6">
              <w:rPr>
                <w:rFonts w:cs="Calibri"/>
                <w:color w:val="000000"/>
                <w:sz w:val="20"/>
                <w:lang w:eastAsia="es-CR"/>
              </w:rPr>
              <w:br/>
              <w:t>1,7</w:t>
            </w:r>
          </w:p>
        </w:tc>
        <w:tc>
          <w:tcPr>
            <w:tcW w:w="1155" w:type="dxa"/>
            <w:tcBorders>
              <w:top w:val="nil"/>
              <w:left w:val="nil"/>
              <w:bottom w:val="single" w:sz="4" w:space="0" w:color="auto"/>
              <w:right w:val="single" w:sz="4" w:space="0" w:color="auto"/>
            </w:tcBorders>
            <w:shd w:val="clear" w:color="auto" w:fill="auto"/>
            <w:vAlign w:val="center"/>
            <w:hideMark/>
          </w:tcPr>
          <w:p w14:paraId="3660B738" w14:textId="77777777" w:rsidR="00F53B9E" w:rsidRPr="004E74A6" w:rsidRDefault="00F53B9E" w:rsidP="00832773">
            <w:pPr>
              <w:spacing w:line="276" w:lineRule="auto"/>
              <w:jc w:val="center"/>
              <w:rPr>
                <w:rFonts w:cs="Calibri"/>
                <w:color w:val="000000"/>
                <w:sz w:val="20"/>
                <w:lang w:eastAsia="es-CR"/>
              </w:rPr>
            </w:pPr>
            <w:r w:rsidRPr="004E74A6">
              <w:rPr>
                <w:rFonts w:cs="Calibri"/>
                <w:color w:val="000000"/>
                <w:sz w:val="20"/>
                <w:lang w:eastAsia="es-CR"/>
              </w:rPr>
              <w:t>31%</w:t>
            </w:r>
            <w:r w:rsidRPr="004E74A6">
              <w:rPr>
                <w:rFonts w:cs="Calibri"/>
                <w:color w:val="000000"/>
                <w:sz w:val="20"/>
                <w:lang w:eastAsia="es-CR"/>
              </w:rPr>
              <w:br/>
              <w:t>31</w:t>
            </w:r>
          </w:p>
        </w:tc>
        <w:tc>
          <w:tcPr>
            <w:tcW w:w="1075" w:type="dxa"/>
            <w:tcBorders>
              <w:top w:val="nil"/>
              <w:left w:val="nil"/>
              <w:bottom w:val="single" w:sz="4" w:space="0" w:color="auto"/>
              <w:right w:val="single" w:sz="4" w:space="0" w:color="auto"/>
            </w:tcBorders>
            <w:shd w:val="clear" w:color="auto" w:fill="auto"/>
            <w:vAlign w:val="center"/>
            <w:hideMark/>
          </w:tcPr>
          <w:p w14:paraId="3761B031" w14:textId="77777777" w:rsidR="00F53B9E" w:rsidRPr="004E74A6" w:rsidRDefault="00F53B9E" w:rsidP="00832773">
            <w:pPr>
              <w:spacing w:line="276" w:lineRule="auto"/>
              <w:jc w:val="center"/>
              <w:rPr>
                <w:rFonts w:cs="Calibri"/>
                <w:color w:val="000000"/>
                <w:sz w:val="20"/>
                <w:lang w:eastAsia="es-CR"/>
              </w:rPr>
            </w:pPr>
            <w:r w:rsidRPr="004E74A6">
              <w:rPr>
                <w:rFonts w:cs="Calibri"/>
                <w:color w:val="000000"/>
                <w:sz w:val="20"/>
                <w:lang w:eastAsia="es-CR"/>
              </w:rPr>
              <w:t>0%</w:t>
            </w:r>
            <w:r w:rsidRPr="004E74A6">
              <w:rPr>
                <w:rFonts w:cs="Calibri"/>
                <w:color w:val="000000"/>
                <w:sz w:val="20"/>
                <w:lang w:eastAsia="es-CR"/>
              </w:rPr>
              <w:br/>
              <w:t>0,3</w:t>
            </w:r>
          </w:p>
        </w:tc>
        <w:tc>
          <w:tcPr>
            <w:tcW w:w="1738" w:type="dxa"/>
            <w:tcBorders>
              <w:top w:val="nil"/>
              <w:left w:val="nil"/>
              <w:bottom w:val="single" w:sz="4" w:space="0" w:color="auto"/>
              <w:right w:val="single" w:sz="4" w:space="0" w:color="auto"/>
            </w:tcBorders>
            <w:shd w:val="clear" w:color="000000" w:fill="F2F2F2"/>
            <w:vAlign w:val="center"/>
            <w:hideMark/>
          </w:tcPr>
          <w:p w14:paraId="39B12144" w14:textId="77777777" w:rsidR="00F53B9E" w:rsidRPr="004E74A6" w:rsidRDefault="00F53B9E" w:rsidP="00832773">
            <w:pPr>
              <w:spacing w:line="276" w:lineRule="auto"/>
              <w:jc w:val="center"/>
              <w:rPr>
                <w:rFonts w:cs="Calibri"/>
                <w:color w:val="000000"/>
                <w:sz w:val="20"/>
                <w:lang w:eastAsia="es-CR"/>
              </w:rPr>
            </w:pPr>
            <w:r w:rsidRPr="004E74A6">
              <w:rPr>
                <w:rFonts w:cs="Calibri"/>
                <w:color w:val="000000"/>
                <w:sz w:val="20"/>
                <w:lang w:eastAsia="es-CR"/>
              </w:rPr>
              <w:t>68%</w:t>
            </w:r>
            <w:r w:rsidRPr="004E74A6">
              <w:rPr>
                <w:rFonts w:cs="Calibri"/>
                <w:color w:val="000000"/>
                <w:sz w:val="20"/>
                <w:lang w:eastAsia="es-CR"/>
              </w:rPr>
              <w:br/>
              <w:t>47</w:t>
            </w:r>
          </w:p>
        </w:tc>
        <w:tc>
          <w:tcPr>
            <w:tcW w:w="1107" w:type="dxa"/>
            <w:tcBorders>
              <w:top w:val="nil"/>
              <w:left w:val="nil"/>
              <w:bottom w:val="single" w:sz="4" w:space="0" w:color="auto"/>
              <w:right w:val="single" w:sz="4" w:space="0" w:color="auto"/>
            </w:tcBorders>
            <w:shd w:val="clear" w:color="auto" w:fill="auto"/>
            <w:noWrap/>
            <w:vAlign w:val="center"/>
            <w:hideMark/>
          </w:tcPr>
          <w:p w14:paraId="5B5602E5" w14:textId="210E997D" w:rsidR="00F53B9E" w:rsidRPr="004E74A6" w:rsidRDefault="00F53B9E" w:rsidP="00832773">
            <w:pPr>
              <w:spacing w:line="276" w:lineRule="auto"/>
              <w:jc w:val="center"/>
              <w:rPr>
                <w:rFonts w:cs="Calibri"/>
                <w:color w:val="000000"/>
                <w:sz w:val="20"/>
                <w:lang w:eastAsia="es-CR"/>
              </w:rPr>
            </w:pPr>
            <w:r w:rsidRPr="004E74A6">
              <w:rPr>
                <w:rFonts w:cs="Calibri"/>
                <w:color w:val="000000"/>
                <w:sz w:val="20"/>
                <w:lang w:eastAsia="es-CR"/>
              </w:rPr>
              <w:t>16</w:t>
            </w:r>
          </w:p>
        </w:tc>
        <w:tc>
          <w:tcPr>
            <w:tcW w:w="2070" w:type="dxa"/>
            <w:gridSpan w:val="2"/>
            <w:tcBorders>
              <w:top w:val="nil"/>
              <w:left w:val="nil"/>
              <w:bottom w:val="single" w:sz="4" w:space="0" w:color="auto"/>
              <w:right w:val="nil"/>
            </w:tcBorders>
            <w:vAlign w:val="center"/>
          </w:tcPr>
          <w:p w14:paraId="72C3B570" w14:textId="641D9D1C" w:rsidR="00F53B9E" w:rsidRPr="004E74A6" w:rsidRDefault="00F53B9E" w:rsidP="00832773">
            <w:pPr>
              <w:spacing w:line="276" w:lineRule="auto"/>
              <w:jc w:val="center"/>
              <w:rPr>
                <w:rFonts w:cs="Calibri"/>
                <w:color w:val="000000"/>
                <w:sz w:val="20"/>
                <w:lang w:eastAsia="es-CR"/>
              </w:rPr>
            </w:pPr>
            <w:r w:rsidRPr="004E74A6">
              <w:rPr>
                <w:rFonts w:cs="Calibri"/>
                <w:color w:val="000000"/>
                <w:sz w:val="20"/>
                <w:lang w:eastAsia="es-CR"/>
              </w:rPr>
              <w:t>7</w:t>
            </w:r>
          </w:p>
        </w:tc>
        <w:tc>
          <w:tcPr>
            <w:tcW w:w="2287" w:type="dxa"/>
            <w:tcBorders>
              <w:top w:val="nil"/>
              <w:left w:val="nil"/>
              <w:bottom w:val="single" w:sz="4" w:space="0" w:color="auto"/>
            </w:tcBorders>
            <w:shd w:val="clear" w:color="auto" w:fill="auto"/>
            <w:noWrap/>
            <w:vAlign w:val="center"/>
          </w:tcPr>
          <w:p w14:paraId="43D58CBE" w14:textId="0D816302" w:rsidR="00F53B9E" w:rsidRPr="004E74A6" w:rsidRDefault="000F6981" w:rsidP="00832773">
            <w:pPr>
              <w:spacing w:line="276" w:lineRule="auto"/>
              <w:jc w:val="center"/>
              <w:rPr>
                <w:rFonts w:cs="Calibri"/>
                <w:color w:val="000000"/>
                <w:sz w:val="20"/>
                <w:lang w:eastAsia="es-CR"/>
              </w:rPr>
            </w:pPr>
            <w:r w:rsidRPr="004E74A6">
              <w:rPr>
                <w:rFonts w:cs="Calibri"/>
                <w:color w:val="000000"/>
                <w:sz w:val="20"/>
                <w:lang w:eastAsia="es-CR"/>
              </w:rPr>
              <w:t>9</w:t>
            </w:r>
          </w:p>
        </w:tc>
      </w:tr>
      <w:tr w:rsidR="00F53B9E" w:rsidRPr="004E74A6" w14:paraId="0FFD30A1" w14:textId="77777777" w:rsidTr="000F6981">
        <w:trPr>
          <w:trHeight w:val="900"/>
        </w:trPr>
        <w:tc>
          <w:tcPr>
            <w:tcW w:w="2130" w:type="dxa"/>
            <w:tcBorders>
              <w:top w:val="single" w:sz="4" w:space="0" w:color="auto"/>
              <w:bottom w:val="single" w:sz="4" w:space="0" w:color="auto"/>
              <w:right w:val="single" w:sz="4" w:space="0" w:color="auto"/>
            </w:tcBorders>
            <w:shd w:val="clear" w:color="auto" w:fill="auto"/>
            <w:vAlign w:val="center"/>
            <w:hideMark/>
          </w:tcPr>
          <w:p w14:paraId="7C40D07C" w14:textId="77777777" w:rsidR="00F53B9E" w:rsidRPr="004E74A6" w:rsidRDefault="00F53B9E" w:rsidP="00832773">
            <w:pPr>
              <w:spacing w:line="276" w:lineRule="auto"/>
              <w:rPr>
                <w:rFonts w:cs="Calibri"/>
                <w:color w:val="000000"/>
                <w:sz w:val="20"/>
                <w:lang w:eastAsia="es-CR"/>
              </w:rPr>
            </w:pPr>
            <w:r w:rsidRPr="004E74A6">
              <w:rPr>
                <w:rFonts w:cs="Calibri"/>
                <w:color w:val="000000"/>
                <w:sz w:val="20"/>
                <w:lang w:eastAsia="es-CR"/>
              </w:rPr>
              <w:lastRenderedPageBreak/>
              <w:t>Primer Circuito Judicial Zona Atlántica</w:t>
            </w:r>
          </w:p>
        </w:tc>
        <w:tc>
          <w:tcPr>
            <w:tcW w:w="1012" w:type="dxa"/>
            <w:tcBorders>
              <w:top w:val="nil"/>
              <w:left w:val="nil"/>
              <w:bottom w:val="single" w:sz="4" w:space="0" w:color="auto"/>
              <w:right w:val="single" w:sz="4" w:space="0" w:color="auto"/>
            </w:tcBorders>
            <w:shd w:val="clear" w:color="auto" w:fill="auto"/>
            <w:vAlign w:val="center"/>
            <w:hideMark/>
          </w:tcPr>
          <w:p w14:paraId="5D8B2B3E" w14:textId="77777777" w:rsidR="00F53B9E" w:rsidRPr="004E74A6" w:rsidRDefault="00F53B9E" w:rsidP="00832773">
            <w:pPr>
              <w:spacing w:line="276" w:lineRule="auto"/>
              <w:jc w:val="center"/>
              <w:rPr>
                <w:rFonts w:cs="Calibri"/>
                <w:color w:val="000000"/>
                <w:sz w:val="20"/>
                <w:lang w:eastAsia="es-CR"/>
              </w:rPr>
            </w:pPr>
            <w:r w:rsidRPr="004E74A6">
              <w:rPr>
                <w:rFonts w:cs="Calibri"/>
                <w:color w:val="000000"/>
                <w:sz w:val="20"/>
                <w:lang w:eastAsia="es-CR"/>
              </w:rPr>
              <w:t>73%</w:t>
            </w:r>
            <w:r w:rsidRPr="004E74A6">
              <w:rPr>
                <w:rFonts w:cs="Calibri"/>
                <w:color w:val="000000"/>
                <w:sz w:val="20"/>
                <w:lang w:eastAsia="es-CR"/>
              </w:rPr>
              <w:br/>
              <w:t>80</w:t>
            </w:r>
          </w:p>
        </w:tc>
        <w:tc>
          <w:tcPr>
            <w:tcW w:w="1176" w:type="dxa"/>
            <w:tcBorders>
              <w:top w:val="nil"/>
              <w:left w:val="nil"/>
              <w:bottom w:val="single" w:sz="4" w:space="0" w:color="auto"/>
              <w:right w:val="single" w:sz="4" w:space="0" w:color="auto"/>
            </w:tcBorders>
            <w:shd w:val="clear" w:color="auto" w:fill="auto"/>
            <w:vAlign w:val="center"/>
            <w:hideMark/>
          </w:tcPr>
          <w:p w14:paraId="3F06CFA7" w14:textId="77777777" w:rsidR="00F53B9E" w:rsidRPr="004E74A6" w:rsidRDefault="00F53B9E" w:rsidP="00832773">
            <w:pPr>
              <w:spacing w:line="276" w:lineRule="auto"/>
              <w:jc w:val="center"/>
              <w:rPr>
                <w:rFonts w:cs="Calibri"/>
                <w:color w:val="000000"/>
                <w:sz w:val="20"/>
                <w:lang w:eastAsia="es-CR"/>
              </w:rPr>
            </w:pPr>
            <w:r w:rsidRPr="004E74A6">
              <w:rPr>
                <w:rFonts w:cs="Calibri"/>
                <w:color w:val="000000"/>
                <w:sz w:val="20"/>
                <w:lang w:eastAsia="es-CR"/>
              </w:rPr>
              <w:t>2%</w:t>
            </w:r>
            <w:r w:rsidRPr="004E74A6">
              <w:rPr>
                <w:rFonts w:cs="Calibri"/>
                <w:color w:val="000000"/>
                <w:sz w:val="20"/>
                <w:lang w:eastAsia="es-CR"/>
              </w:rPr>
              <w:br/>
              <w:t>2</w:t>
            </w:r>
          </w:p>
        </w:tc>
        <w:tc>
          <w:tcPr>
            <w:tcW w:w="1155" w:type="dxa"/>
            <w:tcBorders>
              <w:top w:val="nil"/>
              <w:left w:val="nil"/>
              <w:bottom w:val="single" w:sz="4" w:space="0" w:color="auto"/>
              <w:right w:val="single" w:sz="4" w:space="0" w:color="auto"/>
            </w:tcBorders>
            <w:shd w:val="clear" w:color="auto" w:fill="auto"/>
            <w:vAlign w:val="center"/>
            <w:hideMark/>
          </w:tcPr>
          <w:p w14:paraId="03590340" w14:textId="77777777" w:rsidR="00F53B9E" w:rsidRPr="004E74A6" w:rsidRDefault="00F53B9E" w:rsidP="00832773">
            <w:pPr>
              <w:spacing w:line="276" w:lineRule="auto"/>
              <w:jc w:val="center"/>
              <w:rPr>
                <w:rFonts w:cs="Calibri"/>
                <w:color w:val="000000"/>
                <w:sz w:val="20"/>
                <w:lang w:eastAsia="es-CR"/>
              </w:rPr>
            </w:pPr>
            <w:r w:rsidRPr="004E74A6">
              <w:rPr>
                <w:rFonts w:cs="Calibri"/>
                <w:color w:val="000000"/>
                <w:sz w:val="20"/>
                <w:lang w:eastAsia="es-CR"/>
              </w:rPr>
              <w:t>23%</w:t>
            </w:r>
            <w:r w:rsidRPr="004E74A6">
              <w:rPr>
                <w:rFonts w:cs="Calibri"/>
                <w:color w:val="000000"/>
                <w:sz w:val="20"/>
                <w:lang w:eastAsia="es-CR"/>
              </w:rPr>
              <w:br/>
              <w:t>26</w:t>
            </w:r>
          </w:p>
        </w:tc>
        <w:tc>
          <w:tcPr>
            <w:tcW w:w="1075" w:type="dxa"/>
            <w:tcBorders>
              <w:top w:val="nil"/>
              <w:left w:val="nil"/>
              <w:bottom w:val="single" w:sz="4" w:space="0" w:color="auto"/>
              <w:right w:val="single" w:sz="4" w:space="0" w:color="auto"/>
            </w:tcBorders>
            <w:shd w:val="clear" w:color="auto" w:fill="auto"/>
            <w:vAlign w:val="center"/>
            <w:hideMark/>
          </w:tcPr>
          <w:p w14:paraId="08DE6FF7" w14:textId="77777777" w:rsidR="00F53B9E" w:rsidRPr="004E74A6" w:rsidRDefault="00F53B9E" w:rsidP="00832773">
            <w:pPr>
              <w:spacing w:line="276" w:lineRule="auto"/>
              <w:jc w:val="center"/>
              <w:rPr>
                <w:rFonts w:cs="Calibri"/>
                <w:color w:val="000000"/>
                <w:sz w:val="20"/>
                <w:lang w:eastAsia="es-CR"/>
              </w:rPr>
            </w:pPr>
            <w:r w:rsidRPr="004E74A6">
              <w:rPr>
                <w:rFonts w:cs="Calibri"/>
                <w:color w:val="000000"/>
                <w:sz w:val="20"/>
                <w:lang w:eastAsia="es-CR"/>
              </w:rPr>
              <w:t>2%</w:t>
            </w:r>
            <w:r w:rsidRPr="004E74A6">
              <w:rPr>
                <w:rFonts w:cs="Calibri"/>
                <w:color w:val="000000"/>
                <w:sz w:val="20"/>
                <w:lang w:eastAsia="es-CR"/>
              </w:rPr>
              <w:br/>
              <w:t>2</w:t>
            </w:r>
          </w:p>
        </w:tc>
        <w:tc>
          <w:tcPr>
            <w:tcW w:w="1738" w:type="dxa"/>
            <w:tcBorders>
              <w:top w:val="nil"/>
              <w:left w:val="nil"/>
              <w:bottom w:val="single" w:sz="4" w:space="0" w:color="auto"/>
              <w:right w:val="single" w:sz="4" w:space="0" w:color="auto"/>
            </w:tcBorders>
            <w:shd w:val="clear" w:color="000000" w:fill="F2F2F2"/>
            <w:vAlign w:val="center"/>
            <w:hideMark/>
          </w:tcPr>
          <w:p w14:paraId="587A15AB" w14:textId="77777777" w:rsidR="00F53B9E" w:rsidRPr="004E74A6" w:rsidRDefault="00F53B9E" w:rsidP="00832773">
            <w:pPr>
              <w:spacing w:line="276" w:lineRule="auto"/>
              <w:jc w:val="center"/>
              <w:rPr>
                <w:rFonts w:cs="Calibri"/>
                <w:color w:val="000000"/>
                <w:sz w:val="20"/>
                <w:lang w:eastAsia="es-CR"/>
              </w:rPr>
            </w:pPr>
            <w:r w:rsidRPr="004E74A6">
              <w:rPr>
                <w:rFonts w:cs="Calibri"/>
                <w:color w:val="000000"/>
                <w:sz w:val="20"/>
                <w:lang w:eastAsia="es-CR"/>
              </w:rPr>
              <w:t>55%</w:t>
            </w:r>
            <w:r w:rsidRPr="004E74A6">
              <w:rPr>
                <w:rFonts w:cs="Calibri"/>
                <w:color w:val="000000"/>
                <w:sz w:val="20"/>
                <w:lang w:eastAsia="es-CR"/>
              </w:rPr>
              <w:br/>
              <w:t>44</w:t>
            </w:r>
          </w:p>
        </w:tc>
        <w:tc>
          <w:tcPr>
            <w:tcW w:w="1107" w:type="dxa"/>
            <w:tcBorders>
              <w:top w:val="nil"/>
              <w:left w:val="nil"/>
              <w:bottom w:val="single" w:sz="4" w:space="0" w:color="auto"/>
              <w:right w:val="single" w:sz="4" w:space="0" w:color="auto"/>
            </w:tcBorders>
            <w:shd w:val="clear" w:color="auto" w:fill="auto"/>
            <w:noWrap/>
            <w:vAlign w:val="center"/>
            <w:hideMark/>
          </w:tcPr>
          <w:p w14:paraId="5E9E3123" w14:textId="10A37A61" w:rsidR="00F53B9E" w:rsidRPr="004E74A6" w:rsidRDefault="00F53B9E" w:rsidP="00832773">
            <w:pPr>
              <w:spacing w:line="276" w:lineRule="auto"/>
              <w:jc w:val="center"/>
              <w:rPr>
                <w:rFonts w:cs="Calibri"/>
                <w:color w:val="000000"/>
                <w:sz w:val="20"/>
                <w:lang w:eastAsia="es-CR"/>
              </w:rPr>
            </w:pPr>
            <w:r w:rsidRPr="004E74A6">
              <w:rPr>
                <w:rFonts w:cs="Calibri"/>
                <w:color w:val="000000"/>
                <w:sz w:val="20"/>
                <w:lang w:eastAsia="es-CR"/>
              </w:rPr>
              <w:t>16</w:t>
            </w:r>
          </w:p>
        </w:tc>
        <w:tc>
          <w:tcPr>
            <w:tcW w:w="2070" w:type="dxa"/>
            <w:gridSpan w:val="2"/>
            <w:tcBorders>
              <w:top w:val="nil"/>
              <w:left w:val="nil"/>
              <w:bottom w:val="single" w:sz="4" w:space="0" w:color="auto"/>
              <w:right w:val="nil"/>
            </w:tcBorders>
            <w:vAlign w:val="center"/>
          </w:tcPr>
          <w:p w14:paraId="02AD5095" w14:textId="5F211D07" w:rsidR="00F53B9E" w:rsidRPr="004E74A6" w:rsidRDefault="00F53B9E" w:rsidP="00832773">
            <w:pPr>
              <w:spacing w:line="276" w:lineRule="auto"/>
              <w:jc w:val="center"/>
              <w:rPr>
                <w:rFonts w:cs="Calibri"/>
                <w:color w:val="000000"/>
                <w:sz w:val="20"/>
                <w:lang w:eastAsia="es-CR"/>
              </w:rPr>
            </w:pPr>
            <w:r w:rsidRPr="004E74A6">
              <w:rPr>
                <w:rFonts w:cs="Calibri"/>
                <w:color w:val="000000"/>
                <w:sz w:val="20"/>
                <w:lang w:eastAsia="es-CR"/>
              </w:rPr>
              <w:t>7</w:t>
            </w:r>
          </w:p>
        </w:tc>
        <w:tc>
          <w:tcPr>
            <w:tcW w:w="2287" w:type="dxa"/>
            <w:tcBorders>
              <w:top w:val="nil"/>
              <w:left w:val="nil"/>
              <w:bottom w:val="single" w:sz="4" w:space="0" w:color="auto"/>
            </w:tcBorders>
            <w:shd w:val="clear" w:color="auto" w:fill="auto"/>
            <w:noWrap/>
            <w:vAlign w:val="center"/>
          </w:tcPr>
          <w:p w14:paraId="4552AE80" w14:textId="37C00B49" w:rsidR="00F53B9E" w:rsidRPr="004E74A6" w:rsidRDefault="000F6981" w:rsidP="00832773">
            <w:pPr>
              <w:spacing w:line="276" w:lineRule="auto"/>
              <w:jc w:val="center"/>
              <w:rPr>
                <w:rFonts w:cs="Calibri"/>
                <w:color w:val="000000"/>
                <w:sz w:val="20"/>
                <w:lang w:eastAsia="es-CR"/>
              </w:rPr>
            </w:pPr>
            <w:r w:rsidRPr="004E74A6">
              <w:rPr>
                <w:rFonts w:cs="Calibri"/>
                <w:color w:val="000000"/>
                <w:sz w:val="20"/>
                <w:lang w:eastAsia="es-CR"/>
              </w:rPr>
              <w:t>9</w:t>
            </w:r>
          </w:p>
        </w:tc>
      </w:tr>
      <w:tr w:rsidR="00F53B9E" w:rsidRPr="004E74A6" w14:paraId="6010C82E" w14:textId="77777777" w:rsidTr="00A731B5">
        <w:trPr>
          <w:trHeight w:val="283"/>
        </w:trPr>
        <w:tc>
          <w:tcPr>
            <w:tcW w:w="2130" w:type="dxa"/>
            <w:tcBorders>
              <w:top w:val="single" w:sz="4" w:space="0" w:color="auto"/>
              <w:bottom w:val="single" w:sz="4" w:space="0" w:color="auto"/>
              <w:right w:val="single" w:sz="4" w:space="0" w:color="auto"/>
            </w:tcBorders>
            <w:shd w:val="clear" w:color="auto" w:fill="auto"/>
            <w:vAlign w:val="center"/>
            <w:hideMark/>
          </w:tcPr>
          <w:p w14:paraId="7F3F58F1" w14:textId="77777777" w:rsidR="00F53B9E" w:rsidRPr="004E74A6" w:rsidRDefault="00F53B9E" w:rsidP="00832773">
            <w:pPr>
              <w:spacing w:line="276" w:lineRule="auto"/>
              <w:jc w:val="center"/>
              <w:rPr>
                <w:rFonts w:cs="Calibri"/>
                <w:b/>
                <w:bCs/>
                <w:color w:val="000000"/>
                <w:sz w:val="20"/>
                <w:lang w:eastAsia="es-CR"/>
              </w:rPr>
            </w:pPr>
            <w:r w:rsidRPr="004E74A6">
              <w:rPr>
                <w:rFonts w:cs="Calibri"/>
                <w:b/>
                <w:bCs/>
                <w:color w:val="000000"/>
                <w:sz w:val="20"/>
                <w:lang w:eastAsia="es-CR"/>
              </w:rPr>
              <w:t>Total</w:t>
            </w:r>
          </w:p>
        </w:tc>
        <w:tc>
          <w:tcPr>
            <w:tcW w:w="1012" w:type="dxa"/>
            <w:tcBorders>
              <w:top w:val="nil"/>
              <w:left w:val="nil"/>
              <w:bottom w:val="single" w:sz="4" w:space="0" w:color="auto"/>
              <w:right w:val="single" w:sz="4" w:space="0" w:color="auto"/>
            </w:tcBorders>
            <w:shd w:val="clear" w:color="auto" w:fill="auto"/>
            <w:vAlign w:val="center"/>
            <w:hideMark/>
          </w:tcPr>
          <w:p w14:paraId="3C440831" w14:textId="77777777" w:rsidR="00F53B9E" w:rsidRPr="004E74A6" w:rsidRDefault="00F53B9E" w:rsidP="00832773">
            <w:pPr>
              <w:spacing w:line="276" w:lineRule="auto"/>
              <w:jc w:val="center"/>
              <w:rPr>
                <w:rFonts w:cs="Calibri"/>
                <w:b/>
                <w:bCs/>
                <w:color w:val="000000"/>
                <w:sz w:val="20"/>
                <w:lang w:eastAsia="es-CR"/>
              </w:rPr>
            </w:pPr>
            <w:r w:rsidRPr="004E74A6">
              <w:rPr>
                <w:rFonts w:cs="Calibri"/>
                <w:b/>
                <w:bCs/>
                <w:color w:val="000000"/>
                <w:sz w:val="20"/>
                <w:lang w:eastAsia="es-CR"/>
              </w:rPr>
              <w:t> </w:t>
            </w:r>
          </w:p>
        </w:tc>
        <w:tc>
          <w:tcPr>
            <w:tcW w:w="1176" w:type="dxa"/>
            <w:tcBorders>
              <w:top w:val="nil"/>
              <w:left w:val="nil"/>
              <w:bottom w:val="single" w:sz="4" w:space="0" w:color="auto"/>
              <w:right w:val="single" w:sz="4" w:space="0" w:color="auto"/>
            </w:tcBorders>
            <w:shd w:val="clear" w:color="auto" w:fill="auto"/>
            <w:vAlign w:val="center"/>
            <w:hideMark/>
          </w:tcPr>
          <w:p w14:paraId="18FB1658" w14:textId="77777777" w:rsidR="00F53B9E" w:rsidRPr="004E74A6" w:rsidRDefault="00F53B9E" w:rsidP="00832773">
            <w:pPr>
              <w:spacing w:line="276" w:lineRule="auto"/>
              <w:jc w:val="center"/>
              <w:rPr>
                <w:rFonts w:cs="Calibri"/>
                <w:b/>
                <w:bCs/>
                <w:color w:val="000000"/>
                <w:sz w:val="20"/>
                <w:lang w:eastAsia="es-CR"/>
              </w:rPr>
            </w:pPr>
            <w:r w:rsidRPr="004E74A6">
              <w:rPr>
                <w:rFonts w:cs="Calibri"/>
                <w:b/>
                <w:bCs/>
                <w:color w:val="000000"/>
                <w:sz w:val="20"/>
                <w:lang w:eastAsia="es-CR"/>
              </w:rPr>
              <w:t> </w:t>
            </w:r>
          </w:p>
        </w:tc>
        <w:tc>
          <w:tcPr>
            <w:tcW w:w="1155" w:type="dxa"/>
            <w:tcBorders>
              <w:top w:val="nil"/>
              <w:left w:val="nil"/>
              <w:bottom w:val="single" w:sz="4" w:space="0" w:color="auto"/>
              <w:right w:val="single" w:sz="4" w:space="0" w:color="auto"/>
            </w:tcBorders>
            <w:shd w:val="clear" w:color="auto" w:fill="auto"/>
            <w:vAlign w:val="center"/>
            <w:hideMark/>
          </w:tcPr>
          <w:p w14:paraId="7394FFF0" w14:textId="77777777" w:rsidR="00F53B9E" w:rsidRPr="004E74A6" w:rsidRDefault="00F53B9E" w:rsidP="00832773">
            <w:pPr>
              <w:spacing w:line="276" w:lineRule="auto"/>
              <w:jc w:val="center"/>
              <w:rPr>
                <w:rFonts w:cs="Calibri"/>
                <w:b/>
                <w:bCs/>
                <w:color w:val="000000"/>
                <w:sz w:val="20"/>
                <w:lang w:eastAsia="es-CR"/>
              </w:rPr>
            </w:pPr>
            <w:r w:rsidRPr="004E74A6">
              <w:rPr>
                <w:rFonts w:cs="Calibri"/>
                <w:b/>
                <w:bCs/>
                <w:color w:val="000000"/>
                <w:sz w:val="20"/>
                <w:lang w:eastAsia="es-CR"/>
              </w:rPr>
              <w:t> </w:t>
            </w:r>
          </w:p>
        </w:tc>
        <w:tc>
          <w:tcPr>
            <w:tcW w:w="1075" w:type="dxa"/>
            <w:tcBorders>
              <w:top w:val="nil"/>
              <w:left w:val="nil"/>
              <w:bottom w:val="single" w:sz="4" w:space="0" w:color="auto"/>
              <w:right w:val="single" w:sz="4" w:space="0" w:color="auto"/>
            </w:tcBorders>
            <w:shd w:val="clear" w:color="auto" w:fill="auto"/>
            <w:vAlign w:val="center"/>
            <w:hideMark/>
          </w:tcPr>
          <w:p w14:paraId="362B8F74" w14:textId="77777777" w:rsidR="00F53B9E" w:rsidRPr="004E74A6" w:rsidRDefault="00F53B9E" w:rsidP="00832773">
            <w:pPr>
              <w:spacing w:line="276" w:lineRule="auto"/>
              <w:jc w:val="center"/>
              <w:rPr>
                <w:rFonts w:cs="Calibri"/>
                <w:b/>
                <w:bCs/>
                <w:color w:val="000000"/>
                <w:sz w:val="20"/>
                <w:lang w:eastAsia="es-CR"/>
              </w:rPr>
            </w:pPr>
            <w:r w:rsidRPr="004E74A6">
              <w:rPr>
                <w:rFonts w:cs="Calibri"/>
                <w:b/>
                <w:bCs/>
                <w:color w:val="000000"/>
                <w:sz w:val="20"/>
                <w:lang w:eastAsia="es-CR"/>
              </w:rPr>
              <w:t> </w:t>
            </w:r>
          </w:p>
        </w:tc>
        <w:tc>
          <w:tcPr>
            <w:tcW w:w="1738" w:type="dxa"/>
            <w:tcBorders>
              <w:top w:val="nil"/>
              <w:left w:val="nil"/>
              <w:bottom w:val="single" w:sz="4" w:space="0" w:color="auto"/>
              <w:right w:val="single" w:sz="4" w:space="0" w:color="auto"/>
            </w:tcBorders>
            <w:shd w:val="clear" w:color="000000" w:fill="F2F2F2"/>
            <w:vAlign w:val="center"/>
            <w:hideMark/>
          </w:tcPr>
          <w:p w14:paraId="402B12F5" w14:textId="1E2F2099" w:rsidR="00F53B9E" w:rsidRPr="004E74A6" w:rsidRDefault="00F53B9E" w:rsidP="00832773">
            <w:pPr>
              <w:spacing w:line="276" w:lineRule="auto"/>
              <w:jc w:val="center"/>
              <w:rPr>
                <w:rFonts w:cs="Calibri"/>
                <w:b/>
                <w:bCs/>
                <w:color w:val="000000"/>
                <w:sz w:val="20"/>
                <w:lang w:eastAsia="es-CR"/>
              </w:rPr>
            </w:pPr>
            <w:r w:rsidRPr="004E74A6">
              <w:rPr>
                <w:rFonts w:cs="Calibri"/>
                <w:b/>
                <w:bCs/>
                <w:color w:val="000000"/>
                <w:sz w:val="20"/>
                <w:lang w:eastAsia="es-CR"/>
              </w:rPr>
              <w:t>506,7 </w:t>
            </w:r>
          </w:p>
        </w:tc>
        <w:tc>
          <w:tcPr>
            <w:tcW w:w="1107" w:type="dxa"/>
            <w:tcBorders>
              <w:top w:val="nil"/>
              <w:left w:val="nil"/>
              <w:bottom w:val="single" w:sz="4" w:space="0" w:color="auto"/>
              <w:right w:val="single" w:sz="4" w:space="0" w:color="auto"/>
            </w:tcBorders>
            <w:shd w:val="clear" w:color="auto" w:fill="auto"/>
            <w:noWrap/>
            <w:vAlign w:val="center"/>
            <w:hideMark/>
          </w:tcPr>
          <w:p w14:paraId="4F831539" w14:textId="22BCB10C" w:rsidR="00F53B9E" w:rsidRPr="004E74A6" w:rsidRDefault="00F53B9E" w:rsidP="00832773">
            <w:pPr>
              <w:spacing w:line="276" w:lineRule="auto"/>
              <w:jc w:val="center"/>
              <w:rPr>
                <w:rFonts w:cs="Calibri"/>
                <w:b/>
                <w:bCs/>
                <w:color w:val="000000"/>
                <w:sz w:val="20"/>
                <w:lang w:eastAsia="es-CR"/>
              </w:rPr>
            </w:pPr>
            <w:r w:rsidRPr="004E74A6">
              <w:rPr>
                <w:rFonts w:cs="Calibri"/>
                <w:b/>
                <w:bCs/>
                <w:color w:val="000000"/>
                <w:sz w:val="20"/>
                <w:lang w:eastAsia="es-CR"/>
              </w:rPr>
              <w:t>377</w:t>
            </w:r>
          </w:p>
        </w:tc>
        <w:tc>
          <w:tcPr>
            <w:tcW w:w="2070" w:type="dxa"/>
            <w:gridSpan w:val="2"/>
            <w:tcBorders>
              <w:top w:val="nil"/>
              <w:left w:val="nil"/>
              <w:bottom w:val="single" w:sz="4" w:space="0" w:color="auto"/>
              <w:right w:val="nil"/>
            </w:tcBorders>
            <w:vAlign w:val="center"/>
          </w:tcPr>
          <w:p w14:paraId="65EC1F6C" w14:textId="146377ED" w:rsidR="00F53B9E" w:rsidRPr="004E74A6" w:rsidRDefault="00F53B9E" w:rsidP="00832773">
            <w:pPr>
              <w:spacing w:line="276" w:lineRule="auto"/>
              <w:jc w:val="center"/>
              <w:rPr>
                <w:rFonts w:cs="Calibri"/>
                <w:b/>
                <w:bCs/>
                <w:color w:val="000000"/>
                <w:sz w:val="20"/>
                <w:lang w:eastAsia="es-CR"/>
              </w:rPr>
            </w:pPr>
            <w:r w:rsidRPr="004E74A6">
              <w:rPr>
                <w:rFonts w:cs="Calibri"/>
                <w:b/>
                <w:bCs/>
                <w:color w:val="000000"/>
                <w:sz w:val="20"/>
                <w:lang w:eastAsia="es-CR"/>
              </w:rPr>
              <w:t>162</w:t>
            </w:r>
          </w:p>
        </w:tc>
        <w:tc>
          <w:tcPr>
            <w:tcW w:w="2287" w:type="dxa"/>
            <w:tcBorders>
              <w:top w:val="nil"/>
              <w:left w:val="nil"/>
              <w:bottom w:val="single" w:sz="4" w:space="0" w:color="auto"/>
            </w:tcBorders>
            <w:shd w:val="clear" w:color="auto" w:fill="auto"/>
            <w:noWrap/>
            <w:vAlign w:val="center"/>
          </w:tcPr>
          <w:p w14:paraId="196202C4" w14:textId="1655C2F8" w:rsidR="00F53B9E" w:rsidRPr="004E74A6" w:rsidRDefault="000F6981" w:rsidP="00832773">
            <w:pPr>
              <w:spacing w:line="276" w:lineRule="auto"/>
              <w:jc w:val="center"/>
              <w:rPr>
                <w:rFonts w:cs="Calibri"/>
                <w:b/>
                <w:bCs/>
                <w:color w:val="000000"/>
                <w:sz w:val="20"/>
                <w:lang w:eastAsia="es-CR"/>
              </w:rPr>
            </w:pPr>
            <w:r w:rsidRPr="004E74A6">
              <w:rPr>
                <w:rFonts w:cs="Calibri"/>
                <w:b/>
                <w:bCs/>
                <w:color w:val="000000"/>
                <w:sz w:val="20"/>
                <w:lang w:eastAsia="es-CR"/>
              </w:rPr>
              <w:t>215</w:t>
            </w:r>
          </w:p>
        </w:tc>
      </w:tr>
      <w:tr w:rsidR="00F53B9E" w:rsidRPr="004E74A6" w14:paraId="0B8567E9" w14:textId="77777777" w:rsidTr="00A731B5">
        <w:trPr>
          <w:trHeight w:val="132"/>
        </w:trPr>
        <w:tc>
          <w:tcPr>
            <w:tcW w:w="2130" w:type="dxa"/>
            <w:tcBorders>
              <w:top w:val="single" w:sz="4" w:space="0" w:color="auto"/>
              <w:bottom w:val="single" w:sz="4" w:space="0" w:color="auto"/>
              <w:right w:val="single" w:sz="4" w:space="0" w:color="auto"/>
            </w:tcBorders>
            <w:shd w:val="clear" w:color="auto" w:fill="auto"/>
            <w:vAlign w:val="center"/>
          </w:tcPr>
          <w:p w14:paraId="0653AA92" w14:textId="1B8C2D66" w:rsidR="00F53B9E" w:rsidRPr="004E74A6" w:rsidRDefault="00F53B9E" w:rsidP="00832773">
            <w:pPr>
              <w:spacing w:line="276" w:lineRule="auto"/>
              <w:jc w:val="center"/>
              <w:rPr>
                <w:rFonts w:cs="Calibri"/>
                <w:b/>
                <w:bCs/>
                <w:color w:val="000000"/>
                <w:sz w:val="20"/>
                <w:lang w:eastAsia="es-CR"/>
              </w:rPr>
            </w:pPr>
            <w:r w:rsidRPr="004E74A6">
              <w:rPr>
                <w:rFonts w:cs="Calibri"/>
                <w:b/>
                <w:bCs/>
                <w:color w:val="000000"/>
                <w:sz w:val="20"/>
                <w:lang w:eastAsia="es-CR"/>
              </w:rPr>
              <w:t>Promedio</w:t>
            </w:r>
          </w:p>
        </w:tc>
        <w:tc>
          <w:tcPr>
            <w:tcW w:w="1012" w:type="dxa"/>
            <w:tcBorders>
              <w:top w:val="single" w:sz="4" w:space="0" w:color="auto"/>
              <w:left w:val="nil"/>
              <w:bottom w:val="single" w:sz="4" w:space="0" w:color="auto"/>
              <w:right w:val="single" w:sz="4" w:space="0" w:color="auto"/>
            </w:tcBorders>
            <w:shd w:val="clear" w:color="auto" w:fill="auto"/>
            <w:vAlign w:val="center"/>
          </w:tcPr>
          <w:p w14:paraId="52C36174" w14:textId="77777777" w:rsidR="00F53B9E" w:rsidRPr="004E74A6" w:rsidRDefault="00F53B9E" w:rsidP="00832773">
            <w:pPr>
              <w:spacing w:line="276" w:lineRule="auto"/>
              <w:jc w:val="center"/>
              <w:rPr>
                <w:rFonts w:cs="Calibri"/>
                <w:b/>
                <w:bCs/>
                <w:color w:val="000000"/>
                <w:sz w:val="20"/>
                <w:lang w:eastAsia="es-CR"/>
              </w:rPr>
            </w:pPr>
          </w:p>
        </w:tc>
        <w:tc>
          <w:tcPr>
            <w:tcW w:w="1176" w:type="dxa"/>
            <w:tcBorders>
              <w:top w:val="single" w:sz="4" w:space="0" w:color="auto"/>
              <w:left w:val="nil"/>
              <w:bottom w:val="single" w:sz="4" w:space="0" w:color="auto"/>
              <w:right w:val="single" w:sz="4" w:space="0" w:color="auto"/>
            </w:tcBorders>
            <w:shd w:val="clear" w:color="auto" w:fill="auto"/>
            <w:vAlign w:val="center"/>
          </w:tcPr>
          <w:p w14:paraId="2C7E84BF" w14:textId="77777777" w:rsidR="00F53B9E" w:rsidRPr="004E74A6" w:rsidRDefault="00F53B9E" w:rsidP="00832773">
            <w:pPr>
              <w:spacing w:line="276" w:lineRule="auto"/>
              <w:jc w:val="center"/>
              <w:rPr>
                <w:rFonts w:cs="Calibri"/>
                <w:b/>
                <w:bCs/>
                <w:color w:val="000000"/>
                <w:sz w:val="20"/>
                <w:lang w:eastAsia="es-CR"/>
              </w:rPr>
            </w:pPr>
          </w:p>
        </w:tc>
        <w:tc>
          <w:tcPr>
            <w:tcW w:w="1155" w:type="dxa"/>
            <w:tcBorders>
              <w:top w:val="single" w:sz="4" w:space="0" w:color="auto"/>
              <w:left w:val="nil"/>
              <w:bottom w:val="single" w:sz="4" w:space="0" w:color="auto"/>
              <w:right w:val="single" w:sz="4" w:space="0" w:color="auto"/>
            </w:tcBorders>
            <w:shd w:val="clear" w:color="auto" w:fill="auto"/>
            <w:vAlign w:val="center"/>
          </w:tcPr>
          <w:p w14:paraId="0CB7528E" w14:textId="77777777" w:rsidR="00F53B9E" w:rsidRPr="004E74A6" w:rsidRDefault="00F53B9E" w:rsidP="00832773">
            <w:pPr>
              <w:spacing w:line="276" w:lineRule="auto"/>
              <w:jc w:val="center"/>
              <w:rPr>
                <w:rFonts w:cs="Calibri"/>
                <w:b/>
                <w:bCs/>
                <w:color w:val="000000"/>
                <w:sz w:val="20"/>
                <w:lang w:eastAsia="es-CR"/>
              </w:rPr>
            </w:pPr>
          </w:p>
        </w:tc>
        <w:tc>
          <w:tcPr>
            <w:tcW w:w="1075" w:type="dxa"/>
            <w:tcBorders>
              <w:top w:val="single" w:sz="4" w:space="0" w:color="auto"/>
              <w:left w:val="nil"/>
              <w:bottom w:val="single" w:sz="4" w:space="0" w:color="auto"/>
              <w:right w:val="single" w:sz="4" w:space="0" w:color="auto"/>
            </w:tcBorders>
            <w:shd w:val="clear" w:color="auto" w:fill="auto"/>
            <w:vAlign w:val="center"/>
          </w:tcPr>
          <w:p w14:paraId="6FE6C9C8" w14:textId="77777777" w:rsidR="00F53B9E" w:rsidRPr="004E74A6" w:rsidRDefault="00F53B9E" w:rsidP="00832773">
            <w:pPr>
              <w:spacing w:line="276" w:lineRule="auto"/>
              <w:jc w:val="center"/>
              <w:rPr>
                <w:rFonts w:cs="Calibri"/>
                <w:b/>
                <w:bCs/>
                <w:color w:val="000000"/>
                <w:sz w:val="20"/>
                <w:lang w:eastAsia="es-CR"/>
              </w:rPr>
            </w:pPr>
          </w:p>
        </w:tc>
        <w:tc>
          <w:tcPr>
            <w:tcW w:w="1738" w:type="dxa"/>
            <w:tcBorders>
              <w:top w:val="single" w:sz="4" w:space="0" w:color="auto"/>
              <w:left w:val="nil"/>
              <w:bottom w:val="single" w:sz="4" w:space="0" w:color="auto"/>
              <w:right w:val="single" w:sz="4" w:space="0" w:color="auto"/>
            </w:tcBorders>
            <w:shd w:val="clear" w:color="000000" w:fill="F2F2F2"/>
            <w:vAlign w:val="center"/>
          </w:tcPr>
          <w:p w14:paraId="03D7E057" w14:textId="2D6902A9" w:rsidR="00F53B9E" w:rsidRPr="004E74A6" w:rsidRDefault="00F53B9E" w:rsidP="00832773">
            <w:pPr>
              <w:spacing w:line="276" w:lineRule="auto"/>
              <w:jc w:val="center"/>
              <w:rPr>
                <w:rFonts w:cs="Calibri"/>
                <w:b/>
                <w:bCs/>
                <w:color w:val="000000"/>
                <w:sz w:val="20"/>
                <w:lang w:eastAsia="es-CR"/>
              </w:rPr>
            </w:pPr>
            <w:r w:rsidRPr="004E74A6">
              <w:rPr>
                <w:rFonts w:cs="Calibri"/>
                <w:b/>
                <w:bCs/>
                <w:color w:val="000000"/>
                <w:sz w:val="20"/>
                <w:lang w:eastAsia="es-CR"/>
              </w:rPr>
              <w:t>55%</w:t>
            </w:r>
          </w:p>
        </w:tc>
        <w:tc>
          <w:tcPr>
            <w:tcW w:w="1107" w:type="dxa"/>
            <w:tcBorders>
              <w:top w:val="single" w:sz="4" w:space="0" w:color="auto"/>
              <w:left w:val="nil"/>
              <w:bottom w:val="single" w:sz="4" w:space="0" w:color="auto"/>
              <w:right w:val="single" w:sz="4" w:space="0" w:color="auto"/>
            </w:tcBorders>
            <w:shd w:val="clear" w:color="auto" w:fill="auto"/>
            <w:noWrap/>
            <w:vAlign w:val="center"/>
          </w:tcPr>
          <w:p w14:paraId="0BC625A0" w14:textId="2493F2A0" w:rsidR="00F53B9E" w:rsidRPr="004E74A6" w:rsidRDefault="00F53B9E" w:rsidP="00832773">
            <w:pPr>
              <w:spacing w:line="276" w:lineRule="auto"/>
              <w:jc w:val="center"/>
              <w:rPr>
                <w:rFonts w:cs="Calibri"/>
                <w:b/>
                <w:bCs/>
                <w:color w:val="000000"/>
                <w:sz w:val="20"/>
                <w:lang w:eastAsia="es-CR"/>
              </w:rPr>
            </w:pPr>
            <w:r w:rsidRPr="004E74A6">
              <w:rPr>
                <w:rFonts w:cs="Calibri"/>
                <w:b/>
                <w:bCs/>
                <w:color w:val="000000"/>
                <w:sz w:val="20"/>
                <w:lang w:eastAsia="es-CR"/>
              </w:rPr>
              <w:t>31,4</w:t>
            </w:r>
          </w:p>
        </w:tc>
        <w:tc>
          <w:tcPr>
            <w:tcW w:w="2070" w:type="dxa"/>
            <w:gridSpan w:val="2"/>
            <w:tcBorders>
              <w:top w:val="single" w:sz="4" w:space="0" w:color="auto"/>
              <w:left w:val="nil"/>
              <w:bottom w:val="single" w:sz="4" w:space="0" w:color="auto"/>
              <w:right w:val="nil"/>
            </w:tcBorders>
            <w:vAlign w:val="center"/>
          </w:tcPr>
          <w:p w14:paraId="43580B9A" w14:textId="46FC8588" w:rsidR="00F53B9E" w:rsidRPr="004E74A6" w:rsidRDefault="00F53B9E" w:rsidP="00832773">
            <w:pPr>
              <w:spacing w:line="276" w:lineRule="auto"/>
              <w:jc w:val="center"/>
              <w:rPr>
                <w:rFonts w:cs="Calibri"/>
                <w:b/>
                <w:bCs/>
                <w:color w:val="000000"/>
                <w:sz w:val="20"/>
                <w:lang w:eastAsia="es-CR"/>
              </w:rPr>
            </w:pPr>
            <w:r w:rsidRPr="004E74A6">
              <w:rPr>
                <w:rFonts w:cs="Calibri"/>
                <w:b/>
                <w:bCs/>
                <w:color w:val="000000"/>
                <w:sz w:val="20"/>
                <w:lang w:eastAsia="es-CR"/>
              </w:rPr>
              <w:t>14</w:t>
            </w:r>
          </w:p>
        </w:tc>
        <w:tc>
          <w:tcPr>
            <w:tcW w:w="2287" w:type="dxa"/>
            <w:tcBorders>
              <w:top w:val="single" w:sz="4" w:space="0" w:color="auto"/>
              <w:left w:val="nil"/>
              <w:bottom w:val="single" w:sz="4" w:space="0" w:color="auto"/>
            </w:tcBorders>
            <w:shd w:val="clear" w:color="auto" w:fill="auto"/>
            <w:noWrap/>
            <w:vAlign w:val="center"/>
          </w:tcPr>
          <w:p w14:paraId="440EEC20" w14:textId="385C4B8D" w:rsidR="00F53B9E" w:rsidRPr="004E74A6" w:rsidRDefault="000F6981" w:rsidP="00832773">
            <w:pPr>
              <w:spacing w:line="276" w:lineRule="auto"/>
              <w:jc w:val="center"/>
              <w:rPr>
                <w:rFonts w:cs="Calibri"/>
                <w:b/>
                <w:bCs/>
                <w:color w:val="000000"/>
                <w:sz w:val="20"/>
                <w:lang w:eastAsia="es-CR"/>
              </w:rPr>
            </w:pPr>
            <w:r w:rsidRPr="004E74A6">
              <w:rPr>
                <w:rFonts w:cs="Calibri"/>
                <w:b/>
                <w:bCs/>
                <w:color w:val="000000"/>
                <w:sz w:val="20"/>
                <w:lang w:eastAsia="es-CR"/>
              </w:rPr>
              <w:t>18</w:t>
            </w:r>
          </w:p>
        </w:tc>
      </w:tr>
    </w:tbl>
    <w:p w14:paraId="2217EEB3" w14:textId="77777777" w:rsidR="00C51D8E" w:rsidRPr="004E74A6" w:rsidRDefault="00C51D8E" w:rsidP="00832773">
      <w:pPr>
        <w:spacing w:line="276" w:lineRule="auto"/>
        <w:ind w:right="57"/>
        <w:rPr>
          <w:rFonts w:cs="Calibri"/>
          <w:i/>
          <w:iCs/>
          <w:color w:val="000000"/>
          <w:sz w:val="20"/>
          <w:lang w:eastAsia="es-CR"/>
        </w:rPr>
      </w:pPr>
      <w:r w:rsidRPr="004E74A6">
        <w:rPr>
          <w:rFonts w:cs="Calibri"/>
          <w:b/>
          <w:bCs/>
          <w:i/>
          <w:iCs/>
          <w:color w:val="000000"/>
          <w:sz w:val="20"/>
          <w:lang w:eastAsia="es-CR"/>
        </w:rPr>
        <w:t>Fuente</w:t>
      </w:r>
      <w:r w:rsidRPr="004E74A6">
        <w:rPr>
          <w:rFonts w:cs="Calibri"/>
          <w:i/>
          <w:iCs/>
          <w:color w:val="000000"/>
          <w:sz w:val="20"/>
          <w:lang w:eastAsia="es-CR"/>
        </w:rPr>
        <w:t>: Subproceso de Modernización Institucional con datos extraídos del sistema SIGMA, Dirección de Planificación.</w:t>
      </w:r>
    </w:p>
    <w:p w14:paraId="59EC45D2" w14:textId="77777777" w:rsidR="00C51D8E" w:rsidRPr="004E74A6" w:rsidRDefault="00C51D8E" w:rsidP="00CE62C1">
      <w:pPr>
        <w:spacing w:after="160" w:line="276" w:lineRule="auto"/>
        <w:rPr>
          <w:rFonts w:cs="Calibri"/>
          <w:color w:val="000000"/>
          <w:szCs w:val="24"/>
          <w:lang w:eastAsia="es-CR"/>
        </w:rPr>
      </w:pPr>
    </w:p>
    <w:p w14:paraId="28BEBEB0" w14:textId="77777777" w:rsidR="00357FBD" w:rsidRPr="004E74A6" w:rsidRDefault="00357FBD" w:rsidP="00CE62C1">
      <w:pPr>
        <w:spacing w:after="160" w:line="276" w:lineRule="auto"/>
        <w:rPr>
          <w:rFonts w:cs="Calibri"/>
          <w:color w:val="000000"/>
          <w:szCs w:val="24"/>
          <w:lang w:eastAsia="es-CR"/>
        </w:rPr>
        <w:sectPr w:rsidR="00357FBD" w:rsidRPr="004E74A6" w:rsidSect="00357FBD">
          <w:pgSz w:w="15842" w:h="12242" w:orient="landscape" w:code="1"/>
          <w:pgMar w:top="1701" w:right="2268" w:bottom="1701" w:left="1134" w:header="709" w:footer="709" w:gutter="0"/>
          <w:cols w:space="708"/>
          <w:docGrid w:linePitch="360"/>
        </w:sectPr>
      </w:pPr>
    </w:p>
    <w:p w14:paraId="753A38BD" w14:textId="77777777" w:rsidR="009015F9" w:rsidRPr="004E74A6" w:rsidRDefault="009015F9" w:rsidP="00CE62C1">
      <w:pPr>
        <w:pStyle w:val="Estilo3"/>
      </w:pPr>
      <w:r w:rsidRPr="004E74A6">
        <w:lastRenderedPageBreak/>
        <w:t>Juzgados Civiles</w:t>
      </w:r>
    </w:p>
    <w:p w14:paraId="559F8E64" w14:textId="09FCE64B" w:rsidR="009015F9" w:rsidRPr="004E74A6" w:rsidRDefault="009015F9" w:rsidP="00CE62C1">
      <w:pPr>
        <w:spacing w:after="160" w:line="276" w:lineRule="auto"/>
      </w:pPr>
      <w:r w:rsidRPr="004E74A6">
        <w:rPr>
          <w:rFonts w:cs="Calibri"/>
          <w:color w:val="000000"/>
          <w:szCs w:val="24"/>
          <w:lang w:eastAsia="es-CR"/>
        </w:rPr>
        <w:t xml:space="preserve">Se analizará el impacto en Juzgados Civiles, que se verían impactados únicamente con el </w:t>
      </w:r>
      <w:r w:rsidRPr="004E74A6">
        <w:rPr>
          <w:rFonts w:cs="Calibri"/>
          <w:b/>
          <w:bCs/>
          <w:color w:val="000000"/>
          <w:szCs w:val="24"/>
          <w:u w:val="single"/>
          <w:lang w:eastAsia="es-CR"/>
        </w:rPr>
        <w:t>escenario A.1</w:t>
      </w:r>
      <w:r w:rsidRPr="004E74A6">
        <w:rPr>
          <w:rFonts w:cs="Calibri"/>
          <w:color w:val="000000"/>
          <w:szCs w:val="24"/>
          <w:lang w:eastAsia="es-CR"/>
        </w:rPr>
        <w:t xml:space="preserve">, ya que actualmente conocen procesos </w:t>
      </w:r>
      <w:r w:rsidR="00097A20" w:rsidRPr="004E74A6">
        <w:rPr>
          <w:rFonts w:cs="Calibri"/>
          <w:color w:val="000000"/>
          <w:szCs w:val="24"/>
          <w:lang w:eastAsia="es-CR"/>
        </w:rPr>
        <w:t>ordinarios,</w:t>
      </w:r>
      <w:r w:rsidRPr="004E74A6">
        <w:rPr>
          <w:rFonts w:cs="Calibri"/>
          <w:color w:val="000000"/>
          <w:szCs w:val="24"/>
          <w:lang w:eastAsia="es-CR"/>
        </w:rPr>
        <w:t xml:space="preserve"> pero solamente de </w:t>
      </w:r>
      <w:r w:rsidRPr="004E74A6">
        <w:rPr>
          <w:rFonts w:ascii="Times New Roman" w:hAnsi="Times New Roman"/>
          <w:lang w:eastAsia="es-CR"/>
        </w:rPr>
        <w:t>₡</w:t>
      </w:r>
      <w:r w:rsidRPr="004E74A6">
        <w:t xml:space="preserve">3.000.000 o menos, y pasarían a conocer los que se estimen de </w:t>
      </w:r>
      <w:r w:rsidRPr="004E74A6">
        <w:rPr>
          <w:rFonts w:ascii="Times New Roman" w:hAnsi="Times New Roman"/>
          <w:lang w:eastAsia="es-CR"/>
        </w:rPr>
        <w:t>₡</w:t>
      </w:r>
      <w:r w:rsidRPr="004E74A6">
        <w:t xml:space="preserve">1 hasta </w:t>
      </w:r>
      <w:r w:rsidRPr="004E74A6">
        <w:rPr>
          <w:rFonts w:ascii="Times New Roman" w:hAnsi="Times New Roman"/>
          <w:lang w:eastAsia="es-CR"/>
        </w:rPr>
        <w:t>₡20</w:t>
      </w:r>
      <w:r w:rsidRPr="004E74A6">
        <w:t xml:space="preserve">.000.000. El dato de los 20 millones es únicamente como ejemplo, ya que dependerá de lo que acuerde finalmente la Corte Plena. </w:t>
      </w:r>
    </w:p>
    <w:p w14:paraId="6526632C" w14:textId="3BA8FE04" w:rsidR="009015F9" w:rsidRPr="004E74A6" w:rsidRDefault="007543A0" w:rsidP="00CE62C1">
      <w:pPr>
        <w:spacing w:after="160" w:line="276" w:lineRule="auto"/>
        <w:rPr>
          <w:rFonts w:cs="Calibri"/>
          <w:color w:val="000000"/>
          <w:szCs w:val="24"/>
          <w:lang w:eastAsia="es-CR"/>
        </w:rPr>
      </w:pPr>
      <w:r w:rsidRPr="004E74A6">
        <w:rPr>
          <w:rFonts w:cs="Calibri"/>
          <w:color w:val="000000"/>
          <w:szCs w:val="24"/>
          <w:lang w:eastAsia="es-CR"/>
        </w:rPr>
        <w:t>Ante la dificultad técnica de conocer la locación de cada expediente, para así realizar la distribución correspondiente por competencia de aquellos asuntos que se trasladarían de los Tribunales Colegiados de Primera Instancia Civil hacia los Juzgados que atienden materia civil, es que se presentan las tablas 50 y 51, las cuales contienen la metodología de promedio simple y promedio ponderado, respectivamente, para hacer la distribución de asuntos.</w:t>
      </w:r>
    </w:p>
    <w:p w14:paraId="750ECE42" w14:textId="77777777" w:rsidR="00EA3081" w:rsidRDefault="00EA3081" w:rsidP="00F0204A">
      <w:pPr>
        <w:pStyle w:val="Descripcin"/>
        <w:keepNext/>
        <w:spacing w:line="276" w:lineRule="auto"/>
        <w:jc w:val="center"/>
        <w:rPr>
          <w:rFonts w:ascii="Book Antiqua" w:hAnsi="Book Antiqua"/>
          <w:i/>
          <w:iCs/>
          <w:sz w:val="20"/>
          <w:szCs w:val="16"/>
          <w:lang w:val="es-CR"/>
        </w:rPr>
      </w:pPr>
    </w:p>
    <w:p w14:paraId="7B9A4909" w14:textId="540BA636" w:rsidR="00552603" w:rsidRDefault="00552603" w:rsidP="00F0204A">
      <w:pPr>
        <w:pStyle w:val="Descripcin"/>
        <w:keepNext/>
        <w:spacing w:line="276" w:lineRule="auto"/>
        <w:jc w:val="center"/>
        <w:rPr>
          <w:rFonts w:ascii="Book Antiqua" w:hAnsi="Book Antiqua"/>
          <w:i/>
          <w:iCs/>
          <w:sz w:val="20"/>
          <w:szCs w:val="16"/>
          <w:lang w:val="es-CR"/>
        </w:rPr>
      </w:pPr>
      <w:r w:rsidRPr="00832773">
        <w:rPr>
          <w:rFonts w:ascii="Book Antiqua" w:hAnsi="Book Antiqua"/>
          <w:i/>
          <w:iCs/>
          <w:sz w:val="20"/>
          <w:szCs w:val="16"/>
          <w:lang w:val="es-CR"/>
        </w:rPr>
        <w:t xml:space="preserve">Tabla </w:t>
      </w:r>
      <w:r w:rsidRPr="00832773">
        <w:rPr>
          <w:rFonts w:ascii="Book Antiqua" w:hAnsi="Book Antiqua"/>
          <w:i/>
          <w:iCs/>
          <w:sz w:val="20"/>
          <w:szCs w:val="16"/>
          <w:lang w:val="es-CR"/>
        </w:rPr>
        <w:fldChar w:fldCharType="begin"/>
      </w:r>
      <w:r w:rsidRPr="00832773">
        <w:rPr>
          <w:rFonts w:ascii="Book Antiqua" w:hAnsi="Book Antiqua"/>
          <w:i/>
          <w:iCs/>
          <w:sz w:val="20"/>
          <w:szCs w:val="16"/>
          <w:lang w:val="es-CR"/>
        </w:rPr>
        <w:instrText xml:space="preserve"> SEQ Tabla \* ARABIC </w:instrText>
      </w:r>
      <w:r w:rsidRPr="00832773">
        <w:rPr>
          <w:rFonts w:ascii="Book Antiqua" w:hAnsi="Book Antiqua"/>
          <w:i/>
          <w:iCs/>
          <w:sz w:val="20"/>
          <w:szCs w:val="16"/>
          <w:lang w:val="es-CR"/>
        </w:rPr>
        <w:fldChar w:fldCharType="separate"/>
      </w:r>
      <w:r w:rsidR="00374B51">
        <w:rPr>
          <w:rFonts w:ascii="Book Antiqua" w:hAnsi="Book Antiqua"/>
          <w:i/>
          <w:iCs/>
          <w:noProof/>
          <w:sz w:val="20"/>
          <w:szCs w:val="16"/>
          <w:lang w:val="es-CR"/>
        </w:rPr>
        <w:t>50</w:t>
      </w:r>
      <w:r w:rsidRPr="00832773">
        <w:rPr>
          <w:rFonts w:ascii="Book Antiqua" w:hAnsi="Book Antiqua"/>
          <w:i/>
          <w:iCs/>
          <w:sz w:val="20"/>
          <w:szCs w:val="16"/>
          <w:lang w:val="es-CR"/>
        </w:rPr>
        <w:fldChar w:fldCharType="end"/>
      </w:r>
      <w:r w:rsidRPr="00832773">
        <w:rPr>
          <w:rFonts w:ascii="Book Antiqua" w:hAnsi="Book Antiqua"/>
          <w:i/>
          <w:iCs/>
          <w:sz w:val="20"/>
          <w:szCs w:val="16"/>
          <w:lang w:val="es-CR"/>
        </w:rPr>
        <w:t xml:space="preserve"> Proyección</w:t>
      </w:r>
      <w:r w:rsidR="006871BE" w:rsidRPr="00832773">
        <w:rPr>
          <w:rStyle w:val="Refdenotaalpie"/>
          <w:rFonts w:ascii="Book Antiqua" w:hAnsi="Book Antiqua"/>
          <w:i/>
          <w:iCs/>
          <w:sz w:val="20"/>
          <w:szCs w:val="16"/>
          <w:lang w:val="es-CR"/>
        </w:rPr>
        <w:footnoteReference w:id="17"/>
      </w:r>
      <w:r w:rsidRPr="00832773">
        <w:rPr>
          <w:rFonts w:ascii="Book Antiqua" w:hAnsi="Book Antiqua"/>
          <w:i/>
          <w:iCs/>
          <w:sz w:val="20"/>
          <w:szCs w:val="16"/>
          <w:lang w:val="es-CR"/>
        </w:rPr>
        <w:t xml:space="preserve"> de la entrada de los Juzgados Civiles al recibir lo correspondiente a los Tribunales de Primera Instancia Civil. Entradas Anuales promedio</w:t>
      </w:r>
      <w:r w:rsidR="007543A0" w:rsidRPr="00832773">
        <w:rPr>
          <w:rFonts w:ascii="Book Antiqua" w:hAnsi="Book Antiqua"/>
          <w:i/>
          <w:iCs/>
          <w:sz w:val="20"/>
          <w:szCs w:val="16"/>
          <w:lang w:val="es-CR"/>
        </w:rPr>
        <w:t>. Promedio simple</w:t>
      </w:r>
    </w:p>
    <w:p w14:paraId="5DF43AF6" w14:textId="77777777" w:rsidR="00EA3081" w:rsidRPr="00EA3081" w:rsidRDefault="00EA3081" w:rsidP="00EA3081"/>
    <w:tbl>
      <w:tblPr>
        <w:tblW w:w="10966" w:type="dxa"/>
        <w:tblInd w:w="-851" w:type="dxa"/>
        <w:tblCellMar>
          <w:left w:w="70" w:type="dxa"/>
          <w:right w:w="70" w:type="dxa"/>
        </w:tblCellMar>
        <w:tblLook w:val="04A0" w:firstRow="1" w:lastRow="0" w:firstColumn="1" w:lastColumn="0" w:noHBand="0" w:noVBand="1"/>
      </w:tblPr>
      <w:tblGrid>
        <w:gridCol w:w="2835"/>
        <w:gridCol w:w="1700"/>
        <w:gridCol w:w="2695"/>
        <w:gridCol w:w="1559"/>
        <w:gridCol w:w="2177"/>
      </w:tblGrid>
      <w:tr w:rsidR="00A46718" w:rsidRPr="004E74A6" w14:paraId="722FA832" w14:textId="77777777" w:rsidTr="00EB102E">
        <w:trPr>
          <w:trHeight w:val="1080"/>
          <w:tblHeader/>
        </w:trPr>
        <w:tc>
          <w:tcPr>
            <w:tcW w:w="2835" w:type="dxa"/>
            <w:vMerge w:val="restart"/>
            <w:tcBorders>
              <w:top w:val="single" w:sz="8" w:space="0" w:color="auto"/>
              <w:left w:val="nil"/>
              <w:bottom w:val="single" w:sz="8" w:space="0" w:color="000000"/>
              <w:right w:val="single" w:sz="8" w:space="0" w:color="auto"/>
            </w:tcBorders>
            <w:shd w:val="clear" w:color="000000" w:fill="D9D9D9"/>
            <w:vAlign w:val="center"/>
            <w:hideMark/>
          </w:tcPr>
          <w:p w14:paraId="4F14D60F" w14:textId="77777777" w:rsidR="00566C6E" w:rsidRPr="004E74A6" w:rsidRDefault="00566C6E" w:rsidP="00832773">
            <w:pPr>
              <w:spacing w:after="240" w:line="276" w:lineRule="auto"/>
              <w:jc w:val="center"/>
              <w:rPr>
                <w:rFonts w:cs="Calibri"/>
                <w:color w:val="000000"/>
                <w:sz w:val="20"/>
                <w:lang w:eastAsia="es-CR"/>
              </w:rPr>
            </w:pPr>
            <w:r w:rsidRPr="004E74A6">
              <w:rPr>
                <w:rFonts w:cs="Calibri"/>
                <w:color w:val="000000"/>
                <w:sz w:val="20"/>
                <w:lang w:eastAsia="es-CR"/>
              </w:rPr>
              <w:t>Juzgados</w:t>
            </w:r>
          </w:p>
        </w:tc>
        <w:tc>
          <w:tcPr>
            <w:tcW w:w="1700" w:type="dxa"/>
            <w:tcBorders>
              <w:top w:val="single" w:sz="8" w:space="0" w:color="auto"/>
              <w:left w:val="nil"/>
              <w:right w:val="single" w:sz="8" w:space="0" w:color="auto"/>
            </w:tcBorders>
            <w:shd w:val="clear" w:color="000000" w:fill="D9D9D9"/>
            <w:vAlign w:val="center"/>
            <w:hideMark/>
          </w:tcPr>
          <w:p w14:paraId="6D64E2E6" w14:textId="30A046B7" w:rsidR="00566C6E" w:rsidRPr="004E74A6" w:rsidRDefault="00566C6E" w:rsidP="00832773">
            <w:pPr>
              <w:spacing w:after="240" w:line="276" w:lineRule="auto"/>
              <w:jc w:val="center"/>
              <w:rPr>
                <w:rFonts w:cs="Calibri"/>
                <w:color w:val="000000"/>
                <w:sz w:val="20"/>
                <w:lang w:eastAsia="es-CR"/>
              </w:rPr>
            </w:pPr>
            <w:r w:rsidRPr="004E74A6">
              <w:rPr>
                <w:rFonts w:cs="Calibri"/>
                <w:color w:val="000000"/>
                <w:sz w:val="20"/>
                <w:lang w:eastAsia="es-CR"/>
              </w:rPr>
              <w:t xml:space="preserve">Entrada </w:t>
            </w:r>
            <w:r w:rsidR="00986D8C" w:rsidRPr="004E74A6">
              <w:rPr>
                <w:rFonts w:cs="Calibri"/>
                <w:color w:val="000000"/>
                <w:sz w:val="20"/>
                <w:lang w:eastAsia="es-CR"/>
              </w:rPr>
              <w:t xml:space="preserve">civil </w:t>
            </w:r>
            <w:r w:rsidRPr="004E74A6">
              <w:rPr>
                <w:rFonts w:cs="Calibri"/>
                <w:color w:val="000000"/>
                <w:sz w:val="20"/>
                <w:lang w:eastAsia="es-CR"/>
              </w:rPr>
              <w:t>actual (todas las clases de asunto) en los Juzgados</w:t>
            </w:r>
          </w:p>
        </w:tc>
        <w:tc>
          <w:tcPr>
            <w:tcW w:w="2695" w:type="dxa"/>
            <w:tcBorders>
              <w:top w:val="single" w:sz="8" w:space="0" w:color="auto"/>
              <w:left w:val="nil"/>
              <w:right w:val="single" w:sz="4" w:space="0" w:color="auto"/>
            </w:tcBorders>
            <w:shd w:val="clear" w:color="000000" w:fill="D9D9D9"/>
            <w:vAlign w:val="center"/>
            <w:hideMark/>
          </w:tcPr>
          <w:p w14:paraId="52618F82" w14:textId="77777777" w:rsidR="00566C6E" w:rsidRPr="004E74A6" w:rsidRDefault="00566C6E" w:rsidP="00832773">
            <w:pPr>
              <w:spacing w:after="240" w:line="276" w:lineRule="auto"/>
              <w:jc w:val="center"/>
              <w:rPr>
                <w:rFonts w:cs="Calibri"/>
                <w:color w:val="000000"/>
                <w:sz w:val="20"/>
                <w:lang w:eastAsia="es-CR"/>
              </w:rPr>
            </w:pPr>
            <w:r w:rsidRPr="004E74A6">
              <w:rPr>
                <w:rFonts w:cs="Calibri"/>
                <w:color w:val="000000"/>
                <w:sz w:val="20"/>
                <w:lang w:eastAsia="es-CR"/>
              </w:rPr>
              <w:t xml:space="preserve">Entrada actual de los Tribunales Colegiados de Primera Instancia Civil, procedimiento ordinario en el rango de </w:t>
            </w:r>
            <w:r w:rsidRPr="004E74A6">
              <w:rPr>
                <w:rFonts w:ascii="Times New Roman" w:hAnsi="Times New Roman"/>
                <w:color w:val="000000"/>
                <w:sz w:val="20"/>
                <w:lang w:eastAsia="es-CR"/>
              </w:rPr>
              <w:t>₡</w:t>
            </w:r>
            <w:r w:rsidRPr="004E74A6">
              <w:rPr>
                <w:rFonts w:cs="Calibri"/>
                <w:color w:val="000000"/>
                <w:sz w:val="20"/>
                <w:lang w:eastAsia="es-CR"/>
              </w:rPr>
              <w:t xml:space="preserve">1 hasta </w:t>
            </w:r>
            <w:r w:rsidRPr="004E74A6">
              <w:rPr>
                <w:rFonts w:ascii="Times New Roman" w:hAnsi="Times New Roman"/>
                <w:color w:val="000000"/>
                <w:sz w:val="20"/>
                <w:lang w:eastAsia="es-CR"/>
              </w:rPr>
              <w:t>₡</w:t>
            </w:r>
            <w:r w:rsidRPr="004E74A6">
              <w:rPr>
                <w:rFonts w:cs="Calibri"/>
                <w:color w:val="000000"/>
                <w:sz w:val="20"/>
                <w:lang w:eastAsia="es-CR"/>
              </w:rPr>
              <w:t>20.000.000</w:t>
            </w:r>
          </w:p>
        </w:tc>
        <w:tc>
          <w:tcPr>
            <w:tcW w:w="1559" w:type="dxa"/>
            <w:tcBorders>
              <w:top w:val="single" w:sz="8" w:space="0" w:color="auto"/>
              <w:left w:val="single" w:sz="4" w:space="0" w:color="auto"/>
              <w:right w:val="single" w:sz="8" w:space="0" w:color="auto"/>
            </w:tcBorders>
            <w:shd w:val="clear" w:color="000000" w:fill="D9D9D9"/>
            <w:vAlign w:val="center"/>
            <w:hideMark/>
          </w:tcPr>
          <w:p w14:paraId="03CB551B" w14:textId="77777777" w:rsidR="00566C6E" w:rsidRPr="004E74A6" w:rsidRDefault="00566C6E" w:rsidP="00832773">
            <w:pPr>
              <w:spacing w:after="240" w:line="276" w:lineRule="auto"/>
              <w:jc w:val="center"/>
              <w:rPr>
                <w:rFonts w:cs="Calibri"/>
                <w:color w:val="000000"/>
                <w:sz w:val="20"/>
                <w:lang w:eastAsia="es-CR"/>
              </w:rPr>
            </w:pPr>
            <w:r w:rsidRPr="004E74A6">
              <w:rPr>
                <w:rFonts w:cs="Calibri"/>
                <w:color w:val="000000"/>
                <w:sz w:val="20"/>
                <w:lang w:eastAsia="es-CR"/>
              </w:rPr>
              <w:t>Entrada proyectada anual en Juzgados Civiles</w:t>
            </w:r>
          </w:p>
        </w:tc>
        <w:tc>
          <w:tcPr>
            <w:tcW w:w="2177" w:type="dxa"/>
            <w:tcBorders>
              <w:top w:val="single" w:sz="8" w:space="0" w:color="auto"/>
              <w:left w:val="single" w:sz="8" w:space="0" w:color="auto"/>
              <w:right w:val="nil"/>
            </w:tcBorders>
            <w:shd w:val="clear" w:color="000000" w:fill="D9D9D9"/>
            <w:vAlign w:val="center"/>
            <w:hideMark/>
          </w:tcPr>
          <w:p w14:paraId="793E36F8" w14:textId="77777777" w:rsidR="00566C6E" w:rsidRPr="004E74A6" w:rsidRDefault="00566C6E" w:rsidP="00832773">
            <w:pPr>
              <w:spacing w:after="240" w:line="276" w:lineRule="auto"/>
              <w:jc w:val="center"/>
              <w:rPr>
                <w:rFonts w:cs="Calibri"/>
                <w:color w:val="000000"/>
                <w:sz w:val="20"/>
                <w:lang w:eastAsia="es-CR"/>
              </w:rPr>
            </w:pPr>
            <w:r w:rsidRPr="004E74A6">
              <w:rPr>
                <w:rFonts w:cs="Calibri"/>
                <w:color w:val="000000"/>
                <w:sz w:val="20"/>
                <w:lang w:eastAsia="es-CR"/>
              </w:rPr>
              <w:t xml:space="preserve">Diferencia/incremento en la entrada de los Juzgados Civiles </w:t>
            </w:r>
          </w:p>
          <w:p w14:paraId="2A8CAF59" w14:textId="7C634F37" w:rsidR="00566C6E" w:rsidRPr="004E74A6" w:rsidRDefault="00566C6E" w:rsidP="00832773">
            <w:pPr>
              <w:spacing w:after="240" w:line="276" w:lineRule="auto"/>
              <w:jc w:val="center"/>
              <w:rPr>
                <w:rFonts w:cs="Calibri"/>
                <w:color w:val="000000"/>
                <w:sz w:val="20"/>
                <w:lang w:eastAsia="es-CR"/>
              </w:rPr>
            </w:pPr>
          </w:p>
        </w:tc>
      </w:tr>
      <w:tr w:rsidR="004843E0" w:rsidRPr="004E74A6" w14:paraId="0F004EAE" w14:textId="77777777" w:rsidTr="00EB102E">
        <w:trPr>
          <w:trHeight w:val="300"/>
        </w:trPr>
        <w:tc>
          <w:tcPr>
            <w:tcW w:w="2835" w:type="dxa"/>
            <w:vMerge/>
            <w:tcBorders>
              <w:top w:val="single" w:sz="8" w:space="0" w:color="auto"/>
              <w:left w:val="nil"/>
              <w:right w:val="single" w:sz="4" w:space="0" w:color="auto"/>
            </w:tcBorders>
            <w:vAlign w:val="center"/>
            <w:hideMark/>
          </w:tcPr>
          <w:p w14:paraId="29546F37" w14:textId="77777777" w:rsidR="00566C6E" w:rsidRPr="004E74A6" w:rsidRDefault="00566C6E" w:rsidP="00832773">
            <w:pPr>
              <w:spacing w:after="240" w:line="276" w:lineRule="auto"/>
              <w:jc w:val="left"/>
              <w:rPr>
                <w:rFonts w:cs="Calibri"/>
                <w:color w:val="000000"/>
                <w:sz w:val="20"/>
                <w:lang w:eastAsia="es-CR"/>
              </w:rPr>
            </w:pPr>
          </w:p>
        </w:tc>
        <w:tc>
          <w:tcPr>
            <w:tcW w:w="1700" w:type="dxa"/>
            <w:tcBorders>
              <w:left w:val="single" w:sz="4" w:space="0" w:color="auto"/>
              <w:right w:val="single" w:sz="4" w:space="0" w:color="auto"/>
            </w:tcBorders>
            <w:shd w:val="clear" w:color="000000" w:fill="D9D9D9"/>
            <w:vAlign w:val="center"/>
            <w:hideMark/>
          </w:tcPr>
          <w:p w14:paraId="273B5DEF" w14:textId="77777777" w:rsidR="00566C6E" w:rsidRPr="004E74A6" w:rsidRDefault="00566C6E" w:rsidP="00832773">
            <w:pPr>
              <w:spacing w:after="240" w:line="276" w:lineRule="auto"/>
              <w:jc w:val="center"/>
              <w:rPr>
                <w:rFonts w:cs="Calibri"/>
                <w:color w:val="000000"/>
                <w:sz w:val="20"/>
                <w:lang w:eastAsia="es-CR"/>
              </w:rPr>
            </w:pPr>
            <w:r w:rsidRPr="004E74A6">
              <w:rPr>
                <w:rFonts w:cs="Calibri"/>
                <w:color w:val="000000"/>
                <w:sz w:val="20"/>
                <w:lang w:eastAsia="es-CR"/>
              </w:rPr>
              <w:t>(a)</w:t>
            </w:r>
          </w:p>
        </w:tc>
        <w:tc>
          <w:tcPr>
            <w:tcW w:w="2695" w:type="dxa"/>
            <w:tcBorders>
              <w:left w:val="single" w:sz="4" w:space="0" w:color="auto"/>
              <w:right w:val="single" w:sz="4" w:space="0" w:color="auto"/>
            </w:tcBorders>
            <w:shd w:val="clear" w:color="000000" w:fill="D9D9D9"/>
            <w:vAlign w:val="center"/>
            <w:hideMark/>
          </w:tcPr>
          <w:p w14:paraId="2B8F6235" w14:textId="5F6C2040" w:rsidR="00566C6E" w:rsidRPr="004E74A6" w:rsidRDefault="00566C6E" w:rsidP="00832773">
            <w:pPr>
              <w:spacing w:after="240" w:line="276" w:lineRule="auto"/>
              <w:jc w:val="center"/>
              <w:rPr>
                <w:rFonts w:cs="Calibri"/>
                <w:color w:val="0563C1"/>
                <w:sz w:val="20"/>
                <w:u w:val="single"/>
                <w:lang w:eastAsia="es-CR"/>
              </w:rPr>
            </w:pPr>
            <w:r w:rsidRPr="004E74A6">
              <w:rPr>
                <w:rFonts w:cs="Calibri"/>
                <w:color w:val="000000"/>
                <w:sz w:val="20"/>
                <w:lang w:eastAsia="es-CR"/>
              </w:rPr>
              <w:t>(i)</w:t>
            </w:r>
            <w:r w:rsidR="004843E0" w:rsidRPr="004E74A6">
              <w:rPr>
                <w:rStyle w:val="Refdenotaalpie"/>
                <w:color w:val="000000"/>
                <w:sz w:val="20"/>
                <w:lang w:eastAsia="es-CR"/>
              </w:rPr>
              <w:footnoteReference w:id="18"/>
            </w:r>
          </w:p>
        </w:tc>
        <w:tc>
          <w:tcPr>
            <w:tcW w:w="1559" w:type="dxa"/>
            <w:tcBorders>
              <w:left w:val="single" w:sz="4" w:space="0" w:color="auto"/>
              <w:right w:val="single" w:sz="4" w:space="0" w:color="auto"/>
            </w:tcBorders>
            <w:shd w:val="clear" w:color="000000" w:fill="D9D9D9"/>
            <w:vAlign w:val="center"/>
            <w:hideMark/>
          </w:tcPr>
          <w:p w14:paraId="36B75090" w14:textId="77777777" w:rsidR="00566C6E" w:rsidRPr="004E74A6" w:rsidRDefault="00566C6E" w:rsidP="00832773">
            <w:pPr>
              <w:spacing w:after="240" w:line="276" w:lineRule="auto"/>
              <w:jc w:val="center"/>
              <w:rPr>
                <w:rFonts w:cs="Calibri"/>
                <w:color w:val="000000"/>
                <w:sz w:val="20"/>
                <w:lang w:eastAsia="es-CR"/>
              </w:rPr>
            </w:pPr>
            <w:r w:rsidRPr="004E74A6">
              <w:rPr>
                <w:rFonts w:cs="Calibri"/>
                <w:color w:val="000000"/>
                <w:sz w:val="20"/>
                <w:lang w:eastAsia="es-CR"/>
              </w:rPr>
              <w:t>(a+i)</w:t>
            </w:r>
          </w:p>
        </w:tc>
        <w:tc>
          <w:tcPr>
            <w:tcW w:w="2177" w:type="dxa"/>
            <w:tcBorders>
              <w:left w:val="single" w:sz="4" w:space="0" w:color="auto"/>
              <w:right w:val="nil"/>
            </w:tcBorders>
            <w:shd w:val="clear" w:color="000000" w:fill="D9D9D9"/>
            <w:vAlign w:val="center"/>
            <w:hideMark/>
          </w:tcPr>
          <w:p w14:paraId="319A7ED4" w14:textId="0042A1B5" w:rsidR="00566C6E" w:rsidRPr="004E74A6" w:rsidRDefault="004843E0" w:rsidP="00832773">
            <w:pPr>
              <w:spacing w:after="240" w:line="276" w:lineRule="auto"/>
              <w:jc w:val="center"/>
              <w:rPr>
                <w:rFonts w:cs="Calibri"/>
                <w:color w:val="000000"/>
                <w:sz w:val="20"/>
                <w:lang w:eastAsia="es-CR"/>
              </w:rPr>
            </w:pPr>
            <w:r w:rsidRPr="004E74A6">
              <w:rPr>
                <w:rFonts w:cs="Calibri"/>
                <w:color w:val="000000"/>
                <w:sz w:val="20"/>
                <w:lang w:eastAsia="es-CR"/>
              </w:rPr>
              <w:t>((a+i) -a/a)</w:t>
            </w:r>
          </w:p>
        </w:tc>
      </w:tr>
      <w:tr w:rsidR="00566C6E" w:rsidRPr="004E74A6" w14:paraId="7DA65440" w14:textId="77777777" w:rsidTr="00EB102E">
        <w:trPr>
          <w:trHeight w:val="510"/>
        </w:trPr>
        <w:tc>
          <w:tcPr>
            <w:tcW w:w="2835" w:type="dxa"/>
            <w:tcBorders>
              <w:left w:val="nil"/>
              <w:right w:val="single" w:sz="4" w:space="0" w:color="auto"/>
            </w:tcBorders>
            <w:shd w:val="clear" w:color="auto" w:fill="auto"/>
            <w:vAlign w:val="center"/>
            <w:hideMark/>
          </w:tcPr>
          <w:p w14:paraId="6A7DD6F2" w14:textId="77777777" w:rsidR="00566C6E" w:rsidRPr="004E74A6" w:rsidRDefault="00566C6E" w:rsidP="00832773">
            <w:pPr>
              <w:spacing w:after="240" w:line="276" w:lineRule="auto"/>
              <w:rPr>
                <w:rFonts w:cs="Calibri"/>
                <w:color w:val="000000"/>
                <w:sz w:val="20"/>
                <w:lang w:eastAsia="es-CR"/>
              </w:rPr>
            </w:pPr>
            <w:r w:rsidRPr="004E74A6">
              <w:rPr>
                <w:rFonts w:cs="Calibri"/>
                <w:color w:val="000000"/>
                <w:sz w:val="20"/>
                <w:lang w:eastAsia="es-CR"/>
              </w:rPr>
              <w:t>Juzgado Primero Civil del Primer Circuito Judicial de San José</w:t>
            </w:r>
          </w:p>
        </w:tc>
        <w:tc>
          <w:tcPr>
            <w:tcW w:w="1700" w:type="dxa"/>
            <w:tcBorders>
              <w:left w:val="single" w:sz="4" w:space="0" w:color="auto"/>
              <w:right w:val="single" w:sz="4" w:space="0" w:color="auto"/>
            </w:tcBorders>
            <w:shd w:val="clear" w:color="auto" w:fill="auto"/>
            <w:vAlign w:val="center"/>
            <w:hideMark/>
          </w:tcPr>
          <w:p w14:paraId="78ABF9A5" w14:textId="77777777" w:rsidR="00566C6E" w:rsidRPr="004E74A6" w:rsidRDefault="00566C6E" w:rsidP="00832773">
            <w:pPr>
              <w:spacing w:after="240" w:line="276" w:lineRule="auto"/>
              <w:jc w:val="center"/>
              <w:rPr>
                <w:rFonts w:cs="Calibri"/>
                <w:color w:val="000000"/>
                <w:sz w:val="20"/>
                <w:lang w:eastAsia="es-CR"/>
              </w:rPr>
            </w:pPr>
            <w:r w:rsidRPr="004E74A6">
              <w:rPr>
                <w:rFonts w:cs="Calibri"/>
                <w:color w:val="000000"/>
                <w:sz w:val="20"/>
                <w:lang w:eastAsia="es-CR"/>
              </w:rPr>
              <w:t>1165</w:t>
            </w:r>
          </w:p>
        </w:tc>
        <w:tc>
          <w:tcPr>
            <w:tcW w:w="2695" w:type="dxa"/>
            <w:tcBorders>
              <w:left w:val="single" w:sz="4" w:space="0" w:color="auto"/>
              <w:right w:val="single" w:sz="4" w:space="0" w:color="auto"/>
            </w:tcBorders>
            <w:shd w:val="clear" w:color="auto" w:fill="auto"/>
            <w:vAlign w:val="center"/>
            <w:hideMark/>
          </w:tcPr>
          <w:p w14:paraId="7895392E" w14:textId="77777777" w:rsidR="00566C6E" w:rsidRPr="004E74A6" w:rsidRDefault="00566C6E" w:rsidP="00832773">
            <w:pPr>
              <w:spacing w:after="240" w:line="276" w:lineRule="auto"/>
              <w:jc w:val="center"/>
              <w:rPr>
                <w:rFonts w:cs="Calibri"/>
                <w:color w:val="000000"/>
                <w:sz w:val="20"/>
                <w:lang w:eastAsia="es-CR"/>
              </w:rPr>
            </w:pPr>
            <w:r w:rsidRPr="004E74A6">
              <w:rPr>
                <w:rFonts w:cs="Calibri"/>
                <w:color w:val="000000"/>
                <w:sz w:val="20"/>
                <w:lang w:eastAsia="es-CR"/>
              </w:rPr>
              <w:t>41,3</w:t>
            </w:r>
          </w:p>
        </w:tc>
        <w:tc>
          <w:tcPr>
            <w:tcW w:w="1559" w:type="dxa"/>
            <w:tcBorders>
              <w:left w:val="single" w:sz="4" w:space="0" w:color="auto"/>
              <w:right w:val="single" w:sz="4" w:space="0" w:color="auto"/>
            </w:tcBorders>
            <w:shd w:val="clear" w:color="auto" w:fill="auto"/>
            <w:vAlign w:val="center"/>
            <w:hideMark/>
          </w:tcPr>
          <w:p w14:paraId="0FBF9EDD" w14:textId="77777777" w:rsidR="00566C6E" w:rsidRPr="004E74A6" w:rsidRDefault="00566C6E" w:rsidP="00832773">
            <w:pPr>
              <w:spacing w:after="240" w:line="276" w:lineRule="auto"/>
              <w:jc w:val="center"/>
              <w:rPr>
                <w:rFonts w:cs="Calibri"/>
                <w:color w:val="000000"/>
                <w:sz w:val="20"/>
                <w:lang w:eastAsia="es-CR"/>
              </w:rPr>
            </w:pPr>
            <w:r w:rsidRPr="004E74A6">
              <w:rPr>
                <w:rFonts w:cs="Calibri"/>
                <w:color w:val="000000"/>
                <w:sz w:val="20"/>
                <w:lang w:eastAsia="es-CR"/>
              </w:rPr>
              <w:t>1206,3</w:t>
            </w:r>
          </w:p>
        </w:tc>
        <w:tc>
          <w:tcPr>
            <w:tcW w:w="2177" w:type="dxa"/>
            <w:tcBorders>
              <w:left w:val="single" w:sz="4" w:space="0" w:color="auto"/>
              <w:right w:val="nil"/>
            </w:tcBorders>
            <w:shd w:val="clear" w:color="auto" w:fill="auto"/>
            <w:vAlign w:val="center"/>
            <w:hideMark/>
          </w:tcPr>
          <w:p w14:paraId="453E2F38" w14:textId="77777777" w:rsidR="00566C6E" w:rsidRPr="004E74A6" w:rsidRDefault="00566C6E" w:rsidP="00832773">
            <w:pPr>
              <w:spacing w:after="240" w:line="276" w:lineRule="auto"/>
              <w:jc w:val="center"/>
              <w:rPr>
                <w:rFonts w:cs="Calibri"/>
                <w:color w:val="000000"/>
                <w:sz w:val="20"/>
                <w:lang w:eastAsia="es-CR"/>
              </w:rPr>
            </w:pPr>
            <w:r w:rsidRPr="004E74A6">
              <w:rPr>
                <w:rFonts w:cs="Calibri"/>
                <w:color w:val="000000"/>
                <w:sz w:val="20"/>
                <w:lang w:eastAsia="es-CR"/>
              </w:rPr>
              <w:t>4%</w:t>
            </w:r>
          </w:p>
        </w:tc>
      </w:tr>
      <w:tr w:rsidR="00A46718" w:rsidRPr="004E74A6" w14:paraId="62F87DA1" w14:textId="77777777" w:rsidTr="00EB102E">
        <w:trPr>
          <w:trHeight w:val="510"/>
        </w:trPr>
        <w:tc>
          <w:tcPr>
            <w:tcW w:w="2835" w:type="dxa"/>
            <w:tcBorders>
              <w:left w:val="nil"/>
              <w:right w:val="single" w:sz="4" w:space="0" w:color="auto"/>
            </w:tcBorders>
            <w:shd w:val="clear" w:color="auto" w:fill="F2F2F2" w:themeFill="background1" w:themeFillShade="F2"/>
            <w:vAlign w:val="center"/>
            <w:hideMark/>
          </w:tcPr>
          <w:p w14:paraId="70FB2471" w14:textId="77777777" w:rsidR="00566C6E" w:rsidRPr="004E74A6" w:rsidRDefault="00566C6E" w:rsidP="00832773">
            <w:pPr>
              <w:spacing w:after="240" w:line="276" w:lineRule="auto"/>
              <w:rPr>
                <w:rFonts w:cs="Calibri"/>
                <w:color w:val="000000"/>
                <w:sz w:val="20"/>
                <w:lang w:eastAsia="es-CR"/>
              </w:rPr>
            </w:pPr>
            <w:r w:rsidRPr="004E74A6">
              <w:rPr>
                <w:rFonts w:cs="Calibri"/>
                <w:color w:val="000000"/>
                <w:sz w:val="20"/>
                <w:lang w:eastAsia="es-CR"/>
              </w:rPr>
              <w:lastRenderedPageBreak/>
              <w:t>Juzgado Segundo Civil del Primer Circuito Judicial de San José</w:t>
            </w:r>
          </w:p>
        </w:tc>
        <w:tc>
          <w:tcPr>
            <w:tcW w:w="1700" w:type="dxa"/>
            <w:tcBorders>
              <w:left w:val="single" w:sz="4" w:space="0" w:color="auto"/>
              <w:right w:val="single" w:sz="4" w:space="0" w:color="auto"/>
            </w:tcBorders>
            <w:shd w:val="clear" w:color="auto" w:fill="F2F2F2" w:themeFill="background1" w:themeFillShade="F2"/>
            <w:vAlign w:val="center"/>
            <w:hideMark/>
          </w:tcPr>
          <w:p w14:paraId="6DB1F35E" w14:textId="77777777" w:rsidR="00566C6E" w:rsidRPr="004E74A6" w:rsidRDefault="00566C6E" w:rsidP="00832773">
            <w:pPr>
              <w:spacing w:after="240" w:line="276" w:lineRule="auto"/>
              <w:jc w:val="center"/>
              <w:rPr>
                <w:rFonts w:cs="Calibri"/>
                <w:color w:val="000000"/>
                <w:sz w:val="20"/>
                <w:lang w:eastAsia="es-CR"/>
              </w:rPr>
            </w:pPr>
            <w:r w:rsidRPr="004E74A6">
              <w:rPr>
                <w:rFonts w:cs="Calibri"/>
                <w:color w:val="000000"/>
                <w:sz w:val="20"/>
                <w:lang w:eastAsia="es-CR"/>
              </w:rPr>
              <w:t>1132</w:t>
            </w:r>
          </w:p>
        </w:tc>
        <w:tc>
          <w:tcPr>
            <w:tcW w:w="2695" w:type="dxa"/>
            <w:tcBorders>
              <w:left w:val="single" w:sz="4" w:space="0" w:color="auto"/>
              <w:right w:val="single" w:sz="4" w:space="0" w:color="auto"/>
            </w:tcBorders>
            <w:shd w:val="clear" w:color="auto" w:fill="F2F2F2" w:themeFill="background1" w:themeFillShade="F2"/>
            <w:vAlign w:val="center"/>
            <w:hideMark/>
          </w:tcPr>
          <w:p w14:paraId="5ED241C7" w14:textId="77777777" w:rsidR="00566C6E" w:rsidRPr="004E74A6" w:rsidRDefault="00566C6E" w:rsidP="00832773">
            <w:pPr>
              <w:spacing w:after="240" w:line="276" w:lineRule="auto"/>
              <w:jc w:val="center"/>
              <w:rPr>
                <w:rFonts w:cs="Calibri"/>
                <w:color w:val="000000"/>
                <w:sz w:val="20"/>
                <w:lang w:eastAsia="es-CR"/>
              </w:rPr>
            </w:pPr>
            <w:r w:rsidRPr="004E74A6">
              <w:rPr>
                <w:rFonts w:cs="Calibri"/>
                <w:color w:val="000000"/>
                <w:sz w:val="20"/>
                <w:lang w:eastAsia="es-CR"/>
              </w:rPr>
              <w:t>41,3</w:t>
            </w:r>
          </w:p>
        </w:tc>
        <w:tc>
          <w:tcPr>
            <w:tcW w:w="1559" w:type="dxa"/>
            <w:tcBorders>
              <w:left w:val="single" w:sz="4" w:space="0" w:color="auto"/>
              <w:right w:val="single" w:sz="4" w:space="0" w:color="auto"/>
            </w:tcBorders>
            <w:shd w:val="clear" w:color="auto" w:fill="F2F2F2" w:themeFill="background1" w:themeFillShade="F2"/>
            <w:vAlign w:val="center"/>
            <w:hideMark/>
          </w:tcPr>
          <w:p w14:paraId="43324709" w14:textId="77777777" w:rsidR="00566C6E" w:rsidRPr="004E74A6" w:rsidRDefault="00566C6E" w:rsidP="00832773">
            <w:pPr>
              <w:spacing w:after="240" w:line="276" w:lineRule="auto"/>
              <w:jc w:val="center"/>
              <w:rPr>
                <w:rFonts w:cs="Calibri"/>
                <w:color w:val="000000"/>
                <w:sz w:val="20"/>
                <w:lang w:eastAsia="es-CR"/>
              </w:rPr>
            </w:pPr>
            <w:r w:rsidRPr="004E74A6">
              <w:rPr>
                <w:rFonts w:cs="Calibri"/>
                <w:color w:val="000000"/>
                <w:sz w:val="20"/>
                <w:lang w:eastAsia="es-CR"/>
              </w:rPr>
              <w:t>1173,3</w:t>
            </w:r>
          </w:p>
        </w:tc>
        <w:tc>
          <w:tcPr>
            <w:tcW w:w="2177" w:type="dxa"/>
            <w:tcBorders>
              <w:left w:val="single" w:sz="4" w:space="0" w:color="auto"/>
              <w:right w:val="nil"/>
            </w:tcBorders>
            <w:shd w:val="clear" w:color="auto" w:fill="F2F2F2" w:themeFill="background1" w:themeFillShade="F2"/>
            <w:vAlign w:val="center"/>
            <w:hideMark/>
          </w:tcPr>
          <w:p w14:paraId="7ADBF2A4" w14:textId="77777777" w:rsidR="00566C6E" w:rsidRPr="004E74A6" w:rsidRDefault="00566C6E" w:rsidP="00832773">
            <w:pPr>
              <w:spacing w:after="240" w:line="276" w:lineRule="auto"/>
              <w:jc w:val="center"/>
              <w:rPr>
                <w:rFonts w:cs="Calibri"/>
                <w:color w:val="000000"/>
                <w:sz w:val="20"/>
                <w:lang w:eastAsia="es-CR"/>
              </w:rPr>
            </w:pPr>
            <w:r w:rsidRPr="004E74A6">
              <w:rPr>
                <w:rFonts w:cs="Calibri"/>
                <w:color w:val="000000"/>
                <w:sz w:val="20"/>
                <w:lang w:eastAsia="es-CR"/>
              </w:rPr>
              <w:t>4%</w:t>
            </w:r>
          </w:p>
        </w:tc>
      </w:tr>
      <w:tr w:rsidR="00A46718" w:rsidRPr="004E74A6" w14:paraId="476E9360" w14:textId="77777777" w:rsidTr="00EB102E">
        <w:trPr>
          <w:trHeight w:val="510"/>
        </w:trPr>
        <w:tc>
          <w:tcPr>
            <w:tcW w:w="2835" w:type="dxa"/>
            <w:tcBorders>
              <w:left w:val="nil"/>
              <w:right w:val="single" w:sz="4" w:space="0" w:color="auto"/>
            </w:tcBorders>
            <w:shd w:val="clear" w:color="auto" w:fill="auto"/>
            <w:vAlign w:val="center"/>
            <w:hideMark/>
          </w:tcPr>
          <w:p w14:paraId="71F873A9" w14:textId="77777777" w:rsidR="00566C6E" w:rsidRPr="004E74A6" w:rsidRDefault="00566C6E" w:rsidP="00832773">
            <w:pPr>
              <w:spacing w:after="240" w:line="276" w:lineRule="auto"/>
              <w:rPr>
                <w:rFonts w:cs="Calibri"/>
                <w:color w:val="000000"/>
                <w:sz w:val="20"/>
                <w:lang w:eastAsia="es-CR"/>
              </w:rPr>
            </w:pPr>
            <w:r w:rsidRPr="004E74A6">
              <w:rPr>
                <w:rFonts w:cs="Calibri"/>
                <w:color w:val="000000"/>
                <w:sz w:val="20"/>
                <w:lang w:eastAsia="es-CR"/>
              </w:rPr>
              <w:t>Juzgado Tercero Civil del Primer Circuito Judicial de San José</w:t>
            </w:r>
          </w:p>
        </w:tc>
        <w:tc>
          <w:tcPr>
            <w:tcW w:w="1700" w:type="dxa"/>
            <w:tcBorders>
              <w:left w:val="single" w:sz="4" w:space="0" w:color="auto"/>
              <w:right w:val="single" w:sz="4" w:space="0" w:color="auto"/>
            </w:tcBorders>
            <w:shd w:val="clear" w:color="auto" w:fill="auto"/>
            <w:vAlign w:val="center"/>
            <w:hideMark/>
          </w:tcPr>
          <w:p w14:paraId="637A02FE" w14:textId="77777777" w:rsidR="00566C6E" w:rsidRPr="004E74A6" w:rsidRDefault="00566C6E" w:rsidP="00832773">
            <w:pPr>
              <w:spacing w:after="240" w:line="276" w:lineRule="auto"/>
              <w:jc w:val="center"/>
              <w:rPr>
                <w:rFonts w:cs="Calibri"/>
                <w:color w:val="000000"/>
                <w:sz w:val="20"/>
                <w:lang w:eastAsia="es-CR"/>
              </w:rPr>
            </w:pPr>
            <w:r w:rsidRPr="004E74A6">
              <w:rPr>
                <w:rFonts w:cs="Calibri"/>
                <w:color w:val="000000"/>
                <w:sz w:val="20"/>
                <w:lang w:eastAsia="es-CR"/>
              </w:rPr>
              <w:t>1064</w:t>
            </w:r>
          </w:p>
        </w:tc>
        <w:tc>
          <w:tcPr>
            <w:tcW w:w="2695" w:type="dxa"/>
            <w:tcBorders>
              <w:left w:val="single" w:sz="4" w:space="0" w:color="auto"/>
              <w:right w:val="single" w:sz="4" w:space="0" w:color="auto"/>
            </w:tcBorders>
            <w:shd w:val="clear" w:color="auto" w:fill="auto"/>
            <w:vAlign w:val="center"/>
            <w:hideMark/>
          </w:tcPr>
          <w:p w14:paraId="5AD1B9FD" w14:textId="77777777" w:rsidR="00566C6E" w:rsidRPr="004E74A6" w:rsidRDefault="00566C6E" w:rsidP="00832773">
            <w:pPr>
              <w:spacing w:after="240" w:line="276" w:lineRule="auto"/>
              <w:jc w:val="center"/>
              <w:rPr>
                <w:rFonts w:cs="Calibri"/>
                <w:color w:val="000000"/>
                <w:sz w:val="20"/>
                <w:lang w:eastAsia="es-CR"/>
              </w:rPr>
            </w:pPr>
            <w:r w:rsidRPr="004E74A6">
              <w:rPr>
                <w:rFonts w:cs="Calibri"/>
                <w:color w:val="000000"/>
                <w:sz w:val="20"/>
                <w:lang w:eastAsia="es-CR"/>
              </w:rPr>
              <w:t>41,3</w:t>
            </w:r>
          </w:p>
        </w:tc>
        <w:tc>
          <w:tcPr>
            <w:tcW w:w="1559" w:type="dxa"/>
            <w:tcBorders>
              <w:left w:val="single" w:sz="4" w:space="0" w:color="auto"/>
              <w:right w:val="single" w:sz="4" w:space="0" w:color="auto"/>
            </w:tcBorders>
            <w:shd w:val="clear" w:color="auto" w:fill="auto"/>
            <w:vAlign w:val="center"/>
            <w:hideMark/>
          </w:tcPr>
          <w:p w14:paraId="3AD91872" w14:textId="77777777" w:rsidR="00566C6E" w:rsidRPr="004E74A6" w:rsidRDefault="00566C6E" w:rsidP="00832773">
            <w:pPr>
              <w:spacing w:after="240" w:line="276" w:lineRule="auto"/>
              <w:jc w:val="center"/>
              <w:rPr>
                <w:rFonts w:cs="Calibri"/>
                <w:color w:val="000000"/>
                <w:sz w:val="20"/>
                <w:lang w:eastAsia="es-CR"/>
              </w:rPr>
            </w:pPr>
            <w:r w:rsidRPr="004E74A6">
              <w:rPr>
                <w:rFonts w:cs="Calibri"/>
                <w:color w:val="000000"/>
                <w:sz w:val="20"/>
                <w:lang w:eastAsia="es-CR"/>
              </w:rPr>
              <w:t>1105,3</w:t>
            </w:r>
          </w:p>
        </w:tc>
        <w:tc>
          <w:tcPr>
            <w:tcW w:w="2177" w:type="dxa"/>
            <w:tcBorders>
              <w:left w:val="single" w:sz="4" w:space="0" w:color="auto"/>
              <w:right w:val="nil"/>
            </w:tcBorders>
            <w:shd w:val="clear" w:color="auto" w:fill="auto"/>
            <w:vAlign w:val="center"/>
            <w:hideMark/>
          </w:tcPr>
          <w:p w14:paraId="358B98B8" w14:textId="77777777" w:rsidR="00566C6E" w:rsidRPr="004E74A6" w:rsidRDefault="00566C6E" w:rsidP="00832773">
            <w:pPr>
              <w:spacing w:after="240" w:line="276" w:lineRule="auto"/>
              <w:jc w:val="center"/>
              <w:rPr>
                <w:rFonts w:cs="Calibri"/>
                <w:color w:val="000000"/>
                <w:sz w:val="20"/>
                <w:lang w:eastAsia="es-CR"/>
              </w:rPr>
            </w:pPr>
            <w:r w:rsidRPr="004E74A6">
              <w:rPr>
                <w:rFonts w:cs="Calibri"/>
                <w:color w:val="000000"/>
                <w:sz w:val="20"/>
                <w:lang w:eastAsia="es-CR"/>
              </w:rPr>
              <w:t>4%</w:t>
            </w:r>
          </w:p>
        </w:tc>
      </w:tr>
      <w:tr w:rsidR="00A46718" w:rsidRPr="004E74A6" w14:paraId="05398A11" w14:textId="77777777" w:rsidTr="00EB102E">
        <w:trPr>
          <w:trHeight w:val="510"/>
        </w:trPr>
        <w:tc>
          <w:tcPr>
            <w:tcW w:w="2835" w:type="dxa"/>
            <w:tcBorders>
              <w:left w:val="nil"/>
              <w:right w:val="single" w:sz="4" w:space="0" w:color="auto"/>
            </w:tcBorders>
            <w:shd w:val="clear" w:color="auto" w:fill="F2F2F2" w:themeFill="background1" w:themeFillShade="F2"/>
            <w:vAlign w:val="center"/>
            <w:hideMark/>
          </w:tcPr>
          <w:p w14:paraId="78189D1E" w14:textId="77777777" w:rsidR="00566C6E" w:rsidRPr="004E74A6" w:rsidRDefault="00566C6E" w:rsidP="00832773">
            <w:pPr>
              <w:spacing w:line="276" w:lineRule="auto"/>
              <w:rPr>
                <w:rFonts w:cs="Calibri"/>
                <w:color w:val="000000"/>
                <w:sz w:val="20"/>
                <w:lang w:eastAsia="es-CR"/>
              </w:rPr>
            </w:pPr>
            <w:r w:rsidRPr="004E74A6">
              <w:rPr>
                <w:rFonts w:cs="Calibri"/>
                <w:color w:val="000000"/>
                <w:sz w:val="20"/>
                <w:lang w:eastAsia="es-CR"/>
              </w:rPr>
              <w:t>Juzgado Civil, Trabajo, Familia, Penal Juvenil y contra la Violencia Doméstica de Puriscal</w:t>
            </w:r>
          </w:p>
        </w:tc>
        <w:tc>
          <w:tcPr>
            <w:tcW w:w="1700" w:type="dxa"/>
            <w:tcBorders>
              <w:left w:val="single" w:sz="4" w:space="0" w:color="auto"/>
              <w:right w:val="single" w:sz="4" w:space="0" w:color="auto"/>
            </w:tcBorders>
            <w:shd w:val="clear" w:color="auto" w:fill="F2F2F2" w:themeFill="background1" w:themeFillShade="F2"/>
            <w:vAlign w:val="center"/>
            <w:hideMark/>
          </w:tcPr>
          <w:p w14:paraId="63508088" w14:textId="77777777" w:rsidR="00566C6E" w:rsidRPr="004E74A6" w:rsidRDefault="00566C6E" w:rsidP="00832773">
            <w:pPr>
              <w:spacing w:line="276" w:lineRule="auto"/>
              <w:jc w:val="center"/>
              <w:rPr>
                <w:rFonts w:cs="Calibri"/>
                <w:color w:val="000000"/>
                <w:sz w:val="20"/>
                <w:lang w:eastAsia="es-CR"/>
              </w:rPr>
            </w:pPr>
            <w:r w:rsidRPr="004E74A6">
              <w:rPr>
                <w:rFonts w:cs="Calibri"/>
                <w:color w:val="000000"/>
                <w:sz w:val="20"/>
                <w:lang w:eastAsia="es-CR"/>
              </w:rPr>
              <w:t>187</w:t>
            </w:r>
          </w:p>
        </w:tc>
        <w:tc>
          <w:tcPr>
            <w:tcW w:w="2695" w:type="dxa"/>
            <w:tcBorders>
              <w:left w:val="single" w:sz="4" w:space="0" w:color="auto"/>
              <w:right w:val="single" w:sz="4" w:space="0" w:color="auto"/>
            </w:tcBorders>
            <w:shd w:val="clear" w:color="auto" w:fill="F2F2F2" w:themeFill="background1" w:themeFillShade="F2"/>
            <w:vAlign w:val="center"/>
            <w:hideMark/>
          </w:tcPr>
          <w:p w14:paraId="225FCC55" w14:textId="77777777" w:rsidR="00566C6E" w:rsidRPr="004E74A6" w:rsidRDefault="00566C6E" w:rsidP="00832773">
            <w:pPr>
              <w:spacing w:line="276" w:lineRule="auto"/>
              <w:jc w:val="center"/>
              <w:rPr>
                <w:rFonts w:cs="Calibri"/>
                <w:color w:val="000000"/>
                <w:sz w:val="20"/>
                <w:lang w:eastAsia="es-CR"/>
              </w:rPr>
            </w:pPr>
            <w:r w:rsidRPr="004E74A6">
              <w:rPr>
                <w:rFonts w:cs="Calibri"/>
                <w:color w:val="000000"/>
                <w:sz w:val="20"/>
                <w:lang w:eastAsia="es-CR"/>
              </w:rPr>
              <w:t>41,3</w:t>
            </w:r>
          </w:p>
        </w:tc>
        <w:tc>
          <w:tcPr>
            <w:tcW w:w="1559" w:type="dxa"/>
            <w:tcBorders>
              <w:left w:val="single" w:sz="4" w:space="0" w:color="auto"/>
              <w:right w:val="single" w:sz="4" w:space="0" w:color="auto"/>
            </w:tcBorders>
            <w:shd w:val="clear" w:color="auto" w:fill="F2F2F2" w:themeFill="background1" w:themeFillShade="F2"/>
            <w:vAlign w:val="center"/>
            <w:hideMark/>
          </w:tcPr>
          <w:p w14:paraId="502E9412" w14:textId="77777777" w:rsidR="00566C6E" w:rsidRPr="004E74A6" w:rsidRDefault="00566C6E" w:rsidP="00832773">
            <w:pPr>
              <w:spacing w:line="276" w:lineRule="auto"/>
              <w:jc w:val="center"/>
              <w:rPr>
                <w:rFonts w:cs="Calibri"/>
                <w:color w:val="000000"/>
                <w:sz w:val="20"/>
                <w:lang w:eastAsia="es-CR"/>
              </w:rPr>
            </w:pPr>
            <w:r w:rsidRPr="004E74A6">
              <w:rPr>
                <w:rFonts w:cs="Calibri"/>
                <w:color w:val="000000"/>
                <w:sz w:val="20"/>
                <w:lang w:eastAsia="es-CR"/>
              </w:rPr>
              <w:t>228,3</w:t>
            </w:r>
          </w:p>
        </w:tc>
        <w:tc>
          <w:tcPr>
            <w:tcW w:w="2177" w:type="dxa"/>
            <w:tcBorders>
              <w:left w:val="single" w:sz="4" w:space="0" w:color="auto"/>
              <w:right w:val="nil"/>
            </w:tcBorders>
            <w:shd w:val="clear" w:color="auto" w:fill="F2F2F2" w:themeFill="background1" w:themeFillShade="F2"/>
            <w:vAlign w:val="center"/>
            <w:hideMark/>
          </w:tcPr>
          <w:p w14:paraId="25F36369" w14:textId="77777777" w:rsidR="00566C6E" w:rsidRPr="004E74A6" w:rsidRDefault="00566C6E" w:rsidP="00832773">
            <w:pPr>
              <w:spacing w:line="276" w:lineRule="auto"/>
              <w:jc w:val="center"/>
              <w:rPr>
                <w:rFonts w:cs="Calibri"/>
                <w:color w:val="000000"/>
                <w:sz w:val="20"/>
                <w:lang w:eastAsia="es-CR"/>
              </w:rPr>
            </w:pPr>
            <w:r w:rsidRPr="004E74A6">
              <w:rPr>
                <w:rFonts w:cs="Calibri"/>
                <w:color w:val="000000"/>
                <w:sz w:val="20"/>
                <w:lang w:eastAsia="es-CR"/>
              </w:rPr>
              <w:t>22%</w:t>
            </w:r>
          </w:p>
        </w:tc>
      </w:tr>
      <w:tr w:rsidR="00A46718" w:rsidRPr="004E74A6" w14:paraId="3FC146D5" w14:textId="77777777" w:rsidTr="00EB102E">
        <w:trPr>
          <w:trHeight w:val="510"/>
        </w:trPr>
        <w:tc>
          <w:tcPr>
            <w:tcW w:w="2835" w:type="dxa"/>
            <w:tcBorders>
              <w:left w:val="nil"/>
              <w:right w:val="single" w:sz="4" w:space="0" w:color="auto"/>
            </w:tcBorders>
            <w:shd w:val="clear" w:color="auto" w:fill="auto"/>
            <w:vAlign w:val="center"/>
            <w:hideMark/>
          </w:tcPr>
          <w:p w14:paraId="0B725644" w14:textId="77777777" w:rsidR="00566C6E" w:rsidRPr="004E74A6" w:rsidRDefault="00566C6E" w:rsidP="00832773">
            <w:pPr>
              <w:spacing w:after="240" w:line="276" w:lineRule="auto"/>
              <w:rPr>
                <w:rFonts w:cs="Calibri"/>
                <w:color w:val="000000"/>
                <w:sz w:val="20"/>
                <w:lang w:eastAsia="es-CR"/>
              </w:rPr>
            </w:pPr>
            <w:r w:rsidRPr="004E74A6">
              <w:rPr>
                <w:rFonts w:cs="Calibri"/>
                <w:color w:val="000000"/>
                <w:sz w:val="20"/>
                <w:lang w:eastAsia="es-CR"/>
              </w:rPr>
              <w:t>Juzgado Civil Hatillo, San Sebastián y Alajuelita</w:t>
            </w:r>
          </w:p>
        </w:tc>
        <w:tc>
          <w:tcPr>
            <w:tcW w:w="1700" w:type="dxa"/>
            <w:tcBorders>
              <w:left w:val="single" w:sz="4" w:space="0" w:color="auto"/>
              <w:right w:val="single" w:sz="4" w:space="0" w:color="auto"/>
            </w:tcBorders>
            <w:shd w:val="clear" w:color="auto" w:fill="auto"/>
            <w:vAlign w:val="center"/>
            <w:hideMark/>
          </w:tcPr>
          <w:p w14:paraId="3C6428FF" w14:textId="77777777" w:rsidR="00566C6E" w:rsidRPr="004E74A6" w:rsidRDefault="00566C6E" w:rsidP="00832773">
            <w:pPr>
              <w:spacing w:after="240" w:line="276" w:lineRule="auto"/>
              <w:jc w:val="center"/>
              <w:rPr>
                <w:rFonts w:cs="Calibri"/>
                <w:color w:val="000000"/>
                <w:sz w:val="20"/>
                <w:lang w:eastAsia="es-CR"/>
              </w:rPr>
            </w:pPr>
            <w:r w:rsidRPr="004E74A6">
              <w:rPr>
                <w:rFonts w:cs="Calibri"/>
                <w:color w:val="000000"/>
                <w:sz w:val="20"/>
                <w:lang w:eastAsia="es-CR"/>
              </w:rPr>
              <w:t>519</w:t>
            </w:r>
          </w:p>
        </w:tc>
        <w:tc>
          <w:tcPr>
            <w:tcW w:w="2695" w:type="dxa"/>
            <w:tcBorders>
              <w:left w:val="single" w:sz="4" w:space="0" w:color="auto"/>
              <w:right w:val="single" w:sz="4" w:space="0" w:color="auto"/>
            </w:tcBorders>
            <w:shd w:val="clear" w:color="auto" w:fill="auto"/>
            <w:vAlign w:val="center"/>
            <w:hideMark/>
          </w:tcPr>
          <w:p w14:paraId="6985A49D" w14:textId="77777777" w:rsidR="00566C6E" w:rsidRPr="004E74A6" w:rsidRDefault="00566C6E" w:rsidP="00832773">
            <w:pPr>
              <w:spacing w:after="240" w:line="276" w:lineRule="auto"/>
              <w:jc w:val="center"/>
              <w:rPr>
                <w:rFonts w:cs="Calibri"/>
                <w:color w:val="000000"/>
                <w:sz w:val="20"/>
                <w:lang w:eastAsia="es-CR"/>
              </w:rPr>
            </w:pPr>
            <w:r w:rsidRPr="004E74A6">
              <w:rPr>
                <w:rFonts w:cs="Calibri"/>
                <w:color w:val="000000"/>
                <w:sz w:val="20"/>
                <w:lang w:eastAsia="es-CR"/>
              </w:rPr>
              <w:t>5,0</w:t>
            </w:r>
          </w:p>
        </w:tc>
        <w:tc>
          <w:tcPr>
            <w:tcW w:w="1559" w:type="dxa"/>
            <w:tcBorders>
              <w:left w:val="single" w:sz="4" w:space="0" w:color="auto"/>
              <w:right w:val="single" w:sz="4" w:space="0" w:color="auto"/>
            </w:tcBorders>
            <w:shd w:val="clear" w:color="auto" w:fill="auto"/>
            <w:vAlign w:val="center"/>
            <w:hideMark/>
          </w:tcPr>
          <w:p w14:paraId="4708FD0B" w14:textId="77777777" w:rsidR="00566C6E" w:rsidRPr="004E74A6" w:rsidRDefault="00566C6E" w:rsidP="00832773">
            <w:pPr>
              <w:spacing w:after="240" w:line="276" w:lineRule="auto"/>
              <w:jc w:val="center"/>
              <w:rPr>
                <w:rFonts w:cs="Calibri"/>
                <w:color w:val="000000"/>
                <w:sz w:val="20"/>
                <w:lang w:eastAsia="es-CR"/>
              </w:rPr>
            </w:pPr>
            <w:r w:rsidRPr="004E74A6">
              <w:rPr>
                <w:rFonts w:cs="Calibri"/>
                <w:color w:val="000000"/>
                <w:sz w:val="20"/>
                <w:lang w:eastAsia="es-CR"/>
              </w:rPr>
              <w:t>524,0</w:t>
            </w:r>
          </w:p>
        </w:tc>
        <w:tc>
          <w:tcPr>
            <w:tcW w:w="2177" w:type="dxa"/>
            <w:tcBorders>
              <w:left w:val="single" w:sz="4" w:space="0" w:color="auto"/>
              <w:right w:val="nil"/>
            </w:tcBorders>
            <w:shd w:val="clear" w:color="auto" w:fill="auto"/>
            <w:vAlign w:val="center"/>
            <w:hideMark/>
          </w:tcPr>
          <w:p w14:paraId="3EE058F3" w14:textId="77777777" w:rsidR="00566C6E" w:rsidRPr="004E74A6" w:rsidRDefault="00566C6E" w:rsidP="00832773">
            <w:pPr>
              <w:spacing w:after="240" w:line="276" w:lineRule="auto"/>
              <w:jc w:val="center"/>
              <w:rPr>
                <w:rFonts w:cs="Calibri"/>
                <w:color w:val="000000"/>
                <w:sz w:val="20"/>
                <w:lang w:eastAsia="es-CR"/>
              </w:rPr>
            </w:pPr>
            <w:r w:rsidRPr="004E74A6">
              <w:rPr>
                <w:rFonts w:cs="Calibri"/>
                <w:color w:val="000000"/>
                <w:sz w:val="20"/>
                <w:lang w:eastAsia="es-CR"/>
              </w:rPr>
              <w:t>1%</w:t>
            </w:r>
          </w:p>
        </w:tc>
      </w:tr>
      <w:tr w:rsidR="00A46718" w:rsidRPr="004E74A6" w14:paraId="4AB79D44" w14:textId="77777777" w:rsidTr="00EB102E">
        <w:trPr>
          <w:trHeight w:val="510"/>
        </w:trPr>
        <w:tc>
          <w:tcPr>
            <w:tcW w:w="2835" w:type="dxa"/>
            <w:tcBorders>
              <w:top w:val="nil"/>
              <w:left w:val="nil"/>
              <w:right w:val="single" w:sz="4" w:space="0" w:color="auto"/>
            </w:tcBorders>
            <w:shd w:val="clear" w:color="auto" w:fill="F2F2F2" w:themeFill="background1" w:themeFillShade="F2"/>
            <w:vAlign w:val="center"/>
            <w:hideMark/>
          </w:tcPr>
          <w:p w14:paraId="74C72A13" w14:textId="77777777" w:rsidR="00566C6E" w:rsidRPr="004E74A6" w:rsidRDefault="00566C6E" w:rsidP="00832773">
            <w:pPr>
              <w:spacing w:after="240" w:line="276" w:lineRule="auto"/>
              <w:rPr>
                <w:rFonts w:cs="Calibri"/>
                <w:color w:val="000000"/>
                <w:sz w:val="20"/>
                <w:lang w:eastAsia="es-CR"/>
              </w:rPr>
            </w:pPr>
            <w:r w:rsidRPr="004E74A6">
              <w:rPr>
                <w:rFonts w:cs="Calibri"/>
                <w:color w:val="000000"/>
                <w:sz w:val="20"/>
                <w:lang w:eastAsia="es-CR"/>
              </w:rPr>
              <w:t>Juzgado Tercer Circuito Judicial de San José</w:t>
            </w:r>
          </w:p>
        </w:tc>
        <w:tc>
          <w:tcPr>
            <w:tcW w:w="1700" w:type="dxa"/>
            <w:tcBorders>
              <w:top w:val="nil"/>
              <w:left w:val="single" w:sz="4" w:space="0" w:color="auto"/>
              <w:right w:val="single" w:sz="4" w:space="0" w:color="auto"/>
            </w:tcBorders>
            <w:shd w:val="clear" w:color="auto" w:fill="F2F2F2" w:themeFill="background1" w:themeFillShade="F2"/>
            <w:vAlign w:val="center"/>
            <w:hideMark/>
          </w:tcPr>
          <w:p w14:paraId="17A60CCC" w14:textId="77777777" w:rsidR="00566C6E" w:rsidRPr="004E74A6" w:rsidRDefault="00566C6E" w:rsidP="00832773">
            <w:pPr>
              <w:spacing w:after="240" w:line="276" w:lineRule="auto"/>
              <w:jc w:val="center"/>
              <w:rPr>
                <w:rFonts w:cs="Calibri"/>
                <w:color w:val="000000"/>
                <w:sz w:val="20"/>
                <w:lang w:eastAsia="es-CR"/>
              </w:rPr>
            </w:pPr>
            <w:r w:rsidRPr="004E74A6">
              <w:rPr>
                <w:rFonts w:cs="Calibri"/>
                <w:color w:val="000000"/>
                <w:sz w:val="20"/>
                <w:lang w:eastAsia="es-CR"/>
              </w:rPr>
              <w:t>850</w:t>
            </w:r>
          </w:p>
        </w:tc>
        <w:tc>
          <w:tcPr>
            <w:tcW w:w="2695" w:type="dxa"/>
            <w:tcBorders>
              <w:top w:val="nil"/>
              <w:left w:val="single" w:sz="4" w:space="0" w:color="auto"/>
              <w:right w:val="single" w:sz="4" w:space="0" w:color="auto"/>
            </w:tcBorders>
            <w:shd w:val="clear" w:color="auto" w:fill="F2F2F2" w:themeFill="background1" w:themeFillShade="F2"/>
            <w:vAlign w:val="center"/>
            <w:hideMark/>
          </w:tcPr>
          <w:p w14:paraId="5845A52E" w14:textId="77777777" w:rsidR="00566C6E" w:rsidRPr="004E74A6" w:rsidRDefault="00566C6E" w:rsidP="00832773">
            <w:pPr>
              <w:spacing w:after="240" w:line="276" w:lineRule="auto"/>
              <w:jc w:val="center"/>
              <w:rPr>
                <w:rFonts w:cs="Calibri"/>
                <w:color w:val="000000"/>
                <w:sz w:val="20"/>
                <w:lang w:eastAsia="es-CR"/>
              </w:rPr>
            </w:pPr>
            <w:r w:rsidRPr="004E74A6">
              <w:rPr>
                <w:rFonts w:cs="Calibri"/>
                <w:color w:val="000000"/>
                <w:sz w:val="20"/>
                <w:lang w:eastAsia="es-CR"/>
              </w:rPr>
              <w:t>5,0</w:t>
            </w:r>
          </w:p>
        </w:tc>
        <w:tc>
          <w:tcPr>
            <w:tcW w:w="1559" w:type="dxa"/>
            <w:tcBorders>
              <w:top w:val="nil"/>
              <w:left w:val="single" w:sz="4" w:space="0" w:color="auto"/>
              <w:right w:val="single" w:sz="4" w:space="0" w:color="auto"/>
            </w:tcBorders>
            <w:shd w:val="clear" w:color="auto" w:fill="F2F2F2" w:themeFill="background1" w:themeFillShade="F2"/>
            <w:vAlign w:val="center"/>
            <w:hideMark/>
          </w:tcPr>
          <w:p w14:paraId="02DEC2F6" w14:textId="77777777" w:rsidR="00566C6E" w:rsidRPr="004E74A6" w:rsidRDefault="00566C6E" w:rsidP="00832773">
            <w:pPr>
              <w:spacing w:after="240" w:line="276" w:lineRule="auto"/>
              <w:jc w:val="center"/>
              <w:rPr>
                <w:rFonts w:cs="Calibri"/>
                <w:color w:val="000000"/>
                <w:sz w:val="20"/>
                <w:lang w:eastAsia="es-CR"/>
              </w:rPr>
            </w:pPr>
            <w:r w:rsidRPr="004E74A6">
              <w:rPr>
                <w:rFonts w:cs="Calibri"/>
                <w:color w:val="000000"/>
                <w:sz w:val="20"/>
                <w:lang w:eastAsia="es-CR"/>
              </w:rPr>
              <w:t>855,0</w:t>
            </w:r>
          </w:p>
        </w:tc>
        <w:tc>
          <w:tcPr>
            <w:tcW w:w="2177" w:type="dxa"/>
            <w:tcBorders>
              <w:top w:val="nil"/>
              <w:left w:val="single" w:sz="4" w:space="0" w:color="auto"/>
              <w:right w:val="nil"/>
            </w:tcBorders>
            <w:shd w:val="clear" w:color="auto" w:fill="F2F2F2" w:themeFill="background1" w:themeFillShade="F2"/>
            <w:vAlign w:val="center"/>
            <w:hideMark/>
          </w:tcPr>
          <w:p w14:paraId="36EA0466" w14:textId="77777777" w:rsidR="00566C6E" w:rsidRPr="004E74A6" w:rsidRDefault="00566C6E" w:rsidP="00832773">
            <w:pPr>
              <w:spacing w:after="240" w:line="276" w:lineRule="auto"/>
              <w:jc w:val="center"/>
              <w:rPr>
                <w:rFonts w:cs="Calibri"/>
                <w:color w:val="000000"/>
                <w:sz w:val="20"/>
                <w:lang w:eastAsia="es-CR"/>
              </w:rPr>
            </w:pPr>
            <w:r w:rsidRPr="004E74A6">
              <w:rPr>
                <w:rFonts w:cs="Calibri"/>
                <w:color w:val="000000"/>
                <w:sz w:val="20"/>
                <w:lang w:eastAsia="es-CR"/>
              </w:rPr>
              <w:t>1%</w:t>
            </w:r>
          </w:p>
        </w:tc>
      </w:tr>
      <w:tr w:rsidR="00A46718" w:rsidRPr="004E74A6" w14:paraId="1BEF275D" w14:textId="77777777" w:rsidTr="00EB102E">
        <w:trPr>
          <w:trHeight w:val="510"/>
        </w:trPr>
        <w:tc>
          <w:tcPr>
            <w:tcW w:w="2835" w:type="dxa"/>
            <w:tcBorders>
              <w:top w:val="nil"/>
              <w:left w:val="nil"/>
              <w:right w:val="single" w:sz="4" w:space="0" w:color="auto"/>
            </w:tcBorders>
            <w:shd w:val="clear" w:color="auto" w:fill="auto"/>
            <w:vAlign w:val="center"/>
            <w:hideMark/>
          </w:tcPr>
          <w:p w14:paraId="01190CE1" w14:textId="77777777" w:rsidR="00566C6E" w:rsidRPr="004E74A6" w:rsidRDefault="00566C6E" w:rsidP="00832773">
            <w:pPr>
              <w:spacing w:line="276" w:lineRule="auto"/>
              <w:rPr>
                <w:rFonts w:cs="Calibri"/>
                <w:color w:val="000000"/>
                <w:sz w:val="20"/>
                <w:lang w:eastAsia="es-CR"/>
              </w:rPr>
            </w:pPr>
            <w:r w:rsidRPr="004E74A6">
              <w:rPr>
                <w:rFonts w:cs="Calibri"/>
                <w:color w:val="000000"/>
                <w:sz w:val="20"/>
                <w:lang w:eastAsia="es-CR"/>
              </w:rPr>
              <w:t>Juzgado Civil del Primer Circuito Judicial de Alajuela</w:t>
            </w:r>
          </w:p>
        </w:tc>
        <w:tc>
          <w:tcPr>
            <w:tcW w:w="1700" w:type="dxa"/>
            <w:tcBorders>
              <w:top w:val="nil"/>
              <w:left w:val="single" w:sz="4" w:space="0" w:color="auto"/>
              <w:right w:val="single" w:sz="4" w:space="0" w:color="auto"/>
            </w:tcBorders>
            <w:shd w:val="clear" w:color="auto" w:fill="auto"/>
            <w:vAlign w:val="center"/>
            <w:hideMark/>
          </w:tcPr>
          <w:p w14:paraId="390FB8AE" w14:textId="77777777" w:rsidR="00566C6E" w:rsidRPr="004E74A6" w:rsidRDefault="00566C6E" w:rsidP="00832773">
            <w:pPr>
              <w:spacing w:line="276" w:lineRule="auto"/>
              <w:jc w:val="center"/>
              <w:rPr>
                <w:rFonts w:cs="Calibri"/>
                <w:color w:val="000000"/>
                <w:sz w:val="20"/>
                <w:lang w:eastAsia="es-CR"/>
              </w:rPr>
            </w:pPr>
            <w:r w:rsidRPr="004E74A6">
              <w:rPr>
                <w:rFonts w:cs="Calibri"/>
                <w:color w:val="000000"/>
                <w:sz w:val="20"/>
                <w:lang w:eastAsia="es-CR"/>
              </w:rPr>
              <w:t>1050</w:t>
            </w:r>
          </w:p>
        </w:tc>
        <w:tc>
          <w:tcPr>
            <w:tcW w:w="2695" w:type="dxa"/>
            <w:tcBorders>
              <w:top w:val="nil"/>
              <w:left w:val="single" w:sz="4" w:space="0" w:color="auto"/>
              <w:right w:val="single" w:sz="4" w:space="0" w:color="auto"/>
            </w:tcBorders>
            <w:shd w:val="clear" w:color="auto" w:fill="auto"/>
            <w:vAlign w:val="center"/>
            <w:hideMark/>
          </w:tcPr>
          <w:p w14:paraId="2B2CB3BF" w14:textId="77777777" w:rsidR="00566C6E" w:rsidRPr="004E74A6" w:rsidRDefault="00566C6E" w:rsidP="00832773">
            <w:pPr>
              <w:spacing w:line="276" w:lineRule="auto"/>
              <w:jc w:val="center"/>
              <w:rPr>
                <w:rFonts w:cs="Calibri"/>
                <w:color w:val="000000"/>
                <w:sz w:val="20"/>
                <w:lang w:eastAsia="es-CR"/>
              </w:rPr>
            </w:pPr>
            <w:r w:rsidRPr="004E74A6">
              <w:rPr>
                <w:rFonts w:cs="Calibri"/>
                <w:color w:val="000000"/>
                <w:sz w:val="20"/>
                <w:lang w:eastAsia="es-CR"/>
              </w:rPr>
              <w:t>14,7</w:t>
            </w:r>
          </w:p>
        </w:tc>
        <w:tc>
          <w:tcPr>
            <w:tcW w:w="1559" w:type="dxa"/>
            <w:tcBorders>
              <w:top w:val="nil"/>
              <w:left w:val="single" w:sz="4" w:space="0" w:color="auto"/>
              <w:right w:val="single" w:sz="4" w:space="0" w:color="auto"/>
            </w:tcBorders>
            <w:shd w:val="clear" w:color="auto" w:fill="auto"/>
            <w:vAlign w:val="center"/>
            <w:hideMark/>
          </w:tcPr>
          <w:p w14:paraId="6CF85EBB" w14:textId="77777777" w:rsidR="00566C6E" w:rsidRPr="004E74A6" w:rsidRDefault="00566C6E" w:rsidP="00832773">
            <w:pPr>
              <w:spacing w:line="276" w:lineRule="auto"/>
              <w:jc w:val="center"/>
              <w:rPr>
                <w:rFonts w:cs="Calibri"/>
                <w:color w:val="000000"/>
                <w:sz w:val="20"/>
                <w:lang w:eastAsia="es-CR"/>
              </w:rPr>
            </w:pPr>
            <w:r w:rsidRPr="004E74A6">
              <w:rPr>
                <w:rFonts w:cs="Calibri"/>
                <w:color w:val="000000"/>
                <w:sz w:val="20"/>
                <w:lang w:eastAsia="es-CR"/>
              </w:rPr>
              <w:t>1064,7</w:t>
            </w:r>
          </w:p>
        </w:tc>
        <w:tc>
          <w:tcPr>
            <w:tcW w:w="2177" w:type="dxa"/>
            <w:tcBorders>
              <w:top w:val="nil"/>
              <w:left w:val="single" w:sz="4" w:space="0" w:color="auto"/>
              <w:right w:val="nil"/>
            </w:tcBorders>
            <w:shd w:val="clear" w:color="auto" w:fill="auto"/>
            <w:vAlign w:val="center"/>
            <w:hideMark/>
          </w:tcPr>
          <w:p w14:paraId="0F571C8E" w14:textId="77777777" w:rsidR="00566C6E" w:rsidRPr="004E74A6" w:rsidRDefault="00566C6E" w:rsidP="00832773">
            <w:pPr>
              <w:spacing w:line="276" w:lineRule="auto"/>
              <w:jc w:val="center"/>
              <w:rPr>
                <w:rFonts w:cs="Calibri"/>
                <w:color w:val="000000"/>
                <w:sz w:val="20"/>
                <w:lang w:eastAsia="es-CR"/>
              </w:rPr>
            </w:pPr>
            <w:r w:rsidRPr="004E74A6">
              <w:rPr>
                <w:rFonts w:cs="Calibri"/>
                <w:color w:val="000000"/>
                <w:sz w:val="20"/>
                <w:lang w:eastAsia="es-CR"/>
              </w:rPr>
              <w:t>1%</w:t>
            </w:r>
          </w:p>
        </w:tc>
      </w:tr>
      <w:tr w:rsidR="00A46718" w:rsidRPr="004E74A6" w14:paraId="310051B9" w14:textId="77777777" w:rsidTr="00EB102E">
        <w:trPr>
          <w:trHeight w:val="510"/>
        </w:trPr>
        <w:tc>
          <w:tcPr>
            <w:tcW w:w="2835" w:type="dxa"/>
            <w:tcBorders>
              <w:left w:val="nil"/>
              <w:right w:val="single" w:sz="4" w:space="0" w:color="auto"/>
            </w:tcBorders>
            <w:shd w:val="clear" w:color="auto" w:fill="F2F2F2" w:themeFill="background1" w:themeFillShade="F2"/>
            <w:vAlign w:val="center"/>
            <w:hideMark/>
          </w:tcPr>
          <w:p w14:paraId="40C5E1F8" w14:textId="77777777" w:rsidR="00566C6E" w:rsidRPr="004E74A6" w:rsidRDefault="00566C6E" w:rsidP="00832773">
            <w:pPr>
              <w:spacing w:after="240" w:line="276" w:lineRule="auto"/>
              <w:rPr>
                <w:rFonts w:cs="Calibri"/>
                <w:color w:val="000000"/>
                <w:sz w:val="20"/>
                <w:lang w:eastAsia="es-CR"/>
              </w:rPr>
            </w:pPr>
            <w:r w:rsidRPr="004E74A6">
              <w:rPr>
                <w:rFonts w:cs="Calibri"/>
                <w:color w:val="000000"/>
                <w:sz w:val="20"/>
                <w:lang w:eastAsia="es-CR"/>
              </w:rPr>
              <w:t>Juzgado Civil del Segundo Circuito Judicial de Alajuela</w:t>
            </w:r>
          </w:p>
        </w:tc>
        <w:tc>
          <w:tcPr>
            <w:tcW w:w="1700" w:type="dxa"/>
            <w:tcBorders>
              <w:left w:val="single" w:sz="4" w:space="0" w:color="auto"/>
              <w:right w:val="single" w:sz="4" w:space="0" w:color="auto"/>
            </w:tcBorders>
            <w:shd w:val="clear" w:color="auto" w:fill="F2F2F2" w:themeFill="background1" w:themeFillShade="F2"/>
            <w:vAlign w:val="center"/>
            <w:hideMark/>
          </w:tcPr>
          <w:p w14:paraId="027AB001" w14:textId="77777777" w:rsidR="00566C6E" w:rsidRPr="004E74A6" w:rsidRDefault="00566C6E" w:rsidP="00832773">
            <w:pPr>
              <w:spacing w:after="240" w:line="276" w:lineRule="auto"/>
              <w:jc w:val="center"/>
              <w:rPr>
                <w:rFonts w:cs="Calibri"/>
                <w:color w:val="000000"/>
                <w:sz w:val="20"/>
                <w:lang w:eastAsia="es-CR"/>
              </w:rPr>
            </w:pPr>
            <w:r w:rsidRPr="004E74A6">
              <w:rPr>
                <w:rFonts w:cs="Calibri"/>
                <w:color w:val="000000"/>
                <w:sz w:val="20"/>
                <w:lang w:eastAsia="es-CR"/>
              </w:rPr>
              <w:t>522</w:t>
            </w:r>
          </w:p>
        </w:tc>
        <w:tc>
          <w:tcPr>
            <w:tcW w:w="2695" w:type="dxa"/>
            <w:tcBorders>
              <w:left w:val="single" w:sz="4" w:space="0" w:color="auto"/>
              <w:right w:val="single" w:sz="4" w:space="0" w:color="auto"/>
            </w:tcBorders>
            <w:shd w:val="clear" w:color="auto" w:fill="F2F2F2" w:themeFill="background1" w:themeFillShade="F2"/>
            <w:vAlign w:val="center"/>
            <w:hideMark/>
          </w:tcPr>
          <w:p w14:paraId="37BEBFB9" w14:textId="77777777" w:rsidR="00566C6E" w:rsidRPr="004E74A6" w:rsidRDefault="00566C6E" w:rsidP="00832773">
            <w:pPr>
              <w:spacing w:after="240" w:line="276" w:lineRule="auto"/>
              <w:jc w:val="center"/>
              <w:rPr>
                <w:rFonts w:cs="Calibri"/>
                <w:color w:val="000000"/>
                <w:sz w:val="20"/>
                <w:lang w:eastAsia="es-CR"/>
              </w:rPr>
            </w:pPr>
            <w:r w:rsidRPr="004E74A6">
              <w:rPr>
                <w:rFonts w:cs="Calibri"/>
                <w:color w:val="000000"/>
                <w:sz w:val="20"/>
                <w:lang w:eastAsia="es-CR"/>
              </w:rPr>
              <w:t>7,1</w:t>
            </w:r>
          </w:p>
        </w:tc>
        <w:tc>
          <w:tcPr>
            <w:tcW w:w="1559" w:type="dxa"/>
            <w:tcBorders>
              <w:left w:val="single" w:sz="4" w:space="0" w:color="auto"/>
              <w:right w:val="single" w:sz="4" w:space="0" w:color="auto"/>
            </w:tcBorders>
            <w:shd w:val="clear" w:color="auto" w:fill="F2F2F2" w:themeFill="background1" w:themeFillShade="F2"/>
            <w:vAlign w:val="center"/>
            <w:hideMark/>
          </w:tcPr>
          <w:p w14:paraId="2BCE003D" w14:textId="77777777" w:rsidR="00566C6E" w:rsidRPr="004E74A6" w:rsidRDefault="00566C6E" w:rsidP="00832773">
            <w:pPr>
              <w:spacing w:after="240" w:line="276" w:lineRule="auto"/>
              <w:jc w:val="center"/>
              <w:rPr>
                <w:rFonts w:cs="Calibri"/>
                <w:color w:val="000000"/>
                <w:sz w:val="20"/>
                <w:lang w:eastAsia="es-CR"/>
              </w:rPr>
            </w:pPr>
            <w:r w:rsidRPr="004E74A6">
              <w:rPr>
                <w:rFonts w:cs="Calibri"/>
                <w:color w:val="000000"/>
                <w:sz w:val="20"/>
                <w:lang w:eastAsia="es-CR"/>
              </w:rPr>
              <w:t>529,1</w:t>
            </w:r>
          </w:p>
        </w:tc>
        <w:tc>
          <w:tcPr>
            <w:tcW w:w="2177" w:type="dxa"/>
            <w:tcBorders>
              <w:left w:val="single" w:sz="4" w:space="0" w:color="auto"/>
              <w:right w:val="nil"/>
            </w:tcBorders>
            <w:shd w:val="clear" w:color="auto" w:fill="F2F2F2" w:themeFill="background1" w:themeFillShade="F2"/>
            <w:vAlign w:val="center"/>
            <w:hideMark/>
          </w:tcPr>
          <w:p w14:paraId="18EC0173" w14:textId="77777777" w:rsidR="00566C6E" w:rsidRPr="004E74A6" w:rsidRDefault="00566C6E" w:rsidP="00832773">
            <w:pPr>
              <w:spacing w:after="240" w:line="276" w:lineRule="auto"/>
              <w:jc w:val="center"/>
              <w:rPr>
                <w:rFonts w:cs="Calibri"/>
                <w:color w:val="000000"/>
                <w:sz w:val="20"/>
                <w:lang w:eastAsia="es-CR"/>
              </w:rPr>
            </w:pPr>
            <w:r w:rsidRPr="004E74A6">
              <w:rPr>
                <w:rFonts w:cs="Calibri"/>
                <w:color w:val="000000"/>
                <w:sz w:val="20"/>
                <w:lang w:eastAsia="es-CR"/>
              </w:rPr>
              <w:t>1%</w:t>
            </w:r>
          </w:p>
        </w:tc>
      </w:tr>
      <w:tr w:rsidR="00A46718" w:rsidRPr="004E74A6" w14:paraId="3C17B646" w14:textId="77777777" w:rsidTr="00EB102E">
        <w:trPr>
          <w:trHeight w:val="510"/>
        </w:trPr>
        <w:tc>
          <w:tcPr>
            <w:tcW w:w="2835" w:type="dxa"/>
            <w:tcBorders>
              <w:top w:val="nil"/>
              <w:left w:val="nil"/>
              <w:right w:val="single" w:sz="4" w:space="0" w:color="auto"/>
            </w:tcBorders>
            <w:shd w:val="clear" w:color="auto" w:fill="auto"/>
            <w:vAlign w:val="center"/>
            <w:hideMark/>
          </w:tcPr>
          <w:p w14:paraId="744C01D7" w14:textId="77777777" w:rsidR="00566C6E" w:rsidRPr="004E74A6" w:rsidRDefault="00566C6E" w:rsidP="00832773">
            <w:pPr>
              <w:spacing w:after="240" w:line="276" w:lineRule="auto"/>
              <w:rPr>
                <w:rFonts w:cs="Calibri"/>
                <w:color w:val="000000"/>
                <w:sz w:val="20"/>
                <w:lang w:eastAsia="es-CR"/>
              </w:rPr>
            </w:pPr>
            <w:r w:rsidRPr="004E74A6">
              <w:rPr>
                <w:rFonts w:cs="Calibri"/>
                <w:color w:val="000000"/>
                <w:sz w:val="20"/>
                <w:lang w:eastAsia="es-CR"/>
              </w:rPr>
              <w:t>Juzgado Civil y Trabajo de San Ramón</w:t>
            </w:r>
          </w:p>
        </w:tc>
        <w:tc>
          <w:tcPr>
            <w:tcW w:w="1700" w:type="dxa"/>
            <w:tcBorders>
              <w:top w:val="nil"/>
              <w:left w:val="single" w:sz="4" w:space="0" w:color="auto"/>
              <w:right w:val="single" w:sz="4" w:space="0" w:color="auto"/>
            </w:tcBorders>
            <w:shd w:val="clear" w:color="auto" w:fill="auto"/>
            <w:vAlign w:val="center"/>
            <w:hideMark/>
          </w:tcPr>
          <w:p w14:paraId="22EF9AEE" w14:textId="77777777" w:rsidR="00566C6E" w:rsidRPr="004E74A6" w:rsidRDefault="00566C6E" w:rsidP="00832773">
            <w:pPr>
              <w:spacing w:after="240" w:line="276" w:lineRule="auto"/>
              <w:jc w:val="center"/>
              <w:rPr>
                <w:rFonts w:cs="Calibri"/>
                <w:color w:val="000000"/>
                <w:sz w:val="20"/>
                <w:lang w:eastAsia="es-CR"/>
              </w:rPr>
            </w:pPr>
            <w:r w:rsidRPr="004E74A6">
              <w:rPr>
                <w:rFonts w:cs="Calibri"/>
                <w:color w:val="000000"/>
                <w:sz w:val="20"/>
                <w:lang w:eastAsia="es-CR"/>
              </w:rPr>
              <w:t>409</w:t>
            </w:r>
          </w:p>
        </w:tc>
        <w:tc>
          <w:tcPr>
            <w:tcW w:w="2695" w:type="dxa"/>
            <w:tcBorders>
              <w:top w:val="nil"/>
              <w:left w:val="single" w:sz="4" w:space="0" w:color="auto"/>
              <w:right w:val="single" w:sz="4" w:space="0" w:color="auto"/>
            </w:tcBorders>
            <w:shd w:val="clear" w:color="auto" w:fill="auto"/>
            <w:vAlign w:val="center"/>
            <w:hideMark/>
          </w:tcPr>
          <w:p w14:paraId="5D175FD2" w14:textId="77777777" w:rsidR="00566C6E" w:rsidRPr="004E74A6" w:rsidRDefault="00566C6E" w:rsidP="00832773">
            <w:pPr>
              <w:spacing w:after="240" w:line="276" w:lineRule="auto"/>
              <w:jc w:val="center"/>
              <w:rPr>
                <w:rFonts w:cs="Calibri"/>
                <w:color w:val="000000"/>
                <w:sz w:val="20"/>
                <w:lang w:eastAsia="es-CR"/>
              </w:rPr>
            </w:pPr>
            <w:r w:rsidRPr="004E74A6">
              <w:rPr>
                <w:rFonts w:cs="Calibri"/>
                <w:color w:val="000000"/>
                <w:sz w:val="20"/>
                <w:lang w:eastAsia="es-CR"/>
              </w:rPr>
              <w:t>7,1</w:t>
            </w:r>
          </w:p>
        </w:tc>
        <w:tc>
          <w:tcPr>
            <w:tcW w:w="1559" w:type="dxa"/>
            <w:tcBorders>
              <w:top w:val="nil"/>
              <w:left w:val="single" w:sz="4" w:space="0" w:color="auto"/>
              <w:right w:val="single" w:sz="4" w:space="0" w:color="auto"/>
            </w:tcBorders>
            <w:shd w:val="clear" w:color="auto" w:fill="auto"/>
            <w:vAlign w:val="center"/>
            <w:hideMark/>
          </w:tcPr>
          <w:p w14:paraId="64C3E071" w14:textId="77777777" w:rsidR="00566C6E" w:rsidRPr="004E74A6" w:rsidRDefault="00566C6E" w:rsidP="00832773">
            <w:pPr>
              <w:spacing w:after="240" w:line="276" w:lineRule="auto"/>
              <w:jc w:val="center"/>
              <w:rPr>
                <w:rFonts w:cs="Calibri"/>
                <w:color w:val="000000"/>
                <w:sz w:val="20"/>
                <w:lang w:eastAsia="es-CR"/>
              </w:rPr>
            </w:pPr>
            <w:r w:rsidRPr="004E74A6">
              <w:rPr>
                <w:rFonts w:cs="Calibri"/>
                <w:color w:val="000000"/>
                <w:sz w:val="20"/>
                <w:lang w:eastAsia="es-CR"/>
              </w:rPr>
              <w:t>416,1</w:t>
            </w:r>
          </w:p>
        </w:tc>
        <w:tc>
          <w:tcPr>
            <w:tcW w:w="2177" w:type="dxa"/>
            <w:tcBorders>
              <w:top w:val="nil"/>
              <w:left w:val="single" w:sz="4" w:space="0" w:color="auto"/>
              <w:right w:val="nil"/>
            </w:tcBorders>
            <w:shd w:val="clear" w:color="auto" w:fill="auto"/>
            <w:vAlign w:val="center"/>
            <w:hideMark/>
          </w:tcPr>
          <w:p w14:paraId="49863122" w14:textId="77777777" w:rsidR="00566C6E" w:rsidRPr="004E74A6" w:rsidRDefault="00566C6E" w:rsidP="00832773">
            <w:pPr>
              <w:spacing w:after="240" w:line="276" w:lineRule="auto"/>
              <w:jc w:val="center"/>
              <w:rPr>
                <w:rFonts w:cs="Calibri"/>
                <w:color w:val="000000"/>
                <w:sz w:val="20"/>
                <w:lang w:eastAsia="es-CR"/>
              </w:rPr>
            </w:pPr>
            <w:r w:rsidRPr="004E74A6">
              <w:rPr>
                <w:rFonts w:cs="Calibri"/>
                <w:color w:val="000000"/>
                <w:sz w:val="20"/>
                <w:lang w:eastAsia="es-CR"/>
              </w:rPr>
              <w:t>2%</w:t>
            </w:r>
          </w:p>
        </w:tc>
      </w:tr>
      <w:tr w:rsidR="00A46718" w:rsidRPr="004E74A6" w14:paraId="05E4D20F" w14:textId="77777777" w:rsidTr="00EB102E">
        <w:trPr>
          <w:trHeight w:val="510"/>
        </w:trPr>
        <w:tc>
          <w:tcPr>
            <w:tcW w:w="2835" w:type="dxa"/>
            <w:tcBorders>
              <w:top w:val="nil"/>
              <w:left w:val="nil"/>
              <w:right w:val="single" w:sz="4" w:space="0" w:color="auto"/>
            </w:tcBorders>
            <w:shd w:val="clear" w:color="auto" w:fill="F2F2F2" w:themeFill="background1" w:themeFillShade="F2"/>
            <w:vAlign w:val="center"/>
            <w:hideMark/>
          </w:tcPr>
          <w:p w14:paraId="74B87BDC" w14:textId="77777777" w:rsidR="00566C6E" w:rsidRPr="004E74A6" w:rsidRDefault="00566C6E" w:rsidP="00832773">
            <w:pPr>
              <w:spacing w:line="276" w:lineRule="auto"/>
              <w:rPr>
                <w:rFonts w:cs="Calibri"/>
                <w:color w:val="000000"/>
                <w:sz w:val="20"/>
                <w:lang w:eastAsia="es-CR"/>
              </w:rPr>
            </w:pPr>
            <w:r w:rsidRPr="004E74A6">
              <w:rPr>
                <w:rFonts w:cs="Calibri"/>
                <w:color w:val="000000"/>
                <w:sz w:val="20"/>
                <w:lang w:eastAsia="es-CR"/>
              </w:rPr>
              <w:t>Juzgado Civil y Trabajo de Grecia</w:t>
            </w:r>
          </w:p>
        </w:tc>
        <w:tc>
          <w:tcPr>
            <w:tcW w:w="1700" w:type="dxa"/>
            <w:tcBorders>
              <w:top w:val="nil"/>
              <w:left w:val="single" w:sz="4" w:space="0" w:color="auto"/>
              <w:right w:val="single" w:sz="4" w:space="0" w:color="auto"/>
            </w:tcBorders>
            <w:shd w:val="clear" w:color="auto" w:fill="F2F2F2" w:themeFill="background1" w:themeFillShade="F2"/>
            <w:vAlign w:val="center"/>
            <w:hideMark/>
          </w:tcPr>
          <w:p w14:paraId="64749E5B" w14:textId="77777777" w:rsidR="00566C6E" w:rsidRPr="004E74A6" w:rsidRDefault="00566C6E" w:rsidP="00832773">
            <w:pPr>
              <w:spacing w:line="276" w:lineRule="auto"/>
              <w:jc w:val="center"/>
              <w:rPr>
                <w:rFonts w:cs="Calibri"/>
                <w:color w:val="000000"/>
                <w:sz w:val="20"/>
                <w:lang w:eastAsia="es-CR"/>
              </w:rPr>
            </w:pPr>
            <w:r w:rsidRPr="004E74A6">
              <w:rPr>
                <w:rFonts w:cs="Calibri"/>
                <w:color w:val="000000"/>
                <w:sz w:val="20"/>
                <w:lang w:eastAsia="es-CR"/>
              </w:rPr>
              <w:t>397</w:t>
            </w:r>
          </w:p>
        </w:tc>
        <w:tc>
          <w:tcPr>
            <w:tcW w:w="2695" w:type="dxa"/>
            <w:tcBorders>
              <w:top w:val="nil"/>
              <w:left w:val="single" w:sz="4" w:space="0" w:color="auto"/>
              <w:right w:val="single" w:sz="4" w:space="0" w:color="auto"/>
            </w:tcBorders>
            <w:shd w:val="clear" w:color="auto" w:fill="F2F2F2" w:themeFill="background1" w:themeFillShade="F2"/>
            <w:vAlign w:val="center"/>
            <w:hideMark/>
          </w:tcPr>
          <w:p w14:paraId="68EBF793" w14:textId="77777777" w:rsidR="00566C6E" w:rsidRPr="004E74A6" w:rsidRDefault="00566C6E" w:rsidP="00832773">
            <w:pPr>
              <w:spacing w:line="276" w:lineRule="auto"/>
              <w:jc w:val="center"/>
              <w:rPr>
                <w:rFonts w:cs="Calibri"/>
                <w:color w:val="000000"/>
                <w:sz w:val="20"/>
                <w:lang w:eastAsia="es-CR"/>
              </w:rPr>
            </w:pPr>
            <w:r w:rsidRPr="004E74A6">
              <w:rPr>
                <w:rFonts w:cs="Calibri"/>
                <w:color w:val="000000"/>
                <w:sz w:val="20"/>
                <w:lang w:eastAsia="es-CR"/>
              </w:rPr>
              <w:t>7,1</w:t>
            </w:r>
          </w:p>
        </w:tc>
        <w:tc>
          <w:tcPr>
            <w:tcW w:w="1559" w:type="dxa"/>
            <w:tcBorders>
              <w:top w:val="nil"/>
              <w:left w:val="single" w:sz="4" w:space="0" w:color="auto"/>
              <w:right w:val="single" w:sz="4" w:space="0" w:color="auto"/>
            </w:tcBorders>
            <w:shd w:val="clear" w:color="auto" w:fill="F2F2F2" w:themeFill="background1" w:themeFillShade="F2"/>
            <w:vAlign w:val="center"/>
            <w:hideMark/>
          </w:tcPr>
          <w:p w14:paraId="3F85BF88" w14:textId="77777777" w:rsidR="00566C6E" w:rsidRPr="004E74A6" w:rsidRDefault="00566C6E" w:rsidP="00832773">
            <w:pPr>
              <w:spacing w:line="276" w:lineRule="auto"/>
              <w:jc w:val="center"/>
              <w:rPr>
                <w:rFonts w:cs="Calibri"/>
                <w:color w:val="000000"/>
                <w:sz w:val="20"/>
                <w:lang w:eastAsia="es-CR"/>
              </w:rPr>
            </w:pPr>
            <w:r w:rsidRPr="004E74A6">
              <w:rPr>
                <w:rFonts w:cs="Calibri"/>
                <w:color w:val="000000"/>
                <w:sz w:val="20"/>
                <w:lang w:eastAsia="es-CR"/>
              </w:rPr>
              <w:t>404,1</w:t>
            </w:r>
          </w:p>
        </w:tc>
        <w:tc>
          <w:tcPr>
            <w:tcW w:w="2177" w:type="dxa"/>
            <w:tcBorders>
              <w:top w:val="nil"/>
              <w:left w:val="single" w:sz="4" w:space="0" w:color="auto"/>
              <w:right w:val="nil"/>
            </w:tcBorders>
            <w:shd w:val="clear" w:color="auto" w:fill="F2F2F2" w:themeFill="background1" w:themeFillShade="F2"/>
            <w:vAlign w:val="center"/>
            <w:hideMark/>
          </w:tcPr>
          <w:p w14:paraId="0911AB49" w14:textId="77777777" w:rsidR="00566C6E" w:rsidRPr="004E74A6" w:rsidRDefault="00566C6E" w:rsidP="00832773">
            <w:pPr>
              <w:spacing w:line="276" w:lineRule="auto"/>
              <w:jc w:val="center"/>
              <w:rPr>
                <w:rFonts w:cs="Calibri"/>
                <w:color w:val="000000"/>
                <w:sz w:val="20"/>
                <w:lang w:eastAsia="es-CR"/>
              </w:rPr>
            </w:pPr>
            <w:r w:rsidRPr="004E74A6">
              <w:rPr>
                <w:rFonts w:cs="Calibri"/>
                <w:color w:val="000000"/>
                <w:sz w:val="20"/>
                <w:lang w:eastAsia="es-CR"/>
              </w:rPr>
              <w:t>2%</w:t>
            </w:r>
          </w:p>
        </w:tc>
      </w:tr>
      <w:tr w:rsidR="00A46718" w:rsidRPr="004E74A6" w14:paraId="435F2245" w14:textId="77777777" w:rsidTr="00EB102E">
        <w:trPr>
          <w:trHeight w:val="510"/>
        </w:trPr>
        <w:tc>
          <w:tcPr>
            <w:tcW w:w="2835" w:type="dxa"/>
            <w:tcBorders>
              <w:left w:val="nil"/>
              <w:right w:val="single" w:sz="4" w:space="0" w:color="auto"/>
            </w:tcBorders>
            <w:shd w:val="clear" w:color="auto" w:fill="auto"/>
            <w:vAlign w:val="center"/>
            <w:hideMark/>
          </w:tcPr>
          <w:p w14:paraId="365B4851" w14:textId="77777777" w:rsidR="00566C6E" w:rsidRPr="004E74A6" w:rsidRDefault="00566C6E" w:rsidP="00832773">
            <w:pPr>
              <w:spacing w:line="276" w:lineRule="auto"/>
              <w:rPr>
                <w:rFonts w:cs="Calibri"/>
                <w:color w:val="000000"/>
                <w:sz w:val="20"/>
                <w:lang w:eastAsia="es-CR"/>
              </w:rPr>
            </w:pPr>
            <w:r w:rsidRPr="004E74A6">
              <w:rPr>
                <w:rFonts w:cs="Calibri"/>
                <w:color w:val="000000"/>
                <w:sz w:val="20"/>
                <w:lang w:eastAsia="es-CR"/>
              </w:rPr>
              <w:lastRenderedPageBreak/>
              <w:t>Juzgado Civil de Cartago</w:t>
            </w:r>
          </w:p>
        </w:tc>
        <w:tc>
          <w:tcPr>
            <w:tcW w:w="1700" w:type="dxa"/>
            <w:tcBorders>
              <w:left w:val="single" w:sz="4" w:space="0" w:color="auto"/>
              <w:right w:val="single" w:sz="4" w:space="0" w:color="auto"/>
            </w:tcBorders>
            <w:shd w:val="clear" w:color="auto" w:fill="auto"/>
            <w:vAlign w:val="center"/>
            <w:hideMark/>
          </w:tcPr>
          <w:p w14:paraId="66F20E1C" w14:textId="77777777" w:rsidR="00566C6E" w:rsidRPr="004E74A6" w:rsidRDefault="00566C6E" w:rsidP="00832773">
            <w:pPr>
              <w:spacing w:line="276" w:lineRule="auto"/>
              <w:jc w:val="center"/>
              <w:rPr>
                <w:rFonts w:cs="Calibri"/>
                <w:color w:val="000000"/>
                <w:sz w:val="20"/>
                <w:lang w:eastAsia="es-CR"/>
              </w:rPr>
            </w:pPr>
            <w:r w:rsidRPr="004E74A6">
              <w:rPr>
                <w:rFonts w:cs="Calibri"/>
                <w:color w:val="000000"/>
                <w:sz w:val="20"/>
                <w:lang w:eastAsia="es-CR"/>
              </w:rPr>
              <w:t>1073</w:t>
            </w:r>
          </w:p>
        </w:tc>
        <w:tc>
          <w:tcPr>
            <w:tcW w:w="2695" w:type="dxa"/>
            <w:tcBorders>
              <w:left w:val="single" w:sz="4" w:space="0" w:color="auto"/>
              <w:right w:val="single" w:sz="4" w:space="0" w:color="auto"/>
            </w:tcBorders>
            <w:shd w:val="clear" w:color="auto" w:fill="auto"/>
            <w:vAlign w:val="center"/>
            <w:hideMark/>
          </w:tcPr>
          <w:p w14:paraId="6F143B56" w14:textId="77777777" w:rsidR="00566C6E" w:rsidRPr="004E74A6" w:rsidRDefault="00566C6E" w:rsidP="00832773">
            <w:pPr>
              <w:spacing w:line="276" w:lineRule="auto"/>
              <w:jc w:val="center"/>
              <w:rPr>
                <w:rFonts w:cs="Calibri"/>
                <w:color w:val="000000"/>
                <w:sz w:val="20"/>
                <w:lang w:eastAsia="es-CR"/>
              </w:rPr>
            </w:pPr>
            <w:r w:rsidRPr="004E74A6">
              <w:rPr>
                <w:rFonts w:cs="Calibri"/>
                <w:color w:val="000000"/>
                <w:sz w:val="20"/>
                <w:lang w:eastAsia="es-CR"/>
              </w:rPr>
              <w:t>32,4</w:t>
            </w:r>
          </w:p>
        </w:tc>
        <w:tc>
          <w:tcPr>
            <w:tcW w:w="1559" w:type="dxa"/>
            <w:tcBorders>
              <w:left w:val="single" w:sz="4" w:space="0" w:color="auto"/>
              <w:right w:val="single" w:sz="4" w:space="0" w:color="auto"/>
            </w:tcBorders>
            <w:shd w:val="clear" w:color="auto" w:fill="auto"/>
            <w:vAlign w:val="center"/>
            <w:hideMark/>
          </w:tcPr>
          <w:p w14:paraId="7635330C" w14:textId="77777777" w:rsidR="00566C6E" w:rsidRPr="004E74A6" w:rsidRDefault="00566C6E" w:rsidP="00832773">
            <w:pPr>
              <w:spacing w:line="276" w:lineRule="auto"/>
              <w:jc w:val="center"/>
              <w:rPr>
                <w:rFonts w:cs="Calibri"/>
                <w:color w:val="000000"/>
                <w:sz w:val="20"/>
                <w:lang w:eastAsia="es-CR"/>
              </w:rPr>
            </w:pPr>
            <w:r w:rsidRPr="004E74A6">
              <w:rPr>
                <w:rFonts w:cs="Calibri"/>
                <w:color w:val="000000"/>
                <w:sz w:val="20"/>
                <w:lang w:eastAsia="es-CR"/>
              </w:rPr>
              <w:t>1105,4</w:t>
            </w:r>
          </w:p>
        </w:tc>
        <w:tc>
          <w:tcPr>
            <w:tcW w:w="2177" w:type="dxa"/>
            <w:tcBorders>
              <w:left w:val="single" w:sz="4" w:space="0" w:color="auto"/>
              <w:right w:val="nil"/>
            </w:tcBorders>
            <w:shd w:val="clear" w:color="auto" w:fill="auto"/>
            <w:vAlign w:val="center"/>
            <w:hideMark/>
          </w:tcPr>
          <w:p w14:paraId="71F44745" w14:textId="77777777" w:rsidR="00566C6E" w:rsidRPr="004E74A6" w:rsidRDefault="00566C6E" w:rsidP="00832773">
            <w:pPr>
              <w:spacing w:line="276" w:lineRule="auto"/>
              <w:jc w:val="center"/>
              <w:rPr>
                <w:rFonts w:cs="Calibri"/>
                <w:color w:val="000000"/>
                <w:sz w:val="20"/>
                <w:lang w:eastAsia="es-CR"/>
              </w:rPr>
            </w:pPr>
            <w:r w:rsidRPr="004E74A6">
              <w:rPr>
                <w:rFonts w:cs="Calibri"/>
                <w:color w:val="000000"/>
                <w:sz w:val="20"/>
                <w:lang w:eastAsia="es-CR"/>
              </w:rPr>
              <w:t>3%</w:t>
            </w:r>
          </w:p>
        </w:tc>
      </w:tr>
      <w:tr w:rsidR="00A46718" w:rsidRPr="004E74A6" w14:paraId="1E34B3E5" w14:textId="77777777" w:rsidTr="00EB102E">
        <w:trPr>
          <w:trHeight w:val="510"/>
        </w:trPr>
        <w:tc>
          <w:tcPr>
            <w:tcW w:w="2835" w:type="dxa"/>
            <w:tcBorders>
              <w:top w:val="nil"/>
              <w:left w:val="nil"/>
              <w:right w:val="single" w:sz="4" w:space="0" w:color="auto"/>
            </w:tcBorders>
            <w:shd w:val="clear" w:color="auto" w:fill="F2F2F2" w:themeFill="background1" w:themeFillShade="F2"/>
            <w:vAlign w:val="center"/>
            <w:hideMark/>
          </w:tcPr>
          <w:p w14:paraId="33B282D0" w14:textId="77777777" w:rsidR="00566C6E" w:rsidRPr="004E74A6" w:rsidRDefault="00566C6E" w:rsidP="00832773">
            <w:pPr>
              <w:spacing w:line="276" w:lineRule="auto"/>
              <w:rPr>
                <w:rFonts w:cs="Calibri"/>
                <w:color w:val="000000"/>
                <w:sz w:val="20"/>
                <w:lang w:eastAsia="es-CR"/>
              </w:rPr>
            </w:pPr>
            <w:r w:rsidRPr="004E74A6">
              <w:rPr>
                <w:rFonts w:cs="Calibri"/>
                <w:color w:val="000000"/>
                <w:sz w:val="20"/>
                <w:lang w:eastAsia="es-CR"/>
              </w:rPr>
              <w:t>Juzgado Civil, Trabajo y Agrario de Turrialba</w:t>
            </w:r>
          </w:p>
        </w:tc>
        <w:tc>
          <w:tcPr>
            <w:tcW w:w="1700" w:type="dxa"/>
            <w:tcBorders>
              <w:top w:val="nil"/>
              <w:left w:val="single" w:sz="4" w:space="0" w:color="auto"/>
              <w:right w:val="single" w:sz="4" w:space="0" w:color="auto"/>
            </w:tcBorders>
            <w:shd w:val="clear" w:color="auto" w:fill="F2F2F2" w:themeFill="background1" w:themeFillShade="F2"/>
            <w:vAlign w:val="center"/>
            <w:hideMark/>
          </w:tcPr>
          <w:p w14:paraId="625145EB" w14:textId="77777777" w:rsidR="00566C6E" w:rsidRPr="004E74A6" w:rsidRDefault="00566C6E" w:rsidP="00832773">
            <w:pPr>
              <w:spacing w:line="276" w:lineRule="auto"/>
              <w:jc w:val="center"/>
              <w:rPr>
                <w:rFonts w:cs="Calibri"/>
                <w:color w:val="000000"/>
                <w:sz w:val="20"/>
                <w:lang w:eastAsia="es-CR"/>
              </w:rPr>
            </w:pPr>
            <w:r w:rsidRPr="004E74A6">
              <w:rPr>
                <w:rFonts w:cs="Calibri"/>
                <w:color w:val="000000"/>
                <w:sz w:val="20"/>
                <w:lang w:eastAsia="es-CR"/>
              </w:rPr>
              <w:t>222</w:t>
            </w:r>
          </w:p>
        </w:tc>
        <w:tc>
          <w:tcPr>
            <w:tcW w:w="2695" w:type="dxa"/>
            <w:tcBorders>
              <w:top w:val="nil"/>
              <w:left w:val="single" w:sz="4" w:space="0" w:color="auto"/>
              <w:right w:val="single" w:sz="4" w:space="0" w:color="auto"/>
            </w:tcBorders>
            <w:shd w:val="clear" w:color="auto" w:fill="F2F2F2" w:themeFill="background1" w:themeFillShade="F2"/>
            <w:vAlign w:val="center"/>
            <w:hideMark/>
          </w:tcPr>
          <w:p w14:paraId="62F438D6" w14:textId="77777777" w:rsidR="00566C6E" w:rsidRPr="004E74A6" w:rsidRDefault="00566C6E" w:rsidP="00832773">
            <w:pPr>
              <w:spacing w:line="276" w:lineRule="auto"/>
              <w:jc w:val="center"/>
              <w:rPr>
                <w:rFonts w:cs="Calibri"/>
                <w:color w:val="000000"/>
                <w:sz w:val="20"/>
                <w:lang w:eastAsia="es-CR"/>
              </w:rPr>
            </w:pPr>
            <w:r w:rsidRPr="004E74A6">
              <w:rPr>
                <w:rFonts w:cs="Calibri"/>
                <w:color w:val="000000"/>
                <w:sz w:val="20"/>
                <w:lang w:eastAsia="es-CR"/>
              </w:rPr>
              <w:t>32,4</w:t>
            </w:r>
          </w:p>
        </w:tc>
        <w:tc>
          <w:tcPr>
            <w:tcW w:w="1559" w:type="dxa"/>
            <w:tcBorders>
              <w:top w:val="nil"/>
              <w:left w:val="single" w:sz="4" w:space="0" w:color="auto"/>
              <w:right w:val="single" w:sz="4" w:space="0" w:color="auto"/>
            </w:tcBorders>
            <w:shd w:val="clear" w:color="auto" w:fill="F2F2F2" w:themeFill="background1" w:themeFillShade="F2"/>
            <w:vAlign w:val="center"/>
            <w:hideMark/>
          </w:tcPr>
          <w:p w14:paraId="4E355C3B" w14:textId="77777777" w:rsidR="00566C6E" w:rsidRPr="004E74A6" w:rsidRDefault="00566C6E" w:rsidP="00832773">
            <w:pPr>
              <w:spacing w:line="276" w:lineRule="auto"/>
              <w:jc w:val="center"/>
              <w:rPr>
                <w:rFonts w:cs="Calibri"/>
                <w:color w:val="000000"/>
                <w:sz w:val="20"/>
                <w:lang w:eastAsia="es-CR"/>
              </w:rPr>
            </w:pPr>
            <w:r w:rsidRPr="004E74A6">
              <w:rPr>
                <w:rFonts w:cs="Calibri"/>
                <w:color w:val="000000"/>
                <w:sz w:val="20"/>
                <w:lang w:eastAsia="es-CR"/>
              </w:rPr>
              <w:t>254,4</w:t>
            </w:r>
          </w:p>
        </w:tc>
        <w:tc>
          <w:tcPr>
            <w:tcW w:w="2177" w:type="dxa"/>
            <w:tcBorders>
              <w:top w:val="nil"/>
              <w:left w:val="single" w:sz="4" w:space="0" w:color="auto"/>
              <w:right w:val="nil"/>
            </w:tcBorders>
            <w:shd w:val="clear" w:color="auto" w:fill="F2F2F2" w:themeFill="background1" w:themeFillShade="F2"/>
            <w:vAlign w:val="center"/>
            <w:hideMark/>
          </w:tcPr>
          <w:p w14:paraId="70203240" w14:textId="77777777" w:rsidR="00566C6E" w:rsidRPr="004E74A6" w:rsidRDefault="00566C6E" w:rsidP="00832773">
            <w:pPr>
              <w:spacing w:line="276" w:lineRule="auto"/>
              <w:jc w:val="center"/>
              <w:rPr>
                <w:rFonts w:cs="Calibri"/>
                <w:color w:val="000000"/>
                <w:sz w:val="20"/>
                <w:lang w:eastAsia="es-CR"/>
              </w:rPr>
            </w:pPr>
            <w:r w:rsidRPr="004E74A6">
              <w:rPr>
                <w:rFonts w:cs="Calibri"/>
                <w:color w:val="000000"/>
                <w:sz w:val="20"/>
                <w:lang w:eastAsia="es-CR"/>
              </w:rPr>
              <w:t>15%</w:t>
            </w:r>
          </w:p>
        </w:tc>
      </w:tr>
      <w:tr w:rsidR="00A46718" w:rsidRPr="004E74A6" w14:paraId="788CD66D" w14:textId="77777777" w:rsidTr="00EB102E">
        <w:trPr>
          <w:trHeight w:val="510"/>
        </w:trPr>
        <w:tc>
          <w:tcPr>
            <w:tcW w:w="2835" w:type="dxa"/>
            <w:tcBorders>
              <w:left w:val="nil"/>
              <w:right w:val="single" w:sz="4" w:space="0" w:color="auto"/>
            </w:tcBorders>
            <w:shd w:val="clear" w:color="auto" w:fill="auto"/>
            <w:vAlign w:val="center"/>
            <w:hideMark/>
          </w:tcPr>
          <w:p w14:paraId="66E6085E" w14:textId="77777777" w:rsidR="00566C6E" w:rsidRPr="004E74A6" w:rsidRDefault="00566C6E" w:rsidP="00832773">
            <w:pPr>
              <w:spacing w:after="240" w:line="276" w:lineRule="auto"/>
              <w:rPr>
                <w:rFonts w:cs="Calibri"/>
                <w:color w:val="000000"/>
                <w:sz w:val="20"/>
                <w:lang w:eastAsia="es-CR"/>
              </w:rPr>
            </w:pPr>
            <w:r w:rsidRPr="004E74A6">
              <w:rPr>
                <w:rFonts w:cs="Calibri"/>
                <w:color w:val="000000"/>
                <w:sz w:val="20"/>
                <w:lang w:eastAsia="es-CR"/>
              </w:rPr>
              <w:t>Juzgado Civil de Heredia</w:t>
            </w:r>
          </w:p>
        </w:tc>
        <w:tc>
          <w:tcPr>
            <w:tcW w:w="1700" w:type="dxa"/>
            <w:tcBorders>
              <w:left w:val="single" w:sz="4" w:space="0" w:color="auto"/>
              <w:right w:val="single" w:sz="4" w:space="0" w:color="auto"/>
            </w:tcBorders>
            <w:shd w:val="clear" w:color="auto" w:fill="auto"/>
            <w:vAlign w:val="center"/>
            <w:hideMark/>
          </w:tcPr>
          <w:p w14:paraId="21DBF67C" w14:textId="77777777" w:rsidR="00566C6E" w:rsidRPr="004E74A6" w:rsidRDefault="00566C6E" w:rsidP="00832773">
            <w:pPr>
              <w:spacing w:after="240" w:line="276" w:lineRule="auto"/>
              <w:jc w:val="center"/>
              <w:rPr>
                <w:rFonts w:cs="Calibri"/>
                <w:color w:val="000000"/>
                <w:sz w:val="20"/>
                <w:lang w:eastAsia="es-CR"/>
              </w:rPr>
            </w:pPr>
            <w:r w:rsidRPr="004E74A6">
              <w:rPr>
                <w:rFonts w:cs="Calibri"/>
                <w:color w:val="000000"/>
                <w:sz w:val="20"/>
                <w:lang w:eastAsia="es-CR"/>
              </w:rPr>
              <w:t>1484</w:t>
            </w:r>
          </w:p>
        </w:tc>
        <w:tc>
          <w:tcPr>
            <w:tcW w:w="2695" w:type="dxa"/>
            <w:tcBorders>
              <w:left w:val="single" w:sz="4" w:space="0" w:color="auto"/>
              <w:right w:val="single" w:sz="4" w:space="0" w:color="auto"/>
            </w:tcBorders>
            <w:shd w:val="clear" w:color="auto" w:fill="auto"/>
            <w:vAlign w:val="center"/>
            <w:hideMark/>
          </w:tcPr>
          <w:p w14:paraId="0E8BC1F3" w14:textId="77777777" w:rsidR="00566C6E" w:rsidRPr="004E74A6" w:rsidRDefault="00566C6E" w:rsidP="00832773">
            <w:pPr>
              <w:spacing w:after="240" w:line="276" w:lineRule="auto"/>
              <w:jc w:val="center"/>
              <w:rPr>
                <w:rFonts w:cs="Calibri"/>
                <w:color w:val="000000"/>
                <w:sz w:val="20"/>
                <w:lang w:eastAsia="es-CR"/>
              </w:rPr>
            </w:pPr>
            <w:r w:rsidRPr="004E74A6">
              <w:rPr>
                <w:rFonts w:cs="Calibri"/>
                <w:color w:val="000000"/>
                <w:sz w:val="20"/>
                <w:lang w:eastAsia="es-CR"/>
              </w:rPr>
              <w:t>35,2</w:t>
            </w:r>
          </w:p>
        </w:tc>
        <w:tc>
          <w:tcPr>
            <w:tcW w:w="1559" w:type="dxa"/>
            <w:tcBorders>
              <w:left w:val="single" w:sz="4" w:space="0" w:color="auto"/>
              <w:right w:val="single" w:sz="4" w:space="0" w:color="auto"/>
            </w:tcBorders>
            <w:shd w:val="clear" w:color="auto" w:fill="auto"/>
            <w:vAlign w:val="center"/>
            <w:hideMark/>
          </w:tcPr>
          <w:p w14:paraId="229C4505" w14:textId="77777777" w:rsidR="00566C6E" w:rsidRPr="004E74A6" w:rsidRDefault="00566C6E" w:rsidP="00832773">
            <w:pPr>
              <w:spacing w:after="240" w:line="276" w:lineRule="auto"/>
              <w:jc w:val="center"/>
              <w:rPr>
                <w:rFonts w:cs="Calibri"/>
                <w:color w:val="000000"/>
                <w:sz w:val="20"/>
                <w:lang w:eastAsia="es-CR"/>
              </w:rPr>
            </w:pPr>
            <w:r w:rsidRPr="004E74A6">
              <w:rPr>
                <w:rFonts w:cs="Calibri"/>
                <w:color w:val="000000"/>
                <w:sz w:val="20"/>
                <w:lang w:eastAsia="es-CR"/>
              </w:rPr>
              <w:t>1519,2</w:t>
            </w:r>
          </w:p>
        </w:tc>
        <w:tc>
          <w:tcPr>
            <w:tcW w:w="2177" w:type="dxa"/>
            <w:tcBorders>
              <w:left w:val="single" w:sz="4" w:space="0" w:color="auto"/>
              <w:right w:val="nil"/>
            </w:tcBorders>
            <w:shd w:val="clear" w:color="auto" w:fill="auto"/>
            <w:vAlign w:val="center"/>
            <w:hideMark/>
          </w:tcPr>
          <w:p w14:paraId="60109E11" w14:textId="77777777" w:rsidR="00566C6E" w:rsidRPr="004E74A6" w:rsidRDefault="00566C6E" w:rsidP="00832773">
            <w:pPr>
              <w:spacing w:after="240" w:line="276" w:lineRule="auto"/>
              <w:jc w:val="center"/>
              <w:rPr>
                <w:rFonts w:cs="Calibri"/>
                <w:color w:val="000000"/>
                <w:sz w:val="20"/>
                <w:lang w:eastAsia="es-CR"/>
              </w:rPr>
            </w:pPr>
            <w:r w:rsidRPr="004E74A6">
              <w:rPr>
                <w:rFonts w:cs="Calibri"/>
                <w:color w:val="000000"/>
                <w:sz w:val="20"/>
                <w:lang w:eastAsia="es-CR"/>
              </w:rPr>
              <w:t>2%</w:t>
            </w:r>
          </w:p>
        </w:tc>
      </w:tr>
      <w:tr w:rsidR="00A46718" w:rsidRPr="004E74A6" w14:paraId="604F6179" w14:textId="77777777" w:rsidTr="00EB102E">
        <w:trPr>
          <w:trHeight w:val="510"/>
        </w:trPr>
        <w:tc>
          <w:tcPr>
            <w:tcW w:w="2835" w:type="dxa"/>
            <w:tcBorders>
              <w:top w:val="nil"/>
              <w:left w:val="nil"/>
              <w:right w:val="single" w:sz="4" w:space="0" w:color="auto"/>
            </w:tcBorders>
            <w:shd w:val="clear" w:color="auto" w:fill="F2F2F2" w:themeFill="background1" w:themeFillShade="F2"/>
            <w:vAlign w:val="center"/>
            <w:hideMark/>
          </w:tcPr>
          <w:p w14:paraId="4E0B1526" w14:textId="77777777" w:rsidR="00566C6E" w:rsidRPr="004E74A6" w:rsidRDefault="00566C6E" w:rsidP="00832773">
            <w:pPr>
              <w:spacing w:line="276" w:lineRule="auto"/>
              <w:rPr>
                <w:rFonts w:cs="Calibri"/>
                <w:color w:val="000000"/>
                <w:sz w:val="20"/>
                <w:lang w:eastAsia="es-CR"/>
              </w:rPr>
            </w:pPr>
            <w:r w:rsidRPr="004E74A6">
              <w:rPr>
                <w:rFonts w:cs="Calibri"/>
                <w:color w:val="000000"/>
                <w:sz w:val="20"/>
                <w:lang w:eastAsia="es-CR"/>
              </w:rPr>
              <w:t>Juzgado Civil, Trabajo, Familia, Penal Juvenil y contra la Violencia Doméstica de Sarapiquí</w:t>
            </w:r>
          </w:p>
        </w:tc>
        <w:tc>
          <w:tcPr>
            <w:tcW w:w="1700" w:type="dxa"/>
            <w:tcBorders>
              <w:top w:val="nil"/>
              <w:left w:val="single" w:sz="4" w:space="0" w:color="auto"/>
              <w:right w:val="single" w:sz="4" w:space="0" w:color="auto"/>
            </w:tcBorders>
            <w:shd w:val="clear" w:color="auto" w:fill="F2F2F2" w:themeFill="background1" w:themeFillShade="F2"/>
            <w:vAlign w:val="center"/>
            <w:hideMark/>
          </w:tcPr>
          <w:p w14:paraId="1A372EE5" w14:textId="77777777" w:rsidR="00566C6E" w:rsidRPr="004E74A6" w:rsidRDefault="00566C6E" w:rsidP="00832773">
            <w:pPr>
              <w:spacing w:line="276" w:lineRule="auto"/>
              <w:jc w:val="center"/>
              <w:rPr>
                <w:rFonts w:cs="Calibri"/>
                <w:color w:val="000000"/>
                <w:sz w:val="20"/>
                <w:lang w:eastAsia="es-CR"/>
              </w:rPr>
            </w:pPr>
            <w:r w:rsidRPr="004E74A6">
              <w:rPr>
                <w:rFonts w:cs="Calibri"/>
                <w:color w:val="000000"/>
                <w:sz w:val="20"/>
                <w:lang w:eastAsia="es-CR"/>
              </w:rPr>
              <w:t>86</w:t>
            </w:r>
          </w:p>
        </w:tc>
        <w:tc>
          <w:tcPr>
            <w:tcW w:w="2695" w:type="dxa"/>
            <w:tcBorders>
              <w:top w:val="nil"/>
              <w:left w:val="single" w:sz="4" w:space="0" w:color="auto"/>
              <w:right w:val="single" w:sz="4" w:space="0" w:color="auto"/>
            </w:tcBorders>
            <w:shd w:val="clear" w:color="auto" w:fill="F2F2F2" w:themeFill="background1" w:themeFillShade="F2"/>
            <w:vAlign w:val="center"/>
            <w:hideMark/>
          </w:tcPr>
          <w:p w14:paraId="520EC3BC" w14:textId="77777777" w:rsidR="00566C6E" w:rsidRPr="004E74A6" w:rsidRDefault="00566C6E" w:rsidP="00832773">
            <w:pPr>
              <w:spacing w:line="276" w:lineRule="auto"/>
              <w:jc w:val="center"/>
              <w:rPr>
                <w:rFonts w:cs="Calibri"/>
                <w:color w:val="000000"/>
                <w:sz w:val="20"/>
                <w:lang w:eastAsia="es-CR"/>
              </w:rPr>
            </w:pPr>
            <w:r w:rsidRPr="004E74A6">
              <w:rPr>
                <w:rFonts w:cs="Calibri"/>
                <w:color w:val="000000"/>
                <w:sz w:val="20"/>
                <w:lang w:eastAsia="es-CR"/>
              </w:rPr>
              <w:t>35,2</w:t>
            </w:r>
          </w:p>
        </w:tc>
        <w:tc>
          <w:tcPr>
            <w:tcW w:w="1559" w:type="dxa"/>
            <w:tcBorders>
              <w:top w:val="nil"/>
              <w:left w:val="single" w:sz="4" w:space="0" w:color="auto"/>
              <w:right w:val="single" w:sz="4" w:space="0" w:color="auto"/>
            </w:tcBorders>
            <w:shd w:val="clear" w:color="auto" w:fill="F2F2F2" w:themeFill="background1" w:themeFillShade="F2"/>
            <w:vAlign w:val="center"/>
            <w:hideMark/>
          </w:tcPr>
          <w:p w14:paraId="1B77D426" w14:textId="77777777" w:rsidR="00566C6E" w:rsidRPr="004E74A6" w:rsidRDefault="00566C6E" w:rsidP="00832773">
            <w:pPr>
              <w:spacing w:line="276" w:lineRule="auto"/>
              <w:jc w:val="center"/>
              <w:rPr>
                <w:rFonts w:cs="Calibri"/>
                <w:color w:val="000000"/>
                <w:sz w:val="20"/>
                <w:lang w:eastAsia="es-CR"/>
              </w:rPr>
            </w:pPr>
            <w:r w:rsidRPr="004E74A6">
              <w:rPr>
                <w:rFonts w:cs="Calibri"/>
                <w:color w:val="000000"/>
                <w:sz w:val="20"/>
                <w:lang w:eastAsia="es-CR"/>
              </w:rPr>
              <w:t>121,2</w:t>
            </w:r>
          </w:p>
        </w:tc>
        <w:tc>
          <w:tcPr>
            <w:tcW w:w="2177" w:type="dxa"/>
            <w:tcBorders>
              <w:top w:val="nil"/>
              <w:left w:val="single" w:sz="4" w:space="0" w:color="auto"/>
              <w:right w:val="nil"/>
            </w:tcBorders>
            <w:shd w:val="clear" w:color="auto" w:fill="F2F2F2" w:themeFill="background1" w:themeFillShade="F2"/>
            <w:vAlign w:val="center"/>
            <w:hideMark/>
          </w:tcPr>
          <w:p w14:paraId="5F1268E7" w14:textId="77777777" w:rsidR="00566C6E" w:rsidRPr="004E74A6" w:rsidRDefault="00566C6E" w:rsidP="00832773">
            <w:pPr>
              <w:spacing w:line="276" w:lineRule="auto"/>
              <w:jc w:val="center"/>
              <w:rPr>
                <w:rFonts w:cs="Calibri"/>
                <w:color w:val="000000"/>
                <w:sz w:val="20"/>
                <w:lang w:eastAsia="es-CR"/>
              </w:rPr>
            </w:pPr>
            <w:r w:rsidRPr="004E74A6">
              <w:rPr>
                <w:rFonts w:cs="Calibri"/>
                <w:color w:val="000000"/>
                <w:sz w:val="20"/>
                <w:lang w:eastAsia="es-CR"/>
              </w:rPr>
              <w:t>41%</w:t>
            </w:r>
          </w:p>
        </w:tc>
      </w:tr>
      <w:tr w:rsidR="00A46718" w:rsidRPr="004E74A6" w14:paraId="09A1A7B3" w14:textId="77777777" w:rsidTr="00EB102E">
        <w:trPr>
          <w:trHeight w:val="510"/>
        </w:trPr>
        <w:tc>
          <w:tcPr>
            <w:tcW w:w="2835" w:type="dxa"/>
            <w:tcBorders>
              <w:left w:val="nil"/>
              <w:right w:val="single" w:sz="4" w:space="0" w:color="auto"/>
            </w:tcBorders>
            <w:shd w:val="clear" w:color="auto" w:fill="auto"/>
            <w:vAlign w:val="center"/>
            <w:hideMark/>
          </w:tcPr>
          <w:p w14:paraId="605B4CF3" w14:textId="77777777" w:rsidR="00566C6E" w:rsidRPr="004E74A6" w:rsidRDefault="00566C6E" w:rsidP="00832773">
            <w:pPr>
              <w:spacing w:after="240" w:line="276" w:lineRule="auto"/>
              <w:rPr>
                <w:rFonts w:cs="Calibri"/>
                <w:color w:val="000000"/>
                <w:sz w:val="20"/>
                <w:lang w:eastAsia="es-CR"/>
              </w:rPr>
            </w:pPr>
            <w:r w:rsidRPr="004E74A6">
              <w:rPr>
                <w:rFonts w:cs="Calibri"/>
                <w:color w:val="000000"/>
                <w:sz w:val="20"/>
                <w:lang w:eastAsia="es-CR"/>
              </w:rPr>
              <w:t>Juzgado Civil y Trabajo de Liberia</w:t>
            </w:r>
          </w:p>
        </w:tc>
        <w:tc>
          <w:tcPr>
            <w:tcW w:w="1700" w:type="dxa"/>
            <w:tcBorders>
              <w:left w:val="single" w:sz="4" w:space="0" w:color="auto"/>
              <w:right w:val="single" w:sz="4" w:space="0" w:color="auto"/>
            </w:tcBorders>
            <w:shd w:val="clear" w:color="auto" w:fill="auto"/>
            <w:vAlign w:val="center"/>
            <w:hideMark/>
          </w:tcPr>
          <w:p w14:paraId="29A3F8FF" w14:textId="77777777" w:rsidR="00566C6E" w:rsidRPr="004E74A6" w:rsidRDefault="00566C6E" w:rsidP="00832773">
            <w:pPr>
              <w:spacing w:after="240" w:line="276" w:lineRule="auto"/>
              <w:jc w:val="center"/>
              <w:rPr>
                <w:rFonts w:cs="Calibri"/>
                <w:color w:val="000000"/>
                <w:sz w:val="20"/>
                <w:lang w:eastAsia="es-CR"/>
              </w:rPr>
            </w:pPr>
            <w:r w:rsidRPr="004E74A6">
              <w:rPr>
                <w:rFonts w:cs="Calibri"/>
                <w:color w:val="000000"/>
                <w:sz w:val="20"/>
                <w:lang w:eastAsia="es-CR"/>
              </w:rPr>
              <w:t>415</w:t>
            </w:r>
          </w:p>
        </w:tc>
        <w:tc>
          <w:tcPr>
            <w:tcW w:w="2695" w:type="dxa"/>
            <w:tcBorders>
              <w:left w:val="single" w:sz="4" w:space="0" w:color="auto"/>
              <w:right w:val="single" w:sz="4" w:space="0" w:color="auto"/>
            </w:tcBorders>
            <w:shd w:val="clear" w:color="auto" w:fill="auto"/>
            <w:vAlign w:val="center"/>
            <w:hideMark/>
          </w:tcPr>
          <w:p w14:paraId="129405A3" w14:textId="77777777" w:rsidR="00566C6E" w:rsidRPr="004E74A6" w:rsidRDefault="00566C6E" w:rsidP="00832773">
            <w:pPr>
              <w:spacing w:after="240" w:line="276" w:lineRule="auto"/>
              <w:jc w:val="center"/>
              <w:rPr>
                <w:rFonts w:cs="Calibri"/>
                <w:color w:val="000000"/>
                <w:sz w:val="20"/>
                <w:lang w:eastAsia="es-CR"/>
              </w:rPr>
            </w:pPr>
            <w:r w:rsidRPr="004E74A6">
              <w:rPr>
                <w:rFonts w:cs="Calibri"/>
                <w:color w:val="000000"/>
                <w:sz w:val="20"/>
                <w:lang w:eastAsia="es-CR"/>
              </w:rPr>
              <w:t>8,9</w:t>
            </w:r>
          </w:p>
        </w:tc>
        <w:tc>
          <w:tcPr>
            <w:tcW w:w="1559" w:type="dxa"/>
            <w:tcBorders>
              <w:left w:val="single" w:sz="4" w:space="0" w:color="auto"/>
              <w:right w:val="single" w:sz="4" w:space="0" w:color="auto"/>
            </w:tcBorders>
            <w:shd w:val="clear" w:color="auto" w:fill="auto"/>
            <w:vAlign w:val="center"/>
            <w:hideMark/>
          </w:tcPr>
          <w:p w14:paraId="53A8FE21" w14:textId="77777777" w:rsidR="00566C6E" w:rsidRPr="004E74A6" w:rsidRDefault="00566C6E" w:rsidP="00832773">
            <w:pPr>
              <w:spacing w:after="240" w:line="276" w:lineRule="auto"/>
              <w:jc w:val="center"/>
              <w:rPr>
                <w:rFonts w:cs="Calibri"/>
                <w:color w:val="000000"/>
                <w:sz w:val="20"/>
                <w:lang w:eastAsia="es-CR"/>
              </w:rPr>
            </w:pPr>
            <w:r w:rsidRPr="004E74A6">
              <w:rPr>
                <w:rFonts w:cs="Calibri"/>
                <w:color w:val="000000"/>
                <w:sz w:val="20"/>
                <w:lang w:eastAsia="es-CR"/>
              </w:rPr>
              <w:t>423,9</w:t>
            </w:r>
          </w:p>
        </w:tc>
        <w:tc>
          <w:tcPr>
            <w:tcW w:w="2177" w:type="dxa"/>
            <w:tcBorders>
              <w:left w:val="single" w:sz="4" w:space="0" w:color="auto"/>
              <w:right w:val="nil"/>
            </w:tcBorders>
            <w:shd w:val="clear" w:color="auto" w:fill="auto"/>
            <w:vAlign w:val="center"/>
            <w:hideMark/>
          </w:tcPr>
          <w:p w14:paraId="152A0F82" w14:textId="77777777" w:rsidR="00566C6E" w:rsidRPr="004E74A6" w:rsidRDefault="00566C6E" w:rsidP="00832773">
            <w:pPr>
              <w:spacing w:after="240" w:line="276" w:lineRule="auto"/>
              <w:jc w:val="center"/>
              <w:rPr>
                <w:rFonts w:cs="Calibri"/>
                <w:color w:val="000000"/>
                <w:sz w:val="20"/>
                <w:lang w:eastAsia="es-CR"/>
              </w:rPr>
            </w:pPr>
            <w:r w:rsidRPr="004E74A6">
              <w:rPr>
                <w:rFonts w:cs="Calibri"/>
                <w:color w:val="000000"/>
                <w:sz w:val="20"/>
                <w:lang w:eastAsia="es-CR"/>
              </w:rPr>
              <w:t>2%</w:t>
            </w:r>
          </w:p>
        </w:tc>
      </w:tr>
      <w:tr w:rsidR="00A46718" w:rsidRPr="004E74A6" w14:paraId="58FE1F2E" w14:textId="77777777" w:rsidTr="00EB102E">
        <w:trPr>
          <w:trHeight w:val="510"/>
        </w:trPr>
        <w:tc>
          <w:tcPr>
            <w:tcW w:w="2835" w:type="dxa"/>
            <w:tcBorders>
              <w:top w:val="nil"/>
              <w:left w:val="nil"/>
              <w:right w:val="single" w:sz="4" w:space="0" w:color="auto"/>
            </w:tcBorders>
            <w:shd w:val="clear" w:color="auto" w:fill="F2F2F2" w:themeFill="background1" w:themeFillShade="F2"/>
            <w:vAlign w:val="center"/>
            <w:hideMark/>
          </w:tcPr>
          <w:p w14:paraId="19AB3DB8" w14:textId="590A43E0" w:rsidR="00566C6E" w:rsidRPr="004E74A6" w:rsidRDefault="00566C6E" w:rsidP="00832773">
            <w:pPr>
              <w:spacing w:after="240" w:line="276" w:lineRule="auto"/>
              <w:rPr>
                <w:rFonts w:cs="Calibri"/>
                <w:color w:val="000000"/>
                <w:sz w:val="20"/>
                <w:lang w:eastAsia="es-CR"/>
              </w:rPr>
            </w:pPr>
            <w:r w:rsidRPr="004E74A6">
              <w:rPr>
                <w:rFonts w:cs="Calibri"/>
                <w:color w:val="000000"/>
                <w:sz w:val="20"/>
                <w:lang w:eastAsia="es-CR"/>
              </w:rPr>
              <w:t>Juzg</w:t>
            </w:r>
            <w:r w:rsidR="002856DA" w:rsidRPr="004E74A6">
              <w:rPr>
                <w:rFonts w:cs="Calibri"/>
                <w:color w:val="000000"/>
                <w:sz w:val="20"/>
                <w:lang w:eastAsia="es-CR"/>
              </w:rPr>
              <w:t>a</w:t>
            </w:r>
            <w:r w:rsidRPr="004E74A6">
              <w:rPr>
                <w:rFonts w:cs="Calibri"/>
                <w:color w:val="000000"/>
                <w:sz w:val="20"/>
                <w:lang w:eastAsia="es-CR"/>
              </w:rPr>
              <w:t>do Civil y Trabajo de Cañas</w:t>
            </w:r>
          </w:p>
        </w:tc>
        <w:tc>
          <w:tcPr>
            <w:tcW w:w="1700" w:type="dxa"/>
            <w:tcBorders>
              <w:top w:val="nil"/>
              <w:left w:val="single" w:sz="4" w:space="0" w:color="auto"/>
              <w:right w:val="single" w:sz="4" w:space="0" w:color="auto"/>
            </w:tcBorders>
            <w:shd w:val="clear" w:color="auto" w:fill="F2F2F2" w:themeFill="background1" w:themeFillShade="F2"/>
            <w:vAlign w:val="center"/>
            <w:hideMark/>
          </w:tcPr>
          <w:p w14:paraId="596B7E74" w14:textId="77777777" w:rsidR="00566C6E" w:rsidRPr="004E74A6" w:rsidRDefault="00566C6E" w:rsidP="00832773">
            <w:pPr>
              <w:spacing w:after="240" w:line="276" w:lineRule="auto"/>
              <w:jc w:val="center"/>
              <w:rPr>
                <w:rFonts w:cs="Calibri"/>
                <w:color w:val="000000"/>
                <w:sz w:val="20"/>
                <w:lang w:eastAsia="es-CR"/>
              </w:rPr>
            </w:pPr>
            <w:r w:rsidRPr="004E74A6">
              <w:rPr>
                <w:rFonts w:cs="Calibri"/>
                <w:color w:val="000000"/>
                <w:sz w:val="20"/>
                <w:lang w:eastAsia="es-CR"/>
              </w:rPr>
              <w:t>227</w:t>
            </w:r>
          </w:p>
        </w:tc>
        <w:tc>
          <w:tcPr>
            <w:tcW w:w="2695" w:type="dxa"/>
            <w:tcBorders>
              <w:top w:val="nil"/>
              <w:left w:val="single" w:sz="4" w:space="0" w:color="auto"/>
              <w:right w:val="single" w:sz="4" w:space="0" w:color="auto"/>
            </w:tcBorders>
            <w:shd w:val="clear" w:color="auto" w:fill="F2F2F2" w:themeFill="background1" w:themeFillShade="F2"/>
            <w:vAlign w:val="center"/>
            <w:hideMark/>
          </w:tcPr>
          <w:p w14:paraId="0BDF1457" w14:textId="77777777" w:rsidR="00566C6E" w:rsidRPr="004E74A6" w:rsidRDefault="00566C6E" w:rsidP="00832773">
            <w:pPr>
              <w:spacing w:after="240" w:line="276" w:lineRule="auto"/>
              <w:jc w:val="center"/>
              <w:rPr>
                <w:rFonts w:cs="Calibri"/>
                <w:color w:val="000000"/>
                <w:sz w:val="20"/>
                <w:lang w:eastAsia="es-CR"/>
              </w:rPr>
            </w:pPr>
            <w:r w:rsidRPr="004E74A6">
              <w:rPr>
                <w:rFonts w:cs="Calibri"/>
                <w:color w:val="000000"/>
                <w:sz w:val="20"/>
                <w:lang w:eastAsia="es-CR"/>
              </w:rPr>
              <w:t>8,9</w:t>
            </w:r>
          </w:p>
        </w:tc>
        <w:tc>
          <w:tcPr>
            <w:tcW w:w="1559" w:type="dxa"/>
            <w:tcBorders>
              <w:top w:val="nil"/>
              <w:left w:val="single" w:sz="4" w:space="0" w:color="auto"/>
              <w:right w:val="single" w:sz="4" w:space="0" w:color="auto"/>
            </w:tcBorders>
            <w:shd w:val="clear" w:color="auto" w:fill="F2F2F2" w:themeFill="background1" w:themeFillShade="F2"/>
            <w:vAlign w:val="center"/>
            <w:hideMark/>
          </w:tcPr>
          <w:p w14:paraId="081C0C2D" w14:textId="77777777" w:rsidR="00566C6E" w:rsidRPr="004E74A6" w:rsidRDefault="00566C6E" w:rsidP="00832773">
            <w:pPr>
              <w:spacing w:after="240" w:line="276" w:lineRule="auto"/>
              <w:jc w:val="center"/>
              <w:rPr>
                <w:rFonts w:cs="Calibri"/>
                <w:color w:val="000000"/>
                <w:sz w:val="20"/>
                <w:lang w:eastAsia="es-CR"/>
              </w:rPr>
            </w:pPr>
            <w:r w:rsidRPr="004E74A6">
              <w:rPr>
                <w:rFonts w:cs="Calibri"/>
                <w:color w:val="000000"/>
                <w:sz w:val="20"/>
                <w:lang w:eastAsia="es-CR"/>
              </w:rPr>
              <w:t>235,9</w:t>
            </w:r>
          </w:p>
        </w:tc>
        <w:tc>
          <w:tcPr>
            <w:tcW w:w="2177" w:type="dxa"/>
            <w:tcBorders>
              <w:top w:val="nil"/>
              <w:left w:val="single" w:sz="4" w:space="0" w:color="auto"/>
              <w:right w:val="nil"/>
            </w:tcBorders>
            <w:shd w:val="clear" w:color="auto" w:fill="F2F2F2" w:themeFill="background1" w:themeFillShade="F2"/>
            <w:vAlign w:val="center"/>
            <w:hideMark/>
          </w:tcPr>
          <w:p w14:paraId="370BC129" w14:textId="77777777" w:rsidR="00566C6E" w:rsidRPr="004E74A6" w:rsidRDefault="00566C6E" w:rsidP="00832773">
            <w:pPr>
              <w:spacing w:after="240" w:line="276" w:lineRule="auto"/>
              <w:jc w:val="center"/>
              <w:rPr>
                <w:rFonts w:cs="Calibri"/>
                <w:color w:val="000000"/>
                <w:sz w:val="20"/>
                <w:lang w:eastAsia="es-CR"/>
              </w:rPr>
            </w:pPr>
            <w:r w:rsidRPr="004E74A6">
              <w:rPr>
                <w:rFonts w:cs="Calibri"/>
                <w:color w:val="000000"/>
                <w:sz w:val="20"/>
                <w:lang w:eastAsia="es-CR"/>
              </w:rPr>
              <w:t>4%</w:t>
            </w:r>
          </w:p>
        </w:tc>
      </w:tr>
      <w:tr w:rsidR="00A46718" w:rsidRPr="004E74A6" w14:paraId="061FD87F" w14:textId="77777777" w:rsidTr="00EB102E">
        <w:trPr>
          <w:trHeight w:val="510"/>
        </w:trPr>
        <w:tc>
          <w:tcPr>
            <w:tcW w:w="2835" w:type="dxa"/>
            <w:tcBorders>
              <w:top w:val="nil"/>
              <w:left w:val="nil"/>
              <w:right w:val="single" w:sz="4" w:space="0" w:color="auto"/>
            </w:tcBorders>
            <w:shd w:val="clear" w:color="auto" w:fill="auto"/>
            <w:vAlign w:val="center"/>
            <w:hideMark/>
          </w:tcPr>
          <w:p w14:paraId="27FF0706" w14:textId="77777777" w:rsidR="00566C6E" w:rsidRPr="004E74A6" w:rsidRDefault="00566C6E" w:rsidP="00832773">
            <w:pPr>
              <w:spacing w:line="276" w:lineRule="auto"/>
              <w:rPr>
                <w:rFonts w:cs="Calibri"/>
                <w:color w:val="000000"/>
                <w:sz w:val="20"/>
                <w:lang w:eastAsia="es-CR"/>
              </w:rPr>
            </w:pPr>
            <w:r w:rsidRPr="004E74A6">
              <w:rPr>
                <w:rFonts w:cs="Calibri"/>
                <w:color w:val="000000"/>
                <w:sz w:val="20"/>
                <w:lang w:eastAsia="es-CR"/>
              </w:rPr>
              <w:t>Juzgado Civil, Trabajo, Familia, Penal Juvenil, Agrario y contra la Violencia Doméstica de Upala</w:t>
            </w:r>
          </w:p>
        </w:tc>
        <w:tc>
          <w:tcPr>
            <w:tcW w:w="1700" w:type="dxa"/>
            <w:tcBorders>
              <w:top w:val="nil"/>
              <w:left w:val="single" w:sz="4" w:space="0" w:color="auto"/>
              <w:right w:val="single" w:sz="4" w:space="0" w:color="auto"/>
            </w:tcBorders>
            <w:shd w:val="clear" w:color="auto" w:fill="auto"/>
            <w:vAlign w:val="center"/>
            <w:hideMark/>
          </w:tcPr>
          <w:p w14:paraId="7DBD2673" w14:textId="77777777" w:rsidR="00566C6E" w:rsidRPr="004E74A6" w:rsidRDefault="00566C6E" w:rsidP="00832773">
            <w:pPr>
              <w:spacing w:line="276" w:lineRule="auto"/>
              <w:jc w:val="center"/>
              <w:rPr>
                <w:rFonts w:cs="Calibri"/>
                <w:color w:val="000000"/>
                <w:sz w:val="20"/>
                <w:lang w:eastAsia="es-CR"/>
              </w:rPr>
            </w:pPr>
            <w:r w:rsidRPr="004E74A6">
              <w:rPr>
                <w:rFonts w:cs="Calibri"/>
                <w:color w:val="000000"/>
                <w:sz w:val="20"/>
                <w:lang w:eastAsia="es-CR"/>
              </w:rPr>
              <w:t>128</w:t>
            </w:r>
          </w:p>
        </w:tc>
        <w:tc>
          <w:tcPr>
            <w:tcW w:w="2695" w:type="dxa"/>
            <w:tcBorders>
              <w:top w:val="nil"/>
              <w:left w:val="single" w:sz="4" w:space="0" w:color="auto"/>
              <w:right w:val="single" w:sz="4" w:space="0" w:color="auto"/>
            </w:tcBorders>
            <w:shd w:val="clear" w:color="auto" w:fill="auto"/>
            <w:vAlign w:val="center"/>
            <w:hideMark/>
          </w:tcPr>
          <w:p w14:paraId="5C790F99" w14:textId="77777777" w:rsidR="00566C6E" w:rsidRPr="004E74A6" w:rsidRDefault="00566C6E" w:rsidP="00832773">
            <w:pPr>
              <w:spacing w:line="276" w:lineRule="auto"/>
              <w:jc w:val="center"/>
              <w:rPr>
                <w:rFonts w:cs="Calibri"/>
                <w:color w:val="000000"/>
                <w:sz w:val="20"/>
                <w:lang w:eastAsia="es-CR"/>
              </w:rPr>
            </w:pPr>
            <w:r w:rsidRPr="004E74A6">
              <w:rPr>
                <w:rFonts w:cs="Calibri"/>
                <w:color w:val="000000"/>
                <w:sz w:val="20"/>
                <w:lang w:eastAsia="es-CR"/>
              </w:rPr>
              <w:t>8,9</w:t>
            </w:r>
          </w:p>
        </w:tc>
        <w:tc>
          <w:tcPr>
            <w:tcW w:w="1559" w:type="dxa"/>
            <w:tcBorders>
              <w:top w:val="nil"/>
              <w:left w:val="single" w:sz="4" w:space="0" w:color="auto"/>
              <w:right w:val="single" w:sz="4" w:space="0" w:color="auto"/>
            </w:tcBorders>
            <w:shd w:val="clear" w:color="auto" w:fill="auto"/>
            <w:vAlign w:val="center"/>
            <w:hideMark/>
          </w:tcPr>
          <w:p w14:paraId="2B584A4F" w14:textId="77777777" w:rsidR="00566C6E" w:rsidRPr="004E74A6" w:rsidRDefault="00566C6E" w:rsidP="00832773">
            <w:pPr>
              <w:spacing w:line="276" w:lineRule="auto"/>
              <w:jc w:val="center"/>
              <w:rPr>
                <w:rFonts w:cs="Calibri"/>
                <w:color w:val="000000"/>
                <w:sz w:val="20"/>
                <w:lang w:eastAsia="es-CR"/>
              </w:rPr>
            </w:pPr>
            <w:r w:rsidRPr="004E74A6">
              <w:rPr>
                <w:rFonts w:cs="Calibri"/>
                <w:color w:val="000000"/>
                <w:sz w:val="20"/>
                <w:lang w:eastAsia="es-CR"/>
              </w:rPr>
              <w:t>136,9</w:t>
            </w:r>
          </w:p>
        </w:tc>
        <w:tc>
          <w:tcPr>
            <w:tcW w:w="2177" w:type="dxa"/>
            <w:tcBorders>
              <w:top w:val="nil"/>
              <w:left w:val="single" w:sz="4" w:space="0" w:color="auto"/>
              <w:right w:val="nil"/>
            </w:tcBorders>
            <w:shd w:val="clear" w:color="auto" w:fill="auto"/>
            <w:vAlign w:val="center"/>
            <w:hideMark/>
          </w:tcPr>
          <w:p w14:paraId="7527777C" w14:textId="77777777" w:rsidR="00566C6E" w:rsidRPr="004E74A6" w:rsidRDefault="00566C6E" w:rsidP="00832773">
            <w:pPr>
              <w:spacing w:line="276" w:lineRule="auto"/>
              <w:jc w:val="center"/>
              <w:rPr>
                <w:rFonts w:cs="Calibri"/>
                <w:color w:val="000000"/>
                <w:sz w:val="20"/>
                <w:lang w:eastAsia="es-CR"/>
              </w:rPr>
            </w:pPr>
            <w:r w:rsidRPr="004E74A6">
              <w:rPr>
                <w:rFonts w:cs="Calibri"/>
                <w:color w:val="000000"/>
                <w:sz w:val="20"/>
                <w:lang w:eastAsia="es-CR"/>
              </w:rPr>
              <w:t>7%</w:t>
            </w:r>
          </w:p>
        </w:tc>
      </w:tr>
      <w:tr w:rsidR="00A46718" w:rsidRPr="004E74A6" w14:paraId="7AB33277" w14:textId="77777777" w:rsidTr="00EB102E">
        <w:trPr>
          <w:trHeight w:val="510"/>
        </w:trPr>
        <w:tc>
          <w:tcPr>
            <w:tcW w:w="2835" w:type="dxa"/>
            <w:tcBorders>
              <w:left w:val="nil"/>
              <w:right w:val="single" w:sz="4" w:space="0" w:color="auto"/>
            </w:tcBorders>
            <w:shd w:val="clear" w:color="auto" w:fill="F2F2F2" w:themeFill="background1" w:themeFillShade="F2"/>
            <w:vAlign w:val="center"/>
            <w:hideMark/>
          </w:tcPr>
          <w:p w14:paraId="0EC12AC6" w14:textId="77777777" w:rsidR="00566C6E" w:rsidRPr="004E74A6" w:rsidRDefault="00566C6E" w:rsidP="00832773">
            <w:pPr>
              <w:spacing w:after="240" w:line="276" w:lineRule="auto"/>
              <w:rPr>
                <w:rFonts w:cs="Calibri"/>
                <w:color w:val="000000"/>
                <w:sz w:val="20"/>
                <w:lang w:eastAsia="es-CR"/>
              </w:rPr>
            </w:pPr>
            <w:r w:rsidRPr="004E74A6">
              <w:rPr>
                <w:rFonts w:cs="Calibri"/>
                <w:color w:val="000000"/>
                <w:sz w:val="20"/>
                <w:lang w:eastAsia="es-CR"/>
              </w:rPr>
              <w:t>Juzgado Civil y Trabajo de Nicoya</w:t>
            </w:r>
          </w:p>
        </w:tc>
        <w:tc>
          <w:tcPr>
            <w:tcW w:w="1700" w:type="dxa"/>
            <w:tcBorders>
              <w:left w:val="single" w:sz="4" w:space="0" w:color="auto"/>
              <w:right w:val="single" w:sz="4" w:space="0" w:color="auto"/>
            </w:tcBorders>
            <w:shd w:val="clear" w:color="auto" w:fill="F2F2F2" w:themeFill="background1" w:themeFillShade="F2"/>
            <w:vAlign w:val="center"/>
            <w:hideMark/>
          </w:tcPr>
          <w:p w14:paraId="2392AEF8" w14:textId="77777777" w:rsidR="00566C6E" w:rsidRPr="004E74A6" w:rsidRDefault="00566C6E" w:rsidP="00832773">
            <w:pPr>
              <w:spacing w:line="276" w:lineRule="auto"/>
              <w:jc w:val="center"/>
              <w:rPr>
                <w:rFonts w:cs="Calibri"/>
                <w:color w:val="000000"/>
                <w:sz w:val="20"/>
                <w:lang w:eastAsia="es-CR"/>
              </w:rPr>
            </w:pPr>
            <w:r w:rsidRPr="004E74A6">
              <w:rPr>
                <w:rFonts w:cs="Calibri"/>
                <w:color w:val="000000"/>
                <w:sz w:val="20"/>
                <w:lang w:eastAsia="es-CR"/>
              </w:rPr>
              <w:t>270</w:t>
            </w:r>
          </w:p>
        </w:tc>
        <w:tc>
          <w:tcPr>
            <w:tcW w:w="2695" w:type="dxa"/>
            <w:tcBorders>
              <w:left w:val="single" w:sz="4" w:space="0" w:color="auto"/>
              <w:right w:val="single" w:sz="4" w:space="0" w:color="auto"/>
            </w:tcBorders>
            <w:shd w:val="clear" w:color="auto" w:fill="F2F2F2" w:themeFill="background1" w:themeFillShade="F2"/>
            <w:vAlign w:val="center"/>
            <w:hideMark/>
          </w:tcPr>
          <w:p w14:paraId="4D4F2D0B" w14:textId="77777777" w:rsidR="00566C6E" w:rsidRPr="004E74A6" w:rsidRDefault="00566C6E" w:rsidP="00832773">
            <w:pPr>
              <w:spacing w:line="276" w:lineRule="auto"/>
              <w:jc w:val="center"/>
              <w:rPr>
                <w:rFonts w:cs="Calibri"/>
                <w:color w:val="000000"/>
                <w:sz w:val="20"/>
                <w:lang w:eastAsia="es-CR"/>
              </w:rPr>
            </w:pPr>
            <w:r w:rsidRPr="004E74A6">
              <w:rPr>
                <w:rFonts w:cs="Calibri"/>
                <w:color w:val="000000"/>
                <w:sz w:val="20"/>
                <w:lang w:eastAsia="es-CR"/>
              </w:rPr>
              <w:t>4,5</w:t>
            </w:r>
          </w:p>
        </w:tc>
        <w:tc>
          <w:tcPr>
            <w:tcW w:w="1559" w:type="dxa"/>
            <w:tcBorders>
              <w:left w:val="single" w:sz="4" w:space="0" w:color="auto"/>
              <w:right w:val="single" w:sz="4" w:space="0" w:color="auto"/>
            </w:tcBorders>
            <w:shd w:val="clear" w:color="auto" w:fill="F2F2F2" w:themeFill="background1" w:themeFillShade="F2"/>
            <w:vAlign w:val="center"/>
            <w:hideMark/>
          </w:tcPr>
          <w:p w14:paraId="717FEDBD" w14:textId="77777777" w:rsidR="00566C6E" w:rsidRPr="004E74A6" w:rsidRDefault="00566C6E" w:rsidP="00832773">
            <w:pPr>
              <w:spacing w:line="276" w:lineRule="auto"/>
              <w:jc w:val="center"/>
              <w:rPr>
                <w:rFonts w:cs="Calibri"/>
                <w:color w:val="000000"/>
                <w:sz w:val="20"/>
                <w:lang w:eastAsia="es-CR"/>
              </w:rPr>
            </w:pPr>
            <w:r w:rsidRPr="004E74A6">
              <w:rPr>
                <w:rFonts w:cs="Calibri"/>
                <w:color w:val="000000"/>
                <w:sz w:val="20"/>
                <w:lang w:eastAsia="es-CR"/>
              </w:rPr>
              <w:t>274,5</w:t>
            </w:r>
          </w:p>
        </w:tc>
        <w:tc>
          <w:tcPr>
            <w:tcW w:w="2177" w:type="dxa"/>
            <w:tcBorders>
              <w:left w:val="single" w:sz="4" w:space="0" w:color="auto"/>
              <w:right w:val="nil"/>
            </w:tcBorders>
            <w:shd w:val="clear" w:color="auto" w:fill="F2F2F2" w:themeFill="background1" w:themeFillShade="F2"/>
            <w:vAlign w:val="center"/>
            <w:hideMark/>
          </w:tcPr>
          <w:p w14:paraId="53D05755" w14:textId="77777777" w:rsidR="00566C6E" w:rsidRPr="004E74A6" w:rsidRDefault="00566C6E" w:rsidP="00832773">
            <w:pPr>
              <w:spacing w:line="276" w:lineRule="auto"/>
              <w:jc w:val="center"/>
              <w:rPr>
                <w:rFonts w:cs="Calibri"/>
                <w:color w:val="000000"/>
                <w:sz w:val="20"/>
                <w:lang w:eastAsia="es-CR"/>
              </w:rPr>
            </w:pPr>
            <w:r w:rsidRPr="004E74A6">
              <w:rPr>
                <w:rFonts w:cs="Calibri"/>
                <w:color w:val="000000"/>
                <w:sz w:val="20"/>
                <w:lang w:eastAsia="es-CR"/>
              </w:rPr>
              <w:t>2%</w:t>
            </w:r>
          </w:p>
        </w:tc>
      </w:tr>
      <w:tr w:rsidR="00A46718" w:rsidRPr="004E74A6" w14:paraId="5FAF987C" w14:textId="77777777" w:rsidTr="00EB102E">
        <w:trPr>
          <w:trHeight w:val="510"/>
        </w:trPr>
        <w:tc>
          <w:tcPr>
            <w:tcW w:w="2835" w:type="dxa"/>
            <w:tcBorders>
              <w:top w:val="nil"/>
              <w:left w:val="nil"/>
              <w:right w:val="single" w:sz="4" w:space="0" w:color="auto"/>
            </w:tcBorders>
            <w:shd w:val="clear" w:color="auto" w:fill="auto"/>
            <w:vAlign w:val="center"/>
            <w:hideMark/>
          </w:tcPr>
          <w:p w14:paraId="47A3F039" w14:textId="77777777" w:rsidR="00566C6E" w:rsidRPr="004E74A6" w:rsidRDefault="00566C6E" w:rsidP="00832773">
            <w:pPr>
              <w:spacing w:line="276" w:lineRule="auto"/>
              <w:rPr>
                <w:rFonts w:cs="Calibri"/>
                <w:color w:val="000000"/>
                <w:sz w:val="20"/>
                <w:lang w:eastAsia="es-CR"/>
              </w:rPr>
            </w:pPr>
            <w:r w:rsidRPr="004E74A6">
              <w:rPr>
                <w:rFonts w:cs="Calibri"/>
                <w:color w:val="000000"/>
                <w:sz w:val="20"/>
                <w:lang w:eastAsia="es-CR"/>
              </w:rPr>
              <w:t>Juzgado Civil de Santa Cruz</w:t>
            </w:r>
          </w:p>
        </w:tc>
        <w:tc>
          <w:tcPr>
            <w:tcW w:w="1700" w:type="dxa"/>
            <w:tcBorders>
              <w:top w:val="nil"/>
              <w:left w:val="single" w:sz="4" w:space="0" w:color="auto"/>
              <w:right w:val="single" w:sz="4" w:space="0" w:color="auto"/>
            </w:tcBorders>
            <w:shd w:val="clear" w:color="auto" w:fill="auto"/>
            <w:vAlign w:val="center"/>
            <w:hideMark/>
          </w:tcPr>
          <w:p w14:paraId="7743913F" w14:textId="77777777" w:rsidR="00566C6E" w:rsidRPr="004E74A6" w:rsidRDefault="00566C6E" w:rsidP="00832773">
            <w:pPr>
              <w:spacing w:line="276" w:lineRule="auto"/>
              <w:jc w:val="center"/>
              <w:rPr>
                <w:rFonts w:cs="Calibri"/>
                <w:color w:val="000000"/>
                <w:sz w:val="20"/>
                <w:lang w:eastAsia="es-CR"/>
              </w:rPr>
            </w:pPr>
            <w:r w:rsidRPr="004E74A6">
              <w:rPr>
                <w:rFonts w:cs="Calibri"/>
                <w:color w:val="000000"/>
                <w:sz w:val="20"/>
                <w:lang w:eastAsia="es-CR"/>
              </w:rPr>
              <w:t>595</w:t>
            </w:r>
          </w:p>
        </w:tc>
        <w:tc>
          <w:tcPr>
            <w:tcW w:w="2695" w:type="dxa"/>
            <w:tcBorders>
              <w:top w:val="nil"/>
              <w:left w:val="single" w:sz="4" w:space="0" w:color="auto"/>
              <w:right w:val="single" w:sz="4" w:space="0" w:color="auto"/>
            </w:tcBorders>
            <w:shd w:val="clear" w:color="auto" w:fill="auto"/>
            <w:vAlign w:val="center"/>
            <w:hideMark/>
          </w:tcPr>
          <w:p w14:paraId="76281638" w14:textId="77777777" w:rsidR="00566C6E" w:rsidRPr="004E74A6" w:rsidRDefault="00566C6E" w:rsidP="00832773">
            <w:pPr>
              <w:spacing w:line="276" w:lineRule="auto"/>
              <w:jc w:val="center"/>
              <w:rPr>
                <w:rFonts w:cs="Calibri"/>
                <w:color w:val="000000"/>
                <w:sz w:val="20"/>
                <w:lang w:eastAsia="es-CR"/>
              </w:rPr>
            </w:pPr>
            <w:r w:rsidRPr="004E74A6">
              <w:rPr>
                <w:rFonts w:cs="Calibri"/>
                <w:color w:val="000000"/>
                <w:sz w:val="20"/>
                <w:lang w:eastAsia="es-CR"/>
              </w:rPr>
              <w:t>4,5</w:t>
            </w:r>
          </w:p>
        </w:tc>
        <w:tc>
          <w:tcPr>
            <w:tcW w:w="1559" w:type="dxa"/>
            <w:tcBorders>
              <w:top w:val="nil"/>
              <w:left w:val="single" w:sz="4" w:space="0" w:color="auto"/>
              <w:right w:val="single" w:sz="4" w:space="0" w:color="auto"/>
            </w:tcBorders>
            <w:shd w:val="clear" w:color="auto" w:fill="auto"/>
            <w:vAlign w:val="center"/>
            <w:hideMark/>
          </w:tcPr>
          <w:p w14:paraId="7AE957C1" w14:textId="77777777" w:rsidR="00566C6E" w:rsidRPr="004E74A6" w:rsidRDefault="00566C6E" w:rsidP="00832773">
            <w:pPr>
              <w:spacing w:line="276" w:lineRule="auto"/>
              <w:jc w:val="center"/>
              <w:rPr>
                <w:rFonts w:cs="Calibri"/>
                <w:color w:val="000000"/>
                <w:sz w:val="20"/>
                <w:lang w:eastAsia="es-CR"/>
              </w:rPr>
            </w:pPr>
            <w:r w:rsidRPr="004E74A6">
              <w:rPr>
                <w:rFonts w:cs="Calibri"/>
                <w:color w:val="000000"/>
                <w:sz w:val="20"/>
                <w:lang w:eastAsia="es-CR"/>
              </w:rPr>
              <w:t>599,5</w:t>
            </w:r>
          </w:p>
        </w:tc>
        <w:tc>
          <w:tcPr>
            <w:tcW w:w="2177" w:type="dxa"/>
            <w:tcBorders>
              <w:top w:val="nil"/>
              <w:left w:val="single" w:sz="4" w:space="0" w:color="auto"/>
              <w:right w:val="nil"/>
            </w:tcBorders>
            <w:shd w:val="clear" w:color="auto" w:fill="auto"/>
            <w:vAlign w:val="center"/>
            <w:hideMark/>
          </w:tcPr>
          <w:p w14:paraId="64D8793A" w14:textId="77777777" w:rsidR="00566C6E" w:rsidRPr="004E74A6" w:rsidRDefault="00566C6E" w:rsidP="00832773">
            <w:pPr>
              <w:spacing w:line="276" w:lineRule="auto"/>
              <w:jc w:val="center"/>
              <w:rPr>
                <w:rFonts w:cs="Calibri"/>
                <w:color w:val="000000"/>
                <w:sz w:val="20"/>
                <w:lang w:eastAsia="es-CR"/>
              </w:rPr>
            </w:pPr>
            <w:r w:rsidRPr="004E74A6">
              <w:rPr>
                <w:rFonts w:cs="Calibri"/>
                <w:color w:val="000000"/>
                <w:sz w:val="20"/>
                <w:lang w:eastAsia="es-CR"/>
              </w:rPr>
              <w:t>1%</w:t>
            </w:r>
          </w:p>
        </w:tc>
      </w:tr>
      <w:tr w:rsidR="00A46718" w:rsidRPr="004E74A6" w14:paraId="71D358DD" w14:textId="77777777" w:rsidTr="00EB102E">
        <w:trPr>
          <w:trHeight w:val="510"/>
        </w:trPr>
        <w:tc>
          <w:tcPr>
            <w:tcW w:w="2835" w:type="dxa"/>
            <w:tcBorders>
              <w:left w:val="nil"/>
              <w:right w:val="single" w:sz="4" w:space="0" w:color="auto"/>
            </w:tcBorders>
            <w:shd w:val="clear" w:color="auto" w:fill="F2F2F2" w:themeFill="background1" w:themeFillShade="F2"/>
            <w:vAlign w:val="center"/>
            <w:hideMark/>
          </w:tcPr>
          <w:p w14:paraId="6E79B4E5" w14:textId="77777777" w:rsidR="00566C6E" w:rsidRPr="004E74A6" w:rsidRDefault="00566C6E" w:rsidP="00832773">
            <w:pPr>
              <w:spacing w:after="240" w:line="276" w:lineRule="auto"/>
              <w:rPr>
                <w:rFonts w:cs="Calibri"/>
                <w:color w:val="000000"/>
                <w:sz w:val="20"/>
                <w:lang w:eastAsia="es-CR"/>
              </w:rPr>
            </w:pPr>
            <w:r w:rsidRPr="004E74A6">
              <w:rPr>
                <w:rFonts w:cs="Calibri"/>
                <w:color w:val="000000"/>
                <w:sz w:val="20"/>
                <w:lang w:eastAsia="es-CR"/>
              </w:rPr>
              <w:t>Juzgado Civil de Puntarenas</w:t>
            </w:r>
          </w:p>
        </w:tc>
        <w:tc>
          <w:tcPr>
            <w:tcW w:w="1700" w:type="dxa"/>
            <w:tcBorders>
              <w:left w:val="single" w:sz="4" w:space="0" w:color="auto"/>
              <w:right w:val="single" w:sz="4" w:space="0" w:color="auto"/>
            </w:tcBorders>
            <w:shd w:val="clear" w:color="auto" w:fill="F2F2F2" w:themeFill="background1" w:themeFillShade="F2"/>
            <w:vAlign w:val="center"/>
            <w:hideMark/>
          </w:tcPr>
          <w:p w14:paraId="4E1DABF4" w14:textId="77777777" w:rsidR="00566C6E" w:rsidRPr="004E74A6" w:rsidRDefault="00566C6E" w:rsidP="00832773">
            <w:pPr>
              <w:spacing w:line="276" w:lineRule="auto"/>
              <w:jc w:val="center"/>
              <w:rPr>
                <w:rFonts w:cs="Calibri"/>
                <w:color w:val="000000"/>
                <w:sz w:val="20"/>
                <w:lang w:eastAsia="es-CR"/>
              </w:rPr>
            </w:pPr>
            <w:r w:rsidRPr="004E74A6">
              <w:rPr>
                <w:rFonts w:cs="Calibri"/>
                <w:color w:val="000000"/>
                <w:sz w:val="20"/>
                <w:lang w:eastAsia="es-CR"/>
              </w:rPr>
              <w:t>495</w:t>
            </w:r>
          </w:p>
        </w:tc>
        <w:tc>
          <w:tcPr>
            <w:tcW w:w="2695" w:type="dxa"/>
            <w:tcBorders>
              <w:left w:val="single" w:sz="4" w:space="0" w:color="auto"/>
              <w:right w:val="single" w:sz="4" w:space="0" w:color="auto"/>
            </w:tcBorders>
            <w:shd w:val="clear" w:color="auto" w:fill="F2F2F2" w:themeFill="background1" w:themeFillShade="F2"/>
            <w:vAlign w:val="center"/>
            <w:hideMark/>
          </w:tcPr>
          <w:p w14:paraId="635A85BB" w14:textId="77777777" w:rsidR="00566C6E" w:rsidRPr="004E74A6" w:rsidRDefault="00566C6E" w:rsidP="00832773">
            <w:pPr>
              <w:spacing w:line="276" w:lineRule="auto"/>
              <w:jc w:val="center"/>
              <w:rPr>
                <w:rFonts w:cs="Calibri"/>
                <w:color w:val="000000"/>
                <w:sz w:val="20"/>
                <w:lang w:eastAsia="es-CR"/>
              </w:rPr>
            </w:pPr>
            <w:r w:rsidRPr="004E74A6">
              <w:rPr>
                <w:rFonts w:cs="Calibri"/>
                <w:color w:val="000000"/>
                <w:sz w:val="20"/>
                <w:lang w:eastAsia="es-CR"/>
              </w:rPr>
              <w:t>17,0</w:t>
            </w:r>
          </w:p>
        </w:tc>
        <w:tc>
          <w:tcPr>
            <w:tcW w:w="1559" w:type="dxa"/>
            <w:tcBorders>
              <w:left w:val="single" w:sz="4" w:space="0" w:color="auto"/>
              <w:right w:val="single" w:sz="4" w:space="0" w:color="auto"/>
            </w:tcBorders>
            <w:shd w:val="clear" w:color="auto" w:fill="F2F2F2" w:themeFill="background1" w:themeFillShade="F2"/>
            <w:vAlign w:val="center"/>
            <w:hideMark/>
          </w:tcPr>
          <w:p w14:paraId="22C94BD3" w14:textId="77777777" w:rsidR="00566C6E" w:rsidRPr="004E74A6" w:rsidRDefault="00566C6E" w:rsidP="00832773">
            <w:pPr>
              <w:spacing w:line="276" w:lineRule="auto"/>
              <w:jc w:val="center"/>
              <w:rPr>
                <w:rFonts w:cs="Calibri"/>
                <w:color w:val="000000"/>
                <w:sz w:val="20"/>
                <w:lang w:eastAsia="es-CR"/>
              </w:rPr>
            </w:pPr>
            <w:r w:rsidRPr="004E74A6">
              <w:rPr>
                <w:rFonts w:cs="Calibri"/>
                <w:color w:val="000000"/>
                <w:sz w:val="20"/>
                <w:lang w:eastAsia="es-CR"/>
              </w:rPr>
              <w:t>512,0</w:t>
            </w:r>
          </w:p>
        </w:tc>
        <w:tc>
          <w:tcPr>
            <w:tcW w:w="2177" w:type="dxa"/>
            <w:tcBorders>
              <w:left w:val="single" w:sz="4" w:space="0" w:color="auto"/>
              <w:right w:val="nil"/>
            </w:tcBorders>
            <w:shd w:val="clear" w:color="auto" w:fill="F2F2F2" w:themeFill="background1" w:themeFillShade="F2"/>
            <w:vAlign w:val="center"/>
            <w:hideMark/>
          </w:tcPr>
          <w:p w14:paraId="1F6E9EEB" w14:textId="77777777" w:rsidR="00566C6E" w:rsidRPr="004E74A6" w:rsidRDefault="00566C6E" w:rsidP="00832773">
            <w:pPr>
              <w:spacing w:line="276" w:lineRule="auto"/>
              <w:jc w:val="center"/>
              <w:rPr>
                <w:rFonts w:cs="Calibri"/>
                <w:color w:val="000000"/>
                <w:sz w:val="20"/>
                <w:lang w:eastAsia="es-CR"/>
              </w:rPr>
            </w:pPr>
            <w:r w:rsidRPr="004E74A6">
              <w:rPr>
                <w:rFonts w:cs="Calibri"/>
                <w:color w:val="000000"/>
                <w:sz w:val="20"/>
                <w:lang w:eastAsia="es-CR"/>
              </w:rPr>
              <w:t>3%</w:t>
            </w:r>
          </w:p>
        </w:tc>
      </w:tr>
      <w:tr w:rsidR="00A46718" w:rsidRPr="004E74A6" w14:paraId="60306555" w14:textId="77777777" w:rsidTr="00EB102E">
        <w:trPr>
          <w:trHeight w:val="510"/>
        </w:trPr>
        <w:tc>
          <w:tcPr>
            <w:tcW w:w="2835" w:type="dxa"/>
            <w:tcBorders>
              <w:top w:val="nil"/>
              <w:left w:val="nil"/>
              <w:right w:val="single" w:sz="4" w:space="0" w:color="auto"/>
            </w:tcBorders>
            <w:shd w:val="clear" w:color="auto" w:fill="auto"/>
            <w:vAlign w:val="center"/>
            <w:hideMark/>
          </w:tcPr>
          <w:p w14:paraId="5404F8AA" w14:textId="77777777" w:rsidR="00566C6E" w:rsidRPr="004E74A6" w:rsidRDefault="00566C6E" w:rsidP="00832773">
            <w:pPr>
              <w:spacing w:line="276" w:lineRule="auto"/>
              <w:rPr>
                <w:rFonts w:cs="Calibri"/>
                <w:color w:val="000000"/>
                <w:sz w:val="20"/>
                <w:lang w:eastAsia="es-CR"/>
              </w:rPr>
            </w:pPr>
            <w:r w:rsidRPr="004E74A6">
              <w:rPr>
                <w:rFonts w:cs="Calibri"/>
                <w:color w:val="000000"/>
                <w:sz w:val="20"/>
                <w:lang w:eastAsia="es-CR"/>
              </w:rPr>
              <w:t>Juzgado Civil y Trabajo de Quepos</w:t>
            </w:r>
          </w:p>
        </w:tc>
        <w:tc>
          <w:tcPr>
            <w:tcW w:w="1700" w:type="dxa"/>
            <w:tcBorders>
              <w:top w:val="nil"/>
              <w:left w:val="single" w:sz="4" w:space="0" w:color="auto"/>
              <w:right w:val="single" w:sz="4" w:space="0" w:color="auto"/>
            </w:tcBorders>
            <w:shd w:val="clear" w:color="auto" w:fill="auto"/>
            <w:vAlign w:val="center"/>
            <w:hideMark/>
          </w:tcPr>
          <w:p w14:paraId="5DC47EA1" w14:textId="77777777" w:rsidR="00566C6E" w:rsidRPr="004E74A6" w:rsidRDefault="00566C6E" w:rsidP="00832773">
            <w:pPr>
              <w:spacing w:line="276" w:lineRule="auto"/>
              <w:jc w:val="center"/>
              <w:rPr>
                <w:rFonts w:cs="Calibri"/>
                <w:color w:val="000000"/>
                <w:sz w:val="20"/>
                <w:lang w:eastAsia="es-CR"/>
              </w:rPr>
            </w:pPr>
            <w:r w:rsidRPr="004E74A6">
              <w:rPr>
                <w:rFonts w:cs="Calibri"/>
                <w:color w:val="000000"/>
                <w:sz w:val="20"/>
                <w:lang w:eastAsia="es-CR"/>
              </w:rPr>
              <w:t>142</w:t>
            </w:r>
          </w:p>
        </w:tc>
        <w:tc>
          <w:tcPr>
            <w:tcW w:w="2695" w:type="dxa"/>
            <w:tcBorders>
              <w:top w:val="nil"/>
              <w:left w:val="single" w:sz="4" w:space="0" w:color="auto"/>
              <w:right w:val="single" w:sz="4" w:space="0" w:color="auto"/>
            </w:tcBorders>
            <w:shd w:val="clear" w:color="auto" w:fill="auto"/>
            <w:vAlign w:val="center"/>
            <w:hideMark/>
          </w:tcPr>
          <w:p w14:paraId="563ABD67" w14:textId="77777777" w:rsidR="00566C6E" w:rsidRPr="004E74A6" w:rsidRDefault="00566C6E" w:rsidP="00832773">
            <w:pPr>
              <w:spacing w:line="276" w:lineRule="auto"/>
              <w:jc w:val="center"/>
              <w:rPr>
                <w:rFonts w:cs="Calibri"/>
                <w:color w:val="000000"/>
                <w:sz w:val="20"/>
                <w:lang w:eastAsia="es-CR"/>
              </w:rPr>
            </w:pPr>
            <w:r w:rsidRPr="004E74A6">
              <w:rPr>
                <w:rFonts w:cs="Calibri"/>
                <w:color w:val="000000"/>
                <w:sz w:val="20"/>
                <w:lang w:eastAsia="es-CR"/>
              </w:rPr>
              <w:t>17,0</w:t>
            </w:r>
          </w:p>
        </w:tc>
        <w:tc>
          <w:tcPr>
            <w:tcW w:w="1559" w:type="dxa"/>
            <w:tcBorders>
              <w:top w:val="nil"/>
              <w:left w:val="single" w:sz="4" w:space="0" w:color="auto"/>
              <w:right w:val="single" w:sz="4" w:space="0" w:color="auto"/>
            </w:tcBorders>
            <w:shd w:val="clear" w:color="auto" w:fill="auto"/>
            <w:vAlign w:val="center"/>
            <w:hideMark/>
          </w:tcPr>
          <w:p w14:paraId="26810D3C" w14:textId="77777777" w:rsidR="00566C6E" w:rsidRPr="004E74A6" w:rsidRDefault="00566C6E" w:rsidP="00832773">
            <w:pPr>
              <w:spacing w:line="276" w:lineRule="auto"/>
              <w:jc w:val="center"/>
              <w:rPr>
                <w:rFonts w:cs="Calibri"/>
                <w:color w:val="000000"/>
                <w:sz w:val="20"/>
                <w:lang w:eastAsia="es-CR"/>
              </w:rPr>
            </w:pPr>
            <w:r w:rsidRPr="004E74A6">
              <w:rPr>
                <w:rFonts w:cs="Calibri"/>
                <w:color w:val="000000"/>
                <w:sz w:val="20"/>
                <w:lang w:eastAsia="es-CR"/>
              </w:rPr>
              <w:t>159,0</w:t>
            </w:r>
          </w:p>
        </w:tc>
        <w:tc>
          <w:tcPr>
            <w:tcW w:w="2177" w:type="dxa"/>
            <w:tcBorders>
              <w:top w:val="nil"/>
              <w:left w:val="single" w:sz="4" w:space="0" w:color="auto"/>
              <w:right w:val="nil"/>
            </w:tcBorders>
            <w:shd w:val="clear" w:color="auto" w:fill="auto"/>
            <w:vAlign w:val="center"/>
            <w:hideMark/>
          </w:tcPr>
          <w:p w14:paraId="3FE57117" w14:textId="77777777" w:rsidR="00566C6E" w:rsidRPr="004E74A6" w:rsidRDefault="00566C6E" w:rsidP="00832773">
            <w:pPr>
              <w:spacing w:line="276" w:lineRule="auto"/>
              <w:jc w:val="center"/>
              <w:rPr>
                <w:rFonts w:cs="Calibri"/>
                <w:color w:val="000000"/>
                <w:sz w:val="20"/>
                <w:lang w:eastAsia="es-CR"/>
              </w:rPr>
            </w:pPr>
            <w:r w:rsidRPr="004E74A6">
              <w:rPr>
                <w:rFonts w:cs="Calibri"/>
                <w:color w:val="000000"/>
                <w:sz w:val="20"/>
                <w:lang w:eastAsia="es-CR"/>
              </w:rPr>
              <w:t>12%</w:t>
            </w:r>
          </w:p>
        </w:tc>
      </w:tr>
      <w:tr w:rsidR="00A46718" w:rsidRPr="004E74A6" w14:paraId="6B22D705" w14:textId="77777777" w:rsidTr="00EB102E">
        <w:trPr>
          <w:trHeight w:val="510"/>
        </w:trPr>
        <w:tc>
          <w:tcPr>
            <w:tcW w:w="2835" w:type="dxa"/>
            <w:tcBorders>
              <w:left w:val="nil"/>
              <w:right w:val="single" w:sz="4" w:space="0" w:color="auto"/>
            </w:tcBorders>
            <w:shd w:val="clear" w:color="auto" w:fill="F2F2F2" w:themeFill="background1" w:themeFillShade="F2"/>
            <w:vAlign w:val="center"/>
            <w:hideMark/>
          </w:tcPr>
          <w:p w14:paraId="3BAC4FE3" w14:textId="77777777" w:rsidR="00566C6E" w:rsidRPr="004E74A6" w:rsidRDefault="00566C6E" w:rsidP="00832773">
            <w:pPr>
              <w:spacing w:after="240" w:line="276" w:lineRule="auto"/>
              <w:rPr>
                <w:rFonts w:cs="Calibri"/>
                <w:color w:val="000000"/>
                <w:sz w:val="20"/>
                <w:lang w:eastAsia="es-CR"/>
              </w:rPr>
            </w:pPr>
            <w:r w:rsidRPr="004E74A6">
              <w:rPr>
                <w:rFonts w:cs="Calibri"/>
                <w:color w:val="000000"/>
                <w:sz w:val="20"/>
                <w:lang w:eastAsia="es-CR"/>
              </w:rPr>
              <w:t>Juzgado Civil y Trabajo de Pérez Zeledón</w:t>
            </w:r>
          </w:p>
        </w:tc>
        <w:tc>
          <w:tcPr>
            <w:tcW w:w="1700" w:type="dxa"/>
            <w:tcBorders>
              <w:left w:val="single" w:sz="4" w:space="0" w:color="auto"/>
              <w:right w:val="single" w:sz="4" w:space="0" w:color="auto"/>
            </w:tcBorders>
            <w:shd w:val="clear" w:color="auto" w:fill="F2F2F2" w:themeFill="background1" w:themeFillShade="F2"/>
            <w:vAlign w:val="center"/>
            <w:hideMark/>
          </w:tcPr>
          <w:p w14:paraId="5C81816B" w14:textId="77777777" w:rsidR="00566C6E" w:rsidRPr="004E74A6" w:rsidRDefault="00566C6E" w:rsidP="00832773">
            <w:pPr>
              <w:spacing w:after="240" w:line="276" w:lineRule="auto"/>
              <w:jc w:val="center"/>
              <w:rPr>
                <w:rFonts w:cs="Calibri"/>
                <w:color w:val="000000"/>
                <w:sz w:val="20"/>
                <w:lang w:eastAsia="es-CR"/>
              </w:rPr>
            </w:pPr>
            <w:r w:rsidRPr="004E74A6">
              <w:rPr>
                <w:rFonts w:cs="Calibri"/>
                <w:color w:val="000000"/>
                <w:sz w:val="20"/>
                <w:lang w:eastAsia="es-CR"/>
              </w:rPr>
              <w:t>143</w:t>
            </w:r>
          </w:p>
        </w:tc>
        <w:tc>
          <w:tcPr>
            <w:tcW w:w="2695" w:type="dxa"/>
            <w:tcBorders>
              <w:left w:val="single" w:sz="4" w:space="0" w:color="auto"/>
              <w:right w:val="single" w:sz="4" w:space="0" w:color="auto"/>
            </w:tcBorders>
            <w:shd w:val="clear" w:color="auto" w:fill="F2F2F2" w:themeFill="background1" w:themeFillShade="F2"/>
            <w:vAlign w:val="center"/>
            <w:hideMark/>
          </w:tcPr>
          <w:p w14:paraId="6F4ECA6C" w14:textId="77777777" w:rsidR="00566C6E" w:rsidRPr="004E74A6" w:rsidRDefault="00566C6E" w:rsidP="00832773">
            <w:pPr>
              <w:spacing w:after="240" w:line="276" w:lineRule="auto"/>
              <w:jc w:val="center"/>
              <w:rPr>
                <w:rFonts w:cs="Calibri"/>
                <w:color w:val="000000"/>
                <w:sz w:val="20"/>
                <w:lang w:eastAsia="es-CR"/>
              </w:rPr>
            </w:pPr>
            <w:r w:rsidRPr="004E74A6">
              <w:rPr>
                <w:rFonts w:cs="Calibri"/>
                <w:color w:val="000000"/>
                <w:sz w:val="20"/>
                <w:lang w:eastAsia="es-CR"/>
              </w:rPr>
              <w:t>9,4</w:t>
            </w:r>
          </w:p>
        </w:tc>
        <w:tc>
          <w:tcPr>
            <w:tcW w:w="1559" w:type="dxa"/>
            <w:tcBorders>
              <w:left w:val="single" w:sz="4" w:space="0" w:color="auto"/>
              <w:right w:val="single" w:sz="4" w:space="0" w:color="auto"/>
            </w:tcBorders>
            <w:shd w:val="clear" w:color="auto" w:fill="F2F2F2" w:themeFill="background1" w:themeFillShade="F2"/>
            <w:vAlign w:val="center"/>
            <w:hideMark/>
          </w:tcPr>
          <w:p w14:paraId="3CB8884C" w14:textId="77777777" w:rsidR="00566C6E" w:rsidRPr="004E74A6" w:rsidRDefault="00566C6E" w:rsidP="00832773">
            <w:pPr>
              <w:spacing w:after="240" w:line="276" w:lineRule="auto"/>
              <w:jc w:val="center"/>
              <w:rPr>
                <w:rFonts w:cs="Calibri"/>
                <w:color w:val="000000"/>
                <w:sz w:val="20"/>
                <w:lang w:eastAsia="es-CR"/>
              </w:rPr>
            </w:pPr>
            <w:r w:rsidRPr="004E74A6">
              <w:rPr>
                <w:rFonts w:cs="Calibri"/>
                <w:color w:val="000000"/>
                <w:sz w:val="20"/>
                <w:lang w:eastAsia="es-CR"/>
              </w:rPr>
              <w:t>152,4</w:t>
            </w:r>
          </w:p>
        </w:tc>
        <w:tc>
          <w:tcPr>
            <w:tcW w:w="2177" w:type="dxa"/>
            <w:tcBorders>
              <w:left w:val="single" w:sz="4" w:space="0" w:color="auto"/>
              <w:right w:val="nil"/>
            </w:tcBorders>
            <w:shd w:val="clear" w:color="auto" w:fill="F2F2F2" w:themeFill="background1" w:themeFillShade="F2"/>
            <w:vAlign w:val="center"/>
            <w:hideMark/>
          </w:tcPr>
          <w:p w14:paraId="0E519737" w14:textId="77777777" w:rsidR="00566C6E" w:rsidRPr="004E74A6" w:rsidRDefault="00566C6E" w:rsidP="00832773">
            <w:pPr>
              <w:spacing w:after="240" w:line="276" w:lineRule="auto"/>
              <w:jc w:val="center"/>
              <w:rPr>
                <w:rFonts w:cs="Calibri"/>
                <w:color w:val="000000"/>
                <w:sz w:val="20"/>
                <w:lang w:eastAsia="es-CR"/>
              </w:rPr>
            </w:pPr>
            <w:r w:rsidRPr="004E74A6">
              <w:rPr>
                <w:rFonts w:cs="Calibri"/>
                <w:color w:val="000000"/>
                <w:sz w:val="20"/>
                <w:lang w:eastAsia="es-CR"/>
              </w:rPr>
              <w:t>7%</w:t>
            </w:r>
          </w:p>
        </w:tc>
      </w:tr>
      <w:tr w:rsidR="00A46718" w:rsidRPr="004E74A6" w14:paraId="2E329CC4" w14:textId="77777777" w:rsidTr="00EB102E">
        <w:trPr>
          <w:trHeight w:val="510"/>
        </w:trPr>
        <w:tc>
          <w:tcPr>
            <w:tcW w:w="2835" w:type="dxa"/>
            <w:tcBorders>
              <w:top w:val="nil"/>
              <w:left w:val="nil"/>
              <w:right w:val="single" w:sz="4" w:space="0" w:color="auto"/>
            </w:tcBorders>
            <w:shd w:val="clear" w:color="auto" w:fill="auto"/>
            <w:vAlign w:val="center"/>
            <w:hideMark/>
          </w:tcPr>
          <w:p w14:paraId="329FC3F1" w14:textId="77777777" w:rsidR="00566C6E" w:rsidRPr="004E74A6" w:rsidRDefault="00566C6E" w:rsidP="00832773">
            <w:pPr>
              <w:spacing w:after="240" w:line="276" w:lineRule="auto"/>
              <w:rPr>
                <w:rFonts w:cs="Calibri"/>
                <w:color w:val="000000"/>
                <w:sz w:val="20"/>
                <w:lang w:eastAsia="es-CR"/>
              </w:rPr>
            </w:pPr>
            <w:r w:rsidRPr="004E74A6">
              <w:rPr>
                <w:rFonts w:cs="Calibri"/>
                <w:color w:val="000000"/>
                <w:sz w:val="20"/>
                <w:lang w:eastAsia="es-CR"/>
              </w:rPr>
              <w:t xml:space="preserve">Juzgado Civil, Trabajo, Familia, Penal Juvenil, Agrario </w:t>
            </w:r>
            <w:r w:rsidRPr="004E74A6">
              <w:rPr>
                <w:rFonts w:cs="Calibri"/>
                <w:color w:val="000000"/>
                <w:sz w:val="20"/>
                <w:lang w:eastAsia="es-CR"/>
              </w:rPr>
              <w:lastRenderedPageBreak/>
              <w:t xml:space="preserve">y contra la Violencia Doméstica de Buenos Aires </w:t>
            </w:r>
          </w:p>
        </w:tc>
        <w:tc>
          <w:tcPr>
            <w:tcW w:w="1700" w:type="dxa"/>
            <w:tcBorders>
              <w:top w:val="nil"/>
              <w:left w:val="single" w:sz="4" w:space="0" w:color="auto"/>
              <w:right w:val="single" w:sz="4" w:space="0" w:color="auto"/>
            </w:tcBorders>
            <w:shd w:val="clear" w:color="auto" w:fill="auto"/>
            <w:vAlign w:val="center"/>
            <w:hideMark/>
          </w:tcPr>
          <w:p w14:paraId="362CC865" w14:textId="77777777" w:rsidR="00566C6E" w:rsidRPr="004E74A6" w:rsidRDefault="00566C6E" w:rsidP="00832773">
            <w:pPr>
              <w:spacing w:after="240" w:line="276" w:lineRule="auto"/>
              <w:jc w:val="center"/>
              <w:rPr>
                <w:rFonts w:cs="Calibri"/>
                <w:color w:val="000000"/>
                <w:sz w:val="20"/>
                <w:lang w:eastAsia="es-CR"/>
              </w:rPr>
            </w:pPr>
            <w:r w:rsidRPr="004E74A6">
              <w:rPr>
                <w:rFonts w:cs="Calibri"/>
                <w:color w:val="000000"/>
                <w:sz w:val="20"/>
                <w:lang w:eastAsia="es-CR"/>
              </w:rPr>
              <w:lastRenderedPageBreak/>
              <w:t>81</w:t>
            </w:r>
          </w:p>
        </w:tc>
        <w:tc>
          <w:tcPr>
            <w:tcW w:w="2695" w:type="dxa"/>
            <w:tcBorders>
              <w:top w:val="nil"/>
              <w:left w:val="single" w:sz="4" w:space="0" w:color="auto"/>
              <w:right w:val="single" w:sz="4" w:space="0" w:color="auto"/>
            </w:tcBorders>
            <w:shd w:val="clear" w:color="auto" w:fill="auto"/>
            <w:vAlign w:val="center"/>
            <w:hideMark/>
          </w:tcPr>
          <w:p w14:paraId="6F10AE58" w14:textId="77777777" w:rsidR="00566C6E" w:rsidRPr="004E74A6" w:rsidRDefault="00566C6E" w:rsidP="00832773">
            <w:pPr>
              <w:spacing w:after="240" w:line="276" w:lineRule="auto"/>
              <w:jc w:val="center"/>
              <w:rPr>
                <w:rFonts w:cs="Calibri"/>
                <w:color w:val="000000"/>
                <w:sz w:val="20"/>
                <w:lang w:eastAsia="es-CR"/>
              </w:rPr>
            </w:pPr>
            <w:r w:rsidRPr="004E74A6">
              <w:rPr>
                <w:rFonts w:cs="Calibri"/>
                <w:color w:val="000000"/>
                <w:sz w:val="20"/>
                <w:lang w:eastAsia="es-CR"/>
              </w:rPr>
              <w:t>9,4</w:t>
            </w:r>
          </w:p>
        </w:tc>
        <w:tc>
          <w:tcPr>
            <w:tcW w:w="1559" w:type="dxa"/>
            <w:tcBorders>
              <w:top w:val="nil"/>
              <w:left w:val="single" w:sz="4" w:space="0" w:color="auto"/>
              <w:right w:val="single" w:sz="4" w:space="0" w:color="auto"/>
            </w:tcBorders>
            <w:shd w:val="clear" w:color="auto" w:fill="auto"/>
            <w:vAlign w:val="center"/>
            <w:hideMark/>
          </w:tcPr>
          <w:p w14:paraId="6DFD5622" w14:textId="77777777" w:rsidR="00566C6E" w:rsidRPr="004E74A6" w:rsidRDefault="00566C6E" w:rsidP="00832773">
            <w:pPr>
              <w:spacing w:after="240" w:line="276" w:lineRule="auto"/>
              <w:jc w:val="center"/>
              <w:rPr>
                <w:rFonts w:cs="Calibri"/>
                <w:color w:val="000000"/>
                <w:sz w:val="20"/>
                <w:lang w:eastAsia="es-CR"/>
              </w:rPr>
            </w:pPr>
            <w:r w:rsidRPr="004E74A6">
              <w:rPr>
                <w:rFonts w:cs="Calibri"/>
                <w:color w:val="000000"/>
                <w:sz w:val="20"/>
                <w:lang w:eastAsia="es-CR"/>
              </w:rPr>
              <w:t>90,4</w:t>
            </w:r>
          </w:p>
        </w:tc>
        <w:tc>
          <w:tcPr>
            <w:tcW w:w="2177" w:type="dxa"/>
            <w:tcBorders>
              <w:top w:val="nil"/>
              <w:left w:val="single" w:sz="4" w:space="0" w:color="auto"/>
              <w:right w:val="nil"/>
            </w:tcBorders>
            <w:shd w:val="clear" w:color="auto" w:fill="auto"/>
            <w:vAlign w:val="center"/>
            <w:hideMark/>
          </w:tcPr>
          <w:p w14:paraId="2ADE5369" w14:textId="77777777" w:rsidR="00566C6E" w:rsidRPr="004E74A6" w:rsidRDefault="00566C6E" w:rsidP="00832773">
            <w:pPr>
              <w:spacing w:after="240" w:line="276" w:lineRule="auto"/>
              <w:jc w:val="center"/>
              <w:rPr>
                <w:rFonts w:cs="Calibri"/>
                <w:color w:val="000000"/>
                <w:sz w:val="20"/>
                <w:lang w:eastAsia="es-CR"/>
              </w:rPr>
            </w:pPr>
            <w:r w:rsidRPr="004E74A6">
              <w:rPr>
                <w:rFonts w:cs="Calibri"/>
                <w:color w:val="000000"/>
                <w:sz w:val="20"/>
                <w:lang w:eastAsia="es-CR"/>
              </w:rPr>
              <w:t>12%</w:t>
            </w:r>
          </w:p>
        </w:tc>
      </w:tr>
      <w:tr w:rsidR="00A46718" w:rsidRPr="004E74A6" w14:paraId="2A657A71" w14:textId="77777777" w:rsidTr="00EB102E">
        <w:trPr>
          <w:trHeight w:val="510"/>
        </w:trPr>
        <w:tc>
          <w:tcPr>
            <w:tcW w:w="2835" w:type="dxa"/>
            <w:tcBorders>
              <w:top w:val="nil"/>
              <w:left w:val="nil"/>
              <w:right w:val="single" w:sz="4" w:space="0" w:color="auto"/>
            </w:tcBorders>
            <w:shd w:val="clear" w:color="auto" w:fill="F2F2F2" w:themeFill="background1" w:themeFillShade="F2"/>
            <w:vAlign w:val="center"/>
            <w:hideMark/>
          </w:tcPr>
          <w:p w14:paraId="66B4D8D4" w14:textId="77777777" w:rsidR="00566C6E" w:rsidRPr="004E74A6" w:rsidRDefault="00566C6E" w:rsidP="00832773">
            <w:pPr>
              <w:spacing w:after="240" w:line="276" w:lineRule="auto"/>
              <w:rPr>
                <w:rFonts w:cs="Calibri"/>
                <w:color w:val="000000"/>
                <w:sz w:val="20"/>
                <w:lang w:eastAsia="es-CR"/>
              </w:rPr>
            </w:pPr>
            <w:r w:rsidRPr="004E74A6">
              <w:rPr>
                <w:rFonts w:cs="Calibri"/>
                <w:color w:val="000000"/>
                <w:sz w:val="20"/>
                <w:lang w:eastAsia="es-CR"/>
              </w:rPr>
              <w:t>Juzgado Civil y Trabajo de Corredores</w:t>
            </w:r>
          </w:p>
        </w:tc>
        <w:tc>
          <w:tcPr>
            <w:tcW w:w="1700" w:type="dxa"/>
            <w:tcBorders>
              <w:top w:val="nil"/>
              <w:left w:val="single" w:sz="4" w:space="0" w:color="auto"/>
              <w:right w:val="single" w:sz="4" w:space="0" w:color="auto"/>
            </w:tcBorders>
            <w:shd w:val="clear" w:color="auto" w:fill="F2F2F2" w:themeFill="background1" w:themeFillShade="F2"/>
            <w:vAlign w:val="center"/>
            <w:hideMark/>
          </w:tcPr>
          <w:p w14:paraId="42EF1DC0" w14:textId="77777777" w:rsidR="00566C6E" w:rsidRPr="004E74A6" w:rsidRDefault="00566C6E" w:rsidP="00832773">
            <w:pPr>
              <w:spacing w:after="240" w:line="276" w:lineRule="auto"/>
              <w:jc w:val="center"/>
              <w:rPr>
                <w:rFonts w:cs="Calibri"/>
                <w:color w:val="000000"/>
                <w:sz w:val="20"/>
                <w:lang w:eastAsia="es-CR"/>
              </w:rPr>
            </w:pPr>
            <w:r w:rsidRPr="004E74A6">
              <w:rPr>
                <w:rFonts w:cs="Calibri"/>
                <w:color w:val="000000"/>
                <w:sz w:val="20"/>
                <w:lang w:eastAsia="es-CR"/>
              </w:rPr>
              <w:t>143</w:t>
            </w:r>
          </w:p>
        </w:tc>
        <w:tc>
          <w:tcPr>
            <w:tcW w:w="2695" w:type="dxa"/>
            <w:tcBorders>
              <w:top w:val="nil"/>
              <w:left w:val="single" w:sz="4" w:space="0" w:color="auto"/>
              <w:right w:val="single" w:sz="4" w:space="0" w:color="auto"/>
            </w:tcBorders>
            <w:shd w:val="clear" w:color="auto" w:fill="F2F2F2" w:themeFill="background1" w:themeFillShade="F2"/>
            <w:vAlign w:val="center"/>
            <w:hideMark/>
          </w:tcPr>
          <w:p w14:paraId="6A551555" w14:textId="77777777" w:rsidR="00566C6E" w:rsidRPr="004E74A6" w:rsidRDefault="00566C6E" w:rsidP="00832773">
            <w:pPr>
              <w:spacing w:after="240" w:line="276" w:lineRule="auto"/>
              <w:jc w:val="center"/>
              <w:rPr>
                <w:rFonts w:cs="Calibri"/>
                <w:color w:val="000000"/>
                <w:sz w:val="20"/>
                <w:lang w:eastAsia="es-CR"/>
              </w:rPr>
            </w:pPr>
            <w:r w:rsidRPr="004E74A6">
              <w:rPr>
                <w:rFonts w:cs="Calibri"/>
                <w:color w:val="000000"/>
                <w:sz w:val="20"/>
                <w:lang w:eastAsia="es-CR"/>
              </w:rPr>
              <w:t>9,4</w:t>
            </w:r>
          </w:p>
        </w:tc>
        <w:tc>
          <w:tcPr>
            <w:tcW w:w="1559" w:type="dxa"/>
            <w:tcBorders>
              <w:top w:val="nil"/>
              <w:left w:val="single" w:sz="4" w:space="0" w:color="auto"/>
              <w:right w:val="single" w:sz="4" w:space="0" w:color="auto"/>
            </w:tcBorders>
            <w:shd w:val="clear" w:color="auto" w:fill="F2F2F2" w:themeFill="background1" w:themeFillShade="F2"/>
            <w:vAlign w:val="center"/>
            <w:hideMark/>
          </w:tcPr>
          <w:p w14:paraId="5D203BC3" w14:textId="77777777" w:rsidR="00566C6E" w:rsidRPr="004E74A6" w:rsidRDefault="00566C6E" w:rsidP="00832773">
            <w:pPr>
              <w:spacing w:after="240" w:line="276" w:lineRule="auto"/>
              <w:jc w:val="center"/>
              <w:rPr>
                <w:rFonts w:cs="Calibri"/>
                <w:color w:val="000000"/>
                <w:sz w:val="20"/>
                <w:lang w:eastAsia="es-CR"/>
              </w:rPr>
            </w:pPr>
            <w:r w:rsidRPr="004E74A6">
              <w:rPr>
                <w:rFonts w:cs="Calibri"/>
                <w:color w:val="000000"/>
                <w:sz w:val="20"/>
                <w:lang w:eastAsia="es-CR"/>
              </w:rPr>
              <w:t>152,4</w:t>
            </w:r>
          </w:p>
        </w:tc>
        <w:tc>
          <w:tcPr>
            <w:tcW w:w="2177" w:type="dxa"/>
            <w:tcBorders>
              <w:top w:val="nil"/>
              <w:left w:val="single" w:sz="4" w:space="0" w:color="auto"/>
              <w:right w:val="nil"/>
            </w:tcBorders>
            <w:shd w:val="clear" w:color="auto" w:fill="F2F2F2" w:themeFill="background1" w:themeFillShade="F2"/>
            <w:vAlign w:val="center"/>
            <w:hideMark/>
          </w:tcPr>
          <w:p w14:paraId="38A19888" w14:textId="77777777" w:rsidR="00566C6E" w:rsidRPr="004E74A6" w:rsidRDefault="00566C6E" w:rsidP="00832773">
            <w:pPr>
              <w:spacing w:after="240" w:line="276" w:lineRule="auto"/>
              <w:jc w:val="center"/>
              <w:rPr>
                <w:rFonts w:cs="Calibri"/>
                <w:color w:val="000000"/>
                <w:sz w:val="20"/>
                <w:lang w:eastAsia="es-CR"/>
              </w:rPr>
            </w:pPr>
            <w:r w:rsidRPr="004E74A6">
              <w:rPr>
                <w:rFonts w:cs="Calibri"/>
                <w:color w:val="000000"/>
                <w:sz w:val="20"/>
                <w:lang w:eastAsia="es-CR"/>
              </w:rPr>
              <w:t>7%</w:t>
            </w:r>
          </w:p>
        </w:tc>
      </w:tr>
      <w:tr w:rsidR="00A46718" w:rsidRPr="004E74A6" w14:paraId="78E1885F" w14:textId="77777777" w:rsidTr="00EB102E">
        <w:trPr>
          <w:trHeight w:val="510"/>
        </w:trPr>
        <w:tc>
          <w:tcPr>
            <w:tcW w:w="2835" w:type="dxa"/>
            <w:tcBorders>
              <w:top w:val="nil"/>
              <w:left w:val="nil"/>
              <w:right w:val="single" w:sz="4" w:space="0" w:color="auto"/>
            </w:tcBorders>
            <w:shd w:val="clear" w:color="auto" w:fill="auto"/>
            <w:vAlign w:val="center"/>
            <w:hideMark/>
          </w:tcPr>
          <w:p w14:paraId="1216FD25" w14:textId="77777777" w:rsidR="00566C6E" w:rsidRPr="004E74A6" w:rsidRDefault="00566C6E" w:rsidP="00832773">
            <w:pPr>
              <w:spacing w:after="240" w:line="276" w:lineRule="auto"/>
              <w:rPr>
                <w:rFonts w:cs="Calibri"/>
                <w:color w:val="000000"/>
                <w:sz w:val="20"/>
                <w:lang w:eastAsia="es-CR"/>
              </w:rPr>
            </w:pPr>
            <w:r w:rsidRPr="004E74A6">
              <w:rPr>
                <w:rFonts w:cs="Calibri"/>
                <w:color w:val="000000"/>
                <w:sz w:val="20"/>
                <w:lang w:eastAsia="es-CR"/>
              </w:rPr>
              <w:t>Juzgado Civil y Trabajo de Golfito</w:t>
            </w:r>
          </w:p>
        </w:tc>
        <w:tc>
          <w:tcPr>
            <w:tcW w:w="1700" w:type="dxa"/>
            <w:tcBorders>
              <w:top w:val="nil"/>
              <w:left w:val="single" w:sz="4" w:space="0" w:color="auto"/>
              <w:right w:val="single" w:sz="4" w:space="0" w:color="auto"/>
            </w:tcBorders>
            <w:shd w:val="clear" w:color="auto" w:fill="auto"/>
            <w:vAlign w:val="center"/>
            <w:hideMark/>
          </w:tcPr>
          <w:p w14:paraId="16FA41D8" w14:textId="77777777" w:rsidR="00566C6E" w:rsidRPr="004E74A6" w:rsidRDefault="00566C6E" w:rsidP="00832773">
            <w:pPr>
              <w:spacing w:after="240" w:line="276" w:lineRule="auto"/>
              <w:jc w:val="center"/>
              <w:rPr>
                <w:rFonts w:cs="Calibri"/>
                <w:color w:val="000000"/>
                <w:sz w:val="20"/>
                <w:lang w:eastAsia="es-CR"/>
              </w:rPr>
            </w:pPr>
            <w:r w:rsidRPr="004E74A6">
              <w:rPr>
                <w:rFonts w:cs="Calibri"/>
                <w:color w:val="000000"/>
                <w:sz w:val="20"/>
                <w:lang w:eastAsia="es-CR"/>
              </w:rPr>
              <w:t>126</w:t>
            </w:r>
          </w:p>
        </w:tc>
        <w:tc>
          <w:tcPr>
            <w:tcW w:w="2695" w:type="dxa"/>
            <w:tcBorders>
              <w:top w:val="nil"/>
              <w:left w:val="single" w:sz="4" w:space="0" w:color="auto"/>
              <w:right w:val="single" w:sz="4" w:space="0" w:color="auto"/>
            </w:tcBorders>
            <w:shd w:val="clear" w:color="auto" w:fill="auto"/>
            <w:vAlign w:val="center"/>
            <w:hideMark/>
          </w:tcPr>
          <w:p w14:paraId="19BCC74D" w14:textId="77777777" w:rsidR="00566C6E" w:rsidRPr="004E74A6" w:rsidRDefault="00566C6E" w:rsidP="00832773">
            <w:pPr>
              <w:spacing w:after="240" w:line="276" w:lineRule="auto"/>
              <w:jc w:val="center"/>
              <w:rPr>
                <w:rFonts w:cs="Calibri"/>
                <w:color w:val="000000"/>
                <w:sz w:val="20"/>
                <w:lang w:eastAsia="es-CR"/>
              </w:rPr>
            </w:pPr>
            <w:r w:rsidRPr="004E74A6">
              <w:rPr>
                <w:rFonts w:cs="Calibri"/>
                <w:color w:val="000000"/>
                <w:sz w:val="20"/>
                <w:lang w:eastAsia="es-CR"/>
              </w:rPr>
              <w:t>9,4</w:t>
            </w:r>
          </w:p>
        </w:tc>
        <w:tc>
          <w:tcPr>
            <w:tcW w:w="1559" w:type="dxa"/>
            <w:tcBorders>
              <w:top w:val="nil"/>
              <w:left w:val="single" w:sz="4" w:space="0" w:color="auto"/>
              <w:right w:val="single" w:sz="4" w:space="0" w:color="auto"/>
            </w:tcBorders>
            <w:shd w:val="clear" w:color="auto" w:fill="auto"/>
            <w:vAlign w:val="center"/>
            <w:hideMark/>
          </w:tcPr>
          <w:p w14:paraId="7A36818D" w14:textId="77777777" w:rsidR="00566C6E" w:rsidRPr="004E74A6" w:rsidRDefault="00566C6E" w:rsidP="00832773">
            <w:pPr>
              <w:spacing w:after="240" w:line="276" w:lineRule="auto"/>
              <w:jc w:val="center"/>
              <w:rPr>
                <w:rFonts w:cs="Calibri"/>
                <w:color w:val="000000"/>
                <w:sz w:val="20"/>
                <w:lang w:eastAsia="es-CR"/>
              </w:rPr>
            </w:pPr>
            <w:r w:rsidRPr="004E74A6">
              <w:rPr>
                <w:rFonts w:cs="Calibri"/>
                <w:color w:val="000000"/>
                <w:sz w:val="20"/>
                <w:lang w:eastAsia="es-CR"/>
              </w:rPr>
              <w:t>135,4</w:t>
            </w:r>
          </w:p>
        </w:tc>
        <w:tc>
          <w:tcPr>
            <w:tcW w:w="2177" w:type="dxa"/>
            <w:tcBorders>
              <w:top w:val="nil"/>
              <w:left w:val="single" w:sz="4" w:space="0" w:color="auto"/>
              <w:right w:val="nil"/>
            </w:tcBorders>
            <w:shd w:val="clear" w:color="auto" w:fill="auto"/>
            <w:vAlign w:val="center"/>
            <w:hideMark/>
          </w:tcPr>
          <w:p w14:paraId="1815015A" w14:textId="77777777" w:rsidR="00566C6E" w:rsidRPr="004E74A6" w:rsidRDefault="00566C6E" w:rsidP="00832773">
            <w:pPr>
              <w:spacing w:after="240" w:line="276" w:lineRule="auto"/>
              <w:jc w:val="center"/>
              <w:rPr>
                <w:rFonts w:cs="Calibri"/>
                <w:color w:val="000000"/>
                <w:sz w:val="20"/>
                <w:lang w:eastAsia="es-CR"/>
              </w:rPr>
            </w:pPr>
            <w:r w:rsidRPr="004E74A6">
              <w:rPr>
                <w:rFonts w:cs="Calibri"/>
                <w:color w:val="000000"/>
                <w:sz w:val="20"/>
                <w:lang w:eastAsia="es-CR"/>
              </w:rPr>
              <w:t>7%</w:t>
            </w:r>
          </w:p>
        </w:tc>
      </w:tr>
      <w:tr w:rsidR="00A46718" w:rsidRPr="004E74A6" w14:paraId="6FC79219" w14:textId="77777777" w:rsidTr="00EB102E">
        <w:trPr>
          <w:trHeight w:val="510"/>
        </w:trPr>
        <w:tc>
          <w:tcPr>
            <w:tcW w:w="2835" w:type="dxa"/>
            <w:tcBorders>
              <w:top w:val="nil"/>
              <w:left w:val="nil"/>
              <w:right w:val="single" w:sz="4" w:space="0" w:color="auto"/>
            </w:tcBorders>
            <w:shd w:val="clear" w:color="auto" w:fill="F2F2F2" w:themeFill="background1" w:themeFillShade="F2"/>
            <w:vAlign w:val="center"/>
            <w:hideMark/>
          </w:tcPr>
          <w:p w14:paraId="7F39AAEE" w14:textId="77777777" w:rsidR="00566C6E" w:rsidRPr="004E74A6" w:rsidRDefault="00566C6E" w:rsidP="00832773">
            <w:pPr>
              <w:spacing w:line="276" w:lineRule="auto"/>
              <w:rPr>
                <w:rFonts w:cs="Calibri"/>
                <w:color w:val="000000"/>
                <w:sz w:val="20"/>
                <w:lang w:eastAsia="es-CR"/>
              </w:rPr>
            </w:pPr>
            <w:r w:rsidRPr="004E74A6">
              <w:rPr>
                <w:rFonts w:cs="Calibri"/>
                <w:color w:val="000000"/>
                <w:sz w:val="20"/>
                <w:lang w:eastAsia="es-CR"/>
              </w:rPr>
              <w:t>Juzgado Civil, Trabajo, Familia, Penal Juvenil, y contra la Violencia Doméstica de Osa</w:t>
            </w:r>
          </w:p>
        </w:tc>
        <w:tc>
          <w:tcPr>
            <w:tcW w:w="1700" w:type="dxa"/>
            <w:tcBorders>
              <w:top w:val="nil"/>
              <w:left w:val="single" w:sz="4" w:space="0" w:color="auto"/>
              <w:right w:val="single" w:sz="4" w:space="0" w:color="auto"/>
            </w:tcBorders>
            <w:shd w:val="clear" w:color="auto" w:fill="F2F2F2" w:themeFill="background1" w:themeFillShade="F2"/>
            <w:vAlign w:val="center"/>
            <w:hideMark/>
          </w:tcPr>
          <w:p w14:paraId="625F6791" w14:textId="77777777" w:rsidR="00566C6E" w:rsidRPr="004E74A6" w:rsidRDefault="00566C6E" w:rsidP="00832773">
            <w:pPr>
              <w:spacing w:line="276" w:lineRule="auto"/>
              <w:jc w:val="center"/>
              <w:rPr>
                <w:rFonts w:cs="Calibri"/>
                <w:color w:val="000000"/>
                <w:sz w:val="20"/>
                <w:lang w:eastAsia="es-CR"/>
              </w:rPr>
            </w:pPr>
            <w:r w:rsidRPr="004E74A6">
              <w:rPr>
                <w:rFonts w:cs="Calibri"/>
                <w:color w:val="000000"/>
                <w:sz w:val="20"/>
                <w:lang w:eastAsia="es-CR"/>
              </w:rPr>
              <w:t>127</w:t>
            </w:r>
          </w:p>
        </w:tc>
        <w:tc>
          <w:tcPr>
            <w:tcW w:w="2695" w:type="dxa"/>
            <w:tcBorders>
              <w:top w:val="nil"/>
              <w:left w:val="single" w:sz="4" w:space="0" w:color="auto"/>
              <w:right w:val="single" w:sz="4" w:space="0" w:color="auto"/>
            </w:tcBorders>
            <w:shd w:val="clear" w:color="auto" w:fill="F2F2F2" w:themeFill="background1" w:themeFillShade="F2"/>
            <w:vAlign w:val="center"/>
            <w:hideMark/>
          </w:tcPr>
          <w:p w14:paraId="0115104E" w14:textId="77777777" w:rsidR="00566C6E" w:rsidRPr="004E74A6" w:rsidRDefault="00566C6E" w:rsidP="00832773">
            <w:pPr>
              <w:spacing w:line="276" w:lineRule="auto"/>
              <w:jc w:val="center"/>
              <w:rPr>
                <w:rFonts w:cs="Calibri"/>
                <w:color w:val="000000"/>
                <w:sz w:val="20"/>
                <w:lang w:eastAsia="es-CR"/>
              </w:rPr>
            </w:pPr>
            <w:r w:rsidRPr="004E74A6">
              <w:rPr>
                <w:rFonts w:cs="Calibri"/>
                <w:color w:val="000000"/>
                <w:sz w:val="20"/>
                <w:lang w:eastAsia="es-CR"/>
              </w:rPr>
              <w:t>9,4</w:t>
            </w:r>
          </w:p>
        </w:tc>
        <w:tc>
          <w:tcPr>
            <w:tcW w:w="1559" w:type="dxa"/>
            <w:tcBorders>
              <w:top w:val="nil"/>
              <w:left w:val="single" w:sz="4" w:space="0" w:color="auto"/>
              <w:right w:val="single" w:sz="4" w:space="0" w:color="auto"/>
            </w:tcBorders>
            <w:shd w:val="clear" w:color="auto" w:fill="F2F2F2" w:themeFill="background1" w:themeFillShade="F2"/>
            <w:vAlign w:val="center"/>
            <w:hideMark/>
          </w:tcPr>
          <w:p w14:paraId="201F1FA9" w14:textId="77777777" w:rsidR="00566C6E" w:rsidRPr="004E74A6" w:rsidRDefault="00566C6E" w:rsidP="00832773">
            <w:pPr>
              <w:spacing w:line="276" w:lineRule="auto"/>
              <w:jc w:val="center"/>
              <w:rPr>
                <w:rFonts w:cs="Calibri"/>
                <w:color w:val="000000"/>
                <w:sz w:val="20"/>
                <w:lang w:eastAsia="es-CR"/>
              </w:rPr>
            </w:pPr>
            <w:r w:rsidRPr="004E74A6">
              <w:rPr>
                <w:rFonts w:cs="Calibri"/>
                <w:color w:val="000000"/>
                <w:sz w:val="20"/>
                <w:lang w:eastAsia="es-CR"/>
              </w:rPr>
              <w:t>136,4</w:t>
            </w:r>
          </w:p>
        </w:tc>
        <w:tc>
          <w:tcPr>
            <w:tcW w:w="2177" w:type="dxa"/>
            <w:tcBorders>
              <w:top w:val="nil"/>
              <w:left w:val="single" w:sz="4" w:space="0" w:color="auto"/>
              <w:right w:val="nil"/>
            </w:tcBorders>
            <w:shd w:val="clear" w:color="auto" w:fill="F2F2F2" w:themeFill="background1" w:themeFillShade="F2"/>
            <w:vAlign w:val="center"/>
            <w:hideMark/>
          </w:tcPr>
          <w:p w14:paraId="650E4706" w14:textId="77777777" w:rsidR="00566C6E" w:rsidRPr="004E74A6" w:rsidRDefault="00566C6E" w:rsidP="00832773">
            <w:pPr>
              <w:spacing w:line="276" w:lineRule="auto"/>
              <w:jc w:val="center"/>
              <w:rPr>
                <w:rFonts w:cs="Calibri"/>
                <w:color w:val="000000"/>
                <w:sz w:val="20"/>
                <w:lang w:eastAsia="es-CR"/>
              </w:rPr>
            </w:pPr>
            <w:r w:rsidRPr="004E74A6">
              <w:rPr>
                <w:rFonts w:cs="Calibri"/>
                <w:color w:val="000000"/>
                <w:sz w:val="20"/>
                <w:lang w:eastAsia="es-CR"/>
              </w:rPr>
              <w:t>7%</w:t>
            </w:r>
          </w:p>
        </w:tc>
      </w:tr>
      <w:tr w:rsidR="00A46718" w:rsidRPr="004E74A6" w14:paraId="21A3DB45" w14:textId="77777777" w:rsidTr="00EB102E">
        <w:trPr>
          <w:trHeight w:val="510"/>
        </w:trPr>
        <w:tc>
          <w:tcPr>
            <w:tcW w:w="2835" w:type="dxa"/>
            <w:tcBorders>
              <w:left w:val="nil"/>
              <w:right w:val="single" w:sz="4" w:space="0" w:color="auto"/>
            </w:tcBorders>
            <w:shd w:val="clear" w:color="auto" w:fill="auto"/>
            <w:vAlign w:val="center"/>
            <w:hideMark/>
          </w:tcPr>
          <w:p w14:paraId="563CB43A" w14:textId="77777777" w:rsidR="00566C6E" w:rsidRPr="004E74A6" w:rsidRDefault="00566C6E" w:rsidP="00832773">
            <w:pPr>
              <w:spacing w:after="240" w:line="276" w:lineRule="auto"/>
              <w:rPr>
                <w:rFonts w:cs="Calibri"/>
                <w:color w:val="000000"/>
                <w:sz w:val="20"/>
                <w:lang w:eastAsia="es-CR"/>
              </w:rPr>
            </w:pPr>
            <w:r w:rsidRPr="004E74A6">
              <w:rPr>
                <w:rFonts w:cs="Calibri"/>
                <w:color w:val="000000"/>
                <w:sz w:val="20"/>
                <w:lang w:eastAsia="es-CR"/>
              </w:rPr>
              <w:t>Juzgado Civil del Primer Circuito Judicial de Zona Atlántica</w:t>
            </w:r>
          </w:p>
        </w:tc>
        <w:tc>
          <w:tcPr>
            <w:tcW w:w="1700" w:type="dxa"/>
            <w:tcBorders>
              <w:left w:val="single" w:sz="4" w:space="0" w:color="auto"/>
              <w:right w:val="single" w:sz="4" w:space="0" w:color="auto"/>
            </w:tcBorders>
            <w:shd w:val="clear" w:color="auto" w:fill="auto"/>
            <w:vAlign w:val="center"/>
            <w:hideMark/>
          </w:tcPr>
          <w:p w14:paraId="71DB0BAE" w14:textId="77777777" w:rsidR="00566C6E" w:rsidRPr="004E74A6" w:rsidRDefault="00566C6E" w:rsidP="00832773">
            <w:pPr>
              <w:spacing w:line="276" w:lineRule="auto"/>
              <w:jc w:val="center"/>
              <w:rPr>
                <w:rFonts w:cs="Calibri"/>
                <w:color w:val="000000"/>
                <w:sz w:val="20"/>
                <w:lang w:eastAsia="es-CR"/>
              </w:rPr>
            </w:pPr>
            <w:r w:rsidRPr="004E74A6">
              <w:rPr>
                <w:rFonts w:cs="Calibri"/>
                <w:color w:val="000000"/>
                <w:sz w:val="20"/>
                <w:lang w:eastAsia="es-CR"/>
              </w:rPr>
              <w:t>461</w:t>
            </w:r>
          </w:p>
        </w:tc>
        <w:tc>
          <w:tcPr>
            <w:tcW w:w="2695" w:type="dxa"/>
            <w:tcBorders>
              <w:left w:val="single" w:sz="4" w:space="0" w:color="auto"/>
              <w:right w:val="single" w:sz="4" w:space="0" w:color="auto"/>
            </w:tcBorders>
            <w:shd w:val="clear" w:color="auto" w:fill="auto"/>
            <w:vAlign w:val="center"/>
            <w:hideMark/>
          </w:tcPr>
          <w:p w14:paraId="7B5C00A7" w14:textId="77777777" w:rsidR="00566C6E" w:rsidRPr="004E74A6" w:rsidRDefault="00566C6E" w:rsidP="00832773">
            <w:pPr>
              <w:spacing w:line="276" w:lineRule="auto"/>
              <w:jc w:val="center"/>
              <w:rPr>
                <w:rFonts w:cs="Calibri"/>
                <w:color w:val="000000"/>
                <w:sz w:val="20"/>
                <w:lang w:eastAsia="es-CR"/>
              </w:rPr>
            </w:pPr>
            <w:r w:rsidRPr="004E74A6">
              <w:rPr>
                <w:rFonts w:cs="Calibri"/>
                <w:color w:val="000000"/>
                <w:sz w:val="20"/>
                <w:lang w:eastAsia="es-CR"/>
              </w:rPr>
              <w:t>22,0</w:t>
            </w:r>
          </w:p>
        </w:tc>
        <w:tc>
          <w:tcPr>
            <w:tcW w:w="1559" w:type="dxa"/>
            <w:tcBorders>
              <w:left w:val="single" w:sz="4" w:space="0" w:color="auto"/>
              <w:right w:val="single" w:sz="4" w:space="0" w:color="auto"/>
            </w:tcBorders>
            <w:shd w:val="clear" w:color="auto" w:fill="auto"/>
            <w:vAlign w:val="center"/>
            <w:hideMark/>
          </w:tcPr>
          <w:p w14:paraId="1391FCFC" w14:textId="77777777" w:rsidR="00566C6E" w:rsidRPr="004E74A6" w:rsidRDefault="00566C6E" w:rsidP="00832773">
            <w:pPr>
              <w:spacing w:line="276" w:lineRule="auto"/>
              <w:jc w:val="center"/>
              <w:rPr>
                <w:rFonts w:cs="Calibri"/>
                <w:color w:val="000000"/>
                <w:sz w:val="20"/>
                <w:lang w:eastAsia="es-CR"/>
              </w:rPr>
            </w:pPr>
            <w:r w:rsidRPr="004E74A6">
              <w:rPr>
                <w:rFonts w:cs="Calibri"/>
                <w:color w:val="000000"/>
                <w:sz w:val="20"/>
                <w:lang w:eastAsia="es-CR"/>
              </w:rPr>
              <w:t>483,0</w:t>
            </w:r>
          </w:p>
        </w:tc>
        <w:tc>
          <w:tcPr>
            <w:tcW w:w="2177" w:type="dxa"/>
            <w:tcBorders>
              <w:left w:val="single" w:sz="4" w:space="0" w:color="auto"/>
              <w:right w:val="nil"/>
            </w:tcBorders>
            <w:shd w:val="clear" w:color="auto" w:fill="auto"/>
            <w:vAlign w:val="center"/>
            <w:hideMark/>
          </w:tcPr>
          <w:p w14:paraId="62A2FBD4" w14:textId="77777777" w:rsidR="00566C6E" w:rsidRPr="004E74A6" w:rsidRDefault="00566C6E" w:rsidP="00832773">
            <w:pPr>
              <w:spacing w:line="276" w:lineRule="auto"/>
              <w:jc w:val="center"/>
              <w:rPr>
                <w:rFonts w:cs="Calibri"/>
                <w:color w:val="000000"/>
                <w:sz w:val="20"/>
                <w:lang w:eastAsia="es-CR"/>
              </w:rPr>
            </w:pPr>
            <w:r w:rsidRPr="004E74A6">
              <w:rPr>
                <w:rFonts w:cs="Calibri"/>
                <w:color w:val="000000"/>
                <w:sz w:val="20"/>
                <w:lang w:eastAsia="es-CR"/>
              </w:rPr>
              <w:t>5%</w:t>
            </w:r>
          </w:p>
        </w:tc>
      </w:tr>
      <w:tr w:rsidR="00A46718" w:rsidRPr="004E74A6" w14:paraId="125D6E49" w14:textId="77777777" w:rsidTr="00EB102E">
        <w:trPr>
          <w:trHeight w:val="510"/>
        </w:trPr>
        <w:tc>
          <w:tcPr>
            <w:tcW w:w="2835" w:type="dxa"/>
            <w:tcBorders>
              <w:top w:val="nil"/>
              <w:left w:val="nil"/>
              <w:right w:val="single" w:sz="4" w:space="0" w:color="auto"/>
            </w:tcBorders>
            <w:shd w:val="clear" w:color="auto" w:fill="F2F2F2" w:themeFill="background1" w:themeFillShade="F2"/>
            <w:vAlign w:val="center"/>
            <w:hideMark/>
          </w:tcPr>
          <w:p w14:paraId="261FA515" w14:textId="77777777" w:rsidR="00566C6E" w:rsidRPr="004E74A6" w:rsidRDefault="00566C6E" w:rsidP="00832773">
            <w:pPr>
              <w:spacing w:line="276" w:lineRule="auto"/>
              <w:rPr>
                <w:rFonts w:cs="Calibri"/>
                <w:color w:val="000000"/>
                <w:sz w:val="20"/>
                <w:lang w:eastAsia="es-CR"/>
              </w:rPr>
            </w:pPr>
            <w:r w:rsidRPr="004E74A6">
              <w:rPr>
                <w:rFonts w:cs="Calibri"/>
                <w:color w:val="000000"/>
                <w:sz w:val="20"/>
                <w:lang w:eastAsia="es-CR"/>
              </w:rPr>
              <w:t>Juzgado Civil del Segundo Circuito Judicial de Zona Atlántica</w:t>
            </w:r>
          </w:p>
        </w:tc>
        <w:tc>
          <w:tcPr>
            <w:tcW w:w="1700" w:type="dxa"/>
            <w:tcBorders>
              <w:top w:val="nil"/>
              <w:left w:val="single" w:sz="4" w:space="0" w:color="auto"/>
              <w:right w:val="single" w:sz="4" w:space="0" w:color="auto"/>
            </w:tcBorders>
            <w:shd w:val="clear" w:color="auto" w:fill="F2F2F2" w:themeFill="background1" w:themeFillShade="F2"/>
            <w:vAlign w:val="center"/>
            <w:hideMark/>
          </w:tcPr>
          <w:p w14:paraId="270CE741" w14:textId="77777777" w:rsidR="00566C6E" w:rsidRPr="004E74A6" w:rsidRDefault="00566C6E" w:rsidP="00832773">
            <w:pPr>
              <w:spacing w:line="276" w:lineRule="auto"/>
              <w:jc w:val="center"/>
              <w:rPr>
                <w:rFonts w:cs="Calibri"/>
                <w:color w:val="000000"/>
                <w:sz w:val="20"/>
                <w:lang w:eastAsia="es-CR"/>
              </w:rPr>
            </w:pPr>
            <w:r w:rsidRPr="004E74A6">
              <w:rPr>
                <w:rFonts w:cs="Calibri"/>
                <w:color w:val="000000"/>
                <w:sz w:val="20"/>
                <w:lang w:eastAsia="es-CR"/>
              </w:rPr>
              <w:t>506</w:t>
            </w:r>
          </w:p>
        </w:tc>
        <w:tc>
          <w:tcPr>
            <w:tcW w:w="2695" w:type="dxa"/>
            <w:tcBorders>
              <w:top w:val="nil"/>
              <w:left w:val="single" w:sz="4" w:space="0" w:color="auto"/>
              <w:right w:val="single" w:sz="4" w:space="0" w:color="auto"/>
            </w:tcBorders>
            <w:shd w:val="clear" w:color="auto" w:fill="F2F2F2" w:themeFill="background1" w:themeFillShade="F2"/>
            <w:vAlign w:val="center"/>
            <w:hideMark/>
          </w:tcPr>
          <w:p w14:paraId="35106D2C" w14:textId="77777777" w:rsidR="00566C6E" w:rsidRPr="004E74A6" w:rsidRDefault="00566C6E" w:rsidP="00832773">
            <w:pPr>
              <w:spacing w:line="276" w:lineRule="auto"/>
              <w:jc w:val="center"/>
              <w:rPr>
                <w:rFonts w:cs="Calibri"/>
                <w:color w:val="000000"/>
                <w:sz w:val="20"/>
                <w:lang w:eastAsia="es-CR"/>
              </w:rPr>
            </w:pPr>
            <w:r w:rsidRPr="004E74A6">
              <w:rPr>
                <w:rFonts w:cs="Calibri"/>
                <w:color w:val="000000"/>
                <w:sz w:val="20"/>
                <w:lang w:eastAsia="es-CR"/>
              </w:rPr>
              <w:t>22,0</w:t>
            </w:r>
          </w:p>
        </w:tc>
        <w:tc>
          <w:tcPr>
            <w:tcW w:w="1559" w:type="dxa"/>
            <w:tcBorders>
              <w:top w:val="nil"/>
              <w:left w:val="single" w:sz="4" w:space="0" w:color="auto"/>
              <w:right w:val="single" w:sz="4" w:space="0" w:color="auto"/>
            </w:tcBorders>
            <w:shd w:val="clear" w:color="auto" w:fill="F2F2F2" w:themeFill="background1" w:themeFillShade="F2"/>
            <w:vAlign w:val="center"/>
            <w:hideMark/>
          </w:tcPr>
          <w:p w14:paraId="5239128A" w14:textId="77777777" w:rsidR="00566C6E" w:rsidRPr="004E74A6" w:rsidRDefault="00566C6E" w:rsidP="00832773">
            <w:pPr>
              <w:spacing w:line="276" w:lineRule="auto"/>
              <w:jc w:val="center"/>
              <w:rPr>
                <w:rFonts w:cs="Calibri"/>
                <w:color w:val="000000"/>
                <w:sz w:val="20"/>
                <w:lang w:eastAsia="es-CR"/>
              </w:rPr>
            </w:pPr>
            <w:r w:rsidRPr="004E74A6">
              <w:rPr>
                <w:rFonts w:cs="Calibri"/>
                <w:color w:val="000000"/>
                <w:sz w:val="20"/>
                <w:lang w:eastAsia="es-CR"/>
              </w:rPr>
              <w:t>528,0</w:t>
            </w:r>
          </w:p>
        </w:tc>
        <w:tc>
          <w:tcPr>
            <w:tcW w:w="2177" w:type="dxa"/>
            <w:tcBorders>
              <w:top w:val="nil"/>
              <w:left w:val="single" w:sz="4" w:space="0" w:color="auto"/>
              <w:right w:val="nil"/>
            </w:tcBorders>
            <w:shd w:val="clear" w:color="auto" w:fill="F2F2F2" w:themeFill="background1" w:themeFillShade="F2"/>
            <w:vAlign w:val="center"/>
            <w:hideMark/>
          </w:tcPr>
          <w:p w14:paraId="72892500" w14:textId="77777777" w:rsidR="00566C6E" w:rsidRPr="004E74A6" w:rsidRDefault="00566C6E" w:rsidP="00832773">
            <w:pPr>
              <w:spacing w:line="276" w:lineRule="auto"/>
              <w:jc w:val="center"/>
              <w:rPr>
                <w:rFonts w:cs="Calibri"/>
                <w:color w:val="000000"/>
                <w:sz w:val="20"/>
                <w:lang w:eastAsia="es-CR"/>
              </w:rPr>
            </w:pPr>
            <w:r w:rsidRPr="004E74A6">
              <w:rPr>
                <w:rFonts w:cs="Calibri"/>
                <w:color w:val="000000"/>
                <w:sz w:val="20"/>
                <w:lang w:eastAsia="es-CR"/>
              </w:rPr>
              <w:t>4%</w:t>
            </w:r>
          </w:p>
        </w:tc>
      </w:tr>
      <w:tr w:rsidR="00566C6E" w:rsidRPr="004E74A6" w14:paraId="51115A0F" w14:textId="77777777" w:rsidTr="00EB102E">
        <w:trPr>
          <w:trHeight w:val="510"/>
        </w:trPr>
        <w:tc>
          <w:tcPr>
            <w:tcW w:w="2835" w:type="dxa"/>
            <w:tcBorders>
              <w:left w:val="nil"/>
              <w:right w:val="single" w:sz="4" w:space="0" w:color="auto"/>
            </w:tcBorders>
            <w:shd w:val="clear" w:color="auto" w:fill="auto"/>
            <w:vAlign w:val="center"/>
            <w:hideMark/>
          </w:tcPr>
          <w:p w14:paraId="255C8E9C" w14:textId="77777777" w:rsidR="00566C6E" w:rsidRPr="004E74A6" w:rsidRDefault="00566C6E" w:rsidP="00832773">
            <w:pPr>
              <w:spacing w:line="276" w:lineRule="auto"/>
              <w:jc w:val="center"/>
              <w:rPr>
                <w:rFonts w:cs="Calibri"/>
                <w:b/>
                <w:bCs/>
                <w:i/>
                <w:iCs/>
                <w:color w:val="000000"/>
                <w:sz w:val="20"/>
                <w:lang w:eastAsia="es-CR"/>
              </w:rPr>
            </w:pPr>
            <w:r w:rsidRPr="004E74A6">
              <w:rPr>
                <w:rFonts w:cs="Calibri"/>
                <w:b/>
                <w:bCs/>
                <w:i/>
                <w:iCs/>
                <w:color w:val="000000"/>
                <w:sz w:val="20"/>
                <w:lang w:eastAsia="es-CR"/>
              </w:rPr>
              <w:t>Total</w:t>
            </w:r>
          </w:p>
        </w:tc>
        <w:tc>
          <w:tcPr>
            <w:tcW w:w="1700" w:type="dxa"/>
            <w:tcBorders>
              <w:left w:val="single" w:sz="4" w:space="0" w:color="auto"/>
              <w:right w:val="single" w:sz="4" w:space="0" w:color="auto"/>
            </w:tcBorders>
            <w:shd w:val="clear" w:color="auto" w:fill="auto"/>
            <w:vAlign w:val="center"/>
            <w:hideMark/>
          </w:tcPr>
          <w:p w14:paraId="6AD7B0F7" w14:textId="64422309" w:rsidR="00566C6E" w:rsidRPr="004E74A6" w:rsidRDefault="00566C6E" w:rsidP="00832773">
            <w:pPr>
              <w:spacing w:line="276" w:lineRule="auto"/>
              <w:jc w:val="center"/>
              <w:rPr>
                <w:rFonts w:cs="Calibri"/>
                <w:b/>
                <w:bCs/>
                <w:color w:val="000000"/>
                <w:sz w:val="20"/>
                <w:lang w:eastAsia="es-CR"/>
              </w:rPr>
            </w:pPr>
            <w:r w:rsidRPr="004E74A6">
              <w:rPr>
                <w:rFonts w:cs="Calibri"/>
                <w:b/>
                <w:bCs/>
                <w:color w:val="000000"/>
                <w:sz w:val="20"/>
                <w:lang w:eastAsia="es-CR"/>
              </w:rPr>
              <w:t>1</w:t>
            </w:r>
            <w:r w:rsidR="00345468" w:rsidRPr="004E74A6">
              <w:rPr>
                <w:rFonts w:cs="Calibri"/>
                <w:b/>
                <w:bCs/>
                <w:color w:val="000000"/>
                <w:sz w:val="20"/>
                <w:lang w:eastAsia="es-CR"/>
              </w:rPr>
              <w:t>4</w:t>
            </w:r>
            <w:r w:rsidRPr="004E74A6">
              <w:rPr>
                <w:rFonts w:cs="Calibri"/>
                <w:b/>
                <w:bCs/>
                <w:color w:val="000000"/>
                <w:sz w:val="20"/>
                <w:lang w:eastAsia="es-CR"/>
              </w:rPr>
              <w:t>916</w:t>
            </w:r>
          </w:p>
        </w:tc>
        <w:tc>
          <w:tcPr>
            <w:tcW w:w="2695" w:type="dxa"/>
            <w:tcBorders>
              <w:left w:val="single" w:sz="4" w:space="0" w:color="auto"/>
              <w:right w:val="single" w:sz="4" w:space="0" w:color="auto"/>
            </w:tcBorders>
            <w:shd w:val="clear" w:color="auto" w:fill="auto"/>
            <w:vAlign w:val="center"/>
            <w:hideMark/>
          </w:tcPr>
          <w:p w14:paraId="6FACD9B5" w14:textId="77777777" w:rsidR="00566C6E" w:rsidRPr="004E74A6" w:rsidRDefault="00566C6E" w:rsidP="00832773">
            <w:pPr>
              <w:spacing w:line="276" w:lineRule="auto"/>
              <w:jc w:val="center"/>
              <w:rPr>
                <w:rFonts w:cs="Calibri"/>
                <w:b/>
                <w:bCs/>
                <w:color w:val="000000"/>
                <w:sz w:val="20"/>
                <w:lang w:eastAsia="es-CR"/>
              </w:rPr>
            </w:pPr>
            <w:r w:rsidRPr="004E74A6">
              <w:rPr>
                <w:rFonts w:cs="Calibri"/>
                <w:b/>
                <w:bCs/>
                <w:color w:val="000000"/>
                <w:sz w:val="20"/>
                <w:lang w:eastAsia="es-CR"/>
              </w:rPr>
              <w:t>506,7</w:t>
            </w:r>
          </w:p>
        </w:tc>
        <w:tc>
          <w:tcPr>
            <w:tcW w:w="1559" w:type="dxa"/>
            <w:tcBorders>
              <w:left w:val="single" w:sz="4" w:space="0" w:color="auto"/>
              <w:right w:val="single" w:sz="4" w:space="0" w:color="auto"/>
            </w:tcBorders>
            <w:shd w:val="clear" w:color="auto" w:fill="auto"/>
            <w:vAlign w:val="center"/>
            <w:hideMark/>
          </w:tcPr>
          <w:p w14:paraId="5528D6D6" w14:textId="7469CD8E" w:rsidR="00566C6E" w:rsidRPr="004E74A6" w:rsidRDefault="00566C6E" w:rsidP="00832773">
            <w:pPr>
              <w:spacing w:line="276" w:lineRule="auto"/>
              <w:jc w:val="center"/>
              <w:rPr>
                <w:rFonts w:cs="Calibri"/>
                <w:color w:val="000000"/>
                <w:sz w:val="20"/>
                <w:lang w:eastAsia="es-CR"/>
              </w:rPr>
            </w:pPr>
            <w:r w:rsidRPr="004E74A6">
              <w:rPr>
                <w:rFonts w:cs="Calibri"/>
                <w:color w:val="000000"/>
                <w:sz w:val="20"/>
                <w:lang w:eastAsia="es-CR"/>
              </w:rPr>
              <w:t>1</w:t>
            </w:r>
            <w:r w:rsidR="00123A64" w:rsidRPr="004E74A6">
              <w:rPr>
                <w:rFonts w:cs="Calibri"/>
                <w:color w:val="000000"/>
                <w:sz w:val="20"/>
                <w:lang w:eastAsia="es-CR"/>
              </w:rPr>
              <w:t>5</w:t>
            </w:r>
            <w:r w:rsidRPr="004E74A6">
              <w:rPr>
                <w:rFonts w:cs="Calibri"/>
                <w:color w:val="000000"/>
                <w:sz w:val="20"/>
                <w:lang w:eastAsia="es-CR"/>
              </w:rPr>
              <w:t>422,7</w:t>
            </w:r>
          </w:p>
        </w:tc>
        <w:tc>
          <w:tcPr>
            <w:tcW w:w="2177" w:type="dxa"/>
            <w:tcBorders>
              <w:left w:val="single" w:sz="4" w:space="0" w:color="auto"/>
              <w:right w:val="nil"/>
            </w:tcBorders>
            <w:shd w:val="clear" w:color="auto" w:fill="auto"/>
            <w:vAlign w:val="center"/>
            <w:hideMark/>
          </w:tcPr>
          <w:p w14:paraId="1AC6A0BE" w14:textId="77777777" w:rsidR="00566C6E" w:rsidRPr="004E74A6" w:rsidRDefault="00566C6E" w:rsidP="00832773">
            <w:pPr>
              <w:spacing w:line="276" w:lineRule="auto"/>
              <w:jc w:val="center"/>
              <w:rPr>
                <w:rFonts w:cs="Calibri"/>
                <w:color w:val="000000"/>
                <w:sz w:val="20"/>
                <w:lang w:eastAsia="es-CR"/>
              </w:rPr>
            </w:pPr>
            <w:r w:rsidRPr="004E74A6">
              <w:rPr>
                <w:rFonts w:cs="Calibri"/>
                <w:color w:val="000000"/>
                <w:sz w:val="20"/>
                <w:lang w:eastAsia="es-CR"/>
              </w:rPr>
              <w:t>5%</w:t>
            </w:r>
          </w:p>
        </w:tc>
      </w:tr>
      <w:tr w:rsidR="00566C6E" w:rsidRPr="004E74A6" w14:paraId="68D75CB3" w14:textId="77777777" w:rsidTr="00EB102E">
        <w:trPr>
          <w:trHeight w:val="315"/>
        </w:trPr>
        <w:tc>
          <w:tcPr>
            <w:tcW w:w="2835" w:type="dxa"/>
            <w:tcBorders>
              <w:left w:val="nil"/>
              <w:bottom w:val="single" w:sz="8" w:space="0" w:color="auto"/>
              <w:right w:val="single" w:sz="4" w:space="0" w:color="auto"/>
            </w:tcBorders>
            <w:shd w:val="clear" w:color="000000" w:fill="BDD6EE"/>
            <w:vAlign w:val="center"/>
            <w:hideMark/>
          </w:tcPr>
          <w:p w14:paraId="21B8E4C4" w14:textId="77777777" w:rsidR="00566C6E" w:rsidRPr="004E74A6" w:rsidRDefault="00566C6E" w:rsidP="00832773">
            <w:pPr>
              <w:spacing w:line="276" w:lineRule="auto"/>
              <w:jc w:val="center"/>
              <w:rPr>
                <w:rFonts w:cs="Calibri"/>
                <w:b/>
                <w:bCs/>
                <w:i/>
                <w:iCs/>
                <w:color w:val="000000"/>
                <w:sz w:val="20"/>
                <w:lang w:eastAsia="es-CR"/>
              </w:rPr>
            </w:pPr>
            <w:r w:rsidRPr="004E74A6">
              <w:rPr>
                <w:rFonts w:cs="Calibri"/>
                <w:b/>
                <w:bCs/>
                <w:i/>
                <w:iCs/>
                <w:color w:val="000000"/>
                <w:sz w:val="20"/>
                <w:lang w:eastAsia="es-CR"/>
              </w:rPr>
              <w:t>Promedio</w:t>
            </w:r>
          </w:p>
        </w:tc>
        <w:tc>
          <w:tcPr>
            <w:tcW w:w="1700" w:type="dxa"/>
            <w:tcBorders>
              <w:left w:val="nil"/>
              <w:bottom w:val="single" w:sz="8" w:space="0" w:color="auto"/>
              <w:right w:val="single" w:sz="4" w:space="0" w:color="auto"/>
            </w:tcBorders>
            <w:shd w:val="clear" w:color="000000" w:fill="BDD6EE"/>
            <w:vAlign w:val="center"/>
            <w:hideMark/>
          </w:tcPr>
          <w:p w14:paraId="4D2CFB95" w14:textId="77777777" w:rsidR="00566C6E" w:rsidRPr="004E74A6" w:rsidRDefault="00566C6E" w:rsidP="00832773">
            <w:pPr>
              <w:spacing w:line="276" w:lineRule="auto"/>
              <w:jc w:val="center"/>
              <w:rPr>
                <w:rFonts w:cs="Calibri"/>
                <w:color w:val="000000"/>
                <w:sz w:val="20"/>
                <w:lang w:eastAsia="es-CR"/>
              </w:rPr>
            </w:pPr>
            <w:r w:rsidRPr="004E74A6">
              <w:rPr>
                <w:rFonts w:cs="Calibri"/>
                <w:color w:val="000000"/>
                <w:sz w:val="20"/>
                <w:lang w:eastAsia="es-CR"/>
              </w:rPr>
              <w:t> </w:t>
            </w:r>
          </w:p>
        </w:tc>
        <w:tc>
          <w:tcPr>
            <w:tcW w:w="2695" w:type="dxa"/>
            <w:tcBorders>
              <w:left w:val="nil"/>
              <w:bottom w:val="single" w:sz="8" w:space="0" w:color="auto"/>
              <w:right w:val="single" w:sz="4" w:space="0" w:color="auto"/>
            </w:tcBorders>
            <w:shd w:val="clear" w:color="000000" w:fill="BDD6EE"/>
            <w:vAlign w:val="center"/>
            <w:hideMark/>
          </w:tcPr>
          <w:p w14:paraId="51BC6ECD" w14:textId="77777777" w:rsidR="00566C6E" w:rsidRPr="004E74A6" w:rsidRDefault="00566C6E" w:rsidP="00832773">
            <w:pPr>
              <w:spacing w:line="276" w:lineRule="auto"/>
              <w:jc w:val="center"/>
              <w:rPr>
                <w:rFonts w:cs="Calibri"/>
                <w:color w:val="000000"/>
                <w:sz w:val="20"/>
                <w:lang w:eastAsia="es-CR"/>
              </w:rPr>
            </w:pPr>
            <w:r w:rsidRPr="004E74A6">
              <w:rPr>
                <w:rFonts w:cs="Calibri"/>
                <w:color w:val="000000"/>
                <w:sz w:val="20"/>
                <w:lang w:eastAsia="es-CR"/>
              </w:rPr>
              <w:t> </w:t>
            </w:r>
          </w:p>
        </w:tc>
        <w:tc>
          <w:tcPr>
            <w:tcW w:w="1559" w:type="dxa"/>
            <w:tcBorders>
              <w:left w:val="nil"/>
              <w:bottom w:val="single" w:sz="8" w:space="0" w:color="auto"/>
              <w:right w:val="single" w:sz="4" w:space="0" w:color="auto"/>
            </w:tcBorders>
            <w:shd w:val="clear" w:color="000000" w:fill="BDD6EE"/>
            <w:vAlign w:val="center"/>
            <w:hideMark/>
          </w:tcPr>
          <w:p w14:paraId="44F388FC" w14:textId="77777777" w:rsidR="00566C6E" w:rsidRPr="004E74A6" w:rsidRDefault="00566C6E" w:rsidP="00832773">
            <w:pPr>
              <w:spacing w:line="276" w:lineRule="auto"/>
              <w:jc w:val="center"/>
              <w:rPr>
                <w:rFonts w:cs="Calibri"/>
                <w:color w:val="000000"/>
                <w:sz w:val="20"/>
                <w:lang w:eastAsia="es-CR"/>
              </w:rPr>
            </w:pPr>
            <w:r w:rsidRPr="004E74A6">
              <w:rPr>
                <w:rFonts w:cs="Calibri"/>
                <w:color w:val="000000"/>
                <w:sz w:val="20"/>
                <w:lang w:eastAsia="es-CR"/>
              </w:rPr>
              <w:t> </w:t>
            </w:r>
          </w:p>
        </w:tc>
        <w:tc>
          <w:tcPr>
            <w:tcW w:w="2177" w:type="dxa"/>
            <w:tcBorders>
              <w:left w:val="nil"/>
              <w:bottom w:val="single" w:sz="8" w:space="0" w:color="auto"/>
              <w:right w:val="nil"/>
            </w:tcBorders>
            <w:shd w:val="clear" w:color="000000" w:fill="BDD6EE"/>
            <w:vAlign w:val="center"/>
            <w:hideMark/>
          </w:tcPr>
          <w:p w14:paraId="4DDB1592" w14:textId="77777777" w:rsidR="00566C6E" w:rsidRPr="004E74A6" w:rsidRDefault="00566C6E" w:rsidP="00832773">
            <w:pPr>
              <w:spacing w:line="276" w:lineRule="auto"/>
              <w:jc w:val="center"/>
              <w:rPr>
                <w:rFonts w:cs="Calibri"/>
                <w:b/>
                <w:bCs/>
                <w:i/>
                <w:iCs/>
                <w:color w:val="000000"/>
                <w:sz w:val="20"/>
                <w:lang w:eastAsia="es-CR"/>
              </w:rPr>
            </w:pPr>
            <w:r w:rsidRPr="004E74A6">
              <w:rPr>
                <w:rFonts w:cs="Calibri"/>
                <w:b/>
                <w:bCs/>
                <w:i/>
                <w:iCs/>
                <w:color w:val="000000"/>
                <w:sz w:val="20"/>
                <w:lang w:eastAsia="es-CR"/>
              </w:rPr>
              <w:t>6%</w:t>
            </w:r>
          </w:p>
        </w:tc>
      </w:tr>
    </w:tbl>
    <w:p w14:paraId="5AFA00E6" w14:textId="77777777" w:rsidR="00566C6E" w:rsidRPr="004E74A6" w:rsidRDefault="00566C6E" w:rsidP="00832773">
      <w:pPr>
        <w:spacing w:line="276" w:lineRule="auto"/>
        <w:ind w:right="57"/>
        <w:rPr>
          <w:rFonts w:cs="Calibri"/>
          <w:b/>
          <w:bCs/>
          <w:i/>
          <w:iCs/>
          <w:color w:val="000000"/>
          <w:sz w:val="20"/>
          <w:lang w:eastAsia="es-CR"/>
        </w:rPr>
      </w:pPr>
    </w:p>
    <w:p w14:paraId="2FA3B65F" w14:textId="15578E47" w:rsidR="00552603" w:rsidRPr="004E74A6" w:rsidRDefault="00552603" w:rsidP="00832773">
      <w:pPr>
        <w:spacing w:line="276" w:lineRule="auto"/>
        <w:ind w:right="57"/>
        <w:rPr>
          <w:rFonts w:cs="Calibri"/>
          <w:i/>
          <w:iCs/>
          <w:color w:val="000000"/>
          <w:sz w:val="20"/>
          <w:lang w:eastAsia="es-CR"/>
        </w:rPr>
      </w:pPr>
      <w:r w:rsidRPr="004E74A6">
        <w:rPr>
          <w:rFonts w:cs="Calibri"/>
          <w:b/>
          <w:bCs/>
          <w:i/>
          <w:iCs/>
          <w:color w:val="000000"/>
          <w:sz w:val="20"/>
          <w:lang w:eastAsia="es-CR"/>
        </w:rPr>
        <w:t>Fuente</w:t>
      </w:r>
      <w:r w:rsidRPr="004E74A6">
        <w:rPr>
          <w:rFonts w:cs="Calibri"/>
          <w:i/>
          <w:iCs/>
          <w:color w:val="000000"/>
          <w:sz w:val="20"/>
          <w:lang w:eastAsia="es-CR"/>
        </w:rPr>
        <w:t>: Subproceso de Modernización Institucional con datos extraídos del sistema SIGMA, Dirección de Planificación.</w:t>
      </w:r>
    </w:p>
    <w:p w14:paraId="07E30ED9" w14:textId="77777777" w:rsidR="00745869" w:rsidRPr="004E74A6" w:rsidRDefault="00745869" w:rsidP="00CE62C1">
      <w:pPr>
        <w:spacing w:after="160" w:line="276" w:lineRule="auto"/>
        <w:rPr>
          <w:rFonts w:cs="Calibri"/>
          <w:color w:val="000000"/>
          <w:szCs w:val="24"/>
          <w:lang w:eastAsia="es-CR"/>
        </w:rPr>
      </w:pPr>
    </w:p>
    <w:p w14:paraId="3E7E30D5" w14:textId="350AC748" w:rsidR="00222FFD" w:rsidRPr="004E74A6" w:rsidRDefault="002E0F31" w:rsidP="00CE62C1">
      <w:pPr>
        <w:spacing w:after="160" w:line="276" w:lineRule="auto"/>
        <w:rPr>
          <w:rFonts w:cs="Calibri"/>
          <w:color w:val="000000"/>
          <w:szCs w:val="24"/>
          <w:lang w:eastAsia="es-CR"/>
        </w:rPr>
      </w:pPr>
      <w:r w:rsidRPr="004E74A6">
        <w:rPr>
          <w:rFonts w:cs="Calibri"/>
          <w:color w:val="000000"/>
          <w:szCs w:val="24"/>
          <w:lang w:eastAsia="es-CR"/>
        </w:rPr>
        <w:t xml:space="preserve">Adicionalmente por solicitud de la Sala Primera en sesión de trabajo del 29 de setiembre 2022 se incluyó la siguiente tabla con el promedio ponderado para proyectar la entrada en los Juzgados en caso de aprobarse un incremento en la cuantía </w:t>
      </w:r>
      <w:r w:rsidR="00786BA1" w:rsidRPr="004E74A6">
        <w:rPr>
          <w:rFonts w:cs="Calibri"/>
          <w:color w:val="000000"/>
          <w:szCs w:val="24"/>
          <w:lang w:eastAsia="es-CR"/>
        </w:rPr>
        <w:t>C</w:t>
      </w:r>
      <w:r w:rsidRPr="004E74A6">
        <w:rPr>
          <w:rFonts w:cs="Calibri"/>
          <w:color w:val="000000"/>
          <w:szCs w:val="24"/>
          <w:lang w:eastAsia="es-CR"/>
        </w:rPr>
        <w:t xml:space="preserve">ivil a 20 millones de colones. </w:t>
      </w:r>
    </w:p>
    <w:p w14:paraId="38764F72" w14:textId="32937928" w:rsidR="002E0F31" w:rsidRPr="004E74A6" w:rsidRDefault="002E0F31" w:rsidP="00CE62C1">
      <w:pPr>
        <w:spacing w:after="160" w:line="276" w:lineRule="auto"/>
        <w:rPr>
          <w:rFonts w:cs="Calibri"/>
          <w:color w:val="000000"/>
          <w:szCs w:val="24"/>
          <w:lang w:eastAsia="es-CR"/>
        </w:rPr>
      </w:pPr>
      <w:r w:rsidRPr="004E74A6">
        <w:rPr>
          <w:rFonts w:cs="Calibri"/>
          <w:color w:val="000000"/>
          <w:szCs w:val="24"/>
          <w:lang w:eastAsia="es-CR"/>
        </w:rPr>
        <w:lastRenderedPageBreak/>
        <w:t>Como se observa</w:t>
      </w:r>
      <w:r w:rsidR="005D7F68" w:rsidRPr="004E74A6">
        <w:rPr>
          <w:rFonts w:cs="Calibri"/>
          <w:color w:val="000000"/>
          <w:szCs w:val="24"/>
          <w:lang w:eastAsia="es-CR"/>
        </w:rPr>
        <w:t xml:space="preserve"> en las tablas 50 y 51</w:t>
      </w:r>
      <w:r w:rsidR="00786BA1" w:rsidRPr="004E74A6">
        <w:rPr>
          <w:rFonts w:cs="Calibri"/>
          <w:color w:val="000000"/>
          <w:szCs w:val="24"/>
          <w:lang w:eastAsia="es-CR"/>
        </w:rPr>
        <w:t xml:space="preserve">, </w:t>
      </w:r>
      <w:r w:rsidR="00FE76AB" w:rsidRPr="00832773">
        <w:rPr>
          <w:rFonts w:cs="Calibri"/>
          <w:color w:val="000000"/>
          <w:szCs w:val="24"/>
          <w:lang w:eastAsia="es-CR"/>
        </w:rPr>
        <w:t>el incremento en la entrada de los Juzgados Civiles se proyectaría entre un 4% y 6 %</w:t>
      </w:r>
      <w:r w:rsidRPr="00832773">
        <w:rPr>
          <w:rFonts w:cs="Calibri"/>
          <w:color w:val="000000"/>
          <w:szCs w:val="24"/>
          <w:lang w:eastAsia="es-CR"/>
        </w:rPr>
        <w:t xml:space="preserve"> </w:t>
      </w:r>
      <w:r w:rsidR="00FE76AB" w:rsidRPr="00832773">
        <w:rPr>
          <w:rFonts w:cs="Calibri"/>
          <w:color w:val="000000"/>
          <w:szCs w:val="24"/>
          <w:lang w:eastAsia="es-CR"/>
        </w:rPr>
        <w:t>al año</w:t>
      </w:r>
      <w:r w:rsidR="00FD3BB5" w:rsidRPr="00832773">
        <w:rPr>
          <w:rFonts w:cs="Calibri"/>
          <w:color w:val="000000"/>
          <w:szCs w:val="24"/>
          <w:lang w:eastAsia="es-CR"/>
        </w:rPr>
        <w:t xml:space="preserve">. La proyección se realiza </w:t>
      </w:r>
      <w:r w:rsidR="00FD3BB5" w:rsidRPr="004E74A6">
        <w:rPr>
          <w:rFonts w:cs="Calibri"/>
          <w:color w:val="000000"/>
          <w:szCs w:val="24"/>
          <w:lang w:eastAsia="es-CR"/>
        </w:rPr>
        <w:t>de esta manera al no disponer del dato de la procedencia a nivel de entrada de Tribunal Colegiados.</w:t>
      </w:r>
    </w:p>
    <w:p w14:paraId="4074759A" w14:textId="13C02BBE" w:rsidR="002E0F31" w:rsidRPr="004E74A6" w:rsidRDefault="002E0F31" w:rsidP="00CE62C1">
      <w:pPr>
        <w:spacing w:after="160" w:line="276" w:lineRule="auto"/>
        <w:rPr>
          <w:rFonts w:cs="Calibri"/>
          <w:color w:val="000000"/>
          <w:szCs w:val="24"/>
          <w:lang w:eastAsia="es-CR"/>
        </w:rPr>
      </w:pPr>
    </w:p>
    <w:p w14:paraId="4D551A3E" w14:textId="0A8A2C06" w:rsidR="007543A0" w:rsidRPr="00832773" w:rsidRDefault="007543A0" w:rsidP="00832773">
      <w:pPr>
        <w:pStyle w:val="Descripcin"/>
        <w:keepNext/>
        <w:spacing w:line="276" w:lineRule="auto"/>
        <w:jc w:val="center"/>
        <w:rPr>
          <w:i/>
          <w:iCs/>
          <w:sz w:val="20"/>
          <w:szCs w:val="16"/>
        </w:rPr>
      </w:pPr>
      <w:r w:rsidRPr="00832773">
        <w:rPr>
          <w:rFonts w:ascii="Book Antiqua" w:hAnsi="Book Antiqua"/>
          <w:i/>
          <w:iCs/>
          <w:sz w:val="20"/>
          <w:szCs w:val="16"/>
          <w:lang w:val="es-CR"/>
        </w:rPr>
        <w:t xml:space="preserve">Tabla </w:t>
      </w:r>
      <w:r w:rsidRPr="00832773">
        <w:rPr>
          <w:rFonts w:ascii="Book Antiqua" w:hAnsi="Book Antiqua"/>
          <w:i/>
          <w:iCs/>
          <w:sz w:val="20"/>
          <w:szCs w:val="16"/>
          <w:lang w:val="es-CR"/>
        </w:rPr>
        <w:fldChar w:fldCharType="begin"/>
      </w:r>
      <w:r w:rsidRPr="00832773">
        <w:rPr>
          <w:rFonts w:ascii="Book Antiqua" w:hAnsi="Book Antiqua"/>
          <w:i/>
          <w:iCs/>
          <w:sz w:val="20"/>
          <w:szCs w:val="16"/>
          <w:lang w:val="es-CR"/>
        </w:rPr>
        <w:instrText xml:space="preserve"> SEQ Tabla \* ARABIC </w:instrText>
      </w:r>
      <w:r w:rsidRPr="00832773">
        <w:rPr>
          <w:rFonts w:ascii="Book Antiqua" w:hAnsi="Book Antiqua"/>
          <w:i/>
          <w:iCs/>
          <w:sz w:val="20"/>
          <w:szCs w:val="16"/>
          <w:lang w:val="es-CR"/>
        </w:rPr>
        <w:fldChar w:fldCharType="separate"/>
      </w:r>
      <w:r w:rsidR="00374B51">
        <w:rPr>
          <w:rFonts w:ascii="Book Antiqua" w:hAnsi="Book Antiqua"/>
          <w:i/>
          <w:iCs/>
          <w:noProof/>
          <w:sz w:val="20"/>
          <w:szCs w:val="16"/>
          <w:lang w:val="es-CR"/>
        </w:rPr>
        <w:t>51</w:t>
      </w:r>
      <w:r w:rsidRPr="00832773">
        <w:rPr>
          <w:rFonts w:ascii="Book Antiqua" w:hAnsi="Book Antiqua"/>
          <w:i/>
          <w:iCs/>
          <w:sz w:val="20"/>
          <w:szCs w:val="16"/>
          <w:lang w:val="es-CR"/>
        </w:rPr>
        <w:fldChar w:fldCharType="end"/>
      </w:r>
      <w:r w:rsidRPr="00832773">
        <w:rPr>
          <w:rFonts w:ascii="Book Antiqua" w:hAnsi="Book Antiqua"/>
          <w:i/>
          <w:iCs/>
          <w:sz w:val="20"/>
          <w:szCs w:val="16"/>
          <w:lang w:val="es-CR"/>
        </w:rPr>
        <w:t xml:space="preserve"> Proyección de la entrada de los Juzgados Civiles al recibir lo correspondiente a los Tribunales de Primera Instancia Civil. Promedio ponderado</w:t>
      </w:r>
      <w:r w:rsidR="00DB57EB" w:rsidRPr="00832773">
        <w:rPr>
          <w:rFonts w:ascii="Book Antiqua" w:hAnsi="Book Antiqua"/>
          <w:i/>
          <w:iCs/>
          <w:sz w:val="20"/>
          <w:szCs w:val="16"/>
          <w:lang w:val="es-CR"/>
        </w:rPr>
        <w:t xml:space="preserve"> para la procedencia</w:t>
      </w:r>
    </w:p>
    <w:tbl>
      <w:tblPr>
        <w:tblW w:w="11391" w:type="dxa"/>
        <w:jc w:val="center"/>
        <w:tblCellMar>
          <w:left w:w="70" w:type="dxa"/>
          <w:right w:w="70" w:type="dxa"/>
        </w:tblCellMar>
        <w:tblLook w:val="04A0" w:firstRow="1" w:lastRow="0" w:firstColumn="1" w:lastColumn="0" w:noHBand="0" w:noVBand="1"/>
      </w:tblPr>
      <w:tblGrid>
        <w:gridCol w:w="3261"/>
        <w:gridCol w:w="1319"/>
        <w:gridCol w:w="2176"/>
        <w:gridCol w:w="1046"/>
        <w:gridCol w:w="1412"/>
        <w:gridCol w:w="2177"/>
      </w:tblGrid>
      <w:tr w:rsidR="001D7959" w:rsidRPr="004E74A6" w14:paraId="05B720FD" w14:textId="77777777" w:rsidTr="001D7959">
        <w:trPr>
          <w:trHeight w:val="1304"/>
          <w:tblHeader/>
          <w:jc w:val="center"/>
        </w:trPr>
        <w:tc>
          <w:tcPr>
            <w:tcW w:w="3261" w:type="dxa"/>
            <w:vMerge w:val="restart"/>
            <w:tcBorders>
              <w:top w:val="single" w:sz="8" w:space="0" w:color="auto"/>
              <w:left w:val="nil"/>
              <w:bottom w:val="nil"/>
              <w:right w:val="single" w:sz="8" w:space="0" w:color="auto"/>
            </w:tcBorders>
            <w:shd w:val="clear" w:color="000000" w:fill="D9D9D9"/>
            <w:vAlign w:val="center"/>
            <w:hideMark/>
          </w:tcPr>
          <w:p w14:paraId="5E450194" w14:textId="77777777" w:rsidR="00C74E15" w:rsidRPr="004E74A6" w:rsidRDefault="00C74E15" w:rsidP="00832773">
            <w:pPr>
              <w:spacing w:line="276" w:lineRule="auto"/>
              <w:jc w:val="center"/>
              <w:rPr>
                <w:rFonts w:cs="Calibri"/>
                <w:color w:val="000000"/>
                <w:sz w:val="20"/>
                <w:lang w:eastAsia="es-CR"/>
              </w:rPr>
            </w:pPr>
            <w:r w:rsidRPr="004E74A6">
              <w:rPr>
                <w:rFonts w:cs="Calibri"/>
                <w:color w:val="000000"/>
                <w:sz w:val="20"/>
                <w:lang w:eastAsia="es-CR"/>
              </w:rPr>
              <w:t>Juzgados</w:t>
            </w:r>
          </w:p>
        </w:tc>
        <w:tc>
          <w:tcPr>
            <w:tcW w:w="1319" w:type="dxa"/>
            <w:tcBorders>
              <w:top w:val="single" w:sz="8" w:space="0" w:color="auto"/>
              <w:left w:val="nil"/>
              <w:bottom w:val="nil"/>
              <w:right w:val="single" w:sz="8" w:space="0" w:color="auto"/>
            </w:tcBorders>
            <w:shd w:val="clear" w:color="000000" w:fill="D9D9D9"/>
            <w:vAlign w:val="center"/>
            <w:hideMark/>
          </w:tcPr>
          <w:p w14:paraId="185A80C8" w14:textId="01BB88C5" w:rsidR="00C74E15" w:rsidRPr="004E74A6" w:rsidRDefault="00C74E15" w:rsidP="00832773">
            <w:pPr>
              <w:spacing w:line="276" w:lineRule="auto"/>
              <w:jc w:val="center"/>
              <w:rPr>
                <w:rFonts w:cs="Calibri"/>
                <w:color w:val="000000"/>
                <w:sz w:val="20"/>
                <w:lang w:eastAsia="es-CR"/>
              </w:rPr>
            </w:pPr>
            <w:r w:rsidRPr="004E74A6">
              <w:rPr>
                <w:rFonts w:cs="Calibri"/>
                <w:color w:val="000000"/>
                <w:sz w:val="20"/>
                <w:lang w:eastAsia="es-CR"/>
              </w:rPr>
              <w:t>Entrada civil actual (todas las clases de asunto) en los Juzgados</w:t>
            </w:r>
          </w:p>
        </w:tc>
        <w:tc>
          <w:tcPr>
            <w:tcW w:w="2176" w:type="dxa"/>
            <w:tcBorders>
              <w:top w:val="single" w:sz="8" w:space="0" w:color="auto"/>
              <w:left w:val="nil"/>
              <w:bottom w:val="nil"/>
              <w:right w:val="single" w:sz="8" w:space="0" w:color="auto"/>
            </w:tcBorders>
            <w:shd w:val="clear" w:color="000000" w:fill="D9D9D9"/>
            <w:vAlign w:val="center"/>
            <w:hideMark/>
          </w:tcPr>
          <w:p w14:paraId="630B2F5A" w14:textId="40F4B462" w:rsidR="00C74E15" w:rsidRPr="004E74A6" w:rsidRDefault="00C74E15" w:rsidP="00832773">
            <w:pPr>
              <w:spacing w:line="276" w:lineRule="auto"/>
              <w:jc w:val="center"/>
              <w:rPr>
                <w:rFonts w:cs="Calibri"/>
                <w:color w:val="000000"/>
                <w:sz w:val="20"/>
                <w:lang w:eastAsia="es-CR"/>
              </w:rPr>
            </w:pPr>
            <w:r w:rsidRPr="004E74A6">
              <w:rPr>
                <w:rFonts w:cs="Calibri"/>
                <w:color w:val="000000"/>
                <w:sz w:val="20"/>
                <w:lang w:eastAsia="es-CR"/>
              </w:rPr>
              <w:t>Pesos ponderados por procedencia</w:t>
            </w:r>
            <w:r w:rsidR="00BE55F3" w:rsidRPr="004E74A6">
              <w:rPr>
                <w:rFonts w:cs="Calibri"/>
                <w:color w:val="000000"/>
                <w:sz w:val="20"/>
                <w:lang w:eastAsia="es-CR"/>
              </w:rPr>
              <w:t xml:space="preserve"> (b)</w:t>
            </w:r>
            <w:r w:rsidR="00186B25" w:rsidRPr="004E74A6">
              <w:rPr>
                <w:rStyle w:val="Refdenotaalpie"/>
                <w:color w:val="000000"/>
                <w:sz w:val="20"/>
                <w:lang w:eastAsia="es-CR"/>
              </w:rPr>
              <w:footnoteReference w:id="19"/>
            </w:r>
          </w:p>
        </w:tc>
        <w:tc>
          <w:tcPr>
            <w:tcW w:w="1046" w:type="dxa"/>
            <w:tcBorders>
              <w:top w:val="single" w:sz="8" w:space="0" w:color="auto"/>
              <w:left w:val="nil"/>
              <w:bottom w:val="nil"/>
              <w:right w:val="single" w:sz="4" w:space="0" w:color="auto"/>
            </w:tcBorders>
            <w:shd w:val="clear" w:color="000000" w:fill="D9D9D9"/>
            <w:vAlign w:val="center"/>
            <w:hideMark/>
          </w:tcPr>
          <w:p w14:paraId="3F248076" w14:textId="77777777" w:rsidR="00C74E15" w:rsidRPr="004E74A6" w:rsidRDefault="00C74E15" w:rsidP="00832773">
            <w:pPr>
              <w:spacing w:line="276" w:lineRule="auto"/>
              <w:jc w:val="center"/>
              <w:rPr>
                <w:rFonts w:cs="Calibri"/>
                <w:color w:val="000000"/>
                <w:sz w:val="20"/>
                <w:lang w:eastAsia="es-CR"/>
              </w:rPr>
            </w:pPr>
            <w:r w:rsidRPr="004E74A6">
              <w:rPr>
                <w:rFonts w:cs="Calibri"/>
                <w:color w:val="000000"/>
                <w:sz w:val="20"/>
                <w:lang w:eastAsia="es-CR"/>
              </w:rPr>
              <w:t>Cantidad de asuntos por distribuir</w:t>
            </w:r>
          </w:p>
        </w:tc>
        <w:tc>
          <w:tcPr>
            <w:tcW w:w="1412" w:type="dxa"/>
            <w:vMerge w:val="restart"/>
            <w:tcBorders>
              <w:top w:val="single" w:sz="8" w:space="0" w:color="auto"/>
              <w:left w:val="single" w:sz="4" w:space="0" w:color="auto"/>
              <w:right w:val="single" w:sz="4" w:space="0" w:color="auto"/>
            </w:tcBorders>
            <w:shd w:val="clear" w:color="000000" w:fill="D9D9D9"/>
            <w:vAlign w:val="center"/>
          </w:tcPr>
          <w:p w14:paraId="72D0CA67" w14:textId="4C69125A" w:rsidR="00C74E15" w:rsidRPr="004E74A6" w:rsidRDefault="00C74E15" w:rsidP="00832773">
            <w:pPr>
              <w:spacing w:line="276" w:lineRule="auto"/>
              <w:jc w:val="center"/>
              <w:rPr>
                <w:rFonts w:cs="Calibri"/>
                <w:color w:val="000000"/>
                <w:sz w:val="20"/>
                <w:lang w:eastAsia="es-CR"/>
              </w:rPr>
            </w:pPr>
            <w:r w:rsidRPr="004E74A6">
              <w:rPr>
                <w:rFonts w:cs="Calibri"/>
                <w:color w:val="000000"/>
                <w:sz w:val="20"/>
                <w:lang w:eastAsia="es-CR"/>
              </w:rPr>
              <w:t>Entrada proyectada anual en Juzgados Civiles</w:t>
            </w:r>
            <w:r w:rsidR="00CE086C" w:rsidRPr="004E74A6">
              <w:rPr>
                <w:rFonts w:cs="Calibri"/>
                <w:color w:val="000000"/>
                <w:sz w:val="20"/>
                <w:lang w:eastAsia="es-CR"/>
              </w:rPr>
              <w:t xml:space="preserve"> </w:t>
            </w:r>
          </w:p>
          <w:p w14:paraId="494AF75D" w14:textId="71CAF909" w:rsidR="00E524BB" w:rsidRPr="004E74A6" w:rsidRDefault="00E524BB" w:rsidP="00832773">
            <w:pPr>
              <w:spacing w:line="276" w:lineRule="auto"/>
              <w:jc w:val="center"/>
              <w:rPr>
                <w:rFonts w:cs="Calibri"/>
                <w:color w:val="000000"/>
                <w:sz w:val="20"/>
                <w:lang w:eastAsia="es-CR"/>
              </w:rPr>
            </w:pPr>
            <w:r w:rsidRPr="004E74A6">
              <w:rPr>
                <w:rFonts w:cs="Calibri"/>
                <w:color w:val="000000"/>
                <w:sz w:val="20"/>
                <w:lang w:eastAsia="es-CR"/>
              </w:rPr>
              <w:t>(a+(</w:t>
            </w:r>
            <w:r w:rsidR="00CE086C" w:rsidRPr="004E74A6">
              <w:rPr>
                <w:rFonts w:cs="Calibri"/>
                <w:color w:val="000000"/>
                <w:sz w:val="20"/>
                <w:lang w:eastAsia="es-CR"/>
              </w:rPr>
              <w:t>cxb))</w:t>
            </w:r>
          </w:p>
        </w:tc>
        <w:tc>
          <w:tcPr>
            <w:tcW w:w="2177" w:type="dxa"/>
            <w:vMerge w:val="restart"/>
            <w:tcBorders>
              <w:top w:val="single" w:sz="8" w:space="0" w:color="auto"/>
              <w:left w:val="single" w:sz="4" w:space="0" w:color="auto"/>
              <w:bottom w:val="single" w:sz="4" w:space="0" w:color="000000"/>
              <w:right w:val="nil"/>
            </w:tcBorders>
            <w:shd w:val="clear" w:color="000000" w:fill="D9D9D9"/>
            <w:vAlign w:val="center"/>
            <w:hideMark/>
          </w:tcPr>
          <w:p w14:paraId="4E8E452E" w14:textId="77777777" w:rsidR="00294AA1" w:rsidRPr="004E74A6" w:rsidRDefault="00C74E15" w:rsidP="00832773">
            <w:pPr>
              <w:spacing w:line="276" w:lineRule="auto"/>
              <w:jc w:val="center"/>
              <w:rPr>
                <w:rFonts w:cs="Calibri"/>
                <w:color w:val="000000"/>
                <w:sz w:val="20"/>
                <w:lang w:eastAsia="es-CR"/>
              </w:rPr>
            </w:pPr>
            <w:r w:rsidRPr="004E74A6">
              <w:rPr>
                <w:rFonts w:cs="Calibri"/>
                <w:color w:val="000000"/>
                <w:sz w:val="20"/>
                <w:lang w:eastAsia="es-CR"/>
              </w:rPr>
              <w:t>Diferencia/incremento en la entrada de los Juzgados Civiles</w:t>
            </w:r>
          </w:p>
          <w:p w14:paraId="766116DD" w14:textId="5A306D49" w:rsidR="00C74E15" w:rsidRPr="004E74A6" w:rsidRDefault="00294AA1" w:rsidP="00832773">
            <w:pPr>
              <w:spacing w:line="276" w:lineRule="auto"/>
              <w:jc w:val="center"/>
              <w:rPr>
                <w:rFonts w:cs="Calibri"/>
                <w:color w:val="000000"/>
                <w:sz w:val="20"/>
                <w:lang w:eastAsia="es-CR"/>
              </w:rPr>
            </w:pPr>
            <w:r w:rsidRPr="004E74A6">
              <w:rPr>
                <w:rFonts w:cs="Calibri"/>
                <w:color w:val="000000"/>
                <w:sz w:val="20"/>
                <w:lang w:eastAsia="es-CR"/>
              </w:rPr>
              <w:t>(</w:t>
            </w:r>
            <w:r w:rsidR="00473DEE" w:rsidRPr="004E74A6">
              <w:rPr>
                <w:rFonts w:cs="Calibri"/>
                <w:color w:val="000000"/>
                <w:sz w:val="20"/>
                <w:lang w:eastAsia="es-CR"/>
              </w:rPr>
              <w:t>cxb/a)</w:t>
            </w:r>
            <w:r w:rsidR="00C74E15" w:rsidRPr="004E74A6">
              <w:rPr>
                <w:rFonts w:cs="Calibri"/>
                <w:color w:val="000000"/>
                <w:sz w:val="20"/>
                <w:lang w:eastAsia="es-CR"/>
              </w:rPr>
              <w:t xml:space="preserve"> </w:t>
            </w:r>
          </w:p>
        </w:tc>
      </w:tr>
      <w:tr w:rsidR="00186B25" w:rsidRPr="004E74A6" w14:paraId="0C0EACA1" w14:textId="77777777" w:rsidTr="001D7959">
        <w:trPr>
          <w:trHeight w:val="300"/>
          <w:jc w:val="center"/>
        </w:trPr>
        <w:tc>
          <w:tcPr>
            <w:tcW w:w="3261" w:type="dxa"/>
            <w:vMerge/>
            <w:tcBorders>
              <w:top w:val="single" w:sz="8" w:space="0" w:color="auto"/>
              <w:left w:val="nil"/>
              <w:bottom w:val="nil"/>
              <w:right w:val="single" w:sz="8" w:space="0" w:color="auto"/>
            </w:tcBorders>
            <w:vAlign w:val="center"/>
            <w:hideMark/>
          </w:tcPr>
          <w:p w14:paraId="5D793165" w14:textId="77777777" w:rsidR="00C74E15" w:rsidRPr="004E74A6" w:rsidRDefault="00C74E15" w:rsidP="00832773">
            <w:pPr>
              <w:spacing w:line="276" w:lineRule="auto"/>
              <w:jc w:val="left"/>
              <w:rPr>
                <w:rFonts w:cs="Calibri"/>
                <w:color w:val="000000"/>
                <w:sz w:val="20"/>
                <w:lang w:eastAsia="es-CR"/>
              </w:rPr>
            </w:pPr>
          </w:p>
        </w:tc>
        <w:tc>
          <w:tcPr>
            <w:tcW w:w="1319" w:type="dxa"/>
            <w:tcBorders>
              <w:top w:val="nil"/>
              <w:left w:val="nil"/>
              <w:bottom w:val="nil"/>
              <w:right w:val="single" w:sz="8" w:space="0" w:color="auto"/>
            </w:tcBorders>
            <w:shd w:val="clear" w:color="000000" w:fill="D9D9D9"/>
            <w:vAlign w:val="center"/>
            <w:hideMark/>
          </w:tcPr>
          <w:p w14:paraId="0D68E555" w14:textId="06B8E521" w:rsidR="00C74E15" w:rsidRPr="004E74A6" w:rsidRDefault="001B3C1E" w:rsidP="00832773">
            <w:pPr>
              <w:spacing w:line="276" w:lineRule="auto"/>
              <w:jc w:val="center"/>
              <w:rPr>
                <w:rFonts w:cs="Calibri"/>
                <w:color w:val="000000"/>
                <w:sz w:val="20"/>
                <w:lang w:eastAsia="es-CR"/>
              </w:rPr>
            </w:pPr>
            <w:r w:rsidRPr="004E74A6">
              <w:rPr>
                <w:rFonts w:cs="Calibri"/>
                <w:color w:val="000000"/>
                <w:sz w:val="20"/>
                <w:lang w:eastAsia="es-CR"/>
              </w:rPr>
              <w:t>(a)</w:t>
            </w:r>
          </w:p>
        </w:tc>
        <w:tc>
          <w:tcPr>
            <w:tcW w:w="2176" w:type="dxa"/>
            <w:tcBorders>
              <w:top w:val="nil"/>
              <w:left w:val="nil"/>
              <w:bottom w:val="nil"/>
              <w:right w:val="single" w:sz="8" w:space="0" w:color="auto"/>
            </w:tcBorders>
            <w:shd w:val="clear" w:color="000000" w:fill="D9D9D9"/>
            <w:vAlign w:val="center"/>
            <w:hideMark/>
          </w:tcPr>
          <w:p w14:paraId="0C32A81A" w14:textId="301A7DBC" w:rsidR="00C74E15" w:rsidRPr="004E74A6" w:rsidRDefault="00C74E15" w:rsidP="00832773">
            <w:pPr>
              <w:spacing w:line="276" w:lineRule="auto"/>
              <w:rPr>
                <w:rFonts w:cs="Calibri"/>
                <w:color w:val="000000"/>
                <w:sz w:val="20"/>
                <w:lang w:eastAsia="es-CR"/>
              </w:rPr>
            </w:pPr>
            <w:r w:rsidRPr="004E74A6">
              <w:rPr>
                <w:rFonts w:cs="Calibri"/>
                <w:color w:val="000000"/>
                <w:sz w:val="20"/>
                <w:lang w:eastAsia="es-CR"/>
              </w:rPr>
              <w:t> </w:t>
            </w:r>
            <w:r w:rsidR="00BE55F3" w:rsidRPr="004E74A6">
              <w:rPr>
                <w:rFonts w:cs="Calibri"/>
                <w:color w:val="000000"/>
                <w:sz w:val="20"/>
                <w:lang w:eastAsia="es-CR"/>
              </w:rPr>
              <w:t>b</w:t>
            </w:r>
            <w:r w:rsidR="00CE51A6" w:rsidRPr="004E74A6">
              <w:rPr>
                <w:rFonts w:cs="Calibri"/>
                <w:color w:val="000000"/>
                <w:sz w:val="20"/>
                <w:lang w:eastAsia="es-CR"/>
              </w:rPr>
              <w:t>= (</w:t>
            </w:r>
            <w:r w:rsidR="003C75C0" w:rsidRPr="004E74A6">
              <w:rPr>
                <w:rFonts w:cs="Calibri"/>
                <w:color w:val="000000"/>
                <w:sz w:val="20"/>
                <w:lang w:eastAsia="es-CR"/>
              </w:rPr>
              <w:t>a/total suma a</w:t>
            </w:r>
            <w:r w:rsidR="00BB10D8" w:rsidRPr="004E74A6">
              <w:rPr>
                <w:rFonts w:cs="Calibri"/>
                <w:color w:val="000000"/>
                <w:sz w:val="20"/>
                <w:lang w:eastAsia="es-CR"/>
              </w:rPr>
              <w:t>)</w:t>
            </w:r>
          </w:p>
        </w:tc>
        <w:tc>
          <w:tcPr>
            <w:tcW w:w="1046" w:type="dxa"/>
            <w:tcBorders>
              <w:top w:val="nil"/>
              <w:left w:val="nil"/>
              <w:bottom w:val="nil"/>
              <w:right w:val="single" w:sz="4" w:space="0" w:color="auto"/>
            </w:tcBorders>
            <w:shd w:val="clear" w:color="000000" w:fill="D9D9D9"/>
            <w:vAlign w:val="center"/>
            <w:hideMark/>
          </w:tcPr>
          <w:p w14:paraId="0E67A618" w14:textId="1A01B635" w:rsidR="00C74E15" w:rsidRPr="004E74A6" w:rsidRDefault="00294AA1" w:rsidP="00832773">
            <w:pPr>
              <w:spacing w:line="276" w:lineRule="auto"/>
              <w:jc w:val="center"/>
              <w:rPr>
                <w:rFonts w:cs="Calibri"/>
                <w:color w:val="000000"/>
                <w:sz w:val="20"/>
                <w:lang w:eastAsia="es-CR"/>
              </w:rPr>
            </w:pPr>
            <w:r w:rsidRPr="004E74A6">
              <w:rPr>
                <w:rFonts w:cs="Calibri"/>
                <w:color w:val="000000"/>
                <w:sz w:val="20"/>
                <w:lang w:eastAsia="es-CR"/>
              </w:rPr>
              <w:t>(c)</w:t>
            </w:r>
            <w:r w:rsidR="00C74E15" w:rsidRPr="004E74A6">
              <w:rPr>
                <w:rFonts w:cs="Calibri"/>
                <w:color w:val="000000"/>
                <w:sz w:val="20"/>
                <w:lang w:eastAsia="es-CR"/>
              </w:rPr>
              <w:t> </w:t>
            </w:r>
          </w:p>
        </w:tc>
        <w:tc>
          <w:tcPr>
            <w:tcW w:w="1412" w:type="dxa"/>
            <w:vMerge/>
            <w:tcBorders>
              <w:left w:val="single" w:sz="4" w:space="0" w:color="auto"/>
              <w:bottom w:val="single" w:sz="4" w:space="0" w:color="000000"/>
              <w:right w:val="single" w:sz="4" w:space="0" w:color="auto"/>
            </w:tcBorders>
            <w:vAlign w:val="center"/>
          </w:tcPr>
          <w:p w14:paraId="7BB5FBC0" w14:textId="77777777" w:rsidR="00C74E15" w:rsidRPr="004E74A6" w:rsidRDefault="00C74E15" w:rsidP="00832773">
            <w:pPr>
              <w:spacing w:line="276" w:lineRule="auto"/>
              <w:jc w:val="left"/>
              <w:rPr>
                <w:rFonts w:cs="Calibri"/>
                <w:color w:val="000000"/>
                <w:sz w:val="20"/>
                <w:lang w:eastAsia="es-CR"/>
              </w:rPr>
            </w:pPr>
          </w:p>
        </w:tc>
        <w:tc>
          <w:tcPr>
            <w:tcW w:w="2177" w:type="dxa"/>
            <w:vMerge/>
            <w:tcBorders>
              <w:top w:val="single" w:sz="8" w:space="0" w:color="auto"/>
              <w:left w:val="single" w:sz="4" w:space="0" w:color="auto"/>
              <w:bottom w:val="single" w:sz="4" w:space="0" w:color="000000"/>
              <w:right w:val="nil"/>
            </w:tcBorders>
            <w:vAlign w:val="center"/>
            <w:hideMark/>
          </w:tcPr>
          <w:p w14:paraId="395BA67C" w14:textId="4014DED9" w:rsidR="00C74E15" w:rsidRPr="004E74A6" w:rsidRDefault="00C74E15" w:rsidP="00832773">
            <w:pPr>
              <w:spacing w:line="276" w:lineRule="auto"/>
              <w:jc w:val="left"/>
              <w:rPr>
                <w:rFonts w:cs="Calibri"/>
                <w:color w:val="000000"/>
                <w:sz w:val="20"/>
                <w:lang w:eastAsia="es-CR"/>
              </w:rPr>
            </w:pPr>
          </w:p>
        </w:tc>
      </w:tr>
      <w:tr w:rsidR="00C74E15" w:rsidRPr="004E74A6" w14:paraId="041408E6" w14:textId="77777777" w:rsidTr="00832773">
        <w:trPr>
          <w:trHeight w:val="454"/>
          <w:jc w:val="center"/>
        </w:trPr>
        <w:tc>
          <w:tcPr>
            <w:tcW w:w="3261" w:type="dxa"/>
            <w:tcBorders>
              <w:top w:val="single" w:sz="4" w:space="0" w:color="auto"/>
              <w:left w:val="nil"/>
              <w:bottom w:val="nil"/>
              <w:right w:val="single" w:sz="4" w:space="0" w:color="A6A6A6"/>
            </w:tcBorders>
            <w:shd w:val="clear" w:color="000000" w:fill="A6A6A6"/>
            <w:vAlign w:val="center"/>
            <w:hideMark/>
          </w:tcPr>
          <w:p w14:paraId="2A015E34" w14:textId="77777777" w:rsidR="00C74E15" w:rsidRPr="004E74A6" w:rsidRDefault="00C74E15" w:rsidP="00832773">
            <w:pPr>
              <w:spacing w:line="276" w:lineRule="auto"/>
              <w:jc w:val="center"/>
              <w:rPr>
                <w:rFonts w:cs="Calibri"/>
                <w:b/>
                <w:bCs/>
                <w:color w:val="000000"/>
                <w:sz w:val="20"/>
                <w:lang w:eastAsia="es-CR"/>
              </w:rPr>
            </w:pPr>
            <w:r w:rsidRPr="004E74A6">
              <w:rPr>
                <w:rFonts w:cs="Calibri"/>
                <w:b/>
                <w:bCs/>
                <w:color w:val="000000"/>
                <w:sz w:val="20"/>
                <w:lang w:eastAsia="es-CR"/>
              </w:rPr>
              <w:t>San José, Primero y Segundo</w:t>
            </w:r>
          </w:p>
        </w:tc>
        <w:tc>
          <w:tcPr>
            <w:tcW w:w="1319" w:type="dxa"/>
            <w:tcBorders>
              <w:top w:val="single" w:sz="4" w:space="0" w:color="auto"/>
              <w:left w:val="nil"/>
              <w:bottom w:val="nil"/>
              <w:right w:val="single" w:sz="4" w:space="0" w:color="A6A6A6"/>
            </w:tcBorders>
            <w:shd w:val="clear" w:color="000000" w:fill="A6A6A6"/>
            <w:vAlign w:val="center"/>
            <w:hideMark/>
          </w:tcPr>
          <w:p w14:paraId="1187AFD5" w14:textId="3B5AF348" w:rsidR="00C74E15" w:rsidRPr="004E74A6" w:rsidRDefault="00C74E15" w:rsidP="00832773">
            <w:pPr>
              <w:spacing w:line="276" w:lineRule="auto"/>
              <w:jc w:val="center"/>
              <w:rPr>
                <w:rFonts w:cs="Calibri"/>
                <w:color w:val="000000"/>
                <w:sz w:val="20"/>
                <w:lang w:eastAsia="es-CR"/>
              </w:rPr>
            </w:pPr>
            <w:r w:rsidRPr="004E74A6">
              <w:rPr>
                <w:rFonts w:cs="Calibri"/>
                <w:color w:val="000000"/>
                <w:sz w:val="20"/>
                <w:lang w:eastAsia="es-CR"/>
              </w:rPr>
              <w:t>3548</w:t>
            </w:r>
          </w:p>
        </w:tc>
        <w:tc>
          <w:tcPr>
            <w:tcW w:w="2176" w:type="dxa"/>
            <w:tcBorders>
              <w:top w:val="single" w:sz="4" w:space="0" w:color="auto"/>
              <w:left w:val="nil"/>
              <w:bottom w:val="nil"/>
              <w:right w:val="single" w:sz="4" w:space="0" w:color="A6A6A6"/>
            </w:tcBorders>
            <w:shd w:val="clear" w:color="000000" w:fill="A6A6A6"/>
            <w:vAlign w:val="center"/>
            <w:hideMark/>
          </w:tcPr>
          <w:p w14:paraId="1D714809" w14:textId="77777777" w:rsidR="00C74E15" w:rsidRPr="004E74A6" w:rsidRDefault="00C74E15" w:rsidP="00832773">
            <w:pPr>
              <w:spacing w:line="276" w:lineRule="auto"/>
              <w:jc w:val="center"/>
              <w:rPr>
                <w:rFonts w:cs="Calibri"/>
                <w:color w:val="000000"/>
                <w:sz w:val="20"/>
                <w:lang w:eastAsia="es-CR"/>
              </w:rPr>
            </w:pPr>
            <w:r w:rsidRPr="004E74A6">
              <w:rPr>
                <w:rFonts w:cs="Calibri"/>
                <w:color w:val="000000"/>
                <w:sz w:val="20"/>
                <w:lang w:eastAsia="es-CR"/>
              </w:rPr>
              <w:t> </w:t>
            </w:r>
          </w:p>
        </w:tc>
        <w:tc>
          <w:tcPr>
            <w:tcW w:w="1046" w:type="dxa"/>
            <w:tcBorders>
              <w:top w:val="single" w:sz="4" w:space="0" w:color="auto"/>
              <w:left w:val="nil"/>
              <w:bottom w:val="nil"/>
              <w:right w:val="single" w:sz="4" w:space="0" w:color="auto"/>
            </w:tcBorders>
            <w:shd w:val="clear" w:color="000000" w:fill="A6A6A6"/>
            <w:vAlign w:val="center"/>
            <w:hideMark/>
          </w:tcPr>
          <w:p w14:paraId="1DE549F4" w14:textId="77777777" w:rsidR="00C74E15" w:rsidRPr="004E74A6" w:rsidRDefault="00C74E15" w:rsidP="00832773">
            <w:pPr>
              <w:spacing w:line="276" w:lineRule="auto"/>
              <w:jc w:val="center"/>
              <w:rPr>
                <w:rFonts w:cs="Calibri"/>
                <w:color w:val="000000"/>
                <w:sz w:val="20"/>
                <w:lang w:eastAsia="es-CR"/>
              </w:rPr>
            </w:pPr>
            <w:r w:rsidRPr="004E74A6">
              <w:rPr>
                <w:rFonts w:cs="Calibri"/>
                <w:color w:val="000000"/>
                <w:sz w:val="20"/>
                <w:lang w:eastAsia="es-CR"/>
              </w:rPr>
              <w:t> </w:t>
            </w:r>
          </w:p>
        </w:tc>
        <w:tc>
          <w:tcPr>
            <w:tcW w:w="1412" w:type="dxa"/>
            <w:tcBorders>
              <w:top w:val="nil"/>
              <w:left w:val="single" w:sz="4" w:space="0" w:color="auto"/>
              <w:bottom w:val="nil"/>
              <w:right w:val="single" w:sz="4" w:space="0" w:color="auto"/>
            </w:tcBorders>
            <w:shd w:val="clear" w:color="000000" w:fill="A6A6A6"/>
            <w:vAlign w:val="center"/>
          </w:tcPr>
          <w:p w14:paraId="40D1A040" w14:textId="77777777" w:rsidR="00C74E15" w:rsidRPr="004E74A6" w:rsidRDefault="00C74E15" w:rsidP="00832773">
            <w:pPr>
              <w:spacing w:line="276" w:lineRule="auto"/>
              <w:jc w:val="center"/>
              <w:rPr>
                <w:rFonts w:cs="Calibri"/>
                <w:color w:val="000000"/>
                <w:sz w:val="20"/>
                <w:lang w:eastAsia="es-CR"/>
              </w:rPr>
            </w:pPr>
          </w:p>
        </w:tc>
        <w:tc>
          <w:tcPr>
            <w:tcW w:w="2177" w:type="dxa"/>
            <w:tcBorders>
              <w:top w:val="nil"/>
              <w:left w:val="single" w:sz="4" w:space="0" w:color="auto"/>
              <w:bottom w:val="nil"/>
              <w:right w:val="nil"/>
            </w:tcBorders>
            <w:shd w:val="clear" w:color="000000" w:fill="A6A6A6"/>
            <w:vAlign w:val="center"/>
            <w:hideMark/>
          </w:tcPr>
          <w:p w14:paraId="0052D077" w14:textId="55AF4AB3" w:rsidR="00C74E15" w:rsidRPr="004E74A6" w:rsidRDefault="00C74E15" w:rsidP="00832773">
            <w:pPr>
              <w:spacing w:line="276" w:lineRule="auto"/>
              <w:jc w:val="center"/>
              <w:rPr>
                <w:rFonts w:cs="Calibri"/>
                <w:color w:val="000000"/>
                <w:sz w:val="20"/>
                <w:lang w:eastAsia="es-CR"/>
              </w:rPr>
            </w:pPr>
            <w:r w:rsidRPr="004E74A6">
              <w:rPr>
                <w:rFonts w:cs="Calibri"/>
                <w:color w:val="000000"/>
                <w:sz w:val="20"/>
                <w:lang w:eastAsia="es-CR"/>
              </w:rPr>
              <w:t> </w:t>
            </w:r>
          </w:p>
        </w:tc>
      </w:tr>
      <w:tr w:rsidR="00186B25" w:rsidRPr="004E74A6" w14:paraId="3C1CEFBB" w14:textId="77777777" w:rsidTr="001D7959">
        <w:trPr>
          <w:trHeight w:val="454"/>
          <w:jc w:val="center"/>
        </w:trPr>
        <w:tc>
          <w:tcPr>
            <w:tcW w:w="3261" w:type="dxa"/>
            <w:tcBorders>
              <w:top w:val="nil"/>
              <w:left w:val="nil"/>
              <w:bottom w:val="nil"/>
              <w:right w:val="single" w:sz="8" w:space="0" w:color="auto"/>
            </w:tcBorders>
            <w:shd w:val="clear" w:color="auto" w:fill="auto"/>
            <w:vAlign w:val="center"/>
            <w:hideMark/>
          </w:tcPr>
          <w:p w14:paraId="0FA624B8" w14:textId="77777777" w:rsidR="00A07686" w:rsidRPr="004E74A6" w:rsidRDefault="00A07686" w:rsidP="00832773">
            <w:pPr>
              <w:spacing w:line="276" w:lineRule="auto"/>
              <w:rPr>
                <w:rFonts w:cs="Calibri"/>
                <w:color w:val="000000"/>
                <w:sz w:val="20"/>
                <w:lang w:eastAsia="es-CR"/>
              </w:rPr>
            </w:pPr>
            <w:r w:rsidRPr="004E74A6">
              <w:rPr>
                <w:rFonts w:cs="Calibri"/>
                <w:color w:val="000000"/>
                <w:sz w:val="20"/>
                <w:lang w:eastAsia="es-CR"/>
              </w:rPr>
              <w:t>Juzgado Primero Civil del Primer Circuito Judicial de San José</w:t>
            </w:r>
          </w:p>
        </w:tc>
        <w:tc>
          <w:tcPr>
            <w:tcW w:w="1319" w:type="dxa"/>
            <w:tcBorders>
              <w:top w:val="nil"/>
              <w:left w:val="nil"/>
              <w:bottom w:val="nil"/>
              <w:right w:val="single" w:sz="8" w:space="0" w:color="auto"/>
            </w:tcBorders>
            <w:shd w:val="clear" w:color="auto" w:fill="auto"/>
            <w:vAlign w:val="center"/>
            <w:hideMark/>
          </w:tcPr>
          <w:p w14:paraId="73DB5B6D" w14:textId="77777777" w:rsidR="00A07686" w:rsidRPr="004E74A6" w:rsidRDefault="00A07686" w:rsidP="00832773">
            <w:pPr>
              <w:spacing w:line="276" w:lineRule="auto"/>
              <w:jc w:val="center"/>
              <w:rPr>
                <w:rFonts w:cs="Calibri"/>
                <w:color w:val="000000"/>
                <w:sz w:val="20"/>
                <w:lang w:eastAsia="es-CR"/>
              </w:rPr>
            </w:pPr>
            <w:r w:rsidRPr="004E74A6">
              <w:rPr>
                <w:rFonts w:cs="Calibri"/>
                <w:color w:val="000000"/>
                <w:sz w:val="20"/>
                <w:lang w:eastAsia="es-CR"/>
              </w:rPr>
              <w:t>1165</w:t>
            </w:r>
          </w:p>
        </w:tc>
        <w:tc>
          <w:tcPr>
            <w:tcW w:w="2176" w:type="dxa"/>
            <w:tcBorders>
              <w:top w:val="nil"/>
              <w:left w:val="nil"/>
              <w:bottom w:val="nil"/>
              <w:right w:val="single" w:sz="8" w:space="0" w:color="auto"/>
            </w:tcBorders>
            <w:shd w:val="clear" w:color="auto" w:fill="auto"/>
            <w:vAlign w:val="center"/>
            <w:hideMark/>
          </w:tcPr>
          <w:p w14:paraId="414F618A" w14:textId="77777777" w:rsidR="00A07686" w:rsidRPr="004E74A6" w:rsidRDefault="00A07686" w:rsidP="00832773">
            <w:pPr>
              <w:spacing w:line="276" w:lineRule="auto"/>
              <w:jc w:val="center"/>
              <w:rPr>
                <w:rFonts w:cs="Calibri"/>
                <w:color w:val="000000"/>
                <w:sz w:val="20"/>
                <w:lang w:eastAsia="es-CR"/>
              </w:rPr>
            </w:pPr>
            <w:r w:rsidRPr="004E74A6">
              <w:rPr>
                <w:rFonts w:cs="Calibri"/>
                <w:color w:val="000000"/>
                <w:sz w:val="20"/>
                <w:lang w:eastAsia="es-CR"/>
              </w:rPr>
              <w:t>33%</w:t>
            </w:r>
          </w:p>
        </w:tc>
        <w:tc>
          <w:tcPr>
            <w:tcW w:w="1046" w:type="dxa"/>
            <w:vMerge w:val="restart"/>
            <w:tcBorders>
              <w:top w:val="nil"/>
              <w:left w:val="nil"/>
              <w:right w:val="single" w:sz="4" w:space="0" w:color="auto"/>
            </w:tcBorders>
            <w:shd w:val="clear" w:color="auto" w:fill="auto"/>
            <w:vAlign w:val="center"/>
            <w:hideMark/>
          </w:tcPr>
          <w:p w14:paraId="1D5DD3CF" w14:textId="770DB461" w:rsidR="00A07686" w:rsidRPr="004E74A6" w:rsidRDefault="00A07686" w:rsidP="00832773">
            <w:pPr>
              <w:spacing w:line="276" w:lineRule="auto"/>
              <w:jc w:val="center"/>
              <w:rPr>
                <w:rFonts w:cs="Calibri"/>
                <w:color w:val="000000"/>
                <w:sz w:val="20"/>
                <w:lang w:eastAsia="es-CR"/>
              </w:rPr>
            </w:pPr>
            <w:r w:rsidRPr="004E74A6">
              <w:rPr>
                <w:rFonts w:cs="Calibri"/>
                <w:color w:val="000000"/>
                <w:sz w:val="20"/>
                <w:lang w:eastAsia="es-CR"/>
              </w:rPr>
              <w:t>165,0</w:t>
            </w:r>
          </w:p>
        </w:tc>
        <w:tc>
          <w:tcPr>
            <w:tcW w:w="1412" w:type="dxa"/>
            <w:tcBorders>
              <w:top w:val="nil"/>
              <w:left w:val="single" w:sz="4" w:space="0" w:color="auto"/>
              <w:right w:val="single" w:sz="4" w:space="0" w:color="auto"/>
            </w:tcBorders>
            <w:shd w:val="clear" w:color="auto" w:fill="auto"/>
            <w:vAlign w:val="center"/>
          </w:tcPr>
          <w:p w14:paraId="7868718B" w14:textId="6EB69185" w:rsidR="00A07686" w:rsidRPr="004E74A6" w:rsidRDefault="00A07686" w:rsidP="00832773">
            <w:pPr>
              <w:spacing w:line="276" w:lineRule="auto"/>
              <w:jc w:val="center"/>
              <w:rPr>
                <w:rFonts w:cs="Calibri"/>
                <w:color w:val="000000"/>
                <w:sz w:val="20"/>
                <w:lang w:eastAsia="es-CR"/>
              </w:rPr>
            </w:pPr>
            <w:r w:rsidRPr="00832773">
              <w:rPr>
                <w:rFonts w:cs="Calibri"/>
                <w:color w:val="000000"/>
                <w:sz w:val="20"/>
                <w:lang w:eastAsia="es-CR"/>
              </w:rPr>
              <w:t>1219</w:t>
            </w:r>
          </w:p>
        </w:tc>
        <w:tc>
          <w:tcPr>
            <w:tcW w:w="2177" w:type="dxa"/>
            <w:tcBorders>
              <w:top w:val="nil"/>
              <w:left w:val="single" w:sz="4" w:space="0" w:color="auto"/>
              <w:bottom w:val="nil"/>
              <w:right w:val="nil"/>
            </w:tcBorders>
            <w:vAlign w:val="center"/>
            <w:hideMark/>
          </w:tcPr>
          <w:p w14:paraId="33937C86" w14:textId="780524FA" w:rsidR="00A07686" w:rsidRPr="004E74A6" w:rsidRDefault="00A07686" w:rsidP="00832773">
            <w:pPr>
              <w:spacing w:line="276" w:lineRule="auto"/>
              <w:jc w:val="center"/>
              <w:rPr>
                <w:rFonts w:cs="Calibri"/>
                <w:color w:val="000000"/>
                <w:sz w:val="20"/>
                <w:lang w:eastAsia="es-CR"/>
              </w:rPr>
            </w:pPr>
            <w:r w:rsidRPr="004E74A6">
              <w:rPr>
                <w:rFonts w:cs="Calibri"/>
                <w:color w:val="000000"/>
                <w:sz w:val="20"/>
                <w:lang w:eastAsia="es-CR"/>
              </w:rPr>
              <w:t>5%</w:t>
            </w:r>
          </w:p>
        </w:tc>
      </w:tr>
      <w:tr w:rsidR="00992BAD" w:rsidRPr="004E74A6" w14:paraId="7DA08FFE" w14:textId="77777777" w:rsidTr="00832773">
        <w:trPr>
          <w:trHeight w:val="454"/>
          <w:jc w:val="center"/>
        </w:trPr>
        <w:tc>
          <w:tcPr>
            <w:tcW w:w="3261" w:type="dxa"/>
            <w:tcBorders>
              <w:top w:val="nil"/>
              <w:left w:val="nil"/>
              <w:bottom w:val="nil"/>
              <w:right w:val="single" w:sz="8" w:space="0" w:color="auto"/>
            </w:tcBorders>
            <w:shd w:val="clear" w:color="auto" w:fill="F2F2F2" w:themeFill="background1" w:themeFillShade="F2"/>
            <w:vAlign w:val="center"/>
            <w:hideMark/>
          </w:tcPr>
          <w:p w14:paraId="3D25A49D" w14:textId="77777777" w:rsidR="00A07686" w:rsidRPr="004E74A6" w:rsidRDefault="00A07686" w:rsidP="00832773">
            <w:pPr>
              <w:spacing w:line="276" w:lineRule="auto"/>
              <w:rPr>
                <w:rFonts w:cs="Calibri"/>
                <w:color w:val="000000"/>
                <w:sz w:val="20"/>
                <w:lang w:eastAsia="es-CR"/>
              </w:rPr>
            </w:pPr>
            <w:r w:rsidRPr="004E74A6">
              <w:rPr>
                <w:rFonts w:cs="Calibri"/>
                <w:color w:val="000000"/>
                <w:sz w:val="20"/>
                <w:lang w:eastAsia="es-CR"/>
              </w:rPr>
              <w:t>Juzgado Segundo Civil del Primer Circuito Judicial de San José</w:t>
            </w:r>
          </w:p>
        </w:tc>
        <w:tc>
          <w:tcPr>
            <w:tcW w:w="1319" w:type="dxa"/>
            <w:tcBorders>
              <w:top w:val="nil"/>
              <w:left w:val="nil"/>
              <w:bottom w:val="nil"/>
              <w:right w:val="single" w:sz="8" w:space="0" w:color="auto"/>
            </w:tcBorders>
            <w:shd w:val="clear" w:color="auto" w:fill="F2F2F2" w:themeFill="background1" w:themeFillShade="F2"/>
            <w:vAlign w:val="center"/>
            <w:hideMark/>
          </w:tcPr>
          <w:p w14:paraId="6828E00B" w14:textId="77777777" w:rsidR="00A07686" w:rsidRPr="004E74A6" w:rsidRDefault="00A07686" w:rsidP="00832773">
            <w:pPr>
              <w:spacing w:line="276" w:lineRule="auto"/>
              <w:jc w:val="center"/>
              <w:rPr>
                <w:rFonts w:cs="Calibri"/>
                <w:color w:val="000000"/>
                <w:sz w:val="20"/>
                <w:lang w:eastAsia="es-CR"/>
              </w:rPr>
            </w:pPr>
            <w:r w:rsidRPr="004E74A6">
              <w:rPr>
                <w:rFonts w:cs="Calibri"/>
                <w:color w:val="000000"/>
                <w:sz w:val="20"/>
                <w:lang w:eastAsia="es-CR"/>
              </w:rPr>
              <w:t>1132</w:t>
            </w:r>
          </w:p>
        </w:tc>
        <w:tc>
          <w:tcPr>
            <w:tcW w:w="2176" w:type="dxa"/>
            <w:tcBorders>
              <w:top w:val="nil"/>
              <w:left w:val="nil"/>
              <w:bottom w:val="nil"/>
              <w:right w:val="single" w:sz="8" w:space="0" w:color="auto"/>
            </w:tcBorders>
            <w:shd w:val="clear" w:color="auto" w:fill="F2F2F2" w:themeFill="background1" w:themeFillShade="F2"/>
            <w:vAlign w:val="center"/>
            <w:hideMark/>
          </w:tcPr>
          <w:p w14:paraId="0327EB01" w14:textId="77777777" w:rsidR="00A07686" w:rsidRPr="004E74A6" w:rsidRDefault="00A07686" w:rsidP="00832773">
            <w:pPr>
              <w:spacing w:line="276" w:lineRule="auto"/>
              <w:jc w:val="center"/>
              <w:rPr>
                <w:rFonts w:cs="Calibri"/>
                <w:color w:val="000000"/>
                <w:sz w:val="20"/>
                <w:lang w:eastAsia="es-CR"/>
              </w:rPr>
            </w:pPr>
            <w:r w:rsidRPr="004E74A6">
              <w:rPr>
                <w:rFonts w:cs="Calibri"/>
                <w:color w:val="000000"/>
                <w:sz w:val="20"/>
                <w:lang w:eastAsia="es-CR"/>
              </w:rPr>
              <w:t>32%</w:t>
            </w:r>
          </w:p>
        </w:tc>
        <w:tc>
          <w:tcPr>
            <w:tcW w:w="1046" w:type="dxa"/>
            <w:vMerge/>
            <w:tcBorders>
              <w:left w:val="nil"/>
              <w:right w:val="single" w:sz="4" w:space="0" w:color="auto"/>
            </w:tcBorders>
            <w:shd w:val="clear" w:color="auto" w:fill="F2F2F2" w:themeFill="background1" w:themeFillShade="F2"/>
            <w:vAlign w:val="center"/>
            <w:hideMark/>
          </w:tcPr>
          <w:p w14:paraId="2D6F3325" w14:textId="4550C3CC" w:rsidR="00A07686" w:rsidRPr="004E74A6" w:rsidRDefault="00A07686" w:rsidP="00832773">
            <w:pPr>
              <w:spacing w:line="276" w:lineRule="auto"/>
              <w:jc w:val="center"/>
              <w:rPr>
                <w:rFonts w:cs="Calibri"/>
                <w:color w:val="000000"/>
                <w:sz w:val="20"/>
                <w:lang w:eastAsia="es-CR"/>
              </w:rPr>
            </w:pPr>
          </w:p>
        </w:tc>
        <w:tc>
          <w:tcPr>
            <w:tcW w:w="1412" w:type="dxa"/>
            <w:tcBorders>
              <w:left w:val="single" w:sz="4" w:space="0" w:color="auto"/>
              <w:right w:val="single" w:sz="4" w:space="0" w:color="auto"/>
            </w:tcBorders>
            <w:shd w:val="clear" w:color="auto" w:fill="F2F2F2" w:themeFill="background1" w:themeFillShade="F2"/>
            <w:vAlign w:val="center"/>
          </w:tcPr>
          <w:p w14:paraId="1551E962" w14:textId="6CF9996B" w:rsidR="00A07686" w:rsidRPr="004E74A6" w:rsidRDefault="00A07686" w:rsidP="00832773">
            <w:pPr>
              <w:spacing w:line="276" w:lineRule="auto"/>
              <w:jc w:val="center"/>
              <w:rPr>
                <w:rFonts w:cs="Calibri"/>
                <w:color w:val="000000"/>
                <w:sz w:val="20"/>
                <w:lang w:eastAsia="es-CR"/>
              </w:rPr>
            </w:pPr>
            <w:r w:rsidRPr="00832773">
              <w:rPr>
                <w:rFonts w:cs="Calibri"/>
                <w:color w:val="000000"/>
                <w:sz w:val="20"/>
                <w:lang w:eastAsia="es-CR"/>
              </w:rPr>
              <w:t>1185</w:t>
            </w:r>
          </w:p>
        </w:tc>
        <w:tc>
          <w:tcPr>
            <w:tcW w:w="2177" w:type="dxa"/>
            <w:tcBorders>
              <w:top w:val="nil"/>
              <w:left w:val="single" w:sz="4" w:space="0" w:color="auto"/>
              <w:bottom w:val="nil"/>
              <w:right w:val="nil"/>
            </w:tcBorders>
            <w:shd w:val="clear" w:color="auto" w:fill="F2F2F2" w:themeFill="background1" w:themeFillShade="F2"/>
            <w:vAlign w:val="center"/>
            <w:hideMark/>
          </w:tcPr>
          <w:p w14:paraId="1E09EB9C" w14:textId="47B5678A" w:rsidR="00A07686" w:rsidRPr="004E74A6" w:rsidRDefault="00A07686" w:rsidP="00832773">
            <w:pPr>
              <w:spacing w:line="276" w:lineRule="auto"/>
              <w:jc w:val="center"/>
              <w:rPr>
                <w:rFonts w:cs="Calibri"/>
                <w:color w:val="000000"/>
                <w:sz w:val="20"/>
                <w:lang w:eastAsia="es-CR"/>
              </w:rPr>
            </w:pPr>
            <w:r w:rsidRPr="004E74A6">
              <w:rPr>
                <w:rFonts w:cs="Calibri"/>
                <w:color w:val="000000"/>
                <w:sz w:val="20"/>
                <w:lang w:eastAsia="es-CR"/>
              </w:rPr>
              <w:t>5%</w:t>
            </w:r>
          </w:p>
        </w:tc>
      </w:tr>
      <w:tr w:rsidR="00186B25" w:rsidRPr="004E74A6" w14:paraId="662DCD92" w14:textId="77777777" w:rsidTr="001D7959">
        <w:trPr>
          <w:trHeight w:val="454"/>
          <w:jc w:val="center"/>
        </w:trPr>
        <w:tc>
          <w:tcPr>
            <w:tcW w:w="3261" w:type="dxa"/>
            <w:tcBorders>
              <w:top w:val="nil"/>
              <w:left w:val="nil"/>
              <w:bottom w:val="nil"/>
              <w:right w:val="single" w:sz="8" w:space="0" w:color="auto"/>
            </w:tcBorders>
            <w:shd w:val="clear" w:color="auto" w:fill="auto"/>
            <w:vAlign w:val="center"/>
            <w:hideMark/>
          </w:tcPr>
          <w:p w14:paraId="13C0F8B0" w14:textId="77777777" w:rsidR="00A07686" w:rsidRPr="004E74A6" w:rsidRDefault="00A07686" w:rsidP="00832773">
            <w:pPr>
              <w:spacing w:line="276" w:lineRule="auto"/>
              <w:rPr>
                <w:rFonts w:cs="Calibri"/>
                <w:color w:val="000000"/>
                <w:sz w:val="20"/>
                <w:lang w:eastAsia="es-CR"/>
              </w:rPr>
            </w:pPr>
            <w:r w:rsidRPr="004E74A6">
              <w:rPr>
                <w:rFonts w:cs="Calibri"/>
                <w:color w:val="000000"/>
                <w:sz w:val="20"/>
                <w:lang w:eastAsia="es-CR"/>
              </w:rPr>
              <w:t>Juzgado Tercero Civil del Primer Circuito Judicial de San José</w:t>
            </w:r>
          </w:p>
        </w:tc>
        <w:tc>
          <w:tcPr>
            <w:tcW w:w="1319" w:type="dxa"/>
            <w:tcBorders>
              <w:top w:val="nil"/>
              <w:left w:val="nil"/>
              <w:bottom w:val="nil"/>
              <w:right w:val="single" w:sz="8" w:space="0" w:color="auto"/>
            </w:tcBorders>
            <w:shd w:val="clear" w:color="auto" w:fill="auto"/>
            <w:vAlign w:val="center"/>
            <w:hideMark/>
          </w:tcPr>
          <w:p w14:paraId="6D1143B0" w14:textId="77777777" w:rsidR="00A07686" w:rsidRPr="004E74A6" w:rsidRDefault="00A07686" w:rsidP="00832773">
            <w:pPr>
              <w:spacing w:line="276" w:lineRule="auto"/>
              <w:jc w:val="center"/>
              <w:rPr>
                <w:rFonts w:cs="Calibri"/>
                <w:color w:val="000000"/>
                <w:sz w:val="20"/>
                <w:lang w:eastAsia="es-CR"/>
              </w:rPr>
            </w:pPr>
            <w:r w:rsidRPr="004E74A6">
              <w:rPr>
                <w:rFonts w:cs="Calibri"/>
                <w:color w:val="000000"/>
                <w:sz w:val="20"/>
                <w:lang w:eastAsia="es-CR"/>
              </w:rPr>
              <w:t>1064</w:t>
            </w:r>
          </w:p>
        </w:tc>
        <w:tc>
          <w:tcPr>
            <w:tcW w:w="2176" w:type="dxa"/>
            <w:tcBorders>
              <w:top w:val="nil"/>
              <w:left w:val="nil"/>
              <w:bottom w:val="nil"/>
              <w:right w:val="single" w:sz="8" w:space="0" w:color="auto"/>
            </w:tcBorders>
            <w:shd w:val="clear" w:color="auto" w:fill="auto"/>
            <w:vAlign w:val="center"/>
            <w:hideMark/>
          </w:tcPr>
          <w:p w14:paraId="4A5EA947" w14:textId="77777777" w:rsidR="00A07686" w:rsidRPr="004E74A6" w:rsidRDefault="00A07686" w:rsidP="00832773">
            <w:pPr>
              <w:spacing w:line="276" w:lineRule="auto"/>
              <w:jc w:val="center"/>
              <w:rPr>
                <w:rFonts w:cs="Calibri"/>
                <w:color w:val="000000"/>
                <w:sz w:val="20"/>
                <w:lang w:eastAsia="es-CR"/>
              </w:rPr>
            </w:pPr>
            <w:r w:rsidRPr="004E74A6">
              <w:rPr>
                <w:rFonts w:cs="Calibri"/>
                <w:color w:val="000000"/>
                <w:sz w:val="20"/>
                <w:lang w:eastAsia="es-CR"/>
              </w:rPr>
              <w:t>30%</w:t>
            </w:r>
          </w:p>
        </w:tc>
        <w:tc>
          <w:tcPr>
            <w:tcW w:w="1046" w:type="dxa"/>
            <w:vMerge/>
            <w:tcBorders>
              <w:left w:val="nil"/>
              <w:right w:val="single" w:sz="4" w:space="0" w:color="auto"/>
            </w:tcBorders>
            <w:shd w:val="clear" w:color="auto" w:fill="auto"/>
            <w:vAlign w:val="center"/>
            <w:hideMark/>
          </w:tcPr>
          <w:p w14:paraId="2C90E9D4" w14:textId="26E154E7" w:rsidR="00A07686" w:rsidRPr="004E74A6" w:rsidRDefault="00A07686" w:rsidP="00832773">
            <w:pPr>
              <w:spacing w:line="276" w:lineRule="auto"/>
              <w:jc w:val="center"/>
              <w:rPr>
                <w:rFonts w:cs="Calibri"/>
                <w:color w:val="000000"/>
                <w:sz w:val="20"/>
                <w:lang w:eastAsia="es-CR"/>
              </w:rPr>
            </w:pPr>
          </w:p>
        </w:tc>
        <w:tc>
          <w:tcPr>
            <w:tcW w:w="1412" w:type="dxa"/>
            <w:tcBorders>
              <w:left w:val="single" w:sz="4" w:space="0" w:color="auto"/>
              <w:right w:val="single" w:sz="4" w:space="0" w:color="auto"/>
            </w:tcBorders>
            <w:shd w:val="clear" w:color="auto" w:fill="auto"/>
            <w:vAlign w:val="center"/>
          </w:tcPr>
          <w:p w14:paraId="643242C1" w14:textId="3E7F92AF" w:rsidR="00A07686" w:rsidRPr="004E74A6" w:rsidRDefault="00A07686" w:rsidP="00832773">
            <w:pPr>
              <w:spacing w:line="276" w:lineRule="auto"/>
              <w:jc w:val="center"/>
              <w:rPr>
                <w:rFonts w:cs="Calibri"/>
                <w:color w:val="000000"/>
                <w:sz w:val="20"/>
                <w:lang w:eastAsia="es-CR"/>
              </w:rPr>
            </w:pPr>
            <w:r w:rsidRPr="00832773">
              <w:rPr>
                <w:rFonts w:cs="Calibri"/>
                <w:color w:val="000000"/>
                <w:sz w:val="20"/>
                <w:lang w:eastAsia="es-CR"/>
              </w:rPr>
              <w:t>1064</w:t>
            </w:r>
          </w:p>
        </w:tc>
        <w:tc>
          <w:tcPr>
            <w:tcW w:w="2177" w:type="dxa"/>
            <w:tcBorders>
              <w:top w:val="nil"/>
              <w:left w:val="single" w:sz="4" w:space="0" w:color="auto"/>
              <w:bottom w:val="nil"/>
              <w:right w:val="nil"/>
            </w:tcBorders>
            <w:vAlign w:val="center"/>
            <w:hideMark/>
          </w:tcPr>
          <w:p w14:paraId="4E67261C" w14:textId="0FAC6884" w:rsidR="00A07686" w:rsidRPr="004E74A6" w:rsidRDefault="00A07686" w:rsidP="00832773">
            <w:pPr>
              <w:spacing w:line="276" w:lineRule="auto"/>
              <w:jc w:val="center"/>
              <w:rPr>
                <w:rFonts w:cs="Calibri"/>
                <w:color w:val="000000"/>
                <w:sz w:val="20"/>
                <w:lang w:eastAsia="es-CR"/>
              </w:rPr>
            </w:pPr>
            <w:r w:rsidRPr="004E74A6">
              <w:rPr>
                <w:rFonts w:cs="Calibri"/>
                <w:color w:val="000000"/>
                <w:sz w:val="20"/>
                <w:lang w:eastAsia="es-CR"/>
              </w:rPr>
              <w:t>5%</w:t>
            </w:r>
          </w:p>
        </w:tc>
      </w:tr>
      <w:tr w:rsidR="00992BAD" w:rsidRPr="004E74A6" w14:paraId="3F8A28E6" w14:textId="77777777" w:rsidTr="00832773">
        <w:trPr>
          <w:trHeight w:val="454"/>
          <w:jc w:val="center"/>
        </w:trPr>
        <w:tc>
          <w:tcPr>
            <w:tcW w:w="3261" w:type="dxa"/>
            <w:tcBorders>
              <w:top w:val="nil"/>
              <w:left w:val="nil"/>
              <w:bottom w:val="nil"/>
              <w:right w:val="single" w:sz="8" w:space="0" w:color="auto"/>
            </w:tcBorders>
            <w:shd w:val="clear" w:color="auto" w:fill="F2F2F2" w:themeFill="background1" w:themeFillShade="F2"/>
            <w:vAlign w:val="center"/>
            <w:hideMark/>
          </w:tcPr>
          <w:p w14:paraId="06344C3C" w14:textId="77777777" w:rsidR="00A07686" w:rsidRPr="004E74A6" w:rsidRDefault="00A07686" w:rsidP="00832773">
            <w:pPr>
              <w:spacing w:line="276" w:lineRule="auto"/>
              <w:rPr>
                <w:rFonts w:cs="Calibri"/>
                <w:color w:val="000000"/>
                <w:sz w:val="20"/>
                <w:lang w:eastAsia="es-CR"/>
              </w:rPr>
            </w:pPr>
            <w:r w:rsidRPr="004E74A6">
              <w:rPr>
                <w:rFonts w:cs="Calibri"/>
                <w:color w:val="000000"/>
                <w:sz w:val="20"/>
                <w:lang w:eastAsia="es-CR"/>
              </w:rPr>
              <w:t>Juzgado Civil, Trabajo, Familia, Penal Juvenil y contra la Violencia Doméstica de Puriscal</w:t>
            </w:r>
          </w:p>
        </w:tc>
        <w:tc>
          <w:tcPr>
            <w:tcW w:w="1319" w:type="dxa"/>
            <w:tcBorders>
              <w:top w:val="nil"/>
              <w:left w:val="nil"/>
              <w:bottom w:val="nil"/>
              <w:right w:val="single" w:sz="8" w:space="0" w:color="auto"/>
            </w:tcBorders>
            <w:shd w:val="clear" w:color="auto" w:fill="F2F2F2" w:themeFill="background1" w:themeFillShade="F2"/>
            <w:vAlign w:val="center"/>
            <w:hideMark/>
          </w:tcPr>
          <w:p w14:paraId="1F5D4662" w14:textId="77777777" w:rsidR="00A07686" w:rsidRPr="004E74A6" w:rsidRDefault="00A07686" w:rsidP="00832773">
            <w:pPr>
              <w:spacing w:line="276" w:lineRule="auto"/>
              <w:jc w:val="center"/>
              <w:rPr>
                <w:rFonts w:cs="Calibri"/>
                <w:color w:val="000000"/>
                <w:sz w:val="20"/>
                <w:lang w:eastAsia="es-CR"/>
              </w:rPr>
            </w:pPr>
            <w:r w:rsidRPr="004E74A6">
              <w:rPr>
                <w:rFonts w:cs="Calibri"/>
                <w:color w:val="000000"/>
                <w:sz w:val="20"/>
                <w:lang w:eastAsia="es-CR"/>
              </w:rPr>
              <w:t>187</w:t>
            </w:r>
          </w:p>
        </w:tc>
        <w:tc>
          <w:tcPr>
            <w:tcW w:w="2176" w:type="dxa"/>
            <w:tcBorders>
              <w:top w:val="nil"/>
              <w:left w:val="nil"/>
              <w:bottom w:val="nil"/>
              <w:right w:val="single" w:sz="8" w:space="0" w:color="auto"/>
            </w:tcBorders>
            <w:shd w:val="clear" w:color="auto" w:fill="F2F2F2" w:themeFill="background1" w:themeFillShade="F2"/>
            <w:vAlign w:val="center"/>
            <w:hideMark/>
          </w:tcPr>
          <w:p w14:paraId="5861D400" w14:textId="77777777" w:rsidR="00A07686" w:rsidRPr="004E74A6" w:rsidRDefault="00A07686" w:rsidP="00832773">
            <w:pPr>
              <w:spacing w:line="276" w:lineRule="auto"/>
              <w:jc w:val="center"/>
              <w:rPr>
                <w:rFonts w:cs="Calibri"/>
                <w:color w:val="000000"/>
                <w:sz w:val="20"/>
                <w:lang w:eastAsia="es-CR"/>
              </w:rPr>
            </w:pPr>
            <w:r w:rsidRPr="004E74A6">
              <w:rPr>
                <w:rFonts w:cs="Calibri"/>
                <w:color w:val="000000"/>
                <w:sz w:val="20"/>
                <w:lang w:eastAsia="es-CR"/>
              </w:rPr>
              <w:t>5%</w:t>
            </w:r>
          </w:p>
        </w:tc>
        <w:tc>
          <w:tcPr>
            <w:tcW w:w="1046" w:type="dxa"/>
            <w:vMerge/>
            <w:tcBorders>
              <w:left w:val="nil"/>
              <w:bottom w:val="nil"/>
              <w:right w:val="single" w:sz="4" w:space="0" w:color="auto"/>
            </w:tcBorders>
            <w:shd w:val="clear" w:color="auto" w:fill="F2F2F2" w:themeFill="background1" w:themeFillShade="F2"/>
            <w:vAlign w:val="center"/>
            <w:hideMark/>
          </w:tcPr>
          <w:p w14:paraId="3C0ED8E5" w14:textId="4CFFF2B2" w:rsidR="00A07686" w:rsidRPr="004E74A6" w:rsidRDefault="00A07686" w:rsidP="00832773">
            <w:pPr>
              <w:spacing w:line="276" w:lineRule="auto"/>
              <w:jc w:val="center"/>
              <w:rPr>
                <w:rFonts w:cs="Calibri"/>
                <w:color w:val="000000"/>
                <w:sz w:val="20"/>
                <w:lang w:eastAsia="es-CR"/>
              </w:rPr>
            </w:pPr>
          </w:p>
        </w:tc>
        <w:tc>
          <w:tcPr>
            <w:tcW w:w="1412" w:type="dxa"/>
            <w:tcBorders>
              <w:left w:val="single" w:sz="4" w:space="0" w:color="auto"/>
              <w:bottom w:val="nil"/>
              <w:right w:val="single" w:sz="4" w:space="0" w:color="auto"/>
            </w:tcBorders>
            <w:shd w:val="clear" w:color="auto" w:fill="F2F2F2" w:themeFill="background1" w:themeFillShade="F2"/>
            <w:vAlign w:val="center"/>
          </w:tcPr>
          <w:p w14:paraId="5F970B2E" w14:textId="3F2B244F" w:rsidR="00A07686" w:rsidRPr="004E74A6" w:rsidRDefault="00A07686" w:rsidP="00832773">
            <w:pPr>
              <w:spacing w:line="276" w:lineRule="auto"/>
              <w:jc w:val="center"/>
              <w:rPr>
                <w:rFonts w:cs="Calibri"/>
                <w:color w:val="000000"/>
                <w:sz w:val="20"/>
                <w:lang w:eastAsia="es-CR"/>
              </w:rPr>
            </w:pPr>
            <w:r w:rsidRPr="00832773">
              <w:rPr>
                <w:rFonts w:cs="Calibri"/>
                <w:color w:val="000000"/>
                <w:sz w:val="20"/>
                <w:lang w:eastAsia="es-CR"/>
              </w:rPr>
              <w:t>196</w:t>
            </w:r>
          </w:p>
        </w:tc>
        <w:tc>
          <w:tcPr>
            <w:tcW w:w="2177" w:type="dxa"/>
            <w:tcBorders>
              <w:top w:val="nil"/>
              <w:left w:val="single" w:sz="4" w:space="0" w:color="auto"/>
              <w:bottom w:val="nil"/>
              <w:right w:val="nil"/>
            </w:tcBorders>
            <w:shd w:val="clear" w:color="auto" w:fill="F2F2F2" w:themeFill="background1" w:themeFillShade="F2"/>
            <w:vAlign w:val="center"/>
            <w:hideMark/>
          </w:tcPr>
          <w:p w14:paraId="20A39B51" w14:textId="2DD1AAED" w:rsidR="00A07686" w:rsidRPr="004E74A6" w:rsidRDefault="00A07686" w:rsidP="00832773">
            <w:pPr>
              <w:spacing w:line="276" w:lineRule="auto"/>
              <w:jc w:val="center"/>
              <w:rPr>
                <w:rFonts w:cs="Calibri"/>
                <w:color w:val="000000"/>
                <w:sz w:val="20"/>
                <w:lang w:eastAsia="es-CR"/>
              </w:rPr>
            </w:pPr>
            <w:r w:rsidRPr="004E74A6">
              <w:rPr>
                <w:rFonts w:cs="Calibri"/>
                <w:color w:val="000000"/>
                <w:sz w:val="20"/>
                <w:lang w:eastAsia="es-CR"/>
              </w:rPr>
              <w:t>5%</w:t>
            </w:r>
          </w:p>
        </w:tc>
      </w:tr>
      <w:tr w:rsidR="00C74E15" w:rsidRPr="004E74A6" w14:paraId="1F5D7222" w14:textId="77777777" w:rsidTr="00832773">
        <w:trPr>
          <w:trHeight w:val="454"/>
          <w:jc w:val="center"/>
        </w:trPr>
        <w:tc>
          <w:tcPr>
            <w:tcW w:w="3261" w:type="dxa"/>
            <w:tcBorders>
              <w:top w:val="nil"/>
              <w:left w:val="nil"/>
              <w:bottom w:val="nil"/>
              <w:right w:val="single" w:sz="4" w:space="0" w:color="A6A6A6"/>
            </w:tcBorders>
            <w:shd w:val="clear" w:color="000000" w:fill="A6A6A6"/>
            <w:vAlign w:val="center"/>
            <w:hideMark/>
          </w:tcPr>
          <w:p w14:paraId="324FDB6B" w14:textId="77777777" w:rsidR="00C74E15" w:rsidRPr="004E74A6" w:rsidRDefault="00C74E15" w:rsidP="00832773">
            <w:pPr>
              <w:spacing w:line="276" w:lineRule="auto"/>
              <w:jc w:val="center"/>
              <w:rPr>
                <w:rFonts w:cs="Calibri"/>
                <w:b/>
                <w:bCs/>
                <w:color w:val="000000"/>
                <w:sz w:val="20"/>
                <w:lang w:eastAsia="es-CR"/>
              </w:rPr>
            </w:pPr>
            <w:r w:rsidRPr="004E74A6">
              <w:rPr>
                <w:rFonts w:cs="Calibri"/>
                <w:b/>
                <w:bCs/>
                <w:color w:val="000000"/>
                <w:sz w:val="20"/>
                <w:lang w:eastAsia="es-CR"/>
              </w:rPr>
              <w:t>San José, Hatillo</w:t>
            </w:r>
          </w:p>
        </w:tc>
        <w:tc>
          <w:tcPr>
            <w:tcW w:w="1319" w:type="dxa"/>
            <w:tcBorders>
              <w:top w:val="nil"/>
              <w:left w:val="nil"/>
              <w:bottom w:val="nil"/>
              <w:right w:val="single" w:sz="4" w:space="0" w:color="A6A6A6"/>
            </w:tcBorders>
            <w:shd w:val="clear" w:color="000000" w:fill="A6A6A6"/>
            <w:vAlign w:val="center"/>
            <w:hideMark/>
          </w:tcPr>
          <w:p w14:paraId="3CA165DF" w14:textId="77777777" w:rsidR="00C74E15" w:rsidRPr="004E74A6" w:rsidRDefault="00C74E15" w:rsidP="00832773">
            <w:pPr>
              <w:spacing w:line="276" w:lineRule="auto"/>
              <w:jc w:val="center"/>
              <w:rPr>
                <w:rFonts w:cs="Calibri"/>
                <w:color w:val="000000"/>
                <w:sz w:val="20"/>
                <w:lang w:eastAsia="es-CR"/>
              </w:rPr>
            </w:pPr>
            <w:r w:rsidRPr="004E74A6">
              <w:rPr>
                <w:rFonts w:cs="Calibri"/>
                <w:color w:val="000000"/>
                <w:sz w:val="20"/>
                <w:lang w:eastAsia="es-CR"/>
              </w:rPr>
              <w:t>1369</w:t>
            </w:r>
          </w:p>
        </w:tc>
        <w:tc>
          <w:tcPr>
            <w:tcW w:w="2176" w:type="dxa"/>
            <w:tcBorders>
              <w:top w:val="nil"/>
              <w:left w:val="nil"/>
              <w:bottom w:val="nil"/>
              <w:right w:val="single" w:sz="4" w:space="0" w:color="A6A6A6"/>
            </w:tcBorders>
            <w:shd w:val="clear" w:color="000000" w:fill="A6A6A6"/>
            <w:vAlign w:val="center"/>
            <w:hideMark/>
          </w:tcPr>
          <w:p w14:paraId="16CDF93A" w14:textId="77777777" w:rsidR="00C74E15" w:rsidRPr="004E74A6" w:rsidRDefault="00C74E15" w:rsidP="00832773">
            <w:pPr>
              <w:spacing w:line="276" w:lineRule="auto"/>
              <w:jc w:val="center"/>
              <w:rPr>
                <w:rFonts w:cs="Calibri"/>
                <w:color w:val="000000"/>
                <w:sz w:val="20"/>
                <w:lang w:eastAsia="es-CR"/>
              </w:rPr>
            </w:pPr>
            <w:r w:rsidRPr="004E74A6">
              <w:rPr>
                <w:rFonts w:cs="Calibri"/>
                <w:color w:val="000000"/>
                <w:sz w:val="20"/>
                <w:lang w:eastAsia="es-CR"/>
              </w:rPr>
              <w:t> </w:t>
            </w:r>
          </w:p>
        </w:tc>
        <w:tc>
          <w:tcPr>
            <w:tcW w:w="1046" w:type="dxa"/>
            <w:tcBorders>
              <w:top w:val="nil"/>
              <w:left w:val="nil"/>
              <w:bottom w:val="nil"/>
              <w:right w:val="single" w:sz="4" w:space="0" w:color="auto"/>
            </w:tcBorders>
            <w:shd w:val="clear" w:color="000000" w:fill="A6A6A6"/>
            <w:vAlign w:val="center"/>
            <w:hideMark/>
          </w:tcPr>
          <w:p w14:paraId="76DED80B" w14:textId="77777777" w:rsidR="00C74E15" w:rsidRPr="004E74A6" w:rsidRDefault="00C74E15" w:rsidP="00832773">
            <w:pPr>
              <w:spacing w:line="276" w:lineRule="auto"/>
              <w:jc w:val="center"/>
              <w:rPr>
                <w:rFonts w:cs="Calibri"/>
                <w:color w:val="000000"/>
                <w:sz w:val="20"/>
                <w:lang w:eastAsia="es-CR"/>
              </w:rPr>
            </w:pPr>
            <w:r w:rsidRPr="004E74A6">
              <w:rPr>
                <w:rFonts w:cs="Calibri"/>
                <w:color w:val="000000"/>
                <w:sz w:val="20"/>
                <w:lang w:eastAsia="es-CR"/>
              </w:rPr>
              <w:t> </w:t>
            </w:r>
          </w:p>
        </w:tc>
        <w:tc>
          <w:tcPr>
            <w:tcW w:w="1412" w:type="dxa"/>
            <w:tcBorders>
              <w:top w:val="nil"/>
              <w:left w:val="single" w:sz="4" w:space="0" w:color="auto"/>
              <w:bottom w:val="nil"/>
              <w:right w:val="single" w:sz="4" w:space="0" w:color="auto"/>
            </w:tcBorders>
            <w:shd w:val="clear" w:color="000000" w:fill="A6A6A6"/>
            <w:vAlign w:val="center"/>
          </w:tcPr>
          <w:p w14:paraId="4285E86C" w14:textId="77777777" w:rsidR="00C74E15" w:rsidRPr="004E74A6" w:rsidRDefault="00C74E15" w:rsidP="00832773">
            <w:pPr>
              <w:spacing w:line="276" w:lineRule="auto"/>
              <w:jc w:val="center"/>
              <w:rPr>
                <w:rFonts w:cs="Calibri"/>
                <w:color w:val="000000"/>
                <w:sz w:val="20"/>
                <w:lang w:eastAsia="es-CR"/>
              </w:rPr>
            </w:pPr>
          </w:p>
        </w:tc>
        <w:tc>
          <w:tcPr>
            <w:tcW w:w="2177" w:type="dxa"/>
            <w:tcBorders>
              <w:top w:val="nil"/>
              <w:left w:val="single" w:sz="4" w:space="0" w:color="auto"/>
              <w:bottom w:val="nil"/>
              <w:right w:val="nil"/>
            </w:tcBorders>
            <w:shd w:val="clear" w:color="000000" w:fill="A6A6A6"/>
            <w:vAlign w:val="center"/>
            <w:hideMark/>
          </w:tcPr>
          <w:p w14:paraId="5E13241E" w14:textId="4651931F" w:rsidR="00C74E15" w:rsidRPr="004E74A6" w:rsidRDefault="00C74E15" w:rsidP="00832773">
            <w:pPr>
              <w:spacing w:line="276" w:lineRule="auto"/>
              <w:jc w:val="center"/>
              <w:rPr>
                <w:rFonts w:cs="Calibri"/>
                <w:color w:val="000000"/>
                <w:sz w:val="20"/>
                <w:lang w:eastAsia="es-CR"/>
              </w:rPr>
            </w:pPr>
            <w:r w:rsidRPr="004E74A6">
              <w:rPr>
                <w:rFonts w:cs="Calibri"/>
                <w:color w:val="000000"/>
                <w:sz w:val="20"/>
                <w:lang w:eastAsia="es-CR"/>
              </w:rPr>
              <w:t> </w:t>
            </w:r>
          </w:p>
        </w:tc>
      </w:tr>
      <w:tr w:rsidR="00186B25" w:rsidRPr="004E74A6" w14:paraId="5C5341D2" w14:textId="77777777" w:rsidTr="001D7959">
        <w:trPr>
          <w:trHeight w:val="454"/>
          <w:jc w:val="center"/>
        </w:trPr>
        <w:tc>
          <w:tcPr>
            <w:tcW w:w="3261" w:type="dxa"/>
            <w:tcBorders>
              <w:top w:val="nil"/>
              <w:left w:val="nil"/>
              <w:bottom w:val="nil"/>
              <w:right w:val="single" w:sz="8" w:space="0" w:color="auto"/>
            </w:tcBorders>
            <w:shd w:val="clear" w:color="auto" w:fill="auto"/>
            <w:vAlign w:val="center"/>
            <w:hideMark/>
          </w:tcPr>
          <w:p w14:paraId="5EF05705" w14:textId="77777777" w:rsidR="001D7959" w:rsidRPr="004E74A6" w:rsidRDefault="001D7959" w:rsidP="00832773">
            <w:pPr>
              <w:spacing w:line="276" w:lineRule="auto"/>
              <w:rPr>
                <w:rFonts w:cs="Calibri"/>
                <w:color w:val="000000"/>
                <w:sz w:val="20"/>
                <w:lang w:eastAsia="es-CR"/>
              </w:rPr>
            </w:pPr>
            <w:r w:rsidRPr="004E74A6">
              <w:rPr>
                <w:rFonts w:cs="Calibri"/>
                <w:color w:val="000000"/>
                <w:sz w:val="20"/>
                <w:lang w:eastAsia="es-CR"/>
              </w:rPr>
              <w:t>Juzgado Civil Hatillo, San Sebastián y Alajuelita</w:t>
            </w:r>
          </w:p>
        </w:tc>
        <w:tc>
          <w:tcPr>
            <w:tcW w:w="1319" w:type="dxa"/>
            <w:tcBorders>
              <w:top w:val="nil"/>
              <w:left w:val="nil"/>
              <w:bottom w:val="nil"/>
              <w:right w:val="single" w:sz="8" w:space="0" w:color="auto"/>
            </w:tcBorders>
            <w:shd w:val="clear" w:color="auto" w:fill="auto"/>
            <w:vAlign w:val="center"/>
            <w:hideMark/>
          </w:tcPr>
          <w:p w14:paraId="45473E65" w14:textId="77777777" w:rsidR="001D7959" w:rsidRPr="004E74A6" w:rsidRDefault="001D7959" w:rsidP="00832773">
            <w:pPr>
              <w:spacing w:line="276" w:lineRule="auto"/>
              <w:jc w:val="center"/>
              <w:rPr>
                <w:rFonts w:cs="Calibri"/>
                <w:color w:val="000000"/>
                <w:sz w:val="20"/>
                <w:lang w:eastAsia="es-CR"/>
              </w:rPr>
            </w:pPr>
            <w:r w:rsidRPr="004E74A6">
              <w:rPr>
                <w:rFonts w:cs="Calibri"/>
                <w:color w:val="000000"/>
                <w:sz w:val="20"/>
                <w:lang w:eastAsia="es-CR"/>
              </w:rPr>
              <w:t>519</w:t>
            </w:r>
          </w:p>
        </w:tc>
        <w:tc>
          <w:tcPr>
            <w:tcW w:w="2176" w:type="dxa"/>
            <w:tcBorders>
              <w:top w:val="nil"/>
              <w:left w:val="nil"/>
              <w:bottom w:val="nil"/>
              <w:right w:val="single" w:sz="8" w:space="0" w:color="auto"/>
            </w:tcBorders>
            <w:shd w:val="clear" w:color="auto" w:fill="auto"/>
            <w:vAlign w:val="center"/>
            <w:hideMark/>
          </w:tcPr>
          <w:p w14:paraId="593191E4" w14:textId="77777777" w:rsidR="001D7959" w:rsidRPr="004E74A6" w:rsidRDefault="001D7959" w:rsidP="00832773">
            <w:pPr>
              <w:spacing w:line="276" w:lineRule="auto"/>
              <w:jc w:val="center"/>
              <w:rPr>
                <w:rFonts w:cs="Calibri"/>
                <w:color w:val="000000"/>
                <w:sz w:val="20"/>
                <w:lang w:eastAsia="es-CR"/>
              </w:rPr>
            </w:pPr>
            <w:r w:rsidRPr="004E74A6">
              <w:rPr>
                <w:rFonts w:cs="Calibri"/>
                <w:color w:val="000000"/>
                <w:sz w:val="20"/>
                <w:lang w:eastAsia="es-CR"/>
              </w:rPr>
              <w:t>38%</w:t>
            </w:r>
          </w:p>
        </w:tc>
        <w:tc>
          <w:tcPr>
            <w:tcW w:w="1046" w:type="dxa"/>
            <w:vMerge w:val="restart"/>
            <w:tcBorders>
              <w:top w:val="nil"/>
              <w:left w:val="nil"/>
              <w:right w:val="single" w:sz="4" w:space="0" w:color="auto"/>
            </w:tcBorders>
            <w:shd w:val="clear" w:color="auto" w:fill="auto"/>
            <w:vAlign w:val="center"/>
            <w:hideMark/>
          </w:tcPr>
          <w:p w14:paraId="5DB6B291" w14:textId="02193440" w:rsidR="001D7959" w:rsidRPr="004E74A6" w:rsidRDefault="001D7959" w:rsidP="00832773">
            <w:pPr>
              <w:spacing w:line="276" w:lineRule="auto"/>
              <w:jc w:val="center"/>
              <w:rPr>
                <w:rFonts w:cs="Calibri"/>
                <w:color w:val="000000"/>
                <w:sz w:val="20"/>
                <w:lang w:eastAsia="es-CR"/>
              </w:rPr>
            </w:pPr>
            <w:r w:rsidRPr="004E74A6">
              <w:rPr>
                <w:rFonts w:cs="Calibri"/>
                <w:color w:val="000000"/>
                <w:sz w:val="20"/>
                <w:lang w:eastAsia="es-CR"/>
              </w:rPr>
              <w:t>10,0 </w:t>
            </w:r>
          </w:p>
        </w:tc>
        <w:tc>
          <w:tcPr>
            <w:tcW w:w="1412" w:type="dxa"/>
            <w:tcBorders>
              <w:top w:val="nil"/>
              <w:left w:val="single" w:sz="4" w:space="0" w:color="auto"/>
              <w:right w:val="single" w:sz="4" w:space="0" w:color="auto"/>
            </w:tcBorders>
            <w:shd w:val="clear" w:color="auto" w:fill="auto"/>
            <w:vAlign w:val="center"/>
          </w:tcPr>
          <w:p w14:paraId="5CF3B470" w14:textId="1C606BE0" w:rsidR="001D7959" w:rsidRPr="004E74A6" w:rsidRDefault="001D7959" w:rsidP="00832773">
            <w:pPr>
              <w:spacing w:line="276" w:lineRule="auto"/>
              <w:jc w:val="center"/>
              <w:rPr>
                <w:rFonts w:cs="Calibri"/>
                <w:color w:val="000000"/>
                <w:sz w:val="20"/>
                <w:lang w:eastAsia="es-CR"/>
              </w:rPr>
            </w:pPr>
            <w:r w:rsidRPr="00832773">
              <w:rPr>
                <w:rFonts w:cs="Calibri"/>
                <w:color w:val="000000"/>
                <w:sz w:val="20"/>
                <w:lang w:eastAsia="es-CR"/>
              </w:rPr>
              <w:t>523</w:t>
            </w:r>
          </w:p>
        </w:tc>
        <w:tc>
          <w:tcPr>
            <w:tcW w:w="2177" w:type="dxa"/>
            <w:tcBorders>
              <w:top w:val="nil"/>
              <w:left w:val="single" w:sz="4" w:space="0" w:color="auto"/>
              <w:bottom w:val="nil"/>
              <w:right w:val="nil"/>
            </w:tcBorders>
            <w:vAlign w:val="center"/>
            <w:hideMark/>
          </w:tcPr>
          <w:p w14:paraId="44ED3D3E" w14:textId="043AC066" w:rsidR="001D7959" w:rsidRPr="004E74A6" w:rsidRDefault="001D7959" w:rsidP="00832773">
            <w:pPr>
              <w:spacing w:line="276" w:lineRule="auto"/>
              <w:jc w:val="center"/>
              <w:rPr>
                <w:rFonts w:cs="Calibri"/>
                <w:color w:val="000000"/>
                <w:sz w:val="20"/>
                <w:lang w:eastAsia="es-CR"/>
              </w:rPr>
            </w:pPr>
            <w:r w:rsidRPr="004E74A6">
              <w:rPr>
                <w:rFonts w:cs="Calibri"/>
                <w:color w:val="000000"/>
                <w:sz w:val="20"/>
                <w:lang w:eastAsia="es-CR"/>
              </w:rPr>
              <w:t>1%</w:t>
            </w:r>
          </w:p>
        </w:tc>
      </w:tr>
      <w:tr w:rsidR="00186B25" w:rsidRPr="004E74A6" w14:paraId="39FB8C1A" w14:textId="77777777" w:rsidTr="001D7959">
        <w:trPr>
          <w:trHeight w:val="454"/>
          <w:jc w:val="center"/>
        </w:trPr>
        <w:tc>
          <w:tcPr>
            <w:tcW w:w="3261" w:type="dxa"/>
            <w:tcBorders>
              <w:top w:val="nil"/>
              <w:left w:val="nil"/>
              <w:bottom w:val="nil"/>
              <w:right w:val="single" w:sz="8" w:space="0" w:color="auto"/>
            </w:tcBorders>
            <w:shd w:val="clear" w:color="auto" w:fill="auto"/>
            <w:vAlign w:val="center"/>
            <w:hideMark/>
          </w:tcPr>
          <w:p w14:paraId="01110E61" w14:textId="77777777" w:rsidR="001D7959" w:rsidRPr="004E74A6" w:rsidRDefault="001D7959" w:rsidP="00832773">
            <w:pPr>
              <w:spacing w:line="276" w:lineRule="auto"/>
              <w:rPr>
                <w:rFonts w:cs="Calibri"/>
                <w:color w:val="000000"/>
                <w:sz w:val="20"/>
                <w:lang w:eastAsia="es-CR"/>
              </w:rPr>
            </w:pPr>
            <w:r w:rsidRPr="004E74A6">
              <w:rPr>
                <w:rFonts w:cs="Calibri"/>
                <w:color w:val="000000"/>
                <w:sz w:val="20"/>
                <w:lang w:eastAsia="es-CR"/>
              </w:rPr>
              <w:lastRenderedPageBreak/>
              <w:t>Juzgado Tercer Circuito Judicial de San José</w:t>
            </w:r>
          </w:p>
        </w:tc>
        <w:tc>
          <w:tcPr>
            <w:tcW w:w="1319" w:type="dxa"/>
            <w:tcBorders>
              <w:top w:val="nil"/>
              <w:left w:val="nil"/>
              <w:bottom w:val="nil"/>
              <w:right w:val="single" w:sz="8" w:space="0" w:color="auto"/>
            </w:tcBorders>
            <w:shd w:val="clear" w:color="auto" w:fill="auto"/>
            <w:vAlign w:val="center"/>
            <w:hideMark/>
          </w:tcPr>
          <w:p w14:paraId="066140BC" w14:textId="77777777" w:rsidR="001D7959" w:rsidRPr="004E74A6" w:rsidRDefault="001D7959" w:rsidP="00832773">
            <w:pPr>
              <w:spacing w:line="276" w:lineRule="auto"/>
              <w:jc w:val="center"/>
              <w:rPr>
                <w:rFonts w:cs="Calibri"/>
                <w:color w:val="000000"/>
                <w:sz w:val="20"/>
                <w:lang w:eastAsia="es-CR"/>
              </w:rPr>
            </w:pPr>
            <w:r w:rsidRPr="004E74A6">
              <w:rPr>
                <w:rFonts w:cs="Calibri"/>
                <w:color w:val="000000"/>
                <w:sz w:val="20"/>
                <w:lang w:eastAsia="es-CR"/>
              </w:rPr>
              <w:t>850</w:t>
            </w:r>
          </w:p>
        </w:tc>
        <w:tc>
          <w:tcPr>
            <w:tcW w:w="2176" w:type="dxa"/>
            <w:tcBorders>
              <w:top w:val="nil"/>
              <w:left w:val="nil"/>
              <w:bottom w:val="nil"/>
              <w:right w:val="single" w:sz="8" w:space="0" w:color="auto"/>
            </w:tcBorders>
            <w:shd w:val="clear" w:color="auto" w:fill="auto"/>
            <w:vAlign w:val="center"/>
            <w:hideMark/>
          </w:tcPr>
          <w:p w14:paraId="5BFD2731" w14:textId="77777777" w:rsidR="001D7959" w:rsidRPr="004E74A6" w:rsidRDefault="001D7959" w:rsidP="00832773">
            <w:pPr>
              <w:spacing w:line="276" w:lineRule="auto"/>
              <w:jc w:val="center"/>
              <w:rPr>
                <w:rFonts w:cs="Calibri"/>
                <w:color w:val="000000"/>
                <w:sz w:val="20"/>
                <w:lang w:eastAsia="es-CR"/>
              </w:rPr>
            </w:pPr>
            <w:r w:rsidRPr="004E74A6">
              <w:rPr>
                <w:rFonts w:cs="Calibri"/>
                <w:color w:val="000000"/>
                <w:sz w:val="20"/>
                <w:lang w:eastAsia="es-CR"/>
              </w:rPr>
              <w:t>62%</w:t>
            </w:r>
          </w:p>
        </w:tc>
        <w:tc>
          <w:tcPr>
            <w:tcW w:w="1046" w:type="dxa"/>
            <w:vMerge/>
            <w:tcBorders>
              <w:left w:val="nil"/>
              <w:bottom w:val="nil"/>
              <w:right w:val="single" w:sz="4" w:space="0" w:color="auto"/>
            </w:tcBorders>
            <w:shd w:val="clear" w:color="auto" w:fill="auto"/>
            <w:vAlign w:val="center"/>
            <w:hideMark/>
          </w:tcPr>
          <w:p w14:paraId="19D55F4C" w14:textId="40166ECF" w:rsidR="001D7959" w:rsidRPr="004E74A6" w:rsidRDefault="001D7959" w:rsidP="00832773">
            <w:pPr>
              <w:spacing w:line="276" w:lineRule="auto"/>
              <w:jc w:val="center"/>
              <w:rPr>
                <w:rFonts w:cs="Calibri"/>
                <w:color w:val="000000"/>
                <w:sz w:val="20"/>
                <w:lang w:eastAsia="es-CR"/>
              </w:rPr>
            </w:pPr>
          </w:p>
        </w:tc>
        <w:tc>
          <w:tcPr>
            <w:tcW w:w="1412" w:type="dxa"/>
            <w:tcBorders>
              <w:left w:val="single" w:sz="4" w:space="0" w:color="auto"/>
              <w:bottom w:val="nil"/>
              <w:right w:val="single" w:sz="4" w:space="0" w:color="auto"/>
            </w:tcBorders>
            <w:shd w:val="clear" w:color="auto" w:fill="auto"/>
            <w:vAlign w:val="center"/>
          </w:tcPr>
          <w:p w14:paraId="5D5115E0" w14:textId="3A171EAE" w:rsidR="001D7959" w:rsidRPr="004E74A6" w:rsidRDefault="001D7959" w:rsidP="00832773">
            <w:pPr>
              <w:spacing w:line="276" w:lineRule="auto"/>
              <w:jc w:val="center"/>
              <w:rPr>
                <w:rFonts w:cs="Calibri"/>
                <w:color w:val="000000"/>
                <w:sz w:val="20"/>
                <w:lang w:eastAsia="es-CR"/>
              </w:rPr>
            </w:pPr>
            <w:r w:rsidRPr="00832773">
              <w:rPr>
                <w:rFonts w:cs="Calibri"/>
                <w:color w:val="000000"/>
                <w:sz w:val="20"/>
                <w:lang w:eastAsia="es-CR"/>
              </w:rPr>
              <w:t>856</w:t>
            </w:r>
          </w:p>
        </w:tc>
        <w:tc>
          <w:tcPr>
            <w:tcW w:w="2177" w:type="dxa"/>
            <w:tcBorders>
              <w:top w:val="nil"/>
              <w:left w:val="single" w:sz="4" w:space="0" w:color="auto"/>
              <w:bottom w:val="nil"/>
              <w:right w:val="nil"/>
            </w:tcBorders>
            <w:vAlign w:val="center"/>
            <w:hideMark/>
          </w:tcPr>
          <w:p w14:paraId="29B5AEB1" w14:textId="7220545B" w:rsidR="001D7959" w:rsidRPr="004E74A6" w:rsidRDefault="001D7959" w:rsidP="00832773">
            <w:pPr>
              <w:spacing w:line="276" w:lineRule="auto"/>
              <w:jc w:val="center"/>
              <w:rPr>
                <w:rFonts w:cs="Calibri"/>
                <w:color w:val="000000"/>
                <w:sz w:val="20"/>
                <w:lang w:eastAsia="es-CR"/>
              </w:rPr>
            </w:pPr>
            <w:r w:rsidRPr="004E74A6">
              <w:rPr>
                <w:rFonts w:cs="Calibri"/>
                <w:color w:val="000000"/>
                <w:sz w:val="20"/>
                <w:lang w:eastAsia="es-CR"/>
              </w:rPr>
              <w:t>1%</w:t>
            </w:r>
          </w:p>
        </w:tc>
      </w:tr>
      <w:tr w:rsidR="00C74E15" w:rsidRPr="004E74A6" w14:paraId="41AA5993" w14:textId="77777777" w:rsidTr="00832773">
        <w:trPr>
          <w:trHeight w:val="454"/>
          <w:jc w:val="center"/>
        </w:trPr>
        <w:tc>
          <w:tcPr>
            <w:tcW w:w="3261" w:type="dxa"/>
            <w:tcBorders>
              <w:top w:val="nil"/>
              <w:left w:val="nil"/>
              <w:bottom w:val="nil"/>
              <w:right w:val="single" w:sz="4" w:space="0" w:color="A6A6A6"/>
            </w:tcBorders>
            <w:shd w:val="clear" w:color="000000" w:fill="A6A6A6"/>
            <w:vAlign w:val="center"/>
            <w:hideMark/>
          </w:tcPr>
          <w:p w14:paraId="023A8615" w14:textId="77777777" w:rsidR="00C74E15" w:rsidRPr="004E74A6" w:rsidRDefault="00C74E15" w:rsidP="00832773">
            <w:pPr>
              <w:spacing w:line="276" w:lineRule="auto"/>
              <w:jc w:val="center"/>
              <w:rPr>
                <w:rFonts w:cs="Calibri"/>
                <w:b/>
                <w:bCs/>
                <w:color w:val="000000"/>
                <w:sz w:val="20"/>
                <w:lang w:eastAsia="es-CR"/>
              </w:rPr>
            </w:pPr>
            <w:r w:rsidRPr="004E74A6">
              <w:rPr>
                <w:rFonts w:cs="Calibri"/>
                <w:b/>
                <w:bCs/>
                <w:color w:val="000000"/>
                <w:sz w:val="20"/>
                <w:lang w:eastAsia="es-CR"/>
              </w:rPr>
              <w:t>Alajuela</w:t>
            </w:r>
          </w:p>
        </w:tc>
        <w:tc>
          <w:tcPr>
            <w:tcW w:w="1319" w:type="dxa"/>
            <w:tcBorders>
              <w:top w:val="nil"/>
              <w:left w:val="nil"/>
              <w:bottom w:val="nil"/>
              <w:right w:val="single" w:sz="4" w:space="0" w:color="A6A6A6"/>
            </w:tcBorders>
            <w:shd w:val="clear" w:color="000000" w:fill="A6A6A6"/>
            <w:vAlign w:val="center"/>
            <w:hideMark/>
          </w:tcPr>
          <w:p w14:paraId="1A3695CB" w14:textId="77777777" w:rsidR="00C74E15" w:rsidRPr="004E74A6" w:rsidRDefault="00C74E15" w:rsidP="00832773">
            <w:pPr>
              <w:spacing w:line="276" w:lineRule="auto"/>
              <w:jc w:val="center"/>
              <w:rPr>
                <w:rFonts w:cs="Calibri"/>
                <w:color w:val="000000"/>
                <w:sz w:val="20"/>
                <w:lang w:eastAsia="es-CR"/>
              </w:rPr>
            </w:pPr>
            <w:r w:rsidRPr="004E74A6">
              <w:rPr>
                <w:rFonts w:cs="Calibri"/>
                <w:color w:val="000000"/>
                <w:sz w:val="20"/>
                <w:lang w:eastAsia="es-CR"/>
              </w:rPr>
              <w:t>1050</w:t>
            </w:r>
          </w:p>
        </w:tc>
        <w:tc>
          <w:tcPr>
            <w:tcW w:w="2176" w:type="dxa"/>
            <w:tcBorders>
              <w:top w:val="nil"/>
              <w:left w:val="nil"/>
              <w:bottom w:val="nil"/>
              <w:right w:val="single" w:sz="4" w:space="0" w:color="A6A6A6"/>
            </w:tcBorders>
            <w:shd w:val="clear" w:color="000000" w:fill="A6A6A6"/>
            <w:vAlign w:val="center"/>
            <w:hideMark/>
          </w:tcPr>
          <w:p w14:paraId="3B1D4F23" w14:textId="77777777" w:rsidR="00C74E15" w:rsidRPr="004E74A6" w:rsidRDefault="00C74E15" w:rsidP="00832773">
            <w:pPr>
              <w:spacing w:line="276" w:lineRule="auto"/>
              <w:jc w:val="center"/>
              <w:rPr>
                <w:rFonts w:cs="Calibri"/>
                <w:color w:val="000000"/>
                <w:sz w:val="20"/>
                <w:lang w:eastAsia="es-CR"/>
              </w:rPr>
            </w:pPr>
            <w:r w:rsidRPr="004E74A6">
              <w:rPr>
                <w:rFonts w:cs="Calibri"/>
                <w:color w:val="000000"/>
                <w:sz w:val="20"/>
                <w:lang w:eastAsia="es-CR"/>
              </w:rPr>
              <w:t> </w:t>
            </w:r>
          </w:p>
        </w:tc>
        <w:tc>
          <w:tcPr>
            <w:tcW w:w="1046" w:type="dxa"/>
            <w:tcBorders>
              <w:top w:val="nil"/>
              <w:left w:val="nil"/>
              <w:bottom w:val="nil"/>
              <w:right w:val="single" w:sz="4" w:space="0" w:color="auto"/>
            </w:tcBorders>
            <w:shd w:val="clear" w:color="000000" w:fill="A6A6A6"/>
            <w:vAlign w:val="center"/>
            <w:hideMark/>
          </w:tcPr>
          <w:p w14:paraId="6E71B9A5" w14:textId="77777777" w:rsidR="00C74E15" w:rsidRPr="004E74A6" w:rsidRDefault="00C74E15" w:rsidP="00832773">
            <w:pPr>
              <w:spacing w:line="276" w:lineRule="auto"/>
              <w:jc w:val="center"/>
              <w:rPr>
                <w:rFonts w:cs="Calibri"/>
                <w:color w:val="000000"/>
                <w:sz w:val="20"/>
                <w:lang w:eastAsia="es-CR"/>
              </w:rPr>
            </w:pPr>
            <w:r w:rsidRPr="004E74A6">
              <w:rPr>
                <w:rFonts w:cs="Calibri"/>
                <w:color w:val="000000"/>
                <w:sz w:val="20"/>
                <w:lang w:eastAsia="es-CR"/>
              </w:rPr>
              <w:t> </w:t>
            </w:r>
          </w:p>
        </w:tc>
        <w:tc>
          <w:tcPr>
            <w:tcW w:w="1412" w:type="dxa"/>
            <w:tcBorders>
              <w:top w:val="nil"/>
              <w:left w:val="single" w:sz="4" w:space="0" w:color="auto"/>
              <w:bottom w:val="nil"/>
              <w:right w:val="single" w:sz="4" w:space="0" w:color="auto"/>
            </w:tcBorders>
            <w:shd w:val="clear" w:color="000000" w:fill="A6A6A6"/>
            <w:vAlign w:val="center"/>
          </w:tcPr>
          <w:p w14:paraId="49CA73FE" w14:textId="77777777" w:rsidR="00C74E15" w:rsidRPr="004E74A6" w:rsidRDefault="00C74E15" w:rsidP="00832773">
            <w:pPr>
              <w:spacing w:line="276" w:lineRule="auto"/>
              <w:jc w:val="center"/>
              <w:rPr>
                <w:rFonts w:cs="Calibri"/>
                <w:color w:val="000000"/>
                <w:sz w:val="20"/>
                <w:lang w:eastAsia="es-CR"/>
              </w:rPr>
            </w:pPr>
          </w:p>
        </w:tc>
        <w:tc>
          <w:tcPr>
            <w:tcW w:w="2177" w:type="dxa"/>
            <w:tcBorders>
              <w:top w:val="nil"/>
              <w:left w:val="single" w:sz="4" w:space="0" w:color="auto"/>
              <w:bottom w:val="nil"/>
              <w:right w:val="nil"/>
            </w:tcBorders>
            <w:shd w:val="clear" w:color="000000" w:fill="A6A6A6"/>
            <w:vAlign w:val="center"/>
            <w:hideMark/>
          </w:tcPr>
          <w:p w14:paraId="1BEBD72B" w14:textId="00C612C3" w:rsidR="00C74E15" w:rsidRPr="004E74A6" w:rsidRDefault="00C74E15" w:rsidP="00832773">
            <w:pPr>
              <w:spacing w:line="276" w:lineRule="auto"/>
              <w:jc w:val="center"/>
              <w:rPr>
                <w:rFonts w:cs="Calibri"/>
                <w:color w:val="000000"/>
                <w:sz w:val="20"/>
                <w:lang w:eastAsia="es-CR"/>
              </w:rPr>
            </w:pPr>
            <w:r w:rsidRPr="004E74A6">
              <w:rPr>
                <w:rFonts w:cs="Calibri"/>
                <w:color w:val="000000"/>
                <w:sz w:val="20"/>
                <w:lang w:eastAsia="es-CR"/>
              </w:rPr>
              <w:t> </w:t>
            </w:r>
          </w:p>
        </w:tc>
      </w:tr>
      <w:tr w:rsidR="00C74E15" w:rsidRPr="004E74A6" w14:paraId="1A13E648" w14:textId="77777777" w:rsidTr="00832773">
        <w:trPr>
          <w:trHeight w:val="454"/>
          <w:jc w:val="center"/>
        </w:trPr>
        <w:tc>
          <w:tcPr>
            <w:tcW w:w="3261" w:type="dxa"/>
            <w:tcBorders>
              <w:top w:val="nil"/>
              <w:left w:val="nil"/>
              <w:bottom w:val="nil"/>
              <w:right w:val="single" w:sz="8" w:space="0" w:color="auto"/>
            </w:tcBorders>
            <w:shd w:val="clear" w:color="auto" w:fill="auto"/>
            <w:vAlign w:val="center"/>
            <w:hideMark/>
          </w:tcPr>
          <w:p w14:paraId="3F3B24C9" w14:textId="77777777" w:rsidR="00C74E15" w:rsidRPr="004E74A6" w:rsidRDefault="00C74E15" w:rsidP="00832773">
            <w:pPr>
              <w:spacing w:line="276" w:lineRule="auto"/>
              <w:rPr>
                <w:rFonts w:cs="Calibri"/>
                <w:color w:val="000000"/>
                <w:sz w:val="20"/>
                <w:lang w:eastAsia="es-CR"/>
              </w:rPr>
            </w:pPr>
            <w:r w:rsidRPr="004E74A6">
              <w:rPr>
                <w:rFonts w:cs="Calibri"/>
                <w:color w:val="000000"/>
                <w:sz w:val="20"/>
                <w:lang w:eastAsia="es-CR"/>
              </w:rPr>
              <w:t>Juzgado Civil del Primer Circuito Judicial de Alajuela</w:t>
            </w:r>
          </w:p>
        </w:tc>
        <w:tc>
          <w:tcPr>
            <w:tcW w:w="1319" w:type="dxa"/>
            <w:tcBorders>
              <w:top w:val="nil"/>
              <w:left w:val="nil"/>
              <w:bottom w:val="nil"/>
              <w:right w:val="single" w:sz="8" w:space="0" w:color="auto"/>
            </w:tcBorders>
            <w:shd w:val="clear" w:color="auto" w:fill="auto"/>
            <w:vAlign w:val="center"/>
            <w:hideMark/>
          </w:tcPr>
          <w:p w14:paraId="5AFEF854" w14:textId="77777777" w:rsidR="00C74E15" w:rsidRPr="004E74A6" w:rsidRDefault="00C74E15" w:rsidP="00832773">
            <w:pPr>
              <w:spacing w:line="276" w:lineRule="auto"/>
              <w:jc w:val="center"/>
              <w:rPr>
                <w:rFonts w:cs="Calibri"/>
                <w:color w:val="000000"/>
                <w:sz w:val="20"/>
                <w:lang w:eastAsia="es-CR"/>
              </w:rPr>
            </w:pPr>
            <w:r w:rsidRPr="004E74A6">
              <w:rPr>
                <w:rFonts w:cs="Calibri"/>
                <w:color w:val="000000"/>
                <w:sz w:val="20"/>
                <w:lang w:eastAsia="es-CR"/>
              </w:rPr>
              <w:t>1050</w:t>
            </w:r>
          </w:p>
        </w:tc>
        <w:tc>
          <w:tcPr>
            <w:tcW w:w="2176" w:type="dxa"/>
            <w:tcBorders>
              <w:top w:val="nil"/>
              <w:left w:val="nil"/>
              <w:bottom w:val="nil"/>
              <w:right w:val="single" w:sz="8" w:space="0" w:color="auto"/>
            </w:tcBorders>
            <w:shd w:val="clear" w:color="auto" w:fill="auto"/>
            <w:vAlign w:val="center"/>
            <w:hideMark/>
          </w:tcPr>
          <w:p w14:paraId="02898908" w14:textId="77777777" w:rsidR="00C74E15" w:rsidRPr="004E74A6" w:rsidRDefault="00C74E15" w:rsidP="00832773">
            <w:pPr>
              <w:spacing w:line="276" w:lineRule="auto"/>
              <w:jc w:val="center"/>
              <w:rPr>
                <w:rFonts w:cs="Calibri"/>
                <w:color w:val="000000"/>
                <w:sz w:val="20"/>
                <w:lang w:eastAsia="es-CR"/>
              </w:rPr>
            </w:pPr>
            <w:r w:rsidRPr="004E74A6">
              <w:rPr>
                <w:rFonts w:cs="Calibri"/>
                <w:color w:val="000000"/>
                <w:sz w:val="20"/>
                <w:lang w:eastAsia="es-CR"/>
              </w:rPr>
              <w:t>100%</w:t>
            </w:r>
          </w:p>
        </w:tc>
        <w:tc>
          <w:tcPr>
            <w:tcW w:w="1046" w:type="dxa"/>
            <w:tcBorders>
              <w:top w:val="nil"/>
              <w:left w:val="nil"/>
              <w:bottom w:val="nil"/>
              <w:right w:val="single" w:sz="4" w:space="0" w:color="auto"/>
            </w:tcBorders>
            <w:shd w:val="clear" w:color="auto" w:fill="auto"/>
            <w:vAlign w:val="center"/>
            <w:hideMark/>
          </w:tcPr>
          <w:p w14:paraId="715ABB90" w14:textId="77777777" w:rsidR="00C74E15" w:rsidRPr="004E74A6" w:rsidRDefault="00C74E15" w:rsidP="00832773">
            <w:pPr>
              <w:spacing w:line="276" w:lineRule="auto"/>
              <w:jc w:val="center"/>
              <w:rPr>
                <w:rFonts w:cs="Calibri"/>
                <w:color w:val="000000"/>
                <w:sz w:val="20"/>
                <w:lang w:eastAsia="es-CR"/>
              </w:rPr>
            </w:pPr>
            <w:r w:rsidRPr="004E74A6">
              <w:rPr>
                <w:rFonts w:cs="Calibri"/>
                <w:color w:val="000000"/>
                <w:sz w:val="20"/>
                <w:lang w:eastAsia="es-CR"/>
              </w:rPr>
              <w:t>14,7</w:t>
            </w:r>
          </w:p>
        </w:tc>
        <w:tc>
          <w:tcPr>
            <w:tcW w:w="1412" w:type="dxa"/>
            <w:tcBorders>
              <w:top w:val="nil"/>
              <w:left w:val="single" w:sz="4" w:space="0" w:color="auto"/>
              <w:bottom w:val="nil"/>
              <w:right w:val="single" w:sz="4" w:space="0" w:color="auto"/>
            </w:tcBorders>
            <w:shd w:val="clear" w:color="auto" w:fill="auto"/>
            <w:vAlign w:val="center"/>
          </w:tcPr>
          <w:p w14:paraId="79779287" w14:textId="7C6CDDE3" w:rsidR="00C74E15" w:rsidRPr="004E74A6" w:rsidRDefault="001D7959" w:rsidP="00832773">
            <w:pPr>
              <w:spacing w:line="276" w:lineRule="auto"/>
              <w:jc w:val="center"/>
              <w:rPr>
                <w:rFonts w:cs="Calibri"/>
                <w:color w:val="000000"/>
                <w:sz w:val="20"/>
                <w:lang w:eastAsia="es-CR"/>
              </w:rPr>
            </w:pPr>
            <w:r w:rsidRPr="004E74A6">
              <w:rPr>
                <w:rFonts w:cs="Calibri"/>
                <w:color w:val="000000"/>
                <w:sz w:val="20"/>
                <w:lang w:eastAsia="es-CR"/>
              </w:rPr>
              <w:t>1065</w:t>
            </w:r>
          </w:p>
        </w:tc>
        <w:tc>
          <w:tcPr>
            <w:tcW w:w="2177" w:type="dxa"/>
            <w:tcBorders>
              <w:top w:val="nil"/>
              <w:left w:val="single" w:sz="4" w:space="0" w:color="auto"/>
              <w:bottom w:val="nil"/>
              <w:right w:val="nil"/>
            </w:tcBorders>
            <w:vAlign w:val="center"/>
            <w:hideMark/>
          </w:tcPr>
          <w:p w14:paraId="40DA8457" w14:textId="5FCDE92F" w:rsidR="00C74E15" w:rsidRPr="004E74A6" w:rsidRDefault="00C74E15" w:rsidP="00832773">
            <w:pPr>
              <w:spacing w:line="276" w:lineRule="auto"/>
              <w:jc w:val="center"/>
              <w:rPr>
                <w:rFonts w:cs="Calibri"/>
                <w:color w:val="000000"/>
                <w:sz w:val="20"/>
                <w:lang w:eastAsia="es-CR"/>
              </w:rPr>
            </w:pPr>
            <w:r w:rsidRPr="004E74A6">
              <w:rPr>
                <w:rFonts w:cs="Calibri"/>
                <w:color w:val="000000"/>
                <w:sz w:val="20"/>
                <w:lang w:eastAsia="es-CR"/>
              </w:rPr>
              <w:t>1%</w:t>
            </w:r>
          </w:p>
        </w:tc>
      </w:tr>
      <w:tr w:rsidR="00C74E15" w:rsidRPr="004E74A6" w14:paraId="4F1650F6" w14:textId="77777777" w:rsidTr="00832773">
        <w:trPr>
          <w:trHeight w:val="454"/>
          <w:jc w:val="center"/>
        </w:trPr>
        <w:tc>
          <w:tcPr>
            <w:tcW w:w="3261" w:type="dxa"/>
            <w:tcBorders>
              <w:top w:val="nil"/>
              <w:left w:val="nil"/>
              <w:bottom w:val="nil"/>
              <w:right w:val="single" w:sz="4" w:space="0" w:color="A6A6A6"/>
            </w:tcBorders>
            <w:shd w:val="clear" w:color="000000" w:fill="A6A6A6"/>
            <w:vAlign w:val="center"/>
            <w:hideMark/>
          </w:tcPr>
          <w:p w14:paraId="0876287C" w14:textId="77777777" w:rsidR="00C74E15" w:rsidRPr="004E74A6" w:rsidRDefault="00C74E15" w:rsidP="00832773">
            <w:pPr>
              <w:spacing w:line="276" w:lineRule="auto"/>
              <w:jc w:val="center"/>
              <w:rPr>
                <w:rFonts w:cs="Calibri"/>
                <w:b/>
                <w:bCs/>
                <w:color w:val="000000"/>
                <w:sz w:val="20"/>
                <w:lang w:eastAsia="es-CR"/>
              </w:rPr>
            </w:pPr>
            <w:r w:rsidRPr="004E74A6">
              <w:rPr>
                <w:rFonts w:cs="Calibri"/>
                <w:b/>
                <w:bCs/>
                <w:color w:val="000000"/>
                <w:sz w:val="20"/>
                <w:lang w:eastAsia="es-CR"/>
              </w:rPr>
              <w:t>Alajuela, San Ramón</w:t>
            </w:r>
          </w:p>
        </w:tc>
        <w:tc>
          <w:tcPr>
            <w:tcW w:w="1319" w:type="dxa"/>
            <w:tcBorders>
              <w:top w:val="nil"/>
              <w:left w:val="nil"/>
              <w:bottom w:val="nil"/>
              <w:right w:val="single" w:sz="4" w:space="0" w:color="A6A6A6"/>
            </w:tcBorders>
            <w:shd w:val="clear" w:color="000000" w:fill="A6A6A6"/>
            <w:vAlign w:val="center"/>
            <w:hideMark/>
          </w:tcPr>
          <w:p w14:paraId="37FBC5BC" w14:textId="77777777" w:rsidR="00C74E15" w:rsidRPr="004E74A6" w:rsidRDefault="00C74E15" w:rsidP="00832773">
            <w:pPr>
              <w:spacing w:line="276" w:lineRule="auto"/>
              <w:jc w:val="center"/>
              <w:rPr>
                <w:rFonts w:cs="Calibri"/>
                <w:color w:val="000000"/>
                <w:sz w:val="20"/>
                <w:lang w:eastAsia="es-CR"/>
              </w:rPr>
            </w:pPr>
            <w:r w:rsidRPr="004E74A6">
              <w:rPr>
                <w:rFonts w:cs="Calibri"/>
                <w:color w:val="000000"/>
                <w:sz w:val="20"/>
                <w:lang w:eastAsia="es-CR"/>
              </w:rPr>
              <w:t>1328</w:t>
            </w:r>
          </w:p>
        </w:tc>
        <w:tc>
          <w:tcPr>
            <w:tcW w:w="2176" w:type="dxa"/>
            <w:tcBorders>
              <w:top w:val="nil"/>
              <w:left w:val="nil"/>
              <w:bottom w:val="nil"/>
              <w:right w:val="single" w:sz="4" w:space="0" w:color="A6A6A6"/>
            </w:tcBorders>
            <w:shd w:val="clear" w:color="000000" w:fill="A6A6A6"/>
            <w:vAlign w:val="center"/>
            <w:hideMark/>
          </w:tcPr>
          <w:p w14:paraId="50DD88F9" w14:textId="77777777" w:rsidR="00C74E15" w:rsidRPr="004E74A6" w:rsidRDefault="00C74E15" w:rsidP="00832773">
            <w:pPr>
              <w:spacing w:line="276" w:lineRule="auto"/>
              <w:jc w:val="center"/>
              <w:rPr>
                <w:rFonts w:cs="Calibri"/>
                <w:color w:val="000000"/>
                <w:sz w:val="20"/>
                <w:lang w:eastAsia="es-CR"/>
              </w:rPr>
            </w:pPr>
            <w:r w:rsidRPr="004E74A6">
              <w:rPr>
                <w:rFonts w:cs="Calibri"/>
                <w:color w:val="000000"/>
                <w:sz w:val="20"/>
                <w:lang w:eastAsia="es-CR"/>
              </w:rPr>
              <w:t> </w:t>
            </w:r>
          </w:p>
        </w:tc>
        <w:tc>
          <w:tcPr>
            <w:tcW w:w="1046" w:type="dxa"/>
            <w:tcBorders>
              <w:top w:val="nil"/>
              <w:left w:val="nil"/>
              <w:bottom w:val="nil"/>
              <w:right w:val="single" w:sz="4" w:space="0" w:color="auto"/>
            </w:tcBorders>
            <w:shd w:val="clear" w:color="000000" w:fill="A6A6A6"/>
            <w:vAlign w:val="center"/>
            <w:hideMark/>
          </w:tcPr>
          <w:p w14:paraId="5DDCA3D4" w14:textId="77777777" w:rsidR="00C74E15" w:rsidRPr="004E74A6" w:rsidRDefault="00C74E15" w:rsidP="00832773">
            <w:pPr>
              <w:spacing w:line="276" w:lineRule="auto"/>
              <w:jc w:val="center"/>
              <w:rPr>
                <w:rFonts w:cs="Calibri"/>
                <w:color w:val="000000"/>
                <w:sz w:val="20"/>
                <w:lang w:eastAsia="es-CR"/>
              </w:rPr>
            </w:pPr>
            <w:r w:rsidRPr="004E74A6">
              <w:rPr>
                <w:rFonts w:cs="Calibri"/>
                <w:color w:val="000000"/>
                <w:sz w:val="20"/>
                <w:lang w:eastAsia="es-CR"/>
              </w:rPr>
              <w:t> </w:t>
            </w:r>
          </w:p>
        </w:tc>
        <w:tc>
          <w:tcPr>
            <w:tcW w:w="1412" w:type="dxa"/>
            <w:tcBorders>
              <w:top w:val="nil"/>
              <w:left w:val="single" w:sz="4" w:space="0" w:color="auto"/>
              <w:bottom w:val="nil"/>
              <w:right w:val="single" w:sz="4" w:space="0" w:color="auto"/>
            </w:tcBorders>
            <w:shd w:val="clear" w:color="000000" w:fill="A6A6A6"/>
            <w:vAlign w:val="center"/>
          </w:tcPr>
          <w:p w14:paraId="6E331601" w14:textId="77777777" w:rsidR="00C74E15" w:rsidRPr="004E74A6" w:rsidRDefault="00C74E15" w:rsidP="00832773">
            <w:pPr>
              <w:spacing w:line="276" w:lineRule="auto"/>
              <w:jc w:val="center"/>
              <w:rPr>
                <w:rFonts w:cs="Calibri"/>
                <w:color w:val="000000"/>
                <w:sz w:val="20"/>
                <w:lang w:eastAsia="es-CR"/>
              </w:rPr>
            </w:pPr>
          </w:p>
        </w:tc>
        <w:tc>
          <w:tcPr>
            <w:tcW w:w="2177" w:type="dxa"/>
            <w:tcBorders>
              <w:top w:val="nil"/>
              <w:left w:val="single" w:sz="4" w:space="0" w:color="auto"/>
              <w:bottom w:val="nil"/>
              <w:right w:val="nil"/>
            </w:tcBorders>
            <w:shd w:val="clear" w:color="000000" w:fill="A6A6A6"/>
            <w:vAlign w:val="center"/>
            <w:hideMark/>
          </w:tcPr>
          <w:p w14:paraId="7485E104" w14:textId="386AA46F" w:rsidR="00C74E15" w:rsidRPr="004E74A6" w:rsidRDefault="00C74E15" w:rsidP="00832773">
            <w:pPr>
              <w:spacing w:line="276" w:lineRule="auto"/>
              <w:jc w:val="center"/>
              <w:rPr>
                <w:rFonts w:cs="Calibri"/>
                <w:color w:val="000000"/>
                <w:sz w:val="20"/>
                <w:lang w:eastAsia="es-CR"/>
              </w:rPr>
            </w:pPr>
            <w:r w:rsidRPr="004E74A6">
              <w:rPr>
                <w:rFonts w:cs="Calibri"/>
                <w:color w:val="000000"/>
                <w:sz w:val="20"/>
                <w:lang w:eastAsia="es-CR"/>
              </w:rPr>
              <w:t> </w:t>
            </w:r>
          </w:p>
        </w:tc>
      </w:tr>
      <w:tr w:rsidR="00186B25" w:rsidRPr="004E74A6" w14:paraId="027474D8" w14:textId="77777777" w:rsidTr="001D7959">
        <w:trPr>
          <w:trHeight w:val="454"/>
          <w:jc w:val="center"/>
        </w:trPr>
        <w:tc>
          <w:tcPr>
            <w:tcW w:w="3261" w:type="dxa"/>
            <w:tcBorders>
              <w:top w:val="nil"/>
              <w:left w:val="nil"/>
              <w:bottom w:val="nil"/>
              <w:right w:val="single" w:sz="8" w:space="0" w:color="auto"/>
            </w:tcBorders>
            <w:shd w:val="clear" w:color="auto" w:fill="auto"/>
            <w:vAlign w:val="center"/>
            <w:hideMark/>
          </w:tcPr>
          <w:p w14:paraId="262CC69C" w14:textId="77777777" w:rsidR="00C74E15" w:rsidRPr="004E74A6" w:rsidRDefault="00C74E15" w:rsidP="00832773">
            <w:pPr>
              <w:spacing w:line="276" w:lineRule="auto"/>
              <w:rPr>
                <w:rFonts w:cs="Calibri"/>
                <w:color w:val="000000"/>
                <w:sz w:val="20"/>
                <w:lang w:eastAsia="es-CR"/>
              </w:rPr>
            </w:pPr>
            <w:r w:rsidRPr="004E74A6">
              <w:rPr>
                <w:rFonts w:cs="Calibri"/>
                <w:color w:val="000000"/>
                <w:sz w:val="20"/>
                <w:lang w:eastAsia="es-CR"/>
              </w:rPr>
              <w:t>Juzgado Civil del Segundo Circuito Judicial de Alajuela</w:t>
            </w:r>
          </w:p>
        </w:tc>
        <w:tc>
          <w:tcPr>
            <w:tcW w:w="1319" w:type="dxa"/>
            <w:tcBorders>
              <w:top w:val="nil"/>
              <w:left w:val="nil"/>
              <w:bottom w:val="nil"/>
              <w:right w:val="single" w:sz="8" w:space="0" w:color="auto"/>
            </w:tcBorders>
            <w:shd w:val="clear" w:color="auto" w:fill="auto"/>
            <w:vAlign w:val="center"/>
            <w:hideMark/>
          </w:tcPr>
          <w:p w14:paraId="1ECC0EF6" w14:textId="77777777" w:rsidR="00C74E15" w:rsidRPr="004E74A6" w:rsidRDefault="00C74E15" w:rsidP="00832773">
            <w:pPr>
              <w:spacing w:line="276" w:lineRule="auto"/>
              <w:jc w:val="center"/>
              <w:rPr>
                <w:rFonts w:cs="Calibri"/>
                <w:color w:val="000000"/>
                <w:sz w:val="20"/>
                <w:lang w:eastAsia="es-CR"/>
              </w:rPr>
            </w:pPr>
            <w:r w:rsidRPr="004E74A6">
              <w:rPr>
                <w:rFonts w:cs="Calibri"/>
                <w:color w:val="000000"/>
                <w:sz w:val="20"/>
                <w:lang w:eastAsia="es-CR"/>
              </w:rPr>
              <w:t>522</w:t>
            </w:r>
          </w:p>
        </w:tc>
        <w:tc>
          <w:tcPr>
            <w:tcW w:w="2176" w:type="dxa"/>
            <w:tcBorders>
              <w:top w:val="nil"/>
              <w:left w:val="nil"/>
              <w:bottom w:val="nil"/>
              <w:right w:val="single" w:sz="8" w:space="0" w:color="auto"/>
            </w:tcBorders>
            <w:shd w:val="clear" w:color="auto" w:fill="auto"/>
            <w:vAlign w:val="center"/>
            <w:hideMark/>
          </w:tcPr>
          <w:p w14:paraId="1566C75D" w14:textId="77777777" w:rsidR="00C74E15" w:rsidRPr="004E74A6" w:rsidRDefault="00C74E15" w:rsidP="00832773">
            <w:pPr>
              <w:spacing w:line="276" w:lineRule="auto"/>
              <w:jc w:val="center"/>
              <w:rPr>
                <w:rFonts w:cs="Calibri"/>
                <w:color w:val="000000"/>
                <w:sz w:val="20"/>
                <w:lang w:eastAsia="es-CR"/>
              </w:rPr>
            </w:pPr>
            <w:r w:rsidRPr="004E74A6">
              <w:rPr>
                <w:rFonts w:cs="Calibri"/>
                <w:color w:val="000000"/>
                <w:sz w:val="20"/>
                <w:lang w:eastAsia="es-CR"/>
              </w:rPr>
              <w:t>39%</w:t>
            </w:r>
          </w:p>
        </w:tc>
        <w:tc>
          <w:tcPr>
            <w:tcW w:w="1046" w:type="dxa"/>
            <w:vMerge w:val="restart"/>
            <w:tcBorders>
              <w:top w:val="nil"/>
              <w:left w:val="nil"/>
              <w:right w:val="single" w:sz="4" w:space="0" w:color="auto"/>
            </w:tcBorders>
            <w:shd w:val="clear" w:color="auto" w:fill="auto"/>
            <w:vAlign w:val="center"/>
            <w:hideMark/>
          </w:tcPr>
          <w:p w14:paraId="22FB0604" w14:textId="68F0C2E4" w:rsidR="00C74E15" w:rsidRPr="004E74A6" w:rsidRDefault="00C74E15" w:rsidP="00832773">
            <w:pPr>
              <w:spacing w:line="276" w:lineRule="auto"/>
              <w:jc w:val="center"/>
              <w:rPr>
                <w:rFonts w:cs="Calibri"/>
                <w:color w:val="000000"/>
                <w:sz w:val="20"/>
                <w:lang w:eastAsia="es-CR"/>
              </w:rPr>
            </w:pPr>
            <w:r w:rsidRPr="004E74A6">
              <w:rPr>
                <w:rFonts w:cs="Calibri"/>
                <w:color w:val="000000"/>
                <w:sz w:val="20"/>
                <w:lang w:eastAsia="es-CR"/>
              </w:rPr>
              <w:t>21,3</w:t>
            </w:r>
          </w:p>
        </w:tc>
        <w:tc>
          <w:tcPr>
            <w:tcW w:w="1412" w:type="dxa"/>
            <w:tcBorders>
              <w:top w:val="nil"/>
              <w:left w:val="single" w:sz="4" w:space="0" w:color="auto"/>
              <w:right w:val="single" w:sz="4" w:space="0" w:color="auto"/>
            </w:tcBorders>
            <w:vAlign w:val="center"/>
          </w:tcPr>
          <w:p w14:paraId="32C705C5" w14:textId="16830B9A" w:rsidR="00C74E15" w:rsidRPr="004E74A6" w:rsidRDefault="001D7959" w:rsidP="00832773">
            <w:pPr>
              <w:spacing w:line="276" w:lineRule="auto"/>
              <w:jc w:val="center"/>
              <w:rPr>
                <w:rFonts w:cs="Calibri"/>
                <w:color w:val="000000"/>
                <w:sz w:val="20"/>
                <w:lang w:eastAsia="es-CR"/>
              </w:rPr>
            </w:pPr>
            <w:r w:rsidRPr="004E74A6">
              <w:rPr>
                <w:rFonts w:cs="Calibri"/>
                <w:color w:val="000000"/>
                <w:sz w:val="20"/>
                <w:lang w:eastAsia="es-CR"/>
              </w:rPr>
              <w:t>530</w:t>
            </w:r>
          </w:p>
        </w:tc>
        <w:tc>
          <w:tcPr>
            <w:tcW w:w="2177" w:type="dxa"/>
            <w:tcBorders>
              <w:top w:val="nil"/>
              <w:left w:val="single" w:sz="4" w:space="0" w:color="auto"/>
              <w:bottom w:val="nil"/>
              <w:right w:val="nil"/>
            </w:tcBorders>
            <w:shd w:val="clear" w:color="auto" w:fill="auto"/>
            <w:vAlign w:val="center"/>
            <w:hideMark/>
          </w:tcPr>
          <w:p w14:paraId="13228905" w14:textId="2DABCC3D" w:rsidR="00C74E15" w:rsidRPr="004E74A6" w:rsidRDefault="00C74E15" w:rsidP="00832773">
            <w:pPr>
              <w:spacing w:line="276" w:lineRule="auto"/>
              <w:jc w:val="center"/>
              <w:rPr>
                <w:rFonts w:cs="Calibri"/>
                <w:color w:val="000000"/>
                <w:sz w:val="20"/>
                <w:lang w:eastAsia="es-CR"/>
              </w:rPr>
            </w:pPr>
            <w:r w:rsidRPr="004E74A6">
              <w:rPr>
                <w:rFonts w:cs="Calibri"/>
                <w:color w:val="000000"/>
                <w:sz w:val="20"/>
                <w:lang w:eastAsia="es-CR"/>
              </w:rPr>
              <w:t>2%</w:t>
            </w:r>
          </w:p>
        </w:tc>
      </w:tr>
      <w:tr w:rsidR="00992BAD" w:rsidRPr="004E74A6" w14:paraId="4436B279" w14:textId="77777777" w:rsidTr="00832773">
        <w:trPr>
          <w:trHeight w:val="454"/>
          <w:jc w:val="center"/>
        </w:trPr>
        <w:tc>
          <w:tcPr>
            <w:tcW w:w="3261" w:type="dxa"/>
            <w:tcBorders>
              <w:top w:val="nil"/>
              <w:left w:val="nil"/>
              <w:bottom w:val="nil"/>
              <w:right w:val="single" w:sz="8" w:space="0" w:color="auto"/>
            </w:tcBorders>
            <w:shd w:val="clear" w:color="auto" w:fill="F2F2F2" w:themeFill="background1" w:themeFillShade="F2"/>
            <w:vAlign w:val="center"/>
            <w:hideMark/>
          </w:tcPr>
          <w:p w14:paraId="29F08B30" w14:textId="77777777" w:rsidR="00C74E15" w:rsidRPr="004E74A6" w:rsidRDefault="00C74E15" w:rsidP="00832773">
            <w:pPr>
              <w:spacing w:line="276" w:lineRule="auto"/>
              <w:rPr>
                <w:rFonts w:cs="Calibri"/>
                <w:color w:val="000000"/>
                <w:sz w:val="20"/>
                <w:lang w:eastAsia="es-CR"/>
              </w:rPr>
            </w:pPr>
            <w:r w:rsidRPr="004E74A6">
              <w:rPr>
                <w:rFonts w:cs="Calibri"/>
                <w:color w:val="000000"/>
                <w:sz w:val="20"/>
                <w:lang w:eastAsia="es-CR"/>
              </w:rPr>
              <w:t>Juzgado Civil y Trabajo de San Ramón</w:t>
            </w:r>
          </w:p>
        </w:tc>
        <w:tc>
          <w:tcPr>
            <w:tcW w:w="1319" w:type="dxa"/>
            <w:tcBorders>
              <w:top w:val="nil"/>
              <w:left w:val="nil"/>
              <w:bottom w:val="nil"/>
              <w:right w:val="single" w:sz="8" w:space="0" w:color="auto"/>
            </w:tcBorders>
            <w:shd w:val="clear" w:color="auto" w:fill="F2F2F2" w:themeFill="background1" w:themeFillShade="F2"/>
            <w:vAlign w:val="center"/>
            <w:hideMark/>
          </w:tcPr>
          <w:p w14:paraId="0C18785F" w14:textId="77777777" w:rsidR="00C74E15" w:rsidRPr="004E74A6" w:rsidRDefault="00C74E15" w:rsidP="00832773">
            <w:pPr>
              <w:spacing w:line="276" w:lineRule="auto"/>
              <w:jc w:val="center"/>
              <w:rPr>
                <w:rFonts w:cs="Calibri"/>
                <w:color w:val="000000"/>
                <w:sz w:val="20"/>
                <w:lang w:eastAsia="es-CR"/>
              </w:rPr>
            </w:pPr>
            <w:r w:rsidRPr="004E74A6">
              <w:rPr>
                <w:rFonts w:cs="Calibri"/>
                <w:color w:val="000000"/>
                <w:sz w:val="20"/>
                <w:lang w:eastAsia="es-CR"/>
              </w:rPr>
              <w:t>409</w:t>
            </w:r>
          </w:p>
        </w:tc>
        <w:tc>
          <w:tcPr>
            <w:tcW w:w="2176" w:type="dxa"/>
            <w:tcBorders>
              <w:top w:val="nil"/>
              <w:left w:val="nil"/>
              <w:bottom w:val="nil"/>
              <w:right w:val="single" w:sz="8" w:space="0" w:color="auto"/>
            </w:tcBorders>
            <w:shd w:val="clear" w:color="auto" w:fill="F2F2F2" w:themeFill="background1" w:themeFillShade="F2"/>
            <w:vAlign w:val="center"/>
            <w:hideMark/>
          </w:tcPr>
          <w:p w14:paraId="21CE9660" w14:textId="77777777" w:rsidR="00C74E15" w:rsidRPr="004E74A6" w:rsidRDefault="00C74E15" w:rsidP="00832773">
            <w:pPr>
              <w:spacing w:line="276" w:lineRule="auto"/>
              <w:jc w:val="center"/>
              <w:rPr>
                <w:rFonts w:cs="Calibri"/>
                <w:color w:val="000000"/>
                <w:sz w:val="20"/>
                <w:lang w:eastAsia="es-CR"/>
              </w:rPr>
            </w:pPr>
            <w:r w:rsidRPr="004E74A6">
              <w:rPr>
                <w:rFonts w:cs="Calibri"/>
                <w:color w:val="000000"/>
                <w:sz w:val="20"/>
                <w:lang w:eastAsia="es-CR"/>
              </w:rPr>
              <w:t>31%</w:t>
            </w:r>
          </w:p>
        </w:tc>
        <w:tc>
          <w:tcPr>
            <w:tcW w:w="1046" w:type="dxa"/>
            <w:vMerge/>
            <w:tcBorders>
              <w:left w:val="nil"/>
              <w:right w:val="single" w:sz="4" w:space="0" w:color="auto"/>
            </w:tcBorders>
            <w:shd w:val="clear" w:color="auto" w:fill="F2F2F2" w:themeFill="background1" w:themeFillShade="F2"/>
            <w:vAlign w:val="center"/>
            <w:hideMark/>
          </w:tcPr>
          <w:p w14:paraId="0D6BADC1" w14:textId="58FA29AB" w:rsidR="00C74E15" w:rsidRPr="004E74A6" w:rsidRDefault="00C74E15" w:rsidP="00832773">
            <w:pPr>
              <w:spacing w:line="276" w:lineRule="auto"/>
              <w:jc w:val="center"/>
              <w:rPr>
                <w:rFonts w:cs="Calibri"/>
                <w:color w:val="000000"/>
                <w:sz w:val="20"/>
                <w:lang w:eastAsia="es-CR"/>
              </w:rPr>
            </w:pPr>
          </w:p>
        </w:tc>
        <w:tc>
          <w:tcPr>
            <w:tcW w:w="1412" w:type="dxa"/>
            <w:tcBorders>
              <w:left w:val="single" w:sz="4" w:space="0" w:color="auto"/>
              <w:right w:val="single" w:sz="4" w:space="0" w:color="auto"/>
            </w:tcBorders>
            <w:shd w:val="clear" w:color="auto" w:fill="F2F2F2" w:themeFill="background1" w:themeFillShade="F2"/>
            <w:vAlign w:val="center"/>
          </w:tcPr>
          <w:p w14:paraId="72B36311" w14:textId="49A9CAE2" w:rsidR="00C74E15" w:rsidRPr="004E74A6" w:rsidRDefault="001D7959" w:rsidP="00832773">
            <w:pPr>
              <w:spacing w:line="276" w:lineRule="auto"/>
              <w:jc w:val="center"/>
              <w:rPr>
                <w:rFonts w:cs="Calibri"/>
                <w:color w:val="000000"/>
                <w:sz w:val="20"/>
                <w:lang w:eastAsia="es-CR"/>
              </w:rPr>
            </w:pPr>
            <w:r w:rsidRPr="004E74A6">
              <w:rPr>
                <w:rFonts w:cs="Calibri"/>
                <w:color w:val="000000"/>
                <w:sz w:val="20"/>
                <w:lang w:eastAsia="es-CR"/>
              </w:rPr>
              <w:t>426</w:t>
            </w:r>
          </w:p>
        </w:tc>
        <w:tc>
          <w:tcPr>
            <w:tcW w:w="2177" w:type="dxa"/>
            <w:tcBorders>
              <w:top w:val="nil"/>
              <w:left w:val="single" w:sz="4" w:space="0" w:color="auto"/>
              <w:bottom w:val="nil"/>
              <w:right w:val="nil"/>
            </w:tcBorders>
            <w:shd w:val="clear" w:color="auto" w:fill="F2F2F2" w:themeFill="background1" w:themeFillShade="F2"/>
            <w:vAlign w:val="center"/>
            <w:hideMark/>
          </w:tcPr>
          <w:p w14:paraId="76F58686" w14:textId="53E426DA" w:rsidR="00C74E15" w:rsidRPr="004E74A6" w:rsidRDefault="00C74E15" w:rsidP="00832773">
            <w:pPr>
              <w:spacing w:line="276" w:lineRule="auto"/>
              <w:jc w:val="center"/>
              <w:rPr>
                <w:rFonts w:cs="Calibri"/>
                <w:color w:val="000000"/>
                <w:sz w:val="20"/>
                <w:lang w:eastAsia="es-CR"/>
              </w:rPr>
            </w:pPr>
            <w:r w:rsidRPr="004E74A6">
              <w:rPr>
                <w:rFonts w:cs="Calibri"/>
                <w:color w:val="000000"/>
                <w:sz w:val="20"/>
                <w:lang w:eastAsia="es-CR"/>
              </w:rPr>
              <w:t>2%</w:t>
            </w:r>
          </w:p>
        </w:tc>
      </w:tr>
      <w:tr w:rsidR="00186B25" w:rsidRPr="004E74A6" w14:paraId="78BB2555" w14:textId="77777777" w:rsidTr="001D7959">
        <w:trPr>
          <w:trHeight w:val="454"/>
          <w:jc w:val="center"/>
        </w:trPr>
        <w:tc>
          <w:tcPr>
            <w:tcW w:w="3261" w:type="dxa"/>
            <w:tcBorders>
              <w:top w:val="nil"/>
              <w:left w:val="nil"/>
              <w:bottom w:val="nil"/>
              <w:right w:val="single" w:sz="8" w:space="0" w:color="auto"/>
            </w:tcBorders>
            <w:shd w:val="clear" w:color="auto" w:fill="auto"/>
            <w:vAlign w:val="center"/>
            <w:hideMark/>
          </w:tcPr>
          <w:p w14:paraId="0169A61A" w14:textId="77777777" w:rsidR="00C74E15" w:rsidRPr="004E74A6" w:rsidRDefault="00C74E15" w:rsidP="00832773">
            <w:pPr>
              <w:spacing w:line="276" w:lineRule="auto"/>
              <w:rPr>
                <w:rFonts w:cs="Calibri"/>
                <w:color w:val="000000"/>
                <w:sz w:val="20"/>
                <w:lang w:eastAsia="es-CR"/>
              </w:rPr>
            </w:pPr>
            <w:r w:rsidRPr="004E74A6">
              <w:rPr>
                <w:rFonts w:cs="Calibri"/>
                <w:color w:val="000000"/>
                <w:sz w:val="20"/>
                <w:lang w:eastAsia="es-CR"/>
              </w:rPr>
              <w:t>Juzgado Civil y Trabajo de Grecia</w:t>
            </w:r>
          </w:p>
        </w:tc>
        <w:tc>
          <w:tcPr>
            <w:tcW w:w="1319" w:type="dxa"/>
            <w:tcBorders>
              <w:top w:val="nil"/>
              <w:left w:val="nil"/>
              <w:bottom w:val="nil"/>
              <w:right w:val="single" w:sz="8" w:space="0" w:color="auto"/>
            </w:tcBorders>
            <w:shd w:val="clear" w:color="auto" w:fill="auto"/>
            <w:vAlign w:val="center"/>
            <w:hideMark/>
          </w:tcPr>
          <w:p w14:paraId="4D15D443" w14:textId="77777777" w:rsidR="00C74E15" w:rsidRPr="004E74A6" w:rsidRDefault="00C74E15" w:rsidP="00832773">
            <w:pPr>
              <w:spacing w:line="276" w:lineRule="auto"/>
              <w:jc w:val="center"/>
              <w:rPr>
                <w:rFonts w:cs="Calibri"/>
                <w:color w:val="000000"/>
                <w:sz w:val="20"/>
                <w:lang w:eastAsia="es-CR"/>
              </w:rPr>
            </w:pPr>
            <w:r w:rsidRPr="004E74A6">
              <w:rPr>
                <w:rFonts w:cs="Calibri"/>
                <w:color w:val="000000"/>
                <w:sz w:val="20"/>
                <w:lang w:eastAsia="es-CR"/>
              </w:rPr>
              <w:t>397</w:t>
            </w:r>
          </w:p>
        </w:tc>
        <w:tc>
          <w:tcPr>
            <w:tcW w:w="2176" w:type="dxa"/>
            <w:tcBorders>
              <w:top w:val="nil"/>
              <w:left w:val="nil"/>
              <w:bottom w:val="nil"/>
              <w:right w:val="single" w:sz="8" w:space="0" w:color="auto"/>
            </w:tcBorders>
            <w:shd w:val="clear" w:color="auto" w:fill="auto"/>
            <w:vAlign w:val="center"/>
            <w:hideMark/>
          </w:tcPr>
          <w:p w14:paraId="597CFD9C" w14:textId="77777777" w:rsidR="00C74E15" w:rsidRPr="004E74A6" w:rsidRDefault="00C74E15" w:rsidP="00832773">
            <w:pPr>
              <w:spacing w:line="276" w:lineRule="auto"/>
              <w:jc w:val="center"/>
              <w:rPr>
                <w:rFonts w:cs="Calibri"/>
                <w:color w:val="000000"/>
                <w:sz w:val="20"/>
                <w:lang w:eastAsia="es-CR"/>
              </w:rPr>
            </w:pPr>
            <w:r w:rsidRPr="004E74A6">
              <w:rPr>
                <w:rFonts w:cs="Calibri"/>
                <w:color w:val="000000"/>
                <w:sz w:val="20"/>
                <w:lang w:eastAsia="es-CR"/>
              </w:rPr>
              <w:t>30%</w:t>
            </w:r>
          </w:p>
        </w:tc>
        <w:tc>
          <w:tcPr>
            <w:tcW w:w="1046" w:type="dxa"/>
            <w:vMerge/>
            <w:tcBorders>
              <w:left w:val="nil"/>
              <w:bottom w:val="nil"/>
              <w:right w:val="single" w:sz="4" w:space="0" w:color="auto"/>
            </w:tcBorders>
            <w:shd w:val="clear" w:color="auto" w:fill="auto"/>
            <w:vAlign w:val="center"/>
            <w:hideMark/>
          </w:tcPr>
          <w:p w14:paraId="2B1A24DC" w14:textId="1046365F" w:rsidR="00C74E15" w:rsidRPr="004E74A6" w:rsidRDefault="00C74E15" w:rsidP="00832773">
            <w:pPr>
              <w:spacing w:line="276" w:lineRule="auto"/>
              <w:jc w:val="center"/>
              <w:rPr>
                <w:rFonts w:cs="Calibri"/>
                <w:color w:val="000000"/>
                <w:sz w:val="20"/>
                <w:lang w:eastAsia="es-CR"/>
              </w:rPr>
            </w:pPr>
          </w:p>
        </w:tc>
        <w:tc>
          <w:tcPr>
            <w:tcW w:w="1412" w:type="dxa"/>
            <w:tcBorders>
              <w:left w:val="single" w:sz="4" w:space="0" w:color="auto"/>
              <w:bottom w:val="nil"/>
              <w:right w:val="single" w:sz="4" w:space="0" w:color="auto"/>
            </w:tcBorders>
            <w:vAlign w:val="center"/>
          </w:tcPr>
          <w:p w14:paraId="3337C103" w14:textId="13BD1A2C" w:rsidR="00C74E15" w:rsidRPr="004E74A6" w:rsidRDefault="001D7959" w:rsidP="00832773">
            <w:pPr>
              <w:spacing w:line="276" w:lineRule="auto"/>
              <w:jc w:val="center"/>
              <w:rPr>
                <w:rFonts w:cs="Calibri"/>
                <w:color w:val="000000"/>
                <w:sz w:val="20"/>
                <w:lang w:eastAsia="es-CR"/>
              </w:rPr>
            </w:pPr>
            <w:r w:rsidRPr="004E74A6">
              <w:rPr>
                <w:rFonts w:cs="Calibri"/>
                <w:color w:val="000000"/>
                <w:sz w:val="20"/>
                <w:lang w:eastAsia="es-CR"/>
              </w:rPr>
              <w:t>403</w:t>
            </w:r>
          </w:p>
        </w:tc>
        <w:tc>
          <w:tcPr>
            <w:tcW w:w="2177" w:type="dxa"/>
            <w:tcBorders>
              <w:top w:val="nil"/>
              <w:left w:val="single" w:sz="4" w:space="0" w:color="auto"/>
              <w:bottom w:val="nil"/>
              <w:right w:val="nil"/>
            </w:tcBorders>
            <w:shd w:val="clear" w:color="auto" w:fill="auto"/>
            <w:vAlign w:val="center"/>
            <w:hideMark/>
          </w:tcPr>
          <w:p w14:paraId="2504E7F0" w14:textId="4AC2EE2B" w:rsidR="00C74E15" w:rsidRPr="004E74A6" w:rsidRDefault="00C74E15" w:rsidP="00832773">
            <w:pPr>
              <w:spacing w:line="276" w:lineRule="auto"/>
              <w:jc w:val="center"/>
              <w:rPr>
                <w:rFonts w:cs="Calibri"/>
                <w:color w:val="000000"/>
                <w:sz w:val="20"/>
                <w:lang w:eastAsia="es-CR"/>
              </w:rPr>
            </w:pPr>
            <w:r w:rsidRPr="004E74A6">
              <w:rPr>
                <w:rFonts w:cs="Calibri"/>
                <w:color w:val="000000"/>
                <w:sz w:val="20"/>
                <w:lang w:eastAsia="es-CR"/>
              </w:rPr>
              <w:t>2%</w:t>
            </w:r>
          </w:p>
        </w:tc>
      </w:tr>
      <w:tr w:rsidR="00C74E15" w:rsidRPr="004E74A6" w14:paraId="0387AA0C" w14:textId="77777777" w:rsidTr="00832773">
        <w:trPr>
          <w:trHeight w:val="454"/>
          <w:jc w:val="center"/>
        </w:trPr>
        <w:tc>
          <w:tcPr>
            <w:tcW w:w="3261" w:type="dxa"/>
            <w:tcBorders>
              <w:top w:val="nil"/>
              <w:left w:val="nil"/>
              <w:bottom w:val="nil"/>
              <w:right w:val="single" w:sz="4" w:space="0" w:color="A6A6A6"/>
            </w:tcBorders>
            <w:shd w:val="clear" w:color="000000" w:fill="A6A6A6"/>
            <w:vAlign w:val="center"/>
            <w:hideMark/>
          </w:tcPr>
          <w:p w14:paraId="3DC4E8CF" w14:textId="77777777" w:rsidR="00C74E15" w:rsidRPr="004E74A6" w:rsidRDefault="00C74E15" w:rsidP="00832773">
            <w:pPr>
              <w:spacing w:line="276" w:lineRule="auto"/>
              <w:jc w:val="center"/>
              <w:rPr>
                <w:rFonts w:cs="Calibri"/>
                <w:b/>
                <w:bCs/>
                <w:color w:val="000000"/>
                <w:sz w:val="20"/>
                <w:lang w:eastAsia="es-CR"/>
              </w:rPr>
            </w:pPr>
            <w:r w:rsidRPr="004E74A6">
              <w:rPr>
                <w:rFonts w:cs="Calibri"/>
                <w:b/>
                <w:bCs/>
                <w:color w:val="000000"/>
                <w:sz w:val="20"/>
                <w:lang w:eastAsia="es-CR"/>
              </w:rPr>
              <w:t>Cartago</w:t>
            </w:r>
          </w:p>
        </w:tc>
        <w:tc>
          <w:tcPr>
            <w:tcW w:w="1319" w:type="dxa"/>
            <w:tcBorders>
              <w:top w:val="nil"/>
              <w:left w:val="nil"/>
              <w:bottom w:val="nil"/>
              <w:right w:val="single" w:sz="4" w:space="0" w:color="A6A6A6"/>
            </w:tcBorders>
            <w:shd w:val="clear" w:color="000000" w:fill="A6A6A6"/>
            <w:vAlign w:val="center"/>
            <w:hideMark/>
          </w:tcPr>
          <w:p w14:paraId="4624264A" w14:textId="77777777" w:rsidR="00C74E15" w:rsidRPr="004E74A6" w:rsidRDefault="00C74E15" w:rsidP="00832773">
            <w:pPr>
              <w:spacing w:line="276" w:lineRule="auto"/>
              <w:jc w:val="center"/>
              <w:rPr>
                <w:rFonts w:cs="Calibri"/>
                <w:color w:val="000000"/>
                <w:sz w:val="20"/>
                <w:lang w:eastAsia="es-CR"/>
              </w:rPr>
            </w:pPr>
            <w:r w:rsidRPr="004E74A6">
              <w:rPr>
                <w:rFonts w:cs="Calibri"/>
                <w:color w:val="000000"/>
                <w:sz w:val="20"/>
                <w:lang w:eastAsia="es-CR"/>
              </w:rPr>
              <w:t>1295</w:t>
            </w:r>
          </w:p>
        </w:tc>
        <w:tc>
          <w:tcPr>
            <w:tcW w:w="2176" w:type="dxa"/>
            <w:tcBorders>
              <w:top w:val="nil"/>
              <w:left w:val="nil"/>
              <w:bottom w:val="nil"/>
              <w:right w:val="single" w:sz="4" w:space="0" w:color="A6A6A6"/>
            </w:tcBorders>
            <w:shd w:val="clear" w:color="000000" w:fill="A6A6A6"/>
            <w:vAlign w:val="center"/>
            <w:hideMark/>
          </w:tcPr>
          <w:p w14:paraId="73DDBD98" w14:textId="77777777" w:rsidR="00C74E15" w:rsidRPr="004E74A6" w:rsidRDefault="00C74E15" w:rsidP="00832773">
            <w:pPr>
              <w:spacing w:line="276" w:lineRule="auto"/>
              <w:jc w:val="center"/>
              <w:rPr>
                <w:rFonts w:cs="Calibri"/>
                <w:color w:val="000000"/>
                <w:sz w:val="20"/>
                <w:lang w:eastAsia="es-CR"/>
              </w:rPr>
            </w:pPr>
            <w:r w:rsidRPr="004E74A6">
              <w:rPr>
                <w:rFonts w:cs="Calibri"/>
                <w:color w:val="000000"/>
                <w:sz w:val="20"/>
                <w:lang w:eastAsia="es-CR"/>
              </w:rPr>
              <w:t> </w:t>
            </w:r>
          </w:p>
        </w:tc>
        <w:tc>
          <w:tcPr>
            <w:tcW w:w="1046" w:type="dxa"/>
            <w:tcBorders>
              <w:top w:val="nil"/>
              <w:left w:val="nil"/>
              <w:bottom w:val="nil"/>
              <w:right w:val="single" w:sz="4" w:space="0" w:color="auto"/>
            </w:tcBorders>
            <w:shd w:val="clear" w:color="000000" w:fill="A6A6A6"/>
            <w:vAlign w:val="center"/>
            <w:hideMark/>
          </w:tcPr>
          <w:p w14:paraId="1CBF72D2" w14:textId="77777777" w:rsidR="00C74E15" w:rsidRPr="004E74A6" w:rsidRDefault="00C74E15" w:rsidP="00832773">
            <w:pPr>
              <w:spacing w:line="276" w:lineRule="auto"/>
              <w:jc w:val="center"/>
              <w:rPr>
                <w:rFonts w:cs="Calibri"/>
                <w:color w:val="000000"/>
                <w:sz w:val="20"/>
                <w:lang w:eastAsia="es-CR"/>
              </w:rPr>
            </w:pPr>
            <w:r w:rsidRPr="004E74A6">
              <w:rPr>
                <w:rFonts w:cs="Calibri"/>
                <w:color w:val="000000"/>
                <w:sz w:val="20"/>
                <w:lang w:eastAsia="es-CR"/>
              </w:rPr>
              <w:t> </w:t>
            </w:r>
          </w:p>
        </w:tc>
        <w:tc>
          <w:tcPr>
            <w:tcW w:w="1412" w:type="dxa"/>
            <w:tcBorders>
              <w:top w:val="nil"/>
              <w:left w:val="single" w:sz="4" w:space="0" w:color="auto"/>
              <w:bottom w:val="nil"/>
              <w:right w:val="single" w:sz="4" w:space="0" w:color="auto"/>
            </w:tcBorders>
            <w:shd w:val="clear" w:color="000000" w:fill="A6A6A6"/>
            <w:vAlign w:val="center"/>
          </w:tcPr>
          <w:p w14:paraId="31AD8DB1" w14:textId="77777777" w:rsidR="00C74E15" w:rsidRPr="004E74A6" w:rsidRDefault="00C74E15" w:rsidP="00832773">
            <w:pPr>
              <w:spacing w:line="276" w:lineRule="auto"/>
              <w:jc w:val="center"/>
              <w:rPr>
                <w:rFonts w:cs="Calibri"/>
                <w:color w:val="000000"/>
                <w:sz w:val="20"/>
                <w:lang w:eastAsia="es-CR"/>
              </w:rPr>
            </w:pPr>
          </w:p>
        </w:tc>
        <w:tc>
          <w:tcPr>
            <w:tcW w:w="2177" w:type="dxa"/>
            <w:tcBorders>
              <w:top w:val="nil"/>
              <w:left w:val="single" w:sz="4" w:space="0" w:color="auto"/>
              <w:bottom w:val="nil"/>
              <w:right w:val="nil"/>
            </w:tcBorders>
            <w:shd w:val="clear" w:color="000000" w:fill="A6A6A6"/>
            <w:vAlign w:val="center"/>
            <w:hideMark/>
          </w:tcPr>
          <w:p w14:paraId="77A4ACD7" w14:textId="4DE051C3" w:rsidR="00C74E15" w:rsidRPr="004E74A6" w:rsidRDefault="00C74E15" w:rsidP="00832773">
            <w:pPr>
              <w:spacing w:line="276" w:lineRule="auto"/>
              <w:jc w:val="center"/>
              <w:rPr>
                <w:rFonts w:cs="Calibri"/>
                <w:color w:val="000000"/>
                <w:sz w:val="20"/>
                <w:lang w:eastAsia="es-CR"/>
              </w:rPr>
            </w:pPr>
            <w:r w:rsidRPr="004E74A6">
              <w:rPr>
                <w:rFonts w:cs="Calibri"/>
                <w:color w:val="000000"/>
                <w:sz w:val="20"/>
                <w:lang w:eastAsia="es-CR"/>
              </w:rPr>
              <w:t> </w:t>
            </w:r>
          </w:p>
        </w:tc>
      </w:tr>
      <w:tr w:rsidR="00186B25" w:rsidRPr="004E74A6" w14:paraId="48416209" w14:textId="77777777" w:rsidTr="001D7959">
        <w:trPr>
          <w:trHeight w:val="454"/>
          <w:jc w:val="center"/>
        </w:trPr>
        <w:tc>
          <w:tcPr>
            <w:tcW w:w="3261" w:type="dxa"/>
            <w:tcBorders>
              <w:top w:val="nil"/>
              <w:left w:val="nil"/>
              <w:bottom w:val="nil"/>
              <w:right w:val="single" w:sz="8" w:space="0" w:color="auto"/>
            </w:tcBorders>
            <w:shd w:val="clear" w:color="auto" w:fill="auto"/>
            <w:vAlign w:val="center"/>
            <w:hideMark/>
          </w:tcPr>
          <w:p w14:paraId="06933E3E" w14:textId="77777777" w:rsidR="00C74E15" w:rsidRPr="004E74A6" w:rsidRDefault="00C74E15" w:rsidP="00832773">
            <w:pPr>
              <w:spacing w:line="276" w:lineRule="auto"/>
              <w:rPr>
                <w:rFonts w:cs="Calibri"/>
                <w:color w:val="000000"/>
                <w:sz w:val="20"/>
                <w:lang w:eastAsia="es-CR"/>
              </w:rPr>
            </w:pPr>
            <w:r w:rsidRPr="004E74A6">
              <w:rPr>
                <w:rFonts w:cs="Calibri"/>
                <w:color w:val="000000"/>
                <w:sz w:val="20"/>
                <w:lang w:eastAsia="es-CR"/>
              </w:rPr>
              <w:t>Juzgado Civil de Cartago</w:t>
            </w:r>
          </w:p>
        </w:tc>
        <w:tc>
          <w:tcPr>
            <w:tcW w:w="1319" w:type="dxa"/>
            <w:tcBorders>
              <w:top w:val="nil"/>
              <w:left w:val="nil"/>
              <w:bottom w:val="nil"/>
              <w:right w:val="single" w:sz="8" w:space="0" w:color="auto"/>
            </w:tcBorders>
            <w:shd w:val="clear" w:color="auto" w:fill="auto"/>
            <w:vAlign w:val="center"/>
            <w:hideMark/>
          </w:tcPr>
          <w:p w14:paraId="59C7869F" w14:textId="77777777" w:rsidR="00C74E15" w:rsidRPr="004E74A6" w:rsidRDefault="00C74E15" w:rsidP="00832773">
            <w:pPr>
              <w:spacing w:line="276" w:lineRule="auto"/>
              <w:jc w:val="center"/>
              <w:rPr>
                <w:rFonts w:cs="Calibri"/>
                <w:color w:val="000000"/>
                <w:sz w:val="20"/>
                <w:lang w:eastAsia="es-CR"/>
              </w:rPr>
            </w:pPr>
            <w:r w:rsidRPr="004E74A6">
              <w:rPr>
                <w:rFonts w:cs="Calibri"/>
                <w:color w:val="000000"/>
                <w:sz w:val="20"/>
                <w:lang w:eastAsia="es-CR"/>
              </w:rPr>
              <w:t>1073</w:t>
            </w:r>
          </w:p>
        </w:tc>
        <w:tc>
          <w:tcPr>
            <w:tcW w:w="2176" w:type="dxa"/>
            <w:tcBorders>
              <w:top w:val="nil"/>
              <w:left w:val="nil"/>
              <w:bottom w:val="nil"/>
              <w:right w:val="single" w:sz="8" w:space="0" w:color="auto"/>
            </w:tcBorders>
            <w:shd w:val="clear" w:color="auto" w:fill="auto"/>
            <w:vAlign w:val="center"/>
            <w:hideMark/>
          </w:tcPr>
          <w:p w14:paraId="56846125" w14:textId="77777777" w:rsidR="00C74E15" w:rsidRPr="004E74A6" w:rsidRDefault="00C74E15" w:rsidP="00832773">
            <w:pPr>
              <w:spacing w:line="276" w:lineRule="auto"/>
              <w:jc w:val="center"/>
              <w:rPr>
                <w:rFonts w:cs="Calibri"/>
                <w:color w:val="000000"/>
                <w:sz w:val="20"/>
                <w:lang w:eastAsia="es-CR"/>
              </w:rPr>
            </w:pPr>
            <w:r w:rsidRPr="004E74A6">
              <w:rPr>
                <w:rFonts w:cs="Calibri"/>
                <w:color w:val="000000"/>
                <w:sz w:val="20"/>
                <w:lang w:eastAsia="es-CR"/>
              </w:rPr>
              <w:t>83%</w:t>
            </w:r>
          </w:p>
        </w:tc>
        <w:tc>
          <w:tcPr>
            <w:tcW w:w="1046" w:type="dxa"/>
            <w:vMerge w:val="restart"/>
            <w:tcBorders>
              <w:top w:val="nil"/>
              <w:left w:val="nil"/>
              <w:right w:val="single" w:sz="4" w:space="0" w:color="auto"/>
            </w:tcBorders>
            <w:shd w:val="clear" w:color="auto" w:fill="auto"/>
            <w:vAlign w:val="center"/>
            <w:hideMark/>
          </w:tcPr>
          <w:p w14:paraId="2F8FAB0C" w14:textId="38CD6093" w:rsidR="00C74E15" w:rsidRPr="004E74A6" w:rsidRDefault="00C74E15" w:rsidP="00832773">
            <w:pPr>
              <w:spacing w:line="276" w:lineRule="auto"/>
              <w:jc w:val="center"/>
              <w:rPr>
                <w:rFonts w:cs="Calibri"/>
                <w:color w:val="000000"/>
                <w:sz w:val="20"/>
                <w:lang w:eastAsia="es-CR"/>
              </w:rPr>
            </w:pPr>
            <w:r w:rsidRPr="004E74A6">
              <w:rPr>
                <w:rFonts w:cs="Calibri"/>
                <w:color w:val="000000"/>
                <w:sz w:val="20"/>
                <w:lang w:eastAsia="es-CR"/>
              </w:rPr>
              <w:t>64,7</w:t>
            </w:r>
          </w:p>
        </w:tc>
        <w:tc>
          <w:tcPr>
            <w:tcW w:w="1412" w:type="dxa"/>
            <w:tcBorders>
              <w:top w:val="nil"/>
              <w:left w:val="single" w:sz="4" w:space="0" w:color="auto"/>
              <w:right w:val="single" w:sz="4" w:space="0" w:color="auto"/>
            </w:tcBorders>
            <w:vAlign w:val="center"/>
          </w:tcPr>
          <w:p w14:paraId="7195DFC1" w14:textId="0CBDB722" w:rsidR="00C74E15" w:rsidRPr="004E74A6" w:rsidRDefault="00A06F90" w:rsidP="00832773">
            <w:pPr>
              <w:spacing w:line="276" w:lineRule="auto"/>
              <w:jc w:val="center"/>
              <w:rPr>
                <w:rFonts w:cs="Calibri"/>
                <w:color w:val="000000"/>
                <w:sz w:val="20"/>
                <w:lang w:eastAsia="es-CR"/>
              </w:rPr>
            </w:pPr>
            <w:r w:rsidRPr="004E74A6">
              <w:rPr>
                <w:rFonts w:cs="Calibri"/>
                <w:color w:val="000000"/>
                <w:sz w:val="20"/>
                <w:lang w:eastAsia="es-CR"/>
              </w:rPr>
              <w:t>1127</w:t>
            </w:r>
          </w:p>
        </w:tc>
        <w:tc>
          <w:tcPr>
            <w:tcW w:w="2177" w:type="dxa"/>
            <w:tcBorders>
              <w:top w:val="nil"/>
              <w:left w:val="single" w:sz="4" w:space="0" w:color="auto"/>
              <w:bottom w:val="nil"/>
              <w:right w:val="nil"/>
            </w:tcBorders>
            <w:shd w:val="clear" w:color="auto" w:fill="auto"/>
            <w:vAlign w:val="center"/>
            <w:hideMark/>
          </w:tcPr>
          <w:p w14:paraId="35A1C6B3" w14:textId="27793FEB" w:rsidR="00C74E15" w:rsidRPr="004E74A6" w:rsidRDefault="00C74E15" w:rsidP="00832773">
            <w:pPr>
              <w:spacing w:line="276" w:lineRule="auto"/>
              <w:jc w:val="center"/>
              <w:rPr>
                <w:rFonts w:cs="Calibri"/>
                <w:color w:val="000000"/>
                <w:sz w:val="20"/>
                <w:lang w:eastAsia="es-CR"/>
              </w:rPr>
            </w:pPr>
            <w:r w:rsidRPr="004E74A6">
              <w:rPr>
                <w:rFonts w:cs="Calibri"/>
                <w:color w:val="000000"/>
                <w:sz w:val="20"/>
                <w:lang w:eastAsia="es-CR"/>
              </w:rPr>
              <w:t>5%</w:t>
            </w:r>
          </w:p>
        </w:tc>
      </w:tr>
      <w:tr w:rsidR="00992BAD" w:rsidRPr="004E74A6" w14:paraId="3C100418" w14:textId="77777777" w:rsidTr="00832773">
        <w:trPr>
          <w:trHeight w:val="454"/>
          <w:jc w:val="center"/>
        </w:trPr>
        <w:tc>
          <w:tcPr>
            <w:tcW w:w="3261" w:type="dxa"/>
            <w:tcBorders>
              <w:top w:val="nil"/>
              <w:left w:val="nil"/>
              <w:bottom w:val="nil"/>
              <w:right w:val="single" w:sz="8" w:space="0" w:color="auto"/>
            </w:tcBorders>
            <w:shd w:val="clear" w:color="auto" w:fill="F2F2F2" w:themeFill="background1" w:themeFillShade="F2"/>
            <w:vAlign w:val="center"/>
            <w:hideMark/>
          </w:tcPr>
          <w:p w14:paraId="1DFC4EBC" w14:textId="77777777" w:rsidR="00C74E15" w:rsidRPr="004E74A6" w:rsidRDefault="00C74E15" w:rsidP="00832773">
            <w:pPr>
              <w:spacing w:line="276" w:lineRule="auto"/>
              <w:rPr>
                <w:rFonts w:cs="Calibri"/>
                <w:color w:val="000000"/>
                <w:sz w:val="20"/>
                <w:lang w:eastAsia="es-CR"/>
              </w:rPr>
            </w:pPr>
            <w:r w:rsidRPr="004E74A6">
              <w:rPr>
                <w:rFonts w:cs="Calibri"/>
                <w:color w:val="000000"/>
                <w:sz w:val="20"/>
                <w:lang w:eastAsia="es-CR"/>
              </w:rPr>
              <w:t>Juzgado Civil, Trabajo y Agrario de Turrialba</w:t>
            </w:r>
          </w:p>
        </w:tc>
        <w:tc>
          <w:tcPr>
            <w:tcW w:w="1319" w:type="dxa"/>
            <w:tcBorders>
              <w:top w:val="nil"/>
              <w:left w:val="nil"/>
              <w:bottom w:val="nil"/>
              <w:right w:val="single" w:sz="8" w:space="0" w:color="auto"/>
            </w:tcBorders>
            <w:shd w:val="clear" w:color="auto" w:fill="F2F2F2" w:themeFill="background1" w:themeFillShade="F2"/>
            <w:vAlign w:val="center"/>
            <w:hideMark/>
          </w:tcPr>
          <w:p w14:paraId="736531A6" w14:textId="77777777" w:rsidR="00C74E15" w:rsidRPr="004E74A6" w:rsidRDefault="00C74E15" w:rsidP="00832773">
            <w:pPr>
              <w:spacing w:line="276" w:lineRule="auto"/>
              <w:jc w:val="center"/>
              <w:rPr>
                <w:rFonts w:cs="Calibri"/>
                <w:color w:val="000000"/>
                <w:sz w:val="20"/>
                <w:lang w:eastAsia="es-CR"/>
              </w:rPr>
            </w:pPr>
            <w:r w:rsidRPr="004E74A6">
              <w:rPr>
                <w:rFonts w:cs="Calibri"/>
                <w:color w:val="000000"/>
                <w:sz w:val="20"/>
                <w:lang w:eastAsia="es-CR"/>
              </w:rPr>
              <w:t>222</w:t>
            </w:r>
          </w:p>
        </w:tc>
        <w:tc>
          <w:tcPr>
            <w:tcW w:w="2176" w:type="dxa"/>
            <w:tcBorders>
              <w:top w:val="nil"/>
              <w:left w:val="nil"/>
              <w:bottom w:val="nil"/>
              <w:right w:val="single" w:sz="8" w:space="0" w:color="auto"/>
            </w:tcBorders>
            <w:shd w:val="clear" w:color="auto" w:fill="F2F2F2" w:themeFill="background1" w:themeFillShade="F2"/>
            <w:vAlign w:val="center"/>
            <w:hideMark/>
          </w:tcPr>
          <w:p w14:paraId="0C2EA5B8" w14:textId="77777777" w:rsidR="00C74E15" w:rsidRPr="004E74A6" w:rsidRDefault="00C74E15" w:rsidP="00832773">
            <w:pPr>
              <w:spacing w:line="276" w:lineRule="auto"/>
              <w:jc w:val="center"/>
              <w:rPr>
                <w:rFonts w:cs="Calibri"/>
                <w:color w:val="000000"/>
                <w:sz w:val="20"/>
                <w:lang w:eastAsia="es-CR"/>
              </w:rPr>
            </w:pPr>
            <w:r w:rsidRPr="004E74A6">
              <w:rPr>
                <w:rFonts w:cs="Calibri"/>
                <w:color w:val="000000"/>
                <w:sz w:val="20"/>
                <w:lang w:eastAsia="es-CR"/>
              </w:rPr>
              <w:t>17%</w:t>
            </w:r>
          </w:p>
        </w:tc>
        <w:tc>
          <w:tcPr>
            <w:tcW w:w="1046" w:type="dxa"/>
            <w:vMerge/>
            <w:tcBorders>
              <w:left w:val="nil"/>
              <w:bottom w:val="nil"/>
              <w:right w:val="single" w:sz="4" w:space="0" w:color="auto"/>
            </w:tcBorders>
            <w:shd w:val="clear" w:color="auto" w:fill="F2F2F2" w:themeFill="background1" w:themeFillShade="F2"/>
            <w:vAlign w:val="center"/>
            <w:hideMark/>
          </w:tcPr>
          <w:p w14:paraId="7498336C" w14:textId="75F6D7B5" w:rsidR="00C74E15" w:rsidRPr="004E74A6" w:rsidRDefault="00C74E15" w:rsidP="00832773">
            <w:pPr>
              <w:spacing w:line="276" w:lineRule="auto"/>
              <w:jc w:val="center"/>
              <w:rPr>
                <w:rFonts w:cs="Calibri"/>
                <w:color w:val="000000"/>
                <w:sz w:val="20"/>
                <w:lang w:eastAsia="es-CR"/>
              </w:rPr>
            </w:pPr>
          </w:p>
        </w:tc>
        <w:tc>
          <w:tcPr>
            <w:tcW w:w="1412" w:type="dxa"/>
            <w:tcBorders>
              <w:left w:val="single" w:sz="4" w:space="0" w:color="auto"/>
              <w:bottom w:val="nil"/>
              <w:right w:val="single" w:sz="4" w:space="0" w:color="auto"/>
            </w:tcBorders>
            <w:shd w:val="clear" w:color="auto" w:fill="F2F2F2" w:themeFill="background1" w:themeFillShade="F2"/>
            <w:vAlign w:val="center"/>
          </w:tcPr>
          <w:p w14:paraId="3F8326F0" w14:textId="279A4F17" w:rsidR="00C74E15" w:rsidRPr="004E74A6" w:rsidRDefault="00A06F90" w:rsidP="00832773">
            <w:pPr>
              <w:spacing w:line="276" w:lineRule="auto"/>
              <w:jc w:val="center"/>
              <w:rPr>
                <w:rFonts w:cs="Calibri"/>
                <w:color w:val="000000"/>
                <w:sz w:val="20"/>
                <w:lang w:eastAsia="es-CR"/>
              </w:rPr>
            </w:pPr>
            <w:r w:rsidRPr="004E74A6">
              <w:rPr>
                <w:rFonts w:cs="Calibri"/>
                <w:color w:val="000000"/>
                <w:sz w:val="20"/>
                <w:lang w:eastAsia="es-CR"/>
              </w:rPr>
              <w:t>233</w:t>
            </w:r>
          </w:p>
        </w:tc>
        <w:tc>
          <w:tcPr>
            <w:tcW w:w="2177" w:type="dxa"/>
            <w:tcBorders>
              <w:top w:val="nil"/>
              <w:left w:val="single" w:sz="4" w:space="0" w:color="auto"/>
              <w:bottom w:val="nil"/>
              <w:right w:val="nil"/>
            </w:tcBorders>
            <w:shd w:val="clear" w:color="auto" w:fill="F2F2F2" w:themeFill="background1" w:themeFillShade="F2"/>
            <w:vAlign w:val="center"/>
            <w:hideMark/>
          </w:tcPr>
          <w:p w14:paraId="0DF99D30" w14:textId="0108892D" w:rsidR="00C74E15" w:rsidRPr="004E74A6" w:rsidRDefault="00C74E15" w:rsidP="00832773">
            <w:pPr>
              <w:spacing w:line="276" w:lineRule="auto"/>
              <w:jc w:val="center"/>
              <w:rPr>
                <w:rFonts w:cs="Calibri"/>
                <w:color w:val="000000"/>
                <w:sz w:val="20"/>
                <w:lang w:eastAsia="es-CR"/>
              </w:rPr>
            </w:pPr>
            <w:r w:rsidRPr="004E74A6">
              <w:rPr>
                <w:rFonts w:cs="Calibri"/>
                <w:color w:val="000000"/>
                <w:sz w:val="20"/>
                <w:lang w:eastAsia="es-CR"/>
              </w:rPr>
              <w:t>5%</w:t>
            </w:r>
          </w:p>
        </w:tc>
      </w:tr>
      <w:tr w:rsidR="00C74E15" w:rsidRPr="004E74A6" w14:paraId="5D3F91D1" w14:textId="77777777" w:rsidTr="00832773">
        <w:trPr>
          <w:trHeight w:val="454"/>
          <w:jc w:val="center"/>
        </w:trPr>
        <w:tc>
          <w:tcPr>
            <w:tcW w:w="3261" w:type="dxa"/>
            <w:tcBorders>
              <w:top w:val="nil"/>
              <w:left w:val="nil"/>
              <w:bottom w:val="nil"/>
              <w:right w:val="single" w:sz="4" w:space="0" w:color="A6A6A6"/>
            </w:tcBorders>
            <w:shd w:val="clear" w:color="000000" w:fill="A6A6A6"/>
            <w:vAlign w:val="center"/>
            <w:hideMark/>
          </w:tcPr>
          <w:p w14:paraId="4D79D566" w14:textId="77777777" w:rsidR="00C74E15" w:rsidRPr="004E74A6" w:rsidRDefault="00C74E15" w:rsidP="00832773">
            <w:pPr>
              <w:spacing w:line="276" w:lineRule="auto"/>
              <w:jc w:val="center"/>
              <w:rPr>
                <w:rFonts w:cs="Calibri"/>
                <w:b/>
                <w:bCs/>
                <w:color w:val="000000"/>
                <w:sz w:val="20"/>
                <w:lang w:eastAsia="es-CR"/>
              </w:rPr>
            </w:pPr>
            <w:r w:rsidRPr="004E74A6">
              <w:rPr>
                <w:rFonts w:cs="Calibri"/>
                <w:b/>
                <w:bCs/>
                <w:color w:val="000000"/>
                <w:sz w:val="20"/>
                <w:lang w:eastAsia="es-CR"/>
              </w:rPr>
              <w:t>Heredia</w:t>
            </w:r>
          </w:p>
        </w:tc>
        <w:tc>
          <w:tcPr>
            <w:tcW w:w="1319" w:type="dxa"/>
            <w:tcBorders>
              <w:top w:val="nil"/>
              <w:left w:val="nil"/>
              <w:bottom w:val="nil"/>
              <w:right w:val="single" w:sz="4" w:space="0" w:color="A6A6A6"/>
            </w:tcBorders>
            <w:shd w:val="clear" w:color="000000" w:fill="A6A6A6"/>
            <w:vAlign w:val="center"/>
            <w:hideMark/>
          </w:tcPr>
          <w:p w14:paraId="55FC8B3C" w14:textId="77777777" w:rsidR="00C74E15" w:rsidRPr="004E74A6" w:rsidRDefault="00C74E15" w:rsidP="00832773">
            <w:pPr>
              <w:spacing w:line="276" w:lineRule="auto"/>
              <w:jc w:val="center"/>
              <w:rPr>
                <w:rFonts w:cs="Calibri"/>
                <w:color w:val="000000"/>
                <w:sz w:val="20"/>
                <w:lang w:eastAsia="es-CR"/>
              </w:rPr>
            </w:pPr>
            <w:r w:rsidRPr="004E74A6">
              <w:rPr>
                <w:rFonts w:cs="Calibri"/>
                <w:color w:val="000000"/>
                <w:sz w:val="20"/>
                <w:lang w:eastAsia="es-CR"/>
              </w:rPr>
              <w:t>1570</w:t>
            </w:r>
          </w:p>
        </w:tc>
        <w:tc>
          <w:tcPr>
            <w:tcW w:w="2176" w:type="dxa"/>
            <w:tcBorders>
              <w:top w:val="nil"/>
              <w:left w:val="nil"/>
              <w:bottom w:val="nil"/>
              <w:right w:val="single" w:sz="4" w:space="0" w:color="A6A6A6"/>
            </w:tcBorders>
            <w:shd w:val="clear" w:color="000000" w:fill="A6A6A6"/>
            <w:vAlign w:val="center"/>
            <w:hideMark/>
          </w:tcPr>
          <w:p w14:paraId="54766D30" w14:textId="77777777" w:rsidR="00C74E15" w:rsidRPr="004E74A6" w:rsidRDefault="00C74E15" w:rsidP="00832773">
            <w:pPr>
              <w:spacing w:line="276" w:lineRule="auto"/>
              <w:jc w:val="center"/>
              <w:rPr>
                <w:rFonts w:cs="Calibri"/>
                <w:color w:val="000000"/>
                <w:sz w:val="20"/>
                <w:lang w:eastAsia="es-CR"/>
              </w:rPr>
            </w:pPr>
            <w:r w:rsidRPr="004E74A6">
              <w:rPr>
                <w:rFonts w:cs="Calibri"/>
                <w:color w:val="000000"/>
                <w:sz w:val="20"/>
                <w:lang w:eastAsia="es-CR"/>
              </w:rPr>
              <w:t> </w:t>
            </w:r>
          </w:p>
        </w:tc>
        <w:tc>
          <w:tcPr>
            <w:tcW w:w="1046" w:type="dxa"/>
            <w:tcBorders>
              <w:top w:val="nil"/>
              <w:left w:val="nil"/>
              <w:bottom w:val="nil"/>
              <w:right w:val="single" w:sz="4" w:space="0" w:color="auto"/>
            </w:tcBorders>
            <w:shd w:val="clear" w:color="000000" w:fill="A6A6A6"/>
            <w:vAlign w:val="center"/>
            <w:hideMark/>
          </w:tcPr>
          <w:p w14:paraId="5E47B5F5" w14:textId="77777777" w:rsidR="00C74E15" w:rsidRPr="004E74A6" w:rsidRDefault="00C74E15" w:rsidP="00832773">
            <w:pPr>
              <w:spacing w:line="276" w:lineRule="auto"/>
              <w:jc w:val="center"/>
              <w:rPr>
                <w:rFonts w:cs="Calibri"/>
                <w:color w:val="000000"/>
                <w:sz w:val="20"/>
                <w:lang w:eastAsia="es-CR"/>
              </w:rPr>
            </w:pPr>
            <w:r w:rsidRPr="004E74A6">
              <w:rPr>
                <w:rFonts w:cs="Calibri"/>
                <w:color w:val="000000"/>
                <w:sz w:val="20"/>
                <w:lang w:eastAsia="es-CR"/>
              </w:rPr>
              <w:t> </w:t>
            </w:r>
          </w:p>
        </w:tc>
        <w:tc>
          <w:tcPr>
            <w:tcW w:w="1412" w:type="dxa"/>
            <w:tcBorders>
              <w:top w:val="nil"/>
              <w:left w:val="single" w:sz="4" w:space="0" w:color="auto"/>
              <w:bottom w:val="nil"/>
              <w:right w:val="single" w:sz="4" w:space="0" w:color="auto"/>
            </w:tcBorders>
            <w:shd w:val="clear" w:color="000000" w:fill="A6A6A6"/>
            <w:vAlign w:val="center"/>
          </w:tcPr>
          <w:p w14:paraId="3C45E501" w14:textId="77777777" w:rsidR="00C74E15" w:rsidRPr="004E74A6" w:rsidRDefault="00C74E15" w:rsidP="00832773">
            <w:pPr>
              <w:spacing w:line="276" w:lineRule="auto"/>
              <w:jc w:val="center"/>
              <w:rPr>
                <w:rFonts w:cs="Calibri"/>
                <w:color w:val="000000"/>
                <w:sz w:val="20"/>
                <w:lang w:eastAsia="es-CR"/>
              </w:rPr>
            </w:pPr>
          </w:p>
        </w:tc>
        <w:tc>
          <w:tcPr>
            <w:tcW w:w="2177" w:type="dxa"/>
            <w:tcBorders>
              <w:top w:val="nil"/>
              <w:left w:val="single" w:sz="4" w:space="0" w:color="auto"/>
              <w:bottom w:val="nil"/>
              <w:right w:val="nil"/>
            </w:tcBorders>
            <w:shd w:val="clear" w:color="000000" w:fill="A6A6A6"/>
            <w:vAlign w:val="center"/>
            <w:hideMark/>
          </w:tcPr>
          <w:p w14:paraId="001C6AF3" w14:textId="710086F2" w:rsidR="00C74E15" w:rsidRPr="004E74A6" w:rsidRDefault="00C74E15" w:rsidP="00832773">
            <w:pPr>
              <w:spacing w:line="276" w:lineRule="auto"/>
              <w:jc w:val="center"/>
              <w:rPr>
                <w:rFonts w:cs="Calibri"/>
                <w:color w:val="000000"/>
                <w:sz w:val="20"/>
                <w:lang w:eastAsia="es-CR"/>
              </w:rPr>
            </w:pPr>
            <w:r w:rsidRPr="004E74A6">
              <w:rPr>
                <w:rFonts w:cs="Calibri"/>
                <w:color w:val="000000"/>
                <w:sz w:val="20"/>
                <w:lang w:eastAsia="es-CR"/>
              </w:rPr>
              <w:t> </w:t>
            </w:r>
          </w:p>
        </w:tc>
      </w:tr>
      <w:tr w:rsidR="00186B25" w:rsidRPr="004E74A6" w14:paraId="175EFE65" w14:textId="77777777" w:rsidTr="001D7959">
        <w:trPr>
          <w:trHeight w:val="454"/>
          <w:jc w:val="center"/>
        </w:trPr>
        <w:tc>
          <w:tcPr>
            <w:tcW w:w="3261" w:type="dxa"/>
            <w:tcBorders>
              <w:top w:val="nil"/>
              <w:left w:val="nil"/>
              <w:bottom w:val="nil"/>
              <w:right w:val="single" w:sz="8" w:space="0" w:color="auto"/>
            </w:tcBorders>
            <w:shd w:val="clear" w:color="auto" w:fill="auto"/>
            <w:vAlign w:val="center"/>
            <w:hideMark/>
          </w:tcPr>
          <w:p w14:paraId="6AC9D8D7" w14:textId="77777777" w:rsidR="00C74E15" w:rsidRPr="004E74A6" w:rsidRDefault="00C74E15" w:rsidP="00832773">
            <w:pPr>
              <w:spacing w:line="276" w:lineRule="auto"/>
              <w:rPr>
                <w:rFonts w:cs="Calibri"/>
                <w:color w:val="000000"/>
                <w:sz w:val="20"/>
                <w:lang w:eastAsia="es-CR"/>
              </w:rPr>
            </w:pPr>
            <w:r w:rsidRPr="004E74A6">
              <w:rPr>
                <w:rFonts w:cs="Calibri"/>
                <w:color w:val="000000"/>
                <w:sz w:val="20"/>
                <w:lang w:eastAsia="es-CR"/>
              </w:rPr>
              <w:t>Juzgado Civil de Heredia</w:t>
            </w:r>
          </w:p>
        </w:tc>
        <w:tc>
          <w:tcPr>
            <w:tcW w:w="1319" w:type="dxa"/>
            <w:tcBorders>
              <w:top w:val="nil"/>
              <w:left w:val="nil"/>
              <w:bottom w:val="nil"/>
              <w:right w:val="single" w:sz="8" w:space="0" w:color="auto"/>
            </w:tcBorders>
            <w:shd w:val="clear" w:color="auto" w:fill="auto"/>
            <w:vAlign w:val="center"/>
            <w:hideMark/>
          </w:tcPr>
          <w:p w14:paraId="5C909721" w14:textId="77777777" w:rsidR="00C74E15" w:rsidRPr="004E74A6" w:rsidRDefault="00C74E15" w:rsidP="00832773">
            <w:pPr>
              <w:spacing w:line="276" w:lineRule="auto"/>
              <w:jc w:val="center"/>
              <w:rPr>
                <w:rFonts w:cs="Calibri"/>
                <w:color w:val="000000"/>
                <w:sz w:val="20"/>
                <w:lang w:eastAsia="es-CR"/>
              </w:rPr>
            </w:pPr>
            <w:r w:rsidRPr="004E74A6">
              <w:rPr>
                <w:rFonts w:cs="Calibri"/>
                <w:color w:val="000000"/>
                <w:sz w:val="20"/>
                <w:lang w:eastAsia="es-CR"/>
              </w:rPr>
              <w:t>1484</w:t>
            </w:r>
          </w:p>
        </w:tc>
        <w:tc>
          <w:tcPr>
            <w:tcW w:w="2176" w:type="dxa"/>
            <w:tcBorders>
              <w:top w:val="nil"/>
              <w:left w:val="nil"/>
              <w:bottom w:val="nil"/>
              <w:right w:val="single" w:sz="8" w:space="0" w:color="auto"/>
            </w:tcBorders>
            <w:shd w:val="clear" w:color="auto" w:fill="auto"/>
            <w:vAlign w:val="center"/>
            <w:hideMark/>
          </w:tcPr>
          <w:p w14:paraId="3202C3E7" w14:textId="77777777" w:rsidR="00C74E15" w:rsidRPr="004E74A6" w:rsidRDefault="00C74E15" w:rsidP="00832773">
            <w:pPr>
              <w:spacing w:line="276" w:lineRule="auto"/>
              <w:jc w:val="center"/>
              <w:rPr>
                <w:rFonts w:cs="Calibri"/>
                <w:color w:val="000000"/>
                <w:sz w:val="20"/>
                <w:lang w:eastAsia="es-CR"/>
              </w:rPr>
            </w:pPr>
            <w:r w:rsidRPr="004E74A6">
              <w:rPr>
                <w:rFonts w:cs="Calibri"/>
                <w:color w:val="000000"/>
                <w:sz w:val="20"/>
                <w:lang w:eastAsia="es-CR"/>
              </w:rPr>
              <w:t>95%</w:t>
            </w:r>
          </w:p>
        </w:tc>
        <w:tc>
          <w:tcPr>
            <w:tcW w:w="1046" w:type="dxa"/>
            <w:vMerge w:val="restart"/>
            <w:tcBorders>
              <w:top w:val="nil"/>
              <w:left w:val="nil"/>
              <w:right w:val="single" w:sz="4" w:space="0" w:color="auto"/>
            </w:tcBorders>
            <w:shd w:val="clear" w:color="auto" w:fill="auto"/>
            <w:vAlign w:val="center"/>
            <w:hideMark/>
          </w:tcPr>
          <w:p w14:paraId="2F223283" w14:textId="05B726CF" w:rsidR="00C74E15" w:rsidRPr="004E74A6" w:rsidRDefault="00C74E15" w:rsidP="00832773">
            <w:pPr>
              <w:spacing w:line="276" w:lineRule="auto"/>
              <w:jc w:val="center"/>
              <w:rPr>
                <w:rFonts w:cs="Calibri"/>
                <w:color w:val="000000"/>
                <w:sz w:val="20"/>
                <w:lang w:eastAsia="es-CR"/>
              </w:rPr>
            </w:pPr>
            <w:r w:rsidRPr="004E74A6">
              <w:rPr>
                <w:rFonts w:cs="Calibri"/>
                <w:color w:val="000000"/>
                <w:sz w:val="20"/>
                <w:lang w:eastAsia="es-CR"/>
              </w:rPr>
              <w:t>70,3</w:t>
            </w:r>
          </w:p>
        </w:tc>
        <w:tc>
          <w:tcPr>
            <w:tcW w:w="1412" w:type="dxa"/>
            <w:tcBorders>
              <w:top w:val="nil"/>
              <w:left w:val="single" w:sz="4" w:space="0" w:color="auto"/>
              <w:right w:val="single" w:sz="4" w:space="0" w:color="auto"/>
            </w:tcBorders>
            <w:vAlign w:val="center"/>
          </w:tcPr>
          <w:p w14:paraId="14A5D19E" w14:textId="15FA65B3" w:rsidR="00C74E15" w:rsidRPr="004E74A6" w:rsidRDefault="00A06F90" w:rsidP="00832773">
            <w:pPr>
              <w:spacing w:line="276" w:lineRule="auto"/>
              <w:jc w:val="center"/>
              <w:rPr>
                <w:rFonts w:cs="Calibri"/>
                <w:color w:val="000000"/>
                <w:sz w:val="20"/>
                <w:lang w:eastAsia="es-CR"/>
              </w:rPr>
            </w:pPr>
            <w:r w:rsidRPr="004E74A6">
              <w:rPr>
                <w:rFonts w:cs="Calibri"/>
                <w:color w:val="000000"/>
                <w:sz w:val="20"/>
                <w:lang w:eastAsia="es-CR"/>
              </w:rPr>
              <w:t>1550</w:t>
            </w:r>
          </w:p>
        </w:tc>
        <w:tc>
          <w:tcPr>
            <w:tcW w:w="2177" w:type="dxa"/>
            <w:tcBorders>
              <w:top w:val="nil"/>
              <w:left w:val="single" w:sz="4" w:space="0" w:color="auto"/>
              <w:bottom w:val="nil"/>
              <w:right w:val="nil"/>
            </w:tcBorders>
            <w:shd w:val="clear" w:color="auto" w:fill="auto"/>
            <w:vAlign w:val="center"/>
            <w:hideMark/>
          </w:tcPr>
          <w:p w14:paraId="4DF88AE7" w14:textId="5E4192B3" w:rsidR="00C74E15" w:rsidRPr="004E74A6" w:rsidRDefault="00C74E15" w:rsidP="00832773">
            <w:pPr>
              <w:spacing w:line="276" w:lineRule="auto"/>
              <w:jc w:val="center"/>
              <w:rPr>
                <w:rFonts w:cs="Calibri"/>
                <w:color w:val="000000"/>
                <w:sz w:val="20"/>
                <w:lang w:eastAsia="es-CR"/>
              </w:rPr>
            </w:pPr>
            <w:r w:rsidRPr="004E74A6">
              <w:rPr>
                <w:rFonts w:cs="Calibri"/>
                <w:color w:val="000000"/>
                <w:sz w:val="20"/>
                <w:lang w:eastAsia="es-CR"/>
              </w:rPr>
              <w:t>4%</w:t>
            </w:r>
          </w:p>
        </w:tc>
      </w:tr>
      <w:tr w:rsidR="00992BAD" w:rsidRPr="004E74A6" w14:paraId="03B592A8" w14:textId="77777777" w:rsidTr="00832773">
        <w:trPr>
          <w:trHeight w:val="454"/>
          <w:jc w:val="center"/>
        </w:trPr>
        <w:tc>
          <w:tcPr>
            <w:tcW w:w="3261" w:type="dxa"/>
            <w:tcBorders>
              <w:top w:val="nil"/>
              <w:left w:val="nil"/>
              <w:bottom w:val="nil"/>
              <w:right w:val="single" w:sz="8" w:space="0" w:color="auto"/>
            </w:tcBorders>
            <w:shd w:val="clear" w:color="auto" w:fill="F2F2F2" w:themeFill="background1" w:themeFillShade="F2"/>
            <w:vAlign w:val="center"/>
            <w:hideMark/>
          </w:tcPr>
          <w:p w14:paraId="35E438F2" w14:textId="77777777" w:rsidR="00C74E15" w:rsidRPr="004E74A6" w:rsidRDefault="00C74E15" w:rsidP="00832773">
            <w:pPr>
              <w:spacing w:line="276" w:lineRule="auto"/>
              <w:rPr>
                <w:rFonts w:cs="Calibri"/>
                <w:color w:val="000000"/>
                <w:sz w:val="20"/>
                <w:lang w:eastAsia="es-CR"/>
              </w:rPr>
            </w:pPr>
            <w:r w:rsidRPr="004E74A6">
              <w:rPr>
                <w:rFonts w:cs="Calibri"/>
                <w:color w:val="000000"/>
                <w:sz w:val="20"/>
                <w:lang w:eastAsia="es-CR"/>
              </w:rPr>
              <w:t>Juzgado Civil, Trabajo, Familia, Penal Juvenil y contra la Violencia Doméstica de Sarapiquí</w:t>
            </w:r>
          </w:p>
        </w:tc>
        <w:tc>
          <w:tcPr>
            <w:tcW w:w="1319" w:type="dxa"/>
            <w:tcBorders>
              <w:top w:val="nil"/>
              <w:left w:val="nil"/>
              <w:bottom w:val="nil"/>
              <w:right w:val="single" w:sz="8" w:space="0" w:color="auto"/>
            </w:tcBorders>
            <w:shd w:val="clear" w:color="auto" w:fill="F2F2F2" w:themeFill="background1" w:themeFillShade="F2"/>
            <w:vAlign w:val="center"/>
            <w:hideMark/>
          </w:tcPr>
          <w:p w14:paraId="0F697EF9" w14:textId="77777777" w:rsidR="00C74E15" w:rsidRPr="004E74A6" w:rsidRDefault="00C74E15" w:rsidP="00832773">
            <w:pPr>
              <w:spacing w:line="276" w:lineRule="auto"/>
              <w:jc w:val="center"/>
              <w:rPr>
                <w:rFonts w:cs="Calibri"/>
                <w:color w:val="000000"/>
                <w:sz w:val="20"/>
                <w:lang w:eastAsia="es-CR"/>
              </w:rPr>
            </w:pPr>
            <w:r w:rsidRPr="004E74A6">
              <w:rPr>
                <w:rFonts w:cs="Calibri"/>
                <w:color w:val="000000"/>
                <w:sz w:val="20"/>
                <w:lang w:eastAsia="es-CR"/>
              </w:rPr>
              <w:t>86</w:t>
            </w:r>
          </w:p>
        </w:tc>
        <w:tc>
          <w:tcPr>
            <w:tcW w:w="2176" w:type="dxa"/>
            <w:tcBorders>
              <w:top w:val="nil"/>
              <w:left w:val="nil"/>
              <w:bottom w:val="nil"/>
              <w:right w:val="single" w:sz="8" w:space="0" w:color="auto"/>
            </w:tcBorders>
            <w:shd w:val="clear" w:color="auto" w:fill="F2F2F2" w:themeFill="background1" w:themeFillShade="F2"/>
            <w:vAlign w:val="center"/>
            <w:hideMark/>
          </w:tcPr>
          <w:p w14:paraId="5D38CEE0" w14:textId="77777777" w:rsidR="00C74E15" w:rsidRPr="004E74A6" w:rsidRDefault="00C74E15" w:rsidP="00832773">
            <w:pPr>
              <w:spacing w:line="276" w:lineRule="auto"/>
              <w:jc w:val="center"/>
              <w:rPr>
                <w:rFonts w:cs="Calibri"/>
                <w:color w:val="000000"/>
                <w:sz w:val="20"/>
                <w:lang w:eastAsia="es-CR"/>
              </w:rPr>
            </w:pPr>
            <w:r w:rsidRPr="004E74A6">
              <w:rPr>
                <w:rFonts w:cs="Calibri"/>
                <w:color w:val="000000"/>
                <w:sz w:val="20"/>
                <w:lang w:eastAsia="es-CR"/>
              </w:rPr>
              <w:t>5%</w:t>
            </w:r>
          </w:p>
        </w:tc>
        <w:tc>
          <w:tcPr>
            <w:tcW w:w="1046" w:type="dxa"/>
            <w:vMerge/>
            <w:tcBorders>
              <w:left w:val="nil"/>
              <w:bottom w:val="nil"/>
              <w:right w:val="single" w:sz="4" w:space="0" w:color="auto"/>
            </w:tcBorders>
            <w:shd w:val="clear" w:color="auto" w:fill="F2F2F2" w:themeFill="background1" w:themeFillShade="F2"/>
            <w:vAlign w:val="center"/>
            <w:hideMark/>
          </w:tcPr>
          <w:p w14:paraId="67655EF5" w14:textId="14E41999" w:rsidR="00C74E15" w:rsidRPr="004E74A6" w:rsidRDefault="00C74E15" w:rsidP="00832773">
            <w:pPr>
              <w:spacing w:line="276" w:lineRule="auto"/>
              <w:jc w:val="center"/>
              <w:rPr>
                <w:rFonts w:cs="Calibri"/>
                <w:color w:val="000000"/>
                <w:sz w:val="20"/>
                <w:lang w:eastAsia="es-CR"/>
              </w:rPr>
            </w:pPr>
          </w:p>
        </w:tc>
        <w:tc>
          <w:tcPr>
            <w:tcW w:w="1412" w:type="dxa"/>
            <w:tcBorders>
              <w:left w:val="single" w:sz="4" w:space="0" w:color="auto"/>
              <w:bottom w:val="nil"/>
              <w:right w:val="single" w:sz="4" w:space="0" w:color="auto"/>
            </w:tcBorders>
            <w:shd w:val="clear" w:color="auto" w:fill="F2F2F2" w:themeFill="background1" w:themeFillShade="F2"/>
            <w:vAlign w:val="center"/>
          </w:tcPr>
          <w:p w14:paraId="013E42C0" w14:textId="0BD1080B" w:rsidR="00C74E15" w:rsidRPr="004E74A6" w:rsidRDefault="00A06F90" w:rsidP="00832773">
            <w:pPr>
              <w:spacing w:line="276" w:lineRule="auto"/>
              <w:jc w:val="center"/>
              <w:rPr>
                <w:rFonts w:cs="Calibri"/>
                <w:color w:val="000000"/>
                <w:sz w:val="20"/>
                <w:lang w:eastAsia="es-CR"/>
              </w:rPr>
            </w:pPr>
            <w:r w:rsidRPr="004E74A6">
              <w:rPr>
                <w:rFonts w:cs="Calibri"/>
                <w:color w:val="000000"/>
                <w:sz w:val="20"/>
                <w:lang w:eastAsia="es-CR"/>
              </w:rPr>
              <w:t>90</w:t>
            </w:r>
          </w:p>
        </w:tc>
        <w:tc>
          <w:tcPr>
            <w:tcW w:w="2177" w:type="dxa"/>
            <w:tcBorders>
              <w:top w:val="nil"/>
              <w:left w:val="single" w:sz="4" w:space="0" w:color="auto"/>
              <w:bottom w:val="nil"/>
              <w:right w:val="nil"/>
            </w:tcBorders>
            <w:shd w:val="clear" w:color="auto" w:fill="F2F2F2" w:themeFill="background1" w:themeFillShade="F2"/>
            <w:vAlign w:val="center"/>
            <w:hideMark/>
          </w:tcPr>
          <w:p w14:paraId="36F8D950" w14:textId="6EAD1652" w:rsidR="00C74E15" w:rsidRPr="004E74A6" w:rsidRDefault="00C74E15" w:rsidP="00832773">
            <w:pPr>
              <w:spacing w:line="276" w:lineRule="auto"/>
              <w:jc w:val="center"/>
              <w:rPr>
                <w:rFonts w:cs="Calibri"/>
                <w:color w:val="000000"/>
                <w:sz w:val="20"/>
                <w:lang w:eastAsia="es-CR"/>
              </w:rPr>
            </w:pPr>
            <w:r w:rsidRPr="004E74A6">
              <w:rPr>
                <w:rFonts w:cs="Calibri"/>
                <w:color w:val="000000"/>
                <w:sz w:val="20"/>
                <w:lang w:eastAsia="es-CR"/>
              </w:rPr>
              <w:t>4%</w:t>
            </w:r>
          </w:p>
        </w:tc>
      </w:tr>
      <w:tr w:rsidR="00C74E15" w:rsidRPr="004E74A6" w14:paraId="6F350EA5" w14:textId="77777777" w:rsidTr="00832773">
        <w:trPr>
          <w:trHeight w:val="454"/>
          <w:jc w:val="center"/>
        </w:trPr>
        <w:tc>
          <w:tcPr>
            <w:tcW w:w="3261" w:type="dxa"/>
            <w:tcBorders>
              <w:top w:val="nil"/>
              <w:left w:val="nil"/>
              <w:bottom w:val="nil"/>
              <w:right w:val="single" w:sz="4" w:space="0" w:color="A6A6A6"/>
            </w:tcBorders>
            <w:shd w:val="clear" w:color="000000" w:fill="A6A6A6"/>
            <w:vAlign w:val="center"/>
            <w:hideMark/>
          </w:tcPr>
          <w:p w14:paraId="67C7DA2C" w14:textId="77777777" w:rsidR="00C74E15" w:rsidRPr="004E74A6" w:rsidRDefault="00C74E15" w:rsidP="00832773">
            <w:pPr>
              <w:spacing w:line="276" w:lineRule="auto"/>
              <w:jc w:val="center"/>
              <w:rPr>
                <w:rFonts w:cs="Calibri"/>
                <w:b/>
                <w:bCs/>
                <w:color w:val="000000"/>
                <w:sz w:val="20"/>
                <w:lang w:eastAsia="es-CR"/>
              </w:rPr>
            </w:pPr>
            <w:r w:rsidRPr="004E74A6">
              <w:rPr>
                <w:rFonts w:cs="Calibri"/>
                <w:b/>
                <w:bCs/>
                <w:color w:val="000000"/>
                <w:sz w:val="20"/>
                <w:lang w:eastAsia="es-CR"/>
              </w:rPr>
              <w:t>Guanacaste, Liberia</w:t>
            </w:r>
          </w:p>
        </w:tc>
        <w:tc>
          <w:tcPr>
            <w:tcW w:w="1319" w:type="dxa"/>
            <w:tcBorders>
              <w:top w:val="nil"/>
              <w:left w:val="nil"/>
              <w:bottom w:val="nil"/>
              <w:right w:val="single" w:sz="4" w:space="0" w:color="A6A6A6"/>
            </w:tcBorders>
            <w:shd w:val="clear" w:color="000000" w:fill="A6A6A6"/>
            <w:vAlign w:val="center"/>
            <w:hideMark/>
          </w:tcPr>
          <w:p w14:paraId="7909AB17" w14:textId="77777777" w:rsidR="00C74E15" w:rsidRPr="004E74A6" w:rsidRDefault="00C74E15" w:rsidP="00832773">
            <w:pPr>
              <w:spacing w:line="276" w:lineRule="auto"/>
              <w:jc w:val="center"/>
              <w:rPr>
                <w:rFonts w:cs="Calibri"/>
                <w:color w:val="000000"/>
                <w:sz w:val="20"/>
                <w:lang w:eastAsia="es-CR"/>
              </w:rPr>
            </w:pPr>
            <w:r w:rsidRPr="004E74A6">
              <w:rPr>
                <w:rFonts w:cs="Calibri"/>
                <w:color w:val="000000"/>
                <w:sz w:val="20"/>
                <w:lang w:eastAsia="es-CR"/>
              </w:rPr>
              <w:t>770</w:t>
            </w:r>
          </w:p>
        </w:tc>
        <w:tc>
          <w:tcPr>
            <w:tcW w:w="2176" w:type="dxa"/>
            <w:tcBorders>
              <w:top w:val="nil"/>
              <w:left w:val="nil"/>
              <w:bottom w:val="nil"/>
              <w:right w:val="single" w:sz="4" w:space="0" w:color="A6A6A6"/>
            </w:tcBorders>
            <w:shd w:val="clear" w:color="000000" w:fill="A6A6A6"/>
            <w:vAlign w:val="center"/>
            <w:hideMark/>
          </w:tcPr>
          <w:p w14:paraId="02F57AC9" w14:textId="77777777" w:rsidR="00C74E15" w:rsidRPr="004E74A6" w:rsidRDefault="00C74E15" w:rsidP="00832773">
            <w:pPr>
              <w:spacing w:line="276" w:lineRule="auto"/>
              <w:jc w:val="center"/>
              <w:rPr>
                <w:rFonts w:cs="Calibri"/>
                <w:color w:val="000000"/>
                <w:sz w:val="20"/>
                <w:lang w:eastAsia="es-CR"/>
              </w:rPr>
            </w:pPr>
            <w:r w:rsidRPr="004E74A6">
              <w:rPr>
                <w:rFonts w:cs="Calibri"/>
                <w:color w:val="000000"/>
                <w:sz w:val="20"/>
                <w:lang w:eastAsia="es-CR"/>
              </w:rPr>
              <w:t> </w:t>
            </w:r>
          </w:p>
        </w:tc>
        <w:tc>
          <w:tcPr>
            <w:tcW w:w="1046" w:type="dxa"/>
            <w:tcBorders>
              <w:top w:val="nil"/>
              <w:left w:val="nil"/>
              <w:bottom w:val="nil"/>
              <w:right w:val="single" w:sz="4" w:space="0" w:color="auto"/>
            </w:tcBorders>
            <w:shd w:val="clear" w:color="000000" w:fill="A6A6A6"/>
            <w:vAlign w:val="center"/>
            <w:hideMark/>
          </w:tcPr>
          <w:p w14:paraId="1E741403" w14:textId="77777777" w:rsidR="00C74E15" w:rsidRPr="004E74A6" w:rsidRDefault="00C74E15" w:rsidP="00832773">
            <w:pPr>
              <w:spacing w:line="276" w:lineRule="auto"/>
              <w:jc w:val="center"/>
              <w:rPr>
                <w:rFonts w:cs="Calibri"/>
                <w:color w:val="000000"/>
                <w:sz w:val="20"/>
                <w:lang w:eastAsia="es-CR"/>
              </w:rPr>
            </w:pPr>
            <w:r w:rsidRPr="004E74A6">
              <w:rPr>
                <w:rFonts w:cs="Calibri"/>
                <w:color w:val="000000"/>
                <w:sz w:val="20"/>
                <w:lang w:eastAsia="es-CR"/>
              </w:rPr>
              <w:t> </w:t>
            </w:r>
          </w:p>
        </w:tc>
        <w:tc>
          <w:tcPr>
            <w:tcW w:w="1412" w:type="dxa"/>
            <w:tcBorders>
              <w:top w:val="nil"/>
              <w:left w:val="single" w:sz="4" w:space="0" w:color="auto"/>
              <w:bottom w:val="nil"/>
              <w:right w:val="single" w:sz="4" w:space="0" w:color="auto"/>
            </w:tcBorders>
            <w:shd w:val="clear" w:color="000000" w:fill="A6A6A6"/>
            <w:vAlign w:val="center"/>
          </w:tcPr>
          <w:p w14:paraId="36ED7FA7" w14:textId="77777777" w:rsidR="00C74E15" w:rsidRPr="004E74A6" w:rsidRDefault="00C74E15" w:rsidP="00832773">
            <w:pPr>
              <w:spacing w:line="276" w:lineRule="auto"/>
              <w:jc w:val="center"/>
              <w:rPr>
                <w:rFonts w:cs="Calibri"/>
                <w:color w:val="000000"/>
                <w:sz w:val="20"/>
                <w:lang w:eastAsia="es-CR"/>
              </w:rPr>
            </w:pPr>
          </w:p>
        </w:tc>
        <w:tc>
          <w:tcPr>
            <w:tcW w:w="2177" w:type="dxa"/>
            <w:tcBorders>
              <w:top w:val="nil"/>
              <w:left w:val="single" w:sz="4" w:space="0" w:color="auto"/>
              <w:bottom w:val="nil"/>
              <w:right w:val="nil"/>
            </w:tcBorders>
            <w:shd w:val="clear" w:color="000000" w:fill="A6A6A6"/>
            <w:vAlign w:val="center"/>
            <w:hideMark/>
          </w:tcPr>
          <w:p w14:paraId="66308A43" w14:textId="4A659AB9" w:rsidR="00C74E15" w:rsidRPr="004E74A6" w:rsidRDefault="00C74E15" w:rsidP="00832773">
            <w:pPr>
              <w:spacing w:line="276" w:lineRule="auto"/>
              <w:jc w:val="center"/>
              <w:rPr>
                <w:rFonts w:cs="Calibri"/>
                <w:color w:val="000000"/>
                <w:sz w:val="20"/>
                <w:lang w:eastAsia="es-CR"/>
              </w:rPr>
            </w:pPr>
            <w:r w:rsidRPr="004E74A6">
              <w:rPr>
                <w:rFonts w:cs="Calibri"/>
                <w:color w:val="000000"/>
                <w:sz w:val="20"/>
                <w:lang w:eastAsia="es-CR"/>
              </w:rPr>
              <w:t> </w:t>
            </w:r>
          </w:p>
        </w:tc>
      </w:tr>
      <w:tr w:rsidR="00186B25" w:rsidRPr="004E74A6" w14:paraId="6A15B730" w14:textId="77777777" w:rsidTr="001D7959">
        <w:trPr>
          <w:trHeight w:val="454"/>
          <w:jc w:val="center"/>
        </w:trPr>
        <w:tc>
          <w:tcPr>
            <w:tcW w:w="3261" w:type="dxa"/>
            <w:tcBorders>
              <w:top w:val="nil"/>
              <w:left w:val="nil"/>
              <w:bottom w:val="nil"/>
              <w:right w:val="single" w:sz="8" w:space="0" w:color="auto"/>
            </w:tcBorders>
            <w:shd w:val="clear" w:color="auto" w:fill="auto"/>
            <w:vAlign w:val="center"/>
            <w:hideMark/>
          </w:tcPr>
          <w:p w14:paraId="617FB5C4" w14:textId="77777777" w:rsidR="00C74E15" w:rsidRPr="004E74A6" w:rsidRDefault="00C74E15" w:rsidP="00832773">
            <w:pPr>
              <w:spacing w:line="276" w:lineRule="auto"/>
              <w:rPr>
                <w:rFonts w:cs="Calibri"/>
                <w:color w:val="000000"/>
                <w:sz w:val="20"/>
                <w:lang w:eastAsia="es-CR"/>
              </w:rPr>
            </w:pPr>
            <w:r w:rsidRPr="004E74A6">
              <w:rPr>
                <w:rFonts w:cs="Calibri"/>
                <w:color w:val="000000"/>
                <w:sz w:val="20"/>
                <w:lang w:eastAsia="es-CR"/>
              </w:rPr>
              <w:t>Juzgado Civil y Trabajo de Liberia</w:t>
            </w:r>
          </w:p>
        </w:tc>
        <w:tc>
          <w:tcPr>
            <w:tcW w:w="1319" w:type="dxa"/>
            <w:tcBorders>
              <w:top w:val="nil"/>
              <w:left w:val="nil"/>
              <w:bottom w:val="nil"/>
              <w:right w:val="single" w:sz="8" w:space="0" w:color="auto"/>
            </w:tcBorders>
            <w:shd w:val="clear" w:color="auto" w:fill="auto"/>
            <w:vAlign w:val="center"/>
            <w:hideMark/>
          </w:tcPr>
          <w:p w14:paraId="7B6D1AB5" w14:textId="77777777" w:rsidR="00C74E15" w:rsidRPr="004E74A6" w:rsidRDefault="00C74E15" w:rsidP="00832773">
            <w:pPr>
              <w:spacing w:line="276" w:lineRule="auto"/>
              <w:jc w:val="center"/>
              <w:rPr>
                <w:rFonts w:cs="Calibri"/>
                <w:color w:val="000000"/>
                <w:sz w:val="20"/>
                <w:lang w:eastAsia="es-CR"/>
              </w:rPr>
            </w:pPr>
            <w:r w:rsidRPr="004E74A6">
              <w:rPr>
                <w:rFonts w:cs="Calibri"/>
                <w:color w:val="000000"/>
                <w:sz w:val="20"/>
                <w:lang w:eastAsia="es-CR"/>
              </w:rPr>
              <w:t>415</w:t>
            </w:r>
          </w:p>
        </w:tc>
        <w:tc>
          <w:tcPr>
            <w:tcW w:w="2176" w:type="dxa"/>
            <w:tcBorders>
              <w:top w:val="nil"/>
              <w:left w:val="nil"/>
              <w:bottom w:val="nil"/>
              <w:right w:val="single" w:sz="8" w:space="0" w:color="auto"/>
            </w:tcBorders>
            <w:shd w:val="clear" w:color="auto" w:fill="auto"/>
            <w:vAlign w:val="center"/>
            <w:hideMark/>
          </w:tcPr>
          <w:p w14:paraId="23A69149" w14:textId="77777777" w:rsidR="00C74E15" w:rsidRPr="004E74A6" w:rsidRDefault="00C74E15" w:rsidP="00832773">
            <w:pPr>
              <w:spacing w:line="276" w:lineRule="auto"/>
              <w:jc w:val="center"/>
              <w:rPr>
                <w:rFonts w:cs="Calibri"/>
                <w:color w:val="000000"/>
                <w:sz w:val="20"/>
                <w:lang w:eastAsia="es-CR"/>
              </w:rPr>
            </w:pPr>
            <w:r w:rsidRPr="004E74A6">
              <w:rPr>
                <w:rFonts w:cs="Calibri"/>
                <w:color w:val="000000"/>
                <w:sz w:val="20"/>
                <w:lang w:eastAsia="es-CR"/>
              </w:rPr>
              <w:t>54%</w:t>
            </w:r>
          </w:p>
        </w:tc>
        <w:tc>
          <w:tcPr>
            <w:tcW w:w="1046" w:type="dxa"/>
            <w:vMerge w:val="restart"/>
            <w:tcBorders>
              <w:top w:val="nil"/>
              <w:left w:val="nil"/>
              <w:right w:val="single" w:sz="4" w:space="0" w:color="auto"/>
            </w:tcBorders>
            <w:shd w:val="clear" w:color="auto" w:fill="auto"/>
            <w:vAlign w:val="center"/>
            <w:hideMark/>
          </w:tcPr>
          <w:p w14:paraId="482056FD" w14:textId="5A677F99" w:rsidR="00C74E15" w:rsidRPr="004E74A6" w:rsidRDefault="00C74E15" w:rsidP="00832773">
            <w:pPr>
              <w:spacing w:line="276" w:lineRule="auto"/>
              <w:jc w:val="center"/>
              <w:rPr>
                <w:rFonts w:cs="Calibri"/>
                <w:color w:val="000000"/>
                <w:sz w:val="20"/>
                <w:lang w:eastAsia="es-CR"/>
              </w:rPr>
            </w:pPr>
            <w:r w:rsidRPr="004E74A6">
              <w:rPr>
                <w:rFonts w:cs="Calibri"/>
                <w:color w:val="000000"/>
                <w:sz w:val="20"/>
                <w:lang w:eastAsia="es-CR"/>
              </w:rPr>
              <w:t>26,7</w:t>
            </w:r>
          </w:p>
        </w:tc>
        <w:tc>
          <w:tcPr>
            <w:tcW w:w="1412" w:type="dxa"/>
            <w:tcBorders>
              <w:top w:val="nil"/>
              <w:left w:val="single" w:sz="4" w:space="0" w:color="auto"/>
              <w:right w:val="single" w:sz="4" w:space="0" w:color="auto"/>
            </w:tcBorders>
            <w:vAlign w:val="center"/>
          </w:tcPr>
          <w:p w14:paraId="73092EED" w14:textId="07B5D67D" w:rsidR="00C74E15" w:rsidRPr="004E74A6" w:rsidRDefault="00A06F90" w:rsidP="00832773">
            <w:pPr>
              <w:spacing w:line="276" w:lineRule="auto"/>
              <w:jc w:val="center"/>
              <w:rPr>
                <w:rFonts w:cs="Calibri"/>
                <w:color w:val="000000"/>
                <w:sz w:val="20"/>
                <w:lang w:eastAsia="es-CR"/>
              </w:rPr>
            </w:pPr>
            <w:r w:rsidRPr="004E74A6">
              <w:rPr>
                <w:rFonts w:cs="Calibri"/>
                <w:color w:val="000000"/>
                <w:sz w:val="20"/>
                <w:lang w:eastAsia="es-CR"/>
              </w:rPr>
              <w:t>429</w:t>
            </w:r>
          </w:p>
        </w:tc>
        <w:tc>
          <w:tcPr>
            <w:tcW w:w="2177" w:type="dxa"/>
            <w:tcBorders>
              <w:top w:val="nil"/>
              <w:left w:val="single" w:sz="4" w:space="0" w:color="auto"/>
              <w:bottom w:val="nil"/>
              <w:right w:val="nil"/>
            </w:tcBorders>
            <w:shd w:val="clear" w:color="auto" w:fill="auto"/>
            <w:vAlign w:val="center"/>
            <w:hideMark/>
          </w:tcPr>
          <w:p w14:paraId="1BB60DF7" w14:textId="442FA63C" w:rsidR="00C74E15" w:rsidRPr="004E74A6" w:rsidRDefault="00C74E15" w:rsidP="00832773">
            <w:pPr>
              <w:spacing w:line="276" w:lineRule="auto"/>
              <w:jc w:val="center"/>
              <w:rPr>
                <w:rFonts w:cs="Calibri"/>
                <w:color w:val="000000"/>
                <w:sz w:val="20"/>
                <w:lang w:eastAsia="es-CR"/>
              </w:rPr>
            </w:pPr>
            <w:r w:rsidRPr="004E74A6">
              <w:rPr>
                <w:rFonts w:cs="Calibri"/>
                <w:color w:val="000000"/>
                <w:sz w:val="20"/>
                <w:lang w:eastAsia="es-CR"/>
              </w:rPr>
              <w:t>3%</w:t>
            </w:r>
          </w:p>
        </w:tc>
      </w:tr>
      <w:tr w:rsidR="00992BAD" w:rsidRPr="004E74A6" w14:paraId="3563AC9F" w14:textId="77777777" w:rsidTr="00832773">
        <w:trPr>
          <w:trHeight w:val="454"/>
          <w:jc w:val="center"/>
        </w:trPr>
        <w:tc>
          <w:tcPr>
            <w:tcW w:w="3261" w:type="dxa"/>
            <w:tcBorders>
              <w:top w:val="nil"/>
              <w:left w:val="nil"/>
              <w:bottom w:val="nil"/>
              <w:right w:val="single" w:sz="8" w:space="0" w:color="auto"/>
            </w:tcBorders>
            <w:shd w:val="clear" w:color="auto" w:fill="F2F2F2" w:themeFill="background1" w:themeFillShade="F2"/>
            <w:vAlign w:val="center"/>
            <w:hideMark/>
          </w:tcPr>
          <w:p w14:paraId="3C1C18CD" w14:textId="77777777" w:rsidR="00C74E15" w:rsidRPr="004E74A6" w:rsidRDefault="00C74E15" w:rsidP="00832773">
            <w:pPr>
              <w:spacing w:line="276" w:lineRule="auto"/>
              <w:rPr>
                <w:rFonts w:cs="Calibri"/>
                <w:color w:val="000000"/>
                <w:sz w:val="20"/>
                <w:lang w:eastAsia="es-CR"/>
              </w:rPr>
            </w:pPr>
            <w:r w:rsidRPr="004E74A6">
              <w:rPr>
                <w:rFonts w:cs="Calibri"/>
                <w:color w:val="000000"/>
                <w:sz w:val="20"/>
                <w:lang w:eastAsia="es-CR"/>
              </w:rPr>
              <w:t>Juzgado Civil y Trabajo de Cañas</w:t>
            </w:r>
          </w:p>
        </w:tc>
        <w:tc>
          <w:tcPr>
            <w:tcW w:w="1319" w:type="dxa"/>
            <w:tcBorders>
              <w:top w:val="nil"/>
              <w:left w:val="nil"/>
              <w:bottom w:val="nil"/>
              <w:right w:val="single" w:sz="8" w:space="0" w:color="auto"/>
            </w:tcBorders>
            <w:shd w:val="clear" w:color="auto" w:fill="F2F2F2" w:themeFill="background1" w:themeFillShade="F2"/>
            <w:vAlign w:val="center"/>
            <w:hideMark/>
          </w:tcPr>
          <w:p w14:paraId="1CF05567" w14:textId="77777777" w:rsidR="00C74E15" w:rsidRPr="004E74A6" w:rsidRDefault="00C74E15" w:rsidP="00832773">
            <w:pPr>
              <w:spacing w:line="276" w:lineRule="auto"/>
              <w:jc w:val="center"/>
              <w:rPr>
                <w:rFonts w:cs="Calibri"/>
                <w:color w:val="000000"/>
                <w:sz w:val="20"/>
                <w:lang w:eastAsia="es-CR"/>
              </w:rPr>
            </w:pPr>
            <w:r w:rsidRPr="004E74A6">
              <w:rPr>
                <w:rFonts w:cs="Calibri"/>
                <w:color w:val="000000"/>
                <w:sz w:val="20"/>
                <w:lang w:eastAsia="es-CR"/>
              </w:rPr>
              <w:t>227</w:t>
            </w:r>
          </w:p>
        </w:tc>
        <w:tc>
          <w:tcPr>
            <w:tcW w:w="2176" w:type="dxa"/>
            <w:tcBorders>
              <w:top w:val="nil"/>
              <w:left w:val="nil"/>
              <w:bottom w:val="nil"/>
              <w:right w:val="single" w:sz="8" w:space="0" w:color="auto"/>
            </w:tcBorders>
            <w:shd w:val="clear" w:color="auto" w:fill="F2F2F2" w:themeFill="background1" w:themeFillShade="F2"/>
            <w:vAlign w:val="center"/>
            <w:hideMark/>
          </w:tcPr>
          <w:p w14:paraId="4B091D98" w14:textId="77777777" w:rsidR="00C74E15" w:rsidRPr="004E74A6" w:rsidRDefault="00C74E15" w:rsidP="00832773">
            <w:pPr>
              <w:spacing w:line="276" w:lineRule="auto"/>
              <w:jc w:val="center"/>
              <w:rPr>
                <w:rFonts w:cs="Calibri"/>
                <w:color w:val="000000"/>
                <w:sz w:val="20"/>
                <w:lang w:eastAsia="es-CR"/>
              </w:rPr>
            </w:pPr>
            <w:r w:rsidRPr="004E74A6">
              <w:rPr>
                <w:rFonts w:cs="Calibri"/>
                <w:color w:val="000000"/>
                <w:sz w:val="20"/>
                <w:lang w:eastAsia="es-CR"/>
              </w:rPr>
              <w:t>29%</w:t>
            </w:r>
          </w:p>
        </w:tc>
        <w:tc>
          <w:tcPr>
            <w:tcW w:w="1046" w:type="dxa"/>
            <w:vMerge/>
            <w:tcBorders>
              <w:left w:val="nil"/>
              <w:right w:val="single" w:sz="4" w:space="0" w:color="auto"/>
            </w:tcBorders>
            <w:shd w:val="clear" w:color="auto" w:fill="F2F2F2" w:themeFill="background1" w:themeFillShade="F2"/>
            <w:vAlign w:val="center"/>
            <w:hideMark/>
          </w:tcPr>
          <w:p w14:paraId="37C12D81" w14:textId="371AA1F2" w:rsidR="00C74E15" w:rsidRPr="004E74A6" w:rsidRDefault="00C74E15" w:rsidP="00832773">
            <w:pPr>
              <w:spacing w:line="276" w:lineRule="auto"/>
              <w:jc w:val="center"/>
              <w:rPr>
                <w:rFonts w:cs="Calibri"/>
                <w:color w:val="000000"/>
                <w:sz w:val="20"/>
                <w:lang w:eastAsia="es-CR"/>
              </w:rPr>
            </w:pPr>
          </w:p>
        </w:tc>
        <w:tc>
          <w:tcPr>
            <w:tcW w:w="1412" w:type="dxa"/>
            <w:tcBorders>
              <w:left w:val="single" w:sz="4" w:space="0" w:color="auto"/>
              <w:right w:val="single" w:sz="4" w:space="0" w:color="auto"/>
            </w:tcBorders>
            <w:shd w:val="clear" w:color="auto" w:fill="F2F2F2" w:themeFill="background1" w:themeFillShade="F2"/>
            <w:vAlign w:val="center"/>
          </w:tcPr>
          <w:p w14:paraId="1945C350" w14:textId="7723649F" w:rsidR="00C74E15" w:rsidRPr="004E74A6" w:rsidRDefault="00A06F90" w:rsidP="00832773">
            <w:pPr>
              <w:spacing w:line="276" w:lineRule="auto"/>
              <w:jc w:val="center"/>
              <w:rPr>
                <w:rFonts w:cs="Calibri"/>
                <w:color w:val="000000"/>
                <w:sz w:val="20"/>
                <w:lang w:eastAsia="es-CR"/>
              </w:rPr>
            </w:pPr>
            <w:r w:rsidRPr="004E74A6">
              <w:rPr>
                <w:rFonts w:cs="Calibri"/>
                <w:color w:val="000000"/>
                <w:sz w:val="20"/>
                <w:lang w:eastAsia="es-CR"/>
              </w:rPr>
              <w:t>235</w:t>
            </w:r>
          </w:p>
        </w:tc>
        <w:tc>
          <w:tcPr>
            <w:tcW w:w="2177" w:type="dxa"/>
            <w:tcBorders>
              <w:top w:val="nil"/>
              <w:left w:val="single" w:sz="4" w:space="0" w:color="auto"/>
              <w:bottom w:val="nil"/>
              <w:right w:val="nil"/>
            </w:tcBorders>
            <w:shd w:val="clear" w:color="auto" w:fill="F2F2F2" w:themeFill="background1" w:themeFillShade="F2"/>
            <w:vAlign w:val="center"/>
            <w:hideMark/>
          </w:tcPr>
          <w:p w14:paraId="08FB8D2D" w14:textId="7D17E8AA" w:rsidR="00C74E15" w:rsidRPr="004E74A6" w:rsidRDefault="00C74E15" w:rsidP="00832773">
            <w:pPr>
              <w:spacing w:line="276" w:lineRule="auto"/>
              <w:jc w:val="center"/>
              <w:rPr>
                <w:rFonts w:cs="Calibri"/>
                <w:color w:val="000000"/>
                <w:sz w:val="20"/>
                <w:lang w:eastAsia="es-CR"/>
              </w:rPr>
            </w:pPr>
            <w:r w:rsidRPr="004E74A6">
              <w:rPr>
                <w:rFonts w:cs="Calibri"/>
                <w:color w:val="000000"/>
                <w:sz w:val="20"/>
                <w:lang w:eastAsia="es-CR"/>
              </w:rPr>
              <w:t>3%</w:t>
            </w:r>
          </w:p>
        </w:tc>
      </w:tr>
      <w:tr w:rsidR="00186B25" w:rsidRPr="004E74A6" w14:paraId="4DBB7F9C" w14:textId="77777777" w:rsidTr="001D7959">
        <w:trPr>
          <w:trHeight w:val="454"/>
          <w:jc w:val="center"/>
        </w:trPr>
        <w:tc>
          <w:tcPr>
            <w:tcW w:w="3261" w:type="dxa"/>
            <w:tcBorders>
              <w:top w:val="nil"/>
              <w:left w:val="nil"/>
              <w:bottom w:val="nil"/>
              <w:right w:val="single" w:sz="8" w:space="0" w:color="auto"/>
            </w:tcBorders>
            <w:shd w:val="clear" w:color="auto" w:fill="auto"/>
            <w:vAlign w:val="center"/>
            <w:hideMark/>
          </w:tcPr>
          <w:p w14:paraId="4BE22F38" w14:textId="77777777" w:rsidR="00C74E15" w:rsidRPr="004E74A6" w:rsidRDefault="00C74E15" w:rsidP="00832773">
            <w:pPr>
              <w:spacing w:line="276" w:lineRule="auto"/>
              <w:rPr>
                <w:rFonts w:cs="Calibri"/>
                <w:color w:val="000000"/>
                <w:sz w:val="20"/>
                <w:lang w:eastAsia="es-CR"/>
              </w:rPr>
            </w:pPr>
            <w:r w:rsidRPr="004E74A6">
              <w:rPr>
                <w:rFonts w:cs="Calibri"/>
                <w:color w:val="000000"/>
                <w:sz w:val="20"/>
                <w:lang w:eastAsia="es-CR"/>
              </w:rPr>
              <w:t>Juzgado Civil, Trabajo, Familia, Penal Juvenil, Agrario y contra la Violencia Doméstica de Upala</w:t>
            </w:r>
          </w:p>
        </w:tc>
        <w:tc>
          <w:tcPr>
            <w:tcW w:w="1319" w:type="dxa"/>
            <w:tcBorders>
              <w:top w:val="nil"/>
              <w:left w:val="nil"/>
              <w:bottom w:val="nil"/>
              <w:right w:val="single" w:sz="8" w:space="0" w:color="auto"/>
            </w:tcBorders>
            <w:shd w:val="clear" w:color="auto" w:fill="auto"/>
            <w:vAlign w:val="center"/>
            <w:hideMark/>
          </w:tcPr>
          <w:p w14:paraId="3F3A60EB" w14:textId="77777777" w:rsidR="00C74E15" w:rsidRPr="004E74A6" w:rsidRDefault="00C74E15" w:rsidP="00832773">
            <w:pPr>
              <w:spacing w:line="276" w:lineRule="auto"/>
              <w:jc w:val="center"/>
              <w:rPr>
                <w:rFonts w:cs="Calibri"/>
                <w:color w:val="000000"/>
                <w:sz w:val="20"/>
                <w:lang w:eastAsia="es-CR"/>
              </w:rPr>
            </w:pPr>
            <w:r w:rsidRPr="004E74A6">
              <w:rPr>
                <w:rFonts w:cs="Calibri"/>
                <w:color w:val="000000"/>
                <w:sz w:val="20"/>
                <w:lang w:eastAsia="es-CR"/>
              </w:rPr>
              <w:t>128</w:t>
            </w:r>
          </w:p>
        </w:tc>
        <w:tc>
          <w:tcPr>
            <w:tcW w:w="2176" w:type="dxa"/>
            <w:tcBorders>
              <w:top w:val="nil"/>
              <w:left w:val="nil"/>
              <w:bottom w:val="nil"/>
              <w:right w:val="single" w:sz="8" w:space="0" w:color="auto"/>
            </w:tcBorders>
            <w:shd w:val="clear" w:color="auto" w:fill="auto"/>
            <w:vAlign w:val="center"/>
            <w:hideMark/>
          </w:tcPr>
          <w:p w14:paraId="3DA4EE97" w14:textId="77777777" w:rsidR="00C74E15" w:rsidRPr="004E74A6" w:rsidRDefault="00C74E15" w:rsidP="00832773">
            <w:pPr>
              <w:spacing w:line="276" w:lineRule="auto"/>
              <w:jc w:val="center"/>
              <w:rPr>
                <w:rFonts w:cs="Calibri"/>
                <w:color w:val="000000"/>
                <w:sz w:val="20"/>
                <w:lang w:eastAsia="es-CR"/>
              </w:rPr>
            </w:pPr>
            <w:r w:rsidRPr="004E74A6">
              <w:rPr>
                <w:rFonts w:cs="Calibri"/>
                <w:color w:val="000000"/>
                <w:sz w:val="20"/>
                <w:lang w:eastAsia="es-CR"/>
              </w:rPr>
              <w:t>17%</w:t>
            </w:r>
          </w:p>
        </w:tc>
        <w:tc>
          <w:tcPr>
            <w:tcW w:w="1046" w:type="dxa"/>
            <w:vMerge/>
            <w:tcBorders>
              <w:left w:val="nil"/>
              <w:bottom w:val="nil"/>
              <w:right w:val="single" w:sz="4" w:space="0" w:color="auto"/>
            </w:tcBorders>
            <w:shd w:val="clear" w:color="auto" w:fill="auto"/>
            <w:vAlign w:val="center"/>
            <w:hideMark/>
          </w:tcPr>
          <w:p w14:paraId="7B61DAD0" w14:textId="4FACC4DF" w:rsidR="00C74E15" w:rsidRPr="004E74A6" w:rsidRDefault="00C74E15" w:rsidP="00832773">
            <w:pPr>
              <w:spacing w:line="276" w:lineRule="auto"/>
              <w:jc w:val="center"/>
              <w:rPr>
                <w:rFonts w:cs="Calibri"/>
                <w:color w:val="000000"/>
                <w:sz w:val="20"/>
                <w:lang w:eastAsia="es-CR"/>
              </w:rPr>
            </w:pPr>
          </w:p>
        </w:tc>
        <w:tc>
          <w:tcPr>
            <w:tcW w:w="1412" w:type="dxa"/>
            <w:tcBorders>
              <w:left w:val="single" w:sz="4" w:space="0" w:color="auto"/>
              <w:bottom w:val="nil"/>
              <w:right w:val="single" w:sz="4" w:space="0" w:color="auto"/>
            </w:tcBorders>
            <w:vAlign w:val="center"/>
          </w:tcPr>
          <w:p w14:paraId="17AD1775" w14:textId="6D103424" w:rsidR="00C74E15" w:rsidRPr="004E74A6" w:rsidRDefault="00A06F90" w:rsidP="00832773">
            <w:pPr>
              <w:spacing w:line="276" w:lineRule="auto"/>
              <w:jc w:val="center"/>
              <w:rPr>
                <w:rFonts w:cs="Calibri"/>
                <w:color w:val="000000"/>
                <w:sz w:val="20"/>
                <w:lang w:eastAsia="es-CR"/>
              </w:rPr>
            </w:pPr>
            <w:r w:rsidRPr="004E74A6">
              <w:rPr>
                <w:rFonts w:cs="Calibri"/>
                <w:color w:val="000000"/>
                <w:sz w:val="20"/>
                <w:lang w:eastAsia="es-CR"/>
              </w:rPr>
              <w:t>132</w:t>
            </w:r>
          </w:p>
        </w:tc>
        <w:tc>
          <w:tcPr>
            <w:tcW w:w="2177" w:type="dxa"/>
            <w:tcBorders>
              <w:top w:val="nil"/>
              <w:left w:val="single" w:sz="4" w:space="0" w:color="auto"/>
              <w:bottom w:val="nil"/>
              <w:right w:val="nil"/>
            </w:tcBorders>
            <w:shd w:val="clear" w:color="auto" w:fill="auto"/>
            <w:vAlign w:val="center"/>
            <w:hideMark/>
          </w:tcPr>
          <w:p w14:paraId="74145419" w14:textId="637842F2" w:rsidR="00C74E15" w:rsidRPr="004E74A6" w:rsidRDefault="00C74E15" w:rsidP="00832773">
            <w:pPr>
              <w:spacing w:line="276" w:lineRule="auto"/>
              <w:jc w:val="center"/>
              <w:rPr>
                <w:rFonts w:cs="Calibri"/>
                <w:color w:val="000000"/>
                <w:sz w:val="20"/>
                <w:lang w:eastAsia="es-CR"/>
              </w:rPr>
            </w:pPr>
            <w:r w:rsidRPr="004E74A6">
              <w:rPr>
                <w:rFonts w:cs="Calibri"/>
                <w:color w:val="000000"/>
                <w:sz w:val="20"/>
                <w:lang w:eastAsia="es-CR"/>
              </w:rPr>
              <w:t>3%</w:t>
            </w:r>
          </w:p>
        </w:tc>
      </w:tr>
      <w:tr w:rsidR="00C74E15" w:rsidRPr="004E74A6" w14:paraId="5A34FA9E" w14:textId="77777777" w:rsidTr="00832773">
        <w:trPr>
          <w:trHeight w:val="454"/>
          <w:jc w:val="center"/>
        </w:trPr>
        <w:tc>
          <w:tcPr>
            <w:tcW w:w="3261" w:type="dxa"/>
            <w:tcBorders>
              <w:top w:val="nil"/>
              <w:left w:val="nil"/>
              <w:bottom w:val="nil"/>
              <w:right w:val="single" w:sz="4" w:space="0" w:color="A6A6A6"/>
            </w:tcBorders>
            <w:shd w:val="clear" w:color="000000" w:fill="A6A6A6"/>
            <w:vAlign w:val="center"/>
            <w:hideMark/>
          </w:tcPr>
          <w:p w14:paraId="3AD243B0" w14:textId="77777777" w:rsidR="00C74E15" w:rsidRPr="004E74A6" w:rsidRDefault="00C74E15" w:rsidP="00832773">
            <w:pPr>
              <w:spacing w:line="276" w:lineRule="auto"/>
              <w:jc w:val="center"/>
              <w:rPr>
                <w:rFonts w:cs="Calibri"/>
                <w:b/>
                <w:bCs/>
                <w:color w:val="000000"/>
                <w:sz w:val="20"/>
                <w:lang w:eastAsia="es-CR"/>
              </w:rPr>
            </w:pPr>
            <w:r w:rsidRPr="004E74A6">
              <w:rPr>
                <w:rFonts w:cs="Calibri"/>
                <w:b/>
                <w:bCs/>
                <w:color w:val="000000"/>
                <w:sz w:val="20"/>
                <w:lang w:eastAsia="es-CR"/>
              </w:rPr>
              <w:t>Guanacaste, Nicoya</w:t>
            </w:r>
          </w:p>
        </w:tc>
        <w:tc>
          <w:tcPr>
            <w:tcW w:w="1319" w:type="dxa"/>
            <w:tcBorders>
              <w:top w:val="nil"/>
              <w:left w:val="nil"/>
              <w:bottom w:val="nil"/>
              <w:right w:val="single" w:sz="4" w:space="0" w:color="A6A6A6"/>
            </w:tcBorders>
            <w:shd w:val="clear" w:color="000000" w:fill="A6A6A6"/>
            <w:vAlign w:val="center"/>
            <w:hideMark/>
          </w:tcPr>
          <w:p w14:paraId="2F7B79ED" w14:textId="77777777" w:rsidR="00C74E15" w:rsidRPr="004E74A6" w:rsidRDefault="00C74E15" w:rsidP="00832773">
            <w:pPr>
              <w:spacing w:line="276" w:lineRule="auto"/>
              <w:jc w:val="center"/>
              <w:rPr>
                <w:rFonts w:cs="Calibri"/>
                <w:color w:val="000000"/>
                <w:sz w:val="20"/>
                <w:lang w:eastAsia="es-CR"/>
              </w:rPr>
            </w:pPr>
            <w:r w:rsidRPr="004E74A6">
              <w:rPr>
                <w:rFonts w:cs="Calibri"/>
                <w:color w:val="000000"/>
                <w:sz w:val="20"/>
                <w:lang w:eastAsia="es-CR"/>
              </w:rPr>
              <w:t>865</w:t>
            </w:r>
          </w:p>
        </w:tc>
        <w:tc>
          <w:tcPr>
            <w:tcW w:w="2176" w:type="dxa"/>
            <w:tcBorders>
              <w:top w:val="nil"/>
              <w:left w:val="nil"/>
              <w:bottom w:val="nil"/>
              <w:right w:val="single" w:sz="4" w:space="0" w:color="A6A6A6"/>
            </w:tcBorders>
            <w:shd w:val="clear" w:color="000000" w:fill="A6A6A6"/>
            <w:vAlign w:val="center"/>
            <w:hideMark/>
          </w:tcPr>
          <w:p w14:paraId="2F013B69" w14:textId="77777777" w:rsidR="00C74E15" w:rsidRPr="004E74A6" w:rsidRDefault="00C74E15" w:rsidP="00832773">
            <w:pPr>
              <w:spacing w:line="276" w:lineRule="auto"/>
              <w:jc w:val="center"/>
              <w:rPr>
                <w:rFonts w:cs="Calibri"/>
                <w:color w:val="000000"/>
                <w:sz w:val="20"/>
                <w:lang w:eastAsia="es-CR"/>
              </w:rPr>
            </w:pPr>
            <w:r w:rsidRPr="004E74A6">
              <w:rPr>
                <w:rFonts w:cs="Calibri"/>
                <w:color w:val="000000"/>
                <w:sz w:val="20"/>
                <w:lang w:eastAsia="es-CR"/>
              </w:rPr>
              <w:t> </w:t>
            </w:r>
          </w:p>
        </w:tc>
        <w:tc>
          <w:tcPr>
            <w:tcW w:w="1046" w:type="dxa"/>
            <w:tcBorders>
              <w:top w:val="nil"/>
              <w:left w:val="nil"/>
              <w:bottom w:val="nil"/>
              <w:right w:val="single" w:sz="4" w:space="0" w:color="auto"/>
            </w:tcBorders>
            <w:shd w:val="clear" w:color="000000" w:fill="A6A6A6"/>
            <w:vAlign w:val="center"/>
            <w:hideMark/>
          </w:tcPr>
          <w:p w14:paraId="5D50FB77" w14:textId="77777777" w:rsidR="00C74E15" w:rsidRPr="004E74A6" w:rsidRDefault="00C74E15" w:rsidP="00832773">
            <w:pPr>
              <w:spacing w:line="276" w:lineRule="auto"/>
              <w:jc w:val="center"/>
              <w:rPr>
                <w:rFonts w:cs="Calibri"/>
                <w:color w:val="000000"/>
                <w:sz w:val="20"/>
                <w:lang w:eastAsia="es-CR"/>
              </w:rPr>
            </w:pPr>
            <w:r w:rsidRPr="004E74A6">
              <w:rPr>
                <w:rFonts w:cs="Calibri"/>
                <w:color w:val="000000"/>
                <w:sz w:val="20"/>
                <w:lang w:eastAsia="es-CR"/>
              </w:rPr>
              <w:t> </w:t>
            </w:r>
          </w:p>
        </w:tc>
        <w:tc>
          <w:tcPr>
            <w:tcW w:w="1412" w:type="dxa"/>
            <w:tcBorders>
              <w:top w:val="nil"/>
              <w:left w:val="single" w:sz="4" w:space="0" w:color="auto"/>
              <w:bottom w:val="nil"/>
              <w:right w:val="single" w:sz="4" w:space="0" w:color="auto"/>
            </w:tcBorders>
            <w:shd w:val="clear" w:color="000000" w:fill="A6A6A6"/>
            <w:vAlign w:val="center"/>
          </w:tcPr>
          <w:p w14:paraId="6F4FFCC9" w14:textId="77777777" w:rsidR="00C74E15" w:rsidRPr="004E74A6" w:rsidRDefault="00C74E15" w:rsidP="00832773">
            <w:pPr>
              <w:spacing w:line="276" w:lineRule="auto"/>
              <w:jc w:val="center"/>
              <w:rPr>
                <w:rFonts w:cs="Calibri"/>
                <w:color w:val="000000"/>
                <w:sz w:val="20"/>
                <w:lang w:eastAsia="es-CR"/>
              </w:rPr>
            </w:pPr>
          </w:p>
        </w:tc>
        <w:tc>
          <w:tcPr>
            <w:tcW w:w="2177" w:type="dxa"/>
            <w:tcBorders>
              <w:top w:val="nil"/>
              <w:left w:val="single" w:sz="4" w:space="0" w:color="auto"/>
              <w:bottom w:val="nil"/>
              <w:right w:val="nil"/>
            </w:tcBorders>
            <w:shd w:val="clear" w:color="000000" w:fill="A6A6A6"/>
            <w:vAlign w:val="center"/>
            <w:hideMark/>
          </w:tcPr>
          <w:p w14:paraId="06CBF9A6" w14:textId="19FF3990" w:rsidR="00C74E15" w:rsidRPr="004E74A6" w:rsidRDefault="00C74E15" w:rsidP="00832773">
            <w:pPr>
              <w:spacing w:line="276" w:lineRule="auto"/>
              <w:jc w:val="center"/>
              <w:rPr>
                <w:rFonts w:cs="Calibri"/>
                <w:color w:val="000000"/>
                <w:sz w:val="20"/>
                <w:lang w:eastAsia="es-CR"/>
              </w:rPr>
            </w:pPr>
            <w:r w:rsidRPr="004E74A6">
              <w:rPr>
                <w:rFonts w:cs="Calibri"/>
                <w:color w:val="000000"/>
                <w:sz w:val="20"/>
                <w:lang w:eastAsia="es-CR"/>
              </w:rPr>
              <w:t> </w:t>
            </w:r>
          </w:p>
        </w:tc>
      </w:tr>
      <w:tr w:rsidR="00186B25" w:rsidRPr="004E74A6" w14:paraId="58F39029" w14:textId="77777777" w:rsidTr="001D7959">
        <w:trPr>
          <w:trHeight w:val="454"/>
          <w:jc w:val="center"/>
        </w:trPr>
        <w:tc>
          <w:tcPr>
            <w:tcW w:w="3261" w:type="dxa"/>
            <w:tcBorders>
              <w:top w:val="nil"/>
              <w:left w:val="nil"/>
              <w:bottom w:val="nil"/>
              <w:right w:val="single" w:sz="8" w:space="0" w:color="auto"/>
            </w:tcBorders>
            <w:shd w:val="clear" w:color="auto" w:fill="auto"/>
            <w:vAlign w:val="center"/>
            <w:hideMark/>
          </w:tcPr>
          <w:p w14:paraId="3D7F6AC5" w14:textId="77777777" w:rsidR="00C74E15" w:rsidRPr="004E74A6" w:rsidRDefault="00C74E15" w:rsidP="00832773">
            <w:pPr>
              <w:spacing w:line="276" w:lineRule="auto"/>
              <w:rPr>
                <w:rFonts w:cs="Calibri"/>
                <w:color w:val="000000"/>
                <w:sz w:val="20"/>
                <w:lang w:eastAsia="es-CR"/>
              </w:rPr>
            </w:pPr>
            <w:r w:rsidRPr="004E74A6">
              <w:rPr>
                <w:rFonts w:cs="Calibri"/>
                <w:color w:val="000000"/>
                <w:sz w:val="20"/>
                <w:lang w:eastAsia="es-CR"/>
              </w:rPr>
              <w:t>Juzgado Civil y Trabajo de Nicoya</w:t>
            </w:r>
          </w:p>
        </w:tc>
        <w:tc>
          <w:tcPr>
            <w:tcW w:w="1319" w:type="dxa"/>
            <w:tcBorders>
              <w:top w:val="nil"/>
              <w:left w:val="nil"/>
              <w:bottom w:val="nil"/>
              <w:right w:val="single" w:sz="8" w:space="0" w:color="auto"/>
            </w:tcBorders>
            <w:shd w:val="clear" w:color="auto" w:fill="auto"/>
            <w:vAlign w:val="center"/>
            <w:hideMark/>
          </w:tcPr>
          <w:p w14:paraId="5C2FEC91" w14:textId="77777777" w:rsidR="00C74E15" w:rsidRPr="004E74A6" w:rsidRDefault="00C74E15" w:rsidP="00832773">
            <w:pPr>
              <w:spacing w:line="276" w:lineRule="auto"/>
              <w:jc w:val="center"/>
              <w:rPr>
                <w:rFonts w:cs="Calibri"/>
                <w:color w:val="000000"/>
                <w:sz w:val="20"/>
                <w:lang w:eastAsia="es-CR"/>
              </w:rPr>
            </w:pPr>
            <w:r w:rsidRPr="004E74A6">
              <w:rPr>
                <w:rFonts w:cs="Calibri"/>
                <w:color w:val="000000"/>
                <w:sz w:val="20"/>
                <w:lang w:eastAsia="es-CR"/>
              </w:rPr>
              <w:t>270</w:t>
            </w:r>
          </w:p>
        </w:tc>
        <w:tc>
          <w:tcPr>
            <w:tcW w:w="2176" w:type="dxa"/>
            <w:tcBorders>
              <w:top w:val="nil"/>
              <w:left w:val="nil"/>
              <w:bottom w:val="nil"/>
              <w:right w:val="single" w:sz="8" w:space="0" w:color="auto"/>
            </w:tcBorders>
            <w:shd w:val="clear" w:color="auto" w:fill="auto"/>
            <w:vAlign w:val="center"/>
            <w:hideMark/>
          </w:tcPr>
          <w:p w14:paraId="3593712F" w14:textId="77777777" w:rsidR="00C74E15" w:rsidRPr="004E74A6" w:rsidRDefault="00C74E15" w:rsidP="00832773">
            <w:pPr>
              <w:spacing w:line="276" w:lineRule="auto"/>
              <w:jc w:val="center"/>
              <w:rPr>
                <w:rFonts w:cs="Calibri"/>
                <w:color w:val="000000"/>
                <w:sz w:val="20"/>
                <w:lang w:eastAsia="es-CR"/>
              </w:rPr>
            </w:pPr>
            <w:r w:rsidRPr="004E74A6">
              <w:rPr>
                <w:rFonts w:cs="Calibri"/>
                <w:color w:val="000000"/>
                <w:sz w:val="20"/>
                <w:lang w:eastAsia="es-CR"/>
              </w:rPr>
              <w:t>31%</w:t>
            </w:r>
          </w:p>
        </w:tc>
        <w:tc>
          <w:tcPr>
            <w:tcW w:w="1046" w:type="dxa"/>
            <w:vMerge w:val="restart"/>
            <w:tcBorders>
              <w:top w:val="nil"/>
              <w:left w:val="nil"/>
              <w:right w:val="single" w:sz="4" w:space="0" w:color="auto"/>
            </w:tcBorders>
            <w:shd w:val="clear" w:color="auto" w:fill="auto"/>
            <w:vAlign w:val="center"/>
            <w:hideMark/>
          </w:tcPr>
          <w:p w14:paraId="7469F13C" w14:textId="40F49D53" w:rsidR="00C74E15" w:rsidRPr="004E74A6" w:rsidRDefault="00C74E15" w:rsidP="00832773">
            <w:pPr>
              <w:spacing w:line="276" w:lineRule="auto"/>
              <w:jc w:val="center"/>
              <w:rPr>
                <w:rFonts w:cs="Calibri"/>
                <w:color w:val="000000"/>
                <w:sz w:val="20"/>
                <w:lang w:eastAsia="es-CR"/>
              </w:rPr>
            </w:pPr>
            <w:r w:rsidRPr="004E74A6">
              <w:rPr>
                <w:rFonts w:cs="Calibri"/>
                <w:color w:val="000000"/>
                <w:sz w:val="20"/>
                <w:lang w:eastAsia="es-CR"/>
              </w:rPr>
              <w:t>9,0 </w:t>
            </w:r>
          </w:p>
        </w:tc>
        <w:tc>
          <w:tcPr>
            <w:tcW w:w="1412" w:type="dxa"/>
            <w:tcBorders>
              <w:top w:val="nil"/>
              <w:left w:val="single" w:sz="4" w:space="0" w:color="auto"/>
              <w:right w:val="single" w:sz="4" w:space="0" w:color="auto"/>
            </w:tcBorders>
            <w:vAlign w:val="center"/>
          </w:tcPr>
          <w:p w14:paraId="7A23C964" w14:textId="0146C221" w:rsidR="00C74E15" w:rsidRPr="004E74A6" w:rsidRDefault="00A06F90" w:rsidP="00832773">
            <w:pPr>
              <w:spacing w:line="276" w:lineRule="auto"/>
              <w:jc w:val="center"/>
              <w:rPr>
                <w:rFonts w:cs="Calibri"/>
                <w:color w:val="000000"/>
                <w:sz w:val="20"/>
                <w:lang w:eastAsia="es-CR"/>
              </w:rPr>
            </w:pPr>
            <w:r w:rsidRPr="004E74A6">
              <w:rPr>
                <w:rFonts w:cs="Calibri"/>
                <w:color w:val="000000"/>
                <w:sz w:val="20"/>
                <w:lang w:eastAsia="es-CR"/>
              </w:rPr>
              <w:t>273</w:t>
            </w:r>
          </w:p>
        </w:tc>
        <w:tc>
          <w:tcPr>
            <w:tcW w:w="2177" w:type="dxa"/>
            <w:tcBorders>
              <w:top w:val="nil"/>
              <w:left w:val="single" w:sz="4" w:space="0" w:color="auto"/>
              <w:bottom w:val="nil"/>
              <w:right w:val="nil"/>
            </w:tcBorders>
            <w:shd w:val="clear" w:color="auto" w:fill="auto"/>
            <w:vAlign w:val="center"/>
            <w:hideMark/>
          </w:tcPr>
          <w:p w14:paraId="1F5890D9" w14:textId="52BEBB49" w:rsidR="00C74E15" w:rsidRPr="004E74A6" w:rsidRDefault="00C74E15" w:rsidP="00832773">
            <w:pPr>
              <w:spacing w:line="276" w:lineRule="auto"/>
              <w:jc w:val="center"/>
              <w:rPr>
                <w:rFonts w:cs="Calibri"/>
                <w:color w:val="000000"/>
                <w:sz w:val="20"/>
                <w:lang w:eastAsia="es-CR"/>
              </w:rPr>
            </w:pPr>
            <w:r w:rsidRPr="004E74A6">
              <w:rPr>
                <w:rFonts w:cs="Calibri"/>
                <w:color w:val="000000"/>
                <w:sz w:val="20"/>
                <w:lang w:eastAsia="es-CR"/>
              </w:rPr>
              <w:t>1%</w:t>
            </w:r>
          </w:p>
        </w:tc>
      </w:tr>
      <w:tr w:rsidR="00992BAD" w:rsidRPr="004E74A6" w14:paraId="18F40491" w14:textId="77777777" w:rsidTr="00832773">
        <w:trPr>
          <w:trHeight w:val="454"/>
          <w:jc w:val="center"/>
        </w:trPr>
        <w:tc>
          <w:tcPr>
            <w:tcW w:w="3261" w:type="dxa"/>
            <w:tcBorders>
              <w:top w:val="nil"/>
              <w:left w:val="nil"/>
              <w:bottom w:val="nil"/>
              <w:right w:val="single" w:sz="8" w:space="0" w:color="auto"/>
            </w:tcBorders>
            <w:shd w:val="clear" w:color="auto" w:fill="F2F2F2" w:themeFill="background1" w:themeFillShade="F2"/>
            <w:vAlign w:val="center"/>
            <w:hideMark/>
          </w:tcPr>
          <w:p w14:paraId="1F6FD338" w14:textId="77777777" w:rsidR="00C74E15" w:rsidRPr="004E74A6" w:rsidRDefault="00C74E15" w:rsidP="00832773">
            <w:pPr>
              <w:spacing w:line="276" w:lineRule="auto"/>
              <w:rPr>
                <w:rFonts w:cs="Calibri"/>
                <w:color w:val="000000"/>
                <w:sz w:val="20"/>
                <w:lang w:eastAsia="es-CR"/>
              </w:rPr>
            </w:pPr>
            <w:r w:rsidRPr="004E74A6">
              <w:rPr>
                <w:rFonts w:cs="Calibri"/>
                <w:color w:val="000000"/>
                <w:sz w:val="20"/>
                <w:lang w:eastAsia="es-CR"/>
              </w:rPr>
              <w:lastRenderedPageBreak/>
              <w:t>Juzgado Civil de Santa Cruz</w:t>
            </w:r>
          </w:p>
        </w:tc>
        <w:tc>
          <w:tcPr>
            <w:tcW w:w="1319" w:type="dxa"/>
            <w:tcBorders>
              <w:top w:val="nil"/>
              <w:left w:val="nil"/>
              <w:bottom w:val="nil"/>
              <w:right w:val="single" w:sz="8" w:space="0" w:color="auto"/>
            </w:tcBorders>
            <w:shd w:val="clear" w:color="auto" w:fill="F2F2F2" w:themeFill="background1" w:themeFillShade="F2"/>
            <w:vAlign w:val="center"/>
            <w:hideMark/>
          </w:tcPr>
          <w:p w14:paraId="2006CC4F" w14:textId="77777777" w:rsidR="00C74E15" w:rsidRPr="004E74A6" w:rsidRDefault="00C74E15" w:rsidP="00832773">
            <w:pPr>
              <w:spacing w:line="276" w:lineRule="auto"/>
              <w:jc w:val="center"/>
              <w:rPr>
                <w:rFonts w:cs="Calibri"/>
                <w:color w:val="000000"/>
                <w:sz w:val="20"/>
                <w:lang w:eastAsia="es-CR"/>
              </w:rPr>
            </w:pPr>
            <w:r w:rsidRPr="004E74A6">
              <w:rPr>
                <w:rFonts w:cs="Calibri"/>
                <w:color w:val="000000"/>
                <w:sz w:val="20"/>
                <w:lang w:eastAsia="es-CR"/>
              </w:rPr>
              <w:t>595</w:t>
            </w:r>
          </w:p>
        </w:tc>
        <w:tc>
          <w:tcPr>
            <w:tcW w:w="2176" w:type="dxa"/>
            <w:tcBorders>
              <w:top w:val="nil"/>
              <w:left w:val="nil"/>
              <w:bottom w:val="nil"/>
              <w:right w:val="single" w:sz="8" w:space="0" w:color="auto"/>
            </w:tcBorders>
            <w:shd w:val="clear" w:color="auto" w:fill="F2F2F2" w:themeFill="background1" w:themeFillShade="F2"/>
            <w:vAlign w:val="center"/>
            <w:hideMark/>
          </w:tcPr>
          <w:p w14:paraId="3FD8B8AF" w14:textId="77777777" w:rsidR="00C74E15" w:rsidRPr="004E74A6" w:rsidRDefault="00C74E15" w:rsidP="00832773">
            <w:pPr>
              <w:spacing w:line="276" w:lineRule="auto"/>
              <w:jc w:val="center"/>
              <w:rPr>
                <w:rFonts w:cs="Calibri"/>
                <w:color w:val="000000"/>
                <w:sz w:val="20"/>
                <w:lang w:eastAsia="es-CR"/>
              </w:rPr>
            </w:pPr>
            <w:r w:rsidRPr="004E74A6">
              <w:rPr>
                <w:rFonts w:cs="Calibri"/>
                <w:color w:val="000000"/>
                <w:sz w:val="20"/>
                <w:lang w:eastAsia="es-CR"/>
              </w:rPr>
              <w:t>69%</w:t>
            </w:r>
          </w:p>
        </w:tc>
        <w:tc>
          <w:tcPr>
            <w:tcW w:w="1046" w:type="dxa"/>
            <w:vMerge/>
            <w:tcBorders>
              <w:left w:val="nil"/>
              <w:bottom w:val="nil"/>
              <w:right w:val="single" w:sz="4" w:space="0" w:color="auto"/>
            </w:tcBorders>
            <w:shd w:val="clear" w:color="auto" w:fill="F2F2F2" w:themeFill="background1" w:themeFillShade="F2"/>
            <w:vAlign w:val="center"/>
            <w:hideMark/>
          </w:tcPr>
          <w:p w14:paraId="7831DE13" w14:textId="58830A94" w:rsidR="00C74E15" w:rsidRPr="004E74A6" w:rsidRDefault="00C74E15" w:rsidP="00832773">
            <w:pPr>
              <w:spacing w:line="276" w:lineRule="auto"/>
              <w:jc w:val="center"/>
              <w:rPr>
                <w:rFonts w:cs="Calibri"/>
                <w:color w:val="000000"/>
                <w:sz w:val="20"/>
                <w:lang w:eastAsia="es-CR"/>
              </w:rPr>
            </w:pPr>
          </w:p>
        </w:tc>
        <w:tc>
          <w:tcPr>
            <w:tcW w:w="1412" w:type="dxa"/>
            <w:tcBorders>
              <w:left w:val="single" w:sz="4" w:space="0" w:color="auto"/>
              <w:bottom w:val="nil"/>
              <w:right w:val="single" w:sz="4" w:space="0" w:color="auto"/>
            </w:tcBorders>
            <w:shd w:val="clear" w:color="auto" w:fill="F2F2F2" w:themeFill="background1" w:themeFillShade="F2"/>
            <w:vAlign w:val="center"/>
          </w:tcPr>
          <w:p w14:paraId="3B06AFC6" w14:textId="37A28657" w:rsidR="00C74E15" w:rsidRPr="004E74A6" w:rsidRDefault="00A06F90" w:rsidP="00832773">
            <w:pPr>
              <w:spacing w:line="276" w:lineRule="auto"/>
              <w:jc w:val="center"/>
              <w:rPr>
                <w:rFonts w:cs="Calibri"/>
                <w:color w:val="000000"/>
                <w:sz w:val="20"/>
                <w:lang w:eastAsia="es-CR"/>
              </w:rPr>
            </w:pPr>
            <w:r w:rsidRPr="004E74A6">
              <w:rPr>
                <w:rFonts w:cs="Calibri"/>
                <w:color w:val="000000"/>
                <w:sz w:val="20"/>
                <w:lang w:eastAsia="es-CR"/>
              </w:rPr>
              <w:t>601</w:t>
            </w:r>
          </w:p>
        </w:tc>
        <w:tc>
          <w:tcPr>
            <w:tcW w:w="2177" w:type="dxa"/>
            <w:tcBorders>
              <w:top w:val="nil"/>
              <w:left w:val="single" w:sz="4" w:space="0" w:color="auto"/>
              <w:bottom w:val="nil"/>
              <w:right w:val="nil"/>
            </w:tcBorders>
            <w:shd w:val="clear" w:color="auto" w:fill="F2F2F2" w:themeFill="background1" w:themeFillShade="F2"/>
            <w:vAlign w:val="center"/>
            <w:hideMark/>
          </w:tcPr>
          <w:p w14:paraId="2C216A34" w14:textId="7A4EC5C9" w:rsidR="00C74E15" w:rsidRPr="004E74A6" w:rsidRDefault="00C74E15" w:rsidP="00832773">
            <w:pPr>
              <w:spacing w:line="276" w:lineRule="auto"/>
              <w:jc w:val="center"/>
              <w:rPr>
                <w:rFonts w:cs="Calibri"/>
                <w:color w:val="000000"/>
                <w:sz w:val="20"/>
                <w:lang w:eastAsia="es-CR"/>
              </w:rPr>
            </w:pPr>
            <w:r w:rsidRPr="004E74A6">
              <w:rPr>
                <w:rFonts w:cs="Calibri"/>
                <w:color w:val="000000"/>
                <w:sz w:val="20"/>
                <w:lang w:eastAsia="es-CR"/>
              </w:rPr>
              <w:t>1%</w:t>
            </w:r>
          </w:p>
        </w:tc>
      </w:tr>
      <w:tr w:rsidR="00C74E15" w:rsidRPr="004E74A6" w14:paraId="61537A13" w14:textId="77777777" w:rsidTr="00832773">
        <w:trPr>
          <w:trHeight w:val="454"/>
          <w:jc w:val="center"/>
        </w:trPr>
        <w:tc>
          <w:tcPr>
            <w:tcW w:w="3261" w:type="dxa"/>
            <w:tcBorders>
              <w:top w:val="nil"/>
              <w:left w:val="nil"/>
              <w:bottom w:val="nil"/>
              <w:right w:val="single" w:sz="4" w:space="0" w:color="A6A6A6"/>
            </w:tcBorders>
            <w:shd w:val="clear" w:color="000000" w:fill="A6A6A6"/>
            <w:vAlign w:val="center"/>
            <w:hideMark/>
          </w:tcPr>
          <w:p w14:paraId="645FE093" w14:textId="77777777" w:rsidR="00C74E15" w:rsidRPr="004E74A6" w:rsidRDefault="00C74E15" w:rsidP="00832773">
            <w:pPr>
              <w:spacing w:line="276" w:lineRule="auto"/>
              <w:jc w:val="center"/>
              <w:rPr>
                <w:rFonts w:cs="Calibri"/>
                <w:b/>
                <w:bCs/>
                <w:color w:val="000000"/>
                <w:sz w:val="20"/>
                <w:lang w:eastAsia="es-CR"/>
              </w:rPr>
            </w:pPr>
            <w:r w:rsidRPr="004E74A6">
              <w:rPr>
                <w:rFonts w:cs="Calibri"/>
                <w:b/>
                <w:bCs/>
                <w:color w:val="000000"/>
                <w:sz w:val="20"/>
                <w:lang w:eastAsia="es-CR"/>
              </w:rPr>
              <w:t>Puntarenas</w:t>
            </w:r>
          </w:p>
        </w:tc>
        <w:tc>
          <w:tcPr>
            <w:tcW w:w="1319" w:type="dxa"/>
            <w:tcBorders>
              <w:top w:val="nil"/>
              <w:left w:val="nil"/>
              <w:bottom w:val="nil"/>
              <w:right w:val="single" w:sz="4" w:space="0" w:color="A6A6A6"/>
            </w:tcBorders>
            <w:shd w:val="clear" w:color="000000" w:fill="A6A6A6"/>
            <w:vAlign w:val="center"/>
            <w:hideMark/>
          </w:tcPr>
          <w:p w14:paraId="4D37668E" w14:textId="77777777" w:rsidR="00C74E15" w:rsidRPr="004E74A6" w:rsidRDefault="00C74E15" w:rsidP="00832773">
            <w:pPr>
              <w:spacing w:line="276" w:lineRule="auto"/>
              <w:jc w:val="center"/>
              <w:rPr>
                <w:rFonts w:cs="Calibri"/>
                <w:color w:val="000000"/>
                <w:sz w:val="20"/>
                <w:lang w:eastAsia="es-CR"/>
              </w:rPr>
            </w:pPr>
            <w:r w:rsidRPr="004E74A6">
              <w:rPr>
                <w:rFonts w:cs="Calibri"/>
                <w:color w:val="000000"/>
                <w:sz w:val="20"/>
                <w:lang w:eastAsia="es-CR"/>
              </w:rPr>
              <w:t>637</w:t>
            </w:r>
          </w:p>
        </w:tc>
        <w:tc>
          <w:tcPr>
            <w:tcW w:w="2176" w:type="dxa"/>
            <w:tcBorders>
              <w:top w:val="nil"/>
              <w:left w:val="nil"/>
              <w:bottom w:val="nil"/>
              <w:right w:val="single" w:sz="4" w:space="0" w:color="A6A6A6"/>
            </w:tcBorders>
            <w:shd w:val="clear" w:color="000000" w:fill="A6A6A6"/>
            <w:vAlign w:val="center"/>
            <w:hideMark/>
          </w:tcPr>
          <w:p w14:paraId="616638CA" w14:textId="77777777" w:rsidR="00C74E15" w:rsidRPr="004E74A6" w:rsidRDefault="00C74E15" w:rsidP="00832773">
            <w:pPr>
              <w:spacing w:line="276" w:lineRule="auto"/>
              <w:jc w:val="center"/>
              <w:rPr>
                <w:rFonts w:cs="Calibri"/>
                <w:color w:val="000000"/>
                <w:sz w:val="20"/>
                <w:lang w:eastAsia="es-CR"/>
              </w:rPr>
            </w:pPr>
            <w:r w:rsidRPr="004E74A6">
              <w:rPr>
                <w:rFonts w:cs="Calibri"/>
                <w:color w:val="000000"/>
                <w:sz w:val="20"/>
                <w:lang w:eastAsia="es-CR"/>
              </w:rPr>
              <w:t> </w:t>
            </w:r>
          </w:p>
        </w:tc>
        <w:tc>
          <w:tcPr>
            <w:tcW w:w="1046" w:type="dxa"/>
            <w:tcBorders>
              <w:top w:val="nil"/>
              <w:left w:val="nil"/>
              <w:bottom w:val="nil"/>
              <w:right w:val="single" w:sz="4" w:space="0" w:color="auto"/>
            </w:tcBorders>
            <w:shd w:val="clear" w:color="000000" w:fill="A6A6A6"/>
            <w:vAlign w:val="center"/>
            <w:hideMark/>
          </w:tcPr>
          <w:p w14:paraId="299D8A1B" w14:textId="77777777" w:rsidR="00C74E15" w:rsidRPr="004E74A6" w:rsidRDefault="00C74E15" w:rsidP="00832773">
            <w:pPr>
              <w:spacing w:line="276" w:lineRule="auto"/>
              <w:jc w:val="center"/>
              <w:rPr>
                <w:rFonts w:cs="Calibri"/>
                <w:color w:val="000000"/>
                <w:sz w:val="20"/>
                <w:lang w:eastAsia="es-CR"/>
              </w:rPr>
            </w:pPr>
            <w:r w:rsidRPr="004E74A6">
              <w:rPr>
                <w:rFonts w:cs="Calibri"/>
                <w:color w:val="000000"/>
                <w:sz w:val="20"/>
                <w:lang w:eastAsia="es-CR"/>
              </w:rPr>
              <w:t> </w:t>
            </w:r>
          </w:p>
        </w:tc>
        <w:tc>
          <w:tcPr>
            <w:tcW w:w="1412" w:type="dxa"/>
            <w:tcBorders>
              <w:top w:val="nil"/>
              <w:left w:val="single" w:sz="4" w:space="0" w:color="auto"/>
              <w:bottom w:val="nil"/>
              <w:right w:val="single" w:sz="4" w:space="0" w:color="auto"/>
            </w:tcBorders>
            <w:shd w:val="clear" w:color="000000" w:fill="A6A6A6"/>
            <w:vAlign w:val="center"/>
          </w:tcPr>
          <w:p w14:paraId="58D86038" w14:textId="77777777" w:rsidR="00C74E15" w:rsidRPr="004E74A6" w:rsidRDefault="00C74E15" w:rsidP="00832773">
            <w:pPr>
              <w:spacing w:line="276" w:lineRule="auto"/>
              <w:jc w:val="center"/>
              <w:rPr>
                <w:rFonts w:cs="Calibri"/>
                <w:color w:val="000000"/>
                <w:sz w:val="20"/>
                <w:lang w:eastAsia="es-CR"/>
              </w:rPr>
            </w:pPr>
          </w:p>
        </w:tc>
        <w:tc>
          <w:tcPr>
            <w:tcW w:w="2177" w:type="dxa"/>
            <w:tcBorders>
              <w:top w:val="nil"/>
              <w:left w:val="single" w:sz="4" w:space="0" w:color="auto"/>
              <w:bottom w:val="nil"/>
              <w:right w:val="nil"/>
            </w:tcBorders>
            <w:shd w:val="clear" w:color="000000" w:fill="A6A6A6"/>
            <w:vAlign w:val="center"/>
            <w:hideMark/>
          </w:tcPr>
          <w:p w14:paraId="1BC7F6CB" w14:textId="7C72BD62" w:rsidR="00C74E15" w:rsidRPr="004E74A6" w:rsidRDefault="00C74E15" w:rsidP="00832773">
            <w:pPr>
              <w:spacing w:line="276" w:lineRule="auto"/>
              <w:jc w:val="center"/>
              <w:rPr>
                <w:rFonts w:cs="Calibri"/>
                <w:color w:val="000000"/>
                <w:sz w:val="20"/>
                <w:lang w:eastAsia="es-CR"/>
              </w:rPr>
            </w:pPr>
            <w:r w:rsidRPr="004E74A6">
              <w:rPr>
                <w:rFonts w:cs="Calibri"/>
                <w:color w:val="000000"/>
                <w:sz w:val="20"/>
                <w:lang w:eastAsia="es-CR"/>
              </w:rPr>
              <w:t> </w:t>
            </w:r>
          </w:p>
        </w:tc>
      </w:tr>
      <w:tr w:rsidR="00186B25" w:rsidRPr="004E74A6" w14:paraId="36A1465C" w14:textId="77777777" w:rsidTr="001D7959">
        <w:trPr>
          <w:trHeight w:val="454"/>
          <w:jc w:val="center"/>
        </w:trPr>
        <w:tc>
          <w:tcPr>
            <w:tcW w:w="3261" w:type="dxa"/>
            <w:tcBorders>
              <w:top w:val="nil"/>
              <w:left w:val="nil"/>
              <w:bottom w:val="nil"/>
              <w:right w:val="single" w:sz="8" w:space="0" w:color="auto"/>
            </w:tcBorders>
            <w:shd w:val="clear" w:color="auto" w:fill="auto"/>
            <w:vAlign w:val="center"/>
            <w:hideMark/>
          </w:tcPr>
          <w:p w14:paraId="5A7F0ACF" w14:textId="77777777" w:rsidR="00C74E15" w:rsidRPr="004E74A6" w:rsidRDefault="00C74E15" w:rsidP="00832773">
            <w:pPr>
              <w:spacing w:line="276" w:lineRule="auto"/>
              <w:rPr>
                <w:rFonts w:cs="Calibri"/>
                <w:color w:val="000000"/>
                <w:sz w:val="20"/>
                <w:lang w:eastAsia="es-CR"/>
              </w:rPr>
            </w:pPr>
            <w:r w:rsidRPr="004E74A6">
              <w:rPr>
                <w:rFonts w:cs="Calibri"/>
                <w:color w:val="000000"/>
                <w:sz w:val="20"/>
                <w:lang w:eastAsia="es-CR"/>
              </w:rPr>
              <w:t>Juzgado Civil de Puntarenas</w:t>
            </w:r>
          </w:p>
        </w:tc>
        <w:tc>
          <w:tcPr>
            <w:tcW w:w="1319" w:type="dxa"/>
            <w:tcBorders>
              <w:top w:val="nil"/>
              <w:left w:val="nil"/>
              <w:bottom w:val="nil"/>
              <w:right w:val="single" w:sz="8" w:space="0" w:color="auto"/>
            </w:tcBorders>
            <w:shd w:val="clear" w:color="auto" w:fill="auto"/>
            <w:vAlign w:val="center"/>
            <w:hideMark/>
          </w:tcPr>
          <w:p w14:paraId="56CE9438" w14:textId="77777777" w:rsidR="00C74E15" w:rsidRPr="004E74A6" w:rsidRDefault="00C74E15" w:rsidP="00832773">
            <w:pPr>
              <w:spacing w:line="276" w:lineRule="auto"/>
              <w:jc w:val="center"/>
              <w:rPr>
                <w:rFonts w:cs="Calibri"/>
                <w:color w:val="000000"/>
                <w:sz w:val="20"/>
                <w:lang w:eastAsia="es-CR"/>
              </w:rPr>
            </w:pPr>
            <w:r w:rsidRPr="004E74A6">
              <w:rPr>
                <w:rFonts w:cs="Calibri"/>
                <w:color w:val="000000"/>
                <w:sz w:val="20"/>
                <w:lang w:eastAsia="es-CR"/>
              </w:rPr>
              <w:t>495</w:t>
            </w:r>
          </w:p>
        </w:tc>
        <w:tc>
          <w:tcPr>
            <w:tcW w:w="2176" w:type="dxa"/>
            <w:tcBorders>
              <w:top w:val="nil"/>
              <w:left w:val="nil"/>
              <w:bottom w:val="nil"/>
              <w:right w:val="single" w:sz="8" w:space="0" w:color="auto"/>
            </w:tcBorders>
            <w:shd w:val="clear" w:color="auto" w:fill="auto"/>
            <w:vAlign w:val="center"/>
            <w:hideMark/>
          </w:tcPr>
          <w:p w14:paraId="4E190D32" w14:textId="77777777" w:rsidR="00C74E15" w:rsidRPr="004E74A6" w:rsidRDefault="00C74E15" w:rsidP="00832773">
            <w:pPr>
              <w:spacing w:line="276" w:lineRule="auto"/>
              <w:jc w:val="center"/>
              <w:rPr>
                <w:rFonts w:cs="Calibri"/>
                <w:color w:val="000000"/>
                <w:sz w:val="20"/>
                <w:lang w:eastAsia="es-CR"/>
              </w:rPr>
            </w:pPr>
            <w:r w:rsidRPr="004E74A6">
              <w:rPr>
                <w:rFonts w:cs="Calibri"/>
                <w:color w:val="000000"/>
                <w:sz w:val="20"/>
                <w:lang w:eastAsia="es-CR"/>
              </w:rPr>
              <w:t>78%</w:t>
            </w:r>
          </w:p>
        </w:tc>
        <w:tc>
          <w:tcPr>
            <w:tcW w:w="1046" w:type="dxa"/>
            <w:vMerge w:val="restart"/>
            <w:tcBorders>
              <w:top w:val="nil"/>
              <w:left w:val="nil"/>
              <w:right w:val="single" w:sz="4" w:space="0" w:color="auto"/>
            </w:tcBorders>
            <w:shd w:val="clear" w:color="auto" w:fill="auto"/>
            <w:vAlign w:val="center"/>
            <w:hideMark/>
          </w:tcPr>
          <w:p w14:paraId="321C23BD" w14:textId="7D250EDF" w:rsidR="00C74E15" w:rsidRPr="004E74A6" w:rsidRDefault="00C74E15" w:rsidP="00832773">
            <w:pPr>
              <w:spacing w:line="276" w:lineRule="auto"/>
              <w:jc w:val="center"/>
              <w:rPr>
                <w:rFonts w:cs="Calibri"/>
                <w:color w:val="000000"/>
                <w:sz w:val="20"/>
                <w:lang w:eastAsia="es-CR"/>
              </w:rPr>
            </w:pPr>
            <w:r w:rsidRPr="004E74A6">
              <w:rPr>
                <w:rFonts w:cs="Calibri"/>
                <w:color w:val="000000"/>
                <w:sz w:val="20"/>
                <w:lang w:eastAsia="es-CR"/>
              </w:rPr>
              <w:t>34,0 </w:t>
            </w:r>
          </w:p>
        </w:tc>
        <w:tc>
          <w:tcPr>
            <w:tcW w:w="1412" w:type="dxa"/>
            <w:tcBorders>
              <w:top w:val="nil"/>
              <w:left w:val="single" w:sz="4" w:space="0" w:color="auto"/>
              <w:right w:val="single" w:sz="4" w:space="0" w:color="auto"/>
            </w:tcBorders>
            <w:vAlign w:val="center"/>
          </w:tcPr>
          <w:p w14:paraId="1C415A8F" w14:textId="407138C4" w:rsidR="00C74E15" w:rsidRPr="004E74A6" w:rsidRDefault="00925038" w:rsidP="00832773">
            <w:pPr>
              <w:spacing w:line="276" w:lineRule="auto"/>
              <w:jc w:val="center"/>
              <w:rPr>
                <w:rFonts w:cs="Calibri"/>
                <w:color w:val="000000"/>
                <w:sz w:val="20"/>
                <w:lang w:eastAsia="es-CR"/>
              </w:rPr>
            </w:pPr>
            <w:r w:rsidRPr="004E74A6">
              <w:rPr>
                <w:rFonts w:cs="Calibri"/>
                <w:color w:val="000000"/>
                <w:sz w:val="20"/>
                <w:lang w:eastAsia="es-CR"/>
              </w:rPr>
              <w:t>521</w:t>
            </w:r>
          </w:p>
        </w:tc>
        <w:tc>
          <w:tcPr>
            <w:tcW w:w="2177" w:type="dxa"/>
            <w:tcBorders>
              <w:top w:val="nil"/>
              <w:left w:val="single" w:sz="4" w:space="0" w:color="auto"/>
              <w:bottom w:val="nil"/>
              <w:right w:val="nil"/>
            </w:tcBorders>
            <w:shd w:val="clear" w:color="auto" w:fill="auto"/>
            <w:vAlign w:val="center"/>
            <w:hideMark/>
          </w:tcPr>
          <w:p w14:paraId="7C93C4B3" w14:textId="14A1BFA2" w:rsidR="00C74E15" w:rsidRPr="004E74A6" w:rsidRDefault="00C74E15" w:rsidP="00832773">
            <w:pPr>
              <w:spacing w:line="276" w:lineRule="auto"/>
              <w:jc w:val="center"/>
              <w:rPr>
                <w:rFonts w:cs="Calibri"/>
                <w:color w:val="000000"/>
                <w:sz w:val="20"/>
                <w:lang w:eastAsia="es-CR"/>
              </w:rPr>
            </w:pPr>
            <w:r w:rsidRPr="004E74A6">
              <w:rPr>
                <w:rFonts w:cs="Calibri"/>
                <w:color w:val="000000"/>
                <w:sz w:val="20"/>
                <w:lang w:eastAsia="es-CR"/>
              </w:rPr>
              <w:t>5%</w:t>
            </w:r>
          </w:p>
        </w:tc>
      </w:tr>
      <w:tr w:rsidR="00992BAD" w:rsidRPr="004E74A6" w14:paraId="3B81FA6B" w14:textId="77777777" w:rsidTr="00832773">
        <w:trPr>
          <w:trHeight w:val="454"/>
          <w:jc w:val="center"/>
        </w:trPr>
        <w:tc>
          <w:tcPr>
            <w:tcW w:w="3261" w:type="dxa"/>
            <w:tcBorders>
              <w:top w:val="nil"/>
              <w:left w:val="nil"/>
              <w:bottom w:val="nil"/>
              <w:right w:val="single" w:sz="8" w:space="0" w:color="auto"/>
            </w:tcBorders>
            <w:shd w:val="clear" w:color="auto" w:fill="F2F2F2" w:themeFill="background1" w:themeFillShade="F2"/>
            <w:vAlign w:val="center"/>
            <w:hideMark/>
          </w:tcPr>
          <w:p w14:paraId="065BAB64" w14:textId="77777777" w:rsidR="00C74E15" w:rsidRPr="004E74A6" w:rsidRDefault="00C74E15" w:rsidP="00832773">
            <w:pPr>
              <w:spacing w:line="276" w:lineRule="auto"/>
              <w:rPr>
                <w:rFonts w:cs="Calibri"/>
                <w:color w:val="000000"/>
                <w:sz w:val="20"/>
                <w:lang w:eastAsia="es-CR"/>
              </w:rPr>
            </w:pPr>
            <w:r w:rsidRPr="004E74A6">
              <w:rPr>
                <w:rFonts w:cs="Calibri"/>
                <w:color w:val="000000"/>
                <w:sz w:val="20"/>
                <w:lang w:eastAsia="es-CR"/>
              </w:rPr>
              <w:t>Juzgado Civil y Trabajo de Quepos</w:t>
            </w:r>
          </w:p>
        </w:tc>
        <w:tc>
          <w:tcPr>
            <w:tcW w:w="1319" w:type="dxa"/>
            <w:tcBorders>
              <w:top w:val="nil"/>
              <w:left w:val="nil"/>
              <w:bottom w:val="nil"/>
              <w:right w:val="single" w:sz="8" w:space="0" w:color="auto"/>
            </w:tcBorders>
            <w:shd w:val="clear" w:color="auto" w:fill="F2F2F2" w:themeFill="background1" w:themeFillShade="F2"/>
            <w:vAlign w:val="center"/>
            <w:hideMark/>
          </w:tcPr>
          <w:p w14:paraId="05CAC9A3" w14:textId="77777777" w:rsidR="00C74E15" w:rsidRPr="004E74A6" w:rsidRDefault="00C74E15" w:rsidP="00832773">
            <w:pPr>
              <w:spacing w:line="276" w:lineRule="auto"/>
              <w:jc w:val="center"/>
              <w:rPr>
                <w:rFonts w:cs="Calibri"/>
                <w:color w:val="000000"/>
                <w:sz w:val="20"/>
                <w:lang w:eastAsia="es-CR"/>
              </w:rPr>
            </w:pPr>
            <w:r w:rsidRPr="004E74A6">
              <w:rPr>
                <w:rFonts w:cs="Calibri"/>
                <w:color w:val="000000"/>
                <w:sz w:val="20"/>
                <w:lang w:eastAsia="es-CR"/>
              </w:rPr>
              <w:t>142</w:t>
            </w:r>
          </w:p>
        </w:tc>
        <w:tc>
          <w:tcPr>
            <w:tcW w:w="2176" w:type="dxa"/>
            <w:tcBorders>
              <w:top w:val="nil"/>
              <w:left w:val="nil"/>
              <w:bottom w:val="nil"/>
              <w:right w:val="single" w:sz="8" w:space="0" w:color="auto"/>
            </w:tcBorders>
            <w:shd w:val="clear" w:color="auto" w:fill="F2F2F2" w:themeFill="background1" w:themeFillShade="F2"/>
            <w:vAlign w:val="center"/>
            <w:hideMark/>
          </w:tcPr>
          <w:p w14:paraId="4FA62F6E" w14:textId="77777777" w:rsidR="00C74E15" w:rsidRPr="004E74A6" w:rsidRDefault="00C74E15" w:rsidP="00832773">
            <w:pPr>
              <w:spacing w:line="276" w:lineRule="auto"/>
              <w:jc w:val="center"/>
              <w:rPr>
                <w:rFonts w:cs="Calibri"/>
                <w:color w:val="000000"/>
                <w:sz w:val="20"/>
                <w:lang w:eastAsia="es-CR"/>
              </w:rPr>
            </w:pPr>
            <w:r w:rsidRPr="004E74A6">
              <w:rPr>
                <w:rFonts w:cs="Calibri"/>
                <w:color w:val="000000"/>
                <w:sz w:val="20"/>
                <w:lang w:eastAsia="es-CR"/>
              </w:rPr>
              <w:t>22%</w:t>
            </w:r>
          </w:p>
        </w:tc>
        <w:tc>
          <w:tcPr>
            <w:tcW w:w="1046" w:type="dxa"/>
            <w:vMerge/>
            <w:tcBorders>
              <w:left w:val="nil"/>
              <w:bottom w:val="nil"/>
              <w:right w:val="single" w:sz="4" w:space="0" w:color="auto"/>
            </w:tcBorders>
            <w:shd w:val="clear" w:color="auto" w:fill="F2F2F2" w:themeFill="background1" w:themeFillShade="F2"/>
            <w:vAlign w:val="center"/>
            <w:hideMark/>
          </w:tcPr>
          <w:p w14:paraId="35767829" w14:textId="6E3B9A1E" w:rsidR="00C74E15" w:rsidRPr="004E74A6" w:rsidRDefault="00C74E15" w:rsidP="00832773">
            <w:pPr>
              <w:spacing w:line="276" w:lineRule="auto"/>
              <w:jc w:val="center"/>
              <w:rPr>
                <w:rFonts w:cs="Calibri"/>
                <w:color w:val="000000"/>
                <w:sz w:val="20"/>
                <w:lang w:eastAsia="es-CR"/>
              </w:rPr>
            </w:pPr>
          </w:p>
        </w:tc>
        <w:tc>
          <w:tcPr>
            <w:tcW w:w="1412" w:type="dxa"/>
            <w:tcBorders>
              <w:left w:val="single" w:sz="4" w:space="0" w:color="auto"/>
              <w:bottom w:val="nil"/>
              <w:right w:val="single" w:sz="4" w:space="0" w:color="auto"/>
            </w:tcBorders>
            <w:shd w:val="clear" w:color="auto" w:fill="F2F2F2" w:themeFill="background1" w:themeFillShade="F2"/>
            <w:vAlign w:val="center"/>
          </w:tcPr>
          <w:p w14:paraId="3D7F2BA0" w14:textId="3F5CA1B5" w:rsidR="00C74E15" w:rsidRPr="004E74A6" w:rsidRDefault="00925038" w:rsidP="00832773">
            <w:pPr>
              <w:spacing w:line="276" w:lineRule="auto"/>
              <w:jc w:val="center"/>
              <w:rPr>
                <w:rFonts w:cs="Calibri"/>
                <w:color w:val="000000"/>
                <w:sz w:val="20"/>
                <w:lang w:eastAsia="es-CR"/>
              </w:rPr>
            </w:pPr>
            <w:r w:rsidRPr="004E74A6">
              <w:rPr>
                <w:rFonts w:cs="Calibri"/>
                <w:color w:val="000000"/>
                <w:sz w:val="20"/>
                <w:lang w:eastAsia="es-CR"/>
              </w:rPr>
              <w:t>150</w:t>
            </w:r>
          </w:p>
        </w:tc>
        <w:tc>
          <w:tcPr>
            <w:tcW w:w="2177" w:type="dxa"/>
            <w:tcBorders>
              <w:top w:val="nil"/>
              <w:left w:val="single" w:sz="4" w:space="0" w:color="auto"/>
              <w:bottom w:val="nil"/>
              <w:right w:val="nil"/>
            </w:tcBorders>
            <w:shd w:val="clear" w:color="auto" w:fill="F2F2F2" w:themeFill="background1" w:themeFillShade="F2"/>
            <w:vAlign w:val="center"/>
            <w:hideMark/>
          </w:tcPr>
          <w:p w14:paraId="1CEC97A3" w14:textId="569216BD" w:rsidR="00C74E15" w:rsidRPr="004E74A6" w:rsidRDefault="00C74E15" w:rsidP="00832773">
            <w:pPr>
              <w:spacing w:line="276" w:lineRule="auto"/>
              <w:jc w:val="center"/>
              <w:rPr>
                <w:rFonts w:cs="Calibri"/>
                <w:color w:val="000000"/>
                <w:sz w:val="20"/>
                <w:lang w:eastAsia="es-CR"/>
              </w:rPr>
            </w:pPr>
            <w:r w:rsidRPr="004E74A6">
              <w:rPr>
                <w:rFonts w:cs="Calibri"/>
                <w:color w:val="000000"/>
                <w:sz w:val="20"/>
                <w:lang w:eastAsia="es-CR"/>
              </w:rPr>
              <w:t>5%</w:t>
            </w:r>
          </w:p>
        </w:tc>
      </w:tr>
      <w:tr w:rsidR="00C74E15" w:rsidRPr="004E74A6" w14:paraId="28DF13F2" w14:textId="77777777" w:rsidTr="00832773">
        <w:trPr>
          <w:trHeight w:val="454"/>
          <w:jc w:val="center"/>
        </w:trPr>
        <w:tc>
          <w:tcPr>
            <w:tcW w:w="3261" w:type="dxa"/>
            <w:tcBorders>
              <w:top w:val="nil"/>
              <w:left w:val="nil"/>
              <w:bottom w:val="nil"/>
              <w:right w:val="single" w:sz="4" w:space="0" w:color="A6A6A6"/>
            </w:tcBorders>
            <w:shd w:val="clear" w:color="000000" w:fill="A6A6A6"/>
            <w:vAlign w:val="center"/>
            <w:hideMark/>
          </w:tcPr>
          <w:p w14:paraId="0470A92D" w14:textId="77777777" w:rsidR="00C74E15" w:rsidRPr="004E74A6" w:rsidRDefault="00C74E15" w:rsidP="00832773">
            <w:pPr>
              <w:spacing w:line="276" w:lineRule="auto"/>
              <w:jc w:val="center"/>
              <w:rPr>
                <w:rFonts w:cs="Calibri"/>
                <w:b/>
                <w:bCs/>
                <w:color w:val="000000"/>
                <w:sz w:val="20"/>
                <w:lang w:eastAsia="es-CR"/>
              </w:rPr>
            </w:pPr>
            <w:r w:rsidRPr="004E74A6">
              <w:rPr>
                <w:rFonts w:cs="Calibri"/>
                <w:b/>
                <w:bCs/>
                <w:color w:val="000000"/>
                <w:sz w:val="20"/>
                <w:lang w:eastAsia="es-CR"/>
              </w:rPr>
              <w:t>Pérez Zeledón</w:t>
            </w:r>
          </w:p>
        </w:tc>
        <w:tc>
          <w:tcPr>
            <w:tcW w:w="1319" w:type="dxa"/>
            <w:tcBorders>
              <w:top w:val="nil"/>
              <w:left w:val="nil"/>
              <w:bottom w:val="nil"/>
              <w:right w:val="single" w:sz="4" w:space="0" w:color="A6A6A6"/>
            </w:tcBorders>
            <w:shd w:val="clear" w:color="000000" w:fill="A6A6A6"/>
            <w:vAlign w:val="center"/>
            <w:hideMark/>
          </w:tcPr>
          <w:p w14:paraId="7116CFB4" w14:textId="77777777" w:rsidR="00C74E15" w:rsidRPr="004E74A6" w:rsidRDefault="00C74E15" w:rsidP="00832773">
            <w:pPr>
              <w:spacing w:line="276" w:lineRule="auto"/>
              <w:jc w:val="center"/>
              <w:rPr>
                <w:rFonts w:cs="Calibri"/>
                <w:color w:val="000000"/>
                <w:sz w:val="20"/>
                <w:lang w:eastAsia="es-CR"/>
              </w:rPr>
            </w:pPr>
            <w:r w:rsidRPr="004E74A6">
              <w:rPr>
                <w:rFonts w:cs="Calibri"/>
                <w:color w:val="000000"/>
                <w:sz w:val="20"/>
                <w:lang w:eastAsia="es-CR"/>
              </w:rPr>
              <w:t>620</w:t>
            </w:r>
          </w:p>
        </w:tc>
        <w:tc>
          <w:tcPr>
            <w:tcW w:w="2176" w:type="dxa"/>
            <w:tcBorders>
              <w:top w:val="nil"/>
              <w:left w:val="nil"/>
              <w:bottom w:val="nil"/>
              <w:right w:val="single" w:sz="4" w:space="0" w:color="A6A6A6"/>
            </w:tcBorders>
            <w:shd w:val="clear" w:color="000000" w:fill="A6A6A6"/>
            <w:vAlign w:val="center"/>
            <w:hideMark/>
          </w:tcPr>
          <w:p w14:paraId="132B1A9D" w14:textId="77777777" w:rsidR="00C74E15" w:rsidRPr="004E74A6" w:rsidRDefault="00C74E15" w:rsidP="00832773">
            <w:pPr>
              <w:spacing w:line="276" w:lineRule="auto"/>
              <w:jc w:val="center"/>
              <w:rPr>
                <w:rFonts w:cs="Calibri"/>
                <w:color w:val="000000"/>
                <w:sz w:val="20"/>
                <w:lang w:eastAsia="es-CR"/>
              </w:rPr>
            </w:pPr>
            <w:r w:rsidRPr="004E74A6">
              <w:rPr>
                <w:rFonts w:cs="Calibri"/>
                <w:color w:val="000000"/>
                <w:sz w:val="20"/>
                <w:lang w:eastAsia="es-CR"/>
              </w:rPr>
              <w:t> </w:t>
            </w:r>
          </w:p>
        </w:tc>
        <w:tc>
          <w:tcPr>
            <w:tcW w:w="1046" w:type="dxa"/>
            <w:tcBorders>
              <w:top w:val="nil"/>
              <w:left w:val="nil"/>
              <w:bottom w:val="nil"/>
              <w:right w:val="single" w:sz="4" w:space="0" w:color="auto"/>
            </w:tcBorders>
            <w:shd w:val="clear" w:color="000000" w:fill="A6A6A6"/>
            <w:vAlign w:val="center"/>
            <w:hideMark/>
          </w:tcPr>
          <w:p w14:paraId="77A8B400" w14:textId="77777777" w:rsidR="00C74E15" w:rsidRPr="004E74A6" w:rsidRDefault="00C74E15" w:rsidP="00832773">
            <w:pPr>
              <w:spacing w:line="276" w:lineRule="auto"/>
              <w:jc w:val="center"/>
              <w:rPr>
                <w:rFonts w:cs="Calibri"/>
                <w:color w:val="000000"/>
                <w:sz w:val="20"/>
                <w:lang w:eastAsia="es-CR"/>
              </w:rPr>
            </w:pPr>
            <w:r w:rsidRPr="004E74A6">
              <w:rPr>
                <w:rFonts w:cs="Calibri"/>
                <w:color w:val="000000"/>
                <w:sz w:val="20"/>
                <w:lang w:eastAsia="es-CR"/>
              </w:rPr>
              <w:t> </w:t>
            </w:r>
          </w:p>
        </w:tc>
        <w:tc>
          <w:tcPr>
            <w:tcW w:w="1412" w:type="dxa"/>
            <w:tcBorders>
              <w:top w:val="nil"/>
              <w:left w:val="single" w:sz="4" w:space="0" w:color="auto"/>
              <w:bottom w:val="nil"/>
              <w:right w:val="single" w:sz="4" w:space="0" w:color="auto"/>
            </w:tcBorders>
            <w:shd w:val="clear" w:color="000000" w:fill="A6A6A6"/>
            <w:vAlign w:val="center"/>
          </w:tcPr>
          <w:p w14:paraId="72AC1FBB" w14:textId="77777777" w:rsidR="00C74E15" w:rsidRPr="004E74A6" w:rsidRDefault="00C74E15" w:rsidP="00832773">
            <w:pPr>
              <w:spacing w:line="276" w:lineRule="auto"/>
              <w:jc w:val="center"/>
              <w:rPr>
                <w:rFonts w:cs="Calibri"/>
                <w:color w:val="000000"/>
                <w:sz w:val="20"/>
                <w:lang w:eastAsia="es-CR"/>
              </w:rPr>
            </w:pPr>
          </w:p>
        </w:tc>
        <w:tc>
          <w:tcPr>
            <w:tcW w:w="2177" w:type="dxa"/>
            <w:tcBorders>
              <w:top w:val="nil"/>
              <w:left w:val="single" w:sz="4" w:space="0" w:color="auto"/>
              <w:bottom w:val="nil"/>
              <w:right w:val="nil"/>
            </w:tcBorders>
            <w:shd w:val="clear" w:color="000000" w:fill="A6A6A6"/>
            <w:vAlign w:val="center"/>
            <w:hideMark/>
          </w:tcPr>
          <w:p w14:paraId="1E0E6255" w14:textId="1BD5C325" w:rsidR="00C74E15" w:rsidRPr="004E74A6" w:rsidRDefault="00C74E15" w:rsidP="00832773">
            <w:pPr>
              <w:spacing w:line="276" w:lineRule="auto"/>
              <w:jc w:val="center"/>
              <w:rPr>
                <w:rFonts w:cs="Calibri"/>
                <w:color w:val="000000"/>
                <w:sz w:val="20"/>
                <w:lang w:eastAsia="es-CR"/>
              </w:rPr>
            </w:pPr>
            <w:r w:rsidRPr="004E74A6">
              <w:rPr>
                <w:rFonts w:cs="Calibri"/>
                <w:color w:val="000000"/>
                <w:sz w:val="20"/>
                <w:lang w:eastAsia="es-CR"/>
              </w:rPr>
              <w:t> </w:t>
            </w:r>
          </w:p>
        </w:tc>
      </w:tr>
      <w:tr w:rsidR="00186B25" w:rsidRPr="004E74A6" w14:paraId="51AC0EE7" w14:textId="77777777" w:rsidTr="001D7959">
        <w:trPr>
          <w:trHeight w:val="454"/>
          <w:jc w:val="center"/>
        </w:trPr>
        <w:tc>
          <w:tcPr>
            <w:tcW w:w="3261" w:type="dxa"/>
            <w:tcBorders>
              <w:top w:val="nil"/>
              <w:left w:val="nil"/>
              <w:bottom w:val="nil"/>
              <w:right w:val="single" w:sz="8" w:space="0" w:color="auto"/>
            </w:tcBorders>
            <w:shd w:val="clear" w:color="auto" w:fill="auto"/>
            <w:vAlign w:val="center"/>
            <w:hideMark/>
          </w:tcPr>
          <w:p w14:paraId="110D062E" w14:textId="77777777" w:rsidR="00C74E15" w:rsidRPr="004E74A6" w:rsidRDefault="00C74E15" w:rsidP="00832773">
            <w:pPr>
              <w:spacing w:line="276" w:lineRule="auto"/>
              <w:rPr>
                <w:rFonts w:cs="Calibri"/>
                <w:color w:val="000000"/>
                <w:sz w:val="20"/>
                <w:lang w:eastAsia="es-CR"/>
              </w:rPr>
            </w:pPr>
            <w:r w:rsidRPr="004E74A6">
              <w:rPr>
                <w:rFonts w:cs="Calibri"/>
                <w:color w:val="000000"/>
                <w:sz w:val="20"/>
                <w:lang w:eastAsia="es-CR"/>
              </w:rPr>
              <w:t>Juzgado Civil y Trabajo de Pérez Zeledón</w:t>
            </w:r>
          </w:p>
        </w:tc>
        <w:tc>
          <w:tcPr>
            <w:tcW w:w="1319" w:type="dxa"/>
            <w:tcBorders>
              <w:top w:val="nil"/>
              <w:left w:val="nil"/>
              <w:bottom w:val="nil"/>
              <w:right w:val="single" w:sz="8" w:space="0" w:color="auto"/>
            </w:tcBorders>
            <w:shd w:val="clear" w:color="auto" w:fill="auto"/>
            <w:vAlign w:val="center"/>
            <w:hideMark/>
          </w:tcPr>
          <w:p w14:paraId="3BB2CF54" w14:textId="77777777" w:rsidR="00C74E15" w:rsidRPr="004E74A6" w:rsidRDefault="00C74E15" w:rsidP="00832773">
            <w:pPr>
              <w:spacing w:line="276" w:lineRule="auto"/>
              <w:jc w:val="center"/>
              <w:rPr>
                <w:rFonts w:cs="Calibri"/>
                <w:color w:val="000000"/>
                <w:sz w:val="20"/>
                <w:lang w:eastAsia="es-CR"/>
              </w:rPr>
            </w:pPr>
            <w:r w:rsidRPr="004E74A6">
              <w:rPr>
                <w:rFonts w:cs="Calibri"/>
                <w:color w:val="000000"/>
                <w:sz w:val="20"/>
                <w:lang w:eastAsia="es-CR"/>
              </w:rPr>
              <w:t>143</w:t>
            </w:r>
          </w:p>
        </w:tc>
        <w:tc>
          <w:tcPr>
            <w:tcW w:w="2176" w:type="dxa"/>
            <w:tcBorders>
              <w:top w:val="nil"/>
              <w:left w:val="nil"/>
              <w:bottom w:val="nil"/>
              <w:right w:val="single" w:sz="8" w:space="0" w:color="auto"/>
            </w:tcBorders>
            <w:shd w:val="clear" w:color="auto" w:fill="auto"/>
            <w:vAlign w:val="center"/>
            <w:hideMark/>
          </w:tcPr>
          <w:p w14:paraId="55C8A155" w14:textId="77777777" w:rsidR="00C74E15" w:rsidRPr="004E74A6" w:rsidRDefault="00C74E15" w:rsidP="00832773">
            <w:pPr>
              <w:spacing w:line="276" w:lineRule="auto"/>
              <w:jc w:val="center"/>
              <w:rPr>
                <w:rFonts w:cs="Calibri"/>
                <w:color w:val="000000"/>
                <w:sz w:val="20"/>
                <w:lang w:eastAsia="es-CR"/>
              </w:rPr>
            </w:pPr>
            <w:r w:rsidRPr="004E74A6">
              <w:rPr>
                <w:rFonts w:cs="Calibri"/>
                <w:color w:val="000000"/>
                <w:sz w:val="20"/>
                <w:lang w:eastAsia="es-CR"/>
              </w:rPr>
              <w:t>23%</w:t>
            </w:r>
          </w:p>
        </w:tc>
        <w:tc>
          <w:tcPr>
            <w:tcW w:w="1046" w:type="dxa"/>
            <w:vMerge w:val="restart"/>
            <w:tcBorders>
              <w:top w:val="nil"/>
              <w:left w:val="nil"/>
              <w:right w:val="single" w:sz="4" w:space="0" w:color="auto"/>
            </w:tcBorders>
            <w:shd w:val="clear" w:color="auto" w:fill="auto"/>
            <w:vAlign w:val="center"/>
            <w:hideMark/>
          </w:tcPr>
          <w:p w14:paraId="0CE20F3A" w14:textId="5AFDEBA0" w:rsidR="00C74E15" w:rsidRPr="004E74A6" w:rsidRDefault="00C74E15" w:rsidP="00832773">
            <w:pPr>
              <w:spacing w:line="276" w:lineRule="auto"/>
              <w:jc w:val="center"/>
              <w:rPr>
                <w:rFonts w:cs="Calibri"/>
                <w:color w:val="000000"/>
                <w:sz w:val="20"/>
                <w:lang w:eastAsia="es-CR"/>
              </w:rPr>
            </w:pPr>
            <w:r w:rsidRPr="004E74A6">
              <w:rPr>
                <w:rFonts w:cs="Calibri"/>
                <w:color w:val="000000"/>
                <w:sz w:val="20"/>
                <w:lang w:eastAsia="es-CR"/>
              </w:rPr>
              <w:t>47,0</w:t>
            </w:r>
          </w:p>
        </w:tc>
        <w:tc>
          <w:tcPr>
            <w:tcW w:w="1412" w:type="dxa"/>
            <w:tcBorders>
              <w:top w:val="nil"/>
              <w:left w:val="single" w:sz="4" w:space="0" w:color="auto"/>
              <w:right w:val="single" w:sz="4" w:space="0" w:color="auto"/>
            </w:tcBorders>
            <w:vAlign w:val="center"/>
          </w:tcPr>
          <w:p w14:paraId="09185FC9" w14:textId="6A4F80E1" w:rsidR="00C74E15" w:rsidRPr="004E74A6" w:rsidRDefault="00925038" w:rsidP="00832773">
            <w:pPr>
              <w:spacing w:line="276" w:lineRule="auto"/>
              <w:jc w:val="center"/>
              <w:rPr>
                <w:rFonts w:cs="Calibri"/>
                <w:color w:val="000000"/>
                <w:sz w:val="20"/>
                <w:lang w:eastAsia="es-CR"/>
              </w:rPr>
            </w:pPr>
            <w:r w:rsidRPr="004E74A6">
              <w:rPr>
                <w:rFonts w:cs="Calibri"/>
                <w:color w:val="000000"/>
                <w:sz w:val="20"/>
                <w:lang w:eastAsia="es-CR"/>
              </w:rPr>
              <w:t>154</w:t>
            </w:r>
          </w:p>
        </w:tc>
        <w:tc>
          <w:tcPr>
            <w:tcW w:w="2177" w:type="dxa"/>
            <w:tcBorders>
              <w:top w:val="nil"/>
              <w:left w:val="single" w:sz="4" w:space="0" w:color="auto"/>
              <w:bottom w:val="nil"/>
              <w:right w:val="nil"/>
            </w:tcBorders>
            <w:shd w:val="clear" w:color="auto" w:fill="auto"/>
            <w:vAlign w:val="center"/>
            <w:hideMark/>
          </w:tcPr>
          <w:p w14:paraId="576ED346" w14:textId="496A2B9F" w:rsidR="00C74E15" w:rsidRPr="004E74A6" w:rsidRDefault="00C74E15" w:rsidP="00832773">
            <w:pPr>
              <w:spacing w:line="276" w:lineRule="auto"/>
              <w:jc w:val="center"/>
              <w:rPr>
                <w:rFonts w:cs="Calibri"/>
                <w:color w:val="000000"/>
                <w:sz w:val="20"/>
                <w:lang w:eastAsia="es-CR"/>
              </w:rPr>
            </w:pPr>
            <w:r w:rsidRPr="004E74A6">
              <w:rPr>
                <w:rFonts w:cs="Calibri"/>
                <w:color w:val="000000"/>
                <w:sz w:val="20"/>
                <w:lang w:eastAsia="es-CR"/>
              </w:rPr>
              <w:t>8%</w:t>
            </w:r>
          </w:p>
        </w:tc>
      </w:tr>
      <w:tr w:rsidR="00992BAD" w:rsidRPr="004E74A6" w14:paraId="36116F25" w14:textId="77777777" w:rsidTr="00832773">
        <w:trPr>
          <w:trHeight w:val="454"/>
          <w:jc w:val="center"/>
        </w:trPr>
        <w:tc>
          <w:tcPr>
            <w:tcW w:w="3261" w:type="dxa"/>
            <w:tcBorders>
              <w:top w:val="nil"/>
              <w:left w:val="nil"/>
              <w:bottom w:val="nil"/>
              <w:right w:val="single" w:sz="8" w:space="0" w:color="auto"/>
            </w:tcBorders>
            <w:shd w:val="clear" w:color="auto" w:fill="F2F2F2" w:themeFill="background1" w:themeFillShade="F2"/>
            <w:vAlign w:val="center"/>
            <w:hideMark/>
          </w:tcPr>
          <w:p w14:paraId="50C49207" w14:textId="77777777" w:rsidR="00C74E15" w:rsidRPr="004E74A6" w:rsidRDefault="00C74E15" w:rsidP="00832773">
            <w:pPr>
              <w:spacing w:line="276" w:lineRule="auto"/>
              <w:rPr>
                <w:rFonts w:cs="Calibri"/>
                <w:color w:val="000000"/>
                <w:sz w:val="20"/>
                <w:lang w:eastAsia="es-CR"/>
              </w:rPr>
            </w:pPr>
            <w:r w:rsidRPr="004E74A6">
              <w:rPr>
                <w:rFonts w:cs="Calibri"/>
                <w:color w:val="000000"/>
                <w:sz w:val="20"/>
                <w:lang w:eastAsia="es-CR"/>
              </w:rPr>
              <w:t xml:space="preserve">Juzgado Civil, Trabajo, Familia, Penal Juvenil, Agrario y contra la Violencia Doméstica de Buenos Aires </w:t>
            </w:r>
          </w:p>
        </w:tc>
        <w:tc>
          <w:tcPr>
            <w:tcW w:w="1319" w:type="dxa"/>
            <w:tcBorders>
              <w:top w:val="nil"/>
              <w:left w:val="nil"/>
              <w:bottom w:val="nil"/>
              <w:right w:val="single" w:sz="8" w:space="0" w:color="auto"/>
            </w:tcBorders>
            <w:shd w:val="clear" w:color="auto" w:fill="F2F2F2" w:themeFill="background1" w:themeFillShade="F2"/>
            <w:vAlign w:val="center"/>
            <w:hideMark/>
          </w:tcPr>
          <w:p w14:paraId="2022F5C7" w14:textId="77777777" w:rsidR="00C74E15" w:rsidRPr="004E74A6" w:rsidRDefault="00C74E15" w:rsidP="00832773">
            <w:pPr>
              <w:spacing w:line="276" w:lineRule="auto"/>
              <w:jc w:val="center"/>
              <w:rPr>
                <w:rFonts w:cs="Calibri"/>
                <w:color w:val="000000"/>
                <w:sz w:val="20"/>
                <w:lang w:eastAsia="es-CR"/>
              </w:rPr>
            </w:pPr>
            <w:r w:rsidRPr="004E74A6">
              <w:rPr>
                <w:rFonts w:cs="Calibri"/>
                <w:color w:val="000000"/>
                <w:sz w:val="20"/>
                <w:lang w:eastAsia="es-CR"/>
              </w:rPr>
              <w:t>81</w:t>
            </w:r>
          </w:p>
        </w:tc>
        <w:tc>
          <w:tcPr>
            <w:tcW w:w="2176" w:type="dxa"/>
            <w:tcBorders>
              <w:top w:val="nil"/>
              <w:left w:val="nil"/>
              <w:bottom w:val="nil"/>
              <w:right w:val="single" w:sz="8" w:space="0" w:color="auto"/>
            </w:tcBorders>
            <w:shd w:val="clear" w:color="auto" w:fill="F2F2F2" w:themeFill="background1" w:themeFillShade="F2"/>
            <w:vAlign w:val="center"/>
            <w:hideMark/>
          </w:tcPr>
          <w:p w14:paraId="783BA7F5" w14:textId="77777777" w:rsidR="00C74E15" w:rsidRPr="004E74A6" w:rsidRDefault="00C74E15" w:rsidP="00832773">
            <w:pPr>
              <w:spacing w:line="276" w:lineRule="auto"/>
              <w:jc w:val="center"/>
              <w:rPr>
                <w:rFonts w:cs="Calibri"/>
                <w:color w:val="000000"/>
                <w:sz w:val="20"/>
                <w:lang w:eastAsia="es-CR"/>
              </w:rPr>
            </w:pPr>
            <w:r w:rsidRPr="004E74A6">
              <w:rPr>
                <w:rFonts w:cs="Calibri"/>
                <w:color w:val="000000"/>
                <w:sz w:val="20"/>
                <w:lang w:eastAsia="es-CR"/>
              </w:rPr>
              <w:t>13%</w:t>
            </w:r>
          </w:p>
        </w:tc>
        <w:tc>
          <w:tcPr>
            <w:tcW w:w="1046" w:type="dxa"/>
            <w:vMerge/>
            <w:tcBorders>
              <w:left w:val="nil"/>
              <w:right w:val="single" w:sz="4" w:space="0" w:color="auto"/>
            </w:tcBorders>
            <w:shd w:val="clear" w:color="auto" w:fill="F2F2F2" w:themeFill="background1" w:themeFillShade="F2"/>
            <w:vAlign w:val="center"/>
            <w:hideMark/>
          </w:tcPr>
          <w:p w14:paraId="23A76BF3" w14:textId="0FFE294D" w:rsidR="00C74E15" w:rsidRPr="004E74A6" w:rsidRDefault="00C74E15" w:rsidP="00832773">
            <w:pPr>
              <w:spacing w:line="276" w:lineRule="auto"/>
              <w:jc w:val="center"/>
              <w:rPr>
                <w:rFonts w:cs="Calibri"/>
                <w:color w:val="000000"/>
                <w:sz w:val="20"/>
                <w:lang w:eastAsia="es-CR"/>
              </w:rPr>
            </w:pPr>
          </w:p>
        </w:tc>
        <w:tc>
          <w:tcPr>
            <w:tcW w:w="1412" w:type="dxa"/>
            <w:tcBorders>
              <w:left w:val="single" w:sz="4" w:space="0" w:color="auto"/>
              <w:right w:val="single" w:sz="4" w:space="0" w:color="auto"/>
            </w:tcBorders>
            <w:shd w:val="clear" w:color="auto" w:fill="F2F2F2" w:themeFill="background1" w:themeFillShade="F2"/>
            <w:vAlign w:val="center"/>
          </w:tcPr>
          <w:p w14:paraId="45142CE3" w14:textId="0548BEF8" w:rsidR="00C74E15" w:rsidRPr="004E74A6" w:rsidRDefault="00925038" w:rsidP="00832773">
            <w:pPr>
              <w:spacing w:line="276" w:lineRule="auto"/>
              <w:jc w:val="center"/>
              <w:rPr>
                <w:rFonts w:cs="Calibri"/>
                <w:color w:val="000000"/>
                <w:sz w:val="20"/>
                <w:lang w:eastAsia="es-CR"/>
              </w:rPr>
            </w:pPr>
            <w:r w:rsidRPr="004E74A6">
              <w:rPr>
                <w:rFonts w:cs="Calibri"/>
                <w:color w:val="000000"/>
                <w:sz w:val="20"/>
                <w:lang w:eastAsia="es-CR"/>
              </w:rPr>
              <w:t>87</w:t>
            </w:r>
          </w:p>
        </w:tc>
        <w:tc>
          <w:tcPr>
            <w:tcW w:w="2177" w:type="dxa"/>
            <w:tcBorders>
              <w:top w:val="nil"/>
              <w:left w:val="single" w:sz="4" w:space="0" w:color="auto"/>
              <w:bottom w:val="nil"/>
              <w:right w:val="nil"/>
            </w:tcBorders>
            <w:shd w:val="clear" w:color="auto" w:fill="F2F2F2" w:themeFill="background1" w:themeFillShade="F2"/>
            <w:vAlign w:val="center"/>
            <w:hideMark/>
          </w:tcPr>
          <w:p w14:paraId="68E50C30" w14:textId="26BD3E85" w:rsidR="00C74E15" w:rsidRPr="004E74A6" w:rsidRDefault="00C74E15" w:rsidP="00832773">
            <w:pPr>
              <w:spacing w:line="276" w:lineRule="auto"/>
              <w:jc w:val="center"/>
              <w:rPr>
                <w:rFonts w:cs="Calibri"/>
                <w:color w:val="000000"/>
                <w:sz w:val="20"/>
                <w:lang w:eastAsia="es-CR"/>
              </w:rPr>
            </w:pPr>
            <w:r w:rsidRPr="004E74A6">
              <w:rPr>
                <w:rFonts w:cs="Calibri"/>
                <w:color w:val="000000"/>
                <w:sz w:val="20"/>
                <w:lang w:eastAsia="es-CR"/>
              </w:rPr>
              <w:t>8%</w:t>
            </w:r>
          </w:p>
        </w:tc>
      </w:tr>
      <w:tr w:rsidR="00186B25" w:rsidRPr="004E74A6" w14:paraId="4B505137" w14:textId="77777777" w:rsidTr="001D7959">
        <w:trPr>
          <w:trHeight w:val="454"/>
          <w:jc w:val="center"/>
        </w:trPr>
        <w:tc>
          <w:tcPr>
            <w:tcW w:w="3261" w:type="dxa"/>
            <w:tcBorders>
              <w:top w:val="nil"/>
              <w:left w:val="nil"/>
              <w:bottom w:val="nil"/>
              <w:right w:val="single" w:sz="8" w:space="0" w:color="auto"/>
            </w:tcBorders>
            <w:shd w:val="clear" w:color="auto" w:fill="auto"/>
            <w:vAlign w:val="center"/>
            <w:hideMark/>
          </w:tcPr>
          <w:p w14:paraId="55E1B2E2" w14:textId="77777777" w:rsidR="00C74E15" w:rsidRPr="004E74A6" w:rsidRDefault="00C74E15" w:rsidP="00832773">
            <w:pPr>
              <w:spacing w:line="276" w:lineRule="auto"/>
              <w:rPr>
                <w:rFonts w:cs="Calibri"/>
                <w:color w:val="000000"/>
                <w:sz w:val="20"/>
                <w:lang w:eastAsia="es-CR"/>
              </w:rPr>
            </w:pPr>
            <w:r w:rsidRPr="004E74A6">
              <w:rPr>
                <w:rFonts w:cs="Calibri"/>
                <w:color w:val="000000"/>
                <w:sz w:val="20"/>
                <w:lang w:eastAsia="es-CR"/>
              </w:rPr>
              <w:t>Juzgado Civil y Trabajo de Corredores</w:t>
            </w:r>
          </w:p>
        </w:tc>
        <w:tc>
          <w:tcPr>
            <w:tcW w:w="1319" w:type="dxa"/>
            <w:tcBorders>
              <w:top w:val="nil"/>
              <w:left w:val="nil"/>
              <w:bottom w:val="nil"/>
              <w:right w:val="single" w:sz="8" w:space="0" w:color="auto"/>
            </w:tcBorders>
            <w:shd w:val="clear" w:color="auto" w:fill="auto"/>
            <w:vAlign w:val="center"/>
            <w:hideMark/>
          </w:tcPr>
          <w:p w14:paraId="4E987D24" w14:textId="77777777" w:rsidR="00C74E15" w:rsidRPr="004E74A6" w:rsidRDefault="00C74E15" w:rsidP="00832773">
            <w:pPr>
              <w:spacing w:line="276" w:lineRule="auto"/>
              <w:jc w:val="center"/>
              <w:rPr>
                <w:rFonts w:cs="Calibri"/>
                <w:color w:val="000000"/>
                <w:sz w:val="20"/>
                <w:lang w:eastAsia="es-CR"/>
              </w:rPr>
            </w:pPr>
            <w:r w:rsidRPr="004E74A6">
              <w:rPr>
                <w:rFonts w:cs="Calibri"/>
                <w:color w:val="000000"/>
                <w:sz w:val="20"/>
                <w:lang w:eastAsia="es-CR"/>
              </w:rPr>
              <w:t>143</w:t>
            </w:r>
          </w:p>
        </w:tc>
        <w:tc>
          <w:tcPr>
            <w:tcW w:w="2176" w:type="dxa"/>
            <w:tcBorders>
              <w:top w:val="nil"/>
              <w:left w:val="nil"/>
              <w:bottom w:val="nil"/>
              <w:right w:val="single" w:sz="8" w:space="0" w:color="auto"/>
            </w:tcBorders>
            <w:shd w:val="clear" w:color="auto" w:fill="auto"/>
            <w:vAlign w:val="center"/>
            <w:hideMark/>
          </w:tcPr>
          <w:p w14:paraId="4B059D47" w14:textId="77777777" w:rsidR="00C74E15" w:rsidRPr="004E74A6" w:rsidRDefault="00C74E15" w:rsidP="00832773">
            <w:pPr>
              <w:spacing w:line="276" w:lineRule="auto"/>
              <w:jc w:val="center"/>
              <w:rPr>
                <w:rFonts w:cs="Calibri"/>
                <w:color w:val="000000"/>
                <w:sz w:val="20"/>
                <w:lang w:eastAsia="es-CR"/>
              </w:rPr>
            </w:pPr>
            <w:r w:rsidRPr="004E74A6">
              <w:rPr>
                <w:rFonts w:cs="Calibri"/>
                <w:color w:val="000000"/>
                <w:sz w:val="20"/>
                <w:lang w:eastAsia="es-CR"/>
              </w:rPr>
              <w:t>23%</w:t>
            </w:r>
          </w:p>
        </w:tc>
        <w:tc>
          <w:tcPr>
            <w:tcW w:w="1046" w:type="dxa"/>
            <w:vMerge/>
            <w:tcBorders>
              <w:left w:val="nil"/>
              <w:right w:val="single" w:sz="4" w:space="0" w:color="auto"/>
            </w:tcBorders>
            <w:shd w:val="clear" w:color="auto" w:fill="auto"/>
            <w:vAlign w:val="center"/>
            <w:hideMark/>
          </w:tcPr>
          <w:p w14:paraId="316F8669" w14:textId="66B8DC22" w:rsidR="00C74E15" w:rsidRPr="004E74A6" w:rsidRDefault="00C74E15" w:rsidP="00832773">
            <w:pPr>
              <w:spacing w:line="276" w:lineRule="auto"/>
              <w:jc w:val="center"/>
              <w:rPr>
                <w:rFonts w:cs="Calibri"/>
                <w:color w:val="000000"/>
                <w:sz w:val="20"/>
                <w:lang w:eastAsia="es-CR"/>
              </w:rPr>
            </w:pPr>
          </w:p>
        </w:tc>
        <w:tc>
          <w:tcPr>
            <w:tcW w:w="1412" w:type="dxa"/>
            <w:tcBorders>
              <w:left w:val="single" w:sz="4" w:space="0" w:color="auto"/>
              <w:right w:val="single" w:sz="4" w:space="0" w:color="auto"/>
            </w:tcBorders>
            <w:vAlign w:val="center"/>
          </w:tcPr>
          <w:p w14:paraId="4B64AD85" w14:textId="1F7B6E0C" w:rsidR="00C74E15" w:rsidRPr="004E74A6" w:rsidRDefault="00925038" w:rsidP="00832773">
            <w:pPr>
              <w:spacing w:line="276" w:lineRule="auto"/>
              <w:jc w:val="center"/>
              <w:rPr>
                <w:rFonts w:cs="Calibri"/>
                <w:color w:val="000000"/>
                <w:sz w:val="20"/>
                <w:lang w:eastAsia="es-CR"/>
              </w:rPr>
            </w:pPr>
            <w:r w:rsidRPr="004E74A6">
              <w:rPr>
                <w:rFonts w:cs="Calibri"/>
                <w:color w:val="000000"/>
                <w:sz w:val="20"/>
                <w:lang w:eastAsia="es-CR"/>
              </w:rPr>
              <w:t>154</w:t>
            </w:r>
          </w:p>
        </w:tc>
        <w:tc>
          <w:tcPr>
            <w:tcW w:w="2177" w:type="dxa"/>
            <w:tcBorders>
              <w:top w:val="nil"/>
              <w:left w:val="single" w:sz="4" w:space="0" w:color="auto"/>
              <w:bottom w:val="nil"/>
              <w:right w:val="nil"/>
            </w:tcBorders>
            <w:shd w:val="clear" w:color="auto" w:fill="auto"/>
            <w:vAlign w:val="center"/>
            <w:hideMark/>
          </w:tcPr>
          <w:p w14:paraId="1E8426EA" w14:textId="1F3EE85B" w:rsidR="00C74E15" w:rsidRPr="004E74A6" w:rsidRDefault="00C74E15" w:rsidP="00832773">
            <w:pPr>
              <w:spacing w:line="276" w:lineRule="auto"/>
              <w:jc w:val="center"/>
              <w:rPr>
                <w:rFonts w:cs="Calibri"/>
                <w:color w:val="000000"/>
                <w:sz w:val="20"/>
                <w:lang w:eastAsia="es-CR"/>
              </w:rPr>
            </w:pPr>
            <w:r w:rsidRPr="004E74A6">
              <w:rPr>
                <w:rFonts w:cs="Calibri"/>
                <w:color w:val="000000"/>
                <w:sz w:val="20"/>
                <w:lang w:eastAsia="es-CR"/>
              </w:rPr>
              <w:t>8%</w:t>
            </w:r>
          </w:p>
        </w:tc>
      </w:tr>
      <w:tr w:rsidR="00992BAD" w:rsidRPr="004E74A6" w14:paraId="42026EEA" w14:textId="77777777" w:rsidTr="00832773">
        <w:trPr>
          <w:trHeight w:val="454"/>
          <w:jc w:val="center"/>
        </w:trPr>
        <w:tc>
          <w:tcPr>
            <w:tcW w:w="3261" w:type="dxa"/>
            <w:tcBorders>
              <w:top w:val="nil"/>
              <w:left w:val="nil"/>
              <w:bottom w:val="nil"/>
              <w:right w:val="single" w:sz="8" w:space="0" w:color="auto"/>
            </w:tcBorders>
            <w:shd w:val="clear" w:color="auto" w:fill="F2F2F2" w:themeFill="background1" w:themeFillShade="F2"/>
            <w:vAlign w:val="center"/>
            <w:hideMark/>
          </w:tcPr>
          <w:p w14:paraId="742A7C27" w14:textId="77777777" w:rsidR="00C74E15" w:rsidRPr="004E74A6" w:rsidRDefault="00C74E15" w:rsidP="00832773">
            <w:pPr>
              <w:spacing w:line="276" w:lineRule="auto"/>
              <w:rPr>
                <w:rFonts w:cs="Calibri"/>
                <w:color w:val="000000"/>
                <w:sz w:val="20"/>
                <w:lang w:eastAsia="es-CR"/>
              </w:rPr>
            </w:pPr>
            <w:r w:rsidRPr="004E74A6">
              <w:rPr>
                <w:rFonts w:cs="Calibri"/>
                <w:color w:val="000000"/>
                <w:sz w:val="20"/>
                <w:lang w:eastAsia="es-CR"/>
              </w:rPr>
              <w:t>Juzgado Civil y Trabajo de Golfito</w:t>
            </w:r>
          </w:p>
        </w:tc>
        <w:tc>
          <w:tcPr>
            <w:tcW w:w="1319" w:type="dxa"/>
            <w:tcBorders>
              <w:top w:val="nil"/>
              <w:left w:val="nil"/>
              <w:bottom w:val="nil"/>
              <w:right w:val="single" w:sz="8" w:space="0" w:color="auto"/>
            </w:tcBorders>
            <w:shd w:val="clear" w:color="auto" w:fill="F2F2F2" w:themeFill="background1" w:themeFillShade="F2"/>
            <w:vAlign w:val="center"/>
            <w:hideMark/>
          </w:tcPr>
          <w:p w14:paraId="1CE9E0DA" w14:textId="77777777" w:rsidR="00C74E15" w:rsidRPr="004E74A6" w:rsidRDefault="00C74E15" w:rsidP="00832773">
            <w:pPr>
              <w:spacing w:line="276" w:lineRule="auto"/>
              <w:jc w:val="center"/>
              <w:rPr>
                <w:rFonts w:cs="Calibri"/>
                <w:color w:val="000000"/>
                <w:sz w:val="20"/>
                <w:lang w:eastAsia="es-CR"/>
              </w:rPr>
            </w:pPr>
            <w:r w:rsidRPr="004E74A6">
              <w:rPr>
                <w:rFonts w:cs="Calibri"/>
                <w:color w:val="000000"/>
                <w:sz w:val="20"/>
                <w:lang w:eastAsia="es-CR"/>
              </w:rPr>
              <w:t>126</w:t>
            </w:r>
          </w:p>
        </w:tc>
        <w:tc>
          <w:tcPr>
            <w:tcW w:w="2176" w:type="dxa"/>
            <w:tcBorders>
              <w:top w:val="nil"/>
              <w:left w:val="nil"/>
              <w:bottom w:val="nil"/>
              <w:right w:val="single" w:sz="8" w:space="0" w:color="auto"/>
            </w:tcBorders>
            <w:shd w:val="clear" w:color="auto" w:fill="F2F2F2" w:themeFill="background1" w:themeFillShade="F2"/>
            <w:vAlign w:val="center"/>
            <w:hideMark/>
          </w:tcPr>
          <w:p w14:paraId="5363C843" w14:textId="77777777" w:rsidR="00C74E15" w:rsidRPr="004E74A6" w:rsidRDefault="00C74E15" w:rsidP="00832773">
            <w:pPr>
              <w:spacing w:line="276" w:lineRule="auto"/>
              <w:jc w:val="center"/>
              <w:rPr>
                <w:rFonts w:cs="Calibri"/>
                <w:color w:val="000000"/>
                <w:sz w:val="20"/>
                <w:lang w:eastAsia="es-CR"/>
              </w:rPr>
            </w:pPr>
            <w:r w:rsidRPr="004E74A6">
              <w:rPr>
                <w:rFonts w:cs="Calibri"/>
                <w:color w:val="000000"/>
                <w:sz w:val="20"/>
                <w:lang w:eastAsia="es-CR"/>
              </w:rPr>
              <w:t>20%</w:t>
            </w:r>
          </w:p>
        </w:tc>
        <w:tc>
          <w:tcPr>
            <w:tcW w:w="1046" w:type="dxa"/>
            <w:vMerge/>
            <w:tcBorders>
              <w:left w:val="nil"/>
              <w:right w:val="single" w:sz="4" w:space="0" w:color="auto"/>
            </w:tcBorders>
            <w:shd w:val="clear" w:color="auto" w:fill="F2F2F2" w:themeFill="background1" w:themeFillShade="F2"/>
            <w:vAlign w:val="center"/>
            <w:hideMark/>
          </w:tcPr>
          <w:p w14:paraId="36068D9A" w14:textId="09478CEA" w:rsidR="00C74E15" w:rsidRPr="004E74A6" w:rsidRDefault="00C74E15" w:rsidP="00832773">
            <w:pPr>
              <w:spacing w:line="276" w:lineRule="auto"/>
              <w:jc w:val="center"/>
              <w:rPr>
                <w:rFonts w:cs="Calibri"/>
                <w:color w:val="000000"/>
                <w:sz w:val="20"/>
                <w:lang w:eastAsia="es-CR"/>
              </w:rPr>
            </w:pPr>
          </w:p>
        </w:tc>
        <w:tc>
          <w:tcPr>
            <w:tcW w:w="1412" w:type="dxa"/>
            <w:tcBorders>
              <w:left w:val="single" w:sz="4" w:space="0" w:color="auto"/>
              <w:right w:val="single" w:sz="4" w:space="0" w:color="auto"/>
            </w:tcBorders>
            <w:shd w:val="clear" w:color="auto" w:fill="F2F2F2" w:themeFill="background1" w:themeFillShade="F2"/>
            <w:vAlign w:val="center"/>
          </w:tcPr>
          <w:p w14:paraId="448DFD4A" w14:textId="0BFACBF8" w:rsidR="00C74E15" w:rsidRPr="004E74A6" w:rsidRDefault="00925038" w:rsidP="00832773">
            <w:pPr>
              <w:spacing w:line="276" w:lineRule="auto"/>
              <w:jc w:val="center"/>
              <w:rPr>
                <w:rFonts w:cs="Calibri"/>
                <w:color w:val="000000"/>
                <w:sz w:val="20"/>
                <w:lang w:eastAsia="es-CR"/>
              </w:rPr>
            </w:pPr>
            <w:r w:rsidRPr="004E74A6">
              <w:rPr>
                <w:rFonts w:cs="Calibri"/>
                <w:color w:val="000000"/>
                <w:sz w:val="20"/>
                <w:lang w:eastAsia="es-CR"/>
              </w:rPr>
              <w:t>136</w:t>
            </w:r>
          </w:p>
        </w:tc>
        <w:tc>
          <w:tcPr>
            <w:tcW w:w="2177" w:type="dxa"/>
            <w:tcBorders>
              <w:top w:val="nil"/>
              <w:left w:val="single" w:sz="4" w:space="0" w:color="auto"/>
              <w:bottom w:val="nil"/>
              <w:right w:val="nil"/>
            </w:tcBorders>
            <w:shd w:val="clear" w:color="auto" w:fill="F2F2F2" w:themeFill="background1" w:themeFillShade="F2"/>
            <w:vAlign w:val="center"/>
            <w:hideMark/>
          </w:tcPr>
          <w:p w14:paraId="34732FED" w14:textId="158904E8" w:rsidR="00C74E15" w:rsidRPr="004E74A6" w:rsidRDefault="00C74E15" w:rsidP="00832773">
            <w:pPr>
              <w:spacing w:line="276" w:lineRule="auto"/>
              <w:jc w:val="center"/>
              <w:rPr>
                <w:rFonts w:cs="Calibri"/>
                <w:color w:val="000000"/>
                <w:sz w:val="20"/>
                <w:lang w:eastAsia="es-CR"/>
              </w:rPr>
            </w:pPr>
            <w:r w:rsidRPr="004E74A6">
              <w:rPr>
                <w:rFonts w:cs="Calibri"/>
                <w:color w:val="000000"/>
                <w:sz w:val="20"/>
                <w:lang w:eastAsia="es-CR"/>
              </w:rPr>
              <w:t>8%</w:t>
            </w:r>
          </w:p>
        </w:tc>
      </w:tr>
      <w:tr w:rsidR="00186B25" w:rsidRPr="004E74A6" w14:paraId="11EB6BEC" w14:textId="77777777" w:rsidTr="001D7959">
        <w:trPr>
          <w:trHeight w:val="454"/>
          <w:jc w:val="center"/>
        </w:trPr>
        <w:tc>
          <w:tcPr>
            <w:tcW w:w="3261" w:type="dxa"/>
            <w:tcBorders>
              <w:top w:val="nil"/>
              <w:left w:val="nil"/>
              <w:bottom w:val="nil"/>
              <w:right w:val="single" w:sz="8" w:space="0" w:color="auto"/>
            </w:tcBorders>
            <w:shd w:val="clear" w:color="auto" w:fill="auto"/>
            <w:vAlign w:val="center"/>
            <w:hideMark/>
          </w:tcPr>
          <w:p w14:paraId="7265DC59" w14:textId="77777777" w:rsidR="00C74E15" w:rsidRPr="004E74A6" w:rsidRDefault="00C74E15" w:rsidP="00832773">
            <w:pPr>
              <w:spacing w:line="276" w:lineRule="auto"/>
              <w:rPr>
                <w:rFonts w:cs="Calibri"/>
                <w:color w:val="000000"/>
                <w:sz w:val="20"/>
                <w:lang w:eastAsia="es-CR"/>
              </w:rPr>
            </w:pPr>
            <w:r w:rsidRPr="004E74A6">
              <w:rPr>
                <w:rFonts w:cs="Calibri"/>
                <w:color w:val="000000"/>
                <w:sz w:val="20"/>
                <w:lang w:eastAsia="es-CR"/>
              </w:rPr>
              <w:t>Juzgado Civil, Trabajo, Familia, Penal Juvenil, y contra la Violencia Doméstica de Osa</w:t>
            </w:r>
          </w:p>
        </w:tc>
        <w:tc>
          <w:tcPr>
            <w:tcW w:w="1319" w:type="dxa"/>
            <w:tcBorders>
              <w:top w:val="nil"/>
              <w:left w:val="nil"/>
              <w:bottom w:val="nil"/>
              <w:right w:val="single" w:sz="8" w:space="0" w:color="auto"/>
            </w:tcBorders>
            <w:shd w:val="clear" w:color="auto" w:fill="auto"/>
            <w:vAlign w:val="center"/>
            <w:hideMark/>
          </w:tcPr>
          <w:p w14:paraId="48C33E43" w14:textId="77777777" w:rsidR="00C74E15" w:rsidRPr="004E74A6" w:rsidRDefault="00C74E15" w:rsidP="00832773">
            <w:pPr>
              <w:spacing w:line="276" w:lineRule="auto"/>
              <w:jc w:val="center"/>
              <w:rPr>
                <w:rFonts w:cs="Calibri"/>
                <w:color w:val="000000"/>
                <w:sz w:val="20"/>
                <w:lang w:eastAsia="es-CR"/>
              </w:rPr>
            </w:pPr>
            <w:r w:rsidRPr="004E74A6">
              <w:rPr>
                <w:rFonts w:cs="Calibri"/>
                <w:color w:val="000000"/>
                <w:sz w:val="20"/>
                <w:lang w:eastAsia="es-CR"/>
              </w:rPr>
              <w:t>127</w:t>
            </w:r>
          </w:p>
        </w:tc>
        <w:tc>
          <w:tcPr>
            <w:tcW w:w="2176" w:type="dxa"/>
            <w:tcBorders>
              <w:top w:val="nil"/>
              <w:left w:val="nil"/>
              <w:bottom w:val="nil"/>
              <w:right w:val="single" w:sz="8" w:space="0" w:color="auto"/>
            </w:tcBorders>
            <w:shd w:val="clear" w:color="auto" w:fill="auto"/>
            <w:vAlign w:val="center"/>
            <w:hideMark/>
          </w:tcPr>
          <w:p w14:paraId="05387AF7" w14:textId="77777777" w:rsidR="00C74E15" w:rsidRPr="004E74A6" w:rsidRDefault="00C74E15" w:rsidP="00832773">
            <w:pPr>
              <w:spacing w:line="276" w:lineRule="auto"/>
              <w:jc w:val="center"/>
              <w:rPr>
                <w:rFonts w:cs="Calibri"/>
                <w:color w:val="000000"/>
                <w:sz w:val="20"/>
                <w:lang w:eastAsia="es-CR"/>
              </w:rPr>
            </w:pPr>
            <w:r w:rsidRPr="004E74A6">
              <w:rPr>
                <w:rFonts w:cs="Calibri"/>
                <w:color w:val="000000"/>
                <w:sz w:val="20"/>
                <w:lang w:eastAsia="es-CR"/>
              </w:rPr>
              <w:t>20%</w:t>
            </w:r>
          </w:p>
        </w:tc>
        <w:tc>
          <w:tcPr>
            <w:tcW w:w="1046" w:type="dxa"/>
            <w:vMerge/>
            <w:tcBorders>
              <w:left w:val="nil"/>
              <w:bottom w:val="nil"/>
              <w:right w:val="single" w:sz="4" w:space="0" w:color="auto"/>
            </w:tcBorders>
            <w:shd w:val="clear" w:color="auto" w:fill="auto"/>
            <w:vAlign w:val="center"/>
            <w:hideMark/>
          </w:tcPr>
          <w:p w14:paraId="62D21B69" w14:textId="5EEAD0AF" w:rsidR="00C74E15" w:rsidRPr="004E74A6" w:rsidRDefault="00C74E15" w:rsidP="00832773">
            <w:pPr>
              <w:spacing w:line="276" w:lineRule="auto"/>
              <w:jc w:val="center"/>
              <w:rPr>
                <w:rFonts w:cs="Calibri"/>
                <w:color w:val="000000"/>
                <w:sz w:val="20"/>
                <w:lang w:eastAsia="es-CR"/>
              </w:rPr>
            </w:pPr>
          </w:p>
        </w:tc>
        <w:tc>
          <w:tcPr>
            <w:tcW w:w="1412" w:type="dxa"/>
            <w:tcBorders>
              <w:left w:val="single" w:sz="4" w:space="0" w:color="auto"/>
              <w:bottom w:val="nil"/>
              <w:right w:val="single" w:sz="4" w:space="0" w:color="auto"/>
            </w:tcBorders>
            <w:vAlign w:val="center"/>
          </w:tcPr>
          <w:p w14:paraId="4A51B293" w14:textId="21EF0AE6" w:rsidR="00C74E15" w:rsidRPr="004E74A6" w:rsidRDefault="00925038" w:rsidP="00832773">
            <w:pPr>
              <w:spacing w:line="276" w:lineRule="auto"/>
              <w:jc w:val="center"/>
              <w:rPr>
                <w:rFonts w:cs="Calibri"/>
                <w:color w:val="000000"/>
                <w:sz w:val="20"/>
                <w:lang w:eastAsia="es-CR"/>
              </w:rPr>
            </w:pPr>
            <w:r w:rsidRPr="004E74A6">
              <w:rPr>
                <w:rFonts w:cs="Calibri"/>
                <w:color w:val="000000"/>
                <w:sz w:val="20"/>
                <w:lang w:eastAsia="es-CR"/>
              </w:rPr>
              <w:t>137</w:t>
            </w:r>
          </w:p>
        </w:tc>
        <w:tc>
          <w:tcPr>
            <w:tcW w:w="2177" w:type="dxa"/>
            <w:tcBorders>
              <w:top w:val="nil"/>
              <w:left w:val="single" w:sz="4" w:space="0" w:color="auto"/>
              <w:bottom w:val="nil"/>
              <w:right w:val="nil"/>
            </w:tcBorders>
            <w:shd w:val="clear" w:color="auto" w:fill="auto"/>
            <w:vAlign w:val="center"/>
            <w:hideMark/>
          </w:tcPr>
          <w:p w14:paraId="31728880" w14:textId="79C9B5D5" w:rsidR="00C74E15" w:rsidRPr="004E74A6" w:rsidRDefault="00C74E15" w:rsidP="00832773">
            <w:pPr>
              <w:spacing w:line="276" w:lineRule="auto"/>
              <w:jc w:val="center"/>
              <w:rPr>
                <w:rFonts w:cs="Calibri"/>
                <w:color w:val="000000"/>
                <w:sz w:val="20"/>
                <w:lang w:eastAsia="es-CR"/>
              </w:rPr>
            </w:pPr>
            <w:r w:rsidRPr="004E74A6">
              <w:rPr>
                <w:rFonts w:cs="Calibri"/>
                <w:color w:val="000000"/>
                <w:sz w:val="20"/>
                <w:lang w:eastAsia="es-CR"/>
              </w:rPr>
              <w:t>8%</w:t>
            </w:r>
          </w:p>
        </w:tc>
      </w:tr>
      <w:tr w:rsidR="00C74E15" w:rsidRPr="004E74A6" w14:paraId="0A8267A2" w14:textId="77777777" w:rsidTr="00832773">
        <w:trPr>
          <w:trHeight w:val="454"/>
          <w:jc w:val="center"/>
        </w:trPr>
        <w:tc>
          <w:tcPr>
            <w:tcW w:w="3261" w:type="dxa"/>
            <w:tcBorders>
              <w:top w:val="nil"/>
              <w:left w:val="nil"/>
              <w:bottom w:val="nil"/>
              <w:right w:val="single" w:sz="4" w:space="0" w:color="A6A6A6"/>
            </w:tcBorders>
            <w:shd w:val="clear" w:color="000000" w:fill="A6A6A6"/>
            <w:vAlign w:val="center"/>
            <w:hideMark/>
          </w:tcPr>
          <w:p w14:paraId="0F97F2E9" w14:textId="77777777" w:rsidR="00C74E15" w:rsidRPr="004E74A6" w:rsidRDefault="00C74E15" w:rsidP="00832773">
            <w:pPr>
              <w:spacing w:line="276" w:lineRule="auto"/>
              <w:jc w:val="center"/>
              <w:rPr>
                <w:rFonts w:cs="Calibri"/>
                <w:b/>
                <w:bCs/>
                <w:color w:val="000000"/>
                <w:sz w:val="20"/>
                <w:lang w:eastAsia="es-CR"/>
              </w:rPr>
            </w:pPr>
            <w:r w:rsidRPr="004E74A6">
              <w:rPr>
                <w:rFonts w:cs="Calibri"/>
                <w:b/>
                <w:bCs/>
                <w:color w:val="000000"/>
                <w:sz w:val="20"/>
                <w:lang w:eastAsia="es-CR"/>
              </w:rPr>
              <w:t>Zona Atlántica</w:t>
            </w:r>
          </w:p>
        </w:tc>
        <w:tc>
          <w:tcPr>
            <w:tcW w:w="1319" w:type="dxa"/>
            <w:tcBorders>
              <w:top w:val="nil"/>
              <w:left w:val="nil"/>
              <w:bottom w:val="nil"/>
              <w:right w:val="single" w:sz="4" w:space="0" w:color="A6A6A6"/>
            </w:tcBorders>
            <w:shd w:val="clear" w:color="000000" w:fill="A6A6A6"/>
            <w:vAlign w:val="center"/>
            <w:hideMark/>
          </w:tcPr>
          <w:p w14:paraId="534E94A2" w14:textId="77777777" w:rsidR="00C74E15" w:rsidRPr="004E74A6" w:rsidRDefault="00C74E15" w:rsidP="00832773">
            <w:pPr>
              <w:spacing w:line="276" w:lineRule="auto"/>
              <w:jc w:val="center"/>
              <w:rPr>
                <w:rFonts w:cs="Calibri"/>
                <w:color w:val="000000"/>
                <w:sz w:val="20"/>
                <w:lang w:eastAsia="es-CR"/>
              </w:rPr>
            </w:pPr>
            <w:r w:rsidRPr="004E74A6">
              <w:rPr>
                <w:rFonts w:cs="Calibri"/>
                <w:color w:val="000000"/>
                <w:sz w:val="20"/>
                <w:lang w:eastAsia="es-CR"/>
              </w:rPr>
              <w:t>967</w:t>
            </w:r>
          </w:p>
        </w:tc>
        <w:tc>
          <w:tcPr>
            <w:tcW w:w="2176" w:type="dxa"/>
            <w:tcBorders>
              <w:top w:val="nil"/>
              <w:left w:val="nil"/>
              <w:bottom w:val="nil"/>
              <w:right w:val="single" w:sz="4" w:space="0" w:color="A6A6A6"/>
            </w:tcBorders>
            <w:shd w:val="clear" w:color="000000" w:fill="A6A6A6"/>
            <w:vAlign w:val="center"/>
            <w:hideMark/>
          </w:tcPr>
          <w:p w14:paraId="08A8E957" w14:textId="77777777" w:rsidR="00C74E15" w:rsidRPr="004E74A6" w:rsidRDefault="00C74E15" w:rsidP="00832773">
            <w:pPr>
              <w:spacing w:line="276" w:lineRule="auto"/>
              <w:jc w:val="center"/>
              <w:rPr>
                <w:rFonts w:cs="Calibri"/>
                <w:color w:val="000000"/>
                <w:sz w:val="20"/>
                <w:lang w:eastAsia="es-CR"/>
              </w:rPr>
            </w:pPr>
            <w:r w:rsidRPr="004E74A6">
              <w:rPr>
                <w:rFonts w:cs="Calibri"/>
                <w:color w:val="000000"/>
                <w:sz w:val="20"/>
                <w:lang w:eastAsia="es-CR"/>
              </w:rPr>
              <w:t> </w:t>
            </w:r>
          </w:p>
        </w:tc>
        <w:tc>
          <w:tcPr>
            <w:tcW w:w="1046" w:type="dxa"/>
            <w:tcBorders>
              <w:top w:val="nil"/>
              <w:left w:val="nil"/>
              <w:bottom w:val="nil"/>
              <w:right w:val="single" w:sz="4" w:space="0" w:color="auto"/>
            </w:tcBorders>
            <w:shd w:val="clear" w:color="000000" w:fill="A6A6A6"/>
            <w:vAlign w:val="center"/>
            <w:hideMark/>
          </w:tcPr>
          <w:p w14:paraId="530C63F4" w14:textId="77777777" w:rsidR="00C74E15" w:rsidRPr="004E74A6" w:rsidRDefault="00C74E15" w:rsidP="00832773">
            <w:pPr>
              <w:spacing w:line="276" w:lineRule="auto"/>
              <w:jc w:val="center"/>
              <w:rPr>
                <w:rFonts w:cs="Calibri"/>
                <w:color w:val="000000"/>
                <w:sz w:val="20"/>
                <w:lang w:eastAsia="es-CR"/>
              </w:rPr>
            </w:pPr>
            <w:r w:rsidRPr="004E74A6">
              <w:rPr>
                <w:rFonts w:cs="Calibri"/>
                <w:color w:val="000000"/>
                <w:sz w:val="20"/>
                <w:lang w:eastAsia="es-CR"/>
              </w:rPr>
              <w:t> </w:t>
            </w:r>
          </w:p>
        </w:tc>
        <w:tc>
          <w:tcPr>
            <w:tcW w:w="1412" w:type="dxa"/>
            <w:tcBorders>
              <w:top w:val="nil"/>
              <w:left w:val="single" w:sz="4" w:space="0" w:color="auto"/>
              <w:bottom w:val="nil"/>
              <w:right w:val="single" w:sz="4" w:space="0" w:color="auto"/>
            </w:tcBorders>
            <w:shd w:val="clear" w:color="000000" w:fill="A6A6A6"/>
            <w:vAlign w:val="center"/>
          </w:tcPr>
          <w:p w14:paraId="1421C511" w14:textId="77777777" w:rsidR="00C74E15" w:rsidRPr="004E74A6" w:rsidRDefault="00C74E15" w:rsidP="00832773">
            <w:pPr>
              <w:spacing w:line="276" w:lineRule="auto"/>
              <w:jc w:val="center"/>
              <w:rPr>
                <w:rFonts w:cs="Calibri"/>
                <w:color w:val="000000"/>
                <w:sz w:val="20"/>
                <w:lang w:eastAsia="es-CR"/>
              </w:rPr>
            </w:pPr>
          </w:p>
        </w:tc>
        <w:tc>
          <w:tcPr>
            <w:tcW w:w="2177" w:type="dxa"/>
            <w:tcBorders>
              <w:top w:val="nil"/>
              <w:left w:val="single" w:sz="4" w:space="0" w:color="auto"/>
              <w:bottom w:val="nil"/>
              <w:right w:val="nil"/>
            </w:tcBorders>
            <w:shd w:val="clear" w:color="000000" w:fill="A6A6A6"/>
            <w:vAlign w:val="center"/>
            <w:hideMark/>
          </w:tcPr>
          <w:p w14:paraId="1D636E12" w14:textId="49887C9F" w:rsidR="00C74E15" w:rsidRPr="004E74A6" w:rsidRDefault="00C74E15" w:rsidP="00832773">
            <w:pPr>
              <w:spacing w:line="276" w:lineRule="auto"/>
              <w:jc w:val="center"/>
              <w:rPr>
                <w:rFonts w:cs="Calibri"/>
                <w:color w:val="000000"/>
                <w:sz w:val="20"/>
                <w:lang w:eastAsia="es-CR"/>
              </w:rPr>
            </w:pPr>
            <w:r w:rsidRPr="004E74A6">
              <w:rPr>
                <w:rFonts w:cs="Calibri"/>
                <w:color w:val="000000"/>
                <w:sz w:val="20"/>
                <w:lang w:eastAsia="es-CR"/>
              </w:rPr>
              <w:t> </w:t>
            </w:r>
          </w:p>
        </w:tc>
      </w:tr>
      <w:tr w:rsidR="00186B25" w:rsidRPr="004E74A6" w14:paraId="20F59C94" w14:textId="77777777" w:rsidTr="001D7959">
        <w:trPr>
          <w:trHeight w:val="454"/>
          <w:jc w:val="center"/>
        </w:trPr>
        <w:tc>
          <w:tcPr>
            <w:tcW w:w="3261" w:type="dxa"/>
            <w:tcBorders>
              <w:top w:val="nil"/>
              <w:left w:val="nil"/>
              <w:bottom w:val="nil"/>
              <w:right w:val="single" w:sz="8" w:space="0" w:color="auto"/>
            </w:tcBorders>
            <w:shd w:val="clear" w:color="auto" w:fill="auto"/>
            <w:vAlign w:val="center"/>
            <w:hideMark/>
          </w:tcPr>
          <w:p w14:paraId="47CE6314" w14:textId="77777777" w:rsidR="00C74E15" w:rsidRPr="004E74A6" w:rsidRDefault="00C74E15" w:rsidP="00832773">
            <w:pPr>
              <w:spacing w:line="276" w:lineRule="auto"/>
              <w:rPr>
                <w:rFonts w:cs="Calibri"/>
                <w:color w:val="000000"/>
                <w:sz w:val="20"/>
                <w:lang w:eastAsia="es-CR"/>
              </w:rPr>
            </w:pPr>
            <w:r w:rsidRPr="004E74A6">
              <w:rPr>
                <w:rFonts w:cs="Calibri"/>
                <w:color w:val="000000"/>
                <w:sz w:val="20"/>
                <w:lang w:eastAsia="es-CR"/>
              </w:rPr>
              <w:t>Juzgado Civil del Primer Circuito Judicial de Zona Atlántica</w:t>
            </w:r>
          </w:p>
        </w:tc>
        <w:tc>
          <w:tcPr>
            <w:tcW w:w="1319" w:type="dxa"/>
            <w:tcBorders>
              <w:top w:val="nil"/>
              <w:left w:val="nil"/>
              <w:bottom w:val="nil"/>
              <w:right w:val="single" w:sz="8" w:space="0" w:color="auto"/>
            </w:tcBorders>
            <w:shd w:val="clear" w:color="auto" w:fill="auto"/>
            <w:vAlign w:val="center"/>
            <w:hideMark/>
          </w:tcPr>
          <w:p w14:paraId="53BBDD11" w14:textId="77777777" w:rsidR="00C74E15" w:rsidRPr="004E74A6" w:rsidRDefault="00C74E15" w:rsidP="00832773">
            <w:pPr>
              <w:spacing w:line="276" w:lineRule="auto"/>
              <w:jc w:val="center"/>
              <w:rPr>
                <w:rFonts w:cs="Calibri"/>
                <w:color w:val="000000"/>
                <w:sz w:val="20"/>
                <w:lang w:eastAsia="es-CR"/>
              </w:rPr>
            </w:pPr>
            <w:r w:rsidRPr="004E74A6">
              <w:rPr>
                <w:rFonts w:cs="Calibri"/>
                <w:color w:val="000000"/>
                <w:sz w:val="20"/>
                <w:lang w:eastAsia="es-CR"/>
              </w:rPr>
              <w:t>461</w:t>
            </w:r>
          </w:p>
        </w:tc>
        <w:tc>
          <w:tcPr>
            <w:tcW w:w="2176" w:type="dxa"/>
            <w:tcBorders>
              <w:top w:val="nil"/>
              <w:left w:val="nil"/>
              <w:bottom w:val="nil"/>
              <w:right w:val="single" w:sz="8" w:space="0" w:color="auto"/>
            </w:tcBorders>
            <w:shd w:val="clear" w:color="auto" w:fill="auto"/>
            <w:vAlign w:val="center"/>
            <w:hideMark/>
          </w:tcPr>
          <w:p w14:paraId="691CB71B" w14:textId="77777777" w:rsidR="00C74E15" w:rsidRPr="004E74A6" w:rsidRDefault="00C74E15" w:rsidP="00832773">
            <w:pPr>
              <w:spacing w:line="276" w:lineRule="auto"/>
              <w:jc w:val="center"/>
              <w:rPr>
                <w:rFonts w:cs="Calibri"/>
                <w:color w:val="000000"/>
                <w:sz w:val="20"/>
                <w:lang w:eastAsia="es-CR"/>
              </w:rPr>
            </w:pPr>
            <w:r w:rsidRPr="004E74A6">
              <w:rPr>
                <w:rFonts w:cs="Calibri"/>
                <w:color w:val="000000"/>
                <w:sz w:val="20"/>
                <w:lang w:eastAsia="es-CR"/>
              </w:rPr>
              <w:t>48%</w:t>
            </w:r>
          </w:p>
        </w:tc>
        <w:tc>
          <w:tcPr>
            <w:tcW w:w="1046" w:type="dxa"/>
            <w:vMerge w:val="restart"/>
            <w:tcBorders>
              <w:top w:val="nil"/>
              <w:left w:val="nil"/>
              <w:right w:val="single" w:sz="4" w:space="0" w:color="auto"/>
            </w:tcBorders>
            <w:shd w:val="clear" w:color="auto" w:fill="auto"/>
            <w:vAlign w:val="center"/>
            <w:hideMark/>
          </w:tcPr>
          <w:p w14:paraId="0DA97029" w14:textId="0EEE926F" w:rsidR="00C74E15" w:rsidRPr="004E74A6" w:rsidRDefault="00C74E15" w:rsidP="00832773">
            <w:pPr>
              <w:spacing w:line="276" w:lineRule="auto"/>
              <w:jc w:val="center"/>
              <w:rPr>
                <w:rFonts w:cs="Calibri"/>
                <w:color w:val="000000"/>
                <w:sz w:val="20"/>
                <w:lang w:eastAsia="es-CR"/>
              </w:rPr>
            </w:pPr>
            <w:r w:rsidRPr="004E74A6">
              <w:rPr>
                <w:rFonts w:cs="Calibri"/>
                <w:color w:val="000000"/>
                <w:sz w:val="20"/>
                <w:lang w:eastAsia="es-CR"/>
              </w:rPr>
              <w:t>44,0</w:t>
            </w:r>
          </w:p>
        </w:tc>
        <w:tc>
          <w:tcPr>
            <w:tcW w:w="1412" w:type="dxa"/>
            <w:tcBorders>
              <w:top w:val="nil"/>
              <w:left w:val="single" w:sz="4" w:space="0" w:color="auto"/>
              <w:right w:val="single" w:sz="4" w:space="0" w:color="auto"/>
            </w:tcBorders>
            <w:vAlign w:val="center"/>
          </w:tcPr>
          <w:p w14:paraId="07F042B3" w14:textId="762278DF" w:rsidR="00C74E15" w:rsidRPr="004E74A6" w:rsidRDefault="00925038" w:rsidP="00832773">
            <w:pPr>
              <w:spacing w:line="276" w:lineRule="auto"/>
              <w:jc w:val="center"/>
              <w:rPr>
                <w:rFonts w:cs="Calibri"/>
                <w:color w:val="000000"/>
                <w:sz w:val="20"/>
                <w:lang w:eastAsia="es-CR"/>
              </w:rPr>
            </w:pPr>
            <w:r w:rsidRPr="004E74A6">
              <w:rPr>
                <w:rFonts w:cs="Calibri"/>
                <w:color w:val="000000"/>
                <w:sz w:val="20"/>
                <w:lang w:eastAsia="es-CR"/>
              </w:rPr>
              <w:t>482</w:t>
            </w:r>
          </w:p>
        </w:tc>
        <w:tc>
          <w:tcPr>
            <w:tcW w:w="2177" w:type="dxa"/>
            <w:tcBorders>
              <w:top w:val="nil"/>
              <w:left w:val="single" w:sz="4" w:space="0" w:color="auto"/>
              <w:bottom w:val="nil"/>
              <w:right w:val="nil"/>
            </w:tcBorders>
            <w:shd w:val="clear" w:color="auto" w:fill="auto"/>
            <w:vAlign w:val="center"/>
            <w:hideMark/>
          </w:tcPr>
          <w:p w14:paraId="38409735" w14:textId="3E601AC8" w:rsidR="00C74E15" w:rsidRPr="004E74A6" w:rsidRDefault="00C74E15" w:rsidP="00832773">
            <w:pPr>
              <w:spacing w:line="276" w:lineRule="auto"/>
              <w:jc w:val="center"/>
              <w:rPr>
                <w:rFonts w:cs="Calibri"/>
                <w:color w:val="000000"/>
                <w:sz w:val="20"/>
                <w:lang w:eastAsia="es-CR"/>
              </w:rPr>
            </w:pPr>
            <w:r w:rsidRPr="004E74A6">
              <w:rPr>
                <w:rFonts w:cs="Calibri"/>
                <w:color w:val="000000"/>
                <w:sz w:val="20"/>
                <w:lang w:eastAsia="es-CR"/>
              </w:rPr>
              <w:t>5%</w:t>
            </w:r>
          </w:p>
        </w:tc>
      </w:tr>
      <w:tr w:rsidR="00992BAD" w:rsidRPr="004E74A6" w14:paraId="55F06CF9" w14:textId="77777777" w:rsidTr="00832773">
        <w:trPr>
          <w:trHeight w:val="454"/>
          <w:jc w:val="center"/>
        </w:trPr>
        <w:tc>
          <w:tcPr>
            <w:tcW w:w="3261" w:type="dxa"/>
            <w:tcBorders>
              <w:top w:val="nil"/>
              <w:left w:val="nil"/>
              <w:bottom w:val="nil"/>
              <w:right w:val="single" w:sz="8" w:space="0" w:color="auto"/>
            </w:tcBorders>
            <w:shd w:val="clear" w:color="auto" w:fill="F2F2F2" w:themeFill="background1" w:themeFillShade="F2"/>
            <w:vAlign w:val="center"/>
            <w:hideMark/>
          </w:tcPr>
          <w:p w14:paraId="0984A8D2" w14:textId="77777777" w:rsidR="00C74E15" w:rsidRPr="004E74A6" w:rsidRDefault="00C74E15" w:rsidP="00832773">
            <w:pPr>
              <w:spacing w:line="276" w:lineRule="auto"/>
              <w:rPr>
                <w:rFonts w:cs="Calibri"/>
                <w:color w:val="000000"/>
                <w:sz w:val="20"/>
                <w:lang w:eastAsia="es-CR"/>
              </w:rPr>
            </w:pPr>
            <w:r w:rsidRPr="004E74A6">
              <w:rPr>
                <w:rFonts w:cs="Calibri"/>
                <w:color w:val="000000"/>
                <w:sz w:val="20"/>
                <w:lang w:eastAsia="es-CR"/>
              </w:rPr>
              <w:t>Juzgado Civil del Segundo Circuito Judicial de Zona Atlántica</w:t>
            </w:r>
          </w:p>
        </w:tc>
        <w:tc>
          <w:tcPr>
            <w:tcW w:w="1319" w:type="dxa"/>
            <w:tcBorders>
              <w:top w:val="nil"/>
              <w:left w:val="nil"/>
              <w:bottom w:val="nil"/>
              <w:right w:val="single" w:sz="8" w:space="0" w:color="auto"/>
            </w:tcBorders>
            <w:shd w:val="clear" w:color="auto" w:fill="F2F2F2" w:themeFill="background1" w:themeFillShade="F2"/>
            <w:vAlign w:val="center"/>
            <w:hideMark/>
          </w:tcPr>
          <w:p w14:paraId="414D259B" w14:textId="77777777" w:rsidR="00C74E15" w:rsidRPr="004E74A6" w:rsidRDefault="00C74E15" w:rsidP="00832773">
            <w:pPr>
              <w:spacing w:line="276" w:lineRule="auto"/>
              <w:jc w:val="center"/>
              <w:rPr>
                <w:rFonts w:cs="Calibri"/>
                <w:color w:val="000000"/>
                <w:sz w:val="20"/>
                <w:lang w:eastAsia="es-CR"/>
              </w:rPr>
            </w:pPr>
            <w:r w:rsidRPr="004E74A6">
              <w:rPr>
                <w:rFonts w:cs="Calibri"/>
                <w:color w:val="000000"/>
                <w:sz w:val="20"/>
                <w:lang w:eastAsia="es-CR"/>
              </w:rPr>
              <w:t>506</w:t>
            </w:r>
          </w:p>
        </w:tc>
        <w:tc>
          <w:tcPr>
            <w:tcW w:w="2176" w:type="dxa"/>
            <w:tcBorders>
              <w:top w:val="nil"/>
              <w:left w:val="nil"/>
              <w:bottom w:val="nil"/>
              <w:right w:val="single" w:sz="8" w:space="0" w:color="auto"/>
            </w:tcBorders>
            <w:shd w:val="clear" w:color="auto" w:fill="F2F2F2" w:themeFill="background1" w:themeFillShade="F2"/>
            <w:vAlign w:val="center"/>
            <w:hideMark/>
          </w:tcPr>
          <w:p w14:paraId="47A87051" w14:textId="77777777" w:rsidR="00C74E15" w:rsidRPr="004E74A6" w:rsidRDefault="00C74E15" w:rsidP="00832773">
            <w:pPr>
              <w:spacing w:line="276" w:lineRule="auto"/>
              <w:jc w:val="center"/>
              <w:rPr>
                <w:rFonts w:cs="Calibri"/>
                <w:color w:val="000000"/>
                <w:sz w:val="20"/>
                <w:lang w:eastAsia="es-CR"/>
              </w:rPr>
            </w:pPr>
            <w:r w:rsidRPr="004E74A6">
              <w:rPr>
                <w:rFonts w:cs="Calibri"/>
                <w:color w:val="000000"/>
                <w:sz w:val="20"/>
                <w:lang w:eastAsia="es-CR"/>
              </w:rPr>
              <w:t>52%</w:t>
            </w:r>
          </w:p>
        </w:tc>
        <w:tc>
          <w:tcPr>
            <w:tcW w:w="1046" w:type="dxa"/>
            <w:vMerge/>
            <w:tcBorders>
              <w:left w:val="nil"/>
              <w:bottom w:val="nil"/>
              <w:right w:val="single" w:sz="4" w:space="0" w:color="auto"/>
            </w:tcBorders>
            <w:shd w:val="clear" w:color="auto" w:fill="F2F2F2" w:themeFill="background1" w:themeFillShade="F2"/>
            <w:vAlign w:val="center"/>
            <w:hideMark/>
          </w:tcPr>
          <w:p w14:paraId="23E9B86E" w14:textId="14413286" w:rsidR="00C74E15" w:rsidRPr="004E74A6" w:rsidRDefault="00C74E15" w:rsidP="00832773">
            <w:pPr>
              <w:spacing w:line="276" w:lineRule="auto"/>
              <w:jc w:val="center"/>
              <w:rPr>
                <w:rFonts w:cs="Calibri"/>
                <w:color w:val="000000"/>
                <w:sz w:val="20"/>
                <w:lang w:eastAsia="es-CR"/>
              </w:rPr>
            </w:pPr>
          </w:p>
        </w:tc>
        <w:tc>
          <w:tcPr>
            <w:tcW w:w="1412" w:type="dxa"/>
            <w:tcBorders>
              <w:left w:val="single" w:sz="4" w:space="0" w:color="auto"/>
              <w:bottom w:val="nil"/>
              <w:right w:val="single" w:sz="4" w:space="0" w:color="auto"/>
            </w:tcBorders>
            <w:shd w:val="clear" w:color="auto" w:fill="F2F2F2" w:themeFill="background1" w:themeFillShade="F2"/>
            <w:vAlign w:val="center"/>
          </w:tcPr>
          <w:p w14:paraId="5F572286" w14:textId="717A46ED" w:rsidR="00C74E15" w:rsidRPr="004E74A6" w:rsidRDefault="00925038" w:rsidP="00832773">
            <w:pPr>
              <w:spacing w:line="276" w:lineRule="auto"/>
              <w:jc w:val="center"/>
              <w:rPr>
                <w:rFonts w:cs="Calibri"/>
                <w:color w:val="000000"/>
                <w:sz w:val="20"/>
                <w:lang w:eastAsia="es-CR"/>
              </w:rPr>
            </w:pPr>
            <w:r w:rsidRPr="004E74A6">
              <w:rPr>
                <w:rFonts w:cs="Calibri"/>
                <w:color w:val="000000"/>
                <w:sz w:val="20"/>
                <w:lang w:eastAsia="es-CR"/>
              </w:rPr>
              <w:t>529</w:t>
            </w:r>
          </w:p>
        </w:tc>
        <w:tc>
          <w:tcPr>
            <w:tcW w:w="2177" w:type="dxa"/>
            <w:tcBorders>
              <w:top w:val="nil"/>
              <w:left w:val="single" w:sz="4" w:space="0" w:color="auto"/>
              <w:bottom w:val="nil"/>
              <w:right w:val="nil"/>
            </w:tcBorders>
            <w:shd w:val="clear" w:color="auto" w:fill="F2F2F2" w:themeFill="background1" w:themeFillShade="F2"/>
            <w:vAlign w:val="center"/>
            <w:hideMark/>
          </w:tcPr>
          <w:p w14:paraId="5855281B" w14:textId="4CE74537" w:rsidR="00C74E15" w:rsidRPr="004E74A6" w:rsidRDefault="00C74E15" w:rsidP="00832773">
            <w:pPr>
              <w:spacing w:line="276" w:lineRule="auto"/>
              <w:jc w:val="center"/>
              <w:rPr>
                <w:rFonts w:cs="Calibri"/>
                <w:color w:val="000000"/>
                <w:sz w:val="20"/>
                <w:lang w:eastAsia="es-CR"/>
              </w:rPr>
            </w:pPr>
            <w:r w:rsidRPr="004E74A6">
              <w:rPr>
                <w:rFonts w:cs="Calibri"/>
                <w:color w:val="000000"/>
                <w:sz w:val="20"/>
                <w:lang w:eastAsia="es-CR"/>
              </w:rPr>
              <w:t>5%</w:t>
            </w:r>
          </w:p>
        </w:tc>
      </w:tr>
      <w:tr w:rsidR="00C74E15" w:rsidRPr="004E74A6" w14:paraId="432E45F5" w14:textId="77777777" w:rsidTr="00832773">
        <w:trPr>
          <w:trHeight w:val="288"/>
          <w:jc w:val="center"/>
        </w:trPr>
        <w:tc>
          <w:tcPr>
            <w:tcW w:w="3261" w:type="dxa"/>
            <w:tcBorders>
              <w:top w:val="nil"/>
              <w:left w:val="nil"/>
              <w:bottom w:val="nil"/>
              <w:right w:val="single" w:sz="8" w:space="0" w:color="auto"/>
            </w:tcBorders>
            <w:shd w:val="clear" w:color="auto" w:fill="auto"/>
            <w:vAlign w:val="center"/>
            <w:hideMark/>
          </w:tcPr>
          <w:p w14:paraId="03916C25" w14:textId="77777777" w:rsidR="00C74E15" w:rsidRPr="004E74A6" w:rsidRDefault="00C74E15" w:rsidP="00832773">
            <w:pPr>
              <w:spacing w:line="276" w:lineRule="auto"/>
              <w:jc w:val="center"/>
              <w:rPr>
                <w:rFonts w:cs="Calibri"/>
                <w:b/>
                <w:bCs/>
                <w:i/>
                <w:iCs/>
                <w:color w:val="000000"/>
                <w:sz w:val="20"/>
                <w:lang w:eastAsia="es-CR"/>
              </w:rPr>
            </w:pPr>
            <w:r w:rsidRPr="004E74A6">
              <w:rPr>
                <w:rFonts w:cs="Calibri"/>
                <w:b/>
                <w:bCs/>
                <w:i/>
                <w:iCs/>
                <w:color w:val="000000"/>
                <w:sz w:val="20"/>
                <w:lang w:eastAsia="es-CR"/>
              </w:rPr>
              <w:t>Total</w:t>
            </w:r>
          </w:p>
        </w:tc>
        <w:tc>
          <w:tcPr>
            <w:tcW w:w="1319" w:type="dxa"/>
            <w:tcBorders>
              <w:top w:val="nil"/>
              <w:left w:val="nil"/>
              <w:bottom w:val="nil"/>
              <w:right w:val="single" w:sz="8" w:space="0" w:color="auto"/>
            </w:tcBorders>
            <w:shd w:val="clear" w:color="auto" w:fill="auto"/>
            <w:vAlign w:val="center"/>
            <w:hideMark/>
          </w:tcPr>
          <w:p w14:paraId="7CEE7931" w14:textId="77777777" w:rsidR="00C74E15" w:rsidRPr="004E74A6" w:rsidRDefault="00C74E15" w:rsidP="00832773">
            <w:pPr>
              <w:spacing w:line="276" w:lineRule="auto"/>
              <w:jc w:val="center"/>
              <w:rPr>
                <w:rFonts w:cs="Calibri"/>
                <w:b/>
                <w:bCs/>
                <w:color w:val="000000"/>
                <w:sz w:val="20"/>
                <w:lang w:eastAsia="es-CR"/>
              </w:rPr>
            </w:pPr>
            <w:r w:rsidRPr="004E74A6">
              <w:rPr>
                <w:rFonts w:cs="Calibri"/>
                <w:b/>
                <w:bCs/>
                <w:color w:val="000000"/>
                <w:sz w:val="20"/>
                <w:lang w:eastAsia="es-CR"/>
              </w:rPr>
              <w:t>14019</w:t>
            </w:r>
          </w:p>
        </w:tc>
        <w:tc>
          <w:tcPr>
            <w:tcW w:w="2176" w:type="dxa"/>
            <w:tcBorders>
              <w:top w:val="nil"/>
              <w:left w:val="nil"/>
              <w:bottom w:val="nil"/>
              <w:right w:val="single" w:sz="8" w:space="0" w:color="auto"/>
            </w:tcBorders>
            <w:shd w:val="clear" w:color="auto" w:fill="auto"/>
            <w:vAlign w:val="center"/>
            <w:hideMark/>
          </w:tcPr>
          <w:p w14:paraId="63AC3E04" w14:textId="77777777" w:rsidR="00C74E15" w:rsidRPr="004E74A6" w:rsidRDefault="00C74E15" w:rsidP="00832773">
            <w:pPr>
              <w:spacing w:line="276" w:lineRule="auto"/>
              <w:jc w:val="center"/>
              <w:rPr>
                <w:rFonts w:cs="Calibri"/>
                <w:b/>
                <w:bCs/>
                <w:color w:val="000000"/>
                <w:sz w:val="20"/>
                <w:lang w:eastAsia="es-CR"/>
              </w:rPr>
            </w:pPr>
            <w:r w:rsidRPr="004E74A6">
              <w:rPr>
                <w:rFonts w:cs="Calibri"/>
                <w:b/>
                <w:bCs/>
                <w:color w:val="000000"/>
                <w:sz w:val="20"/>
                <w:lang w:eastAsia="es-CR"/>
              </w:rPr>
              <w:t> </w:t>
            </w:r>
          </w:p>
        </w:tc>
        <w:tc>
          <w:tcPr>
            <w:tcW w:w="1046" w:type="dxa"/>
            <w:tcBorders>
              <w:top w:val="nil"/>
              <w:left w:val="nil"/>
              <w:bottom w:val="nil"/>
              <w:right w:val="single" w:sz="4" w:space="0" w:color="auto"/>
            </w:tcBorders>
            <w:shd w:val="clear" w:color="auto" w:fill="auto"/>
            <w:vAlign w:val="center"/>
            <w:hideMark/>
          </w:tcPr>
          <w:p w14:paraId="61D40AF9" w14:textId="77777777" w:rsidR="00C74E15" w:rsidRPr="004E74A6" w:rsidRDefault="00C74E15" w:rsidP="00832773">
            <w:pPr>
              <w:spacing w:line="276" w:lineRule="auto"/>
              <w:jc w:val="center"/>
              <w:rPr>
                <w:rFonts w:cs="Calibri"/>
                <w:b/>
                <w:bCs/>
                <w:color w:val="000000"/>
                <w:sz w:val="20"/>
                <w:lang w:eastAsia="es-CR"/>
              </w:rPr>
            </w:pPr>
            <w:r w:rsidRPr="004E74A6">
              <w:rPr>
                <w:rFonts w:cs="Calibri"/>
                <w:b/>
                <w:bCs/>
                <w:color w:val="000000"/>
                <w:sz w:val="20"/>
                <w:lang w:eastAsia="es-CR"/>
              </w:rPr>
              <w:t>506,7</w:t>
            </w:r>
          </w:p>
        </w:tc>
        <w:tc>
          <w:tcPr>
            <w:tcW w:w="1412" w:type="dxa"/>
            <w:tcBorders>
              <w:top w:val="nil"/>
              <w:left w:val="single" w:sz="4" w:space="0" w:color="auto"/>
              <w:bottom w:val="nil"/>
              <w:right w:val="single" w:sz="4" w:space="0" w:color="auto"/>
            </w:tcBorders>
            <w:shd w:val="clear" w:color="auto" w:fill="auto"/>
            <w:vAlign w:val="center"/>
          </w:tcPr>
          <w:p w14:paraId="0E627527" w14:textId="77777777" w:rsidR="00C74E15" w:rsidRPr="004E74A6" w:rsidRDefault="00C74E15" w:rsidP="00832773">
            <w:pPr>
              <w:spacing w:line="276" w:lineRule="auto"/>
              <w:jc w:val="center"/>
              <w:rPr>
                <w:rFonts w:cs="Calibri"/>
                <w:b/>
                <w:bCs/>
                <w:color w:val="000000"/>
                <w:sz w:val="20"/>
                <w:lang w:eastAsia="es-CR"/>
              </w:rPr>
            </w:pPr>
          </w:p>
        </w:tc>
        <w:tc>
          <w:tcPr>
            <w:tcW w:w="2177" w:type="dxa"/>
            <w:tcBorders>
              <w:top w:val="nil"/>
              <w:left w:val="single" w:sz="4" w:space="0" w:color="auto"/>
              <w:bottom w:val="nil"/>
              <w:right w:val="nil"/>
            </w:tcBorders>
            <w:vAlign w:val="center"/>
            <w:hideMark/>
          </w:tcPr>
          <w:p w14:paraId="1EB5E566" w14:textId="32D0C6AC" w:rsidR="00C74E15" w:rsidRPr="004E74A6" w:rsidRDefault="00C74E15" w:rsidP="00832773">
            <w:pPr>
              <w:spacing w:line="276" w:lineRule="auto"/>
              <w:jc w:val="center"/>
              <w:rPr>
                <w:rFonts w:cs="Calibri"/>
                <w:b/>
                <w:bCs/>
                <w:color w:val="000000"/>
                <w:sz w:val="20"/>
                <w:lang w:eastAsia="es-CR"/>
              </w:rPr>
            </w:pPr>
          </w:p>
        </w:tc>
      </w:tr>
      <w:tr w:rsidR="00C74E15" w:rsidRPr="004E74A6" w14:paraId="0468ACE2" w14:textId="77777777" w:rsidTr="00832773">
        <w:trPr>
          <w:trHeight w:val="300"/>
          <w:jc w:val="center"/>
        </w:trPr>
        <w:tc>
          <w:tcPr>
            <w:tcW w:w="3261" w:type="dxa"/>
            <w:tcBorders>
              <w:top w:val="nil"/>
              <w:left w:val="nil"/>
              <w:bottom w:val="single" w:sz="8" w:space="0" w:color="auto"/>
              <w:right w:val="single" w:sz="8" w:space="0" w:color="auto"/>
            </w:tcBorders>
            <w:shd w:val="clear" w:color="000000" w:fill="BDD6EE"/>
            <w:vAlign w:val="center"/>
            <w:hideMark/>
          </w:tcPr>
          <w:p w14:paraId="613EA1EB" w14:textId="77777777" w:rsidR="00C74E15" w:rsidRPr="004E74A6" w:rsidRDefault="00C74E15" w:rsidP="00832773">
            <w:pPr>
              <w:spacing w:line="276" w:lineRule="auto"/>
              <w:jc w:val="center"/>
              <w:rPr>
                <w:rFonts w:cs="Calibri"/>
                <w:b/>
                <w:bCs/>
                <w:i/>
                <w:iCs/>
                <w:color w:val="000000"/>
                <w:sz w:val="20"/>
                <w:lang w:eastAsia="es-CR"/>
              </w:rPr>
            </w:pPr>
            <w:r w:rsidRPr="004E74A6">
              <w:rPr>
                <w:rFonts w:cs="Calibri"/>
                <w:b/>
                <w:bCs/>
                <w:i/>
                <w:iCs/>
                <w:color w:val="000000"/>
                <w:sz w:val="20"/>
                <w:lang w:eastAsia="es-CR"/>
              </w:rPr>
              <w:t>Promedio</w:t>
            </w:r>
          </w:p>
        </w:tc>
        <w:tc>
          <w:tcPr>
            <w:tcW w:w="1319" w:type="dxa"/>
            <w:tcBorders>
              <w:top w:val="nil"/>
              <w:left w:val="nil"/>
              <w:bottom w:val="single" w:sz="8" w:space="0" w:color="auto"/>
              <w:right w:val="single" w:sz="8" w:space="0" w:color="auto"/>
            </w:tcBorders>
            <w:shd w:val="clear" w:color="000000" w:fill="BDD6EE"/>
            <w:vAlign w:val="center"/>
            <w:hideMark/>
          </w:tcPr>
          <w:p w14:paraId="3AD68D03" w14:textId="77777777" w:rsidR="00C74E15" w:rsidRPr="004E74A6" w:rsidRDefault="00C74E15" w:rsidP="00832773">
            <w:pPr>
              <w:spacing w:line="276" w:lineRule="auto"/>
              <w:jc w:val="center"/>
              <w:rPr>
                <w:rFonts w:cs="Calibri"/>
                <w:color w:val="000000"/>
                <w:sz w:val="20"/>
                <w:lang w:eastAsia="es-CR"/>
              </w:rPr>
            </w:pPr>
            <w:r w:rsidRPr="004E74A6">
              <w:rPr>
                <w:rFonts w:cs="Calibri"/>
                <w:color w:val="000000"/>
                <w:sz w:val="20"/>
                <w:lang w:eastAsia="es-CR"/>
              </w:rPr>
              <w:t> </w:t>
            </w:r>
          </w:p>
        </w:tc>
        <w:tc>
          <w:tcPr>
            <w:tcW w:w="2176" w:type="dxa"/>
            <w:tcBorders>
              <w:top w:val="nil"/>
              <w:left w:val="nil"/>
              <w:bottom w:val="single" w:sz="8" w:space="0" w:color="auto"/>
              <w:right w:val="single" w:sz="8" w:space="0" w:color="auto"/>
            </w:tcBorders>
            <w:shd w:val="clear" w:color="000000" w:fill="BDD6EE"/>
            <w:vAlign w:val="center"/>
            <w:hideMark/>
          </w:tcPr>
          <w:p w14:paraId="53EC815B" w14:textId="77777777" w:rsidR="00C74E15" w:rsidRPr="004E74A6" w:rsidRDefault="00C74E15" w:rsidP="00832773">
            <w:pPr>
              <w:spacing w:line="276" w:lineRule="auto"/>
              <w:jc w:val="center"/>
              <w:rPr>
                <w:rFonts w:cs="Calibri"/>
                <w:color w:val="000000"/>
                <w:sz w:val="20"/>
                <w:lang w:eastAsia="es-CR"/>
              </w:rPr>
            </w:pPr>
            <w:r w:rsidRPr="004E74A6">
              <w:rPr>
                <w:rFonts w:cs="Calibri"/>
                <w:color w:val="000000"/>
                <w:sz w:val="20"/>
                <w:lang w:eastAsia="es-CR"/>
              </w:rPr>
              <w:t> </w:t>
            </w:r>
          </w:p>
        </w:tc>
        <w:tc>
          <w:tcPr>
            <w:tcW w:w="1046" w:type="dxa"/>
            <w:tcBorders>
              <w:top w:val="nil"/>
              <w:left w:val="nil"/>
              <w:bottom w:val="single" w:sz="8" w:space="0" w:color="auto"/>
              <w:right w:val="single" w:sz="4" w:space="0" w:color="auto"/>
            </w:tcBorders>
            <w:shd w:val="clear" w:color="000000" w:fill="BDD6EE"/>
            <w:vAlign w:val="center"/>
            <w:hideMark/>
          </w:tcPr>
          <w:p w14:paraId="332B7506" w14:textId="77777777" w:rsidR="00C74E15" w:rsidRPr="004E74A6" w:rsidRDefault="00C74E15" w:rsidP="00832773">
            <w:pPr>
              <w:spacing w:line="276" w:lineRule="auto"/>
              <w:jc w:val="center"/>
              <w:rPr>
                <w:rFonts w:cs="Calibri"/>
                <w:color w:val="000000"/>
                <w:sz w:val="20"/>
                <w:lang w:eastAsia="es-CR"/>
              </w:rPr>
            </w:pPr>
            <w:r w:rsidRPr="004E74A6">
              <w:rPr>
                <w:rFonts w:cs="Calibri"/>
                <w:color w:val="000000"/>
                <w:sz w:val="20"/>
                <w:lang w:eastAsia="es-CR"/>
              </w:rPr>
              <w:t> </w:t>
            </w:r>
          </w:p>
        </w:tc>
        <w:tc>
          <w:tcPr>
            <w:tcW w:w="1412" w:type="dxa"/>
            <w:tcBorders>
              <w:top w:val="nil"/>
              <w:left w:val="single" w:sz="4" w:space="0" w:color="auto"/>
              <w:bottom w:val="single" w:sz="8" w:space="0" w:color="auto"/>
              <w:right w:val="single" w:sz="4" w:space="0" w:color="auto"/>
            </w:tcBorders>
            <w:shd w:val="clear" w:color="000000" w:fill="BDD6EE"/>
            <w:vAlign w:val="center"/>
          </w:tcPr>
          <w:p w14:paraId="0ED6196D" w14:textId="77777777" w:rsidR="00C74E15" w:rsidRPr="004E74A6" w:rsidRDefault="00C74E15" w:rsidP="00832773">
            <w:pPr>
              <w:spacing w:line="276" w:lineRule="auto"/>
              <w:jc w:val="center"/>
              <w:rPr>
                <w:rFonts w:cs="Calibri"/>
                <w:b/>
                <w:bCs/>
                <w:i/>
                <w:iCs/>
                <w:color w:val="000000"/>
                <w:sz w:val="20"/>
                <w:lang w:eastAsia="es-CR"/>
              </w:rPr>
            </w:pPr>
          </w:p>
        </w:tc>
        <w:tc>
          <w:tcPr>
            <w:tcW w:w="2177" w:type="dxa"/>
            <w:tcBorders>
              <w:top w:val="nil"/>
              <w:left w:val="single" w:sz="4" w:space="0" w:color="auto"/>
              <w:bottom w:val="single" w:sz="8" w:space="0" w:color="auto"/>
              <w:right w:val="nil"/>
            </w:tcBorders>
            <w:shd w:val="clear" w:color="000000" w:fill="BDD6EE"/>
            <w:vAlign w:val="center"/>
            <w:hideMark/>
          </w:tcPr>
          <w:p w14:paraId="25352F6A" w14:textId="7B8A972A" w:rsidR="00C74E15" w:rsidRPr="004E74A6" w:rsidRDefault="00C74E15" w:rsidP="00832773">
            <w:pPr>
              <w:spacing w:line="276" w:lineRule="auto"/>
              <w:jc w:val="center"/>
              <w:rPr>
                <w:rFonts w:cs="Calibri"/>
                <w:b/>
                <w:bCs/>
                <w:i/>
                <w:iCs/>
                <w:color w:val="000000"/>
                <w:sz w:val="20"/>
                <w:lang w:eastAsia="es-CR"/>
              </w:rPr>
            </w:pPr>
            <w:r w:rsidRPr="004E74A6">
              <w:rPr>
                <w:rFonts w:cs="Calibri"/>
                <w:b/>
                <w:bCs/>
                <w:i/>
                <w:iCs/>
                <w:color w:val="000000"/>
                <w:sz w:val="20"/>
                <w:lang w:eastAsia="es-CR"/>
              </w:rPr>
              <w:t>4%</w:t>
            </w:r>
          </w:p>
        </w:tc>
      </w:tr>
    </w:tbl>
    <w:p w14:paraId="0A94077F" w14:textId="77777777" w:rsidR="00925038" w:rsidRPr="004E74A6" w:rsidRDefault="00925038" w:rsidP="00832773">
      <w:pPr>
        <w:spacing w:line="276" w:lineRule="auto"/>
        <w:ind w:right="57"/>
        <w:rPr>
          <w:rFonts w:cs="Calibri"/>
          <w:i/>
          <w:iCs/>
          <w:color w:val="000000"/>
          <w:sz w:val="20"/>
          <w:lang w:eastAsia="es-CR"/>
        </w:rPr>
      </w:pPr>
      <w:r w:rsidRPr="004E74A6">
        <w:rPr>
          <w:rFonts w:cs="Calibri"/>
          <w:b/>
          <w:bCs/>
          <w:i/>
          <w:iCs/>
          <w:color w:val="000000"/>
          <w:sz w:val="20"/>
          <w:lang w:eastAsia="es-CR"/>
        </w:rPr>
        <w:t>Fuente</w:t>
      </w:r>
      <w:r w:rsidRPr="004E74A6">
        <w:rPr>
          <w:rFonts w:cs="Calibri"/>
          <w:i/>
          <w:iCs/>
          <w:color w:val="000000"/>
          <w:sz w:val="20"/>
          <w:lang w:eastAsia="es-CR"/>
        </w:rPr>
        <w:t>: Subproceso de Modernización Institucional con datos extraídos del sistema SIGMA, Dirección de Planificación.</w:t>
      </w:r>
    </w:p>
    <w:p w14:paraId="0BDD2AAA" w14:textId="540DBDB7" w:rsidR="00745869" w:rsidRPr="004E74A6" w:rsidRDefault="00745869" w:rsidP="00832773">
      <w:pPr>
        <w:pStyle w:val="Textonotapie"/>
        <w:spacing w:line="276" w:lineRule="auto"/>
        <w:rPr>
          <w:rFonts w:cs="Calibri"/>
          <w:color w:val="000000"/>
          <w:szCs w:val="24"/>
          <w:lang w:eastAsia="es-CR"/>
        </w:rPr>
      </w:pPr>
      <w:r w:rsidRPr="004E74A6">
        <w:rPr>
          <w:rFonts w:cs="Calibri"/>
          <w:i/>
          <w:iCs/>
          <w:color w:val="000000"/>
          <w:sz w:val="20"/>
          <w:lang w:val="es-CR" w:eastAsia="es-CR"/>
        </w:rPr>
        <w:t>Nota: La entrada en los 3 civiles de San José debería ser idéntica, sin embargo, por temas de reparto en el histórico, se muestran pequeñas diferencias entre uno y otro.</w:t>
      </w:r>
      <w:r w:rsidRPr="004E74A6">
        <w:rPr>
          <w:rFonts w:cs="Calibri"/>
          <w:color w:val="000000"/>
          <w:szCs w:val="24"/>
          <w:lang w:val="es-CR" w:eastAsia="es-CR"/>
        </w:rPr>
        <w:t xml:space="preserve"> </w:t>
      </w:r>
    </w:p>
    <w:p w14:paraId="4AD17860" w14:textId="77777777" w:rsidR="00745869" w:rsidRPr="004E74A6" w:rsidRDefault="00745869" w:rsidP="00CE62C1">
      <w:pPr>
        <w:spacing w:after="160" w:line="276" w:lineRule="auto"/>
        <w:rPr>
          <w:rFonts w:cs="Calibri"/>
          <w:color w:val="000000"/>
          <w:szCs w:val="24"/>
          <w:lang w:eastAsia="es-CR"/>
        </w:rPr>
      </w:pPr>
    </w:p>
    <w:p w14:paraId="2C1E9C5C" w14:textId="03566074" w:rsidR="00745869" w:rsidRPr="00832773" w:rsidRDefault="00745869" w:rsidP="00CE62C1">
      <w:pPr>
        <w:spacing w:after="160" w:line="276" w:lineRule="auto"/>
        <w:rPr>
          <w:rFonts w:cs="Calibri"/>
          <w:b/>
          <w:bCs/>
          <w:color w:val="000000"/>
          <w:szCs w:val="24"/>
          <w:lang w:eastAsia="es-CR"/>
        </w:rPr>
      </w:pPr>
      <w:r w:rsidRPr="00832773">
        <w:rPr>
          <w:rFonts w:cs="Calibri"/>
          <w:b/>
          <w:bCs/>
          <w:color w:val="000000"/>
          <w:szCs w:val="24"/>
          <w:lang w:eastAsia="es-CR"/>
        </w:rPr>
        <w:lastRenderedPageBreak/>
        <w:t>Como se observa de la tabla anterior, al realizar la proyección utilizando un promedio simple de distribución asuntos por procedencia</w:t>
      </w:r>
      <w:r w:rsidR="00BD2D56" w:rsidRPr="004E74A6">
        <w:rPr>
          <w:rFonts w:cs="Calibri"/>
          <w:b/>
          <w:bCs/>
          <w:color w:val="000000"/>
          <w:szCs w:val="24"/>
          <w:lang w:eastAsia="es-CR"/>
        </w:rPr>
        <w:t xml:space="preserve">, </w:t>
      </w:r>
      <w:r w:rsidRPr="00832773">
        <w:rPr>
          <w:rFonts w:cs="Calibri"/>
          <w:b/>
          <w:bCs/>
          <w:color w:val="000000"/>
          <w:szCs w:val="24"/>
          <w:lang w:eastAsia="es-CR"/>
        </w:rPr>
        <w:t xml:space="preserve">el incremento </w:t>
      </w:r>
      <w:r w:rsidR="00BD2D56" w:rsidRPr="004E74A6">
        <w:rPr>
          <w:rFonts w:cs="Calibri"/>
          <w:b/>
          <w:bCs/>
          <w:color w:val="000000"/>
          <w:szCs w:val="24"/>
          <w:lang w:eastAsia="es-CR"/>
        </w:rPr>
        <w:t>proyectado</w:t>
      </w:r>
      <w:r w:rsidRPr="00832773">
        <w:rPr>
          <w:rFonts w:cs="Calibri"/>
          <w:b/>
          <w:bCs/>
          <w:color w:val="000000"/>
          <w:szCs w:val="24"/>
          <w:lang w:eastAsia="es-CR"/>
        </w:rPr>
        <w:t xml:space="preserve"> en las oficinas civiles es del 6% </w:t>
      </w:r>
      <w:r w:rsidR="00CE51A6" w:rsidRPr="004E74A6">
        <w:rPr>
          <w:rFonts w:cs="Calibri"/>
          <w:b/>
          <w:bCs/>
          <w:color w:val="000000"/>
          <w:szCs w:val="24"/>
          <w:lang w:eastAsia="es-CR"/>
        </w:rPr>
        <w:t>anual, y</w:t>
      </w:r>
      <w:r w:rsidRPr="00832773">
        <w:rPr>
          <w:rFonts w:cs="Calibri"/>
          <w:b/>
          <w:bCs/>
          <w:color w:val="000000"/>
          <w:szCs w:val="24"/>
          <w:lang w:eastAsia="es-CR"/>
        </w:rPr>
        <w:t xml:space="preserve"> </w:t>
      </w:r>
      <w:r w:rsidR="00BD2D56" w:rsidRPr="004E74A6">
        <w:rPr>
          <w:rFonts w:cs="Calibri"/>
          <w:b/>
          <w:bCs/>
          <w:color w:val="000000"/>
          <w:szCs w:val="24"/>
          <w:lang w:eastAsia="es-CR"/>
        </w:rPr>
        <w:t>utilizando</w:t>
      </w:r>
      <w:r w:rsidRPr="00832773">
        <w:rPr>
          <w:rFonts w:cs="Calibri"/>
          <w:b/>
          <w:bCs/>
          <w:color w:val="000000"/>
          <w:szCs w:val="24"/>
          <w:lang w:eastAsia="es-CR"/>
        </w:rPr>
        <w:t xml:space="preserve"> un promedio ponderado el impacto o incremento en la entrada </w:t>
      </w:r>
      <w:r w:rsidR="00BD2D56" w:rsidRPr="004E74A6">
        <w:rPr>
          <w:rFonts w:cs="Calibri"/>
          <w:b/>
          <w:bCs/>
          <w:color w:val="000000"/>
          <w:szCs w:val="24"/>
          <w:lang w:eastAsia="es-CR"/>
        </w:rPr>
        <w:t xml:space="preserve">se proyecta en </w:t>
      </w:r>
      <w:r w:rsidRPr="00832773">
        <w:rPr>
          <w:rFonts w:cs="Calibri"/>
          <w:b/>
          <w:bCs/>
          <w:color w:val="000000"/>
          <w:szCs w:val="24"/>
          <w:lang w:eastAsia="es-CR"/>
        </w:rPr>
        <w:t xml:space="preserve">4%. </w:t>
      </w:r>
    </w:p>
    <w:p w14:paraId="3EFD0803" w14:textId="77777777" w:rsidR="00A822FB" w:rsidRDefault="00A822FB" w:rsidP="00CE62C1">
      <w:pPr>
        <w:spacing w:after="160" w:line="276" w:lineRule="auto"/>
        <w:rPr>
          <w:rFonts w:cs="Calibri"/>
          <w:color w:val="000000"/>
          <w:szCs w:val="24"/>
          <w:lang w:eastAsia="es-CR"/>
        </w:rPr>
      </w:pPr>
    </w:p>
    <w:p w14:paraId="2B83D43D" w14:textId="347D1E38" w:rsidR="009015F9" w:rsidRPr="004E74A6" w:rsidRDefault="009015F9" w:rsidP="00CE62C1">
      <w:pPr>
        <w:spacing w:after="160" w:line="276" w:lineRule="auto"/>
        <w:rPr>
          <w:rFonts w:cs="Calibri"/>
          <w:color w:val="000000"/>
          <w:szCs w:val="24"/>
          <w:lang w:eastAsia="es-CR"/>
        </w:rPr>
      </w:pPr>
      <w:r w:rsidRPr="004E74A6">
        <w:rPr>
          <w:rFonts w:cs="Calibri"/>
          <w:color w:val="000000"/>
          <w:szCs w:val="24"/>
          <w:lang w:eastAsia="es-CR"/>
        </w:rPr>
        <w:t xml:space="preserve">El desglose de la entrada por clase y procedimiento en los Juzgados Civiles se adjunta al anexo </w:t>
      </w:r>
      <w:r w:rsidR="00850630" w:rsidRPr="004E74A6">
        <w:rPr>
          <w:rFonts w:cs="Calibri"/>
          <w:color w:val="000000"/>
          <w:szCs w:val="24"/>
          <w:lang w:eastAsia="es-CR"/>
        </w:rPr>
        <w:t>1</w:t>
      </w:r>
      <w:r w:rsidR="0072788B" w:rsidRPr="004E74A6">
        <w:rPr>
          <w:rFonts w:cs="Calibri"/>
          <w:color w:val="000000"/>
          <w:szCs w:val="24"/>
          <w:lang w:eastAsia="es-CR"/>
        </w:rPr>
        <w:t>2</w:t>
      </w:r>
      <w:r w:rsidRPr="004E74A6">
        <w:rPr>
          <w:rFonts w:cs="Calibri"/>
          <w:color w:val="000000"/>
          <w:szCs w:val="24"/>
          <w:lang w:eastAsia="es-CR"/>
        </w:rPr>
        <w:t>, donde se muestra el detall</w:t>
      </w:r>
      <w:r w:rsidR="00280690" w:rsidRPr="004E74A6">
        <w:rPr>
          <w:rFonts w:cs="Calibri"/>
          <w:color w:val="000000"/>
          <w:szCs w:val="24"/>
          <w:lang w:eastAsia="es-CR"/>
        </w:rPr>
        <w:t>e</w:t>
      </w:r>
      <w:r w:rsidRPr="004E74A6">
        <w:rPr>
          <w:rFonts w:cs="Calibri"/>
          <w:color w:val="000000"/>
          <w:szCs w:val="24"/>
          <w:lang w:eastAsia="es-CR"/>
        </w:rPr>
        <w:t xml:space="preserve"> de la entrada por clase, procedimiento y rango de cuantía. De ese análisis complementario al presente estudio se emitieron las siguientes conclusiones:</w:t>
      </w:r>
    </w:p>
    <w:p w14:paraId="7B71ED64" w14:textId="1B2C9511" w:rsidR="009015F9" w:rsidRPr="00832773" w:rsidRDefault="00EC5391" w:rsidP="00CE62C1">
      <w:pPr>
        <w:pStyle w:val="Prrafodelista"/>
        <w:numPr>
          <w:ilvl w:val="0"/>
          <w:numId w:val="24"/>
        </w:numPr>
        <w:spacing w:after="160" w:line="276" w:lineRule="auto"/>
        <w:rPr>
          <w:rFonts w:ascii="Book Antiqua" w:hAnsi="Book Antiqua" w:cs="Calibri"/>
          <w:color w:val="000000"/>
          <w:lang w:val="es-CR" w:eastAsia="es-CR"/>
        </w:rPr>
      </w:pPr>
      <w:r w:rsidRPr="00832773">
        <w:rPr>
          <w:rFonts w:ascii="Book Antiqua" w:hAnsi="Book Antiqua" w:cs="Calibri"/>
          <w:color w:val="000000"/>
          <w:lang w:val="es-CR" w:eastAsia="es-CR"/>
        </w:rPr>
        <w:t xml:space="preserve">La opción de </w:t>
      </w:r>
      <w:r w:rsidR="00280690" w:rsidRPr="00832773">
        <w:rPr>
          <w:rFonts w:ascii="Book Antiqua" w:hAnsi="Book Antiqua" w:cs="Calibri"/>
          <w:color w:val="000000"/>
          <w:lang w:val="es-CR" w:eastAsia="es-CR"/>
        </w:rPr>
        <w:t>“</w:t>
      </w:r>
      <w:r w:rsidRPr="00832773">
        <w:rPr>
          <w:rFonts w:ascii="Book Antiqua" w:hAnsi="Book Antiqua" w:cs="Calibri"/>
          <w:i/>
          <w:iCs/>
          <w:color w:val="000000"/>
          <w:lang w:val="es-CR" w:eastAsia="es-CR"/>
        </w:rPr>
        <w:t>no aplica</w:t>
      </w:r>
      <w:r w:rsidR="00280690" w:rsidRPr="00832773">
        <w:rPr>
          <w:rFonts w:ascii="Book Antiqua" w:hAnsi="Book Antiqua" w:cs="Calibri"/>
          <w:color w:val="000000"/>
          <w:lang w:val="es-CR" w:eastAsia="es-CR"/>
        </w:rPr>
        <w:t>”</w:t>
      </w:r>
      <w:r w:rsidRPr="00832773">
        <w:rPr>
          <w:rFonts w:ascii="Book Antiqua" w:hAnsi="Book Antiqua" w:cs="Calibri"/>
          <w:color w:val="000000"/>
          <w:lang w:val="es-CR" w:eastAsia="es-CR"/>
        </w:rPr>
        <w:t xml:space="preserve"> no debe ser utilizada por los Juzgados cuando definen el </w:t>
      </w:r>
      <w:r w:rsidR="00280690" w:rsidRPr="00832773">
        <w:rPr>
          <w:rFonts w:ascii="Book Antiqua" w:hAnsi="Book Antiqua" w:cs="Calibri"/>
          <w:color w:val="000000"/>
          <w:lang w:val="es-CR" w:eastAsia="es-CR"/>
        </w:rPr>
        <w:t>tipo</w:t>
      </w:r>
      <w:r w:rsidRPr="00832773">
        <w:rPr>
          <w:rFonts w:ascii="Book Antiqua" w:hAnsi="Book Antiqua" w:cs="Calibri"/>
          <w:color w:val="000000"/>
          <w:lang w:val="es-CR" w:eastAsia="es-CR"/>
        </w:rPr>
        <w:t xml:space="preserve"> de cuantía, </w:t>
      </w:r>
      <w:r w:rsidR="00280690" w:rsidRPr="00832773">
        <w:rPr>
          <w:rFonts w:ascii="Book Antiqua" w:hAnsi="Book Antiqua" w:cs="Calibri"/>
          <w:color w:val="000000"/>
          <w:lang w:val="es-CR" w:eastAsia="es-CR"/>
        </w:rPr>
        <w:t xml:space="preserve">ya que en materia </w:t>
      </w:r>
      <w:r w:rsidR="00160E79" w:rsidRPr="00832773">
        <w:rPr>
          <w:rFonts w:ascii="Book Antiqua" w:hAnsi="Book Antiqua" w:cs="Calibri"/>
          <w:color w:val="000000"/>
          <w:lang w:val="es-CR" w:eastAsia="es-CR"/>
        </w:rPr>
        <w:t>C</w:t>
      </w:r>
      <w:r w:rsidR="00280690" w:rsidRPr="00832773">
        <w:rPr>
          <w:rFonts w:ascii="Book Antiqua" w:hAnsi="Book Antiqua" w:cs="Calibri"/>
          <w:color w:val="000000"/>
          <w:lang w:val="es-CR" w:eastAsia="es-CR"/>
        </w:rPr>
        <w:t xml:space="preserve">ivil los procesos son estimables o inestimables únicamente. </w:t>
      </w:r>
      <w:r w:rsidRPr="00832773">
        <w:rPr>
          <w:rFonts w:ascii="Book Antiqua" w:hAnsi="Book Antiqua" w:cs="Calibri"/>
          <w:color w:val="000000"/>
          <w:lang w:val="es-CR" w:eastAsia="es-CR"/>
        </w:rPr>
        <w:t xml:space="preserve"> </w:t>
      </w:r>
    </w:p>
    <w:p w14:paraId="676EDD28" w14:textId="638BBBFD" w:rsidR="00EC5391" w:rsidRPr="00832773" w:rsidRDefault="00EC5391" w:rsidP="00CE62C1">
      <w:pPr>
        <w:pStyle w:val="Prrafodelista"/>
        <w:numPr>
          <w:ilvl w:val="0"/>
          <w:numId w:val="24"/>
        </w:numPr>
        <w:spacing w:after="160" w:line="276" w:lineRule="auto"/>
        <w:rPr>
          <w:rFonts w:ascii="Book Antiqua" w:hAnsi="Book Antiqua" w:cs="Calibri"/>
          <w:color w:val="000000"/>
          <w:lang w:val="es-CR" w:eastAsia="es-CR"/>
        </w:rPr>
      </w:pPr>
      <w:r w:rsidRPr="00832773">
        <w:rPr>
          <w:rFonts w:ascii="Book Antiqua" w:hAnsi="Book Antiqua" w:cs="Calibri"/>
          <w:color w:val="000000"/>
          <w:lang w:val="es-CR" w:eastAsia="es-CR"/>
        </w:rPr>
        <w:t xml:space="preserve">Se requiere que las oficinas verifiquen el correcto ingreso de datos al sistema, así como su actualización cuando corresponda, haciendo hincapié en que dichos datos son el insumo principal que se tiene en la </w:t>
      </w:r>
      <w:r w:rsidR="00280690" w:rsidRPr="00832773">
        <w:rPr>
          <w:rFonts w:ascii="Book Antiqua" w:hAnsi="Book Antiqua" w:cs="Calibri"/>
          <w:color w:val="000000"/>
          <w:lang w:val="es-CR" w:eastAsia="es-CR"/>
        </w:rPr>
        <w:t>I</w:t>
      </w:r>
      <w:r w:rsidRPr="00832773">
        <w:rPr>
          <w:rFonts w:ascii="Book Antiqua" w:hAnsi="Book Antiqua" w:cs="Calibri"/>
          <w:color w:val="000000"/>
          <w:lang w:val="es-CR" w:eastAsia="es-CR"/>
        </w:rPr>
        <w:t xml:space="preserve">nstitución cuando </w:t>
      </w:r>
      <w:r w:rsidR="00280690" w:rsidRPr="00832773">
        <w:rPr>
          <w:rFonts w:ascii="Book Antiqua" w:hAnsi="Book Antiqua" w:cs="Calibri"/>
          <w:color w:val="000000"/>
          <w:lang w:val="es-CR" w:eastAsia="es-CR"/>
        </w:rPr>
        <w:t>para</w:t>
      </w:r>
      <w:r w:rsidRPr="00832773">
        <w:rPr>
          <w:rFonts w:ascii="Book Antiqua" w:hAnsi="Book Antiqua" w:cs="Calibri"/>
          <w:color w:val="000000"/>
          <w:lang w:val="es-CR" w:eastAsia="es-CR"/>
        </w:rPr>
        <w:t xml:space="preserve"> estudios </w:t>
      </w:r>
      <w:r w:rsidR="00280690" w:rsidRPr="00832773">
        <w:rPr>
          <w:rFonts w:ascii="Book Antiqua" w:hAnsi="Book Antiqua" w:cs="Calibri"/>
          <w:color w:val="000000"/>
          <w:lang w:val="es-CR" w:eastAsia="es-CR"/>
        </w:rPr>
        <w:t>que finalmente tienen como objeto</w:t>
      </w:r>
      <w:r w:rsidRPr="00832773">
        <w:rPr>
          <w:rFonts w:ascii="Book Antiqua" w:hAnsi="Book Antiqua" w:cs="Calibri"/>
          <w:color w:val="000000"/>
          <w:lang w:val="es-CR" w:eastAsia="es-CR"/>
        </w:rPr>
        <w:t xml:space="preserve"> la toma de decisiones. </w:t>
      </w:r>
    </w:p>
    <w:p w14:paraId="3B8C623C" w14:textId="7FD3B871" w:rsidR="00EC5391" w:rsidRPr="00832773" w:rsidRDefault="00280690" w:rsidP="00CE62C1">
      <w:pPr>
        <w:pStyle w:val="Prrafodelista"/>
        <w:numPr>
          <w:ilvl w:val="0"/>
          <w:numId w:val="24"/>
        </w:numPr>
        <w:spacing w:after="160" w:line="276" w:lineRule="auto"/>
        <w:rPr>
          <w:rFonts w:ascii="Book Antiqua" w:hAnsi="Book Antiqua" w:cs="Calibri"/>
          <w:color w:val="000000"/>
          <w:lang w:val="es-CR" w:eastAsia="es-CR"/>
        </w:rPr>
      </w:pPr>
      <w:r w:rsidRPr="00832773">
        <w:rPr>
          <w:rFonts w:ascii="Book Antiqua" w:hAnsi="Book Antiqua" w:cs="Calibri"/>
          <w:color w:val="000000"/>
          <w:lang w:val="es-CR" w:eastAsia="es-CR"/>
        </w:rPr>
        <w:t xml:space="preserve">El mayor ingreso en los Juzgados Civiles son </w:t>
      </w:r>
      <w:r w:rsidR="00EC5391" w:rsidRPr="00832773">
        <w:rPr>
          <w:rFonts w:ascii="Book Antiqua" w:hAnsi="Book Antiqua" w:cs="Calibri"/>
          <w:color w:val="000000"/>
          <w:lang w:val="es-CR" w:eastAsia="es-CR"/>
        </w:rPr>
        <w:t>procedimientos como los monitorios, sucesorios y no contencioso</w:t>
      </w:r>
      <w:r w:rsidRPr="00832773">
        <w:rPr>
          <w:rFonts w:ascii="Book Antiqua" w:hAnsi="Book Antiqua" w:cs="Calibri"/>
          <w:color w:val="000000"/>
          <w:lang w:val="es-CR" w:eastAsia="es-CR"/>
        </w:rPr>
        <w:t>s</w:t>
      </w:r>
      <w:r w:rsidR="00EC5391" w:rsidRPr="00832773">
        <w:rPr>
          <w:rFonts w:ascii="Book Antiqua" w:hAnsi="Book Antiqua" w:cs="Calibri"/>
          <w:color w:val="000000"/>
          <w:lang w:val="es-CR" w:eastAsia="es-CR"/>
        </w:rPr>
        <w:t xml:space="preserve">, siendo los asuntos ordinarios una cantidad no representativa. Caso contrario </w:t>
      </w:r>
      <w:r w:rsidRPr="00832773">
        <w:rPr>
          <w:rFonts w:ascii="Book Antiqua" w:hAnsi="Book Antiqua" w:cs="Calibri"/>
          <w:color w:val="000000"/>
          <w:lang w:val="es-CR" w:eastAsia="es-CR"/>
        </w:rPr>
        <w:t>a los</w:t>
      </w:r>
      <w:r w:rsidR="00EC5391" w:rsidRPr="00832773">
        <w:rPr>
          <w:rFonts w:ascii="Book Antiqua" w:hAnsi="Book Antiqua" w:cs="Calibri"/>
          <w:color w:val="000000"/>
          <w:lang w:val="es-CR" w:eastAsia="es-CR"/>
        </w:rPr>
        <w:t xml:space="preserve"> Tribunales de Primera Instancia Civil</w:t>
      </w:r>
      <w:r w:rsidRPr="00832773">
        <w:rPr>
          <w:rFonts w:ascii="Book Antiqua" w:hAnsi="Book Antiqua" w:cs="Calibri"/>
          <w:color w:val="000000"/>
          <w:lang w:val="es-CR" w:eastAsia="es-CR"/>
        </w:rPr>
        <w:t>.</w:t>
      </w:r>
    </w:p>
    <w:p w14:paraId="13A166B3" w14:textId="185F6394" w:rsidR="00EC5391" w:rsidRPr="00832773" w:rsidRDefault="00EC5391" w:rsidP="00CE62C1">
      <w:pPr>
        <w:pStyle w:val="Prrafodelista"/>
        <w:numPr>
          <w:ilvl w:val="0"/>
          <w:numId w:val="24"/>
        </w:numPr>
        <w:spacing w:after="160" w:line="276" w:lineRule="auto"/>
        <w:rPr>
          <w:rFonts w:ascii="Book Antiqua" w:hAnsi="Book Antiqua" w:cs="Calibri"/>
          <w:color w:val="000000"/>
          <w:lang w:val="es-CR" w:eastAsia="es-CR"/>
        </w:rPr>
      </w:pPr>
      <w:r w:rsidRPr="00832773">
        <w:rPr>
          <w:rFonts w:ascii="Book Antiqua" w:hAnsi="Book Antiqua" w:cs="Calibri"/>
          <w:color w:val="000000"/>
          <w:lang w:val="es-CR" w:eastAsia="es-CR"/>
        </w:rPr>
        <w:t xml:space="preserve">Lo anterior implicaría que un cambio en la cuantía, específicamente un aumento, repercutiría en una disminución considerable sobre los asuntos entrados en los Tribunales de Primera Instancia Civil y un aumento o recargo </w:t>
      </w:r>
      <w:r w:rsidR="00280690" w:rsidRPr="00832773">
        <w:rPr>
          <w:rFonts w:ascii="Book Antiqua" w:hAnsi="Book Antiqua" w:cs="Calibri"/>
          <w:color w:val="000000"/>
          <w:lang w:val="es-CR" w:eastAsia="es-CR"/>
        </w:rPr>
        <w:t>de</w:t>
      </w:r>
      <w:r w:rsidRPr="00832773">
        <w:rPr>
          <w:rFonts w:ascii="Book Antiqua" w:hAnsi="Book Antiqua" w:cs="Calibri"/>
          <w:color w:val="000000"/>
          <w:lang w:val="es-CR" w:eastAsia="es-CR"/>
        </w:rPr>
        <w:t xml:space="preserve"> los asuntos </w:t>
      </w:r>
      <w:r w:rsidR="00280690" w:rsidRPr="00832773">
        <w:rPr>
          <w:rFonts w:ascii="Book Antiqua" w:hAnsi="Book Antiqua" w:cs="Calibri"/>
          <w:color w:val="000000"/>
          <w:lang w:val="es-CR" w:eastAsia="es-CR"/>
        </w:rPr>
        <w:t>en</w:t>
      </w:r>
      <w:r w:rsidRPr="00832773">
        <w:rPr>
          <w:rFonts w:ascii="Book Antiqua" w:hAnsi="Book Antiqua" w:cs="Calibri"/>
          <w:color w:val="000000"/>
          <w:lang w:val="es-CR" w:eastAsia="es-CR"/>
        </w:rPr>
        <w:t xml:space="preserve"> los Juzgados.</w:t>
      </w:r>
    </w:p>
    <w:p w14:paraId="058A4653" w14:textId="23BEFCBD" w:rsidR="00391FF7" w:rsidRPr="00832773" w:rsidRDefault="00160E79" w:rsidP="00CE62C1">
      <w:pPr>
        <w:pStyle w:val="Prrafodelista"/>
        <w:numPr>
          <w:ilvl w:val="0"/>
          <w:numId w:val="24"/>
        </w:numPr>
        <w:spacing w:after="160" w:line="276" w:lineRule="auto"/>
        <w:rPr>
          <w:rFonts w:ascii="Book Antiqua" w:hAnsi="Book Antiqua" w:cs="Calibri"/>
          <w:color w:val="000000"/>
          <w:lang w:val="es-CR" w:eastAsia="es-CR"/>
        </w:rPr>
      </w:pPr>
      <w:r w:rsidRPr="00832773">
        <w:rPr>
          <w:rFonts w:ascii="Book Antiqua" w:hAnsi="Book Antiqua" w:cs="Calibri"/>
          <w:color w:val="000000"/>
          <w:lang w:val="es-CR" w:eastAsia="es-CR"/>
        </w:rPr>
        <w:t xml:space="preserve">En promedio los juzgados civiles a nivel nacional tendrían un ingreso adicional </w:t>
      </w:r>
      <w:r w:rsidR="007543A0" w:rsidRPr="00832773">
        <w:rPr>
          <w:rFonts w:ascii="Book Antiqua" w:hAnsi="Book Antiqua" w:cs="Calibri"/>
          <w:color w:val="000000"/>
          <w:lang w:val="es-CR" w:eastAsia="es-CR"/>
        </w:rPr>
        <w:t xml:space="preserve">entre 4% y </w:t>
      </w:r>
      <w:r w:rsidRPr="00832773">
        <w:rPr>
          <w:rFonts w:ascii="Book Antiqua" w:hAnsi="Book Antiqua" w:cs="Calibri"/>
          <w:color w:val="000000"/>
          <w:lang w:val="es-CR" w:eastAsia="es-CR"/>
        </w:rPr>
        <w:t>6% en asuntos ordinarios, aproximadamente 506,7 expedientes principales distribuidos en los Juzgados Civiles, especializados o no del país.</w:t>
      </w:r>
    </w:p>
    <w:p w14:paraId="7D4D1BCE" w14:textId="77777777" w:rsidR="00A822FB" w:rsidRDefault="00A822FB" w:rsidP="00832773">
      <w:pPr>
        <w:spacing w:after="160" w:line="276" w:lineRule="auto"/>
        <w:rPr>
          <w:rFonts w:cs="Calibri"/>
          <w:color w:val="000000"/>
          <w:lang w:eastAsia="es-CR"/>
        </w:rPr>
      </w:pPr>
    </w:p>
    <w:p w14:paraId="4D46CE0E" w14:textId="3AA594E0" w:rsidR="00391FF7" w:rsidRPr="00832773" w:rsidRDefault="0087195B" w:rsidP="00832773">
      <w:pPr>
        <w:spacing w:after="160" w:line="276" w:lineRule="auto"/>
        <w:rPr>
          <w:rFonts w:cs="Calibri"/>
          <w:color w:val="000000"/>
          <w:lang w:eastAsia="es-CR"/>
        </w:rPr>
      </w:pPr>
      <w:r w:rsidRPr="00832773">
        <w:rPr>
          <w:rFonts w:cs="Calibri"/>
          <w:color w:val="000000"/>
          <w:lang w:eastAsia="es-CR"/>
        </w:rPr>
        <w:lastRenderedPageBreak/>
        <w:t>Existe</w:t>
      </w:r>
      <w:r w:rsidR="00391FF7" w:rsidRPr="00832773">
        <w:rPr>
          <w:rFonts w:cs="Calibri"/>
          <w:color w:val="000000"/>
          <w:lang w:eastAsia="es-CR"/>
        </w:rPr>
        <w:t xml:space="preserve"> complejidad </w:t>
      </w:r>
      <w:r w:rsidRPr="00832773">
        <w:rPr>
          <w:rFonts w:cs="Calibri"/>
          <w:color w:val="000000"/>
          <w:lang w:eastAsia="es-CR"/>
        </w:rPr>
        <w:t>para obtener</w:t>
      </w:r>
      <w:r w:rsidR="00391FF7" w:rsidRPr="00832773">
        <w:rPr>
          <w:rFonts w:cs="Calibri"/>
          <w:color w:val="000000"/>
          <w:lang w:eastAsia="es-CR"/>
        </w:rPr>
        <w:t xml:space="preserve"> la localización de cada expediente para así determinar la competencia que correspondería al trasladar un expediente del Tribunal Colegiado al Juzgado</w:t>
      </w:r>
      <w:r w:rsidRPr="00832773">
        <w:rPr>
          <w:rFonts w:cs="Calibri"/>
          <w:color w:val="000000"/>
          <w:lang w:eastAsia="es-CR"/>
        </w:rPr>
        <w:t xml:space="preserve">; sin embargo, más allá del modelo utilizado, existe la posibilidad </w:t>
      </w:r>
      <w:r w:rsidR="006871BE" w:rsidRPr="00832773">
        <w:rPr>
          <w:rFonts w:cs="Calibri"/>
          <w:color w:val="000000"/>
          <w:lang w:eastAsia="es-CR"/>
        </w:rPr>
        <w:t>que un Juzgado presente un incremento</w:t>
      </w:r>
      <w:r w:rsidR="00505B19" w:rsidRPr="004E74A6">
        <w:rPr>
          <w:rFonts w:cs="Calibri"/>
          <w:color w:val="000000"/>
          <w:lang w:eastAsia="es-CR"/>
        </w:rPr>
        <w:t>.</w:t>
      </w:r>
      <w:r w:rsidR="006871BE" w:rsidRPr="00832773">
        <w:rPr>
          <w:rFonts w:cs="Calibri"/>
          <w:color w:val="000000"/>
          <w:lang w:eastAsia="es-CR"/>
        </w:rPr>
        <w:t xml:space="preserve"> </w:t>
      </w:r>
    </w:p>
    <w:p w14:paraId="24FA99F8" w14:textId="77777777" w:rsidR="002B7698" w:rsidRPr="00832773" w:rsidRDefault="002B7698" w:rsidP="00CE62C1">
      <w:pPr>
        <w:pStyle w:val="Prrafodelista"/>
        <w:spacing w:after="160" w:line="276" w:lineRule="auto"/>
        <w:ind w:left="720"/>
        <w:rPr>
          <w:rFonts w:ascii="Book Antiqua" w:hAnsi="Book Antiqua" w:cs="Calibri"/>
          <w:color w:val="000000"/>
          <w:lang w:val="es-CR" w:eastAsia="es-CR"/>
        </w:rPr>
      </w:pPr>
    </w:p>
    <w:p w14:paraId="1E028835" w14:textId="362647B3" w:rsidR="00F236AF" w:rsidRPr="004E74A6" w:rsidRDefault="0090419A" w:rsidP="00CE62C1">
      <w:pPr>
        <w:spacing w:line="276" w:lineRule="auto"/>
        <w:outlineLvl w:val="2"/>
        <w:rPr>
          <w:rFonts w:eastAsia="Calibri"/>
          <w:b/>
          <w:bCs/>
          <w:color w:val="70AD47" w:themeColor="accent6"/>
          <w:sz w:val="28"/>
          <w:szCs w:val="22"/>
          <w:lang w:eastAsia="en-US"/>
        </w:rPr>
      </w:pPr>
      <w:r w:rsidRPr="004E74A6">
        <w:rPr>
          <w:rFonts w:eastAsia="Calibri"/>
          <w:b/>
          <w:bCs/>
          <w:color w:val="70AD47" w:themeColor="accent6"/>
          <w:sz w:val="28"/>
          <w:szCs w:val="22"/>
          <w:lang w:eastAsia="en-US"/>
        </w:rPr>
        <w:t>Segunda</w:t>
      </w:r>
      <w:r w:rsidR="00F236AF" w:rsidRPr="004E74A6">
        <w:rPr>
          <w:rFonts w:eastAsia="Calibri"/>
          <w:b/>
          <w:bCs/>
          <w:color w:val="70AD47" w:themeColor="accent6"/>
          <w:sz w:val="28"/>
          <w:szCs w:val="22"/>
          <w:lang w:eastAsia="en-US"/>
        </w:rPr>
        <w:t xml:space="preserve"> Instancia Civil</w:t>
      </w:r>
    </w:p>
    <w:p w14:paraId="65A194E2" w14:textId="77777777" w:rsidR="00A46718" w:rsidRPr="004E74A6" w:rsidRDefault="00A46718" w:rsidP="00CE62C1">
      <w:pPr>
        <w:spacing w:after="160" w:line="276" w:lineRule="auto"/>
        <w:rPr>
          <w:rFonts w:cs="Calibri"/>
          <w:color w:val="000000"/>
          <w:szCs w:val="24"/>
          <w:lang w:eastAsia="es-CR"/>
        </w:rPr>
      </w:pPr>
    </w:p>
    <w:p w14:paraId="5B036BFA" w14:textId="2B794039" w:rsidR="008647ED" w:rsidRPr="004E74A6" w:rsidRDefault="008647ED" w:rsidP="00CE62C1">
      <w:pPr>
        <w:spacing w:after="160" w:line="276" w:lineRule="auto"/>
        <w:rPr>
          <w:rFonts w:eastAsia="Calibri"/>
          <w:i/>
          <w:iCs/>
          <w:szCs w:val="24"/>
          <w:lang w:eastAsia="en-US"/>
        </w:rPr>
      </w:pPr>
      <w:r w:rsidRPr="004E74A6">
        <w:rPr>
          <w:rFonts w:cs="Calibri"/>
          <w:color w:val="000000"/>
          <w:szCs w:val="24"/>
          <w:lang w:eastAsia="es-CR"/>
        </w:rPr>
        <w:t xml:space="preserve">Una vez analizadas las oficinas de la primera instancia, se procederá a analizar </w:t>
      </w:r>
      <w:r w:rsidR="00BE65A1" w:rsidRPr="004E74A6">
        <w:rPr>
          <w:rFonts w:cs="Calibri"/>
          <w:color w:val="000000"/>
          <w:szCs w:val="24"/>
          <w:lang w:eastAsia="es-CR"/>
        </w:rPr>
        <w:t>la</w:t>
      </w:r>
      <w:r w:rsidRPr="004E74A6">
        <w:rPr>
          <w:rFonts w:cs="Calibri"/>
          <w:color w:val="000000"/>
          <w:szCs w:val="24"/>
          <w:lang w:eastAsia="es-CR"/>
        </w:rPr>
        <w:t xml:space="preserve"> segunda instancia </w:t>
      </w:r>
      <w:r w:rsidR="00BE65A1" w:rsidRPr="004E74A6">
        <w:rPr>
          <w:rFonts w:cs="Calibri"/>
          <w:color w:val="000000"/>
          <w:szCs w:val="24"/>
          <w:lang w:eastAsia="es-CR"/>
        </w:rPr>
        <w:t>en materia C</w:t>
      </w:r>
      <w:r w:rsidRPr="004E74A6">
        <w:rPr>
          <w:rFonts w:cs="Calibri"/>
          <w:color w:val="000000"/>
          <w:szCs w:val="24"/>
          <w:lang w:eastAsia="es-CR"/>
        </w:rPr>
        <w:t>ivil y que corresponde a los Tribunales de Apelación</w:t>
      </w:r>
      <w:r w:rsidR="00BE5F58" w:rsidRPr="004E74A6">
        <w:rPr>
          <w:rFonts w:cs="Calibri"/>
          <w:color w:val="000000"/>
          <w:szCs w:val="24"/>
          <w:lang w:eastAsia="es-CR"/>
        </w:rPr>
        <w:t>.</w:t>
      </w:r>
    </w:p>
    <w:p w14:paraId="356EA839" w14:textId="6C8D9BF4" w:rsidR="00BE5F58" w:rsidRPr="004E74A6" w:rsidRDefault="00BE5F58" w:rsidP="00CE62C1">
      <w:pPr>
        <w:spacing w:after="160" w:line="276" w:lineRule="auto"/>
        <w:rPr>
          <w:rFonts w:cs="Calibri"/>
          <w:color w:val="000000"/>
          <w:szCs w:val="24"/>
          <w:lang w:eastAsia="es-CR"/>
        </w:rPr>
      </w:pPr>
      <w:r w:rsidRPr="004E74A6">
        <w:rPr>
          <w:rFonts w:cs="Calibri"/>
          <w:color w:val="000000"/>
          <w:szCs w:val="24"/>
          <w:lang w:eastAsia="es-CR"/>
        </w:rPr>
        <w:t>El impacto en segunda instancia sería</w:t>
      </w:r>
      <w:r w:rsidR="009129D0" w:rsidRPr="004E74A6">
        <w:rPr>
          <w:rFonts w:cs="Calibri"/>
          <w:color w:val="000000"/>
          <w:szCs w:val="24"/>
          <w:lang w:eastAsia="es-CR"/>
        </w:rPr>
        <w:t>n</w:t>
      </w:r>
      <w:r w:rsidRPr="004E74A6">
        <w:rPr>
          <w:rFonts w:cs="Calibri"/>
          <w:color w:val="000000"/>
          <w:szCs w:val="24"/>
          <w:lang w:eastAsia="es-CR"/>
        </w:rPr>
        <w:t xml:space="preserve"> básicamente </w:t>
      </w:r>
      <w:r w:rsidR="009129D0" w:rsidRPr="004E74A6">
        <w:rPr>
          <w:rFonts w:cs="Calibri"/>
          <w:color w:val="000000"/>
          <w:szCs w:val="24"/>
          <w:lang w:eastAsia="es-CR"/>
        </w:rPr>
        <w:t>los siguientes</w:t>
      </w:r>
      <w:r w:rsidRPr="004E74A6">
        <w:rPr>
          <w:rFonts w:cs="Calibri"/>
          <w:color w:val="000000"/>
          <w:szCs w:val="24"/>
          <w:lang w:eastAsia="es-CR"/>
        </w:rPr>
        <w:t>:</w:t>
      </w:r>
    </w:p>
    <w:p w14:paraId="713857B7" w14:textId="0F58A472" w:rsidR="00BE5F58" w:rsidRPr="004E74A6" w:rsidRDefault="00BE5F58" w:rsidP="00CE62C1">
      <w:pPr>
        <w:pStyle w:val="Prrafodelista"/>
        <w:numPr>
          <w:ilvl w:val="0"/>
          <w:numId w:val="18"/>
        </w:numPr>
        <w:spacing w:after="160" w:line="276" w:lineRule="auto"/>
        <w:rPr>
          <w:rFonts w:ascii="Book Antiqua" w:hAnsi="Book Antiqua" w:cs="Calibri"/>
          <w:color w:val="000000"/>
          <w:lang w:val="es-CR" w:eastAsia="es-CR"/>
        </w:rPr>
      </w:pPr>
      <w:r w:rsidRPr="004E74A6">
        <w:rPr>
          <w:rFonts w:ascii="Book Antiqua" w:hAnsi="Book Antiqua" w:cs="Calibri"/>
          <w:color w:val="000000"/>
          <w:lang w:val="es-CR" w:eastAsia="es-CR"/>
        </w:rPr>
        <w:t xml:space="preserve">De aprobarse el escenario A, en cualquier versión, </w:t>
      </w:r>
      <w:r w:rsidR="009129D0" w:rsidRPr="004E74A6">
        <w:rPr>
          <w:rFonts w:ascii="Book Antiqua" w:hAnsi="Book Antiqua" w:cs="Calibri"/>
          <w:color w:val="000000"/>
          <w:lang w:val="es-CR" w:eastAsia="es-CR"/>
        </w:rPr>
        <w:t>se incrementaría la entrada,</w:t>
      </w:r>
      <w:r w:rsidRPr="004E74A6">
        <w:rPr>
          <w:rFonts w:ascii="Book Antiqua" w:hAnsi="Book Antiqua" w:cs="Calibri"/>
          <w:color w:val="000000"/>
          <w:lang w:val="es-CR" w:eastAsia="es-CR"/>
        </w:rPr>
        <w:t xml:space="preserve"> ya que pasaría de conocer los recursos de apelación de provenientes únicamente de los Juzgados Civiles (todos los procesos incluidos ordinarios de menor cuantía actual de ¢3.000.000) a recibir </w:t>
      </w:r>
      <w:r w:rsidR="00956DFC" w:rsidRPr="004E74A6">
        <w:rPr>
          <w:rFonts w:ascii="Book Antiqua" w:hAnsi="Book Antiqua" w:cs="Calibri"/>
          <w:color w:val="000000"/>
          <w:lang w:val="es-CR" w:eastAsia="es-CR"/>
        </w:rPr>
        <w:t xml:space="preserve">también </w:t>
      </w:r>
      <w:r w:rsidRPr="004E74A6">
        <w:rPr>
          <w:rFonts w:ascii="Book Antiqua" w:hAnsi="Book Antiqua" w:cs="Calibri"/>
          <w:color w:val="000000"/>
          <w:lang w:val="es-CR" w:eastAsia="es-CR"/>
        </w:rPr>
        <w:t xml:space="preserve">las apelaciones de </w:t>
      </w:r>
      <w:r w:rsidRPr="004E74A6">
        <w:rPr>
          <w:rFonts w:ascii="Book Antiqua" w:hAnsi="Book Antiqua" w:cs="Calibri"/>
          <w:b/>
          <w:bCs/>
          <w:color w:val="000000"/>
          <w:u w:val="single"/>
          <w:lang w:val="es-CR" w:eastAsia="es-CR"/>
        </w:rPr>
        <w:t>sentencia en procesos ordinarios</w:t>
      </w:r>
      <w:r w:rsidRPr="004E74A6">
        <w:rPr>
          <w:rFonts w:ascii="Book Antiqua" w:hAnsi="Book Antiqua" w:cs="Calibri"/>
          <w:color w:val="000000"/>
          <w:lang w:val="es-CR" w:eastAsia="es-CR"/>
        </w:rPr>
        <w:t xml:space="preserve"> en el rango de cuantía de ¢3.000.001 a ¢20.000.000</w:t>
      </w:r>
      <w:r w:rsidR="000154EC" w:rsidRPr="004E74A6">
        <w:rPr>
          <w:rFonts w:ascii="Book Antiqua" w:hAnsi="Book Antiqua" w:cs="Calibri"/>
          <w:color w:val="000000"/>
          <w:lang w:val="es-CR" w:eastAsia="es-CR"/>
        </w:rPr>
        <w:t>.</w:t>
      </w:r>
    </w:p>
    <w:p w14:paraId="638302AB" w14:textId="47C2B598" w:rsidR="000154EC" w:rsidRPr="004E74A6" w:rsidRDefault="000154EC" w:rsidP="00CE62C1">
      <w:pPr>
        <w:pStyle w:val="Prrafodelista"/>
        <w:numPr>
          <w:ilvl w:val="0"/>
          <w:numId w:val="18"/>
        </w:numPr>
        <w:spacing w:after="160" w:line="276" w:lineRule="auto"/>
        <w:rPr>
          <w:rFonts w:ascii="Book Antiqua" w:hAnsi="Book Antiqua" w:cs="Calibri"/>
          <w:color w:val="000000"/>
          <w:lang w:val="es-CR" w:eastAsia="es-CR"/>
        </w:rPr>
      </w:pPr>
      <w:r w:rsidRPr="004E74A6">
        <w:rPr>
          <w:rFonts w:ascii="Book Antiqua" w:hAnsi="Book Antiqua" w:cs="Calibri"/>
          <w:color w:val="000000"/>
          <w:lang w:val="es-CR" w:eastAsia="es-CR"/>
        </w:rPr>
        <w:t xml:space="preserve">A nivel de integración, estos Tribunales resuelven las apelaciones de sentencia de </w:t>
      </w:r>
      <w:r w:rsidRPr="004E74A6">
        <w:rPr>
          <w:rFonts w:ascii="Book Antiqua" w:hAnsi="Book Antiqua" w:cs="Calibri"/>
          <w:color w:val="000000"/>
          <w:u w:val="single"/>
          <w:lang w:val="es-CR" w:eastAsia="es-CR"/>
        </w:rPr>
        <w:t>menor cuantía</w:t>
      </w:r>
      <w:r w:rsidRPr="004E74A6">
        <w:rPr>
          <w:rFonts w:ascii="Book Antiqua" w:hAnsi="Book Antiqua" w:cs="Calibri"/>
          <w:color w:val="000000"/>
          <w:lang w:val="es-CR" w:eastAsia="es-CR"/>
        </w:rPr>
        <w:t xml:space="preserve"> de forma unipersonal y las </w:t>
      </w:r>
      <w:r w:rsidRPr="004E74A6">
        <w:rPr>
          <w:rFonts w:ascii="Book Antiqua" w:hAnsi="Book Antiqua" w:cs="Calibri"/>
          <w:color w:val="000000"/>
          <w:u w:val="single"/>
          <w:lang w:val="es-CR" w:eastAsia="es-CR"/>
        </w:rPr>
        <w:t>de mayor cuantía</w:t>
      </w:r>
      <w:r w:rsidRPr="004E74A6">
        <w:rPr>
          <w:rFonts w:ascii="Book Antiqua" w:hAnsi="Book Antiqua" w:cs="Calibri"/>
          <w:color w:val="000000"/>
          <w:lang w:val="es-CR" w:eastAsia="es-CR"/>
        </w:rPr>
        <w:t xml:space="preserve"> de forma colegiada, por lo que se aprobarse el escenario A en cualquier versión incrementaría solamente la cantidad de recursos </w:t>
      </w:r>
      <w:r w:rsidRPr="004E74A6">
        <w:rPr>
          <w:rFonts w:ascii="Book Antiqua" w:hAnsi="Book Antiqua" w:cs="Calibri"/>
          <w:b/>
          <w:bCs/>
          <w:color w:val="000000"/>
          <w:u w:val="single"/>
          <w:lang w:val="es-CR" w:eastAsia="es-CR"/>
        </w:rPr>
        <w:t>contra sentencias</w:t>
      </w:r>
      <w:r w:rsidRPr="004E74A6">
        <w:rPr>
          <w:rFonts w:ascii="Book Antiqua" w:hAnsi="Book Antiqua" w:cs="Calibri"/>
          <w:color w:val="000000"/>
          <w:lang w:val="es-CR" w:eastAsia="es-CR"/>
        </w:rPr>
        <w:t xml:space="preserve"> a resolver unipersonalmente</w:t>
      </w:r>
      <w:r w:rsidR="00956DFC" w:rsidRPr="004E74A6">
        <w:rPr>
          <w:rFonts w:ascii="Book Antiqua" w:hAnsi="Book Antiqua" w:cs="Calibri"/>
          <w:color w:val="000000"/>
          <w:lang w:val="es-CR" w:eastAsia="es-CR"/>
        </w:rPr>
        <w:t xml:space="preserve"> y por ende disminuirían las integraciones colegiadas.</w:t>
      </w:r>
    </w:p>
    <w:p w14:paraId="2B921B0A" w14:textId="77777777" w:rsidR="006032B8" w:rsidRPr="004E74A6" w:rsidRDefault="006032B8" w:rsidP="00CE62C1">
      <w:pPr>
        <w:pStyle w:val="Prrafodelista"/>
        <w:numPr>
          <w:ilvl w:val="0"/>
          <w:numId w:val="18"/>
        </w:numPr>
        <w:spacing w:after="160" w:line="276" w:lineRule="auto"/>
        <w:rPr>
          <w:rFonts w:ascii="Book Antiqua" w:hAnsi="Book Antiqua" w:cs="Calibri"/>
          <w:color w:val="000000"/>
          <w:lang w:val="es-CR" w:eastAsia="es-CR"/>
        </w:rPr>
      </w:pPr>
      <w:r w:rsidRPr="004E74A6">
        <w:rPr>
          <w:rFonts w:ascii="Book Antiqua" w:hAnsi="Book Antiqua" w:cs="Calibri"/>
          <w:b/>
          <w:bCs/>
          <w:color w:val="000000"/>
          <w:u w:val="single"/>
          <w:lang w:val="es-CR" w:eastAsia="es-CR"/>
        </w:rPr>
        <w:t>En caso de aprobarse el escenario A.1 solamente,</w:t>
      </w:r>
      <w:r w:rsidRPr="004E74A6">
        <w:rPr>
          <w:rFonts w:ascii="Book Antiqua" w:hAnsi="Book Antiqua" w:cs="Calibri"/>
          <w:color w:val="000000"/>
          <w:lang w:val="es-CR" w:eastAsia="es-CR"/>
        </w:rPr>
        <w:t xml:space="preserve"> lo que corresponde a entrada de apelaciones unipersonales se incrementaría, pero con los datos actuales no se puede prever el aumento por dependiendo de la estimación, ya que se trata de asuntos que actualmente no tienen apelación. </w:t>
      </w:r>
    </w:p>
    <w:p w14:paraId="4D81EE46" w14:textId="18337E36" w:rsidR="004B55DA" w:rsidRPr="004E74A6" w:rsidRDefault="004B55DA" w:rsidP="00CE62C1">
      <w:pPr>
        <w:spacing w:after="160" w:line="276" w:lineRule="auto"/>
        <w:rPr>
          <w:rFonts w:cs="Calibri"/>
          <w:color w:val="000000"/>
          <w:lang w:eastAsia="es-CR"/>
        </w:rPr>
      </w:pPr>
    </w:p>
    <w:p w14:paraId="0DE50AF3" w14:textId="77777777" w:rsidR="004B55DA" w:rsidRPr="004E74A6" w:rsidRDefault="004B55DA" w:rsidP="00CE62C1">
      <w:pPr>
        <w:spacing w:after="160" w:line="276" w:lineRule="auto"/>
        <w:rPr>
          <w:rFonts w:cs="Calibri"/>
          <w:color w:val="000000"/>
          <w:lang w:eastAsia="es-CR"/>
        </w:rPr>
      </w:pPr>
      <w:r w:rsidRPr="004E74A6">
        <w:rPr>
          <w:rFonts w:cs="Calibri"/>
          <w:color w:val="000000"/>
          <w:lang w:eastAsia="es-CR"/>
        </w:rPr>
        <w:lastRenderedPageBreak/>
        <w:t xml:space="preserve">Según la legislación actual, si el proceso principal es de mayor cuantía </w:t>
      </w:r>
      <w:r w:rsidRPr="004E74A6">
        <w:rPr>
          <w:rFonts w:cs="Calibri"/>
          <w:b/>
          <w:bCs/>
          <w:color w:val="000000"/>
          <w:lang w:eastAsia="es-CR"/>
        </w:rPr>
        <w:t>y el punto apelado</w:t>
      </w:r>
      <w:r w:rsidRPr="004E74A6">
        <w:rPr>
          <w:rFonts w:cs="Calibri"/>
          <w:color w:val="000000"/>
          <w:lang w:eastAsia="es-CR"/>
        </w:rPr>
        <w:t xml:space="preserve"> lo estiman </w:t>
      </w:r>
      <w:r w:rsidRPr="004E74A6">
        <w:rPr>
          <w:rFonts w:cs="Calibri"/>
          <w:b/>
          <w:bCs/>
          <w:color w:val="000000"/>
          <w:u w:val="single"/>
          <w:lang w:eastAsia="es-CR"/>
        </w:rPr>
        <w:t>como de menor cuantía se rechaza de plano porque carece del recurso según artículo 67.3 párrafo final de la Ley 9342</w:t>
      </w:r>
      <w:r w:rsidRPr="004E74A6">
        <w:rPr>
          <w:rStyle w:val="Refdenotaalpie"/>
          <w:color w:val="000000"/>
          <w:lang w:eastAsia="es-CR"/>
        </w:rPr>
        <w:footnoteReference w:id="20"/>
      </w:r>
      <w:r w:rsidRPr="004E74A6">
        <w:rPr>
          <w:rFonts w:cs="Calibri"/>
          <w:color w:val="000000"/>
          <w:lang w:eastAsia="es-CR"/>
        </w:rPr>
        <w:t xml:space="preserve">.  </w:t>
      </w:r>
    </w:p>
    <w:p w14:paraId="26E1D0BA" w14:textId="7425A022" w:rsidR="004B55DA" w:rsidRPr="004E74A6" w:rsidRDefault="004B55DA" w:rsidP="00CE62C1">
      <w:pPr>
        <w:spacing w:after="160" w:line="276" w:lineRule="auto"/>
        <w:rPr>
          <w:rFonts w:cs="Calibri"/>
          <w:color w:val="000000"/>
          <w:lang w:eastAsia="es-CR"/>
        </w:rPr>
      </w:pPr>
      <w:r w:rsidRPr="004E74A6">
        <w:rPr>
          <w:rFonts w:cs="Calibri"/>
          <w:color w:val="000000"/>
          <w:lang w:eastAsia="es-CR"/>
        </w:rPr>
        <w:t xml:space="preserve">Si el proceso principal es de menor cuantía, </w:t>
      </w:r>
      <w:r w:rsidRPr="004E74A6">
        <w:rPr>
          <w:rFonts w:cs="Calibri"/>
          <w:b/>
          <w:bCs/>
          <w:color w:val="000000"/>
          <w:lang w:eastAsia="es-CR"/>
        </w:rPr>
        <w:t>y el punto apelado</w:t>
      </w:r>
      <w:r w:rsidRPr="004E74A6">
        <w:rPr>
          <w:rFonts w:cs="Calibri"/>
          <w:color w:val="000000"/>
          <w:lang w:eastAsia="es-CR"/>
        </w:rPr>
        <w:t xml:space="preserve"> es de menor o de mayor cuantía se admite el recurso</w:t>
      </w:r>
      <w:r w:rsidR="006568A4" w:rsidRPr="004E74A6">
        <w:rPr>
          <w:rFonts w:cs="Calibri"/>
          <w:color w:val="000000"/>
          <w:lang w:eastAsia="es-CR"/>
        </w:rPr>
        <w:t>, en caso de aprobarse el escenario A1 o A2</w:t>
      </w:r>
      <w:r w:rsidRPr="004E74A6">
        <w:rPr>
          <w:rFonts w:cs="Calibri"/>
          <w:color w:val="000000"/>
          <w:lang w:eastAsia="es-CR"/>
        </w:rPr>
        <w:t xml:space="preserve"> habría variación respecto a la competencia actual en los siguientes puntos: </w:t>
      </w:r>
    </w:p>
    <w:p w14:paraId="4596C524" w14:textId="77777777" w:rsidR="006032B8" w:rsidRPr="00832773" w:rsidRDefault="006032B8" w:rsidP="00CE62C1">
      <w:pPr>
        <w:pStyle w:val="Prrafodelista"/>
        <w:numPr>
          <w:ilvl w:val="0"/>
          <w:numId w:val="35"/>
        </w:numPr>
        <w:spacing w:after="160" w:line="276" w:lineRule="auto"/>
        <w:rPr>
          <w:rFonts w:ascii="Book Antiqua" w:hAnsi="Book Antiqua" w:cs="Calibri"/>
          <w:color w:val="000000"/>
          <w:lang w:val="es-CR" w:eastAsia="es-CR"/>
        </w:rPr>
      </w:pPr>
      <w:r w:rsidRPr="00832773">
        <w:rPr>
          <w:rFonts w:ascii="Book Antiqua" w:hAnsi="Book Antiqua" w:cs="Calibri"/>
          <w:color w:val="000000"/>
          <w:lang w:val="es-CR" w:eastAsia="es-CR"/>
        </w:rPr>
        <w:t>Forma de integración, si la apelación es de menor se resuelve en el Tribunal de Apelación de forma unipersonal y si se estimó como de mayor cuantía lo resuelven colegiado</w:t>
      </w:r>
      <w:r w:rsidRPr="00832773">
        <w:rPr>
          <w:rStyle w:val="Refdenotaalpie"/>
          <w:rFonts w:ascii="Book Antiqua" w:hAnsi="Book Antiqua"/>
          <w:color w:val="000000"/>
          <w:lang w:val="es-CR" w:eastAsia="es-CR"/>
        </w:rPr>
        <w:footnoteReference w:id="21"/>
      </w:r>
      <w:r w:rsidRPr="00832773">
        <w:rPr>
          <w:rFonts w:ascii="Book Antiqua" w:hAnsi="Book Antiqua" w:cs="Calibri"/>
          <w:color w:val="000000"/>
          <w:lang w:val="es-CR" w:eastAsia="es-CR"/>
        </w:rPr>
        <w:t>; es decir, aumentarían las integraciones unipersonales en el rango de ¢1 a la cantidad de millones que fije Corte Plena</w:t>
      </w:r>
      <w:r w:rsidRPr="00832773">
        <w:rPr>
          <w:rStyle w:val="Refdenotaalpie"/>
          <w:rFonts w:ascii="Book Antiqua" w:hAnsi="Book Antiqua"/>
          <w:color w:val="000000"/>
          <w:lang w:val="es-CR" w:eastAsia="es-CR"/>
        </w:rPr>
        <w:footnoteReference w:id="22"/>
      </w:r>
      <w:r w:rsidRPr="00832773">
        <w:rPr>
          <w:rFonts w:ascii="Book Antiqua" w:hAnsi="Book Antiqua" w:cs="Calibri"/>
          <w:color w:val="000000"/>
          <w:lang w:val="es-CR" w:eastAsia="es-CR"/>
        </w:rPr>
        <w:t xml:space="preserve">. </w:t>
      </w:r>
    </w:p>
    <w:p w14:paraId="4415E1FA" w14:textId="77777777" w:rsidR="006032B8" w:rsidRPr="00832773" w:rsidRDefault="006032B8" w:rsidP="00CE62C1">
      <w:pPr>
        <w:pStyle w:val="Prrafodelista"/>
        <w:numPr>
          <w:ilvl w:val="0"/>
          <w:numId w:val="35"/>
        </w:numPr>
        <w:spacing w:after="160" w:line="276" w:lineRule="auto"/>
        <w:rPr>
          <w:rFonts w:ascii="Book Antiqua" w:hAnsi="Book Antiqua" w:cs="Calibri"/>
          <w:color w:val="000000"/>
          <w:lang w:val="es-CR" w:eastAsia="es-CR"/>
        </w:rPr>
      </w:pPr>
      <w:r w:rsidRPr="00832773">
        <w:rPr>
          <w:rFonts w:ascii="Book Antiqua" w:hAnsi="Book Antiqua" w:cs="Calibri"/>
          <w:color w:val="000000"/>
          <w:lang w:val="es-CR" w:eastAsia="es-CR"/>
        </w:rPr>
        <w:t>Eventual incremento en la cantidad de apelaciones, al incrementarse el límite de la cuantía, existiría una mayor cantidad de asuntos clasificados como de “</w:t>
      </w:r>
      <w:r w:rsidRPr="00832773">
        <w:rPr>
          <w:rFonts w:ascii="Book Antiqua" w:hAnsi="Book Antiqua" w:cs="Calibri"/>
          <w:i/>
          <w:iCs/>
          <w:color w:val="000000"/>
          <w:lang w:val="es-CR" w:eastAsia="es-CR"/>
        </w:rPr>
        <w:t>menor cuantía</w:t>
      </w:r>
      <w:r w:rsidRPr="00832773">
        <w:rPr>
          <w:rFonts w:ascii="Book Antiqua" w:hAnsi="Book Antiqua" w:cs="Calibri"/>
          <w:color w:val="000000"/>
          <w:lang w:val="es-CR" w:eastAsia="es-CR"/>
        </w:rPr>
        <w:t>” con respecto a la actualidad.</w:t>
      </w:r>
    </w:p>
    <w:p w14:paraId="6942F783" w14:textId="37EBD520" w:rsidR="001008A9" w:rsidRPr="004E74A6" w:rsidRDefault="002D6130" w:rsidP="00CE62C1">
      <w:pPr>
        <w:pStyle w:val="Prrafodelista"/>
        <w:numPr>
          <w:ilvl w:val="0"/>
          <w:numId w:val="18"/>
        </w:numPr>
        <w:spacing w:after="160" w:line="276" w:lineRule="auto"/>
        <w:rPr>
          <w:rFonts w:ascii="Book Antiqua" w:hAnsi="Book Antiqua" w:cs="Calibri"/>
          <w:color w:val="000000"/>
          <w:lang w:val="es-CR" w:eastAsia="es-CR"/>
        </w:rPr>
      </w:pPr>
      <w:r w:rsidRPr="004E74A6">
        <w:rPr>
          <w:rFonts w:ascii="Book Antiqua" w:hAnsi="Book Antiqua" w:cs="Calibri"/>
          <w:b/>
          <w:bCs/>
          <w:color w:val="000000"/>
          <w:u w:val="single"/>
          <w:lang w:val="es-CR" w:eastAsia="es-CR"/>
        </w:rPr>
        <w:t>En</w:t>
      </w:r>
      <w:r w:rsidR="00357179" w:rsidRPr="004E74A6">
        <w:rPr>
          <w:rFonts w:ascii="Book Antiqua" w:hAnsi="Book Antiqua" w:cs="Calibri"/>
          <w:b/>
          <w:bCs/>
          <w:color w:val="000000"/>
          <w:u w:val="single"/>
          <w:lang w:val="es-CR" w:eastAsia="es-CR"/>
        </w:rPr>
        <w:t xml:space="preserve"> caso de aprobarse el escenario A.1 solamente,</w:t>
      </w:r>
      <w:r w:rsidRPr="004E74A6">
        <w:rPr>
          <w:rFonts w:ascii="Book Antiqua" w:hAnsi="Book Antiqua" w:cs="Calibri"/>
          <w:color w:val="000000"/>
          <w:lang w:val="es-CR" w:eastAsia="es-CR"/>
        </w:rPr>
        <w:t xml:space="preserve"> </w:t>
      </w:r>
      <w:r w:rsidR="006032B8" w:rsidRPr="004E74A6">
        <w:rPr>
          <w:rFonts w:ascii="Book Antiqua" w:hAnsi="Book Antiqua" w:cs="Calibri"/>
          <w:color w:val="000000"/>
          <w:lang w:val="es-CR" w:eastAsia="es-CR"/>
        </w:rPr>
        <w:t xml:space="preserve">al igual que con los puntos apelables en los procesos Principales (carpeta PRI), en </w:t>
      </w:r>
      <w:r w:rsidRPr="004E74A6">
        <w:rPr>
          <w:rFonts w:ascii="Book Antiqua" w:hAnsi="Book Antiqua" w:cs="Calibri"/>
          <w:color w:val="000000"/>
          <w:lang w:val="es-CR" w:eastAsia="es-CR"/>
        </w:rPr>
        <w:t>lo que corresponde a apelaciones de incidentes (carpeta IP)</w:t>
      </w:r>
      <w:r w:rsidR="001008A9" w:rsidRPr="004E74A6">
        <w:rPr>
          <w:rFonts w:ascii="Book Antiqua" w:hAnsi="Book Antiqua" w:cs="Calibri"/>
          <w:color w:val="000000"/>
          <w:lang w:val="es-CR" w:eastAsia="es-CR"/>
        </w:rPr>
        <w:t xml:space="preserve"> se modificaría la entrada y las integraciones, con los datos actuales no se puede prever </w:t>
      </w:r>
      <w:r w:rsidR="006032B8" w:rsidRPr="004E74A6">
        <w:rPr>
          <w:rFonts w:ascii="Book Antiqua" w:hAnsi="Book Antiqua" w:cs="Calibri"/>
          <w:color w:val="000000"/>
          <w:lang w:val="es-CR" w:eastAsia="es-CR"/>
        </w:rPr>
        <w:t>el aumento</w:t>
      </w:r>
      <w:r w:rsidR="001008A9" w:rsidRPr="004E74A6">
        <w:rPr>
          <w:rFonts w:ascii="Book Antiqua" w:hAnsi="Book Antiqua" w:cs="Calibri"/>
          <w:color w:val="000000"/>
          <w:lang w:val="es-CR" w:eastAsia="es-CR"/>
        </w:rPr>
        <w:t xml:space="preserve"> </w:t>
      </w:r>
      <w:r w:rsidR="006032B8" w:rsidRPr="004E74A6">
        <w:rPr>
          <w:rFonts w:ascii="Book Antiqua" w:hAnsi="Book Antiqua" w:cs="Calibri"/>
          <w:color w:val="000000"/>
          <w:lang w:val="es-CR" w:eastAsia="es-CR"/>
        </w:rPr>
        <w:t xml:space="preserve">por dependiendo de la estimación, </w:t>
      </w:r>
      <w:r w:rsidR="001008A9" w:rsidRPr="004E74A6">
        <w:rPr>
          <w:rFonts w:ascii="Book Antiqua" w:hAnsi="Book Antiqua" w:cs="Calibri"/>
          <w:color w:val="000000"/>
          <w:lang w:val="es-CR" w:eastAsia="es-CR"/>
        </w:rPr>
        <w:t xml:space="preserve">ya que la entrada de este tipo de asuntos es mínima. </w:t>
      </w:r>
    </w:p>
    <w:p w14:paraId="567174FF" w14:textId="47E7A95E" w:rsidR="002E2968" w:rsidRPr="004E74A6" w:rsidRDefault="004B55DA" w:rsidP="00CE62C1">
      <w:pPr>
        <w:spacing w:after="160" w:line="276" w:lineRule="auto"/>
        <w:rPr>
          <w:rFonts w:cs="Calibri"/>
          <w:color w:val="000000"/>
          <w:lang w:eastAsia="es-CR"/>
        </w:rPr>
      </w:pPr>
      <w:r w:rsidRPr="004E74A6">
        <w:rPr>
          <w:rFonts w:cs="Calibri"/>
          <w:color w:val="000000"/>
          <w:lang w:eastAsia="es-CR"/>
        </w:rPr>
        <w:t>En el caso que</w:t>
      </w:r>
      <w:r w:rsidR="002D6130" w:rsidRPr="004E74A6">
        <w:rPr>
          <w:rFonts w:cs="Calibri"/>
          <w:color w:val="000000"/>
          <w:lang w:eastAsia="es-CR"/>
        </w:rPr>
        <w:t xml:space="preserve"> el proceso principal es de mayor cuantía y </w:t>
      </w:r>
      <w:r w:rsidR="002D6130" w:rsidRPr="00832773">
        <w:rPr>
          <w:rFonts w:cs="Calibri"/>
          <w:b/>
          <w:bCs/>
          <w:color w:val="000000"/>
          <w:lang w:eastAsia="es-CR"/>
        </w:rPr>
        <w:t>el incidente</w:t>
      </w:r>
      <w:r w:rsidR="002D6130" w:rsidRPr="004E74A6">
        <w:rPr>
          <w:rFonts w:cs="Calibri"/>
          <w:color w:val="000000"/>
          <w:lang w:eastAsia="es-CR"/>
        </w:rPr>
        <w:t xml:space="preserve"> lo estiman </w:t>
      </w:r>
      <w:r w:rsidR="002D6130" w:rsidRPr="004E74A6">
        <w:rPr>
          <w:rFonts w:cs="Calibri"/>
          <w:b/>
          <w:bCs/>
          <w:color w:val="000000"/>
          <w:u w:val="single"/>
          <w:lang w:eastAsia="es-CR"/>
        </w:rPr>
        <w:t>como de menor cuant</w:t>
      </w:r>
      <w:r w:rsidR="004C52D0" w:rsidRPr="004E74A6">
        <w:rPr>
          <w:rFonts w:cs="Calibri"/>
          <w:b/>
          <w:bCs/>
          <w:color w:val="000000"/>
          <w:u w:val="single"/>
          <w:lang w:eastAsia="es-CR"/>
        </w:rPr>
        <w:t>í</w:t>
      </w:r>
      <w:r w:rsidR="002D6130" w:rsidRPr="004E74A6">
        <w:rPr>
          <w:rFonts w:cs="Calibri"/>
          <w:b/>
          <w:bCs/>
          <w:color w:val="000000"/>
          <w:u w:val="single"/>
          <w:lang w:eastAsia="es-CR"/>
        </w:rPr>
        <w:t xml:space="preserve">a se rechaza de plano porque carece del recurso según </w:t>
      </w:r>
      <w:r w:rsidR="004C52D0" w:rsidRPr="004E74A6">
        <w:rPr>
          <w:rFonts w:cs="Calibri"/>
          <w:b/>
          <w:bCs/>
          <w:color w:val="000000"/>
          <w:u w:val="single"/>
          <w:lang w:eastAsia="es-CR"/>
        </w:rPr>
        <w:t>artículo</w:t>
      </w:r>
      <w:r w:rsidR="002D6130" w:rsidRPr="004E74A6">
        <w:rPr>
          <w:rFonts w:cs="Calibri"/>
          <w:b/>
          <w:bCs/>
          <w:color w:val="000000"/>
          <w:u w:val="single"/>
          <w:lang w:eastAsia="es-CR"/>
        </w:rPr>
        <w:t xml:space="preserve"> 67.3 </w:t>
      </w:r>
      <w:r w:rsidR="004C52D0" w:rsidRPr="004E74A6">
        <w:rPr>
          <w:rFonts w:cs="Calibri"/>
          <w:b/>
          <w:bCs/>
          <w:color w:val="000000"/>
          <w:u w:val="single"/>
          <w:lang w:eastAsia="es-CR"/>
        </w:rPr>
        <w:t>párrafo</w:t>
      </w:r>
      <w:r w:rsidR="002D6130" w:rsidRPr="004E74A6">
        <w:rPr>
          <w:rFonts w:cs="Calibri"/>
          <w:b/>
          <w:bCs/>
          <w:color w:val="000000"/>
          <w:u w:val="single"/>
          <w:lang w:eastAsia="es-CR"/>
        </w:rPr>
        <w:t xml:space="preserve"> final de la Ley 9342</w:t>
      </w:r>
      <w:r w:rsidR="002D6130" w:rsidRPr="004E74A6">
        <w:rPr>
          <w:rStyle w:val="Refdenotaalpie"/>
          <w:color w:val="000000"/>
          <w:lang w:eastAsia="es-CR"/>
        </w:rPr>
        <w:footnoteReference w:id="23"/>
      </w:r>
      <w:r w:rsidR="002D6130" w:rsidRPr="004E74A6">
        <w:rPr>
          <w:rFonts w:cs="Calibri"/>
          <w:color w:val="000000"/>
          <w:lang w:eastAsia="es-CR"/>
        </w:rPr>
        <w:t xml:space="preserve">.  </w:t>
      </w:r>
    </w:p>
    <w:p w14:paraId="095A74B6" w14:textId="0671C758" w:rsidR="0010568E" w:rsidRPr="004E74A6" w:rsidRDefault="002E2968" w:rsidP="00CE62C1">
      <w:pPr>
        <w:spacing w:after="160" w:line="276" w:lineRule="auto"/>
        <w:rPr>
          <w:rFonts w:cs="Calibri"/>
          <w:color w:val="000000"/>
          <w:lang w:eastAsia="es-CR"/>
        </w:rPr>
      </w:pPr>
      <w:r w:rsidRPr="004E74A6">
        <w:rPr>
          <w:rFonts w:cs="Calibri"/>
          <w:color w:val="000000"/>
          <w:lang w:eastAsia="es-CR"/>
        </w:rPr>
        <w:lastRenderedPageBreak/>
        <w:t>Cuando</w:t>
      </w:r>
      <w:r w:rsidR="002D6130" w:rsidRPr="004E74A6">
        <w:rPr>
          <w:rFonts w:cs="Calibri"/>
          <w:color w:val="000000"/>
          <w:lang w:eastAsia="es-CR"/>
        </w:rPr>
        <w:t xml:space="preserve"> el proceso principal es de menor cuantía, </w:t>
      </w:r>
      <w:r w:rsidR="002D6130" w:rsidRPr="00832773">
        <w:rPr>
          <w:rFonts w:cs="Calibri"/>
          <w:b/>
          <w:bCs/>
          <w:color w:val="000000"/>
          <w:lang w:eastAsia="es-CR"/>
        </w:rPr>
        <w:t>el incidente</w:t>
      </w:r>
      <w:r w:rsidR="002D6130" w:rsidRPr="004E74A6">
        <w:rPr>
          <w:rFonts w:cs="Calibri"/>
          <w:color w:val="000000"/>
          <w:lang w:eastAsia="es-CR"/>
        </w:rPr>
        <w:t xml:space="preserve"> sea de menor o de mayor cuantía se admite el recurso</w:t>
      </w:r>
      <w:r w:rsidR="00576CFE" w:rsidRPr="004E74A6">
        <w:rPr>
          <w:rFonts w:cs="Calibri"/>
          <w:color w:val="000000"/>
          <w:lang w:eastAsia="es-CR"/>
        </w:rPr>
        <w:t>. En caso de aumentarse la cuantía</w:t>
      </w:r>
      <w:r w:rsidR="004C52D0" w:rsidRPr="004E74A6">
        <w:rPr>
          <w:rFonts w:cs="Calibri"/>
          <w:color w:val="000000"/>
          <w:lang w:eastAsia="es-CR"/>
        </w:rPr>
        <w:t xml:space="preserve"> habría variación respecto a la competencia actual</w:t>
      </w:r>
      <w:r w:rsidR="0010568E" w:rsidRPr="004E74A6">
        <w:rPr>
          <w:rFonts w:cs="Calibri"/>
          <w:color w:val="000000"/>
          <w:lang w:eastAsia="es-CR"/>
        </w:rPr>
        <w:t xml:space="preserve"> en los siguientes puntos: </w:t>
      </w:r>
    </w:p>
    <w:p w14:paraId="0EA2572C" w14:textId="716D3A9F" w:rsidR="00FB333B" w:rsidRPr="00832773" w:rsidRDefault="0010568E" w:rsidP="00CE62C1">
      <w:pPr>
        <w:pStyle w:val="Prrafodelista"/>
        <w:numPr>
          <w:ilvl w:val="0"/>
          <w:numId w:val="34"/>
        </w:numPr>
        <w:spacing w:after="160" w:line="276" w:lineRule="auto"/>
        <w:rPr>
          <w:rFonts w:ascii="Book Antiqua" w:hAnsi="Book Antiqua" w:cs="Calibri"/>
          <w:color w:val="000000"/>
          <w:lang w:val="es-CR" w:eastAsia="es-CR"/>
        </w:rPr>
      </w:pPr>
      <w:r w:rsidRPr="00832773">
        <w:rPr>
          <w:rFonts w:ascii="Book Antiqua" w:hAnsi="Book Antiqua" w:cs="Calibri"/>
          <w:color w:val="000000"/>
          <w:lang w:val="es-CR" w:eastAsia="es-CR"/>
        </w:rPr>
        <w:t>Forma de</w:t>
      </w:r>
      <w:r w:rsidR="004C52D0" w:rsidRPr="00832773">
        <w:rPr>
          <w:rFonts w:ascii="Book Antiqua" w:hAnsi="Book Antiqua" w:cs="Calibri"/>
          <w:color w:val="000000"/>
          <w:lang w:val="es-CR" w:eastAsia="es-CR"/>
        </w:rPr>
        <w:t xml:space="preserve"> integración, </w:t>
      </w:r>
      <w:r w:rsidR="002D6130" w:rsidRPr="00832773">
        <w:rPr>
          <w:rFonts w:ascii="Book Antiqua" w:hAnsi="Book Antiqua" w:cs="Calibri"/>
          <w:color w:val="000000"/>
          <w:lang w:val="es-CR" w:eastAsia="es-CR"/>
        </w:rPr>
        <w:t xml:space="preserve">si </w:t>
      </w:r>
      <w:r w:rsidR="002D6130" w:rsidRPr="00832773">
        <w:rPr>
          <w:rFonts w:ascii="Book Antiqua" w:hAnsi="Book Antiqua" w:cs="Calibri"/>
          <w:b/>
          <w:bCs/>
          <w:color w:val="000000"/>
          <w:lang w:val="es-CR" w:eastAsia="es-CR"/>
        </w:rPr>
        <w:t>el incidente</w:t>
      </w:r>
      <w:r w:rsidR="002D6130" w:rsidRPr="00832773">
        <w:rPr>
          <w:rFonts w:ascii="Book Antiqua" w:hAnsi="Book Antiqua" w:cs="Calibri"/>
          <w:color w:val="000000"/>
          <w:lang w:val="es-CR" w:eastAsia="es-CR"/>
        </w:rPr>
        <w:t xml:space="preserve"> es de menor</w:t>
      </w:r>
      <w:r w:rsidR="004C52D0" w:rsidRPr="00832773">
        <w:rPr>
          <w:rFonts w:ascii="Book Antiqua" w:hAnsi="Book Antiqua" w:cs="Calibri"/>
          <w:color w:val="000000"/>
          <w:lang w:val="es-CR" w:eastAsia="es-CR"/>
        </w:rPr>
        <w:t xml:space="preserve"> se resuelve en el Tribunal de Apelación de forma unipersonal y si </w:t>
      </w:r>
      <w:r w:rsidR="004C52D0" w:rsidRPr="00832773">
        <w:rPr>
          <w:rFonts w:ascii="Book Antiqua" w:hAnsi="Book Antiqua" w:cs="Calibri"/>
          <w:b/>
          <w:bCs/>
          <w:color w:val="000000"/>
          <w:lang w:val="es-CR" w:eastAsia="es-CR"/>
        </w:rPr>
        <w:t>el incidente</w:t>
      </w:r>
      <w:r w:rsidR="004C52D0" w:rsidRPr="00832773">
        <w:rPr>
          <w:rFonts w:ascii="Book Antiqua" w:hAnsi="Book Antiqua" w:cs="Calibri"/>
          <w:color w:val="000000"/>
          <w:lang w:val="es-CR" w:eastAsia="es-CR"/>
        </w:rPr>
        <w:t xml:space="preserve"> se estimó como de mayor cuantía lo resuelven colegiado</w:t>
      </w:r>
      <w:r w:rsidR="002D6130" w:rsidRPr="00832773">
        <w:rPr>
          <w:rStyle w:val="Refdenotaalpie"/>
          <w:rFonts w:ascii="Book Antiqua" w:hAnsi="Book Antiqua"/>
          <w:color w:val="000000"/>
          <w:lang w:val="es-CR" w:eastAsia="es-CR"/>
        </w:rPr>
        <w:footnoteReference w:id="24"/>
      </w:r>
      <w:r w:rsidR="00FB333B" w:rsidRPr="00832773">
        <w:rPr>
          <w:rFonts w:ascii="Book Antiqua" w:hAnsi="Book Antiqua" w:cs="Calibri"/>
          <w:color w:val="000000"/>
          <w:lang w:val="es-CR" w:eastAsia="es-CR"/>
        </w:rPr>
        <w:t xml:space="preserve">; es decir, aumentarían las integraciones unipersonales para resolver carpetas IP </w:t>
      </w:r>
      <w:r w:rsidR="00357179" w:rsidRPr="00832773">
        <w:rPr>
          <w:rFonts w:ascii="Book Antiqua" w:hAnsi="Book Antiqua" w:cs="Calibri"/>
          <w:color w:val="000000"/>
          <w:lang w:val="es-CR" w:eastAsia="es-CR"/>
        </w:rPr>
        <w:t>estimadas</w:t>
      </w:r>
      <w:r w:rsidR="00FB333B" w:rsidRPr="00832773">
        <w:rPr>
          <w:rFonts w:ascii="Book Antiqua" w:hAnsi="Book Antiqua" w:cs="Calibri"/>
          <w:color w:val="000000"/>
          <w:lang w:val="es-CR" w:eastAsia="es-CR"/>
        </w:rPr>
        <w:t xml:space="preserve"> en el </w:t>
      </w:r>
      <w:r w:rsidR="00357179" w:rsidRPr="00832773">
        <w:rPr>
          <w:rFonts w:ascii="Book Antiqua" w:hAnsi="Book Antiqua" w:cs="Calibri"/>
          <w:color w:val="000000"/>
          <w:lang w:val="es-CR" w:eastAsia="es-CR"/>
        </w:rPr>
        <w:t>rango</w:t>
      </w:r>
      <w:r w:rsidR="00FB333B" w:rsidRPr="00832773">
        <w:rPr>
          <w:rFonts w:ascii="Book Antiqua" w:hAnsi="Book Antiqua" w:cs="Calibri"/>
          <w:color w:val="000000"/>
          <w:lang w:val="es-CR" w:eastAsia="es-CR"/>
        </w:rPr>
        <w:t xml:space="preserve"> de ¢</w:t>
      </w:r>
      <w:r w:rsidR="0086324A" w:rsidRPr="00832773">
        <w:rPr>
          <w:rFonts w:ascii="Book Antiqua" w:hAnsi="Book Antiqua" w:cs="Calibri"/>
          <w:color w:val="000000"/>
          <w:lang w:val="es-CR" w:eastAsia="es-CR"/>
        </w:rPr>
        <w:t>1</w:t>
      </w:r>
      <w:r w:rsidR="00FB333B" w:rsidRPr="00832773">
        <w:rPr>
          <w:rFonts w:ascii="Book Antiqua" w:hAnsi="Book Antiqua" w:cs="Calibri"/>
          <w:color w:val="000000"/>
          <w:lang w:val="es-CR" w:eastAsia="es-CR"/>
        </w:rPr>
        <w:t xml:space="preserve"> a la cantidad de millones que fije Corte Plena</w:t>
      </w:r>
      <w:r w:rsidR="00357179" w:rsidRPr="00832773">
        <w:rPr>
          <w:rStyle w:val="Refdenotaalpie"/>
          <w:rFonts w:ascii="Book Antiqua" w:hAnsi="Book Antiqua"/>
          <w:color w:val="000000"/>
          <w:lang w:val="es-CR" w:eastAsia="es-CR"/>
        </w:rPr>
        <w:footnoteReference w:id="25"/>
      </w:r>
      <w:r w:rsidR="00357179" w:rsidRPr="00832773">
        <w:rPr>
          <w:rFonts w:ascii="Book Antiqua" w:hAnsi="Book Antiqua" w:cs="Calibri"/>
          <w:color w:val="000000"/>
          <w:lang w:val="es-CR" w:eastAsia="es-CR"/>
        </w:rPr>
        <w:t xml:space="preserve">. </w:t>
      </w:r>
    </w:p>
    <w:p w14:paraId="7CF9931F" w14:textId="625C66E8" w:rsidR="0010568E" w:rsidRPr="00832773" w:rsidRDefault="0010568E" w:rsidP="00CE62C1">
      <w:pPr>
        <w:pStyle w:val="Prrafodelista"/>
        <w:numPr>
          <w:ilvl w:val="0"/>
          <w:numId w:val="34"/>
        </w:numPr>
        <w:spacing w:after="160" w:line="276" w:lineRule="auto"/>
        <w:rPr>
          <w:rFonts w:cs="Calibri"/>
          <w:color w:val="000000"/>
          <w:lang w:val="es-CR" w:eastAsia="es-CR"/>
        </w:rPr>
      </w:pPr>
      <w:r w:rsidRPr="00832773">
        <w:rPr>
          <w:rFonts w:ascii="Book Antiqua" w:hAnsi="Book Antiqua" w:cs="Calibri"/>
          <w:color w:val="000000"/>
          <w:lang w:val="es-CR" w:eastAsia="es-CR"/>
        </w:rPr>
        <w:t>Eventual incremento en la cantidad de apelaciones</w:t>
      </w:r>
      <w:r w:rsidR="004614A8" w:rsidRPr="00832773">
        <w:rPr>
          <w:rFonts w:ascii="Book Antiqua" w:hAnsi="Book Antiqua" w:cs="Calibri"/>
          <w:color w:val="000000"/>
          <w:lang w:val="es-CR" w:eastAsia="es-CR"/>
        </w:rPr>
        <w:t xml:space="preserve"> de </w:t>
      </w:r>
      <w:r w:rsidR="004614A8" w:rsidRPr="00832773">
        <w:rPr>
          <w:rFonts w:ascii="Book Antiqua" w:hAnsi="Book Antiqua" w:cs="Calibri"/>
          <w:b/>
          <w:bCs/>
          <w:color w:val="000000"/>
          <w:lang w:val="es-CR" w:eastAsia="es-CR"/>
        </w:rPr>
        <w:t>incidentes</w:t>
      </w:r>
      <w:r w:rsidRPr="00832773">
        <w:rPr>
          <w:rFonts w:ascii="Book Antiqua" w:hAnsi="Book Antiqua" w:cs="Calibri"/>
          <w:color w:val="000000"/>
          <w:lang w:val="es-CR" w:eastAsia="es-CR"/>
        </w:rPr>
        <w:t>, al incrementarse el límite de la cuantía, existiría una mayor cantidad de asuntos clasificados como de “</w:t>
      </w:r>
      <w:r w:rsidRPr="00832773">
        <w:rPr>
          <w:rFonts w:ascii="Book Antiqua" w:hAnsi="Book Antiqua" w:cs="Calibri"/>
          <w:i/>
          <w:iCs/>
          <w:color w:val="000000"/>
          <w:lang w:val="es-CR" w:eastAsia="es-CR"/>
        </w:rPr>
        <w:t>menor cuantía</w:t>
      </w:r>
      <w:r w:rsidRPr="00832773">
        <w:rPr>
          <w:rFonts w:ascii="Book Antiqua" w:hAnsi="Book Antiqua" w:cs="Calibri"/>
          <w:color w:val="000000"/>
          <w:lang w:val="es-CR" w:eastAsia="es-CR"/>
        </w:rPr>
        <w:t>” con respecto a la actualidad.</w:t>
      </w:r>
    </w:p>
    <w:p w14:paraId="5F217144" w14:textId="77777777" w:rsidR="00534D88" w:rsidRPr="004E74A6" w:rsidRDefault="00534D88" w:rsidP="00CE62C1">
      <w:pPr>
        <w:spacing w:after="160" w:line="276" w:lineRule="auto"/>
        <w:rPr>
          <w:rFonts w:cs="Calibri"/>
          <w:color w:val="000000"/>
          <w:lang w:eastAsia="es-CR"/>
        </w:rPr>
      </w:pPr>
    </w:p>
    <w:p w14:paraId="1D63B1E8" w14:textId="0FBC14E3" w:rsidR="0080333B" w:rsidRPr="004E74A6" w:rsidRDefault="00534D88" w:rsidP="00CE62C1">
      <w:pPr>
        <w:spacing w:after="160" w:line="276" w:lineRule="auto"/>
        <w:rPr>
          <w:rFonts w:cs="Calibri"/>
          <w:color w:val="000000"/>
          <w:lang w:eastAsia="es-CR"/>
        </w:rPr>
      </w:pPr>
      <w:r w:rsidRPr="004E74A6">
        <w:rPr>
          <w:rFonts w:cs="Calibri"/>
          <w:color w:val="000000"/>
          <w:lang w:eastAsia="es-CR"/>
        </w:rPr>
        <w:t>El artículo 95 de la LOPJ no hace diferenciación sobre el tipo de carpeta o apelación.</w:t>
      </w:r>
    </w:p>
    <w:p w14:paraId="2C875A27" w14:textId="2C715270" w:rsidR="00534D88" w:rsidRPr="004E74A6" w:rsidRDefault="00534D88" w:rsidP="00CE62C1">
      <w:pPr>
        <w:spacing w:line="276" w:lineRule="auto"/>
        <w:ind w:left="567" w:right="618"/>
        <w:rPr>
          <w:i/>
          <w:iCs/>
          <w:color w:val="000000"/>
          <w:sz w:val="22"/>
          <w:szCs w:val="22"/>
          <w:lang w:eastAsia="es-CR"/>
        </w:rPr>
      </w:pPr>
      <w:r w:rsidRPr="004E74A6">
        <w:rPr>
          <w:b/>
          <w:bCs/>
          <w:i/>
          <w:iCs/>
          <w:color w:val="000000"/>
          <w:sz w:val="22"/>
          <w:szCs w:val="22"/>
          <w:lang w:eastAsia="es-CR"/>
        </w:rPr>
        <w:t>“Artículo 95.- </w:t>
      </w:r>
      <w:r w:rsidRPr="004E74A6">
        <w:rPr>
          <w:i/>
          <w:iCs/>
          <w:color w:val="000000"/>
          <w:sz w:val="22"/>
          <w:szCs w:val="22"/>
          <w:lang w:eastAsia="es-CR"/>
        </w:rPr>
        <w:t>Los tribunales colegiados de apelación civiles conocerán:</w:t>
      </w:r>
    </w:p>
    <w:p w14:paraId="3D1E9EE3" w14:textId="57ECB16D" w:rsidR="00534D88" w:rsidRPr="004E74A6" w:rsidRDefault="00534D88" w:rsidP="00CE62C1">
      <w:pPr>
        <w:spacing w:line="276" w:lineRule="auto"/>
        <w:ind w:left="567" w:right="618"/>
        <w:rPr>
          <w:i/>
          <w:iCs/>
          <w:color w:val="000000"/>
          <w:sz w:val="22"/>
          <w:szCs w:val="22"/>
          <w:lang w:eastAsia="es-CR"/>
        </w:rPr>
      </w:pPr>
      <w:r w:rsidRPr="004E74A6">
        <w:rPr>
          <w:i/>
          <w:iCs/>
          <w:color w:val="000000"/>
          <w:sz w:val="22"/>
          <w:szCs w:val="22"/>
          <w:lang w:eastAsia="es-CR"/>
        </w:rPr>
        <w:t>(Así reformado el párrafo anterior por el artículo 184 aparte 4) del Código Procesal Civil, N° 9342 del 3 de febrero del 2016)</w:t>
      </w:r>
    </w:p>
    <w:p w14:paraId="2E5F9517" w14:textId="77777777" w:rsidR="00534D88" w:rsidRPr="004E74A6" w:rsidRDefault="00534D88" w:rsidP="00CE62C1">
      <w:pPr>
        <w:spacing w:line="276" w:lineRule="auto"/>
        <w:ind w:left="567" w:right="618"/>
        <w:rPr>
          <w:i/>
          <w:iCs/>
          <w:color w:val="000000"/>
          <w:sz w:val="22"/>
          <w:szCs w:val="22"/>
          <w:lang w:eastAsia="es-CR"/>
        </w:rPr>
      </w:pPr>
    </w:p>
    <w:p w14:paraId="696CF9E3" w14:textId="224357B7" w:rsidR="00534D88" w:rsidRPr="004E74A6" w:rsidRDefault="00534D88" w:rsidP="00CE62C1">
      <w:pPr>
        <w:spacing w:line="276" w:lineRule="auto"/>
        <w:ind w:left="567" w:right="618"/>
        <w:rPr>
          <w:i/>
          <w:iCs/>
          <w:color w:val="000000"/>
          <w:sz w:val="22"/>
          <w:szCs w:val="22"/>
          <w:lang w:eastAsia="es-CR"/>
        </w:rPr>
      </w:pPr>
      <w:r w:rsidRPr="004E74A6">
        <w:rPr>
          <w:b/>
          <w:bCs/>
          <w:i/>
          <w:iCs/>
          <w:color w:val="000000"/>
          <w:sz w:val="22"/>
          <w:szCs w:val="22"/>
          <w:lang w:eastAsia="es-CR"/>
        </w:rPr>
        <w:t>1. </w:t>
      </w:r>
      <w:r w:rsidRPr="004E74A6">
        <w:rPr>
          <w:i/>
          <w:iCs/>
          <w:color w:val="000000"/>
          <w:sz w:val="22"/>
          <w:szCs w:val="22"/>
          <w:lang w:eastAsia="es-CR"/>
        </w:rPr>
        <w:t>De los recursos de apelación que procedan contra las resoluciones de los tribunales colegiados de primera instancia y de los juzgados civiles. Si el proceso es de menor cuantía será conocido por un integrante del tribunal colegiado de forma unipersonal.</w:t>
      </w:r>
    </w:p>
    <w:p w14:paraId="72AE1B0A" w14:textId="2CA4B630" w:rsidR="00534D88" w:rsidRPr="004E74A6" w:rsidRDefault="00534D88" w:rsidP="00CE62C1">
      <w:pPr>
        <w:spacing w:line="276" w:lineRule="auto"/>
        <w:ind w:left="567" w:right="618"/>
        <w:rPr>
          <w:i/>
          <w:iCs/>
          <w:color w:val="000000"/>
          <w:sz w:val="22"/>
          <w:szCs w:val="22"/>
          <w:lang w:eastAsia="es-CR"/>
        </w:rPr>
      </w:pPr>
      <w:r w:rsidRPr="004E74A6">
        <w:rPr>
          <w:i/>
          <w:iCs/>
          <w:color w:val="000000"/>
          <w:sz w:val="22"/>
          <w:szCs w:val="22"/>
          <w:lang w:eastAsia="es-CR"/>
        </w:rPr>
        <w:t>(Así reformado el inciso anterior por el artículo 184 aparte 4) del Código Procesal Civil, N° 9342 del 3 de febrero del 2016)</w:t>
      </w:r>
    </w:p>
    <w:p w14:paraId="45EE096F" w14:textId="77777777" w:rsidR="00534D88" w:rsidRPr="004E74A6" w:rsidRDefault="00534D88" w:rsidP="00CE62C1">
      <w:pPr>
        <w:spacing w:line="276" w:lineRule="auto"/>
        <w:ind w:left="567" w:right="618"/>
        <w:rPr>
          <w:i/>
          <w:iCs/>
          <w:color w:val="000000"/>
          <w:sz w:val="22"/>
          <w:szCs w:val="22"/>
          <w:lang w:eastAsia="es-CR"/>
        </w:rPr>
      </w:pPr>
    </w:p>
    <w:p w14:paraId="4C66A219" w14:textId="5C097935" w:rsidR="00534D88" w:rsidRPr="004E74A6" w:rsidRDefault="00534D88" w:rsidP="00CE62C1">
      <w:pPr>
        <w:spacing w:line="276" w:lineRule="auto"/>
        <w:ind w:left="567" w:right="618"/>
        <w:rPr>
          <w:i/>
          <w:iCs/>
          <w:color w:val="000000"/>
          <w:sz w:val="22"/>
          <w:szCs w:val="22"/>
          <w:lang w:eastAsia="es-CR"/>
        </w:rPr>
      </w:pPr>
      <w:r w:rsidRPr="004E74A6">
        <w:rPr>
          <w:b/>
          <w:bCs/>
          <w:i/>
          <w:iCs/>
          <w:color w:val="000000"/>
          <w:sz w:val="22"/>
          <w:szCs w:val="22"/>
          <w:lang w:eastAsia="es-CR"/>
        </w:rPr>
        <w:t>2. </w:t>
      </w:r>
      <w:r w:rsidRPr="004E74A6">
        <w:rPr>
          <w:i/>
          <w:iCs/>
          <w:color w:val="000000"/>
          <w:sz w:val="22"/>
          <w:szCs w:val="22"/>
          <w:lang w:eastAsia="es-CR"/>
        </w:rPr>
        <w:t>De los cuestionamientos sobre competencia subjetiva de sus integrantes.</w:t>
      </w:r>
    </w:p>
    <w:p w14:paraId="1A44E79D" w14:textId="77777777" w:rsidR="00534D88" w:rsidRPr="004E74A6" w:rsidRDefault="00534D88" w:rsidP="00CE62C1">
      <w:pPr>
        <w:spacing w:line="276" w:lineRule="auto"/>
        <w:ind w:left="567" w:right="618"/>
        <w:rPr>
          <w:i/>
          <w:iCs/>
          <w:color w:val="000000"/>
          <w:sz w:val="22"/>
          <w:szCs w:val="22"/>
          <w:lang w:eastAsia="es-CR"/>
        </w:rPr>
      </w:pPr>
      <w:r w:rsidRPr="004E74A6">
        <w:rPr>
          <w:i/>
          <w:iCs/>
          <w:color w:val="000000"/>
          <w:sz w:val="22"/>
          <w:szCs w:val="22"/>
          <w:lang w:eastAsia="es-CR"/>
        </w:rPr>
        <w:t>(Así reformado el inciso anterior por el artículo 184 aparte 4) del Código Procesal Civil, N° 9342 del 3 de febrero del 2016)</w:t>
      </w:r>
    </w:p>
    <w:p w14:paraId="06640001" w14:textId="60762BE1" w:rsidR="00534D88" w:rsidRPr="004E74A6" w:rsidRDefault="00534D88" w:rsidP="00CE62C1">
      <w:pPr>
        <w:spacing w:line="276" w:lineRule="auto"/>
        <w:ind w:left="567" w:right="618"/>
        <w:rPr>
          <w:i/>
          <w:iCs/>
          <w:color w:val="000000"/>
          <w:sz w:val="22"/>
          <w:szCs w:val="22"/>
          <w:lang w:eastAsia="es-CR"/>
        </w:rPr>
      </w:pPr>
    </w:p>
    <w:p w14:paraId="4560EBBF" w14:textId="77777777" w:rsidR="00534D88" w:rsidRPr="004E74A6" w:rsidRDefault="00534D88" w:rsidP="00CE62C1">
      <w:pPr>
        <w:spacing w:line="276" w:lineRule="auto"/>
        <w:ind w:left="567" w:right="618"/>
        <w:rPr>
          <w:i/>
          <w:iCs/>
          <w:color w:val="000000"/>
          <w:sz w:val="22"/>
          <w:szCs w:val="22"/>
          <w:lang w:eastAsia="es-CR"/>
        </w:rPr>
      </w:pPr>
      <w:r w:rsidRPr="00832773">
        <w:rPr>
          <w:i/>
          <w:iCs/>
          <w:color w:val="000000"/>
          <w:sz w:val="22"/>
          <w:szCs w:val="22"/>
          <w:lang w:eastAsia="es-CR"/>
        </w:rPr>
        <w:t>3.- De los conflictos de competencia en materia civil entre autoridades de su mismo territorio.</w:t>
      </w:r>
    </w:p>
    <w:p w14:paraId="3240DFDF" w14:textId="7567E06F" w:rsidR="00534D88" w:rsidRPr="004E74A6" w:rsidRDefault="00534D88" w:rsidP="00CE62C1">
      <w:pPr>
        <w:spacing w:line="276" w:lineRule="auto"/>
        <w:ind w:left="567" w:right="618"/>
        <w:rPr>
          <w:i/>
          <w:iCs/>
          <w:sz w:val="22"/>
          <w:szCs w:val="22"/>
          <w:lang w:eastAsia="es-CR"/>
        </w:rPr>
      </w:pPr>
    </w:p>
    <w:p w14:paraId="7DD92D8C" w14:textId="074448BC" w:rsidR="00534D88" w:rsidRPr="004E74A6" w:rsidRDefault="00534D88" w:rsidP="00CE62C1">
      <w:pPr>
        <w:spacing w:line="276" w:lineRule="auto"/>
        <w:ind w:left="567" w:right="618"/>
        <w:rPr>
          <w:i/>
          <w:iCs/>
          <w:color w:val="000000"/>
          <w:sz w:val="22"/>
          <w:szCs w:val="22"/>
          <w:lang w:eastAsia="es-CR"/>
        </w:rPr>
      </w:pPr>
      <w:r w:rsidRPr="00832773">
        <w:rPr>
          <w:i/>
          <w:iCs/>
          <w:color w:val="000000"/>
          <w:sz w:val="22"/>
          <w:szCs w:val="22"/>
          <w:lang w:eastAsia="es-CR"/>
        </w:rPr>
        <w:lastRenderedPageBreak/>
        <w:t>4.- De los demás asuntos que determine la ley”.</w:t>
      </w:r>
    </w:p>
    <w:p w14:paraId="12679A4B" w14:textId="77777777" w:rsidR="00534D88" w:rsidRPr="004E74A6" w:rsidRDefault="00534D88" w:rsidP="00CE62C1">
      <w:pPr>
        <w:spacing w:after="160" w:line="276" w:lineRule="auto"/>
        <w:rPr>
          <w:rFonts w:cs="Calibri"/>
          <w:color w:val="000000"/>
          <w:lang w:eastAsia="es-CR"/>
        </w:rPr>
      </w:pPr>
    </w:p>
    <w:p w14:paraId="599C8198" w14:textId="1219346C" w:rsidR="0080333B" w:rsidRPr="004E74A6" w:rsidRDefault="0080333B" w:rsidP="00CE62C1">
      <w:pPr>
        <w:spacing w:after="160" w:line="276" w:lineRule="auto"/>
        <w:rPr>
          <w:rFonts w:cs="Calibri"/>
          <w:color w:val="000000"/>
          <w:lang w:eastAsia="es-CR"/>
        </w:rPr>
      </w:pPr>
      <w:r w:rsidRPr="004E74A6">
        <w:rPr>
          <w:rFonts w:cs="Calibri"/>
          <w:color w:val="000000"/>
          <w:lang w:eastAsia="es-CR"/>
        </w:rPr>
        <w:t xml:space="preserve">Cabe mencionar lo indicado por el entonces gestor en materia el Lic. Greivin Steven Mora Alvarado según consta en el oficio 1913-PLA-EV-2020. </w:t>
      </w:r>
    </w:p>
    <w:p w14:paraId="2CA04C0D" w14:textId="1230A427" w:rsidR="0080333B" w:rsidRDefault="0080333B" w:rsidP="00CE62C1">
      <w:pPr>
        <w:spacing w:after="160" w:line="276" w:lineRule="auto"/>
        <w:ind w:left="567" w:right="618"/>
        <w:rPr>
          <w:rFonts w:cs="Book Antiqua"/>
          <w:i/>
          <w:iCs/>
          <w:color w:val="000000"/>
          <w:sz w:val="22"/>
          <w:szCs w:val="22"/>
          <w:lang w:eastAsia="es-CR"/>
        </w:rPr>
      </w:pPr>
      <w:r w:rsidRPr="004E74A6">
        <w:rPr>
          <w:rFonts w:cs="Calibri"/>
          <w:i/>
          <w:iCs/>
          <w:color w:val="000000"/>
          <w:sz w:val="22"/>
          <w:szCs w:val="22"/>
          <w:lang w:eastAsia="es-CR"/>
        </w:rPr>
        <w:t>“</w:t>
      </w:r>
      <w:r w:rsidRPr="004E74A6">
        <w:rPr>
          <w:rFonts w:cs="Book Antiqua"/>
          <w:i/>
          <w:iCs/>
          <w:color w:val="000000"/>
          <w:sz w:val="22"/>
          <w:szCs w:val="22"/>
          <w:lang w:eastAsia="es-CR"/>
        </w:rPr>
        <w:t xml:space="preserve">Se hace la salvedad, que según indica el Lic. Greivin Steven Mora Alvarado, Juez Gestor en materia Civil, en carpeta IP, como incidente solo se tramitan algunos procesos, otros se tramitan en el principal de conformidad con lo establecido en la circular 113-18, por ello, la proyección de la cuantía de los incidentes que se presentan en el principal solo podría proyectarse según el criterio experto de los gestores u otros jueces civiles”. </w:t>
      </w:r>
    </w:p>
    <w:p w14:paraId="6F161873" w14:textId="77777777" w:rsidR="00A822FB" w:rsidRPr="004E74A6" w:rsidRDefault="00A822FB" w:rsidP="00CE62C1">
      <w:pPr>
        <w:spacing w:after="160" w:line="276" w:lineRule="auto"/>
        <w:ind w:left="567" w:right="618"/>
        <w:rPr>
          <w:rFonts w:cs="Book Antiqua"/>
          <w:i/>
          <w:iCs/>
          <w:color w:val="000000"/>
          <w:sz w:val="22"/>
          <w:szCs w:val="22"/>
          <w:lang w:eastAsia="es-CR"/>
        </w:rPr>
      </w:pPr>
    </w:p>
    <w:p w14:paraId="0C6ADC07" w14:textId="4EA0C24B" w:rsidR="00BE5F58" w:rsidRPr="004E74A6" w:rsidRDefault="00430896" w:rsidP="00CE62C1">
      <w:pPr>
        <w:pStyle w:val="Estilo3"/>
      </w:pPr>
      <w:r w:rsidRPr="004E74A6">
        <w:t xml:space="preserve">Tribunales de Apelación en materia Civil </w:t>
      </w:r>
    </w:p>
    <w:p w14:paraId="473BE50E" w14:textId="1D029BBB" w:rsidR="007D6391" w:rsidRPr="004E74A6" w:rsidRDefault="008647ED" w:rsidP="00CE62C1">
      <w:pPr>
        <w:spacing w:after="160" w:line="276" w:lineRule="auto"/>
        <w:rPr>
          <w:rFonts w:cs="Calibri"/>
          <w:color w:val="000000"/>
          <w:szCs w:val="24"/>
          <w:lang w:eastAsia="es-CR"/>
        </w:rPr>
      </w:pPr>
      <w:r w:rsidRPr="004E74A6">
        <w:rPr>
          <w:rFonts w:cs="Calibri"/>
          <w:color w:val="000000"/>
          <w:szCs w:val="24"/>
          <w:lang w:eastAsia="es-CR"/>
        </w:rPr>
        <w:t xml:space="preserve">Seguidamente, se </w:t>
      </w:r>
      <w:r w:rsidR="007D6391" w:rsidRPr="004E74A6">
        <w:rPr>
          <w:rFonts w:cs="Calibri"/>
          <w:color w:val="000000"/>
          <w:szCs w:val="24"/>
          <w:lang w:eastAsia="es-CR"/>
        </w:rPr>
        <w:t>analizará el impacto en Tribunales de un cambio de cuantía en materia Civil, de aprobarse</w:t>
      </w:r>
      <w:r w:rsidR="00430896" w:rsidRPr="004E74A6">
        <w:rPr>
          <w:rFonts w:cs="Calibri"/>
          <w:color w:val="000000"/>
          <w:szCs w:val="24"/>
          <w:lang w:eastAsia="es-CR"/>
        </w:rPr>
        <w:t xml:space="preserve"> </w:t>
      </w:r>
      <w:r w:rsidR="007D6391" w:rsidRPr="004E74A6">
        <w:rPr>
          <w:rFonts w:cs="Calibri"/>
          <w:color w:val="000000"/>
          <w:szCs w:val="24"/>
          <w:lang w:eastAsia="es-CR"/>
        </w:rPr>
        <w:t xml:space="preserve">el escenario A. </w:t>
      </w:r>
    </w:p>
    <w:p w14:paraId="76D62F83" w14:textId="066EEA63" w:rsidR="007D6391" w:rsidRPr="004E74A6" w:rsidRDefault="007D6391" w:rsidP="00CE62C1">
      <w:pPr>
        <w:spacing w:after="160" w:line="276" w:lineRule="auto"/>
        <w:rPr>
          <w:rFonts w:cs="Calibri"/>
          <w:color w:val="000000"/>
          <w:szCs w:val="24"/>
          <w:lang w:eastAsia="es-CR"/>
        </w:rPr>
      </w:pPr>
      <w:r w:rsidRPr="004E74A6">
        <w:rPr>
          <w:rFonts w:cs="Calibri"/>
          <w:color w:val="000000"/>
          <w:szCs w:val="24"/>
          <w:lang w:eastAsia="es-CR"/>
        </w:rPr>
        <w:t xml:space="preserve">El impacto sería en la entrada de recursos de apelación contra sentencia, ya que los recursos contra resoluciones interlocutorias, se mantiene ante estos Tribunales independientemente de la cuantía o tipo de proceso. </w:t>
      </w:r>
    </w:p>
    <w:p w14:paraId="170E391A" w14:textId="5322713D" w:rsidR="00C04AA8" w:rsidRPr="004E74A6" w:rsidRDefault="008D751F" w:rsidP="00CE62C1">
      <w:pPr>
        <w:spacing w:after="160" w:line="276" w:lineRule="auto"/>
        <w:rPr>
          <w:rFonts w:cs="Calibri"/>
          <w:color w:val="000000"/>
          <w:szCs w:val="24"/>
          <w:lang w:eastAsia="es-CR"/>
        </w:rPr>
      </w:pPr>
      <w:r w:rsidRPr="004E74A6">
        <w:rPr>
          <w:rFonts w:cs="Calibri"/>
          <w:color w:val="000000"/>
          <w:szCs w:val="24"/>
          <w:lang w:eastAsia="es-CR"/>
        </w:rPr>
        <w:t>En el escenario A</w:t>
      </w:r>
      <w:r w:rsidR="00C04AA8" w:rsidRPr="004E74A6">
        <w:rPr>
          <w:rFonts w:cs="Calibri"/>
          <w:color w:val="000000"/>
          <w:szCs w:val="24"/>
          <w:lang w:eastAsia="es-CR"/>
        </w:rPr>
        <w:t xml:space="preserve">, independientemente de la versión, a estos Tribunales de Apelación Civil o Civil y Trabajo, se les incrementaría la entrada por apelación </w:t>
      </w:r>
      <w:r w:rsidR="00C04AA8" w:rsidRPr="004E74A6">
        <w:rPr>
          <w:rFonts w:cs="Calibri"/>
          <w:b/>
          <w:bCs/>
          <w:color w:val="000000"/>
          <w:szCs w:val="24"/>
          <w:u w:val="single"/>
          <w:lang w:eastAsia="es-CR"/>
        </w:rPr>
        <w:t xml:space="preserve">de sentencia </w:t>
      </w:r>
      <w:r w:rsidR="00C04AA8" w:rsidRPr="004E74A6">
        <w:rPr>
          <w:rFonts w:cs="Calibri"/>
          <w:color w:val="000000"/>
          <w:szCs w:val="24"/>
          <w:lang w:eastAsia="es-CR"/>
        </w:rPr>
        <w:t>en expedientes</w:t>
      </w:r>
      <w:r w:rsidR="000154EC" w:rsidRPr="004E74A6">
        <w:rPr>
          <w:rFonts w:cs="Calibri"/>
          <w:color w:val="000000"/>
          <w:szCs w:val="24"/>
          <w:lang w:eastAsia="es-CR"/>
        </w:rPr>
        <w:t xml:space="preserve"> </w:t>
      </w:r>
      <w:r w:rsidR="000154EC" w:rsidRPr="004E74A6">
        <w:rPr>
          <w:rFonts w:cs="Calibri"/>
          <w:b/>
          <w:bCs/>
          <w:color w:val="000000"/>
          <w:szCs w:val="24"/>
          <w:u w:val="single"/>
          <w:lang w:eastAsia="es-CR"/>
        </w:rPr>
        <w:t>ordinarios</w:t>
      </w:r>
      <w:r w:rsidR="0048792F" w:rsidRPr="004E74A6">
        <w:rPr>
          <w:rFonts w:cs="Calibri"/>
          <w:b/>
          <w:bCs/>
          <w:color w:val="000000"/>
          <w:szCs w:val="24"/>
          <w:u w:val="single"/>
          <w:lang w:eastAsia="es-CR"/>
        </w:rPr>
        <w:t xml:space="preserve"> civiles</w:t>
      </w:r>
      <w:r w:rsidR="00C04AA8" w:rsidRPr="004E74A6">
        <w:rPr>
          <w:rFonts w:cs="Calibri"/>
          <w:color w:val="000000"/>
          <w:szCs w:val="24"/>
          <w:lang w:eastAsia="es-CR"/>
        </w:rPr>
        <w:t xml:space="preserve"> </w:t>
      </w:r>
      <w:r w:rsidRPr="004E74A6">
        <w:rPr>
          <w:rFonts w:cs="Calibri"/>
          <w:color w:val="000000"/>
          <w:szCs w:val="24"/>
          <w:lang w:eastAsia="es-CR"/>
        </w:rPr>
        <w:t xml:space="preserve">cuya pretensión </w:t>
      </w:r>
      <w:r w:rsidR="00C04AA8" w:rsidRPr="004E74A6">
        <w:rPr>
          <w:rFonts w:cs="Calibri"/>
          <w:color w:val="000000"/>
          <w:szCs w:val="24"/>
          <w:lang w:eastAsia="es-CR"/>
        </w:rPr>
        <w:t>se estime</w:t>
      </w:r>
      <w:r w:rsidRPr="004E74A6">
        <w:rPr>
          <w:rFonts w:cs="Calibri"/>
          <w:color w:val="000000"/>
          <w:szCs w:val="24"/>
          <w:lang w:eastAsia="es-CR"/>
        </w:rPr>
        <w:t xml:space="preserve"> </w:t>
      </w:r>
      <w:r w:rsidR="00C04AA8" w:rsidRPr="004E74A6">
        <w:rPr>
          <w:rFonts w:cs="Calibri"/>
          <w:color w:val="000000"/>
          <w:szCs w:val="24"/>
          <w:lang w:eastAsia="es-CR"/>
        </w:rPr>
        <w:t xml:space="preserve">entre </w:t>
      </w:r>
      <w:r w:rsidR="00430896" w:rsidRPr="004E74A6">
        <w:rPr>
          <w:rFonts w:cs="Calibri"/>
          <w:b/>
          <w:bCs/>
          <w:color w:val="000000"/>
          <w:szCs w:val="24"/>
          <w:u w:val="single"/>
          <w:lang w:eastAsia="es-CR"/>
        </w:rPr>
        <w:t>¢1 a ¢20.000.000</w:t>
      </w:r>
      <w:r w:rsidR="0048792F" w:rsidRPr="004E74A6">
        <w:rPr>
          <w:rFonts w:cs="Calibri"/>
          <w:b/>
          <w:bCs/>
          <w:color w:val="000000"/>
          <w:szCs w:val="24"/>
          <w:u w:val="single"/>
          <w:lang w:eastAsia="es-CR"/>
        </w:rPr>
        <w:t xml:space="preserve"> por ejemplo</w:t>
      </w:r>
      <w:r w:rsidR="00430896" w:rsidRPr="004E74A6">
        <w:rPr>
          <w:rFonts w:cs="Calibri"/>
          <w:color w:val="000000"/>
          <w:szCs w:val="24"/>
          <w:lang w:eastAsia="es-CR"/>
        </w:rPr>
        <w:t xml:space="preserve">. Ya que los asuntos </w:t>
      </w:r>
      <w:r w:rsidR="004B7FA7" w:rsidRPr="004E74A6">
        <w:rPr>
          <w:rFonts w:cs="Calibri"/>
          <w:color w:val="000000"/>
          <w:szCs w:val="24"/>
          <w:lang w:eastAsia="es-CR"/>
        </w:rPr>
        <w:t xml:space="preserve">ordinarios </w:t>
      </w:r>
      <w:r w:rsidR="00430896" w:rsidRPr="004E74A6">
        <w:rPr>
          <w:rFonts w:cs="Calibri"/>
          <w:color w:val="000000"/>
          <w:szCs w:val="24"/>
          <w:lang w:eastAsia="es-CR"/>
        </w:rPr>
        <w:t xml:space="preserve">inestimables en los que se presente un recurso contra la sentencia mantendrían el acceso actual a casación ante Sala Primera.   </w:t>
      </w:r>
    </w:p>
    <w:p w14:paraId="75E31C95" w14:textId="515F7EF6" w:rsidR="00ED1E69" w:rsidRPr="004E74A6" w:rsidRDefault="00ED1E69" w:rsidP="00CE62C1">
      <w:pPr>
        <w:spacing w:after="160" w:line="276" w:lineRule="auto"/>
        <w:rPr>
          <w:rFonts w:cs="Calibri"/>
          <w:color w:val="000000"/>
          <w:szCs w:val="24"/>
          <w:lang w:eastAsia="es-CR"/>
        </w:rPr>
      </w:pPr>
      <w:r w:rsidRPr="004E74A6">
        <w:rPr>
          <w:rFonts w:cs="Calibri"/>
          <w:color w:val="000000"/>
          <w:szCs w:val="24"/>
          <w:lang w:eastAsia="es-CR"/>
        </w:rPr>
        <w:t>Se incrementaría la entrada también, en caso de aprobarse el escenario A.1, al existir mayor cantidad de asuntos clasificados como de menor cuantía, en donde todo punto apelado tendría recurso</w:t>
      </w:r>
      <w:r w:rsidR="00EF3ABF" w:rsidRPr="004E74A6">
        <w:rPr>
          <w:rFonts w:cs="Calibri"/>
          <w:color w:val="000000"/>
          <w:szCs w:val="24"/>
          <w:lang w:eastAsia="es-CR"/>
        </w:rPr>
        <w:t xml:space="preserve"> tanto en Civil como en Cobro Judicial</w:t>
      </w:r>
      <w:r w:rsidRPr="004E74A6">
        <w:rPr>
          <w:rFonts w:cs="Calibri"/>
          <w:color w:val="000000"/>
          <w:szCs w:val="24"/>
          <w:lang w:eastAsia="es-CR"/>
        </w:rPr>
        <w:t xml:space="preserve">. </w:t>
      </w:r>
    </w:p>
    <w:p w14:paraId="6FF48DD0" w14:textId="6E95AA07" w:rsidR="00427FA3" w:rsidRPr="004E74A6" w:rsidRDefault="00427FA3" w:rsidP="00CE62C1">
      <w:pPr>
        <w:spacing w:after="160" w:line="276" w:lineRule="auto"/>
        <w:rPr>
          <w:rFonts w:cs="Calibri"/>
          <w:color w:val="000000"/>
          <w:szCs w:val="24"/>
          <w:lang w:eastAsia="es-CR"/>
        </w:rPr>
      </w:pPr>
      <w:r w:rsidRPr="004E74A6">
        <w:rPr>
          <w:rFonts w:cs="Calibri"/>
          <w:color w:val="000000"/>
          <w:szCs w:val="24"/>
          <w:lang w:eastAsia="es-CR"/>
        </w:rPr>
        <w:t>En lo que respecta a incidente, solamente tendrían afectación de aprobarse el escenario A.1.</w:t>
      </w:r>
    </w:p>
    <w:p w14:paraId="5E438112" w14:textId="77777777" w:rsidR="00A822FB" w:rsidRDefault="00A822FB" w:rsidP="00CE62C1">
      <w:pPr>
        <w:spacing w:after="160" w:line="276" w:lineRule="auto"/>
        <w:rPr>
          <w:rFonts w:cs="Calibri"/>
          <w:color w:val="000000"/>
          <w:szCs w:val="24"/>
          <w:lang w:eastAsia="es-CR"/>
        </w:rPr>
      </w:pPr>
    </w:p>
    <w:p w14:paraId="5DE09529" w14:textId="3DB4DB07" w:rsidR="002028C8" w:rsidRPr="004E74A6" w:rsidRDefault="004B7FA7" w:rsidP="00CE62C1">
      <w:pPr>
        <w:spacing w:after="160" w:line="276" w:lineRule="auto"/>
        <w:rPr>
          <w:rFonts w:cs="Calibri"/>
          <w:color w:val="000000"/>
          <w:szCs w:val="24"/>
          <w:lang w:eastAsia="es-CR"/>
        </w:rPr>
      </w:pPr>
      <w:r w:rsidRPr="004E74A6">
        <w:rPr>
          <w:rFonts w:cs="Calibri"/>
          <w:color w:val="000000"/>
          <w:szCs w:val="24"/>
          <w:lang w:eastAsia="es-CR"/>
        </w:rPr>
        <w:lastRenderedPageBreak/>
        <w:t xml:space="preserve">Actualmente a nivel de sistema no se cuenta con un reporte que desglose el tipo de apelación e identificarlos así en la </w:t>
      </w:r>
      <w:r w:rsidRPr="004E74A6">
        <w:rPr>
          <w:rFonts w:cs="Calibri"/>
          <w:b/>
          <w:bCs/>
          <w:color w:val="000000"/>
          <w:szCs w:val="24"/>
          <w:u w:val="single"/>
          <w:lang w:eastAsia="es-CR"/>
        </w:rPr>
        <w:t>estadística de los Tribunales de Apelación</w:t>
      </w:r>
      <w:r w:rsidRPr="004E74A6">
        <w:rPr>
          <w:rFonts w:cs="Calibri"/>
          <w:color w:val="000000"/>
          <w:szCs w:val="24"/>
          <w:lang w:eastAsia="es-CR"/>
        </w:rPr>
        <w:t xml:space="preserve"> competentes en materia Civil</w:t>
      </w:r>
      <w:r w:rsidR="00CF7FF6" w:rsidRPr="004E74A6">
        <w:rPr>
          <w:rFonts w:cs="Calibri"/>
          <w:color w:val="000000"/>
          <w:szCs w:val="24"/>
          <w:lang w:eastAsia="es-CR"/>
        </w:rPr>
        <w:t>, para conocer si el recurso es contra sentencia o contra una resolución interlocutoria</w:t>
      </w:r>
      <w:r w:rsidR="002028C8" w:rsidRPr="004E74A6">
        <w:rPr>
          <w:rFonts w:cs="Calibri"/>
          <w:color w:val="000000"/>
          <w:szCs w:val="24"/>
          <w:lang w:eastAsia="es-CR"/>
        </w:rPr>
        <w:t xml:space="preserve">.  </w:t>
      </w:r>
    </w:p>
    <w:p w14:paraId="259617E4" w14:textId="36C26B7B" w:rsidR="002028C8" w:rsidRPr="004E74A6" w:rsidRDefault="009747AA" w:rsidP="00CE62C1">
      <w:pPr>
        <w:spacing w:after="160" w:line="276" w:lineRule="auto"/>
        <w:rPr>
          <w:rFonts w:cs="Calibri"/>
          <w:color w:val="000000"/>
          <w:szCs w:val="24"/>
          <w:lang w:eastAsia="es-CR"/>
        </w:rPr>
      </w:pPr>
      <w:r>
        <w:rPr>
          <w:rFonts w:cs="Calibri"/>
          <w:color w:val="000000"/>
          <w:szCs w:val="24"/>
          <w:lang w:eastAsia="es-CR"/>
        </w:rPr>
        <w:t>E</w:t>
      </w:r>
      <w:r w:rsidR="002028C8" w:rsidRPr="004E74A6">
        <w:rPr>
          <w:rFonts w:cs="Calibri"/>
          <w:color w:val="000000"/>
          <w:szCs w:val="24"/>
          <w:lang w:eastAsia="es-CR"/>
        </w:rPr>
        <w:t xml:space="preserve">n la estadística de la Sala Primera, del reporte de cuantía puede obtener el dato de la entrada </w:t>
      </w:r>
      <w:r w:rsidR="002E12A1" w:rsidRPr="004E74A6">
        <w:rPr>
          <w:rFonts w:cs="Calibri"/>
          <w:color w:val="000000"/>
          <w:szCs w:val="24"/>
          <w:lang w:eastAsia="es-CR"/>
        </w:rPr>
        <w:t>general,</w:t>
      </w:r>
      <w:r w:rsidR="002028C8" w:rsidRPr="004E74A6">
        <w:rPr>
          <w:rFonts w:cs="Calibri"/>
          <w:color w:val="000000"/>
          <w:szCs w:val="24"/>
          <w:lang w:eastAsia="es-CR"/>
        </w:rPr>
        <w:t xml:space="preserve"> pero sin oficina de procedencia, y en el informe anual o balance de la Sala puede obtener el dato de la </w:t>
      </w:r>
      <w:r w:rsidR="002E12A1" w:rsidRPr="004E74A6">
        <w:rPr>
          <w:rFonts w:cs="Calibri"/>
          <w:color w:val="000000"/>
          <w:szCs w:val="24"/>
          <w:lang w:eastAsia="es-CR"/>
        </w:rPr>
        <w:t>procedencia,</w:t>
      </w:r>
      <w:r w:rsidR="002028C8" w:rsidRPr="004E74A6">
        <w:rPr>
          <w:rFonts w:cs="Calibri"/>
          <w:color w:val="000000"/>
          <w:szCs w:val="24"/>
          <w:lang w:eastAsia="es-CR"/>
        </w:rPr>
        <w:t xml:space="preserve"> pero no distribuido por cuantía. </w:t>
      </w:r>
    </w:p>
    <w:p w14:paraId="2BE79077" w14:textId="6B5F03E1" w:rsidR="004B7FA7" w:rsidRPr="004E74A6" w:rsidRDefault="002028C8" w:rsidP="00CE62C1">
      <w:pPr>
        <w:spacing w:after="160" w:line="276" w:lineRule="auto"/>
        <w:rPr>
          <w:rFonts w:cs="Calibri"/>
          <w:b/>
          <w:bCs/>
          <w:color w:val="000000"/>
          <w:szCs w:val="24"/>
          <w:u w:val="single"/>
          <w:lang w:eastAsia="es-CR"/>
        </w:rPr>
      </w:pPr>
      <w:r w:rsidRPr="004E74A6">
        <w:rPr>
          <w:rFonts w:cs="Calibri"/>
          <w:color w:val="000000"/>
          <w:szCs w:val="24"/>
          <w:lang w:eastAsia="es-CR"/>
        </w:rPr>
        <w:t xml:space="preserve">Sin embargo, </w:t>
      </w:r>
      <w:r w:rsidR="004B7FA7" w:rsidRPr="004E74A6">
        <w:rPr>
          <w:rFonts w:cs="Calibri"/>
          <w:color w:val="000000"/>
          <w:szCs w:val="24"/>
          <w:lang w:eastAsia="es-CR"/>
        </w:rPr>
        <w:t xml:space="preserve">estadísticamente la entrada de recursos </w:t>
      </w:r>
      <w:r w:rsidR="004B7FA7" w:rsidRPr="004E74A6">
        <w:rPr>
          <w:rFonts w:cs="Calibri"/>
          <w:b/>
          <w:bCs/>
          <w:color w:val="000000"/>
          <w:szCs w:val="24"/>
          <w:u w:val="single"/>
          <w:lang w:eastAsia="es-CR"/>
        </w:rPr>
        <w:t xml:space="preserve">de casación civiles </w:t>
      </w:r>
      <w:r w:rsidR="0084136E" w:rsidRPr="004E74A6">
        <w:rPr>
          <w:rFonts w:cs="Calibri"/>
          <w:b/>
          <w:bCs/>
          <w:color w:val="000000"/>
          <w:szCs w:val="24"/>
          <w:u w:val="single"/>
          <w:lang w:eastAsia="es-CR"/>
        </w:rPr>
        <w:t xml:space="preserve">estimables </w:t>
      </w:r>
      <w:r w:rsidR="004B7FA7" w:rsidRPr="004E74A6">
        <w:rPr>
          <w:rFonts w:cs="Calibri"/>
          <w:b/>
          <w:bCs/>
          <w:color w:val="000000"/>
          <w:szCs w:val="24"/>
          <w:u w:val="single"/>
          <w:lang w:eastAsia="es-CR"/>
        </w:rPr>
        <w:t>ingresados en S</w:t>
      </w:r>
      <w:r w:rsidR="002F4275" w:rsidRPr="004E74A6">
        <w:rPr>
          <w:rFonts w:cs="Calibri"/>
          <w:b/>
          <w:bCs/>
          <w:color w:val="000000"/>
          <w:szCs w:val="24"/>
          <w:u w:val="single"/>
          <w:lang w:eastAsia="es-CR"/>
        </w:rPr>
        <w:t>a</w:t>
      </w:r>
      <w:r w:rsidR="004B7FA7" w:rsidRPr="004E74A6">
        <w:rPr>
          <w:rFonts w:cs="Calibri"/>
          <w:b/>
          <w:bCs/>
          <w:color w:val="000000"/>
          <w:szCs w:val="24"/>
          <w:u w:val="single"/>
          <w:lang w:eastAsia="es-CR"/>
        </w:rPr>
        <w:t>la Primera</w:t>
      </w:r>
      <w:r w:rsidR="00D63BD7" w:rsidRPr="004E74A6">
        <w:rPr>
          <w:rFonts w:cs="Calibri"/>
          <w:b/>
          <w:bCs/>
          <w:color w:val="000000"/>
          <w:szCs w:val="24"/>
          <w:u w:val="single"/>
          <w:lang w:eastAsia="es-CR"/>
        </w:rPr>
        <w:t xml:space="preserve"> en el rango de ¢3.000.001 a ¢20.000.000 </w:t>
      </w:r>
      <w:r w:rsidR="00ED1E69" w:rsidRPr="004E74A6">
        <w:rPr>
          <w:rFonts w:cs="Calibri"/>
          <w:b/>
          <w:bCs/>
          <w:color w:val="000000"/>
          <w:szCs w:val="24"/>
          <w:u w:val="single"/>
          <w:lang w:eastAsia="es-CR"/>
        </w:rPr>
        <w:t xml:space="preserve">se </w:t>
      </w:r>
      <w:r w:rsidR="00D63BD7" w:rsidRPr="004E74A6">
        <w:rPr>
          <w:rFonts w:cs="Calibri"/>
          <w:b/>
          <w:bCs/>
          <w:color w:val="000000"/>
          <w:szCs w:val="24"/>
          <w:u w:val="single"/>
          <w:lang w:eastAsia="es-CR"/>
        </w:rPr>
        <w:t>pued</w:t>
      </w:r>
      <w:r w:rsidR="00ED1E69" w:rsidRPr="004E74A6">
        <w:rPr>
          <w:rFonts w:cs="Calibri"/>
          <w:b/>
          <w:bCs/>
          <w:color w:val="000000"/>
          <w:szCs w:val="24"/>
          <w:u w:val="single"/>
          <w:lang w:eastAsia="es-CR"/>
        </w:rPr>
        <w:t>e</w:t>
      </w:r>
      <w:r w:rsidR="00D63BD7" w:rsidRPr="004E74A6">
        <w:rPr>
          <w:rFonts w:cs="Calibri"/>
          <w:b/>
          <w:bCs/>
          <w:color w:val="000000"/>
          <w:szCs w:val="24"/>
          <w:u w:val="single"/>
          <w:lang w:eastAsia="es-CR"/>
        </w:rPr>
        <w:t xml:space="preserve"> obtener de la tabla </w:t>
      </w:r>
      <w:r w:rsidR="001372CE" w:rsidRPr="004E74A6">
        <w:rPr>
          <w:rFonts w:cs="Calibri"/>
          <w:b/>
          <w:bCs/>
          <w:color w:val="000000"/>
          <w:szCs w:val="24"/>
          <w:u w:val="single"/>
          <w:lang w:eastAsia="es-CR"/>
        </w:rPr>
        <w:t>66</w:t>
      </w:r>
      <w:r w:rsidR="00D63BD7" w:rsidRPr="004E74A6">
        <w:rPr>
          <w:rFonts w:cs="Calibri"/>
          <w:b/>
          <w:bCs/>
          <w:color w:val="000000"/>
          <w:szCs w:val="24"/>
          <w:u w:val="single"/>
          <w:lang w:eastAsia="es-CR"/>
        </w:rPr>
        <w:t xml:space="preserve"> de</w:t>
      </w:r>
      <w:r w:rsidR="00CF591B" w:rsidRPr="004E74A6">
        <w:rPr>
          <w:rFonts w:cs="Calibri"/>
          <w:b/>
          <w:bCs/>
          <w:color w:val="000000"/>
          <w:szCs w:val="24"/>
          <w:u w:val="single"/>
          <w:lang w:eastAsia="es-CR"/>
        </w:rPr>
        <w:t>l</w:t>
      </w:r>
      <w:r w:rsidR="001372CE" w:rsidRPr="004E74A6">
        <w:rPr>
          <w:rFonts w:cs="Calibri"/>
          <w:b/>
          <w:bCs/>
          <w:color w:val="000000"/>
          <w:szCs w:val="24"/>
          <w:u w:val="single"/>
          <w:lang w:eastAsia="es-CR"/>
        </w:rPr>
        <w:t xml:space="preserve"> presente</w:t>
      </w:r>
      <w:r w:rsidR="00D63BD7" w:rsidRPr="004E74A6">
        <w:rPr>
          <w:rFonts w:cs="Calibri"/>
          <w:b/>
          <w:bCs/>
          <w:color w:val="000000"/>
          <w:szCs w:val="24"/>
          <w:u w:val="single"/>
          <w:lang w:eastAsia="es-CR"/>
        </w:rPr>
        <w:t xml:space="preserve"> oficio</w:t>
      </w:r>
      <w:r w:rsidR="002F4275" w:rsidRPr="004E74A6">
        <w:rPr>
          <w:rFonts w:cs="Calibri"/>
          <w:b/>
          <w:bCs/>
          <w:color w:val="000000"/>
          <w:szCs w:val="24"/>
          <w:u w:val="single"/>
          <w:lang w:eastAsia="es-CR"/>
        </w:rPr>
        <w:t>.</w:t>
      </w:r>
    </w:p>
    <w:p w14:paraId="17DCC2FB" w14:textId="3093AD0B" w:rsidR="002028C8" w:rsidRPr="004E74A6" w:rsidRDefault="003454D3" w:rsidP="00CE62C1">
      <w:pPr>
        <w:tabs>
          <w:tab w:val="left" w:pos="3810"/>
        </w:tabs>
        <w:spacing w:after="160" w:line="276" w:lineRule="auto"/>
        <w:rPr>
          <w:rFonts w:cs="Calibri"/>
          <w:color w:val="000000"/>
          <w:szCs w:val="24"/>
          <w:lang w:eastAsia="es-CR"/>
        </w:rPr>
      </w:pPr>
      <w:r w:rsidRPr="004E74A6">
        <w:rPr>
          <w:rFonts w:cs="Calibri"/>
          <w:color w:val="000000"/>
          <w:szCs w:val="24"/>
          <w:lang w:eastAsia="es-CR"/>
        </w:rPr>
        <w:t xml:space="preserve">De las </w:t>
      </w:r>
      <w:r w:rsidR="0084136E" w:rsidRPr="004E74A6">
        <w:rPr>
          <w:rFonts w:cs="Calibri"/>
          <w:color w:val="000000"/>
          <w:szCs w:val="24"/>
          <w:lang w:eastAsia="es-CR"/>
        </w:rPr>
        <w:t>36</w:t>
      </w:r>
      <w:r w:rsidR="00CF591B" w:rsidRPr="004E74A6">
        <w:rPr>
          <w:rFonts w:cs="Calibri"/>
          <w:color w:val="000000"/>
          <w:szCs w:val="24"/>
          <w:lang w:eastAsia="es-CR"/>
        </w:rPr>
        <w:t>0</w:t>
      </w:r>
      <w:r w:rsidR="00D63BD7" w:rsidRPr="004E74A6">
        <w:rPr>
          <w:rFonts w:cs="Calibri"/>
          <w:color w:val="000000"/>
          <w:szCs w:val="24"/>
          <w:lang w:eastAsia="es-CR"/>
        </w:rPr>
        <w:t xml:space="preserve"> casaciones civiles </w:t>
      </w:r>
      <w:r w:rsidRPr="004E74A6">
        <w:rPr>
          <w:rFonts w:cs="Calibri"/>
          <w:color w:val="000000"/>
          <w:szCs w:val="24"/>
          <w:lang w:eastAsia="es-CR"/>
        </w:rPr>
        <w:t xml:space="preserve">estimables </w:t>
      </w:r>
      <w:r w:rsidR="00D63BD7" w:rsidRPr="004E74A6">
        <w:rPr>
          <w:rFonts w:cs="Calibri"/>
          <w:color w:val="000000"/>
          <w:szCs w:val="24"/>
          <w:lang w:eastAsia="es-CR"/>
        </w:rPr>
        <w:t>por año</w:t>
      </w:r>
      <w:r w:rsidRPr="004E74A6">
        <w:rPr>
          <w:rFonts w:cs="Calibri"/>
          <w:color w:val="000000"/>
          <w:szCs w:val="24"/>
          <w:lang w:eastAsia="es-CR"/>
        </w:rPr>
        <w:t xml:space="preserve"> que ingresan a la Sala Primera</w:t>
      </w:r>
      <w:r w:rsidR="00D63BD7" w:rsidRPr="004E74A6">
        <w:rPr>
          <w:rFonts w:cs="Calibri"/>
          <w:color w:val="000000"/>
          <w:szCs w:val="24"/>
          <w:lang w:eastAsia="es-CR"/>
        </w:rPr>
        <w:t xml:space="preserve">, en el rango de </w:t>
      </w:r>
      <w:r w:rsidR="00D63BD7" w:rsidRPr="004E74A6">
        <w:rPr>
          <w:rFonts w:cs="Calibri"/>
          <w:b/>
          <w:bCs/>
          <w:color w:val="000000"/>
          <w:szCs w:val="24"/>
          <w:u w:val="single"/>
          <w:lang w:eastAsia="es-CR"/>
        </w:rPr>
        <w:t xml:space="preserve">¢3.000.001 a ¢20.000.000 en promedio ingresan </w:t>
      </w:r>
      <w:r w:rsidR="00CF591B" w:rsidRPr="004E74A6">
        <w:rPr>
          <w:rFonts w:cs="Calibri"/>
          <w:b/>
          <w:bCs/>
          <w:color w:val="000000"/>
          <w:szCs w:val="24"/>
          <w:u w:val="single"/>
          <w:lang w:eastAsia="es-CR"/>
        </w:rPr>
        <w:t>1</w:t>
      </w:r>
      <w:r w:rsidR="0084136E" w:rsidRPr="004E74A6">
        <w:rPr>
          <w:rFonts w:cs="Calibri"/>
          <w:b/>
          <w:bCs/>
          <w:color w:val="000000"/>
          <w:szCs w:val="24"/>
          <w:u w:val="single"/>
          <w:lang w:eastAsia="es-CR"/>
        </w:rPr>
        <w:t>4</w:t>
      </w:r>
      <w:r w:rsidR="00CF591B" w:rsidRPr="004E74A6">
        <w:rPr>
          <w:rFonts w:cs="Calibri"/>
          <w:b/>
          <w:bCs/>
          <w:color w:val="000000"/>
          <w:szCs w:val="24"/>
          <w:u w:val="single"/>
          <w:lang w:eastAsia="es-CR"/>
        </w:rPr>
        <w:t>3</w:t>
      </w:r>
      <w:r w:rsidR="00E375D4" w:rsidRPr="004E74A6">
        <w:rPr>
          <w:rStyle w:val="Refdenotaalpie"/>
          <w:b/>
          <w:bCs/>
          <w:color w:val="000000"/>
          <w:szCs w:val="24"/>
          <w:u w:val="single"/>
          <w:lang w:eastAsia="es-CR"/>
        </w:rPr>
        <w:footnoteReference w:id="26"/>
      </w:r>
      <w:r w:rsidR="0084136E" w:rsidRPr="004E74A6">
        <w:rPr>
          <w:rFonts w:cs="Calibri"/>
          <w:b/>
          <w:bCs/>
          <w:color w:val="000000"/>
          <w:szCs w:val="24"/>
          <w:u w:val="single"/>
          <w:lang w:eastAsia="es-CR"/>
        </w:rPr>
        <w:t>.</w:t>
      </w:r>
      <w:r w:rsidR="00D63BD7" w:rsidRPr="004E74A6">
        <w:rPr>
          <w:rFonts w:cs="Calibri"/>
          <w:b/>
          <w:bCs/>
          <w:color w:val="000000"/>
          <w:szCs w:val="24"/>
          <w:u w:val="single"/>
          <w:lang w:eastAsia="es-CR"/>
        </w:rPr>
        <w:t xml:space="preserve"> En esos </w:t>
      </w:r>
      <w:r w:rsidR="0084136E" w:rsidRPr="004E74A6">
        <w:rPr>
          <w:rFonts w:cs="Calibri"/>
          <w:b/>
          <w:bCs/>
          <w:color w:val="000000"/>
          <w:szCs w:val="24"/>
          <w:u w:val="single"/>
          <w:lang w:eastAsia="es-CR"/>
        </w:rPr>
        <w:t>143</w:t>
      </w:r>
      <w:r w:rsidR="00D63BD7" w:rsidRPr="004E74A6">
        <w:rPr>
          <w:rFonts w:cs="Calibri"/>
          <w:b/>
          <w:bCs/>
          <w:color w:val="000000"/>
          <w:szCs w:val="24"/>
          <w:u w:val="single"/>
          <w:lang w:eastAsia="es-CR"/>
        </w:rPr>
        <w:t xml:space="preserve"> asuntos van a incrementar la cantidad de apelaciones de sentencia que resolverán unipersonalmente. </w:t>
      </w:r>
      <w:r w:rsidR="0062178C" w:rsidRPr="00832773">
        <w:rPr>
          <w:rFonts w:cs="Calibri"/>
          <w:color w:val="000000"/>
          <w:szCs w:val="24"/>
          <w:lang w:eastAsia="es-CR"/>
        </w:rPr>
        <w:t>Si se considera el rango de ¢1 a ¢20.000.000 el ingreso promedio es de 153 casaciones por año.</w:t>
      </w:r>
      <w:r w:rsidR="0062178C" w:rsidRPr="004E74A6">
        <w:rPr>
          <w:rFonts w:cs="Calibri"/>
          <w:b/>
          <w:bCs/>
          <w:color w:val="000000"/>
          <w:szCs w:val="24"/>
          <w:u w:val="single"/>
          <w:lang w:eastAsia="es-CR"/>
        </w:rPr>
        <w:t xml:space="preserve"> </w:t>
      </w:r>
    </w:p>
    <w:p w14:paraId="5FE988F5" w14:textId="77777777" w:rsidR="00E14D22" w:rsidRPr="004E74A6" w:rsidRDefault="00E14D22" w:rsidP="00832773">
      <w:pPr>
        <w:spacing w:line="276" w:lineRule="auto"/>
        <w:rPr>
          <w:rFonts w:cs="Calibri"/>
          <w:color w:val="000000" w:themeColor="text1"/>
          <w:lang w:eastAsia="es-CR"/>
        </w:rPr>
      </w:pPr>
    </w:p>
    <w:p w14:paraId="1D37F673" w14:textId="3724BCF5" w:rsidR="00E14D22" w:rsidRPr="004E74A6" w:rsidRDefault="00E14D22" w:rsidP="00CE62C1">
      <w:pPr>
        <w:spacing w:after="160" w:line="276" w:lineRule="auto"/>
        <w:rPr>
          <w:rFonts w:cs="Calibri"/>
          <w:color w:val="000000" w:themeColor="text1"/>
          <w:lang w:eastAsia="es-CR"/>
        </w:rPr>
      </w:pPr>
      <w:r w:rsidRPr="004E74A6">
        <w:rPr>
          <w:rFonts w:cs="Calibri"/>
          <w:color w:val="000000" w:themeColor="text1"/>
          <w:lang w:eastAsia="es-CR"/>
        </w:rPr>
        <w:t>El detalle de la cuantía de los recursos e incidentes ingresados en cada Tribunal de Apelación se detall</w:t>
      </w:r>
      <w:r w:rsidR="001372CE" w:rsidRPr="004E74A6">
        <w:rPr>
          <w:rFonts w:cs="Calibri"/>
          <w:color w:val="000000" w:themeColor="text1"/>
          <w:lang w:eastAsia="es-CR"/>
        </w:rPr>
        <w:t>ó</w:t>
      </w:r>
      <w:r w:rsidRPr="004E74A6">
        <w:rPr>
          <w:rFonts w:cs="Calibri"/>
          <w:color w:val="000000" w:themeColor="text1"/>
          <w:lang w:eastAsia="es-CR"/>
        </w:rPr>
        <w:t xml:space="preserve"> en el anexo 1</w:t>
      </w:r>
      <w:r w:rsidR="00D2133F" w:rsidRPr="004E74A6">
        <w:rPr>
          <w:rFonts w:cs="Calibri"/>
          <w:color w:val="000000" w:themeColor="text1"/>
          <w:lang w:eastAsia="es-CR"/>
        </w:rPr>
        <w:t>3</w:t>
      </w:r>
      <w:r w:rsidRPr="004E74A6">
        <w:rPr>
          <w:rFonts w:cs="Calibri"/>
          <w:color w:val="000000" w:themeColor="text1"/>
          <w:lang w:eastAsia="es-CR"/>
        </w:rPr>
        <w:t>, se aclar</w:t>
      </w:r>
      <w:r w:rsidR="00587741" w:rsidRPr="004E74A6">
        <w:rPr>
          <w:rFonts w:cs="Calibri"/>
          <w:color w:val="000000" w:themeColor="text1"/>
          <w:lang w:eastAsia="es-CR"/>
        </w:rPr>
        <w:t>ó</w:t>
      </w:r>
      <w:r w:rsidRPr="004E74A6">
        <w:rPr>
          <w:rFonts w:cs="Calibri"/>
          <w:color w:val="000000" w:themeColor="text1"/>
          <w:lang w:eastAsia="es-CR"/>
        </w:rPr>
        <w:t xml:space="preserve"> </w:t>
      </w:r>
      <w:r w:rsidR="004A75C6" w:rsidRPr="004E74A6">
        <w:rPr>
          <w:rFonts w:cs="Calibri"/>
          <w:color w:val="000000" w:themeColor="text1"/>
          <w:lang w:eastAsia="es-CR"/>
        </w:rPr>
        <w:t>que,</w:t>
      </w:r>
      <w:r w:rsidRPr="004E74A6">
        <w:rPr>
          <w:rFonts w:cs="Calibri"/>
          <w:color w:val="000000" w:themeColor="text1"/>
          <w:lang w:eastAsia="es-CR"/>
        </w:rPr>
        <w:t xml:space="preserve"> en el rango de cuantía, cuando se visualizan expedientes clasificados como “</w:t>
      </w:r>
      <w:r w:rsidRPr="004E74A6">
        <w:rPr>
          <w:rFonts w:cs="Calibri"/>
          <w:i/>
          <w:iCs/>
          <w:color w:val="000000" w:themeColor="text1"/>
          <w:lang w:eastAsia="es-CR"/>
        </w:rPr>
        <w:t>exp</w:t>
      </w:r>
      <w:r w:rsidR="00A40F26" w:rsidRPr="004E74A6">
        <w:rPr>
          <w:rFonts w:cs="Calibri"/>
          <w:i/>
          <w:iCs/>
          <w:color w:val="000000" w:themeColor="text1"/>
          <w:lang w:eastAsia="es-CR"/>
        </w:rPr>
        <w:t>edientes</w:t>
      </w:r>
      <w:r w:rsidRPr="004E74A6">
        <w:rPr>
          <w:rFonts w:cs="Calibri"/>
          <w:i/>
          <w:iCs/>
          <w:color w:val="000000" w:themeColor="text1"/>
          <w:lang w:eastAsia="es-CR"/>
        </w:rPr>
        <w:t xml:space="preserve"> cuantía cero</w:t>
      </w:r>
      <w:r w:rsidRPr="004E74A6">
        <w:rPr>
          <w:rFonts w:cs="Calibri"/>
          <w:color w:val="000000" w:themeColor="text1"/>
          <w:lang w:eastAsia="es-CR"/>
        </w:rPr>
        <w:t>” se debe a que son asuntos que los juzgados indicaron como estimables e</w:t>
      </w:r>
      <w:r w:rsidR="00A40F26" w:rsidRPr="004E74A6">
        <w:rPr>
          <w:rFonts w:cs="Calibri"/>
          <w:color w:val="000000" w:themeColor="text1"/>
          <w:lang w:eastAsia="es-CR"/>
        </w:rPr>
        <w:t>l</w:t>
      </w:r>
      <w:r w:rsidRPr="004E74A6">
        <w:rPr>
          <w:rFonts w:cs="Calibri"/>
          <w:color w:val="000000" w:themeColor="text1"/>
          <w:lang w:eastAsia="es-CR"/>
        </w:rPr>
        <w:t xml:space="preserve"> tipo de cuantía, pero la variable rango no la completaron. </w:t>
      </w:r>
      <w:r w:rsidR="004A75C6" w:rsidRPr="004E74A6">
        <w:rPr>
          <w:rFonts w:cs="Calibri"/>
          <w:color w:val="000000" w:themeColor="text1"/>
          <w:lang w:eastAsia="es-CR"/>
        </w:rPr>
        <w:t>Igualmente,</w:t>
      </w:r>
      <w:r w:rsidRPr="004E74A6">
        <w:rPr>
          <w:rFonts w:cs="Calibri"/>
          <w:color w:val="000000" w:themeColor="text1"/>
          <w:lang w:eastAsia="es-CR"/>
        </w:rPr>
        <w:t xml:space="preserve"> los asuntos que se </w:t>
      </w:r>
      <w:r w:rsidR="00A40F26" w:rsidRPr="004E74A6">
        <w:rPr>
          <w:rFonts w:cs="Calibri"/>
          <w:color w:val="000000" w:themeColor="text1"/>
          <w:lang w:eastAsia="es-CR"/>
        </w:rPr>
        <w:t>reportan</w:t>
      </w:r>
      <w:r w:rsidRPr="004E74A6">
        <w:rPr>
          <w:rFonts w:cs="Calibri"/>
          <w:color w:val="000000" w:themeColor="text1"/>
          <w:lang w:eastAsia="es-CR"/>
        </w:rPr>
        <w:t xml:space="preserve"> como “</w:t>
      </w:r>
      <w:r w:rsidRPr="004E74A6">
        <w:rPr>
          <w:rFonts w:cs="Calibri"/>
          <w:i/>
          <w:iCs/>
          <w:color w:val="000000" w:themeColor="text1"/>
          <w:lang w:eastAsia="es-CR"/>
        </w:rPr>
        <w:t>sin actualizar”,</w:t>
      </w:r>
      <w:r w:rsidRPr="004E74A6">
        <w:rPr>
          <w:rFonts w:cs="Calibri"/>
          <w:color w:val="000000" w:themeColor="text1"/>
          <w:lang w:eastAsia="es-CR"/>
        </w:rPr>
        <w:t xml:space="preserve"> es porque no completaron la información, pero esta situación se corrigió a partir de 2021 cuando DTI ligó ambos campos como mejora en el sistema, entonces en este momento si un despacho escoge la variable estimable obligatoriamente el sistema le pide seleccionar el rango. </w:t>
      </w:r>
    </w:p>
    <w:p w14:paraId="31D929F8" w14:textId="0CEBF47D" w:rsidR="00E14D22" w:rsidRPr="004E74A6" w:rsidRDefault="00E14D22" w:rsidP="00CE62C1">
      <w:pPr>
        <w:spacing w:after="160" w:line="276" w:lineRule="auto"/>
        <w:rPr>
          <w:rFonts w:cs="Calibri"/>
          <w:color w:val="000000" w:themeColor="text1"/>
          <w:lang w:eastAsia="es-CR"/>
        </w:rPr>
      </w:pPr>
      <w:r w:rsidRPr="004E74A6">
        <w:rPr>
          <w:rFonts w:cs="Calibri"/>
          <w:color w:val="000000" w:themeColor="text1"/>
          <w:lang w:eastAsia="es-CR"/>
        </w:rPr>
        <w:t xml:space="preserve">La diferencia mínima de datos entre el obtenido del reporte de cuantía y del reporte anual de SIGMA, se debe a las fechas de carga de la herramienta.  Se observan los incidentes ingresados como carpeta IP, </w:t>
      </w:r>
      <w:r w:rsidR="006940F0" w:rsidRPr="004E74A6">
        <w:rPr>
          <w:rFonts w:cs="Calibri"/>
          <w:color w:val="000000" w:themeColor="text1"/>
          <w:lang w:eastAsia="es-CR"/>
        </w:rPr>
        <w:t>ya que,</w:t>
      </w:r>
      <w:r w:rsidRPr="004E74A6">
        <w:rPr>
          <w:rFonts w:cs="Calibri"/>
          <w:color w:val="000000" w:themeColor="text1"/>
          <w:lang w:eastAsia="es-CR"/>
        </w:rPr>
        <w:t xml:space="preserve"> si los presentaron y resolvieron </w:t>
      </w:r>
      <w:r w:rsidRPr="004E74A6">
        <w:rPr>
          <w:rFonts w:cs="Calibri"/>
          <w:color w:val="000000" w:themeColor="text1"/>
          <w:lang w:eastAsia="es-CR"/>
        </w:rPr>
        <w:lastRenderedPageBreak/>
        <w:t xml:space="preserve">dentro de la carpeta principal, no es posible obtener el dato a través de ningún reporte del sistema. </w:t>
      </w:r>
    </w:p>
    <w:p w14:paraId="41B1B7B7" w14:textId="6701F804" w:rsidR="00FD0CE2" w:rsidRPr="004E74A6" w:rsidRDefault="006940F0" w:rsidP="00CE62C1">
      <w:pPr>
        <w:spacing w:after="160" w:line="276" w:lineRule="auto"/>
        <w:rPr>
          <w:rFonts w:cs="Calibri"/>
          <w:color w:val="000000"/>
          <w:szCs w:val="24"/>
          <w:lang w:eastAsia="es-CR"/>
        </w:rPr>
      </w:pPr>
      <w:r w:rsidRPr="004E74A6">
        <w:rPr>
          <w:rFonts w:cs="Calibri"/>
          <w:color w:val="000000"/>
          <w:szCs w:val="24"/>
          <w:lang w:eastAsia="es-CR"/>
        </w:rPr>
        <w:t>En lo que respecta a incidentes (carpetas IP)</w:t>
      </w:r>
      <w:r w:rsidR="00BA759F" w:rsidRPr="004E74A6">
        <w:rPr>
          <w:rFonts w:cs="Calibri"/>
          <w:color w:val="000000"/>
          <w:szCs w:val="24"/>
          <w:lang w:eastAsia="es-CR"/>
        </w:rPr>
        <w:t xml:space="preserve"> en la siguiente tabla puede observarse aquellos incidentes que han ingresado durante el 2019, 2020 y 2021 en los Tribunales de Apelación Civil</w:t>
      </w:r>
      <w:bookmarkStart w:id="11" w:name="_Hlk106324682"/>
      <w:r w:rsidR="00556596" w:rsidRPr="004E74A6">
        <w:rPr>
          <w:rFonts w:cs="Calibri"/>
          <w:color w:val="000000"/>
          <w:szCs w:val="24"/>
          <w:lang w:eastAsia="es-CR"/>
        </w:rPr>
        <w:t>; que son asuntos de mínimo ingreso anual</w:t>
      </w:r>
      <w:r w:rsidR="00442B81" w:rsidRPr="004E74A6">
        <w:rPr>
          <w:rFonts w:cs="Calibri"/>
          <w:color w:val="000000"/>
          <w:szCs w:val="24"/>
          <w:lang w:eastAsia="es-CR"/>
        </w:rPr>
        <w:t xml:space="preserve"> por lo que no se vislumbra impacto en caso de aprobarse por Corte Plena un aumento en la cuantía Civil</w:t>
      </w:r>
      <w:r w:rsidR="00556596" w:rsidRPr="004E74A6">
        <w:rPr>
          <w:rFonts w:cs="Calibri"/>
          <w:color w:val="000000"/>
          <w:szCs w:val="24"/>
          <w:lang w:eastAsia="es-CR"/>
        </w:rPr>
        <w:t xml:space="preserve">. </w:t>
      </w:r>
    </w:p>
    <w:p w14:paraId="7EC8B563" w14:textId="77777777" w:rsidR="00662185" w:rsidRPr="004E74A6" w:rsidRDefault="00662185" w:rsidP="00CE62C1">
      <w:pPr>
        <w:spacing w:after="160" w:line="276" w:lineRule="auto"/>
        <w:rPr>
          <w:rFonts w:cs="Calibri"/>
          <w:color w:val="000000"/>
          <w:szCs w:val="24"/>
          <w:lang w:eastAsia="es-CR"/>
        </w:rPr>
      </w:pPr>
    </w:p>
    <w:p w14:paraId="209BCAAF" w14:textId="3DFE2139" w:rsidR="00BA759F" w:rsidRPr="00832773" w:rsidRDefault="00BA759F" w:rsidP="00832773">
      <w:pPr>
        <w:pStyle w:val="Descripcin"/>
        <w:keepNext/>
        <w:spacing w:line="276" w:lineRule="auto"/>
        <w:jc w:val="center"/>
        <w:rPr>
          <w:rFonts w:ascii="Book Antiqua" w:hAnsi="Book Antiqua"/>
          <w:i/>
          <w:iCs/>
          <w:sz w:val="20"/>
          <w:szCs w:val="16"/>
          <w:lang w:val="es-CR"/>
        </w:rPr>
      </w:pPr>
      <w:r w:rsidRPr="00832773">
        <w:rPr>
          <w:rFonts w:ascii="Book Antiqua" w:hAnsi="Book Antiqua"/>
          <w:i/>
          <w:iCs/>
          <w:sz w:val="20"/>
          <w:szCs w:val="16"/>
          <w:lang w:val="es-CR"/>
        </w:rPr>
        <w:t xml:space="preserve">Tabla </w:t>
      </w:r>
      <w:r w:rsidRPr="00832773">
        <w:rPr>
          <w:rFonts w:ascii="Book Antiqua" w:hAnsi="Book Antiqua"/>
          <w:i/>
          <w:iCs/>
          <w:sz w:val="20"/>
          <w:szCs w:val="16"/>
          <w:lang w:val="es-CR"/>
        </w:rPr>
        <w:fldChar w:fldCharType="begin"/>
      </w:r>
      <w:r w:rsidRPr="00832773">
        <w:rPr>
          <w:rFonts w:ascii="Book Antiqua" w:hAnsi="Book Antiqua"/>
          <w:i/>
          <w:iCs/>
          <w:sz w:val="20"/>
          <w:szCs w:val="16"/>
          <w:lang w:val="es-CR"/>
        </w:rPr>
        <w:instrText xml:space="preserve"> SEQ Tabla \* ARABIC </w:instrText>
      </w:r>
      <w:r w:rsidRPr="00832773">
        <w:rPr>
          <w:rFonts w:ascii="Book Antiqua" w:hAnsi="Book Antiqua"/>
          <w:i/>
          <w:iCs/>
          <w:sz w:val="20"/>
          <w:szCs w:val="16"/>
          <w:lang w:val="es-CR"/>
        </w:rPr>
        <w:fldChar w:fldCharType="separate"/>
      </w:r>
      <w:r w:rsidR="00374B51">
        <w:rPr>
          <w:rFonts w:ascii="Book Antiqua" w:hAnsi="Book Antiqua"/>
          <w:i/>
          <w:iCs/>
          <w:noProof/>
          <w:sz w:val="20"/>
          <w:szCs w:val="16"/>
          <w:lang w:val="es-CR"/>
        </w:rPr>
        <w:t>52</w:t>
      </w:r>
      <w:r w:rsidRPr="00832773">
        <w:rPr>
          <w:rFonts w:ascii="Book Antiqua" w:hAnsi="Book Antiqua"/>
          <w:i/>
          <w:iCs/>
          <w:sz w:val="20"/>
          <w:szCs w:val="16"/>
          <w:lang w:val="es-CR"/>
        </w:rPr>
        <w:fldChar w:fldCharType="end"/>
      </w:r>
      <w:r w:rsidRPr="00832773">
        <w:rPr>
          <w:rFonts w:ascii="Book Antiqua" w:hAnsi="Book Antiqua"/>
          <w:i/>
          <w:iCs/>
          <w:sz w:val="20"/>
          <w:szCs w:val="16"/>
          <w:lang w:val="es-CR"/>
        </w:rPr>
        <w:t xml:space="preserve"> Cantidad de carpetas Incidentes Procesales (IP) según el rango de cuantía por oficina y por año del 2019 al 2021</w:t>
      </w:r>
    </w:p>
    <w:tbl>
      <w:tblPr>
        <w:tblW w:w="11076" w:type="dxa"/>
        <w:jc w:val="center"/>
        <w:tblCellMar>
          <w:left w:w="70" w:type="dxa"/>
          <w:right w:w="70" w:type="dxa"/>
        </w:tblCellMar>
        <w:tblLook w:val="04A0" w:firstRow="1" w:lastRow="0" w:firstColumn="1" w:lastColumn="0" w:noHBand="0" w:noVBand="1"/>
      </w:tblPr>
      <w:tblGrid>
        <w:gridCol w:w="4876"/>
        <w:gridCol w:w="2800"/>
        <w:gridCol w:w="850"/>
        <w:gridCol w:w="850"/>
        <w:gridCol w:w="850"/>
        <w:gridCol w:w="850"/>
      </w:tblGrid>
      <w:tr w:rsidR="001C14BA" w:rsidRPr="004E74A6" w14:paraId="32493237" w14:textId="77777777" w:rsidTr="001C14BA">
        <w:trPr>
          <w:trHeight w:val="454"/>
          <w:tblHeader/>
          <w:jc w:val="center"/>
        </w:trPr>
        <w:tc>
          <w:tcPr>
            <w:tcW w:w="4876" w:type="dxa"/>
            <w:tcBorders>
              <w:top w:val="single" w:sz="4" w:space="0" w:color="auto"/>
              <w:left w:val="nil"/>
              <w:bottom w:val="single" w:sz="4" w:space="0" w:color="auto"/>
              <w:right w:val="single" w:sz="4" w:space="0" w:color="auto"/>
            </w:tcBorders>
            <w:shd w:val="clear" w:color="auto" w:fill="auto"/>
            <w:noWrap/>
            <w:vAlign w:val="center"/>
            <w:hideMark/>
          </w:tcPr>
          <w:p w14:paraId="68B96D40" w14:textId="77777777" w:rsidR="001C14BA" w:rsidRPr="004E74A6" w:rsidRDefault="001C14BA" w:rsidP="00832773">
            <w:pPr>
              <w:spacing w:line="276" w:lineRule="auto"/>
              <w:jc w:val="center"/>
              <w:rPr>
                <w:rFonts w:cs="Calibri"/>
                <w:color w:val="000000"/>
                <w:sz w:val="20"/>
                <w:lang w:eastAsia="es-CR"/>
              </w:rPr>
            </w:pPr>
            <w:r w:rsidRPr="004E74A6">
              <w:rPr>
                <w:rFonts w:cs="Calibri"/>
                <w:color w:val="000000"/>
                <w:sz w:val="20"/>
                <w:lang w:eastAsia="es-CR"/>
              </w:rPr>
              <w:t>Oficina</w:t>
            </w:r>
          </w:p>
        </w:tc>
        <w:tc>
          <w:tcPr>
            <w:tcW w:w="2800" w:type="dxa"/>
            <w:tcBorders>
              <w:top w:val="single" w:sz="4" w:space="0" w:color="auto"/>
              <w:left w:val="nil"/>
              <w:bottom w:val="single" w:sz="4" w:space="0" w:color="auto"/>
              <w:right w:val="single" w:sz="4" w:space="0" w:color="auto"/>
            </w:tcBorders>
            <w:shd w:val="clear" w:color="auto" w:fill="auto"/>
            <w:noWrap/>
            <w:vAlign w:val="center"/>
            <w:hideMark/>
          </w:tcPr>
          <w:p w14:paraId="2CA12630" w14:textId="77777777" w:rsidR="001C14BA" w:rsidRPr="004E74A6" w:rsidRDefault="001C14BA" w:rsidP="00832773">
            <w:pPr>
              <w:spacing w:line="276" w:lineRule="auto"/>
              <w:jc w:val="center"/>
              <w:rPr>
                <w:rFonts w:cs="Calibri"/>
                <w:color w:val="000000"/>
                <w:sz w:val="20"/>
                <w:lang w:eastAsia="es-CR"/>
              </w:rPr>
            </w:pPr>
            <w:r w:rsidRPr="004E74A6">
              <w:rPr>
                <w:rFonts w:cs="Calibri"/>
                <w:color w:val="000000"/>
                <w:sz w:val="20"/>
                <w:lang w:eastAsia="es-CR"/>
              </w:rPr>
              <w:t>Rango Cuantía Estados</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3D42D588" w14:textId="77777777" w:rsidR="001C14BA" w:rsidRPr="004E74A6" w:rsidRDefault="001C14BA" w:rsidP="00832773">
            <w:pPr>
              <w:spacing w:line="276" w:lineRule="auto"/>
              <w:jc w:val="center"/>
              <w:rPr>
                <w:rFonts w:cs="Calibri"/>
                <w:color w:val="000000"/>
                <w:sz w:val="20"/>
                <w:lang w:eastAsia="es-CR"/>
              </w:rPr>
            </w:pPr>
            <w:r w:rsidRPr="004E74A6">
              <w:rPr>
                <w:rFonts w:cs="Calibri"/>
                <w:color w:val="000000"/>
                <w:sz w:val="20"/>
                <w:lang w:eastAsia="es-CR"/>
              </w:rPr>
              <w:t>2019</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480690EE" w14:textId="77777777" w:rsidR="001C14BA" w:rsidRPr="004E74A6" w:rsidRDefault="001C14BA" w:rsidP="00832773">
            <w:pPr>
              <w:spacing w:line="276" w:lineRule="auto"/>
              <w:jc w:val="center"/>
              <w:rPr>
                <w:rFonts w:cs="Calibri"/>
                <w:color w:val="000000"/>
                <w:sz w:val="20"/>
                <w:lang w:eastAsia="es-CR"/>
              </w:rPr>
            </w:pPr>
            <w:r w:rsidRPr="004E74A6">
              <w:rPr>
                <w:rFonts w:cs="Calibri"/>
                <w:color w:val="000000"/>
                <w:sz w:val="20"/>
                <w:lang w:eastAsia="es-CR"/>
              </w:rPr>
              <w:t>2020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3EF2E216" w14:textId="77777777" w:rsidR="001C14BA" w:rsidRPr="004E74A6" w:rsidRDefault="001C14BA" w:rsidP="00832773">
            <w:pPr>
              <w:spacing w:line="276" w:lineRule="auto"/>
              <w:jc w:val="center"/>
              <w:rPr>
                <w:rFonts w:cs="Calibri"/>
                <w:color w:val="000000"/>
                <w:sz w:val="20"/>
                <w:lang w:eastAsia="es-CR"/>
              </w:rPr>
            </w:pPr>
            <w:r w:rsidRPr="004E74A6">
              <w:rPr>
                <w:rFonts w:cs="Calibri"/>
                <w:color w:val="000000"/>
                <w:sz w:val="20"/>
                <w:lang w:eastAsia="es-CR"/>
              </w:rPr>
              <w:t>2021</w:t>
            </w:r>
          </w:p>
        </w:tc>
        <w:tc>
          <w:tcPr>
            <w:tcW w:w="850" w:type="dxa"/>
            <w:tcBorders>
              <w:top w:val="single" w:sz="4" w:space="0" w:color="auto"/>
              <w:left w:val="nil"/>
              <w:bottom w:val="single" w:sz="4" w:space="0" w:color="auto"/>
              <w:right w:val="nil"/>
            </w:tcBorders>
            <w:shd w:val="clear" w:color="auto" w:fill="auto"/>
            <w:noWrap/>
            <w:vAlign w:val="center"/>
            <w:hideMark/>
          </w:tcPr>
          <w:p w14:paraId="06D847DA" w14:textId="77777777" w:rsidR="001C14BA" w:rsidRPr="004E74A6" w:rsidRDefault="001C14BA" w:rsidP="00832773">
            <w:pPr>
              <w:spacing w:line="276" w:lineRule="auto"/>
              <w:jc w:val="center"/>
              <w:rPr>
                <w:rFonts w:cs="Calibri"/>
                <w:color w:val="000000"/>
                <w:sz w:val="20"/>
                <w:lang w:eastAsia="es-CR"/>
              </w:rPr>
            </w:pPr>
            <w:r w:rsidRPr="004E74A6">
              <w:rPr>
                <w:rFonts w:cs="Calibri"/>
                <w:color w:val="000000"/>
                <w:sz w:val="20"/>
                <w:lang w:eastAsia="es-CR"/>
              </w:rPr>
              <w:t>Total general</w:t>
            </w:r>
          </w:p>
        </w:tc>
      </w:tr>
      <w:tr w:rsidR="001C14BA" w:rsidRPr="004E74A6" w14:paraId="5CC7ADBF" w14:textId="77777777" w:rsidTr="001C14BA">
        <w:trPr>
          <w:trHeight w:val="276"/>
          <w:tblHeader/>
          <w:jc w:val="center"/>
        </w:trPr>
        <w:tc>
          <w:tcPr>
            <w:tcW w:w="4876" w:type="dxa"/>
            <w:tcBorders>
              <w:top w:val="nil"/>
              <w:left w:val="nil"/>
              <w:bottom w:val="nil"/>
              <w:right w:val="single" w:sz="4" w:space="0" w:color="auto"/>
            </w:tcBorders>
            <w:shd w:val="clear" w:color="auto" w:fill="auto"/>
            <w:noWrap/>
            <w:vAlign w:val="center"/>
            <w:hideMark/>
          </w:tcPr>
          <w:p w14:paraId="3D182E6A" w14:textId="77777777" w:rsidR="001C14BA" w:rsidRPr="004E74A6" w:rsidRDefault="001C14BA" w:rsidP="00832773">
            <w:pPr>
              <w:spacing w:line="276" w:lineRule="auto"/>
              <w:jc w:val="left"/>
              <w:rPr>
                <w:rFonts w:cs="Calibri"/>
                <w:color w:val="000000"/>
                <w:sz w:val="20"/>
                <w:lang w:eastAsia="es-CR"/>
              </w:rPr>
            </w:pPr>
            <w:r w:rsidRPr="004E74A6">
              <w:rPr>
                <w:rFonts w:cs="Calibri"/>
                <w:color w:val="000000"/>
                <w:sz w:val="20"/>
                <w:lang w:eastAsia="es-CR"/>
              </w:rPr>
              <w:t> </w:t>
            </w:r>
          </w:p>
        </w:tc>
        <w:tc>
          <w:tcPr>
            <w:tcW w:w="2800" w:type="dxa"/>
            <w:tcBorders>
              <w:top w:val="nil"/>
              <w:left w:val="nil"/>
              <w:bottom w:val="nil"/>
              <w:right w:val="single" w:sz="4" w:space="0" w:color="auto"/>
            </w:tcBorders>
            <w:shd w:val="clear" w:color="auto" w:fill="auto"/>
            <w:noWrap/>
            <w:vAlign w:val="center"/>
            <w:hideMark/>
          </w:tcPr>
          <w:p w14:paraId="63B96874" w14:textId="77777777" w:rsidR="001C14BA" w:rsidRPr="004E74A6" w:rsidRDefault="001C14BA" w:rsidP="00832773">
            <w:pPr>
              <w:spacing w:line="276" w:lineRule="auto"/>
              <w:jc w:val="center"/>
              <w:rPr>
                <w:rFonts w:cs="Calibri"/>
                <w:color w:val="000000"/>
                <w:sz w:val="20"/>
                <w:lang w:eastAsia="es-CR"/>
              </w:rPr>
            </w:pPr>
            <w:r w:rsidRPr="004E74A6">
              <w:rPr>
                <w:rFonts w:cs="Calibri"/>
                <w:color w:val="000000"/>
                <w:sz w:val="20"/>
                <w:lang w:eastAsia="es-CR"/>
              </w:rPr>
              <w:t> </w:t>
            </w:r>
          </w:p>
        </w:tc>
        <w:tc>
          <w:tcPr>
            <w:tcW w:w="850" w:type="dxa"/>
            <w:tcBorders>
              <w:top w:val="nil"/>
              <w:left w:val="nil"/>
              <w:bottom w:val="nil"/>
              <w:right w:val="single" w:sz="4" w:space="0" w:color="auto"/>
            </w:tcBorders>
            <w:shd w:val="clear" w:color="auto" w:fill="auto"/>
            <w:noWrap/>
            <w:vAlign w:val="center"/>
            <w:hideMark/>
          </w:tcPr>
          <w:p w14:paraId="5AE92313" w14:textId="77777777" w:rsidR="001C14BA" w:rsidRPr="004E74A6" w:rsidRDefault="001C14BA" w:rsidP="00832773">
            <w:pPr>
              <w:spacing w:line="276" w:lineRule="auto"/>
              <w:jc w:val="center"/>
              <w:rPr>
                <w:rFonts w:cs="Calibri"/>
                <w:color w:val="000000"/>
                <w:sz w:val="20"/>
                <w:lang w:eastAsia="es-CR"/>
              </w:rPr>
            </w:pPr>
            <w:r w:rsidRPr="004E74A6">
              <w:rPr>
                <w:rFonts w:cs="Calibri"/>
                <w:color w:val="000000"/>
                <w:sz w:val="20"/>
                <w:lang w:eastAsia="es-CR"/>
              </w:rPr>
              <w:t> </w:t>
            </w:r>
          </w:p>
        </w:tc>
        <w:tc>
          <w:tcPr>
            <w:tcW w:w="850" w:type="dxa"/>
            <w:tcBorders>
              <w:top w:val="nil"/>
              <w:left w:val="nil"/>
              <w:bottom w:val="nil"/>
              <w:right w:val="single" w:sz="4" w:space="0" w:color="auto"/>
            </w:tcBorders>
            <w:shd w:val="clear" w:color="auto" w:fill="auto"/>
            <w:noWrap/>
            <w:vAlign w:val="center"/>
            <w:hideMark/>
          </w:tcPr>
          <w:p w14:paraId="3CF37030" w14:textId="77777777" w:rsidR="001C14BA" w:rsidRPr="004E74A6" w:rsidRDefault="001C14BA" w:rsidP="00832773">
            <w:pPr>
              <w:spacing w:line="276" w:lineRule="auto"/>
              <w:jc w:val="center"/>
              <w:rPr>
                <w:rFonts w:cs="Calibri"/>
                <w:color w:val="000000"/>
                <w:sz w:val="20"/>
                <w:lang w:eastAsia="es-CR"/>
              </w:rPr>
            </w:pPr>
            <w:r w:rsidRPr="004E74A6">
              <w:rPr>
                <w:rFonts w:cs="Calibri"/>
                <w:color w:val="000000"/>
                <w:sz w:val="20"/>
                <w:lang w:eastAsia="es-CR"/>
              </w:rPr>
              <w:t> </w:t>
            </w:r>
          </w:p>
        </w:tc>
        <w:tc>
          <w:tcPr>
            <w:tcW w:w="850" w:type="dxa"/>
            <w:tcBorders>
              <w:top w:val="nil"/>
              <w:left w:val="nil"/>
              <w:bottom w:val="nil"/>
              <w:right w:val="single" w:sz="4" w:space="0" w:color="auto"/>
            </w:tcBorders>
            <w:shd w:val="clear" w:color="auto" w:fill="auto"/>
            <w:noWrap/>
            <w:vAlign w:val="center"/>
            <w:hideMark/>
          </w:tcPr>
          <w:p w14:paraId="6223A492" w14:textId="77777777" w:rsidR="001C14BA" w:rsidRPr="004E74A6" w:rsidRDefault="001C14BA" w:rsidP="00832773">
            <w:pPr>
              <w:spacing w:line="276" w:lineRule="auto"/>
              <w:jc w:val="center"/>
              <w:rPr>
                <w:rFonts w:cs="Calibri"/>
                <w:color w:val="000000"/>
                <w:sz w:val="20"/>
                <w:lang w:eastAsia="es-CR"/>
              </w:rPr>
            </w:pPr>
            <w:r w:rsidRPr="004E74A6">
              <w:rPr>
                <w:rFonts w:cs="Calibri"/>
                <w:color w:val="000000"/>
                <w:sz w:val="20"/>
                <w:lang w:eastAsia="es-CR"/>
              </w:rPr>
              <w:t> </w:t>
            </w:r>
          </w:p>
        </w:tc>
        <w:tc>
          <w:tcPr>
            <w:tcW w:w="850" w:type="dxa"/>
            <w:tcBorders>
              <w:top w:val="nil"/>
              <w:left w:val="nil"/>
              <w:bottom w:val="nil"/>
              <w:right w:val="nil"/>
            </w:tcBorders>
            <w:shd w:val="clear" w:color="auto" w:fill="auto"/>
            <w:noWrap/>
            <w:vAlign w:val="center"/>
            <w:hideMark/>
          </w:tcPr>
          <w:p w14:paraId="0C6D6BA7" w14:textId="77777777" w:rsidR="001C14BA" w:rsidRPr="004E74A6" w:rsidRDefault="001C14BA" w:rsidP="00832773">
            <w:pPr>
              <w:spacing w:line="276" w:lineRule="auto"/>
              <w:jc w:val="center"/>
              <w:rPr>
                <w:rFonts w:cs="Calibri"/>
                <w:color w:val="000000"/>
                <w:sz w:val="20"/>
                <w:lang w:eastAsia="es-CR"/>
              </w:rPr>
            </w:pPr>
            <w:r w:rsidRPr="004E74A6">
              <w:rPr>
                <w:rFonts w:cs="Calibri"/>
                <w:color w:val="000000"/>
                <w:sz w:val="20"/>
                <w:lang w:eastAsia="es-CR"/>
              </w:rPr>
              <w:t> </w:t>
            </w:r>
          </w:p>
        </w:tc>
      </w:tr>
      <w:tr w:rsidR="001C14BA" w:rsidRPr="004E74A6" w14:paraId="333AFA3D" w14:textId="77777777" w:rsidTr="001C14BA">
        <w:trPr>
          <w:trHeight w:val="276"/>
          <w:tblHeader/>
          <w:jc w:val="center"/>
        </w:trPr>
        <w:tc>
          <w:tcPr>
            <w:tcW w:w="4876" w:type="dxa"/>
            <w:tcBorders>
              <w:top w:val="nil"/>
              <w:left w:val="nil"/>
              <w:bottom w:val="nil"/>
              <w:right w:val="single" w:sz="4" w:space="0" w:color="auto"/>
            </w:tcBorders>
            <w:shd w:val="clear" w:color="auto" w:fill="auto"/>
            <w:noWrap/>
            <w:vAlign w:val="center"/>
            <w:hideMark/>
          </w:tcPr>
          <w:p w14:paraId="73616E8C" w14:textId="77777777" w:rsidR="001C14BA" w:rsidRPr="004E74A6" w:rsidRDefault="001C14BA" w:rsidP="00832773">
            <w:pPr>
              <w:spacing w:line="276" w:lineRule="auto"/>
              <w:jc w:val="center"/>
              <w:rPr>
                <w:rFonts w:cs="Calibri"/>
                <w:color w:val="000000"/>
                <w:sz w:val="20"/>
                <w:lang w:eastAsia="es-CR"/>
              </w:rPr>
            </w:pPr>
            <w:r w:rsidRPr="004E74A6">
              <w:rPr>
                <w:rFonts w:cs="Calibri"/>
                <w:color w:val="000000"/>
                <w:sz w:val="20"/>
                <w:lang w:eastAsia="es-CR"/>
              </w:rPr>
              <w:t>Total general</w:t>
            </w:r>
          </w:p>
        </w:tc>
        <w:tc>
          <w:tcPr>
            <w:tcW w:w="2800" w:type="dxa"/>
            <w:tcBorders>
              <w:top w:val="nil"/>
              <w:left w:val="nil"/>
              <w:bottom w:val="nil"/>
              <w:right w:val="single" w:sz="4" w:space="0" w:color="auto"/>
            </w:tcBorders>
            <w:shd w:val="clear" w:color="auto" w:fill="auto"/>
            <w:noWrap/>
            <w:vAlign w:val="center"/>
            <w:hideMark/>
          </w:tcPr>
          <w:p w14:paraId="7BDADBDB" w14:textId="77777777" w:rsidR="001C14BA" w:rsidRPr="004E74A6" w:rsidRDefault="001C14BA" w:rsidP="00832773">
            <w:pPr>
              <w:spacing w:line="276" w:lineRule="auto"/>
              <w:jc w:val="left"/>
              <w:rPr>
                <w:rFonts w:cs="Calibri"/>
                <w:color w:val="000000"/>
                <w:sz w:val="20"/>
                <w:lang w:eastAsia="es-CR"/>
              </w:rPr>
            </w:pPr>
            <w:r w:rsidRPr="004E74A6">
              <w:rPr>
                <w:rFonts w:cs="Calibri"/>
                <w:color w:val="000000"/>
                <w:sz w:val="20"/>
                <w:lang w:eastAsia="es-CR"/>
              </w:rPr>
              <w:t> </w:t>
            </w:r>
          </w:p>
        </w:tc>
        <w:tc>
          <w:tcPr>
            <w:tcW w:w="850" w:type="dxa"/>
            <w:tcBorders>
              <w:top w:val="nil"/>
              <w:left w:val="nil"/>
              <w:bottom w:val="nil"/>
              <w:right w:val="single" w:sz="4" w:space="0" w:color="auto"/>
            </w:tcBorders>
            <w:shd w:val="clear" w:color="auto" w:fill="auto"/>
            <w:noWrap/>
            <w:vAlign w:val="center"/>
            <w:hideMark/>
          </w:tcPr>
          <w:p w14:paraId="16314916" w14:textId="77777777" w:rsidR="001C14BA" w:rsidRPr="004E74A6" w:rsidRDefault="001C14BA" w:rsidP="00832773">
            <w:pPr>
              <w:spacing w:line="276" w:lineRule="auto"/>
              <w:jc w:val="center"/>
              <w:rPr>
                <w:rFonts w:cs="Calibri"/>
                <w:color w:val="000000"/>
                <w:sz w:val="20"/>
                <w:lang w:eastAsia="es-CR"/>
              </w:rPr>
            </w:pPr>
            <w:r w:rsidRPr="004E74A6">
              <w:rPr>
                <w:rFonts w:cs="Calibri"/>
                <w:color w:val="000000"/>
                <w:sz w:val="20"/>
                <w:lang w:eastAsia="es-CR"/>
              </w:rPr>
              <w:t>3</w:t>
            </w:r>
          </w:p>
        </w:tc>
        <w:tc>
          <w:tcPr>
            <w:tcW w:w="850" w:type="dxa"/>
            <w:tcBorders>
              <w:top w:val="nil"/>
              <w:left w:val="nil"/>
              <w:bottom w:val="nil"/>
              <w:right w:val="single" w:sz="4" w:space="0" w:color="auto"/>
            </w:tcBorders>
            <w:shd w:val="clear" w:color="auto" w:fill="auto"/>
            <w:noWrap/>
            <w:vAlign w:val="center"/>
            <w:hideMark/>
          </w:tcPr>
          <w:p w14:paraId="7BCD9373" w14:textId="77777777" w:rsidR="001C14BA" w:rsidRPr="004E74A6" w:rsidRDefault="001C14BA" w:rsidP="00832773">
            <w:pPr>
              <w:spacing w:line="276" w:lineRule="auto"/>
              <w:jc w:val="center"/>
              <w:rPr>
                <w:rFonts w:cs="Calibri"/>
                <w:color w:val="000000"/>
                <w:sz w:val="20"/>
                <w:lang w:eastAsia="es-CR"/>
              </w:rPr>
            </w:pPr>
            <w:r w:rsidRPr="004E74A6">
              <w:rPr>
                <w:rFonts w:cs="Calibri"/>
                <w:color w:val="000000"/>
                <w:sz w:val="20"/>
                <w:lang w:eastAsia="es-CR"/>
              </w:rPr>
              <w:t>2</w:t>
            </w:r>
          </w:p>
        </w:tc>
        <w:tc>
          <w:tcPr>
            <w:tcW w:w="850" w:type="dxa"/>
            <w:tcBorders>
              <w:top w:val="nil"/>
              <w:left w:val="nil"/>
              <w:bottom w:val="nil"/>
              <w:right w:val="single" w:sz="4" w:space="0" w:color="auto"/>
            </w:tcBorders>
            <w:shd w:val="clear" w:color="auto" w:fill="auto"/>
            <w:noWrap/>
            <w:vAlign w:val="center"/>
            <w:hideMark/>
          </w:tcPr>
          <w:p w14:paraId="189EA767" w14:textId="77777777" w:rsidR="001C14BA" w:rsidRPr="004E74A6" w:rsidRDefault="001C14BA" w:rsidP="00832773">
            <w:pPr>
              <w:spacing w:line="276" w:lineRule="auto"/>
              <w:jc w:val="center"/>
              <w:rPr>
                <w:rFonts w:cs="Calibri"/>
                <w:color w:val="000000"/>
                <w:sz w:val="20"/>
                <w:lang w:eastAsia="es-CR"/>
              </w:rPr>
            </w:pPr>
            <w:r w:rsidRPr="004E74A6">
              <w:rPr>
                <w:rFonts w:cs="Calibri"/>
                <w:color w:val="000000"/>
                <w:sz w:val="20"/>
                <w:lang w:eastAsia="es-CR"/>
              </w:rPr>
              <w:t>1</w:t>
            </w:r>
          </w:p>
        </w:tc>
        <w:tc>
          <w:tcPr>
            <w:tcW w:w="850" w:type="dxa"/>
            <w:tcBorders>
              <w:top w:val="nil"/>
              <w:left w:val="nil"/>
              <w:bottom w:val="nil"/>
              <w:right w:val="nil"/>
            </w:tcBorders>
            <w:shd w:val="clear" w:color="auto" w:fill="auto"/>
            <w:noWrap/>
            <w:vAlign w:val="center"/>
            <w:hideMark/>
          </w:tcPr>
          <w:p w14:paraId="1988E161" w14:textId="77777777" w:rsidR="001C14BA" w:rsidRPr="004E74A6" w:rsidRDefault="001C14BA" w:rsidP="00832773">
            <w:pPr>
              <w:spacing w:line="276" w:lineRule="auto"/>
              <w:jc w:val="center"/>
              <w:rPr>
                <w:rFonts w:cs="Calibri"/>
                <w:color w:val="000000"/>
                <w:sz w:val="20"/>
                <w:lang w:eastAsia="es-CR"/>
              </w:rPr>
            </w:pPr>
            <w:r w:rsidRPr="004E74A6">
              <w:rPr>
                <w:rFonts w:cs="Calibri"/>
                <w:color w:val="000000"/>
                <w:sz w:val="20"/>
                <w:lang w:eastAsia="es-CR"/>
              </w:rPr>
              <w:t>6</w:t>
            </w:r>
          </w:p>
        </w:tc>
      </w:tr>
      <w:tr w:rsidR="001C14BA" w:rsidRPr="004E74A6" w14:paraId="7C102D14" w14:textId="77777777" w:rsidTr="001C14BA">
        <w:trPr>
          <w:trHeight w:val="276"/>
          <w:tblHeader/>
          <w:jc w:val="center"/>
        </w:trPr>
        <w:tc>
          <w:tcPr>
            <w:tcW w:w="4876" w:type="dxa"/>
            <w:tcBorders>
              <w:top w:val="nil"/>
              <w:left w:val="nil"/>
              <w:bottom w:val="nil"/>
              <w:right w:val="single" w:sz="4" w:space="0" w:color="auto"/>
            </w:tcBorders>
            <w:shd w:val="clear" w:color="auto" w:fill="auto"/>
            <w:noWrap/>
            <w:vAlign w:val="center"/>
            <w:hideMark/>
          </w:tcPr>
          <w:p w14:paraId="789ED23E" w14:textId="77777777" w:rsidR="001C14BA" w:rsidRPr="004E74A6" w:rsidRDefault="001C14BA" w:rsidP="00832773">
            <w:pPr>
              <w:spacing w:line="276" w:lineRule="auto"/>
              <w:jc w:val="left"/>
              <w:rPr>
                <w:rFonts w:cs="Calibri"/>
                <w:color w:val="000000"/>
                <w:sz w:val="20"/>
                <w:lang w:eastAsia="es-CR"/>
              </w:rPr>
            </w:pPr>
            <w:r w:rsidRPr="004E74A6">
              <w:rPr>
                <w:rFonts w:cs="Calibri"/>
                <w:color w:val="000000"/>
                <w:sz w:val="20"/>
                <w:lang w:eastAsia="es-CR"/>
              </w:rPr>
              <w:t> </w:t>
            </w:r>
          </w:p>
        </w:tc>
        <w:tc>
          <w:tcPr>
            <w:tcW w:w="2800" w:type="dxa"/>
            <w:tcBorders>
              <w:top w:val="nil"/>
              <w:left w:val="nil"/>
              <w:bottom w:val="nil"/>
              <w:right w:val="single" w:sz="4" w:space="0" w:color="auto"/>
            </w:tcBorders>
            <w:shd w:val="clear" w:color="auto" w:fill="auto"/>
            <w:noWrap/>
            <w:vAlign w:val="center"/>
            <w:hideMark/>
          </w:tcPr>
          <w:p w14:paraId="7FF49DCA" w14:textId="77777777" w:rsidR="001C14BA" w:rsidRPr="004E74A6" w:rsidRDefault="001C14BA" w:rsidP="00832773">
            <w:pPr>
              <w:spacing w:line="276" w:lineRule="auto"/>
              <w:jc w:val="center"/>
              <w:rPr>
                <w:rFonts w:cs="Calibri"/>
                <w:color w:val="000000"/>
                <w:sz w:val="20"/>
                <w:lang w:eastAsia="es-CR"/>
              </w:rPr>
            </w:pPr>
            <w:r w:rsidRPr="004E74A6">
              <w:rPr>
                <w:rFonts w:cs="Calibri"/>
                <w:color w:val="000000"/>
                <w:sz w:val="20"/>
                <w:lang w:eastAsia="es-CR"/>
              </w:rPr>
              <w:t> </w:t>
            </w:r>
          </w:p>
        </w:tc>
        <w:tc>
          <w:tcPr>
            <w:tcW w:w="850" w:type="dxa"/>
            <w:tcBorders>
              <w:top w:val="nil"/>
              <w:left w:val="nil"/>
              <w:bottom w:val="nil"/>
              <w:right w:val="single" w:sz="4" w:space="0" w:color="auto"/>
            </w:tcBorders>
            <w:shd w:val="clear" w:color="auto" w:fill="auto"/>
            <w:noWrap/>
            <w:vAlign w:val="center"/>
            <w:hideMark/>
          </w:tcPr>
          <w:p w14:paraId="66564597" w14:textId="77777777" w:rsidR="001C14BA" w:rsidRPr="004E74A6" w:rsidRDefault="001C14BA" w:rsidP="00832773">
            <w:pPr>
              <w:spacing w:line="276" w:lineRule="auto"/>
              <w:jc w:val="center"/>
              <w:rPr>
                <w:rFonts w:cs="Calibri"/>
                <w:color w:val="000000"/>
                <w:sz w:val="20"/>
                <w:lang w:eastAsia="es-CR"/>
              </w:rPr>
            </w:pPr>
            <w:r w:rsidRPr="004E74A6">
              <w:rPr>
                <w:rFonts w:cs="Calibri"/>
                <w:color w:val="000000"/>
                <w:sz w:val="20"/>
                <w:lang w:eastAsia="es-CR"/>
              </w:rPr>
              <w:t> </w:t>
            </w:r>
          </w:p>
        </w:tc>
        <w:tc>
          <w:tcPr>
            <w:tcW w:w="850" w:type="dxa"/>
            <w:tcBorders>
              <w:top w:val="nil"/>
              <w:left w:val="nil"/>
              <w:bottom w:val="nil"/>
              <w:right w:val="single" w:sz="4" w:space="0" w:color="auto"/>
            </w:tcBorders>
            <w:shd w:val="clear" w:color="auto" w:fill="auto"/>
            <w:noWrap/>
            <w:vAlign w:val="center"/>
            <w:hideMark/>
          </w:tcPr>
          <w:p w14:paraId="16B8B1C3" w14:textId="77777777" w:rsidR="001C14BA" w:rsidRPr="004E74A6" w:rsidRDefault="001C14BA" w:rsidP="00832773">
            <w:pPr>
              <w:spacing w:line="276" w:lineRule="auto"/>
              <w:jc w:val="center"/>
              <w:rPr>
                <w:rFonts w:cs="Calibri"/>
                <w:color w:val="000000"/>
                <w:sz w:val="20"/>
                <w:lang w:eastAsia="es-CR"/>
              </w:rPr>
            </w:pPr>
            <w:r w:rsidRPr="004E74A6">
              <w:rPr>
                <w:rFonts w:cs="Calibri"/>
                <w:color w:val="000000"/>
                <w:sz w:val="20"/>
                <w:lang w:eastAsia="es-CR"/>
              </w:rPr>
              <w:t> </w:t>
            </w:r>
          </w:p>
        </w:tc>
        <w:tc>
          <w:tcPr>
            <w:tcW w:w="850" w:type="dxa"/>
            <w:tcBorders>
              <w:top w:val="nil"/>
              <w:left w:val="nil"/>
              <w:bottom w:val="nil"/>
              <w:right w:val="single" w:sz="4" w:space="0" w:color="auto"/>
            </w:tcBorders>
            <w:shd w:val="clear" w:color="auto" w:fill="auto"/>
            <w:noWrap/>
            <w:vAlign w:val="center"/>
            <w:hideMark/>
          </w:tcPr>
          <w:p w14:paraId="46883BA3" w14:textId="77777777" w:rsidR="001C14BA" w:rsidRPr="004E74A6" w:rsidRDefault="001C14BA" w:rsidP="00832773">
            <w:pPr>
              <w:spacing w:line="276" w:lineRule="auto"/>
              <w:jc w:val="center"/>
              <w:rPr>
                <w:rFonts w:cs="Calibri"/>
                <w:color w:val="000000"/>
                <w:sz w:val="20"/>
                <w:lang w:eastAsia="es-CR"/>
              </w:rPr>
            </w:pPr>
            <w:r w:rsidRPr="004E74A6">
              <w:rPr>
                <w:rFonts w:cs="Calibri"/>
                <w:color w:val="000000"/>
                <w:sz w:val="20"/>
                <w:lang w:eastAsia="es-CR"/>
              </w:rPr>
              <w:t> </w:t>
            </w:r>
          </w:p>
        </w:tc>
        <w:tc>
          <w:tcPr>
            <w:tcW w:w="850" w:type="dxa"/>
            <w:tcBorders>
              <w:top w:val="nil"/>
              <w:left w:val="nil"/>
              <w:bottom w:val="nil"/>
              <w:right w:val="nil"/>
            </w:tcBorders>
            <w:shd w:val="clear" w:color="auto" w:fill="auto"/>
            <w:noWrap/>
            <w:vAlign w:val="center"/>
            <w:hideMark/>
          </w:tcPr>
          <w:p w14:paraId="7364C616" w14:textId="77777777" w:rsidR="001C14BA" w:rsidRPr="004E74A6" w:rsidRDefault="001C14BA" w:rsidP="00832773">
            <w:pPr>
              <w:spacing w:line="276" w:lineRule="auto"/>
              <w:jc w:val="center"/>
              <w:rPr>
                <w:rFonts w:cs="Calibri"/>
                <w:color w:val="000000"/>
                <w:sz w:val="20"/>
                <w:lang w:eastAsia="es-CR"/>
              </w:rPr>
            </w:pPr>
            <w:r w:rsidRPr="004E74A6">
              <w:rPr>
                <w:rFonts w:cs="Calibri"/>
                <w:color w:val="000000"/>
                <w:sz w:val="20"/>
                <w:lang w:eastAsia="es-CR"/>
              </w:rPr>
              <w:t> </w:t>
            </w:r>
          </w:p>
        </w:tc>
      </w:tr>
      <w:tr w:rsidR="001C14BA" w:rsidRPr="004E74A6" w14:paraId="0B2FD8C4" w14:textId="77777777" w:rsidTr="001C14BA">
        <w:trPr>
          <w:trHeight w:val="276"/>
          <w:tblHeader/>
          <w:jc w:val="center"/>
        </w:trPr>
        <w:tc>
          <w:tcPr>
            <w:tcW w:w="4876" w:type="dxa"/>
            <w:tcBorders>
              <w:top w:val="nil"/>
              <w:left w:val="nil"/>
              <w:bottom w:val="nil"/>
              <w:right w:val="single" w:sz="4" w:space="0" w:color="auto"/>
            </w:tcBorders>
            <w:shd w:val="clear" w:color="auto" w:fill="auto"/>
            <w:noWrap/>
            <w:vAlign w:val="center"/>
            <w:hideMark/>
          </w:tcPr>
          <w:p w14:paraId="139E5879" w14:textId="77777777" w:rsidR="001C14BA" w:rsidRPr="004E74A6" w:rsidRDefault="001C14BA" w:rsidP="00832773">
            <w:pPr>
              <w:spacing w:line="276" w:lineRule="auto"/>
              <w:jc w:val="left"/>
              <w:rPr>
                <w:rFonts w:cs="Calibri"/>
                <w:color w:val="000000"/>
                <w:sz w:val="20"/>
                <w:lang w:eastAsia="es-CR"/>
              </w:rPr>
            </w:pPr>
            <w:r w:rsidRPr="004E74A6">
              <w:rPr>
                <w:rFonts w:cs="Calibri"/>
                <w:color w:val="000000"/>
                <w:sz w:val="20"/>
                <w:lang w:eastAsia="es-CR"/>
              </w:rPr>
              <w:t>Tribunal de apelación Civil y Trabajo de Alajuela</w:t>
            </w:r>
          </w:p>
        </w:tc>
        <w:tc>
          <w:tcPr>
            <w:tcW w:w="2800" w:type="dxa"/>
            <w:tcBorders>
              <w:top w:val="nil"/>
              <w:left w:val="nil"/>
              <w:bottom w:val="nil"/>
              <w:right w:val="single" w:sz="4" w:space="0" w:color="auto"/>
            </w:tcBorders>
            <w:shd w:val="clear" w:color="auto" w:fill="auto"/>
            <w:vAlign w:val="center"/>
            <w:hideMark/>
          </w:tcPr>
          <w:p w14:paraId="3CB4C557" w14:textId="77777777" w:rsidR="001C14BA" w:rsidRPr="004E74A6" w:rsidRDefault="001C14BA" w:rsidP="00832773">
            <w:pPr>
              <w:spacing w:line="276" w:lineRule="auto"/>
              <w:jc w:val="center"/>
              <w:rPr>
                <w:rFonts w:cs="Calibri"/>
                <w:color w:val="000000"/>
                <w:sz w:val="20"/>
                <w:lang w:eastAsia="es-CR"/>
              </w:rPr>
            </w:pPr>
            <w:r w:rsidRPr="004E74A6">
              <w:rPr>
                <w:rFonts w:cs="Calibri"/>
                <w:color w:val="000000"/>
                <w:sz w:val="20"/>
                <w:lang w:eastAsia="es-CR"/>
              </w:rPr>
              <w:t>Sin actualizar</w:t>
            </w:r>
          </w:p>
        </w:tc>
        <w:tc>
          <w:tcPr>
            <w:tcW w:w="850" w:type="dxa"/>
            <w:tcBorders>
              <w:top w:val="nil"/>
              <w:left w:val="nil"/>
              <w:bottom w:val="nil"/>
              <w:right w:val="single" w:sz="4" w:space="0" w:color="auto"/>
            </w:tcBorders>
            <w:shd w:val="clear" w:color="auto" w:fill="auto"/>
            <w:noWrap/>
            <w:vAlign w:val="center"/>
            <w:hideMark/>
          </w:tcPr>
          <w:p w14:paraId="7E037AF6" w14:textId="77777777" w:rsidR="001C14BA" w:rsidRPr="004E74A6" w:rsidRDefault="001C14BA" w:rsidP="00832773">
            <w:pPr>
              <w:spacing w:line="276" w:lineRule="auto"/>
              <w:jc w:val="center"/>
              <w:rPr>
                <w:rFonts w:cs="Calibri"/>
                <w:color w:val="000000"/>
                <w:sz w:val="20"/>
                <w:lang w:eastAsia="es-CR"/>
              </w:rPr>
            </w:pPr>
            <w:r w:rsidRPr="004E74A6">
              <w:rPr>
                <w:rFonts w:cs="Calibri"/>
                <w:color w:val="000000"/>
                <w:sz w:val="20"/>
                <w:lang w:eastAsia="es-CR"/>
              </w:rPr>
              <w:t>1</w:t>
            </w:r>
          </w:p>
        </w:tc>
        <w:tc>
          <w:tcPr>
            <w:tcW w:w="850" w:type="dxa"/>
            <w:tcBorders>
              <w:top w:val="nil"/>
              <w:left w:val="nil"/>
              <w:bottom w:val="nil"/>
              <w:right w:val="single" w:sz="4" w:space="0" w:color="auto"/>
            </w:tcBorders>
            <w:shd w:val="clear" w:color="auto" w:fill="auto"/>
            <w:noWrap/>
            <w:vAlign w:val="center"/>
            <w:hideMark/>
          </w:tcPr>
          <w:p w14:paraId="66911FD5" w14:textId="77777777" w:rsidR="001C14BA" w:rsidRPr="004E74A6" w:rsidRDefault="001C14BA" w:rsidP="00832773">
            <w:pPr>
              <w:spacing w:line="276" w:lineRule="auto"/>
              <w:jc w:val="center"/>
              <w:rPr>
                <w:rFonts w:cs="Calibri"/>
                <w:color w:val="000000"/>
                <w:sz w:val="20"/>
                <w:lang w:eastAsia="es-CR"/>
              </w:rPr>
            </w:pPr>
            <w:r w:rsidRPr="004E74A6">
              <w:rPr>
                <w:rFonts w:cs="Calibri"/>
                <w:color w:val="000000"/>
                <w:sz w:val="20"/>
                <w:lang w:eastAsia="es-CR"/>
              </w:rPr>
              <w:t> </w:t>
            </w:r>
          </w:p>
        </w:tc>
        <w:tc>
          <w:tcPr>
            <w:tcW w:w="850" w:type="dxa"/>
            <w:tcBorders>
              <w:top w:val="nil"/>
              <w:left w:val="nil"/>
              <w:bottom w:val="nil"/>
              <w:right w:val="single" w:sz="4" w:space="0" w:color="auto"/>
            </w:tcBorders>
            <w:shd w:val="clear" w:color="auto" w:fill="auto"/>
            <w:noWrap/>
            <w:vAlign w:val="center"/>
            <w:hideMark/>
          </w:tcPr>
          <w:p w14:paraId="687F20F1" w14:textId="77777777" w:rsidR="001C14BA" w:rsidRPr="004E74A6" w:rsidRDefault="001C14BA" w:rsidP="00832773">
            <w:pPr>
              <w:spacing w:line="276" w:lineRule="auto"/>
              <w:jc w:val="center"/>
              <w:rPr>
                <w:rFonts w:cs="Calibri"/>
                <w:color w:val="000000"/>
                <w:sz w:val="20"/>
                <w:lang w:eastAsia="es-CR"/>
              </w:rPr>
            </w:pPr>
            <w:r w:rsidRPr="004E74A6">
              <w:rPr>
                <w:rFonts w:cs="Calibri"/>
                <w:color w:val="000000"/>
                <w:sz w:val="20"/>
                <w:lang w:eastAsia="es-CR"/>
              </w:rPr>
              <w:t> </w:t>
            </w:r>
          </w:p>
        </w:tc>
        <w:tc>
          <w:tcPr>
            <w:tcW w:w="850" w:type="dxa"/>
            <w:tcBorders>
              <w:top w:val="nil"/>
              <w:left w:val="nil"/>
              <w:bottom w:val="nil"/>
              <w:right w:val="nil"/>
            </w:tcBorders>
            <w:shd w:val="clear" w:color="auto" w:fill="auto"/>
            <w:noWrap/>
            <w:vAlign w:val="center"/>
            <w:hideMark/>
          </w:tcPr>
          <w:p w14:paraId="701FB356" w14:textId="77777777" w:rsidR="001C14BA" w:rsidRPr="004E74A6" w:rsidRDefault="001C14BA" w:rsidP="00832773">
            <w:pPr>
              <w:spacing w:line="276" w:lineRule="auto"/>
              <w:jc w:val="center"/>
              <w:rPr>
                <w:rFonts w:cs="Calibri"/>
                <w:color w:val="000000"/>
                <w:sz w:val="20"/>
                <w:lang w:eastAsia="es-CR"/>
              </w:rPr>
            </w:pPr>
            <w:r w:rsidRPr="004E74A6">
              <w:rPr>
                <w:rFonts w:cs="Calibri"/>
                <w:color w:val="000000"/>
                <w:sz w:val="20"/>
                <w:lang w:eastAsia="es-CR"/>
              </w:rPr>
              <w:t>1</w:t>
            </w:r>
          </w:p>
        </w:tc>
      </w:tr>
      <w:tr w:rsidR="001C14BA" w:rsidRPr="004E74A6" w14:paraId="436BA727" w14:textId="77777777" w:rsidTr="001C14BA">
        <w:trPr>
          <w:trHeight w:val="276"/>
          <w:tblHeader/>
          <w:jc w:val="center"/>
        </w:trPr>
        <w:tc>
          <w:tcPr>
            <w:tcW w:w="4876" w:type="dxa"/>
            <w:tcBorders>
              <w:top w:val="nil"/>
              <w:left w:val="nil"/>
              <w:bottom w:val="nil"/>
              <w:right w:val="single" w:sz="4" w:space="0" w:color="auto"/>
            </w:tcBorders>
            <w:shd w:val="clear" w:color="auto" w:fill="auto"/>
            <w:noWrap/>
            <w:vAlign w:val="center"/>
            <w:hideMark/>
          </w:tcPr>
          <w:p w14:paraId="459B87AF" w14:textId="77777777" w:rsidR="001C14BA" w:rsidRPr="004E74A6" w:rsidRDefault="001C14BA" w:rsidP="00832773">
            <w:pPr>
              <w:spacing w:line="276" w:lineRule="auto"/>
              <w:jc w:val="left"/>
              <w:rPr>
                <w:rFonts w:cs="Calibri"/>
                <w:color w:val="000000"/>
                <w:sz w:val="20"/>
                <w:lang w:eastAsia="es-CR"/>
              </w:rPr>
            </w:pPr>
            <w:r w:rsidRPr="004E74A6">
              <w:rPr>
                <w:rFonts w:cs="Calibri"/>
                <w:color w:val="000000"/>
                <w:sz w:val="20"/>
                <w:lang w:eastAsia="es-CR"/>
              </w:rPr>
              <w:t>Tribunal de apelación Civil y Trabajo Zona Atlántica</w:t>
            </w:r>
          </w:p>
        </w:tc>
        <w:tc>
          <w:tcPr>
            <w:tcW w:w="2800" w:type="dxa"/>
            <w:tcBorders>
              <w:top w:val="nil"/>
              <w:left w:val="nil"/>
              <w:bottom w:val="nil"/>
              <w:right w:val="single" w:sz="4" w:space="0" w:color="auto"/>
            </w:tcBorders>
            <w:shd w:val="clear" w:color="auto" w:fill="auto"/>
            <w:vAlign w:val="center"/>
            <w:hideMark/>
          </w:tcPr>
          <w:p w14:paraId="7AB10C0D" w14:textId="77777777" w:rsidR="001C14BA" w:rsidRPr="004E74A6" w:rsidRDefault="001C14BA" w:rsidP="00832773">
            <w:pPr>
              <w:spacing w:line="276" w:lineRule="auto"/>
              <w:jc w:val="center"/>
              <w:rPr>
                <w:rFonts w:cs="Calibri"/>
                <w:color w:val="000000"/>
                <w:sz w:val="20"/>
                <w:lang w:eastAsia="es-CR"/>
              </w:rPr>
            </w:pPr>
            <w:r w:rsidRPr="004E74A6">
              <w:rPr>
                <w:rFonts w:cs="Calibri"/>
                <w:color w:val="000000"/>
                <w:sz w:val="20"/>
                <w:lang w:eastAsia="es-CR"/>
              </w:rPr>
              <w:t>Sin actualizar</w:t>
            </w:r>
          </w:p>
        </w:tc>
        <w:tc>
          <w:tcPr>
            <w:tcW w:w="850" w:type="dxa"/>
            <w:tcBorders>
              <w:top w:val="nil"/>
              <w:left w:val="nil"/>
              <w:bottom w:val="nil"/>
              <w:right w:val="single" w:sz="4" w:space="0" w:color="auto"/>
            </w:tcBorders>
            <w:shd w:val="clear" w:color="auto" w:fill="auto"/>
            <w:noWrap/>
            <w:vAlign w:val="center"/>
            <w:hideMark/>
          </w:tcPr>
          <w:p w14:paraId="752859DD" w14:textId="77777777" w:rsidR="001C14BA" w:rsidRPr="004E74A6" w:rsidRDefault="001C14BA" w:rsidP="00832773">
            <w:pPr>
              <w:spacing w:line="276" w:lineRule="auto"/>
              <w:jc w:val="center"/>
              <w:rPr>
                <w:rFonts w:cs="Calibri"/>
                <w:color w:val="000000"/>
                <w:sz w:val="20"/>
                <w:lang w:eastAsia="es-CR"/>
              </w:rPr>
            </w:pPr>
            <w:r w:rsidRPr="004E74A6">
              <w:rPr>
                <w:rFonts w:cs="Calibri"/>
                <w:color w:val="000000"/>
                <w:sz w:val="20"/>
                <w:lang w:eastAsia="es-CR"/>
              </w:rPr>
              <w:t> </w:t>
            </w:r>
          </w:p>
        </w:tc>
        <w:tc>
          <w:tcPr>
            <w:tcW w:w="850" w:type="dxa"/>
            <w:tcBorders>
              <w:top w:val="nil"/>
              <w:left w:val="nil"/>
              <w:bottom w:val="nil"/>
              <w:right w:val="single" w:sz="4" w:space="0" w:color="auto"/>
            </w:tcBorders>
            <w:shd w:val="clear" w:color="auto" w:fill="auto"/>
            <w:noWrap/>
            <w:vAlign w:val="center"/>
            <w:hideMark/>
          </w:tcPr>
          <w:p w14:paraId="280C58F7" w14:textId="77777777" w:rsidR="001C14BA" w:rsidRPr="004E74A6" w:rsidRDefault="001C14BA" w:rsidP="00832773">
            <w:pPr>
              <w:spacing w:line="276" w:lineRule="auto"/>
              <w:jc w:val="center"/>
              <w:rPr>
                <w:rFonts w:cs="Calibri"/>
                <w:color w:val="000000"/>
                <w:sz w:val="20"/>
                <w:lang w:eastAsia="es-CR"/>
              </w:rPr>
            </w:pPr>
            <w:r w:rsidRPr="004E74A6">
              <w:rPr>
                <w:rFonts w:cs="Calibri"/>
                <w:color w:val="000000"/>
                <w:sz w:val="20"/>
                <w:lang w:eastAsia="es-CR"/>
              </w:rPr>
              <w:t>1</w:t>
            </w:r>
          </w:p>
        </w:tc>
        <w:tc>
          <w:tcPr>
            <w:tcW w:w="850" w:type="dxa"/>
            <w:tcBorders>
              <w:top w:val="nil"/>
              <w:left w:val="nil"/>
              <w:bottom w:val="nil"/>
              <w:right w:val="single" w:sz="4" w:space="0" w:color="auto"/>
            </w:tcBorders>
            <w:shd w:val="clear" w:color="auto" w:fill="auto"/>
            <w:noWrap/>
            <w:vAlign w:val="center"/>
            <w:hideMark/>
          </w:tcPr>
          <w:p w14:paraId="7CBDC1EF" w14:textId="77777777" w:rsidR="001C14BA" w:rsidRPr="004E74A6" w:rsidRDefault="001C14BA" w:rsidP="00832773">
            <w:pPr>
              <w:spacing w:line="276" w:lineRule="auto"/>
              <w:jc w:val="center"/>
              <w:rPr>
                <w:rFonts w:cs="Calibri"/>
                <w:color w:val="000000"/>
                <w:sz w:val="20"/>
                <w:lang w:eastAsia="es-CR"/>
              </w:rPr>
            </w:pPr>
            <w:r w:rsidRPr="004E74A6">
              <w:rPr>
                <w:rFonts w:cs="Calibri"/>
                <w:color w:val="000000"/>
                <w:sz w:val="20"/>
                <w:lang w:eastAsia="es-CR"/>
              </w:rPr>
              <w:t> </w:t>
            </w:r>
          </w:p>
        </w:tc>
        <w:tc>
          <w:tcPr>
            <w:tcW w:w="850" w:type="dxa"/>
            <w:tcBorders>
              <w:top w:val="nil"/>
              <w:left w:val="nil"/>
              <w:bottom w:val="nil"/>
              <w:right w:val="nil"/>
            </w:tcBorders>
            <w:shd w:val="clear" w:color="auto" w:fill="auto"/>
            <w:noWrap/>
            <w:vAlign w:val="center"/>
            <w:hideMark/>
          </w:tcPr>
          <w:p w14:paraId="16C5F599" w14:textId="77777777" w:rsidR="001C14BA" w:rsidRPr="004E74A6" w:rsidRDefault="001C14BA" w:rsidP="00832773">
            <w:pPr>
              <w:spacing w:line="276" w:lineRule="auto"/>
              <w:jc w:val="center"/>
              <w:rPr>
                <w:rFonts w:cs="Calibri"/>
                <w:color w:val="000000"/>
                <w:sz w:val="20"/>
                <w:lang w:eastAsia="es-CR"/>
              </w:rPr>
            </w:pPr>
            <w:r w:rsidRPr="004E74A6">
              <w:rPr>
                <w:rFonts w:cs="Calibri"/>
                <w:color w:val="000000"/>
                <w:sz w:val="20"/>
                <w:lang w:eastAsia="es-CR"/>
              </w:rPr>
              <w:t>1</w:t>
            </w:r>
          </w:p>
        </w:tc>
      </w:tr>
      <w:tr w:rsidR="001C14BA" w:rsidRPr="004E74A6" w14:paraId="7776C825" w14:textId="77777777" w:rsidTr="001C14BA">
        <w:trPr>
          <w:trHeight w:val="276"/>
          <w:tblHeader/>
          <w:jc w:val="center"/>
        </w:trPr>
        <w:tc>
          <w:tcPr>
            <w:tcW w:w="4876" w:type="dxa"/>
            <w:tcBorders>
              <w:top w:val="nil"/>
              <w:left w:val="nil"/>
              <w:bottom w:val="nil"/>
              <w:right w:val="single" w:sz="4" w:space="0" w:color="auto"/>
            </w:tcBorders>
            <w:shd w:val="clear" w:color="auto" w:fill="auto"/>
            <w:noWrap/>
            <w:vAlign w:val="center"/>
            <w:hideMark/>
          </w:tcPr>
          <w:p w14:paraId="13F86254" w14:textId="77777777" w:rsidR="001C14BA" w:rsidRPr="004E74A6" w:rsidRDefault="001C14BA" w:rsidP="00832773">
            <w:pPr>
              <w:spacing w:line="276" w:lineRule="auto"/>
              <w:jc w:val="left"/>
              <w:rPr>
                <w:rFonts w:cs="Calibri"/>
                <w:color w:val="000000"/>
                <w:sz w:val="20"/>
                <w:lang w:eastAsia="es-CR"/>
              </w:rPr>
            </w:pPr>
            <w:r w:rsidRPr="004E74A6">
              <w:rPr>
                <w:rFonts w:cs="Calibri"/>
                <w:color w:val="000000"/>
                <w:sz w:val="20"/>
                <w:lang w:eastAsia="es-CR"/>
              </w:rPr>
              <w:t>Tribunal de Apelación Civil y Trabajo Puntarenas</w:t>
            </w:r>
          </w:p>
        </w:tc>
        <w:tc>
          <w:tcPr>
            <w:tcW w:w="2800" w:type="dxa"/>
            <w:tcBorders>
              <w:top w:val="nil"/>
              <w:left w:val="nil"/>
              <w:bottom w:val="nil"/>
              <w:right w:val="single" w:sz="4" w:space="0" w:color="auto"/>
            </w:tcBorders>
            <w:shd w:val="clear" w:color="auto" w:fill="auto"/>
            <w:vAlign w:val="center"/>
            <w:hideMark/>
          </w:tcPr>
          <w:p w14:paraId="3AE0FE38" w14:textId="77777777" w:rsidR="001C14BA" w:rsidRPr="004E74A6" w:rsidRDefault="001C14BA" w:rsidP="00832773">
            <w:pPr>
              <w:spacing w:line="276" w:lineRule="auto"/>
              <w:jc w:val="center"/>
              <w:rPr>
                <w:rFonts w:cs="Calibri"/>
                <w:color w:val="000000"/>
                <w:sz w:val="20"/>
                <w:lang w:eastAsia="es-CR"/>
              </w:rPr>
            </w:pPr>
            <w:r w:rsidRPr="004E74A6">
              <w:rPr>
                <w:rFonts w:cs="Calibri"/>
                <w:color w:val="000000"/>
                <w:sz w:val="20"/>
                <w:lang w:eastAsia="es-CR"/>
              </w:rPr>
              <w:t>Sin actualizar</w:t>
            </w:r>
          </w:p>
        </w:tc>
        <w:tc>
          <w:tcPr>
            <w:tcW w:w="850" w:type="dxa"/>
            <w:tcBorders>
              <w:top w:val="nil"/>
              <w:left w:val="nil"/>
              <w:bottom w:val="nil"/>
              <w:right w:val="single" w:sz="4" w:space="0" w:color="auto"/>
            </w:tcBorders>
            <w:shd w:val="clear" w:color="auto" w:fill="auto"/>
            <w:noWrap/>
            <w:vAlign w:val="center"/>
            <w:hideMark/>
          </w:tcPr>
          <w:p w14:paraId="64856BAE" w14:textId="77777777" w:rsidR="001C14BA" w:rsidRPr="004E74A6" w:rsidRDefault="001C14BA" w:rsidP="00832773">
            <w:pPr>
              <w:spacing w:line="276" w:lineRule="auto"/>
              <w:jc w:val="center"/>
              <w:rPr>
                <w:rFonts w:cs="Calibri"/>
                <w:color w:val="000000"/>
                <w:sz w:val="20"/>
                <w:lang w:eastAsia="es-CR"/>
              </w:rPr>
            </w:pPr>
            <w:r w:rsidRPr="004E74A6">
              <w:rPr>
                <w:rFonts w:cs="Calibri"/>
                <w:color w:val="000000"/>
                <w:sz w:val="20"/>
                <w:lang w:eastAsia="es-CR"/>
              </w:rPr>
              <w:t>2</w:t>
            </w:r>
          </w:p>
        </w:tc>
        <w:tc>
          <w:tcPr>
            <w:tcW w:w="850" w:type="dxa"/>
            <w:tcBorders>
              <w:top w:val="nil"/>
              <w:left w:val="nil"/>
              <w:bottom w:val="nil"/>
              <w:right w:val="single" w:sz="4" w:space="0" w:color="auto"/>
            </w:tcBorders>
            <w:shd w:val="clear" w:color="auto" w:fill="auto"/>
            <w:noWrap/>
            <w:vAlign w:val="center"/>
            <w:hideMark/>
          </w:tcPr>
          <w:p w14:paraId="6D80DB08" w14:textId="77777777" w:rsidR="001C14BA" w:rsidRPr="004E74A6" w:rsidRDefault="001C14BA" w:rsidP="00832773">
            <w:pPr>
              <w:spacing w:line="276" w:lineRule="auto"/>
              <w:jc w:val="center"/>
              <w:rPr>
                <w:rFonts w:cs="Calibri"/>
                <w:color w:val="000000"/>
                <w:sz w:val="20"/>
                <w:lang w:eastAsia="es-CR"/>
              </w:rPr>
            </w:pPr>
            <w:r w:rsidRPr="004E74A6">
              <w:rPr>
                <w:rFonts w:cs="Calibri"/>
                <w:color w:val="000000"/>
                <w:sz w:val="20"/>
                <w:lang w:eastAsia="es-CR"/>
              </w:rPr>
              <w:t> </w:t>
            </w:r>
          </w:p>
        </w:tc>
        <w:tc>
          <w:tcPr>
            <w:tcW w:w="850" w:type="dxa"/>
            <w:tcBorders>
              <w:top w:val="nil"/>
              <w:left w:val="nil"/>
              <w:bottom w:val="nil"/>
              <w:right w:val="single" w:sz="4" w:space="0" w:color="auto"/>
            </w:tcBorders>
            <w:shd w:val="clear" w:color="auto" w:fill="auto"/>
            <w:noWrap/>
            <w:vAlign w:val="center"/>
            <w:hideMark/>
          </w:tcPr>
          <w:p w14:paraId="035FC689" w14:textId="77777777" w:rsidR="001C14BA" w:rsidRPr="004E74A6" w:rsidRDefault="001C14BA" w:rsidP="00832773">
            <w:pPr>
              <w:spacing w:line="276" w:lineRule="auto"/>
              <w:jc w:val="center"/>
              <w:rPr>
                <w:rFonts w:cs="Calibri"/>
                <w:color w:val="000000"/>
                <w:sz w:val="20"/>
                <w:lang w:eastAsia="es-CR"/>
              </w:rPr>
            </w:pPr>
            <w:r w:rsidRPr="004E74A6">
              <w:rPr>
                <w:rFonts w:cs="Calibri"/>
                <w:color w:val="000000"/>
                <w:sz w:val="20"/>
                <w:lang w:eastAsia="es-CR"/>
              </w:rPr>
              <w:t> </w:t>
            </w:r>
          </w:p>
        </w:tc>
        <w:tc>
          <w:tcPr>
            <w:tcW w:w="850" w:type="dxa"/>
            <w:tcBorders>
              <w:top w:val="nil"/>
              <w:left w:val="nil"/>
              <w:bottom w:val="nil"/>
              <w:right w:val="nil"/>
            </w:tcBorders>
            <w:shd w:val="clear" w:color="auto" w:fill="auto"/>
            <w:noWrap/>
            <w:vAlign w:val="center"/>
            <w:hideMark/>
          </w:tcPr>
          <w:p w14:paraId="0C50165E" w14:textId="77777777" w:rsidR="001C14BA" w:rsidRPr="004E74A6" w:rsidRDefault="001C14BA" w:rsidP="00832773">
            <w:pPr>
              <w:spacing w:line="276" w:lineRule="auto"/>
              <w:jc w:val="center"/>
              <w:rPr>
                <w:rFonts w:cs="Calibri"/>
                <w:color w:val="000000"/>
                <w:sz w:val="20"/>
                <w:lang w:eastAsia="es-CR"/>
              </w:rPr>
            </w:pPr>
            <w:r w:rsidRPr="004E74A6">
              <w:rPr>
                <w:rFonts w:cs="Calibri"/>
                <w:color w:val="000000"/>
                <w:sz w:val="20"/>
                <w:lang w:eastAsia="es-CR"/>
              </w:rPr>
              <w:t>2</w:t>
            </w:r>
          </w:p>
        </w:tc>
      </w:tr>
      <w:tr w:rsidR="001C14BA" w:rsidRPr="004E74A6" w14:paraId="141CEAFA" w14:textId="77777777" w:rsidTr="001C14BA">
        <w:trPr>
          <w:trHeight w:val="276"/>
          <w:tblHeader/>
          <w:jc w:val="center"/>
        </w:trPr>
        <w:tc>
          <w:tcPr>
            <w:tcW w:w="4876" w:type="dxa"/>
            <w:tcBorders>
              <w:top w:val="nil"/>
              <w:left w:val="nil"/>
              <w:bottom w:val="nil"/>
              <w:right w:val="single" w:sz="4" w:space="0" w:color="auto"/>
            </w:tcBorders>
            <w:shd w:val="clear" w:color="auto" w:fill="auto"/>
            <w:noWrap/>
            <w:vAlign w:val="center"/>
            <w:hideMark/>
          </w:tcPr>
          <w:p w14:paraId="22E935E5" w14:textId="77777777" w:rsidR="001C14BA" w:rsidRPr="004E74A6" w:rsidRDefault="001C14BA" w:rsidP="00832773">
            <w:pPr>
              <w:spacing w:line="276" w:lineRule="auto"/>
              <w:jc w:val="left"/>
              <w:rPr>
                <w:rFonts w:cs="Calibri"/>
                <w:color w:val="000000"/>
                <w:sz w:val="20"/>
                <w:lang w:eastAsia="es-CR"/>
              </w:rPr>
            </w:pPr>
            <w:r w:rsidRPr="004E74A6">
              <w:rPr>
                <w:rFonts w:cs="Calibri"/>
                <w:color w:val="000000"/>
                <w:sz w:val="20"/>
                <w:lang w:eastAsia="es-CR"/>
              </w:rPr>
              <w:t>Tribunal Primero de Apelación Civil de San José</w:t>
            </w:r>
          </w:p>
        </w:tc>
        <w:tc>
          <w:tcPr>
            <w:tcW w:w="2800" w:type="dxa"/>
            <w:tcBorders>
              <w:top w:val="nil"/>
              <w:left w:val="nil"/>
              <w:bottom w:val="nil"/>
              <w:right w:val="single" w:sz="4" w:space="0" w:color="auto"/>
            </w:tcBorders>
            <w:shd w:val="clear" w:color="auto" w:fill="auto"/>
            <w:vAlign w:val="center"/>
            <w:hideMark/>
          </w:tcPr>
          <w:p w14:paraId="67C54ECE" w14:textId="77777777" w:rsidR="001C14BA" w:rsidRPr="004E74A6" w:rsidRDefault="001C14BA" w:rsidP="00832773">
            <w:pPr>
              <w:spacing w:line="276" w:lineRule="auto"/>
              <w:jc w:val="center"/>
              <w:rPr>
                <w:rFonts w:cs="Calibri"/>
                <w:color w:val="000000"/>
                <w:sz w:val="20"/>
                <w:lang w:eastAsia="es-CR"/>
              </w:rPr>
            </w:pPr>
            <w:r w:rsidRPr="004E74A6">
              <w:rPr>
                <w:rFonts w:cs="Calibri"/>
                <w:color w:val="000000"/>
                <w:sz w:val="20"/>
                <w:lang w:eastAsia="es-CR"/>
              </w:rPr>
              <w:t>Sin actualizar</w:t>
            </w:r>
          </w:p>
        </w:tc>
        <w:tc>
          <w:tcPr>
            <w:tcW w:w="850" w:type="dxa"/>
            <w:tcBorders>
              <w:top w:val="nil"/>
              <w:left w:val="nil"/>
              <w:bottom w:val="nil"/>
              <w:right w:val="single" w:sz="4" w:space="0" w:color="auto"/>
            </w:tcBorders>
            <w:shd w:val="clear" w:color="auto" w:fill="auto"/>
            <w:noWrap/>
            <w:vAlign w:val="center"/>
            <w:hideMark/>
          </w:tcPr>
          <w:p w14:paraId="176D3305" w14:textId="77777777" w:rsidR="001C14BA" w:rsidRPr="004E74A6" w:rsidRDefault="001C14BA" w:rsidP="00832773">
            <w:pPr>
              <w:spacing w:line="276" w:lineRule="auto"/>
              <w:jc w:val="center"/>
              <w:rPr>
                <w:rFonts w:cs="Calibri"/>
                <w:color w:val="000000"/>
                <w:sz w:val="20"/>
                <w:lang w:eastAsia="es-CR"/>
              </w:rPr>
            </w:pPr>
            <w:r w:rsidRPr="004E74A6">
              <w:rPr>
                <w:rFonts w:cs="Calibri"/>
                <w:color w:val="000000"/>
                <w:sz w:val="20"/>
                <w:lang w:eastAsia="es-CR"/>
              </w:rPr>
              <w:t> </w:t>
            </w:r>
          </w:p>
        </w:tc>
        <w:tc>
          <w:tcPr>
            <w:tcW w:w="850" w:type="dxa"/>
            <w:tcBorders>
              <w:top w:val="nil"/>
              <w:left w:val="nil"/>
              <w:bottom w:val="nil"/>
              <w:right w:val="single" w:sz="4" w:space="0" w:color="auto"/>
            </w:tcBorders>
            <w:shd w:val="clear" w:color="auto" w:fill="auto"/>
            <w:noWrap/>
            <w:vAlign w:val="center"/>
            <w:hideMark/>
          </w:tcPr>
          <w:p w14:paraId="534AF5CC" w14:textId="77777777" w:rsidR="001C14BA" w:rsidRPr="004E74A6" w:rsidRDefault="001C14BA" w:rsidP="00832773">
            <w:pPr>
              <w:spacing w:line="276" w:lineRule="auto"/>
              <w:jc w:val="center"/>
              <w:rPr>
                <w:rFonts w:cs="Calibri"/>
                <w:color w:val="000000"/>
                <w:sz w:val="20"/>
                <w:lang w:eastAsia="es-CR"/>
              </w:rPr>
            </w:pPr>
            <w:r w:rsidRPr="004E74A6">
              <w:rPr>
                <w:rFonts w:cs="Calibri"/>
                <w:color w:val="000000"/>
                <w:sz w:val="20"/>
                <w:lang w:eastAsia="es-CR"/>
              </w:rPr>
              <w:t>1</w:t>
            </w:r>
          </w:p>
        </w:tc>
        <w:tc>
          <w:tcPr>
            <w:tcW w:w="850" w:type="dxa"/>
            <w:tcBorders>
              <w:top w:val="nil"/>
              <w:left w:val="nil"/>
              <w:bottom w:val="nil"/>
              <w:right w:val="single" w:sz="4" w:space="0" w:color="auto"/>
            </w:tcBorders>
            <w:shd w:val="clear" w:color="auto" w:fill="auto"/>
            <w:noWrap/>
            <w:vAlign w:val="center"/>
            <w:hideMark/>
          </w:tcPr>
          <w:p w14:paraId="7DC468AD" w14:textId="77777777" w:rsidR="001C14BA" w:rsidRPr="004E74A6" w:rsidRDefault="001C14BA" w:rsidP="00832773">
            <w:pPr>
              <w:spacing w:line="276" w:lineRule="auto"/>
              <w:jc w:val="center"/>
              <w:rPr>
                <w:rFonts w:cs="Calibri"/>
                <w:color w:val="000000"/>
                <w:sz w:val="20"/>
                <w:lang w:eastAsia="es-CR"/>
              </w:rPr>
            </w:pPr>
            <w:r w:rsidRPr="004E74A6">
              <w:rPr>
                <w:rFonts w:cs="Calibri"/>
                <w:color w:val="000000"/>
                <w:sz w:val="20"/>
                <w:lang w:eastAsia="es-CR"/>
              </w:rPr>
              <w:t> </w:t>
            </w:r>
          </w:p>
        </w:tc>
        <w:tc>
          <w:tcPr>
            <w:tcW w:w="850" w:type="dxa"/>
            <w:tcBorders>
              <w:top w:val="nil"/>
              <w:left w:val="nil"/>
              <w:bottom w:val="nil"/>
              <w:right w:val="nil"/>
            </w:tcBorders>
            <w:shd w:val="clear" w:color="auto" w:fill="auto"/>
            <w:noWrap/>
            <w:vAlign w:val="center"/>
            <w:hideMark/>
          </w:tcPr>
          <w:p w14:paraId="72F09F51" w14:textId="77777777" w:rsidR="001C14BA" w:rsidRPr="004E74A6" w:rsidRDefault="001C14BA" w:rsidP="00832773">
            <w:pPr>
              <w:spacing w:line="276" w:lineRule="auto"/>
              <w:jc w:val="center"/>
              <w:rPr>
                <w:rFonts w:cs="Calibri"/>
                <w:color w:val="000000"/>
                <w:sz w:val="20"/>
                <w:lang w:eastAsia="es-CR"/>
              </w:rPr>
            </w:pPr>
            <w:r w:rsidRPr="004E74A6">
              <w:rPr>
                <w:rFonts w:cs="Calibri"/>
                <w:color w:val="000000"/>
                <w:sz w:val="20"/>
                <w:lang w:eastAsia="es-CR"/>
              </w:rPr>
              <w:t>1</w:t>
            </w:r>
          </w:p>
        </w:tc>
      </w:tr>
      <w:tr w:rsidR="001C14BA" w:rsidRPr="004E74A6" w14:paraId="019F952F" w14:textId="77777777" w:rsidTr="001C14BA">
        <w:trPr>
          <w:trHeight w:val="276"/>
          <w:tblHeader/>
          <w:jc w:val="center"/>
        </w:trPr>
        <w:tc>
          <w:tcPr>
            <w:tcW w:w="4876" w:type="dxa"/>
            <w:tcBorders>
              <w:top w:val="nil"/>
              <w:left w:val="nil"/>
              <w:bottom w:val="nil"/>
              <w:right w:val="single" w:sz="4" w:space="0" w:color="auto"/>
            </w:tcBorders>
            <w:shd w:val="clear" w:color="auto" w:fill="auto"/>
            <w:noWrap/>
            <w:vAlign w:val="center"/>
            <w:hideMark/>
          </w:tcPr>
          <w:p w14:paraId="346F38BC" w14:textId="77777777" w:rsidR="001C14BA" w:rsidRPr="004E74A6" w:rsidRDefault="001C14BA" w:rsidP="00832773">
            <w:pPr>
              <w:spacing w:line="276" w:lineRule="auto"/>
              <w:jc w:val="left"/>
              <w:rPr>
                <w:rFonts w:cs="Calibri"/>
                <w:color w:val="000000"/>
                <w:sz w:val="20"/>
                <w:lang w:eastAsia="es-CR"/>
              </w:rPr>
            </w:pPr>
            <w:r w:rsidRPr="004E74A6">
              <w:rPr>
                <w:rFonts w:cs="Calibri"/>
                <w:color w:val="000000"/>
                <w:sz w:val="20"/>
                <w:lang w:eastAsia="es-CR"/>
              </w:rPr>
              <w:t>Tribunal Segundo de Apelación Civil de San José</w:t>
            </w:r>
          </w:p>
        </w:tc>
        <w:tc>
          <w:tcPr>
            <w:tcW w:w="2800" w:type="dxa"/>
            <w:tcBorders>
              <w:top w:val="nil"/>
              <w:left w:val="nil"/>
              <w:bottom w:val="nil"/>
              <w:right w:val="single" w:sz="4" w:space="0" w:color="auto"/>
            </w:tcBorders>
            <w:shd w:val="clear" w:color="auto" w:fill="auto"/>
            <w:noWrap/>
            <w:vAlign w:val="center"/>
            <w:hideMark/>
          </w:tcPr>
          <w:p w14:paraId="29E05BD1" w14:textId="77777777" w:rsidR="001C14BA" w:rsidRPr="004E74A6" w:rsidRDefault="001C14BA" w:rsidP="00832773">
            <w:pPr>
              <w:spacing w:line="276" w:lineRule="auto"/>
              <w:jc w:val="center"/>
              <w:rPr>
                <w:rFonts w:cs="Calibri"/>
                <w:color w:val="000000"/>
                <w:sz w:val="20"/>
                <w:lang w:eastAsia="es-CR"/>
              </w:rPr>
            </w:pPr>
            <w:r w:rsidRPr="004E74A6">
              <w:rPr>
                <w:rFonts w:cs="Calibri"/>
                <w:color w:val="000000"/>
                <w:sz w:val="20"/>
                <w:lang w:eastAsia="es-CR"/>
              </w:rPr>
              <w:t>De ¢30.000.001 a ¢35.000.000</w:t>
            </w:r>
          </w:p>
        </w:tc>
        <w:tc>
          <w:tcPr>
            <w:tcW w:w="850" w:type="dxa"/>
            <w:tcBorders>
              <w:top w:val="nil"/>
              <w:left w:val="nil"/>
              <w:bottom w:val="nil"/>
              <w:right w:val="single" w:sz="4" w:space="0" w:color="auto"/>
            </w:tcBorders>
            <w:shd w:val="clear" w:color="auto" w:fill="auto"/>
            <w:noWrap/>
            <w:vAlign w:val="center"/>
            <w:hideMark/>
          </w:tcPr>
          <w:p w14:paraId="1F2F1A66" w14:textId="77777777" w:rsidR="001C14BA" w:rsidRPr="004E74A6" w:rsidRDefault="001C14BA" w:rsidP="00832773">
            <w:pPr>
              <w:spacing w:line="276" w:lineRule="auto"/>
              <w:jc w:val="center"/>
              <w:rPr>
                <w:rFonts w:cs="Calibri"/>
                <w:color w:val="000000"/>
                <w:sz w:val="20"/>
                <w:lang w:eastAsia="es-CR"/>
              </w:rPr>
            </w:pPr>
            <w:r w:rsidRPr="004E74A6">
              <w:rPr>
                <w:rFonts w:cs="Calibri"/>
                <w:color w:val="000000"/>
                <w:sz w:val="20"/>
                <w:lang w:eastAsia="es-CR"/>
              </w:rPr>
              <w:t> </w:t>
            </w:r>
          </w:p>
        </w:tc>
        <w:tc>
          <w:tcPr>
            <w:tcW w:w="850" w:type="dxa"/>
            <w:tcBorders>
              <w:top w:val="nil"/>
              <w:left w:val="nil"/>
              <w:bottom w:val="nil"/>
              <w:right w:val="single" w:sz="4" w:space="0" w:color="auto"/>
            </w:tcBorders>
            <w:shd w:val="clear" w:color="auto" w:fill="auto"/>
            <w:noWrap/>
            <w:vAlign w:val="center"/>
            <w:hideMark/>
          </w:tcPr>
          <w:p w14:paraId="6D147ABE" w14:textId="77777777" w:rsidR="001C14BA" w:rsidRPr="004E74A6" w:rsidRDefault="001C14BA" w:rsidP="00832773">
            <w:pPr>
              <w:spacing w:line="276" w:lineRule="auto"/>
              <w:jc w:val="center"/>
              <w:rPr>
                <w:rFonts w:cs="Calibri"/>
                <w:color w:val="000000"/>
                <w:sz w:val="20"/>
                <w:lang w:eastAsia="es-CR"/>
              </w:rPr>
            </w:pPr>
            <w:r w:rsidRPr="004E74A6">
              <w:rPr>
                <w:rFonts w:cs="Calibri"/>
                <w:color w:val="000000"/>
                <w:sz w:val="20"/>
                <w:lang w:eastAsia="es-CR"/>
              </w:rPr>
              <w:t> </w:t>
            </w:r>
          </w:p>
        </w:tc>
        <w:tc>
          <w:tcPr>
            <w:tcW w:w="850" w:type="dxa"/>
            <w:tcBorders>
              <w:top w:val="nil"/>
              <w:left w:val="nil"/>
              <w:bottom w:val="nil"/>
              <w:right w:val="single" w:sz="4" w:space="0" w:color="auto"/>
            </w:tcBorders>
            <w:shd w:val="clear" w:color="auto" w:fill="auto"/>
            <w:noWrap/>
            <w:vAlign w:val="center"/>
            <w:hideMark/>
          </w:tcPr>
          <w:p w14:paraId="45B5B3FF" w14:textId="77777777" w:rsidR="001C14BA" w:rsidRPr="004E74A6" w:rsidRDefault="001C14BA" w:rsidP="00832773">
            <w:pPr>
              <w:spacing w:line="276" w:lineRule="auto"/>
              <w:jc w:val="center"/>
              <w:rPr>
                <w:rFonts w:cs="Calibri"/>
                <w:color w:val="000000"/>
                <w:sz w:val="20"/>
                <w:lang w:eastAsia="es-CR"/>
              </w:rPr>
            </w:pPr>
            <w:r w:rsidRPr="004E74A6">
              <w:rPr>
                <w:rFonts w:cs="Calibri"/>
                <w:color w:val="000000"/>
                <w:sz w:val="20"/>
                <w:lang w:eastAsia="es-CR"/>
              </w:rPr>
              <w:t>1</w:t>
            </w:r>
          </w:p>
        </w:tc>
        <w:tc>
          <w:tcPr>
            <w:tcW w:w="850" w:type="dxa"/>
            <w:tcBorders>
              <w:top w:val="nil"/>
              <w:left w:val="nil"/>
              <w:bottom w:val="nil"/>
              <w:right w:val="nil"/>
            </w:tcBorders>
            <w:shd w:val="clear" w:color="auto" w:fill="auto"/>
            <w:noWrap/>
            <w:vAlign w:val="center"/>
            <w:hideMark/>
          </w:tcPr>
          <w:p w14:paraId="66C729E8" w14:textId="77777777" w:rsidR="001C14BA" w:rsidRPr="004E74A6" w:rsidRDefault="001C14BA" w:rsidP="00832773">
            <w:pPr>
              <w:spacing w:line="276" w:lineRule="auto"/>
              <w:jc w:val="center"/>
              <w:rPr>
                <w:rFonts w:cs="Calibri"/>
                <w:color w:val="000000"/>
                <w:sz w:val="20"/>
                <w:lang w:eastAsia="es-CR"/>
              </w:rPr>
            </w:pPr>
            <w:r w:rsidRPr="004E74A6">
              <w:rPr>
                <w:rFonts w:cs="Calibri"/>
                <w:color w:val="000000"/>
                <w:sz w:val="20"/>
                <w:lang w:eastAsia="es-CR"/>
              </w:rPr>
              <w:t>1</w:t>
            </w:r>
          </w:p>
        </w:tc>
      </w:tr>
      <w:tr w:rsidR="001C14BA" w:rsidRPr="004E74A6" w14:paraId="5BDF01DF" w14:textId="77777777" w:rsidTr="001C14BA">
        <w:trPr>
          <w:trHeight w:val="276"/>
          <w:tblHeader/>
          <w:jc w:val="center"/>
        </w:trPr>
        <w:tc>
          <w:tcPr>
            <w:tcW w:w="4876" w:type="dxa"/>
            <w:tcBorders>
              <w:top w:val="nil"/>
              <w:left w:val="nil"/>
              <w:bottom w:val="single" w:sz="4" w:space="0" w:color="auto"/>
              <w:right w:val="single" w:sz="4" w:space="0" w:color="auto"/>
            </w:tcBorders>
            <w:shd w:val="clear" w:color="auto" w:fill="auto"/>
            <w:noWrap/>
            <w:vAlign w:val="center"/>
            <w:hideMark/>
          </w:tcPr>
          <w:p w14:paraId="622ACEC4" w14:textId="77777777" w:rsidR="001C14BA" w:rsidRPr="004E74A6" w:rsidRDefault="001C14BA" w:rsidP="00832773">
            <w:pPr>
              <w:spacing w:line="276" w:lineRule="auto"/>
              <w:jc w:val="left"/>
              <w:rPr>
                <w:rFonts w:cs="Calibri"/>
                <w:color w:val="000000"/>
                <w:sz w:val="20"/>
                <w:lang w:eastAsia="es-CR"/>
              </w:rPr>
            </w:pPr>
            <w:r w:rsidRPr="004E74A6">
              <w:rPr>
                <w:rFonts w:cs="Calibri"/>
                <w:color w:val="000000"/>
                <w:sz w:val="20"/>
                <w:lang w:eastAsia="es-CR"/>
              </w:rPr>
              <w:t> </w:t>
            </w:r>
          </w:p>
        </w:tc>
        <w:tc>
          <w:tcPr>
            <w:tcW w:w="2800" w:type="dxa"/>
            <w:tcBorders>
              <w:top w:val="nil"/>
              <w:left w:val="nil"/>
              <w:bottom w:val="single" w:sz="4" w:space="0" w:color="auto"/>
              <w:right w:val="single" w:sz="4" w:space="0" w:color="auto"/>
            </w:tcBorders>
            <w:shd w:val="clear" w:color="auto" w:fill="auto"/>
            <w:noWrap/>
            <w:vAlign w:val="center"/>
            <w:hideMark/>
          </w:tcPr>
          <w:p w14:paraId="1F4B12DE" w14:textId="77777777" w:rsidR="001C14BA" w:rsidRPr="004E74A6" w:rsidRDefault="001C14BA" w:rsidP="00832773">
            <w:pPr>
              <w:spacing w:line="276" w:lineRule="auto"/>
              <w:jc w:val="center"/>
              <w:rPr>
                <w:rFonts w:cs="Calibri"/>
                <w:color w:val="000000"/>
                <w:sz w:val="20"/>
                <w:lang w:eastAsia="es-CR"/>
              </w:rPr>
            </w:pPr>
            <w:r w:rsidRPr="004E74A6">
              <w:rPr>
                <w:rFonts w:cs="Calibri"/>
                <w:color w:val="000000"/>
                <w:sz w:val="20"/>
                <w:lang w:eastAsia="es-CR"/>
              </w:rPr>
              <w:t> </w:t>
            </w:r>
          </w:p>
        </w:tc>
        <w:tc>
          <w:tcPr>
            <w:tcW w:w="850" w:type="dxa"/>
            <w:tcBorders>
              <w:top w:val="nil"/>
              <w:left w:val="nil"/>
              <w:bottom w:val="single" w:sz="4" w:space="0" w:color="auto"/>
              <w:right w:val="single" w:sz="4" w:space="0" w:color="auto"/>
            </w:tcBorders>
            <w:shd w:val="clear" w:color="auto" w:fill="auto"/>
            <w:noWrap/>
            <w:vAlign w:val="center"/>
            <w:hideMark/>
          </w:tcPr>
          <w:p w14:paraId="1E1F8F8A" w14:textId="77777777" w:rsidR="001C14BA" w:rsidRPr="004E74A6" w:rsidRDefault="001C14BA" w:rsidP="00832773">
            <w:pPr>
              <w:spacing w:line="276" w:lineRule="auto"/>
              <w:jc w:val="center"/>
              <w:rPr>
                <w:rFonts w:cs="Calibri"/>
                <w:color w:val="000000"/>
                <w:sz w:val="20"/>
                <w:lang w:eastAsia="es-CR"/>
              </w:rPr>
            </w:pPr>
            <w:r w:rsidRPr="004E74A6">
              <w:rPr>
                <w:rFonts w:cs="Calibri"/>
                <w:color w:val="000000"/>
                <w:sz w:val="20"/>
                <w:lang w:eastAsia="es-CR"/>
              </w:rPr>
              <w:t> </w:t>
            </w:r>
          </w:p>
        </w:tc>
        <w:tc>
          <w:tcPr>
            <w:tcW w:w="850" w:type="dxa"/>
            <w:tcBorders>
              <w:top w:val="nil"/>
              <w:left w:val="nil"/>
              <w:bottom w:val="single" w:sz="4" w:space="0" w:color="auto"/>
              <w:right w:val="single" w:sz="4" w:space="0" w:color="auto"/>
            </w:tcBorders>
            <w:shd w:val="clear" w:color="auto" w:fill="auto"/>
            <w:noWrap/>
            <w:vAlign w:val="center"/>
            <w:hideMark/>
          </w:tcPr>
          <w:p w14:paraId="3BD26026" w14:textId="77777777" w:rsidR="001C14BA" w:rsidRPr="004E74A6" w:rsidRDefault="001C14BA" w:rsidP="00832773">
            <w:pPr>
              <w:spacing w:line="276" w:lineRule="auto"/>
              <w:jc w:val="center"/>
              <w:rPr>
                <w:rFonts w:cs="Calibri"/>
                <w:color w:val="000000"/>
                <w:sz w:val="20"/>
                <w:lang w:eastAsia="es-CR"/>
              </w:rPr>
            </w:pPr>
            <w:r w:rsidRPr="004E74A6">
              <w:rPr>
                <w:rFonts w:cs="Calibri"/>
                <w:color w:val="000000"/>
                <w:sz w:val="20"/>
                <w:lang w:eastAsia="es-CR"/>
              </w:rPr>
              <w:t> </w:t>
            </w:r>
          </w:p>
        </w:tc>
        <w:tc>
          <w:tcPr>
            <w:tcW w:w="850" w:type="dxa"/>
            <w:tcBorders>
              <w:top w:val="nil"/>
              <w:left w:val="nil"/>
              <w:bottom w:val="single" w:sz="4" w:space="0" w:color="auto"/>
              <w:right w:val="single" w:sz="4" w:space="0" w:color="auto"/>
            </w:tcBorders>
            <w:shd w:val="clear" w:color="auto" w:fill="auto"/>
            <w:noWrap/>
            <w:vAlign w:val="center"/>
            <w:hideMark/>
          </w:tcPr>
          <w:p w14:paraId="10BF626E" w14:textId="77777777" w:rsidR="001C14BA" w:rsidRPr="004E74A6" w:rsidRDefault="001C14BA" w:rsidP="00832773">
            <w:pPr>
              <w:spacing w:line="276" w:lineRule="auto"/>
              <w:jc w:val="center"/>
              <w:rPr>
                <w:rFonts w:cs="Calibri"/>
                <w:color w:val="000000"/>
                <w:sz w:val="20"/>
                <w:lang w:eastAsia="es-CR"/>
              </w:rPr>
            </w:pPr>
            <w:r w:rsidRPr="004E74A6">
              <w:rPr>
                <w:rFonts w:cs="Calibri"/>
                <w:color w:val="000000"/>
                <w:sz w:val="20"/>
                <w:lang w:eastAsia="es-CR"/>
              </w:rPr>
              <w:t> </w:t>
            </w:r>
          </w:p>
        </w:tc>
        <w:tc>
          <w:tcPr>
            <w:tcW w:w="850" w:type="dxa"/>
            <w:tcBorders>
              <w:top w:val="nil"/>
              <w:left w:val="nil"/>
              <w:bottom w:val="single" w:sz="4" w:space="0" w:color="auto"/>
              <w:right w:val="nil"/>
            </w:tcBorders>
            <w:shd w:val="clear" w:color="auto" w:fill="auto"/>
            <w:noWrap/>
            <w:vAlign w:val="center"/>
            <w:hideMark/>
          </w:tcPr>
          <w:p w14:paraId="192FDA86" w14:textId="77777777" w:rsidR="001C14BA" w:rsidRPr="004E74A6" w:rsidRDefault="001C14BA" w:rsidP="00832773">
            <w:pPr>
              <w:spacing w:line="276" w:lineRule="auto"/>
              <w:jc w:val="center"/>
              <w:rPr>
                <w:rFonts w:cs="Calibri"/>
                <w:color w:val="000000"/>
                <w:sz w:val="20"/>
                <w:lang w:eastAsia="es-CR"/>
              </w:rPr>
            </w:pPr>
            <w:r w:rsidRPr="004E74A6">
              <w:rPr>
                <w:rFonts w:cs="Calibri"/>
                <w:color w:val="000000"/>
                <w:sz w:val="20"/>
                <w:lang w:eastAsia="es-CR"/>
              </w:rPr>
              <w:t> </w:t>
            </w:r>
          </w:p>
        </w:tc>
      </w:tr>
    </w:tbl>
    <w:p w14:paraId="49A17E54" w14:textId="77777777" w:rsidR="00BA759F" w:rsidRPr="004E74A6" w:rsidRDefault="00BA759F" w:rsidP="00832773">
      <w:pPr>
        <w:spacing w:line="276" w:lineRule="auto"/>
        <w:rPr>
          <w:rFonts w:cs="Calibri"/>
          <w:i/>
          <w:iCs/>
          <w:color w:val="000000"/>
          <w:sz w:val="20"/>
          <w:lang w:eastAsia="es-CR"/>
        </w:rPr>
      </w:pPr>
      <w:r w:rsidRPr="004E74A6">
        <w:rPr>
          <w:rFonts w:cs="Calibri"/>
          <w:b/>
          <w:bCs/>
          <w:i/>
          <w:iCs/>
          <w:color w:val="000000"/>
          <w:sz w:val="20"/>
          <w:lang w:eastAsia="es-CR"/>
        </w:rPr>
        <w:t>Fuente</w:t>
      </w:r>
      <w:r w:rsidRPr="004E74A6">
        <w:rPr>
          <w:rFonts w:cs="Calibri"/>
          <w:i/>
          <w:iCs/>
          <w:color w:val="000000"/>
          <w:sz w:val="20"/>
          <w:lang w:eastAsia="es-CR"/>
        </w:rPr>
        <w:t>: Subproceso de Modernización Institucional con datos extraídos del sistema SIGMA, Dirección de Planificación.</w:t>
      </w:r>
    </w:p>
    <w:p w14:paraId="4A644CB2" w14:textId="77777777" w:rsidR="0048792F" w:rsidRPr="004E74A6" w:rsidRDefault="0048792F" w:rsidP="00CE62C1">
      <w:pPr>
        <w:spacing w:after="160" w:line="276" w:lineRule="auto"/>
        <w:rPr>
          <w:rFonts w:cs="Calibri"/>
          <w:b/>
          <w:bCs/>
          <w:color w:val="FF0000"/>
          <w:szCs w:val="24"/>
          <w:lang w:eastAsia="es-CR"/>
        </w:rPr>
      </w:pPr>
    </w:p>
    <w:bookmarkEnd w:id="11"/>
    <w:p w14:paraId="26B43F44" w14:textId="52989C71" w:rsidR="00B04730" w:rsidRPr="00832773" w:rsidRDefault="00646290" w:rsidP="00CE62C1">
      <w:pPr>
        <w:spacing w:line="276" w:lineRule="auto"/>
        <w:rPr>
          <w:rFonts w:eastAsia="Calibri"/>
          <w:lang w:eastAsia="en-US"/>
        </w:rPr>
      </w:pPr>
      <w:r w:rsidRPr="00832773">
        <w:rPr>
          <w:rFonts w:eastAsia="Calibri"/>
          <w:lang w:eastAsia="en-US"/>
        </w:rPr>
        <w:t>En la siguiente tabla se puede observar el r</w:t>
      </w:r>
      <w:r w:rsidR="000362BC" w:rsidRPr="00832773">
        <w:rPr>
          <w:rFonts w:eastAsia="Calibri"/>
          <w:lang w:eastAsia="en-US"/>
        </w:rPr>
        <w:t xml:space="preserve">esumen de la cuantía de los recursos presentados en los </w:t>
      </w:r>
      <w:r w:rsidR="00556596" w:rsidRPr="00832773">
        <w:rPr>
          <w:rFonts w:eastAsia="Calibri"/>
          <w:lang w:eastAsia="en-US"/>
        </w:rPr>
        <w:t>T</w:t>
      </w:r>
      <w:r w:rsidR="000362BC" w:rsidRPr="00832773">
        <w:rPr>
          <w:rFonts w:eastAsia="Calibri"/>
          <w:lang w:eastAsia="en-US"/>
        </w:rPr>
        <w:t xml:space="preserve">ribunales de </w:t>
      </w:r>
      <w:r w:rsidR="00556596" w:rsidRPr="00832773">
        <w:rPr>
          <w:rFonts w:eastAsia="Calibri"/>
          <w:lang w:eastAsia="en-US"/>
        </w:rPr>
        <w:t>A</w:t>
      </w:r>
      <w:r w:rsidR="000362BC" w:rsidRPr="00832773">
        <w:rPr>
          <w:rFonts w:eastAsia="Calibri"/>
          <w:lang w:eastAsia="en-US"/>
        </w:rPr>
        <w:t xml:space="preserve">pelación </w:t>
      </w:r>
      <w:r w:rsidR="00556596" w:rsidRPr="00832773">
        <w:rPr>
          <w:rFonts w:eastAsia="Calibri"/>
          <w:lang w:eastAsia="en-US"/>
        </w:rPr>
        <w:t>C</w:t>
      </w:r>
      <w:r w:rsidR="000362BC" w:rsidRPr="00832773">
        <w:rPr>
          <w:rFonts w:eastAsia="Calibri"/>
          <w:lang w:eastAsia="en-US"/>
        </w:rPr>
        <w:t>ivil</w:t>
      </w:r>
      <w:r w:rsidR="00556596" w:rsidRPr="00832773">
        <w:rPr>
          <w:rFonts w:eastAsia="Calibri"/>
          <w:lang w:eastAsia="en-US"/>
        </w:rPr>
        <w:t>. Cabe mencionar que en esta instancia no utiliza la mejora como tal, sino que el sistema hala el dato del principal si el Juzgado o incluyó.  Igualmente, este dato es de conocimiento general y para efectos de visualizar algún impacto en las integraciones de modificarse la cuantía Civil.</w:t>
      </w:r>
      <w:r w:rsidR="00B04730" w:rsidRPr="00832773">
        <w:rPr>
          <w:rFonts w:eastAsia="Calibri"/>
          <w:lang w:eastAsia="en-US"/>
        </w:rPr>
        <w:t xml:space="preserve"> </w:t>
      </w:r>
    </w:p>
    <w:p w14:paraId="72B6D2B1" w14:textId="6BEBEB71" w:rsidR="00712BDB" w:rsidRPr="00832773" w:rsidRDefault="00712BDB" w:rsidP="00CE62C1">
      <w:pPr>
        <w:spacing w:line="276" w:lineRule="auto"/>
        <w:rPr>
          <w:rFonts w:eastAsia="Calibri"/>
          <w:lang w:eastAsia="en-US"/>
        </w:rPr>
      </w:pPr>
    </w:p>
    <w:p w14:paraId="5FDEDB0E" w14:textId="3EB2AF6C" w:rsidR="00D4216E" w:rsidRPr="00832773" w:rsidRDefault="00D4216E" w:rsidP="00CE62C1">
      <w:pPr>
        <w:spacing w:line="276" w:lineRule="auto"/>
        <w:rPr>
          <w:rFonts w:eastAsia="Calibri"/>
          <w:lang w:eastAsia="en-US"/>
        </w:rPr>
      </w:pPr>
    </w:p>
    <w:p w14:paraId="6800AA63" w14:textId="6F2FEBB5" w:rsidR="00B126BE" w:rsidRPr="00832773" w:rsidRDefault="00B126BE" w:rsidP="00CE62C1">
      <w:pPr>
        <w:spacing w:line="276" w:lineRule="auto"/>
        <w:rPr>
          <w:rFonts w:eastAsia="Calibri"/>
          <w:lang w:eastAsia="en-US"/>
        </w:rPr>
      </w:pPr>
    </w:p>
    <w:p w14:paraId="1C7263FC" w14:textId="1202FE67" w:rsidR="00B126BE" w:rsidRPr="00832773" w:rsidRDefault="00B126BE" w:rsidP="00CE62C1">
      <w:pPr>
        <w:spacing w:line="276" w:lineRule="auto"/>
        <w:rPr>
          <w:rFonts w:eastAsia="Calibri"/>
          <w:lang w:eastAsia="en-US"/>
        </w:rPr>
      </w:pPr>
    </w:p>
    <w:p w14:paraId="577B97C3" w14:textId="3B79F625" w:rsidR="00A822FB" w:rsidRDefault="00A822FB" w:rsidP="00832773">
      <w:pPr>
        <w:pStyle w:val="Descripcin"/>
        <w:keepNext/>
        <w:spacing w:line="276" w:lineRule="auto"/>
        <w:jc w:val="center"/>
        <w:rPr>
          <w:rFonts w:ascii="Book Antiqua" w:hAnsi="Book Antiqua"/>
          <w:i/>
          <w:iCs/>
          <w:sz w:val="20"/>
          <w:szCs w:val="16"/>
          <w:lang w:val="es-CR"/>
        </w:rPr>
      </w:pPr>
    </w:p>
    <w:p w14:paraId="50E4CF45" w14:textId="77777777" w:rsidR="00A822FB" w:rsidRPr="00A822FB" w:rsidRDefault="00A822FB" w:rsidP="00A822FB"/>
    <w:p w14:paraId="5482900E" w14:textId="5EBB6E19" w:rsidR="006B2BCE" w:rsidRPr="00832773" w:rsidRDefault="006B2BCE" w:rsidP="00832773">
      <w:pPr>
        <w:pStyle w:val="Descripcin"/>
        <w:keepNext/>
        <w:spacing w:line="276" w:lineRule="auto"/>
        <w:jc w:val="center"/>
        <w:rPr>
          <w:rFonts w:ascii="Book Antiqua" w:hAnsi="Book Antiqua"/>
          <w:i/>
          <w:iCs/>
          <w:sz w:val="20"/>
          <w:szCs w:val="16"/>
          <w:lang w:val="es-CR"/>
        </w:rPr>
      </w:pPr>
      <w:r w:rsidRPr="00832773">
        <w:rPr>
          <w:rFonts w:ascii="Book Antiqua" w:hAnsi="Book Antiqua"/>
          <w:i/>
          <w:iCs/>
          <w:sz w:val="20"/>
          <w:szCs w:val="16"/>
          <w:lang w:val="es-CR"/>
        </w:rPr>
        <w:lastRenderedPageBreak/>
        <w:t xml:space="preserve">Tabla </w:t>
      </w:r>
      <w:r w:rsidRPr="00832773">
        <w:rPr>
          <w:rFonts w:ascii="Book Antiqua" w:hAnsi="Book Antiqua"/>
          <w:i/>
          <w:iCs/>
          <w:sz w:val="20"/>
          <w:szCs w:val="16"/>
          <w:lang w:val="es-CR"/>
        </w:rPr>
        <w:fldChar w:fldCharType="begin"/>
      </w:r>
      <w:r w:rsidRPr="00832773">
        <w:rPr>
          <w:rFonts w:ascii="Book Antiqua" w:hAnsi="Book Antiqua"/>
          <w:i/>
          <w:iCs/>
          <w:sz w:val="20"/>
          <w:szCs w:val="16"/>
          <w:lang w:val="es-CR"/>
        </w:rPr>
        <w:instrText xml:space="preserve"> SEQ Tabla \* ARABIC </w:instrText>
      </w:r>
      <w:r w:rsidRPr="00832773">
        <w:rPr>
          <w:rFonts w:ascii="Book Antiqua" w:hAnsi="Book Antiqua"/>
          <w:i/>
          <w:iCs/>
          <w:sz w:val="20"/>
          <w:szCs w:val="16"/>
          <w:lang w:val="es-CR"/>
        </w:rPr>
        <w:fldChar w:fldCharType="separate"/>
      </w:r>
      <w:r w:rsidR="00374B51">
        <w:rPr>
          <w:rFonts w:ascii="Book Antiqua" w:hAnsi="Book Antiqua"/>
          <w:i/>
          <w:iCs/>
          <w:noProof/>
          <w:sz w:val="20"/>
          <w:szCs w:val="16"/>
          <w:lang w:val="es-CR"/>
        </w:rPr>
        <w:t>53</w:t>
      </w:r>
      <w:r w:rsidRPr="00832773">
        <w:rPr>
          <w:rFonts w:ascii="Book Antiqua" w:hAnsi="Book Antiqua"/>
          <w:i/>
          <w:iCs/>
          <w:sz w:val="20"/>
          <w:szCs w:val="16"/>
          <w:lang w:val="es-CR"/>
        </w:rPr>
        <w:fldChar w:fldCharType="end"/>
      </w:r>
      <w:r w:rsidRPr="00832773">
        <w:rPr>
          <w:rFonts w:ascii="Book Antiqua" w:hAnsi="Book Antiqua"/>
          <w:i/>
          <w:iCs/>
          <w:sz w:val="20"/>
          <w:szCs w:val="16"/>
          <w:lang w:val="es-CR"/>
        </w:rPr>
        <w:t xml:space="preserve"> Resumen de cuantía de los recursos presentados en los Tribunales de Apelación Civil, según el promedio de lo ingresado anualmente durante el periodo 2019-2021</w:t>
      </w:r>
    </w:p>
    <w:tbl>
      <w:tblPr>
        <w:tblStyle w:val="Tablaconcuadrcula"/>
        <w:tblW w:w="0" w:type="auto"/>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78"/>
        <w:gridCol w:w="1471"/>
        <w:gridCol w:w="1472"/>
        <w:gridCol w:w="1472"/>
        <w:gridCol w:w="1472"/>
      </w:tblGrid>
      <w:tr w:rsidR="000362BC" w:rsidRPr="004E74A6" w14:paraId="33AA6CAF" w14:textId="77777777" w:rsidTr="00646290">
        <w:trPr>
          <w:trHeight w:val="454"/>
          <w:tblHeader/>
          <w:jc w:val="center"/>
        </w:trPr>
        <w:tc>
          <w:tcPr>
            <w:tcW w:w="2778" w:type="dxa"/>
            <w:vMerge w:val="restart"/>
            <w:tcBorders>
              <w:top w:val="single" w:sz="4" w:space="0" w:color="auto"/>
              <w:bottom w:val="single" w:sz="4" w:space="0" w:color="auto"/>
              <w:right w:val="single" w:sz="4" w:space="0" w:color="auto"/>
            </w:tcBorders>
            <w:vAlign w:val="center"/>
          </w:tcPr>
          <w:p w14:paraId="2F68B139" w14:textId="15FC34DB" w:rsidR="000362BC" w:rsidRPr="00832773" w:rsidRDefault="000362BC" w:rsidP="00CE62C1">
            <w:pPr>
              <w:spacing w:line="276" w:lineRule="auto"/>
              <w:jc w:val="center"/>
              <w:rPr>
                <w:rFonts w:eastAsia="Calibri"/>
                <w:sz w:val="20"/>
                <w:lang w:eastAsia="en-US"/>
              </w:rPr>
            </w:pPr>
            <w:r w:rsidRPr="00832773">
              <w:rPr>
                <w:rFonts w:eastAsia="Calibri"/>
                <w:sz w:val="20"/>
                <w:lang w:eastAsia="en-US"/>
              </w:rPr>
              <w:t>Tribunal de</w:t>
            </w:r>
            <w:r w:rsidR="00B04730" w:rsidRPr="00832773">
              <w:rPr>
                <w:rFonts w:eastAsia="Calibri"/>
                <w:sz w:val="20"/>
                <w:lang w:eastAsia="en-US"/>
              </w:rPr>
              <w:t xml:space="preserve"> A</w:t>
            </w:r>
            <w:r w:rsidRPr="00832773">
              <w:rPr>
                <w:rFonts w:eastAsia="Calibri"/>
                <w:sz w:val="20"/>
                <w:lang w:eastAsia="en-US"/>
              </w:rPr>
              <w:t>pelación</w:t>
            </w:r>
          </w:p>
        </w:tc>
        <w:tc>
          <w:tcPr>
            <w:tcW w:w="5887" w:type="dxa"/>
            <w:gridSpan w:val="4"/>
            <w:tcBorders>
              <w:top w:val="single" w:sz="4" w:space="0" w:color="auto"/>
              <w:left w:val="single" w:sz="4" w:space="0" w:color="auto"/>
              <w:bottom w:val="single" w:sz="4" w:space="0" w:color="auto"/>
            </w:tcBorders>
            <w:vAlign w:val="center"/>
          </w:tcPr>
          <w:p w14:paraId="4DC4A92D" w14:textId="043253E4" w:rsidR="000362BC" w:rsidRPr="00832773" w:rsidRDefault="000362BC" w:rsidP="00CE62C1">
            <w:pPr>
              <w:spacing w:line="276" w:lineRule="auto"/>
              <w:jc w:val="center"/>
              <w:rPr>
                <w:rFonts w:eastAsia="Calibri"/>
                <w:sz w:val="20"/>
                <w:lang w:eastAsia="en-US"/>
              </w:rPr>
            </w:pPr>
            <w:r w:rsidRPr="00832773">
              <w:rPr>
                <w:rFonts w:eastAsia="Calibri"/>
                <w:sz w:val="20"/>
                <w:lang w:eastAsia="en-US"/>
              </w:rPr>
              <w:t>cuantía</w:t>
            </w:r>
          </w:p>
        </w:tc>
      </w:tr>
      <w:tr w:rsidR="000362BC" w:rsidRPr="004E74A6" w14:paraId="1702A090" w14:textId="77777777" w:rsidTr="00646290">
        <w:trPr>
          <w:tblHeader/>
          <w:jc w:val="center"/>
        </w:trPr>
        <w:tc>
          <w:tcPr>
            <w:tcW w:w="2778" w:type="dxa"/>
            <w:vMerge/>
            <w:tcBorders>
              <w:top w:val="single" w:sz="4" w:space="0" w:color="auto"/>
              <w:bottom w:val="single" w:sz="4" w:space="0" w:color="auto"/>
              <w:right w:val="single" w:sz="4" w:space="0" w:color="auto"/>
            </w:tcBorders>
          </w:tcPr>
          <w:p w14:paraId="2C184AFE" w14:textId="77777777" w:rsidR="000362BC" w:rsidRPr="00832773" w:rsidRDefault="000362BC" w:rsidP="00CE62C1">
            <w:pPr>
              <w:spacing w:line="276" w:lineRule="auto"/>
              <w:rPr>
                <w:rFonts w:eastAsia="Calibri"/>
                <w:sz w:val="20"/>
                <w:lang w:eastAsia="en-US"/>
              </w:rPr>
            </w:pPr>
          </w:p>
        </w:tc>
        <w:tc>
          <w:tcPr>
            <w:tcW w:w="1471" w:type="dxa"/>
            <w:tcBorders>
              <w:top w:val="single" w:sz="4" w:space="0" w:color="auto"/>
              <w:left w:val="single" w:sz="4" w:space="0" w:color="auto"/>
              <w:bottom w:val="single" w:sz="4" w:space="0" w:color="auto"/>
              <w:right w:val="single" w:sz="4" w:space="0" w:color="auto"/>
            </w:tcBorders>
            <w:vAlign w:val="center"/>
          </w:tcPr>
          <w:p w14:paraId="3B01CECF" w14:textId="38706D2C" w:rsidR="000362BC" w:rsidRPr="00832773" w:rsidRDefault="000362BC" w:rsidP="00CE62C1">
            <w:pPr>
              <w:spacing w:line="276" w:lineRule="auto"/>
              <w:jc w:val="center"/>
              <w:rPr>
                <w:rFonts w:eastAsia="Calibri"/>
                <w:sz w:val="20"/>
                <w:lang w:eastAsia="en-US"/>
              </w:rPr>
            </w:pPr>
            <w:r w:rsidRPr="00832773">
              <w:rPr>
                <w:rFonts w:eastAsia="Calibri"/>
                <w:sz w:val="20"/>
                <w:lang w:eastAsia="en-US"/>
              </w:rPr>
              <w:t>Estimable</w:t>
            </w:r>
          </w:p>
        </w:tc>
        <w:tc>
          <w:tcPr>
            <w:tcW w:w="1472" w:type="dxa"/>
            <w:tcBorders>
              <w:top w:val="single" w:sz="4" w:space="0" w:color="auto"/>
              <w:left w:val="single" w:sz="4" w:space="0" w:color="auto"/>
              <w:bottom w:val="single" w:sz="4" w:space="0" w:color="auto"/>
              <w:right w:val="single" w:sz="4" w:space="0" w:color="auto"/>
            </w:tcBorders>
            <w:vAlign w:val="center"/>
          </w:tcPr>
          <w:p w14:paraId="4F67C18D" w14:textId="67A1AB2C" w:rsidR="000362BC" w:rsidRPr="00832773" w:rsidRDefault="000362BC" w:rsidP="00CE62C1">
            <w:pPr>
              <w:spacing w:line="276" w:lineRule="auto"/>
              <w:jc w:val="center"/>
              <w:rPr>
                <w:rFonts w:eastAsia="Calibri"/>
                <w:sz w:val="20"/>
                <w:lang w:eastAsia="en-US"/>
              </w:rPr>
            </w:pPr>
            <w:r w:rsidRPr="00832773">
              <w:rPr>
                <w:rFonts w:eastAsia="Calibri"/>
                <w:sz w:val="20"/>
                <w:lang w:eastAsia="en-US"/>
              </w:rPr>
              <w:t>Inestimable</w:t>
            </w:r>
          </w:p>
        </w:tc>
        <w:tc>
          <w:tcPr>
            <w:tcW w:w="1472" w:type="dxa"/>
            <w:tcBorders>
              <w:top w:val="single" w:sz="4" w:space="0" w:color="auto"/>
              <w:left w:val="single" w:sz="4" w:space="0" w:color="auto"/>
              <w:bottom w:val="single" w:sz="4" w:space="0" w:color="auto"/>
              <w:right w:val="single" w:sz="4" w:space="0" w:color="auto"/>
            </w:tcBorders>
            <w:vAlign w:val="center"/>
          </w:tcPr>
          <w:p w14:paraId="5A791CB5" w14:textId="0D30DA77" w:rsidR="000362BC" w:rsidRPr="00832773" w:rsidRDefault="000362BC" w:rsidP="00CE62C1">
            <w:pPr>
              <w:spacing w:line="276" w:lineRule="auto"/>
              <w:jc w:val="center"/>
              <w:rPr>
                <w:rFonts w:eastAsia="Calibri"/>
                <w:sz w:val="20"/>
                <w:lang w:eastAsia="en-US"/>
              </w:rPr>
            </w:pPr>
            <w:r w:rsidRPr="00832773">
              <w:rPr>
                <w:rFonts w:eastAsia="Calibri"/>
                <w:sz w:val="20"/>
                <w:lang w:eastAsia="en-US"/>
              </w:rPr>
              <w:t>Sin actualizar</w:t>
            </w:r>
          </w:p>
        </w:tc>
        <w:tc>
          <w:tcPr>
            <w:tcW w:w="1472" w:type="dxa"/>
            <w:tcBorders>
              <w:top w:val="single" w:sz="4" w:space="0" w:color="auto"/>
              <w:left w:val="single" w:sz="4" w:space="0" w:color="auto"/>
              <w:bottom w:val="single" w:sz="4" w:space="0" w:color="auto"/>
            </w:tcBorders>
            <w:vAlign w:val="center"/>
          </w:tcPr>
          <w:p w14:paraId="734F2777" w14:textId="1091F2D6" w:rsidR="000362BC" w:rsidRPr="00832773" w:rsidRDefault="000362BC" w:rsidP="00CE62C1">
            <w:pPr>
              <w:spacing w:line="276" w:lineRule="auto"/>
              <w:jc w:val="center"/>
              <w:rPr>
                <w:rFonts w:eastAsia="Calibri"/>
                <w:sz w:val="20"/>
                <w:lang w:eastAsia="en-US"/>
              </w:rPr>
            </w:pPr>
            <w:r w:rsidRPr="00832773">
              <w:rPr>
                <w:rFonts w:eastAsia="Calibri"/>
                <w:sz w:val="20"/>
                <w:lang w:eastAsia="en-US"/>
              </w:rPr>
              <w:t>No aplica</w:t>
            </w:r>
          </w:p>
        </w:tc>
      </w:tr>
      <w:tr w:rsidR="00646290" w:rsidRPr="004E74A6" w14:paraId="26A939F3" w14:textId="77777777" w:rsidTr="00646290">
        <w:trPr>
          <w:jc w:val="center"/>
        </w:trPr>
        <w:tc>
          <w:tcPr>
            <w:tcW w:w="2778" w:type="dxa"/>
            <w:tcBorders>
              <w:top w:val="single" w:sz="4" w:space="0" w:color="auto"/>
              <w:right w:val="single" w:sz="4" w:space="0" w:color="auto"/>
            </w:tcBorders>
          </w:tcPr>
          <w:p w14:paraId="01AE883B" w14:textId="77777777" w:rsidR="00646290" w:rsidRPr="00832773" w:rsidRDefault="00646290" w:rsidP="00CE62C1">
            <w:pPr>
              <w:spacing w:line="276" w:lineRule="auto"/>
              <w:rPr>
                <w:rFonts w:eastAsia="Calibri"/>
                <w:sz w:val="20"/>
                <w:lang w:eastAsia="en-US"/>
              </w:rPr>
            </w:pPr>
          </w:p>
        </w:tc>
        <w:tc>
          <w:tcPr>
            <w:tcW w:w="1471" w:type="dxa"/>
            <w:tcBorders>
              <w:top w:val="single" w:sz="4" w:space="0" w:color="auto"/>
              <w:left w:val="single" w:sz="4" w:space="0" w:color="auto"/>
              <w:right w:val="single" w:sz="4" w:space="0" w:color="auto"/>
            </w:tcBorders>
            <w:vAlign w:val="center"/>
          </w:tcPr>
          <w:p w14:paraId="1FACF4DC" w14:textId="77777777" w:rsidR="00646290" w:rsidRPr="00832773" w:rsidRDefault="00646290" w:rsidP="00CE62C1">
            <w:pPr>
              <w:spacing w:line="276" w:lineRule="auto"/>
              <w:jc w:val="center"/>
              <w:rPr>
                <w:rFonts w:eastAsia="Calibri"/>
                <w:sz w:val="20"/>
                <w:lang w:eastAsia="en-US"/>
              </w:rPr>
            </w:pPr>
          </w:p>
        </w:tc>
        <w:tc>
          <w:tcPr>
            <w:tcW w:w="1472" w:type="dxa"/>
            <w:tcBorders>
              <w:top w:val="single" w:sz="4" w:space="0" w:color="auto"/>
              <w:left w:val="single" w:sz="4" w:space="0" w:color="auto"/>
              <w:right w:val="single" w:sz="4" w:space="0" w:color="auto"/>
            </w:tcBorders>
            <w:vAlign w:val="center"/>
          </w:tcPr>
          <w:p w14:paraId="493A62F5" w14:textId="77777777" w:rsidR="00646290" w:rsidRPr="00832773" w:rsidRDefault="00646290" w:rsidP="00CE62C1">
            <w:pPr>
              <w:spacing w:line="276" w:lineRule="auto"/>
              <w:jc w:val="center"/>
              <w:rPr>
                <w:rFonts w:eastAsia="Calibri"/>
                <w:sz w:val="20"/>
                <w:lang w:eastAsia="en-US"/>
              </w:rPr>
            </w:pPr>
          </w:p>
        </w:tc>
        <w:tc>
          <w:tcPr>
            <w:tcW w:w="1472" w:type="dxa"/>
            <w:tcBorders>
              <w:top w:val="single" w:sz="4" w:space="0" w:color="auto"/>
              <w:left w:val="single" w:sz="4" w:space="0" w:color="auto"/>
              <w:right w:val="single" w:sz="4" w:space="0" w:color="auto"/>
            </w:tcBorders>
            <w:vAlign w:val="center"/>
          </w:tcPr>
          <w:p w14:paraId="5FF322F9" w14:textId="77777777" w:rsidR="00646290" w:rsidRPr="00832773" w:rsidRDefault="00646290" w:rsidP="00CE62C1">
            <w:pPr>
              <w:spacing w:line="276" w:lineRule="auto"/>
              <w:jc w:val="center"/>
              <w:rPr>
                <w:rFonts w:eastAsia="Calibri"/>
                <w:sz w:val="20"/>
                <w:lang w:eastAsia="en-US"/>
              </w:rPr>
            </w:pPr>
          </w:p>
        </w:tc>
        <w:tc>
          <w:tcPr>
            <w:tcW w:w="1472" w:type="dxa"/>
            <w:tcBorders>
              <w:top w:val="single" w:sz="4" w:space="0" w:color="auto"/>
              <w:left w:val="single" w:sz="4" w:space="0" w:color="auto"/>
            </w:tcBorders>
            <w:vAlign w:val="center"/>
          </w:tcPr>
          <w:p w14:paraId="0D919FB9" w14:textId="77777777" w:rsidR="00646290" w:rsidRPr="00832773" w:rsidRDefault="00646290" w:rsidP="00CE62C1">
            <w:pPr>
              <w:spacing w:line="276" w:lineRule="auto"/>
              <w:jc w:val="center"/>
              <w:rPr>
                <w:rFonts w:eastAsia="Calibri"/>
                <w:sz w:val="20"/>
                <w:lang w:eastAsia="en-US"/>
              </w:rPr>
            </w:pPr>
          </w:p>
        </w:tc>
      </w:tr>
      <w:tr w:rsidR="000362BC" w:rsidRPr="004E74A6" w14:paraId="5B6DDE8A" w14:textId="77777777" w:rsidTr="00646290">
        <w:trPr>
          <w:jc w:val="center"/>
        </w:trPr>
        <w:tc>
          <w:tcPr>
            <w:tcW w:w="2778" w:type="dxa"/>
            <w:tcBorders>
              <w:bottom w:val="single" w:sz="4" w:space="0" w:color="D9D9D9" w:themeColor="background1" w:themeShade="D9"/>
              <w:right w:val="single" w:sz="4" w:space="0" w:color="auto"/>
            </w:tcBorders>
          </w:tcPr>
          <w:p w14:paraId="5AD66C82" w14:textId="264E1FA5" w:rsidR="000362BC" w:rsidRPr="00832773" w:rsidRDefault="000362BC" w:rsidP="00CE62C1">
            <w:pPr>
              <w:spacing w:line="276" w:lineRule="auto"/>
              <w:rPr>
                <w:rFonts w:eastAsia="Calibri"/>
                <w:sz w:val="20"/>
                <w:lang w:eastAsia="en-US"/>
              </w:rPr>
            </w:pPr>
            <w:r w:rsidRPr="00832773">
              <w:rPr>
                <w:rFonts w:eastAsia="Calibri"/>
                <w:sz w:val="20"/>
                <w:lang w:eastAsia="en-US"/>
              </w:rPr>
              <w:t>Tribunal de Apelación Civil y Trabajo Zona Sur</w:t>
            </w:r>
          </w:p>
        </w:tc>
        <w:tc>
          <w:tcPr>
            <w:tcW w:w="1471" w:type="dxa"/>
            <w:tcBorders>
              <w:left w:val="single" w:sz="4" w:space="0" w:color="auto"/>
              <w:bottom w:val="single" w:sz="4" w:space="0" w:color="D9D9D9" w:themeColor="background1" w:themeShade="D9"/>
              <w:right w:val="single" w:sz="4" w:space="0" w:color="auto"/>
            </w:tcBorders>
            <w:vAlign w:val="center"/>
          </w:tcPr>
          <w:p w14:paraId="48585A7A" w14:textId="77777777" w:rsidR="000362BC" w:rsidRPr="00832773" w:rsidRDefault="000362BC" w:rsidP="00CE62C1">
            <w:pPr>
              <w:spacing w:line="276" w:lineRule="auto"/>
              <w:jc w:val="center"/>
              <w:rPr>
                <w:rFonts w:eastAsia="Calibri"/>
                <w:sz w:val="20"/>
                <w:lang w:eastAsia="en-US"/>
              </w:rPr>
            </w:pPr>
            <w:r w:rsidRPr="00832773">
              <w:rPr>
                <w:rFonts w:eastAsia="Calibri"/>
                <w:sz w:val="20"/>
                <w:lang w:eastAsia="en-US"/>
              </w:rPr>
              <w:t>0%</w:t>
            </w:r>
          </w:p>
          <w:p w14:paraId="6F0D99E8" w14:textId="0093DD01" w:rsidR="000362BC" w:rsidRPr="00832773" w:rsidRDefault="000362BC" w:rsidP="00CE62C1">
            <w:pPr>
              <w:spacing w:line="276" w:lineRule="auto"/>
              <w:jc w:val="center"/>
              <w:rPr>
                <w:rFonts w:eastAsia="Calibri"/>
                <w:sz w:val="20"/>
                <w:lang w:eastAsia="en-US"/>
              </w:rPr>
            </w:pPr>
            <w:r w:rsidRPr="00832773">
              <w:rPr>
                <w:rFonts w:eastAsia="Calibri"/>
                <w:sz w:val="20"/>
                <w:lang w:eastAsia="en-US"/>
              </w:rPr>
              <w:t>0</w:t>
            </w:r>
          </w:p>
        </w:tc>
        <w:tc>
          <w:tcPr>
            <w:tcW w:w="1472" w:type="dxa"/>
            <w:tcBorders>
              <w:left w:val="single" w:sz="4" w:space="0" w:color="auto"/>
              <w:bottom w:val="single" w:sz="4" w:space="0" w:color="D9D9D9" w:themeColor="background1" w:themeShade="D9"/>
              <w:right w:val="single" w:sz="4" w:space="0" w:color="auto"/>
            </w:tcBorders>
            <w:vAlign w:val="center"/>
          </w:tcPr>
          <w:p w14:paraId="30823C4C" w14:textId="77777777" w:rsidR="000362BC" w:rsidRPr="00832773" w:rsidRDefault="000362BC" w:rsidP="00CE62C1">
            <w:pPr>
              <w:spacing w:line="276" w:lineRule="auto"/>
              <w:jc w:val="center"/>
              <w:rPr>
                <w:rFonts w:eastAsia="Calibri"/>
                <w:sz w:val="20"/>
                <w:lang w:eastAsia="en-US"/>
              </w:rPr>
            </w:pPr>
            <w:r w:rsidRPr="00832773">
              <w:rPr>
                <w:rFonts w:eastAsia="Calibri"/>
                <w:sz w:val="20"/>
                <w:lang w:eastAsia="en-US"/>
              </w:rPr>
              <w:t>0%</w:t>
            </w:r>
          </w:p>
          <w:p w14:paraId="77D63B96" w14:textId="0F500482" w:rsidR="000362BC" w:rsidRPr="00832773" w:rsidRDefault="000362BC" w:rsidP="00CE62C1">
            <w:pPr>
              <w:spacing w:line="276" w:lineRule="auto"/>
              <w:jc w:val="center"/>
              <w:rPr>
                <w:rFonts w:eastAsia="Calibri"/>
                <w:sz w:val="20"/>
                <w:lang w:eastAsia="en-US"/>
              </w:rPr>
            </w:pPr>
            <w:r w:rsidRPr="00832773">
              <w:rPr>
                <w:rFonts w:eastAsia="Calibri"/>
                <w:sz w:val="20"/>
                <w:lang w:eastAsia="en-US"/>
              </w:rPr>
              <w:t>0</w:t>
            </w:r>
          </w:p>
        </w:tc>
        <w:tc>
          <w:tcPr>
            <w:tcW w:w="1472" w:type="dxa"/>
            <w:tcBorders>
              <w:left w:val="single" w:sz="4" w:space="0" w:color="auto"/>
              <w:bottom w:val="single" w:sz="4" w:space="0" w:color="D9D9D9" w:themeColor="background1" w:themeShade="D9"/>
              <w:right w:val="single" w:sz="4" w:space="0" w:color="auto"/>
            </w:tcBorders>
            <w:vAlign w:val="center"/>
          </w:tcPr>
          <w:p w14:paraId="40387D01" w14:textId="77777777" w:rsidR="000362BC" w:rsidRPr="00832773" w:rsidRDefault="000362BC" w:rsidP="00CE62C1">
            <w:pPr>
              <w:spacing w:line="276" w:lineRule="auto"/>
              <w:jc w:val="center"/>
              <w:rPr>
                <w:rFonts w:eastAsia="Calibri"/>
                <w:sz w:val="20"/>
                <w:lang w:eastAsia="en-US"/>
              </w:rPr>
            </w:pPr>
            <w:r w:rsidRPr="00832773">
              <w:rPr>
                <w:rFonts w:eastAsia="Calibri"/>
                <w:sz w:val="20"/>
                <w:lang w:eastAsia="en-US"/>
              </w:rPr>
              <w:t>41,8%</w:t>
            </w:r>
          </w:p>
          <w:p w14:paraId="70B8CF51" w14:textId="368167BE" w:rsidR="000362BC" w:rsidRPr="00832773" w:rsidRDefault="000362BC" w:rsidP="00CE62C1">
            <w:pPr>
              <w:spacing w:line="276" w:lineRule="auto"/>
              <w:jc w:val="center"/>
              <w:rPr>
                <w:rFonts w:eastAsia="Calibri"/>
                <w:sz w:val="20"/>
                <w:lang w:eastAsia="en-US"/>
              </w:rPr>
            </w:pPr>
            <w:r w:rsidRPr="00832773">
              <w:rPr>
                <w:rFonts w:eastAsia="Calibri"/>
                <w:sz w:val="20"/>
                <w:lang w:eastAsia="en-US"/>
              </w:rPr>
              <w:t>198</w:t>
            </w:r>
          </w:p>
        </w:tc>
        <w:tc>
          <w:tcPr>
            <w:tcW w:w="1472" w:type="dxa"/>
            <w:tcBorders>
              <w:left w:val="single" w:sz="4" w:space="0" w:color="auto"/>
              <w:bottom w:val="single" w:sz="4" w:space="0" w:color="D9D9D9" w:themeColor="background1" w:themeShade="D9"/>
            </w:tcBorders>
            <w:vAlign w:val="center"/>
          </w:tcPr>
          <w:p w14:paraId="70F24EE6" w14:textId="77777777" w:rsidR="000362BC" w:rsidRPr="00832773" w:rsidRDefault="000362BC" w:rsidP="00CE62C1">
            <w:pPr>
              <w:spacing w:line="276" w:lineRule="auto"/>
              <w:jc w:val="center"/>
              <w:rPr>
                <w:rFonts w:eastAsia="Calibri"/>
                <w:sz w:val="20"/>
                <w:lang w:eastAsia="en-US"/>
              </w:rPr>
            </w:pPr>
            <w:r w:rsidRPr="00832773">
              <w:rPr>
                <w:rFonts w:eastAsia="Calibri"/>
                <w:sz w:val="20"/>
                <w:lang w:eastAsia="en-US"/>
              </w:rPr>
              <w:t>58,2%</w:t>
            </w:r>
          </w:p>
          <w:p w14:paraId="7CF650EE" w14:textId="2AD71821" w:rsidR="000362BC" w:rsidRPr="00832773" w:rsidRDefault="000362BC" w:rsidP="00CE62C1">
            <w:pPr>
              <w:spacing w:line="276" w:lineRule="auto"/>
              <w:jc w:val="center"/>
              <w:rPr>
                <w:rFonts w:eastAsia="Calibri"/>
                <w:sz w:val="20"/>
                <w:lang w:eastAsia="en-US"/>
              </w:rPr>
            </w:pPr>
            <w:r w:rsidRPr="00832773">
              <w:rPr>
                <w:rFonts w:eastAsia="Calibri"/>
                <w:sz w:val="20"/>
                <w:lang w:eastAsia="en-US"/>
              </w:rPr>
              <w:t>276</w:t>
            </w:r>
          </w:p>
        </w:tc>
      </w:tr>
      <w:tr w:rsidR="000362BC" w:rsidRPr="004E74A6" w14:paraId="3EAD17E1" w14:textId="77777777" w:rsidTr="00646290">
        <w:trPr>
          <w:jc w:val="center"/>
        </w:trPr>
        <w:tc>
          <w:tcPr>
            <w:tcW w:w="2778" w:type="dxa"/>
            <w:tcBorders>
              <w:top w:val="single" w:sz="4" w:space="0" w:color="D9D9D9" w:themeColor="background1" w:themeShade="D9"/>
              <w:bottom w:val="single" w:sz="4" w:space="0" w:color="D9D9D9" w:themeColor="background1" w:themeShade="D9"/>
              <w:right w:val="single" w:sz="4" w:space="0" w:color="auto"/>
            </w:tcBorders>
          </w:tcPr>
          <w:p w14:paraId="20FF2F19" w14:textId="6595971A" w:rsidR="000362BC" w:rsidRPr="00832773" w:rsidRDefault="000362BC" w:rsidP="00CE62C1">
            <w:pPr>
              <w:spacing w:line="276" w:lineRule="auto"/>
              <w:rPr>
                <w:rFonts w:eastAsia="Calibri"/>
                <w:sz w:val="20"/>
                <w:lang w:eastAsia="en-US"/>
              </w:rPr>
            </w:pPr>
            <w:r w:rsidRPr="00832773">
              <w:rPr>
                <w:rFonts w:eastAsia="Calibri"/>
                <w:sz w:val="20"/>
                <w:lang w:eastAsia="en-US"/>
              </w:rPr>
              <w:t>Tribunal de Apelación Civil y Trabajo Alajuela</w:t>
            </w:r>
          </w:p>
        </w:tc>
        <w:tc>
          <w:tcPr>
            <w:tcW w:w="1471" w:type="dxa"/>
            <w:tcBorders>
              <w:top w:val="single" w:sz="4" w:space="0" w:color="D9D9D9" w:themeColor="background1" w:themeShade="D9"/>
              <w:left w:val="single" w:sz="4" w:space="0" w:color="auto"/>
              <w:bottom w:val="single" w:sz="4" w:space="0" w:color="D9D9D9" w:themeColor="background1" w:themeShade="D9"/>
              <w:right w:val="single" w:sz="4" w:space="0" w:color="auto"/>
            </w:tcBorders>
            <w:vAlign w:val="center"/>
          </w:tcPr>
          <w:p w14:paraId="05675BD3" w14:textId="77777777" w:rsidR="00646290" w:rsidRPr="00832773" w:rsidRDefault="00646290" w:rsidP="00CE62C1">
            <w:pPr>
              <w:spacing w:line="276" w:lineRule="auto"/>
              <w:jc w:val="center"/>
              <w:rPr>
                <w:rFonts w:eastAsia="Calibri"/>
                <w:sz w:val="20"/>
                <w:lang w:eastAsia="en-US"/>
              </w:rPr>
            </w:pPr>
            <w:r w:rsidRPr="00832773">
              <w:rPr>
                <w:rFonts w:eastAsia="Calibri"/>
                <w:sz w:val="20"/>
                <w:lang w:eastAsia="en-US"/>
              </w:rPr>
              <w:t>0%</w:t>
            </w:r>
          </w:p>
          <w:p w14:paraId="78BE9930" w14:textId="693A5151" w:rsidR="000362BC" w:rsidRPr="00832773" w:rsidRDefault="00646290" w:rsidP="00CE62C1">
            <w:pPr>
              <w:spacing w:line="276" w:lineRule="auto"/>
              <w:jc w:val="center"/>
              <w:rPr>
                <w:rFonts w:eastAsia="Calibri"/>
                <w:sz w:val="20"/>
                <w:lang w:eastAsia="en-US"/>
              </w:rPr>
            </w:pPr>
            <w:r w:rsidRPr="00832773">
              <w:rPr>
                <w:rFonts w:eastAsia="Calibri"/>
                <w:sz w:val="20"/>
                <w:lang w:eastAsia="en-US"/>
              </w:rPr>
              <w:t>0</w:t>
            </w:r>
          </w:p>
        </w:tc>
        <w:tc>
          <w:tcPr>
            <w:tcW w:w="1472" w:type="dxa"/>
            <w:tcBorders>
              <w:top w:val="single" w:sz="4" w:space="0" w:color="D9D9D9" w:themeColor="background1" w:themeShade="D9"/>
              <w:left w:val="single" w:sz="4" w:space="0" w:color="auto"/>
              <w:bottom w:val="single" w:sz="4" w:space="0" w:color="D9D9D9" w:themeColor="background1" w:themeShade="D9"/>
              <w:right w:val="single" w:sz="4" w:space="0" w:color="auto"/>
            </w:tcBorders>
            <w:vAlign w:val="center"/>
          </w:tcPr>
          <w:p w14:paraId="7D4E7BF2" w14:textId="77777777" w:rsidR="00646290" w:rsidRPr="00832773" w:rsidRDefault="00646290" w:rsidP="00CE62C1">
            <w:pPr>
              <w:spacing w:line="276" w:lineRule="auto"/>
              <w:jc w:val="center"/>
              <w:rPr>
                <w:rFonts w:eastAsia="Calibri"/>
                <w:sz w:val="20"/>
                <w:lang w:eastAsia="en-US"/>
              </w:rPr>
            </w:pPr>
            <w:r w:rsidRPr="00832773">
              <w:rPr>
                <w:rFonts w:eastAsia="Calibri"/>
                <w:sz w:val="20"/>
                <w:lang w:eastAsia="en-US"/>
              </w:rPr>
              <w:t>0%</w:t>
            </w:r>
          </w:p>
          <w:p w14:paraId="4307AEBD" w14:textId="46F5E5DB" w:rsidR="000362BC" w:rsidRPr="00832773" w:rsidRDefault="00646290" w:rsidP="00CE62C1">
            <w:pPr>
              <w:spacing w:line="276" w:lineRule="auto"/>
              <w:jc w:val="center"/>
              <w:rPr>
                <w:rFonts w:eastAsia="Calibri"/>
                <w:sz w:val="20"/>
                <w:lang w:eastAsia="en-US"/>
              </w:rPr>
            </w:pPr>
            <w:r w:rsidRPr="00832773">
              <w:rPr>
                <w:rFonts w:eastAsia="Calibri"/>
                <w:sz w:val="20"/>
                <w:lang w:eastAsia="en-US"/>
              </w:rPr>
              <w:t>0</w:t>
            </w:r>
          </w:p>
        </w:tc>
        <w:tc>
          <w:tcPr>
            <w:tcW w:w="1472" w:type="dxa"/>
            <w:tcBorders>
              <w:top w:val="single" w:sz="4" w:space="0" w:color="D9D9D9" w:themeColor="background1" w:themeShade="D9"/>
              <w:left w:val="single" w:sz="4" w:space="0" w:color="auto"/>
              <w:bottom w:val="single" w:sz="4" w:space="0" w:color="D9D9D9" w:themeColor="background1" w:themeShade="D9"/>
              <w:right w:val="single" w:sz="4" w:space="0" w:color="auto"/>
            </w:tcBorders>
            <w:vAlign w:val="center"/>
          </w:tcPr>
          <w:p w14:paraId="6621E600" w14:textId="77777777" w:rsidR="000362BC" w:rsidRPr="00832773" w:rsidRDefault="000362BC" w:rsidP="00CE62C1">
            <w:pPr>
              <w:spacing w:line="276" w:lineRule="auto"/>
              <w:jc w:val="center"/>
              <w:rPr>
                <w:rFonts w:eastAsia="Calibri"/>
                <w:sz w:val="20"/>
                <w:lang w:eastAsia="en-US"/>
              </w:rPr>
            </w:pPr>
            <w:r w:rsidRPr="00832773">
              <w:rPr>
                <w:rFonts w:eastAsia="Calibri"/>
                <w:sz w:val="20"/>
                <w:lang w:eastAsia="en-US"/>
              </w:rPr>
              <w:t>100%</w:t>
            </w:r>
          </w:p>
          <w:p w14:paraId="18C75C82" w14:textId="6855BAE9" w:rsidR="000362BC" w:rsidRPr="00832773" w:rsidRDefault="000362BC" w:rsidP="00CE62C1">
            <w:pPr>
              <w:spacing w:line="276" w:lineRule="auto"/>
              <w:jc w:val="center"/>
              <w:rPr>
                <w:rFonts w:eastAsia="Calibri"/>
                <w:sz w:val="20"/>
                <w:lang w:eastAsia="en-US"/>
              </w:rPr>
            </w:pPr>
            <w:r w:rsidRPr="00832773">
              <w:rPr>
                <w:rFonts w:eastAsia="Calibri"/>
                <w:sz w:val="20"/>
                <w:lang w:eastAsia="en-US"/>
              </w:rPr>
              <w:t>1063</w:t>
            </w:r>
          </w:p>
        </w:tc>
        <w:tc>
          <w:tcPr>
            <w:tcW w:w="1472" w:type="dxa"/>
            <w:tcBorders>
              <w:top w:val="single" w:sz="4" w:space="0" w:color="D9D9D9" w:themeColor="background1" w:themeShade="D9"/>
              <w:left w:val="single" w:sz="4" w:space="0" w:color="auto"/>
              <w:bottom w:val="single" w:sz="4" w:space="0" w:color="D9D9D9" w:themeColor="background1" w:themeShade="D9"/>
            </w:tcBorders>
            <w:vAlign w:val="center"/>
          </w:tcPr>
          <w:p w14:paraId="627FCE9C" w14:textId="77777777" w:rsidR="00646290" w:rsidRPr="00832773" w:rsidRDefault="00646290" w:rsidP="00CE62C1">
            <w:pPr>
              <w:spacing w:line="276" w:lineRule="auto"/>
              <w:jc w:val="center"/>
              <w:rPr>
                <w:rFonts w:eastAsia="Calibri"/>
                <w:sz w:val="20"/>
                <w:lang w:eastAsia="en-US"/>
              </w:rPr>
            </w:pPr>
            <w:r w:rsidRPr="00832773">
              <w:rPr>
                <w:rFonts w:eastAsia="Calibri"/>
                <w:sz w:val="20"/>
                <w:lang w:eastAsia="en-US"/>
              </w:rPr>
              <w:t>0%</w:t>
            </w:r>
          </w:p>
          <w:p w14:paraId="3334A485" w14:textId="5C261E85" w:rsidR="000362BC" w:rsidRPr="00832773" w:rsidRDefault="00646290" w:rsidP="00CE62C1">
            <w:pPr>
              <w:spacing w:line="276" w:lineRule="auto"/>
              <w:jc w:val="center"/>
              <w:rPr>
                <w:rFonts w:eastAsia="Calibri"/>
                <w:sz w:val="20"/>
                <w:lang w:eastAsia="en-US"/>
              </w:rPr>
            </w:pPr>
            <w:r w:rsidRPr="00832773">
              <w:rPr>
                <w:rFonts w:eastAsia="Calibri"/>
                <w:sz w:val="20"/>
                <w:lang w:eastAsia="en-US"/>
              </w:rPr>
              <w:t>0</w:t>
            </w:r>
          </w:p>
        </w:tc>
      </w:tr>
      <w:tr w:rsidR="000362BC" w:rsidRPr="004E74A6" w14:paraId="04DE60D9" w14:textId="77777777" w:rsidTr="00646290">
        <w:trPr>
          <w:jc w:val="center"/>
        </w:trPr>
        <w:tc>
          <w:tcPr>
            <w:tcW w:w="2778" w:type="dxa"/>
            <w:tcBorders>
              <w:top w:val="single" w:sz="4" w:space="0" w:color="D9D9D9" w:themeColor="background1" w:themeShade="D9"/>
              <w:bottom w:val="single" w:sz="4" w:space="0" w:color="D9D9D9" w:themeColor="background1" w:themeShade="D9"/>
              <w:right w:val="single" w:sz="4" w:space="0" w:color="auto"/>
            </w:tcBorders>
          </w:tcPr>
          <w:p w14:paraId="1179EBAE" w14:textId="0E54D6DB" w:rsidR="000362BC" w:rsidRPr="00832773" w:rsidRDefault="000362BC" w:rsidP="00CE62C1">
            <w:pPr>
              <w:spacing w:line="276" w:lineRule="auto"/>
              <w:rPr>
                <w:rFonts w:eastAsia="Calibri"/>
                <w:sz w:val="20"/>
                <w:lang w:eastAsia="en-US"/>
              </w:rPr>
            </w:pPr>
            <w:r w:rsidRPr="00832773">
              <w:rPr>
                <w:rFonts w:eastAsia="Calibri"/>
                <w:sz w:val="20"/>
                <w:lang w:eastAsia="en-US"/>
              </w:rPr>
              <w:t>Tribunal de Apelación Civil y Trabajo Cartago</w:t>
            </w:r>
          </w:p>
        </w:tc>
        <w:tc>
          <w:tcPr>
            <w:tcW w:w="1471" w:type="dxa"/>
            <w:tcBorders>
              <w:top w:val="single" w:sz="4" w:space="0" w:color="D9D9D9" w:themeColor="background1" w:themeShade="D9"/>
              <w:left w:val="single" w:sz="4" w:space="0" w:color="auto"/>
              <w:bottom w:val="single" w:sz="4" w:space="0" w:color="D9D9D9" w:themeColor="background1" w:themeShade="D9"/>
              <w:right w:val="single" w:sz="4" w:space="0" w:color="auto"/>
            </w:tcBorders>
            <w:vAlign w:val="center"/>
          </w:tcPr>
          <w:p w14:paraId="4C56C960" w14:textId="77777777" w:rsidR="000362BC" w:rsidRPr="00832773" w:rsidRDefault="000362BC" w:rsidP="00CE62C1">
            <w:pPr>
              <w:spacing w:line="276" w:lineRule="auto"/>
              <w:jc w:val="center"/>
              <w:rPr>
                <w:rFonts w:eastAsia="Calibri"/>
                <w:sz w:val="20"/>
                <w:lang w:eastAsia="en-US"/>
              </w:rPr>
            </w:pPr>
            <w:r w:rsidRPr="00832773">
              <w:rPr>
                <w:rFonts w:eastAsia="Calibri"/>
                <w:sz w:val="20"/>
                <w:lang w:eastAsia="en-US"/>
              </w:rPr>
              <w:t>0,1%</w:t>
            </w:r>
          </w:p>
          <w:p w14:paraId="0D533CFE" w14:textId="1AB698F1" w:rsidR="000362BC" w:rsidRPr="00832773" w:rsidRDefault="000362BC" w:rsidP="00CE62C1">
            <w:pPr>
              <w:spacing w:line="276" w:lineRule="auto"/>
              <w:jc w:val="center"/>
              <w:rPr>
                <w:rFonts w:eastAsia="Calibri"/>
                <w:sz w:val="20"/>
                <w:lang w:eastAsia="en-US"/>
              </w:rPr>
            </w:pPr>
            <w:r w:rsidRPr="00832773">
              <w:rPr>
                <w:rFonts w:eastAsia="Calibri"/>
                <w:sz w:val="20"/>
                <w:lang w:eastAsia="en-US"/>
              </w:rPr>
              <w:t>0,3</w:t>
            </w:r>
          </w:p>
        </w:tc>
        <w:tc>
          <w:tcPr>
            <w:tcW w:w="1472" w:type="dxa"/>
            <w:tcBorders>
              <w:top w:val="single" w:sz="4" w:space="0" w:color="D9D9D9" w:themeColor="background1" w:themeShade="D9"/>
              <w:left w:val="single" w:sz="4" w:space="0" w:color="auto"/>
              <w:bottom w:val="single" w:sz="4" w:space="0" w:color="D9D9D9" w:themeColor="background1" w:themeShade="D9"/>
              <w:right w:val="single" w:sz="4" w:space="0" w:color="auto"/>
            </w:tcBorders>
            <w:vAlign w:val="center"/>
          </w:tcPr>
          <w:p w14:paraId="3D6DCB14" w14:textId="77777777" w:rsidR="00646290" w:rsidRPr="00832773" w:rsidRDefault="00646290" w:rsidP="00CE62C1">
            <w:pPr>
              <w:spacing w:line="276" w:lineRule="auto"/>
              <w:jc w:val="center"/>
              <w:rPr>
                <w:rFonts w:eastAsia="Calibri"/>
                <w:sz w:val="20"/>
                <w:lang w:eastAsia="en-US"/>
              </w:rPr>
            </w:pPr>
            <w:r w:rsidRPr="00832773">
              <w:rPr>
                <w:rFonts w:eastAsia="Calibri"/>
                <w:sz w:val="20"/>
                <w:lang w:eastAsia="en-US"/>
              </w:rPr>
              <w:t>0%</w:t>
            </w:r>
          </w:p>
          <w:p w14:paraId="4D579A63" w14:textId="38149449" w:rsidR="000362BC" w:rsidRPr="00832773" w:rsidRDefault="00646290" w:rsidP="00CE62C1">
            <w:pPr>
              <w:spacing w:line="276" w:lineRule="auto"/>
              <w:jc w:val="center"/>
              <w:rPr>
                <w:rFonts w:eastAsia="Calibri"/>
                <w:sz w:val="20"/>
                <w:lang w:eastAsia="en-US"/>
              </w:rPr>
            </w:pPr>
            <w:r w:rsidRPr="00832773">
              <w:rPr>
                <w:rFonts w:eastAsia="Calibri"/>
                <w:sz w:val="20"/>
                <w:lang w:eastAsia="en-US"/>
              </w:rPr>
              <w:t>0</w:t>
            </w:r>
          </w:p>
        </w:tc>
        <w:tc>
          <w:tcPr>
            <w:tcW w:w="1472" w:type="dxa"/>
            <w:tcBorders>
              <w:top w:val="single" w:sz="4" w:space="0" w:color="D9D9D9" w:themeColor="background1" w:themeShade="D9"/>
              <w:left w:val="single" w:sz="4" w:space="0" w:color="auto"/>
              <w:bottom w:val="single" w:sz="4" w:space="0" w:color="D9D9D9" w:themeColor="background1" w:themeShade="D9"/>
              <w:right w:val="single" w:sz="4" w:space="0" w:color="auto"/>
            </w:tcBorders>
            <w:vAlign w:val="center"/>
          </w:tcPr>
          <w:p w14:paraId="42CDAA14" w14:textId="77777777" w:rsidR="000362BC" w:rsidRPr="00832773" w:rsidRDefault="000362BC" w:rsidP="00CE62C1">
            <w:pPr>
              <w:spacing w:line="276" w:lineRule="auto"/>
              <w:jc w:val="center"/>
              <w:rPr>
                <w:rFonts w:eastAsia="Calibri"/>
                <w:sz w:val="20"/>
                <w:lang w:eastAsia="en-US"/>
              </w:rPr>
            </w:pPr>
            <w:r w:rsidRPr="00832773">
              <w:rPr>
                <w:rFonts w:eastAsia="Calibri"/>
                <w:sz w:val="20"/>
                <w:lang w:eastAsia="en-US"/>
              </w:rPr>
              <w:t>33,3%</w:t>
            </w:r>
          </w:p>
          <w:p w14:paraId="34CAB80F" w14:textId="6E511D82" w:rsidR="000362BC" w:rsidRPr="00832773" w:rsidRDefault="000362BC" w:rsidP="00CE62C1">
            <w:pPr>
              <w:spacing w:line="276" w:lineRule="auto"/>
              <w:jc w:val="center"/>
              <w:rPr>
                <w:rFonts w:eastAsia="Calibri"/>
                <w:sz w:val="20"/>
                <w:lang w:eastAsia="en-US"/>
              </w:rPr>
            </w:pPr>
            <w:r w:rsidRPr="00832773">
              <w:rPr>
                <w:rFonts w:eastAsia="Calibri"/>
                <w:sz w:val="20"/>
                <w:lang w:eastAsia="en-US"/>
              </w:rPr>
              <w:t>120,7</w:t>
            </w:r>
          </w:p>
        </w:tc>
        <w:tc>
          <w:tcPr>
            <w:tcW w:w="1472" w:type="dxa"/>
            <w:tcBorders>
              <w:top w:val="single" w:sz="4" w:space="0" w:color="D9D9D9" w:themeColor="background1" w:themeShade="D9"/>
              <w:left w:val="single" w:sz="4" w:space="0" w:color="auto"/>
              <w:bottom w:val="single" w:sz="4" w:space="0" w:color="D9D9D9" w:themeColor="background1" w:themeShade="D9"/>
            </w:tcBorders>
            <w:vAlign w:val="center"/>
          </w:tcPr>
          <w:p w14:paraId="15BCD659" w14:textId="77777777" w:rsidR="000362BC" w:rsidRPr="00832773" w:rsidRDefault="000362BC" w:rsidP="00CE62C1">
            <w:pPr>
              <w:spacing w:line="276" w:lineRule="auto"/>
              <w:jc w:val="center"/>
              <w:rPr>
                <w:rFonts w:eastAsia="Calibri"/>
                <w:sz w:val="20"/>
                <w:lang w:eastAsia="en-US"/>
              </w:rPr>
            </w:pPr>
            <w:r w:rsidRPr="00832773">
              <w:rPr>
                <w:rFonts w:eastAsia="Calibri"/>
                <w:sz w:val="20"/>
                <w:lang w:eastAsia="en-US"/>
              </w:rPr>
              <w:t>66,6%</w:t>
            </w:r>
          </w:p>
          <w:p w14:paraId="6003E719" w14:textId="19F345FB" w:rsidR="000362BC" w:rsidRPr="00832773" w:rsidRDefault="000362BC" w:rsidP="00CE62C1">
            <w:pPr>
              <w:spacing w:line="276" w:lineRule="auto"/>
              <w:jc w:val="center"/>
              <w:rPr>
                <w:rFonts w:eastAsia="Calibri"/>
                <w:sz w:val="20"/>
                <w:lang w:eastAsia="en-US"/>
              </w:rPr>
            </w:pPr>
            <w:r w:rsidRPr="00832773">
              <w:rPr>
                <w:rFonts w:eastAsia="Calibri"/>
                <w:sz w:val="20"/>
                <w:lang w:eastAsia="en-US"/>
              </w:rPr>
              <w:t>241</w:t>
            </w:r>
          </w:p>
        </w:tc>
      </w:tr>
      <w:tr w:rsidR="000362BC" w:rsidRPr="004E74A6" w14:paraId="187EDF0C" w14:textId="77777777" w:rsidTr="00646290">
        <w:trPr>
          <w:jc w:val="center"/>
        </w:trPr>
        <w:tc>
          <w:tcPr>
            <w:tcW w:w="2778" w:type="dxa"/>
            <w:tcBorders>
              <w:top w:val="single" w:sz="4" w:space="0" w:color="D9D9D9" w:themeColor="background1" w:themeShade="D9"/>
              <w:bottom w:val="single" w:sz="4" w:space="0" w:color="D9D9D9" w:themeColor="background1" w:themeShade="D9"/>
              <w:right w:val="single" w:sz="4" w:space="0" w:color="auto"/>
            </w:tcBorders>
          </w:tcPr>
          <w:p w14:paraId="62362678" w14:textId="3913ACB1" w:rsidR="000362BC" w:rsidRPr="00832773" w:rsidRDefault="006377E5" w:rsidP="00CE62C1">
            <w:pPr>
              <w:spacing w:line="276" w:lineRule="auto"/>
              <w:rPr>
                <w:rFonts w:eastAsia="Calibri"/>
                <w:sz w:val="20"/>
                <w:lang w:eastAsia="en-US"/>
              </w:rPr>
            </w:pPr>
            <w:r w:rsidRPr="00832773">
              <w:rPr>
                <w:rFonts w:eastAsia="Calibri"/>
                <w:sz w:val="20"/>
                <w:lang w:eastAsia="en-US"/>
              </w:rPr>
              <w:t>Tribunal de Apelación Civil y Trabajo Guanacaste</w:t>
            </w:r>
          </w:p>
        </w:tc>
        <w:tc>
          <w:tcPr>
            <w:tcW w:w="1471" w:type="dxa"/>
            <w:tcBorders>
              <w:top w:val="single" w:sz="4" w:space="0" w:color="D9D9D9" w:themeColor="background1" w:themeShade="D9"/>
              <w:left w:val="single" w:sz="4" w:space="0" w:color="auto"/>
              <w:bottom w:val="single" w:sz="4" w:space="0" w:color="D9D9D9" w:themeColor="background1" w:themeShade="D9"/>
              <w:right w:val="single" w:sz="4" w:space="0" w:color="auto"/>
            </w:tcBorders>
            <w:vAlign w:val="center"/>
          </w:tcPr>
          <w:p w14:paraId="7F7651C8" w14:textId="77777777" w:rsidR="00646290" w:rsidRPr="00832773" w:rsidRDefault="00646290" w:rsidP="00CE62C1">
            <w:pPr>
              <w:spacing w:line="276" w:lineRule="auto"/>
              <w:jc w:val="center"/>
              <w:rPr>
                <w:rFonts w:eastAsia="Calibri"/>
                <w:sz w:val="20"/>
                <w:lang w:eastAsia="en-US"/>
              </w:rPr>
            </w:pPr>
            <w:r w:rsidRPr="00832773">
              <w:rPr>
                <w:rFonts w:eastAsia="Calibri"/>
                <w:sz w:val="20"/>
                <w:lang w:eastAsia="en-US"/>
              </w:rPr>
              <w:t>0%</w:t>
            </w:r>
          </w:p>
          <w:p w14:paraId="526EA7ED" w14:textId="792C71EB" w:rsidR="000362BC" w:rsidRPr="00832773" w:rsidRDefault="00646290" w:rsidP="00CE62C1">
            <w:pPr>
              <w:spacing w:line="276" w:lineRule="auto"/>
              <w:jc w:val="center"/>
              <w:rPr>
                <w:rFonts w:eastAsia="Calibri"/>
                <w:sz w:val="20"/>
                <w:lang w:eastAsia="en-US"/>
              </w:rPr>
            </w:pPr>
            <w:r w:rsidRPr="00832773">
              <w:rPr>
                <w:rFonts w:eastAsia="Calibri"/>
                <w:sz w:val="20"/>
                <w:lang w:eastAsia="en-US"/>
              </w:rPr>
              <w:t>0</w:t>
            </w:r>
          </w:p>
        </w:tc>
        <w:tc>
          <w:tcPr>
            <w:tcW w:w="1472" w:type="dxa"/>
            <w:tcBorders>
              <w:top w:val="single" w:sz="4" w:space="0" w:color="D9D9D9" w:themeColor="background1" w:themeShade="D9"/>
              <w:left w:val="single" w:sz="4" w:space="0" w:color="auto"/>
              <w:bottom w:val="single" w:sz="4" w:space="0" w:color="D9D9D9" w:themeColor="background1" w:themeShade="D9"/>
              <w:right w:val="single" w:sz="4" w:space="0" w:color="auto"/>
            </w:tcBorders>
            <w:vAlign w:val="center"/>
          </w:tcPr>
          <w:p w14:paraId="08897C14" w14:textId="77777777" w:rsidR="00646290" w:rsidRPr="00832773" w:rsidRDefault="00646290" w:rsidP="00CE62C1">
            <w:pPr>
              <w:spacing w:line="276" w:lineRule="auto"/>
              <w:jc w:val="center"/>
              <w:rPr>
                <w:rFonts w:eastAsia="Calibri"/>
                <w:sz w:val="20"/>
                <w:lang w:eastAsia="en-US"/>
              </w:rPr>
            </w:pPr>
            <w:r w:rsidRPr="00832773">
              <w:rPr>
                <w:rFonts w:eastAsia="Calibri"/>
                <w:sz w:val="20"/>
                <w:lang w:eastAsia="en-US"/>
              </w:rPr>
              <w:t>0%</w:t>
            </w:r>
          </w:p>
          <w:p w14:paraId="7A2D233C" w14:textId="1D69D0A7" w:rsidR="000362BC" w:rsidRPr="00832773" w:rsidRDefault="00646290" w:rsidP="00CE62C1">
            <w:pPr>
              <w:spacing w:line="276" w:lineRule="auto"/>
              <w:jc w:val="center"/>
              <w:rPr>
                <w:rFonts w:eastAsia="Calibri"/>
                <w:sz w:val="20"/>
                <w:lang w:eastAsia="en-US"/>
              </w:rPr>
            </w:pPr>
            <w:r w:rsidRPr="00832773">
              <w:rPr>
                <w:rFonts w:eastAsia="Calibri"/>
                <w:sz w:val="20"/>
                <w:lang w:eastAsia="en-US"/>
              </w:rPr>
              <w:t>0</w:t>
            </w:r>
          </w:p>
        </w:tc>
        <w:tc>
          <w:tcPr>
            <w:tcW w:w="1472" w:type="dxa"/>
            <w:tcBorders>
              <w:top w:val="single" w:sz="4" w:space="0" w:color="D9D9D9" w:themeColor="background1" w:themeShade="D9"/>
              <w:left w:val="single" w:sz="4" w:space="0" w:color="auto"/>
              <w:bottom w:val="single" w:sz="4" w:space="0" w:color="D9D9D9" w:themeColor="background1" w:themeShade="D9"/>
              <w:right w:val="single" w:sz="4" w:space="0" w:color="auto"/>
            </w:tcBorders>
            <w:vAlign w:val="center"/>
          </w:tcPr>
          <w:p w14:paraId="78CA39B0" w14:textId="77777777" w:rsidR="000362BC" w:rsidRPr="00832773" w:rsidRDefault="006377E5" w:rsidP="00CE62C1">
            <w:pPr>
              <w:spacing w:line="276" w:lineRule="auto"/>
              <w:jc w:val="center"/>
              <w:rPr>
                <w:rFonts w:eastAsia="Calibri"/>
                <w:sz w:val="20"/>
                <w:lang w:eastAsia="en-US"/>
              </w:rPr>
            </w:pPr>
            <w:r w:rsidRPr="00832773">
              <w:rPr>
                <w:rFonts w:eastAsia="Calibri"/>
                <w:sz w:val="20"/>
                <w:lang w:eastAsia="en-US"/>
              </w:rPr>
              <w:t>99,9%</w:t>
            </w:r>
          </w:p>
          <w:p w14:paraId="30ADA378" w14:textId="007FD38C" w:rsidR="006377E5" w:rsidRPr="00832773" w:rsidRDefault="006377E5" w:rsidP="00CE62C1">
            <w:pPr>
              <w:spacing w:line="276" w:lineRule="auto"/>
              <w:jc w:val="center"/>
              <w:rPr>
                <w:rFonts w:eastAsia="Calibri"/>
                <w:sz w:val="20"/>
                <w:lang w:eastAsia="en-US"/>
              </w:rPr>
            </w:pPr>
            <w:r w:rsidRPr="00832773">
              <w:rPr>
                <w:rFonts w:eastAsia="Calibri"/>
                <w:sz w:val="20"/>
                <w:lang w:eastAsia="en-US"/>
              </w:rPr>
              <w:t>340</w:t>
            </w:r>
          </w:p>
        </w:tc>
        <w:tc>
          <w:tcPr>
            <w:tcW w:w="1472" w:type="dxa"/>
            <w:tcBorders>
              <w:top w:val="single" w:sz="4" w:space="0" w:color="D9D9D9" w:themeColor="background1" w:themeShade="D9"/>
              <w:left w:val="single" w:sz="4" w:space="0" w:color="auto"/>
              <w:bottom w:val="single" w:sz="4" w:space="0" w:color="D9D9D9" w:themeColor="background1" w:themeShade="D9"/>
            </w:tcBorders>
            <w:vAlign w:val="center"/>
          </w:tcPr>
          <w:p w14:paraId="4B79BD8C" w14:textId="77777777" w:rsidR="000362BC" w:rsidRPr="00832773" w:rsidRDefault="006377E5" w:rsidP="00CE62C1">
            <w:pPr>
              <w:spacing w:line="276" w:lineRule="auto"/>
              <w:jc w:val="center"/>
              <w:rPr>
                <w:rFonts w:eastAsia="Calibri"/>
                <w:sz w:val="20"/>
                <w:lang w:eastAsia="en-US"/>
              </w:rPr>
            </w:pPr>
            <w:r w:rsidRPr="00832773">
              <w:rPr>
                <w:rFonts w:eastAsia="Calibri"/>
                <w:sz w:val="20"/>
                <w:lang w:eastAsia="en-US"/>
              </w:rPr>
              <w:t>0,1%</w:t>
            </w:r>
          </w:p>
          <w:p w14:paraId="1064F103" w14:textId="34014E2A" w:rsidR="006377E5" w:rsidRPr="00832773" w:rsidRDefault="006377E5" w:rsidP="00CE62C1">
            <w:pPr>
              <w:spacing w:line="276" w:lineRule="auto"/>
              <w:jc w:val="center"/>
              <w:rPr>
                <w:rFonts w:eastAsia="Calibri"/>
                <w:sz w:val="20"/>
                <w:lang w:eastAsia="en-US"/>
              </w:rPr>
            </w:pPr>
            <w:r w:rsidRPr="00832773">
              <w:rPr>
                <w:rFonts w:eastAsia="Calibri"/>
                <w:sz w:val="20"/>
                <w:lang w:eastAsia="en-US"/>
              </w:rPr>
              <w:t>0,3</w:t>
            </w:r>
          </w:p>
        </w:tc>
      </w:tr>
      <w:tr w:rsidR="000362BC" w:rsidRPr="004E74A6" w14:paraId="2DF846B9" w14:textId="77777777" w:rsidTr="00646290">
        <w:trPr>
          <w:jc w:val="center"/>
        </w:trPr>
        <w:tc>
          <w:tcPr>
            <w:tcW w:w="2778" w:type="dxa"/>
            <w:tcBorders>
              <w:top w:val="single" w:sz="4" w:space="0" w:color="D9D9D9" w:themeColor="background1" w:themeShade="D9"/>
              <w:bottom w:val="single" w:sz="4" w:space="0" w:color="D9D9D9" w:themeColor="background1" w:themeShade="D9"/>
              <w:right w:val="single" w:sz="4" w:space="0" w:color="auto"/>
            </w:tcBorders>
          </w:tcPr>
          <w:p w14:paraId="67DD2804" w14:textId="0448EF76" w:rsidR="000362BC" w:rsidRPr="00832773" w:rsidRDefault="006377E5" w:rsidP="00CE62C1">
            <w:pPr>
              <w:spacing w:line="276" w:lineRule="auto"/>
              <w:rPr>
                <w:rFonts w:eastAsia="Calibri"/>
                <w:sz w:val="20"/>
                <w:lang w:eastAsia="en-US"/>
              </w:rPr>
            </w:pPr>
            <w:r w:rsidRPr="00832773">
              <w:rPr>
                <w:rFonts w:eastAsia="Calibri"/>
                <w:sz w:val="20"/>
                <w:lang w:eastAsia="en-US"/>
              </w:rPr>
              <w:t>Tribunal de Apelación Civil y Trabajo de Heredia</w:t>
            </w:r>
          </w:p>
        </w:tc>
        <w:tc>
          <w:tcPr>
            <w:tcW w:w="1471" w:type="dxa"/>
            <w:tcBorders>
              <w:top w:val="single" w:sz="4" w:space="0" w:color="D9D9D9" w:themeColor="background1" w:themeShade="D9"/>
              <w:left w:val="single" w:sz="4" w:space="0" w:color="auto"/>
              <w:bottom w:val="single" w:sz="4" w:space="0" w:color="D9D9D9" w:themeColor="background1" w:themeShade="D9"/>
              <w:right w:val="single" w:sz="4" w:space="0" w:color="auto"/>
            </w:tcBorders>
            <w:vAlign w:val="center"/>
          </w:tcPr>
          <w:p w14:paraId="0568B027" w14:textId="77777777" w:rsidR="006377E5" w:rsidRPr="00832773" w:rsidRDefault="006377E5" w:rsidP="00CE62C1">
            <w:pPr>
              <w:spacing w:line="276" w:lineRule="auto"/>
              <w:jc w:val="center"/>
              <w:rPr>
                <w:rFonts w:eastAsia="Calibri"/>
                <w:sz w:val="20"/>
                <w:lang w:eastAsia="en-US"/>
              </w:rPr>
            </w:pPr>
            <w:r w:rsidRPr="00832773">
              <w:rPr>
                <w:rFonts w:eastAsia="Calibri"/>
                <w:sz w:val="20"/>
                <w:lang w:eastAsia="en-US"/>
              </w:rPr>
              <w:t>0,5%</w:t>
            </w:r>
          </w:p>
          <w:p w14:paraId="2A5514B2" w14:textId="693C02BB" w:rsidR="006377E5" w:rsidRPr="00832773" w:rsidRDefault="006377E5" w:rsidP="00CE62C1">
            <w:pPr>
              <w:spacing w:line="276" w:lineRule="auto"/>
              <w:jc w:val="center"/>
              <w:rPr>
                <w:rFonts w:eastAsia="Calibri"/>
                <w:sz w:val="20"/>
                <w:lang w:eastAsia="en-US"/>
              </w:rPr>
            </w:pPr>
            <w:r w:rsidRPr="00832773">
              <w:rPr>
                <w:rFonts w:eastAsia="Calibri"/>
                <w:sz w:val="20"/>
                <w:lang w:eastAsia="en-US"/>
              </w:rPr>
              <w:t>2,7</w:t>
            </w:r>
          </w:p>
        </w:tc>
        <w:tc>
          <w:tcPr>
            <w:tcW w:w="1472" w:type="dxa"/>
            <w:tcBorders>
              <w:top w:val="single" w:sz="4" w:space="0" w:color="D9D9D9" w:themeColor="background1" w:themeShade="D9"/>
              <w:left w:val="single" w:sz="4" w:space="0" w:color="auto"/>
              <w:bottom w:val="single" w:sz="4" w:space="0" w:color="D9D9D9" w:themeColor="background1" w:themeShade="D9"/>
              <w:right w:val="single" w:sz="4" w:space="0" w:color="auto"/>
            </w:tcBorders>
            <w:vAlign w:val="center"/>
          </w:tcPr>
          <w:p w14:paraId="1F7B5A58" w14:textId="77777777" w:rsidR="000362BC" w:rsidRPr="00832773" w:rsidRDefault="006377E5" w:rsidP="00CE62C1">
            <w:pPr>
              <w:spacing w:line="276" w:lineRule="auto"/>
              <w:jc w:val="center"/>
              <w:rPr>
                <w:rFonts w:eastAsia="Calibri"/>
                <w:sz w:val="20"/>
                <w:lang w:eastAsia="en-US"/>
              </w:rPr>
            </w:pPr>
            <w:r w:rsidRPr="00832773">
              <w:rPr>
                <w:rFonts w:eastAsia="Calibri"/>
                <w:sz w:val="20"/>
                <w:lang w:eastAsia="en-US"/>
              </w:rPr>
              <w:t>5,7%</w:t>
            </w:r>
          </w:p>
          <w:p w14:paraId="1D07B214" w14:textId="02790F25" w:rsidR="006377E5" w:rsidRPr="00832773" w:rsidRDefault="006377E5" w:rsidP="00CE62C1">
            <w:pPr>
              <w:spacing w:line="276" w:lineRule="auto"/>
              <w:jc w:val="center"/>
              <w:rPr>
                <w:rFonts w:eastAsia="Calibri"/>
                <w:sz w:val="20"/>
                <w:lang w:eastAsia="en-US"/>
              </w:rPr>
            </w:pPr>
            <w:r w:rsidRPr="00832773">
              <w:rPr>
                <w:rFonts w:eastAsia="Calibri"/>
                <w:sz w:val="20"/>
                <w:lang w:eastAsia="en-US"/>
              </w:rPr>
              <w:t>25,7</w:t>
            </w:r>
          </w:p>
        </w:tc>
        <w:tc>
          <w:tcPr>
            <w:tcW w:w="1472" w:type="dxa"/>
            <w:tcBorders>
              <w:top w:val="single" w:sz="4" w:space="0" w:color="D9D9D9" w:themeColor="background1" w:themeShade="D9"/>
              <w:left w:val="single" w:sz="4" w:space="0" w:color="auto"/>
              <w:bottom w:val="single" w:sz="4" w:space="0" w:color="D9D9D9" w:themeColor="background1" w:themeShade="D9"/>
              <w:right w:val="single" w:sz="4" w:space="0" w:color="auto"/>
            </w:tcBorders>
            <w:vAlign w:val="center"/>
          </w:tcPr>
          <w:p w14:paraId="6589EBA6" w14:textId="77777777" w:rsidR="000362BC" w:rsidRPr="00832773" w:rsidRDefault="006377E5" w:rsidP="00CE62C1">
            <w:pPr>
              <w:spacing w:line="276" w:lineRule="auto"/>
              <w:jc w:val="center"/>
              <w:rPr>
                <w:rFonts w:eastAsia="Calibri"/>
                <w:sz w:val="20"/>
                <w:lang w:eastAsia="en-US"/>
              </w:rPr>
            </w:pPr>
            <w:r w:rsidRPr="00832773">
              <w:rPr>
                <w:rFonts w:eastAsia="Calibri"/>
                <w:sz w:val="20"/>
                <w:lang w:eastAsia="en-US"/>
              </w:rPr>
              <w:t>30,4%</w:t>
            </w:r>
          </w:p>
          <w:p w14:paraId="4B4772B2" w14:textId="46177B67" w:rsidR="006377E5" w:rsidRPr="00832773" w:rsidRDefault="006377E5" w:rsidP="00CE62C1">
            <w:pPr>
              <w:spacing w:line="276" w:lineRule="auto"/>
              <w:jc w:val="center"/>
              <w:rPr>
                <w:rFonts w:eastAsia="Calibri"/>
                <w:sz w:val="20"/>
                <w:lang w:eastAsia="en-US"/>
              </w:rPr>
            </w:pPr>
            <w:r w:rsidRPr="00832773">
              <w:rPr>
                <w:rFonts w:eastAsia="Calibri"/>
                <w:sz w:val="20"/>
                <w:lang w:eastAsia="en-US"/>
              </w:rPr>
              <w:t>138</w:t>
            </w:r>
          </w:p>
        </w:tc>
        <w:tc>
          <w:tcPr>
            <w:tcW w:w="1472" w:type="dxa"/>
            <w:tcBorders>
              <w:top w:val="single" w:sz="4" w:space="0" w:color="D9D9D9" w:themeColor="background1" w:themeShade="D9"/>
              <w:left w:val="single" w:sz="4" w:space="0" w:color="auto"/>
              <w:bottom w:val="single" w:sz="4" w:space="0" w:color="D9D9D9" w:themeColor="background1" w:themeShade="D9"/>
            </w:tcBorders>
            <w:vAlign w:val="center"/>
          </w:tcPr>
          <w:p w14:paraId="72A5AE77" w14:textId="77777777" w:rsidR="000362BC" w:rsidRPr="00832773" w:rsidRDefault="006377E5" w:rsidP="00CE62C1">
            <w:pPr>
              <w:spacing w:line="276" w:lineRule="auto"/>
              <w:jc w:val="center"/>
              <w:rPr>
                <w:rFonts w:eastAsia="Calibri"/>
                <w:sz w:val="20"/>
                <w:lang w:eastAsia="en-US"/>
              </w:rPr>
            </w:pPr>
            <w:r w:rsidRPr="00832773">
              <w:rPr>
                <w:rFonts w:eastAsia="Calibri"/>
                <w:sz w:val="20"/>
                <w:lang w:eastAsia="en-US"/>
              </w:rPr>
              <w:t>63,4%</w:t>
            </w:r>
          </w:p>
          <w:p w14:paraId="0F07F0CE" w14:textId="1222AC7F" w:rsidR="006377E5" w:rsidRPr="00832773" w:rsidRDefault="006377E5" w:rsidP="00CE62C1">
            <w:pPr>
              <w:spacing w:line="276" w:lineRule="auto"/>
              <w:jc w:val="center"/>
              <w:rPr>
                <w:rFonts w:eastAsia="Calibri"/>
                <w:sz w:val="20"/>
                <w:lang w:eastAsia="en-US"/>
              </w:rPr>
            </w:pPr>
            <w:r w:rsidRPr="00832773">
              <w:rPr>
                <w:rFonts w:eastAsia="Calibri"/>
                <w:sz w:val="20"/>
                <w:lang w:eastAsia="en-US"/>
              </w:rPr>
              <w:t>287,7</w:t>
            </w:r>
          </w:p>
        </w:tc>
      </w:tr>
      <w:tr w:rsidR="000362BC" w:rsidRPr="004E74A6" w14:paraId="28CBF775" w14:textId="77777777" w:rsidTr="00646290">
        <w:trPr>
          <w:jc w:val="center"/>
        </w:trPr>
        <w:tc>
          <w:tcPr>
            <w:tcW w:w="2778" w:type="dxa"/>
            <w:tcBorders>
              <w:top w:val="single" w:sz="4" w:space="0" w:color="D9D9D9" w:themeColor="background1" w:themeShade="D9"/>
              <w:bottom w:val="single" w:sz="4" w:space="0" w:color="D9D9D9" w:themeColor="background1" w:themeShade="D9"/>
              <w:right w:val="single" w:sz="4" w:space="0" w:color="auto"/>
            </w:tcBorders>
          </w:tcPr>
          <w:p w14:paraId="28BDF6EF" w14:textId="1B7C311A" w:rsidR="000362BC" w:rsidRPr="00832773" w:rsidRDefault="006377E5" w:rsidP="00CE62C1">
            <w:pPr>
              <w:spacing w:line="276" w:lineRule="auto"/>
              <w:rPr>
                <w:rFonts w:eastAsia="Calibri"/>
                <w:sz w:val="20"/>
                <w:lang w:eastAsia="en-US"/>
              </w:rPr>
            </w:pPr>
            <w:r w:rsidRPr="00832773">
              <w:rPr>
                <w:rFonts w:eastAsia="Calibri"/>
                <w:sz w:val="20"/>
                <w:lang w:eastAsia="en-US"/>
              </w:rPr>
              <w:t>Tribunal de Apelación Civil y Trabajo Zona Atlántica</w:t>
            </w:r>
          </w:p>
        </w:tc>
        <w:tc>
          <w:tcPr>
            <w:tcW w:w="1471" w:type="dxa"/>
            <w:tcBorders>
              <w:top w:val="single" w:sz="4" w:space="0" w:color="D9D9D9" w:themeColor="background1" w:themeShade="D9"/>
              <w:left w:val="single" w:sz="4" w:space="0" w:color="auto"/>
              <w:bottom w:val="single" w:sz="4" w:space="0" w:color="D9D9D9" w:themeColor="background1" w:themeShade="D9"/>
              <w:right w:val="single" w:sz="4" w:space="0" w:color="auto"/>
            </w:tcBorders>
            <w:vAlign w:val="center"/>
          </w:tcPr>
          <w:p w14:paraId="03EB803B" w14:textId="77777777" w:rsidR="000362BC" w:rsidRPr="00832773" w:rsidRDefault="006377E5" w:rsidP="00CE62C1">
            <w:pPr>
              <w:spacing w:line="276" w:lineRule="auto"/>
              <w:jc w:val="center"/>
              <w:rPr>
                <w:rFonts w:eastAsia="Calibri"/>
                <w:sz w:val="20"/>
                <w:lang w:eastAsia="en-US"/>
              </w:rPr>
            </w:pPr>
            <w:r w:rsidRPr="00832773">
              <w:rPr>
                <w:rFonts w:eastAsia="Calibri"/>
                <w:sz w:val="20"/>
                <w:lang w:eastAsia="en-US"/>
              </w:rPr>
              <w:t>9,2%</w:t>
            </w:r>
          </w:p>
          <w:p w14:paraId="1AB6EC7E" w14:textId="16003D28" w:rsidR="006377E5" w:rsidRPr="00832773" w:rsidRDefault="006377E5" w:rsidP="00CE62C1">
            <w:pPr>
              <w:spacing w:line="276" w:lineRule="auto"/>
              <w:jc w:val="center"/>
              <w:rPr>
                <w:rFonts w:eastAsia="Calibri"/>
                <w:sz w:val="20"/>
                <w:lang w:eastAsia="en-US"/>
              </w:rPr>
            </w:pPr>
            <w:r w:rsidRPr="00832773">
              <w:rPr>
                <w:rFonts w:eastAsia="Calibri"/>
                <w:sz w:val="20"/>
                <w:lang w:eastAsia="en-US"/>
              </w:rPr>
              <w:t>28</w:t>
            </w:r>
          </w:p>
        </w:tc>
        <w:tc>
          <w:tcPr>
            <w:tcW w:w="1472" w:type="dxa"/>
            <w:tcBorders>
              <w:top w:val="single" w:sz="4" w:space="0" w:color="D9D9D9" w:themeColor="background1" w:themeShade="D9"/>
              <w:left w:val="single" w:sz="4" w:space="0" w:color="auto"/>
              <w:bottom w:val="single" w:sz="4" w:space="0" w:color="D9D9D9" w:themeColor="background1" w:themeShade="D9"/>
              <w:right w:val="single" w:sz="4" w:space="0" w:color="auto"/>
            </w:tcBorders>
            <w:vAlign w:val="center"/>
          </w:tcPr>
          <w:p w14:paraId="391B45C6" w14:textId="77777777" w:rsidR="00646290" w:rsidRPr="00832773" w:rsidRDefault="00646290" w:rsidP="00CE62C1">
            <w:pPr>
              <w:spacing w:line="276" w:lineRule="auto"/>
              <w:jc w:val="center"/>
              <w:rPr>
                <w:rFonts w:eastAsia="Calibri"/>
                <w:sz w:val="20"/>
                <w:lang w:eastAsia="en-US"/>
              </w:rPr>
            </w:pPr>
            <w:r w:rsidRPr="00832773">
              <w:rPr>
                <w:rFonts w:eastAsia="Calibri"/>
                <w:sz w:val="20"/>
                <w:lang w:eastAsia="en-US"/>
              </w:rPr>
              <w:t>0%</w:t>
            </w:r>
          </w:p>
          <w:p w14:paraId="769B640E" w14:textId="66508B14" w:rsidR="000362BC" w:rsidRPr="00832773" w:rsidRDefault="00646290" w:rsidP="00CE62C1">
            <w:pPr>
              <w:spacing w:line="276" w:lineRule="auto"/>
              <w:jc w:val="center"/>
              <w:rPr>
                <w:rFonts w:eastAsia="Calibri"/>
                <w:sz w:val="20"/>
                <w:lang w:eastAsia="en-US"/>
              </w:rPr>
            </w:pPr>
            <w:r w:rsidRPr="00832773">
              <w:rPr>
                <w:rFonts w:eastAsia="Calibri"/>
                <w:sz w:val="20"/>
                <w:lang w:eastAsia="en-US"/>
              </w:rPr>
              <w:t>0</w:t>
            </w:r>
          </w:p>
        </w:tc>
        <w:tc>
          <w:tcPr>
            <w:tcW w:w="1472" w:type="dxa"/>
            <w:tcBorders>
              <w:top w:val="single" w:sz="4" w:space="0" w:color="D9D9D9" w:themeColor="background1" w:themeShade="D9"/>
              <w:left w:val="single" w:sz="4" w:space="0" w:color="auto"/>
              <w:bottom w:val="single" w:sz="4" w:space="0" w:color="D9D9D9" w:themeColor="background1" w:themeShade="D9"/>
              <w:right w:val="single" w:sz="4" w:space="0" w:color="auto"/>
            </w:tcBorders>
            <w:vAlign w:val="center"/>
          </w:tcPr>
          <w:p w14:paraId="5D1BABDC" w14:textId="77777777" w:rsidR="000362BC" w:rsidRPr="00832773" w:rsidRDefault="006377E5" w:rsidP="00CE62C1">
            <w:pPr>
              <w:spacing w:line="276" w:lineRule="auto"/>
              <w:jc w:val="center"/>
              <w:rPr>
                <w:rFonts w:eastAsia="Calibri"/>
                <w:sz w:val="20"/>
                <w:lang w:eastAsia="en-US"/>
              </w:rPr>
            </w:pPr>
            <w:r w:rsidRPr="00832773">
              <w:rPr>
                <w:rFonts w:eastAsia="Calibri"/>
                <w:sz w:val="20"/>
                <w:lang w:eastAsia="en-US"/>
              </w:rPr>
              <w:t>28,4%</w:t>
            </w:r>
          </w:p>
          <w:p w14:paraId="425A5576" w14:textId="42A9A714" w:rsidR="006377E5" w:rsidRPr="00832773" w:rsidRDefault="006377E5" w:rsidP="00CE62C1">
            <w:pPr>
              <w:spacing w:line="276" w:lineRule="auto"/>
              <w:jc w:val="center"/>
              <w:rPr>
                <w:rFonts w:eastAsia="Calibri"/>
                <w:sz w:val="20"/>
                <w:lang w:eastAsia="en-US"/>
              </w:rPr>
            </w:pPr>
            <w:r w:rsidRPr="00832773">
              <w:rPr>
                <w:rFonts w:eastAsia="Calibri"/>
                <w:sz w:val="20"/>
                <w:lang w:eastAsia="en-US"/>
              </w:rPr>
              <w:t>86,7</w:t>
            </w:r>
          </w:p>
        </w:tc>
        <w:tc>
          <w:tcPr>
            <w:tcW w:w="1472" w:type="dxa"/>
            <w:tcBorders>
              <w:top w:val="single" w:sz="4" w:space="0" w:color="D9D9D9" w:themeColor="background1" w:themeShade="D9"/>
              <w:left w:val="single" w:sz="4" w:space="0" w:color="auto"/>
              <w:bottom w:val="single" w:sz="4" w:space="0" w:color="D9D9D9" w:themeColor="background1" w:themeShade="D9"/>
            </w:tcBorders>
            <w:vAlign w:val="center"/>
          </w:tcPr>
          <w:p w14:paraId="17F2C960" w14:textId="77777777" w:rsidR="000362BC" w:rsidRPr="00832773" w:rsidRDefault="006377E5" w:rsidP="00CE62C1">
            <w:pPr>
              <w:spacing w:line="276" w:lineRule="auto"/>
              <w:jc w:val="center"/>
              <w:rPr>
                <w:rFonts w:eastAsia="Calibri"/>
                <w:sz w:val="20"/>
                <w:lang w:eastAsia="en-US"/>
              </w:rPr>
            </w:pPr>
            <w:r w:rsidRPr="00832773">
              <w:rPr>
                <w:rFonts w:eastAsia="Calibri"/>
                <w:sz w:val="20"/>
                <w:lang w:eastAsia="en-US"/>
              </w:rPr>
              <w:t>62,5%</w:t>
            </w:r>
          </w:p>
          <w:p w14:paraId="1E8D6AC2" w14:textId="5DD0CB11" w:rsidR="006377E5" w:rsidRPr="00832773" w:rsidRDefault="006377E5" w:rsidP="00CE62C1">
            <w:pPr>
              <w:spacing w:line="276" w:lineRule="auto"/>
              <w:jc w:val="center"/>
              <w:rPr>
                <w:rFonts w:eastAsia="Calibri"/>
                <w:sz w:val="20"/>
                <w:lang w:eastAsia="en-US"/>
              </w:rPr>
            </w:pPr>
            <w:r w:rsidRPr="00832773">
              <w:rPr>
                <w:rFonts w:eastAsia="Calibri"/>
                <w:sz w:val="20"/>
                <w:lang w:eastAsia="en-US"/>
              </w:rPr>
              <w:t>191</w:t>
            </w:r>
          </w:p>
        </w:tc>
      </w:tr>
      <w:tr w:rsidR="000362BC" w:rsidRPr="004E74A6" w14:paraId="25805887" w14:textId="77777777" w:rsidTr="00646290">
        <w:trPr>
          <w:jc w:val="center"/>
        </w:trPr>
        <w:tc>
          <w:tcPr>
            <w:tcW w:w="2778" w:type="dxa"/>
            <w:tcBorders>
              <w:top w:val="single" w:sz="4" w:space="0" w:color="D9D9D9" w:themeColor="background1" w:themeShade="D9"/>
              <w:bottom w:val="single" w:sz="4" w:space="0" w:color="D9D9D9" w:themeColor="background1" w:themeShade="D9"/>
              <w:right w:val="single" w:sz="4" w:space="0" w:color="auto"/>
            </w:tcBorders>
          </w:tcPr>
          <w:p w14:paraId="33E116FA" w14:textId="00757CBF" w:rsidR="000362BC" w:rsidRPr="00832773" w:rsidRDefault="006377E5" w:rsidP="00CE62C1">
            <w:pPr>
              <w:spacing w:line="276" w:lineRule="auto"/>
              <w:rPr>
                <w:rFonts w:eastAsia="Calibri"/>
                <w:sz w:val="20"/>
                <w:lang w:eastAsia="en-US"/>
              </w:rPr>
            </w:pPr>
            <w:r w:rsidRPr="00832773">
              <w:rPr>
                <w:rFonts w:eastAsia="Calibri"/>
                <w:sz w:val="20"/>
                <w:lang w:eastAsia="en-US"/>
              </w:rPr>
              <w:t>Tribunal de Apelación Civil y Trabajo de Puntarenas</w:t>
            </w:r>
          </w:p>
        </w:tc>
        <w:tc>
          <w:tcPr>
            <w:tcW w:w="1471" w:type="dxa"/>
            <w:tcBorders>
              <w:top w:val="single" w:sz="4" w:space="0" w:color="D9D9D9" w:themeColor="background1" w:themeShade="D9"/>
              <w:left w:val="single" w:sz="4" w:space="0" w:color="auto"/>
              <w:bottom w:val="single" w:sz="4" w:space="0" w:color="D9D9D9" w:themeColor="background1" w:themeShade="D9"/>
              <w:right w:val="single" w:sz="4" w:space="0" w:color="auto"/>
            </w:tcBorders>
            <w:vAlign w:val="center"/>
          </w:tcPr>
          <w:p w14:paraId="496835D1" w14:textId="77777777" w:rsidR="00646290" w:rsidRPr="00832773" w:rsidRDefault="00646290" w:rsidP="00CE62C1">
            <w:pPr>
              <w:spacing w:line="276" w:lineRule="auto"/>
              <w:jc w:val="center"/>
              <w:rPr>
                <w:rFonts w:eastAsia="Calibri"/>
                <w:sz w:val="20"/>
                <w:lang w:eastAsia="en-US"/>
              </w:rPr>
            </w:pPr>
            <w:r w:rsidRPr="00832773">
              <w:rPr>
                <w:rFonts w:eastAsia="Calibri"/>
                <w:sz w:val="20"/>
                <w:lang w:eastAsia="en-US"/>
              </w:rPr>
              <w:t>0%</w:t>
            </w:r>
          </w:p>
          <w:p w14:paraId="5D3B35A2" w14:textId="3DE56AF8" w:rsidR="000362BC" w:rsidRPr="00832773" w:rsidRDefault="00646290" w:rsidP="00CE62C1">
            <w:pPr>
              <w:spacing w:line="276" w:lineRule="auto"/>
              <w:jc w:val="center"/>
              <w:rPr>
                <w:rFonts w:eastAsia="Calibri"/>
                <w:sz w:val="20"/>
                <w:lang w:eastAsia="en-US"/>
              </w:rPr>
            </w:pPr>
            <w:r w:rsidRPr="00832773">
              <w:rPr>
                <w:rFonts w:eastAsia="Calibri"/>
                <w:sz w:val="20"/>
                <w:lang w:eastAsia="en-US"/>
              </w:rPr>
              <w:t>0</w:t>
            </w:r>
          </w:p>
        </w:tc>
        <w:tc>
          <w:tcPr>
            <w:tcW w:w="1472" w:type="dxa"/>
            <w:tcBorders>
              <w:top w:val="single" w:sz="4" w:space="0" w:color="D9D9D9" w:themeColor="background1" w:themeShade="D9"/>
              <w:left w:val="single" w:sz="4" w:space="0" w:color="auto"/>
              <w:bottom w:val="single" w:sz="4" w:space="0" w:color="D9D9D9" w:themeColor="background1" w:themeShade="D9"/>
              <w:right w:val="single" w:sz="4" w:space="0" w:color="auto"/>
            </w:tcBorders>
            <w:vAlign w:val="center"/>
          </w:tcPr>
          <w:p w14:paraId="3AF4696A" w14:textId="77777777" w:rsidR="00646290" w:rsidRPr="00832773" w:rsidRDefault="00646290" w:rsidP="00CE62C1">
            <w:pPr>
              <w:spacing w:line="276" w:lineRule="auto"/>
              <w:jc w:val="center"/>
              <w:rPr>
                <w:rFonts w:eastAsia="Calibri"/>
                <w:sz w:val="20"/>
                <w:lang w:eastAsia="en-US"/>
              </w:rPr>
            </w:pPr>
            <w:r w:rsidRPr="00832773">
              <w:rPr>
                <w:rFonts w:eastAsia="Calibri"/>
                <w:sz w:val="20"/>
                <w:lang w:eastAsia="en-US"/>
              </w:rPr>
              <w:t>0%</w:t>
            </w:r>
          </w:p>
          <w:p w14:paraId="43856643" w14:textId="4D7CD79B" w:rsidR="000362BC" w:rsidRPr="00832773" w:rsidRDefault="00646290" w:rsidP="00CE62C1">
            <w:pPr>
              <w:spacing w:line="276" w:lineRule="auto"/>
              <w:jc w:val="center"/>
              <w:rPr>
                <w:rFonts w:eastAsia="Calibri"/>
                <w:sz w:val="20"/>
                <w:lang w:eastAsia="en-US"/>
              </w:rPr>
            </w:pPr>
            <w:r w:rsidRPr="00832773">
              <w:rPr>
                <w:rFonts w:eastAsia="Calibri"/>
                <w:sz w:val="20"/>
                <w:lang w:eastAsia="en-US"/>
              </w:rPr>
              <w:t>0</w:t>
            </w:r>
          </w:p>
        </w:tc>
        <w:tc>
          <w:tcPr>
            <w:tcW w:w="1472" w:type="dxa"/>
            <w:tcBorders>
              <w:top w:val="single" w:sz="4" w:space="0" w:color="D9D9D9" w:themeColor="background1" w:themeShade="D9"/>
              <w:left w:val="single" w:sz="4" w:space="0" w:color="auto"/>
              <w:bottom w:val="single" w:sz="4" w:space="0" w:color="D9D9D9" w:themeColor="background1" w:themeShade="D9"/>
              <w:right w:val="single" w:sz="4" w:space="0" w:color="auto"/>
            </w:tcBorders>
            <w:vAlign w:val="center"/>
          </w:tcPr>
          <w:p w14:paraId="7C84F100" w14:textId="77777777" w:rsidR="000362BC" w:rsidRPr="00832773" w:rsidRDefault="006377E5" w:rsidP="00CE62C1">
            <w:pPr>
              <w:spacing w:line="276" w:lineRule="auto"/>
              <w:jc w:val="center"/>
              <w:rPr>
                <w:rFonts w:eastAsia="Calibri"/>
                <w:sz w:val="20"/>
                <w:lang w:eastAsia="en-US"/>
              </w:rPr>
            </w:pPr>
            <w:r w:rsidRPr="00832773">
              <w:rPr>
                <w:rFonts w:eastAsia="Calibri"/>
                <w:sz w:val="20"/>
                <w:lang w:eastAsia="en-US"/>
              </w:rPr>
              <w:t>54,8%</w:t>
            </w:r>
          </w:p>
          <w:p w14:paraId="6FB0ED15" w14:textId="13BC0EB8" w:rsidR="006377E5" w:rsidRPr="00832773" w:rsidRDefault="006377E5" w:rsidP="00CE62C1">
            <w:pPr>
              <w:spacing w:line="276" w:lineRule="auto"/>
              <w:jc w:val="center"/>
              <w:rPr>
                <w:rFonts w:eastAsia="Calibri"/>
                <w:sz w:val="20"/>
                <w:lang w:eastAsia="en-US"/>
              </w:rPr>
            </w:pPr>
            <w:r w:rsidRPr="00832773">
              <w:rPr>
                <w:rFonts w:eastAsia="Calibri"/>
                <w:sz w:val="20"/>
                <w:lang w:eastAsia="en-US"/>
              </w:rPr>
              <w:t>146</w:t>
            </w:r>
          </w:p>
        </w:tc>
        <w:tc>
          <w:tcPr>
            <w:tcW w:w="1472" w:type="dxa"/>
            <w:tcBorders>
              <w:top w:val="single" w:sz="4" w:space="0" w:color="D9D9D9" w:themeColor="background1" w:themeShade="D9"/>
              <w:left w:val="single" w:sz="4" w:space="0" w:color="auto"/>
              <w:bottom w:val="single" w:sz="4" w:space="0" w:color="D9D9D9" w:themeColor="background1" w:themeShade="D9"/>
            </w:tcBorders>
            <w:vAlign w:val="center"/>
          </w:tcPr>
          <w:p w14:paraId="7FE338EA" w14:textId="77777777" w:rsidR="000362BC" w:rsidRPr="00832773" w:rsidRDefault="006377E5" w:rsidP="00CE62C1">
            <w:pPr>
              <w:spacing w:line="276" w:lineRule="auto"/>
              <w:jc w:val="center"/>
              <w:rPr>
                <w:rFonts w:eastAsia="Calibri"/>
                <w:sz w:val="20"/>
                <w:lang w:eastAsia="en-US"/>
              </w:rPr>
            </w:pPr>
            <w:r w:rsidRPr="00832773">
              <w:rPr>
                <w:rFonts w:eastAsia="Calibri"/>
                <w:sz w:val="20"/>
                <w:lang w:eastAsia="en-US"/>
              </w:rPr>
              <w:t>45,2%</w:t>
            </w:r>
          </w:p>
          <w:p w14:paraId="7184292D" w14:textId="4E934DA0" w:rsidR="006377E5" w:rsidRPr="00832773" w:rsidRDefault="006377E5" w:rsidP="00CE62C1">
            <w:pPr>
              <w:spacing w:line="276" w:lineRule="auto"/>
              <w:jc w:val="center"/>
              <w:rPr>
                <w:rFonts w:eastAsia="Calibri"/>
                <w:sz w:val="20"/>
                <w:lang w:eastAsia="en-US"/>
              </w:rPr>
            </w:pPr>
            <w:r w:rsidRPr="00832773">
              <w:rPr>
                <w:rFonts w:eastAsia="Calibri"/>
                <w:sz w:val="20"/>
                <w:lang w:eastAsia="en-US"/>
              </w:rPr>
              <w:t>120,3</w:t>
            </w:r>
          </w:p>
        </w:tc>
      </w:tr>
      <w:tr w:rsidR="000362BC" w:rsidRPr="004E74A6" w14:paraId="5CA2DDF5" w14:textId="77777777" w:rsidTr="00646290">
        <w:trPr>
          <w:jc w:val="center"/>
        </w:trPr>
        <w:tc>
          <w:tcPr>
            <w:tcW w:w="2778" w:type="dxa"/>
            <w:tcBorders>
              <w:top w:val="single" w:sz="4" w:space="0" w:color="D9D9D9" w:themeColor="background1" w:themeShade="D9"/>
              <w:bottom w:val="single" w:sz="4" w:space="0" w:color="D9D9D9" w:themeColor="background1" w:themeShade="D9"/>
              <w:right w:val="single" w:sz="4" w:space="0" w:color="auto"/>
            </w:tcBorders>
          </w:tcPr>
          <w:p w14:paraId="47D106E3" w14:textId="546799CE" w:rsidR="000362BC" w:rsidRPr="00832773" w:rsidRDefault="006377E5" w:rsidP="00CE62C1">
            <w:pPr>
              <w:spacing w:line="276" w:lineRule="auto"/>
              <w:rPr>
                <w:rFonts w:eastAsia="Calibri"/>
                <w:sz w:val="20"/>
                <w:lang w:eastAsia="en-US"/>
              </w:rPr>
            </w:pPr>
            <w:r w:rsidRPr="00832773">
              <w:rPr>
                <w:rFonts w:eastAsia="Calibri"/>
                <w:sz w:val="20"/>
                <w:lang w:eastAsia="en-US"/>
              </w:rPr>
              <w:t>Tribunal Primero de Apelación Civil de San José</w:t>
            </w:r>
          </w:p>
        </w:tc>
        <w:tc>
          <w:tcPr>
            <w:tcW w:w="1471" w:type="dxa"/>
            <w:tcBorders>
              <w:top w:val="single" w:sz="4" w:space="0" w:color="D9D9D9" w:themeColor="background1" w:themeShade="D9"/>
              <w:left w:val="single" w:sz="4" w:space="0" w:color="auto"/>
              <w:bottom w:val="single" w:sz="4" w:space="0" w:color="D9D9D9" w:themeColor="background1" w:themeShade="D9"/>
              <w:right w:val="single" w:sz="4" w:space="0" w:color="auto"/>
            </w:tcBorders>
            <w:vAlign w:val="center"/>
          </w:tcPr>
          <w:p w14:paraId="3C9D007E" w14:textId="77777777" w:rsidR="000362BC" w:rsidRPr="00832773" w:rsidRDefault="006377E5" w:rsidP="00CE62C1">
            <w:pPr>
              <w:spacing w:line="276" w:lineRule="auto"/>
              <w:jc w:val="center"/>
              <w:rPr>
                <w:rFonts w:eastAsia="Calibri"/>
                <w:sz w:val="20"/>
                <w:lang w:eastAsia="en-US"/>
              </w:rPr>
            </w:pPr>
            <w:r w:rsidRPr="00832773">
              <w:rPr>
                <w:rFonts w:eastAsia="Calibri"/>
                <w:sz w:val="20"/>
                <w:lang w:eastAsia="en-US"/>
              </w:rPr>
              <w:t>75,1%</w:t>
            </w:r>
          </w:p>
          <w:p w14:paraId="3902161F" w14:textId="10E9B5BE" w:rsidR="006377E5" w:rsidRPr="00832773" w:rsidRDefault="00646290" w:rsidP="00CE62C1">
            <w:pPr>
              <w:spacing w:line="276" w:lineRule="auto"/>
              <w:jc w:val="center"/>
              <w:rPr>
                <w:rFonts w:eastAsia="Calibri"/>
                <w:sz w:val="20"/>
                <w:lang w:eastAsia="en-US"/>
              </w:rPr>
            </w:pPr>
            <w:r w:rsidRPr="00832773">
              <w:rPr>
                <w:rFonts w:eastAsia="Calibri"/>
                <w:sz w:val="20"/>
                <w:lang w:eastAsia="en-US"/>
              </w:rPr>
              <w:t>1728,7</w:t>
            </w:r>
          </w:p>
        </w:tc>
        <w:tc>
          <w:tcPr>
            <w:tcW w:w="1472" w:type="dxa"/>
            <w:tcBorders>
              <w:top w:val="single" w:sz="4" w:space="0" w:color="D9D9D9" w:themeColor="background1" w:themeShade="D9"/>
              <w:left w:val="single" w:sz="4" w:space="0" w:color="auto"/>
              <w:bottom w:val="single" w:sz="4" w:space="0" w:color="D9D9D9" w:themeColor="background1" w:themeShade="D9"/>
              <w:right w:val="single" w:sz="4" w:space="0" w:color="auto"/>
            </w:tcBorders>
            <w:vAlign w:val="center"/>
          </w:tcPr>
          <w:p w14:paraId="25456FFB" w14:textId="77777777" w:rsidR="00646290" w:rsidRPr="00832773" w:rsidRDefault="00646290" w:rsidP="00CE62C1">
            <w:pPr>
              <w:spacing w:line="276" w:lineRule="auto"/>
              <w:jc w:val="center"/>
              <w:rPr>
                <w:rFonts w:eastAsia="Calibri"/>
                <w:sz w:val="20"/>
                <w:lang w:eastAsia="en-US"/>
              </w:rPr>
            </w:pPr>
            <w:r w:rsidRPr="00832773">
              <w:rPr>
                <w:rFonts w:eastAsia="Calibri"/>
                <w:sz w:val="20"/>
                <w:lang w:eastAsia="en-US"/>
              </w:rPr>
              <w:t>0%</w:t>
            </w:r>
          </w:p>
          <w:p w14:paraId="20176D12" w14:textId="73E5B963" w:rsidR="000362BC" w:rsidRPr="00832773" w:rsidRDefault="00646290" w:rsidP="00CE62C1">
            <w:pPr>
              <w:spacing w:line="276" w:lineRule="auto"/>
              <w:jc w:val="center"/>
              <w:rPr>
                <w:rFonts w:eastAsia="Calibri"/>
                <w:sz w:val="20"/>
                <w:lang w:eastAsia="en-US"/>
              </w:rPr>
            </w:pPr>
            <w:r w:rsidRPr="00832773">
              <w:rPr>
                <w:rFonts w:eastAsia="Calibri"/>
                <w:sz w:val="20"/>
                <w:lang w:eastAsia="en-US"/>
              </w:rPr>
              <w:t>0</w:t>
            </w:r>
          </w:p>
        </w:tc>
        <w:tc>
          <w:tcPr>
            <w:tcW w:w="1472" w:type="dxa"/>
            <w:tcBorders>
              <w:top w:val="single" w:sz="4" w:space="0" w:color="D9D9D9" w:themeColor="background1" w:themeShade="D9"/>
              <w:left w:val="single" w:sz="4" w:space="0" w:color="auto"/>
              <w:bottom w:val="single" w:sz="4" w:space="0" w:color="D9D9D9" w:themeColor="background1" w:themeShade="D9"/>
              <w:right w:val="single" w:sz="4" w:space="0" w:color="auto"/>
            </w:tcBorders>
            <w:vAlign w:val="center"/>
          </w:tcPr>
          <w:p w14:paraId="63FA293D" w14:textId="77777777" w:rsidR="000362BC" w:rsidRPr="00832773" w:rsidRDefault="00646290" w:rsidP="00CE62C1">
            <w:pPr>
              <w:spacing w:line="276" w:lineRule="auto"/>
              <w:jc w:val="center"/>
              <w:rPr>
                <w:rFonts w:eastAsia="Calibri"/>
                <w:sz w:val="20"/>
                <w:lang w:eastAsia="en-US"/>
              </w:rPr>
            </w:pPr>
            <w:r w:rsidRPr="00832773">
              <w:rPr>
                <w:rFonts w:eastAsia="Calibri"/>
                <w:sz w:val="20"/>
                <w:lang w:eastAsia="en-US"/>
              </w:rPr>
              <w:t>21,8%</w:t>
            </w:r>
          </w:p>
          <w:p w14:paraId="3DBFFBCB" w14:textId="583141D1" w:rsidR="00646290" w:rsidRPr="00832773" w:rsidRDefault="00646290" w:rsidP="00CE62C1">
            <w:pPr>
              <w:spacing w:line="276" w:lineRule="auto"/>
              <w:jc w:val="center"/>
              <w:rPr>
                <w:rFonts w:eastAsia="Calibri"/>
                <w:sz w:val="20"/>
                <w:lang w:eastAsia="en-US"/>
              </w:rPr>
            </w:pPr>
            <w:r w:rsidRPr="00832773">
              <w:rPr>
                <w:rFonts w:eastAsia="Calibri"/>
                <w:sz w:val="20"/>
                <w:lang w:eastAsia="en-US"/>
              </w:rPr>
              <w:t>501,7</w:t>
            </w:r>
          </w:p>
        </w:tc>
        <w:tc>
          <w:tcPr>
            <w:tcW w:w="1472" w:type="dxa"/>
            <w:tcBorders>
              <w:top w:val="single" w:sz="4" w:space="0" w:color="D9D9D9" w:themeColor="background1" w:themeShade="D9"/>
              <w:left w:val="single" w:sz="4" w:space="0" w:color="auto"/>
              <w:bottom w:val="single" w:sz="4" w:space="0" w:color="D9D9D9" w:themeColor="background1" w:themeShade="D9"/>
            </w:tcBorders>
            <w:vAlign w:val="center"/>
          </w:tcPr>
          <w:p w14:paraId="62CFD50F" w14:textId="77777777" w:rsidR="000362BC" w:rsidRPr="00832773" w:rsidRDefault="00646290" w:rsidP="00CE62C1">
            <w:pPr>
              <w:spacing w:line="276" w:lineRule="auto"/>
              <w:jc w:val="center"/>
              <w:rPr>
                <w:rFonts w:eastAsia="Calibri"/>
                <w:sz w:val="20"/>
                <w:lang w:eastAsia="en-US"/>
              </w:rPr>
            </w:pPr>
            <w:r w:rsidRPr="00832773">
              <w:rPr>
                <w:rFonts w:eastAsia="Calibri"/>
                <w:sz w:val="20"/>
                <w:lang w:eastAsia="en-US"/>
              </w:rPr>
              <w:t>3,2%</w:t>
            </w:r>
          </w:p>
          <w:p w14:paraId="092B73B1" w14:textId="53BB15F0" w:rsidR="00646290" w:rsidRPr="00832773" w:rsidRDefault="00646290" w:rsidP="00CE62C1">
            <w:pPr>
              <w:spacing w:line="276" w:lineRule="auto"/>
              <w:jc w:val="center"/>
              <w:rPr>
                <w:rFonts w:eastAsia="Calibri"/>
                <w:sz w:val="20"/>
                <w:lang w:eastAsia="en-US"/>
              </w:rPr>
            </w:pPr>
            <w:r w:rsidRPr="00832773">
              <w:rPr>
                <w:rFonts w:eastAsia="Calibri"/>
                <w:sz w:val="20"/>
                <w:lang w:eastAsia="en-US"/>
              </w:rPr>
              <w:t>72,7</w:t>
            </w:r>
          </w:p>
        </w:tc>
      </w:tr>
      <w:tr w:rsidR="000362BC" w:rsidRPr="004E74A6" w14:paraId="3A9760FE" w14:textId="77777777" w:rsidTr="00646290">
        <w:trPr>
          <w:jc w:val="center"/>
        </w:trPr>
        <w:tc>
          <w:tcPr>
            <w:tcW w:w="2778" w:type="dxa"/>
            <w:tcBorders>
              <w:top w:val="single" w:sz="4" w:space="0" w:color="D9D9D9" w:themeColor="background1" w:themeShade="D9"/>
              <w:right w:val="single" w:sz="4" w:space="0" w:color="auto"/>
            </w:tcBorders>
          </w:tcPr>
          <w:p w14:paraId="01BE4645" w14:textId="4AA74EC5" w:rsidR="000362BC" w:rsidRPr="00832773" w:rsidRDefault="00646290" w:rsidP="00CE62C1">
            <w:pPr>
              <w:spacing w:line="276" w:lineRule="auto"/>
              <w:rPr>
                <w:rFonts w:eastAsia="Calibri"/>
                <w:sz w:val="20"/>
                <w:lang w:eastAsia="en-US"/>
              </w:rPr>
            </w:pPr>
            <w:r w:rsidRPr="00832773">
              <w:rPr>
                <w:rFonts w:eastAsia="Calibri"/>
                <w:sz w:val="20"/>
                <w:lang w:eastAsia="en-US"/>
              </w:rPr>
              <w:t>Tribunal Segundo de Apelación Civil de San José</w:t>
            </w:r>
          </w:p>
        </w:tc>
        <w:tc>
          <w:tcPr>
            <w:tcW w:w="1471" w:type="dxa"/>
            <w:tcBorders>
              <w:top w:val="single" w:sz="4" w:space="0" w:color="D9D9D9" w:themeColor="background1" w:themeShade="D9"/>
              <w:left w:val="single" w:sz="4" w:space="0" w:color="auto"/>
              <w:right w:val="single" w:sz="4" w:space="0" w:color="auto"/>
            </w:tcBorders>
            <w:vAlign w:val="center"/>
          </w:tcPr>
          <w:p w14:paraId="3C27B180" w14:textId="77777777" w:rsidR="000362BC" w:rsidRPr="00832773" w:rsidRDefault="00646290" w:rsidP="00CE62C1">
            <w:pPr>
              <w:spacing w:line="276" w:lineRule="auto"/>
              <w:jc w:val="center"/>
              <w:rPr>
                <w:rFonts w:eastAsia="Calibri"/>
                <w:sz w:val="20"/>
                <w:lang w:eastAsia="en-US"/>
              </w:rPr>
            </w:pPr>
            <w:r w:rsidRPr="00832773">
              <w:rPr>
                <w:rFonts w:eastAsia="Calibri"/>
                <w:sz w:val="20"/>
                <w:lang w:eastAsia="en-US"/>
              </w:rPr>
              <w:t>53,8%</w:t>
            </w:r>
          </w:p>
          <w:p w14:paraId="7B9A8161" w14:textId="6D57CE9C" w:rsidR="00646290" w:rsidRPr="00832773" w:rsidRDefault="00646290" w:rsidP="00CE62C1">
            <w:pPr>
              <w:spacing w:line="276" w:lineRule="auto"/>
              <w:jc w:val="center"/>
              <w:rPr>
                <w:rFonts w:eastAsia="Calibri"/>
                <w:sz w:val="20"/>
                <w:lang w:eastAsia="en-US"/>
              </w:rPr>
            </w:pPr>
            <w:r w:rsidRPr="00832773">
              <w:rPr>
                <w:rFonts w:eastAsia="Calibri"/>
                <w:sz w:val="20"/>
                <w:lang w:eastAsia="en-US"/>
              </w:rPr>
              <w:t>328,7</w:t>
            </w:r>
          </w:p>
        </w:tc>
        <w:tc>
          <w:tcPr>
            <w:tcW w:w="1472" w:type="dxa"/>
            <w:tcBorders>
              <w:top w:val="single" w:sz="4" w:space="0" w:color="D9D9D9" w:themeColor="background1" w:themeShade="D9"/>
              <w:left w:val="single" w:sz="4" w:space="0" w:color="auto"/>
              <w:right w:val="single" w:sz="4" w:space="0" w:color="auto"/>
            </w:tcBorders>
            <w:vAlign w:val="center"/>
          </w:tcPr>
          <w:p w14:paraId="08E605DF" w14:textId="77777777" w:rsidR="000362BC" w:rsidRPr="00832773" w:rsidRDefault="00646290" w:rsidP="00CE62C1">
            <w:pPr>
              <w:spacing w:line="276" w:lineRule="auto"/>
              <w:jc w:val="center"/>
              <w:rPr>
                <w:rFonts w:eastAsia="Calibri"/>
                <w:sz w:val="20"/>
                <w:lang w:eastAsia="en-US"/>
              </w:rPr>
            </w:pPr>
            <w:r w:rsidRPr="00832773">
              <w:rPr>
                <w:rFonts w:eastAsia="Calibri"/>
                <w:sz w:val="20"/>
                <w:lang w:eastAsia="en-US"/>
              </w:rPr>
              <w:t>3,2%</w:t>
            </w:r>
          </w:p>
          <w:p w14:paraId="71626EE8" w14:textId="0E8F13CF" w:rsidR="00646290" w:rsidRPr="00832773" w:rsidRDefault="00646290" w:rsidP="00CE62C1">
            <w:pPr>
              <w:spacing w:line="276" w:lineRule="auto"/>
              <w:jc w:val="center"/>
              <w:rPr>
                <w:rFonts w:eastAsia="Calibri"/>
                <w:sz w:val="20"/>
                <w:lang w:eastAsia="en-US"/>
              </w:rPr>
            </w:pPr>
            <w:r w:rsidRPr="00832773">
              <w:rPr>
                <w:rFonts w:eastAsia="Calibri"/>
                <w:sz w:val="20"/>
                <w:lang w:eastAsia="en-US"/>
              </w:rPr>
              <w:t>19,3</w:t>
            </w:r>
          </w:p>
        </w:tc>
        <w:tc>
          <w:tcPr>
            <w:tcW w:w="1472" w:type="dxa"/>
            <w:tcBorders>
              <w:top w:val="single" w:sz="4" w:space="0" w:color="D9D9D9" w:themeColor="background1" w:themeShade="D9"/>
              <w:left w:val="single" w:sz="4" w:space="0" w:color="auto"/>
              <w:right w:val="single" w:sz="4" w:space="0" w:color="auto"/>
            </w:tcBorders>
            <w:vAlign w:val="center"/>
          </w:tcPr>
          <w:p w14:paraId="3BB95699" w14:textId="77777777" w:rsidR="000362BC" w:rsidRPr="00832773" w:rsidRDefault="00646290" w:rsidP="00CE62C1">
            <w:pPr>
              <w:spacing w:line="276" w:lineRule="auto"/>
              <w:jc w:val="center"/>
              <w:rPr>
                <w:rFonts w:eastAsia="Calibri"/>
                <w:sz w:val="20"/>
                <w:lang w:eastAsia="en-US"/>
              </w:rPr>
            </w:pPr>
            <w:r w:rsidRPr="00832773">
              <w:rPr>
                <w:rFonts w:eastAsia="Calibri"/>
                <w:sz w:val="20"/>
                <w:lang w:eastAsia="en-US"/>
              </w:rPr>
              <w:t>36,6%</w:t>
            </w:r>
          </w:p>
          <w:p w14:paraId="6845B72F" w14:textId="4ADF3ADA" w:rsidR="00646290" w:rsidRPr="00832773" w:rsidRDefault="00646290" w:rsidP="00CE62C1">
            <w:pPr>
              <w:spacing w:line="276" w:lineRule="auto"/>
              <w:jc w:val="center"/>
              <w:rPr>
                <w:rFonts w:eastAsia="Calibri"/>
                <w:sz w:val="20"/>
                <w:lang w:eastAsia="en-US"/>
              </w:rPr>
            </w:pPr>
            <w:r w:rsidRPr="00832773">
              <w:rPr>
                <w:rFonts w:eastAsia="Calibri"/>
                <w:sz w:val="20"/>
                <w:lang w:eastAsia="en-US"/>
              </w:rPr>
              <w:t>223,7</w:t>
            </w:r>
          </w:p>
        </w:tc>
        <w:tc>
          <w:tcPr>
            <w:tcW w:w="1472" w:type="dxa"/>
            <w:tcBorders>
              <w:top w:val="single" w:sz="4" w:space="0" w:color="D9D9D9" w:themeColor="background1" w:themeShade="D9"/>
              <w:left w:val="single" w:sz="4" w:space="0" w:color="auto"/>
            </w:tcBorders>
            <w:vAlign w:val="center"/>
          </w:tcPr>
          <w:p w14:paraId="598C993C" w14:textId="77777777" w:rsidR="000362BC" w:rsidRPr="00832773" w:rsidRDefault="00646290" w:rsidP="00CE62C1">
            <w:pPr>
              <w:spacing w:line="276" w:lineRule="auto"/>
              <w:jc w:val="center"/>
              <w:rPr>
                <w:rFonts w:eastAsia="Calibri"/>
                <w:sz w:val="20"/>
                <w:lang w:eastAsia="en-US"/>
              </w:rPr>
            </w:pPr>
            <w:r w:rsidRPr="00832773">
              <w:rPr>
                <w:rFonts w:eastAsia="Calibri"/>
                <w:sz w:val="20"/>
                <w:lang w:eastAsia="en-US"/>
              </w:rPr>
              <w:t>6,5%</w:t>
            </w:r>
          </w:p>
          <w:p w14:paraId="55917E7C" w14:textId="37A62B0B" w:rsidR="00646290" w:rsidRPr="00832773" w:rsidRDefault="00646290" w:rsidP="00CE62C1">
            <w:pPr>
              <w:spacing w:line="276" w:lineRule="auto"/>
              <w:jc w:val="center"/>
              <w:rPr>
                <w:rFonts w:eastAsia="Calibri"/>
                <w:sz w:val="20"/>
                <w:lang w:eastAsia="en-US"/>
              </w:rPr>
            </w:pPr>
            <w:r w:rsidRPr="00832773">
              <w:rPr>
                <w:rFonts w:eastAsia="Calibri"/>
                <w:sz w:val="20"/>
                <w:lang w:eastAsia="en-US"/>
              </w:rPr>
              <w:t>39,7</w:t>
            </w:r>
          </w:p>
        </w:tc>
      </w:tr>
      <w:tr w:rsidR="00646290" w:rsidRPr="004E74A6" w14:paraId="06D0E899" w14:textId="77777777" w:rsidTr="00646290">
        <w:trPr>
          <w:jc w:val="center"/>
        </w:trPr>
        <w:tc>
          <w:tcPr>
            <w:tcW w:w="2778" w:type="dxa"/>
            <w:tcBorders>
              <w:bottom w:val="single" w:sz="4" w:space="0" w:color="auto"/>
              <w:right w:val="single" w:sz="4" w:space="0" w:color="auto"/>
            </w:tcBorders>
          </w:tcPr>
          <w:p w14:paraId="3594FEC4" w14:textId="77777777" w:rsidR="00646290" w:rsidRPr="00832773" w:rsidRDefault="00646290" w:rsidP="00CE62C1">
            <w:pPr>
              <w:spacing w:line="276" w:lineRule="auto"/>
              <w:rPr>
                <w:rFonts w:eastAsia="Calibri"/>
                <w:sz w:val="20"/>
                <w:lang w:eastAsia="en-US"/>
              </w:rPr>
            </w:pPr>
          </w:p>
        </w:tc>
        <w:tc>
          <w:tcPr>
            <w:tcW w:w="1471" w:type="dxa"/>
            <w:tcBorders>
              <w:left w:val="single" w:sz="4" w:space="0" w:color="auto"/>
              <w:bottom w:val="single" w:sz="4" w:space="0" w:color="auto"/>
              <w:right w:val="single" w:sz="4" w:space="0" w:color="auto"/>
            </w:tcBorders>
            <w:vAlign w:val="center"/>
          </w:tcPr>
          <w:p w14:paraId="2FFE6D5C" w14:textId="77777777" w:rsidR="00646290" w:rsidRPr="00832773" w:rsidRDefault="00646290" w:rsidP="00CE62C1">
            <w:pPr>
              <w:spacing w:line="276" w:lineRule="auto"/>
              <w:jc w:val="center"/>
              <w:rPr>
                <w:rFonts w:eastAsia="Calibri"/>
                <w:sz w:val="20"/>
                <w:lang w:eastAsia="en-US"/>
              </w:rPr>
            </w:pPr>
          </w:p>
        </w:tc>
        <w:tc>
          <w:tcPr>
            <w:tcW w:w="1472" w:type="dxa"/>
            <w:tcBorders>
              <w:left w:val="single" w:sz="4" w:space="0" w:color="auto"/>
              <w:bottom w:val="single" w:sz="4" w:space="0" w:color="auto"/>
              <w:right w:val="single" w:sz="4" w:space="0" w:color="auto"/>
            </w:tcBorders>
            <w:vAlign w:val="center"/>
          </w:tcPr>
          <w:p w14:paraId="4EB63930" w14:textId="77777777" w:rsidR="00646290" w:rsidRPr="00832773" w:rsidRDefault="00646290" w:rsidP="00CE62C1">
            <w:pPr>
              <w:spacing w:line="276" w:lineRule="auto"/>
              <w:jc w:val="center"/>
              <w:rPr>
                <w:rFonts w:eastAsia="Calibri"/>
                <w:sz w:val="20"/>
                <w:lang w:eastAsia="en-US"/>
              </w:rPr>
            </w:pPr>
          </w:p>
        </w:tc>
        <w:tc>
          <w:tcPr>
            <w:tcW w:w="1472" w:type="dxa"/>
            <w:tcBorders>
              <w:left w:val="single" w:sz="4" w:space="0" w:color="auto"/>
              <w:bottom w:val="single" w:sz="4" w:space="0" w:color="auto"/>
              <w:right w:val="single" w:sz="4" w:space="0" w:color="auto"/>
            </w:tcBorders>
            <w:vAlign w:val="center"/>
          </w:tcPr>
          <w:p w14:paraId="3FBCCD50" w14:textId="77777777" w:rsidR="00646290" w:rsidRPr="00832773" w:rsidRDefault="00646290" w:rsidP="00CE62C1">
            <w:pPr>
              <w:spacing w:line="276" w:lineRule="auto"/>
              <w:jc w:val="center"/>
              <w:rPr>
                <w:rFonts w:eastAsia="Calibri"/>
                <w:sz w:val="20"/>
                <w:lang w:eastAsia="en-US"/>
              </w:rPr>
            </w:pPr>
          </w:p>
        </w:tc>
        <w:tc>
          <w:tcPr>
            <w:tcW w:w="1472" w:type="dxa"/>
            <w:tcBorders>
              <w:left w:val="single" w:sz="4" w:space="0" w:color="auto"/>
              <w:bottom w:val="single" w:sz="4" w:space="0" w:color="auto"/>
            </w:tcBorders>
            <w:vAlign w:val="center"/>
          </w:tcPr>
          <w:p w14:paraId="491D5EF6" w14:textId="77777777" w:rsidR="00646290" w:rsidRPr="00832773" w:rsidRDefault="00646290" w:rsidP="00CE62C1">
            <w:pPr>
              <w:spacing w:line="276" w:lineRule="auto"/>
              <w:jc w:val="center"/>
              <w:rPr>
                <w:rFonts w:eastAsia="Calibri"/>
                <w:sz w:val="20"/>
                <w:lang w:eastAsia="en-US"/>
              </w:rPr>
            </w:pPr>
          </w:p>
        </w:tc>
      </w:tr>
    </w:tbl>
    <w:p w14:paraId="09903536" w14:textId="77777777" w:rsidR="00646290" w:rsidRPr="004E74A6" w:rsidRDefault="00646290" w:rsidP="00832773">
      <w:pPr>
        <w:spacing w:line="276" w:lineRule="auto"/>
        <w:rPr>
          <w:rFonts w:cs="Calibri"/>
          <w:i/>
          <w:iCs/>
          <w:color w:val="000000"/>
          <w:sz w:val="20"/>
          <w:lang w:eastAsia="es-CR"/>
        </w:rPr>
      </w:pPr>
      <w:r w:rsidRPr="004E74A6">
        <w:rPr>
          <w:rFonts w:cs="Calibri"/>
          <w:i/>
          <w:iCs/>
          <w:color w:val="000000"/>
          <w:sz w:val="20"/>
          <w:lang w:eastAsia="es-CR"/>
        </w:rPr>
        <w:t>Fuente: Subproceso de Modernización Institucional con datos extraídos del sistema SIGMA, Dirección de Planificación.</w:t>
      </w:r>
    </w:p>
    <w:p w14:paraId="3F4F4616" w14:textId="5F407E07" w:rsidR="00D4216E" w:rsidRPr="00832773" w:rsidRDefault="00D4216E" w:rsidP="00CE62C1">
      <w:pPr>
        <w:spacing w:line="276" w:lineRule="auto"/>
        <w:rPr>
          <w:rFonts w:eastAsia="Calibri"/>
          <w:lang w:eastAsia="en-US"/>
        </w:rPr>
      </w:pPr>
    </w:p>
    <w:p w14:paraId="43B66AB3" w14:textId="20B5A3D0" w:rsidR="0061736A" w:rsidRPr="00832773" w:rsidRDefault="0061736A" w:rsidP="00CE62C1">
      <w:pPr>
        <w:spacing w:line="276" w:lineRule="auto"/>
        <w:rPr>
          <w:rFonts w:eastAsia="Calibri"/>
          <w:lang w:eastAsia="en-US"/>
        </w:rPr>
      </w:pPr>
      <w:r w:rsidRPr="00832773">
        <w:rPr>
          <w:rFonts w:eastAsia="Calibri"/>
          <w:lang w:eastAsia="en-US"/>
        </w:rPr>
        <w:t xml:space="preserve">Sin embargo, dado que la mayoría de los asuntos no se estimó el </w:t>
      </w:r>
      <w:r w:rsidR="00B66BF9" w:rsidRPr="00832773">
        <w:rPr>
          <w:rFonts w:eastAsia="Calibri"/>
          <w:lang w:eastAsia="en-US"/>
        </w:rPr>
        <w:t>recurso,</w:t>
      </w:r>
      <w:r w:rsidRPr="00832773">
        <w:rPr>
          <w:rFonts w:eastAsia="Calibri"/>
          <w:lang w:eastAsia="en-US"/>
        </w:rPr>
        <w:t xml:space="preserve"> sino que se eligió la opción no aplica entonces este dato no permite visualizar el impacto a partir de datos obtenidos de esta instancia, sino de la primera como se realizó líneas atrás y directamente de la Sala Primera (l</w:t>
      </w:r>
      <w:r w:rsidRPr="00832773">
        <w:rPr>
          <w:rFonts w:eastAsia="Calibri"/>
          <w:b/>
          <w:bCs/>
          <w:lang w:eastAsia="en-US"/>
        </w:rPr>
        <w:t xml:space="preserve">a estadística de la Sala Primera se analizó en el escenario D). </w:t>
      </w:r>
    </w:p>
    <w:p w14:paraId="0F705121" w14:textId="2F590E8F" w:rsidR="00712BDB" w:rsidRPr="00832773" w:rsidRDefault="00712BDB" w:rsidP="00CE62C1">
      <w:pPr>
        <w:spacing w:line="276" w:lineRule="auto"/>
        <w:rPr>
          <w:rFonts w:eastAsia="Calibri"/>
          <w:lang w:eastAsia="en-US"/>
        </w:rPr>
      </w:pPr>
    </w:p>
    <w:p w14:paraId="069044EA" w14:textId="57BBAB73" w:rsidR="00B412A0" w:rsidRPr="00832773" w:rsidRDefault="00B412A0" w:rsidP="00CE62C1">
      <w:pPr>
        <w:spacing w:line="276" w:lineRule="auto"/>
        <w:rPr>
          <w:rFonts w:eastAsia="Calibri"/>
          <w:lang w:eastAsia="en-US"/>
        </w:rPr>
      </w:pPr>
    </w:p>
    <w:p w14:paraId="55AD50DD" w14:textId="3476FE81" w:rsidR="007D1D59" w:rsidRPr="00832773" w:rsidRDefault="007D1D59" w:rsidP="00CE62C1">
      <w:pPr>
        <w:spacing w:line="276" w:lineRule="auto"/>
        <w:rPr>
          <w:rFonts w:eastAsia="Calibri"/>
          <w:lang w:eastAsia="en-US"/>
        </w:rPr>
      </w:pPr>
    </w:p>
    <w:p w14:paraId="2163C0BD" w14:textId="565534D8" w:rsidR="004647C0" w:rsidRPr="00832773" w:rsidRDefault="004647C0" w:rsidP="00CE62C1">
      <w:pPr>
        <w:spacing w:line="276" w:lineRule="auto"/>
        <w:rPr>
          <w:rFonts w:eastAsia="Calibri"/>
          <w:lang w:eastAsia="en-US"/>
        </w:rPr>
      </w:pPr>
    </w:p>
    <w:p w14:paraId="1DD927ED" w14:textId="474B3A85" w:rsidR="00E3109A" w:rsidRPr="00832773" w:rsidRDefault="00E3109A" w:rsidP="00CE62C1">
      <w:pPr>
        <w:spacing w:line="276" w:lineRule="auto"/>
        <w:rPr>
          <w:rFonts w:eastAsia="Calibri"/>
          <w:lang w:eastAsia="en-US"/>
        </w:rPr>
      </w:pPr>
    </w:p>
    <w:p w14:paraId="2C10E34C" w14:textId="1FCF0932" w:rsidR="00E3109A" w:rsidRPr="00832773" w:rsidRDefault="00E3109A" w:rsidP="00CE62C1">
      <w:pPr>
        <w:spacing w:line="276" w:lineRule="auto"/>
        <w:rPr>
          <w:rFonts w:eastAsia="Calibri"/>
          <w:lang w:eastAsia="en-US"/>
        </w:rPr>
      </w:pPr>
    </w:p>
    <w:p w14:paraId="1A34A91B" w14:textId="4E18979B" w:rsidR="00083F7F" w:rsidRPr="004E74A6" w:rsidRDefault="00640788" w:rsidP="00CE62C1">
      <w:pPr>
        <w:spacing w:line="276" w:lineRule="auto"/>
        <w:outlineLvl w:val="2"/>
        <w:rPr>
          <w:rFonts w:eastAsia="Calibri"/>
          <w:b/>
          <w:bCs/>
          <w:i/>
          <w:iCs/>
          <w:color w:val="2F5496"/>
          <w:lang w:eastAsia="en-US"/>
        </w:rPr>
      </w:pPr>
      <w:r w:rsidRPr="004E74A6">
        <w:rPr>
          <w:rFonts w:eastAsia="Calibri"/>
          <w:b/>
          <w:bCs/>
          <w:color w:val="2F5496"/>
          <w:lang w:eastAsia="en-US"/>
        </w:rPr>
        <w:lastRenderedPageBreak/>
        <w:t>Escenario B.</w:t>
      </w:r>
      <w:r w:rsidR="002E47CB" w:rsidRPr="004E74A6">
        <w:rPr>
          <w:rFonts w:eastAsia="Calibri"/>
          <w:b/>
          <w:bCs/>
          <w:color w:val="2F5496"/>
          <w:lang w:eastAsia="en-US"/>
        </w:rPr>
        <w:t xml:space="preserve"> </w:t>
      </w:r>
      <w:r w:rsidR="002E47CB" w:rsidRPr="004E74A6">
        <w:rPr>
          <w:rFonts w:eastAsia="Calibri"/>
          <w:b/>
          <w:bCs/>
          <w:i/>
          <w:iCs/>
          <w:color w:val="2F5496"/>
          <w:lang w:eastAsia="en-US"/>
        </w:rPr>
        <w:t xml:space="preserve">Actualización del monto de la cuantía en materia Civil, según el Índice de Precios al Consumidor </w:t>
      </w:r>
      <w:r w:rsidR="00862839" w:rsidRPr="004E74A6">
        <w:rPr>
          <w:rFonts w:eastAsia="Calibri"/>
          <w:b/>
          <w:bCs/>
          <w:i/>
          <w:iCs/>
          <w:color w:val="2F5496"/>
          <w:lang w:eastAsia="en-US"/>
        </w:rPr>
        <w:t>e Índice</w:t>
      </w:r>
      <w:r w:rsidR="002E47CB" w:rsidRPr="004E74A6">
        <w:rPr>
          <w:rFonts w:eastAsia="Calibri"/>
          <w:b/>
          <w:bCs/>
          <w:i/>
          <w:iCs/>
          <w:color w:val="2F5496"/>
          <w:lang w:eastAsia="en-US"/>
        </w:rPr>
        <w:t xml:space="preserve"> de Precios al Productor-</w:t>
      </w:r>
      <w:r w:rsidR="002E47CB" w:rsidRPr="00832773">
        <w:rPr>
          <w:rFonts w:cs="Calibri"/>
          <w:b/>
          <w:i/>
          <w:iCs/>
          <w:color w:val="2F5496"/>
        </w:rPr>
        <w:t xml:space="preserve"> </w:t>
      </w:r>
      <w:r w:rsidRPr="004E74A6">
        <w:rPr>
          <w:rFonts w:eastAsia="Calibri"/>
          <w:b/>
          <w:bCs/>
          <w:i/>
          <w:iCs/>
          <w:color w:val="2F5496"/>
          <w:lang w:eastAsia="en-US"/>
        </w:rPr>
        <w:t>IPC/IPP</w:t>
      </w:r>
    </w:p>
    <w:p w14:paraId="58377E2E" w14:textId="3C29BEB4" w:rsidR="00640788" w:rsidRPr="004E74A6" w:rsidRDefault="00640788" w:rsidP="00CE62C1">
      <w:pPr>
        <w:spacing w:line="276" w:lineRule="auto"/>
        <w:rPr>
          <w:rFonts w:eastAsia="Calibri"/>
          <w:lang w:eastAsia="en-US"/>
        </w:rPr>
      </w:pPr>
      <w:r w:rsidRPr="004E74A6">
        <w:rPr>
          <w:rFonts w:eastAsia="Calibri"/>
          <w:b/>
          <w:bCs/>
          <w:lang w:eastAsia="en-US"/>
        </w:rPr>
        <w:t xml:space="preserve"> </w:t>
      </w:r>
    </w:p>
    <w:p w14:paraId="6A71D15C" w14:textId="77777777" w:rsidR="00F20904" w:rsidRPr="004E74A6" w:rsidRDefault="00F20904" w:rsidP="00CE62C1">
      <w:pPr>
        <w:spacing w:line="276" w:lineRule="auto"/>
        <w:contextualSpacing/>
        <w:rPr>
          <w:rFonts w:eastAsia="Calibri"/>
          <w:szCs w:val="24"/>
          <w:lang w:eastAsia="en-US"/>
        </w:rPr>
      </w:pPr>
      <w:r w:rsidRPr="004E74A6">
        <w:rPr>
          <w:rFonts w:eastAsia="Calibri"/>
          <w:szCs w:val="24"/>
          <w:lang w:eastAsia="en-US"/>
        </w:rPr>
        <w:t>La Ley Orgánica del Poder Judicial en sus artículos 59 y 114, previó que el establecimiento de la cuantía podía realizarse utilizando el índice inflacionario que fuera establecido por el Banco Central de Costa Rica.</w:t>
      </w:r>
    </w:p>
    <w:p w14:paraId="2B79B700" w14:textId="77777777" w:rsidR="00F20904" w:rsidRPr="00832773" w:rsidRDefault="00F20904" w:rsidP="00CE62C1">
      <w:pPr>
        <w:spacing w:line="276" w:lineRule="auto"/>
        <w:rPr>
          <w:rFonts w:eastAsia="Calibri"/>
          <w:lang w:eastAsia="en-US"/>
        </w:rPr>
      </w:pPr>
      <w:r w:rsidRPr="00832773">
        <w:rPr>
          <w:rFonts w:eastAsia="Calibri"/>
          <w:lang w:eastAsia="en-US"/>
        </w:rPr>
        <w:t>A nivel conceptual, según el Banco Central de Costa Rica</w:t>
      </w:r>
      <w:r w:rsidRPr="00832773">
        <w:rPr>
          <w:rStyle w:val="Refdenotaalpie"/>
          <w:rFonts w:eastAsia="Calibri"/>
          <w:lang w:eastAsia="en-US"/>
        </w:rPr>
        <w:footnoteReference w:id="27"/>
      </w:r>
      <w:r w:rsidRPr="00832773">
        <w:rPr>
          <w:rFonts w:eastAsia="Calibri"/>
          <w:lang w:eastAsia="en-US"/>
        </w:rPr>
        <w:t xml:space="preserve"> la inflación se define como: </w:t>
      </w:r>
    </w:p>
    <w:p w14:paraId="776E4926" w14:textId="77777777" w:rsidR="00F20904" w:rsidRPr="00832773" w:rsidRDefault="00F20904" w:rsidP="00CE62C1">
      <w:pPr>
        <w:spacing w:line="276" w:lineRule="auto"/>
        <w:ind w:left="851" w:right="618"/>
        <w:rPr>
          <w:rFonts w:eastAsia="Calibri"/>
          <w:i/>
          <w:iCs/>
          <w:lang w:eastAsia="en-US"/>
        </w:rPr>
      </w:pPr>
      <w:r w:rsidRPr="00832773">
        <w:rPr>
          <w:rFonts w:eastAsia="Calibri"/>
          <w:i/>
          <w:iCs/>
          <w:lang w:eastAsia="en-US"/>
        </w:rPr>
        <w:t>“el aumento generalizado y sostenido del nivel general de precios de los bienes y servicios de una economía en un periodo. Dada la dificultad de calcular la variación de precios de todas las transacciones, la inflación se estima utilizando índices de precios, calculados con información muestral. En Costa Rica generalmente se usa este índice para medir la tasa de inflación”</w:t>
      </w:r>
    </w:p>
    <w:p w14:paraId="5CF921F3" w14:textId="77777777" w:rsidR="00F20904" w:rsidRPr="00832773" w:rsidRDefault="00F20904" w:rsidP="00CE62C1">
      <w:pPr>
        <w:spacing w:line="276" w:lineRule="auto"/>
        <w:ind w:left="851"/>
        <w:rPr>
          <w:rFonts w:eastAsia="Calibri"/>
          <w:i/>
          <w:iCs/>
          <w:lang w:eastAsia="en-US"/>
        </w:rPr>
      </w:pPr>
    </w:p>
    <w:p w14:paraId="5C985DE3" w14:textId="77777777" w:rsidR="00F20904" w:rsidRPr="00832773" w:rsidRDefault="00F20904" w:rsidP="00CE62C1">
      <w:pPr>
        <w:spacing w:line="276" w:lineRule="auto"/>
        <w:rPr>
          <w:rFonts w:eastAsia="Calibri"/>
          <w:lang w:eastAsia="en-US"/>
        </w:rPr>
      </w:pPr>
      <w:r w:rsidRPr="00832773">
        <w:rPr>
          <w:rFonts w:eastAsia="Calibri"/>
          <w:lang w:eastAsia="en-US"/>
        </w:rPr>
        <w:t>Es así como el Banco Central ha definido una serie de herramientas como lo son el Índice de precios al consumidor (IPC) y el Índice de precios al productor (IPP). Dentro de este último, puede diferenciarse entre el índice de precios del productor de manufactura (IPP-MAN) y el productor de servicios (IPP-S)</w:t>
      </w:r>
    </w:p>
    <w:p w14:paraId="5C56BBE8" w14:textId="77777777" w:rsidR="00F20904" w:rsidRPr="00832773" w:rsidRDefault="00F20904" w:rsidP="00CE62C1">
      <w:pPr>
        <w:spacing w:line="276" w:lineRule="auto"/>
        <w:rPr>
          <w:rFonts w:eastAsia="Calibri"/>
          <w:lang w:eastAsia="en-US"/>
        </w:rPr>
      </w:pPr>
      <w:r w:rsidRPr="00832773">
        <w:rPr>
          <w:rFonts w:eastAsia="Calibri"/>
          <w:lang w:eastAsia="en-US"/>
        </w:rPr>
        <w:t>Asimismo, el Banco establece el siguiente cálculo para traer a valor presente una magnitud monetaria:</w:t>
      </w:r>
    </w:p>
    <w:p w14:paraId="0673A972" w14:textId="503D67C5" w:rsidR="00F20904" w:rsidRPr="00832773" w:rsidRDefault="00F20904" w:rsidP="00CE62C1">
      <w:pPr>
        <w:spacing w:line="276" w:lineRule="auto"/>
        <w:rPr>
          <w:rFonts w:eastAsia="Calibri"/>
          <w:lang w:eastAsia="en-US"/>
        </w:rPr>
      </w:pPr>
      <w:r w:rsidRPr="00832773">
        <w:rPr>
          <w:rFonts w:eastAsia="Calibri"/>
          <w:i/>
          <w:iCs/>
          <w:sz w:val="20"/>
          <w:szCs w:val="16"/>
          <w:lang w:eastAsia="en-US"/>
        </w:rPr>
        <w:t>Ejemplo:</w:t>
      </w:r>
      <w:r w:rsidR="005A199D" w:rsidRPr="004E74A6">
        <w:rPr>
          <w:noProof/>
        </w:rPr>
        <w:drawing>
          <wp:inline distT="0" distB="0" distL="0" distR="0" wp14:anchorId="4CC2DBA9" wp14:editId="65D5A590">
            <wp:extent cx="5607050" cy="58674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607050" cy="586740"/>
                    </a:xfrm>
                    <a:prstGeom prst="rect">
                      <a:avLst/>
                    </a:prstGeom>
                    <a:noFill/>
                    <a:ln>
                      <a:noFill/>
                    </a:ln>
                  </pic:spPr>
                </pic:pic>
              </a:graphicData>
            </a:graphic>
          </wp:inline>
        </w:drawing>
      </w:r>
    </w:p>
    <w:p w14:paraId="1E383F0D" w14:textId="79709EDD" w:rsidR="00F20904" w:rsidRPr="00832773" w:rsidRDefault="00F20904" w:rsidP="00CE62C1">
      <w:pPr>
        <w:spacing w:line="276" w:lineRule="auto"/>
        <w:rPr>
          <w:rFonts w:eastAsia="Calibri"/>
          <w:lang w:eastAsia="en-US"/>
        </w:rPr>
      </w:pPr>
      <w:r w:rsidRPr="00832773">
        <w:rPr>
          <w:rFonts w:eastAsia="Calibri"/>
          <w:lang w:eastAsia="en-US"/>
        </w:rPr>
        <w:t xml:space="preserve">Utilizando el cálculo anteriormente descrito, el cual puede ser igualmente aplicado para los índices de precios al productor, se realiza la siguiente tabla que muestra el nivel correspondiente a cada índice en el mes de octubre 2013 que fue el momento en el cual se estableció la suma de más de </w:t>
      </w:r>
      <w:r w:rsidRPr="004E74A6">
        <w:rPr>
          <w:rFonts w:eastAsia="Calibri"/>
          <w:szCs w:val="24"/>
          <w:lang w:eastAsia="en-US"/>
        </w:rPr>
        <w:t xml:space="preserve">¢3.000.000.00 para procesos civiles de mayor cuantía según acuerdo de Corte Plena de sesión 38-13, del 9 de setiembre del 2013, artículo XXV, y el mes de </w:t>
      </w:r>
      <w:r w:rsidR="00C7157D" w:rsidRPr="004E74A6">
        <w:rPr>
          <w:rFonts w:eastAsia="Calibri"/>
          <w:szCs w:val="24"/>
          <w:lang w:eastAsia="en-US"/>
        </w:rPr>
        <w:t xml:space="preserve">julio </w:t>
      </w:r>
      <w:r w:rsidRPr="004E74A6">
        <w:rPr>
          <w:rFonts w:eastAsia="Calibri"/>
          <w:szCs w:val="24"/>
          <w:lang w:eastAsia="en-US"/>
        </w:rPr>
        <w:t xml:space="preserve">2022 que corresponde al último disponible </w:t>
      </w:r>
      <w:r w:rsidRPr="004E74A6">
        <w:rPr>
          <w:rFonts w:eastAsia="Calibri"/>
          <w:szCs w:val="24"/>
          <w:lang w:eastAsia="en-US"/>
        </w:rPr>
        <w:lastRenderedPageBreak/>
        <w:t xml:space="preserve">según la página web del Banco Central de Costa Rica consultada al </w:t>
      </w:r>
      <w:r w:rsidR="00C7157D" w:rsidRPr="004E74A6">
        <w:rPr>
          <w:rFonts w:eastAsia="Calibri"/>
          <w:szCs w:val="24"/>
          <w:lang w:eastAsia="en-US"/>
        </w:rPr>
        <w:t>10 de agosto</w:t>
      </w:r>
      <w:r w:rsidRPr="004E74A6">
        <w:rPr>
          <w:rFonts w:eastAsia="Calibri"/>
          <w:szCs w:val="24"/>
          <w:lang w:eastAsia="en-US"/>
        </w:rPr>
        <w:t xml:space="preserve"> de 2022.</w:t>
      </w:r>
      <w:r w:rsidR="004C0EDA" w:rsidRPr="004E74A6">
        <w:rPr>
          <w:rFonts w:eastAsia="Calibri"/>
          <w:szCs w:val="24"/>
          <w:lang w:eastAsia="en-US"/>
        </w:rPr>
        <w:t xml:space="preserve"> </w:t>
      </w:r>
    </w:p>
    <w:p w14:paraId="6ED797E2" w14:textId="77777777" w:rsidR="00F20904" w:rsidRPr="00832773" w:rsidRDefault="00F20904" w:rsidP="00CE62C1">
      <w:pPr>
        <w:spacing w:line="276" w:lineRule="auto"/>
        <w:rPr>
          <w:rFonts w:eastAsia="Calibri"/>
          <w:lang w:eastAsia="en-US"/>
        </w:rPr>
      </w:pPr>
    </w:p>
    <w:p w14:paraId="71BE9E0D" w14:textId="75B11A2A" w:rsidR="00693778" w:rsidRPr="00832773" w:rsidRDefault="00693778" w:rsidP="00832773">
      <w:pPr>
        <w:pStyle w:val="Descripcin"/>
        <w:keepNext/>
        <w:spacing w:line="276" w:lineRule="auto"/>
        <w:jc w:val="center"/>
        <w:rPr>
          <w:rFonts w:ascii="Book Antiqua" w:hAnsi="Book Antiqua"/>
          <w:i/>
          <w:iCs/>
          <w:sz w:val="20"/>
          <w:szCs w:val="16"/>
          <w:lang w:val="es-CR"/>
        </w:rPr>
      </w:pPr>
      <w:r w:rsidRPr="00832773">
        <w:rPr>
          <w:rFonts w:ascii="Book Antiqua" w:hAnsi="Book Antiqua"/>
          <w:i/>
          <w:iCs/>
          <w:sz w:val="20"/>
          <w:szCs w:val="16"/>
          <w:lang w:val="es-CR"/>
        </w:rPr>
        <w:t xml:space="preserve">Tabla </w:t>
      </w:r>
      <w:r w:rsidRPr="00832773">
        <w:rPr>
          <w:rFonts w:ascii="Book Antiqua" w:hAnsi="Book Antiqua"/>
          <w:i/>
          <w:iCs/>
          <w:sz w:val="20"/>
          <w:szCs w:val="16"/>
          <w:lang w:val="es-CR"/>
        </w:rPr>
        <w:fldChar w:fldCharType="begin"/>
      </w:r>
      <w:r w:rsidRPr="00832773">
        <w:rPr>
          <w:rFonts w:ascii="Book Antiqua" w:hAnsi="Book Antiqua"/>
          <w:i/>
          <w:iCs/>
          <w:sz w:val="20"/>
          <w:szCs w:val="16"/>
          <w:lang w:val="es-CR"/>
        </w:rPr>
        <w:instrText xml:space="preserve"> SEQ Tabla \* ARABIC </w:instrText>
      </w:r>
      <w:r w:rsidRPr="00832773">
        <w:rPr>
          <w:rFonts w:ascii="Book Antiqua" w:hAnsi="Book Antiqua"/>
          <w:i/>
          <w:iCs/>
          <w:sz w:val="20"/>
          <w:szCs w:val="16"/>
          <w:lang w:val="es-CR"/>
        </w:rPr>
        <w:fldChar w:fldCharType="separate"/>
      </w:r>
      <w:r w:rsidR="00374B51">
        <w:rPr>
          <w:rFonts w:ascii="Book Antiqua" w:hAnsi="Book Antiqua"/>
          <w:i/>
          <w:iCs/>
          <w:noProof/>
          <w:sz w:val="20"/>
          <w:szCs w:val="16"/>
          <w:lang w:val="es-CR"/>
        </w:rPr>
        <w:t>54</w:t>
      </w:r>
      <w:r w:rsidRPr="00832773">
        <w:rPr>
          <w:rFonts w:ascii="Book Antiqua" w:hAnsi="Book Antiqua"/>
          <w:i/>
          <w:iCs/>
          <w:sz w:val="20"/>
          <w:szCs w:val="16"/>
          <w:lang w:val="es-CR"/>
        </w:rPr>
        <w:fldChar w:fldCharType="end"/>
      </w:r>
      <w:r w:rsidRPr="00832773">
        <w:rPr>
          <w:rFonts w:ascii="Book Antiqua" w:hAnsi="Book Antiqua"/>
          <w:i/>
          <w:iCs/>
          <w:sz w:val="20"/>
          <w:szCs w:val="16"/>
          <w:lang w:val="es-CR"/>
        </w:rPr>
        <w:t xml:space="preserve"> Cálculo de cuantía inicial y estimada según los índices de precios</w:t>
      </w:r>
    </w:p>
    <w:tbl>
      <w:tblPr>
        <w:tblW w:w="4102" w:type="pct"/>
        <w:jc w:val="center"/>
        <w:tblCellMar>
          <w:left w:w="70" w:type="dxa"/>
          <w:right w:w="70" w:type="dxa"/>
        </w:tblCellMar>
        <w:tblLook w:val="04A0" w:firstRow="1" w:lastRow="0" w:firstColumn="1" w:lastColumn="0" w:noHBand="0" w:noVBand="1"/>
      </w:tblPr>
      <w:tblGrid>
        <w:gridCol w:w="1388"/>
        <w:gridCol w:w="1366"/>
        <w:gridCol w:w="1030"/>
        <w:gridCol w:w="1430"/>
        <w:gridCol w:w="2030"/>
      </w:tblGrid>
      <w:tr w:rsidR="00F20904" w:rsidRPr="004E74A6" w14:paraId="6C354749" w14:textId="77777777" w:rsidTr="0040241E">
        <w:trPr>
          <w:trHeight w:val="264"/>
          <w:jc w:val="center"/>
        </w:trPr>
        <w:tc>
          <w:tcPr>
            <w:tcW w:w="962" w:type="pct"/>
            <w:vMerge w:val="restart"/>
            <w:tcBorders>
              <w:top w:val="single" w:sz="4" w:space="0" w:color="auto"/>
              <w:left w:val="single" w:sz="4" w:space="0" w:color="FFFFFF"/>
              <w:bottom w:val="single" w:sz="4" w:space="0" w:color="auto"/>
              <w:right w:val="single" w:sz="4" w:space="0" w:color="auto"/>
            </w:tcBorders>
            <w:shd w:val="clear" w:color="auto" w:fill="auto"/>
            <w:noWrap/>
            <w:vAlign w:val="center"/>
            <w:hideMark/>
          </w:tcPr>
          <w:p w14:paraId="5FEAA1DA" w14:textId="77777777" w:rsidR="00F20904" w:rsidRPr="004E74A6" w:rsidRDefault="00F20904" w:rsidP="00CE62C1">
            <w:pPr>
              <w:spacing w:line="276" w:lineRule="auto"/>
              <w:jc w:val="center"/>
              <w:rPr>
                <w:rFonts w:cs="Arial"/>
                <w:sz w:val="20"/>
                <w:lang w:eastAsia="es-CR"/>
              </w:rPr>
            </w:pPr>
            <w:r w:rsidRPr="004E74A6">
              <w:rPr>
                <w:rFonts w:cs="Arial"/>
                <w:sz w:val="20"/>
                <w:lang w:eastAsia="es-CR"/>
              </w:rPr>
              <w:t>Índice</w:t>
            </w:r>
          </w:p>
        </w:tc>
        <w:tc>
          <w:tcPr>
            <w:tcW w:w="1661" w:type="pct"/>
            <w:gridSpan w:val="2"/>
            <w:tcBorders>
              <w:top w:val="single" w:sz="4" w:space="0" w:color="auto"/>
              <w:left w:val="nil"/>
              <w:bottom w:val="single" w:sz="4" w:space="0" w:color="auto"/>
              <w:right w:val="single" w:sz="4" w:space="0" w:color="auto"/>
            </w:tcBorders>
            <w:shd w:val="clear" w:color="auto" w:fill="auto"/>
            <w:noWrap/>
            <w:vAlign w:val="center"/>
            <w:hideMark/>
          </w:tcPr>
          <w:p w14:paraId="474FFFA3" w14:textId="77777777" w:rsidR="00F20904" w:rsidRPr="004E74A6" w:rsidRDefault="00F20904" w:rsidP="00CE62C1">
            <w:pPr>
              <w:spacing w:line="276" w:lineRule="auto"/>
              <w:jc w:val="center"/>
              <w:rPr>
                <w:rFonts w:cs="Arial"/>
                <w:sz w:val="20"/>
                <w:lang w:eastAsia="es-CR"/>
              </w:rPr>
            </w:pPr>
            <w:r w:rsidRPr="004E74A6">
              <w:rPr>
                <w:rFonts w:cs="Arial"/>
                <w:sz w:val="20"/>
                <w:lang w:eastAsia="es-CR"/>
              </w:rPr>
              <w:t>Nivel Índice de Precios</w:t>
            </w:r>
          </w:p>
        </w:tc>
        <w:tc>
          <w:tcPr>
            <w:tcW w:w="971"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0EE914" w14:textId="77777777" w:rsidR="00F20904" w:rsidRPr="004E74A6" w:rsidRDefault="00F20904" w:rsidP="00CE62C1">
            <w:pPr>
              <w:spacing w:line="276" w:lineRule="auto"/>
              <w:jc w:val="center"/>
              <w:rPr>
                <w:rFonts w:cs="Arial"/>
                <w:sz w:val="20"/>
                <w:lang w:eastAsia="es-CR"/>
              </w:rPr>
            </w:pPr>
            <w:r w:rsidRPr="004E74A6">
              <w:rPr>
                <w:rFonts w:cs="Arial"/>
                <w:sz w:val="20"/>
                <w:lang w:eastAsia="es-CR"/>
              </w:rPr>
              <w:t>Cuantía inicial</w:t>
            </w:r>
          </w:p>
        </w:tc>
        <w:tc>
          <w:tcPr>
            <w:tcW w:w="1405" w:type="pct"/>
            <w:vMerge w:val="restart"/>
            <w:tcBorders>
              <w:top w:val="single" w:sz="4" w:space="0" w:color="auto"/>
              <w:left w:val="single" w:sz="4" w:space="0" w:color="auto"/>
              <w:bottom w:val="single" w:sz="4" w:space="0" w:color="auto"/>
              <w:right w:val="single" w:sz="4" w:space="0" w:color="FFFFFF"/>
            </w:tcBorders>
            <w:shd w:val="clear" w:color="auto" w:fill="auto"/>
            <w:noWrap/>
            <w:vAlign w:val="center"/>
            <w:hideMark/>
          </w:tcPr>
          <w:p w14:paraId="4E108E70" w14:textId="77777777" w:rsidR="00F20904" w:rsidRPr="004E74A6" w:rsidRDefault="00F20904" w:rsidP="00CE62C1">
            <w:pPr>
              <w:spacing w:line="276" w:lineRule="auto"/>
              <w:jc w:val="center"/>
              <w:rPr>
                <w:rFonts w:cs="Arial"/>
                <w:sz w:val="20"/>
                <w:lang w:eastAsia="es-CR"/>
              </w:rPr>
            </w:pPr>
            <w:r w:rsidRPr="004E74A6">
              <w:rPr>
                <w:rFonts w:cs="Arial"/>
                <w:sz w:val="20"/>
                <w:lang w:eastAsia="es-CR"/>
              </w:rPr>
              <w:t>Cuantía estimada</w:t>
            </w:r>
          </w:p>
        </w:tc>
      </w:tr>
      <w:tr w:rsidR="00F20904" w:rsidRPr="004E74A6" w14:paraId="2AB1D319" w14:textId="77777777" w:rsidTr="0040241E">
        <w:trPr>
          <w:trHeight w:val="528"/>
          <w:jc w:val="center"/>
        </w:trPr>
        <w:tc>
          <w:tcPr>
            <w:tcW w:w="962" w:type="pct"/>
            <w:vMerge/>
            <w:tcBorders>
              <w:top w:val="single" w:sz="4" w:space="0" w:color="auto"/>
              <w:left w:val="single" w:sz="4" w:space="0" w:color="FFFFFF"/>
              <w:bottom w:val="single" w:sz="4" w:space="0" w:color="auto"/>
              <w:right w:val="single" w:sz="4" w:space="0" w:color="auto"/>
            </w:tcBorders>
            <w:vAlign w:val="center"/>
            <w:hideMark/>
          </w:tcPr>
          <w:p w14:paraId="52FCAB3D" w14:textId="77777777" w:rsidR="00F20904" w:rsidRPr="004E74A6" w:rsidRDefault="00F20904" w:rsidP="00CE62C1">
            <w:pPr>
              <w:spacing w:line="276" w:lineRule="auto"/>
              <w:jc w:val="left"/>
              <w:rPr>
                <w:rFonts w:cs="Arial"/>
                <w:sz w:val="20"/>
                <w:lang w:eastAsia="es-CR"/>
              </w:rPr>
            </w:pPr>
          </w:p>
        </w:tc>
        <w:tc>
          <w:tcPr>
            <w:tcW w:w="947" w:type="pct"/>
            <w:tcBorders>
              <w:top w:val="nil"/>
              <w:left w:val="nil"/>
              <w:bottom w:val="single" w:sz="4" w:space="0" w:color="auto"/>
              <w:right w:val="single" w:sz="4" w:space="0" w:color="auto"/>
            </w:tcBorders>
            <w:shd w:val="clear" w:color="auto" w:fill="auto"/>
            <w:vAlign w:val="center"/>
            <w:hideMark/>
          </w:tcPr>
          <w:p w14:paraId="42421668" w14:textId="708B860F" w:rsidR="00F20904" w:rsidRPr="004E74A6" w:rsidRDefault="00C7157D" w:rsidP="00CE62C1">
            <w:pPr>
              <w:spacing w:line="276" w:lineRule="auto"/>
              <w:jc w:val="center"/>
              <w:rPr>
                <w:rFonts w:cs="Arial"/>
                <w:sz w:val="20"/>
                <w:lang w:eastAsia="es-CR"/>
              </w:rPr>
            </w:pPr>
            <w:r w:rsidRPr="004E74A6">
              <w:rPr>
                <w:rFonts w:cs="Arial"/>
                <w:sz w:val="20"/>
                <w:lang w:eastAsia="es-CR"/>
              </w:rPr>
              <w:t xml:space="preserve">Julio </w:t>
            </w:r>
            <w:r w:rsidR="00F20904" w:rsidRPr="004E74A6">
              <w:rPr>
                <w:rFonts w:cs="Arial"/>
                <w:sz w:val="20"/>
                <w:lang w:eastAsia="es-CR"/>
              </w:rPr>
              <w:t>2022</w:t>
            </w:r>
          </w:p>
        </w:tc>
        <w:tc>
          <w:tcPr>
            <w:tcW w:w="715" w:type="pct"/>
            <w:tcBorders>
              <w:top w:val="nil"/>
              <w:left w:val="nil"/>
              <w:bottom w:val="single" w:sz="4" w:space="0" w:color="auto"/>
              <w:right w:val="single" w:sz="4" w:space="0" w:color="auto"/>
            </w:tcBorders>
            <w:shd w:val="clear" w:color="auto" w:fill="auto"/>
            <w:vAlign w:val="center"/>
            <w:hideMark/>
          </w:tcPr>
          <w:p w14:paraId="7C62660D" w14:textId="77777777" w:rsidR="00F20904" w:rsidRPr="004E74A6" w:rsidRDefault="00F20904" w:rsidP="00CE62C1">
            <w:pPr>
              <w:spacing w:line="276" w:lineRule="auto"/>
              <w:jc w:val="center"/>
              <w:rPr>
                <w:rFonts w:cs="Arial"/>
                <w:sz w:val="20"/>
                <w:lang w:eastAsia="es-CR"/>
              </w:rPr>
            </w:pPr>
            <w:r w:rsidRPr="004E74A6">
              <w:rPr>
                <w:rFonts w:cs="Arial"/>
                <w:sz w:val="20"/>
                <w:lang w:eastAsia="es-CR"/>
              </w:rPr>
              <w:t>Octubre 2013</w:t>
            </w:r>
          </w:p>
        </w:tc>
        <w:tc>
          <w:tcPr>
            <w:tcW w:w="971" w:type="pct"/>
            <w:vMerge/>
            <w:tcBorders>
              <w:top w:val="single" w:sz="4" w:space="0" w:color="auto"/>
              <w:left w:val="single" w:sz="4" w:space="0" w:color="auto"/>
              <w:bottom w:val="single" w:sz="4" w:space="0" w:color="auto"/>
              <w:right w:val="single" w:sz="4" w:space="0" w:color="auto"/>
            </w:tcBorders>
            <w:vAlign w:val="center"/>
            <w:hideMark/>
          </w:tcPr>
          <w:p w14:paraId="65F1EB7E" w14:textId="77777777" w:rsidR="00F20904" w:rsidRPr="004E74A6" w:rsidRDefault="00F20904" w:rsidP="00CE62C1">
            <w:pPr>
              <w:spacing w:line="276" w:lineRule="auto"/>
              <w:jc w:val="left"/>
              <w:rPr>
                <w:rFonts w:cs="Arial"/>
                <w:sz w:val="20"/>
                <w:lang w:eastAsia="es-CR"/>
              </w:rPr>
            </w:pPr>
          </w:p>
        </w:tc>
        <w:tc>
          <w:tcPr>
            <w:tcW w:w="1405" w:type="pct"/>
            <w:vMerge/>
            <w:tcBorders>
              <w:top w:val="single" w:sz="4" w:space="0" w:color="auto"/>
              <w:left w:val="single" w:sz="4" w:space="0" w:color="auto"/>
              <w:bottom w:val="single" w:sz="4" w:space="0" w:color="auto"/>
              <w:right w:val="single" w:sz="4" w:space="0" w:color="FFFFFF"/>
            </w:tcBorders>
            <w:vAlign w:val="center"/>
            <w:hideMark/>
          </w:tcPr>
          <w:p w14:paraId="0CE43AD6" w14:textId="77777777" w:rsidR="00F20904" w:rsidRPr="004E74A6" w:rsidRDefault="00F20904" w:rsidP="00CE62C1">
            <w:pPr>
              <w:spacing w:line="276" w:lineRule="auto"/>
              <w:jc w:val="left"/>
              <w:rPr>
                <w:rFonts w:cs="Arial"/>
                <w:sz w:val="20"/>
                <w:lang w:eastAsia="es-CR"/>
              </w:rPr>
            </w:pPr>
          </w:p>
        </w:tc>
      </w:tr>
      <w:tr w:rsidR="00F20904" w:rsidRPr="004E74A6" w14:paraId="132240A8" w14:textId="77777777" w:rsidTr="0040241E">
        <w:trPr>
          <w:trHeight w:val="264"/>
          <w:jc w:val="center"/>
        </w:trPr>
        <w:tc>
          <w:tcPr>
            <w:tcW w:w="962" w:type="pct"/>
            <w:tcBorders>
              <w:top w:val="nil"/>
              <w:left w:val="nil"/>
              <w:bottom w:val="nil"/>
              <w:right w:val="single" w:sz="4" w:space="0" w:color="auto"/>
            </w:tcBorders>
            <w:shd w:val="clear" w:color="auto" w:fill="auto"/>
            <w:noWrap/>
            <w:vAlign w:val="center"/>
            <w:hideMark/>
          </w:tcPr>
          <w:p w14:paraId="02FC3822" w14:textId="77777777" w:rsidR="00F20904" w:rsidRPr="004E74A6" w:rsidRDefault="00F20904" w:rsidP="00CE62C1">
            <w:pPr>
              <w:spacing w:line="276" w:lineRule="auto"/>
              <w:jc w:val="center"/>
              <w:rPr>
                <w:rFonts w:cs="Arial"/>
                <w:sz w:val="20"/>
                <w:lang w:eastAsia="es-CR"/>
              </w:rPr>
            </w:pPr>
            <w:r w:rsidRPr="004E74A6">
              <w:rPr>
                <w:rFonts w:cs="Arial"/>
                <w:sz w:val="20"/>
                <w:lang w:eastAsia="es-CR"/>
              </w:rPr>
              <w:t> </w:t>
            </w:r>
          </w:p>
        </w:tc>
        <w:tc>
          <w:tcPr>
            <w:tcW w:w="947" w:type="pct"/>
            <w:tcBorders>
              <w:top w:val="nil"/>
              <w:left w:val="nil"/>
              <w:bottom w:val="nil"/>
              <w:right w:val="single" w:sz="4" w:space="0" w:color="auto"/>
            </w:tcBorders>
            <w:shd w:val="clear" w:color="auto" w:fill="auto"/>
            <w:vAlign w:val="center"/>
            <w:hideMark/>
          </w:tcPr>
          <w:p w14:paraId="21021FDC" w14:textId="77777777" w:rsidR="00F20904" w:rsidRPr="004E74A6" w:rsidRDefault="00F20904" w:rsidP="00CE62C1">
            <w:pPr>
              <w:spacing w:line="276" w:lineRule="auto"/>
              <w:jc w:val="center"/>
              <w:rPr>
                <w:rFonts w:cs="Arial"/>
                <w:sz w:val="20"/>
                <w:lang w:eastAsia="es-CR"/>
              </w:rPr>
            </w:pPr>
            <w:r w:rsidRPr="004E74A6">
              <w:rPr>
                <w:rFonts w:cs="Arial"/>
                <w:sz w:val="20"/>
                <w:lang w:eastAsia="es-CR"/>
              </w:rPr>
              <w:t> </w:t>
            </w:r>
          </w:p>
        </w:tc>
        <w:tc>
          <w:tcPr>
            <w:tcW w:w="715" w:type="pct"/>
            <w:tcBorders>
              <w:top w:val="nil"/>
              <w:left w:val="nil"/>
              <w:bottom w:val="nil"/>
              <w:right w:val="single" w:sz="4" w:space="0" w:color="auto"/>
            </w:tcBorders>
            <w:shd w:val="clear" w:color="auto" w:fill="auto"/>
            <w:vAlign w:val="center"/>
            <w:hideMark/>
          </w:tcPr>
          <w:p w14:paraId="698CF48B" w14:textId="77777777" w:rsidR="00F20904" w:rsidRPr="004E74A6" w:rsidRDefault="00F20904" w:rsidP="00CE62C1">
            <w:pPr>
              <w:spacing w:line="276" w:lineRule="auto"/>
              <w:jc w:val="center"/>
              <w:rPr>
                <w:rFonts w:cs="Arial"/>
                <w:sz w:val="20"/>
                <w:lang w:eastAsia="es-CR"/>
              </w:rPr>
            </w:pPr>
            <w:r w:rsidRPr="004E74A6">
              <w:rPr>
                <w:rFonts w:cs="Arial"/>
                <w:sz w:val="20"/>
                <w:lang w:eastAsia="es-CR"/>
              </w:rPr>
              <w:t> </w:t>
            </w:r>
          </w:p>
        </w:tc>
        <w:tc>
          <w:tcPr>
            <w:tcW w:w="971" w:type="pct"/>
            <w:tcBorders>
              <w:top w:val="nil"/>
              <w:left w:val="nil"/>
              <w:bottom w:val="nil"/>
              <w:right w:val="single" w:sz="4" w:space="0" w:color="auto"/>
            </w:tcBorders>
            <w:shd w:val="clear" w:color="auto" w:fill="auto"/>
            <w:noWrap/>
            <w:vAlign w:val="center"/>
            <w:hideMark/>
          </w:tcPr>
          <w:p w14:paraId="5F8E5D20" w14:textId="77777777" w:rsidR="00F20904" w:rsidRPr="004E74A6" w:rsidRDefault="00F20904" w:rsidP="00CE62C1">
            <w:pPr>
              <w:spacing w:line="276" w:lineRule="auto"/>
              <w:jc w:val="center"/>
              <w:rPr>
                <w:rFonts w:cs="Arial"/>
                <w:sz w:val="20"/>
                <w:lang w:eastAsia="es-CR"/>
              </w:rPr>
            </w:pPr>
            <w:r w:rsidRPr="004E74A6">
              <w:rPr>
                <w:rFonts w:cs="Arial"/>
                <w:sz w:val="20"/>
                <w:lang w:eastAsia="es-CR"/>
              </w:rPr>
              <w:t> </w:t>
            </w:r>
          </w:p>
        </w:tc>
        <w:tc>
          <w:tcPr>
            <w:tcW w:w="1405" w:type="pct"/>
            <w:tcBorders>
              <w:top w:val="nil"/>
              <w:left w:val="nil"/>
              <w:bottom w:val="nil"/>
              <w:right w:val="nil"/>
            </w:tcBorders>
            <w:shd w:val="clear" w:color="auto" w:fill="auto"/>
            <w:noWrap/>
            <w:vAlign w:val="center"/>
            <w:hideMark/>
          </w:tcPr>
          <w:p w14:paraId="73976C4A" w14:textId="77777777" w:rsidR="00F20904" w:rsidRPr="004E74A6" w:rsidRDefault="00F20904" w:rsidP="00CE62C1">
            <w:pPr>
              <w:spacing w:line="276" w:lineRule="auto"/>
              <w:jc w:val="center"/>
              <w:rPr>
                <w:rFonts w:cs="Arial"/>
                <w:sz w:val="20"/>
                <w:lang w:eastAsia="es-CR"/>
              </w:rPr>
            </w:pPr>
            <w:r w:rsidRPr="004E74A6">
              <w:rPr>
                <w:rFonts w:cs="Arial"/>
                <w:sz w:val="20"/>
                <w:lang w:eastAsia="es-CR"/>
              </w:rPr>
              <w:t> </w:t>
            </w:r>
          </w:p>
        </w:tc>
      </w:tr>
      <w:tr w:rsidR="00F20904" w:rsidRPr="004E74A6" w14:paraId="2292A24E" w14:textId="77777777" w:rsidTr="0040241E">
        <w:trPr>
          <w:trHeight w:val="408"/>
          <w:jc w:val="center"/>
        </w:trPr>
        <w:tc>
          <w:tcPr>
            <w:tcW w:w="962" w:type="pct"/>
            <w:tcBorders>
              <w:top w:val="nil"/>
              <w:left w:val="nil"/>
              <w:bottom w:val="nil"/>
              <w:right w:val="single" w:sz="4" w:space="0" w:color="auto"/>
            </w:tcBorders>
            <w:shd w:val="clear" w:color="auto" w:fill="auto"/>
            <w:noWrap/>
            <w:vAlign w:val="center"/>
            <w:hideMark/>
          </w:tcPr>
          <w:p w14:paraId="2417248E" w14:textId="77777777" w:rsidR="00F20904" w:rsidRPr="004E74A6" w:rsidRDefault="00F20904" w:rsidP="00CE62C1">
            <w:pPr>
              <w:spacing w:line="276" w:lineRule="auto"/>
              <w:jc w:val="left"/>
              <w:rPr>
                <w:rFonts w:cs="Arial"/>
                <w:sz w:val="20"/>
                <w:lang w:eastAsia="es-CR"/>
              </w:rPr>
            </w:pPr>
            <w:r w:rsidRPr="004E74A6">
              <w:rPr>
                <w:rFonts w:cs="Arial"/>
                <w:sz w:val="20"/>
                <w:lang w:eastAsia="es-CR"/>
              </w:rPr>
              <w:t>IPC</w:t>
            </w:r>
          </w:p>
        </w:tc>
        <w:tc>
          <w:tcPr>
            <w:tcW w:w="947" w:type="pct"/>
            <w:tcBorders>
              <w:top w:val="nil"/>
              <w:left w:val="nil"/>
              <w:bottom w:val="nil"/>
              <w:right w:val="single" w:sz="4" w:space="0" w:color="auto"/>
            </w:tcBorders>
            <w:shd w:val="clear" w:color="auto" w:fill="auto"/>
            <w:noWrap/>
            <w:vAlign w:val="center"/>
            <w:hideMark/>
          </w:tcPr>
          <w:p w14:paraId="26E225EB" w14:textId="33A2DE5E" w:rsidR="00F20904" w:rsidRPr="004E74A6" w:rsidRDefault="00C7157D" w:rsidP="00CE62C1">
            <w:pPr>
              <w:spacing w:line="276" w:lineRule="auto"/>
              <w:jc w:val="center"/>
              <w:rPr>
                <w:rFonts w:cs="Arial"/>
                <w:sz w:val="20"/>
                <w:lang w:eastAsia="es-CR"/>
              </w:rPr>
            </w:pPr>
            <w:r w:rsidRPr="004E74A6">
              <w:rPr>
                <w:rFonts w:cs="Arial"/>
                <w:sz w:val="20"/>
                <w:lang w:eastAsia="es-CR"/>
              </w:rPr>
              <w:t>112,10</w:t>
            </w:r>
          </w:p>
        </w:tc>
        <w:tc>
          <w:tcPr>
            <w:tcW w:w="715" w:type="pct"/>
            <w:tcBorders>
              <w:top w:val="nil"/>
              <w:left w:val="nil"/>
              <w:bottom w:val="nil"/>
              <w:right w:val="single" w:sz="4" w:space="0" w:color="auto"/>
            </w:tcBorders>
            <w:shd w:val="clear" w:color="auto" w:fill="auto"/>
            <w:noWrap/>
            <w:vAlign w:val="center"/>
            <w:hideMark/>
          </w:tcPr>
          <w:p w14:paraId="4CD5630A" w14:textId="77777777" w:rsidR="00F20904" w:rsidRPr="004E74A6" w:rsidRDefault="00F20904" w:rsidP="00CE62C1">
            <w:pPr>
              <w:spacing w:line="276" w:lineRule="auto"/>
              <w:jc w:val="center"/>
              <w:rPr>
                <w:rFonts w:cs="Arial"/>
                <w:sz w:val="20"/>
                <w:lang w:eastAsia="es-CR"/>
              </w:rPr>
            </w:pPr>
            <w:r w:rsidRPr="004E74A6">
              <w:rPr>
                <w:rFonts w:cs="Arial"/>
                <w:sz w:val="20"/>
                <w:lang w:eastAsia="es-CR"/>
              </w:rPr>
              <w:t>88,19</w:t>
            </w:r>
          </w:p>
        </w:tc>
        <w:tc>
          <w:tcPr>
            <w:tcW w:w="971" w:type="pct"/>
            <w:tcBorders>
              <w:top w:val="nil"/>
              <w:left w:val="nil"/>
              <w:bottom w:val="nil"/>
              <w:right w:val="single" w:sz="4" w:space="0" w:color="auto"/>
            </w:tcBorders>
            <w:shd w:val="clear" w:color="auto" w:fill="auto"/>
            <w:vAlign w:val="center"/>
            <w:hideMark/>
          </w:tcPr>
          <w:p w14:paraId="31455917" w14:textId="77777777" w:rsidR="00F20904" w:rsidRPr="004E74A6" w:rsidRDefault="00F20904" w:rsidP="00CE62C1">
            <w:pPr>
              <w:spacing w:line="276" w:lineRule="auto"/>
              <w:jc w:val="center"/>
              <w:rPr>
                <w:rFonts w:cs="Arial"/>
                <w:sz w:val="20"/>
                <w:lang w:eastAsia="es-CR"/>
              </w:rPr>
            </w:pPr>
            <w:r w:rsidRPr="004E74A6">
              <w:rPr>
                <w:rFonts w:ascii="Times New Roman" w:hAnsi="Times New Roman"/>
                <w:sz w:val="20"/>
                <w:lang w:eastAsia="es-CR"/>
              </w:rPr>
              <w:t>₡</w:t>
            </w:r>
            <w:r w:rsidRPr="004E74A6">
              <w:rPr>
                <w:rFonts w:cs="Arial"/>
                <w:sz w:val="20"/>
                <w:lang w:eastAsia="es-CR"/>
              </w:rPr>
              <w:t>3 000 000,00</w:t>
            </w:r>
          </w:p>
        </w:tc>
        <w:tc>
          <w:tcPr>
            <w:tcW w:w="1405" w:type="pct"/>
            <w:tcBorders>
              <w:top w:val="nil"/>
              <w:left w:val="nil"/>
              <w:bottom w:val="nil"/>
              <w:right w:val="nil"/>
            </w:tcBorders>
            <w:shd w:val="clear" w:color="auto" w:fill="auto"/>
            <w:vAlign w:val="center"/>
            <w:hideMark/>
          </w:tcPr>
          <w:p w14:paraId="4C7794C2" w14:textId="0A398BCD" w:rsidR="00F20904" w:rsidRPr="004E74A6" w:rsidRDefault="00F20904" w:rsidP="00CE62C1">
            <w:pPr>
              <w:spacing w:line="276" w:lineRule="auto"/>
              <w:jc w:val="center"/>
              <w:rPr>
                <w:rFonts w:cs="Arial"/>
                <w:sz w:val="20"/>
                <w:lang w:eastAsia="es-CR"/>
              </w:rPr>
            </w:pPr>
            <w:r w:rsidRPr="004E74A6">
              <w:rPr>
                <w:rFonts w:ascii="Times New Roman" w:hAnsi="Times New Roman"/>
                <w:sz w:val="20"/>
                <w:lang w:eastAsia="es-CR"/>
              </w:rPr>
              <w:t>₡</w:t>
            </w:r>
            <w:r w:rsidRPr="004E74A6">
              <w:rPr>
                <w:rFonts w:cs="Arial"/>
                <w:sz w:val="20"/>
                <w:lang w:eastAsia="es-CR"/>
              </w:rPr>
              <w:t xml:space="preserve">3 </w:t>
            </w:r>
            <w:r w:rsidR="00C7157D" w:rsidRPr="004E74A6">
              <w:rPr>
                <w:rFonts w:cs="Arial"/>
                <w:sz w:val="20"/>
                <w:lang w:eastAsia="es-CR"/>
              </w:rPr>
              <w:t>813 357,52</w:t>
            </w:r>
          </w:p>
        </w:tc>
      </w:tr>
      <w:tr w:rsidR="00F20904" w:rsidRPr="004E74A6" w14:paraId="7FED53AD" w14:textId="77777777" w:rsidTr="0040241E">
        <w:trPr>
          <w:trHeight w:val="408"/>
          <w:jc w:val="center"/>
        </w:trPr>
        <w:tc>
          <w:tcPr>
            <w:tcW w:w="962" w:type="pct"/>
            <w:tcBorders>
              <w:top w:val="nil"/>
              <w:left w:val="nil"/>
              <w:bottom w:val="nil"/>
              <w:right w:val="single" w:sz="4" w:space="0" w:color="auto"/>
            </w:tcBorders>
            <w:shd w:val="clear" w:color="auto" w:fill="auto"/>
            <w:noWrap/>
            <w:vAlign w:val="center"/>
            <w:hideMark/>
          </w:tcPr>
          <w:p w14:paraId="6E695D47" w14:textId="77777777" w:rsidR="00F20904" w:rsidRPr="004E74A6" w:rsidRDefault="00F20904" w:rsidP="00CE62C1">
            <w:pPr>
              <w:spacing w:line="276" w:lineRule="auto"/>
              <w:jc w:val="left"/>
              <w:rPr>
                <w:rFonts w:cs="Arial"/>
                <w:sz w:val="20"/>
                <w:lang w:eastAsia="es-CR"/>
              </w:rPr>
            </w:pPr>
            <w:r w:rsidRPr="004E74A6">
              <w:rPr>
                <w:rFonts w:cs="Arial"/>
                <w:sz w:val="20"/>
                <w:lang w:eastAsia="es-CR"/>
              </w:rPr>
              <w:t>IPP-MAN</w:t>
            </w:r>
          </w:p>
        </w:tc>
        <w:tc>
          <w:tcPr>
            <w:tcW w:w="947" w:type="pct"/>
            <w:tcBorders>
              <w:top w:val="nil"/>
              <w:left w:val="nil"/>
              <w:bottom w:val="nil"/>
              <w:right w:val="single" w:sz="4" w:space="0" w:color="auto"/>
            </w:tcBorders>
            <w:shd w:val="clear" w:color="auto" w:fill="auto"/>
            <w:noWrap/>
            <w:vAlign w:val="center"/>
            <w:hideMark/>
          </w:tcPr>
          <w:p w14:paraId="5B2C6FEB" w14:textId="5CB4EE2B" w:rsidR="00F20904" w:rsidRPr="004E74A6" w:rsidRDefault="00C7157D" w:rsidP="00CE62C1">
            <w:pPr>
              <w:spacing w:line="276" w:lineRule="auto"/>
              <w:jc w:val="center"/>
              <w:rPr>
                <w:rFonts w:cs="Arial"/>
                <w:sz w:val="20"/>
                <w:lang w:eastAsia="es-CR"/>
              </w:rPr>
            </w:pPr>
            <w:r w:rsidRPr="004E74A6">
              <w:rPr>
                <w:rFonts w:cs="Arial"/>
                <w:sz w:val="20"/>
                <w:lang w:eastAsia="es-CR"/>
              </w:rPr>
              <w:t>150,04</w:t>
            </w:r>
          </w:p>
        </w:tc>
        <w:tc>
          <w:tcPr>
            <w:tcW w:w="715" w:type="pct"/>
            <w:tcBorders>
              <w:top w:val="nil"/>
              <w:left w:val="nil"/>
              <w:bottom w:val="nil"/>
              <w:right w:val="single" w:sz="4" w:space="0" w:color="auto"/>
            </w:tcBorders>
            <w:shd w:val="clear" w:color="auto" w:fill="auto"/>
            <w:noWrap/>
            <w:vAlign w:val="center"/>
            <w:hideMark/>
          </w:tcPr>
          <w:p w14:paraId="52CE5F6A" w14:textId="77777777" w:rsidR="00F20904" w:rsidRPr="004E74A6" w:rsidRDefault="00F20904" w:rsidP="00CE62C1">
            <w:pPr>
              <w:spacing w:line="276" w:lineRule="auto"/>
              <w:jc w:val="center"/>
              <w:rPr>
                <w:rFonts w:cs="Arial"/>
                <w:sz w:val="20"/>
                <w:lang w:eastAsia="es-CR"/>
              </w:rPr>
            </w:pPr>
            <w:r w:rsidRPr="004E74A6">
              <w:rPr>
                <w:rFonts w:cs="Arial"/>
                <w:sz w:val="20"/>
                <w:lang w:eastAsia="es-CR"/>
              </w:rPr>
              <w:t>102,63</w:t>
            </w:r>
          </w:p>
        </w:tc>
        <w:tc>
          <w:tcPr>
            <w:tcW w:w="971" w:type="pct"/>
            <w:tcBorders>
              <w:top w:val="nil"/>
              <w:left w:val="nil"/>
              <w:bottom w:val="nil"/>
              <w:right w:val="single" w:sz="4" w:space="0" w:color="auto"/>
            </w:tcBorders>
            <w:shd w:val="clear" w:color="auto" w:fill="auto"/>
            <w:vAlign w:val="center"/>
            <w:hideMark/>
          </w:tcPr>
          <w:p w14:paraId="522F4591" w14:textId="77777777" w:rsidR="00F20904" w:rsidRPr="004E74A6" w:rsidRDefault="00F20904" w:rsidP="00CE62C1">
            <w:pPr>
              <w:spacing w:line="276" w:lineRule="auto"/>
              <w:jc w:val="center"/>
              <w:rPr>
                <w:rFonts w:cs="Arial"/>
                <w:sz w:val="20"/>
                <w:lang w:eastAsia="es-CR"/>
              </w:rPr>
            </w:pPr>
            <w:r w:rsidRPr="004E74A6">
              <w:rPr>
                <w:rFonts w:ascii="Times New Roman" w:hAnsi="Times New Roman"/>
                <w:sz w:val="20"/>
                <w:lang w:eastAsia="es-CR"/>
              </w:rPr>
              <w:t>₡</w:t>
            </w:r>
            <w:r w:rsidRPr="004E74A6">
              <w:rPr>
                <w:rFonts w:cs="Arial"/>
                <w:sz w:val="20"/>
                <w:lang w:eastAsia="es-CR"/>
              </w:rPr>
              <w:t>3 000 000,00</w:t>
            </w:r>
          </w:p>
        </w:tc>
        <w:tc>
          <w:tcPr>
            <w:tcW w:w="1405" w:type="pct"/>
            <w:tcBorders>
              <w:top w:val="nil"/>
              <w:left w:val="nil"/>
              <w:bottom w:val="nil"/>
              <w:right w:val="nil"/>
            </w:tcBorders>
            <w:shd w:val="clear" w:color="auto" w:fill="auto"/>
            <w:vAlign w:val="center"/>
            <w:hideMark/>
          </w:tcPr>
          <w:p w14:paraId="7A8CA044" w14:textId="2421D864" w:rsidR="00F20904" w:rsidRPr="004E74A6" w:rsidRDefault="00F20904" w:rsidP="00CE62C1">
            <w:pPr>
              <w:spacing w:line="276" w:lineRule="auto"/>
              <w:jc w:val="center"/>
              <w:rPr>
                <w:rFonts w:cs="Arial"/>
                <w:sz w:val="20"/>
                <w:lang w:eastAsia="es-CR"/>
              </w:rPr>
            </w:pPr>
            <w:r w:rsidRPr="004E74A6">
              <w:rPr>
                <w:rFonts w:ascii="Times New Roman" w:hAnsi="Times New Roman"/>
                <w:sz w:val="20"/>
                <w:lang w:eastAsia="es-CR"/>
              </w:rPr>
              <w:t>₡</w:t>
            </w:r>
            <w:r w:rsidR="00455501" w:rsidRPr="004E74A6">
              <w:rPr>
                <w:rFonts w:cs="Arial"/>
                <w:sz w:val="20"/>
                <w:lang w:eastAsia="es-CR"/>
              </w:rPr>
              <w:t>4 385 852,09</w:t>
            </w:r>
          </w:p>
        </w:tc>
      </w:tr>
      <w:tr w:rsidR="00F20904" w:rsidRPr="004E74A6" w14:paraId="34E50BFD" w14:textId="77777777" w:rsidTr="0040241E">
        <w:trPr>
          <w:trHeight w:val="408"/>
          <w:jc w:val="center"/>
        </w:trPr>
        <w:tc>
          <w:tcPr>
            <w:tcW w:w="962" w:type="pct"/>
            <w:tcBorders>
              <w:top w:val="nil"/>
              <w:left w:val="nil"/>
              <w:bottom w:val="nil"/>
              <w:right w:val="single" w:sz="4" w:space="0" w:color="auto"/>
            </w:tcBorders>
            <w:shd w:val="clear" w:color="auto" w:fill="auto"/>
            <w:noWrap/>
            <w:vAlign w:val="center"/>
            <w:hideMark/>
          </w:tcPr>
          <w:p w14:paraId="4EB0012B" w14:textId="77777777" w:rsidR="00F20904" w:rsidRPr="004E74A6" w:rsidRDefault="00F20904" w:rsidP="00CE62C1">
            <w:pPr>
              <w:spacing w:line="276" w:lineRule="auto"/>
              <w:jc w:val="left"/>
              <w:rPr>
                <w:rFonts w:cs="Arial"/>
                <w:sz w:val="20"/>
                <w:lang w:eastAsia="es-CR"/>
              </w:rPr>
            </w:pPr>
            <w:r w:rsidRPr="004E74A6">
              <w:rPr>
                <w:rFonts w:cs="Arial"/>
                <w:sz w:val="20"/>
                <w:lang w:eastAsia="es-CR"/>
              </w:rPr>
              <w:t>IPP-S</w:t>
            </w:r>
          </w:p>
        </w:tc>
        <w:tc>
          <w:tcPr>
            <w:tcW w:w="947" w:type="pct"/>
            <w:tcBorders>
              <w:top w:val="nil"/>
              <w:left w:val="nil"/>
              <w:bottom w:val="nil"/>
              <w:right w:val="single" w:sz="4" w:space="0" w:color="auto"/>
            </w:tcBorders>
            <w:shd w:val="clear" w:color="auto" w:fill="auto"/>
            <w:noWrap/>
            <w:vAlign w:val="center"/>
            <w:hideMark/>
          </w:tcPr>
          <w:p w14:paraId="5129A90F" w14:textId="417735F7" w:rsidR="00F20904" w:rsidRPr="004E74A6" w:rsidRDefault="00F20904" w:rsidP="00CE62C1">
            <w:pPr>
              <w:spacing w:line="276" w:lineRule="auto"/>
              <w:jc w:val="center"/>
              <w:rPr>
                <w:rFonts w:cs="Arial"/>
                <w:sz w:val="20"/>
                <w:lang w:eastAsia="es-CR"/>
              </w:rPr>
            </w:pPr>
            <w:r w:rsidRPr="004E74A6">
              <w:rPr>
                <w:rFonts w:cs="Arial"/>
                <w:sz w:val="20"/>
                <w:lang w:eastAsia="es-CR"/>
              </w:rPr>
              <w:t>134,</w:t>
            </w:r>
            <w:r w:rsidR="00455501" w:rsidRPr="004E74A6">
              <w:rPr>
                <w:rFonts w:cs="Arial"/>
                <w:sz w:val="20"/>
                <w:lang w:eastAsia="es-CR"/>
              </w:rPr>
              <w:t>46</w:t>
            </w:r>
          </w:p>
        </w:tc>
        <w:tc>
          <w:tcPr>
            <w:tcW w:w="715" w:type="pct"/>
            <w:tcBorders>
              <w:top w:val="nil"/>
              <w:left w:val="nil"/>
              <w:bottom w:val="nil"/>
              <w:right w:val="single" w:sz="4" w:space="0" w:color="auto"/>
            </w:tcBorders>
            <w:shd w:val="clear" w:color="auto" w:fill="auto"/>
            <w:noWrap/>
            <w:vAlign w:val="center"/>
            <w:hideMark/>
          </w:tcPr>
          <w:p w14:paraId="46478781" w14:textId="77777777" w:rsidR="00F20904" w:rsidRPr="004E74A6" w:rsidRDefault="00F20904" w:rsidP="00CE62C1">
            <w:pPr>
              <w:spacing w:line="276" w:lineRule="auto"/>
              <w:jc w:val="center"/>
              <w:rPr>
                <w:rFonts w:cs="Arial"/>
                <w:sz w:val="20"/>
                <w:lang w:eastAsia="es-CR"/>
              </w:rPr>
            </w:pPr>
            <w:r w:rsidRPr="004E74A6">
              <w:rPr>
                <w:rFonts w:cs="Arial"/>
                <w:sz w:val="20"/>
                <w:lang w:eastAsia="es-CR"/>
              </w:rPr>
              <w:t>105,47</w:t>
            </w:r>
          </w:p>
        </w:tc>
        <w:tc>
          <w:tcPr>
            <w:tcW w:w="971" w:type="pct"/>
            <w:tcBorders>
              <w:top w:val="nil"/>
              <w:left w:val="nil"/>
              <w:bottom w:val="nil"/>
              <w:right w:val="single" w:sz="4" w:space="0" w:color="auto"/>
            </w:tcBorders>
            <w:shd w:val="clear" w:color="auto" w:fill="auto"/>
            <w:vAlign w:val="center"/>
            <w:hideMark/>
          </w:tcPr>
          <w:p w14:paraId="41263EA6" w14:textId="77777777" w:rsidR="00F20904" w:rsidRPr="004E74A6" w:rsidRDefault="00F20904" w:rsidP="00CE62C1">
            <w:pPr>
              <w:spacing w:line="276" w:lineRule="auto"/>
              <w:jc w:val="center"/>
              <w:rPr>
                <w:rFonts w:cs="Arial"/>
                <w:sz w:val="20"/>
                <w:lang w:eastAsia="es-CR"/>
              </w:rPr>
            </w:pPr>
            <w:r w:rsidRPr="004E74A6">
              <w:rPr>
                <w:rFonts w:ascii="Times New Roman" w:hAnsi="Times New Roman"/>
                <w:sz w:val="20"/>
                <w:lang w:eastAsia="es-CR"/>
              </w:rPr>
              <w:t>₡</w:t>
            </w:r>
            <w:r w:rsidRPr="004E74A6">
              <w:rPr>
                <w:rFonts w:cs="Arial"/>
                <w:sz w:val="20"/>
                <w:lang w:eastAsia="es-CR"/>
              </w:rPr>
              <w:t>3 000 000,00</w:t>
            </w:r>
          </w:p>
        </w:tc>
        <w:tc>
          <w:tcPr>
            <w:tcW w:w="1405" w:type="pct"/>
            <w:tcBorders>
              <w:top w:val="nil"/>
              <w:left w:val="nil"/>
              <w:bottom w:val="nil"/>
              <w:right w:val="nil"/>
            </w:tcBorders>
            <w:shd w:val="clear" w:color="auto" w:fill="auto"/>
            <w:vAlign w:val="center"/>
            <w:hideMark/>
          </w:tcPr>
          <w:p w14:paraId="733E3786" w14:textId="155E2311" w:rsidR="00F20904" w:rsidRPr="004E74A6" w:rsidRDefault="00F20904" w:rsidP="00CE62C1">
            <w:pPr>
              <w:spacing w:line="276" w:lineRule="auto"/>
              <w:jc w:val="center"/>
              <w:rPr>
                <w:rFonts w:cs="Arial"/>
                <w:sz w:val="20"/>
                <w:lang w:eastAsia="es-CR"/>
              </w:rPr>
            </w:pPr>
            <w:r w:rsidRPr="004E74A6">
              <w:rPr>
                <w:rFonts w:ascii="Times New Roman" w:hAnsi="Times New Roman"/>
                <w:sz w:val="20"/>
                <w:lang w:eastAsia="es-CR"/>
              </w:rPr>
              <w:t>₡</w:t>
            </w:r>
            <w:r w:rsidRPr="004E74A6">
              <w:rPr>
                <w:rFonts w:cs="Arial"/>
                <w:sz w:val="20"/>
                <w:lang w:eastAsia="es-CR"/>
              </w:rPr>
              <w:t>3 8</w:t>
            </w:r>
            <w:r w:rsidR="00196806" w:rsidRPr="004E74A6">
              <w:rPr>
                <w:rFonts w:cs="Arial"/>
                <w:sz w:val="20"/>
                <w:lang w:eastAsia="es-CR"/>
              </w:rPr>
              <w:t>24 594,67</w:t>
            </w:r>
          </w:p>
        </w:tc>
      </w:tr>
      <w:tr w:rsidR="00F20904" w:rsidRPr="004E74A6" w14:paraId="13B27032" w14:textId="77777777" w:rsidTr="0040241E">
        <w:trPr>
          <w:trHeight w:val="228"/>
          <w:jc w:val="center"/>
        </w:trPr>
        <w:tc>
          <w:tcPr>
            <w:tcW w:w="962" w:type="pct"/>
            <w:tcBorders>
              <w:top w:val="nil"/>
              <w:left w:val="nil"/>
              <w:bottom w:val="single" w:sz="4" w:space="0" w:color="auto"/>
              <w:right w:val="single" w:sz="4" w:space="0" w:color="auto"/>
            </w:tcBorders>
            <w:shd w:val="clear" w:color="auto" w:fill="auto"/>
            <w:noWrap/>
            <w:vAlign w:val="center"/>
            <w:hideMark/>
          </w:tcPr>
          <w:p w14:paraId="5209A993" w14:textId="77777777" w:rsidR="00F20904" w:rsidRPr="004E74A6" w:rsidRDefault="00F20904" w:rsidP="00CE62C1">
            <w:pPr>
              <w:spacing w:line="276" w:lineRule="auto"/>
              <w:jc w:val="left"/>
              <w:rPr>
                <w:rFonts w:cs="Arial"/>
                <w:sz w:val="20"/>
                <w:lang w:eastAsia="es-CR"/>
              </w:rPr>
            </w:pPr>
            <w:r w:rsidRPr="004E74A6">
              <w:rPr>
                <w:rFonts w:cs="Arial"/>
                <w:sz w:val="20"/>
                <w:lang w:eastAsia="es-CR"/>
              </w:rPr>
              <w:t> </w:t>
            </w:r>
          </w:p>
        </w:tc>
        <w:tc>
          <w:tcPr>
            <w:tcW w:w="947" w:type="pct"/>
            <w:tcBorders>
              <w:top w:val="nil"/>
              <w:left w:val="nil"/>
              <w:bottom w:val="single" w:sz="4" w:space="0" w:color="auto"/>
              <w:right w:val="single" w:sz="4" w:space="0" w:color="auto"/>
            </w:tcBorders>
            <w:shd w:val="clear" w:color="auto" w:fill="auto"/>
            <w:noWrap/>
            <w:vAlign w:val="center"/>
            <w:hideMark/>
          </w:tcPr>
          <w:p w14:paraId="57BB3CE0" w14:textId="77777777" w:rsidR="00F20904" w:rsidRPr="004E74A6" w:rsidRDefault="00F20904" w:rsidP="00CE62C1">
            <w:pPr>
              <w:spacing w:line="276" w:lineRule="auto"/>
              <w:jc w:val="left"/>
              <w:rPr>
                <w:rFonts w:cs="Arial"/>
                <w:sz w:val="20"/>
                <w:lang w:eastAsia="es-CR"/>
              </w:rPr>
            </w:pPr>
            <w:r w:rsidRPr="004E74A6">
              <w:rPr>
                <w:rFonts w:cs="Arial"/>
                <w:sz w:val="20"/>
                <w:lang w:eastAsia="es-CR"/>
              </w:rPr>
              <w:t> </w:t>
            </w:r>
          </w:p>
        </w:tc>
        <w:tc>
          <w:tcPr>
            <w:tcW w:w="715" w:type="pct"/>
            <w:tcBorders>
              <w:top w:val="nil"/>
              <w:left w:val="nil"/>
              <w:bottom w:val="single" w:sz="4" w:space="0" w:color="auto"/>
              <w:right w:val="single" w:sz="4" w:space="0" w:color="auto"/>
            </w:tcBorders>
            <w:shd w:val="clear" w:color="auto" w:fill="auto"/>
            <w:noWrap/>
            <w:vAlign w:val="center"/>
            <w:hideMark/>
          </w:tcPr>
          <w:p w14:paraId="451B3A5C" w14:textId="77777777" w:rsidR="00F20904" w:rsidRPr="004E74A6" w:rsidRDefault="00F20904" w:rsidP="00CE62C1">
            <w:pPr>
              <w:spacing w:line="276" w:lineRule="auto"/>
              <w:jc w:val="left"/>
              <w:rPr>
                <w:rFonts w:cs="Arial"/>
                <w:sz w:val="20"/>
                <w:lang w:eastAsia="es-CR"/>
              </w:rPr>
            </w:pPr>
            <w:r w:rsidRPr="004E74A6">
              <w:rPr>
                <w:rFonts w:cs="Arial"/>
                <w:sz w:val="20"/>
                <w:lang w:eastAsia="es-CR"/>
              </w:rPr>
              <w:t> </w:t>
            </w:r>
          </w:p>
        </w:tc>
        <w:tc>
          <w:tcPr>
            <w:tcW w:w="971" w:type="pct"/>
            <w:tcBorders>
              <w:top w:val="nil"/>
              <w:left w:val="nil"/>
              <w:bottom w:val="single" w:sz="4" w:space="0" w:color="auto"/>
              <w:right w:val="single" w:sz="4" w:space="0" w:color="auto"/>
            </w:tcBorders>
            <w:shd w:val="clear" w:color="auto" w:fill="auto"/>
            <w:vAlign w:val="center"/>
            <w:hideMark/>
          </w:tcPr>
          <w:p w14:paraId="409AC539" w14:textId="77777777" w:rsidR="00F20904" w:rsidRPr="004E74A6" w:rsidRDefault="00F20904" w:rsidP="00CE62C1">
            <w:pPr>
              <w:spacing w:line="276" w:lineRule="auto"/>
              <w:jc w:val="center"/>
              <w:rPr>
                <w:rFonts w:cs="Arial"/>
                <w:sz w:val="20"/>
                <w:lang w:eastAsia="es-CR"/>
              </w:rPr>
            </w:pPr>
            <w:r w:rsidRPr="004E74A6">
              <w:rPr>
                <w:rFonts w:cs="Arial"/>
                <w:sz w:val="20"/>
                <w:lang w:eastAsia="es-CR"/>
              </w:rPr>
              <w:t> </w:t>
            </w:r>
          </w:p>
        </w:tc>
        <w:tc>
          <w:tcPr>
            <w:tcW w:w="1405" w:type="pct"/>
            <w:tcBorders>
              <w:top w:val="nil"/>
              <w:left w:val="nil"/>
              <w:bottom w:val="single" w:sz="4" w:space="0" w:color="auto"/>
              <w:right w:val="nil"/>
            </w:tcBorders>
            <w:shd w:val="clear" w:color="auto" w:fill="auto"/>
            <w:vAlign w:val="center"/>
            <w:hideMark/>
          </w:tcPr>
          <w:p w14:paraId="0C8CE178" w14:textId="77777777" w:rsidR="00F20904" w:rsidRPr="004E74A6" w:rsidRDefault="00F20904" w:rsidP="00CE62C1">
            <w:pPr>
              <w:spacing w:line="276" w:lineRule="auto"/>
              <w:jc w:val="center"/>
              <w:rPr>
                <w:rFonts w:cs="Arial"/>
                <w:sz w:val="20"/>
                <w:lang w:eastAsia="es-CR"/>
              </w:rPr>
            </w:pPr>
            <w:r w:rsidRPr="004E74A6">
              <w:rPr>
                <w:rFonts w:cs="Arial"/>
                <w:sz w:val="20"/>
                <w:lang w:eastAsia="es-CR"/>
              </w:rPr>
              <w:t> </w:t>
            </w:r>
          </w:p>
        </w:tc>
      </w:tr>
    </w:tbl>
    <w:p w14:paraId="3D52A31B" w14:textId="577410F3" w:rsidR="00F20904" w:rsidRPr="00832773" w:rsidRDefault="0040241E" w:rsidP="00CE62C1">
      <w:pPr>
        <w:spacing w:line="276" w:lineRule="auto"/>
        <w:ind w:left="737" w:right="737"/>
        <w:rPr>
          <w:rFonts w:eastAsia="Calibri"/>
          <w:i/>
          <w:iCs/>
          <w:sz w:val="20"/>
          <w:szCs w:val="16"/>
          <w:lang w:eastAsia="en-US"/>
        </w:rPr>
      </w:pPr>
      <w:r w:rsidRPr="00832773">
        <w:rPr>
          <w:rFonts w:eastAsia="Calibri"/>
          <w:b/>
          <w:bCs/>
          <w:i/>
          <w:iCs/>
          <w:sz w:val="20"/>
          <w:szCs w:val="16"/>
          <w:lang w:eastAsia="en-US"/>
        </w:rPr>
        <w:t>Fuente</w:t>
      </w:r>
      <w:r w:rsidRPr="00832773">
        <w:rPr>
          <w:rFonts w:eastAsia="Calibri"/>
          <w:i/>
          <w:iCs/>
          <w:sz w:val="20"/>
          <w:szCs w:val="16"/>
          <w:lang w:eastAsia="en-US"/>
        </w:rPr>
        <w:t xml:space="preserve">: Elaboración por parte del Subproceso de Modernización Institucional, a partir de la información disponible en la página web del Banco Central de Costa Rica al </w:t>
      </w:r>
      <w:r w:rsidR="00196806" w:rsidRPr="00832773">
        <w:rPr>
          <w:rFonts w:eastAsia="Calibri"/>
          <w:i/>
          <w:iCs/>
          <w:sz w:val="20"/>
          <w:szCs w:val="16"/>
          <w:lang w:eastAsia="en-US"/>
        </w:rPr>
        <w:t>10 de agosto</w:t>
      </w:r>
      <w:r w:rsidRPr="00832773">
        <w:rPr>
          <w:rFonts w:eastAsia="Calibri"/>
          <w:i/>
          <w:iCs/>
          <w:sz w:val="20"/>
          <w:szCs w:val="16"/>
          <w:lang w:eastAsia="en-US"/>
        </w:rPr>
        <w:t xml:space="preserve"> de 2022.</w:t>
      </w:r>
    </w:p>
    <w:p w14:paraId="02E529EE" w14:textId="77777777" w:rsidR="0040241E" w:rsidRPr="00832773" w:rsidRDefault="0040241E" w:rsidP="00CE62C1">
      <w:pPr>
        <w:spacing w:line="276" w:lineRule="auto"/>
        <w:rPr>
          <w:rFonts w:eastAsia="Calibri"/>
          <w:lang w:eastAsia="en-US"/>
        </w:rPr>
      </w:pPr>
    </w:p>
    <w:p w14:paraId="26480CB1" w14:textId="496A7C08" w:rsidR="00F20904" w:rsidRDefault="00F20904" w:rsidP="00CE62C1">
      <w:pPr>
        <w:spacing w:line="276" w:lineRule="auto"/>
        <w:rPr>
          <w:rFonts w:eastAsia="Calibri"/>
          <w:szCs w:val="24"/>
          <w:lang w:eastAsia="en-US"/>
        </w:rPr>
      </w:pPr>
      <w:r w:rsidRPr="00832773">
        <w:rPr>
          <w:rFonts w:eastAsia="Calibri"/>
          <w:lang w:eastAsia="en-US"/>
        </w:rPr>
        <w:t xml:space="preserve">La tabla muestra que la cuantía estimada tomando en cuenta los índices de precios tanto del consumidor como del productor, se encuentra entre los </w:t>
      </w:r>
      <w:r w:rsidRPr="004E74A6">
        <w:rPr>
          <w:rFonts w:eastAsia="Calibri"/>
          <w:szCs w:val="24"/>
          <w:lang w:eastAsia="en-US"/>
        </w:rPr>
        <w:t>¢3.</w:t>
      </w:r>
      <w:r w:rsidR="00196806" w:rsidRPr="004E74A6">
        <w:rPr>
          <w:rFonts w:eastAsia="Calibri"/>
          <w:szCs w:val="24"/>
          <w:lang w:eastAsia="en-US"/>
        </w:rPr>
        <w:t>800</w:t>
      </w:r>
      <w:r w:rsidRPr="004E74A6">
        <w:rPr>
          <w:rFonts w:eastAsia="Calibri"/>
          <w:szCs w:val="24"/>
          <w:lang w:eastAsia="en-US"/>
        </w:rPr>
        <w:t>.000.00 y ¢4.</w:t>
      </w:r>
      <w:r w:rsidR="00196806" w:rsidRPr="004E74A6">
        <w:rPr>
          <w:rFonts w:eastAsia="Calibri"/>
          <w:szCs w:val="24"/>
          <w:lang w:eastAsia="en-US"/>
        </w:rPr>
        <w:t>400</w:t>
      </w:r>
      <w:r w:rsidRPr="004E74A6">
        <w:rPr>
          <w:rFonts w:eastAsia="Calibri"/>
          <w:szCs w:val="24"/>
          <w:lang w:eastAsia="en-US"/>
        </w:rPr>
        <w:t xml:space="preserve">.000.00. </w:t>
      </w:r>
    </w:p>
    <w:p w14:paraId="56AF6BF1" w14:textId="77777777" w:rsidR="00C870DE" w:rsidRPr="004E74A6" w:rsidRDefault="00C870DE" w:rsidP="00CE62C1">
      <w:pPr>
        <w:spacing w:line="276" w:lineRule="auto"/>
        <w:rPr>
          <w:rFonts w:eastAsia="Calibri"/>
          <w:szCs w:val="24"/>
          <w:lang w:eastAsia="en-US"/>
        </w:rPr>
      </w:pPr>
    </w:p>
    <w:p w14:paraId="351B9986" w14:textId="1525288F" w:rsidR="00F20904" w:rsidRPr="004E74A6" w:rsidRDefault="00F20904" w:rsidP="00CE62C1">
      <w:pPr>
        <w:spacing w:line="276" w:lineRule="auto"/>
        <w:rPr>
          <w:rFonts w:eastAsia="Calibri"/>
          <w:szCs w:val="24"/>
          <w:lang w:eastAsia="en-US"/>
        </w:rPr>
      </w:pPr>
      <w:r w:rsidRPr="004E74A6">
        <w:rPr>
          <w:rFonts w:eastAsia="Calibri"/>
          <w:szCs w:val="24"/>
          <w:lang w:eastAsia="en-US"/>
        </w:rPr>
        <w:t xml:space="preserve">Tomando en consideración que la materia civil atiende a personas tanto físicas como jurídicas, y según las cuantías estimadas de los cálculos, podría establecerse </w:t>
      </w:r>
      <w:r w:rsidR="00556596" w:rsidRPr="004E74A6">
        <w:rPr>
          <w:rFonts w:eastAsia="Calibri"/>
          <w:szCs w:val="24"/>
          <w:lang w:eastAsia="en-US"/>
        </w:rPr>
        <w:t>la</w:t>
      </w:r>
      <w:r w:rsidRPr="004E74A6">
        <w:rPr>
          <w:rFonts w:eastAsia="Calibri"/>
          <w:szCs w:val="24"/>
          <w:lang w:eastAsia="en-US"/>
        </w:rPr>
        <w:t xml:space="preserve"> mayor cuantía </w:t>
      </w:r>
      <w:r w:rsidR="00556596" w:rsidRPr="004E74A6">
        <w:rPr>
          <w:rFonts w:eastAsia="Calibri"/>
          <w:szCs w:val="24"/>
          <w:lang w:eastAsia="en-US"/>
        </w:rPr>
        <w:t xml:space="preserve">para </w:t>
      </w:r>
      <w:r w:rsidRPr="004E74A6">
        <w:rPr>
          <w:rFonts w:eastAsia="Calibri"/>
          <w:szCs w:val="24"/>
          <w:lang w:eastAsia="en-US"/>
        </w:rPr>
        <w:t>aquellos procesos cuya pretensión supere la suma de ¢4.</w:t>
      </w:r>
      <w:r w:rsidR="00196806" w:rsidRPr="004E74A6">
        <w:rPr>
          <w:rFonts w:eastAsia="Calibri"/>
          <w:szCs w:val="24"/>
          <w:lang w:eastAsia="en-US"/>
        </w:rPr>
        <w:t>400</w:t>
      </w:r>
      <w:r w:rsidRPr="004E74A6">
        <w:rPr>
          <w:rFonts w:eastAsia="Calibri"/>
          <w:szCs w:val="24"/>
          <w:lang w:eastAsia="en-US"/>
        </w:rPr>
        <w:t>.000</w:t>
      </w:r>
      <w:r w:rsidR="00556596" w:rsidRPr="004E74A6">
        <w:rPr>
          <w:rFonts w:eastAsia="Calibri"/>
          <w:szCs w:val="24"/>
          <w:lang w:eastAsia="en-US"/>
        </w:rPr>
        <w:t>.</w:t>
      </w:r>
    </w:p>
    <w:p w14:paraId="7EDD7E7F" w14:textId="77777777" w:rsidR="00F20904" w:rsidRPr="004E74A6" w:rsidRDefault="00F20904" w:rsidP="00CE62C1">
      <w:pPr>
        <w:spacing w:line="276" w:lineRule="auto"/>
        <w:rPr>
          <w:rFonts w:eastAsia="Calibri"/>
          <w:szCs w:val="24"/>
          <w:lang w:eastAsia="en-US"/>
        </w:rPr>
      </w:pPr>
    </w:p>
    <w:p w14:paraId="124ABFA8" w14:textId="335B43C4" w:rsidR="00F20904" w:rsidRPr="004E74A6" w:rsidRDefault="00F20904" w:rsidP="00CE62C1">
      <w:pPr>
        <w:spacing w:line="276" w:lineRule="auto"/>
        <w:rPr>
          <w:rFonts w:eastAsia="Calibri"/>
          <w:szCs w:val="24"/>
          <w:lang w:eastAsia="en-US"/>
        </w:rPr>
      </w:pPr>
      <w:r w:rsidRPr="004E74A6">
        <w:rPr>
          <w:rFonts w:eastAsia="Calibri"/>
          <w:szCs w:val="24"/>
          <w:lang w:eastAsia="en-US"/>
        </w:rPr>
        <w:t xml:space="preserve">Finalmente quedaría de la siguiente forma el escenario </w:t>
      </w:r>
      <w:r w:rsidR="00BE65A1" w:rsidRPr="004E74A6">
        <w:rPr>
          <w:rFonts w:eastAsia="Calibri"/>
          <w:szCs w:val="24"/>
          <w:lang w:eastAsia="en-US"/>
        </w:rPr>
        <w:t>B</w:t>
      </w:r>
      <w:r w:rsidRPr="004E74A6">
        <w:rPr>
          <w:rFonts w:eastAsia="Calibri"/>
          <w:szCs w:val="24"/>
          <w:lang w:eastAsia="en-US"/>
        </w:rPr>
        <w:t>:</w:t>
      </w:r>
    </w:p>
    <w:p w14:paraId="58A74AB3" w14:textId="77777777" w:rsidR="00F20904" w:rsidRPr="004E74A6" w:rsidRDefault="00F20904" w:rsidP="00CE62C1">
      <w:pPr>
        <w:spacing w:line="276" w:lineRule="auto"/>
        <w:rPr>
          <w:rFonts w:eastAsia="Calibri"/>
          <w:szCs w:val="24"/>
          <w:lang w:eastAsia="en-US"/>
        </w:rPr>
      </w:pPr>
    </w:p>
    <w:p w14:paraId="24E9977C" w14:textId="4D91ADC5" w:rsidR="00F20904" w:rsidRPr="00832773" w:rsidRDefault="00F20904" w:rsidP="00832773">
      <w:pPr>
        <w:spacing w:line="276" w:lineRule="auto"/>
        <w:ind w:left="567" w:right="476"/>
        <w:rPr>
          <w:rFonts w:eastAsia="Calibri"/>
          <w:bCs/>
          <w:sz w:val="22"/>
          <w:szCs w:val="18"/>
          <w:lang w:eastAsia="en-US"/>
        </w:rPr>
      </w:pPr>
      <w:r w:rsidRPr="00832773">
        <w:rPr>
          <w:rFonts w:cs="Calibri"/>
          <w:bCs/>
          <w:i/>
          <w:iCs/>
          <w:sz w:val="22"/>
          <w:szCs w:val="18"/>
        </w:rPr>
        <w:t xml:space="preserve">“Se actualiza del monto de la cuantía en materia Civil, según el Índice de Precios al Consumidor y al Productor, y se establece la mayor cuantía en sumas de más de </w:t>
      </w:r>
      <w:r w:rsidRPr="004E74A6">
        <w:rPr>
          <w:rFonts w:eastAsia="Calibri"/>
          <w:bCs/>
          <w:i/>
          <w:iCs/>
          <w:sz w:val="22"/>
          <w:szCs w:val="22"/>
          <w:lang w:eastAsia="en-US"/>
        </w:rPr>
        <w:t>¢4.</w:t>
      </w:r>
      <w:r w:rsidR="00F12F64" w:rsidRPr="004E74A6">
        <w:rPr>
          <w:rFonts w:eastAsia="Calibri"/>
          <w:bCs/>
          <w:i/>
          <w:iCs/>
          <w:sz w:val="22"/>
          <w:szCs w:val="22"/>
          <w:lang w:eastAsia="en-US"/>
        </w:rPr>
        <w:t>400</w:t>
      </w:r>
      <w:r w:rsidRPr="004E74A6">
        <w:rPr>
          <w:rFonts w:eastAsia="Calibri"/>
          <w:bCs/>
          <w:i/>
          <w:iCs/>
          <w:sz w:val="22"/>
          <w:szCs w:val="22"/>
          <w:lang w:eastAsia="en-US"/>
        </w:rPr>
        <w:t>.000.00”.</w:t>
      </w:r>
    </w:p>
    <w:p w14:paraId="30653D73" w14:textId="77777777" w:rsidR="00F20904" w:rsidRPr="00832773" w:rsidRDefault="00F20904" w:rsidP="00CE62C1">
      <w:pPr>
        <w:spacing w:line="276" w:lineRule="auto"/>
        <w:rPr>
          <w:rFonts w:eastAsia="Calibri"/>
          <w:lang w:eastAsia="en-US"/>
        </w:rPr>
      </w:pPr>
    </w:p>
    <w:p w14:paraId="36F3309B" w14:textId="77777777" w:rsidR="00F20904" w:rsidRPr="00832773" w:rsidRDefault="00F20904" w:rsidP="00CE62C1">
      <w:pPr>
        <w:spacing w:line="276" w:lineRule="auto"/>
        <w:rPr>
          <w:rFonts w:eastAsia="Calibri"/>
          <w:lang w:eastAsia="en-US"/>
        </w:rPr>
      </w:pPr>
      <w:r w:rsidRPr="00832773">
        <w:rPr>
          <w:rFonts w:eastAsia="Calibri"/>
          <w:lang w:eastAsia="en-US"/>
        </w:rPr>
        <w:t>Ahora bien, sí resulta importante aclarar en este escenario que la Dirección Jurídica en el informe DJ-C-361-2020 en relación con las competencias de la Corte Suprema de Justicia para definir la cuantía concluyó lo siguiente:</w:t>
      </w:r>
    </w:p>
    <w:p w14:paraId="2A9C7D41" w14:textId="77777777" w:rsidR="00F20904" w:rsidRPr="00832773" w:rsidRDefault="00F20904" w:rsidP="00CE62C1">
      <w:pPr>
        <w:spacing w:line="276" w:lineRule="auto"/>
        <w:rPr>
          <w:rFonts w:eastAsia="Calibri"/>
          <w:lang w:eastAsia="en-US"/>
        </w:rPr>
      </w:pPr>
    </w:p>
    <w:p w14:paraId="445836E9" w14:textId="77777777" w:rsidR="00A822FB" w:rsidRDefault="00A822FB" w:rsidP="00832773">
      <w:pPr>
        <w:pStyle w:val="Default"/>
        <w:spacing w:line="276" w:lineRule="auto"/>
        <w:ind w:left="567" w:right="476"/>
        <w:jc w:val="both"/>
        <w:rPr>
          <w:rFonts w:ascii="Book Antiqua" w:hAnsi="Book Antiqua"/>
          <w:i/>
          <w:iCs/>
          <w:sz w:val="22"/>
          <w:szCs w:val="22"/>
        </w:rPr>
      </w:pPr>
    </w:p>
    <w:p w14:paraId="27332F64" w14:textId="77777777" w:rsidR="00A822FB" w:rsidRDefault="00A822FB" w:rsidP="00832773">
      <w:pPr>
        <w:pStyle w:val="Default"/>
        <w:spacing w:line="276" w:lineRule="auto"/>
        <w:ind w:left="567" w:right="476"/>
        <w:jc w:val="both"/>
        <w:rPr>
          <w:rFonts w:ascii="Book Antiqua" w:hAnsi="Book Antiqua"/>
          <w:i/>
          <w:iCs/>
          <w:sz w:val="22"/>
          <w:szCs w:val="22"/>
        </w:rPr>
      </w:pPr>
    </w:p>
    <w:p w14:paraId="507E0360" w14:textId="073F6C87" w:rsidR="00F20904" w:rsidRPr="004E74A6" w:rsidRDefault="00F20904" w:rsidP="00832773">
      <w:pPr>
        <w:pStyle w:val="Default"/>
        <w:spacing w:line="276" w:lineRule="auto"/>
        <w:ind w:left="567" w:right="476"/>
        <w:jc w:val="both"/>
        <w:rPr>
          <w:rFonts w:ascii="Book Antiqua" w:hAnsi="Book Antiqua"/>
          <w:i/>
          <w:iCs/>
          <w:sz w:val="22"/>
          <w:szCs w:val="22"/>
        </w:rPr>
      </w:pPr>
      <w:r w:rsidRPr="004E74A6">
        <w:rPr>
          <w:rFonts w:ascii="Book Antiqua" w:hAnsi="Book Antiqua"/>
          <w:i/>
          <w:iCs/>
          <w:sz w:val="22"/>
          <w:szCs w:val="22"/>
        </w:rPr>
        <w:lastRenderedPageBreak/>
        <w:t xml:space="preserve">“… </w:t>
      </w:r>
    </w:p>
    <w:p w14:paraId="0D544EC6" w14:textId="2F941C13" w:rsidR="00F20904" w:rsidRDefault="00F20904" w:rsidP="00832773">
      <w:pPr>
        <w:pStyle w:val="Default"/>
        <w:spacing w:line="276" w:lineRule="auto"/>
        <w:ind w:left="567" w:right="476"/>
        <w:jc w:val="both"/>
        <w:rPr>
          <w:rFonts w:ascii="Book Antiqua" w:hAnsi="Book Antiqua"/>
          <w:i/>
          <w:iCs/>
          <w:sz w:val="22"/>
          <w:szCs w:val="22"/>
        </w:rPr>
      </w:pPr>
      <w:r w:rsidRPr="004E74A6">
        <w:rPr>
          <w:rFonts w:ascii="Book Antiqua" w:hAnsi="Book Antiqua"/>
          <w:i/>
          <w:iCs/>
          <w:sz w:val="22"/>
          <w:szCs w:val="22"/>
        </w:rPr>
        <w:t xml:space="preserve">3. En ejercicio de su legítima potestad discrecional para decidir sobre una eventual modificación a la cuantía de los procesos laborales, la Corte Suprema de Justicia puede tomar en cuenta en su análisis y fundamentación los más variados criterios sin estar obligados o restringidos a decidir, únicamente, de entre las opciones o escenarios que les ofrece la Dirección de Planificación, sino que, de manera justificada, podrían crear y elegir cualquier otra alternativa siempre que sea conforme a Derecho. </w:t>
      </w:r>
    </w:p>
    <w:p w14:paraId="6005C5B7" w14:textId="77777777" w:rsidR="00A822FB" w:rsidRPr="004E74A6" w:rsidRDefault="00A822FB" w:rsidP="00832773">
      <w:pPr>
        <w:pStyle w:val="Default"/>
        <w:spacing w:line="276" w:lineRule="auto"/>
        <w:ind w:left="567" w:right="476"/>
        <w:jc w:val="both"/>
        <w:rPr>
          <w:rFonts w:ascii="Book Antiqua" w:hAnsi="Book Antiqua"/>
          <w:sz w:val="22"/>
          <w:szCs w:val="22"/>
        </w:rPr>
      </w:pPr>
    </w:p>
    <w:p w14:paraId="765EADAF" w14:textId="77777777" w:rsidR="00F20904" w:rsidRPr="00832773" w:rsidRDefault="00F20904" w:rsidP="00832773">
      <w:pPr>
        <w:spacing w:line="276" w:lineRule="auto"/>
        <w:ind w:left="567" w:right="476"/>
        <w:rPr>
          <w:rFonts w:eastAsia="Calibri"/>
          <w:sz w:val="22"/>
          <w:szCs w:val="22"/>
          <w:lang w:eastAsia="en-US"/>
        </w:rPr>
      </w:pPr>
      <w:r w:rsidRPr="004E74A6">
        <w:rPr>
          <w:i/>
          <w:iCs/>
          <w:sz w:val="22"/>
          <w:szCs w:val="22"/>
        </w:rPr>
        <w:t>4. La referencia del artículo 114 de la Ley Orgánica del Poder Judicial sobre el denominado “índice inflacionario” fue previsto por el legislador como un referente a tomar en consideración, mas sin que la norma indique que el mismo obligue o vincule al Poder Judicial en la respectiva toma de decisiones, sino que es solamente un factor objetivo, que por excelencia demuestra la inflación en nuestro país, pero no que necesariamente determinará el contenido del acto administrativo respectivo de fijación de cuantías, el cual como dijimos ut supra, posee carácter discrecional.”.</w:t>
      </w:r>
    </w:p>
    <w:p w14:paraId="293A15C6" w14:textId="77777777" w:rsidR="00F20904" w:rsidRPr="00832773" w:rsidRDefault="00F20904" w:rsidP="00CE62C1">
      <w:pPr>
        <w:spacing w:line="276" w:lineRule="auto"/>
        <w:rPr>
          <w:rFonts w:eastAsia="Calibri"/>
          <w:lang w:eastAsia="en-US"/>
        </w:rPr>
      </w:pPr>
    </w:p>
    <w:p w14:paraId="346228DE" w14:textId="61E30C77" w:rsidR="00F20904" w:rsidRPr="00832773" w:rsidRDefault="00F20904" w:rsidP="00CE62C1">
      <w:pPr>
        <w:spacing w:line="276" w:lineRule="auto"/>
        <w:rPr>
          <w:rFonts w:eastAsia="Calibri"/>
          <w:lang w:eastAsia="en-US"/>
        </w:rPr>
      </w:pPr>
      <w:r w:rsidRPr="00832773">
        <w:rPr>
          <w:rFonts w:eastAsia="Calibri"/>
          <w:lang w:eastAsia="en-US"/>
        </w:rPr>
        <w:t xml:space="preserve">Es por ello </w:t>
      </w:r>
      <w:r w:rsidR="0032319D" w:rsidRPr="00832773">
        <w:rPr>
          <w:rFonts w:eastAsia="Calibri"/>
          <w:lang w:eastAsia="en-US"/>
        </w:rPr>
        <w:t>por lo que</w:t>
      </w:r>
      <w:r w:rsidRPr="00832773">
        <w:rPr>
          <w:rFonts w:eastAsia="Calibri"/>
          <w:lang w:eastAsia="en-US"/>
        </w:rPr>
        <w:t xml:space="preserve"> se planteó el presente escenario como una opción </w:t>
      </w:r>
      <w:r w:rsidR="000478A8" w:rsidRPr="00832773">
        <w:rPr>
          <w:rFonts w:eastAsia="Calibri"/>
          <w:lang w:eastAsia="en-US"/>
        </w:rPr>
        <w:t>que</w:t>
      </w:r>
      <w:r w:rsidRPr="00832773">
        <w:rPr>
          <w:rFonts w:eastAsia="Calibri"/>
          <w:lang w:eastAsia="en-US"/>
        </w:rPr>
        <w:t xml:space="preserve"> previó la Ley Orgánica del Poder Judicial considerando una variable macroeconómica como la inflación que permite brindar objetividad al establecimiento de la cuantía, sin embargo, si bien busca representar una realidad económica nacional, la misma no considera variables o elementos que permitan considerar el contexto de la realidad institucional y costo de la justicia.</w:t>
      </w:r>
    </w:p>
    <w:p w14:paraId="184AF0BB" w14:textId="6CA92BDA" w:rsidR="00F20904" w:rsidRPr="00832773" w:rsidRDefault="00F20904" w:rsidP="00CE62C1">
      <w:pPr>
        <w:spacing w:line="276" w:lineRule="auto"/>
        <w:rPr>
          <w:rFonts w:eastAsia="Calibri"/>
          <w:lang w:eastAsia="en-US"/>
        </w:rPr>
      </w:pPr>
    </w:p>
    <w:p w14:paraId="49368667" w14:textId="78A17308" w:rsidR="00265B22" w:rsidRPr="00832773" w:rsidRDefault="00265B22" w:rsidP="00CE62C1">
      <w:pPr>
        <w:spacing w:line="276" w:lineRule="auto"/>
        <w:rPr>
          <w:rFonts w:eastAsia="Calibri"/>
          <w:lang w:eastAsia="en-US"/>
        </w:rPr>
      </w:pPr>
      <w:r w:rsidRPr="00832773">
        <w:rPr>
          <w:rFonts w:eastAsia="Calibri"/>
          <w:lang w:eastAsia="en-US"/>
        </w:rPr>
        <w:t xml:space="preserve">Este escenario provocaría una disminución en Sala Primera de aproximadamente </w:t>
      </w:r>
      <w:r w:rsidR="00C870DE" w:rsidRPr="00832773">
        <w:rPr>
          <w:rFonts w:eastAsia="Calibri"/>
          <w:lang w:eastAsia="en-US"/>
        </w:rPr>
        <w:t>21 recursos</w:t>
      </w:r>
      <w:r w:rsidRPr="00832773">
        <w:rPr>
          <w:rFonts w:eastAsia="Calibri"/>
          <w:lang w:eastAsia="en-US"/>
        </w:rPr>
        <w:t xml:space="preserve"> de casación al año (disminución del 12% de la entrada anual-tabla 6</w:t>
      </w:r>
      <w:r w:rsidR="00755589" w:rsidRPr="00832773">
        <w:rPr>
          <w:rFonts w:eastAsia="Calibri"/>
          <w:lang w:eastAsia="en-US"/>
        </w:rPr>
        <w:t>7</w:t>
      </w:r>
      <w:r w:rsidRPr="00832773">
        <w:rPr>
          <w:rFonts w:eastAsia="Calibri"/>
          <w:lang w:eastAsia="en-US"/>
        </w:rPr>
        <w:t xml:space="preserve">). </w:t>
      </w:r>
    </w:p>
    <w:p w14:paraId="310444B4" w14:textId="3440E8D0" w:rsidR="00265B22" w:rsidRDefault="00265B22" w:rsidP="00CE62C1">
      <w:pPr>
        <w:spacing w:line="276" w:lineRule="auto"/>
        <w:rPr>
          <w:rFonts w:eastAsia="Calibri"/>
          <w:lang w:eastAsia="en-US"/>
        </w:rPr>
      </w:pPr>
      <w:r w:rsidRPr="00832773">
        <w:rPr>
          <w:rFonts w:eastAsia="Calibri"/>
          <w:lang w:eastAsia="en-US"/>
        </w:rPr>
        <w:t>A nivel de Tribunales Colegiados de Primera Instancia</w:t>
      </w:r>
      <w:r w:rsidR="00755589" w:rsidRPr="00832773">
        <w:rPr>
          <w:rFonts w:eastAsia="Calibri"/>
          <w:lang w:eastAsia="en-US"/>
        </w:rPr>
        <w:t xml:space="preserve"> Civil</w:t>
      </w:r>
      <w:r w:rsidRPr="00832773">
        <w:rPr>
          <w:rFonts w:eastAsia="Calibri"/>
          <w:lang w:eastAsia="en-US"/>
        </w:rPr>
        <w:t xml:space="preserve"> la disminución en la entrada (proporcional al incremento en la entrada de los Juzgados) sería de aproximadamente</w:t>
      </w:r>
      <w:r w:rsidR="0022405E" w:rsidRPr="00832773">
        <w:rPr>
          <w:rFonts w:eastAsia="Calibri"/>
          <w:lang w:eastAsia="en-US"/>
        </w:rPr>
        <w:t xml:space="preserve"> </w:t>
      </w:r>
      <w:r w:rsidR="00B126BE" w:rsidRPr="00832773">
        <w:rPr>
          <w:rFonts w:eastAsia="Calibri"/>
          <w:lang w:eastAsia="en-US"/>
        </w:rPr>
        <w:t>164</w:t>
      </w:r>
      <w:r w:rsidR="0022405E" w:rsidRPr="00832773">
        <w:rPr>
          <w:rFonts w:eastAsia="Calibri"/>
          <w:lang w:eastAsia="en-US"/>
        </w:rPr>
        <w:t xml:space="preserve"> ordinarios al año</w:t>
      </w:r>
      <w:r w:rsidR="00B126BE" w:rsidRPr="00832773">
        <w:rPr>
          <w:rFonts w:eastAsia="Calibri"/>
          <w:lang w:eastAsia="en-US"/>
        </w:rPr>
        <w:t xml:space="preserve"> (20%</w:t>
      </w:r>
      <w:r w:rsidR="00755589" w:rsidRPr="00832773">
        <w:rPr>
          <w:rFonts w:eastAsia="Calibri"/>
          <w:lang w:eastAsia="en-US"/>
        </w:rPr>
        <w:t xml:space="preserve"> de la entrada actual en Tribunales de Colegiados de Primera Instancia</w:t>
      </w:r>
      <w:r w:rsidR="00B126BE" w:rsidRPr="00832773">
        <w:rPr>
          <w:rFonts w:eastAsia="Calibri"/>
          <w:lang w:eastAsia="en-US"/>
        </w:rPr>
        <w:t>)</w:t>
      </w:r>
      <w:r w:rsidR="0022405E" w:rsidRPr="00832773">
        <w:rPr>
          <w:rFonts w:eastAsia="Calibri"/>
          <w:lang w:eastAsia="en-US"/>
        </w:rPr>
        <w:t>:</w:t>
      </w:r>
      <w:r w:rsidRPr="00832773">
        <w:rPr>
          <w:rFonts w:eastAsia="Calibri"/>
          <w:lang w:eastAsia="en-US"/>
        </w:rPr>
        <w:t xml:space="preserve"> </w:t>
      </w:r>
    </w:p>
    <w:p w14:paraId="39304E4D" w14:textId="0D38B88B" w:rsidR="00A822FB" w:rsidRDefault="00A822FB" w:rsidP="00CE62C1">
      <w:pPr>
        <w:spacing w:line="276" w:lineRule="auto"/>
        <w:rPr>
          <w:rFonts w:eastAsia="Calibri"/>
          <w:lang w:eastAsia="en-US"/>
        </w:rPr>
      </w:pPr>
    </w:p>
    <w:p w14:paraId="540C546F" w14:textId="780FF90B" w:rsidR="00A822FB" w:rsidRDefault="00A822FB" w:rsidP="00CE62C1">
      <w:pPr>
        <w:spacing w:line="276" w:lineRule="auto"/>
        <w:rPr>
          <w:rFonts w:eastAsia="Calibri"/>
          <w:lang w:eastAsia="en-US"/>
        </w:rPr>
      </w:pPr>
    </w:p>
    <w:p w14:paraId="17D20938" w14:textId="6FB8644F" w:rsidR="00A822FB" w:rsidRDefault="00A822FB" w:rsidP="00CE62C1">
      <w:pPr>
        <w:spacing w:line="276" w:lineRule="auto"/>
        <w:rPr>
          <w:rFonts w:eastAsia="Calibri"/>
          <w:lang w:eastAsia="en-US"/>
        </w:rPr>
      </w:pPr>
    </w:p>
    <w:p w14:paraId="0FED2908" w14:textId="184BD4FA" w:rsidR="00A822FB" w:rsidRDefault="00A822FB" w:rsidP="00CE62C1">
      <w:pPr>
        <w:spacing w:line="276" w:lineRule="auto"/>
        <w:rPr>
          <w:rFonts w:eastAsia="Calibri"/>
          <w:lang w:eastAsia="en-US"/>
        </w:rPr>
      </w:pPr>
    </w:p>
    <w:p w14:paraId="30362FB9" w14:textId="29D188D3" w:rsidR="00A822FB" w:rsidRDefault="00A822FB" w:rsidP="00CE62C1">
      <w:pPr>
        <w:spacing w:line="276" w:lineRule="auto"/>
        <w:rPr>
          <w:rFonts w:eastAsia="Calibri"/>
          <w:lang w:eastAsia="en-US"/>
        </w:rPr>
      </w:pPr>
    </w:p>
    <w:p w14:paraId="667ADE77" w14:textId="77777777" w:rsidR="00A822FB" w:rsidRPr="00832773" w:rsidRDefault="00A822FB" w:rsidP="00CE62C1">
      <w:pPr>
        <w:spacing w:line="276" w:lineRule="auto"/>
        <w:rPr>
          <w:rFonts w:eastAsia="Calibri"/>
          <w:lang w:eastAsia="en-US"/>
        </w:rPr>
      </w:pPr>
    </w:p>
    <w:p w14:paraId="12A487F2" w14:textId="447DC4C8" w:rsidR="00265B22" w:rsidRPr="00832773" w:rsidRDefault="00265B22" w:rsidP="00CE62C1">
      <w:pPr>
        <w:spacing w:line="276" w:lineRule="auto"/>
        <w:rPr>
          <w:rFonts w:eastAsia="Calibri"/>
          <w:lang w:eastAsia="en-US"/>
        </w:rPr>
      </w:pPr>
    </w:p>
    <w:p w14:paraId="316BD43C" w14:textId="172FFC7D" w:rsidR="00755589" w:rsidRPr="00832773" w:rsidRDefault="00755589" w:rsidP="00832773">
      <w:pPr>
        <w:pStyle w:val="Descripcin"/>
        <w:keepNext/>
        <w:spacing w:line="240" w:lineRule="auto"/>
        <w:jc w:val="center"/>
        <w:rPr>
          <w:rFonts w:ascii="Book Antiqua" w:hAnsi="Book Antiqua"/>
          <w:i/>
          <w:iCs/>
          <w:sz w:val="20"/>
          <w:szCs w:val="16"/>
          <w:lang w:val="es-CR"/>
        </w:rPr>
      </w:pPr>
      <w:r w:rsidRPr="00832773">
        <w:rPr>
          <w:rFonts w:ascii="Book Antiqua" w:hAnsi="Book Antiqua"/>
          <w:i/>
          <w:iCs/>
          <w:sz w:val="20"/>
          <w:szCs w:val="16"/>
          <w:lang w:val="es-CR"/>
        </w:rPr>
        <w:lastRenderedPageBreak/>
        <w:t xml:space="preserve">Tabla </w:t>
      </w:r>
      <w:r w:rsidRPr="00832773">
        <w:rPr>
          <w:rFonts w:ascii="Book Antiqua" w:hAnsi="Book Antiqua"/>
          <w:i/>
          <w:iCs/>
          <w:sz w:val="20"/>
          <w:szCs w:val="16"/>
          <w:lang w:val="es-CR"/>
        </w:rPr>
        <w:fldChar w:fldCharType="begin"/>
      </w:r>
      <w:r w:rsidRPr="00832773">
        <w:rPr>
          <w:rFonts w:ascii="Book Antiqua" w:hAnsi="Book Antiqua"/>
          <w:i/>
          <w:iCs/>
          <w:sz w:val="20"/>
          <w:szCs w:val="16"/>
          <w:lang w:val="es-CR"/>
        </w:rPr>
        <w:instrText xml:space="preserve"> SEQ Tabla \* ARABIC </w:instrText>
      </w:r>
      <w:r w:rsidRPr="00832773">
        <w:rPr>
          <w:rFonts w:ascii="Book Antiqua" w:hAnsi="Book Antiqua"/>
          <w:i/>
          <w:iCs/>
          <w:sz w:val="20"/>
          <w:szCs w:val="16"/>
          <w:lang w:val="es-CR"/>
        </w:rPr>
        <w:fldChar w:fldCharType="separate"/>
      </w:r>
      <w:r w:rsidR="00374B51">
        <w:rPr>
          <w:rFonts w:ascii="Book Antiqua" w:hAnsi="Book Antiqua"/>
          <w:i/>
          <w:iCs/>
          <w:noProof/>
          <w:sz w:val="20"/>
          <w:szCs w:val="16"/>
          <w:lang w:val="es-CR"/>
        </w:rPr>
        <w:t>55</w:t>
      </w:r>
      <w:r w:rsidRPr="00832773">
        <w:rPr>
          <w:rFonts w:ascii="Book Antiqua" w:hAnsi="Book Antiqua"/>
          <w:i/>
          <w:iCs/>
          <w:sz w:val="20"/>
          <w:szCs w:val="16"/>
          <w:lang w:val="es-CR"/>
        </w:rPr>
        <w:fldChar w:fldCharType="end"/>
      </w:r>
    </w:p>
    <w:p w14:paraId="6934061A" w14:textId="1A14E4EA" w:rsidR="00755589" w:rsidRPr="00832773" w:rsidRDefault="00755589" w:rsidP="00755589">
      <w:pPr>
        <w:spacing w:line="240" w:lineRule="auto"/>
        <w:jc w:val="center"/>
        <w:rPr>
          <w:rFonts w:cs="Arial"/>
          <w:b/>
          <w:bCs/>
          <w:i/>
          <w:iCs/>
          <w:sz w:val="20"/>
          <w:szCs w:val="16"/>
        </w:rPr>
      </w:pPr>
      <w:r w:rsidRPr="00832773">
        <w:rPr>
          <w:rFonts w:cs="Arial"/>
          <w:b/>
          <w:bCs/>
          <w:i/>
          <w:iCs/>
          <w:sz w:val="20"/>
          <w:szCs w:val="16"/>
        </w:rPr>
        <w:t>Rango de cuantía para asuntos Ordinarios Estimables entre ¢1 a ¢5.000.000, promedio 2019 a 2021</w:t>
      </w:r>
    </w:p>
    <w:p w14:paraId="2E9EB21C" w14:textId="77777777" w:rsidR="00755589" w:rsidRPr="00832773" w:rsidRDefault="00755589" w:rsidP="00832773">
      <w:pPr>
        <w:spacing w:line="240" w:lineRule="auto"/>
        <w:jc w:val="center"/>
        <w:rPr>
          <w:rFonts w:cs="Arial"/>
          <w:b/>
          <w:bCs/>
          <w:i/>
          <w:iCs/>
          <w:sz w:val="20"/>
          <w:szCs w:val="16"/>
        </w:rPr>
      </w:pPr>
    </w:p>
    <w:tbl>
      <w:tblPr>
        <w:tblW w:w="9240" w:type="dxa"/>
        <w:tblInd w:w="5" w:type="dxa"/>
        <w:tblCellMar>
          <w:left w:w="70" w:type="dxa"/>
          <w:right w:w="70" w:type="dxa"/>
        </w:tblCellMar>
        <w:tblLook w:val="04A0" w:firstRow="1" w:lastRow="0" w:firstColumn="1" w:lastColumn="0" w:noHBand="0" w:noVBand="1"/>
      </w:tblPr>
      <w:tblGrid>
        <w:gridCol w:w="5500"/>
        <w:gridCol w:w="1840"/>
        <w:gridCol w:w="1900"/>
      </w:tblGrid>
      <w:tr w:rsidR="00755589" w:rsidRPr="004E74A6" w14:paraId="744BA1C1" w14:textId="77777777" w:rsidTr="00832773">
        <w:trPr>
          <w:trHeight w:val="469"/>
        </w:trPr>
        <w:tc>
          <w:tcPr>
            <w:tcW w:w="5500" w:type="dxa"/>
            <w:tcBorders>
              <w:top w:val="single" w:sz="4" w:space="0" w:color="auto"/>
              <w:left w:val="nil"/>
              <w:bottom w:val="single" w:sz="4" w:space="0" w:color="auto"/>
              <w:right w:val="single" w:sz="4" w:space="0" w:color="auto"/>
            </w:tcBorders>
            <w:shd w:val="clear" w:color="auto" w:fill="auto"/>
            <w:noWrap/>
            <w:vAlign w:val="center"/>
            <w:hideMark/>
          </w:tcPr>
          <w:p w14:paraId="5D0618BB" w14:textId="77777777" w:rsidR="00755589" w:rsidRPr="00832773" w:rsidRDefault="00755589" w:rsidP="00755589">
            <w:pPr>
              <w:spacing w:line="240" w:lineRule="auto"/>
              <w:jc w:val="center"/>
              <w:rPr>
                <w:rFonts w:cs="Calibri"/>
                <w:color w:val="000000"/>
                <w:sz w:val="20"/>
                <w:lang w:eastAsia="es-CR"/>
              </w:rPr>
            </w:pPr>
            <w:r w:rsidRPr="00832773">
              <w:rPr>
                <w:rFonts w:cs="Calibri"/>
                <w:color w:val="000000"/>
                <w:sz w:val="20"/>
                <w:lang w:eastAsia="es-CR"/>
              </w:rPr>
              <w:t>Oficina</w:t>
            </w:r>
          </w:p>
        </w:tc>
        <w:tc>
          <w:tcPr>
            <w:tcW w:w="1840" w:type="dxa"/>
            <w:tcBorders>
              <w:top w:val="single" w:sz="4" w:space="0" w:color="auto"/>
              <w:left w:val="nil"/>
              <w:bottom w:val="single" w:sz="4" w:space="0" w:color="auto"/>
              <w:right w:val="single" w:sz="4" w:space="0" w:color="auto"/>
            </w:tcBorders>
            <w:shd w:val="clear" w:color="auto" w:fill="auto"/>
            <w:vAlign w:val="center"/>
            <w:hideMark/>
          </w:tcPr>
          <w:p w14:paraId="4DEFB2E5" w14:textId="51680BEB" w:rsidR="00755589" w:rsidRPr="00832773" w:rsidRDefault="00755589" w:rsidP="00755589">
            <w:pPr>
              <w:spacing w:line="240" w:lineRule="auto"/>
              <w:jc w:val="center"/>
              <w:rPr>
                <w:rFonts w:cs="Calibri"/>
                <w:color w:val="000000"/>
                <w:sz w:val="20"/>
                <w:lang w:eastAsia="es-CR"/>
              </w:rPr>
            </w:pPr>
            <w:r w:rsidRPr="00832773">
              <w:rPr>
                <w:rFonts w:cs="Calibri"/>
                <w:color w:val="000000"/>
                <w:sz w:val="20"/>
                <w:lang w:eastAsia="es-CR"/>
              </w:rPr>
              <w:t xml:space="preserve">Promedio </w:t>
            </w:r>
            <w:r w:rsidR="008D51C4" w:rsidRPr="00832773">
              <w:rPr>
                <w:rFonts w:cs="Calibri"/>
                <w:color w:val="000000"/>
                <w:sz w:val="20"/>
                <w:lang w:eastAsia="es-CR"/>
              </w:rPr>
              <w:t>anual asuntos</w:t>
            </w:r>
            <w:r w:rsidRPr="00832773">
              <w:rPr>
                <w:rFonts w:cs="Calibri"/>
                <w:color w:val="000000"/>
                <w:sz w:val="20"/>
                <w:lang w:eastAsia="es-CR"/>
              </w:rPr>
              <w:t xml:space="preserve"> entrados</w:t>
            </w:r>
            <w:r w:rsidRPr="004E74A6">
              <w:rPr>
                <w:rFonts w:cs="Calibri"/>
                <w:color w:val="000000"/>
                <w:sz w:val="20"/>
                <w:lang w:eastAsia="es-CR"/>
              </w:rPr>
              <w:t xml:space="preserve"> (2019-2021)</w:t>
            </w:r>
          </w:p>
        </w:tc>
        <w:tc>
          <w:tcPr>
            <w:tcW w:w="1900" w:type="dxa"/>
            <w:tcBorders>
              <w:top w:val="single" w:sz="4" w:space="0" w:color="auto"/>
              <w:left w:val="nil"/>
              <w:bottom w:val="single" w:sz="4" w:space="0" w:color="auto"/>
              <w:right w:val="nil"/>
            </w:tcBorders>
            <w:shd w:val="clear" w:color="auto" w:fill="auto"/>
            <w:vAlign w:val="center"/>
            <w:hideMark/>
          </w:tcPr>
          <w:p w14:paraId="7FAEE9C8" w14:textId="77777777" w:rsidR="00755589" w:rsidRPr="00832773" w:rsidRDefault="00755589" w:rsidP="00755589">
            <w:pPr>
              <w:spacing w:line="240" w:lineRule="auto"/>
              <w:jc w:val="center"/>
              <w:rPr>
                <w:rFonts w:cs="Calibri"/>
                <w:color w:val="000000"/>
                <w:sz w:val="20"/>
                <w:lang w:eastAsia="es-CR"/>
              </w:rPr>
            </w:pPr>
            <w:r w:rsidRPr="00832773">
              <w:rPr>
                <w:rFonts w:cs="Calibri"/>
                <w:color w:val="000000"/>
                <w:sz w:val="20"/>
                <w:lang w:eastAsia="es-CR"/>
              </w:rPr>
              <w:t>Pérdida porcentual en la entrada</w:t>
            </w:r>
          </w:p>
        </w:tc>
      </w:tr>
      <w:tr w:rsidR="00755589" w:rsidRPr="004E74A6" w14:paraId="12522CBE" w14:textId="77777777" w:rsidTr="00832773">
        <w:trPr>
          <w:trHeight w:val="330"/>
        </w:trPr>
        <w:tc>
          <w:tcPr>
            <w:tcW w:w="5500" w:type="dxa"/>
            <w:tcBorders>
              <w:top w:val="nil"/>
              <w:left w:val="nil"/>
              <w:bottom w:val="nil"/>
              <w:right w:val="single" w:sz="4" w:space="0" w:color="auto"/>
            </w:tcBorders>
            <w:shd w:val="clear" w:color="auto" w:fill="auto"/>
            <w:noWrap/>
            <w:vAlign w:val="center"/>
            <w:hideMark/>
          </w:tcPr>
          <w:p w14:paraId="14894BF2" w14:textId="77777777" w:rsidR="00755589" w:rsidRPr="00832773" w:rsidRDefault="00755589" w:rsidP="00755589">
            <w:pPr>
              <w:spacing w:line="240" w:lineRule="auto"/>
              <w:jc w:val="center"/>
              <w:rPr>
                <w:rFonts w:cs="Calibri"/>
                <w:color w:val="000000"/>
                <w:sz w:val="20"/>
                <w:lang w:eastAsia="es-CR"/>
              </w:rPr>
            </w:pPr>
            <w:r w:rsidRPr="00832773">
              <w:rPr>
                <w:rFonts w:cs="Calibri"/>
                <w:color w:val="000000"/>
                <w:sz w:val="20"/>
                <w:lang w:eastAsia="es-CR"/>
              </w:rPr>
              <w:t> </w:t>
            </w:r>
          </w:p>
        </w:tc>
        <w:tc>
          <w:tcPr>
            <w:tcW w:w="1840" w:type="dxa"/>
            <w:tcBorders>
              <w:top w:val="nil"/>
              <w:left w:val="nil"/>
              <w:bottom w:val="nil"/>
              <w:right w:val="single" w:sz="4" w:space="0" w:color="auto"/>
            </w:tcBorders>
            <w:shd w:val="clear" w:color="auto" w:fill="auto"/>
            <w:noWrap/>
            <w:vAlign w:val="center"/>
            <w:hideMark/>
          </w:tcPr>
          <w:p w14:paraId="72334CDE" w14:textId="77777777" w:rsidR="00755589" w:rsidRPr="00832773" w:rsidRDefault="00755589" w:rsidP="00755589">
            <w:pPr>
              <w:spacing w:line="240" w:lineRule="auto"/>
              <w:jc w:val="center"/>
              <w:rPr>
                <w:rFonts w:cs="Calibri"/>
                <w:color w:val="000000"/>
                <w:sz w:val="20"/>
                <w:lang w:eastAsia="es-CR"/>
              </w:rPr>
            </w:pPr>
            <w:r w:rsidRPr="00832773">
              <w:rPr>
                <w:rFonts w:cs="Calibri"/>
                <w:color w:val="000000"/>
                <w:sz w:val="20"/>
                <w:lang w:eastAsia="es-CR"/>
              </w:rPr>
              <w:t> </w:t>
            </w:r>
          </w:p>
        </w:tc>
        <w:tc>
          <w:tcPr>
            <w:tcW w:w="1900" w:type="dxa"/>
            <w:tcBorders>
              <w:top w:val="nil"/>
              <w:left w:val="nil"/>
              <w:bottom w:val="nil"/>
              <w:right w:val="nil"/>
            </w:tcBorders>
            <w:shd w:val="clear" w:color="auto" w:fill="auto"/>
            <w:vAlign w:val="center"/>
            <w:hideMark/>
          </w:tcPr>
          <w:p w14:paraId="3518C534" w14:textId="77777777" w:rsidR="00755589" w:rsidRPr="00832773" w:rsidRDefault="00755589" w:rsidP="00755589">
            <w:pPr>
              <w:spacing w:line="240" w:lineRule="auto"/>
              <w:jc w:val="center"/>
              <w:rPr>
                <w:rFonts w:cs="Calibri"/>
                <w:color w:val="000000"/>
                <w:sz w:val="20"/>
                <w:lang w:eastAsia="es-CR"/>
              </w:rPr>
            </w:pPr>
            <w:r w:rsidRPr="00832773">
              <w:rPr>
                <w:rFonts w:cs="Calibri"/>
                <w:color w:val="000000"/>
                <w:sz w:val="20"/>
                <w:lang w:eastAsia="es-CR"/>
              </w:rPr>
              <w:t> </w:t>
            </w:r>
          </w:p>
        </w:tc>
      </w:tr>
      <w:tr w:rsidR="00755589" w:rsidRPr="004E74A6" w14:paraId="2A8E5509" w14:textId="77777777" w:rsidTr="00832773">
        <w:trPr>
          <w:trHeight w:val="330"/>
        </w:trPr>
        <w:tc>
          <w:tcPr>
            <w:tcW w:w="5500" w:type="dxa"/>
            <w:tcBorders>
              <w:top w:val="nil"/>
              <w:left w:val="nil"/>
              <w:bottom w:val="nil"/>
              <w:right w:val="single" w:sz="4" w:space="0" w:color="auto"/>
            </w:tcBorders>
            <w:shd w:val="clear" w:color="auto" w:fill="auto"/>
            <w:noWrap/>
            <w:vAlign w:val="center"/>
            <w:hideMark/>
          </w:tcPr>
          <w:p w14:paraId="758B281F" w14:textId="77777777" w:rsidR="00755589" w:rsidRPr="00832773" w:rsidRDefault="00755589" w:rsidP="00755589">
            <w:pPr>
              <w:spacing w:line="240" w:lineRule="auto"/>
              <w:jc w:val="center"/>
              <w:rPr>
                <w:rFonts w:cs="Calibri"/>
                <w:b/>
                <w:bCs/>
                <w:color w:val="000000"/>
                <w:sz w:val="20"/>
                <w:lang w:eastAsia="es-CR"/>
              </w:rPr>
            </w:pPr>
            <w:r w:rsidRPr="00832773">
              <w:rPr>
                <w:rFonts w:cs="Calibri"/>
                <w:b/>
                <w:bCs/>
                <w:color w:val="000000"/>
                <w:sz w:val="20"/>
                <w:lang w:eastAsia="es-CR"/>
              </w:rPr>
              <w:t>Total</w:t>
            </w:r>
          </w:p>
        </w:tc>
        <w:tc>
          <w:tcPr>
            <w:tcW w:w="1840" w:type="dxa"/>
            <w:tcBorders>
              <w:top w:val="nil"/>
              <w:left w:val="nil"/>
              <w:bottom w:val="nil"/>
              <w:right w:val="single" w:sz="4" w:space="0" w:color="auto"/>
            </w:tcBorders>
            <w:shd w:val="clear" w:color="auto" w:fill="auto"/>
            <w:noWrap/>
            <w:vAlign w:val="center"/>
            <w:hideMark/>
          </w:tcPr>
          <w:p w14:paraId="768F28D1" w14:textId="77777777" w:rsidR="00755589" w:rsidRPr="00832773" w:rsidRDefault="00755589" w:rsidP="00755589">
            <w:pPr>
              <w:spacing w:line="240" w:lineRule="auto"/>
              <w:jc w:val="center"/>
              <w:rPr>
                <w:rFonts w:cs="Calibri"/>
                <w:b/>
                <w:bCs/>
                <w:color w:val="000000"/>
                <w:sz w:val="20"/>
                <w:lang w:eastAsia="es-CR"/>
              </w:rPr>
            </w:pPr>
            <w:r w:rsidRPr="00832773">
              <w:rPr>
                <w:rFonts w:cs="Calibri"/>
                <w:b/>
                <w:bCs/>
                <w:color w:val="000000"/>
                <w:sz w:val="20"/>
                <w:lang w:eastAsia="es-CR"/>
              </w:rPr>
              <w:t>164</w:t>
            </w:r>
          </w:p>
        </w:tc>
        <w:tc>
          <w:tcPr>
            <w:tcW w:w="1900" w:type="dxa"/>
            <w:tcBorders>
              <w:top w:val="nil"/>
              <w:left w:val="nil"/>
              <w:bottom w:val="nil"/>
              <w:right w:val="nil"/>
            </w:tcBorders>
            <w:shd w:val="clear" w:color="auto" w:fill="auto"/>
            <w:vAlign w:val="center"/>
            <w:hideMark/>
          </w:tcPr>
          <w:p w14:paraId="6D1DC7FE" w14:textId="77777777" w:rsidR="00755589" w:rsidRPr="00832773" w:rsidRDefault="00755589" w:rsidP="00755589">
            <w:pPr>
              <w:spacing w:line="240" w:lineRule="auto"/>
              <w:jc w:val="center"/>
              <w:rPr>
                <w:rFonts w:cs="Calibri"/>
                <w:b/>
                <w:bCs/>
                <w:color w:val="000000"/>
                <w:sz w:val="20"/>
                <w:lang w:eastAsia="es-CR"/>
              </w:rPr>
            </w:pPr>
            <w:r w:rsidRPr="00832773">
              <w:rPr>
                <w:rFonts w:cs="Calibri"/>
                <w:b/>
                <w:bCs/>
                <w:color w:val="000000"/>
                <w:sz w:val="20"/>
                <w:lang w:eastAsia="es-CR"/>
              </w:rPr>
              <w:t>20%</w:t>
            </w:r>
          </w:p>
        </w:tc>
      </w:tr>
      <w:tr w:rsidR="00755589" w:rsidRPr="004E74A6" w14:paraId="0ADF09D9" w14:textId="77777777" w:rsidTr="00832773">
        <w:trPr>
          <w:trHeight w:val="330"/>
        </w:trPr>
        <w:tc>
          <w:tcPr>
            <w:tcW w:w="5500" w:type="dxa"/>
            <w:tcBorders>
              <w:top w:val="nil"/>
              <w:left w:val="nil"/>
              <w:bottom w:val="nil"/>
              <w:right w:val="single" w:sz="4" w:space="0" w:color="auto"/>
            </w:tcBorders>
            <w:shd w:val="clear" w:color="auto" w:fill="auto"/>
            <w:noWrap/>
            <w:vAlign w:val="center"/>
            <w:hideMark/>
          </w:tcPr>
          <w:p w14:paraId="3160F431" w14:textId="77777777" w:rsidR="00755589" w:rsidRPr="00832773" w:rsidRDefault="00755589" w:rsidP="00755589">
            <w:pPr>
              <w:spacing w:line="240" w:lineRule="auto"/>
              <w:jc w:val="center"/>
              <w:rPr>
                <w:rFonts w:cs="Calibri"/>
                <w:color w:val="000000"/>
                <w:sz w:val="20"/>
                <w:lang w:eastAsia="es-CR"/>
              </w:rPr>
            </w:pPr>
            <w:r w:rsidRPr="00832773">
              <w:rPr>
                <w:rFonts w:cs="Calibri"/>
                <w:color w:val="000000"/>
                <w:sz w:val="20"/>
                <w:lang w:eastAsia="es-CR"/>
              </w:rPr>
              <w:t> </w:t>
            </w:r>
          </w:p>
        </w:tc>
        <w:tc>
          <w:tcPr>
            <w:tcW w:w="1840" w:type="dxa"/>
            <w:tcBorders>
              <w:top w:val="nil"/>
              <w:left w:val="nil"/>
              <w:bottom w:val="nil"/>
              <w:right w:val="single" w:sz="4" w:space="0" w:color="auto"/>
            </w:tcBorders>
            <w:shd w:val="clear" w:color="auto" w:fill="auto"/>
            <w:noWrap/>
            <w:vAlign w:val="center"/>
            <w:hideMark/>
          </w:tcPr>
          <w:p w14:paraId="6F84BEEF" w14:textId="77777777" w:rsidR="00755589" w:rsidRPr="00832773" w:rsidRDefault="00755589" w:rsidP="00755589">
            <w:pPr>
              <w:spacing w:line="240" w:lineRule="auto"/>
              <w:jc w:val="center"/>
              <w:rPr>
                <w:rFonts w:cs="Calibri"/>
                <w:color w:val="000000"/>
                <w:sz w:val="20"/>
                <w:lang w:eastAsia="es-CR"/>
              </w:rPr>
            </w:pPr>
            <w:r w:rsidRPr="00832773">
              <w:rPr>
                <w:rFonts w:cs="Calibri"/>
                <w:color w:val="000000"/>
                <w:sz w:val="20"/>
                <w:lang w:eastAsia="es-CR"/>
              </w:rPr>
              <w:t> </w:t>
            </w:r>
          </w:p>
        </w:tc>
        <w:tc>
          <w:tcPr>
            <w:tcW w:w="1900" w:type="dxa"/>
            <w:tcBorders>
              <w:top w:val="nil"/>
              <w:left w:val="nil"/>
              <w:bottom w:val="nil"/>
              <w:right w:val="nil"/>
            </w:tcBorders>
            <w:shd w:val="clear" w:color="auto" w:fill="auto"/>
            <w:vAlign w:val="center"/>
            <w:hideMark/>
          </w:tcPr>
          <w:p w14:paraId="529DCD6F" w14:textId="77777777" w:rsidR="00755589" w:rsidRPr="00832773" w:rsidRDefault="00755589" w:rsidP="00755589">
            <w:pPr>
              <w:spacing w:line="240" w:lineRule="auto"/>
              <w:jc w:val="center"/>
              <w:rPr>
                <w:rFonts w:cs="Calibri"/>
                <w:color w:val="000000"/>
                <w:sz w:val="20"/>
                <w:lang w:eastAsia="es-CR"/>
              </w:rPr>
            </w:pPr>
            <w:r w:rsidRPr="00832773">
              <w:rPr>
                <w:rFonts w:cs="Calibri"/>
                <w:color w:val="000000"/>
                <w:sz w:val="20"/>
                <w:lang w:eastAsia="es-CR"/>
              </w:rPr>
              <w:t> </w:t>
            </w:r>
          </w:p>
        </w:tc>
      </w:tr>
      <w:tr w:rsidR="00755589" w:rsidRPr="004E74A6" w14:paraId="04A68DD5" w14:textId="77777777" w:rsidTr="00832773">
        <w:trPr>
          <w:trHeight w:val="518"/>
        </w:trPr>
        <w:tc>
          <w:tcPr>
            <w:tcW w:w="5500" w:type="dxa"/>
            <w:tcBorders>
              <w:top w:val="nil"/>
              <w:left w:val="nil"/>
              <w:bottom w:val="nil"/>
              <w:right w:val="single" w:sz="4" w:space="0" w:color="auto"/>
            </w:tcBorders>
            <w:shd w:val="clear" w:color="auto" w:fill="auto"/>
            <w:vAlign w:val="center"/>
            <w:hideMark/>
          </w:tcPr>
          <w:p w14:paraId="29897A3D" w14:textId="77777777" w:rsidR="00755589" w:rsidRPr="004E74A6" w:rsidRDefault="00755589" w:rsidP="00755589">
            <w:pPr>
              <w:spacing w:line="240" w:lineRule="auto"/>
              <w:jc w:val="left"/>
              <w:rPr>
                <w:rFonts w:cs="Calibri"/>
                <w:color w:val="000000"/>
                <w:sz w:val="20"/>
                <w:lang w:eastAsia="es-CR"/>
              </w:rPr>
            </w:pPr>
            <w:r w:rsidRPr="004E74A6">
              <w:rPr>
                <w:rFonts w:cs="Calibri"/>
                <w:color w:val="000000"/>
                <w:sz w:val="20"/>
                <w:lang w:eastAsia="es-CR"/>
              </w:rPr>
              <w:t xml:space="preserve">Tribunal Primero Colegiado Primera Instancia Civil </w:t>
            </w:r>
          </w:p>
        </w:tc>
        <w:tc>
          <w:tcPr>
            <w:tcW w:w="1840" w:type="dxa"/>
            <w:tcBorders>
              <w:top w:val="nil"/>
              <w:left w:val="nil"/>
              <w:bottom w:val="nil"/>
              <w:right w:val="single" w:sz="4" w:space="0" w:color="auto"/>
            </w:tcBorders>
            <w:shd w:val="clear" w:color="auto" w:fill="auto"/>
            <w:vAlign w:val="center"/>
            <w:hideMark/>
          </w:tcPr>
          <w:p w14:paraId="1A2336AD" w14:textId="77777777" w:rsidR="00755589" w:rsidRPr="00832773" w:rsidRDefault="00755589" w:rsidP="00755589">
            <w:pPr>
              <w:spacing w:line="240" w:lineRule="auto"/>
              <w:jc w:val="center"/>
              <w:rPr>
                <w:rFonts w:cs="Calibri"/>
                <w:color w:val="000000"/>
                <w:sz w:val="20"/>
                <w:lang w:eastAsia="es-CR"/>
              </w:rPr>
            </w:pPr>
            <w:r w:rsidRPr="00832773">
              <w:rPr>
                <w:rFonts w:cs="Calibri"/>
                <w:color w:val="000000"/>
                <w:sz w:val="20"/>
                <w:lang w:eastAsia="es-CR"/>
              </w:rPr>
              <w:t>30,0</w:t>
            </w:r>
          </w:p>
        </w:tc>
        <w:tc>
          <w:tcPr>
            <w:tcW w:w="1900" w:type="dxa"/>
            <w:tcBorders>
              <w:top w:val="nil"/>
              <w:left w:val="nil"/>
              <w:bottom w:val="nil"/>
              <w:right w:val="nil"/>
            </w:tcBorders>
            <w:shd w:val="clear" w:color="auto" w:fill="auto"/>
            <w:vAlign w:val="center"/>
            <w:hideMark/>
          </w:tcPr>
          <w:p w14:paraId="53F54D62" w14:textId="77777777" w:rsidR="00755589" w:rsidRPr="00832773" w:rsidRDefault="00755589" w:rsidP="00755589">
            <w:pPr>
              <w:spacing w:line="240" w:lineRule="auto"/>
              <w:jc w:val="center"/>
              <w:rPr>
                <w:rFonts w:cs="Calibri"/>
                <w:color w:val="000000"/>
                <w:sz w:val="20"/>
                <w:lang w:eastAsia="es-CR"/>
              </w:rPr>
            </w:pPr>
            <w:r w:rsidRPr="00832773">
              <w:rPr>
                <w:rFonts w:cs="Calibri"/>
                <w:color w:val="000000"/>
                <w:sz w:val="20"/>
                <w:lang w:eastAsia="es-CR"/>
              </w:rPr>
              <w:t>14%</w:t>
            </w:r>
          </w:p>
        </w:tc>
      </w:tr>
      <w:tr w:rsidR="00755589" w:rsidRPr="004E74A6" w14:paraId="7A4DC4BC" w14:textId="77777777" w:rsidTr="00832773">
        <w:trPr>
          <w:trHeight w:val="518"/>
        </w:trPr>
        <w:tc>
          <w:tcPr>
            <w:tcW w:w="5500" w:type="dxa"/>
            <w:tcBorders>
              <w:top w:val="nil"/>
              <w:left w:val="nil"/>
              <w:bottom w:val="nil"/>
              <w:right w:val="single" w:sz="4" w:space="0" w:color="auto"/>
            </w:tcBorders>
            <w:shd w:val="clear" w:color="auto" w:fill="auto"/>
            <w:vAlign w:val="center"/>
            <w:hideMark/>
          </w:tcPr>
          <w:p w14:paraId="049BE712" w14:textId="77777777" w:rsidR="00755589" w:rsidRPr="00832773" w:rsidRDefault="00755589" w:rsidP="00755589">
            <w:pPr>
              <w:spacing w:line="240" w:lineRule="auto"/>
              <w:jc w:val="left"/>
              <w:rPr>
                <w:rFonts w:cs="Calibri"/>
                <w:color w:val="000000"/>
                <w:sz w:val="20"/>
                <w:lang w:eastAsia="es-CR"/>
              </w:rPr>
            </w:pPr>
            <w:r w:rsidRPr="00832773">
              <w:rPr>
                <w:rFonts w:cs="Calibri"/>
                <w:color w:val="000000"/>
                <w:sz w:val="20"/>
                <w:lang w:eastAsia="es-CR"/>
              </w:rPr>
              <w:t xml:space="preserve">Tribunal Segundo Colegiado Primera Instancia Civil </w:t>
            </w:r>
          </w:p>
        </w:tc>
        <w:tc>
          <w:tcPr>
            <w:tcW w:w="1840" w:type="dxa"/>
            <w:tcBorders>
              <w:top w:val="nil"/>
              <w:left w:val="nil"/>
              <w:bottom w:val="nil"/>
              <w:right w:val="single" w:sz="4" w:space="0" w:color="auto"/>
            </w:tcBorders>
            <w:shd w:val="clear" w:color="auto" w:fill="auto"/>
            <w:vAlign w:val="center"/>
            <w:hideMark/>
          </w:tcPr>
          <w:p w14:paraId="6BFC43FA" w14:textId="77777777" w:rsidR="00755589" w:rsidRPr="00832773" w:rsidRDefault="00755589" w:rsidP="00755589">
            <w:pPr>
              <w:spacing w:line="240" w:lineRule="auto"/>
              <w:jc w:val="center"/>
              <w:rPr>
                <w:rFonts w:cs="Calibri"/>
                <w:color w:val="000000"/>
                <w:sz w:val="20"/>
                <w:lang w:eastAsia="es-CR"/>
              </w:rPr>
            </w:pPr>
            <w:r w:rsidRPr="00832773">
              <w:rPr>
                <w:rFonts w:cs="Calibri"/>
                <w:color w:val="000000"/>
                <w:sz w:val="20"/>
                <w:lang w:eastAsia="es-CR"/>
              </w:rPr>
              <w:t>19,3</w:t>
            </w:r>
          </w:p>
        </w:tc>
        <w:tc>
          <w:tcPr>
            <w:tcW w:w="1900" w:type="dxa"/>
            <w:tcBorders>
              <w:top w:val="nil"/>
              <w:left w:val="nil"/>
              <w:bottom w:val="nil"/>
              <w:right w:val="nil"/>
            </w:tcBorders>
            <w:shd w:val="clear" w:color="auto" w:fill="auto"/>
            <w:vAlign w:val="center"/>
            <w:hideMark/>
          </w:tcPr>
          <w:p w14:paraId="47C8AEA1" w14:textId="77777777" w:rsidR="00755589" w:rsidRPr="00832773" w:rsidRDefault="00755589" w:rsidP="00755589">
            <w:pPr>
              <w:spacing w:line="240" w:lineRule="auto"/>
              <w:jc w:val="center"/>
              <w:rPr>
                <w:rFonts w:cs="Calibri"/>
                <w:color w:val="000000"/>
                <w:sz w:val="20"/>
                <w:lang w:eastAsia="es-CR"/>
              </w:rPr>
            </w:pPr>
            <w:r w:rsidRPr="00832773">
              <w:rPr>
                <w:rFonts w:cs="Calibri"/>
                <w:color w:val="000000"/>
                <w:sz w:val="20"/>
                <w:lang w:eastAsia="es-CR"/>
              </w:rPr>
              <w:t>14%</w:t>
            </w:r>
          </w:p>
        </w:tc>
      </w:tr>
      <w:tr w:rsidR="00755589" w:rsidRPr="004E74A6" w14:paraId="34D06A8B" w14:textId="77777777" w:rsidTr="00832773">
        <w:trPr>
          <w:trHeight w:val="518"/>
        </w:trPr>
        <w:tc>
          <w:tcPr>
            <w:tcW w:w="5500" w:type="dxa"/>
            <w:tcBorders>
              <w:top w:val="nil"/>
              <w:left w:val="nil"/>
              <w:bottom w:val="nil"/>
              <w:right w:val="single" w:sz="4" w:space="0" w:color="auto"/>
            </w:tcBorders>
            <w:shd w:val="clear" w:color="auto" w:fill="auto"/>
            <w:vAlign w:val="center"/>
            <w:hideMark/>
          </w:tcPr>
          <w:p w14:paraId="49D36D66" w14:textId="77777777" w:rsidR="00755589" w:rsidRPr="004E74A6" w:rsidRDefault="00755589" w:rsidP="00755589">
            <w:pPr>
              <w:spacing w:line="240" w:lineRule="auto"/>
              <w:jc w:val="left"/>
              <w:rPr>
                <w:rFonts w:cs="Calibri"/>
                <w:color w:val="000000"/>
                <w:sz w:val="20"/>
                <w:lang w:eastAsia="es-CR"/>
              </w:rPr>
            </w:pPr>
            <w:r w:rsidRPr="004E74A6">
              <w:rPr>
                <w:rFonts w:cs="Calibri"/>
                <w:color w:val="000000"/>
                <w:sz w:val="20"/>
                <w:lang w:eastAsia="es-CR"/>
              </w:rPr>
              <w:t>Tribunal Colegiado Primera Instancia Civil Tercer Circuito Judicial San José, Hatillo</w:t>
            </w:r>
          </w:p>
        </w:tc>
        <w:tc>
          <w:tcPr>
            <w:tcW w:w="1840" w:type="dxa"/>
            <w:tcBorders>
              <w:top w:val="nil"/>
              <w:left w:val="nil"/>
              <w:bottom w:val="nil"/>
              <w:right w:val="single" w:sz="4" w:space="0" w:color="auto"/>
            </w:tcBorders>
            <w:shd w:val="clear" w:color="auto" w:fill="auto"/>
            <w:vAlign w:val="center"/>
            <w:hideMark/>
          </w:tcPr>
          <w:p w14:paraId="4F18ACE8" w14:textId="77777777" w:rsidR="00755589" w:rsidRPr="00832773" w:rsidRDefault="00755589" w:rsidP="00755589">
            <w:pPr>
              <w:spacing w:line="240" w:lineRule="auto"/>
              <w:jc w:val="center"/>
              <w:rPr>
                <w:rFonts w:cs="Calibri"/>
                <w:color w:val="000000"/>
                <w:sz w:val="20"/>
                <w:lang w:eastAsia="es-CR"/>
              </w:rPr>
            </w:pPr>
            <w:r w:rsidRPr="00832773">
              <w:rPr>
                <w:rFonts w:cs="Calibri"/>
                <w:color w:val="000000"/>
                <w:sz w:val="20"/>
                <w:lang w:eastAsia="es-CR"/>
              </w:rPr>
              <w:t>3,0</w:t>
            </w:r>
          </w:p>
        </w:tc>
        <w:tc>
          <w:tcPr>
            <w:tcW w:w="1900" w:type="dxa"/>
            <w:tcBorders>
              <w:top w:val="nil"/>
              <w:left w:val="nil"/>
              <w:bottom w:val="nil"/>
              <w:right w:val="nil"/>
            </w:tcBorders>
            <w:shd w:val="clear" w:color="auto" w:fill="auto"/>
            <w:vAlign w:val="center"/>
            <w:hideMark/>
          </w:tcPr>
          <w:p w14:paraId="00AE2BBC" w14:textId="77777777" w:rsidR="00755589" w:rsidRPr="00832773" w:rsidRDefault="00755589" w:rsidP="00755589">
            <w:pPr>
              <w:spacing w:line="240" w:lineRule="auto"/>
              <w:jc w:val="center"/>
              <w:rPr>
                <w:rFonts w:cs="Calibri"/>
                <w:color w:val="000000"/>
                <w:sz w:val="20"/>
                <w:lang w:eastAsia="es-CR"/>
              </w:rPr>
            </w:pPr>
            <w:r w:rsidRPr="00832773">
              <w:rPr>
                <w:rFonts w:cs="Calibri"/>
                <w:color w:val="000000"/>
                <w:sz w:val="20"/>
                <w:lang w:eastAsia="es-CR"/>
              </w:rPr>
              <w:t>24%</w:t>
            </w:r>
          </w:p>
        </w:tc>
      </w:tr>
      <w:tr w:rsidR="00755589" w:rsidRPr="004E74A6" w14:paraId="1F0624C2" w14:textId="77777777" w:rsidTr="00832773">
        <w:trPr>
          <w:trHeight w:val="518"/>
        </w:trPr>
        <w:tc>
          <w:tcPr>
            <w:tcW w:w="5500" w:type="dxa"/>
            <w:tcBorders>
              <w:top w:val="nil"/>
              <w:left w:val="nil"/>
              <w:bottom w:val="nil"/>
              <w:right w:val="single" w:sz="4" w:space="0" w:color="auto"/>
            </w:tcBorders>
            <w:shd w:val="clear" w:color="auto" w:fill="auto"/>
            <w:vAlign w:val="center"/>
            <w:hideMark/>
          </w:tcPr>
          <w:p w14:paraId="3A942685" w14:textId="77777777" w:rsidR="00755589" w:rsidRPr="004E74A6" w:rsidRDefault="00755589" w:rsidP="00755589">
            <w:pPr>
              <w:spacing w:line="240" w:lineRule="auto"/>
              <w:jc w:val="left"/>
              <w:rPr>
                <w:rFonts w:cs="Calibri"/>
                <w:color w:val="000000"/>
                <w:sz w:val="20"/>
                <w:lang w:eastAsia="es-CR"/>
              </w:rPr>
            </w:pPr>
            <w:r w:rsidRPr="004E74A6">
              <w:rPr>
                <w:rFonts w:cs="Calibri"/>
                <w:color w:val="000000"/>
                <w:sz w:val="20"/>
                <w:lang w:eastAsia="es-CR"/>
              </w:rPr>
              <w:t>Tribunal Colegiado Primera Instancia Civil Primer Circuito Judicial de Alajuela</w:t>
            </w:r>
          </w:p>
        </w:tc>
        <w:tc>
          <w:tcPr>
            <w:tcW w:w="1840" w:type="dxa"/>
            <w:tcBorders>
              <w:top w:val="nil"/>
              <w:left w:val="nil"/>
              <w:bottom w:val="nil"/>
              <w:right w:val="single" w:sz="4" w:space="0" w:color="auto"/>
            </w:tcBorders>
            <w:shd w:val="clear" w:color="auto" w:fill="auto"/>
            <w:vAlign w:val="center"/>
            <w:hideMark/>
          </w:tcPr>
          <w:p w14:paraId="6096A15B" w14:textId="77777777" w:rsidR="00755589" w:rsidRPr="00832773" w:rsidRDefault="00755589" w:rsidP="00755589">
            <w:pPr>
              <w:spacing w:line="240" w:lineRule="auto"/>
              <w:jc w:val="center"/>
              <w:rPr>
                <w:rFonts w:cs="Calibri"/>
                <w:color w:val="000000"/>
                <w:sz w:val="20"/>
                <w:lang w:eastAsia="es-CR"/>
              </w:rPr>
            </w:pPr>
            <w:r w:rsidRPr="00832773">
              <w:rPr>
                <w:rFonts w:cs="Calibri"/>
                <w:color w:val="000000"/>
                <w:sz w:val="20"/>
                <w:lang w:eastAsia="es-CR"/>
              </w:rPr>
              <w:t>7,7</w:t>
            </w:r>
          </w:p>
        </w:tc>
        <w:tc>
          <w:tcPr>
            <w:tcW w:w="1900" w:type="dxa"/>
            <w:tcBorders>
              <w:top w:val="nil"/>
              <w:left w:val="nil"/>
              <w:bottom w:val="nil"/>
              <w:right w:val="nil"/>
            </w:tcBorders>
            <w:shd w:val="clear" w:color="auto" w:fill="auto"/>
            <w:vAlign w:val="center"/>
            <w:hideMark/>
          </w:tcPr>
          <w:p w14:paraId="0DB90AE9" w14:textId="77777777" w:rsidR="00755589" w:rsidRPr="00832773" w:rsidRDefault="00755589" w:rsidP="00755589">
            <w:pPr>
              <w:spacing w:line="240" w:lineRule="auto"/>
              <w:jc w:val="center"/>
              <w:rPr>
                <w:rFonts w:cs="Calibri"/>
                <w:color w:val="000000"/>
                <w:sz w:val="20"/>
                <w:lang w:eastAsia="es-CR"/>
              </w:rPr>
            </w:pPr>
            <w:r w:rsidRPr="00832773">
              <w:rPr>
                <w:rFonts w:cs="Calibri"/>
                <w:color w:val="000000"/>
                <w:sz w:val="20"/>
                <w:lang w:eastAsia="es-CR"/>
              </w:rPr>
              <w:t>25%</w:t>
            </w:r>
          </w:p>
        </w:tc>
      </w:tr>
      <w:tr w:rsidR="00755589" w:rsidRPr="004E74A6" w14:paraId="5C218AB2" w14:textId="77777777" w:rsidTr="00832773">
        <w:trPr>
          <w:trHeight w:val="518"/>
        </w:trPr>
        <w:tc>
          <w:tcPr>
            <w:tcW w:w="5500" w:type="dxa"/>
            <w:tcBorders>
              <w:top w:val="nil"/>
              <w:left w:val="nil"/>
              <w:bottom w:val="nil"/>
              <w:right w:val="single" w:sz="4" w:space="0" w:color="auto"/>
            </w:tcBorders>
            <w:shd w:val="clear" w:color="auto" w:fill="auto"/>
            <w:vAlign w:val="center"/>
            <w:hideMark/>
          </w:tcPr>
          <w:p w14:paraId="659975A3" w14:textId="77777777" w:rsidR="00755589" w:rsidRPr="004E74A6" w:rsidRDefault="00755589" w:rsidP="00755589">
            <w:pPr>
              <w:spacing w:line="240" w:lineRule="auto"/>
              <w:jc w:val="left"/>
              <w:rPr>
                <w:rFonts w:cs="Calibri"/>
                <w:color w:val="000000"/>
                <w:sz w:val="20"/>
                <w:lang w:eastAsia="es-CR"/>
              </w:rPr>
            </w:pPr>
            <w:r w:rsidRPr="004E74A6">
              <w:rPr>
                <w:rFonts w:cs="Calibri"/>
                <w:color w:val="000000"/>
                <w:sz w:val="20"/>
                <w:lang w:eastAsia="es-CR"/>
              </w:rPr>
              <w:t>Tribunal Colegiado de Primera Instancia Civil Tercer Circuito Judicial de Alajuela, San Ramón</w:t>
            </w:r>
          </w:p>
        </w:tc>
        <w:tc>
          <w:tcPr>
            <w:tcW w:w="1840" w:type="dxa"/>
            <w:tcBorders>
              <w:top w:val="nil"/>
              <w:left w:val="nil"/>
              <w:bottom w:val="nil"/>
              <w:right w:val="single" w:sz="4" w:space="0" w:color="auto"/>
            </w:tcBorders>
            <w:shd w:val="clear" w:color="auto" w:fill="auto"/>
            <w:vAlign w:val="center"/>
            <w:hideMark/>
          </w:tcPr>
          <w:p w14:paraId="4B42EB1F" w14:textId="77777777" w:rsidR="00755589" w:rsidRPr="00832773" w:rsidRDefault="00755589" w:rsidP="00755589">
            <w:pPr>
              <w:spacing w:line="240" w:lineRule="auto"/>
              <w:jc w:val="center"/>
              <w:rPr>
                <w:rFonts w:cs="Calibri"/>
                <w:color w:val="000000"/>
                <w:sz w:val="20"/>
                <w:lang w:eastAsia="es-CR"/>
              </w:rPr>
            </w:pPr>
            <w:r w:rsidRPr="00832773">
              <w:rPr>
                <w:rFonts w:cs="Calibri"/>
                <w:color w:val="000000"/>
                <w:sz w:val="20"/>
                <w:lang w:eastAsia="es-CR"/>
              </w:rPr>
              <w:t>10,4</w:t>
            </w:r>
          </w:p>
        </w:tc>
        <w:tc>
          <w:tcPr>
            <w:tcW w:w="1900" w:type="dxa"/>
            <w:tcBorders>
              <w:top w:val="nil"/>
              <w:left w:val="nil"/>
              <w:bottom w:val="nil"/>
              <w:right w:val="nil"/>
            </w:tcBorders>
            <w:shd w:val="clear" w:color="auto" w:fill="auto"/>
            <w:vAlign w:val="center"/>
            <w:hideMark/>
          </w:tcPr>
          <w:p w14:paraId="6142D63B" w14:textId="77777777" w:rsidR="00755589" w:rsidRPr="00832773" w:rsidRDefault="00755589" w:rsidP="00755589">
            <w:pPr>
              <w:spacing w:line="240" w:lineRule="auto"/>
              <w:jc w:val="center"/>
              <w:rPr>
                <w:rFonts w:cs="Calibri"/>
                <w:color w:val="000000"/>
                <w:sz w:val="20"/>
                <w:lang w:eastAsia="es-CR"/>
              </w:rPr>
            </w:pPr>
            <w:r w:rsidRPr="00832773">
              <w:rPr>
                <w:rFonts w:cs="Calibri"/>
                <w:color w:val="000000"/>
                <w:sz w:val="20"/>
                <w:lang w:eastAsia="es-CR"/>
              </w:rPr>
              <w:t>32%</w:t>
            </w:r>
          </w:p>
        </w:tc>
      </w:tr>
      <w:tr w:rsidR="00755589" w:rsidRPr="004E74A6" w14:paraId="61D42F56" w14:textId="77777777" w:rsidTr="00832773">
        <w:trPr>
          <w:trHeight w:val="518"/>
        </w:trPr>
        <w:tc>
          <w:tcPr>
            <w:tcW w:w="5500" w:type="dxa"/>
            <w:tcBorders>
              <w:top w:val="nil"/>
              <w:left w:val="nil"/>
              <w:bottom w:val="nil"/>
              <w:right w:val="single" w:sz="4" w:space="0" w:color="auto"/>
            </w:tcBorders>
            <w:shd w:val="clear" w:color="auto" w:fill="auto"/>
            <w:vAlign w:val="center"/>
            <w:hideMark/>
          </w:tcPr>
          <w:p w14:paraId="0DD2B2C6" w14:textId="77777777" w:rsidR="00755589" w:rsidRPr="004E74A6" w:rsidRDefault="00755589" w:rsidP="00755589">
            <w:pPr>
              <w:spacing w:line="240" w:lineRule="auto"/>
              <w:jc w:val="left"/>
              <w:rPr>
                <w:rFonts w:cs="Calibri"/>
                <w:color w:val="000000"/>
                <w:sz w:val="20"/>
                <w:lang w:eastAsia="es-CR"/>
              </w:rPr>
            </w:pPr>
            <w:r w:rsidRPr="004E74A6">
              <w:rPr>
                <w:rFonts w:cs="Calibri"/>
                <w:color w:val="000000"/>
                <w:sz w:val="20"/>
                <w:lang w:eastAsia="es-CR"/>
              </w:rPr>
              <w:t>Tribunal Colegiado Primera Instancia Civil Cartago</w:t>
            </w:r>
          </w:p>
        </w:tc>
        <w:tc>
          <w:tcPr>
            <w:tcW w:w="1840" w:type="dxa"/>
            <w:tcBorders>
              <w:top w:val="nil"/>
              <w:left w:val="nil"/>
              <w:bottom w:val="nil"/>
              <w:right w:val="single" w:sz="4" w:space="0" w:color="auto"/>
            </w:tcBorders>
            <w:shd w:val="clear" w:color="auto" w:fill="auto"/>
            <w:vAlign w:val="center"/>
            <w:hideMark/>
          </w:tcPr>
          <w:p w14:paraId="6720FCD1" w14:textId="77777777" w:rsidR="00755589" w:rsidRPr="00832773" w:rsidRDefault="00755589" w:rsidP="00755589">
            <w:pPr>
              <w:spacing w:line="240" w:lineRule="auto"/>
              <w:jc w:val="center"/>
              <w:rPr>
                <w:rFonts w:cs="Calibri"/>
                <w:color w:val="000000"/>
                <w:sz w:val="20"/>
                <w:lang w:eastAsia="es-CR"/>
              </w:rPr>
            </w:pPr>
            <w:r w:rsidRPr="00832773">
              <w:rPr>
                <w:rFonts w:cs="Calibri"/>
                <w:color w:val="000000"/>
                <w:sz w:val="20"/>
                <w:lang w:eastAsia="es-CR"/>
              </w:rPr>
              <w:t>20,4</w:t>
            </w:r>
          </w:p>
        </w:tc>
        <w:tc>
          <w:tcPr>
            <w:tcW w:w="1900" w:type="dxa"/>
            <w:tcBorders>
              <w:top w:val="nil"/>
              <w:left w:val="nil"/>
              <w:bottom w:val="nil"/>
              <w:right w:val="nil"/>
            </w:tcBorders>
            <w:shd w:val="clear" w:color="auto" w:fill="auto"/>
            <w:vAlign w:val="center"/>
            <w:hideMark/>
          </w:tcPr>
          <w:p w14:paraId="778FC22D" w14:textId="77777777" w:rsidR="00755589" w:rsidRPr="00832773" w:rsidRDefault="00755589" w:rsidP="00755589">
            <w:pPr>
              <w:spacing w:line="240" w:lineRule="auto"/>
              <w:jc w:val="center"/>
              <w:rPr>
                <w:rFonts w:cs="Calibri"/>
                <w:color w:val="000000"/>
                <w:sz w:val="20"/>
                <w:lang w:eastAsia="es-CR"/>
              </w:rPr>
            </w:pPr>
            <w:r w:rsidRPr="00832773">
              <w:rPr>
                <w:rFonts w:cs="Calibri"/>
                <w:color w:val="000000"/>
                <w:sz w:val="20"/>
                <w:lang w:eastAsia="es-CR"/>
              </w:rPr>
              <w:t>18%</w:t>
            </w:r>
          </w:p>
        </w:tc>
      </w:tr>
      <w:tr w:rsidR="00755589" w:rsidRPr="004E74A6" w14:paraId="1667A9A9" w14:textId="77777777" w:rsidTr="00832773">
        <w:trPr>
          <w:trHeight w:val="518"/>
        </w:trPr>
        <w:tc>
          <w:tcPr>
            <w:tcW w:w="5500" w:type="dxa"/>
            <w:tcBorders>
              <w:top w:val="nil"/>
              <w:left w:val="nil"/>
              <w:bottom w:val="nil"/>
              <w:right w:val="single" w:sz="4" w:space="0" w:color="auto"/>
            </w:tcBorders>
            <w:shd w:val="clear" w:color="auto" w:fill="auto"/>
            <w:vAlign w:val="center"/>
            <w:hideMark/>
          </w:tcPr>
          <w:p w14:paraId="1FCF08A5" w14:textId="77777777" w:rsidR="00755589" w:rsidRPr="004E74A6" w:rsidRDefault="00755589" w:rsidP="00755589">
            <w:pPr>
              <w:spacing w:line="240" w:lineRule="auto"/>
              <w:jc w:val="left"/>
              <w:rPr>
                <w:rFonts w:cs="Calibri"/>
                <w:color w:val="000000"/>
                <w:sz w:val="20"/>
                <w:lang w:eastAsia="es-CR"/>
              </w:rPr>
            </w:pPr>
            <w:r w:rsidRPr="004E74A6">
              <w:rPr>
                <w:rFonts w:cs="Calibri"/>
                <w:color w:val="000000"/>
                <w:sz w:val="20"/>
                <w:lang w:eastAsia="es-CR"/>
              </w:rPr>
              <w:t>Tribunal Colegiado Primera Instancia Civil Heredia</w:t>
            </w:r>
          </w:p>
        </w:tc>
        <w:tc>
          <w:tcPr>
            <w:tcW w:w="1840" w:type="dxa"/>
            <w:tcBorders>
              <w:top w:val="nil"/>
              <w:left w:val="nil"/>
              <w:bottom w:val="nil"/>
              <w:right w:val="single" w:sz="4" w:space="0" w:color="auto"/>
            </w:tcBorders>
            <w:shd w:val="clear" w:color="auto" w:fill="auto"/>
            <w:vAlign w:val="center"/>
            <w:hideMark/>
          </w:tcPr>
          <w:p w14:paraId="648B5E7B" w14:textId="77777777" w:rsidR="00755589" w:rsidRPr="00832773" w:rsidRDefault="00755589" w:rsidP="00755589">
            <w:pPr>
              <w:spacing w:line="240" w:lineRule="auto"/>
              <w:jc w:val="center"/>
              <w:rPr>
                <w:rFonts w:cs="Calibri"/>
                <w:color w:val="000000"/>
                <w:sz w:val="20"/>
                <w:lang w:eastAsia="es-CR"/>
              </w:rPr>
            </w:pPr>
            <w:r w:rsidRPr="00832773">
              <w:rPr>
                <w:rFonts w:cs="Calibri"/>
                <w:color w:val="000000"/>
                <w:sz w:val="20"/>
                <w:lang w:eastAsia="es-CR"/>
              </w:rPr>
              <w:t>22,3</w:t>
            </w:r>
          </w:p>
        </w:tc>
        <w:tc>
          <w:tcPr>
            <w:tcW w:w="1900" w:type="dxa"/>
            <w:tcBorders>
              <w:top w:val="nil"/>
              <w:left w:val="nil"/>
              <w:bottom w:val="nil"/>
              <w:right w:val="nil"/>
            </w:tcBorders>
            <w:shd w:val="clear" w:color="auto" w:fill="auto"/>
            <w:vAlign w:val="center"/>
            <w:hideMark/>
          </w:tcPr>
          <w:p w14:paraId="51B48BE5" w14:textId="77777777" w:rsidR="00755589" w:rsidRPr="00832773" w:rsidRDefault="00755589" w:rsidP="00755589">
            <w:pPr>
              <w:spacing w:line="240" w:lineRule="auto"/>
              <w:jc w:val="center"/>
              <w:rPr>
                <w:rFonts w:cs="Calibri"/>
                <w:color w:val="000000"/>
                <w:sz w:val="20"/>
                <w:lang w:eastAsia="es-CR"/>
              </w:rPr>
            </w:pPr>
            <w:r w:rsidRPr="00832773">
              <w:rPr>
                <w:rFonts w:cs="Calibri"/>
                <w:color w:val="000000"/>
                <w:sz w:val="20"/>
                <w:lang w:eastAsia="es-CR"/>
              </w:rPr>
              <w:t>16%</w:t>
            </w:r>
          </w:p>
        </w:tc>
      </w:tr>
      <w:tr w:rsidR="00755589" w:rsidRPr="004E74A6" w14:paraId="5F340B5C" w14:textId="77777777" w:rsidTr="00832773">
        <w:trPr>
          <w:trHeight w:val="518"/>
        </w:trPr>
        <w:tc>
          <w:tcPr>
            <w:tcW w:w="5500" w:type="dxa"/>
            <w:tcBorders>
              <w:top w:val="nil"/>
              <w:left w:val="nil"/>
              <w:bottom w:val="nil"/>
              <w:right w:val="single" w:sz="4" w:space="0" w:color="auto"/>
            </w:tcBorders>
            <w:shd w:val="clear" w:color="auto" w:fill="auto"/>
            <w:vAlign w:val="center"/>
            <w:hideMark/>
          </w:tcPr>
          <w:p w14:paraId="21E4673A" w14:textId="77777777" w:rsidR="00755589" w:rsidRPr="004E74A6" w:rsidRDefault="00755589" w:rsidP="00755589">
            <w:pPr>
              <w:spacing w:line="240" w:lineRule="auto"/>
              <w:jc w:val="left"/>
              <w:rPr>
                <w:rFonts w:cs="Calibri"/>
                <w:color w:val="000000"/>
                <w:sz w:val="20"/>
                <w:lang w:eastAsia="es-CR"/>
              </w:rPr>
            </w:pPr>
            <w:r w:rsidRPr="004E74A6">
              <w:rPr>
                <w:rFonts w:cs="Calibri"/>
                <w:color w:val="000000"/>
                <w:sz w:val="20"/>
                <w:lang w:eastAsia="es-CR"/>
              </w:rPr>
              <w:t>Tribunal Colegiado Primera Instancia Civil Primer Circuito Judicial de Guanacaste, Liberia</w:t>
            </w:r>
          </w:p>
        </w:tc>
        <w:tc>
          <w:tcPr>
            <w:tcW w:w="1840" w:type="dxa"/>
            <w:tcBorders>
              <w:top w:val="nil"/>
              <w:left w:val="nil"/>
              <w:bottom w:val="nil"/>
              <w:right w:val="single" w:sz="4" w:space="0" w:color="auto"/>
            </w:tcBorders>
            <w:shd w:val="clear" w:color="auto" w:fill="auto"/>
            <w:vAlign w:val="center"/>
            <w:hideMark/>
          </w:tcPr>
          <w:p w14:paraId="5258E3B3" w14:textId="77777777" w:rsidR="00755589" w:rsidRPr="00832773" w:rsidRDefault="00755589" w:rsidP="00755589">
            <w:pPr>
              <w:spacing w:line="240" w:lineRule="auto"/>
              <w:jc w:val="center"/>
              <w:rPr>
                <w:rFonts w:cs="Calibri"/>
                <w:color w:val="000000"/>
                <w:sz w:val="20"/>
                <w:lang w:eastAsia="es-CR"/>
              </w:rPr>
            </w:pPr>
            <w:r w:rsidRPr="00832773">
              <w:rPr>
                <w:rFonts w:cs="Calibri"/>
                <w:color w:val="000000"/>
                <w:sz w:val="20"/>
                <w:lang w:eastAsia="es-CR"/>
              </w:rPr>
              <w:t>10,7</w:t>
            </w:r>
          </w:p>
        </w:tc>
        <w:tc>
          <w:tcPr>
            <w:tcW w:w="1900" w:type="dxa"/>
            <w:tcBorders>
              <w:top w:val="nil"/>
              <w:left w:val="nil"/>
              <w:bottom w:val="nil"/>
              <w:right w:val="nil"/>
            </w:tcBorders>
            <w:shd w:val="clear" w:color="auto" w:fill="auto"/>
            <w:vAlign w:val="center"/>
            <w:hideMark/>
          </w:tcPr>
          <w:p w14:paraId="37243CBE" w14:textId="77777777" w:rsidR="00755589" w:rsidRPr="00832773" w:rsidRDefault="00755589" w:rsidP="00755589">
            <w:pPr>
              <w:spacing w:line="240" w:lineRule="auto"/>
              <w:jc w:val="center"/>
              <w:rPr>
                <w:rFonts w:cs="Calibri"/>
                <w:color w:val="000000"/>
                <w:sz w:val="20"/>
                <w:lang w:eastAsia="es-CR"/>
              </w:rPr>
            </w:pPr>
            <w:r w:rsidRPr="00832773">
              <w:rPr>
                <w:rFonts w:cs="Calibri"/>
                <w:color w:val="000000"/>
                <w:sz w:val="20"/>
                <w:lang w:eastAsia="es-CR"/>
              </w:rPr>
              <w:t>24%</w:t>
            </w:r>
          </w:p>
        </w:tc>
      </w:tr>
      <w:tr w:rsidR="00755589" w:rsidRPr="004E74A6" w14:paraId="17AAF678" w14:textId="77777777" w:rsidTr="00832773">
        <w:trPr>
          <w:trHeight w:val="518"/>
        </w:trPr>
        <w:tc>
          <w:tcPr>
            <w:tcW w:w="5500" w:type="dxa"/>
            <w:tcBorders>
              <w:top w:val="nil"/>
              <w:left w:val="nil"/>
              <w:bottom w:val="nil"/>
              <w:right w:val="single" w:sz="4" w:space="0" w:color="auto"/>
            </w:tcBorders>
            <w:shd w:val="clear" w:color="auto" w:fill="auto"/>
            <w:vAlign w:val="center"/>
            <w:hideMark/>
          </w:tcPr>
          <w:p w14:paraId="6BA2EFE0" w14:textId="77777777" w:rsidR="00755589" w:rsidRPr="004E74A6" w:rsidRDefault="00755589" w:rsidP="00755589">
            <w:pPr>
              <w:spacing w:line="240" w:lineRule="auto"/>
              <w:jc w:val="left"/>
              <w:rPr>
                <w:rFonts w:cs="Calibri"/>
                <w:color w:val="000000"/>
                <w:sz w:val="20"/>
                <w:lang w:eastAsia="es-CR"/>
              </w:rPr>
            </w:pPr>
            <w:r w:rsidRPr="004E74A6">
              <w:rPr>
                <w:rFonts w:cs="Calibri"/>
                <w:color w:val="000000"/>
                <w:sz w:val="20"/>
                <w:lang w:eastAsia="es-CR"/>
              </w:rPr>
              <w:t>Tribunal Colegiado Primera Instancia Civil Segundo Circuito Judicial de Guanacaste, Nicoya</w:t>
            </w:r>
          </w:p>
        </w:tc>
        <w:tc>
          <w:tcPr>
            <w:tcW w:w="1840" w:type="dxa"/>
            <w:tcBorders>
              <w:top w:val="nil"/>
              <w:left w:val="nil"/>
              <w:bottom w:val="nil"/>
              <w:right w:val="single" w:sz="4" w:space="0" w:color="auto"/>
            </w:tcBorders>
            <w:shd w:val="clear" w:color="auto" w:fill="auto"/>
            <w:vAlign w:val="center"/>
            <w:hideMark/>
          </w:tcPr>
          <w:p w14:paraId="64D96241" w14:textId="77777777" w:rsidR="00755589" w:rsidRPr="00832773" w:rsidRDefault="00755589" w:rsidP="00755589">
            <w:pPr>
              <w:spacing w:line="240" w:lineRule="auto"/>
              <w:jc w:val="center"/>
              <w:rPr>
                <w:rFonts w:cs="Calibri"/>
                <w:color w:val="000000"/>
                <w:sz w:val="20"/>
                <w:lang w:eastAsia="es-CR"/>
              </w:rPr>
            </w:pPr>
            <w:r w:rsidRPr="00832773">
              <w:rPr>
                <w:rFonts w:cs="Calibri"/>
                <w:color w:val="000000"/>
                <w:sz w:val="20"/>
                <w:lang w:eastAsia="es-CR"/>
              </w:rPr>
              <w:t>4,0</w:t>
            </w:r>
          </w:p>
        </w:tc>
        <w:tc>
          <w:tcPr>
            <w:tcW w:w="1900" w:type="dxa"/>
            <w:tcBorders>
              <w:top w:val="nil"/>
              <w:left w:val="nil"/>
              <w:bottom w:val="nil"/>
              <w:right w:val="nil"/>
            </w:tcBorders>
            <w:shd w:val="clear" w:color="auto" w:fill="auto"/>
            <w:vAlign w:val="center"/>
            <w:hideMark/>
          </w:tcPr>
          <w:p w14:paraId="029B3773" w14:textId="77777777" w:rsidR="00755589" w:rsidRPr="00832773" w:rsidRDefault="00755589" w:rsidP="00755589">
            <w:pPr>
              <w:spacing w:line="240" w:lineRule="auto"/>
              <w:jc w:val="center"/>
              <w:rPr>
                <w:rFonts w:cs="Calibri"/>
                <w:color w:val="000000"/>
                <w:sz w:val="20"/>
                <w:lang w:eastAsia="es-CR"/>
              </w:rPr>
            </w:pPr>
            <w:r w:rsidRPr="00832773">
              <w:rPr>
                <w:rFonts w:cs="Calibri"/>
                <w:color w:val="000000"/>
                <w:sz w:val="20"/>
                <w:lang w:eastAsia="es-CR"/>
              </w:rPr>
              <w:t>24%</w:t>
            </w:r>
          </w:p>
        </w:tc>
      </w:tr>
      <w:tr w:rsidR="00755589" w:rsidRPr="004E74A6" w14:paraId="08838D05" w14:textId="77777777" w:rsidTr="00832773">
        <w:trPr>
          <w:trHeight w:val="518"/>
        </w:trPr>
        <w:tc>
          <w:tcPr>
            <w:tcW w:w="5500" w:type="dxa"/>
            <w:tcBorders>
              <w:top w:val="nil"/>
              <w:left w:val="nil"/>
              <w:bottom w:val="nil"/>
              <w:right w:val="single" w:sz="4" w:space="0" w:color="auto"/>
            </w:tcBorders>
            <w:shd w:val="clear" w:color="auto" w:fill="auto"/>
            <w:vAlign w:val="center"/>
            <w:hideMark/>
          </w:tcPr>
          <w:p w14:paraId="14BE1C36" w14:textId="77777777" w:rsidR="00755589" w:rsidRPr="004E74A6" w:rsidRDefault="00755589" w:rsidP="00755589">
            <w:pPr>
              <w:spacing w:line="240" w:lineRule="auto"/>
              <w:jc w:val="left"/>
              <w:rPr>
                <w:rFonts w:cs="Calibri"/>
                <w:color w:val="000000"/>
                <w:sz w:val="20"/>
                <w:lang w:eastAsia="es-CR"/>
              </w:rPr>
            </w:pPr>
            <w:r w:rsidRPr="004E74A6">
              <w:rPr>
                <w:rFonts w:cs="Calibri"/>
                <w:color w:val="000000"/>
                <w:sz w:val="20"/>
                <w:lang w:eastAsia="es-CR"/>
              </w:rPr>
              <w:t>Tribunal Colegiado Primera Instancia Civil Puntarenas</w:t>
            </w:r>
          </w:p>
        </w:tc>
        <w:tc>
          <w:tcPr>
            <w:tcW w:w="1840" w:type="dxa"/>
            <w:tcBorders>
              <w:top w:val="nil"/>
              <w:left w:val="nil"/>
              <w:bottom w:val="nil"/>
              <w:right w:val="single" w:sz="4" w:space="0" w:color="auto"/>
            </w:tcBorders>
            <w:shd w:val="clear" w:color="auto" w:fill="auto"/>
            <w:vAlign w:val="center"/>
            <w:hideMark/>
          </w:tcPr>
          <w:p w14:paraId="5C4CFA17" w14:textId="77777777" w:rsidR="00755589" w:rsidRPr="00832773" w:rsidRDefault="00755589" w:rsidP="00755589">
            <w:pPr>
              <w:spacing w:line="240" w:lineRule="auto"/>
              <w:jc w:val="center"/>
              <w:rPr>
                <w:rFonts w:cs="Calibri"/>
                <w:color w:val="000000"/>
                <w:sz w:val="20"/>
                <w:lang w:eastAsia="es-CR"/>
              </w:rPr>
            </w:pPr>
            <w:r w:rsidRPr="00832773">
              <w:rPr>
                <w:rFonts w:cs="Calibri"/>
                <w:color w:val="000000"/>
                <w:sz w:val="20"/>
                <w:lang w:eastAsia="es-CR"/>
              </w:rPr>
              <w:t>11,0</w:t>
            </w:r>
          </w:p>
        </w:tc>
        <w:tc>
          <w:tcPr>
            <w:tcW w:w="1900" w:type="dxa"/>
            <w:tcBorders>
              <w:top w:val="nil"/>
              <w:left w:val="nil"/>
              <w:bottom w:val="nil"/>
              <w:right w:val="nil"/>
            </w:tcBorders>
            <w:shd w:val="clear" w:color="auto" w:fill="auto"/>
            <w:vAlign w:val="center"/>
            <w:hideMark/>
          </w:tcPr>
          <w:p w14:paraId="10232039" w14:textId="77777777" w:rsidR="00755589" w:rsidRPr="00832773" w:rsidRDefault="00755589" w:rsidP="00755589">
            <w:pPr>
              <w:spacing w:line="240" w:lineRule="auto"/>
              <w:jc w:val="center"/>
              <w:rPr>
                <w:rFonts w:cs="Calibri"/>
                <w:color w:val="000000"/>
                <w:sz w:val="20"/>
                <w:lang w:eastAsia="es-CR"/>
              </w:rPr>
            </w:pPr>
            <w:r w:rsidRPr="00832773">
              <w:rPr>
                <w:rFonts w:cs="Calibri"/>
                <w:color w:val="000000"/>
                <w:sz w:val="20"/>
                <w:lang w:eastAsia="es-CR"/>
              </w:rPr>
              <w:t>16%</w:t>
            </w:r>
          </w:p>
        </w:tc>
      </w:tr>
      <w:tr w:rsidR="00755589" w:rsidRPr="004E74A6" w14:paraId="72D0AFC4" w14:textId="77777777" w:rsidTr="00832773">
        <w:trPr>
          <w:trHeight w:val="518"/>
        </w:trPr>
        <w:tc>
          <w:tcPr>
            <w:tcW w:w="5500" w:type="dxa"/>
            <w:tcBorders>
              <w:top w:val="nil"/>
              <w:left w:val="nil"/>
              <w:right w:val="single" w:sz="4" w:space="0" w:color="auto"/>
            </w:tcBorders>
            <w:shd w:val="clear" w:color="auto" w:fill="auto"/>
            <w:vAlign w:val="center"/>
            <w:hideMark/>
          </w:tcPr>
          <w:p w14:paraId="116D572F" w14:textId="77777777" w:rsidR="00755589" w:rsidRPr="004E74A6" w:rsidRDefault="00755589" w:rsidP="00755589">
            <w:pPr>
              <w:spacing w:line="240" w:lineRule="auto"/>
              <w:jc w:val="left"/>
              <w:rPr>
                <w:rFonts w:cs="Calibri"/>
                <w:color w:val="000000"/>
                <w:sz w:val="20"/>
                <w:lang w:eastAsia="es-CR"/>
              </w:rPr>
            </w:pPr>
            <w:r w:rsidRPr="004E74A6">
              <w:rPr>
                <w:rFonts w:cs="Calibri"/>
                <w:color w:val="000000"/>
                <w:sz w:val="20"/>
                <w:lang w:eastAsia="es-CR"/>
              </w:rPr>
              <w:t>Tribunal Colegiado Primera Instancia Civil Primer Circuito Judicial Zona Sur, Pérez Zeledón</w:t>
            </w:r>
          </w:p>
        </w:tc>
        <w:tc>
          <w:tcPr>
            <w:tcW w:w="1840" w:type="dxa"/>
            <w:tcBorders>
              <w:top w:val="nil"/>
              <w:left w:val="nil"/>
              <w:right w:val="single" w:sz="4" w:space="0" w:color="auto"/>
            </w:tcBorders>
            <w:shd w:val="clear" w:color="auto" w:fill="auto"/>
            <w:vAlign w:val="center"/>
            <w:hideMark/>
          </w:tcPr>
          <w:p w14:paraId="2AB6580E" w14:textId="77777777" w:rsidR="00755589" w:rsidRPr="00832773" w:rsidRDefault="00755589" w:rsidP="00755589">
            <w:pPr>
              <w:spacing w:line="240" w:lineRule="auto"/>
              <w:jc w:val="center"/>
              <w:rPr>
                <w:rFonts w:cs="Calibri"/>
                <w:color w:val="000000"/>
                <w:sz w:val="20"/>
                <w:lang w:eastAsia="es-CR"/>
              </w:rPr>
            </w:pPr>
            <w:r w:rsidRPr="00832773">
              <w:rPr>
                <w:rFonts w:cs="Calibri"/>
                <w:color w:val="000000"/>
                <w:sz w:val="20"/>
                <w:lang w:eastAsia="es-CR"/>
              </w:rPr>
              <w:t>14,3</w:t>
            </w:r>
          </w:p>
        </w:tc>
        <w:tc>
          <w:tcPr>
            <w:tcW w:w="1900" w:type="dxa"/>
            <w:tcBorders>
              <w:top w:val="nil"/>
              <w:left w:val="nil"/>
              <w:right w:val="nil"/>
            </w:tcBorders>
            <w:shd w:val="clear" w:color="auto" w:fill="auto"/>
            <w:vAlign w:val="center"/>
            <w:hideMark/>
          </w:tcPr>
          <w:p w14:paraId="305CCA7B" w14:textId="77777777" w:rsidR="00755589" w:rsidRPr="00832773" w:rsidRDefault="00755589" w:rsidP="00755589">
            <w:pPr>
              <w:spacing w:line="240" w:lineRule="auto"/>
              <w:jc w:val="center"/>
              <w:rPr>
                <w:rFonts w:cs="Calibri"/>
                <w:color w:val="000000"/>
                <w:sz w:val="20"/>
                <w:lang w:eastAsia="es-CR"/>
              </w:rPr>
            </w:pPr>
            <w:r w:rsidRPr="00832773">
              <w:rPr>
                <w:rFonts w:cs="Calibri"/>
                <w:color w:val="000000"/>
                <w:sz w:val="20"/>
                <w:lang w:eastAsia="es-CR"/>
              </w:rPr>
              <w:t>21%</w:t>
            </w:r>
          </w:p>
        </w:tc>
      </w:tr>
      <w:tr w:rsidR="00755589" w:rsidRPr="004E74A6" w14:paraId="450653ED" w14:textId="77777777" w:rsidTr="00832773">
        <w:trPr>
          <w:trHeight w:val="518"/>
        </w:trPr>
        <w:tc>
          <w:tcPr>
            <w:tcW w:w="5500" w:type="dxa"/>
            <w:tcBorders>
              <w:top w:val="nil"/>
              <w:left w:val="nil"/>
              <w:bottom w:val="single" w:sz="4" w:space="0" w:color="auto"/>
              <w:right w:val="single" w:sz="4" w:space="0" w:color="auto"/>
            </w:tcBorders>
            <w:shd w:val="clear" w:color="auto" w:fill="auto"/>
            <w:vAlign w:val="center"/>
            <w:hideMark/>
          </w:tcPr>
          <w:p w14:paraId="4AF3DF4C" w14:textId="77777777" w:rsidR="00755589" w:rsidRPr="004E74A6" w:rsidRDefault="00755589" w:rsidP="00755589">
            <w:pPr>
              <w:spacing w:line="240" w:lineRule="auto"/>
              <w:jc w:val="left"/>
              <w:rPr>
                <w:rFonts w:cs="Calibri"/>
                <w:color w:val="000000"/>
                <w:sz w:val="20"/>
                <w:lang w:eastAsia="es-CR"/>
              </w:rPr>
            </w:pPr>
            <w:r w:rsidRPr="004E74A6">
              <w:rPr>
                <w:rFonts w:cs="Calibri"/>
                <w:color w:val="000000"/>
                <w:sz w:val="20"/>
                <w:lang w:eastAsia="es-CR"/>
              </w:rPr>
              <w:t>Tribunal Colegiado Primera Instancia Civil Primer Circuito Judicial Zona Atlántica</w:t>
            </w:r>
          </w:p>
        </w:tc>
        <w:tc>
          <w:tcPr>
            <w:tcW w:w="1840" w:type="dxa"/>
            <w:tcBorders>
              <w:top w:val="nil"/>
              <w:left w:val="nil"/>
              <w:bottom w:val="single" w:sz="4" w:space="0" w:color="auto"/>
              <w:right w:val="single" w:sz="4" w:space="0" w:color="auto"/>
            </w:tcBorders>
            <w:shd w:val="clear" w:color="auto" w:fill="auto"/>
            <w:vAlign w:val="center"/>
            <w:hideMark/>
          </w:tcPr>
          <w:p w14:paraId="08CA526F" w14:textId="77777777" w:rsidR="00755589" w:rsidRPr="00832773" w:rsidRDefault="00755589" w:rsidP="00755589">
            <w:pPr>
              <w:spacing w:line="240" w:lineRule="auto"/>
              <w:jc w:val="center"/>
              <w:rPr>
                <w:rFonts w:cs="Calibri"/>
                <w:color w:val="000000"/>
                <w:sz w:val="20"/>
                <w:lang w:eastAsia="es-CR"/>
              </w:rPr>
            </w:pPr>
            <w:r w:rsidRPr="00832773">
              <w:rPr>
                <w:rFonts w:cs="Calibri"/>
                <w:color w:val="000000"/>
                <w:sz w:val="20"/>
                <w:lang w:eastAsia="es-CR"/>
              </w:rPr>
              <w:t>10,6</w:t>
            </w:r>
          </w:p>
        </w:tc>
        <w:tc>
          <w:tcPr>
            <w:tcW w:w="1900" w:type="dxa"/>
            <w:tcBorders>
              <w:top w:val="nil"/>
              <w:left w:val="nil"/>
              <w:bottom w:val="single" w:sz="4" w:space="0" w:color="auto"/>
              <w:right w:val="nil"/>
            </w:tcBorders>
            <w:shd w:val="clear" w:color="auto" w:fill="auto"/>
            <w:vAlign w:val="center"/>
            <w:hideMark/>
          </w:tcPr>
          <w:p w14:paraId="54C92E69" w14:textId="77777777" w:rsidR="00755589" w:rsidRPr="00832773" w:rsidRDefault="00755589" w:rsidP="00755589">
            <w:pPr>
              <w:spacing w:line="240" w:lineRule="auto"/>
              <w:jc w:val="center"/>
              <w:rPr>
                <w:rFonts w:cs="Calibri"/>
                <w:color w:val="000000"/>
                <w:sz w:val="20"/>
                <w:lang w:eastAsia="es-CR"/>
              </w:rPr>
            </w:pPr>
            <w:r w:rsidRPr="00832773">
              <w:rPr>
                <w:rFonts w:cs="Calibri"/>
                <w:color w:val="000000"/>
                <w:sz w:val="20"/>
                <w:lang w:eastAsia="es-CR"/>
              </w:rPr>
              <w:t>13%</w:t>
            </w:r>
          </w:p>
        </w:tc>
      </w:tr>
    </w:tbl>
    <w:p w14:paraId="172CAAFF" w14:textId="77777777" w:rsidR="00755589" w:rsidRPr="004E74A6" w:rsidRDefault="00755589" w:rsidP="00755589">
      <w:pPr>
        <w:spacing w:line="276" w:lineRule="auto"/>
        <w:ind w:left="340" w:right="340"/>
        <w:rPr>
          <w:rFonts w:cs="Calibri"/>
          <w:i/>
          <w:iCs/>
          <w:color w:val="000000"/>
          <w:sz w:val="20"/>
          <w:lang w:eastAsia="es-CR"/>
        </w:rPr>
      </w:pPr>
      <w:r w:rsidRPr="004E74A6">
        <w:rPr>
          <w:rFonts w:cs="Calibri"/>
          <w:b/>
          <w:bCs/>
          <w:i/>
          <w:iCs/>
          <w:color w:val="000000"/>
          <w:sz w:val="20"/>
          <w:lang w:eastAsia="es-CR"/>
        </w:rPr>
        <w:t>Fuente</w:t>
      </w:r>
      <w:r w:rsidRPr="004E74A6">
        <w:rPr>
          <w:rFonts w:cs="Calibri"/>
          <w:i/>
          <w:iCs/>
          <w:color w:val="000000"/>
          <w:sz w:val="20"/>
          <w:lang w:eastAsia="es-CR"/>
        </w:rPr>
        <w:t>: Subproceso de Modernización Institucional con datos extraídos del sistema SIGMA, Dirección de Planificación.</w:t>
      </w:r>
    </w:p>
    <w:p w14:paraId="27F2FB08" w14:textId="78095B77" w:rsidR="00265B22" w:rsidRPr="00832773" w:rsidRDefault="00265B22" w:rsidP="00CE62C1">
      <w:pPr>
        <w:spacing w:line="276" w:lineRule="auto"/>
        <w:rPr>
          <w:rFonts w:eastAsia="Calibri"/>
          <w:lang w:eastAsia="en-US"/>
        </w:rPr>
      </w:pPr>
    </w:p>
    <w:p w14:paraId="6BE56EF0" w14:textId="1BEC277F" w:rsidR="009474EA" w:rsidRPr="004E74A6" w:rsidRDefault="00640788" w:rsidP="00CE62C1">
      <w:pPr>
        <w:spacing w:line="276" w:lineRule="auto"/>
        <w:outlineLvl w:val="2"/>
        <w:rPr>
          <w:rFonts w:eastAsia="Calibri"/>
          <w:lang w:eastAsia="en-US"/>
        </w:rPr>
      </w:pPr>
      <w:r w:rsidRPr="004E74A6">
        <w:rPr>
          <w:rFonts w:eastAsia="Calibri"/>
          <w:b/>
          <w:bCs/>
          <w:color w:val="2F5496"/>
          <w:lang w:eastAsia="en-US"/>
        </w:rPr>
        <w:t xml:space="preserve">Escenario C. </w:t>
      </w:r>
      <w:r w:rsidRPr="004E74A6">
        <w:rPr>
          <w:rFonts w:eastAsia="Calibri"/>
          <w:b/>
          <w:bCs/>
          <w:i/>
          <w:iCs/>
          <w:color w:val="2F5496"/>
          <w:lang w:eastAsia="en-US"/>
        </w:rPr>
        <w:t>Costo del recurso de casación</w:t>
      </w:r>
    </w:p>
    <w:p w14:paraId="542DF7D4" w14:textId="77777777" w:rsidR="00E831FD" w:rsidRPr="00832773" w:rsidRDefault="00E831FD" w:rsidP="00CE62C1">
      <w:pPr>
        <w:spacing w:line="276" w:lineRule="auto"/>
        <w:rPr>
          <w:rFonts w:eastAsia="Calibri"/>
          <w:lang w:eastAsia="en-US"/>
        </w:rPr>
      </w:pPr>
    </w:p>
    <w:p w14:paraId="5FB68C8D" w14:textId="77777777" w:rsidR="00BE6A51" w:rsidRDefault="00BE6A51" w:rsidP="00CE62C1">
      <w:pPr>
        <w:spacing w:line="276" w:lineRule="auto"/>
        <w:rPr>
          <w:rFonts w:cs="Calibri"/>
          <w:bCs/>
        </w:rPr>
      </w:pPr>
      <w:r w:rsidRPr="00832773">
        <w:rPr>
          <w:rFonts w:cs="Calibri"/>
          <w:bCs/>
        </w:rPr>
        <w:t>Este escenario propone establecer la cuantía para acceder al recurso de Casación según su costo unitario, tomando como planteamiento la idea de que resolver un proceso puede ser mucho más elevado que incluso el monto de la pretensión de la parte.</w:t>
      </w:r>
    </w:p>
    <w:p w14:paraId="66B259C3" w14:textId="77777777" w:rsidR="00B66BF9" w:rsidRPr="00832773" w:rsidRDefault="00B66BF9" w:rsidP="00CE62C1">
      <w:pPr>
        <w:spacing w:line="276" w:lineRule="auto"/>
        <w:rPr>
          <w:rFonts w:cs="Calibri"/>
          <w:bCs/>
        </w:rPr>
      </w:pPr>
    </w:p>
    <w:p w14:paraId="793AF2C8" w14:textId="4F438135" w:rsidR="00BE6A51" w:rsidRPr="004E74A6" w:rsidRDefault="00BE6A51" w:rsidP="00CE62C1">
      <w:pPr>
        <w:spacing w:line="276" w:lineRule="auto"/>
        <w:rPr>
          <w:rFonts w:cs="Calibri"/>
          <w:bCs/>
        </w:rPr>
      </w:pPr>
      <w:r w:rsidRPr="004E74A6">
        <w:rPr>
          <w:rFonts w:cs="Calibri"/>
          <w:bCs/>
        </w:rPr>
        <w:lastRenderedPageBreak/>
        <w:t>Para proponer el costo unitario de</w:t>
      </w:r>
      <w:r w:rsidR="00E76BFA" w:rsidRPr="004E74A6">
        <w:rPr>
          <w:rFonts w:cs="Calibri"/>
          <w:bCs/>
        </w:rPr>
        <w:t xml:space="preserve"> resolver</w:t>
      </w:r>
      <w:r w:rsidRPr="004E74A6">
        <w:rPr>
          <w:rFonts w:cs="Calibri"/>
          <w:bCs/>
        </w:rPr>
        <w:t xml:space="preserve"> un recurso de </w:t>
      </w:r>
      <w:r w:rsidR="00E76BFA" w:rsidRPr="004E74A6">
        <w:rPr>
          <w:rFonts w:cs="Calibri"/>
          <w:bCs/>
        </w:rPr>
        <w:t>c</w:t>
      </w:r>
      <w:r w:rsidRPr="004E74A6">
        <w:rPr>
          <w:rFonts w:cs="Calibri"/>
          <w:bCs/>
        </w:rPr>
        <w:t>asación</w:t>
      </w:r>
      <w:r w:rsidR="00E76BFA" w:rsidRPr="004E74A6">
        <w:rPr>
          <w:rFonts w:cs="Calibri"/>
          <w:bCs/>
        </w:rPr>
        <w:t xml:space="preserve"> civil</w:t>
      </w:r>
      <w:r w:rsidRPr="004E74A6">
        <w:rPr>
          <w:rFonts w:cs="Calibri"/>
          <w:bCs/>
        </w:rPr>
        <w:t>, se procede inicialmente a revisar por medio de la página web de la Dirección de Planificación el apartado correspondiente al Costo de la Justicia Anual, en la cual se pretende apoyar procesos de transparencia y rendición de cuentas presentando un informe “</w:t>
      </w:r>
      <w:r w:rsidRPr="004E74A6">
        <w:rPr>
          <w:rFonts w:cs="Calibri"/>
          <w:bCs/>
          <w:i/>
          <w:iCs/>
        </w:rPr>
        <w:t>Costo de la Justicia</w:t>
      </w:r>
      <w:r w:rsidRPr="004E74A6">
        <w:rPr>
          <w:rFonts w:cs="Calibri"/>
          <w:bCs/>
        </w:rPr>
        <w:t>” el cual contiene los gastos incurridos en el periodo de un año, tanto en recurso humano, así como en gastos variables por materia.</w:t>
      </w:r>
    </w:p>
    <w:p w14:paraId="6580E2A2" w14:textId="77777777" w:rsidR="00BE6A51" w:rsidRPr="004E74A6" w:rsidRDefault="00BE6A51" w:rsidP="00CE62C1">
      <w:pPr>
        <w:spacing w:line="276" w:lineRule="auto"/>
        <w:rPr>
          <w:rFonts w:cs="Calibri"/>
          <w:bCs/>
        </w:rPr>
      </w:pPr>
    </w:p>
    <w:p w14:paraId="1C8343FC" w14:textId="77777777" w:rsidR="00BE6A51" w:rsidRPr="004E74A6" w:rsidRDefault="00BE6A51" w:rsidP="00CE62C1">
      <w:pPr>
        <w:spacing w:line="276" w:lineRule="auto"/>
        <w:rPr>
          <w:rFonts w:cs="Calibri"/>
          <w:bCs/>
        </w:rPr>
      </w:pPr>
      <w:r w:rsidRPr="004E74A6">
        <w:rPr>
          <w:rFonts w:cs="Calibri"/>
          <w:bCs/>
        </w:rPr>
        <w:t>En relación con la disponibilidad de la información, se encuentran los informes desde el año 2005 hasta el 2020, siendo este último el considerado dentro del análisis por ser el más reciente.</w:t>
      </w:r>
    </w:p>
    <w:p w14:paraId="5C3A191F" w14:textId="3BE2AEED" w:rsidR="00662185" w:rsidRPr="00832773" w:rsidRDefault="00662185" w:rsidP="00CE62C1">
      <w:pPr>
        <w:spacing w:line="276" w:lineRule="auto"/>
        <w:jc w:val="center"/>
        <w:rPr>
          <w:b/>
          <w:bCs/>
          <w:i/>
          <w:iCs/>
          <w:sz w:val="22"/>
          <w:szCs w:val="22"/>
        </w:rPr>
      </w:pPr>
    </w:p>
    <w:p w14:paraId="025D8CD3" w14:textId="77777777" w:rsidR="00662185" w:rsidRPr="00832773" w:rsidRDefault="00662185" w:rsidP="00CE62C1">
      <w:pPr>
        <w:spacing w:line="276" w:lineRule="auto"/>
        <w:jc w:val="center"/>
        <w:rPr>
          <w:b/>
          <w:bCs/>
          <w:i/>
          <w:iCs/>
          <w:sz w:val="22"/>
          <w:szCs w:val="22"/>
        </w:rPr>
      </w:pPr>
    </w:p>
    <w:p w14:paraId="3CBE91E5" w14:textId="25628C27" w:rsidR="0040241E" w:rsidRPr="00832773" w:rsidRDefault="0040241E" w:rsidP="00832773">
      <w:pPr>
        <w:pStyle w:val="Descripcin"/>
        <w:keepNext/>
        <w:spacing w:line="276" w:lineRule="auto"/>
        <w:jc w:val="center"/>
        <w:rPr>
          <w:rFonts w:ascii="Book Antiqua" w:hAnsi="Book Antiqua"/>
          <w:i/>
          <w:iCs/>
          <w:sz w:val="20"/>
          <w:szCs w:val="16"/>
          <w:lang w:val="es-CR"/>
        </w:rPr>
      </w:pPr>
      <w:r w:rsidRPr="00832773">
        <w:rPr>
          <w:rFonts w:ascii="Book Antiqua" w:hAnsi="Book Antiqua"/>
          <w:i/>
          <w:iCs/>
          <w:sz w:val="20"/>
          <w:szCs w:val="16"/>
          <w:lang w:val="es-CR"/>
        </w:rPr>
        <w:t xml:space="preserve">Tabla </w:t>
      </w:r>
      <w:r w:rsidRPr="00832773">
        <w:rPr>
          <w:rFonts w:ascii="Book Antiqua" w:hAnsi="Book Antiqua"/>
          <w:i/>
          <w:iCs/>
          <w:sz w:val="20"/>
          <w:szCs w:val="16"/>
          <w:lang w:val="es-CR"/>
        </w:rPr>
        <w:fldChar w:fldCharType="begin"/>
      </w:r>
      <w:r w:rsidRPr="00832773">
        <w:rPr>
          <w:rFonts w:ascii="Book Antiqua" w:hAnsi="Book Antiqua"/>
          <w:i/>
          <w:iCs/>
          <w:sz w:val="20"/>
          <w:szCs w:val="16"/>
          <w:lang w:val="es-CR"/>
        </w:rPr>
        <w:instrText xml:space="preserve"> SEQ Tabla \* ARABIC </w:instrText>
      </w:r>
      <w:r w:rsidRPr="00832773">
        <w:rPr>
          <w:rFonts w:ascii="Book Antiqua" w:hAnsi="Book Antiqua"/>
          <w:i/>
          <w:iCs/>
          <w:sz w:val="20"/>
          <w:szCs w:val="16"/>
          <w:lang w:val="es-CR"/>
        </w:rPr>
        <w:fldChar w:fldCharType="separate"/>
      </w:r>
      <w:r w:rsidR="00374B51">
        <w:rPr>
          <w:rFonts w:ascii="Book Antiqua" w:hAnsi="Book Antiqua"/>
          <w:i/>
          <w:iCs/>
          <w:noProof/>
          <w:sz w:val="20"/>
          <w:szCs w:val="16"/>
          <w:lang w:val="es-CR"/>
        </w:rPr>
        <w:t>56</w:t>
      </w:r>
      <w:r w:rsidRPr="00832773">
        <w:rPr>
          <w:rFonts w:ascii="Book Antiqua" w:hAnsi="Book Antiqua"/>
          <w:i/>
          <w:iCs/>
          <w:sz w:val="20"/>
          <w:szCs w:val="16"/>
          <w:lang w:val="es-CR"/>
        </w:rPr>
        <w:fldChar w:fldCharType="end"/>
      </w:r>
      <w:r w:rsidRPr="00832773">
        <w:rPr>
          <w:rFonts w:ascii="Book Antiqua" w:hAnsi="Book Antiqua"/>
          <w:i/>
          <w:iCs/>
          <w:sz w:val="20"/>
          <w:szCs w:val="16"/>
          <w:lang w:val="es-CR"/>
        </w:rPr>
        <w:t xml:space="preserve"> Distribución del costo de la Justicia, Sala Primera 2020</w:t>
      </w:r>
    </w:p>
    <w:tbl>
      <w:tblPr>
        <w:tblW w:w="350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64"/>
        <w:gridCol w:w="1579"/>
        <w:gridCol w:w="1059"/>
      </w:tblGrid>
      <w:tr w:rsidR="00BE6A51" w:rsidRPr="004E74A6" w14:paraId="3FA1F6E3" w14:textId="77777777" w:rsidTr="00947CB3">
        <w:trPr>
          <w:trHeight w:val="454"/>
          <w:jc w:val="center"/>
        </w:trPr>
        <w:tc>
          <w:tcPr>
            <w:tcW w:w="2873" w:type="pct"/>
            <w:tcBorders>
              <w:left w:val="nil"/>
              <w:bottom w:val="single" w:sz="4" w:space="0" w:color="auto"/>
            </w:tcBorders>
            <w:shd w:val="clear" w:color="auto" w:fill="auto"/>
            <w:tcMar>
              <w:top w:w="15" w:type="dxa"/>
              <w:left w:w="15" w:type="dxa"/>
              <w:bottom w:w="15" w:type="dxa"/>
              <w:right w:w="15" w:type="dxa"/>
            </w:tcMar>
            <w:vAlign w:val="center"/>
            <w:hideMark/>
          </w:tcPr>
          <w:p w14:paraId="2F718247" w14:textId="77777777" w:rsidR="00BE6A51" w:rsidRPr="004E74A6" w:rsidRDefault="00BE6A51" w:rsidP="00CE62C1">
            <w:pPr>
              <w:spacing w:line="276" w:lineRule="auto"/>
              <w:jc w:val="center"/>
              <w:rPr>
                <w:b/>
                <w:bCs/>
                <w:sz w:val="20"/>
              </w:rPr>
            </w:pPr>
            <w:r w:rsidRPr="004E74A6">
              <w:rPr>
                <w:b/>
                <w:bCs/>
                <w:sz w:val="20"/>
              </w:rPr>
              <w:t>Detalle</w:t>
            </w:r>
          </w:p>
        </w:tc>
        <w:tc>
          <w:tcPr>
            <w:tcW w:w="1273" w:type="pct"/>
            <w:tcBorders>
              <w:bottom w:val="single" w:sz="4" w:space="0" w:color="auto"/>
            </w:tcBorders>
            <w:shd w:val="clear" w:color="auto" w:fill="auto"/>
            <w:vAlign w:val="center"/>
          </w:tcPr>
          <w:p w14:paraId="309FA1D4" w14:textId="77777777" w:rsidR="00BE6A51" w:rsidRPr="004E74A6" w:rsidRDefault="00BE6A51" w:rsidP="00CE62C1">
            <w:pPr>
              <w:spacing w:line="276" w:lineRule="auto"/>
              <w:jc w:val="center"/>
              <w:rPr>
                <w:b/>
                <w:bCs/>
                <w:sz w:val="20"/>
              </w:rPr>
            </w:pPr>
            <w:r w:rsidRPr="004E74A6">
              <w:rPr>
                <w:b/>
                <w:bCs/>
                <w:sz w:val="20"/>
              </w:rPr>
              <w:t>Costo 2020</w:t>
            </w:r>
          </w:p>
        </w:tc>
        <w:tc>
          <w:tcPr>
            <w:tcW w:w="854" w:type="pct"/>
            <w:tcBorders>
              <w:bottom w:val="single" w:sz="4" w:space="0" w:color="auto"/>
              <w:right w:val="nil"/>
            </w:tcBorders>
            <w:shd w:val="clear" w:color="auto" w:fill="auto"/>
            <w:vAlign w:val="center"/>
          </w:tcPr>
          <w:p w14:paraId="77101927" w14:textId="77777777" w:rsidR="00BE6A51" w:rsidRPr="004E74A6" w:rsidRDefault="00BE6A51" w:rsidP="00CE62C1">
            <w:pPr>
              <w:spacing w:line="276" w:lineRule="auto"/>
              <w:jc w:val="center"/>
              <w:rPr>
                <w:b/>
                <w:bCs/>
                <w:sz w:val="20"/>
              </w:rPr>
            </w:pPr>
            <w:r w:rsidRPr="004E74A6">
              <w:rPr>
                <w:b/>
                <w:bCs/>
                <w:sz w:val="20"/>
              </w:rPr>
              <w:t>%</w:t>
            </w:r>
          </w:p>
        </w:tc>
      </w:tr>
      <w:tr w:rsidR="0040241E" w:rsidRPr="004E74A6" w14:paraId="4BD8A71D" w14:textId="77777777" w:rsidTr="00947CB3">
        <w:trPr>
          <w:trHeight w:val="227"/>
          <w:jc w:val="center"/>
        </w:trPr>
        <w:tc>
          <w:tcPr>
            <w:tcW w:w="2873" w:type="pct"/>
            <w:tcBorders>
              <w:left w:val="nil"/>
              <w:bottom w:val="nil"/>
            </w:tcBorders>
            <w:shd w:val="clear" w:color="auto" w:fill="FFFFFF"/>
            <w:tcMar>
              <w:top w:w="15" w:type="dxa"/>
              <w:left w:w="15" w:type="dxa"/>
              <w:bottom w:w="15" w:type="dxa"/>
              <w:right w:w="15" w:type="dxa"/>
            </w:tcMar>
            <w:vAlign w:val="center"/>
          </w:tcPr>
          <w:p w14:paraId="422D75BC" w14:textId="77777777" w:rsidR="0040241E" w:rsidRPr="004E74A6" w:rsidRDefault="0040241E" w:rsidP="00CE62C1">
            <w:pPr>
              <w:spacing w:line="276" w:lineRule="auto"/>
              <w:jc w:val="left"/>
              <w:rPr>
                <w:color w:val="000000"/>
                <w:sz w:val="20"/>
              </w:rPr>
            </w:pPr>
          </w:p>
        </w:tc>
        <w:tc>
          <w:tcPr>
            <w:tcW w:w="1273" w:type="pct"/>
            <w:tcBorders>
              <w:bottom w:val="nil"/>
            </w:tcBorders>
            <w:shd w:val="clear" w:color="auto" w:fill="FFFFFF"/>
            <w:vAlign w:val="center"/>
          </w:tcPr>
          <w:p w14:paraId="650A7D05" w14:textId="77777777" w:rsidR="0040241E" w:rsidRPr="00832773" w:rsidRDefault="0040241E" w:rsidP="00CE62C1">
            <w:pPr>
              <w:spacing w:line="276" w:lineRule="auto"/>
              <w:jc w:val="center"/>
              <w:rPr>
                <w:rFonts w:cs="Calibri"/>
                <w:bCs/>
                <w:sz w:val="20"/>
              </w:rPr>
            </w:pPr>
          </w:p>
        </w:tc>
        <w:tc>
          <w:tcPr>
            <w:tcW w:w="854" w:type="pct"/>
            <w:tcBorders>
              <w:bottom w:val="nil"/>
              <w:right w:val="nil"/>
            </w:tcBorders>
            <w:shd w:val="clear" w:color="auto" w:fill="FFFFFF"/>
            <w:vAlign w:val="center"/>
          </w:tcPr>
          <w:p w14:paraId="5E6B0CD8" w14:textId="77777777" w:rsidR="0040241E" w:rsidRPr="004E74A6" w:rsidRDefault="0040241E" w:rsidP="00CE62C1">
            <w:pPr>
              <w:spacing w:line="276" w:lineRule="auto"/>
              <w:jc w:val="center"/>
              <w:rPr>
                <w:color w:val="000000"/>
                <w:sz w:val="20"/>
              </w:rPr>
            </w:pPr>
          </w:p>
        </w:tc>
      </w:tr>
      <w:tr w:rsidR="0040241E" w:rsidRPr="004E74A6" w14:paraId="5F1EA4A6" w14:textId="77777777" w:rsidTr="0040241E">
        <w:trPr>
          <w:trHeight w:val="454"/>
          <w:jc w:val="center"/>
        </w:trPr>
        <w:tc>
          <w:tcPr>
            <w:tcW w:w="2873" w:type="pct"/>
            <w:tcBorders>
              <w:top w:val="nil"/>
              <w:left w:val="nil"/>
              <w:bottom w:val="nil"/>
            </w:tcBorders>
            <w:shd w:val="clear" w:color="auto" w:fill="FFFFFF"/>
            <w:tcMar>
              <w:top w:w="15" w:type="dxa"/>
              <w:left w:w="15" w:type="dxa"/>
              <w:bottom w:w="15" w:type="dxa"/>
              <w:right w:w="15" w:type="dxa"/>
            </w:tcMar>
            <w:vAlign w:val="center"/>
          </w:tcPr>
          <w:p w14:paraId="163617FF" w14:textId="4C8F1A2E" w:rsidR="0040241E" w:rsidRPr="004E74A6" w:rsidRDefault="0040241E" w:rsidP="00CE62C1">
            <w:pPr>
              <w:spacing w:line="276" w:lineRule="auto"/>
              <w:jc w:val="center"/>
              <w:rPr>
                <w:color w:val="000000"/>
                <w:sz w:val="20"/>
              </w:rPr>
            </w:pPr>
            <w:r w:rsidRPr="004E74A6">
              <w:rPr>
                <w:color w:val="000000"/>
                <w:sz w:val="20"/>
              </w:rPr>
              <w:t>Total</w:t>
            </w:r>
          </w:p>
        </w:tc>
        <w:tc>
          <w:tcPr>
            <w:tcW w:w="1273" w:type="pct"/>
            <w:tcBorders>
              <w:top w:val="nil"/>
              <w:bottom w:val="nil"/>
            </w:tcBorders>
            <w:shd w:val="clear" w:color="auto" w:fill="FFFFFF"/>
            <w:vAlign w:val="center"/>
          </w:tcPr>
          <w:p w14:paraId="34435380" w14:textId="28EC4588" w:rsidR="0040241E" w:rsidRPr="00832773" w:rsidRDefault="0040241E" w:rsidP="00CE62C1">
            <w:pPr>
              <w:spacing w:line="276" w:lineRule="auto"/>
              <w:jc w:val="center"/>
              <w:rPr>
                <w:rFonts w:cs="Calibri"/>
                <w:sz w:val="20"/>
              </w:rPr>
            </w:pPr>
            <w:r w:rsidRPr="00832773">
              <w:rPr>
                <w:rFonts w:cs="Calibri"/>
                <w:sz w:val="20"/>
              </w:rPr>
              <w:t>¢</w:t>
            </w:r>
            <w:r w:rsidRPr="004E74A6">
              <w:rPr>
                <w:color w:val="000000"/>
                <w:sz w:val="20"/>
              </w:rPr>
              <w:t>2.788.621.091</w:t>
            </w:r>
          </w:p>
        </w:tc>
        <w:tc>
          <w:tcPr>
            <w:tcW w:w="854" w:type="pct"/>
            <w:tcBorders>
              <w:top w:val="nil"/>
              <w:bottom w:val="nil"/>
              <w:right w:val="nil"/>
            </w:tcBorders>
            <w:shd w:val="clear" w:color="auto" w:fill="FFFFFF"/>
            <w:vAlign w:val="center"/>
          </w:tcPr>
          <w:p w14:paraId="15E72261" w14:textId="0B343EB0" w:rsidR="0040241E" w:rsidRPr="004E74A6" w:rsidRDefault="0040241E" w:rsidP="00CE62C1">
            <w:pPr>
              <w:spacing w:line="276" w:lineRule="auto"/>
              <w:jc w:val="center"/>
              <w:rPr>
                <w:color w:val="000000"/>
                <w:sz w:val="20"/>
              </w:rPr>
            </w:pPr>
            <w:r w:rsidRPr="004E74A6">
              <w:rPr>
                <w:color w:val="000000"/>
                <w:sz w:val="20"/>
              </w:rPr>
              <w:t>100%</w:t>
            </w:r>
          </w:p>
        </w:tc>
      </w:tr>
      <w:tr w:rsidR="0040241E" w:rsidRPr="004E74A6" w14:paraId="00899ECA" w14:textId="77777777" w:rsidTr="00947CB3">
        <w:trPr>
          <w:trHeight w:val="113"/>
          <w:jc w:val="center"/>
        </w:trPr>
        <w:tc>
          <w:tcPr>
            <w:tcW w:w="2873" w:type="pct"/>
            <w:tcBorders>
              <w:top w:val="nil"/>
              <w:left w:val="nil"/>
              <w:bottom w:val="nil"/>
            </w:tcBorders>
            <w:shd w:val="clear" w:color="auto" w:fill="FFFFFF"/>
            <w:tcMar>
              <w:top w:w="15" w:type="dxa"/>
              <w:left w:w="15" w:type="dxa"/>
              <w:bottom w:w="15" w:type="dxa"/>
              <w:right w:w="15" w:type="dxa"/>
            </w:tcMar>
            <w:vAlign w:val="center"/>
          </w:tcPr>
          <w:p w14:paraId="49037947" w14:textId="77777777" w:rsidR="0040241E" w:rsidRPr="004E74A6" w:rsidRDefault="0040241E" w:rsidP="00CE62C1">
            <w:pPr>
              <w:spacing w:line="276" w:lineRule="auto"/>
              <w:jc w:val="left"/>
              <w:rPr>
                <w:color w:val="000000"/>
                <w:sz w:val="20"/>
              </w:rPr>
            </w:pPr>
          </w:p>
        </w:tc>
        <w:tc>
          <w:tcPr>
            <w:tcW w:w="1273" w:type="pct"/>
            <w:tcBorders>
              <w:top w:val="nil"/>
              <w:bottom w:val="nil"/>
            </w:tcBorders>
            <w:shd w:val="clear" w:color="auto" w:fill="FFFFFF"/>
            <w:vAlign w:val="center"/>
          </w:tcPr>
          <w:p w14:paraId="25506B4A" w14:textId="77777777" w:rsidR="0040241E" w:rsidRPr="00832773" w:rsidRDefault="0040241E" w:rsidP="00CE62C1">
            <w:pPr>
              <w:spacing w:line="276" w:lineRule="auto"/>
              <w:jc w:val="center"/>
              <w:rPr>
                <w:rFonts w:cs="Calibri"/>
                <w:bCs/>
                <w:sz w:val="20"/>
              </w:rPr>
            </w:pPr>
          </w:p>
        </w:tc>
        <w:tc>
          <w:tcPr>
            <w:tcW w:w="854" w:type="pct"/>
            <w:tcBorders>
              <w:top w:val="nil"/>
              <w:bottom w:val="nil"/>
              <w:right w:val="nil"/>
            </w:tcBorders>
            <w:shd w:val="clear" w:color="auto" w:fill="FFFFFF"/>
            <w:vAlign w:val="center"/>
          </w:tcPr>
          <w:p w14:paraId="1930CF33" w14:textId="77777777" w:rsidR="0040241E" w:rsidRPr="004E74A6" w:rsidRDefault="0040241E" w:rsidP="00CE62C1">
            <w:pPr>
              <w:spacing w:line="276" w:lineRule="auto"/>
              <w:jc w:val="center"/>
              <w:rPr>
                <w:color w:val="000000"/>
                <w:sz w:val="20"/>
              </w:rPr>
            </w:pPr>
          </w:p>
        </w:tc>
      </w:tr>
      <w:tr w:rsidR="0040241E" w:rsidRPr="004E74A6" w14:paraId="4DCBCA87" w14:textId="77777777" w:rsidTr="0040241E">
        <w:trPr>
          <w:trHeight w:val="454"/>
          <w:jc w:val="center"/>
        </w:trPr>
        <w:tc>
          <w:tcPr>
            <w:tcW w:w="2873" w:type="pct"/>
            <w:tcBorders>
              <w:top w:val="nil"/>
              <w:left w:val="nil"/>
              <w:bottom w:val="nil"/>
            </w:tcBorders>
            <w:shd w:val="clear" w:color="auto" w:fill="FFFFFF"/>
            <w:tcMar>
              <w:top w:w="15" w:type="dxa"/>
              <w:left w:w="15" w:type="dxa"/>
              <w:bottom w:w="15" w:type="dxa"/>
              <w:right w:w="15" w:type="dxa"/>
            </w:tcMar>
            <w:vAlign w:val="center"/>
            <w:hideMark/>
          </w:tcPr>
          <w:p w14:paraId="438936E9" w14:textId="77777777" w:rsidR="0040241E" w:rsidRPr="004E74A6" w:rsidRDefault="0040241E" w:rsidP="00CE62C1">
            <w:pPr>
              <w:spacing w:line="276" w:lineRule="auto"/>
              <w:jc w:val="left"/>
              <w:rPr>
                <w:color w:val="000000"/>
                <w:sz w:val="20"/>
              </w:rPr>
            </w:pPr>
            <w:r w:rsidRPr="004E74A6">
              <w:rPr>
                <w:color w:val="000000"/>
                <w:sz w:val="20"/>
              </w:rPr>
              <w:t>Recurso Humano</w:t>
            </w:r>
          </w:p>
        </w:tc>
        <w:tc>
          <w:tcPr>
            <w:tcW w:w="1273" w:type="pct"/>
            <w:tcBorders>
              <w:top w:val="nil"/>
              <w:bottom w:val="nil"/>
            </w:tcBorders>
            <w:shd w:val="clear" w:color="auto" w:fill="FFFFFF"/>
            <w:vAlign w:val="center"/>
          </w:tcPr>
          <w:p w14:paraId="020C5753" w14:textId="77777777" w:rsidR="0040241E" w:rsidRPr="004E74A6" w:rsidRDefault="0040241E" w:rsidP="00CE62C1">
            <w:pPr>
              <w:spacing w:line="276" w:lineRule="auto"/>
              <w:jc w:val="center"/>
              <w:rPr>
                <w:color w:val="000000"/>
                <w:sz w:val="20"/>
              </w:rPr>
            </w:pPr>
            <w:r w:rsidRPr="00832773">
              <w:rPr>
                <w:rFonts w:cs="Calibri"/>
                <w:bCs/>
                <w:sz w:val="20"/>
              </w:rPr>
              <w:t>¢</w:t>
            </w:r>
            <w:r w:rsidRPr="004E74A6">
              <w:rPr>
                <w:color w:val="000000"/>
                <w:sz w:val="20"/>
              </w:rPr>
              <w:t>2.700.132.879</w:t>
            </w:r>
          </w:p>
        </w:tc>
        <w:tc>
          <w:tcPr>
            <w:tcW w:w="854" w:type="pct"/>
            <w:tcBorders>
              <w:top w:val="nil"/>
              <w:bottom w:val="nil"/>
              <w:right w:val="nil"/>
            </w:tcBorders>
            <w:shd w:val="clear" w:color="auto" w:fill="FFFFFF"/>
            <w:vAlign w:val="center"/>
          </w:tcPr>
          <w:p w14:paraId="2E7EB3FD" w14:textId="77777777" w:rsidR="0040241E" w:rsidRPr="004E74A6" w:rsidRDefault="0040241E" w:rsidP="00CE62C1">
            <w:pPr>
              <w:spacing w:line="276" w:lineRule="auto"/>
              <w:jc w:val="center"/>
              <w:rPr>
                <w:color w:val="000000"/>
                <w:sz w:val="20"/>
              </w:rPr>
            </w:pPr>
            <w:r w:rsidRPr="004E74A6">
              <w:rPr>
                <w:color w:val="000000"/>
                <w:sz w:val="20"/>
              </w:rPr>
              <w:t>97%</w:t>
            </w:r>
          </w:p>
        </w:tc>
      </w:tr>
      <w:tr w:rsidR="0040241E" w:rsidRPr="004E74A6" w14:paraId="3AE9BD97" w14:textId="77777777" w:rsidTr="0040241E">
        <w:trPr>
          <w:trHeight w:val="356"/>
          <w:jc w:val="center"/>
        </w:trPr>
        <w:tc>
          <w:tcPr>
            <w:tcW w:w="2873" w:type="pct"/>
            <w:tcBorders>
              <w:top w:val="nil"/>
              <w:left w:val="nil"/>
              <w:bottom w:val="nil"/>
            </w:tcBorders>
            <w:shd w:val="clear" w:color="auto" w:fill="FFFFFF"/>
            <w:tcMar>
              <w:top w:w="15" w:type="dxa"/>
              <w:left w:w="15" w:type="dxa"/>
              <w:bottom w:w="15" w:type="dxa"/>
              <w:right w:w="15" w:type="dxa"/>
            </w:tcMar>
            <w:vAlign w:val="center"/>
            <w:hideMark/>
          </w:tcPr>
          <w:p w14:paraId="1E2570D1" w14:textId="77777777" w:rsidR="0040241E" w:rsidRPr="004E74A6" w:rsidRDefault="0040241E" w:rsidP="00CE62C1">
            <w:pPr>
              <w:spacing w:line="276" w:lineRule="auto"/>
              <w:jc w:val="left"/>
              <w:rPr>
                <w:color w:val="000000"/>
                <w:sz w:val="20"/>
              </w:rPr>
            </w:pPr>
            <w:r w:rsidRPr="004E74A6">
              <w:rPr>
                <w:color w:val="000000"/>
                <w:sz w:val="20"/>
              </w:rPr>
              <w:t>Gasto Variable</w:t>
            </w:r>
          </w:p>
        </w:tc>
        <w:tc>
          <w:tcPr>
            <w:tcW w:w="1273" w:type="pct"/>
            <w:tcBorders>
              <w:top w:val="nil"/>
              <w:bottom w:val="nil"/>
            </w:tcBorders>
            <w:shd w:val="clear" w:color="auto" w:fill="FFFFFF"/>
            <w:vAlign w:val="center"/>
          </w:tcPr>
          <w:p w14:paraId="1D65B840" w14:textId="77777777" w:rsidR="0040241E" w:rsidRPr="004E74A6" w:rsidRDefault="0040241E" w:rsidP="00CE62C1">
            <w:pPr>
              <w:spacing w:line="276" w:lineRule="auto"/>
              <w:jc w:val="center"/>
              <w:rPr>
                <w:color w:val="000000"/>
                <w:sz w:val="20"/>
              </w:rPr>
            </w:pPr>
            <w:r w:rsidRPr="00832773">
              <w:rPr>
                <w:rFonts w:cs="Calibri"/>
                <w:bCs/>
                <w:sz w:val="20"/>
              </w:rPr>
              <w:t>¢</w:t>
            </w:r>
            <w:r w:rsidRPr="004E74A6">
              <w:rPr>
                <w:color w:val="000000"/>
                <w:sz w:val="20"/>
              </w:rPr>
              <w:t>88.488.212</w:t>
            </w:r>
          </w:p>
        </w:tc>
        <w:tc>
          <w:tcPr>
            <w:tcW w:w="854" w:type="pct"/>
            <w:tcBorders>
              <w:top w:val="nil"/>
              <w:bottom w:val="nil"/>
              <w:right w:val="nil"/>
            </w:tcBorders>
            <w:shd w:val="clear" w:color="auto" w:fill="FFFFFF"/>
            <w:vAlign w:val="center"/>
          </w:tcPr>
          <w:p w14:paraId="625A3D2C" w14:textId="77777777" w:rsidR="0040241E" w:rsidRPr="004E74A6" w:rsidRDefault="0040241E" w:rsidP="00CE62C1">
            <w:pPr>
              <w:spacing w:line="276" w:lineRule="auto"/>
              <w:jc w:val="center"/>
              <w:rPr>
                <w:color w:val="000000"/>
                <w:sz w:val="20"/>
              </w:rPr>
            </w:pPr>
            <w:r w:rsidRPr="004E74A6">
              <w:rPr>
                <w:color w:val="000000"/>
                <w:sz w:val="20"/>
              </w:rPr>
              <w:t>3%</w:t>
            </w:r>
          </w:p>
        </w:tc>
      </w:tr>
      <w:tr w:rsidR="0040241E" w:rsidRPr="004E74A6" w14:paraId="29680AA0" w14:textId="77777777" w:rsidTr="00947CB3">
        <w:trPr>
          <w:trHeight w:val="113"/>
          <w:jc w:val="center"/>
        </w:trPr>
        <w:tc>
          <w:tcPr>
            <w:tcW w:w="2873" w:type="pct"/>
            <w:tcBorders>
              <w:top w:val="nil"/>
              <w:left w:val="nil"/>
            </w:tcBorders>
            <w:shd w:val="clear" w:color="auto" w:fill="FFFFFF"/>
            <w:tcMar>
              <w:top w:w="15" w:type="dxa"/>
              <w:left w:w="15" w:type="dxa"/>
              <w:bottom w:w="15" w:type="dxa"/>
              <w:right w:w="15" w:type="dxa"/>
            </w:tcMar>
            <w:vAlign w:val="center"/>
          </w:tcPr>
          <w:p w14:paraId="79D116F5" w14:textId="77777777" w:rsidR="0040241E" w:rsidRPr="004E74A6" w:rsidRDefault="0040241E" w:rsidP="00CE62C1">
            <w:pPr>
              <w:spacing w:line="276" w:lineRule="auto"/>
              <w:jc w:val="center"/>
              <w:rPr>
                <w:b/>
                <w:bCs/>
                <w:color w:val="000000"/>
                <w:sz w:val="20"/>
              </w:rPr>
            </w:pPr>
          </w:p>
        </w:tc>
        <w:tc>
          <w:tcPr>
            <w:tcW w:w="1273" w:type="pct"/>
            <w:tcBorders>
              <w:top w:val="nil"/>
            </w:tcBorders>
            <w:shd w:val="clear" w:color="auto" w:fill="FFFFFF"/>
            <w:vAlign w:val="center"/>
          </w:tcPr>
          <w:p w14:paraId="656AACE3" w14:textId="77777777" w:rsidR="0040241E" w:rsidRPr="00832773" w:rsidRDefault="0040241E" w:rsidP="00CE62C1">
            <w:pPr>
              <w:spacing w:line="276" w:lineRule="auto"/>
              <w:jc w:val="center"/>
              <w:rPr>
                <w:rFonts w:cs="Calibri"/>
                <w:bCs/>
                <w:sz w:val="20"/>
              </w:rPr>
            </w:pPr>
          </w:p>
        </w:tc>
        <w:tc>
          <w:tcPr>
            <w:tcW w:w="854" w:type="pct"/>
            <w:tcBorders>
              <w:top w:val="nil"/>
              <w:right w:val="nil"/>
            </w:tcBorders>
            <w:shd w:val="clear" w:color="auto" w:fill="FFFFFF"/>
            <w:vAlign w:val="center"/>
          </w:tcPr>
          <w:p w14:paraId="48777248" w14:textId="77777777" w:rsidR="0040241E" w:rsidRPr="004E74A6" w:rsidRDefault="0040241E" w:rsidP="00CE62C1">
            <w:pPr>
              <w:spacing w:line="276" w:lineRule="auto"/>
              <w:jc w:val="center"/>
              <w:rPr>
                <w:b/>
                <w:bCs/>
                <w:color w:val="000000"/>
                <w:sz w:val="20"/>
              </w:rPr>
            </w:pPr>
          </w:p>
        </w:tc>
      </w:tr>
    </w:tbl>
    <w:p w14:paraId="7D168301" w14:textId="77777777" w:rsidR="00BE6A51" w:rsidRPr="004E74A6" w:rsidRDefault="00BE6A51" w:rsidP="00CE62C1">
      <w:pPr>
        <w:tabs>
          <w:tab w:val="left" w:pos="882"/>
        </w:tabs>
        <w:spacing w:line="276" w:lineRule="auto"/>
        <w:ind w:left="1304" w:right="1304"/>
        <w:rPr>
          <w:i/>
          <w:iCs/>
          <w:sz w:val="20"/>
        </w:rPr>
      </w:pPr>
      <w:r w:rsidRPr="004E74A6">
        <w:rPr>
          <w:b/>
          <w:bCs/>
          <w:i/>
          <w:iCs/>
          <w:color w:val="000000"/>
          <w:sz w:val="20"/>
          <w:szCs w:val="16"/>
        </w:rPr>
        <w:t>Fuente</w:t>
      </w:r>
      <w:r w:rsidRPr="004E74A6">
        <w:rPr>
          <w:i/>
          <w:iCs/>
          <w:color w:val="000000"/>
          <w:sz w:val="20"/>
          <w:szCs w:val="16"/>
        </w:rPr>
        <w:t xml:space="preserve">: </w:t>
      </w:r>
      <w:r w:rsidRPr="00832773">
        <w:rPr>
          <w:i/>
          <w:iCs/>
          <w:sz w:val="20"/>
          <w:szCs w:val="16"/>
          <w:lang w:eastAsia="es-CR"/>
        </w:rPr>
        <w:t xml:space="preserve">Subproceso Presupuesto y Portafolio de Proyectos, </w:t>
      </w:r>
      <w:r w:rsidRPr="004E74A6">
        <w:rPr>
          <w:i/>
          <w:iCs/>
          <w:color w:val="000000"/>
          <w:sz w:val="20"/>
          <w:szCs w:val="16"/>
        </w:rPr>
        <w:t>a partir de la información del Informe del Costo de la Justicia 2020.</w:t>
      </w:r>
    </w:p>
    <w:p w14:paraId="63ACBE63" w14:textId="77777777" w:rsidR="00BE6A51" w:rsidRPr="00832773" w:rsidRDefault="00BE6A51" w:rsidP="00CE62C1">
      <w:pPr>
        <w:tabs>
          <w:tab w:val="left" w:pos="0"/>
        </w:tabs>
        <w:spacing w:line="276" w:lineRule="auto"/>
        <w:rPr>
          <w:szCs w:val="24"/>
        </w:rPr>
      </w:pPr>
    </w:p>
    <w:p w14:paraId="7510D412" w14:textId="61E3037D" w:rsidR="00BE6A51" w:rsidRDefault="00BE6A51" w:rsidP="00CE62C1">
      <w:pPr>
        <w:spacing w:line="276" w:lineRule="auto"/>
        <w:rPr>
          <w:bCs/>
          <w:color w:val="000000"/>
          <w:szCs w:val="24"/>
        </w:rPr>
      </w:pPr>
      <w:r w:rsidRPr="00832773">
        <w:rPr>
          <w:rFonts w:eastAsia="Calibri"/>
          <w:lang w:eastAsia="en-US"/>
        </w:rPr>
        <w:t xml:space="preserve">Para el 2020, se estableció el </w:t>
      </w:r>
      <w:r w:rsidR="002A6972" w:rsidRPr="00832773">
        <w:rPr>
          <w:rFonts w:eastAsia="Calibri"/>
          <w:lang w:eastAsia="en-US"/>
        </w:rPr>
        <w:t xml:space="preserve">costo </w:t>
      </w:r>
      <w:r w:rsidRPr="00832773">
        <w:rPr>
          <w:rFonts w:eastAsia="Calibri"/>
          <w:lang w:eastAsia="en-US"/>
        </w:rPr>
        <w:t>incurrido en un total de ¢2.788.621.091,</w:t>
      </w:r>
      <w:r w:rsidRPr="004E74A6">
        <w:rPr>
          <w:bCs/>
          <w:color w:val="000000"/>
          <w:sz w:val="22"/>
          <w:szCs w:val="22"/>
        </w:rPr>
        <w:t xml:space="preserve"> </w:t>
      </w:r>
      <w:r w:rsidRPr="004E74A6">
        <w:rPr>
          <w:bCs/>
          <w:color w:val="000000"/>
          <w:szCs w:val="24"/>
        </w:rPr>
        <w:t>distribuido entre un 97% para cubrir el recurso humano (salario base, anualidades, responsabilidad por el ejercicio de la función judicial, carrera profesional, dedicación exclusiva, sobresueldos y demás pluses e incentivos) y un 3% para gastos variables (servicios, materiales y suministros, bienes duraderos, transferencias corrientes y cuentas especiales).</w:t>
      </w:r>
    </w:p>
    <w:p w14:paraId="32DE12E5" w14:textId="77777777" w:rsidR="000B3FE4" w:rsidRPr="004E74A6" w:rsidRDefault="000B3FE4" w:rsidP="00CE62C1">
      <w:pPr>
        <w:spacing w:line="276" w:lineRule="auto"/>
        <w:rPr>
          <w:bCs/>
          <w:color w:val="000000"/>
          <w:szCs w:val="24"/>
        </w:rPr>
      </w:pPr>
    </w:p>
    <w:p w14:paraId="47E8D26B" w14:textId="04F67B0B" w:rsidR="003507C8" w:rsidRDefault="003507C8" w:rsidP="00CE62C1">
      <w:pPr>
        <w:spacing w:line="276" w:lineRule="auto"/>
        <w:rPr>
          <w:bCs/>
          <w:color w:val="000000"/>
          <w:szCs w:val="24"/>
        </w:rPr>
      </w:pPr>
      <w:r w:rsidRPr="004E74A6">
        <w:rPr>
          <w:bCs/>
          <w:color w:val="000000"/>
          <w:szCs w:val="24"/>
        </w:rPr>
        <w:t xml:space="preserve">Para obtener el costo que representa una casación para Sala Primera, debe analizarse primeramente aquellos asuntos que se terminaron de manera anual en la Sala, ya que representan lo “producido” durante ese periodo de tiempo de ahí es posible </w:t>
      </w:r>
      <w:r w:rsidRPr="004E74A6">
        <w:rPr>
          <w:bCs/>
          <w:color w:val="000000"/>
          <w:szCs w:val="24"/>
        </w:rPr>
        <w:lastRenderedPageBreak/>
        <w:t>hacer una relación entre cómo se puede distribuir el costo sobre todo lo que se trabajó.</w:t>
      </w:r>
    </w:p>
    <w:p w14:paraId="4A89C47D" w14:textId="77777777" w:rsidR="000B3FE4" w:rsidRPr="004E74A6" w:rsidRDefault="000B3FE4" w:rsidP="00CE62C1">
      <w:pPr>
        <w:spacing w:line="276" w:lineRule="auto"/>
        <w:rPr>
          <w:bCs/>
          <w:color w:val="000000"/>
          <w:szCs w:val="24"/>
        </w:rPr>
      </w:pPr>
    </w:p>
    <w:p w14:paraId="7EDB09D1" w14:textId="61975D5A" w:rsidR="003507C8" w:rsidRDefault="003507C8" w:rsidP="00CE62C1">
      <w:pPr>
        <w:spacing w:line="276" w:lineRule="auto"/>
        <w:rPr>
          <w:bCs/>
          <w:color w:val="000000"/>
          <w:szCs w:val="24"/>
        </w:rPr>
      </w:pPr>
      <w:r w:rsidRPr="004E74A6">
        <w:rPr>
          <w:bCs/>
          <w:color w:val="000000"/>
          <w:szCs w:val="24"/>
        </w:rPr>
        <w:t xml:space="preserve">En la siguiente tabla se pueden observar los procedimientos que efectuó  la Sala Primera durante el 2020 y 2021 (si bien el costo de la justicia corresponde al 2020, se hace un ejercicio de comparación para observar el comportamiento en el costo de la casación de un año a otro, usando como premisa un costo de justicia anual que se mantiene similar), </w:t>
      </w:r>
      <w:r w:rsidR="007810D5" w:rsidRPr="004E74A6">
        <w:rPr>
          <w:bCs/>
          <w:color w:val="000000"/>
          <w:szCs w:val="24"/>
        </w:rPr>
        <w:t>tanto en valores absolutos así como su respectivo peso porcentual, con la finalidad de determinar a cuánto corresponden las casaciones terminadas en relación con los demás.</w:t>
      </w:r>
    </w:p>
    <w:p w14:paraId="1B9B244C" w14:textId="77777777" w:rsidR="000B3FE4" w:rsidRPr="004E74A6" w:rsidRDefault="000B3FE4" w:rsidP="00CE62C1">
      <w:pPr>
        <w:spacing w:line="276" w:lineRule="auto"/>
        <w:rPr>
          <w:bCs/>
          <w:color w:val="000000"/>
          <w:szCs w:val="24"/>
        </w:rPr>
      </w:pPr>
    </w:p>
    <w:p w14:paraId="2B855B7F" w14:textId="77777777" w:rsidR="00A822FB" w:rsidRDefault="00A822FB" w:rsidP="00A822FB"/>
    <w:p w14:paraId="33617767" w14:textId="77777777" w:rsidR="00A822FB" w:rsidRDefault="00A822FB" w:rsidP="00A822FB"/>
    <w:p w14:paraId="3AA36006" w14:textId="77777777" w:rsidR="00A822FB" w:rsidRDefault="00A822FB" w:rsidP="00A822FB"/>
    <w:p w14:paraId="3F3D2DD0" w14:textId="77777777" w:rsidR="00A822FB" w:rsidRDefault="00A822FB" w:rsidP="00A822FB"/>
    <w:p w14:paraId="644DA74A" w14:textId="77777777" w:rsidR="00A822FB" w:rsidRDefault="00A822FB" w:rsidP="00A822FB"/>
    <w:p w14:paraId="32F98920" w14:textId="77777777" w:rsidR="00A822FB" w:rsidRDefault="00A822FB" w:rsidP="00A822FB"/>
    <w:p w14:paraId="0328EAA9" w14:textId="77777777" w:rsidR="00A822FB" w:rsidRDefault="00A822FB" w:rsidP="00A822FB"/>
    <w:p w14:paraId="62E98301" w14:textId="77777777" w:rsidR="00A822FB" w:rsidRDefault="00A822FB" w:rsidP="00A822FB"/>
    <w:p w14:paraId="29F62AE4" w14:textId="77777777" w:rsidR="00A822FB" w:rsidRDefault="00A822FB" w:rsidP="00A822FB"/>
    <w:p w14:paraId="7802837C" w14:textId="77777777" w:rsidR="00A822FB" w:rsidRDefault="00A822FB" w:rsidP="00A822FB"/>
    <w:p w14:paraId="7546BD0C" w14:textId="77777777" w:rsidR="00A822FB" w:rsidRDefault="00A822FB" w:rsidP="00A822FB"/>
    <w:p w14:paraId="73BB3D06" w14:textId="77777777" w:rsidR="00A822FB" w:rsidRDefault="00A822FB" w:rsidP="00A822FB"/>
    <w:p w14:paraId="1AB7272E" w14:textId="77777777" w:rsidR="00A822FB" w:rsidRDefault="00A822FB" w:rsidP="00A822FB"/>
    <w:p w14:paraId="23F35EC4" w14:textId="77777777" w:rsidR="00A822FB" w:rsidRDefault="00A822FB" w:rsidP="00A822FB"/>
    <w:p w14:paraId="458703FB" w14:textId="77777777" w:rsidR="00A822FB" w:rsidRDefault="00A822FB" w:rsidP="00A822FB"/>
    <w:p w14:paraId="79AD2036" w14:textId="77777777" w:rsidR="00A822FB" w:rsidRDefault="00A822FB" w:rsidP="00A822FB"/>
    <w:p w14:paraId="4E323500" w14:textId="77777777" w:rsidR="00A822FB" w:rsidRDefault="00A822FB" w:rsidP="00A822FB"/>
    <w:p w14:paraId="0DA1C4EC" w14:textId="78DD6493" w:rsidR="00A822FB" w:rsidRDefault="00A822FB" w:rsidP="00A822FB">
      <w:pPr>
        <w:pStyle w:val="Descripcin"/>
        <w:keepNext/>
        <w:spacing w:line="276" w:lineRule="auto"/>
        <w:rPr>
          <w:rFonts w:ascii="Book Antiqua" w:hAnsi="Book Antiqua"/>
          <w:i/>
          <w:iCs/>
          <w:sz w:val="20"/>
          <w:szCs w:val="16"/>
          <w:lang w:val="es-CR"/>
        </w:rPr>
      </w:pPr>
    </w:p>
    <w:p w14:paraId="60685456" w14:textId="77777777" w:rsidR="00A822FB" w:rsidRPr="00A822FB" w:rsidRDefault="00A822FB" w:rsidP="00A822FB"/>
    <w:p w14:paraId="12216A5A" w14:textId="6674104A" w:rsidR="002A6972" w:rsidRPr="00832773" w:rsidRDefault="002A6972" w:rsidP="00832773">
      <w:pPr>
        <w:pStyle w:val="Descripcin"/>
        <w:keepNext/>
        <w:spacing w:line="276" w:lineRule="auto"/>
        <w:jc w:val="center"/>
        <w:rPr>
          <w:i/>
          <w:iCs/>
          <w:sz w:val="20"/>
          <w:szCs w:val="16"/>
          <w:lang w:val="es-CR"/>
        </w:rPr>
      </w:pPr>
      <w:r w:rsidRPr="00832773">
        <w:rPr>
          <w:rFonts w:ascii="Book Antiqua" w:hAnsi="Book Antiqua"/>
          <w:i/>
          <w:iCs/>
          <w:sz w:val="20"/>
          <w:szCs w:val="16"/>
          <w:lang w:val="es-CR"/>
        </w:rPr>
        <w:lastRenderedPageBreak/>
        <w:t xml:space="preserve">Tabla </w:t>
      </w:r>
      <w:r w:rsidRPr="00832773">
        <w:rPr>
          <w:rFonts w:ascii="Book Antiqua" w:hAnsi="Book Antiqua"/>
          <w:i/>
          <w:iCs/>
          <w:sz w:val="20"/>
          <w:szCs w:val="16"/>
          <w:lang w:val="es-CR"/>
        </w:rPr>
        <w:fldChar w:fldCharType="begin"/>
      </w:r>
      <w:r w:rsidRPr="00832773">
        <w:rPr>
          <w:rFonts w:ascii="Book Antiqua" w:hAnsi="Book Antiqua"/>
          <w:i/>
          <w:iCs/>
          <w:sz w:val="20"/>
          <w:szCs w:val="16"/>
          <w:lang w:val="es-CR"/>
        </w:rPr>
        <w:instrText xml:space="preserve"> SEQ Tabla \* ARABIC </w:instrText>
      </w:r>
      <w:r w:rsidRPr="00832773">
        <w:rPr>
          <w:rFonts w:ascii="Book Antiqua" w:hAnsi="Book Antiqua"/>
          <w:i/>
          <w:iCs/>
          <w:sz w:val="20"/>
          <w:szCs w:val="16"/>
          <w:lang w:val="es-CR"/>
        </w:rPr>
        <w:fldChar w:fldCharType="separate"/>
      </w:r>
      <w:r w:rsidR="00374B51">
        <w:rPr>
          <w:rFonts w:ascii="Book Antiqua" w:hAnsi="Book Antiqua"/>
          <w:i/>
          <w:iCs/>
          <w:noProof/>
          <w:sz w:val="20"/>
          <w:szCs w:val="16"/>
          <w:lang w:val="es-CR"/>
        </w:rPr>
        <w:t>57</w:t>
      </w:r>
      <w:r w:rsidRPr="00832773">
        <w:rPr>
          <w:rFonts w:ascii="Book Antiqua" w:hAnsi="Book Antiqua"/>
          <w:i/>
          <w:iCs/>
          <w:sz w:val="20"/>
          <w:szCs w:val="16"/>
          <w:lang w:val="es-CR"/>
        </w:rPr>
        <w:fldChar w:fldCharType="end"/>
      </w:r>
      <w:r w:rsidRPr="00832773">
        <w:rPr>
          <w:rFonts w:ascii="Book Antiqua" w:hAnsi="Book Antiqua"/>
          <w:i/>
          <w:iCs/>
          <w:sz w:val="20"/>
          <w:szCs w:val="16"/>
          <w:lang w:val="es-CR"/>
        </w:rPr>
        <w:t xml:space="preserve"> Cantidad de casos según el tipo de procedimiento en la sala primera, durante el año 2020 y 2021</w:t>
      </w:r>
    </w:p>
    <w:tbl>
      <w:tblPr>
        <w:tblW w:w="8833" w:type="dxa"/>
        <w:jc w:val="center"/>
        <w:tblCellMar>
          <w:left w:w="70" w:type="dxa"/>
          <w:right w:w="70" w:type="dxa"/>
        </w:tblCellMar>
        <w:tblLook w:val="04A0" w:firstRow="1" w:lastRow="0" w:firstColumn="1" w:lastColumn="0" w:noHBand="0" w:noVBand="1"/>
      </w:tblPr>
      <w:tblGrid>
        <w:gridCol w:w="2758"/>
        <w:gridCol w:w="1640"/>
        <w:gridCol w:w="1475"/>
        <w:gridCol w:w="1640"/>
        <w:gridCol w:w="1320"/>
      </w:tblGrid>
      <w:tr w:rsidR="009B35F5" w:rsidRPr="004E74A6" w14:paraId="6899CF3D" w14:textId="77777777" w:rsidTr="00EB102E">
        <w:trPr>
          <w:trHeight w:val="600"/>
          <w:tblHeader/>
          <w:jc w:val="center"/>
        </w:trPr>
        <w:tc>
          <w:tcPr>
            <w:tcW w:w="2758" w:type="dxa"/>
            <w:vMerge w:val="restart"/>
            <w:tcBorders>
              <w:top w:val="single" w:sz="4" w:space="0" w:color="auto"/>
              <w:left w:val="nil"/>
              <w:bottom w:val="single" w:sz="4" w:space="0" w:color="auto"/>
              <w:right w:val="single" w:sz="4" w:space="0" w:color="auto"/>
            </w:tcBorders>
            <w:shd w:val="clear" w:color="auto" w:fill="auto"/>
            <w:noWrap/>
            <w:vAlign w:val="center"/>
            <w:hideMark/>
          </w:tcPr>
          <w:p w14:paraId="57FD0A66" w14:textId="77777777" w:rsidR="009B35F5" w:rsidRPr="004E74A6" w:rsidRDefault="009B35F5" w:rsidP="00832773">
            <w:pPr>
              <w:spacing w:line="276" w:lineRule="auto"/>
              <w:jc w:val="center"/>
              <w:rPr>
                <w:rFonts w:cs="Calibri"/>
                <w:color w:val="000000"/>
                <w:sz w:val="22"/>
                <w:szCs w:val="22"/>
                <w:lang w:eastAsia="es-CR"/>
              </w:rPr>
            </w:pPr>
            <w:r w:rsidRPr="004E74A6">
              <w:rPr>
                <w:rFonts w:cs="Calibri"/>
                <w:color w:val="000000"/>
                <w:sz w:val="22"/>
                <w:szCs w:val="22"/>
                <w:lang w:eastAsia="es-CR"/>
              </w:rPr>
              <w:t>Tipo de procedimiento</w:t>
            </w:r>
          </w:p>
        </w:tc>
        <w:tc>
          <w:tcPr>
            <w:tcW w:w="3115" w:type="dxa"/>
            <w:gridSpan w:val="2"/>
            <w:tcBorders>
              <w:top w:val="single" w:sz="4" w:space="0" w:color="auto"/>
              <w:left w:val="nil"/>
              <w:bottom w:val="single" w:sz="4" w:space="0" w:color="auto"/>
              <w:right w:val="single" w:sz="4" w:space="0" w:color="auto"/>
            </w:tcBorders>
            <w:shd w:val="clear" w:color="auto" w:fill="auto"/>
            <w:noWrap/>
            <w:vAlign w:val="center"/>
            <w:hideMark/>
          </w:tcPr>
          <w:p w14:paraId="2184CEC9" w14:textId="77777777" w:rsidR="009B35F5" w:rsidRPr="004E74A6" w:rsidRDefault="009B35F5" w:rsidP="00832773">
            <w:pPr>
              <w:spacing w:line="276" w:lineRule="auto"/>
              <w:jc w:val="center"/>
              <w:rPr>
                <w:rFonts w:cs="Calibri"/>
                <w:color w:val="000000"/>
                <w:sz w:val="22"/>
                <w:szCs w:val="22"/>
                <w:lang w:eastAsia="es-CR"/>
              </w:rPr>
            </w:pPr>
            <w:r w:rsidRPr="004E74A6">
              <w:rPr>
                <w:rFonts w:cs="Calibri"/>
                <w:color w:val="000000"/>
                <w:sz w:val="22"/>
                <w:szCs w:val="22"/>
                <w:lang w:eastAsia="es-CR"/>
              </w:rPr>
              <w:t>2020</w:t>
            </w:r>
          </w:p>
        </w:tc>
        <w:tc>
          <w:tcPr>
            <w:tcW w:w="2960" w:type="dxa"/>
            <w:gridSpan w:val="2"/>
            <w:tcBorders>
              <w:top w:val="single" w:sz="4" w:space="0" w:color="auto"/>
              <w:left w:val="nil"/>
              <w:bottom w:val="single" w:sz="4" w:space="0" w:color="auto"/>
            </w:tcBorders>
            <w:shd w:val="clear" w:color="auto" w:fill="auto"/>
            <w:noWrap/>
            <w:vAlign w:val="center"/>
            <w:hideMark/>
          </w:tcPr>
          <w:p w14:paraId="7EFDC5CA" w14:textId="77777777" w:rsidR="009B35F5" w:rsidRPr="004E74A6" w:rsidRDefault="009B35F5" w:rsidP="00832773">
            <w:pPr>
              <w:spacing w:line="276" w:lineRule="auto"/>
              <w:jc w:val="center"/>
              <w:rPr>
                <w:rFonts w:cs="Calibri"/>
                <w:color w:val="000000"/>
                <w:sz w:val="22"/>
                <w:szCs w:val="22"/>
                <w:lang w:eastAsia="es-CR"/>
              </w:rPr>
            </w:pPr>
            <w:r w:rsidRPr="004E74A6">
              <w:rPr>
                <w:rFonts w:cs="Calibri"/>
                <w:color w:val="000000"/>
                <w:sz w:val="22"/>
                <w:szCs w:val="22"/>
                <w:lang w:eastAsia="es-CR"/>
              </w:rPr>
              <w:t>2021</w:t>
            </w:r>
          </w:p>
        </w:tc>
      </w:tr>
      <w:tr w:rsidR="009B35F5" w:rsidRPr="004E74A6" w14:paraId="0F9590AB" w14:textId="77777777" w:rsidTr="00EB102E">
        <w:trPr>
          <w:trHeight w:val="744"/>
          <w:tblHeader/>
          <w:jc w:val="center"/>
        </w:trPr>
        <w:tc>
          <w:tcPr>
            <w:tcW w:w="2758" w:type="dxa"/>
            <w:vMerge/>
            <w:tcBorders>
              <w:top w:val="single" w:sz="4" w:space="0" w:color="auto"/>
              <w:left w:val="nil"/>
              <w:bottom w:val="single" w:sz="4" w:space="0" w:color="auto"/>
              <w:right w:val="single" w:sz="4" w:space="0" w:color="auto"/>
            </w:tcBorders>
            <w:vAlign w:val="center"/>
            <w:hideMark/>
          </w:tcPr>
          <w:p w14:paraId="6FB056E9" w14:textId="77777777" w:rsidR="009B35F5" w:rsidRPr="004E74A6" w:rsidRDefault="009B35F5" w:rsidP="00832773">
            <w:pPr>
              <w:spacing w:line="276" w:lineRule="auto"/>
              <w:jc w:val="left"/>
              <w:rPr>
                <w:rFonts w:cs="Calibri"/>
                <w:color w:val="000000"/>
                <w:sz w:val="22"/>
                <w:szCs w:val="22"/>
                <w:lang w:eastAsia="es-CR"/>
              </w:rPr>
            </w:pPr>
          </w:p>
        </w:tc>
        <w:tc>
          <w:tcPr>
            <w:tcW w:w="1640" w:type="dxa"/>
            <w:tcBorders>
              <w:top w:val="nil"/>
              <w:left w:val="nil"/>
              <w:bottom w:val="single" w:sz="4" w:space="0" w:color="auto"/>
              <w:right w:val="single" w:sz="4" w:space="0" w:color="auto"/>
            </w:tcBorders>
            <w:shd w:val="clear" w:color="auto" w:fill="auto"/>
            <w:noWrap/>
            <w:vAlign w:val="center"/>
            <w:hideMark/>
          </w:tcPr>
          <w:p w14:paraId="5B031D3B" w14:textId="5D09ACD9" w:rsidR="009B35F5" w:rsidRPr="004E74A6" w:rsidRDefault="00F97463" w:rsidP="00832773">
            <w:pPr>
              <w:spacing w:line="276" w:lineRule="auto"/>
              <w:jc w:val="center"/>
              <w:rPr>
                <w:rFonts w:cs="Calibri"/>
                <w:color w:val="000000"/>
                <w:sz w:val="22"/>
                <w:szCs w:val="22"/>
                <w:lang w:eastAsia="es-CR"/>
              </w:rPr>
            </w:pPr>
            <w:r w:rsidRPr="004E74A6">
              <w:rPr>
                <w:rFonts w:cs="Calibri"/>
                <w:color w:val="000000"/>
                <w:sz w:val="22"/>
                <w:szCs w:val="22"/>
                <w:lang w:eastAsia="es-CR"/>
              </w:rPr>
              <w:t>A</w:t>
            </w:r>
            <w:r w:rsidR="009B35F5" w:rsidRPr="004E74A6">
              <w:rPr>
                <w:rFonts w:cs="Calibri"/>
                <w:color w:val="000000"/>
                <w:sz w:val="22"/>
                <w:szCs w:val="22"/>
                <w:lang w:eastAsia="es-CR"/>
              </w:rPr>
              <w:t>bsoluto</w:t>
            </w:r>
          </w:p>
        </w:tc>
        <w:tc>
          <w:tcPr>
            <w:tcW w:w="1475" w:type="dxa"/>
            <w:tcBorders>
              <w:top w:val="nil"/>
              <w:left w:val="nil"/>
              <w:bottom w:val="single" w:sz="4" w:space="0" w:color="auto"/>
              <w:right w:val="single" w:sz="4" w:space="0" w:color="auto"/>
            </w:tcBorders>
            <w:shd w:val="clear" w:color="auto" w:fill="auto"/>
            <w:noWrap/>
            <w:vAlign w:val="center"/>
            <w:hideMark/>
          </w:tcPr>
          <w:p w14:paraId="2185528D" w14:textId="5738E3E3" w:rsidR="009B35F5" w:rsidRPr="004E74A6" w:rsidRDefault="00F97463" w:rsidP="00832773">
            <w:pPr>
              <w:spacing w:line="276" w:lineRule="auto"/>
              <w:jc w:val="center"/>
              <w:rPr>
                <w:rFonts w:cs="Calibri"/>
                <w:color w:val="000000"/>
                <w:sz w:val="22"/>
                <w:szCs w:val="22"/>
                <w:lang w:eastAsia="es-CR"/>
              </w:rPr>
            </w:pPr>
            <w:r w:rsidRPr="004E74A6">
              <w:rPr>
                <w:rFonts w:cs="Calibri"/>
                <w:color w:val="000000"/>
                <w:sz w:val="22"/>
                <w:szCs w:val="22"/>
                <w:lang w:eastAsia="es-CR"/>
              </w:rPr>
              <w:t>R</w:t>
            </w:r>
            <w:r w:rsidR="009B35F5" w:rsidRPr="004E74A6">
              <w:rPr>
                <w:rFonts w:cs="Calibri"/>
                <w:color w:val="000000"/>
                <w:sz w:val="22"/>
                <w:szCs w:val="22"/>
                <w:lang w:eastAsia="es-CR"/>
              </w:rPr>
              <w:t>elativo</w:t>
            </w:r>
          </w:p>
        </w:tc>
        <w:tc>
          <w:tcPr>
            <w:tcW w:w="1640" w:type="dxa"/>
            <w:tcBorders>
              <w:top w:val="nil"/>
              <w:left w:val="nil"/>
              <w:bottom w:val="single" w:sz="4" w:space="0" w:color="auto"/>
              <w:right w:val="single" w:sz="4" w:space="0" w:color="auto"/>
            </w:tcBorders>
            <w:shd w:val="clear" w:color="auto" w:fill="auto"/>
            <w:noWrap/>
            <w:vAlign w:val="center"/>
            <w:hideMark/>
          </w:tcPr>
          <w:p w14:paraId="12BCB734" w14:textId="3C8B5A40" w:rsidR="009B35F5" w:rsidRPr="004E74A6" w:rsidRDefault="00F97463" w:rsidP="00832773">
            <w:pPr>
              <w:spacing w:line="276" w:lineRule="auto"/>
              <w:jc w:val="center"/>
              <w:rPr>
                <w:rFonts w:cs="Calibri"/>
                <w:color w:val="000000"/>
                <w:sz w:val="22"/>
                <w:szCs w:val="22"/>
                <w:lang w:eastAsia="es-CR"/>
              </w:rPr>
            </w:pPr>
            <w:r w:rsidRPr="004E74A6">
              <w:rPr>
                <w:rFonts w:cs="Calibri"/>
                <w:color w:val="000000"/>
                <w:sz w:val="22"/>
                <w:szCs w:val="22"/>
                <w:lang w:eastAsia="es-CR"/>
              </w:rPr>
              <w:t>A</w:t>
            </w:r>
            <w:r w:rsidR="009B35F5" w:rsidRPr="004E74A6">
              <w:rPr>
                <w:rFonts w:cs="Calibri"/>
                <w:color w:val="000000"/>
                <w:sz w:val="22"/>
                <w:szCs w:val="22"/>
                <w:lang w:eastAsia="es-CR"/>
              </w:rPr>
              <w:t>bsoluto</w:t>
            </w:r>
          </w:p>
        </w:tc>
        <w:tc>
          <w:tcPr>
            <w:tcW w:w="1320" w:type="dxa"/>
            <w:tcBorders>
              <w:top w:val="nil"/>
              <w:left w:val="nil"/>
              <w:bottom w:val="single" w:sz="4" w:space="0" w:color="auto"/>
              <w:right w:val="nil"/>
            </w:tcBorders>
            <w:shd w:val="clear" w:color="auto" w:fill="auto"/>
            <w:noWrap/>
            <w:vAlign w:val="center"/>
            <w:hideMark/>
          </w:tcPr>
          <w:p w14:paraId="6CCD0068" w14:textId="49121A79" w:rsidR="009B35F5" w:rsidRPr="004E74A6" w:rsidRDefault="00F97463" w:rsidP="00832773">
            <w:pPr>
              <w:spacing w:line="276" w:lineRule="auto"/>
              <w:jc w:val="center"/>
              <w:rPr>
                <w:rFonts w:cs="Calibri"/>
                <w:color w:val="000000"/>
                <w:sz w:val="22"/>
                <w:szCs w:val="22"/>
                <w:lang w:eastAsia="es-CR"/>
              </w:rPr>
            </w:pPr>
            <w:r w:rsidRPr="004E74A6">
              <w:rPr>
                <w:rFonts w:cs="Calibri"/>
                <w:color w:val="000000"/>
                <w:sz w:val="22"/>
                <w:szCs w:val="22"/>
                <w:lang w:eastAsia="es-CR"/>
              </w:rPr>
              <w:t>R</w:t>
            </w:r>
            <w:r w:rsidR="009B35F5" w:rsidRPr="004E74A6">
              <w:rPr>
                <w:rFonts w:cs="Calibri"/>
                <w:color w:val="000000"/>
                <w:sz w:val="22"/>
                <w:szCs w:val="22"/>
                <w:lang w:eastAsia="es-CR"/>
              </w:rPr>
              <w:t>elativo</w:t>
            </w:r>
          </w:p>
        </w:tc>
      </w:tr>
      <w:tr w:rsidR="009B35F5" w:rsidRPr="004E74A6" w14:paraId="5B0EC34B" w14:textId="77777777" w:rsidTr="00EB102E">
        <w:trPr>
          <w:trHeight w:val="348"/>
          <w:tblHeader/>
          <w:jc w:val="center"/>
        </w:trPr>
        <w:tc>
          <w:tcPr>
            <w:tcW w:w="2758" w:type="dxa"/>
            <w:tcBorders>
              <w:top w:val="nil"/>
              <w:left w:val="nil"/>
              <w:bottom w:val="nil"/>
              <w:right w:val="single" w:sz="4" w:space="0" w:color="auto"/>
            </w:tcBorders>
            <w:shd w:val="clear" w:color="auto" w:fill="auto"/>
            <w:noWrap/>
            <w:vAlign w:val="center"/>
            <w:hideMark/>
          </w:tcPr>
          <w:p w14:paraId="77DB9F66" w14:textId="77777777" w:rsidR="009B35F5" w:rsidRPr="004E74A6" w:rsidRDefault="009B35F5" w:rsidP="00832773">
            <w:pPr>
              <w:spacing w:line="276" w:lineRule="auto"/>
              <w:jc w:val="center"/>
              <w:rPr>
                <w:rFonts w:cs="Calibri"/>
                <w:color w:val="000000"/>
                <w:sz w:val="22"/>
                <w:szCs w:val="22"/>
                <w:lang w:eastAsia="es-CR"/>
              </w:rPr>
            </w:pPr>
            <w:r w:rsidRPr="004E74A6">
              <w:rPr>
                <w:rFonts w:cs="Calibri"/>
                <w:color w:val="000000"/>
                <w:sz w:val="22"/>
                <w:szCs w:val="22"/>
                <w:lang w:eastAsia="es-CR"/>
              </w:rPr>
              <w:t> </w:t>
            </w:r>
          </w:p>
        </w:tc>
        <w:tc>
          <w:tcPr>
            <w:tcW w:w="1640" w:type="dxa"/>
            <w:tcBorders>
              <w:top w:val="nil"/>
              <w:left w:val="nil"/>
              <w:bottom w:val="nil"/>
              <w:right w:val="single" w:sz="4" w:space="0" w:color="auto"/>
            </w:tcBorders>
            <w:shd w:val="clear" w:color="auto" w:fill="auto"/>
            <w:noWrap/>
            <w:vAlign w:val="center"/>
            <w:hideMark/>
          </w:tcPr>
          <w:p w14:paraId="3F7EFD7F" w14:textId="77777777" w:rsidR="009B35F5" w:rsidRPr="004E74A6" w:rsidRDefault="009B35F5" w:rsidP="00832773">
            <w:pPr>
              <w:spacing w:line="276" w:lineRule="auto"/>
              <w:jc w:val="center"/>
              <w:rPr>
                <w:rFonts w:cs="Calibri"/>
                <w:color w:val="000000"/>
                <w:sz w:val="22"/>
                <w:szCs w:val="22"/>
                <w:lang w:eastAsia="es-CR"/>
              </w:rPr>
            </w:pPr>
            <w:r w:rsidRPr="004E74A6">
              <w:rPr>
                <w:rFonts w:cs="Calibri"/>
                <w:color w:val="000000"/>
                <w:sz w:val="22"/>
                <w:szCs w:val="22"/>
                <w:lang w:eastAsia="es-CR"/>
              </w:rPr>
              <w:t> </w:t>
            </w:r>
          </w:p>
        </w:tc>
        <w:tc>
          <w:tcPr>
            <w:tcW w:w="1475" w:type="dxa"/>
            <w:tcBorders>
              <w:top w:val="nil"/>
              <w:left w:val="nil"/>
              <w:bottom w:val="nil"/>
              <w:right w:val="single" w:sz="4" w:space="0" w:color="auto"/>
            </w:tcBorders>
            <w:shd w:val="clear" w:color="auto" w:fill="auto"/>
            <w:noWrap/>
            <w:vAlign w:val="center"/>
            <w:hideMark/>
          </w:tcPr>
          <w:p w14:paraId="05CFCB48" w14:textId="77777777" w:rsidR="009B35F5" w:rsidRPr="004E74A6" w:rsidRDefault="009B35F5" w:rsidP="00832773">
            <w:pPr>
              <w:spacing w:line="276" w:lineRule="auto"/>
              <w:jc w:val="center"/>
              <w:rPr>
                <w:rFonts w:cs="Calibri"/>
                <w:color w:val="000000"/>
                <w:sz w:val="22"/>
                <w:szCs w:val="22"/>
                <w:lang w:eastAsia="es-CR"/>
              </w:rPr>
            </w:pPr>
            <w:r w:rsidRPr="004E74A6">
              <w:rPr>
                <w:rFonts w:cs="Calibri"/>
                <w:color w:val="000000"/>
                <w:sz w:val="22"/>
                <w:szCs w:val="22"/>
                <w:lang w:eastAsia="es-CR"/>
              </w:rPr>
              <w:t> </w:t>
            </w:r>
          </w:p>
        </w:tc>
        <w:tc>
          <w:tcPr>
            <w:tcW w:w="1640" w:type="dxa"/>
            <w:tcBorders>
              <w:top w:val="nil"/>
              <w:left w:val="nil"/>
              <w:bottom w:val="nil"/>
              <w:right w:val="single" w:sz="4" w:space="0" w:color="auto"/>
            </w:tcBorders>
            <w:shd w:val="clear" w:color="auto" w:fill="auto"/>
            <w:noWrap/>
            <w:vAlign w:val="center"/>
            <w:hideMark/>
          </w:tcPr>
          <w:p w14:paraId="0FB629FA" w14:textId="77777777" w:rsidR="009B35F5" w:rsidRPr="004E74A6" w:rsidRDefault="009B35F5" w:rsidP="00832773">
            <w:pPr>
              <w:spacing w:line="276" w:lineRule="auto"/>
              <w:jc w:val="center"/>
              <w:rPr>
                <w:rFonts w:cs="Calibri"/>
                <w:color w:val="000000"/>
                <w:sz w:val="22"/>
                <w:szCs w:val="22"/>
                <w:lang w:eastAsia="es-CR"/>
              </w:rPr>
            </w:pPr>
            <w:r w:rsidRPr="004E74A6">
              <w:rPr>
                <w:rFonts w:cs="Calibri"/>
                <w:color w:val="000000"/>
                <w:sz w:val="22"/>
                <w:szCs w:val="22"/>
                <w:lang w:eastAsia="es-CR"/>
              </w:rPr>
              <w:t> </w:t>
            </w:r>
          </w:p>
        </w:tc>
        <w:tc>
          <w:tcPr>
            <w:tcW w:w="1320" w:type="dxa"/>
            <w:tcBorders>
              <w:top w:val="nil"/>
              <w:left w:val="nil"/>
              <w:bottom w:val="nil"/>
              <w:right w:val="nil"/>
            </w:tcBorders>
            <w:shd w:val="clear" w:color="auto" w:fill="auto"/>
            <w:noWrap/>
            <w:vAlign w:val="center"/>
            <w:hideMark/>
          </w:tcPr>
          <w:p w14:paraId="5A7524B9" w14:textId="77777777" w:rsidR="009B35F5" w:rsidRPr="004E74A6" w:rsidRDefault="009B35F5" w:rsidP="00832773">
            <w:pPr>
              <w:spacing w:line="276" w:lineRule="auto"/>
              <w:jc w:val="center"/>
              <w:rPr>
                <w:rFonts w:cs="Calibri"/>
                <w:color w:val="000000"/>
                <w:sz w:val="22"/>
                <w:szCs w:val="22"/>
                <w:lang w:eastAsia="es-CR"/>
              </w:rPr>
            </w:pPr>
            <w:r w:rsidRPr="004E74A6">
              <w:rPr>
                <w:rFonts w:cs="Calibri"/>
                <w:color w:val="000000"/>
                <w:sz w:val="22"/>
                <w:szCs w:val="22"/>
                <w:lang w:eastAsia="es-CR"/>
              </w:rPr>
              <w:t> </w:t>
            </w:r>
          </w:p>
        </w:tc>
      </w:tr>
      <w:tr w:rsidR="009B35F5" w:rsidRPr="004E74A6" w14:paraId="12C612A7" w14:textId="77777777" w:rsidTr="00EB102E">
        <w:trPr>
          <w:trHeight w:val="348"/>
          <w:tblHeader/>
          <w:jc w:val="center"/>
        </w:trPr>
        <w:tc>
          <w:tcPr>
            <w:tcW w:w="2758" w:type="dxa"/>
            <w:tcBorders>
              <w:top w:val="nil"/>
              <w:left w:val="nil"/>
              <w:bottom w:val="nil"/>
              <w:right w:val="single" w:sz="4" w:space="0" w:color="auto"/>
            </w:tcBorders>
            <w:shd w:val="clear" w:color="auto" w:fill="auto"/>
            <w:noWrap/>
            <w:vAlign w:val="center"/>
            <w:hideMark/>
          </w:tcPr>
          <w:p w14:paraId="6066F846" w14:textId="77777777" w:rsidR="009B35F5" w:rsidRPr="004E74A6" w:rsidRDefault="009B35F5" w:rsidP="00832773">
            <w:pPr>
              <w:spacing w:line="276" w:lineRule="auto"/>
              <w:jc w:val="center"/>
              <w:rPr>
                <w:rFonts w:cs="Calibri"/>
                <w:color w:val="000000"/>
                <w:sz w:val="22"/>
                <w:szCs w:val="22"/>
                <w:lang w:eastAsia="es-CR"/>
              </w:rPr>
            </w:pPr>
            <w:r w:rsidRPr="004E74A6">
              <w:rPr>
                <w:rFonts w:cs="Calibri"/>
                <w:color w:val="000000"/>
                <w:sz w:val="22"/>
                <w:szCs w:val="22"/>
                <w:lang w:eastAsia="es-CR"/>
              </w:rPr>
              <w:t>Total general</w:t>
            </w:r>
          </w:p>
        </w:tc>
        <w:tc>
          <w:tcPr>
            <w:tcW w:w="1640" w:type="dxa"/>
            <w:tcBorders>
              <w:top w:val="nil"/>
              <w:left w:val="nil"/>
              <w:bottom w:val="nil"/>
              <w:right w:val="single" w:sz="4" w:space="0" w:color="auto"/>
            </w:tcBorders>
            <w:shd w:val="clear" w:color="auto" w:fill="auto"/>
            <w:noWrap/>
            <w:vAlign w:val="center"/>
            <w:hideMark/>
          </w:tcPr>
          <w:p w14:paraId="694F8213" w14:textId="77777777" w:rsidR="009B35F5" w:rsidRPr="004E74A6" w:rsidRDefault="009B35F5" w:rsidP="00832773">
            <w:pPr>
              <w:spacing w:line="276" w:lineRule="auto"/>
              <w:jc w:val="center"/>
              <w:rPr>
                <w:rFonts w:cs="Calibri"/>
                <w:color w:val="000000"/>
                <w:sz w:val="22"/>
                <w:szCs w:val="22"/>
                <w:lang w:eastAsia="es-CR"/>
              </w:rPr>
            </w:pPr>
            <w:r w:rsidRPr="004E74A6">
              <w:rPr>
                <w:rFonts w:cs="Calibri"/>
                <w:color w:val="000000"/>
                <w:sz w:val="22"/>
                <w:szCs w:val="22"/>
                <w:lang w:eastAsia="es-CR"/>
              </w:rPr>
              <w:t>2878</w:t>
            </w:r>
          </w:p>
        </w:tc>
        <w:tc>
          <w:tcPr>
            <w:tcW w:w="1475" w:type="dxa"/>
            <w:tcBorders>
              <w:top w:val="nil"/>
              <w:left w:val="nil"/>
              <w:bottom w:val="nil"/>
              <w:right w:val="single" w:sz="4" w:space="0" w:color="auto"/>
            </w:tcBorders>
            <w:shd w:val="clear" w:color="auto" w:fill="auto"/>
            <w:noWrap/>
            <w:vAlign w:val="center"/>
            <w:hideMark/>
          </w:tcPr>
          <w:p w14:paraId="2A3DFB47" w14:textId="77777777" w:rsidR="009B35F5" w:rsidRPr="004E74A6" w:rsidRDefault="009B35F5" w:rsidP="00832773">
            <w:pPr>
              <w:spacing w:line="276" w:lineRule="auto"/>
              <w:jc w:val="center"/>
              <w:rPr>
                <w:rFonts w:cs="Calibri"/>
                <w:color w:val="000000"/>
                <w:sz w:val="22"/>
                <w:szCs w:val="22"/>
                <w:lang w:eastAsia="es-CR"/>
              </w:rPr>
            </w:pPr>
            <w:r w:rsidRPr="004E74A6">
              <w:rPr>
                <w:rFonts w:cs="Calibri"/>
                <w:color w:val="000000"/>
                <w:sz w:val="22"/>
                <w:szCs w:val="22"/>
                <w:lang w:eastAsia="es-CR"/>
              </w:rPr>
              <w:t>100%</w:t>
            </w:r>
          </w:p>
        </w:tc>
        <w:tc>
          <w:tcPr>
            <w:tcW w:w="1640" w:type="dxa"/>
            <w:tcBorders>
              <w:top w:val="nil"/>
              <w:left w:val="nil"/>
              <w:bottom w:val="nil"/>
              <w:right w:val="single" w:sz="4" w:space="0" w:color="auto"/>
            </w:tcBorders>
            <w:shd w:val="clear" w:color="auto" w:fill="auto"/>
            <w:noWrap/>
            <w:vAlign w:val="center"/>
            <w:hideMark/>
          </w:tcPr>
          <w:p w14:paraId="26DDAD9C" w14:textId="77777777" w:rsidR="009B35F5" w:rsidRPr="004E74A6" w:rsidRDefault="009B35F5" w:rsidP="00832773">
            <w:pPr>
              <w:spacing w:line="276" w:lineRule="auto"/>
              <w:jc w:val="center"/>
              <w:rPr>
                <w:rFonts w:cs="Calibri"/>
                <w:color w:val="000000"/>
                <w:sz w:val="22"/>
                <w:szCs w:val="22"/>
                <w:lang w:eastAsia="es-CR"/>
              </w:rPr>
            </w:pPr>
            <w:r w:rsidRPr="004E74A6">
              <w:rPr>
                <w:rFonts w:cs="Calibri"/>
                <w:color w:val="000000"/>
                <w:sz w:val="22"/>
                <w:szCs w:val="22"/>
                <w:lang w:eastAsia="es-CR"/>
              </w:rPr>
              <w:t>1969</w:t>
            </w:r>
          </w:p>
        </w:tc>
        <w:tc>
          <w:tcPr>
            <w:tcW w:w="1320" w:type="dxa"/>
            <w:tcBorders>
              <w:top w:val="nil"/>
              <w:left w:val="nil"/>
              <w:bottom w:val="nil"/>
              <w:right w:val="nil"/>
            </w:tcBorders>
            <w:shd w:val="clear" w:color="auto" w:fill="auto"/>
            <w:noWrap/>
            <w:vAlign w:val="center"/>
            <w:hideMark/>
          </w:tcPr>
          <w:p w14:paraId="2159F2D8" w14:textId="77777777" w:rsidR="009B35F5" w:rsidRPr="004E74A6" w:rsidRDefault="009B35F5" w:rsidP="00832773">
            <w:pPr>
              <w:spacing w:line="276" w:lineRule="auto"/>
              <w:jc w:val="center"/>
              <w:rPr>
                <w:rFonts w:cs="Calibri"/>
                <w:color w:val="000000"/>
                <w:sz w:val="22"/>
                <w:szCs w:val="22"/>
                <w:lang w:eastAsia="es-CR"/>
              </w:rPr>
            </w:pPr>
            <w:r w:rsidRPr="004E74A6">
              <w:rPr>
                <w:rFonts w:cs="Calibri"/>
                <w:color w:val="000000"/>
                <w:sz w:val="22"/>
                <w:szCs w:val="22"/>
                <w:lang w:eastAsia="es-CR"/>
              </w:rPr>
              <w:t>100%</w:t>
            </w:r>
          </w:p>
        </w:tc>
      </w:tr>
      <w:tr w:rsidR="009B35F5" w:rsidRPr="004E74A6" w14:paraId="366D1B92" w14:textId="77777777" w:rsidTr="00EB102E">
        <w:trPr>
          <w:trHeight w:val="348"/>
          <w:tblHeader/>
          <w:jc w:val="center"/>
        </w:trPr>
        <w:tc>
          <w:tcPr>
            <w:tcW w:w="2758" w:type="dxa"/>
            <w:tcBorders>
              <w:top w:val="nil"/>
              <w:left w:val="nil"/>
              <w:bottom w:val="nil"/>
              <w:right w:val="single" w:sz="4" w:space="0" w:color="auto"/>
            </w:tcBorders>
            <w:shd w:val="clear" w:color="auto" w:fill="auto"/>
            <w:noWrap/>
            <w:vAlign w:val="center"/>
            <w:hideMark/>
          </w:tcPr>
          <w:p w14:paraId="53C63D66" w14:textId="77777777" w:rsidR="009B35F5" w:rsidRPr="004E74A6" w:rsidRDefault="009B35F5" w:rsidP="00832773">
            <w:pPr>
              <w:spacing w:line="276" w:lineRule="auto"/>
              <w:jc w:val="center"/>
              <w:rPr>
                <w:rFonts w:cs="Calibri"/>
                <w:color w:val="000000"/>
                <w:sz w:val="22"/>
                <w:szCs w:val="22"/>
                <w:lang w:eastAsia="es-CR"/>
              </w:rPr>
            </w:pPr>
            <w:r w:rsidRPr="004E74A6">
              <w:rPr>
                <w:rFonts w:cs="Calibri"/>
                <w:color w:val="000000"/>
                <w:sz w:val="22"/>
                <w:szCs w:val="22"/>
                <w:lang w:eastAsia="es-CR"/>
              </w:rPr>
              <w:t> </w:t>
            </w:r>
          </w:p>
        </w:tc>
        <w:tc>
          <w:tcPr>
            <w:tcW w:w="1640" w:type="dxa"/>
            <w:tcBorders>
              <w:top w:val="nil"/>
              <w:left w:val="nil"/>
              <w:bottom w:val="nil"/>
              <w:right w:val="single" w:sz="4" w:space="0" w:color="auto"/>
            </w:tcBorders>
            <w:shd w:val="clear" w:color="auto" w:fill="auto"/>
            <w:noWrap/>
            <w:vAlign w:val="center"/>
            <w:hideMark/>
          </w:tcPr>
          <w:p w14:paraId="772E5CC0" w14:textId="77777777" w:rsidR="009B35F5" w:rsidRPr="004E74A6" w:rsidRDefault="009B35F5" w:rsidP="00832773">
            <w:pPr>
              <w:spacing w:line="276" w:lineRule="auto"/>
              <w:jc w:val="center"/>
              <w:rPr>
                <w:rFonts w:cs="Calibri"/>
                <w:color w:val="000000"/>
                <w:sz w:val="22"/>
                <w:szCs w:val="22"/>
                <w:lang w:eastAsia="es-CR"/>
              </w:rPr>
            </w:pPr>
            <w:r w:rsidRPr="004E74A6">
              <w:rPr>
                <w:rFonts w:cs="Calibri"/>
                <w:color w:val="000000"/>
                <w:sz w:val="22"/>
                <w:szCs w:val="22"/>
                <w:lang w:eastAsia="es-CR"/>
              </w:rPr>
              <w:t> </w:t>
            </w:r>
          </w:p>
        </w:tc>
        <w:tc>
          <w:tcPr>
            <w:tcW w:w="1475" w:type="dxa"/>
            <w:tcBorders>
              <w:top w:val="nil"/>
              <w:left w:val="nil"/>
              <w:bottom w:val="nil"/>
              <w:right w:val="single" w:sz="4" w:space="0" w:color="auto"/>
            </w:tcBorders>
            <w:shd w:val="clear" w:color="auto" w:fill="auto"/>
            <w:noWrap/>
            <w:vAlign w:val="center"/>
            <w:hideMark/>
          </w:tcPr>
          <w:p w14:paraId="48A924C4" w14:textId="77777777" w:rsidR="009B35F5" w:rsidRPr="004E74A6" w:rsidRDefault="009B35F5" w:rsidP="00832773">
            <w:pPr>
              <w:spacing w:line="276" w:lineRule="auto"/>
              <w:jc w:val="center"/>
              <w:rPr>
                <w:rFonts w:cs="Calibri"/>
                <w:color w:val="000000"/>
                <w:sz w:val="22"/>
                <w:szCs w:val="22"/>
                <w:lang w:eastAsia="es-CR"/>
              </w:rPr>
            </w:pPr>
            <w:r w:rsidRPr="004E74A6">
              <w:rPr>
                <w:rFonts w:cs="Calibri"/>
                <w:color w:val="000000"/>
                <w:sz w:val="22"/>
                <w:szCs w:val="22"/>
                <w:lang w:eastAsia="es-CR"/>
              </w:rPr>
              <w:t> </w:t>
            </w:r>
          </w:p>
        </w:tc>
        <w:tc>
          <w:tcPr>
            <w:tcW w:w="1640" w:type="dxa"/>
            <w:tcBorders>
              <w:top w:val="nil"/>
              <w:left w:val="nil"/>
              <w:bottom w:val="nil"/>
              <w:right w:val="single" w:sz="4" w:space="0" w:color="auto"/>
            </w:tcBorders>
            <w:shd w:val="clear" w:color="auto" w:fill="auto"/>
            <w:noWrap/>
            <w:vAlign w:val="center"/>
            <w:hideMark/>
          </w:tcPr>
          <w:p w14:paraId="1BF44627" w14:textId="77777777" w:rsidR="009B35F5" w:rsidRPr="004E74A6" w:rsidRDefault="009B35F5" w:rsidP="00832773">
            <w:pPr>
              <w:spacing w:line="276" w:lineRule="auto"/>
              <w:jc w:val="center"/>
              <w:rPr>
                <w:rFonts w:cs="Calibri"/>
                <w:color w:val="000000"/>
                <w:sz w:val="22"/>
                <w:szCs w:val="22"/>
                <w:lang w:eastAsia="es-CR"/>
              </w:rPr>
            </w:pPr>
            <w:r w:rsidRPr="004E74A6">
              <w:rPr>
                <w:rFonts w:cs="Calibri"/>
                <w:color w:val="000000"/>
                <w:sz w:val="22"/>
                <w:szCs w:val="22"/>
                <w:lang w:eastAsia="es-CR"/>
              </w:rPr>
              <w:t> </w:t>
            </w:r>
          </w:p>
        </w:tc>
        <w:tc>
          <w:tcPr>
            <w:tcW w:w="1320" w:type="dxa"/>
            <w:tcBorders>
              <w:top w:val="nil"/>
              <w:left w:val="nil"/>
              <w:bottom w:val="nil"/>
              <w:right w:val="nil"/>
            </w:tcBorders>
            <w:shd w:val="clear" w:color="auto" w:fill="auto"/>
            <w:noWrap/>
            <w:vAlign w:val="center"/>
            <w:hideMark/>
          </w:tcPr>
          <w:p w14:paraId="0533FC92" w14:textId="77777777" w:rsidR="009B35F5" w:rsidRPr="004E74A6" w:rsidRDefault="009B35F5" w:rsidP="00832773">
            <w:pPr>
              <w:spacing w:line="276" w:lineRule="auto"/>
              <w:jc w:val="center"/>
              <w:rPr>
                <w:rFonts w:cs="Calibri"/>
                <w:color w:val="000000"/>
                <w:sz w:val="22"/>
                <w:szCs w:val="22"/>
                <w:lang w:eastAsia="es-CR"/>
              </w:rPr>
            </w:pPr>
            <w:r w:rsidRPr="004E74A6">
              <w:rPr>
                <w:rFonts w:cs="Calibri"/>
                <w:color w:val="000000"/>
                <w:sz w:val="22"/>
                <w:szCs w:val="22"/>
                <w:lang w:eastAsia="es-CR"/>
              </w:rPr>
              <w:t> </w:t>
            </w:r>
          </w:p>
        </w:tc>
      </w:tr>
      <w:tr w:rsidR="009B35F5" w:rsidRPr="004E74A6" w14:paraId="0020EAF2" w14:textId="77777777" w:rsidTr="00EB102E">
        <w:trPr>
          <w:trHeight w:val="348"/>
          <w:tblHeader/>
          <w:jc w:val="center"/>
        </w:trPr>
        <w:tc>
          <w:tcPr>
            <w:tcW w:w="2758" w:type="dxa"/>
            <w:tcBorders>
              <w:top w:val="nil"/>
              <w:left w:val="nil"/>
              <w:bottom w:val="nil"/>
              <w:right w:val="single" w:sz="4" w:space="0" w:color="auto"/>
            </w:tcBorders>
            <w:shd w:val="clear" w:color="auto" w:fill="auto"/>
            <w:noWrap/>
            <w:vAlign w:val="center"/>
            <w:hideMark/>
          </w:tcPr>
          <w:p w14:paraId="12C7822A" w14:textId="77777777" w:rsidR="009B35F5" w:rsidRPr="004E74A6" w:rsidRDefault="009B35F5" w:rsidP="00832773">
            <w:pPr>
              <w:spacing w:line="276" w:lineRule="auto"/>
              <w:jc w:val="left"/>
              <w:rPr>
                <w:rFonts w:cs="Calibri"/>
                <w:color w:val="000000"/>
                <w:sz w:val="22"/>
                <w:szCs w:val="22"/>
                <w:lang w:eastAsia="es-CR"/>
              </w:rPr>
            </w:pPr>
            <w:r w:rsidRPr="004E74A6">
              <w:rPr>
                <w:rFonts w:cs="Calibri"/>
                <w:color w:val="000000"/>
                <w:sz w:val="22"/>
                <w:szCs w:val="22"/>
                <w:lang w:eastAsia="es-CR"/>
              </w:rPr>
              <w:t>Apelación</w:t>
            </w:r>
          </w:p>
        </w:tc>
        <w:tc>
          <w:tcPr>
            <w:tcW w:w="1640" w:type="dxa"/>
            <w:tcBorders>
              <w:top w:val="nil"/>
              <w:left w:val="nil"/>
              <w:bottom w:val="nil"/>
              <w:right w:val="single" w:sz="4" w:space="0" w:color="auto"/>
            </w:tcBorders>
            <w:shd w:val="clear" w:color="auto" w:fill="auto"/>
            <w:noWrap/>
            <w:vAlign w:val="center"/>
            <w:hideMark/>
          </w:tcPr>
          <w:p w14:paraId="0AD93BBC" w14:textId="77777777" w:rsidR="009B35F5" w:rsidRPr="004E74A6" w:rsidRDefault="009B35F5" w:rsidP="00832773">
            <w:pPr>
              <w:spacing w:line="276" w:lineRule="auto"/>
              <w:jc w:val="center"/>
              <w:rPr>
                <w:rFonts w:cs="Calibri"/>
                <w:color w:val="000000"/>
                <w:sz w:val="22"/>
                <w:szCs w:val="22"/>
                <w:lang w:eastAsia="es-CR"/>
              </w:rPr>
            </w:pPr>
            <w:r w:rsidRPr="004E74A6">
              <w:rPr>
                <w:rFonts w:cs="Calibri"/>
                <w:color w:val="000000"/>
                <w:sz w:val="22"/>
                <w:szCs w:val="22"/>
                <w:lang w:eastAsia="es-CR"/>
              </w:rPr>
              <w:t>6</w:t>
            </w:r>
          </w:p>
        </w:tc>
        <w:tc>
          <w:tcPr>
            <w:tcW w:w="1475" w:type="dxa"/>
            <w:tcBorders>
              <w:top w:val="nil"/>
              <w:left w:val="nil"/>
              <w:bottom w:val="nil"/>
              <w:right w:val="single" w:sz="4" w:space="0" w:color="auto"/>
            </w:tcBorders>
            <w:shd w:val="clear" w:color="auto" w:fill="auto"/>
            <w:noWrap/>
            <w:vAlign w:val="center"/>
            <w:hideMark/>
          </w:tcPr>
          <w:p w14:paraId="4AD550CC" w14:textId="77777777" w:rsidR="009B35F5" w:rsidRPr="004E74A6" w:rsidRDefault="009B35F5" w:rsidP="00832773">
            <w:pPr>
              <w:spacing w:line="276" w:lineRule="auto"/>
              <w:jc w:val="center"/>
              <w:rPr>
                <w:rFonts w:cs="Calibri"/>
                <w:color w:val="000000"/>
                <w:sz w:val="22"/>
                <w:szCs w:val="22"/>
                <w:lang w:eastAsia="es-CR"/>
              </w:rPr>
            </w:pPr>
            <w:r w:rsidRPr="004E74A6">
              <w:rPr>
                <w:rFonts w:cs="Calibri"/>
                <w:color w:val="000000"/>
                <w:sz w:val="22"/>
                <w:szCs w:val="22"/>
                <w:lang w:eastAsia="es-CR"/>
              </w:rPr>
              <w:t>0%</w:t>
            </w:r>
          </w:p>
        </w:tc>
        <w:tc>
          <w:tcPr>
            <w:tcW w:w="1640" w:type="dxa"/>
            <w:tcBorders>
              <w:top w:val="nil"/>
              <w:left w:val="nil"/>
              <w:bottom w:val="nil"/>
              <w:right w:val="single" w:sz="4" w:space="0" w:color="auto"/>
            </w:tcBorders>
            <w:shd w:val="clear" w:color="auto" w:fill="auto"/>
            <w:noWrap/>
            <w:vAlign w:val="center"/>
            <w:hideMark/>
          </w:tcPr>
          <w:p w14:paraId="7489701B" w14:textId="77777777" w:rsidR="009B35F5" w:rsidRPr="004E74A6" w:rsidRDefault="009B35F5" w:rsidP="00832773">
            <w:pPr>
              <w:spacing w:line="276" w:lineRule="auto"/>
              <w:jc w:val="center"/>
              <w:rPr>
                <w:rFonts w:cs="Calibri"/>
                <w:color w:val="000000"/>
                <w:sz w:val="22"/>
                <w:szCs w:val="22"/>
                <w:lang w:eastAsia="es-CR"/>
              </w:rPr>
            </w:pPr>
            <w:r w:rsidRPr="004E74A6">
              <w:rPr>
                <w:rFonts w:cs="Calibri"/>
                <w:color w:val="000000"/>
                <w:sz w:val="22"/>
                <w:szCs w:val="22"/>
                <w:lang w:eastAsia="es-CR"/>
              </w:rPr>
              <w:t>10</w:t>
            </w:r>
          </w:p>
        </w:tc>
        <w:tc>
          <w:tcPr>
            <w:tcW w:w="1320" w:type="dxa"/>
            <w:tcBorders>
              <w:top w:val="nil"/>
              <w:left w:val="nil"/>
              <w:bottom w:val="nil"/>
              <w:right w:val="nil"/>
            </w:tcBorders>
            <w:shd w:val="clear" w:color="auto" w:fill="auto"/>
            <w:noWrap/>
            <w:vAlign w:val="center"/>
            <w:hideMark/>
          </w:tcPr>
          <w:p w14:paraId="579EBF62" w14:textId="77777777" w:rsidR="009B35F5" w:rsidRPr="004E74A6" w:rsidRDefault="009B35F5" w:rsidP="00832773">
            <w:pPr>
              <w:spacing w:line="276" w:lineRule="auto"/>
              <w:jc w:val="center"/>
              <w:rPr>
                <w:rFonts w:cs="Calibri"/>
                <w:color w:val="000000"/>
                <w:sz w:val="22"/>
                <w:szCs w:val="22"/>
                <w:lang w:eastAsia="es-CR"/>
              </w:rPr>
            </w:pPr>
            <w:r w:rsidRPr="004E74A6">
              <w:rPr>
                <w:rFonts w:cs="Calibri"/>
                <w:color w:val="000000"/>
                <w:sz w:val="22"/>
                <w:szCs w:val="22"/>
                <w:lang w:eastAsia="es-CR"/>
              </w:rPr>
              <w:t>1%</w:t>
            </w:r>
          </w:p>
        </w:tc>
      </w:tr>
      <w:tr w:rsidR="009B35F5" w:rsidRPr="004E74A6" w14:paraId="33B70143" w14:textId="77777777" w:rsidTr="00EB102E">
        <w:trPr>
          <w:trHeight w:val="348"/>
          <w:tblHeader/>
          <w:jc w:val="center"/>
        </w:trPr>
        <w:tc>
          <w:tcPr>
            <w:tcW w:w="2758" w:type="dxa"/>
            <w:tcBorders>
              <w:top w:val="nil"/>
              <w:left w:val="nil"/>
              <w:bottom w:val="nil"/>
              <w:right w:val="single" w:sz="4" w:space="0" w:color="auto"/>
            </w:tcBorders>
            <w:shd w:val="clear" w:color="auto" w:fill="auto"/>
            <w:noWrap/>
            <w:vAlign w:val="center"/>
            <w:hideMark/>
          </w:tcPr>
          <w:p w14:paraId="09E1FF50" w14:textId="77777777" w:rsidR="009B35F5" w:rsidRPr="004E74A6" w:rsidRDefault="009B35F5" w:rsidP="00832773">
            <w:pPr>
              <w:spacing w:line="276" w:lineRule="auto"/>
              <w:jc w:val="left"/>
              <w:rPr>
                <w:rFonts w:cs="Calibri"/>
                <w:color w:val="000000"/>
                <w:sz w:val="22"/>
                <w:szCs w:val="22"/>
                <w:lang w:eastAsia="es-CR"/>
              </w:rPr>
            </w:pPr>
            <w:r w:rsidRPr="004E74A6">
              <w:rPr>
                <w:rFonts w:cs="Calibri"/>
                <w:color w:val="000000"/>
                <w:sz w:val="22"/>
                <w:szCs w:val="22"/>
                <w:lang w:eastAsia="es-CR"/>
              </w:rPr>
              <w:t>Carta rogatoria</w:t>
            </w:r>
          </w:p>
        </w:tc>
        <w:tc>
          <w:tcPr>
            <w:tcW w:w="1640" w:type="dxa"/>
            <w:tcBorders>
              <w:top w:val="nil"/>
              <w:left w:val="nil"/>
              <w:bottom w:val="nil"/>
              <w:right w:val="single" w:sz="4" w:space="0" w:color="auto"/>
            </w:tcBorders>
            <w:shd w:val="clear" w:color="auto" w:fill="auto"/>
            <w:noWrap/>
            <w:vAlign w:val="center"/>
            <w:hideMark/>
          </w:tcPr>
          <w:p w14:paraId="3E0C58C9" w14:textId="77777777" w:rsidR="009B35F5" w:rsidRPr="004E74A6" w:rsidRDefault="009B35F5" w:rsidP="00832773">
            <w:pPr>
              <w:spacing w:line="276" w:lineRule="auto"/>
              <w:jc w:val="center"/>
              <w:rPr>
                <w:rFonts w:cs="Calibri"/>
                <w:color w:val="000000"/>
                <w:sz w:val="22"/>
                <w:szCs w:val="22"/>
                <w:lang w:eastAsia="es-CR"/>
              </w:rPr>
            </w:pPr>
            <w:r w:rsidRPr="004E74A6">
              <w:rPr>
                <w:rFonts w:cs="Calibri"/>
                <w:color w:val="000000"/>
                <w:sz w:val="22"/>
                <w:szCs w:val="22"/>
                <w:lang w:eastAsia="es-CR"/>
              </w:rPr>
              <w:t>14</w:t>
            </w:r>
          </w:p>
        </w:tc>
        <w:tc>
          <w:tcPr>
            <w:tcW w:w="1475" w:type="dxa"/>
            <w:tcBorders>
              <w:top w:val="nil"/>
              <w:left w:val="nil"/>
              <w:bottom w:val="nil"/>
              <w:right w:val="single" w:sz="4" w:space="0" w:color="auto"/>
            </w:tcBorders>
            <w:shd w:val="clear" w:color="auto" w:fill="auto"/>
            <w:noWrap/>
            <w:vAlign w:val="center"/>
            <w:hideMark/>
          </w:tcPr>
          <w:p w14:paraId="7AB6EC20" w14:textId="77777777" w:rsidR="009B35F5" w:rsidRPr="004E74A6" w:rsidRDefault="009B35F5" w:rsidP="00832773">
            <w:pPr>
              <w:spacing w:line="276" w:lineRule="auto"/>
              <w:jc w:val="center"/>
              <w:rPr>
                <w:rFonts w:cs="Calibri"/>
                <w:color w:val="000000"/>
                <w:sz w:val="22"/>
                <w:szCs w:val="22"/>
                <w:lang w:eastAsia="es-CR"/>
              </w:rPr>
            </w:pPr>
            <w:r w:rsidRPr="004E74A6">
              <w:rPr>
                <w:rFonts w:cs="Calibri"/>
                <w:color w:val="000000"/>
                <w:sz w:val="22"/>
                <w:szCs w:val="22"/>
                <w:lang w:eastAsia="es-CR"/>
              </w:rPr>
              <w:t>0%</w:t>
            </w:r>
          </w:p>
        </w:tc>
        <w:tc>
          <w:tcPr>
            <w:tcW w:w="1640" w:type="dxa"/>
            <w:tcBorders>
              <w:top w:val="nil"/>
              <w:left w:val="nil"/>
              <w:bottom w:val="nil"/>
              <w:right w:val="single" w:sz="4" w:space="0" w:color="auto"/>
            </w:tcBorders>
            <w:shd w:val="clear" w:color="auto" w:fill="auto"/>
            <w:noWrap/>
            <w:vAlign w:val="center"/>
            <w:hideMark/>
          </w:tcPr>
          <w:p w14:paraId="568D85BA" w14:textId="77777777" w:rsidR="009B35F5" w:rsidRPr="004E74A6" w:rsidRDefault="009B35F5" w:rsidP="00832773">
            <w:pPr>
              <w:spacing w:line="276" w:lineRule="auto"/>
              <w:jc w:val="center"/>
              <w:rPr>
                <w:rFonts w:cs="Calibri"/>
                <w:color w:val="000000"/>
                <w:sz w:val="22"/>
                <w:szCs w:val="22"/>
                <w:lang w:eastAsia="es-CR"/>
              </w:rPr>
            </w:pPr>
            <w:r w:rsidRPr="004E74A6">
              <w:rPr>
                <w:rFonts w:cs="Calibri"/>
                <w:color w:val="000000"/>
                <w:sz w:val="22"/>
                <w:szCs w:val="22"/>
                <w:lang w:eastAsia="es-CR"/>
              </w:rPr>
              <w:t>28</w:t>
            </w:r>
          </w:p>
        </w:tc>
        <w:tc>
          <w:tcPr>
            <w:tcW w:w="1320" w:type="dxa"/>
            <w:tcBorders>
              <w:top w:val="nil"/>
              <w:left w:val="nil"/>
              <w:bottom w:val="nil"/>
              <w:right w:val="nil"/>
            </w:tcBorders>
            <w:shd w:val="clear" w:color="auto" w:fill="auto"/>
            <w:noWrap/>
            <w:vAlign w:val="center"/>
            <w:hideMark/>
          </w:tcPr>
          <w:p w14:paraId="0E502563" w14:textId="77777777" w:rsidR="009B35F5" w:rsidRPr="004E74A6" w:rsidRDefault="009B35F5" w:rsidP="00832773">
            <w:pPr>
              <w:spacing w:line="276" w:lineRule="auto"/>
              <w:jc w:val="center"/>
              <w:rPr>
                <w:rFonts w:cs="Calibri"/>
                <w:color w:val="000000"/>
                <w:sz w:val="22"/>
                <w:szCs w:val="22"/>
                <w:lang w:eastAsia="es-CR"/>
              </w:rPr>
            </w:pPr>
            <w:r w:rsidRPr="004E74A6">
              <w:rPr>
                <w:rFonts w:cs="Calibri"/>
                <w:color w:val="000000"/>
                <w:sz w:val="22"/>
                <w:szCs w:val="22"/>
                <w:lang w:eastAsia="es-CR"/>
              </w:rPr>
              <w:t>1%</w:t>
            </w:r>
          </w:p>
        </w:tc>
      </w:tr>
      <w:tr w:rsidR="009B35F5" w:rsidRPr="004E74A6" w14:paraId="4D429B69" w14:textId="77777777" w:rsidTr="00EB102E">
        <w:trPr>
          <w:trHeight w:val="348"/>
          <w:tblHeader/>
          <w:jc w:val="center"/>
        </w:trPr>
        <w:tc>
          <w:tcPr>
            <w:tcW w:w="2758" w:type="dxa"/>
            <w:tcBorders>
              <w:top w:val="nil"/>
              <w:left w:val="nil"/>
              <w:bottom w:val="nil"/>
              <w:right w:val="single" w:sz="4" w:space="0" w:color="auto"/>
            </w:tcBorders>
            <w:shd w:val="clear" w:color="000000" w:fill="E2EFDA"/>
            <w:noWrap/>
            <w:vAlign w:val="center"/>
            <w:hideMark/>
          </w:tcPr>
          <w:p w14:paraId="0EB826F5" w14:textId="77777777" w:rsidR="009B35F5" w:rsidRPr="004E74A6" w:rsidRDefault="009B35F5" w:rsidP="00832773">
            <w:pPr>
              <w:spacing w:line="276" w:lineRule="auto"/>
              <w:jc w:val="left"/>
              <w:rPr>
                <w:rFonts w:cs="Calibri"/>
                <w:color w:val="000000"/>
                <w:sz w:val="22"/>
                <w:szCs w:val="22"/>
                <w:lang w:eastAsia="es-CR"/>
              </w:rPr>
            </w:pPr>
            <w:r w:rsidRPr="004E74A6">
              <w:rPr>
                <w:rFonts w:cs="Calibri"/>
                <w:color w:val="000000"/>
                <w:sz w:val="22"/>
                <w:szCs w:val="22"/>
                <w:lang w:eastAsia="es-CR"/>
              </w:rPr>
              <w:t>Casación</w:t>
            </w:r>
          </w:p>
        </w:tc>
        <w:tc>
          <w:tcPr>
            <w:tcW w:w="1640" w:type="dxa"/>
            <w:tcBorders>
              <w:top w:val="nil"/>
              <w:left w:val="nil"/>
              <w:bottom w:val="nil"/>
              <w:right w:val="single" w:sz="4" w:space="0" w:color="auto"/>
            </w:tcBorders>
            <w:shd w:val="clear" w:color="000000" w:fill="E2EFDA"/>
            <w:noWrap/>
            <w:vAlign w:val="center"/>
            <w:hideMark/>
          </w:tcPr>
          <w:p w14:paraId="49BB40A6" w14:textId="77777777" w:rsidR="009B35F5" w:rsidRPr="004E74A6" w:rsidRDefault="009B35F5" w:rsidP="00832773">
            <w:pPr>
              <w:spacing w:line="276" w:lineRule="auto"/>
              <w:jc w:val="center"/>
              <w:rPr>
                <w:rFonts w:cs="Calibri"/>
                <w:color w:val="000000"/>
                <w:sz w:val="22"/>
                <w:szCs w:val="22"/>
                <w:lang w:eastAsia="es-CR"/>
              </w:rPr>
            </w:pPr>
            <w:r w:rsidRPr="004E74A6">
              <w:rPr>
                <w:rFonts w:cs="Calibri"/>
                <w:color w:val="000000"/>
                <w:sz w:val="22"/>
                <w:szCs w:val="22"/>
                <w:lang w:eastAsia="es-CR"/>
              </w:rPr>
              <w:t>922</w:t>
            </w:r>
          </w:p>
        </w:tc>
        <w:tc>
          <w:tcPr>
            <w:tcW w:w="1475" w:type="dxa"/>
            <w:tcBorders>
              <w:top w:val="nil"/>
              <w:left w:val="nil"/>
              <w:bottom w:val="nil"/>
              <w:right w:val="single" w:sz="4" w:space="0" w:color="auto"/>
            </w:tcBorders>
            <w:shd w:val="clear" w:color="000000" w:fill="E2EFDA"/>
            <w:noWrap/>
            <w:vAlign w:val="center"/>
            <w:hideMark/>
          </w:tcPr>
          <w:p w14:paraId="2FABEA43" w14:textId="77777777" w:rsidR="009B35F5" w:rsidRPr="004E74A6" w:rsidRDefault="009B35F5" w:rsidP="00832773">
            <w:pPr>
              <w:spacing w:line="276" w:lineRule="auto"/>
              <w:jc w:val="center"/>
              <w:rPr>
                <w:rFonts w:cs="Calibri"/>
                <w:color w:val="000000"/>
                <w:sz w:val="22"/>
                <w:szCs w:val="22"/>
                <w:lang w:eastAsia="es-CR"/>
              </w:rPr>
            </w:pPr>
            <w:r w:rsidRPr="004E74A6">
              <w:rPr>
                <w:rFonts w:cs="Calibri"/>
                <w:color w:val="000000"/>
                <w:sz w:val="22"/>
                <w:szCs w:val="22"/>
                <w:lang w:eastAsia="es-CR"/>
              </w:rPr>
              <w:t>32%</w:t>
            </w:r>
          </w:p>
        </w:tc>
        <w:tc>
          <w:tcPr>
            <w:tcW w:w="1640" w:type="dxa"/>
            <w:tcBorders>
              <w:top w:val="nil"/>
              <w:left w:val="nil"/>
              <w:bottom w:val="nil"/>
              <w:right w:val="single" w:sz="4" w:space="0" w:color="auto"/>
            </w:tcBorders>
            <w:shd w:val="clear" w:color="000000" w:fill="E2EFDA"/>
            <w:noWrap/>
            <w:vAlign w:val="center"/>
            <w:hideMark/>
          </w:tcPr>
          <w:p w14:paraId="7146CA87" w14:textId="77777777" w:rsidR="009B35F5" w:rsidRPr="004E74A6" w:rsidRDefault="009B35F5" w:rsidP="00832773">
            <w:pPr>
              <w:spacing w:line="276" w:lineRule="auto"/>
              <w:jc w:val="center"/>
              <w:rPr>
                <w:rFonts w:cs="Calibri"/>
                <w:color w:val="000000"/>
                <w:sz w:val="22"/>
                <w:szCs w:val="22"/>
                <w:lang w:eastAsia="es-CR"/>
              </w:rPr>
            </w:pPr>
            <w:r w:rsidRPr="004E74A6">
              <w:rPr>
                <w:rFonts w:cs="Calibri"/>
                <w:color w:val="000000"/>
                <w:sz w:val="22"/>
                <w:szCs w:val="22"/>
                <w:lang w:eastAsia="es-CR"/>
              </w:rPr>
              <w:t>1116</w:t>
            </w:r>
          </w:p>
        </w:tc>
        <w:tc>
          <w:tcPr>
            <w:tcW w:w="1320" w:type="dxa"/>
            <w:tcBorders>
              <w:top w:val="nil"/>
              <w:left w:val="nil"/>
              <w:bottom w:val="nil"/>
              <w:right w:val="nil"/>
            </w:tcBorders>
            <w:shd w:val="clear" w:color="000000" w:fill="E2EFDA"/>
            <w:noWrap/>
            <w:vAlign w:val="center"/>
            <w:hideMark/>
          </w:tcPr>
          <w:p w14:paraId="43D4941B" w14:textId="77777777" w:rsidR="009B35F5" w:rsidRPr="004E74A6" w:rsidRDefault="009B35F5" w:rsidP="00832773">
            <w:pPr>
              <w:spacing w:line="276" w:lineRule="auto"/>
              <w:jc w:val="center"/>
              <w:rPr>
                <w:rFonts w:cs="Calibri"/>
                <w:color w:val="000000"/>
                <w:sz w:val="22"/>
                <w:szCs w:val="22"/>
                <w:lang w:eastAsia="es-CR"/>
              </w:rPr>
            </w:pPr>
            <w:r w:rsidRPr="004E74A6">
              <w:rPr>
                <w:rFonts w:cs="Calibri"/>
                <w:color w:val="000000"/>
                <w:sz w:val="22"/>
                <w:szCs w:val="22"/>
                <w:lang w:eastAsia="es-CR"/>
              </w:rPr>
              <w:t>57%</w:t>
            </w:r>
          </w:p>
        </w:tc>
      </w:tr>
      <w:tr w:rsidR="009B35F5" w:rsidRPr="004E74A6" w14:paraId="7303DC1B" w14:textId="77777777" w:rsidTr="00EB102E">
        <w:trPr>
          <w:trHeight w:val="348"/>
          <w:tblHeader/>
          <w:jc w:val="center"/>
        </w:trPr>
        <w:tc>
          <w:tcPr>
            <w:tcW w:w="2758" w:type="dxa"/>
            <w:tcBorders>
              <w:top w:val="nil"/>
              <w:left w:val="nil"/>
              <w:bottom w:val="nil"/>
              <w:right w:val="single" w:sz="4" w:space="0" w:color="auto"/>
            </w:tcBorders>
            <w:shd w:val="clear" w:color="auto" w:fill="auto"/>
            <w:noWrap/>
            <w:vAlign w:val="center"/>
            <w:hideMark/>
          </w:tcPr>
          <w:p w14:paraId="0F50EF8D" w14:textId="77777777" w:rsidR="009B35F5" w:rsidRPr="004E74A6" w:rsidRDefault="009B35F5" w:rsidP="00832773">
            <w:pPr>
              <w:spacing w:line="276" w:lineRule="auto"/>
              <w:jc w:val="left"/>
              <w:rPr>
                <w:rFonts w:cs="Calibri"/>
                <w:color w:val="000000"/>
                <w:sz w:val="22"/>
                <w:szCs w:val="22"/>
                <w:lang w:eastAsia="es-CR"/>
              </w:rPr>
            </w:pPr>
            <w:r w:rsidRPr="004E74A6">
              <w:rPr>
                <w:rFonts w:cs="Calibri"/>
                <w:color w:val="000000"/>
                <w:sz w:val="22"/>
                <w:szCs w:val="22"/>
                <w:lang w:eastAsia="es-CR"/>
              </w:rPr>
              <w:t>Competencia*</w:t>
            </w:r>
          </w:p>
        </w:tc>
        <w:tc>
          <w:tcPr>
            <w:tcW w:w="1640" w:type="dxa"/>
            <w:tcBorders>
              <w:top w:val="nil"/>
              <w:left w:val="nil"/>
              <w:bottom w:val="nil"/>
              <w:right w:val="single" w:sz="4" w:space="0" w:color="auto"/>
            </w:tcBorders>
            <w:shd w:val="clear" w:color="auto" w:fill="auto"/>
            <w:noWrap/>
            <w:vAlign w:val="center"/>
            <w:hideMark/>
          </w:tcPr>
          <w:p w14:paraId="2F02B6FC" w14:textId="77777777" w:rsidR="009B35F5" w:rsidRPr="004E74A6" w:rsidRDefault="009B35F5" w:rsidP="00832773">
            <w:pPr>
              <w:spacing w:line="276" w:lineRule="auto"/>
              <w:jc w:val="center"/>
              <w:rPr>
                <w:rFonts w:cs="Calibri"/>
                <w:color w:val="000000"/>
                <w:sz w:val="22"/>
                <w:szCs w:val="22"/>
                <w:lang w:eastAsia="es-CR"/>
              </w:rPr>
            </w:pPr>
            <w:r w:rsidRPr="004E74A6">
              <w:rPr>
                <w:rFonts w:cs="Calibri"/>
                <w:color w:val="000000"/>
                <w:sz w:val="22"/>
                <w:szCs w:val="22"/>
                <w:lang w:eastAsia="es-CR"/>
              </w:rPr>
              <w:t>1822</w:t>
            </w:r>
          </w:p>
        </w:tc>
        <w:tc>
          <w:tcPr>
            <w:tcW w:w="1475" w:type="dxa"/>
            <w:tcBorders>
              <w:top w:val="nil"/>
              <w:left w:val="nil"/>
              <w:bottom w:val="nil"/>
              <w:right w:val="single" w:sz="4" w:space="0" w:color="auto"/>
            </w:tcBorders>
            <w:shd w:val="clear" w:color="auto" w:fill="auto"/>
            <w:noWrap/>
            <w:vAlign w:val="center"/>
            <w:hideMark/>
          </w:tcPr>
          <w:p w14:paraId="1632B552" w14:textId="77777777" w:rsidR="009B35F5" w:rsidRPr="004E74A6" w:rsidRDefault="009B35F5" w:rsidP="00832773">
            <w:pPr>
              <w:spacing w:line="276" w:lineRule="auto"/>
              <w:jc w:val="center"/>
              <w:rPr>
                <w:rFonts w:cs="Calibri"/>
                <w:color w:val="000000"/>
                <w:sz w:val="22"/>
                <w:szCs w:val="22"/>
                <w:lang w:eastAsia="es-CR"/>
              </w:rPr>
            </w:pPr>
            <w:r w:rsidRPr="004E74A6">
              <w:rPr>
                <w:rFonts w:cs="Calibri"/>
                <w:color w:val="000000"/>
                <w:sz w:val="22"/>
                <w:szCs w:val="22"/>
                <w:lang w:eastAsia="es-CR"/>
              </w:rPr>
              <w:t>63%</w:t>
            </w:r>
          </w:p>
        </w:tc>
        <w:tc>
          <w:tcPr>
            <w:tcW w:w="1640" w:type="dxa"/>
            <w:tcBorders>
              <w:top w:val="nil"/>
              <w:left w:val="nil"/>
              <w:bottom w:val="nil"/>
              <w:right w:val="single" w:sz="4" w:space="0" w:color="auto"/>
            </w:tcBorders>
            <w:shd w:val="clear" w:color="auto" w:fill="auto"/>
            <w:noWrap/>
            <w:vAlign w:val="center"/>
            <w:hideMark/>
          </w:tcPr>
          <w:p w14:paraId="3262C11D" w14:textId="77777777" w:rsidR="009B35F5" w:rsidRPr="004E74A6" w:rsidRDefault="009B35F5" w:rsidP="00832773">
            <w:pPr>
              <w:spacing w:line="276" w:lineRule="auto"/>
              <w:jc w:val="center"/>
              <w:rPr>
                <w:rFonts w:cs="Calibri"/>
                <w:color w:val="000000"/>
                <w:sz w:val="22"/>
                <w:szCs w:val="22"/>
                <w:lang w:eastAsia="es-CR"/>
              </w:rPr>
            </w:pPr>
            <w:r w:rsidRPr="004E74A6">
              <w:rPr>
                <w:rFonts w:cs="Calibri"/>
                <w:color w:val="000000"/>
                <w:sz w:val="22"/>
                <w:szCs w:val="22"/>
                <w:lang w:eastAsia="es-CR"/>
              </w:rPr>
              <w:t>396</w:t>
            </w:r>
          </w:p>
        </w:tc>
        <w:tc>
          <w:tcPr>
            <w:tcW w:w="1320" w:type="dxa"/>
            <w:tcBorders>
              <w:top w:val="nil"/>
              <w:left w:val="nil"/>
              <w:bottom w:val="nil"/>
              <w:right w:val="nil"/>
            </w:tcBorders>
            <w:shd w:val="clear" w:color="auto" w:fill="auto"/>
            <w:noWrap/>
            <w:vAlign w:val="center"/>
            <w:hideMark/>
          </w:tcPr>
          <w:p w14:paraId="11974377" w14:textId="77777777" w:rsidR="009B35F5" w:rsidRPr="004E74A6" w:rsidRDefault="009B35F5" w:rsidP="00832773">
            <w:pPr>
              <w:spacing w:line="276" w:lineRule="auto"/>
              <w:jc w:val="center"/>
              <w:rPr>
                <w:rFonts w:cs="Calibri"/>
                <w:color w:val="000000"/>
                <w:sz w:val="22"/>
                <w:szCs w:val="22"/>
                <w:lang w:eastAsia="es-CR"/>
              </w:rPr>
            </w:pPr>
            <w:r w:rsidRPr="004E74A6">
              <w:rPr>
                <w:rFonts w:cs="Calibri"/>
                <w:color w:val="000000"/>
                <w:sz w:val="22"/>
                <w:szCs w:val="22"/>
                <w:lang w:eastAsia="es-CR"/>
              </w:rPr>
              <w:t>20%</w:t>
            </w:r>
          </w:p>
        </w:tc>
      </w:tr>
      <w:tr w:rsidR="009B35F5" w:rsidRPr="004E74A6" w14:paraId="7EA9E885" w14:textId="77777777" w:rsidTr="00EB102E">
        <w:trPr>
          <w:trHeight w:val="348"/>
          <w:tblHeader/>
          <w:jc w:val="center"/>
        </w:trPr>
        <w:tc>
          <w:tcPr>
            <w:tcW w:w="2758" w:type="dxa"/>
            <w:tcBorders>
              <w:top w:val="nil"/>
              <w:left w:val="nil"/>
              <w:bottom w:val="nil"/>
              <w:right w:val="single" w:sz="4" w:space="0" w:color="auto"/>
            </w:tcBorders>
            <w:shd w:val="clear" w:color="auto" w:fill="auto"/>
            <w:noWrap/>
            <w:vAlign w:val="center"/>
            <w:hideMark/>
          </w:tcPr>
          <w:p w14:paraId="761FFAA1" w14:textId="77777777" w:rsidR="009B35F5" w:rsidRPr="004E74A6" w:rsidRDefault="009B35F5" w:rsidP="00832773">
            <w:pPr>
              <w:spacing w:line="276" w:lineRule="auto"/>
              <w:jc w:val="left"/>
              <w:rPr>
                <w:rFonts w:cs="Calibri"/>
                <w:color w:val="000000"/>
                <w:sz w:val="22"/>
                <w:szCs w:val="22"/>
                <w:lang w:eastAsia="es-CR"/>
              </w:rPr>
            </w:pPr>
            <w:r w:rsidRPr="004E74A6">
              <w:rPr>
                <w:rFonts w:cs="Calibri"/>
                <w:color w:val="000000"/>
                <w:sz w:val="22"/>
                <w:szCs w:val="22"/>
                <w:lang w:eastAsia="es-CR"/>
              </w:rPr>
              <w:t>Diligencia del exterior</w:t>
            </w:r>
          </w:p>
        </w:tc>
        <w:tc>
          <w:tcPr>
            <w:tcW w:w="1640" w:type="dxa"/>
            <w:tcBorders>
              <w:top w:val="nil"/>
              <w:left w:val="nil"/>
              <w:bottom w:val="nil"/>
              <w:right w:val="single" w:sz="4" w:space="0" w:color="auto"/>
            </w:tcBorders>
            <w:shd w:val="clear" w:color="auto" w:fill="auto"/>
            <w:noWrap/>
            <w:vAlign w:val="center"/>
            <w:hideMark/>
          </w:tcPr>
          <w:p w14:paraId="43DEF863" w14:textId="77777777" w:rsidR="009B35F5" w:rsidRPr="004E74A6" w:rsidRDefault="009B35F5" w:rsidP="00832773">
            <w:pPr>
              <w:spacing w:line="276" w:lineRule="auto"/>
              <w:jc w:val="center"/>
              <w:rPr>
                <w:rFonts w:cs="Calibri"/>
                <w:color w:val="000000"/>
                <w:sz w:val="22"/>
                <w:szCs w:val="22"/>
                <w:lang w:eastAsia="es-CR"/>
              </w:rPr>
            </w:pPr>
            <w:r w:rsidRPr="004E74A6">
              <w:rPr>
                <w:rFonts w:cs="Calibri"/>
                <w:color w:val="000000"/>
                <w:sz w:val="22"/>
                <w:szCs w:val="22"/>
                <w:lang w:eastAsia="es-CR"/>
              </w:rPr>
              <w:t>5</w:t>
            </w:r>
          </w:p>
        </w:tc>
        <w:tc>
          <w:tcPr>
            <w:tcW w:w="1475" w:type="dxa"/>
            <w:tcBorders>
              <w:top w:val="nil"/>
              <w:left w:val="nil"/>
              <w:bottom w:val="nil"/>
              <w:right w:val="single" w:sz="4" w:space="0" w:color="auto"/>
            </w:tcBorders>
            <w:shd w:val="clear" w:color="auto" w:fill="auto"/>
            <w:noWrap/>
            <w:vAlign w:val="center"/>
            <w:hideMark/>
          </w:tcPr>
          <w:p w14:paraId="5BEBB838" w14:textId="77777777" w:rsidR="009B35F5" w:rsidRPr="004E74A6" w:rsidRDefault="009B35F5" w:rsidP="00832773">
            <w:pPr>
              <w:spacing w:line="276" w:lineRule="auto"/>
              <w:jc w:val="center"/>
              <w:rPr>
                <w:rFonts w:cs="Calibri"/>
                <w:color w:val="000000"/>
                <w:sz w:val="22"/>
                <w:szCs w:val="22"/>
                <w:lang w:eastAsia="es-CR"/>
              </w:rPr>
            </w:pPr>
            <w:r w:rsidRPr="004E74A6">
              <w:rPr>
                <w:rFonts w:cs="Calibri"/>
                <w:color w:val="000000"/>
                <w:sz w:val="22"/>
                <w:szCs w:val="22"/>
                <w:lang w:eastAsia="es-CR"/>
              </w:rPr>
              <w:t>0%</w:t>
            </w:r>
          </w:p>
        </w:tc>
        <w:tc>
          <w:tcPr>
            <w:tcW w:w="1640" w:type="dxa"/>
            <w:tcBorders>
              <w:top w:val="nil"/>
              <w:left w:val="nil"/>
              <w:bottom w:val="nil"/>
              <w:right w:val="single" w:sz="4" w:space="0" w:color="auto"/>
            </w:tcBorders>
            <w:shd w:val="clear" w:color="auto" w:fill="auto"/>
            <w:noWrap/>
            <w:vAlign w:val="center"/>
            <w:hideMark/>
          </w:tcPr>
          <w:p w14:paraId="7D071667" w14:textId="77777777" w:rsidR="009B35F5" w:rsidRPr="004E74A6" w:rsidRDefault="009B35F5" w:rsidP="00832773">
            <w:pPr>
              <w:spacing w:line="276" w:lineRule="auto"/>
              <w:jc w:val="center"/>
              <w:rPr>
                <w:rFonts w:cs="Calibri"/>
                <w:color w:val="000000"/>
                <w:sz w:val="22"/>
                <w:szCs w:val="22"/>
                <w:lang w:eastAsia="es-CR"/>
              </w:rPr>
            </w:pPr>
            <w:r w:rsidRPr="004E74A6">
              <w:rPr>
                <w:rFonts w:cs="Calibri"/>
                <w:color w:val="000000"/>
                <w:sz w:val="22"/>
                <w:szCs w:val="22"/>
                <w:lang w:eastAsia="es-CR"/>
              </w:rPr>
              <w:t>0</w:t>
            </w:r>
          </w:p>
        </w:tc>
        <w:tc>
          <w:tcPr>
            <w:tcW w:w="1320" w:type="dxa"/>
            <w:tcBorders>
              <w:top w:val="nil"/>
              <w:left w:val="nil"/>
              <w:bottom w:val="nil"/>
              <w:right w:val="nil"/>
            </w:tcBorders>
            <w:shd w:val="clear" w:color="auto" w:fill="auto"/>
            <w:noWrap/>
            <w:vAlign w:val="center"/>
            <w:hideMark/>
          </w:tcPr>
          <w:p w14:paraId="13F37A5C" w14:textId="77777777" w:rsidR="009B35F5" w:rsidRPr="004E74A6" w:rsidRDefault="009B35F5" w:rsidP="00832773">
            <w:pPr>
              <w:spacing w:line="276" w:lineRule="auto"/>
              <w:jc w:val="center"/>
              <w:rPr>
                <w:rFonts w:cs="Calibri"/>
                <w:color w:val="000000"/>
                <w:sz w:val="22"/>
                <w:szCs w:val="22"/>
                <w:lang w:eastAsia="es-CR"/>
              </w:rPr>
            </w:pPr>
            <w:r w:rsidRPr="004E74A6">
              <w:rPr>
                <w:rFonts w:cs="Calibri"/>
                <w:color w:val="000000"/>
                <w:sz w:val="22"/>
                <w:szCs w:val="22"/>
                <w:lang w:eastAsia="es-CR"/>
              </w:rPr>
              <w:t>0%</w:t>
            </w:r>
          </w:p>
        </w:tc>
      </w:tr>
      <w:tr w:rsidR="009B35F5" w:rsidRPr="004E74A6" w14:paraId="35B9D188" w14:textId="77777777" w:rsidTr="00EB102E">
        <w:trPr>
          <w:trHeight w:val="348"/>
          <w:tblHeader/>
          <w:jc w:val="center"/>
        </w:trPr>
        <w:tc>
          <w:tcPr>
            <w:tcW w:w="2758" w:type="dxa"/>
            <w:tcBorders>
              <w:top w:val="nil"/>
              <w:left w:val="nil"/>
              <w:bottom w:val="nil"/>
              <w:right w:val="single" w:sz="4" w:space="0" w:color="auto"/>
            </w:tcBorders>
            <w:shd w:val="clear" w:color="auto" w:fill="auto"/>
            <w:noWrap/>
            <w:vAlign w:val="center"/>
            <w:hideMark/>
          </w:tcPr>
          <w:p w14:paraId="574A32FF" w14:textId="568E69E6" w:rsidR="009B35F5" w:rsidRPr="004E74A6" w:rsidRDefault="009B35F5" w:rsidP="00832773">
            <w:pPr>
              <w:spacing w:line="276" w:lineRule="auto"/>
              <w:jc w:val="left"/>
              <w:rPr>
                <w:rFonts w:cs="Calibri"/>
                <w:color w:val="000000"/>
                <w:sz w:val="22"/>
                <w:szCs w:val="22"/>
                <w:lang w:eastAsia="es-CR"/>
              </w:rPr>
            </w:pPr>
            <w:r w:rsidRPr="004E74A6">
              <w:rPr>
                <w:rFonts w:cs="Calibri"/>
                <w:color w:val="000000"/>
                <w:sz w:val="22"/>
                <w:szCs w:val="22"/>
                <w:lang w:eastAsia="es-CR"/>
              </w:rPr>
              <w:t>Exequat</w:t>
            </w:r>
            <w:r w:rsidR="00F97463" w:rsidRPr="004E74A6">
              <w:rPr>
                <w:rFonts w:cs="Calibri"/>
                <w:color w:val="000000"/>
                <w:sz w:val="22"/>
                <w:szCs w:val="22"/>
                <w:lang w:eastAsia="es-CR"/>
              </w:rPr>
              <w:t>u</w:t>
            </w:r>
            <w:r w:rsidRPr="004E74A6">
              <w:rPr>
                <w:rFonts w:cs="Calibri"/>
                <w:color w:val="000000"/>
                <w:sz w:val="22"/>
                <w:szCs w:val="22"/>
                <w:lang w:eastAsia="es-CR"/>
              </w:rPr>
              <w:t>r</w:t>
            </w:r>
          </w:p>
        </w:tc>
        <w:tc>
          <w:tcPr>
            <w:tcW w:w="1640" w:type="dxa"/>
            <w:tcBorders>
              <w:top w:val="nil"/>
              <w:left w:val="nil"/>
              <w:bottom w:val="nil"/>
              <w:right w:val="single" w:sz="4" w:space="0" w:color="auto"/>
            </w:tcBorders>
            <w:shd w:val="clear" w:color="auto" w:fill="auto"/>
            <w:noWrap/>
            <w:vAlign w:val="center"/>
            <w:hideMark/>
          </w:tcPr>
          <w:p w14:paraId="54934411" w14:textId="77777777" w:rsidR="009B35F5" w:rsidRPr="004E74A6" w:rsidRDefault="009B35F5" w:rsidP="00832773">
            <w:pPr>
              <w:spacing w:line="276" w:lineRule="auto"/>
              <w:jc w:val="center"/>
              <w:rPr>
                <w:rFonts w:cs="Calibri"/>
                <w:color w:val="000000"/>
                <w:sz w:val="22"/>
                <w:szCs w:val="22"/>
                <w:lang w:eastAsia="es-CR"/>
              </w:rPr>
            </w:pPr>
            <w:r w:rsidRPr="004E74A6">
              <w:rPr>
                <w:rFonts w:cs="Calibri"/>
                <w:color w:val="000000"/>
                <w:sz w:val="22"/>
                <w:szCs w:val="22"/>
                <w:lang w:eastAsia="es-CR"/>
              </w:rPr>
              <w:t>8</w:t>
            </w:r>
          </w:p>
        </w:tc>
        <w:tc>
          <w:tcPr>
            <w:tcW w:w="1475" w:type="dxa"/>
            <w:tcBorders>
              <w:top w:val="nil"/>
              <w:left w:val="nil"/>
              <w:bottom w:val="nil"/>
              <w:right w:val="single" w:sz="4" w:space="0" w:color="auto"/>
            </w:tcBorders>
            <w:shd w:val="clear" w:color="auto" w:fill="auto"/>
            <w:noWrap/>
            <w:vAlign w:val="center"/>
            <w:hideMark/>
          </w:tcPr>
          <w:p w14:paraId="30A71B71" w14:textId="77777777" w:rsidR="009B35F5" w:rsidRPr="004E74A6" w:rsidRDefault="009B35F5" w:rsidP="00832773">
            <w:pPr>
              <w:spacing w:line="276" w:lineRule="auto"/>
              <w:jc w:val="center"/>
              <w:rPr>
                <w:rFonts w:cs="Calibri"/>
                <w:color w:val="000000"/>
                <w:sz w:val="22"/>
                <w:szCs w:val="22"/>
                <w:lang w:eastAsia="es-CR"/>
              </w:rPr>
            </w:pPr>
            <w:r w:rsidRPr="004E74A6">
              <w:rPr>
                <w:rFonts w:cs="Calibri"/>
                <w:color w:val="000000"/>
                <w:sz w:val="22"/>
                <w:szCs w:val="22"/>
                <w:lang w:eastAsia="es-CR"/>
              </w:rPr>
              <w:t>0%</w:t>
            </w:r>
          </w:p>
        </w:tc>
        <w:tc>
          <w:tcPr>
            <w:tcW w:w="1640" w:type="dxa"/>
            <w:tcBorders>
              <w:top w:val="nil"/>
              <w:left w:val="nil"/>
              <w:bottom w:val="nil"/>
              <w:right w:val="single" w:sz="4" w:space="0" w:color="auto"/>
            </w:tcBorders>
            <w:shd w:val="clear" w:color="auto" w:fill="auto"/>
            <w:noWrap/>
            <w:vAlign w:val="center"/>
            <w:hideMark/>
          </w:tcPr>
          <w:p w14:paraId="15D47AAC" w14:textId="77777777" w:rsidR="009B35F5" w:rsidRPr="004E74A6" w:rsidRDefault="009B35F5" w:rsidP="00832773">
            <w:pPr>
              <w:spacing w:line="276" w:lineRule="auto"/>
              <w:jc w:val="center"/>
              <w:rPr>
                <w:rFonts w:cs="Calibri"/>
                <w:color w:val="000000"/>
                <w:sz w:val="22"/>
                <w:szCs w:val="22"/>
                <w:lang w:eastAsia="es-CR"/>
              </w:rPr>
            </w:pPr>
            <w:r w:rsidRPr="004E74A6">
              <w:rPr>
                <w:rFonts w:cs="Calibri"/>
                <w:color w:val="000000"/>
                <w:sz w:val="22"/>
                <w:szCs w:val="22"/>
                <w:lang w:eastAsia="es-CR"/>
              </w:rPr>
              <w:t>132</w:t>
            </w:r>
          </w:p>
        </w:tc>
        <w:tc>
          <w:tcPr>
            <w:tcW w:w="1320" w:type="dxa"/>
            <w:tcBorders>
              <w:top w:val="nil"/>
              <w:left w:val="nil"/>
              <w:bottom w:val="nil"/>
              <w:right w:val="nil"/>
            </w:tcBorders>
            <w:shd w:val="clear" w:color="auto" w:fill="auto"/>
            <w:noWrap/>
            <w:vAlign w:val="center"/>
            <w:hideMark/>
          </w:tcPr>
          <w:p w14:paraId="1372C9F1" w14:textId="77777777" w:rsidR="009B35F5" w:rsidRPr="004E74A6" w:rsidRDefault="009B35F5" w:rsidP="00832773">
            <w:pPr>
              <w:spacing w:line="276" w:lineRule="auto"/>
              <w:jc w:val="center"/>
              <w:rPr>
                <w:rFonts w:cs="Calibri"/>
                <w:color w:val="000000"/>
                <w:sz w:val="22"/>
                <w:szCs w:val="22"/>
                <w:lang w:eastAsia="es-CR"/>
              </w:rPr>
            </w:pPr>
            <w:r w:rsidRPr="004E74A6">
              <w:rPr>
                <w:rFonts w:cs="Calibri"/>
                <w:color w:val="000000"/>
                <w:sz w:val="22"/>
                <w:szCs w:val="22"/>
                <w:lang w:eastAsia="es-CR"/>
              </w:rPr>
              <w:t>7%</w:t>
            </w:r>
          </w:p>
        </w:tc>
      </w:tr>
      <w:tr w:rsidR="009B35F5" w:rsidRPr="004E74A6" w14:paraId="55A495A9" w14:textId="77777777" w:rsidTr="00EB102E">
        <w:trPr>
          <w:trHeight w:val="348"/>
          <w:tblHeader/>
          <w:jc w:val="center"/>
        </w:trPr>
        <w:tc>
          <w:tcPr>
            <w:tcW w:w="2758" w:type="dxa"/>
            <w:tcBorders>
              <w:top w:val="nil"/>
              <w:left w:val="nil"/>
              <w:bottom w:val="nil"/>
              <w:right w:val="single" w:sz="4" w:space="0" w:color="auto"/>
            </w:tcBorders>
            <w:shd w:val="clear" w:color="auto" w:fill="auto"/>
            <w:noWrap/>
            <w:vAlign w:val="center"/>
            <w:hideMark/>
          </w:tcPr>
          <w:p w14:paraId="34A823FA" w14:textId="77777777" w:rsidR="009B35F5" w:rsidRPr="004E74A6" w:rsidRDefault="009B35F5" w:rsidP="00832773">
            <w:pPr>
              <w:spacing w:line="276" w:lineRule="auto"/>
              <w:jc w:val="left"/>
              <w:rPr>
                <w:rFonts w:cs="Calibri"/>
                <w:color w:val="000000"/>
                <w:sz w:val="22"/>
                <w:szCs w:val="22"/>
                <w:lang w:eastAsia="es-CR"/>
              </w:rPr>
            </w:pPr>
            <w:r w:rsidRPr="004E74A6">
              <w:rPr>
                <w:rFonts w:cs="Calibri"/>
                <w:color w:val="000000"/>
                <w:sz w:val="22"/>
                <w:szCs w:val="22"/>
                <w:lang w:eastAsia="es-CR"/>
              </w:rPr>
              <w:t>Nulidad del laudo</w:t>
            </w:r>
          </w:p>
        </w:tc>
        <w:tc>
          <w:tcPr>
            <w:tcW w:w="1640" w:type="dxa"/>
            <w:tcBorders>
              <w:top w:val="nil"/>
              <w:left w:val="nil"/>
              <w:bottom w:val="nil"/>
              <w:right w:val="single" w:sz="4" w:space="0" w:color="auto"/>
            </w:tcBorders>
            <w:shd w:val="clear" w:color="auto" w:fill="auto"/>
            <w:noWrap/>
            <w:vAlign w:val="center"/>
            <w:hideMark/>
          </w:tcPr>
          <w:p w14:paraId="3178F1EE" w14:textId="77777777" w:rsidR="009B35F5" w:rsidRPr="004E74A6" w:rsidRDefault="009B35F5" w:rsidP="00832773">
            <w:pPr>
              <w:spacing w:line="276" w:lineRule="auto"/>
              <w:jc w:val="center"/>
              <w:rPr>
                <w:rFonts w:cs="Calibri"/>
                <w:color w:val="000000"/>
                <w:sz w:val="22"/>
                <w:szCs w:val="22"/>
                <w:lang w:eastAsia="es-CR"/>
              </w:rPr>
            </w:pPr>
            <w:r w:rsidRPr="004E74A6">
              <w:rPr>
                <w:rFonts w:cs="Calibri"/>
                <w:color w:val="000000"/>
                <w:sz w:val="22"/>
                <w:szCs w:val="22"/>
                <w:lang w:eastAsia="es-CR"/>
              </w:rPr>
              <w:t>22</w:t>
            </w:r>
          </w:p>
        </w:tc>
        <w:tc>
          <w:tcPr>
            <w:tcW w:w="1475" w:type="dxa"/>
            <w:tcBorders>
              <w:top w:val="nil"/>
              <w:left w:val="nil"/>
              <w:bottom w:val="nil"/>
              <w:right w:val="single" w:sz="4" w:space="0" w:color="auto"/>
            </w:tcBorders>
            <w:shd w:val="clear" w:color="auto" w:fill="auto"/>
            <w:noWrap/>
            <w:vAlign w:val="center"/>
            <w:hideMark/>
          </w:tcPr>
          <w:p w14:paraId="07E61593" w14:textId="77777777" w:rsidR="009B35F5" w:rsidRPr="004E74A6" w:rsidRDefault="009B35F5" w:rsidP="00832773">
            <w:pPr>
              <w:spacing w:line="276" w:lineRule="auto"/>
              <w:jc w:val="center"/>
              <w:rPr>
                <w:rFonts w:cs="Calibri"/>
                <w:color w:val="000000"/>
                <w:sz w:val="22"/>
                <w:szCs w:val="22"/>
                <w:lang w:eastAsia="es-CR"/>
              </w:rPr>
            </w:pPr>
            <w:r w:rsidRPr="004E74A6">
              <w:rPr>
                <w:rFonts w:cs="Calibri"/>
                <w:color w:val="000000"/>
                <w:sz w:val="22"/>
                <w:szCs w:val="22"/>
                <w:lang w:eastAsia="es-CR"/>
              </w:rPr>
              <w:t>1%</w:t>
            </w:r>
          </w:p>
        </w:tc>
        <w:tc>
          <w:tcPr>
            <w:tcW w:w="1640" w:type="dxa"/>
            <w:tcBorders>
              <w:top w:val="nil"/>
              <w:left w:val="nil"/>
              <w:bottom w:val="nil"/>
              <w:right w:val="single" w:sz="4" w:space="0" w:color="auto"/>
            </w:tcBorders>
            <w:shd w:val="clear" w:color="auto" w:fill="auto"/>
            <w:noWrap/>
            <w:vAlign w:val="center"/>
            <w:hideMark/>
          </w:tcPr>
          <w:p w14:paraId="20D66146" w14:textId="77777777" w:rsidR="009B35F5" w:rsidRPr="004E74A6" w:rsidRDefault="009B35F5" w:rsidP="00832773">
            <w:pPr>
              <w:spacing w:line="276" w:lineRule="auto"/>
              <w:jc w:val="center"/>
              <w:rPr>
                <w:rFonts w:cs="Calibri"/>
                <w:color w:val="000000"/>
                <w:sz w:val="22"/>
                <w:szCs w:val="22"/>
                <w:lang w:eastAsia="es-CR"/>
              </w:rPr>
            </w:pPr>
            <w:r w:rsidRPr="004E74A6">
              <w:rPr>
                <w:rFonts w:cs="Calibri"/>
                <w:color w:val="000000"/>
                <w:sz w:val="22"/>
                <w:szCs w:val="22"/>
                <w:lang w:eastAsia="es-CR"/>
              </w:rPr>
              <w:t>20</w:t>
            </w:r>
          </w:p>
        </w:tc>
        <w:tc>
          <w:tcPr>
            <w:tcW w:w="1320" w:type="dxa"/>
            <w:tcBorders>
              <w:top w:val="nil"/>
              <w:left w:val="nil"/>
              <w:bottom w:val="nil"/>
              <w:right w:val="nil"/>
            </w:tcBorders>
            <w:shd w:val="clear" w:color="auto" w:fill="auto"/>
            <w:noWrap/>
            <w:vAlign w:val="center"/>
            <w:hideMark/>
          </w:tcPr>
          <w:p w14:paraId="5B5E8F19" w14:textId="77777777" w:rsidR="009B35F5" w:rsidRPr="004E74A6" w:rsidRDefault="009B35F5" w:rsidP="00832773">
            <w:pPr>
              <w:spacing w:line="276" w:lineRule="auto"/>
              <w:jc w:val="center"/>
              <w:rPr>
                <w:rFonts w:cs="Calibri"/>
                <w:color w:val="000000"/>
                <w:sz w:val="22"/>
                <w:szCs w:val="22"/>
                <w:lang w:eastAsia="es-CR"/>
              </w:rPr>
            </w:pPr>
            <w:r w:rsidRPr="004E74A6">
              <w:rPr>
                <w:rFonts w:cs="Calibri"/>
                <w:color w:val="000000"/>
                <w:sz w:val="22"/>
                <w:szCs w:val="22"/>
                <w:lang w:eastAsia="es-CR"/>
              </w:rPr>
              <w:t>1%</w:t>
            </w:r>
          </w:p>
        </w:tc>
      </w:tr>
      <w:tr w:rsidR="009B35F5" w:rsidRPr="004E74A6" w14:paraId="7CBA065E" w14:textId="77777777" w:rsidTr="00EB102E">
        <w:trPr>
          <w:trHeight w:val="348"/>
          <w:tblHeader/>
          <w:jc w:val="center"/>
        </w:trPr>
        <w:tc>
          <w:tcPr>
            <w:tcW w:w="2758" w:type="dxa"/>
            <w:tcBorders>
              <w:top w:val="nil"/>
              <w:left w:val="nil"/>
              <w:bottom w:val="nil"/>
              <w:right w:val="single" w:sz="4" w:space="0" w:color="auto"/>
            </w:tcBorders>
            <w:shd w:val="clear" w:color="auto" w:fill="auto"/>
            <w:noWrap/>
            <w:vAlign w:val="center"/>
            <w:hideMark/>
          </w:tcPr>
          <w:p w14:paraId="260E5D99" w14:textId="77777777" w:rsidR="009B35F5" w:rsidRPr="004E74A6" w:rsidRDefault="009B35F5" w:rsidP="00832773">
            <w:pPr>
              <w:spacing w:line="276" w:lineRule="auto"/>
              <w:jc w:val="left"/>
              <w:rPr>
                <w:rFonts w:cs="Calibri"/>
                <w:color w:val="000000"/>
                <w:sz w:val="22"/>
                <w:szCs w:val="22"/>
                <w:lang w:eastAsia="es-CR"/>
              </w:rPr>
            </w:pPr>
            <w:r w:rsidRPr="004E74A6">
              <w:rPr>
                <w:rFonts w:cs="Calibri"/>
                <w:color w:val="000000"/>
                <w:sz w:val="22"/>
                <w:szCs w:val="22"/>
                <w:lang w:eastAsia="es-CR"/>
              </w:rPr>
              <w:t>Proceso especial</w:t>
            </w:r>
          </w:p>
        </w:tc>
        <w:tc>
          <w:tcPr>
            <w:tcW w:w="1640" w:type="dxa"/>
            <w:tcBorders>
              <w:top w:val="nil"/>
              <w:left w:val="nil"/>
              <w:bottom w:val="nil"/>
              <w:right w:val="single" w:sz="4" w:space="0" w:color="auto"/>
            </w:tcBorders>
            <w:shd w:val="clear" w:color="auto" w:fill="auto"/>
            <w:noWrap/>
            <w:vAlign w:val="center"/>
            <w:hideMark/>
          </w:tcPr>
          <w:p w14:paraId="10296AF6" w14:textId="77777777" w:rsidR="009B35F5" w:rsidRPr="004E74A6" w:rsidRDefault="009B35F5" w:rsidP="00832773">
            <w:pPr>
              <w:spacing w:line="276" w:lineRule="auto"/>
              <w:jc w:val="center"/>
              <w:rPr>
                <w:rFonts w:cs="Calibri"/>
                <w:color w:val="000000"/>
                <w:sz w:val="22"/>
                <w:szCs w:val="22"/>
                <w:lang w:eastAsia="es-CR"/>
              </w:rPr>
            </w:pPr>
            <w:r w:rsidRPr="004E74A6">
              <w:rPr>
                <w:rFonts w:cs="Calibri"/>
                <w:color w:val="000000"/>
                <w:sz w:val="22"/>
                <w:szCs w:val="22"/>
                <w:lang w:eastAsia="es-CR"/>
              </w:rPr>
              <w:t>1</w:t>
            </w:r>
          </w:p>
        </w:tc>
        <w:tc>
          <w:tcPr>
            <w:tcW w:w="1475" w:type="dxa"/>
            <w:tcBorders>
              <w:top w:val="nil"/>
              <w:left w:val="nil"/>
              <w:bottom w:val="nil"/>
              <w:right w:val="single" w:sz="4" w:space="0" w:color="auto"/>
            </w:tcBorders>
            <w:shd w:val="clear" w:color="auto" w:fill="auto"/>
            <w:noWrap/>
            <w:vAlign w:val="center"/>
            <w:hideMark/>
          </w:tcPr>
          <w:p w14:paraId="1FF91192" w14:textId="77777777" w:rsidR="009B35F5" w:rsidRPr="004E74A6" w:rsidRDefault="009B35F5" w:rsidP="00832773">
            <w:pPr>
              <w:spacing w:line="276" w:lineRule="auto"/>
              <w:jc w:val="center"/>
              <w:rPr>
                <w:rFonts w:cs="Calibri"/>
                <w:color w:val="000000"/>
                <w:sz w:val="22"/>
                <w:szCs w:val="22"/>
                <w:lang w:eastAsia="es-CR"/>
              </w:rPr>
            </w:pPr>
            <w:r w:rsidRPr="004E74A6">
              <w:rPr>
                <w:rFonts w:cs="Calibri"/>
                <w:color w:val="000000"/>
                <w:sz w:val="22"/>
                <w:szCs w:val="22"/>
                <w:lang w:eastAsia="es-CR"/>
              </w:rPr>
              <w:t>0%</w:t>
            </w:r>
          </w:p>
        </w:tc>
        <w:tc>
          <w:tcPr>
            <w:tcW w:w="1640" w:type="dxa"/>
            <w:tcBorders>
              <w:top w:val="nil"/>
              <w:left w:val="nil"/>
              <w:bottom w:val="nil"/>
              <w:right w:val="single" w:sz="4" w:space="0" w:color="auto"/>
            </w:tcBorders>
            <w:shd w:val="clear" w:color="auto" w:fill="auto"/>
            <w:noWrap/>
            <w:vAlign w:val="center"/>
            <w:hideMark/>
          </w:tcPr>
          <w:p w14:paraId="3123DC57" w14:textId="77777777" w:rsidR="009B35F5" w:rsidRPr="004E74A6" w:rsidRDefault="009B35F5" w:rsidP="00832773">
            <w:pPr>
              <w:spacing w:line="276" w:lineRule="auto"/>
              <w:jc w:val="center"/>
              <w:rPr>
                <w:rFonts w:cs="Calibri"/>
                <w:color w:val="000000"/>
                <w:sz w:val="22"/>
                <w:szCs w:val="22"/>
                <w:lang w:eastAsia="es-CR"/>
              </w:rPr>
            </w:pPr>
            <w:r w:rsidRPr="004E74A6">
              <w:rPr>
                <w:rFonts w:cs="Calibri"/>
                <w:color w:val="000000"/>
                <w:sz w:val="22"/>
                <w:szCs w:val="22"/>
                <w:lang w:eastAsia="es-CR"/>
              </w:rPr>
              <w:t>0</w:t>
            </w:r>
          </w:p>
        </w:tc>
        <w:tc>
          <w:tcPr>
            <w:tcW w:w="1320" w:type="dxa"/>
            <w:tcBorders>
              <w:top w:val="nil"/>
              <w:left w:val="nil"/>
              <w:bottom w:val="nil"/>
              <w:right w:val="nil"/>
            </w:tcBorders>
            <w:shd w:val="clear" w:color="auto" w:fill="auto"/>
            <w:noWrap/>
            <w:vAlign w:val="center"/>
            <w:hideMark/>
          </w:tcPr>
          <w:p w14:paraId="47C8C853" w14:textId="77777777" w:rsidR="009B35F5" w:rsidRPr="004E74A6" w:rsidRDefault="009B35F5" w:rsidP="00832773">
            <w:pPr>
              <w:spacing w:line="276" w:lineRule="auto"/>
              <w:jc w:val="center"/>
              <w:rPr>
                <w:rFonts w:cs="Calibri"/>
                <w:color w:val="000000"/>
                <w:sz w:val="22"/>
                <w:szCs w:val="22"/>
                <w:lang w:eastAsia="es-CR"/>
              </w:rPr>
            </w:pPr>
            <w:r w:rsidRPr="004E74A6">
              <w:rPr>
                <w:rFonts w:cs="Calibri"/>
                <w:color w:val="000000"/>
                <w:sz w:val="22"/>
                <w:szCs w:val="22"/>
                <w:lang w:eastAsia="es-CR"/>
              </w:rPr>
              <w:t>0%</w:t>
            </w:r>
          </w:p>
        </w:tc>
      </w:tr>
      <w:tr w:rsidR="009B35F5" w:rsidRPr="004E74A6" w14:paraId="62DDE2CC" w14:textId="77777777" w:rsidTr="00EB102E">
        <w:trPr>
          <w:trHeight w:val="348"/>
          <w:tblHeader/>
          <w:jc w:val="center"/>
        </w:trPr>
        <w:tc>
          <w:tcPr>
            <w:tcW w:w="2758" w:type="dxa"/>
            <w:tcBorders>
              <w:top w:val="nil"/>
              <w:left w:val="nil"/>
              <w:bottom w:val="nil"/>
              <w:right w:val="single" w:sz="4" w:space="0" w:color="auto"/>
            </w:tcBorders>
            <w:shd w:val="clear" w:color="auto" w:fill="auto"/>
            <w:noWrap/>
            <w:vAlign w:val="center"/>
            <w:hideMark/>
          </w:tcPr>
          <w:p w14:paraId="07934BC6" w14:textId="77777777" w:rsidR="009B35F5" w:rsidRPr="004E74A6" w:rsidRDefault="009B35F5" w:rsidP="00832773">
            <w:pPr>
              <w:spacing w:line="276" w:lineRule="auto"/>
              <w:jc w:val="left"/>
              <w:rPr>
                <w:rFonts w:cs="Calibri"/>
                <w:color w:val="000000"/>
                <w:sz w:val="22"/>
                <w:szCs w:val="22"/>
                <w:lang w:eastAsia="es-CR"/>
              </w:rPr>
            </w:pPr>
            <w:r w:rsidRPr="004E74A6">
              <w:rPr>
                <w:rFonts w:cs="Calibri"/>
                <w:color w:val="000000"/>
                <w:sz w:val="22"/>
                <w:szCs w:val="22"/>
                <w:lang w:eastAsia="es-CR"/>
              </w:rPr>
              <w:t>Recurso</w:t>
            </w:r>
          </w:p>
        </w:tc>
        <w:tc>
          <w:tcPr>
            <w:tcW w:w="1640" w:type="dxa"/>
            <w:tcBorders>
              <w:top w:val="nil"/>
              <w:left w:val="nil"/>
              <w:bottom w:val="nil"/>
              <w:right w:val="single" w:sz="4" w:space="0" w:color="auto"/>
            </w:tcBorders>
            <w:shd w:val="clear" w:color="auto" w:fill="auto"/>
            <w:noWrap/>
            <w:vAlign w:val="center"/>
            <w:hideMark/>
          </w:tcPr>
          <w:p w14:paraId="38CE95B7" w14:textId="77777777" w:rsidR="009B35F5" w:rsidRPr="004E74A6" w:rsidRDefault="009B35F5" w:rsidP="00832773">
            <w:pPr>
              <w:spacing w:line="276" w:lineRule="auto"/>
              <w:jc w:val="center"/>
              <w:rPr>
                <w:rFonts w:cs="Calibri"/>
                <w:color w:val="000000"/>
                <w:sz w:val="22"/>
                <w:szCs w:val="22"/>
                <w:lang w:eastAsia="es-CR"/>
              </w:rPr>
            </w:pPr>
            <w:r w:rsidRPr="004E74A6">
              <w:rPr>
                <w:rFonts w:cs="Calibri"/>
                <w:color w:val="000000"/>
                <w:sz w:val="22"/>
                <w:szCs w:val="22"/>
                <w:lang w:eastAsia="es-CR"/>
              </w:rPr>
              <w:t>3</w:t>
            </w:r>
          </w:p>
        </w:tc>
        <w:tc>
          <w:tcPr>
            <w:tcW w:w="1475" w:type="dxa"/>
            <w:tcBorders>
              <w:top w:val="nil"/>
              <w:left w:val="nil"/>
              <w:bottom w:val="nil"/>
              <w:right w:val="single" w:sz="4" w:space="0" w:color="auto"/>
            </w:tcBorders>
            <w:shd w:val="clear" w:color="auto" w:fill="auto"/>
            <w:noWrap/>
            <w:vAlign w:val="center"/>
            <w:hideMark/>
          </w:tcPr>
          <w:p w14:paraId="68525C74" w14:textId="77777777" w:rsidR="009B35F5" w:rsidRPr="004E74A6" w:rsidRDefault="009B35F5" w:rsidP="00832773">
            <w:pPr>
              <w:spacing w:line="276" w:lineRule="auto"/>
              <w:jc w:val="center"/>
              <w:rPr>
                <w:rFonts w:cs="Calibri"/>
                <w:color w:val="000000"/>
                <w:sz w:val="22"/>
                <w:szCs w:val="22"/>
                <w:lang w:eastAsia="es-CR"/>
              </w:rPr>
            </w:pPr>
            <w:r w:rsidRPr="004E74A6">
              <w:rPr>
                <w:rFonts w:cs="Calibri"/>
                <w:color w:val="000000"/>
                <w:sz w:val="22"/>
                <w:szCs w:val="22"/>
                <w:lang w:eastAsia="es-CR"/>
              </w:rPr>
              <w:t>0%</w:t>
            </w:r>
          </w:p>
        </w:tc>
        <w:tc>
          <w:tcPr>
            <w:tcW w:w="1640" w:type="dxa"/>
            <w:tcBorders>
              <w:top w:val="nil"/>
              <w:left w:val="nil"/>
              <w:bottom w:val="nil"/>
              <w:right w:val="single" w:sz="4" w:space="0" w:color="auto"/>
            </w:tcBorders>
            <w:shd w:val="clear" w:color="auto" w:fill="auto"/>
            <w:noWrap/>
            <w:vAlign w:val="center"/>
            <w:hideMark/>
          </w:tcPr>
          <w:p w14:paraId="3AB1B937" w14:textId="77777777" w:rsidR="009B35F5" w:rsidRPr="004E74A6" w:rsidRDefault="009B35F5" w:rsidP="00832773">
            <w:pPr>
              <w:spacing w:line="276" w:lineRule="auto"/>
              <w:jc w:val="center"/>
              <w:rPr>
                <w:rFonts w:cs="Calibri"/>
                <w:color w:val="000000"/>
                <w:sz w:val="22"/>
                <w:szCs w:val="22"/>
                <w:lang w:eastAsia="es-CR"/>
              </w:rPr>
            </w:pPr>
            <w:r w:rsidRPr="004E74A6">
              <w:rPr>
                <w:rFonts w:cs="Calibri"/>
                <w:color w:val="000000"/>
                <w:sz w:val="22"/>
                <w:szCs w:val="22"/>
                <w:lang w:eastAsia="es-CR"/>
              </w:rPr>
              <w:t>7</w:t>
            </w:r>
          </w:p>
        </w:tc>
        <w:tc>
          <w:tcPr>
            <w:tcW w:w="1320" w:type="dxa"/>
            <w:tcBorders>
              <w:top w:val="nil"/>
              <w:left w:val="nil"/>
              <w:bottom w:val="nil"/>
              <w:right w:val="nil"/>
            </w:tcBorders>
            <w:shd w:val="clear" w:color="auto" w:fill="auto"/>
            <w:noWrap/>
            <w:vAlign w:val="center"/>
            <w:hideMark/>
          </w:tcPr>
          <w:p w14:paraId="4F1B3C1C" w14:textId="77777777" w:rsidR="009B35F5" w:rsidRPr="004E74A6" w:rsidRDefault="009B35F5" w:rsidP="00832773">
            <w:pPr>
              <w:spacing w:line="276" w:lineRule="auto"/>
              <w:jc w:val="center"/>
              <w:rPr>
                <w:rFonts w:cs="Calibri"/>
                <w:color w:val="000000"/>
                <w:sz w:val="22"/>
                <w:szCs w:val="22"/>
                <w:lang w:eastAsia="es-CR"/>
              </w:rPr>
            </w:pPr>
            <w:r w:rsidRPr="004E74A6">
              <w:rPr>
                <w:rFonts w:cs="Calibri"/>
                <w:color w:val="000000"/>
                <w:sz w:val="22"/>
                <w:szCs w:val="22"/>
                <w:lang w:eastAsia="es-CR"/>
              </w:rPr>
              <w:t>0%</w:t>
            </w:r>
          </w:p>
        </w:tc>
      </w:tr>
      <w:tr w:rsidR="009B35F5" w:rsidRPr="004E74A6" w14:paraId="5DCD60DF" w14:textId="77777777" w:rsidTr="00EB102E">
        <w:trPr>
          <w:trHeight w:val="348"/>
          <w:tblHeader/>
          <w:jc w:val="center"/>
        </w:trPr>
        <w:tc>
          <w:tcPr>
            <w:tcW w:w="2758" w:type="dxa"/>
            <w:tcBorders>
              <w:top w:val="nil"/>
              <w:left w:val="nil"/>
              <w:bottom w:val="nil"/>
              <w:right w:val="single" w:sz="4" w:space="0" w:color="auto"/>
            </w:tcBorders>
            <w:shd w:val="clear" w:color="auto" w:fill="auto"/>
            <w:noWrap/>
            <w:vAlign w:val="center"/>
            <w:hideMark/>
          </w:tcPr>
          <w:p w14:paraId="7552AA23" w14:textId="77777777" w:rsidR="009B35F5" w:rsidRPr="004E74A6" w:rsidRDefault="009B35F5" w:rsidP="00832773">
            <w:pPr>
              <w:spacing w:line="276" w:lineRule="auto"/>
              <w:jc w:val="left"/>
              <w:rPr>
                <w:rFonts w:cs="Calibri"/>
                <w:color w:val="000000"/>
                <w:sz w:val="22"/>
                <w:szCs w:val="22"/>
                <w:lang w:eastAsia="es-CR"/>
              </w:rPr>
            </w:pPr>
            <w:r w:rsidRPr="004E74A6">
              <w:rPr>
                <w:rFonts w:cs="Calibri"/>
                <w:color w:val="000000"/>
                <w:sz w:val="22"/>
                <w:szCs w:val="22"/>
                <w:lang w:eastAsia="es-CR"/>
              </w:rPr>
              <w:t>Revisión</w:t>
            </w:r>
          </w:p>
        </w:tc>
        <w:tc>
          <w:tcPr>
            <w:tcW w:w="1640" w:type="dxa"/>
            <w:tcBorders>
              <w:top w:val="nil"/>
              <w:left w:val="nil"/>
              <w:bottom w:val="nil"/>
              <w:right w:val="single" w:sz="4" w:space="0" w:color="auto"/>
            </w:tcBorders>
            <w:shd w:val="clear" w:color="auto" w:fill="auto"/>
            <w:noWrap/>
            <w:vAlign w:val="center"/>
            <w:hideMark/>
          </w:tcPr>
          <w:p w14:paraId="7F55EE7B" w14:textId="77777777" w:rsidR="009B35F5" w:rsidRPr="004E74A6" w:rsidRDefault="009B35F5" w:rsidP="00832773">
            <w:pPr>
              <w:spacing w:line="276" w:lineRule="auto"/>
              <w:jc w:val="center"/>
              <w:rPr>
                <w:rFonts w:cs="Calibri"/>
                <w:color w:val="000000"/>
                <w:sz w:val="22"/>
                <w:szCs w:val="22"/>
                <w:lang w:eastAsia="es-CR"/>
              </w:rPr>
            </w:pPr>
            <w:r w:rsidRPr="004E74A6">
              <w:rPr>
                <w:rFonts w:cs="Calibri"/>
                <w:color w:val="000000"/>
                <w:sz w:val="22"/>
                <w:szCs w:val="22"/>
                <w:lang w:eastAsia="es-CR"/>
              </w:rPr>
              <w:t>24</w:t>
            </w:r>
          </w:p>
        </w:tc>
        <w:tc>
          <w:tcPr>
            <w:tcW w:w="1475" w:type="dxa"/>
            <w:tcBorders>
              <w:top w:val="nil"/>
              <w:left w:val="nil"/>
              <w:bottom w:val="nil"/>
              <w:right w:val="single" w:sz="4" w:space="0" w:color="auto"/>
            </w:tcBorders>
            <w:shd w:val="clear" w:color="auto" w:fill="auto"/>
            <w:noWrap/>
            <w:vAlign w:val="center"/>
            <w:hideMark/>
          </w:tcPr>
          <w:p w14:paraId="1EAAE8EF" w14:textId="77777777" w:rsidR="009B35F5" w:rsidRPr="004E74A6" w:rsidRDefault="009B35F5" w:rsidP="00832773">
            <w:pPr>
              <w:spacing w:line="276" w:lineRule="auto"/>
              <w:jc w:val="center"/>
              <w:rPr>
                <w:rFonts w:cs="Calibri"/>
                <w:color w:val="000000"/>
                <w:sz w:val="22"/>
                <w:szCs w:val="22"/>
                <w:lang w:eastAsia="es-CR"/>
              </w:rPr>
            </w:pPr>
            <w:r w:rsidRPr="004E74A6">
              <w:rPr>
                <w:rFonts w:cs="Calibri"/>
                <w:color w:val="000000"/>
                <w:sz w:val="22"/>
                <w:szCs w:val="22"/>
                <w:lang w:eastAsia="es-CR"/>
              </w:rPr>
              <w:t>1%</w:t>
            </w:r>
          </w:p>
        </w:tc>
        <w:tc>
          <w:tcPr>
            <w:tcW w:w="1640" w:type="dxa"/>
            <w:tcBorders>
              <w:top w:val="nil"/>
              <w:left w:val="nil"/>
              <w:bottom w:val="nil"/>
              <w:right w:val="single" w:sz="4" w:space="0" w:color="auto"/>
            </w:tcBorders>
            <w:shd w:val="clear" w:color="auto" w:fill="auto"/>
            <w:noWrap/>
            <w:vAlign w:val="center"/>
            <w:hideMark/>
          </w:tcPr>
          <w:p w14:paraId="1DB6E33B" w14:textId="77777777" w:rsidR="009B35F5" w:rsidRPr="004E74A6" w:rsidRDefault="009B35F5" w:rsidP="00832773">
            <w:pPr>
              <w:spacing w:line="276" w:lineRule="auto"/>
              <w:jc w:val="center"/>
              <w:rPr>
                <w:rFonts w:cs="Calibri"/>
                <w:color w:val="000000"/>
                <w:sz w:val="22"/>
                <w:szCs w:val="22"/>
                <w:lang w:eastAsia="es-CR"/>
              </w:rPr>
            </w:pPr>
            <w:r w:rsidRPr="004E74A6">
              <w:rPr>
                <w:rFonts w:cs="Calibri"/>
                <w:color w:val="000000"/>
                <w:sz w:val="22"/>
                <w:szCs w:val="22"/>
                <w:lang w:eastAsia="es-CR"/>
              </w:rPr>
              <w:t>42</w:t>
            </w:r>
          </w:p>
        </w:tc>
        <w:tc>
          <w:tcPr>
            <w:tcW w:w="1320" w:type="dxa"/>
            <w:tcBorders>
              <w:top w:val="nil"/>
              <w:left w:val="nil"/>
              <w:bottom w:val="nil"/>
              <w:right w:val="nil"/>
            </w:tcBorders>
            <w:shd w:val="clear" w:color="auto" w:fill="auto"/>
            <w:noWrap/>
            <w:vAlign w:val="center"/>
            <w:hideMark/>
          </w:tcPr>
          <w:p w14:paraId="0C381013" w14:textId="77777777" w:rsidR="009B35F5" w:rsidRPr="004E74A6" w:rsidRDefault="009B35F5" w:rsidP="00832773">
            <w:pPr>
              <w:spacing w:line="276" w:lineRule="auto"/>
              <w:jc w:val="center"/>
              <w:rPr>
                <w:rFonts w:cs="Calibri"/>
                <w:color w:val="000000"/>
                <w:sz w:val="22"/>
                <w:szCs w:val="22"/>
                <w:lang w:eastAsia="es-CR"/>
              </w:rPr>
            </w:pPr>
            <w:r w:rsidRPr="004E74A6">
              <w:rPr>
                <w:rFonts w:cs="Calibri"/>
                <w:color w:val="000000"/>
                <w:sz w:val="22"/>
                <w:szCs w:val="22"/>
                <w:lang w:eastAsia="es-CR"/>
              </w:rPr>
              <w:t>2%</w:t>
            </w:r>
          </w:p>
        </w:tc>
      </w:tr>
      <w:tr w:rsidR="009B35F5" w:rsidRPr="004E74A6" w14:paraId="5331E6FC" w14:textId="77777777" w:rsidTr="00EB102E">
        <w:trPr>
          <w:trHeight w:val="348"/>
          <w:tblHeader/>
          <w:jc w:val="center"/>
        </w:trPr>
        <w:tc>
          <w:tcPr>
            <w:tcW w:w="2758" w:type="dxa"/>
            <w:tcBorders>
              <w:top w:val="nil"/>
              <w:left w:val="nil"/>
              <w:bottom w:val="nil"/>
              <w:right w:val="single" w:sz="4" w:space="0" w:color="auto"/>
            </w:tcBorders>
            <w:shd w:val="clear" w:color="auto" w:fill="auto"/>
            <w:noWrap/>
            <w:vAlign w:val="center"/>
            <w:hideMark/>
          </w:tcPr>
          <w:p w14:paraId="2B0A3F27" w14:textId="77777777" w:rsidR="009B35F5" w:rsidRPr="004E74A6" w:rsidRDefault="009B35F5" w:rsidP="00832773">
            <w:pPr>
              <w:spacing w:line="276" w:lineRule="auto"/>
              <w:jc w:val="left"/>
              <w:rPr>
                <w:rFonts w:cs="Calibri"/>
                <w:color w:val="000000"/>
                <w:sz w:val="22"/>
                <w:szCs w:val="22"/>
                <w:lang w:eastAsia="es-CR"/>
              </w:rPr>
            </w:pPr>
            <w:r w:rsidRPr="004E74A6">
              <w:rPr>
                <w:rFonts w:cs="Calibri"/>
                <w:color w:val="000000"/>
                <w:sz w:val="22"/>
                <w:szCs w:val="22"/>
                <w:lang w:eastAsia="es-CR"/>
              </w:rPr>
              <w:t>Otros**</w:t>
            </w:r>
          </w:p>
        </w:tc>
        <w:tc>
          <w:tcPr>
            <w:tcW w:w="1640" w:type="dxa"/>
            <w:tcBorders>
              <w:top w:val="nil"/>
              <w:left w:val="nil"/>
              <w:bottom w:val="nil"/>
              <w:right w:val="single" w:sz="4" w:space="0" w:color="auto"/>
            </w:tcBorders>
            <w:shd w:val="clear" w:color="auto" w:fill="auto"/>
            <w:noWrap/>
            <w:vAlign w:val="center"/>
            <w:hideMark/>
          </w:tcPr>
          <w:p w14:paraId="43258379" w14:textId="77777777" w:rsidR="009B35F5" w:rsidRPr="004E74A6" w:rsidRDefault="009B35F5" w:rsidP="00832773">
            <w:pPr>
              <w:spacing w:line="276" w:lineRule="auto"/>
              <w:jc w:val="center"/>
              <w:rPr>
                <w:rFonts w:cs="Calibri"/>
                <w:color w:val="000000"/>
                <w:sz w:val="22"/>
                <w:szCs w:val="22"/>
                <w:lang w:eastAsia="es-CR"/>
              </w:rPr>
            </w:pPr>
            <w:r w:rsidRPr="004E74A6">
              <w:rPr>
                <w:rFonts w:cs="Calibri"/>
                <w:color w:val="000000"/>
                <w:sz w:val="22"/>
                <w:szCs w:val="22"/>
                <w:lang w:eastAsia="es-CR"/>
              </w:rPr>
              <w:t>51</w:t>
            </w:r>
          </w:p>
        </w:tc>
        <w:tc>
          <w:tcPr>
            <w:tcW w:w="1475" w:type="dxa"/>
            <w:tcBorders>
              <w:top w:val="nil"/>
              <w:left w:val="nil"/>
              <w:bottom w:val="nil"/>
              <w:right w:val="single" w:sz="4" w:space="0" w:color="auto"/>
            </w:tcBorders>
            <w:shd w:val="clear" w:color="auto" w:fill="auto"/>
            <w:noWrap/>
            <w:vAlign w:val="center"/>
            <w:hideMark/>
          </w:tcPr>
          <w:p w14:paraId="11319DAA" w14:textId="77777777" w:rsidR="009B35F5" w:rsidRPr="004E74A6" w:rsidRDefault="009B35F5" w:rsidP="00832773">
            <w:pPr>
              <w:spacing w:line="276" w:lineRule="auto"/>
              <w:jc w:val="center"/>
              <w:rPr>
                <w:rFonts w:cs="Calibri"/>
                <w:color w:val="000000"/>
                <w:sz w:val="22"/>
                <w:szCs w:val="22"/>
                <w:lang w:eastAsia="es-CR"/>
              </w:rPr>
            </w:pPr>
            <w:r w:rsidRPr="004E74A6">
              <w:rPr>
                <w:rFonts w:cs="Calibri"/>
                <w:color w:val="000000"/>
                <w:sz w:val="22"/>
                <w:szCs w:val="22"/>
                <w:lang w:eastAsia="es-CR"/>
              </w:rPr>
              <w:t>2%</w:t>
            </w:r>
          </w:p>
        </w:tc>
        <w:tc>
          <w:tcPr>
            <w:tcW w:w="1640" w:type="dxa"/>
            <w:tcBorders>
              <w:top w:val="nil"/>
              <w:left w:val="nil"/>
              <w:bottom w:val="nil"/>
              <w:right w:val="single" w:sz="4" w:space="0" w:color="auto"/>
            </w:tcBorders>
            <w:shd w:val="clear" w:color="auto" w:fill="auto"/>
            <w:noWrap/>
            <w:vAlign w:val="center"/>
            <w:hideMark/>
          </w:tcPr>
          <w:p w14:paraId="377A3B08" w14:textId="77777777" w:rsidR="009B35F5" w:rsidRPr="004E74A6" w:rsidRDefault="009B35F5" w:rsidP="00832773">
            <w:pPr>
              <w:spacing w:line="276" w:lineRule="auto"/>
              <w:jc w:val="center"/>
              <w:rPr>
                <w:rFonts w:cs="Calibri"/>
                <w:color w:val="000000"/>
                <w:sz w:val="22"/>
                <w:szCs w:val="22"/>
                <w:lang w:eastAsia="es-CR"/>
              </w:rPr>
            </w:pPr>
            <w:r w:rsidRPr="004E74A6">
              <w:rPr>
                <w:rFonts w:cs="Calibri"/>
                <w:color w:val="000000"/>
                <w:sz w:val="22"/>
                <w:szCs w:val="22"/>
                <w:lang w:eastAsia="es-CR"/>
              </w:rPr>
              <w:t>218</w:t>
            </w:r>
          </w:p>
        </w:tc>
        <w:tc>
          <w:tcPr>
            <w:tcW w:w="1320" w:type="dxa"/>
            <w:tcBorders>
              <w:top w:val="nil"/>
              <w:left w:val="nil"/>
              <w:bottom w:val="nil"/>
              <w:right w:val="nil"/>
            </w:tcBorders>
            <w:shd w:val="clear" w:color="auto" w:fill="auto"/>
            <w:noWrap/>
            <w:vAlign w:val="center"/>
            <w:hideMark/>
          </w:tcPr>
          <w:p w14:paraId="67376531" w14:textId="77777777" w:rsidR="009B35F5" w:rsidRPr="004E74A6" w:rsidRDefault="009B35F5" w:rsidP="00832773">
            <w:pPr>
              <w:spacing w:line="276" w:lineRule="auto"/>
              <w:jc w:val="center"/>
              <w:rPr>
                <w:rFonts w:cs="Calibri"/>
                <w:color w:val="000000"/>
                <w:sz w:val="22"/>
                <w:szCs w:val="22"/>
                <w:lang w:eastAsia="es-CR"/>
              </w:rPr>
            </w:pPr>
            <w:r w:rsidRPr="004E74A6">
              <w:rPr>
                <w:rFonts w:cs="Calibri"/>
                <w:color w:val="000000"/>
                <w:sz w:val="22"/>
                <w:szCs w:val="22"/>
                <w:lang w:eastAsia="es-CR"/>
              </w:rPr>
              <w:t>11%</w:t>
            </w:r>
          </w:p>
        </w:tc>
      </w:tr>
      <w:tr w:rsidR="009B35F5" w:rsidRPr="004E74A6" w14:paraId="25BEF339" w14:textId="77777777" w:rsidTr="00EB102E">
        <w:trPr>
          <w:trHeight w:val="348"/>
          <w:tblHeader/>
          <w:jc w:val="center"/>
        </w:trPr>
        <w:tc>
          <w:tcPr>
            <w:tcW w:w="2758" w:type="dxa"/>
            <w:tcBorders>
              <w:top w:val="nil"/>
              <w:left w:val="nil"/>
              <w:bottom w:val="single" w:sz="4" w:space="0" w:color="auto"/>
              <w:right w:val="single" w:sz="4" w:space="0" w:color="auto"/>
            </w:tcBorders>
            <w:shd w:val="clear" w:color="auto" w:fill="auto"/>
            <w:noWrap/>
            <w:vAlign w:val="center"/>
            <w:hideMark/>
          </w:tcPr>
          <w:p w14:paraId="3C7737C0" w14:textId="77777777" w:rsidR="009B35F5" w:rsidRPr="004E74A6" w:rsidRDefault="009B35F5" w:rsidP="00832773">
            <w:pPr>
              <w:spacing w:line="276" w:lineRule="auto"/>
              <w:jc w:val="left"/>
              <w:rPr>
                <w:rFonts w:cs="Calibri"/>
                <w:b/>
                <w:bCs/>
                <w:color w:val="000000"/>
                <w:sz w:val="22"/>
                <w:szCs w:val="22"/>
                <w:lang w:eastAsia="es-CR"/>
              </w:rPr>
            </w:pPr>
            <w:r w:rsidRPr="004E74A6">
              <w:rPr>
                <w:rFonts w:cs="Calibri"/>
                <w:b/>
                <w:bCs/>
                <w:color w:val="000000"/>
                <w:sz w:val="22"/>
                <w:szCs w:val="22"/>
                <w:lang w:eastAsia="es-CR"/>
              </w:rPr>
              <w:t> </w:t>
            </w:r>
          </w:p>
        </w:tc>
        <w:tc>
          <w:tcPr>
            <w:tcW w:w="1640" w:type="dxa"/>
            <w:tcBorders>
              <w:top w:val="nil"/>
              <w:left w:val="nil"/>
              <w:bottom w:val="single" w:sz="4" w:space="0" w:color="auto"/>
              <w:right w:val="single" w:sz="4" w:space="0" w:color="auto"/>
            </w:tcBorders>
            <w:shd w:val="clear" w:color="auto" w:fill="auto"/>
            <w:noWrap/>
            <w:vAlign w:val="center"/>
            <w:hideMark/>
          </w:tcPr>
          <w:p w14:paraId="44A2914C" w14:textId="77777777" w:rsidR="009B35F5" w:rsidRPr="004E74A6" w:rsidRDefault="009B35F5" w:rsidP="00832773">
            <w:pPr>
              <w:spacing w:line="276" w:lineRule="auto"/>
              <w:jc w:val="center"/>
              <w:rPr>
                <w:rFonts w:cs="Calibri"/>
                <w:b/>
                <w:bCs/>
                <w:color w:val="000000"/>
                <w:sz w:val="22"/>
                <w:szCs w:val="22"/>
                <w:lang w:eastAsia="es-CR"/>
              </w:rPr>
            </w:pPr>
            <w:r w:rsidRPr="004E74A6">
              <w:rPr>
                <w:rFonts w:cs="Calibri"/>
                <w:b/>
                <w:bCs/>
                <w:color w:val="000000"/>
                <w:sz w:val="22"/>
                <w:szCs w:val="22"/>
                <w:lang w:eastAsia="es-CR"/>
              </w:rPr>
              <w:t> </w:t>
            </w:r>
          </w:p>
        </w:tc>
        <w:tc>
          <w:tcPr>
            <w:tcW w:w="1475" w:type="dxa"/>
            <w:tcBorders>
              <w:top w:val="nil"/>
              <w:left w:val="nil"/>
              <w:bottom w:val="single" w:sz="4" w:space="0" w:color="auto"/>
              <w:right w:val="single" w:sz="4" w:space="0" w:color="auto"/>
            </w:tcBorders>
            <w:shd w:val="clear" w:color="auto" w:fill="auto"/>
            <w:noWrap/>
            <w:vAlign w:val="center"/>
            <w:hideMark/>
          </w:tcPr>
          <w:p w14:paraId="2BACF491" w14:textId="77777777" w:rsidR="009B35F5" w:rsidRPr="004E74A6" w:rsidRDefault="009B35F5" w:rsidP="00832773">
            <w:pPr>
              <w:spacing w:line="276" w:lineRule="auto"/>
              <w:jc w:val="center"/>
              <w:rPr>
                <w:rFonts w:cs="Calibri"/>
                <w:b/>
                <w:bCs/>
                <w:color w:val="000000"/>
                <w:sz w:val="22"/>
                <w:szCs w:val="22"/>
                <w:lang w:eastAsia="es-CR"/>
              </w:rPr>
            </w:pPr>
            <w:r w:rsidRPr="004E74A6">
              <w:rPr>
                <w:rFonts w:cs="Calibri"/>
                <w:b/>
                <w:bCs/>
                <w:color w:val="000000"/>
                <w:sz w:val="22"/>
                <w:szCs w:val="22"/>
                <w:lang w:eastAsia="es-CR"/>
              </w:rPr>
              <w:t> </w:t>
            </w:r>
          </w:p>
        </w:tc>
        <w:tc>
          <w:tcPr>
            <w:tcW w:w="1640" w:type="dxa"/>
            <w:tcBorders>
              <w:top w:val="nil"/>
              <w:left w:val="nil"/>
              <w:bottom w:val="single" w:sz="4" w:space="0" w:color="auto"/>
              <w:right w:val="single" w:sz="4" w:space="0" w:color="auto"/>
            </w:tcBorders>
            <w:shd w:val="clear" w:color="auto" w:fill="auto"/>
            <w:noWrap/>
            <w:vAlign w:val="center"/>
            <w:hideMark/>
          </w:tcPr>
          <w:p w14:paraId="252F1DFE" w14:textId="77777777" w:rsidR="009B35F5" w:rsidRPr="004E74A6" w:rsidRDefault="009B35F5" w:rsidP="00832773">
            <w:pPr>
              <w:spacing w:line="276" w:lineRule="auto"/>
              <w:jc w:val="center"/>
              <w:rPr>
                <w:rFonts w:cs="Calibri"/>
                <w:b/>
                <w:bCs/>
                <w:color w:val="000000"/>
                <w:sz w:val="22"/>
                <w:szCs w:val="22"/>
                <w:lang w:eastAsia="es-CR"/>
              </w:rPr>
            </w:pPr>
            <w:r w:rsidRPr="004E74A6">
              <w:rPr>
                <w:rFonts w:cs="Calibri"/>
                <w:b/>
                <w:bCs/>
                <w:color w:val="000000"/>
                <w:sz w:val="22"/>
                <w:szCs w:val="22"/>
                <w:lang w:eastAsia="es-CR"/>
              </w:rPr>
              <w:t> </w:t>
            </w:r>
          </w:p>
        </w:tc>
        <w:tc>
          <w:tcPr>
            <w:tcW w:w="1320" w:type="dxa"/>
            <w:tcBorders>
              <w:top w:val="nil"/>
              <w:left w:val="nil"/>
              <w:bottom w:val="single" w:sz="4" w:space="0" w:color="auto"/>
              <w:right w:val="nil"/>
            </w:tcBorders>
            <w:shd w:val="clear" w:color="auto" w:fill="auto"/>
            <w:noWrap/>
            <w:vAlign w:val="center"/>
            <w:hideMark/>
          </w:tcPr>
          <w:p w14:paraId="1B9E5F69" w14:textId="77777777" w:rsidR="009B35F5" w:rsidRPr="004E74A6" w:rsidRDefault="009B35F5" w:rsidP="00832773">
            <w:pPr>
              <w:spacing w:line="276" w:lineRule="auto"/>
              <w:jc w:val="center"/>
              <w:rPr>
                <w:rFonts w:cs="Calibri"/>
                <w:b/>
                <w:bCs/>
                <w:color w:val="000000"/>
                <w:sz w:val="22"/>
                <w:szCs w:val="22"/>
                <w:lang w:eastAsia="es-CR"/>
              </w:rPr>
            </w:pPr>
            <w:r w:rsidRPr="004E74A6">
              <w:rPr>
                <w:rFonts w:cs="Calibri"/>
                <w:b/>
                <w:bCs/>
                <w:color w:val="000000"/>
                <w:sz w:val="22"/>
                <w:szCs w:val="22"/>
                <w:lang w:eastAsia="es-CR"/>
              </w:rPr>
              <w:t> </w:t>
            </w:r>
          </w:p>
        </w:tc>
      </w:tr>
      <w:tr w:rsidR="009B35F5" w:rsidRPr="004E74A6" w14:paraId="03B4BDD8" w14:textId="77777777" w:rsidTr="00EB102E">
        <w:trPr>
          <w:trHeight w:val="288"/>
          <w:tblHeader/>
          <w:jc w:val="center"/>
        </w:trPr>
        <w:tc>
          <w:tcPr>
            <w:tcW w:w="8833" w:type="dxa"/>
            <w:gridSpan w:val="5"/>
            <w:tcBorders>
              <w:top w:val="nil"/>
              <w:left w:val="nil"/>
              <w:bottom w:val="nil"/>
              <w:right w:val="nil"/>
            </w:tcBorders>
            <w:shd w:val="clear" w:color="auto" w:fill="auto"/>
            <w:hideMark/>
          </w:tcPr>
          <w:p w14:paraId="29858E67" w14:textId="77777777" w:rsidR="009B35F5" w:rsidRPr="004E74A6" w:rsidRDefault="009B35F5" w:rsidP="00832773">
            <w:pPr>
              <w:spacing w:line="276" w:lineRule="auto"/>
              <w:jc w:val="left"/>
              <w:rPr>
                <w:rFonts w:cs="Calibri"/>
                <w:b/>
                <w:bCs/>
                <w:i/>
                <w:iCs/>
                <w:color w:val="000000"/>
                <w:sz w:val="20"/>
                <w:lang w:eastAsia="es-CR"/>
              </w:rPr>
            </w:pPr>
            <w:r w:rsidRPr="004E74A6">
              <w:rPr>
                <w:rFonts w:cs="Calibri"/>
                <w:b/>
                <w:bCs/>
                <w:i/>
                <w:iCs/>
                <w:color w:val="000000"/>
                <w:sz w:val="20"/>
                <w:lang w:eastAsia="es-CR"/>
              </w:rPr>
              <w:t>Fuente</w:t>
            </w:r>
            <w:r w:rsidRPr="004E74A6">
              <w:rPr>
                <w:rFonts w:cs="Calibri"/>
                <w:i/>
                <w:iCs/>
                <w:color w:val="000000"/>
                <w:sz w:val="20"/>
                <w:lang w:eastAsia="es-CR"/>
              </w:rPr>
              <w:t>: Subproceso de Modernización Institucional con datos extraídos del sistema SIGMA, Dirección de Planificación.</w:t>
            </w:r>
          </w:p>
        </w:tc>
      </w:tr>
      <w:tr w:rsidR="009B35F5" w:rsidRPr="004E74A6" w14:paraId="13936D75" w14:textId="77777777" w:rsidTr="00EB102E">
        <w:trPr>
          <w:trHeight w:val="288"/>
          <w:tblHeader/>
          <w:jc w:val="center"/>
        </w:trPr>
        <w:tc>
          <w:tcPr>
            <w:tcW w:w="7513" w:type="dxa"/>
            <w:gridSpan w:val="4"/>
            <w:tcBorders>
              <w:top w:val="nil"/>
              <w:left w:val="nil"/>
              <w:bottom w:val="nil"/>
              <w:right w:val="nil"/>
            </w:tcBorders>
            <w:shd w:val="clear" w:color="auto" w:fill="auto"/>
            <w:noWrap/>
            <w:vAlign w:val="center"/>
            <w:hideMark/>
          </w:tcPr>
          <w:p w14:paraId="47E3B254" w14:textId="0ACC27F6" w:rsidR="009B35F5" w:rsidRPr="004E74A6" w:rsidRDefault="009B35F5" w:rsidP="00832773">
            <w:pPr>
              <w:spacing w:line="276" w:lineRule="auto"/>
              <w:rPr>
                <w:rFonts w:cs="Calibri"/>
                <w:color w:val="000000"/>
                <w:sz w:val="16"/>
                <w:szCs w:val="16"/>
                <w:lang w:eastAsia="es-CR"/>
              </w:rPr>
            </w:pPr>
            <w:r w:rsidRPr="004E74A6">
              <w:rPr>
                <w:rFonts w:cs="Calibri"/>
                <w:color w:val="000000"/>
                <w:sz w:val="16"/>
                <w:szCs w:val="16"/>
                <w:lang w:eastAsia="es-CR"/>
              </w:rPr>
              <w:t xml:space="preserve">* se unieron las </w:t>
            </w:r>
            <w:r w:rsidR="00EE095A" w:rsidRPr="004E74A6">
              <w:rPr>
                <w:rFonts w:cs="Calibri"/>
                <w:color w:val="000000"/>
                <w:sz w:val="16"/>
                <w:szCs w:val="16"/>
                <w:lang w:eastAsia="es-CR"/>
              </w:rPr>
              <w:t>categorías</w:t>
            </w:r>
            <w:r w:rsidRPr="004E74A6">
              <w:rPr>
                <w:rFonts w:cs="Calibri"/>
                <w:color w:val="000000"/>
                <w:sz w:val="16"/>
                <w:szCs w:val="16"/>
                <w:lang w:eastAsia="es-CR"/>
              </w:rPr>
              <w:t xml:space="preserve"> competencia por conflicto, competencia por consulta y conflicto de competencia</w:t>
            </w:r>
          </w:p>
        </w:tc>
        <w:tc>
          <w:tcPr>
            <w:tcW w:w="1320" w:type="dxa"/>
            <w:tcBorders>
              <w:top w:val="nil"/>
              <w:left w:val="nil"/>
              <w:bottom w:val="nil"/>
              <w:right w:val="nil"/>
            </w:tcBorders>
            <w:shd w:val="clear" w:color="auto" w:fill="auto"/>
            <w:noWrap/>
            <w:vAlign w:val="center"/>
            <w:hideMark/>
          </w:tcPr>
          <w:p w14:paraId="053D1676" w14:textId="77777777" w:rsidR="009B35F5" w:rsidRPr="004E74A6" w:rsidRDefault="009B35F5" w:rsidP="00832773">
            <w:pPr>
              <w:spacing w:line="276" w:lineRule="auto"/>
              <w:jc w:val="left"/>
              <w:rPr>
                <w:rFonts w:cs="Calibri"/>
                <w:color w:val="000000"/>
                <w:sz w:val="16"/>
                <w:szCs w:val="16"/>
                <w:lang w:eastAsia="es-CR"/>
              </w:rPr>
            </w:pPr>
          </w:p>
        </w:tc>
      </w:tr>
      <w:tr w:rsidR="009B35F5" w:rsidRPr="004E74A6" w14:paraId="094762FA" w14:textId="77777777" w:rsidTr="00EB102E">
        <w:trPr>
          <w:trHeight w:val="288"/>
          <w:tblHeader/>
          <w:jc w:val="center"/>
        </w:trPr>
        <w:tc>
          <w:tcPr>
            <w:tcW w:w="4398" w:type="dxa"/>
            <w:gridSpan w:val="2"/>
            <w:tcBorders>
              <w:top w:val="nil"/>
              <w:left w:val="nil"/>
              <w:bottom w:val="nil"/>
              <w:right w:val="nil"/>
            </w:tcBorders>
            <w:shd w:val="clear" w:color="auto" w:fill="auto"/>
            <w:noWrap/>
            <w:vAlign w:val="center"/>
            <w:hideMark/>
          </w:tcPr>
          <w:p w14:paraId="19DAEB03" w14:textId="77777777" w:rsidR="009B35F5" w:rsidRPr="004E74A6" w:rsidRDefault="009B35F5" w:rsidP="00832773">
            <w:pPr>
              <w:spacing w:line="276" w:lineRule="auto"/>
              <w:jc w:val="left"/>
              <w:rPr>
                <w:rFonts w:cs="Calibri"/>
                <w:color w:val="000000"/>
                <w:sz w:val="16"/>
                <w:szCs w:val="16"/>
                <w:lang w:eastAsia="es-CR"/>
              </w:rPr>
            </w:pPr>
            <w:r w:rsidRPr="004E74A6">
              <w:rPr>
                <w:rFonts w:cs="Calibri"/>
                <w:color w:val="000000"/>
                <w:sz w:val="16"/>
                <w:szCs w:val="16"/>
                <w:lang w:eastAsia="es-CR"/>
              </w:rPr>
              <w:t>** no tenía clasificación, estaba identificado como "-1"</w:t>
            </w:r>
          </w:p>
        </w:tc>
        <w:tc>
          <w:tcPr>
            <w:tcW w:w="1475" w:type="dxa"/>
            <w:tcBorders>
              <w:top w:val="nil"/>
              <w:left w:val="nil"/>
              <w:bottom w:val="nil"/>
              <w:right w:val="nil"/>
            </w:tcBorders>
            <w:shd w:val="clear" w:color="auto" w:fill="auto"/>
            <w:noWrap/>
            <w:vAlign w:val="center"/>
            <w:hideMark/>
          </w:tcPr>
          <w:p w14:paraId="7E768CD5" w14:textId="77777777" w:rsidR="009B35F5" w:rsidRPr="004E74A6" w:rsidRDefault="009B35F5" w:rsidP="00832773">
            <w:pPr>
              <w:spacing w:line="276" w:lineRule="auto"/>
              <w:jc w:val="left"/>
              <w:rPr>
                <w:rFonts w:cs="Calibri"/>
                <w:color w:val="000000"/>
                <w:sz w:val="16"/>
                <w:szCs w:val="16"/>
                <w:lang w:eastAsia="es-CR"/>
              </w:rPr>
            </w:pPr>
          </w:p>
        </w:tc>
        <w:tc>
          <w:tcPr>
            <w:tcW w:w="1640" w:type="dxa"/>
            <w:tcBorders>
              <w:top w:val="nil"/>
              <w:left w:val="nil"/>
              <w:bottom w:val="nil"/>
              <w:right w:val="nil"/>
            </w:tcBorders>
            <w:shd w:val="clear" w:color="auto" w:fill="auto"/>
            <w:noWrap/>
            <w:vAlign w:val="center"/>
            <w:hideMark/>
          </w:tcPr>
          <w:p w14:paraId="2505B0CE" w14:textId="77777777" w:rsidR="009B35F5" w:rsidRPr="004E74A6" w:rsidRDefault="009B35F5" w:rsidP="00832773">
            <w:pPr>
              <w:spacing w:line="276" w:lineRule="auto"/>
              <w:jc w:val="left"/>
              <w:rPr>
                <w:rFonts w:ascii="Times New Roman" w:hAnsi="Times New Roman"/>
                <w:sz w:val="20"/>
                <w:lang w:eastAsia="es-CR"/>
              </w:rPr>
            </w:pPr>
          </w:p>
        </w:tc>
        <w:tc>
          <w:tcPr>
            <w:tcW w:w="1320" w:type="dxa"/>
            <w:tcBorders>
              <w:top w:val="nil"/>
              <w:left w:val="nil"/>
              <w:bottom w:val="nil"/>
              <w:right w:val="nil"/>
            </w:tcBorders>
            <w:shd w:val="clear" w:color="auto" w:fill="auto"/>
            <w:noWrap/>
            <w:vAlign w:val="center"/>
            <w:hideMark/>
          </w:tcPr>
          <w:p w14:paraId="665C9830" w14:textId="77777777" w:rsidR="009B35F5" w:rsidRPr="004E74A6" w:rsidRDefault="009B35F5" w:rsidP="00832773">
            <w:pPr>
              <w:spacing w:line="276" w:lineRule="auto"/>
              <w:jc w:val="left"/>
              <w:rPr>
                <w:rFonts w:ascii="Times New Roman" w:hAnsi="Times New Roman"/>
                <w:sz w:val="20"/>
                <w:lang w:eastAsia="es-CR"/>
              </w:rPr>
            </w:pPr>
          </w:p>
        </w:tc>
      </w:tr>
    </w:tbl>
    <w:p w14:paraId="66C4CF73" w14:textId="49C2BD4E" w:rsidR="009B35F5" w:rsidRPr="00832773" w:rsidRDefault="009B35F5" w:rsidP="00CE62C1">
      <w:pPr>
        <w:spacing w:line="276" w:lineRule="auto"/>
        <w:rPr>
          <w:rFonts w:eastAsia="Calibri"/>
          <w:szCs w:val="24"/>
          <w:lang w:eastAsia="en-US"/>
        </w:rPr>
      </w:pPr>
    </w:p>
    <w:p w14:paraId="4EE53400" w14:textId="752951D9" w:rsidR="009B35F5" w:rsidRPr="00832773" w:rsidRDefault="007810D5" w:rsidP="00CE62C1">
      <w:pPr>
        <w:spacing w:line="276" w:lineRule="auto"/>
        <w:rPr>
          <w:rFonts w:eastAsia="Calibri"/>
          <w:szCs w:val="24"/>
          <w:lang w:eastAsia="en-US"/>
        </w:rPr>
      </w:pPr>
      <w:r w:rsidRPr="00832773">
        <w:rPr>
          <w:rFonts w:eastAsia="Calibri"/>
          <w:szCs w:val="24"/>
          <w:lang w:eastAsia="en-US"/>
        </w:rPr>
        <w:t>Las casaciones han representado en 2020 un 32% y en 2021 un 57%, este aumento porcentual se ve también afectado por la gran disminución que existió en los procedimientos de competencia, donde se terminaron casi 1500 asuntos menos.</w:t>
      </w:r>
    </w:p>
    <w:p w14:paraId="4D35EF1D" w14:textId="23EA56EA" w:rsidR="007810D5" w:rsidRPr="00832773" w:rsidRDefault="007810D5" w:rsidP="00CE62C1">
      <w:pPr>
        <w:spacing w:line="276" w:lineRule="auto"/>
        <w:rPr>
          <w:rFonts w:eastAsia="Calibri"/>
          <w:szCs w:val="24"/>
          <w:lang w:eastAsia="en-US"/>
        </w:rPr>
      </w:pPr>
      <w:r w:rsidRPr="00832773">
        <w:rPr>
          <w:rFonts w:eastAsia="Calibri"/>
          <w:szCs w:val="24"/>
          <w:lang w:eastAsia="en-US"/>
        </w:rPr>
        <w:t>Con esos valores de casaciones, es necesario hacer una división por materia para aislar los datos correspondientes a lo civil pues en la Sala Primera al atenderse otras materias, se debe hacer la diferenciación.</w:t>
      </w:r>
    </w:p>
    <w:p w14:paraId="6291D03C" w14:textId="471D32BA" w:rsidR="00ED1E69" w:rsidRDefault="00ED1E69" w:rsidP="00CE62C1">
      <w:pPr>
        <w:spacing w:line="276" w:lineRule="auto"/>
        <w:rPr>
          <w:rFonts w:eastAsia="Calibri"/>
          <w:szCs w:val="24"/>
          <w:lang w:eastAsia="en-US"/>
        </w:rPr>
      </w:pPr>
    </w:p>
    <w:p w14:paraId="462FF41E" w14:textId="77777777" w:rsidR="005D1B48" w:rsidRPr="00832773" w:rsidRDefault="005D1B48" w:rsidP="00CE62C1">
      <w:pPr>
        <w:spacing w:line="276" w:lineRule="auto"/>
        <w:rPr>
          <w:rFonts w:eastAsia="Calibri"/>
          <w:szCs w:val="24"/>
          <w:lang w:eastAsia="en-US"/>
        </w:rPr>
      </w:pPr>
    </w:p>
    <w:p w14:paraId="70150DB8" w14:textId="30818382" w:rsidR="007810D5" w:rsidRDefault="007810D5" w:rsidP="00CE62C1">
      <w:pPr>
        <w:spacing w:line="276" w:lineRule="auto"/>
        <w:rPr>
          <w:rFonts w:eastAsia="Calibri"/>
          <w:szCs w:val="24"/>
          <w:lang w:eastAsia="en-US"/>
        </w:rPr>
      </w:pPr>
      <w:r w:rsidRPr="00832773">
        <w:rPr>
          <w:rFonts w:eastAsia="Calibri"/>
          <w:szCs w:val="24"/>
          <w:lang w:eastAsia="en-US"/>
        </w:rPr>
        <w:lastRenderedPageBreak/>
        <w:t>Dicha división se puede observar en la siguiente tabla, donde es posible evidenciar que la mayor cantidad de asuntos terminados corresponde a la materia contencio</w:t>
      </w:r>
      <w:r w:rsidR="00F732B1" w:rsidRPr="00832773">
        <w:rPr>
          <w:rFonts w:eastAsia="Calibri"/>
          <w:szCs w:val="24"/>
          <w:lang w:eastAsia="en-US"/>
        </w:rPr>
        <w:t xml:space="preserve">so administrativo que en ambos años representó mínimo la mitad de </w:t>
      </w:r>
      <w:r w:rsidR="00ED1E69" w:rsidRPr="00832773">
        <w:rPr>
          <w:rFonts w:eastAsia="Calibri"/>
          <w:szCs w:val="24"/>
          <w:lang w:eastAsia="en-US"/>
        </w:rPr>
        <w:t>las casaciones</w:t>
      </w:r>
      <w:r w:rsidR="00F732B1" w:rsidRPr="00832773">
        <w:rPr>
          <w:rFonts w:eastAsia="Calibri"/>
          <w:szCs w:val="24"/>
          <w:lang w:eastAsia="en-US"/>
        </w:rPr>
        <w:t xml:space="preserve"> terminadas.</w:t>
      </w:r>
    </w:p>
    <w:p w14:paraId="1BE7F6C6" w14:textId="77777777" w:rsidR="000B3FE4" w:rsidRPr="00832773" w:rsidRDefault="000B3FE4" w:rsidP="00CE62C1">
      <w:pPr>
        <w:spacing w:line="276" w:lineRule="auto"/>
        <w:rPr>
          <w:rFonts w:eastAsia="Calibri"/>
          <w:szCs w:val="24"/>
          <w:lang w:eastAsia="en-US"/>
        </w:rPr>
      </w:pPr>
    </w:p>
    <w:p w14:paraId="1BC7BAEB" w14:textId="739EDBBA" w:rsidR="00F732B1" w:rsidRPr="00832773" w:rsidRDefault="00F732B1" w:rsidP="00CE62C1">
      <w:pPr>
        <w:spacing w:line="276" w:lineRule="auto"/>
        <w:rPr>
          <w:rFonts w:eastAsia="Calibri"/>
          <w:szCs w:val="24"/>
          <w:lang w:eastAsia="en-US"/>
        </w:rPr>
      </w:pPr>
      <w:r w:rsidRPr="00832773">
        <w:rPr>
          <w:rFonts w:eastAsia="Calibri"/>
          <w:szCs w:val="24"/>
          <w:lang w:eastAsia="en-US"/>
        </w:rPr>
        <w:t xml:space="preserve">La materia </w:t>
      </w:r>
      <w:r w:rsidR="00ED1E69" w:rsidRPr="00832773">
        <w:rPr>
          <w:rFonts w:eastAsia="Calibri"/>
          <w:szCs w:val="24"/>
          <w:lang w:eastAsia="en-US"/>
        </w:rPr>
        <w:t>C</w:t>
      </w:r>
      <w:r w:rsidRPr="00832773">
        <w:rPr>
          <w:rFonts w:eastAsia="Calibri"/>
          <w:szCs w:val="24"/>
          <w:lang w:eastAsia="en-US"/>
        </w:rPr>
        <w:t>ivil se mantuvo con un 30% en 2020 y 38% para 2021, por lo que el costo se distribuye nuevamente en forma porcentual.</w:t>
      </w:r>
    </w:p>
    <w:p w14:paraId="4B2B8101" w14:textId="5F00D5B5" w:rsidR="009B35F5" w:rsidRPr="00832773" w:rsidRDefault="009B35F5" w:rsidP="00CE62C1">
      <w:pPr>
        <w:spacing w:line="276" w:lineRule="auto"/>
        <w:rPr>
          <w:rFonts w:eastAsia="Calibri"/>
          <w:szCs w:val="24"/>
          <w:lang w:eastAsia="en-US"/>
        </w:rPr>
      </w:pPr>
    </w:p>
    <w:p w14:paraId="3E13727F" w14:textId="0B1C41A4" w:rsidR="009B35F5" w:rsidRPr="00832773" w:rsidRDefault="009B35F5" w:rsidP="00CE62C1">
      <w:pPr>
        <w:spacing w:line="276" w:lineRule="auto"/>
        <w:rPr>
          <w:rFonts w:eastAsia="Calibri"/>
          <w:szCs w:val="24"/>
          <w:lang w:eastAsia="en-US"/>
        </w:rPr>
      </w:pPr>
    </w:p>
    <w:p w14:paraId="3F5FF982" w14:textId="340B7487" w:rsidR="00FD0281" w:rsidRPr="00832773" w:rsidRDefault="00FD0281" w:rsidP="00832773">
      <w:pPr>
        <w:pStyle w:val="Descripcin"/>
        <w:keepNext/>
        <w:spacing w:line="276" w:lineRule="auto"/>
        <w:jc w:val="center"/>
        <w:rPr>
          <w:i/>
          <w:iCs/>
          <w:sz w:val="20"/>
          <w:szCs w:val="16"/>
          <w:lang w:val="es-CR"/>
        </w:rPr>
      </w:pPr>
      <w:r w:rsidRPr="00832773">
        <w:rPr>
          <w:rFonts w:ascii="Book Antiqua" w:hAnsi="Book Antiqua"/>
          <w:i/>
          <w:iCs/>
          <w:sz w:val="20"/>
          <w:szCs w:val="16"/>
          <w:lang w:val="es-CR"/>
        </w:rPr>
        <w:t xml:space="preserve">Tabla </w:t>
      </w:r>
      <w:r w:rsidRPr="00832773">
        <w:rPr>
          <w:rFonts w:ascii="Book Antiqua" w:hAnsi="Book Antiqua"/>
          <w:i/>
          <w:iCs/>
          <w:sz w:val="20"/>
          <w:szCs w:val="16"/>
          <w:lang w:val="es-CR"/>
        </w:rPr>
        <w:fldChar w:fldCharType="begin"/>
      </w:r>
      <w:r w:rsidRPr="00832773">
        <w:rPr>
          <w:rFonts w:ascii="Book Antiqua" w:hAnsi="Book Antiqua"/>
          <w:i/>
          <w:iCs/>
          <w:sz w:val="20"/>
          <w:szCs w:val="16"/>
          <w:lang w:val="es-CR"/>
        </w:rPr>
        <w:instrText xml:space="preserve"> SEQ Tabla \* ARABIC </w:instrText>
      </w:r>
      <w:r w:rsidRPr="00832773">
        <w:rPr>
          <w:rFonts w:ascii="Book Antiqua" w:hAnsi="Book Antiqua"/>
          <w:i/>
          <w:iCs/>
          <w:sz w:val="20"/>
          <w:szCs w:val="16"/>
          <w:lang w:val="es-CR"/>
        </w:rPr>
        <w:fldChar w:fldCharType="separate"/>
      </w:r>
      <w:r w:rsidR="00374B51">
        <w:rPr>
          <w:rFonts w:ascii="Book Antiqua" w:hAnsi="Book Antiqua"/>
          <w:i/>
          <w:iCs/>
          <w:noProof/>
          <w:sz w:val="20"/>
          <w:szCs w:val="16"/>
          <w:lang w:val="es-CR"/>
        </w:rPr>
        <w:t>58</w:t>
      </w:r>
      <w:r w:rsidRPr="00832773">
        <w:rPr>
          <w:rFonts w:ascii="Book Antiqua" w:hAnsi="Book Antiqua"/>
          <w:i/>
          <w:iCs/>
          <w:sz w:val="20"/>
          <w:szCs w:val="16"/>
          <w:lang w:val="es-CR"/>
        </w:rPr>
        <w:fldChar w:fldCharType="end"/>
      </w:r>
      <w:r w:rsidRPr="00832773">
        <w:rPr>
          <w:rFonts w:ascii="Book Antiqua" w:hAnsi="Book Antiqua"/>
          <w:i/>
          <w:iCs/>
          <w:sz w:val="20"/>
          <w:szCs w:val="16"/>
          <w:lang w:val="es-CR"/>
        </w:rPr>
        <w:t xml:space="preserve"> Cantidad de casaciones por materia durante el año 2020 y 2021, así como su costo según el valor relativo, para la Sala Primera</w:t>
      </w:r>
    </w:p>
    <w:tbl>
      <w:tblPr>
        <w:tblW w:w="11238" w:type="dxa"/>
        <w:jc w:val="center"/>
        <w:tblCellMar>
          <w:left w:w="70" w:type="dxa"/>
          <w:right w:w="70" w:type="dxa"/>
        </w:tblCellMar>
        <w:tblLook w:val="04A0" w:firstRow="1" w:lastRow="0" w:firstColumn="1" w:lastColumn="0" w:noHBand="0" w:noVBand="1"/>
      </w:tblPr>
      <w:tblGrid>
        <w:gridCol w:w="2835"/>
        <w:gridCol w:w="1077"/>
        <w:gridCol w:w="1077"/>
        <w:gridCol w:w="1815"/>
        <w:gridCol w:w="1077"/>
        <w:gridCol w:w="1077"/>
        <w:gridCol w:w="2241"/>
        <w:gridCol w:w="27"/>
        <w:gridCol w:w="12"/>
      </w:tblGrid>
      <w:tr w:rsidR="00E072BC" w:rsidRPr="004E74A6" w14:paraId="4E33E47F" w14:textId="77777777" w:rsidTr="00C61456">
        <w:trPr>
          <w:gridAfter w:val="1"/>
          <w:wAfter w:w="12" w:type="dxa"/>
          <w:trHeight w:val="528"/>
          <w:jc w:val="center"/>
        </w:trPr>
        <w:tc>
          <w:tcPr>
            <w:tcW w:w="2835" w:type="dxa"/>
            <w:vMerge w:val="restart"/>
            <w:tcBorders>
              <w:top w:val="single" w:sz="4" w:space="0" w:color="auto"/>
              <w:left w:val="nil"/>
              <w:bottom w:val="single" w:sz="4" w:space="0" w:color="auto"/>
              <w:right w:val="single" w:sz="4" w:space="0" w:color="auto"/>
            </w:tcBorders>
            <w:shd w:val="clear" w:color="auto" w:fill="auto"/>
            <w:noWrap/>
            <w:vAlign w:val="center"/>
            <w:hideMark/>
          </w:tcPr>
          <w:p w14:paraId="4CB4D86E" w14:textId="77777777" w:rsidR="009B35F5" w:rsidRPr="004E74A6" w:rsidRDefault="009B35F5" w:rsidP="00832773">
            <w:pPr>
              <w:spacing w:line="276" w:lineRule="auto"/>
              <w:jc w:val="center"/>
              <w:rPr>
                <w:rFonts w:cs="Calibri"/>
                <w:color w:val="000000"/>
                <w:sz w:val="22"/>
                <w:szCs w:val="22"/>
                <w:lang w:eastAsia="es-CR"/>
              </w:rPr>
            </w:pPr>
            <w:r w:rsidRPr="004E74A6">
              <w:rPr>
                <w:rFonts w:cs="Calibri"/>
                <w:color w:val="000000"/>
                <w:sz w:val="22"/>
                <w:szCs w:val="22"/>
                <w:lang w:eastAsia="es-CR"/>
              </w:rPr>
              <w:t>Casaciones por materia</w:t>
            </w:r>
          </w:p>
        </w:tc>
        <w:tc>
          <w:tcPr>
            <w:tcW w:w="3969" w:type="dxa"/>
            <w:gridSpan w:val="3"/>
            <w:tcBorders>
              <w:top w:val="single" w:sz="4" w:space="0" w:color="auto"/>
              <w:left w:val="nil"/>
              <w:bottom w:val="single" w:sz="4" w:space="0" w:color="auto"/>
              <w:right w:val="single" w:sz="4" w:space="0" w:color="auto"/>
            </w:tcBorders>
            <w:shd w:val="clear" w:color="auto" w:fill="auto"/>
            <w:noWrap/>
            <w:vAlign w:val="center"/>
            <w:hideMark/>
          </w:tcPr>
          <w:p w14:paraId="50DFE088" w14:textId="77777777" w:rsidR="009B35F5" w:rsidRPr="004E74A6" w:rsidRDefault="009B35F5" w:rsidP="00832773">
            <w:pPr>
              <w:spacing w:line="276" w:lineRule="auto"/>
              <w:jc w:val="center"/>
              <w:rPr>
                <w:rFonts w:cs="Calibri"/>
                <w:color w:val="000000"/>
                <w:sz w:val="22"/>
                <w:szCs w:val="22"/>
                <w:lang w:eastAsia="es-CR"/>
              </w:rPr>
            </w:pPr>
            <w:r w:rsidRPr="004E74A6">
              <w:rPr>
                <w:rFonts w:cs="Calibri"/>
                <w:color w:val="000000"/>
                <w:sz w:val="22"/>
                <w:szCs w:val="22"/>
                <w:lang w:eastAsia="es-CR"/>
              </w:rPr>
              <w:t>2020</w:t>
            </w:r>
          </w:p>
        </w:tc>
        <w:tc>
          <w:tcPr>
            <w:tcW w:w="4422" w:type="dxa"/>
            <w:gridSpan w:val="4"/>
            <w:tcBorders>
              <w:top w:val="single" w:sz="4" w:space="0" w:color="auto"/>
              <w:left w:val="nil"/>
              <w:bottom w:val="single" w:sz="4" w:space="0" w:color="auto"/>
            </w:tcBorders>
            <w:shd w:val="clear" w:color="auto" w:fill="auto"/>
            <w:noWrap/>
            <w:vAlign w:val="center"/>
            <w:hideMark/>
          </w:tcPr>
          <w:p w14:paraId="37B5A2D0" w14:textId="77777777" w:rsidR="009B35F5" w:rsidRPr="004E74A6" w:rsidRDefault="009B35F5" w:rsidP="00832773">
            <w:pPr>
              <w:spacing w:line="276" w:lineRule="auto"/>
              <w:jc w:val="center"/>
              <w:rPr>
                <w:rFonts w:cs="Calibri"/>
                <w:color w:val="000000"/>
                <w:sz w:val="22"/>
                <w:szCs w:val="22"/>
                <w:lang w:eastAsia="es-CR"/>
              </w:rPr>
            </w:pPr>
            <w:r w:rsidRPr="004E74A6">
              <w:rPr>
                <w:rFonts w:cs="Calibri"/>
                <w:color w:val="000000"/>
                <w:sz w:val="22"/>
                <w:szCs w:val="22"/>
                <w:lang w:eastAsia="es-CR"/>
              </w:rPr>
              <w:t>2021</w:t>
            </w:r>
          </w:p>
        </w:tc>
      </w:tr>
      <w:tr w:rsidR="00E072BC" w:rsidRPr="004E74A6" w14:paraId="7DA53673" w14:textId="77777777" w:rsidTr="00C61456">
        <w:trPr>
          <w:trHeight w:val="576"/>
          <w:jc w:val="center"/>
        </w:trPr>
        <w:tc>
          <w:tcPr>
            <w:tcW w:w="2835" w:type="dxa"/>
            <w:vMerge/>
            <w:tcBorders>
              <w:top w:val="single" w:sz="4" w:space="0" w:color="auto"/>
              <w:left w:val="nil"/>
              <w:bottom w:val="single" w:sz="4" w:space="0" w:color="auto"/>
              <w:right w:val="single" w:sz="4" w:space="0" w:color="auto"/>
            </w:tcBorders>
            <w:vAlign w:val="center"/>
            <w:hideMark/>
          </w:tcPr>
          <w:p w14:paraId="37D1BB4C" w14:textId="77777777" w:rsidR="009B35F5" w:rsidRPr="004E74A6" w:rsidRDefault="009B35F5" w:rsidP="00832773">
            <w:pPr>
              <w:spacing w:line="276" w:lineRule="auto"/>
              <w:jc w:val="left"/>
              <w:rPr>
                <w:rFonts w:cs="Calibri"/>
                <w:color w:val="000000"/>
                <w:sz w:val="22"/>
                <w:szCs w:val="22"/>
                <w:lang w:eastAsia="es-CR"/>
              </w:rPr>
            </w:pPr>
          </w:p>
        </w:tc>
        <w:tc>
          <w:tcPr>
            <w:tcW w:w="1077" w:type="dxa"/>
            <w:tcBorders>
              <w:top w:val="nil"/>
              <w:left w:val="nil"/>
              <w:bottom w:val="single" w:sz="4" w:space="0" w:color="auto"/>
              <w:right w:val="single" w:sz="4" w:space="0" w:color="auto"/>
            </w:tcBorders>
            <w:shd w:val="clear" w:color="auto" w:fill="auto"/>
            <w:vAlign w:val="center"/>
            <w:hideMark/>
          </w:tcPr>
          <w:p w14:paraId="040B2050" w14:textId="77777777" w:rsidR="009B35F5" w:rsidRPr="004E74A6" w:rsidRDefault="009B35F5" w:rsidP="00832773">
            <w:pPr>
              <w:spacing w:line="276" w:lineRule="auto"/>
              <w:jc w:val="center"/>
              <w:rPr>
                <w:rFonts w:cs="Calibri"/>
                <w:color w:val="000000"/>
                <w:sz w:val="22"/>
                <w:szCs w:val="22"/>
                <w:lang w:eastAsia="es-CR"/>
              </w:rPr>
            </w:pPr>
            <w:r w:rsidRPr="004E74A6">
              <w:rPr>
                <w:rFonts w:cs="Calibri"/>
                <w:color w:val="000000"/>
                <w:sz w:val="22"/>
                <w:szCs w:val="22"/>
                <w:lang w:eastAsia="es-CR"/>
              </w:rPr>
              <w:t>Cantidad</w:t>
            </w:r>
          </w:p>
        </w:tc>
        <w:tc>
          <w:tcPr>
            <w:tcW w:w="1077" w:type="dxa"/>
            <w:tcBorders>
              <w:top w:val="nil"/>
              <w:left w:val="nil"/>
              <w:bottom w:val="single" w:sz="4" w:space="0" w:color="auto"/>
              <w:right w:val="single" w:sz="4" w:space="0" w:color="auto"/>
            </w:tcBorders>
            <w:shd w:val="clear" w:color="auto" w:fill="auto"/>
            <w:vAlign w:val="center"/>
            <w:hideMark/>
          </w:tcPr>
          <w:p w14:paraId="39E35E67" w14:textId="77777777" w:rsidR="009B35F5" w:rsidRPr="004E74A6" w:rsidRDefault="009B35F5" w:rsidP="00832773">
            <w:pPr>
              <w:spacing w:line="276" w:lineRule="auto"/>
              <w:jc w:val="center"/>
              <w:rPr>
                <w:rFonts w:cs="Calibri"/>
                <w:color w:val="000000"/>
                <w:sz w:val="22"/>
                <w:szCs w:val="22"/>
                <w:lang w:eastAsia="es-CR"/>
              </w:rPr>
            </w:pPr>
            <w:r w:rsidRPr="004E74A6">
              <w:rPr>
                <w:rFonts w:cs="Calibri"/>
                <w:color w:val="000000"/>
                <w:sz w:val="22"/>
                <w:szCs w:val="22"/>
                <w:lang w:eastAsia="es-CR"/>
              </w:rPr>
              <w:t>Valor relativo</w:t>
            </w:r>
          </w:p>
        </w:tc>
        <w:tc>
          <w:tcPr>
            <w:tcW w:w="1815" w:type="dxa"/>
            <w:tcBorders>
              <w:top w:val="nil"/>
              <w:left w:val="nil"/>
              <w:bottom w:val="single" w:sz="4" w:space="0" w:color="auto"/>
              <w:right w:val="single" w:sz="4" w:space="0" w:color="auto"/>
            </w:tcBorders>
            <w:shd w:val="clear" w:color="auto" w:fill="auto"/>
            <w:vAlign w:val="center"/>
            <w:hideMark/>
          </w:tcPr>
          <w:p w14:paraId="62A957E1" w14:textId="77777777" w:rsidR="009B35F5" w:rsidRPr="004E74A6" w:rsidRDefault="009B35F5" w:rsidP="00832773">
            <w:pPr>
              <w:spacing w:line="276" w:lineRule="auto"/>
              <w:jc w:val="center"/>
              <w:rPr>
                <w:rFonts w:cs="Calibri"/>
                <w:color w:val="000000"/>
                <w:sz w:val="22"/>
                <w:szCs w:val="22"/>
                <w:lang w:eastAsia="es-CR"/>
              </w:rPr>
            </w:pPr>
            <w:r w:rsidRPr="004E74A6">
              <w:rPr>
                <w:rFonts w:cs="Calibri"/>
                <w:color w:val="000000"/>
                <w:sz w:val="22"/>
                <w:szCs w:val="22"/>
                <w:lang w:eastAsia="es-CR"/>
              </w:rPr>
              <w:t>Costo</w:t>
            </w:r>
          </w:p>
        </w:tc>
        <w:tc>
          <w:tcPr>
            <w:tcW w:w="1077" w:type="dxa"/>
            <w:tcBorders>
              <w:top w:val="nil"/>
              <w:left w:val="nil"/>
              <w:bottom w:val="single" w:sz="4" w:space="0" w:color="auto"/>
              <w:right w:val="single" w:sz="4" w:space="0" w:color="auto"/>
            </w:tcBorders>
            <w:shd w:val="clear" w:color="auto" w:fill="auto"/>
            <w:vAlign w:val="center"/>
            <w:hideMark/>
          </w:tcPr>
          <w:p w14:paraId="159D3100" w14:textId="77777777" w:rsidR="009B35F5" w:rsidRPr="004E74A6" w:rsidRDefault="009B35F5" w:rsidP="00832773">
            <w:pPr>
              <w:spacing w:line="276" w:lineRule="auto"/>
              <w:jc w:val="center"/>
              <w:rPr>
                <w:rFonts w:cs="Calibri"/>
                <w:color w:val="000000"/>
                <w:sz w:val="22"/>
                <w:szCs w:val="22"/>
                <w:lang w:eastAsia="es-CR"/>
              </w:rPr>
            </w:pPr>
            <w:r w:rsidRPr="004E74A6">
              <w:rPr>
                <w:rFonts w:cs="Calibri"/>
                <w:color w:val="000000"/>
                <w:sz w:val="22"/>
                <w:szCs w:val="22"/>
                <w:lang w:eastAsia="es-CR"/>
              </w:rPr>
              <w:t>Cantidad</w:t>
            </w:r>
          </w:p>
        </w:tc>
        <w:tc>
          <w:tcPr>
            <w:tcW w:w="1077" w:type="dxa"/>
            <w:tcBorders>
              <w:top w:val="nil"/>
              <w:left w:val="nil"/>
              <w:bottom w:val="single" w:sz="4" w:space="0" w:color="auto"/>
              <w:right w:val="single" w:sz="4" w:space="0" w:color="auto"/>
            </w:tcBorders>
            <w:shd w:val="clear" w:color="auto" w:fill="auto"/>
            <w:vAlign w:val="center"/>
            <w:hideMark/>
          </w:tcPr>
          <w:p w14:paraId="4A6D93CF" w14:textId="77777777" w:rsidR="009B35F5" w:rsidRPr="004E74A6" w:rsidRDefault="009B35F5" w:rsidP="00832773">
            <w:pPr>
              <w:spacing w:line="276" w:lineRule="auto"/>
              <w:jc w:val="center"/>
              <w:rPr>
                <w:rFonts w:cs="Calibri"/>
                <w:color w:val="000000"/>
                <w:sz w:val="22"/>
                <w:szCs w:val="22"/>
                <w:lang w:eastAsia="es-CR"/>
              </w:rPr>
            </w:pPr>
            <w:r w:rsidRPr="004E74A6">
              <w:rPr>
                <w:rFonts w:cs="Calibri"/>
                <w:color w:val="000000"/>
                <w:sz w:val="22"/>
                <w:szCs w:val="22"/>
                <w:lang w:eastAsia="es-CR"/>
              </w:rPr>
              <w:t>Valor relativo</w:t>
            </w:r>
          </w:p>
        </w:tc>
        <w:tc>
          <w:tcPr>
            <w:tcW w:w="2280" w:type="dxa"/>
            <w:gridSpan w:val="3"/>
            <w:tcBorders>
              <w:top w:val="nil"/>
              <w:left w:val="nil"/>
              <w:bottom w:val="single" w:sz="4" w:space="0" w:color="auto"/>
              <w:right w:val="nil"/>
            </w:tcBorders>
            <w:shd w:val="clear" w:color="auto" w:fill="auto"/>
            <w:vAlign w:val="center"/>
            <w:hideMark/>
          </w:tcPr>
          <w:p w14:paraId="68CC38A0" w14:textId="77777777" w:rsidR="009B35F5" w:rsidRPr="004E74A6" w:rsidRDefault="009B35F5" w:rsidP="00832773">
            <w:pPr>
              <w:spacing w:line="276" w:lineRule="auto"/>
              <w:jc w:val="center"/>
              <w:rPr>
                <w:rFonts w:cs="Calibri"/>
                <w:color w:val="000000"/>
                <w:sz w:val="22"/>
                <w:szCs w:val="22"/>
                <w:lang w:eastAsia="es-CR"/>
              </w:rPr>
            </w:pPr>
            <w:r w:rsidRPr="004E74A6">
              <w:rPr>
                <w:rFonts w:cs="Calibri"/>
                <w:color w:val="000000"/>
                <w:sz w:val="22"/>
                <w:szCs w:val="22"/>
                <w:lang w:eastAsia="es-CR"/>
              </w:rPr>
              <w:t>Costo</w:t>
            </w:r>
          </w:p>
        </w:tc>
      </w:tr>
      <w:tr w:rsidR="00E072BC" w:rsidRPr="004E74A6" w14:paraId="4E264EF9" w14:textId="77777777" w:rsidTr="00C61456">
        <w:trPr>
          <w:gridAfter w:val="1"/>
          <w:wAfter w:w="12" w:type="dxa"/>
          <w:trHeight w:val="288"/>
          <w:jc w:val="center"/>
        </w:trPr>
        <w:tc>
          <w:tcPr>
            <w:tcW w:w="2835" w:type="dxa"/>
            <w:tcBorders>
              <w:top w:val="nil"/>
              <w:left w:val="nil"/>
              <w:bottom w:val="nil"/>
              <w:right w:val="single" w:sz="4" w:space="0" w:color="auto"/>
            </w:tcBorders>
            <w:shd w:val="clear" w:color="auto" w:fill="auto"/>
            <w:noWrap/>
            <w:vAlign w:val="center"/>
            <w:hideMark/>
          </w:tcPr>
          <w:p w14:paraId="4626E24C" w14:textId="77777777" w:rsidR="009B35F5" w:rsidRPr="004E74A6" w:rsidRDefault="009B35F5" w:rsidP="00832773">
            <w:pPr>
              <w:spacing w:line="276" w:lineRule="auto"/>
              <w:jc w:val="left"/>
              <w:rPr>
                <w:rFonts w:cs="Calibri"/>
                <w:color w:val="000000"/>
                <w:sz w:val="22"/>
                <w:szCs w:val="22"/>
                <w:lang w:eastAsia="es-CR"/>
              </w:rPr>
            </w:pPr>
            <w:r w:rsidRPr="004E74A6">
              <w:rPr>
                <w:rFonts w:cs="Calibri"/>
                <w:color w:val="000000"/>
                <w:sz w:val="22"/>
                <w:szCs w:val="22"/>
                <w:lang w:eastAsia="es-CR"/>
              </w:rPr>
              <w:t> </w:t>
            </w:r>
          </w:p>
        </w:tc>
        <w:tc>
          <w:tcPr>
            <w:tcW w:w="1077" w:type="dxa"/>
            <w:tcBorders>
              <w:top w:val="nil"/>
              <w:left w:val="nil"/>
              <w:bottom w:val="nil"/>
              <w:right w:val="single" w:sz="4" w:space="0" w:color="auto"/>
            </w:tcBorders>
            <w:shd w:val="clear" w:color="auto" w:fill="auto"/>
            <w:noWrap/>
            <w:vAlign w:val="center"/>
            <w:hideMark/>
          </w:tcPr>
          <w:p w14:paraId="5CC455A6" w14:textId="77777777" w:rsidR="009B35F5" w:rsidRPr="004E74A6" w:rsidRDefault="009B35F5" w:rsidP="00832773">
            <w:pPr>
              <w:spacing w:line="276" w:lineRule="auto"/>
              <w:jc w:val="center"/>
              <w:rPr>
                <w:rFonts w:cs="Calibri"/>
                <w:color w:val="000000"/>
                <w:sz w:val="22"/>
                <w:szCs w:val="22"/>
                <w:lang w:eastAsia="es-CR"/>
              </w:rPr>
            </w:pPr>
            <w:r w:rsidRPr="004E74A6">
              <w:rPr>
                <w:rFonts w:cs="Calibri"/>
                <w:color w:val="000000"/>
                <w:sz w:val="22"/>
                <w:szCs w:val="22"/>
                <w:lang w:eastAsia="es-CR"/>
              </w:rPr>
              <w:t> </w:t>
            </w:r>
          </w:p>
        </w:tc>
        <w:tc>
          <w:tcPr>
            <w:tcW w:w="1077" w:type="dxa"/>
            <w:tcBorders>
              <w:top w:val="nil"/>
              <w:left w:val="nil"/>
              <w:bottom w:val="nil"/>
              <w:right w:val="single" w:sz="4" w:space="0" w:color="auto"/>
            </w:tcBorders>
            <w:shd w:val="clear" w:color="auto" w:fill="auto"/>
            <w:noWrap/>
            <w:vAlign w:val="center"/>
            <w:hideMark/>
          </w:tcPr>
          <w:p w14:paraId="7316AB8D" w14:textId="77777777" w:rsidR="009B35F5" w:rsidRPr="004E74A6" w:rsidRDefault="009B35F5" w:rsidP="00832773">
            <w:pPr>
              <w:spacing w:line="276" w:lineRule="auto"/>
              <w:jc w:val="center"/>
              <w:rPr>
                <w:rFonts w:cs="Calibri"/>
                <w:color w:val="000000"/>
                <w:sz w:val="22"/>
                <w:szCs w:val="22"/>
                <w:lang w:eastAsia="es-CR"/>
              </w:rPr>
            </w:pPr>
            <w:r w:rsidRPr="004E74A6">
              <w:rPr>
                <w:rFonts w:cs="Calibri"/>
                <w:color w:val="000000"/>
                <w:sz w:val="22"/>
                <w:szCs w:val="22"/>
                <w:lang w:eastAsia="es-CR"/>
              </w:rPr>
              <w:t> </w:t>
            </w:r>
          </w:p>
        </w:tc>
        <w:tc>
          <w:tcPr>
            <w:tcW w:w="1815" w:type="dxa"/>
            <w:tcBorders>
              <w:top w:val="nil"/>
              <w:left w:val="nil"/>
              <w:bottom w:val="nil"/>
              <w:right w:val="single" w:sz="4" w:space="0" w:color="auto"/>
            </w:tcBorders>
            <w:shd w:val="clear" w:color="auto" w:fill="auto"/>
            <w:noWrap/>
            <w:vAlign w:val="center"/>
            <w:hideMark/>
          </w:tcPr>
          <w:p w14:paraId="47C02FCA" w14:textId="77777777" w:rsidR="009B35F5" w:rsidRPr="004E74A6" w:rsidRDefault="009B35F5" w:rsidP="00832773">
            <w:pPr>
              <w:spacing w:line="276" w:lineRule="auto"/>
              <w:jc w:val="center"/>
              <w:rPr>
                <w:rFonts w:cs="Calibri"/>
                <w:color w:val="000000"/>
                <w:sz w:val="22"/>
                <w:szCs w:val="22"/>
                <w:lang w:eastAsia="es-CR"/>
              </w:rPr>
            </w:pPr>
            <w:r w:rsidRPr="004E74A6">
              <w:rPr>
                <w:rFonts w:cs="Calibri"/>
                <w:color w:val="000000"/>
                <w:sz w:val="22"/>
                <w:szCs w:val="22"/>
                <w:lang w:eastAsia="es-CR"/>
              </w:rPr>
              <w:t> </w:t>
            </w:r>
          </w:p>
        </w:tc>
        <w:tc>
          <w:tcPr>
            <w:tcW w:w="1077" w:type="dxa"/>
            <w:tcBorders>
              <w:top w:val="nil"/>
              <w:left w:val="nil"/>
              <w:bottom w:val="nil"/>
              <w:right w:val="single" w:sz="4" w:space="0" w:color="auto"/>
            </w:tcBorders>
            <w:shd w:val="clear" w:color="auto" w:fill="auto"/>
            <w:noWrap/>
            <w:vAlign w:val="center"/>
            <w:hideMark/>
          </w:tcPr>
          <w:p w14:paraId="32F6440E" w14:textId="77777777" w:rsidR="009B35F5" w:rsidRPr="004E74A6" w:rsidRDefault="009B35F5" w:rsidP="00832773">
            <w:pPr>
              <w:spacing w:line="276" w:lineRule="auto"/>
              <w:jc w:val="center"/>
              <w:rPr>
                <w:rFonts w:cs="Calibri"/>
                <w:color w:val="000000"/>
                <w:sz w:val="22"/>
                <w:szCs w:val="22"/>
                <w:lang w:eastAsia="es-CR"/>
              </w:rPr>
            </w:pPr>
            <w:r w:rsidRPr="004E74A6">
              <w:rPr>
                <w:rFonts w:cs="Calibri"/>
                <w:color w:val="000000"/>
                <w:sz w:val="22"/>
                <w:szCs w:val="22"/>
                <w:lang w:eastAsia="es-CR"/>
              </w:rPr>
              <w:t> </w:t>
            </w:r>
          </w:p>
        </w:tc>
        <w:tc>
          <w:tcPr>
            <w:tcW w:w="1077" w:type="dxa"/>
            <w:tcBorders>
              <w:top w:val="nil"/>
              <w:left w:val="nil"/>
              <w:bottom w:val="nil"/>
              <w:right w:val="single" w:sz="4" w:space="0" w:color="auto"/>
            </w:tcBorders>
            <w:shd w:val="clear" w:color="auto" w:fill="auto"/>
            <w:noWrap/>
            <w:vAlign w:val="center"/>
            <w:hideMark/>
          </w:tcPr>
          <w:p w14:paraId="2C9DA79A" w14:textId="77777777" w:rsidR="009B35F5" w:rsidRPr="004E74A6" w:rsidRDefault="009B35F5" w:rsidP="00832773">
            <w:pPr>
              <w:spacing w:line="276" w:lineRule="auto"/>
              <w:jc w:val="left"/>
              <w:rPr>
                <w:rFonts w:cs="Calibri"/>
                <w:color w:val="000000"/>
                <w:sz w:val="22"/>
                <w:szCs w:val="22"/>
                <w:lang w:eastAsia="es-CR"/>
              </w:rPr>
            </w:pPr>
            <w:r w:rsidRPr="004E74A6">
              <w:rPr>
                <w:rFonts w:cs="Calibri"/>
                <w:color w:val="000000"/>
                <w:sz w:val="22"/>
                <w:szCs w:val="22"/>
                <w:lang w:eastAsia="es-CR"/>
              </w:rPr>
              <w:t> </w:t>
            </w:r>
          </w:p>
        </w:tc>
        <w:tc>
          <w:tcPr>
            <w:tcW w:w="2268" w:type="dxa"/>
            <w:gridSpan w:val="2"/>
            <w:tcBorders>
              <w:top w:val="nil"/>
              <w:left w:val="nil"/>
              <w:bottom w:val="nil"/>
              <w:right w:val="nil"/>
            </w:tcBorders>
            <w:shd w:val="clear" w:color="auto" w:fill="auto"/>
            <w:noWrap/>
            <w:vAlign w:val="center"/>
            <w:hideMark/>
          </w:tcPr>
          <w:p w14:paraId="3733829B" w14:textId="77777777" w:rsidR="009B35F5" w:rsidRPr="004E74A6" w:rsidRDefault="009B35F5" w:rsidP="00832773">
            <w:pPr>
              <w:spacing w:line="276" w:lineRule="auto"/>
              <w:jc w:val="left"/>
              <w:rPr>
                <w:rFonts w:cs="Calibri"/>
                <w:color w:val="000000"/>
                <w:sz w:val="22"/>
                <w:szCs w:val="22"/>
                <w:lang w:eastAsia="es-CR"/>
              </w:rPr>
            </w:pPr>
            <w:r w:rsidRPr="004E74A6">
              <w:rPr>
                <w:rFonts w:cs="Calibri"/>
                <w:color w:val="000000"/>
                <w:sz w:val="22"/>
                <w:szCs w:val="22"/>
                <w:lang w:eastAsia="es-CR"/>
              </w:rPr>
              <w:t> </w:t>
            </w:r>
          </w:p>
        </w:tc>
      </w:tr>
      <w:tr w:rsidR="00E072BC" w:rsidRPr="004E74A6" w14:paraId="3745DA1A" w14:textId="77777777" w:rsidTr="00C61456">
        <w:trPr>
          <w:gridAfter w:val="1"/>
          <w:wAfter w:w="12" w:type="dxa"/>
          <w:trHeight w:val="288"/>
          <w:jc w:val="center"/>
        </w:trPr>
        <w:tc>
          <w:tcPr>
            <w:tcW w:w="2835" w:type="dxa"/>
            <w:tcBorders>
              <w:top w:val="nil"/>
              <w:left w:val="nil"/>
              <w:bottom w:val="nil"/>
              <w:right w:val="single" w:sz="4" w:space="0" w:color="auto"/>
            </w:tcBorders>
            <w:shd w:val="clear" w:color="auto" w:fill="auto"/>
            <w:noWrap/>
            <w:vAlign w:val="center"/>
            <w:hideMark/>
          </w:tcPr>
          <w:p w14:paraId="2EB0780E" w14:textId="77777777" w:rsidR="009B35F5" w:rsidRPr="004E74A6" w:rsidRDefault="009B35F5" w:rsidP="00832773">
            <w:pPr>
              <w:spacing w:line="276" w:lineRule="auto"/>
              <w:jc w:val="left"/>
              <w:rPr>
                <w:rFonts w:cs="Calibri"/>
                <w:b/>
                <w:bCs/>
                <w:color w:val="000000"/>
                <w:sz w:val="22"/>
                <w:szCs w:val="22"/>
                <w:lang w:eastAsia="es-CR"/>
              </w:rPr>
            </w:pPr>
            <w:r w:rsidRPr="004E74A6">
              <w:rPr>
                <w:rFonts w:cs="Calibri"/>
                <w:b/>
                <w:bCs/>
                <w:color w:val="000000"/>
                <w:sz w:val="22"/>
                <w:szCs w:val="22"/>
                <w:lang w:eastAsia="es-CR"/>
              </w:rPr>
              <w:t>Casación</w:t>
            </w:r>
          </w:p>
        </w:tc>
        <w:tc>
          <w:tcPr>
            <w:tcW w:w="1077" w:type="dxa"/>
            <w:tcBorders>
              <w:top w:val="nil"/>
              <w:left w:val="nil"/>
              <w:bottom w:val="nil"/>
              <w:right w:val="single" w:sz="4" w:space="0" w:color="auto"/>
            </w:tcBorders>
            <w:shd w:val="clear" w:color="auto" w:fill="auto"/>
            <w:noWrap/>
            <w:vAlign w:val="center"/>
            <w:hideMark/>
          </w:tcPr>
          <w:p w14:paraId="42FA8382" w14:textId="77777777" w:rsidR="009B35F5" w:rsidRPr="004E74A6" w:rsidRDefault="009B35F5" w:rsidP="00832773">
            <w:pPr>
              <w:spacing w:line="276" w:lineRule="auto"/>
              <w:jc w:val="center"/>
              <w:rPr>
                <w:rFonts w:cs="Calibri"/>
                <w:b/>
                <w:bCs/>
                <w:color w:val="000000"/>
                <w:sz w:val="22"/>
                <w:szCs w:val="22"/>
                <w:lang w:eastAsia="es-CR"/>
              </w:rPr>
            </w:pPr>
            <w:r w:rsidRPr="004E74A6">
              <w:rPr>
                <w:rFonts w:cs="Calibri"/>
                <w:b/>
                <w:bCs/>
                <w:color w:val="000000"/>
                <w:sz w:val="22"/>
                <w:szCs w:val="22"/>
                <w:lang w:eastAsia="es-CR"/>
              </w:rPr>
              <w:t>922</w:t>
            </w:r>
          </w:p>
        </w:tc>
        <w:tc>
          <w:tcPr>
            <w:tcW w:w="1077" w:type="dxa"/>
            <w:tcBorders>
              <w:top w:val="nil"/>
              <w:left w:val="nil"/>
              <w:bottom w:val="nil"/>
              <w:right w:val="single" w:sz="4" w:space="0" w:color="auto"/>
            </w:tcBorders>
            <w:shd w:val="clear" w:color="auto" w:fill="auto"/>
            <w:noWrap/>
            <w:vAlign w:val="center"/>
            <w:hideMark/>
          </w:tcPr>
          <w:p w14:paraId="1F93E493" w14:textId="77777777" w:rsidR="009B35F5" w:rsidRPr="004E74A6" w:rsidRDefault="009B35F5" w:rsidP="00832773">
            <w:pPr>
              <w:spacing w:line="276" w:lineRule="auto"/>
              <w:jc w:val="center"/>
              <w:rPr>
                <w:rFonts w:cs="Calibri"/>
                <w:b/>
                <w:bCs/>
                <w:color w:val="000000"/>
                <w:sz w:val="22"/>
                <w:szCs w:val="22"/>
                <w:lang w:eastAsia="es-CR"/>
              </w:rPr>
            </w:pPr>
            <w:r w:rsidRPr="004E74A6">
              <w:rPr>
                <w:rFonts w:cs="Calibri"/>
                <w:b/>
                <w:bCs/>
                <w:color w:val="000000"/>
                <w:sz w:val="22"/>
                <w:szCs w:val="22"/>
                <w:lang w:eastAsia="es-CR"/>
              </w:rPr>
              <w:t>32%</w:t>
            </w:r>
          </w:p>
        </w:tc>
        <w:tc>
          <w:tcPr>
            <w:tcW w:w="1815" w:type="dxa"/>
            <w:tcBorders>
              <w:top w:val="nil"/>
              <w:left w:val="nil"/>
              <w:bottom w:val="nil"/>
              <w:right w:val="single" w:sz="4" w:space="0" w:color="auto"/>
            </w:tcBorders>
            <w:shd w:val="clear" w:color="auto" w:fill="auto"/>
            <w:noWrap/>
            <w:vAlign w:val="center"/>
            <w:hideMark/>
          </w:tcPr>
          <w:p w14:paraId="07B4A6C9" w14:textId="14EDAAE8" w:rsidR="009B35F5" w:rsidRPr="004E74A6" w:rsidRDefault="009B35F5" w:rsidP="00832773">
            <w:pPr>
              <w:spacing w:line="276" w:lineRule="auto"/>
              <w:jc w:val="left"/>
              <w:rPr>
                <w:rFonts w:cs="Calibri"/>
                <w:b/>
                <w:bCs/>
                <w:color w:val="000000"/>
                <w:sz w:val="22"/>
                <w:szCs w:val="22"/>
                <w:lang w:eastAsia="es-CR"/>
              </w:rPr>
            </w:pPr>
            <w:r w:rsidRPr="004E74A6">
              <w:rPr>
                <w:rFonts w:cs="Calibri"/>
                <w:b/>
                <w:bCs/>
                <w:color w:val="000000"/>
                <w:sz w:val="22"/>
                <w:szCs w:val="22"/>
                <w:lang w:eastAsia="es-CR"/>
              </w:rPr>
              <w:t xml:space="preserve"> </w:t>
            </w:r>
            <w:r w:rsidRPr="004E74A6">
              <w:rPr>
                <w:rFonts w:ascii="Times New Roman" w:hAnsi="Times New Roman"/>
                <w:b/>
                <w:bCs/>
                <w:color w:val="000000"/>
                <w:sz w:val="22"/>
                <w:szCs w:val="22"/>
                <w:lang w:eastAsia="es-CR"/>
              </w:rPr>
              <w:t>₡</w:t>
            </w:r>
            <w:r w:rsidRPr="004E74A6">
              <w:rPr>
                <w:rFonts w:cs="Calibri"/>
                <w:b/>
                <w:bCs/>
                <w:color w:val="000000"/>
                <w:sz w:val="22"/>
                <w:szCs w:val="22"/>
                <w:lang w:eastAsia="es-CR"/>
              </w:rPr>
              <w:t xml:space="preserve"> 893 366 450,97 </w:t>
            </w:r>
          </w:p>
        </w:tc>
        <w:tc>
          <w:tcPr>
            <w:tcW w:w="1077" w:type="dxa"/>
            <w:tcBorders>
              <w:top w:val="nil"/>
              <w:left w:val="nil"/>
              <w:bottom w:val="nil"/>
              <w:right w:val="single" w:sz="4" w:space="0" w:color="auto"/>
            </w:tcBorders>
            <w:shd w:val="clear" w:color="auto" w:fill="auto"/>
            <w:noWrap/>
            <w:vAlign w:val="center"/>
            <w:hideMark/>
          </w:tcPr>
          <w:p w14:paraId="386F1628" w14:textId="77777777" w:rsidR="009B35F5" w:rsidRPr="004E74A6" w:rsidRDefault="009B35F5" w:rsidP="00832773">
            <w:pPr>
              <w:spacing w:line="276" w:lineRule="auto"/>
              <w:jc w:val="center"/>
              <w:rPr>
                <w:rFonts w:cs="Calibri"/>
                <w:b/>
                <w:bCs/>
                <w:color w:val="000000"/>
                <w:sz w:val="22"/>
                <w:szCs w:val="22"/>
                <w:lang w:eastAsia="es-CR"/>
              </w:rPr>
            </w:pPr>
            <w:r w:rsidRPr="004E74A6">
              <w:rPr>
                <w:rFonts w:cs="Calibri"/>
                <w:b/>
                <w:bCs/>
                <w:color w:val="000000"/>
                <w:sz w:val="22"/>
                <w:szCs w:val="22"/>
                <w:lang w:eastAsia="es-CR"/>
              </w:rPr>
              <w:t>1116</w:t>
            </w:r>
          </w:p>
        </w:tc>
        <w:tc>
          <w:tcPr>
            <w:tcW w:w="1077" w:type="dxa"/>
            <w:tcBorders>
              <w:top w:val="nil"/>
              <w:left w:val="nil"/>
              <w:bottom w:val="nil"/>
              <w:right w:val="single" w:sz="4" w:space="0" w:color="auto"/>
            </w:tcBorders>
            <w:shd w:val="clear" w:color="auto" w:fill="auto"/>
            <w:noWrap/>
            <w:vAlign w:val="center"/>
            <w:hideMark/>
          </w:tcPr>
          <w:p w14:paraId="18B1CBA9" w14:textId="77777777" w:rsidR="009B35F5" w:rsidRPr="004E74A6" w:rsidRDefault="009B35F5" w:rsidP="00832773">
            <w:pPr>
              <w:spacing w:line="276" w:lineRule="auto"/>
              <w:jc w:val="center"/>
              <w:rPr>
                <w:rFonts w:cs="Calibri"/>
                <w:b/>
                <w:bCs/>
                <w:color w:val="000000"/>
                <w:sz w:val="22"/>
                <w:szCs w:val="22"/>
                <w:lang w:eastAsia="es-CR"/>
              </w:rPr>
            </w:pPr>
            <w:r w:rsidRPr="004E74A6">
              <w:rPr>
                <w:rFonts w:cs="Calibri"/>
                <w:b/>
                <w:bCs/>
                <w:color w:val="000000"/>
                <w:sz w:val="22"/>
                <w:szCs w:val="22"/>
                <w:lang w:eastAsia="es-CR"/>
              </w:rPr>
              <w:t>57%</w:t>
            </w:r>
          </w:p>
        </w:tc>
        <w:tc>
          <w:tcPr>
            <w:tcW w:w="2268" w:type="dxa"/>
            <w:gridSpan w:val="2"/>
            <w:tcBorders>
              <w:top w:val="nil"/>
              <w:left w:val="nil"/>
              <w:bottom w:val="nil"/>
              <w:right w:val="nil"/>
            </w:tcBorders>
            <w:shd w:val="clear" w:color="auto" w:fill="auto"/>
            <w:noWrap/>
            <w:vAlign w:val="center"/>
            <w:hideMark/>
          </w:tcPr>
          <w:p w14:paraId="77DEBEAD" w14:textId="3BC39D14" w:rsidR="009B35F5" w:rsidRPr="004E74A6" w:rsidRDefault="009B35F5" w:rsidP="00832773">
            <w:pPr>
              <w:spacing w:line="276" w:lineRule="auto"/>
              <w:jc w:val="left"/>
              <w:rPr>
                <w:rFonts w:cs="Calibri"/>
                <w:b/>
                <w:bCs/>
                <w:color w:val="000000"/>
                <w:sz w:val="22"/>
                <w:szCs w:val="22"/>
                <w:lang w:eastAsia="es-CR"/>
              </w:rPr>
            </w:pPr>
            <w:r w:rsidRPr="004E74A6">
              <w:rPr>
                <w:rFonts w:cs="Calibri"/>
                <w:b/>
                <w:bCs/>
                <w:color w:val="000000"/>
                <w:sz w:val="22"/>
                <w:szCs w:val="22"/>
                <w:lang w:eastAsia="es-CR"/>
              </w:rPr>
              <w:t xml:space="preserve"> </w:t>
            </w:r>
            <w:r w:rsidRPr="004E74A6">
              <w:rPr>
                <w:rFonts w:ascii="Times New Roman" w:hAnsi="Times New Roman"/>
                <w:b/>
                <w:bCs/>
                <w:color w:val="000000"/>
                <w:sz w:val="22"/>
                <w:szCs w:val="22"/>
                <w:lang w:eastAsia="es-CR"/>
              </w:rPr>
              <w:t>₡</w:t>
            </w:r>
            <w:r w:rsidR="00E072BC" w:rsidRPr="004E74A6">
              <w:rPr>
                <w:b/>
                <w:bCs/>
                <w:color w:val="000000"/>
                <w:sz w:val="22"/>
                <w:szCs w:val="22"/>
                <w:lang w:eastAsia="es-CR"/>
              </w:rPr>
              <w:t xml:space="preserve"> </w:t>
            </w:r>
            <w:r w:rsidRPr="004E74A6">
              <w:rPr>
                <w:rFonts w:cs="Calibri"/>
                <w:b/>
                <w:bCs/>
                <w:color w:val="000000"/>
                <w:sz w:val="22"/>
                <w:szCs w:val="22"/>
                <w:lang w:eastAsia="es-CR"/>
              </w:rPr>
              <w:t xml:space="preserve">1 580 549 079,51 </w:t>
            </w:r>
          </w:p>
        </w:tc>
      </w:tr>
      <w:tr w:rsidR="00E072BC" w:rsidRPr="004E74A6" w14:paraId="1C2F70D0" w14:textId="77777777" w:rsidTr="00C61456">
        <w:trPr>
          <w:gridAfter w:val="1"/>
          <w:wAfter w:w="12" w:type="dxa"/>
          <w:trHeight w:val="288"/>
          <w:jc w:val="center"/>
        </w:trPr>
        <w:tc>
          <w:tcPr>
            <w:tcW w:w="2835" w:type="dxa"/>
            <w:tcBorders>
              <w:top w:val="nil"/>
              <w:left w:val="nil"/>
              <w:bottom w:val="nil"/>
              <w:right w:val="single" w:sz="4" w:space="0" w:color="auto"/>
            </w:tcBorders>
            <w:shd w:val="clear" w:color="auto" w:fill="auto"/>
            <w:noWrap/>
            <w:vAlign w:val="center"/>
            <w:hideMark/>
          </w:tcPr>
          <w:p w14:paraId="0DCCD69D" w14:textId="77777777" w:rsidR="009B35F5" w:rsidRPr="004E74A6" w:rsidRDefault="009B35F5" w:rsidP="00832773">
            <w:pPr>
              <w:spacing w:line="276" w:lineRule="auto"/>
              <w:jc w:val="left"/>
              <w:rPr>
                <w:rFonts w:cs="Calibri"/>
                <w:b/>
                <w:bCs/>
                <w:color w:val="000000"/>
                <w:sz w:val="22"/>
                <w:szCs w:val="22"/>
                <w:lang w:eastAsia="es-CR"/>
              </w:rPr>
            </w:pPr>
            <w:r w:rsidRPr="004E74A6">
              <w:rPr>
                <w:rFonts w:cs="Calibri"/>
                <w:b/>
                <w:bCs/>
                <w:color w:val="000000"/>
                <w:sz w:val="22"/>
                <w:szCs w:val="22"/>
                <w:lang w:eastAsia="es-CR"/>
              </w:rPr>
              <w:t> </w:t>
            </w:r>
          </w:p>
        </w:tc>
        <w:tc>
          <w:tcPr>
            <w:tcW w:w="1077" w:type="dxa"/>
            <w:tcBorders>
              <w:top w:val="nil"/>
              <w:left w:val="nil"/>
              <w:bottom w:val="nil"/>
              <w:right w:val="single" w:sz="4" w:space="0" w:color="auto"/>
            </w:tcBorders>
            <w:shd w:val="clear" w:color="auto" w:fill="auto"/>
            <w:noWrap/>
            <w:vAlign w:val="center"/>
            <w:hideMark/>
          </w:tcPr>
          <w:p w14:paraId="0651FD3C" w14:textId="77777777" w:rsidR="009B35F5" w:rsidRPr="004E74A6" w:rsidRDefault="009B35F5" w:rsidP="00832773">
            <w:pPr>
              <w:spacing w:line="276" w:lineRule="auto"/>
              <w:jc w:val="center"/>
              <w:rPr>
                <w:rFonts w:cs="Calibri"/>
                <w:b/>
                <w:bCs/>
                <w:color w:val="000000"/>
                <w:sz w:val="22"/>
                <w:szCs w:val="22"/>
                <w:lang w:eastAsia="es-CR"/>
              </w:rPr>
            </w:pPr>
            <w:r w:rsidRPr="004E74A6">
              <w:rPr>
                <w:rFonts w:cs="Calibri"/>
                <w:b/>
                <w:bCs/>
                <w:color w:val="000000"/>
                <w:sz w:val="22"/>
                <w:szCs w:val="22"/>
                <w:lang w:eastAsia="es-CR"/>
              </w:rPr>
              <w:t> </w:t>
            </w:r>
          </w:p>
        </w:tc>
        <w:tc>
          <w:tcPr>
            <w:tcW w:w="1077" w:type="dxa"/>
            <w:tcBorders>
              <w:top w:val="nil"/>
              <w:left w:val="nil"/>
              <w:bottom w:val="nil"/>
              <w:right w:val="single" w:sz="4" w:space="0" w:color="auto"/>
            </w:tcBorders>
            <w:shd w:val="clear" w:color="auto" w:fill="auto"/>
            <w:noWrap/>
            <w:vAlign w:val="center"/>
            <w:hideMark/>
          </w:tcPr>
          <w:p w14:paraId="126CA31E" w14:textId="77777777" w:rsidR="009B35F5" w:rsidRPr="004E74A6" w:rsidRDefault="009B35F5" w:rsidP="00832773">
            <w:pPr>
              <w:spacing w:line="276" w:lineRule="auto"/>
              <w:jc w:val="center"/>
              <w:rPr>
                <w:rFonts w:cs="Calibri"/>
                <w:b/>
                <w:bCs/>
                <w:color w:val="000000"/>
                <w:sz w:val="22"/>
                <w:szCs w:val="22"/>
                <w:lang w:eastAsia="es-CR"/>
              </w:rPr>
            </w:pPr>
            <w:r w:rsidRPr="004E74A6">
              <w:rPr>
                <w:rFonts w:cs="Calibri"/>
                <w:b/>
                <w:bCs/>
                <w:color w:val="000000"/>
                <w:sz w:val="22"/>
                <w:szCs w:val="22"/>
                <w:lang w:eastAsia="es-CR"/>
              </w:rPr>
              <w:t> </w:t>
            </w:r>
          </w:p>
        </w:tc>
        <w:tc>
          <w:tcPr>
            <w:tcW w:w="1815" w:type="dxa"/>
            <w:tcBorders>
              <w:top w:val="nil"/>
              <w:left w:val="nil"/>
              <w:bottom w:val="nil"/>
              <w:right w:val="single" w:sz="4" w:space="0" w:color="auto"/>
            </w:tcBorders>
            <w:shd w:val="clear" w:color="auto" w:fill="auto"/>
            <w:noWrap/>
            <w:vAlign w:val="center"/>
            <w:hideMark/>
          </w:tcPr>
          <w:p w14:paraId="6CBA71D7" w14:textId="77777777" w:rsidR="009B35F5" w:rsidRPr="004E74A6" w:rsidRDefault="009B35F5" w:rsidP="00832773">
            <w:pPr>
              <w:spacing w:line="276" w:lineRule="auto"/>
              <w:jc w:val="left"/>
              <w:rPr>
                <w:rFonts w:cs="Calibri"/>
                <w:b/>
                <w:bCs/>
                <w:color w:val="000000"/>
                <w:sz w:val="22"/>
                <w:szCs w:val="22"/>
                <w:lang w:eastAsia="es-CR"/>
              </w:rPr>
            </w:pPr>
            <w:r w:rsidRPr="004E74A6">
              <w:rPr>
                <w:rFonts w:cs="Calibri"/>
                <w:b/>
                <w:bCs/>
                <w:color w:val="000000"/>
                <w:sz w:val="22"/>
                <w:szCs w:val="22"/>
                <w:lang w:eastAsia="es-CR"/>
              </w:rPr>
              <w:t> </w:t>
            </w:r>
          </w:p>
        </w:tc>
        <w:tc>
          <w:tcPr>
            <w:tcW w:w="1077" w:type="dxa"/>
            <w:tcBorders>
              <w:top w:val="nil"/>
              <w:left w:val="nil"/>
              <w:bottom w:val="nil"/>
              <w:right w:val="single" w:sz="4" w:space="0" w:color="auto"/>
            </w:tcBorders>
            <w:shd w:val="clear" w:color="auto" w:fill="auto"/>
            <w:noWrap/>
            <w:vAlign w:val="center"/>
            <w:hideMark/>
          </w:tcPr>
          <w:p w14:paraId="47AE2AEF" w14:textId="77777777" w:rsidR="009B35F5" w:rsidRPr="004E74A6" w:rsidRDefault="009B35F5" w:rsidP="00832773">
            <w:pPr>
              <w:spacing w:line="276" w:lineRule="auto"/>
              <w:jc w:val="center"/>
              <w:rPr>
                <w:rFonts w:cs="Calibri"/>
                <w:b/>
                <w:bCs/>
                <w:color w:val="000000"/>
                <w:sz w:val="22"/>
                <w:szCs w:val="22"/>
                <w:lang w:eastAsia="es-CR"/>
              </w:rPr>
            </w:pPr>
            <w:r w:rsidRPr="004E74A6">
              <w:rPr>
                <w:rFonts w:cs="Calibri"/>
                <w:b/>
                <w:bCs/>
                <w:color w:val="000000"/>
                <w:sz w:val="22"/>
                <w:szCs w:val="22"/>
                <w:lang w:eastAsia="es-CR"/>
              </w:rPr>
              <w:t> </w:t>
            </w:r>
          </w:p>
        </w:tc>
        <w:tc>
          <w:tcPr>
            <w:tcW w:w="1077" w:type="dxa"/>
            <w:tcBorders>
              <w:top w:val="nil"/>
              <w:left w:val="nil"/>
              <w:bottom w:val="nil"/>
              <w:right w:val="single" w:sz="4" w:space="0" w:color="auto"/>
            </w:tcBorders>
            <w:shd w:val="clear" w:color="auto" w:fill="auto"/>
            <w:noWrap/>
            <w:vAlign w:val="center"/>
            <w:hideMark/>
          </w:tcPr>
          <w:p w14:paraId="7FB1E6F7" w14:textId="77777777" w:rsidR="009B35F5" w:rsidRPr="004E74A6" w:rsidRDefault="009B35F5" w:rsidP="00832773">
            <w:pPr>
              <w:spacing w:line="276" w:lineRule="auto"/>
              <w:jc w:val="center"/>
              <w:rPr>
                <w:rFonts w:cs="Calibri"/>
                <w:b/>
                <w:bCs/>
                <w:color w:val="000000"/>
                <w:sz w:val="22"/>
                <w:szCs w:val="22"/>
                <w:lang w:eastAsia="es-CR"/>
              </w:rPr>
            </w:pPr>
            <w:r w:rsidRPr="004E74A6">
              <w:rPr>
                <w:rFonts w:cs="Calibri"/>
                <w:b/>
                <w:bCs/>
                <w:color w:val="000000"/>
                <w:sz w:val="22"/>
                <w:szCs w:val="22"/>
                <w:lang w:eastAsia="es-CR"/>
              </w:rPr>
              <w:t> </w:t>
            </w:r>
          </w:p>
        </w:tc>
        <w:tc>
          <w:tcPr>
            <w:tcW w:w="2268" w:type="dxa"/>
            <w:gridSpan w:val="2"/>
            <w:tcBorders>
              <w:top w:val="nil"/>
              <w:left w:val="nil"/>
              <w:bottom w:val="nil"/>
              <w:right w:val="nil"/>
            </w:tcBorders>
            <w:shd w:val="clear" w:color="auto" w:fill="auto"/>
            <w:noWrap/>
            <w:vAlign w:val="center"/>
            <w:hideMark/>
          </w:tcPr>
          <w:p w14:paraId="66F69142" w14:textId="77777777" w:rsidR="009B35F5" w:rsidRPr="004E74A6" w:rsidRDefault="009B35F5" w:rsidP="00832773">
            <w:pPr>
              <w:spacing w:line="276" w:lineRule="auto"/>
              <w:jc w:val="left"/>
              <w:rPr>
                <w:rFonts w:cs="Calibri"/>
                <w:b/>
                <w:bCs/>
                <w:color w:val="000000"/>
                <w:sz w:val="22"/>
                <w:szCs w:val="22"/>
                <w:lang w:eastAsia="es-CR"/>
              </w:rPr>
            </w:pPr>
            <w:r w:rsidRPr="004E74A6">
              <w:rPr>
                <w:rFonts w:cs="Calibri"/>
                <w:b/>
                <w:bCs/>
                <w:color w:val="000000"/>
                <w:sz w:val="22"/>
                <w:szCs w:val="22"/>
                <w:lang w:eastAsia="es-CR"/>
              </w:rPr>
              <w:t> </w:t>
            </w:r>
          </w:p>
        </w:tc>
      </w:tr>
      <w:tr w:rsidR="00E072BC" w:rsidRPr="004E74A6" w14:paraId="38AE19B1" w14:textId="77777777" w:rsidTr="00C61456">
        <w:trPr>
          <w:gridAfter w:val="1"/>
          <w:wAfter w:w="12" w:type="dxa"/>
          <w:trHeight w:val="288"/>
          <w:jc w:val="center"/>
        </w:trPr>
        <w:tc>
          <w:tcPr>
            <w:tcW w:w="2835" w:type="dxa"/>
            <w:tcBorders>
              <w:top w:val="nil"/>
              <w:left w:val="nil"/>
              <w:bottom w:val="nil"/>
              <w:right w:val="single" w:sz="4" w:space="0" w:color="auto"/>
            </w:tcBorders>
            <w:shd w:val="clear" w:color="auto" w:fill="auto"/>
            <w:noWrap/>
            <w:vAlign w:val="center"/>
            <w:hideMark/>
          </w:tcPr>
          <w:p w14:paraId="63079B40" w14:textId="77777777" w:rsidR="009B35F5" w:rsidRPr="004E74A6" w:rsidRDefault="009B35F5" w:rsidP="00832773">
            <w:pPr>
              <w:spacing w:line="276" w:lineRule="auto"/>
              <w:ind w:firstLineChars="200" w:firstLine="400"/>
              <w:jc w:val="left"/>
              <w:rPr>
                <w:rFonts w:cs="Calibri"/>
                <w:i/>
                <w:iCs/>
                <w:color w:val="000000"/>
                <w:sz w:val="20"/>
                <w:lang w:eastAsia="es-CR"/>
              </w:rPr>
            </w:pPr>
            <w:r w:rsidRPr="004E74A6">
              <w:rPr>
                <w:rFonts w:cs="Calibri"/>
                <w:i/>
                <w:iCs/>
                <w:color w:val="000000"/>
                <w:sz w:val="20"/>
                <w:lang w:eastAsia="es-CR"/>
              </w:rPr>
              <w:t>Contencioso Administrativo</w:t>
            </w:r>
          </w:p>
        </w:tc>
        <w:tc>
          <w:tcPr>
            <w:tcW w:w="1077" w:type="dxa"/>
            <w:tcBorders>
              <w:top w:val="nil"/>
              <w:left w:val="nil"/>
              <w:bottom w:val="nil"/>
              <w:right w:val="single" w:sz="4" w:space="0" w:color="auto"/>
            </w:tcBorders>
            <w:shd w:val="clear" w:color="auto" w:fill="auto"/>
            <w:noWrap/>
            <w:vAlign w:val="center"/>
            <w:hideMark/>
          </w:tcPr>
          <w:p w14:paraId="35DBCF3A" w14:textId="77777777" w:rsidR="009B35F5" w:rsidRPr="004E74A6" w:rsidRDefault="009B35F5" w:rsidP="00832773">
            <w:pPr>
              <w:spacing w:line="276" w:lineRule="auto"/>
              <w:jc w:val="center"/>
              <w:rPr>
                <w:rFonts w:cs="Calibri"/>
                <w:i/>
                <w:iCs/>
                <w:color w:val="000000"/>
                <w:sz w:val="20"/>
                <w:lang w:eastAsia="es-CR"/>
              </w:rPr>
            </w:pPr>
            <w:r w:rsidRPr="004E74A6">
              <w:rPr>
                <w:rFonts w:cs="Calibri"/>
                <w:i/>
                <w:iCs/>
                <w:color w:val="000000"/>
                <w:sz w:val="20"/>
                <w:lang w:eastAsia="es-CR"/>
              </w:rPr>
              <w:t>558</w:t>
            </w:r>
          </w:p>
        </w:tc>
        <w:tc>
          <w:tcPr>
            <w:tcW w:w="1077" w:type="dxa"/>
            <w:tcBorders>
              <w:top w:val="nil"/>
              <w:left w:val="nil"/>
              <w:bottom w:val="nil"/>
              <w:right w:val="single" w:sz="4" w:space="0" w:color="auto"/>
            </w:tcBorders>
            <w:shd w:val="clear" w:color="auto" w:fill="auto"/>
            <w:noWrap/>
            <w:vAlign w:val="center"/>
            <w:hideMark/>
          </w:tcPr>
          <w:p w14:paraId="4CA9A9E7" w14:textId="77777777" w:rsidR="009B35F5" w:rsidRPr="004E74A6" w:rsidRDefault="009B35F5" w:rsidP="00832773">
            <w:pPr>
              <w:spacing w:line="276" w:lineRule="auto"/>
              <w:jc w:val="center"/>
              <w:rPr>
                <w:rFonts w:cs="Calibri"/>
                <w:i/>
                <w:iCs/>
                <w:color w:val="000000"/>
                <w:sz w:val="20"/>
                <w:lang w:eastAsia="es-CR"/>
              </w:rPr>
            </w:pPr>
            <w:r w:rsidRPr="004E74A6">
              <w:rPr>
                <w:rFonts w:cs="Calibri"/>
                <w:i/>
                <w:iCs/>
                <w:color w:val="000000"/>
                <w:sz w:val="20"/>
                <w:lang w:eastAsia="es-CR"/>
              </w:rPr>
              <w:t>61%</w:t>
            </w:r>
          </w:p>
        </w:tc>
        <w:tc>
          <w:tcPr>
            <w:tcW w:w="1815" w:type="dxa"/>
            <w:tcBorders>
              <w:top w:val="nil"/>
              <w:left w:val="nil"/>
              <w:bottom w:val="nil"/>
              <w:right w:val="single" w:sz="4" w:space="0" w:color="auto"/>
            </w:tcBorders>
            <w:shd w:val="clear" w:color="auto" w:fill="auto"/>
            <w:noWrap/>
            <w:vAlign w:val="center"/>
            <w:hideMark/>
          </w:tcPr>
          <w:p w14:paraId="23E7E7D9" w14:textId="539DB56A" w:rsidR="009B35F5" w:rsidRPr="004E74A6" w:rsidRDefault="009B35F5" w:rsidP="00832773">
            <w:pPr>
              <w:spacing w:line="276" w:lineRule="auto"/>
              <w:jc w:val="left"/>
              <w:rPr>
                <w:rFonts w:cs="Calibri"/>
                <w:i/>
                <w:iCs/>
                <w:color w:val="000000"/>
                <w:sz w:val="20"/>
                <w:lang w:eastAsia="es-CR"/>
              </w:rPr>
            </w:pPr>
            <w:r w:rsidRPr="004E74A6">
              <w:rPr>
                <w:rFonts w:cs="Calibri"/>
                <w:i/>
                <w:iCs/>
                <w:color w:val="000000"/>
                <w:sz w:val="20"/>
                <w:lang w:eastAsia="es-CR"/>
              </w:rPr>
              <w:t xml:space="preserve"> </w:t>
            </w:r>
            <w:r w:rsidRPr="004E74A6">
              <w:rPr>
                <w:rFonts w:ascii="Times New Roman" w:hAnsi="Times New Roman"/>
                <w:i/>
                <w:iCs/>
                <w:color w:val="000000"/>
                <w:sz w:val="20"/>
                <w:lang w:eastAsia="es-CR"/>
              </w:rPr>
              <w:t>₡</w:t>
            </w:r>
            <w:r w:rsidRPr="004E74A6">
              <w:rPr>
                <w:rFonts w:cs="Calibri"/>
                <w:i/>
                <w:iCs/>
                <w:color w:val="000000"/>
                <w:sz w:val="20"/>
                <w:lang w:eastAsia="es-CR"/>
              </w:rPr>
              <w:t xml:space="preserve"> 540 670 802,22 </w:t>
            </w:r>
          </w:p>
        </w:tc>
        <w:tc>
          <w:tcPr>
            <w:tcW w:w="1077" w:type="dxa"/>
            <w:tcBorders>
              <w:top w:val="nil"/>
              <w:left w:val="nil"/>
              <w:bottom w:val="nil"/>
              <w:right w:val="single" w:sz="4" w:space="0" w:color="auto"/>
            </w:tcBorders>
            <w:shd w:val="clear" w:color="auto" w:fill="auto"/>
            <w:noWrap/>
            <w:vAlign w:val="center"/>
            <w:hideMark/>
          </w:tcPr>
          <w:p w14:paraId="12B63D03" w14:textId="77777777" w:rsidR="009B35F5" w:rsidRPr="004E74A6" w:rsidRDefault="009B35F5" w:rsidP="00832773">
            <w:pPr>
              <w:spacing w:line="276" w:lineRule="auto"/>
              <w:jc w:val="center"/>
              <w:rPr>
                <w:rFonts w:cs="Calibri"/>
                <w:i/>
                <w:iCs/>
                <w:color w:val="000000"/>
                <w:sz w:val="20"/>
                <w:lang w:eastAsia="es-CR"/>
              </w:rPr>
            </w:pPr>
            <w:r w:rsidRPr="004E74A6">
              <w:rPr>
                <w:rFonts w:cs="Calibri"/>
                <w:i/>
                <w:iCs/>
                <w:color w:val="000000"/>
                <w:sz w:val="20"/>
                <w:lang w:eastAsia="es-CR"/>
              </w:rPr>
              <w:t>570</w:t>
            </w:r>
          </w:p>
        </w:tc>
        <w:tc>
          <w:tcPr>
            <w:tcW w:w="1077" w:type="dxa"/>
            <w:tcBorders>
              <w:top w:val="nil"/>
              <w:left w:val="nil"/>
              <w:bottom w:val="nil"/>
              <w:right w:val="single" w:sz="4" w:space="0" w:color="auto"/>
            </w:tcBorders>
            <w:shd w:val="clear" w:color="auto" w:fill="auto"/>
            <w:noWrap/>
            <w:vAlign w:val="center"/>
            <w:hideMark/>
          </w:tcPr>
          <w:p w14:paraId="744F5302" w14:textId="77777777" w:rsidR="009B35F5" w:rsidRPr="004E74A6" w:rsidRDefault="009B35F5" w:rsidP="00832773">
            <w:pPr>
              <w:spacing w:line="276" w:lineRule="auto"/>
              <w:jc w:val="center"/>
              <w:rPr>
                <w:rFonts w:cs="Calibri"/>
                <w:i/>
                <w:iCs/>
                <w:color w:val="000000"/>
                <w:sz w:val="20"/>
                <w:lang w:eastAsia="es-CR"/>
              </w:rPr>
            </w:pPr>
            <w:r w:rsidRPr="004E74A6">
              <w:rPr>
                <w:rFonts w:cs="Calibri"/>
                <w:i/>
                <w:iCs/>
                <w:color w:val="000000"/>
                <w:sz w:val="20"/>
                <w:lang w:eastAsia="es-CR"/>
              </w:rPr>
              <w:t>51%</w:t>
            </w:r>
          </w:p>
        </w:tc>
        <w:tc>
          <w:tcPr>
            <w:tcW w:w="2268" w:type="dxa"/>
            <w:gridSpan w:val="2"/>
            <w:tcBorders>
              <w:top w:val="nil"/>
              <w:left w:val="nil"/>
              <w:bottom w:val="nil"/>
              <w:right w:val="nil"/>
            </w:tcBorders>
            <w:shd w:val="clear" w:color="auto" w:fill="auto"/>
            <w:noWrap/>
            <w:vAlign w:val="center"/>
            <w:hideMark/>
          </w:tcPr>
          <w:p w14:paraId="22307967" w14:textId="69D1D115" w:rsidR="009B35F5" w:rsidRPr="004E74A6" w:rsidRDefault="009B35F5" w:rsidP="00832773">
            <w:pPr>
              <w:spacing w:line="276" w:lineRule="auto"/>
              <w:jc w:val="left"/>
              <w:rPr>
                <w:rFonts w:cs="Calibri"/>
                <w:i/>
                <w:iCs/>
                <w:color w:val="000000"/>
                <w:sz w:val="20"/>
                <w:lang w:eastAsia="es-CR"/>
              </w:rPr>
            </w:pPr>
            <w:r w:rsidRPr="004E74A6">
              <w:rPr>
                <w:rFonts w:cs="Calibri"/>
                <w:i/>
                <w:iCs/>
                <w:color w:val="000000"/>
                <w:sz w:val="20"/>
                <w:lang w:eastAsia="es-CR"/>
              </w:rPr>
              <w:t xml:space="preserve"> </w:t>
            </w:r>
            <w:r w:rsidRPr="004E74A6">
              <w:rPr>
                <w:rFonts w:ascii="Times New Roman" w:hAnsi="Times New Roman"/>
                <w:i/>
                <w:iCs/>
                <w:color w:val="000000"/>
                <w:sz w:val="20"/>
                <w:lang w:eastAsia="es-CR"/>
              </w:rPr>
              <w:t>₡</w:t>
            </w:r>
            <w:r w:rsidRPr="004E74A6">
              <w:rPr>
                <w:rFonts w:cs="Calibri"/>
                <w:i/>
                <w:iCs/>
                <w:color w:val="000000"/>
                <w:sz w:val="20"/>
                <w:lang w:eastAsia="es-CR"/>
              </w:rPr>
              <w:t xml:space="preserve">    807 269 691,15 </w:t>
            </w:r>
          </w:p>
        </w:tc>
      </w:tr>
      <w:tr w:rsidR="00E072BC" w:rsidRPr="004E74A6" w14:paraId="3B68DAAA" w14:textId="77777777" w:rsidTr="00C61456">
        <w:trPr>
          <w:gridAfter w:val="1"/>
          <w:wAfter w:w="12" w:type="dxa"/>
          <w:trHeight w:val="288"/>
          <w:jc w:val="center"/>
        </w:trPr>
        <w:tc>
          <w:tcPr>
            <w:tcW w:w="2835" w:type="dxa"/>
            <w:tcBorders>
              <w:top w:val="nil"/>
              <w:left w:val="nil"/>
              <w:bottom w:val="nil"/>
              <w:right w:val="single" w:sz="4" w:space="0" w:color="auto"/>
            </w:tcBorders>
            <w:shd w:val="clear" w:color="000000" w:fill="E2EFDA"/>
            <w:noWrap/>
            <w:vAlign w:val="center"/>
            <w:hideMark/>
          </w:tcPr>
          <w:p w14:paraId="0A1C7AC3" w14:textId="77777777" w:rsidR="009B35F5" w:rsidRPr="004E74A6" w:rsidRDefault="009B35F5" w:rsidP="00832773">
            <w:pPr>
              <w:spacing w:line="276" w:lineRule="auto"/>
              <w:ind w:firstLineChars="200" w:firstLine="400"/>
              <w:jc w:val="left"/>
              <w:rPr>
                <w:rFonts w:cs="Calibri"/>
                <w:i/>
                <w:iCs/>
                <w:color w:val="000000"/>
                <w:sz w:val="20"/>
                <w:lang w:eastAsia="es-CR"/>
              </w:rPr>
            </w:pPr>
            <w:r w:rsidRPr="004E74A6">
              <w:rPr>
                <w:rFonts w:cs="Calibri"/>
                <w:i/>
                <w:iCs/>
                <w:color w:val="000000"/>
                <w:sz w:val="20"/>
                <w:lang w:eastAsia="es-CR"/>
              </w:rPr>
              <w:t>Civil</w:t>
            </w:r>
          </w:p>
        </w:tc>
        <w:tc>
          <w:tcPr>
            <w:tcW w:w="1077" w:type="dxa"/>
            <w:tcBorders>
              <w:top w:val="nil"/>
              <w:left w:val="nil"/>
              <w:bottom w:val="nil"/>
              <w:right w:val="single" w:sz="4" w:space="0" w:color="auto"/>
            </w:tcBorders>
            <w:shd w:val="clear" w:color="000000" w:fill="E2EFDA"/>
            <w:noWrap/>
            <w:vAlign w:val="center"/>
            <w:hideMark/>
          </w:tcPr>
          <w:p w14:paraId="019E4E0E" w14:textId="77777777" w:rsidR="009B35F5" w:rsidRPr="004E74A6" w:rsidRDefault="009B35F5" w:rsidP="00832773">
            <w:pPr>
              <w:spacing w:line="276" w:lineRule="auto"/>
              <w:jc w:val="center"/>
              <w:rPr>
                <w:rFonts w:cs="Calibri"/>
                <w:i/>
                <w:iCs/>
                <w:color w:val="000000"/>
                <w:sz w:val="20"/>
                <w:lang w:eastAsia="es-CR"/>
              </w:rPr>
            </w:pPr>
            <w:r w:rsidRPr="004E74A6">
              <w:rPr>
                <w:rFonts w:cs="Calibri"/>
                <w:i/>
                <w:iCs/>
                <w:color w:val="000000"/>
                <w:sz w:val="20"/>
                <w:lang w:eastAsia="es-CR"/>
              </w:rPr>
              <w:t>280</w:t>
            </w:r>
          </w:p>
        </w:tc>
        <w:tc>
          <w:tcPr>
            <w:tcW w:w="1077" w:type="dxa"/>
            <w:tcBorders>
              <w:top w:val="nil"/>
              <w:left w:val="nil"/>
              <w:bottom w:val="nil"/>
              <w:right w:val="single" w:sz="4" w:space="0" w:color="auto"/>
            </w:tcBorders>
            <w:shd w:val="clear" w:color="000000" w:fill="E2EFDA"/>
            <w:noWrap/>
            <w:vAlign w:val="center"/>
            <w:hideMark/>
          </w:tcPr>
          <w:p w14:paraId="31251FF1" w14:textId="77777777" w:rsidR="009B35F5" w:rsidRPr="004E74A6" w:rsidRDefault="009B35F5" w:rsidP="00832773">
            <w:pPr>
              <w:spacing w:line="276" w:lineRule="auto"/>
              <w:jc w:val="center"/>
              <w:rPr>
                <w:rFonts w:cs="Calibri"/>
                <w:i/>
                <w:iCs/>
                <w:color w:val="000000"/>
                <w:sz w:val="20"/>
                <w:lang w:eastAsia="es-CR"/>
              </w:rPr>
            </w:pPr>
            <w:r w:rsidRPr="004E74A6">
              <w:rPr>
                <w:rFonts w:cs="Calibri"/>
                <w:i/>
                <w:iCs/>
                <w:color w:val="000000"/>
                <w:sz w:val="20"/>
                <w:lang w:eastAsia="es-CR"/>
              </w:rPr>
              <w:t>30%</w:t>
            </w:r>
          </w:p>
        </w:tc>
        <w:tc>
          <w:tcPr>
            <w:tcW w:w="1815" w:type="dxa"/>
            <w:tcBorders>
              <w:top w:val="nil"/>
              <w:left w:val="nil"/>
              <w:bottom w:val="nil"/>
              <w:right w:val="single" w:sz="4" w:space="0" w:color="auto"/>
            </w:tcBorders>
            <w:shd w:val="clear" w:color="000000" w:fill="E2EFDA"/>
            <w:noWrap/>
            <w:vAlign w:val="center"/>
            <w:hideMark/>
          </w:tcPr>
          <w:p w14:paraId="78472482" w14:textId="3742F990" w:rsidR="009B35F5" w:rsidRPr="004E74A6" w:rsidRDefault="009B35F5" w:rsidP="00832773">
            <w:pPr>
              <w:spacing w:line="276" w:lineRule="auto"/>
              <w:jc w:val="left"/>
              <w:rPr>
                <w:rFonts w:cs="Calibri"/>
                <w:i/>
                <w:iCs/>
                <w:color w:val="000000"/>
                <w:sz w:val="20"/>
                <w:lang w:eastAsia="es-CR"/>
              </w:rPr>
            </w:pPr>
            <w:r w:rsidRPr="004E74A6">
              <w:rPr>
                <w:rFonts w:cs="Calibri"/>
                <w:i/>
                <w:iCs/>
                <w:color w:val="000000"/>
                <w:sz w:val="20"/>
                <w:lang w:eastAsia="es-CR"/>
              </w:rPr>
              <w:t xml:space="preserve"> </w:t>
            </w:r>
            <w:r w:rsidRPr="004E74A6">
              <w:rPr>
                <w:rFonts w:ascii="Times New Roman" w:hAnsi="Times New Roman"/>
                <w:i/>
                <w:iCs/>
                <w:color w:val="000000"/>
                <w:sz w:val="20"/>
                <w:lang w:eastAsia="es-CR"/>
              </w:rPr>
              <w:t>₡</w:t>
            </w:r>
            <w:r w:rsidRPr="004E74A6">
              <w:rPr>
                <w:rFonts w:cs="Calibri"/>
                <w:i/>
                <w:iCs/>
                <w:color w:val="000000"/>
                <w:sz w:val="20"/>
                <w:lang w:eastAsia="es-CR"/>
              </w:rPr>
              <w:t xml:space="preserve"> 271 304 345,20 </w:t>
            </w:r>
          </w:p>
        </w:tc>
        <w:tc>
          <w:tcPr>
            <w:tcW w:w="1077" w:type="dxa"/>
            <w:tcBorders>
              <w:top w:val="nil"/>
              <w:left w:val="nil"/>
              <w:bottom w:val="nil"/>
              <w:right w:val="single" w:sz="4" w:space="0" w:color="auto"/>
            </w:tcBorders>
            <w:shd w:val="clear" w:color="000000" w:fill="E2EFDA"/>
            <w:noWrap/>
            <w:vAlign w:val="center"/>
            <w:hideMark/>
          </w:tcPr>
          <w:p w14:paraId="5C509143" w14:textId="77777777" w:rsidR="009B35F5" w:rsidRPr="004E74A6" w:rsidRDefault="009B35F5" w:rsidP="00832773">
            <w:pPr>
              <w:spacing w:line="276" w:lineRule="auto"/>
              <w:jc w:val="center"/>
              <w:rPr>
                <w:rFonts w:cs="Calibri"/>
                <w:i/>
                <w:iCs/>
                <w:color w:val="000000"/>
                <w:sz w:val="20"/>
                <w:lang w:eastAsia="es-CR"/>
              </w:rPr>
            </w:pPr>
            <w:r w:rsidRPr="004E74A6">
              <w:rPr>
                <w:rFonts w:cs="Calibri"/>
                <w:i/>
                <w:iCs/>
                <w:color w:val="000000"/>
                <w:sz w:val="20"/>
                <w:lang w:eastAsia="es-CR"/>
              </w:rPr>
              <w:t>419</w:t>
            </w:r>
          </w:p>
        </w:tc>
        <w:tc>
          <w:tcPr>
            <w:tcW w:w="1077" w:type="dxa"/>
            <w:tcBorders>
              <w:top w:val="nil"/>
              <w:left w:val="nil"/>
              <w:bottom w:val="nil"/>
              <w:right w:val="single" w:sz="4" w:space="0" w:color="auto"/>
            </w:tcBorders>
            <w:shd w:val="clear" w:color="000000" w:fill="E2EFDA"/>
            <w:noWrap/>
            <w:vAlign w:val="center"/>
            <w:hideMark/>
          </w:tcPr>
          <w:p w14:paraId="19E1AD81" w14:textId="77777777" w:rsidR="009B35F5" w:rsidRPr="004E74A6" w:rsidRDefault="009B35F5" w:rsidP="00832773">
            <w:pPr>
              <w:spacing w:line="276" w:lineRule="auto"/>
              <w:jc w:val="center"/>
              <w:rPr>
                <w:rFonts w:cs="Calibri"/>
                <w:i/>
                <w:iCs/>
                <w:color w:val="000000"/>
                <w:sz w:val="20"/>
                <w:lang w:eastAsia="es-CR"/>
              </w:rPr>
            </w:pPr>
            <w:r w:rsidRPr="004E74A6">
              <w:rPr>
                <w:rFonts w:cs="Calibri"/>
                <w:i/>
                <w:iCs/>
                <w:color w:val="000000"/>
                <w:sz w:val="20"/>
                <w:lang w:eastAsia="es-CR"/>
              </w:rPr>
              <w:t>38%</w:t>
            </w:r>
          </w:p>
        </w:tc>
        <w:tc>
          <w:tcPr>
            <w:tcW w:w="2268" w:type="dxa"/>
            <w:gridSpan w:val="2"/>
            <w:tcBorders>
              <w:top w:val="nil"/>
              <w:left w:val="nil"/>
              <w:bottom w:val="nil"/>
              <w:right w:val="nil"/>
            </w:tcBorders>
            <w:shd w:val="clear" w:color="000000" w:fill="E2EFDA"/>
            <w:noWrap/>
            <w:vAlign w:val="center"/>
            <w:hideMark/>
          </w:tcPr>
          <w:p w14:paraId="01C9F280" w14:textId="3C0FEC91" w:rsidR="009B35F5" w:rsidRPr="004E74A6" w:rsidRDefault="009B35F5" w:rsidP="00832773">
            <w:pPr>
              <w:spacing w:line="276" w:lineRule="auto"/>
              <w:jc w:val="left"/>
              <w:rPr>
                <w:rFonts w:cs="Calibri"/>
                <w:i/>
                <w:iCs/>
                <w:color w:val="000000"/>
                <w:sz w:val="20"/>
                <w:lang w:eastAsia="es-CR"/>
              </w:rPr>
            </w:pPr>
            <w:r w:rsidRPr="004E74A6">
              <w:rPr>
                <w:rFonts w:cs="Calibri"/>
                <w:i/>
                <w:iCs/>
                <w:color w:val="000000"/>
                <w:sz w:val="20"/>
                <w:lang w:eastAsia="es-CR"/>
              </w:rPr>
              <w:t xml:space="preserve"> </w:t>
            </w:r>
            <w:r w:rsidRPr="004E74A6">
              <w:rPr>
                <w:rFonts w:ascii="Times New Roman" w:hAnsi="Times New Roman"/>
                <w:i/>
                <w:iCs/>
                <w:color w:val="000000"/>
                <w:sz w:val="20"/>
                <w:lang w:eastAsia="es-CR"/>
              </w:rPr>
              <w:t>₡</w:t>
            </w:r>
            <w:r w:rsidRPr="004E74A6">
              <w:rPr>
                <w:rFonts w:cs="Calibri"/>
                <w:i/>
                <w:iCs/>
                <w:color w:val="000000"/>
                <w:sz w:val="20"/>
                <w:lang w:eastAsia="es-CR"/>
              </w:rPr>
              <w:t xml:space="preserve">    593 414 036,12 </w:t>
            </w:r>
          </w:p>
        </w:tc>
      </w:tr>
      <w:tr w:rsidR="00E072BC" w:rsidRPr="004E74A6" w14:paraId="27FA5C85" w14:textId="77777777" w:rsidTr="00C61456">
        <w:trPr>
          <w:gridAfter w:val="1"/>
          <w:wAfter w:w="12" w:type="dxa"/>
          <w:trHeight w:val="288"/>
          <w:jc w:val="center"/>
        </w:trPr>
        <w:tc>
          <w:tcPr>
            <w:tcW w:w="2835" w:type="dxa"/>
            <w:tcBorders>
              <w:top w:val="nil"/>
              <w:left w:val="nil"/>
              <w:bottom w:val="nil"/>
              <w:right w:val="single" w:sz="4" w:space="0" w:color="auto"/>
            </w:tcBorders>
            <w:shd w:val="clear" w:color="auto" w:fill="auto"/>
            <w:noWrap/>
            <w:vAlign w:val="center"/>
            <w:hideMark/>
          </w:tcPr>
          <w:p w14:paraId="40996E26" w14:textId="77777777" w:rsidR="009B35F5" w:rsidRPr="004E74A6" w:rsidRDefault="009B35F5" w:rsidP="00832773">
            <w:pPr>
              <w:spacing w:line="276" w:lineRule="auto"/>
              <w:ind w:firstLineChars="200" w:firstLine="400"/>
              <w:jc w:val="left"/>
              <w:rPr>
                <w:rFonts w:cs="Calibri"/>
                <w:i/>
                <w:iCs/>
                <w:color w:val="000000"/>
                <w:sz w:val="20"/>
                <w:lang w:eastAsia="es-CR"/>
              </w:rPr>
            </w:pPr>
            <w:r w:rsidRPr="004E74A6">
              <w:rPr>
                <w:rFonts w:cs="Calibri"/>
                <w:i/>
                <w:iCs/>
                <w:color w:val="000000"/>
                <w:sz w:val="20"/>
                <w:lang w:eastAsia="es-CR"/>
              </w:rPr>
              <w:t>Agrario</w:t>
            </w:r>
          </w:p>
        </w:tc>
        <w:tc>
          <w:tcPr>
            <w:tcW w:w="1077" w:type="dxa"/>
            <w:tcBorders>
              <w:top w:val="nil"/>
              <w:left w:val="nil"/>
              <w:bottom w:val="nil"/>
              <w:right w:val="single" w:sz="4" w:space="0" w:color="auto"/>
            </w:tcBorders>
            <w:shd w:val="clear" w:color="auto" w:fill="auto"/>
            <w:noWrap/>
            <w:vAlign w:val="center"/>
            <w:hideMark/>
          </w:tcPr>
          <w:p w14:paraId="59236FBC" w14:textId="77777777" w:rsidR="009B35F5" w:rsidRPr="004E74A6" w:rsidRDefault="009B35F5" w:rsidP="00832773">
            <w:pPr>
              <w:spacing w:line="276" w:lineRule="auto"/>
              <w:jc w:val="center"/>
              <w:rPr>
                <w:rFonts w:cs="Calibri"/>
                <w:i/>
                <w:iCs/>
                <w:color w:val="000000"/>
                <w:sz w:val="20"/>
                <w:lang w:eastAsia="es-CR"/>
              </w:rPr>
            </w:pPr>
            <w:r w:rsidRPr="004E74A6">
              <w:rPr>
                <w:rFonts w:cs="Calibri"/>
                <w:i/>
                <w:iCs/>
                <w:color w:val="000000"/>
                <w:sz w:val="20"/>
                <w:lang w:eastAsia="es-CR"/>
              </w:rPr>
              <w:t>53</w:t>
            </w:r>
          </w:p>
        </w:tc>
        <w:tc>
          <w:tcPr>
            <w:tcW w:w="1077" w:type="dxa"/>
            <w:tcBorders>
              <w:top w:val="nil"/>
              <w:left w:val="nil"/>
              <w:bottom w:val="nil"/>
              <w:right w:val="single" w:sz="4" w:space="0" w:color="auto"/>
            </w:tcBorders>
            <w:shd w:val="clear" w:color="auto" w:fill="auto"/>
            <w:noWrap/>
            <w:vAlign w:val="center"/>
            <w:hideMark/>
          </w:tcPr>
          <w:p w14:paraId="3F826786" w14:textId="77777777" w:rsidR="009B35F5" w:rsidRPr="004E74A6" w:rsidRDefault="009B35F5" w:rsidP="00832773">
            <w:pPr>
              <w:spacing w:line="276" w:lineRule="auto"/>
              <w:jc w:val="center"/>
              <w:rPr>
                <w:rFonts w:cs="Calibri"/>
                <w:i/>
                <w:iCs/>
                <w:color w:val="000000"/>
                <w:sz w:val="20"/>
                <w:lang w:eastAsia="es-CR"/>
              </w:rPr>
            </w:pPr>
            <w:r w:rsidRPr="004E74A6">
              <w:rPr>
                <w:rFonts w:cs="Calibri"/>
                <w:i/>
                <w:iCs/>
                <w:color w:val="000000"/>
                <w:sz w:val="20"/>
                <w:lang w:eastAsia="es-CR"/>
              </w:rPr>
              <w:t>6%</w:t>
            </w:r>
          </w:p>
        </w:tc>
        <w:tc>
          <w:tcPr>
            <w:tcW w:w="1815" w:type="dxa"/>
            <w:tcBorders>
              <w:top w:val="nil"/>
              <w:left w:val="nil"/>
              <w:bottom w:val="nil"/>
              <w:right w:val="single" w:sz="4" w:space="0" w:color="auto"/>
            </w:tcBorders>
            <w:shd w:val="clear" w:color="auto" w:fill="auto"/>
            <w:noWrap/>
            <w:vAlign w:val="center"/>
            <w:hideMark/>
          </w:tcPr>
          <w:p w14:paraId="08CA4C8F" w14:textId="055C44B9" w:rsidR="009B35F5" w:rsidRPr="004E74A6" w:rsidRDefault="009B35F5" w:rsidP="00832773">
            <w:pPr>
              <w:spacing w:line="276" w:lineRule="auto"/>
              <w:jc w:val="left"/>
              <w:rPr>
                <w:rFonts w:cs="Calibri"/>
                <w:i/>
                <w:iCs/>
                <w:color w:val="000000"/>
                <w:sz w:val="20"/>
                <w:lang w:eastAsia="es-CR"/>
              </w:rPr>
            </w:pPr>
            <w:r w:rsidRPr="004E74A6">
              <w:rPr>
                <w:rFonts w:cs="Calibri"/>
                <w:i/>
                <w:iCs/>
                <w:color w:val="000000"/>
                <w:sz w:val="20"/>
                <w:lang w:eastAsia="es-CR"/>
              </w:rPr>
              <w:t xml:space="preserve"> </w:t>
            </w:r>
            <w:r w:rsidR="008D51C4" w:rsidRPr="004E74A6">
              <w:rPr>
                <w:rFonts w:ascii="Times New Roman" w:hAnsi="Times New Roman"/>
                <w:i/>
                <w:iCs/>
                <w:color w:val="000000"/>
                <w:sz w:val="20"/>
                <w:lang w:eastAsia="es-CR"/>
              </w:rPr>
              <w:t>₡</w:t>
            </w:r>
            <w:r w:rsidR="008D51C4" w:rsidRPr="004E74A6">
              <w:rPr>
                <w:rFonts w:cs="Calibri"/>
                <w:i/>
                <w:iCs/>
                <w:color w:val="000000"/>
                <w:sz w:val="20"/>
                <w:lang w:eastAsia="es-CR"/>
              </w:rPr>
              <w:t xml:space="preserve"> 51</w:t>
            </w:r>
            <w:r w:rsidRPr="004E74A6">
              <w:rPr>
                <w:rFonts w:cs="Calibri"/>
                <w:i/>
                <w:iCs/>
                <w:color w:val="000000"/>
                <w:sz w:val="20"/>
                <w:lang w:eastAsia="es-CR"/>
              </w:rPr>
              <w:t xml:space="preserve"> 354 036,77 </w:t>
            </w:r>
          </w:p>
        </w:tc>
        <w:tc>
          <w:tcPr>
            <w:tcW w:w="1077" w:type="dxa"/>
            <w:tcBorders>
              <w:top w:val="nil"/>
              <w:left w:val="nil"/>
              <w:bottom w:val="nil"/>
              <w:right w:val="single" w:sz="4" w:space="0" w:color="auto"/>
            </w:tcBorders>
            <w:shd w:val="clear" w:color="auto" w:fill="auto"/>
            <w:noWrap/>
            <w:vAlign w:val="center"/>
            <w:hideMark/>
          </w:tcPr>
          <w:p w14:paraId="53E7CB5C" w14:textId="77777777" w:rsidR="009B35F5" w:rsidRPr="004E74A6" w:rsidRDefault="009B35F5" w:rsidP="00832773">
            <w:pPr>
              <w:spacing w:line="276" w:lineRule="auto"/>
              <w:jc w:val="center"/>
              <w:rPr>
                <w:rFonts w:cs="Calibri"/>
                <w:i/>
                <w:iCs/>
                <w:color w:val="000000"/>
                <w:sz w:val="20"/>
                <w:lang w:eastAsia="es-CR"/>
              </w:rPr>
            </w:pPr>
            <w:r w:rsidRPr="004E74A6">
              <w:rPr>
                <w:rFonts w:cs="Calibri"/>
                <w:i/>
                <w:iCs/>
                <w:color w:val="000000"/>
                <w:sz w:val="20"/>
                <w:lang w:eastAsia="es-CR"/>
              </w:rPr>
              <w:t>89</w:t>
            </w:r>
          </w:p>
        </w:tc>
        <w:tc>
          <w:tcPr>
            <w:tcW w:w="1077" w:type="dxa"/>
            <w:tcBorders>
              <w:top w:val="nil"/>
              <w:left w:val="nil"/>
              <w:bottom w:val="nil"/>
              <w:right w:val="single" w:sz="4" w:space="0" w:color="auto"/>
            </w:tcBorders>
            <w:shd w:val="clear" w:color="auto" w:fill="auto"/>
            <w:noWrap/>
            <w:vAlign w:val="center"/>
            <w:hideMark/>
          </w:tcPr>
          <w:p w14:paraId="7E717836" w14:textId="77777777" w:rsidR="009B35F5" w:rsidRPr="004E74A6" w:rsidRDefault="009B35F5" w:rsidP="00832773">
            <w:pPr>
              <w:spacing w:line="276" w:lineRule="auto"/>
              <w:jc w:val="center"/>
              <w:rPr>
                <w:rFonts w:cs="Calibri"/>
                <w:i/>
                <w:iCs/>
                <w:color w:val="000000"/>
                <w:sz w:val="20"/>
                <w:lang w:eastAsia="es-CR"/>
              </w:rPr>
            </w:pPr>
            <w:r w:rsidRPr="004E74A6">
              <w:rPr>
                <w:rFonts w:cs="Calibri"/>
                <w:i/>
                <w:iCs/>
                <w:color w:val="000000"/>
                <w:sz w:val="20"/>
                <w:lang w:eastAsia="es-CR"/>
              </w:rPr>
              <w:t>8%</w:t>
            </w:r>
          </w:p>
        </w:tc>
        <w:tc>
          <w:tcPr>
            <w:tcW w:w="2268" w:type="dxa"/>
            <w:gridSpan w:val="2"/>
            <w:tcBorders>
              <w:top w:val="nil"/>
              <w:left w:val="nil"/>
              <w:bottom w:val="nil"/>
              <w:right w:val="nil"/>
            </w:tcBorders>
            <w:shd w:val="clear" w:color="auto" w:fill="auto"/>
            <w:noWrap/>
            <w:vAlign w:val="center"/>
            <w:hideMark/>
          </w:tcPr>
          <w:p w14:paraId="621DB01E" w14:textId="302C7150" w:rsidR="009B35F5" w:rsidRPr="004E74A6" w:rsidRDefault="009B35F5" w:rsidP="00832773">
            <w:pPr>
              <w:spacing w:line="276" w:lineRule="auto"/>
              <w:jc w:val="left"/>
              <w:rPr>
                <w:rFonts w:cs="Calibri"/>
                <w:i/>
                <w:iCs/>
                <w:color w:val="000000"/>
                <w:sz w:val="20"/>
                <w:lang w:eastAsia="es-CR"/>
              </w:rPr>
            </w:pPr>
            <w:r w:rsidRPr="004E74A6">
              <w:rPr>
                <w:rFonts w:cs="Calibri"/>
                <w:i/>
                <w:iCs/>
                <w:color w:val="000000"/>
                <w:sz w:val="20"/>
                <w:lang w:eastAsia="es-CR"/>
              </w:rPr>
              <w:t xml:space="preserve"> </w:t>
            </w:r>
            <w:r w:rsidRPr="004E74A6">
              <w:rPr>
                <w:rFonts w:ascii="Times New Roman" w:hAnsi="Times New Roman"/>
                <w:i/>
                <w:iCs/>
                <w:color w:val="000000"/>
                <w:sz w:val="20"/>
                <w:lang w:eastAsia="es-CR"/>
              </w:rPr>
              <w:t>₡</w:t>
            </w:r>
            <w:r w:rsidRPr="004E74A6">
              <w:rPr>
                <w:rFonts w:cs="Calibri"/>
                <w:i/>
                <w:iCs/>
                <w:color w:val="000000"/>
                <w:sz w:val="20"/>
                <w:lang w:eastAsia="es-CR"/>
              </w:rPr>
              <w:t xml:space="preserve">    126 047 372,83 </w:t>
            </w:r>
          </w:p>
        </w:tc>
      </w:tr>
      <w:tr w:rsidR="00E072BC" w:rsidRPr="004E74A6" w14:paraId="68E0C9B2" w14:textId="77777777" w:rsidTr="00C61456">
        <w:trPr>
          <w:gridAfter w:val="1"/>
          <w:wAfter w:w="12" w:type="dxa"/>
          <w:trHeight w:val="288"/>
          <w:jc w:val="center"/>
        </w:trPr>
        <w:tc>
          <w:tcPr>
            <w:tcW w:w="2835" w:type="dxa"/>
            <w:tcBorders>
              <w:top w:val="nil"/>
              <w:left w:val="nil"/>
              <w:bottom w:val="nil"/>
              <w:right w:val="single" w:sz="4" w:space="0" w:color="auto"/>
            </w:tcBorders>
            <w:shd w:val="clear" w:color="auto" w:fill="auto"/>
            <w:noWrap/>
            <w:vAlign w:val="center"/>
            <w:hideMark/>
          </w:tcPr>
          <w:p w14:paraId="4ABC2A31" w14:textId="77777777" w:rsidR="009B35F5" w:rsidRPr="004E74A6" w:rsidRDefault="009B35F5" w:rsidP="00832773">
            <w:pPr>
              <w:spacing w:line="276" w:lineRule="auto"/>
              <w:ind w:firstLineChars="200" w:firstLine="400"/>
              <w:jc w:val="left"/>
              <w:rPr>
                <w:rFonts w:cs="Calibri"/>
                <w:i/>
                <w:iCs/>
                <w:color w:val="000000"/>
                <w:sz w:val="20"/>
                <w:lang w:eastAsia="es-CR"/>
              </w:rPr>
            </w:pPr>
            <w:r w:rsidRPr="004E74A6">
              <w:rPr>
                <w:rFonts w:cs="Calibri"/>
                <w:i/>
                <w:iCs/>
                <w:color w:val="000000"/>
                <w:sz w:val="20"/>
                <w:lang w:eastAsia="es-CR"/>
              </w:rPr>
              <w:t>Notariado</w:t>
            </w:r>
          </w:p>
        </w:tc>
        <w:tc>
          <w:tcPr>
            <w:tcW w:w="1077" w:type="dxa"/>
            <w:tcBorders>
              <w:top w:val="nil"/>
              <w:left w:val="nil"/>
              <w:bottom w:val="nil"/>
              <w:right w:val="single" w:sz="4" w:space="0" w:color="auto"/>
            </w:tcBorders>
            <w:shd w:val="clear" w:color="auto" w:fill="auto"/>
            <w:noWrap/>
            <w:vAlign w:val="center"/>
            <w:hideMark/>
          </w:tcPr>
          <w:p w14:paraId="2FAB6568" w14:textId="77777777" w:rsidR="009B35F5" w:rsidRPr="004E74A6" w:rsidRDefault="009B35F5" w:rsidP="00832773">
            <w:pPr>
              <w:spacing w:line="276" w:lineRule="auto"/>
              <w:jc w:val="center"/>
              <w:rPr>
                <w:rFonts w:cs="Calibri"/>
                <w:i/>
                <w:iCs/>
                <w:color w:val="000000"/>
                <w:sz w:val="20"/>
                <w:lang w:eastAsia="es-CR"/>
              </w:rPr>
            </w:pPr>
            <w:r w:rsidRPr="004E74A6">
              <w:rPr>
                <w:rFonts w:cs="Calibri"/>
                <w:i/>
                <w:iCs/>
                <w:color w:val="000000"/>
                <w:sz w:val="20"/>
                <w:lang w:eastAsia="es-CR"/>
              </w:rPr>
              <w:t>18</w:t>
            </w:r>
          </w:p>
        </w:tc>
        <w:tc>
          <w:tcPr>
            <w:tcW w:w="1077" w:type="dxa"/>
            <w:tcBorders>
              <w:top w:val="nil"/>
              <w:left w:val="nil"/>
              <w:bottom w:val="nil"/>
              <w:right w:val="single" w:sz="4" w:space="0" w:color="auto"/>
            </w:tcBorders>
            <w:shd w:val="clear" w:color="auto" w:fill="auto"/>
            <w:noWrap/>
            <w:vAlign w:val="center"/>
            <w:hideMark/>
          </w:tcPr>
          <w:p w14:paraId="5D5E04D2" w14:textId="77777777" w:rsidR="009B35F5" w:rsidRPr="004E74A6" w:rsidRDefault="009B35F5" w:rsidP="00832773">
            <w:pPr>
              <w:spacing w:line="276" w:lineRule="auto"/>
              <w:jc w:val="center"/>
              <w:rPr>
                <w:rFonts w:cs="Calibri"/>
                <w:i/>
                <w:iCs/>
                <w:color w:val="000000"/>
                <w:sz w:val="20"/>
                <w:lang w:eastAsia="es-CR"/>
              </w:rPr>
            </w:pPr>
            <w:r w:rsidRPr="004E74A6">
              <w:rPr>
                <w:rFonts w:cs="Calibri"/>
                <w:i/>
                <w:iCs/>
                <w:color w:val="000000"/>
                <w:sz w:val="20"/>
                <w:lang w:eastAsia="es-CR"/>
              </w:rPr>
              <w:t>2%</w:t>
            </w:r>
          </w:p>
        </w:tc>
        <w:tc>
          <w:tcPr>
            <w:tcW w:w="1815" w:type="dxa"/>
            <w:tcBorders>
              <w:top w:val="nil"/>
              <w:left w:val="nil"/>
              <w:bottom w:val="nil"/>
              <w:right w:val="single" w:sz="4" w:space="0" w:color="auto"/>
            </w:tcBorders>
            <w:shd w:val="clear" w:color="auto" w:fill="auto"/>
            <w:noWrap/>
            <w:vAlign w:val="center"/>
            <w:hideMark/>
          </w:tcPr>
          <w:p w14:paraId="7AEBD569" w14:textId="282A7982" w:rsidR="009B35F5" w:rsidRPr="004E74A6" w:rsidRDefault="009B35F5" w:rsidP="00832773">
            <w:pPr>
              <w:spacing w:line="276" w:lineRule="auto"/>
              <w:jc w:val="left"/>
              <w:rPr>
                <w:rFonts w:cs="Calibri"/>
                <w:i/>
                <w:iCs/>
                <w:color w:val="000000"/>
                <w:sz w:val="20"/>
                <w:lang w:eastAsia="es-CR"/>
              </w:rPr>
            </w:pPr>
            <w:r w:rsidRPr="004E74A6">
              <w:rPr>
                <w:rFonts w:cs="Calibri"/>
                <w:i/>
                <w:iCs/>
                <w:color w:val="000000"/>
                <w:sz w:val="20"/>
                <w:lang w:eastAsia="es-CR"/>
              </w:rPr>
              <w:t xml:space="preserve"> </w:t>
            </w:r>
            <w:r w:rsidR="008D51C4" w:rsidRPr="004E74A6">
              <w:rPr>
                <w:rFonts w:ascii="Times New Roman" w:hAnsi="Times New Roman"/>
                <w:i/>
                <w:iCs/>
                <w:color w:val="000000"/>
                <w:sz w:val="20"/>
                <w:lang w:eastAsia="es-CR"/>
              </w:rPr>
              <w:t>₡</w:t>
            </w:r>
            <w:r w:rsidR="008D51C4" w:rsidRPr="004E74A6">
              <w:rPr>
                <w:rFonts w:cs="Calibri"/>
                <w:i/>
                <w:iCs/>
                <w:color w:val="000000"/>
                <w:sz w:val="20"/>
                <w:lang w:eastAsia="es-CR"/>
              </w:rPr>
              <w:t xml:space="preserve"> 17</w:t>
            </w:r>
            <w:r w:rsidRPr="004E74A6">
              <w:rPr>
                <w:rFonts w:cs="Calibri"/>
                <w:i/>
                <w:iCs/>
                <w:color w:val="000000"/>
                <w:sz w:val="20"/>
                <w:lang w:eastAsia="es-CR"/>
              </w:rPr>
              <w:t xml:space="preserve"> 440 993,62 </w:t>
            </w:r>
          </w:p>
        </w:tc>
        <w:tc>
          <w:tcPr>
            <w:tcW w:w="1077" w:type="dxa"/>
            <w:tcBorders>
              <w:top w:val="nil"/>
              <w:left w:val="nil"/>
              <w:bottom w:val="nil"/>
              <w:right w:val="single" w:sz="4" w:space="0" w:color="auto"/>
            </w:tcBorders>
            <w:shd w:val="clear" w:color="auto" w:fill="auto"/>
            <w:noWrap/>
            <w:vAlign w:val="center"/>
            <w:hideMark/>
          </w:tcPr>
          <w:p w14:paraId="44671747" w14:textId="77777777" w:rsidR="009B35F5" w:rsidRPr="004E74A6" w:rsidRDefault="009B35F5" w:rsidP="00832773">
            <w:pPr>
              <w:spacing w:line="276" w:lineRule="auto"/>
              <w:jc w:val="center"/>
              <w:rPr>
                <w:rFonts w:cs="Calibri"/>
                <w:i/>
                <w:iCs/>
                <w:color w:val="000000"/>
                <w:sz w:val="20"/>
                <w:lang w:eastAsia="es-CR"/>
              </w:rPr>
            </w:pPr>
            <w:r w:rsidRPr="004E74A6">
              <w:rPr>
                <w:rFonts w:cs="Calibri"/>
                <w:i/>
                <w:iCs/>
                <w:color w:val="000000"/>
                <w:sz w:val="20"/>
                <w:lang w:eastAsia="es-CR"/>
              </w:rPr>
              <w:t>25</w:t>
            </w:r>
          </w:p>
        </w:tc>
        <w:tc>
          <w:tcPr>
            <w:tcW w:w="1077" w:type="dxa"/>
            <w:tcBorders>
              <w:top w:val="nil"/>
              <w:left w:val="nil"/>
              <w:bottom w:val="nil"/>
              <w:right w:val="single" w:sz="4" w:space="0" w:color="auto"/>
            </w:tcBorders>
            <w:shd w:val="clear" w:color="auto" w:fill="auto"/>
            <w:noWrap/>
            <w:vAlign w:val="center"/>
            <w:hideMark/>
          </w:tcPr>
          <w:p w14:paraId="41F4DBA1" w14:textId="77777777" w:rsidR="009B35F5" w:rsidRPr="004E74A6" w:rsidRDefault="009B35F5" w:rsidP="00832773">
            <w:pPr>
              <w:spacing w:line="276" w:lineRule="auto"/>
              <w:jc w:val="center"/>
              <w:rPr>
                <w:rFonts w:cs="Calibri"/>
                <w:i/>
                <w:iCs/>
                <w:color w:val="000000"/>
                <w:sz w:val="20"/>
                <w:lang w:eastAsia="es-CR"/>
              </w:rPr>
            </w:pPr>
            <w:r w:rsidRPr="004E74A6">
              <w:rPr>
                <w:rFonts w:cs="Calibri"/>
                <w:i/>
                <w:iCs/>
                <w:color w:val="000000"/>
                <w:sz w:val="20"/>
                <w:lang w:eastAsia="es-CR"/>
              </w:rPr>
              <w:t>2%</w:t>
            </w:r>
          </w:p>
        </w:tc>
        <w:tc>
          <w:tcPr>
            <w:tcW w:w="2268" w:type="dxa"/>
            <w:gridSpan w:val="2"/>
            <w:tcBorders>
              <w:top w:val="nil"/>
              <w:left w:val="nil"/>
              <w:bottom w:val="nil"/>
              <w:right w:val="nil"/>
            </w:tcBorders>
            <w:shd w:val="clear" w:color="auto" w:fill="auto"/>
            <w:noWrap/>
            <w:vAlign w:val="center"/>
            <w:hideMark/>
          </w:tcPr>
          <w:p w14:paraId="699A8B59" w14:textId="01F163D0" w:rsidR="009B35F5" w:rsidRPr="004E74A6" w:rsidRDefault="009B35F5" w:rsidP="00832773">
            <w:pPr>
              <w:spacing w:line="276" w:lineRule="auto"/>
              <w:jc w:val="left"/>
              <w:rPr>
                <w:rFonts w:cs="Calibri"/>
                <w:i/>
                <w:iCs/>
                <w:color w:val="000000"/>
                <w:sz w:val="20"/>
                <w:lang w:eastAsia="es-CR"/>
              </w:rPr>
            </w:pPr>
            <w:r w:rsidRPr="004E74A6">
              <w:rPr>
                <w:rFonts w:cs="Calibri"/>
                <w:i/>
                <w:iCs/>
                <w:color w:val="000000"/>
                <w:sz w:val="20"/>
                <w:lang w:eastAsia="es-CR"/>
              </w:rPr>
              <w:t xml:space="preserve"> </w:t>
            </w:r>
            <w:r w:rsidRPr="004E74A6">
              <w:rPr>
                <w:rFonts w:ascii="Times New Roman" w:hAnsi="Times New Roman"/>
                <w:i/>
                <w:iCs/>
                <w:color w:val="000000"/>
                <w:sz w:val="20"/>
                <w:lang w:eastAsia="es-CR"/>
              </w:rPr>
              <w:t>₡</w:t>
            </w:r>
            <w:r w:rsidRPr="004E74A6">
              <w:rPr>
                <w:rFonts w:cs="Calibri"/>
                <w:i/>
                <w:iCs/>
                <w:color w:val="000000"/>
                <w:sz w:val="20"/>
                <w:lang w:eastAsia="es-CR"/>
              </w:rPr>
              <w:t xml:space="preserve">    </w:t>
            </w:r>
            <w:r w:rsidR="00E072BC" w:rsidRPr="004E74A6">
              <w:rPr>
                <w:rFonts w:cs="Calibri"/>
                <w:i/>
                <w:iCs/>
                <w:color w:val="000000"/>
                <w:sz w:val="20"/>
                <w:lang w:eastAsia="es-CR"/>
              </w:rPr>
              <w:t xml:space="preserve"> </w:t>
            </w:r>
            <w:r w:rsidRPr="004E74A6">
              <w:rPr>
                <w:rFonts w:cs="Calibri"/>
                <w:i/>
                <w:iCs/>
                <w:color w:val="000000"/>
                <w:sz w:val="20"/>
                <w:lang w:eastAsia="es-CR"/>
              </w:rPr>
              <w:t xml:space="preserve"> 35 406 565,40 </w:t>
            </w:r>
          </w:p>
        </w:tc>
      </w:tr>
      <w:tr w:rsidR="00E072BC" w:rsidRPr="004E74A6" w14:paraId="537A8D9F" w14:textId="77777777" w:rsidTr="00C61456">
        <w:trPr>
          <w:gridAfter w:val="1"/>
          <w:wAfter w:w="12" w:type="dxa"/>
          <w:trHeight w:val="288"/>
          <w:jc w:val="center"/>
        </w:trPr>
        <w:tc>
          <w:tcPr>
            <w:tcW w:w="2835" w:type="dxa"/>
            <w:tcBorders>
              <w:top w:val="nil"/>
              <w:left w:val="nil"/>
              <w:bottom w:val="nil"/>
              <w:right w:val="single" w:sz="4" w:space="0" w:color="auto"/>
            </w:tcBorders>
            <w:shd w:val="clear" w:color="auto" w:fill="auto"/>
            <w:noWrap/>
            <w:vAlign w:val="center"/>
            <w:hideMark/>
          </w:tcPr>
          <w:p w14:paraId="12A68EE1" w14:textId="77777777" w:rsidR="009B35F5" w:rsidRPr="004E74A6" w:rsidRDefault="009B35F5" w:rsidP="00832773">
            <w:pPr>
              <w:spacing w:line="276" w:lineRule="auto"/>
              <w:ind w:firstLineChars="200" w:firstLine="400"/>
              <w:jc w:val="left"/>
              <w:rPr>
                <w:rFonts w:cs="Calibri"/>
                <w:i/>
                <w:iCs/>
                <w:color w:val="000000"/>
                <w:sz w:val="20"/>
                <w:lang w:eastAsia="es-CR"/>
              </w:rPr>
            </w:pPr>
            <w:r w:rsidRPr="004E74A6">
              <w:rPr>
                <w:rFonts w:cs="Calibri"/>
                <w:i/>
                <w:iCs/>
                <w:color w:val="000000"/>
                <w:sz w:val="20"/>
                <w:lang w:eastAsia="es-CR"/>
              </w:rPr>
              <w:t>Cobro Judicial</w:t>
            </w:r>
          </w:p>
        </w:tc>
        <w:tc>
          <w:tcPr>
            <w:tcW w:w="1077" w:type="dxa"/>
            <w:tcBorders>
              <w:top w:val="nil"/>
              <w:left w:val="nil"/>
              <w:bottom w:val="nil"/>
              <w:right w:val="single" w:sz="4" w:space="0" w:color="auto"/>
            </w:tcBorders>
            <w:shd w:val="clear" w:color="auto" w:fill="auto"/>
            <w:noWrap/>
            <w:vAlign w:val="center"/>
            <w:hideMark/>
          </w:tcPr>
          <w:p w14:paraId="1AC3FFB8" w14:textId="77777777" w:rsidR="009B35F5" w:rsidRPr="004E74A6" w:rsidRDefault="009B35F5" w:rsidP="00832773">
            <w:pPr>
              <w:spacing w:line="276" w:lineRule="auto"/>
              <w:jc w:val="center"/>
              <w:rPr>
                <w:rFonts w:cs="Calibri"/>
                <w:i/>
                <w:iCs/>
                <w:color w:val="000000"/>
                <w:sz w:val="20"/>
                <w:lang w:eastAsia="es-CR"/>
              </w:rPr>
            </w:pPr>
            <w:r w:rsidRPr="004E74A6">
              <w:rPr>
                <w:rFonts w:cs="Calibri"/>
                <w:i/>
                <w:iCs/>
                <w:color w:val="000000"/>
                <w:sz w:val="20"/>
                <w:lang w:eastAsia="es-CR"/>
              </w:rPr>
              <w:t>10</w:t>
            </w:r>
          </w:p>
        </w:tc>
        <w:tc>
          <w:tcPr>
            <w:tcW w:w="1077" w:type="dxa"/>
            <w:tcBorders>
              <w:top w:val="nil"/>
              <w:left w:val="nil"/>
              <w:bottom w:val="nil"/>
              <w:right w:val="single" w:sz="4" w:space="0" w:color="auto"/>
            </w:tcBorders>
            <w:shd w:val="clear" w:color="auto" w:fill="auto"/>
            <w:noWrap/>
            <w:vAlign w:val="center"/>
            <w:hideMark/>
          </w:tcPr>
          <w:p w14:paraId="6C35EF3D" w14:textId="77777777" w:rsidR="009B35F5" w:rsidRPr="004E74A6" w:rsidRDefault="009B35F5" w:rsidP="00832773">
            <w:pPr>
              <w:spacing w:line="276" w:lineRule="auto"/>
              <w:jc w:val="center"/>
              <w:rPr>
                <w:rFonts w:cs="Calibri"/>
                <w:i/>
                <w:iCs/>
                <w:color w:val="000000"/>
                <w:sz w:val="20"/>
                <w:lang w:eastAsia="es-CR"/>
              </w:rPr>
            </w:pPr>
            <w:r w:rsidRPr="004E74A6">
              <w:rPr>
                <w:rFonts w:cs="Calibri"/>
                <w:i/>
                <w:iCs/>
                <w:color w:val="000000"/>
                <w:sz w:val="20"/>
                <w:lang w:eastAsia="es-CR"/>
              </w:rPr>
              <w:t>1%</w:t>
            </w:r>
          </w:p>
        </w:tc>
        <w:tc>
          <w:tcPr>
            <w:tcW w:w="1815" w:type="dxa"/>
            <w:tcBorders>
              <w:top w:val="nil"/>
              <w:left w:val="nil"/>
              <w:bottom w:val="nil"/>
              <w:right w:val="single" w:sz="4" w:space="0" w:color="auto"/>
            </w:tcBorders>
            <w:shd w:val="clear" w:color="auto" w:fill="auto"/>
            <w:noWrap/>
            <w:vAlign w:val="center"/>
            <w:hideMark/>
          </w:tcPr>
          <w:p w14:paraId="6C27D63E" w14:textId="06E67B6B" w:rsidR="009B35F5" w:rsidRPr="004E74A6" w:rsidRDefault="009B35F5" w:rsidP="00832773">
            <w:pPr>
              <w:spacing w:line="276" w:lineRule="auto"/>
              <w:jc w:val="left"/>
              <w:rPr>
                <w:rFonts w:cs="Calibri"/>
                <w:i/>
                <w:iCs/>
                <w:color w:val="000000"/>
                <w:sz w:val="20"/>
                <w:lang w:eastAsia="es-CR"/>
              </w:rPr>
            </w:pPr>
            <w:r w:rsidRPr="004E74A6">
              <w:rPr>
                <w:rFonts w:cs="Calibri"/>
                <w:i/>
                <w:iCs/>
                <w:color w:val="000000"/>
                <w:sz w:val="20"/>
                <w:lang w:eastAsia="es-CR"/>
              </w:rPr>
              <w:t xml:space="preserve"> </w:t>
            </w:r>
            <w:r w:rsidRPr="004E74A6">
              <w:rPr>
                <w:rFonts w:ascii="Times New Roman" w:hAnsi="Times New Roman"/>
                <w:i/>
                <w:iCs/>
                <w:color w:val="000000"/>
                <w:sz w:val="20"/>
                <w:lang w:eastAsia="es-CR"/>
              </w:rPr>
              <w:t>₡</w:t>
            </w:r>
            <w:r w:rsidRPr="004E74A6">
              <w:rPr>
                <w:rFonts w:cs="Calibri"/>
                <w:i/>
                <w:iCs/>
                <w:color w:val="000000"/>
                <w:sz w:val="20"/>
                <w:lang w:eastAsia="es-CR"/>
              </w:rPr>
              <w:t xml:space="preserve">   9 689 440,90 </w:t>
            </w:r>
          </w:p>
        </w:tc>
        <w:tc>
          <w:tcPr>
            <w:tcW w:w="1077" w:type="dxa"/>
            <w:tcBorders>
              <w:top w:val="nil"/>
              <w:left w:val="nil"/>
              <w:bottom w:val="nil"/>
              <w:right w:val="single" w:sz="4" w:space="0" w:color="auto"/>
            </w:tcBorders>
            <w:shd w:val="clear" w:color="auto" w:fill="auto"/>
            <w:noWrap/>
            <w:vAlign w:val="center"/>
            <w:hideMark/>
          </w:tcPr>
          <w:p w14:paraId="4F52F5B1" w14:textId="77777777" w:rsidR="009B35F5" w:rsidRPr="004E74A6" w:rsidRDefault="009B35F5" w:rsidP="00832773">
            <w:pPr>
              <w:spacing w:line="276" w:lineRule="auto"/>
              <w:jc w:val="center"/>
              <w:rPr>
                <w:rFonts w:cs="Calibri"/>
                <w:i/>
                <w:iCs/>
                <w:color w:val="000000"/>
                <w:sz w:val="20"/>
                <w:lang w:eastAsia="es-CR"/>
              </w:rPr>
            </w:pPr>
            <w:r w:rsidRPr="004E74A6">
              <w:rPr>
                <w:rFonts w:cs="Calibri"/>
                <w:i/>
                <w:iCs/>
                <w:color w:val="000000"/>
                <w:sz w:val="20"/>
                <w:lang w:eastAsia="es-CR"/>
              </w:rPr>
              <w:t>10</w:t>
            </w:r>
          </w:p>
        </w:tc>
        <w:tc>
          <w:tcPr>
            <w:tcW w:w="1077" w:type="dxa"/>
            <w:tcBorders>
              <w:top w:val="nil"/>
              <w:left w:val="nil"/>
              <w:bottom w:val="nil"/>
              <w:right w:val="single" w:sz="4" w:space="0" w:color="auto"/>
            </w:tcBorders>
            <w:shd w:val="clear" w:color="auto" w:fill="auto"/>
            <w:noWrap/>
            <w:vAlign w:val="center"/>
            <w:hideMark/>
          </w:tcPr>
          <w:p w14:paraId="3CA87A2B" w14:textId="77777777" w:rsidR="009B35F5" w:rsidRPr="004E74A6" w:rsidRDefault="009B35F5" w:rsidP="00832773">
            <w:pPr>
              <w:spacing w:line="276" w:lineRule="auto"/>
              <w:jc w:val="center"/>
              <w:rPr>
                <w:rFonts w:cs="Calibri"/>
                <w:i/>
                <w:iCs/>
                <w:color w:val="000000"/>
                <w:sz w:val="20"/>
                <w:lang w:eastAsia="es-CR"/>
              </w:rPr>
            </w:pPr>
            <w:r w:rsidRPr="004E74A6">
              <w:rPr>
                <w:rFonts w:cs="Calibri"/>
                <w:i/>
                <w:iCs/>
                <w:color w:val="000000"/>
                <w:sz w:val="20"/>
                <w:lang w:eastAsia="es-CR"/>
              </w:rPr>
              <w:t>1%</w:t>
            </w:r>
          </w:p>
        </w:tc>
        <w:tc>
          <w:tcPr>
            <w:tcW w:w="2268" w:type="dxa"/>
            <w:gridSpan w:val="2"/>
            <w:tcBorders>
              <w:top w:val="nil"/>
              <w:left w:val="nil"/>
              <w:bottom w:val="nil"/>
              <w:right w:val="nil"/>
            </w:tcBorders>
            <w:shd w:val="clear" w:color="auto" w:fill="auto"/>
            <w:noWrap/>
            <w:vAlign w:val="center"/>
            <w:hideMark/>
          </w:tcPr>
          <w:p w14:paraId="2663888F" w14:textId="021D8C0C" w:rsidR="009B35F5" w:rsidRPr="004E74A6" w:rsidRDefault="009B35F5" w:rsidP="00832773">
            <w:pPr>
              <w:spacing w:line="276" w:lineRule="auto"/>
              <w:jc w:val="left"/>
              <w:rPr>
                <w:rFonts w:cs="Calibri"/>
                <w:i/>
                <w:iCs/>
                <w:color w:val="000000"/>
                <w:sz w:val="20"/>
                <w:lang w:eastAsia="es-CR"/>
              </w:rPr>
            </w:pPr>
            <w:r w:rsidRPr="004E74A6">
              <w:rPr>
                <w:rFonts w:cs="Calibri"/>
                <w:i/>
                <w:iCs/>
                <w:color w:val="000000"/>
                <w:sz w:val="20"/>
                <w:lang w:eastAsia="es-CR"/>
              </w:rPr>
              <w:t xml:space="preserve"> </w:t>
            </w:r>
            <w:r w:rsidRPr="004E74A6">
              <w:rPr>
                <w:rFonts w:ascii="Times New Roman" w:hAnsi="Times New Roman"/>
                <w:i/>
                <w:iCs/>
                <w:color w:val="000000"/>
                <w:sz w:val="20"/>
                <w:lang w:eastAsia="es-CR"/>
              </w:rPr>
              <w:t>₡</w:t>
            </w:r>
            <w:r w:rsidRPr="004E74A6">
              <w:rPr>
                <w:rFonts w:cs="Calibri"/>
                <w:i/>
                <w:iCs/>
                <w:color w:val="000000"/>
                <w:sz w:val="20"/>
                <w:lang w:eastAsia="es-CR"/>
              </w:rPr>
              <w:t xml:space="preserve">      14 162 626,16 </w:t>
            </w:r>
          </w:p>
        </w:tc>
      </w:tr>
      <w:tr w:rsidR="00E072BC" w:rsidRPr="004E74A6" w14:paraId="20466EA8" w14:textId="77777777" w:rsidTr="00C61456">
        <w:trPr>
          <w:gridAfter w:val="1"/>
          <w:wAfter w:w="12" w:type="dxa"/>
          <w:trHeight w:val="288"/>
          <w:jc w:val="center"/>
        </w:trPr>
        <w:tc>
          <w:tcPr>
            <w:tcW w:w="2835" w:type="dxa"/>
            <w:tcBorders>
              <w:top w:val="nil"/>
              <w:left w:val="nil"/>
              <w:bottom w:val="nil"/>
              <w:right w:val="single" w:sz="4" w:space="0" w:color="auto"/>
            </w:tcBorders>
            <w:shd w:val="clear" w:color="auto" w:fill="auto"/>
            <w:noWrap/>
            <w:vAlign w:val="center"/>
            <w:hideMark/>
          </w:tcPr>
          <w:p w14:paraId="1F97E508" w14:textId="77777777" w:rsidR="009B35F5" w:rsidRPr="004E74A6" w:rsidRDefault="009B35F5" w:rsidP="00832773">
            <w:pPr>
              <w:spacing w:line="276" w:lineRule="auto"/>
              <w:ind w:firstLineChars="200" w:firstLine="400"/>
              <w:jc w:val="left"/>
              <w:rPr>
                <w:rFonts w:cs="Calibri"/>
                <w:i/>
                <w:iCs/>
                <w:color w:val="000000"/>
                <w:sz w:val="20"/>
                <w:lang w:eastAsia="es-CR"/>
              </w:rPr>
            </w:pPr>
            <w:r w:rsidRPr="004E74A6">
              <w:rPr>
                <w:rFonts w:cs="Calibri"/>
                <w:i/>
                <w:iCs/>
                <w:color w:val="000000"/>
                <w:sz w:val="20"/>
                <w:lang w:eastAsia="es-CR"/>
              </w:rPr>
              <w:t>Laboral</w:t>
            </w:r>
          </w:p>
        </w:tc>
        <w:tc>
          <w:tcPr>
            <w:tcW w:w="1077" w:type="dxa"/>
            <w:tcBorders>
              <w:top w:val="nil"/>
              <w:left w:val="nil"/>
              <w:bottom w:val="nil"/>
              <w:right w:val="single" w:sz="4" w:space="0" w:color="auto"/>
            </w:tcBorders>
            <w:shd w:val="clear" w:color="auto" w:fill="auto"/>
            <w:noWrap/>
            <w:vAlign w:val="center"/>
            <w:hideMark/>
          </w:tcPr>
          <w:p w14:paraId="213A1656" w14:textId="77777777" w:rsidR="009B35F5" w:rsidRPr="004E74A6" w:rsidRDefault="009B35F5" w:rsidP="00832773">
            <w:pPr>
              <w:spacing w:line="276" w:lineRule="auto"/>
              <w:jc w:val="center"/>
              <w:rPr>
                <w:rFonts w:cs="Calibri"/>
                <w:i/>
                <w:iCs/>
                <w:color w:val="000000"/>
                <w:sz w:val="20"/>
                <w:lang w:eastAsia="es-CR"/>
              </w:rPr>
            </w:pPr>
            <w:r w:rsidRPr="004E74A6">
              <w:rPr>
                <w:rFonts w:cs="Calibri"/>
                <w:i/>
                <w:iCs/>
                <w:color w:val="000000"/>
                <w:sz w:val="20"/>
                <w:lang w:eastAsia="es-CR"/>
              </w:rPr>
              <w:t>3</w:t>
            </w:r>
          </w:p>
        </w:tc>
        <w:tc>
          <w:tcPr>
            <w:tcW w:w="1077" w:type="dxa"/>
            <w:tcBorders>
              <w:top w:val="nil"/>
              <w:left w:val="nil"/>
              <w:bottom w:val="nil"/>
              <w:right w:val="single" w:sz="4" w:space="0" w:color="auto"/>
            </w:tcBorders>
            <w:shd w:val="clear" w:color="auto" w:fill="auto"/>
            <w:noWrap/>
            <w:vAlign w:val="center"/>
            <w:hideMark/>
          </w:tcPr>
          <w:p w14:paraId="4C779E15" w14:textId="77777777" w:rsidR="009B35F5" w:rsidRPr="004E74A6" w:rsidRDefault="009B35F5" w:rsidP="00832773">
            <w:pPr>
              <w:spacing w:line="276" w:lineRule="auto"/>
              <w:jc w:val="center"/>
              <w:rPr>
                <w:rFonts w:cs="Calibri"/>
                <w:i/>
                <w:iCs/>
                <w:color w:val="000000"/>
                <w:sz w:val="20"/>
                <w:lang w:eastAsia="es-CR"/>
              </w:rPr>
            </w:pPr>
            <w:r w:rsidRPr="004E74A6">
              <w:rPr>
                <w:rFonts w:cs="Calibri"/>
                <w:i/>
                <w:iCs/>
                <w:color w:val="000000"/>
                <w:sz w:val="20"/>
                <w:lang w:eastAsia="es-CR"/>
              </w:rPr>
              <w:t>0%</w:t>
            </w:r>
          </w:p>
        </w:tc>
        <w:tc>
          <w:tcPr>
            <w:tcW w:w="1815" w:type="dxa"/>
            <w:tcBorders>
              <w:top w:val="nil"/>
              <w:left w:val="nil"/>
              <w:bottom w:val="nil"/>
              <w:right w:val="single" w:sz="4" w:space="0" w:color="auto"/>
            </w:tcBorders>
            <w:shd w:val="clear" w:color="auto" w:fill="auto"/>
            <w:noWrap/>
            <w:vAlign w:val="center"/>
            <w:hideMark/>
          </w:tcPr>
          <w:p w14:paraId="23F8785A" w14:textId="3AA6D7EC" w:rsidR="009B35F5" w:rsidRPr="004E74A6" w:rsidRDefault="009B35F5" w:rsidP="00832773">
            <w:pPr>
              <w:spacing w:line="276" w:lineRule="auto"/>
              <w:jc w:val="left"/>
              <w:rPr>
                <w:rFonts w:cs="Calibri"/>
                <w:i/>
                <w:iCs/>
                <w:color w:val="000000"/>
                <w:sz w:val="20"/>
                <w:lang w:eastAsia="es-CR"/>
              </w:rPr>
            </w:pPr>
            <w:r w:rsidRPr="004E74A6">
              <w:rPr>
                <w:rFonts w:cs="Calibri"/>
                <w:i/>
                <w:iCs/>
                <w:color w:val="000000"/>
                <w:sz w:val="20"/>
                <w:lang w:eastAsia="es-CR"/>
              </w:rPr>
              <w:t xml:space="preserve"> </w:t>
            </w:r>
            <w:r w:rsidRPr="004E74A6">
              <w:rPr>
                <w:rFonts w:ascii="Times New Roman" w:hAnsi="Times New Roman"/>
                <w:i/>
                <w:iCs/>
                <w:color w:val="000000"/>
                <w:sz w:val="20"/>
                <w:lang w:eastAsia="es-CR"/>
              </w:rPr>
              <w:t>₡</w:t>
            </w:r>
            <w:r w:rsidRPr="004E74A6">
              <w:rPr>
                <w:rFonts w:cs="Calibri"/>
                <w:i/>
                <w:iCs/>
                <w:color w:val="000000"/>
                <w:sz w:val="20"/>
                <w:lang w:eastAsia="es-CR"/>
              </w:rPr>
              <w:t xml:space="preserve">   2 906 832,27 </w:t>
            </w:r>
          </w:p>
        </w:tc>
        <w:tc>
          <w:tcPr>
            <w:tcW w:w="1077" w:type="dxa"/>
            <w:tcBorders>
              <w:top w:val="nil"/>
              <w:left w:val="nil"/>
              <w:bottom w:val="nil"/>
              <w:right w:val="single" w:sz="4" w:space="0" w:color="auto"/>
            </w:tcBorders>
            <w:shd w:val="clear" w:color="auto" w:fill="auto"/>
            <w:noWrap/>
            <w:vAlign w:val="center"/>
            <w:hideMark/>
          </w:tcPr>
          <w:p w14:paraId="0E2DDDAE" w14:textId="77777777" w:rsidR="009B35F5" w:rsidRPr="004E74A6" w:rsidRDefault="009B35F5" w:rsidP="00832773">
            <w:pPr>
              <w:spacing w:line="276" w:lineRule="auto"/>
              <w:jc w:val="center"/>
              <w:rPr>
                <w:rFonts w:cs="Calibri"/>
                <w:i/>
                <w:iCs/>
                <w:color w:val="000000"/>
                <w:sz w:val="20"/>
                <w:lang w:eastAsia="es-CR"/>
              </w:rPr>
            </w:pPr>
            <w:r w:rsidRPr="004E74A6">
              <w:rPr>
                <w:rFonts w:cs="Calibri"/>
                <w:i/>
                <w:iCs/>
                <w:color w:val="000000"/>
                <w:sz w:val="20"/>
                <w:lang w:eastAsia="es-CR"/>
              </w:rPr>
              <w:t>2</w:t>
            </w:r>
          </w:p>
        </w:tc>
        <w:tc>
          <w:tcPr>
            <w:tcW w:w="1077" w:type="dxa"/>
            <w:tcBorders>
              <w:top w:val="nil"/>
              <w:left w:val="nil"/>
              <w:bottom w:val="nil"/>
              <w:right w:val="single" w:sz="4" w:space="0" w:color="auto"/>
            </w:tcBorders>
            <w:shd w:val="clear" w:color="auto" w:fill="auto"/>
            <w:noWrap/>
            <w:vAlign w:val="center"/>
            <w:hideMark/>
          </w:tcPr>
          <w:p w14:paraId="109E0C8B" w14:textId="77777777" w:rsidR="009B35F5" w:rsidRPr="004E74A6" w:rsidRDefault="009B35F5" w:rsidP="00832773">
            <w:pPr>
              <w:spacing w:line="276" w:lineRule="auto"/>
              <w:jc w:val="center"/>
              <w:rPr>
                <w:rFonts w:cs="Calibri"/>
                <w:i/>
                <w:iCs/>
                <w:color w:val="000000"/>
                <w:sz w:val="20"/>
                <w:lang w:eastAsia="es-CR"/>
              </w:rPr>
            </w:pPr>
            <w:r w:rsidRPr="004E74A6">
              <w:rPr>
                <w:rFonts w:cs="Calibri"/>
                <w:i/>
                <w:iCs/>
                <w:color w:val="000000"/>
                <w:sz w:val="20"/>
                <w:lang w:eastAsia="es-CR"/>
              </w:rPr>
              <w:t>0%</w:t>
            </w:r>
          </w:p>
        </w:tc>
        <w:tc>
          <w:tcPr>
            <w:tcW w:w="2268" w:type="dxa"/>
            <w:gridSpan w:val="2"/>
            <w:tcBorders>
              <w:top w:val="nil"/>
              <w:left w:val="nil"/>
              <w:bottom w:val="nil"/>
              <w:right w:val="nil"/>
            </w:tcBorders>
            <w:shd w:val="clear" w:color="auto" w:fill="auto"/>
            <w:noWrap/>
            <w:vAlign w:val="center"/>
            <w:hideMark/>
          </w:tcPr>
          <w:p w14:paraId="1A53EA0B" w14:textId="4D24A123" w:rsidR="009B35F5" w:rsidRPr="004E74A6" w:rsidRDefault="009B35F5" w:rsidP="00832773">
            <w:pPr>
              <w:spacing w:line="276" w:lineRule="auto"/>
              <w:jc w:val="left"/>
              <w:rPr>
                <w:rFonts w:cs="Calibri"/>
                <w:i/>
                <w:iCs/>
                <w:color w:val="000000"/>
                <w:sz w:val="20"/>
                <w:lang w:eastAsia="es-CR"/>
              </w:rPr>
            </w:pPr>
            <w:r w:rsidRPr="004E74A6">
              <w:rPr>
                <w:rFonts w:cs="Calibri"/>
                <w:i/>
                <w:iCs/>
                <w:color w:val="000000"/>
                <w:sz w:val="20"/>
                <w:lang w:eastAsia="es-CR"/>
              </w:rPr>
              <w:t xml:space="preserve"> </w:t>
            </w:r>
            <w:r w:rsidRPr="004E74A6">
              <w:rPr>
                <w:rFonts w:ascii="Times New Roman" w:hAnsi="Times New Roman"/>
                <w:i/>
                <w:iCs/>
                <w:color w:val="000000"/>
                <w:sz w:val="20"/>
                <w:lang w:eastAsia="es-CR"/>
              </w:rPr>
              <w:t>₡</w:t>
            </w:r>
            <w:r w:rsidRPr="004E74A6">
              <w:rPr>
                <w:rFonts w:cs="Calibri"/>
                <w:i/>
                <w:iCs/>
                <w:color w:val="000000"/>
                <w:sz w:val="20"/>
                <w:lang w:eastAsia="es-CR"/>
              </w:rPr>
              <w:t xml:space="preserve">        2 832 525,23 </w:t>
            </w:r>
          </w:p>
        </w:tc>
      </w:tr>
      <w:tr w:rsidR="00E072BC" w:rsidRPr="004E74A6" w14:paraId="4F5188AE" w14:textId="77777777" w:rsidTr="00C61456">
        <w:trPr>
          <w:gridAfter w:val="1"/>
          <w:wAfter w:w="12" w:type="dxa"/>
          <w:trHeight w:val="288"/>
          <w:jc w:val="center"/>
        </w:trPr>
        <w:tc>
          <w:tcPr>
            <w:tcW w:w="2835" w:type="dxa"/>
            <w:tcBorders>
              <w:top w:val="nil"/>
              <w:left w:val="nil"/>
              <w:bottom w:val="nil"/>
              <w:right w:val="single" w:sz="4" w:space="0" w:color="auto"/>
            </w:tcBorders>
            <w:shd w:val="clear" w:color="auto" w:fill="auto"/>
            <w:noWrap/>
            <w:vAlign w:val="center"/>
            <w:hideMark/>
          </w:tcPr>
          <w:p w14:paraId="490FE185" w14:textId="77777777" w:rsidR="009B35F5" w:rsidRPr="004E74A6" w:rsidRDefault="009B35F5" w:rsidP="00832773">
            <w:pPr>
              <w:spacing w:line="276" w:lineRule="auto"/>
              <w:ind w:firstLineChars="200" w:firstLine="400"/>
              <w:jc w:val="left"/>
              <w:rPr>
                <w:rFonts w:cs="Calibri"/>
                <w:i/>
                <w:iCs/>
                <w:color w:val="000000"/>
                <w:sz w:val="20"/>
                <w:lang w:eastAsia="es-CR"/>
              </w:rPr>
            </w:pPr>
            <w:r w:rsidRPr="004E74A6">
              <w:rPr>
                <w:rFonts w:cs="Calibri"/>
                <w:i/>
                <w:iCs/>
                <w:color w:val="000000"/>
                <w:sz w:val="20"/>
                <w:lang w:eastAsia="es-CR"/>
              </w:rPr>
              <w:t>Familia</w:t>
            </w:r>
          </w:p>
        </w:tc>
        <w:tc>
          <w:tcPr>
            <w:tcW w:w="1077" w:type="dxa"/>
            <w:tcBorders>
              <w:top w:val="nil"/>
              <w:left w:val="nil"/>
              <w:bottom w:val="nil"/>
              <w:right w:val="single" w:sz="4" w:space="0" w:color="auto"/>
            </w:tcBorders>
            <w:shd w:val="clear" w:color="auto" w:fill="auto"/>
            <w:noWrap/>
            <w:vAlign w:val="center"/>
            <w:hideMark/>
          </w:tcPr>
          <w:p w14:paraId="014B97E4" w14:textId="77777777" w:rsidR="009B35F5" w:rsidRPr="004E74A6" w:rsidRDefault="009B35F5" w:rsidP="00832773">
            <w:pPr>
              <w:spacing w:line="276" w:lineRule="auto"/>
              <w:jc w:val="center"/>
              <w:rPr>
                <w:rFonts w:cs="Calibri"/>
                <w:i/>
                <w:iCs/>
                <w:color w:val="000000"/>
                <w:sz w:val="20"/>
                <w:lang w:eastAsia="es-CR"/>
              </w:rPr>
            </w:pPr>
            <w:r w:rsidRPr="004E74A6">
              <w:rPr>
                <w:rFonts w:cs="Calibri"/>
                <w:i/>
                <w:iCs/>
                <w:color w:val="000000"/>
                <w:sz w:val="20"/>
                <w:lang w:eastAsia="es-CR"/>
              </w:rPr>
              <w:t>0</w:t>
            </w:r>
          </w:p>
        </w:tc>
        <w:tc>
          <w:tcPr>
            <w:tcW w:w="1077" w:type="dxa"/>
            <w:tcBorders>
              <w:top w:val="nil"/>
              <w:left w:val="nil"/>
              <w:bottom w:val="nil"/>
              <w:right w:val="single" w:sz="4" w:space="0" w:color="auto"/>
            </w:tcBorders>
            <w:shd w:val="clear" w:color="auto" w:fill="auto"/>
            <w:noWrap/>
            <w:vAlign w:val="center"/>
            <w:hideMark/>
          </w:tcPr>
          <w:p w14:paraId="4C0EC0DF" w14:textId="77777777" w:rsidR="009B35F5" w:rsidRPr="004E74A6" w:rsidRDefault="009B35F5" w:rsidP="00832773">
            <w:pPr>
              <w:spacing w:line="276" w:lineRule="auto"/>
              <w:jc w:val="center"/>
              <w:rPr>
                <w:rFonts w:cs="Calibri"/>
                <w:i/>
                <w:iCs/>
                <w:color w:val="000000"/>
                <w:sz w:val="20"/>
                <w:lang w:eastAsia="es-CR"/>
              </w:rPr>
            </w:pPr>
            <w:r w:rsidRPr="004E74A6">
              <w:rPr>
                <w:rFonts w:cs="Calibri"/>
                <w:i/>
                <w:iCs/>
                <w:color w:val="000000"/>
                <w:sz w:val="20"/>
                <w:lang w:eastAsia="es-CR"/>
              </w:rPr>
              <w:t>0%</w:t>
            </w:r>
          </w:p>
        </w:tc>
        <w:tc>
          <w:tcPr>
            <w:tcW w:w="1815" w:type="dxa"/>
            <w:tcBorders>
              <w:top w:val="nil"/>
              <w:left w:val="nil"/>
              <w:bottom w:val="nil"/>
              <w:right w:val="single" w:sz="4" w:space="0" w:color="auto"/>
            </w:tcBorders>
            <w:shd w:val="clear" w:color="auto" w:fill="auto"/>
            <w:noWrap/>
            <w:vAlign w:val="center"/>
            <w:hideMark/>
          </w:tcPr>
          <w:p w14:paraId="6D0A09F2" w14:textId="15F3A9C4" w:rsidR="009B35F5" w:rsidRPr="004E74A6" w:rsidRDefault="009B35F5" w:rsidP="00832773">
            <w:pPr>
              <w:spacing w:line="276" w:lineRule="auto"/>
              <w:jc w:val="left"/>
              <w:rPr>
                <w:rFonts w:cs="Calibri"/>
                <w:i/>
                <w:iCs/>
                <w:color w:val="000000"/>
                <w:sz w:val="20"/>
                <w:lang w:eastAsia="es-CR"/>
              </w:rPr>
            </w:pPr>
            <w:r w:rsidRPr="004E74A6">
              <w:rPr>
                <w:rFonts w:cs="Calibri"/>
                <w:i/>
                <w:iCs/>
                <w:color w:val="000000"/>
                <w:sz w:val="20"/>
                <w:lang w:eastAsia="es-CR"/>
              </w:rPr>
              <w:t xml:space="preserve"> </w:t>
            </w:r>
            <w:r w:rsidRPr="004E74A6">
              <w:rPr>
                <w:rFonts w:ascii="Times New Roman" w:hAnsi="Times New Roman"/>
                <w:i/>
                <w:iCs/>
                <w:color w:val="000000"/>
                <w:sz w:val="20"/>
                <w:lang w:eastAsia="es-CR"/>
              </w:rPr>
              <w:t>₡</w:t>
            </w:r>
            <w:r w:rsidRPr="004E74A6">
              <w:rPr>
                <w:rFonts w:cs="Calibri"/>
                <w:i/>
                <w:iCs/>
                <w:color w:val="000000"/>
                <w:sz w:val="20"/>
                <w:lang w:eastAsia="es-CR"/>
              </w:rPr>
              <w:t xml:space="preserve">                      -   </w:t>
            </w:r>
          </w:p>
        </w:tc>
        <w:tc>
          <w:tcPr>
            <w:tcW w:w="1077" w:type="dxa"/>
            <w:tcBorders>
              <w:top w:val="nil"/>
              <w:left w:val="nil"/>
              <w:bottom w:val="nil"/>
              <w:right w:val="single" w:sz="4" w:space="0" w:color="auto"/>
            </w:tcBorders>
            <w:shd w:val="clear" w:color="auto" w:fill="auto"/>
            <w:noWrap/>
            <w:vAlign w:val="center"/>
            <w:hideMark/>
          </w:tcPr>
          <w:p w14:paraId="352C738A" w14:textId="77777777" w:rsidR="009B35F5" w:rsidRPr="004E74A6" w:rsidRDefault="009B35F5" w:rsidP="00832773">
            <w:pPr>
              <w:spacing w:line="276" w:lineRule="auto"/>
              <w:jc w:val="center"/>
              <w:rPr>
                <w:rFonts w:cs="Calibri"/>
                <w:i/>
                <w:iCs/>
                <w:color w:val="000000"/>
                <w:sz w:val="20"/>
                <w:lang w:eastAsia="es-CR"/>
              </w:rPr>
            </w:pPr>
            <w:r w:rsidRPr="004E74A6">
              <w:rPr>
                <w:rFonts w:cs="Calibri"/>
                <w:i/>
                <w:iCs/>
                <w:color w:val="000000"/>
                <w:sz w:val="20"/>
                <w:lang w:eastAsia="es-CR"/>
              </w:rPr>
              <w:t>1</w:t>
            </w:r>
          </w:p>
        </w:tc>
        <w:tc>
          <w:tcPr>
            <w:tcW w:w="1077" w:type="dxa"/>
            <w:tcBorders>
              <w:top w:val="nil"/>
              <w:left w:val="nil"/>
              <w:bottom w:val="nil"/>
              <w:right w:val="single" w:sz="4" w:space="0" w:color="auto"/>
            </w:tcBorders>
            <w:shd w:val="clear" w:color="auto" w:fill="auto"/>
            <w:noWrap/>
            <w:vAlign w:val="center"/>
            <w:hideMark/>
          </w:tcPr>
          <w:p w14:paraId="05593AE5" w14:textId="77777777" w:rsidR="009B35F5" w:rsidRPr="004E74A6" w:rsidRDefault="009B35F5" w:rsidP="00832773">
            <w:pPr>
              <w:spacing w:line="276" w:lineRule="auto"/>
              <w:jc w:val="center"/>
              <w:rPr>
                <w:rFonts w:cs="Calibri"/>
                <w:i/>
                <w:iCs/>
                <w:color w:val="000000"/>
                <w:sz w:val="20"/>
                <w:lang w:eastAsia="es-CR"/>
              </w:rPr>
            </w:pPr>
            <w:r w:rsidRPr="004E74A6">
              <w:rPr>
                <w:rFonts w:cs="Calibri"/>
                <w:i/>
                <w:iCs/>
                <w:color w:val="000000"/>
                <w:sz w:val="20"/>
                <w:lang w:eastAsia="es-CR"/>
              </w:rPr>
              <w:t>0%</w:t>
            </w:r>
          </w:p>
        </w:tc>
        <w:tc>
          <w:tcPr>
            <w:tcW w:w="2268" w:type="dxa"/>
            <w:gridSpan w:val="2"/>
            <w:tcBorders>
              <w:top w:val="nil"/>
              <w:left w:val="nil"/>
              <w:bottom w:val="nil"/>
              <w:right w:val="nil"/>
            </w:tcBorders>
            <w:shd w:val="clear" w:color="auto" w:fill="auto"/>
            <w:noWrap/>
            <w:vAlign w:val="center"/>
            <w:hideMark/>
          </w:tcPr>
          <w:p w14:paraId="4B351ACA" w14:textId="51DFC1A1" w:rsidR="009B35F5" w:rsidRPr="004E74A6" w:rsidRDefault="009B35F5" w:rsidP="00832773">
            <w:pPr>
              <w:spacing w:line="276" w:lineRule="auto"/>
              <w:jc w:val="left"/>
              <w:rPr>
                <w:rFonts w:cs="Calibri"/>
                <w:i/>
                <w:iCs/>
                <w:color w:val="000000"/>
                <w:sz w:val="20"/>
                <w:lang w:eastAsia="es-CR"/>
              </w:rPr>
            </w:pPr>
            <w:r w:rsidRPr="004E74A6">
              <w:rPr>
                <w:rFonts w:cs="Calibri"/>
                <w:i/>
                <w:iCs/>
                <w:color w:val="000000"/>
                <w:sz w:val="20"/>
                <w:lang w:eastAsia="es-CR"/>
              </w:rPr>
              <w:t xml:space="preserve"> </w:t>
            </w:r>
            <w:r w:rsidRPr="004E74A6">
              <w:rPr>
                <w:rFonts w:ascii="Times New Roman" w:hAnsi="Times New Roman"/>
                <w:i/>
                <w:iCs/>
                <w:color w:val="000000"/>
                <w:sz w:val="20"/>
                <w:lang w:eastAsia="es-CR"/>
              </w:rPr>
              <w:t>₡</w:t>
            </w:r>
            <w:r w:rsidRPr="004E74A6">
              <w:rPr>
                <w:rFonts w:cs="Calibri"/>
                <w:i/>
                <w:iCs/>
                <w:color w:val="000000"/>
                <w:sz w:val="20"/>
                <w:lang w:eastAsia="es-CR"/>
              </w:rPr>
              <w:t xml:space="preserve">        1 416 262,62 </w:t>
            </w:r>
          </w:p>
        </w:tc>
      </w:tr>
      <w:tr w:rsidR="00E072BC" w:rsidRPr="004E74A6" w14:paraId="6BC2D8C0" w14:textId="77777777" w:rsidTr="00C61456">
        <w:trPr>
          <w:gridAfter w:val="1"/>
          <w:wAfter w:w="12" w:type="dxa"/>
          <w:trHeight w:val="288"/>
          <w:jc w:val="center"/>
        </w:trPr>
        <w:tc>
          <w:tcPr>
            <w:tcW w:w="2835" w:type="dxa"/>
            <w:tcBorders>
              <w:top w:val="nil"/>
              <w:left w:val="nil"/>
              <w:bottom w:val="single" w:sz="4" w:space="0" w:color="auto"/>
              <w:right w:val="single" w:sz="4" w:space="0" w:color="auto"/>
            </w:tcBorders>
            <w:shd w:val="clear" w:color="auto" w:fill="auto"/>
            <w:noWrap/>
            <w:vAlign w:val="center"/>
            <w:hideMark/>
          </w:tcPr>
          <w:p w14:paraId="05F55820" w14:textId="77777777" w:rsidR="009B35F5" w:rsidRPr="004E74A6" w:rsidRDefault="009B35F5" w:rsidP="00832773">
            <w:pPr>
              <w:spacing w:line="276" w:lineRule="auto"/>
              <w:jc w:val="left"/>
              <w:rPr>
                <w:rFonts w:cs="Calibri"/>
                <w:color w:val="000000"/>
                <w:sz w:val="22"/>
                <w:szCs w:val="22"/>
                <w:lang w:eastAsia="es-CR"/>
              </w:rPr>
            </w:pPr>
            <w:r w:rsidRPr="004E74A6">
              <w:rPr>
                <w:rFonts w:cs="Calibri"/>
                <w:color w:val="000000"/>
                <w:sz w:val="22"/>
                <w:szCs w:val="22"/>
                <w:lang w:eastAsia="es-CR"/>
              </w:rPr>
              <w:t> </w:t>
            </w:r>
          </w:p>
        </w:tc>
        <w:tc>
          <w:tcPr>
            <w:tcW w:w="1077" w:type="dxa"/>
            <w:tcBorders>
              <w:top w:val="nil"/>
              <w:left w:val="nil"/>
              <w:bottom w:val="single" w:sz="4" w:space="0" w:color="auto"/>
              <w:right w:val="single" w:sz="4" w:space="0" w:color="auto"/>
            </w:tcBorders>
            <w:shd w:val="clear" w:color="auto" w:fill="auto"/>
            <w:noWrap/>
            <w:vAlign w:val="center"/>
            <w:hideMark/>
          </w:tcPr>
          <w:p w14:paraId="30428018" w14:textId="77777777" w:rsidR="009B35F5" w:rsidRPr="004E74A6" w:rsidRDefault="009B35F5" w:rsidP="00832773">
            <w:pPr>
              <w:spacing w:line="276" w:lineRule="auto"/>
              <w:jc w:val="center"/>
              <w:rPr>
                <w:rFonts w:cs="Calibri"/>
                <w:color w:val="000000"/>
                <w:sz w:val="22"/>
                <w:szCs w:val="22"/>
                <w:lang w:eastAsia="es-CR"/>
              </w:rPr>
            </w:pPr>
            <w:r w:rsidRPr="004E74A6">
              <w:rPr>
                <w:rFonts w:cs="Calibri"/>
                <w:color w:val="000000"/>
                <w:sz w:val="22"/>
                <w:szCs w:val="22"/>
                <w:lang w:eastAsia="es-CR"/>
              </w:rPr>
              <w:t> </w:t>
            </w:r>
          </w:p>
        </w:tc>
        <w:tc>
          <w:tcPr>
            <w:tcW w:w="1077" w:type="dxa"/>
            <w:tcBorders>
              <w:top w:val="nil"/>
              <w:left w:val="nil"/>
              <w:bottom w:val="single" w:sz="4" w:space="0" w:color="auto"/>
              <w:right w:val="single" w:sz="4" w:space="0" w:color="auto"/>
            </w:tcBorders>
            <w:shd w:val="clear" w:color="auto" w:fill="auto"/>
            <w:noWrap/>
            <w:vAlign w:val="center"/>
            <w:hideMark/>
          </w:tcPr>
          <w:p w14:paraId="0238E29A" w14:textId="77777777" w:rsidR="009B35F5" w:rsidRPr="004E74A6" w:rsidRDefault="009B35F5" w:rsidP="00832773">
            <w:pPr>
              <w:spacing w:line="276" w:lineRule="auto"/>
              <w:jc w:val="center"/>
              <w:rPr>
                <w:rFonts w:cs="Calibri"/>
                <w:color w:val="000000"/>
                <w:sz w:val="22"/>
                <w:szCs w:val="22"/>
                <w:lang w:eastAsia="es-CR"/>
              </w:rPr>
            </w:pPr>
            <w:r w:rsidRPr="004E74A6">
              <w:rPr>
                <w:rFonts w:cs="Calibri"/>
                <w:color w:val="000000"/>
                <w:sz w:val="22"/>
                <w:szCs w:val="22"/>
                <w:lang w:eastAsia="es-CR"/>
              </w:rPr>
              <w:t> </w:t>
            </w:r>
          </w:p>
        </w:tc>
        <w:tc>
          <w:tcPr>
            <w:tcW w:w="1815" w:type="dxa"/>
            <w:tcBorders>
              <w:top w:val="nil"/>
              <w:left w:val="nil"/>
              <w:bottom w:val="single" w:sz="4" w:space="0" w:color="auto"/>
              <w:right w:val="single" w:sz="4" w:space="0" w:color="auto"/>
            </w:tcBorders>
            <w:shd w:val="clear" w:color="auto" w:fill="auto"/>
            <w:noWrap/>
            <w:vAlign w:val="center"/>
            <w:hideMark/>
          </w:tcPr>
          <w:p w14:paraId="5B59E52B" w14:textId="77777777" w:rsidR="009B35F5" w:rsidRPr="004E74A6" w:rsidRDefault="009B35F5" w:rsidP="00832773">
            <w:pPr>
              <w:spacing w:line="276" w:lineRule="auto"/>
              <w:jc w:val="left"/>
              <w:rPr>
                <w:rFonts w:cs="Calibri"/>
                <w:color w:val="000000"/>
                <w:sz w:val="22"/>
                <w:szCs w:val="22"/>
                <w:lang w:eastAsia="es-CR"/>
              </w:rPr>
            </w:pPr>
            <w:r w:rsidRPr="004E74A6">
              <w:rPr>
                <w:rFonts w:cs="Calibri"/>
                <w:color w:val="000000"/>
                <w:sz w:val="22"/>
                <w:szCs w:val="22"/>
                <w:lang w:eastAsia="es-CR"/>
              </w:rPr>
              <w:t> </w:t>
            </w:r>
          </w:p>
        </w:tc>
        <w:tc>
          <w:tcPr>
            <w:tcW w:w="1077" w:type="dxa"/>
            <w:tcBorders>
              <w:top w:val="nil"/>
              <w:left w:val="nil"/>
              <w:bottom w:val="single" w:sz="4" w:space="0" w:color="auto"/>
              <w:right w:val="single" w:sz="4" w:space="0" w:color="auto"/>
            </w:tcBorders>
            <w:shd w:val="clear" w:color="auto" w:fill="auto"/>
            <w:noWrap/>
            <w:vAlign w:val="center"/>
            <w:hideMark/>
          </w:tcPr>
          <w:p w14:paraId="22B97772" w14:textId="77777777" w:rsidR="009B35F5" w:rsidRPr="004E74A6" w:rsidRDefault="009B35F5" w:rsidP="00832773">
            <w:pPr>
              <w:spacing w:line="276" w:lineRule="auto"/>
              <w:jc w:val="center"/>
              <w:rPr>
                <w:rFonts w:cs="Calibri"/>
                <w:color w:val="000000"/>
                <w:sz w:val="22"/>
                <w:szCs w:val="22"/>
                <w:lang w:eastAsia="es-CR"/>
              </w:rPr>
            </w:pPr>
            <w:r w:rsidRPr="004E74A6">
              <w:rPr>
                <w:rFonts w:cs="Calibri"/>
                <w:color w:val="000000"/>
                <w:sz w:val="22"/>
                <w:szCs w:val="22"/>
                <w:lang w:eastAsia="es-CR"/>
              </w:rPr>
              <w:t> </w:t>
            </w:r>
          </w:p>
        </w:tc>
        <w:tc>
          <w:tcPr>
            <w:tcW w:w="1077" w:type="dxa"/>
            <w:tcBorders>
              <w:top w:val="nil"/>
              <w:left w:val="nil"/>
              <w:bottom w:val="single" w:sz="4" w:space="0" w:color="auto"/>
              <w:right w:val="single" w:sz="4" w:space="0" w:color="auto"/>
            </w:tcBorders>
            <w:shd w:val="clear" w:color="auto" w:fill="auto"/>
            <w:noWrap/>
            <w:vAlign w:val="center"/>
            <w:hideMark/>
          </w:tcPr>
          <w:p w14:paraId="40280C35" w14:textId="77777777" w:rsidR="009B35F5" w:rsidRPr="004E74A6" w:rsidRDefault="009B35F5" w:rsidP="00832773">
            <w:pPr>
              <w:spacing w:line="276" w:lineRule="auto"/>
              <w:jc w:val="left"/>
              <w:rPr>
                <w:rFonts w:cs="Calibri"/>
                <w:color w:val="000000"/>
                <w:sz w:val="22"/>
                <w:szCs w:val="22"/>
                <w:lang w:eastAsia="es-CR"/>
              </w:rPr>
            </w:pPr>
            <w:r w:rsidRPr="004E74A6">
              <w:rPr>
                <w:rFonts w:cs="Calibri"/>
                <w:color w:val="000000"/>
                <w:sz w:val="22"/>
                <w:szCs w:val="22"/>
                <w:lang w:eastAsia="es-CR"/>
              </w:rPr>
              <w:t> </w:t>
            </w:r>
          </w:p>
        </w:tc>
        <w:tc>
          <w:tcPr>
            <w:tcW w:w="2268" w:type="dxa"/>
            <w:gridSpan w:val="2"/>
            <w:tcBorders>
              <w:top w:val="nil"/>
              <w:left w:val="nil"/>
              <w:bottom w:val="single" w:sz="4" w:space="0" w:color="auto"/>
              <w:right w:val="nil"/>
            </w:tcBorders>
            <w:shd w:val="clear" w:color="auto" w:fill="auto"/>
            <w:noWrap/>
            <w:vAlign w:val="center"/>
            <w:hideMark/>
          </w:tcPr>
          <w:p w14:paraId="5B692525" w14:textId="77777777" w:rsidR="009B35F5" w:rsidRPr="004E74A6" w:rsidRDefault="009B35F5" w:rsidP="00832773">
            <w:pPr>
              <w:spacing w:line="276" w:lineRule="auto"/>
              <w:jc w:val="left"/>
              <w:rPr>
                <w:rFonts w:cs="Calibri"/>
                <w:color w:val="000000"/>
                <w:sz w:val="22"/>
                <w:szCs w:val="22"/>
                <w:lang w:eastAsia="es-CR"/>
              </w:rPr>
            </w:pPr>
            <w:r w:rsidRPr="004E74A6">
              <w:rPr>
                <w:rFonts w:cs="Calibri"/>
                <w:color w:val="000000"/>
                <w:sz w:val="22"/>
                <w:szCs w:val="22"/>
                <w:lang w:eastAsia="es-CR"/>
              </w:rPr>
              <w:t> </w:t>
            </w:r>
          </w:p>
        </w:tc>
      </w:tr>
      <w:tr w:rsidR="009B35F5" w:rsidRPr="004E74A6" w14:paraId="48CD99DF" w14:textId="77777777" w:rsidTr="00C61456">
        <w:trPr>
          <w:gridAfter w:val="2"/>
          <w:wAfter w:w="39" w:type="dxa"/>
          <w:trHeight w:val="504"/>
          <w:jc w:val="center"/>
        </w:trPr>
        <w:tc>
          <w:tcPr>
            <w:tcW w:w="11199" w:type="dxa"/>
            <w:gridSpan w:val="7"/>
            <w:tcBorders>
              <w:top w:val="nil"/>
              <w:left w:val="nil"/>
              <w:bottom w:val="nil"/>
              <w:right w:val="nil"/>
            </w:tcBorders>
            <w:shd w:val="clear" w:color="auto" w:fill="auto"/>
            <w:noWrap/>
            <w:hideMark/>
          </w:tcPr>
          <w:p w14:paraId="2D023590" w14:textId="2B70350F" w:rsidR="009B35F5" w:rsidRPr="004E74A6" w:rsidRDefault="009B35F5" w:rsidP="00832773">
            <w:pPr>
              <w:tabs>
                <w:tab w:val="right" w:pos="12680"/>
              </w:tabs>
              <w:spacing w:line="276" w:lineRule="auto"/>
              <w:jc w:val="left"/>
              <w:rPr>
                <w:rFonts w:cs="Calibri"/>
                <w:b/>
                <w:bCs/>
                <w:i/>
                <w:iCs/>
                <w:color w:val="000000"/>
                <w:sz w:val="20"/>
                <w:lang w:eastAsia="es-CR"/>
              </w:rPr>
            </w:pPr>
            <w:r w:rsidRPr="004E74A6">
              <w:rPr>
                <w:rFonts w:cs="Calibri"/>
                <w:b/>
                <w:bCs/>
                <w:i/>
                <w:iCs/>
                <w:color w:val="000000"/>
                <w:sz w:val="20"/>
                <w:lang w:eastAsia="es-CR"/>
              </w:rPr>
              <w:t>Fuente</w:t>
            </w:r>
            <w:r w:rsidRPr="004E74A6">
              <w:rPr>
                <w:rFonts w:cs="Calibri"/>
                <w:i/>
                <w:iCs/>
                <w:color w:val="000000"/>
                <w:sz w:val="20"/>
                <w:lang w:eastAsia="es-CR"/>
              </w:rPr>
              <w:t>: Subproceso de Modernización Institucional con datos extraídos del sistema SIGMA, Dirección de Planificación.</w:t>
            </w:r>
            <w:r w:rsidR="00E072BC" w:rsidRPr="004E74A6">
              <w:rPr>
                <w:rFonts w:cs="Calibri"/>
                <w:i/>
                <w:iCs/>
                <w:color w:val="000000"/>
                <w:sz w:val="20"/>
                <w:lang w:eastAsia="es-CR"/>
              </w:rPr>
              <w:tab/>
            </w:r>
          </w:p>
        </w:tc>
      </w:tr>
    </w:tbl>
    <w:p w14:paraId="560ED957" w14:textId="530FB9B6" w:rsidR="009B35F5" w:rsidRPr="00832773" w:rsidRDefault="009B35F5" w:rsidP="00CE62C1">
      <w:pPr>
        <w:spacing w:line="276" w:lineRule="auto"/>
        <w:rPr>
          <w:rFonts w:eastAsia="Calibri"/>
          <w:szCs w:val="24"/>
          <w:lang w:eastAsia="en-US"/>
        </w:rPr>
      </w:pPr>
    </w:p>
    <w:p w14:paraId="1D546106" w14:textId="7F9D470E" w:rsidR="009B35F5" w:rsidRPr="00832773" w:rsidRDefault="00F732B1" w:rsidP="00CE62C1">
      <w:pPr>
        <w:spacing w:line="276" w:lineRule="auto"/>
        <w:rPr>
          <w:rFonts w:eastAsia="Calibri"/>
          <w:szCs w:val="24"/>
          <w:lang w:eastAsia="en-US"/>
        </w:rPr>
      </w:pPr>
      <w:r w:rsidRPr="00832773">
        <w:rPr>
          <w:rFonts w:eastAsia="Calibri"/>
          <w:szCs w:val="24"/>
          <w:lang w:eastAsia="en-US"/>
        </w:rPr>
        <w:t xml:space="preserve">Finalmente, luego de haber dividido en costo anual de la Sala Primera entre todos los procedimientos terminados, después de aislar lo correspondiente a casaciones e indicar específicamente lo que pertenece a materia </w:t>
      </w:r>
      <w:r w:rsidR="00ED1E69" w:rsidRPr="00832773">
        <w:rPr>
          <w:rFonts w:eastAsia="Calibri"/>
          <w:szCs w:val="24"/>
          <w:lang w:eastAsia="en-US"/>
        </w:rPr>
        <w:t>C</w:t>
      </w:r>
      <w:r w:rsidRPr="00832773">
        <w:rPr>
          <w:rFonts w:eastAsia="Calibri"/>
          <w:szCs w:val="24"/>
          <w:lang w:eastAsia="en-US"/>
        </w:rPr>
        <w:t xml:space="preserve">ivil, es posible obtener a partir de la cantidad en cada uno de los años, el costo unitario que representa una casación </w:t>
      </w:r>
      <w:r w:rsidR="00ED1E69" w:rsidRPr="00832773">
        <w:rPr>
          <w:rFonts w:eastAsia="Calibri"/>
          <w:szCs w:val="24"/>
          <w:lang w:eastAsia="en-US"/>
        </w:rPr>
        <w:t>C</w:t>
      </w:r>
      <w:r w:rsidRPr="00832773">
        <w:rPr>
          <w:rFonts w:eastAsia="Calibri"/>
          <w:szCs w:val="24"/>
          <w:lang w:eastAsia="en-US"/>
        </w:rPr>
        <w:t>ivil para la Sala Primera.</w:t>
      </w:r>
    </w:p>
    <w:p w14:paraId="7D35D54E" w14:textId="3B7CB6E8" w:rsidR="00FD0281" w:rsidRPr="00832773" w:rsidRDefault="00FD0281" w:rsidP="00832773">
      <w:pPr>
        <w:pStyle w:val="Descripcin"/>
        <w:keepNext/>
        <w:spacing w:line="276" w:lineRule="auto"/>
        <w:jc w:val="center"/>
        <w:rPr>
          <w:i/>
          <w:iCs/>
          <w:sz w:val="20"/>
          <w:szCs w:val="16"/>
          <w:lang w:val="es-CR"/>
        </w:rPr>
      </w:pPr>
      <w:r w:rsidRPr="00832773">
        <w:rPr>
          <w:rFonts w:ascii="Book Antiqua" w:hAnsi="Book Antiqua"/>
          <w:i/>
          <w:iCs/>
          <w:sz w:val="20"/>
          <w:szCs w:val="16"/>
          <w:lang w:val="es-CR"/>
        </w:rPr>
        <w:lastRenderedPageBreak/>
        <w:t xml:space="preserve">Tabla </w:t>
      </w:r>
      <w:r w:rsidRPr="00832773">
        <w:rPr>
          <w:rFonts w:ascii="Book Antiqua" w:hAnsi="Book Antiqua"/>
          <w:i/>
          <w:iCs/>
          <w:sz w:val="20"/>
          <w:szCs w:val="16"/>
          <w:lang w:val="es-CR"/>
        </w:rPr>
        <w:fldChar w:fldCharType="begin"/>
      </w:r>
      <w:r w:rsidRPr="00832773">
        <w:rPr>
          <w:rFonts w:ascii="Book Antiqua" w:hAnsi="Book Antiqua"/>
          <w:i/>
          <w:iCs/>
          <w:sz w:val="20"/>
          <w:szCs w:val="16"/>
          <w:lang w:val="es-CR"/>
        </w:rPr>
        <w:instrText xml:space="preserve"> SEQ Tabla \* ARABIC </w:instrText>
      </w:r>
      <w:r w:rsidRPr="00832773">
        <w:rPr>
          <w:rFonts w:ascii="Book Antiqua" w:hAnsi="Book Antiqua"/>
          <w:i/>
          <w:iCs/>
          <w:sz w:val="20"/>
          <w:szCs w:val="16"/>
          <w:lang w:val="es-CR"/>
        </w:rPr>
        <w:fldChar w:fldCharType="separate"/>
      </w:r>
      <w:r w:rsidR="00374B51">
        <w:rPr>
          <w:rFonts w:ascii="Book Antiqua" w:hAnsi="Book Antiqua"/>
          <w:i/>
          <w:iCs/>
          <w:noProof/>
          <w:sz w:val="20"/>
          <w:szCs w:val="16"/>
          <w:lang w:val="es-CR"/>
        </w:rPr>
        <w:t>59</w:t>
      </w:r>
      <w:r w:rsidRPr="00832773">
        <w:rPr>
          <w:rFonts w:ascii="Book Antiqua" w:hAnsi="Book Antiqua"/>
          <w:i/>
          <w:iCs/>
          <w:sz w:val="20"/>
          <w:szCs w:val="16"/>
          <w:lang w:val="es-CR"/>
        </w:rPr>
        <w:fldChar w:fldCharType="end"/>
      </w:r>
      <w:r w:rsidRPr="00832773">
        <w:rPr>
          <w:rFonts w:ascii="Book Antiqua" w:hAnsi="Book Antiqua"/>
          <w:i/>
          <w:iCs/>
          <w:sz w:val="20"/>
          <w:szCs w:val="16"/>
          <w:lang w:val="es-CR"/>
        </w:rPr>
        <w:t xml:space="preserve"> Costo de las casaciones civiles en la Sala Primera durante el año 2020 y 2021</w:t>
      </w:r>
    </w:p>
    <w:tbl>
      <w:tblPr>
        <w:tblW w:w="7420" w:type="dxa"/>
        <w:jc w:val="center"/>
        <w:tblCellMar>
          <w:left w:w="70" w:type="dxa"/>
          <w:right w:w="70" w:type="dxa"/>
        </w:tblCellMar>
        <w:tblLook w:val="04A0" w:firstRow="1" w:lastRow="0" w:firstColumn="1" w:lastColumn="0" w:noHBand="0" w:noVBand="1"/>
      </w:tblPr>
      <w:tblGrid>
        <w:gridCol w:w="3714"/>
        <w:gridCol w:w="1935"/>
        <w:gridCol w:w="1771"/>
      </w:tblGrid>
      <w:tr w:rsidR="009B35F5" w:rsidRPr="004E74A6" w14:paraId="63EE75A4" w14:textId="77777777" w:rsidTr="00EB102E">
        <w:trPr>
          <w:trHeight w:val="504"/>
          <w:tblHeader/>
          <w:jc w:val="center"/>
        </w:trPr>
        <w:tc>
          <w:tcPr>
            <w:tcW w:w="7420" w:type="dxa"/>
            <w:gridSpan w:val="3"/>
            <w:tcBorders>
              <w:top w:val="single" w:sz="4" w:space="0" w:color="auto"/>
              <w:left w:val="nil"/>
              <w:bottom w:val="single" w:sz="4" w:space="0" w:color="auto"/>
              <w:right w:val="nil"/>
            </w:tcBorders>
            <w:shd w:val="clear" w:color="auto" w:fill="auto"/>
            <w:noWrap/>
            <w:vAlign w:val="center"/>
            <w:hideMark/>
          </w:tcPr>
          <w:p w14:paraId="05853FD5" w14:textId="77777777" w:rsidR="009B35F5" w:rsidRPr="004E74A6" w:rsidRDefault="009B35F5" w:rsidP="00832773">
            <w:pPr>
              <w:spacing w:line="276" w:lineRule="auto"/>
              <w:jc w:val="center"/>
              <w:rPr>
                <w:rFonts w:cs="Calibri"/>
                <w:b/>
                <w:bCs/>
                <w:color w:val="000000"/>
                <w:szCs w:val="24"/>
                <w:lang w:eastAsia="es-CR"/>
              </w:rPr>
            </w:pPr>
            <w:r w:rsidRPr="004E74A6">
              <w:rPr>
                <w:rFonts w:cs="Calibri"/>
                <w:b/>
                <w:bCs/>
                <w:color w:val="000000"/>
                <w:szCs w:val="24"/>
                <w:lang w:eastAsia="es-CR"/>
              </w:rPr>
              <w:t>Civil</w:t>
            </w:r>
          </w:p>
        </w:tc>
      </w:tr>
      <w:tr w:rsidR="009B35F5" w:rsidRPr="004E74A6" w14:paraId="24C24E59" w14:textId="77777777" w:rsidTr="00EB102E">
        <w:trPr>
          <w:trHeight w:val="288"/>
          <w:tblHeader/>
          <w:jc w:val="center"/>
        </w:trPr>
        <w:tc>
          <w:tcPr>
            <w:tcW w:w="3714" w:type="dxa"/>
            <w:tcBorders>
              <w:top w:val="nil"/>
              <w:left w:val="nil"/>
              <w:bottom w:val="nil"/>
              <w:right w:val="single" w:sz="4" w:space="0" w:color="auto"/>
            </w:tcBorders>
            <w:shd w:val="clear" w:color="auto" w:fill="auto"/>
            <w:noWrap/>
            <w:vAlign w:val="center"/>
            <w:hideMark/>
          </w:tcPr>
          <w:p w14:paraId="4E23F54F" w14:textId="77777777" w:rsidR="009B35F5" w:rsidRPr="004E74A6" w:rsidRDefault="009B35F5" w:rsidP="00832773">
            <w:pPr>
              <w:spacing w:line="276" w:lineRule="auto"/>
              <w:jc w:val="center"/>
              <w:rPr>
                <w:rFonts w:cs="Calibri"/>
                <w:b/>
                <w:bCs/>
                <w:color w:val="000000"/>
                <w:szCs w:val="24"/>
                <w:lang w:eastAsia="es-CR"/>
              </w:rPr>
            </w:pPr>
            <w:r w:rsidRPr="004E74A6">
              <w:rPr>
                <w:rFonts w:cs="Calibri"/>
                <w:b/>
                <w:bCs/>
                <w:color w:val="000000"/>
                <w:szCs w:val="24"/>
                <w:lang w:eastAsia="es-CR"/>
              </w:rPr>
              <w:t> </w:t>
            </w:r>
          </w:p>
        </w:tc>
        <w:tc>
          <w:tcPr>
            <w:tcW w:w="1935" w:type="dxa"/>
            <w:tcBorders>
              <w:top w:val="nil"/>
              <w:left w:val="nil"/>
              <w:bottom w:val="nil"/>
              <w:right w:val="single" w:sz="4" w:space="0" w:color="auto"/>
            </w:tcBorders>
            <w:shd w:val="clear" w:color="auto" w:fill="auto"/>
            <w:noWrap/>
            <w:vAlign w:val="center"/>
            <w:hideMark/>
          </w:tcPr>
          <w:p w14:paraId="5486C4A5" w14:textId="77777777" w:rsidR="009B35F5" w:rsidRPr="004E74A6" w:rsidRDefault="009B35F5" w:rsidP="00832773">
            <w:pPr>
              <w:spacing w:line="276" w:lineRule="auto"/>
              <w:jc w:val="center"/>
              <w:rPr>
                <w:rFonts w:cs="Calibri"/>
                <w:b/>
                <w:bCs/>
                <w:color w:val="000000"/>
                <w:szCs w:val="24"/>
                <w:lang w:eastAsia="es-CR"/>
              </w:rPr>
            </w:pPr>
            <w:r w:rsidRPr="004E74A6">
              <w:rPr>
                <w:rFonts w:cs="Calibri"/>
                <w:b/>
                <w:bCs/>
                <w:color w:val="000000"/>
                <w:szCs w:val="24"/>
                <w:lang w:eastAsia="es-CR"/>
              </w:rPr>
              <w:t> </w:t>
            </w:r>
          </w:p>
        </w:tc>
        <w:tc>
          <w:tcPr>
            <w:tcW w:w="1771" w:type="dxa"/>
            <w:tcBorders>
              <w:top w:val="nil"/>
              <w:left w:val="nil"/>
              <w:bottom w:val="nil"/>
              <w:right w:val="nil"/>
            </w:tcBorders>
            <w:shd w:val="clear" w:color="auto" w:fill="auto"/>
            <w:noWrap/>
            <w:vAlign w:val="center"/>
            <w:hideMark/>
          </w:tcPr>
          <w:p w14:paraId="5132CBD3" w14:textId="77777777" w:rsidR="009B35F5" w:rsidRPr="004E74A6" w:rsidRDefault="009B35F5" w:rsidP="00832773">
            <w:pPr>
              <w:spacing w:line="276" w:lineRule="auto"/>
              <w:jc w:val="center"/>
              <w:rPr>
                <w:rFonts w:cs="Calibri"/>
                <w:b/>
                <w:bCs/>
                <w:color w:val="000000"/>
                <w:szCs w:val="24"/>
                <w:lang w:eastAsia="es-CR"/>
              </w:rPr>
            </w:pPr>
            <w:r w:rsidRPr="004E74A6">
              <w:rPr>
                <w:rFonts w:cs="Calibri"/>
                <w:b/>
                <w:bCs/>
                <w:color w:val="000000"/>
                <w:szCs w:val="24"/>
                <w:lang w:eastAsia="es-CR"/>
              </w:rPr>
              <w:t> </w:t>
            </w:r>
          </w:p>
        </w:tc>
      </w:tr>
      <w:tr w:rsidR="009B35F5" w:rsidRPr="004E74A6" w14:paraId="2B97E61C" w14:textId="77777777" w:rsidTr="00EB102E">
        <w:trPr>
          <w:trHeight w:val="408"/>
          <w:tblHeader/>
          <w:jc w:val="center"/>
        </w:trPr>
        <w:tc>
          <w:tcPr>
            <w:tcW w:w="3714" w:type="dxa"/>
            <w:tcBorders>
              <w:top w:val="nil"/>
              <w:left w:val="nil"/>
              <w:bottom w:val="nil"/>
              <w:right w:val="single" w:sz="4" w:space="0" w:color="auto"/>
            </w:tcBorders>
            <w:shd w:val="clear" w:color="auto" w:fill="auto"/>
            <w:noWrap/>
            <w:vAlign w:val="center"/>
            <w:hideMark/>
          </w:tcPr>
          <w:p w14:paraId="4D446700" w14:textId="77777777" w:rsidR="009B35F5" w:rsidRPr="004E74A6" w:rsidRDefault="009B35F5" w:rsidP="00832773">
            <w:pPr>
              <w:spacing w:line="276" w:lineRule="auto"/>
              <w:jc w:val="center"/>
              <w:rPr>
                <w:rFonts w:cs="Calibri"/>
                <w:i/>
                <w:iCs/>
                <w:color w:val="000000"/>
                <w:sz w:val="20"/>
                <w:lang w:eastAsia="es-CR"/>
              </w:rPr>
            </w:pPr>
            <w:r w:rsidRPr="004E74A6">
              <w:rPr>
                <w:rFonts w:cs="Calibri"/>
                <w:i/>
                <w:iCs/>
                <w:color w:val="000000"/>
                <w:sz w:val="20"/>
                <w:lang w:eastAsia="es-CR"/>
              </w:rPr>
              <w:t xml:space="preserve"> Año </w:t>
            </w:r>
          </w:p>
        </w:tc>
        <w:tc>
          <w:tcPr>
            <w:tcW w:w="1935" w:type="dxa"/>
            <w:tcBorders>
              <w:top w:val="nil"/>
              <w:left w:val="nil"/>
              <w:bottom w:val="nil"/>
              <w:right w:val="single" w:sz="4" w:space="0" w:color="auto"/>
            </w:tcBorders>
            <w:shd w:val="clear" w:color="auto" w:fill="auto"/>
            <w:noWrap/>
            <w:vAlign w:val="center"/>
            <w:hideMark/>
          </w:tcPr>
          <w:p w14:paraId="54304D74" w14:textId="77777777" w:rsidR="009B35F5" w:rsidRPr="004E74A6" w:rsidRDefault="009B35F5" w:rsidP="00832773">
            <w:pPr>
              <w:spacing w:line="276" w:lineRule="auto"/>
              <w:jc w:val="center"/>
              <w:rPr>
                <w:rFonts w:cs="Calibri"/>
                <w:i/>
                <w:iCs/>
                <w:color w:val="000000"/>
                <w:sz w:val="20"/>
                <w:lang w:eastAsia="es-CR"/>
              </w:rPr>
            </w:pPr>
            <w:r w:rsidRPr="004E74A6">
              <w:rPr>
                <w:rFonts w:cs="Calibri"/>
                <w:i/>
                <w:iCs/>
                <w:color w:val="000000"/>
                <w:sz w:val="20"/>
                <w:lang w:eastAsia="es-CR"/>
              </w:rPr>
              <w:t>2020</w:t>
            </w:r>
          </w:p>
        </w:tc>
        <w:tc>
          <w:tcPr>
            <w:tcW w:w="1771" w:type="dxa"/>
            <w:tcBorders>
              <w:top w:val="nil"/>
              <w:left w:val="nil"/>
              <w:bottom w:val="nil"/>
              <w:right w:val="nil"/>
            </w:tcBorders>
            <w:shd w:val="clear" w:color="auto" w:fill="auto"/>
            <w:noWrap/>
            <w:vAlign w:val="center"/>
            <w:hideMark/>
          </w:tcPr>
          <w:p w14:paraId="5C184EE7" w14:textId="77777777" w:rsidR="009B35F5" w:rsidRPr="004E74A6" w:rsidRDefault="009B35F5" w:rsidP="00832773">
            <w:pPr>
              <w:spacing w:line="276" w:lineRule="auto"/>
              <w:jc w:val="center"/>
              <w:rPr>
                <w:rFonts w:cs="Calibri"/>
                <w:i/>
                <w:iCs/>
                <w:color w:val="000000"/>
                <w:sz w:val="20"/>
                <w:lang w:eastAsia="es-CR"/>
              </w:rPr>
            </w:pPr>
            <w:r w:rsidRPr="004E74A6">
              <w:rPr>
                <w:rFonts w:cs="Calibri"/>
                <w:i/>
                <w:iCs/>
                <w:color w:val="000000"/>
                <w:sz w:val="20"/>
                <w:lang w:eastAsia="es-CR"/>
              </w:rPr>
              <w:t>2021</w:t>
            </w:r>
          </w:p>
        </w:tc>
      </w:tr>
      <w:tr w:rsidR="009B35F5" w:rsidRPr="004E74A6" w14:paraId="7E8382D1" w14:textId="77777777" w:rsidTr="00EB102E">
        <w:trPr>
          <w:trHeight w:val="408"/>
          <w:tblHeader/>
          <w:jc w:val="center"/>
        </w:trPr>
        <w:tc>
          <w:tcPr>
            <w:tcW w:w="3714" w:type="dxa"/>
            <w:tcBorders>
              <w:top w:val="nil"/>
              <w:left w:val="nil"/>
              <w:bottom w:val="nil"/>
              <w:right w:val="single" w:sz="4" w:space="0" w:color="auto"/>
            </w:tcBorders>
            <w:shd w:val="clear" w:color="auto" w:fill="auto"/>
            <w:noWrap/>
            <w:vAlign w:val="center"/>
            <w:hideMark/>
          </w:tcPr>
          <w:p w14:paraId="7D63931D" w14:textId="77777777" w:rsidR="009B35F5" w:rsidRPr="004E74A6" w:rsidRDefault="009B35F5" w:rsidP="00832773">
            <w:pPr>
              <w:spacing w:line="276" w:lineRule="auto"/>
              <w:jc w:val="center"/>
              <w:rPr>
                <w:rFonts w:cs="Calibri"/>
                <w:i/>
                <w:iCs/>
                <w:color w:val="000000"/>
                <w:sz w:val="20"/>
                <w:lang w:eastAsia="es-CR"/>
              </w:rPr>
            </w:pPr>
            <w:r w:rsidRPr="004E74A6">
              <w:rPr>
                <w:rFonts w:cs="Calibri"/>
                <w:i/>
                <w:iCs/>
                <w:color w:val="000000"/>
                <w:sz w:val="20"/>
                <w:lang w:eastAsia="es-CR"/>
              </w:rPr>
              <w:t xml:space="preserve"> Cantidad </w:t>
            </w:r>
          </w:p>
        </w:tc>
        <w:tc>
          <w:tcPr>
            <w:tcW w:w="1935" w:type="dxa"/>
            <w:tcBorders>
              <w:top w:val="nil"/>
              <w:left w:val="nil"/>
              <w:bottom w:val="nil"/>
              <w:right w:val="single" w:sz="4" w:space="0" w:color="auto"/>
            </w:tcBorders>
            <w:shd w:val="clear" w:color="auto" w:fill="auto"/>
            <w:noWrap/>
            <w:vAlign w:val="center"/>
            <w:hideMark/>
          </w:tcPr>
          <w:p w14:paraId="700FC2A8" w14:textId="77777777" w:rsidR="009B35F5" w:rsidRPr="004E74A6" w:rsidRDefault="009B35F5" w:rsidP="00832773">
            <w:pPr>
              <w:spacing w:line="276" w:lineRule="auto"/>
              <w:jc w:val="center"/>
              <w:rPr>
                <w:rFonts w:cs="Calibri"/>
                <w:i/>
                <w:iCs/>
                <w:color w:val="000000"/>
                <w:sz w:val="20"/>
                <w:lang w:eastAsia="es-CR"/>
              </w:rPr>
            </w:pPr>
            <w:r w:rsidRPr="004E74A6">
              <w:rPr>
                <w:rFonts w:cs="Calibri"/>
                <w:i/>
                <w:iCs/>
                <w:color w:val="000000"/>
                <w:sz w:val="20"/>
                <w:lang w:eastAsia="es-CR"/>
              </w:rPr>
              <w:t>280</w:t>
            </w:r>
          </w:p>
        </w:tc>
        <w:tc>
          <w:tcPr>
            <w:tcW w:w="1771" w:type="dxa"/>
            <w:tcBorders>
              <w:top w:val="nil"/>
              <w:left w:val="nil"/>
              <w:bottom w:val="nil"/>
              <w:right w:val="nil"/>
            </w:tcBorders>
            <w:shd w:val="clear" w:color="auto" w:fill="auto"/>
            <w:noWrap/>
            <w:vAlign w:val="center"/>
            <w:hideMark/>
          </w:tcPr>
          <w:p w14:paraId="27ABA271" w14:textId="77777777" w:rsidR="009B35F5" w:rsidRPr="004E74A6" w:rsidRDefault="009B35F5" w:rsidP="00832773">
            <w:pPr>
              <w:spacing w:line="276" w:lineRule="auto"/>
              <w:jc w:val="center"/>
              <w:rPr>
                <w:rFonts w:cs="Calibri"/>
                <w:i/>
                <w:iCs/>
                <w:color w:val="000000"/>
                <w:sz w:val="20"/>
                <w:lang w:eastAsia="es-CR"/>
              </w:rPr>
            </w:pPr>
            <w:r w:rsidRPr="004E74A6">
              <w:rPr>
                <w:rFonts w:cs="Calibri"/>
                <w:i/>
                <w:iCs/>
                <w:color w:val="000000"/>
                <w:sz w:val="20"/>
                <w:lang w:eastAsia="es-CR"/>
              </w:rPr>
              <w:t>419</w:t>
            </w:r>
          </w:p>
        </w:tc>
      </w:tr>
      <w:tr w:rsidR="009B35F5" w:rsidRPr="004E74A6" w14:paraId="567AC8D7" w14:textId="77777777" w:rsidTr="00EB102E">
        <w:trPr>
          <w:trHeight w:val="408"/>
          <w:tblHeader/>
          <w:jc w:val="center"/>
        </w:trPr>
        <w:tc>
          <w:tcPr>
            <w:tcW w:w="3714" w:type="dxa"/>
            <w:tcBorders>
              <w:top w:val="nil"/>
              <w:left w:val="nil"/>
              <w:bottom w:val="nil"/>
              <w:right w:val="single" w:sz="4" w:space="0" w:color="auto"/>
            </w:tcBorders>
            <w:shd w:val="clear" w:color="auto" w:fill="auto"/>
            <w:noWrap/>
            <w:vAlign w:val="center"/>
            <w:hideMark/>
          </w:tcPr>
          <w:p w14:paraId="163E8DDB" w14:textId="4FBBD3BA" w:rsidR="009B35F5" w:rsidRPr="004E74A6" w:rsidRDefault="009B35F5" w:rsidP="00832773">
            <w:pPr>
              <w:spacing w:line="276" w:lineRule="auto"/>
              <w:jc w:val="center"/>
              <w:rPr>
                <w:rFonts w:cs="Calibri"/>
                <w:i/>
                <w:iCs/>
                <w:color w:val="000000"/>
                <w:sz w:val="20"/>
                <w:lang w:eastAsia="es-CR"/>
              </w:rPr>
            </w:pPr>
            <w:r w:rsidRPr="004E74A6">
              <w:rPr>
                <w:rFonts w:cs="Calibri"/>
                <w:i/>
                <w:iCs/>
                <w:color w:val="000000"/>
                <w:sz w:val="20"/>
                <w:lang w:eastAsia="es-CR"/>
              </w:rPr>
              <w:t xml:space="preserve"> Costo por año para las casaciones en civil</w:t>
            </w:r>
            <w:r w:rsidR="00A7797B" w:rsidRPr="004E74A6">
              <w:rPr>
                <w:rFonts w:cs="Calibri"/>
                <w:i/>
                <w:iCs/>
                <w:color w:val="000000"/>
                <w:sz w:val="20"/>
                <w:lang w:eastAsia="es-CR"/>
              </w:rPr>
              <w:t xml:space="preserve"> </w:t>
            </w:r>
          </w:p>
        </w:tc>
        <w:tc>
          <w:tcPr>
            <w:tcW w:w="1935" w:type="dxa"/>
            <w:tcBorders>
              <w:top w:val="nil"/>
              <w:left w:val="nil"/>
              <w:bottom w:val="nil"/>
              <w:right w:val="single" w:sz="4" w:space="0" w:color="auto"/>
            </w:tcBorders>
            <w:shd w:val="clear" w:color="auto" w:fill="auto"/>
            <w:noWrap/>
            <w:vAlign w:val="center"/>
            <w:hideMark/>
          </w:tcPr>
          <w:p w14:paraId="78D4BCD5" w14:textId="77777777" w:rsidR="009B35F5" w:rsidRPr="004E74A6" w:rsidRDefault="009B35F5" w:rsidP="00832773">
            <w:pPr>
              <w:spacing w:line="276" w:lineRule="auto"/>
              <w:jc w:val="center"/>
              <w:rPr>
                <w:rFonts w:cs="Calibri"/>
                <w:i/>
                <w:iCs/>
                <w:color w:val="000000"/>
                <w:sz w:val="20"/>
                <w:lang w:eastAsia="es-CR"/>
              </w:rPr>
            </w:pPr>
            <w:r w:rsidRPr="004E74A6">
              <w:rPr>
                <w:rFonts w:cs="Calibri"/>
                <w:i/>
                <w:iCs/>
                <w:color w:val="000000"/>
                <w:sz w:val="20"/>
                <w:lang w:eastAsia="es-CR"/>
              </w:rPr>
              <w:t xml:space="preserve"> </w:t>
            </w:r>
            <w:r w:rsidRPr="004E74A6">
              <w:rPr>
                <w:rFonts w:ascii="Times New Roman" w:hAnsi="Times New Roman"/>
                <w:i/>
                <w:iCs/>
                <w:color w:val="000000"/>
                <w:sz w:val="20"/>
                <w:lang w:eastAsia="es-CR"/>
              </w:rPr>
              <w:t>₡</w:t>
            </w:r>
            <w:r w:rsidRPr="004E74A6">
              <w:rPr>
                <w:rFonts w:cs="Calibri"/>
                <w:i/>
                <w:iCs/>
                <w:color w:val="000000"/>
                <w:sz w:val="20"/>
                <w:lang w:eastAsia="es-CR"/>
              </w:rPr>
              <w:t xml:space="preserve">      271 304 345,20 </w:t>
            </w:r>
          </w:p>
        </w:tc>
        <w:tc>
          <w:tcPr>
            <w:tcW w:w="1771" w:type="dxa"/>
            <w:tcBorders>
              <w:top w:val="nil"/>
              <w:left w:val="nil"/>
              <w:bottom w:val="nil"/>
              <w:right w:val="nil"/>
            </w:tcBorders>
            <w:shd w:val="clear" w:color="auto" w:fill="auto"/>
            <w:noWrap/>
            <w:vAlign w:val="center"/>
            <w:hideMark/>
          </w:tcPr>
          <w:p w14:paraId="145D3303" w14:textId="77777777" w:rsidR="009B35F5" w:rsidRPr="004E74A6" w:rsidRDefault="009B35F5" w:rsidP="00832773">
            <w:pPr>
              <w:spacing w:line="276" w:lineRule="auto"/>
              <w:jc w:val="center"/>
              <w:rPr>
                <w:rFonts w:cs="Calibri"/>
                <w:i/>
                <w:iCs/>
                <w:color w:val="000000"/>
                <w:sz w:val="20"/>
                <w:lang w:eastAsia="es-CR"/>
              </w:rPr>
            </w:pPr>
            <w:r w:rsidRPr="004E74A6">
              <w:rPr>
                <w:rFonts w:cs="Calibri"/>
                <w:i/>
                <w:iCs/>
                <w:color w:val="000000"/>
                <w:sz w:val="20"/>
                <w:lang w:eastAsia="es-CR"/>
              </w:rPr>
              <w:t xml:space="preserve"> </w:t>
            </w:r>
            <w:r w:rsidRPr="004E74A6">
              <w:rPr>
                <w:rFonts w:ascii="Times New Roman" w:hAnsi="Times New Roman"/>
                <w:i/>
                <w:iCs/>
                <w:color w:val="000000"/>
                <w:sz w:val="20"/>
                <w:lang w:eastAsia="es-CR"/>
              </w:rPr>
              <w:t>₡</w:t>
            </w:r>
            <w:r w:rsidRPr="004E74A6">
              <w:rPr>
                <w:rFonts w:cs="Calibri"/>
                <w:i/>
                <w:iCs/>
                <w:color w:val="000000"/>
                <w:sz w:val="20"/>
                <w:lang w:eastAsia="es-CR"/>
              </w:rPr>
              <w:t xml:space="preserve">   593 414 036,12 </w:t>
            </w:r>
          </w:p>
        </w:tc>
      </w:tr>
      <w:tr w:rsidR="009B35F5" w:rsidRPr="004E74A6" w14:paraId="15A39365" w14:textId="77777777" w:rsidTr="00EB102E">
        <w:trPr>
          <w:trHeight w:val="408"/>
          <w:tblHeader/>
          <w:jc w:val="center"/>
        </w:trPr>
        <w:tc>
          <w:tcPr>
            <w:tcW w:w="3714" w:type="dxa"/>
            <w:tcBorders>
              <w:top w:val="nil"/>
              <w:left w:val="nil"/>
              <w:bottom w:val="nil"/>
              <w:right w:val="single" w:sz="4" w:space="0" w:color="auto"/>
            </w:tcBorders>
            <w:shd w:val="clear" w:color="000000" w:fill="E2EFDA"/>
            <w:noWrap/>
            <w:vAlign w:val="center"/>
            <w:hideMark/>
          </w:tcPr>
          <w:p w14:paraId="3F77B646" w14:textId="54767614" w:rsidR="009B35F5" w:rsidRPr="004E74A6" w:rsidRDefault="009B35F5" w:rsidP="00832773">
            <w:pPr>
              <w:spacing w:line="276" w:lineRule="auto"/>
              <w:jc w:val="center"/>
              <w:rPr>
                <w:rFonts w:cs="Calibri"/>
                <w:i/>
                <w:iCs/>
                <w:color w:val="000000"/>
                <w:sz w:val="20"/>
                <w:lang w:eastAsia="es-CR"/>
              </w:rPr>
            </w:pPr>
            <w:r w:rsidRPr="004E74A6">
              <w:rPr>
                <w:rFonts w:cs="Calibri"/>
                <w:i/>
                <w:iCs/>
                <w:color w:val="000000"/>
                <w:sz w:val="20"/>
                <w:lang w:eastAsia="es-CR"/>
              </w:rPr>
              <w:t xml:space="preserve"> Costo unitario de cada casación </w:t>
            </w:r>
          </w:p>
        </w:tc>
        <w:tc>
          <w:tcPr>
            <w:tcW w:w="1935" w:type="dxa"/>
            <w:tcBorders>
              <w:top w:val="nil"/>
              <w:left w:val="nil"/>
              <w:bottom w:val="nil"/>
              <w:right w:val="single" w:sz="4" w:space="0" w:color="auto"/>
            </w:tcBorders>
            <w:shd w:val="clear" w:color="000000" w:fill="E2EFDA"/>
            <w:noWrap/>
            <w:vAlign w:val="center"/>
            <w:hideMark/>
          </w:tcPr>
          <w:p w14:paraId="6E9870EC" w14:textId="77777777" w:rsidR="009B35F5" w:rsidRPr="004E74A6" w:rsidRDefault="009B35F5" w:rsidP="00832773">
            <w:pPr>
              <w:spacing w:line="276" w:lineRule="auto"/>
              <w:jc w:val="center"/>
              <w:rPr>
                <w:rFonts w:cs="Calibri"/>
                <w:i/>
                <w:iCs/>
                <w:color w:val="000000"/>
                <w:sz w:val="20"/>
                <w:lang w:eastAsia="es-CR"/>
              </w:rPr>
            </w:pPr>
            <w:r w:rsidRPr="004E74A6">
              <w:rPr>
                <w:rFonts w:cs="Calibri"/>
                <w:i/>
                <w:iCs/>
                <w:color w:val="000000"/>
                <w:sz w:val="20"/>
                <w:lang w:eastAsia="es-CR"/>
              </w:rPr>
              <w:t xml:space="preserve"> </w:t>
            </w:r>
            <w:r w:rsidRPr="004E74A6">
              <w:rPr>
                <w:rFonts w:ascii="Times New Roman" w:hAnsi="Times New Roman"/>
                <w:i/>
                <w:iCs/>
                <w:color w:val="000000"/>
                <w:sz w:val="20"/>
                <w:lang w:eastAsia="es-CR"/>
              </w:rPr>
              <w:t>₡</w:t>
            </w:r>
            <w:r w:rsidRPr="004E74A6">
              <w:rPr>
                <w:rFonts w:cs="Calibri"/>
                <w:i/>
                <w:iCs/>
                <w:color w:val="000000"/>
                <w:sz w:val="20"/>
                <w:lang w:eastAsia="es-CR"/>
              </w:rPr>
              <w:t xml:space="preserve">             968 944,09 </w:t>
            </w:r>
          </w:p>
        </w:tc>
        <w:tc>
          <w:tcPr>
            <w:tcW w:w="1771" w:type="dxa"/>
            <w:tcBorders>
              <w:top w:val="nil"/>
              <w:left w:val="nil"/>
              <w:bottom w:val="nil"/>
              <w:right w:val="nil"/>
            </w:tcBorders>
            <w:shd w:val="clear" w:color="000000" w:fill="E2EFDA"/>
            <w:noWrap/>
            <w:vAlign w:val="center"/>
            <w:hideMark/>
          </w:tcPr>
          <w:p w14:paraId="6930F13D" w14:textId="77777777" w:rsidR="009B35F5" w:rsidRPr="004E74A6" w:rsidRDefault="009B35F5" w:rsidP="00832773">
            <w:pPr>
              <w:spacing w:line="276" w:lineRule="auto"/>
              <w:jc w:val="center"/>
              <w:rPr>
                <w:rFonts w:cs="Calibri"/>
                <w:i/>
                <w:iCs/>
                <w:color w:val="000000"/>
                <w:sz w:val="20"/>
                <w:lang w:eastAsia="es-CR"/>
              </w:rPr>
            </w:pPr>
            <w:r w:rsidRPr="004E74A6">
              <w:rPr>
                <w:rFonts w:cs="Calibri"/>
                <w:i/>
                <w:iCs/>
                <w:color w:val="000000"/>
                <w:sz w:val="20"/>
                <w:lang w:eastAsia="es-CR"/>
              </w:rPr>
              <w:t xml:space="preserve"> </w:t>
            </w:r>
            <w:r w:rsidRPr="004E74A6">
              <w:rPr>
                <w:rFonts w:ascii="Times New Roman" w:hAnsi="Times New Roman"/>
                <w:i/>
                <w:iCs/>
                <w:color w:val="000000"/>
                <w:sz w:val="20"/>
                <w:lang w:eastAsia="es-CR"/>
              </w:rPr>
              <w:t>₡</w:t>
            </w:r>
            <w:r w:rsidRPr="004E74A6">
              <w:rPr>
                <w:rFonts w:cs="Calibri"/>
                <w:i/>
                <w:iCs/>
                <w:color w:val="000000"/>
                <w:sz w:val="20"/>
                <w:lang w:eastAsia="es-CR"/>
              </w:rPr>
              <w:t xml:space="preserve">       1 416 262,62 </w:t>
            </w:r>
          </w:p>
        </w:tc>
      </w:tr>
      <w:tr w:rsidR="009B35F5" w:rsidRPr="004E74A6" w14:paraId="5E240306" w14:textId="77777777" w:rsidTr="00EB102E">
        <w:trPr>
          <w:trHeight w:val="288"/>
          <w:tblHeader/>
          <w:jc w:val="center"/>
        </w:trPr>
        <w:tc>
          <w:tcPr>
            <w:tcW w:w="3714" w:type="dxa"/>
            <w:tcBorders>
              <w:top w:val="nil"/>
              <w:left w:val="nil"/>
              <w:bottom w:val="single" w:sz="4" w:space="0" w:color="auto"/>
              <w:right w:val="single" w:sz="4" w:space="0" w:color="auto"/>
            </w:tcBorders>
            <w:shd w:val="clear" w:color="auto" w:fill="auto"/>
            <w:noWrap/>
            <w:vAlign w:val="center"/>
            <w:hideMark/>
          </w:tcPr>
          <w:p w14:paraId="3F5A4230" w14:textId="77777777" w:rsidR="009B35F5" w:rsidRPr="004E74A6" w:rsidRDefault="009B35F5" w:rsidP="00832773">
            <w:pPr>
              <w:spacing w:line="276" w:lineRule="auto"/>
              <w:jc w:val="left"/>
              <w:rPr>
                <w:rFonts w:cs="Calibri"/>
                <w:color w:val="000000"/>
                <w:sz w:val="22"/>
                <w:szCs w:val="22"/>
                <w:lang w:eastAsia="es-CR"/>
              </w:rPr>
            </w:pPr>
            <w:r w:rsidRPr="004E74A6">
              <w:rPr>
                <w:rFonts w:cs="Calibri"/>
                <w:color w:val="000000"/>
                <w:sz w:val="22"/>
                <w:szCs w:val="22"/>
                <w:lang w:eastAsia="es-CR"/>
              </w:rPr>
              <w:t> </w:t>
            </w:r>
          </w:p>
        </w:tc>
        <w:tc>
          <w:tcPr>
            <w:tcW w:w="1935" w:type="dxa"/>
            <w:tcBorders>
              <w:top w:val="nil"/>
              <w:left w:val="nil"/>
              <w:bottom w:val="single" w:sz="4" w:space="0" w:color="auto"/>
              <w:right w:val="single" w:sz="4" w:space="0" w:color="auto"/>
            </w:tcBorders>
            <w:shd w:val="clear" w:color="auto" w:fill="auto"/>
            <w:noWrap/>
            <w:vAlign w:val="center"/>
            <w:hideMark/>
          </w:tcPr>
          <w:p w14:paraId="04AA03A2" w14:textId="77777777" w:rsidR="009B35F5" w:rsidRPr="004E74A6" w:rsidRDefault="009B35F5" w:rsidP="00832773">
            <w:pPr>
              <w:spacing w:line="276" w:lineRule="auto"/>
              <w:jc w:val="left"/>
              <w:rPr>
                <w:rFonts w:cs="Calibri"/>
                <w:color w:val="000000"/>
                <w:sz w:val="22"/>
                <w:szCs w:val="22"/>
                <w:lang w:eastAsia="es-CR"/>
              </w:rPr>
            </w:pPr>
            <w:r w:rsidRPr="004E74A6">
              <w:rPr>
                <w:rFonts w:cs="Calibri"/>
                <w:color w:val="000000"/>
                <w:sz w:val="22"/>
                <w:szCs w:val="22"/>
                <w:lang w:eastAsia="es-CR"/>
              </w:rPr>
              <w:t> </w:t>
            </w:r>
          </w:p>
        </w:tc>
        <w:tc>
          <w:tcPr>
            <w:tcW w:w="1771" w:type="dxa"/>
            <w:tcBorders>
              <w:top w:val="nil"/>
              <w:left w:val="nil"/>
              <w:bottom w:val="single" w:sz="4" w:space="0" w:color="auto"/>
              <w:right w:val="nil"/>
            </w:tcBorders>
            <w:shd w:val="clear" w:color="auto" w:fill="auto"/>
            <w:noWrap/>
            <w:vAlign w:val="center"/>
            <w:hideMark/>
          </w:tcPr>
          <w:p w14:paraId="095A0950" w14:textId="77777777" w:rsidR="009B35F5" w:rsidRPr="004E74A6" w:rsidRDefault="009B35F5" w:rsidP="00832773">
            <w:pPr>
              <w:spacing w:line="276" w:lineRule="auto"/>
              <w:jc w:val="left"/>
              <w:rPr>
                <w:rFonts w:cs="Calibri"/>
                <w:color w:val="000000"/>
                <w:sz w:val="22"/>
                <w:szCs w:val="22"/>
                <w:lang w:eastAsia="es-CR"/>
              </w:rPr>
            </w:pPr>
            <w:r w:rsidRPr="004E74A6">
              <w:rPr>
                <w:rFonts w:cs="Calibri"/>
                <w:color w:val="000000"/>
                <w:sz w:val="22"/>
                <w:szCs w:val="22"/>
                <w:lang w:eastAsia="es-CR"/>
              </w:rPr>
              <w:t> </w:t>
            </w:r>
          </w:p>
        </w:tc>
      </w:tr>
      <w:tr w:rsidR="009B35F5" w:rsidRPr="004E74A6" w14:paraId="39CFAC8C" w14:textId="77777777" w:rsidTr="00EB102E">
        <w:trPr>
          <w:trHeight w:val="576"/>
          <w:tblHeader/>
          <w:jc w:val="center"/>
        </w:trPr>
        <w:tc>
          <w:tcPr>
            <w:tcW w:w="7420" w:type="dxa"/>
            <w:gridSpan w:val="3"/>
            <w:tcBorders>
              <w:top w:val="nil"/>
              <w:left w:val="nil"/>
              <w:bottom w:val="nil"/>
              <w:right w:val="nil"/>
            </w:tcBorders>
            <w:shd w:val="clear" w:color="auto" w:fill="auto"/>
            <w:hideMark/>
          </w:tcPr>
          <w:p w14:paraId="2694E987" w14:textId="77777777" w:rsidR="009B35F5" w:rsidRPr="004E74A6" w:rsidRDefault="009B35F5" w:rsidP="00832773">
            <w:pPr>
              <w:spacing w:line="276" w:lineRule="auto"/>
              <w:jc w:val="left"/>
              <w:rPr>
                <w:rFonts w:cs="Calibri"/>
                <w:b/>
                <w:bCs/>
                <w:i/>
                <w:iCs/>
                <w:color w:val="000000"/>
                <w:sz w:val="20"/>
                <w:lang w:eastAsia="es-CR"/>
              </w:rPr>
            </w:pPr>
            <w:r w:rsidRPr="004E74A6">
              <w:rPr>
                <w:rFonts w:cs="Calibri"/>
                <w:b/>
                <w:bCs/>
                <w:i/>
                <w:iCs/>
                <w:color w:val="000000"/>
                <w:sz w:val="20"/>
                <w:lang w:eastAsia="es-CR"/>
              </w:rPr>
              <w:t>Fuente</w:t>
            </w:r>
            <w:r w:rsidRPr="004E74A6">
              <w:rPr>
                <w:rFonts w:cs="Calibri"/>
                <w:i/>
                <w:iCs/>
                <w:color w:val="000000"/>
                <w:sz w:val="20"/>
                <w:lang w:eastAsia="es-CR"/>
              </w:rPr>
              <w:t>: Subproceso de Modernización Institucional con datos extraídos del sistema SIGMA, Dirección de Planificación.</w:t>
            </w:r>
          </w:p>
        </w:tc>
      </w:tr>
    </w:tbl>
    <w:p w14:paraId="333A4CB8" w14:textId="77777777" w:rsidR="009B35F5" w:rsidRPr="00832773" w:rsidRDefault="009B35F5" w:rsidP="00CE62C1">
      <w:pPr>
        <w:spacing w:line="276" w:lineRule="auto"/>
        <w:rPr>
          <w:rFonts w:eastAsia="Calibri"/>
          <w:szCs w:val="24"/>
          <w:lang w:eastAsia="en-US"/>
        </w:rPr>
      </w:pPr>
    </w:p>
    <w:p w14:paraId="6724DC40" w14:textId="3D43D5C6" w:rsidR="00D43C43" w:rsidRPr="004E74A6" w:rsidRDefault="00F732B1" w:rsidP="00CE62C1">
      <w:pPr>
        <w:spacing w:line="276" w:lineRule="auto"/>
        <w:rPr>
          <w:rFonts w:eastAsia="Calibri"/>
        </w:rPr>
      </w:pPr>
      <w:r w:rsidRPr="00832773">
        <w:rPr>
          <w:rFonts w:eastAsia="Calibri"/>
          <w:szCs w:val="24"/>
          <w:lang w:eastAsia="en-US"/>
        </w:rPr>
        <w:t xml:space="preserve">A través de este modelo </w:t>
      </w:r>
      <w:r w:rsidR="002F1D5F" w:rsidRPr="00832773">
        <w:rPr>
          <w:rFonts w:eastAsia="Calibri"/>
          <w:szCs w:val="24"/>
          <w:lang w:eastAsia="en-US"/>
        </w:rPr>
        <w:t>que busca encontrar</w:t>
      </w:r>
      <w:r w:rsidRPr="00832773">
        <w:rPr>
          <w:rFonts w:eastAsia="Calibri"/>
          <w:szCs w:val="24"/>
          <w:lang w:eastAsia="en-US"/>
        </w:rPr>
        <w:t xml:space="preserve"> el costo unitario de una casación civil, es posible determinar que para el 2020 el monto fue de </w:t>
      </w:r>
      <w:r w:rsidR="00D43C43" w:rsidRPr="004E74A6">
        <w:rPr>
          <w:rFonts w:ascii="Times New Roman" w:eastAsia="Calibri" w:hAnsi="Times New Roman"/>
        </w:rPr>
        <w:t>₡</w:t>
      </w:r>
      <w:r w:rsidR="0069556D" w:rsidRPr="004E74A6">
        <w:rPr>
          <w:rFonts w:eastAsia="Calibri"/>
        </w:rPr>
        <w:t xml:space="preserve">968 944,09, mientras que en 2021 el monto se elevó a </w:t>
      </w:r>
      <w:r w:rsidR="0069556D" w:rsidRPr="004E74A6">
        <w:rPr>
          <w:rFonts w:ascii="Times New Roman" w:eastAsia="Calibri" w:hAnsi="Times New Roman"/>
        </w:rPr>
        <w:t>₡</w:t>
      </w:r>
      <w:r w:rsidR="0069556D" w:rsidRPr="004E74A6">
        <w:rPr>
          <w:rFonts w:eastAsia="Calibri"/>
        </w:rPr>
        <w:t xml:space="preserve"> 1 416 262,62.</w:t>
      </w:r>
    </w:p>
    <w:p w14:paraId="6E6CE677" w14:textId="77777777" w:rsidR="00ED1E69" w:rsidRPr="004E74A6" w:rsidRDefault="00ED1E69" w:rsidP="00CE62C1">
      <w:pPr>
        <w:spacing w:line="276" w:lineRule="auto"/>
        <w:rPr>
          <w:rFonts w:eastAsia="Calibri"/>
        </w:rPr>
      </w:pPr>
    </w:p>
    <w:p w14:paraId="7B9198CC" w14:textId="62D265C1" w:rsidR="0069556D" w:rsidRPr="004E74A6" w:rsidRDefault="0069556D" w:rsidP="00CE62C1">
      <w:pPr>
        <w:spacing w:line="276" w:lineRule="auto"/>
        <w:rPr>
          <w:rFonts w:eastAsia="Calibri"/>
        </w:rPr>
      </w:pPr>
      <w:r w:rsidRPr="004E74A6">
        <w:rPr>
          <w:rFonts w:eastAsia="Calibri"/>
        </w:rPr>
        <w:t>Este aumento entre un año y otro obedece a la disminución de procedimientos relacionados con competencia, pues permitió a su vez terminar otro tipo de asuntos y específicamente más casaciones en contencioso administrativo, civil, agrario y notariado.</w:t>
      </w:r>
    </w:p>
    <w:p w14:paraId="3C968723" w14:textId="77777777" w:rsidR="00ED1E69" w:rsidRPr="00832773" w:rsidRDefault="00ED1E69" w:rsidP="00CE62C1">
      <w:pPr>
        <w:spacing w:line="276" w:lineRule="auto"/>
        <w:rPr>
          <w:rFonts w:eastAsia="Calibri"/>
          <w:szCs w:val="24"/>
          <w:lang w:eastAsia="en-US"/>
        </w:rPr>
      </w:pPr>
    </w:p>
    <w:p w14:paraId="6E662B0E" w14:textId="6EFE6432" w:rsidR="009B35F5" w:rsidRPr="00832773" w:rsidRDefault="004E70DF" w:rsidP="00CE62C1">
      <w:pPr>
        <w:spacing w:line="276" w:lineRule="auto"/>
        <w:rPr>
          <w:rFonts w:eastAsia="Calibri"/>
          <w:szCs w:val="24"/>
          <w:lang w:eastAsia="en-US"/>
        </w:rPr>
      </w:pPr>
      <w:r w:rsidRPr="00832773">
        <w:rPr>
          <w:rFonts w:eastAsia="Calibri"/>
          <w:szCs w:val="24"/>
          <w:lang w:eastAsia="en-US"/>
        </w:rPr>
        <w:t xml:space="preserve">Haciendo un promedio entre los dos costos unitarios se obtendría un monto de </w:t>
      </w:r>
      <w:r w:rsidRPr="004E74A6">
        <w:rPr>
          <w:rFonts w:ascii="Times New Roman" w:eastAsia="Calibri" w:hAnsi="Times New Roman"/>
        </w:rPr>
        <w:t>₡</w:t>
      </w:r>
      <w:r w:rsidRPr="00832773">
        <w:rPr>
          <w:rFonts w:eastAsia="Calibri"/>
          <w:szCs w:val="24"/>
          <w:lang w:eastAsia="en-US"/>
        </w:rPr>
        <w:t xml:space="preserve">1 192 603, que para fines prácticos puede redondearse y definir un costo unitario de </w:t>
      </w:r>
      <w:r w:rsidR="00B32919" w:rsidRPr="00832773">
        <w:rPr>
          <w:rFonts w:eastAsia="Calibri"/>
          <w:szCs w:val="24"/>
          <w:lang w:eastAsia="en-US"/>
        </w:rPr>
        <w:t xml:space="preserve">casación en </w:t>
      </w:r>
      <w:r w:rsidR="00B32919" w:rsidRPr="004E74A6">
        <w:rPr>
          <w:rFonts w:ascii="Times New Roman" w:eastAsia="Calibri" w:hAnsi="Times New Roman"/>
        </w:rPr>
        <w:t xml:space="preserve">₡ </w:t>
      </w:r>
      <w:r w:rsidR="00B32919" w:rsidRPr="004E74A6">
        <w:rPr>
          <w:rFonts w:eastAsia="Calibri"/>
        </w:rPr>
        <w:t>1 200 000, siendo este el escenario C</w:t>
      </w:r>
      <w:r w:rsidR="0081212B" w:rsidRPr="004E74A6">
        <w:rPr>
          <w:rFonts w:eastAsia="Calibri"/>
        </w:rPr>
        <w:t>1</w:t>
      </w:r>
      <w:r w:rsidR="00B32919" w:rsidRPr="004E74A6">
        <w:rPr>
          <w:rFonts w:eastAsia="Calibri"/>
        </w:rPr>
        <w:t>.</w:t>
      </w:r>
    </w:p>
    <w:p w14:paraId="40BD3992" w14:textId="77777777" w:rsidR="00E76BFA" w:rsidRPr="00832773" w:rsidRDefault="00E76BFA" w:rsidP="00CE62C1">
      <w:pPr>
        <w:spacing w:line="276" w:lineRule="auto"/>
        <w:rPr>
          <w:rFonts w:eastAsia="Calibri"/>
          <w:szCs w:val="24"/>
          <w:lang w:eastAsia="en-US"/>
        </w:rPr>
      </w:pPr>
    </w:p>
    <w:p w14:paraId="6FCB9083" w14:textId="3ABF2B54" w:rsidR="0081212B" w:rsidRDefault="0081212B" w:rsidP="00CE62C1">
      <w:pPr>
        <w:spacing w:line="276" w:lineRule="auto"/>
        <w:rPr>
          <w:rFonts w:eastAsia="Calibri"/>
          <w:b/>
          <w:bCs/>
          <w:szCs w:val="24"/>
          <w:lang w:eastAsia="en-US"/>
        </w:rPr>
      </w:pPr>
      <w:r w:rsidRPr="00832773">
        <w:rPr>
          <w:rFonts w:eastAsia="Calibri"/>
          <w:b/>
          <w:bCs/>
          <w:szCs w:val="24"/>
          <w:lang w:eastAsia="en-US"/>
        </w:rPr>
        <w:t>Costo si se contemplan solo las casaciones terminadas por año</w:t>
      </w:r>
    </w:p>
    <w:p w14:paraId="117B0296" w14:textId="77777777" w:rsidR="005112AE" w:rsidRPr="00832773" w:rsidRDefault="005112AE" w:rsidP="00CE62C1">
      <w:pPr>
        <w:spacing w:line="276" w:lineRule="auto"/>
        <w:rPr>
          <w:rFonts w:eastAsia="Calibri"/>
          <w:b/>
          <w:bCs/>
          <w:szCs w:val="24"/>
          <w:lang w:eastAsia="en-US"/>
        </w:rPr>
      </w:pPr>
    </w:p>
    <w:p w14:paraId="00CF4485" w14:textId="1344351E" w:rsidR="00A7797B" w:rsidRPr="00832773" w:rsidRDefault="00ED1E69" w:rsidP="00CE62C1">
      <w:pPr>
        <w:spacing w:line="276" w:lineRule="auto"/>
        <w:rPr>
          <w:rFonts w:eastAsia="Calibri"/>
          <w:szCs w:val="24"/>
          <w:lang w:eastAsia="en-US"/>
        </w:rPr>
      </w:pPr>
      <w:r w:rsidRPr="00832773">
        <w:rPr>
          <w:rFonts w:eastAsia="Calibri"/>
          <w:szCs w:val="24"/>
          <w:lang w:eastAsia="en-US"/>
        </w:rPr>
        <w:t>Sin embargo, esta estimación</w:t>
      </w:r>
      <w:r w:rsidR="0081212B" w:rsidRPr="00832773">
        <w:rPr>
          <w:rFonts w:eastAsia="Calibri"/>
          <w:szCs w:val="24"/>
          <w:lang w:eastAsia="en-US"/>
        </w:rPr>
        <w:t xml:space="preserve"> inicial</w:t>
      </w:r>
      <w:r w:rsidRPr="00832773">
        <w:rPr>
          <w:rFonts w:eastAsia="Calibri"/>
          <w:szCs w:val="24"/>
          <w:lang w:eastAsia="en-US"/>
        </w:rPr>
        <w:t xml:space="preserve">, debe considerar que la razón de ser de la </w:t>
      </w:r>
      <w:r w:rsidR="00A7797B" w:rsidRPr="00832773">
        <w:rPr>
          <w:rFonts w:eastAsia="Calibri"/>
          <w:szCs w:val="24"/>
          <w:lang w:eastAsia="en-US"/>
        </w:rPr>
        <w:t>S</w:t>
      </w:r>
      <w:r w:rsidRPr="00832773">
        <w:rPr>
          <w:rFonts w:eastAsia="Calibri"/>
          <w:szCs w:val="24"/>
          <w:lang w:eastAsia="en-US"/>
        </w:rPr>
        <w:t xml:space="preserve">ala, el proceso principal es la casación, y </w:t>
      </w:r>
      <w:r w:rsidR="005112AE" w:rsidRPr="00832773">
        <w:rPr>
          <w:rFonts w:eastAsia="Calibri"/>
          <w:szCs w:val="24"/>
          <w:lang w:eastAsia="en-US"/>
        </w:rPr>
        <w:t>que,</w:t>
      </w:r>
      <w:r w:rsidRPr="00832773">
        <w:rPr>
          <w:rFonts w:eastAsia="Calibri"/>
          <w:szCs w:val="24"/>
          <w:lang w:eastAsia="en-US"/>
        </w:rPr>
        <w:t xml:space="preserve"> por complejidad, por el fondo, aunque la Sala termine</w:t>
      </w:r>
      <w:r w:rsidR="00A7797B" w:rsidRPr="00832773">
        <w:rPr>
          <w:rFonts w:eastAsia="Calibri"/>
          <w:szCs w:val="24"/>
          <w:lang w:eastAsia="en-US"/>
        </w:rPr>
        <w:t xml:space="preserve"> otro tipo de asuntos</w:t>
      </w:r>
      <w:r w:rsidR="0081212B" w:rsidRPr="00832773">
        <w:rPr>
          <w:rFonts w:eastAsia="Calibri"/>
          <w:szCs w:val="24"/>
          <w:lang w:eastAsia="en-US"/>
        </w:rPr>
        <w:t xml:space="preserve"> (la mayoría competencias)</w:t>
      </w:r>
      <w:r w:rsidR="00A7797B" w:rsidRPr="00832773">
        <w:rPr>
          <w:rFonts w:eastAsia="Calibri"/>
          <w:szCs w:val="24"/>
          <w:lang w:eastAsia="en-US"/>
        </w:rPr>
        <w:t>, esas resoluciones incluso pueden resolverse de forma masiva o por el área de admisibilidad sin siquiera llegar a discutir con las señoras y señores magistrados.</w:t>
      </w:r>
    </w:p>
    <w:p w14:paraId="306C2EF9" w14:textId="77777777" w:rsidR="00A7797B" w:rsidRPr="00832773" w:rsidRDefault="00A7797B" w:rsidP="00CE62C1">
      <w:pPr>
        <w:spacing w:line="276" w:lineRule="auto"/>
        <w:rPr>
          <w:rFonts w:eastAsia="Calibri"/>
          <w:szCs w:val="24"/>
          <w:lang w:eastAsia="en-US"/>
        </w:rPr>
      </w:pPr>
    </w:p>
    <w:p w14:paraId="62C80A48" w14:textId="1990EF04" w:rsidR="00BE6A51" w:rsidRPr="00832773" w:rsidRDefault="002C61D6" w:rsidP="00CE62C1">
      <w:pPr>
        <w:spacing w:line="276" w:lineRule="auto"/>
        <w:rPr>
          <w:rFonts w:eastAsia="Calibri"/>
          <w:b/>
          <w:bCs/>
          <w:u w:val="single"/>
          <w:lang w:eastAsia="en-US"/>
        </w:rPr>
      </w:pPr>
      <w:r w:rsidRPr="00832773">
        <w:rPr>
          <w:rFonts w:eastAsia="Calibri"/>
          <w:szCs w:val="24"/>
          <w:lang w:eastAsia="en-US"/>
        </w:rPr>
        <w:t>Utilizando la b</w:t>
      </w:r>
      <w:r w:rsidR="006019A1" w:rsidRPr="00832773">
        <w:rPr>
          <w:rFonts w:eastAsia="Calibri"/>
          <w:szCs w:val="24"/>
          <w:lang w:eastAsia="en-US"/>
        </w:rPr>
        <w:t xml:space="preserve">ase de datos de cuantía </w:t>
      </w:r>
      <w:r w:rsidRPr="00832773">
        <w:rPr>
          <w:rFonts w:eastAsia="Calibri"/>
          <w:szCs w:val="24"/>
          <w:lang w:eastAsia="en-US"/>
        </w:rPr>
        <w:t>del sistema</w:t>
      </w:r>
      <w:r w:rsidR="006019A1" w:rsidRPr="00832773">
        <w:rPr>
          <w:rFonts w:eastAsia="Calibri"/>
          <w:szCs w:val="24"/>
          <w:lang w:eastAsia="en-US"/>
        </w:rPr>
        <w:t xml:space="preserve"> SIGMA</w:t>
      </w:r>
      <w:r w:rsidRPr="00832773">
        <w:rPr>
          <w:rFonts w:eastAsia="Calibri"/>
          <w:szCs w:val="24"/>
          <w:lang w:eastAsia="en-US"/>
        </w:rPr>
        <w:t xml:space="preserve"> para el 2020 </w:t>
      </w:r>
      <w:r w:rsidR="00E76BFA" w:rsidRPr="00832773">
        <w:rPr>
          <w:rFonts w:eastAsia="Calibri"/>
          <w:szCs w:val="24"/>
          <w:lang w:eastAsia="en-US"/>
        </w:rPr>
        <w:t>se finalizaron 9</w:t>
      </w:r>
      <w:r w:rsidR="0081212B" w:rsidRPr="00832773">
        <w:rPr>
          <w:rFonts w:eastAsia="Calibri"/>
          <w:szCs w:val="24"/>
          <w:lang w:eastAsia="en-US"/>
        </w:rPr>
        <w:t>22</w:t>
      </w:r>
      <w:r w:rsidR="00E76BFA" w:rsidRPr="00832773">
        <w:rPr>
          <w:rFonts w:eastAsia="Calibri"/>
          <w:szCs w:val="24"/>
          <w:lang w:eastAsia="en-US"/>
        </w:rPr>
        <w:t xml:space="preserve"> </w:t>
      </w:r>
      <w:r w:rsidRPr="00832773">
        <w:rPr>
          <w:rFonts w:eastAsia="Calibri"/>
          <w:szCs w:val="24"/>
          <w:lang w:eastAsia="en-US"/>
        </w:rPr>
        <w:t xml:space="preserve">casaciones </w:t>
      </w:r>
      <w:r w:rsidR="00E76BFA" w:rsidRPr="00832773">
        <w:rPr>
          <w:rFonts w:eastAsia="Calibri"/>
          <w:szCs w:val="24"/>
          <w:lang w:eastAsia="en-US"/>
        </w:rPr>
        <w:t>en</w:t>
      </w:r>
      <w:r w:rsidRPr="00832773">
        <w:rPr>
          <w:rFonts w:eastAsia="Calibri"/>
          <w:szCs w:val="24"/>
          <w:lang w:eastAsia="en-US"/>
        </w:rPr>
        <w:t xml:space="preserve"> la Sala Primera</w:t>
      </w:r>
      <w:r w:rsidR="00E76BFA" w:rsidRPr="00832773">
        <w:rPr>
          <w:rFonts w:eastAsia="Calibri"/>
          <w:szCs w:val="24"/>
          <w:lang w:eastAsia="en-US"/>
        </w:rPr>
        <w:t xml:space="preserve">, </w:t>
      </w:r>
      <w:r w:rsidR="0092426E" w:rsidRPr="00832773">
        <w:rPr>
          <w:rFonts w:eastAsia="Calibri"/>
          <w:szCs w:val="24"/>
          <w:lang w:eastAsia="en-US"/>
        </w:rPr>
        <w:t>p</w:t>
      </w:r>
      <w:r w:rsidR="00E76BFA" w:rsidRPr="00832773">
        <w:rPr>
          <w:rFonts w:eastAsia="Calibri"/>
          <w:szCs w:val="24"/>
          <w:lang w:eastAsia="en-US"/>
        </w:rPr>
        <w:t xml:space="preserve">or lo cual </w:t>
      </w:r>
      <w:r w:rsidRPr="00832773">
        <w:rPr>
          <w:rFonts w:eastAsia="Calibri"/>
          <w:szCs w:val="24"/>
          <w:lang w:eastAsia="en-US"/>
        </w:rPr>
        <w:t xml:space="preserve">lo cual </w:t>
      </w:r>
      <w:r w:rsidRPr="00832773">
        <w:rPr>
          <w:rFonts w:eastAsia="Calibri"/>
          <w:b/>
          <w:bCs/>
          <w:szCs w:val="24"/>
          <w:u w:val="single"/>
          <w:lang w:eastAsia="en-US"/>
        </w:rPr>
        <w:t xml:space="preserve">al dividir el gasto total anual </w:t>
      </w:r>
      <w:r w:rsidR="00A7797B" w:rsidRPr="00832773">
        <w:rPr>
          <w:rFonts w:eastAsia="Calibri"/>
          <w:b/>
          <w:bCs/>
          <w:szCs w:val="24"/>
          <w:u w:val="single"/>
          <w:lang w:eastAsia="en-US"/>
        </w:rPr>
        <w:lastRenderedPageBreak/>
        <w:t xml:space="preserve">solamente </w:t>
      </w:r>
      <w:r w:rsidRPr="00832773">
        <w:rPr>
          <w:rFonts w:eastAsia="Calibri"/>
          <w:b/>
          <w:bCs/>
          <w:szCs w:val="24"/>
          <w:u w:val="single"/>
          <w:lang w:eastAsia="en-US"/>
        </w:rPr>
        <w:t xml:space="preserve">entre casaciones </w:t>
      </w:r>
      <w:r w:rsidR="005312FB" w:rsidRPr="00832773">
        <w:rPr>
          <w:rFonts w:eastAsia="Calibri"/>
          <w:b/>
          <w:bCs/>
          <w:szCs w:val="24"/>
          <w:u w:val="single"/>
          <w:lang w:eastAsia="en-US"/>
        </w:rPr>
        <w:t xml:space="preserve">en 2020 </w:t>
      </w:r>
      <w:r w:rsidRPr="00832773">
        <w:rPr>
          <w:rFonts w:eastAsia="Calibri"/>
          <w:b/>
          <w:bCs/>
          <w:szCs w:val="24"/>
          <w:u w:val="single"/>
          <w:lang w:eastAsia="en-US"/>
        </w:rPr>
        <w:t>daría un costo unitario</w:t>
      </w:r>
      <w:r w:rsidR="00E76BFA" w:rsidRPr="00832773">
        <w:rPr>
          <w:rFonts w:eastAsia="Calibri"/>
          <w:b/>
          <w:bCs/>
          <w:szCs w:val="24"/>
          <w:u w:val="single"/>
          <w:lang w:eastAsia="en-US"/>
        </w:rPr>
        <w:t xml:space="preserve"> de resolver cada una de</w:t>
      </w:r>
      <w:r w:rsidR="0092426E" w:rsidRPr="00832773">
        <w:rPr>
          <w:rFonts w:eastAsia="Calibri"/>
          <w:b/>
          <w:bCs/>
          <w:szCs w:val="24"/>
          <w:u w:val="single"/>
          <w:lang w:eastAsia="en-US"/>
        </w:rPr>
        <w:t xml:space="preserve"> </w:t>
      </w:r>
      <w:r w:rsidR="0081212B" w:rsidRPr="00832773">
        <w:rPr>
          <w:rFonts w:ascii="Times New Roman" w:eastAsia="Calibri" w:hAnsi="Times New Roman"/>
          <w:b/>
          <w:bCs/>
          <w:szCs w:val="24"/>
          <w:u w:val="single"/>
          <w:lang w:eastAsia="en-US"/>
        </w:rPr>
        <w:t>₡3 024 534,81</w:t>
      </w:r>
      <w:r w:rsidR="0092426E" w:rsidRPr="00832773">
        <w:rPr>
          <w:rFonts w:eastAsia="Calibri"/>
          <w:b/>
          <w:bCs/>
          <w:szCs w:val="24"/>
          <w:u w:val="single"/>
          <w:lang w:eastAsia="en-US"/>
        </w:rPr>
        <w:t xml:space="preserve">. </w:t>
      </w:r>
      <w:r w:rsidR="0092426E" w:rsidRPr="00832773">
        <w:rPr>
          <w:rFonts w:eastAsia="Calibri"/>
          <w:szCs w:val="24"/>
          <w:lang w:eastAsia="en-US"/>
        </w:rPr>
        <w:t>En 2021 al haber aumentado la cantidad de casaciones</w:t>
      </w:r>
      <w:r w:rsidR="0081212B" w:rsidRPr="00832773">
        <w:rPr>
          <w:rFonts w:eastAsia="Calibri"/>
          <w:szCs w:val="24"/>
          <w:lang w:eastAsia="en-US"/>
        </w:rPr>
        <w:t xml:space="preserve"> (1116 casaciones terminadas)</w:t>
      </w:r>
      <w:r w:rsidR="0092426E" w:rsidRPr="00832773">
        <w:rPr>
          <w:rFonts w:eastAsia="Calibri"/>
          <w:szCs w:val="24"/>
          <w:lang w:eastAsia="en-US"/>
        </w:rPr>
        <w:t>,</w:t>
      </w:r>
      <w:r w:rsidR="00823C29" w:rsidRPr="00832773">
        <w:rPr>
          <w:rFonts w:eastAsia="Calibri"/>
          <w:szCs w:val="24"/>
          <w:lang w:eastAsia="en-US"/>
        </w:rPr>
        <w:t xml:space="preserve"> el costo unitario</w:t>
      </w:r>
      <w:r w:rsidR="0092426E" w:rsidRPr="00832773">
        <w:rPr>
          <w:rFonts w:eastAsia="Calibri"/>
          <w:szCs w:val="24"/>
          <w:lang w:eastAsia="en-US"/>
        </w:rPr>
        <w:t xml:space="preserve"> solamente de</w:t>
      </w:r>
      <w:r w:rsidR="00823C29" w:rsidRPr="00832773">
        <w:rPr>
          <w:rFonts w:eastAsia="Calibri"/>
          <w:szCs w:val="24"/>
          <w:lang w:eastAsia="en-US"/>
        </w:rPr>
        <w:t xml:space="preserve"> las casaciones </w:t>
      </w:r>
      <w:r w:rsidR="00823C29" w:rsidRPr="00832773">
        <w:rPr>
          <w:rFonts w:eastAsia="Calibri"/>
          <w:b/>
          <w:bCs/>
          <w:szCs w:val="24"/>
          <w:u w:val="single"/>
          <w:lang w:eastAsia="en-US"/>
        </w:rPr>
        <w:t xml:space="preserve">baja a </w:t>
      </w:r>
      <w:r w:rsidR="0081212B" w:rsidRPr="00832773">
        <w:rPr>
          <w:rFonts w:ascii="Times New Roman" w:eastAsia="Calibri" w:hAnsi="Times New Roman"/>
          <w:b/>
          <w:bCs/>
          <w:szCs w:val="24"/>
          <w:u w:val="single"/>
          <w:lang w:eastAsia="en-US"/>
        </w:rPr>
        <w:t>₡2 498 764,42</w:t>
      </w:r>
      <w:r w:rsidR="005312FB" w:rsidRPr="00832773">
        <w:rPr>
          <w:rFonts w:eastAsia="Calibri"/>
          <w:b/>
          <w:bCs/>
          <w:szCs w:val="24"/>
          <w:u w:val="single"/>
          <w:lang w:eastAsia="en-US"/>
        </w:rPr>
        <w:t xml:space="preserve">. </w:t>
      </w:r>
      <w:r w:rsidR="0081212B" w:rsidRPr="00832773">
        <w:rPr>
          <w:rFonts w:eastAsia="Calibri"/>
          <w:b/>
          <w:bCs/>
          <w:szCs w:val="24"/>
          <w:u w:val="single"/>
          <w:lang w:eastAsia="en-US"/>
        </w:rPr>
        <w:t xml:space="preserve">Un valor promedio de ambos años sería de </w:t>
      </w:r>
      <w:r w:rsidR="0081212B" w:rsidRPr="00832773">
        <w:rPr>
          <w:rFonts w:ascii="Times New Roman" w:eastAsia="Calibri" w:hAnsi="Times New Roman"/>
          <w:b/>
          <w:bCs/>
          <w:szCs w:val="24"/>
          <w:u w:val="single"/>
          <w:lang w:eastAsia="en-US"/>
        </w:rPr>
        <w:t>₡</w:t>
      </w:r>
      <w:r w:rsidR="0081212B" w:rsidRPr="00832773">
        <w:rPr>
          <w:rFonts w:eastAsia="Calibri"/>
          <w:b/>
          <w:bCs/>
          <w:szCs w:val="24"/>
          <w:u w:val="single"/>
          <w:lang w:eastAsia="en-US"/>
        </w:rPr>
        <w:t xml:space="preserve">2 761 649,61, </w:t>
      </w:r>
      <w:r w:rsidR="0081212B" w:rsidRPr="00832773">
        <w:rPr>
          <w:rFonts w:eastAsia="Calibri"/>
          <w:szCs w:val="24"/>
          <w:lang w:eastAsia="en-US"/>
        </w:rPr>
        <w:t xml:space="preserve">que para fines prácticos puede redondearse y definir un costo unitario de casación en </w:t>
      </w:r>
      <w:r w:rsidR="0081212B" w:rsidRPr="00832773">
        <w:rPr>
          <w:rFonts w:ascii="Times New Roman" w:eastAsia="Calibri" w:hAnsi="Times New Roman"/>
          <w:b/>
          <w:bCs/>
          <w:szCs w:val="24"/>
          <w:u w:val="single"/>
          <w:lang w:eastAsia="en-US"/>
        </w:rPr>
        <w:t>₡</w:t>
      </w:r>
      <w:r w:rsidR="0081212B" w:rsidRPr="00832773">
        <w:rPr>
          <w:rFonts w:eastAsia="Calibri"/>
          <w:b/>
          <w:bCs/>
          <w:szCs w:val="24"/>
          <w:u w:val="single"/>
          <w:lang w:eastAsia="en-US"/>
        </w:rPr>
        <w:t>2 800 000</w:t>
      </w:r>
      <w:r w:rsidR="0081212B" w:rsidRPr="004E74A6">
        <w:rPr>
          <w:rFonts w:eastAsia="Calibri"/>
        </w:rPr>
        <w:t xml:space="preserve"> siendo este el escenario C2.</w:t>
      </w:r>
      <w:r w:rsidR="00747270" w:rsidRPr="00832773">
        <w:rPr>
          <w:rFonts w:eastAsia="Calibri"/>
          <w:b/>
          <w:bCs/>
          <w:szCs w:val="24"/>
          <w:u w:val="single"/>
          <w:lang w:eastAsia="en-US"/>
        </w:rPr>
        <w:t xml:space="preserve"> </w:t>
      </w:r>
    </w:p>
    <w:p w14:paraId="2F3F52BC" w14:textId="7A2B5144" w:rsidR="00BE6A51" w:rsidRPr="00832773" w:rsidRDefault="00BE6A51" w:rsidP="00CE62C1">
      <w:pPr>
        <w:spacing w:line="276" w:lineRule="auto"/>
        <w:rPr>
          <w:rFonts w:eastAsia="Calibri"/>
          <w:lang w:eastAsia="en-US"/>
        </w:rPr>
      </w:pPr>
    </w:p>
    <w:p w14:paraId="579A8E09" w14:textId="1B8E404B" w:rsidR="00F34C5D" w:rsidRPr="00832773" w:rsidRDefault="00F34C5D" w:rsidP="00832773">
      <w:pPr>
        <w:pStyle w:val="Descripcin"/>
        <w:keepNext/>
        <w:spacing w:line="276" w:lineRule="auto"/>
        <w:jc w:val="center"/>
        <w:rPr>
          <w:rFonts w:ascii="Book Antiqua" w:hAnsi="Book Antiqua"/>
          <w:i/>
          <w:iCs/>
          <w:sz w:val="20"/>
          <w:szCs w:val="16"/>
          <w:lang w:val="es-CR"/>
        </w:rPr>
      </w:pPr>
      <w:r w:rsidRPr="00832773">
        <w:rPr>
          <w:rFonts w:ascii="Book Antiqua" w:hAnsi="Book Antiqua"/>
          <w:i/>
          <w:iCs/>
          <w:sz w:val="20"/>
          <w:szCs w:val="16"/>
          <w:lang w:val="es-CR"/>
        </w:rPr>
        <w:t xml:space="preserve">Tabla </w:t>
      </w:r>
      <w:r w:rsidRPr="00832773">
        <w:rPr>
          <w:i/>
          <w:iCs/>
          <w:sz w:val="20"/>
          <w:szCs w:val="16"/>
          <w:lang w:val="es-CR"/>
        </w:rPr>
        <w:fldChar w:fldCharType="begin"/>
      </w:r>
      <w:r w:rsidRPr="00832773">
        <w:rPr>
          <w:rFonts w:ascii="Book Antiqua" w:hAnsi="Book Antiqua"/>
          <w:i/>
          <w:iCs/>
          <w:sz w:val="20"/>
          <w:szCs w:val="16"/>
          <w:lang w:val="es-CR"/>
        </w:rPr>
        <w:instrText xml:space="preserve"> SEQ Tabla \* ARABIC </w:instrText>
      </w:r>
      <w:r w:rsidRPr="00832773">
        <w:rPr>
          <w:i/>
          <w:iCs/>
          <w:sz w:val="20"/>
          <w:szCs w:val="16"/>
          <w:lang w:val="es-CR"/>
        </w:rPr>
        <w:fldChar w:fldCharType="separate"/>
      </w:r>
      <w:r w:rsidR="00374B51">
        <w:rPr>
          <w:rFonts w:ascii="Book Antiqua" w:hAnsi="Book Antiqua"/>
          <w:i/>
          <w:iCs/>
          <w:noProof/>
          <w:sz w:val="20"/>
          <w:szCs w:val="16"/>
          <w:lang w:val="es-CR"/>
        </w:rPr>
        <w:t>60</w:t>
      </w:r>
      <w:r w:rsidRPr="00832773">
        <w:rPr>
          <w:i/>
          <w:iCs/>
          <w:sz w:val="20"/>
          <w:szCs w:val="16"/>
          <w:lang w:val="es-CR"/>
        </w:rPr>
        <w:fldChar w:fldCharType="end"/>
      </w:r>
      <w:r w:rsidRPr="00832773">
        <w:rPr>
          <w:rFonts w:ascii="Book Antiqua" w:hAnsi="Book Antiqua"/>
          <w:i/>
          <w:iCs/>
          <w:sz w:val="20"/>
          <w:szCs w:val="16"/>
          <w:lang w:val="es-CR"/>
        </w:rPr>
        <w:t xml:space="preserve"> Distribución de las casaciones terminadas en la Sala Primera 2020</w:t>
      </w:r>
    </w:p>
    <w:tbl>
      <w:tblPr>
        <w:tblW w:w="8006" w:type="dxa"/>
        <w:jc w:val="center"/>
        <w:tblCellMar>
          <w:left w:w="70" w:type="dxa"/>
          <w:right w:w="70" w:type="dxa"/>
        </w:tblCellMar>
        <w:tblLook w:val="04A0" w:firstRow="1" w:lastRow="0" w:firstColumn="1" w:lastColumn="0" w:noHBand="0" w:noVBand="1"/>
      </w:tblPr>
      <w:tblGrid>
        <w:gridCol w:w="2694"/>
        <w:gridCol w:w="2656"/>
        <w:gridCol w:w="2656"/>
      </w:tblGrid>
      <w:tr w:rsidR="001529B7" w:rsidRPr="004E74A6" w14:paraId="495B2036" w14:textId="4EDE4975" w:rsidTr="00EB102E">
        <w:trPr>
          <w:trHeight w:val="255"/>
          <w:jc w:val="center"/>
        </w:trPr>
        <w:tc>
          <w:tcPr>
            <w:tcW w:w="2694" w:type="dxa"/>
            <w:tcBorders>
              <w:top w:val="nil"/>
              <w:left w:val="nil"/>
              <w:bottom w:val="single" w:sz="4" w:space="0" w:color="8EA9DB"/>
              <w:right w:val="nil"/>
            </w:tcBorders>
            <w:shd w:val="clear" w:color="D9E1F2" w:fill="D9E1F2"/>
            <w:noWrap/>
            <w:vAlign w:val="center"/>
            <w:hideMark/>
          </w:tcPr>
          <w:p w14:paraId="335518DB" w14:textId="331FECE0" w:rsidR="001529B7" w:rsidRPr="004E74A6" w:rsidRDefault="001529B7" w:rsidP="00832773">
            <w:pPr>
              <w:spacing w:line="276" w:lineRule="auto"/>
              <w:jc w:val="left"/>
              <w:rPr>
                <w:rFonts w:cs="Arial"/>
                <w:b/>
                <w:bCs/>
                <w:color w:val="000000"/>
                <w:sz w:val="20"/>
                <w:lang w:eastAsia="es-CR"/>
              </w:rPr>
            </w:pPr>
            <w:r w:rsidRPr="004E74A6">
              <w:rPr>
                <w:rFonts w:cs="Arial"/>
                <w:b/>
                <w:bCs/>
                <w:color w:val="000000"/>
                <w:sz w:val="20"/>
                <w:lang w:eastAsia="es-CR"/>
              </w:rPr>
              <w:t>Materia</w:t>
            </w:r>
          </w:p>
        </w:tc>
        <w:tc>
          <w:tcPr>
            <w:tcW w:w="2656" w:type="dxa"/>
            <w:tcBorders>
              <w:top w:val="nil"/>
              <w:left w:val="nil"/>
              <w:bottom w:val="single" w:sz="4" w:space="0" w:color="8EA9DB"/>
              <w:right w:val="nil"/>
            </w:tcBorders>
            <w:shd w:val="clear" w:color="D9E1F2" w:fill="D9E1F2"/>
            <w:noWrap/>
            <w:vAlign w:val="center"/>
            <w:hideMark/>
          </w:tcPr>
          <w:p w14:paraId="62A75B01" w14:textId="263790A4" w:rsidR="001529B7" w:rsidRPr="004E74A6" w:rsidRDefault="001529B7" w:rsidP="00832773">
            <w:pPr>
              <w:spacing w:line="276" w:lineRule="auto"/>
              <w:jc w:val="left"/>
              <w:rPr>
                <w:rFonts w:cs="Arial"/>
                <w:b/>
                <w:bCs/>
                <w:color w:val="000000"/>
                <w:sz w:val="20"/>
                <w:lang w:eastAsia="es-CR"/>
              </w:rPr>
            </w:pPr>
            <w:r w:rsidRPr="004E74A6">
              <w:rPr>
                <w:rFonts w:cs="Arial"/>
                <w:b/>
                <w:bCs/>
                <w:color w:val="000000"/>
                <w:sz w:val="20"/>
                <w:lang w:eastAsia="es-CR"/>
              </w:rPr>
              <w:t>Cantidad de casaciones finalizadas en 2020</w:t>
            </w:r>
          </w:p>
        </w:tc>
        <w:tc>
          <w:tcPr>
            <w:tcW w:w="2656" w:type="dxa"/>
            <w:tcBorders>
              <w:top w:val="nil"/>
              <w:left w:val="nil"/>
              <w:bottom w:val="single" w:sz="4" w:space="0" w:color="8EA9DB"/>
              <w:right w:val="nil"/>
            </w:tcBorders>
            <w:shd w:val="clear" w:color="D9E1F2" w:fill="D9E1F2"/>
          </w:tcPr>
          <w:p w14:paraId="40B4FC8C" w14:textId="68B48966" w:rsidR="001529B7" w:rsidRPr="004E74A6" w:rsidRDefault="001529B7" w:rsidP="00832773">
            <w:pPr>
              <w:spacing w:line="276" w:lineRule="auto"/>
              <w:jc w:val="left"/>
              <w:rPr>
                <w:rFonts w:cs="Arial"/>
                <w:b/>
                <w:bCs/>
                <w:color w:val="000000"/>
                <w:sz w:val="20"/>
                <w:lang w:eastAsia="es-CR"/>
              </w:rPr>
            </w:pPr>
            <w:r w:rsidRPr="004E74A6">
              <w:rPr>
                <w:rFonts w:cs="Arial"/>
                <w:b/>
                <w:bCs/>
                <w:color w:val="000000"/>
                <w:sz w:val="20"/>
                <w:lang w:eastAsia="es-CR"/>
              </w:rPr>
              <w:t>Cantidad de casaciones finalizadas en 2021</w:t>
            </w:r>
          </w:p>
        </w:tc>
      </w:tr>
      <w:tr w:rsidR="001529B7" w:rsidRPr="004E74A6" w14:paraId="4D5C45A5" w14:textId="7A49680A" w:rsidTr="00EB102E">
        <w:trPr>
          <w:trHeight w:val="255"/>
          <w:jc w:val="center"/>
        </w:trPr>
        <w:tc>
          <w:tcPr>
            <w:tcW w:w="2694" w:type="dxa"/>
            <w:tcBorders>
              <w:top w:val="nil"/>
              <w:left w:val="nil"/>
              <w:bottom w:val="nil"/>
              <w:right w:val="nil"/>
            </w:tcBorders>
            <w:shd w:val="clear" w:color="auto" w:fill="auto"/>
            <w:noWrap/>
            <w:vAlign w:val="center"/>
            <w:hideMark/>
          </w:tcPr>
          <w:p w14:paraId="47EF9235" w14:textId="6FCB6EDE" w:rsidR="001529B7" w:rsidRPr="004E74A6" w:rsidRDefault="001529B7" w:rsidP="00832773">
            <w:pPr>
              <w:spacing w:line="276" w:lineRule="auto"/>
              <w:jc w:val="left"/>
              <w:rPr>
                <w:rFonts w:cs="Arial"/>
                <w:color w:val="000000"/>
                <w:sz w:val="20"/>
                <w:lang w:eastAsia="es-CR"/>
              </w:rPr>
            </w:pPr>
            <w:r w:rsidRPr="004E74A6">
              <w:rPr>
                <w:rFonts w:cs="Arial"/>
                <w:color w:val="000000"/>
                <w:sz w:val="20"/>
                <w:lang w:eastAsia="es-CR"/>
              </w:rPr>
              <w:t>Agraria</w:t>
            </w:r>
          </w:p>
        </w:tc>
        <w:tc>
          <w:tcPr>
            <w:tcW w:w="2656" w:type="dxa"/>
            <w:tcBorders>
              <w:top w:val="nil"/>
              <w:left w:val="nil"/>
              <w:bottom w:val="nil"/>
              <w:right w:val="nil"/>
            </w:tcBorders>
            <w:shd w:val="clear" w:color="auto" w:fill="auto"/>
            <w:noWrap/>
            <w:vAlign w:val="center"/>
            <w:hideMark/>
          </w:tcPr>
          <w:p w14:paraId="4CC8C5E2" w14:textId="682E1B22" w:rsidR="001529B7" w:rsidRPr="004E74A6" w:rsidRDefault="001529B7" w:rsidP="00832773">
            <w:pPr>
              <w:spacing w:line="276" w:lineRule="auto"/>
              <w:jc w:val="center"/>
              <w:rPr>
                <w:rFonts w:cs="Arial"/>
                <w:color w:val="000000"/>
                <w:sz w:val="20"/>
                <w:lang w:eastAsia="es-CR"/>
              </w:rPr>
            </w:pPr>
            <w:r w:rsidRPr="004E74A6">
              <w:rPr>
                <w:rFonts w:cs="Arial"/>
                <w:color w:val="000000"/>
                <w:sz w:val="20"/>
                <w:lang w:eastAsia="es-CR"/>
              </w:rPr>
              <w:t>5</w:t>
            </w:r>
            <w:r w:rsidR="007749D4" w:rsidRPr="004E74A6">
              <w:rPr>
                <w:rFonts w:cs="Arial"/>
                <w:color w:val="000000"/>
                <w:sz w:val="20"/>
                <w:lang w:eastAsia="es-CR"/>
              </w:rPr>
              <w:t>3</w:t>
            </w:r>
          </w:p>
        </w:tc>
        <w:tc>
          <w:tcPr>
            <w:tcW w:w="2656" w:type="dxa"/>
            <w:tcBorders>
              <w:top w:val="nil"/>
              <w:left w:val="nil"/>
              <w:bottom w:val="nil"/>
              <w:right w:val="nil"/>
            </w:tcBorders>
          </w:tcPr>
          <w:p w14:paraId="6D293806" w14:textId="295C83DD" w:rsidR="001529B7" w:rsidRPr="004E74A6" w:rsidRDefault="006F3BD0" w:rsidP="00832773">
            <w:pPr>
              <w:spacing w:line="276" w:lineRule="auto"/>
              <w:jc w:val="center"/>
              <w:rPr>
                <w:rFonts w:cs="Arial"/>
                <w:color w:val="000000"/>
                <w:sz w:val="20"/>
                <w:lang w:eastAsia="es-CR"/>
              </w:rPr>
            </w:pPr>
            <w:r w:rsidRPr="004E74A6">
              <w:rPr>
                <w:rFonts w:cs="Arial"/>
                <w:color w:val="000000"/>
                <w:sz w:val="20"/>
                <w:lang w:eastAsia="es-CR"/>
              </w:rPr>
              <w:t>8</w:t>
            </w:r>
            <w:r w:rsidR="007749D4" w:rsidRPr="004E74A6">
              <w:rPr>
                <w:rFonts w:cs="Arial"/>
                <w:color w:val="000000"/>
                <w:sz w:val="20"/>
                <w:lang w:eastAsia="es-CR"/>
              </w:rPr>
              <w:t>9</w:t>
            </w:r>
          </w:p>
        </w:tc>
      </w:tr>
      <w:tr w:rsidR="001529B7" w:rsidRPr="004E74A6" w14:paraId="4B7C2763" w14:textId="615729B3" w:rsidTr="00EB102E">
        <w:trPr>
          <w:trHeight w:val="255"/>
          <w:jc w:val="center"/>
        </w:trPr>
        <w:tc>
          <w:tcPr>
            <w:tcW w:w="2694" w:type="dxa"/>
            <w:tcBorders>
              <w:top w:val="nil"/>
              <w:left w:val="nil"/>
              <w:bottom w:val="nil"/>
              <w:right w:val="nil"/>
            </w:tcBorders>
            <w:shd w:val="clear" w:color="auto" w:fill="auto"/>
            <w:noWrap/>
            <w:vAlign w:val="center"/>
            <w:hideMark/>
          </w:tcPr>
          <w:p w14:paraId="67E89CE9" w14:textId="66218148" w:rsidR="001529B7" w:rsidRPr="004E74A6" w:rsidRDefault="001529B7" w:rsidP="00832773">
            <w:pPr>
              <w:spacing w:line="276" w:lineRule="auto"/>
              <w:jc w:val="left"/>
              <w:rPr>
                <w:rFonts w:cs="Arial"/>
                <w:color w:val="000000"/>
                <w:sz w:val="20"/>
                <w:lang w:eastAsia="es-CR"/>
              </w:rPr>
            </w:pPr>
            <w:r w:rsidRPr="004E74A6">
              <w:rPr>
                <w:rFonts w:cs="Arial"/>
                <w:color w:val="000000"/>
                <w:sz w:val="20"/>
                <w:lang w:eastAsia="es-CR"/>
              </w:rPr>
              <w:t>Contencioso Administrativo</w:t>
            </w:r>
          </w:p>
        </w:tc>
        <w:tc>
          <w:tcPr>
            <w:tcW w:w="2656" w:type="dxa"/>
            <w:tcBorders>
              <w:top w:val="nil"/>
              <w:left w:val="nil"/>
              <w:bottom w:val="nil"/>
              <w:right w:val="nil"/>
            </w:tcBorders>
            <w:shd w:val="clear" w:color="auto" w:fill="auto"/>
            <w:noWrap/>
            <w:vAlign w:val="center"/>
            <w:hideMark/>
          </w:tcPr>
          <w:p w14:paraId="61D88BE8" w14:textId="4BD3C769" w:rsidR="001529B7" w:rsidRPr="004E74A6" w:rsidRDefault="001529B7" w:rsidP="00832773">
            <w:pPr>
              <w:spacing w:line="276" w:lineRule="auto"/>
              <w:jc w:val="center"/>
              <w:rPr>
                <w:rFonts w:cs="Arial"/>
                <w:color w:val="000000"/>
                <w:sz w:val="20"/>
                <w:lang w:eastAsia="es-CR"/>
              </w:rPr>
            </w:pPr>
            <w:r w:rsidRPr="004E74A6">
              <w:rPr>
                <w:rFonts w:cs="Arial"/>
                <w:color w:val="000000"/>
                <w:sz w:val="20"/>
                <w:lang w:eastAsia="es-CR"/>
              </w:rPr>
              <w:t>5</w:t>
            </w:r>
            <w:r w:rsidR="007749D4" w:rsidRPr="004E74A6">
              <w:rPr>
                <w:rFonts w:cs="Arial"/>
                <w:color w:val="000000"/>
                <w:sz w:val="20"/>
                <w:lang w:eastAsia="es-CR"/>
              </w:rPr>
              <w:t>58</w:t>
            </w:r>
          </w:p>
        </w:tc>
        <w:tc>
          <w:tcPr>
            <w:tcW w:w="2656" w:type="dxa"/>
            <w:tcBorders>
              <w:top w:val="nil"/>
              <w:left w:val="nil"/>
              <w:bottom w:val="nil"/>
              <w:right w:val="nil"/>
            </w:tcBorders>
          </w:tcPr>
          <w:p w14:paraId="67E7AB0A" w14:textId="60068274" w:rsidR="001529B7" w:rsidRPr="004E74A6" w:rsidRDefault="006F3BD0" w:rsidP="00832773">
            <w:pPr>
              <w:spacing w:line="276" w:lineRule="auto"/>
              <w:jc w:val="center"/>
              <w:rPr>
                <w:rFonts w:cs="Arial"/>
                <w:color w:val="000000"/>
                <w:sz w:val="20"/>
                <w:lang w:eastAsia="es-CR"/>
              </w:rPr>
            </w:pPr>
            <w:r w:rsidRPr="004E74A6">
              <w:rPr>
                <w:rFonts w:cs="Arial"/>
                <w:color w:val="000000"/>
                <w:sz w:val="20"/>
                <w:lang w:eastAsia="es-CR"/>
              </w:rPr>
              <w:t>5</w:t>
            </w:r>
            <w:r w:rsidR="007749D4" w:rsidRPr="004E74A6">
              <w:rPr>
                <w:rFonts w:cs="Arial"/>
                <w:color w:val="000000"/>
                <w:sz w:val="20"/>
                <w:lang w:eastAsia="es-CR"/>
              </w:rPr>
              <w:t>70</w:t>
            </w:r>
          </w:p>
        </w:tc>
      </w:tr>
      <w:tr w:rsidR="001529B7" w:rsidRPr="004E74A6" w14:paraId="7EBDF122" w14:textId="3D9997DE" w:rsidTr="00EB102E">
        <w:trPr>
          <w:trHeight w:val="255"/>
          <w:jc w:val="center"/>
        </w:trPr>
        <w:tc>
          <w:tcPr>
            <w:tcW w:w="2694" w:type="dxa"/>
            <w:tcBorders>
              <w:top w:val="nil"/>
              <w:left w:val="nil"/>
              <w:bottom w:val="nil"/>
              <w:right w:val="nil"/>
            </w:tcBorders>
            <w:shd w:val="clear" w:color="auto" w:fill="C5E0B3" w:themeFill="accent6" w:themeFillTint="66"/>
            <w:noWrap/>
            <w:vAlign w:val="center"/>
            <w:hideMark/>
          </w:tcPr>
          <w:p w14:paraId="74FFCE37" w14:textId="549B514C" w:rsidR="001529B7" w:rsidRPr="004E74A6" w:rsidRDefault="001529B7" w:rsidP="00832773">
            <w:pPr>
              <w:spacing w:line="276" w:lineRule="auto"/>
              <w:jc w:val="left"/>
              <w:rPr>
                <w:rFonts w:cs="Arial"/>
                <w:color w:val="000000"/>
                <w:sz w:val="20"/>
                <w:lang w:eastAsia="es-CR"/>
              </w:rPr>
            </w:pPr>
            <w:r w:rsidRPr="004E74A6">
              <w:rPr>
                <w:rFonts w:cs="Arial"/>
                <w:color w:val="000000"/>
                <w:sz w:val="20"/>
                <w:lang w:eastAsia="es-CR"/>
              </w:rPr>
              <w:t>Civil</w:t>
            </w:r>
          </w:p>
        </w:tc>
        <w:tc>
          <w:tcPr>
            <w:tcW w:w="2656" w:type="dxa"/>
            <w:tcBorders>
              <w:top w:val="nil"/>
              <w:left w:val="nil"/>
              <w:bottom w:val="nil"/>
              <w:right w:val="nil"/>
            </w:tcBorders>
            <w:shd w:val="clear" w:color="auto" w:fill="C5E0B3" w:themeFill="accent6" w:themeFillTint="66"/>
            <w:noWrap/>
            <w:vAlign w:val="center"/>
            <w:hideMark/>
          </w:tcPr>
          <w:p w14:paraId="1496F83D" w14:textId="1695DBBE" w:rsidR="001529B7" w:rsidRPr="004E74A6" w:rsidRDefault="001529B7" w:rsidP="00832773">
            <w:pPr>
              <w:spacing w:line="276" w:lineRule="auto"/>
              <w:jc w:val="center"/>
              <w:rPr>
                <w:rFonts w:cs="Arial"/>
                <w:color w:val="000000"/>
                <w:sz w:val="20"/>
                <w:lang w:eastAsia="es-CR"/>
              </w:rPr>
            </w:pPr>
            <w:r w:rsidRPr="004E74A6">
              <w:rPr>
                <w:rFonts w:cs="Arial"/>
                <w:color w:val="000000"/>
                <w:sz w:val="20"/>
                <w:lang w:eastAsia="es-CR"/>
              </w:rPr>
              <w:t>28</w:t>
            </w:r>
            <w:r w:rsidR="007749D4" w:rsidRPr="004E74A6">
              <w:rPr>
                <w:rFonts w:cs="Arial"/>
                <w:color w:val="000000"/>
                <w:sz w:val="20"/>
                <w:lang w:eastAsia="es-CR"/>
              </w:rPr>
              <w:t>0</w:t>
            </w:r>
          </w:p>
        </w:tc>
        <w:tc>
          <w:tcPr>
            <w:tcW w:w="2656" w:type="dxa"/>
            <w:tcBorders>
              <w:top w:val="nil"/>
              <w:left w:val="nil"/>
              <w:bottom w:val="nil"/>
              <w:right w:val="nil"/>
            </w:tcBorders>
            <w:shd w:val="clear" w:color="auto" w:fill="C5E0B3" w:themeFill="accent6" w:themeFillTint="66"/>
          </w:tcPr>
          <w:p w14:paraId="4863F571" w14:textId="25D1AFA8" w:rsidR="001529B7" w:rsidRPr="004E74A6" w:rsidRDefault="006F3BD0" w:rsidP="00832773">
            <w:pPr>
              <w:spacing w:line="276" w:lineRule="auto"/>
              <w:jc w:val="center"/>
              <w:rPr>
                <w:rFonts w:cs="Arial"/>
                <w:color w:val="000000"/>
                <w:sz w:val="20"/>
                <w:lang w:eastAsia="es-CR"/>
              </w:rPr>
            </w:pPr>
            <w:r w:rsidRPr="004E74A6">
              <w:rPr>
                <w:rFonts w:cs="Arial"/>
                <w:color w:val="000000"/>
                <w:sz w:val="20"/>
                <w:lang w:eastAsia="es-CR"/>
              </w:rPr>
              <w:t>41</w:t>
            </w:r>
            <w:r w:rsidR="007749D4" w:rsidRPr="004E74A6">
              <w:rPr>
                <w:rFonts w:cs="Arial"/>
                <w:color w:val="000000"/>
                <w:sz w:val="20"/>
                <w:lang w:eastAsia="es-CR"/>
              </w:rPr>
              <w:t>9</w:t>
            </w:r>
          </w:p>
        </w:tc>
      </w:tr>
      <w:tr w:rsidR="001529B7" w:rsidRPr="004E74A6" w14:paraId="1C6F4595" w14:textId="3DCBC911" w:rsidTr="00EB102E">
        <w:trPr>
          <w:trHeight w:val="255"/>
          <w:jc w:val="center"/>
        </w:trPr>
        <w:tc>
          <w:tcPr>
            <w:tcW w:w="2694" w:type="dxa"/>
            <w:tcBorders>
              <w:top w:val="nil"/>
              <w:left w:val="nil"/>
              <w:bottom w:val="nil"/>
              <w:right w:val="nil"/>
            </w:tcBorders>
            <w:shd w:val="clear" w:color="auto" w:fill="auto"/>
            <w:noWrap/>
            <w:vAlign w:val="center"/>
            <w:hideMark/>
          </w:tcPr>
          <w:p w14:paraId="57D88F4D" w14:textId="081996C6" w:rsidR="001529B7" w:rsidRPr="004E74A6" w:rsidRDefault="001529B7" w:rsidP="00832773">
            <w:pPr>
              <w:spacing w:line="276" w:lineRule="auto"/>
              <w:jc w:val="left"/>
              <w:rPr>
                <w:rFonts w:cs="Arial"/>
                <w:color w:val="000000"/>
                <w:sz w:val="20"/>
                <w:lang w:eastAsia="es-CR"/>
              </w:rPr>
            </w:pPr>
            <w:r w:rsidRPr="004E74A6">
              <w:rPr>
                <w:rFonts w:cs="Arial"/>
                <w:color w:val="000000"/>
                <w:sz w:val="20"/>
                <w:lang w:eastAsia="es-CR"/>
              </w:rPr>
              <w:t>Cobro Judicial</w:t>
            </w:r>
          </w:p>
        </w:tc>
        <w:tc>
          <w:tcPr>
            <w:tcW w:w="2656" w:type="dxa"/>
            <w:tcBorders>
              <w:top w:val="nil"/>
              <w:left w:val="nil"/>
              <w:bottom w:val="nil"/>
              <w:right w:val="nil"/>
            </w:tcBorders>
            <w:shd w:val="clear" w:color="auto" w:fill="auto"/>
            <w:noWrap/>
            <w:vAlign w:val="center"/>
            <w:hideMark/>
          </w:tcPr>
          <w:p w14:paraId="29FE50D2" w14:textId="6F529AB9" w:rsidR="001529B7" w:rsidRPr="004E74A6" w:rsidRDefault="001529B7" w:rsidP="00832773">
            <w:pPr>
              <w:spacing w:line="276" w:lineRule="auto"/>
              <w:jc w:val="center"/>
              <w:rPr>
                <w:rFonts w:cs="Arial"/>
                <w:color w:val="000000"/>
                <w:sz w:val="20"/>
                <w:lang w:eastAsia="es-CR"/>
              </w:rPr>
            </w:pPr>
            <w:r w:rsidRPr="004E74A6">
              <w:rPr>
                <w:rFonts w:cs="Arial"/>
                <w:color w:val="000000"/>
                <w:sz w:val="20"/>
                <w:lang w:eastAsia="es-CR"/>
              </w:rPr>
              <w:t>10</w:t>
            </w:r>
          </w:p>
        </w:tc>
        <w:tc>
          <w:tcPr>
            <w:tcW w:w="2656" w:type="dxa"/>
            <w:tcBorders>
              <w:top w:val="nil"/>
              <w:left w:val="nil"/>
              <w:bottom w:val="nil"/>
              <w:right w:val="nil"/>
            </w:tcBorders>
          </w:tcPr>
          <w:p w14:paraId="4DED62EC" w14:textId="20960203" w:rsidR="001529B7" w:rsidRPr="004E74A6" w:rsidRDefault="006F3BD0" w:rsidP="00832773">
            <w:pPr>
              <w:spacing w:line="276" w:lineRule="auto"/>
              <w:jc w:val="center"/>
              <w:rPr>
                <w:rFonts w:cs="Arial"/>
                <w:color w:val="000000"/>
                <w:sz w:val="20"/>
                <w:lang w:eastAsia="es-CR"/>
              </w:rPr>
            </w:pPr>
            <w:r w:rsidRPr="004E74A6">
              <w:rPr>
                <w:rFonts w:cs="Arial"/>
                <w:color w:val="000000"/>
                <w:sz w:val="20"/>
                <w:lang w:eastAsia="es-CR"/>
              </w:rPr>
              <w:t>10</w:t>
            </w:r>
          </w:p>
        </w:tc>
      </w:tr>
      <w:tr w:rsidR="001529B7" w:rsidRPr="004E74A6" w14:paraId="6DA390FD" w14:textId="26F8D818" w:rsidTr="00EB102E">
        <w:trPr>
          <w:trHeight w:val="255"/>
          <w:jc w:val="center"/>
        </w:trPr>
        <w:tc>
          <w:tcPr>
            <w:tcW w:w="2694" w:type="dxa"/>
            <w:tcBorders>
              <w:top w:val="nil"/>
              <w:left w:val="nil"/>
              <w:bottom w:val="nil"/>
              <w:right w:val="nil"/>
            </w:tcBorders>
            <w:shd w:val="clear" w:color="auto" w:fill="auto"/>
            <w:noWrap/>
            <w:vAlign w:val="center"/>
            <w:hideMark/>
          </w:tcPr>
          <w:p w14:paraId="73CD2EEE" w14:textId="52B71E77" w:rsidR="001529B7" w:rsidRPr="004E74A6" w:rsidRDefault="001529B7" w:rsidP="00832773">
            <w:pPr>
              <w:spacing w:line="276" w:lineRule="auto"/>
              <w:jc w:val="left"/>
              <w:rPr>
                <w:rFonts w:cs="Arial"/>
                <w:color w:val="000000"/>
                <w:sz w:val="20"/>
                <w:lang w:eastAsia="es-CR"/>
              </w:rPr>
            </w:pPr>
            <w:r w:rsidRPr="004E74A6">
              <w:rPr>
                <w:rFonts w:cs="Arial"/>
                <w:color w:val="000000"/>
                <w:sz w:val="20"/>
                <w:lang w:eastAsia="es-CR"/>
              </w:rPr>
              <w:t>Familia</w:t>
            </w:r>
          </w:p>
        </w:tc>
        <w:tc>
          <w:tcPr>
            <w:tcW w:w="2656" w:type="dxa"/>
            <w:tcBorders>
              <w:top w:val="nil"/>
              <w:left w:val="nil"/>
              <w:bottom w:val="nil"/>
              <w:right w:val="nil"/>
            </w:tcBorders>
            <w:shd w:val="clear" w:color="auto" w:fill="auto"/>
            <w:noWrap/>
            <w:vAlign w:val="center"/>
            <w:hideMark/>
          </w:tcPr>
          <w:p w14:paraId="218E5D72" w14:textId="0E1BBE46" w:rsidR="001529B7" w:rsidRPr="004E74A6" w:rsidRDefault="007749D4" w:rsidP="00832773">
            <w:pPr>
              <w:spacing w:line="276" w:lineRule="auto"/>
              <w:jc w:val="center"/>
              <w:rPr>
                <w:rFonts w:cs="Arial"/>
                <w:color w:val="000000"/>
                <w:sz w:val="20"/>
                <w:lang w:eastAsia="es-CR"/>
              </w:rPr>
            </w:pPr>
            <w:r w:rsidRPr="004E74A6">
              <w:rPr>
                <w:rFonts w:cs="Arial"/>
                <w:color w:val="000000"/>
                <w:sz w:val="20"/>
                <w:lang w:eastAsia="es-CR"/>
              </w:rPr>
              <w:t>0</w:t>
            </w:r>
          </w:p>
        </w:tc>
        <w:tc>
          <w:tcPr>
            <w:tcW w:w="2656" w:type="dxa"/>
            <w:tcBorders>
              <w:top w:val="nil"/>
              <w:left w:val="nil"/>
              <w:bottom w:val="nil"/>
              <w:right w:val="nil"/>
            </w:tcBorders>
          </w:tcPr>
          <w:p w14:paraId="3386DAD3" w14:textId="35D7EFED" w:rsidR="001529B7" w:rsidRPr="004E74A6" w:rsidRDefault="006F3BD0" w:rsidP="00832773">
            <w:pPr>
              <w:spacing w:line="276" w:lineRule="auto"/>
              <w:jc w:val="center"/>
              <w:rPr>
                <w:rFonts w:cs="Arial"/>
                <w:color w:val="000000"/>
                <w:sz w:val="20"/>
                <w:lang w:eastAsia="es-CR"/>
              </w:rPr>
            </w:pPr>
            <w:r w:rsidRPr="004E74A6">
              <w:rPr>
                <w:rFonts w:cs="Arial"/>
                <w:color w:val="000000"/>
                <w:sz w:val="20"/>
                <w:lang w:eastAsia="es-CR"/>
              </w:rPr>
              <w:t>1</w:t>
            </w:r>
          </w:p>
        </w:tc>
      </w:tr>
      <w:tr w:rsidR="001529B7" w:rsidRPr="004E74A6" w14:paraId="0BB7325D" w14:textId="57859CC7" w:rsidTr="00EB102E">
        <w:trPr>
          <w:trHeight w:val="255"/>
          <w:jc w:val="center"/>
        </w:trPr>
        <w:tc>
          <w:tcPr>
            <w:tcW w:w="2694" w:type="dxa"/>
            <w:tcBorders>
              <w:top w:val="nil"/>
              <w:left w:val="nil"/>
              <w:bottom w:val="nil"/>
              <w:right w:val="nil"/>
            </w:tcBorders>
            <w:shd w:val="clear" w:color="auto" w:fill="auto"/>
            <w:noWrap/>
            <w:vAlign w:val="center"/>
            <w:hideMark/>
          </w:tcPr>
          <w:p w14:paraId="36FE2B0E" w14:textId="1920207C" w:rsidR="001529B7" w:rsidRPr="004E74A6" w:rsidRDefault="001529B7" w:rsidP="00832773">
            <w:pPr>
              <w:spacing w:line="276" w:lineRule="auto"/>
              <w:jc w:val="left"/>
              <w:rPr>
                <w:rFonts w:cs="Arial"/>
                <w:color w:val="000000"/>
                <w:sz w:val="20"/>
                <w:lang w:eastAsia="es-CR"/>
              </w:rPr>
            </w:pPr>
            <w:r w:rsidRPr="004E74A6">
              <w:rPr>
                <w:rFonts w:cs="Arial"/>
                <w:color w:val="000000"/>
                <w:sz w:val="20"/>
                <w:lang w:eastAsia="es-CR"/>
              </w:rPr>
              <w:t>Laboral</w:t>
            </w:r>
          </w:p>
        </w:tc>
        <w:tc>
          <w:tcPr>
            <w:tcW w:w="2656" w:type="dxa"/>
            <w:tcBorders>
              <w:top w:val="nil"/>
              <w:left w:val="nil"/>
              <w:bottom w:val="nil"/>
              <w:right w:val="nil"/>
            </w:tcBorders>
            <w:shd w:val="clear" w:color="auto" w:fill="auto"/>
            <w:noWrap/>
            <w:vAlign w:val="center"/>
            <w:hideMark/>
          </w:tcPr>
          <w:p w14:paraId="4FC6765A" w14:textId="595F4A63" w:rsidR="001529B7" w:rsidRPr="004E74A6" w:rsidRDefault="007749D4" w:rsidP="00832773">
            <w:pPr>
              <w:spacing w:line="276" w:lineRule="auto"/>
              <w:jc w:val="center"/>
              <w:rPr>
                <w:rFonts w:cs="Arial"/>
                <w:color w:val="000000"/>
                <w:sz w:val="20"/>
                <w:lang w:eastAsia="es-CR"/>
              </w:rPr>
            </w:pPr>
            <w:r w:rsidRPr="004E74A6">
              <w:rPr>
                <w:rFonts w:cs="Arial"/>
                <w:color w:val="000000"/>
                <w:sz w:val="20"/>
                <w:lang w:eastAsia="es-CR"/>
              </w:rPr>
              <w:t>3</w:t>
            </w:r>
          </w:p>
        </w:tc>
        <w:tc>
          <w:tcPr>
            <w:tcW w:w="2656" w:type="dxa"/>
            <w:tcBorders>
              <w:top w:val="nil"/>
              <w:left w:val="nil"/>
              <w:bottom w:val="nil"/>
              <w:right w:val="nil"/>
            </w:tcBorders>
          </w:tcPr>
          <w:p w14:paraId="3BDC6D1D" w14:textId="381C31D6" w:rsidR="001529B7" w:rsidRPr="004E74A6" w:rsidRDefault="006F3BD0" w:rsidP="00832773">
            <w:pPr>
              <w:spacing w:line="276" w:lineRule="auto"/>
              <w:jc w:val="center"/>
              <w:rPr>
                <w:rFonts w:cs="Arial"/>
                <w:color w:val="000000"/>
                <w:sz w:val="20"/>
                <w:lang w:eastAsia="es-CR"/>
              </w:rPr>
            </w:pPr>
            <w:r w:rsidRPr="004E74A6">
              <w:rPr>
                <w:rFonts w:cs="Arial"/>
                <w:color w:val="000000"/>
                <w:sz w:val="20"/>
                <w:lang w:eastAsia="es-CR"/>
              </w:rPr>
              <w:t>2</w:t>
            </w:r>
          </w:p>
        </w:tc>
      </w:tr>
      <w:tr w:rsidR="001529B7" w:rsidRPr="004E74A6" w14:paraId="0B123466" w14:textId="1252BDD1" w:rsidTr="00EB102E">
        <w:trPr>
          <w:trHeight w:val="255"/>
          <w:jc w:val="center"/>
        </w:trPr>
        <w:tc>
          <w:tcPr>
            <w:tcW w:w="2694" w:type="dxa"/>
            <w:tcBorders>
              <w:top w:val="nil"/>
              <w:left w:val="nil"/>
              <w:bottom w:val="nil"/>
              <w:right w:val="nil"/>
            </w:tcBorders>
            <w:shd w:val="clear" w:color="auto" w:fill="auto"/>
            <w:noWrap/>
            <w:vAlign w:val="center"/>
            <w:hideMark/>
          </w:tcPr>
          <w:p w14:paraId="0E13E132" w14:textId="5423E2E3" w:rsidR="001529B7" w:rsidRPr="004E74A6" w:rsidRDefault="001529B7" w:rsidP="00832773">
            <w:pPr>
              <w:spacing w:line="276" w:lineRule="auto"/>
              <w:jc w:val="left"/>
              <w:rPr>
                <w:rFonts w:cs="Arial"/>
                <w:color w:val="000000"/>
                <w:sz w:val="20"/>
                <w:lang w:eastAsia="es-CR"/>
              </w:rPr>
            </w:pPr>
            <w:r w:rsidRPr="004E74A6">
              <w:rPr>
                <w:rFonts w:cs="Arial"/>
                <w:color w:val="000000"/>
                <w:sz w:val="20"/>
                <w:lang w:eastAsia="es-CR"/>
              </w:rPr>
              <w:t>Notarial</w:t>
            </w:r>
          </w:p>
        </w:tc>
        <w:tc>
          <w:tcPr>
            <w:tcW w:w="2656" w:type="dxa"/>
            <w:tcBorders>
              <w:top w:val="nil"/>
              <w:left w:val="nil"/>
              <w:bottom w:val="nil"/>
              <w:right w:val="nil"/>
            </w:tcBorders>
            <w:shd w:val="clear" w:color="auto" w:fill="auto"/>
            <w:noWrap/>
            <w:vAlign w:val="center"/>
            <w:hideMark/>
          </w:tcPr>
          <w:p w14:paraId="2BB2F29D" w14:textId="37B59254" w:rsidR="001529B7" w:rsidRPr="004E74A6" w:rsidRDefault="001529B7" w:rsidP="00832773">
            <w:pPr>
              <w:spacing w:line="276" w:lineRule="auto"/>
              <w:jc w:val="center"/>
              <w:rPr>
                <w:rFonts w:cs="Arial"/>
                <w:color w:val="000000"/>
                <w:sz w:val="20"/>
                <w:lang w:eastAsia="es-CR"/>
              </w:rPr>
            </w:pPr>
            <w:r w:rsidRPr="004E74A6">
              <w:rPr>
                <w:rFonts w:cs="Arial"/>
                <w:color w:val="000000"/>
                <w:sz w:val="20"/>
                <w:lang w:eastAsia="es-CR"/>
              </w:rPr>
              <w:t>1</w:t>
            </w:r>
            <w:r w:rsidR="007749D4" w:rsidRPr="004E74A6">
              <w:rPr>
                <w:rFonts w:cs="Arial"/>
                <w:color w:val="000000"/>
                <w:sz w:val="20"/>
                <w:lang w:eastAsia="es-CR"/>
              </w:rPr>
              <w:t>8</w:t>
            </w:r>
          </w:p>
        </w:tc>
        <w:tc>
          <w:tcPr>
            <w:tcW w:w="2656" w:type="dxa"/>
            <w:tcBorders>
              <w:top w:val="nil"/>
              <w:left w:val="nil"/>
              <w:bottom w:val="nil"/>
              <w:right w:val="nil"/>
            </w:tcBorders>
          </w:tcPr>
          <w:p w14:paraId="0B48AAF5" w14:textId="4F0BA606" w:rsidR="001529B7" w:rsidRPr="004E74A6" w:rsidRDefault="006F3BD0" w:rsidP="00832773">
            <w:pPr>
              <w:spacing w:line="276" w:lineRule="auto"/>
              <w:jc w:val="center"/>
              <w:rPr>
                <w:rFonts w:cs="Arial"/>
                <w:color w:val="000000"/>
                <w:sz w:val="20"/>
                <w:lang w:eastAsia="es-CR"/>
              </w:rPr>
            </w:pPr>
            <w:r w:rsidRPr="004E74A6">
              <w:rPr>
                <w:rFonts w:cs="Arial"/>
                <w:color w:val="000000"/>
                <w:sz w:val="20"/>
                <w:lang w:eastAsia="es-CR"/>
              </w:rPr>
              <w:t>2</w:t>
            </w:r>
            <w:r w:rsidR="007749D4" w:rsidRPr="004E74A6">
              <w:rPr>
                <w:rFonts w:cs="Arial"/>
                <w:color w:val="000000"/>
                <w:sz w:val="20"/>
                <w:lang w:eastAsia="es-CR"/>
              </w:rPr>
              <w:t>5</w:t>
            </w:r>
          </w:p>
        </w:tc>
      </w:tr>
      <w:tr w:rsidR="001529B7" w:rsidRPr="004E74A6" w14:paraId="3139B525" w14:textId="7DD33D09" w:rsidTr="00EB102E">
        <w:trPr>
          <w:trHeight w:val="255"/>
          <w:jc w:val="center"/>
        </w:trPr>
        <w:tc>
          <w:tcPr>
            <w:tcW w:w="2694" w:type="dxa"/>
            <w:tcBorders>
              <w:top w:val="single" w:sz="4" w:space="0" w:color="8EA9DB"/>
              <w:left w:val="nil"/>
              <w:bottom w:val="nil"/>
              <w:right w:val="nil"/>
            </w:tcBorders>
            <w:shd w:val="clear" w:color="D9E1F2" w:fill="D9E1F2"/>
            <w:noWrap/>
            <w:vAlign w:val="center"/>
            <w:hideMark/>
          </w:tcPr>
          <w:p w14:paraId="5470EBD8" w14:textId="418FE637" w:rsidR="001529B7" w:rsidRPr="004E74A6" w:rsidRDefault="001529B7" w:rsidP="00832773">
            <w:pPr>
              <w:spacing w:line="276" w:lineRule="auto"/>
              <w:jc w:val="left"/>
              <w:rPr>
                <w:rFonts w:cs="Arial"/>
                <w:b/>
                <w:bCs/>
                <w:color w:val="000000"/>
                <w:sz w:val="20"/>
                <w:lang w:eastAsia="es-CR"/>
              </w:rPr>
            </w:pPr>
            <w:r w:rsidRPr="004E74A6">
              <w:rPr>
                <w:rFonts w:cs="Arial"/>
                <w:b/>
                <w:bCs/>
                <w:color w:val="000000"/>
                <w:sz w:val="20"/>
                <w:lang w:eastAsia="es-CR"/>
              </w:rPr>
              <w:t>Total general</w:t>
            </w:r>
          </w:p>
        </w:tc>
        <w:tc>
          <w:tcPr>
            <w:tcW w:w="2656" w:type="dxa"/>
            <w:tcBorders>
              <w:top w:val="single" w:sz="4" w:space="0" w:color="8EA9DB"/>
              <w:left w:val="nil"/>
              <w:bottom w:val="nil"/>
              <w:right w:val="nil"/>
            </w:tcBorders>
            <w:shd w:val="clear" w:color="D9E1F2" w:fill="D9E1F2"/>
            <w:noWrap/>
            <w:vAlign w:val="center"/>
            <w:hideMark/>
          </w:tcPr>
          <w:p w14:paraId="0B149F8E" w14:textId="4BBB7C9A" w:rsidR="001529B7" w:rsidRPr="004E74A6" w:rsidRDefault="001529B7" w:rsidP="00832773">
            <w:pPr>
              <w:spacing w:line="276" w:lineRule="auto"/>
              <w:jc w:val="center"/>
              <w:rPr>
                <w:rFonts w:cs="Arial"/>
                <w:b/>
                <w:bCs/>
                <w:color w:val="000000"/>
                <w:sz w:val="20"/>
                <w:lang w:eastAsia="es-CR"/>
              </w:rPr>
            </w:pPr>
            <w:r w:rsidRPr="004E74A6">
              <w:rPr>
                <w:rFonts w:cs="Arial"/>
                <w:b/>
                <w:bCs/>
                <w:color w:val="000000"/>
                <w:sz w:val="20"/>
                <w:lang w:eastAsia="es-CR"/>
              </w:rPr>
              <w:t>9</w:t>
            </w:r>
            <w:r w:rsidR="007749D4" w:rsidRPr="004E74A6">
              <w:rPr>
                <w:rFonts w:cs="Arial"/>
                <w:b/>
                <w:bCs/>
                <w:color w:val="000000"/>
                <w:sz w:val="20"/>
                <w:lang w:eastAsia="es-CR"/>
              </w:rPr>
              <w:t>22</w:t>
            </w:r>
          </w:p>
        </w:tc>
        <w:tc>
          <w:tcPr>
            <w:tcW w:w="2656" w:type="dxa"/>
            <w:tcBorders>
              <w:top w:val="single" w:sz="4" w:space="0" w:color="8EA9DB"/>
              <w:left w:val="nil"/>
              <w:bottom w:val="nil"/>
              <w:right w:val="nil"/>
            </w:tcBorders>
            <w:shd w:val="clear" w:color="D9E1F2" w:fill="D9E1F2"/>
          </w:tcPr>
          <w:p w14:paraId="2BD97FC7" w14:textId="3CFAB9D7" w:rsidR="001529B7" w:rsidRPr="004E74A6" w:rsidRDefault="006F3BD0" w:rsidP="00832773">
            <w:pPr>
              <w:spacing w:line="276" w:lineRule="auto"/>
              <w:jc w:val="center"/>
              <w:rPr>
                <w:rFonts w:cs="Arial"/>
                <w:b/>
                <w:bCs/>
                <w:color w:val="000000"/>
                <w:sz w:val="20"/>
                <w:lang w:eastAsia="es-CR"/>
              </w:rPr>
            </w:pPr>
            <w:r w:rsidRPr="004E74A6">
              <w:rPr>
                <w:rFonts w:cs="Arial"/>
                <w:b/>
                <w:bCs/>
                <w:color w:val="000000"/>
                <w:sz w:val="20"/>
                <w:lang w:eastAsia="es-CR"/>
              </w:rPr>
              <w:t>1</w:t>
            </w:r>
            <w:r w:rsidR="007749D4" w:rsidRPr="004E74A6">
              <w:rPr>
                <w:rFonts w:cs="Arial"/>
                <w:b/>
                <w:bCs/>
                <w:color w:val="000000"/>
                <w:sz w:val="20"/>
                <w:lang w:eastAsia="es-CR"/>
              </w:rPr>
              <w:t>116</w:t>
            </w:r>
          </w:p>
        </w:tc>
      </w:tr>
    </w:tbl>
    <w:p w14:paraId="6EC9B492" w14:textId="05550B0C" w:rsidR="00E76BFA" w:rsidRPr="00832773" w:rsidRDefault="00E76BFA" w:rsidP="00CE62C1">
      <w:pPr>
        <w:spacing w:line="276" w:lineRule="auto"/>
        <w:ind w:left="1361" w:right="1361" w:hanging="794"/>
        <w:rPr>
          <w:rFonts w:eastAsia="Calibri"/>
          <w:i/>
          <w:iCs/>
          <w:sz w:val="20"/>
          <w:szCs w:val="16"/>
          <w:lang w:eastAsia="en-US"/>
        </w:rPr>
      </w:pPr>
      <w:r w:rsidRPr="00832773">
        <w:rPr>
          <w:rFonts w:eastAsia="Calibri"/>
          <w:b/>
          <w:bCs/>
          <w:i/>
          <w:iCs/>
          <w:sz w:val="20"/>
          <w:szCs w:val="16"/>
          <w:lang w:eastAsia="en-US"/>
        </w:rPr>
        <w:t>Fuente</w:t>
      </w:r>
      <w:r w:rsidRPr="00832773">
        <w:rPr>
          <w:rFonts w:eastAsia="Calibri"/>
          <w:i/>
          <w:iCs/>
          <w:sz w:val="20"/>
          <w:szCs w:val="16"/>
          <w:lang w:eastAsia="en-US"/>
        </w:rPr>
        <w:t>: Subproceso de Modernización Institucional con datos del sistema SIGMA</w:t>
      </w:r>
    </w:p>
    <w:p w14:paraId="42D3AAE4" w14:textId="2A957FF6" w:rsidR="00E76BFA" w:rsidRPr="00832773" w:rsidRDefault="00E76BFA" w:rsidP="00CE62C1">
      <w:pPr>
        <w:spacing w:line="276" w:lineRule="auto"/>
        <w:rPr>
          <w:rFonts w:eastAsia="Calibri"/>
          <w:lang w:eastAsia="en-US"/>
        </w:rPr>
      </w:pPr>
    </w:p>
    <w:p w14:paraId="7B7F63E0" w14:textId="612780DC" w:rsidR="00717F47" w:rsidRPr="00832773" w:rsidRDefault="00717F47" w:rsidP="00CE62C1">
      <w:pPr>
        <w:spacing w:line="276" w:lineRule="auto"/>
        <w:rPr>
          <w:rFonts w:eastAsia="Calibri"/>
          <w:lang w:eastAsia="en-US"/>
        </w:rPr>
      </w:pPr>
    </w:p>
    <w:p w14:paraId="6EBCF02D" w14:textId="2349B1BE" w:rsidR="00717F47" w:rsidRPr="00832773" w:rsidRDefault="00887341" w:rsidP="00CE62C1">
      <w:pPr>
        <w:spacing w:line="276" w:lineRule="auto"/>
        <w:rPr>
          <w:rFonts w:eastAsia="Calibri"/>
          <w:lang w:eastAsia="en-US"/>
        </w:rPr>
      </w:pPr>
      <w:r w:rsidRPr="00832773">
        <w:rPr>
          <w:rFonts w:eastAsia="Calibri"/>
          <w:lang w:eastAsia="en-US"/>
        </w:rPr>
        <w:t xml:space="preserve">En virtud de lo anterior, con el escenario C, en cualquiera de las 2 versiones, se recomendaría mantener el monto actual de cuantía de </w:t>
      </w:r>
      <w:r w:rsidRPr="00832773">
        <w:rPr>
          <w:rFonts w:ascii="Times New Roman" w:eastAsia="Calibri" w:hAnsi="Times New Roman"/>
          <w:b/>
          <w:bCs/>
          <w:szCs w:val="24"/>
          <w:u w:val="single"/>
          <w:lang w:eastAsia="en-US"/>
        </w:rPr>
        <w:t>₡3</w:t>
      </w:r>
      <w:r w:rsidRPr="00832773">
        <w:rPr>
          <w:rFonts w:eastAsia="Calibri"/>
          <w:b/>
          <w:bCs/>
          <w:szCs w:val="24"/>
          <w:u w:val="single"/>
          <w:lang w:eastAsia="en-US"/>
        </w:rPr>
        <w:t xml:space="preserve"> 000 000.</w:t>
      </w:r>
    </w:p>
    <w:p w14:paraId="29A59820" w14:textId="50C9C02B" w:rsidR="00887341" w:rsidRPr="00832773" w:rsidRDefault="00887341" w:rsidP="00CE62C1">
      <w:pPr>
        <w:spacing w:line="276" w:lineRule="auto"/>
        <w:rPr>
          <w:rFonts w:eastAsia="Calibri"/>
          <w:lang w:eastAsia="en-US"/>
        </w:rPr>
      </w:pPr>
    </w:p>
    <w:p w14:paraId="66DE0DF8" w14:textId="6F3D2D39" w:rsidR="00887341" w:rsidRPr="00832773" w:rsidRDefault="00887341" w:rsidP="00CE62C1">
      <w:pPr>
        <w:spacing w:line="276" w:lineRule="auto"/>
        <w:rPr>
          <w:rFonts w:eastAsia="Calibri"/>
          <w:lang w:eastAsia="en-US"/>
        </w:rPr>
      </w:pPr>
    </w:p>
    <w:p w14:paraId="18FCCC03" w14:textId="59DC1902" w:rsidR="00E3109A" w:rsidRPr="00832773" w:rsidRDefault="00E3109A" w:rsidP="00CE62C1">
      <w:pPr>
        <w:spacing w:line="276" w:lineRule="auto"/>
        <w:rPr>
          <w:rFonts w:eastAsia="Calibri"/>
          <w:lang w:eastAsia="en-US"/>
        </w:rPr>
      </w:pPr>
    </w:p>
    <w:p w14:paraId="6BB84EE5" w14:textId="6859174A" w:rsidR="00E3109A" w:rsidRPr="00832773" w:rsidRDefault="00E3109A" w:rsidP="00CE62C1">
      <w:pPr>
        <w:spacing w:line="276" w:lineRule="auto"/>
        <w:rPr>
          <w:rFonts w:eastAsia="Calibri"/>
          <w:lang w:eastAsia="en-US"/>
        </w:rPr>
      </w:pPr>
    </w:p>
    <w:p w14:paraId="3CDF6A11" w14:textId="48631089" w:rsidR="00E3109A" w:rsidRPr="00832773" w:rsidRDefault="00E3109A" w:rsidP="00CE62C1">
      <w:pPr>
        <w:spacing w:line="276" w:lineRule="auto"/>
        <w:rPr>
          <w:rFonts w:eastAsia="Calibri"/>
          <w:lang w:eastAsia="en-US"/>
        </w:rPr>
      </w:pPr>
    </w:p>
    <w:p w14:paraId="1B7E44CB" w14:textId="22B8B37F" w:rsidR="00E3109A" w:rsidRPr="00832773" w:rsidRDefault="00E3109A" w:rsidP="00CE62C1">
      <w:pPr>
        <w:spacing w:line="276" w:lineRule="auto"/>
        <w:rPr>
          <w:rFonts w:eastAsia="Calibri"/>
          <w:lang w:eastAsia="en-US"/>
        </w:rPr>
      </w:pPr>
    </w:p>
    <w:p w14:paraId="22CAD0DA" w14:textId="6813C621" w:rsidR="00E3109A" w:rsidRPr="00832773" w:rsidRDefault="00E3109A" w:rsidP="00CE62C1">
      <w:pPr>
        <w:spacing w:line="276" w:lineRule="auto"/>
        <w:rPr>
          <w:rFonts w:eastAsia="Calibri"/>
          <w:lang w:eastAsia="en-US"/>
        </w:rPr>
      </w:pPr>
    </w:p>
    <w:p w14:paraId="59A4BC60" w14:textId="72EDBDED" w:rsidR="00E3109A" w:rsidRPr="00832773" w:rsidRDefault="00E3109A" w:rsidP="00CE62C1">
      <w:pPr>
        <w:spacing w:line="276" w:lineRule="auto"/>
        <w:rPr>
          <w:rFonts w:eastAsia="Calibri"/>
          <w:lang w:eastAsia="en-US"/>
        </w:rPr>
      </w:pPr>
    </w:p>
    <w:p w14:paraId="259C2D01" w14:textId="6A5C1738" w:rsidR="00E3109A" w:rsidRPr="00832773" w:rsidRDefault="00E3109A" w:rsidP="00CE62C1">
      <w:pPr>
        <w:spacing w:line="276" w:lineRule="auto"/>
        <w:rPr>
          <w:rFonts w:eastAsia="Calibri"/>
          <w:lang w:eastAsia="en-US"/>
        </w:rPr>
      </w:pPr>
    </w:p>
    <w:p w14:paraId="69F3BC2C" w14:textId="7F802E11" w:rsidR="00E3109A" w:rsidRPr="00832773" w:rsidRDefault="00E3109A" w:rsidP="00CE62C1">
      <w:pPr>
        <w:spacing w:line="276" w:lineRule="auto"/>
        <w:rPr>
          <w:rFonts w:eastAsia="Calibri"/>
          <w:lang w:eastAsia="en-US"/>
        </w:rPr>
      </w:pPr>
    </w:p>
    <w:p w14:paraId="737438C9" w14:textId="61F173E8" w:rsidR="00E3109A" w:rsidRPr="00832773" w:rsidRDefault="00E3109A" w:rsidP="00CE62C1">
      <w:pPr>
        <w:spacing w:line="276" w:lineRule="auto"/>
        <w:rPr>
          <w:rFonts w:eastAsia="Calibri"/>
          <w:lang w:eastAsia="en-US"/>
        </w:rPr>
      </w:pPr>
    </w:p>
    <w:p w14:paraId="06F8686C" w14:textId="77777777" w:rsidR="00E3109A" w:rsidRPr="00832773" w:rsidRDefault="00E3109A" w:rsidP="00CE62C1">
      <w:pPr>
        <w:spacing w:line="276" w:lineRule="auto"/>
        <w:rPr>
          <w:rFonts w:eastAsia="Calibri"/>
          <w:lang w:eastAsia="en-US"/>
        </w:rPr>
      </w:pPr>
    </w:p>
    <w:p w14:paraId="357C4580" w14:textId="5FB32516" w:rsidR="009474EA" w:rsidRPr="00832773" w:rsidRDefault="00640788" w:rsidP="00CE62C1">
      <w:pPr>
        <w:spacing w:line="276" w:lineRule="auto"/>
        <w:outlineLvl w:val="2"/>
        <w:rPr>
          <w:rFonts w:eastAsia="Calibri"/>
          <w:lang w:eastAsia="en-US"/>
        </w:rPr>
      </w:pPr>
      <w:r w:rsidRPr="004E74A6">
        <w:rPr>
          <w:rFonts w:eastAsia="Calibri"/>
          <w:b/>
          <w:bCs/>
          <w:color w:val="2F5496"/>
          <w:lang w:eastAsia="en-US"/>
        </w:rPr>
        <w:lastRenderedPageBreak/>
        <w:t xml:space="preserve">Escenario D. </w:t>
      </w:r>
      <w:r w:rsidRPr="00832773">
        <w:rPr>
          <w:rFonts w:eastAsia="Calibri"/>
          <w:b/>
          <w:bCs/>
          <w:i/>
          <w:iCs/>
          <w:color w:val="2F5496"/>
          <w:lang w:eastAsia="en-US"/>
        </w:rPr>
        <w:t>Según impacto del incremento en Sala Primera, considerando rango cuantía de la entrada actual</w:t>
      </w:r>
      <w:r w:rsidR="00F95F04" w:rsidRPr="00832773">
        <w:rPr>
          <w:rStyle w:val="Refdenotaalpie"/>
          <w:rFonts w:eastAsia="Calibri"/>
          <w:b/>
          <w:bCs/>
          <w:i/>
          <w:iCs/>
          <w:color w:val="2F5496"/>
          <w:lang w:eastAsia="en-US"/>
        </w:rPr>
        <w:footnoteReference w:id="28"/>
      </w:r>
    </w:p>
    <w:p w14:paraId="7D005257" w14:textId="104A7AE0" w:rsidR="008647ED" w:rsidRPr="00832773" w:rsidRDefault="00640788" w:rsidP="00CE62C1">
      <w:pPr>
        <w:spacing w:line="276" w:lineRule="auto"/>
        <w:rPr>
          <w:rFonts w:eastAsia="Calibri"/>
          <w:lang w:eastAsia="en-US"/>
        </w:rPr>
      </w:pPr>
      <w:r w:rsidRPr="00832773">
        <w:rPr>
          <w:rFonts w:eastAsia="Calibri"/>
          <w:lang w:eastAsia="en-US"/>
        </w:rPr>
        <w:t xml:space="preserve">  </w:t>
      </w:r>
    </w:p>
    <w:p w14:paraId="1063D9CE" w14:textId="7D9381B3" w:rsidR="008647ED" w:rsidRPr="00832773" w:rsidRDefault="00A77EAB" w:rsidP="00CE62C1">
      <w:pPr>
        <w:spacing w:line="276" w:lineRule="auto"/>
        <w:rPr>
          <w:rFonts w:eastAsia="Calibri"/>
          <w:lang w:eastAsia="en-US"/>
        </w:rPr>
      </w:pPr>
      <w:r w:rsidRPr="00832773">
        <w:rPr>
          <w:rFonts w:eastAsia="Calibri"/>
          <w:lang w:eastAsia="en-US"/>
        </w:rPr>
        <w:t xml:space="preserve">Se </w:t>
      </w:r>
      <w:r w:rsidR="00DD2BDF" w:rsidRPr="00832773">
        <w:rPr>
          <w:rFonts w:eastAsia="Calibri"/>
          <w:lang w:eastAsia="en-US"/>
        </w:rPr>
        <w:t>mostrarán los datos correspondientes a la Sala Primera y posteriormente se analizarán los mismos junto con la información recopilada de la primera y segunda instancia.</w:t>
      </w:r>
    </w:p>
    <w:p w14:paraId="541D1FFF" w14:textId="5A9BE492" w:rsidR="00DD2BDF" w:rsidRPr="004E74A6" w:rsidRDefault="00DD2BDF" w:rsidP="00CE62C1">
      <w:pPr>
        <w:spacing w:line="276" w:lineRule="auto"/>
        <w:rPr>
          <w:rFonts w:cs="Calibri"/>
          <w:color w:val="000000"/>
          <w:szCs w:val="24"/>
          <w:lang w:eastAsia="es-CR"/>
        </w:rPr>
      </w:pPr>
    </w:p>
    <w:p w14:paraId="2A493748" w14:textId="77777777" w:rsidR="00662185" w:rsidRPr="004E74A6" w:rsidRDefault="00662185" w:rsidP="00CE62C1">
      <w:pPr>
        <w:spacing w:line="276" w:lineRule="auto"/>
        <w:rPr>
          <w:rFonts w:cs="Calibri"/>
          <w:color w:val="000000"/>
          <w:szCs w:val="24"/>
          <w:lang w:eastAsia="es-CR"/>
        </w:rPr>
      </w:pPr>
    </w:p>
    <w:p w14:paraId="61A77399" w14:textId="77777777" w:rsidR="008647ED" w:rsidRPr="004E74A6" w:rsidRDefault="008647ED" w:rsidP="00CE62C1">
      <w:pPr>
        <w:spacing w:after="160" w:line="276" w:lineRule="auto"/>
        <w:outlineLvl w:val="3"/>
        <w:rPr>
          <w:rFonts w:cs="Calibri"/>
          <w:b/>
          <w:bCs/>
          <w:color w:val="000000"/>
          <w:szCs w:val="24"/>
          <w:lang w:eastAsia="es-CR"/>
        </w:rPr>
      </w:pPr>
      <w:r w:rsidRPr="004E74A6">
        <w:rPr>
          <w:rFonts w:cs="Calibri"/>
          <w:b/>
          <w:bCs/>
          <w:color w:val="000000"/>
          <w:szCs w:val="24"/>
          <w:lang w:eastAsia="es-CR"/>
        </w:rPr>
        <w:t>Sala Primera</w:t>
      </w:r>
    </w:p>
    <w:p w14:paraId="635690C1" w14:textId="263F8F1D" w:rsidR="008647ED" w:rsidRPr="004E74A6" w:rsidRDefault="008647ED" w:rsidP="00CE62C1">
      <w:pPr>
        <w:spacing w:after="160" w:line="276" w:lineRule="auto"/>
        <w:rPr>
          <w:rFonts w:cs="Calibri"/>
          <w:color w:val="000000"/>
          <w:szCs w:val="24"/>
          <w:lang w:eastAsia="es-CR"/>
        </w:rPr>
      </w:pPr>
      <w:r w:rsidRPr="004E74A6">
        <w:rPr>
          <w:rFonts w:cs="Calibri"/>
          <w:color w:val="000000"/>
          <w:szCs w:val="24"/>
          <w:lang w:eastAsia="es-CR"/>
        </w:rPr>
        <w:t>Para la Sala Primera el 65% está constituido por asuntos principales y el 34% por recursos, y en cantidad muy baja una serie de legajos que no llegan a tener mayor representatividad.</w:t>
      </w:r>
    </w:p>
    <w:p w14:paraId="0AFC217F" w14:textId="77777777" w:rsidR="008647ED" w:rsidRPr="004E74A6" w:rsidRDefault="008647ED" w:rsidP="00CE62C1">
      <w:pPr>
        <w:spacing w:after="160" w:line="276" w:lineRule="auto"/>
        <w:rPr>
          <w:rFonts w:cs="Calibri"/>
          <w:color w:val="000000"/>
          <w:szCs w:val="24"/>
          <w:lang w:eastAsia="es-CR"/>
        </w:rPr>
      </w:pPr>
    </w:p>
    <w:p w14:paraId="72F9D2BA" w14:textId="488585D0" w:rsidR="00947CB3" w:rsidRPr="00832773" w:rsidRDefault="00947CB3" w:rsidP="00832773">
      <w:pPr>
        <w:pStyle w:val="Descripcin"/>
        <w:keepNext/>
        <w:spacing w:line="276" w:lineRule="auto"/>
        <w:jc w:val="center"/>
        <w:rPr>
          <w:rFonts w:ascii="Book Antiqua" w:hAnsi="Book Antiqua"/>
          <w:i/>
          <w:iCs/>
          <w:sz w:val="20"/>
          <w:szCs w:val="16"/>
          <w:lang w:val="es-CR"/>
        </w:rPr>
      </w:pPr>
      <w:r w:rsidRPr="00832773">
        <w:rPr>
          <w:rFonts w:ascii="Book Antiqua" w:hAnsi="Book Antiqua"/>
          <w:i/>
          <w:iCs/>
          <w:sz w:val="20"/>
          <w:szCs w:val="16"/>
          <w:lang w:val="es-CR"/>
        </w:rPr>
        <w:t xml:space="preserve">Tabla </w:t>
      </w:r>
      <w:r w:rsidRPr="00832773">
        <w:rPr>
          <w:rFonts w:ascii="Book Antiqua" w:hAnsi="Book Antiqua"/>
          <w:i/>
          <w:iCs/>
          <w:sz w:val="20"/>
          <w:szCs w:val="16"/>
          <w:lang w:val="es-CR"/>
        </w:rPr>
        <w:fldChar w:fldCharType="begin"/>
      </w:r>
      <w:r w:rsidRPr="00832773">
        <w:rPr>
          <w:rFonts w:ascii="Book Antiqua" w:hAnsi="Book Antiqua"/>
          <w:i/>
          <w:iCs/>
          <w:sz w:val="20"/>
          <w:szCs w:val="16"/>
          <w:lang w:val="es-CR"/>
        </w:rPr>
        <w:instrText xml:space="preserve"> SEQ Tabla \* ARABIC </w:instrText>
      </w:r>
      <w:r w:rsidRPr="00832773">
        <w:rPr>
          <w:rFonts w:ascii="Book Antiqua" w:hAnsi="Book Antiqua"/>
          <w:i/>
          <w:iCs/>
          <w:sz w:val="20"/>
          <w:szCs w:val="16"/>
          <w:lang w:val="es-CR"/>
        </w:rPr>
        <w:fldChar w:fldCharType="separate"/>
      </w:r>
      <w:r w:rsidR="00374B51">
        <w:rPr>
          <w:rFonts w:ascii="Book Antiqua" w:hAnsi="Book Antiqua"/>
          <w:i/>
          <w:iCs/>
          <w:noProof/>
          <w:sz w:val="20"/>
          <w:szCs w:val="16"/>
          <w:lang w:val="es-CR"/>
        </w:rPr>
        <w:t>61</w:t>
      </w:r>
      <w:r w:rsidRPr="00832773">
        <w:rPr>
          <w:rFonts w:ascii="Book Antiqua" w:hAnsi="Book Antiqua"/>
          <w:i/>
          <w:iCs/>
          <w:sz w:val="20"/>
          <w:szCs w:val="16"/>
          <w:lang w:val="es-CR"/>
        </w:rPr>
        <w:fldChar w:fldCharType="end"/>
      </w:r>
      <w:r w:rsidRPr="00832773">
        <w:rPr>
          <w:rFonts w:ascii="Book Antiqua" w:hAnsi="Book Antiqua"/>
          <w:i/>
          <w:iCs/>
          <w:sz w:val="20"/>
          <w:szCs w:val="16"/>
          <w:lang w:val="es-CR"/>
        </w:rPr>
        <w:t xml:space="preserve"> Cantidad de entrados por tipo de </w:t>
      </w:r>
      <w:r w:rsidR="005E77D0" w:rsidRPr="00832773">
        <w:rPr>
          <w:rFonts w:ascii="Book Antiqua" w:hAnsi="Book Antiqua"/>
          <w:i/>
          <w:iCs/>
          <w:sz w:val="20"/>
          <w:szCs w:val="16"/>
          <w:lang w:val="es-CR"/>
        </w:rPr>
        <w:t>carpeta</w:t>
      </w:r>
      <w:r w:rsidRPr="00832773">
        <w:rPr>
          <w:rFonts w:ascii="Book Antiqua" w:hAnsi="Book Antiqua"/>
          <w:i/>
          <w:iCs/>
          <w:sz w:val="20"/>
          <w:szCs w:val="16"/>
          <w:lang w:val="es-CR"/>
        </w:rPr>
        <w:t xml:space="preserve"> del 2019 al 2021 para la Sala Primera</w:t>
      </w:r>
    </w:p>
    <w:tbl>
      <w:tblPr>
        <w:tblW w:w="4551" w:type="pct"/>
        <w:jc w:val="center"/>
        <w:tblCellMar>
          <w:left w:w="70" w:type="dxa"/>
          <w:right w:w="70" w:type="dxa"/>
        </w:tblCellMar>
        <w:tblLook w:val="04A0" w:firstRow="1" w:lastRow="0" w:firstColumn="1" w:lastColumn="0" w:noHBand="0" w:noVBand="1"/>
      </w:tblPr>
      <w:tblGrid>
        <w:gridCol w:w="4425"/>
        <w:gridCol w:w="835"/>
        <w:gridCol w:w="835"/>
        <w:gridCol w:w="837"/>
        <w:gridCol w:w="1114"/>
      </w:tblGrid>
      <w:tr w:rsidR="00CE6906" w:rsidRPr="004E74A6" w14:paraId="72871BDC" w14:textId="77777777" w:rsidTr="00D83AB3">
        <w:trPr>
          <w:trHeight w:val="454"/>
          <w:tblHeader/>
          <w:jc w:val="center"/>
        </w:trPr>
        <w:tc>
          <w:tcPr>
            <w:tcW w:w="2750" w:type="pct"/>
            <w:tcBorders>
              <w:top w:val="single" w:sz="4" w:space="0" w:color="auto"/>
              <w:bottom w:val="single" w:sz="4" w:space="0" w:color="auto"/>
              <w:right w:val="single" w:sz="4" w:space="0" w:color="auto"/>
            </w:tcBorders>
            <w:shd w:val="clear" w:color="auto" w:fill="auto"/>
            <w:noWrap/>
            <w:vAlign w:val="center"/>
            <w:hideMark/>
          </w:tcPr>
          <w:p w14:paraId="059DAF66" w14:textId="0F6F2F17" w:rsidR="008647ED" w:rsidRPr="004E74A6" w:rsidRDefault="00947CB3" w:rsidP="00CE62C1">
            <w:pPr>
              <w:spacing w:line="276" w:lineRule="auto"/>
              <w:jc w:val="center"/>
              <w:rPr>
                <w:rFonts w:cs="Calibri"/>
                <w:color w:val="000000"/>
                <w:sz w:val="20"/>
                <w:lang w:eastAsia="es-CR"/>
              </w:rPr>
            </w:pPr>
            <w:r w:rsidRPr="004E74A6">
              <w:rPr>
                <w:rFonts w:cs="Calibri"/>
                <w:color w:val="000000"/>
                <w:sz w:val="20"/>
                <w:lang w:eastAsia="es-CR"/>
              </w:rPr>
              <w:t>Tipo</w:t>
            </w:r>
            <w:r w:rsidR="008647ED" w:rsidRPr="004E74A6">
              <w:rPr>
                <w:rFonts w:cs="Calibri"/>
                <w:color w:val="000000"/>
                <w:sz w:val="20"/>
                <w:lang w:eastAsia="es-CR"/>
              </w:rPr>
              <w:t xml:space="preserve"> De </w:t>
            </w:r>
            <w:r w:rsidR="005E77D0" w:rsidRPr="004E74A6">
              <w:rPr>
                <w:rFonts w:cs="Calibri"/>
                <w:color w:val="000000"/>
                <w:sz w:val="20"/>
                <w:lang w:eastAsia="es-CR"/>
              </w:rPr>
              <w:t>Carpeta</w:t>
            </w:r>
          </w:p>
        </w:tc>
        <w:tc>
          <w:tcPr>
            <w:tcW w:w="51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5EA09E" w14:textId="77777777" w:rsidR="008647ED" w:rsidRPr="004E74A6" w:rsidRDefault="008647ED" w:rsidP="00CE62C1">
            <w:pPr>
              <w:spacing w:line="276" w:lineRule="auto"/>
              <w:jc w:val="center"/>
              <w:rPr>
                <w:sz w:val="20"/>
                <w:lang w:eastAsia="es-CR"/>
              </w:rPr>
            </w:pPr>
            <w:r w:rsidRPr="004E74A6">
              <w:rPr>
                <w:sz w:val="20"/>
                <w:lang w:eastAsia="es-CR"/>
              </w:rPr>
              <w:t>2019</w:t>
            </w:r>
          </w:p>
        </w:tc>
        <w:tc>
          <w:tcPr>
            <w:tcW w:w="51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448899" w14:textId="77777777" w:rsidR="008647ED" w:rsidRPr="004E74A6" w:rsidRDefault="008647ED" w:rsidP="00CE62C1">
            <w:pPr>
              <w:spacing w:line="276" w:lineRule="auto"/>
              <w:jc w:val="center"/>
              <w:rPr>
                <w:sz w:val="20"/>
                <w:lang w:eastAsia="es-CR"/>
              </w:rPr>
            </w:pPr>
            <w:r w:rsidRPr="004E74A6">
              <w:rPr>
                <w:sz w:val="20"/>
                <w:lang w:eastAsia="es-CR"/>
              </w:rPr>
              <w:t>2020</w:t>
            </w:r>
          </w:p>
        </w:tc>
        <w:tc>
          <w:tcPr>
            <w:tcW w:w="5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38F5BB" w14:textId="77777777" w:rsidR="008647ED" w:rsidRPr="004E74A6" w:rsidRDefault="008647ED" w:rsidP="00CE62C1">
            <w:pPr>
              <w:spacing w:line="276" w:lineRule="auto"/>
              <w:jc w:val="center"/>
              <w:rPr>
                <w:sz w:val="20"/>
                <w:lang w:eastAsia="es-CR"/>
              </w:rPr>
            </w:pPr>
            <w:r w:rsidRPr="004E74A6">
              <w:rPr>
                <w:sz w:val="20"/>
                <w:lang w:eastAsia="es-CR"/>
              </w:rPr>
              <w:t>2021</w:t>
            </w:r>
          </w:p>
        </w:tc>
        <w:tc>
          <w:tcPr>
            <w:tcW w:w="692" w:type="pct"/>
            <w:tcBorders>
              <w:top w:val="single" w:sz="4" w:space="0" w:color="auto"/>
              <w:left w:val="single" w:sz="4" w:space="0" w:color="auto"/>
              <w:bottom w:val="single" w:sz="4" w:space="0" w:color="auto"/>
            </w:tcBorders>
            <w:shd w:val="clear" w:color="auto" w:fill="auto"/>
            <w:noWrap/>
            <w:vAlign w:val="center"/>
            <w:hideMark/>
          </w:tcPr>
          <w:p w14:paraId="1637B77E" w14:textId="1472482E" w:rsidR="008647ED" w:rsidRPr="004E74A6" w:rsidRDefault="00CE6906" w:rsidP="00CE62C1">
            <w:pPr>
              <w:spacing w:line="276" w:lineRule="auto"/>
              <w:jc w:val="center"/>
              <w:rPr>
                <w:sz w:val="20"/>
                <w:lang w:eastAsia="es-CR"/>
              </w:rPr>
            </w:pPr>
            <w:r w:rsidRPr="004E74A6">
              <w:rPr>
                <w:sz w:val="20"/>
                <w:lang w:eastAsia="es-CR"/>
              </w:rPr>
              <w:t>Promedio</w:t>
            </w:r>
          </w:p>
        </w:tc>
      </w:tr>
      <w:tr w:rsidR="00DD2BDF" w:rsidRPr="004E74A6" w14:paraId="3A5CB8F4" w14:textId="77777777" w:rsidTr="00D83AB3">
        <w:trPr>
          <w:trHeight w:val="288"/>
          <w:jc w:val="center"/>
        </w:trPr>
        <w:tc>
          <w:tcPr>
            <w:tcW w:w="2750" w:type="pct"/>
            <w:tcBorders>
              <w:top w:val="single" w:sz="4" w:space="0" w:color="auto"/>
              <w:right w:val="single" w:sz="4" w:space="0" w:color="auto"/>
            </w:tcBorders>
            <w:shd w:val="clear" w:color="auto" w:fill="auto"/>
            <w:noWrap/>
            <w:vAlign w:val="bottom"/>
          </w:tcPr>
          <w:p w14:paraId="44643545" w14:textId="77777777" w:rsidR="00DD2BDF" w:rsidRPr="004E74A6" w:rsidRDefault="00DD2BDF" w:rsidP="00CE62C1">
            <w:pPr>
              <w:spacing w:line="276" w:lineRule="auto"/>
              <w:jc w:val="left"/>
              <w:rPr>
                <w:rFonts w:cs="Calibri"/>
                <w:color w:val="000000"/>
                <w:sz w:val="20"/>
                <w:lang w:eastAsia="es-CR"/>
              </w:rPr>
            </w:pPr>
          </w:p>
        </w:tc>
        <w:tc>
          <w:tcPr>
            <w:tcW w:w="519" w:type="pct"/>
            <w:tcBorders>
              <w:top w:val="single" w:sz="4" w:space="0" w:color="auto"/>
              <w:left w:val="single" w:sz="4" w:space="0" w:color="auto"/>
              <w:right w:val="single" w:sz="4" w:space="0" w:color="auto"/>
            </w:tcBorders>
            <w:shd w:val="clear" w:color="auto" w:fill="auto"/>
            <w:noWrap/>
            <w:vAlign w:val="center"/>
          </w:tcPr>
          <w:p w14:paraId="535C6611" w14:textId="77777777" w:rsidR="00DD2BDF" w:rsidRPr="004E74A6" w:rsidRDefault="00DD2BDF" w:rsidP="00CE62C1">
            <w:pPr>
              <w:spacing w:line="276" w:lineRule="auto"/>
              <w:jc w:val="center"/>
              <w:rPr>
                <w:rFonts w:cs="Calibri"/>
                <w:color w:val="000000"/>
                <w:sz w:val="20"/>
                <w:lang w:eastAsia="es-CR"/>
              </w:rPr>
            </w:pPr>
          </w:p>
        </w:tc>
        <w:tc>
          <w:tcPr>
            <w:tcW w:w="519" w:type="pct"/>
            <w:tcBorders>
              <w:top w:val="single" w:sz="4" w:space="0" w:color="auto"/>
              <w:left w:val="single" w:sz="4" w:space="0" w:color="auto"/>
              <w:right w:val="single" w:sz="4" w:space="0" w:color="auto"/>
            </w:tcBorders>
            <w:shd w:val="clear" w:color="auto" w:fill="auto"/>
            <w:noWrap/>
            <w:vAlign w:val="center"/>
          </w:tcPr>
          <w:p w14:paraId="1AC47764" w14:textId="77777777" w:rsidR="00DD2BDF" w:rsidRPr="004E74A6" w:rsidRDefault="00DD2BDF" w:rsidP="00CE62C1">
            <w:pPr>
              <w:spacing w:line="276" w:lineRule="auto"/>
              <w:jc w:val="center"/>
              <w:rPr>
                <w:sz w:val="20"/>
                <w:lang w:eastAsia="es-CR"/>
              </w:rPr>
            </w:pPr>
          </w:p>
        </w:tc>
        <w:tc>
          <w:tcPr>
            <w:tcW w:w="520" w:type="pct"/>
            <w:tcBorders>
              <w:top w:val="single" w:sz="4" w:space="0" w:color="auto"/>
              <w:left w:val="single" w:sz="4" w:space="0" w:color="auto"/>
              <w:right w:val="single" w:sz="4" w:space="0" w:color="auto"/>
            </w:tcBorders>
            <w:shd w:val="clear" w:color="auto" w:fill="auto"/>
            <w:noWrap/>
            <w:vAlign w:val="center"/>
          </w:tcPr>
          <w:p w14:paraId="7E24E94D" w14:textId="77777777" w:rsidR="00DD2BDF" w:rsidRPr="004E74A6" w:rsidRDefault="00DD2BDF" w:rsidP="00CE62C1">
            <w:pPr>
              <w:spacing w:line="276" w:lineRule="auto"/>
              <w:jc w:val="center"/>
              <w:rPr>
                <w:sz w:val="20"/>
                <w:lang w:eastAsia="es-CR"/>
              </w:rPr>
            </w:pPr>
          </w:p>
        </w:tc>
        <w:tc>
          <w:tcPr>
            <w:tcW w:w="692" w:type="pct"/>
            <w:tcBorders>
              <w:top w:val="single" w:sz="4" w:space="0" w:color="auto"/>
              <w:left w:val="single" w:sz="4" w:space="0" w:color="auto"/>
            </w:tcBorders>
            <w:shd w:val="clear" w:color="auto" w:fill="auto"/>
            <w:noWrap/>
            <w:vAlign w:val="center"/>
          </w:tcPr>
          <w:p w14:paraId="69173518" w14:textId="77777777" w:rsidR="00DD2BDF" w:rsidRPr="004E74A6" w:rsidRDefault="00DD2BDF" w:rsidP="00CE62C1">
            <w:pPr>
              <w:spacing w:line="276" w:lineRule="auto"/>
              <w:jc w:val="center"/>
              <w:rPr>
                <w:sz w:val="20"/>
                <w:lang w:eastAsia="es-CR"/>
              </w:rPr>
            </w:pPr>
          </w:p>
        </w:tc>
      </w:tr>
      <w:tr w:rsidR="00DD2BDF" w:rsidRPr="004E74A6" w14:paraId="0BC1E826" w14:textId="77777777" w:rsidTr="00D83AB3">
        <w:trPr>
          <w:trHeight w:val="288"/>
          <w:jc w:val="center"/>
        </w:trPr>
        <w:tc>
          <w:tcPr>
            <w:tcW w:w="2750" w:type="pct"/>
            <w:tcBorders>
              <w:right w:val="single" w:sz="4" w:space="0" w:color="auto"/>
            </w:tcBorders>
            <w:shd w:val="clear" w:color="auto" w:fill="auto"/>
            <w:noWrap/>
            <w:vAlign w:val="bottom"/>
          </w:tcPr>
          <w:p w14:paraId="716FBC02" w14:textId="194FF14F" w:rsidR="00DD2BDF" w:rsidRPr="004E74A6" w:rsidRDefault="00DD2BDF" w:rsidP="00CE62C1">
            <w:pPr>
              <w:spacing w:line="276" w:lineRule="auto"/>
              <w:jc w:val="center"/>
              <w:rPr>
                <w:rFonts w:cs="Calibri"/>
                <w:color w:val="000000"/>
                <w:sz w:val="20"/>
                <w:lang w:eastAsia="es-CR"/>
              </w:rPr>
            </w:pPr>
            <w:r w:rsidRPr="004E74A6">
              <w:rPr>
                <w:rFonts w:cs="Calibri"/>
                <w:color w:val="000000"/>
                <w:sz w:val="20"/>
                <w:lang w:eastAsia="es-CR"/>
              </w:rPr>
              <w:t>Total General</w:t>
            </w:r>
          </w:p>
        </w:tc>
        <w:tc>
          <w:tcPr>
            <w:tcW w:w="519" w:type="pct"/>
            <w:tcBorders>
              <w:left w:val="single" w:sz="4" w:space="0" w:color="auto"/>
              <w:right w:val="single" w:sz="4" w:space="0" w:color="auto"/>
            </w:tcBorders>
            <w:shd w:val="clear" w:color="auto" w:fill="auto"/>
            <w:noWrap/>
            <w:vAlign w:val="center"/>
          </w:tcPr>
          <w:p w14:paraId="668C8B11" w14:textId="2AE9245D" w:rsidR="00DD2BDF" w:rsidRPr="004E74A6" w:rsidRDefault="00DD2BDF" w:rsidP="00CE62C1">
            <w:pPr>
              <w:spacing w:line="276" w:lineRule="auto"/>
              <w:jc w:val="center"/>
              <w:rPr>
                <w:rFonts w:cs="Calibri"/>
                <w:color w:val="000000"/>
                <w:sz w:val="20"/>
                <w:lang w:eastAsia="es-CR"/>
              </w:rPr>
            </w:pPr>
            <w:r w:rsidRPr="004E74A6">
              <w:rPr>
                <w:rFonts w:cs="Calibri"/>
                <w:color w:val="000000"/>
                <w:sz w:val="20"/>
                <w:lang w:eastAsia="es-CR"/>
              </w:rPr>
              <w:t>7343</w:t>
            </w:r>
          </w:p>
        </w:tc>
        <w:tc>
          <w:tcPr>
            <w:tcW w:w="519" w:type="pct"/>
            <w:tcBorders>
              <w:left w:val="single" w:sz="4" w:space="0" w:color="auto"/>
              <w:right w:val="single" w:sz="4" w:space="0" w:color="auto"/>
            </w:tcBorders>
            <w:shd w:val="clear" w:color="auto" w:fill="auto"/>
            <w:noWrap/>
            <w:vAlign w:val="center"/>
          </w:tcPr>
          <w:p w14:paraId="38BFEC35" w14:textId="4D24D442" w:rsidR="00DD2BDF" w:rsidRPr="004E74A6" w:rsidRDefault="00DD2BDF" w:rsidP="00CE62C1">
            <w:pPr>
              <w:spacing w:line="276" w:lineRule="auto"/>
              <w:jc w:val="center"/>
              <w:rPr>
                <w:sz w:val="20"/>
                <w:lang w:eastAsia="es-CR"/>
              </w:rPr>
            </w:pPr>
            <w:r w:rsidRPr="004E74A6">
              <w:rPr>
                <w:rFonts w:cs="Calibri"/>
                <w:color w:val="000000"/>
                <w:sz w:val="20"/>
                <w:lang w:eastAsia="es-CR"/>
              </w:rPr>
              <w:t>1927</w:t>
            </w:r>
          </w:p>
        </w:tc>
        <w:tc>
          <w:tcPr>
            <w:tcW w:w="520" w:type="pct"/>
            <w:tcBorders>
              <w:left w:val="single" w:sz="4" w:space="0" w:color="auto"/>
              <w:right w:val="single" w:sz="4" w:space="0" w:color="auto"/>
            </w:tcBorders>
            <w:shd w:val="clear" w:color="auto" w:fill="auto"/>
            <w:noWrap/>
            <w:vAlign w:val="center"/>
          </w:tcPr>
          <w:p w14:paraId="35D58FB6" w14:textId="18EFC4F7" w:rsidR="00DD2BDF" w:rsidRPr="004E74A6" w:rsidRDefault="00DD2BDF" w:rsidP="00CE62C1">
            <w:pPr>
              <w:spacing w:line="276" w:lineRule="auto"/>
              <w:jc w:val="center"/>
              <w:rPr>
                <w:sz w:val="20"/>
                <w:lang w:eastAsia="es-CR"/>
              </w:rPr>
            </w:pPr>
            <w:r w:rsidRPr="004E74A6">
              <w:rPr>
                <w:rFonts w:cs="Calibri"/>
                <w:color w:val="000000"/>
                <w:sz w:val="20"/>
                <w:lang w:eastAsia="es-CR"/>
              </w:rPr>
              <w:t>1565</w:t>
            </w:r>
          </w:p>
        </w:tc>
        <w:tc>
          <w:tcPr>
            <w:tcW w:w="692" w:type="pct"/>
            <w:tcBorders>
              <w:left w:val="single" w:sz="4" w:space="0" w:color="auto"/>
            </w:tcBorders>
            <w:shd w:val="clear" w:color="auto" w:fill="auto"/>
            <w:noWrap/>
            <w:vAlign w:val="center"/>
          </w:tcPr>
          <w:p w14:paraId="5CF70684" w14:textId="4163FB2B" w:rsidR="00DD2BDF" w:rsidRPr="004E74A6" w:rsidRDefault="00DD2BDF" w:rsidP="00CE62C1">
            <w:pPr>
              <w:spacing w:line="276" w:lineRule="auto"/>
              <w:jc w:val="center"/>
              <w:rPr>
                <w:sz w:val="20"/>
                <w:lang w:eastAsia="es-CR"/>
              </w:rPr>
            </w:pPr>
            <w:r w:rsidRPr="004E74A6">
              <w:rPr>
                <w:rFonts w:cs="Calibri"/>
                <w:color w:val="000000"/>
                <w:sz w:val="20"/>
              </w:rPr>
              <w:t>3612</w:t>
            </w:r>
          </w:p>
        </w:tc>
      </w:tr>
      <w:tr w:rsidR="00DD2BDF" w:rsidRPr="004E74A6" w14:paraId="15ABADAE" w14:textId="77777777" w:rsidTr="00D83AB3">
        <w:trPr>
          <w:trHeight w:val="288"/>
          <w:jc w:val="center"/>
        </w:trPr>
        <w:tc>
          <w:tcPr>
            <w:tcW w:w="2750" w:type="pct"/>
            <w:tcBorders>
              <w:right w:val="single" w:sz="4" w:space="0" w:color="auto"/>
            </w:tcBorders>
            <w:shd w:val="clear" w:color="auto" w:fill="auto"/>
            <w:noWrap/>
            <w:vAlign w:val="bottom"/>
            <w:hideMark/>
          </w:tcPr>
          <w:p w14:paraId="4444C4E0" w14:textId="77777777" w:rsidR="00DD2BDF" w:rsidRPr="004E74A6" w:rsidRDefault="00DD2BDF" w:rsidP="00CE62C1">
            <w:pPr>
              <w:spacing w:line="276" w:lineRule="auto"/>
              <w:jc w:val="left"/>
              <w:rPr>
                <w:rFonts w:cs="Calibri"/>
                <w:color w:val="000000"/>
                <w:sz w:val="20"/>
                <w:lang w:eastAsia="es-CR"/>
              </w:rPr>
            </w:pPr>
          </w:p>
        </w:tc>
        <w:tc>
          <w:tcPr>
            <w:tcW w:w="519" w:type="pct"/>
            <w:tcBorders>
              <w:left w:val="single" w:sz="4" w:space="0" w:color="auto"/>
              <w:right w:val="single" w:sz="4" w:space="0" w:color="auto"/>
            </w:tcBorders>
            <w:shd w:val="clear" w:color="auto" w:fill="auto"/>
            <w:noWrap/>
            <w:vAlign w:val="center"/>
            <w:hideMark/>
          </w:tcPr>
          <w:p w14:paraId="1D41AC41" w14:textId="77777777" w:rsidR="00DD2BDF" w:rsidRPr="004E74A6" w:rsidRDefault="00DD2BDF" w:rsidP="00CE62C1">
            <w:pPr>
              <w:spacing w:line="276" w:lineRule="auto"/>
              <w:jc w:val="center"/>
              <w:rPr>
                <w:rFonts w:cs="Calibri"/>
                <w:color w:val="000000"/>
                <w:sz w:val="20"/>
                <w:lang w:eastAsia="es-CR"/>
              </w:rPr>
            </w:pPr>
          </w:p>
        </w:tc>
        <w:tc>
          <w:tcPr>
            <w:tcW w:w="519" w:type="pct"/>
            <w:tcBorders>
              <w:left w:val="single" w:sz="4" w:space="0" w:color="auto"/>
              <w:right w:val="single" w:sz="4" w:space="0" w:color="auto"/>
            </w:tcBorders>
            <w:shd w:val="clear" w:color="auto" w:fill="auto"/>
            <w:noWrap/>
            <w:vAlign w:val="center"/>
            <w:hideMark/>
          </w:tcPr>
          <w:p w14:paraId="7B79FC25" w14:textId="77777777" w:rsidR="00DD2BDF" w:rsidRPr="004E74A6" w:rsidRDefault="00DD2BDF" w:rsidP="00CE62C1">
            <w:pPr>
              <w:spacing w:line="276" w:lineRule="auto"/>
              <w:jc w:val="center"/>
              <w:rPr>
                <w:sz w:val="20"/>
                <w:lang w:eastAsia="es-CR"/>
              </w:rPr>
            </w:pPr>
          </w:p>
        </w:tc>
        <w:tc>
          <w:tcPr>
            <w:tcW w:w="520" w:type="pct"/>
            <w:tcBorders>
              <w:left w:val="single" w:sz="4" w:space="0" w:color="auto"/>
              <w:right w:val="single" w:sz="4" w:space="0" w:color="auto"/>
            </w:tcBorders>
            <w:shd w:val="clear" w:color="auto" w:fill="auto"/>
            <w:noWrap/>
            <w:vAlign w:val="center"/>
            <w:hideMark/>
          </w:tcPr>
          <w:p w14:paraId="11CB2309" w14:textId="77777777" w:rsidR="00DD2BDF" w:rsidRPr="004E74A6" w:rsidRDefault="00DD2BDF" w:rsidP="00CE62C1">
            <w:pPr>
              <w:spacing w:line="276" w:lineRule="auto"/>
              <w:jc w:val="center"/>
              <w:rPr>
                <w:sz w:val="20"/>
                <w:lang w:eastAsia="es-CR"/>
              </w:rPr>
            </w:pPr>
          </w:p>
        </w:tc>
        <w:tc>
          <w:tcPr>
            <w:tcW w:w="692" w:type="pct"/>
            <w:tcBorders>
              <w:left w:val="single" w:sz="4" w:space="0" w:color="auto"/>
            </w:tcBorders>
            <w:shd w:val="clear" w:color="auto" w:fill="auto"/>
            <w:noWrap/>
            <w:vAlign w:val="center"/>
            <w:hideMark/>
          </w:tcPr>
          <w:p w14:paraId="390BD308" w14:textId="77777777" w:rsidR="00DD2BDF" w:rsidRPr="004E74A6" w:rsidRDefault="00DD2BDF" w:rsidP="00CE62C1">
            <w:pPr>
              <w:spacing w:line="276" w:lineRule="auto"/>
              <w:jc w:val="center"/>
              <w:rPr>
                <w:sz w:val="20"/>
                <w:lang w:eastAsia="es-CR"/>
              </w:rPr>
            </w:pPr>
          </w:p>
        </w:tc>
      </w:tr>
      <w:tr w:rsidR="00D83AB3" w:rsidRPr="004E74A6" w14:paraId="7052B920" w14:textId="77777777" w:rsidTr="00B32800">
        <w:trPr>
          <w:trHeight w:val="288"/>
          <w:jc w:val="center"/>
        </w:trPr>
        <w:tc>
          <w:tcPr>
            <w:tcW w:w="2750" w:type="pct"/>
            <w:tcBorders>
              <w:right w:val="single" w:sz="4" w:space="0" w:color="auto"/>
            </w:tcBorders>
            <w:shd w:val="clear" w:color="auto" w:fill="auto"/>
            <w:noWrap/>
            <w:vAlign w:val="bottom"/>
            <w:hideMark/>
          </w:tcPr>
          <w:p w14:paraId="7632A288" w14:textId="77777777" w:rsidR="00D83AB3" w:rsidRPr="004E74A6" w:rsidRDefault="00D83AB3" w:rsidP="00CE62C1">
            <w:pPr>
              <w:spacing w:line="276" w:lineRule="auto"/>
              <w:jc w:val="left"/>
              <w:rPr>
                <w:rFonts w:cs="Calibri"/>
                <w:color w:val="000000"/>
                <w:sz w:val="20"/>
                <w:lang w:eastAsia="es-CR"/>
              </w:rPr>
            </w:pPr>
            <w:r w:rsidRPr="004E74A6">
              <w:rPr>
                <w:rFonts w:cs="Calibri"/>
                <w:color w:val="000000"/>
                <w:sz w:val="20"/>
                <w:lang w:eastAsia="es-CR"/>
              </w:rPr>
              <w:t>Competencia</w:t>
            </w:r>
          </w:p>
        </w:tc>
        <w:tc>
          <w:tcPr>
            <w:tcW w:w="519" w:type="pct"/>
            <w:tcBorders>
              <w:left w:val="single" w:sz="4" w:space="0" w:color="auto"/>
              <w:right w:val="single" w:sz="4" w:space="0" w:color="auto"/>
            </w:tcBorders>
            <w:shd w:val="clear" w:color="auto" w:fill="auto"/>
            <w:noWrap/>
            <w:vAlign w:val="bottom"/>
            <w:hideMark/>
          </w:tcPr>
          <w:p w14:paraId="0F922FB3" w14:textId="0A8BBFAE" w:rsidR="00D83AB3" w:rsidRPr="004E74A6" w:rsidRDefault="00D83AB3" w:rsidP="00CE62C1">
            <w:pPr>
              <w:spacing w:line="276" w:lineRule="auto"/>
              <w:jc w:val="center"/>
              <w:rPr>
                <w:rFonts w:cs="Calibri"/>
                <w:color w:val="000000"/>
                <w:sz w:val="20"/>
                <w:lang w:eastAsia="es-CR"/>
              </w:rPr>
            </w:pPr>
            <w:r w:rsidRPr="004E74A6">
              <w:rPr>
                <w:rFonts w:cs="Calibri"/>
                <w:color w:val="000000"/>
                <w:sz w:val="20"/>
              </w:rPr>
              <w:t>1</w:t>
            </w:r>
          </w:p>
        </w:tc>
        <w:tc>
          <w:tcPr>
            <w:tcW w:w="519" w:type="pct"/>
            <w:tcBorders>
              <w:left w:val="single" w:sz="4" w:space="0" w:color="auto"/>
              <w:right w:val="single" w:sz="4" w:space="0" w:color="auto"/>
            </w:tcBorders>
            <w:shd w:val="clear" w:color="auto" w:fill="auto"/>
            <w:noWrap/>
            <w:vAlign w:val="bottom"/>
            <w:hideMark/>
          </w:tcPr>
          <w:p w14:paraId="763C95E7" w14:textId="2E452531" w:rsidR="00D83AB3" w:rsidRPr="004E74A6" w:rsidRDefault="00D83AB3" w:rsidP="00CE62C1">
            <w:pPr>
              <w:spacing w:line="276" w:lineRule="auto"/>
              <w:jc w:val="center"/>
              <w:rPr>
                <w:rFonts w:cs="Calibri"/>
                <w:color w:val="000000"/>
                <w:sz w:val="20"/>
                <w:lang w:eastAsia="es-CR"/>
              </w:rPr>
            </w:pPr>
            <w:r w:rsidRPr="004E74A6">
              <w:rPr>
                <w:rFonts w:cs="Calibri"/>
                <w:color w:val="000000"/>
                <w:sz w:val="20"/>
              </w:rPr>
              <w:t>0</w:t>
            </w:r>
          </w:p>
        </w:tc>
        <w:tc>
          <w:tcPr>
            <w:tcW w:w="520" w:type="pct"/>
            <w:tcBorders>
              <w:left w:val="single" w:sz="4" w:space="0" w:color="auto"/>
              <w:right w:val="single" w:sz="4" w:space="0" w:color="auto"/>
            </w:tcBorders>
            <w:shd w:val="clear" w:color="auto" w:fill="auto"/>
            <w:noWrap/>
            <w:vAlign w:val="bottom"/>
            <w:hideMark/>
          </w:tcPr>
          <w:p w14:paraId="0D4FC1BF" w14:textId="2DB09E5F" w:rsidR="00D83AB3" w:rsidRPr="004E74A6" w:rsidRDefault="00D83AB3" w:rsidP="00CE62C1">
            <w:pPr>
              <w:spacing w:line="276" w:lineRule="auto"/>
              <w:jc w:val="center"/>
              <w:rPr>
                <w:sz w:val="20"/>
                <w:lang w:eastAsia="es-CR"/>
              </w:rPr>
            </w:pPr>
            <w:r w:rsidRPr="004E74A6">
              <w:rPr>
                <w:rFonts w:cs="Calibri"/>
                <w:color w:val="000000"/>
                <w:sz w:val="20"/>
              </w:rPr>
              <w:t>0</w:t>
            </w:r>
          </w:p>
        </w:tc>
        <w:tc>
          <w:tcPr>
            <w:tcW w:w="692" w:type="pct"/>
            <w:tcBorders>
              <w:left w:val="single" w:sz="4" w:space="0" w:color="auto"/>
            </w:tcBorders>
            <w:shd w:val="clear" w:color="auto" w:fill="auto"/>
            <w:noWrap/>
            <w:vAlign w:val="bottom"/>
            <w:hideMark/>
          </w:tcPr>
          <w:p w14:paraId="47C8758F" w14:textId="1C45BFE0" w:rsidR="00D83AB3" w:rsidRPr="004E74A6" w:rsidRDefault="00D83AB3" w:rsidP="00CE62C1">
            <w:pPr>
              <w:spacing w:line="276" w:lineRule="auto"/>
              <w:jc w:val="center"/>
              <w:rPr>
                <w:rFonts w:cs="Calibri"/>
                <w:color w:val="000000"/>
                <w:sz w:val="20"/>
                <w:lang w:eastAsia="es-CR"/>
              </w:rPr>
            </w:pPr>
            <w:r w:rsidRPr="004E74A6">
              <w:rPr>
                <w:rFonts w:cs="Calibri"/>
                <w:color w:val="000000"/>
                <w:sz w:val="20"/>
              </w:rPr>
              <w:t>0,3</w:t>
            </w:r>
          </w:p>
        </w:tc>
      </w:tr>
      <w:tr w:rsidR="00D83AB3" w:rsidRPr="004E74A6" w14:paraId="3AB19AEE" w14:textId="77777777" w:rsidTr="00B32800">
        <w:trPr>
          <w:trHeight w:val="288"/>
          <w:jc w:val="center"/>
        </w:trPr>
        <w:tc>
          <w:tcPr>
            <w:tcW w:w="2750" w:type="pct"/>
            <w:tcBorders>
              <w:right w:val="single" w:sz="4" w:space="0" w:color="auto"/>
            </w:tcBorders>
            <w:shd w:val="clear" w:color="auto" w:fill="auto"/>
            <w:noWrap/>
            <w:vAlign w:val="bottom"/>
            <w:hideMark/>
          </w:tcPr>
          <w:p w14:paraId="3094FA16" w14:textId="77777777" w:rsidR="00D83AB3" w:rsidRPr="004E74A6" w:rsidRDefault="00D83AB3" w:rsidP="00CE62C1">
            <w:pPr>
              <w:spacing w:line="276" w:lineRule="auto"/>
              <w:jc w:val="left"/>
              <w:rPr>
                <w:rFonts w:cs="Calibri"/>
                <w:color w:val="000000"/>
                <w:sz w:val="20"/>
                <w:lang w:eastAsia="es-CR"/>
              </w:rPr>
            </w:pPr>
            <w:r w:rsidRPr="004E74A6">
              <w:rPr>
                <w:rFonts w:cs="Calibri"/>
                <w:color w:val="000000"/>
                <w:sz w:val="20"/>
                <w:lang w:eastAsia="es-CR"/>
              </w:rPr>
              <w:t>Incidentes Procesales</w:t>
            </w:r>
          </w:p>
        </w:tc>
        <w:tc>
          <w:tcPr>
            <w:tcW w:w="519" w:type="pct"/>
            <w:tcBorders>
              <w:left w:val="single" w:sz="4" w:space="0" w:color="auto"/>
              <w:right w:val="single" w:sz="4" w:space="0" w:color="auto"/>
            </w:tcBorders>
            <w:shd w:val="clear" w:color="auto" w:fill="auto"/>
            <w:noWrap/>
            <w:vAlign w:val="bottom"/>
            <w:hideMark/>
          </w:tcPr>
          <w:p w14:paraId="5E4AE266" w14:textId="0BA91E8F" w:rsidR="00D83AB3" w:rsidRPr="004E74A6" w:rsidRDefault="00D83AB3" w:rsidP="00CE62C1">
            <w:pPr>
              <w:spacing w:line="276" w:lineRule="auto"/>
              <w:jc w:val="center"/>
              <w:rPr>
                <w:rFonts w:cs="Calibri"/>
                <w:color w:val="000000"/>
                <w:sz w:val="20"/>
                <w:lang w:eastAsia="es-CR"/>
              </w:rPr>
            </w:pPr>
            <w:r w:rsidRPr="004E74A6">
              <w:rPr>
                <w:rFonts w:cs="Calibri"/>
                <w:color w:val="000000"/>
                <w:sz w:val="20"/>
              </w:rPr>
              <w:t>4</w:t>
            </w:r>
          </w:p>
        </w:tc>
        <w:tc>
          <w:tcPr>
            <w:tcW w:w="519" w:type="pct"/>
            <w:tcBorders>
              <w:left w:val="single" w:sz="4" w:space="0" w:color="auto"/>
              <w:right w:val="single" w:sz="4" w:space="0" w:color="auto"/>
            </w:tcBorders>
            <w:shd w:val="clear" w:color="auto" w:fill="auto"/>
            <w:noWrap/>
            <w:vAlign w:val="bottom"/>
            <w:hideMark/>
          </w:tcPr>
          <w:p w14:paraId="79DC5D09" w14:textId="6DCD6174" w:rsidR="00D83AB3" w:rsidRPr="004E74A6" w:rsidRDefault="00D83AB3" w:rsidP="00CE62C1">
            <w:pPr>
              <w:spacing w:line="276" w:lineRule="auto"/>
              <w:jc w:val="center"/>
              <w:rPr>
                <w:rFonts w:cs="Calibri"/>
                <w:color w:val="000000"/>
                <w:sz w:val="20"/>
                <w:lang w:eastAsia="es-CR"/>
              </w:rPr>
            </w:pPr>
            <w:r w:rsidRPr="004E74A6">
              <w:rPr>
                <w:rFonts w:cs="Calibri"/>
                <w:color w:val="000000"/>
                <w:sz w:val="20"/>
              </w:rPr>
              <w:t>2</w:t>
            </w:r>
          </w:p>
        </w:tc>
        <w:tc>
          <w:tcPr>
            <w:tcW w:w="520" w:type="pct"/>
            <w:tcBorders>
              <w:left w:val="single" w:sz="4" w:space="0" w:color="auto"/>
              <w:right w:val="single" w:sz="4" w:space="0" w:color="auto"/>
            </w:tcBorders>
            <w:shd w:val="clear" w:color="auto" w:fill="auto"/>
            <w:noWrap/>
            <w:vAlign w:val="bottom"/>
            <w:hideMark/>
          </w:tcPr>
          <w:p w14:paraId="15EA1763" w14:textId="7B20A03D" w:rsidR="00D83AB3" w:rsidRPr="004E74A6" w:rsidRDefault="00D83AB3" w:rsidP="00CE62C1">
            <w:pPr>
              <w:spacing w:line="276" w:lineRule="auto"/>
              <w:jc w:val="center"/>
              <w:rPr>
                <w:rFonts w:cs="Calibri"/>
                <w:color w:val="000000"/>
                <w:sz w:val="20"/>
                <w:lang w:eastAsia="es-CR"/>
              </w:rPr>
            </w:pPr>
            <w:r w:rsidRPr="004E74A6">
              <w:rPr>
                <w:rFonts w:cs="Calibri"/>
                <w:color w:val="000000"/>
                <w:sz w:val="20"/>
              </w:rPr>
              <w:t>0</w:t>
            </w:r>
          </w:p>
        </w:tc>
        <w:tc>
          <w:tcPr>
            <w:tcW w:w="692" w:type="pct"/>
            <w:tcBorders>
              <w:left w:val="single" w:sz="4" w:space="0" w:color="auto"/>
            </w:tcBorders>
            <w:shd w:val="clear" w:color="auto" w:fill="auto"/>
            <w:noWrap/>
            <w:vAlign w:val="bottom"/>
            <w:hideMark/>
          </w:tcPr>
          <w:p w14:paraId="508FE0D8" w14:textId="5E0D779A" w:rsidR="00D83AB3" w:rsidRPr="004E74A6" w:rsidRDefault="00D83AB3" w:rsidP="00CE62C1">
            <w:pPr>
              <w:spacing w:line="276" w:lineRule="auto"/>
              <w:jc w:val="center"/>
              <w:rPr>
                <w:rFonts w:cs="Calibri"/>
                <w:color w:val="000000"/>
                <w:sz w:val="20"/>
                <w:lang w:eastAsia="es-CR"/>
              </w:rPr>
            </w:pPr>
            <w:r w:rsidRPr="004E74A6">
              <w:rPr>
                <w:rFonts w:cs="Calibri"/>
                <w:color w:val="000000"/>
                <w:sz w:val="20"/>
              </w:rPr>
              <w:t>2,0</w:t>
            </w:r>
          </w:p>
        </w:tc>
      </w:tr>
      <w:tr w:rsidR="00D83AB3" w:rsidRPr="004E74A6" w14:paraId="1BD21D1D" w14:textId="77777777" w:rsidTr="00B32800">
        <w:trPr>
          <w:trHeight w:val="288"/>
          <w:jc w:val="center"/>
        </w:trPr>
        <w:tc>
          <w:tcPr>
            <w:tcW w:w="2750" w:type="pct"/>
            <w:tcBorders>
              <w:right w:val="single" w:sz="4" w:space="0" w:color="auto"/>
            </w:tcBorders>
            <w:shd w:val="clear" w:color="auto" w:fill="auto"/>
            <w:noWrap/>
            <w:vAlign w:val="bottom"/>
            <w:hideMark/>
          </w:tcPr>
          <w:p w14:paraId="4A917BD8" w14:textId="77777777" w:rsidR="00D83AB3" w:rsidRPr="004E74A6" w:rsidRDefault="00D83AB3" w:rsidP="00CE62C1">
            <w:pPr>
              <w:spacing w:line="276" w:lineRule="auto"/>
              <w:jc w:val="left"/>
              <w:rPr>
                <w:rFonts w:cs="Calibri"/>
                <w:color w:val="000000"/>
                <w:sz w:val="20"/>
                <w:lang w:eastAsia="es-CR"/>
              </w:rPr>
            </w:pPr>
            <w:r w:rsidRPr="004E74A6">
              <w:rPr>
                <w:rFonts w:cs="Calibri"/>
                <w:color w:val="000000"/>
                <w:sz w:val="20"/>
                <w:lang w:eastAsia="es-CR"/>
              </w:rPr>
              <w:t>Legajo</w:t>
            </w:r>
          </w:p>
        </w:tc>
        <w:tc>
          <w:tcPr>
            <w:tcW w:w="519" w:type="pct"/>
            <w:tcBorders>
              <w:left w:val="single" w:sz="4" w:space="0" w:color="auto"/>
              <w:right w:val="single" w:sz="4" w:space="0" w:color="auto"/>
            </w:tcBorders>
            <w:shd w:val="clear" w:color="auto" w:fill="auto"/>
            <w:noWrap/>
            <w:vAlign w:val="bottom"/>
            <w:hideMark/>
          </w:tcPr>
          <w:p w14:paraId="4A48F013" w14:textId="5E2FA010" w:rsidR="00D83AB3" w:rsidRPr="004E74A6" w:rsidRDefault="00D83AB3" w:rsidP="00CE62C1">
            <w:pPr>
              <w:spacing w:line="276" w:lineRule="auto"/>
              <w:jc w:val="center"/>
              <w:rPr>
                <w:rFonts w:cs="Calibri"/>
                <w:color w:val="000000"/>
                <w:sz w:val="20"/>
                <w:lang w:eastAsia="es-CR"/>
              </w:rPr>
            </w:pPr>
            <w:r w:rsidRPr="004E74A6">
              <w:rPr>
                <w:rFonts w:cs="Calibri"/>
                <w:color w:val="000000"/>
                <w:sz w:val="20"/>
              </w:rPr>
              <w:t>1</w:t>
            </w:r>
          </w:p>
        </w:tc>
        <w:tc>
          <w:tcPr>
            <w:tcW w:w="519" w:type="pct"/>
            <w:tcBorders>
              <w:left w:val="single" w:sz="4" w:space="0" w:color="auto"/>
              <w:right w:val="single" w:sz="4" w:space="0" w:color="auto"/>
            </w:tcBorders>
            <w:shd w:val="clear" w:color="auto" w:fill="auto"/>
            <w:noWrap/>
            <w:vAlign w:val="bottom"/>
            <w:hideMark/>
          </w:tcPr>
          <w:p w14:paraId="6B2EE43D" w14:textId="641C63EC" w:rsidR="00D83AB3" w:rsidRPr="004E74A6" w:rsidRDefault="00D83AB3" w:rsidP="00CE62C1">
            <w:pPr>
              <w:spacing w:line="276" w:lineRule="auto"/>
              <w:jc w:val="center"/>
              <w:rPr>
                <w:rFonts w:cs="Calibri"/>
                <w:color w:val="000000"/>
                <w:sz w:val="20"/>
                <w:lang w:eastAsia="es-CR"/>
              </w:rPr>
            </w:pPr>
            <w:r w:rsidRPr="004E74A6">
              <w:rPr>
                <w:rFonts w:cs="Calibri"/>
                <w:color w:val="000000"/>
                <w:sz w:val="20"/>
              </w:rPr>
              <w:t>0</w:t>
            </w:r>
          </w:p>
        </w:tc>
        <w:tc>
          <w:tcPr>
            <w:tcW w:w="520" w:type="pct"/>
            <w:tcBorders>
              <w:left w:val="single" w:sz="4" w:space="0" w:color="auto"/>
              <w:right w:val="single" w:sz="4" w:space="0" w:color="auto"/>
            </w:tcBorders>
            <w:shd w:val="clear" w:color="auto" w:fill="auto"/>
            <w:noWrap/>
            <w:vAlign w:val="bottom"/>
            <w:hideMark/>
          </w:tcPr>
          <w:p w14:paraId="00F6E21D" w14:textId="110085C4" w:rsidR="00D83AB3" w:rsidRPr="004E74A6" w:rsidRDefault="00D83AB3" w:rsidP="00CE62C1">
            <w:pPr>
              <w:spacing w:line="276" w:lineRule="auto"/>
              <w:jc w:val="center"/>
              <w:rPr>
                <w:rFonts w:cs="Calibri"/>
                <w:color w:val="000000"/>
                <w:sz w:val="20"/>
                <w:lang w:eastAsia="es-CR"/>
              </w:rPr>
            </w:pPr>
            <w:r w:rsidRPr="004E74A6">
              <w:rPr>
                <w:rFonts w:cs="Calibri"/>
                <w:color w:val="000000"/>
                <w:sz w:val="20"/>
              </w:rPr>
              <w:t>1</w:t>
            </w:r>
          </w:p>
        </w:tc>
        <w:tc>
          <w:tcPr>
            <w:tcW w:w="692" w:type="pct"/>
            <w:tcBorders>
              <w:left w:val="single" w:sz="4" w:space="0" w:color="auto"/>
            </w:tcBorders>
            <w:shd w:val="clear" w:color="auto" w:fill="auto"/>
            <w:noWrap/>
            <w:vAlign w:val="bottom"/>
            <w:hideMark/>
          </w:tcPr>
          <w:p w14:paraId="1A4D2005" w14:textId="302A8B12" w:rsidR="00D83AB3" w:rsidRPr="004E74A6" w:rsidRDefault="00D83AB3" w:rsidP="00CE62C1">
            <w:pPr>
              <w:spacing w:line="276" w:lineRule="auto"/>
              <w:jc w:val="center"/>
              <w:rPr>
                <w:rFonts w:cs="Calibri"/>
                <w:color w:val="000000"/>
                <w:sz w:val="20"/>
                <w:lang w:eastAsia="es-CR"/>
              </w:rPr>
            </w:pPr>
            <w:r w:rsidRPr="004E74A6">
              <w:rPr>
                <w:rFonts w:cs="Calibri"/>
                <w:color w:val="000000"/>
                <w:sz w:val="20"/>
              </w:rPr>
              <w:t>0,7</w:t>
            </w:r>
          </w:p>
        </w:tc>
      </w:tr>
      <w:tr w:rsidR="00D83AB3" w:rsidRPr="004E74A6" w14:paraId="004424D8" w14:textId="77777777" w:rsidTr="00B32800">
        <w:trPr>
          <w:trHeight w:val="288"/>
          <w:jc w:val="center"/>
        </w:trPr>
        <w:tc>
          <w:tcPr>
            <w:tcW w:w="2750" w:type="pct"/>
            <w:tcBorders>
              <w:right w:val="single" w:sz="4" w:space="0" w:color="auto"/>
            </w:tcBorders>
            <w:shd w:val="clear" w:color="auto" w:fill="auto"/>
            <w:noWrap/>
            <w:vAlign w:val="bottom"/>
            <w:hideMark/>
          </w:tcPr>
          <w:p w14:paraId="66B3907A" w14:textId="77777777" w:rsidR="00D83AB3" w:rsidRPr="004E74A6" w:rsidRDefault="00D83AB3" w:rsidP="00CE62C1">
            <w:pPr>
              <w:spacing w:line="276" w:lineRule="auto"/>
              <w:jc w:val="left"/>
              <w:rPr>
                <w:rFonts w:cs="Calibri"/>
                <w:color w:val="000000"/>
                <w:sz w:val="20"/>
                <w:lang w:eastAsia="es-CR"/>
              </w:rPr>
            </w:pPr>
            <w:r w:rsidRPr="004E74A6">
              <w:rPr>
                <w:rFonts w:cs="Calibri"/>
                <w:color w:val="000000"/>
                <w:sz w:val="20"/>
                <w:lang w:eastAsia="es-CR"/>
              </w:rPr>
              <w:t>Legajo Apelación Por Inadmisión</w:t>
            </w:r>
          </w:p>
        </w:tc>
        <w:tc>
          <w:tcPr>
            <w:tcW w:w="519" w:type="pct"/>
            <w:tcBorders>
              <w:left w:val="single" w:sz="4" w:space="0" w:color="auto"/>
              <w:right w:val="single" w:sz="4" w:space="0" w:color="auto"/>
            </w:tcBorders>
            <w:shd w:val="clear" w:color="auto" w:fill="auto"/>
            <w:noWrap/>
            <w:vAlign w:val="bottom"/>
            <w:hideMark/>
          </w:tcPr>
          <w:p w14:paraId="11BA7D97" w14:textId="6B260C46" w:rsidR="00D83AB3" w:rsidRPr="004E74A6" w:rsidRDefault="00D83AB3" w:rsidP="00CE62C1">
            <w:pPr>
              <w:spacing w:line="276" w:lineRule="auto"/>
              <w:jc w:val="center"/>
              <w:rPr>
                <w:rFonts w:cs="Calibri"/>
                <w:color w:val="000000"/>
                <w:sz w:val="20"/>
                <w:lang w:eastAsia="es-CR"/>
              </w:rPr>
            </w:pPr>
            <w:r w:rsidRPr="004E74A6">
              <w:rPr>
                <w:rFonts w:cs="Calibri"/>
                <w:color w:val="000000"/>
                <w:sz w:val="20"/>
              </w:rPr>
              <w:t>0</w:t>
            </w:r>
          </w:p>
        </w:tc>
        <w:tc>
          <w:tcPr>
            <w:tcW w:w="519" w:type="pct"/>
            <w:tcBorders>
              <w:left w:val="single" w:sz="4" w:space="0" w:color="auto"/>
              <w:right w:val="single" w:sz="4" w:space="0" w:color="auto"/>
            </w:tcBorders>
            <w:shd w:val="clear" w:color="auto" w:fill="auto"/>
            <w:noWrap/>
            <w:vAlign w:val="bottom"/>
            <w:hideMark/>
          </w:tcPr>
          <w:p w14:paraId="3A70BCCF" w14:textId="1AC60FE0" w:rsidR="00D83AB3" w:rsidRPr="004E74A6" w:rsidRDefault="00D83AB3" w:rsidP="00CE62C1">
            <w:pPr>
              <w:spacing w:line="276" w:lineRule="auto"/>
              <w:jc w:val="center"/>
              <w:rPr>
                <w:rFonts w:cs="Calibri"/>
                <w:color w:val="000000"/>
                <w:sz w:val="20"/>
                <w:lang w:eastAsia="es-CR"/>
              </w:rPr>
            </w:pPr>
            <w:r w:rsidRPr="004E74A6">
              <w:rPr>
                <w:rFonts w:cs="Calibri"/>
                <w:color w:val="000000"/>
                <w:sz w:val="20"/>
              </w:rPr>
              <w:t>1</w:t>
            </w:r>
          </w:p>
        </w:tc>
        <w:tc>
          <w:tcPr>
            <w:tcW w:w="520" w:type="pct"/>
            <w:tcBorders>
              <w:left w:val="single" w:sz="4" w:space="0" w:color="auto"/>
              <w:right w:val="single" w:sz="4" w:space="0" w:color="auto"/>
            </w:tcBorders>
            <w:shd w:val="clear" w:color="auto" w:fill="auto"/>
            <w:noWrap/>
            <w:vAlign w:val="bottom"/>
            <w:hideMark/>
          </w:tcPr>
          <w:p w14:paraId="12081876" w14:textId="3B5BBEAB" w:rsidR="00D83AB3" w:rsidRPr="004E74A6" w:rsidRDefault="00D83AB3" w:rsidP="00CE62C1">
            <w:pPr>
              <w:spacing w:line="276" w:lineRule="auto"/>
              <w:jc w:val="center"/>
              <w:rPr>
                <w:rFonts w:cs="Calibri"/>
                <w:color w:val="000000"/>
                <w:sz w:val="20"/>
                <w:lang w:eastAsia="es-CR"/>
              </w:rPr>
            </w:pPr>
            <w:r w:rsidRPr="004E74A6">
              <w:rPr>
                <w:rFonts w:cs="Calibri"/>
                <w:color w:val="000000"/>
                <w:sz w:val="20"/>
              </w:rPr>
              <w:t>0</w:t>
            </w:r>
          </w:p>
        </w:tc>
        <w:tc>
          <w:tcPr>
            <w:tcW w:w="692" w:type="pct"/>
            <w:tcBorders>
              <w:left w:val="single" w:sz="4" w:space="0" w:color="auto"/>
            </w:tcBorders>
            <w:shd w:val="clear" w:color="auto" w:fill="auto"/>
            <w:noWrap/>
            <w:vAlign w:val="bottom"/>
            <w:hideMark/>
          </w:tcPr>
          <w:p w14:paraId="5B9F1060" w14:textId="48417D17" w:rsidR="00D83AB3" w:rsidRPr="004E74A6" w:rsidRDefault="00D83AB3" w:rsidP="00CE62C1">
            <w:pPr>
              <w:spacing w:line="276" w:lineRule="auto"/>
              <w:jc w:val="center"/>
              <w:rPr>
                <w:rFonts w:cs="Calibri"/>
                <w:color w:val="000000"/>
                <w:sz w:val="20"/>
                <w:lang w:eastAsia="es-CR"/>
              </w:rPr>
            </w:pPr>
            <w:r w:rsidRPr="004E74A6">
              <w:rPr>
                <w:rFonts w:cs="Calibri"/>
                <w:color w:val="000000"/>
                <w:sz w:val="20"/>
              </w:rPr>
              <w:t>0,3</w:t>
            </w:r>
          </w:p>
        </w:tc>
      </w:tr>
      <w:tr w:rsidR="00D83AB3" w:rsidRPr="004E74A6" w14:paraId="3535CEC9" w14:textId="77777777" w:rsidTr="00B32800">
        <w:trPr>
          <w:trHeight w:val="288"/>
          <w:jc w:val="center"/>
        </w:trPr>
        <w:tc>
          <w:tcPr>
            <w:tcW w:w="2750" w:type="pct"/>
            <w:tcBorders>
              <w:right w:val="single" w:sz="4" w:space="0" w:color="auto"/>
            </w:tcBorders>
            <w:shd w:val="clear" w:color="auto" w:fill="auto"/>
            <w:noWrap/>
            <w:vAlign w:val="bottom"/>
            <w:hideMark/>
          </w:tcPr>
          <w:p w14:paraId="51463082" w14:textId="77777777" w:rsidR="00D83AB3" w:rsidRPr="004E74A6" w:rsidRDefault="00D83AB3" w:rsidP="00CE62C1">
            <w:pPr>
              <w:spacing w:line="276" w:lineRule="auto"/>
              <w:jc w:val="left"/>
              <w:rPr>
                <w:rFonts w:cs="Calibri"/>
                <w:color w:val="000000"/>
                <w:sz w:val="20"/>
                <w:lang w:eastAsia="es-CR"/>
              </w:rPr>
            </w:pPr>
            <w:r w:rsidRPr="004E74A6">
              <w:rPr>
                <w:rFonts w:cs="Calibri"/>
                <w:color w:val="000000"/>
                <w:sz w:val="20"/>
                <w:lang w:eastAsia="es-CR"/>
              </w:rPr>
              <w:t>Legajo De Administración</w:t>
            </w:r>
          </w:p>
        </w:tc>
        <w:tc>
          <w:tcPr>
            <w:tcW w:w="519" w:type="pct"/>
            <w:tcBorders>
              <w:left w:val="single" w:sz="4" w:space="0" w:color="auto"/>
              <w:right w:val="single" w:sz="4" w:space="0" w:color="auto"/>
            </w:tcBorders>
            <w:shd w:val="clear" w:color="auto" w:fill="auto"/>
            <w:noWrap/>
            <w:vAlign w:val="bottom"/>
            <w:hideMark/>
          </w:tcPr>
          <w:p w14:paraId="0CBFD45B" w14:textId="309AAC41" w:rsidR="00D83AB3" w:rsidRPr="004E74A6" w:rsidRDefault="00D83AB3" w:rsidP="00CE62C1">
            <w:pPr>
              <w:spacing w:line="276" w:lineRule="auto"/>
              <w:jc w:val="center"/>
              <w:rPr>
                <w:rFonts w:cs="Calibri"/>
                <w:color w:val="000000"/>
                <w:sz w:val="20"/>
                <w:lang w:eastAsia="es-CR"/>
              </w:rPr>
            </w:pPr>
            <w:r w:rsidRPr="004E74A6">
              <w:rPr>
                <w:rFonts w:cs="Calibri"/>
                <w:color w:val="000000"/>
                <w:sz w:val="20"/>
              </w:rPr>
              <w:t>1</w:t>
            </w:r>
          </w:p>
        </w:tc>
        <w:tc>
          <w:tcPr>
            <w:tcW w:w="519" w:type="pct"/>
            <w:tcBorders>
              <w:left w:val="single" w:sz="4" w:space="0" w:color="auto"/>
              <w:right w:val="single" w:sz="4" w:space="0" w:color="auto"/>
            </w:tcBorders>
            <w:shd w:val="clear" w:color="auto" w:fill="auto"/>
            <w:noWrap/>
            <w:vAlign w:val="bottom"/>
            <w:hideMark/>
          </w:tcPr>
          <w:p w14:paraId="364262DA" w14:textId="38CF0A50" w:rsidR="00D83AB3" w:rsidRPr="004E74A6" w:rsidRDefault="00D83AB3" w:rsidP="00CE62C1">
            <w:pPr>
              <w:spacing w:line="276" w:lineRule="auto"/>
              <w:jc w:val="center"/>
              <w:rPr>
                <w:rFonts w:cs="Calibri"/>
                <w:color w:val="000000"/>
                <w:sz w:val="20"/>
                <w:lang w:eastAsia="es-CR"/>
              </w:rPr>
            </w:pPr>
            <w:r w:rsidRPr="004E74A6">
              <w:rPr>
                <w:rFonts w:cs="Calibri"/>
                <w:color w:val="000000"/>
                <w:sz w:val="20"/>
              </w:rPr>
              <w:t>0</w:t>
            </w:r>
          </w:p>
        </w:tc>
        <w:tc>
          <w:tcPr>
            <w:tcW w:w="520" w:type="pct"/>
            <w:tcBorders>
              <w:left w:val="single" w:sz="4" w:space="0" w:color="auto"/>
              <w:right w:val="single" w:sz="4" w:space="0" w:color="auto"/>
            </w:tcBorders>
            <w:shd w:val="clear" w:color="auto" w:fill="auto"/>
            <w:noWrap/>
            <w:vAlign w:val="bottom"/>
            <w:hideMark/>
          </w:tcPr>
          <w:p w14:paraId="2BD71D16" w14:textId="79CB6A96" w:rsidR="00D83AB3" w:rsidRPr="004E74A6" w:rsidRDefault="00D83AB3" w:rsidP="00CE62C1">
            <w:pPr>
              <w:spacing w:line="276" w:lineRule="auto"/>
              <w:jc w:val="center"/>
              <w:rPr>
                <w:sz w:val="20"/>
                <w:lang w:eastAsia="es-CR"/>
              </w:rPr>
            </w:pPr>
            <w:r w:rsidRPr="004E74A6">
              <w:rPr>
                <w:rFonts w:cs="Calibri"/>
                <w:color w:val="000000"/>
                <w:sz w:val="20"/>
              </w:rPr>
              <w:t>0</w:t>
            </w:r>
          </w:p>
        </w:tc>
        <w:tc>
          <w:tcPr>
            <w:tcW w:w="692" w:type="pct"/>
            <w:tcBorders>
              <w:left w:val="single" w:sz="4" w:space="0" w:color="auto"/>
            </w:tcBorders>
            <w:shd w:val="clear" w:color="auto" w:fill="auto"/>
            <w:noWrap/>
            <w:vAlign w:val="bottom"/>
            <w:hideMark/>
          </w:tcPr>
          <w:p w14:paraId="7683B14D" w14:textId="1FA90435" w:rsidR="00D83AB3" w:rsidRPr="004E74A6" w:rsidRDefault="00D83AB3" w:rsidP="00CE62C1">
            <w:pPr>
              <w:spacing w:line="276" w:lineRule="auto"/>
              <w:jc w:val="center"/>
              <w:rPr>
                <w:rFonts w:cs="Calibri"/>
                <w:color w:val="000000"/>
                <w:sz w:val="20"/>
                <w:lang w:eastAsia="es-CR"/>
              </w:rPr>
            </w:pPr>
            <w:r w:rsidRPr="004E74A6">
              <w:rPr>
                <w:rFonts w:cs="Calibri"/>
                <w:color w:val="000000"/>
                <w:sz w:val="20"/>
              </w:rPr>
              <w:t>0,3</w:t>
            </w:r>
          </w:p>
        </w:tc>
      </w:tr>
      <w:tr w:rsidR="00D83AB3" w:rsidRPr="004E74A6" w14:paraId="39356DA7" w14:textId="77777777" w:rsidTr="00B32800">
        <w:trPr>
          <w:trHeight w:val="288"/>
          <w:jc w:val="center"/>
        </w:trPr>
        <w:tc>
          <w:tcPr>
            <w:tcW w:w="2750" w:type="pct"/>
            <w:tcBorders>
              <w:right w:val="single" w:sz="4" w:space="0" w:color="auto"/>
            </w:tcBorders>
            <w:shd w:val="clear" w:color="auto" w:fill="auto"/>
            <w:noWrap/>
            <w:vAlign w:val="bottom"/>
            <w:hideMark/>
          </w:tcPr>
          <w:p w14:paraId="6C4AB994" w14:textId="77777777" w:rsidR="00D83AB3" w:rsidRPr="004E74A6" w:rsidRDefault="00D83AB3" w:rsidP="00CE62C1">
            <w:pPr>
              <w:spacing w:line="276" w:lineRule="auto"/>
              <w:jc w:val="left"/>
              <w:rPr>
                <w:rFonts w:cs="Calibri"/>
                <w:color w:val="000000"/>
                <w:sz w:val="20"/>
                <w:lang w:eastAsia="es-CR"/>
              </w:rPr>
            </w:pPr>
            <w:r w:rsidRPr="004E74A6">
              <w:rPr>
                <w:rFonts w:cs="Calibri"/>
                <w:color w:val="000000"/>
                <w:sz w:val="20"/>
                <w:lang w:eastAsia="es-CR"/>
              </w:rPr>
              <w:t>Legajo De Medidas Cautelares</w:t>
            </w:r>
          </w:p>
        </w:tc>
        <w:tc>
          <w:tcPr>
            <w:tcW w:w="519" w:type="pct"/>
            <w:tcBorders>
              <w:left w:val="single" w:sz="4" w:space="0" w:color="auto"/>
              <w:right w:val="single" w:sz="4" w:space="0" w:color="auto"/>
            </w:tcBorders>
            <w:shd w:val="clear" w:color="auto" w:fill="auto"/>
            <w:noWrap/>
            <w:vAlign w:val="bottom"/>
            <w:hideMark/>
          </w:tcPr>
          <w:p w14:paraId="09BE4453" w14:textId="21BCAEB4" w:rsidR="00D83AB3" w:rsidRPr="004E74A6" w:rsidRDefault="00D83AB3" w:rsidP="00CE62C1">
            <w:pPr>
              <w:spacing w:line="276" w:lineRule="auto"/>
              <w:jc w:val="center"/>
              <w:rPr>
                <w:rFonts w:cs="Calibri"/>
                <w:color w:val="000000"/>
                <w:sz w:val="20"/>
                <w:lang w:eastAsia="es-CR"/>
              </w:rPr>
            </w:pPr>
            <w:r w:rsidRPr="004E74A6">
              <w:rPr>
                <w:rFonts w:cs="Calibri"/>
                <w:color w:val="000000"/>
                <w:sz w:val="20"/>
              </w:rPr>
              <w:t>3</w:t>
            </w:r>
          </w:p>
        </w:tc>
        <w:tc>
          <w:tcPr>
            <w:tcW w:w="519" w:type="pct"/>
            <w:tcBorders>
              <w:left w:val="single" w:sz="4" w:space="0" w:color="auto"/>
              <w:right w:val="single" w:sz="4" w:space="0" w:color="auto"/>
            </w:tcBorders>
            <w:shd w:val="clear" w:color="auto" w:fill="auto"/>
            <w:noWrap/>
            <w:vAlign w:val="bottom"/>
            <w:hideMark/>
          </w:tcPr>
          <w:p w14:paraId="634FEACF" w14:textId="791600AB" w:rsidR="00D83AB3" w:rsidRPr="004E74A6" w:rsidRDefault="00D83AB3" w:rsidP="00CE62C1">
            <w:pPr>
              <w:spacing w:line="276" w:lineRule="auto"/>
              <w:jc w:val="center"/>
              <w:rPr>
                <w:rFonts w:cs="Calibri"/>
                <w:color w:val="000000"/>
                <w:sz w:val="20"/>
                <w:lang w:eastAsia="es-CR"/>
              </w:rPr>
            </w:pPr>
            <w:r w:rsidRPr="004E74A6">
              <w:rPr>
                <w:rFonts w:cs="Calibri"/>
                <w:color w:val="000000"/>
                <w:sz w:val="20"/>
              </w:rPr>
              <w:t>10</w:t>
            </w:r>
          </w:p>
        </w:tc>
        <w:tc>
          <w:tcPr>
            <w:tcW w:w="520" w:type="pct"/>
            <w:tcBorders>
              <w:left w:val="single" w:sz="4" w:space="0" w:color="auto"/>
              <w:right w:val="single" w:sz="4" w:space="0" w:color="auto"/>
            </w:tcBorders>
            <w:shd w:val="clear" w:color="auto" w:fill="auto"/>
            <w:noWrap/>
            <w:vAlign w:val="bottom"/>
            <w:hideMark/>
          </w:tcPr>
          <w:p w14:paraId="0BEFEC0E" w14:textId="041902A0" w:rsidR="00D83AB3" w:rsidRPr="004E74A6" w:rsidRDefault="00D83AB3" w:rsidP="00CE62C1">
            <w:pPr>
              <w:spacing w:line="276" w:lineRule="auto"/>
              <w:jc w:val="center"/>
              <w:rPr>
                <w:rFonts w:cs="Calibri"/>
                <w:color w:val="000000"/>
                <w:sz w:val="20"/>
                <w:lang w:eastAsia="es-CR"/>
              </w:rPr>
            </w:pPr>
            <w:r w:rsidRPr="004E74A6">
              <w:rPr>
                <w:rFonts w:cs="Calibri"/>
                <w:color w:val="000000"/>
                <w:sz w:val="20"/>
              </w:rPr>
              <w:t>11</w:t>
            </w:r>
          </w:p>
        </w:tc>
        <w:tc>
          <w:tcPr>
            <w:tcW w:w="692" w:type="pct"/>
            <w:tcBorders>
              <w:left w:val="single" w:sz="4" w:space="0" w:color="auto"/>
            </w:tcBorders>
            <w:shd w:val="clear" w:color="auto" w:fill="auto"/>
            <w:noWrap/>
            <w:vAlign w:val="bottom"/>
            <w:hideMark/>
          </w:tcPr>
          <w:p w14:paraId="0E3F9B4C" w14:textId="149D77FE" w:rsidR="00D83AB3" w:rsidRPr="004E74A6" w:rsidRDefault="00D83AB3" w:rsidP="00CE62C1">
            <w:pPr>
              <w:spacing w:line="276" w:lineRule="auto"/>
              <w:jc w:val="center"/>
              <w:rPr>
                <w:rFonts w:cs="Calibri"/>
                <w:color w:val="000000"/>
                <w:sz w:val="20"/>
                <w:lang w:eastAsia="es-CR"/>
              </w:rPr>
            </w:pPr>
            <w:r w:rsidRPr="004E74A6">
              <w:rPr>
                <w:rFonts w:cs="Calibri"/>
                <w:color w:val="000000"/>
                <w:sz w:val="20"/>
              </w:rPr>
              <w:t>8,0</w:t>
            </w:r>
          </w:p>
        </w:tc>
      </w:tr>
      <w:tr w:rsidR="00D83AB3" w:rsidRPr="004E74A6" w14:paraId="4599AFFF" w14:textId="77777777" w:rsidTr="00B32800">
        <w:trPr>
          <w:trHeight w:val="288"/>
          <w:jc w:val="center"/>
        </w:trPr>
        <w:tc>
          <w:tcPr>
            <w:tcW w:w="2750" w:type="pct"/>
            <w:tcBorders>
              <w:right w:val="single" w:sz="4" w:space="0" w:color="auto"/>
            </w:tcBorders>
            <w:shd w:val="clear" w:color="auto" w:fill="auto"/>
            <w:noWrap/>
            <w:vAlign w:val="bottom"/>
            <w:hideMark/>
          </w:tcPr>
          <w:p w14:paraId="51BC7E9A" w14:textId="77777777" w:rsidR="00D83AB3" w:rsidRPr="004E74A6" w:rsidRDefault="00D83AB3" w:rsidP="00CE62C1">
            <w:pPr>
              <w:spacing w:line="276" w:lineRule="auto"/>
              <w:jc w:val="left"/>
              <w:rPr>
                <w:rFonts w:cs="Calibri"/>
                <w:color w:val="000000"/>
                <w:sz w:val="20"/>
                <w:lang w:eastAsia="es-CR"/>
              </w:rPr>
            </w:pPr>
            <w:r w:rsidRPr="004E74A6">
              <w:rPr>
                <w:rFonts w:cs="Calibri"/>
                <w:color w:val="000000"/>
                <w:sz w:val="20"/>
                <w:lang w:eastAsia="es-CR"/>
              </w:rPr>
              <w:t>Legajo Ejec. Sentencia Acuerdos En Conciliación</w:t>
            </w:r>
          </w:p>
        </w:tc>
        <w:tc>
          <w:tcPr>
            <w:tcW w:w="519" w:type="pct"/>
            <w:tcBorders>
              <w:left w:val="single" w:sz="4" w:space="0" w:color="auto"/>
              <w:right w:val="single" w:sz="4" w:space="0" w:color="auto"/>
            </w:tcBorders>
            <w:shd w:val="clear" w:color="auto" w:fill="auto"/>
            <w:noWrap/>
            <w:vAlign w:val="bottom"/>
            <w:hideMark/>
          </w:tcPr>
          <w:p w14:paraId="4751B91B" w14:textId="3FADB60D" w:rsidR="00D83AB3" w:rsidRPr="004E74A6" w:rsidRDefault="00D83AB3" w:rsidP="00CE62C1">
            <w:pPr>
              <w:spacing w:line="276" w:lineRule="auto"/>
              <w:jc w:val="center"/>
              <w:rPr>
                <w:rFonts w:cs="Calibri"/>
                <w:color w:val="000000"/>
                <w:sz w:val="20"/>
                <w:lang w:eastAsia="es-CR"/>
              </w:rPr>
            </w:pPr>
            <w:r w:rsidRPr="004E74A6">
              <w:rPr>
                <w:rFonts w:cs="Calibri"/>
                <w:color w:val="000000"/>
                <w:sz w:val="20"/>
              </w:rPr>
              <w:t>1</w:t>
            </w:r>
          </w:p>
        </w:tc>
        <w:tc>
          <w:tcPr>
            <w:tcW w:w="519" w:type="pct"/>
            <w:tcBorders>
              <w:left w:val="single" w:sz="4" w:space="0" w:color="auto"/>
              <w:right w:val="single" w:sz="4" w:space="0" w:color="auto"/>
            </w:tcBorders>
            <w:shd w:val="clear" w:color="auto" w:fill="auto"/>
            <w:noWrap/>
            <w:vAlign w:val="bottom"/>
            <w:hideMark/>
          </w:tcPr>
          <w:p w14:paraId="25370E83" w14:textId="062DE578" w:rsidR="00D83AB3" w:rsidRPr="004E74A6" w:rsidRDefault="00D83AB3" w:rsidP="00CE62C1">
            <w:pPr>
              <w:spacing w:line="276" w:lineRule="auto"/>
              <w:jc w:val="center"/>
              <w:rPr>
                <w:rFonts w:cs="Calibri"/>
                <w:color w:val="000000"/>
                <w:sz w:val="20"/>
                <w:lang w:eastAsia="es-CR"/>
              </w:rPr>
            </w:pPr>
            <w:r w:rsidRPr="004E74A6">
              <w:rPr>
                <w:rFonts w:cs="Calibri"/>
                <w:color w:val="000000"/>
                <w:sz w:val="20"/>
              </w:rPr>
              <w:t>0</w:t>
            </w:r>
          </w:p>
        </w:tc>
        <w:tc>
          <w:tcPr>
            <w:tcW w:w="520" w:type="pct"/>
            <w:tcBorders>
              <w:left w:val="single" w:sz="4" w:space="0" w:color="auto"/>
              <w:right w:val="single" w:sz="4" w:space="0" w:color="auto"/>
            </w:tcBorders>
            <w:shd w:val="clear" w:color="auto" w:fill="auto"/>
            <w:noWrap/>
            <w:vAlign w:val="bottom"/>
            <w:hideMark/>
          </w:tcPr>
          <w:p w14:paraId="4C3478ED" w14:textId="29C8F0C8" w:rsidR="00D83AB3" w:rsidRPr="004E74A6" w:rsidRDefault="00D83AB3" w:rsidP="00CE62C1">
            <w:pPr>
              <w:spacing w:line="276" w:lineRule="auto"/>
              <w:jc w:val="center"/>
              <w:rPr>
                <w:sz w:val="20"/>
                <w:lang w:eastAsia="es-CR"/>
              </w:rPr>
            </w:pPr>
            <w:r w:rsidRPr="004E74A6">
              <w:rPr>
                <w:rFonts w:cs="Calibri"/>
                <w:color w:val="000000"/>
                <w:sz w:val="20"/>
              </w:rPr>
              <w:t>0</w:t>
            </w:r>
          </w:p>
        </w:tc>
        <w:tc>
          <w:tcPr>
            <w:tcW w:w="692" w:type="pct"/>
            <w:tcBorders>
              <w:left w:val="single" w:sz="4" w:space="0" w:color="auto"/>
            </w:tcBorders>
            <w:shd w:val="clear" w:color="auto" w:fill="auto"/>
            <w:noWrap/>
            <w:vAlign w:val="bottom"/>
            <w:hideMark/>
          </w:tcPr>
          <w:p w14:paraId="141004ED" w14:textId="08BE02A1" w:rsidR="00D83AB3" w:rsidRPr="004E74A6" w:rsidRDefault="00D83AB3" w:rsidP="00CE62C1">
            <w:pPr>
              <w:spacing w:line="276" w:lineRule="auto"/>
              <w:jc w:val="center"/>
              <w:rPr>
                <w:rFonts w:cs="Calibri"/>
                <w:color w:val="000000"/>
                <w:sz w:val="20"/>
                <w:lang w:eastAsia="es-CR"/>
              </w:rPr>
            </w:pPr>
            <w:r w:rsidRPr="004E74A6">
              <w:rPr>
                <w:rFonts w:cs="Calibri"/>
                <w:color w:val="000000"/>
                <w:sz w:val="20"/>
              </w:rPr>
              <w:t>0,3</w:t>
            </w:r>
          </w:p>
        </w:tc>
      </w:tr>
      <w:tr w:rsidR="00D83AB3" w:rsidRPr="004E74A6" w14:paraId="786382B6" w14:textId="77777777" w:rsidTr="00B32800">
        <w:trPr>
          <w:trHeight w:val="288"/>
          <w:jc w:val="center"/>
        </w:trPr>
        <w:tc>
          <w:tcPr>
            <w:tcW w:w="2750" w:type="pct"/>
            <w:tcBorders>
              <w:right w:val="single" w:sz="4" w:space="0" w:color="auto"/>
            </w:tcBorders>
            <w:shd w:val="clear" w:color="auto" w:fill="auto"/>
            <w:noWrap/>
            <w:vAlign w:val="bottom"/>
            <w:hideMark/>
          </w:tcPr>
          <w:p w14:paraId="34019072" w14:textId="77777777" w:rsidR="00D83AB3" w:rsidRPr="004E74A6" w:rsidRDefault="00D83AB3" w:rsidP="00CE62C1">
            <w:pPr>
              <w:spacing w:line="276" w:lineRule="auto"/>
              <w:jc w:val="left"/>
              <w:rPr>
                <w:rFonts w:cs="Calibri"/>
                <w:color w:val="000000"/>
                <w:sz w:val="20"/>
                <w:lang w:eastAsia="es-CR"/>
              </w:rPr>
            </w:pPr>
            <w:r w:rsidRPr="004E74A6">
              <w:rPr>
                <w:rFonts w:cs="Calibri"/>
                <w:color w:val="000000"/>
                <w:sz w:val="20"/>
                <w:lang w:eastAsia="es-CR"/>
              </w:rPr>
              <w:t>Legajo Medida Cautelar Anticipada</w:t>
            </w:r>
          </w:p>
        </w:tc>
        <w:tc>
          <w:tcPr>
            <w:tcW w:w="519" w:type="pct"/>
            <w:tcBorders>
              <w:left w:val="single" w:sz="4" w:space="0" w:color="auto"/>
              <w:right w:val="single" w:sz="4" w:space="0" w:color="auto"/>
            </w:tcBorders>
            <w:shd w:val="clear" w:color="auto" w:fill="auto"/>
            <w:noWrap/>
            <w:vAlign w:val="bottom"/>
            <w:hideMark/>
          </w:tcPr>
          <w:p w14:paraId="3B0F31D7" w14:textId="10D616AF" w:rsidR="00D83AB3" w:rsidRPr="004E74A6" w:rsidRDefault="00D83AB3" w:rsidP="00CE62C1">
            <w:pPr>
              <w:spacing w:line="276" w:lineRule="auto"/>
              <w:jc w:val="center"/>
              <w:rPr>
                <w:rFonts w:cs="Calibri"/>
                <w:color w:val="000000"/>
                <w:sz w:val="20"/>
                <w:lang w:eastAsia="es-CR"/>
              </w:rPr>
            </w:pPr>
            <w:r w:rsidRPr="004E74A6">
              <w:rPr>
                <w:rFonts w:cs="Calibri"/>
                <w:color w:val="000000"/>
                <w:sz w:val="20"/>
              </w:rPr>
              <w:t>4</w:t>
            </w:r>
          </w:p>
        </w:tc>
        <w:tc>
          <w:tcPr>
            <w:tcW w:w="519" w:type="pct"/>
            <w:tcBorders>
              <w:left w:val="single" w:sz="4" w:space="0" w:color="auto"/>
              <w:right w:val="single" w:sz="4" w:space="0" w:color="auto"/>
            </w:tcBorders>
            <w:shd w:val="clear" w:color="auto" w:fill="auto"/>
            <w:noWrap/>
            <w:vAlign w:val="bottom"/>
            <w:hideMark/>
          </w:tcPr>
          <w:p w14:paraId="50F7E96F" w14:textId="6EF2AC30" w:rsidR="00D83AB3" w:rsidRPr="004E74A6" w:rsidRDefault="00D83AB3" w:rsidP="00CE62C1">
            <w:pPr>
              <w:spacing w:line="276" w:lineRule="auto"/>
              <w:jc w:val="center"/>
              <w:rPr>
                <w:rFonts w:cs="Calibri"/>
                <w:color w:val="000000"/>
                <w:sz w:val="20"/>
                <w:lang w:eastAsia="es-CR"/>
              </w:rPr>
            </w:pPr>
            <w:r w:rsidRPr="004E74A6">
              <w:rPr>
                <w:rFonts w:cs="Calibri"/>
                <w:color w:val="000000"/>
                <w:sz w:val="20"/>
              </w:rPr>
              <w:t>4</w:t>
            </w:r>
          </w:p>
        </w:tc>
        <w:tc>
          <w:tcPr>
            <w:tcW w:w="520" w:type="pct"/>
            <w:tcBorders>
              <w:left w:val="single" w:sz="4" w:space="0" w:color="auto"/>
              <w:right w:val="single" w:sz="4" w:space="0" w:color="auto"/>
            </w:tcBorders>
            <w:shd w:val="clear" w:color="auto" w:fill="auto"/>
            <w:noWrap/>
            <w:vAlign w:val="bottom"/>
            <w:hideMark/>
          </w:tcPr>
          <w:p w14:paraId="51C3297B" w14:textId="0635BB88" w:rsidR="00D83AB3" w:rsidRPr="004E74A6" w:rsidRDefault="00D83AB3" w:rsidP="00CE62C1">
            <w:pPr>
              <w:spacing w:line="276" w:lineRule="auto"/>
              <w:jc w:val="center"/>
              <w:rPr>
                <w:rFonts w:cs="Calibri"/>
                <w:color w:val="000000"/>
                <w:sz w:val="20"/>
                <w:lang w:eastAsia="es-CR"/>
              </w:rPr>
            </w:pPr>
            <w:r w:rsidRPr="004E74A6">
              <w:rPr>
                <w:rFonts w:cs="Calibri"/>
                <w:color w:val="000000"/>
                <w:sz w:val="20"/>
              </w:rPr>
              <w:t>7</w:t>
            </w:r>
          </w:p>
        </w:tc>
        <w:tc>
          <w:tcPr>
            <w:tcW w:w="692" w:type="pct"/>
            <w:tcBorders>
              <w:left w:val="single" w:sz="4" w:space="0" w:color="auto"/>
            </w:tcBorders>
            <w:shd w:val="clear" w:color="auto" w:fill="auto"/>
            <w:noWrap/>
            <w:vAlign w:val="bottom"/>
            <w:hideMark/>
          </w:tcPr>
          <w:p w14:paraId="471B2B93" w14:textId="6F080B2B" w:rsidR="00D83AB3" w:rsidRPr="004E74A6" w:rsidRDefault="00D83AB3" w:rsidP="00CE62C1">
            <w:pPr>
              <w:spacing w:line="276" w:lineRule="auto"/>
              <w:jc w:val="center"/>
              <w:rPr>
                <w:rFonts w:cs="Calibri"/>
                <w:color w:val="000000"/>
                <w:sz w:val="20"/>
                <w:lang w:eastAsia="es-CR"/>
              </w:rPr>
            </w:pPr>
            <w:r w:rsidRPr="004E74A6">
              <w:rPr>
                <w:rFonts w:cs="Calibri"/>
                <w:color w:val="000000"/>
                <w:sz w:val="20"/>
              </w:rPr>
              <w:t>5,0</w:t>
            </w:r>
          </w:p>
        </w:tc>
      </w:tr>
      <w:tr w:rsidR="00D83AB3" w:rsidRPr="004E74A6" w14:paraId="0ED03E6C" w14:textId="77777777" w:rsidTr="00B32800">
        <w:trPr>
          <w:trHeight w:val="288"/>
          <w:jc w:val="center"/>
        </w:trPr>
        <w:tc>
          <w:tcPr>
            <w:tcW w:w="2750" w:type="pct"/>
            <w:tcBorders>
              <w:right w:val="single" w:sz="4" w:space="0" w:color="auto"/>
            </w:tcBorders>
            <w:shd w:val="clear" w:color="auto" w:fill="auto"/>
            <w:noWrap/>
            <w:vAlign w:val="bottom"/>
            <w:hideMark/>
          </w:tcPr>
          <w:p w14:paraId="1C9A77EE" w14:textId="77777777" w:rsidR="00D83AB3" w:rsidRPr="004E74A6" w:rsidRDefault="00D83AB3" w:rsidP="00CE62C1">
            <w:pPr>
              <w:spacing w:line="276" w:lineRule="auto"/>
              <w:jc w:val="left"/>
              <w:rPr>
                <w:rFonts w:cs="Calibri"/>
                <w:color w:val="000000"/>
                <w:sz w:val="20"/>
                <w:lang w:eastAsia="es-CR"/>
              </w:rPr>
            </w:pPr>
            <w:r w:rsidRPr="004E74A6">
              <w:rPr>
                <w:rFonts w:cs="Calibri"/>
                <w:color w:val="000000"/>
                <w:sz w:val="20"/>
                <w:lang w:eastAsia="es-CR"/>
              </w:rPr>
              <w:t>Legajo Pruebas Parte Actora</w:t>
            </w:r>
          </w:p>
        </w:tc>
        <w:tc>
          <w:tcPr>
            <w:tcW w:w="519" w:type="pct"/>
            <w:tcBorders>
              <w:left w:val="single" w:sz="4" w:space="0" w:color="auto"/>
              <w:right w:val="single" w:sz="4" w:space="0" w:color="auto"/>
            </w:tcBorders>
            <w:shd w:val="clear" w:color="auto" w:fill="auto"/>
            <w:noWrap/>
            <w:vAlign w:val="bottom"/>
            <w:hideMark/>
          </w:tcPr>
          <w:p w14:paraId="6CF7AA05" w14:textId="24613832" w:rsidR="00D83AB3" w:rsidRPr="004E74A6" w:rsidRDefault="00D83AB3" w:rsidP="00CE62C1">
            <w:pPr>
              <w:spacing w:line="276" w:lineRule="auto"/>
              <w:jc w:val="center"/>
              <w:rPr>
                <w:rFonts w:cs="Calibri"/>
                <w:color w:val="000000"/>
                <w:sz w:val="20"/>
                <w:lang w:eastAsia="es-CR"/>
              </w:rPr>
            </w:pPr>
            <w:r w:rsidRPr="004E74A6">
              <w:rPr>
                <w:rFonts w:cs="Calibri"/>
                <w:color w:val="000000"/>
                <w:sz w:val="20"/>
              </w:rPr>
              <w:t>5</w:t>
            </w:r>
          </w:p>
        </w:tc>
        <w:tc>
          <w:tcPr>
            <w:tcW w:w="519" w:type="pct"/>
            <w:tcBorders>
              <w:left w:val="single" w:sz="4" w:space="0" w:color="auto"/>
              <w:right w:val="single" w:sz="4" w:space="0" w:color="auto"/>
            </w:tcBorders>
            <w:shd w:val="clear" w:color="auto" w:fill="auto"/>
            <w:noWrap/>
            <w:vAlign w:val="bottom"/>
            <w:hideMark/>
          </w:tcPr>
          <w:p w14:paraId="7442635F" w14:textId="14CF0C4E" w:rsidR="00D83AB3" w:rsidRPr="004E74A6" w:rsidRDefault="00D83AB3" w:rsidP="00CE62C1">
            <w:pPr>
              <w:spacing w:line="276" w:lineRule="auto"/>
              <w:jc w:val="center"/>
              <w:rPr>
                <w:rFonts w:cs="Calibri"/>
                <w:color w:val="000000"/>
                <w:sz w:val="20"/>
                <w:lang w:eastAsia="es-CR"/>
              </w:rPr>
            </w:pPr>
            <w:r w:rsidRPr="004E74A6">
              <w:rPr>
                <w:rFonts w:cs="Calibri"/>
                <w:color w:val="000000"/>
                <w:sz w:val="20"/>
              </w:rPr>
              <w:t>4</w:t>
            </w:r>
          </w:p>
        </w:tc>
        <w:tc>
          <w:tcPr>
            <w:tcW w:w="520" w:type="pct"/>
            <w:tcBorders>
              <w:left w:val="single" w:sz="4" w:space="0" w:color="auto"/>
              <w:right w:val="single" w:sz="4" w:space="0" w:color="auto"/>
            </w:tcBorders>
            <w:shd w:val="clear" w:color="auto" w:fill="auto"/>
            <w:noWrap/>
            <w:vAlign w:val="bottom"/>
            <w:hideMark/>
          </w:tcPr>
          <w:p w14:paraId="31EB2089" w14:textId="3B371CEE" w:rsidR="00D83AB3" w:rsidRPr="004E74A6" w:rsidRDefault="00D83AB3" w:rsidP="00CE62C1">
            <w:pPr>
              <w:spacing w:line="276" w:lineRule="auto"/>
              <w:jc w:val="center"/>
              <w:rPr>
                <w:rFonts w:cs="Calibri"/>
                <w:color w:val="000000"/>
                <w:sz w:val="20"/>
                <w:lang w:eastAsia="es-CR"/>
              </w:rPr>
            </w:pPr>
            <w:r w:rsidRPr="004E74A6">
              <w:rPr>
                <w:rFonts w:cs="Calibri"/>
                <w:color w:val="000000"/>
                <w:sz w:val="20"/>
              </w:rPr>
              <w:t>1</w:t>
            </w:r>
          </w:p>
        </w:tc>
        <w:tc>
          <w:tcPr>
            <w:tcW w:w="692" w:type="pct"/>
            <w:tcBorders>
              <w:left w:val="single" w:sz="4" w:space="0" w:color="auto"/>
            </w:tcBorders>
            <w:shd w:val="clear" w:color="auto" w:fill="auto"/>
            <w:noWrap/>
            <w:vAlign w:val="bottom"/>
            <w:hideMark/>
          </w:tcPr>
          <w:p w14:paraId="244BE656" w14:textId="3F500205" w:rsidR="00D83AB3" w:rsidRPr="004E74A6" w:rsidRDefault="00D83AB3" w:rsidP="00CE62C1">
            <w:pPr>
              <w:spacing w:line="276" w:lineRule="auto"/>
              <w:jc w:val="center"/>
              <w:rPr>
                <w:rFonts w:cs="Calibri"/>
                <w:color w:val="000000"/>
                <w:sz w:val="20"/>
                <w:lang w:eastAsia="es-CR"/>
              </w:rPr>
            </w:pPr>
            <w:r w:rsidRPr="004E74A6">
              <w:rPr>
                <w:rFonts w:cs="Calibri"/>
                <w:color w:val="000000"/>
                <w:sz w:val="20"/>
              </w:rPr>
              <w:t>3,3</w:t>
            </w:r>
          </w:p>
        </w:tc>
      </w:tr>
      <w:tr w:rsidR="00D83AB3" w:rsidRPr="004E74A6" w14:paraId="58619331" w14:textId="77777777" w:rsidTr="00F174F0">
        <w:trPr>
          <w:trHeight w:val="349"/>
          <w:jc w:val="center"/>
        </w:trPr>
        <w:tc>
          <w:tcPr>
            <w:tcW w:w="2750" w:type="pct"/>
            <w:tcBorders>
              <w:right w:val="single" w:sz="4" w:space="0" w:color="auto"/>
            </w:tcBorders>
            <w:shd w:val="clear" w:color="auto" w:fill="auto"/>
            <w:noWrap/>
            <w:vAlign w:val="bottom"/>
            <w:hideMark/>
          </w:tcPr>
          <w:p w14:paraId="65F76C28" w14:textId="77777777" w:rsidR="00D83AB3" w:rsidRPr="004E74A6" w:rsidRDefault="00D83AB3" w:rsidP="00CE62C1">
            <w:pPr>
              <w:spacing w:line="276" w:lineRule="auto"/>
              <w:jc w:val="left"/>
              <w:rPr>
                <w:rFonts w:cs="Calibri"/>
                <w:color w:val="000000"/>
                <w:sz w:val="20"/>
                <w:lang w:eastAsia="es-CR"/>
              </w:rPr>
            </w:pPr>
            <w:r w:rsidRPr="004E74A6">
              <w:rPr>
                <w:rFonts w:cs="Calibri"/>
                <w:color w:val="000000"/>
                <w:sz w:val="20"/>
                <w:lang w:eastAsia="es-CR"/>
              </w:rPr>
              <w:t>Legajo Pruebas Parte Demandada</w:t>
            </w:r>
          </w:p>
        </w:tc>
        <w:tc>
          <w:tcPr>
            <w:tcW w:w="519" w:type="pct"/>
            <w:tcBorders>
              <w:left w:val="single" w:sz="4" w:space="0" w:color="auto"/>
              <w:right w:val="single" w:sz="4" w:space="0" w:color="auto"/>
            </w:tcBorders>
            <w:shd w:val="clear" w:color="auto" w:fill="auto"/>
            <w:noWrap/>
            <w:vAlign w:val="bottom"/>
            <w:hideMark/>
          </w:tcPr>
          <w:p w14:paraId="5FFD19D7" w14:textId="36A2A207" w:rsidR="00D83AB3" w:rsidRPr="004E74A6" w:rsidRDefault="00D83AB3" w:rsidP="00CE62C1">
            <w:pPr>
              <w:spacing w:line="276" w:lineRule="auto"/>
              <w:jc w:val="center"/>
              <w:rPr>
                <w:rFonts w:cs="Calibri"/>
                <w:color w:val="000000"/>
                <w:sz w:val="20"/>
                <w:lang w:eastAsia="es-CR"/>
              </w:rPr>
            </w:pPr>
            <w:r w:rsidRPr="004E74A6">
              <w:rPr>
                <w:rFonts w:cs="Calibri"/>
                <w:color w:val="000000"/>
                <w:sz w:val="20"/>
              </w:rPr>
              <w:t>5</w:t>
            </w:r>
          </w:p>
        </w:tc>
        <w:tc>
          <w:tcPr>
            <w:tcW w:w="519" w:type="pct"/>
            <w:tcBorders>
              <w:left w:val="single" w:sz="4" w:space="0" w:color="auto"/>
              <w:right w:val="single" w:sz="4" w:space="0" w:color="auto"/>
            </w:tcBorders>
            <w:shd w:val="clear" w:color="auto" w:fill="auto"/>
            <w:noWrap/>
            <w:vAlign w:val="bottom"/>
            <w:hideMark/>
          </w:tcPr>
          <w:p w14:paraId="0BD528BF" w14:textId="51CE6158" w:rsidR="00D83AB3" w:rsidRPr="004E74A6" w:rsidRDefault="00D83AB3" w:rsidP="00CE62C1">
            <w:pPr>
              <w:spacing w:line="276" w:lineRule="auto"/>
              <w:jc w:val="center"/>
              <w:rPr>
                <w:rFonts w:cs="Calibri"/>
                <w:color w:val="000000"/>
                <w:sz w:val="20"/>
                <w:lang w:eastAsia="es-CR"/>
              </w:rPr>
            </w:pPr>
            <w:r w:rsidRPr="004E74A6">
              <w:rPr>
                <w:rFonts w:cs="Calibri"/>
                <w:color w:val="000000"/>
                <w:sz w:val="20"/>
              </w:rPr>
              <w:t>4</w:t>
            </w:r>
          </w:p>
        </w:tc>
        <w:tc>
          <w:tcPr>
            <w:tcW w:w="520" w:type="pct"/>
            <w:tcBorders>
              <w:left w:val="single" w:sz="4" w:space="0" w:color="auto"/>
              <w:right w:val="single" w:sz="4" w:space="0" w:color="auto"/>
            </w:tcBorders>
            <w:shd w:val="clear" w:color="auto" w:fill="auto"/>
            <w:noWrap/>
            <w:vAlign w:val="bottom"/>
            <w:hideMark/>
          </w:tcPr>
          <w:p w14:paraId="0B88E07C" w14:textId="4C3BDB3A" w:rsidR="00D83AB3" w:rsidRPr="004E74A6" w:rsidRDefault="00D83AB3" w:rsidP="00CE62C1">
            <w:pPr>
              <w:spacing w:line="276" w:lineRule="auto"/>
              <w:jc w:val="center"/>
              <w:rPr>
                <w:rFonts w:cs="Calibri"/>
                <w:color w:val="000000"/>
                <w:sz w:val="20"/>
                <w:lang w:eastAsia="es-CR"/>
              </w:rPr>
            </w:pPr>
            <w:r w:rsidRPr="004E74A6">
              <w:rPr>
                <w:rFonts w:cs="Calibri"/>
                <w:color w:val="000000"/>
                <w:sz w:val="20"/>
              </w:rPr>
              <w:t>1</w:t>
            </w:r>
          </w:p>
        </w:tc>
        <w:tc>
          <w:tcPr>
            <w:tcW w:w="692" w:type="pct"/>
            <w:tcBorders>
              <w:left w:val="single" w:sz="4" w:space="0" w:color="auto"/>
            </w:tcBorders>
            <w:shd w:val="clear" w:color="auto" w:fill="auto"/>
            <w:noWrap/>
            <w:vAlign w:val="bottom"/>
            <w:hideMark/>
          </w:tcPr>
          <w:p w14:paraId="1D18B843" w14:textId="177736F0" w:rsidR="00D83AB3" w:rsidRPr="004E74A6" w:rsidRDefault="00D83AB3" w:rsidP="00CE62C1">
            <w:pPr>
              <w:spacing w:line="276" w:lineRule="auto"/>
              <w:jc w:val="center"/>
              <w:rPr>
                <w:rFonts w:cs="Calibri"/>
                <w:color w:val="000000"/>
                <w:sz w:val="20"/>
                <w:lang w:eastAsia="es-CR"/>
              </w:rPr>
            </w:pPr>
            <w:r w:rsidRPr="004E74A6">
              <w:rPr>
                <w:rFonts w:cs="Calibri"/>
                <w:color w:val="000000"/>
                <w:sz w:val="20"/>
              </w:rPr>
              <w:t>3,3</w:t>
            </w:r>
          </w:p>
        </w:tc>
      </w:tr>
      <w:tr w:rsidR="00D83AB3" w:rsidRPr="004E74A6" w14:paraId="24D33440" w14:textId="77777777" w:rsidTr="00241C7E">
        <w:trPr>
          <w:trHeight w:val="288"/>
          <w:jc w:val="center"/>
        </w:trPr>
        <w:tc>
          <w:tcPr>
            <w:tcW w:w="2750" w:type="pct"/>
            <w:tcBorders>
              <w:right w:val="single" w:sz="4" w:space="0" w:color="auto"/>
            </w:tcBorders>
            <w:shd w:val="clear" w:color="auto" w:fill="E2EFD9" w:themeFill="accent6" w:themeFillTint="33"/>
            <w:noWrap/>
            <w:vAlign w:val="bottom"/>
            <w:hideMark/>
          </w:tcPr>
          <w:p w14:paraId="3258A920" w14:textId="77777777" w:rsidR="00D83AB3" w:rsidRPr="004E74A6" w:rsidRDefault="00D83AB3" w:rsidP="00CE62C1">
            <w:pPr>
              <w:spacing w:line="276" w:lineRule="auto"/>
              <w:jc w:val="left"/>
              <w:rPr>
                <w:rFonts w:cs="Calibri"/>
                <w:color w:val="000000"/>
                <w:sz w:val="20"/>
                <w:lang w:eastAsia="es-CR"/>
              </w:rPr>
            </w:pPr>
            <w:r w:rsidRPr="004E74A6">
              <w:rPr>
                <w:rFonts w:cs="Calibri"/>
                <w:color w:val="000000"/>
                <w:sz w:val="20"/>
                <w:lang w:eastAsia="es-CR"/>
              </w:rPr>
              <w:t>Principal</w:t>
            </w:r>
          </w:p>
        </w:tc>
        <w:tc>
          <w:tcPr>
            <w:tcW w:w="519" w:type="pct"/>
            <w:tcBorders>
              <w:left w:val="single" w:sz="4" w:space="0" w:color="auto"/>
              <w:right w:val="single" w:sz="4" w:space="0" w:color="auto"/>
            </w:tcBorders>
            <w:shd w:val="clear" w:color="auto" w:fill="E2EFD9" w:themeFill="accent6" w:themeFillTint="33"/>
            <w:noWrap/>
            <w:vAlign w:val="bottom"/>
            <w:hideMark/>
          </w:tcPr>
          <w:p w14:paraId="0E5D00CD" w14:textId="6EF4AE83" w:rsidR="00D83AB3" w:rsidRPr="004E74A6" w:rsidRDefault="00D83AB3" w:rsidP="00CE62C1">
            <w:pPr>
              <w:spacing w:line="276" w:lineRule="auto"/>
              <w:jc w:val="center"/>
              <w:rPr>
                <w:rFonts w:cs="Calibri"/>
                <w:color w:val="000000"/>
                <w:sz w:val="20"/>
                <w:lang w:eastAsia="es-CR"/>
              </w:rPr>
            </w:pPr>
            <w:r w:rsidRPr="004E74A6">
              <w:rPr>
                <w:rFonts w:cs="Calibri"/>
                <w:color w:val="000000"/>
                <w:sz w:val="20"/>
              </w:rPr>
              <w:t>5781</w:t>
            </w:r>
          </w:p>
        </w:tc>
        <w:tc>
          <w:tcPr>
            <w:tcW w:w="519" w:type="pct"/>
            <w:tcBorders>
              <w:left w:val="single" w:sz="4" w:space="0" w:color="auto"/>
              <w:right w:val="single" w:sz="4" w:space="0" w:color="auto"/>
            </w:tcBorders>
            <w:shd w:val="clear" w:color="auto" w:fill="E2EFD9" w:themeFill="accent6" w:themeFillTint="33"/>
            <w:noWrap/>
            <w:vAlign w:val="bottom"/>
            <w:hideMark/>
          </w:tcPr>
          <w:p w14:paraId="20F47996" w14:textId="61F45EB3" w:rsidR="00D83AB3" w:rsidRPr="004E74A6" w:rsidRDefault="00D83AB3" w:rsidP="00CE62C1">
            <w:pPr>
              <w:spacing w:line="276" w:lineRule="auto"/>
              <w:jc w:val="center"/>
              <w:rPr>
                <w:rFonts w:cs="Calibri"/>
                <w:color w:val="000000"/>
                <w:sz w:val="20"/>
                <w:lang w:eastAsia="es-CR"/>
              </w:rPr>
            </w:pPr>
            <w:r w:rsidRPr="004E74A6">
              <w:rPr>
                <w:rFonts w:cs="Calibri"/>
                <w:color w:val="000000"/>
                <w:sz w:val="20"/>
              </w:rPr>
              <w:t>743</w:t>
            </w:r>
          </w:p>
        </w:tc>
        <w:tc>
          <w:tcPr>
            <w:tcW w:w="520" w:type="pct"/>
            <w:tcBorders>
              <w:left w:val="single" w:sz="4" w:space="0" w:color="auto"/>
              <w:right w:val="single" w:sz="4" w:space="0" w:color="auto"/>
            </w:tcBorders>
            <w:shd w:val="clear" w:color="auto" w:fill="E2EFD9" w:themeFill="accent6" w:themeFillTint="33"/>
            <w:noWrap/>
            <w:vAlign w:val="bottom"/>
            <w:hideMark/>
          </w:tcPr>
          <w:p w14:paraId="5DE94369" w14:textId="52436AB9" w:rsidR="00D83AB3" w:rsidRPr="004E74A6" w:rsidRDefault="00D83AB3" w:rsidP="00CE62C1">
            <w:pPr>
              <w:spacing w:line="276" w:lineRule="auto"/>
              <w:jc w:val="center"/>
              <w:rPr>
                <w:rFonts w:cs="Calibri"/>
                <w:color w:val="000000"/>
                <w:sz w:val="20"/>
                <w:lang w:eastAsia="es-CR"/>
              </w:rPr>
            </w:pPr>
            <w:r w:rsidRPr="004E74A6">
              <w:rPr>
                <w:rFonts w:cs="Calibri"/>
                <w:color w:val="000000"/>
                <w:sz w:val="20"/>
              </w:rPr>
              <w:t>536</w:t>
            </w:r>
          </w:p>
        </w:tc>
        <w:tc>
          <w:tcPr>
            <w:tcW w:w="692" w:type="pct"/>
            <w:tcBorders>
              <w:left w:val="single" w:sz="4" w:space="0" w:color="auto"/>
            </w:tcBorders>
            <w:shd w:val="clear" w:color="auto" w:fill="E2EFD9" w:themeFill="accent6" w:themeFillTint="33"/>
            <w:noWrap/>
            <w:vAlign w:val="bottom"/>
            <w:hideMark/>
          </w:tcPr>
          <w:p w14:paraId="58CBFDC4" w14:textId="7118FBAB" w:rsidR="00D83AB3" w:rsidRPr="004E74A6" w:rsidRDefault="00D83AB3" w:rsidP="00CE62C1">
            <w:pPr>
              <w:spacing w:line="276" w:lineRule="auto"/>
              <w:jc w:val="center"/>
              <w:rPr>
                <w:rFonts w:cs="Calibri"/>
                <w:color w:val="000000"/>
                <w:sz w:val="20"/>
                <w:lang w:eastAsia="es-CR"/>
              </w:rPr>
            </w:pPr>
            <w:r w:rsidRPr="004E74A6">
              <w:rPr>
                <w:rFonts w:cs="Calibri"/>
                <w:color w:val="000000"/>
                <w:sz w:val="20"/>
              </w:rPr>
              <w:t>2353</w:t>
            </w:r>
          </w:p>
        </w:tc>
      </w:tr>
      <w:tr w:rsidR="00D83AB3" w:rsidRPr="004E74A6" w14:paraId="1883B0DB" w14:textId="77777777" w:rsidTr="00B32800">
        <w:trPr>
          <w:trHeight w:val="288"/>
          <w:jc w:val="center"/>
        </w:trPr>
        <w:tc>
          <w:tcPr>
            <w:tcW w:w="2750" w:type="pct"/>
            <w:tcBorders>
              <w:right w:val="single" w:sz="4" w:space="0" w:color="auto"/>
            </w:tcBorders>
            <w:shd w:val="clear" w:color="auto" w:fill="auto"/>
            <w:noWrap/>
            <w:vAlign w:val="bottom"/>
            <w:hideMark/>
          </w:tcPr>
          <w:p w14:paraId="5588523E" w14:textId="77777777" w:rsidR="00D83AB3" w:rsidRPr="004E74A6" w:rsidRDefault="00D83AB3" w:rsidP="00CE62C1">
            <w:pPr>
              <w:spacing w:line="276" w:lineRule="auto"/>
              <w:jc w:val="left"/>
              <w:rPr>
                <w:rFonts w:cs="Calibri"/>
                <w:color w:val="000000"/>
                <w:sz w:val="20"/>
                <w:lang w:eastAsia="es-CR"/>
              </w:rPr>
            </w:pPr>
            <w:r w:rsidRPr="004E74A6">
              <w:rPr>
                <w:rFonts w:cs="Calibri"/>
                <w:color w:val="000000"/>
                <w:sz w:val="20"/>
                <w:lang w:eastAsia="es-CR"/>
              </w:rPr>
              <w:t>Recurso</w:t>
            </w:r>
          </w:p>
        </w:tc>
        <w:tc>
          <w:tcPr>
            <w:tcW w:w="519" w:type="pct"/>
            <w:tcBorders>
              <w:left w:val="single" w:sz="4" w:space="0" w:color="auto"/>
              <w:right w:val="single" w:sz="4" w:space="0" w:color="auto"/>
            </w:tcBorders>
            <w:shd w:val="clear" w:color="auto" w:fill="auto"/>
            <w:noWrap/>
            <w:vAlign w:val="bottom"/>
            <w:hideMark/>
          </w:tcPr>
          <w:p w14:paraId="69C7E9F1" w14:textId="322D2A2F" w:rsidR="00D83AB3" w:rsidRPr="004E74A6" w:rsidRDefault="00D83AB3" w:rsidP="00CE62C1">
            <w:pPr>
              <w:spacing w:line="276" w:lineRule="auto"/>
              <w:jc w:val="center"/>
              <w:rPr>
                <w:rFonts w:cs="Calibri"/>
                <w:color w:val="000000"/>
                <w:sz w:val="20"/>
                <w:lang w:eastAsia="es-CR"/>
              </w:rPr>
            </w:pPr>
            <w:r w:rsidRPr="004E74A6">
              <w:rPr>
                <w:rFonts w:cs="Calibri"/>
                <w:color w:val="000000"/>
                <w:sz w:val="20"/>
              </w:rPr>
              <w:t>1537</w:t>
            </w:r>
          </w:p>
        </w:tc>
        <w:tc>
          <w:tcPr>
            <w:tcW w:w="519" w:type="pct"/>
            <w:tcBorders>
              <w:left w:val="single" w:sz="4" w:space="0" w:color="auto"/>
              <w:right w:val="single" w:sz="4" w:space="0" w:color="auto"/>
            </w:tcBorders>
            <w:shd w:val="clear" w:color="auto" w:fill="auto"/>
            <w:noWrap/>
            <w:vAlign w:val="bottom"/>
            <w:hideMark/>
          </w:tcPr>
          <w:p w14:paraId="35669F17" w14:textId="756F7692" w:rsidR="00D83AB3" w:rsidRPr="004E74A6" w:rsidRDefault="00D83AB3" w:rsidP="00CE62C1">
            <w:pPr>
              <w:spacing w:line="276" w:lineRule="auto"/>
              <w:jc w:val="center"/>
              <w:rPr>
                <w:rFonts w:cs="Calibri"/>
                <w:color w:val="000000"/>
                <w:sz w:val="20"/>
                <w:lang w:eastAsia="es-CR"/>
              </w:rPr>
            </w:pPr>
            <w:r w:rsidRPr="004E74A6">
              <w:rPr>
                <w:rFonts w:cs="Calibri"/>
                <w:color w:val="000000"/>
                <w:sz w:val="20"/>
              </w:rPr>
              <w:t>1159</w:t>
            </w:r>
          </w:p>
        </w:tc>
        <w:tc>
          <w:tcPr>
            <w:tcW w:w="520" w:type="pct"/>
            <w:tcBorders>
              <w:left w:val="single" w:sz="4" w:space="0" w:color="auto"/>
              <w:right w:val="single" w:sz="4" w:space="0" w:color="auto"/>
            </w:tcBorders>
            <w:shd w:val="clear" w:color="auto" w:fill="auto"/>
            <w:noWrap/>
            <w:vAlign w:val="bottom"/>
            <w:hideMark/>
          </w:tcPr>
          <w:p w14:paraId="3CF1F558" w14:textId="29B302C3" w:rsidR="00D83AB3" w:rsidRPr="004E74A6" w:rsidRDefault="00D83AB3" w:rsidP="00CE62C1">
            <w:pPr>
              <w:spacing w:line="276" w:lineRule="auto"/>
              <w:jc w:val="center"/>
              <w:rPr>
                <w:rFonts w:cs="Calibri"/>
                <w:color w:val="000000"/>
                <w:sz w:val="20"/>
                <w:lang w:eastAsia="es-CR"/>
              </w:rPr>
            </w:pPr>
            <w:r w:rsidRPr="004E74A6">
              <w:rPr>
                <w:rFonts w:cs="Calibri"/>
                <w:color w:val="000000"/>
                <w:sz w:val="20"/>
              </w:rPr>
              <w:t>1008</w:t>
            </w:r>
          </w:p>
        </w:tc>
        <w:tc>
          <w:tcPr>
            <w:tcW w:w="692" w:type="pct"/>
            <w:tcBorders>
              <w:left w:val="single" w:sz="4" w:space="0" w:color="auto"/>
            </w:tcBorders>
            <w:shd w:val="clear" w:color="auto" w:fill="auto"/>
            <w:noWrap/>
            <w:vAlign w:val="bottom"/>
            <w:hideMark/>
          </w:tcPr>
          <w:p w14:paraId="295E0F74" w14:textId="196D400E" w:rsidR="00D83AB3" w:rsidRPr="004E74A6" w:rsidRDefault="00D83AB3" w:rsidP="00CE62C1">
            <w:pPr>
              <w:spacing w:line="276" w:lineRule="auto"/>
              <w:jc w:val="center"/>
              <w:rPr>
                <w:rFonts w:cs="Calibri"/>
                <w:color w:val="000000"/>
                <w:sz w:val="20"/>
                <w:lang w:eastAsia="es-CR"/>
              </w:rPr>
            </w:pPr>
            <w:r w:rsidRPr="004E74A6">
              <w:rPr>
                <w:rFonts w:cs="Calibri"/>
                <w:color w:val="000000"/>
                <w:sz w:val="20"/>
              </w:rPr>
              <w:t>1235</w:t>
            </w:r>
          </w:p>
        </w:tc>
      </w:tr>
      <w:tr w:rsidR="00DD2BDF" w:rsidRPr="004E74A6" w14:paraId="2FAA5032" w14:textId="77777777" w:rsidTr="00D83AB3">
        <w:trPr>
          <w:trHeight w:val="288"/>
          <w:jc w:val="center"/>
        </w:trPr>
        <w:tc>
          <w:tcPr>
            <w:tcW w:w="2750" w:type="pct"/>
            <w:tcBorders>
              <w:bottom w:val="single" w:sz="4" w:space="0" w:color="auto"/>
              <w:right w:val="single" w:sz="4" w:space="0" w:color="auto"/>
            </w:tcBorders>
            <w:shd w:val="clear" w:color="auto" w:fill="auto"/>
            <w:noWrap/>
            <w:vAlign w:val="bottom"/>
          </w:tcPr>
          <w:p w14:paraId="067E1C43" w14:textId="77777777" w:rsidR="00DD2BDF" w:rsidRPr="004E74A6" w:rsidRDefault="00DD2BDF" w:rsidP="00CE62C1">
            <w:pPr>
              <w:spacing w:line="276" w:lineRule="auto"/>
              <w:jc w:val="left"/>
              <w:rPr>
                <w:rFonts w:cs="Calibri"/>
                <w:color w:val="000000"/>
                <w:sz w:val="20"/>
                <w:lang w:eastAsia="es-CR"/>
              </w:rPr>
            </w:pPr>
          </w:p>
        </w:tc>
        <w:tc>
          <w:tcPr>
            <w:tcW w:w="519" w:type="pct"/>
            <w:tcBorders>
              <w:left w:val="single" w:sz="4" w:space="0" w:color="auto"/>
              <w:bottom w:val="single" w:sz="4" w:space="0" w:color="auto"/>
              <w:right w:val="single" w:sz="4" w:space="0" w:color="auto"/>
            </w:tcBorders>
            <w:shd w:val="clear" w:color="auto" w:fill="auto"/>
            <w:noWrap/>
            <w:vAlign w:val="center"/>
          </w:tcPr>
          <w:p w14:paraId="2F0EF761" w14:textId="77777777" w:rsidR="00DD2BDF" w:rsidRPr="004E74A6" w:rsidRDefault="00DD2BDF" w:rsidP="00CE62C1">
            <w:pPr>
              <w:spacing w:line="276" w:lineRule="auto"/>
              <w:jc w:val="center"/>
              <w:rPr>
                <w:rFonts w:cs="Calibri"/>
                <w:color w:val="000000"/>
                <w:sz w:val="20"/>
                <w:lang w:eastAsia="es-CR"/>
              </w:rPr>
            </w:pPr>
          </w:p>
        </w:tc>
        <w:tc>
          <w:tcPr>
            <w:tcW w:w="519" w:type="pct"/>
            <w:tcBorders>
              <w:left w:val="single" w:sz="4" w:space="0" w:color="auto"/>
              <w:bottom w:val="single" w:sz="4" w:space="0" w:color="auto"/>
              <w:right w:val="single" w:sz="4" w:space="0" w:color="auto"/>
            </w:tcBorders>
            <w:shd w:val="clear" w:color="auto" w:fill="auto"/>
            <w:noWrap/>
            <w:vAlign w:val="center"/>
          </w:tcPr>
          <w:p w14:paraId="6C351F8F" w14:textId="77777777" w:rsidR="00DD2BDF" w:rsidRPr="004E74A6" w:rsidRDefault="00DD2BDF" w:rsidP="00CE62C1">
            <w:pPr>
              <w:spacing w:line="276" w:lineRule="auto"/>
              <w:jc w:val="center"/>
              <w:rPr>
                <w:rFonts w:cs="Calibri"/>
                <w:color w:val="000000"/>
                <w:sz w:val="20"/>
                <w:lang w:eastAsia="es-CR"/>
              </w:rPr>
            </w:pPr>
          </w:p>
        </w:tc>
        <w:tc>
          <w:tcPr>
            <w:tcW w:w="520" w:type="pct"/>
            <w:tcBorders>
              <w:left w:val="single" w:sz="4" w:space="0" w:color="auto"/>
              <w:bottom w:val="single" w:sz="4" w:space="0" w:color="auto"/>
              <w:right w:val="single" w:sz="4" w:space="0" w:color="auto"/>
            </w:tcBorders>
            <w:shd w:val="clear" w:color="auto" w:fill="auto"/>
            <w:noWrap/>
            <w:vAlign w:val="center"/>
          </w:tcPr>
          <w:p w14:paraId="4D08AA5F" w14:textId="77777777" w:rsidR="00DD2BDF" w:rsidRPr="004E74A6" w:rsidRDefault="00DD2BDF" w:rsidP="00CE62C1">
            <w:pPr>
              <w:spacing w:line="276" w:lineRule="auto"/>
              <w:jc w:val="center"/>
              <w:rPr>
                <w:rFonts w:cs="Calibri"/>
                <w:color w:val="000000"/>
                <w:sz w:val="20"/>
                <w:lang w:eastAsia="es-CR"/>
              </w:rPr>
            </w:pPr>
          </w:p>
        </w:tc>
        <w:tc>
          <w:tcPr>
            <w:tcW w:w="692" w:type="pct"/>
            <w:tcBorders>
              <w:left w:val="single" w:sz="4" w:space="0" w:color="auto"/>
              <w:bottom w:val="single" w:sz="4" w:space="0" w:color="auto"/>
            </w:tcBorders>
            <w:shd w:val="clear" w:color="auto" w:fill="auto"/>
            <w:noWrap/>
            <w:vAlign w:val="center"/>
          </w:tcPr>
          <w:p w14:paraId="607CD2A8" w14:textId="77777777" w:rsidR="00DD2BDF" w:rsidRPr="004E74A6" w:rsidRDefault="00DD2BDF" w:rsidP="00CE62C1">
            <w:pPr>
              <w:spacing w:line="276" w:lineRule="auto"/>
              <w:jc w:val="center"/>
              <w:rPr>
                <w:rFonts w:cs="Calibri"/>
                <w:color w:val="000000"/>
                <w:sz w:val="20"/>
                <w:lang w:eastAsia="es-CR"/>
              </w:rPr>
            </w:pPr>
          </w:p>
        </w:tc>
      </w:tr>
    </w:tbl>
    <w:p w14:paraId="40F0B44F" w14:textId="77777777" w:rsidR="00CE6906" w:rsidRPr="004E74A6" w:rsidRDefault="00CE6906" w:rsidP="00832773">
      <w:pPr>
        <w:spacing w:line="276" w:lineRule="auto"/>
        <w:ind w:left="397" w:right="397"/>
        <w:rPr>
          <w:rFonts w:cs="Calibri"/>
          <w:i/>
          <w:iCs/>
          <w:color w:val="000000"/>
          <w:sz w:val="20"/>
          <w:lang w:eastAsia="es-CR"/>
        </w:rPr>
      </w:pPr>
      <w:r w:rsidRPr="004E74A6">
        <w:rPr>
          <w:rFonts w:cs="Calibri"/>
          <w:b/>
          <w:bCs/>
          <w:i/>
          <w:iCs/>
          <w:color w:val="000000"/>
          <w:sz w:val="20"/>
          <w:lang w:eastAsia="es-CR"/>
        </w:rPr>
        <w:t>Fuente</w:t>
      </w:r>
      <w:r w:rsidRPr="004E74A6">
        <w:rPr>
          <w:rFonts w:cs="Calibri"/>
          <w:i/>
          <w:iCs/>
          <w:color w:val="000000"/>
          <w:sz w:val="20"/>
          <w:lang w:eastAsia="es-CR"/>
        </w:rPr>
        <w:t>: Subproceso de Modernización Institucional con datos extraídos del sistema SIGMA, Dirección de Planificación.</w:t>
      </w:r>
    </w:p>
    <w:p w14:paraId="5129F5F2" w14:textId="26D4E236" w:rsidR="008647ED" w:rsidRPr="004E74A6" w:rsidRDefault="008647ED" w:rsidP="00CE62C1">
      <w:pPr>
        <w:spacing w:after="160" w:line="276" w:lineRule="auto"/>
        <w:rPr>
          <w:rFonts w:cs="Calibri"/>
          <w:color w:val="000000"/>
          <w:szCs w:val="24"/>
          <w:lang w:eastAsia="es-CR"/>
        </w:rPr>
      </w:pPr>
      <w:r w:rsidRPr="004E74A6">
        <w:rPr>
          <w:rFonts w:cs="Calibri"/>
          <w:color w:val="000000"/>
          <w:szCs w:val="24"/>
          <w:lang w:eastAsia="es-CR"/>
        </w:rPr>
        <w:lastRenderedPageBreak/>
        <w:t>De los asuntos anteriores interesa ver con mayor detalle los Recursos, pues la cuantía determina el acceso al recurso</w:t>
      </w:r>
      <w:r w:rsidR="008F58E9" w:rsidRPr="004E74A6">
        <w:rPr>
          <w:rFonts w:cs="Calibri"/>
          <w:color w:val="000000"/>
          <w:szCs w:val="24"/>
          <w:lang w:eastAsia="es-CR"/>
        </w:rPr>
        <w:t xml:space="preserve"> (carpeta RR)</w:t>
      </w:r>
      <w:r w:rsidRPr="004E74A6">
        <w:rPr>
          <w:rFonts w:cs="Calibri"/>
          <w:color w:val="000000"/>
          <w:szCs w:val="24"/>
          <w:lang w:eastAsia="es-CR"/>
        </w:rPr>
        <w:t xml:space="preserve"> de casación que se presenta en Sala Primera</w:t>
      </w:r>
      <w:r w:rsidR="00A34F32" w:rsidRPr="004E74A6">
        <w:rPr>
          <w:rFonts w:cs="Calibri"/>
          <w:color w:val="000000"/>
          <w:szCs w:val="24"/>
          <w:lang w:eastAsia="es-CR"/>
        </w:rPr>
        <w:t xml:space="preserve"> en materia Civil</w:t>
      </w:r>
      <w:r w:rsidRPr="004E74A6">
        <w:rPr>
          <w:rFonts w:cs="Calibri"/>
          <w:color w:val="000000"/>
          <w:szCs w:val="24"/>
          <w:lang w:eastAsia="es-CR"/>
        </w:rPr>
        <w:t>.</w:t>
      </w:r>
    </w:p>
    <w:p w14:paraId="51CD3621" w14:textId="1FCF5B02" w:rsidR="008647ED" w:rsidRPr="004E74A6" w:rsidRDefault="008647ED" w:rsidP="00CE62C1">
      <w:pPr>
        <w:spacing w:after="160" w:line="276" w:lineRule="auto"/>
        <w:rPr>
          <w:rFonts w:cs="Calibri"/>
          <w:color w:val="000000"/>
          <w:szCs w:val="24"/>
          <w:lang w:eastAsia="es-CR"/>
        </w:rPr>
      </w:pPr>
      <w:r w:rsidRPr="004E74A6">
        <w:rPr>
          <w:rFonts w:cs="Calibri"/>
          <w:color w:val="000000"/>
          <w:szCs w:val="24"/>
          <w:lang w:eastAsia="es-CR"/>
        </w:rPr>
        <w:t>Sobre la distribución de los Recursos, el 90%</w:t>
      </w:r>
      <w:r w:rsidR="000E542D" w:rsidRPr="004E74A6">
        <w:rPr>
          <w:rFonts w:cs="Calibri"/>
          <w:color w:val="000000"/>
          <w:szCs w:val="24"/>
          <w:lang w:eastAsia="es-CR"/>
        </w:rPr>
        <w:t xml:space="preserve"> de la entrada</w:t>
      </w:r>
      <w:r w:rsidRPr="004E74A6">
        <w:rPr>
          <w:rFonts w:cs="Calibri"/>
          <w:color w:val="000000"/>
          <w:szCs w:val="24"/>
          <w:lang w:eastAsia="es-CR"/>
        </w:rPr>
        <w:t xml:space="preserve"> corresponde a Casaciones que</w:t>
      </w:r>
      <w:r w:rsidR="005F3611" w:rsidRPr="004E74A6">
        <w:rPr>
          <w:rFonts w:cs="Calibri"/>
          <w:color w:val="000000"/>
          <w:szCs w:val="24"/>
          <w:lang w:eastAsia="es-CR"/>
        </w:rPr>
        <w:t>, dato que como se visualiza,</w:t>
      </w:r>
      <w:r w:rsidRPr="004E74A6">
        <w:rPr>
          <w:rFonts w:cs="Calibri"/>
          <w:color w:val="000000"/>
          <w:szCs w:val="24"/>
          <w:lang w:eastAsia="es-CR"/>
        </w:rPr>
        <w:t xml:space="preserve"> en 2020 </w:t>
      </w:r>
      <w:r w:rsidR="005F3611" w:rsidRPr="004E74A6">
        <w:rPr>
          <w:rFonts w:cs="Calibri"/>
          <w:color w:val="000000"/>
          <w:szCs w:val="24"/>
          <w:lang w:eastAsia="es-CR"/>
        </w:rPr>
        <w:t>y</w:t>
      </w:r>
      <w:r w:rsidRPr="004E74A6">
        <w:rPr>
          <w:rFonts w:cs="Calibri"/>
          <w:color w:val="000000"/>
          <w:szCs w:val="24"/>
          <w:lang w:eastAsia="es-CR"/>
        </w:rPr>
        <w:t xml:space="preserve"> 2021 han sufrido una disminución en </w:t>
      </w:r>
      <w:r w:rsidR="005F3611" w:rsidRPr="004E74A6">
        <w:rPr>
          <w:rFonts w:cs="Calibri"/>
          <w:color w:val="000000"/>
          <w:szCs w:val="24"/>
          <w:lang w:eastAsia="es-CR"/>
        </w:rPr>
        <w:t>la</w:t>
      </w:r>
      <w:r w:rsidRPr="004E74A6">
        <w:rPr>
          <w:rFonts w:cs="Calibri"/>
          <w:color w:val="000000"/>
          <w:szCs w:val="24"/>
          <w:lang w:eastAsia="es-CR"/>
        </w:rPr>
        <w:t xml:space="preserve"> entrada.</w:t>
      </w:r>
    </w:p>
    <w:p w14:paraId="4A66D9F2" w14:textId="45A81AF7" w:rsidR="00CE6906" w:rsidRPr="00832773" w:rsidRDefault="00CE6906" w:rsidP="00832773">
      <w:pPr>
        <w:pStyle w:val="Descripcin"/>
        <w:keepNext/>
        <w:spacing w:line="276" w:lineRule="auto"/>
        <w:jc w:val="center"/>
        <w:rPr>
          <w:rFonts w:ascii="Book Antiqua" w:hAnsi="Book Antiqua"/>
          <w:i/>
          <w:iCs/>
          <w:sz w:val="20"/>
          <w:szCs w:val="16"/>
          <w:lang w:val="es-CR"/>
        </w:rPr>
      </w:pPr>
      <w:r w:rsidRPr="00832773">
        <w:rPr>
          <w:rFonts w:ascii="Book Antiqua" w:hAnsi="Book Antiqua"/>
          <w:i/>
          <w:iCs/>
          <w:sz w:val="20"/>
          <w:szCs w:val="16"/>
          <w:lang w:val="es-CR"/>
        </w:rPr>
        <w:t xml:space="preserve">Tabla </w:t>
      </w:r>
      <w:r w:rsidRPr="00832773">
        <w:rPr>
          <w:rFonts w:ascii="Book Antiqua" w:hAnsi="Book Antiqua"/>
          <w:i/>
          <w:iCs/>
          <w:sz w:val="20"/>
          <w:szCs w:val="16"/>
          <w:lang w:val="es-CR"/>
        </w:rPr>
        <w:fldChar w:fldCharType="begin"/>
      </w:r>
      <w:r w:rsidRPr="00832773">
        <w:rPr>
          <w:rFonts w:ascii="Book Antiqua" w:hAnsi="Book Antiqua"/>
          <w:i/>
          <w:iCs/>
          <w:sz w:val="20"/>
          <w:szCs w:val="16"/>
          <w:lang w:val="es-CR"/>
        </w:rPr>
        <w:instrText xml:space="preserve"> SEQ Tabla \* ARABIC </w:instrText>
      </w:r>
      <w:r w:rsidRPr="00832773">
        <w:rPr>
          <w:rFonts w:ascii="Book Antiqua" w:hAnsi="Book Antiqua"/>
          <w:i/>
          <w:iCs/>
          <w:sz w:val="20"/>
          <w:szCs w:val="16"/>
          <w:lang w:val="es-CR"/>
        </w:rPr>
        <w:fldChar w:fldCharType="separate"/>
      </w:r>
      <w:r w:rsidR="00374B51">
        <w:rPr>
          <w:rFonts w:ascii="Book Antiqua" w:hAnsi="Book Antiqua"/>
          <w:i/>
          <w:iCs/>
          <w:noProof/>
          <w:sz w:val="20"/>
          <w:szCs w:val="16"/>
          <w:lang w:val="es-CR"/>
        </w:rPr>
        <w:t>62</w:t>
      </w:r>
      <w:r w:rsidRPr="00832773">
        <w:rPr>
          <w:rFonts w:ascii="Book Antiqua" w:hAnsi="Book Antiqua"/>
          <w:i/>
          <w:iCs/>
          <w:sz w:val="20"/>
          <w:szCs w:val="16"/>
          <w:lang w:val="es-CR"/>
        </w:rPr>
        <w:fldChar w:fldCharType="end"/>
      </w:r>
      <w:r w:rsidRPr="00832773">
        <w:rPr>
          <w:rFonts w:ascii="Book Antiqua" w:hAnsi="Book Antiqua"/>
          <w:i/>
          <w:iCs/>
          <w:sz w:val="20"/>
          <w:szCs w:val="16"/>
          <w:lang w:val="es-CR"/>
        </w:rPr>
        <w:t xml:space="preserve"> Cantidad de recursos </w:t>
      </w:r>
      <w:r w:rsidR="00A8080E" w:rsidRPr="00832773">
        <w:rPr>
          <w:rFonts w:ascii="Book Antiqua" w:hAnsi="Book Antiqua"/>
          <w:i/>
          <w:iCs/>
          <w:sz w:val="20"/>
          <w:szCs w:val="16"/>
          <w:lang w:val="es-CR"/>
        </w:rPr>
        <w:t xml:space="preserve">entrados </w:t>
      </w:r>
      <w:r w:rsidRPr="00832773">
        <w:rPr>
          <w:rFonts w:ascii="Book Antiqua" w:hAnsi="Book Antiqua"/>
          <w:i/>
          <w:iCs/>
          <w:sz w:val="20"/>
          <w:szCs w:val="16"/>
          <w:lang w:val="es-CR"/>
        </w:rPr>
        <w:t>según clase de asuntos del 2019 al 2021 para la Sala Primera</w:t>
      </w:r>
    </w:p>
    <w:tbl>
      <w:tblPr>
        <w:tblW w:w="3635" w:type="pct"/>
        <w:jc w:val="center"/>
        <w:tblCellMar>
          <w:left w:w="70" w:type="dxa"/>
          <w:right w:w="70" w:type="dxa"/>
        </w:tblCellMar>
        <w:tblLook w:val="04A0" w:firstRow="1" w:lastRow="0" w:firstColumn="1" w:lastColumn="0" w:noHBand="0" w:noVBand="1"/>
      </w:tblPr>
      <w:tblGrid>
        <w:gridCol w:w="2799"/>
        <w:gridCol w:w="839"/>
        <w:gridCol w:w="836"/>
        <w:gridCol w:w="836"/>
        <w:gridCol w:w="1117"/>
      </w:tblGrid>
      <w:tr w:rsidR="00CE6906" w:rsidRPr="004E74A6" w14:paraId="20DC0240" w14:textId="77777777" w:rsidTr="00CE6906">
        <w:trPr>
          <w:trHeight w:val="454"/>
          <w:tblHeader/>
          <w:jc w:val="center"/>
        </w:trPr>
        <w:tc>
          <w:tcPr>
            <w:tcW w:w="2178" w:type="pct"/>
            <w:tcBorders>
              <w:top w:val="single" w:sz="4" w:space="0" w:color="auto"/>
              <w:left w:val="nil"/>
              <w:bottom w:val="single" w:sz="4" w:space="0" w:color="auto"/>
              <w:right w:val="single" w:sz="4" w:space="0" w:color="auto"/>
            </w:tcBorders>
            <w:shd w:val="clear" w:color="auto" w:fill="auto"/>
            <w:noWrap/>
            <w:vAlign w:val="center"/>
            <w:hideMark/>
          </w:tcPr>
          <w:p w14:paraId="1C663D4C"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Recurso</w:t>
            </w:r>
          </w:p>
        </w:tc>
        <w:tc>
          <w:tcPr>
            <w:tcW w:w="65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94A5CA3"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2019</w:t>
            </w:r>
          </w:p>
        </w:tc>
        <w:tc>
          <w:tcPr>
            <w:tcW w:w="65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4D08C64"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2020</w:t>
            </w:r>
          </w:p>
        </w:tc>
        <w:tc>
          <w:tcPr>
            <w:tcW w:w="65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FA6B47D" w14:textId="77777777" w:rsidR="008647ED" w:rsidRPr="004E74A6" w:rsidRDefault="008647ED" w:rsidP="00CE62C1">
            <w:pPr>
              <w:spacing w:line="276" w:lineRule="auto"/>
              <w:jc w:val="center"/>
              <w:rPr>
                <w:rFonts w:cs="Calibri"/>
                <w:color w:val="000000"/>
                <w:sz w:val="20"/>
                <w:lang w:eastAsia="es-CR"/>
              </w:rPr>
            </w:pPr>
            <w:r w:rsidRPr="004E74A6">
              <w:rPr>
                <w:rFonts w:cs="Calibri"/>
                <w:color w:val="000000"/>
                <w:sz w:val="20"/>
                <w:lang w:eastAsia="es-CR"/>
              </w:rPr>
              <w:t>2021</w:t>
            </w:r>
          </w:p>
        </w:tc>
        <w:tc>
          <w:tcPr>
            <w:tcW w:w="869" w:type="pct"/>
            <w:tcBorders>
              <w:top w:val="single" w:sz="4" w:space="0" w:color="auto"/>
              <w:left w:val="single" w:sz="4" w:space="0" w:color="auto"/>
              <w:bottom w:val="single" w:sz="4" w:space="0" w:color="auto"/>
              <w:right w:val="nil"/>
            </w:tcBorders>
            <w:shd w:val="clear" w:color="auto" w:fill="auto"/>
            <w:noWrap/>
            <w:vAlign w:val="center"/>
          </w:tcPr>
          <w:p w14:paraId="19670949" w14:textId="6541AAB7" w:rsidR="008647ED" w:rsidRPr="004E74A6" w:rsidRDefault="00CE6906" w:rsidP="00CE62C1">
            <w:pPr>
              <w:spacing w:line="276" w:lineRule="auto"/>
              <w:jc w:val="center"/>
              <w:rPr>
                <w:rFonts w:cs="Calibri"/>
                <w:color w:val="000000"/>
                <w:sz w:val="20"/>
                <w:lang w:eastAsia="es-CR"/>
              </w:rPr>
            </w:pPr>
            <w:r w:rsidRPr="004E74A6">
              <w:rPr>
                <w:rFonts w:cs="Calibri"/>
                <w:color w:val="000000"/>
                <w:sz w:val="20"/>
                <w:lang w:eastAsia="es-CR"/>
              </w:rPr>
              <w:t>Promedio</w:t>
            </w:r>
          </w:p>
        </w:tc>
      </w:tr>
      <w:tr w:rsidR="00CE6906" w:rsidRPr="004E74A6" w14:paraId="43AE5717" w14:textId="77777777" w:rsidTr="00CE6906">
        <w:trPr>
          <w:trHeight w:val="288"/>
          <w:jc w:val="center"/>
        </w:trPr>
        <w:tc>
          <w:tcPr>
            <w:tcW w:w="2178" w:type="pct"/>
            <w:tcBorders>
              <w:top w:val="single" w:sz="4" w:space="0" w:color="auto"/>
              <w:left w:val="nil"/>
              <w:bottom w:val="nil"/>
              <w:right w:val="single" w:sz="4" w:space="0" w:color="auto"/>
            </w:tcBorders>
            <w:shd w:val="clear" w:color="auto" w:fill="auto"/>
            <w:noWrap/>
            <w:vAlign w:val="center"/>
          </w:tcPr>
          <w:p w14:paraId="334F04BA" w14:textId="77777777" w:rsidR="008647ED" w:rsidRPr="004E74A6" w:rsidRDefault="008647ED" w:rsidP="00CE62C1">
            <w:pPr>
              <w:spacing w:line="276" w:lineRule="auto"/>
              <w:ind w:firstLineChars="100" w:firstLine="200"/>
              <w:jc w:val="center"/>
              <w:rPr>
                <w:rFonts w:cs="Calibri"/>
                <w:color w:val="000000"/>
                <w:sz w:val="20"/>
                <w:lang w:eastAsia="es-CR"/>
              </w:rPr>
            </w:pPr>
          </w:p>
        </w:tc>
        <w:tc>
          <w:tcPr>
            <w:tcW w:w="653" w:type="pct"/>
            <w:tcBorders>
              <w:top w:val="single" w:sz="4" w:space="0" w:color="auto"/>
              <w:left w:val="single" w:sz="4" w:space="0" w:color="auto"/>
              <w:bottom w:val="nil"/>
              <w:right w:val="single" w:sz="4" w:space="0" w:color="auto"/>
            </w:tcBorders>
            <w:shd w:val="clear" w:color="auto" w:fill="auto"/>
            <w:noWrap/>
            <w:vAlign w:val="center"/>
          </w:tcPr>
          <w:p w14:paraId="7975253D" w14:textId="77777777" w:rsidR="008647ED" w:rsidRPr="004E74A6" w:rsidRDefault="008647ED" w:rsidP="00CE62C1">
            <w:pPr>
              <w:spacing w:line="276" w:lineRule="auto"/>
              <w:jc w:val="center"/>
              <w:rPr>
                <w:rFonts w:cs="Calibri"/>
                <w:color w:val="000000"/>
                <w:sz w:val="20"/>
                <w:lang w:eastAsia="es-CR"/>
              </w:rPr>
            </w:pPr>
          </w:p>
        </w:tc>
        <w:tc>
          <w:tcPr>
            <w:tcW w:w="650" w:type="pct"/>
            <w:tcBorders>
              <w:top w:val="single" w:sz="4" w:space="0" w:color="auto"/>
              <w:left w:val="single" w:sz="4" w:space="0" w:color="auto"/>
              <w:bottom w:val="nil"/>
              <w:right w:val="single" w:sz="4" w:space="0" w:color="auto"/>
            </w:tcBorders>
            <w:shd w:val="clear" w:color="auto" w:fill="auto"/>
            <w:noWrap/>
            <w:vAlign w:val="center"/>
          </w:tcPr>
          <w:p w14:paraId="1E2294EA" w14:textId="77777777" w:rsidR="008647ED" w:rsidRPr="004E74A6" w:rsidRDefault="008647ED" w:rsidP="00CE62C1">
            <w:pPr>
              <w:spacing w:line="276" w:lineRule="auto"/>
              <w:jc w:val="center"/>
              <w:rPr>
                <w:rFonts w:cs="Calibri"/>
                <w:color w:val="000000"/>
                <w:sz w:val="20"/>
                <w:lang w:eastAsia="es-CR"/>
              </w:rPr>
            </w:pPr>
          </w:p>
        </w:tc>
        <w:tc>
          <w:tcPr>
            <w:tcW w:w="650" w:type="pct"/>
            <w:tcBorders>
              <w:top w:val="single" w:sz="4" w:space="0" w:color="auto"/>
              <w:left w:val="single" w:sz="4" w:space="0" w:color="auto"/>
              <w:bottom w:val="nil"/>
              <w:right w:val="single" w:sz="4" w:space="0" w:color="auto"/>
            </w:tcBorders>
            <w:shd w:val="clear" w:color="auto" w:fill="auto"/>
            <w:noWrap/>
            <w:vAlign w:val="center"/>
          </w:tcPr>
          <w:p w14:paraId="2FB7A34F" w14:textId="77777777" w:rsidR="008647ED" w:rsidRPr="004E74A6" w:rsidRDefault="008647ED" w:rsidP="00CE62C1">
            <w:pPr>
              <w:spacing w:line="276" w:lineRule="auto"/>
              <w:jc w:val="center"/>
              <w:rPr>
                <w:sz w:val="20"/>
                <w:lang w:eastAsia="es-CR"/>
              </w:rPr>
            </w:pPr>
          </w:p>
        </w:tc>
        <w:tc>
          <w:tcPr>
            <w:tcW w:w="869" w:type="pct"/>
            <w:tcBorders>
              <w:top w:val="single" w:sz="4" w:space="0" w:color="auto"/>
              <w:left w:val="single" w:sz="4" w:space="0" w:color="auto"/>
              <w:bottom w:val="nil"/>
              <w:right w:val="nil"/>
            </w:tcBorders>
            <w:shd w:val="clear" w:color="auto" w:fill="auto"/>
            <w:noWrap/>
            <w:vAlign w:val="center"/>
          </w:tcPr>
          <w:p w14:paraId="3300E06C" w14:textId="77777777" w:rsidR="008647ED" w:rsidRPr="004E74A6" w:rsidRDefault="008647ED" w:rsidP="00CE62C1">
            <w:pPr>
              <w:spacing w:line="276" w:lineRule="auto"/>
              <w:jc w:val="center"/>
              <w:rPr>
                <w:rFonts w:cs="Calibri"/>
                <w:color w:val="000000"/>
                <w:sz w:val="20"/>
                <w:lang w:eastAsia="es-CR"/>
              </w:rPr>
            </w:pPr>
          </w:p>
        </w:tc>
      </w:tr>
      <w:tr w:rsidR="00CE6906" w:rsidRPr="004E74A6" w14:paraId="54A59608" w14:textId="77777777" w:rsidTr="00CE6906">
        <w:trPr>
          <w:trHeight w:val="288"/>
          <w:jc w:val="center"/>
        </w:trPr>
        <w:tc>
          <w:tcPr>
            <w:tcW w:w="2178" w:type="pct"/>
            <w:tcBorders>
              <w:top w:val="nil"/>
              <w:left w:val="nil"/>
              <w:bottom w:val="nil"/>
              <w:right w:val="single" w:sz="4" w:space="0" w:color="auto"/>
            </w:tcBorders>
            <w:shd w:val="clear" w:color="auto" w:fill="auto"/>
            <w:noWrap/>
            <w:vAlign w:val="center"/>
          </w:tcPr>
          <w:p w14:paraId="124FEE9E" w14:textId="77777777" w:rsidR="00CE6906" w:rsidRPr="004E74A6" w:rsidRDefault="00CE6906" w:rsidP="00CE62C1">
            <w:pPr>
              <w:spacing w:line="276" w:lineRule="auto"/>
              <w:jc w:val="center"/>
              <w:rPr>
                <w:rFonts w:cs="Calibri"/>
                <w:color w:val="000000"/>
                <w:sz w:val="20"/>
                <w:lang w:eastAsia="es-CR"/>
              </w:rPr>
            </w:pPr>
            <w:r w:rsidRPr="004E74A6">
              <w:rPr>
                <w:rFonts w:cs="Calibri"/>
                <w:color w:val="000000"/>
                <w:sz w:val="20"/>
                <w:lang w:eastAsia="es-CR"/>
              </w:rPr>
              <w:t>Total</w:t>
            </w:r>
          </w:p>
        </w:tc>
        <w:tc>
          <w:tcPr>
            <w:tcW w:w="653" w:type="pct"/>
            <w:tcBorders>
              <w:top w:val="nil"/>
              <w:left w:val="single" w:sz="4" w:space="0" w:color="auto"/>
              <w:bottom w:val="nil"/>
              <w:right w:val="single" w:sz="4" w:space="0" w:color="auto"/>
            </w:tcBorders>
            <w:shd w:val="clear" w:color="auto" w:fill="auto"/>
            <w:noWrap/>
            <w:vAlign w:val="center"/>
          </w:tcPr>
          <w:p w14:paraId="1F81CE09" w14:textId="77777777" w:rsidR="00CE6906" w:rsidRPr="004E74A6" w:rsidRDefault="00CE6906" w:rsidP="00CE62C1">
            <w:pPr>
              <w:spacing w:line="276" w:lineRule="auto"/>
              <w:jc w:val="center"/>
              <w:rPr>
                <w:rFonts w:cs="Calibri"/>
                <w:color w:val="000000"/>
                <w:sz w:val="20"/>
                <w:lang w:eastAsia="es-CR"/>
              </w:rPr>
            </w:pPr>
            <w:r w:rsidRPr="004E74A6">
              <w:rPr>
                <w:rFonts w:cs="Calibri"/>
                <w:color w:val="000000"/>
                <w:sz w:val="20"/>
                <w:lang w:eastAsia="es-CR"/>
              </w:rPr>
              <w:t>1537</w:t>
            </w:r>
          </w:p>
        </w:tc>
        <w:tc>
          <w:tcPr>
            <w:tcW w:w="650" w:type="pct"/>
            <w:tcBorders>
              <w:top w:val="nil"/>
              <w:left w:val="single" w:sz="4" w:space="0" w:color="auto"/>
              <w:bottom w:val="nil"/>
              <w:right w:val="single" w:sz="4" w:space="0" w:color="auto"/>
            </w:tcBorders>
            <w:shd w:val="clear" w:color="auto" w:fill="auto"/>
            <w:noWrap/>
            <w:vAlign w:val="center"/>
          </w:tcPr>
          <w:p w14:paraId="51C9F04E" w14:textId="77777777" w:rsidR="00CE6906" w:rsidRPr="004E74A6" w:rsidRDefault="00CE6906" w:rsidP="00CE62C1">
            <w:pPr>
              <w:spacing w:line="276" w:lineRule="auto"/>
              <w:jc w:val="center"/>
              <w:rPr>
                <w:rFonts w:cs="Calibri"/>
                <w:color w:val="000000"/>
                <w:sz w:val="20"/>
                <w:lang w:eastAsia="es-CR"/>
              </w:rPr>
            </w:pPr>
            <w:r w:rsidRPr="004E74A6">
              <w:rPr>
                <w:rFonts w:cs="Calibri"/>
                <w:color w:val="000000"/>
                <w:sz w:val="20"/>
                <w:lang w:eastAsia="es-CR"/>
              </w:rPr>
              <w:t>1159</w:t>
            </w:r>
          </w:p>
        </w:tc>
        <w:tc>
          <w:tcPr>
            <w:tcW w:w="650" w:type="pct"/>
            <w:tcBorders>
              <w:top w:val="nil"/>
              <w:left w:val="single" w:sz="4" w:space="0" w:color="auto"/>
              <w:bottom w:val="nil"/>
              <w:right w:val="single" w:sz="4" w:space="0" w:color="auto"/>
            </w:tcBorders>
            <w:shd w:val="clear" w:color="auto" w:fill="auto"/>
            <w:noWrap/>
            <w:vAlign w:val="center"/>
          </w:tcPr>
          <w:p w14:paraId="4B14D3A6" w14:textId="77777777" w:rsidR="00CE6906" w:rsidRPr="004E74A6" w:rsidRDefault="00CE6906" w:rsidP="00CE62C1">
            <w:pPr>
              <w:spacing w:line="276" w:lineRule="auto"/>
              <w:jc w:val="center"/>
              <w:rPr>
                <w:sz w:val="20"/>
                <w:lang w:eastAsia="es-CR"/>
              </w:rPr>
            </w:pPr>
            <w:r w:rsidRPr="004E74A6">
              <w:rPr>
                <w:rFonts w:cs="Calibri"/>
                <w:color w:val="000000"/>
                <w:sz w:val="20"/>
                <w:lang w:eastAsia="es-CR"/>
              </w:rPr>
              <w:t>1008</w:t>
            </w:r>
          </w:p>
        </w:tc>
        <w:tc>
          <w:tcPr>
            <w:tcW w:w="869" w:type="pct"/>
            <w:tcBorders>
              <w:top w:val="nil"/>
              <w:left w:val="single" w:sz="4" w:space="0" w:color="auto"/>
              <w:bottom w:val="nil"/>
              <w:right w:val="nil"/>
            </w:tcBorders>
            <w:shd w:val="clear" w:color="auto" w:fill="auto"/>
            <w:noWrap/>
            <w:vAlign w:val="center"/>
          </w:tcPr>
          <w:p w14:paraId="7908760C" w14:textId="515EB132" w:rsidR="00CE6906" w:rsidRPr="004E74A6" w:rsidRDefault="00CE6906" w:rsidP="00CE62C1">
            <w:pPr>
              <w:spacing w:line="276" w:lineRule="auto"/>
              <w:jc w:val="center"/>
              <w:rPr>
                <w:rFonts w:cs="Calibri"/>
                <w:color w:val="000000"/>
                <w:sz w:val="20"/>
                <w:lang w:eastAsia="es-CR"/>
              </w:rPr>
            </w:pPr>
            <w:r w:rsidRPr="004E74A6">
              <w:rPr>
                <w:rFonts w:cs="Calibri"/>
                <w:color w:val="000000"/>
                <w:sz w:val="20"/>
              </w:rPr>
              <w:t>1235</w:t>
            </w:r>
          </w:p>
        </w:tc>
      </w:tr>
      <w:tr w:rsidR="00CE6906" w:rsidRPr="004E74A6" w14:paraId="739648E4" w14:textId="77777777" w:rsidTr="00CE6906">
        <w:trPr>
          <w:trHeight w:val="288"/>
          <w:jc w:val="center"/>
        </w:trPr>
        <w:tc>
          <w:tcPr>
            <w:tcW w:w="2178" w:type="pct"/>
            <w:tcBorders>
              <w:top w:val="nil"/>
              <w:left w:val="nil"/>
              <w:bottom w:val="nil"/>
              <w:right w:val="single" w:sz="4" w:space="0" w:color="auto"/>
            </w:tcBorders>
            <w:shd w:val="clear" w:color="auto" w:fill="auto"/>
            <w:noWrap/>
            <w:vAlign w:val="bottom"/>
          </w:tcPr>
          <w:p w14:paraId="6F798B7E" w14:textId="77777777" w:rsidR="00CE6906" w:rsidRPr="004E74A6" w:rsidRDefault="00CE6906" w:rsidP="00CE62C1">
            <w:pPr>
              <w:spacing w:line="276" w:lineRule="auto"/>
              <w:ind w:firstLineChars="100" w:firstLine="200"/>
              <w:jc w:val="left"/>
              <w:rPr>
                <w:rFonts w:cs="Calibri"/>
                <w:color w:val="000000"/>
                <w:sz w:val="20"/>
                <w:lang w:eastAsia="es-CR"/>
              </w:rPr>
            </w:pPr>
          </w:p>
        </w:tc>
        <w:tc>
          <w:tcPr>
            <w:tcW w:w="653" w:type="pct"/>
            <w:tcBorders>
              <w:top w:val="nil"/>
              <w:left w:val="single" w:sz="4" w:space="0" w:color="auto"/>
              <w:bottom w:val="nil"/>
              <w:right w:val="single" w:sz="4" w:space="0" w:color="auto"/>
            </w:tcBorders>
            <w:shd w:val="clear" w:color="auto" w:fill="auto"/>
            <w:noWrap/>
            <w:vAlign w:val="center"/>
          </w:tcPr>
          <w:p w14:paraId="24E951C4" w14:textId="77777777" w:rsidR="00CE6906" w:rsidRPr="004E74A6" w:rsidRDefault="00CE6906" w:rsidP="00CE62C1">
            <w:pPr>
              <w:spacing w:line="276" w:lineRule="auto"/>
              <w:jc w:val="center"/>
              <w:rPr>
                <w:rFonts w:cs="Calibri"/>
                <w:color w:val="000000"/>
                <w:sz w:val="20"/>
                <w:lang w:eastAsia="es-CR"/>
              </w:rPr>
            </w:pPr>
          </w:p>
        </w:tc>
        <w:tc>
          <w:tcPr>
            <w:tcW w:w="650" w:type="pct"/>
            <w:tcBorders>
              <w:top w:val="nil"/>
              <w:left w:val="single" w:sz="4" w:space="0" w:color="auto"/>
              <w:bottom w:val="nil"/>
              <w:right w:val="single" w:sz="4" w:space="0" w:color="auto"/>
            </w:tcBorders>
            <w:shd w:val="clear" w:color="auto" w:fill="auto"/>
            <w:noWrap/>
            <w:vAlign w:val="center"/>
          </w:tcPr>
          <w:p w14:paraId="25F2A2BF" w14:textId="77777777" w:rsidR="00CE6906" w:rsidRPr="004E74A6" w:rsidRDefault="00CE6906" w:rsidP="00CE62C1">
            <w:pPr>
              <w:spacing w:line="276" w:lineRule="auto"/>
              <w:jc w:val="center"/>
              <w:rPr>
                <w:rFonts w:cs="Calibri"/>
                <w:color w:val="000000"/>
                <w:sz w:val="20"/>
                <w:lang w:eastAsia="es-CR"/>
              </w:rPr>
            </w:pPr>
          </w:p>
        </w:tc>
        <w:tc>
          <w:tcPr>
            <w:tcW w:w="650" w:type="pct"/>
            <w:tcBorders>
              <w:top w:val="nil"/>
              <w:left w:val="single" w:sz="4" w:space="0" w:color="auto"/>
              <w:bottom w:val="nil"/>
              <w:right w:val="single" w:sz="4" w:space="0" w:color="auto"/>
            </w:tcBorders>
            <w:shd w:val="clear" w:color="auto" w:fill="auto"/>
            <w:noWrap/>
            <w:vAlign w:val="center"/>
          </w:tcPr>
          <w:p w14:paraId="685A4B5B" w14:textId="77777777" w:rsidR="00CE6906" w:rsidRPr="004E74A6" w:rsidRDefault="00CE6906" w:rsidP="00CE62C1">
            <w:pPr>
              <w:spacing w:line="276" w:lineRule="auto"/>
              <w:jc w:val="center"/>
              <w:rPr>
                <w:sz w:val="20"/>
                <w:lang w:eastAsia="es-CR"/>
              </w:rPr>
            </w:pPr>
          </w:p>
        </w:tc>
        <w:tc>
          <w:tcPr>
            <w:tcW w:w="869" w:type="pct"/>
            <w:tcBorders>
              <w:top w:val="nil"/>
              <w:left w:val="single" w:sz="4" w:space="0" w:color="auto"/>
              <w:bottom w:val="nil"/>
              <w:right w:val="nil"/>
            </w:tcBorders>
            <w:shd w:val="clear" w:color="auto" w:fill="auto"/>
            <w:noWrap/>
            <w:vAlign w:val="center"/>
          </w:tcPr>
          <w:p w14:paraId="6B09D752" w14:textId="77777777" w:rsidR="00CE6906" w:rsidRPr="004E74A6" w:rsidRDefault="00CE6906" w:rsidP="00CE62C1">
            <w:pPr>
              <w:spacing w:line="276" w:lineRule="auto"/>
              <w:jc w:val="center"/>
              <w:rPr>
                <w:rFonts w:cs="Calibri"/>
                <w:color w:val="000000"/>
                <w:sz w:val="20"/>
                <w:lang w:eastAsia="es-CR"/>
              </w:rPr>
            </w:pPr>
          </w:p>
        </w:tc>
      </w:tr>
      <w:tr w:rsidR="007C7336" w:rsidRPr="004E74A6" w14:paraId="42C2A27F" w14:textId="77777777" w:rsidTr="00B32800">
        <w:trPr>
          <w:trHeight w:val="288"/>
          <w:jc w:val="center"/>
        </w:trPr>
        <w:tc>
          <w:tcPr>
            <w:tcW w:w="2178" w:type="pct"/>
            <w:tcBorders>
              <w:top w:val="nil"/>
              <w:left w:val="nil"/>
              <w:bottom w:val="nil"/>
              <w:right w:val="single" w:sz="4" w:space="0" w:color="auto"/>
            </w:tcBorders>
            <w:shd w:val="clear" w:color="auto" w:fill="auto"/>
            <w:noWrap/>
            <w:vAlign w:val="bottom"/>
            <w:hideMark/>
          </w:tcPr>
          <w:p w14:paraId="67774671" w14:textId="77777777" w:rsidR="007C7336" w:rsidRPr="004E74A6" w:rsidRDefault="007C7336" w:rsidP="00CE62C1">
            <w:pPr>
              <w:spacing w:line="276" w:lineRule="auto"/>
              <w:ind w:firstLineChars="100" w:firstLine="200"/>
              <w:jc w:val="left"/>
              <w:rPr>
                <w:rFonts w:cs="Calibri"/>
                <w:color w:val="000000"/>
                <w:sz w:val="20"/>
                <w:lang w:eastAsia="es-CR"/>
              </w:rPr>
            </w:pPr>
            <w:r w:rsidRPr="004E74A6">
              <w:rPr>
                <w:rFonts w:cs="Calibri"/>
                <w:color w:val="000000"/>
                <w:sz w:val="20"/>
                <w:lang w:eastAsia="es-CR"/>
              </w:rPr>
              <w:t>Apelación</w:t>
            </w:r>
          </w:p>
        </w:tc>
        <w:tc>
          <w:tcPr>
            <w:tcW w:w="653" w:type="pct"/>
            <w:tcBorders>
              <w:top w:val="nil"/>
              <w:left w:val="single" w:sz="4" w:space="0" w:color="auto"/>
              <w:bottom w:val="nil"/>
              <w:right w:val="single" w:sz="4" w:space="0" w:color="auto"/>
            </w:tcBorders>
            <w:shd w:val="clear" w:color="auto" w:fill="auto"/>
            <w:noWrap/>
            <w:vAlign w:val="bottom"/>
            <w:hideMark/>
          </w:tcPr>
          <w:p w14:paraId="65D64161" w14:textId="3A193930" w:rsidR="007C7336" w:rsidRPr="004E74A6" w:rsidRDefault="007C7336" w:rsidP="00CE62C1">
            <w:pPr>
              <w:spacing w:line="276" w:lineRule="auto"/>
              <w:jc w:val="center"/>
              <w:rPr>
                <w:rFonts w:cs="Calibri"/>
                <w:color w:val="000000"/>
                <w:sz w:val="20"/>
                <w:lang w:eastAsia="es-CR"/>
              </w:rPr>
            </w:pPr>
            <w:r w:rsidRPr="004E74A6">
              <w:rPr>
                <w:rFonts w:cs="Calibri"/>
                <w:color w:val="000000"/>
                <w:sz w:val="20"/>
              </w:rPr>
              <w:t>2</w:t>
            </w:r>
          </w:p>
        </w:tc>
        <w:tc>
          <w:tcPr>
            <w:tcW w:w="650" w:type="pct"/>
            <w:tcBorders>
              <w:top w:val="nil"/>
              <w:left w:val="single" w:sz="4" w:space="0" w:color="auto"/>
              <w:bottom w:val="nil"/>
              <w:right w:val="single" w:sz="4" w:space="0" w:color="auto"/>
            </w:tcBorders>
            <w:shd w:val="clear" w:color="auto" w:fill="auto"/>
            <w:noWrap/>
            <w:vAlign w:val="bottom"/>
            <w:hideMark/>
          </w:tcPr>
          <w:p w14:paraId="67970864" w14:textId="74B3B82E" w:rsidR="007C7336" w:rsidRPr="004E74A6" w:rsidRDefault="007C7336" w:rsidP="00CE62C1">
            <w:pPr>
              <w:spacing w:line="276" w:lineRule="auto"/>
              <w:jc w:val="center"/>
              <w:rPr>
                <w:rFonts w:cs="Calibri"/>
                <w:color w:val="000000"/>
                <w:sz w:val="20"/>
                <w:lang w:eastAsia="es-CR"/>
              </w:rPr>
            </w:pPr>
            <w:r w:rsidRPr="004E74A6">
              <w:rPr>
                <w:rFonts w:cs="Calibri"/>
                <w:color w:val="000000"/>
                <w:sz w:val="20"/>
              </w:rPr>
              <w:t>0</w:t>
            </w:r>
          </w:p>
        </w:tc>
        <w:tc>
          <w:tcPr>
            <w:tcW w:w="650" w:type="pct"/>
            <w:tcBorders>
              <w:top w:val="nil"/>
              <w:left w:val="single" w:sz="4" w:space="0" w:color="auto"/>
              <w:bottom w:val="nil"/>
              <w:right w:val="single" w:sz="4" w:space="0" w:color="auto"/>
            </w:tcBorders>
            <w:shd w:val="clear" w:color="auto" w:fill="auto"/>
            <w:noWrap/>
            <w:vAlign w:val="bottom"/>
            <w:hideMark/>
          </w:tcPr>
          <w:p w14:paraId="2829E296" w14:textId="2DADC36F" w:rsidR="007C7336" w:rsidRPr="004E74A6" w:rsidRDefault="007C7336" w:rsidP="00CE62C1">
            <w:pPr>
              <w:spacing w:line="276" w:lineRule="auto"/>
              <w:jc w:val="center"/>
              <w:rPr>
                <w:sz w:val="20"/>
                <w:lang w:eastAsia="es-CR"/>
              </w:rPr>
            </w:pPr>
            <w:r w:rsidRPr="004E74A6">
              <w:rPr>
                <w:rFonts w:cs="Calibri"/>
                <w:color w:val="000000"/>
                <w:sz w:val="20"/>
              </w:rPr>
              <w:t>0</w:t>
            </w:r>
          </w:p>
        </w:tc>
        <w:tc>
          <w:tcPr>
            <w:tcW w:w="869" w:type="pct"/>
            <w:tcBorders>
              <w:top w:val="nil"/>
              <w:left w:val="single" w:sz="4" w:space="0" w:color="auto"/>
              <w:bottom w:val="nil"/>
              <w:right w:val="nil"/>
            </w:tcBorders>
            <w:shd w:val="clear" w:color="auto" w:fill="auto"/>
            <w:noWrap/>
            <w:vAlign w:val="bottom"/>
            <w:hideMark/>
          </w:tcPr>
          <w:p w14:paraId="69E64A70" w14:textId="76405ED4" w:rsidR="007C7336" w:rsidRPr="004E74A6" w:rsidRDefault="007C7336" w:rsidP="00CE62C1">
            <w:pPr>
              <w:spacing w:line="276" w:lineRule="auto"/>
              <w:jc w:val="center"/>
              <w:rPr>
                <w:rFonts w:cs="Calibri"/>
                <w:color w:val="000000"/>
                <w:sz w:val="20"/>
                <w:lang w:eastAsia="es-CR"/>
              </w:rPr>
            </w:pPr>
            <w:r w:rsidRPr="004E74A6">
              <w:rPr>
                <w:rFonts w:cs="Calibri"/>
                <w:color w:val="000000"/>
                <w:sz w:val="20"/>
              </w:rPr>
              <w:t>0,7</w:t>
            </w:r>
          </w:p>
        </w:tc>
      </w:tr>
      <w:tr w:rsidR="007C7336" w:rsidRPr="004E74A6" w14:paraId="7B0EE735" w14:textId="77777777" w:rsidTr="00B32800">
        <w:trPr>
          <w:trHeight w:val="288"/>
          <w:jc w:val="center"/>
        </w:trPr>
        <w:tc>
          <w:tcPr>
            <w:tcW w:w="2178" w:type="pct"/>
            <w:tcBorders>
              <w:top w:val="nil"/>
              <w:left w:val="nil"/>
              <w:bottom w:val="nil"/>
              <w:right w:val="single" w:sz="4" w:space="0" w:color="auto"/>
            </w:tcBorders>
            <w:shd w:val="clear" w:color="auto" w:fill="9CC2E5" w:themeFill="accent5" w:themeFillTint="99"/>
            <w:noWrap/>
            <w:vAlign w:val="bottom"/>
            <w:hideMark/>
          </w:tcPr>
          <w:p w14:paraId="3FE0CCFC" w14:textId="77777777" w:rsidR="007C7336" w:rsidRPr="004E74A6" w:rsidRDefault="007C7336" w:rsidP="00CE62C1">
            <w:pPr>
              <w:spacing w:line="276" w:lineRule="auto"/>
              <w:ind w:firstLineChars="100" w:firstLine="200"/>
              <w:jc w:val="left"/>
              <w:rPr>
                <w:rFonts w:cs="Calibri"/>
                <w:color w:val="000000"/>
                <w:sz w:val="20"/>
                <w:lang w:eastAsia="es-CR"/>
              </w:rPr>
            </w:pPr>
            <w:r w:rsidRPr="004E74A6">
              <w:rPr>
                <w:rFonts w:cs="Calibri"/>
                <w:color w:val="000000"/>
                <w:sz w:val="20"/>
                <w:lang w:eastAsia="es-CR"/>
              </w:rPr>
              <w:t>Casación</w:t>
            </w:r>
          </w:p>
        </w:tc>
        <w:tc>
          <w:tcPr>
            <w:tcW w:w="653" w:type="pct"/>
            <w:tcBorders>
              <w:top w:val="nil"/>
              <w:left w:val="single" w:sz="4" w:space="0" w:color="auto"/>
              <w:bottom w:val="nil"/>
              <w:right w:val="single" w:sz="4" w:space="0" w:color="auto"/>
            </w:tcBorders>
            <w:shd w:val="clear" w:color="auto" w:fill="9CC2E5" w:themeFill="accent5" w:themeFillTint="99"/>
            <w:noWrap/>
            <w:vAlign w:val="bottom"/>
            <w:hideMark/>
          </w:tcPr>
          <w:p w14:paraId="2E24BA23" w14:textId="1BB54110" w:rsidR="007C7336" w:rsidRPr="004E74A6" w:rsidRDefault="007C7336" w:rsidP="00CE62C1">
            <w:pPr>
              <w:spacing w:line="276" w:lineRule="auto"/>
              <w:jc w:val="center"/>
              <w:rPr>
                <w:rFonts w:cs="Calibri"/>
                <w:color w:val="000000"/>
                <w:sz w:val="20"/>
                <w:lang w:eastAsia="es-CR"/>
              </w:rPr>
            </w:pPr>
            <w:r w:rsidRPr="004E74A6">
              <w:rPr>
                <w:rFonts w:cs="Calibri"/>
                <w:color w:val="000000"/>
                <w:sz w:val="20"/>
              </w:rPr>
              <w:t>1347</w:t>
            </w:r>
          </w:p>
        </w:tc>
        <w:tc>
          <w:tcPr>
            <w:tcW w:w="650" w:type="pct"/>
            <w:tcBorders>
              <w:top w:val="nil"/>
              <w:left w:val="single" w:sz="4" w:space="0" w:color="auto"/>
              <w:bottom w:val="nil"/>
              <w:right w:val="single" w:sz="4" w:space="0" w:color="auto"/>
            </w:tcBorders>
            <w:shd w:val="clear" w:color="auto" w:fill="9CC2E5" w:themeFill="accent5" w:themeFillTint="99"/>
            <w:noWrap/>
            <w:vAlign w:val="bottom"/>
            <w:hideMark/>
          </w:tcPr>
          <w:p w14:paraId="52059B58" w14:textId="429378A5" w:rsidR="007C7336" w:rsidRPr="004E74A6" w:rsidRDefault="007C7336" w:rsidP="00CE62C1">
            <w:pPr>
              <w:spacing w:line="276" w:lineRule="auto"/>
              <w:jc w:val="center"/>
              <w:rPr>
                <w:rFonts w:cs="Calibri"/>
                <w:color w:val="000000"/>
                <w:sz w:val="20"/>
                <w:lang w:eastAsia="es-CR"/>
              </w:rPr>
            </w:pPr>
            <w:r w:rsidRPr="004E74A6">
              <w:rPr>
                <w:rFonts w:cs="Calibri"/>
                <w:color w:val="000000"/>
                <w:sz w:val="20"/>
              </w:rPr>
              <w:t>1068</w:t>
            </w:r>
          </w:p>
        </w:tc>
        <w:tc>
          <w:tcPr>
            <w:tcW w:w="650" w:type="pct"/>
            <w:tcBorders>
              <w:top w:val="nil"/>
              <w:left w:val="single" w:sz="4" w:space="0" w:color="auto"/>
              <w:bottom w:val="nil"/>
              <w:right w:val="single" w:sz="4" w:space="0" w:color="auto"/>
            </w:tcBorders>
            <w:shd w:val="clear" w:color="auto" w:fill="9CC2E5" w:themeFill="accent5" w:themeFillTint="99"/>
            <w:noWrap/>
            <w:vAlign w:val="bottom"/>
            <w:hideMark/>
          </w:tcPr>
          <w:p w14:paraId="3C255583" w14:textId="382CD307" w:rsidR="007C7336" w:rsidRPr="004E74A6" w:rsidRDefault="007C7336" w:rsidP="00CE62C1">
            <w:pPr>
              <w:spacing w:line="276" w:lineRule="auto"/>
              <w:jc w:val="center"/>
              <w:rPr>
                <w:rFonts w:cs="Calibri"/>
                <w:color w:val="000000"/>
                <w:sz w:val="20"/>
                <w:lang w:eastAsia="es-CR"/>
              </w:rPr>
            </w:pPr>
            <w:r w:rsidRPr="004E74A6">
              <w:rPr>
                <w:rFonts w:cs="Calibri"/>
                <w:color w:val="000000"/>
                <w:sz w:val="20"/>
              </w:rPr>
              <w:t>930</w:t>
            </w:r>
          </w:p>
        </w:tc>
        <w:tc>
          <w:tcPr>
            <w:tcW w:w="869" w:type="pct"/>
            <w:tcBorders>
              <w:top w:val="nil"/>
              <w:left w:val="single" w:sz="4" w:space="0" w:color="auto"/>
              <w:bottom w:val="nil"/>
              <w:right w:val="nil"/>
            </w:tcBorders>
            <w:shd w:val="clear" w:color="auto" w:fill="9CC2E5" w:themeFill="accent5" w:themeFillTint="99"/>
            <w:noWrap/>
            <w:vAlign w:val="bottom"/>
            <w:hideMark/>
          </w:tcPr>
          <w:p w14:paraId="7F4E548F" w14:textId="1F86D74D" w:rsidR="007C7336" w:rsidRPr="004E74A6" w:rsidRDefault="007C7336" w:rsidP="00CE62C1">
            <w:pPr>
              <w:spacing w:line="276" w:lineRule="auto"/>
              <w:jc w:val="center"/>
              <w:rPr>
                <w:rFonts w:cs="Calibri"/>
                <w:color w:val="000000"/>
                <w:sz w:val="20"/>
                <w:lang w:eastAsia="es-CR"/>
              </w:rPr>
            </w:pPr>
            <w:r w:rsidRPr="004E74A6">
              <w:rPr>
                <w:rFonts w:cs="Calibri"/>
                <w:color w:val="000000"/>
                <w:sz w:val="20"/>
              </w:rPr>
              <w:t>1115,0</w:t>
            </w:r>
          </w:p>
        </w:tc>
      </w:tr>
      <w:tr w:rsidR="007C7336" w:rsidRPr="004E74A6" w14:paraId="547CE1C7" w14:textId="77777777" w:rsidTr="00B32800">
        <w:trPr>
          <w:trHeight w:val="288"/>
          <w:jc w:val="center"/>
        </w:trPr>
        <w:tc>
          <w:tcPr>
            <w:tcW w:w="2178" w:type="pct"/>
            <w:tcBorders>
              <w:top w:val="nil"/>
              <w:left w:val="nil"/>
              <w:bottom w:val="nil"/>
              <w:right w:val="single" w:sz="4" w:space="0" w:color="auto"/>
            </w:tcBorders>
            <w:shd w:val="clear" w:color="auto" w:fill="auto"/>
            <w:noWrap/>
            <w:vAlign w:val="bottom"/>
            <w:hideMark/>
          </w:tcPr>
          <w:p w14:paraId="05C8E6CD" w14:textId="77777777" w:rsidR="007C7336" w:rsidRPr="004E74A6" w:rsidRDefault="007C7336" w:rsidP="00CE62C1">
            <w:pPr>
              <w:spacing w:line="276" w:lineRule="auto"/>
              <w:ind w:firstLineChars="100" w:firstLine="200"/>
              <w:jc w:val="left"/>
              <w:rPr>
                <w:rFonts w:cs="Calibri"/>
                <w:color w:val="000000"/>
                <w:sz w:val="20"/>
                <w:lang w:eastAsia="es-CR"/>
              </w:rPr>
            </w:pPr>
            <w:r w:rsidRPr="004E74A6">
              <w:rPr>
                <w:rFonts w:cs="Calibri"/>
                <w:color w:val="000000"/>
                <w:sz w:val="20"/>
                <w:lang w:eastAsia="es-CR"/>
              </w:rPr>
              <w:t>Competencia Por Conflicto</w:t>
            </w:r>
          </w:p>
        </w:tc>
        <w:tc>
          <w:tcPr>
            <w:tcW w:w="653" w:type="pct"/>
            <w:tcBorders>
              <w:top w:val="nil"/>
              <w:left w:val="single" w:sz="4" w:space="0" w:color="auto"/>
              <w:bottom w:val="nil"/>
              <w:right w:val="single" w:sz="4" w:space="0" w:color="auto"/>
            </w:tcBorders>
            <w:shd w:val="clear" w:color="auto" w:fill="auto"/>
            <w:noWrap/>
            <w:vAlign w:val="bottom"/>
            <w:hideMark/>
          </w:tcPr>
          <w:p w14:paraId="074AF468" w14:textId="458DC32E" w:rsidR="007C7336" w:rsidRPr="004E74A6" w:rsidRDefault="007C7336" w:rsidP="00CE62C1">
            <w:pPr>
              <w:spacing w:line="276" w:lineRule="auto"/>
              <w:jc w:val="center"/>
              <w:rPr>
                <w:rFonts w:cs="Calibri"/>
                <w:color w:val="000000"/>
                <w:sz w:val="20"/>
                <w:lang w:eastAsia="es-CR"/>
              </w:rPr>
            </w:pPr>
            <w:r w:rsidRPr="004E74A6">
              <w:rPr>
                <w:rFonts w:cs="Calibri"/>
                <w:color w:val="000000"/>
                <w:sz w:val="20"/>
              </w:rPr>
              <w:t>23</w:t>
            </w:r>
          </w:p>
        </w:tc>
        <w:tc>
          <w:tcPr>
            <w:tcW w:w="650" w:type="pct"/>
            <w:tcBorders>
              <w:top w:val="nil"/>
              <w:left w:val="single" w:sz="4" w:space="0" w:color="auto"/>
              <w:bottom w:val="nil"/>
              <w:right w:val="single" w:sz="4" w:space="0" w:color="auto"/>
            </w:tcBorders>
            <w:shd w:val="clear" w:color="auto" w:fill="auto"/>
            <w:noWrap/>
            <w:vAlign w:val="bottom"/>
            <w:hideMark/>
          </w:tcPr>
          <w:p w14:paraId="618EFA84" w14:textId="1F06D395" w:rsidR="007C7336" w:rsidRPr="004E74A6" w:rsidRDefault="007C7336" w:rsidP="00CE62C1">
            <w:pPr>
              <w:spacing w:line="276" w:lineRule="auto"/>
              <w:jc w:val="center"/>
              <w:rPr>
                <w:rFonts w:cs="Calibri"/>
                <w:color w:val="000000"/>
                <w:sz w:val="20"/>
                <w:lang w:eastAsia="es-CR"/>
              </w:rPr>
            </w:pPr>
            <w:r w:rsidRPr="004E74A6">
              <w:rPr>
                <w:rFonts w:cs="Calibri"/>
                <w:color w:val="000000"/>
                <w:sz w:val="20"/>
              </w:rPr>
              <w:t>24</w:t>
            </w:r>
          </w:p>
        </w:tc>
        <w:tc>
          <w:tcPr>
            <w:tcW w:w="650" w:type="pct"/>
            <w:tcBorders>
              <w:top w:val="nil"/>
              <w:left w:val="single" w:sz="4" w:space="0" w:color="auto"/>
              <w:bottom w:val="nil"/>
              <w:right w:val="single" w:sz="4" w:space="0" w:color="auto"/>
            </w:tcBorders>
            <w:shd w:val="clear" w:color="auto" w:fill="auto"/>
            <w:noWrap/>
            <w:vAlign w:val="bottom"/>
            <w:hideMark/>
          </w:tcPr>
          <w:p w14:paraId="452D97C2" w14:textId="7ECD8DAC" w:rsidR="007C7336" w:rsidRPr="004E74A6" w:rsidRDefault="007C7336" w:rsidP="00CE62C1">
            <w:pPr>
              <w:spacing w:line="276" w:lineRule="auto"/>
              <w:jc w:val="center"/>
              <w:rPr>
                <w:rFonts w:cs="Calibri"/>
                <w:color w:val="000000"/>
                <w:sz w:val="20"/>
                <w:lang w:eastAsia="es-CR"/>
              </w:rPr>
            </w:pPr>
            <w:r w:rsidRPr="004E74A6">
              <w:rPr>
                <w:rFonts w:cs="Calibri"/>
                <w:color w:val="000000"/>
                <w:sz w:val="20"/>
              </w:rPr>
              <w:t>20</w:t>
            </w:r>
          </w:p>
        </w:tc>
        <w:tc>
          <w:tcPr>
            <w:tcW w:w="869" w:type="pct"/>
            <w:tcBorders>
              <w:top w:val="nil"/>
              <w:left w:val="single" w:sz="4" w:space="0" w:color="auto"/>
              <w:bottom w:val="nil"/>
              <w:right w:val="nil"/>
            </w:tcBorders>
            <w:shd w:val="clear" w:color="auto" w:fill="auto"/>
            <w:noWrap/>
            <w:vAlign w:val="bottom"/>
            <w:hideMark/>
          </w:tcPr>
          <w:p w14:paraId="0123C658" w14:textId="3DD2EC9D" w:rsidR="007C7336" w:rsidRPr="004E74A6" w:rsidRDefault="007C7336" w:rsidP="00CE62C1">
            <w:pPr>
              <w:spacing w:line="276" w:lineRule="auto"/>
              <w:jc w:val="center"/>
              <w:rPr>
                <w:rFonts w:cs="Calibri"/>
                <w:color w:val="000000"/>
                <w:sz w:val="20"/>
                <w:lang w:eastAsia="es-CR"/>
              </w:rPr>
            </w:pPr>
            <w:r w:rsidRPr="004E74A6">
              <w:rPr>
                <w:rFonts w:cs="Calibri"/>
                <w:color w:val="000000"/>
                <w:sz w:val="20"/>
              </w:rPr>
              <w:t>22,3</w:t>
            </w:r>
          </w:p>
        </w:tc>
      </w:tr>
      <w:tr w:rsidR="007C7336" w:rsidRPr="004E74A6" w14:paraId="44367595" w14:textId="77777777" w:rsidTr="00B32800">
        <w:trPr>
          <w:trHeight w:val="288"/>
          <w:jc w:val="center"/>
        </w:trPr>
        <w:tc>
          <w:tcPr>
            <w:tcW w:w="2178" w:type="pct"/>
            <w:tcBorders>
              <w:top w:val="nil"/>
              <w:left w:val="nil"/>
              <w:bottom w:val="nil"/>
              <w:right w:val="single" w:sz="4" w:space="0" w:color="auto"/>
            </w:tcBorders>
            <w:shd w:val="clear" w:color="auto" w:fill="auto"/>
            <w:noWrap/>
            <w:vAlign w:val="bottom"/>
            <w:hideMark/>
          </w:tcPr>
          <w:p w14:paraId="55EE77E5" w14:textId="77777777" w:rsidR="007C7336" w:rsidRPr="004E74A6" w:rsidRDefault="007C7336" w:rsidP="00CE62C1">
            <w:pPr>
              <w:spacing w:line="276" w:lineRule="auto"/>
              <w:ind w:firstLineChars="100" w:firstLine="200"/>
              <w:jc w:val="left"/>
              <w:rPr>
                <w:rFonts w:cs="Calibri"/>
                <w:color w:val="000000"/>
                <w:sz w:val="20"/>
                <w:lang w:eastAsia="es-CR"/>
              </w:rPr>
            </w:pPr>
            <w:r w:rsidRPr="004E74A6">
              <w:rPr>
                <w:rFonts w:cs="Calibri"/>
                <w:color w:val="000000"/>
                <w:sz w:val="20"/>
                <w:lang w:eastAsia="es-CR"/>
              </w:rPr>
              <w:t>Competencia Por Consulta</w:t>
            </w:r>
          </w:p>
        </w:tc>
        <w:tc>
          <w:tcPr>
            <w:tcW w:w="653" w:type="pct"/>
            <w:tcBorders>
              <w:top w:val="nil"/>
              <w:left w:val="single" w:sz="4" w:space="0" w:color="auto"/>
              <w:bottom w:val="nil"/>
              <w:right w:val="single" w:sz="4" w:space="0" w:color="auto"/>
            </w:tcBorders>
            <w:shd w:val="clear" w:color="auto" w:fill="auto"/>
            <w:noWrap/>
            <w:vAlign w:val="bottom"/>
            <w:hideMark/>
          </w:tcPr>
          <w:p w14:paraId="387A6103" w14:textId="32184A98" w:rsidR="007C7336" w:rsidRPr="004E74A6" w:rsidRDefault="007C7336" w:rsidP="00CE62C1">
            <w:pPr>
              <w:spacing w:line="276" w:lineRule="auto"/>
              <w:jc w:val="center"/>
              <w:rPr>
                <w:rFonts w:cs="Calibri"/>
                <w:color w:val="000000"/>
                <w:sz w:val="20"/>
                <w:lang w:eastAsia="es-CR"/>
              </w:rPr>
            </w:pPr>
            <w:r w:rsidRPr="004E74A6">
              <w:rPr>
                <w:rFonts w:cs="Calibri"/>
                <w:color w:val="000000"/>
                <w:sz w:val="20"/>
              </w:rPr>
              <w:t>55</w:t>
            </w:r>
          </w:p>
        </w:tc>
        <w:tc>
          <w:tcPr>
            <w:tcW w:w="650" w:type="pct"/>
            <w:tcBorders>
              <w:top w:val="nil"/>
              <w:left w:val="single" w:sz="4" w:space="0" w:color="auto"/>
              <w:bottom w:val="nil"/>
              <w:right w:val="single" w:sz="4" w:space="0" w:color="auto"/>
            </w:tcBorders>
            <w:shd w:val="clear" w:color="auto" w:fill="auto"/>
            <w:noWrap/>
            <w:vAlign w:val="bottom"/>
            <w:hideMark/>
          </w:tcPr>
          <w:p w14:paraId="49E87B3E" w14:textId="39DA10C9" w:rsidR="007C7336" w:rsidRPr="004E74A6" w:rsidRDefault="007C7336" w:rsidP="00CE62C1">
            <w:pPr>
              <w:spacing w:line="276" w:lineRule="auto"/>
              <w:jc w:val="center"/>
              <w:rPr>
                <w:rFonts w:cs="Calibri"/>
                <w:color w:val="000000"/>
                <w:sz w:val="20"/>
                <w:lang w:eastAsia="es-CR"/>
              </w:rPr>
            </w:pPr>
            <w:r w:rsidRPr="004E74A6">
              <w:rPr>
                <w:rFonts w:cs="Calibri"/>
                <w:color w:val="000000"/>
                <w:sz w:val="20"/>
              </w:rPr>
              <w:t>64</w:t>
            </w:r>
          </w:p>
        </w:tc>
        <w:tc>
          <w:tcPr>
            <w:tcW w:w="650" w:type="pct"/>
            <w:tcBorders>
              <w:top w:val="nil"/>
              <w:left w:val="single" w:sz="4" w:space="0" w:color="auto"/>
              <w:bottom w:val="nil"/>
              <w:right w:val="single" w:sz="4" w:space="0" w:color="auto"/>
            </w:tcBorders>
            <w:shd w:val="clear" w:color="auto" w:fill="auto"/>
            <w:noWrap/>
            <w:vAlign w:val="bottom"/>
            <w:hideMark/>
          </w:tcPr>
          <w:p w14:paraId="76CCDA7A" w14:textId="35B1854F" w:rsidR="007C7336" w:rsidRPr="004E74A6" w:rsidRDefault="007C7336" w:rsidP="00CE62C1">
            <w:pPr>
              <w:spacing w:line="276" w:lineRule="auto"/>
              <w:jc w:val="center"/>
              <w:rPr>
                <w:rFonts w:cs="Calibri"/>
                <w:color w:val="000000"/>
                <w:sz w:val="20"/>
                <w:lang w:eastAsia="es-CR"/>
              </w:rPr>
            </w:pPr>
            <w:r w:rsidRPr="004E74A6">
              <w:rPr>
                <w:rFonts w:cs="Calibri"/>
                <w:color w:val="000000"/>
                <w:sz w:val="20"/>
              </w:rPr>
              <w:t>50</w:t>
            </w:r>
          </w:p>
        </w:tc>
        <w:tc>
          <w:tcPr>
            <w:tcW w:w="869" w:type="pct"/>
            <w:tcBorders>
              <w:top w:val="nil"/>
              <w:left w:val="single" w:sz="4" w:space="0" w:color="auto"/>
              <w:bottom w:val="nil"/>
              <w:right w:val="nil"/>
            </w:tcBorders>
            <w:shd w:val="clear" w:color="auto" w:fill="auto"/>
            <w:noWrap/>
            <w:vAlign w:val="bottom"/>
            <w:hideMark/>
          </w:tcPr>
          <w:p w14:paraId="2BE67C2C" w14:textId="0E8FAB09" w:rsidR="007C7336" w:rsidRPr="004E74A6" w:rsidRDefault="007C7336" w:rsidP="00CE62C1">
            <w:pPr>
              <w:spacing w:line="276" w:lineRule="auto"/>
              <w:jc w:val="center"/>
              <w:rPr>
                <w:rFonts w:cs="Calibri"/>
                <w:color w:val="000000"/>
                <w:sz w:val="20"/>
                <w:lang w:eastAsia="es-CR"/>
              </w:rPr>
            </w:pPr>
            <w:r w:rsidRPr="004E74A6">
              <w:rPr>
                <w:rFonts w:cs="Calibri"/>
                <w:color w:val="000000"/>
                <w:sz w:val="20"/>
              </w:rPr>
              <w:t>56,3</w:t>
            </w:r>
          </w:p>
        </w:tc>
      </w:tr>
      <w:tr w:rsidR="007C7336" w:rsidRPr="004E74A6" w14:paraId="3E6740CE" w14:textId="77777777" w:rsidTr="00B32800">
        <w:trPr>
          <w:trHeight w:val="288"/>
          <w:jc w:val="center"/>
        </w:trPr>
        <w:tc>
          <w:tcPr>
            <w:tcW w:w="2178" w:type="pct"/>
            <w:tcBorders>
              <w:top w:val="nil"/>
              <w:left w:val="nil"/>
              <w:bottom w:val="nil"/>
              <w:right w:val="single" w:sz="4" w:space="0" w:color="auto"/>
            </w:tcBorders>
            <w:shd w:val="clear" w:color="auto" w:fill="auto"/>
            <w:noWrap/>
            <w:vAlign w:val="bottom"/>
            <w:hideMark/>
          </w:tcPr>
          <w:p w14:paraId="7849A78C" w14:textId="77777777" w:rsidR="007C7336" w:rsidRPr="004E74A6" w:rsidRDefault="007C7336" w:rsidP="00CE62C1">
            <w:pPr>
              <w:spacing w:line="276" w:lineRule="auto"/>
              <w:ind w:firstLineChars="100" w:firstLine="200"/>
              <w:jc w:val="left"/>
              <w:rPr>
                <w:rFonts w:cs="Calibri"/>
                <w:color w:val="000000"/>
                <w:sz w:val="20"/>
                <w:lang w:eastAsia="es-CR"/>
              </w:rPr>
            </w:pPr>
            <w:r w:rsidRPr="004E74A6">
              <w:rPr>
                <w:rFonts w:cs="Calibri"/>
                <w:color w:val="000000"/>
                <w:sz w:val="20"/>
                <w:lang w:eastAsia="es-CR"/>
              </w:rPr>
              <w:t>Conflicto De Competencia</w:t>
            </w:r>
          </w:p>
        </w:tc>
        <w:tc>
          <w:tcPr>
            <w:tcW w:w="653" w:type="pct"/>
            <w:tcBorders>
              <w:top w:val="nil"/>
              <w:left w:val="single" w:sz="4" w:space="0" w:color="auto"/>
              <w:bottom w:val="nil"/>
              <w:right w:val="single" w:sz="4" w:space="0" w:color="auto"/>
            </w:tcBorders>
            <w:shd w:val="clear" w:color="auto" w:fill="auto"/>
            <w:noWrap/>
            <w:vAlign w:val="bottom"/>
            <w:hideMark/>
          </w:tcPr>
          <w:p w14:paraId="3CAD9E92" w14:textId="18F89CFE" w:rsidR="007C7336" w:rsidRPr="004E74A6" w:rsidRDefault="007C7336" w:rsidP="00CE62C1">
            <w:pPr>
              <w:spacing w:line="276" w:lineRule="auto"/>
              <w:jc w:val="center"/>
              <w:rPr>
                <w:rFonts w:cs="Calibri"/>
                <w:color w:val="000000"/>
                <w:sz w:val="20"/>
                <w:lang w:eastAsia="es-CR"/>
              </w:rPr>
            </w:pPr>
            <w:r w:rsidRPr="004E74A6">
              <w:rPr>
                <w:rFonts w:cs="Calibri"/>
                <w:color w:val="000000"/>
                <w:sz w:val="20"/>
              </w:rPr>
              <w:t>102</w:t>
            </w:r>
          </w:p>
        </w:tc>
        <w:tc>
          <w:tcPr>
            <w:tcW w:w="650" w:type="pct"/>
            <w:tcBorders>
              <w:top w:val="nil"/>
              <w:left w:val="single" w:sz="4" w:space="0" w:color="auto"/>
              <w:bottom w:val="nil"/>
              <w:right w:val="single" w:sz="4" w:space="0" w:color="auto"/>
            </w:tcBorders>
            <w:shd w:val="clear" w:color="auto" w:fill="auto"/>
            <w:noWrap/>
            <w:vAlign w:val="bottom"/>
            <w:hideMark/>
          </w:tcPr>
          <w:p w14:paraId="6BA9127D" w14:textId="14AB8BC6" w:rsidR="007C7336" w:rsidRPr="004E74A6" w:rsidRDefault="007C7336" w:rsidP="00CE62C1">
            <w:pPr>
              <w:spacing w:line="276" w:lineRule="auto"/>
              <w:jc w:val="center"/>
              <w:rPr>
                <w:rFonts w:cs="Calibri"/>
                <w:color w:val="000000"/>
                <w:sz w:val="20"/>
                <w:lang w:eastAsia="es-CR"/>
              </w:rPr>
            </w:pPr>
            <w:r w:rsidRPr="004E74A6">
              <w:rPr>
                <w:rFonts w:cs="Calibri"/>
                <w:color w:val="000000"/>
                <w:sz w:val="20"/>
              </w:rPr>
              <w:t>0</w:t>
            </w:r>
          </w:p>
        </w:tc>
        <w:tc>
          <w:tcPr>
            <w:tcW w:w="650" w:type="pct"/>
            <w:tcBorders>
              <w:top w:val="nil"/>
              <w:left w:val="single" w:sz="4" w:space="0" w:color="auto"/>
              <w:bottom w:val="nil"/>
              <w:right w:val="single" w:sz="4" w:space="0" w:color="auto"/>
            </w:tcBorders>
            <w:shd w:val="clear" w:color="auto" w:fill="auto"/>
            <w:noWrap/>
            <w:vAlign w:val="bottom"/>
            <w:hideMark/>
          </w:tcPr>
          <w:p w14:paraId="5037423D" w14:textId="141DFA0F" w:rsidR="007C7336" w:rsidRPr="004E74A6" w:rsidRDefault="007C7336" w:rsidP="00CE62C1">
            <w:pPr>
              <w:spacing w:line="276" w:lineRule="auto"/>
              <w:jc w:val="center"/>
              <w:rPr>
                <w:sz w:val="20"/>
                <w:lang w:eastAsia="es-CR"/>
              </w:rPr>
            </w:pPr>
            <w:r w:rsidRPr="004E74A6">
              <w:rPr>
                <w:rFonts w:cs="Calibri"/>
                <w:color w:val="000000"/>
                <w:sz w:val="20"/>
              </w:rPr>
              <w:t>0</w:t>
            </w:r>
          </w:p>
        </w:tc>
        <w:tc>
          <w:tcPr>
            <w:tcW w:w="869" w:type="pct"/>
            <w:tcBorders>
              <w:top w:val="nil"/>
              <w:left w:val="single" w:sz="4" w:space="0" w:color="auto"/>
              <w:bottom w:val="nil"/>
              <w:right w:val="nil"/>
            </w:tcBorders>
            <w:shd w:val="clear" w:color="auto" w:fill="auto"/>
            <w:noWrap/>
            <w:vAlign w:val="bottom"/>
            <w:hideMark/>
          </w:tcPr>
          <w:p w14:paraId="72F50FAC" w14:textId="19919630" w:rsidR="007C7336" w:rsidRPr="004E74A6" w:rsidRDefault="007C7336" w:rsidP="00CE62C1">
            <w:pPr>
              <w:spacing w:line="276" w:lineRule="auto"/>
              <w:jc w:val="center"/>
              <w:rPr>
                <w:rFonts w:cs="Calibri"/>
                <w:color w:val="000000"/>
                <w:sz w:val="20"/>
                <w:lang w:eastAsia="es-CR"/>
              </w:rPr>
            </w:pPr>
            <w:r w:rsidRPr="004E74A6">
              <w:rPr>
                <w:rFonts w:cs="Calibri"/>
                <w:color w:val="000000"/>
                <w:sz w:val="20"/>
              </w:rPr>
              <w:t>34,0</w:t>
            </w:r>
          </w:p>
        </w:tc>
      </w:tr>
      <w:tr w:rsidR="007C7336" w:rsidRPr="004E74A6" w14:paraId="06FCE8D0" w14:textId="77777777" w:rsidTr="00B32800">
        <w:trPr>
          <w:trHeight w:val="288"/>
          <w:jc w:val="center"/>
        </w:trPr>
        <w:tc>
          <w:tcPr>
            <w:tcW w:w="2178" w:type="pct"/>
            <w:tcBorders>
              <w:top w:val="nil"/>
              <w:left w:val="nil"/>
              <w:bottom w:val="nil"/>
              <w:right w:val="single" w:sz="4" w:space="0" w:color="auto"/>
            </w:tcBorders>
            <w:shd w:val="clear" w:color="auto" w:fill="auto"/>
            <w:noWrap/>
            <w:vAlign w:val="bottom"/>
            <w:hideMark/>
          </w:tcPr>
          <w:p w14:paraId="1A2DFA7A" w14:textId="77777777" w:rsidR="007C7336" w:rsidRPr="004E74A6" w:rsidRDefault="007C7336" w:rsidP="00CE62C1">
            <w:pPr>
              <w:spacing w:line="276" w:lineRule="auto"/>
              <w:ind w:firstLineChars="100" w:firstLine="200"/>
              <w:jc w:val="left"/>
              <w:rPr>
                <w:rFonts w:cs="Calibri"/>
                <w:color w:val="000000"/>
                <w:sz w:val="20"/>
                <w:lang w:eastAsia="es-CR"/>
              </w:rPr>
            </w:pPr>
            <w:r w:rsidRPr="004E74A6">
              <w:rPr>
                <w:rFonts w:cs="Calibri"/>
                <w:color w:val="000000"/>
                <w:sz w:val="20"/>
                <w:lang w:eastAsia="es-CR"/>
              </w:rPr>
              <w:t>Exequatur</w:t>
            </w:r>
          </w:p>
        </w:tc>
        <w:tc>
          <w:tcPr>
            <w:tcW w:w="653" w:type="pct"/>
            <w:tcBorders>
              <w:top w:val="nil"/>
              <w:left w:val="single" w:sz="4" w:space="0" w:color="auto"/>
              <w:bottom w:val="nil"/>
              <w:right w:val="single" w:sz="4" w:space="0" w:color="auto"/>
            </w:tcBorders>
            <w:shd w:val="clear" w:color="auto" w:fill="auto"/>
            <w:noWrap/>
            <w:vAlign w:val="bottom"/>
            <w:hideMark/>
          </w:tcPr>
          <w:p w14:paraId="70EED36A" w14:textId="600928C3" w:rsidR="007C7336" w:rsidRPr="004E74A6" w:rsidRDefault="007C7336" w:rsidP="00CE62C1">
            <w:pPr>
              <w:spacing w:line="276" w:lineRule="auto"/>
              <w:jc w:val="center"/>
              <w:rPr>
                <w:rFonts w:cs="Calibri"/>
                <w:color w:val="000000"/>
                <w:sz w:val="20"/>
                <w:lang w:eastAsia="es-CR"/>
              </w:rPr>
            </w:pPr>
            <w:r w:rsidRPr="004E74A6">
              <w:rPr>
                <w:rFonts w:cs="Calibri"/>
                <w:color w:val="000000"/>
                <w:sz w:val="20"/>
              </w:rPr>
              <w:t>2</w:t>
            </w:r>
          </w:p>
        </w:tc>
        <w:tc>
          <w:tcPr>
            <w:tcW w:w="650" w:type="pct"/>
            <w:tcBorders>
              <w:top w:val="nil"/>
              <w:left w:val="single" w:sz="4" w:space="0" w:color="auto"/>
              <w:bottom w:val="nil"/>
              <w:right w:val="single" w:sz="4" w:space="0" w:color="auto"/>
            </w:tcBorders>
            <w:shd w:val="clear" w:color="auto" w:fill="auto"/>
            <w:noWrap/>
            <w:vAlign w:val="bottom"/>
            <w:hideMark/>
          </w:tcPr>
          <w:p w14:paraId="15317316" w14:textId="5A6DABC3" w:rsidR="007C7336" w:rsidRPr="004E74A6" w:rsidRDefault="007C7336" w:rsidP="00CE62C1">
            <w:pPr>
              <w:spacing w:line="276" w:lineRule="auto"/>
              <w:jc w:val="center"/>
              <w:rPr>
                <w:rFonts w:cs="Calibri"/>
                <w:color w:val="000000"/>
                <w:sz w:val="20"/>
                <w:lang w:eastAsia="es-CR"/>
              </w:rPr>
            </w:pPr>
            <w:r w:rsidRPr="004E74A6">
              <w:rPr>
                <w:rFonts w:cs="Calibri"/>
                <w:color w:val="000000"/>
                <w:sz w:val="20"/>
              </w:rPr>
              <w:t>0</w:t>
            </w:r>
          </w:p>
        </w:tc>
        <w:tc>
          <w:tcPr>
            <w:tcW w:w="650" w:type="pct"/>
            <w:tcBorders>
              <w:top w:val="nil"/>
              <w:left w:val="single" w:sz="4" w:space="0" w:color="auto"/>
              <w:bottom w:val="nil"/>
              <w:right w:val="single" w:sz="4" w:space="0" w:color="auto"/>
            </w:tcBorders>
            <w:shd w:val="clear" w:color="auto" w:fill="auto"/>
            <w:noWrap/>
            <w:vAlign w:val="bottom"/>
            <w:hideMark/>
          </w:tcPr>
          <w:p w14:paraId="2518C3EC" w14:textId="3C6344DC" w:rsidR="007C7336" w:rsidRPr="004E74A6" w:rsidRDefault="007C7336" w:rsidP="00CE62C1">
            <w:pPr>
              <w:spacing w:line="276" w:lineRule="auto"/>
              <w:jc w:val="center"/>
              <w:rPr>
                <w:sz w:val="20"/>
                <w:lang w:eastAsia="es-CR"/>
              </w:rPr>
            </w:pPr>
            <w:r w:rsidRPr="004E74A6">
              <w:rPr>
                <w:rFonts w:cs="Calibri"/>
                <w:color w:val="000000"/>
                <w:sz w:val="20"/>
              </w:rPr>
              <w:t>0</w:t>
            </w:r>
          </w:p>
        </w:tc>
        <w:tc>
          <w:tcPr>
            <w:tcW w:w="869" w:type="pct"/>
            <w:tcBorders>
              <w:top w:val="nil"/>
              <w:left w:val="single" w:sz="4" w:space="0" w:color="auto"/>
              <w:bottom w:val="nil"/>
              <w:right w:val="nil"/>
            </w:tcBorders>
            <w:shd w:val="clear" w:color="auto" w:fill="auto"/>
            <w:noWrap/>
            <w:vAlign w:val="bottom"/>
            <w:hideMark/>
          </w:tcPr>
          <w:p w14:paraId="4220FFAA" w14:textId="389FE880" w:rsidR="007C7336" w:rsidRPr="004E74A6" w:rsidRDefault="007C7336" w:rsidP="00CE62C1">
            <w:pPr>
              <w:spacing w:line="276" w:lineRule="auto"/>
              <w:jc w:val="center"/>
              <w:rPr>
                <w:rFonts w:cs="Calibri"/>
                <w:color w:val="000000"/>
                <w:sz w:val="20"/>
                <w:lang w:eastAsia="es-CR"/>
              </w:rPr>
            </w:pPr>
            <w:r w:rsidRPr="004E74A6">
              <w:rPr>
                <w:rFonts w:cs="Calibri"/>
                <w:color w:val="000000"/>
                <w:sz w:val="20"/>
              </w:rPr>
              <w:t>0,7</w:t>
            </w:r>
          </w:p>
        </w:tc>
      </w:tr>
      <w:tr w:rsidR="007C7336" w:rsidRPr="004E74A6" w14:paraId="757650C4" w14:textId="77777777" w:rsidTr="00B32800">
        <w:trPr>
          <w:trHeight w:val="288"/>
          <w:jc w:val="center"/>
        </w:trPr>
        <w:tc>
          <w:tcPr>
            <w:tcW w:w="2178" w:type="pct"/>
            <w:tcBorders>
              <w:top w:val="nil"/>
              <w:left w:val="nil"/>
              <w:bottom w:val="nil"/>
              <w:right w:val="single" w:sz="4" w:space="0" w:color="auto"/>
            </w:tcBorders>
            <w:shd w:val="clear" w:color="auto" w:fill="auto"/>
            <w:noWrap/>
            <w:vAlign w:val="bottom"/>
            <w:hideMark/>
          </w:tcPr>
          <w:p w14:paraId="2F7C350D" w14:textId="77777777" w:rsidR="007C7336" w:rsidRPr="004E74A6" w:rsidRDefault="007C7336" w:rsidP="00CE62C1">
            <w:pPr>
              <w:spacing w:line="276" w:lineRule="auto"/>
              <w:ind w:firstLineChars="100" w:firstLine="200"/>
              <w:jc w:val="left"/>
              <w:rPr>
                <w:rFonts w:cs="Calibri"/>
                <w:color w:val="000000"/>
                <w:sz w:val="20"/>
                <w:lang w:eastAsia="es-CR"/>
              </w:rPr>
            </w:pPr>
            <w:r w:rsidRPr="004E74A6">
              <w:rPr>
                <w:rFonts w:cs="Calibri"/>
                <w:color w:val="000000"/>
                <w:sz w:val="20"/>
                <w:lang w:eastAsia="es-CR"/>
              </w:rPr>
              <w:t>Recurso</w:t>
            </w:r>
          </w:p>
        </w:tc>
        <w:tc>
          <w:tcPr>
            <w:tcW w:w="653" w:type="pct"/>
            <w:tcBorders>
              <w:top w:val="nil"/>
              <w:left w:val="single" w:sz="4" w:space="0" w:color="auto"/>
              <w:bottom w:val="nil"/>
              <w:right w:val="single" w:sz="4" w:space="0" w:color="auto"/>
            </w:tcBorders>
            <w:shd w:val="clear" w:color="auto" w:fill="auto"/>
            <w:noWrap/>
            <w:vAlign w:val="bottom"/>
            <w:hideMark/>
          </w:tcPr>
          <w:p w14:paraId="4B0C041F" w14:textId="53E43E37" w:rsidR="007C7336" w:rsidRPr="004E74A6" w:rsidRDefault="007C7336" w:rsidP="00CE62C1">
            <w:pPr>
              <w:spacing w:line="276" w:lineRule="auto"/>
              <w:jc w:val="center"/>
              <w:rPr>
                <w:rFonts w:cs="Calibri"/>
                <w:color w:val="000000"/>
                <w:sz w:val="20"/>
                <w:lang w:eastAsia="es-CR"/>
              </w:rPr>
            </w:pPr>
            <w:r w:rsidRPr="004E74A6">
              <w:rPr>
                <w:rFonts w:cs="Calibri"/>
                <w:color w:val="000000"/>
                <w:sz w:val="20"/>
              </w:rPr>
              <w:t>5</w:t>
            </w:r>
          </w:p>
        </w:tc>
        <w:tc>
          <w:tcPr>
            <w:tcW w:w="650" w:type="pct"/>
            <w:tcBorders>
              <w:top w:val="nil"/>
              <w:left w:val="single" w:sz="4" w:space="0" w:color="auto"/>
              <w:bottom w:val="nil"/>
              <w:right w:val="single" w:sz="4" w:space="0" w:color="auto"/>
            </w:tcBorders>
            <w:shd w:val="clear" w:color="auto" w:fill="auto"/>
            <w:noWrap/>
            <w:vAlign w:val="bottom"/>
            <w:hideMark/>
          </w:tcPr>
          <w:p w14:paraId="2706EF48" w14:textId="360669C8" w:rsidR="007C7336" w:rsidRPr="004E74A6" w:rsidRDefault="007C7336" w:rsidP="00CE62C1">
            <w:pPr>
              <w:spacing w:line="276" w:lineRule="auto"/>
              <w:jc w:val="center"/>
              <w:rPr>
                <w:rFonts w:cs="Calibri"/>
                <w:color w:val="000000"/>
                <w:sz w:val="20"/>
                <w:lang w:eastAsia="es-CR"/>
              </w:rPr>
            </w:pPr>
            <w:r w:rsidRPr="004E74A6">
              <w:rPr>
                <w:rFonts w:cs="Calibri"/>
                <w:color w:val="000000"/>
                <w:sz w:val="20"/>
              </w:rPr>
              <w:t>3</w:t>
            </w:r>
          </w:p>
        </w:tc>
        <w:tc>
          <w:tcPr>
            <w:tcW w:w="650" w:type="pct"/>
            <w:tcBorders>
              <w:top w:val="nil"/>
              <w:left w:val="single" w:sz="4" w:space="0" w:color="auto"/>
              <w:bottom w:val="nil"/>
              <w:right w:val="single" w:sz="4" w:space="0" w:color="auto"/>
            </w:tcBorders>
            <w:shd w:val="clear" w:color="auto" w:fill="auto"/>
            <w:noWrap/>
            <w:vAlign w:val="bottom"/>
            <w:hideMark/>
          </w:tcPr>
          <w:p w14:paraId="501664B6" w14:textId="4EBE7EF8" w:rsidR="007C7336" w:rsidRPr="004E74A6" w:rsidRDefault="007C7336" w:rsidP="00CE62C1">
            <w:pPr>
              <w:spacing w:line="276" w:lineRule="auto"/>
              <w:jc w:val="center"/>
              <w:rPr>
                <w:rFonts w:cs="Calibri"/>
                <w:color w:val="000000"/>
                <w:sz w:val="20"/>
                <w:lang w:eastAsia="es-CR"/>
              </w:rPr>
            </w:pPr>
            <w:r w:rsidRPr="004E74A6">
              <w:rPr>
                <w:rFonts w:cs="Calibri"/>
                <w:color w:val="000000"/>
                <w:sz w:val="20"/>
              </w:rPr>
              <w:t>7</w:t>
            </w:r>
          </w:p>
        </w:tc>
        <w:tc>
          <w:tcPr>
            <w:tcW w:w="869" w:type="pct"/>
            <w:tcBorders>
              <w:top w:val="nil"/>
              <w:left w:val="single" w:sz="4" w:space="0" w:color="auto"/>
              <w:bottom w:val="nil"/>
              <w:right w:val="nil"/>
            </w:tcBorders>
            <w:shd w:val="clear" w:color="auto" w:fill="auto"/>
            <w:noWrap/>
            <w:vAlign w:val="bottom"/>
            <w:hideMark/>
          </w:tcPr>
          <w:p w14:paraId="062285DE" w14:textId="617026FA" w:rsidR="007C7336" w:rsidRPr="004E74A6" w:rsidRDefault="007C7336" w:rsidP="00CE62C1">
            <w:pPr>
              <w:spacing w:line="276" w:lineRule="auto"/>
              <w:jc w:val="center"/>
              <w:rPr>
                <w:rFonts w:cs="Calibri"/>
                <w:color w:val="000000"/>
                <w:sz w:val="20"/>
                <w:lang w:eastAsia="es-CR"/>
              </w:rPr>
            </w:pPr>
            <w:r w:rsidRPr="004E74A6">
              <w:rPr>
                <w:rFonts w:cs="Calibri"/>
                <w:color w:val="000000"/>
                <w:sz w:val="20"/>
              </w:rPr>
              <w:t>5,0</w:t>
            </w:r>
          </w:p>
        </w:tc>
      </w:tr>
      <w:tr w:rsidR="007C7336" w:rsidRPr="004E74A6" w14:paraId="4B21347F" w14:textId="77777777" w:rsidTr="00B32800">
        <w:trPr>
          <w:trHeight w:val="288"/>
          <w:jc w:val="center"/>
        </w:trPr>
        <w:tc>
          <w:tcPr>
            <w:tcW w:w="2178" w:type="pct"/>
            <w:tcBorders>
              <w:top w:val="nil"/>
              <w:left w:val="nil"/>
              <w:bottom w:val="nil"/>
              <w:right w:val="single" w:sz="4" w:space="0" w:color="auto"/>
            </w:tcBorders>
            <w:shd w:val="clear" w:color="auto" w:fill="auto"/>
            <w:noWrap/>
            <w:vAlign w:val="bottom"/>
            <w:hideMark/>
          </w:tcPr>
          <w:p w14:paraId="5705551B" w14:textId="77777777" w:rsidR="007C7336" w:rsidRPr="004E74A6" w:rsidRDefault="007C7336" w:rsidP="00CE62C1">
            <w:pPr>
              <w:spacing w:line="276" w:lineRule="auto"/>
              <w:ind w:firstLineChars="100" w:firstLine="200"/>
              <w:jc w:val="left"/>
              <w:rPr>
                <w:rFonts w:cs="Calibri"/>
                <w:color w:val="000000"/>
                <w:sz w:val="20"/>
                <w:lang w:eastAsia="es-CR"/>
              </w:rPr>
            </w:pPr>
            <w:r w:rsidRPr="004E74A6">
              <w:rPr>
                <w:rFonts w:cs="Calibri"/>
                <w:color w:val="000000"/>
                <w:sz w:val="20"/>
                <w:lang w:eastAsia="es-CR"/>
              </w:rPr>
              <w:t>Recusación</w:t>
            </w:r>
          </w:p>
        </w:tc>
        <w:tc>
          <w:tcPr>
            <w:tcW w:w="653" w:type="pct"/>
            <w:tcBorders>
              <w:top w:val="nil"/>
              <w:left w:val="single" w:sz="4" w:space="0" w:color="auto"/>
              <w:bottom w:val="nil"/>
              <w:right w:val="single" w:sz="4" w:space="0" w:color="auto"/>
            </w:tcBorders>
            <w:shd w:val="clear" w:color="auto" w:fill="auto"/>
            <w:noWrap/>
            <w:vAlign w:val="bottom"/>
            <w:hideMark/>
          </w:tcPr>
          <w:p w14:paraId="029EC7DA" w14:textId="2694343E" w:rsidR="007C7336" w:rsidRPr="004E74A6" w:rsidRDefault="007C7336" w:rsidP="00832773">
            <w:pPr>
              <w:spacing w:line="276" w:lineRule="auto"/>
              <w:jc w:val="center"/>
              <w:rPr>
                <w:rFonts w:cs="Calibri"/>
                <w:color w:val="000000"/>
                <w:sz w:val="20"/>
                <w:lang w:eastAsia="es-CR"/>
              </w:rPr>
            </w:pPr>
            <w:r w:rsidRPr="004E74A6">
              <w:rPr>
                <w:rFonts w:cs="Calibri"/>
                <w:color w:val="000000"/>
                <w:sz w:val="20"/>
              </w:rPr>
              <w:t>0</w:t>
            </w:r>
          </w:p>
        </w:tc>
        <w:tc>
          <w:tcPr>
            <w:tcW w:w="650" w:type="pct"/>
            <w:tcBorders>
              <w:top w:val="nil"/>
              <w:left w:val="single" w:sz="4" w:space="0" w:color="auto"/>
              <w:bottom w:val="nil"/>
              <w:right w:val="single" w:sz="4" w:space="0" w:color="auto"/>
            </w:tcBorders>
            <w:shd w:val="clear" w:color="auto" w:fill="auto"/>
            <w:noWrap/>
            <w:vAlign w:val="bottom"/>
            <w:hideMark/>
          </w:tcPr>
          <w:p w14:paraId="20659DE9" w14:textId="1EA4E5D3" w:rsidR="007C7336" w:rsidRPr="004E74A6" w:rsidRDefault="007C7336" w:rsidP="00CE62C1">
            <w:pPr>
              <w:spacing w:line="276" w:lineRule="auto"/>
              <w:jc w:val="center"/>
              <w:rPr>
                <w:sz w:val="20"/>
                <w:lang w:eastAsia="es-CR"/>
              </w:rPr>
            </w:pPr>
            <w:r w:rsidRPr="004E74A6">
              <w:rPr>
                <w:rFonts w:cs="Calibri"/>
                <w:color w:val="000000"/>
                <w:sz w:val="20"/>
              </w:rPr>
              <w:t>0</w:t>
            </w:r>
          </w:p>
        </w:tc>
        <w:tc>
          <w:tcPr>
            <w:tcW w:w="650" w:type="pct"/>
            <w:tcBorders>
              <w:top w:val="nil"/>
              <w:left w:val="single" w:sz="4" w:space="0" w:color="auto"/>
              <w:bottom w:val="nil"/>
              <w:right w:val="single" w:sz="4" w:space="0" w:color="auto"/>
            </w:tcBorders>
            <w:shd w:val="clear" w:color="auto" w:fill="auto"/>
            <w:noWrap/>
            <w:vAlign w:val="bottom"/>
            <w:hideMark/>
          </w:tcPr>
          <w:p w14:paraId="7567B176" w14:textId="362B174C" w:rsidR="007C7336" w:rsidRPr="004E74A6" w:rsidRDefault="007C7336" w:rsidP="00CE62C1">
            <w:pPr>
              <w:spacing w:line="276" w:lineRule="auto"/>
              <w:jc w:val="center"/>
              <w:rPr>
                <w:rFonts w:cs="Calibri"/>
                <w:color w:val="000000"/>
                <w:sz w:val="20"/>
                <w:lang w:eastAsia="es-CR"/>
              </w:rPr>
            </w:pPr>
            <w:r w:rsidRPr="004E74A6">
              <w:rPr>
                <w:rFonts w:cs="Calibri"/>
                <w:color w:val="000000"/>
                <w:sz w:val="20"/>
              </w:rPr>
              <w:t>1</w:t>
            </w:r>
          </w:p>
        </w:tc>
        <w:tc>
          <w:tcPr>
            <w:tcW w:w="869" w:type="pct"/>
            <w:tcBorders>
              <w:top w:val="nil"/>
              <w:left w:val="single" w:sz="4" w:space="0" w:color="auto"/>
              <w:bottom w:val="nil"/>
              <w:right w:val="nil"/>
            </w:tcBorders>
            <w:shd w:val="clear" w:color="auto" w:fill="auto"/>
            <w:noWrap/>
            <w:vAlign w:val="bottom"/>
            <w:hideMark/>
          </w:tcPr>
          <w:p w14:paraId="260FE717" w14:textId="0DE9B885" w:rsidR="007C7336" w:rsidRPr="004E74A6" w:rsidRDefault="007C7336" w:rsidP="00CE62C1">
            <w:pPr>
              <w:spacing w:line="276" w:lineRule="auto"/>
              <w:jc w:val="center"/>
              <w:rPr>
                <w:rFonts w:cs="Calibri"/>
                <w:color w:val="000000"/>
                <w:sz w:val="20"/>
                <w:lang w:eastAsia="es-CR"/>
              </w:rPr>
            </w:pPr>
            <w:r w:rsidRPr="004E74A6">
              <w:rPr>
                <w:rFonts w:cs="Calibri"/>
                <w:color w:val="000000"/>
                <w:sz w:val="20"/>
              </w:rPr>
              <w:t>0,3</w:t>
            </w:r>
          </w:p>
        </w:tc>
      </w:tr>
      <w:tr w:rsidR="007C7336" w:rsidRPr="004E74A6" w14:paraId="34F90692" w14:textId="77777777" w:rsidTr="00B32800">
        <w:trPr>
          <w:trHeight w:val="288"/>
          <w:jc w:val="center"/>
        </w:trPr>
        <w:tc>
          <w:tcPr>
            <w:tcW w:w="2178" w:type="pct"/>
            <w:tcBorders>
              <w:top w:val="nil"/>
              <w:left w:val="nil"/>
              <w:right w:val="single" w:sz="4" w:space="0" w:color="auto"/>
            </w:tcBorders>
            <w:shd w:val="clear" w:color="auto" w:fill="auto"/>
            <w:noWrap/>
            <w:vAlign w:val="bottom"/>
            <w:hideMark/>
          </w:tcPr>
          <w:p w14:paraId="53E7CF7E" w14:textId="77777777" w:rsidR="007C7336" w:rsidRPr="004E74A6" w:rsidRDefault="007C7336" w:rsidP="00CE62C1">
            <w:pPr>
              <w:spacing w:line="276" w:lineRule="auto"/>
              <w:ind w:firstLineChars="100" w:firstLine="200"/>
              <w:jc w:val="left"/>
              <w:rPr>
                <w:rFonts w:cs="Calibri"/>
                <w:color w:val="000000"/>
                <w:sz w:val="20"/>
                <w:lang w:eastAsia="es-CR"/>
              </w:rPr>
            </w:pPr>
            <w:r w:rsidRPr="004E74A6">
              <w:rPr>
                <w:rFonts w:cs="Calibri"/>
                <w:color w:val="000000"/>
                <w:sz w:val="20"/>
                <w:lang w:eastAsia="es-CR"/>
              </w:rPr>
              <w:t>Revisión</w:t>
            </w:r>
          </w:p>
        </w:tc>
        <w:tc>
          <w:tcPr>
            <w:tcW w:w="653" w:type="pct"/>
            <w:tcBorders>
              <w:top w:val="nil"/>
              <w:left w:val="single" w:sz="4" w:space="0" w:color="auto"/>
              <w:right w:val="single" w:sz="4" w:space="0" w:color="auto"/>
            </w:tcBorders>
            <w:shd w:val="clear" w:color="auto" w:fill="auto"/>
            <w:noWrap/>
            <w:vAlign w:val="bottom"/>
            <w:hideMark/>
          </w:tcPr>
          <w:p w14:paraId="7F0FE910" w14:textId="10AF6220" w:rsidR="007C7336" w:rsidRPr="004E74A6" w:rsidRDefault="007C7336" w:rsidP="00CE62C1">
            <w:pPr>
              <w:spacing w:line="276" w:lineRule="auto"/>
              <w:jc w:val="center"/>
              <w:rPr>
                <w:rFonts w:cs="Calibri"/>
                <w:color w:val="000000"/>
                <w:sz w:val="20"/>
                <w:lang w:eastAsia="es-CR"/>
              </w:rPr>
            </w:pPr>
            <w:r w:rsidRPr="004E74A6">
              <w:rPr>
                <w:rFonts w:cs="Calibri"/>
                <w:color w:val="000000"/>
                <w:sz w:val="20"/>
              </w:rPr>
              <w:t>1</w:t>
            </w:r>
          </w:p>
        </w:tc>
        <w:tc>
          <w:tcPr>
            <w:tcW w:w="650" w:type="pct"/>
            <w:tcBorders>
              <w:top w:val="nil"/>
              <w:left w:val="single" w:sz="4" w:space="0" w:color="auto"/>
              <w:right w:val="single" w:sz="4" w:space="0" w:color="auto"/>
            </w:tcBorders>
            <w:shd w:val="clear" w:color="auto" w:fill="auto"/>
            <w:noWrap/>
            <w:vAlign w:val="bottom"/>
            <w:hideMark/>
          </w:tcPr>
          <w:p w14:paraId="206D1848" w14:textId="33542A7C" w:rsidR="007C7336" w:rsidRPr="004E74A6" w:rsidRDefault="007C7336" w:rsidP="00CE62C1">
            <w:pPr>
              <w:spacing w:line="276" w:lineRule="auto"/>
              <w:jc w:val="center"/>
              <w:rPr>
                <w:rFonts w:cs="Calibri"/>
                <w:color w:val="000000"/>
                <w:sz w:val="20"/>
                <w:lang w:eastAsia="es-CR"/>
              </w:rPr>
            </w:pPr>
            <w:r w:rsidRPr="004E74A6">
              <w:rPr>
                <w:rFonts w:cs="Calibri"/>
                <w:color w:val="000000"/>
                <w:sz w:val="20"/>
              </w:rPr>
              <w:t>0</w:t>
            </w:r>
          </w:p>
        </w:tc>
        <w:tc>
          <w:tcPr>
            <w:tcW w:w="650" w:type="pct"/>
            <w:tcBorders>
              <w:top w:val="nil"/>
              <w:left w:val="single" w:sz="4" w:space="0" w:color="auto"/>
              <w:right w:val="single" w:sz="4" w:space="0" w:color="auto"/>
            </w:tcBorders>
            <w:shd w:val="clear" w:color="auto" w:fill="auto"/>
            <w:noWrap/>
            <w:vAlign w:val="bottom"/>
            <w:hideMark/>
          </w:tcPr>
          <w:p w14:paraId="1449333D" w14:textId="3EEEAE1D" w:rsidR="007C7336" w:rsidRPr="004E74A6" w:rsidRDefault="007C7336" w:rsidP="00CE62C1">
            <w:pPr>
              <w:spacing w:line="276" w:lineRule="auto"/>
              <w:jc w:val="center"/>
              <w:rPr>
                <w:sz w:val="20"/>
                <w:lang w:eastAsia="es-CR"/>
              </w:rPr>
            </w:pPr>
            <w:r w:rsidRPr="004E74A6">
              <w:rPr>
                <w:rFonts w:cs="Calibri"/>
                <w:color w:val="000000"/>
                <w:sz w:val="20"/>
              </w:rPr>
              <w:t>0</w:t>
            </w:r>
          </w:p>
        </w:tc>
        <w:tc>
          <w:tcPr>
            <w:tcW w:w="869" w:type="pct"/>
            <w:tcBorders>
              <w:top w:val="nil"/>
              <w:left w:val="single" w:sz="4" w:space="0" w:color="auto"/>
              <w:right w:val="nil"/>
            </w:tcBorders>
            <w:shd w:val="clear" w:color="auto" w:fill="auto"/>
            <w:noWrap/>
            <w:vAlign w:val="bottom"/>
            <w:hideMark/>
          </w:tcPr>
          <w:p w14:paraId="573F5DA9" w14:textId="7004B826" w:rsidR="007C7336" w:rsidRPr="004E74A6" w:rsidRDefault="007C7336" w:rsidP="00CE62C1">
            <w:pPr>
              <w:spacing w:line="276" w:lineRule="auto"/>
              <w:jc w:val="center"/>
              <w:rPr>
                <w:rFonts w:cs="Calibri"/>
                <w:color w:val="000000"/>
                <w:sz w:val="20"/>
                <w:lang w:eastAsia="es-CR"/>
              </w:rPr>
            </w:pPr>
            <w:r w:rsidRPr="004E74A6">
              <w:rPr>
                <w:rFonts w:cs="Calibri"/>
                <w:color w:val="000000"/>
                <w:sz w:val="20"/>
              </w:rPr>
              <w:t>0,3</w:t>
            </w:r>
          </w:p>
        </w:tc>
      </w:tr>
      <w:tr w:rsidR="00CE6906" w:rsidRPr="004E74A6" w14:paraId="2D0E55A6" w14:textId="77777777" w:rsidTr="00CE6906">
        <w:trPr>
          <w:trHeight w:val="288"/>
          <w:jc w:val="center"/>
        </w:trPr>
        <w:tc>
          <w:tcPr>
            <w:tcW w:w="2178" w:type="pct"/>
            <w:tcBorders>
              <w:top w:val="nil"/>
              <w:left w:val="nil"/>
              <w:bottom w:val="single" w:sz="4" w:space="0" w:color="auto"/>
              <w:right w:val="single" w:sz="4" w:space="0" w:color="auto"/>
            </w:tcBorders>
            <w:shd w:val="clear" w:color="auto" w:fill="auto"/>
            <w:noWrap/>
            <w:vAlign w:val="bottom"/>
          </w:tcPr>
          <w:p w14:paraId="507DD146" w14:textId="77777777" w:rsidR="008647ED" w:rsidRPr="004E74A6" w:rsidRDefault="008647ED" w:rsidP="00CE62C1">
            <w:pPr>
              <w:spacing w:line="276" w:lineRule="auto"/>
              <w:ind w:firstLineChars="100" w:firstLine="200"/>
              <w:jc w:val="left"/>
              <w:rPr>
                <w:rFonts w:cs="Calibri"/>
                <w:color w:val="000000"/>
                <w:sz w:val="20"/>
                <w:lang w:eastAsia="es-CR"/>
              </w:rPr>
            </w:pPr>
          </w:p>
        </w:tc>
        <w:tc>
          <w:tcPr>
            <w:tcW w:w="653" w:type="pct"/>
            <w:tcBorders>
              <w:top w:val="nil"/>
              <w:left w:val="single" w:sz="4" w:space="0" w:color="auto"/>
              <w:bottom w:val="single" w:sz="4" w:space="0" w:color="auto"/>
              <w:right w:val="single" w:sz="4" w:space="0" w:color="auto"/>
            </w:tcBorders>
            <w:shd w:val="clear" w:color="auto" w:fill="auto"/>
            <w:noWrap/>
            <w:vAlign w:val="center"/>
          </w:tcPr>
          <w:p w14:paraId="05D25A27" w14:textId="77777777" w:rsidR="008647ED" w:rsidRPr="004E74A6" w:rsidRDefault="008647ED" w:rsidP="00CE62C1">
            <w:pPr>
              <w:spacing w:line="276" w:lineRule="auto"/>
              <w:jc w:val="center"/>
              <w:rPr>
                <w:rFonts w:cs="Calibri"/>
                <w:color w:val="000000"/>
                <w:sz w:val="20"/>
                <w:lang w:eastAsia="es-CR"/>
              </w:rPr>
            </w:pPr>
          </w:p>
        </w:tc>
        <w:tc>
          <w:tcPr>
            <w:tcW w:w="650" w:type="pct"/>
            <w:tcBorders>
              <w:top w:val="nil"/>
              <w:left w:val="single" w:sz="4" w:space="0" w:color="auto"/>
              <w:bottom w:val="single" w:sz="4" w:space="0" w:color="auto"/>
              <w:right w:val="single" w:sz="4" w:space="0" w:color="auto"/>
            </w:tcBorders>
            <w:shd w:val="clear" w:color="auto" w:fill="auto"/>
            <w:noWrap/>
            <w:vAlign w:val="center"/>
          </w:tcPr>
          <w:p w14:paraId="71D936F9" w14:textId="77777777" w:rsidR="008647ED" w:rsidRPr="004E74A6" w:rsidRDefault="008647ED" w:rsidP="00CE62C1">
            <w:pPr>
              <w:spacing w:line="276" w:lineRule="auto"/>
              <w:jc w:val="center"/>
              <w:rPr>
                <w:rFonts w:cs="Calibri"/>
                <w:color w:val="000000"/>
                <w:sz w:val="20"/>
                <w:lang w:eastAsia="es-CR"/>
              </w:rPr>
            </w:pPr>
          </w:p>
        </w:tc>
        <w:tc>
          <w:tcPr>
            <w:tcW w:w="650" w:type="pct"/>
            <w:tcBorders>
              <w:top w:val="nil"/>
              <w:left w:val="single" w:sz="4" w:space="0" w:color="auto"/>
              <w:bottom w:val="single" w:sz="4" w:space="0" w:color="auto"/>
              <w:right w:val="single" w:sz="4" w:space="0" w:color="auto"/>
            </w:tcBorders>
            <w:shd w:val="clear" w:color="auto" w:fill="auto"/>
            <w:noWrap/>
            <w:vAlign w:val="center"/>
          </w:tcPr>
          <w:p w14:paraId="351EE020" w14:textId="77777777" w:rsidR="008647ED" w:rsidRPr="004E74A6" w:rsidRDefault="008647ED" w:rsidP="00CE62C1">
            <w:pPr>
              <w:spacing w:line="276" w:lineRule="auto"/>
              <w:jc w:val="center"/>
              <w:rPr>
                <w:sz w:val="20"/>
                <w:lang w:eastAsia="es-CR"/>
              </w:rPr>
            </w:pPr>
          </w:p>
        </w:tc>
        <w:tc>
          <w:tcPr>
            <w:tcW w:w="869" w:type="pct"/>
            <w:tcBorders>
              <w:top w:val="nil"/>
              <w:left w:val="single" w:sz="4" w:space="0" w:color="auto"/>
              <w:bottom w:val="single" w:sz="4" w:space="0" w:color="auto"/>
              <w:right w:val="nil"/>
            </w:tcBorders>
            <w:shd w:val="clear" w:color="auto" w:fill="auto"/>
            <w:noWrap/>
            <w:vAlign w:val="center"/>
          </w:tcPr>
          <w:p w14:paraId="7C88F43A" w14:textId="77777777" w:rsidR="008647ED" w:rsidRPr="004E74A6" w:rsidRDefault="008647ED" w:rsidP="00CE62C1">
            <w:pPr>
              <w:spacing w:line="276" w:lineRule="auto"/>
              <w:jc w:val="center"/>
              <w:rPr>
                <w:rFonts w:cs="Calibri"/>
                <w:color w:val="000000"/>
                <w:sz w:val="20"/>
                <w:lang w:eastAsia="es-CR"/>
              </w:rPr>
            </w:pPr>
          </w:p>
        </w:tc>
      </w:tr>
    </w:tbl>
    <w:p w14:paraId="18D02D0E" w14:textId="77777777" w:rsidR="00CE6906" w:rsidRPr="004E74A6" w:rsidRDefault="00CE6906" w:rsidP="00832773">
      <w:pPr>
        <w:spacing w:line="276" w:lineRule="auto"/>
        <w:ind w:left="1191" w:right="1191"/>
        <w:rPr>
          <w:rFonts w:cs="Calibri"/>
          <w:i/>
          <w:iCs/>
          <w:color w:val="000000"/>
          <w:sz w:val="20"/>
          <w:lang w:eastAsia="es-CR"/>
        </w:rPr>
      </w:pPr>
      <w:r w:rsidRPr="004E74A6">
        <w:rPr>
          <w:rFonts w:cs="Calibri"/>
          <w:b/>
          <w:bCs/>
          <w:i/>
          <w:iCs/>
          <w:color w:val="000000"/>
          <w:sz w:val="20"/>
          <w:lang w:eastAsia="es-CR"/>
        </w:rPr>
        <w:t>Fuente</w:t>
      </w:r>
      <w:r w:rsidRPr="004E74A6">
        <w:rPr>
          <w:rFonts w:cs="Calibri"/>
          <w:i/>
          <w:iCs/>
          <w:color w:val="000000"/>
          <w:sz w:val="20"/>
          <w:lang w:eastAsia="es-CR"/>
        </w:rPr>
        <w:t>: Subproceso de Modernización Institucional con datos extraídos del sistema SIGMA, Dirección de Planificación.</w:t>
      </w:r>
    </w:p>
    <w:p w14:paraId="19F88F75" w14:textId="77777777" w:rsidR="008647ED" w:rsidRPr="004E74A6" w:rsidRDefault="008647ED" w:rsidP="00CE62C1">
      <w:pPr>
        <w:spacing w:after="160" w:line="276" w:lineRule="auto"/>
        <w:rPr>
          <w:rFonts w:cs="Calibri"/>
          <w:color w:val="000000"/>
          <w:szCs w:val="24"/>
          <w:lang w:eastAsia="es-CR"/>
        </w:rPr>
      </w:pPr>
    </w:p>
    <w:p w14:paraId="6FA44049" w14:textId="09DF1C49" w:rsidR="008647ED" w:rsidRPr="004E74A6" w:rsidRDefault="008647ED" w:rsidP="00CE62C1">
      <w:pPr>
        <w:spacing w:after="160" w:line="276" w:lineRule="auto"/>
        <w:rPr>
          <w:rFonts w:cs="Calibri"/>
          <w:color w:val="000000"/>
          <w:szCs w:val="24"/>
          <w:lang w:eastAsia="es-CR"/>
        </w:rPr>
      </w:pPr>
      <w:r w:rsidRPr="004E74A6">
        <w:rPr>
          <w:rFonts w:cs="Calibri"/>
          <w:color w:val="000000"/>
          <w:szCs w:val="24"/>
          <w:lang w:eastAsia="es-CR"/>
        </w:rPr>
        <w:t>Dichas casaciones al observarlas con mayor detalle, resulta importante considerar que la Sala Primera puede recibir asuntos de diversas materias, por lo cual la siguiente tabla presenta un detalle de las casaciones por materia.</w:t>
      </w:r>
    </w:p>
    <w:p w14:paraId="0F1146F1" w14:textId="3A13DFC6" w:rsidR="00471494" w:rsidRPr="004E74A6" w:rsidRDefault="00471494" w:rsidP="00CE62C1">
      <w:pPr>
        <w:spacing w:after="160" w:line="276" w:lineRule="auto"/>
        <w:rPr>
          <w:rFonts w:cs="Calibri"/>
          <w:color w:val="000000"/>
          <w:szCs w:val="24"/>
          <w:lang w:eastAsia="es-CR"/>
        </w:rPr>
      </w:pPr>
      <w:r w:rsidRPr="004E74A6">
        <w:rPr>
          <w:rFonts w:cs="Calibri"/>
          <w:color w:val="000000"/>
          <w:szCs w:val="24"/>
          <w:lang w:eastAsia="es-CR"/>
        </w:rPr>
        <w:t xml:space="preserve">A nivel del tipo de cuantía de las casaciones </w:t>
      </w:r>
      <w:r w:rsidRPr="004E74A6">
        <w:rPr>
          <w:rFonts w:cs="Calibri"/>
          <w:b/>
          <w:bCs/>
          <w:color w:val="000000"/>
          <w:szCs w:val="24"/>
          <w:u w:val="single"/>
          <w:lang w:eastAsia="es-CR"/>
        </w:rPr>
        <w:t>en todas las materias</w:t>
      </w:r>
      <w:r w:rsidR="00936172" w:rsidRPr="004E74A6">
        <w:rPr>
          <w:rFonts w:cs="Calibri"/>
          <w:b/>
          <w:bCs/>
          <w:color w:val="000000"/>
          <w:szCs w:val="24"/>
          <w:u w:val="single"/>
          <w:lang w:eastAsia="es-CR"/>
        </w:rPr>
        <w:t xml:space="preserve"> que son en promedio 1115</w:t>
      </w:r>
      <w:r w:rsidRPr="004E74A6">
        <w:rPr>
          <w:rFonts w:cs="Calibri"/>
          <w:color w:val="000000"/>
          <w:szCs w:val="24"/>
          <w:lang w:eastAsia="es-CR"/>
        </w:rPr>
        <w:t>, el 39% corresponden a asuntos estimables, que cabe recordar son los afectados por el límite de cuantía que se defina según materia; un 10% son asuntos inestimables y por lo no se ven afectados por las modificaciones en el monto de cuantía que fije Corte Plena y que eventualmente le permita a la Sala Primera regular su ingreso; mientras que el 48% indicado como “</w:t>
      </w:r>
      <w:r w:rsidRPr="004E74A6">
        <w:rPr>
          <w:rFonts w:cs="Calibri"/>
          <w:i/>
          <w:iCs/>
          <w:color w:val="000000"/>
          <w:szCs w:val="24"/>
          <w:lang w:eastAsia="es-CR"/>
        </w:rPr>
        <w:t>No aplica</w:t>
      </w:r>
      <w:r w:rsidRPr="004E74A6">
        <w:rPr>
          <w:rFonts w:cs="Calibri"/>
          <w:color w:val="000000"/>
          <w:szCs w:val="24"/>
          <w:lang w:eastAsia="es-CR"/>
        </w:rPr>
        <w:t xml:space="preserve"> y 5% pendiente de actualizar, como se muestra en la siguiente tabla:</w:t>
      </w:r>
    </w:p>
    <w:p w14:paraId="082AD6F2" w14:textId="4D36A012" w:rsidR="00471494" w:rsidRPr="00832773" w:rsidRDefault="00471494" w:rsidP="00832773">
      <w:pPr>
        <w:pStyle w:val="Descripcin"/>
        <w:keepNext/>
        <w:spacing w:line="276" w:lineRule="auto"/>
        <w:jc w:val="center"/>
        <w:rPr>
          <w:rFonts w:ascii="Book Antiqua" w:hAnsi="Book Antiqua"/>
          <w:i/>
          <w:iCs/>
          <w:sz w:val="20"/>
          <w:szCs w:val="16"/>
          <w:lang w:val="es-CR"/>
        </w:rPr>
      </w:pPr>
      <w:r w:rsidRPr="00832773">
        <w:rPr>
          <w:rFonts w:ascii="Book Antiqua" w:hAnsi="Book Antiqua"/>
          <w:i/>
          <w:iCs/>
          <w:sz w:val="20"/>
          <w:szCs w:val="16"/>
          <w:lang w:val="es-CR"/>
        </w:rPr>
        <w:lastRenderedPageBreak/>
        <w:t xml:space="preserve">Tabla </w:t>
      </w:r>
      <w:r w:rsidRPr="00832773">
        <w:rPr>
          <w:rFonts w:ascii="Book Antiqua" w:hAnsi="Book Antiqua"/>
          <w:i/>
          <w:iCs/>
          <w:sz w:val="20"/>
          <w:szCs w:val="16"/>
          <w:lang w:val="es-CR"/>
        </w:rPr>
        <w:fldChar w:fldCharType="begin"/>
      </w:r>
      <w:r w:rsidRPr="00832773">
        <w:rPr>
          <w:rFonts w:ascii="Book Antiqua" w:hAnsi="Book Antiqua"/>
          <w:i/>
          <w:iCs/>
          <w:sz w:val="20"/>
          <w:szCs w:val="16"/>
          <w:lang w:val="es-CR"/>
        </w:rPr>
        <w:instrText xml:space="preserve"> SEQ Tabla \* ARABIC </w:instrText>
      </w:r>
      <w:r w:rsidRPr="00832773">
        <w:rPr>
          <w:rFonts w:ascii="Book Antiqua" w:hAnsi="Book Antiqua"/>
          <w:i/>
          <w:iCs/>
          <w:sz w:val="20"/>
          <w:szCs w:val="16"/>
          <w:lang w:val="es-CR"/>
        </w:rPr>
        <w:fldChar w:fldCharType="separate"/>
      </w:r>
      <w:r w:rsidR="00374B51">
        <w:rPr>
          <w:rFonts w:ascii="Book Antiqua" w:hAnsi="Book Antiqua"/>
          <w:i/>
          <w:iCs/>
          <w:noProof/>
          <w:sz w:val="20"/>
          <w:szCs w:val="16"/>
          <w:lang w:val="es-CR"/>
        </w:rPr>
        <w:t>63</w:t>
      </w:r>
      <w:r w:rsidRPr="00832773">
        <w:rPr>
          <w:rFonts w:ascii="Book Antiqua" w:hAnsi="Book Antiqua"/>
          <w:i/>
          <w:iCs/>
          <w:sz w:val="20"/>
          <w:szCs w:val="16"/>
          <w:lang w:val="es-CR"/>
        </w:rPr>
        <w:fldChar w:fldCharType="end"/>
      </w:r>
      <w:r w:rsidRPr="00832773">
        <w:rPr>
          <w:rFonts w:ascii="Book Antiqua" w:hAnsi="Book Antiqua"/>
          <w:i/>
          <w:iCs/>
          <w:sz w:val="20"/>
          <w:szCs w:val="16"/>
          <w:lang w:val="es-CR"/>
        </w:rPr>
        <w:t xml:space="preserve"> Tipo de cuantía de casaciones en Sala Primera por año, promedio y su distribución relativa</w:t>
      </w:r>
    </w:p>
    <w:tbl>
      <w:tblPr>
        <w:tblW w:w="7197" w:type="dxa"/>
        <w:jc w:val="center"/>
        <w:tblCellMar>
          <w:left w:w="70" w:type="dxa"/>
          <w:right w:w="70" w:type="dxa"/>
        </w:tblCellMar>
        <w:tblLook w:val="04A0" w:firstRow="1" w:lastRow="0" w:firstColumn="1" w:lastColumn="0" w:noHBand="0" w:noVBand="1"/>
      </w:tblPr>
      <w:tblGrid>
        <w:gridCol w:w="2268"/>
        <w:gridCol w:w="850"/>
        <w:gridCol w:w="850"/>
        <w:gridCol w:w="850"/>
        <w:gridCol w:w="1134"/>
        <w:gridCol w:w="1245"/>
      </w:tblGrid>
      <w:tr w:rsidR="00471494" w:rsidRPr="004E74A6" w14:paraId="61DFD211" w14:textId="77777777" w:rsidTr="00B32800">
        <w:trPr>
          <w:trHeight w:val="454"/>
          <w:tblHeader/>
          <w:jc w:val="center"/>
        </w:trPr>
        <w:tc>
          <w:tcPr>
            <w:tcW w:w="2268" w:type="dxa"/>
            <w:tcBorders>
              <w:top w:val="single" w:sz="4" w:space="0" w:color="000000"/>
              <w:left w:val="nil"/>
              <w:bottom w:val="single" w:sz="4" w:space="0" w:color="000000"/>
              <w:right w:val="single" w:sz="4" w:space="0" w:color="000000"/>
            </w:tcBorders>
            <w:shd w:val="clear" w:color="auto" w:fill="auto"/>
            <w:vAlign w:val="center"/>
            <w:hideMark/>
          </w:tcPr>
          <w:p w14:paraId="6E84B6BC" w14:textId="77777777" w:rsidR="00471494" w:rsidRPr="004E74A6" w:rsidRDefault="00471494" w:rsidP="00832773">
            <w:pPr>
              <w:spacing w:line="276" w:lineRule="auto"/>
              <w:jc w:val="center"/>
              <w:rPr>
                <w:rFonts w:cs="Calibri"/>
                <w:color w:val="000000"/>
                <w:sz w:val="20"/>
                <w:lang w:eastAsia="es-CR"/>
              </w:rPr>
            </w:pPr>
            <w:r w:rsidRPr="004E74A6">
              <w:rPr>
                <w:rFonts w:cs="Calibri"/>
                <w:color w:val="000000"/>
                <w:sz w:val="20"/>
                <w:lang w:eastAsia="es-CR"/>
              </w:rPr>
              <w:t>Tipo de cuantía</w:t>
            </w:r>
          </w:p>
        </w:tc>
        <w:tc>
          <w:tcPr>
            <w:tcW w:w="850" w:type="dxa"/>
            <w:tcBorders>
              <w:top w:val="single" w:sz="4" w:space="0" w:color="000000"/>
              <w:left w:val="nil"/>
              <w:bottom w:val="single" w:sz="4" w:space="0" w:color="000000"/>
              <w:right w:val="single" w:sz="4" w:space="0" w:color="000000"/>
            </w:tcBorders>
            <w:shd w:val="clear" w:color="auto" w:fill="auto"/>
            <w:vAlign w:val="center"/>
            <w:hideMark/>
          </w:tcPr>
          <w:p w14:paraId="74634CAB" w14:textId="77777777" w:rsidR="00471494" w:rsidRPr="004E74A6" w:rsidRDefault="00471494" w:rsidP="00832773">
            <w:pPr>
              <w:spacing w:line="276" w:lineRule="auto"/>
              <w:jc w:val="center"/>
              <w:rPr>
                <w:rFonts w:cs="Calibri"/>
                <w:color w:val="000000"/>
                <w:sz w:val="20"/>
                <w:lang w:eastAsia="es-CR"/>
              </w:rPr>
            </w:pPr>
            <w:r w:rsidRPr="004E74A6">
              <w:rPr>
                <w:rFonts w:cs="Calibri"/>
                <w:color w:val="000000"/>
                <w:sz w:val="20"/>
                <w:lang w:eastAsia="es-CR"/>
              </w:rPr>
              <w:t>2019</w:t>
            </w:r>
          </w:p>
        </w:tc>
        <w:tc>
          <w:tcPr>
            <w:tcW w:w="850" w:type="dxa"/>
            <w:tcBorders>
              <w:top w:val="single" w:sz="4" w:space="0" w:color="000000"/>
              <w:left w:val="nil"/>
              <w:bottom w:val="single" w:sz="4" w:space="0" w:color="000000"/>
              <w:right w:val="single" w:sz="4" w:space="0" w:color="000000"/>
            </w:tcBorders>
            <w:shd w:val="clear" w:color="auto" w:fill="auto"/>
            <w:vAlign w:val="center"/>
            <w:hideMark/>
          </w:tcPr>
          <w:p w14:paraId="20813E6C" w14:textId="77777777" w:rsidR="00471494" w:rsidRPr="004E74A6" w:rsidRDefault="00471494" w:rsidP="00832773">
            <w:pPr>
              <w:spacing w:line="276" w:lineRule="auto"/>
              <w:jc w:val="center"/>
              <w:rPr>
                <w:rFonts w:cs="Calibri"/>
                <w:color w:val="000000"/>
                <w:sz w:val="20"/>
                <w:lang w:eastAsia="es-CR"/>
              </w:rPr>
            </w:pPr>
            <w:r w:rsidRPr="004E74A6">
              <w:rPr>
                <w:rFonts w:cs="Calibri"/>
                <w:color w:val="000000"/>
                <w:sz w:val="20"/>
                <w:lang w:eastAsia="es-CR"/>
              </w:rPr>
              <w:t>2020</w:t>
            </w:r>
          </w:p>
        </w:tc>
        <w:tc>
          <w:tcPr>
            <w:tcW w:w="850" w:type="dxa"/>
            <w:tcBorders>
              <w:top w:val="single" w:sz="4" w:space="0" w:color="000000"/>
              <w:left w:val="nil"/>
              <w:bottom w:val="single" w:sz="4" w:space="0" w:color="000000"/>
              <w:right w:val="single" w:sz="4" w:space="0" w:color="000000"/>
            </w:tcBorders>
            <w:shd w:val="clear" w:color="auto" w:fill="auto"/>
            <w:vAlign w:val="center"/>
            <w:hideMark/>
          </w:tcPr>
          <w:p w14:paraId="19448A48" w14:textId="77777777" w:rsidR="00471494" w:rsidRPr="004E74A6" w:rsidRDefault="00471494" w:rsidP="00832773">
            <w:pPr>
              <w:spacing w:line="276" w:lineRule="auto"/>
              <w:jc w:val="center"/>
              <w:rPr>
                <w:rFonts w:cs="Calibri"/>
                <w:color w:val="000000"/>
                <w:sz w:val="20"/>
                <w:lang w:eastAsia="es-CR"/>
              </w:rPr>
            </w:pPr>
            <w:r w:rsidRPr="004E74A6">
              <w:rPr>
                <w:rFonts w:cs="Calibri"/>
                <w:color w:val="000000"/>
                <w:sz w:val="20"/>
                <w:lang w:eastAsia="es-CR"/>
              </w:rPr>
              <w:t>2021</w:t>
            </w:r>
          </w:p>
        </w:tc>
        <w:tc>
          <w:tcPr>
            <w:tcW w:w="1134" w:type="dxa"/>
            <w:tcBorders>
              <w:top w:val="single" w:sz="4" w:space="0" w:color="000000"/>
              <w:left w:val="nil"/>
              <w:bottom w:val="single" w:sz="4" w:space="0" w:color="000000"/>
              <w:right w:val="single" w:sz="4" w:space="0" w:color="000000"/>
            </w:tcBorders>
            <w:shd w:val="clear" w:color="auto" w:fill="auto"/>
            <w:vAlign w:val="center"/>
            <w:hideMark/>
          </w:tcPr>
          <w:p w14:paraId="7579A5D9" w14:textId="77777777" w:rsidR="00471494" w:rsidRPr="004E74A6" w:rsidRDefault="00471494" w:rsidP="00832773">
            <w:pPr>
              <w:spacing w:line="276" w:lineRule="auto"/>
              <w:jc w:val="center"/>
              <w:rPr>
                <w:rFonts w:cs="Calibri"/>
                <w:color w:val="000000"/>
                <w:sz w:val="20"/>
                <w:lang w:eastAsia="es-CR"/>
              </w:rPr>
            </w:pPr>
            <w:r w:rsidRPr="004E74A6">
              <w:rPr>
                <w:rFonts w:cs="Calibri"/>
                <w:color w:val="000000"/>
                <w:sz w:val="20"/>
                <w:lang w:eastAsia="es-CR"/>
              </w:rPr>
              <w:t>Promedio</w:t>
            </w:r>
          </w:p>
        </w:tc>
        <w:tc>
          <w:tcPr>
            <w:tcW w:w="1245" w:type="dxa"/>
            <w:tcBorders>
              <w:top w:val="single" w:sz="4" w:space="0" w:color="000000"/>
              <w:left w:val="nil"/>
              <w:bottom w:val="single" w:sz="4" w:space="0" w:color="000000"/>
              <w:right w:val="nil"/>
            </w:tcBorders>
            <w:shd w:val="clear" w:color="auto" w:fill="auto"/>
            <w:vAlign w:val="center"/>
            <w:hideMark/>
          </w:tcPr>
          <w:p w14:paraId="56DC70CA" w14:textId="77777777" w:rsidR="00471494" w:rsidRPr="004E74A6" w:rsidRDefault="00471494" w:rsidP="00832773">
            <w:pPr>
              <w:spacing w:line="276" w:lineRule="auto"/>
              <w:jc w:val="center"/>
              <w:rPr>
                <w:rFonts w:cs="Calibri"/>
                <w:color w:val="000000"/>
                <w:sz w:val="20"/>
                <w:lang w:eastAsia="es-CR"/>
              </w:rPr>
            </w:pPr>
            <w:r w:rsidRPr="004E74A6">
              <w:rPr>
                <w:rFonts w:cs="Calibri"/>
                <w:color w:val="000000"/>
                <w:sz w:val="20"/>
                <w:lang w:eastAsia="es-CR"/>
              </w:rPr>
              <w:t>Distribución relativa</w:t>
            </w:r>
          </w:p>
        </w:tc>
      </w:tr>
      <w:tr w:rsidR="00471494" w:rsidRPr="004E74A6" w14:paraId="734C5D4F" w14:textId="77777777" w:rsidTr="00B32800">
        <w:trPr>
          <w:trHeight w:val="288"/>
          <w:jc w:val="center"/>
        </w:trPr>
        <w:tc>
          <w:tcPr>
            <w:tcW w:w="2268" w:type="dxa"/>
            <w:tcBorders>
              <w:top w:val="nil"/>
              <w:left w:val="nil"/>
              <w:bottom w:val="nil"/>
              <w:right w:val="single" w:sz="4" w:space="0" w:color="000000"/>
            </w:tcBorders>
            <w:shd w:val="clear" w:color="auto" w:fill="auto"/>
            <w:noWrap/>
            <w:vAlign w:val="center"/>
            <w:hideMark/>
          </w:tcPr>
          <w:p w14:paraId="628ACA76" w14:textId="77777777" w:rsidR="00471494" w:rsidRPr="004E74A6" w:rsidRDefault="00471494" w:rsidP="00832773">
            <w:pPr>
              <w:spacing w:line="276" w:lineRule="auto"/>
              <w:jc w:val="left"/>
              <w:rPr>
                <w:rFonts w:cs="Calibri"/>
                <w:color w:val="000000"/>
                <w:sz w:val="20"/>
                <w:lang w:eastAsia="es-CR"/>
              </w:rPr>
            </w:pPr>
            <w:r w:rsidRPr="004E74A6">
              <w:rPr>
                <w:rFonts w:cs="Calibri"/>
                <w:color w:val="000000"/>
                <w:sz w:val="20"/>
                <w:lang w:eastAsia="es-CR"/>
              </w:rPr>
              <w:t> </w:t>
            </w:r>
          </w:p>
        </w:tc>
        <w:tc>
          <w:tcPr>
            <w:tcW w:w="850" w:type="dxa"/>
            <w:tcBorders>
              <w:top w:val="nil"/>
              <w:left w:val="nil"/>
              <w:bottom w:val="nil"/>
              <w:right w:val="single" w:sz="4" w:space="0" w:color="000000"/>
            </w:tcBorders>
            <w:shd w:val="clear" w:color="auto" w:fill="auto"/>
            <w:noWrap/>
            <w:vAlign w:val="center"/>
            <w:hideMark/>
          </w:tcPr>
          <w:p w14:paraId="01860D7A" w14:textId="77777777" w:rsidR="00471494" w:rsidRPr="004E74A6" w:rsidRDefault="00471494" w:rsidP="00832773">
            <w:pPr>
              <w:spacing w:line="276" w:lineRule="auto"/>
              <w:jc w:val="center"/>
              <w:rPr>
                <w:rFonts w:cs="Calibri"/>
                <w:color w:val="000000"/>
                <w:sz w:val="20"/>
                <w:lang w:eastAsia="es-CR"/>
              </w:rPr>
            </w:pPr>
            <w:r w:rsidRPr="004E74A6">
              <w:rPr>
                <w:rFonts w:cs="Calibri"/>
                <w:color w:val="000000"/>
                <w:sz w:val="20"/>
                <w:lang w:eastAsia="es-CR"/>
              </w:rPr>
              <w:t> </w:t>
            </w:r>
          </w:p>
        </w:tc>
        <w:tc>
          <w:tcPr>
            <w:tcW w:w="850" w:type="dxa"/>
            <w:tcBorders>
              <w:top w:val="nil"/>
              <w:left w:val="nil"/>
              <w:bottom w:val="nil"/>
              <w:right w:val="single" w:sz="4" w:space="0" w:color="000000"/>
            </w:tcBorders>
            <w:shd w:val="clear" w:color="auto" w:fill="auto"/>
            <w:noWrap/>
            <w:vAlign w:val="center"/>
            <w:hideMark/>
          </w:tcPr>
          <w:p w14:paraId="0EBFB76C" w14:textId="77777777" w:rsidR="00471494" w:rsidRPr="004E74A6" w:rsidRDefault="00471494" w:rsidP="00832773">
            <w:pPr>
              <w:spacing w:line="276" w:lineRule="auto"/>
              <w:jc w:val="center"/>
              <w:rPr>
                <w:rFonts w:cs="Calibri"/>
                <w:color w:val="000000"/>
                <w:sz w:val="20"/>
                <w:lang w:eastAsia="es-CR"/>
              </w:rPr>
            </w:pPr>
            <w:r w:rsidRPr="004E74A6">
              <w:rPr>
                <w:rFonts w:cs="Calibri"/>
                <w:color w:val="000000"/>
                <w:sz w:val="20"/>
                <w:lang w:eastAsia="es-CR"/>
              </w:rPr>
              <w:t> </w:t>
            </w:r>
          </w:p>
        </w:tc>
        <w:tc>
          <w:tcPr>
            <w:tcW w:w="850" w:type="dxa"/>
            <w:tcBorders>
              <w:top w:val="nil"/>
              <w:left w:val="nil"/>
              <w:bottom w:val="nil"/>
              <w:right w:val="single" w:sz="4" w:space="0" w:color="000000"/>
            </w:tcBorders>
            <w:shd w:val="clear" w:color="auto" w:fill="auto"/>
            <w:noWrap/>
            <w:vAlign w:val="center"/>
            <w:hideMark/>
          </w:tcPr>
          <w:p w14:paraId="6BEC6341" w14:textId="77777777" w:rsidR="00471494" w:rsidRPr="004E74A6" w:rsidRDefault="00471494" w:rsidP="00832773">
            <w:pPr>
              <w:spacing w:line="276" w:lineRule="auto"/>
              <w:jc w:val="center"/>
              <w:rPr>
                <w:rFonts w:cs="Calibri"/>
                <w:color w:val="000000"/>
                <w:sz w:val="20"/>
                <w:lang w:eastAsia="es-CR"/>
              </w:rPr>
            </w:pPr>
            <w:r w:rsidRPr="004E74A6">
              <w:rPr>
                <w:rFonts w:cs="Calibri"/>
                <w:color w:val="000000"/>
                <w:sz w:val="20"/>
                <w:lang w:eastAsia="es-CR"/>
              </w:rPr>
              <w:t> </w:t>
            </w:r>
          </w:p>
        </w:tc>
        <w:tc>
          <w:tcPr>
            <w:tcW w:w="1134" w:type="dxa"/>
            <w:tcBorders>
              <w:top w:val="nil"/>
              <w:left w:val="nil"/>
              <w:bottom w:val="nil"/>
              <w:right w:val="single" w:sz="4" w:space="0" w:color="000000"/>
            </w:tcBorders>
            <w:shd w:val="clear" w:color="auto" w:fill="auto"/>
            <w:noWrap/>
            <w:vAlign w:val="center"/>
            <w:hideMark/>
          </w:tcPr>
          <w:p w14:paraId="66A8A2B8" w14:textId="77777777" w:rsidR="00471494" w:rsidRPr="004E74A6" w:rsidRDefault="00471494" w:rsidP="00832773">
            <w:pPr>
              <w:spacing w:line="276" w:lineRule="auto"/>
              <w:jc w:val="center"/>
              <w:rPr>
                <w:rFonts w:cs="Calibri"/>
                <w:color w:val="000000"/>
                <w:sz w:val="20"/>
                <w:lang w:eastAsia="es-CR"/>
              </w:rPr>
            </w:pPr>
            <w:r w:rsidRPr="004E74A6">
              <w:rPr>
                <w:rFonts w:cs="Calibri"/>
                <w:color w:val="000000"/>
                <w:sz w:val="20"/>
                <w:lang w:eastAsia="es-CR"/>
              </w:rPr>
              <w:t> </w:t>
            </w:r>
          </w:p>
        </w:tc>
        <w:tc>
          <w:tcPr>
            <w:tcW w:w="1245" w:type="dxa"/>
            <w:tcBorders>
              <w:top w:val="nil"/>
              <w:left w:val="nil"/>
              <w:bottom w:val="nil"/>
              <w:right w:val="nil"/>
            </w:tcBorders>
            <w:shd w:val="clear" w:color="auto" w:fill="auto"/>
            <w:noWrap/>
            <w:vAlign w:val="center"/>
            <w:hideMark/>
          </w:tcPr>
          <w:p w14:paraId="6E7756DD" w14:textId="77777777" w:rsidR="00471494" w:rsidRPr="004E74A6" w:rsidRDefault="00471494" w:rsidP="00832773">
            <w:pPr>
              <w:spacing w:line="276" w:lineRule="auto"/>
              <w:jc w:val="center"/>
              <w:rPr>
                <w:rFonts w:cs="Calibri"/>
                <w:color w:val="000000"/>
                <w:sz w:val="20"/>
                <w:lang w:eastAsia="es-CR"/>
              </w:rPr>
            </w:pPr>
            <w:r w:rsidRPr="004E74A6">
              <w:rPr>
                <w:rFonts w:cs="Calibri"/>
                <w:color w:val="000000"/>
                <w:sz w:val="20"/>
                <w:lang w:eastAsia="es-CR"/>
              </w:rPr>
              <w:t> </w:t>
            </w:r>
          </w:p>
        </w:tc>
      </w:tr>
      <w:tr w:rsidR="00471494" w:rsidRPr="004E74A6" w14:paraId="22132883" w14:textId="77777777" w:rsidTr="00B32800">
        <w:trPr>
          <w:trHeight w:val="288"/>
          <w:jc w:val="center"/>
        </w:trPr>
        <w:tc>
          <w:tcPr>
            <w:tcW w:w="2268" w:type="dxa"/>
            <w:tcBorders>
              <w:top w:val="nil"/>
              <w:left w:val="nil"/>
              <w:bottom w:val="nil"/>
              <w:right w:val="single" w:sz="4" w:space="0" w:color="000000"/>
            </w:tcBorders>
            <w:shd w:val="clear" w:color="auto" w:fill="auto"/>
            <w:noWrap/>
            <w:vAlign w:val="center"/>
            <w:hideMark/>
          </w:tcPr>
          <w:p w14:paraId="53A497CF" w14:textId="77777777" w:rsidR="00471494" w:rsidRPr="004E74A6" w:rsidRDefault="00471494" w:rsidP="00832773">
            <w:pPr>
              <w:spacing w:line="276" w:lineRule="auto"/>
              <w:jc w:val="center"/>
              <w:rPr>
                <w:rFonts w:cs="Calibri"/>
                <w:color w:val="000000"/>
                <w:sz w:val="20"/>
                <w:lang w:eastAsia="es-CR"/>
              </w:rPr>
            </w:pPr>
            <w:r w:rsidRPr="004E74A6">
              <w:rPr>
                <w:rFonts w:cs="Calibri"/>
                <w:color w:val="000000"/>
                <w:sz w:val="20"/>
                <w:lang w:eastAsia="es-CR"/>
              </w:rPr>
              <w:t>Total general</w:t>
            </w:r>
          </w:p>
        </w:tc>
        <w:tc>
          <w:tcPr>
            <w:tcW w:w="850" w:type="dxa"/>
            <w:tcBorders>
              <w:top w:val="nil"/>
              <w:left w:val="nil"/>
              <w:bottom w:val="nil"/>
              <w:right w:val="single" w:sz="4" w:space="0" w:color="000000"/>
            </w:tcBorders>
            <w:shd w:val="clear" w:color="auto" w:fill="auto"/>
            <w:noWrap/>
            <w:vAlign w:val="center"/>
            <w:hideMark/>
          </w:tcPr>
          <w:p w14:paraId="6C60C0A1" w14:textId="77777777" w:rsidR="00471494" w:rsidRPr="004E74A6" w:rsidRDefault="00471494" w:rsidP="00832773">
            <w:pPr>
              <w:spacing w:line="276" w:lineRule="auto"/>
              <w:jc w:val="center"/>
              <w:rPr>
                <w:rFonts w:cs="Calibri"/>
                <w:color w:val="000000"/>
                <w:sz w:val="20"/>
                <w:lang w:eastAsia="es-CR"/>
              </w:rPr>
            </w:pPr>
            <w:r w:rsidRPr="004E74A6">
              <w:rPr>
                <w:rFonts w:cs="Calibri"/>
                <w:color w:val="000000"/>
                <w:sz w:val="20"/>
                <w:lang w:eastAsia="es-CR"/>
              </w:rPr>
              <w:t>1347</w:t>
            </w:r>
          </w:p>
        </w:tc>
        <w:tc>
          <w:tcPr>
            <w:tcW w:w="850" w:type="dxa"/>
            <w:tcBorders>
              <w:top w:val="nil"/>
              <w:left w:val="nil"/>
              <w:bottom w:val="nil"/>
              <w:right w:val="single" w:sz="4" w:space="0" w:color="000000"/>
            </w:tcBorders>
            <w:shd w:val="clear" w:color="auto" w:fill="auto"/>
            <w:noWrap/>
            <w:vAlign w:val="center"/>
            <w:hideMark/>
          </w:tcPr>
          <w:p w14:paraId="56CAD7EC" w14:textId="77777777" w:rsidR="00471494" w:rsidRPr="004E74A6" w:rsidRDefault="00471494" w:rsidP="00832773">
            <w:pPr>
              <w:spacing w:line="276" w:lineRule="auto"/>
              <w:jc w:val="center"/>
              <w:rPr>
                <w:rFonts w:cs="Calibri"/>
                <w:color w:val="000000"/>
                <w:sz w:val="20"/>
                <w:lang w:eastAsia="es-CR"/>
              </w:rPr>
            </w:pPr>
            <w:r w:rsidRPr="004E74A6">
              <w:rPr>
                <w:rFonts w:cs="Calibri"/>
                <w:color w:val="000000"/>
                <w:sz w:val="20"/>
                <w:lang w:eastAsia="es-CR"/>
              </w:rPr>
              <w:t>1068</w:t>
            </w:r>
          </w:p>
        </w:tc>
        <w:tc>
          <w:tcPr>
            <w:tcW w:w="850" w:type="dxa"/>
            <w:tcBorders>
              <w:top w:val="nil"/>
              <w:left w:val="nil"/>
              <w:bottom w:val="nil"/>
              <w:right w:val="single" w:sz="4" w:space="0" w:color="000000"/>
            </w:tcBorders>
            <w:shd w:val="clear" w:color="auto" w:fill="auto"/>
            <w:noWrap/>
            <w:vAlign w:val="center"/>
            <w:hideMark/>
          </w:tcPr>
          <w:p w14:paraId="3ECA6741" w14:textId="77777777" w:rsidR="00471494" w:rsidRPr="004E74A6" w:rsidRDefault="00471494" w:rsidP="00832773">
            <w:pPr>
              <w:spacing w:line="276" w:lineRule="auto"/>
              <w:jc w:val="center"/>
              <w:rPr>
                <w:rFonts w:cs="Calibri"/>
                <w:color w:val="000000"/>
                <w:sz w:val="20"/>
                <w:lang w:eastAsia="es-CR"/>
              </w:rPr>
            </w:pPr>
            <w:r w:rsidRPr="004E74A6">
              <w:rPr>
                <w:rFonts w:cs="Calibri"/>
                <w:color w:val="000000"/>
                <w:sz w:val="20"/>
                <w:lang w:eastAsia="es-CR"/>
              </w:rPr>
              <w:t>930</w:t>
            </w:r>
          </w:p>
        </w:tc>
        <w:tc>
          <w:tcPr>
            <w:tcW w:w="1134" w:type="dxa"/>
            <w:tcBorders>
              <w:top w:val="nil"/>
              <w:left w:val="nil"/>
              <w:bottom w:val="nil"/>
              <w:right w:val="single" w:sz="4" w:space="0" w:color="000000"/>
            </w:tcBorders>
            <w:shd w:val="clear" w:color="auto" w:fill="auto"/>
            <w:noWrap/>
            <w:vAlign w:val="center"/>
            <w:hideMark/>
          </w:tcPr>
          <w:p w14:paraId="75E7FF61" w14:textId="77777777" w:rsidR="00471494" w:rsidRPr="004E74A6" w:rsidRDefault="00471494" w:rsidP="00832773">
            <w:pPr>
              <w:spacing w:line="276" w:lineRule="auto"/>
              <w:jc w:val="center"/>
              <w:rPr>
                <w:rFonts w:cs="Calibri"/>
                <w:color w:val="000000"/>
                <w:sz w:val="20"/>
                <w:lang w:eastAsia="es-CR"/>
              </w:rPr>
            </w:pPr>
            <w:r w:rsidRPr="004E74A6">
              <w:rPr>
                <w:rFonts w:cs="Calibri"/>
                <w:color w:val="000000"/>
                <w:sz w:val="20"/>
                <w:lang w:eastAsia="es-CR"/>
              </w:rPr>
              <w:t>1115</w:t>
            </w:r>
          </w:p>
        </w:tc>
        <w:tc>
          <w:tcPr>
            <w:tcW w:w="1245" w:type="dxa"/>
            <w:tcBorders>
              <w:top w:val="nil"/>
              <w:left w:val="nil"/>
              <w:bottom w:val="nil"/>
              <w:right w:val="nil"/>
            </w:tcBorders>
            <w:shd w:val="clear" w:color="auto" w:fill="auto"/>
            <w:noWrap/>
            <w:vAlign w:val="center"/>
            <w:hideMark/>
          </w:tcPr>
          <w:p w14:paraId="603D131D" w14:textId="77777777" w:rsidR="00471494" w:rsidRPr="004E74A6" w:rsidRDefault="00471494" w:rsidP="00832773">
            <w:pPr>
              <w:spacing w:line="276" w:lineRule="auto"/>
              <w:jc w:val="center"/>
              <w:rPr>
                <w:rFonts w:cs="Calibri"/>
                <w:color w:val="000000"/>
                <w:sz w:val="20"/>
                <w:lang w:eastAsia="es-CR"/>
              </w:rPr>
            </w:pPr>
            <w:r w:rsidRPr="004E74A6">
              <w:rPr>
                <w:rFonts w:cs="Calibri"/>
                <w:color w:val="000000"/>
                <w:sz w:val="20"/>
                <w:lang w:eastAsia="es-CR"/>
              </w:rPr>
              <w:t>100%</w:t>
            </w:r>
          </w:p>
        </w:tc>
      </w:tr>
      <w:tr w:rsidR="00471494" w:rsidRPr="004E74A6" w14:paraId="1325512F" w14:textId="77777777" w:rsidTr="00B32800">
        <w:trPr>
          <w:trHeight w:val="288"/>
          <w:jc w:val="center"/>
        </w:trPr>
        <w:tc>
          <w:tcPr>
            <w:tcW w:w="2268" w:type="dxa"/>
            <w:tcBorders>
              <w:top w:val="nil"/>
              <w:left w:val="nil"/>
              <w:bottom w:val="nil"/>
              <w:right w:val="single" w:sz="4" w:space="0" w:color="000000"/>
            </w:tcBorders>
            <w:shd w:val="clear" w:color="auto" w:fill="auto"/>
            <w:noWrap/>
            <w:vAlign w:val="center"/>
            <w:hideMark/>
          </w:tcPr>
          <w:p w14:paraId="5405EF6C" w14:textId="77777777" w:rsidR="00471494" w:rsidRPr="004E74A6" w:rsidRDefault="00471494" w:rsidP="00832773">
            <w:pPr>
              <w:spacing w:line="276" w:lineRule="auto"/>
              <w:jc w:val="left"/>
              <w:rPr>
                <w:rFonts w:cs="Calibri"/>
                <w:color w:val="000000"/>
                <w:sz w:val="20"/>
                <w:lang w:eastAsia="es-CR"/>
              </w:rPr>
            </w:pPr>
            <w:r w:rsidRPr="004E74A6">
              <w:rPr>
                <w:rFonts w:cs="Calibri"/>
                <w:color w:val="000000"/>
                <w:sz w:val="20"/>
                <w:lang w:eastAsia="es-CR"/>
              </w:rPr>
              <w:t> </w:t>
            </w:r>
          </w:p>
        </w:tc>
        <w:tc>
          <w:tcPr>
            <w:tcW w:w="850" w:type="dxa"/>
            <w:tcBorders>
              <w:top w:val="nil"/>
              <w:left w:val="nil"/>
              <w:bottom w:val="nil"/>
              <w:right w:val="single" w:sz="4" w:space="0" w:color="000000"/>
            </w:tcBorders>
            <w:shd w:val="clear" w:color="auto" w:fill="auto"/>
            <w:noWrap/>
            <w:vAlign w:val="center"/>
            <w:hideMark/>
          </w:tcPr>
          <w:p w14:paraId="02BEE72B" w14:textId="77777777" w:rsidR="00471494" w:rsidRPr="004E74A6" w:rsidRDefault="00471494" w:rsidP="00832773">
            <w:pPr>
              <w:spacing w:line="276" w:lineRule="auto"/>
              <w:jc w:val="center"/>
              <w:rPr>
                <w:rFonts w:cs="Calibri"/>
                <w:color w:val="000000"/>
                <w:sz w:val="20"/>
                <w:lang w:eastAsia="es-CR"/>
              </w:rPr>
            </w:pPr>
            <w:r w:rsidRPr="004E74A6">
              <w:rPr>
                <w:rFonts w:cs="Calibri"/>
                <w:color w:val="000000"/>
                <w:sz w:val="20"/>
                <w:lang w:eastAsia="es-CR"/>
              </w:rPr>
              <w:t> </w:t>
            </w:r>
          </w:p>
        </w:tc>
        <w:tc>
          <w:tcPr>
            <w:tcW w:w="850" w:type="dxa"/>
            <w:tcBorders>
              <w:top w:val="nil"/>
              <w:left w:val="nil"/>
              <w:bottom w:val="nil"/>
              <w:right w:val="single" w:sz="4" w:space="0" w:color="000000"/>
            </w:tcBorders>
            <w:shd w:val="clear" w:color="auto" w:fill="auto"/>
            <w:noWrap/>
            <w:vAlign w:val="center"/>
            <w:hideMark/>
          </w:tcPr>
          <w:p w14:paraId="70B7036E" w14:textId="77777777" w:rsidR="00471494" w:rsidRPr="004E74A6" w:rsidRDefault="00471494" w:rsidP="00832773">
            <w:pPr>
              <w:spacing w:line="276" w:lineRule="auto"/>
              <w:jc w:val="center"/>
              <w:rPr>
                <w:rFonts w:cs="Calibri"/>
                <w:color w:val="000000"/>
                <w:sz w:val="20"/>
                <w:lang w:eastAsia="es-CR"/>
              </w:rPr>
            </w:pPr>
            <w:r w:rsidRPr="004E74A6">
              <w:rPr>
                <w:rFonts w:cs="Calibri"/>
                <w:color w:val="000000"/>
                <w:sz w:val="20"/>
                <w:lang w:eastAsia="es-CR"/>
              </w:rPr>
              <w:t> </w:t>
            </w:r>
          </w:p>
        </w:tc>
        <w:tc>
          <w:tcPr>
            <w:tcW w:w="850" w:type="dxa"/>
            <w:tcBorders>
              <w:top w:val="nil"/>
              <w:left w:val="nil"/>
              <w:bottom w:val="nil"/>
              <w:right w:val="single" w:sz="4" w:space="0" w:color="000000"/>
            </w:tcBorders>
            <w:shd w:val="clear" w:color="auto" w:fill="auto"/>
            <w:noWrap/>
            <w:vAlign w:val="center"/>
            <w:hideMark/>
          </w:tcPr>
          <w:p w14:paraId="380B969D" w14:textId="77777777" w:rsidR="00471494" w:rsidRPr="004E74A6" w:rsidRDefault="00471494" w:rsidP="00832773">
            <w:pPr>
              <w:spacing w:line="276" w:lineRule="auto"/>
              <w:jc w:val="center"/>
              <w:rPr>
                <w:rFonts w:cs="Calibri"/>
                <w:color w:val="000000"/>
                <w:sz w:val="20"/>
                <w:lang w:eastAsia="es-CR"/>
              </w:rPr>
            </w:pPr>
            <w:r w:rsidRPr="004E74A6">
              <w:rPr>
                <w:rFonts w:cs="Calibri"/>
                <w:color w:val="000000"/>
                <w:sz w:val="20"/>
                <w:lang w:eastAsia="es-CR"/>
              </w:rPr>
              <w:t> </w:t>
            </w:r>
          </w:p>
        </w:tc>
        <w:tc>
          <w:tcPr>
            <w:tcW w:w="1134" w:type="dxa"/>
            <w:tcBorders>
              <w:top w:val="nil"/>
              <w:left w:val="nil"/>
              <w:bottom w:val="nil"/>
              <w:right w:val="single" w:sz="4" w:space="0" w:color="000000"/>
            </w:tcBorders>
            <w:shd w:val="clear" w:color="auto" w:fill="auto"/>
            <w:noWrap/>
            <w:vAlign w:val="center"/>
            <w:hideMark/>
          </w:tcPr>
          <w:p w14:paraId="2F9DD4FC" w14:textId="77777777" w:rsidR="00471494" w:rsidRPr="004E74A6" w:rsidRDefault="00471494" w:rsidP="00832773">
            <w:pPr>
              <w:spacing w:line="276" w:lineRule="auto"/>
              <w:jc w:val="center"/>
              <w:rPr>
                <w:rFonts w:cs="Calibri"/>
                <w:color w:val="000000"/>
                <w:sz w:val="20"/>
                <w:lang w:eastAsia="es-CR"/>
              </w:rPr>
            </w:pPr>
            <w:r w:rsidRPr="004E74A6">
              <w:rPr>
                <w:rFonts w:cs="Calibri"/>
                <w:color w:val="000000"/>
                <w:sz w:val="20"/>
                <w:lang w:eastAsia="es-CR"/>
              </w:rPr>
              <w:t> </w:t>
            </w:r>
          </w:p>
        </w:tc>
        <w:tc>
          <w:tcPr>
            <w:tcW w:w="1245" w:type="dxa"/>
            <w:tcBorders>
              <w:top w:val="nil"/>
              <w:left w:val="nil"/>
              <w:bottom w:val="nil"/>
              <w:right w:val="nil"/>
            </w:tcBorders>
            <w:shd w:val="clear" w:color="auto" w:fill="auto"/>
            <w:noWrap/>
            <w:vAlign w:val="center"/>
            <w:hideMark/>
          </w:tcPr>
          <w:p w14:paraId="55009A1E" w14:textId="77777777" w:rsidR="00471494" w:rsidRPr="004E74A6" w:rsidRDefault="00471494" w:rsidP="00832773">
            <w:pPr>
              <w:spacing w:line="276" w:lineRule="auto"/>
              <w:jc w:val="center"/>
              <w:rPr>
                <w:rFonts w:cs="Calibri"/>
                <w:color w:val="000000"/>
                <w:sz w:val="20"/>
                <w:lang w:eastAsia="es-CR"/>
              </w:rPr>
            </w:pPr>
            <w:r w:rsidRPr="004E74A6">
              <w:rPr>
                <w:rFonts w:cs="Calibri"/>
                <w:color w:val="000000"/>
                <w:sz w:val="20"/>
                <w:lang w:eastAsia="es-CR"/>
              </w:rPr>
              <w:t> </w:t>
            </w:r>
          </w:p>
        </w:tc>
      </w:tr>
      <w:tr w:rsidR="00471494" w:rsidRPr="004E74A6" w14:paraId="48D3B94C" w14:textId="77777777" w:rsidTr="00B32800">
        <w:trPr>
          <w:trHeight w:val="288"/>
          <w:jc w:val="center"/>
        </w:trPr>
        <w:tc>
          <w:tcPr>
            <w:tcW w:w="2268" w:type="dxa"/>
            <w:tcBorders>
              <w:top w:val="nil"/>
              <w:left w:val="nil"/>
              <w:bottom w:val="nil"/>
              <w:right w:val="single" w:sz="4" w:space="0" w:color="000000"/>
            </w:tcBorders>
            <w:shd w:val="clear" w:color="auto" w:fill="auto"/>
            <w:noWrap/>
            <w:vAlign w:val="center"/>
            <w:hideMark/>
          </w:tcPr>
          <w:p w14:paraId="19A83B36" w14:textId="77777777" w:rsidR="00471494" w:rsidRPr="004E74A6" w:rsidRDefault="00471494" w:rsidP="00832773">
            <w:pPr>
              <w:spacing w:line="276" w:lineRule="auto"/>
              <w:jc w:val="left"/>
              <w:rPr>
                <w:rFonts w:cs="Calibri"/>
                <w:color w:val="000000"/>
                <w:sz w:val="20"/>
                <w:lang w:eastAsia="es-CR"/>
              </w:rPr>
            </w:pPr>
            <w:r w:rsidRPr="004E74A6">
              <w:rPr>
                <w:rFonts w:cs="Calibri"/>
                <w:color w:val="000000"/>
                <w:sz w:val="20"/>
                <w:lang w:eastAsia="es-CR"/>
              </w:rPr>
              <w:t>Estimable</w:t>
            </w:r>
          </w:p>
        </w:tc>
        <w:tc>
          <w:tcPr>
            <w:tcW w:w="850" w:type="dxa"/>
            <w:tcBorders>
              <w:top w:val="nil"/>
              <w:left w:val="nil"/>
              <w:bottom w:val="nil"/>
              <w:right w:val="single" w:sz="4" w:space="0" w:color="000000"/>
            </w:tcBorders>
            <w:shd w:val="clear" w:color="auto" w:fill="auto"/>
            <w:noWrap/>
            <w:vAlign w:val="center"/>
            <w:hideMark/>
          </w:tcPr>
          <w:p w14:paraId="65F456DD" w14:textId="77777777" w:rsidR="00471494" w:rsidRPr="004E74A6" w:rsidRDefault="00471494" w:rsidP="00832773">
            <w:pPr>
              <w:spacing w:line="276" w:lineRule="auto"/>
              <w:jc w:val="center"/>
              <w:rPr>
                <w:rFonts w:cs="Calibri"/>
                <w:color w:val="000000"/>
                <w:sz w:val="20"/>
                <w:lang w:eastAsia="es-CR"/>
              </w:rPr>
            </w:pPr>
            <w:r w:rsidRPr="004E74A6">
              <w:rPr>
                <w:rFonts w:cs="Calibri"/>
                <w:color w:val="000000"/>
                <w:sz w:val="20"/>
                <w:lang w:eastAsia="es-CR"/>
              </w:rPr>
              <w:t>441</w:t>
            </w:r>
          </w:p>
        </w:tc>
        <w:tc>
          <w:tcPr>
            <w:tcW w:w="850" w:type="dxa"/>
            <w:tcBorders>
              <w:top w:val="nil"/>
              <w:left w:val="nil"/>
              <w:bottom w:val="nil"/>
              <w:right w:val="single" w:sz="4" w:space="0" w:color="000000"/>
            </w:tcBorders>
            <w:shd w:val="clear" w:color="auto" w:fill="auto"/>
            <w:noWrap/>
            <w:vAlign w:val="center"/>
            <w:hideMark/>
          </w:tcPr>
          <w:p w14:paraId="69B54ABA" w14:textId="77777777" w:rsidR="00471494" w:rsidRPr="004E74A6" w:rsidRDefault="00471494" w:rsidP="00832773">
            <w:pPr>
              <w:spacing w:line="276" w:lineRule="auto"/>
              <w:jc w:val="center"/>
              <w:rPr>
                <w:rFonts w:cs="Calibri"/>
                <w:color w:val="000000"/>
                <w:sz w:val="20"/>
                <w:lang w:eastAsia="es-CR"/>
              </w:rPr>
            </w:pPr>
            <w:r w:rsidRPr="004E74A6">
              <w:rPr>
                <w:rFonts w:cs="Calibri"/>
                <w:color w:val="000000"/>
                <w:sz w:val="20"/>
                <w:lang w:eastAsia="es-CR"/>
              </w:rPr>
              <w:t>482</w:t>
            </w:r>
          </w:p>
        </w:tc>
        <w:tc>
          <w:tcPr>
            <w:tcW w:w="850" w:type="dxa"/>
            <w:tcBorders>
              <w:top w:val="nil"/>
              <w:left w:val="nil"/>
              <w:bottom w:val="nil"/>
              <w:right w:val="single" w:sz="4" w:space="0" w:color="000000"/>
            </w:tcBorders>
            <w:shd w:val="clear" w:color="auto" w:fill="auto"/>
            <w:noWrap/>
            <w:vAlign w:val="center"/>
            <w:hideMark/>
          </w:tcPr>
          <w:p w14:paraId="6B00B7BB" w14:textId="77777777" w:rsidR="00471494" w:rsidRPr="004E74A6" w:rsidRDefault="00471494" w:rsidP="00832773">
            <w:pPr>
              <w:spacing w:line="276" w:lineRule="auto"/>
              <w:jc w:val="center"/>
              <w:rPr>
                <w:rFonts w:cs="Calibri"/>
                <w:color w:val="000000"/>
                <w:sz w:val="20"/>
                <w:lang w:eastAsia="es-CR"/>
              </w:rPr>
            </w:pPr>
            <w:r w:rsidRPr="004E74A6">
              <w:rPr>
                <w:rFonts w:cs="Calibri"/>
                <w:color w:val="000000"/>
                <w:sz w:val="20"/>
                <w:lang w:eastAsia="es-CR"/>
              </w:rPr>
              <w:t>345</w:t>
            </w:r>
          </w:p>
        </w:tc>
        <w:tc>
          <w:tcPr>
            <w:tcW w:w="1134" w:type="dxa"/>
            <w:tcBorders>
              <w:top w:val="nil"/>
              <w:left w:val="nil"/>
              <w:bottom w:val="nil"/>
              <w:right w:val="single" w:sz="4" w:space="0" w:color="000000"/>
            </w:tcBorders>
            <w:shd w:val="clear" w:color="auto" w:fill="auto"/>
            <w:noWrap/>
            <w:vAlign w:val="center"/>
            <w:hideMark/>
          </w:tcPr>
          <w:p w14:paraId="15956BEF" w14:textId="77777777" w:rsidR="00471494" w:rsidRPr="004E74A6" w:rsidRDefault="00471494" w:rsidP="00832773">
            <w:pPr>
              <w:spacing w:line="276" w:lineRule="auto"/>
              <w:jc w:val="center"/>
              <w:rPr>
                <w:rFonts w:cs="Calibri"/>
                <w:color w:val="000000"/>
                <w:sz w:val="20"/>
                <w:lang w:eastAsia="es-CR"/>
              </w:rPr>
            </w:pPr>
            <w:r w:rsidRPr="004E74A6">
              <w:rPr>
                <w:rFonts w:cs="Calibri"/>
                <w:color w:val="000000"/>
                <w:sz w:val="20"/>
                <w:lang w:eastAsia="es-CR"/>
              </w:rPr>
              <w:t>439</w:t>
            </w:r>
          </w:p>
        </w:tc>
        <w:tc>
          <w:tcPr>
            <w:tcW w:w="1245" w:type="dxa"/>
            <w:tcBorders>
              <w:top w:val="nil"/>
              <w:left w:val="nil"/>
              <w:bottom w:val="nil"/>
              <w:right w:val="nil"/>
            </w:tcBorders>
            <w:shd w:val="clear" w:color="auto" w:fill="auto"/>
            <w:noWrap/>
            <w:vAlign w:val="center"/>
            <w:hideMark/>
          </w:tcPr>
          <w:p w14:paraId="205A71FD" w14:textId="77777777" w:rsidR="00471494" w:rsidRPr="004E74A6" w:rsidRDefault="00471494" w:rsidP="00832773">
            <w:pPr>
              <w:spacing w:line="276" w:lineRule="auto"/>
              <w:jc w:val="center"/>
              <w:rPr>
                <w:rFonts w:cs="Calibri"/>
                <w:color w:val="000000"/>
                <w:sz w:val="20"/>
                <w:lang w:eastAsia="es-CR"/>
              </w:rPr>
            </w:pPr>
            <w:r w:rsidRPr="004E74A6">
              <w:rPr>
                <w:rFonts w:cs="Calibri"/>
                <w:color w:val="000000"/>
                <w:sz w:val="20"/>
                <w:lang w:eastAsia="es-CR"/>
              </w:rPr>
              <w:t>39%</w:t>
            </w:r>
          </w:p>
        </w:tc>
      </w:tr>
      <w:tr w:rsidR="00471494" w:rsidRPr="004E74A6" w14:paraId="0A91203A" w14:textId="77777777" w:rsidTr="00B32800">
        <w:trPr>
          <w:trHeight w:val="288"/>
          <w:jc w:val="center"/>
        </w:trPr>
        <w:tc>
          <w:tcPr>
            <w:tcW w:w="2268" w:type="dxa"/>
            <w:tcBorders>
              <w:top w:val="nil"/>
              <w:left w:val="nil"/>
              <w:bottom w:val="nil"/>
              <w:right w:val="single" w:sz="4" w:space="0" w:color="000000"/>
            </w:tcBorders>
            <w:shd w:val="clear" w:color="auto" w:fill="auto"/>
            <w:noWrap/>
            <w:vAlign w:val="center"/>
            <w:hideMark/>
          </w:tcPr>
          <w:p w14:paraId="7D786FE6" w14:textId="77777777" w:rsidR="00471494" w:rsidRPr="004E74A6" w:rsidRDefault="00471494" w:rsidP="00832773">
            <w:pPr>
              <w:spacing w:line="276" w:lineRule="auto"/>
              <w:jc w:val="left"/>
              <w:rPr>
                <w:rFonts w:cs="Calibri"/>
                <w:color w:val="000000"/>
                <w:sz w:val="20"/>
                <w:lang w:eastAsia="es-CR"/>
              </w:rPr>
            </w:pPr>
            <w:r w:rsidRPr="004E74A6">
              <w:rPr>
                <w:rFonts w:cs="Calibri"/>
                <w:color w:val="000000"/>
                <w:sz w:val="20"/>
                <w:lang w:eastAsia="es-CR"/>
              </w:rPr>
              <w:t>Inestimable</w:t>
            </w:r>
          </w:p>
        </w:tc>
        <w:tc>
          <w:tcPr>
            <w:tcW w:w="850" w:type="dxa"/>
            <w:tcBorders>
              <w:top w:val="nil"/>
              <w:left w:val="nil"/>
              <w:bottom w:val="nil"/>
              <w:right w:val="single" w:sz="4" w:space="0" w:color="000000"/>
            </w:tcBorders>
            <w:shd w:val="clear" w:color="auto" w:fill="auto"/>
            <w:noWrap/>
            <w:vAlign w:val="center"/>
            <w:hideMark/>
          </w:tcPr>
          <w:p w14:paraId="1069BBD9" w14:textId="77777777" w:rsidR="00471494" w:rsidRPr="004E74A6" w:rsidRDefault="00471494" w:rsidP="00832773">
            <w:pPr>
              <w:spacing w:line="276" w:lineRule="auto"/>
              <w:jc w:val="center"/>
              <w:rPr>
                <w:rFonts w:cs="Calibri"/>
                <w:color w:val="000000"/>
                <w:sz w:val="20"/>
                <w:lang w:eastAsia="es-CR"/>
              </w:rPr>
            </w:pPr>
            <w:r w:rsidRPr="004E74A6">
              <w:rPr>
                <w:rFonts w:cs="Calibri"/>
                <w:color w:val="000000"/>
                <w:sz w:val="20"/>
                <w:lang w:eastAsia="es-CR"/>
              </w:rPr>
              <w:t>127</w:t>
            </w:r>
          </w:p>
        </w:tc>
        <w:tc>
          <w:tcPr>
            <w:tcW w:w="850" w:type="dxa"/>
            <w:tcBorders>
              <w:top w:val="nil"/>
              <w:left w:val="nil"/>
              <w:bottom w:val="nil"/>
              <w:right w:val="single" w:sz="4" w:space="0" w:color="000000"/>
            </w:tcBorders>
            <w:shd w:val="clear" w:color="auto" w:fill="auto"/>
            <w:noWrap/>
            <w:vAlign w:val="center"/>
            <w:hideMark/>
          </w:tcPr>
          <w:p w14:paraId="43583FE2" w14:textId="77777777" w:rsidR="00471494" w:rsidRPr="004E74A6" w:rsidRDefault="00471494" w:rsidP="00832773">
            <w:pPr>
              <w:spacing w:line="276" w:lineRule="auto"/>
              <w:jc w:val="center"/>
              <w:rPr>
                <w:rFonts w:cs="Calibri"/>
                <w:color w:val="000000"/>
                <w:sz w:val="20"/>
                <w:lang w:eastAsia="es-CR"/>
              </w:rPr>
            </w:pPr>
            <w:r w:rsidRPr="004E74A6">
              <w:rPr>
                <w:rFonts w:cs="Calibri"/>
                <w:color w:val="000000"/>
                <w:sz w:val="20"/>
                <w:lang w:eastAsia="es-CR"/>
              </w:rPr>
              <w:t>167</w:t>
            </w:r>
          </w:p>
        </w:tc>
        <w:tc>
          <w:tcPr>
            <w:tcW w:w="850" w:type="dxa"/>
            <w:tcBorders>
              <w:top w:val="nil"/>
              <w:left w:val="nil"/>
              <w:bottom w:val="nil"/>
              <w:right w:val="single" w:sz="4" w:space="0" w:color="000000"/>
            </w:tcBorders>
            <w:shd w:val="clear" w:color="auto" w:fill="auto"/>
            <w:noWrap/>
            <w:vAlign w:val="center"/>
            <w:hideMark/>
          </w:tcPr>
          <w:p w14:paraId="2B97A8F4" w14:textId="77777777" w:rsidR="00471494" w:rsidRPr="004E74A6" w:rsidRDefault="00471494" w:rsidP="00832773">
            <w:pPr>
              <w:spacing w:line="276" w:lineRule="auto"/>
              <w:jc w:val="center"/>
              <w:rPr>
                <w:rFonts w:cs="Calibri"/>
                <w:color w:val="000000"/>
                <w:sz w:val="20"/>
                <w:lang w:eastAsia="es-CR"/>
              </w:rPr>
            </w:pPr>
            <w:r w:rsidRPr="004E74A6">
              <w:rPr>
                <w:rFonts w:cs="Calibri"/>
                <w:color w:val="000000"/>
                <w:sz w:val="20"/>
                <w:lang w:eastAsia="es-CR"/>
              </w:rPr>
              <w:t>25</w:t>
            </w:r>
          </w:p>
        </w:tc>
        <w:tc>
          <w:tcPr>
            <w:tcW w:w="1134" w:type="dxa"/>
            <w:tcBorders>
              <w:top w:val="nil"/>
              <w:left w:val="nil"/>
              <w:bottom w:val="nil"/>
              <w:right w:val="single" w:sz="4" w:space="0" w:color="000000"/>
            </w:tcBorders>
            <w:shd w:val="clear" w:color="auto" w:fill="auto"/>
            <w:noWrap/>
            <w:vAlign w:val="center"/>
            <w:hideMark/>
          </w:tcPr>
          <w:p w14:paraId="74396909" w14:textId="77777777" w:rsidR="00471494" w:rsidRPr="004E74A6" w:rsidRDefault="00471494" w:rsidP="00832773">
            <w:pPr>
              <w:spacing w:line="276" w:lineRule="auto"/>
              <w:jc w:val="center"/>
              <w:rPr>
                <w:rFonts w:cs="Calibri"/>
                <w:color w:val="000000"/>
                <w:sz w:val="20"/>
                <w:lang w:eastAsia="es-CR"/>
              </w:rPr>
            </w:pPr>
            <w:r w:rsidRPr="004E74A6">
              <w:rPr>
                <w:rFonts w:cs="Calibri"/>
                <w:color w:val="000000"/>
                <w:sz w:val="20"/>
                <w:lang w:eastAsia="es-CR"/>
              </w:rPr>
              <w:t>106</w:t>
            </w:r>
          </w:p>
        </w:tc>
        <w:tc>
          <w:tcPr>
            <w:tcW w:w="1245" w:type="dxa"/>
            <w:tcBorders>
              <w:top w:val="nil"/>
              <w:left w:val="nil"/>
              <w:bottom w:val="nil"/>
              <w:right w:val="nil"/>
            </w:tcBorders>
            <w:shd w:val="clear" w:color="auto" w:fill="auto"/>
            <w:noWrap/>
            <w:vAlign w:val="center"/>
            <w:hideMark/>
          </w:tcPr>
          <w:p w14:paraId="597F7AA6" w14:textId="77777777" w:rsidR="00471494" w:rsidRPr="004E74A6" w:rsidRDefault="00471494" w:rsidP="00832773">
            <w:pPr>
              <w:spacing w:line="276" w:lineRule="auto"/>
              <w:jc w:val="center"/>
              <w:rPr>
                <w:rFonts w:cs="Calibri"/>
                <w:color w:val="000000"/>
                <w:sz w:val="20"/>
                <w:lang w:eastAsia="es-CR"/>
              </w:rPr>
            </w:pPr>
            <w:r w:rsidRPr="004E74A6">
              <w:rPr>
                <w:rFonts w:cs="Calibri"/>
                <w:color w:val="000000"/>
                <w:sz w:val="20"/>
                <w:lang w:eastAsia="es-CR"/>
              </w:rPr>
              <w:t>10%</w:t>
            </w:r>
          </w:p>
        </w:tc>
      </w:tr>
      <w:tr w:rsidR="00471494" w:rsidRPr="004E74A6" w14:paraId="186BC668" w14:textId="77777777" w:rsidTr="00B32800">
        <w:trPr>
          <w:trHeight w:val="288"/>
          <w:jc w:val="center"/>
        </w:trPr>
        <w:tc>
          <w:tcPr>
            <w:tcW w:w="2268" w:type="dxa"/>
            <w:tcBorders>
              <w:top w:val="nil"/>
              <w:left w:val="nil"/>
              <w:bottom w:val="nil"/>
              <w:right w:val="single" w:sz="4" w:space="0" w:color="000000"/>
            </w:tcBorders>
            <w:shd w:val="clear" w:color="auto" w:fill="auto"/>
            <w:noWrap/>
            <w:vAlign w:val="center"/>
            <w:hideMark/>
          </w:tcPr>
          <w:p w14:paraId="7C8E1673" w14:textId="77777777" w:rsidR="00471494" w:rsidRPr="004E74A6" w:rsidRDefault="00471494" w:rsidP="00832773">
            <w:pPr>
              <w:spacing w:line="276" w:lineRule="auto"/>
              <w:jc w:val="left"/>
              <w:rPr>
                <w:rFonts w:cs="Calibri"/>
                <w:color w:val="000000"/>
                <w:sz w:val="20"/>
                <w:lang w:eastAsia="es-CR"/>
              </w:rPr>
            </w:pPr>
            <w:r w:rsidRPr="004E74A6">
              <w:rPr>
                <w:rFonts w:cs="Calibri"/>
                <w:color w:val="000000"/>
                <w:sz w:val="20"/>
                <w:lang w:eastAsia="es-CR"/>
              </w:rPr>
              <w:t>No aplica</w:t>
            </w:r>
          </w:p>
        </w:tc>
        <w:tc>
          <w:tcPr>
            <w:tcW w:w="850" w:type="dxa"/>
            <w:tcBorders>
              <w:top w:val="nil"/>
              <w:left w:val="nil"/>
              <w:bottom w:val="nil"/>
              <w:right w:val="single" w:sz="4" w:space="0" w:color="000000"/>
            </w:tcBorders>
            <w:shd w:val="clear" w:color="auto" w:fill="auto"/>
            <w:noWrap/>
            <w:vAlign w:val="center"/>
            <w:hideMark/>
          </w:tcPr>
          <w:p w14:paraId="7200419F" w14:textId="77777777" w:rsidR="00471494" w:rsidRPr="004E74A6" w:rsidRDefault="00471494" w:rsidP="00832773">
            <w:pPr>
              <w:spacing w:line="276" w:lineRule="auto"/>
              <w:jc w:val="center"/>
              <w:rPr>
                <w:rFonts w:cs="Calibri"/>
                <w:color w:val="000000"/>
                <w:sz w:val="20"/>
                <w:lang w:eastAsia="es-CR"/>
              </w:rPr>
            </w:pPr>
            <w:r w:rsidRPr="004E74A6">
              <w:rPr>
                <w:rFonts w:cs="Calibri"/>
                <w:color w:val="000000"/>
                <w:sz w:val="20"/>
                <w:lang w:eastAsia="es-CR"/>
              </w:rPr>
              <w:t>628</w:t>
            </w:r>
          </w:p>
        </w:tc>
        <w:tc>
          <w:tcPr>
            <w:tcW w:w="850" w:type="dxa"/>
            <w:tcBorders>
              <w:top w:val="nil"/>
              <w:left w:val="nil"/>
              <w:bottom w:val="nil"/>
              <w:right w:val="single" w:sz="4" w:space="0" w:color="000000"/>
            </w:tcBorders>
            <w:shd w:val="clear" w:color="auto" w:fill="auto"/>
            <w:noWrap/>
            <w:vAlign w:val="center"/>
            <w:hideMark/>
          </w:tcPr>
          <w:p w14:paraId="0EE256BE" w14:textId="77777777" w:rsidR="00471494" w:rsidRPr="004E74A6" w:rsidRDefault="00471494" w:rsidP="00832773">
            <w:pPr>
              <w:spacing w:line="276" w:lineRule="auto"/>
              <w:jc w:val="center"/>
              <w:rPr>
                <w:rFonts w:cs="Calibri"/>
                <w:color w:val="000000"/>
                <w:sz w:val="20"/>
                <w:lang w:eastAsia="es-CR"/>
              </w:rPr>
            </w:pPr>
            <w:r w:rsidRPr="004E74A6">
              <w:rPr>
                <w:rFonts w:cs="Calibri"/>
                <w:color w:val="000000"/>
                <w:sz w:val="20"/>
                <w:lang w:eastAsia="es-CR"/>
              </w:rPr>
              <w:t>418</w:t>
            </w:r>
          </w:p>
        </w:tc>
        <w:tc>
          <w:tcPr>
            <w:tcW w:w="850" w:type="dxa"/>
            <w:tcBorders>
              <w:top w:val="nil"/>
              <w:left w:val="nil"/>
              <w:bottom w:val="nil"/>
              <w:right w:val="single" w:sz="4" w:space="0" w:color="000000"/>
            </w:tcBorders>
            <w:shd w:val="clear" w:color="auto" w:fill="auto"/>
            <w:noWrap/>
            <w:vAlign w:val="center"/>
            <w:hideMark/>
          </w:tcPr>
          <w:p w14:paraId="1C2672BE" w14:textId="77777777" w:rsidR="00471494" w:rsidRPr="004E74A6" w:rsidRDefault="00471494" w:rsidP="00832773">
            <w:pPr>
              <w:spacing w:line="276" w:lineRule="auto"/>
              <w:jc w:val="center"/>
              <w:rPr>
                <w:rFonts w:cs="Calibri"/>
                <w:color w:val="000000"/>
                <w:sz w:val="20"/>
                <w:lang w:eastAsia="es-CR"/>
              </w:rPr>
            </w:pPr>
            <w:r w:rsidRPr="004E74A6">
              <w:rPr>
                <w:rFonts w:cs="Calibri"/>
                <w:color w:val="000000"/>
                <w:sz w:val="20"/>
                <w:lang w:eastAsia="es-CR"/>
              </w:rPr>
              <w:t>551</w:t>
            </w:r>
          </w:p>
        </w:tc>
        <w:tc>
          <w:tcPr>
            <w:tcW w:w="1134" w:type="dxa"/>
            <w:tcBorders>
              <w:top w:val="nil"/>
              <w:left w:val="nil"/>
              <w:bottom w:val="nil"/>
              <w:right w:val="single" w:sz="4" w:space="0" w:color="000000"/>
            </w:tcBorders>
            <w:shd w:val="clear" w:color="auto" w:fill="auto"/>
            <w:noWrap/>
            <w:vAlign w:val="center"/>
            <w:hideMark/>
          </w:tcPr>
          <w:p w14:paraId="0A0CB3F3" w14:textId="77777777" w:rsidR="00471494" w:rsidRPr="004E74A6" w:rsidRDefault="00471494" w:rsidP="00832773">
            <w:pPr>
              <w:spacing w:line="276" w:lineRule="auto"/>
              <w:jc w:val="center"/>
              <w:rPr>
                <w:rFonts w:cs="Calibri"/>
                <w:color w:val="000000"/>
                <w:sz w:val="20"/>
                <w:lang w:eastAsia="es-CR"/>
              </w:rPr>
            </w:pPr>
            <w:r w:rsidRPr="004E74A6">
              <w:rPr>
                <w:rFonts w:cs="Calibri"/>
                <w:color w:val="000000"/>
                <w:sz w:val="20"/>
                <w:lang w:eastAsia="es-CR"/>
              </w:rPr>
              <w:t>532</w:t>
            </w:r>
          </w:p>
        </w:tc>
        <w:tc>
          <w:tcPr>
            <w:tcW w:w="1245" w:type="dxa"/>
            <w:tcBorders>
              <w:top w:val="nil"/>
              <w:left w:val="nil"/>
              <w:bottom w:val="nil"/>
              <w:right w:val="nil"/>
            </w:tcBorders>
            <w:shd w:val="clear" w:color="auto" w:fill="auto"/>
            <w:noWrap/>
            <w:vAlign w:val="center"/>
            <w:hideMark/>
          </w:tcPr>
          <w:p w14:paraId="24602B59" w14:textId="77777777" w:rsidR="00471494" w:rsidRPr="004E74A6" w:rsidRDefault="00471494" w:rsidP="00832773">
            <w:pPr>
              <w:spacing w:line="276" w:lineRule="auto"/>
              <w:jc w:val="center"/>
              <w:rPr>
                <w:rFonts w:cs="Calibri"/>
                <w:color w:val="000000"/>
                <w:sz w:val="20"/>
                <w:lang w:eastAsia="es-CR"/>
              </w:rPr>
            </w:pPr>
            <w:r w:rsidRPr="004E74A6">
              <w:rPr>
                <w:rFonts w:cs="Calibri"/>
                <w:color w:val="000000"/>
                <w:sz w:val="20"/>
                <w:lang w:eastAsia="es-CR"/>
              </w:rPr>
              <w:t>48%</w:t>
            </w:r>
          </w:p>
        </w:tc>
      </w:tr>
      <w:tr w:rsidR="00471494" w:rsidRPr="004E74A6" w14:paraId="738CB802" w14:textId="77777777" w:rsidTr="00B32800">
        <w:trPr>
          <w:trHeight w:val="288"/>
          <w:jc w:val="center"/>
        </w:trPr>
        <w:tc>
          <w:tcPr>
            <w:tcW w:w="2268" w:type="dxa"/>
            <w:tcBorders>
              <w:top w:val="nil"/>
              <w:left w:val="nil"/>
              <w:bottom w:val="nil"/>
              <w:right w:val="single" w:sz="4" w:space="0" w:color="000000"/>
            </w:tcBorders>
            <w:shd w:val="clear" w:color="auto" w:fill="auto"/>
            <w:noWrap/>
            <w:vAlign w:val="center"/>
            <w:hideMark/>
          </w:tcPr>
          <w:p w14:paraId="79A74BC9" w14:textId="77777777" w:rsidR="00471494" w:rsidRPr="004E74A6" w:rsidRDefault="00471494" w:rsidP="00832773">
            <w:pPr>
              <w:spacing w:line="276" w:lineRule="auto"/>
              <w:jc w:val="left"/>
              <w:rPr>
                <w:rFonts w:cs="Calibri"/>
                <w:b/>
                <w:bCs/>
                <w:color w:val="4472C4" w:themeColor="accent1"/>
                <w:sz w:val="20"/>
                <w:lang w:eastAsia="es-CR"/>
              </w:rPr>
            </w:pPr>
            <w:r w:rsidRPr="004E74A6">
              <w:rPr>
                <w:rFonts w:cs="Calibri"/>
                <w:b/>
                <w:bCs/>
                <w:color w:val="4472C4" w:themeColor="accent1"/>
                <w:sz w:val="20"/>
                <w:lang w:eastAsia="es-CR"/>
              </w:rPr>
              <w:t>Sin actualizar</w:t>
            </w:r>
          </w:p>
        </w:tc>
        <w:tc>
          <w:tcPr>
            <w:tcW w:w="850" w:type="dxa"/>
            <w:tcBorders>
              <w:top w:val="nil"/>
              <w:left w:val="nil"/>
              <w:bottom w:val="nil"/>
              <w:right w:val="single" w:sz="4" w:space="0" w:color="000000"/>
            </w:tcBorders>
            <w:shd w:val="clear" w:color="auto" w:fill="auto"/>
            <w:noWrap/>
            <w:vAlign w:val="center"/>
            <w:hideMark/>
          </w:tcPr>
          <w:p w14:paraId="22134D37" w14:textId="77777777" w:rsidR="00471494" w:rsidRPr="004E74A6" w:rsidRDefault="00471494" w:rsidP="00832773">
            <w:pPr>
              <w:spacing w:line="276" w:lineRule="auto"/>
              <w:jc w:val="center"/>
              <w:rPr>
                <w:rFonts w:cs="Calibri"/>
                <w:b/>
                <w:bCs/>
                <w:color w:val="4472C4" w:themeColor="accent1"/>
                <w:sz w:val="20"/>
                <w:lang w:eastAsia="es-CR"/>
              </w:rPr>
            </w:pPr>
            <w:r w:rsidRPr="004E74A6">
              <w:rPr>
                <w:rFonts w:cs="Calibri"/>
                <w:b/>
                <w:bCs/>
                <w:color w:val="4472C4" w:themeColor="accent1"/>
                <w:sz w:val="20"/>
                <w:lang w:eastAsia="es-CR"/>
              </w:rPr>
              <w:t>151</w:t>
            </w:r>
          </w:p>
        </w:tc>
        <w:tc>
          <w:tcPr>
            <w:tcW w:w="850" w:type="dxa"/>
            <w:tcBorders>
              <w:top w:val="nil"/>
              <w:left w:val="nil"/>
              <w:bottom w:val="nil"/>
              <w:right w:val="single" w:sz="4" w:space="0" w:color="000000"/>
            </w:tcBorders>
            <w:shd w:val="clear" w:color="auto" w:fill="auto"/>
            <w:noWrap/>
            <w:vAlign w:val="center"/>
            <w:hideMark/>
          </w:tcPr>
          <w:p w14:paraId="5985FFBC" w14:textId="77777777" w:rsidR="00471494" w:rsidRPr="004E74A6" w:rsidRDefault="00471494" w:rsidP="00832773">
            <w:pPr>
              <w:spacing w:line="276" w:lineRule="auto"/>
              <w:jc w:val="center"/>
              <w:rPr>
                <w:rFonts w:cs="Calibri"/>
                <w:b/>
                <w:bCs/>
                <w:color w:val="4472C4" w:themeColor="accent1"/>
                <w:sz w:val="20"/>
                <w:lang w:eastAsia="es-CR"/>
              </w:rPr>
            </w:pPr>
            <w:r w:rsidRPr="004E74A6">
              <w:rPr>
                <w:rFonts w:cs="Calibri"/>
                <w:b/>
                <w:bCs/>
                <w:color w:val="4472C4" w:themeColor="accent1"/>
                <w:sz w:val="20"/>
                <w:lang w:eastAsia="es-CR"/>
              </w:rPr>
              <w:t>1</w:t>
            </w:r>
          </w:p>
        </w:tc>
        <w:tc>
          <w:tcPr>
            <w:tcW w:w="850" w:type="dxa"/>
            <w:tcBorders>
              <w:top w:val="nil"/>
              <w:left w:val="nil"/>
              <w:bottom w:val="nil"/>
              <w:right w:val="single" w:sz="4" w:space="0" w:color="000000"/>
            </w:tcBorders>
            <w:shd w:val="clear" w:color="auto" w:fill="auto"/>
            <w:noWrap/>
            <w:vAlign w:val="center"/>
            <w:hideMark/>
          </w:tcPr>
          <w:p w14:paraId="04B0B773" w14:textId="77777777" w:rsidR="00471494" w:rsidRPr="004E74A6" w:rsidRDefault="00471494" w:rsidP="00832773">
            <w:pPr>
              <w:spacing w:line="276" w:lineRule="auto"/>
              <w:jc w:val="center"/>
              <w:rPr>
                <w:rFonts w:cs="Calibri"/>
                <w:b/>
                <w:bCs/>
                <w:color w:val="4472C4" w:themeColor="accent1"/>
                <w:sz w:val="20"/>
                <w:lang w:eastAsia="es-CR"/>
              </w:rPr>
            </w:pPr>
            <w:r w:rsidRPr="004E74A6">
              <w:rPr>
                <w:rFonts w:cs="Calibri"/>
                <w:b/>
                <w:bCs/>
                <w:color w:val="4472C4" w:themeColor="accent1"/>
                <w:sz w:val="20"/>
                <w:lang w:eastAsia="es-CR"/>
              </w:rPr>
              <w:t>9</w:t>
            </w:r>
          </w:p>
        </w:tc>
        <w:tc>
          <w:tcPr>
            <w:tcW w:w="1134" w:type="dxa"/>
            <w:tcBorders>
              <w:top w:val="nil"/>
              <w:left w:val="nil"/>
              <w:bottom w:val="nil"/>
              <w:right w:val="single" w:sz="4" w:space="0" w:color="000000"/>
            </w:tcBorders>
            <w:shd w:val="clear" w:color="auto" w:fill="auto"/>
            <w:noWrap/>
            <w:vAlign w:val="center"/>
            <w:hideMark/>
          </w:tcPr>
          <w:p w14:paraId="0A7A7CB0" w14:textId="77777777" w:rsidR="00471494" w:rsidRPr="004E74A6" w:rsidRDefault="00471494" w:rsidP="00832773">
            <w:pPr>
              <w:spacing w:line="276" w:lineRule="auto"/>
              <w:jc w:val="center"/>
              <w:rPr>
                <w:rFonts w:cs="Calibri"/>
                <w:b/>
                <w:bCs/>
                <w:color w:val="4472C4" w:themeColor="accent1"/>
                <w:sz w:val="20"/>
                <w:lang w:eastAsia="es-CR"/>
              </w:rPr>
            </w:pPr>
            <w:r w:rsidRPr="004E74A6">
              <w:rPr>
                <w:rFonts w:cs="Calibri"/>
                <w:b/>
                <w:bCs/>
                <w:color w:val="4472C4" w:themeColor="accent1"/>
                <w:sz w:val="20"/>
                <w:lang w:eastAsia="es-CR"/>
              </w:rPr>
              <w:t>54</w:t>
            </w:r>
          </w:p>
        </w:tc>
        <w:tc>
          <w:tcPr>
            <w:tcW w:w="1245" w:type="dxa"/>
            <w:tcBorders>
              <w:top w:val="nil"/>
              <w:left w:val="nil"/>
              <w:bottom w:val="nil"/>
              <w:right w:val="nil"/>
            </w:tcBorders>
            <w:shd w:val="clear" w:color="auto" w:fill="auto"/>
            <w:noWrap/>
            <w:vAlign w:val="center"/>
            <w:hideMark/>
          </w:tcPr>
          <w:p w14:paraId="180E3179" w14:textId="77777777" w:rsidR="00471494" w:rsidRPr="004E74A6" w:rsidRDefault="00471494" w:rsidP="00832773">
            <w:pPr>
              <w:spacing w:line="276" w:lineRule="auto"/>
              <w:jc w:val="center"/>
              <w:rPr>
                <w:rFonts w:cs="Calibri"/>
                <w:b/>
                <w:bCs/>
                <w:color w:val="4472C4" w:themeColor="accent1"/>
                <w:sz w:val="20"/>
                <w:lang w:eastAsia="es-CR"/>
              </w:rPr>
            </w:pPr>
            <w:r w:rsidRPr="004E74A6">
              <w:rPr>
                <w:rFonts w:cs="Calibri"/>
                <w:b/>
                <w:bCs/>
                <w:color w:val="4472C4" w:themeColor="accent1"/>
                <w:sz w:val="20"/>
                <w:lang w:eastAsia="es-CR"/>
              </w:rPr>
              <w:t>5%</w:t>
            </w:r>
          </w:p>
        </w:tc>
      </w:tr>
      <w:tr w:rsidR="00471494" w:rsidRPr="004E74A6" w14:paraId="4229A88C" w14:textId="77777777" w:rsidTr="00B32800">
        <w:trPr>
          <w:trHeight w:val="288"/>
          <w:jc w:val="center"/>
        </w:trPr>
        <w:tc>
          <w:tcPr>
            <w:tcW w:w="2268" w:type="dxa"/>
            <w:tcBorders>
              <w:top w:val="nil"/>
              <w:left w:val="nil"/>
              <w:bottom w:val="single" w:sz="4" w:space="0" w:color="000000"/>
              <w:right w:val="single" w:sz="4" w:space="0" w:color="000000"/>
            </w:tcBorders>
            <w:shd w:val="clear" w:color="auto" w:fill="auto"/>
            <w:noWrap/>
            <w:vAlign w:val="bottom"/>
            <w:hideMark/>
          </w:tcPr>
          <w:p w14:paraId="787C28BF" w14:textId="77777777" w:rsidR="00471494" w:rsidRPr="004E74A6" w:rsidRDefault="00471494" w:rsidP="00832773">
            <w:pPr>
              <w:spacing w:line="276" w:lineRule="auto"/>
              <w:jc w:val="left"/>
              <w:rPr>
                <w:rFonts w:cs="Calibri"/>
                <w:color w:val="000000"/>
                <w:sz w:val="20"/>
                <w:lang w:eastAsia="es-CR"/>
              </w:rPr>
            </w:pPr>
            <w:r w:rsidRPr="004E74A6">
              <w:rPr>
                <w:rFonts w:cs="Calibri"/>
                <w:color w:val="000000"/>
                <w:sz w:val="20"/>
                <w:lang w:eastAsia="es-CR"/>
              </w:rPr>
              <w:t> </w:t>
            </w:r>
          </w:p>
        </w:tc>
        <w:tc>
          <w:tcPr>
            <w:tcW w:w="850" w:type="dxa"/>
            <w:tcBorders>
              <w:top w:val="nil"/>
              <w:left w:val="nil"/>
              <w:bottom w:val="single" w:sz="4" w:space="0" w:color="000000"/>
              <w:right w:val="single" w:sz="4" w:space="0" w:color="000000"/>
            </w:tcBorders>
            <w:shd w:val="clear" w:color="auto" w:fill="auto"/>
            <w:noWrap/>
            <w:vAlign w:val="center"/>
            <w:hideMark/>
          </w:tcPr>
          <w:p w14:paraId="4E3429B0" w14:textId="77777777" w:rsidR="00471494" w:rsidRPr="004E74A6" w:rsidRDefault="00471494" w:rsidP="00832773">
            <w:pPr>
              <w:spacing w:line="276" w:lineRule="auto"/>
              <w:jc w:val="center"/>
              <w:rPr>
                <w:rFonts w:cs="Calibri"/>
                <w:color w:val="000000"/>
                <w:sz w:val="20"/>
                <w:lang w:eastAsia="es-CR"/>
              </w:rPr>
            </w:pPr>
            <w:r w:rsidRPr="004E74A6">
              <w:rPr>
                <w:rFonts w:cs="Calibri"/>
                <w:color w:val="000000"/>
                <w:sz w:val="20"/>
                <w:lang w:eastAsia="es-CR"/>
              </w:rPr>
              <w:t> </w:t>
            </w:r>
          </w:p>
        </w:tc>
        <w:tc>
          <w:tcPr>
            <w:tcW w:w="850" w:type="dxa"/>
            <w:tcBorders>
              <w:top w:val="nil"/>
              <w:left w:val="nil"/>
              <w:bottom w:val="single" w:sz="4" w:space="0" w:color="000000"/>
              <w:right w:val="single" w:sz="4" w:space="0" w:color="000000"/>
            </w:tcBorders>
            <w:shd w:val="clear" w:color="auto" w:fill="auto"/>
            <w:noWrap/>
            <w:vAlign w:val="center"/>
            <w:hideMark/>
          </w:tcPr>
          <w:p w14:paraId="423019FB" w14:textId="77777777" w:rsidR="00471494" w:rsidRPr="004E74A6" w:rsidRDefault="00471494" w:rsidP="00832773">
            <w:pPr>
              <w:spacing w:line="276" w:lineRule="auto"/>
              <w:jc w:val="center"/>
              <w:rPr>
                <w:rFonts w:cs="Calibri"/>
                <w:color w:val="000000"/>
                <w:sz w:val="20"/>
                <w:lang w:eastAsia="es-CR"/>
              </w:rPr>
            </w:pPr>
            <w:r w:rsidRPr="004E74A6">
              <w:rPr>
                <w:rFonts w:cs="Calibri"/>
                <w:color w:val="000000"/>
                <w:sz w:val="20"/>
                <w:lang w:eastAsia="es-CR"/>
              </w:rPr>
              <w:t> </w:t>
            </w:r>
          </w:p>
        </w:tc>
        <w:tc>
          <w:tcPr>
            <w:tcW w:w="850" w:type="dxa"/>
            <w:tcBorders>
              <w:top w:val="nil"/>
              <w:left w:val="nil"/>
              <w:bottom w:val="single" w:sz="4" w:space="0" w:color="000000"/>
              <w:right w:val="single" w:sz="4" w:space="0" w:color="000000"/>
            </w:tcBorders>
            <w:shd w:val="clear" w:color="auto" w:fill="auto"/>
            <w:noWrap/>
            <w:vAlign w:val="center"/>
            <w:hideMark/>
          </w:tcPr>
          <w:p w14:paraId="4A61923E" w14:textId="77777777" w:rsidR="00471494" w:rsidRPr="004E74A6" w:rsidRDefault="00471494" w:rsidP="00832773">
            <w:pPr>
              <w:spacing w:line="276" w:lineRule="auto"/>
              <w:jc w:val="center"/>
              <w:rPr>
                <w:rFonts w:cs="Calibri"/>
                <w:color w:val="000000"/>
                <w:sz w:val="20"/>
                <w:lang w:eastAsia="es-CR"/>
              </w:rPr>
            </w:pPr>
            <w:r w:rsidRPr="004E74A6">
              <w:rPr>
                <w:rFonts w:cs="Calibri"/>
                <w:color w:val="000000"/>
                <w:sz w:val="20"/>
                <w:lang w:eastAsia="es-CR"/>
              </w:rPr>
              <w:t> </w:t>
            </w:r>
          </w:p>
        </w:tc>
        <w:tc>
          <w:tcPr>
            <w:tcW w:w="1134" w:type="dxa"/>
            <w:tcBorders>
              <w:top w:val="nil"/>
              <w:left w:val="nil"/>
              <w:bottom w:val="single" w:sz="4" w:space="0" w:color="000000"/>
              <w:right w:val="single" w:sz="4" w:space="0" w:color="000000"/>
            </w:tcBorders>
            <w:shd w:val="clear" w:color="auto" w:fill="auto"/>
            <w:noWrap/>
            <w:vAlign w:val="center"/>
            <w:hideMark/>
          </w:tcPr>
          <w:p w14:paraId="1C34291F" w14:textId="77777777" w:rsidR="00471494" w:rsidRPr="004E74A6" w:rsidRDefault="00471494" w:rsidP="00832773">
            <w:pPr>
              <w:spacing w:line="276" w:lineRule="auto"/>
              <w:jc w:val="center"/>
              <w:rPr>
                <w:rFonts w:cs="Calibri"/>
                <w:color w:val="000000"/>
                <w:sz w:val="20"/>
                <w:lang w:eastAsia="es-CR"/>
              </w:rPr>
            </w:pPr>
            <w:r w:rsidRPr="004E74A6">
              <w:rPr>
                <w:rFonts w:cs="Calibri"/>
                <w:color w:val="000000"/>
                <w:sz w:val="20"/>
                <w:lang w:eastAsia="es-CR"/>
              </w:rPr>
              <w:t> </w:t>
            </w:r>
          </w:p>
        </w:tc>
        <w:tc>
          <w:tcPr>
            <w:tcW w:w="1245" w:type="dxa"/>
            <w:tcBorders>
              <w:top w:val="nil"/>
              <w:left w:val="nil"/>
              <w:bottom w:val="single" w:sz="4" w:space="0" w:color="000000"/>
              <w:right w:val="nil"/>
            </w:tcBorders>
            <w:shd w:val="clear" w:color="auto" w:fill="auto"/>
            <w:noWrap/>
            <w:vAlign w:val="bottom"/>
            <w:hideMark/>
          </w:tcPr>
          <w:p w14:paraId="181A4083" w14:textId="77777777" w:rsidR="00471494" w:rsidRPr="004E74A6" w:rsidRDefault="00471494" w:rsidP="00832773">
            <w:pPr>
              <w:spacing w:line="276" w:lineRule="auto"/>
              <w:jc w:val="left"/>
              <w:rPr>
                <w:rFonts w:cs="Calibri"/>
                <w:color w:val="000000"/>
                <w:sz w:val="20"/>
                <w:lang w:eastAsia="es-CR"/>
              </w:rPr>
            </w:pPr>
            <w:r w:rsidRPr="004E74A6">
              <w:rPr>
                <w:rFonts w:cs="Calibri"/>
                <w:color w:val="000000"/>
                <w:sz w:val="20"/>
                <w:lang w:eastAsia="es-CR"/>
              </w:rPr>
              <w:t> </w:t>
            </w:r>
          </w:p>
        </w:tc>
      </w:tr>
    </w:tbl>
    <w:p w14:paraId="5333DD39" w14:textId="77777777" w:rsidR="00471494" w:rsidRPr="004E74A6" w:rsidRDefault="00471494" w:rsidP="00832773">
      <w:pPr>
        <w:spacing w:line="276" w:lineRule="auto"/>
        <w:ind w:left="907" w:right="907"/>
        <w:rPr>
          <w:rFonts w:cs="Calibri"/>
          <w:i/>
          <w:iCs/>
          <w:color w:val="000000"/>
          <w:sz w:val="20"/>
          <w:lang w:eastAsia="es-CR"/>
        </w:rPr>
      </w:pPr>
      <w:r w:rsidRPr="004E74A6">
        <w:rPr>
          <w:rFonts w:cs="Calibri"/>
          <w:b/>
          <w:bCs/>
          <w:i/>
          <w:iCs/>
          <w:color w:val="000000"/>
          <w:sz w:val="20"/>
          <w:lang w:eastAsia="es-CR"/>
        </w:rPr>
        <w:t>Fuente</w:t>
      </w:r>
      <w:r w:rsidRPr="004E74A6">
        <w:rPr>
          <w:rFonts w:cs="Calibri"/>
          <w:i/>
          <w:iCs/>
          <w:color w:val="000000"/>
          <w:sz w:val="20"/>
          <w:lang w:eastAsia="es-CR"/>
        </w:rPr>
        <w:t>: Subproceso de Modernización Institucional con datos extraídos del sistema SIGMA, Dirección de Planificación.</w:t>
      </w:r>
    </w:p>
    <w:p w14:paraId="07BAAFCC" w14:textId="77777777" w:rsidR="00471494" w:rsidRPr="004E74A6" w:rsidRDefault="00471494" w:rsidP="00CE62C1">
      <w:pPr>
        <w:spacing w:after="160" w:line="276" w:lineRule="auto"/>
        <w:rPr>
          <w:rFonts w:cs="Calibri"/>
          <w:b/>
          <w:bCs/>
          <w:color w:val="000000"/>
          <w:szCs w:val="24"/>
          <w:lang w:eastAsia="es-CR"/>
        </w:rPr>
      </w:pPr>
    </w:p>
    <w:p w14:paraId="1FF6E1A7" w14:textId="2E0E774A" w:rsidR="00471494" w:rsidRPr="004E74A6" w:rsidRDefault="00471494" w:rsidP="00CE62C1">
      <w:pPr>
        <w:spacing w:after="160" w:line="276" w:lineRule="auto"/>
        <w:rPr>
          <w:rFonts w:cs="Calibri"/>
          <w:b/>
          <w:bCs/>
          <w:color w:val="000000"/>
          <w:szCs w:val="24"/>
          <w:lang w:eastAsia="es-CR"/>
        </w:rPr>
      </w:pPr>
      <w:r w:rsidRPr="004E74A6">
        <w:rPr>
          <w:rFonts w:cs="Calibri"/>
          <w:b/>
          <w:bCs/>
          <w:color w:val="000000"/>
          <w:szCs w:val="24"/>
          <w:lang w:eastAsia="es-CR"/>
        </w:rPr>
        <w:t>Se resalta la labor de depuración de la Sala Primera, considerando que los datos sin actualizar van a la baja, pasaron de 151 en 2019, a reportar solo 1 en 2020 y 9 en 2021. Se insta a mantener la actualización constante</w:t>
      </w:r>
      <w:r w:rsidR="00A66A67" w:rsidRPr="004E74A6">
        <w:rPr>
          <w:rFonts w:cs="Calibri"/>
          <w:b/>
          <w:bCs/>
          <w:color w:val="000000"/>
          <w:szCs w:val="24"/>
          <w:lang w:eastAsia="es-CR"/>
        </w:rPr>
        <w:t>.</w:t>
      </w:r>
      <w:r w:rsidRPr="004E74A6">
        <w:rPr>
          <w:rFonts w:cs="Calibri"/>
          <w:b/>
          <w:bCs/>
          <w:color w:val="000000"/>
          <w:szCs w:val="24"/>
          <w:lang w:eastAsia="es-CR"/>
        </w:rPr>
        <w:t xml:space="preserve"> En materia Civil, pese a que en 2019 se reportaron asuntos “</w:t>
      </w:r>
      <w:r w:rsidRPr="004E74A6">
        <w:rPr>
          <w:rFonts w:cs="Calibri"/>
          <w:b/>
          <w:bCs/>
          <w:i/>
          <w:iCs/>
          <w:color w:val="000000"/>
          <w:szCs w:val="24"/>
          <w:lang w:eastAsia="es-CR"/>
        </w:rPr>
        <w:t>sin actualizar</w:t>
      </w:r>
      <w:r w:rsidRPr="004E74A6">
        <w:rPr>
          <w:rFonts w:cs="Calibri"/>
          <w:b/>
          <w:bCs/>
          <w:color w:val="000000"/>
          <w:szCs w:val="24"/>
          <w:lang w:eastAsia="es-CR"/>
        </w:rPr>
        <w:t xml:space="preserve">”, la situación se corrigió a partir del 2020. </w:t>
      </w:r>
    </w:p>
    <w:p w14:paraId="40E43774" w14:textId="77777777" w:rsidR="00717F47" w:rsidRPr="004E74A6" w:rsidRDefault="00717F47" w:rsidP="00CE62C1">
      <w:pPr>
        <w:spacing w:after="160" w:line="276" w:lineRule="auto"/>
        <w:rPr>
          <w:rFonts w:cs="Calibri"/>
          <w:color w:val="000000"/>
          <w:szCs w:val="24"/>
          <w:lang w:eastAsia="es-CR"/>
        </w:rPr>
      </w:pPr>
    </w:p>
    <w:p w14:paraId="0B4326FC" w14:textId="6BCA81FC" w:rsidR="008647ED" w:rsidRPr="004E74A6" w:rsidRDefault="00297B27" w:rsidP="00CE62C1">
      <w:pPr>
        <w:spacing w:after="160" w:line="276" w:lineRule="auto"/>
        <w:rPr>
          <w:rFonts w:cs="Calibri"/>
          <w:color w:val="000000"/>
          <w:szCs w:val="24"/>
          <w:lang w:eastAsia="es-CR"/>
        </w:rPr>
      </w:pPr>
      <w:r w:rsidRPr="004E74A6">
        <w:rPr>
          <w:rFonts w:cs="Calibri"/>
          <w:color w:val="000000"/>
          <w:szCs w:val="24"/>
          <w:lang w:eastAsia="es-CR"/>
        </w:rPr>
        <w:t>S</w:t>
      </w:r>
      <w:r w:rsidR="008647ED" w:rsidRPr="004E74A6">
        <w:rPr>
          <w:rFonts w:cs="Calibri"/>
          <w:color w:val="000000"/>
          <w:szCs w:val="24"/>
          <w:lang w:eastAsia="es-CR"/>
        </w:rPr>
        <w:t xml:space="preserve">e logra observar que </w:t>
      </w:r>
      <w:r w:rsidR="000D08BC" w:rsidRPr="004E74A6">
        <w:rPr>
          <w:rFonts w:cs="Calibri"/>
          <w:color w:val="000000"/>
          <w:szCs w:val="24"/>
          <w:lang w:eastAsia="es-CR"/>
        </w:rPr>
        <w:t>la entrada de las casaciones se divide principalmente</w:t>
      </w:r>
      <w:r w:rsidR="008647ED" w:rsidRPr="004E74A6">
        <w:rPr>
          <w:rFonts w:cs="Calibri"/>
          <w:color w:val="000000"/>
          <w:szCs w:val="24"/>
          <w:lang w:eastAsia="es-CR"/>
        </w:rPr>
        <w:t xml:space="preserve"> entre contencioso administrativo </w:t>
      </w:r>
      <w:r w:rsidR="00471494" w:rsidRPr="004E74A6">
        <w:rPr>
          <w:rFonts w:cs="Calibri"/>
          <w:color w:val="000000"/>
          <w:szCs w:val="24"/>
          <w:lang w:eastAsia="es-CR"/>
        </w:rPr>
        <w:t>con un</w:t>
      </w:r>
      <w:r w:rsidR="008647ED" w:rsidRPr="004E74A6">
        <w:rPr>
          <w:rFonts w:cs="Calibri"/>
          <w:color w:val="000000"/>
          <w:szCs w:val="24"/>
          <w:lang w:eastAsia="es-CR"/>
        </w:rPr>
        <w:t xml:space="preserve"> 48% de asuntos y civil con el 44%, orden que se han mantenido en 2020 y 2021.</w:t>
      </w:r>
    </w:p>
    <w:p w14:paraId="27164B1F" w14:textId="2D27B3AA" w:rsidR="00755589" w:rsidRPr="004E74A6" w:rsidRDefault="00755589">
      <w:pPr>
        <w:spacing w:after="160" w:line="276" w:lineRule="auto"/>
        <w:rPr>
          <w:rFonts w:cs="Calibri"/>
          <w:color w:val="000000"/>
          <w:szCs w:val="24"/>
          <w:lang w:eastAsia="es-CR"/>
        </w:rPr>
      </w:pPr>
    </w:p>
    <w:p w14:paraId="67243F79" w14:textId="1C668719" w:rsidR="00755589" w:rsidRPr="004E74A6" w:rsidRDefault="00755589">
      <w:pPr>
        <w:spacing w:after="160" w:line="276" w:lineRule="auto"/>
        <w:rPr>
          <w:rFonts w:cs="Calibri"/>
          <w:color w:val="000000"/>
          <w:szCs w:val="24"/>
          <w:lang w:eastAsia="es-CR"/>
        </w:rPr>
      </w:pPr>
    </w:p>
    <w:p w14:paraId="2459935E" w14:textId="1B7730A0" w:rsidR="00755589" w:rsidRPr="004E74A6" w:rsidRDefault="00755589">
      <w:pPr>
        <w:spacing w:after="160" w:line="276" w:lineRule="auto"/>
        <w:rPr>
          <w:rFonts w:cs="Calibri"/>
          <w:color w:val="000000"/>
          <w:szCs w:val="24"/>
          <w:lang w:eastAsia="es-CR"/>
        </w:rPr>
      </w:pPr>
    </w:p>
    <w:p w14:paraId="46913BCC" w14:textId="00A32EB6" w:rsidR="00755589" w:rsidRPr="004E74A6" w:rsidRDefault="00755589">
      <w:pPr>
        <w:spacing w:after="160" w:line="276" w:lineRule="auto"/>
        <w:rPr>
          <w:rFonts w:cs="Calibri"/>
          <w:color w:val="000000"/>
          <w:szCs w:val="24"/>
          <w:lang w:eastAsia="es-CR"/>
        </w:rPr>
      </w:pPr>
    </w:p>
    <w:p w14:paraId="0F439C0A" w14:textId="5407A68F" w:rsidR="00755589" w:rsidRPr="004E74A6" w:rsidRDefault="00755589">
      <w:pPr>
        <w:spacing w:after="160" w:line="276" w:lineRule="auto"/>
        <w:rPr>
          <w:rFonts w:cs="Calibri"/>
          <w:color w:val="000000"/>
          <w:szCs w:val="24"/>
          <w:lang w:eastAsia="es-CR"/>
        </w:rPr>
      </w:pPr>
    </w:p>
    <w:p w14:paraId="448D9E2E" w14:textId="7D91536C" w:rsidR="00755589" w:rsidRPr="004E74A6" w:rsidRDefault="00755589">
      <w:pPr>
        <w:spacing w:after="160" w:line="276" w:lineRule="auto"/>
        <w:rPr>
          <w:rFonts w:cs="Calibri"/>
          <w:color w:val="000000"/>
          <w:szCs w:val="24"/>
          <w:lang w:eastAsia="es-CR"/>
        </w:rPr>
      </w:pPr>
    </w:p>
    <w:p w14:paraId="4B3A55FD" w14:textId="77777777" w:rsidR="00755589" w:rsidRPr="004E74A6" w:rsidRDefault="00755589">
      <w:pPr>
        <w:spacing w:after="160" w:line="276" w:lineRule="auto"/>
        <w:rPr>
          <w:rFonts w:cs="Calibri"/>
          <w:color w:val="000000"/>
          <w:szCs w:val="24"/>
          <w:lang w:eastAsia="es-CR"/>
        </w:rPr>
      </w:pPr>
    </w:p>
    <w:p w14:paraId="7C82D467" w14:textId="77777777" w:rsidR="00662185" w:rsidRPr="004E74A6" w:rsidRDefault="00662185" w:rsidP="00CE62C1">
      <w:pPr>
        <w:spacing w:after="160" w:line="276" w:lineRule="auto"/>
        <w:rPr>
          <w:rFonts w:cs="Calibri"/>
          <w:color w:val="000000"/>
          <w:szCs w:val="24"/>
          <w:lang w:eastAsia="es-CR"/>
        </w:rPr>
      </w:pPr>
    </w:p>
    <w:p w14:paraId="0C00A9AF" w14:textId="2F398527" w:rsidR="00AC6185" w:rsidRPr="00832773" w:rsidRDefault="00AC6185" w:rsidP="00832773">
      <w:pPr>
        <w:pStyle w:val="Descripcin"/>
        <w:keepNext/>
        <w:spacing w:line="276" w:lineRule="auto"/>
        <w:jc w:val="center"/>
        <w:rPr>
          <w:rFonts w:ascii="Book Antiqua" w:hAnsi="Book Antiqua"/>
          <w:i/>
          <w:iCs/>
          <w:sz w:val="20"/>
          <w:szCs w:val="16"/>
          <w:lang w:val="es-CR"/>
        </w:rPr>
      </w:pPr>
      <w:r w:rsidRPr="00832773">
        <w:rPr>
          <w:rFonts w:ascii="Book Antiqua" w:hAnsi="Book Antiqua"/>
          <w:i/>
          <w:iCs/>
          <w:sz w:val="20"/>
          <w:szCs w:val="16"/>
          <w:lang w:val="es-CR"/>
        </w:rPr>
        <w:lastRenderedPageBreak/>
        <w:t xml:space="preserve">Tabla </w:t>
      </w:r>
      <w:r w:rsidRPr="00832773">
        <w:rPr>
          <w:rFonts w:ascii="Book Antiqua" w:hAnsi="Book Antiqua"/>
          <w:i/>
          <w:iCs/>
          <w:sz w:val="20"/>
          <w:szCs w:val="16"/>
          <w:lang w:val="es-CR"/>
        </w:rPr>
        <w:fldChar w:fldCharType="begin"/>
      </w:r>
      <w:r w:rsidRPr="00832773">
        <w:rPr>
          <w:rFonts w:ascii="Book Antiqua" w:hAnsi="Book Antiqua"/>
          <w:i/>
          <w:iCs/>
          <w:sz w:val="20"/>
          <w:szCs w:val="16"/>
          <w:lang w:val="es-CR"/>
        </w:rPr>
        <w:instrText xml:space="preserve"> SEQ Tabla \* ARABIC </w:instrText>
      </w:r>
      <w:r w:rsidRPr="00832773">
        <w:rPr>
          <w:rFonts w:ascii="Book Antiqua" w:hAnsi="Book Antiqua"/>
          <w:i/>
          <w:iCs/>
          <w:sz w:val="20"/>
          <w:szCs w:val="16"/>
          <w:lang w:val="es-CR"/>
        </w:rPr>
        <w:fldChar w:fldCharType="separate"/>
      </w:r>
      <w:r w:rsidR="00374B51">
        <w:rPr>
          <w:rFonts w:ascii="Book Antiqua" w:hAnsi="Book Antiqua"/>
          <w:i/>
          <w:iCs/>
          <w:noProof/>
          <w:sz w:val="20"/>
          <w:szCs w:val="16"/>
          <w:lang w:val="es-CR"/>
        </w:rPr>
        <w:t>64</w:t>
      </w:r>
      <w:r w:rsidRPr="00832773">
        <w:rPr>
          <w:rFonts w:ascii="Book Antiqua" w:hAnsi="Book Antiqua"/>
          <w:i/>
          <w:iCs/>
          <w:sz w:val="20"/>
          <w:szCs w:val="16"/>
          <w:lang w:val="es-CR"/>
        </w:rPr>
        <w:fldChar w:fldCharType="end"/>
      </w:r>
      <w:r w:rsidRPr="00832773">
        <w:rPr>
          <w:rFonts w:ascii="Book Antiqua" w:hAnsi="Book Antiqua"/>
          <w:i/>
          <w:iCs/>
          <w:sz w:val="20"/>
          <w:szCs w:val="16"/>
          <w:lang w:val="es-CR"/>
        </w:rPr>
        <w:t xml:space="preserve"> Cantidad de casaciones ingresadas en la Sala Primera según materia y tipo de cuantía durante el 2019, 2020 y 2021, así como su promedio anual</w:t>
      </w:r>
    </w:p>
    <w:tbl>
      <w:tblPr>
        <w:tblW w:w="8931" w:type="dxa"/>
        <w:jc w:val="center"/>
        <w:tblCellMar>
          <w:left w:w="70" w:type="dxa"/>
          <w:right w:w="70" w:type="dxa"/>
        </w:tblCellMar>
        <w:tblLook w:val="04A0" w:firstRow="1" w:lastRow="0" w:firstColumn="1" w:lastColumn="0" w:noHBand="0" w:noVBand="1"/>
      </w:tblPr>
      <w:tblGrid>
        <w:gridCol w:w="2731"/>
        <w:gridCol w:w="1173"/>
        <w:gridCol w:w="1173"/>
        <w:gridCol w:w="1173"/>
        <w:gridCol w:w="1173"/>
        <w:gridCol w:w="1508"/>
      </w:tblGrid>
      <w:tr w:rsidR="000D08BC" w:rsidRPr="004E74A6" w14:paraId="0B5C25BC" w14:textId="5A2FDD1D" w:rsidTr="000D08BC">
        <w:trPr>
          <w:trHeight w:val="454"/>
          <w:tblHeader/>
          <w:jc w:val="center"/>
        </w:trPr>
        <w:tc>
          <w:tcPr>
            <w:tcW w:w="2731" w:type="dxa"/>
            <w:tcBorders>
              <w:top w:val="single" w:sz="4" w:space="0" w:color="000000" w:themeColor="text1"/>
              <w:left w:val="nil"/>
              <w:bottom w:val="single" w:sz="4" w:space="0" w:color="000000" w:themeColor="text1"/>
              <w:right w:val="single" w:sz="4" w:space="0" w:color="000000" w:themeColor="text1"/>
            </w:tcBorders>
            <w:shd w:val="clear" w:color="auto" w:fill="auto"/>
            <w:noWrap/>
            <w:vAlign w:val="center"/>
            <w:hideMark/>
          </w:tcPr>
          <w:p w14:paraId="3962F645" w14:textId="77777777" w:rsidR="000D08BC" w:rsidRPr="004E74A6" w:rsidRDefault="000D08BC" w:rsidP="00832773">
            <w:pPr>
              <w:spacing w:line="276" w:lineRule="auto"/>
              <w:jc w:val="center"/>
              <w:rPr>
                <w:rFonts w:cs="Calibri"/>
                <w:color w:val="000000"/>
                <w:sz w:val="20"/>
                <w:lang w:eastAsia="es-CR"/>
              </w:rPr>
            </w:pPr>
            <w:r w:rsidRPr="004E74A6">
              <w:rPr>
                <w:rFonts w:cs="Calibri"/>
                <w:color w:val="000000"/>
                <w:sz w:val="20"/>
                <w:lang w:eastAsia="es-CR"/>
              </w:rPr>
              <w:t>Materia</w:t>
            </w:r>
          </w:p>
        </w:tc>
        <w:tc>
          <w:tcPr>
            <w:tcW w:w="117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hideMark/>
          </w:tcPr>
          <w:p w14:paraId="248E9520" w14:textId="77777777" w:rsidR="000D08BC" w:rsidRPr="004E74A6" w:rsidRDefault="000D08BC" w:rsidP="00832773">
            <w:pPr>
              <w:spacing w:line="276" w:lineRule="auto"/>
              <w:jc w:val="center"/>
              <w:rPr>
                <w:rFonts w:cs="Calibri"/>
                <w:color w:val="000000"/>
                <w:sz w:val="20"/>
                <w:lang w:eastAsia="es-CR"/>
              </w:rPr>
            </w:pPr>
            <w:r w:rsidRPr="004E74A6">
              <w:rPr>
                <w:rFonts w:cs="Calibri"/>
                <w:color w:val="000000"/>
                <w:sz w:val="20"/>
                <w:lang w:eastAsia="es-CR"/>
              </w:rPr>
              <w:t>2019</w:t>
            </w:r>
          </w:p>
        </w:tc>
        <w:tc>
          <w:tcPr>
            <w:tcW w:w="117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hideMark/>
          </w:tcPr>
          <w:p w14:paraId="0CFBC139" w14:textId="77777777" w:rsidR="000D08BC" w:rsidRPr="004E74A6" w:rsidRDefault="000D08BC" w:rsidP="00832773">
            <w:pPr>
              <w:spacing w:line="276" w:lineRule="auto"/>
              <w:jc w:val="center"/>
              <w:rPr>
                <w:rFonts w:cs="Calibri"/>
                <w:color w:val="000000"/>
                <w:sz w:val="20"/>
                <w:lang w:eastAsia="es-CR"/>
              </w:rPr>
            </w:pPr>
            <w:r w:rsidRPr="004E74A6">
              <w:rPr>
                <w:rFonts w:cs="Calibri"/>
                <w:color w:val="000000"/>
                <w:sz w:val="20"/>
                <w:lang w:eastAsia="es-CR"/>
              </w:rPr>
              <w:t>2020</w:t>
            </w:r>
          </w:p>
        </w:tc>
        <w:tc>
          <w:tcPr>
            <w:tcW w:w="117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hideMark/>
          </w:tcPr>
          <w:p w14:paraId="31305DF5" w14:textId="77777777" w:rsidR="000D08BC" w:rsidRPr="004E74A6" w:rsidRDefault="000D08BC" w:rsidP="00832773">
            <w:pPr>
              <w:spacing w:line="276" w:lineRule="auto"/>
              <w:jc w:val="center"/>
              <w:rPr>
                <w:rFonts w:cs="Calibri"/>
                <w:color w:val="000000"/>
                <w:sz w:val="20"/>
                <w:lang w:eastAsia="es-CR"/>
              </w:rPr>
            </w:pPr>
            <w:r w:rsidRPr="004E74A6">
              <w:rPr>
                <w:rFonts w:cs="Calibri"/>
                <w:color w:val="000000"/>
                <w:sz w:val="20"/>
                <w:lang w:eastAsia="es-CR"/>
              </w:rPr>
              <w:t>2021</w:t>
            </w:r>
          </w:p>
        </w:tc>
        <w:tc>
          <w:tcPr>
            <w:tcW w:w="1173" w:type="dxa"/>
            <w:tcBorders>
              <w:top w:val="single" w:sz="4" w:space="0" w:color="000000" w:themeColor="text1"/>
              <w:left w:val="single" w:sz="4" w:space="0" w:color="000000" w:themeColor="text1"/>
              <w:bottom w:val="single" w:sz="4" w:space="0" w:color="000000" w:themeColor="text1"/>
              <w:right w:val="nil"/>
            </w:tcBorders>
            <w:shd w:val="clear" w:color="auto" w:fill="auto"/>
            <w:noWrap/>
            <w:vAlign w:val="center"/>
            <w:hideMark/>
          </w:tcPr>
          <w:p w14:paraId="279146F6" w14:textId="77777777" w:rsidR="000D08BC" w:rsidRPr="004E74A6" w:rsidRDefault="000D08BC" w:rsidP="00832773">
            <w:pPr>
              <w:spacing w:line="276" w:lineRule="auto"/>
              <w:jc w:val="center"/>
              <w:rPr>
                <w:rFonts w:cs="Calibri"/>
                <w:color w:val="000000"/>
                <w:sz w:val="20"/>
                <w:lang w:eastAsia="es-CR"/>
              </w:rPr>
            </w:pPr>
            <w:r w:rsidRPr="004E74A6">
              <w:rPr>
                <w:rFonts w:cs="Calibri"/>
                <w:color w:val="000000"/>
                <w:sz w:val="20"/>
                <w:lang w:eastAsia="es-CR"/>
              </w:rPr>
              <w:t>Promedio</w:t>
            </w:r>
          </w:p>
        </w:tc>
        <w:tc>
          <w:tcPr>
            <w:tcW w:w="1508" w:type="dxa"/>
            <w:tcBorders>
              <w:top w:val="single" w:sz="4" w:space="0" w:color="000000" w:themeColor="text1"/>
              <w:left w:val="single" w:sz="4" w:space="0" w:color="000000" w:themeColor="text1"/>
              <w:bottom w:val="single" w:sz="4" w:space="0" w:color="000000" w:themeColor="text1"/>
              <w:right w:val="nil"/>
            </w:tcBorders>
          </w:tcPr>
          <w:p w14:paraId="79427D2B" w14:textId="591C6CE7" w:rsidR="000D08BC" w:rsidRPr="004E74A6" w:rsidRDefault="000D08BC" w:rsidP="00832773">
            <w:pPr>
              <w:spacing w:line="276" w:lineRule="auto"/>
              <w:jc w:val="center"/>
              <w:rPr>
                <w:rFonts w:cs="Calibri"/>
                <w:color w:val="000000"/>
                <w:sz w:val="20"/>
                <w:lang w:eastAsia="es-CR"/>
              </w:rPr>
            </w:pPr>
            <w:r w:rsidRPr="004E74A6">
              <w:rPr>
                <w:rFonts w:cs="Calibri"/>
                <w:color w:val="000000"/>
                <w:sz w:val="20"/>
                <w:lang w:eastAsia="es-CR"/>
              </w:rPr>
              <w:t>Representación porcentual</w:t>
            </w:r>
          </w:p>
        </w:tc>
      </w:tr>
      <w:tr w:rsidR="000D08BC" w:rsidRPr="004E74A6" w14:paraId="37F1C533" w14:textId="06C8E072" w:rsidTr="000D08BC">
        <w:trPr>
          <w:trHeight w:val="288"/>
          <w:jc w:val="center"/>
        </w:trPr>
        <w:tc>
          <w:tcPr>
            <w:tcW w:w="2731" w:type="dxa"/>
            <w:tcBorders>
              <w:top w:val="single" w:sz="4" w:space="0" w:color="000000" w:themeColor="text1"/>
              <w:left w:val="nil"/>
              <w:bottom w:val="nil"/>
              <w:right w:val="single" w:sz="4" w:space="0" w:color="000000" w:themeColor="text1"/>
            </w:tcBorders>
            <w:shd w:val="clear" w:color="auto" w:fill="auto"/>
            <w:noWrap/>
            <w:vAlign w:val="center"/>
          </w:tcPr>
          <w:p w14:paraId="07D089DD" w14:textId="77777777" w:rsidR="000D08BC" w:rsidRPr="004E74A6" w:rsidRDefault="000D08BC" w:rsidP="00832773">
            <w:pPr>
              <w:spacing w:line="276" w:lineRule="auto"/>
              <w:jc w:val="left"/>
              <w:rPr>
                <w:rFonts w:cs="Calibri"/>
                <w:color w:val="000000"/>
                <w:sz w:val="20"/>
                <w:lang w:eastAsia="es-CR"/>
              </w:rPr>
            </w:pPr>
          </w:p>
        </w:tc>
        <w:tc>
          <w:tcPr>
            <w:tcW w:w="1173" w:type="dxa"/>
            <w:tcBorders>
              <w:top w:val="single" w:sz="4" w:space="0" w:color="000000" w:themeColor="text1"/>
              <w:left w:val="single" w:sz="4" w:space="0" w:color="000000" w:themeColor="text1"/>
              <w:bottom w:val="nil"/>
              <w:right w:val="single" w:sz="4" w:space="0" w:color="000000" w:themeColor="text1"/>
            </w:tcBorders>
            <w:shd w:val="clear" w:color="auto" w:fill="auto"/>
            <w:noWrap/>
            <w:vAlign w:val="center"/>
          </w:tcPr>
          <w:p w14:paraId="6645A299" w14:textId="77777777" w:rsidR="000D08BC" w:rsidRPr="004E74A6" w:rsidRDefault="000D08BC" w:rsidP="00832773">
            <w:pPr>
              <w:spacing w:line="276" w:lineRule="auto"/>
              <w:jc w:val="center"/>
              <w:rPr>
                <w:rFonts w:cs="Calibri"/>
                <w:color w:val="000000"/>
                <w:sz w:val="20"/>
                <w:lang w:eastAsia="es-CR"/>
              </w:rPr>
            </w:pPr>
          </w:p>
        </w:tc>
        <w:tc>
          <w:tcPr>
            <w:tcW w:w="1173" w:type="dxa"/>
            <w:tcBorders>
              <w:top w:val="single" w:sz="4" w:space="0" w:color="000000" w:themeColor="text1"/>
              <w:left w:val="single" w:sz="4" w:space="0" w:color="000000" w:themeColor="text1"/>
              <w:bottom w:val="nil"/>
              <w:right w:val="single" w:sz="4" w:space="0" w:color="000000" w:themeColor="text1"/>
            </w:tcBorders>
            <w:shd w:val="clear" w:color="auto" w:fill="auto"/>
            <w:noWrap/>
            <w:vAlign w:val="center"/>
          </w:tcPr>
          <w:p w14:paraId="187BB415" w14:textId="77777777" w:rsidR="000D08BC" w:rsidRPr="004E74A6" w:rsidRDefault="000D08BC" w:rsidP="00832773">
            <w:pPr>
              <w:spacing w:line="276" w:lineRule="auto"/>
              <w:jc w:val="center"/>
              <w:rPr>
                <w:rFonts w:cs="Calibri"/>
                <w:color w:val="000000"/>
                <w:sz w:val="20"/>
                <w:lang w:eastAsia="es-CR"/>
              </w:rPr>
            </w:pPr>
          </w:p>
        </w:tc>
        <w:tc>
          <w:tcPr>
            <w:tcW w:w="1173" w:type="dxa"/>
            <w:tcBorders>
              <w:top w:val="single" w:sz="4" w:space="0" w:color="000000" w:themeColor="text1"/>
              <w:left w:val="single" w:sz="4" w:space="0" w:color="000000" w:themeColor="text1"/>
              <w:bottom w:val="nil"/>
              <w:right w:val="single" w:sz="4" w:space="0" w:color="000000" w:themeColor="text1"/>
            </w:tcBorders>
            <w:shd w:val="clear" w:color="auto" w:fill="auto"/>
            <w:noWrap/>
            <w:vAlign w:val="center"/>
          </w:tcPr>
          <w:p w14:paraId="5CB83DB4" w14:textId="77777777" w:rsidR="000D08BC" w:rsidRPr="004E74A6" w:rsidRDefault="000D08BC" w:rsidP="00832773">
            <w:pPr>
              <w:spacing w:line="276" w:lineRule="auto"/>
              <w:jc w:val="center"/>
              <w:rPr>
                <w:rFonts w:cs="Calibri"/>
                <w:color w:val="000000"/>
                <w:sz w:val="20"/>
                <w:lang w:eastAsia="es-CR"/>
              </w:rPr>
            </w:pPr>
          </w:p>
        </w:tc>
        <w:tc>
          <w:tcPr>
            <w:tcW w:w="1173" w:type="dxa"/>
            <w:tcBorders>
              <w:top w:val="single" w:sz="4" w:space="0" w:color="000000" w:themeColor="text1"/>
              <w:left w:val="single" w:sz="4" w:space="0" w:color="000000" w:themeColor="text1"/>
              <w:bottom w:val="nil"/>
              <w:right w:val="nil"/>
            </w:tcBorders>
            <w:shd w:val="clear" w:color="auto" w:fill="auto"/>
            <w:noWrap/>
            <w:vAlign w:val="center"/>
          </w:tcPr>
          <w:p w14:paraId="23240573" w14:textId="77777777" w:rsidR="000D08BC" w:rsidRPr="004E74A6" w:rsidRDefault="000D08BC" w:rsidP="00832773">
            <w:pPr>
              <w:spacing w:line="276" w:lineRule="auto"/>
              <w:jc w:val="center"/>
              <w:rPr>
                <w:rFonts w:cs="Calibri"/>
                <w:color w:val="000000"/>
                <w:sz w:val="20"/>
                <w:lang w:eastAsia="es-CR"/>
              </w:rPr>
            </w:pPr>
          </w:p>
        </w:tc>
        <w:tc>
          <w:tcPr>
            <w:tcW w:w="1508" w:type="dxa"/>
            <w:tcBorders>
              <w:top w:val="single" w:sz="4" w:space="0" w:color="000000" w:themeColor="text1"/>
              <w:left w:val="single" w:sz="4" w:space="0" w:color="000000" w:themeColor="text1"/>
              <w:bottom w:val="nil"/>
              <w:right w:val="nil"/>
            </w:tcBorders>
          </w:tcPr>
          <w:p w14:paraId="635738C6" w14:textId="77777777" w:rsidR="000D08BC" w:rsidRPr="004E74A6" w:rsidRDefault="000D08BC" w:rsidP="00832773">
            <w:pPr>
              <w:spacing w:line="276" w:lineRule="auto"/>
              <w:jc w:val="center"/>
              <w:rPr>
                <w:rFonts w:cs="Calibri"/>
                <w:color w:val="000000"/>
                <w:sz w:val="20"/>
                <w:lang w:eastAsia="es-CR"/>
              </w:rPr>
            </w:pPr>
          </w:p>
        </w:tc>
      </w:tr>
      <w:tr w:rsidR="000D08BC" w:rsidRPr="004E74A6" w14:paraId="61B9952C" w14:textId="2429E916" w:rsidTr="000D08BC">
        <w:trPr>
          <w:trHeight w:val="288"/>
          <w:jc w:val="center"/>
        </w:trPr>
        <w:tc>
          <w:tcPr>
            <w:tcW w:w="2731" w:type="dxa"/>
            <w:tcBorders>
              <w:left w:val="nil"/>
              <w:bottom w:val="nil"/>
              <w:right w:val="single" w:sz="4" w:space="0" w:color="000000" w:themeColor="text1"/>
            </w:tcBorders>
            <w:shd w:val="clear" w:color="auto" w:fill="auto"/>
            <w:noWrap/>
            <w:vAlign w:val="center"/>
          </w:tcPr>
          <w:p w14:paraId="512B1BD0" w14:textId="249B9487" w:rsidR="000D08BC" w:rsidRPr="004E74A6" w:rsidRDefault="000D08BC" w:rsidP="00832773">
            <w:pPr>
              <w:spacing w:line="276" w:lineRule="auto"/>
              <w:jc w:val="center"/>
              <w:rPr>
                <w:rFonts w:cs="Calibri"/>
                <w:color w:val="000000"/>
                <w:sz w:val="20"/>
                <w:lang w:eastAsia="es-CR"/>
              </w:rPr>
            </w:pPr>
            <w:r w:rsidRPr="004E74A6">
              <w:rPr>
                <w:rFonts w:cs="Calibri"/>
                <w:color w:val="000000"/>
                <w:sz w:val="20"/>
                <w:lang w:eastAsia="es-CR"/>
              </w:rPr>
              <w:t>Total general</w:t>
            </w:r>
          </w:p>
        </w:tc>
        <w:tc>
          <w:tcPr>
            <w:tcW w:w="1173" w:type="dxa"/>
            <w:tcBorders>
              <w:left w:val="single" w:sz="4" w:space="0" w:color="000000" w:themeColor="text1"/>
              <w:bottom w:val="nil"/>
              <w:right w:val="single" w:sz="4" w:space="0" w:color="000000" w:themeColor="text1"/>
            </w:tcBorders>
            <w:shd w:val="clear" w:color="auto" w:fill="auto"/>
            <w:noWrap/>
            <w:vAlign w:val="center"/>
          </w:tcPr>
          <w:p w14:paraId="7DD6C989" w14:textId="7F9DC878" w:rsidR="000D08BC" w:rsidRPr="004E74A6" w:rsidRDefault="000D08BC" w:rsidP="00832773">
            <w:pPr>
              <w:spacing w:line="276" w:lineRule="auto"/>
              <w:jc w:val="center"/>
              <w:rPr>
                <w:rFonts w:cs="Calibri"/>
                <w:color w:val="000000"/>
                <w:sz w:val="20"/>
                <w:lang w:eastAsia="es-CR"/>
              </w:rPr>
            </w:pPr>
            <w:r w:rsidRPr="004E74A6">
              <w:rPr>
                <w:rFonts w:cs="Calibri"/>
                <w:color w:val="000000"/>
                <w:sz w:val="20"/>
                <w:lang w:eastAsia="es-CR"/>
              </w:rPr>
              <w:t>1347</w:t>
            </w:r>
          </w:p>
        </w:tc>
        <w:tc>
          <w:tcPr>
            <w:tcW w:w="1173" w:type="dxa"/>
            <w:tcBorders>
              <w:left w:val="single" w:sz="4" w:space="0" w:color="000000" w:themeColor="text1"/>
              <w:bottom w:val="nil"/>
              <w:right w:val="single" w:sz="4" w:space="0" w:color="000000" w:themeColor="text1"/>
            </w:tcBorders>
            <w:shd w:val="clear" w:color="auto" w:fill="auto"/>
            <w:noWrap/>
            <w:vAlign w:val="center"/>
          </w:tcPr>
          <w:p w14:paraId="33FE77D8" w14:textId="6320A418" w:rsidR="000D08BC" w:rsidRPr="004E74A6" w:rsidRDefault="000D08BC" w:rsidP="00832773">
            <w:pPr>
              <w:spacing w:line="276" w:lineRule="auto"/>
              <w:jc w:val="center"/>
              <w:rPr>
                <w:rFonts w:cs="Calibri"/>
                <w:color w:val="000000"/>
                <w:sz w:val="20"/>
                <w:lang w:eastAsia="es-CR"/>
              </w:rPr>
            </w:pPr>
            <w:r w:rsidRPr="004E74A6">
              <w:rPr>
                <w:rFonts w:cs="Calibri"/>
                <w:color w:val="000000"/>
                <w:sz w:val="20"/>
                <w:lang w:eastAsia="es-CR"/>
              </w:rPr>
              <w:t>1068</w:t>
            </w:r>
          </w:p>
        </w:tc>
        <w:tc>
          <w:tcPr>
            <w:tcW w:w="1173" w:type="dxa"/>
            <w:tcBorders>
              <w:left w:val="single" w:sz="4" w:space="0" w:color="000000" w:themeColor="text1"/>
              <w:bottom w:val="nil"/>
              <w:right w:val="single" w:sz="4" w:space="0" w:color="000000" w:themeColor="text1"/>
            </w:tcBorders>
            <w:shd w:val="clear" w:color="auto" w:fill="auto"/>
            <w:noWrap/>
            <w:vAlign w:val="center"/>
          </w:tcPr>
          <w:p w14:paraId="444862AC" w14:textId="76441A56" w:rsidR="000D08BC" w:rsidRPr="004E74A6" w:rsidRDefault="000D08BC" w:rsidP="00832773">
            <w:pPr>
              <w:spacing w:line="276" w:lineRule="auto"/>
              <w:jc w:val="center"/>
              <w:rPr>
                <w:rFonts w:cs="Calibri"/>
                <w:color w:val="000000"/>
                <w:sz w:val="20"/>
                <w:lang w:eastAsia="es-CR"/>
              </w:rPr>
            </w:pPr>
            <w:r w:rsidRPr="004E74A6">
              <w:rPr>
                <w:rFonts w:cs="Calibri"/>
                <w:color w:val="000000"/>
                <w:sz w:val="20"/>
                <w:lang w:eastAsia="es-CR"/>
              </w:rPr>
              <w:t>930</w:t>
            </w:r>
          </w:p>
        </w:tc>
        <w:tc>
          <w:tcPr>
            <w:tcW w:w="1173" w:type="dxa"/>
            <w:tcBorders>
              <w:left w:val="single" w:sz="4" w:space="0" w:color="000000" w:themeColor="text1"/>
              <w:bottom w:val="nil"/>
              <w:right w:val="nil"/>
            </w:tcBorders>
            <w:shd w:val="clear" w:color="auto" w:fill="auto"/>
            <w:noWrap/>
            <w:vAlign w:val="center"/>
          </w:tcPr>
          <w:p w14:paraId="27FE4C15" w14:textId="23DE2722" w:rsidR="000D08BC" w:rsidRPr="004E74A6" w:rsidRDefault="000D08BC" w:rsidP="00832773">
            <w:pPr>
              <w:spacing w:line="276" w:lineRule="auto"/>
              <w:jc w:val="center"/>
              <w:rPr>
                <w:rFonts w:cs="Calibri"/>
                <w:color w:val="000000"/>
                <w:sz w:val="20"/>
                <w:lang w:eastAsia="es-CR"/>
              </w:rPr>
            </w:pPr>
            <w:r w:rsidRPr="004E74A6">
              <w:rPr>
                <w:rFonts w:cs="Calibri"/>
                <w:color w:val="000000"/>
                <w:sz w:val="20"/>
                <w:lang w:eastAsia="es-CR"/>
              </w:rPr>
              <w:t>1115</w:t>
            </w:r>
          </w:p>
        </w:tc>
        <w:tc>
          <w:tcPr>
            <w:tcW w:w="1508" w:type="dxa"/>
            <w:tcBorders>
              <w:left w:val="single" w:sz="4" w:space="0" w:color="000000" w:themeColor="text1"/>
              <w:bottom w:val="nil"/>
              <w:right w:val="nil"/>
            </w:tcBorders>
          </w:tcPr>
          <w:p w14:paraId="76DFACB5" w14:textId="77777777" w:rsidR="000D08BC" w:rsidRPr="004E74A6" w:rsidRDefault="000D08BC" w:rsidP="00832773">
            <w:pPr>
              <w:spacing w:line="276" w:lineRule="auto"/>
              <w:jc w:val="center"/>
              <w:rPr>
                <w:rFonts w:cs="Calibri"/>
                <w:color w:val="000000"/>
                <w:sz w:val="20"/>
                <w:lang w:eastAsia="es-CR"/>
              </w:rPr>
            </w:pPr>
          </w:p>
        </w:tc>
      </w:tr>
      <w:tr w:rsidR="000D08BC" w:rsidRPr="004E74A6" w14:paraId="519EBB76" w14:textId="7DF19309" w:rsidTr="000D08BC">
        <w:trPr>
          <w:trHeight w:val="288"/>
          <w:jc w:val="center"/>
        </w:trPr>
        <w:tc>
          <w:tcPr>
            <w:tcW w:w="2731" w:type="dxa"/>
            <w:tcBorders>
              <w:left w:val="nil"/>
              <w:bottom w:val="nil"/>
              <w:right w:val="single" w:sz="4" w:space="0" w:color="000000" w:themeColor="text1"/>
            </w:tcBorders>
            <w:shd w:val="clear" w:color="auto" w:fill="auto"/>
            <w:noWrap/>
            <w:vAlign w:val="center"/>
          </w:tcPr>
          <w:p w14:paraId="58441DDD" w14:textId="77777777" w:rsidR="000D08BC" w:rsidRPr="004E74A6" w:rsidRDefault="000D08BC" w:rsidP="00832773">
            <w:pPr>
              <w:spacing w:line="276" w:lineRule="auto"/>
              <w:jc w:val="left"/>
              <w:rPr>
                <w:rFonts w:cs="Calibri"/>
                <w:color w:val="000000"/>
                <w:sz w:val="20"/>
                <w:lang w:eastAsia="es-CR"/>
              </w:rPr>
            </w:pPr>
          </w:p>
        </w:tc>
        <w:tc>
          <w:tcPr>
            <w:tcW w:w="1173" w:type="dxa"/>
            <w:tcBorders>
              <w:left w:val="single" w:sz="4" w:space="0" w:color="000000" w:themeColor="text1"/>
              <w:bottom w:val="nil"/>
              <w:right w:val="single" w:sz="4" w:space="0" w:color="000000" w:themeColor="text1"/>
            </w:tcBorders>
            <w:shd w:val="clear" w:color="auto" w:fill="auto"/>
            <w:noWrap/>
            <w:vAlign w:val="center"/>
          </w:tcPr>
          <w:p w14:paraId="483A96C7" w14:textId="77777777" w:rsidR="000D08BC" w:rsidRPr="004E74A6" w:rsidRDefault="000D08BC" w:rsidP="00832773">
            <w:pPr>
              <w:spacing w:line="276" w:lineRule="auto"/>
              <w:jc w:val="center"/>
              <w:rPr>
                <w:rFonts w:cs="Calibri"/>
                <w:color w:val="000000"/>
                <w:sz w:val="20"/>
                <w:lang w:eastAsia="es-CR"/>
              </w:rPr>
            </w:pPr>
          </w:p>
        </w:tc>
        <w:tc>
          <w:tcPr>
            <w:tcW w:w="1173" w:type="dxa"/>
            <w:tcBorders>
              <w:left w:val="single" w:sz="4" w:space="0" w:color="000000" w:themeColor="text1"/>
              <w:bottom w:val="nil"/>
              <w:right w:val="single" w:sz="4" w:space="0" w:color="000000" w:themeColor="text1"/>
            </w:tcBorders>
            <w:shd w:val="clear" w:color="auto" w:fill="auto"/>
            <w:noWrap/>
            <w:vAlign w:val="center"/>
          </w:tcPr>
          <w:p w14:paraId="0AB734ED" w14:textId="77777777" w:rsidR="000D08BC" w:rsidRPr="004E74A6" w:rsidRDefault="000D08BC" w:rsidP="00832773">
            <w:pPr>
              <w:spacing w:line="276" w:lineRule="auto"/>
              <w:jc w:val="center"/>
              <w:rPr>
                <w:rFonts w:cs="Calibri"/>
                <w:color w:val="000000"/>
                <w:sz w:val="20"/>
                <w:lang w:eastAsia="es-CR"/>
              </w:rPr>
            </w:pPr>
          </w:p>
        </w:tc>
        <w:tc>
          <w:tcPr>
            <w:tcW w:w="1173" w:type="dxa"/>
            <w:tcBorders>
              <w:left w:val="single" w:sz="4" w:space="0" w:color="000000" w:themeColor="text1"/>
              <w:bottom w:val="nil"/>
              <w:right w:val="single" w:sz="4" w:space="0" w:color="000000" w:themeColor="text1"/>
            </w:tcBorders>
            <w:shd w:val="clear" w:color="auto" w:fill="auto"/>
            <w:noWrap/>
            <w:vAlign w:val="center"/>
          </w:tcPr>
          <w:p w14:paraId="31761967" w14:textId="77777777" w:rsidR="000D08BC" w:rsidRPr="004E74A6" w:rsidRDefault="000D08BC" w:rsidP="00832773">
            <w:pPr>
              <w:spacing w:line="276" w:lineRule="auto"/>
              <w:jc w:val="center"/>
              <w:rPr>
                <w:rFonts w:cs="Calibri"/>
                <w:color w:val="000000"/>
                <w:sz w:val="20"/>
                <w:lang w:eastAsia="es-CR"/>
              </w:rPr>
            </w:pPr>
          </w:p>
        </w:tc>
        <w:tc>
          <w:tcPr>
            <w:tcW w:w="1173" w:type="dxa"/>
            <w:tcBorders>
              <w:left w:val="single" w:sz="4" w:space="0" w:color="000000" w:themeColor="text1"/>
              <w:bottom w:val="nil"/>
              <w:right w:val="nil"/>
            </w:tcBorders>
            <w:shd w:val="clear" w:color="auto" w:fill="auto"/>
            <w:noWrap/>
            <w:vAlign w:val="center"/>
          </w:tcPr>
          <w:p w14:paraId="1AB94BD4" w14:textId="77777777" w:rsidR="000D08BC" w:rsidRPr="004E74A6" w:rsidRDefault="000D08BC" w:rsidP="00832773">
            <w:pPr>
              <w:spacing w:line="276" w:lineRule="auto"/>
              <w:jc w:val="center"/>
              <w:rPr>
                <w:rFonts w:cs="Calibri"/>
                <w:color w:val="000000"/>
                <w:sz w:val="20"/>
                <w:lang w:eastAsia="es-CR"/>
              </w:rPr>
            </w:pPr>
          </w:p>
        </w:tc>
        <w:tc>
          <w:tcPr>
            <w:tcW w:w="1508" w:type="dxa"/>
            <w:tcBorders>
              <w:left w:val="single" w:sz="4" w:space="0" w:color="000000" w:themeColor="text1"/>
              <w:bottom w:val="nil"/>
              <w:right w:val="nil"/>
            </w:tcBorders>
          </w:tcPr>
          <w:p w14:paraId="37A2C711" w14:textId="77777777" w:rsidR="000D08BC" w:rsidRPr="004E74A6" w:rsidRDefault="000D08BC" w:rsidP="00832773">
            <w:pPr>
              <w:spacing w:line="276" w:lineRule="auto"/>
              <w:jc w:val="center"/>
              <w:rPr>
                <w:rFonts w:cs="Calibri"/>
                <w:color w:val="000000"/>
                <w:sz w:val="20"/>
                <w:lang w:eastAsia="es-CR"/>
              </w:rPr>
            </w:pPr>
          </w:p>
        </w:tc>
      </w:tr>
      <w:tr w:rsidR="000D08BC" w:rsidRPr="004E74A6" w14:paraId="1427FB81" w14:textId="7ABBA852" w:rsidTr="000D08BC">
        <w:trPr>
          <w:trHeight w:val="288"/>
          <w:jc w:val="center"/>
        </w:trPr>
        <w:tc>
          <w:tcPr>
            <w:tcW w:w="2731" w:type="dxa"/>
            <w:tcBorders>
              <w:left w:val="nil"/>
              <w:bottom w:val="nil"/>
              <w:right w:val="single" w:sz="4" w:space="0" w:color="000000" w:themeColor="text1"/>
            </w:tcBorders>
            <w:shd w:val="clear" w:color="auto" w:fill="auto"/>
            <w:noWrap/>
            <w:vAlign w:val="center"/>
            <w:hideMark/>
          </w:tcPr>
          <w:p w14:paraId="69205305" w14:textId="77777777" w:rsidR="000D08BC" w:rsidRPr="004E74A6" w:rsidRDefault="000D08BC" w:rsidP="00832773">
            <w:pPr>
              <w:spacing w:line="276" w:lineRule="auto"/>
              <w:jc w:val="left"/>
              <w:rPr>
                <w:rFonts w:cs="Calibri"/>
                <w:b/>
                <w:bCs/>
                <w:color w:val="000000"/>
                <w:sz w:val="20"/>
                <w:lang w:eastAsia="es-CR"/>
              </w:rPr>
            </w:pPr>
            <w:r w:rsidRPr="004E74A6">
              <w:rPr>
                <w:rFonts w:cs="Calibri"/>
                <w:b/>
                <w:bCs/>
                <w:color w:val="000000"/>
                <w:sz w:val="20"/>
                <w:lang w:eastAsia="es-CR"/>
              </w:rPr>
              <w:t>Agrario</w:t>
            </w:r>
          </w:p>
        </w:tc>
        <w:tc>
          <w:tcPr>
            <w:tcW w:w="1173" w:type="dxa"/>
            <w:tcBorders>
              <w:left w:val="single" w:sz="4" w:space="0" w:color="000000" w:themeColor="text1"/>
              <w:bottom w:val="nil"/>
              <w:right w:val="single" w:sz="4" w:space="0" w:color="000000" w:themeColor="text1"/>
            </w:tcBorders>
            <w:shd w:val="clear" w:color="auto" w:fill="auto"/>
            <w:noWrap/>
            <w:vAlign w:val="center"/>
            <w:hideMark/>
          </w:tcPr>
          <w:p w14:paraId="181DC9B9" w14:textId="77777777" w:rsidR="000D08BC" w:rsidRPr="004E74A6" w:rsidRDefault="000D08BC" w:rsidP="00832773">
            <w:pPr>
              <w:spacing w:line="276" w:lineRule="auto"/>
              <w:jc w:val="center"/>
              <w:rPr>
                <w:rFonts w:cs="Calibri"/>
                <w:b/>
                <w:bCs/>
                <w:color w:val="000000"/>
                <w:sz w:val="20"/>
                <w:lang w:eastAsia="es-CR"/>
              </w:rPr>
            </w:pPr>
            <w:r w:rsidRPr="004E74A6">
              <w:rPr>
                <w:rFonts w:cs="Calibri"/>
                <w:b/>
                <w:bCs/>
                <w:color w:val="000000"/>
                <w:sz w:val="20"/>
                <w:lang w:eastAsia="es-CR"/>
              </w:rPr>
              <w:t>71</w:t>
            </w:r>
          </w:p>
        </w:tc>
        <w:tc>
          <w:tcPr>
            <w:tcW w:w="1173" w:type="dxa"/>
            <w:tcBorders>
              <w:left w:val="single" w:sz="4" w:space="0" w:color="000000" w:themeColor="text1"/>
              <w:bottom w:val="nil"/>
              <w:right w:val="single" w:sz="4" w:space="0" w:color="000000" w:themeColor="text1"/>
            </w:tcBorders>
            <w:shd w:val="clear" w:color="auto" w:fill="auto"/>
            <w:noWrap/>
            <w:vAlign w:val="center"/>
            <w:hideMark/>
          </w:tcPr>
          <w:p w14:paraId="49D08F0E" w14:textId="77777777" w:rsidR="000D08BC" w:rsidRPr="004E74A6" w:rsidRDefault="000D08BC" w:rsidP="00832773">
            <w:pPr>
              <w:spacing w:line="276" w:lineRule="auto"/>
              <w:jc w:val="center"/>
              <w:rPr>
                <w:rFonts w:cs="Calibri"/>
                <w:b/>
                <w:bCs/>
                <w:color w:val="000000"/>
                <w:sz w:val="20"/>
                <w:lang w:eastAsia="es-CR"/>
              </w:rPr>
            </w:pPr>
            <w:r w:rsidRPr="004E74A6">
              <w:rPr>
                <w:rFonts w:cs="Calibri"/>
                <w:b/>
                <w:bCs/>
                <w:color w:val="000000"/>
                <w:sz w:val="20"/>
                <w:lang w:eastAsia="es-CR"/>
              </w:rPr>
              <w:t>73</w:t>
            </w:r>
          </w:p>
        </w:tc>
        <w:tc>
          <w:tcPr>
            <w:tcW w:w="1173" w:type="dxa"/>
            <w:tcBorders>
              <w:left w:val="single" w:sz="4" w:space="0" w:color="000000" w:themeColor="text1"/>
              <w:bottom w:val="nil"/>
              <w:right w:val="single" w:sz="4" w:space="0" w:color="000000" w:themeColor="text1"/>
            </w:tcBorders>
            <w:shd w:val="clear" w:color="auto" w:fill="auto"/>
            <w:noWrap/>
            <w:vAlign w:val="center"/>
            <w:hideMark/>
          </w:tcPr>
          <w:p w14:paraId="610CE58C" w14:textId="77777777" w:rsidR="000D08BC" w:rsidRPr="004E74A6" w:rsidRDefault="000D08BC" w:rsidP="00832773">
            <w:pPr>
              <w:spacing w:line="276" w:lineRule="auto"/>
              <w:jc w:val="center"/>
              <w:rPr>
                <w:rFonts w:cs="Calibri"/>
                <w:b/>
                <w:bCs/>
                <w:color w:val="000000"/>
                <w:sz w:val="20"/>
                <w:lang w:eastAsia="es-CR"/>
              </w:rPr>
            </w:pPr>
            <w:r w:rsidRPr="004E74A6">
              <w:rPr>
                <w:rFonts w:cs="Calibri"/>
                <w:b/>
                <w:bCs/>
                <w:color w:val="000000"/>
                <w:sz w:val="20"/>
                <w:lang w:eastAsia="es-CR"/>
              </w:rPr>
              <w:t>49</w:t>
            </w:r>
          </w:p>
        </w:tc>
        <w:tc>
          <w:tcPr>
            <w:tcW w:w="1173" w:type="dxa"/>
            <w:tcBorders>
              <w:left w:val="single" w:sz="4" w:space="0" w:color="000000" w:themeColor="text1"/>
              <w:bottom w:val="nil"/>
              <w:right w:val="nil"/>
            </w:tcBorders>
            <w:shd w:val="clear" w:color="auto" w:fill="auto"/>
            <w:noWrap/>
            <w:vAlign w:val="center"/>
            <w:hideMark/>
          </w:tcPr>
          <w:p w14:paraId="46CF276B" w14:textId="77777777" w:rsidR="000D08BC" w:rsidRPr="004E74A6" w:rsidRDefault="000D08BC" w:rsidP="00832773">
            <w:pPr>
              <w:spacing w:line="276" w:lineRule="auto"/>
              <w:jc w:val="center"/>
              <w:rPr>
                <w:rFonts w:cs="Calibri"/>
                <w:b/>
                <w:bCs/>
                <w:color w:val="000000"/>
                <w:sz w:val="20"/>
                <w:lang w:eastAsia="es-CR"/>
              </w:rPr>
            </w:pPr>
            <w:r w:rsidRPr="004E74A6">
              <w:rPr>
                <w:rFonts w:cs="Calibri"/>
                <w:b/>
                <w:bCs/>
                <w:color w:val="000000"/>
                <w:sz w:val="20"/>
                <w:lang w:eastAsia="es-CR"/>
              </w:rPr>
              <w:t>64,3</w:t>
            </w:r>
          </w:p>
        </w:tc>
        <w:tc>
          <w:tcPr>
            <w:tcW w:w="1508" w:type="dxa"/>
            <w:tcBorders>
              <w:left w:val="single" w:sz="4" w:space="0" w:color="000000" w:themeColor="text1"/>
              <w:bottom w:val="nil"/>
              <w:right w:val="nil"/>
            </w:tcBorders>
          </w:tcPr>
          <w:p w14:paraId="0C354721" w14:textId="4E308B84" w:rsidR="000D08BC" w:rsidRPr="004E74A6" w:rsidRDefault="00DB442A" w:rsidP="00832773">
            <w:pPr>
              <w:spacing w:line="276" w:lineRule="auto"/>
              <w:jc w:val="center"/>
              <w:rPr>
                <w:rFonts w:cs="Calibri"/>
                <w:b/>
                <w:bCs/>
                <w:color w:val="000000"/>
                <w:sz w:val="20"/>
                <w:lang w:eastAsia="es-CR"/>
              </w:rPr>
            </w:pPr>
            <w:r w:rsidRPr="004E74A6">
              <w:rPr>
                <w:rFonts w:cs="Calibri"/>
                <w:b/>
                <w:bCs/>
                <w:color w:val="000000"/>
                <w:sz w:val="20"/>
                <w:lang w:eastAsia="es-CR"/>
              </w:rPr>
              <w:t>6%</w:t>
            </w:r>
          </w:p>
        </w:tc>
      </w:tr>
      <w:tr w:rsidR="000D08BC" w:rsidRPr="004E74A6" w14:paraId="01BBD97D" w14:textId="72F681D8" w:rsidTr="000D08BC">
        <w:trPr>
          <w:trHeight w:val="288"/>
          <w:jc w:val="center"/>
        </w:trPr>
        <w:tc>
          <w:tcPr>
            <w:tcW w:w="2731" w:type="dxa"/>
            <w:tcBorders>
              <w:top w:val="nil"/>
              <w:left w:val="nil"/>
              <w:bottom w:val="nil"/>
              <w:right w:val="single" w:sz="4" w:space="0" w:color="000000" w:themeColor="text1"/>
            </w:tcBorders>
            <w:shd w:val="clear" w:color="auto" w:fill="F2F2F2" w:themeFill="background1" w:themeFillShade="F2"/>
            <w:noWrap/>
            <w:vAlign w:val="center"/>
            <w:hideMark/>
          </w:tcPr>
          <w:p w14:paraId="5CE85037" w14:textId="77777777" w:rsidR="000D08BC" w:rsidRPr="004E74A6" w:rsidRDefault="000D08BC" w:rsidP="00832773">
            <w:pPr>
              <w:spacing w:line="276" w:lineRule="auto"/>
              <w:ind w:left="283"/>
              <w:jc w:val="left"/>
              <w:rPr>
                <w:rFonts w:cs="Calibri"/>
                <w:i/>
                <w:iCs/>
                <w:color w:val="000000"/>
                <w:sz w:val="18"/>
                <w:szCs w:val="18"/>
                <w:lang w:eastAsia="es-CR"/>
              </w:rPr>
            </w:pPr>
            <w:r w:rsidRPr="004E74A6">
              <w:rPr>
                <w:rFonts w:cs="Calibri"/>
                <w:i/>
                <w:iCs/>
                <w:color w:val="000000"/>
                <w:sz w:val="18"/>
                <w:szCs w:val="18"/>
                <w:lang w:eastAsia="es-CR"/>
              </w:rPr>
              <w:t>Estimable</w:t>
            </w:r>
          </w:p>
        </w:tc>
        <w:tc>
          <w:tcPr>
            <w:tcW w:w="1173" w:type="dxa"/>
            <w:tcBorders>
              <w:top w:val="nil"/>
              <w:left w:val="single" w:sz="4" w:space="0" w:color="000000" w:themeColor="text1"/>
              <w:bottom w:val="nil"/>
              <w:right w:val="single" w:sz="4" w:space="0" w:color="000000" w:themeColor="text1"/>
            </w:tcBorders>
            <w:shd w:val="clear" w:color="auto" w:fill="F2F2F2" w:themeFill="background1" w:themeFillShade="F2"/>
            <w:noWrap/>
            <w:vAlign w:val="center"/>
            <w:hideMark/>
          </w:tcPr>
          <w:p w14:paraId="575A2B57" w14:textId="77777777" w:rsidR="000D08BC" w:rsidRPr="004E74A6" w:rsidRDefault="000D08BC" w:rsidP="00832773">
            <w:pPr>
              <w:spacing w:line="276" w:lineRule="auto"/>
              <w:jc w:val="center"/>
              <w:rPr>
                <w:rFonts w:cs="Calibri"/>
                <w:i/>
                <w:iCs/>
                <w:color w:val="000000"/>
                <w:sz w:val="18"/>
                <w:szCs w:val="18"/>
                <w:lang w:eastAsia="es-CR"/>
              </w:rPr>
            </w:pPr>
            <w:r w:rsidRPr="004E74A6">
              <w:rPr>
                <w:rFonts w:cs="Calibri"/>
                <w:i/>
                <w:iCs/>
                <w:color w:val="000000"/>
                <w:sz w:val="18"/>
                <w:szCs w:val="18"/>
                <w:lang w:eastAsia="es-CR"/>
              </w:rPr>
              <w:t>38</w:t>
            </w:r>
          </w:p>
        </w:tc>
        <w:tc>
          <w:tcPr>
            <w:tcW w:w="1173" w:type="dxa"/>
            <w:tcBorders>
              <w:top w:val="nil"/>
              <w:left w:val="single" w:sz="4" w:space="0" w:color="000000" w:themeColor="text1"/>
              <w:bottom w:val="nil"/>
              <w:right w:val="single" w:sz="4" w:space="0" w:color="000000" w:themeColor="text1"/>
            </w:tcBorders>
            <w:shd w:val="clear" w:color="auto" w:fill="F2F2F2" w:themeFill="background1" w:themeFillShade="F2"/>
            <w:noWrap/>
            <w:vAlign w:val="center"/>
            <w:hideMark/>
          </w:tcPr>
          <w:p w14:paraId="393D8EE2" w14:textId="77777777" w:rsidR="000D08BC" w:rsidRPr="004E74A6" w:rsidRDefault="000D08BC" w:rsidP="00832773">
            <w:pPr>
              <w:spacing w:line="276" w:lineRule="auto"/>
              <w:jc w:val="center"/>
              <w:rPr>
                <w:rFonts w:cs="Calibri"/>
                <w:i/>
                <w:iCs/>
                <w:color w:val="000000"/>
                <w:sz w:val="18"/>
                <w:szCs w:val="18"/>
                <w:lang w:eastAsia="es-CR"/>
              </w:rPr>
            </w:pPr>
            <w:r w:rsidRPr="004E74A6">
              <w:rPr>
                <w:rFonts w:cs="Calibri"/>
                <w:i/>
                <w:iCs/>
                <w:color w:val="000000"/>
                <w:sz w:val="18"/>
                <w:szCs w:val="18"/>
                <w:lang w:eastAsia="es-CR"/>
              </w:rPr>
              <w:t>58</w:t>
            </w:r>
          </w:p>
        </w:tc>
        <w:tc>
          <w:tcPr>
            <w:tcW w:w="1173" w:type="dxa"/>
            <w:tcBorders>
              <w:top w:val="nil"/>
              <w:left w:val="single" w:sz="4" w:space="0" w:color="000000" w:themeColor="text1"/>
              <w:bottom w:val="nil"/>
              <w:right w:val="single" w:sz="4" w:space="0" w:color="000000" w:themeColor="text1"/>
            </w:tcBorders>
            <w:shd w:val="clear" w:color="auto" w:fill="F2F2F2" w:themeFill="background1" w:themeFillShade="F2"/>
            <w:noWrap/>
            <w:vAlign w:val="center"/>
            <w:hideMark/>
          </w:tcPr>
          <w:p w14:paraId="099F4B9F" w14:textId="77777777" w:rsidR="000D08BC" w:rsidRPr="004E74A6" w:rsidRDefault="000D08BC" w:rsidP="00832773">
            <w:pPr>
              <w:spacing w:line="276" w:lineRule="auto"/>
              <w:jc w:val="center"/>
              <w:rPr>
                <w:rFonts w:cs="Calibri"/>
                <w:i/>
                <w:iCs/>
                <w:color w:val="000000"/>
                <w:sz w:val="18"/>
                <w:szCs w:val="18"/>
                <w:lang w:eastAsia="es-CR"/>
              </w:rPr>
            </w:pPr>
            <w:r w:rsidRPr="004E74A6">
              <w:rPr>
                <w:rFonts w:cs="Calibri"/>
                <w:i/>
                <w:iCs/>
                <w:color w:val="000000"/>
                <w:sz w:val="18"/>
                <w:szCs w:val="18"/>
                <w:lang w:eastAsia="es-CR"/>
              </w:rPr>
              <w:t>35</w:t>
            </w:r>
          </w:p>
        </w:tc>
        <w:tc>
          <w:tcPr>
            <w:tcW w:w="1173" w:type="dxa"/>
            <w:tcBorders>
              <w:top w:val="nil"/>
              <w:left w:val="single" w:sz="4" w:space="0" w:color="000000" w:themeColor="text1"/>
              <w:bottom w:val="nil"/>
              <w:right w:val="nil"/>
            </w:tcBorders>
            <w:shd w:val="clear" w:color="auto" w:fill="F2F2F2" w:themeFill="background1" w:themeFillShade="F2"/>
            <w:noWrap/>
            <w:vAlign w:val="center"/>
            <w:hideMark/>
          </w:tcPr>
          <w:p w14:paraId="3F24CC3B" w14:textId="77777777" w:rsidR="000D08BC" w:rsidRPr="004E74A6" w:rsidRDefault="000D08BC" w:rsidP="00832773">
            <w:pPr>
              <w:spacing w:line="276" w:lineRule="auto"/>
              <w:jc w:val="center"/>
              <w:rPr>
                <w:rFonts w:cs="Calibri"/>
                <w:i/>
                <w:iCs/>
                <w:color w:val="000000"/>
                <w:sz w:val="18"/>
                <w:szCs w:val="18"/>
                <w:lang w:eastAsia="es-CR"/>
              </w:rPr>
            </w:pPr>
            <w:r w:rsidRPr="004E74A6">
              <w:rPr>
                <w:rFonts w:cs="Calibri"/>
                <w:i/>
                <w:iCs/>
                <w:color w:val="000000"/>
                <w:sz w:val="18"/>
                <w:szCs w:val="18"/>
                <w:lang w:eastAsia="es-CR"/>
              </w:rPr>
              <w:t>43,7</w:t>
            </w:r>
          </w:p>
        </w:tc>
        <w:tc>
          <w:tcPr>
            <w:tcW w:w="1508" w:type="dxa"/>
            <w:tcBorders>
              <w:top w:val="nil"/>
              <w:left w:val="single" w:sz="4" w:space="0" w:color="000000" w:themeColor="text1"/>
              <w:bottom w:val="nil"/>
              <w:right w:val="nil"/>
            </w:tcBorders>
            <w:shd w:val="clear" w:color="auto" w:fill="F2F2F2" w:themeFill="background1" w:themeFillShade="F2"/>
          </w:tcPr>
          <w:p w14:paraId="75E038E5" w14:textId="77777777" w:rsidR="000D08BC" w:rsidRPr="004E74A6" w:rsidRDefault="000D08BC" w:rsidP="00832773">
            <w:pPr>
              <w:spacing w:line="276" w:lineRule="auto"/>
              <w:jc w:val="center"/>
              <w:rPr>
                <w:rFonts w:cs="Calibri"/>
                <w:i/>
                <w:iCs/>
                <w:color w:val="000000"/>
                <w:sz w:val="18"/>
                <w:szCs w:val="18"/>
                <w:lang w:eastAsia="es-CR"/>
              </w:rPr>
            </w:pPr>
          </w:p>
        </w:tc>
      </w:tr>
      <w:tr w:rsidR="000D08BC" w:rsidRPr="004E74A6" w14:paraId="2E0B7B82" w14:textId="35F3AC18" w:rsidTr="000D08BC">
        <w:trPr>
          <w:trHeight w:val="288"/>
          <w:jc w:val="center"/>
        </w:trPr>
        <w:tc>
          <w:tcPr>
            <w:tcW w:w="2731" w:type="dxa"/>
            <w:tcBorders>
              <w:top w:val="nil"/>
              <w:left w:val="nil"/>
              <w:bottom w:val="nil"/>
              <w:right w:val="single" w:sz="4" w:space="0" w:color="000000" w:themeColor="text1"/>
            </w:tcBorders>
            <w:shd w:val="clear" w:color="auto" w:fill="F2F2F2" w:themeFill="background1" w:themeFillShade="F2"/>
            <w:noWrap/>
            <w:vAlign w:val="center"/>
            <w:hideMark/>
          </w:tcPr>
          <w:p w14:paraId="1E935306" w14:textId="77777777" w:rsidR="000D08BC" w:rsidRPr="004E74A6" w:rsidRDefault="000D08BC" w:rsidP="00832773">
            <w:pPr>
              <w:spacing w:line="276" w:lineRule="auto"/>
              <w:ind w:left="283"/>
              <w:jc w:val="left"/>
              <w:rPr>
                <w:rFonts w:cs="Calibri"/>
                <w:i/>
                <w:iCs/>
                <w:color w:val="000000"/>
                <w:sz w:val="18"/>
                <w:szCs w:val="18"/>
                <w:lang w:eastAsia="es-CR"/>
              </w:rPr>
            </w:pPr>
            <w:r w:rsidRPr="004E74A6">
              <w:rPr>
                <w:rFonts w:cs="Calibri"/>
                <w:i/>
                <w:iCs/>
                <w:color w:val="000000"/>
                <w:sz w:val="18"/>
                <w:szCs w:val="18"/>
                <w:lang w:eastAsia="es-CR"/>
              </w:rPr>
              <w:t>Inestimable</w:t>
            </w:r>
          </w:p>
        </w:tc>
        <w:tc>
          <w:tcPr>
            <w:tcW w:w="1173" w:type="dxa"/>
            <w:tcBorders>
              <w:top w:val="nil"/>
              <w:left w:val="single" w:sz="4" w:space="0" w:color="000000" w:themeColor="text1"/>
              <w:bottom w:val="nil"/>
              <w:right w:val="single" w:sz="4" w:space="0" w:color="000000" w:themeColor="text1"/>
            </w:tcBorders>
            <w:shd w:val="clear" w:color="auto" w:fill="F2F2F2" w:themeFill="background1" w:themeFillShade="F2"/>
            <w:noWrap/>
            <w:vAlign w:val="center"/>
            <w:hideMark/>
          </w:tcPr>
          <w:p w14:paraId="14E4D305" w14:textId="77777777" w:rsidR="000D08BC" w:rsidRPr="004E74A6" w:rsidRDefault="000D08BC" w:rsidP="00832773">
            <w:pPr>
              <w:spacing w:line="276" w:lineRule="auto"/>
              <w:jc w:val="center"/>
              <w:rPr>
                <w:rFonts w:cs="Calibri"/>
                <w:i/>
                <w:iCs/>
                <w:color w:val="000000"/>
                <w:sz w:val="18"/>
                <w:szCs w:val="18"/>
                <w:lang w:eastAsia="es-CR"/>
              </w:rPr>
            </w:pPr>
            <w:r w:rsidRPr="004E74A6">
              <w:rPr>
                <w:rFonts w:cs="Calibri"/>
                <w:i/>
                <w:iCs/>
                <w:color w:val="000000"/>
                <w:sz w:val="18"/>
                <w:szCs w:val="18"/>
                <w:lang w:eastAsia="es-CR"/>
              </w:rPr>
              <w:t>9</w:t>
            </w:r>
          </w:p>
        </w:tc>
        <w:tc>
          <w:tcPr>
            <w:tcW w:w="1173" w:type="dxa"/>
            <w:tcBorders>
              <w:top w:val="nil"/>
              <w:left w:val="single" w:sz="4" w:space="0" w:color="000000" w:themeColor="text1"/>
              <w:bottom w:val="nil"/>
              <w:right w:val="single" w:sz="4" w:space="0" w:color="000000" w:themeColor="text1"/>
            </w:tcBorders>
            <w:shd w:val="clear" w:color="auto" w:fill="F2F2F2" w:themeFill="background1" w:themeFillShade="F2"/>
            <w:noWrap/>
            <w:vAlign w:val="center"/>
            <w:hideMark/>
          </w:tcPr>
          <w:p w14:paraId="29801606" w14:textId="77777777" w:rsidR="000D08BC" w:rsidRPr="004E74A6" w:rsidRDefault="000D08BC" w:rsidP="00832773">
            <w:pPr>
              <w:spacing w:line="276" w:lineRule="auto"/>
              <w:jc w:val="center"/>
              <w:rPr>
                <w:rFonts w:cs="Calibri"/>
                <w:i/>
                <w:iCs/>
                <w:color w:val="000000"/>
                <w:sz w:val="18"/>
                <w:szCs w:val="18"/>
                <w:lang w:eastAsia="es-CR"/>
              </w:rPr>
            </w:pPr>
            <w:r w:rsidRPr="004E74A6">
              <w:rPr>
                <w:rFonts w:cs="Calibri"/>
                <w:i/>
                <w:iCs/>
                <w:color w:val="000000"/>
                <w:sz w:val="18"/>
                <w:szCs w:val="18"/>
                <w:lang w:eastAsia="es-CR"/>
              </w:rPr>
              <w:t>11</w:t>
            </w:r>
          </w:p>
        </w:tc>
        <w:tc>
          <w:tcPr>
            <w:tcW w:w="1173" w:type="dxa"/>
            <w:tcBorders>
              <w:top w:val="nil"/>
              <w:left w:val="single" w:sz="4" w:space="0" w:color="000000" w:themeColor="text1"/>
              <w:bottom w:val="nil"/>
              <w:right w:val="single" w:sz="4" w:space="0" w:color="000000" w:themeColor="text1"/>
            </w:tcBorders>
            <w:shd w:val="clear" w:color="auto" w:fill="F2F2F2" w:themeFill="background1" w:themeFillShade="F2"/>
            <w:noWrap/>
            <w:vAlign w:val="center"/>
            <w:hideMark/>
          </w:tcPr>
          <w:p w14:paraId="31D9A84A" w14:textId="77777777" w:rsidR="000D08BC" w:rsidRPr="004E74A6" w:rsidRDefault="000D08BC" w:rsidP="00832773">
            <w:pPr>
              <w:spacing w:line="276" w:lineRule="auto"/>
              <w:jc w:val="center"/>
              <w:rPr>
                <w:rFonts w:cs="Calibri"/>
                <w:i/>
                <w:iCs/>
                <w:color w:val="000000"/>
                <w:sz w:val="18"/>
                <w:szCs w:val="18"/>
                <w:lang w:eastAsia="es-CR"/>
              </w:rPr>
            </w:pPr>
            <w:r w:rsidRPr="004E74A6">
              <w:rPr>
                <w:rFonts w:cs="Calibri"/>
                <w:i/>
                <w:iCs/>
                <w:color w:val="000000"/>
                <w:sz w:val="18"/>
                <w:szCs w:val="18"/>
                <w:lang w:eastAsia="es-CR"/>
              </w:rPr>
              <w:t>5</w:t>
            </w:r>
          </w:p>
        </w:tc>
        <w:tc>
          <w:tcPr>
            <w:tcW w:w="1173" w:type="dxa"/>
            <w:tcBorders>
              <w:top w:val="nil"/>
              <w:left w:val="single" w:sz="4" w:space="0" w:color="000000" w:themeColor="text1"/>
              <w:bottom w:val="nil"/>
              <w:right w:val="nil"/>
            </w:tcBorders>
            <w:shd w:val="clear" w:color="auto" w:fill="F2F2F2" w:themeFill="background1" w:themeFillShade="F2"/>
            <w:noWrap/>
            <w:vAlign w:val="center"/>
            <w:hideMark/>
          </w:tcPr>
          <w:p w14:paraId="0619FCFF" w14:textId="77777777" w:rsidR="000D08BC" w:rsidRPr="004E74A6" w:rsidRDefault="000D08BC" w:rsidP="00832773">
            <w:pPr>
              <w:spacing w:line="276" w:lineRule="auto"/>
              <w:jc w:val="center"/>
              <w:rPr>
                <w:rFonts w:cs="Calibri"/>
                <w:i/>
                <w:iCs/>
                <w:color w:val="000000"/>
                <w:sz w:val="18"/>
                <w:szCs w:val="18"/>
                <w:lang w:eastAsia="es-CR"/>
              </w:rPr>
            </w:pPr>
            <w:r w:rsidRPr="004E74A6">
              <w:rPr>
                <w:rFonts w:cs="Calibri"/>
                <w:i/>
                <w:iCs/>
                <w:color w:val="000000"/>
                <w:sz w:val="18"/>
                <w:szCs w:val="18"/>
                <w:lang w:eastAsia="es-CR"/>
              </w:rPr>
              <w:t>8,3</w:t>
            </w:r>
          </w:p>
        </w:tc>
        <w:tc>
          <w:tcPr>
            <w:tcW w:w="1508" w:type="dxa"/>
            <w:tcBorders>
              <w:top w:val="nil"/>
              <w:left w:val="single" w:sz="4" w:space="0" w:color="000000" w:themeColor="text1"/>
              <w:bottom w:val="nil"/>
              <w:right w:val="nil"/>
            </w:tcBorders>
            <w:shd w:val="clear" w:color="auto" w:fill="F2F2F2" w:themeFill="background1" w:themeFillShade="F2"/>
          </w:tcPr>
          <w:p w14:paraId="601DD4C8" w14:textId="77777777" w:rsidR="000D08BC" w:rsidRPr="004E74A6" w:rsidRDefault="000D08BC" w:rsidP="00832773">
            <w:pPr>
              <w:spacing w:line="276" w:lineRule="auto"/>
              <w:jc w:val="center"/>
              <w:rPr>
                <w:rFonts w:cs="Calibri"/>
                <w:i/>
                <w:iCs/>
                <w:color w:val="000000"/>
                <w:sz w:val="18"/>
                <w:szCs w:val="18"/>
                <w:lang w:eastAsia="es-CR"/>
              </w:rPr>
            </w:pPr>
          </w:p>
        </w:tc>
      </w:tr>
      <w:tr w:rsidR="000D08BC" w:rsidRPr="004E74A6" w14:paraId="11D02C34" w14:textId="7378E21B" w:rsidTr="000D08BC">
        <w:trPr>
          <w:trHeight w:val="288"/>
          <w:jc w:val="center"/>
        </w:trPr>
        <w:tc>
          <w:tcPr>
            <w:tcW w:w="2731" w:type="dxa"/>
            <w:tcBorders>
              <w:top w:val="nil"/>
              <w:left w:val="nil"/>
              <w:bottom w:val="nil"/>
              <w:right w:val="single" w:sz="4" w:space="0" w:color="000000" w:themeColor="text1"/>
            </w:tcBorders>
            <w:shd w:val="clear" w:color="auto" w:fill="F2F2F2" w:themeFill="background1" w:themeFillShade="F2"/>
            <w:noWrap/>
            <w:vAlign w:val="center"/>
            <w:hideMark/>
          </w:tcPr>
          <w:p w14:paraId="098DFEE6" w14:textId="77777777" w:rsidR="000D08BC" w:rsidRPr="004E74A6" w:rsidRDefault="000D08BC" w:rsidP="00832773">
            <w:pPr>
              <w:spacing w:line="276" w:lineRule="auto"/>
              <w:ind w:left="283"/>
              <w:jc w:val="left"/>
              <w:rPr>
                <w:rFonts w:cs="Calibri"/>
                <w:i/>
                <w:iCs/>
                <w:color w:val="000000"/>
                <w:sz w:val="18"/>
                <w:szCs w:val="18"/>
                <w:lang w:eastAsia="es-CR"/>
              </w:rPr>
            </w:pPr>
            <w:r w:rsidRPr="004E74A6">
              <w:rPr>
                <w:rFonts w:cs="Calibri"/>
                <w:i/>
                <w:iCs/>
                <w:color w:val="000000"/>
                <w:sz w:val="18"/>
                <w:szCs w:val="18"/>
                <w:lang w:eastAsia="es-CR"/>
              </w:rPr>
              <w:t>No aplica</w:t>
            </w:r>
          </w:p>
        </w:tc>
        <w:tc>
          <w:tcPr>
            <w:tcW w:w="1173" w:type="dxa"/>
            <w:tcBorders>
              <w:top w:val="nil"/>
              <w:left w:val="single" w:sz="4" w:space="0" w:color="000000" w:themeColor="text1"/>
              <w:bottom w:val="nil"/>
              <w:right w:val="single" w:sz="4" w:space="0" w:color="000000" w:themeColor="text1"/>
            </w:tcBorders>
            <w:shd w:val="clear" w:color="auto" w:fill="F2F2F2" w:themeFill="background1" w:themeFillShade="F2"/>
            <w:noWrap/>
            <w:vAlign w:val="center"/>
            <w:hideMark/>
          </w:tcPr>
          <w:p w14:paraId="27787AC6" w14:textId="77777777" w:rsidR="000D08BC" w:rsidRPr="004E74A6" w:rsidRDefault="000D08BC" w:rsidP="00832773">
            <w:pPr>
              <w:spacing w:line="276" w:lineRule="auto"/>
              <w:jc w:val="center"/>
              <w:rPr>
                <w:rFonts w:cs="Calibri"/>
                <w:i/>
                <w:iCs/>
                <w:color w:val="000000"/>
                <w:sz w:val="18"/>
                <w:szCs w:val="18"/>
                <w:lang w:eastAsia="es-CR"/>
              </w:rPr>
            </w:pPr>
            <w:r w:rsidRPr="004E74A6">
              <w:rPr>
                <w:rFonts w:cs="Calibri"/>
                <w:i/>
                <w:iCs/>
                <w:color w:val="000000"/>
                <w:sz w:val="18"/>
                <w:szCs w:val="18"/>
                <w:lang w:eastAsia="es-CR"/>
              </w:rPr>
              <w:t>6</w:t>
            </w:r>
          </w:p>
        </w:tc>
        <w:tc>
          <w:tcPr>
            <w:tcW w:w="1173" w:type="dxa"/>
            <w:tcBorders>
              <w:top w:val="nil"/>
              <w:left w:val="single" w:sz="4" w:space="0" w:color="000000" w:themeColor="text1"/>
              <w:bottom w:val="nil"/>
              <w:right w:val="single" w:sz="4" w:space="0" w:color="000000" w:themeColor="text1"/>
            </w:tcBorders>
            <w:shd w:val="clear" w:color="auto" w:fill="F2F2F2" w:themeFill="background1" w:themeFillShade="F2"/>
            <w:noWrap/>
            <w:vAlign w:val="center"/>
            <w:hideMark/>
          </w:tcPr>
          <w:p w14:paraId="540AC0C4" w14:textId="77777777" w:rsidR="000D08BC" w:rsidRPr="004E74A6" w:rsidRDefault="000D08BC" w:rsidP="00832773">
            <w:pPr>
              <w:spacing w:line="276" w:lineRule="auto"/>
              <w:jc w:val="center"/>
              <w:rPr>
                <w:rFonts w:cs="Calibri"/>
                <w:i/>
                <w:iCs/>
                <w:color w:val="000000"/>
                <w:sz w:val="18"/>
                <w:szCs w:val="18"/>
                <w:lang w:eastAsia="es-CR"/>
              </w:rPr>
            </w:pPr>
            <w:r w:rsidRPr="004E74A6">
              <w:rPr>
                <w:rFonts w:cs="Calibri"/>
                <w:i/>
                <w:iCs/>
                <w:color w:val="000000"/>
                <w:sz w:val="18"/>
                <w:szCs w:val="18"/>
                <w:lang w:eastAsia="es-CR"/>
              </w:rPr>
              <w:t>4</w:t>
            </w:r>
          </w:p>
        </w:tc>
        <w:tc>
          <w:tcPr>
            <w:tcW w:w="1173" w:type="dxa"/>
            <w:tcBorders>
              <w:top w:val="nil"/>
              <w:left w:val="single" w:sz="4" w:space="0" w:color="000000" w:themeColor="text1"/>
              <w:bottom w:val="nil"/>
              <w:right w:val="single" w:sz="4" w:space="0" w:color="000000" w:themeColor="text1"/>
            </w:tcBorders>
            <w:shd w:val="clear" w:color="auto" w:fill="F2F2F2" w:themeFill="background1" w:themeFillShade="F2"/>
            <w:noWrap/>
            <w:vAlign w:val="center"/>
            <w:hideMark/>
          </w:tcPr>
          <w:p w14:paraId="3B91F9F1" w14:textId="77777777" w:rsidR="000D08BC" w:rsidRPr="004E74A6" w:rsidRDefault="000D08BC" w:rsidP="00832773">
            <w:pPr>
              <w:spacing w:line="276" w:lineRule="auto"/>
              <w:jc w:val="center"/>
              <w:rPr>
                <w:rFonts w:cs="Calibri"/>
                <w:i/>
                <w:iCs/>
                <w:color w:val="000000"/>
                <w:sz w:val="18"/>
                <w:szCs w:val="18"/>
                <w:lang w:eastAsia="es-CR"/>
              </w:rPr>
            </w:pPr>
            <w:r w:rsidRPr="004E74A6">
              <w:rPr>
                <w:rFonts w:cs="Calibri"/>
                <w:i/>
                <w:iCs/>
                <w:color w:val="000000"/>
                <w:sz w:val="18"/>
                <w:szCs w:val="18"/>
                <w:lang w:eastAsia="es-CR"/>
              </w:rPr>
              <w:t>9</w:t>
            </w:r>
          </w:p>
        </w:tc>
        <w:tc>
          <w:tcPr>
            <w:tcW w:w="1173" w:type="dxa"/>
            <w:tcBorders>
              <w:top w:val="nil"/>
              <w:left w:val="single" w:sz="4" w:space="0" w:color="000000" w:themeColor="text1"/>
              <w:bottom w:val="nil"/>
              <w:right w:val="nil"/>
            </w:tcBorders>
            <w:shd w:val="clear" w:color="auto" w:fill="F2F2F2" w:themeFill="background1" w:themeFillShade="F2"/>
            <w:noWrap/>
            <w:vAlign w:val="center"/>
            <w:hideMark/>
          </w:tcPr>
          <w:p w14:paraId="6A2E6B1D" w14:textId="77777777" w:rsidR="000D08BC" w:rsidRPr="004E74A6" w:rsidRDefault="000D08BC" w:rsidP="00832773">
            <w:pPr>
              <w:spacing w:line="276" w:lineRule="auto"/>
              <w:jc w:val="center"/>
              <w:rPr>
                <w:rFonts w:cs="Calibri"/>
                <w:i/>
                <w:iCs/>
                <w:color w:val="000000"/>
                <w:sz w:val="18"/>
                <w:szCs w:val="18"/>
                <w:lang w:eastAsia="es-CR"/>
              </w:rPr>
            </w:pPr>
            <w:r w:rsidRPr="004E74A6">
              <w:rPr>
                <w:rFonts w:cs="Calibri"/>
                <w:i/>
                <w:iCs/>
                <w:color w:val="000000"/>
                <w:sz w:val="18"/>
                <w:szCs w:val="18"/>
                <w:lang w:eastAsia="es-CR"/>
              </w:rPr>
              <w:t>6,3</w:t>
            </w:r>
          </w:p>
        </w:tc>
        <w:tc>
          <w:tcPr>
            <w:tcW w:w="1508" w:type="dxa"/>
            <w:tcBorders>
              <w:top w:val="nil"/>
              <w:left w:val="single" w:sz="4" w:space="0" w:color="000000" w:themeColor="text1"/>
              <w:bottom w:val="nil"/>
              <w:right w:val="nil"/>
            </w:tcBorders>
            <w:shd w:val="clear" w:color="auto" w:fill="F2F2F2" w:themeFill="background1" w:themeFillShade="F2"/>
          </w:tcPr>
          <w:p w14:paraId="7F8723C2" w14:textId="77777777" w:rsidR="000D08BC" w:rsidRPr="004E74A6" w:rsidRDefault="000D08BC" w:rsidP="00832773">
            <w:pPr>
              <w:spacing w:line="276" w:lineRule="auto"/>
              <w:jc w:val="center"/>
              <w:rPr>
                <w:rFonts w:cs="Calibri"/>
                <w:i/>
                <w:iCs/>
                <w:color w:val="000000"/>
                <w:sz w:val="18"/>
                <w:szCs w:val="18"/>
                <w:lang w:eastAsia="es-CR"/>
              </w:rPr>
            </w:pPr>
          </w:p>
        </w:tc>
      </w:tr>
      <w:tr w:rsidR="000D08BC" w:rsidRPr="004E74A6" w14:paraId="0EBA2C04" w14:textId="7E73D6B7" w:rsidTr="000D08BC">
        <w:trPr>
          <w:trHeight w:val="288"/>
          <w:jc w:val="center"/>
        </w:trPr>
        <w:tc>
          <w:tcPr>
            <w:tcW w:w="2731" w:type="dxa"/>
            <w:tcBorders>
              <w:top w:val="nil"/>
              <w:left w:val="nil"/>
              <w:bottom w:val="nil"/>
              <w:right w:val="single" w:sz="4" w:space="0" w:color="000000" w:themeColor="text1"/>
            </w:tcBorders>
            <w:shd w:val="clear" w:color="auto" w:fill="F2F2F2" w:themeFill="background1" w:themeFillShade="F2"/>
            <w:noWrap/>
            <w:vAlign w:val="center"/>
            <w:hideMark/>
          </w:tcPr>
          <w:p w14:paraId="7A3C733F" w14:textId="77777777" w:rsidR="000D08BC" w:rsidRPr="004E74A6" w:rsidRDefault="000D08BC" w:rsidP="00832773">
            <w:pPr>
              <w:spacing w:line="276" w:lineRule="auto"/>
              <w:ind w:left="283"/>
              <w:jc w:val="left"/>
              <w:rPr>
                <w:rFonts w:cs="Calibri"/>
                <w:i/>
                <w:iCs/>
                <w:color w:val="000000"/>
                <w:sz w:val="18"/>
                <w:szCs w:val="18"/>
                <w:lang w:eastAsia="es-CR"/>
              </w:rPr>
            </w:pPr>
            <w:r w:rsidRPr="004E74A6">
              <w:rPr>
                <w:rFonts w:cs="Calibri"/>
                <w:i/>
                <w:iCs/>
                <w:color w:val="000000"/>
                <w:sz w:val="18"/>
                <w:szCs w:val="18"/>
                <w:lang w:eastAsia="es-CR"/>
              </w:rPr>
              <w:t>Sin actualizar</w:t>
            </w:r>
          </w:p>
        </w:tc>
        <w:tc>
          <w:tcPr>
            <w:tcW w:w="1173" w:type="dxa"/>
            <w:tcBorders>
              <w:top w:val="nil"/>
              <w:left w:val="single" w:sz="4" w:space="0" w:color="000000" w:themeColor="text1"/>
              <w:bottom w:val="nil"/>
              <w:right w:val="single" w:sz="4" w:space="0" w:color="000000" w:themeColor="text1"/>
            </w:tcBorders>
            <w:shd w:val="clear" w:color="auto" w:fill="F2F2F2" w:themeFill="background1" w:themeFillShade="F2"/>
            <w:noWrap/>
            <w:vAlign w:val="center"/>
            <w:hideMark/>
          </w:tcPr>
          <w:p w14:paraId="7C1E261A" w14:textId="77777777" w:rsidR="000D08BC" w:rsidRPr="004E74A6" w:rsidRDefault="000D08BC" w:rsidP="00832773">
            <w:pPr>
              <w:spacing w:line="276" w:lineRule="auto"/>
              <w:jc w:val="center"/>
              <w:rPr>
                <w:rFonts w:cs="Calibri"/>
                <w:i/>
                <w:iCs/>
                <w:color w:val="000000"/>
                <w:sz w:val="18"/>
                <w:szCs w:val="18"/>
                <w:lang w:eastAsia="es-CR"/>
              </w:rPr>
            </w:pPr>
            <w:r w:rsidRPr="004E74A6">
              <w:rPr>
                <w:rFonts w:cs="Calibri"/>
                <w:i/>
                <w:iCs/>
                <w:color w:val="000000"/>
                <w:sz w:val="18"/>
                <w:szCs w:val="18"/>
                <w:lang w:eastAsia="es-CR"/>
              </w:rPr>
              <w:t>18</w:t>
            </w:r>
          </w:p>
        </w:tc>
        <w:tc>
          <w:tcPr>
            <w:tcW w:w="1173" w:type="dxa"/>
            <w:tcBorders>
              <w:top w:val="nil"/>
              <w:left w:val="single" w:sz="4" w:space="0" w:color="000000" w:themeColor="text1"/>
              <w:bottom w:val="nil"/>
              <w:right w:val="single" w:sz="4" w:space="0" w:color="000000" w:themeColor="text1"/>
            </w:tcBorders>
            <w:shd w:val="clear" w:color="auto" w:fill="F2F2F2" w:themeFill="background1" w:themeFillShade="F2"/>
            <w:noWrap/>
            <w:vAlign w:val="center"/>
            <w:hideMark/>
          </w:tcPr>
          <w:p w14:paraId="2BA8BB24" w14:textId="77777777" w:rsidR="000D08BC" w:rsidRPr="004E74A6" w:rsidRDefault="000D08BC" w:rsidP="00832773">
            <w:pPr>
              <w:spacing w:line="276" w:lineRule="auto"/>
              <w:jc w:val="center"/>
              <w:rPr>
                <w:rFonts w:cs="Calibri"/>
                <w:i/>
                <w:iCs/>
                <w:color w:val="000000"/>
                <w:sz w:val="18"/>
                <w:szCs w:val="18"/>
                <w:lang w:eastAsia="es-CR"/>
              </w:rPr>
            </w:pPr>
            <w:r w:rsidRPr="004E74A6">
              <w:rPr>
                <w:rFonts w:cs="Calibri"/>
                <w:i/>
                <w:iCs/>
                <w:color w:val="000000"/>
                <w:sz w:val="18"/>
                <w:szCs w:val="18"/>
                <w:lang w:eastAsia="es-CR"/>
              </w:rPr>
              <w:t>0</w:t>
            </w:r>
          </w:p>
        </w:tc>
        <w:tc>
          <w:tcPr>
            <w:tcW w:w="1173" w:type="dxa"/>
            <w:tcBorders>
              <w:top w:val="nil"/>
              <w:left w:val="single" w:sz="4" w:space="0" w:color="000000" w:themeColor="text1"/>
              <w:bottom w:val="nil"/>
              <w:right w:val="single" w:sz="4" w:space="0" w:color="000000" w:themeColor="text1"/>
            </w:tcBorders>
            <w:shd w:val="clear" w:color="auto" w:fill="F2F2F2" w:themeFill="background1" w:themeFillShade="F2"/>
            <w:noWrap/>
            <w:vAlign w:val="center"/>
            <w:hideMark/>
          </w:tcPr>
          <w:p w14:paraId="03202C1F" w14:textId="77777777" w:rsidR="000D08BC" w:rsidRPr="004E74A6" w:rsidRDefault="000D08BC" w:rsidP="00832773">
            <w:pPr>
              <w:spacing w:line="276" w:lineRule="auto"/>
              <w:jc w:val="center"/>
              <w:rPr>
                <w:rFonts w:cs="Calibri"/>
                <w:i/>
                <w:iCs/>
                <w:color w:val="000000"/>
                <w:sz w:val="18"/>
                <w:szCs w:val="18"/>
                <w:lang w:eastAsia="es-CR"/>
              </w:rPr>
            </w:pPr>
            <w:r w:rsidRPr="004E74A6">
              <w:rPr>
                <w:rFonts w:cs="Calibri"/>
                <w:i/>
                <w:iCs/>
                <w:color w:val="000000"/>
                <w:sz w:val="18"/>
                <w:szCs w:val="18"/>
                <w:lang w:eastAsia="es-CR"/>
              </w:rPr>
              <w:t>0</w:t>
            </w:r>
          </w:p>
        </w:tc>
        <w:tc>
          <w:tcPr>
            <w:tcW w:w="1173" w:type="dxa"/>
            <w:tcBorders>
              <w:top w:val="nil"/>
              <w:left w:val="single" w:sz="4" w:space="0" w:color="000000" w:themeColor="text1"/>
              <w:bottom w:val="nil"/>
              <w:right w:val="nil"/>
            </w:tcBorders>
            <w:shd w:val="clear" w:color="auto" w:fill="F2F2F2" w:themeFill="background1" w:themeFillShade="F2"/>
            <w:noWrap/>
            <w:vAlign w:val="center"/>
            <w:hideMark/>
          </w:tcPr>
          <w:p w14:paraId="04496527" w14:textId="77777777" w:rsidR="000D08BC" w:rsidRPr="004E74A6" w:rsidRDefault="000D08BC" w:rsidP="00832773">
            <w:pPr>
              <w:spacing w:line="276" w:lineRule="auto"/>
              <w:jc w:val="center"/>
              <w:rPr>
                <w:rFonts w:cs="Calibri"/>
                <w:i/>
                <w:iCs/>
                <w:color w:val="000000"/>
                <w:sz w:val="18"/>
                <w:szCs w:val="18"/>
                <w:lang w:eastAsia="es-CR"/>
              </w:rPr>
            </w:pPr>
            <w:r w:rsidRPr="004E74A6">
              <w:rPr>
                <w:rFonts w:cs="Calibri"/>
                <w:i/>
                <w:iCs/>
                <w:color w:val="000000"/>
                <w:sz w:val="18"/>
                <w:szCs w:val="18"/>
                <w:lang w:eastAsia="es-CR"/>
              </w:rPr>
              <w:t>6,0</w:t>
            </w:r>
          </w:p>
        </w:tc>
        <w:tc>
          <w:tcPr>
            <w:tcW w:w="1508" w:type="dxa"/>
            <w:tcBorders>
              <w:top w:val="nil"/>
              <w:left w:val="single" w:sz="4" w:space="0" w:color="000000" w:themeColor="text1"/>
              <w:bottom w:val="nil"/>
              <w:right w:val="nil"/>
            </w:tcBorders>
            <w:shd w:val="clear" w:color="auto" w:fill="F2F2F2" w:themeFill="background1" w:themeFillShade="F2"/>
          </w:tcPr>
          <w:p w14:paraId="3D011375" w14:textId="77777777" w:rsidR="000D08BC" w:rsidRPr="004E74A6" w:rsidRDefault="000D08BC" w:rsidP="00832773">
            <w:pPr>
              <w:spacing w:line="276" w:lineRule="auto"/>
              <w:jc w:val="center"/>
              <w:rPr>
                <w:rFonts w:cs="Calibri"/>
                <w:i/>
                <w:iCs/>
                <w:color w:val="000000"/>
                <w:sz w:val="18"/>
                <w:szCs w:val="18"/>
                <w:lang w:eastAsia="es-CR"/>
              </w:rPr>
            </w:pPr>
          </w:p>
        </w:tc>
      </w:tr>
      <w:tr w:rsidR="000D08BC" w:rsidRPr="004E74A6" w14:paraId="0249BBF7" w14:textId="6D543569" w:rsidTr="000D08BC">
        <w:trPr>
          <w:trHeight w:val="288"/>
          <w:jc w:val="center"/>
        </w:trPr>
        <w:tc>
          <w:tcPr>
            <w:tcW w:w="2731" w:type="dxa"/>
            <w:tcBorders>
              <w:top w:val="nil"/>
              <w:left w:val="nil"/>
              <w:bottom w:val="nil"/>
              <w:right w:val="single" w:sz="4" w:space="0" w:color="000000" w:themeColor="text1"/>
            </w:tcBorders>
            <w:shd w:val="clear" w:color="auto" w:fill="auto"/>
            <w:noWrap/>
            <w:vAlign w:val="center"/>
            <w:hideMark/>
          </w:tcPr>
          <w:p w14:paraId="17374B52" w14:textId="77777777" w:rsidR="000D08BC" w:rsidRPr="004E74A6" w:rsidRDefault="000D08BC" w:rsidP="00832773">
            <w:pPr>
              <w:spacing w:line="276" w:lineRule="auto"/>
              <w:jc w:val="left"/>
              <w:rPr>
                <w:rFonts w:cs="Calibri"/>
                <w:b/>
                <w:bCs/>
                <w:color w:val="000000"/>
                <w:sz w:val="20"/>
                <w:lang w:eastAsia="es-CR"/>
              </w:rPr>
            </w:pPr>
            <w:r w:rsidRPr="004E74A6">
              <w:rPr>
                <w:rFonts w:cs="Calibri"/>
                <w:b/>
                <w:bCs/>
                <w:color w:val="000000"/>
                <w:sz w:val="20"/>
                <w:lang w:eastAsia="es-CR"/>
              </w:rPr>
              <w:t>Civil</w:t>
            </w:r>
          </w:p>
        </w:tc>
        <w:tc>
          <w:tcPr>
            <w:tcW w:w="1173" w:type="dxa"/>
            <w:tcBorders>
              <w:top w:val="nil"/>
              <w:left w:val="single" w:sz="4" w:space="0" w:color="000000" w:themeColor="text1"/>
              <w:bottom w:val="nil"/>
              <w:right w:val="single" w:sz="4" w:space="0" w:color="000000" w:themeColor="text1"/>
            </w:tcBorders>
            <w:shd w:val="clear" w:color="auto" w:fill="auto"/>
            <w:noWrap/>
            <w:vAlign w:val="center"/>
            <w:hideMark/>
          </w:tcPr>
          <w:p w14:paraId="3F514405" w14:textId="77777777" w:rsidR="000D08BC" w:rsidRPr="004E74A6" w:rsidRDefault="000D08BC" w:rsidP="00832773">
            <w:pPr>
              <w:spacing w:line="276" w:lineRule="auto"/>
              <w:jc w:val="center"/>
              <w:rPr>
                <w:rFonts w:cs="Calibri"/>
                <w:b/>
                <w:bCs/>
                <w:color w:val="000000"/>
                <w:sz w:val="20"/>
                <w:lang w:eastAsia="es-CR"/>
              </w:rPr>
            </w:pPr>
            <w:r w:rsidRPr="004E74A6">
              <w:rPr>
                <w:rFonts w:cs="Calibri"/>
                <w:b/>
                <w:bCs/>
                <w:color w:val="000000"/>
                <w:sz w:val="20"/>
                <w:lang w:eastAsia="es-CR"/>
              </w:rPr>
              <w:t>667</w:t>
            </w:r>
          </w:p>
        </w:tc>
        <w:tc>
          <w:tcPr>
            <w:tcW w:w="1173" w:type="dxa"/>
            <w:tcBorders>
              <w:top w:val="nil"/>
              <w:left w:val="single" w:sz="4" w:space="0" w:color="000000" w:themeColor="text1"/>
              <w:bottom w:val="nil"/>
              <w:right w:val="single" w:sz="4" w:space="0" w:color="000000" w:themeColor="text1"/>
            </w:tcBorders>
            <w:shd w:val="clear" w:color="auto" w:fill="auto"/>
            <w:noWrap/>
            <w:vAlign w:val="center"/>
            <w:hideMark/>
          </w:tcPr>
          <w:p w14:paraId="2BAB50FE" w14:textId="77777777" w:rsidR="000D08BC" w:rsidRPr="004E74A6" w:rsidRDefault="000D08BC" w:rsidP="00832773">
            <w:pPr>
              <w:spacing w:line="276" w:lineRule="auto"/>
              <w:jc w:val="center"/>
              <w:rPr>
                <w:rFonts w:cs="Calibri"/>
                <w:b/>
                <w:bCs/>
                <w:color w:val="000000"/>
                <w:sz w:val="20"/>
                <w:lang w:eastAsia="es-CR"/>
              </w:rPr>
            </w:pPr>
            <w:r w:rsidRPr="004E74A6">
              <w:rPr>
                <w:rFonts w:cs="Calibri"/>
                <w:b/>
                <w:bCs/>
                <w:color w:val="000000"/>
                <w:sz w:val="20"/>
                <w:lang w:eastAsia="es-CR"/>
              </w:rPr>
              <w:t>465</w:t>
            </w:r>
          </w:p>
        </w:tc>
        <w:tc>
          <w:tcPr>
            <w:tcW w:w="1173" w:type="dxa"/>
            <w:tcBorders>
              <w:top w:val="nil"/>
              <w:left w:val="single" w:sz="4" w:space="0" w:color="000000" w:themeColor="text1"/>
              <w:bottom w:val="nil"/>
              <w:right w:val="single" w:sz="4" w:space="0" w:color="000000" w:themeColor="text1"/>
            </w:tcBorders>
            <w:shd w:val="clear" w:color="auto" w:fill="auto"/>
            <w:noWrap/>
            <w:vAlign w:val="center"/>
            <w:hideMark/>
          </w:tcPr>
          <w:p w14:paraId="664EE1E9" w14:textId="77777777" w:rsidR="000D08BC" w:rsidRPr="004E74A6" w:rsidRDefault="000D08BC" w:rsidP="00832773">
            <w:pPr>
              <w:spacing w:line="276" w:lineRule="auto"/>
              <w:jc w:val="center"/>
              <w:rPr>
                <w:rFonts w:cs="Calibri"/>
                <w:b/>
                <w:bCs/>
                <w:color w:val="000000"/>
                <w:sz w:val="20"/>
                <w:lang w:eastAsia="es-CR"/>
              </w:rPr>
            </w:pPr>
            <w:r w:rsidRPr="004E74A6">
              <w:rPr>
                <w:rFonts w:cs="Calibri"/>
                <w:b/>
                <w:bCs/>
                <w:color w:val="000000"/>
                <w:sz w:val="20"/>
                <w:lang w:eastAsia="es-CR"/>
              </w:rPr>
              <w:t>338</w:t>
            </w:r>
          </w:p>
        </w:tc>
        <w:tc>
          <w:tcPr>
            <w:tcW w:w="1173" w:type="dxa"/>
            <w:tcBorders>
              <w:top w:val="nil"/>
              <w:left w:val="single" w:sz="4" w:space="0" w:color="000000" w:themeColor="text1"/>
              <w:bottom w:val="nil"/>
              <w:right w:val="nil"/>
            </w:tcBorders>
            <w:shd w:val="clear" w:color="auto" w:fill="auto"/>
            <w:noWrap/>
            <w:vAlign w:val="center"/>
            <w:hideMark/>
          </w:tcPr>
          <w:p w14:paraId="7B3D85FA" w14:textId="77777777" w:rsidR="000D08BC" w:rsidRPr="004E74A6" w:rsidRDefault="000D08BC" w:rsidP="00832773">
            <w:pPr>
              <w:spacing w:line="276" w:lineRule="auto"/>
              <w:jc w:val="center"/>
              <w:rPr>
                <w:rFonts w:cs="Calibri"/>
                <w:b/>
                <w:bCs/>
                <w:color w:val="000000"/>
                <w:sz w:val="20"/>
                <w:lang w:eastAsia="es-CR"/>
              </w:rPr>
            </w:pPr>
            <w:r w:rsidRPr="004E74A6">
              <w:rPr>
                <w:rFonts w:cs="Calibri"/>
                <w:b/>
                <w:bCs/>
                <w:color w:val="000000"/>
                <w:sz w:val="20"/>
                <w:lang w:eastAsia="es-CR"/>
              </w:rPr>
              <w:t>490,0</w:t>
            </w:r>
          </w:p>
        </w:tc>
        <w:tc>
          <w:tcPr>
            <w:tcW w:w="1508" w:type="dxa"/>
            <w:tcBorders>
              <w:top w:val="nil"/>
              <w:left w:val="single" w:sz="4" w:space="0" w:color="000000" w:themeColor="text1"/>
              <w:bottom w:val="nil"/>
              <w:right w:val="nil"/>
            </w:tcBorders>
          </w:tcPr>
          <w:p w14:paraId="5291E90A" w14:textId="764EAA0E" w:rsidR="000D08BC" w:rsidRPr="004E74A6" w:rsidRDefault="00DB442A" w:rsidP="00832773">
            <w:pPr>
              <w:spacing w:line="276" w:lineRule="auto"/>
              <w:jc w:val="center"/>
              <w:rPr>
                <w:rFonts w:cs="Calibri"/>
                <w:b/>
                <w:bCs/>
                <w:color w:val="000000"/>
                <w:sz w:val="20"/>
                <w:lang w:eastAsia="es-CR"/>
              </w:rPr>
            </w:pPr>
            <w:r w:rsidRPr="004E74A6">
              <w:rPr>
                <w:rFonts w:cs="Calibri"/>
                <w:b/>
                <w:bCs/>
                <w:color w:val="000000"/>
                <w:sz w:val="20"/>
                <w:lang w:eastAsia="es-CR"/>
              </w:rPr>
              <w:t>44%</w:t>
            </w:r>
          </w:p>
        </w:tc>
      </w:tr>
      <w:tr w:rsidR="000D08BC" w:rsidRPr="004E74A6" w14:paraId="27F12BE6" w14:textId="42A6140D" w:rsidTr="000D08BC">
        <w:trPr>
          <w:trHeight w:val="288"/>
          <w:jc w:val="center"/>
        </w:trPr>
        <w:tc>
          <w:tcPr>
            <w:tcW w:w="2731" w:type="dxa"/>
            <w:tcBorders>
              <w:top w:val="nil"/>
              <w:left w:val="nil"/>
              <w:bottom w:val="nil"/>
              <w:right w:val="single" w:sz="4" w:space="0" w:color="000000" w:themeColor="text1"/>
            </w:tcBorders>
            <w:shd w:val="clear" w:color="auto" w:fill="F2F2F2" w:themeFill="background1" w:themeFillShade="F2"/>
            <w:noWrap/>
            <w:vAlign w:val="center"/>
            <w:hideMark/>
          </w:tcPr>
          <w:p w14:paraId="61BC94D2" w14:textId="77777777" w:rsidR="000D08BC" w:rsidRPr="004E74A6" w:rsidRDefault="000D08BC" w:rsidP="00832773">
            <w:pPr>
              <w:spacing w:line="276" w:lineRule="auto"/>
              <w:ind w:left="283"/>
              <w:jc w:val="left"/>
              <w:rPr>
                <w:rFonts w:cs="Calibri"/>
                <w:i/>
                <w:iCs/>
                <w:color w:val="000000"/>
                <w:sz w:val="18"/>
                <w:szCs w:val="18"/>
                <w:lang w:eastAsia="es-CR"/>
              </w:rPr>
            </w:pPr>
            <w:r w:rsidRPr="004E74A6">
              <w:rPr>
                <w:rFonts w:cs="Calibri"/>
                <w:i/>
                <w:iCs/>
                <w:color w:val="000000"/>
                <w:sz w:val="18"/>
                <w:szCs w:val="18"/>
                <w:lang w:eastAsia="es-CR"/>
              </w:rPr>
              <w:t>Estimable</w:t>
            </w:r>
          </w:p>
        </w:tc>
        <w:tc>
          <w:tcPr>
            <w:tcW w:w="1173" w:type="dxa"/>
            <w:tcBorders>
              <w:top w:val="nil"/>
              <w:left w:val="single" w:sz="4" w:space="0" w:color="000000" w:themeColor="text1"/>
              <w:bottom w:val="nil"/>
              <w:right w:val="single" w:sz="4" w:space="0" w:color="000000" w:themeColor="text1"/>
            </w:tcBorders>
            <w:shd w:val="clear" w:color="auto" w:fill="F2F2F2" w:themeFill="background1" w:themeFillShade="F2"/>
            <w:noWrap/>
            <w:vAlign w:val="center"/>
            <w:hideMark/>
          </w:tcPr>
          <w:p w14:paraId="1AA62EEF" w14:textId="77777777" w:rsidR="000D08BC" w:rsidRPr="004E74A6" w:rsidRDefault="000D08BC" w:rsidP="00832773">
            <w:pPr>
              <w:spacing w:line="276" w:lineRule="auto"/>
              <w:jc w:val="center"/>
              <w:rPr>
                <w:rFonts w:cs="Calibri"/>
                <w:i/>
                <w:iCs/>
                <w:color w:val="000000"/>
                <w:sz w:val="18"/>
                <w:szCs w:val="18"/>
                <w:lang w:eastAsia="es-CR"/>
              </w:rPr>
            </w:pPr>
            <w:r w:rsidRPr="004E74A6">
              <w:rPr>
                <w:rFonts w:cs="Calibri"/>
                <w:i/>
                <w:iCs/>
                <w:color w:val="000000"/>
                <w:sz w:val="18"/>
                <w:szCs w:val="18"/>
                <w:lang w:eastAsia="es-CR"/>
              </w:rPr>
              <w:t>393</w:t>
            </w:r>
          </w:p>
        </w:tc>
        <w:tc>
          <w:tcPr>
            <w:tcW w:w="1173" w:type="dxa"/>
            <w:tcBorders>
              <w:top w:val="nil"/>
              <w:left w:val="single" w:sz="4" w:space="0" w:color="000000" w:themeColor="text1"/>
              <w:bottom w:val="nil"/>
              <w:right w:val="single" w:sz="4" w:space="0" w:color="000000" w:themeColor="text1"/>
            </w:tcBorders>
            <w:shd w:val="clear" w:color="auto" w:fill="F2F2F2" w:themeFill="background1" w:themeFillShade="F2"/>
            <w:noWrap/>
            <w:vAlign w:val="center"/>
            <w:hideMark/>
          </w:tcPr>
          <w:p w14:paraId="74634DDA" w14:textId="77777777" w:rsidR="000D08BC" w:rsidRPr="004E74A6" w:rsidRDefault="000D08BC" w:rsidP="00832773">
            <w:pPr>
              <w:spacing w:line="276" w:lineRule="auto"/>
              <w:jc w:val="center"/>
              <w:rPr>
                <w:rFonts w:cs="Calibri"/>
                <w:i/>
                <w:iCs/>
                <w:color w:val="000000"/>
                <w:sz w:val="18"/>
                <w:szCs w:val="18"/>
                <w:lang w:eastAsia="es-CR"/>
              </w:rPr>
            </w:pPr>
            <w:r w:rsidRPr="004E74A6">
              <w:rPr>
                <w:rFonts w:cs="Calibri"/>
                <w:i/>
                <w:iCs/>
                <w:color w:val="000000"/>
                <w:sz w:val="18"/>
                <w:szCs w:val="18"/>
                <w:lang w:eastAsia="es-CR"/>
              </w:rPr>
              <w:t>400</w:t>
            </w:r>
          </w:p>
        </w:tc>
        <w:tc>
          <w:tcPr>
            <w:tcW w:w="1173" w:type="dxa"/>
            <w:tcBorders>
              <w:top w:val="nil"/>
              <w:left w:val="single" w:sz="4" w:space="0" w:color="000000" w:themeColor="text1"/>
              <w:bottom w:val="nil"/>
              <w:right w:val="single" w:sz="4" w:space="0" w:color="000000" w:themeColor="text1"/>
            </w:tcBorders>
            <w:shd w:val="clear" w:color="auto" w:fill="F2F2F2" w:themeFill="background1" w:themeFillShade="F2"/>
            <w:noWrap/>
            <w:vAlign w:val="center"/>
            <w:hideMark/>
          </w:tcPr>
          <w:p w14:paraId="20AEABE5" w14:textId="77777777" w:rsidR="000D08BC" w:rsidRPr="004E74A6" w:rsidRDefault="000D08BC" w:rsidP="00832773">
            <w:pPr>
              <w:spacing w:line="276" w:lineRule="auto"/>
              <w:jc w:val="center"/>
              <w:rPr>
                <w:rFonts w:cs="Calibri"/>
                <w:i/>
                <w:iCs/>
                <w:color w:val="000000"/>
                <w:sz w:val="18"/>
                <w:szCs w:val="18"/>
                <w:lang w:eastAsia="es-CR"/>
              </w:rPr>
            </w:pPr>
            <w:r w:rsidRPr="004E74A6">
              <w:rPr>
                <w:rFonts w:cs="Calibri"/>
                <w:i/>
                <w:iCs/>
                <w:color w:val="000000"/>
                <w:sz w:val="18"/>
                <w:szCs w:val="18"/>
                <w:lang w:eastAsia="es-CR"/>
              </w:rPr>
              <w:t>286</w:t>
            </w:r>
          </w:p>
        </w:tc>
        <w:tc>
          <w:tcPr>
            <w:tcW w:w="1173" w:type="dxa"/>
            <w:tcBorders>
              <w:top w:val="nil"/>
              <w:left w:val="single" w:sz="4" w:space="0" w:color="000000" w:themeColor="text1"/>
              <w:bottom w:val="nil"/>
              <w:right w:val="nil"/>
            </w:tcBorders>
            <w:shd w:val="clear" w:color="auto" w:fill="F2F2F2" w:themeFill="background1" w:themeFillShade="F2"/>
            <w:noWrap/>
            <w:vAlign w:val="center"/>
            <w:hideMark/>
          </w:tcPr>
          <w:p w14:paraId="680521DE" w14:textId="77777777" w:rsidR="000D08BC" w:rsidRPr="004E74A6" w:rsidRDefault="000D08BC" w:rsidP="00832773">
            <w:pPr>
              <w:spacing w:line="276" w:lineRule="auto"/>
              <w:jc w:val="center"/>
              <w:rPr>
                <w:rFonts w:cs="Calibri"/>
                <w:i/>
                <w:iCs/>
                <w:color w:val="000000"/>
                <w:sz w:val="18"/>
                <w:szCs w:val="18"/>
                <w:lang w:eastAsia="es-CR"/>
              </w:rPr>
            </w:pPr>
            <w:r w:rsidRPr="004E74A6">
              <w:rPr>
                <w:rFonts w:cs="Calibri"/>
                <w:i/>
                <w:iCs/>
                <w:color w:val="000000"/>
                <w:sz w:val="18"/>
                <w:szCs w:val="18"/>
                <w:lang w:eastAsia="es-CR"/>
              </w:rPr>
              <w:t>359,7</w:t>
            </w:r>
          </w:p>
        </w:tc>
        <w:tc>
          <w:tcPr>
            <w:tcW w:w="1508" w:type="dxa"/>
            <w:tcBorders>
              <w:top w:val="nil"/>
              <w:left w:val="single" w:sz="4" w:space="0" w:color="000000" w:themeColor="text1"/>
              <w:bottom w:val="nil"/>
              <w:right w:val="nil"/>
            </w:tcBorders>
            <w:shd w:val="clear" w:color="auto" w:fill="F2F2F2" w:themeFill="background1" w:themeFillShade="F2"/>
          </w:tcPr>
          <w:p w14:paraId="785C1461" w14:textId="401690F1" w:rsidR="000D08BC" w:rsidRPr="004E74A6" w:rsidRDefault="000D08BC" w:rsidP="00832773">
            <w:pPr>
              <w:spacing w:line="276" w:lineRule="auto"/>
              <w:jc w:val="center"/>
              <w:rPr>
                <w:rFonts w:cs="Calibri"/>
                <w:i/>
                <w:iCs/>
                <w:color w:val="000000"/>
                <w:sz w:val="18"/>
                <w:szCs w:val="18"/>
                <w:lang w:eastAsia="es-CR"/>
              </w:rPr>
            </w:pPr>
            <w:r w:rsidRPr="004E74A6">
              <w:rPr>
                <w:rFonts w:cs="Calibri"/>
                <w:i/>
                <w:iCs/>
                <w:color w:val="000000"/>
                <w:sz w:val="18"/>
                <w:szCs w:val="18"/>
                <w:lang w:eastAsia="es-CR"/>
              </w:rPr>
              <w:t>73%</w:t>
            </w:r>
          </w:p>
        </w:tc>
      </w:tr>
      <w:tr w:rsidR="000D08BC" w:rsidRPr="004E74A6" w14:paraId="15AC132C" w14:textId="7F86CF63" w:rsidTr="000D08BC">
        <w:trPr>
          <w:trHeight w:val="288"/>
          <w:jc w:val="center"/>
        </w:trPr>
        <w:tc>
          <w:tcPr>
            <w:tcW w:w="2731" w:type="dxa"/>
            <w:tcBorders>
              <w:top w:val="nil"/>
              <w:left w:val="nil"/>
              <w:bottom w:val="nil"/>
              <w:right w:val="single" w:sz="4" w:space="0" w:color="000000" w:themeColor="text1"/>
            </w:tcBorders>
            <w:shd w:val="clear" w:color="auto" w:fill="F2F2F2" w:themeFill="background1" w:themeFillShade="F2"/>
            <w:noWrap/>
            <w:vAlign w:val="center"/>
            <w:hideMark/>
          </w:tcPr>
          <w:p w14:paraId="6A2DDFC2" w14:textId="77777777" w:rsidR="000D08BC" w:rsidRPr="004E74A6" w:rsidRDefault="000D08BC" w:rsidP="00832773">
            <w:pPr>
              <w:spacing w:line="276" w:lineRule="auto"/>
              <w:ind w:left="283"/>
              <w:jc w:val="left"/>
              <w:rPr>
                <w:rFonts w:cs="Calibri"/>
                <w:i/>
                <w:iCs/>
                <w:color w:val="000000"/>
                <w:sz w:val="18"/>
                <w:szCs w:val="18"/>
                <w:lang w:eastAsia="es-CR"/>
              </w:rPr>
            </w:pPr>
            <w:r w:rsidRPr="004E74A6">
              <w:rPr>
                <w:rFonts w:cs="Calibri"/>
                <w:i/>
                <w:iCs/>
                <w:color w:val="000000"/>
                <w:sz w:val="18"/>
                <w:szCs w:val="18"/>
                <w:lang w:eastAsia="es-CR"/>
              </w:rPr>
              <w:t>Inestimable</w:t>
            </w:r>
          </w:p>
        </w:tc>
        <w:tc>
          <w:tcPr>
            <w:tcW w:w="1173" w:type="dxa"/>
            <w:tcBorders>
              <w:top w:val="nil"/>
              <w:left w:val="single" w:sz="4" w:space="0" w:color="000000" w:themeColor="text1"/>
              <w:bottom w:val="nil"/>
              <w:right w:val="single" w:sz="4" w:space="0" w:color="000000" w:themeColor="text1"/>
            </w:tcBorders>
            <w:shd w:val="clear" w:color="auto" w:fill="F2F2F2" w:themeFill="background1" w:themeFillShade="F2"/>
            <w:noWrap/>
            <w:vAlign w:val="center"/>
            <w:hideMark/>
          </w:tcPr>
          <w:p w14:paraId="7CEE0112" w14:textId="77777777" w:rsidR="000D08BC" w:rsidRPr="004E74A6" w:rsidRDefault="000D08BC" w:rsidP="00832773">
            <w:pPr>
              <w:spacing w:line="276" w:lineRule="auto"/>
              <w:jc w:val="center"/>
              <w:rPr>
                <w:rFonts w:cs="Calibri"/>
                <w:i/>
                <w:iCs/>
                <w:color w:val="000000"/>
                <w:sz w:val="18"/>
                <w:szCs w:val="18"/>
                <w:lang w:eastAsia="es-CR"/>
              </w:rPr>
            </w:pPr>
            <w:r w:rsidRPr="004E74A6">
              <w:rPr>
                <w:rFonts w:cs="Calibri"/>
                <w:i/>
                <w:iCs/>
                <w:color w:val="000000"/>
                <w:sz w:val="18"/>
                <w:szCs w:val="18"/>
                <w:lang w:eastAsia="es-CR"/>
              </w:rPr>
              <w:t>34</w:t>
            </w:r>
          </w:p>
        </w:tc>
        <w:tc>
          <w:tcPr>
            <w:tcW w:w="1173" w:type="dxa"/>
            <w:tcBorders>
              <w:top w:val="nil"/>
              <w:left w:val="single" w:sz="4" w:space="0" w:color="000000" w:themeColor="text1"/>
              <w:bottom w:val="nil"/>
              <w:right w:val="single" w:sz="4" w:space="0" w:color="000000" w:themeColor="text1"/>
            </w:tcBorders>
            <w:shd w:val="clear" w:color="auto" w:fill="F2F2F2" w:themeFill="background1" w:themeFillShade="F2"/>
            <w:noWrap/>
            <w:vAlign w:val="center"/>
            <w:hideMark/>
          </w:tcPr>
          <w:p w14:paraId="51AC0972" w14:textId="77777777" w:rsidR="000D08BC" w:rsidRPr="004E74A6" w:rsidRDefault="000D08BC" w:rsidP="00832773">
            <w:pPr>
              <w:spacing w:line="276" w:lineRule="auto"/>
              <w:jc w:val="center"/>
              <w:rPr>
                <w:rFonts w:cs="Calibri"/>
                <w:i/>
                <w:iCs/>
                <w:color w:val="000000"/>
                <w:sz w:val="18"/>
                <w:szCs w:val="18"/>
                <w:lang w:eastAsia="es-CR"/>
              </w:rPr>
            </w:pPr>
            <w:r w:rsidRPr="004E74A6">
              <w:rPr>
                <w:rFonts w:cs="Calibri"/>
                <w:i/>
                <w:iCs/>
                <w:color w:val="000000"/>
                <w:sz w:val="18"/>
                <w:szCs w:val="18"/>
                <w:lang w:eastAsia="es-CR"/>
              </w:rPr>
              <w:t>42</w:t>
            </w:r>
          </w:p>
        </w:tc>
        <w:tc>
          <w:tcPr>
            <w:tcW w:w="1173" w:type="dxa"/>
            <w:tcBorders>
              <w:top w:val="nil"/>
              <w:left w:val="single" w:sz="4" w:space="0" w:color="000000" w:themeColor="text1"/>
              <w:bottom w:val="nil"/>
              <w:right w:val="single" w:sz="4" w:space="0" w:color="000000" w:themeColor="text1"/>
            </w:tcBorders>
            <w:shd w:val="clear" w:color="auto" w:fill="F2F2F2" w:themeFill="background1" w:themeFillShade="F2"/>
            <w:noWrap/>
            <w:vAlign w:val="center"/>
            <w:hideMark/>
          </w:tcPr>
          <w:p w14:paraId="4FF348A2" w14:textId="77777777" w:rsidR="000D08BC" w:rsidRPr="004E74A6" w:rsidRDefault="000D08BC" w:rsidP="00832773">
            <w:pPr>
              <w:spacing w:line="276" w:lineRule="auto"/>
              <w:jc w:val="center"/>
              <w:rPr>
                <w:rFonts w:cs="Calibri"/>
                <w:i/>
                <w:iCs/>
                <w:color w:val="000000"/>
                <w:sz w:val="18"/>
                <w:szCs w:val="18"/>
                <w:lang w:eastAsia="es-CR"/>
              </w:rPr>
            </w:pPr>
            <w:r w:rsidRPr="004E74A6">
              <w:rPr>
                <w:rFonts w:cs="Calibri"/>
                <w:i/>
                <w:iCs/>
                <w:color w:val="000000"/>
                <w:sz w:val="18"/>
                <w:szCs w:val="18"/>
                <w:lang w:eastAsia="es-CR"/>
              </w:rPr>
              <w:t>13</w:t>
            </w:r>
          </w:p>
        </w:tc>
        <w:tc>
          <w:tcPr>
            <w:tcW w:w="1173" w:type="dxa"/>
            <w:tcBorders>
              <w:top w:val="nil"/>
              <w:left w:val="single" w:sz="4" w:space="0" w:color="000000" w:themeColor="text1"/>
              <w:bottom w:val="nil"/>
              <w:right w:val="nil"/>
            </w:tcBorders>
            <w:shd w:val="clear" w:color="auto" w:fill="F2F2F2" w:themeFill="background1" w:themeFillShade="F2"/>
            <w:noWrap/>
            <w:vAlign w:val="center"/>
            <w:hideMark/>
          </w:tcPr>
          <w:p w14:paraId="4336501C" w14:textId="77777777" w:rsidR="000D08BC" w:rsidRPr="004E74A6" w:rsidRDefault="000D08BC" w:rsidP="00832773">
            <w:pPr>
              <w:spacing w:line="276" w:lineRule="auto"/>
              <w:jc w:val="center"/>
              <w:rPr>
                <w:rFonts w:cs="Calibri"/>
                <w:i/>
                <w:iCs/>
                <w:color w:val="000000"/>
                <w:sz w:val="18"/>
                <w:szCs w:val="18"/>
                <w:lang w:eastAsia="es-CR"/>
              </w:rPr>
            </w:pPr>
            <w:r w:rsidRPr="004E74A6">
              <w:rPr>
                <w:rFonts w:cs="Calibri"/>
                <w:i/>
                <w:iCs/>
                <w:color w:val="000000"/>
                <w:sz w:val="18"/>
                <w:szCs w:val="18"/>
                <w:lang w:eastAsia="es-CR"/>
              </w:rPr>
              <w:t>29,7</w:t>
            </w:r>
          </w:p>
        </w:tc>
        <w:tc>
          <w:tcPr>
            <w:tcW w:w="1508" w:type="dxa"/>
            <w:tcBorders>
              <w:top w:val="nil"/>
              <w:left w:val="single" w:sz="4" w:space="0" w:color="000000" w:themeColor="text1"/>
              <w:bottom w:val="nil"/>
              <w:right w:val="nil"/>
            </w:tcBorders>
            <w:shd w:val="clear" w:color="auto" w:fill="F2F2F2" w:themeFill="background1" w:themeFillShade="F2"/>
          </w:tcPr>
          <w:p w14:paraId="71CEF66F" w14:textId="6D219AA2" w:rsidR="000D08BC" w:rsidRPr="004E74A6" w:rsidRDefault="000D08BC" w:rsidP="00832773">
            <w:pPr>
              <w:spacing w:line="276" w:lineRule="auto"/>
              <w:jc w:val="center"/>
              <w:rPr>
                <w:rFonts w:cs="Calibri"/>
                <w:i/>
                <w:iCs/>
                <w:color w:val="000000"/>
                <w:sz w:val="18"/>
                <w:szCs w:val="18"/>
                <w:lang w:eastAsia="es-CR"/>
              </w:rPr>
            </w:pPr>
            <w:r w:rsidRPr="004E74A6">
              <w:rPr>
                <w:rFonts w:cs="Calibri"/>
                <w:i/>
                <w:iCs/>
                <w:color w:val="000000"/>
                <w:sz w:val="18"/>
                <w:szCs w:val="18"/>
                <w:lang w:eastAsia="es-CR"/>
              </w:rPr>
              <w:t>6%</w:t>
            </w:r>
          </w:p>
        </w:tc>
      </w:tr>
      <w:tr w:rsidR="000D08BC" w:rsidRPr="004E74A6" w14:paraId="5665822F" w14:textId="2BD0E8B3" w:rsidTr="000D08BC">
        <w:trPr>
          <w:trHeight w:val="288"/>
          <w:jc w:val="center"/>
        </w:trPr>
        <w:tc>
          <w:tcPr>
            <w:tcW w:w="2731" w:type="dxa"/>
            <w:tcBorders>
              <w:top w:val="nil"/>
              <w:left w:val="nil"/>
              <w:bottom w:val="nil"/>
              <w:right w:val="single" w:sz="4" w:space="0" w:color="000000" w:themeColor="text1"/>
            </w:tcBorders>
            <w:shd w:val="clear" w:color="auto" w:fill="F2F2F2" w:themeFill="background1" w:themeFillShade="F2"/>
            <w:noWrap/>
            <w:vAlign w:val="center"/>
            <w:hideMark/>
          </w:tcPr>
          <w:p w14:paraId="05684007" w14:textId="77777777" w:rsidR="000D08BC" w:rsidRPr="004E74A6" w:rsidRDefault="000D08BC" w:rsidP="00832773">
            <w:pPr>
              <w:spacing w:line="276" w:lineRule="auto"/>
              <w:ind w:left="283"/>
              <w:jc w:val="left"/>
              <w:rPr>
                <w:rFonts w:cs="Calibri"/>
                <w:i/>
                <w:iCs/>
                <w:color w:val="000000"/>
                <w:sz w:val="18"/>
                <w:szCs w:val="18"/>
                <w:lang w:eastAsia="es-CR"/>
              </w:rPr>
            </w:pPr>
            <w:r w:rsidRPr="004E74A6">
              <w:rPr>
                <w:rFonts w:cs="Calibri"/>
                <w:i/>
                <w:iCs/>
                <w:color w:val="000000"/>
                <w:sz w:val="18"/>
                <w:szCs w:val="18"/>
                <w:lang w:eastAsia="es-CR"/>
              </w:rPr>
              <w:t>No aplica</w:t>
            </w:r>
          </w:p>
        </w:tc>
        <w:tc>
          <w:tcPr>
            <w:tcW w:w="1173" w:type="dxa"/>
            <w:tcBorders>
              <w:top w:val="nil"/>
              <w:left w:val="single" w:sz="4" w:space="0" w:color="000000" w:themeColor="text1"/>
              <w:bottom w:val="nil"/>
              <w:right w:val="single" w:sz="4" w:space="0" w:color="000000" w:themeColor="text1"/>
            </w:tcBorders>
            <w:shd w:val="clear" w:color="auto" w:fill="F2F2F2" w:themeFill="background1" w:themeFillShade="F2"/>
            <w:noWrap/>
            <w:vAlign w:val="center"/>
            <w:hideMark/>
          </w:tcPr>
          <w:p w14:paraId="0B6CF322" w14:textId="77777777" w:rsidR="000D08BC" w:rsidRPr="004E74A6" w:rsidRDefault="000D08BC" w:rsidP="00832773">
            <w:pPr>
              <w:spacing w:line="276" w:lineRule="auto"/>
              <w:jc w:val="center"/>
              <w:rPr>
                <w:rFonts w:cs="Calibri"/>
                <w:i/>
                <w:iCs/>
                <w:color w:val="000000"/>
                <w:sz w:val="18"/>
                <w:szCs w:val="18"/>
                <w:lang w:eastAsia="es-CR"/>
              </w:rPr>
            </w:pPr>
            <w:r w:rsidRPr="004E74A6">
              <w:rPr>
                <w:rFonts w:cs="Calibri"/>
                <w:i/>
                <w:iCs/>
                <w:color w:val="000000"/>
                <w:sz w:val="18"/>
                <w:szCs w:val="18"/>
                <w:lang w:eastAsia="es-CR"/>
              </w:rPr>
              <w:t>188</w:t>
            </w:r>
          </w:p>
        </w:tc>
        <w:tc>
          <w:tcPr>
            <w:tcW w:w="1173" w:type="dxa"/>
            <w:tcBorders>
              <w:top w:val="nil"/>
              <w:left w:val="single" w:sz="4" w:space="0" w:color="000000" w:themeColor="text1"/>
              <w:bottom w:val="nil"/>
              <w:right w:val="single" w:sz="4" w:space="0" w:color="000000" w:themeColor="text1"/>
            </w:tcBorders>
            <w:shd w:val="clear" w:color="auto" w:fill="F2F2F2" w:themeFill="background1" w:themeFillShade="F2"/>
            <w:noWrap/>
            <w:vAlign w:val="center"/>
            <w:hideMark/>
          </w:tcPr>
          <w:p w14:paraId="6DB827BB" w14:textId="77777777" w:rsidR="000D08BC" w:rsidRPr="004E74A6" w:rsidRDefault="000D08BC" w:rsidP="00832773">
            <w:pPr>
              <w:spacing w:line="276" w:lineRule="auto"/>
              <w:jc w:val="center"/>
              <w:rPr>
                <w:rFonts w:cs="Calibri"/>
                <w:i/>
                <w:iCs/>
                <w:color w:val="000000"/>
                <w:sz w:val="18"/>
                <w:szCs w:val="18"/>
                <w:lang w:eastAsia="es-CR"/>
              </w:rPr>
            </w:pPr>
            <w:r w:rsidRPr="004E74A6">
              <w:rPr>
                <w:rFonts w:cs="Calibri"/>
                <w:i/>
                <w:iCs/>
                <w:color w:val="000000"/>
                <w:sz w:val="18"/>
                <w:szCs w:val="18"/>
                <w:lang w:eastAsia="es-CR"/>
              </w:rPr>
              <w:t>23</w:t>
            </w:r>
          </w:p>
        </w:tc>
        <w:tc>
          <w:tcPr>
            <w:tcW w:w="1173" w:type="dxa"/>
            <w:tcBorders>
              <w:top w:val="nil"/>
              <w:left w:val="single" w:sz="4" w:space="0" w:color="000000" w:themeColor="text1"/>
              <w:bottom w:val="nil"/>
              <w:right w:val="single" w:sz="4" w:space="0" w:color="000000" w:themeColor="text1"/>
            </w:tcBorders>
            <w:shd w:val="clear" w:color="auto" w:fill="F2F2F2" w:themeFill="background1" w:themeFillShade="F2"/>
            <w:noWrap/>
            <w:vAlign w:val="center"/>
            <w:hideMark/>
          </w:tcPr>
          <w:p w14:paraId="4CD91C9B" w14:textId="77777777" w:rsidR="000D08BC" w:rsidRPr="004E74A6" w:rsidRDefault="000D08BC" w:rsidP="00832773">
            <w:pPr>
              <w:spacing w:line="276" w:lineRule="auto"/>
              <w:jc w:val="center"/>
              <w:rPr>
                <w:rFonts w:cs="Calibri"/>
                <w:i/>
                <w:iCs/>
                <w:color w:val="000000"/>
                <w:sz w:val="18"/>
                <w:szCs w:val="18"/>
                <w:lang w:eastAsia="es-CR"/>
              </w:rPr>
            </w:pPr>
            <w:r w:rsidRPr="004E74A6">
              <w:rPr>
                <w:rFonts w:cs="Calibri"/>
                <w:i/>
                <w:iCs/>
                <w:color w:val="000000"/>
                <w:sz w:val="18"/>
                <w:szCs w:val="18"/>
                <w:lang w:eastAsia="es-CR"/>
              </w:rPr>
              <w:t>39</w:t>
            </w:r>
          </w:p>
        </w:tc>
        <w:tc>
          <w:tcPr>
            <w:tcW w:w="1173" w:type="dxa"/>
            <w:tcBorders>
              <w:top w:val="nil"/>
              <w:left w:val="single" w:sz="4" w:space="0" w:color="000000" w:themeColor="text1"/>
              <w:bottom w:val="nil"/>
              <w:right w:val="nil"/>
            </w:tcBorders>
            <w:shd w:val="clear" w:color="auto" w:fill="F2F2F2" w:themeFill="background1" w:themeFillShade="F2"/>
            <w:noWrap/>
            <w:vAlign w:val="center"/>
            <w:hideMark/>
          </w:tcPr>
          <w:p w14:paraId="402B40E6" w14:textId="77777777" w:rsidR="000D08BC" w:rsidRPr="004E74A6" w:rsidRDefault="000D08BC" w:rsidP="00832773">
            <w:pPr>
              <w:spacing w:line="276" w:lineRule="auto"/>
              <w:jc w:val="center"/>
              <w:rPr>
                <w:rFonts w:cs="Calibri"/>
                <w:i/>
                <w:iCs/>
                <w:color w:val="000000"/>
                <w:sz w:val="18"/>
                <w:szCs w:val="18"/>
                <w:lang w:eastAsia="es-CR"/>
              </w:rPr>
            </w:pPr>
            <w:r w:rsidRPr="004E74A6">
              <w:rPr>
                <w:rFonts w:cs="Calibri"/>
                <w:i/>
                <w:iCs/>
                <w:color w:val="000000"/>
                <w:sz w:val="18"/>
                <w:szCs w:val="18"/>
                <w:lang w:eastAsia="es-CR"/>
              </w:rPr>
              <w:t>83,3</w:t>
            </w:r>
          </w:p>
        </w:tc>
        <w:tc>
          <w:tcPr>
            <w:tcW w:w="1508" w:type="dxa"/>
            <w:tcBorders>
              <w:top w:val="nil"/>
              <w:left w:val="single" w:sz="4" w:space="0" w:color="000000" w:themeColor="text1"/>
              <w:bottom w:val="nil"/>
              <w:right w:val="nil"/>
            </w:tcBorders>
            <w:shd w:val="clear" w:color="auto" w:fill="F2F2F2" w:themeFill="background1" w:themeFillShade="F2"/>
          </w:tcPr>
          <w:p w14:paraId="087BF5EB" w14:textId="711F714D" w:rsidR="000D08BC" w:rsidRPr="004E74A6" w:rsidRDefault="000D08BC" w:rsidP="00832773">
            <w:pPr>
              <w:spacing w:line="276" w:lineRule="auto"/>
              <w:jc w:val="center"/>
              <w:rPr>
                <w:rFonts w:cs="Calibri"/>
                <w:i/>
                <w:iCs/>
                <w:color w:val="000000"/>
                <w:sz w:val="18"/>
                <w:szCs w:val="18"/>
                <w:lang w:eastAsia="es-CR"/>
              </w:rPr>
            </w:pPr>
            <w:r w:rsidRPr="004E74A6">
              <w:rPr>
                <w:rFonts w:cs="Calibri"/>
                <w:i/>
                <w:iCs/>
                <w:color w:val="000000"/>
                <w:sz w:val="18"/>
                <w:szCs w:val="18"/>
                <w:lang w:eastAsia="es-CR"/>
              </w:rPr>
              <w:t>17%</w:t>
            </w:r>
          </w:p>
        </w:tc>
      </w:tr>
      <w:tr w:rsidR="000D08BC" w:rsidRPr="004E74A6" w14:paraId="0DE4EBC2" w14:textId="1695F883" w:rsidTr="000D08BC">
        <w:trPr>
          <w:trHeight w:val="288"/>
          <w:jc w:val="center"/>
        </w:trPr>
        <w:tc>
          <w:tcPr>
            <w:tcW w:w="2731" w:type="dxa"/>
            <w:tcBorders>
              <w:top w:val="nil"/>
              <w:left w:val="nil"/>
              <w:bottom w:val="nil"/>
              <w:right w:val="single" w:sz="4" w:space="0" w:color="000000" w:themeColor="text1"/>
            </w:tcBorders>
            <w:shd w:val="clear" w:color="auto" w:fill="F2F2F2" w:themeFill="background1" w:themeFillShade="F2"/>
            <w:noWrap/>
            <w:vAlign w:val="center"/>
            <w:hideMark/>
          </w:tcPr>
          <w:p w14:paraId="0F401B9F" w14:textId="77777777" w:rsidR="000D08BC" w:rsidRPr="004E74A6" w:rsidRDefault="000D08BC" w:rsidP="00832773">
            <w:pPr>
              <w:spacing w:line="276" w:lineRule="auto"/>
              <w:ind w:left="283"/>
              <w:jc w:val="left"/>
              <w:rPr>
                <w:rFonts w:cs="Calibri"/>
                <w:i/>
                <w:iCs/>
                <w:color w:val="000000"/>
                <w:sz w:val="18"/>
                <w:szCs w:val="18"/>
                <w:lang w:eastAsia="es-CR"/>
              </w:rPr>
            </w:pPr>
            <w:r w:rsidRPr="004E74A6">
              <w:rPr>
                <w:rFonts w:cs="Calibri"/>
                <w:i/>
                <w:iCs/>
                <w:color w:val="000000"/>
                <w:sz w:val="18"/>
                <w:szCs w:val="18"/>
                <w:lang w:eastAsia="es-CR"/>
              </w:rPr>
              <w:t>Sin actualizar</w:t>
            </w:r>
          </w:p>
        </w:tc>
        <w:tc>
          <w:tcPr>
            <w:tcW w:w="1173" w:type="dxa"/>
            <w:tcBorders>
              <w:top w:val="nil"/>
              <w:left w:val="single" w:sz="4" w:space="0" w:color="000000" w:themeColor="text1"/>
              <w:bottom w:val="nil"/>
              <w:right w:val="single" w:sz="4" w:space="0" w:color="000000" w:themeColor="text1"/>
            </w:tcBorders>
            <w:shd w:val="clear" w:color="auto" w:fill="F2F2F2" w:themeFill="background1" w:themeFillShade="F2"/>
            <w:noWrap/>
            <w:vAlign w:val="center"/>
            <w:hideMark/>
          </w:tcPr>
          <w:p w14:paraId="29704E5F" w14:textId="77777777" w:rsidR="000D08BC" w:rsidRPr="004E74A6" w:rsidRDefault="000D08BC" w:rsidP="00832773">
            <w:pPr>
              <w:spacing w:line="276" w:lineRule="auto"/>
              <w:jc w:val="center"/>
              <w:rPr>
                <w:rFonts w:cs="Calibri"/>
                <w:i/>
                <w:iCs/>
                <w:color w:val="000000"/>
                <w:sz w:val="18"/>
                <w:szCs w:val="18"/>
                <w:lang w:eastAsia="es-CR"/>
              </w:rPr>
            </w:pPr>
            <w:r w:rsidRPr="004E74A6">
              <w:rPr>
                <w:rFonts w:cs="Calibri"/>
                <w:i/>
                <w:iCs/>
                <w:color w:val="000000"/>
                <w:sz w:val="18"/>
                <w:szCs w:val="18"/>
                <w:lang w:eastAsia="es-CR"/>
              </w:rPr>
              <w:t>52</w:t>
            </w:r>
          </w:p>
        </w:tc>
        <w:tc>
          <w:tcPr>
            <w:tcW w:w="1173" w:type="dxa"/>
            <w:tcBorders>
              <w:top w:val="nil"/>
              <w:left w:val="single" w:sz="4" w:space="0" w:color="000000" w:themeColor="text1"/>
              <w:bottom w:val="nil"/>
              <w:right w:val="single" w:sz="4" w:space="0" w:color="000000" w:themeColor="text1"/>
            </w:tcBorders>
            <w:shd w:val="clear" w:color="auto" w:fill="F2F2F2" w:themeFill="background1" w:themeFillShade="F2"/>
            <w:noWrap/>
            <w:vAlign w:val="center"/>
            <w:hideMark/>
          </w:tcPr>
          <w:p w14:paraId="547B6169" w14:textId="77777777" w:rsidR="000D08BC" w:rsidRPr="004E74A6" w:rsidRDefault="000D08BC" w:rsidP="00832773">
            <w:pPr>
              <w:spacing w:line="276" w:lineRule="auto"/>
              <w:jc w:val="center"/>
              <w:rPr>
                <w:rFonts w:cs="Calibri"/>
                <w:i/>
                <w:iCs/>
                <w:color w:val="000000"/>
                <w:sz w:val="18"/>
                <w:szCs w:val="18"/>
                <w:lang w:eastAsia="es-CR"/>
              </w:rPr>
            </w:pPr>
            <w:r w:rsidRPr="004E74A6">
              <w:rPr>
                <w:rFonts w:cs="Calibri"/>
                <w:i/>
                <w:iCs/>
                <w:color w:val="000000"/>
                <w:sz w:val="18"/>
                <w:szCs w:val="18"/>
                <w:lang w:eastAsia="es-CR"/>
              </w:rPr>
              <w:t>0</w:t>
            </w:r>
          </w:p>
        </w:tc>
        <w:tc>
          <w:tcPr>
            <w:tcW w:w="1173" w:type="dxa"/>
            <w:tcBorders>
              <w:top w:val="nil"/>
              <w:left w:val="single" w:sz="4" w:space="0" w:color="000000" w:themeColor="text1"/>
              <w:bottom w:val="nil"/>
              <w:right w:val="single" w:sz="4" w:space="0" w:color="000000" w:themeColor="text1"/>
            </w:tcBorders>
            <w:shd w:val="clear" w:color="auto" w:fill="F2F2F2" w:themeFill="background1" w:themeFillShade="F2"/>
            <w:noWrap/>
            <w:vAlign w:val="center"/>
            <w:hideMark/>
          </w:tcPr>
          <w:p w14:paraId="1C54DD40" w14:textId="77777777" w:rsidR="000D08BC" w:rsidRPr="004E74A6" w:rsidRDefault="000D08BC" w:rsidP="00832773">
            <w:pPr>
              <w:spacing w:line="276" w:lineRule="auto"/>
              <w:jc w:val="center"/>
              <w:rPr>
                <w:rFonts w:cs="Calibri"/>
                <w:i/>
                <w:iCs/>
                <w:color w:val="000000"/>
                <w:sz w:val="18"/>
                <w:szCs w:val="18"/>
                <w:lang w:eastAsia="es-CR"/>
              </w:rPr>
            </w:pPr>
            <w:r w:rsidRPr="004E74A6">
              <w:rPr>
                <w:rFonts w:cs="Calibri"/>
                <w:i/>
                <w:iCs/>
                <w:color w:val="000000"/>
                <w:sz w:val="18"/>
                <w:szCs w:val="18"/>
                <w:lang w:eastAsia="es-CR"/>
              </w:rPr>
              <w:t>0</w:t>
            </w:r>
          </w:p>
        </w:tc>
        <w:tc>
          <w:tcPr>
            <w:tcW w:w="1173" w:type="dxa"/>
            <w:tcBorders>
              <w:top w:val="nil"/>
              <w:left w:val="single" w:sz="4" w:space="0" w:color="000000" w:themeColor="text1"/>
              <w:bottom w:val="nil"/>
              <w:right w:val="nil"/>
            </w:tcBorders>
            <w:shd w:val="clear" w:color="auto" w:fill="F2F2F2" w:themeFill="background1" w:themeFillShade="F2"/>
            <w:noWrap/>
            <w:vAlign w:val="center"/>
            <w:hideMark/>
          </w:tcPr>
          <w:p w14:paraId="7EB8AD7F" w14:textId="77777777" w:rsidR="000D08BC" w:rsidRPr="004E74A6" w:rsidRDefault="000D08BC" w:rsidP="00832773">
            <w:pPr>
              <w:spacing w:line="276" w:lineRule="auto"/>
              <w:jc w:val="center"/>
              <w:rPr>
                <w:rFonts w:cs="Calibri"/>
                <w:i/>
                <w:iCs/>
                <w:color w:val="000000"/>
                <w:sz w:val="18"/>
                <w:szCs w:val="18"/>
                <w:lang w:eastAsia="es-CR"/>
              </w:rPr>
            </w:pPr>
            <w:r w:rsidRPr="004E74A6">
              <w:rPr>
                <w:rFonts w:cs="Calibri"/>
                <w:i/>
                <w:iCs/>
                <w:color w:val="000000"/>
                <w:sz w:val="18"/>
                <w:szCs w:val="18"/>
                <w:lang w:eastAsia="es-CR"/>
              </w:rPr>
              <w:t>17,3</w:t>
            </w:r>
          </w:p>
        </w:tc>
        <w:tc>
          <w:tcPr>
            <w:tcW w:w="1508" w:type="dxa"/>
            <w:tcBorders>
              <w:top w:val="nil"/>
              <w:left w:val="single" w:sz="4" w:space="0" w:color="000000" w:themeColor="text1"/>
              <w:bottom w:val="nil"/>
              <w:right w:val="nil"/>
            </w:tcBorders>
            <w:shd w:val="clear" w:color="auto" w:fill="F2F2F2" w:themeFill="background1" w:themeFillShade="F2"/>
          </w:tcPr>
          <w:p w14:paraId="126B7FA7" w14:textId="6AF8D4BC" w:rsidR="000D08BC" w:rsidRPr="004E74A6" w:rsidRDefault="000D08BC" w:rsidP="00832773">
            <w:pPr>
              <w:spacing w:line="276" w:lineRule="auto"/>
              <w:jc w:val="center"/>
              <w:rPr>
                <w:rFonts w:cs="Calibri"/>
                <w:i/>
                <w:iCs/>
                <w:color w:val="000000"/>
                <w:sz w:val="18"/>
                <w:szCs w:val="18"/>
                <w:lang w:eastAsia="es-CR"/>
              </w:rPr>
            </w:pPr>
            <w:r w:rsidRPr="004E74A6">
              <w:rPr>
                <w:rFonts w:cs="Calibri"/>
                <w:i/>
                <w:iCs/>
                <w:color w:val="000000"/>
                <w:sz w:val="18"/>
                <w:szCs w:val="18"/>
                <w:lang w:eastAsia="es-CR"/>
              </w:rPr>
              <w:t>4%</w:t>
            </w:r>
          </w:p>
        </w:tc>
      </w:tr>
      <w:tr w:rsidR="000D08BC" w:rsidRPr="004E74A6" w14:paraId="37CDFEEA" w14:textId="410CD6C6" w:rsidTr="000D08BC">
        <w:trPr>
          <w:trHeight w:val="288"/>
          <w:jc w:val="center"/>
        </w:trPr>
        <w:tc>
          <w:tcPr>
            <w:tcW w:w="2731" w:type="dxa"/>
            <w:tcBorders>
              <w:top w:val="nil"/>
              <w:left w:val="nil"/>
              <w:bottom w:val="nil"/>
              <w:right w:val="single" w:sz="4" w:space="0" w:color="000000" w:themeColor="text1"/>
            </w:tcBorders>
            <w:shd w:val="clear" w:color="auto" w:fill="auto"/>
            <w:noWrap/>
            <w:vAlign w:val="center"/>
            <w:hideMark/>
          </w:tcPr>
          <w:p w14:paraId="22352674" w14:textId="77777777" w:rsidR="000D08BC" w:rsidRPr="004E74A6" w:rsidRDefault="000D08BC" w:rsidP="00832773">
            <w:pPr>
              <w:spacing w:line="276" w:lineRule="auto"/>
              <w:jc w:val="left"/>
              <w:rPr>
                <w:rFonts w:cs="Calibri"/>
                <w:b/>
                <w:bCs/>
                <w:color w:val="000000"/>
                <w:sz w:val="20"/>
                <w:lang w:eastAsia="es-CR"/>
              </w:rPr>
            </w:pPr>
            <w:r w:rsidRPr="004E74A6">
              <w:rPr>
                <w:rFonts w:cs="Calibri"/>
                <w:b/>
                <w:bCs/>
                <w:color w:val="000000"/>
                <w:sz w:val="20"/>
                <w:lang w:eastAsia="es-CR"/>
              </w:rPr>
              <w:t>Cobro Judicial</w:t>
            </w:r>
          </w:p>
        </w:tc>
        <w:tc>
          <w:tcPr>
            <w:tcW w:w="1173" w:type="dxa"/>
            <w:tcBorders>
              <w:top w:val="nil"/>
              <w:left w:val="single" w:sz="4" w:space="0" w:color="000000" w:themeColor="text1"/>
              <w:bottom w:val="nil"/>
              <w:right w:val="single" w:sz="4" w:space="0" w:color="000000" w:themeColor="text1"/>
            </w:tcBorders>
            <w:shd w:val="clear" w:color="auto" w:fill="auto"/>
            <w:noWrap/>
            <w:vAlign w:val="center"/>
            <w:hideMark/>
          </w:tcPr>
          <w:p w14:paraId="6C10F3B9" w14:textId="77777777" w:rsidR="000D08BC" w:rsidRPr="004E74A6" w:rsidRDefault="000D08BC" w:rsidP="00832773">
            <w:pPr>
              <w:spacing w:line="276" w:lineRule="auto"/>
              <w:jc w:val="center"/>
              <w:rPr>
                <w:rFonts w:cs="Calibri"/>
                <w:b/>
                <w:bCs/>
                <w:color w:val="000000"/>
                <w:sz w:val="20"/>
                <w:lang w:eastAsia="es-CR"/>
              </w:rPr>
            </w:pPr>
            <w:r w:rsidRPr="004E74A6">
              <w:rPr>
                <w:rFonts w:cs="Calibri"/>
                <w:b/>
                <w:bCs/>
                <w:color w:val="000000"/>
                <w:sz w:val="20"/>
                <w:lang w:eastAsia="es-CR"/>
              </w:rPr>
              <w:t>12</w:t>
            </w:r>
          </w:p>
        </w:tc>
        <w:tc>
          <w:tcPr>
            <w:tcW w:w="1173" w:type="dxa"/>
            <w:tcBorders>
              <w:top w:val="nil"/>
              <w:left w:val="single" w:sz="4" w:space="0" w:color="000000" w:themeColor="text1"/>
              <w:bottom w:val="nil"/>
              <w:right w:val="single" w:sz="4" w:space="0" w:color="000000" w:themeColor="text1"/>
            </w:tcBorders>
            <w:shd w:val="clear" w:color="auto" w:fill="auto"/>
            <w:noWrap/>
            <w:vAlign w:val="center"/>
            <w:hideMark/>
          </w:tcPr>
          <w:p w14:paraId="6162FA43" w14:textId="77777777" w:rsidR="000D08BC" w:rsidRPr="004E74A6" w:rsidRDefault="000D08BC" w:rsidP="00832773">
            <w:pPr>
              <w:spacing w:line="276" w:lineRule="auto"/>
              <w:jc w:val="center"/>
              <w:rPr>
                <w:rFonts w:cs="Calibri"/>
                <w:b/>
                <w:bCs/>
                <w:color w:val="000000"/>
                <w:sz w:val="20"/>
                <w:lang w:eastAsia="es-CR"/>
              </w:rPr>
            </w:pPr>
            <w:r w:rsidRPr="004E74A6">
              <w:rPr>
                <w:rFonts w:cs="Calibri"/>
                <w:b/>
                <w:bCs/>
                <w:color w:val="000000"/>
                <w:sz w:val="20"/>
                <w:lang w:eastAsia="es-CR"/>
              </w:rPr>
              <w:t>8</w:t>
            </w:r>
          </w:p>
        </w:tc>
        <w:tc>
          <w:tcPr>
            <w:tcW w:w="1173" w:type="dxa"/>
            <w:tcBorders>
              <w:top w:val="nil"/>
              <w:left w:val="single" w:sz="4" w:space="0" w:color="000000" w:themeColor="text1"/>
              <w:bottom w:val="nil"/>
              <w:right w:val="single" w:sz="4" w:space="0" w:color="000000" w:themeColor="text1"/>
            </w:tcBorders>
            <w:shd w:val="clear" w:color="auto" w:fill="auto"/>
            <w:noWrap/>
            <w:vAlign w:val="center"/>
            <w:hideMark/>
          </w:tcPr>
          <w:p w14:paraId="2D27D87F" w14:textId="77777777" w:rsidR="000D08BC" w:rsidRPr="004E74A6" w:rsidRDefault="000D08BC" w:rsidP="00832773">
            <w:pPr>
              <w:spacing w:line="276" w:lineRule="auto"/>
              <w:jc w:val="center"/>
              <w:rPr>
                <w:rFonts w:cs="Calibri"/>
                <w:b/>
                <w:bCs/>
                <w:color w:val="000000"/>
                <w:sz w:val="20"/>
                <w:lang w:eastAsia="es-CR"/>
              </w:rPr>
            </w:pPr>
            <w:r w:rsidRPr="004E74A6">
              <w:rPr>
                <w:rFonts w:cs="Calibri"/>
                <w:b/>
                <w:bCs/>
                <w:color w:val="000000"/>
                <w:sz w:val="20"/>
                <w:lang w:eastAsia="es-CR"/>
              </w:rPr>
              <w:t>8</w:t>
            </w:r>
          </w:p>
        </w:tc>
        <w:tc>
          <w:tcPr>
            <w:tcW w:w="1173" w:type="dxa"/>
            <w:tcBorders>
              <w:top w:val="nil"/>
              <w:left w:val="single" w:sz="4" w:space="0" w:color="000000" w:themeColor="text1"/>
              <w:bottom w:val="nil"/>
              <w:right w:val="nil"/>
            </w:tcBorders>
            <w:shd w:val="clear" w:color="auto" w:fill="auto"/>
            <w:noWrap/>
            <w:vAlign w:val="center"/>
            <w:hideMark/>
          </w:tcPr>
          <w:p w14:paraId="6CA95926" w14:textId="77777777" w:rsidR="000D08BC" w:rsidRPr="004E74A6" w:rsidRDefault="000D08BC" w:rsidP="00832773">
            <w:pPr>
              <w:spacing w:line="276" w:lineRule="auto"/>
              <w:jc w:val="center"/>
              <w:rPr>
                <w:rFonts w:cs="Calibri"/>
                <w:b/>
                <w:bCs/>
                <w:color w:val="000000"/>
                <w:sz w:val="20"/>
                <w:lang w:eastAsia="es-CR"/>
              </w:rPr>
            </w:pPr>
            <w:r w:rsidRPr="004E74A6">
              <w:rPr>
                <w:rFonts w:cs="Calibri"/>
                <w:b/>
                <w:bCs/>
                <w:color w:val="000000"/>
                <w:sz w:val="20"/>
                <w:lang w:eastAsia="es-CR"/>
              </w:rPr>
              <w:t>9,3</w:t>
            </w:r>
          </w:p>
        </w:tc>
        <w:tc>
          <w:tcPr>
            <w:tcW w:w="1508" w:type="dxa"/>
            <w:tcBorders>
              <w:top w:val="nil"/>
              <w:left w:val="single" w:sz="4" w:space="0" w:color="000000" w:themeColor="text1"/>
              <w:bottom w:val="nil"/>
              <w:right w:val="nil"/>
            </w:tcBorders>
          </w:tcPr>
          <w:p w14:paraId="2498511C" w14:textId="7DC712FD" w:rsidR="000D08BC" w:rsidRPr="004E74A6" w:rsidRDefault="00DB442A" w:rsidP="00832773">
            <w:pPr>
              <w:spacing w:line="276" w:lineRule="auto"/>
              <w:jc w:val="center"/>
              <w:rPr>
                <w:rFonts w:cs="Calibri"/>
                <w:b/>
                <w:bCs/>
                <w:color w:val="000000"/>
                <w:sz w:val="20"/>
                <w:lang w:eastAsia="es-CR"/>
              </w:rPr>
            </w:pPr>
            <w:r w:rsidRPr="004E74A6">
              <w:rPr>
                <w:rFonts w:cs="Calibri"/>
                <w:b/>
                <w:bCs/>
                <w:color w:val="000000"/>
                <w:sz w:val="20"/>
                <w:lang w:eastAsia="es-CR"/>
              </w:rPr>
              <w:t>0,8%</w:t>
            </w:r>
          </w:p>
        </w:tc>
      </w:tr>
      <w:tr w:rsidR="000D08BC" w:rsidRPr="004E74A6" w14:paraId="24A2F649" w14:textId="026C5739" w:rsidTr="000D08BC">
        <w:trPr>
          <w:trHeight w:val="288"/>
          <w:jc w:val="center"/>
        </w:trPr>
        <w:tc>
          <w:tcPr>
            <w:tcW w:w="2731" w:type="dxa"/>
            <w:tcBorders>
              <w:top w:val="nil"/>
              <w:left w:val="nil"/>
              <w:bottom w:val="nil"/>
              <w:right w:val="single" w:sz="4" w:space="0" w:color="000000" w:themeColor="text1"/>
            </w:tcBorders>
            <w:shd w:val="clear" w:color="auto" w:fill="F2F2F2" w:themeFill="background1" w:themeFillShade="F2"/>
            <w:noWrap/>
            <w:vAlign w:val="center"/>
            <w:hideMark/>
          </w:tcPr>
          <w:p w14:paraId="74B93770" w14:textId="77777777" w:rsidR="000D08BC" w:rsidRPr="004E74A6" w:rsidRDefault="000D08BC" w:rsidP="00832773">
            <w:pPr>
              <w:spacing w:line="276" w:lineRule="auto"/>
              <w:ind w:left="283"/>
              <w:jc w:val="left"/>
              <w:rPr>
                <w:rFonts w:cs="Calibri"/>
                <w:i/>
                <w:iCs/>
                <w:color w:val="000000"/>
                <w:sz w:val="18"/>
                <w:szCs w:val="18"/>
                <w:lang w:eastAsia="es-CR"/>
              </w:rPr>
            </w:pPr>
            <w:r w:rsidRPr="004E74A6">
              <w:rPr>
                <w:rFonts w:cs="Calibri"/>
                <w:i/>
                <w:iCs/>
                <w:color w:val="000000"/>
                <w:sz w:val="18"/>
                <w:szCs w:val="18"/>
                <w:lang w:eastAsia="es-CR"/>
              </w:rPr>
              <w:t>Estimable</w:t>
            </w:r>
          </w:p>
        </w:tc>
        <w:tc>
          <w:tcPr>
            <w:tcW w:w="1173" w:type="dxa"/>
            <w:tcBorders>
              <w:top w:val="nil"/>
              <w:left w:val="single" w:sz="4" w:space="0" w:color="000000" w:themeColor="text1"/>
              <w:bottom w:val="nil"/>
              <w:right w:val="single" w:sz="4" w:space="0" w:color="000000" w:themeColor="text1"/>
            </w:tcBorders>
            <w:shd w:val="clear" w:color="auto" w:fill="F2F2F2" w:themeFill="background1" w:themeFillShade="F2"/>
            <w:noWrap/>
            <w:vAlign w:val="center"/>
            <w:hideMark/>
          </w:tcPr>
          <w:p w14:paraId="0090BB21" w14:textId="77777777" w:rsidR="000D08BC" w:rsidRPr="004E74A6" w:rsidRDefault="000D08BC" w:rsidP="00832773">
            <w:pPr>
              <w:spacing w:line="276" w:lineRule="auto"/>
              <w:jc w:val="center"/>
              <w:rPr>
                <w:rFonts w:cs="Calibri"/>
                <w:i/>
                <w:iCs/>
                <w:color w:val="000000"/>
                <w:sz w:val="18"/>
                <w:szCs w:val="18"/>
                <w:lang w:eastAsia="es-CR"/>
              </w:rPr>
            </w:pPr>
            <w:r w:rsidRPr="004E74A6">
              <w:rPr>
                <w:rFonts w:cs="Calibri"/>
                <w:i/>
                <w:iCs/>
                <w:color w:val="000000"/>
                <w:sz w:val="18"/>
                <w:szCs w:val="18"/>
                <w:lang w:eastAsia="es-CR"/>
              </w:rPr>
              <w:t>2</w:t>
            </w:r>
          </w:p>
        </w:tc>
        <w:tc>
          <w:tcPr>
            <w:tcW w:w="1173" w:type="dxa"/>
            <w:tcBorders>
              <w:top w:val="nil"/>
              <w:left w:val="single" w:sz="4" w:space="0" w:color="000000" w:themeColor="text1"/>
              <w:bottom w:val="nil"/>
              <w:right w:val="single" w:sz="4" w:space="0" w:color="000000" w:themeColor="text1"/>
            </w:tcBorders>
            <w:shd w:val="clear" w:color="auto" w:fill="F2F2F2" w:themeFill="background1" w:themeFillShade="F2"/>
            <w:noWrap/>
            <w:vAlign w:val="center"/>
            <w:hideMark/>
          </w:tcPr>
          <w:p w14:paraId="4B6782C8" w14:textId="77777777" w:rsidR="000D08BC" w:rsidRPr="004E74A6" w:rsidRDefault="000D08BC" w:rsidP="00832773">
            <w:pPr>
              <w:spacing w:line="276" w:lineRule="auto"/>
              <w:jc w:val="center"/>
              <w:rPr>
                <w:rFonts w:cs="Calibri"/>
                <w:i/>
                <w:iCs/>
                <w:color w:val="000000"/>
                <w:sz w:val="18"/>
                <w:szCs w:val="18"/>
                <w:lang w:eastAsia="es-CR"/>
              </w:rPr>
            </w:pPr>
            <w:r w:rsidRPr="004E74A6">
              <w:rPr>
                <w:rFonts w:cs="Calibri"/>
                <w:i/>
                <w:iCs/>
                <w:color w:val="000000"/>
                <w:sz w:val="18"/>
                <w:szCs w:val="18"/>
                <w:lang w:eastAsia="es-CR"/>
              </w:rPr>
              <w:t>6</w:t>
            </w:r>
          </w:p>
        </w:tc>
        <w:tc>
          <w:tcPr>
            <w:tcW w:w="1173" w:type="dxa"/>
            <w:tcBorders>
              <w:top w:val="nil"/>
              <w:left w:val="single" w:sz="4" w:space="0" w:color="000000" w:themeColor="text1"/>
              <w:bottom w:val="nil"/>
              <w:right w:val="single" w:sz="4" w:space="0" w:color="000000" w:themeColor="text1"/>
            </w:tcBorders>
            <w:shd w:val="clear" w:color="auto" w:fill="F2F2F2" w:themeFill="background1" w:themeFillShade="F2"/>
            <w:noWrap/>
            <w:vAlign w:val="center"/>
            <w:hideMark/>
          </w:tcPr>
          <w:p w14:paraId="5D11096C" w14:textId="77777777" w:rsidR="000D08BC" w:rsidRPr="004E74A6" w:rsidRDefault="000D08BC" w:rsidP="00832773">
            <w:pPr>
              <w:spacing w:line="276" w:lineRule="auto"/>
              <w:jc w:val="center"/>
              <w:rPr>
                <w:rFonts w:cs="Calibri"/>
                <w:i/>
                <w:iCs/>
                <w:color w:val="000000"/>
                <w:sz w:val="18"/>
                <w:szCs w:val="18"/>
                <w:lang w:eastAsia="es-CR"/>
              </w:rPr>
            </w:pPr>
            <w:r w:rsidRPr="004E74A6">
              <w:rPr>
                <w:rFonts w:cs="Calibri"/>
                <w:i/>
                <w:iCs/>
                <w:color w:val="000000"/>
                <w:sz w:val="18"/>
                <w:szCs w:val="18"/>
                <w:lang w:eastAsia="es-CR"/>
              </w:rPr>
              <w:t>6</w:t>
            </w:r>
          </w:p>
        </w:tc>
        <w:tc>
          <w:tcPr>
            <w:tcW w:w="1173" w:type="dxa"/>
            <w:tcBorders>
              <w:top w:val="nil"/>
              <w:left w:val="single" w:sz="4" w:space="0" w:color="000000" w:themeColor="text1"/>
              <w:bottom w:val="nil"/>
              <w:right w:val="nil"/>
            </w:tcBorders>
            <w:shd w:val="clear" w:color="auto" w:fill="F2F2F2" w:themeFill="background1" w:themeFillShade="F2"/>
            <w:noWrap/>
            <w:vAlign w:val="center"/>
            <w:hideMark/>
          </w:tcPr>
          <w:p w14:paraId="71A36692" w14:textId="77777777" w:rsidR="000D08BC" w:rsidRPr="004E74A6" w:rsidRDefault="000D08BC" w:rsidP="00832773">
            <w:pPr>
              <w:spacing w:line="276" w:lineRule="auto"/>
              <w:jc w:val="center"/>
              <w:rPr>
                <w:rFonts w:cs="Calibri"/>
                <w:i/>
                <w:iCs/>
                <w:color w:val="000000"/>
                <w:sz w:val="18"/>
                <w:szCs w:val="18"/>
                <w:lang w:eastAsia="es-CR"/>
              </w:rPr>
            </w:pPr>
            <w:r w:rsidRPr="004E74A6">
              <w:rPr>
                <w:rFonts w:cs="Calibri"/>
                <w:i/>
                <w:iCs/>
                <w:color w:val="000000"/>
                <w:sz w:val="18"/>
                <w:szCs w:val="18"/>
                <w:lang w:eastAsia="es-CR"/>
              </w:rPr>
              <w:t>4,7</w:t>
            </w:r>
          </w:p>
        </w:tc>
        <w:tc>
          <w:tcPr>
            <w:tcW w:w="1508" w:type="dxa"/>
            <w:tcBorders>
              <w:top w:val="nil"/>
              <w:left w:val="single" w:sz="4" w:space="0" w:color="000000" w:themeColor="text1"/>
              <w:bottom w:val="nil"/>
              <w:right w:val="nil"/>
            </w:tcBorders>
            <w:shd w:val="clear" w:color="auto" w:fill="F2F2F2" w:themeFill="background1" w:themeFillShade="F2"/>
          </w:tcPr>
          <w:p w14:paraId="115AD417" w14:textId="77777777" w:rsidR="000D08BC" w:rsidRPr="004E74A6" w:rsidRDefault="000D08BC" w:rsidP="00832773">
            <w:pPr>
              <w:spacing w:line="276" w:lineRule="auto"/>
              <w:jc w:val="center"/>
              <w:rPr>
                <w:rFonts w:cs="Calibri"/>
                <w:i/>
                <w:iCs/>
                <w:color w:val="000000"/>
                <w:sz w:val="18"/>
                <w:szCs w:val="18"/>
                <w:lang w:eastAsia="es-CR"/>
              </w:rPr>
            </w:pPr>
          </w:p>
        </w:tc>
      </w:tr>
      <w:tr w:rsidR="000D08BC" w:rsidRPr="004E74A6" w14:paraId="4F5996BA" w14:textId="64873A8A" w:rsidTr="000D08BC">
        <w:trPr>
          <w:trHeight w:val="288"/>
          <w:jc w:val="center"/>
        </w:trPr>
        <w:tc>
          <w:tcPr>
            <w:tcW w:w="2731" w:type="dxa"/>
            <w:tcBorders>
              <w:top w:val="nil"/>
              <w:left w:val="nil"/>
              <w:bottom w:val="nil"/>
              <w:right w:val="single" w:sz="4" w:space="0" w:color="000000" w:themeColor="text1"/>
            </w:tcBorders>
            <w:shd w:val="clear" w:color="auto" w:fill="F2F2F2" w:themeFill="background1" w:themeFillShade="F2"/>
            <w:noWrap/>
            <w:vAlign w:val="center"/>
            <w:hideMark/>
          </w:tcPr>
          <w:p w14:paraId="1ACF231E" w14:textId="77777777" w:rsidR="000D08BC" w:rsidRPr="004E74A6" w:rsidRDefault="000D08BC" w:rsidP="00832773">
            <w:pPr>
              <w:spacing w:line="276" w:lineRule="auto"/>
              <w:ind w:left="283"/>
              <w:jc w:val="left"/>
              <w:rPr>
                <w:rFonts w:cs="Calibri"/>
                <w:i/>
                <w:iCs/>
                <w:color w:val="000000"/>
                <w:sz w:val="18"/>
                <w:szCs w:val="18"/>
                <w:lang w:eastAsia="es-CR"/>
              </w:rPr>
            </w:pPr>
            <w:r w:rsidRPr="004E74A6">
              <w:rPr>
                <w:rFonts w:cs="Calibri"/>
                <w:i/>
                <w:iCs/>
                <w:color w:val="000000"/>
                <w:sz w:val="18"/>
                <w:szCs w:val="18"/>
                <w:lang w:eastAsia="es-CR"/>
              </w:rPr>
              <w:t>Inestimable</w:t>
            </w:r>
          </w:p>
        </w:tc>
        <w:tc>
          <w:tcPr>
            <w:tcW w:w="1173" w:type="dxa"/>
            <w:tcBorders>
              <w:top w:val="nil"/>
              <w:left w:val="single" w:sz="4" w:space="0" w:color="000000" w:themeColor="text1"/>
              <w:bottom w:val="nil"/>
              <w:right w:val="single" w:sz="4" w:space="0" w:color="000000" w:themeColor="text1"/>
            </w:tcBorders>
            <w:shd w:val="clear" w:color="auto" w:fill="F2F2F2" w:themeFill="background1" w:themeFillShade="F2"/>
            <w:noWrap/>
            <w:vAlign w:val="center"/>
            <w:hideMark/>
          </w:tcPr>
          <w:p w14:paraId="1782EC26" w14:textId="77777777" w:rsidR="000D08BC" w:rsidRPr="004E74A6" w:rsidRDefault="000D08BC" w:rsidP="00832773">
            <w:pPr>
              <w:spacing w:line="276" w:lineRule="auto"/>
              <w:jc w:val="center"/>
              <w:rPr>
                <w:rFonts w:cs="Calibri"/>
                <w:i/>
                <w:iCs/>
                <w:color w:val="000000"/>
                <w:sz w:val="18"/>
                <w:szCs w:val="18"/>
                <w:lang w:eastAsia="es-CR"/>
              </w:rPr>
            </w:pPr>
            <w:r w:rsidRPr="004E74A6">
              <w:rPr>
                <w:rFonts w:cs="Calibri"/>
                <w:i/>
                <w:iCs/>
                <w:color w:val="000000"/>
                <w:sz w:val="18"/>
                <w:szCs w:val="18"/>
                <w:lang w:eastAsia="es-CR"/>
              </w:rPr>
              <w:t>0</w:t>
            </w:r>
          </w:p>
        </w:tc>
        <w:tc>
          <w:tcPr>
            <w:tcW w:w="1173" w:type="dxa"/>
            <w:tcBorders>
              <w:top w:val="nil"/>
              <w:left w:val="single" w:sz="4" w:space="0" w:color="000000" w:themeColor="text1"/>
              <w:bottom w:val="nil"/>
              <w:right w:val="single" w:sz="4" w:space="0" w:color="000000" w:themeColor="text1"/>
            </w:tcBorders>
            <w:shd w:val="clear" w:color="auto" w:fill="F2F2F2" w:themeFill="background1" w:themeFillShade="F2"/>
            <w:noWrap/>
            <w:vAlign w:val="center"/>
            <w:hideMark/>
          </w:tcPr>
          <w:p w14:paraId="14AA34C4" w14:textId="77777777" w:rsidR="000D08BC" w:rsidRPr="004E74A6" w:rsidRDefault="000D08BC" w:rsidP="00832773">
            <w:pPr>
              <w:spacing w:line="276" w:lineRule="auto"/>
              <w:jc w:val="center"/>
              <w:rPr>
                <w:rFonts w:cs="Calibri"/>
                <w:i/>
                <w:iCs/>
                <w:color w:val="000000"/>
                <w:sz w:val="18"/>
                <w:szCs w:val="18"/>
                <w:lang w:eastAsia="es-CR"/>
              </w:rPr>
            </w:pPr>
            <w:r w:rsidRPr="004E74A6">
              <w:rPr>
                <w:rFonts w:cs="Calibri"/>
                <w:i/>
                <w:iCs/>
                <w:color w:val="000000"/>
                <w:sz w:val="18"/>
                <w:szCs w:val="18"/>
                <w:lang w:eastAsia="es-CR"/>
              </w:rPr>
              <w:t>1</w:t>
            </w:r>
          </w:p>
        </w:tc>
        <w:tc>
          <w:tcPr>
            <w:tcW w:w="1173" w:type="dxa"/>
            <w:tcBorders>
              <w:top w:val="nil"/>
              <w:left w:val="single" w:sz="4" w:space="0" w:color="000000" w:themeColor="text1"/>
              <w:bottom w:val="nil"/>
              <w:right w:val="single" w:sz="4" w:space="0" w:color="000000" w:themeColor="text1"/>
            </w:tcBorders>
            <w:shd w:val="clear" w:color="auto" w:fill="F2F2F2" w:themeFill="background1" w:themeFillShade="F2"/>
            <w:noWrap/>
            <w:vAlign w:val="center"/>
            <w:hideMark/>
          </w:tcPr>
          <w:p w14:paraId="60B6F734" w14:textId="77777777" w:rsidR="000D08BC" w:rsidRPr="004E74A6" w:rsidRDefault="000D08BC" w:rsidP="00832773">
            <w:pPr>
              <w:spacing w:line="276" w:lineRule="auto"/>
              <w:jc w:val="center"/>
              <w:rPr>
                <w:rFonts w:cs="Calibri"/>
                <w:i/>
                <w:iCs/>
                <w:color w:val="000000"/>
                <w:sz w:val="18"/>
                <w:szCs w:val="18"/>
                <w:lang w:eastAsia="es-CR"/>
              </w:rPr>
            </w:pPr>
            <w:r w:rsidRPr="004E74A6">
              <w:rPr>
                <w:rFonts w:cs="Calibri"/>
                <w:i/>
                <w:iCs/>
                <w:color w:val="000000"/>
                <w:sz w:val="18"/>
                <w:szCs w:val="18"/>
                <w:lang w:eastAsia="es-CR"/>
              </w:rPr>
              <w:t>0</w:t>
            </w:r>
          </w:p>
        </w:tc>
        <w:tc>
          <w:tcPr>
            <w:tcW w:w="1173" w:type="dxa"/>
            <w:tcBorders>
              <w:top w:val="nil"/>
              <w:left w:val="single" w:sz="4" w:space="0" w:color="000000" w:themeColor="text1"/>
              <w:bottom w:val="nil"/>
              <w:right w:val="nil"/>
            </w:tcBorders>
            <w:shd w:val="clear" w:color="auto" w:fill="F2F2F2" w:themeFill="background1" w:themeFillShade="F2"/>
            <w:noWrap/>
            <w:vAlign w:val="center"/>
            <w:hideMark/>
          </w:tcPr>
          <w:p w14:paraId="663661FA" w14:textId="77777777" w:rsidR="000D08BC" w:rsidRPr="004E74A6" w:rsidRDefault="000D08BC" w:rsidP="00832773">
            <w:pPr>
              <w:spacing w:line="276" w:lineRule="auto"/>
              <w:jc w:val="center"/>
              <w:rPr>
                <w:rFonts w:cs="Calibri"/>
                <w:i/>
                <w:iCs/>
                <w:color w:val="000000"/>
                <w:sz w:val="18"/>
                <w:szCs w:val="18"/>
                <w:lang w:eastAsia="es-CR"/>
              </w:rPr>
            </w:pPr>
            <w:r w:rsidRPr="004E74A6">
              <w:rPr>
                <w:rFonts w:cs="Calibri"/>
                <w:i/>
                <w:iCs/>
                <w:color w:val="000000"/>
                <w:sz w:val="18"/>
                <w:szCs w:val="18"/>
                <w:lang w:eastAsia="es-CR"/>
              </w:rPr>
              <w:t>0,3</w:t>
            </w:r>
          </w:p>
        </w:tc>
        <w:tc>
          <w:tcPr>
            <w:tcW w:w="1508" w:type="dxa"/>
            <w:tcBorders>
              <w:top w:val="nil"/>
              <w:left w:val="single" w:sz="4" w:space="0" w:color="000000" w:themeColor="text1"/>
              <w:bottom w:val="nil"/>
              <w:right w:val="nil"/>
            </w:tcBorders>
            <w:shd w:val="clear" w:color="auto" w:fill="F2F2F2" w:themeFill="background1" w:themeFillShade="F2"/>
          </w:tcPr>
          <w:p w14:paraId="32DDBC37" w14:textId="77777777" w:rsidR="000D08BC" w:rsidRPr="004E74A6" w:rsidRDefault="000D08BC" w:rsidP="00832773">
            <w:pPr>
              <w:spacing w:line="276" w:lineRule="auto"/>
              <w:jc w:val="center"/>
              <w:rPr>
                <w:rFonts w:cs="Calibri"/>
                <w:i/>
                <w:iCs/>
                <w:color w:val="000000"/>
                <w:sz w:val="18"/>
                <w:szCs w:val="18"/>
                <w:lang w:eastAsia="es-CR"/>
              </w:rPr>
            </w:pPr>
          </w:p>
        </w:tc>
      </w:tr>
      <w:tr w:rsidR="000D08BC" w:rsidRPr="004E74A6" w14:paraId="20470084" w14:textId="7F8A5C06" w:rsidTr="000D08BC">
        <w:trPr>
          <w:trHeight w:val="288"/>
          <w:jc w:val="center"/>
        </w:trPr>
        <w:tc>
          <w:tcPr>
            <w:tcW w:w="2731" w:type="dxa"/>
            <w:tcBorders>
              <w:top w:val="nil"/>
              <w:left w:val="nil"/>
              <w:bottom w:val="nil"/>
              <w:right w:val="single" w:sz="4" w:space="0" w:color="000000" w:themeColor="text1"/>
            </w:tcBorders>
            <w:shd w:val="clear" w:color="auto" w:fill="F2F2F2" w:themeFill="background1" w:themeFillShade="F2"/>
            <w:noWrap/>
            <w:vAlign w:val="center"/>
            <w:hideMark/>
          </w:tcPr>
          <w:p w14:paraId="3AF82E6B" w14:textId="77777777" w:rsidR="000D08BC" w:rsidRPr="004E74A6" w:rsidRDefault="000D08BC" w:rsidP="00832773">
            <w:pPr>
              <w:spacing w:line="276" w:lineRule="auto"/>
              <w:ind w:left="283"/>
              <w:jc w:val="left"/>
              <w:rPr>
                <w:rFonts w:cs="Calibri"/>
                <w:i/>
                <w:iCs/>
                <w:color w:val="000000"/>
                <w:sz w:val="18"/>
                <w:szCs w:val="18"/>
                <w:lang w:eastAsia="es-CR"/>
              </w:rPr>
            </w:pPr>
            <w:r w:rsidRPr="004E74A6">
              <w:rPr>
                <w:rFonts w:cs="Calibri"/>
                <w:i/>
                <w:iCs/>
                <w:color w:val="000000"/>
                <w:sz w:val="18"/>
                <w:szCs w:val="18"/>
                <w:lang w:eastAsia="es-CR"/>
              </w:rPr>
              <w:t>No aplica</w:t>
            </w:r>
          </w:p>
        </w:tc>
        <w:tc>
          <w:tcPr>
            <w:tcW w:w="1173" w:type="dxa"/>
            <w:tcBorders>
              <w:top w:val="nil"/>
              <w:left w:val="single" w:sz="4" w:space="0" w:color="000000" w:themeColor="text1"/>
              <w:bottom w:val="nil"/>
              <w:right w:val="single" w:sz="4" w:space="0" w:color="000000" w:themeColor="text1"/>
            </w:tcBorders>
            <w:shd w:val="clear" w:color="auto" w:fill="F2F2F2" w:themeFill="background1" w:themeFillShade="F2"/>
            <w:noWrap/>
            <w:vAlign w:val="center"/>
            <w:hideMark/>
          </w:tcPr>
          <w:p w14:paraId="5E199855" w14:textId="77777777" w:rsidR="000D08BC" w:rsidRPr="004E74A6" w:rsidRDefault="000D08BC" w:rsidP="00832773">
            <w:pPr>
              <w:spacing w:line="276" w:lineRule="auto"/>
              <w:jc w:val="center"/>
              <w:rPr>
                <w:rFonts w:cs="Calibri"/>
                <w:i/>
                <w:iCs/>
                <w:color w:val="000000"/>
                <w:sz w:val="18"/>
                <w:szCs w:val="18"/>
                <w:lang w:eastAsia="es-CR"/>
              </w:rPr>
            </w:pPr>
            <w:r w:rsidRPr="004E74A6">
              <w:rPr>
                <w:rFonts w:cs="Calibri"/>
                <w:i/>
                <w:iCs/>
                <w:color w:val="000000"/>
                <w:sz w:val="18"/>
                <w:szCs w:val="18"/>
                <w:lang w:eastAsia="es-CR"/>
              </w:rPr>
              <w:t>4</w:t>
            </w:r>
          </w:p>
        </w:tc>
        <w:tc>
          <w:tcPr>
            <w:tcW w:w="1173" w:type="dxa"/>
            <w:tcBorders>
              <w:top w:val="nil"/>
              <w:left w:val="single" w:sz="4" w:space="0" w:color="000000" w:themeColor="text1"/>
              <w:bottom w:val="nil"/>
              <w:right w:val="single" w:sz="4" w:space="0" w:color="000000" w:themeColor="text1"/>
            </w:tcBorders>
            <w:shd w:val="clear" w:color="auto" w:fill="F2F2F2" w:themeFill="background1" w:themeFillShade="F2"/>
            <w:noWrap/>
            <w:vAlign w:val="center"/>
            <w:hideMark/>
          </w:tcPr>
          <w:p w14:paraId="16F5F070" w14:textId="77777777" w:rsidR="000D08BC" w:rsidRPr="004E74A6" w:rsidRDefault="000D08BC" w:rsidP="00832773">
            <w:pPr>
              <w:spacing w:line="276" w:lineRule="auto"/>
              <w:jc w:val="center"/>
              <w:rPr>
                <w:rFonts w:cs="Calibri"/>
                <w:i/>
                <w:iCs/>
                <w:color w:val="000000"/>
                <w:sz w:val="18"/>
                <w:szCs w:val="18"/>
                <w:lang w:eastAsia="es-CR"/>
              </w:rPr>
            </w:pPr>
            <w:r w:rsidRPr="004E74A6">
              <w:rPr>
                <w:rFonts w:cs="Calibri"/>
                <w:i/>
                <w:iCs/>
                <w:color w:val="000000"/>
                <w:sz w:val="18"/>
                <w:szCs w:val="18"/>
                <w:lang w:eastAsia="es-CR"/>
              </w:rPr>
              <w:t>1</w:t>
            </w:r>
          </w:p>
        </w:tc>
        <w:tc>
          <w:tcPr>
            <w:tcW w:w="1173" w:type="dxa"/>
            <w:tcBorders>
              <w:top w:val="nil"/>
              <w:left w:val="single" w:sz="4" w:space="0" w:color="000000" w:themeColor="text1"/>
              <w:bottom w:val="nil"/>
              <w:right w:val="single" w:sz="4" w:space="0" w:color="000000" w:themeColor="text1"/>
            </w:tcBorders>
            <w:shd w:val="clear" w:color="auto" w:fill="F2F2F2" w:themeFill="background1" w:themeFillShade="F2"/>
            <w:noWrap/>
            <w:vAlign w:val="center"/>
            <w:hideMark/>
          </w:tcPr>
          <w:p w14:paraId="7415C051" w14:textId="77777777" w:rsidR="000D08BC" w:rsidRPr="004E74A6" w:rsidRDefault="000D08BC" w:rsidP="00832773">
            <w:pPr>
              <w:spacing w:line="276" w:lineRule="auto"/>
              <w:jc w:val="center"/>
              <w:rPr>
                <w:rFonts w:cs="Calibri"/>
                <w:i/>
                <w:iCs/>
                <w:color w:val="000000"/>
                <w:sz w:val="18"/>
                <w:szCs w:val="18"/>
                <w:lang w:eastAsia="es-CR"/>
              </w:rPr>
            </w:pPr>
            <w:r w:rsidRPr="004E74A6">
              <w:rPr>
                <w:rFonts w:cs="Calibri"/>
                <w:i/>
                <w:iCs/>
                <w:color w:val="000000"/>
                <w:sz w:val="18"/>
                <w:szCs w:val="18"/>
                <w:lang w:eastAsia="es-CR"/>
              </w:rPr>
              <w:t>2</w:t>
            </w:r>
          </w:p>
        </w:tc>
        <w:tc>
          <w:tcPr>
            <w:tcW w:w="1173" w:type="dxa"/>
            <w:tcBorders>
              <w:top w:val="nil"/>
              <w:left w:val="single" w:sz="4" w:space="0" w:color="000000" w:themeColor="text1"/>
              <w:bottom w:val="nil"/>
              <w:right w:val="nil"/>
            </w:tcBorders>
            <w:shd w:val="clear" w:color="auto" w:fill="F2F2F2" w:themeFill="background1" w:themeFillShade="F2"/>
            <w:noWrap/>
            <w:vAlign w:val="center"/>
            <w:hideMark/>
          </w:tcPr>
          <w:p w14:paraId="017FD625" w14:textId="77777777" w:rsidR="000D08BC" w:rsidRPr="004E74A6" w:rsidRDefault="000D08BC" w:rsidP="00832773">
            <w:pPr>
              <w:spacing w:line="276" w:lineRule="auto"/>
              <w:jc w:val="center"/>
              <w:rPr>
                <w:rFonts w:cs="Calibri"/>
                <w:i/>
                <w:iCs/>
                <w:color w:val="000000"/>
                <w:sz w:val="18"/>
                <w:szCs w:val="18"/>
                <w:lang w:eastAsia="es-CR"/>
              </w:rPr>
            </w:pPr>
            <w:r w:rsidRPr="004E74A6">
              <w:rPr>
                <w:rFonts w:cs="Calibri"/>
                <w:i/>
                <w:iCs/>
                <w:color w:val="000000"/>
                <w:sz w:val="18"/>
                <w:szCs w:val="18"/>
                <w:lang w:eastAsia="es-CR"/>
              </w:rPr>
              <w:t>2,3</w:t>
            </w:r>
          </w:p>
        </w:tc>
        <w:tc>
          <w:tcPr>
            <w:tcW w:w="1508" w:type="dxa"/>
            <w:tcBorders>
              <w:top w:val="nil"/>
              <w:left w:val="single" w:sz="4" w:space="0" w:color="000000" w:themeColor="text1"/>
              <w:bottom w:val="nil"/>
              <w:right w:val="nil"/>
            </w:tcBorders>
            <w:shd w:val="clear" w:color="auto" w:fill="F2F2F2" w:themeFill="background1" w:themeFillShade="F2"/>
          </w:tcPr>
          <w:p w14:paraId="79F94E68" w14:textId="77777777" w:rsidR="000D08BC" w:rsidRPr="004E74A6" w:rsidRDefault="000D08BC" w:rsidP="00832773">
            <w:pPr>
              <w:spacing w:line="276" w:lineRule="auto"/>
              <w:jc w:val="center"/>
              <w:rPr>
                <w:rFonts w:cs="Calibri"/>
                <w:i/>
                <w:iCs/>
                <w:color w:val="000000"/>
                <w:sz w:val="18"/>
                <w:szCs w:val="18"/>
                <w:lang w:eastAsia="es-CR"/>
              </w:rPr>
            </w:pPr>
          </w:p>
        </w:tc>
      </w:tr>
      <w:tr w:rsidR="000D08BC" w:rsidRPr="004E74A6" w14:paraId="7952FDDA" w14:textId="6C41F246" w:rsidTr="000D08BC">
        <w:trPr>
          <w:trHeight w:val="288"/>
          <w:jc w:val="center"/>
        </w:trPr>
        <w:tc>
          <w:tcPr>
            <w:tcW w:w="2731" w:type="dxa"/>
            <w:tcBorders>
              <w:top w:val="nil"/>
              <w:left w:val="nil"/>
              <w:bottom w:val="nil"/>
              <w:right w:val="single" w:sz="4" w:space="0" w:color="000000" w:themeColor="text1"/>
            </w:tcBorders>
            <w:shd w:val="clear" w:color="auto" w:fill="F2F2F2" w:themeFill="background1" w:themeFillShade="F2"/>
            <w:noWrap/>
            <w:vAlign w:val="center"/>
            <w:hideMark/>
          </w:tcPr>
          <w:p w14:paraId="5EEB8ED6" w14:textId="77777777" w:rsidR="000D08BC" w:rsidRPr="004E74A6" w:rsidRDefault="000D08BC" w:rsidP="00832773">
            <w:pPr>
              <w:spacing w:line="276" w:lineRule="auto"/>
              <w:ind w:left="283"/>
              <w:jc w:val="left"/>
              <w:rPr>
                <w:rFonts w:cs="Calibri"/>
                <w:i/>
                <w:iCs/>
                <w:color w:val="000000"/>
                <w:sz w:val="18"/>
                <w:szCs w:val="18"/>
                <w:lang w:eastAsia="es-CR"/>
              </w:rPr>
            </w:pPr>
            <w:r w:rsidRPr="004E74A6">
              <w:rPr>
                <w:rFonts w:cs="Calibri"/>
                <w:i/>
                <w:iCs/>
                <w:color w:val="000000"/>
                <w:sz w:val="18"/>
                <w:szCs w:val="18"/>
                <w:lang w:eastAsia="es-CR"/>
              </w:rPr>
              <w:t>Sin actualizar</w:t>
            </w:r>
          </w:p>
        </w:tc>
        <w:tc>
          <w:tcPr>
            <w:tcW w:w="1173" w:type="dxa"/>
            <w:tcBorders>
              <w:top w:val="nil"/>
              <w:left w:val="single" w:sz="4" w:space="0" w:color="000000" w:themeColor="text1"/>
              <w:bottom w:val="nil"/>
              <w:right w:val="single" w:sz="4" w:space="0" w:color="000000" w:themeColor="text1"/>
            </w:tcBorders>
            <w:shd w:val="clear" w:color="auto" w:fill="F2F2F2" w:themeFill="background1" w:themeFillShade="F2"/>
            <w:noWrap/>
            <w:vAlign w:val="center"/>
            <w:hideMark/>
          </w:tcPr>
          <w:p w14:paraId="0DD386A4" w14:textId="77777777" w:rsidR="000D08BC" w:rsidRPr="004E74A6" w:rsidRDefault="000D08BC" w:rsidP="00832773">
            <w:pPr>
              <w:spacing w:line="276" w:lineRule="auto"/>
              <w:jc w:val="center"/>
              <w:rPr>
                <w:rFonts w:cs="Calibri"/>
                <w:i/>
                <w:iCs/>
                <w:color w:val="000000"/>
                <w:sz w:val="18"/>
                <w:szCs w:val="18"/>
                <w:lang w:eastAsia="es-CR"/>
              </w:rPr>
            </w:pPr>
            <w:r w:rsidRPr="004E74A6">
              <w:rPr>
                <w:rFonts w:cs="Calibri"/>
                <w:i/>
                <w:iCs/>
                <w:color w:val="000000"/>
                <w:sz w:val="18"/>
                <w:szCs w:val="18"/>
                <w:lang w:eastAsia="es-CR"/>
              </w:rPr>
              <w:t>6</w:t>
            </w:r>
          </w:p>
        </w:tc>
        <w:tc>
          <w:tcPr>
            <w:tcW w:w="1173" w:type="dxa"/>
            <w:tcBorders>
              <w:top w:val="nil"/>
              <w:left w:val="single" w:sz="4" w:space="0" w:color="000000" w:themeColor="text1"/>
              <w:bottom w:val="nil"/>
              <w:right w:val="single" w:sz="4" w:space="0" w:color="000000" w:themeColor="text1"/>
            </w:tcBorders>
            <w:shd w:val="clear" w:color="auto" w:fill="F2F2F2" w:themeFill="background1" w:themeFillShade="F2"/>
            <w:noWrap/>
            <w:vAlign w:val="center"/>
            <w:hideMark/>
          </w:tcPr>
          <w:p w14:paraId="06E10A1D" w14:textId="77777777" w:rsidR="000D08BC" w:rsidRPr="004E74A6" w:rsidRDefault="000D08BC" w:rsidP="00832773">
            <w:pPr>
              <w:spacing w:line="276" w:lineRule="auto"/>
              <w:jc w:val="center"/>
              <w:rPr>
                <w:rFonts w:cs="Calibri"/>
                <w:i/>
                <w:iCs/>
                <w:color w:val="000000"/>
                <w:sz w:val="18"/>
                <w:szCs w:val="18"/>
                <w:lang w:eastAsia="es-CR"/>
              </w:rPr>
            </w:pPr>
            <w:r w:rsidRPr="004E74A6">
              <w:rPr>
                <w:rFonts w:cs="Calibri"/>
                <w:i/>
                <w:iCs/>
                <w:color w:val="000000"/>
                <w:sz w:val="18"/>
                <w:szCs w:val="18"/>
                <w:lang w:eastAsia="es-CR"/>
              </w:rPr>
              <w:t>0</w:t>
            </w:r>
          </w:p>
        </w:tc>
        <w:tc>
          <w:tcPr>
            <w:tcW w:w="1173" w:type="dxa"/>
            <w:tcBorders>
              <w:top w:val="nil"/>
              <w:left w:val="single" w:sz="4" w:space="0" w:color="000000" w:themeColor="text1"/>
              <w:bottom w:val="nil"/>
              <w:right w:val="single" w:sz="4" w:space="0" w:color="000000" w:themeColor="text1"/>
            </w:tcBorders>
            <w:shd w:val="clear" w:color="auto" w:fill="F2F2F2" w:themeFill="background1" w:themeFillShade="F2"/>
            <w:noWrap/>
            <w:vAlign w:val="center"/>
            <w:hideMark/>
          </w:tcPr>
          <w:p w14:paraId="024DA76C" w14:textId="77777777" w:rsidR="000D08BC" w:rsidRPr="004E74A6" w:rsidRDefault="000D08BC" w:rsidP="00832773">
            <w:pPr>
              <w:spacing w:line="276" w:lineRule="auto"/>
              <w:jc w:val="center"/>
              <w:rPr>
                <w:rFonts w:cs="Calibri"/>
                <w:i/>
                <w:iCs/>
                <w:color w:val="000000"/>
                <w:sz w:val="18"/>
                <w:szCs w:val="18"/>
                <w:lang w:eastAsia="es-CR"/>
              </w:rPr>
            </w:pPr>
            <w:r w:rsidRPr="004E74A6">
              <w:rPr>
                <w:rFonts w:cs="Calibri"/>
                <w:i/>
                <w:iCs/>
                <w:color w:val="000000"/>
                <w:sz w:val="18"/>
                <w:szCs w:val="18"/>
                <w:lang w:eastAsia="es-CR"/>
              </w:rPr>
              <w:t>0</w:t>
            </w:r>
          </w:p>
        </w:tc>
        <w:tc>
          <w:tcPr>
            <w:tcW w:w="1173" w:type="dxa"/>
            <w:tcBorders>
              <w:top w:val="nil"/>
              <w:left w:val="single" w:sz="4" w:space="0" w:color="000000" w:themeColor="text1"/>
              <w:bottom w:val="nil"/>
              <w:right w:val="nil"/>
            </w:tcBorders>
            <w:shd w:val="clear" w:color="auto" w:fill="F2F2F2" w:themeFill="background1" w:themeFillShade="F2"/>
            <w:noWrap/>
            <w:vAlign w:val="center"/>
            <w:hideMark/>
          </w:tcPr>
          <w:p w14:paraId="781C8624" w14:textId="77777777" w:rsidR="000D08BC" w:rsidRPr="004E74A6" w:rsidRDefault="000D08BC" w:rsidP="00832773">
            <w:pPr>
              <w:spacing w:line="276" w:lineRule="auto"/>
              <w:jc w:val="center"/>
              <w:rPr>
                <w:rFonts w:cs="Calibri"/>
                <w:i/>
                <w:iCs/>
                <w:color w:val="000000"/>
                <w:sz w:val="18"/>
                <w:szCs w:val="18"/>
                <w:lang w:eastAsia="es-CR"/>
              </w:rPr>
            </w:pPr>
            <w:r w:rsidRPr="004E74A6">
              <w:rPr>
                <w:rFonts w:cs="Calibri"/>
                <w:i/>
                <w:iCs/>
                <w:color w:val="000000"/>
                <w:sz w:val="18"/>
                <w:szCs w:val="18"/>
                <w:lang w:eastAsia="es-CR"/>
              </w:rPr>
              <w:t>2,0</w:t>
            </w:r>
          </w:p>
        </w:tc>
        <w:tc>
          <w:tcPr>
            <w:tcW w:w="1508" w:type="dxa"/>
            <w:tcBorders>
              <w:top w:val="nil"/>
              <w:left w:val="single" w:sz="4" w:space="0" w:color="000000" w:themeColor="text1"/>
              <w:bottom w:val="nil"/>
              <w:right w:val="nil"/>
            </w:tcBorders>
            <w:shd w:val="clear" w:color="auto" w:fill="F2F2F2" w:themeFill="background1" w:themeFillShade="F2"/>
          </w:tcPr>
          <w:p w14:paraId="38F8696E" w14:textId="77777777" w:rsidR="000D08BC" w:rsidRPr="004E74A6" w:rsidRDefault="000D08BC" w:rsidP="00832773">
            <w:pPr>
              <w:spacing w:line="276" w:lineRule="auto"/>
              <w:jc w:val="center"/>
              <w:rPr>
                <w:rFonts w:cs="Calibri"/>
                <w:i/>
                <w:iCs/>
                <w:color w:val="000000"/>
                <w:sz w:val="18"/>
                <w:szCs w:val="18"/>
                <w:lang w:eastAsia="es-CR"/>
              </w:rPr>
            </w:pPr>
          </w:p>
        </w:tc>
      </w:tr>
      <w:tr w:rsidR="000D08BC" w:rsidRPr="004E74A6" w14:paraId="4468E1B1" w14:textId="2CF1807F" w:rsidTr="000D08BC">
        <w:trPr>
          <w:trHeight w:val="288"/>
          <w:jc w:val="center"/>
        </w:trPr>
        <w:tc>
          <w:tcPr>
            <w:tcW w:w="2731" w:type="dxa"/>
            <w:tcBorders>
              <w:top w:val="nil"/>
              <w:left w:val="nil"/>
              <w:bottom w:val="nil"/>
              <w:right w:val="single" w:sz="4" w:space="0" w:color="000000" w:themeColor="text1"/>
            </w:tcBorders>
            <w:shd w:val="clear" w:color="auto" w:fill="auto"/>
            <w:noWrap/>
            <w:vAlign w:val="center"/>
            <w:hideMark/>
          </w:tcPr>
          <w:p w14:paraId="7FE17ED1" w14:textId="77777777" w:rsidR="000D08BC" w:rsidRPr="004E74A6" w:rsidRDefault="000D08BC" w:rsidP="00832773">
            <w:pPr>
              <w:spacing w:line="276" w:lineRule="auto"/>
              <w:jc w:val="left"/>
              <w:rPr>
                <w:rFonts w:cs="Calibri"/>
                <w:b/>
                <w:bCs/>
                <w:color w:val="000000"/>
                <w:sz w:val="20"/>
                <w:lang w:eastAsia="es-CR"/>
              </w:rPr>
            </w:pPr>
            <w:r w:rsidRPr="004E74A6">
              <w:rPr>
                <w:rFonts w:cs="Calibri"/>
                <w:b/>
                <w:bCs/>
                <w:color w:val="000000"/>
                <w:sz w:val="20"/>
                <w:lang w:eastAsia="es-CR"/>
              </w:rPr>
              <w:t>Contencioso Administrativo</w:t>
            </w:r>
          </w:p>
        </w:tc>
        <w:tc>
          <w:tcPr>
            <w:tcW w:w="1173" w:type="dxa"/>
            <w:tcBorders>
              <w:top w:val="nil"/>
              <w:left w:val="single" w:sz="4" w:space="0" w:color="000000" w:themeColor="text1"/>
              <w:bottom w:val="nil"/>
              <w:right w:val="single" w:sz="4" w:space="0" w:color="000000" w:themeColor="text1"/>
            </w:tcBorders>
            <w:shd w:val="clear" w:color="auto" w:fill="auto"/>
            <w:noWrap/>
            <w:vAlign w:val="center"/>
            <w:hideMark/>
          </w:tcPr>
          <w:p w14:paraId="08CB040D" w14:textId="77777777" w:rsidR="000D08BC" w:rsidRPr="004E74A6" w:rsidRDefault="000D08BC" w:rsidP="00832773">
            <w:pPr>
              <w:spacing w:line="276" w:lineRule="auto"/>
              <w:jc w:val="center"/>
              <w:rPr>
                <w:rFonts w:cs="Calibri"/>
                <w:b/>
                <w:bCs/>
                <w:color w:val="000000"/>
                <w:sz w:val="20"/>
                <w:lang w:eastAsia="es-CR"/>
              </w:rPr>
            </w:pPr>
            <w:r w:rsidRPr="004E74A6">
              <w:rPr>
                <w:rFonts w:cs="Calibri"/>
                <w:b/>
                <w:bCs/>
                <w:color w:val="000000"/>
                <w:sz w:val="20"/>
                <w:lang w:eastAsia="es-CR"/>
              </w:rPr>
              <w:t>582</w:t>
            </w:r>
          </w:p>
        </w:tc>
        <w:tc>
          <w:tcPr>
            <w:tcW w:w="1173" w:type="dxa"/>
            <w:tcBorders>
              <w:top w:val="nil"/>
              <w:left w:val="single" w:sz="4" w:space="0" w:color="000000" w:themeColor="text1"/>
              <w:bottom w:val="nil"/>
              <w:right w:val="single" w:sz="4" w:space="0" w:color="000000" w:themeColor="text1"/>
            </w:tcBorders>
            <w:shd w:val="clear" w:color="auto" w:fill="auto"/>
            <w:noWrap/>
            <w:vAlign w:val="center"/>
            <w:hideMark/>
          </w:tcPr>
          <w:p w14:paraId="6F671E64" w14:textId="77777777" w:rsidR="000D08BC" w:rsidRPr="004E74A6" w:rsidRDefault="000D08BC" w:rsidP="00832773">
            <w:pPr>
              <w:spacing w:line="276" w:lineRule="auto"/>
              <w:jc w:val="center"/>
              <w:rPr>
                <w:rFonts w:cs="Calibri"/>
                <w:b/>
                <w:bCs/>
                <w:color w:val="000000"/>
                <w:sz w:val="20"/>
                <w:lang w:eastAsia="es-CR"/>
              </w:rPr>
            </w:pPr>
            <w:r w:rsidRPr="004E74A6">
              <w:rPr>
                <w:rFonts w:cs="Calibri"/>
                <w:b/>
                <w:bCs/>
                <w:color w:val="000000"/>
                <w:sz w:val="20"/>
                <w:lang w:eastAsia="es-CR"/>
              </w:rPr>
              <w:t>500</w:t>
            </w:r>
          </w:p>
        </w:tc>
        <w:tc>
          <w:tcPr>
            <w:tcW w:w="1173" w:type="dxa"/>
            <w:tcBorders>
              <w:top w:val="nil"/>
              <w:left w:val="single" w:sz="4" w:space="0" w:color="000000" w:themeColor="text1"/>
              <w:bottom w:val="nil"/>
              <w:right w:val="single" w:sz="4" w:space="0" w:color="000000" w:themeColor="text1"/>
            </w:tcBorders>
            <w:shd w:val="clear" w:color="auto" w:fill="auto"/>
            <w:noWrap/>
            <w:vAlign w:val="center"/>
            <w:hideMark/>
          </w:tcPr>
          <w:p w14:paraId="6205E0F5" w14:textId="77777777" w:rsidR="000D08BC" w:rsidRPr="004E74A6" w:rsidRDefault="000D08BC" w:rsidP="00832773">
            <w:pPr>
              <w:spacing w:line="276" w:lineRule="auto"/>
              <w:jc w:val="center"/>
              <w:rPr>
                <w:rFonts w:cs="Calibri"/>
                <w:b/>
                <w:bCs/>
                <w:color w:val="000000"/>
                <w:sz w:val="20"/>
                <w:lang w:eastAsia="es-CR"/>
              </w:rPr>
            </w:pPr>
            <w:r w:rsidRPr="004E74A6">
              <w:rPr>
                <w:rFonts w:cs="Calibri"/>
                <w:b/>
                <w:bCs/>
                <w:color w:val="000000"/>
                <w:sz w:val="20"/>
                <w:lang w:eastAsia="es-CR"/>
              </w:rPr>
              <w:t>518</w:t>
            </w:r>
          </w:p>
        </w:tc>
        <w:tc>
          <w:tcPr>
            <w:tcW w:w="1173" w:type="dxa"/>
            <w:tcBorders>
              <w:top w:val="nil"/>
              <w:left w:val="single" w:sz="4" w:space="0" w:color="000000" w:themeColor="text1"/>
              <w:bottom w:val="nil"/>
              <w:right w:val="nil"/>
            </w:tcBorders>
            <w:shd w:val="clear" w:color="auto" w:fill="auto"/>
            <w:noWrap/>
            <w:vAlign w:val="center"/>
            <w:hideMark/>
          </w:tcPr>
          <w:p w14:paraId="1693EFF2" w14:textId="77777777" w:rsidR="000D08BC" w:rsidRPr="004E74A6" w:rsidRDefault="000D08BC" w:rsidP="00832773">
            <w:pPr>
              <w:spacing w:line="276" w:lineRule="auto"/>
              <w:jc w:val="center"/>
              <w:rPr>
                <w:rFonts w:cs="Calibri"/>
                <w:b/>
                <w:bCs/>
                <w:color w:val="000000"/>
                <w:sz w:val="20"/>
                <w:lang w:eastAsia="es-CR"/>
              </w:rPr>
            </w:pPr>
            <w:r w:rsidRPr="004E74A6">
              <w:rPr>
                <w:rFonts w:cs="Calibri"/>
                <w:b/>
                <w:bCs/>
                <w:color w:val="000000"/>
                <w:sz w:val="20"/>
                <w:lang w:eastAsia="es-CR"/>
              </w:rPr>
              <w:t>533,3</w:t>
            </w:r>
          </w:p>
        </w:tc>
        <w:tc>
          <w:tcPr>
            <w:tcW w:w="1508" w:type="dxa"/>
            <w:tcBorders>
              <w:top w:val="nil"/>
              <w:left w:val="single" w:sz="4" w:space="0" w:color="000000" w:themeColor="text1"/>
              <w:bottom w:val="nil"/>
              <w:right w:val="nil"/>
            </w:tcBorders>
          </w:tcPr>
          <w:p w14:paraId="47DB5251" w14:textId="243D5DA3" w:rsidR="000D08BC" w:rsidRPr="004E74A6" w:rsidRDefault="00DB442A" w:rsidP="00832773">
            <w:pPr>
              <w:spacing w:line="276" w:lineRule="auto"/>
              <w:jc w:val="center"/>
              <w:rPr>
                <w:rFonts w:cs="Calibri"/>
                <w:b/>
                <w:bCs/>
                <w:color w:val="000000"/>
                <w:sz w:val="20"/>
                <w:lang w:eastAsia="es-CR"/>
              </w:rPr>
            </w:pPr>
            <w:r w:rsidRPr="004E74A6">
              <w:rPr>
                <w:rFonts w:cs="Calibri"/>
                <w:b/>
                <w:bCs/>
                <w:color w:val="000000"/>
                <w:sz w:val="20"/>
                <w:lang w:eastAsia="es-CR"/>
              </w:rPr>
              <w:t>48%</w:t>
            </w:r>
          </w:p>
        </w:tc>
      </w:tr>
      <w:tr w:rsidR="000D08BC" w:rsidRPr="004E74A6" w14:paraId="5AA97C0C" w14:textId="43F1C085" w:rsidTr="000D08BC">
        <w:trPr>
          <w:trHeight w:val="288"/>
          <w:jc w:val="center"/>
        </w:trPr>
        <w:tc>
          <w:tcPr>
            <w:tcW w:w="2731" w:type="dxa"/>
            <w:tcBorders>
              <w:top w:val="nil"/>
              <w:left w:val="nil"/>
              <w:bottom w:val="nil"/>
              <w:right w:val="single" w:sz="4" w:space="0" w:color="000000" w:themeColor="text1"/>
            </w:tcBorders>
            <w:shd w:val="clear" w:color="auto" w:fill="F2F2F2" w:themeFill="background1" w:themeFillShade="F2"/>
            <w:noWrap/>
            <w:vAlign w:val="center"/>
            <w:hideMark/>
          </w:tcPr>
          <w:p w14:paraId="06A727C9" w14:textId="77777777" w:rsidR="000D08BC" w:rsidRPr="004E74A6" w:rsidRDefault="000D08BC" w:rsidP="00832773">
            <w:pPr>
              <w:spacing w:line="276" w:lineRule="auto"/>
              <w:ind w:left="283"/>
              <w:jc w:val="left"/>
              <w:rPr>
                <w:rFonts w:cs="Calibri"/>
                <w:i/>
                <w:iCs/>
                <w:color w:val="000000"/>
                <w:sz w:val="18"/>
                <w:szCs w:val="18"/>
                <w:lang w:eastAsia="es-CR"/>
              </w:rPr>
            </w:pPr>
            <w:r w:rsidRPr="004E74A6">
              <w:rPr>
                <w:rFonts w:cs="Calibri"/>
                <w:i/>
                <w:iCs/>
                <w:color w:val="000000"/>
                <w:sz w:val="18"/>
                <w:szCs w:val="18"/>
                <w:lang w:eastAsia="es-CR"/>
              </w:rPr>
              <w:t>Estimable</w:t>
            </w:r>
          </w:p>
        </w:tc>
        <w:tc>
          <w:tcPr>
            <w:tcW w:w="1173" w:type="dxa"/>
            <w:tcBorders>
              <w:top w:val="nil"/>
              <w:left w:val="single" w:sz="4" w:space="0" w:color="000000" w:themeColor="text1"/>
              <w:bottom w:val="nil"/>
              <w:right w:val="single" w:sz="4" w:space="0" w:color="000000" w:themeColor="text1"/>
            </w:tcBorders>
            <w:shd w:val="clear" w:color="auto" w:fill="F2F2F2" w:themeFill="background1" w:themeFillShade="F2"/>
            <w:noWrap/>
            <w:vAlign w:val="center"/>
            <w:hideMark/>
          </w:tcPr>
          <w:p w14:paraId="55ADED62" w14:textId="77777777" w:rsidR="000D08BC" w:rsidRPr="004E74A6" w:rsidRDefault="000D08BC" w:rsidP="00832773">
            <w:pPr>
              <w:spacing w:line="276" w:lineRule="auto"/>
              <w:jc w:val="center"/>
              <w:rPr>
                <w:rFonts w:cs="Calibri"/>
                <w:i/>
                <w:iCs/>
                <w:color w:val="000000"/>
                <w:sz w:val="18"/>
                <w:szCs w:val="18"/>
                <w:lang w:eastAsia="es-CR"/>
              </w:rPr>
            </w:pPr>
            <w:r w:rsidRPr="004E74A6">
              <w:rPr>
                <w:rFonts w:cs="Calibri"/>
                <w:i/>
                <w:iCs/>
                <w:color w:val="000000"/>
                <w:sz w:val="18"/>
                <w:szCs w:val="18"/>
                <w:lang w:eastAsia="es-CR"/>
              </w:rPr>
              <w:t>7</w:t>
            </w:r>
          </w:p>
        </w:tc>
        <w:tc>
          <w:tcPr>
            <w:tcW w:w="1173" w:type="dxa"/>
            <w:tcBorders>
              <w:top w:val="nil"/>
              <w:left w:val="single" w:sz="4" w:space="0" w:color="000000" w:themeColor="text1"/>
              <w:bottom w:val="nil"/>
              <w:right w:val="single" w:sz="4" w:space="0" w:color="000000" w:themeColor="text1"/>
            </w:tcBorders>
            <w:shd w:val="clear" w:color="auto" w:fill="F2F2F2" w:themeFill="background1" w:themeFillShade="F2"/>
            <w:noWrap/>
            <w:vAlign w:val="center"/>
            <w:hideMark/>
          </w:tcPr>
          <w:p w14:paraId="0C78BE9E" w14:textId="77777777" w:rsidR="000D08BC" w:rsidRPr="004E74A6" w:rsidRDefault="000D08BC" w:rsidP="00832773">
            <w:pPr>
              <w:spacing w:line="276" w:lineRule="auto"/>
              <w:jc w:val="center"/>
              <w:rPr>
                <w:rFonts w:cs="Calibri"/>
                <w:i/>
                <w:iCs/>
                <w:color w:val="000000"/>
                <w:sz w:val="18"/>
                <w:szCs w:val="18"/>
                <w:lang w:eastAsia="es-CR"/>
              </w:rPr>
            </w:pPr>
            <w:r w:rsidRPr="004E74A6">
              <w:rPr>
                <w:rFonts w:cs="Calibri"/>
                <w:i/>
                <w:iCs/>
                <w:color w:val="000000"/>
                <w:sz w:val="18"/>
                <w:szCs w:val="18"/>
                <w:lang w:eastAsia="es-CR"/>
              </w:rPr>
              <w:t>18</w:t>
            </w:r>
          </w:p>
        </w:tc>
        <w:tc>
          <w:tcPr>
            <w:tcW w:w="1173" w:type="dxa"/>
            <w:tcBorders>
              <w:top w:val="nil"/>
              <w:left w:val="single" w:sz="4" w:space="0" w:color="000000" w:themeColor="text1"/>
              <w:bottom w:val="nil"/>
              <w:right w:val="single" w:sz="4" w:space="0" w:color="000000" w:themeColor="text1"/>
            </w:tcBorders>
            <w:shd w:val="clear" w:color="auto" w:fill="F2F2F2" w:themeFill="background1" w:themeFillShade="F2"/>
            <w:noWrap/>
            <w:vAlign w:val="center"/>
            <w:hideMark/>
          </w:tcPr>
          <w:p w14:paraId="0F356A19" w14:textId="77777777" w:rsidR="000D08BC" w:rsidRPr="004E74A6" w:rsidRDefault="000D08BC" w:rsidP="00832773">
            <w:pPr>
              <w:spacing w:line="276" w:lineRule="auto"/>
              <w:jc w:val="center"/>
              <w:rPr>
                <w:rFonts w:cs="Calibri"/>
                <w:i/>
                <w:iCs/>
                <w:color w:val="000000"/>
                <w:sz w:val="18"/>
                <w:szCs w:val="18"/>
                <w:lang w:eastAsia="es-CR"/>
              </w:rPr>
            </w:pPr>
            <w:r w:rsidRPr="004E74A6">
              <w:rPr>
                <w:rFonts w:cs="Calibri"/>
                <w:i/>
                <w:iCs/>
                <w:color w:val="000000"/>
                <w:sz w:val="18"/>
                <w:szCs w:val="18"/>
                <w:lang w:eastAsia="es-CR"/>
              </w:rPr>
              <w:t>17</w:t>
            </w:r>
          </w:p>
        </w:tc>
        <w:tc>
          <w:tcPr>
            <w:tcW w:w="1173" w:type="dxa"/>
            <w:tcBorders>
              <w:top w:val="nil"/>
              <w:left w:val="single" w:sz="4" w:space="0" w:color="000000" w:themeColor="text1"/>
              <w:bottom w:val="nil"/>
              <w:right w:val="nil"/>
            </w:tcBorders>
            <w:shd w:val="clear" w:color="auto" w:fill="F2F2F2" w:themeFill="background1" w:themeFillShade="F2"/>
            <w:noWrap/>
            <w:vAlign w:val="center"/>
            <w:hideMark/>
          </w:tcPr>
          <w:p w14:paraId="0F340B7D" w14:textId="77777777" w:rsidR="000D08BC" w:rsidRPr="004E74A6" w:rsidRDefault="000D08BC" w:rsidP="00832773">
            <w:pPr>
              <w:spacing w:line="276" w:lineRule="auto"/>
              <w:jc w:val="center"/>
              <w:rPr>
                <w:rFonts w:cs="Calibri"/>
                <w:i/>
                <w:iCs/>
                <w:color w:val="000000"/>
                <w:sz w:val="18"/>
                <w:szCs w:val="18"/>
                <w:lang w:eastAsia="es-CR"/>
              </w:rPr>
            </w:pPr>
            <w:r w:rsidRPr="004E74A6">
              <w:rPr>
                <w:rFonts w:cs="Calibri"/>
                <w:i/>
                <w:iCs/>
                <w:color w:val="000000"/>
                <w:sz w:val="18"/>
                <w:szCs w:val="18"/>
                <w:lang w:eastAsia="es-CR"/>
              </w:rPr>
              <w:t>14,0</w:t>
            </w:r>
          </w:p>
        </w:tc>
        <w:tc>
          <w:tcPr>
            <w:tcW w:w="1508" w:type="dxa"/>
            <w:tcBorders>
              <w:top w:val="nil"/>
              <w:left w:val="single" w:sz="4" w:space="0" w:color="000000" w:themeColor="text1"/>
              <w:bottom w:val="nil"/>
              <w:right w:val="nil"/>
            </w:tcBorders>
            <w:shd w:val="clear" w:color="auto" w:fill="F2F2F2" w:themeFill="background1" w:themeFillShade="F2"/>
          </w:tcPr>
          <w:p w14:paraId="2C739904" w14:textId="77777777" w:rsidR="000D08BC" w:rsidRPr="004E74A6" w:rsidRDefault="000D08BC" w:rsidP="00832773">
            <w:pPr>
              <w:spacing w:line="276" w:lineRule="auto"/>
              <w:jc w:val="center"/>
              <w:rPr>
                <w:rFonts w:cs="Calibri"/>
                <w:i/>
                <w:iCs/>
                <w:color w:val="000000"/>
                <w:sz w:val="18"/>
                <w:szCs w:val="18"/>
                <w:lang w:eastAsia="es-CR"/>
              </w:rPr>
            </w:pPr>
          </w:p>
        </w:tc>
      </w:tr>
      <w:tr w:rsidR="000D08BC" w:rsidRPr="004E74A6" w14:paraId="772E7A7E" w14:textId="69C1FB1A" w:rsidTr="000D08BC">
        <w:trPr>
          <w:trHeight w:val="288"/>
          <w:jc w:val="center"/>
        </w:trPr>
        <w:tc>
          <w:tcPr>
            <w:tcW w:w="2731" w:type="dxa"/>
            <w:tcBorders>
              <w:top w:val="nil"/>
              <w:left w:val="nil"/>
              <w:bottom w:val="nil"/>
              <w:right w:val="single" w:sz="4" w:space="0" w:color="000000" w:themeColor="text1"/>
            </w:tcBorders>
            <w:shd w:val="clear" w:color="auto" w:fill="F2F2F2" w:themeFill="background1" w:themeFillShade="F2"/>
            <w:noWrap/>
            <w:vAlign w:val="center"/>
            <w:hideMark/>
          </w:tcPr>
          <w:p w14:paraId="3308B6B2" w14:textId="77777777" w:rsidR="000D08BC" w:rsidRPr="004E74A6" w:rsidRDefault="000D08BC" w:rsidP="00832773">
            <w:pPr>
              <w:spacing w:line="276" w:lineRule="auto"/>
              <w:ind w:left="283"/>
              <w:jc w:val="left"/>
              <w:rPr>
                <w:rFonts w:cs="Calibri"/>
                <w:i/>
                <w:iCs/>
                <w:color w:val="000000"/>
                <w:sz w:val="18"/>
                <w:szCs w:val="18"/>
                <w:lang w:eastAsia="es-CR"/>
              </w:rPr>
            </w:pPr>
            <w:r w:rsidRPr="004E74A6">
              <w:rPr>
                <w:rFonts w:cs="Calibri"/>
                <w:i/>
                <w:iCs/>
                <w:color w:val="000000"/>
                <w:sz w:val="18"/>
                <w:szCs w:val="18"/>
                <w:lang w:eastAsia="es-CR"/>
              </w:rPr>
              <w:t>Inestimable</w:t>
            </w:r>
          </w:p>
        </w:tc>
        <w:tc>
          <w:tcPr>
            <w:tcW w:w="1173" w:type="dxa"/>
            <w:tcBorders>
              <w:top w:val="nil"/>
              <w:left w:val="single" w:sz="4" w:space="0" w:color="000000" w:themeColor="text1"/>
              <w:bottom w:val="nil"/>
              <w:right w:val="single" w:sz="4" w:space="0" w:color="000000" w:themeColor="text1"/>
            </w:tcBorders>
            <w:shd w:val="clear" w:color="auto" w:fill="F2F2F2" w:themeFill="background1" w:themeFillShade="F2"/>
            <w:noWrap/>
            <w:vAlign w:val="center"/>
            <w:hideMark/>
          </w:tcPr>
          <w:p w14:paraId="70559870" w14:textId="77777777" w:rsidR="000D08BC" w:rsidRPr="004E74A6" w:rsidRDefault="000D08BC" w:rsidP="00832773">
            <w:pPr>
              <w:spacing w:line="276" w:lineRule="auto"/>
              <w:jc w:val="center"/>
              <w:rPr>
                <w:rFonts w:cs="Calibri"/>
                <w:i/>
                <w:iCs/>
                <w:color w:val="000000"/>
                <w:sz w:val="18"/>
                <w:szCs w:val="18"/>
                <w:lang w:eastAsia="es-CR"/>
              </w:rPr>
            </w:pPr>
            <w:r w:rsidRPr="004E74A6">
              <w:rPr>
                <w:rFonts w:cs="Calibri"/>
                <w:i/>
                <w:iCs/>
                <w:color w:val="000000"/>
                <w:sz w:val="18"/>
                <w:szCs w:val="18"/>
                <w:lang w:eastAsia="es-CR"/>
              </w:rPr>
              <w:t>84</w:t>
            </w:r>
          </w:p>
        </w:tc>
        <w:tc>
          <w:tcPr>
            <w:tcW w:w="1173" w:type="dxa"/>
            <w:tcBorders>
              <w:top w:val="nil"/>
              <w:left w:val="single" w:sz="4" w:space="0" w:color="000000" w:themeColor="text1"/>
              <w:bottom w:val="nil"/>
              <w:right w:val="single" w:sz="4" w:space="0" w:color="000000" w:themeColor="text1"/>
            </w:tcBorders>
            <w:shd w:val="clear" w:color="auto" w:fill="F2F2F2" w:themeFill="background1" w:themeFillShade="F2"/>
            <w:noWrap/>
            <w:vAlign w:val="center"/>
            <w:hideMark/>
          </w:tcPr>
          <w:p w14:paraId="1EC5EF5C" w14:textId="77777777" w:rsidR="000D08BC" w:rsidRPr="004E74A6" w:rsidRDefault="000D08BC" w:rsidP="00832773">
            <w:pPr>
              <w:spacing w:line="276" w:lineRule="auto"/>
              <w:jc w:val="center"/>
              <w:rPr>
                <w:rFonts w:cs="Calibri"/>
                <w:i/>
                <w:iCs/>
                <w:color w:val="000000"/>
                <w:sz w:val="18"/>
                <w:szCs w:val="18"/>
                <w:lang w:eastAsia="es-CR"/>
              </w:rPr>
            </w:pPr>
            <w:r w:rsidRPr="004E74A6">
              <w:rPr>
                <w:rFonts w:cs="Calibri"/>
                <w:i/>
                <w:iCs/>
                <w:color w:val="000000"/>
                <w:sz w:val="18"/>
                <w:szCs w:val="18"/>
                <w:lang w:eastAsia="es-CR"/>
              </w:rPr>
              <w:t>102</w:t>
            </w:r>
          </w:p>
        </w:tc>
        <w:tc>
          <w:tcPr>
            <w:tcW w:w="1173" w:type="dxa"/>
            <w:tcBorders>
              <w:top w:val="nil"/>
              <w:left w:val="single" w:sz="4" w:space="0" w:color="000000" w:themeColor="text1"/>
              <w:bottom w:val="nil"/>
              <w:right w:val="single" w:sz="4" w:space="0" w:color="000000" w:themeColor="text1"/>
            </w:tcBorders>
            <w:shd w:val="clear" w:color="auto" w:fill="F2F2F2" w:themeFill="background1" w:themeFillShade="F2"/>
            <w:noWrap/>
            <w:vAlign w:val="center"/>
            <w:hideMark/>
          </w:tcPr>
          <w:p w14:paraId="2A7C5AD7" w14:textId="77777777" w:rsidR="000D08BC" w:rsidRPr="004E74A6" w:rsidRDefault="000D08BC" w:rsidP="00832773">
            <w:pPr>
              <w:spacing w:line="276" w:lineRule="auto"/>
              <w:jc w:val="center"/>
              <w:rPr>
                <w:rFonts w:cs="Calibri"/>
                <w:i/>
                <w:iCs/>
                <w:color w:val="000000"/>
                <w:sz w:val="18"/>
                <w:szCs w:val="18"/>
                <w:lang w:eastAsia="es-CR"/>
              </w:rPr>
            </w:pPr>
            <w:r w:rsidRPr="004E74A6">
              <w:rPr>
                <w:rFonts w:cs="Calibri"/>
                <w:i/>
                <w:iCs/>
                <w:color w:val="000000"/>
                <w:sz w:val="18"/>
                <w:szCs w:val="18"/>
                <w:lang w:eastAsia="es-CR"/>
              </w:rPr>
              <w:t>6</w:t>
            </w:r>
          </w:p>
        </w:tc>
        <w:tc>
          <w:tcPr>
            <w:tcW w:w="1173" w:type="dxa"/>
            <w:tcBorders>
              <w:top w:val="nil"/>
              <w:left w:val="single" w:sz="4" w:space="0" w:color="000000" w:themeColor="text1"/>
              <w:bottom w:val="nil"/>
              <w:right w:val="nil"/>
            </w:tcBorders>
            <w:shd w:val="clear" w:color="auto" w:fill="F2F2F2" w:themeFill="background1" w:themeFillShade="F2"/>
            <w:noWrap/>
            <w:vAlign w:val="center"/>
            <w:hideMark/>
          </w:tcPr>
          <w:p w14:paraId="7FB5A957" w14:textId="77777777" w:rsidR="000D08BC" w:rsidRPr="004E74A6" w:rsidRDefault="000D08BC" w:rsidP="00832773">
            <w:pPr>
              <w:spacing w:line="276" w:lineRule="auto"/>
              <w:jc w:val="center"/>
              <w:rPr>
                <w:rFonts w:cs="Calibri"/>
                <w:i/>
                <w:iCs/>
                <w:color w:val="000000"/>
                <w:sz w:val="18"/>
                <w:szCs w:val="18"/>
                <w:lang w:eastAsia="es-CR"/>
              </w:rPr>
            </w:pPr>
            <w:r w:rsidRPr="004E74A6">
              <w:rPr>
                <w:rFonts w:cs="Calibri"/>
                <w:i/>
                <w:iCs/>
                <w:color w:val="000000"/>
                <w:sz w:val="18"/>
                <w:szCs w:val="18"/>
                <w:lang w:eastAsia="es-CR"/>
              </w:rPr>
              <w:t>64,0</w:t>
            </w:r>
          </w:p>
        </w:tc>
        <w:tc>
          <w:tcPr>
            <w:tcW w:w="1508" w:type="dxa"/>
            <w:tcBorders>
              <w:top w:val="nil"/>
              <w:left w:val="single" w:sz="4" w:space="0" w:color="000000" w:themeColor="text1"/>
              <w:bottom w:val="nil"/>
              <w:right w:val="nil"/>
            </w:tcBorders>
            <w:shd w:val="clear" w:color="auto" w:fill="F2F2F2" w:themeFill="background1" w:themeFillShade="F2"/>
          </w:tcPr>
          <w:p w14:paraId="51CB0DAE" w14:textId="77777777" w:rsidR="000D08BC" w:rsidRPr="004E74A6" w:rsidRDefault="000D08BC" w:rsidP="00832773">
            <w:pPr>
              <w:spacing w:line="276" w:lineRule="auto"/>
              <w:jc w:val="center"/>
              <w:rPr>
                <w:rFonts w:cs="Calibri"/>
                <w:i/>
                <w:iCs/>
                <w:color w:val="000000"/>
                <w:sz w:val="18"/>
                <w:szCs w:val="18"/>
                <w:lang w:eastAsia="es-CR"/>
              </w:rPr>
            </w:pPr>
          </w:p>
        </w:tc>
      </w:tr>
      <w:tr w:rsidR="000D08BC" w:rsidRPr="004E74A6" w14:paraId="5E9B3CD4" w14:textId="75D8A200" w:rsidTr="000D08BC">
        <w:trPr>
          <w:trHeight w:val="288"/>
          <w:jc w:val="center"/>
        </w:trPr>
        <w:tc>
          <w:tcPr>
            <w:tcW w:w="2731" w:type="dxa"/>
            <w:tcBorders>
              <w:top w:val="nil"/>
              <w:left w:val="nil"/>
              <w:bottom w:val="nil"/>
              <w:right w:val="single" w:sz="4" w:space="0" w:color="000000" w:themeColor="text1"/>
            </w:tcBorders>
            <w:shd w:val="clear" w:color="auto" w:fill="F2F2F2" w:themeFill="background1" w:themeFillShade="F2"/>
            <w:noWrap/>
            <w:vAlign w:val="center"/>
            <w:hideMark/>
          </w:tcPr>
          <w:p w14:paraId="4D1E38C5" w14:textId="77777777" w:rsidR="000D08BC" w:rsidRPr="004E74A6" w:rsidRDefault="000D08BC" w:rsidP="00832773">
            <w:pPr>
              <w:spacing w:line="276" w:lineRule="auto"/>
              <w:ind w:left="283"/>
              <w:jc w:val="left"/>
              <w:rPr>
                <w:rFonts w:cs="Calibri"/>
                <w:i/>
                <w:iCs/>
                <w:color w:val="000000"/>
                <w:sz w:val="18"/>
                <w:szCs w:val="18"/>
                <w:lang w:eastAsia="es-CR"/>
              </w:rPr>
            </w:pPr>
            <w:r w:rsidRPr="004E74A6">
              <w:rPr>
                <w:rFonts w:cs="Calibri"/>
                <w:i/>
                <w:iCs/>
                <w:color w:val="000000"/>
                <w:sz w:val="18"/>
                <w:szCs w:val="18"/>
                <w:lang w:eastAsia="es-CR"/>
              </w:rPr>
              <w:t>No aplica</w:t>
            </w:r>
          </w:p>
        </w:tc>
        <w:tc>
          <w:tcPr>
            <w:tcW w:w="1173" w:type="dxa"/>
            <w:tcBorders>
              <w:top w:val="nil"/>
              <w:left w:val="single" w:sz="4" w:space="0" w:color="000000" w:themeColor="text1"/>
              <w:bottom w:val="nil"/>
              <w:right w:val="single" w:sz="4" w:space="0" w:color="000000" w:themeColor="text1"/>
            </w:tcBorders>
            <w:shd w:val="clear" w:color="auto" w:fill="F2F2F2" w:themeFill="background1" w:themeFillShade="F2"/>
            <w:noWrap/>
            <w:vAlign w:val="center"/>
            <w:hideMark/>
          </w:tcPr>
          <w:p w14:paraId="1B74C74B" w14:textId="77777777" w:rsidR="000D08BC" w:rsidRPr="004E74A6" w:rsidRDefault="000D08BC" w:rsidP="00832773">
            <w:pPr>
              <w:spacing w:line="276" w:lineRule="auto"/>
              <w:jc w:val="center"/>
              <w:rPr>
                <w:rFonts w:cs="Calibri"/>
                <w:i/>
                <w:iCs/>
                <w:color w:val="000000"/>
                <w:sz w:val="18"/>
                <w:szCs w:val="18"/>
                <w:lang w:eastAsia="es-CR"/>
              </w:rPr>
            </w:pPr>
            <w:r w:rsidRPr="004E74A6">
              <w:rPr>
                <w:rFonts w:cs="Calibri"/>
                <w:i/>
                <w:iCs/>
                <w:color w:val="000000"/>
                <w:sz w:val="18"/>
                <w:szCs w:val="18"/>
                <w:lang w:eastAsia="es-CR"/>
              </w:rPr>
              <w:t>422</w:t>
            </w:r>
          </w:p>
        </w:tc>
        <w:tc>
          <w:tcPr>
            <w:tcW w:w="1173" w:type="dxa"/>
            <w:tcBorders>
              <w:top w:val="nil"/>
              <w:left w:val="single" w:sz="4" w:space="0" w:color="000000" w:themeColor="text1"/>
              <w:bottom w:val="nil"/>
              <w:right w:val="single" w:sz="4" w:space="0" w:color="000000" w:themeColor="text1"/>
            </w:tcBorders>
            <w:shd w:val="clear" w:color="auto" w:fill="F2F2F2" w:themeFill="background1" w:themeFillShade="F2"/>
            <w:noWrap/>
            <w:vAlign w:val="center"/>
            <w:hideMark/>
          </w:tcPr>
          <w:p w14:paraId="6A0E4709" w14:textId="77777777" w:rsidR="000D08BC" w:rsidRPr="004E74A6" w:rsidRDefault="000D08BC" w:rsidP="00832773">
            <w:pPr>
              <w:spacing w:line="276" w:lineRule="auto"/>
              <w:jc w:val="center"/>
              <w:rPr>
                <w:rFonts w:cs="Calibri"/>
                <w:i/>
                <w:iCs/>
                <w:color w:val="000000"/>
                <w:sz w:val="18"/>
                <w:szCs w:val="18"/>
                <w:lang w:eastAsia="es-CR"/>
              </w:rPr>
            </w:pPr>
            <w:r w:rsidRPr="004E74A6">
              <w:rPr>
                <w:rFonts w:cs="Calibri"/>
                <w:i/>
                <w:iCs/>
                <w:color w:val="000000"/>
                <w:sz w:val="18"/>
                <w:szCs w:val="18"/>
                <w:lang w:eastAsia="es-CR"/>
              </w:rPr>
              <w:t>379</w:t>
            </w:r>
          </w:p>
        </w:tc>
        <w:tc>
          <w:tcPr>
            <w:tcW w:w="1173" w:type="dxa"/>
            <w:tcBorders>
              <w:top w:val="nil"/>
              <w:left w:val="single" w:sz="4" w:space="0" w:color="000000" w:themeColor="text1"/>
              <w:bottom w:val="nil"/>
              <w:right w:val="single" w:sz="4" w:space="0" w:color="000000" w:themeColor="text1"/>
            </w:tcBorders>
            <w:shd w:val="clear" w:color="auto" w:fill="F2F2F2" w:themeFill="background1" w:themeFillShade="F2"/>
            <w:noWrap/>
            <w:vAlign w:val="center"/>
            <w:hideMark/>
          </w:tcPr>
          <w:p w14:paraId="40C8065A" w14:textId="77777777" w:rsidR="000D08BC" w:rsidRPr="004E74A6" w:rsidRDefault="000D08BC" w:rsidP="00832773">
            <w:pPr>
              <w:spacing w:line="276" w:lineRule="auto"/>
              <w:jc w:val="center"/>
              <w:rPr>
                <w:rFonts w:cs="Calibri"/>
                <w:i/>
                <w:iCs/>
                <w:color w:val="000000"/>
                <w:sz w:val="18"/>
                <w:szCs w:val="18"/>
                <w:lang w:eastAsia="es-CR"/>
              </w:rPr>
            </w:pPr>
            <w:r w:rsidRPr="004E74A6">
              <w:rPr>
                <w:rFonts w:cs="Calibri"/>
                <w:i/>
                <w:iCs/>
                <w:color w:val="000000"/>
                <w:sz w:val="18"/>
                <w:szCs w:val="18"/>
                <w:lang w:eastAsia="es-CR"/>
              </w:rPr>
              <w:t>486</w:t>
            </w:r>
          </w:p>
        </w:tc>
        <w:tc>
          <w:tcPr>
            <w:tcW w:w="1173" w:type="dxa"/>
            <w:tcBorders>
              <w:top w:val="nil"/>
              <w:left w:val="single" w:sz="4" w:space="0" w:color="000000" w:themeColor="text1"/>
              <w:bottom w:val="nil"/>
              <w:right w:val="nil"/>
            </w:tcBorders>
            <w:shd w:val="clear" w:color="auto" w:fill="F2F2F2" w:themeFill="background1" w:themeFillShade="F2"/>
            <w:noWrap/>
            <w:vAlign w:val="center"/>
            <w:hideMark/>
          </w:tcPr>
          <w:p w14:paraId="54A87B9E" w14:textId="77777777" w:rsidR="000D08BC" w:rsidRPr="004E74A6" w:rsidRDefault="000D08BC" w:rsidP="00832773">
            <w:pPr>
              <w:spacing w:line="276" w:lineRule="auto"/>
              <w:jc w:val="center"/>
              <w:rPr>
                <w:rFonts w:cs="Calibri"/>
                <w:i/>
                <w:iCs/>
                <w:color w:val="000000"/>
                <w:sz w:val="18"/>
                <w:szCs w:val="18"/>
                <w:lang w:eastAsia="es-CR"/>
              </w:rPr>
            </w:pPr>
            <w:r w:rsidRPr="004E74A6">
              <w:rPr>
                <w:rFonts w:cs="Calibri"/>
                <w:i/>
                <w:iCs/>
                <w:color w:val="000000"/>
                <w:sz w:val="18"/>
                <w:szCs w:val="18"/>
                <w:lang w:eastAsia="es-CR"/>
              </w:rPr>
              <w:t>429,0</w:t>
            </w:r>
          </w:p>
        </w:tc>
        <w:tc>
          <w:tcPr>
            <w:tcW w:w="1508" w:type="dxa"/>
            <w:tcBorders>
              <w:top w:val="nil"/>
              <w:left w:val="single" w:sz="4" w:space="0" w:color="000000" w:themeColor="text1"/>
              <w:bottom w:val="nil"/>
              <w:right w:val="nil"/>
            </w:tcBorders>
            <w:shd w:val="clear" w:color="auto" w:fill="F2F2F2" w:themeFill="background1" w:themeFillShade="F2"/>
          </w:tcPr>
          <w:p w14:paraId="12CBD962" w14:textId="77777777" w:rsidR="000D08BC" w:rsidRPr="004E74A6" w:rsidRDefault="000D08BC" w:rsidP="00832773">
            <w:pPr>
              <w:spacing w:line="276" w:lineRule="auto"/>
              <w:jc w:val="center"/>
              <w:rPr>
                <w:rFonts w:cs="Calibri"/>
                <w:i/>
                <w:iCs/>
                <w:color w:val="000000"/>
                <w:sz w:val="18"/>
                <w:szCs w:val="18"/>
                <w:lang w:eastAsia="es-CR"/>
              </w:rPr>
            </w:pPr>
          </w:p>
        </w:tc>
      </w:tr>
      <w:tr w:rsidR="000D08BC" w:rsidRPr="004E74A6" w14:paraId="1DDFF1CC" w14:textId="315F2FFC" w:rsidTr="000D08BC">
        <w:trPr>
          <w:trHeight w:val="288"/>
          <w:jc w:val="center"/>
        </w:trPr>
        <w:tc>
          <w:tcPr>
            <w:tcW w:w="2731" w:type="dxa"/>
            <w:tcBorders>
              <w:top w:val="nil"/>
              <w:left w:val="nil"/>
              <w:bottom w:val="nil"/>
              <w:right w:val="single" w:sz="4" w:space="0" w:color="000000" w:themeColor="text1"/>
            </w:tcBorders>
            <w:shd w:val="clear" w:color="auto" w:fill="F2F2F2" w:themeFill="background1" w:themeFillShade="F2"/>
            <w:noWrap/>
            <w:vAlign w:val="center"/>
            <w:hideMark/>
          </w:tcPr>
          <w:p w14:paraId="04798875" w14:textId="77777777" w:rsidR="000D08BC" w:rsidRPr="004E74A6" w:rsidRDefault="000D08BC" w:rsidP="00832773">
            <w:pPr>
              <w:spacing w:line="276" w:lineRule="auto"/>
              <w:ind w:left="283"/>
              <w:jc w:val="left"/>
              <w:rPr>
                <w:rFonts w:cs="Calibri"/>
                <w:i/>
                <w:iCs/>
                <w:color w:val="000000"/>
                <w:sz w:val="18"/>
                <w:szCs w:val="18"/>
                <w:lang w:eastAsia="es-CR"/>
              </w:rPr>
            </w:pPr>
            <w:r w:rsidRPr="004E74A6">
              <w:rPr>
                <w:rFonts w:cs="Calibri"/>
                <w:i/>
                <w:iCs/>
                <w:color w:val="000000"/>
                <w:sz w:val="18"/>
                <w:szCs w:val="18"/>
                <w:lang w:eastAsia="es-CR"/>
              </w:rPr>
              <w:t>Sin actualizar</w:t>
            </w:r>
          </w:p>
        </w:tc>
        <w:tc>
          <w:tcPr>
            <w:tcW w:w="1173" w:type="dxa"/>
            <w:tcBorders>
              <w:top w:val="nil"/>
              <w:left w:val="single" w:sz="4" w:space="0" w:color="000000" w:themeColor="text1"/>
              <w:bottom w:val="nil"/>
              <w:right w:val="single" w:sz="4" w:space="0" w:color="000000" w:themeColor="text1"/>
            </w:tcBorders>
            <w:shd w:val="clear" w:color="auto" w:fill="F2F2F2" w:themeFill="background1" w:themeFillShade="F2"/>
            <w:noWrap/>
            <w:vAlign w:val="center"/>
            <w:hideMark/>
          </w:tcPr>
          <w:p w14:paraId="45749226" w14:textId="77777777" w:rsidR="000D08BC" w:rsidRPr="004E74A6" w:rsidRDefault="000D08BC" w:rsidP="00832773">
            <w:pPr>
              <w:spacing w:line="276" w:lineRule="auto"/>
              <w:jc w:val="center"/>
              <w:rPr>
                <w:rFonts w:cs="Calibri"/>
                <w:i/>
                <w:iCs/>
                <w:color w:val="000000"/>
                <w:sz w:val="18"/>
                <w:szCs w:val="18"/>
                <w:lang w:eastAsia="es-CR"/>
              </w:rPr>
            </w:pPr>
            <w:r w:rsidRPr="004E74A6">
              <w:rPr>
                <w:rFonts w:cs="Calibri"/>
                <w:i/>
                <w:iCs/>
                <w:color w:val="000000"/>
                <w:sz w:val="18"/>
                <w:szCs w:val="18"/>
                <w:lang w:eastAsia="es-CR"/>
              </w:rPr>
              <w:t>69</w:t>
            </w:r>
          </w:p>
        </w:tc>
        <w:tc>
          <w:tcPr>
            <w:tcW w:w="1173" w:type="dxa"/>
            <w:tcBorders>
              <w:top w:val="nil"/>
              <w:left w:val="single" w:sz="4" w:space="0" w:color="000000" w:themeColor="text1"/>
              <w:bottom w:val="nil"/>
              <w:right w:val="single" w:sz="4" w:space="0" w:color="000000" w:themeColor="text1"/>
            </w:tcBorders>
            <w:shd w:val="clear" w:color="auto" w:fill="F2F2F2" w:themeFill="background1" w:themeFillShade="F2"/>
            <w:noWrap/>
            <w:vAlign w:val="center"/>
            <w:hideMark/>
          </w:tcPr>
          <w:p w14:paraId="241784A3" w14:textId="77777777" w:rsidR="000D08BC" w:rsidRPr="004E74A6" w:rsidRDefault="000D08BC" w:rsidP="00832773">
            <w:pPr>
              <w:spacing w:line="276" w:lineRule="auto"/>
              <w:jc w:val="center"/>
              <w:rPr>
                <w:rFonts w:cs="Calibri"/>
                <w:i/>
                <w:iCs/>
                <w:color w:val="000000"/>
                <w:sz w:val="18"/>
                <w:szCs w:val="18"/>
                <w:lang w:eastAsia="es-CR"/>
              </w:rPr>
            </w:pPr>
            <w:r w:rsidRPr="004E74A6">
              <w:rPr>
                <w:rFonts w:cs="Calibri"/>
                <w:i/>
                <w:iCs/>
                <w:color w:val="000000"/>
                <w:sz w:val="18"/>
                <w:szCs w:val="18"/>
                <w:lang w:eastAsia="es-CR"/>
              </w:rPr>
              <w:t>1</w:t>
            </w:r>
          </w:p>
        </w:tc>
        <w:tc>
          <w:tcPr>
            <w:tcW w:w="1173" w:type="dxa"/>
            <w:tcBorders>
              <w:top w:val="nil"/>
              <w:left w:val="single" w:sz="4" w:space="0" w:color="000000" w:themeColor="text1"/>
              <w:bottom w:val="nil"/>
              <w:right w:val="single" w:sz="4" w:space="0" w:color="000000" w:themeColor="text1"/>
            </w:tcBorders>
            <w:shd w:val="clear" w:color="auto" w:fill="F2F2F2" w:themeFill="background1" w:themeFillShade="F2"/>
            <w:noWrap/>
            <w:vAlign w:val="center"/>
            <w:hideMark/>
          </w:tcPr>
          <w:p w14:paraId="354829F9" w14:textId="77777777" w:rsidR="000D08BC" w:rsidRPr="004E74A6" w:rsidRDefault="000D08BC" w:rsidP="00832773">
            <w:pPr>
              <w:spacing w:line="276" w:lineRule="auto"/>
              <w:jc w:val="center"/>
              <w:rPr>
                <w:rFonts w:cs="Calibri"/>
                <w:i/>
                <w:iCs/>
                <w:color w:val="000000"/>
                <w:sz w:val="18"/>
                <w:szCs w:val="18"/>
                <w:lang w:eastAsia="es-CR"/>
              </w:rPr>
            </w:pPr>
            <w:r w:rsidRPr="004E74A6">
              <w:rPr>
                <w:rFonts w:cs="Calibri"/>
                <w:i/>
                <w:iCs/>
                <w:color w:val="000000"/>
                <w:sz w:val="18"/>
                <w:szCs w:val="18"/>
                <w:lang w:eastAsia="es-CR"/>
              </w:rPr>
              <w:t>9</w:t>
            </w:r>
          </w:p>
        </w:tc>
        <w:tc>
          <w:tcPr>
            <w:tcW w:w="1173" w:type="dxa"/>
            <w:tcBorders>
              <w:top w:val="nil"/>
              <w:left w:val="single" w:sz="4" w:space="0" w:color="000000" w:themeColor="text1"/>
              <w:bottom w:val="nil"/>
              <w:right w:val="nil"/>
            </w:tcBorders>
            <w:shd w:val="clear" w:color="auto" w:fill="F2F2F2" w:themeFill="background1" w:themeFillShade="F2"/>
            <w:noWrap/>
            <w:vAlign w:val="center"/>
            <w:hideMark/>
          </w:tcPr>
          <w:p w14:paraId="2C7EF73F" w14:textId="77777777" w:rsidR="000D08BC" w:rsidRPr="004E74A6" w:rsidRDefault="000D08BC" w:rsidP="00832773">
            <w:pPr>
              <w:spacing w:line="276" w:lineRule="auto"/>
              <w:jc w:val="center"/>
              <w:rPr>
                <w:rFonts w:cs="Calibri"/>
                <w:i/>
                <w:iCs/>
                <w:color w:val="000000"/>
                <w:sz w:val="18"/>
                <w:szCs w:val="18"/>
                <w:lang w:eastAsia="es-CR"/>
              </w:rPr>
            </w:pPr>
            <w:r w:rsidRPr="004E74A6">
              <w:rPr>
                <w:rFonts w:cs="Calibri"/>
                <w:i/>
                <w:iCs/>
                <w:color w:val="000000"/>
                <w:sz w:val="18"/>
                <w:szCs w:val="18"/>
                <w:lang w:eastAsia="es-CR"/>
              </w:rPr>
              <w:t>26,3</w:t>
            </w:r>
          </w:p>
        </w:tc>
        <w:tc>
          <w:tcPr>
            <w:tcW w:w="1508" w:type="dxa"/>
            <w:tcBorders>
              <w:top w:val="nil"/>
              <w:left w:val="single" w:sz="4" w:space="0" w:color="000000" w:themeColor="text1"/>
              <w:bottom w:val="nil"/>
              <w:right w:val="nil"/>
            </w:tcBorders>
            <w:shd w:val="clear" w:color="auto" w:fill="F2F2F2" w:themeFill="background1" w:themeFillShade="F2"/>
          </w:tcPr>
          <w:p w14:paraId="2BC0B6E8" w14:textId="77777777" w:rsidR="000D08BC" w:rsidRPr="004E74A6" w:rsidRDefault="000D08BC" w:rsidP="00832773">
            <w:pPr>
              <w:spacing w:line="276" w:lineRule="auto"/>
              <w:jc w:val="center"/>
              <w:rPr>
                <w:rFonts w:cs="Calibri"/>
                <w:i/>
                <w:iCs/>
                <w:color w:val="000000"/>
                <w:sz w:val="18"/>
                <w:szCs w:val="18"/>
                <w:lang w:eastAsia="es-CR"/>
              </w:rPr>
            </w:pPr>
          </w:p>
        </w:tc>
      </w:tr>
      <w:tr w:rsidR="000D08BC" w:rsidRPr="004E74A6" w14:paraId="6B2A9A47" w14:textId="1B35AC63" w:rsidTr="000D08BC">
        <w:trPr>
          <w:trHeight w:val="288"/>
          <w:jc w:val="center"/>
        </w:trPr>
        <w:tc>
          <w:tcPr>
            <w:tcW w:w="2731" w:type="dxa"/>
            <w:tcBorders>
              <w:top w:val="nil"/>
              <w:left w:val="nil"/>
              <w:bottom w:val="nil"/>
              <w:right w:val="single" w:sz="4" w:space="0" w:color="000000" w:themeColor="text1"/>
            </w:tcBorders>
            <w:shd w:val="clear" w:color="auto" w:fill="auto"/>
            <w:noWrap/>
            <w:vAlign w:val="center"/>
            <w:hideMark/>
          </w:tcPr>
          <w:p w14:paraId="334BE4A5" w14:textId="77777777" w:rsidR="000D08BC" w:rsidRPr="004E74A6" w:rsidRDefault="000D08BC" w:rsidP="00832773">
            <w:pPr>
              <w:spacing w:line="276" w:lineRule="auto"/>
              <w:jc w:val="left"/>
              <w:rPr>
                <w:rFonts w:cs="Calibri"/>
                <w:b/>
                <w:bCs/>
                <w:color w:val="000000"/>
                <w:sz w:val="20"/>
                <w:lang w:eastAsia="es-CR"/>
              </w:rPr>
            </w:pPr>
            <w:r w:rsidRPr="004E74A6">
              <w:rPr>
                <w:rFonts w:cs="Calibri"/>
                <w:b/>
                <w:bCs/>
                <w:color w:val="000000"/>
                <w:sz w:val="20"/>
                <w:lang w:eastAsia="es-CR"/>
              </w:rPr>
              <w:t>Familia</w:t>
            </w:r>
          </w:p>
        </w:tc>
        <w:tc>
          <w:tcPr>
            <w:tcW w:w="1173" w:type="dxa"/>
            <w:tcBorders>
              <w:top w:val="nil"/>
              <w:left w:val="single" w:sz="4" w:space="0" w:color="000000" w:themeColor="text1"/>
              <w:bottom w:val="nil"/>
              <w:right w:val="single" w:sz="4" w:space="0" w:color="000000" w:themeColor="text1"/>
            </w:tcBorders>
            <w:shd w:val="clear" w:color="auto" w:fill="auto"/>
            <w:noWrap/>
            <w:vAlign w:val="center"/>
            <w:hideMark/>
          </w:tcPr>
          <w:p w14:paraId="018F5700" w14:textId="77777777" w:rsidR="000D08BC" w:rsidRPr="004E74A6" w:rsidRDefault="000D08BC" w:rsidP="00832773">
            <w:pPr>
              <w:spacing w:line="276" w:lineRule="auto"/>
              <w:jc w:val="center"/>
              <w:rPr>
                <w:rFonts w:cs="Calibri"/>
                <w:b/>
                <w:bCs/>
                <w:color w:val="000000"/>
                <w:sz w:val="20"/>
                <w:lang w:eastAsia="es-CR"/>
              </w:rPr>
            </w:pPr>
            <w:r w:rsidRPr="004E74A6">
              <w:rPr>
                <w:rFonts w:cs="Calibri"/>
                <w:b/>
                <w:bCs/>
                <w:color w:val="000000"/>
                <w:sz w:val="20"/>
                <w:lang w:eastAsia="es-CR"/>
              </w:rPr>
              <w:t>0</w:t>
            </w:r>
          </w:p>
        </w:tc>
        <w:tc>
          <w:tcPr>
            <w:tcW w:w="1173" w:type="dxa"/>
            <w:tcBorders>
              <w:top w:val="nil"/>
              <w:left w:val="single" w:sz="4" w:space="0" w:color="000000" w:themeColor="text1"/>
              <w:bottom w:val="nil"/>
              <w:right w:val="single" w:sz="4" w:space="0" w:color="000000" w:themeColor="text1"/>
            </w:tcBorders>
            <w:shd w:val="clear" w:color="auto" w:fill="auto"/>
            <w:noWrap/>
            <w:vAlign w:val="center"/>
            <w:hideMark/>
          </w:tcPr>
          <w:p w14:paraId="7309524B" w14:textId="77777777" w:rsidR="000D08BC" w:rsidRPr="004E74A6" w:rsidRDefault="000D08BC" w:rsidP="00832773">
            <w:pPr>
              <w:spacing w:line="276" w:lineRule="auto"/>
              <w:jc w:val="center"/>
              <w:rPr>
                <w:rFonts w:cs="Calibri"/>
                <w:b/>
                <w:bCs/>
                <w:color w:val="000000"/>
                <w:sz w:val="20"/>
                <w:lang w:eastAsia="es-CR"/>
              </w:rPr>
            </w:pPr>
            <w:r w:rsidRPr="004E74A6">
              <w:rPr>
                <w:rFonts w:cs="Calibri"/>
                <w:b/>
                <w:bCs/>
                <w:color w:val="000000"/>
                <w:sz w:val="20"/>
                <w:lang w:eastAsia="es-CR"/>
              </w:rPr>
              <w:t>1</w:t>
            </w:r>
          </w:p>
        </w:tc>
        <w:tc>
          <w:tcPr>
            <w:tcW w:w="1173" w:type="dxa"/>
            <w:tcBorders>
              <w:top w:val="nil"/>
              <w:left w:val="single" w:sz="4" w:space="0" w:color="000000" w:themeColor="text1"/>
              <w:bottom w:val="nil"/>
              <w:right w:val="single" w:sz="4" w:space="0" w:color="000000" w:themeColor="text1"/>
            </w:tcBorders>
            <w:shd w:val="clear" w:color="auto" w:fill="auto"/>
            <w:noWrap/>
            <w:vAlign w:val="center"/>
            <w:hideMark/>
          </w:tcPr>
          <w:p w14:paraId="47A70966" w14:textId="77777777" w:rsidR="000D08BC" w:rsidRPr="004E74A6" w:rsidRDefault="000D08BC" w:rsidP="00832773">
            <w:pPr>
              <w:spacing w:line="276" w:lineRule="auto"/>
              <w:jc w:val="center"/>
              <w:rPr>
                <w:rFonts w:cs="Calibri"/>
                <w:b/>
                <w:bCs/>
                <w:color w:val="000000"/>
                <w:sz w:val="20"/>
                <w:lang w:eastAsia="es-CR"/>
              </w:rPr>
            </w:pPr>
            <w:r w:rsidRPr="004E74A6">
              <w:rPr>
                <w:rFonts w:cs="Calibri"/>
                <w:b/>
                <w:bCs/>
                <w:color w:val="000000"/>
                <w:sz w:val="20"/>
                <w:lang w:eastAsia="es-CR"/>
              </w:rPr>
              <w:t>0</w:t>
            </w:r>
          </w:p>
        </w:tc>
        <w:tc>
          <w:tcPr>
            <w:tcW w:w="1173" w:type="dxa"/>
            <w:tcBorders>
              <w:top w:val="nil"/>
              <w:left w:val="single" w:sz="4" w:space="0" w:color="000000" w:themeColor="text1"/>
              <w:bottom w:val="nil"/>
              <w:right w:val="nil"/>
            </w:tcBorders>
            <w:shd w:val="clear" w:color="auto" w:fill="auto"/>
            <w:noWrap/>
            <w:vAlign w:val="center"/>
            <w:hideMark/>
          </w:tcPr>
          <w:p w14:paraId="6E2060B3" w14:textId="77777777" w:rsidR="000D08BC" w:rsidRPr="004E74A6" w:rsidRDefault="000D08BC" w:rsidP="00832773">
            <w:pPr>
              <w:spacing w:line="276" w:lineRule="auto"/>
              <w:jc w:val="center"/>
              <w:rPr>
                <w:rFonts w:cs="Calibri"/>
                <w:b/>
                <w:bCs/>
                <w:color w:val="000000"/>
                <w:sz w:val="20"/>
                <w:lang w:eastAsia="es-CR"/>
              </w:rPr>
            </w:pPr>
            <w:r w:rsidRPr="004E74A6">
              <w:rPr>
                <w:rFonts w:cs="Calibri"/>
                <w:b/>
                <w:bCs/>
                <w:color w:val="000000"/>
                <w:sz w:val="20"/>
                <w:lang w:eastAsia="es-CR"/>
              </w:rPr>
              <w:t>0,3</w:t>
            </w:r>
          </w:p>
        </w:tc>
        <w:tc>
          <w:tcPr>
            <w:tcW w:w="1508" w:type="dxa"/>
            <w:tcBorders>
              <w:top w:val="nil"/>
              <w:left w:val="single" w:sz="4" w:space="0" w:color="000000" w:themeColor="text1"/>
              <w:bottom w:val="nil"/>
              <w:right w:val="nil"/>
            </w:tcBorders>
          </w:tcPr>
          <w:p w14:paraId="75231E17" w14:textId="1DFA582B" w:rsidR="000D08BC" w:rsidRPr="004E74A6" w:rsidRDefault="00DB442A" w:rsidP="00832773">
            <w:pPr>
              <w:spacing w:line="276" w:lineRule="auto"/>
              <w:jc w:val="center"/>
              <w:rPr>
                <w:rFonts w:cs="Calibri"/>
                <w:b/>
                <w:bCs/>
                <w:color w:val="000000"/>
                <w:sz w:val="20"/>
                <w:lang w:eastAsia="es-CR"/>
              </w:rPr>
            </w:pPr>
            <w:r w:rsidRPr="004E74A6">
              <w:rPr>
                <w:rFonts w:cs="Calibri"/>
                <w:b/>
                <w:bCs/>
                <w:color w:val="000000"/>
                <w:sz w:val="20"/>
                <w:lang w:eastAsia="es-CR"/>
              </w:rPr>
              <w:t>0,02%</w:t>
            </w:r>
          </w:p>
        </w:tc>
      </w:tr>
      <w:tr w:rsidR="000D08BC" w:rsidRPr="004E74A6" w14:paraId="5041B689" w14:textId="5F46472C" w:rsidTr="000D08BC">
        <w:trPr>
          <w:trHeight w:val="288"/>
          <w:jc w:val="center"/>
        </w:trPr>
        <w:tc>
          <w:tcPr>
            <w:tcW w:w="2731" w:type="dxa"/>
            <w:tcBorders>
              <w:top w:val="nil"/>
              <w:left w:val="nil"/>
              <w:bottom w:val="nil"/>
              <w:right w:val="single" w:sz="4" w:space="0" w:color="000000" w:themeColor="text1"/>
            </w:tcBorders>
            <w:shd w:val="clear" w:color="auto" w:fill="F2F2F2" w:themeFill="background1" w:themeFillShade="F2"/>
            <w:noWrap/>
            <w:vAlign w:val="center"/>
            <w:hideMark/>
          </w:tcPr>
          <w:p w14:paraId="5C6D7B52" w14:textId="77777777" w:rsidR="000D08BC" w:rsidRPr="004E74A6" w:rsidRDefault="000D08BC" w:rsidP="00832773">
            <w:pPr>
              <w:spacing w:line="276" w:lineRule="auto"/>
              <w:ind w:left="283"/>
              <w:jc w:val="left"/>
              <w:rPr>
                <w:rFonts w:cs="Calibri"/>
                <w:i/>
                <w:iCs/>
                <w:color w:val="000000"/>
                <w:sz w:val="18"/>
                <w:szCs w:val="18"/>
                <w:lang w:eastAsia="es-CR"/>
              </w:rPr>
            </w:pPr>
            <w:r w:rsidRPr="004E74A6">
              <w:rPr>
                <w:rFonts w:cs="Calibri"/>
                <w:i/>
                <w:iCs/>
                <w:color w:val="000000"/>
                <w:sz w:val="18"/>
                <w:szCs w:val="18"/>
                <w:lang w:eastAsia="es-CR"/>
              </w:rPr>
              <w:t>Inestimable</w:t>
            </w:r>
          </w:p>
        </w:tc>
        <w:tc>
          <w:tcPr>
            <w:tcW w:w="1173" w:type="dxa"/>
            <w:tcBorders>
              <w:top w:val="nil"/>
              <w:left w:val="single" w:sz="4" w:space="0" w:color="000000" w:themeColor="text1"/>
              <w:bottom w:val="nil"/>
              <w:right w:val="single" w:sz="4" w:space="0" w:color="000000" w:themeColor="text1"/>
            </w:tcBorders>
            <w:shd w:val="clear" w:color="auto" w:fill="F2F2F2" w:themeFill="background1" w:themeFillShade="F2"/>
            <w:noWrap/>
            <w:vAlign w:val="center"/>
            <w:hideMark/>
          </w:tcPr>
          <w:p w14:paraId="6F20D76C" w14:textId="77777777" w:rsidR="000D08BC" w:rsidRPr="004E74A6" w:rsidRDefault="000D08BC" w:rsidP="00832773">
            <w:pPr>
              <w:spacing w:line="276" w:lineRule="auto"/>
              <w:jc w:val="center"/>
              <w:rPr>
                <w:rFonts w:cs="Calibri"/>
                <w:i/>
                <w:iCs/>
                <w:color w:val="000000"/>
                <w:sz w:val="18"/>
                <w:szCs w:val="18"/>
                <w:lang w:eastAsia="es-CR"/>
              </w:rPr>
            </w:pPr>
            <w:r w:rsidRPr="004E74A6">
              <w:rPr>
                <w:rFonts w:cs="Calibri"/>
                <w:i/>
                <w:iCs/>
                <w:color w:val="000000"/>
                <w:sz w:val="18"/>
                <w:szCs w:val="18"/>
                <w:lang w:eastAsia="es-CR"/>
              </w:rPr>
              <w:t>0</w:t>
            </w:r>
          </w:p>
        </w:tc>
        <w:tc>
          <w:tcPr>
            <w:tcW w:w="1173" w:type="dxa"/>
            <w:tcBorders>
              <w:top w:val="nil"/>
              <w:left w:val="single" w:sz="4" w:space="0" w:color="000000" w:themeColor="text1"/>
              <w:bottom w:val="nil"/>
              <w:right w:val="single" w:sz="4" w:space="0" w:color="000000" w:themeColor="text1"/>
            </w:tcBorders>
            <w:shd w:val="clear" w:color="auto" w:fill="F2F2F2" w:themeFill="background1" w:themeFillShade="F2"/>
            <w:noWrap/>
            <w:vAlign w:val="center"/>
            <w:hideMark/>
          </w:tcPr>
          <w:p w14:paraId="59F533E2" w14:textId="77777777" w:rsidR="000D08BC" w:rsidRPr="004E74A6" w:rsidRDefault="000D08BC" w:rsidP="00832773">
            <w:pPr>
              <w:spacing w:line="276" w:lineRule="auto"/>
              <w:jc w:val="center"/>
              <w:rPr>
                <w:rFonts w:cs="Calibri"/>
                <w:i/>
                <w:iCs/>
                <w:color w:val="000000"/>
                <w:sz w:val="18"/>
                <w:szCs w:val="18"/>
                <w:lang w:eastAsia="es-CR"/>
              </w:rPr>
            </w:pPr>
            <w:r w:rsidRPr="004E74A6">
              <w:rPr>
                <w:rFonts w:cs="Calibri"/>
                <w:i/>
                <w:iCs/>
                <w:color w:val="000000"/>
                <w:sz w:val="18"/>
                <w:szCs w:val="18"/>
                <w:lang w:eastAsia="es-CR"/>
              </w:rPr>
              <w:t>1</w:t>
            </w:r>
          </w:p>
        </w:tc>
        <w:tc>
          <w:tcPr>
            <w:tcW w:w="1173" w:type="dxa"/>
            <w:tcBorders>
              <w:top w:val="nil"/>
              <w:left w:val="single" w:sz="4" w:space="0" w:color="000000" w:themeColor="text1"/>
              <w:bottom w:val="nil"/>
              <w:right w:val="single" w:sz="4" w:space="0" w:color="000000" w:themeColor="text1"/>
            </w:tcBorders>
            <w:shd w:val="clear" w:color="auto" w:fill="F2F2F2" w:themeFill="background1" w:themeFillShade="F2"/>
            <w:noWrap/>
            <w:vAlign w:val="center"/>
            <w:hideMark/>
          </w:tcPr>
          <w:p w14:paraId="2ED44370" w14:textId="77777777" w:rsidR="000D08BC" w:rsidRPr="004E74A6" w:rsidRDefault="000D08BC" w:rsidP="00832773">
            <w:pPr>
              <w:spacing w:line="276" w:lineRule="auto"/>
              <w:jc w:val="center"/>
              <w:rPr>
                <w:rFonts w:cs="Calibri"/>
                <w:i/>
                <w:iCs/>
                <w:color w:val="000000"/>
                <w:sz w:val="18"/>
                <w:szCs w:val="18"/>
                <w:lang w:eastAsia="es-CR"/>
              </w:rPr>
            </w:pPr>
            <w:r w:rsidRPr="004E74A6">
              <w:rPr>
                <w:rFonts w:cs="Calibri"/>
                <w:i/>
                <w:iCs/>
                <w:color w:val="000000"/>
                <w:sz w:val="18"/>
                <w:szCs w:val="18"/>
                <w:lang w:eastAsia="es-CR"/>
              </w:rPr>
              <w:t>0</w:t>
            </w:r>
          </w:p>
        </w:tc>
        <w:tc>
          <w:tcPr>
            <w:tcW w:w="1173" w:type="dxa"/>
            <w:tcBorders>
              <w:top w:val="nil"/>
              <w:left w:val="single" w:sz="4" w:space="0" w:color="000000" w:themeColor="text1"/>
              <w:bottom w:val="nil"/>
              <w:right w:val="nil"/>
            </w:tcBorders>
            <w:shd w:val="clear" w:color="auto" w:fill="F2F2F2" w:themeFill="background1" w:themeFillShade="F2"/>
            <w:noWrap/>
            <w:vAlign w:val="center"/>
            <w:hideMark/>
          </w:tcPr>
          <w:p w14:paraId="202BED77" w14:textId="77777777" w:rsidR="000D08BC" w:rsidRPr="004E74A6" w:rsidRDefault="000D08BC" w:rsidP="00832773">
            <w:pPr>
              <w:spacing w:line="276" w:lineRule="auto"/>
              <w:jc w:val="center"/>
              <w:rPr>
                <w:rFonts w:cs="Calibri"/>
                <w:i/>
                <w:iCs/>
                <w:color w:val="000000"/>
                <w:sz w:val="18"/>
                <w:szCs w:val="18"/>
                <w:lang w:eastAsia="es-CR"/>
              </w:rPr>
            </w:pPr>
            <w:r w:rsidRPr="004E74A6">
              <w:rPr>
                <w:rFonts w:cs="Calibri"/>
                <w:i/>
                <w:iCs/>
                <w:color w:val="000000"/>
                <w:sz w:val="18"/>
                <w:szCs w:val="18"/>
                <w:lang w:eastAsia="es-CR"/>
              </w:rPr>
              <w:t>0,3</w:t>
            </w:r>
          </w:p>
        </w:tc>
        <w:tc>
          <w:tcPr>
            <w:tcW w:w="1508" w:type="dxa"/>
            <w:tcBorders>
              <w:top w:val="nil"/>
              <w:left w:val="single" w:sz="4" w:space="0" w:color="000000" w:themeColor="text1"/>
              <w:bottom w:val="nil"/>
              <w:right w:val="nil"/>
            </w:tcBorders>
            <w:shd w:val="clear" w:color="auto" w:fill="F2F2F2" w:themeFill="background1" w:themeFillShade="F2"/>
          </w:tcPr>
          <w:p w14:paraId="262555B4" w14:textId="77777777" w:rsidR="000D08BC" w:rsidRPr="004E74A6" w:rsidRDefault="000D08BC" w:rsidP="00832773">
            <w:pPr>
              <w:spacing w:line="276" w:lineRule="auto"/>
              <w:jc w:val="center"/>
              <w:rPr>
                <w:rFonts w:cs="Calibri"/>
                <w:i/>
                <w:iCs/>
                <w:color w:val="000000"/>
                <w:sz w:val="18"/>
                <w:szCs w:val="18"/>
                <w:lang w:eastAsia="es-CR"/>
              </w:rPr>
            </w:pPr>
          </w:p>
        </w:tc>
      </w:tr>
      <w:tr w:rsidR="000D08BC" w:rsidRPr="004E74A6" w14:paraId="3D308DDC" w14:textId="01559164" w:rsidTr="000D08BC">
        <w:trPr>
          <w:trHeight w:val="288"/>
          <w:jc w:val="center"/>
        </w:trPr>
        <w:tc>
          <w:tcPr>
            <w:tcW w:w="2731" w:type="dxa"/>
            <w:tcBorders>
              <w:top w:val="nil"/>
              <w:left w:val="nil"/>
              <w:bottom w:val="nil"/>
              <w:right w:val="single" w:sz="4" w:space="0" w:color="000000" w:themeColor="text1"/>
            </w:tcBorders>
            <w:shd w:val="clear" w:color="auto" w:fill="auto"/>
            <w:noWrap/>
            <w:vAlign w:val="center"/>
            <w:hideMark/>
          </w:tcPr>
          <w:p w14:paraId="04048A7A" w14:textId="77777777" w:rsidR="000D08BC" w:rsidRPr="004E74A6" w:rsidRDefault="000D08BC" w:rsidP="00832773">
            <w:pPr>
              <w:spacing w:line="276" w:lineRule="auto"/>
              <w:jc w:val="left"/>
              <w:rPr>
                <w:rFonts w:cs="Calibri"/>
                <w:b/>
                <w:bCs/>
                <w:color w:val="000000"/>
                <w:sz w:val="20"/>
                <w:lang w:eastAsia="es-CR"/>
              </w:rPr>
            </w:pPr>
            <w:r w:rsidRPr="004E74A6">
              <w:rPr>
                <w:rFonts w:cs="Calibri"/>
                <w:b/>
                <w:bCs/>
                <w:color w:val="000000"/>
                <w:sz w:val="20"/>
                <w:lang w:eastAsia="es-CR"/>
              </w:rPr>
              <w:t>Laboral</w:t>
            </w:r>
          </w:p>
        </w:tc>
        <w:tc>
          <w:tcPr>
            <w:tcW w:w="1173" w:type="dxa"/>
            <w:tcBorders>
              <w:top w:val="nil"/>
              <w:left w:val="single" w:sz="4" w:space="0" w:color="000000" w:themeColor="text1"/>
              <w:bottom w:val="nil"/>
              <w:right w:val="single" w:sz="4" w:space="0" w:color="000000" w:themeColor="text1"/>
            </w:tcBorders>
            <w:shd w:val="clear" w:color="auto" w:fill="auto"/>
            <w:noWrap/>
            <w:vAlign w:val="center"/>
            <w:hideMark/>
          </w:tcPr>
          <w:p w14:paraId="3D412298" w14:textId="77777777" w:rsidR="000D08BC" w:rsidRPr="004E74A6" w:rsidRDefault="000D08BC" w:rsidP="00832773">
            <w:pPr>
              <w:spacing w:line="276" w:lineRule="auto"/>
              <w:jc w:val="center"/>
              <w:rPr>
                <w:rFonts w:cs="Calibri"/>
                <w:b/>
                <w:bCs/>
                <w:color w:val="000000"/>
                <w:sz w:val="20"/>
                <w:lang w:eastAsia="es-CR"/>
              </w:rPr>
            </w:pPr>
            <w:r w:rsidRPr="004E74A6">
              <w:rPr>
                <w:rFonts w:cs="Calibri"/>
                <w:b/>
                <w:bCs/>
                <w:color w:val="000000"/>
                <w:sz w:val="20"/>
                <w:lang w:eastAsia="es-CR"/>
              </w:rPr>
              <w:t>2</w:t>
            </w:r>
          </w:p>
        </w:tc>
        <w:tc>
          <w:tcPr>
            <w:tcW w:w="1173" w:type="dxa"/>
            <w:tcBorders>
              <w:top w:val="nil"/>
              <w:left w:val="single" w:sz="4" w:space="0" w:color="000000" w:themeColor="text1"/>
              <w:bottom w:val="nil"/>
              <w:right w:val="single" w:sz="4" w:space="0" w:color="000000" w:themeColor="text1"/>
            </w:tcBorders>
            <w:shd w:val="clear" w:color="auto" w:fill="auto"/>
            <w:noWrap/>
            <w:vAlign w:val="center"/>
            <w:hideMark/>
          </w:tcPr>
          <w:p w14:paraId="06D8E482" w14:textId="77777777" w:rsidR="000D08BC" w:rsidRPr="004E74A6" w:rsidRDefault="000D08BC" w:rsidP="00832773">
            <w:pPr>
              <w:spacing w:line="276" w:lineRule="auto"/>
              <w:jc w:val="center"/>
              <w:rPr>
                <w:rFonts w:cs="Calibri"/>
                <w:b/>
                <w:bCs/>
                <w:color w:val="000000"/>
                <w:sz w:val="20"/>
                <w:lang w:eastAsia="es-CR"/>
              </w:rPr>
            </w:pPr>
            <w:r w:rsidRPr="004E74A6">
              <w:rPr>
                <w:rFonts w:cs="Calibri"/>
                <w:b/>
                <w:bCs/>
                <w:color w:val="000000"/>
                <w:sz w:val="20"/>
                <w:lang w:eastAsia="es-CR"/>
              </w:rPr>
              <w:t>3</w:t>
            </w:r>
          </w:p>
        </w:tc>
        <w:tc>
          <w:tcPr>
            <w:tcW w:w="1173" w:type="dxa"/>
            <w:tcBorders>
              <w:top w:val="nil"/>
              <w:left w:val="single" w:sz="4" w:space="0" w:color="000000" w:themeColor="text1"/>
              <w:bottom w:val="nil"/>
              <w:right w:val="single" w:sz="4" w:space="0" w:color="000000" w:themeColor="text1"/>
            </w:tcBorders>
            <w:shd w:val="clear" w:color="auto" w:fill="auto"/>
            <w:noWrap/>
            <w:vAlign w:val="center"/>
            <w:hideMark/>
          </w:tcPr>
          <w:p w14:paraId="49C3070C" w14:textId="77777777" w:rsidR="000D08BC" w:rsidRPr="004E74A6" w:rsidRDefault="000D08BC" w:rsidP="00832773">
            <w:pPr>
              <w:spacing w:line="276" w:lineRule="auto"/>
              <w:jc w:val="center"/>
              <w:rPr>
                <w:rFonts w:cs="Calibri"/>
                <w:b/>
                <w:bCs/>
                <w:color w:val="000000"/>
                <w:sz w:val="20"/>
                <w:lang w:eastAsia="es-CR"/>
              </w:rPr>
            </w:pPr>
            <w:r w:rsidRPr="004E74A6">
              <w:rPr>
                <w:rFonts w:cs="Calibri"/>
                <w:b/>
                <w:bCs/>
                <w:color w:val="000000"/>
                <w:sz w:val="20"/>
                <w:lang w:eastAsia="es-CR"/>
              </w:rPr>
              <w:t>0</w:t>
            </w:r>
          </w:p>
        </w:tc>
        <w:tc>
          <w:tcPr>
            <w:tcW w:w="1173" w:type="dxa"/>
            <w:tcBorders>
              <w:top w:val="nil"/>
              <w:left w:val="single" w:sz="4" w:space="0" w:color="000000" w:themeColor="text1"/>
              <w:bottom w:val="nil"/>
              <w:right w:val="nil"/>
            </w:tcBorders>
            <w:shd w:val="clear" w:color="auto" w:fill="auto"/>
            <w:noWrap/>
            <w:vAlign w:val="center"/>
            <w:hideMark/>
          </w:tcPr>
          <w:p w14:paraId="59F23D8F" w14:textId="77777777" w:rsidR="000D08BC" w:rsidRPr="004E74A6" w:rsidRDefault="000D08BC" w:rsidP="00832773">
            <w:pPr>
              <w:spacing w:line="276" w:lineRule="auto"/>
              <w:jc w:val="center"/>
              <w:rPr>
                <w:rFonts w:cs="Calibri"/>
                <w:b/>
                <w:bCs/>
                <w:color w:val="000000"/>
                <w:sz w:val="20"/>
                <w:lang w:eastAsia="es-CR"/>
              </w:rPr>
            </w:pPr>
            <w:r w:rsidRPr="004E74A6">
              <w:rPr>
                <w:rFonts w:cs="Calibri"/>
                <w:b/>
                <w:bCs/>
                <w:color w:val="000000"/>
                <w:sz w:val="20"/>
                <w:lang w:eastAsia="es-CR"/>
              </w:rPr>
              <w:t>1,7</w:t>
            </w:r>
          </w:p>
        </w:tc>
        <w:tc>
          <w:tcPr>
            <w:tcW w:w="1508" w:type="dxa"/>
            <w:tcBorders>
              <w:top w:val="nil"/>
              <w:left w:val="single" w:sz="4" w:space="0" w:color="000000" w:themeColor="text1"/>
              <w:bottom w:val="nil"/>
              <w:right w:val="nil"/>
            </w:tcBorders>
          </w:tcPr>
          <w:p w14:paraId="4AB7693E" w14:textId="1E3275D8" w:rsidR="000D08BC" w:rsidRPr="004E74A6" w:rsidRDefault="00DB442A" w:rsidP="00832773">
            <w:pPr>
              <w:spacing w:line="276" w:lineRule="auto"/>
              <w:jc w:val="center"/>
              <w:rPr>
                <w:rFonts w:cs="Calibri"/>
                <w:b/>
                <w:bCs/>
                <w:color w:val="000000"/>
                <w:sz w:val="20"/>
                <w:lang w:eastAsia="es-CR"/>
              </w:rPr>
            </w:pPr>
            <w:r w:rsidRPr="004E74A6">
              <w:rPr>
                <w:rFonts w:cs="Calibri"/>
                <w:b/>
                <w:bCs/>
                <w:color w:val="000000"/>
                <w:sz w:val="20"/>
                <w:lang w:eastAsia="es-CR"/>
              </w:rPr>
              <w:t>0,15%</w:t>
            </w:r>
          </w:p>
        </w:tc>
      </w:tr>
      <w:tr w:rsidR="000D08BC" w:rsidRPr="004E74A6" w14:paraId="1D9767E7" w14:textId="794D470A" w:rsidTr="000D08BC">
        <w:trPr>
          <w:trHeight w:val="288"/>
          <w:jc w:val="center"/>
        </w:trPr>
        <w:tc>
          <w:tcPr>
            <w:tcW w:w="2731" w:type="dxa"/>
            <w:tcBorders>
              <w:top w:val="nil"/>
              <w:left w:val="nil"/>
              <w:bottom w:val="nil"/>
              <w:right w:val="single" w:sz="4" w:space="0" w:color="000000" w:themeColor="text1"/>
            </w:tcBorders>
            <w:shd w:val="clear" w:color="auto" w:fill="F2F2F2" w:themeFill="background1" w:themeFillShade="F2"/>
            <w:noWrap/>
            <w:vAlign w:val="center"/>
            <w:hideMark/>
          </w:tcPr>
          <w:p w14:paraId="0ABF14E1" w14:textId="77777777" w:rsidR="000D08BC" w:rsidRPr="004E74A6" w:rsidRDefault="000D08BC" w:rsidP="00832773">
            <w:pPr>
              <w:spacing w:line="276" w:lineRule="auto"/>
              <w:ind w:left="283"/>
              <w:jc w:val="left"/>
              <w:rPr>
                <w:rFonts w:cs="Calibri"/>
                <w:i/>
                <w:iCs/>
                <w:color w:val="000000"/>
                <w:sz w:val="18"/>
                <w:szCs w:val="18"/>
                <w:lang w:eastAsia="es-CR"/>
              </w:rPr>
            </w:pPr>
            <w:r w:rsidRPr="004E74A6">
              <w:rPr>
                <w:rFonts w:cs="Calibri"/>
                <w:i/>
                <w:iCs/>
                <w:color w:val="000000"/>
                <w:sz w:val="18"/>
                <w:szCs w:val="18"/>
                <w:lang w:eastAsia="es-CR"/>
              </w:rPr>
              <w:t>Inestimable</w:t>
            </w:r>
          </w:p>
        </w:tc>
        <w:tc>
          <w:tcPr>
            <w:tcW w:w="1173" w:type="dxa"/>
            <w:tcBorders>
              <w:top w:val="nil"/>
              <w:left w:val="single" w:sz="4" w:space="0" w:color="000000" w:themeColor="text1"/>
              <w:bottom w:val="nil"/>
              <w:right w:val="single" w:sz="4" w:space="0" w:color="000000" w:themeColor="text1"/>
            </w:tcBorders>
            <w:shd w:val="clear" w:color="auto" w:fill="F2F2F2" w:themeFill="background1" w:themeFillShade="F2"/>
            <w:noWrap/>
            <w:vAlign w:val="center"/>
            <w:hideMark/>
          </w:tcPr>
          <w:p w14:paraId="5F90BB0D" w14:textId="77777777" w:rsidR="000D08BC" w:rsidRPr="004E74A6" w:rsidRDefault="000D08BC" w:rsidP="00832773">
            <w:pPr>
              <w:spacing w:line="276" w:lineRule="auto"/>
              <w:jc w:val="center"/>
              <w:rPr>
                <w:rFonts w:cs="Calibri"/>
                <w:i/>
                <w:iCs/>
                <w:color w:val="000000"/>
                <w:sz w:val="18"/>
                <w:szCs w:val="18"/>
                <w:lang w:eastAsia="es-CR"/>
              </w:rPr>
            </w:pPr>
            <w:r w:rsidRPr="004E74A6">
              <w:rPr>
                <w:rFonts w:cs="Calibri"/>
                <w:i/>
                <w:iCs/>
                <w:color w:val="000000"/>
                <w:sz w:val="18"/>
                <w:szCs w:val="18"/>
                <w:lang w:eastAsia="es-CR"/>
              </w:rPr>
              <w:t>0</w:t>
            </w:r>
          </w:p>
        </w:tc>
        <w:tc>
          <w:tcPr>
            <w:tcW w:w="1173" w:type="dxa"/>
            <w:tcBorders>
              <w:top w:val="nil"/>
              <w:left w:val="single" w:sz="4" w:space="0" w:color="000000" w:themeColor="text1"/>
              <w:bottom w:val="nil"/>
              <w:right w:val="single" w:sz="4" w:space="0" w:color="000000" w:themeColor="text1"/>
            </w:tcBorders>
            <w:shd w:val="clear" w:color="auto" w:fill="F2F2F2" w:themeFill="background1" w:themeFillShade="F2"/>
            <w:noWrap/>
            <w:vAlign w:val="center"/>
            <w:hideMark/>
          </w:tcPr>
          <w:p w14:paraId="4E64CE38" w14:textId="77777777" w:rsidR="000D08BC" w:rsidRPr="004E74A6" w:rsidRDefault="000D08BC" w:rsidP="00832773">
            <w:pPr>
              <w:spacing w:line="276" w:lineRule="auto"/>
              <w:jc w:val="center"/>
              <w:rPr>
                <w:rFonts w:cs="Calibri"/>
                <w:i/>
                <w:iCs/>
                <w:color w:val="000000"/>
                <w:sz w:val="18"/>
                <w:szCs w:val="18"/>
                <w:lang w:eastAsia="es-CR"/>
              </w:rPr>
            </w:pPr>
            <w:r w:rsidRPr="004E74A6">
              <w:rPr>
                <w:rFonts w:cs="Calibri"/>
                <w:i/>
                <w:iCs/>
                <w:color w:val="000000"/>
                <w:sz w:val="18"/>
                <w:szCs w:val="18"/>
                <w:lang w:eastAsia="es-CR"/>
              </w:rPr>
              <w:t>2</w:t>
            </w:r>
          </w:p>
        </w:tc>
        <w:tc>
          <w:tcPr>
            <w:tcW w:w="1173" w:type="dxa"/>
            <w:tcBorders>
              <w:top w:val="nil"/>
              <w:left w:val="single" w:sz="4" w:space="0" w:color="000000" w:themeColor="text1"/>
              <w:bottom w:val="nil"/>
              <w:right w:val="single" w:sz="4" w:space="0" w:color="000000" w:themeColor="text1"/>
            </w:tcBorders>
            <w:shd w:val="clear" w:color="auto" w:fill="F2F2F2" w:themeFill="background1" w:themeFillShade="F2"/>
            <w:noWrap/>
            <w:vAlign w:val="center"/>
            <w:hideMark/>
          </w:tcPr>
          <w:p w14:paraId="0C4814C9" w14:textId="77777777" w:rsidR="000D08BC" w:rsidRPr="004E74A6" w:rsidRDefault="000D08BC" w:rsidP="00832773">
            <w:pPr>
              <w:spacing w:line="276" w:lineRule="auto"/>
              <w:jc w:val="center"/>
              <w:rPr>
                <w:rFonts w:cs="Calibri"/>
                <w:i/>
                <w:iCs/>
                <w:color w:val="000000"/>
                <w:sz w:val="18"/>
                <w:szCs w:val="18"/>
                <w:lang w:eastAsia="es-CR"/>
              </w:rPr>
            </w:pPr>
            <w:r w:rsidRPr="004E74A6">
              <w:rPr>
                <w:rFonts w:cs="Calibri"/>
                <w:i/>
                <w:iCs/>
                <w:color w:val="000000"/>
                <w:sz w:val="18"/>
                <w:szCs w:val="18"/>
                <w:lang w:eastAsia="es-CR"/>
              </w:rPr>
              <w:t>0</w:t>
            </w:r>
          </w:p>
        </w:tc>
        <w:tc>
          <w:tcPr>
            <w:tcW w:w="1173" w:type="dxa"/>
            <w:tcBorders>
              <w:top w:val="nil"/>
              <w:left w:val="single" w:sz="4" w:space="0" w:color="000000" w:themeColor="text1"/>
              <w:bottom w:val="nil"/>
              <w:right w:val="nil"/>
            </w:tcBorders>
            <w:shd w:val="clear" w:color="auto" w:fill="F2F2F2" w:themeFill="background1" w:themeFillShade="F2"/>
            <w:noWrap/>
            <w:vAlign w:val="center"/>
            <w:hideMark/>
          </w:tcPr>
          <w:p w14:paraId="44521FB6" w14:textId="77777777" w:rsidR="000D08BC" w:rsidRPr="004E74A6" w:rsidRDefault="000D08BC" w:rsidP="00832773">
            <w:pPr>
              <w:spacing w:line="276" w:lineRule="auto"/>
              <w:jc w:val="center"/>
              <w:rPr>
                <w:rFonts w:cs="Calibri"/>
                <w:i/>
                <w:iCs/>
                <w:color w:val="000000"/>
                <w:sz w:val="18"/>
                <w:szCs w:val="18"/>
                <w:lang w:eastAsia="es-CR"/>
              </w:rPr>
            </w:pPr>
            <w:r w:rsidRPr="004E74A6">
              <w:rPr>
                <w:rFonts w:cs="Calibri"/>
                <w:i/>
                <w:iCs/>
                <w:color w:val="000000"/>
                <w:sz w:val="18"/>
                <w:szCs w:val="18"/>
                <w:lang w:eastAsia="es-CR"/>
              </w:rPr>
              <w:t>0,7</w:t>
            </w:r>
          </w:p>
        </w:tc>
        <w:tc>
          <w:tcPr>
            <w:tcW w:w="1508" w:type="dxa"/>
            <w:tcBorders>
              <w:top w:val="nil"/>
              <w:left w:val="single" w:sz="4" w:space="0" w:color="000000" w:themeColor="text1"/>
              <w:bottom w:val="nil"/>
              <w:right w:val="nil"/>
            </w:tcBorders>
            <w:shd w:val="clear" w:color="auto" w:fill="F2F2F2" w:themeFill="background1" w:themeFillShade="F2"/>
          </w:tcPr>
          <w:p w14:paraId="24AB35EF" w14:textId="77777777" w:rsidR="000D08BC" w:rsidRPr="004E74A6" w:rsidRDefault="000D08BC" w:rsidP="00832773">
            <w:pPr>
              <w:spacing w:line="276" w:lineRule="auto"/>
              <w:jc w:val="center"/>
              <w:rPr>
                <w:rFonts w:cs="Calibri"/>
                <w:i/>
                <w:iCs/>
                <w:color w:val="000000"/>
                <w:sz w:val="18"/>
                <w:szCs w:val="18"/>
                <w:lang w:eastAsia="es-CR"/>
              </w:rPr>
            </w:pPr>
          </w:p>
        </w:tc>
      </w:tr>
      <w:tr w:rsidR="000D08BC" w:rsidRPr="004E74A6" w14:paraId="70A54C5D" w14:textId="5740C97F" w:rsidTr="000D08BC">
        <w:trPr>
          <w:trHeight w:val="288"/>
          <w:jc w:val="center"/>
        </w:trPr>
        <w:tc>
          <w:tcPr>
            <w:tcW w:w="2731" w:type="dxa"/>
            <w:tcBorders>
              <w:top w:val="nil"/>
              <w:left w:val="nil"/>
              <w:bottom w:val="nil"/>
              <w:right w:val="single" w:sz="4" w:space="0" w:color="000000" w:themeColor="text1"/>
            </w:tcBorders>
            <w:shd w:val="clear" w:color="auto" w:fill="F2F2F2" w:themeFill="background1" w:themeFillShade="F2"/>
            <w:noWrap/>
            <w:vAlign w:val="center"/>
            <w:hideMark/>
          </w:tcPr>
          <w:p w14:paraId="5479DA24" w14:textId="77777777" w:rsidR="000D08BC" w:rsidRPr="004E74A6" w:rsidRDefault="000D08BC" w:rsidP="00832773">
            <w:pPr>
              <w:spacing w:line="276" w:lineRule="auto"/>
              <w:ind w:left="283"/>
              <w:jc w:val="left"/>
              <w:rPr>
                <w:rFonts w:cs="Calibri"/>
                <w:i/>
                <w:iCs/>
                <w:color w:val="000000"/>
                <w:sz w:val="18"/>
                <w:szCs w:val="18"/>
                <w:lang w:eastAsia="es-CR"/>
              </w:rPr>
            </w:pPr>
            <w:r w:rsidRPr="004E74A6">
              <w:rPr>
                <w:rFonts w:cs="Calibri"/>
                <w:i/>
                <w:iCs/>
                <w:color w:val="000000"/>
                <w:sz w:val="18"/>
                <w:szCs w:val="18"/>
                <w:lang w:eastAsia="es-CR"/>
              </w:rPr>
              <w:t>No aplica</w:t>
            </w:r>
          </w:p>
        </w:tc>
        <w:tc>
          <w:tcPr>
            <w:tcW w:w="1173" w:type="dxa"/>
            <w:tcBorders>
              <w:top w:val="nil"/>
              <w:left w:val="single" w:sz="4" w:space="0" w:color="000000" w:themeColor="text1"/>
              <w:bottom w:val="nil"/>
              <w:right w:val="single" w:sz="4" w:space="0" w:color="000000" w:themeColor="text1"/>
            </w:tcBorders>
            <w:shd w:val="clear" w:color="auto" w:fill="F2F2F2" w:themeFill="background1" w:themeFillShade="F2"/>
            <w:noWrap/>
            <w:vAlign w:val="center"/>
            <w:hideMark/>
          </w:tcPr>
          <w:p w14:paraId="61B26D05" w14:textId="77777777" w:rsidR="000D08BC" w:rsidRPr="004E74A6" w:rsidRDefault="000D08BC" w:rsidP="00832773">
            <w:pPr>
              <w:spacing w:line="276" w:lineRule="auto"/>
              <w:jc w:val="center"/>
              <w:rPr>
                <w:rFonts w:cs="Calibri"/>
                <w:i/>
                <w:iCs/>
                <w:color w:val="000000"/>
                <w:sz w:val="18"/>
                <w:szCs w:val="18"/>
                <w:lang w:eastAsia="es-CR"/>
              </w:rPr>
            </w:pPr>
            <w:r w:rsidRPr="004E74A6">
              <w:rPr>
                <w:rFonts w:cs="Calibri"/>
                <w:i/>
                <w:iCs/>
                <w:color w:val="000000"/>
                <w:sz w:val="18"/>
                <w:szCs w:val="18"/>
                <w:lang w:eastAsia="es-CR"/>
              </w:rPr>
              <w:t>2</w:t>
            </w:r>
          </w:p>
        </w:tc>
        <w:tc>
          <w:tcPr>
            <w:tcW w:w="1173" w:type="dxa"/>
            <w:tcBorders>
              <w:top w:val="nil"/>
              <w:left w:val="single" w:sz="4" w:space="0" w:color="000000" w:themeColor="text1"/>
              <w:bottom w:val="nil"/>
              <w:right w:val="single" w:sz="4" w:space="0" w:color="000000" w:themeColor="text1"/>
            </w:tcBorders>
            <w:shd w:val="clear" w:color="auto" w:fill="F2F2F2" w:themeFill="background1" w:themeFillShade="F2"/>
            <w:noWrap/>
            <w:vAlign w:val="center"/>
            <w:hideMark/>
          </w:tcPr>
          <w:p w14:paraId="150D3FC5" w14:textId="77777777" w:rsidR="000D08BC" w:rsidRPr="004E74A6" w:rsidRDefault="000D08BC" w:rsidP="00832773">
            <w:pPr>
              <w:spacing w:line="276" w:lineRule="auto"/>
              <w:jc w:val="center"/>
              <w:rPr>
                <w:rFonts w:cs="Calibri"/>
                <w:i/>
                <w:iCs/>
                <w:color w:val="000000"/>
                <w:sz w:val="18"/>
                <w:szCs w:val="18"/>
                <w:lang w:eastAsia="es-CR"/>
              </w:rPr>
            </w:pPr>
            <w:r w:rsidRPr="004E74A6">
              <w:rPr>
                <w:rFonts w:cs="Calibri"/>
                <w:i/>
                <w:iCs/>
                <w:color w:val="000000"/>
                <w:sz w:val="18"/>
                <w:szCs w:val="18"/>
                <w:lang w:eastAsia="es-CR"/>
              </w:rPr>
              <w:t>1</w:t>
            </w:r>
          </w:p>
        </w:tc>
        <w:tc>
          <w:tcPr>
            <w:tcW w:w="1173" w:type="dxa"/>
            <w:tcBorders>
              <w:top w:val="nil"/>
              <w:left w:val="single" w:sz="4" w:space="0" w:color="000000" w:themeColor="text1"/>
              <w:bottom w:val="nil"/>
              <w:right w:val="single" w:sz="4" w:space="0" w:color="000000" w:themeColor="text1"/>
            </w:tcBorders>
            <w:shd w:val="clear" w:color="auto" w:fill="F2F2F2" w:themeFill="background1" w:themeFillShade="F2"/>
            <w:noWrap/>
            <w:vAlign w:val="center"/>
            <w:hideMark/>
          </w:tcPr>
          <w:p w14:paraId="38543212" w14:textId="77777777" w:rsidR="000D08BC" w:rsidRPr="004E74A6" w:rsidRDefault="000D08BC" w:rsidP="00832773">
            <w:pPr>
              <w:spacing w:line="276" w:lineRule="auto"/>
              <w:jc w:val="center"/>
              <w:rPr>
                <w:rFonts w:cs="Calibri"/>
                <w:i/>
                <w:iCs/>
                <w:color w:val="000000"/>
                <w:sz w:val="18"/>
                <w:szCs w:val="18"/>
                <w:lang w:eastAsia="es-CR"/>
              </w:rPr>
            </w:pPr>
          </w:p>
        </w:tc>
        <w:tc>
          <w:tcPr>
            <w:tcW w:w="1173" w:type="dxa"/>
            <w:tcBorders>
              <w:top w:val="nil"/>
              <w:left w:val="single" w:sz="4" w:space="0" w:color="000000" w:themeColor="text1"/>
              <w:bottom w:val="nil"/>
              <w:right w:val="nil"/>
            </w:tcBorders>
            <w:shd w:val="clear" w:color="auto" w:fill="F2F2F2" w:themeFill="background1" w:themeFillShade="F2"/>
            <w:noWrap/>
            <w:vAlign w:val="center"/>
            <w:hideMark/>
          </w:tcPr>
          <w:p w14:paraId="1111BDA6" w14:textId="77777777" w:rsidR="000D08BC" w:rsidRPr="004E74A6" w:rsidRDefault="000D08BC" w:rsidP="00832773">
            <w:pPr>
              <w:spacing w:line="276" w:lineRule="auto"/>
              <w:jc w:val="center"/>
              <w:rPr>
                <w:rFonts w:cs="Calibri"/>
                <w:i/>
                <w:iCs/>
                <w:color w:val="000000"/>
                <w:sz w:val="18"/>
                <w:szCs w:val="18"/>
                <w:lang w:eastAsia="es-CR"/>
              </w:rPr>
            </w:pPr>
            <w:r w:rsidRPr="004E74A6">
              <w:rPr>
                <w:rFonts w:cs="Calibri"/>
                <w:i/>
                <w:iCs/>
                <w:color w:val="000000"/>
                <w:sz w:val="18"/>
                <w:szCs w:val="18"/>
                <w:lang w:eastAsia="es-CR"/>
              </w:rPr>
              <w:t>1,5</w:t>
            </w:r>
          </w:p>
        </w:tc>
        <w:tc>
          <w:tcPr>
            <w:tcW w:w="1508" w:type="dxa"/>
            <w:tcBorders>
              <w:top w:val="nil"/>
              <w:left w:val="single" w:sz="4" w:space="0" w:color="000000" w:themeColor="text1"/>
              <w:bottom w:val="nil"/>
              <w:right w:val="nil"/>
            </w:tcBorders>
            <w:shd w:val="clear" w:color="auto" w:fill="F2F2F2" w:themeFill="background1" w:themeFillShade="F2"/>
          </w:tcPr>
          <w:p w14:paraId="6B7EE566" w14:textId="77777777" w:rsidR="000D08BC" w:rsidRPr="004E74A6" w:rsidRDefault="000D08BC" w:rsidP="00832773">
            <w:pPr>
              <w:spacing w:line="276" w:lineRule="auto"/>
              <w:jc w:val="center"/>
              <w:rPr>
                <w:rFonts w:cs="Calibri"/>
                <w:i/>
                <w:iCs/>
                <w:color w:val="000000"/>
                <w:sz w:val="18"/>
                <w:szCs w:val="18"/>
                <w:lang w:eastAsia="es-CR"/>
              </w:rPr>
            </w:pPr>
          </w:p>
        </w:tc>
      </w:tr>
      <w:tr w:rsidR="000D08BC" w:rsidRPr="004E74A6" w14:paraId="6F5E46A4" w14:textId="7E337934" w:rsidTr="000D08BC">
        <w:trPr>
          <w:trHeight w:val="288"/>
          <w:jc w:val="center"/>
        </w:trPr>
        <w:tc>
          <w:tcPr>
            <w:tcW w:w="2731" w:type="dxa"/>
            <w:tcBorders>
              <w:top w:val="nil"/>
              <w:left w:val="nil"/>
              <w:bottom w:val="nil"/>
              <w:right w:val="single" w:sz="4" w:space="0" w:color="000000" w:themeColor="text1"/>
            </w:tcBorders>
            <w:shd w:val="clear" w:color="auto" w:fill="auto"/>
            <w:noWrap/>
            <w:vAlign w:val="center"/>
            <w:hideMark/>
          </w:tcPr>
          <w:p w14:paraId="106F7B6E" w14:textId="77777777" w:rsidR="000D08BC" w:rsidRPr="004E74A6" w:rsidRDefault="000D08BC" w:rsidP="00832773">
            <w:pPr>
              <w:spacing w:line="276" w:lineRule="auto"/>
              <w:jc w:val="left"/>
              <w:rPr>
                <w:rFonts w:cs="Calibri"/>
                <w:b/>
                <w:bCs/>
                <w:color w:val="000000"/>
                <w:sz w:val="20"/>
                <w:lang w:eastAsia="es-CR"/>
              </w:rPr>
            </w:pPr>
            <w:r w:rsidRPr="004E74A6">
              <w:rPr>
                <w:rFonts w:cs="Calibri"/>
                <w:b/>
                <w:bCs/>
                <w:color w:val="000000"/>
                <w:sz w:val="20"/>
                <w:lang w:eastAsia="es-CR"/>
              </w:rPr>
              <w:t>Notariado</w:t>
            </w:r>
          </w:p>
        </w:tc>
        <w:tc>
          <w:tcPr>
            <w:tcW w:w="1173" w:type="dxa"/>
            <w:tcBorders>
              <w:top w:val="nil"/>
              <w:left w:val="single" w:sz="4" w:space="0" w:color="000000" w:themeColor="text1"/>
              <w:bottom w:val="nil"/>
              <w:right w:val="single" w:sz="4" w:space="0" w:color="000000" w:themeColor="text1"/>
            </w:tcBorders>
            <w:shd w:val="clear" w:color="auto" w:fill="auto"/>
            <w:noWrap/>
            <w:vAlign w:val="center"/>
            <w:hideMark/>
          </w:tcPr>
          <w:p w14:paraId="1FDEF751" w14:textId="77777777" w:rsidR="000D08BC" w:rsidRPr="004E74A6" w:rsidRDefault="000D08BC" w:rsidP="00832773">
            <w:pPr>
              <w:spacing w:line="276" w:lineRule="auto"/>
              <w:jc w:val="center"/>
              <w:rPr>
                <w:rFonts w:cs="Calibri"/>
                <w:b/>
                <w:bCs/>
                <w:color w:val="000000"/>
                <w:sz w:val="20"/>
                <w:lang w:eastAsia="es-CR"/>
              </w:rPr>
            </w:pPr>
            <w:r w:rsidRPr="004E74A6">
              <w:rPr>
                <w:rFonts w:cs="Calibri"/>
                <w:b/>
                <w:bCs/>
                <w:color w:val="000000"/>
                <w:sz w:val="20"/>
                <w:lang w:eastAsia="es-CR"/>
              </w:rPr>
              <w:t>13</w:t>
            </w:r>
          </w:p>
        </w:tc>
        <w:tc>
          <w:tcPr>
            <w:tcW w:w="1173" w:type="dxa"/>
            <w:tcBorders>
              <w:top w:val="nil"/>
              <w:left w:val="single" w:sz="4" w:space="0" w:color="000000" w:themeColor="text1"/>
              <w:bottom w:val="nil"/>
              <w:right w:val="single" w:sz="4" w:space="0" w:color="000000" w:themeColor="text1"/>
            </w:tcBorders>
            <w:shd w:val="clear" w:color="auto" w:fill="auto"/>
            <w:noWrap/>
            <w:vAlign w:val="center"/>
            <w:hideMark/>
          </w:tcPr>
          <w:p w14:paraId="47C2956C" w14:textId="77777777" w:rsidR="000D08BC" w:rsidRPr="004E74A6" w:rsidRDefault="000D08BC" w:rsidP="00832773">
            <w:pPr>
              <w:spacing w:line="276" w:lineRule="auto"/>
              <w:jc w:val="center"/>
              <w:rPr>
                <w:rFonts w:cs="Calibri"/>
                <w:b/>
                <w:bCs/>
                <w:color w:val="000000"/>
                <w:sz w:val="20"/>
                <w:lang w:eastAsia="es-CR"/>
              </w:rPr>
            </w:pPr>
            <w:r w:rsidRPr="004E74A6">
              <w:rPr>
                <w:rFonts w:cs="Calibri"/>
                <w:b/>
                <w:bCs/>
                <w:color w:val="000000"/>
                <w:sz w:val="20"/>
                <w:lang w:eastAsia="es-CR"/>
              </w:rPr>
              <w:t>18</w:t>
            </w:r>
          </w:p>
        </w:tc>
        <w:tc>
          <w:tcPr>
            <w:tcW w:w="1173" w:type="dxa"/>
            <w:tcBorders>
              <w:top w:val="nil"/>
              <w:left w:val="single" w:sz="4" w:space="0" w:color="000000" w:themeColor="text1"/>
              <w:bottom w:val="nil"/>
              <w:right w:val="single" w:sz="4" w:space="0" w:color="000000" w:themeColor="text1"/>
            </w:tcBorders>
            <w:shd w:val="clear" w:color="auto" w:fill="auto"/>
            <w:noWrap/>
            <w:vAlign w:val="center"/>
            <w:hideMark/>
          </w:tcPr>
          <w:p w14:paraId="0EEB3684" w14:textId="77777777" w:rsidR="000D08BC" w:rsidRPr="004E74A6" w:rsidRDefault="000D08BC" w:rsidP="00832773">
            <w:pPr>
              <w:spacing w:line="276" w:lineRule="auto"/>
              <w:jc w:val="center"/>
              <w:rPr>
                <w:rFonts w:cs="Calibri"/>
                <w:b/>
                <w:bCs/>
                <w:color w:val="000000"/>
                <w:sz w:val="20"/>
                <w:lang w:eastAsia="es-CR"/>
              </w:rPr>
            </w:pPr>
            <w:r w:rsidRPr="004E74A6">
              <w:rPr>
                <w:rFonts w:cs="Calibri"/>
                <w:b/>
                <w:bCs/>
                <w:color w:val="000000"/>
                <w:sz w:val="20"/>
                <w:lang w:eastAsia="es-CR"/>
              </w:rPr>
              <w:t>17</w:t>
            </w:r>
          </w:p>
        </w:tc>
        <w:tc>
          <w:tcPr>
            <w:tcW w:w="1173" w:type="dxa"/>
            <w:tcBorders>
              <w:top w:val="nil"/>
              <w:left w:val="single" w:sz="4" w:space="0" w:color="000000" w:themeColor="text1"/>
              <w:bottom w:val="nil"/>
              <w:right w:val="nil"/>
            </w:tcBorders>
            <w:shd w:val="clear" w:color="auto" w:fill="auto"/>
            <w:noWrap/>
            <w:vAlign w:val="center"/>
            <w:hideMark/>
          </w:tcPr>
          <w:p w14:paraId="7097171A" w14:textId="77777777" w:rsidR="000D08BC" w:rsidRPr="004E74A6" w:rsidRDefault="000D08BC" w:rsidP="00832773">
            <w:pPr>
              <w:spacing w:line="276" w:lineRule="auto"/>
              <w:jc w:val="center"/>
              <w:rPr>
                <w:rFonts w:cs="Calibri"/>
                <w:b/>
                <w:bCs/>
                <w:color w:val="000000"/>
                <w:sz w:val="20"/>
                <w:lang w:eastAsia="es-CR"/>
              </w:rPr>
            </w:pPr>
            <w:r w:rsidRPr="004E74A6">
              <w:rPr>
                <w:rFonts w:cs="Calibri"/>
                <w:b/>
                <w:bCs/>
                <w:color w:val="000000"/>
                <w:sz w:val="20"/>
                <w:lang w:eastAsia="es-CR"/>
              </w:rPr>
              <w:t>16,0</w:t>
            </w:r>
          </w:p>
        </w:tc>
        <w:tc>
          <w:tcPr>
            <w:tcW w:w="1508" w:type="dxa"/>
            <w:tcBorders>
              <w:top w:val="nil"/>
              <w:left w:val="single" w:sz="4" w:space="0" w:color="000000" w:themeColor="text1"/>
              <w:bottom w:val="nil"/>
              <w:right w:val="nil"/>
            </w:tcBorders>
          </w:tcPr>
          <w:p w14:paraId="17BDC989" w14:textId="01D3BF0D" w:rsidR="000D08BC" w:rsidRPr="004E74A6" w:rsidRDefault="001D38BA" w:rsidP="00832773">
            <w:pPr>
              <w:spacing w:line="276" w:lineRule="auto"/>
              <w:jc w:val="center"/>
              <w:rPr>
                <w:rFonts w:cs="Calibri"/>
                <w:b/>
                <w:bCs/>
                <w:color w:val="000000"/>
                <w:sz w:val="20"/>
                <w:lang w:eastAsia="es-CR"/>
              </w:rPr>
            </w:pPr>
            <w:r w:rsidRPr="004E74A6">
              <w:rPr>
                <w:rFonts w:cs="Calibri"/>
                <w:b/>
                <w:bCs/>
                <w:color w:val="000000"/>
                <w:sz w:val="20"/>
                <w:lang w:eastAsia="es-CR"/>
              </w:rPr>
              <w:t>1,4%</w:t>
            </w:r>
          </w:p>
        </w:tc>
      </w:tr>
      <w:tr w:rsidR="000D08BC" w:rsidRPr="004E74A6" w14:paraId="444F5F17" w14:textId="66E95A2B" w:rsidTr="000D08BC">
        <w:trPr>
          <w:trHeight w:val="288"/>
          <w:jc w:val="center"/>
        </w:trPr>
        <w:tc>
          <w:tcPr>
            <w:tcW w:w="2731" w:type="dxa"/>
            <w:tcBorders>
              <w:top w:val="nil"/>
              <w:left w:val="nil"/>
              <w:bottom w:val="nil"/>
              <w:right w:val="single" w:sz="4" w:space="0" w:color="000000" w:themeColor="text1"/>
            </w:tcBorders>
            <w:shd w:val="clear" w:color="auto" w:fill="F2F2F2" w:themeFill="background1" w:themeFillShade="F2"/>
            <w:noWrap/>
            <w:vAlign w:val="center"/>
            <w:hideMark/>
          </w:tcPr>
          <w:p w14:paraId="0EC8E7B5" w14:textId="77777777" w:rsidR="000D08BC" w:rsidRPr="004E74A6" w:rsidRDefault="000D08BC" w:rsidP="00832773">
            <w:pPr>
              <w:spacing w:line="276" w:lineRule="auto"/>
              <w:ind w:left="283"/>
              <w:jc w:val="left"/>
              <w:rPr>
                <w:rFonts w:cs="Calibri"/>
                <w:i/>
                <w:iCs/>
                <w:color w:val="000000"/>
                <w:sz w:val="18"/>
                <w:szCs w:val="18"/>
                <w:lang w:eastAsia="es-CR"/>
              </w:rPr>
            </w:pPr>
            <w:r w:rsidRPr="004E74A6">
              <w:rPr>
                <w:rFonts w:cs="Calibri"/>
                <w:i/>
                <w:iCs/>
                <w:color w:val="000000"/>
                <w:sz w:val="18"/>
                <w:szCs w:val="18"/>
                <w:lang w:eastAsia="es-CR"/>
              </w:rPr>
              <w:t>Estimable</w:t>
            </w:r>
          </w:p>
        </w:tc>
        <w:tc>
          <w:tcPr>
            <w:tcW w:w="1173" w:type="dxa"/>
            <w:tcBorders>
              <w:top w:val="nil"/>
              <w:left w:val="single" w:sz="4" w:space="0" w:color="000000" w:themeColor="text1"/>
              <w:bottom w:val="nil"/>
              <w:right w:val="single" w:sz="4" w:space="0" w:color="000000" w:themeColor="text1"/>
            </w:tcBorders>
            <w:shd w:val="clear" w:color="auto" w:fill="F2F2F2" w:themeFill="background1" w:themeFillShade="F2"/>
            <w:noWrap/>
            <w:vAlign w:val="center"/>
            <w:hideMark/>
          </w:tcPr>
          <w:p w14:paraId="4C6DD468" w14:textId="77777777" w:rsidR="000D08BC" w:rsidRPr="004E74A6" w:rsidRDefault="000D08BC" w:rsidP="00832773">
            <w:pPr>
              <w:spacing w:line="276" w:lineRule="auto"/>
              <w:jc w:val="center"/>
              <w:rPr>
                <w:rFonts w:cs="Calibri"/>
                <w:i/>
                <w:iCs/>
                <w:color w:val="000000"/>
                <w:sz w:val="18"/>
                <w:szCs w:val="18"/>
                <w:lang w:eastAsia="es-CR"/>
              </w:rPr>
            </w:pPr>
            <w:r w:rsidRPr="004E74A6">
              <w:rPr>
                <w:rFonts w:cs="Calibri"/>
                <w:i/>
                <w:iCs/>
                <w:color w:val="000000"/>
                <w:sz w:val="18"/>
                <w:szCs w:val="18"/>
                <w:lang w:eastAsia="es-CR"/>
              </w:rPr>
              <w:t>1</w:t>
            </w:r>
          </w:p>
        </w:tc>
        <w:tc>
          <w:tcPr>
            <w:tcW w:w="1173" w:type="dxa"/>
            <w:tcBorders>
              <w:top w:val="nil"/>
              <w:left w:val="single" w:sz="4" w:space="0" w:color="000000" w:themeColor="text1"/>
              <w:bottom w:val="nil"/>
              <w:right w:val="single" w:sz="4" w:space="0" w:color="000000" w:themeColor="text1"/>
            </w:tcBorders>
            <w:shd w:val="clear" w:color="auto" w:fill="F2F2F2" w:themeFill="background1" w:themeFillShade="F2"/>
            <w:noWrap/>
            <w:vAlign w:val="center"/>
            <w:hideMark/>
          </w:tcPr>
          <w:p w14:paraId="2C7A88D4" w14:textId="77777777" w:rsidR="000D08BC" w:rsidRPr="004E74A6" w:rsidRDefault="000D08BC" w:rsidP="00832773">
            <w:pPr>
              <w:spacing w:line="276" w:lineRule="auto"/>
              <w:jc w:val="center"/>
              <w:rPr>
                <w:rFonts w:cs="Calibri"/>
                <w:i/>
                <w:iCs/>
                <w:color w:val="000000"/>
                <w:sz w:val="18"/>
                <w:szCs w:val="18"/>
                <w:lang w:eastAsia="es-CR"/>
              </w:rPr>
            </w:pPr>
            <w:r w:rsidRPr="004E74A6">
              <w:rPr>
                <w:rFonts w:cs="Calibri"/>
                <w:i/>
                <w:iCs/>
                <w:color w:val="000000"/>
                <w:sz w:val="18"/>
                <w:szCs w:val="18"/>
                <w:lang w:eastAsia="es-CR"/>
              </w:rPr>
              <w:t>0</w:t>
            </w:r>
          </w:p>
        </w:tc>
        <w:tc>
          <w:tcPr>
            <w:tcW w:w="1173" w:type="dxa"/>
            <w:tcBorders>
              <w:top w:val="nil"/>
              <w:left w:val="single" w:sz="4" w:space="0" w:color="000000" w:themeColor="text1"/>
              <w:bottom w:val="nil"/>
              <w:right w:val="single" w:sz="4" w:space="0" w:color="000000" w:themeColor="text1"/>
            </w:tcBorders>
            <w:shd w:val="clear" w:color="auto" w:fill="F2F2F2" w:themeFill="background1" w:themeFillShade="F2"/>
            <w:noWrap/>
            <w:vAlign w:val="center"/>
            <w:hideMark/>
          </w:tcPr>
          <w:p w14:paraId="73DFE7D5" w14:textId="77777777" w:rsidR="000D08BC" w:rsidRPr="004E74A6" w:rsidRDefault="000D08BC" w:rsidP="00832773">
            <w:pPr>
              <w:spacing w:line="276" w:lineRule="auto"/>
              <w:jc w:val="center"/>
              <w:rPr>
                <w:rFonts w:cs="Calibri"/>
                <w:i/>
                <w:iCs/>
                <w:color w:val="000000"/>
                <w:sz w:val="18"/>
                <w:szCs w:val="18"/>
                <w:lang w:eastAsia="es-CR"/>
              </w:rPr>
            </w:pPr>
            <w:r w:rsidRPr="004E74A6">
              <w:rPr>
                <w:rFonts w:cs="Calibri"/>
                <w:i/>
                <w:iCs/>
                <w:color w:val="000000"/>
                <w:sz w:val="18"/>
                <w:szCs w:val="18"/>
                <w:lang w:eastAsia="es-CR"/>
              </w:rPr>
              <w:t>1</w:t>
            </w:r>
          </w:p>
        </w:tc>
        <w:tc>
          <w:tcPr>
            <w:tcW w:w="1173" w:type="dxa"/>
            <w:tcBorders>
              <w:top w:val="nil"/>
              <w:left w:val="single" w:sz="4" w:space="0" w:color="000000" w:themeColor="text1"/>
              <w:bottom w:val="nil"/>
              <w:right w:val="nil"/>
            </w:tcBorders>
            <w:shd w:val="clear" w:color="auto" w:fill="F2F2F2" w:themeFill="background1" w:themeFillShade="F2"/>
            <w:noWrap/>
            <w:vAlign w:val="center"/>
            <w:hideMark/>
          </w:tcPr>
          <w:p w14:paraId="6FCDC6C5" w14:textId="77777777" w:rsidR="000D08BC" w:rsidRPr="004E74A6" w:rsidRDefault="000D08BC" w:rsidP="00832773">
            <w:pPr>
              <w:spacing w:line="276" w:lineRule="auto"/>
              <w:jc w:val="center"/>
              <w:rPr>
                <w:rFonts w:cs="Calibri"/>
                <w:i/>
                <w:iCs/>
                <w:color w:val="000000"/>
                <w:sz w:val="18"/>
                <w:szCs w:val="18"/>
                <w:lang w:eastAsia="es-CR"/>
              </w:rPr>
            </w:pPr>
            <w:r w:rsidRPr="004E74A6">
              <w:rPr>
                <w:rFonts w:cs="Calibri"/>
                <w:i/>
                <w:iCs/>
                <w:color w:val="000000"/>
                <w:sz w:val="18"/>
                <w:szCs w:val="18"/>
                <w:lang w:eastAsia="es-CR"/>
              </w:rPr>
              <w:t>0,7</w:t>
            </w:r>
          </w:p>
        </w:tc>
        <w:tc>
          <w:tcPr>
            <w:tcW w:w="1508" w:type="dxa"/>
            <w:tcBorders>
              <w:top w:val="nil"/>
              <w:left w:val="single" w:sz="4" w:space="0" w:color="000000" w:themeColor="text1"/>
              <w:bottom w:val="nil"/>
              <w:right w:val="nil"/>
            </w:tcBorders>
            <w:shd w:val="clear" w:color="auto" w:fill="F2F2F2" w:themeFill="background1" w:themeFillShade="F2"/>
          </w:tcPr>
          <w:p w14:paraId="213515D0" w14:textId="77777777" w:rsidR="000D08BC" w:rsidRPr="004E74A6" w:rsidRDefault="000D08BC" w:rsidP="00832773">
            <w:pPr>
              <w:spacing w:line="276" w:lineRule="auto"/>
              <w:jc w:val="center"/>
              <w:rPr>
                <w:rFonts w:cs="Calibri"/>
                <w:i/>
                <w:iCs/>
                <w:color w:val="000000"/>
                <w:sz w:val="18"/>
                <w:szCs w:val="18"/>
                <w:lang w:eastAsia="es-CR"/>
              </w:rPr>
            </w:pPr>
          </w:p>
        </w:tc>
      </w:tr>
      <w:tr w:rsidR="000D08BC" w:rsidRPr="004E74A6" w14:paraId="0B4BE8A8" w14:textId="0C929F83" w:rsidTr="000D08BC">
        <w:trPr>
          <w:trHeight w:val="288"/>
          <w:jc w:val="center"/>
        </w:trPr>
        <w:tc>
          <w:tcPr>
            <w:tcW w:w="2731" w:type="dxa"/>
            <w:tcBorders>
              <w:top w:val="nil"/>
              <w:left w:val="nil"/>
              <w:bottom w:val="nil"/>
              <w:right w:val="single" w:sz="4" w:space="0" w:color="000000" w:themeColor="text1"/>
            </w:tcBorders>
            <w:shd w:val="clear" w:color="auto" w:fill="F2F2F2" w:themeFill="background1" w:themeFillShade="F2"/>
            <w:noWrap/>
            <w:vAlign w:val="center"/>
            <w:hideMark/>
          </w:tcPr>
          <w:p w14:paraId="33FFC202" w14:textId="77777777" w:rsidR="000D08BC" w:rsidRPr="004E74A6" w:rsidRDefault="000D08BC" w:rsidP="00832773">
            <w:pPr>
              <w:spacing w:line="276" w:lineRule="auto"/>
              <w:ind w:left="283"/>
              <w:jc w:val="left"/>
              <w:rPr>
                <w:rFonts w:cs="Calibri"/>
                <w:i/>
                <w:iCs/>
                <w:color w:val="000000"/>
                <w:sz w:val="18"/>
                <w:szCs w:val="18"/>
                <w:lang w:eastAsia="es-CR"/>
              </w:rPr>
            </w:pPr>
            <w:r w:rsidRPr="004E74A6">
              <w:rPr>
                <w:rFonts w:cs="Calibri"/>
                <w:i/>
                <w:iCs/>
                <w:color w:val="000000"/>
                <w:sz w:val="18"/>
                <w:szCs w:val="18"/>
                <w:lang w:eastAsia="es-CR"/>
              </w:rPr>
              <w:t>Inestimable</w:t>
            </w:r>
          </w:p>
        </w:tc>
        <w:tc>
          <w:tcPr>
            <w:tcW w:w="1173" w:type="dxa"/>
            <w:tcBorders>
              <w:top w:val="nil"/>
              <w:left w:val="single" w:sz="4" w:space="0" w:color="000000" w:themeColor="text1"/>
              <w:bottom w:val="nil"/>
              <w:right w:val="single" w:sz="4" w:space="0" w:color="000000" w:themeColor="text1"/>
            </w:tcBorders>
            <w:shd w:val="clear" w:color="auto" w:fill="F2F2F2" w:themeFill="background1" w:themeFillShade="F2"/>
            <w:noWrap/>
            <w:vAlign w:val="center"/>
            <w:hideMark/>
          </w:tcPr>
          <w:p w14:paraId="75C29998" w14:textId="77777777" w:rsidR="000D08BC" w:rsidRPr="004E74A6" w:rsidRDefault="000D08BC" w:rsidP="00832773">
            <w:pPr>
              <w:spacing w:line="276" w:lineRule="auto"/>
              <w:jc w:val="center"/>
              <w:rPr>
                <w:rFonts w:cs="Calibri"/>
                <w:i/>
                <w:iCs/>
                <w:color w:val="000000"/>
                <w:sz w:val="18"/>
                <w:szCs w:val="18"/>
                <w:lang w:eastAsia="es-CR"/>
              </w:rPr>
            </w:pPr>
            <w:r w:rsidRPr="004E74A6">
              <w:rPr>
                <w:rFonts w:cs="Calibri"/>
                <w:i/>
                <w:iCs/>
                <w:color w:val="000000"/>
                <w:sz w:val="18"/>
                <w:szCs w:val="18"/>
                <w:lang w:eastAsia="es-CR"/>
              </w:rPr>
              <w:t>0</w:t>
            </w:r>
          </w:p>
        </w:tc>
        <w:tc>
          <w:tcPr>
            <w:tcW w:w="1173" w:type="dxa"/>
            <w:tcBorders>
              <w:top w:val="nil"/>
              <w:left w:val="single" w:sz="4" w:space="0" w:color="000000" w:themeColor="text1"/>
              <w:bottom w:val="nil"/>
              <w:right w:val="single" w:sz="4" w:space="0" w:color="000000" w:themeColor="text1"/>
            </w:tcBorders>
            <w:shd w:val="clear" w:color="auto" w:fill="F2F2F2" w:themeFill="background1" w:themeFillShade="F2"/>
            <w:noWrap/>
            <w:vAlign w:val="center"/>
            <w:hideMark/>
          </w:tcPr>
          <w:p w14:paraId="458B5860" w14:textId="77777777" w:rsidR="000D08BC" w:rsidRPr="004E74A6" w:rsidRDefault="000D08BC" w:rsidP="00832773">
            <w:pPr>
              <w:spacing w:line="276" w:lineRule="auto"/>
              <w:jc w:val="center"/>
              <w:rPr>
                <w:rFonts w:cs="Calibri"/>
                <w:i/>
                <w:iCs/>
                <w:color w:val="000000"/>
                <w:sz w:val="18"/>
                <w:szCs w:val="18"/>
                <w:lang w:eastAsia="es-CR"/>
              </w:rPr>
            </w:pPr>
            <w:r w:rsidRPr="004E74A6">
              <w:rPr>
                <w:rFonts w:cs="Calibri"/>
                <w:i/>
                <w:iCs/>
                <w:color w:val="000000"/>
                <w:sz w:val="18"/>
                <w:szCs w:val="18"/>
                <w:lang w:eastAsia="es-CR"/>
              </w:rPr>
              <w:t>8</w:t>
            </w:r>
          </w:p>
        </w:tc>
        <w:tc>
          <w:tcPr>
            <w:tcW w:w="1173" w:type="dxa"/>
            <w:tcBorders>
              <w:top w:val="nil"/>
              <w:left w:val="single" w:sz="4" w:space="0" w:color="000000" w:themeColor="text1"/>
              <w:bottom w:val="nil"/>
              <w:right w:val="single" w:sz="4" w:space="0" w:color="000000" w:themeColor="text1"/>
            </w:tcBorders>
            <w:shd w:val="clear" w:color="auto" w:fill="F2F2F2" w:themeFill="background1" w:themeFillShade="F2"/>
            <w:noWrap/>
            <w:vAlign w:val="center"/>
            <w:hideMark/>
          </w:tcPr>
          <w:p w14:paraId="0DCA33F8" w14:textId="77777777" w:rsidR="000D08BC" w:rsidRPr="004E74A6" w:rsidRDefault="000D08BC" w:rsidP="00832773">
            <w:pPr>
              <w:spacing w:line="276" w:lineRule="auto"/>
              <w:jc w:val="center"/>
              <w:rPr>
                <w:rFonts w:cs="Calibri"/>
                <w:i/>
                <w:iCs/>
                <w:color w:val="000000"/>
                <w:sz w:val="18"/>
                <w:szCs w:val="18"/>
                <w:lang w:eastAsia="es-CR"/>
              </w:rPr>
            </w:pPr>
            <w:r w:rsidRPr="004E74A6">
              <w:rPr>
                <w:rFonts w:cs="Calibri"/>
                <w:i/>
                <w:iCs/>
                <w:color w:val="000000"/>
                <w:sz w:val="18"/>
                <w:szCs w:val="18"/>
                <w:lang w:eastAsia="es-CR"/>
              </w:rPr>
              <w:t>1</w:t>
            </w:r>
          </w:p>
        </w:tc>
        <w:tc>
          <w:tcPr>
            <w:tcW w:w="1173" w:type="dxa"/>
            <w:tcBorders>
              <w:top w:val="nil"/>
              <w:left w:val="single" w:sz="4" w:space="0" w:color="000000" w:themeColor="text1"/>
              <w:bottom w:val="nil"/>
              <w:right w:val="nil"/>
            </w:tcBorders>
            <w:shd w:val="clear" w:color="auto" w:fill="F2F2F2" w:themeFill="background1" w:themeFillShade="F2"/>
            <w:noWrap/>
            <w:vAlign w:val="center"/>
            <w:hideMark/>
          </w:tcPr>
          <w:p w14:paraId="21386373" w14:textId="77777777" w:rsidR="000D08BC" w:rsidRPr="004E74A6" w:rsidRDefault="000D08BC" w:rsidP="00832773">
            <w:pPr>
              <w:spacing w:line="276" w:lineRule="auto"/>
              <w:jc w:val="center"/>
              <w:rPr>
                <w:rFonts w:cs="Calibri"/>
                <w:i/>
                <w:iCs/>
                <w:color w:val="000000"/>
                <w:sz w:val="18"/>
                <w:szCs w:val="18"/>
                <w:lang w:eastAsia="es-CR"/>
              </w:rPr>
            </w:pPr>
            <w:r w:rsidRPr="004E74A6">
              <w:rPr>
                <w:rFonts w:cs="Calibri"/>
                <w:i/>
                <w:iCs/>
                <w:color w:val="000000"/>
                <w:sz w:val="18"/>
                <w:szCs w:val="18"/>
                <w:lang w:eastAsia="es-CR"/>
              </w:rPr>
              <w:t>3,0</w:t>
            </w:r>
          </w:p>
        </w:tc>
        <w:tc>
          <w:tcPr>
            <w:tcW w:w="1508" w:type="dxa"/>
            <w:tcBorders>
              <w:top w:val="nil"/>
              <w:left w:val="single" w:sz="4" w:space="0" w:color="000000" w:themeColor="text1"/>
              <w:bottom w:val="nil"/>
              <w:right w:val="nil"/>
            </w:tcBorders>
            <w:shd w:val="clear" w:color="auto" w:fill="F2F2F2" w:themeFill="background1" w:themeFillShade="F2"/>
          </w:tcPr>
          <w:p w14:paraId="6FFE1AFC" w14:textId="77777777" w:rsidR="000D08BC" w:rsidRPr="004E74A6" w:rsidRDefault="000D08BC" w:rsidP="00832773">
            <w:pPr>
              <w:spacing w:line="276" w:lineRule="auto"/>
              <w:jc w:val="center"/>
              <w:rPr>
                <w:rFonts w:cs="Calibri"/>
                <w:i/>
                <w:iCs/>
                <w:color w:val="000000"/>
                <w:sz w:val="18"/>
                <w:szCs w:val="18"/>
                <w:lang w:eastAsia="es-CR"/>
              </w:rPr>
            </w:pPr>
          </w:p>
        </w:tc>
      </w:tr>
      <w:tr w:rsidR="000D08BC" w:rsidRPr="004E74A6" w14:paraId="42FAA9BD" w14:textId="025E30CF" w:rsidTr="000D08BC">
        <w:trPr>
          <w:trHeight w:val="288"/>
          <w:jc w:val="center"/>
        </w:trPr>
        <w:tc>
          <w:tcPr>
            <w:tcW w:w="2731" w:type="dxa"/>
            <w:tcBorders>
              <w:top w:val="nil"/>
              <w:left w:val="nil"/>
              <w:bottom w:val="nil"/>
              <w:right w:val="single" w:sz="4" w:space="0" w:color="000000" w:themeColor="text1"/>
            </w:tcBorders>
            <w:shd w:val="clear" w:color="auto" w:fill="F2F2F2" w:themeFill="background1" w:themeFillShade="F2"/>
            <w:noWrap/>
            <w:vAlign w:val="center"/>
            <w:hideMark/>
          </w:tcPr>
          <w:p w14:paraId="7A291925" w14:textId="77777777" w:rsidR="000D08BC" w:rsidRPr="004E74A6" w:rsidRDefault="000D08BC" w:rsidP="00832773">
            <w:pPr>
              <w:spacing w:line="276" w:lineRule="auto"/>
              <w:ind w:left="283"/>
              <w:jc w:val="left"/>
              <w:rPr>
                <w:rFonts w:cs="Calibri"/>
                <w:i/>
                <w:iCs/>
                <w:color w:val="000000"/>
                <w:sz w:val="18"/>
                <w:szCs w:val="18"/>
                <w:lang w:eastAsia="es-CR"/>
              </w:rPr>
            </w:pPr>
            <w:r w:rsidRPr="004E74A6">
              <w:rPr>
                <w:rFonts w:cs="Calibri"/>
                <w:i/>
                <w:iCs/>
                <w:color w:val="000000"/>
                <w:sz w:val="18"/>
                <w:szCs w:val="18"/>
                <w:lang w:eastAsia="es-CR"/>
              </w:rPr>
              <w:t>No aplica</w:t>
            </w:r>
          </w:p>
        </w:tc>
        <w:tc>
          <w:tcPr>
            <w:tcW w:w="1173" w:type="dxa"/>
            <w:tcBorders>
              <w:top w:val="nil"/>
              <w:left w:val="single" w:sz="4" w:space="0" w:color="000000" w:themeColor="text1"/>
              <w:bottom w:val="nil"/>
              <w:right w:val="single" w:sz="4" w:space="0" w:color="000000" w:themeColor="text1"/>
            </w:tcBorders>
            <w:shd w:val="clear" w:color="auto" w:fill="F2F2F2" w:themeFill="background1" w:themeFillShade="F2"/>
            <w:noWrap/>
            <w:vAlign w:val="center"/>
            <w:hideMark/>
          </w:tcPr>
          <w:p w14:paraId="15B68F6A" w14:textId="77777777" w:rsidR="000D08BC" w:rsidRPr="004E74A6" w:rsidRDefault="000D08BC" w:rsidP="00832773">
            <w:pPr>
              <w:spacing w:line="276" w:lineRule="auto"/>
              <w:jc w:val="center"/>
              <w:rPr>
                <w:rFonts w:cs="Calibri"/>
                <w:i/>
                <w:iCs/>
                <w:color w:val="000000"/>
                <w:sz w:val="18"/>
                <w:szCs w:val="18"/>
                <w:lang w:eastAsia="es-CR"/>
              </w:rPr>
            </w:pPr>
            <w:r w:rsidRPr="004E74A6">
              <w:rPr>
                <w:rFonts w:cs="Calibri"/>
                <w:i/>
                <w:iCs/>
                <w:color w:val="000000"/>
                <w:sz w:val="18"/>
                <w:szCs w:val="18"/>
                <w:lang w:eastAsia="es-CR"/>
              </w:rPr>
              <w:t>6</w:t>
            </w:r>
          </w:p>
        </w:tc>
        <w:tc>
          <w:tcPr>
            <w:tcW w:w="1173" w:type="dxa"/>
            <w:tcBorders>
              <w:top w:val="nil"/>
              <w:left w:val="single" w:sz="4" w:space="0" w:color="000000" w:themeColor="text1"/>
              <w:bottom w:val="nil"/>
              <w:right w:val="single" w:sz="4" w:space="0" w:color="000000" w:themeColor="text1"/>
            </w:tcBorders>
            <w:shd w:val="clear" w:color="auto" w:fill="F2F2F2" w:themeFill="background1" w:themeFillShade="F2"/>
            <w:noWrap/>
            <w:vAlign w:val="center"/>
            <w:hideMark/>
          </w:tcPr>
          <w:p w14:paraId="17A88970" w14:textId="77777777" w:rsidR="000D08BC" w:rsidRPr="004E74A6" w:rsidRDefault="000D08BC" w:rsidP="00832773">
            <w:pPr>
              <w:spacing w:line="276" w:lineRule="auto"/>
              <w:jc w:val="center"/>
              <w:rPr>
                <w:rFonts w:cs="Calibri"/>
                <w:i/>
                <w:iCs/>
                <w:color w:val="000000"/>
                <w:sz w:val="18"/>
                <w:szCs w:val="18"/>
                <w:lang w:eastAsia="es-CR"/>
              </w:rPr>
            </w:pPr>
            <w:r w:rsidRPr="004E74A6">
              <w:rPr>
                <w:rFonts w:cs="Calibri"/>
                <w:i/>
                <w:iCs/>
                <w:color w:val="000000"/>
                <w:sz w:val="18"/>
                <w:szCs w:val="18"/>
                <w:lang w:eastAsia="es-CR"/>
              </w:rPr>
              <w:t>10</w:t>
            </w:r>
          </w:p>
        </w:tc>
        <w:tc>
          <w:tcPr>
            <w:tcW w:w="1173" w:type="dxa"/>
            <w:tcBorders>
              <w:top w:val="nil"/>
              <w:left w:val="single" w:sz="4" w:space="0" w:color="000000" w:themeColor="text1"/>
              <w:bottom w:val="nil"/>
              <w:right w:val="single" w:sz="4" w:space="0" w:color="000000" w:themeColor="text1"/>
            </w:tcBorders>
            <w:shd w:val="clear" w:color="auto" w:fill="F2F2F2" w:themeFill="background1" w:themeFillShade="F2"/>
            <w:noWrap/>
            <w:vAlign w:val="center"/>
            <w:hideMark/>
          </w:tcPr>
          <w:p w14:paraId="37AD3C72" w14:textId="77777777" w:rsidR="000D08BC" w:rsidRPr="004E74A6" w:rsidRDefault="000D08BC" w:rsidP="00832773">
            <w:pPr>
              <w:spacing w:line="276" w:lineRule="auto"/>
              <w:jc w:val="center"/>
              <w:rPr>
                <w:rFonts w:cs="Calibri"/>
                <w:i/>
                <w:iCs/>
                <w:color w:val="000000"/>
                <w:sz w:val="18"/>
                <w:szCs w:val="18"/>
                <w:lang w:eastAsia="es-CR"/>
              </w:rPr>
            </w:pPr>
            <w:r w:rsidRPr="004E74A6">
              <w:rPr>
                <w:rFonts w:cs="Calibri"/>
                <w:i/>
                <w:iCs/>
                <w:color w:val="000000"/>
                <w:sz w:val="18"/>
                <w:szCs w:val="18"/>
                <w:lang w:eastAsia="es-CR"/>
              </w:rPr>
              <w:t>15</w:t>
            </w:r>
          </w:p>
        </w:tc>
        <w:tc>
          <w:tcPr>
            <w:tcW w:w="1173" w:type="dxa"/>
            <w:tcBorders>
              <w:top w:val="nil"/>
              <w:left w:val="single" w:sz="4" w:space="0" w:color="000000" w:themeColor="text1"/>
              <w:bottom w:val="nil"/>
              <w:right w:val="nil"/>
            </w:tcBorders>
            <w:shd w:val="clear" w:color="auto" w:fill="F2F2F2" w:themeFill="background1" w:themeFillShade="F2"/>
            <w:noWrap/>
            <w:vAlign w:val="center"/>
            <w:hideMark/>
          </w:tcPr>
          <w:p w14:paraId="0BF4A215" w14:textId="77777777" w:rsidR="000D08BC" w:rsidRPr="004E74A6" w:rsidRDefault="000D08BC" w:rsidP="00832773">
            <w:pPr>
              <w:spacing w:line="276" w:lineRule="auto"/>
              <w:jc w:val="center"/>
              <w:rPr>
                <w:rFonts w:cs="Calibri"/>
                <w:i/>
                <w:iCs/>
                <w:color w:val="000000"/>
                <w:sz w:val="18"/>
                <w:szCs w:val="18"/>
                <w:lang w:eastAsia="es-CR"/>
              </w:rPr>
            </w:pPr>
            <w:r w:rsidRPr="004E74A6">
              <w:rPr>
                <w:rFonts w:cs="Calibri"/>
                <w:i/>
                <w:iCs/>
                <w:color w:val="000000"/>
                <w:sz w:val="18"/>
                <w:szCs w:val="18"/>
                <w:lang w:eastAsia="es-CR"/>
              </w:rPr>
              <w:t>10,3</w:t>
            </w:r>
          </w:p>
        </w:tc>
        <w:tc>
          <w:tcPr>
            <w:tcW w:w="1508" w:type="dxa"/>
            <w:tcBorders>
              <w:top w:val="nil"/>
              <w:left w:val="single" w:sz="4" w:space="0" w:color="000000" w:themeColor="text1"/>
              <w:bottom w:val="nil"/>
              <w:right w:val="nil"/>
            </w:tcBorders>
            <w:shd w:val="clear" w:color="auto" w:fill="F2F2F2" w:themeFill="background1" w:themeFillShade="F2"/>
          </w:tcPr>
          <w:p w14:paraId="72832108" w14:textId="77777777" w:rsidR="000D08BC" w:rsidRPr="004E74A6" w:rsidRDefault="000D08BC" w:rsidP="00832773">
            <w:pPr>
              <w:spacing w:line="276" w:lineRule="auto"/>
              <w:jc w:val="center"/>
              <w:rPr>
                <w:rFonts w:cs="Calibri"/>
                <w:i/>
                <w:iCs/>
                <w:color w:val="000000"/>
                <w:sz w:val="18"/>
                <w:szCs w:val="18"/>
                <w:lang w:eastAsia="es-CR"/>
              </w:rPr>
            </w:pPr>
          </w:p>
        </w:tc>
      </w:tr>
      <w:tr w:rsidR="000D08BC" w:rsidRPr="004E74A6" w14:paraId="5FB9A293" w14:textId="2B9713B7" w:rsidTr="000D08BC">
        <w:trPr>
          <w:trHeight w:val="288"/>
          <w:jc w:val="center"/>
        </w:trPr>
        <w:tc>
          <w:tcPr>
            <w:tcW w:w="2731" w:type="dxa"/>
            <w:tcBorders>
              <w:top w:val="nil"/>
              <w:left w:val="nil"/>
              <w:right w:val="single" w:sz="4" w:space="0" w:color="000000" w:themeColor="text1"/>
            </w:tcBorders>
            <w:shd w:val="clear" w:color="auto" w:fill="F2F2F2" w:themeFill="background1" w:themeFillShade="F2"/>
            <w:noWrap/>
            <w:vAlign w:val="center"/>
            <w:hideMark/>
          </w:tcPr>
          <w:p w14:paraId="254E94A6" w14:textId="77777777" w:rsidR="000D08BC" w:rsidRPr="004E74A6" w:rsidRDefault="000D08BC" w:rsidP="00832773">
            <w:pPr>
              <w:spacing w:line="276" w:lineRule="auto"/>
              <w:ind w:left="283"/>
              <w:jc w:val="left"/>
              <w:rPr>
                <w:rFonts w:cs="Calibri"/>
                <w:i/>
                <w:iCs/>
                <w:color w:val="000000"/>
                <w:sz w:val="18"/>
                <w:szCs w:val="18"/>
                <w:lang w:eastAsia="es-CR"/>
              </w:rPr>
            </w:pPr>
            <w:r w:rsidRPr="004E74A6">
              <w:rPr>
                <w:rFonts w:cs="Calibri"/>
                <w:i/>
                <w:iCs/>
                <w:color w:val="000000"/>
                <w:sz w:val="18"/>
                <w:szCs w:val="18"/>
                <w:lang w:eastAsia="es-CR"/>
              </w:rPr>
              <w:t>Sin actualizar</w:t>
            </w:r>
          </w:p>
        </w:tc>
        <w:tc>
          <w:tcPr>
            <w:tcW w:w="1173" w:type="dxa"/>
            <w:tcBorders>
              <w:top w:val="nil"/>
              <w:left w:val="single" w:sz="4" w:space="0" w:color="000000" w:themeColor="text1"/>
              <w:right w:val="single" w:sz="4" w:space="0" w:color="000000" w:themeColor="text1"/>
            </w:tcBorders>
            <w:shd w:val="clear" w:color="auto" w:fill="F2F2F2" w:themeFill="background1" w:themeFillShade="F2"/>
            <w:noWrap/>
            <w:vAlign w:val="center"/>
            <w:hideMark/>
          </w:tcPr>
          <w:p w14:paraId="52A967BD" w14:textId="77777777" w:rsidR="000D08BC" w:rsidRPr="004E74A6" w:rsidRDefault="000D08BC" w:rsidP="00832773">
            <w:pPr>
              <w:spacing w:line="276" w:lineRule="auto"/>
              <w:jc w:val="center"/>
              <w:rPr>
                <w:rFonts w:cs="Calibri"/>
                <w:i/>
                <w:iCs/>
                <w:color w:val="000000"/>
                <w:sz w:val="18"/>
                <w:szCs w:val="18"/>
                <w:lang w:eastAsia="es-CR"/>
              </w:rPr>
            </w:pPr>
            <w:r w:rsidRPr="004E74A6">
              <w:rPr>
                <w:rFonts w:cs="Calibri"/>
                <w:i/>
                <w:iCs/>
                <w:color w:val="000000"/>
                <w:sz w:val="18"/>
                <w:szCs w:val="18"/>
                <w:lang w:eastAsia="es-CR"/>
              </w:rPr>
              <w:t>6</w:t>
            </w:r>
          </w:p>
        </w:tc>
        <w:tc>
          <w:tcPr>
            <w:tcW w:w="1173" w:type="dxa"/>
            <w:tcBorders>
              <w:top w:val="nil"/>
              <w:left w:val="single" w:sz="4" w:space="0" w:color="000000" w:themeColor="text1"/>
              <w:right w:val="single" w:sz="4" w:space="0" w:color="000000" w:themeColor="text1"/>
            </w:tcBorders>
            <w:shd w:val="clear" w:color="auto" w:fill="F2F2F2" w:themeFill="background1" w:themeFillShade="F2"/>
            <w:noWrap/>
            <w:vAlign w:val="center"/>
            <w:hideMark/>
          </w:tcPr>
          <w:p w14:paraId="47FDA9C8" w14:textId="77777777" w:rsidR="000D08BC" w:rsidRPr="004E74A6" w:rsidRDefault="000D08BC" w:rsidP="00832773">
            <w:pPr>
              <w:spacing w:line="276" w:lineRule="auto"/>
              <w:jc w:val="center"/>
              <w:rPr>
                <w:rFonts w:cs="Calibri"/>
                <w:i/>
                <w:iCs/>
                <w:color w:val="000000"/>
                <w:sz w:val="18"/>
                <w:szCs w:val="18"/>
                <w:lang w:eastAsia="es-CR"/>
              </w:rPr>
            </w:pPr>
            <w:r w:rsidRPr="004E74A6">
              <w:rPr>
                <w:rFonts w:cs="Calibri"/>
                <w:i/>
                <w:iCs/>
                <w:color w:val="000000"/>
                <w:sz w:val="18"/>
                <w:szCs w:val="18"/>
                <w:lang w:eastAsia="es-CR"/>
              </w:rPr>
              <w:t>0</w:t>
            </w:r>
          </w:p>
        </w:tc>
        <w:tc>
          <w:tcPr>
            <w:tcW w:w="1173" w:type="dxa"/>
            <w:tcBorders>
              <w:top w:val="nil"/>
              <w:left w:val="single" w:sz="4" w:space="0" w:color="000000" w:themeColor="text1"/>
              <w:right w:val="single" w:sz="4" w:space="0" w:color="000000" w:themeColor="text1"/>
            </w:tcBorders>
            <w:shd w:val="clear" w:color="auto" w:fill="F2F2F2" w:themeFill="background1" w:themeFillShade="F2"/>
            <w:noWrap/>
            <w:vAlign w:val="center"/>
            <w:hideMark/>
          </w:tcPr>
          <w:p w14:paraId="69673B9D" w14:textId="77777777" w:rsidR="000D08BC" w:rsidRPr="004E74A6" w:rsidRDefault="000D08BC" w:rsidP="00832773">
            <w:pPr>
              <w:spacing w:line="276" w:lineRule="auto"/>
              <w:jc w:val="center"/>
              <w:rPr>
                <w:rFonts w:cs="Calibri"/>
                <w:i/>
                <w:iCs/>
                <w:color w:val="000000"/>
                <w:sz w:val="18"/>
                <w:szCs w:val="18"/>
                <w:lang w:eastAsia="es-CR"/>
              </w:rPr>
            </w:pPr>
            <w:r w:rsidRPr="004E74A6">
              <w:rPr>
                <w:rFonts w:cs="Calibri"/>
                <w:i/>
                <w:iCs/>
                <w:color w:val="000000"/>
                <w:sz w:val="18"/>
                <w:szCs w:val="18"/>
                <w:lang w:eastAsia="es-CR"/>
              </w:rPr>
              <w:t>0</w:t>
            </w:r>
          </w:p>
        </w:tc>
        <w:tc>
          <w:tcPr>
            <w:tcW w:w="1173" w:type="dxa"/>
            <w:tcBorders>
              <w:top w:val="nil"/>
              <w:left w:val="single" w:sz="4" w:space="0" w:color="000000" w:themeColor="text1"/>
              <w:right w:val="nil"/>
            </w:tcBorders>
            <w:shd w:val="clear" w:color="auto" w:fill="F2F2F2" w:themeFill="background1" w:themeFillShade="F2"/>
            <w:noWrap/>
            <w:vAlign w:val="center"/>
            <w:hideMark/>
          </w:tcPr>
          <w:p w14:paraId="3866EDB2" w14:textId="77777777" w:rsidR="000D08BC" w:rsidRPr="004E74A6" w:rsidRDefault="000D08BC" w:rsidP="00832773">
            <w:pPr>
              <w:spacing w:line="276" w:lineRule="auto"/>
              <w:jc w:val="center"/>
              <w:rPr>
                <w:rFonts w:cs="Calibri"/>
                <w:i/>
                <w:iCs/>
                <w:color w:val="000000"/>
                <w:sz w:val="18"/>
                <w:szCs w:val="18"/>
                <w:lang w:eastAsia="es-CR"/>
              </w:rPr>
            </w:pPr>
            <w:r w:rsidRPr="004E74A6">
              <w:rPr>
                <w:rFonts w:cs="Calibri"/>
                <w:i/>
                <w:iCs/>
                <w:color w:val="000000"/>
                <w:sz w:val="18"/>
                <w:szCs w:val="18"/>
                <w:lang w:eastAsia="es-CR"/>
              </w:rPr>
              <w:t>2,0</w:t>
            </w:r>
          </w:p>
        </w:tc>
        <w:tc>
          <w:tcPr>
            <w:tcW w:w="1508" w:type="dxa"/>
            <w:tcBorders>
              <w:top w:val="nil"/>
              <w:left w:val="single" w:sz="4" w:space="0" w:color="000000" w:themeColor="text1"/>
              <w:right w:val="nil"/>
            </w:tcBorders>
            <w:shd w:val="clear" w:color="auto" w:fill="F2F2F2" w:themeFill="background1" w:themeFillShade="F2"/>
          </w:tcPr>
          <w:p w14:paraId="5DDC1BEF" w14:textId="77777777" w:rsidR="000D08BC" w:rsidRPr="004E74A6" w:rsidRDefault="000D08BC" w:rsidP="00832773">
            <w:pPr>
              <w:spacing w:line="276" w:lineRule="auto"/>
              <w:jc w:val="center"/>
              <w:rPr>
                <w:rFonts w:cs="Calibri"/>
                <w:i/>
                <w:iCs/>
                <w:color w:val="000000"/>
                <w:sz w:val="18"/>
                <w:szCs w:val="18"/>
                <w:lang w:eastAsia="es-CR"/>
              </w:rPr>
            </w:pPr>
          </w:p>
        </w:tc>
      </w:tr>
      <w:tr w:rsidR="000D08BC" w:rsidRPr="004E74A6" w14:paraId="3D7CD295" w14:textId="60289276" w:rsidTr="000D08BC">
        <w:trPr>
          <w:trHeight w:val="288"/>
          <w:jc w:val="center"/>
        </w:trPr>
        <w:tc>
          <w:tcPr>
            <w:tcW w:w="2731" w:type="dxa"/>
            <w:tcBorders>
              <w:top w:val="nil"/>
              <w:left w:val="nil"/>
              <w:bottom w:val="single" w:sz="4" w:space="0" w:color="000000" w:themeColor="text1"/>
              <w:right w:val="single" w:sz="4" w:space="0" w:color="000000" w:themeColor="text1"/>
            </w:tcBorders>
            <w:shd w:val="clear" w:color="auto" w:fill="auto"/>
            <w:noWrap/>
            <w:vAlign w:val="center"/>
          </w:tcPr>
          <w:p w14:paraId="6F9EC43B" w14:textId="2A79BBD2" w:rsidR="000D08BC" w:rsidRPr="004E74A6" w:rsidRDefault="000D08BC" w:rsidP="00832773">
            <w:pPr>
              <w:spacing w:line="276" w:lineRule="auto"/>
              <w:jc w:val="left"/>
              <w:rPr>
                <w:rFonts w:cs="Calibri"/>
                <w:color w:val="000000"/>
                <w:sz w:val="20"/>
                <w:lang w:eastAsia="es-CR"/>
              </w:rPr>
            </w:pPr>
          </w:p>
        </w:tc>
        <w:tc>
          <w:tcPr>
            <w:tcW w:w="1173" w:type="dxa"/>
            <w:tcBorders>
              <w:top w:val="nil"/>
              <w:left w:val="single" w:sz="4" w:space="0" w:color="000000" w:themeColor="text1"/>
              <w:bottom w:val="single" w:sz="4" w:space="0" w:color="000000" w:themeColor="text1"/>
              <w:right w:val="single" w:sz="4" w:space="0" w:color="000000" w:themeColor="text1"/>
            </w:tcBorders>
            <w:shd w:val="clear" w:color="auto" w:fill="auto"/>
            <w:noWrap/>
            <w:vAlign w:val="center"/>
          </w:tcPr>
          <w:p w14:paraId="38DAFBAD" w14:textId="2A62C704" w:rsidR="000D08BC" w:rsidRPr="004E74A6" w:rsidRDefault="000D08BC" w:rsidP="00832773">
            <w:pPr>
              <w:spacing w:line="276" w:lineRule="auto"/>
              <w:jc w:val="center"/>
              <w:rPr>
                <w:rFonts w:cs="Calibri"/>
                <w:color w:val="000000"/>
                <w:sz w:val="20"/>
                <w:lang w:eastAsia="es-CR"/>
              </w:rPr>
            </w:pPr>
          </w:p>
        </w:tc>
        <w:tc>
          <w:tcPr>
            <w:tcW w:w="1173" w:type="dxa"/>
            <w:tcBorders>
              <w:top w:val="nil"/>
              <w:left w:val="single" w:sz="4" w:space="0" w:color="000000" w:themeColor="text1"/>
              <w:bottom w:val="single" w:sz="4" w:space="0" w:color="000000" w:themeColor="text1"/>
              <w:right w:val="single" w:sz="4" w:space="0" w:color="000000" w:themeColor="text1"/>
            </w:tcBorders>
            <w:shd w:val="clear" w:color="auto" w:fill="auto"/>
            <w:noWrap/>
            <w:vAlign w:val="center"/>
          </w:tcPr>
          <w:p w14:paraId="43F5F995" w14:textId="56FC5C03" w:rsidR="000D08BC" w:rsidRPr="004E74A6" w:rsidRDefault="000D08BC" w:rsidP="00832773">
            <w:pPr>
              <w:spacing w:line="276" w:lineRule="auto"/>
              <w:jc w:val="center"/>
              <w:rPr>
                <w:rFonts w:cs="Calibri"/>
                <w:color w:val="000000"/>
                <w:sz w:val="20"/>
                <w:lang w:eastAsia="es-CR"/>
              </w:rPr>
            </w:pPr>
          </w:p>
        </w:tc>
        <w:tc>
          <w:tcPr>
            <w:tcW w:w="1173" w:type="dxa"/>
            <w:tcBorders>
              <w:top w:val="nil"/>
              <w:left w:val="single" w:sz="4" w:space="0" w:color="000000" w:themeColor="text1"/>
              <w:bottom w:val="single" w:sz="4" w:space="0" w:color="000000" w:themeColor="text1"/>
              <w:right w:val="single" w:sz="4" w:space="0" w:color="000000" w:themeColor="text1"/>
            </w:tcBorders>
            <w:shd w:val="clear" w:color="auto" w:fill="auto"/>
            <w:noWrap/>
            <w:vAlign w:val="center"/>
          </w:tcPr>
          <w:p w14:paraId="4E74ABE2" w14:textId="17EC155D" w:rsidR="000D08BC" w:rsidRPr="004E74A6" w:rsidRDefault="000D08BC" w:rsidP="00832773">
            <w:pPr>
              <w:spacing w:line="276" w:lineRule="auto"/>
              <w:jc w:val="center"/>
              <w:rPr>
                <w:rFonts w:cs="Calibri"/>
                <w:color w:val="000000"/>
                <w:sz w:val="20"/>
                <w:lang w:eastAsia="es-CR"/>
              </w:rPr>
            </w:pPr>
          </w:p>
        </w:tc>
        <w:tc>
          <w:tcPr>
            <w:tcW w:w="1173" w:type="dxa"/>
            <w:tcBorders>
              <w:top w:val="nil"/>
              <w:left w:val="single" w:sz="4" w:space="0" w:color="000000" w:themeColor="text1"/>
              <w:bottom w:val="single" w:sz="4" w:space="0" w:color="000000" w:themeColor="text1"/>
              <w:right w:val="nil"/>
            </w:tcBorders>
            <w:shd w:val="clear" w:color="auto" w:fill="auto"/>
            <w:noWrap/>
            <w:vAlign w:val="center"/>
          </w:tcPr>
          <w:p w14:paraId="6CF2E660" w14:textId="2AB5B4F6" w:rsidR="000D08BC" w:rsidRPr="004E74A6" w:rsidRDefault="000D08BC" w:rsidP="00832773">
            <w:pPr>
              <w:spacing w:line="276" w:lineRule="auto"/>
              <w:jc w:val="right"/>
              <w:rPr>
                <w:rFonts w:cs="Calibri"/>
                <w:color w:val="000000"/>
                <w:sz w:val="20"/>
                <w:lang w:eastAsia="es-CR"/>
              </w:rPr>
            </w:pPr>
          </w:p>
        </w:tc>
        <w:tc>
          <w:tcPr>
            <w:tcW w:w="1508" w:type="dxa"/>
            <w:tcBorders>
              <w:top w:val="nil"/>
              <w:left w:val="single" w:sz="4" w:space="0" w:color="000000" w:themeColor="text1"/>
              <w:bottom w:val="single" w:sz="4" w:space="0" w:color="000000" w:themeColor="text1"/>
              <w:right w:val="nil"/>
            </w:tcBorders>
          </w:tcPr>
          <w:p w14:paraId="0F87B5A0" w14:textId="77777777" w:rsidR="000D08BC" w:rsidRPr="004E74A6" w:rsidRDefault="000D08BC" w:rsidP="00832773">
            <w:pPr>
              <w:spacing w:line="276" w:lineRule="auto"/>
              <w:jc w:val="right"/>
              <w:rPr>
                <w:rFonts w:cs="Calibri"/>
                <w:color w:val="000000"/>
                <w:sz w:val="20"/>
                <w:lang w:eastAsia="es-CR"/>
              </w:rPr>
            </w:pPr>
          </w:p>
        </w:tc>
      </w:tr>
    </w:tbl>
    <w:p w14:paraId="3F6E298D" w14:textId="77777777" w:rsidR="00AC6185" w:rsidRPr="004E74A6" w:rsidRDefault="00AC6185" w:rsidP="00832773">
      <w:pPr>
        <w:spacing w:line="276" w:lineRule="auto"/>
        <w:ind w:left="567" w:right="567"/>
        <w:rPr>
          <w:rFonts w:cs="Calibri"/>
          <w:i/>
          <w:iCs/>
          <w:color w:val="000000"/>
          <w:sz w:val="20"/>
          <w:lang w:eastAsia="es-CR"/>
        </w:rPr>
      </w:pPr>
      <w:r w:rsidRPr="004E74A6">
        <w:rPr>
          <w:rFonts w:cs="Calibri"/>
          <w:b/>
          <w:bCs/>
          <w:i/>
          <w:iCs/>
          <w:color w:val="000000"/>
          <w:sz w:val="20"/>
          <w:lang w:eastAsia="es-CR"/>
        </w:rPr>
        <w:t>Fuente</w:t>
      </w:r>
      <w:r w:rsidRPr="004E74A6">
        <w:rPr>
          <w:rFonts w:cs="Calibri"/>
          <w:i/>
          <w:iCs/>
          <w:color w:val="000000"/>
          <w:sz w:val="20"/>
          <w:lang w:eastAsia="es-CR"/>
        </w:rPr>
        <w:t>: Subproceso de Modernización Institucional con datos extraídos del sistema SIGMA, Dirección de Planificación.</w:t>
      </w:r>
    </w:p>
    <w:p w14:paraId="397B07AD" w14:textId="5B15C9A8" w:rsidR="00A34F32" w:rsidRPr="004E74A6" w:rsidRDefault="00A34F32" w:rsidP="00CE62C1">
      <w:pPr>
        <w:spacing w:after="160" w:line="276" w:lineRule="auto"/>
        <w:rPr>
          <w:rFonts w:cs="Calibri"/>
          <w:color w:val="000000"/>
          <w:szCs w:val="24"/>
          <w:lang w:eastAsia="es-CR"/>
        </w:rPr>
      </w:pPr>
    </w:p>
    <w:p w14:paraId="6DE61D8D" w14:textId="1CBB4771" w:rsidR="00343BEB" w:rsidRPr="004E74A6" w:rsidRDefault="00343BEB" w:rsidP="00CE62C1">
      <w:pPr>
        <w:spacing w:after="160" w:line="276" w:lineRule="auto"/>
        <w:rPr>
          <w:rFonts w:cs="Calibri"/>
          <w:color w:val="000000"/>
          <w:szCs w:val="24"/>
          <w:lang w:eastAsia="es-CR"/>
        </w:rPr>
      </w:pPr>
      <w:r w:rsidRPr="004E74A6">
        <w:rPr>
          <w:rFonts w:cs="Calibri"/>
          <w:color w:val="000000"/>
          <w:szCs w:val="24"/>
          <w:lang w:eastAsia="es-CR"/>
        </w:rPr>
        <w:lastRenderedPageBreak/>
        <w:t>De</w:t>
      </w:r>
      <w:r w:rsidR="00717F47" w:rsidRPr="004E74A6">
        <w:rPr>
          <w:rFonts w:cs="Calibri"/>
          <w:color w:val="000000"/>
          <w:szCs w:val="24"/>
          <w:lang w:eastAsia="es-CR"/>
        </w:rPr>
        <w:t xml:space="preserve"> la tabla </w:t>
      </w:r>
      <w:r w:rsidRPr="004E74A6">
        <w:rPr>
          <w:rFonts w:cs="Calibri"/>
          <w:color w:val="000000"/>
          <w:szCs w:val="24"/>
          <w:lang w:eastAsia="es-CR"/>
        </w:rPr>
        <w:t>anterior se deben resaltar los siguientes aspectos:</w:t>
      </w:r>
    </w:p>
    <w:p w14:paraId="032140B6" w14:textId="4C4C93BF" w:rsidR="00343BEB" w:rsidRDefault="00343BEB" w:rsidP="00CE62C1">
      <w:pPr>
        <w:pStyle w:val="Prrafodelista"/>
        <w:numPr>
          <w:ilvl w:val="0"/>
          <w:numId w:val="25"/>
        </w:numPr>
        <w:spacing w:after="240" w:line="276" w:lineRule="auto"/>
        <w:rPr>
          <w:rFonts w:ascii="Book Antiqua" w:hAnsi="Book Antiqua" w:cs="Calibri"/>
          <w:color w:val="000000"/>
          <w:lang w:val="es-CR" w:eastAsia="es-CR"/>
        </w:rPr>
      </w:pPr>
      <w:r w:rsidRPr="00832773">
        <w:rPr>
          <w:rFonts w:ascii="Book Antiqua" w:hAnsi="Book Antiqua" w:cs="Calibri"/>
          <w:color w:val="000000"/>
          <w:lang w:val="es-CR" w:eastAsia="es-CR"/>
        </w:rPr>
        <w:t xml:space="preserve">Conforme ha indicado la Sala </w:t>
      </w:r>
      <w:r w:rsidR="006572E4" w:rsidRPr="00832773">
        <w:rPr>
          <w:rFonts w:ascii="Book Antiqua" w:hAnsi="Book Antiqua" w:cs="Calibri"/>
          <w:color w:val="000000"/>
          <w:lang w:val="es-CR" w:eastAsia="es-CR"/>
        </w:rPr>
        <w:t>Primera</w:t>
      </w:r>
      <w:r w:rsidRPr="00832773">
        <w:rPr>
          <w:rFonts w:ascii="Book Antiqua" w:hAnsi="Book Antiqua" w:cs="Calibri"/>
          <w:color w:val="000000"/>
          <w:lang w:val="es-CR" w:eastAsia="es-CR"/>
        </w:rPr>
        <w:t xml:space="preserve"> tanto en materia Agraria como Civil, todos los asuntos son estimables o </w:t>
      </w:r>
      <w:r w:rsidR="006572E4" w:rsidRPr="00832773">
        <w:rPr>
          <w:rFonts w:ascii="Book Antiqua" w:hAnsi="Book Antiqua" w:cs="Calibri"/>
          <w:color w:val="000000"/>
          <w:lang w:val="es-CR" w:eastAsia="es-CR"/>
        </w:rPr>
        <w:t>inestimables</w:t>
      </w:r>
      <w:r w:rsidRPr="00832773">
        <w:rPr>
          <w:rFonts w:ascii="Book Antiqua" w:hAnsi="Book Antiqua" w:cs="Calibri"/>
          <w:color w:val="000000"/>
          <w:lang w:val="es-CR" w:eastAsia="es-CR"/>
        </w:rPr>
        <w:t>, por lo que no es correcto que se indique que “</w:t>
      </w:r>
      <w:r w:rsidRPr="00832773">
        <w:rPr>
          <w:rFonts w:ascii="Book Antiqua" w:hAnsi="Book Antiqua" w:cs="Calibri"/>
          <w:i/>
          <w:iCs/>
          <w:color w:val="000000"/>
          <w:lang w:val="es-CR" w:eastAsia="es-CR"/>
        </w:rPr>
        <w:t>no aplica</w:t>
      </w:r>
      <w:r w:rsidR="006572E4" w:rsidRPr="00832773">
        <w:rPr>
          <w:rFonts w:ascii="Book Antiqua" w:hAnsi="Book Antiqua" w:cs="Calibri"/>
          <w:color w:val="000000"/>
          <w:lang w:val="es-CR" w:eastAsia="es-CR"/>
        </w:rPr>
        <w:t>”</w:t>
      </w:r>
      <w:r w:rsidRPr="00832773">
        <w:rPr>
          <w:rFonts w:ascii="Book Antiqua" w:hAnsi="Book Antiqua" w:cs="Calibri"/>
          <w:color w:val="000000"/>
          <w:lang w:val="es-CR" w:eastAsia="es-CR"/>
        </w:rPr>
        <w:t xml:space="preserve"> cuantía</w:t>
      </w:r>
      <w:r w:rsidR="006572E4" w:rsidRPr="00832773">
        <w:rPr>
          <w:rFonts w:ascii="Book Antiqua" w:hAnsi="Book Antiqua" w:cs="Calibri"/>
          <w:color w:val="000000"/>
          <w:lang w:val="es-CR" w:eastAsia="es-CR"/>
        </w:rPr>
        <w:t>.</w:t>
      </w:r>
      <w:r w:rsidR="000D08BC" w:rsidRPr="00832773">
        <w:rPr>
          <w:rFonts w:ascii="Book Antiqua" w:hAnsi="Book Antiqua" w:cs="Calibri"/>
          <w:color w:val="000000"/>
          <w:lang w:val="es-CR" w:eastAsia="es-CR"/>
        </w:rPr>
        <w:t xml:space="preserve"> </w:t>
      </w:r>
    </w:p>
    <w:p w14:paraId="30CCD6B6" w14:textId="723959D0" w:rsidR="007618C8" w:rsidRPr="00832773" w:rsidRDefault="007618C8" w:rsidP="00CE62C1">
      <w:pPr>
        <w:pStyle w:val="Prrafodelista"/>
        <w:numPr>
          <w:ilvl w:val="0"/>
          <w:numId w:val="25"/>
        </w:numPr>
        <w:spacing w:after="240" w:line="276" w:lineRule="auto"/>
        <w:rPr>
          <w:rFonts w:ascii="Book Antiqua" w:hAnsi="Book Antiqua" w:cs="Calibri"/>
          <w:color w:val="000000"/>
          <w:lang w:val="es-CR" w:eastAsia="es-CR"/>
        </w:rPr>
      </w:pPr>
      <w:r>
        <w:rPr>
          <w:rFonts w:ascii="Book Antiqua" w:hAnsi="Book Antiqua" w:cs="Calibri"/>
          <w:color w:val="000000"/>
          <w:lang w:val="es-CR" w:eastAsia="es-CR"/>
        </w:rPr>
        <w:t xml:space="preserve">Solo el 6% de las casaciones recibidas en la Sala Primera son en materia Agraria, pero al utilizar en esa materia la misma cuantía civil, y en caso de que Corte Plena la incremente, entonces se esperaría una disminución en las casaciones agrarias. </w:t>
      </w:r>
    </w:p>
    <w:p w14:paraId="3611490E" w14:textId="4FB2FAB4" w:rsidR="000D08BC" w:rsidRPr="00832773" w:rsidRDefault="000D08BC" w:rsidP="00CE62C1">
      <w:pPr>
        <w:pStyle w:val="Prrafodelista"/>
        <w:numPr>
          <w:ilvl w:val="0"/>
          <w:numId w:val="25"/>
        </w:numPr>
        <w:spacing w:after="240" w:line="276" w:lineRule="auto"/>
        <w:rPr>
          <w:rFonts w:ascii="Book Antiqua" w:hAnsi="Book Antiqua" w:cs="Calibri"/>
          <w:color w:val="000000"/>
          <w:lang w:val="es-CR" w:eastAsia="es-CR"/>
        </w:rPr>
      </w:pPr>
      <w:r w:rsidRPr="00832773">
        <w:rPr>
          <w:rFonts w:ascii="Book Antiqua" w:hAnsi="Book Antiqua" w:cs="Calibri"/>
          <w:color w:val="000000"/>
          <w:lang w:val="es-CR" w:eastAsia="es-CR"/>
        </w:rPr>
        <w:t>De las casaciones ingresada</w:t>
      </w:r>
      <w:r w:rsidR="00DB442A" w:rsidRPr="00832773">
        <w:rPr>
          <w:rFonts w:ascii="Book Antiqua" w:hAnsi="Book Antiqua" w:cs="Calibri"/>
          <w:color w:val="000000"/>
          <w:lang w:val="es-CR" w:eastAsia="es-CR"/>
        </w:rPr>
        <w:t>s</w:t>
      </w:r>
      <w:r w:rsidRPr="00832773">
        <w:rPr>
          <w:rFonts w:ascii="Book Antiqua" w:hAnsi="Book Antiqua" w:cs="Calibri"/>
          <w:color w:val="000000"/>
          <w:lang w:val="es-CR" w:eastAsia="es-CR"/>
        </w:rPr>
        <w:t xml:space="preserve"> en promedio al año en Sala Primera</w:t>
      </w:r>
      <w:r w:rsidR="00DB442A" w:rsidRPr="00832773">
        <w:rPr>
          <w:rFonts w:ascii="Book Antiqua" w:hAnsi="Book Antiqua" w:cs="Calibri"/>
          <w:color w:val="000000"/>
          <w:lang w:val="es-CR" w:eastAsia="es-CR"/>
        </w:rPr>
        <w:t xml:space="preserve"> (promedio 1115), de </w:t>
      </w:r>
      <w:r w:rsidR="001D38BA" w:rsidRPr="00832773">
        <w:rPr>
          <w:rFonts w:ascii="Book Antiqua" w:hAnsi="Book Antiqua" w:cs="Calibri"/>
          <w:color w:val="000000"/>
          <w:lang w:val="es-CR" w:eastAsia="es-CR"/>
        </w:rPr>
        <w:t>esas 490</w:t>
      </w:r>
      <w:r w:rsidR="00DB442A" w:rsidRPr="00832773">
        <w:rPr>
          <w:rFonts w:ascii="Book Antiqua" w:hAnsi="Book Antiqua" w:cs="Calibri"/>
          <w:color w:val="000000"/>
          <w:lang w:val="es-CR" w:eastAsia="es-CR"/>
        </w:rPr>
        <w:t xml:space="preserve"> corresponden a materia Civil, y de las civiles </w:t>
      </w:r>
      <w:r w:rsidRPr="00832773">
        <w:rPr>
          <w:rFonts w:ascii="Book Antiqua" w:hAnsi="Book Antiqua" w:cs="Calibri"/>
          <w:color w:val="000000"/>
          <w:lang w:val="es-CR" w:eastAsia="es-CR"/>
        </w:rPr>
        <w:t xml:space="preserve">el 73% son estimables, el 17% indicaron no aplica lo que corresponde como indicamos en el punto anterior a un error de actualización por parte del personal de la Sala, un 6% es inestimable, por lo que incrementar la cuantía para esta materia no tendría impacto en esos asuntos y un 4% de datos sin actualizar. Tanto en los que indicaron no aplica como sin actualizar (17 + 4=21% de la entrada total de casaciones civiles), no es posible proyectar el impacto de eventualmente aprobar una modificación por parte de Corte Plena en la competencia por cuantía de esta Sala. </w:t>
      </w:r>
    </w:p>
    <w:p w14:paraId="06D4FF29" w14:textId="32AC341B" w:rsidR="006572E4" w:rsidRPr="00832773" w:rsidRDefault="006572E4" w:rsidP="00CE62C1">
      <w:pPr>
        <w:pStyle w:val="Prrafodelista"/>
        <w:numPr>
          <w:ilvl w:val="0"/>
          <w:numId w:val="25"/>
        </w:numPr>
        <w:spacing w:after="240" w:line="276" w:lineRule="auto"/>
        <w:rPr>
          <w:rFonts w:ascii="Book Antiqua" w:hAnsi="Book Antiqua" w:cs="Calibri"/>
          <w:color w:val="000000"/>
          <w:lang w:val="es-CR" w:eastAsia="es-CR"/>
        </w:rPr>
      </w:pPr>
      <w:r w:rsidRPr="00832773">
        <w:rPr>
          <w:rFonts w:ascii="Book Antiqua" w:hAnsi="Book Antiqua" w:cs="Calibri"/>
          <w:color w:val="000000"/>
          <w:lang w:val="es-CR" w:eastAsia="es-CR"/>
        </w:rPr>
        <w:t xml:space="preserve">En materia contenciosa no existe o aplica cuantía, sin </w:t>
      </w:r>
      <w:r w:rsidR="005047C1" w:rsidRPr="00832773">
        <w:rPr>
          <w:rFonts w:ascii="Book Antiqua" w:hAnsi="Book Antiqua" w:cs="Calibri"/>
          <w:color w:val="000000"/>
          <w:lang w:val="es-CR" w:eastAsia="es-CR"/>
        </w:rPr>
        <w:t>embargo,</w:t>
      </w:r>
      <w:r w:rsidRPr="00832773">
        <w:rPr>
          <w:rFonts w:ascii="Book Antiqua" w:hAnsi="Book Antiqua" w:cs="Calibri"/>
          <w:color w:val="000000"/>
          <w:lang w:val="es-CR" w:eastAsia="es-CR"/>
        </w:rPr>
        <w:t xml:space="preserve"> algunos asuntos se han clasificado de como estimables o inestimables. Como oportunidad de mejora, se recomendará a la Sala la posibilidad de aplicar en esta materia la mejora de cuantía a nivel de sistemas, solamente en carácter informativo, para el registro del dato en el sistema y que si posteriormente la sala, la comisión o la corte decidieran platear algún proyecto de Ley donde se asigne cuantía estos procesos, se disponga de un histórico de datos para valorar. </w:t>
      </w:r>
    </w:p>
    <w:p w14:paraId="5F1E0EAF" w14:textId="719F2881" w:rsidR="00967D6E" w:rsidRPr="00832773" w:rsidRDefault="00967D6E" w:rsidP="00CE62C1">
      <w:pPr>
        <w:pStyle w:val="Prrafodelista"/>
        <w:numPr>
          <w:ilvl w:val="0"/>
          <w:numId w:val="25"/>
        </w:numPr>
        <w:spacing w:after="240" w:line="276" w:lineRule="auto"/>
        <w:rPr>
          <w:rFonts w:ascii="Book Antiqua" w:hAnsi="Book Antiqua" w:cs="Calibri"/>
          <w:color w:val="000000"/>
          <w:lang w:val="es-CR" w:eastAsia="es-CR"/>
        </w:rPr>
      </w:pPr>
      <w:r w:rsidRPr="00832773">
        <w:rPr>
          <w:rFonts w:ascii="Book Antiqua" w:hAnsi="Book Antiqua" w:cs="Calibri"/>
          <w:color w:val="000000"/>
          <w:lang w:val="es-CR" w:eastAsia="es-CR"/>
        </w:rPr>
        <w:t xml:space="preserve">La mayor entrada de procesos y de casaciones en Sala Primera corresponden a la materia Contenciosa Administrativa no Civil, por lo que la Sala debe considerar medidas para regular la entrada de estos procesos y no solamente en materia Civil, si el objetivo es lograr disminución de la carga laboral de </w:t>
      </w:r>
      <w:r w:rsidRPr="00832773">
        <w:rPr>
          <w:rFonts w:ascii="Book Antiqua" w:hAnsi="Book Antiqua" w:cs="Calibri"/>
          <w:color w:val="000000"/>
          <w:lang w:val="es-CR" w:eastAsia="es-CR"/>
        </w:rPr>
        <w:lastRenderedPageBreak/>
        <w:t>esta instancia</w:t>
      </w:r>
      <w:r w:rsidR="00D10C21" w:rsidRPr="00832773">
        <w:rPr>
          <w:rFonts w:ascii="Book Antiqua" w:hAnsi="Book Antiqua" w:cs="Calibri"/>
          <w:color w:val="000000"/>
          <w:lang w:val="es-CR" w:eastAsia="es-CR"/>
        </w:rPr>
        <w:t xml:space="preserve"> (en promedio</w:t>
      </w:r>
      <w:r w:rsidR="00D10C21" w:rsidRPr="00832773">
        <w:rPr>
          <w:rStyle w:val="Refdenotaalpie"/>
          <w:rFonts w:ascii="Book Antiqua" w:hAnsi="Book Antiqua"/>
          <w:color w:val="000000"/>
          <w:lang w:val="es-CR" w:eastAsia="es-CR"/>
        </w:rPr>
        <w:footnoteReference w:id="29"/>
      </w:r>
      <w:r w:rsidR="00D10C21" w:rsidRPr="00832773">
        <w:rPr>
          <w:rFonts w:ascii="Book Antiqua" w:hAnsi="Book Antiqua" w:cs="Calibri"/>
          <w:color w:val="000000"/>
          <w:lang w:val="es-CR" w:eastAsia="es-CR"/>
        </w:rPr>
        <w:t xml:space="preserve"> por año ingresan a la Sala 533 recursos en materia Contenciosa al año y se resuelven 541, mientras que en materia Civil ingresan 490 de los cuales se resuelven 281)</w:t>
      </w:r>
      <w:r w:rsidR="005F3611" w:rsidRPr="00832773">
        <w:rPr>
          <w:rFonts w:ascii="Book Antiqua" w:hAnsi="Book Antiqua" w:cs="Calibri"/>
          <w:color w:val="000000"/>
          <w:lang w:val="es-CR" w:eastAsia="es-CR"/>
        </w:rPr>
        <w:t>, según propuso esta Dirección desde el 2020 en el informe 1913-PLA-EV-2020</w:t>
      </w:r>
      <w:r w:rsidR="00D10C21" w:rsidRPr="00832773">
        <w:rPr>
          <w:rFonts w:ascii="Book Antiqua" w:hAnsi="Book Antiqua" w:cs="Calibri"/>
          <w:color w:val="000000"/>
          <w:lang w:val="es-CR" w:eastAsia="es-CR"/>
        </w:rPr>
        <w:t>.</w:t>
      </w:r>
    </w:p>
    <w:p w14:paraId="2B65091D" w14:textId="44EE3AF6" w:rsidR="006572E4" w:rsidRPr="004E74A6" w:rsidRDefault="006572E4" w:rsidP="00CE62C1">
      <w:pPr>
        <w:spacing w:after="160" w:line="276" w:lineRule="auto"/>
        <w:rPr>
          <w:rFonts w:cs="Calibri"/>
          <w:b/>
          <w:bCs/>
          <w:color w:val="000000"/>
          <w:u w:val="single"/>
          <w:lang w:eastAsia="es-CR"/>
        </w:rPr>
      </w:pPr>
      <w:r w:rsidRPr="004E74A6">
        <w:rPr>
          <w:rFonts w:cs="Calibri"/>
          <w:color w:val="000000"/>
          <w:lang w:eastAsia="es-CR"/>
        </w:rPr>
        <w:t>En cuanto a los ca</w:t>
      </w:r>
      <w:r w:rsidR="00402EA5" w:rsidRPr="004E74A6">
        <w:rPr>
          <w:rFonts w:cs="Calibri"/>
          <w:color w:val="000000"/>
          <w:lang w:eastAsia="es-CR"/>
        </w:rPr>
        <w:t>s</w:t>
      </w:r>
      <w:r w:rsidRPr="004E74A6">
        <w:rPr>
          <w:rFonts w:cs="Calibri"/>
          <w:color w:val="000000"/>
          <w:lang w:eastAsia="es-CR"/>
        </w:rPr>
        <w:t xml:space="preserve">os principales (PRI) </w:t>
      </w:r>
      <w:r w:rsidR="00402EA5" w:rsidRPr="004E74A6">
        <w:rPr>
          <w:rFonts w:cs="Calibri"/>
          <w:color w:val="000000"/>
          <w:lang w:eastAsia="es-CR"/>
        </w:rPr>
        <w:t>ingresados</w:t>
      </w:r>
      <w:r w:rsidRPr="004E74A6">
        <w:rPr>
          <w:rFonts w:cs="Calibri"/>
          <w:color w:val="000000"/>
          <w:lang w:eastAsia="es-CR"/>
        </w:rPr>
        <w:t xml:space="preserve"> en la </w:t>
      </w:r>
      <w:r w:rsidR="00402EA5" w:rsidRPr="004E74A6">
        <w:rPr>
          <w:rFonts w:cs="Calibri"/>
          <w:color w:val="000000"/>
          <w:lang w:eastAsia="es-CR"/>
        </w:rPr>
        <w:t>S</w:t>
      </w:r>
      <w:r w:rsidRPr="004E74A6">
        <w:rPr>
          <w:rFonts w:cs="Calibri"/>
          <w:color w:val="000000"/>
          <w:lang w:eastAsia="es-CR"/>
        </w:rPr>
        <w:t xml:space="preserve">ala, las clases de asunto que </w:t>
      </w:r>
      <w:r w:rsidR="00402EA5" w:rsidRPr="004E74A6">
        <w:rPr>
          <w:rFonts w:cs="Calibri"/>
          <w:color w:val="000000"/>
          <w:lang w:eastAsia="es-CR"/>
        </w:rPr>
        <w:t xml:space="preserve">debería </w:t>
      </w:r>
      <w:r w:rsidRPr="004E74A6">
        <w:rPr>
          <w:rFonts w:cs="Calibri"/>
          <w:color w:val="000000"/>
          <w:lang w:eastAsia="es-CR"/>
        </w:rPr>
        <w:t xml:space="preserve">ingresar con este tipo de carpeta son los </w:t>
      </w:r>
      <w:r w:rsidR="004E4F51" w:rsidRPr="004E74A6">
        <w:rPr>
          <w:rFonts w:cs="Calibri"/>
          <w:color w:val="000000"/>
          <w:lang w:eastAsia="es-CR"/>
        </w:rPr>
        <w:t>procesos</w:t>
      </w:r>
      <w:r w:rsidRPr="004E74A6">
        <w:rPr>
          <w:rFonts w:cs="Calibri"/>
          <w:color w:val="000000"/>
          <w:lang w:eastAsia="es-CR"/>
        </w:rPr>
        <w:t xml:space="preserve"> de </w:t>
      </w:r>
      <w:r w:rsidR="004E4F51" w:rsidRPr="004E74A6">
        <w:rPr>
          <w:rFonts w:cs="Calibri"/>
          <w:color w:val="000000"/>
          <w:lang w:eastAsia="es-CR"/>
        </w:rPr>
        <w:t>A</w:t>
      </w:r>
      <w:r w:rsidRPr="004E74A6">
        <w:rPr>
          <w:rFonts w:cs="Calibri"/>
          <w:color w:val="000000"/>
          <w:lang w:eastAsia="es-CR"/>
        </w:rPr>
        <w:t xml:space="preserve">uxilio internacional y de </w:t>
      </w:r>
      <w:r w:rsidR="004E4F51" w:rsidRPr="004E74A6">
        <w:rPr>
          <w:rFonts w:cs="Calibri"/>
          <w:color w:val="000000"/>
          <w:lang w:eastAsia="es-CR"/>
        </w:rPr>
        <w:t>R</w:t>
      </w:r>
      <w:r w:rsidRPr="004E74A6">
        <w:rPr>
          <w:rFonts w:cs="Calibri"/>
          <w:color w:val="000000"/>
          <w:lang w:eastAsia="es-CR"/>
        </w:rPr>
        <w:t>evisión</w:t>
      </w:r>
      <w:r w:rsidR="005F3611" w:rsidRPr="004E74A6">
        <w:rPr>
          <w:rStyle w:val="Refdenotaalpie"/>
          <w:color w:val="000000"/>
          <w:lang w:eastAsia="es-CR"/>
        </w:rPr>
        <w:footnoteReference w:id="30"/>
      </w:r>
      <w:r w:rsidRPr="004E74A6">
        <w:rPr>
          <w:rFonts w:cs="Calibri"/>
          <w:color w:val="000000"/>
          <w:lang w:eastAsia="es-CR"/>
        </w:rPr>
        <w:t xml:space="preserve">. Sin </w:t>
      </w:r>
      <w:r w:rsidR="00241C7E" w:rsidRPr="004E74A6">
        <w:rPr>
          <w:rFonts w:cs="Calibri"/>
          <w:color w:val="000000"/>
          <w:lang w:eastAsia="es-CR"/>
        </w:rPr>
        <w:t>embargo,</w:t>
      </w:r>
      <w:r w:rsidRPr="004E74A6">
        <w:rPr>
          <w:rFonts w:cs="Calibri"/>
          <w:color w:val="000000"/>
          <w:lang w:eastAsia="es-CR"/>
        </w:rPr>
        <w:t xml:space="preserve"> al ver el detalle de los asuntos reportados se </w:t>
      </w:r>
      <w:r w:rsidR="004E4F51" w:rsidRPr="004E74A6">
        <w:rPr>
          <w:rFonts w:cs="Calibri"/>
          <w:color w:val="000000"/>
          <w:lang w:eastAsia="es-CR"/>
        </w:rPr>
        <w:t>encuentran</w:t>
      </w:r>
      <w:r w:rsidR="005F3611" w:rsidRPr="004E74A6">
        <w:rPr>
          <w:rFonts w:cs="Calibri"/>
          <w:b/>
          <w:bCs/>
          <w:color w:val="000000"/>
          <w:u w:val="single"/>
          <w:lang w:eastAsia="es-CR"/>
        </w:rPr>
        <w:t xml:space="preserve"> varios procedimientos con carpetas PRI, lo que requiere revisión y actualización por parte de la Sala. </w:t>
      </w:r>
    </w:p>
    <w:p w14:paraId="1E8679C3" w14:textId="77777777" w:rsidR="00755589" w:rsidRPr="00832773" w:rsidRDefault="00755589">
      <w:pPr>
        <w:pStyle w:val="Descripcin"/>
        <w:keepNext/>
        <w:spacing w:line="276" w:lineRule="auto"/>
        <w:jc w:val="center"/>
        <w:rPr>
          <w:rFonts w:ascii="Book Antiqua" w:hAnsi="Book Antiqua"/>
          <w:i/>
          <w:iCs/>
          <w:sz w:val="20"/>
          <w:szCs w:val="16"/>
          <w:lang w:val="es-CR"/>
        </w:rPr>
      </w:pPr>
    </w:p>
    <w:p w14:paraId="1FD73992" w14:textId="7C2B6614" w:rsidR="00241C7E" w:rsidRPr="00832773" w:rsidRDefault="00241C7E" w:rsidP="00832773">
      <w:pPr>
        <w:pStyle w:val="Descripcin"/>
        <w:keepNext/>
        <w:spacing w:line="276" w:lineRule="auto"/>
        <w:jc w:val="center"/>
        <w:rPr>
          <w:rFonts w:ascii="Book Antiqua" w:hAnsi="Book Antiqua"/>
          <w:i/>
          <w:iCs/>
          <w:sz w:val="20"/>
          <w:szCs w:val="16"/>
          <w:lang w:val="es-CR"/>
        </w:rPr>
      </w:pPr>
      <w:r w:rsidRPr="00832773">
        <w:rPr>
          <w:rFonts w:ascii="Book Antiqua" w:hAnsi="Book Antiqua"/>
          <w:i/>
          <w:iCs/>
          <w:sz w:val="20"/>
          <w:szCs w:val="16"/>
          <w:lang w:val="es-CR"/>
        </w:rPr>
        <w:t xml:space="preserve">Tabla </w:t>
      </w:r>
      <w:r w:rsidRPr="00832773">
        <w:rPr>
          <w:rFonts w:ascii="Book Antiqua" w:hAnsi="Book Antiqua"/>
          <w:i/>
          <w:iCs/>
          <w:sz w:val="20"/>
          <w:szCs w:val="16"/>
          <w:lang w:val="es-CR"/>
        </w:rPr>
        <w:fldChar w:fldCharType="begin"/>
      </w:r>
      <w:r w:rsidRPr="00832773">
        <w:rPr>
          <w:rFonts w:ascii="Book Antiqua" w:hAnsi="Book Antiqua"/>
          <w:i/>
          <w:iCs/>
          <w:sz w:val="20"/>
          <w:szCs w:val="16"/>
          <w:lang w:val="es-CR"/>
        </w:rPr>
        <w:instrText xml:space="preserve"> SEQ Tabla \* ARABIC </w:instrText>
      </w:r>
      <w:r w:rsidRPr="00832773">
        <w:rPr>
          <w:rFonts w:ascii="Book Antiqua" w:hAnsi="Book Antiqua"/>
          <w:i/>
          <w:iCs/>
          <w:sz w:val="20"/>
          <w:szCs w:val="16"/>
          <w:lang w:val="es-CR"/>
        </w:rPr>
        <w:fldChar w:fldCharType="separate"/>
      </w:r>
      <w:r w:rsidR="00374B51">
        <w:rPr>
          <w:rFonts w:ascii="Book Antiqua" w:hAnsi="Book Antiqua"/>
          <w:i/>
          <w:iCs/>
          <w:noProof/>
          <w:sz w:val="20"/>
          <w:szCs w:val="16"/>
          <w:lang w:val="es-CR"/>
        </w:rPr>
        <w:t>65</w:t>
      </w:r>
      <w:r w:rsidRPr="00832773">
        <w:rPr>
          <w:rFonts w:ascii="Book Antiqua" w:hAnsi="Book Antiqua"/>
          <w:i/>
          <w:iCs/>
          <w:sz w:val="20"/>
          <w:szCs w:val="16"/>
          <w:lang w:val="es-CR"/>
        </w:rPr>
        <w:fldChar w:fldCharType="end"/>
      </w:r>
      <w:r w:rsidRPr="00832773">
        <w:rPr>
          <w:rFonts w:ascii="Book Antiqua" w:hAnsi="Book Antiqua"/>
          <w:i/>
          <w:iCs/>
          <w:sz w:val="20"/>
          <w:szCs w:val="16"/>
          <w:lang w:val="es-CR"/>
        </w:rPr>
        <w:t xml:space="preserve"> Cantidad de asuntos principales según el tipo de procedimiento del periodo 2019 al 2021 en la Sala Primera</w:t>
      </w:r>
    </w:p>
    <w:tbl>
      <w:tblPr>
        <w:tblW w:w="6519" w:type="dxa"/>
        <w:jc w:val="center"/>
        <w:tblCellMar>
          <w:left w:w="70" w:type="dxa"/>
          <w:right w:w="70" w:type="dxa"/>
        </w:tblCellMar>
        <w:tblLook w:val="04A0" w:firstRow="1" w:lastRow="0" w:firstColumn="1" w:lastColumn="0" w:noHBand="0" w:noVBand="1"/>
      </w:tblPr>
      <w:tblGrid>
        <w:gridCol w:w="2835"/>
        <w:gridCol w:w="850"/>
        <w:gridCol w:w="850"/>
        <w:gridCol w:w="850"/>
        <w:gridCol w:w="1134"/>
      </w:tblGrid>
      <w:tr w:rsidR="00241C7E" w:rsidRPr="004E74A6" w14:paraId="2FDAD0D8" w14:textId="77777777" w:rsidTr="00241C7E">
        <w:trPr>
          <w:trHeight w:val="454"/>
          <w:tblHeader/>
          <w:jc w:val="center"/>
        </w:trPr>
        <w:tc>
          <w:tcPr>
            <w:tcW w:w="2835" w:type="dxa"/>
            <w:tcBorders>
              <w:top w:val="single" w:sz="4" w:space="0" w:color="000000"/>
              <w:left w:val="nil"/>
              <w:bottom w:val="single" w:sz="4" w:space="0" w:color="000000"/>
              <w:right w:val="single" w:sz="4" w:space="0" w:color="000000"/>
            </w:tcBorders>
            <w:shd w:val="clear" w:color="auto" w:fill="auto"/>
            <w:noWrap/>
            <w:vAlign w:val="center"/>
            <w:hideMark/>
          </w:tcPr>
          <w:p w14:paraId="2732E5DE" w14:textId="77777777" w:rsidR="00241C7E" w:rsidRPr="004E74A6" w:rsidRDefault="00241C7E" w:rsidP="00832773">
            <w:pPr>
              <w:spacing w:line="276" w:lineRule="auto"/>
              <w:jc w:val="center"/>
              <w:rPr>
                <w:rFonts w:cs="Calibri"/>
                <w:color w:val="000000"/>
                <w:sz w:val="20"/>
                <w:lang w:eastAsia="es-CR"/>
              </w:rPr>
            </w:pPr>
            <w:r w:rsidRPr="004E74A6">
              <w:rPr>
                <w:rFonts w:cs="Calibri"/>
                <w:color w:val="000000"/>
                <w:sz w:val="20"/>
                <w:lang w:eastAsia="es-CR"/>
              </w:rPr>
              <w:t>Tipo de Procedimiento</w:t>
            </w:r>
          </w:p>
        </w:tc>
        <w:tc>
          <w:tcPr>
            <w:tcW w:w="850" w:type="dxa"/>
            <w:tcBorders>
              <w:top w:val="single" w:sz="4" w:space="0" w:color="000000"/>
              <w:left w:val="nil"/>
              <w:bottom w:val="single" w:sz="4" w:space="0" w:color="000000"/>
              <w:right w:val="single" w:sz="4" w:space="0" w:color="000000"/>
            </w:tcBorders>
            <w:shd w:val="clear" w:color="auto" w:fill="auto"/>
            <w:noWrap/>
            <w:vAlign w:val="center"/>
            <w:hideMark/>
          </w:tcPr>
          <w:p w14:paraId="66A92BF8" w14:textId="77777777" w:rsidR="00241C7E" w:rsidRPr="004E74A6" w:rsidRDefault="00241C7E" w:rsidP="00832773">
            <w:pPr>
              <w:spacing w:line="276" w:lineRule="auto"/>
              <w:jc w:val="center"/>
              <w:rPr>
                <w:rFonts w:cs="Calibri"/>
                <w:color w:val="000000"/>
                <w:sz w:val="20"/>
                <w:lang w:eastAsia="es-CR"/>
              </w:rPr>
            </w:pPr>
            <w:r w:rsidRPr="004E74A6">
              <w:rPr>
                <w:rFonts w:cs="Calibri"/>
                <w:color w:val="000000"/>
                <w:sz w:val="20"/>
                <w:lang w:eastAsia="es-CR"/>
              </w:rPr>
              <w:t>2019</w:t>
            </w:r>
          </w:p>
        </w:tc>
        <w:tc>
          <w:tcPr>
            <w:tcW w:w="850" w:type="dxa"/>
            <w:tcBorders>
              <w:top w:val="single" w:sz="4" w:space="0" w:color="000000"/>
              <w:left w:val="nil"/>
              <w:bottom w:val="single" w:sz="4" w:space="0" w:color="000000"/>
              <w:right w:val="single" w:sz="4" w:space="0" w:color="000000"/>
            </w:tcBorders>
            <w:shd w:val="clear" w:color="auto" w:fill="auto"/>
            <w:noWrap/>
            <w:vAlign w:val="center"/>
            <w:hideMark/>
          </w:tcPr>
          <w:p w14:paraId="0308BD63" w14:textId="77777777" w:rsidR="00241C7E" w:rsidRPr="004E74A6" w:rsidRDefault="00241C7E" w:rsidP="00832773">
            <w:pPr>
              <w:spacing w:line="276" w:lineRule="auto"/>
              <w:jc w:val="center"/>
              <w:rPr>
                <w:rFonts w:cs="Calibri"/>
                <w:color w:val="000000"/>
                <w:sz w:val="20"/>
                <w:lang w:eastAsia="es-CR"/>
              </w:rPr>
            </w:pPr>
            <w:r w:rsidRPr="004E74A6">
              <w:rPr>
                <w:rFonts w:cs="Calibri"/>
                <w:color w:val="000000"/>
                <w:sz w:val="20"/>
                <w:lang w:eastAsia="es-CR"/>
              </w:rPr>
              <w:t>2020</w:t>
            </w:r>
          </w:p>
        </w:tc>
        <w:tc>
          <w:tcPr>
            <w:tcW w:w="850" w:type="dxa"/>
            <w:tcBorders>
              <w:top w:val="single" w:sz="4" w:space="0" w:color="000000"/>
              <w:left w:val="nil"/>
              <w:bottom w:val="single" w:sz="4" w:space="0" w:color="000000"/>
              <w:right w:val="single" w:sz="4" w:space="0" w:color="000000"/>
            </w:tcBorders>
            <w:shd w:val="clear" w:color="auto" w:fill="auto"/>
            <w:noWrap/>
            <w:vAlign w:val="center"/>
            <w:hideMark/>
          </w:tcPr>
          <w:p w14:paraId="01562ED9" w14:textId="77777777" w:rsidR="00241C7E" w:rsidRPr="004E74A6" w:rsidRDefault="00241C7E" w:rsidP="00832773">
            <w:pPr>
              <w:spacing w:line="276" w:lineRule="auto"/>
              <w:jc w:val="center"/>
              <w:rPr>
                <w:rFonts w:cs="Calibri"/>
                <w:color w:val="000000"/>
                <w:sz w:val="20"/>
                <w:lang w:eastAsia="es-CR"/>
              </w:rPr>
            </w:pPr>
            <w:r w:rsidRPr="004E74A6">
              <w:rPr>
                <w:rFonts w:cs="Calibri"/>
                <w:color w:val="000000"/>
                <w:sz w:val="20"/>
                <w:lang w:eastAsia="es-CR"/>
              </w:rPr>
              <w:t>2021</w:t>
            </w:r>
          </w:p>
        </w:tc>
        <w:tc>
          <w:tcPr>
            <w:tcW w:w="1134" w:type="dxa"/>
            <w:tcBorders>
              <w:top w:val="single" w:sz="4" w:space="0" w:color="000000"/>
              <w:left w:val="nil"/>
              <w:bottom w:val="single" w:sz="4" w:space="0" w:color="000000"/>
              <w:right w:val="nil"/>
            </w:tcBorders>
            <w:shd w:val="clear" w:color="auto" w:fill="auto"/>
            <w:noWrap/>
            <w:vAlign w:val="center"/>
            <w:hideMark/>
          </w:tcPr>
          <w:p w14:paraId="624FF0EE" w14:textId="77777777" w:rsidR="00241C7E" w:rsidRPr="004E74A6" w:rsidRDefault="00241C7E" w:rsidP="00832773">
            <w:pPr>
              <w:spacing w:line="276" w:lineRule="auto"/>
              <w:jc w:val="center"/>
              <w:rPr>
                <w:rFonts w:cs="Calibri"/>
                <w:color w:val="000000"/>
                <w:sz w:val="20"/>
                <w:lang w:eastAsia="es-CR"/>
              </w:rPr>
            </w:pPr>
            <w:r w:rsidRPr="004E74A6">
              <w:rPr>
                <w:rFonts w:cs="Calibri"/>
                <w:color w:val="000000"/>
                <w:sz w:val="20"/>
                <w:lang w:eastAsia="es-CR"/>
              </w:rPr>
              <w:t>Promedio</w:t>
            </w:r>
          </w:p>
        </w:tc>
      </w:tr>
      <w:tr w:rsidR="00241C7E" w:rsidRPr="004E74A6" w14:paraId="47C07377" w14:textId="77777777" w:rsidTr="00241C7E">
        <w:trPr>
          <w:trHeight w:val="276"/>
          <w:tblHeader/>
          <w:jc w:val="center"/>
        </w:trPr>
        <w:tc>
          <w:tcPr>
            <w:tcW w:w="2835" w:type="dxa"/>
            <w:tcBorders>
              <w:top w:val="nil"/>
              <w:left w:val="nil"/>
              <w:bottom w:val="nil"/>
              <w:right w:val="single" w:sz="4" w:space="0" w:color="000000"/>
            </w:tcBorders>
            <w:shd w:val="clear" w:color="auto" w:fill="auto"/>
            <w:noWrap/>
            <w:vAlign w:val="center"/>
            <w:hideMark/>
          </w:tcPr>
          <w:p w14:paraId="788AB4E6" w14:textId="77777777" w:rsidR="00241C7E" w:rsidRPr="004E74A6" w:rsidRDefault="00241C7E" w:rsidP="00832773">
            <w:pPr>
              <w:spacing w:line="276" w:lineRule="auto"/>
              <w:jc w:val="left"/>
              <w:rPr>
                <w:rFonts w:cs="Calibri"/>
                <w:color w:val="000000"/>
                <w:sz w:val="20"/>
                <w:lang w:eastAsia="es-CR"/>
              </w:rPr>
            </w:pPr>
            <w:r w:rsidRPr="004E74A6">
              <w:rPr>
                <w:rFonts w:cs="Calibri"/>
                <w:color w:val="000000"/>
                <w:sz w:val="20"/>
                <w:lang w:eastAsia="es-CR"/>
              </w:rPr>
              <w:t> </w:t>
            </w:r>
          </w:p>
        </w:tc>
        <w:tc>
          <w:tcPr>
            <w:tcW w:w="850" w:type="dxa"/>
            <w:tcBorders>
              <w:top w:val="nil"/>
              <w:left w:val="nil"/>
              <w:bottom w:val="nil"/>
              <w:right w:val="single" w:sz="4" w:space="0" w:color="000000"/>
            </w:tcBorders>
            <w:shd w:val="clear" w:color="auto" w:fill="auto"/>
            <w:noWrap/>
            <w:vAlign w:val="center"/>
            <w:hideMark/>
          </w:tcPr>
          <w:p w14:paraId="7C4AD1DD" w14:textId="77777777" w:rsidR="00241C7E" w:rsidRPr="004E74A6" w:rsidRDefault="00241C7E" w:rsidP="00832773">
            <w:pPr>
              <w:spacing w:line="276" w:lineRule="auto"/>
              <w:jc w:val="center"/>
              <w:rPr>
                <w:rFonts w:cs="Calibri"/>
                <w:color w:val="000000"/>
                <w:sz w:val="20"/>
                <w:lang w:eastAsia="es-CR"/>
              </w:rPr>
            </w:pPr>
            <w:r w:rsidRPr="004E74A6">
              <w:rPr>
                <w:rFonts w:cs="Calibri"/>
                <w:color w:val="000000"/>
                <w:sz w:val="20"/>
                <w:lang w:eastAsia="es-CR"/>
              </w:rPr>
              <w:t> </w:t>
            </w:r>
          </w:p>
        </w:tc>
        <w:tc>
          <w:tcPr>
            <w:tcW w:w="850" w:type="dxa"/>
            <w:tcBorders>
              <w:top w:val="nil"/>
              <w:left w:val="nil"/>
              <w:bottom w:val="nil"/>
              <w:right w:val="single" w:sz="4" w:space="0" w:color="000000"/>
            </w:tcBorders>
            <w:shd w:val="clear" w:color="auto" w:fill="auto"/>
            <w:noWrap/>
            <w:vAlign w:val="center"/>
            <w:hideMark/>
          </w:tcPr>
          <w:p w14:paraId="5D62044B" w14:textId="77777777" w:rsidR="00241C7E" w:rsidRPr="004E74A6" w:rsidRDefault="00241C7E" w:rsidP="00832773">
            <w:pPr>
              <w:spacing w:line="276" w:lineRule="auto"/>
              <w:jc w:val="center"/>
              <w:rPr>
                <w:rFonts w:cs="Calibri"/>
                <w:color w:val="000000"/>
                <w:sz w:val="20"/>
                <w:lang w:eastAsia="es-CR"/>
              </w:rPr>
            </w:pPr>
            <w:r w:rsidRPr="004E74A6">
              <w:rPr>
                <w:rFonts w:cs="Calibri"/>
                <w:color w:val="000000"/>
                <w:sz w:val="20"/>
                <w:lang w:eastAsia="es-CR"/>
              </w:rPr>
              <w:t> </w:t>
            </w:r>
          </w:p>
        </w:tc>
        <w:tc>
          <w:tcPr>
            <w:tcW w:w="850" w:type="dxa"/>
            <w:tcBorders>
              <w:top w:val="nil"/>
              <w:left w:val="nil"/>
              <w:bottom w:val="nil"/>
              <w:right w:val="single" w:sz="4" w:space="0" w:color="000000"/>
            </w:tcBorders>
            <w:shd w:val="clear" w:color="auto" w:fill="auto"/>
            <w:noWrap/>
            <w:vAlign w:val="center"/>
            <w:hideMark/>
          </w:tcPr>
          <w:p w14:paraId="144B9893" w14:textId="77777777" w:rsidR="00241C7E" w:rsidRPr="004E74A6" w:rsidRDefault="00241C7E" w:rsidP="00832773">
            <w:pPr>
              <w:spacing w:line="276" w:lineRule="auto"/>
              <w:jc w:val="center"/>
              <w:rPr>
                <w:rFonts w:cs="Calibri"/>
                <w:color w:val="000000"/>
                <w:sz w:val="20"/>
                <w:lang w:eastAsia="es-CR"/>
              </w:rPr>
            </w:pPr>
            <w:r w:rsidRPr="004E74A6">
              <w:rPr>
                <w:rFonts w:cs="Calibri"/>
                <w:color w:val="000000"/>
                <w:sz w:val="20"/>
                <w:lang w:eastAsia="es-CR"/>
              </w:rPr>
              <w:t> </w:t>
            </w:r>
          </w:p>
        </w:tc>
        <w:tc>
          <w:tcPr>
            <w:tcW w:w="1134" w:type="dxa"/>
            <w:tcBorders>
              <w:top w:val="nil"/>
              <w:left w:val="nil"/>
              <w:bottom w:val="nil"/>
              <w:right w:val="nil"/>
            </w:tcBorders>
            <w:shd w:val="clear" w:color="auto" w:fill="auto"/>
            <w:noWrap/>
            <w:vAlign w:val="center"/>
            <w:hideMark/>
          </w:tcPr>
          <w:p w14:paraId="33290563" w14:textId="77777777" w:rsidR="00241C7E" w:rsidRPr="004E74A6" w:rsidRDefault="00241C7E" w:rsidP="00832773">
            <w:pPr>
              <w:spacing w:line="276" w:lineRule="auto"/>
              <w:jc w:val="center"/>
              <w:rPr>
                <w:rFonts w:cs="Calibri"/>
                <w:color w:val="000000"/>
                <w:sz w:val="20"/>
                <w:lang w:eastAsia="es-CR"/>
              </w:rPr>
            </w:pPr>
            <w:r w:rsidRPr="004E74A6">
              <w:rPr>
                <w:rFonts w:cs="Calibri"/>
                <w:color w:val="000000"/>
                <w:sz w:val="20"/>
                <w:lang w:eastAsia="es-CR"/>
              </w:rPr>
              <w:t> </w:t>
            </w:r>
          </w:p>
        </w:tc>
      </w:tr>
      <w:tr w:rsidR="00241C7E" w:rsidRPr="004E74A6" w14:paraId="14DF60DF" w14:textId="77777777" w:rsidTr="00241C7E">
        <w:trPr>
          <w:trHeight w:val="276"/>
          <w:tblHeader/>
          <w:jc w:val="center"/>
        </w:trPr>
        <w:tc>
          <w:tcPr>
            <w:tcW w:w="2835" w:type="dxa"/>
            <w:tcBorders>
              <w:top w:val="nil"/>
              <w:left w:val="nil"/>
              <w:bottom w:val="nil"/>
              <w:right w:val="single" w:sz="4" w:space="0" w:color="000000"/>
            </w:tcBorders>
            <w:shd w:val="clear" w:color="auto" w:fill="auto"/>
            <w:noWrap/>
            <w:vAlign w:val="center"/>
            <w:hideMark/>
          </w:tcPr>
          <w:p w14:paraId="3D1A8787" w14:textId="77777777" w:rsidR="00241C7E" w:rsidRPr="004E74A6" w:rsidRDefault="00241C7E" w:rsidP="00832773">
            <w:pPr>
              <w:spacing w:line="276" w:lineRule="auto"/>
              <w:jc w:val="center"/>
              <w:rPr>
                <w:rFonts w:cs="Calibri"/>
                <w:color w:val="000000"/>
                <w:sz w:val="20"/>
                <w:lang w:eastAsia="es-CR"/>
              </w:rPr>
            </w:pPr>
            <w:r w:rsidRPr="004E74A6">
              <w:rPr>
                <w:rFonts w:cs="Calibri"/>
                <w:color w:val="000000"/>
                <w:sz w:val="20"/>
                <w:lang w:eastAsia="es-CR"/>
              </w:rPr>
              <w:t>Total general</w:t>
            </w:r>
          </w:p>
        </w:tc>
        <w:tc>
          <w:tcPr>
            <w:tcW w:w="850" w:type="dxa"/>
            <w:tcBorders>
              <w:top w:val="nil"/>
              <w:left w:val="nil"/>
              <w:bottom w:val="nil"/>
              <w:right w:val="single" w:sz="4" w:space="0" w:color="000000"/>
            </w:tcBorders>
            <w:shd w:val="clear" w:color="auto" w:fill="auto"/>
            <w:noWrap/>
            <w:vAlign w:val="center"/>
            <w:hideMark/>
          </w:tcPr>
          <w:p w14:paraId="3DCE2414" w14:textId="77777777" w:rsidR="00241C7E" w:rsidRPr="004E74A6" w:rsidRDefault="00241C7E" w:rsidP="00832773">
            <w:pPr>
              <w:spacing w:line="276" w:lineRule="auto"/>
              <w:jc w:val="center"/>
              <w:rPr>
                <w:rFonts w:cs="Calibri"/>
                <w:color w:val="000000"/>
                <w:sz w:val="20"/>
                <w:lang w:eastAsia="es-CR"/>
              </w:rPr>
            </w:pPr>
            <w:r w:rsidRPr="004E74A6">
              <w:rPr>
                <w:rFonts w:cs="Calibri"/>
                <w:color w:val="000000"/>
                <w:sz w:val="20"/>
                <w:lang w:eastAsia="es-CR"/>
              </w:rPr>
              <w:t>5781</w:t>
            </w:r>
          </w:p>
        </w:tc>
        <w:tc>
          <w:tcPr>
            <w:tcW w:w="850" w:type="dxa"/>
            <w:tcBorders>
              <w:top w:val="nil"/>
              <w:left w:val="nil"/>
              <w:bottom w:val="nil"/>
              <w:right w:val="single" w:sz="4" w:space="0" w:color="000000"/>
            </w:tcBorders>
            <w:shd w:val="clear" w:color="auto" w:fill="auto"/>
            <w:noWrap/>
            <w:vAlign w:val="center"/>
            <w:hideMark/>
          </w:tcPr>
          <w:p w14:paraId="284AEB88" w14:textId="77777777" w:rsidR="00241C7E" w:rsidRPr="004E74A6" w:rsidRDefault="00241C7E" w:rsidP="00832773">
            <w:pPr>
              <w:spacing w:line="276" w:lineRule="auto"/>
              <w:jc w:val="center"/>
              <w:rPr>
                <w:rFonts w:cs="Calibri"/>
                <w:color w:val="000000"/>
                <w:sz w:val="20"/>
                <w:lang w:eastAsia="es-CR"/>
              </w:rPr>
            </w:pPr>
            <w:r w:rsidRPr="004E74A6">
              <w:rPr>
                <w:rFonts w:cs="Calibri"/>
                <w:color w:val="000000"/>
                <w:sz w:val="20"/>
                <w:lang w:eastAsia="es-CR"/>
              </w:rPr>
              <w:t>743</w:t>
            </w:r>
          </w:p>
        </w:tc>
        <w:tc>
          <w:tcPr>
            <w:tcW w:w="850" w:type="dxa"/>
            <w:tcBorders>
              <w:top w:val="nil"/>
              <w:left w:val="nil"/>
              <w:bottom w:val="nil"/>
              <w:right w:val="single" w:sz="4" w:space="0" w:color="000000"/>
            </w:tcBorders>
            <w:shd w:val="clear" w:color="auto" w:fill="auto"/>
            <w:noWrap/>
            <w:vAlign w:val="center"/>
            <w:hideMark/>
          </w:tcPr>
          <w:p w14:paraId="5D3A9932" w14:textId="77777777" w:rsidR="00241C7E" w:rsidRPr="004E74A6" w:rsidRDefault="00241C7E" w:rsidP="00832773">
            <w:pPr>
              <w:spacing w:line="276" w:lineRule="auto"/>
              <w:jc w:val="center"/>
              <w:rPr>
                <w:rFonts w:cs="Calibri"/>
                <w:color w:val="000000"/>
                <w:sz w:val="20"/>
                <w:lang w:eastAsia="es-CR"/>
              </w:rPr>
            </w:pPr>
            <w:r w:rsidRPr="004E74A6">
              <w:rPr>
                <w:rFonts w:cs="Calibri"/>
                <w:color w:val="000000"/>
                <w:sz w:val="20"/>
                <w:lang w:eastAsia="es-CR"/>
              </w:rPr>
              <w:t>536</w:t>
            </w:r>
          </w:p>
        </w:tc>
        <w:tc>
          <w:tcPr>
            <w:tcW w:w="1134" w:type="dxa"/>
            <w:tcBorders>
              <w:top w:val="nil"/>
              <w:left w:val="nil"/>
              <w:bottom w:val="nil"/>
              <w:right w:val="nil"/>
            </w:tcBorders>
            <w:shd w:val="clear" w:color="auto" w:fill="auto"/>
            <w:noWrap/>
            <w:vAlign w:val="center"/>
            <w:hideMark/>
          </w:tcPr>
          <w:p w14:paraId="2C13F65F" w14:textId="77777777" w:rsidR="00241C7E" w:rsidRPr="004E74A6" w:rsidRDefault="00241C7E" w:rsidP="00832773">
            <w:pPr>
              <w:spacing w:line="276" w:lineRule="auto"/>
              <w:jc w:val="center"/>
              <w:rPr>
                <w:rFonts w:cs="Calibri"/>
                <w:color w:val="000000"/>
                <w:sz w:val="20"/>
                <w:lang w:eastAsia="es-CR"/>
              </w:rPr>
            </w:pPr>
            <w:r w:rsidRPr="004E74A6">
              <w:rPr>
                <w:rFonts w:cs="Calibri"/>
                <w:color w:val="000000"/>
                <w:sz w:val="20"/>
                <w:lang w:eastAsia="es-CR"/>
              </w:rPr>
              <w:t>2353</w:t>
            </w:r>
          </w:p>
        </w:tc>
      </w:tr>
      <w:tr w:rsidR="00241C7E" w:rsidRPr="004E74A6" w14:paraId="6DDD5D06" w14:textId="77777777" w:rsidTr="00241C7E">
        <w:trPr>
          <w:trHeight w:val="276"/>
          <w:tblHeader/>
          <w:jc w:val="center"/>
        </w:trPr>
        <w:tc>
          <w:tcPr>
            <w:tcW w:w="2835" w:type="dxa"/>
            <w:tcBorders>
              <w:top w:val="nil"/>
              <w:left w:val="nil"/>
              <w:bottom w:val="nil"/>
              <w:right w:val="single" w:sz="4" w:space="0" w:color="000000"/>
            </w:tcBorders>
            <w:shd w:val="clear" w:color="auto" w:fill="auto"/>
            <w:noWrap/>
            <w:vAlign w:val="center"/>
            <w:hideMark/>
          </w:tcPr>
          <w:p w14:paraId="589413FE" w14:textId="77777777" w:rsidR="00241C7E" w:rsidRPr="004E74A6" w:rsidRDefault="00241C7E" w:rsidP="00832773">
            <w:pPr>
              <w:spacing w:line="276" w:lineRule="auto"/>
              <w:jc w:val="left"/>
              <w:rPr>
                <w:rFonts w:cs="Calibri"/>
                <w:color w:val="000000"/>
                <w:sz w:val="20"/>
                <w:lang w:eastAsia="es-CR"/>
              </w:rPr>
            </w:pPr>
            <w:r w:rsidRPr="004E74A6">
              <w:rPr>
                <w:rFonts w:cs="Calibri"/>
                <w:color w:val="000000"/>
                <w:sz w:val="20"/>
                <w:lang w:eastAsia="es-CR"/>
              </w:rPr>
              <w:t> </w:t>
            </w:r>
          </w:p>
        </w:tc>
        <w:tc>
          <w:tcPr>
            <w:tcW w:w="850" w:type="dxa"/>
            <w:tcBorders>
              <w:top w:val="nil"/>
              <w:left w:val="nil"/>
              <w:bottom w:val="nil"/>
              <w:right w:val="single" w:sz="4" w:space="0" w:color="000000"/>
            </w:tcBorders>
            <w:shd w:val="clear" w:color="auto" w:fill="auto"/>
            <w:noWrap/>
            <w:vAlign w:val="center"/>
            <w:hideMark/>
          </w:tcPr>
          <w:p w14:paraId="43CFCDF7" w14:textId="77777777" w:rsidR="00241C7E" w:rsidRPr="004E74A6" w:rsidRDefault="00241C7E" w:rsidP="00832773">
            <w:pPr>
              <w:spacing w:line="276" w:lineRule="auto"/>
              <w:jc w:val="center"/>
              <w:rPr>
                <w:rFonts w:cs="Calibri"/>
                <w:color w:val="000000"/>
                <w:sz w:val="20"/>
                <w:lang w:eastAsia="es-CR"/>
              </w:rPr>
            </w:pPr>
            <w:r w:rsidRPr="004E74A6">
              <w:rPr>
                <w:rFonts w:cs="Calibri"/>
                <w:color w:val="000000"/>
                <w:sz w:val="20"/>
                <w:lang w:eastAsia="es-CR"/>
              </w:rPr>
              <w:t> </w:t>
            </w:r>
          </w:p>
        </w:tc>
        <w:tc>
          <w:tcPr>
            <w:tcW w:w="850" w:type="dxa"/>
            <w:tcBorders>
              <w:top w:val="nil"/>
              <w:left w:val="nil"/>
              <w:bottom w:val="nil"/>
              <w:right w:val="single" w:sz="4" w:space="0" w:color="000000"/>
            </w:tcBorders>
            <w:shd w:val="clear" w:color="auto" w:fill="auto"/>
            <w:noWrap/>
            <w:vAlign w:val="center"/>
            <w:hideMark/>
          </w:tcPr>
          <w:p w14:paraId="161D5CA4" w14:textId="77777777" w:rsidR="00241C7E" w:rsidRPr="004E74A6" w:rsidRDefault="00241C7E" w:rsidP="00832773">
            <w:pPr>
              <w:spacing w:line="276" w:lineRule="auto"/>
              <w:jc w:val="center"/>
              <w:rPr>
                <w:rFonts w:cs="Calibri"/>
                <w:color w:val="000000"/>
                <w:sz w:val="20"/>
                <w:lang w:eastAsia="es-CR"/>
              </w:rPr>
            </w:pPr>
            <w:r w:rsidRPr="004E74A6">
              <w:rPr>
                <w:rFonts w:cs="Calibri"/>
                <w:color w:val="000000"/>
                <w:sz w:val="20"/>
                <w:lang w:eastAsia="es-CR"/>
              </w:rPr>
              <w:t> </w:t>
            </w:r>
          </w:p>
        </w:tc>
        <w:tc>
          <w:tcPr>
            <w:tcW w:w="850" w:type="dxa"/>
            <w:tcBorders>
              <w:top w:val="nil"/>
              <w:left w:val="nil"/>
              <w:bottom w:val="nil"/>
              <w:right w:val="single" w:sz="4" w:space="0" w:color="000000"/>
            </w:tcBorders>
            <w:shd w:val="clear" w:color="auto" w:fill="auto"/>
            <w:noWrap/>
            <w:vAlign w:val="center"/>
            <w:hideMark/>
          </w:tcPr>
          <w:p w14:paraId="7F77C63B" w14:textId="77777777" w:rsidR="00241C7E" w:rsidRPr="004E74A6" w:rsidRDefault="00241C7E" w:rsidP="00832773">
            <w:pPr>
              <w:spacing w:line="276" w:lineRule="auto"/>
              <w:jc w:val="center"/>
              <w:rPr>
                <w:rFonts w:cs="Calibri"/>
                <w:color w:val="000000"/>
                <w:sz w:val="20"/>
                <w:lang w:eastAsia="es-CR"/>
              </w:rPr>
            </w:pPr>
            <w:r w:rsidRPr="004E74A6">
              <w:rPr>
                <w:rFonts w:cs="Calibri"/>
                <w:color w:val="000000"/>
                <w:sz w:val="20"/>
                <w:lang w:eastAsia="es-CR"/>
              </w:rPr>
              <w:t> </w:t>
            </w:r>
          </w:p>
        </w:tc>
        <w:tc>
          <w:tcPr>
            <w:tcW w:w="1134" w:type="dxa"/>
            <w:tcBorders>
              <w:top w:val="nil"/>
              <w:left w:val="nil"/>
              <w:bottom w:val="nil"/>
              <w:right w:val="nil"/>
            </w:tcBorders>
            <w:shd w:val="clear" w:color="auto" w:fill="auto"/>
            <w:noWrap/>
            <w:vAlign w:val="center"/>
            <w:hideMark/>
          </w:tcPr>
          <w:p w14:paraId="30FCD0A7" w14:textId="77777777" w:rsidR="00241C7E" w:rsidRPr="004E74A6" w:rsidRDefault="00241C7E" w:rsidP="00832773">
            <w:pPr>
              <w:spacing w:line="276" w:lineRule="auto"/>
              <w:jc w:val="center"/>
              <w:rPr>
                <w:rFonts w:cs="Calibri"/>
                <w:color w:val="000000"/>
                <w:sz w:val="20"/>
                <w:lang w:eastAsia="es-CR"/>
              </w:rPr>
            </w:pPr>
            <w:r w:rsidRPr="004E74A6">
              <w:rPr>
                <w:rFonts w:cs="Calibri"/>
                <w:color w:val="000000"/>
                <w:sz w:val="20"/>
                <w:lang w:eastAsia="es-CR"/>
              </w:rPr>
              <w:t> </w:t>
            </w:r>
          </w:p>
        </w:tc>
      </w:tr>
      <w:tr w:rsidR="00241C7E" w:rsidRPr="004E74A6" w14:paraId="69980B63" w14:textId="77777777" w:rsidTr="00241C7E">
        <w:trPr>
          <w:trHeight w:val="276"/>
          <w:tblHeader/>
          <w:jc w:val="center"/>
        </w:trPr>
        <w:tc>
          <w:tcPr>
            <w:tcW w:w="2835" w:type="dxa"/>
            <w:tcBorders>
              <w:top w:val="nil"/>
              <w:left w:val="nil"/>
              <w:bottom w:val="nil"/>
              <w:right w:val="single" w:sz="4" w:space="0" w:color="000000"/>
            </w:tcBorders>
            <w:shd w:val="clear" w:color="auto" w:fill="auto"/>
            <w:noWrap/>
            <w:vAlign w:val="center"/>
            <w:hideMark/>
          </w:tcPr>
          <w:p w14:paraId="60469E86" w14:textId="77777777" w:rsidR="00241C7E" w:rsidRPr="004E74A6" w:rsidRDefault="00241C7E" w:rsidP="00832773">
            <w:pPr>
              <w:spacing w:line="276" w:lineRule="auto"/>
              <w:jc w:val="left"/>
              <w:rPr>
                <w:rFonts w:cs="Calibri"/>
                <w:color w:val="000000"/>
                <w:sz w:val="20"/>
                <w:lang w:eastAsia="es-CR"/>
              </w:rPr>
            </w:pPr>
            <w:r w:rsidRPr="004E74A6">
              <w:rPr>
                <w:rFonts w:cs="Calibri"/>
                <w:color w:val="000000"/>
                <w:sz w:val="20"/>
                <w:lang w:eastAsia="es-CR"/>
              </w:rPr>
              <w:t>Otros</w:t>
            </w:r>
          </w:p>
        </w:tc>
        <w:tc>
          <w:tcPr>
            <w:tcW w:w="850" w:type="dxa"/>
            <w:tcBorders>
              <w:top w:val="nil"/>
              <w:left w:val="nil"/>
              <w:bottom w:val="nil"/>
              <w:right w:val="single" w:sz="4" w:space="0" w:color="000000"/>
            </w:tcBorders>
            <w:shd w:val="clear" w:color="auto" w:fill="auto"/>
            <w:noWrap/>
            <w:vAlign w:val="center"/>
            <w:hideMark/>
          </w:tcPr>
          <w:p w14:paraId="103C5186" w14:textId="77777777" w:rsidR="00241C7E" w:rsidRPr="004E74A6" w:rsidRDefault="00241C7E" w:rsidP="00832773">
            <w:pPr>
              <w:spacing w:line="276" w:lineRule="auto"/>
              <w:jc w:val="center"/>
              <w:rPr>
                <w:rFonts w:cs="Calibri"/>
                <w:color w:val="000000"/>
                <w:sz w:val="20"/>
                <w:lang w:eastAsia="es-CR"/>
              </w:rPr>
            </w:pPr>
            <w:r w:rsidRPr="004E74A6">
              <w:rPr>
                <w:rFonts w:cs="Calibri"/>
                <w:color w:val="000000"/>
                <w:sz w:val="20"/>
                <w:lang w:eastAsia="es-CR"/>
              </w:rPr>
              <w:t>2</w:t>
            </w:r>
          </w:p>
        </w:tc>
        <w:tc>
          <w:tcPr>
            <w:tcW w:w="850" w:type="dxa"/>
            <w:tcBorders>
              <w:top w:val="nil"/>
              <w:left w:val="nil"/>
              <w:bottom w:val="nil"/>
              <w:right w:val="single" w:sz="4" w:space="0" w:color="000000"/>
            </w:tcBorders>
            <w:shd w:val="clear" w:color="auto" w:fill="auto"/>
            <w:noWrap/>
            <w:vAlign w:val="center"/>
            <w:hideMark/>
          </w:tcPr>
          <w:p w14:paraId="75104929" w14:textId="77777777" w:rsidR="00241C7E" w:rsidRPr="004E74A6" w:rsidRDefault="00241C7E" w:rsidP="00832773">
            <w:pPr>
              <w:spacing w:line="276" w:lineRule="auto"/>
              <w:jc w:val="center"/>
              <w:rPr>
                <w:rFonts w:cs="Calibri"/>
                <w:color w:val="000000"/>
                <w:sz w:val="20"/>
                <w:lang w:eastAsia="es-CR"/>
              </w:rPr>
            </w:pPr>
            <w:r w:rsidRPr="004E74A6">
              <w:rPr>
                <w:rFonts w:cs="Calibri"/>
                <w:color w:val="000000"/>
                <w:sz w:val="20"/>
                <w:lang w:eastAsia="es-CR"/>
              </w:rPr>
              <w:t>0</w:t>
            </w:r>
          </w:p>
        </w:tc>
        <w:tc>
          <w:tcPr>
            <w:tcW w:w="850" w:type="dxa"/>
            <w:tcBorders>
              <w:top w:val="nil"/>
              <w:left w:val="nil"/>
              <w:bottom w:val="nil"/>
              <w:right w:val="single" w:sz="4" w:space="0" w:color="000000"/>
            </w:tcBorders>
            <w:shd w:val="clear" w:color="auto" w:fill="auto"/>
            <w:noWrap/>
            <w:vAlign w:val="center"/>
            <w:hideMark/>
          </w:tcPr>
          <w:p w14:paraId="0CD38EAD" w14:textId="77777777" w:rsidR="00241C7E" w:rsidRPr="004E74A6" w:rsidRDefault="00241C7E" w:rsidP="00832773">
            <w:pPr>
              <w:spacing w:line="276" w:lineRule="auto"/>
              <w:jc w:val="center"/>
              <w:rPr>
                <w:rFonts w:cs="Calibri"/>
                <w:color w:val="000000"/>
                <w:sz w:val="20"/>
                <w:lang w:eastAsia="es-CR"/>
              </w:rPr>
            </w:pPr>
            <w:r w:rsidRPr="004E74A6">
              <w:rPr>
                <w:rFonts w:cs="Calibri"/>
                <w:color w:val="000000"/>
                <w:sz w:val="20"/>
                <w:lang w:eastAsia="es-CR"/>
              </w:rPr>
              <w:t>1</w:t>
            </w:r>
          </w:p>
        </w:tc>
        <w:tc>
          <w:tcPr>
            <w:tcW w:w="1134" w:type="dxa"/>
            <w:tcBorders>
              <w:top w:val="nil"/>
              <w:left w:val="nil"/>
              <w:bottom w:val="nil"/>
              <w:right w:val="nil"/>
            </w:tcBorders>
            <w:shd w:val="clear" w:color="auto" w:fill="auto"/>
            <w:noWrap/>
            <w:vAlign w:val="center"/>
            <w:hideMark/>
          </w:tcPr>
          <w:p w14:paraId="2B15422A" w14:textId="77777777" w:rsidR="00241C7E" w:rsidRPr="004E74A6" w:rsidRDefault="00241C7E" w:rsidP="00832773">
            <w:pPr>
              <w:spacing w:line="276" w:lineRule="auto"/>
              <w:jc w:val="center"/>
              <w:rPr>
                <w:rFonts w:cs="Calibri"/>
                <w:color w:val="000000"/>
                <w:sz w:val="20"/>
                <w:lang w:eastAsia="es-CR"/>
              </w:rPr>
            </w:pPr>
            <w:r w:rsidRPr="004E74A6">
              <w:rPr>
                <w:rFonts w:cs="Calibri"/>
                <w:color w:val="000000"/>
                <w:sz w:val="20"/>
                <w:lang w:eastAsia="es-CR"/>
              </w:rPr>
              <w:t>1</w:t>
            </w:r>
          </w:p>
        </w:tc>
      </w:tr>
      <w:tr w:rsidR="00241C7E" w:rsidRPr="004E74A6" w14:paraId="24E462F6" w14:textId="77777777" w:rsidTr="00241C7E">
        <w:trPr>
          <w:trHeight w:val="276"/>
          <w:tblHeader/>
          <w:jc w:val="center"/>
        </w:trPr>
        <w:tc>
          <w:tcPr>
            <w:tcW w:w="2835" w:type="dxa"/>
            <w:tcBorders>
              <w:top w:val="nil"/>
              <w:left w:val="nil"/>
              <w:bottom w:val="nil"/>
              <w:right w:val="single" w:sz="4" w:space="0" w:color="000000"/>
            </w:tcBorders>
            <w:shd w:val="clear" w:color="auto" w:fill="auto"/>
            <w:noWrap/>
            <w:vAlign w:val="center"/>
            <w:hideMark/>
          </w:tcPr>
          <w:p w14:paraId="08F9D5C5" w14:textId="77777777" w:rsidR="00241C7E" w:rsidRPr="004E74A6" w:rsidRDefault="00241C7E" w:rsidP="00832773">
            <w:pPr>
              <w:spacing w:line="276" w:lineRule="auto"/>
              <w:jc w:val="left"/>
              <w:rPr>
                <w:rFonts w:cs="Calibri"/>
                <w:color w:val="000000"/>
                <w:sz w:val="20"/>
                <w:lang w:eastAsia="es-CR"/>
              </w:rPr>
            </w:pPr>
            <w:r w:rsidRPr="004E74A6">
              <w:rPr>
                <w:rFonts w:cs="Calibri"/>
                <w:color w:val="000000"/>
                <w:sz w:val="20"/>
                <w:lang w:eastAsia="es-CR"/>
              </w:rPr>
              <w:t>Apelación</w:t>
            </w:r>
          </w:p>
        </w:tc>
        <w:tc>
          <w:tcPr>
            <w:tcW w:w="850" w:type="dxa"/>
            <w:tcBorders>
              <w:top w:val="nil"/>
              <w:left w:val="nil"/>
              <w:bottom w:val="nil"/>
              <w:right w:val="single" w:sz="4" w:space="0" w:color="000000"/>
            </w:tcBorders>
            <w:shd w:val="clear" w:color="auto" w:fill="auto"/>
            <w:noWrap/>
            <w:vAlign w:val="center"/>
            <w:hideMark/>
          </w:tcPr>
          <w:p w14:paraId="738AA341" w14:textId="77777777" w:rsidR="00241C7E" w:rsidRPr="004E74A6" w:rsidRDefault="00241C7E" w:rsidP="00832773">
            <w:pPr>
              <w:spacing w:line="276" w:lineRule="auto"/>
              <w:jc w:val="center"/>
              <w:rPr>
                <w:rFonts w:cs="Calibri"/>
                <w:color w:val="000000"/>
                <w:sz w:val="20"/>
                <w:lang w:eastAsia="es-CR"/>
              </w:rPr>
            </w:pPr>
            <w:r w:rsidRPr="004E74A6">
              <w:rPr>
                <w:rFonts w:cs="Calibri"/>
                <w:color w:val="000000"/>
                <w:sz w:val="20"/>
                <w:lang w:eastAsia="es-CR"/>
              </w:rPr>
              <w:t>7</w:t>
            </w:r>
          </w:p>
        </w:tc>
        <w:tc>
          <w:tcPr>
            <w:tcW w:w="850" w:type="dxa"/>
            <w:tcBorders>
              <w:top w:val="nil"/>
              <w:left w:val="nil"/>
              <w:bottom w:val="nil"/>
              <w:right w:val="single" w:sz="4" w:space="0" w:color="000000"/>
            </w:tcBorders>
            <w:shd w:val="clear" w:color="auto" w:fill="auto"/>
            <w:noWrap/>
            <w:vAlign w:val="center"/>
            <w:hideMark/>
          </w:tcPr>
          <w:p w14:paraId="28A5F9C3" w14:textId="77777777" w:rsidR="00241C7E" w:rsidRPr="004E74A6" w:rsidRDefault="00241C7E" w:rsidP="00832773">
            <w:pPr>
              <w:spacing w:line="276" w:lineRule="auto"/>
              <w:jc w:val="center"/>
              <w:rPr>
                <w:rFonts w:cs="Calibri"/>
                <w:color w:val="000000"/>
                <w:sz w:val="20"/>
                <w:lang w:eastAsia="es-CR"/>
              </w:rPr>
            </w:pPr>
            <w:r w:rsidRPr="004E74A6">
              <w:rPr>
                <w:rFonts w:cs="Calibri"/>
                <w:color w:val="000000"/>
                <w:sz w:val="20"/>
                <w:lang w:eastAsia="es-CR"/>
              </w:rPr>
              <w:t>16</w:t>
            </w:r>
          </w:p>
        </w:tc>
        <w:tc>
          <w:tcPr>
            <w:tcW w:w="850" w:type="dxa"/>
            <w:tcBorders>
              <w:top w:val="nil"/>
              <w:left w:val="nil"/>
              <w:bottom w:val="nil"/>
              <w:right w:val="single" w:sz="4" w:space="0" w:color="000000"/>
            </w:tcBorders>
            <w:shd w:val="clear" w:color="auto" w:fill="auto"/>
            <w:noWrap/>
            <w:vAlign w:val="center"/>
            <w:hideMark/>
          </w:tcPr>
          <w:p w14:paraId="026B7F24" w14:textId="77777777" w:rsidR="00241C7E" w:rsidRPr="004E74A6" w:rsidRDefault="00241C7E" w:rsidP="00832773">
            <w:pPr>
              <w:spacing w:line="276" w:lineRule="auto"/>
              <w:jc w:val="center"/>
              <w:rPr>
                <w:rFonts w:cs="Calibri"/>
                <w:color w:val="000000"/>
                <w:sz w:val="20"/>
                <w:lang w:eastAsia="es-CR"/>
              </w:rPr>
            </w:pPr>
            <w:r w:rsidRPr="004E74A6">
              <w:rPr>
                <w:rFonts w:cs="Calibri"/>
                <w:color w:val="000000"/>
                <w:sz w:val="20"/>
                <w:lang w:eastAsia="es-CR"/>
              </w:rPr>
              <w:t>5</w:t>
            </w:r>
          </w:p>
        </w:tc>
        <w:tc>
          <w:tcPr>
            <w:tcW w:w="1134" w:type="dxa"/>
            <w:tcBorders>
              <w:top w:val="nil"/>
              <w:left w:val="nil"/>
              <w:bottom w:val="nil"/>
              <w:right w:val="nil"/>
            </w:tcBorders>
            <w:shd w:val="clear" w:color="auto" w:fill="auto"/>
            <w:noWrap/>
            <w:vAlign w:val="center"/>
            <w:hideMark/>
          </w:tcPr>
          <w:p w14:paraId="70F93EA0" w14:textId="77777777" w:rsidR="00241C7E" w:rsidRPr="004E74A6" w:rsidRDefault="00241C7E" w:rsidP="00832773">
            <w:pPr>
              <w:spacing w:line="276" w:lineRule="auto"/>
              <w:jc w:val="center"/>
              <w:rPr>
                <w:rFonts w:cs="Calibri"/>
                <w:color w:val="000000"/>
                <w:sz w:val="20"/>
                <w:lang w:eastAsia="es-CR"/>
              </w:rPr>
            </w:pPr>
            <w:r w:rsidRPr="004E74A6">
              <w:rPr>
                <w:rFonts w:cs="Calibri"/>
                <w:color w:val="000000"/>
                <w:sz w:val="20"/>
                <w:lang w:eastAsia="es-CR"/>
              </w:rPr>
              <w:t>9</w:t>
            </w:r>
          </w:p>
        </w:tc>
      </w:tr>
      <w:tr w:rsidR="00241C7E" w:rsidRPr="004E74A6" w14:paraId="64ED8FEB" w14:textId="77777777" w:rsidTr="00241C7E">
        <w:trPr>
          <w:trHeight w:val="276"/>
          <w:tblHeader/>
          <w:jc w:val="center"/>
        </w:trPr>
        <w:tc>
          <w:tcPr>
            <w:tcW w:w="2835" w:type="dxa"/>
            <w:tcBorders>
              <w:top w:val="nil"/>
              <w:left w:val="nil"/>
              <w:bottom w:val="nil"/>
              <w:right w:val="single" w:sz="4" w:space="0" w:color="000000"/>
            </w:tcBorders>
            <w:shd w:val="clear" w:color="auto" w:fill="auto"/>
            <w:noWrap/>
            <w:vAlign w:val="center"/>
            <w:hideMark/>
          </w:tcPr>
          <w:p w14:paraId="68B531E2" w14:textId="77777777" w:rsidR="00241C7E" w:rsidRPr="004E74A6" w:rsidRDefault="00241C7E" w:rsidP="00832773">
            <w:pPr>
              <w:spacing w:line="276" w:lineRule="auto"/>
              <w:jc w:val="left"/>
              <w:rPr>
                <w:rFonts w:cs="Calibri"/>
                <w:color w:val="000000"/>
                <w:sz w:val="20"/>
                <w:lang w:eastAsia="es-CR"/>
              </w:rPr>
            </w:pPr>
            <w:r w:rsidRPr="004E74A6">
              <w:rPr>
                <w:rFonts w:cs="Calibri"/>
                <w:color w:val="000000"/>
                <w:sz w:val="20"/>
                <w:lang w:eastAsia="es-CR"/>
              </w:rPr>
              <w:t>Carta Rogatoria</w:t>
            </w:r>
          </w:p>
        </w:tc>
        <w:tc>
          <w:tcPr>
            <w:tcW w:w="850" w:type="dxa"/>
            <w:tcBorders>
              <w:top w:val="nil"/>
              <w:left w:val="nil"/>
              <w:bottom w:val="nil"/>
              <w:right w:val="single" w:sz="4" w:space="0" w:color="000000"/>
            </w:tcBorders>
            <w:shd w:val="clear" w:color="auto" w:fill="auto"/>
            <w:noWrap/>
            <w:vAlign w:val="center"/>
            <w:hideMark/>
          </w:tcPr>
          <w:p w14:paraId="0A47A5FD" w14:textId="77777777" w:rsidR="00241C7E" w:rsidRPr="004E74A6" w:rsidRDefault="00241C7E" w:rsidP="00832773">
            <w:pPr>
              <w:spacing w:line="276" w:lineRule="auto"/>
              <w:jc w:val="center"/>
              <w:rPr>
                <w:rFonts w:cs="Calibri"/>
                <w:color w:val="000000"/>
                <w:sz w:val="20"/>
                <w:lang w:eastAsia="es-CR"/>
              </w:rPr>
            </w:pPr>
            <w:r w:rsidRPr="004E74A6">
              <w:rPr>
                <w:rFonts w:cs="Calibri"/>
                <w:color w:val="000000"/>
                <w:sz w:val="20"/>
                <w:lang w:eastAsia="es-CR"/>
              </w:rPr>
              <w:t>3</w:t>
            </w:r>
          </w:p>
        </w:tc>
        <w:tc>
          <w:tcPr>
            <w:tcW w:w="850" w:type="dxa"/>
            <w:tcBorders>
              <w:top w:val="nil"/>
              <w:left w:val="nil"/>
              <w:bottom w:val="nil"/>
              <w:right w:val="single" w:sz="4" w:space="0" w:color="000000"/>
            </w:tcBorders>
            <w:shd w:val="clear" w:color="auto" w:fill="auto"/>
            <w:noWrap/>
            <w:vAlign w:val="center"/>
            <w:hideMark/>
          </w:tcPr>
          <w:p w14:paraId="79B78A30" w14:textId="77777777" w:rsidR="00241C7E" w:rsidRPr="004E74A6" w:rsidRDefault="00241C7E" w:rsidP="00832773">
            <w:pPr>
              <w:spacing w:line="276" w:lineRule="auto"/>
              <w:jc w:val="center"/>
              <w:rPr>
                <w:rFonts w:cs="Calibri"/>
                <w:color w:val="000000"/>
                <w:sz w:val="20"/>
                <w:lang w:eastAsia="es-CR"/>
              </w:rPr>
            </w:pPr>
            <w:r w:rsidRPr="004E74A6">
              <w:rPr>
                <w:rFonts w:cs="Calibri"/>
                <w:color w:val="000000"/>
                <w:sz w:val="20"/>
                <w:lang w:eastAsia="es-CR"/>
              </w:rPr>
              <w:t>14</w:t>
            </w:r>
          </w:p>
        </w:tc>
        <w:tc>
          <w:tcPr>
            <w:tcW w:w="850" w:type="dxa"/>
            <w:tcBorders>
              <w:top w:val="nil"/>
              <w:left w:val="nil"/>
              <w:bottom w:val="nil"/>
              <w:right w:val="single" w:sz="4" w:space="0" w:color="000000"/>
            </w:tcBorders>
            <w:shd w:val="clear" w:color="auto" w:fill="auto"/>
            <w:noWrap/>
            <w:vAlign w:val="center"/>
            <w:hideMark/>
          </w:tcPr>
          <w:p w14:paraId="113D44E2" w14:textId="77777777" w:rsidR="00241C7E" w:rsidRPr="004E74A6" w:rsidRDefault="00241C7E" w:rsidP="00832773">
            <w:pPr>
              <w:spacing w:line="276" w:lineRule="auto"/>
              <w:jc w:val="center"/>
              <w:rPr>
                <w:rFonts w:cs="Calibri"/>
                <w:color w:val="000000"/>
                <w:sz w:val="20"/>
                <w:lang w:eastAsia="es-CR"/>
              </w:rPr>
            </w:pPr>
            <w:r w:rsidRPr="004E74A6">
              <w:rPr>
                <w:rFonts w:cs="Calibri"/>
                <w:color w:val="000000"/>
                <w:sz w:val="20"/>
                <w:lang w:eastAsia="es-CR"/>
              </w:rPr>
              <w:t>25</w:t>
            </w:r>
          </w:p>
        </w:tc>
        <w:tc>
          <w:tcPr>
            <w:tcW w:w="1134" w:type="dxa"/>
            <w:tcBorders>
              <w:top w:val="nil"/>
              <w:left w:val="nil"/>
              <w:bottom w:val="nil"/>
              <w:right w:val="nil"/>
            </w:tcBorders>
            <w:shd w:val="clear" w:color="auto" w:fill="auto"/>
            <w:noWrap/>
            <w:vAlign w:val="center"/>
            <w:hideMark/>
          </w:tcPr>
          <w:p w14:paraId="768845E0" w14:textId="77777777" w:rsidR="00241C7E" w:rsidRPr="004E74A6" w:rsidRDefault="00241C7E" w:rsidP="00832773">
            <w:pPr>
              <w:spacing w:line="276" w:lineRule="auto"/>
              <w:jc w:val="center"/>
              <w:rPr>
                <w:rFonts w:cs="Calibri"/>
                <w:color w:val="000000"/>
                <w:sz w:val="20"/>
                <w:lang w:eastAsia="es-CR"/>
              </w:rPr>
            </w:pPr>
            <w:r w:rsidRPr="004E74A6">
              <w:rPr>
                <w:rFonts w:cs="Calibri"/>
                <w:color w:val="000000"/>
                <w:sz w:val="20"/>
                <w:lang w:eastAsia="es-CR"/>
              </w:rPr>
              <w:t>14</w:t>
            </w:r>
          </w:p>
        </w:tc>
      </w:tr>
      <w:tr w:rsidR="00241C7E" w:rsidRPr="004E74A6" w14:paraId="49E831F1" w14:textId="77777777" w:rsidTr="00241C7E">
        <w:trPr>
          <w:trHeight w:val="276"/>
          <w:tblHeader/>
          <w:jc w:val="center"/>
        </w:trPr>
        <w:tc>
          <w:tcPr>
            <w:tcW w:w="2835" w:type="dxa"/>
            <w:tcBorders>
              <w:top w:val="nil"/>
              <w:left w:val="nil"/>
              <w:bottom w:val="nil"/>
              <w:right w:val="single" w:sz="4" w:space="0" w:color="000000"/>
            </w:tcBorders>
            <w:shd w:val="clear" w:color="auto" w:fill="auto"/>
            <w:noWrap/>
            <w:vAlign w:val="center"/>
            <w:hideMark/>
          </w:tcPr>
          <w:p w14:paraId="08B719CB" w14:textId="77777777" w:rsidR="00241C7E" w:rsidRPr="004E74A6" w:rsidRDefault="00241C7E" w:rsidP="00832773">
            <w:pPr>
              <w:spacing w:line="276" w:lineRule="auto"/>
              <w:jc w:val="left"/>
              <w:rPr>
                <w:rFonts w:cs="Calibri"/>
                <w:color w:val="000000"/>
                <w:sz w:val="20"/>
                <w:lang w:eastAsia="es-CR"/>
              </w:rPr>
            </w:pPr>
            <w:r w:rsidRPr="004E74A6">
              <w:rPr>
                <w:rFonts w:cs="Calibri"/>
                <w:color w:val="000000"/>
                <w:sz w:val="20"/>
                <w:lang w:eastAsia="es-CR"/>
              </w:rPr>
              <w:t>Casación</w:t>
            </w:r>
          </w:p>
        </w:tc>
        <w:tc>
          <w:tcPr>
            <w:tcW w:w="850" w:type="dxa"/>
            <w:tcBorders>
              <w:top w:val="nil"/>
              <w:left w:val="nil"/>
              <w:bottom w:val="nil"/>
              <w:right w:val="single" w:sz="4" w:space="0" w:color="000000"/>
            </w:tcBorders>
            <w:shd w:val="clear" w:color="auto" w:fill="auto"/>
            <w:noWrap/>
            <w:vAlign w:val="center"/>
            <w:hideMark/>
          </w:tcPr>
          <w:p w14:paraId="7365380A" w14:textId="77777777" w:rsidR="00241C7E" w:rsidRPr="004E74A6" w:rsidRDefault="00241C7E" w:rsidP="00832773">
            <w:pPr>
              <w:spacing w:line="276" w:lineRule="auto"/>
              <w:jc w:val="center"/>
              <w:rPr>
                <w:rFonts w:cs="Calibri"/>
                <w:color w:val="000000"/>
                <w:sz w:val="20"/>
                <w:lang w:eastAsia="es-CR"/>
              </w:rPr>
            </w:pPr>
            <w:r w:rsidRPr="004E74A6">
              <w:rPr>
                <w:rFonts w:cs="Calibri"/>
                <w:color w:val="000000"/>
                <w:sz w:val="20"/>
                <w:lang w:eastAsia="es-CR"/>
              </w:rPr>
              <w:t>10</w:t>
            </w:r>
          </w:p>
        </w:tc>
        <w:tc>
          <w:tcPr>
            <w:tcW w:w="850" w:type="dxa"/>
            <w:tcBorders>
              <w:top w:val="nil"/>
              <w:left w:val="nil"/>
              <w:bottom w:val="nil"/>
              <w:right w:val="single" w:sz="4" w:space="0" w:color="000000"/>
            </w:tcBorders>
            <w:shd w:val="clear" w:color="auto" w:fill="auto"/>
            <w:noWrap/>
            <w:vAlign w:val="center"/>
            <w:hideMark/>
          </w:tcPr>
          <w:p w14:paraId="0D23D9C9" w14:textId="77777777" w:rsidR="00241C7E" w:rsidRPr="004E74A6" w:rsidRDefault="00241C7E" w:rsidP="00832773">
            <w:pPr>
              <w:spacing w:line="276" w:lineRule="auto"/>
              <w:jc w:val="center"/>
              <w:rPr>
                <w:rFonts w:cs="Calibri"/>
                <w:color w:val="000000"/>
                <w:sz w:val="20"/>
                <w:lang w:eastAsia="es-CR"/>
              </w:rPr>
            </w:pPr>
            <w:r w:rsidRPr="004E74A6">
              <w:rPr>
                <w:rFonts w:cs="Calibri"/>
                <w:color w:val="000000"/>
                <w:sz w:val="20"/>
                <w:lang w:eastAsia="es-CR"/>
              </w:rPr>
              <w:t>43</w:t>
            </w:r>
          </w:p>
        </w:tc>
        <w:tc>
          <w:tcPr>
            <w:tcW w:w="850" w:type="dxa"/>
            <w:tcBorders>
              <w:top w:val="nil"/>
              <w:left w:val="nil"/>
              <w:bottom w:val="nil"/>
              <w:right w:val="single" w:sz="4" w:space="0" w:color="000000"/>
            </w:tcBorders>
            <w:shd w:val="clear" w:color="auto" w:fill="auto"/>
            <w:noWrap/>
            <w:vAlign w:val="center"/>
            <w:hideMark/>
          </w:tcPr>
          <w:p w14:paraId="3366BB21" w14:textId="77777777" w:rsidR="00241C7E" w:rsidRPr="004E74A6" w:rsidRDefault="00241C7E" w:rsidP="00832773">
            <w:pPr>
              <w:spacing w:line="276" w:lineRule="auto"/>
              <w:jc w:val="center"/>
              <w:rPr>
                <w:rFonts w:cs="Calibri"/>
                <w:color w:val="000000"/>
                <w:sz w:val="20"/>
                <w:lang w:eastAsia="es-CR"/>
              </w:rPr>
            </w:pPr>
            <w:r w:rsidRPr="004E74A6">
              <w:rPr>
                <w:rFonts w:cs="Calibri"/>
                <w:color w:val="000000"/>
                <w:sz w:val="20"/>
                <w:lang w:eastAsia="es-CR"/>
              </w:rPr>
              <w:t>16</w:t>
            </w:r>
          </w:p>
        </w:tc>
        <w:tc>
          <w:tcPr>
            <w:tcW w:w="1134" w:type="dxa"/>
            <w:tcBorders>
              <w:top w:val="nil"/>
              <w:left w:val="nil"/>
              <w:bottom w:val="nil"/>
              <w:right w:val="nil"/>
            </w:tcBorders>
            <w:shd w:val="clear" w:color="auto" w:fill="auto"/>
            <w:noWrap/>
            <w:vAlign w:val="center"/>
            <w:hideMark/>
          </w:tcPr>
          <w:p w14:paraId="0725A2EE" w14:textId="77777777" w:rsidR="00241C7E" w:rsidRPr="004E74A6" w:rsidRDefault="00241C7E" w:rsidP="00832773">
            <w:pPr>
              <w:spacing w:line="276" w:lineRule="auto"/>
              <w:jc w:val="center"/>
              <w:rPr>
                <w:rFonts w:cs="Calibri"/>
                <w:color w:val="000000"/>
                <w:sz w:val="20"/>
                <w:lang w:eastAsia="es-CR"/>
              </w:rPr>
            </w:pPr>
            <w:r w:rsidRPr="004E74A6">
              <w:rPr>
                <w:rFonts w:cs="Calibri"/>
                <w:color w:val="000000"/>
                <w:sz w:val="20"/>
                <w:lang w:eastAsia="es-CR"/>
              </w:rPr>
              <w:t>23</w:t>
            </w:r>
          </w:p>
        </w:tc>
      </w:tr>
      <w:tr w:rsidR="00241C7E" w:rsidRPr="004E74A6" w14:paraId="6D73C287" w14:textId="77777777" w:rsidTr="00241C7E">
        <w:trPr>
          <w:trHeight w:val="276"/>
          <w:tblHeader/>
          <w:jc w:val="center"/>
        </w:trPr>
        <w:tc>
          <w:tcPr>
            <w:tcW w:w="2835" w:type="dxa"/>
            <w:tcBorders>
              <w:top w:val="nil"/>
              <w:left w:val="nil"/>
              <w:bottom w:val="nil"/>
              <w:right w:val="single" w:sz="4" w:space="0" w:color="000000"/>
            </w:tcBorders>
            <w:shd w:val="clear" w:color="auto" w:fill="auto"/>
            <w:noWrap/>
            <w:vAlign w:val="center"/>
            <w:hideMark/>
          </w:tcPr>
          <w:p w14:paraId="6BD0CE34" w14:textId="77777777" w:rsidR="00241C7E" w:rsidRPr="004E74A6" w:rsidRDefault="00241C7E" w:rsidP="00832773">
            <w:pPr>
              <w:spacing w:line="276" w:lineRule="auto"/>
              <w:jc w:val="left"/>
              <w:rPr>
                <w:rFonts w:cs="Calibri"/>
                <w:color w:val="000000"/>
                <w:sz w:val="20"/>
                <w:lang w:eastAsia="es-CR"/>
              </w:rPr>
            </w:pPr>
            <w:r w:rsidRPr="004E74A6">
              <w:rPr>
                <w:rFonts w:cs="Calibri"/>
                <w:color w:val="000000"/>
                <w:sz w:val="20"/>
                <w:lang w:eastAsia="es-CR"/>
              </w:rPr>
              <w:t>Competencia por conflicto</w:t>
            </w:r>
          </w:p>
        </w:tc>
        <w:tc>
          <w:tcPr>
            <w:tcW w:w="850" w:type="dxa"/>
            <w:tcBorders>
              <w:top w:val="nil"/>
              <w:left w:val="nil"/>
              <w:bottom w:val="nil"/>
              <w:right w:val="single" w:sz="4" w:space="0" w:color="000000"/>
            </w:tcBorders>
            <w:shd w:val="clear" w:color="auto" w:fill="auto"/>
            <w:noWrap/>
            <w:vAlign w:val="center"/>
            <w:hideMark/>
          </w:tcPr>
          <w:p w14:paraId="4483910F" w14:textId="77777777" w:rsidR="00241C7E" w:rsidRPr="004E74A6" w:rsidRDefault="00241C7E" w:rsidP="00832773">
            <w:pPr>
              <w:spacing w:line="276" w:lineRule="auto"/>
              <w:jc w:val="center"/>
              <w:rPr>
                <w:rFonts w:cs="Calibri"/>
                <w:color w:val="000000"/>
                <w:sz w:val="20"/>
                <w:lang w:eastAsia="es-CR"/>
              </w:rPr>
            </w:pPr>
            <w:r w:rsidRPr="004E74A6">
              <w:rPr>
                <w:rFonts w:cs="Calibri"/>
                <w:color w:val="000000"/>
                <w:sz w:val="20"/>
                <w:lang w:eastAsia="es-CR"/>
              </w:rPr>
              <w:t>667</w:t>
            </w:r>
          </w:p>
        </w:tc>
        <w:tc>
          <w:tcPr>
            <w:tcW w:w="850" w:type="dxa"/>
            <w:tcBorders>
              <w:top w:val="nil"/>
              <w:left w:val="nil"/>
              <w:bottom w:val="nil"/>
              <w:right w:val="single" w:sz="4" w:space="0" w:color="000000"/>
            </w:tcBorders>
            <w:shd w:val="clear" w:color="auto" w:fill="auto"/>
            <w:noWrap/>
            <w:vAlign w:val="center"/>
            <w:hideMark/>
          </w:tcPr>
          <w:p w14:paraId="0660C325" w14:textId="77777777" w:rsidR="00241C7E" w:rsidRPr="004E74A6" w:rsidRDefault="00241C7E" w:rsidP="00832773">
            <w:pPr>
              <w:spacing w:line="276" w:lineRule="auto"/>
              <w:jc w:val="center"/>
              <w:rPr>
                <w:rFonts w:cs="Calibri"/>
                <w:color w:val="000000"/>
                <w:sz w:val="20"/>
                <w:lang w:eastAsia="es-CR"/>
              </w:rPr>
            </w:pPr>
            <w:r w:rsidRPr="004E74A6">
              <w:rPr>
                <w:rFonts w:cs="Calibri"/>
                <w:color w:val="000000"/>
                <w:sz w:val="20"/>
                <w:lang w:eastAsia="es-CR"/>
              </w:rPr>
              <w:t>565</w:t>
            </w:r>
          </w:p>
        </w:tc>
        <w:tc>
          <w:tcPr>
            <w:tcW w:w="850" w:type="dxa"/>
            <w:tcBorders>
              <w:top w:val="nil"/>
              <w:left w:val="nil"/>
              <w:bottom w:val="nil"/>
              <w:right w:val="single" w:sz="4" w:space="0" w:color="000000"/>
            </w:tcBorders>
            <w:shd w:val="clear" w:color="auto" w:fill="auto"/>
            <w:noWrap/>
            <w:vAlign w:val="center"/>
            <w:hideMark/>
          </w:tcPr>
          <w:p w14:paraId="492B1BFC" w14:textId="77777777" w:rsidR="00241C7E" w:rsidRPr="004E74A6" w:rsidRDefault="00241C7E" w:rsidP="00832773">
            <w:pPr>
              <w:spacing w:line="276" w:lineRule="auto"/>
              <w:jc w:val="center"/>
              <w:rPr>
                <w:rFonts w:cs="Calibri"/>
                <w:color w:val="000000"/>
                <w:sz w:val="20"/>
                <w:lang w:eastAsia="es-CR"/>
              </w:rPr>
            </w:pPr>
            <w:r w:rsidRPr="004E74A6">
              <w:rPr>
                <w:rFonts w:cs="Calibri"/>
                <w:color w:val="000000"/>
                <w:sz w:val="20"/>
                <w:lang w:eastAsia="es-CR"/>
              </w:rPr>
              <w:t>392</w:t>
            </w:r>
          </w:p>
        </w:tc>
        <w:tc>
          <w:tcPr>
            <w:tcW w:w="1134" w:type="dxa"/>
            <w:tcBorders>
              <w:top w:val="nil"/>
              <w:left w:val="nil"/>
              <w:bottom w:val="nil"/>
              <w:right w:val="nil"/>
            </w:tcBorders>
            <w:shd w:val="clear" w:color="auto" w:fill="auto"/>
            <w:noWrap/>
            <w:vAlign w:val="center"/>
            <w:hideMark/>
          </w:tcPr>
          <w:p w14:paraId="15DD7F92" w14:textId="77777777" w:rsidR="00241C7E" w:rsidRPr="004E74A6" w:rsidRDefault="00241C7E" w:rsidP="00832773">
            <w:pPr>
              <w:spacing w:line="276" w:lineRule="auto"/>
              <w:jc w:val="center"/>
              <w:rPr>
                <w:rFonts w:cs="Calibri"/>
                <w:color w:val="000000"/>
                <w:sz w:val="20"/>
                <w:lang w:eastAsia="es-CR"/>
              </w:rPr>
            </w:pPr>
            <w:r w:rsidRPr="004E74A6">
              <w:rPr>
                <w:rFonts w:cs="Calibri"/>
                <w:color w:val="000000"/>
                <w:sz w:val="20"/>
                <w:lang w:eastAsia="es-CR"/>
              </w:rPr>
              <w:t>541</w:t>
            </w:r>
          </w:p>
        </w:tc>
      </w:tr>
      <w:tr w:rsidR="00241C7E" w:rsidRPr="004E74A6" w14:paraId="1C5A6236" w14:textId="77777777" w:rsidTr="00241C7E">
        <w:trPr>
          <w:trHeight w:val="276"/>
          <w:tblHeader/>
          <w:jc w:val="center"/>
        </w:trPr>
        <w:tc>
          <w:tcPr>
            <w:tcW w:w="2835" w:type="dxa"/>
            <w:tcBorders>
              <w:top w:val="nil"/>
              <w:left w:val="nil"/>
              <w:bottom w:val="nil"/>
              <w:right w:val="single" w:sz="4" w:space="0" w:color="000000"/>
            </w:tcBorders>
            <w:shd w:val="clear" w:color="auto" w:fill="auto"/>
            <w:noWrap/>
            <w:vAlign w:val="center"/>
            <w:hideMark/>
          </w:tcPr>
          <w:p w14:paraId="0CFAA19E" w14:textId="77777777" w:rsidR="00241C7E" w:rsidRPr="004E74A6" w:rsidRDefault="00241C7E" w:rsidP="00832773">
            <w:pPr>
              <w:spacing w:line="276" w:lineRule="auto"/>
              <w:jc w:val="left"/>
              <w:rPr>
                <w:rFonts w:cs="Calibri"/>
                <w:color w:val="000000"/>
                <w:sz w:val="20"/>
                <w:lang w:eastAsia="es-CR"/>
              </w:rPr>
            </w:pPr>
            <w:r w:rsidRPr="004E74A6">
              <w:rPr>
                <w:rFonts w:cs="Calibri"/>
                <w:color w:val="000000"/>
                <w:sz w:val="20"/>
                <w:lang w:eastAsia="es-CR"/>
              </w:rPr>
              <w:t>Competencia por consulta</w:t>
            </w:r>
          </w:p>
        </w:tc>
        <w:tc>
          <w:tcPr>
            <w:tcW w:w="850" w:type="dxa"/>
            <w:tcBorders>
              <w:top w:val="nil"/>
              <w:left w:val="nil"/>
              <w:bottom w:val="nil"/>
              <w:right w:val="single" w:sz="4" w:space="0" w:color="000000"/>
            </w:tcBorders>
            <w:shd w:val="clear" w:color="auto" w:fill="auto"/>
            <w:noWrap/>
            <w:vAlign w:val="center"/>
            <w:hideMark/>
          </w:tcPr>
          <w:p w14:paraId="0616E585" w14:textId="77777777" w:rsidR="00241C7E" w:rsidRPr="004E74A6" w:rsidRDefault="00241C7E" w:rsidP="00832773">
            <w:pPr>
              <w:spacing w:line="276" w:lineRule="auto"/>
              <w:jc w:val="center"/>
              <w:rPr>
                <w:rFonts w:cs="Calibri"/>
                <w:color w:val="000000"/>
                <w:sz w:val="20"/>
                <w:lang w:eastAsia="es-CR"/>
              </w:rPr>
            </w:pPr>
            <w:r w:rsidRPr="004E74A6">
              <w:rPr>
                <w:rFonts w:cs="Calibri"/>
                <w:color w:val="000000"/>
                <w:sz w:val="20"/>
                <w:lang w:eastAsia="es-CR"/>
              </w:rPr>
              <w:t>116</w:t>
            </w:r>
          </w:p>
        </w:tc>
        <w:tc>
          <w:tcPr>
            <w:tcW w:w="850" w:type="dxa"/>
            <w:tcBorders>
              <w:top w:val="nil"/>
              <w:left w:val="nil"/>
              <w:bottom w:val="nil"/>
              <w:right w:val="single" w:sz="4" w:space="0" w:color="000000"/>
            </w:tcBorders>
            <w:shd w:val="clear" w:color="auto" w:fill="auto"/>
            <w:noWrap/>
            <w:vAlign w:val="center"/>
            <w:hideMark/>
          </w:tcPr>
          <w:p w14:paraId="376FDEDB" w14:textId="77777777" w:rsidR="00241C7E" w:rsidRPr="004E74A6" w:rsidRDefault="00241C7E" w:rsidP="00832773">
            <w:pPr>
              <w:spacing w:line="276" w:lineRule="auto"/>
              <w:jc w:val="center"/>
              <w:rPr>
                <w:rFonts w:cs="Calibri"/>
                <w:color w:val="000000"/>
                <w:sz w:val="20"/>
                <w:lang w:eastAsia="es-CR"/>
              </w:rPr>
            </w:pPr>
            <w:r w:rsidRPr="004E74A6">
              <w:rPr>
                <w:rFonts w:cs="Calibri"/>
                <w:color w:val="000000"/>
                <w:sz w:val="20"/>
                <w:lang w:eastAsia="es-CR"/>
              </w:rPr>
              <w:t>20</w:t>
            </w:r>
          </w:p>
        </w:tc>
        <w:tc>
          <w:tcPr>
            <w:tcW w:w="850" w:type="dxa"/>
            <w:tcBorders>
              <w:top w:val="nil"/>
              <w:left w:val="nil"/>
              <w:bottom w:val="nil"/>
              <w:right w:val="single" w:sz="4" w:space="0" w:color="000000"/>
            </w:tcBorders>
            <w:shd w:val="clear" w:color="auto" w:fill="auto"/>
            <w:noWrap/>
            <w:vAlign w:val="center"/>
            <w:hideMark/>
          </w:tcPr>
          <w:p w14:paraId="59C55298" w14:textId="77777777" w:rsidR="00241C7E" w:rsidRPr="004E74A6" w:rsidRDefault="00241C7E" w:rsidP="00832773">
            <w:pPr>
              <w:spacing w:line="276" w:lineRule="auto"/>
              <w:jc w:val="center"/>
              <w:rPr>
                <w:rFonts w:cs="Calibri"/>
                <w:color w:val="000000"/>
                <w:sz w:val="20"/>
                <w:lang w:eastAsia="es-CR"/>
              </w:rPr>
            </w:pPr>
            <w:r w:rsidRPr="004E74A6">
              <w:rPr>
                <w:rFonts w:cs="Calibri"/>
                <w:color w:val="000000"/>
                <w:sz w:val="20"/>
                <w:lang w:eastAsia="es-CR"/>
              </w:rPr>
              <w:t>7</w:t>
            </w:r>
          </w:p>
        </w:tc>
        <w:tc>
          <w:tcPr>
            <w:tcW w:w="1134" w:type="dxa"/>
            <w:tcBorders>
              <w:top w:val="nil"/>
              <w:left w:val="nil"/>
              <w:bottom w:val="nil"/>
              <w:right w:val="nil"/>
            </w:tcBorders>
            <w:shd w:val="clear" w:color="auto" w:fill="auto"/>
            <w:noWrap/>
            <w:vAlign w:val="center"/>
            <w:hideMark/>
          </w:tcPr>
          <w:p w14:paraId="01FE85A9" w14:textId="77777777" w:rsidR="00241C7E" w:rsidRPr="004E74A6" w:rsidRDefault="00241C7E" w:rsidP="00832773">
            <w:pPr>
              <w:spacing w:line="276" w:lineRule="auto"/>
              <w:jc w:val="center"/>
              <w:rPr>
                <w:rFonts w:cs="Calibri"/>
                <w:color w:val="000000"/>
                <w:sz w:val="20"/>
                <w:lang w:eastAsia="es-CR"/>
              </w:rPr>
            </w:pPr>
            <w:r w:rsidRPr="004E74A6">
              <w:rPr>
                <w:rFonts w:cs="Calibri"/>
                <w:color w:val="000000"/>
                <w:sz w:val="20"/>
                <w:lang w:eastAsia="es-CR"/>
              </w:rPr>
              <w:t>48</w:t>
            </w:r>
          </w:p>
        </w:tc>
      </w:tr>
      <w:tr w:rsidR="00241C7E" w:rsidRPr="004E74A6" w14:paraId="7EF7A89E" w14:textId="77777777" w:rsidTr="00241C7E">
        <w:trPr>
          <w:trHeight w:val="276"/>
          <w:tblHeader/>
          <w:jc w:val="center"/>
        </w:trPr>
        <w:tc>
          <w:tcPr>
            <w:tcW w:w="2835" w:type="dxa"/>
            <w:tcBorders>
              <w:top w:val="nil"/>
              <w:left w:val="nil"/>
              <w:bottom w:val="nil"/>
              <w:right w:val="single" w:sz="4" w:space="0" w:color="000000"/>
            </w:tcBorders>
            <w:shd w:val="clear" w:color="auto" w:fill="auto"/>
            <w:noWrap/>
            <w:vAlign w:val="center"/>
            <w:hideMark/>
          </w:tcPr>
          <w:p w14:paraId="527685D7" w14:textId="77777777" w:rsidR="00241C7E" w:rsidRPr="004E74A6" w:rsidRDefault="00241C7E" w:rsidP="00832773">
            <w:pPr>
              <w:spacing w:line="276" w:lineRule="auto"/>
              <w:jc w:val="left"/>
              <w:rPr>
                <w:rFonts w:cs="Calibri"/>
                <w:color w:val="000000"/>
                <w:sz w:val="20"/>
                <w:lang w:eastAsia="es-CR"/>
              </w:rPr>
            </w:pPr>
            <w:r w:rsidRPr="004E74A6">
              <w:rPr>
                <w:rFonts w:cs="Calibri"/>
                <w:color w:val="000000"/>
                <w:sz w:val="20"/>
                <w:lang w:eastAsia="es-CR"/>
              </w:rPr>
              <w:t>Conflicto de competencia</w:t>
            </w:r>
          </w:p>
        </w:tc>
        <w:tc>
          <w:tcPr>
            <w:tcW w:w="850" w:type="dxa"/>
            <w:tcBorders>
              <w:top w:val="nil"/>
              <w:left w:val="nil"/>
              <w:bottom w:val="nil"/>
              <w:right w:val="single" w:sz="4" w:space="0" w:color="000000"/>
            </w:tcBorders>
            <w:shd w:val="clear" w:color="auto" w:fill="auto"/>
            <w:noWrap/>
            <w:vAlign w:val="center"/>
            <w:hideMark/>
          </w:tcPr>
          <w:p w14:paraId="27F959E1" w14:textId="77777777" w:rsidR="00241C7E" w:rsidRPr="004E74A6" w:rsidRDefault="00241C7E" w:rsidP="00832773">
            <w:pPr>
              <w:spacing w:line="276" w:lineRule="auto"/>
              <w:jc w:val="center"/>
              <w:rPr>
                <w:rFonts w:cs="Calibri"/>
                <w:color w:val="000000"/>
                <w:sz w:val="20"/>
                <w:lang w:eastAsia="es-CR"/>
              </w:rPr>
            </w:pPr>
            <w:r w:rsidRPr="004E74A6">
              <w:rPr>
                <w:rFonts w:cs="Calibri"/>
                <w:color w:val="000000"/>
                <w:sz w:val="20"/>
                <w:lang w:eastAsia="es-CR"/>
              </w:rPr>
              <w:t>4892</w:t>
            </w:r>
          </w:p>
        </w:tc>
        <w:tc>
          <w:tcPr>
            <w:tcW w:w="850" w:type="dxa"/>
            <w:tcBorders>
              <w:top w:val="nil"/>
              <w:left w:val="nil"/>
              <w:bottom w:val="nil"/>
              <w:right w:val="single" w:sz="4" w:space="0" w:color="000000"/>
            </w:tcBorders>
            <w:shd w:val="clear" w:color="auto" w:fill="auto"/>
            <w:noWrap/>
            <w:vAlign w:val="center"/>
            <w:hideMark/>
          </w:tcPr>
          <w:p w14:paraId="23F9DF3D" w14:textId="77777777" w:rsidR="00241C7E" w:rsidRPr="004E74A6" w:rsidRDefault="00241C7E" w:rsidP="00832773">
            <w:pPr>
              <w:spacing w:line="276" w:lineRule="auto"/>
              <w:jc w:val="center"/>
              <w:rPr>
                <w:rFonts w:cs="Calibri"/>
                <w:color w:val="000000"/>
                <w:sz w:val="20"/>
                <w:lang w:eastAsia="es-CR"/>
              </w:rPr>
            </w:pPr>
            <w:r w:rsidRPr="004E74A6">
              <w:rPr>
                <w:rFonts w:cs="Calibri"/>
                <w:color w:val="000000"/>
                <w:sz w:val="20"/>
                <w:lang w:eastAsia="es-CR"/>
              </w:rPr>
              <w:t>1</w:t>
            </w:r>
          </w:p>
        </w:tc>
        <w:tc>
          <w:tcPr>
            <w:tcW w:w="850" w:type="dxa"/>
            <w:tcBorders>
              <w:top w:val="nil"/>
              <w:left w:val="nil"/>
              <w:bottom w:val="nil"/>
              <w:right w:val="single" w:sz="4" w:space="0" w:color="000000"/>
            </w:tcBorders>
            <w:shd w:val="clear" w:color="auto" w:fill="auto"/>
            <w:noWrap/>
            <w:vAlign w:val="center"/>
            <w:hideMark/>
          </w:tcPr>
          <w:p w14:paraId="43F5DA1D" w14:textId="77777777" w:rsidR="00241C7E" w:rsidRPr="004E74A6" w:rsidRDefault="00241C7E" w:rsidP="00832773">
            <w:pPr>
              <w:spacing w:line="276" w:lineRule="auto"/>
              <w:jc w:val="center"/>
              <w:rPr>
                <w:rFonts w:cs="Calibri"/>
                <w:color w:val="000000"/>
                <w:sz w:val="20"/>
                <w:lang w:eastAsia="es-CR"/>
              </w:rPr>
            </w:pPr>
            <w:r w:rsidRPr="004E74A6">
              <w:rPr>
                <w:rFonts w:cs="Calibri"/>
                <w:color w:val="000000"/>
                <w:sz w:val="20"/>
                <w:lang w:eastAsia="es-CR"/>
              </w:rPr>
              <w:t>2</w:t>
            </w:r>
          </w:p>
        </w:tc>
        <w:tc>
          <w:tcPr>
            <w:tcW w:w="1134" w:type="dxa"/>
            <w:tcBorders>
              <w:top w:val="nil"/>
              <w:left w:val="nil"/>
              <w:bottom w:val="nil"/>
              <w:right w:val="nil"/>
            </w:tcBorders>
            <w:shd w:val="clear" w:color="auto" w:fill="auto"/>
            <w:noWrap/>
            <w:vAlign w:val="center"/>
            <w:hideMark/>
          </w:tcPr>
          <w:p w14:paraId="49BD51CB" w14:textId="77777777" w:rsidR="00241C7E" w:rsidRPr="004E74A6" w:rsidRDefault="00241C7E" w:rsidP="00832773">
            <w:pPr>
              <w:spacing w:line="276" w:lineRule="auto"/>
              <w:jc w:val="center"/>
              <w:rPr>
                <w:rFonts w:cs="Calibri"/>
                <w:color w:val="000000"/>
                <w:sz w:val="20"/>
                <w:lang w:eastAsia="es-CR"/>
              </w:rPr>
            </w:pPr>
            <w:r w:rsidRPr="004E74A6">
              <w:rPr>
                <w:rFonts w:cs="Calibri"/>
                <w:color w:val="000000"/>
                <w:sz w:val="20"/>
                <w:lang w:eastAsia="es-CR"/>
              </w:rPr>
              <w:t>1632</w:t>
            </w:r>
          </w:p>
        </w:tc>
      </w:tr>
      <w:tr w:rsidR="00241C7E" w:rsidRPr="004E74A6" w14:paraId="3B30ABEC" w14:textId="77777777" w:rsidTr="00241C7E">
        <w:trPr>
          <w:trHeight w:val="276"/>
          <w:tblHeader/>
          <w:jc w:val="center"/>
        </w:trPr>
        <w:tc>
          <w:tcPr>
            <w:tcW w:w="2835" w:type="dxa"/>
            <w:tcBorders>
              <w:top w:val="nil"/>
              <w:left w:val="nil"/>
              <w:bottom w:val="nil"/>
              <w:right w:val="single" w:sz="4" w:space="0" w:color="000000"/>
            </w:tcBorders>
            <w:shd w:val="clear" w:color="auto" w:fill="auto"/>
            <w:noWrap/>
            <w:vAlign w:val="center"/>
            <w:hideMark/>
          </w:tcPr>
          <w:p w14:paraId="7E0CA75C" w14:textId="77777777" w:rsidR="00241C7E" w:rsidRPr="004E74A6" w:rsidRDefault="00241C7E" w:rsidP="00832773">
            <w:pPr>
              <w:spacing w:line="276" w:lineRule="auto"/>
              <w:jc w:val="left"/>
              <w:rPr>
                <w:rFonts w:cs="Calibri"/>
                <w:color w:val="000000"/>
                <w:sz w:val="20"/>
                <w:lang w:eastAsia="es-CR"/>
              </w:rPr>
            </w:pPr>
            <w:r w:rsidRPr="004E74A6">
              <w:rPr>
                <w:rFonts w:cs="Calibri"/>
                <w:color w:val="000000"/>
                <w:sz w:val="20"/>
                <w:lang w:eastAsia="es-CR"/>
              </w:rPr>
              <w:t>Diligencia del exterior</w:t>
            </w:r>
          </w:p>
        </w:tc>
        <w:tc>
          <w:tcPr>
            <w:tcW w:w="850" w:type="dxa"/>
            <w:tcBorders>
              <w:top w:val="nil"/>
              <w:left w:val="nil"/>
              <w:bottom w:val="nil"/>
              <w:right w:val="single" w:sz="4" w:space="0" w:color="000000"/>
            </w:tcBorders>
            <w:shd w:val="clear" w:color="auto" w:fill="auto"/>
            <w:noWrap/>
            <w:vAlign w:val="center"/>
            <w:hideMark/>
          </w:tcPr>
          <w:p w14:paraId="467D7F44" w14:textId="77777777" w:rsidR="00241C7E" w:rsidRPr="004E74A6" w:rsidRDefault="00241C7E" w:rsidP="00832773">
            <w:pPr>
              <w:spacing w:line="276" w:lineRule="auto"/>
              <w:jc w:val="center"/>
              <w:rPr>
                <w:rFonts w:cs="Calibri"/>
                <w:color w:val="000000"/>
                <w:sz w:val="20"/>
                <w:lang w:eastAsia="es-CR"/>
              </w:rPr>
            </w:pPr>
            <w:r w:rsidRPr="004E74A6">
              <w:rPr>
                <w:rFonts w:cs="Calibri"/>
                <w:color w:val="000000"/>
                <w:sz w:val="20"/>
                <w:lang w:eastAsia="es-CR"/>
              </w:rPr>
              <w:t>12</w:t>
            </w:r>
          </w:p>
        </w:tc>
        <w:tc>
          <w:tcPr>
            <w:tcW w:w="850" w:type="dxa"/>
            <w:tcBorders>
              <w:top w:val="nil"/>
              <w:left w:val="nil"/>
              <w:bottom w:val="nil"/>
              <w:right w:val="single" w:sz="4" w:space="0" w:color="000000"/>
            </w:tcBorders>
            <w:shd w:val="clear" w:color="auto" w:fill="auto"/>
            <w:noWrap/>
            <w:vAlign w:val="center"/>
            <w:hideMark/>
          </w:tcPr>
          <w:p w14:paraId="57881D82" w14:textId="77777777" w:rsidR="00241C7E" w:rsidRPr="004E74A6" w:rsidRDefault="00241C7E" w:rsidP="00832773">
            <w:pPr>
              <w:spacing w:line="276" w:lineRule="auto"/>
              <w:jc w:val="center"/>
              <w:rPr>
                <w:rFonts w:cs="Calibri"/>
                <w:color w:val="000000"/>
                <w:sz w:val="20"/>
                <w:lang w:eastAsia="es-CR"/>
              </w:rPr>
            </w:pPr>
            <w:r w:rsidRPr="004E74A6">
              <w:rPr>
                <w:rFonts w:cs="Calibri"/>
                <w:color w:val="000000"/>
                <w:sz w:val="20"/>
                <w:lang w:eastAsia="es-CR"/>
              </w:rPr>
              <w:t>0</w:t>
            </w:r>
          </w:p>
        </w:tc>
        <w:tc>
          <w:tcPr>
            <w:tcW w:w="850" w:type="dxa"/>
            <w:tcBorders>
              <w:top w:val="nil"/>
              <w:left w:val="nil"/>
              <w:bottom w:val="nil"/>
              <w:right w:val="single" w:sz="4" w:space="0" w:color="000000"/>
            </w:tcBorders>
            <w:shd w:val="clear" w:color="auto" w:fill="auto"/>
            <w:noWrap/>
            <w:vAlign w:val="center"/>
            <w:hideMark/>
          </w:tcPr>
          <w:p w14:paraId="1BE0DAD9" w14:textId="77777777" w:rsidR="00241C7E" w:rsidRPr="004E74A6" w:rsidRDefault="00241C7E" w:rsidP="00832773">
            <w:pPr>
              <w:spacing w:line="276" w:lineRule="auto"/>
              <w:jc w:val="center"/>
              <w:rPr>
                <w:rFonts w:cs="Calibri"/>
                <w:color w:val="000000"/>
                <w:sz w:val="20"/>
                <w:lang w:eastAsia="es-CR"/>
              </w:rPr>
            </w:pPr>
            <w:r w:rsidRPr="004E74A6">
              <w:rPr>
                <w:rFonts w:cs="Calibri"/>
                <w:color w:val="000000"/>
                <w:sz w:val="20"/>
                <w:lang w:eastAsia="es-CR"/>
              </w:rPr>
              <w:t>0</w:t>
            </w:r>
          </w:p>
        </w:tc>
        <w:tc>
          <w:tcPr>
            <w:tcW w:w="1134" w:type="dxa"/>
            <w:tcBorders>
              <w:top w:val="nil"/>
              <w:left w:val="nil"/>
              <w:bottom w:val="nil"/>
              <w:right w:val="nil"/>
            </w:tcBorders>
            <w:shd w:val="clear" w:color="auto" w:fill="auto"/>
            <w:noWrap/>
            <w:vAlign w:val="center"/>
            <w:hideMark/>
          </w:tcPr>
          <w:p w14:paraId="1C386969" w14:textId="77777777" w:rsidR="00241C7E" w:rsidRPr="004E74A6" w:rsidRDefault="00241C7E" w:rsidP="00832773">
            <w:pPr>
              <w:spacing w:line="276" w:lineRule="auto"/>
              <w:jc w:val="center"/>
              <w:rPr>
                <w:rFonts w:cs="Calibri"/>
                <w:color w:val="000000"/>
                <w:sz w:val="20"/>
                <w:lang w:eastAsia="es-CR"/>
              </w:rPr>
            </w:pPr>
            <w:r w:rsidRPr="004E74A6">
              <w:rPr>
                <w:rFonts w:cs="Calibri"/>
                <w:color w:val="000000"/>
                <w:sz w:val="20"/>
                <w:lang w:eastAsia="es-CR"/>
              </w:rPr>
              <w:t>4</w:t>
            </w:r>
          </w:p>
        </w:tc>
      </w:tr>
      <w:tr w:rsidR="00241C7E" w:rsidRPr="004E74A6" w14:paraId="5D232BCF" w14:textId="77777777" w:rsidTr="00241C7E">
        <w:trPr>
          <w:trHeight w:val="276"/>
          <w:tblHeader/>
          <w:jc w:val="center"/>
        </w:trPr>
        <w:tc>
          <w:tcPr>
            <w:tcW w:w="2835" w:type="dxa"/>
            <w:tcBorders>
              <w:top w:val="nil"/>
              <w:left w:val="nil"/>
              <w:bottom w:val="nil"/>
              <w:right w:val="single" w:sz="4" w:space="0" w:color="000000"/>
            </w:tcBorders>
            <w:shd w:val="clear" w:color="auto" w:fill="auto"/>
            <w:noWrap/>
            <w:vAlign w:val="center"/>
            <w:hideMark/>
          </w:tcPr>
          <w:p w14:paraId="55406136" w14:textId="77777777" w:rsidR="00241C7E" w:rsidRPr="004E74A6" w:rsidRDefault="00241C7E" w:rsidP="00832773">
            <w:pPr>
              <w:spacing w:line="276" w:lineRule="auto"/>
              <w:jc w:val="left"/>
              <w:rPr>
                <w:rFonts w:cs="Calibri"/>
                <w:color w:val="000000"/>
                <w:sz w:val="20"/>
                <w:lang w:eastAsia="es-CR"/>
              </w:rPr>
            </w:pPr>
            <w:r w:rsidRPr="004E74A6">
              <w:rPr>
                <w:rFonts w:cs="Calibri"/>
                <w:color w:val="000000"/>
                <w:sz w:val="20"/>
                <w:lang w:eastAsia="es-CR"/>
              </w:rPr>
              <w:t>Exequatur</w:t>
            </w:r>
          </w:p>
        </w:tc>
        <w:tc>
          <w:tcPr>
            <w:tcW w:w="850" w:type="dxa"/>
            <w:tcBorders>
              <w:top w:val="nil"/>
              <w:left w:val="nil"/>
              <w:bottom w:val="nil"/>
              <w:right w:val="single" w:sz="4" w:space="0" w:color="000000"/>
            </w:tcBorders>
            <w:shd w:val="clear" w:color="auto" w:fill="auto"/>
            <w:noWrap/>
            <w:vAlign w:val="center"/>
            <w:hideMark/>
          </w:tcPr>
          <w:p w14:paraId="21DE44B6" w14:textId="77777777" w:rsidR="00241C7E" w:rsidRPr="004E74A6" w:rsidRDefault="00241C7E" w:rsidP="00832773">
            <w:pPr>
              <w:spacing w:line="276" w:lineRule="auto"/>
              <w:jc w:val="center"/>
              <w:rPr>
                <w:rFonts w:cs="Calibri"/>
                <w:color w:val="000000"/>
                <w:sz w:val="20"/>
                <w:lang w:eastAsia="es-CR"/>
              </w:rPr>
            </w:pPr>
            <w:r w:rsidRPr="004E74A6">
              <w:rPr>
                <w:rFonts w:cs="Calibri"/>
                <w:color w:val="000000"/>
                <w:sz w:val="20"/>
                <w:lang w:eastAsia="es-CR"/>
              </w:rPr>
              <w:t>3</w:t>
            </w:r>
          </w:p>
        </w:tc>
        <w:tc>
          <w:tcPr>
            <w:tcW w:w="850" w:type="dxa"/>
            <w:tcBorders>
              <w:top w:val="nil"/>
              <w:left w:val="nil"/>
              <w:bottom w:val="nil"/>
              <w:right w:val="single" w:sz="4" w:space="0" w:color="000000"/>
            </w:tcBorders>
            <w:shd w:val="clear" w:color="auto" w:fill="auto"/>
            <w:noWrap/>
            <w:vAlign w:val="center"/>
            <w:hideMark/>
          </w:tcPr>
          <w:p w14:paraId="66FEC9C4" w14:textId="77777777" w:rsidR="00241C7E" w:rsidRPr="004E74A6" w:rsidRDefault="00241C7E" w:rsidP="00832773">
            <w:pPr>
              <w:spacing w:line="276" w:lineRule="auto"/>
              <w:jc w:val="center"/>
              <w:rPr>
                <w:rFonts w:cs="Calibri"/>
                <w:color w:val="000000"/>
                <w:sz w:val="20"/>
                <w:lang w:eastAsia="es-CR"/>
              </w:rPr>
            </w:pPr>
            <w:r w:rsidRPr="004E74A6">
              <w:rPr>
                <w:rFonts w:cs="Calibri"/>
                <w:color w:val="000000"/>
                <w:sz w:val="20"/>
                <w:lang w:eastAsia="es-CR"/>
              </w:rPr>
              <w:t>4</w:t>
            </w:r>
          </w:p>
        </w:tc>
        <w:tc>
          <w:tcPr>
            <w:tcW w:w="850" w:type="dxa"/>
            <w:tcBorders>
              <w:top w:val="nil"/>
              <w:left w:val="nil"/>
              <w:bottom w:val="nil"/>
              <w:right w:val="single" w:sz="4" w:space="0" w:color="000000"/>
            </w:tcBorders>
            <w:shd w:val="clear" w:color="auto" w:fill="auto"/>
            <w:noWrap/>
            <w:vAlign w:val="center"/>
            <w:hideMark/>
          </w:tcPr>
          <w:p w14:paraId="578F4143" w14:textId="77777777" w:rsidR="00241C7E" w:rsidRPr="004E74A6" w:rsidRDefault="00241C7E" w:rsidP="00832773">
            <w:pPr>
              <w:spacing w:line="276" w:lineRule="auto"/>
              <w:jc w:val="center"/>
              <w:rPr>
                <w:rFonts w:cs="Calibri"/>
                <w:color w:val="000000"/>
                <w:sz w:val="20"/>
                <w:lang w:eastAsia="es-CR"/>
              </w:rPr>
            </w:pPr>
            <w:r w:rsidRPr="004E74A6">
              <w:rPr>
                <w:rFonts w:cs="Calibri"/>
                <w:color w:val="000000"/>
                <w:sz w:val="20"/>
                <w:lang w:eastAsia="es-CR"/>
              </w:rPr>
              <w:t>5</w:t>
            </w:r>
          </w:p>
        </w:tc>
        <w:tc>
          <w:tcPr>
            <w:tcW w:w="1134" w:type="dxa"/>
            <w:tcBorders>
              <w:top w:val="nil"/>
              <w:left w:val="nil"/>
              <w:bottom w:val="nil"/>
              <w:right w:val="nil"/>
            </w:tcBorders>
            <w:shd w:val="clear" w:color="auto" w:fill="auto"/>
            <w:noWrap/>
            <w:vAlign w:val="center"/>
            <w:hideMark/>
          </w:tcPr>
          <w:p w14:paraId="2DC7981C" w14:textId="77777777" w:rsidR="00241C7E" w:rsidRPr="004E74A6" w:rsidRDefault="00241C7E" w:rsidP="00832773">
            <w:pPr>
              <w:spacing w:line="276" w:lineRule="auto"/>
              <w:jc w:val="center"/>
              <w:rPr>
                <w:rFonts w:cs="Calibri"/>
                <w:color w:val="000000"/>
                <w:sz w:val="20"/>
                <w:lang w:eastAsia="es-CR"/>
              </w:rPr>
            </w:pPr>
            <w:r w:rsidRPr="004E74A6">
              <w:rPr>
                <w:rFonts w:cs="Calibri"/>
                <w:color w:val="000000"/>
                <w:sz w:val="20"/>
                <w:lang w:eastAsia="es-CR"/>
              </w:rPr>
              <w:t>4</w:t>
            </w:r>
          </w:p>
        </w:tc>
      </w:tr>
      <w:tr w:rsidR="00241C7E" w:rsidRPr="004E74A6" w14:paraId="59E7AAA6" w14:textId="77777777" w:rsidTr="00241C7E">
        <w:trPr>
          <w:trHeight w:val="276"/>
          <w:tblHeader/>
          <w:jc w:val="center"/>
        </w:trPr>
        <w:tc>
          <w:tcPr>
            <w:tcW w:w="2835" w:type="dxa"/>
            <w:tcBorders>
              <w:top w:val="nil"/>
              <w:left w:val="nil"/>
              <w:bottom w:val="nil"/>
              <w:right w:val="single" w:sz="4" w:space="0" w:color="000000"/>
            </w:tcBorders>
            <w:shd w:val="clear" w:color="auto" w:fill="auto"/>
            <w:noWrap/>
            <w:vAlign w:val="center"/>
            <w:hideMark/>
          </w:tcPr>
          <w:p w14:paraId="29548289" w14:textId="77777777" w:rsidR="00241C7E" w:rsidRPr="004E74A6" w:rsidRDefault="00241C7E" w:rsidP="00832773">
            <w:pPr>
              <w:spacing w:line="276" w:lineRule="auto"/>
              <w:jc w:val="left"/>
              <w:rPr>
                <w:rFonts w:cs="Calibri"/>
                <w:color w:val="000000"/>
                <w:sz w:val="20"/>
                <w:lang w:eastAsia="es-CR"/>
              </w:rPr>
            </w:pPr>
            <w:r w:rsidRPr="004E74A6">
              <w:rPr>
                <w:rFonts w:cs="Calibri"/>
                <w:color w:val="000000"/>
                <w:sz w:val="20"/>
                <w:lang w:eastAsia="es-CR"/>
              </w:rPr>
              <w:t>Nulidad del laudo</w:t>
            </w:r>
          </w:p>
        </w:tc>
        <w:tc>
          <w:tcPr>
            <w:tcW w:w="850" w:type="dxa"/>
            <w:tcBorders>
              <w:top w:val="nil"/>
              <w:left w:val="nil"/>
              <w:bottom w:val="nil"/>
              <w:right w:val="single" w:sz="4" w:space="0" w:color="000000"/>
            </w:tcBorders>
            <w:shd w:val="clear" w:color="auto" w:fill="auto"/>
            <w:noWrap/>
            <w:vAlign w:val="center"/>
            <w:hideMark/>
          </w:tcPr>
          <w:p w14:paraId="2A208F8C" w14:textId="77777777" w:rsidR="00241C7E" w:rsidRPr="004E74A6" w:rsidRDefault="00241C7E" w:rsidP="00832773">
            <w:pPr>
              <w:spacing w:line="276" w:lineRule="auto"/>
              <w:jc w:val="center"/>
              <w:rPr>
                <w:rFonts w:cs="Calibri"/>
                <w:color w:val="000000"/>
                <w:sz w:val="20"/>
                <w:lang w:eastAsia="es-CR"/>
              </w:rPr>
            </w:pPr>
            <w:r w:rsidRPr="004E74A6">
              <w:rPr>
                <w:rFonts w:cs="Calibri"/>
                <w:color w:val="000000"/>
                <w:sz w:val="20"/>
                <w:lang w:eastAsia="es-CR"/>
              </w:rPr>
              <w:t>25</w:t>
            </w:r>
          </w:p>
        </w:tc>
        <w:tc>
          <w:tcPr>
            <w:tcW w:w="850" w:type="dxa"/>
            <w:tcBorders>
              <w:top w:val="nil"/>
              <w:left w:val="nil"/>
              <w:bottom w:val="nil"/>
              <w:right w:val="single" w:sz="4" w:space="0" w:color="000000"/>
            </w:tcBorders>
            <w:shd w:val="clear" w:color="auto" w:fill="auto"/>
            <w:noWrap/>
            <w:vAlign w:val="center"/>
            <w:hideMark/>
          </w:tcPr>
          <w:p w14:paraId="3E2FB62A" w14:textId="77777777" w:rsidR="00241C7E" w:rsidRPr="004E74A6" w:rsidRDefault="00241C7E" w:rsidP="00832773">
            <w:pPr>
              <w:spacing w:line="276" w:lineRule="auto"/>
              <w:jc w:val="center"/>
              <w:rPr>
                <w:rFonts w:cs="Calibri"/>
                <w:color w:val="000000"/>
                <w:sz w:val="20"/>
                <w:lang w:eastAsia="es-CR"/>
              </w:rPr>
            </w:pPr>
            <w:r w:rsidRPr="004E74A6">
              <w:rPr>
                <w:rFonts w:cs="Calibri"/>
                <w:color w:val="000000"/>
                <w:sz w:val="20"/>
                <w:lang w:eastAsia="es-CR"/>
              </w:rPr>
              <w:t>23</w:t>
            </w:r>
          </w:p>
        </w:tc>
        <w:tc>
          <w:tcPr>
            <w:tcW w:w="850" w:type="dxa"/>
            <w:tcBorders>
              <w:top w:val="nil"/>
              <w:left w:val="nil"/>
              <w:bottom w:val="nil"/>
              <w:right w:val="single" w:sz="4" w:space="0" w:color="000000"/>
            </w:tcBorders>
            <w:shd w:val="clear" w:color="auto" w:fill="auto"/>
            <w:noWrap/>
            <w:vAlign w:val="center"/>
            <w:hideMark/>
          </w:tcPr>
          <w:p w14:paraId="476C4DF6" w14:textId="77777777" w:rsidR="00241C7E" w:rsidRPr="004E74A6" w:rsidRDefault="00241C7E" w:rsidP="00832773">
            <w:pPr>
              <w:spacing w:line="276" w:lineRule="auto"/>
              <w:jc w:val="center"/>
              <w:rPr>
                <w:rFonts w:cs="Calibri"/>
                <w:color w:val="000000"/>
                <w:sz w:val="20"/>
                <w:lang w:eastAsia="es-CR"/>
              </w:rPr>
            </w:pPr>
            <w:r w:rsidRPr="004E74A6">
              <w:rPr>
                <w:rFonts w:cs="Calibri"/>
                <w:color w:val="000000"/>
                <w:sz w:val="20"/>
                <w:lang w:eastAsia="es-CR"/>
              </w:rPr>
              <w:t>22</w:t>
            </w:r>
          </w:p>
        </w:tc>
        <w:tc>
          <w:tcPr>
            <w:tcW w:w="1134" w:type="dxa"/>
            <w:tcBorders>
              <w:top w:val="nil"/>
              <w:left w:val="nil"/>
              <w:bottom w:val="nil"/>
              <w:right w:val="nil"/>
            </w:tcBorders>
            <w:shd w:val="clear" w:color="auto" w:fill="auto"/>
            <w:noWrap/>
            <w:vAlign w:val="center"/>
            <w:hideMark/>
          </w:tcPr>
          <w:p w14:paraId="20F7B501" w14:textId="77777777" w:rsidR="00241C7E" w:rsidRPr="004E74A6" w:rsidRDefault="00241C7E" w:rsidP="00832773">
            <w:pPr>
              <w:spacing w:line="276" w:lineRule="auto"/>
              <w:jc w:val="center"/>
              <w:rPr>
                <w:rFonts w:cs="Calibri"/>
                <w:color w:val="000000"/>
                <w:sz w:val="20"/>
                <w:lang w:eastAsia="es-CR"/>
              </w:rPr>
            </w:pPr>
            <w:r w:rsidRPr="004E74A6">
              <w:rPr>
                <w:rFonts w:cs="Calibri"/>
                <w:color w:val="000000"/>
                <w:sz w:val="20"/>
                <w:lang w:eastAsia="es-CR"/>
              </w:rPr>
              <w:t>23</w:t>
            </w:r>
          </w:p>
        </w:tc>
      </w:tr>
      <w:tr w:rsidR="00241C7E" w:rsidRPr="004E74A6" w14:paraId="5912F792" w14:textId="77777777" w:rsidTr="00241C7E">
        <w:trPr>
          <w:trHeight w:val="276"/>
          <w:tblHeader/>
          <w:jc w:val="center"/>
        </w:trPr>
        <w:tc>
          <w:tcPr>
            <w:tcW w:w="2835" w:type="dxa"/>
            <w:tcBorders>
              <w:top w:val="nil"/>
              <w:left w:val="nil"/>
              <w:bottom w:val="nil"/>
              <w:right w:val="single" w:sz="4" w:space="0" w:color="000000"/>
            </w:tcBorders>
            <w:shd w:val="clear" w:color="auto" w:fill="auto"/>
            <w:noWrap/>
            <w:vAlign w:val="center"/>
            <w:hideMark/>
          </w:tcPr>
          <w:p w14:paraId="278A807E" w14:textId="77777777" w:rsidR="00241C7E" w:rsidRPr="004E74A6" w:rsidRDefault="00241C7E" w:rsidP="00832773">
            <w:pPr>
              <w:spacing w:line="276" w:lineRule="auto"/>
              <w:jc w:val="left"/>
              <w:rPr>
                <w:rFonts w:cs="Calibri"/>
                <w:color w:val="000000"/>
                <w:sz w:val="20"/>
                <w:lang w:eastAsia="es-CR"/>
              </w:rPr>
            </w:pPr>
            <w:r w:rsidRPr="004E74A6">
              <w:rPr>
                <w:rFonts w:cs="Calibri"/>
                <w:color w:val="000000"/>
                <w:sz w:val="20"/>
                <w:lang w:eastAsia="es-CR"/>
              </w:rPr>
              <w:t>Recurso</w:t>
            </w:r>
          </w:p>
        </w:tc>
        <w:tc>
          <w:tcPr>
            <w:tcW w:w="850" w:type="dxa"/>
            <w:tcBorders>
              <w:top w:val="nil"/>
              <w:left w:val="nil"/>
              <w:bottom w:val="nil"/>
              <w:right w:val="single" w:sz="4" w:space="0" w:color="000000"/>
            </w:tcBorders>
            <w:shd w:val="clear" w:color="auto" w:fill="auto"/>
            <w:noWrap/>
            <w:vAlign w:val="center"/>
            <w:hideMark/>
          </w:tcPr>
          <w:p w14:paraId="0770219E" w14:textId="77777777" w:rsidR="00241C7E" w:rsidRPr="004E74A6" w:rsidRDefault="00241C7E" w:rsidP="00832773">
            <w:pPr>
              <w:spacing w:line="276" w:lineRule="auto"/>
              <w:jc w:val="center"/>
              <w:rPr>
                <w:rFonts w:cs="Calibri"/>
                <w:color w:val="000000"/>
                <w:sz w:val="20"/>
                <w:lang w:eastAsia="es-CR"/>
              </w:rPr>
            </w:pPr>
            <w:r w:rsidRPr="004E74A6">
              <w:rPr>
                <w:rFonts w:cs="Calibri"/>
                <w:color w:val="000000"/>
                <w:sz w:val="20"/>
                <w:lang w:eastAsia="es-CR"/>
              </w:rPr>
              <w:t>1</w:t>
            </w:r>
          </w:p>
        </w:tc>
        <w:tc>
          <w:tcPr>
            <w:tcW w:w="850" w:type="dxa"/>
            <w:tcBorders>
              <w:top w:val="nil"/>
              <w:left w:val="nil"/>
              <w:bottom w:val="nil"/>
              <w:right w:val="single" w:sz="4" w:space="0" w:color="000000"/>
            </w:tcBorders>
            <w:shd w:val="clear" w:color="auto" w:fill="auto"/>
            <w:noWrap/>
            <w:vAlign w:val="center"/>
            <w:hideMark/>
          </w:tcPr>
          <w:p w14:paraId="73C65495" w14:textId="77777777" w:rsidR="00241C7E" w:rsidRPr="004E74A6" w:rsidRDefault="00241C7E" w:rsidP="00832773">
            <w:pPr>
              <w:spacing w:line="276" w:lineRule="auto"/>
              <w:jc w:val="center"/>
              <w:rPr>
                <w:rFonts w:cs="Calibri"/>
                <w:color w:val="000000"/>
                <w:sz w:val="20"/>
                <w:lang w:eastAsia="es-CR"/>
              </w:rPr>
            </w:pPr>
            <w:r w:rsidRPr="004E74A6">
              <w:rPr>
                <w:rFonts w:cs="Calibri"/>
                <w:color w:val="000000"/>
                <w:sz w:val="20"/>
                <w:lang w:eastAsia="es-CR"/>
              </w:rPr>
              <w:t>0</w:t>
            </w:r>
          </w:p>
        </w:tc>
        <w:tc>
          <w:tcPr>
            <w:tcW w:w="850" w:type="dxa"/>
            <w:tcBorders>
              <w:top w:val="nil"/>
              <w:left w:val="nil"/>
              <w:bottom w:val="nil"/>
              <w:right w:val="single" w:sz="4" w:space="0" w:color="000000"/>
            </w:tcBorders>
            <w:shd w:val="clear" w:color="auto" w:fill="auto"/>
            <w:noWrap/>
            <w:vAlign w:val="center"/>
            <w:hideMark/>
          </w:tcPr>
          <w:p w14:paraId="1AA7BC16" w14:textId="77777777" w:rsidR="00241C7E" w:rsidRPr="004E74A6" w:rsidRDefault="00241C7E" w:rsidP="00832773">
            <w:pPr>
              <w:spacing w:line="276" w:lineRule="auto"/>
              <w:jc w:val="center"/>
              <w:rPr>
                <w:rFonts w:cs="Calibri"/>
                <w:color w:val="000000"/>
                <w:sz w:val="20"/>
                <w:lang w:eastAsia="es-CR"/>
              </w:rPr>
            </w:pPr>
            <w:r w:rsidRPr="004E74A6">
              <w:rPr>
                <w:rFonts w:cs="Calibri"/>
                <w:color w:val="000000"/>
                <w:sz w:val="20"/>
                <w:lang w:eastAsia="es-CR"/>
              </w:rPr>
              <w:t>5</w:t>
            </w:r>
          </w:p>
        </w:tc>
        <w:tc>
          <w:tcPr>
            <w:tcW w:w="1134" w:type="dxa"/>
            <w:tcBorders>
              <w:top w:val="nil"/>
              <w:left w:val="nil"/>
              <w:bottom w:val="nil"/>
              <w:right w:val="nil"/>
            </w:tcBorders>
            <w:shd w:val="clear" w:color="auto" w:fill="auto"/>
            <w:noWrap/>
            <w:vAlign w:val="center"/>
            <w:hideMark/>
          </w:tcPr>
          <w:p w14:paraId="2FE75775" w14:textId="77777777" w:rsidR="00241C7E" w:rsidRPr="004E74A6" w:rsidRDefault="00241C7E" w:rsidP="00832773">
            <w:pPr>
              <w:spacing w:line="276" w:lineRule="auto"/>
              <w:jc w:val="center"/>
              <w:rPr>
                <w:rFonts w:cs="Calibri"/>
                <w:color w:val="000000"/>
                <w:sz w:val="20"/>
                <w:lang w:eastAsia="es-CR"/>
              </w:rPr>
            </w:pPr>
            <w:r w:rsidRPr="004E74A6">
              <w:rPr>
                <w:rFonts w:cs="Calibri"/>
                <w:color w:val="000000"/>
                <w:sz w:val="20"/>
                <w:lang w:eastAsia="es-CR"/>
              </w:rPr>
              <w:t>2</w:t>
            </w:r>
          </w:p>
        </w:tc>
      </w:tr>
      <w:tr w:rsidR="00241C7E" w:rsidRPr="004E74A6" w14:paraId="05FF79F3" w14:textId="77777777" w:rsidTr="00241C7E">
        <w:trPr>
          <w:trHeight w:val="276"/>
          <w:tblHeader/>
          <w:jc w:val="center"/>
        </w:trPr>
        <w:tc>
          <w:tcPr>
            <w:tcW w:w="2835" w:type="dxa"/>
            <w:tcBorders>
              <w:top w:val="nil"/>
              <w:left w:val="nil"/>
              <w:bottom w:val="nil"/>
              <w:right w:val="single" w:sz="4" w:space="0" w:color="000000"/>
            </w:tcBorders>
            <w:shd w:val="clear" w:color="auto" w:fill="auto"/>
            <w:noWrap/>
            <w:vAlign w:val="center"/>
            <w:hideMark/>
          </w:tcPr>
          <w:p w14:paraId="47B09499" w14:textId="77777777" w:rsidR="00241C7E" w:rsidRPr="004E74A6" w:rsidRDefault="00241C7E" w:rsidP="00832773">
            <w:pPr>
              <w:spacing w:line="276" w:lineRule="auto"/>
              <w:jc w:val="left"/>
              <w:rPr>
                <w:rFonts w:cs="Calibri"/>
                <w:color w:val="000000"/>
                <w:sz w:val="20"/>
                <w:lang w:eastAsia="es-CR"/>
              </w:rPr>
            </w:pPr>
            <w:r w:rsidRPr="004E74A6">
              <w:rPr>
                <w:rFonts w:cs="Calibri"/>
                <w:color w:val="000000"/>
                <w:sz w:val="20"/>
                <w:lang w:eastAsia="es-CR"/>
              </w:rPr>
              <w:t>Revisión</w:t>
            </w:r>
          </w:p>
        </w:tc>
        <w:tc>
          <w:tcPr>
            <w:tcW w:w="850" w:type="dxa"/>
            <w:tcBorders>
              <w:top w:val="nil"/>
              <w:left w:val="nil"/>
              <w:bottom w:val="nil"/>
              <w:right w:val="single" w:sz="4" w:space="0" w:color="000000"/>
            </w:tcBorders>
            <w:shd w:val="clear" w:color="auto" w:fill="auto"/>
            <w:noWrap/>
            <w:vAlign w:val="center"/>
            <w:hideMark/>
          </w:tcPr>
          <w:p w14:paraId="5C419563" w14:textId="77777777" w:rsidR="00241C7E" w:rsidRPr="004E74A6" w:rsidRDefault="00241C7E" w:rsidP="00832773">
            <w:pPr>
              <w:spacing w:line="276" w:lineRule="auto"/>
              <w:jc w:val="center"/>
              <w:rPr>
                <w:rFonts w:cs="Calibri"/>
                <w:color w:val="000000"/>
                <w:sz w:val="20"/>
                <w:lang w:eastAsia="es-CR"/>
              </w:rPr>
            </w:pPr>
            <w:r w:rsidRPr="004E74A6">
              <w:rPr>
                <w:rFonts w:cs="Calibri"/>
                <w:color w:val="000000"/>
                <w:sz w:val="20"/>
                <w:lang w:eastAsia="es-CR"/>
              </w:rPr>
              <w:t>43</w:t>
            </w:r>
          </w:p>
        </w:tc>
        <w:tc>
          <w:tcPr>
            <w:tcW w:w="850" w:type="dxa"/>
            <w:tcBorders>
              <w:top w:val="nil"/>
              <w:left w:val="nil"/>
              <w:bottom w:val="nil"/>
              <w:right w:val="single" w:sz="4" w:space="0" w:color="000000"/>
            </w:tcBorders>
            <w:shd w:val="clear" w:color="auto" w:fill="auto"/>
            <w:noWrap/>
            <w:vAlign w:val="center"/>
            <w:hideMark/>
          </w:tcPr>
          <w:p w14:paraId="5B0CCEB4" w14:textId="77777777" w:rsidR="00241C7E" w:rsidRPr="004E74A6" w:rsidRDefault="00241C7E" w:rsidP="00832773">
            <w:pPr>
              <w:spacing w:line="276" w:lineRule="auto"/>
              <w:jc w:val="center"/>
              <w:rPr>
                <w:rFonts w:cs="Calibri"/>
                <w:color w:val="000000"/>
                <w:sz w:val="20"/>
                <w:lang w:eastAsia="es-CR"/>
              </w:rPr>
            </w:pPr>
            <w:r w:rsidRPr="004E74A6">
              <w:rPr>
                <w:rFonts w:cs="Calibri"/>
                <w:color w:val="000000"/>
                <w:sz w:val="20"/>
                <w:lang w:eastAsia="es-CR"/>
              </w:rPr>
              <w:t>57</w:t>
            </w:r>
          </w:p>
        </w:tc>
        <w:tc>
          <w:tcPr>
            <w:tcW w:w="850" w:type="dxa"/>
            <w:tcBorders>
              <w:top w:val="nil"/>
              <w:left w:val="nil"/>
              <w:bottom w:val="nil"/>
              <w:right w:val="single" w:sz="4" w:space="0" w:color="000000"/>
            </w:tcBorders>
            <w:shd w:val="clear" w:color="auto" w:fill="auto"/>
            <w:noWrap/>
            <w:vAlign w:val="center"/>
            <w:hideMark/>
          </w:tcPr>
          <w:p w14:paraId="1562C422" w14:textId="77777777" w:rsidR="00241C7E" w:rsidRPr="004E74A6" w:rsidRDefault="00241C7E" w:rsidP="00832773">
            <w:pPr>
              <w:spacing w:line="276" w:lineRule="auto"/>
              <w:jc w:val="center"/>
              <w:rPr>
                <w:rFonts w:cs="Calibri"/>
                <w:color w:val="000000"/>
                <w:sz w:val="20"/>
                <w:lang w:eastAsia="es-CR"/>
              </w:rPr>
            </w:pPr>
            <w:r w:rsidRPr="004E74A6">
              <w:rPr>
                <w:rFonts w:cs="Calibri"/>
                <w:color w:val="000000"/>
                <w:sz w:val="20"/>
                <w:lang w:eastAsia="es-CR"/>
              </w:rPr>
              <w:t>56</w:t>
            </w:r>
          </w:p>
        </w:tc>
        <w:tc>
          <w:tcPr>
            <w:tcW w:w="1134" w:type="dxa"/>
            <w:tcBorders>
              <w:top w:val="nil"/>
              <w:left w:val="nil"/>
              <w:bottom w:val="nil"/>
              <w:right w:val="nil"/>
            </w:tcBorders>
            <w:shd w:val="clear" w:color="auto" w:fill="auto"/>
            <w:noWrap/>
            <w:vAlign w:val="center"/>
            <w:hideMark/>
          </w:tcPr>
          <w:p w14:paraId="090AFFAE" w14:textId="77777777" w:rsidR="00241C7E" w:rsidRPr="004E74A6" w:rsidRDefault="00241C7E" w:rsidP="00832773">
            <w:pPr>
              <w:spacing w:line="276" w:lineRule="auto"/>
              <w:jc w:val="center"/>
              <w:rPr>
                <w:rFonts w:cs="Calibri"/>
                <w:color w:val="000000"/>
                <w:sz w:val="20"/>
                <w:lang w:eastAsia="es-CR"/>
              </w:rPr>
            </w:pPr>
            <w:r w:rsidRPr="004E74A6">
              <w:rPr>
                <w:rFonts w:cs="Calibri"/>
                <w:color w:val="000000"/>
                <w:sz w:val="20"/>
                <w:lang w:eastAsia="es-CR"/>
              </w:rPr>
              <w:t>52</w:t>
            </w:r>
          </w:p>
        </w:tc>
      </w:tr>
      <w:tr w:rsidR="00241C7E" w:rsidRPr="004E74A6" w14:paraId="44AA3C06" w14:textId="77777777" w:rsidTr="00241C7E">
        <w:trPr>
          <w:trHeight w:val="276"/>
          <w:tblHeader/>
          <w:jc w:val="center"/>
        </w:trPr>
        <w:tc>
          <w:tcPr>
            <w:tcW w:w="2835" w:type="dxa"/>
            <w:tcBorders>
              <w:top w:val="nil"/>
              <w:left w:val="nil"/>
              <w:bottom w:val="single" w:sz="4" w:space="0" w:color="000000"/>
              <w:right w:val="single" w:sz="4" w:space="0" w:color="000000"/>
            </w:tcBorders>
            <w:shd w:val="clear" w:color="auto" w:fill="auto"/>
            <w:noWrap/>
            <w:vAlign w:val="center"/>
            <w:hideMark/>
          </w:tcPr>
          <w:p w14:paraId="34F61A8C" w14:textId="77777777" w:rsidR="00241C7E" w:rsidRPr="004E74A6" w:rsidRDefault="00241C7E" w:rsidP="00832773">
            <w:pPr>
              <w:spacing w:line="276" w:lineRule="auto"/>
              <w:jc w:val="left"/>
              <w:rPr>
                <w:rFonts w:cs="Calibri"/>
                <w:color w:val="000000"/>
                <w:sz w:val="20"/>
                <w:lang w:eastAsia="es-CR"/>
              </w:rPr>
            </w:pPr>
            <w:r w:rsidRPr="004E74A6">
              <w:rPr>
                <w:rFonts w:cs="Calibri"/>
                <w:color w:val="000000"/>
                <w:sz w:val="20"/>
                <w:lang w:eastAsia="es-CR"/>
              </w:rPr>
              <w:t> </w:t>
            </w:r>
          </w:p>
        </w:tc>
        <w:tc>
          <w:tcPr>
            <w:tcW w:w="850" w:type="dxa"/>
            <w:tcBorders>
              <w:top w:val="nil"/>
              <w:left w:val="nil"/>
              <w:bottom w:val="single" w:sz="4" w:space="0" w:color="000000"/>
              <w:right w:val="single" w:sz="4" w:space="0" w:color="000000"/>
            </w:tcBorders>
            <w:shd w:val="clear" w:color="auto" w:fill="auto"/>
            <w:noWrap/>
            <w:vAlign w:val="center"/>
            <w:hideMark/>
          </w:tcPr>
          <w:p w14:paraId="60653A55" w14:textId="77777777" w:rsidR="00241C7E" w:rsidRPr="004E74A6" w:rsidRDefault="00241C7E" w:rsidP="00832773">
            <w:pPr>
              <w:spacing w:line="276" w:lineRule="auto"/>
              <w:jc w:val="left"/>
              <w:rPr>
                <w:rFonts w:cs="Calibri"/>
                <w:color w:val="000000"/>
                <w:sz w:val="20"/>
                <w:lang w:eastAsia="es-CR"/>
              </w:rPr>
            </w:pPr>
            <w:r w:rsidRPr="004E74A6">
              <w:rPr>
                <w:rFonts w:cs="Calibri"/>
                <w:color w:val="000000"/>
                <w:sz w:val="20"/>
                <w:lang w:eastAsia="es-CR"/>
              </w:rPr>
              <w:t> </w:t>
            </w:r>
          </w:p>
        </w:tc>
        <w:tc>
          <w:tcPr>
            <w:tcW w:w="850" w:type="dxa"/>
            <w:tcBorders>
              <w:top w:val="nil"/>
              <w:left w:val="nil"/>
              <w:bottom w:val="single" w:sz="4" w:space="0" w:color="000000"/>
              <w:right w:val="single" w:sz="4" w:space="0" w:color="000000"/>
            </w:tcBorders>
            <w:shd w:val="clear" w:color="auto" w:fill="auto"/>
            <w:noWrap/>
            <w:vAlign w:val="center"/>
            <w:hideMark/>
          </w:tcPr>
          <w:p w14:paraId="267BC80A" w14:textId="77777777" w:rsidR="00241C7E" w:rsidRPr="004E74A6" w:rsidRDefault="00241C7E" w:rsidP="00832773">
            <w:pPr>
              <w:spacing w:line="276" w:lineRule="auto"/>
              <w:jc w:val="left"/>
              <w:rPr>
                <w:rFonts w:cs="Calibri"/>
                <w:color w:val="000000"/>
                <w:sz w:val="20"/>
                <w:lang w:eastAsia="es-CR"/>
              </w:rPr>
            </w:pPr>
            <w:r w:rsidRPr="004E74A6">
              <w:rPr>
                <w:rFonts w:cs="Calibri"/>
                <w:color w:val="000000"/>
                <w:sz w:val="20"/>
                <w:lang w:eastAsia="es-CR"/>
              </w:rPr>
              <w:t> </w:t>
            </w:r>
          </w:p>
        </w:tc>
        <w:tc>
          <w:tcPr>
            <w:tcW w:w="850" w:type="dxa"/>
            <w:tcBorders>
              <w:top w:val="nil"/>
              <w:left w:val="nil"/>
              <w:bottom w:val="single" w:sz="4" w:space="0" w:color="000000"/>
              <w:right w:val="single" w:sz="4" w:space="0" w:color="000000"/>
            </w:tcBorders>
            <w:shd w:val="clear" w:color="auto" w:fill="auto"/>
            <w:noWrap/>
            <w:vAlign w:val="center"/>
            <w:hideMark/>
          </w:tcPr>
          <w:p w14:paraId="75B5F674" w14:textId="77777777" w:rsidR="00241C7E" w:rsidRPr="004E74A6" w:rsidRDefault="00241C7E" w:rsidP="00832773">
            <w:pPr>
              <w:spacing w:line="276" w:lineRule="auto"/>
              <w:jc w:val="left"/>
              <w:rPr>
                <w:rFonts w:cs="Calibri"/>
                <w:color w:val="000000"/>
                <w:sz w:val="20"/>
                <w:lang w:eastAsia="es-CR"/>
              </w:rPr>
            </w:pPr>
            <w:r w:rsidRPr="004E74A6">
              <w:rPr>
                <w:rFonts w:cs="Calibri"/>
                <w:color w:val="000000"/>
                <w:sz w:val="20"/>
                <w:lang w:eastAsia="es-CR"/>
              </w:rPr>
              <w:t> </w:t>
            </w:r>
          </w:p>
        </w:tc>
        <w:tc>
          <w:tcPr>
            <w:tcW w:w="1134" w:type="dxa"/>
            <w:tcBorders>
              <w:top w:val="nil"/>
              <w:left w:val="nil"/>
              <w:bottom w:val="single" w:sz="4" w:space="0" w:color="000000"/>
              <w:right w:val="nil"/>
            </w:tcBorders>
            <w:shd w:val="clear" w:color="auto" w:fill="auto"/>
            <w:noWrap/>
            <w:vAlign w:val="center"/>
            <w:hideMark/>
          </w:tcPr>
          <w:p w14:paraId="60BCC3A3" w14:textId="77777777" w:rsidR="00241C7E" w:rsidRPr="004E74A6" w:rsidRDefault="00241C7E" w:rsidP="00832773">
            <w:pPr>
              <w:spacing w:line="276" w:lineRule="auto"/>
              <w:jc w:val="left"/>
              <w:rPr>
                <w:rFonts w:cs="Calibri"/>
                <w:color w:val="000000"/>
                <w:sz w:val="20"/>
                <w:lang w:eastAsia="es-CR"/>
              </w:rPr>
            </w:pPr>
            <w:r w:rsidRPr="004E74A6">
              <w:rPr>
                <w:rFonts w:cs="Calibri"/>
                <w:color w:val="000000"/>
                <w:sz w:val="20"/>
                <w:lang w:eastAsia="es-CR"/>
              </w:rPr>
              <w:t> </w:t>
            </w:r>
          </w:p>
        </w:tc>
      </w:tr>
    </w:tbl>
    <w:p w14:paraId="0BBA4D51" w14:textId="541B6534" w:rsidR="00241C7E" w:rsidRPr="004E74A6" w:rsidRDefault="00241C7E" w:rsidP="00832773">
      <w:pPr>
        <w:spacing w:line="276" w:lineRule="auto"/>
        <w:ind w:left="1191" w:right="1191"/>
        <w:rPr>
          <w:rFonts w:cs="Calibri"/>
          <w:i/>
          <w:iCs/>
          <w:color w:val="000000"/>
          <w:sz w:val="20"/>
          <w:lang w:eastAsia="es-CR"/>
        </w:rPr>
      </w:pPr>
      <w:r w:rsidRPr="004E74A6">
        <w:rPr>
          <w:rFonts w:cs="Calibri"/>
          <w:b/>
          <w:bCs/>
          <w:i/>
          <w:iCs/>
          <w:color w:val="000000"/>
          <w:sz w:val="20"/>
          <w:lang w:eastAsia="es-CR"/>
        </w:rPr>
        <w:t>Fuente</w:t>
      </w:r>
      <w:r w:rsidRPr="004E74A6">
        <w:rPr>
          <w:rFonts w:cs="Calibri"/>
          <w:i/>
          <w:iCs/>
          <w:color w:val="000000"/>
          <w:sz w:val="20"/>
          <w:lang w:eastAsia="es-CR"/>
        </w:rPr>
        <w:t>: Subproceso de Modernización Institucional con datos extraídos del sistema SIGMA, Dirección de Planificación.</w:t>
      </w:r>
    </w:p>
    <w:p w14:paraId="3A0658BA" w14:textId="0E0C533E" w:rsidR="00093F8A" w:rsidRPr="004E74A6" w:rsidRDefault="00093F8A" w:rsidP="00832773">
      <w:pPr>
        <w:spacing w:line="276" w:lineRule="auto"/>
        <w:ind w:left="1191" w:right="1191"/>
        <w:rPr>
          <w:rFonts w:cs="Calibri"/>
          <w:i/>
          <w:iCs/>
          <w:color w:val="000000"/>
          <w:sz w:val="20"/>
          <w:lang w:eastAsia="es-CR"/>
        </w:rPr>
      </w:pPr>
    </w:p>
    <w:p w14:paraId="7BF76B75" w14:textId="6C554DFA" w:rsidR="00755589" w:rsidRPr="004E74A6" w:rsidRDefault="00755589">
      <w:pPr>
        <w:spacing w:line="276" w:lineRule="auto"/>
        <w:ind w:left="1191" w:right="1191"/>
        <w:rPr>
          <w:rFonts w:cs="Calibri"/>
          <w:i/>
          <w:iCs/>
          <w:color w:val="000000"/>
          <w:sz w:val="20"/>
          <w:lang w:eastAsia="es-CR"/>
        </w:rPr>
      </w:pPr>
    </w:p>
    <w:p w14:paraId="1F9D5F04" w14:textId="7F0D5506" w:rsidR="00755589" w:rsidRPr="004E74A6" w:rsidRDefault="00755589">
      <w:pPr>
        <w:spacing w:line="276" w:lineRule="auto"/>
        <w:ind w:left="1191" w:right="1191"/>
        <w:rPr>
          <w:rFonts w:cs="Calibri"/>
          <w:i/>
          <w:iCs/>
          <w:color w:val="000000"/>
          <w:sz w:val="20"/>
          <w:lang w:eastAsia="es-CR"/>
        </w:rPr>
      </w:pPr>
    </w:p>
    <w:p w14:paraId="76A74E61" w14:textId="09E3042E" w:rsidR="00093F8A" w:rsidRDefault="00093F8A" w:rsidP="00832773">
      <w:pPr>
        <w:pStyle w:val="Ttulo5"/>
        <w:rPr>
          <w:rFonts w:eastAsia="Calibri"/>
          <w:lang w:val="es-CR" w:eastAsia="en-US"/>
        </w:rPr>
      </w:pPr>
      <w:r w:rsidRPr="00832773">
        <w:rPr>
          <w:rFonts w:eastAsia="Calibri"/>
          <w:lang w:val="es-CR" w:eastAsia="en-US"/>
        </w:rPr>
        <w:lastRenderedPageBreak/>
        <w:t xml:space="preserve">Casaciones </w:t>
      </w:r>
      <w:r w:rsidR="00F97463" w:rsidRPr="00832773">
        <w:rPr>
          <w:rFonts w:eastAsia="Calibri"/>
          <w:lang w:val="es-CR" w:eastAsia="en-US"/>
        </w:rPr>
        <w:t>C</w:t>
      </w:r>
      <w:r w:rsidRPr="00832773">
        <w:rPr>
          <w:rFonts w:eastAsia="Calibri"/>
          <w:lang w:val="es-CR" w:eastAsia="en-US"/>
        </w:rPr>
        <w:t>iviles</w:t>
      </w:r>
    </w:p>
    <w:p w14:paraId="357430B5" w14:textId="77777777" w:rsidR="00DC399D" w:rsidRPr="00DC399D" w:rsidRDefault="00DC399D" w:rsidP="00DC399D">
      <w:pPr>
        <w:rPr>
          <w:rFonts w:eastAsia="Calibri"/>
          <w:lang w:eastAsia="en-US"/>
        </w:rPr>
      </w:pPr>
    </w:p>
    <w:p w14:paraId="55F63B51" w14:textId="159319B1" w:rsidR="00C431EF" w:rsidRPr="004E74A6" w:rsidRDefault="00471494" w:rsidP="00CE62C1">
      <w:pPr>
        <w:spacing w:after="160" w:line="276" w:lineRule="auto"/>
        <w:rPr>
          <w:rFonts w:cs="Calibri"/>
          <w:color w:val="000000"/>
          <w:szCs w:val="24"/>
          <w:lang w:eastAsia="es-CR"/>
        </w:rPr>
      </w:pPr>
      <w:r w:rsidRPr="004E74A6">
        <w:rPr>
          <w:rFonts w:cs="Calibri"/>
          <w:b/>
          <w:bCs/>
          <w:color w:val="000000"/>
          <w:szCs w:val="24"/>
          <w:u w:val="single"/>
          <w:lang w:eastAsia="es-CR"/>
        </w:rPr>
        <w:t xml:space="preserve">En promedio de esas 1115 casaciones recibidas anualmente en Sala Primera </w:t>
      </w:r>
      <w:r w:rsidR="00AD152E" w:rsidRPr="004E74A6">
        <w:rPr>
          <w:rFonts w:cs="Calibri"/>
          <w:b/>
          <w:bCs/>
          <w:color w:val="000000"/>
          <w:szCs w:val="24"/>
          <w:u w:val="single"/>
          <w:lang w:eastAsia="es-CR"/>
        </w:rPr>
        <w:t>(todas las materias), en promedio 490</w:t>
      </w:r>
      <w:r w:rsidR="00AD152E" w:rsidRPr="004E74A6">
        <w:rPr>
          <w:rStyle w:val="Refdenotaalpie"/>
          <w:b/>
          <w:bCs/>
          <w:color w:val="000000"/>
          <w:szCs w:val="24"/>
          <w:u w:val="single"/>
          <w:lang w:eastAsia="es-CR"/>
        </w:rPr>
        <w:footnoteReference w:id="31"/>
      </w:r>
      <w:r w:rsidR="00AD152E" w:rsidRPr="004E74A6">
        <w:rPr>
          <w:rFonts w:cs="Calibri"/>
          <w:b/>
          <w:bCs/>
          <w:color w:val="000000"/>
          <w:szCs w:val="24"/>
          <w:u w:val="single"/>
          <w:lang w:eastAsia="es-CR"/>
        </w:rPr>
        <w:t xml:space="preserve"> son en </w:t>
      </w:r>
      <w:r w:rsidR="00C431EF" w:rsidRPr="004E74A6">
        <w:rPr>
          <w:rFonts w:cs="Calibri"/>
          <w:b/>
          <w:bCs/>
          <w:color w:val="000000"/>
          <w:szCs w:val="24"/>
          <w:u w:val="single"/>
          <w:lang w:eastAsia="es-CR"/>
        </w:rPr>
        <w:t>materia Civil</w:t>
      </w:r>
      <w:r w:rsidR="00C431EF" w:rsidRPr="004E74A6">
        <w:rPr>
          <w:rFonts w:cs="Calibri"/>
          <w:color w:val="000000"/>
          <w:szCs w:val="24"/>
          <w:lang w:eastAsia="es-CR"/>
        </w:rPr>
        <w:t xml:space="preserve"> se nota la tendencia a la baja, donde la Sala Primera paso de recibir 667 recursos de casación en 2019 a 338 en 2021 (disminución del 49%).</w:t>
      </w:r>
      <w:r w:rsidR="006E1604" w:rsidRPr="004E74A6">
        <w:rPr>
          <w:rFonts w:cs="Calibri"/>
          <w:color w:val="000000"/>
          <w:szCs w:val="24"/>
          <w:lang w:eastAsia="es-CR"/>
        </w:rPr>
        <w:t xml:space="preserve"> </w:t>
      </w:r>
      <w:r w:rsidR="00DF7E80" w:rsidRPr="004E74A6">
        <w:rPr>
          <w:rFonts w:cs="Calibri"/>
          <w:color w:val="000000"/>
          <w:szCs w:val="24"/>
          <w:lang w:eastAsia="es-CR"/>
        </w:rPr>
        <w:t>El aumento en 2019 se justi</w:t>
      </w:r>
      <w:r w:rsidR="00A041B3" w:rsidRPr="004E74A6">
        <w:rPr>
          <w:rFonts w:cs="Calibri"/>
          <w:color w:val="000000"/>
          <w:szCs w:val="24"/>
          <w:lang w:eastAsia="es-CR"/>
        </w:rPr>
        <w:t>fi</w:t>
      </w:r>
      <w:r w:rsidR="00DF7E80" w:rsidRPr="004E74A6">
        <w:rPr>
          <w:rFonts w:cs="Calibri"/>
          <w:color w:val="000000"/>
          <w:szCs w:val="24"/>
          <w:lang w:eastAsia="es-CR"/>
        </w:rPr>
        <w:t xml:space="preserve">ca por la entrada en vigencia de la Ley 9342.  </w:t>
      </w:r>
    </w:p>
    <w:p w14:paraId="75FB1A1B" w14:textId="76FA5360" w:rsidR="00C431EF" w:rsidRPr="00832773" w:rsidRDefault="00C431EF" w:rsidP="00CE62C1">
      <w:pPr>
        <w:pStyle w:val="Descripcin"/>
        <w:keepNext/>
        <w:spacing w:line="276" w:lineRule="auto"/>
        <w:jc w:val="center"/>
        <w:rPr>
          <w:rFonts w:ascii="Book Antiqua" w:hAnsi="Book Antiqua"/>
          <w:i/>
          <w:iCs/>
          <w:sz w:val="22"/>
          <w:szCs w:val="22"/>
          <w:lang w:val="es-CR"/>
        </w:rPr>
      </w:pPr>
      <w:r w:rsidRPr="00832773">
        <w:rPr>
          <w:rFonts w:ascii="Book Antiqua" w:hAnsi="Book Antiqua"/>
          <w:i/>
          <w:iCs/>
          <w:sz w:val="22"/>
          <w:szCs w:val="22"/>
          <w:lang w:val="es-CR"/>
        </w:rPr>
        <w:t xml:space="preserve">Gráfico </w:t>
      </w:r>
      <w:r w:rsidRPr="00832773">
        <w:rPr>
          <w:rFonts w:ascii="Book Antiqua" w:hAnsi="Book Antiqua"/>
          <w:i/>
          <w:iCs/>
          <w:sz w:val="22"/>
          <w:szCs w:val="22"/>
          <w:lang w:val="es-CR"/>
        </w:rPr>
        <w:fldChar w:fldCharType="begin"/>
      </w:r>
      <w:r w:rsidRPr="00832773">
        <w:rPr>
          <w:rFonts w:ascii="Book Antiqua" w:hAnsi="Book Antiqua"/>
          <w:i/>
          <w:iCs/>
          <w:sz w:val="22"/>
          <w:szCs w:val="22"/>
          <w:lang w:val="es-CR"/>
        </w:rPr>
        <w:instrText xml:space="preserve"> SEQ Gráfico \* ARABIC </w:instrText>
      </w:r>
      <w:r w:rsidRPr="00832773">
        <w:rPr>
          <w:rFonts w:ascii="Book Antiqua" w:hAnsi="Book Antiqua"/>
          <w:i/>
          <w:iCs/>
          <w:sz w:val="22"/>
          <w:szCs w:val="22"/>
          <w:lang w:val="es-CR"/>
        </w:rPr>
        <w:fldChar w:fldCharType="separate"/>
      </w:r>
      <w:r w:rsidR="00755589" w:rsidRPr="00832773">
        <w:rPr>
          <w:rFonts w:ascii="Book Antiqua" w:hAnsi="Book Antiqua"/>
          <w:i/>
          <w:iCs/>
          <w:noProof/>
          <w:sz w:val="22"/>
          <w:szCs w:val="22"/>
          <w:lang w:val="es-CR"/>
        </w:rPr>
        <w:t>1</w:t>
      </w:r>
      <w:r w:rsidRPr="00832773">
        <w:rPr>
          <w:rFonts w:ascii="Book Antiqua" w:hAnsi="Book Antiqua"/>
          <w:i/>
          <w:iCs/>
          <w:sz w:val="22"/>
          <w:szCs w:val="22"/>
          <w:lang w:val="es-CR"/>
        </w:rPr>
        <w:fldChar w:fldCharType="end"/>
      </w:r>
    </w:p>
    <w:p w14:paraId="3D2568A8" w14:textId="1AA8E0AC" w:rsidR="00C431EF" w:rsidRPr="004E74A6" w:rsidRDefault="00C431EF" w:rsidP="00CE62C1">
      <w:pPr>
        <w:spacing w:line="276" w:lineRule="auto"/>
        <w:jc w:val="center"/>
        <w:rPr>
          <w:i/>
          <w:iCs/>
          <w:sz w:val="22"/>
          <w:szCs w:val="22"/>
        </w:rPr>
      </w:pPr>
      <w:r w:rsidRPr="00832773">
        <w:rPr>
          <w:b/>
          <w:bCs/>
          <w:i/>
          <w:iCs/>
          <w:sz w:val="22"/>
          <w:szCs w:val="22"/>
        </w:rPr>
        <w:t>Comportamiento entrada de casación civiles, Sala Primera 201</w:t>
      </w:r>
      <w:r w:rsidR="00205D82" w:rsidRPr="00832773">
        <w:rPr>
          <w:b/>
          <w:bCs/>
          <w:i/>
          <w:iCs/>
          <w:sz w:val="22"/>
          <w:szCs w:val="22"/>
        </w:rPr>
        <w:t>5</w:t>
      </w:r>
      <w:r w:rsidRPr="00832773">
        <w:rPr>
          <w:b/>
          <w:bCs/>
          <w:i/>
          <w:iCs/>
          <w:sz w:val="22"/>
          <w:szCs w:val="22"/>
        </w:rPr>
        <w:t xml:space="preserve"> al 2021</w:t>
      </w:r>
    </w:p>
    <w:p w14:paraId="13581724" w14:textId="72290D4A" w:rsidR="00205D82" w:rsidRPr="004E74A6" w:rsidRDefault="00205D82" w:rsidP="00CE62C1">
      <w:pPr>
        <w:spacing w:after="160" w:line="276" w:lineRule="auto"/>
        <w:jc w:val="center"/>
        <w:rPr>
          <w:rFonts w:cs="Calibri"/>
          <w:color w:val="000000"/>
          <w:szCs w:val="24"/>
          <w:lang w:eastAsia="es-CR"/>
        </w:rPr>
      </w:pPr>
      <w:r w:rsidRPr="004E74A6">
        <w:rPr>
          <w:rFonts w:cs="Calibri"/>
          <w:b/>
          <w:bCs/>
          <w:noProof/>
          <w:color w:val="000000"/>
          <w:szCs w:val="24"/>
          <w:lang w:eastAsia="es-CR"/>
        </w:rPr>
        <mc:AlternateContent>
          <mc:Choice Requires="wps">
            <w:drawing>
              <wp:anchor distT="45720" distB="45720" distL="114300" distR="114300" simplePos="0" relativeHeight="251658240" behindDoc="0" locked="0" layoutInCell="1" allowOverlap="1" wp14:anchorId="12A42FEB" wp14:editId="7650E932">
                <wp:simplePos x="0" y="0"/>
                <wp:positionH relativeFrom="column">
                  <wp:posOffset>2432262</wp:posOffset>
                </wp:positionH>
                <wp:positionV relativeFrom="paragraph">
                  <wp:posOffset>2136775</wp:posOffset>
                </wp:positionV>
                <wp:extent cx="990600" cy="279400"/>
                <wp:effectExtent l="0" t="0" r="0" b="0"/>
                <wp:wrapNone/>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990600" cy="279400"/>
                        </a:xfrm>
                        <a:prstGeom prst="rect">
                          <a:avLst/>
                        </a:prstGeom>
                        <a:noFill/>
                        <a:ln w="9525">
                          <a:noFill/>
                          <a:miter lim="800000"/>
                          <a:headEnd/>
                          <a:tailEnd/>
                        </a:ln>
                      </wps:spPr>
                      <wps:txbx>
                        <w:txbxContent>
                          <w:p w14:paraId="3047FF10" w14:textId="43AFBB29" w:rsidR="00B32800" w:rsidRPr="00205D82" w:rsidRDefault="00B32800">
                            <w:pPr>
                              <w:rPr>
                                <w:sz w:val="16"/>
                                <w:szCs w:val="12"/>
                              </w:rPr>
                            </w:pPr>
                            <w:r w:rsidRPr="00205D82">
                              <w:rPr>
                                <w:sz w:val="16"/>
                                <w:szCs w:val="12"/>
                              </w:rPr>
                              <w:t>Reforma Civil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2A42FEB" id="_x0000_t202" coordsize="21600,21600" o:spt="202" path="m,l,21600r21600,l21600,xe">
                <v:stroke joinstyle="miter"/>
                <v:path gradientshapeok="t" o:connecttype="rect"/>
              </v:shapetype>
              <v:shape id="Cuadro de texto 2" o:spid="_x0000_s1026" type="#_x0000_t202" style="position:absolute;left:0;text-align:left;margin-left:191.5pt;margin-top:168.25pt;width:78pt;height:22pt;rotation:-90;z-index:251658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" filled="f" stroked="f">
                <v:textbox>
                  <w:txbxContent>
                    <w:p w14:paraId="3047FF10" w14:textId="43AFBB29" w:rsidR="00B32800" w:rsidRPr="00205D82" w:rsidRDefault="00B32800">
                      <w:pPr>
                        <w:rPr>
                          <w:sz w:val="16"/>
                          <w:szCs w:val="12"/>
                        </w:rPr>
                      </w:pPr>
                      <w:r w:rsidRPr="00205D82">
                        <w:rPr>
                          <w:sz w:val="16"/>
                          <w:szCs w:val="12"/>
                        </w:rPr>
                        <w:t>Reforma Civil</w:t>
                      </w:r>
                    </w:p>
                  </w:txbxContent>
                </v:textbox>
              </v:shape>
            </w:pict>
          </mc:Fallback>
        </mc:AlternateContent>
      </w:r>
      <w:r w:rsidRPr="004E74A6">
        <w:rPr>
          <w:rFonts w:cs="Calibri"/>
          <w:noProof/>
          <w:color w:val="000000"/>
          <w:szCs w:val="24"/>
          <w:lang w:eastAsia="es-CR"/>
        </w:rPr>
        <w:drawing>
          <wp:inline distT="0" distB="0" distL="0" distR="0" wp14:anchorId="79561E7B" wp14:editId="7D735CC5">
            <wp:extent cx="5486400" cy="2988733"/>
            <wp:effectExtent l="0" t="0" r="0" b="2540"/>
            <wp:docPr id="5" name="Gráfico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552B9121" w14:textId="7DF2CE84" w:rsidR="00C431EF" w:rsidRPr="004E74A6" w:rsidRDefault="00C431EF" w:rsidP="00832773">
      <w:pPr>
        <w:spacing w:line="276" w:lineRule="auto"/>
        <w:ind w:right="51"/>
        <w:rPr>
          <w:rFonts w:cs="Calibri"/>
          <w:i/>
          <w:iCs/>
          <w:color w:val="000000"/>
          <w:sz w:val="20"/>
          <w:lang w:eastAsia="es-CR"/>
        </w:rPr>
      </w:pPr>
      <w:r w:rsidRPr="004E74A6">
        <w:rPr>
          <w:rFonts w:cs="Calibri"/>
          <w:b/>
          <w:bCs/>
          <w:i/>
          <w:iCs/>
          <w:color w:val="000000"/>
          <w:sz w:val="20"/>
          <w:lang w:eastAsia="es-CR"/>
        </w:rPr>
        <w:t>Fuente</w:t>
      </w:r>
      <w:r w:rsidRPr="004E74A6">
        <w:rPr>
          <w:rFonts w:cs="Calibri"/>
          <w:i/>
          <w:iCs/>
          <w:color w:val="000000"/>
          <w:sz w:val="20"/>
          <w:lang w:eastAsia="es-CR"/>
        </w:rPr>
        <w:t>: Subproceso de Modernización Institucional con datos extraídos del sistema SIGMA, Dirección de Planificación.</w:t>
      </w:r>
    </w:p>
    <w:p w14:paraId="543D15E4" w14:textId="77777777" w:rsidR="00871781" w:rsidRPr="004E74A6" w:rsidRDefault="00871781" w:rsidP="00CE62C1">
      <w:pPr>
        <w:spacing w:after="160" w:line="276" w:lineRule="auto"/>
        <w:rPr>
          <w:rFonts w:cs="Calibri"/>
          <w:color w:val="000000"/>
          <w:szCs w:val="24"/>
          <w:lang w:eastAsia="es-CR"/>
        </w:rPr>
      </w:pPr>
    </w:p>
    <w:p w14:paraId="031109DA" w14:textId="323F1F26" w:rsidR="003C3723" w:rsidRDefault="00C3667D" w:rsidP="00CE62C1">
      <w:pPr>
        <w:spacing w:line="276" w:lineRule="auto"/>
        <w:ind w:right="51"/>
        <w:rPr>
          <w:rFonts w:cs="Calibri"/>
          <w:color w:val="000000"/>
          <w:szCs w:val="24"/>
          <w:lang w:eastAsia="es-CR"/>
        </w:rPr>
      </w:pPr>
      <w:r w:rsidRPr="004E74A6">
        <w:rPr>
          <w:rFonts w:cs="Calibri"/>
          <w:color w:val="000000"/>
          <w:szCs w:val="24"/>
          <w:lang w:eastAsia="es-CR"/>
        </w:rPr>
        <w:t xml:space="preserve">Al </w:t>
      </w:r>
      <w:r w:rsidR="00093F8A" w:rsidRPr="004E74A6">
        <w:rPr>
          <w:rFonts w:cs="Calibri"/>
          <w:color w:val="000000"/>
          <w:szCs w:val="24"/>
          <w:lang w:eastAsia="es-CR"/>
        </w:rPr>
        <w:t>a</w:t>
      </w:r>
      <w:r w:rsidRPr="004E74A6">
        <w:rPr>
          <w:rFonts w:cs="Calibri"/>
          <w:color w:val="000000"/>
          <w:szCs w:val="24"/>
          <w:lang w:eastAsia="es-CR"/>
        </w:rPr>
        <w:t>nalizar incluso el comportamiento desde el 2015, es más evidente aún el impacto que tuvo la entrada de la reforma procesal civil en octubre 2018 en lo que respecta a la entrada y carga de trabajo de esta Sala, se puede observar que entre 2015 y 2017 la entrada no sobrepasaba 189 casos al año (17 casaciones civiles por mes), has</w:t>
      </w:r>
      <w:r w:rsidR="00093F8A" w:rsidRPr="004E74A6">
        <w:rPr>
          <w:rFonts w:cs="Calibri"/>
          <w:color w:val="000000"/>
          <w:szCs w:val="24"/>
          <w:lang w:eastAsia="es-CR"/>
        </w:rPr>
        <w:t>ta</w:t>
      </w:r>
      <w:r w:rsidRPr="004E74A6">
        <w:rPr>
          <w:rFonts w:cs="Calibri"/>
          <w:color w:val="000000"/>
          <w:szCs w:val="24"/>
          <w:lang w:eastAsia="es-CR"/>
        </w:rPr>
        <w:t xml:space="preserve"> </w:t>
      </w:r>
      <w:r w:rsidRPr="004E74A6">
        <w:rPr>
          <w:rFonts w:cs="Calibri"/>
          <w:color w:val="000000"/>
          <w:szCs w:val="24"/>
          <w:lang w:eastAsia="es-CR"/>
        </w:rPr>
        <w:lastRenderedPageBreak/>
        <w:t>incluso llegar a recibir 667 en 2019 que fue el año con mayor entrada reportada (59 por mes).</w:t>
      </w:r>
    </w:p>
    <w:p w14:paraId="76DB82CD" w14:textId="77777777" w:rsidR="00DC399D" w:rsidRPr="004E74A6" w:rsidRDefault="00DC399D" w:rsidP="00CE62C1">
      <w:pPr>
        <w:spacing w:line="276" w:lineRule="auto"/>
        <w:ind w:right="51"/>
        <w:rPr>
          <w:rFonts w:cs="Calibri"/>
          <w:color w:val="000000"/>
          <w:szCs w:val="24"/>
          <w:lang w:eastAsia="es-CR"/>
        </w:rPr>
      </w:pPr>
    </w:p>
    <w:p w14:paraId="3A9AD4CA" w14:textId="3821CD9C" w:rsidR="00871781" w:rsidRDefault="00871781" w:rsidP="00CE62C1">
      <w:pPr>
        <w:spacing w:line="276" w:lineRule="auto"/>
        <w:ind w:right="51"/>
        <w:rPr>
          <w:rFonts w:cs="Calibri"/>
          <w:color w:val="000000"/>
          <w:szCs w:val="24"/>
          <w:lang w:eastAsia="es-CR"/>
        </w:rPr>
      </w:pPr>
      <w:r w:rsidRPr="004E74A6">
        <w:rPr>
          <w:rFonts w:cs="Calibri"/>
          <w:color w:val="000000"/>
          <w:szCs w:val="24"/>
          <w:lang w:eastAsia="es-CR"/>
        </w:rPr>
        <w:t xml:space="preserve">Según la respuesta recibida al informe en consulta por parte de los Gestores en materia civil, los mismos realizaron una encuesta a los Tribunales Colegiados Civiles del país respecto a la cantidad de recursos de casación que tenían por itinerar al 11 de agosto del 2022, dando como resultado una cantidad total de 25 recursos, lo que </w:t>
      </w:r>
      <w:r w:rsidR="00FB453D" w:rsidRPr="004E74A6">
        <w:rPr>
          <w:rFonts w:cs="Calibri"/>
          <w:color w:val="000000"/>
          <w:szCs w:val="24"/>
          <w:lang w:eastAsia="es-CR"/>
        </w:rPr>
        <w:t>daría una proyección de 281 recursos para 2022</w:t>
      </w:r>
      <w:r w:rsidR="008D1495" w:rsidRPr="004E74A6">
        <w:rPr>
          <w:rFonts w:cs="Calibri"/>
          <w:color w:val="000000"/>
          <w:szCs w:val="24"/>
          <w:lang w:eastAsia="es-CR"/>
        </w:rPr>
        <w:t xml:space="preserve"> que ingresaría a la Sala Primera</w:t>
      </w:r>
      <w:r w:rsidR="00FB453D" w:rsidRPr="004E74A6">
        <w:rPr>
          <w:rFonts w:cs="Calibri"/>
          <w:color w:val="000000"/>
          <w:szCs w:val="24"/>
          <w:lang w:eastAsia="es-CR"/>
        </w:rPr>
        <w:t>.</w:t>
      </w:r>
    </w:p>
    <w:p w14:paraId="571323F0" w14:textId="77777777" w:rsidR="00DC399D" w:rsidRPr="004E74A6" w:rsidRDefault="00DC399D" w:rsidP="00CE62C1">
      <w:pPr>
        <w:spacing w:line="276" w:lineRule="auto"/>
        <w:ind w:right="51"/>
        <w:rPr>
          <w:rFonts w:cs="Calibri"/>
          <w:color w:val="000000"/>
          <w:szCs w:val="24"/>
          <w:lang w:eastAsia="es-CR"/>
        </w:rPr>
      </w:pPr>
    </w:p>
    <w:p w14:paraId="6B3E9FC3" w14:textId="3D99D4F8" w:rsidR="00FB453D" w:rsidRDefault="00FB453D" w:rsidP="00CE62C1">
      <w:pPr>
        <w:spacing w:line="276" w:lineRule="auto"/>
        <w:ind w:right="51"/>
        <w:rPr>
          <w:rFonts w:cs="Calibri"/>
          <w:color w:val="000000"/>
          <w:szCs w:val="24"/>
          <w:lang w:eastAsia="es-CR"/>
        </w:rPr>
      </w:pPr>
      <w:r w:rsidRPr="004E74A6">
        <w:rPr>
          <w:rFonts w:cs="Calibri"/>
          <w:color w:val="000000"/>
          <w:szCs w:val="24"/>
          <w:lang w:eastAsia="es-CR"/>
        </w:rPr>
        <w:t>Asimismo, según datos del Balance General Interactivo</w:t>
      </w:r>
      <w:r w:rsidRPr="004E74A6">
        <w:rPr>
          <w:rStyle w:val="Refdenotaalpie"/>
          <w:color w:val="000000"/>
          <w:szCs w:val="24"/>
          <w:lang w:eastAsia="es-CR"/>
        </w:rPr>
        <w:footnoteReference w:id="32"/>
      </w:r>
      <w:r w:rsidRPr="004E74A6">
        <w:rPr>
          <w:rFonts w:cs="Calibri"/>
          <w:color w:val="000000"/>
          <w:szCs w:val="24"/>
          <w:lang w:eastAsia="es-CR"/>
        </w:rPr>
        <w:t xml:space="preserve"> de la Dirección de Planificación, </w:t>
      </w:r>
      <w:r w:rsidR="008F5B48" w:rsidRPr="004E74A6">
        <w:rPr>
          <w:rFonts w:cs="Calibri"/>
          <w:color w:val="000000"/>
          <w:szCs w:val="24"/>
          <w:lang w:eastAsia="es-CR"/>
        </w:rPr>
        <w:t>en la siguiente tabla se puede observar a nivel global las variables de los Tribunales Colegiados de Primera Instancia Civil durante los años 2019, 2020 y 2021.</w:t>
      </w:r>
    </w:p>
    <w:p w14:paraId="586AD22B" w14:textId="77777777" w:rsidR="00DC399D" w:rsidRPr="004E74A6" w:rsidRDefault="00DC399D" w:rsidP="00CE62C1">
      <w:pPr>
        <w:spacing w:line="276" w:lineRule="auto"/>
        <w:ind w:right="51"/>
        <w:rPr>
          <w:rFonts w:cs="Calibri"/>
          <w:color w:val="000000"/>
          <w:szCs w:val="24"/>
          <w:lang w:eastAsia="es-CR"/>
        </w:rPr>
      </w:pPr>
    </w:p>
    <w:p w14:paraId="7135D306" w14:textId="372B1EE2" w:rsidR="00871781" w:rsidRPr="004E74A6" w:rsidRDefault="008F5B48" w:rsidP="00CE62C1">
      <w:pPr>
        <w:spacing w:line="276" w:lineRule="auto"/>
        <w:ind w:right="51"/>
        <w:rPr>
          <w:rFonts w:cs="Calibri"/>
          <w:color w:val="000000"/>
          <w:szCs w:val="24"/>
          <w:lang w:eastAsia="es-CR"/>
        </w:rPr>
      </w:pPr>
      <w:r w:rsidRPr="004E74A6">
        <w:rPr>
          <w:rFonts w:cs="Calibri"/>
          <w:color w:val="000000"/>
          <w:szCs w:val="24"/>
          <w:lang w:eastAsia="es-CR"/>
        </w:rPr>
        <w:t xml:space="preserve">En dichas variables, cabe destacar que </w:t>
      </w:r>
      <w:r w:rsidR="008D1495" w:rsidRPr="004E74A6">
        <w:rPr>
          <w:rFonts w:cs="Calibri"/>
          <w:color w:val="000000"/>
          <w:szCs w:val="24"/>
          <w:lang w:eastAsia="es-CR"/>
        </w:rPr>
        <w:t xml:space="preserve">una vez puesto en funcionamiento el nuevo Código Procesal Civil en octubre del 2018, a partir del 2019 se puede observar una disminución a nivel del circulante en las oficinas, así como en la entrada e incluso en asuntos terminados de los Tribunales Colegiados, lo que repercute directamente en que </w:t>
      </w:r>
      <w:r w:rsidR="00F56EFA" w:rsidRPr="004E74A6">
        <w:rPr>
          <w:rFonts w:cs="Calibri"/>
          <w:color w:val="000000"/>
          <w:szCs w:val="24"/>
          <w:lang w:eastAsia="es-CR"/>
        </w:rPr>
        <w:t>haya una reducción paulatina en las casaciones que se presenten ante la Sala Primera.</w:t>
      </w:r>
    </w:p>
    <w:p w14:paraId="3D3DD989" w14:textId="0E933304" w:rsidR="00FB453D" w:rsidRPr="004E74A6" w:rsidRDefault="00FB453D" w:rsidP="00CE62C1">
      <w:pPr>
        <w:spacing w:line="276" w:lineRule="auto"/>
        <w:ind w:right="51"/>
        <w:rPr>
          <w:rFonts w:cs="Calibri"/>
          <w:color w:val="000000"/>
          <w:szCs w:val="24"/>
          <w:lang w:eastAsia="es-CR"/>
        </w:rPr>
      </w:pPr>
    </w:p>
    <w:p w14:paraId="42CC38F0" w14:textId="0D01C3D0" w:rsidR="008F5B48" w:rsidRPr="00832773" w:rsidRDefault="008F5B48" w:rsidP="00832773">
      <w:pPr>
        <w:pStyle w:val="Descripcin"/>
        <w:keepNext/>
        <w:spacing w:line="276" w:lineRule="auto"/>
        <w:jc w:val="center"/>
        <w:rPr>
          <w:i/>
          <w:iCs/>
          <w:sz w:val="20"/>
          <w:szCs w:val="16"/>
        </w:rPr>
      </w:pPr>
      <w:r w:rsidRPr="00832773">
        <w:rPr>
          <w:rFonts w:ascii="Book Antiqua" w:hAnsi="Book Antiqua"/>
          <w:i/>
          <w:iCs/>
          <w:sz w:val="20"/>
          <w:szCs w:val="16"/>
          <w:lang w:val="es-CR"/>
        </w:rPr>
        <w:t xml:space="preserve">Tabla </w:t>
      </w:r>
      <w:r w:rsidRPr="00832773">
        <w:rPr>
          <w:rFonts w:ascii="Book Antiqua" w:hAnsi="Book Antiqua"/>
          <w:i/>
          <w:iCs/>
          <w:sz w:val="20"/>
          <w:szCs w:val="16"/>
          <w:lang w:val="es-CR"/>
        </w:rPr>
        <w:fldChar w:fldCharType="begin"/>
      </w:r>
      <w:r w:rsidRPr="00832773">
        <w:rPr>
          <w:rFonts w:ascii="Book Antiqua" w:hAnsi="Book Antiqua"/>
          <w:i/>
          <w:iCs/>
          <w:sz w:val="20"/>
          <w:szCs w:val="16"/>
          <w:lang w:val="es-CR"/>
        </w:rPr>
        <w:instrText xml:space="preserve"> SEQ Tabla \* ARABIC </w:instrText>
      </w:r>
      <w:r w:rsidRPr="00832773">
        <w:rPr>
          <w:rFonts w:ascii="Book Antiqua" w:hAnsi="Book Antiqua"/>
          <w:i/>
          <w:iCs/>
          <w:sz w:val="20"/>
          <w:szCs w:val="16"/>
          <w:lang w:val="es-CR"/>
        </w:rPr>
        <w:fldChar w:fldCharType="separate"/>
      </w:r>
      <w:r w:rsidR="00374B51">
        <w:rPr>
          <w:rFonts w:ascii="Book Antiqua" w:hAnsi="Book Antiqua"/>
          <w:i/>
          <w:iCs/>
          <w:noProof/>
          <w:sz w:val="20"/>
          <w:szCs w:val="16"/>
          <w:lang w:val="es-CR"/>
        </w:rPr>
        <w:t>66</w:t>
      </w:r>
      <w:r w:rsidRPr="00832773">
        <w:rPr>
          <w:rFonts w:ascii="Book Antiqua" w:hAnsi="Book Antiqua"/>
          <w:i/>
          <w:iCs/>
          <w:sz w:val="20"/>
          <w:szCs w:val="16"/>
          <w:lang w:val="es-CR"/>
        </w:rPr>
        <w:fldChar w:fldCharType="end"/>
      </w:r>
      <w:r w:rsidRPr="00832773">
        <w:rPr>
          <w:rFonts w:ascii="Book Antiqua" w:hAnsi="Book Antiqua"/>
          <w:i/>
          <w:iCs/>
          <w:sz w:val="20"/>
          <w:szCs w:val="16"/>
          <w:lang w:val="es-CR"/>
        </w:rPr>
        <w:t xml:space="preserve"> Balance General de los Tribunales Colegiado de Primera Instancia Civil para los años 2019, 2020 y 2021.</w:t>
      </w:r>
    </w:p>
    <w:tbl>
      <w:tblPr>
        <w:tblStyle w:val="Tablaconcuadrcula"/>
        <w:tblW w:w="10530" w:type="dxa"/>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3"/>
        <w:gridCol w:w="1192"/>
        <w:gridCol w:w="1066"/>
        <w:gridCol w:w="1269"/>
        <w:gridCol w:w="1338"/>
        <w:gridCol w:w="1348"/>
        <w:gridCol w:w="1332"/>
        <w:gridCol w:w="1070"/>
        <w:gridCol w:w="1192"/>
      </w:tblGrid>
      <w:tr w:rsidR="008F5B48" w:rsidRPr="004E74A6" w14:paraId="64FA6B41" w14:textId="77777777" w:rsidTr="00832773">
        <w:trPr>
          <w:trHeight w:val="837"/>
          <w:jc w:val="center"/>
        </w:trPr>
        <w:tc>
          <w:tcPr>
            <w:tcW w:w="723" w:type="dxa"/>
            <w:tcBorders>
              <w:top w:val="single" w:sz="4" w:space="0" w:color="auto"/>
              <w:bottom w:val="single" w:sz="4" w:space="0" w:color="auto"/>
              <w:right w:val="single" w:sz="4" w:space="0" w:color="auto"/>
            </w:tcBorders>
            <w:vAlign w:val="center"/>
          </w:tcPr>
          <w:p w14:paraId="489413FF" w14:textId="07302901" w:rsidR="00FB453D" w:rsidRPr="00832773" w:rsidRDefault="00FB453D" w:rsidP="00832773">
            <w:pPr>
              <w:spacing w:line="276" w:lineRule="auto"/>
              <w:ind w:right="51"/>
              <w:jc w:val="center"/>
              <w:rPr>
                <w:rFonts w:cs="Calibri"/>
                <w:color w:val="000000"/>
                <w:sz w:val="20"/>
                <w:lang w:eastAsia="es-CR"/>
              </w:rPr>
            </w:pPr>
            <w:r w:rsidRPr="00832773">
              <w:rPr>
                <w:rFonts w:cs="Calibri"/>
                <w:color w:val="000000"/>
                <w:sz w:val="20"/>
                <w:lang w:eastAsia="es-CR"/>
              </w:rPr>
              <w:t>Año</w:t>
            </w:r>
          </w:p>
        </w:tc>
        <w:tc>
          <w:tcPr>
            <w:tcW w:w="1192" w:type="dxa"/>
            <w:tcBorders>
              <w:top w:val="single" w:sz="4" w:space="0" w:color="auto"/>
              <w:left w:val="single" w:sz="4" w:space="0" w:color="auto"/>
              <w:bottom w:val="single" w:sz="4" w:space="0" w:color="auto"/>
              <w:right w:val="single" w:sz="4" w:space="0" w:color="auto"/>
            </w:tcBorders>
            <w:vAlign w:val="center"/>
          </w:tcPr>
          <w:p w14:paraId="73CFFE11" w14:textId="68F2FA42" w:rsidR="00FB453D" w:rsidRPr="00832773" w:rsidRDefault="00FB453D" w:rsidP="00832773">
            <w:pPr>
              <w:spacing w:line="276" w:lineRule="auto"/>
              <w:ind w:right="51"/>
              <w:jc w:val="center"/>
              <w:rPr>
                <w:rFonts w:cs="Calibri"/>
                <w:color w:val="000000"/>
                <w:sz w:val="20"/>
                <w:lang w:eastAsia="es-CR"/>
              </w:rPr>
            </w:pPr>
            <w:r w:rsidRPr="00832773">
              <w:rPr>
                <w:rFonts w:cs="Calibri"/>
                <w:color w:val="000000"/>
                <w:sz w:val="20"/>
                <w:lang w:eastAsia="es-CR"/>
              </w:rPr>
              <w:t>Circulante inicial</w:t>
            </w:r>
          </w:p>
        </w:tc>
        <w:tc>
          <w:tcPr>
            <w:tcW w:w="0" w:type="auto"/>
            <w:tcBorders>
              <w:top w:val="single" w:sz="4" w:space="0" w:color="auto"/>
              <w:left w:val="single" w:sz="4" w:space="0" w:color="auto"/>
              <w:bottom w:val="single" w:sz="4" w:space="0" w:color="auto"/>
              <w:right w:val="single" w:sz="4" w:space="0" w:color="auto"/>
            </w:tcBorders>
            <w:vAlign w:val="center"/>
          </w:tcPr>
          <w:p w14:paraId="0D52C99D" w14:textId="658F636F" w:rsidR="00FB453D" w:rsidRPr="00832773" w:rsidRDefault="00FB453D" w:rsidP="00832773">
            <w:pPr>
              <w:spacing w:line="276" w:lineRule="auto"/>
              <w:ind w:right="51"/>
              <w:jc w:val="center"/>
              <w:rPr>
                <w:rFonts w:cs="Calibri"/>
                <w:color w:val="000000"/>
                <w:sz w:val="20"/>
                <w:lang w:eastAsia="es-CR"/>
              </w:rPr>
            </w:pPr>
            <w:r w:rsidRPr="00832773">
              <w:rPr>
                <w:rFonts w:cs="Calibri"/>
                <w:color w:val="000000"/>
                <w:sz w:val="20"/>
                <w:lang w:eastAsia="es-CR"/>
              </w:rPr>
              <w:t>Entrados</w:t>
            </w:r>
          </w:p>
        </w:tc>
        <w:tc>
          <w:tcPr>
            <w:tcW w:w="0" w:type="auto"/>
            <w:tcBorders>
              <w:top w:val="single" w:sz="4" w:space="0" w:color="auto"/>
              <w:left w:val="single" w:sz="4" w:space="0" w:color="auto"/>
              <w:bottom w:val="single" w:sz="4" w:space="0" w:color="auto"/>
              <w:right w:val="single" w:sz="4" w:space="0" w:color="auto"/>
            </w:tcBorders>
            <w:vAlign w:val="center"/>
          </w:tcPr>
          <w:p w14:paraId="3C0D5431" w14:textId="5971B254" w:rsidR="00FB453D" w:rsidRPr="00832773" w:rsidRDefault="00FB453D" w:rsidP="00832773">
            <w:pPr>
              <w:spacing w:line="276" w:lineRule="auto"/>
              <w:ind w:right="51"/>
              <w:jc w:val="center"/>
              <w:rPr>
                <w:rFonts w:cs="Calibri"/>
                <w:color w:val="000000"/>
                <w:sz w:val="20"/>
                <w:lang w:eastAsia="es-CR"/>
              </w:rPr>
            </w:pPr>
            <w:r w:rsidRPr="00832773">
              <w:rPr>
                <w:rFonts w:cs="Calibri"/>
                <w:color w:val="000000"/>
                <w:sz w:val="20"/>
                <w:lang w:eastAsia="es-CR"/>
              </w:rPr>
              <w:t>Reentrados</w:t>
            </w:r>
          </w:p>
        </w:tc>
        <w:tc>
          <w:tcPr>
            <w:tcW w:w="0" w:type="auto"/>
            <w:tcBorders>
              <w:top w:val="single" w:sz="4" w:space="0" w:color="auto"/>
              <w:left w:val="single" w:sz="4" w:space="0" w:color="auto"/>
              <w:bottom w:val="single" w:sz="4" w:space="0" w:color="auto"/>
              <w:right w:val="single" w:sz="4" w:space="0" w:color="auto"/>
            </w:tcBorders>
            <w:vAlign w:val="center"/>
          </w:tcPr>
          <w:p w14:paraId="6663B291" w14:textId="2148ED38" w:rsidR="00FB453D" w:rsidRPr="00832773" w:rsidRDefault="00FB453D" w:rsidP="00832773">
            <w:pPr>
              <w:spacing w:line="276" w:lineRule="auto"/>
              <w:ind w:right="51"/>
              <w:jc w:val="center"/>
              <w:rPr>
                <w:rFonts w:cs="Calibri"/>
                <w:color w:val="000000"/>
                <w:sz w:val="20"/>
                <w:lang w:eastAsia="es-CR"/>
              </w:rPr>
            </w:pPr>
            <w:r w:rsidRPr="00832773">
              <w:rPr>
                <w:rFonts w:cs="Calibri"/>
                <w:color w:val="000000"/>
                <w:sz w:val="20"/>
                <w:lang w:eastAsia="es-CR"/>
              </w:rPr>
              <w:t>Reactivados</w:t>
            </w:r>
          </w:p>
        </w:tc>
        <w:tc>
          <w:tcPr>
            <w:tcW w:w="0" w:type="auto"/>
            <w:tcBorders>
              <w:top w:val="single" w:sz="4" w:space="0" w:color="auto"/>
              <w:left w:val="single" w:sz="4" w:space="0" w:color="auto"/>
              <w:bottom w:val="single" w:sz="4" w:space="0" w:color="auto"/>
              <w:right w:val="single" w:sz="4" w:space="0" w:color="auto"/>
            </w:tcBorders>
            <w:vAlign w:val="center"/>
          </w:tcPr>
          <w:p w14:paraId="19C64B8E" w14:textId="2219C911" w:rsidR="00FB453D" w:rsidRPr="00832773" w:rsidRDefault="00FB453D" w:rsidP="00832773">
            <w:pPr>
              <w:spacing w:line="276" w:lineRule="auto"/>
              <w:ind w:right="51"/>
              <w:jc w:val="center"/>
              <w:rPr>
                <w:rFonts w:cs="Calibri"/>
                <w:color w:val="000000"/>
                <w:sz w:val="20"/>
                <w:lang w:eastAsia="es-CR"/>
              </w:rPr>
            </w:pPr>
            <w:r w:rsidRPr="00832773">
              <w:rPr>
                <w:rFonts w:cs="Calibri"/>
                <w:color w:val="000000"/>
                <w:sz w:val="20"/>
                <w:lang w:eastAsia="es-CR"/>
              </w:rPr>
              <w:t>Testimonios de piezas</w:t>
            </w:r>
          </w:p>
        </w:tc>
        <w:tc>
          <w:tcPr>
            <w:tcW w:w="0" w:type="auto"/>
            <w:tcBorders>
              <w:top w:val="single" w:sz="4" w:space="0" w:color="auto"/>
              <w:left w:val="single" w:sz="4" w:space="0" w:color="auto"/>
              <w:bottom w:val="single" w:sz="4" w:space="0" w:color="auto"/>
              <w:right w:val="single" w:sz="4" w:space="0" w:color="auto"/>
            </w:tcBorders>
            <w:vAlign w:val="center"/>
          </w:tcPr>
          <w:p w14:paraId="674D491F" w14:textId="57CD50CC" w:rsidR="00FB453D" w:rsidRPr="00832773" w:rsidRDefault="00FB453D" w:rsidP="00832773">
            <w:pPr>
              <w:spacing w:line="276" w:lineRule="auto"/>
              <w:ind w:right="51"/>
              <w:jc w:val="center"/>
              <w:rPr>
                <w:rFonts w:cs="Calibri"/>
                <w:color w:val="000000"/>
                <w:sz w:val="20"/>
                <w:lang w:eastAsia="es-CR"/>
              </w:rPr>
            </w:pPr>
            <w:r w:rsidRPr="00832773">
              <w:rPr>
                <w:rFonts w:cs="Calibri"/>
                <w:color w:val="000000"/>
                <w:sz w:val="20"/>
                <w:lang w:eastAsia="es-CR"/>
              </w:rPr>
              <w:t>Terminados</w:t>
            </w:r>
          </w:p>
        </w:tc>
        <w:tc>
          <w:tcPr>
            <w:tcW w:w="0" w:type="auto"/>
            <w:tcBorders>
              <w:top w:val="single" w:sz="4" w:space="0" w:color="auto"/>
              <w:left w:val="single" w:sz="4" w:space="0" w:color="auto"/>
              <w:bottom w:val="single" w:sz="4" w:space="0" w:color="auto"/>
              <w:right w:val="single" w:sz="4" w:space="0" w:color="auto"/>
            </w:tcBorders>
            <w:vAlign w:val="center"/>
          </w:tcPr>
          <w:p w14:paraId="1AFB0F7E" w14:textId="2FECFAB3" w:rsidR="00FB453D" w:rsidRPr="00832773" w:rsidRDefault="00FB453D" w:rsidP="00832773">
            <w:pPr>
              <w:spacing w:line="276" w:lineRule="auto"/>
              <w:ind w:right="51"/>
              <w:jc w:val="center"/>
              <w:rPr>
                <w:rFonts w:cs="Calibri"/>
                <w:color w:val="000000"/>
                <w:sz w:val="20"/>
                <w:lang w:eastAsia="es-CR"/>
              </w:rPr>
            </w:pPr>
            <w:r w:rsidRPr="00832773">
              <w:rPr>
                <w:rFonts w:cs="Calibri"/>
                <w:color w:val="000000"/>
                <w:sz w:val="20"/>
                <w:lang w:eastAsia="es-CR"/>
              </w:rPr>
              <w:t>Inactivos</w:t>
            </w:r>
          </w:p>
        </w:tc>
        <w:tc>
          <w:tcPr>
            <w:tcW w:w="1192" w:type="dxa"/>
            <w:tcBorders>
              <w:top w:val="single" w:sz="4" w:space="0" w:color="auto"/>
              <w:left w:val="single" w:sz="4" w:space="0" w:color="auto"/>
              <w:bottom w:val="single" w:sz="4" w:space="0" w:color="auto"/>
            </w:tcBorders>
            <w:vAlign w:val="center"/>
          </w:tcPr>
          <w:p w14:paraId="1285EC4B" w14:textId="26F67ECA" w:rsidR="00FB453D" w:rsidRPr="00832773" w:rsidRDefault="00FB453D" w:rsidP="00832773">
            <w:pPr>
              <w:spacing w:line="276" w:lineRule="auto"/>
              <w:ind w:right="51"/>
              <w:jc w:val="center"/>
              <w:rPr>
                <w:rFonts w:cs="Calibri"/>
                <w:color w:val="000000"/>
                <w:sz w:val="20"/>
                <w:lang w:eastAsia="es-CR"/>
              </w:rPr>
            </w:pPr>
            <w:r w:rsidRPr="00832773">
              <w:rPr>
                <w:rFonts w:cs="Calibri"/>
                <w:color w:val="000000"/>
                <w:sz w:val="20"/>
                <w:lang w:eastAsia="es-CR"/>
              </w:rPr>
              <w:t>Circulante final</w:t>
            </w:r>
          </w:p>
        </w:tc>
      </w:tr>
      <w:tr w:rsidR="008F5B48" w:rsidRPr="004E74A6" w14:paraId="735AF38A" w14:textId="77777777" w:rsidTr="008F5B48">
        <w:trPr>
          <w:jc w:val="center"/>
        </w:trPr>
        <w:tc>
          <w:tcPr>
            <w:tcW w:w="723" w:type="dxa"/>
            <w:tcBorders>
              <w:top w:val="single" w:sz="4" w:space="0" w:color="auto"/>
              <w:right w:val="single" w:sz="4" w:space="0" w:color="auto"/>
            </w:tcBorders>
            <w:vAlign w:val="center"/>
          </w:tcPr>
          <w:p w14:paraId="29B6E59C" w14:textId="77777777" w:rsidR="00FB453D" w:rsidRPr="00832773" w:rsidRDefault="00FB453D" w:rsidP="00832773">
            <w:pPr>
              <w:spacing w:line="276" w:lineRule="auto"/>
              <w:ind w:right="51"/>
              <w:jc w:val="center"/>
              <w:rPr>
                <w:rFonts w:cs="Calibri"/>
                <w:color w:val="000000"/>
                <w:sz w:val="20"/>
                <w:lang w:eastAsia="es-CR"/>
              </w:rPr>
            </w:pPr>
          </w:p>
        </w:tc>
        <w:tc>
          <w:tcPr>
            <w:tcW w:w="1192" w:type="dxa"/>
            <w:tcBorders>
              <w:top w:val="single" w:sz="4" w:space="0" w:color="auto"/>
              <w:left w:val="single" w:sz="4" w:space="0" w:color="auto"/>
              <w:right w:val="single" w:sz="4" w:space="0" w:color="auto"/>
            </w:tcBorders>
            <w:vAlign w:val="center"/>
          </w:tcPr>
          <w:p w14:paraId="68935C39" w14:textId="77777777" w:rsidR="00FB453D" w:rsidRPr="00832773" w:rsidRDefault="00FB453D" w:rsidP="00832773">
            <w:pPr>
              <w:spacing w:line="276" w:lineRule="auto"/>
              <w:ind w:right="51"/>
              <w:jc w:val="center"/>
              <w:rPr>
                <w:rFonts w:cs="Calibri"/>
                <w:color w:val="000000"/>
                <w:sz w:val="20"/>
                <w:lang w:eastAsia="es-CR"/>
              </w:rPr>
            </w:pPr>
          </w:p>
        </w:tc>
        <w:tc>
          <w:tcPr>
            <w:tcW w:w="0" w:type="auto"/>
            <w:tcBorders>
              <w:top w:val="single" w:sz="4" w:space="0" w:color="auto"/>
              <w:left w:val="single" w:sz="4" w:space="0" w:color="auto"/>
              <w:right w:val="single" w:sz="4" w:space="0" w:color="auto"/>
            </w:tcBorders>
            <w:vAlign w:val="center"/>
          </w:tcPr>
          <w:p w14:paraId="7845ECA4" w14:textId="77777777" w:rsidR="00FB453D" w:rsidRPr="00832773" w:rsidRDefault="00FB453D" w:rsidP="00832773">
            <w:pPr>
              <w:spacing w:line="276" w:lineRule="auto"/>
              <w:ind w:right="51"/>
              <w:jc w:val="center"/>
              <w:rPr>
                <w:rFonts w:cs="Calibri"/>
                <w:color w:val="000000"/>
                <w:sz w:val="20"/>
                <w:lang w:eastAsia="es-CR"/>
              </w:rPr>
            </w:pPr>
          </w:p>
        </w:tc>
        <w:tc>
          <w:tcPr>
            <w:tcW w:w="0" w:type="auto"/>
            <w:tcBorders>
              <w:top w:val="single" w:sz="4" w:space="0" w:color="auto"/>
              <w:left w:val="single" w:sz="4" w:space="0" w:color="auto"/>
              <w:right w:val="single" w:sz="4" w:space="0" w:color="auto"/>
            </w:tcBorders>
            <w:vAlign w:val="center"/>
          </w:tcPr>
          <w:p w14:paraId="2D944C09" w14:textId="77777777" w:rsidR="00FB453D" w:rsidRPr="00832773" w:rsidRDefault="00FB453D" w:rsidP="00832773">
            <w:pPr>
              <w:spacing w:line="276" w:lineRule="auto"/>
              <w:ind w:right="51"/>
              <w:jc w:val="center"/>
              <w:rPr>
                <w:rFonts w:cs="Calibri"/>
                <w:color w:val="000000"/>
                <w:sz w:val="20"/>
                <w:lang w:eastAsia="es-CR"/>
              </w:rPr>
            </w:pPr>
          </w:p>
        </w:tc>
        <w:tc>
          <w:tcPr>
            <w:tcW w:w="0" w:type="auto"/>
            <w:tcBorders>
              <w:top w:val="single" w:sz="4" w:space="0" w:color="auto"/>
              <w:left w:val="single" w:sz="4" w:space="0" w:color="auto"/>
              <w:right w:val="single" w:sz="4" w:space="0" w:color="auto"/>
            </w:tcBorders>
            <w:vAlign w:val="center"/>
          </w:tcPr>
          <w:p w14:paraId="2D35C3DF" w14:textId="77777777" w:rsidR="00FB453D" w:rsidRPr="00832773" w:rsidRDefault="00FB453D" w:rsidP="00832773">
            <w:pPr>
              <w:spacing w:line="276" w:lineRule="auto"/>
              <w:ind w:right="51"/>
              <w:jc w:val="center"/>
              <w:rPr>
                <w:rFonts w:cs="Calibri"/>
                <w:color w:val="000000"/>
                <w:sz w:val="20"/>
                <w:lang w:eastAsia="es-CR"/>
              </w:rPr>
            </w:pPr>
          </w:p>
        </w:tc>
        <w:tc>
          <w:tcPr>
            <w:tcW w:w="0" w:type="auto"/>
            <w:tcBorders>
              <w:top w:val="single" w:sz="4" w:space="0" w:color="auto"/>
              <w:left w:val="single" w:sz="4" w:space="0" w:color="auto"/>
              <w:right w:val="single" w:sz="4" w:space="0" w:color="auto"/>
            </w:tcBorders>
            <w:vAlign w:val="center"/>
          </w:tcPr>
          <w:p w14:paraId="02A80A3F" w14:textId="77777777" w:rsidR="00FB453D" w:rsidRPr="00832773" w:rsidRDefault="00FB453D" w:rsidP="00832773">
            <w:pPr>
              <w:spacing w:line="276" w:lineRule="auto"/>
              <w:ind w:right="51"/>
              <w:jc w:val="center"/>
              <w:rPr>
                <w:rFonts w:cs="Calibri"/>
                <w:color w:val="000000"/>
                <w:sz w:val="20"/>
                <w:lang w:eastAsia="es-CR"/>
              </w:rPr>
            </w:pPr>
          </w:p>
        </w:tc>
        <w:tc>
          <w:tcPr>
            <w:tcW w:w="0" w:type="auto"/>
            <w:tcBorders>
              <w:top w:val="single" w:sz="4" w:space="0" w:color="auto"/>
              <w:left w:val="single" w:sz="4" w:space="0" w:color="auto"/>
              <w:right w:val="single" w:sz="4" w:space="0" w:color="auto"/>
            </w:tcBorders>
            <w:vAlign w:val="center"/>
          </w:tcPr>
          <w:p w14:paraId="039DCA43" w14:textId="77777777" w:rsidR="00FB453D" w:rsidRPr="00832773" w:rsidRDefault="00FB453D" w:rsidP="00832773">
            <w:pPr>
              <w:spacing w:line="276" w:lineRule="auto"/>
              <w:ind w:right="51"/>
              <w:jc w:val="center"/>
              <w:rPr>
                <w:rFonts w:cs="Calibri"/>
                <w:color w:val="000000"/>
                <w:sz w:val="20"/>
                <w:lang w:eastAsia="es-CR"/>
              </w:rPr>
            </w:pPr>
          </w:p>
        </w:tc>
        <w:tc>
          <w:tcPr>
            <w:tcW w:w="0" w:type="auto"/>
            <w:tcBorders>
              <w:top w:val="single" w:sz="4" w:space="0" w:color="auto"/>
              <w:left w:val="single" w:sz="4" w:space="0" w:color="auto"/>
              <w:right w:val="single" w:sz="4" w:space="0" w:color="auto"/>
            </w:tcBorders>
            <w:vAlign w:val="center"/>
          </w:tcPr>
          <w:p w14:paraId="576528BC" w14:textId="77777777" w:rsidR="00FB453D" w:rsidRPr="00832773" w:rsidRDefault="00FB453D" w:rsidP="00832773">
            <w:pPr>
              <w:spacing w:line="276" w:lineRule="auto"/>
              <w:ind w:right="51"/>
              <w:jc w:val="center"/>
              <w:rPr>
                <w:rFonts w:cs="Calibri"/>
                <w:color w:val="000000"/>
                <w:sz w:val="20"/>
                <w:lang w:eastAsia="es-CR"/>
              </w:rPr>
            </w:pPr>
          </w:p>
        </w:tc>
        <w:tc>
          <w:tcPr>
            <w:tcW w:w="1192" w:type="dxa"/>
            <w:tcBorders>
              <w:top w:val="single" w:sz="4" w:space="0" w:color="auto"/>
              <w:left w:val="single" w:sz="4" w:space="0" w:color="auto"/>
            </w:tcBorders>
            <w:vAlign w:val="center"/>
          </w:tcPr>
          <w:p w14:paraId="45998192" w14:textId="77777777" w:rsidR="00FB453D" w:rsidRPr="00832773" w:rsidRDefault="00FB453D" w:rsidP="00832773">
            <w:pPr>
              <w:spacing w:line="276" w:lineRule="auto"/>
              <w:ind w:right="51"/>
              <w:jc w:val="center"/>
              <w:rPr>
                <w:rFonts w:cs="Calibri"/>
                <w:color w:val="000000"/>
                <w:sz w:val="20"/>
                <w:lang w:eastAsia="es-CR"/>
              </w:rPr>
            </w:pPr>
          </w:p>
        </w:tc>
      </w:tr>
      <w:tr w:rsidR="008F5B48" w:rsidRPr="004E74A6" w14:paraId="65D02380" w14:textId="77777777" w:rsidTr="00832773">
        <w:trPr>
          <w:jc w:val="center"/>
        </w:trPr>
        <w:tc>
          <w:tcPr>
            <w:tcW w:w="723" w:type="dxa"/>
            <w:tcBorders>
              <w:right w:val="single" w:sz="4" w:space="0" w:color="auto"/>
            </w:tcBorders>
            <w:vAlign w:val="center"/>
          </w:tcPr>
          <w:p w14:paraId="34D42A3F" w14:textId="584A6F4D" w:rsidR="00FB453D" w:rsidRPr="00832773" w:rsidRDefault="00FB453D" w:rsidP="00832773">
            <w:pPr>
              <w:spacing w:line="276" w:lineRule="auto"/>
              <w:ind w:right="51"/>
              <w:jc w:val="center"/>
              <w:rPr>
                <w:rFonts w:cs="Calibri"/>
                <w:color w:val="000000"/>
                <w:sz w:val="20"/>
                <w:lang w:eastAsia="es-CR"/>
              </w:rPr>
            </w:pPr>
            <w:r w:rsidRPr="00832773">
              <w:rPr>
                <w:rFonts w:cs="Calibri"/>
                <w:color w:val="000000"/>
                <w:sz w:val="20"/>
                <w:lang w:eastAsia="es-CR"/>
              </w:rPr>
              <w:t>2019</w:t>
            </w:r>
          </w:p>
        </w:tc>
        <w:tc>
          <w:tcPr>
            <w:tcW w:w="1192" w:type="dxa"/>
            <w:tcBorders>
              <w:left w:val="single" w:sz="4" w:space="0" w:color="auto"/>
              <w:right w:val="single" w:sz="4" w:space="0" w:color="auto"/>
            </w:tcBorders>
            <w:vAlign w:val="center"/>
          </w:tcPr>
          <w:p w14:paraId="4A65860F" w14:textId="7B01E0D6" w:rsidR="00FB453D" w:rsidRPr="00832773" w:rsidRDefault="008F5B48" w:rsidP="00832773">
            <w:pPr>
              <w:spacing w:line="276" w:lineRule="auto"/>
              <w:ind w:right="51"/>
              <w:jc w:val="center"/>
              <w:rPr>
                <w:rFonts w:cs="Calibri"/>
                <w:color w:val="000000"/>
                <w:sz w:val="20"/>
                <w:lang w:eastAsia="es-CR"/>
              </w:rPr>
            </w:pPr>
            <w:r w:rsidRPr="00832773">
              <w:rPr>
                <w:rFonts w:cs="Calibri"/>
                <w:color w:val="000000"/>
                <w:sz w:val="20"/>
                <w:lang w:eastAsia="es-CR"/>
              </w:rPr>
              <w:t>6072</w:t>
            </w:r>
          </w:p>
        </w:tc>
        <w:tc>
          <w:tcPr>
            <w:tcW w:w="0" w:type="auto"/>
            <w:tcBorders>
              <w:left w:val="single" w:sz="4" w:space="0" w:color="auto"/>
              <w:right w:val="single" w:sz="4" w:space="0" w:color="auto"/>
            </w:tcBorders>
            <w:vAlign w:val="center"/>
          </w:tcPr>
          <w:p w14:paraId="33D4B8C1" w14:textId="18163017" w:rsidR="00FB453D" w:rsidRPr="00832773" w:rsidRDefault="008F5B48" w:rsidP="00832773">
            <w:pPr>
              <w:spacing w:line="276" w:lineRule="auto"/>
              <w:ind w:right="51"/>
              <w:jc w:val="center"/>
              <w:rPr>
                <w:rFonts w:cs="Calibri"/>
                <w:color w:val="000000"/>
                <w:sz w:val="20"/>
                <w:lang w:eastAsia="es-CR"/>
              </w:rPr>
            </w:pPr>
            <w:r w:rsidRPr="00832773">
              <w:rPr>
                <w:rFonts w:cs="Calibri"/>
                <w:color w:val="000000"/>
                <w:sz w:val="20"/>
                <w:lang w:eastAsia="es-CR"/>
              </w:rPr>
              <w:t>2552</w:t>
            </w:r>
          </w:p>
        </w:tc>
        <w:tc>
          <w:tcPr>
            <w:tcW w:w="0" w:type="auto"/>
            <w:tcBorders>
              <w:left w:val="single" w:sz="4" w:space="0" w:color="auto"/>
              <w:right w:val="single" w:sz="4" w:space="0" w:color="auto"/>
            </w:tcBorders>
            <w:vAlign w:val="center"/>
          </w:tcPr>
          <w:p w14:paraId="02C08CA6" w14:textId="5898A810" w:rsidR="00FB453D" w:rsidRPr="00832773" w:rsidRDefault="008F5B48" w:rsidP="00832773">
            <w:pPr>
              <w:spacing w:line="276" w:lineRule="auto"/>
              <w:ind w:right="51"/>
              <w:jc w:val="center"/>
              <w:rPr>
                <w:rFonts w:cs="Calibri"/>
                <w:color w:val="000000"/>
                <w:sz w:val="20"/>
                <w:lang w:eastAsia="es-CR"/>
              </w:rPr>
            </w:pPr>
            <w:r w:rsidRPr="00832773">
              <w:rPr>
                <w:rFonts w:cs="Calibri"/>
                <w:color w:val="000000"/>
                <w:sz w:val="20"/>
                <w:lang w:eastAsia="es-CR"/>
              </w:rPr>
              <w:t>1413</w:t>
            </w:r>
          </w:p>
        </w:tc>
        <w:tc>
          <w:tcPr>
            <w:tcW w:w="0" w:type="auto"/>
            <w:tcBorders>
              <w:left w:val="single" w:sz="4" w:space="0" w:color="auto"/>
              <w:right w:val="single" w:sz="4" w:space="0" w:color="auto"/>
            </w:tcBorders>
            <w:vAlign w:val="center"/>
          </w:tcPr>
          <w:p w14:paraId="2FE06930" w14:textId="7203F5D9" w:rsidR="00FB453D" w:rsidRPr="00832773" w:rsidRDefault="008F5B48" w:rsidP="00832773">
            <w:pPr>
              <w:spacing w:line="276" w:lineRule="auto"/>
              <w:ind w:right="51"/>
              <w:jc w:val="center"/>
              <w:rPr>
                <w:rFonts w:cs="Calibri"/>
                <w:color w:val="000000"/>
                <w:sz w:val="20"/>
                <w:lang w:eastAsia="es-CR"/>
              </w:rPr>
            </w:pPr>
            <w:r w:rsidRPr="00832773">
              <w:rPr>
                <w:rFonts w:cs="Calibri"/>
                <w:color w:val="000000"/>
                <w:sz w:val="20"/>
                <w:lang w:eastAsia="es-CR"/>
              </w:rPr>
              <w:t>120</w:t>
            </w:r>
          </w:p>
        </w:tc>
        <w:tc>
          <w:tcPr>
            <w:tcW w:w="0" w:type="auto"/>
            <w:tcBorders>
              <w:left w:val="single" w:sz="4" w:space="0" w:color="auto"/>
              <w:right w:val="single" w:sz="4" w:space="0" w:color="auto"/>
            </w:tcBorders>
            <w:vAlign w:val="center"/>
          </w:tcPr>
          <w:p w14:paraId="4F3028B6" w14:textId="5D0D65C7" w:rsidR="00FB453D" w:rsidRPr="00832773" w:rsidRDefault="008F5B48" w:rsidP="00832773">
            <w:pPr>
              <w:spacing w:line="276" w:lineRule="auto"/>
              <w:ind w:right="51"/>
              <w:jc w:val="center"/>
              <w:rPr>
                <w:rFonts w:cs="Calibri"/>
                <w:color w:val="000000"/>
                <w:sz w:val="20"/>
                <w:lang w:eastAsia="es-CR"/>
              </w:rPr>
            </w:pPr>
            <w:r w:rsidRPr="00832773">
              <w:rPr>
                <w:rFonts w:cs="Calibri"/>
                <w:color w:val="000000"/>
                <w:sz w:val="20"/>
                <w:lang w:eastAsia="es-CR"/>
              </w:rPr>
              <w:t>3</w:t>
            </w:r>
          </w:p>
        </w:tc>
        <w:tc>
          <w:tcPr>
            <w:tcW w:w="0" w:type="auto"/>
            <w:tcBorders>
              <w:left w:val="single" w:sz="4" w:space="0" w:color="auto"/>
              <w:right w:val="single" w:sz="4" w:space="0" w:color="auto"/>
            </w:tcBorders>
            <w:vAlign w:val="center"/>
          </w:tcPr>
          <w:p w14:paraId="0596A989" w14:textId="29E94A5A" w:rsidR="00FB453D" w:rsidRPr="00832773" w:rsidRDefault="008F5B48" w:rsidP="00832773">
            <w:pPr>
              <w:spacing w:line="276" w:lineRule="auto"/>
              <w:ind w:right="51"/>
              <w:jc w:val="center"/>
              <w:rPr>
                <w:rFonts w:cs="Calibri"/>
                <w:color w:val="000000"/>
                <w:sz w:val="20"/>
                <w:lang w:eastAsia="es-CR"/>
              </w:rPr>
            </w:pPr>
            <w:r w:rsidRPr="00832773">
              <w:rPr>
                <w:rFonts w:cs="Calibri"/>
                <w:color w:val="000000"/>
                <w:sz w:val="20"/>
                <w:lang w:eastAsia="es-CR"/>
              </w:rPr>
              <w:t>3750</w:t>
            </w:r>
          </w:p>
        </w:tc>
        <w:tc>
          <w:tcPr>
            <w:tcW w:w="0" w:type="auto"/>
            <w:tcBorders>
              <w:left w:val="single" w:sz="4" w:space="0" w:color="auto"/>
              <w:right w:val="single" w:sz="4" w:space="0" w:color="auto"/>
            </w:tcBorders>
            <w:vAlign w:val="center"/>
          </w:tcPr>
          <w:p w14:paraId="7FF290F5" w14:textId="2129F24B" w:rsidR="00FB453D" w:rsidRPr="00832773" w:rsidRDefault="008F5B48" w:rsidP="00832773">
            <w:pPr>
              <w:spacing w:line="276" w:lineRule="auto"/>
              <w:ind w:right="51"/>
              <w:jc w:val="center"/>
              <w:rPr>
                <w:rFonts w:cs="Calibri"/>
                <w:color w:val="000000"/>
                <w:sz w:val="20"/>
                <w:lang w:eastAsia="es-CR"/>
              </w:rPr>
            </w:pPr>
            <w:r w:rsidRPr="00832773">
              <w:rPr>
                <w:rFonts w:cs="Calibri"/>
                <w:color w:val="000000"/>
                <w:sz w:val="20"/>
                <w:lang w:eastAsia="es-CR"/>
              </w:rPr>
              <w:t>999</w:t>
            </w:r>
          </w:p>
        </w:tc>
        <w:tc>
          <w:tcPr>
            <w:tcW w:w="1192" w:type="dxa"/>
            <w:tcBorders>
              <w:left w:val="single" w:sz="4" w:space="0" w:color="auto"/>
            </w:tcBorders>
            <w:vAlign w:val="center"/>
          </w:tcPr>
          <w:p w14:paraId="34E85271" w14:textId="1DFAD9A1" w:rsidR="00FB453D" w:rsidRPr="00832773" w:rsidRDefault="008F5B48" w:rsidP="00832773">
            <w:pPr>
              <w:spacing w:line="276" w:lineRule="auto"/>
              <w:ind w:right="51"/>
              <w:jc w:val="center"/>
              <w:rPr>
                <w:rFonts w:cs="Calibri"/>
                <w:color w:val="000000"/>
                <w:sz w:val="20"/>
                <w:lang w:eastAsia="es-CR"/>
              </w:rPr>
            </w:pPr>
            <w:r w:rsidRPr="00832773">
              <w:rPr>
                <w:rFonts w:cs="Calibri"/>
                <w:color w:val="000000"/>
                <w:sz w:val="20"/>
                <w:lang w:eastAsia="es-CR"/>
              </w:rPr>
              <w:t>5399</w:t>
            </w:r>
          </w:p>
        </w:tc>
      </w:tr>
      <w:tr w:rsidR="008F5B48" w:rsidRPr="004E74A6" w14:paraId="770262CA" w14:textId="77777777" w:rsidTr="00832773">
        <w:trPr>
          <w:jc w:val="center"/>
        </w:trPr>
        <w:tc>
          <w:tcPr>
            <w:tcW w:w="723" w:type="dxa"/>
            <w:tcBorders>
              <w:right w:val="single" w:sz="4" w:space="0" w:color="auto"/>
            </w:tcBorders>
            <w:vAlign w:val="center"/>
          </w:tcPr>
          <w:p w14:paraId="55877FCB" w14:textId="71660080" w:rsidR="00FB453D" w:rsidRPr="00832773" w:rsidRDefault="00FB453D" w:rsidP="00832773">
            <w:pPr>
              <w:spacing w:line="276" w:lineRule="auto"/>
              <w:ind w:right="51"/>
              <w:jc w:val="center"/>
              <w:rPr>
                <w:rFonts w:cs="Calibri"/>
                <w:color w:val="000000"/>
                <w:sz w:val="20"/>
                <w:lang w:eastAsia="es-CR"/>
              </w:rPr>
            </w:pPr>
            <w:r w:rsidRPr="00832773">
              <w:rPr>
                <w:rFonts w:cs="Calibri"/>
                <w:color w:val="000000"/>
                <w:sz w:val="20"/>
                <w:lang w:eastAsia="es-CR"/>
              </w:rPr>
              <w:t>2020</w:t>
            </w:r>
          </w:p>
        </w:tc>
        <w:tc>
          <w:tcPr>
            <w:tcW w:w="1192" w:type="dxa"/>
            <w:tcBorders>
              <w:left w:val="single" w:sz="4" w:space="0" w:color="auto"/>
              <w:right w:val="single" w:sz="4" w:space="0" w:color="auto"/>
            </w:tcBorders>
            <w:vAlign w:val="center"/>
          </w:tcPr>
          <w:p w14:paraId="4A3E6B35" w14:textId="34504E0E" w:rsidR="00FB453D" w:rsidRPr="00832773" w:rsidRDefault="008F5B48" w:rsidP="00832773">
            <w:pPr>
              <w:spacing w:line="276" w:lineRule="auto"/>
              <w:ind w:right="51"/>
              <w:jc w:val="center"/>
              <w:rPr>
                <w:rFonts w:cs="Calibri"/>
                <w:color w:val="000000"/>
                <w:sz w:val="20"/>
                <w:lang w:eastAsia="es-CR"/>
              </w:rPr>
            </w:pPr>
            <w:r w:rsidRPr="00832773">
              <w:rPr>
                <w:rFonts w:cs="Calibri"/>
                <w:color w:val="000000"/>
                <w:sz w:val="20"/>
                <w:lang w:eastAsia="es-CR"/>
              </w:rPr>
              <w:t>5399</w:t>
            </w:r>
          </w:p>
        </w:tc>
        <w:tc>
          <w:tcPr>
            <w:tcW w:w="0" w:type="auto"/>
            <w:tcBorders>
              <w:left w:val="single" w:sz="4" w:space="0" w:color="auto"/>
              <w:right w:val="single" w:sz="4" w:space="0" w:color="auto"/>
            </w:tcBorders>
            <w:vAlign w:val="center"/>
          </w:tcPr>
          <w:p w14:paraId="57A3AFA3" w14:textId="0624D431" w:rsidR="00FB453D" w:rsidRPr="00832773" w:rsidRDefault="008F5B48" w:rsidP="00832773">
            <w:pPr>
              <w:spacing w:line="276" w:lineRule="auto"/>
              <w:ind w:right="51"/>
              <w:jc w:val="center"/>
              <w:rPr>
                <w:rFonts w:cs="Calibri"/>
                <w:color w:val="000000"/>
                <w:sz w:val="20"/>
                <w:lang w:eastAsia="es-CR"/>
              </w:rPr>
            </w:pPr>
            <w:r w:rsidRPr="00832773">
              <w:rPr>
                <w:rFonts w:cs="Calibri"/>
                <w:color w:val="000000"/>
                <w:sz w:val="20"/>
                <w:lang w:eastAsia="es-CR"/>
              </w:rPr>
              <w:t>2107</w:t>
            </w:r>
          </w:p>
        </w:tc>
        <w:tc>
          <w:tcPr>
            <w:tcW w:w="0" w:type="auto"/>
            <w:tcBorders>
              <w:left w:val="single" w:sz="4" w:space="0" w:color="auto"/>
              <w:right w:val="single" w:sz="4" w:space="0" w:color="auto"/>
            </w:tcBorders>
            <w:vAlign w:val="center"/>
          </w:tcPr>
          <w:p w14:paraId="3D95E2D2" w14:textId="1A3AB08F" w:rsidR="00FB453D" w:rsidRPr="00832773" w:rsidRDefault="008F5B48" w:rsidP="00832773">
            <w:pPr>
              <w:spacing w:line="276" w:lineRule="auto"/>
              <w:ind w:right="51"/>
              <w:jc w:val="center"/>
              <w:rPr>
                <w:rFonts w:cs="Calibri"/>
                <w:color w:val="000000"/>
                <w:sz w:val="20"/>
                <w:lang w:eastAsia="es-CR"/>
              </w:rPr>
            </w:pPr>
            <w:r w:rsidRPr="00832773">
              <w:rPr>
                <w:rFonts w:cs="Calibri"/>
                <w:color w:val="000000"/>
                <w:sz w:val="20"/>
                <w:lang w:eastAsia="es-CR"/>
              </w:rPr>
              <w:t>563</w:t>
            </w:r>
          </w:p>
        </w:tc>
        <w:tc>
          <w:tcPr>
            <w:tcW w:w="0" w:type="auto"/>
            <w:tcBorders>
              <w:left w:val="single" w:sz="4" w:space="0" w:color="auto"/>
              <w:right w:val="single" w:sz="4" w:space="0" w:color="auto"/>
            </w:tcBorders>
            <w:vAlign w:val="center"/>
          </w:tcPr>
          <w:p w14:paraId="3A2B6DA1" w14:textId="4B9D42E9" w:rsidR="00FB453D" w:rsidRPr="00832773" w:rsidRDefault="008F5B48" w:rsidP="00832773">
            <w:pPr>
              <w:spacing w:line="276" w:lineRule="auto"/>
              <w:ind w:right="51"/>
              <w:jc w:val="center"/>
              <w:rPr>
                <w:rFonts w:cs="Calibri"/>
                <w:color w:val="000000"/>
                <w:sz w:val="20"/>
                <w:lang w:eastAsia="es-CR"/>
              </w:rPr>
            </w:pPr>
            <w:r w:rsidRPr="00832773">
              <w:rPr>
                <w:rFonts w:cs="Calibri"/>
                <w:color w:val="000000"/>
                <w:sz w:val="20"/>
                <w:lang w:eastAsia="es-CR"/>
              </w:rPr>
              <w:t>74</w:t>
            </w:r>
          </w:p>
        </w:tc>
        <w:tc>
          <w:tcPr>
            <w:tcW w:w="0" w:type="auto"/>
            <w:tcBorders>
              <w:left w:val="single" w:sz="4" w:space="0" w:color="auto"/>
              <w:right w:val="single" w:sz="4" w:space="0" w:color="auto"/>
            </w:tcBorders>
            <w:vAlign w:val="center"/>
          </w:tcPr>
          <w:p w14:paraId="2F197D13" w14:textId="2373C4EB" w:rsidR="00FB453D" w:rsidRPr="00832773" w:rsidRDefault="008F5B48" w:rsidP="00832773">
            <w:pPr>
              <w:spacing w:line="276" w:lineRule="auto"/>
              <w:ind w:right="51"/>
              <w:jc w:val="center"/>
              <w:rPr>
                <w:rFonts w:cs="Calibri"/>
                <w:color w:val="000000"/>
                <w:sz w:val="20"/>
                <w:lang w:eastAsia="es-CR"/>
              </w:rPr>
            </w:pPr>
            <w:r w:rsidRPr="00832773">
              <w:rPr>
                <w:rFonts w:cs="Calibri"/>
                <w:color w:val="000000"/>
                <w:sz w:val="20"/>
                <w:lang w:eastAsia="es-CR"/>
              </w:rPr>
              <w:t>1</w:t>
            </w:r>
          </w:p>
        </w:tc>
        <w:tc>
          <w:tcPr>
            <w:tcW w:w="0" w:type="auto"/>
            <w:tcBorders>
              <w:left w:val="single" w:sz="4" w:space="0" w:color="auto"/>
              <w:right w:val="single" w:sz="4" w:space="0" w:color="auto"/>
            </w:tcBorders>
            <w:vAlign w:val="center"/>
          </w:tcPr>
          <w:p w14:paraId="7FE01598" w14:textId="6597893D" w:rsidR="00FB453D" w:rsidRPr="00832773" w:rsidRDefault="008F5B48" w:rsidP="00832773">
            <w:pPr>
              <w:spacing w:line="276" w:lineRule="auto"/>
              <w:ind w:right="51"/>
              <w:jc w:val="center"/>
              <w:rPr>
                <w:rFonts w:cs="Calibri"/>
                <w:color w:val="000000"/>
                <w:sz w:val="20"/>
                <w:lang w:eastAsia="es-CR"/>
              </w:rPr>
            </w:pPr>
            <w:r w:rsidRPr="00832773">
              <w:rPr>
                <w:rFonts w:cs="Calibri"/>
                <w:color w:val="000000"/>
                <w:sz w:val="20"/>
                <w:lang w:eastAsia="es-CR"/>
              </w:rPr>
              <w:t>2234</w:t>
            </w:r>
          </w:p>
        </w:tc>
        <w:tc>
          <w:tcPr>
            <w:tcW w:w="0" w:type="auto"/>
            <w:tcBorders>
              <w:left w:val="single" w:sz="4" w:space="0" w:color="auto"/>
              <w:right w:val="single" w:sz="4" w:space="0" w:color="auto"/>
            </w:tcBorders>
            <w:vAlign w:val="center"/>
          </w:tcPr>
          <w:p w14:paraId="52A9644D" w14:textId="11CE4F01" w:rsidR="00FB453D" w:rsidRPr="00832773" w:rsidRDefault="008F5B48" w:rsidP="00832773">
            <w:pPr>
              <w:spacing w:line="276" w:lineRule="auto"/>
              <w:ind w:right="51"/>
              <w:jc w:val="center"/>
              <w:rPr>
                <w:rFonts w:cs="Calibri"/>
                <w:color w:val="000000"/>
                <w:sz w:val="20"/>
                <w:lang w:eastAsia="es-CR"/>
              </w:rPr>
            </w:pPr>
            <w:r w:rsidRPr="00832773">
              <w:rPr>
                <w:rFonts w:cs="Calibri"/>
                <w:color w:val="000000"/>
                <w:sz w:val="20"/>
                <w:lang w:eastAsia="es-CR"/>
              </w:rPr>
              <w:t>892</w:t>
            </w:r>
          </w:p>
        </w:tc>
        <w:tc>
          <w:tcPr>
            <w:tcW w:w="1192" w:type="dxa"/>
            <w:tcBorders>
              <w:left w:val="single" w:sz="4" w:space="0" w:color="auto"/>
            </w:tcBorders>
            <w:vAlign w:val="center"/>
          </w:tcPr>
          <w:p w14:paraId="4417F93E" w14:textId="2BD2D4CA" w:rsidR="00FB453D" w:rsidRPr="00832773" w:rsidRDefault="008F5B48" w:rsidP="00832773">
            <w:pPr>
              <w:spacing w:line="276" w:lineRule="auto"/>
              <w:ind w:right="51"/>
              <w:jc w:val="center"/>
              <w:rPr>
                <w:rFonts w:cs="Calibri"/>
                <w:color w:val="000000"/>
                <w:sz w:val="20"/>
                <w:lang w:eastAsia="es-CR"/>
              </w:rPr>
            </w:pPr>
            <w:r w:rsidRPr="00832773">
              <w:rPr>
                <w:rFonts w:cs="Calibri"/>
                <w:color w:val="000000"/>
                <w:sz w:val="20"/>
                <w:lang w:eastAsia="es-CR"/>
              </w:rPr>
              <w:t>4992</w:t>
            </w:r>
          </w:p>
        </w:tc>
      </w:tr>
      <w:tr w:rsidR="008F5B48" w:rsidRPr="004E74A6" w14:paraId="5CE9D6B4" w14:textId="77777777" w:rsidTr="00832773">
        <w:trPr>
          <w:jc w:val="center"/>
        </w:trPr>
        <w:tc>
          <w:tcPr>
            <w:tcW w:w="723" w:type="dxa"/>
            <w:tcBorders>
              <w:right w:val="single" w:sz="4" w:space="0" w:color="auto"/>
            </w:tcBorders>
            <w:vAlign w:val="center"/>
          </w:tcPr>
          <w:p w14:paraId="226285B0" w14:textId="366AD97A" w:rsidR="00FB453D" w:rsidRPr="00832773" w:rsidRDefault="00FB453D" w:rsidP="00832773">
            <w:pPr>
              <w:spacing w:line="276" w:lineRule="auto"/>
              <w:ind w:right="51"/>
              <w:jc w:val="center"/>
              <w:rPr>
                <w:rFonts w:cs="Calibri"/>
                <w:color w:val="000000"/>
                <w:sz w:val="20"/>
                <w:lang w:eastAsia="es-CR"/>
              </w:rPr>
            </w:pPr>
            <w:r w:rsidRPr="00832773">
              <w:rPr>
                <w:rFonts w:cs="Calibri"/>
                <w:color w:val="000000"/>
                <w:sz w:val="20"/>
                <w:lang w:eastAsia="es-CR"/>
              </w:rPr>
              <w:t>2021</w:t>
            </w:r>
          </w:p>
        </w:tc>
        <w:tc>
          <w:tcPr>
            <w:tcW w:w="1192" w:type="dxa"/>
            <w:tcBorders>
              <w:left w:val="single" w:sz="4" w:space="0" w:color="auto"/>
              <w:right w:val="single" w:sz="4" w:space="0" w:color="auto"/>
            </w:tcBorders>
            <w:vAlign w:val="center"/>
          </w:tcPr>
          <w:p w14:paraId="38AF6A8F" w14:textId="4539C1E6" w:rsidR="00FB453D" w:rsidRPr="00832773" w:rsidRDefault="00FB453D" w:rsidP="00832773">
            <w:pPr>
              <w:spacing w:line="276" w:lineRule="auto"/>
              <w:ind w:right="51"/>
              <w:jc w:val="center"/>
              <w:rPr>
                <w:rFonts w:cs="Calibri"/>
                <w:color w:val="000000"/>
                <w:sz w:val="20"/>
                <w:lang w:eastAsia="es-CR"/>
              </w:rPr>
            </w:pPr>
            <w:r w:rsidRPr="00832773">
              <w:rPr>
                <w:rFonts w:cs="Calibri"/>
                <w:color w:val="000000"/>
                <w:sz w:val="20"/>
                <w:lang w:eastAsia="es-CR"/>
              </w:rPr>
              <w:t>4995</w:t>
            </w:r>
          </w:p>
        </w:tc>
        <w:tc>
          <w:tcPr>
            <w:tcW w:w="0" w:type="auto"/>
            <w:tcBorders>
              <w:left w:val="single" w:sz="4" w:space="0" w:color="auto"/>
              <w:right w:val="single" w:sz="4" w:space="0" w:color="auto"/>
            </w:tcBorders>
            <w:vAlign w:val="center"/>
          </w:tcPr>
          <w:p w14:paraId="3C97BD93" w14:textId="4826B3E3" w:rsidR="00FB453D" w:rsidRPr="00832773" w:rsidRDefault="00FB453D" w:rsidP="00832773">
            <w:pPr>
              <w:spacing w:line="276" w:lineRule="auto"/>
              <w:ind w:right="51"/>
              <w:jc w:val="center"/>
              <w:rPr>
                <w:rFonts w:cs="Calibri"/>
                <w:color w:val="000000"/>
                <w:sz w:val="20"/>
                <w:lang w:eastAsia="es-CR"/>
              </w:rPr>
            </w:pPr>
            <w:r w:rsidRPr="00832773">
              <w:rPr>
                <w:rFonts w:cs="Calibri"/>
                <w:color w:val="000000"/>
                <w:sz w:val="20"/>
                <w:lang w:eastAsia="es-CR"/>
              </w:rPr>
              <w:t>2329</w:t>
            </w:r>
          </w:p>
        </w:tc>
        <w:tc>
          <w:tcPr>
            <w:tcW w:w="0" w:type="auto"/>
            <w:tcBorders>
              <w:left w:val="single" w:sz="4" w:space="0" w:color="auto"/>
              <w:right w:val="single" w:sz="4" w:space="0" w:color="auto"/>
            </w:tcBorders>
            <w:vAlign w:val="center"/>
          </w:tcPr>
          <w:p w14:paraId="24509123" w14:textId="63336DB6" w:rsidR="00FB453D" w:rsidRPr="00832773" w:rsidRDefault="008F5B48" w:rsidP="00832773">
            <w:pPr>
              <w:spacing w:line="276" w:lineRule="auto"/>
              <w:ind w:right="51"/>
              <w:jc w:val="center"/>
              <w:rPr>
                <w:rFonts w:cs="Calibri"/>
                <w:color w:val="000000"/>
                <w:sz w:val="20"/>
                <w:lang w:eastAsia="es-CR"/>
              </w:rPr>
            </w:pPr>
            <w:r w:rsidRPr="00832773">
              <w:rPr>
                <w:rFonts w:cs="Calibri"/>
                <w:color w:val="000000"/>
                <w:sz w:val="20"/>
                <w:lang w:eastAsia="es-CR"/>
              </w:rPr>
              <w:t>570</w:t>
            </w:r>
          </w:p>
        </w:tc>
        <w:tc>
          <w:tcPr>
            <w:tcW w:w="0" w:type="auto"/>
            <w:tcBorders>
              <w:left w:val="single" w:sz="4" w:space="0" w:color="auto"/>
              <w:right w:val="single" w:sz="4" w:space="0" w:color="auto"/>
            </w:tcBorders>
            <w:vAlign w:val="center"/>
          </w:tcPr>
          <w:p w14:paraId="41DCB24C" w14:textId="03B55218" w:rsidR="00FB453D" w:rsidRPr="00832773" w:rsidRDefault="008F5B48" w:rsidP="00832773">
            <w:pPr>
              <w:spacing w:line="276" w:lineRule="auto"/>
              <w:ind w:right="51"/>
              <w:jc w:val="center"/>
              <w:rPr>
                <w:rFonts w:cs="Calibri"/>
                <w:color w:val="000000"/>
                <w:sz w:val="20"/>
                <w:lang w:eastAsia="es-CR"/>
              </w:rPr>
            </w:pPr>
            <w:r w:rsidRPr="00832773">
              <w:rPr>
                <w:rFonts w:cs="Calibri"/>
                <w:color w:val="000000"/>
                <w:sz w:val="20"/>
                <w:lang w:eastAsia="es-CR"/>
              </w:rPr>
              <w:t>71</w:t>
            </w:r>
          </w:p>
        </w:tc>
        <w:tc>
          <w:tcPr>
            <w:tcW w:w="0" w:type="auto"/>
            <w:tcBorders>
              <w:left w:val="single" w:sz="4" w:space="0" w:color="auto"/>
              <w:right w:val="single" w:sz="4" w:space="0" w:color="auto"/>
            </w:tcBorders>
            <w:vAlign w:val="center"/>
          </w:tcPr>
          <w:p w14:paraId="4AB0EB7F" w14:textId="432D23E7" w:rsidR="00FB453D" w:rsidRPr="00832773" w:rsidRDefault="008F5B48" w:rsidP="00832773">
            <w:pPr>
              <w:spacing w:line="276" w:lineRule="auto"/>
              <w:ind w:right="51"/>
              <w:jc w:val="center"/>
              <w:rPr>
                <w:rFonts w:cs="Calibri"/>
                <w:color w:val="000000"/>
                <w:sz w:val="20"/>
                <w:lang w:eastAsia="es-CR"/>
              </w:rPr>
            </w:pPr>
            <w:r w:rsidRPr="00832773">
              <w:rPr>
                <w:rFonts w:cs="Calibri"/>
                <w:color w:val="000000"/>
                <w:sz w:val="20"/>
                <w:lang w:eastAsia="es-CR"/>
              </w:rPr>
              <w:t>1</w:t>
            </w:r>
          </w:p>
        </w:tc>
        <w:tc>
          <w:tcPr>
            <w:tcW w:w="0" w:type="auto"/>
            <w:tcBorders>
              <w:left w:val="single" w:sz="4" w:space="0" w:color="auto"/>
              <w:right w:val="single" w:sz="4" w:space="0" w:color="auto"/>
            </w:tcBorders>
            <w:vAlign w:val="center"/>
          </w:tcPr>
          <w:p w14:paraId="00473178" w14:textId="3C5FFEEE" w:rsidR="00FB453D" w:rsidRPr="00832773" w:rsidRDefault="008F5B48" w:rsidP="00832773">
            <w:pPr>
              <w:spacing w:line="276" w:lineRule="auto"/>
              <w:ind w:right="51"/>
              <w:jc w:val="center"/>
              <w:rPr>
                <w:rFonts w:cs="Calibri"/>
                <w:color w:val="000000"/>
                <w:sz w:val="20"/>
                <w:lang w:eastAsia="es-CR"/>
              </w:rPr>
            </w:pPr>
            <w:r w:rsidRPr="00832773">
              <w:rPr>
                <w:rFonts w:cs="Calibri"/>
                <w:color w:val="000000"/>
                <w:sz w:val="20"/>
                <w:lang w:eastAsia="es-CR"/>
              </w:rPr>
              <w:t>2059</w:t>
            </w:r>
          </w:p>
        </w:tc>
        <w:tc>
          <w:tcPr>
            <w:tcW w:w="0" w:type="auto"/>
            <w:tcBorders>
              <w:left w:val="single" w:sz="4" w:space="0" w:color="auto"/>
              <w:right w:val="single" w:sz="4" w:space="0" w:color="auto"/>
            </w:tcBorders>
            <w:vAlign w:val="center"/>
          </w:tcPr>
          <w:p w14:paraId="46418343" w14:textId="235D84AD" w:rsidR="00FB453D" w:rsidRPr="00832773" w:rsidRDefault="008F5B48" w:rsidP="00832773">
            <w:pPr>
              <w:spacing w:line="276" w:lineRule="auto"/>
              <w:ind w:right="51"/>
              <w:jc w:val="center"/>
              <w:rPr>
                <w:rFonts w:cs="Calibri"/>
                <w:color w:val="000000"/>
                <w:sz w:val="20"/>
                <w:lang w:eastAsia="es-CR"/>
              </w:rPr>
            </w:pPr>
            <w:r w:rsidRPr="00832773">
              <w:rPr>
                <w:rFonts w:cs="Calibri"/>
                <w:color w:val="000000"/>
                <w:sz w:val="20"/>
                <w:lang w:eastAsia="es-CR"/>
              </w:rPr>
              <w:t>879</w:t>
            </w:r>
          </w:p>
        </w:tc>
        <w:tc>
          <w:tcPr>
            <w:tcW w:w="1192" w:type="dxa"/>
            <w:tcBorders>
              <w:left w:val="single" w:sz="4" w:space="0" w:color="auto"/>
            </w:tcBorders>
            <w:vAlign w:val="center"/>
          </w:tcPr>
          <w:p w14:paraId="5B6CE26A" w14:textId="391DFC78" w:rsidR="00FB453D" w:rsidRPr="00832773" w:rsidRDefault="008F5B48" w:rsidP="00832773">
            <w:pPr>
              <w:spacing w:line="276" w:lineRule="auto"/>
              <w:ind w:right="51"/>
              <w:jc w:val="center"/>
              <w:rPr>
                <w:rFonts w:cs="Calibri"/>
                <w:color w:val="000000"/>
                <w:sz w:val="20"/>
                <w:lang w:eastAsia="es-CR"/>
              </w:rPr>
            </w:pPr>
            <w:r w:rsidRPr="00832773">
              <w:rPr>
                <w:rFonts w:cs="Calibri"/>
                <w:color w:val="000000"/>
                <w:sz w:val="20"/>
                <w:lang w:eastAsia="es-CR"/>
              </w:rPr>
              <w:t>5027</w:t>
            </w:r>
          </w:p>
        </w:tc>
      </w:tr>
      <w:tr w:rsidR="008F5B48" w:rsidRPr="004E74A6" w14:paraId="68DD3500" w14:textId="77777777" w:rsidTr="00832773">
        <w:trPr>
          <w:jc w:val="center"/>
        </w:trPr>
        <w:tc>
          <w:tcPr>
            <w:tcW w:w="723" w:type="dxa"/>
            <w:tcBorders>
              <w:bottom w:val="single" w:sz="4" w:space="0" w:color="auto"/>
              <w:right w:val="single" w:sz="4" w:space="0" w:color="auto"/>
            </w:tcBorders>
            <w:vAlign w:val="center"/>
          </w:tcPr>
          <w:p w14:paraId="181684CF" w14:textId="77777777" w:rsidR="00FB453D" w:rsidRPr="00832773" w:rsidRDefault="00FB453D" w:rsidP="00832773">
            <w:pPr>
              <w:spacing w:line="276" w:lineRule="auto"/>
              <w:ind w:right="51"/>
              <w:jc w:val="center"/>
              <w:rPr>
                <w:rFonts w:cs="Calibri"/>
                <w:color w:val="000000"/>
                <w:sz w:val="20"/>
                <w:lang w:eastAsia="es-CR"/>
              </w:rPr>
            </w:pPr>
          </w:p>
        </w:tc>
        <w:tc>
          <w:tcPr>
            <w:tcW w:w="1192" w:type="dxa"/>
            <w:tcBorders>
              <w:left w:val="single" w:sz="4" w:space="0" w:color="auto"/>
              <w:bottom w:val="single" w:sz="4" w:space="0" w:color="auto"/>
              <w:right w:val="single" w:sz="4" w:space="0" w:color="auto"/>
            </w:tcBorders>
            <w:vAlign w:val="center"/>
          </w:tcPr>
          <w:p w14:paraId="32F1AD80" w14:textId="77777777" w:rsidR="00FB453D" w:rsidRPr="00832773" w:rsidRDefault="00FB453D" w:rsidP="00832773">
            <w:pPr>
              <w:spacing w:line="276" w:lineRule="auto"/>
              <w:ind w:right="51"/>
              <w:jc w:val="center"/>
              <w:rPr>
                <w:rFonts w:cs="Calibri"/>
                <w:color w:val="000000"/>
                <w:sz w:val="20"/>
                <w:lang w:eastAsia="es-CR"/>
              </w:rPr>
            </w:pPr>
          </w:p>
        </w:tc>
        <w:tc>
          <w:tcPr>
            <w:tcW w:w="0" w:type="auto"/>
            <w:tcBorders>
              <w:left w:val="single" w:sz="4" w:space="0" w:color="auto"/>
              <w:bottom w:val="single" w:sz="4" w:space="0" w:color="auto"/>
              <w:right w:val="single" w:sz="4" w:space="0" w:color="auto"/>
            </w:tcBorders>
            <w:vAlign w:val="center"/>
          </w:tcPr>
          <w:p w14:paraId="7C99D918" w14:textId="77777777" w:rsidR="00FB453D" w:rsidRPr="00832773" w:rsidRDefault="00FB453D" w:rsidP="00832773">
            <w:pPr>
              <w:spacing w:line="276" w:lineRule="auto"/>
              <w:ind w:right="51"/>
              <w:jc w:val="center"/>
              <w:rPr>
                <w:rFonts w:cs="Calibri"/>
                <w:color w:val="000000"/>
                <w:sz w:val="20"/>
                <w:lang w:eastAsia="es-CR"/>
              </w:rPr>
            </w:pPr>
          </w:p>
        </w:tc>
        <w:tc>
          <w:tcPr>
            <w:tcW w:w="0" w:type="auto"/>
            <w:tcBorders>
              <w:left w:val="single" w:sz="4" w:space="0" w:color="auto"/>
              <w:bottom w:val="single" w:sz="4" w:space="0" w:color="auto"/>
              <w:right w:val="single" w:sz="4" w:space="0" w:color="auto"/>
            </w:tcBorders>
            <w:vAlign w:val="center"/>
          </w:tcPr>
          <w:p w14:paraId="352A6681" w14:textId="77777777" w:rsidR="00FB453D" w:rsidRPr="00832773" w:rsidRDefault="00FB453D" w:rsidP="00832773">
            <w:pPr>
              <w:spacing w:line="276" w:lineRule="auto"/>
              <w:ind w:right="51"/>
              <w:jc w:val="center"/>
              <w:rPr>
                <w:rFonts w:cs="Calibri"/>
                <w:color w:val="000000"/>
                <w:sz w:val="20"/>
                <w:lang w:eastAsia="es-CR"/>
              </w:rPr>
            </w:pPr>
          </w:p>
        </w:tc>
        <w:tc>
          <w:tcPr>
            <w:tcW w:w="0" w:type="auto"/>
            <w:tcBorders>
              <w:left w:val="single" w:sz="4" w:space="0" w:color="auto"/>
              <w:bottom w:val="single" w:sz="4" w:space="0" w:color="auto"/>
              <w:right w:val="single" w:sz="4" w:space="0" w:color="auto"/>
            </w:tcBorders>
            <w:vAlign w:val="center"/>
          </w:tcPr>
          <w:p w14:paraId="36AB3536" w14:textId="77777777" w:rsidR="00FB453D" w:rsidRPr="00832773" w:rsidRDefault="00FB453D" w:rsidP="00832773">
            <w:pPr>
              <w:spacing w:line="276" w:lineRule="auto"/>
              <w:ind w:right="51"/>
              <w:jc w:val="center"/>
              <w:rPr>
                <w:rFonts w:cs="Calibri"/>
                <w:color w:val="000000"/>
                <w:sz w:val="20"/>
                <w:lang w:eastAsia="es-CR"/>
              </w:rPr>
            </w:pPr>
          </w:p>
        </w:tc>
        <w:tc>
          <w:tcPr>
            <w:tcW w:w="0" w:type="auto"/>
            <w:tcBorders>
              <w:left w:val="single" w:sz="4" w:space="0" w:color="auto"/>
              <w:bottom w:val="single" w:sz="4" w:space="0" w:color="auto"/>
              <w:right w:val="single" w:sz="4" w:space="0" w:color="auto"/>
            </w:tcBorders>
            <w:vAlign w:val="center"/>
          </w:tcPr>
          <w:p w14:paraId="612523FE" w14:textId="77777777" w:rsidR="00FB453D" w:rsidRPr="00832773" w:rsidRDefault="00FB453D" w:rsidP="00832773">
            <w:pPr>
              <w:spacing w:line="276" w:lineRule="auto"/>
              <w:ind w:right="51"/>
              <w:jc w:val="center"/>
              <w:rPr>
                <w:rFonts w:cs="Calibri"/>
                <w:color w:val="000000"/>
                <w:sz w:val="20"/>
                <w:lang w:eastAsia="es-CR"/>
              </w:rPr>
            </w:pPr>
          </w:p>
        </w:tc>
        <w:tc>
          <w:tcPr>
            <w:tcW w:w="0" w:type="auto"/>
            <w:tcBorders>
              <w:left w:val="single" w:sz="4" w:space="0" w:color="auto"/>
              <w:bottom w:val="single" w:sz="4" w:space="0" w:color="auto"/>
              <w:right w:val="single" w:sz="4" w:space="0" w:color="auto"/>
            </w:tcBorders>
            <w:vAlign w:val="center"/>
          </w:tcPr>
          <w:p w14:paraId="68E2BD22" w14:textId="77777777" w:rsidR="00FB453D" w:rsidRPr="00832773" w:rsidRDefault="00FB453D" w:rsidP="00832773">
            <w:pPr>
              <w:spacing w:line="276" w:lineRule="auto"/>
              <w:ind w:right="51"/>
              <w:jc w:val="center"/>
              <w:rPr>
                <w:rFonts w:cs="Calibri"/>
                <w:color w:val="000000"/>
                <w:sz w:val="20"/>
                <w:lang w:eastAsia="es-CR"/>
              </w:rPr>
            </w:pPr>
          </w:p>
        </w:tc>
        <w:tc>
          <w:tcPr>
            <w:tcW w:w="0" w:type="auto"/>
            <w:tcBorders>
              <w:left w:val="single" w:sz="4" w:space="0" w:color="auto"/>
              <w:bottom w:val="single" w:sz="4" w:space="0" w:color="auto"/>
              <w:right w:val="single" w:sz="4" w:space="0" w:color="auto"/>
            </w:tcBorders>
            <w:vAlign w:val="center"/>
          </w:tcPr>
          <w:p w14:paraId="5D7EB6D6" w14:textId="77777777" w:rsidR="00FB453D" w:rsidRPr="00832773" w:rsidRDefault="00FB453D" w:rsidP="00832773">
            <w:pPr>
              <w:spacing w:line="276" w:lineRule="auto"/>
              <w:ind w:right="51"/>
              <w:jc w:val="center"/>
              <w:rPr>
                <w:rFonts w:cs="Calibri"/>
                <w:color w:val="000000"/>
                <w:sz w:val="20"/>
                <w:lang w:eastAsia="es-CR"/>
              </w:rPr>
            </w:pPr>
          </w:p>
        </w:tc>
        <w:tc>
          <w:tcPr>
            <w:tcW w:w="1192" w:type="dxa"/>
            <w:tcBorders>
              <w:left w:val="single" w:sz="4" w:space="0" w:color="auto"/>
              <w:bottom w:val="single" w:sz="4" w:space="0" w:color="auto"/>
            </w:tcBorders>
            <w:vAlign w:val="center"/>
          </w:tcPr>
          <w:p w14:paraId="613928C0" w14:textId="77777777" w:rsidR="00FB453D" w:rsidRPr="00832773" w:rsidRDefault="00FB453D" w:rsidP="00832773">
            <w:pPr>
              <w:spacing w:line="276" w:lineRule="auto"/>
              <w:ind w:right="51"/>
              <w:jc w:val="center"/>
              <w:rPr>
                <w:rFonts w:cs="Calibri"/>
                <w:color w:val="000000"/>
                <w:sz w:val="20"/>
                <w:lang w:eastAsia="es-CR"/>
              </w:rPr>
            </w:pPr>
          </w:p>
        </w:tc>
      </w:tr>
    </w:tbl>
    <w:p w14:paraId="4018C7A4" w14:textId="5C5FFE63" w:rsidR="00FB453D" w:rsidRPr="00832773" w:rsidRDefault="008F5B48" w:rsidP="00832773">
      <w:pPr>
        <w:spacing w:line="276" w:lineRule="auto"/>
        <w:ind w:left="1191" w:right="1191"/>
        <w:rPr>
          <w:rFonts w:cs="Calibri"/>
          <w:b/>
          <w:bCs/>
          <w:i/>
          <w:iCs/>
          <w:color w:val="000000"/>
          <w:sz w:val="20"/>
          <w:lang w:eastAsia="es-CR"/>
        </w:rPr>
      </w:pPr>
      <w:r w:rsidRPr="00832773">
        <w:rPr>
          <w:rFonts w:cs="Calibri"/>
          <w:b/>
          <w:bCs/>
          <w:i/>
          <w:iCs/>
          <w:color w:val="000000"/>
          <w:sz w:val="20"/>
          <w:lang w:eastAsia="es-CR"/>
        </w:rPr>
        <w:t xml:space="preserve">Fuente: </w:t>
      </w:r>
      <w:r w:rsidRPr="004E74A6">
        <w:rPr>
          <w:rFonts w:cs="Calibri"/>
          <w:i/>
          <w:iCs/>
          <w:color w:val="000000"/>
          <w:sz w:val="20"/>
          <w:lang w:eastAsia="es-CR"/>
        </w:rPr>
        <w:t>S</w:t>
      </w:r>
      <w:r w:rsidRPr="00832773">
        <w:rPr>
          <w:rFonts w:cs="Calibri"/>
          <w:i/>
          <w:iCs/>
          <w:color w:val="000000"/>
          <w:sz w:val="20"/>
          <w:lang w:eastAsia="es-CR"/>
        </w:rPr>
        <w:t>ubproceso de estadística</w:t>
      </w:r>
    </w:p>
    <w:p w14:paraId="27291FD6" w14:textId="77777777" w:rsidR="00FB453D" w:rsidRPr="004E74A6" w:rsidRDefault="00FB453D" w:rsidP="00CE62C1">
      <w:pPr>
        <w:spacing w:line="276" w:lineRule="auto"/>
        <w:ind w:right="51"/>
        <w:rPr>
          <w:rFonts w:cs="Calibri"/>
          <w:color w:val="000000"/>
          <w:szCs w:val="24"/>
          <w:lang w:eastAsia="es-CR"/>
        </w:rPr>
      </w:pPr>
    </w:p>
    <w:p w14:paraId="79F8721F" w14:textId="0899EB1C" w:rsidR="008647ED" w:rsidRPr="004E74A6" w:rsidRDefault="008647ED" w:rsidP="00CE62C1">
      <w:pPr>
        <w:spacing w:after="160" w:line="276" w:lineRule="auto"/>
        <w:ind w:right="51"/>
        <w:rPr>
          <w:rFonts w:cs="Calibri"/>
          <w:color w:val="000000"/>
          <w:szCs w:val="24"/>
          <w:lang w:eastAsia="es-CR"/>
        </w:rPr>
      </w:pPr>
      <w:r w:rsidRPr="004E74A6">
        <w:rPr>
          <w:rFonts w:cs="Calibri"/>
          <w:color w:val="000000"/>
          <w:szCs w:val="24"/>
          <w:lang w:eastAsia="es-CR"/>
        </w:rPr>
        <w:lastRenderedPageBreak/>
        <w:t xml:space="preserve">Ahora bien, de </w:t>
      </w:r>
      <w:r w:rsidR="00872B89" w:rsidRPr="004E74A6">
        <w:rPr>
          <w:rFonts w:cs="Calibri"/>
          <w:color w:val="000000"/>
          <w:szCs w:val="24"/>
          <w:lang w:eastAsia="es-CR"/>
        </w:rPr>
        <w:t>esas</w:t>
      </w:r>
      <w:r w:rsidRPr="004E74A6">
        <w:rPr>
          <w:rFonts w:cs="Calibri"/>
          <w:color w:val="000000"/>
          <w:szCs w:val="24"/>
          <w:lang w:eastAsia="es-CR"/>
        </w:rPr>
        <w:t xml:space="preserve"> casaciones</w:t>
      </w:r>
      <w:r w:rsidR="00EF7648" w:rsidRPr="004E74A6">
        <w:rPr>
          <w:rFonts w:cs="Calibri"/>
          <w:color w:val="000000"/>
          <w:szCs w:val="24"/>
          <w:lang w:eastAsia="es-CR"/>
        </w:rPr>
        <w:t xml:space="preserve"> </w:t>
      </w:r>
      <w:r w:rsidR="00872B89" w:rsidRPr="004E74A6">
        <w:rPr>
          <w:rFonts w:cs="Calibri"/>
          <w:color w:val="000000"/>
          <w:szCs w:val="24"/>
          <w:lang w:eastAsia="es-CR"/>
        </w:rPr>
        <w:t xml:space="preserve">civiles ingresadas anualmente en la </w:t>
      </w:r>
      <w:r w:rsidR="00EF7648" w:rsidRPr="004E74A6">
        <w:rPr>
          <w:rFonts w:cs="Calibri"/>
          <w:color w:val="000000"/>
          <w:szCs w:val="24"/>
          <w:lang w:eastAsia="es-CR"/>
        </w:rPr>
        <w:t>Sala</w:t>
      </w:r>
      <w:r w:rsidR="00872B89" w:rsidRPr="004E74A6">
        <w:rPr>
          <w:rFonts w:cs="Calibri"/>
          <w:color w:val="000000"/>
          <w:szCs w:val="24"/>
          <w:lang w:eastAsia="es-CR"/>
        </w:rPr>
        <w:t xml:space="preserve">, las identificadas como </w:t>
      </w:r>
      <w:r w:rsidR="00EF7648" w:rsidRPr="004E74A6">
        <w:rPr>
          <w:rFonts w:cs="Calibri"/>
          <w:color w:val="000000"/>
          <w:szCs w:val="24"/>
          <w:lang w:eastAsia="es-CR"/>
        </w:rPr>
        <w:t>como estimables</w:t>
      </w:r>
      <w:r w:rsidR="00C3667D" w:rsidRPr="004E74A6">
        <w:rPr>
          <w:rFonts w:cs="Calibri"/>
          <w:color w:val="000000"/>
          <w:szCs w:val="24"/>
          <w:lang w:eastAsia="es-CR"/>
        </w:rPr>
        <w:t>, son en promedio 360</w:t>
      </w:r>
      <w:r w:rsidR="00E3109A" w:rsidRPr="004E74A6">
        <w:rPr>
          <w:rFonts w:cs="Calibri"/>
          <w:color w:val="000000"/>
          <w:szCs w:val="24"/>
          <w:lang w:eastAsia="es-CR"/>
        </w:rPr>
        <w:t xml:space="preserve"> al</w:t>
      </w:r>
      <w:r w:rsidR="00C3667D" w:rsidRPr="004E74A6">
        <w:rPr>
          <w:rFonts w:cs="Calibri"/>
          <w:color w:val="000000"/>
          <w:szCs w:val="24"/>
          <w:lang w:eastAsia="es-CR"/>
        </w:rPr>
        <w:t xml:space="preserve"> año cuya</w:t>
      </w:r>
      <w:r w:rsidR="00872B89" w:rsidRPr="004E74A6">
        <w:rPr>
          <w:rFonts w:cs="Calibri"/>
          <w:color w:val="000000"/>
          <w:szCs w:val="24"/>
          <w:lang w:eastAsia="es-CR"/>
        </w:rPr>
        <w:t xml:space="preserve"> cuantía</w:t>
      </w:r>
      <w:r w:rsidR="00EF7648" w:rsidRPr="004E74A6">
        <w:rPr>
          <w:rFonts w:cs="Calibri"/>
          <w:color w:val="000000"/>
          <w:szCs w:val="24"/>
          <w:lang w:eastAsia="es-CR"/>
        </w:rPr>
        <w:t xml:space="preserve"> </w:t>
      </w:r>
      <w:r w:rsidRPr="004E74A6">
        <w:rPr>
          <w:rFonts w:cs="Calibri"/>
          <w:color w:val="000000"/>
          <w:szCs w:val="24"/>
          <w:lang w:eastAsia="es-CR"/>
        </w:rPr>
        <w:t>podrá observarse con mayor detalle en la siguiente tabla</w:t>
      </w:r>
      <w:r w:rsidR="00872B89" w:rsidRPr="004E74A6">
        <w:rPr>
          <w:rFonts w:cs="Calibri"/>
          <w:color w:val="000000"/>
          <w:szCs w:val="24"/>
          <w:lang w:eastAsia="es-CR"/>
        </w:rPr>
        <w:t>:</w:t>
      </w:r>
    </w:p>
    <w:p w14:paraId="709D2BD8" w14:textId="59E5D79E" w:rsidR="00BE45CD" w:rsidRPr="004E74A6" w:rsidRDefault="00BE45CD" w:rsidP="00CE62C1">
      <w:pPr>
        <w:spacing w:after="160" w:line="276" w:lineRule="auto"/>
        <w:rPr>
          <w:rFonts w:cs="Calibri"/>
          <w:color w:val="000000"/>
          <w:szCs w:val="24"/>
          <w:lang w:eastAsia="es-CR"/>
        </w:rPr>
      </w:pPr>
    </w:p>
    <w:p w14:paraId="78106E3B" w14:textId="21FCAA6E" w:rsidR="003E78C2" w:rsidRPr="00832773" w:rsidRDefault="003E78C2" w:rsidP="00832773">
      <w:pPr>
        <w:pStyle w:val="Descripcin"/>
        <w:keepNext/>
        <w:spacing w:line="276" w:lineRule="auto"/>
        <w:jc w:val="center"/>
        <w:rPr>
          <w:rFonts w:ascii="Book Antiqua" w:hAnsi="Book Antiqua"/>
          <w:i/>
          <w:iCs/>
          <w:sz w:val="20"/>
          <w:szCs w:val="16"/>
          <w:lang w:val="es-CR"/>
        </w:rPr>
      </w:pPr>
      <w:r w:rsidRPr="00832773">
        <w:rPr>
          <w:rFonts w:ascii="Book Antiqua" w:hAnsi="Book Antiqua"/>
          <w:i/>
          <w:iCs/>
          <w:sz w:val="20"/>
          <w:szCs w:val="16"/>
          <w:lang w:val="es-CR"/>
        </w:rPr>
        <w:t xml:space="preserve">Tabla </w:t>
      </w:r>
      <w:r w:rsidRPr="00832773">
        <w:rPr>
          <w:rFonts w:ascii="Book Antiqua" w:hAnsi="Book Antiqua"/>
          <w:i/>
          <w:iCs/>
          <w:sz w:val="20"/>
          <w:szCs w:val="16"/>
          <w:lang w:val="es-CR"/>
        </w:rPr>
        <w:fldChar w:fldCharType="begin"/>
      </w:r>
      <w:r w:rsidRPr="00832773">
        <w:rPr>
          <w:rFonts w:ascii="Book Antiqua" w:hAnsi="Book Antiqua"/>
          <w:i/>
          <w:iCs/>
          <w:sz w:val="20"/>
          <w:szCs w:val="16"/>
          <w:lang w:val="es-CR"/>
        </w:rPr>
        <w:instrText xml:space="preserve"> SEQ Tabla \* ARABIC </w:instrText>
      </w:r>
      <w:r w:rsidRPr="00832773">
        <w:rPr>
          <w:rFonts w:ascii="Book Antiqua" w:hAnsi="Book Antiqua"/>
          <w:i/>
          <w:iCs/>
          <w:sz w:val="20"/>
          <w:szCs w:val="16"/>
          <w:lang w:val="es-CR"/>
        </w:rPr>
        <w:fldChar w:fldCharType="separate"/>
      </w:r>
      <w:r w:rsidR="00374B51">
        <w:rPr>
          <w:rFonts w:ascii="Book Antiqua" w:hAnsi="Book Antiqua"/>
          <w:i/>
          <w:iCs/>
          <w:noProof/>
          <w:sz w:val="20"/>
          <w:szCs w:val="16"/>
          <w:lang w:val="es-CR"/>
        </w:rPr>
        <w:t>67</w:t>
      </w:r>
      <w:r w:rsidRPr="00832773">
        <w:rPr>
          <w:rFonts w:ascii="Book Antiqua" w:hAnsi="Book Antiqua"/>
          <w:i/>
          <w:iCs/>
          <w:sz w:val="20"/>
          <w:szCs w:val="16"/>
          <w:lang w:val="es-CR"/>
        </w:rPr>
        <w:fldChar w:fldCharType="end"/>
      </w:r>
      <w:r w:rsidRPr="00832773">
        <w:rPr>
          <w:rFonts w:ascii="Book Antiqua" w:hAnsi="Book Antiqua"/>
          <w:i/>
          <w:iCs/>
          <w:sz w:val="20"/>
          <w:szCs w:val="16"/>
          <w:lang w:val="es-CR"/>
        </w:rPr>
        <w:t xml:space="preserve"> Cantidad de casaciones</w:t>
      </w:r>
      <w:r w:rsidR="00D50BF3" w:rsidRPr="00832773">
        <w:rPr>
          <w:rFonts w:ascii="Book Antiqua" w:hAnsi="Book Antiqua"/>
          <w:i/>
          <w:iCs/>
          <w:sz w:val="20"/>
          <w:szCs w:val="16"/>
          <w:lang w:val="es-CR"/>
        </w:rPr>
        <w:t xml:space="preserve"> </w:t>
      </w:r>
      <w:r w:rsidR="00EF7648" w:rsidRPr="00832773">
        <w:rPr>
          <w:rFonts w:ascii="Book Antiqua" w:hAnsi="Book Antiqua"/>
          <w:i/>
          <w:iCs/>
          <w:sz w:val="20"/>
          <w:szCs w:val="16"/>
          <w:lang w:val="es-CR"/>
        </w:rPr>
        <w:t xml:space="preserve">estimables </w:t>
      </w:r>
      <w:r w:rsidR="00D50BF3" w:rsidRPr="00832773">
        <w:rPr>
          <w:rFonts w:ascii="Book Antiqua" w:hAnsi="Book Antiqua"/>
          <w:i/>
          <w:iCs/>
          <w:sz w:val="20"/>
          <w:szCs w:val="16"/>
          <w:lang w:val="es-CR"/>
        </w:rPr>
        <w:t>en materia</w:t>
      </w:r>
      <w:r w:rsidR="00872B89" w:rsidRPr="00832773">
        <w:rPr>
          <w:rFonts w:ascii="Book Antiqua" w:hAnsi="Book Antiqua"/>
          <w:i/>
          <w:iCs/>
          <w:sz w:val="20"/>
          <w:szCs w:val="16"/>
          <w:lang w:val="es-CR"/>
        </w:rPr>
        <w:t xml:space="preserve"> C</w:t>
      </w:r>
      <w:r w:rsidR="00D50BF3" w:rsidRPr="00832773">
        <w:rPr>
          <w:rFonts w:ascii="Book Antiqua" w:hAnsi="Book Antiqua"/>
          <w:i/>
          <w:iCs/>
          <w:sz w:val="20"/>
          <w:szCs w:val="16"/>
          <w:lang w:val="es-CR"/>
        </w:rPr>
        <w:t>ivil</w:t>
      </w:r>
      <w:r w:rsidRPr="00832773">
        <w:rPr>
          <w:rFonts w:ascii="Book Antiqua" w:hAnsi="Book Antiqua"/>
          <w:i/>
          <w:iCs/>
          <w:sz w:val="20"/>
          <w:szCs w:val="16"/>
          <w:lang w:val="es-CR"/>
        </w:rPr>
        <w:t xml:space="preserve"> según </w:t>
      </w:r>
      <w:r w:rsidR="00872B89" w:rsidRPr="00832773">
        <w:rPr>
          <w:rFonts w:ascii="Book Antiqua" w:hAnsi="Book Antiqua"/>
          <w:i/>
          <w:iCs/>
          <w:sz w:val="20"/>
          <w:szCs w:val="16"/>
          <w:lang w:val="es-CR"/>
        </w:rPr>
        <w:t xml:space="preserve">rango de </w:t>
      </w:r>
      <w:r w:rsidRPr="00832773">
        <w:rPr>
          <w:rFonts w:ascii="Book Antiqua" w:hAnsi="Book Antiqua"/>
          <w:i/>
          <w:iCs/>
          <w:sz w:val="20"/>
          <w:szCs w:val="16"/>
          <w:lang w:val="es-CR"/>
        </w:rPr>
        <w:t>cuantía</w:t>
      </w:r>
      <w:r w:rsidR="00E678D2" w:rsidRPr="00832773">
        <w:rPr>
          <w:rFonts w:ascii="Book Antiqua" w:hAnsi="Book Antiqua"/>
          <w:i/>
          <w:iCs/>
          <w:sz w:val="20"/>
          <w:szCs w:val="16"/>
          <w:lang w:val="es-CR"/>
        </w:rPr>
        <w:t>,</w:t>
      </w:r>
      <w:r w:rsidRPr="00832773">
        <w:rPr>
          <w:rFonts w:ascii="Book Antiqua" w:hAnsi="Book Antiqua"/>
          <w:i/>
          <w:iCs/>
          <w:sz w:val="20"/>
          <w:szCs w:val="16"/>
          <w:lang w:val="es-CR"/>
        </w:rPr>
        <w:t xml:space="preserve"> </w:t>
      </w:r>
      <w:r w:rsidR="00872B89" w:rsidRPr="00832773">
        <w:rPr>
          <w:rFonts w:ascii="Book Antiqua" w:hAnsi="Book Antiqua"/>
          <w:i/>
          <w:iCs/>
          <w:sz w:val="20"/>
          <w:szCs w:val="16"/>
          <w:lang w:val="es-CR"/>
        </w:rPr>
        <w:t xml:space="preserve">ingresadas </w:t>
      </w:r>
      <w:r w:rsidRPr="00832773">
        <w:rPr>
          <w:rFonts w:ascii="Book Antiqua" w:hAnsi="Book Antiqua"/>
          <w:i/>
          <w:iCs/>
          <w:sz w:val="20"/>
          <w:szCs w:val="16"/>
          <w:lang w:val="es-CR"/>
        </w:rPr>
        <w:t>por año de la Sala Primera</w:t>
      </w:r>
    </w:p>
    <w:tbl>
      <w:tblPr>
        <w:tblW w:w="10100" w:type="dxa"/>
        <w:tblInd w:w="-426" w:type="dxa"/>
        <w:tblCellMar>
          <w:left w:w="70" w:type="dxa"/>
          <w:right w:w="70" w:type="dxa"/>
        </w:tblCellMar>
        <w:tblLook w:val="04A0" w:firstRow="1" w:lastRow="0" w:firstColumn="1" w:lastColumn="0" w:noHBand="0" w:noVBand="1"/>
      </w:tblPr>
      <w:tblGrid>
        <w:gridCol w:w="2800"/>
        <w:gridCol w:w="1200"/>
        <w:gridCol w:w="1200"/>
        <w:gridCol w:w="1200"/>
        <w:gridCol w:w="1200"/>
        <w:gridCol w:w="2500"/>
      </w:tblGrid>
      <w:tr w:rsidR="00BB5628" w:rsidRPr="004E74A6" w14:paraId="519E488E" w14:textId="77777777" w:rsidTr="00832773">
        <w:trPr>
          <w:trHeight w:val="1095"/>
          <w:tblHeader/>
        </w:trPr>
        <w:tc>
          <w:tcPr>
            <w:tcW w:w="2800" w:type="dxa"/>
            <w:tcBorders>
              <w:top w:val="single" w:sz="8" w:space="0" w:color="auto"/>
              <w:left w:val="nil"/>
              <w:bottom w:val="single" w:sz="8" w:space="0" w:color="auto"/>
              <w:right w:val="single" w:sz="8" w:space="0" w:color="auto"/>
            </w:tcBorders>
            <w:shd w:val="clear" w:color="auto" w:fill="auto"/>
            <w:noWrap/>
            <w:vAlign w:val="center"/>
            <w:hideMark/>
          </w:tcPr>
          <w:p w14:paraId="65CD6634" w14:textId="77777777" w:rsidR="00BB5628" w:rsidRPr="004E74A6" w:rsidRDefault="00BB5628" w:rsidP="00832773">
            <w:pPr>
              <w:spacing w:line="276" w:lineRule="auto"/>
              <w:jc w:val="center"/>
              <w:rPr>
                <w:rFonts w:cs="Calibri"/>
                <w:color w:val="000000"/>
                <w:sz w:val="20"/>
                <w:lang w:eastAsia="es-CR"/>
              </w:rPr>
            </w:pPr>
            <w:r w:rsidRPr="004E74A6">
              <w:rPr>
                <w:rFonts w:cs="Calibri"/>
                <w:color w:val="000000"/>
                <w:sz w:val="20"/>
                <w:lang w:eastAsia="es-CR"/>
              </w:rPr>
              <w:t xml:space="preserve">Rango Cuantía </w:t>
            </w:r>
          </w:p>
        </w:tc>
        <w:tc>
          <w:tcPr>
            <w:tcW w:w="1200" w:type="dxa"/>
            <w:tcBorders>
              <w:top w:val="single" w:sz="8" w:space="0" w:color="auto"/>
              <w:left w:val="nil"/>
              <w:bottom w:val="single" w:sz="8" w:space="0" w:color="auto"/>
              <w:right w:val="single" w:sz="8" w:space="0" w:color="auto"/>
            </w:tcBorders>
            <w:shd w:val="clear" w:color="auto" w:fill="auto"/>
            <w:noWrap/>
            <w:vAlign w:val="center"/>
            <w:hideMark/>
          </w:tcPr>
          <w:p w14:paraId="13D6BB33" w14:textId="77777777" w:rsidR="00BB5628" w:rsidRPr="004E74A6" w:rsidRDefault="00BB5628" w:rsidP="00832773">
            <w:pPr>
              <w:spacing w:line="276" w:lineRule="auto"/>
              <w:jc w:val="center"/>
              <w:rPr>
                <w:rFonts w:cs="Calibri"/>
                <w:color w:val="000000"/>
                <w:sz w:val="20"/>
                <w:lang w:eastAsia="es-CR"/>
              </w:rPr>
            </w:pPr>
            <w:r w:rsidRPr="004E74A6">
              <w:rPr>
                <w:rFonts w:cs="Calibri"/>
                <w:color w:val="000000"/>
                <w:sz w:val="20"/>
                <w:lang w:eastAsia="es-CR"/>
              </w:rPr>
              <w:t>2019</w:t>
            </w:r>
          </w:p>
        </w:tc>
        <w:tc>
          <w:tcPr>
            <w:tcW w:w="1200" w:type="dxa"/>
            <w:tcBorders>
              <w:top w:val="single" w:sz="8" w:space="0" w:color="auto"/>
              <w:left w:val="nil"/>
              <w:bottom w:val="single" w:sz="8" w:space="0" w:color="auto"/>
              <w:right w:val="single" w:sz="8" w:space="0" w:color="auto"/>
            </w:tcBorders>
            <w:shd w:val="clear" w:color="auto" w:fill="auto"/>
            <w:noWrap/>
            <w:vAlign w:val="center"/>
            <w:hideMark/>
          </w:tcPr>
          <w:p w14:paraId="2FD852FE" w14:textId="77777777" w:rsidR="00BB5628" w:rsidRPr="004E74A6" w:rsidRDefault="00BB5628" w:rsidP="00832773">
            <w:pPr>
              <w:spacing w:line="276" w:lineRule="auto"/>
              <w:jc w:val="center"/>
              <w:rPr>
                <w:rFonts w:cs="Calibri"/>
                <w:color w:val="000000"/>
                <w:sz w:val="20"/>
                <w:lang w:eastAsia="es-CR"/>
              </w:rPr>
            </w:pPr>
            <w:r w:rsidRPr="004E74A6">
              <w:rPr>
                <w:rFonts w:cs="Calibri"/>
                <w:color w:val="000000"/>
                <w:sz w:val="20"/>
                <w:lang w:eastAsia="es-CR"/>
              </w:rPr>
              <w:t>2020</w:t>
            </w:r>
          </w:p>
        </w:tc>
        <w:tc>
          <w:tcPr>
            <w:tcW w:w="1200" w:type="dxa"/>
            <w:tcBorders>
              <w:top w:val="single" w:sz="8" w:space="0" w:color="auto"/>
              <w:left w:val="nil"/>
              <w:bottom w:val="single" w:sz="8" w:space="0" w:color="auto"/>
              <w:right w:val="single" w:sz="8" w:space="0" w:color="auto"/>
            </w:tcBorders>
            <w:shd w:val="clear" w:color="auto" w:fill="auto"/>
            <w:noWrap/>
            <w:vAlign w:val="center"/>
            <w:hideMark/>
          </w:tcPr>
          <w:p w14:paraId="18F4AE58" w14:textId="77777777" w:rsidR="00BB5628" w:rsidRPr="004E74A6" w:rsidRDefault="00BB5628" w:rsidP="00832773">
            <w:pPr>
              <w:spacing w:line="276" w:lineRule="auto"/>
              <w:jc w:val="center"/>
              <w:rPr>
                <w:rFonts w:cs="Calibri"/>
                <w:color w:val="000000"/>
                <w:sz w:val="20"/>
                <w:lang w:eastAsia="es-CR"/>
              </w:rPr>
            </w:pPr>
            <w:r w:rsidRPr="004E74A6">
              <w:rPr>
                <w:rFonts w:cs="Calibri"/>
                <w:color w:val="000000"/>
                <w:sz w:val="20"/>
                <w:lang w:eastAsia="es-CR"/>
              </w:rPr>
              <w:t>2021</w:t>
            </w:r>
          </w:p>
        </w:tc>
        <w:tc>
          <w:tcPr>
            <w:tcW w:w="1200" w:type="dxa"/>
            <w:tcBorders>
              <w:top w:val="single" w:sz="8" w:space="0" w:color="auto"/>
              <w:left w:val="nil"/>
              <w:bottom w:val="single" w:sz="8" w:space="0" w:color="auto"/>
              <w:right w:val="single" w:sz="8" w:space="0" w:color="auto"/>
            </w:tcBorders>
            <w:shd w:val="clear" w:color="auto" w:fill="auto"/>
            <w:noWrap/>
            <w:vAlign w:val="center"/>
            <w:hideMark/>
          </w:tcPr>
          <w:p w14:paraId="7DD13829" w14:textId="77777777" w:rsidR="00BB5628" w:rsidRPr="004E74A6" w:rsidRDefault="00BB5628" w:rsidP="00832773">
            <w:pPr>
              <w:spacing w:line="276" w:lineRule="auto"/>
              <w:jc w:val="center"/>
              <w:rPr>
                <w:rFonts w:cs="Calibri"/>
                <w:color w:val="000000"/>
                <w:sz w:val="20"/>
                <w:lang w:eastAsia="es-CR"/>
              </w:rPr>
            </w:pPr>
            <w:r w:rsidRPr="004E74A6">
              <w:rPr>
                <w:rFonts w:cs="Calibri"/>
                <w:color w:val="000000"/>
                <w:sz w:val="20"/>
                <w:lang w:eastAsia="es-CR"/>
              </w:rPr>
              <w:t>Promedio</w:t>
            </w:r>
          </w:p>
        </w:tc>
        <w:tc>
          <w:tcPr>
            <w:tcW w:w="2500" w:type="dxa"/>
            <w:tcBorders>
              <w:top w:val="single" w:sz="8" w:space="0" w:color="auto"/>
              <w:left w:val="nil"/>
              <w:bottom w:val="single" w:sz="8" w:space="0" w:color="auto"/>
              <w:right w:val="nil"/>
            </w:tcBorders>
            <w:shd w:val="clear" w:color="auto" w:fill="auto"/>
            <w:vAlign w:val="center"/>
            <w:hideMark/>
          </w:tcPr>
          <w:p w14:paraId="5E648710" w14:textId="77777777" w:rsidR="00BB5628" w:rsidRPr="004E74A6" w:rsidRDefault="00BB5628" w:rsidP="00832773">
            <w:pPr>
              <w:spacing w:line="276" w:lineRule="auto"/>
              <w:jc w:val="center"/>
              <w:rPr>
                <w:rFonts w:cs="Calibri"/>
                <w:color w:val="000000"/>
                <w:sz w:val="20"/>
                <w:lang w:eastAsia="es-CR"/>
              </w:rPr>
            </w:pPr>
            <w:r w:rsidRPr="004E74A6">
              <w:rPr>
                <w:rFonts w:cs="Calibri"/>
                <w:color w:val="000000"/>
                <w:sz w:val="20"/>
                <w:lang w:eastAsia="es-CR"/>
              </w:rPr>
              <w:t>Pérdida porcentual en la entrada en caso de elevarse la cuantía según rango</w:t>
            </w:r>
          </w:p>
        </w:tc>
      </w:tr>
      <w:tr w:rsidR="00BB5628" w:rsidRPr="004E74A6" w14:paraId="41BEEC42" w14:textId="77777777" w:rsidTr="005103B2">
        <w:trPr>
          <w:trHeight w:val="300"/>
        </w:trPr>
        <w:tc>
          <w:tcPr>
            <w:tcW w:w="2800" w:type="dxa"/>
            <w:tcBorders>
              <w:top w:val="nil"/>
              <w:left w:val="nil"/>
              <w:bottom w:val="nil"/>
              <w:right w:val="single" w:sz="8" w:space="0" w:color="auto"/>
            </w:tcBorders>
            <w:shd w:val="clear" w:color="auto" w:fill="auto"/>
            <w:noWrap/>
            <w:vAlign w:val="center"/>
            <w:hideMark/>
          </w:tcPr>
          <w:p w14:paraId="40523DF6" w14:textId="77777777" w:rsidR="00BB5628" w:rsidRPr="004E74A6" w:rsidRDefault="00BB5628" w:rsidP="00832773">
            <w:pPr>
              <w:spacing w:line="276" w:lineRule="auto"/>
              <w:jc w:val="left"/>
              <w:rPr>
                <w:rFonts w:cs="Calibri"/>
                <w:color w:val="000000"/>
                <w:sz w:val="20"/>
                <w:lang w:eastAsia="es-CR"/>
              </w:rPr>
            </w:pPr>
            <w:r w:rsidRPr="004E74A6">
              <w:rPr>
                <w:rFonts w:cs="Calibri"/>
                <w:color w:val="000000"/>
                <w:sz w:val="20"/>
                <w:lang w:eastAsia="es-CR"/>
              </w:rPr>
              <w:t> </w:t>
            </w:r>
          </w:p>
        </w:tc>
        <w:tc>
          <w:tcPr>
            <w:tcW w:w="1200" w:type="dxa"/>
            <w:tcBorders>
              <w:top w:val="nil"/>
              <w:left w:val="nil"/>
              <w:bottom w:val="nil"/>
              <w:right w:val="single" w:sz="8" w:space="0" w:color="auto"/>
            </w:tcBorders>
            <w:shd w:val="clear" w:color="auto" w:fill="auto"/>
            <w:noWrap/>
            <w:vAlign w:val="center"/>
            <w:hideMark/>
          </w:tcPr>
          <w:p w14:paraId="2E1FE00F" w14:textId="77777777" w:rsidR="00BB5628" w:rsidRPr="004E74A6" w:rsidRDefault="00BB5628" w:rsidP="00832773">
            <w:pPr>
              <w:spacing w:line="276" w:lineRule="auto"/>
              <w:jc w:val="center"/>
              <w:rPr>
                <w:rFonts w:cs="Calibri"/>
                <w:color w:val="000000"/>
                <w:sz w:val="20"/>
                <w:lang w:eastAsia="es-CR"/>
              </w:rPr>
            </w:pPr>
            <w:r w:rsidRPr="004E74A6">
              <w:rPr>
                <w:rFonts w:cs="Calibri"/>
                <w:color w:val="000000"/>
                <w:sz w:val="20"/>
                <w:lang w:eastAsia="es-CR"/>
              </w:rPr>
              <w:t> </w:t>
            </w:r>
          </w:p>
        </w:tc>
        <w:tc>
          <w:tcPr>
            <w:tcW w:w="1200" w:type="dxa"/>
            <w:tcBorders>
              <w:top w:val="nil"/>
              <w:left w:val="nil"/>
              <w:bottom w:val="nil"/>
              <w:right w:val="single" w:sz="8" w:space="0" w:color="auto"/>
            </w:tcBorders>
            <w:shd w:val="clear" w:color="auto" w:fill="auto"/>
            <w:noWrap/>
            <w:vAlign w:val="center"/>
            <w:hideMark/>
          </w:tcPr>
          <w:p w14:paraId="17E36330" w14:textId="77777777" w:rsidR="00BB5628" w:rsidRPr="004E74A6" w:rsidRDefault="00BB5628" w:rsidP="00832773">
            <w:pPr>
              <w:spacing w:line="276" w:lineRule="auto"/>
              <w:jc w:val="center"/>
              <w:rPr>
                <w:rFonts w:cs="Calibri"/>
                <w:color w:val="000000"/>
                <w:sz w:val="20"/>
                <w:lang w:eastAsia="es-CR"/>
              </w:rPr>
            </w:pPr>
            <w:r w:rsidRPr="004E74A6">
              <w:rPr>
                <w:rFonts w:cs="Calibri"/>
                <w:color w:val="000000"/>
                <w:sz w:val="20"/>
                <w:lang w:eastAsia="es-CR"/>
              </w:rPr>
              <w:t> </w:t>
            </w:r>
          </w:p>
        </w:tc>
        <w:tc>
          <w:tcPr>
            <w:tcW w:w="1200" w:type="dxa"/>
            <w:tcBorders>
              <w:top w:val="nil"/>
              <w:left w:val="nil"/>
              <w:bottom w:val="nil"/>
              <w:right w:val="single" w:sz="8" w:space="0" w:color="auto"/>
            </w:tcBorders>
            <w:shd w:val="clear" w:color="auto" w:fill="auto"/>
            <w:noWrap/>
            <w:vAlign w:val="center"/>
            <w:hideMark/>
          </w:tcPr>
          <w:p w14:paraId="0960E3B6" w14:textId="77777777" w:rsidR="00BB5628" w:rsidRPr="004E74A6" w:rsidRDefault="00BB5628" w:rsidP="00832773">
            <w:pPr>
              <w:spacing w:line="276" w:lineRule="auto"/>
              <w:jc w:val="center"/>
              <w:rPr>
                <w:rFonts w:cs="Calibri"/>
                <w:color w:val="000000"/>
                <w:sz w:val="20"/>
                <w:lang w:eastAsia="es-CR"/>
              </w:rPr>
            </w:pPr>
            <w:r w:rsidRPr="004E74A6">
              <w:rPr>
                <w:rFonts w:cs="Calibri"/>
                <w:color w:val="000000"/>
                <w:sz w:val="20"/>
                <w:lang w:eastAsia="es-CR"/>
              </w:rPr>
              <w:t> </w:t>
            </w:r>
          </w:p>
        </w:tc>
        <w:tc>
          <w:tcPr>
            <w:tcW w:w="1200" w:type="dxa"/>
            <w:tcBorders>
              <w:top w:val="nil"/>
              <w:left w:val="nil"/>
              <w:bottom w:val="nil"/>
              <w:right w:val="single" w:sz="8" w:space="0" w:color="auto"/>
            </w:tcBorders>
            <w:shd w:val="clear" w:color="auto" w:fill="auto"/>
            <w:noWrap/>
            <w:vAlign w:val="center"/>
            <w:hideMark/>
          </w:tcPr>
          <w:p w14:paraId="650C643A" w14:textId="77777777" w:rsidR="00BB5628" w:rsidRPr="004E74A6" w:rsidRDefault="00BB5628" w:rsidP="00832773">
            <w:pPr>
              <w:spacing w:line="276" w:lineRule="auto"/>
              <w:jc w:val="center"/>
              <w:rPr>
                <w:rFonts w:cs="Calibri"/>
                <w:color w:val="000000"/>
                <w:sz w:val="20"/>
                <w:lang w:eastAsia="es-CR"/>
              </w:rPr>
            </w:pPr>
            <w:r w:rsidRPr="004E74A6">
              <w:rPr>
                <w:rFonts w:cs="Calibri"/>
                <w:color w:val="000000"/>
                <w:sz w:val="20"/>
                <w:lang w:eastAsia="es-CR"/>
              </w:rPr>
              <w:t> </w:t>
            </w:r>
          </w:p>
        </w:tc>
        <w:tc>
          <w:tcPr>
            <w:tcW w:w="2500" w:type="dxa"/>
            <w:tcBorders>
              <w:top w:val="nil"/>
              <w:left w:val="nil"/>
              <w:bottom w:val="nil"/>
              <w:right w:val="nil"/>
            </w:tcBorders>
            <w:shd w:val="clear" w:color="auto" w:fill="auto"/>
            <w:noWrap/>
            <w:vAlign w:val="bottom"/>
            <w:hideMark/>
          </w:tcPr>
          <w:p w14:paraId="276DFE3B" w14:textId="77777777" w:rsidR="00BB5628" w:rsidRPr="004E74A6" w:rsidRDefault="00BB5628" w:rsidP="00832773">
            <w:pPr>
              <w:spacing w:line="276" w:lineRule="auto"/>
              <w:jc w:val="center"/>
              <w:rPr>
                <w:rFonts w:cs="Calibri"/>
                <w:color w:val="000000"/>
                <w:sz w:val="20"/>
                <w:lang w:eastAsia="es-CR"/>
              </w:rPr>
            </w:pPr>
          </w:p>
        </w:tc>
      </w:tr>
      <w:tr w:rsidR="00BB5628" w:rsidRPr="004E74A6" w14:paraId="72AA6CD2" w14:textId="77777777" w:rsidTr="005103B2">
        <w:trPr>
          <w:trHeight w:val="300"/>
        </w:trPr>
        <w:tc>
          <w:tcPr>
            <w:tcW w:w="2800" w:type="dxa"/>
            <w:tcBorders>
              <w:top w:val="nil"/>
              <w:left w:val="nil"/>
              <w:bottom w:val="nil"/>
              <w:right w:val="single" w:sz="8" w:space="0" w:color="auto"/>
            </w:tcBorders>
            <w:shd w:val="clear" w:color="auto" w:fill="auto"/>
            <w:noWrap/>
            <w:vAlign w:val="center"/>
            <w:hideMark/>
          </w:tcPr>
          <w:p w14:paraId="547A7D1D" w14:textId="77777777" w:rsidR="00BB5628" w:rsidRPr="004E74A6" w:rsidRDefault="00BB5628" w:rsidP="00832773">
            <w:pPr>
              <w:spacing w:line="276" w:lineRule="auto"/>
              <w:jc w:val="center"/>
              <w:rPr>
                <w:rFonts w:cs="Calibri"/>
                <w:color w:val="000000"/>
                <w:sz w:val="20"/>
                <w:lang w:eastAsia="es-CR"/>
              </w:rPr>
            </w:pPr>
            <w:r w:rsidRPr="004E74A6">
              <w:rPr>
                <w:rFonts w:cs="Calibri"/>
                <w:color w:val="000000"/>
                <w:sz w:val="20"/>
                <w:lang w:eastAsia="es-CR"/>
              </w:rPr>
              <w:t>Total</w:t>
            </w:r>
          </w:p>
        </w:tc>
        <w:tc>
          <w:tcPr>
            <w:tcW w:w="1200" w:type="dxa"/>
            <w:tcBorders>
              <w:top w:val="nil"/>
              <w:left w:val="nil"/>
              <w:bottom w:val="nil"/>
              <w:right w:val="single" w:sz="8" w:space="0" w:color="auto"/>
            </w:tcBorders>
            <w:shd w:val="clear" w:color="auto" w:fill="auto"/>
            <w:noWrap/>
            <w:vAlign w:val="center"/>
            <w:hideMark/>
          </w:tcPr>
          <w:p w14:paraId="7A1E92E7" w14:textId="77777777" w:rsidR="00BB5628" w:rsidRPr="004E74A6" w:rsidRDefault="00BB5628" w:rsidP="00832773">
            <w:pPr>
              <w:spacing w:line="276" w:lineRule="auto"/>
              <w:jc w:val="center"/>
              <w:rPr>
                <w:rFonts w:cs="Calibri"/>
                <w:color w:val="000000"/>
                <w:sz w:val="20"/>
                <w:lang w:eastAsia="es-CR"/>
              </w:rPr>
            </w:pPr>
            <w:r w:rsidRPr="004E74A6">
              <w:rPr>
                <w:rFonts w:cs="Calibri"/>
                <w:color w:val="000000"/>
                <w:sz w:val="20"/>
                <w:lang w:eastAsia="es-CR"/>
              </w:rPr>
              <w:t>393</w:t>
            </w:r>
          </w:p>
        </w:tc>
        <w:tc>
          <w:tcPr>
            <w:tcW w:w="1200" w:type="dxa"/>
            <w:tcBorders>
              <w:top w:val="nil"/>
              <w:left w:val="nil"/>
              <w:bottom w:val="nil"/>
              <w:right w:val="single" w:sz="8" w:space="0" w:color="auto"/>
            </w:tcBorders>
            <w:shd w:val="clear" w:color="auto" w:fill="auto"/>
            <w:noWrap/>
            <w:vAlign w:val="center"/>
            <w:hideMark/>
          </w:tcPr>
          <w:p w14:paraId="01F6B22A" w14:textId="77777777" w:rsidR="00BB5628" w:rsidRPr="004E74A6" w:rsidRDefault="00BB5628" w:rsidP="00832773">
            <w:pPr>
              <w:spacing w:line="276" w:lineRule="auto"/>
              <w:jc w:val="center"/>
              <w:rPr>
                <w:rFonts w:cs="Calibri"/>
                <w:color w:val="000000"/>
                <w:sz w:val="20"/>
                <w:lang w:eastAsia="es-CR"/>
              </w:rPr>
            </w:pPr>
            <w:r w:rsidRPr="004E74A6">
              <w:rPr>
                <w:rFonts w:cs="Calibri"/>
                <w:color w:val="000000"/>
                <w:sz w:val="20"/>
                <w:lang w:eastAsia="es-CR"/>
              </w:rPr>
              <w:t>400</w:t>
            </w:r>
          </w:p>
        </w:tc>
        <w:tc>
          <w:tcPr>
            <w:tcW w:w="1200" w:type="dxa"/>
            <w:tcBorders>
              <w:top w:val="nil"/>
              <w:left w:val="nil"/>
              <w:bottom w:val="nil"/>
              <w:right w:val="single" w:sz="8" w:space="0" w:color="auto"/>
            </w:tcBorders>
            <w:shd w:val="clear" w:color="auto" w:fill="auto"/>
            <w:noWrap/>
            <w:vAlign w:val="center"/>
            <w:hideMark/>
          </w:tcPr>
          <w:p w14:paraId="701DADAD" w14:textId="77777777" w:rsidR="00BB5628" w:rsidRPr="004E74A6" w:rsidRDefault="00BB5628" w:rsidP="00832773">
            <w:pPr>
              <w:spacing w:line="276" w:lineRule="auto"/>
              <w:jc w:val="center"/>
              <w:rPr>
                <w:rFonts w:cs="Calibri"/>
                <w:color w:val="000000"/>
                <w:sz w:val="20"/>
                <w:lang w:eastAsia="es-CR"/>
              </w:rPr>
            </w:pPr>
            <w:r w:rsidRPr="004E74A6">
              <w:rPr>
                <w:rFonts w:cs="Calibri"/>
                <w:color w:val="000000"/>
                <w:sz w:val="20"/>
                <w:lang w:eastAsia="es-CR"/>
              </w:rPr>
              <w:t>286</w:t>
            </w:r>
          </w:p>
        </w:tc>
        <w:tc>
          <w:tcPr>
            <w:tcW w:w="1200" w:type="dxa"/>
            <w:tcBorders>
              <w:top w:val="nil"/>
              <w:left w:val="nil"/>
              <w:bottom w:val="nil"/>
              <w:right w:val="single" w:sz="8" w:space="0" w:color="auto"/>
            </w:tcBorders>
            <w:shd w:val="clear" w:color="auto" w:fill="auto"/>
            <w:noWrap/>
            <w:vAlign w:val="center"/>
            <w:hideMark/>
          </w:tcPr>
          <w:p w14:paraId="3D9CBD70" w14:textId="77777777" w:rsidR="00BB5628" w:rsidRPr="004E74A6" w:rsidRDefault="00BB5628" w:rsidP="00832773">
            <w:pPr>
              <w:spacing w:line="276" w:lineRule="auto"/>
              <w:jc w:val="center"/>
              <w:rPr>
                <w:rFonts w:cs="Calibri"/>
                <w:color w:val="000000"/>
                <w:sz w:val="20"/>
                <w:lang w:eastAsia="es-CR"/>
              </w:rPr>
            </w:pPr>
            <w:r w:rsidRPr="004E74A6">
              <w:rPr>
                <w:rFonts w:cs="Calibri"/>
                <w:color w:val="000000"/>
                <w:sz w:val="20"/>
                <w:lang w:eastAsia="es-CR"/>
              </w:rPr>
              <w:t>360</w:t>
            </w:r>
          </w:p>
        </w:tc>
        <w:tc>
          <w:tcPr>
            <w:tcW w:w="2500" w:type="dxa"/>
            <w:tcBorders>
              <w:top w:val="nil"/>
              <w:left w:val="nil"/>
              <w:bottom w:val="nil"/>
              <w:right w:val="nil"/>
            </w:tcBorders>
            <w:shd w:val="clear" w:color="auto" w:fill="auto"/>
            <w:noWrap/>
            <w:vAlign w:val="bottom"/>
            <w:hideMark/>
          </w:tcPr>
          <w:p w14:paraId="411C3858" w14:textId="77777777" w:rsidR="00BB5628" w:rsidRPr="004E74A6" w:rsidRDefault="00BB5628" w:rsidP="00832773">
            <w:pPr>
              <w:spacing w:line="276" w:lineRule="auto"/>
              <w:jc w:val="center"/>
              <w:rPr>
                <w:rFonts w:cs="Calibri"/>
                <w:color w:val="000000"/>
                <w:sz w:val="20"/>
                <w:lang w:eastAsia="es-CR"/>
              </w:rPr>
            </w:pPr>
          </w:p>
        </w:tc>
      </w:tr>
      <w:tr w:rsidR="00BB5628" w:rsidRPr="004E74A6" w14:paraId="46FFA2FD" w14:textId="77777777" w:rsidTr="005103B2">
        <w:trPr>
          <w:trHeight w:val="300"/>
        </w:trPr>
        <w:tc>
          <w:tcPr>
            <w:tcW w:w="2800" w:type="dxa"/>
            <w:tcBorders>
              <w:top w:val="nil"/>
              <w:left w:val="nil"/>
              <w:bottom w:val="nil"/>
              <w:right w:val="single" w:sz="8" w:space="0" w:color="auto"/>
            </w:tcBorders>
            <w:shd w:val="clear" w:color="auto" w:fill="auto"/>
            <w:noWrap/>
            <w:vAlign w:val="center"/>
            <w:hideMark/>
          </w:tcPr>
          <w:p w14:paraId="0F1DA0DD" w14:textId="77777777" w:rsidR="00BB5628" w:rsidRPr="004E74A6" w:rsidRDefault="00BB5628" w:rsidP="00832773">
            <w:pPr>
              <w:spacing w:line="276" w:lineRule="auto"/>
              <w:jc w:val="left"/>
              <w:rPr>
                <w:rFonts w:cs="Calibri"/>
                <w:color w:val="000000"/>
                <w:sz w:val="20"/>
                <w:lang w:eastAsia="es-CR"/>
              </w:rPr>
            </w:pPr>
            <w:r w:rsidRPr="004E74A6">
              <w:rPr>
                <w:rFonts w:cs="Calibri"/>
                <w:color w:val="000000"/>
                <w:sz w:val="20"/>
                <w:lang w:eastAsia="es-CR"/>
              </w:rPr>
              <w:t> </w:t>
            </w:r>
          </w:p>
        </w:tc>
        <w:tc>
          <w:tcPr>
            <w:tcW w:w="1200" w:type="dxa"/>
            <w:tcBorders>
              <w:top w:val="nil"/>
              <w:left w:val="nil"/>
              <w:bottom w:val="nil"/>
              <w:right w:val="single" w:sz="8" w:space="0" w:color="auto"/>
            </w:tcBorders>
            <w:shd w:val="clear" w:color="auto" w:fill="auto"/>
            <w:noWrap/>
            <w:vAlign w:val="center"/>
            <w:hideMark/>
          </w:tcPr>
          <w:p w14:paraId="7EB0F966" w14:textId="77777777" w:rsidR="00BB5628" w:rsidRPr="004E74A6" w:rsidRDefault="00BB5628" w:rsidP="00832773">
            <w:pPr>
              <w:spacing w:line="276" w:lineRule="auto"/>
              <w:jc w:val="center"/>
              <w:rPr>
                <w:rFonts w:cs="Calibri"/>
                <w:color w:val="000000"/>
                <w:sz w:val="20"/>
                <w:lang w:eastAsia="es-CR"/>
              </w:rPr>
            </w:pPr>
            <w:r w:rsidRPr="004E74A6">
              <w:rPr>
                <w:rFonts w:cs="Calibri"/>
                <w:color w:val="000000"/>
                <w:sz w:val="20"/>
                <w:lang w:eastAsia="es-CR"/>
              </w:rPr>
              <w:t> </w:t>
            </w:r>
          </w:p>
        </w:tc>
        <w:tc>
          <w:tcPr>
            <w:tcW w:w="1200" w:type="dxa"/>
            <w:tcBorders>
              <w:top w:val="nil"/>
              <w:left w:val="nil"/>
              <w:bottom w:val="nil"/>
              <w:right w:val="single" w:sz="8" w:space="0" w:color="auto"/>
            </w:tcBorders>
            <w:shd w:val="clear" w:color="auto" w:fill="auto"/>
            <w:noWrap/>
            <w:vAlign w:val="center"/>
            <w:hideMark/>
          </w:tcPr>
          <w:p w14:paraId="665CCA52" w14:textId="77777777" w:rsidR="00BB5628" w:rsidRPr="004E74A6" w:rsidRDefault="00BB5628" w:rsidP="00832773">
            <w:pPr>
              <w:spacing w:line="276" w:lineRule="auto"/>
              <w:jc w:val="center"/>
              <w:rPr>
                <w:rFonts w:cs="Calibri"/>
                <w:color w:val="000000"/>
                <w:sz w:val="20"/>
                <w:lang w:eastAsia="es-CR"/>
              </w:rPr>
            </w:pPr>
            <w:r w:rsidRPr="004E74A6">
              <w:rPr>
                <w:rFonts w:cs="Calibri"/>
                <w:color w:val="000000"/>
                <w:sz w:val="20"/>
                <w:lang w:eastAsia="es-CR"/>
              </w:rPr>
              <w:t> </w:t>
            </w:r>
          </w:p>
        </w:tc>
        <w:tc>
          <w:tcPr>
            <w:tcW w:w="1200" w:type="dxa"/>
            <w:tcBorders>
              <w:top w:val="nil"/>
              <w:left w:val="nil"/>
              <w:bottom w:val="nil"/>
              <w:right w:val="single" w:sz="8" w:space="0" w:color="auto"/>
            </w:tcBorders>
            <w:shd w:val="clear" w:color="auto" w:fill="auto"/>
            <w:noWrap/>
            <w:vAlign w:val="center"/>
            <w:hideMark/>
          </w:tcPr>
          <w:p w14:paraId="10CA86D5" w14:textId="77777777" w:rsidR="00BB5628" w:rsidRPr="004E74A6" w:rsidRDefault="00BB5628" w:rsidP="00832773">
            <w:pPr>
              <w:spacing w:line="276" w:lineRule="auto"/>
              <w:jc w:val="center"/>
              <w:rPr>
                <w:rFonts w:cs="Calibri"/>
                <w:color w:val="000000"/>
                <w:sz w:val="20"/>
                <w:lang w:eastAsia="es-CR"/>
              </w:rPr>
            </w:pPr>
            <w:r w:rsidRPr="004E74A6">
              <w:rPr>
                <w:rFonts w:cs="Calibri"/>
                <w:color w:val="000000"/>
                <w:sz w:val="20"/>
                <w:lang w:eastAsia="es-CR"/>
              </w:rPr>
              <w:t> </w:t>
            </w:r>
          </w:p>
        </w:tc>
        <w:tc>
          <w:tcPr>
            <w:tcW w:w="1200" w:type="dxa"/>
            <w:tcBorders>
              <w:top w:val="nil"/>
              <w:left w:val="nil"/>
              <w:bottom w:val="nil"/>
              <w:right w:val="single" w:sz="8" w:space="0" w:color="auto"/>
            </w:tcBorders>
            <w:shd w:val="clear" w:color="auto" w:fill="auto"/>
            <w:noWrap/>
            <w:vAlign w:val="center"/>
            <w:hideMark/>
          </w:tcPr>
          <w:p w14:paraId="44A34117" w14:textId="77777777" w:rsidR="00BB5628" w:rsidRPr="004E74A6" w:rsidRDefault="00BB5628" w:rsidP="00832773">
            <w:pPr>
              <w:spacing w:line="276" w:lineRule="auto"/>
              <w:jc w:val="center"/>
              <w:rPr>
                <w:rFonts w:cs="Calibri"/>
                <w:color w:val="000000"/>
                <w:sz w:val="20"/>
                <w:lang w:eastAsia="es-CR"/>
              </w:rPr>
            </w:pPr>
            <w:r w:rsidRPr="004E74A6">
              <w:rPr>
                <w:rFonts w:cs="Calibri"/>
                <w:color w:val="000000"/>
                <w:sz w:val="20"/>
                <w:lang w:eastAsia="es-CR"/>
              </w:rPr>
              <w:t> </w:t>
            </w:r>
          </w:p>
        </w:tc>
        <w:tc>
          <w:tcPr>
            <w:tcW w:w="2500" w:type="dxa"/>
            <w:tcBorders>
              <w:top w:val="nil"/>
              <w:left w:val="nil"/>
              <w:bottom w:val="nil"/>
              <w:right w:val="nil"/>
            </w:tcBorders>
            <w:shd w:val="clear" w:color="auto" w:fill="auto"/>
            <w:noWrap/>
            <w:vAlign w:val="bottom"/>
            <w:hideMark/>
          </w:tcPr>
          <w:p w14:paraId="4604F389" w14:textId="77777777" w:rsidR="00BB5628" w:rsidRPr="004E74A6" w:rsidRDefault="00BB5628" w:rsidP="00832773">
            <w:pPr>
              <w:spacing w:line="276" w:lineRule="auto"/>
              <w:jc w:val="center"/>
              <w:rPr>
                <w:rFonts w:cs="Calibri"/>
                <w:color w:val="000000"/>
                <w:sz w:val="20"/>
                <w:lang w:eastAsia="es-CR"/>
              </w:rPr>
            </w:pPr>
          </w:p>
        </w:tc>
      </w:tr>
      <w:tr w:rsidR="00BB5628" w:rsidRPr="004E74A6" w14:paraId="5E597CF8" w14:textId="77777777" w:rsidTr="006F151F">
        <w:trPr>
          <w:trHeight w:val="300"/>
        </w:trPr>
        <w:tc>
          <w:tcPr>
            <w:tcW w:w="2800" w:type="dxa"/>
            <w:tcBorders>
              <w:top w:val="nil"/>
              <w:left w:val="nil"/>
              <w:bottom w:val="nil"/>
              <w:right w:val="single" w:sz="8" w:space="0" w:color="auto"/>
            </w:tcBorders>
            <w:shd w:val="clear" w:color="auto" w:fill="auto"/>
            <w:noWrap/>
            <w:vAlign w:val="center"/>
            <w:hideMark/>
          </w:tcPr>
          <w:p w14:paraId="581CA40B" w14:textId="77777777" w:rsidR="00BB5628" w:rsidRPr="004E74A6" w:rsidRDefault="00BB5628" w:rsidP="00832773">
            <w:pPr>
              <w:spacing w:line="276" w:lineRule="auto"/>
              <w:jc w:val="left"/>
              <w:rPr>
                <w:rFonts w:cs="Calibri"/>
                <w:b/>
                <w:bCs/>
                <w:color w:val="000000"/>
                <w:sz w:val="20"/>
                <w:lang w:eastAsia="es-CR"/>
              </w:rPr>
            </w:pPr>
            <w:r w:rsidRPr="004E74A6">
              <w:rPr>
                <w:rFonts w:cs="Calibri"/>
                <w:b/>
                <w:bCs/>
                <w:color w:val="000000"/>
                <w:sz w:val="20"/>
                <w:lang w:eastAsia="es-CR"/>
              </w:rPr>
              <w:t>Menos de ¢3.000.001</w:t>
            </w:r>
          </w:p>
        </w:tc>
        <w:tc>
          <w:tcPr>
            <w:tcW w:w="1200" w:type="dxa"/>
            <w:tcBorders>
              <w:top w:val="nil"/>
              <w:left w:val="nil"/>
              <w:bottom w:val="nil"/>
              <w:right w:val="single" w:sz="8" w:space="0" w:color="auto"/>
            </w:tcBorders>
            <w:shd w:val="clear" w:color="auto" w:fill="auto"/>
            <w:noWrap/>
            <w:vAlign w:val="center"/>
            <w:hideMark/>
          </w:tcPr>
          <w:p w14:paraId="5DCE158F" w14:textId="77777777" w:rsidR="00BB5628" w:rsidRPr="004E74A6" w:rsidRDefault="00BB5628" w:rsidP="00832773">
            <w:pPr>
              <w:spacing w:line="276" w:lineRule="auto"/>
              <w:jc w:val="center"/>
              <w:rPr>
                <w:rFonts w:cs="Calibri"/>
                <w:b/>
                <w:bCs/>
                <w:color w:val="000000"/>
                <w:sz w:val="20"/>
                <w:lang w:eastAsia="es-CR"/>
              </w:rPr>
            </w:pPr>
            <w:r w:rsidRPr="004E74A6">
              <w:rPr>
                <w:rFonts w:cs="Calibri"/>
                <w:b/>
                <w:bCs/>
                <w:color w:val="000000"/>
                <w:sz w:val="20"/>
                <w:lang w:eastAsia="es-CR"/>
              </w:rPr>
              <w:t>11</w:t>
            </w:r>
          </w:p>
        </w:tc>
        <w:tc>
          <w:tcPr>
            <w:tcW w:w="1200" w:type="dxa"/>
            <w:tcBorders>
              <w:top w:val="nil"/>
              <w:left w:val="nil"/>
              <w:bottom w:val="nil"/>
              <w:right w:val="single" w:sz="8" w:space="0" w:color="auto"/>
            </w:tcBorders>
            <w:shd w:val="clear" w:color="auto" w:fill="auto"/>
            <w:noWrap/>
            <w:vAlign w:val="center"/>
            <w:hideMark/>
          </w:tcPr>
          <w:p w14:paraId="461DE771" w14:textId="77777777" w:rsidR="00BB5628" w:rsidRPr="004E74A6" w:rsidRDefault="00BB5628" w:rsidP="00832773">
            <w:pPr>
              <w:spacing w:line="276" w:lineRule="auto"/>
              <w:jc w:val="center"/>
              <w:rPr>
                <w:rFonts w:cs="Calibri"/>
                <w:b/>
                <w:bCs/>
                <w:color w:val="000000"/>
                <w:sz w:val="20"/>
                <w:lang w:eastAsia="es-CR"/>
              </w:rPr>
            </w:pPr>
            <w:r w:rsidRPr="004E74A6">
              <w:rPr>
                <w:rFonts w:cs="Calibri"/>
                <w:b/>
                <w:bCs/>
                <w:color w:val="000000"/>
                <w:sz w:val="20"/>
                <w:lang w:eastAsia="es-CR"/>
              </w:rPr>
              <w:t>12</w:t>
            </w:r>
          </w:p>
        </w:tc>
        <w:tc>
          <w:tcPr>
            <w:tcW w:w="1200" w:type="dxa"/>
            <w:tcBorders>
              <w:top w:val="nil"/>
              <w:left w:val="nil"/>
              <w:bottom w:val="nil"/>
              <w:right w:val="single" w:sz="8" w:space="0" w:color="auto"/>
            </w:tcBorders>
            <w:shd w:val="clear" w:color="auto" w:fill="auto"/>
            <w:noWrap/>
            <w:vAlign w:val="center"/>
            <w:hideMark/>
          </w:tcPr>
          <w:p w14:paraId="0444A163" w14:textId="77777777" w:rsidR="00BB5628" w:rsidRPr="004E74A6" w:rsidRDefault="00BB5628" w:rsidP="00832773">
            <w:pPr>
              <w:spacing w:line="276" w:lineRule="auto"/>
              <w:jc w:val="center"/>
              <w:rPr>
                <w:rFonts w:cs="Calibri"/>
                <w:b/>
                <w:bCs/>
                <w:color w:val="000000"/>
                <w:sz w:val="20"/>
                <w:lang w:eastAsia="es-CR"/>
              </w:rPr>
            </w:pPr>
            <w:r w:rsidRPr="004E74A6">
              <w:rPr>
                <w:rFonts w:cs="Calibri"/>
                <w:b/>
                <w:bCs/>
                <w:color w:val="000000"/>
                <w:sz w:val="20"/>
                <w:lang w:eastAsia="es-CR"/>
              </w:rPr>
              <w:t>7</w:t>
            </w:r>
          </w:p>
        </w:tc>
        <w:tc>
          <w:tcPr>
            <w:tcW w:w="1200" w:type="dxa"/>
            <w:tcBorders>
              <w:top w:val="nil"/>
              <w:left w:val="nil"/>
              <w:bottom w:val="nil"/>
              <w:right w:val="single" w:sz="8" w:space="0" w:color="auto"/>
            </w:tcBorders>
            <w:shd w:val="clear" w:color="auto" w:fill="auto"/>
            <w:noWrap/>
            <w:vAlign w:val="center"/>
            <w:hideMark/>
          </w:tcPr>
          <w:p w14:paraId="57F00371" w14:textId="77777777" w:rsidR="00BB5628" w:rsidRPr="004E74A6" w:rsidRDefault="00BB5628" w:rsidP="00832773">
            <w:pPr>
              <w:spacing w:line="276" w:lineRule="auto"/>
              <w:jc w:val="center"/>
              <w:rPr>
                <w:rFonts w:cs="Calibri"/>
                <w:b/>
                <w:bCs/>
                <w:color w:val="000000"/>
                <w:sz w:val="20"/>
                <w:lang w:eastAsia="es-CR"/>
              </w:rPr>
            </w:pPr>
            <w:r w:rsidRPr="004E74A6">
              <w:rPr>
                <w:rFonts w:cs="Calibri"/>
                <w:b/>
                <w:bCs/>
                <w:color w:val="000000"/>
                <w:sz w:val="20"/>
                <w:lang w:eastAsia="es-CR"/>
              </w:rPr>
              <w:t>10</w:t>
            </w:r>
          </w:p>
        </w:tc>
        <w:tc>
          <w:tcPr>
            <w:tcW w:w="2500" w:type="dxa"/>
            <w:tcBorders>
              <w:top w:val="nil"/>
              <w:left w:val="nil"/>
              <w:bottom w:val="nil"/>
              <w:right w:val="nil"/>
            </w:tcBorders>
            <w:shd w:val="clear" w:color="auto" w:fill="auto"/>
            <w:noWrap/>
            <w:vAlign w:val="bottom"/>
            <w:hideMark/>
          </w:tcPr>
          <w:p w14:paraId="2DC0F3E6" w14:textId="77777777" w:rsidR="00BB5628" w:rsidRPr="004E74A6" w:rsidRDefault="00BB5628" w:rsidP="00832773">
            <w:pPr>
              <w:spacing w:line="276" w:lineRule="auto"/>
              <w:jc w:val="center"/>
              <w:rPr>
                <w:rFonts w:cs="Calibri"/>
                <w:b/>
                <w:bCs/>
                <w:color w:val="000000"/>
                <w:sz w:val="20"/>
                <w:lang w:eastAsia="es-CR"/>
              </w:rPr>
            </w:pPr>
            <w:r w:rsidRPr="004E74A6">
              <w:rPr>
                <w:rFonts w:cs="Calibri"/>
                <w:b/>
                <w:bCs/>
                <w:color w:val="000000"/>
                <w:sz w:val="20"/>
                <w:lang w:eastAsia="es-CR"/>
              </w:rPr>
              <w:t>3%</w:t>
            </w:r>
          </w:p>
        </w:tc>
      </w:tr>
      <w:tr w:rsidR="00BB5628" w:rsidRPr="004E74A6" w14:paraId="4C679ED6" w14:textId="77777777" w:rsidTr="006F151F">
        <w:trPr>
          <w:trHeight w:val="300"/>
        </w:trPr>
        <w:tc>
          <w:tcPr>
            <w:tcW w:w="2800" w:type="dxa"/>
            <w:tcBorders>
              <w:top w:val="nil"/>
              <w:left w:val="nil"/>
              <w:bottom w:val="nil"/>
              <w:right w:val="single" w:sz="8" w:space="0" w:color="auto"/>
            </w:tcBorders>
            <w:shd w:val="clear" w:color="auto" w:fill="auto"/>
            <w:noWrap/>
            <w:vAlign w:val="center"/>
            <w:hideMark/>
          </w:tcPr>
          <w:p w14:paraId="2A1C1BB3" w14:textId="77777777" w:rsidR="00BB5628" w:rsidRPr="004E74A6" w:rsidRDefault="00BB5628" w:rsidP="00832773">
            <w:pPr>
              <w:spacing w:line="276" w:lineRule="auto"/>
              <w:jc w:val="left"/>
              <w:rPr>
                <w:rFonts w:cs="Calibri"/>
                <w:b/>
                <w:bCs/>
                <w:color w:val="000000"/>
                <w:sz w:val="20"/>
                <w:lang w:eastAsia="es-CR"/>
              </w:rPr>
            </w:pPr>
            <w:r w:rsidRPr="004E74A6">
              <w:rPr>
                <w:rFonts w:cs="Calibri"/>
                <w:b/>
                <w:bCs/>
                <w:color w:val="000000"/>
                <w:sz w:val="20"/>
                <w:lang w:eastAsia="es-CR"/>
              </w:rPr>
              <w:t>De ¢3.000.001 a ¢4.000.000</w:t>
            </w:r>
          </w:p>
        </w:tc>
        <w:tc>
          <w:tcPr>
            <w:tcW w:w="1200" w:type="dxa"/>
            <w:tcBorders>
              <w:top w:val="nil"/>
              <w:left w:val="nil"/>
              <w:bottom w:val="nil"/>
              <w:right w:val="single" w:sz="8" w:space="0" w:color="auto"/>
            </w:tcBorders>
            <w:shd w:val="clear" w:color="auto" w:fill="auto"/>
            <w:noWrap/>
            <w:vAlign w:val="center"/>
            <w:hideMark/>
          </w:tcPr>
          <w:p w14:paraId="135F6132" w14:textId="77777777" w:rsidR="00BB5628" w:rsidRPr="004E74A6" w:rsidRDefault="00BB5628" w:rsidP="00832773">
            <w:pPr>
              <w:spacing w:line="276" w:lineRule="auto"/>
              <w:jc w:val="center"/>
              <w:rPr>
                <w:rFonts w:cs="Calibri"/>
                <w:b/>
                <w:bCs/>
                <w:color w:val="000000"/>
                <w:sz w:val="20"/>
                <w:lang w:eastAsia="es-CR"/>
              </w:rPr>
            </w:pPr>
            <w:r w:rsidRPr="004E74A6">
              <w:rPr>
                <w:rFonts w:cs="Calibri"/>
                <w:b/>
                <w:bCs/>
                <w:color w:val="000000"/>
                <w:sz w:val="20"/>
                <w:lang w:eastAsia="es-CR"/>
              </w:rPr>
              <w:t>15</w:t>
            </w:r>
          </w:p>
        </w:tc>
        <w:tc>
          <w:tcPr>
            <w:tcW w:w="1200" w:type="dxa"/>
            <w:tcBorders>
              <w:top w:val="nil"/>
              <w:left w:val="nil"/>
              <w:bottom w:val="nil"/>
              <w:right w:val="single" w:sz="8" w:space="0" w:color="auto"/>
            </w:tcBorders>
            <w:shd w:val="clear" w:color="auto" w:fill="auto"/>
            <w:noWrap/>
            <w:vAlign w:val="center"/>
            <w:hideMark/>
          </w:tcPr>
          <w:p w14:paraId="4D20735C" w14:textId="77777777" w:rsidR="00BB5628" w:rsidRPr="004E74A6" w:rsidRDefault="00BB5628" w:rsidP="00832773">
            <w:pPr>
              <w:spacing w:line="276" w:lineRule="auto"/>
              <w:jc w:val="center"/>
              <w:rPr>
                <w:rFonts w:cs="Calibri"/>
                <w:b/>
                <w:bCs/>
                <w:color w:val="000000"/>
                <w:sz w:val="20"/>
                <w:lang w:eastAsia="es-CR"/>
              </w:rPr>
            </w:pPr>
            <w:r w:rsidRPr="004E74A6">
              <w:rPr>
                <w:rFonts w:cs="Calibri"/>
                <w:b/>
                <w:bCs/>
                <w:color w:val="000000"/>
                <w:sz w:val="20"/>
                <w:lang w:eastAsia="es-CR"/>
              </w:rPr>
              <w:t>16</w:t>
            </w:r>
          </w:p>
        </w:tc>
        <w:tc>
          <w:tcPr>
            <w:tcW w:w="1200" w:type="dxa"/>
            <w:tcBorders>
              <w:top w:val="nil"/>
              <w:left w:val="nil"/>
              <w:bottom w:val="nil"/>
              <w:right w:val="single" w:sz="8" w:space="0" w:color="auto"/>
            </w:tcBorders>
            <w:shd w:val="clear" w:color="auto" w:fill="auto"/>
            <w:noWrap/>
            <w:vAlign w:val="center"/>
            <w:hideMark/>
          </w:tcPr>
          <w:p w14:paraId="70F6731A" w14:textId="77777777" w:rsidR="00BB5628" w:rsidRPr="004E74A6" w:rsidRDefault="00BB5628" w:rsidP="00832773">
            <w:pPr>
              <w:spacing w:line="276" w:lineRule="auto"/>
              <w:jc w:val="center"/>
              <w:rPr>
                <w:rFonts w:cs="Calibri"/>
                <w:b/>
                <w:bCs/>
                <w:color w:val="000000"/>
                <w:sz w:val="20"/>
                <w:lang w:eastAsia="es-CR"/>
              </w:rPr>
            </w:pPr>
            <w:r w:rsidRPr="004E74A6">
              <w:rPr>
                <w:rFonts w:cs="Calibri"/>
                <w:b/>
                <w:bCs/>
                <w:color w:val="000000"/>
                <w:sz w:val="20"/>
                <w:lang w:eastAsia="es-CR"/>
              </w:rPr>
              <w:t>6</w:t>
            </w:r>
          </w:p>
        </w:tc>
        <w:tc>
          <w:tcPr>
            <w:tcW w:w="1200" w:type="dxa"/>
            <w:tcBorders>
              <w:top w:val="nil"/>
              <w:left w:val="nil"/>
              <w:bottom w:val="nil"/>
              <w:right w:val="single" w:sz="8" w:space="0" w:color="auto"/>
            </w:tcBorders>
            <w:shd w:val="clear" w:color="auto" w:fill="auto"/>
            <w:noWrap/>
            <w:vAlign w:val="center"/>
            <w:hideMark/>
          </w:tcPr>
          <w:p w14:paraId="39AA8EC0" w14:textId="77777777" w:rsidR="00BB5628" w:rsidRPr="004E74A6" w:rsidRDefault="00BB5628" w:rsidP="00832773">
            <w:pPr>
              <w:spacing w:line="276" w:lineRule="auto"/>
              <w:jc w:val="center"/>
              <w:rPr>
                <w:rFonts w:cs="Calibri"/>
                <w:b/>
                <w:bCs/>
                <w:color w:val="000000"/>
                <w:sz w:val="20"/>
                <w:lang w:eastAsia="es-CR"/>
              </w:rPr>
            </w:pPr>
            <w:r w:rsidRPr="004E74A6">
              <w:rPr>
                <w:rFonts w:cs="Calibri"/>
                <w:b/>
                <w:bCs/>
                <w:color w:val="000000"/>
                <w:sz w:val="20"/>
                <w:lang w:eastAsia="es-CR"/>
              </w:rPr>
              <w:t>12</w:t>
            </w:r>
          </w:p>
        </w:tc>
        <w:tc>
          <w:tcPr>
            <w:tcW w:w="2500" w:type="dxa"/>
            <w:tcBorders>
              <w:top w:val="nil"/>
              <w:left w:val="nil"/>
              <w:bottom w:val="nil"/>
              <w:right w:val="nil"/>
            </w:tcBorders>
            <w:shd w:val="clear" w:color="auto" w:fill="auto"/>
            <w:noWrap/>
            <w:vAlign w:val="bottom"/>
            <w:hideMark/>
          </w:tcPr>
          <w:p w14:paraId="5F334193" w14:textId="77777777" w:rsidR="00BB5628" w:rsidRPr="004E74A6" w:rsidRDefault="00BB5628" w:rsidP="00832773">
            <w:pPr>
              <w:spacing w:line="276" w:lineRule="auto"/>
              <w:jc w:val="center"/>
              <w:rPr>
                <w:rFonts w:cs="Calibri"/>
                <w:b/>
                <w:bCs/>
                <w:color w:val="000000"/>
                <w:sz w:val="20"/>
                <w:lang w:eastAsia="es-CR"/>
              </w:rPr>
            </w:pPr>
            <w:r w:rsidRPr="004E74A6">
              <w:rPr>
                <w:rFonts w:cs="Calibri"/>
                <w:b/>
                <w:bCs/>
                <w:color w:val="000000"/>
                <w:sz w:val="20"/>
                <w:lang w:eastAsia="es-CR"/>
              </w:rPr>
              <w:t>6%</w:t>
            </w:r>
          </w:p>
        </w:tc>
      </w:tr>
      <w:tr w:rsidR="00BB5628" w:rsidRPr="004E74A6" w14:paraId="65767C79" w14:textId="77777777" w:rsidTr="00832773">
        <w:trPr>
          <w:trHeight w:val="300"/>
        </w:trPr>
        <w:tc>
          <w:tcPr>
            <w:tcW w:w="2800" w:type="dxa"/>
            <w:tcBorders>
              <w:top w:val="nil"/>
              <w:left w:val="nil"/>
              <w:bottom w:val="nil"/>
              <w:right w:val="single" w:sz="8" w:space="0" w:color="auto"/>
            </w:tcBorders>
            <w:shd w:val="clear" w:color="auto" w:fill="C5E0B3" w:themeFill="accent6" w:themeFillTint="66"/>
            <w:noWrap/>
            <w:vAlign w:val="center"/>
            <w:hideMark/>
          </w:tcPr>
          <w:p w14:paraId="3E4549F0" w14:textId="77777777" w:rsidR="00BB5628" w:rsidRPr="004E74A6" w:rsidRDefault="00BB5628" w:rsidP="00832773">
            <w:pPr>
              <w:spacing w:line="276" w:lineRule="auto"/>
              <w:jc w:val="left"/>
              <w:rPr>
                <w:rFonts w:cs="Calibri"/>
                <w:b/>
                <w:bCs/>
                <w:color w:val="000000"/>
                <w:sz w:val="20"/>
                <w:lang w:eastAsia="es-CR"/>
              </w:rPr>
            </w:pPr>
            <w:r w:rsidRPr="004E74A6">
              <w:rPr>
                <w:rFonts w:cs="Calibri"/>
                <w:b/>
                <w:bCs/>
                <w:color w:val="000000"/>
                <w:sz w:val="20"/>
                <w:lang w:eastAsia="es-CR"/>
              </w:rPr>
              <w:t>De ¢4.000.001 a ¢5.000.000</w:t>
            </w:r>
          </w:p>
        </w:tc>
        <w:tc>
          <w:tcPr>
            <w:tcW w:w="1200" w:type="dxa"/>
            <w:tcBorders>
              <w:top w:val="nil"/>
              <w:left w:val="nil"/>
              <w:bottom w:val="nil"/>
              <w:right w:val="single" w:sz="8" w:space="0" w:color="auto"/>
            </w:tcBorders>
            <w:shd w:val="clear" w:color="auto" w:fill="C5E0B3" w:themeFill="accent6" w:themeFillTint="66"/>
            <w:noWrap/>
            <w:vAlign w:val="center"/>
            <w:hideMark/>
          </w:tcPr>
          <w:p w14:paraId="03325FFF" w14:textId="77777777" w:rsidR="00BB5628" w:rsidRPr="004E74A6" w:rsidRDefault="00BB5628" w:rsidP="00832773">
            <w:pPr>
              <w:spacing w:line="276" w:lineRule="auto"/>
              <w:jc w:val="center"/>
              <w:rPr>
                <w:rFonts w:cs="Calibri"/>
                <w:b/>
                <w:bCs/>
                <w:color w:val="000000"/>
                <w:sz w:val="20"/>
                <w:lang w:eastAsia="es-CR"/>
              </w:rPr>
            </w:pPr>
            <w:r w:rsidRPr="004E74A6">
              <w:rPr>
                <w:rFonts w:cs="Calibri"/>
                <w:b/>
                <w:bCs/>
                <w:color w:val="000000"/>
                <w:sz w:val="20"/>
                <w:lang w:eastAsia="es-CR"/>
              </w:rPr>
              <w:t>24</w:t>
            </w:r>
          </w:p>
        </w:tc>
        <w:tc>
          <w:tcPr>
            <w:tcW w:w="1200" w:type="dxa"/>
            <w:tcBorders>
              <w:top w:val="nil"/>
              <w:left w:val="nil"/>
              <w:bottom w:val="nil"/>
              <w:right w:val="single" w:sz="8" w:space="0" w:color="auto"/>
            </w:tcBorders>
            <w:shd w:val="clear" w:color="auto" w:fill="C5E0B3" w:themeFill="accent6" w:themeFillTint="66"/>
            <w:noWrap/>
            <w:vAlign w:val="center"/>
            <w:hideMark/>
          </w:tcPr>
          <w:p w14:paraId="3E996B04" w14:textId="77777777" w:rsidR="00BB5628" w:rsidRPr="004E74A6" w:rsidRDefault="00BB5628" w:rsidP="00832773">
            <w:pPr>
              <w:spacing w:line="276" w:lineRule="auto"/>
              <w:jc w:val="center"/>
              <w:rPr>
                <w:rFonts w:cs="Calibri"/>
                <w:b/>
                <w:bCs/>
                <w:color w:val="000000"/>
                <w:sz w:val="20"/>
                <w:lang w:eastAsia="es-CR"/>
              </w:rPr>
            </w:pPr>
            <w:r w:rsidRPr="004E74A6">
              <w:rPr>
                <w:rFonts w:cs="Calibri"/>
                <w:b/>
                <w:bCs/>
                <w:color w:val="000000"/>
                <w:sz w:val="20"/>
                <w:lang w:eastAsia="es-CR"/>
              </w:rPr>
              <w:t>23</w:t>
            </w:r>
          </w:p>
        </w:tc>
        <w:tc>
          <w:tcPr>
            <w:tcW w:w="1200" w:type="dxa"/>
            <w:tcBorders>
              <w:top w:val="nil"/>
              <w:left w:val="nil"/>
              <w:bottom w:val="nil"/>
              <w:right w:val="single" w:sz="8" w:space="0" w:color="auto"/>
            </w:tcBorders>
            <w:shd w:val="clear" w:color="auto" w:fill="C5E0B3" w:themeFill="accent6" w:themeFillTint="66"/>
            <w:noWrap/>
            <w:vAlign w:val="center"/>
            <w:hideMark/>
          </w:tcPr>
          <w:p w14:paraId="1EAB46D5" w14:textId="77777777" w:rsidR="00BB5628" w:rsidRPr="004E74A6" w:rsidRDefault="00BB5628" w:rsidP="00832773">
            <w:pPr>
              <w:spacing w:line="276" w:lineRule="auto"/>
              <w:jc w:val="center"/>
              <w:rPr>
                <w:rFonts w:cs="Calibri"/>
                <w:b/>
                <w:bCs/>
                <w:color w:val="000000"/>
                <w:sz w:val="20"/>
                <w:lang w:eastAsia="es-CR"/>
              </w:rPr>
            </w:pPr>
            <w:r w:rsidRPr="004E74A6">
              <w:rPr>
                <w:rFonts w:cs="Calibri"/>
                <w:b/>
                <w:bCs/>
                <w:color w:val="000000"/>
                <w:sz w:val="20"/>
                <w:lang w:eastAsia="es-CR"/>
              </w:rPr>
              <w:t>17</w:t>
            </w:r>
          </w:p>
        </w:tc>
        <w:tc>
          <w:tcPr>
            <w:tcW w:w="1200" w:type="dxa"/>
            <w:tcBorders>
              <w:top w:val="nil"/>
              <w:left w:val="nil"/>
              <w:bottom w:val="nil"/>
              <w:right w:val="single" w:sz="8" w:space="0" w:color="auto"/>
            </w:tcBorders>
            <w:shd w:val="clear" w:color="auto" w:fill="C5E0B3" w:themeFill="accent6" w:themeFillTint="66"/>
            <w:noWrap/>
            <w:vAlign w:val="center"/>
            <w:hideMark/>
          </w:tcPr>
          <w:p w14:paraId="2BC923B6" w14:textId="77777777" w:rsidR="00BB5628" w:rsidRPr="004E74A6" w:rsidRDefault="00BB5628" w:rsidP="00832773">
            <w:pPr>
              <w:spacing w:line="276" w:lineRule="auto"/>
              <w:jc w:val="center"/>
              <w:rPr>
                <w:rFonts w:cs="Calibri"/>
                <w:b/>
                <w:bCs/>
                <w:color w:val="000000"/>
                <w:sz w:val="20"/>
                <w:lang w:eastAsia="es-CR"/>
              </w:rPr>
            </w:pPr>
            <w:r w:rsidRPr="004E74A6">
              <w:rPr>
                <w:rFonts w:cs="Calibri"/>
                <w:b/>
                <w:bCs/>
                <w:color w:val="000000"/>
                <w:sz w:val="20"/>
                <w:lang w:eastAsia="es-CR"/>
              </w:rPr>
              <w:t>21</w:t>
            </w:r>
          </w:p>
        </w:tc>
        <w:tc>
          <w:tcPr>
            <w:tcW w:w="2500" w:type="dxa"/>
            <w:tcBorders>
              <w:top w:val="nil"/>
              <w:left w:val="nil"/>
              <w:bottom w:val="nil"/>
              <w:right w:val="nil"/>
            </w:tcBorders>
            <w:shd w:val="clear" w:color="auto" w:fill="C5E0B3" w:themeFill="accent6" w:themeFillTint="66"/>
            <w:noWrap/>
            <w:vAlign w:val="bottom"/>
            <w:hideMark/>
          </w:tcPr>
          <w:p w14:paraId="5E6BB7C9" w14:textId="77777777" w:rsidR="00BB5628" w:rsidRPr="004E74A6" w:rsidRDefault="00BB5628" w:rsidP="00832773">
            <w:pPr>
              <w:spacing w:line="276" w:lineRule="auto"/>
              <w:jc w:val="center"/>
              <w:rPr>
                <w:rFonts w:cs="Calibri"/>
                <w:b/>
                <w:bCs/>
                <w:color w:val="000000"/>
                <w:sz w:val="20"/>
                <w:lang w:eastAsia="es-CR"/>
              </w:rPr>
            </w:pPr>
            <w:r w:rsidRPr="004E74A6">
              <w:rPr>
                <w:rFonts w:cs="Calibri"/>
                <w:b/>
                <w:bCs/>
                <w:color w:val="000000"/>
                <w:sz w:val="20"/>
                <w:lang w:eastAsia="es-CR"/>
              </w:rPr>
              <w:t>12%</w:t>
            </w:r>
          </w:p>
        </w:tc>
      </w:tr>
      <w:tr w:rsidR="00BB5628" w:rsidRPr="004E74A6" w14:paraId="1C73409D" w14:textId="77777777" w:rsidTr="006F151F">
        <w:trPr>
          <w:trHeight w:val="300"/>
        </w:trPr>
        <w:tc>
          <w:tcPr>
            <w:tcW w:w="2800" w:type="dxa"/>
            <w:tcBorders>
              <w:top w:val="nil"/>
              <w:left w:val="nil"/>
              <w:bottom w:val="nil"/>
              <w:right w:val="single" w:sz="8" w:space="0" w:color="auto"/>
            </w:tcBorders>
            <w:shd w:val="clear" w:color="auto" w:fill="auto"/>
            <w:noWrap/>
            <w:vAlign w:val="center"/>
            <w:hideMark/>
          </w:tcPr>
          <w:p w14:paraId="0D9221BA" w14:textId="77777777" w:rsidR="00BB5628" w:rsidRPr="004E74A6" w:rsidRDefault="00BB5628" w:rsidP="00832773">
            <w:pPr>
              <w:spacing w:line="276" w:lineRule="auto"/>
              <w:jc w:val="left"/>
              <w:rPr>
                <w:rFonts w:cs="Calibri"/>
                <w:b/>
                <w:bCs/>
                <w:color w:val="000000"/>
                <w:sz w:val="20"/>
                <w:lang w:eastAsia="es-CR"/>
              </w:rPr>
            </w:pPr>
            <w:r w:rsidRPr="004E74A6">
              <w:rPr>
                <w:rFonts w:cs="Calibri"/>
                <w:b/>
                <w:bCs/>
                <w:color w:val="000000"/>
                <w:sz w:val="20"/>
                <w:lang w:eastAsia="es-CR"/>
              </w:rPr>
              <w:t>De ¢5.000.001 a ¢6.000.000</w:t>
            </w:r>
          </w:p>
        </w:tc>
        <w:tc>
          <w:tcPr>
            <w:tcW w:w="1200" w:type="dxa"/>
            <w:tcBorders>
              <w:top w:val="nil"/>
              <w:left w:val="nil"/>
              <w:bottom w:val="nil"/>
              <w:right w:val="single" w:sz="8" w:space="0" w:color="auto"/>
            </w:tcBorders>
            <w:shd w:val="clear" w:color="auto" w:fill="auto"/>
            <w:noWrap/>
            <w:vAlign w:val="center"/>
            <w:hideMark/>
          </w:tcPr>
          <w:p w14:paraId="3A248209" w14:textId="77777777" w:rsidR="00BB5628" w:rsidRPr="004E74A6" w:rsidRDefault="00BB5628" w:rsidP="00832773">
            <w:pPr>
              <w:spacing w:line="276" w:lineRule="auto"/>
              <w:jc w:val="center"/>
              <w:rPr>
                <w:rFonts w:cs="Calibri"/>
                <w:b/>
                <w:bCs/>
                <w:color w:val="000000"/>
                <w:sz w:val="20"/>
                <w:lang w:eastAsia="es-CR"/>
              </w:rPr>
            </w:pPr>
            <w:r w:rsidRPr="004E74A6">
              <w:rPr>
                <w:rFonts w:cs="Calibri"/>
                <w:b/>
                <w:bCs/>
                <w:color w:val="000000"/>
                <w:sz w:val="20"/>
                <w:lang w:eastAsia="es-CR"/>
              </w:rPr>
              <w:t>15</w:t>
            </w:r>
          </w:p>
        </w:tc>
        <w:tc>
          <w:tcPr>
            <w:tcW w:w="1200" w:type="dxa"/>
            <w:tcBorders>
              <w:top w:val="nil"/>
              <w:left w:val="nil"/>
              <w:bottom w:val="nil"/>
              <w:right w:val="single" w:sz="8" w:space="0" w:color="auto"/>
            </w:tcBorders>
            <w:shd w:val="clear" w:color="auto" w:fill="auto"/>
            <w:noWrap/>
            <w:vAlign w:val="center"/>
            <w:hideMark/>
          </w:tcPr>
          <w:p w14:paraId="259D6638" w14:textId="77777777" w:rsidR="00BB5628" w:rsidRPr="004E74A6" w:rsidRDefault="00BB5628" w:rsidP="00832773">
            <w:pPr>
              <w:spacing w:line="276" w:lineRule="auto"/>
              <w:jc w:val="center"/>
              <w:rPr>
                <w:rFonts w:cs="Calibri"/>
                <w:b/>
                <w:bCs/>
                <w:color w:val="000000"/>
                <w:sz w:val="20"/>
                <w:lang w:eastAsia="es-CR"/>
              </w:rPr>
            </w:pPr>
            <w:r w:rsidRPr="004E74A6">
              <w:rPr>
                <w:rFonts w:cs="Calibri"/>
                <w:b/>
                <w:bCs/>
                <w:color w:val="000000"/>
                <w:sz w:val="20"/>
                <w:lang w:eastAsia="es-CR"/>
              </w:rPr>
              <w:t>14</w:t>
            </w:r>
          </w:p>
        </w:tc>
        <w:tc>
          <w:tcPr>
            <w:tcW w:w="1200" w:type="dxa"/>
            <w:tcBorders>
              <w:top w:val="nil"/>
              <w:left w:val="nil"/>
              <w:bottom w:val="nil"/>
              <w:right w:val="single" w:sz="8" w:space="0" w:color="auto"/>
            </w:tcBorders>
            <w:shd w:val="clear" w:color="auto" w:fill="auto"/>
            <w:noWrap/>
            <w:vAlign w:val="center"/>
            <w:hideMark/>
          </w:tcPr>
          <w:p w14:paraId="226728BE" w14:textId="77777777" w:rsidR="00BB5628" w:rsidRPr="004E74A6" w:rsidRDefault="00BB5628" w:rsidP="00832773">
            <w:pPr>
              <w:spacing w:line="276" w:lineRule="auto"/>
              <w:jc w:val="center"/>
              <w:rPr>
                <w:rFonts w:cs="Calibri"/>
                <w:b/>
                <w:bCs/>
                <w:color w:val="000000"/>
                <w:sz w:val="20"/>
                <w:lang w:eastAsia="es-CR"/>
              </w:rPr>
            </w:pPr>
            <w:r w:rsidRPr="004E74A6">
              <w:rPr>
                <w:rFonts w:cs="Calibri"/>
                <w:b/>
                <w:bCs/>
                <w:color w:val="000000"/>
                <w:sz w:val="20"/>
                <w:lang w:eastAsia="es-CR"/>
              </w:rPr>
              <w:t>6</w:t>
            </w:r>
          </w:p>
        </w:tc>
        <w:tc>
          <w:tcPr>
            <w:tcW w:w="1200" w:type="dxa"/>
            <w:tcBorders>
              <w:top w:val="nil"/>
              <w:left w:val="nil"/>
              <w:bottom w:val="nil"/>
              <w:right w:val="single" w:sz="8" w:space="0" w:color="auto"/>
            </w:tcBorders>
            <w:shd w:val="clear" w:color="auto" w:fill="auto"/>
            <w:noWrap/>
            <w:vAlign w:val="center"/>
            <w:hideMark/>
          </w:tcPr>
          <w:p w14:paraId="6A92D5EA" w14:textId="77777777" w:rsidR="00BB5628" w:rsidRPr="004E74A6" w:rsidRDefault="00BB5628" w:rsidP="00832773">
            <w:pPr>
              <w:spacing w:line="276" w:lineRule="auto"/>
              <w:jc w:val="center"/>
              <w:rPr>
                <w:rFonts w:cs="Calibri"/>
                <w:b/>
                <w:bCs/>
                <w:color w:val="000000"/>
                <w:sz w:val="20"/>
                <w:lang w:eastAsia="es-CR"/>
              </w:rPr>
            </w:pPr>
            <w:r w:rsidRPr="004E74A6">
              <w:rPr>
                <w:rFonts w:cs="Calibri"/>
                <w:b/>
                <w:bCs/>
                <w:color w:val="000000"/>
                <w:sz w:val="20"/>
                <w:lang w:eastAsia="es-CR"/>
              </w:rPr>
              <w:t>12</w:t>
            </w:r>
          </w:p>
        </w:tc>
        <w:tc>
          <w:tcPr>
            <w:tcW w:w="2500" w:type="dxa"/>
            <w:tcBorders>
              <w:top w:val="nil"/>
              <w:left w:val="nil"/>
              <w:bottom w:val="nil"/>
              <w:right w:val="nil"/>
            </w:tcBorders>
            <w:shd w:val="clear" w:color="auto" w:fill="auto"/>
            <w:noWrap/>
            <w:vAlign w:val="bottom"/>
            <w:hideMark/>
          </w:tcPr>
          <w:p w14:paraId="1E256A7F" w14:textId="77777777" w:rsidR="00BB5628" w:rsidRPr="004E74A6" w:rsidRDefault="00BB5628" w:rsidP="00832773">
            <w:pPr>
              <w:spacing w:line="276" w:lineRule="auto"/>
              <w:jc w:val="center"/>
              <w:rPr>
                <w:rFonts w:cs="Calibri"/>
                <w:b/>
                <w:bCs/>
                <w:color w:val="000000"/>
                <w:sz w:val="20"/>
                <w:lang w:eastAsia="es-CR"/>
              </w:rPr>
            </w:pPr>
            <w:r w:rsidRPr="004E74A6">
              <w:rPr>
                <w:rFonts w:cs="Calibri"/>
                <w:b/>
                <w:bCs/>
                <w:color w:val="000000"/>
                <w:sz w:val="20"/>
                <w:lang w:eastAsia="es-CR"/>
              </w:rPr>
              <w:t>15%</w:t>
            </w:r>
          </w:p>
        </w:tc>
      </w:tr>
      <w:tr w:rsidR="00BB5628" w:rsidRPr="004E74A6" w14:paraId="6D6072F3" w14:textId="77777777" w:rsidTr="006F151F">
        <w:trPr>
          <w:trHeight w:val="300"/>
        </w:trPr>
        <w:tc>
          <w:tcPr>
            <w:tcW w:w="2800" w:type="dxa"/>
            <w:tcBorders>
              <w:top w:val="nil"/>
              <w:left w:val="nil"/>
              <w:bottom w:val="nil"/>
              <w:right w:val="single" w:sz="8" w:space="0" w:color="auto"/>
            </w:tcBorders>
            <w:shd w:val="clear" w:color="auto" w:fill="auto"/>
            <w:noWrap/>
            <w:vAlign w:val="center"/>
            <w:hideMark/>
          </w:tcPr>
          <w:p w14:paraId="0C827C8A" w14:textId="77777777" w:rsidR="00BB5628" w:rsidRPr="004E74A6" w:rsidRDefault="00BB5628" w:rsidP="00832773">
            <w:pPr>
              <w:spacing w:line="276" w:lineRule="auto"/>
              <w:jc w:val="left"/>
              <w:rPr>
                <w:rFonts w:cs="Calibri"/>
                <w:b/>
                <w:bCs/>
                <w:color w:val="000000"/>
                <w:sz w:val="20"/>
                <w:lang w:eastAsia="es-CR"/>
              </w:rPr>
            </w:pPr>
            <w:r w:rsidRPr="004E74A6">
              <w:rPr>
                <w:rFonts w:cs="Calibri"/>
                <w:b/>
                <w:bCs/>
                <w:color w:val="000000"/>
                <w:sz w:val="20"/>
                <w:lang w:eastAsia="es-CR"/>
              </w:rPr>
              <w:t>De ¢6.000.001 a ¢7.000.000</w:t>
            </w:r>
          </w:p>
        </w:tc>
        <w:tc>
          <w:tcPr>
            <w:tcW w:w="1200" w:type="dxa"/>
            <w:tcBorders>
              <w:top w:val="nil"/>
              <w:left w:val="nil"/>
              <w:bottom w:val="nil"/>
              <w:right w:val="single" w:sz="8" w:space="0" w:color="auto"/>
            </w:tcBorders>
            <w:shd w:val="clear" w:color="auto" w:fill="auto"/>
            <w:noWrap/>
            <w:vAlign w:val="center"/>
            <w:hideMark/>
          </w:tcPr>
          <w:p w14:paraId="04F061C6" w14:textId="77777777" w:rsidR="00BB5628" w:rsidRPr="004E74A6" w:rsidRDefault="00BB5628" w:rsidP="00832773">
            <w:pPr>
              <w:spacing w:line="276" w:lineRule="auto"/>
              <w:jc w:val="center"/>
              <w:rPr>
                <w:rFonts w:cs="Calibri"/>
                <w:b/>
                <w:bCs/>
                <w:color w:val="000000"/>
                <w:sz w:val="20"/>
                <w:lang w:eastAsia="es-CR"/>
              </w:rPr>
            </w:pPr>
            <w:r w:rsidRPr="004E74A6">
              <w:rPr>
                <w:rFonts w:cs="Calibri"/>
                <w:b/>
                <w:bCs/>
                <w:color w:val="000000"/>
                <w:sz w:val="20"/>
                <w:lang w:eastAsia="es-CR"/>
              </w:rPr>
              <w:t>9</w:t>
            </w:r>
          </w:p>
        </w:tc>
        <w:tc>
          <w:tcPr>
            <w:tcW w:w="1200" w:type="dxa"/>
            <w:tcBorders>
              <w:top w:val="nil"/>
              <w:left w:val="nil"/>
              <w:bottom w:val="nil"/>
              <w:right w:val="single" w:sz="8" w:space="0" w:color="auto"/>
            </w:tcBorders>
            <w:shd w:val="clear" w:color="auto" w:fill="auto"/>
            <w:noWrap/>
            <w:vAlign w:val="center"/>
            <w:hideMark/>
          </w:tcPr>
          <w:p w14:paraId="14E39FC8" w14:textId="77777777" w:rsidR="00BB5628" w:rsidRPr="004E74A6" w:rsidRDefault="00BB5628" w:rsidP="00832773">
            <w:pPr>
              <w:spacing w:line="276" w:lineRule="auto"/>
              <w:jc w:val="center"/>
              <w:rPr>
                <w:rFonts w:cs="Calibri"/>
                <w:b/>
                <w:bCs/>
                <w:color w:val="000000"/>
                <w:sz w:val="20"/>
                <w:lang w:eastAsia="es-CR"/>
              </w:rPr>
            </w:pPr>
            <w:r w:rsidRPr="004E74A6">
              <w:rPr>
                <w:rFonts w:cs="Calibri"/>
                <w:b/>
                <w:bCs/>
                <w:color w:val="000000"/>
                <w:sz w:val="20"/>
                <w:lang w:eastAsia="es-CR"/>
              </w:rPr>
              <w:t>9</w:t>
            </w:r>
          </w:p>
        </w:tc>
        <w:tc>
          <w:tcPr>
            <w:tcW w:w="1200" w:type="dxa"/>
            <w:tcBorders>
              <w:top w:val="nil"/>
              <w:left w:val="nil"/>
              <w:bottom w:val="nil"/>
              <w:right w:val="single" w:sz="8" w:space="0" w:color="auto"/>
            </w:tcBorders>
            <w:shd w:val="clear" w:color="auto" w:fill="auto"/>
            <w:noWrap/>
            <w:vAlign w:val="center"/>
            <w:hideMark/>
          </w:tcPr>
          <w:p w14:paraId="7B756DA1" w14:textId="77777777" w:rsidR="00BB5628" w:rsidRPr="004E74A6" w:rsidRDefault="00BB5628" w:rsidP="00832773">
            <w:pPr>
              <w:spacing w:line="276" w:lineRule="auto"/>
              <w:jc w:val="center"/>
              <w:rPr>
                <w:rFonts w:cs="Calibri"/>
                <w:b/>
                <w:bCs/>
                <w:color w:val="000000"/>
                <w:sz w:val="20"/>
                <w:lang w:eastAsia="es-CR"/>
              </w:rPr>
            </w:pPr>
            <w:r w:rsidRPr="004E74A6">
              <w:rPr>
                <w:rFonts w:cs="Calibri"/>
                <w:b/>
                <w:bCs/>
                <w:color w:val="000000"/>
                <w:sz w:val="20"/>
                <w:lang w:eastAsia="es-CR"/>
              </w:rPr>
              <w:t>4</w:t>
            </w:r>
          </w:p>
        </w:tc>
        <w:tc>
          <w:tcPr>
            <w:tcW w:w="1200" w:type="dxa"/>
            <w:tcBorders>
              <w:top w:val="nil"/>
              <w:left w:val="nil"/>
              <w:bottom w:val="nil"/>
              <w:right w:val="single" w:sz="8" w:space="0" w:color="auto"/>
            </w:tcBorders>
            <w:shd w:val="clear" w:color="auto" w:fill="auto"/>
            <w:noWrap/>
            <w:vAlign w:val="center"/>
            <w:hideMark/>
          </w:tcPr>
          <w:p w14:paraId="62FBBF9C" w14:textId="77777777" w:rsidR="00BB5628" w:rsidRPr="004E74A6" w:rsidRDefault="00BB5628" w:rsidP="00832773">
            <w:pPr>
              <w:spacing w:line="276" w:lineRule="auto"/>
              <w:jc w:val="center"/>
              <w:rPr>
                <w:rFonts w:cs="Calibri"/>
                <w:b/>
                <w:bCs/>
                <w:color w:val="000000"/>
                <w:sz w:val="20"/>
                <w:lang w:eastAsia="es-CR"/>
              </w:rPr>
            </w:pPr>
            <w:r w:rsidRPr="004E74A6">
              <w:rPr>
                <w:rFonts w:cs="Calibri"/>
                <w:b/>
                <w:bCs/>
                <w:color w:val="000000"/>
                <w:sz w:val="20"/>
                <w:lang w:eastAsia="es-CR"/>
              </w:rPr>
              <w:t>7</w:t>
            </w:r>
          </w:p>
        </w:tc>
        <w:tc>
          <w:tcPr>
            <w:tcW w:w="2500" w:type="dxa"/>
            <w:tcBorders>
              <w:top w:val="nil"/>
              <w:left w:val="nil"/>
              <w:bottom w:val="nil"/>
              <w:right w:val="nil"/>
            </w:tcBorders>
            <w:shd w:val="clear" w:color="auto" w:fill="auto"/>
            <w:noWrap/>
            <w:vAlign w:val="bottom"/>
            <w:hideMark/>
          </w:tcPr>
          <w:p w14:paraId="6EF2A2E7" w14:textId="77777777" w:rsidR="00BB5628" w:rsidRPr="004E74A6" w:rsidRDefault="00BB5628" w:rsidP="00832773">
            <w:pPr>
              <w:spacing w:line="276" w:lineRule="auto"/>
              <w:jc w:val="center"/>
              <w:rPr>
                <w:rFonts w:cs="Calibri"/>
                <w:b/>
                <w:bCs/>
                <w:color w:val="000000"/>
                <w:sz w:val="20"/>
                <w:lang w:eastAsia="es-CR"/>
              </w:rPr>
            </w:pPr>
            <w:r w:rsidRPr="004E74A6">
              <w:rPr>
                <w:rFonts w:cs="Calibri"/>
                <w:b/>
                <w:bCs/>
                <w:color w:val="000000"/>
                <w:sz w:val="20"/>
                <w:lang w:eastAsia="es-CR"/>
              </w:rPr>
              <w:t>17%</w:t>
            </w:r>
          </w:p>
        </w:tc>
      </w:tr>
      <w:tr w:rsidR="00BB5628" w:rsidRPr="004E74A6" w14:paraId="285A60E1" w14:textId="77777777" w:rsidTr="006F151F">
        <w:trPr>
          <w:trHeight w:val="300"/>
        </w:trPr>
        <w:tc>
          <w:tcPr>
            <w:tcW w:w="2800" w:type="dxa"/>
            <w:tcBorders>
              <w:top w:val="nil"/>
              <w:left w:val="nil"/>
              <w:bottom w:val="nil"/>
              <w:right w:val="single" w:sz="8" w:space="0" w:color="auto"/>
            </w:tcBorders>
            <w:shd w:val="clear" w:color="auto" w:fill="auto"/>
            <w:noWrap/>
            <w:vAlign w:val="center"/>
            <w:hideMark/>
          </w:tcPr>
          <w:p w14:paraId="2826B802" w14:textId="77777777" w:rsidR="00BB5628" w:rsidRPr="004E74A6" w:rsidRDefault="00BB5628" w:rsidP="00832773">
            <w:pPr>
              <w:spacing w:line="276" w:lineRule="auto"/>
              <w:jc w:val="left"/>
              <w:rPr>
                <w:rFonts w:cs="Calibri"/>
                <w:b/>
                <w:bCs/>
                <w:color w:val="000000"/>
                <w:sz w:val="20"/>
                <w:lang w:eastAsia="es-CR"/>
              </w:rPr>
            </w:pPr>
            <w:r w:rsidRPr="004E74A6">
              <w:rPr>
                <w:rFonts w:cs="Calibri"/>
                <w:b/>
                <w:bCs/>
                <w:color w:val="000000"/>
                <w:sz w:val="20"/>
                <w:lang w:eastAsia="es-CR"/>
              </w:rPr>
              <w:t>De ¢7.000.001 a ¢8.000.000</w:t>
            </w:r>
          </w:p>
        </w:tc>
        <w:tc>
          <w:tcPr>
            <w:tcW w:w="1200" w:type="dxa"/>
            <w:tcBorders>
              <w:top w:val="nil"/>
              <w:left w:val="nil"/>
              <w:bottom w:val="nil"/>
              <w:right w:val="single" w:sz="8" w:space="0" w:color="auto"/>
            </w:tcBorders>
            <w:shd w:val="clear" w:color="auto" w:fill="auto"/>
            <w:noWrap/>
            <w:vAlign w:val="center"/>
            <w:hideMark/>
          </w:tcPr>
          <w:p w14:paraId="706DF592" w14:textId="77777777" w:rsidR="00BB5628" w:rsidRPr="004E74A6" w:rsidRDefault="00BB5628" w:rsidP="00832773">
            <w:pPr>
              <w:spacing w:line="276" w:lineRule="auto"/>
              <w:jc w:val="center"/>
              <w:rPr>
                <w:rFonts w:cs="Calibri"/>
                <w:b/>
                <w:bCs/>
                <w:color w:val="000000"/>
                <w:sz w:val="20"/>
                <w:lang w:eastAsia="es-CR"/>
              </w:rPr>
            </w:pPr>
            <w:r w:rsidRPr="004E74A6">
              <w:rPr>
                <w:rFonts w:cs="Calibri"/>
                <w:b/>
                <w:bCs/>
                <w:color w:val="000000"/>
                <w:sz w:val="20"/>
                <w:lang w:eastAsia="es-CR"/>
              </w:rPr>
              <w:t>8</w:t>
            </w:r>
          </w:p>
        </w:tc>
        <w:tc>
          <w:tcPr>
            <w:tcW w:w="1200" w:type="dxa"/>
            <w:tcBorders>
              <w:top w:val="nil"/>
              <w:left w:val="nil"/>
              <w:bottom w:val="nil"/>
              <w:right w:val="single" w:sz="8" w:space="0" w:color="auto"/>
            </w:tcBorders>
            <w:shd w:val="clear" w:color="auto" w:fill="auto"/>
            <w:noWrap/>
            <w:vAlign w:val="center"/>
            <w:hideMark/>
          </w:tcPr>
          <w:p w14:paraId="4572E1DE" w14:textId="77777777" w:rsidR="00BB5628" w:rsidRPr="004E74A6" w:rsidRDefault="00BB5628" w:rsidP="00832773">
            <w:pPr>
              <w:spacing w:line="276" w:lineRule="auto"/>
              <w:jc w:val="center"/>
              <w:rPr>
                <w:rFonts w:cs="Calibri"/>
                <w:b/>
                <w:bCs/>
                <w:color w:val="000000"/>
                <w:sz w:val="20"/>
                <w:lang w:eastAsia="es-CR"/>
              </w:rPr>
            </w:pPr>
            <w:r w:rsidRPr="004E74A6">
              <w:rPr>
                <w:rFonts w:cs="Calibri"/>
                <w:b/>
                <w:bCs/>
                <w:color w:val="000000"/>
                <w:sz w:val="20"/>
                <w:lang w:eastAsia="es-CR"/>
              </w:rPr>
              <w:t>12</w:t>
            </w:r>
          </w:p>
        </w:tc>
        <w:tc>
          <w:tcPr>
            <w:tcW w:w="1200" w:type="dxa"/>
            <w:tcBorders>
              <w:top w:val="nil"/>
              <w:left w:val="nil"/>
              <w:bottom w:val="nil"/>
              <w:right w:val="single" w:sz="8" w:space="0" w:color="auto"/>
            </w:tcBorders>
            <w:shd w:val="clear" w:color="auto" w:fill="auto"/>
            <w:noWrap/>
            <w:vAlign w:val="center"/>
            <w:hideMark/>
          </w:tcPr>
          <w:p w14:paraId="634FD6FD" w14:textId="77777777" w:rsidR="00BB5628" w:rsidRPr="004E74A6" w:rsidRDefault="00BB5628" w:rsidP="00832773">
            <w:pPr>
              <w:spacing w:line="276" w:lineRule="auto"/>
              <w:jc w:val="center"/>
              <w:rPr>
                <w:rFonts w:cs="Calibri"/>
                <w:b/>
                <w:bCs/>
                <w:color w:val="000000"/>
                <w:sz w:val="20"/>
                <w:lang w:eastAsia="es-CR"/>
              </w:rPr>
            </w:pPr>
            <w:r w:rsidRPr="004E74A6">
              <w:rPr>
                <w:rFonts w:cs="Calibri"/>
                <w:b/>
                <w:bCs/>
                <w:color w:val="000000"/>
                <w:sz w:val="20"/>
                <w:lang w:eastAsia="es-CR"/>
              </w:rPr>
              <w:t>12</w:t>
            </w:r>
          </w:p>
        </w:tc>
        <w:tc>
          <w:tcPr>
            <w:tcW w:w="1200" w:type="dxa"/>
            <w:tcBorders>
              <w:top w:val="nil"/>
              <w:left w:val="nil"/>
              <w:bottom w:val="nil"/>
              <w:right w:val="single" w:sz="8" w:space="0" w:color="auto"/>
            </w:tcBorders>
            <w:shd w:val="clear" w:color="auto" w:fill="auto"/>
            <w:noWrap/>
            <w:vAlign w:val="center"/>
            <w:hideMark/>
          </w:tcPr>
          <w:p w14:paraId="08F7A3D8" w14:textId="77777777" w:rsidR="00BB5628" w:rsidRPr="004E74A6" w:rsidRDefault="00BB5628" w:rsidP="00832773">
            <w:pPr>
              <w:spacing w:line="276" w:lineRule="auto"/>
              <w:jc w:val="center"/>
              <w:rPr>
                <w:rFonts w:cs="Calibri"/>
                <w:b/>
                <w:bCs/>
                <w:color w:val="000000"/>
                <w:sz w:val="20"/>
                <w:lang w:eastAsia="es-CR"/>
              </w:rPr>
            </w:pPr>
            <w:r w:rsidRPr="004E74A6">
              <w:rPr>
                <w:rFonts w:cs="Calibri"/>
                <w:b/>
                <w:bCs/>
                <w:color w:val="000000"/>
                <w:sz w:val="20"/>
                <w:lang w:eastAsia="es-CR"/>
              </w:rPr>
              <w:t>11</w:t>
            </w:r>
          </w:p>
        </w:tc>
        <w:tc>
          <w:tcPr>
            <w:tcW w:w="2500" w:type="dxa"/>
            <w:tcBorders>
              <w:top w:val="nil"/>
              <w:left w:val="nil"/>
              <w:bottom w:val="nil"/>
              <w:right w:val="nil"/>
            </w:tcBorders>
            <w:shd w:val="clear" w:color="auto" w:fill="auto"/>
            <w:noWrap/>
            <w:vAlign w:val="bottom"/>
            <w:hideMark/>
          </w:tcPr>
          <w:p w14:paraId="1F555995" w14:textId="77777777" w:rsidR="00BB5628" w:rsidRPr="004E74A6" w:rsidRDefault="00BB5628" w:rsidP="00832773">
            <w:pPr>
              <w:spacing w:line="276" w:lineRule="auto"/>
              <w:jc w:val="center"/>
              <w:rPr>
                <w:rFonts w:cs="Calibri"/>
                <w:b/>
                <w:bCs/>
                <w:color w:val="000000"/>
                <w:sz w:val="20"/>
                <w:lang w:eastAsia="es-CR"/>
              </w:rPr>
            </w:pPr>
            <w:r w:rsidRPr="004E74A6">
              <w:rPr>
                <w:rFonts w:cs="Calibri"/>
                <w:b/>
                <w:bCs/>
                <w:color w:val="000000"/>
                <w:sz w:val="20"/>
                <w:lang w:eastAsia="es-CR"/>
              </w:rPr>
              <w:t>20%</w:t>
            </w:r>
          </w:p>
        </w:tc>
      </w:tr>
      <w:tr w:rsidR="00BB5628" w:rsidRPr="004E74A6" w14:paraId="62EB1BBD" w14:textId="77777777" w:rsidTr="006F151F">
        <w:trPr>
          <w:trHeight w:val="300"/>
        </w:trPr>
        <w:tc>
          <w:tcPr>
            <w:tcW w:w="2800" w:type="dxa"/>
            <w:tcBorders>
              <w:top w:val="nil"/>
              <w:left w:val="nil"/>
              <w:bottom w:val="nil"/>
              <w:right w:val="single" w:sz="8" w:space="0" w:color="auto"/>
            </w:tcBorders>
            <w:shd w:val="clear" w:color="auto" w:fill="auto"/>
            <w:noWrap/>
            <w:vAlign w:val="center"/>
            <w:hideMark/>
          </w:tcPr>
          <w:p w14:paraId="2E43509C" w14:textId="77777777" w:rsidR="00BB5628" w:rsidRPr="004E74A6" w:rsidRDefault="00BB5628" w:rsidP="00832773">
            <w:pPr>
              <w:spacing w:line="276" w:lineRule="auto"/>
              <w:jc w:val="left"/>
              <w:rPr>
                <w:rFonts w:cs="Calibri"/>
                <w:b/>
                <w:bCs/>
                <w:color w:val="000000"/>
                <w:sz w:val="20"/>
                <w:lang w:eastAsia="es-CR"/>
              </w:rPr>
            </w:pPr>
            <w:r w:rsidRPr="004E74A6">
              <w:rPr>
                <w:rFonts w:cs="Calibri"/>
                <w:b/>
                <w:bCs/>
                <w:color w:val="000000"/>
                <w:sz w:val="20"/>
                <w:lang w:eastAsia="es-CR"/>
              </w:rPr>
              <w:t>De ¢8.000.001 a ¢9.000.000</w:t>
            </w:r>
          </w:p>
        </w:tc>
        <w:tc>
          <w:tcPr>
            <w:tcW w:w="1200" w:type="dxa"/>
            <w:tcBorders>
              <w:top w:val="nil"/>
              <w:left w:val="nil"/>
              <w:bottom w:val="nil"/>
              <w:right w:val="single" w:sz="8" w:space="0" w:color="auto"/>
            </w:tcBorders>
            <w:shd w:val="clear" w:color="auto" w:fill="auto"/>
            <w:noWrap/>
            <w:vAlign w:val="center"/>
            <w:hideMark/>
          </w:tcPr>
          <w:p w14:paraId="67784557" w14:textId="77777777" w:rsidR="00BB5628" w:rsidRPr="004E74A6" w:rsidRDefault="00BB5628" w:rsidP="00832773">
            <w:pPr>
              <w:spacing w:line="276" w:lineRule="auto"/>
              <w:jc w:val="center"/>
              <w:rPr>
                <w:rFonts w:cs="Calibri"/>
                <w:b/>
                <w:bCs/>
                <w:color w:val="000000"/>
                <w:sz w:val="20"/>
                <w:lang w:eastAsia="es-CR"/>
              </w:rPr>
            </w:pPr>
            <w:r w:rsidRPr="004E74A6">
              <w:rPr>
                <w:rFonts w:cs="Calibri"/>
                <w:b/>
                <w:bCs/>
                <w:color w:val="000000"/>
                <w:sz w:val="20"/>
                <w:lang w:eastAsia="es-CR"/>
              </w:rPr>
              <w:t>3</w:t>
            </w:r>
          </w:p>
        </w:tc>
        <w:tc>
          <w:tcPr>
            <w:tcW w:w="1200" w:type="dxa"/>
            <w:tcBorders>
              <w:top w:val="nil"/>
              <w:left w:val="nil"/>
              <w:bottom w:val="nil"/>
              <w:right w:val="single" w:sz="8" w:space="0" w:color="auto"/>
            </w:tcBorders>
            <w:shd w:val="clear" w:color="auto" w:fill="auto"/>
            <w:noWrap/>
            <w:vAlign w:val="center"/>
            <w:hideMark/>
          </w:tcPr>
          <w:p w14:paraId="0C08FE30" w14:textId="77777777" w:rsidR="00BB5628" w:rsidRPr="004E74A6" w:rsidRDefault="00BB5628" w:rsidP="00832773">
            <w:pPr>
              <w:spacing w:line="276" w:lineRule="auto"/>
              <w:jc w:val="center"/>
              <w:rPr>
                <w:rFonts w:cs="Calibri"/>
                <w:b/>
                <w:bCs/>
                <w:color w:val="000000"/>
                <w:sz w:val="20"/>
                <w:lang w:eastAsia="es-CR"/>
              </w:rPr>
            </w:pPr>
            <w:r w:rsidRPr="004E74A6">
              <w:rPr>
                <w:rFonts w:cs="Calibri"/>
                <w:b/>
                <w:bCs/>
                <w:color w:val="000000"/>
                <w:sz w:val="20"/>
                <w:lang w:eastAsia="es-CR"/>
              </w:rPr>
              <w:t>7</w:t>
            </w:r>
          </w:p>
        </w:tc>
        <w:tc>
          <w:tcPr>
            <w:tcW w:w="1200" w:type="dxa"/>
            <w:tcBorders>
              <w:top w:val="nil"/>
              <w:left w:val="nil"/>
              <w:bottom w:val="nil"/>
              <w:right w:val="single" w:sz="8" w:space="0" w:color="auto"/>
            </w:tcBorders>
            <w:shd w:val="clear" w:color="auto" w:fill="auto"/>
            <w:noWrap/>
            <w:vAlign w:val="center"/>
            <w:hideMark/>
          </w:tcPr>
          <w:p w14:paraId="500C3A46" w14:textId="77777777" w:rsidR="00BB5628" w:rsidRPr="004E74A6" w:rsidRDefault="00BB5628" w:rsidP="00832773">
            <w:pPr>
              <w:spacing w:line="276" w:lineRule="auto"/>
              <w:jc w:val="center"/>
              <w:rPr>
                <w:rFonts w:cs="Calibri"/>
                <w:b/>
                <w:bCs/>
                <w:color w:val="000000"/>
                <w:sz w:val="20"/>
                <w:lang w:eastAsia="es-CR"/>
              </w:rPr>
            </w:pPr>
            <w:r w:rsidRPr="004E74A6">
              <w:rPr>
                <w:rFonts w:cs="Calibri"/>
                <w:b/>
                <w:bCs/>
                <w:color w:val="000000"/>
                <w:sz w:val="20"/>
                <w:lang w:eastAsia="es-CR"/>
              </w:rPr>
              <w:t>5</w:t>
            </w:r>
          </w:p>
        </w:tc>
        <w:tc>
          <w:tcPr>
            <w:tcW w:w="1200" w:type="dxa"/>
            <w:tcBorders>
              <w:top w:val="nil"/>
              <w:left w:val="nil"/>
              <w:bottom w:val="nil"/>
              <w:right w:val="single" w:sz="8" w:space="0" w:color="auto"/>
            </w:tcBorders>
            <w:shd w:val="clear" w:color="auto" w:fill="auto"/>
            <w:noWrap/>
            <w:vAlign w:val="center"/>
            <w:hideMark/>
          </w:tcPr>
          <w:p w14:paraId="00246A2C" w14:textId="77777777" w:rsidR="00BB5628" w:rsidRPr="004E74A6" w:rsidRDefault="00BB5628" w:rsidP="00832773">
            <w:pPr>
              <w:spacing w:line="276" w:lineRule="auto"/>
              <w:jc w:val="center"/>
              <w:rPr>
                <w:rFonts w:cs="Calibri"/>
                <w:b/>
                <w:bCs/>
                <w:color w:val="000000"/>
                <w:sz w:val="20"/>
                <w:lang w:eastAsia="es-CR"/>
              </w:rPr>
            </w:pPr>
            <w:r w:rsidRPr="004E74A6">
              <w:rPr>
                <w:rFonts w:cs="Calibri"/>
                <w:b/>
                <w:bCs/>
                <w:color w:val="000000"/>
                <w:sz w:val="20"/>
                <w:lang w:eastAsia="es-CR"/>
              </w:rPr>
              <w:t>5</w:t>
            </w:r>
          </w:p>
        </w:tc>
        <w:tc>
          <w:tcPr>
            <w:tcW w:w="2500" w:type="dxa"/>
            <w:tcBorders>
              <w:top w:val="nil"/>
              <w:left w:val="nil"/>
              <w:bottom w:val="nil"/>
              <w:right w:val="nil"/>
            </w:tcBorders>
            <w:shd w:val="clear" w:color="auto" w:fill="auto"/>
            <w:noWrap/>
            <w:vAlign w:val="bottom"/>
            <w:hideMark/>
          </w:tcPr>
          <w:p w14:paraId="1009CC31" w14:textId="77777777" w:rsidR="00BB5628" w:rsidRPr="004E74A6" w:rsidRDefault="00BB5628" w:rsidP="00832773">
            <w:pPr>
              <w:spacing w:line="276" w:lineRule="auto"/>
              <w:jc w:val="center"/>
              <w:rPr>
                <w:rFonts w:cs="Calibri"/>
                <w:b/>
                <w:bCs/>
                <w:color w:val="000000"/>
                <w:sz w:val="20"/>
                <w:lang w:eastAsia="es-CR"/>
              </w:rPr>
            </w:pPr>
            <w:r w:rsidRPr="004E74A6">
              <w:rPr>
                <w:rFonts w:cs="Calibri"/>
                <w:b/>
                <w:bCs/>
                <w:color w:val="000000"/>
                <w:sz w:val="20"/>
                <w:lang w:eastAsia="es-CR"/>
              </w:rPr>
              <w:t>22%</w:t>
            </w:r>
          </w:p>
        </w:tc>
      </w:tr>
      <w:tr w:rsidR="00BB5628" w:rsidRPr="004E74A6" w14:paraId="699C179E" w14:textId="77777777" w:rsidTr="006F151F">
        <w:trPr>
          <w:trHeight w:val="300"/>
        </w:trPr>
        <w:tc>
          <w:tcPr>
            <w:tcW w:w="2800" w:type="dxa"/>
            <w:tcBorders>
              <w:top w:val="nil"/>
              <w:left w:val="nil"/>
              <w:bottom w:val="nil"/>
              <w:right w:val="single" w:sz="8" w:space="0" w:color="auto"/>
            </w:tcBorders>
            <w:shd w:val="clear" w:color="auto" w:fill="auto"/>
            <w:noWrap/>
            <w:vAlign w:val="center"/>
            <w:hideMark/>
          </w:tcPr>
          <w:p w14:paraId="709402BF" w14:textId="77777777" w:rsidR="00BB5628" w:rsidRPr="004E74A6" w:rsidRDefault="00BB5628" w:rsidP="00832773">
            <w:pPr>
              <w:spacing w:line="276" w:lineRule="auto"/>
              <w:jc w:val="left"/>
              <w:rPr>
                <w:rFonts w:cs="Calibri"/>
                <w:b/>
                <w:bCs/>
                <w:color w:val="000000"/>
                <w:sz w:val="20"/>
                <w:lang w:eastAsia="es-CR"/>
              </w:rPr>
            </w:pPr>
            <w:r w:rsidRPr="004E74A6">
              <w:rPr>
                <w:rFonts w:cs="Calibri"/>
                <w:b/>
                <w:bCs/>
                <w:color w:val="000000"/>
                <w:sz w:val="20"/>
                <w:lang w:eastAsia="es-CR"/>
              </w:rPr>
              <w:t>De ¢9.000.001 a ¢10.000.000</w:t>
            </w:r>
          </w:p>
        </w:tc>
        <w:tc>
          <w:tcPr>
            <w:tcW w:w="1200" w:type="dxa"/>
            <w:tcBorders>
              <w:top w:val="nil"/>
              <w:left w:val="nil"/>
              <w:bottom w:val="nil"/>
              <w:right w:val="single" w:sz="8" w:space="0" w:color="auto"/>
            </w:tcBorders>
            <w:shd w:val="clear" w:color="auto" w:fill="auto"/>
            <w:noWrap/>
            <w:vAlign w:val="center"/>
            <w:hideMark/>
          </w:tcPr>
          <w:p w14:paraId="793A4AAD" w14:textId="77777777" w:rsidR="00BB5628" w:rsidRPr="004E74A6" w:rsidRDefault="00BB5628" w:rsidP="00832773">
            <w:pPr>
              <w:spacing w:line="276" w:lineRule="auto"/>
              <w:jc w:val="center"/>
              <w:rPr>
                <w:rFonts w:cs="Calibri"/>
                <w:b/>
                <w:bCs/>
                <w:color w:val="000000"/>
                <w:sz w:val="20"/>
                <w:lang w:eastAsia="es-CR"/>
              </w:rPr>
            </w:pPr>
            <w:r w:rsidRPr="004E74A6">
              <w:rPr>
                <w:rFonts w:cs="Calibri"/>
                <w:b/>
                <w:bCs/>
                <w:color w:val="000000"/>
                <w:sz w:val="20"/>
                <w:lang w:eastAsia="es-CR"/>
              </w:rPr>
              <w:t>24</w:t>
            </w:r>
          </w:p>
        </w:tc>
        <w:tc>
          <w:tcPr>
            <w:tcW w:w="1200" w:type="dxa"/>
            <w:tcBorders>
              <w:top w:val="nil"/>
              <w:left w:val="nil"/>
              <w:bottom w:val="nil"/>
              <w:right w:val="single" w:sz="8" w:space="0" w:color="auto"/>
            </w:tcBorders>
            <w:shd w:val="clear" w:color="auto" w:fill="auto"/>
            <w:noWrap/>
            <w:vAlign w:val="center"/>
            <w:hideMark/>
          </w:tcPr>
          <w:p w14:paraId="4C4FC143" w14:textId="77777777" w:rsidR="00BB5628" w:rsidRPr="004E74A6" w:rsidRDefault="00BB5628" w:rsidP="00832773">
            <w:pPr>
              <w:spacing w:line="276" w:lineRule="auto"/>
              <w:jc w:val="center"/>
              <w:rPr>
                <w:rFonts w:cs="Calibri"/>
                <w:b/>
                <w:bCs/>
                <w:color w:val="000000"/>
                <w:sz w:val="20"/>
                <w:lang w:eastAsia="es-CR"/>
              </w:rPr>
            </w:pPr>
            <w:r w:rsidRPr="004E74A6">
              <w:rPr>
                <w:rFonts w:cs="Calibri"/>
                <w:b/>
                <w:bCs/>
                <w:color w:val="000000"/>
                <w:sz w:val="20"/>
                <w:lang w:eastAsia="es-CR"/>
              </w:rPr>
              <w:t>22</w:t>
            </w:r>
          </w:p>
        </w:tc>
        <w:tc>
          <w:tcPr>
            <w:tcW w:w="1200" w:type="dxa"/>
            <w:tcBorders>
              <w:top w:val="nil"/>
              <w:left w:val="nil"/>
              <w:bottom w:val="nil"/>
              <w:right w:val="single" w:sz="8" w:space="0" w:color="auto"/>
            </w:tcBorders>
            <w:shd w:val="clear" w:color="auto" w:fill="auto"/>
            <w:noWrap/>
            <w:vAlign w:val="center"/>
            <w:hideMark/>
          </w:tcPr>
          <w:p w14:paraId="2AB60F44" w14:textId="77777777" w:rsidR="00BB5628" w:rsidRPr="004E74A6" w:rsidRDefault="00BB5628" w:rsidP="00832773">
            <w:pPr>
              <w:spacing w:line="276" w:lineRule="auto"/>
              <w:jc w:val="center"/>
              <w:rPr>
                <w:rFonts w:cs="Calibri"/>
                <w:b/>
                <w:bCs/>
                <w:color w:val="000000"/>
                <w:sz w:val="20"/>
                <w:lang w:eastAsia="es-CR"/>
              </w:rPr>
            </w:pPr>
            <w:r w:rsidRPr="004E74A6">
              <w:rPr>
                <w:rFonts w:cs="Calibri"/>
                <w:b/>
                <w:bCs/>
                <w:color w:val="000000"/>
                <w:sz w:val="20"/>
                <w:lang w:eastAsia="es-CR"/>
              </w:rPr>
              <w:t>19</w:t>
            </w:r>
          </w:p>
        </w:tc>
        <w:tc>
          <w:tcPr>
            <w:tcW w:w="1200" w:type="dxa"/>
            <w:tcBorders>
              <w:top w:val="nil"/>
              <w:left w:val="nil"/>
              <w:bottom w:val="nil"/>
              <w:right w:val="single" w:sz="8" w:space="0" w:color="auto"/>
            </w:tcBorders>
            <w:shd w:val="clear" w:color="auto" w:fill="auto"/>
            <w:noWrap/>
            <w:vAlign w:val="center"/>
            <w:hideMark/>
          </w:tcPr>
          <w:p w14:paraId="25747B12" w14:textId="77777777" w:rsidR="00BB5628" w:rsidRPr="004E74A6" w:rsidRDefault="00BB5628" w:rsidP="00832773">
            <w:pPr>
              <w:spacing w:line="276" w:lineRule="auto"/>
              <w:jc w:val="center"/>
              <w:rPr>
                <w:rFonts w:cs="Calibri"/>
                <w:b/>
                <w:bCs/>
                <w:color w:val="000000"/>
                <w:sz w:val="20"/>
                <w:lang w:eastAsia="es-CR"/>
              </w:rPr>
            </w:pPr>
            <w:r w:rsidRPr="004E74A6">
              <w:rPr>
                <w:rFonts w:cs="Calibri"/>
                <w:b/>
                <w:bCs/>
                <w:color w:val="000000"/>
                <w:sz w:val="20"/>
                <w:lang w:eastAsia="es-CR"/>
              </w:rPr>
              <w:t>22</w:t>
            </w:r>
          </w:p>
        </w:tc>
        <w:tc>
          <w:tcPr>
            <w:tcW w:w="2500" w:type="dxa"/>
            <w:tcBorders>
              <w:top w:val="nil"/>
              <w:left w:val="nil"/>
              <w:bottom w:val="nil"/>
              <w:right w:val="nil"/>
            </w:tcBorders>
            <w:shd w:val="clear" w:color="auto" w:fill="auto"/>
            <w:noWrap/>
            <w:vAlign w:val="bottom"/>
            <w:hideMark/>
          </w:tcPr>
          <w:p w14:paraId="00A23371" w14:textId="77777777" w:rsidR="00BB5628" w:rsidRPr="004E74A6" w:rsidRDefault="00BB5628" w:rsidP="00832773">
            <w:pPr>
              <w:spacing w:line="276" w:lineRule="auto"/>
              <w:jc w:val="center"/>
              <w:rPr>
                <w:rFonts w:cs="Calibri"/>
                <w:b/>
                <w:bCs/>
                <w:color w:val="000000"/>
                <w:sz w:val="20"/>
                <w:lang w:eastAsia="es-CR"/>
              </w:rPr>
            </w:pPr>
            <w:r w:rsidRPr="004E74A6">
              <w:rPr>
                <w:rFonts w:cs="Calibri"/>
                <w:b/>
                <w:bCs/>
                <w:color w:val="000000"/>
                <w:sz w:val="20"/>
                <w:lang w:eastAsia="es-CR"/>
              </w:rPr>
              <w:t>28%</w:t>
            </w:r>
          </w:p>
        </w:tc>
      </w:tr>
      <w:tr w:rsidR="00BB5628" w:rsidRPr="004E74A6" w14:paraId="488BE18C" w14:textId="77777777" w:rsidTr="006F151F">
        <w:trPr>
          <w:trHeight w:val="300"/>
        </w:trPr>
        <w:tc>
          <w:tcPr>
            <w:tcW w:w="2800" w:type="dxa"/>
            <w:tcBorders>
              <w:top w:val="nil"/>
              <w:left w:val="nil"/>
              <w:bottom w:val="nil"/>
              <w:right w:val="single" w:sz="8" w:space="0" w:color="auto"/>
            </w:tcBorders>
            <w:shd w:val="clear" w:color="auto" w:fill="auto"/>
            <w:noWrap/>
            <w:vAlign w:val="center"/>
            <w:hideMark/>
          </w:tcPr>
          <w:p w14:paraId="2442F0A0" w14:textId="77777777" w:rsidR="00BB5628" w:rsidRPr="004E74A6" w:rsidRDefault="00BB5628" w:rsidP="00832773">
            <w:pPr>
              <w:spacing w:line="276" w:lineRule="auto"/>
              <w:jc w:val="left"/>
              <w:rPr>
                <w:rFonts w:cs="Calibri"/>
                <w:b/>
                <w:bCs/>
                <w:color w:val="000000"/>
                <w:sz w:val="20"/>
                <w:lang w:eastAsia="es-CR"/>
              </w:rPr>
            </w:pPr>
            <w:r w:rsidRPr="004E74A6">
              <w:rPr>
                <w:rFonts w:cs="Calibri"/>
                <w:b/>
                <w:bCs/>
                <w:color w:val="000000"/>
                <w:sz w:val="20"/>
                <w:lang w:eastAsia="es-CR"/>
              </w:rPr>
              <w:t>De ¢10.000.001 a ¢15.000.000</w:t>
            </w:r>
          </w:p>
        </w:tc>
        <w:tc>
          <w:tcPr>
            <w:tcW w:w="1200" w:type="dxa"/>
            <w:tcBorders>
              <w:top w:val="nil"/>
              <w:left w:val="nil"/>
              <w:bottom w:val="nil"/>
              <w:right w:val="single" w:sz="8" w:space="0" w:color="auto"/>
            </w:tcBorders>
            <w:shd w:val="clear" w:color="auto" w:fill="auto"/>
            <w:noWrap/>
            <w:vAlign w:val="center"/>
            <w:hideMark/>
          </w:tcPr>
          <w:p w14:paraId="37160277" w14:textId="77777777" w:rsidR="00BB5628" w:rsidRPr="004E74A6" w:rsidRDefault="00BB5628" w:rsidP="00832773">
            <w:pPr>
              <w:spacing w:line="276" w:lineRule="auto"/>
              <w:jc w:val="center"/>
              <w:rPr>
                <w:rFonts w:cs="Calibri"/>
                <w:b/>
                <w:bCs/>
                <w:color w:val="000000"/>
                <w:sz w:val="20"/>
                <w:lang w:eastAsia="es-CR"/>
              </w:rPr>
            </w:pPr>
            <w:r w:rsidRPr="004E74A6">
              <w:rPr>
                <w:rFonts w:cs="Calibri"/>
                <w:b/>
                <w:bCs/>
                <w:color w:val="000000"/>
                <w:sz w:val="20"/>
                <w:lang w:eastAsia="es-CR"/>
              </w:rPr>
              <w:t>29</w:t>
            </w:r>
          </w:p>
        </w:tc>
        <w:tc>
          <w:tcPr>
            <w:tcW w:w="1200" w:type="dxa"/>
            <w:tcBorders>
              <w:top w:val="nil"/>
              <w:left w:val="nil"/>
              <w:bottom w:val="nil"/>
              <w:right w:val="single" w:sz="8" w:space="0" w:color="auto"/>
            </w:tcBorders>
            <w:shd w:val="clear" w:color="auto" w:fill="auto"/>
            <w:noWrap/>
            <w:vAlign w:val="center"/>
            <w:hideMark/>
          </w:tcPr>
          <w:p w14:paraId="62696EFD" w14:textId="77777777" w:rsidR="00BB5628" w:rsidRPr="004E74A6" w:rsidRDefault="00BB5628" w:rsidP="00832773">
            <w:pPr>
              <w:spacing w:line="276" w:lineRule="auto"/>
              <w:jc w:val="center"/>
              <w:rPr>
                <w:rFonts w:cs="Calibri"/>
                <w:b/>
                <w:bCs/>
                <w:color w:val="000000"/>
                <w:sz w:val="20"/>
                <w:lang w:eastAsia="es-CR"/>
              </w:rPr>
            </w:pPr>
            <w:r w:rsidRPr="004E74A6">
              <w:rPr>
                <w:rFonts w:cs="Calibri"/>
                <w:b/>
                <w:bCs/>
                <w:color w:val="000000"/>
                <w:sz w:val="20"/>
                <w:lang w:eastAsia="es-CR"/>
              </w:rPr>
              <w:t>36</w:t>
            </w:r>
          </w:p>
        </w:tc>
        <w:tc>
          <w:tcPr>
            <w:tcW w:w="1200" w:type="dxa"/>
            <w:tcBorders>
              <w:top w:val="nil"/>
              <w:left w:val="nil"/>
              <w:bottom w:val="nil"/>
              <w:right w:val="single" w:sz="8" w:space="0" w:color="auto"/>
            </w:tcBorders>
            <w:shd w:val="clear" w:color="auto" w:fill="auto"/>
            <w:noWrap/>
            <w:vAlign w:val="center"/>
            <w:hideMark/>
          </w:tcPr>
          <w:p w14:paraId="01D3BF00" w14:textId="77777777" w:rsidR="00BB5628" w:rsidRPr="004E74A6" w:rsidRDefault="00BB5628" w:rsidP="00832773">
            <w:pPr>
              <w:spacing w:line="276" w:lineRule="auto"/>
              <w:jc w:val="center"/>
              <w:rPr>
                <w:rFonts w:cs="Calibri"/>
                <w:b/>
                <w:bCs/>
                <w:color w:val="000000"/>
                <w:sz w:val="20"/>
                <w:lang w:eastAsia="es-CR"/>
              </w:rPr>
            </w:pPr>
            <w:r w:rsidRPr="004E74A6">
              <w:rPr>
                <w:rFonts w:cs="Calibri"/>
                <w:b/>
                <w:bCs/>
                <w:color w:val="000000"/>
                <w:sz w:val="20"/>
                <w:lang w:eastAsia="es-CR"/>
              </w:rPr>
              <w:t>27</w:t>
            </w:r>
          </w:p>
        </w:tc>
        <w:tc>
          <w:tcPr>
            <w:tcW w:w="1200" w:type="dxa"/>
            <w:tcBorders>
              <w:top w:val="nil"/>
              <w:left w:val="nil"/>
              <w:bottom w:val="nil"/>
              <w:right w:val="single" w:sz="8" w:space="0" w:color="auto"/>
            </w:tcBorders>
            <w:shd w:val="clear" w:color="auto" w:fill="auto"/>
            <w:noWrap/>
            <w:vAlign w:val="center"/>
            <w:hideMark/>
          </w:tcPr>
          <w:p w14:paraId="3353035F" w14:textId="77777777" w:rsidR="00BB5628" w:rsidRPr="004E74A6" w:rsidRDefault="00BB5628" w:rsidP="00832773">
            <w:pPr>
              <w:spacing w:line="276" w:lineRule="auto"/>
              <w:jc w:val="center"/>
              <w:rPr>
                <w:rFonts w:cs="Calibri"/>
                <w:b/>
                <w:bCs/>
                <w:color w:val="000000"/>
                <w:sz w:val="20"/>
                <w:lang w:eastAsia="es-CR"/>
              </w:rPr>
            </w:pPr>
            <w:r w:rsidRPr="004E74A6">
              <w:rPr>
                <w:rFonts w:cs="Calibri"/>
                <w:b/>
                <w:bCs/>
                <w:color w:val="000000"/>
                <w:sz w:val="20"/>
                <w:lang w:eastAsia="es-CR"/>
              </w:rPr>
              <w:t>31</w:t>
            </w:r>
          </w:p>
        </w:tc>
        <w:tc>
          <w:tcPr>
            <w:tcW w:w="2500" w:type="dxa"/>
            <w:tcBorders>
              <w:top w:val="nil"/>
              <w:left w:val="nil"/>
              <w:bottom w:val="nil"/>
              <w:right w:val="nil"/>
            </w:tcBorders>
            <w:shd w:val="clear" w:color="auto" w:fill="auto"/>
            <w:noWrap/>
            <w:vAlign w:val="bottom"/>
            <w:hideMark/>
          </w:tcPr>
          <w:p w14:paraId="12B518FA" w14:textId="77777777" w:rsidR="00BB5628" w:rsidRPr="004E74A6" w:rsidRDefault="00BB5628" w:rsidP="00832773">
            <w:pPr>
              <w:spacing w:line="276" w:lineRule="auto"/>
              <w:jc w:val="center"/>
              <w:rPr>
                <w:rFonts w:cs="Calibri"/>
                <w:b/>
                <w:bCs/>
                <w:color w:val="000000"/>
                <w:sz w:val="20"/>
                <w:lang w:eastAsia="es-CR"/>
              </w:rPr>
            </w:pPr>
            <w:r w:rsidRPr="004E74A6">
              <w:rPr>
                <w:rFonts w:cs="Calibri"/>
                <w:b/>
                <w:bCs/>
                <w:color w:val="000000"/>
                <w:sz w:val="20"/>
                <w:lang w:eastAsia="es-CR"/>
              </w:rPr>
              <w:t>36%</w:t>
            </w:r>
          </w:p>
        </w:tc>
      </w:tr>
      <w:tr w:rsidR="00BB5628" w:rsidRPr="004E74A6" w14:paraId="49EBBA2C" w14:textId="77777777" w:rsidTr="00832773">
        <w:trPr>
          <w:trHeight w:val="300"/>
        </w:trPr>
        <w:tc>
          <w:tcPr>
            <w:tcW w:w="2800" w:type="dxa"/>
            <w:tcBorders>
              <w:top w:val="nil"/>
              <w:left w:val="nil"/>
              <w:bottom w:val="nil"/>
              <w:right w:val="single" w:sz="8" w:space="0" w:color="auto"/>
            </w:tcBorders>
            <w:shd w:val="clear" w:color="auto" w:fill="C5E0B3" w:themeFill="accent6" w:themeFillTint="66"/>
            <w:noWrap/>
            <w:vAlign w:val="center"/>
            <w:hideMark/>
          </w:tcPr>
          <w:p w14:paraId="39589093" w14:textId="77777777" w:rsidR="00BB5628" w:rsidRPr="004E74A6" w:rsidRDefault="00BB5628" w:rsidP="00832773">
            <w:pPr>
              <w:spacing w:line="276" w:lineRule="auto"/>
              <w:jc w:val="left"/>
              <w:rPr>
                <w:rFonts w:cs="Calibri"/>
                <w:b/>
                <w:bCs/>
                <w:color w:val="000000"/>
                <w:sz w:val="20"/>
                <w:lang w:eastAsia="es-CR"/>
              </w:rPr>
            </w:pPr>
            <w:r w:rsidRPr="004E74A6">
              <w:rPr>
                <w:rFonts w:cs="Calibri"/>
                <w:b/>
                <w:bCs/>
                <w:color w:val="000000"/>
                <w:sz w:val="20"/>
                <w:lang w:eastAsia="es-CR"/>
              </w:rPr>
              <w:t>De ¢15.000.001 a ¢20.000.000</w:t>
            </w:r>
          </w:p>
        </w:tc>
        <w:tc>
          <w:tcPr>
            <w:tcW w:w="1200" w:type="dxa"/>
            <w:tcBorders>
              <w:top w:val="nil"/>
              <w:left w:val="nil"/>
              <w:bottom w:val="nil"/>
              <w:right w:val="single" w:sz="8" w:space="0" w:color="auto"/>
            </w:tcBorders>
            <w:shd w:val="clear" w:color="auto" w:fill="C5E0B3" w:themeFill="accent6" w:themeFillTint="66"/>
            <w:noWrap/>
            <w:vAlign w:val="center"/>
            <w:hideMark/>
          </w:tcPr>
          <w:p w14:paraId="15AF33A4" w14:textId="77777777" w:rsidR="00BB5628" w:rsidRPr="004E74A6" w:rsidRDefault="00BB5628" w:rsidP="00832773">
            <w:pPr>
              <w:spacing w:line="276" w:lineRule="auto"/>
              <w:jc w:val="center"/>
              <w:rPr>
                <w:rFonts w:cs="Calibri"/>
                <w:b/>
                <w:bCs/>
                <w:color w:val="000000"/>
                <w:sz w:val="20"/>
                <w:lang w:eastAsia="es-CR"/>
              </w:rPr>
            </w:pPr>
            <w:r w:rsidRPr="004E74A6">
              <w:rPr>
                <w:rFonts w:cs="Calibri"/>
                <w:b/>
                <w:bCs/>
                <w:color w:val="000000"/>
                <w:sz w:val="20"/>
                <w:lang w:eastAsia="es-CR"/>
              </w:rPr>
              <w:t>28</w:t>
            </w:r>
          </w:p>
        </w:tc>
        <w:tc>
          <w:tcPr>
            <w:tcW w:w="1200" w:type="dxa"/>
            <w:tcBorders>
              <w:top w:val="nil"/>
              <w:left w:val="nil"/>
              <w:bottom w:val="nil"/>
              <w:right w:val="single" w:sz="8" w:space="0" w:color="auto"/>
            </w:tcBorders>
            <w:shd w:val="clear" w:color="auto" w:fill="C5E0B3" w:themeFill="accent6" w:themeFillTint="66"/>
            <w:noWrap/>
            <w:vAlign w:val="center"/>
            <w:hideMark/>
          </w:tcPr>
          <w:p w14:paraId="7D5CE50E" w14:textId="77777777" w:rsidR="00BB5628" w:rsidRPr="004E74A6" w:rsidRDefault="00BB5628" w:rsidP="00832773">
            <w:pPr>
              <w:spacing w:line="276" w:lineRule="auto"/>
              <w:jc w:val="center"/>
              <w:rPr>
                <w:rFonts w:cs="Calibri"/>
                <w:b/>
                <w:bCs/>
                <w:color w:val="000000"/>
                <w:sz w:val="20"/>
                <w:lang w:eastAsia="es-CR"/>
              </w:rPr>
            </w:pPr>
            <w:r w:rsidRPr="004E74A6">
              <w:rPr>
                <w:rFonts w:cs="Calibri"/>
                <w:b/>
                <w:bCs/>
                <w:color w:val="000000"/>
                <w:sz w:val="20"/>
                <w:lang w:eastAsia="es-CR"/>
              </w:rPr>
              <w:t>27</w:t>
            </w:r>
          </w:p>
        </w:tc>
        <w:tc>
          <w:tcPr>
            <w:tcW w:w="1200" w:type="dxa"/>
            <w:tcBorders>
              <w:top w:val="nil"/>
              <w:left w:val="nil"/>
              <w:bottom w:val="nil"/>
              <w:right w:val="single" w:sz="8" w:space="0" w:color="auto"/>
            </w:tcBorders>
            <w:shd w:val="clear" w:color="auto" w:fill="C5E0B3" w:themeFill="accent6" w:themeFillTint="66"/>
            <w:noWrap/>
            <w:vAlign w:val="center"/>
            <w:hideMark/>
          </w:tcPr>
          <w:p w14:paraId="6FCC390D" w14:textId="77777777" w:rsidR="00BB5628" w:rsidRPr="004E74A6" w:rsidRDefault="00BB5628" w:rsidP="00832773">
            <w:pPr>
              <w:spacing w:line="276" w:lineRule="auto"/>
              <w:jc w:val="center"/>
              <w:rPr>
                <w:rFonts w:cs="Calibri"/>
                <w:b/>
                <w:bCs/>
                <w:color w:val="000000"/>
                <w:sz w:val="20"/>
                <w:lang w:eastAsia="es-CR"/>
              </w:rPr>
            </w:pPr>
            <w:r w:rsidRPr="004E74A6">
              <w:rPr>
                <w:rFonts w:cs="Calibri"/>
                <w:b/>
                <w:bCs/>
                <w:color w:val="000000"/>
                <w:sz w:val="20"/>
                <w:lang w:eastAsia="es-CR"/>
              </w:rPr>
              <w:t>12</w:t>
            </w:r>
          </w:p>
        </w:tc>
        <w:tc>
          <w:tcPr>
            <w:tcW w:w="1200" w:type="dxa"/>
            <w:tcBorders>
              <w:top w:val="nil"/>
              <w:left w:val="nil"/>
              <w:bottom w:val="nil"/>
              <w:right w:val="single" w:sz="8" w:space="0" w:color="auto"/>
            </w:tcBorders>
            <w:shd w:val="clear" w:color="auto" w:fill="C5E0B3" w:themeFill="accent6" w:themeFillTint="66"/>
            <w:noWrap/>
            <w:vAlign w:val="center"/>
            <w:hideMark/>
          </w:tcPr>
          <w:p w14:paraId="08B5A861" w14:textId="77777777" w:rsidR="00BB5628" w:rsidRPr="004E74A6" w:rsidRDefault="00BB5628" w:rsidP="00832773">
            <w:pPr>
              <w:spacing w:line="276" w:lineRule="auto"/>
              <w:jc w:val="center"/>
              <w:rPr>
                <w:rFonts w:cs="Calibri"/>
                <w:b/>
                <w:bCs/>
                <w:color w:val="000000"/>
                <w:sz w:val="20"/>
                <w:lang w:eastAsia="es-CR"/>
              </w:rPr>
            </w:pPr>
            <w:r w:rsidRPr="004E74A6">
              <w:rPr>
                <w:rFonts w:cs="Calibri"/>
                <w:b/>
                <w:bCs/>
                <w:color w:val="000000"/>
                <w:sz w:val="20"/>
                <w:lang w:eastAsia="es-CR"/>
              </w:rPr>
              <w:t>22</w:t>
            </w:r>
          </w:p>
        </w:tc>
        <w:tc>
          <w:tcPr>
            <w:tcW w:w="2500" w:type="dxa"/>
            <w:tcBorders>
              <w:top w:val="nil"/>
              <w:left w:val="nil"/>
              <w:bottom w:val="nil"/>
              <w:right w:val="nil"/>
            </w:tcBorders>
            <w:shd w:val="clear" w:color="auto" w:fill="C5E0B3" w:themeFill="accent6" w:themeFillTint="66"/>
            <w:noWrap/>
            <w:vAlign w:val="bottom"/>
            <w:hideMark/>
          </w:tcPr>
          <w:p w14:paraId="3C094012" w14:textId="77777777" w:rsidR="00BB5628" w:rsidRPr="004E74A6" w:rsidRDefault="00BB5628" w:rsidP="00832773">
            <w:pPr>
              <w:spacing w:line="276" w:lineRule="auto"/>
              <w:jc w:val="center"/>
              <w:rPr>
                <w:rFonts w:cs="Calibri"/>
                <w:b/>
                <w:bCs/>
                <w:color w:val="000000"/>
                <w:sz w:val="20"/>
                <w:lang w:eastAsia="es-CR"/>
              </w:rPr>
            </w:pPr>
            <w:r w:rsidRPr="004E74A6">
              <w:rPr>
                <w:rFonts w:cs="Calibri"/>
                <w:b/>
                <w:bCs/>
                <w:color w:val="000000"/>
                <w:sz w:val="20"/>
                <w:lang w:eastAsia="es-CR"/>
              </w:rPr>
              <w:t>43%</w:t>
            </w:r>
          </w:p>
        </w:tc>
      </w:tr>
      <w:tr w:rsidR="00BB5628" w:rsidRPr="004E74A6" w14:paraId="353A6ACA" w14:textId="77777777" w:rsidTr="005103B2">
        <w:trPr>
          <w:trHeight w:val="300"/>
        </w:trPr>
        <w:tc>
          <w:tcPr>
            <w:tcW w:w="2800" w:type="dxa"/>
            <w:tcBorders>
              <w:top w:val="nil"/>
              <w:left w:val="nil"/>
              <w:bottom w:val="nil"/>
              <w:right w:val="single" w:sz="8" w:space="0" w:color="auto"/>
            </w:tcBorders>
            <w:shd w:val="clear" w:color="auto" w:fill="auto"/>
            <w:noWrap/>
            <w:vAlign w:val="center"/>
            <w:hideMark/>
          </w:tcPr>
          <w:p w14:paraId="7351F655" w14:textId="77777777" w:rsidR="00BB5628" w:rsidRPr="004E74A6" w:rsidRDefault="00BB5628" w:rsidP="00832773">
            <w:pPr>
              <w:spacing w:line="276" w:lineRule="auto"/>
              <w:jc w:val="left"/>
              <w:rPr>
                <w:rFonts w:cs="Calibri"/>
                <w:color w:val="000000"/>
                <w:sz w:val="20"/>
                <w:lang w:eastAsia="es-CR"/>
              </w:rPr>
            </w:pPr>
            <w:r w:rsidRPr="004E74A6">
              <w:rPr>
                <w:rFonts w:cs="Calibri"/>
                <w:color w:val="000000"/>
                <w:sz w:val="20"/>
                <w:lang w:eastAsia="es-CR"/>
              </w:rPr>
              <w:t>De ¢20.000.001 a ¢25.000.000</w:t>
            </w:r>
          </w:p>
        </w:tc>
        <w:tc>
          <w:tcPr>
            <w:tcW w:w="1200" w:type="dxa"/>
            <w:tcBorders>
              <w:top w:val="nil"/>
              <w:left w:val="nil"/>
              <w:bottom w:val="nil"/>
              <w:right w:val="single" w:sz="8" w:space="0" w:color="auto"/>
            </w:tcBorders>
            <w:shd w:val="clear" w:color="auto" w:fill="auto"/>
            <w:noWrap/>
            <w:vAlign w:val="center"/>
            <w:hideMark/>
          </w:tcPr>
          <w:p w14:paraId="2A641E9B" w14:textId="77777777" w:rsidR="00BB5628" w:rsidRPr="004E74A6" w:rsidRDefault="00BB5628" w:rsidP="00832773">
            <w:pPr>
              <w:spacing w:line="276" w:lineRule="auto"/>
              <w:jc w:val="center"/>
              <w:rPr>
                <w:rFonts w:cs="Calibri"/>
                <w:color w:val="000000"/>
                <w:sz w:val="20"/>
                <w:lang w:eastAsia="es-CR"/>
              </w:rPr>
            </w:pPr>
            <w:r w:rsidRPr="004E74A6">
              <w:rPr>
                <w:rFonts w:cs="Calibri"/>
                <w:color w:val="000000"/>
                <w:sz w:val="20"/>
                <w:lang w:eastAsia="es-CR"/>
              </w:rPr>
              <w:t>26</w:t>
            </w:r>
          </w:p>
        </w:tc>
        <w:tc>
          <w:tcPr>
            <w:tcW w:w="1200" w:type="dxa"/>
            <w:tcBorders>
              <w:top w:val="nil"/>
              <w:left w:val="nil"/>
              <w:bottom w:val="nil"/>
              <w:right w:val="single" w:sz="8" w:space="0" w:color="auto"/>
            </w:tcBorders>
            <w:shd w:val="clear" w:color="auto" w:fill="auto"/>
            <w:noWrap/>
            <w:vAlign w:val="center"/>
            <w:hideMark/>
          </w:tcPr>
          <w:p w14:paraId="5DF6E05F" w14:textId="77777777" w:rsidR="00BB5628" w:rsidRPr="004E74A6" w:rsidRDefault="00BB5628" w:rsidP="00832773">
            <w:pPr>
              <w:spacing w:line="276" w:lineRule="auto"/>
              <w:jc w:val="center"/>
              <w:rPr>
                <w:rFonts w:cs="Calibri"/>
                <w:color w:val="000000"/>
                <w:sz w:val="20"/>
                <w:lang w:eastAsia="es-CR"/>
              </w:rPr>
            </w:pPr>
            <w:r w:rsidRPr="004E74A6">
              <w:rPr>
                <w:rFonts w:cs="Calibri"/>
                <w:color w:val="000000"/>
                <w:sz w:val="20"/>
                <w:lang w:eastAsia="es-CR"/>
              </w:rPr>
              <w:t>13</w:t>
            </w:r>
          </w:p>
        </w:tc>
        <w:tc>
          <w:tcPr>
            <w:tcW w:w="1200" w:type="dxa"/>
            <w:tcBorders>
              <w:top w:val="nil"/>
              <w:left w:val="nil"/>
              <w:bottom w:val="nil"/>
              <w:right w:val="single" w:sz="8" w:space="0" w:color="auto"/>
            </w:tcBorders>
            <w:shd w:val="clear" w:color="auto" w:fill="auto"/>
            <w:noWrap/>
            <w:vAlign w:val="center"/>
            <w:hideMark/>
          </w:tcPr>
          <w:p w14:paraId="630A81F6" w14:textId="77777777" w:rsidR="00BB5628" w:rsidRPr="004E74A6" w:rsidRDefault="00BB5628" w:rsidP="00832773">
            <w:pPr>
              <w:spacing w:line="276" w:lineRule="auto"/>
              <w:jc w:val="center"/>
              <w:rPr>
                <w:rFonts w:cs="Calibri"/>
                <w:color w:val="000000"/>
                <w:sz w:val="20"/>
                <w:lang w:eastAsia="es-CR"/>
              </w:rPr>
            </w:pPr>
            <w:r w:rsidRPr="004E74A6">
              <w:rPr>
                <w:rFonts w:cs="Calibri"/>
                <w:color w:val="000000"/>
                <w:sz w:val="20"/>
                <w:lang w:eastAsia="es-CR"/>
              </w:rPr>
              <w:t>17</w:t>
            </w:r>
          </w:p>
        </w:tc>
        <w:tc>
          <w:tcPr>
            <w:tcW w:w="1200" w:type="dxa"/>
            <w:tcBorders>
              <w:top w:val="nil"/>
              <w:left w:val="nil"/>
              <w:bottom w:val="nil"/>
              <w:right w:val="single" w:sz="8" w:space="0" w:color="auto"/>
            </w:tcBorders>
            <w:shd w:val="clear" w:color="auto" w:fill="auto"/>
            <w:noWrap/>
            <w:vAlign w:val="center"/>
            <w:hideMark/>
          </w:tcPr>
          <w:p w14:paraId="2528B853" w14:textId="77777777" w:rsidR="00BB5628" w:rsidRPr="004E74A6" w:rsidRDefault="00BB5628" w:rsidP="00832773">
            <w:pPr>
              <w:spacing w:line="276" w:lineRule="auto"/>
              <w:jc w:val="center"/>
              <w:rPr>
                <w:rFonts w:cs="Calibri"/>
                <w:color w:val="000000"/>
                <w:sz w:val="20"/>
                <w:lang w:eastAsia="es-CR"/>
              </w:rPr>
            </w:pPr>
            <w:r w:rsidRPr="004E74A6">
              <w:rPr>
                <w:rFonts w:cs="Calibri"/>
                <w:color w:val="000000"/>
                <w:sz w:val="20"/>
                <w:lang w:eastAsia="es-CR"/>
              </w:rPr>
              <w:t>19</w:t>
            </w:r>
          </w:p>
        </w:tc>
        <w:tc>
          <w:tcPr>
            <w:tcW w:w="2500" w:type="dxa"/>
            <w:tcBorders>
              <w:top w:val="nil"/>
              <w:left w:val="nil"/>
              <w:bottom w:val="nil"/>
              <w:right w:val="nil"/>
            </w:tcBorders>
            <w:shd w:val="clear" w:color="auto" w:fill="auto"/>
            <w:noWrap/>
            <w:vAlign w:val="bottom"/>
            <w:hideMark/>
          </w:tcPr>
          <w:p w14:paraId="26340898" w14:textId="77777777" w:rsidR="00BB5628" w:rsidRPr="004E74A6" w:rsidRDefault="00BB5628" w:rsidP="00832773">
            <w:pPr>
              <w:spacing w:line="276" w:lineRule="auto"/>
              <w:jc w:val="center"/>
              <w:rPr>
                <w:rFonts w:cs="Calibri"/>
                <w:color w:val="000000"/>
                <w:sz w:val="20"/>
                <w:lang w:eastAsia="es-CR"/>
              </w:rPr>
            </w:pPr>
            <w:r w:rsidRPr="004E74A6">
              <w:rPr>
                <w:rFonts w:cs="Calibri"/>
                <w:color w:val="000000"/>
                <w:sz w:val="20"/>
                <w:lang w:eastAsia="es-CR"/>
              </w:rPr>
              <w:t>48%</w:t>
            </w:r>
          </w:p>
        </w:tc>
      </w:tr>
      <w:tr w:rsidR="00BB5628" w:rsidRPr="004E74A6" w14:paraId="41CC27B4" w14:textId="77777777" w:rsidTr="005103B2">
        <w:trPr>
          <w:trHeight w:val="300"/>
        </w:trPr>
        <w:tc>
          <w:tcPr>
            <w:tcW w:w="2800" w:type="dxa"/>
            <w:tcBorders>
              <w:top w:val="nil"/>
              <w:left w:val="nil"/>
              <w:bottom w:val="nil"/>
              <w:right w:val="single" w:sz="8" w:space="0" w:color="auto"/>
            </w:tcBorders>
            <w:shd w:val="clear" w:color="auto" w:fill="auto"/>
            <w:noWrap/>
            <w:vAlign w:val="center"/>
            <w:hideMark/>
          </w:tcPr>
          <w:p w14:paraId="1D1F8A5F" w14:textId="77777777" w:rsidR="00BB5628" w:rsidRPr="004E74A6" w:rsidRDefault="00BB5628" w:rsidP="00832773">
            <w:pPr>
              <w:spacing w:line="276" w:lineRule="auto"/>
              <w:jc w:val="left"/>
              <w:rPr>
                <w:rFonts w:cs="Calibri"/>
                <w:color w:val="000000"/>
                <w:sz w:val="20"/>
                <w:lang w:eastAsia="es-CR"/>
              </w:rPr>
            </w:pPr>
            <w:r w:rsidRPr="004E74A6">
              <w:rPr>
                <w:rFonts w:cs="Calibri"/>
                <w:color w:val="000000"/>
                <w:sz w:val="20"/>
                <w:lang w:eastAsia="es-CR"/>
              </w:rPr>
              <w:t>De ¢25.000.001 a ¢30.000.000</w:t>
            </w:r>
          </w:p>
        </w:tc>
        <w:tc>
          <w:tcPr>
            <w:tcW w:w="1200" w:type="dxa"/>
            <w:tcBorders>
              <w:top w:val="nil"/>
              <w:left w:val="nil"/>
              <w:bottom w:val="nil"/>
              <w:right w:val="single" w:sz="8" w:space="0" w:color="auto"/>
            </w:tcBorders>
            <w:shd w:val="clear" w:color="auto" w:fill="auto"/>
            <w:noWrap/>
            <w:vAlign w:val="center"/>
            <w:hideMark/>
          </w:tcPr>
          <w:p w14:paraId="5E0C20D2" w14:textId="77777777" w:rsidR="00BB5628" w:rsidRPr="004E74A6" w:rsidRDefault="00BB5628" w:rsidP="00832773">
            <w:pPr>
              <w:spacing w:line="276" w:lineRule="auto"/>
              <w:jc w:val="center"/>
              <w:rPr>
                <w:rFonts w:cs="Calibri"/>
                <w:color w:val="000000"/>
                <w:sz w:val="20"/>
                <w:lang w:eastAsia="es-CR"/>
              </w:rPr>
            </w:pPr>
            <w:r w:rsidRPr="004E74A6">
              <w:rPr>
                <w:rFonts w:cs="Calibri"/>
                <w:color w:val="000000"/>
                <w:sz w:val="20"/>
                <w:lang w:eastAsia="es-CR"/>
              </w:rPr>
              <w:t>22</w:t>
            </w:r>
          </w:p>
        </w:tc>
        <w:tc>
          <w:tcPr>
            <w:tcW w:w="1200" w:type="dxa"/>
            <w:tcBorders>
              <w:top w:val="nil"/>
              <w:left w:val="nil"/>
              <w:bottom w:val="nil"/>
              <w:right w:val="single" w:sz="8" w:space="0" w:color="auto"/>
            </w:tcBorders>
            <w:shd w:val="clear" w:color="auto" w:fill="auto"/>
            <w:noWrap/>
            <w:vAlign w:val="center"/>
            <w:hideMark/>
          </w:tcPr>
          <w:p w14:paraId="12540EFB" w14:textId="77777777" w:rsidR="00BB5628" w:rsidRPr="004E74A6" w:rsidRDefault="00BB5628" w:rsidP="00832773">
            <w:pPr>
              <w:spacing w:line="276" w:lineRule="auto"/>
              <w:jc w:val="center"/>
              <w:rPr>
                <w:rFonts w:cs="Calibri"/>
                <w:color w:val="000000"/>
                <w:sz w:val="20"/>
                <w:lang w:eastAsia="es-CR"/>
              </w:rPr>
            </w:pPr>
            <w:r w:rsidRPr="004E74A6">
              <w:rPr>
                <w:rFonts w:cs="Calibri"/>
                <w:color w:val="000000"/>
                <w:sz w:val="20"/>
                <w:lang w:eastAsia="es-CR"/>
              </w:rPr>
              <w:t>19</w:t>
            </w:r>
          </w:p>
        </w:tc>
        <w:tc>
          <w:tcPr>
            <w:tcW w:w="1200" w:type="dxa"/>
            <w:tcBorders>
              <w:top w:val="nil"/>
              <w:left w:val="nil"/>
              <w:bottom w:val="nil"/>
              <w:right w:val="single" w:sz="8" w:space="0" w:color="auto"/>
            </w:tcBorders>
            <w:shd w:val="clear" w:color="auto" w:fill="auto"/>
            <w:noWrap/>
            <w:vAlign w:val="center"/>
            <w:hideMark/>
          </w:tcPr>
          <w:p w14:paraId="3DCF5BDF" w14:textId="77777777" w:rsidR="00BB5628" w:rsidRPr="004E74A6" w:rsidRDefault="00BB5628" w:rsidP="00832773">
            <w:pPr>
              <w:spacing w:line="276" w:lineRule="auto"/>
              <w:jc w:val="center"/>
              <w:rPr>
                <w:rFonts w:cs="Calibri"/>
                <w:color w:val="000000"/>
                <w:sz w:val="20"/>
                <w:lang w:eastAsia="es-CR"/>
              </w:rPr>
            </w:pPr>
            <w:r w:rsidRPr="004E74A6">
              <w:rPr>
                <w:rFonts w:cs="Calibri"/>
                <w:color w:val="000000"/>
                <w:sz w:val="20"/>
                <w:lang w:eastAsia="es-CR"/>
              </w:rPr>
              <w:t>16</w:t>
            </w:r>
          </w:p>
        </w:tc>
        <w:tc>
          <w:tcPr>
            <w:tcW w:w="1200" w:type="dxa"/>
            <w:tcBorders>
              <w:top w:val="nil"/>
              <w:left w:val="nil"/>
              <w:bottom w:val="nil"/>
              <w:right w:val="single" w:sz="8" w:space="0" w:color="auto"/>
            </w:tcBorders>
            <w:shd w:val="clear" w:color="auto" w:fill="auto"/>
            <w:noWrap/>
            <w:vAlign w:val="center"/>
            <w:hideMark/>
          </w:tcPr>
          <w:p w14:paraId="570445B0" w14:textId="77777777" w:rsidR="00BB5628" w:rsidRPr="004E74A6" w:rsidRDefault="00BB5628" w:rsidP="00832773">
            <w:pPr>
              <w:spacing w:line="276" w:lineRule="auto"/>
              <w:jc w:val="center"/>
              <w:rPr>
                <w:rFonts w:cs="Calibri"/>
                <w:color w:val="000000"/>
                <w:sz w:val="20"/>
                <w:lang w:eastAsia="es-CR"/>
              </w:rPr>
            </w:pPr>
            <w:r w:rsidRPr="004E74A6">
              <w:rPr>
                <w:rFonts w:cs="Calibri"/>
                <w:color w:val="000000"/>
                <w:sz w:val="20"/>
                <w:lang w:eastAsia="es-CR"/>
              </w:rPr>
              <w:t>19</w:t>
            </w:r>
          </w:p>
        </w:tc>
        <w:tc>
          <w:tcPr>
            <w:tcW w:w="2500" w:type="dxa"/>
            <w:tcBorders>
              <w:top w:val="nil"/>
              <w:left w:val="nil"/>
              <w:bottom w:val="nil"/>
              <w:right w:val="nil"/>
            </w:tcBorders>
            <w:shd w:val="clear" w:color="auto" w:fill="auto"/>
            <w:noWrap/>
            <w:vAlign w:val="bottom"/>
            <w:hideMark/>
          </w:tcPr>
          <w:p w14:paraId="59F25C4F" w14:textId="77777777" w:rsidR="00BB5628" w:rsidRPr="004E74A6" w:rsidRDefault="00BB5628" w:rsidP="00832773">
            <w:pPr>
              <w:spacing w:line="276" w:lineRule="auto"/>
              <w:jc w:val="center"/>
              <w:rPr>
                <w:rFonts w:cs="Calibri"/>
                <w:color w:val="000000"/>
                <w:sz w:val="20"/>
                <w:lang w:eastAsia="es-CR"/>
              </w:rPr>
            </w:pPr>
            <w:r w:rsidRPr="004E74A6">
              <w:rPr>
                <w:rFonts w:cs="Calibri"/>
                <w:color w:val="000000"/>
                <w:sz w:val="20"/>
                <w:lang w:eastAsia="es-CR"/>
              </w:rPr>
              <w:t>53%</w:t>
            </w:r>
          </w:p>
        </w:tc>
      </w:tr>
      <w:tr w:rsidR="00BB5628" w:rsidRPr="004E74A6" w14:paraId="4B9CC045" w14:textId="77777777" w:rsidTr="005103B2">
        <w:trPr>
          <w:trHeight w:val="300"/>
        </w:trPr>
        <w:tc>
          <w:tcPr>
            <w:tcW w:w="2800" w:type="dxa"/>
            <w:tcBorders>
              <w:top w:val="nil"/>
              <w:left w:val="nil"/>
              <w:bottom w:val="nil"/>
              <w:right w:val="single" w:sz="8" w:space="0" w:color="auto"/>
            </w:tcBorders>
            <w:shd w:val="clear" w:color="auto" w:fill="auto"/>
            <w:noWrap/>
            <w:vAlign w:val="center"/>
            <w:hideMark/>
          </w:tcPr>
          <w:p w14:paraId="501BF889" w14:textId="77777777" w:rsidR="00BB5628" w:rsidRPr="004E74A6" w:rsidRDefault="00BB5628" w:rsidP="00832773">
            <w:pPr>
              <w:spacing w:line="276" w:lineRule="auto"/>
              <w:jc w:val="left"/>
              <w:rPr>
                <w:rFonts w:cs="Calibri"/>
                <w:color w:val="000000"/>
                <w:sz w:val="20"/>
                <w:lang w:eastAsia="es-CR"/>
              </w:rPr>
            </w:pPr>
            <w:r w:rsidRPr="004E74A6">
              <w:rPr>
                <w:rFonts w:cs="Calibri"/>
                <w:color w:val="000000"/>
                <w:sz w:val="20"/>
                <w:lang w:eastAsia="es-CR"/>
              </w:rPr>
              <w:t>De ¢30.000.001 a ¢35.000.000</w:t>
            </w:r>
          </w:p>
        </w:tc>
        <w:tc>
          <w:tcPr>
            <w:tcW w:w="1200" w:type="dxa"/>
            <w:tcBorders>
              <w:top w:val="nil"/>
              <w:left w:val="nil"/>
              <w:bottom w:val="nil"/>
              <w:right w:val="single" w:sz="8" w:space="0" w:color="auto"/>
            </w:tcBorders>
            <w:shd w:val="clear" w:color="auto" w:fill="auto"/>
            <w:noWrap/>
            <w:vAlign w:val="center"/>
            <w:hideMark/>
          </w:tcPr>
          <w:p w14:paraId="5C1A78EF" w14:textId="77777777" w:rsidR="00BB5628" w:rsidRPr="004E74A6" w:rsidRDefault="00BB5628" w:rsidP="00832773">
            <w:pPr>
              <w:spacing w:line="276" w:lineRule="auto"/>
              <w:jc w:val="center"/>
              <w:rPr>
                <w:rFonts w:cs="Calibri"/>
                <w:color w:val="000000"/>
                <w:sz w:val="20"/>
                <w:lang w:eastAsia="es-CR"/>
              </w:rPr>
            </w:pPr>
            <w:r w:rsidRPr="004E74A6">
              <w:rPr>
                <w:rFonts w:cs="Calibri"/>
                <w:color w:val="000000"/>
                <w:sz w:val="20"/>
                <w:lang w:eastAsia="es-CR"/>
              </w:rPr>
              <w:t>13</w:t>
            </w:r>
          </w:p>
        </w:tc>
        <w:tc>
          <w:tcPr>
            <w:tcW w:w="1200" w:type="dxa"/>
            <w:tcBorders>
              <w:top w:val="nil"/>
              <w:left w:val="nil"/>
              <w:bottom w:val="nil"/>
              <w:right w:val="single" w:sz="8" w:space="0" w:color="auto"/>
            </w:tcBorders>
            <w:shd w:val="clear" w:color="auto" w:fill="auto"/>
            <w:noWrap/>
            <w:vAlign w:val="center"/>
            <w:hideMark/>
          </w:tcPr>
          <w:p w14:paraId="7E9E4881" w14:textId="77777777" w:rsidR="00BB5628" w:rsidRPr="004E74A6" w:rsidRDefault="00BB5628" w:rsidP="00832773">
            <w:pPr>
              <w:spacing w:line="276" w:lineRule="auto"/>
              <w:jc w:val="center"/>
              <w:rPr>
                <w:rFonts w:cs="Calibri"/>
                <w:color w:val="000000"/>
                <w:sz w:val="20"/>
                <w:lang w:eastAsia="es-CR"/>
              </w:rPr>
            </w:pPr>
            <w:r w:rsidRPr="004E74A6">
              <w:rPr>
                <w:rFonts w:cs="Calibri"/>
                <w:color w:val="000000"/>
                <w:sz w:val="20"/>
                <w:lang w:eastAsia="es-CR"/>
              </w:rPr>
              <w:t>14</w:t>
            </w:r>
          </w:p>
        </w:tc>
        <w:tc>
          <w:tcPr>
            <w:tcW w:w="1200" w:type="dxa"/>
            <w:tcBorders>
              <w:top w:val="nil"/>
              <w:left w:val="nil"/>
              <w:bottom w:val="nil"/>
              <w:right w:val="single" w:sz="8" w:space="0" w:color="auto"/>
            </w:tcBorders>
            <w:shd w:val="clear" w:color="auto" w:fill="auto"/>
            <w:noWrap/>
            <w:vAlign w:val="center"/>
            <w:hideMark/>
          </w:tcPr>
          <w:p w14:paraId="19507B58" w14:textId="77777777" w:rsidR="00BB5628" w:rsidRPr="004E74A6" w:rsidRDefault="00BB5628" w:rsidP="00832773">
            <w:pPr>
              <w:spacing w:line="276" w:lineRule="auto"/>
              <w:jc w:val="center"/>
              <w:rPr>
                <w:rFonts w:cs="Calibri"/>
                <w:color w:val="000000"/>
                <w:sz w:val="20"/>
                <w:lang w:eastAsia="es-CR"/>
              </w:rPr>
            </w:pPr>
            <w:r w:rsidRPr="004E74A6">
              <w:rPr>
                <w:rFonts w:cs="Calibri"/>
                <w:color w:val="000000"/>
                <w:sz w:val="20"/>
                <w:lang w:eastAsia="es-CR"/>
              </w:rPr>
              <w:t>5</w:t>
            </w:r>
          </w:p>
        </w:tc>
        <w:tc>
          <w:tcPr>
            <w:tcW w:w="1200" w:type="dxa"/>
            <w:tcBorders>
              <w:top w:val="nil"/>
              <w:left w:val="nil"/>
              <w:bottom w:val="nil"/>
              <w:right w:val="single" w:sz="8" w:space="0" w:color="auto"/>
            </w:tcBorders>
            <w:shd w:val="clear" w:color="auto" w:fill="auto"/>
            <w:noWrap/>
            <w:vAlign w:val="center"/>
            <w:hideMark/>
          </w:tcPr>
          <w:p w14:paraId="3F98A9D3" w14:textId="77777777" w:rsidR="00BB5628" w:rsidRPr="004E74A6" w:rsidRDefault="00BB5628" w:rsidP="00832773">
            <w:pPr>
              <w:spacing w:line="276" w:lineRule="auto"/>
              <w:jc w:val="center"/>
              <w:rPr>
                <w:rFonts w:cs="Calibri"/>
                <w:color w:val="000000"/>
                <w:sz w:val="20"/>
                <w:lang w:eastAsia="es-CR"/>
              </w:rPr>
            </w:pPr>
            <w:r w:rsidRPr="004E74A6">
              <w:rPr>
                <w:rFonts w:cs="Calibri"/>
                <w:color w:val="000000"/>
                <w:sz w:val="20"/>
                <w:lang w:eastAsia="es-CR"/>
              </w:rPr>
              <w:t>11</w:t>
            </w:r>
          </w:p>
        </w:tc>
        <w:tc>
          <w:tcPr>
            <w:tcW w:w="2500" w:type="dxa"/>
            <w:tcBorders>
              <w:top w:val="nil"/>
              <w:left w:val="nil"/>
              <w:bottom w:val="nil"/>
              <w:right w:val="nil"/>
            </w:tcBorders>
            <w:shd w:val="clear" w:color="auto" w:fill="auto"/>
            <w:noWrap/>
            <w:vAlign w:val="bottom"/>
            <w:hideMark/>
          </w:tcPr>
          <w:p w14:paraId="5EB7C8BC" w14:textId="77777777" w:rsidR="00BB5628" w:rsidRPr="004E74A6" w:rsidRDefault="00BB5628" w:rsidP="00832773">
            <w:pPr>
              <w:spacing w:line="276" w:lineRule="auto"/>
              <w:jc w:val="center"/>
              <w:rPr>
                <w:rFonts w:cs="Calibri"/>
                <w:color w:val="000000"/>
                <w:sz w:val="20"/>
                <w:lang w:eastAsia="es-CR"/>
              </w:rPr>
            </w:pPr>
            <w:r w:rsidRPr="004E74A6">
              <w:rPr>
                <w:rFonts w:cs="Calibri"/>
                <w:color w:val="000000"/>
                <w:sz w:val="20"/>
                <w:lang w:eastAsia="es-CR"/>
              </w:rPr>
              <w:t>56%</w:t>
            </w:r>
          </w:p>
        </w:tc>
      </w:tr>
      <w:tr w:rsidR="00BB5628" w:rsidRPr="004E74A6" w14:paraId="0A9086E2" w14:textId="77777777" w:rsidTr="005103B2">
        <w:trPr>
          <w:trHeight w:val="300"/>
        </w:trPr>
        <w:tc>
          <w:tcPr>
            <w:tcW w:w="2800" w:type="dxa"/>
            <w:tcBorders>
              <w:top w:val="nil"/>
              <w:left w:val="nil"/>
              <w:bottom w:val="nil"/>
              <w:right w:val="single" w:sz="8" w:space="0" w:color="auto"/>
            </w:tcBorders>
            <w:shd w:val="clear" w:color="auto" w:fill="auto"/>
            <w:noWrap/>
            <w:vAlign w:val="center"/>
            <w:hideMark/>
          </w:tcPr>
          <w:p w14:paraId="5788E717" w14:textId="77777777" w:rsidR="00BB5628" w:rsidRPr="004E74A6" w:rsidRDefault="00BB5628" w:rsidP="00832773">
            <w:pPr>
              <w:spacing w:line="276" w:lineRule="auto"/>
              <w:jc w:val="left"/>
              <w:rPr>
                <w:rFonts w:cs="Calibri"/>
                <w:color w:val="000000"/>
                <w:sz w:val="20"/>
                <w:lang w:eastAsia="es-CR"/>
              </w:rPr>
            </w:pPr>
            <w:r w:rsidRPr="004E74A6">
              <w:rPr>
                <w:rFonts w:cs="Calibri"/>
                <w:color w:val="000000"/>
                <w:sz w:val="20"/>
                <w:lang w:eastAsia="es-CR"/>
              </w:rPr>
              <w:t>De ¢35.000.001 a ¢40.000.000</w:t>
            </w:r>
          </w:p>
        </w:tc>
        <w:tc>
          <w:tcPr>
            <w:tcW w:w="1200" w:type="dxa"/>
            <w:tcBorders>
              <w:top w:val="nil"/>
              <w:left w:val="nil"/>
              <w:bottom w:val="nil"/>
              <w:right w:val="single" w:sz="8" w:space="0" w:color="auto"/>
            </w:tcBorders>
            <w:shd w:val="clear" w:color="auto" w:fill="auto"/>
            <w:noWrap/>
            <w:vAlign w:val="center"/>
            <w:hideMark/>
          </w:tcPr>
          <w:p w14:paraId="3A1636E5" w14:textId="77777777" w:rsidR="00BB5628" w:rsidRPr="004E74A6" w:rsidRDefault="00BB5628" w:rsidP="00832773">
            <w:pPr>
              <w:spacing w:line="276" w:lineRule="auto"/>
              <w:jc w:val="center"/>
              <w:rPr>
                <w:rFonts w:cs="Calibri"/>
                <w:color w:val="000000"/>
                <w:sz w:val="20"/>
                <w:lang w:eastAsia="es-CR"/>
              </w:rPr>
            </w:pPr>
            <w:r w:rsidRPr="004E74A6">
              <w:rPr>
                <w:rFonts w:cs="Calibri"/>
                <w:color w:val="000000"/>
                <w:sz w:val="20"/>
                <w:lang w:eastAsia="es-CR"/>
              </w:rPr>
              <w:t>20</w:t>
            </w:r>
          </w:p>
        </w:tc>
        <w:tc>
          <w:tcPr>
            <w:tcW w:w="1200" w:type="dxa"/>
            <w:tcBorders>
              <w:top w:val="nil"/>
              <w:left w:val="nil"/>
              <w:bottom w:val="nil"/>
              <w:right w:val="single" w:sz="8" w:space="0" w:color="auto"/>
            </w:tcBorders>
            <w:shd w:val="clear" w:color="auto" w:fill="auto"/>
            <w:noWrap/>
            <w:vAlign w:val="center"/>
            <w:hideMark/>
          </w:tcPr>
          <w:p w14:paraId="0144CB5B" w14:textId="77777777" w:rsidR="00BB5628" w:rsidRPr="004E74A6" w:rsidRDefault="00BB5628" w:rsidP="00832773">
            <w:pPr>
              <w:spacing w:line="276" w:lineRule="auto"/>
              <w:jc w:val="center"/>
              <w:rPr>
                <w:rFonts w:cs="Calibri"/>
                <w:color w:val="000000"/>
                <w:sz w:val="20"/>
                <w:lang w:eastAsia="es-CR"/>
              </w:rPr>
            </w:pPr>
            <w:r w:rsidRPr="004E74A6">
              <w:rPr>
                <w:rFonts w:cs="Calibri"/>
                <w:color w:val="000000"/>
                <w:sz w:val="20"/>
                <w:lang w:eastAsia="es-CR"/>
              </w:rPr>
              <w:t>12</w:t>
            </w:r>
          </w:p>
        </w:tc>
        <w:tc>
          <w:tcPr>
            <w:tcW w:w="1200" w:type="dxa"/>
            <w:tcBorders>
              <w:top w:val="nil"/>
              <w:left w:val="nil"/>
              <w:bottom w:val="nil"/>
              <w:right w:val="single" w:sz="8" w:space="0" w:color="auto"/>
            </w:tcBorders>
            <w:shd w:val="clear" w:color="auto" w:fill="auto"/>
            <w:noWrap/>
            <w:vAlign w:val="center"/>
            <w:hideMark/>
          </w:tcPr>
          <w:p w14:paraId="473A2592" w14:textId="77777777" w:rsidR="00BB5628" w:rsidRPr="004E74A6" w:rsidRDefault="00BB5628" w:rsidP="00832773">
            <w:pPr>
              <w:spacing w:line="276" w:lineRule="auto"/>
              <w:jc w:val="center"/>
              <w:rPr>
                <w:rFonts w:cs="Calibri"/>
                <w:color w:val="000000"/>
                <w:sz w:val="20"/>
                <w:lang w:eastAsia="es-CR"/>
              </w:rPr>
            </w:pPr>
            <w:r w:rsidRPr="004E74A6">
              <w:rPr>
                <w:rFonts w:cs="Calibri"/>
                <w:color w:val="000000"/>
                <w:sz w:val="20"/>
                <w:lang w:eastAsia="es-CR"/>
              </w:rPr>
              <w:t>16</w:t>
            </w:r>
          </w:p>
        </w:tc>
        <w:tc>
          <w:tcPr>
            <w:tcW w:w="1200" w:type="dxa"/>
            <w:tcBorders>
              <w:top w:val="nil"/>
              <w:left w:val="nil"/>
              <w:bottom w:val="nil"/>
              <w:right w:val="single" w:sz="8" w:space="0" w:color="auto"/>
            </w:tcBorders>
            <w:shd w:val="clear" w:color="auto" w:fill="auto"/>
            <w:noWrap/>
            <w:vAlign w:val="center"/>
            <w:hideMark/>
          </w:tcPr>
          <w:p w14:paraId="1CC01EC5" w14:textId="77777777" w:rsidR="00BB5628" w:rsidRPr="004E74A6" w:rsidRDefault="00BB5628" w:rsidP="00832773">
            <w:pPr>
              <w:spacing w:line="276" w:lineRule="auto"/>
              <w:jc w:val="center"/>
              <w:rPr>
                <w:rFonts w:cs="Calibri"/>
                <w:color w:val="000000"/>
                <w:sz w:val="20"/>
                <w:lang w:eastAsia="es-CR"/>
              </w:rPr>
            </w:pPr>
            <w:r w:rsidRPr="004E74A6">
              <w:rPr>
                <w:rFonts w:cs="Calibri"/>
                <w:color w:val="000000"/>
                <w:sz w:val="20"/>
                <w:lang w:eastAsia="es-CR"/>
              </w:rPr>
              <w:t>16</w:t>
            </w:r>
          </w:p>
        </w:tc>
        <w:tc>
          <w:tcPr>
            <w:tcW w:w="2500" w:type="dxa"/>
            <w:tcBorders>
              <w:top w:val="nil"/>
              <w:left w:val="nil"/>
              <w:bottom w:val="nil"/>
              <w:right w:val="nil"/>
            </w:tcBorders>
            <w:shd w:val="clear" w:color="auto" w:fill="auto"/>
            <w:noWrap/>
            <w:vAlign w:val="bottom"/>
            <w:hideMark/>
          </w:tcPr>
          <w:p w14:paraId="11692A82" w14:textId="77777777" w:rsidR="00BB5628" w:rsidRPr="004E74A6" w:rsidRDefault="00BB5628" w:rsidP="00832773">
            <w:pPr>
              <w:spacing w:line="276" w:lineRule="auto"/>
              <w:jc w:val="center"/>
              <w:rPr>
                <w:rFonts w:cs="Calibri"/>
                <w:color w:val="000000"/>
                <w:sz w:val="20"/>
                <w:lang w:eastAsia="es-CR"/>
              </w:rPr>
            </w:pPr>
            <w:r w:rsidRPr="004E74A6">
              <w:rPr>
                <w:rFonts w:cs="Calibri"/>
                <w:color w:val="000000"/>
                <w:sz w:val="20"/>
                <w:lang w:eastAsia="es-CR"/>
              </w:rPr>
              <w:t>60%</w:t>
            </w:r>
          </w:p>
        </w:tc>
      </w:tr>
      <w:tr w:rsidR="00BB5628" w:rsidRPr="004E74A6" w14:paraId="42B0E969" w14:textId="77777777" w:rsidTr="005103B2">
        <w:trPr>
          <w:trHeight w:val="300"/>
        </w:trPr>
        <w:tc>
          <w:tcPr>
            <w:tcW w:w="2800" w:type="dxa"/>
            <w:tcBorders>
              <w:top w:val="nil"/>
              <w:left w:val="nil"/>
              <w:bottom w:val="nil"/>
              <w:right w:val="single" w:sz="8" w:space="0" w:color="auto"/>
            </w:tcBorders>
            <w:shd w:val="clear" w:color="auto" w:fill="auto"/>
            <w:noWrap/>
            <w:vAlign w:val="center"/>
            <w:hideMark/>
          </w:tcPr>
          <w:p w14:paraId="659354C8" w14:textId="77777777" w:rsidR="00BB5628" w:rsidRPr="004E74A6" w:rsidRDefault="00BB5628" w:rsidP="00832773">
            <w:pPr>
              <w:spacing w:line="276" w:lineRule="auto"/>
              <w:jc w:val="left"/>
              <w:rPr>
                <w:rFonts w:cs="Calibri"/>
                <w:color w:val="000000"/>
                <w:sz w:val="20"/>
                <w:lang w:eastAsia="es-CR"/>
              </w:rPr>
            </w:pPr>
            <w:r w:rsidRPr="004E74A6">
              <w:rPr>
                <w:rFonts w:cs="Calibri"/>
                <w:color w:val="000000"/>
                <w:sz w:val="20"/>
                <w:lang w:eastAsia="es-CR"/>
              </w:rPr>
              <w:t>De ¢40.000.001 a ¢45.000.000</w:t>
            </w:r>
          </w:p>
        </w:tc>
        <w:tc>
          <w:tcPr>
            <w:tcW w:w="1200" w:type="dxa"/>
            <w:tcBorders>
              <w:top w:val="nil"/>
              <w:left w:val="nil"/>
              <w:bottom w:val="nil"/>
              <w:right w:val="single" w:sz="8" w:space="0" w:color="auto"/>
            </w:tcBorders>
            <w:shd w:val="clear" w:color="auto" w:fill="auto"/>
            <w:noWrap/>
            <w:vAlign w:val="center"/>
            <w:hideMark/>
          </w:tcPr>
          <w:p w14:paraId="60285DD6" w14:textId="77777777" w:rsidR="00BB5628" w:rsidRPr="004E74A6" w:rsidRDefault="00BB5628" w:rsidP="00832773">
            <w:pPr>
              <w:spacing w:line="276" w:lineRule="auto"/>
              <w:jc w:val="center"/>
              <w:rPr>
                <w:rFonts w:cs="Calibri"/>
                <w:color w:val="000000"/>
                <w:sz w:val="20"/>
                <w:lang w:eastAsia="es-CR"/>
              </w:rPr>
            </w:pPr>
            <w:r w:rsidRPr="004E74A6">
              <w:rPr>
                <w:rFonts w:cs="Calibri"/>
                <w:color w:val="000000"/>
                <w:sz w:val="20"/>
                <w:lang w:eastAsia="es-CR"/>
              </w:rPr>
              <w:t>3</w:t>
            </w:r>
          </w:p>
        </w:tc>
        <w:tc>
          <w:tcPr>
            <w:tcW w:w="1200" w:type="dxa"/>
            <w:tcBorders>
              <w:top w:val="nil"/>
              <w:left w:val="nil"/>
              <w:bottom w:val="nil"/>
              <w:right w:val="single" w:sz="8" w:space="0" w:color="auto"/>
            </w:tcBorders>
            <w:shd w:val="clear" w:color="auto" w:fill="auto"/>
            <w:noWrap/>
            <w:vAlign w:val="center"/>
            <w:hideMark/>
          </w:tcPr>
          <w:p w14:paraId="07A4CB23" w14:textId="77777777" w:rsidR="00BB5628" w:rsidRPr="004E74A6" w:rsidRDefault="00BB5628" w:rsidP="00832773">
            <w:pPr>
              <w:spacing w:line="276" w:lineRule="auto"/>
              <w:jc w:val="center"/>
              <w:rPr>
                <w:rFonts w:cs="Calibri"/>
                <w:color w:val="000000"/>
                <w:sz w:val="20"/>
                <w:lang w:eastAsia="es-CR"/>
              </w:rPr>
            </w:pPr>
            <w:r w:rsidRPr="004E74A6">
              <w:rPr>
                <w:rFonts w:cs="Calibri"/>
                <w:color w:val="000000"/>
                <w:sz w:val="20"/>
                <w:lang w:eastAsia="es-CR"/>
              </w:rPr>
              <w:t>6</w:t>
            </w:r>
          </w:p>
        </w:tc>
        <w:tc>
          <w:tcPr>
            <w:tcW w:w="1200" w:type="dxa"/>
            <w:tcBorders>
              <w:top w:val="nil"/>
              <w:left w:val="nil"/>
              <w:bottom w:val="nil"/>
              <w:right w:val="single" w:sz="8" w:space="0" w:color="auto"/>
            </w:tcBorders>
            <w:shd w:val="clear" w:color="auto" w:fill="auto"/>
            <w:noWrap/>
            <w:vAlign w:val="center"/>
            <w:hideMark/>
          </w:tcPr>
          <w:p w14:paraId="5811C2DF" w14:textId="77777777" w:rsidR="00BB5628" w:rsidRPr="004E74A6" w:rsidRDefault="00BB5628" w:rsidP="00832773">
            <w:pPr>
              <w:spacing w:line="276" w:lineRule="auto"/>
              <w:jc w:val="center"/>
              <w:rPr>
                <w:rFonts w:cs="Calibri"/>
                <w:color w:val="000000"/>
                <w:sz w:val="20"/>
                <w:lang w:eastAsia="es-CR"/>
              </w:rPr>
            </w:pPr>
            <w:r w:rsidRPr="004E74A6">
              <w:rPr>
                <w:rFonts w:cs="Calibri"/>
                <w:color w:val="000000"/>
                <w:sz w:val="20"/>
                <w:lang w:eastAsia="es-CR"/>
              </w:rPr>
              <w:t>5</w:t>
            </w:r>
          </w:p>
        </w:tc>
        <w:tc>
          <w:tcPr>
            <w:tcW w:w="1200" w:type="dxa"/>
            <w:tcBorders>
              <w:top w:val="nil"/>
              <w:left w:val="nil"/>
              <w:bottom w:val="nil"/>
              <w:right w:val="single" w:sz="8" w:space="0" w:color="auto"/>
            </w:tcBorders>
            <w:shd w:val="clear" w:color="auto" w:fill="auto"/>
            <w:noWrap/>
            <w:vAlign w:val="center"/>
            <w:hideMark/>
          </w:tcPr>
          <w:p w14:paraId="3C6DD7F4" w14:textId="77777777" w:rsidR="00BB5628" w:rsidRPr="004E74A6" w:rsidRDefault="00BB5628" w:rsidP="00832773">
            <w:pPr>
              <w:spacing w:line="276" w:lineRule="auto"/>
              <w:jc w:val="center"/>
              <w:rPr>
                <w:rFonts w:cs="Calibri"/>
                <w:color w:val="000000"/>
                <w:sz w:val="20"/>
                <w:lang w:eastAsia="es-CR"/>
              </w:rPr>
            </w:pPr>
            <w:r w:rsidRPr="004E74A6">
              <w:rPr>
                <w:rFonts w:cs="Calibri"/>
                <w:color w:val="000000"/>
                <w:sz w:val="20"/>
                <w:lang w:eastAsia="es-CR"/>
              </w:rPr>
              <w:t>5</w:t>
            </w:r>
          </w:p>
        </w:tc>
        <w:tc>
          <w:tcPr>
            <w:tcW w:w="2500" w:type="dxa"/>
            <w:tcBorders>
              <w:top w:val="nil"/>
              <w:left w:val="nil"/>
              <w:bottom w:val="nil"/>
              <w:right w:val="nil"/>
            </w:tcBorders>
            <w:shd w:val="clear" w:color="auto" w:fill="auto"/>
            <w:noWrap/>
            <w:vAlign w:val="bottom"/>
            <w:hideMark/>
          </w:tcPr>
          <w:p w14:paraId="5D02778B" w14:textId="77777777" w:rsidR="00BB5628" w:rsidRPr="004E74A6" w:rsidRDefault="00BB5628" w:rsidP="00832773">
            <w:pPr>
              <w:spacing w:line="276" w:lineRule="auto"/>
              <w:jc w:val="center"/>
              <w:rPr>
                <w:rFonts w:cs="Calibri"/>
                <w:color w:val="000000"/>
                <w:sz w:val="20"/>
                <w:lang w:eastAsia="es-CR"/>
              </w:rPr>
            </w:pPr>
            <w:r w:rsidRPr="004E74A6">
              <w:rPr>
                <w:rFonts w:cs="Calibri"/>
                <w:color w:val="000000"/>
                <w:sz w:val="20"/>
                <w:lang w:eastAsia="es-CR"/>
              </w:rPr>
              <w:t>62%</w:t>
            </w:r>
          </w:p>
        </w:tc>
      </w:tr>
      <w:tr w:rsidR="00BB5628" w:rsidRPr="004E74A6" w14:paraId="64F584D1" w14:textId="77777777" w:rsidTr="005103B2">
        <w:trPr>
          <w:trHeight w:val="300"/>
        </w:trPr>
        <w:tc>
          <w:tcPr>
            <w:tcW w:w="2800" w:type="dxa"/>
            <w:tcBorders>
              <w:top w:val="nil"/>
              <w:left w:val="nil"/>
              <w:bottom w:val="nil"/>
              <w:right w:val="single" w:sz="8" w:space="0" w:color="auto"/>
            </w:tcBorders>
            <w:shd w:val="clear" w:color="auto" w:fill="auto"/>
            <w:noWrap/>
            <w:vAlign w:val="center"/>
            <w:hideMark/>
          </w:tcPr>
          <w:p w14:paraId="17F739CA" w14:textId="77777777" w:rsidR="00BB5628" w:rsidRPr="004E74A6" w:rsidRDefault="00BB5628" w:rsidP="00832773">
            <w:pPr>
              <w:spacing w:line="276" w:lineRule="auto"/>
              <w:jc w:val="left"/>
              <w:rPr>
                <w:rFonts w:cs="Calibri"/>
                <w:color w:val="000000"/>
                <w:sz w:val="20"/>
                <w:lang w:eastAsia="es-CR"/>
              </w:rPr>
            </w:pPr>
            <w:r w:rsidRPr="004E74A6">
              <w:rPr>
                <w:rFonts w:cs="Calibri"/>
                <w:color w:val="000000"/>
                <w:sz w:val="20"/>
                <w:lang w:eastAsia="es-CR"/>
              </w:rPr>
              <w:t>De ¢45.000.001 a ¢50.000.000</w:t>
            </w:r>
          </w:p>
        </w:tc>
        <w:tc>
          <w:tcPr>
            <w:tcW w:w="1200" w:type="dxa"/>
            <w:tcBorders>
              <w:top w:val="nil"/>
              <w:left w:val="nil"/>
              <w:bottom w:val="nil"/>
              <w:right w:val="single" w:sz="8" w:space="0" w:color="auto"/>
            </w:tcBorders>
            <w:shd w:val="clear" w:color="auto" w:fill="auto"/>
            <w:noWrap/>
            <w:vAlign w:val="center"/>
            <w:hideMark/>
          </w:tcPr>
          <w:p w14:paraId="0270A94B" w14:textId="77777777" w:rsidR="00BB5628" w:rsidRPr="004E74A6" w:rsidRDefault="00BB5628" w:rsidP="00832773">
            <w:pPr>
              <w:spacing w:line="276" w:lineRule="auto"/>
              <w:jc w:val="center"/>
              <w:rPr>
                <w:rFonts w:cs="Calibri"/>
                <w:color w:val="000000"/>
                <w:sz w:val="20"/>
                <w:lang w:eastAsia="es-CR"/>
              </w:rPr>
            </w:pPr>
            <w:r w:rsidRPr="004E74A6">
              <w:rPr>
                <w:rFonts w:cs="Calibri"/>
                <w:color w:val="000000"/>
                <w:sz w:val="20"/>
                <w:lang w:eastAsia="es-CR"/>
              </w:rPr>
              <w:t>17</w:t>
            </w:r>
          </w:p>
        </w:tc>
        <w:tc>
          <w:tcPr>
            <w:tcW w:w="1200" w:type="dxa"/>
            <w:tcBorders>
              <w:top w:val="nil"/>
              <w:left w:val="nil"/>
              <w:bottom w:val="nil"/>
              <w:right w:val="single" w:sz="8" w:space="0" w:color="auto"/>
            </w:tcBorders>
            <w:shd w:val="clear" w:color="auto" w:fill="auto"/>
            <w:noWrap/>
            <w:vAlign w:val="center"/>
            <w:hideMark/>
          </w:tcPr>
          <w:p w14:paraId="371B4A7C" w14:textId="77777777" w:rsidR="00BB5628" w:rsidRPr="004E74A6" w:rsidRDefault="00BB5628" w:rsidP="00832773">
            <w:pPr>
              <w:spacing w:line="276" w:lineRule="auto"/>
              <w:jc w:val="center"/>
              <w:rPr>
                <w:rFonts w:cs="Calibri"/>
                <w:color w:val="000000"/>
                <w:sz w:val="20"/>
                <w:lang w:eastAsia="es-CR"/>
              </w:rPr>
            </w:pPr>
            <w:r w:rsidRPr="004E74A6">
              <w:rPr>
                <w:rFonts w:cs="Calibri"/>
                <w:color w:val="000000"/>
                <w:sz w:val="20"/>
                <w:lang w:eastAsia="es-CR"/>
              </w:rPr>
              <w:t>17</w:t>
            </w:r>
          </w:p>
        </w:tc>
        <w:tc>
          <w:tcPr>
            <w:tcW w:w="1200" w:type="dxa"/>
            <w:tcBorders>
              <w:top w:val="nil"/>
              <w:left w:val="nil"/>
              <w:bottom w:val="nil"/>
              <w:right w:val="single" w:sz="8" w:space="0" w:color="auto"/>
            </w:tcBorders>
            <w:shd w:val="clear" w:color="auto" w:fill="auto"/>
            <w:noWrap/>
            <w:vAlign w:val="center"/>
            <w:hideMark/>
          </w:tcPr>
          <w:p w14:paraId="2D053F48" w14:textId="77777777" w:rsidR="00BB5628" w:rsidRPr="004E74A6" w:rsidRDefault="00BB5628" w:rsidP="00832773">
            <w:pPr>
              <w:spacing w:line="276" w:lineRule="auto"/>
              <w:jc w:val="center"/>
              <w:rPr>
                <w:rFonts w:cs="Calibri"/>
                <w:color w:val="000000"/>
                <w:sz w:val="20"/>
                <w:lang w:eastAsia="es-CR"/>
              </w:rPr>
            </w:pPr>
            <w:r w:rsidRPr="004E74A6">
              <w:rPr>
                <w:rFonts w:cs="Calibri"/>
                <w:color w:val="000000"/>
                <w:sz w:val="20"/>
                <w:lang w:eastAsia="es-CR"/>
              </w:rPr>
              <w:t>9</w:t>
            </w:r>
          </w:p>
        </w:tc>
        <w:tc>
          <w:tcPr>
            <w:tcW w:w="1200" w:type="dxa"/>
            <w:tcBorders>
              <w:top w:val="nil"/>
              <w:left w:val="nil"/>
              <w:bottom w:val="nil"/>
              <w:right w:val="single" w:sz="8" w:space="0" w:color="auto"/>
            </w:tcBorders>
            <w:shd w:val="clear" w:color="auto" w:fill="auto"/>
            <w:noWrap/>
            <w:vAlign w:val="center"/>
            <w:hideMark/>
          </w:tcPr>
          <w:p w14:paraId="3D597B88" w14:textId="77777777" w:rsidR="00BB5628" w:rsidRPr="004E74A6" w:rsidRDefault="00BB5628" w:rsidP="00832773">
            <w:pPr>
              <w:spacing w:line="276" w:lineRule="auto"/>
              <w:jc w:val="center"/>
              <w:rPr>
                <w:rFonts w:cs="Calibri"/>
                <w:color w:val="000000"/>
                <w:sz w:val="20"/>
                <w:lang w:eastAsia="es-CR"/>
              </w:rPr>
            </w:pPr>
            <w:r w:rsidRPr="004E74A6">
              <w:rPr>
                <w:rFonts w:cs="Calibri"/>
                <w:color w:val="000000"/>
                <w:sz w:val="20"/>
                <w:lang w:eastAsia="es-CR"/>
              </w:rPr>
              <w:t>14</w:t>
            </w:r>
          </w:p>
        </w:tc>
        <w:tc>
          <w:tcPr>
            <w:tcW w:w="2500" w:type="dxa"/>
            <w:tcBorders>
              <w:top w:val="nil"/>
              <w:left w:val="nil"/>
              <w:bottom w:val="nil"/>
              <w:right w:val="nil"/>
            </w:tcBorders>
            <w:shd w:val="clear" w:color="auto" w:fill="auto"/>
            <w:noWrap/>
            <w:vAlign w:val="bottom"/>
            <w:hideMark/>
          </w:tcPr>
          <w:p w14:paraId="2CE4EA19" w14:textId="77777777" w:rsidR="00BB5628" w:rsidRPr="004E74A6" w:rsidRDefault="00BB5628" w:rsidP="00832773">
            <w:pPr>
              <w:spacing w:line="276" w:lineRule="auto"/>
              <w:jc w:val="center"/>
              <w:rPr>
                <w:rFonts w:cs="Calibri"/>
                <w:color w:val="000000"/>
                <w:sz w:val="20"/>
                <w:lang w:eastAsia="es-CR"/>
              </w:rPr>
            </w:pPr>
            <w:r w:rsidRPr="004E74A6">
              <w:rPr>
                <w:rFonts w:cs="Calibri"/>
                <w:color w:val="000000"/>
                <w:sz w:val="20"/>
                <w:lang w:eastAsia="es-CR"/>
              </w:rPr>
              <w:t>66%</w:t>
            </w:r>
          </w:p>
        </w:tc>
      </w:tr>
      <w:tr w:rsidR="00BB5628" w:rsidRPr="004E74A6" w14:paraId="2FD4729A" w14:textId="77777777" w:rsidTr="005103B2">
        <w:trPr>
          <w:trHeight w:val="300"/>
        </w:trPr>
        <w:tc>
          <w:tcPr>
            <w:tcW w:w="2800" w:type="dxa"/>
            <w:tcBorders>
              <w:top w:val="nil"/>
              <w:left w:val="nil"/>
              <w:bottom w:val="nil"/>
              <w:right w:val="single" w:sz="8" w:space="0" w:color="auto"/>
            </w:tcBorders>
            <w:shd w:val="clear" w:color="auto" w:fill="auto"/>
            <w:noWrap/>
            <w:vAlign w:val="center"/>
            <w:hideMark/>
          </w:tcPr>
          <w:p w14:paraId="39F5278F" w14:textId="77777777" w:rsidR="00BB5628" w:rsidRPr="004E74A6" w:rsidRDefault="00BB5628" w:rsidP="00832773">
            <w:pPr>
              <w:spacing w:line="276" w:lineRule="auto"/>
              <w:jc w:val="left"/>
              <w:rPr>
                <w:rFonts w:cs="Calibri"/>
                <w:color w:val="000000"/>
                <w:sz w:val="20"/>
                <w:lang w:eastAsia="es-CR"/>
              </w:rPr>
            </w:pPr>
            <w:r w:rsidRPr="004E74A6">
              <w:rPr>
                <w:rFonts w:cs="Calibri"/>
                <w:color w:val="000000"/>
                <w:sz w:val="20"/>
                <w:lang w:eastAsia="es-CR"/>
              </w:rPr>
              <w:t>De ¢50.000.001 a ¢55.000.000</w:t>
            </w:r>
          </w:p>
        </w:tc>
        <w:tc>
          <w:tcPr>
            <w:tcW w:w="1200" w:type="dxa"/>
            <w:tcBorders>
              <w:top w:val="nil"/>
              <w:left w:val="nil"/>
              <w:bottom w:val="nil"/>
              <w:right w:val="single" w:sz="8" w:space="0" w:color="auto"/>
            </w:tcBorders>
            <w:shd w:val="clear" w:color="auto" w:fill="auto"/>
            <w:noWrap/>
            <w:vAlign w:val="center"/>
            <w:hideMark/>
          </w:tcPr>
          <w:p w14:paraId="0CFB666E" w14:textId="77777777" w:rsidR="00BB5628" w:rsidRPr="004E74A6" w:rsidRDefault="00BB5628" w:rsidP="00832773">
            <w:pPr>
              <w:spacing w:line="276" w:lineRule="auto"/>
              <w:jc w:val="center"/>
              <w:rPr>
                <w:rFonts w:cs="Calibri"/>
                <w:color w:val="000000"/>
                <w:sz w:val="20"/>
                <w:lang w:eastAsia="es-CR"/>
              </w:rPr>
            </w:pPr>
            <w:r w:rsidRPr="004E74A6">
              <w:rPr>
                <w:rFonts w:cs="Calibri"/>
                <w:color w:val="000000"/>
                <w:sz w:val="20"/>
                <w:lang w:eastAsia="es-CR"/>
              </w:rPr>
              <w:t>7</w:t>
            </w:r>
          </w:p>
        </w:tc>
        <w:tc>
          <w:tcPr>
            <w:tcW w:w="1200" w:type="dxa"/>
            <w:tcBorders>
              <w:top w:val="nil"/>
              <w:left w:val="nil"/>
              <w:bottom w:val="nil"/>
              <w:right w:val="single" w:sz="8" w:space="0" w:color="auto"/>
            </w:tcBorders>
            <w:shd w:val="clear" w:color="auto" w:fill="auto"/>
            <w:noWrap/>
            <w:vAlign w:val="center"/>
            <w:hideMark/>
          </w:tcPr>
          <w:p w14:paraId="23953665" w14:textId="77777777" w:rsidR="00BB5628" w:rsidRPr="004E74A6" w:rsidRDefault="00BB5628" w:rsidP="00832773">
            <w:pPr>
              <w:spacing w:line="276" w:lineRule="auto"/>
              <w:jc w:val="center"/>
              <w:rPr>
                <w:rFonts w:cs="Calibri"/>
                <w:color w:val="000000"/>
                <w:sz w:val="20"/>
                <w:lang w:eastAsia="es-CR"/>
              </w:rPr>
            </w:pPr>
            <w:r w:rsidRPr="004E74A6">
              <w:rPr>
                <w:rFonts w:cs="Calibri"/>
                <w:color w:val="000000"/>
                <w:sz w:val="20"/>
                <w:lang w:eastAsia="es-CR"/>
              </w:rPr>
              <w:t>8</w:t>
            </w:r>
          </w:p>
        </w:tc>
        <w:tc>
          <w:tcPr>
            <w:tcW w:w="1200" w:type="dxa"/>
            <w:tcBorders>
              <w:top w:val="nil"/>
              <w:left w:val="nil"/>
              <w:bottom w:val="nil"/>
              <w:right w:val="single" w:sz="8" w:space="0" w:color="auto"/>
            </w:tcBorders>
            <w:shd w:val="clear" w:color="auto" w:fill="auto"/>
            <w:noWrap/>
            <w:vAlign w:val="center"/>
            <w:hideMark/>
          </w:tcPr>
          <w:p w14:paraId="2E548F84" w14:textId="77777777" w:rsidR="00BB5628" w:rsidRPr="004E74A6" w:rsidRDefault="00BB5628" w:rsidP="00832773">
            <w:pPr>
              <w:spacing w:line="276" w:lineRule="auto"/>
              <w:jc w:val="center"/>
              <w:rPr>
                <w:rFonts w:cs="Calibri"/>
                <w:color w:val="000000"/>
                <w:sz w:val="20"/>
                <w:lang w:eastAsia="es-CR"/>
              </w:rPr>
            </w:pPr>
            <w:r w:rsidRPr="004E74A6">
              <w:rPr>
                <w:rFonts w:cs="Calibri"/>
                <w:color w:val="000000"/>
                <w:sz w:val="20"/>
                <w:lang w:eastAsia="es-CR"/>
              </w:rPr>
              <w:t>3</w:t>
            </w:r>
          </w:p>
        </w:tc>
        <w:tc>
          <w:tcPr>
            <w:tcW w:w="1200" w:type="dxa"/>
            <w:tcBorders>
              <w:top w:val="nil"/>
              <w:left w:val="nil"/>
              <w:bottom w:val="nil"/>
              <w:right w:val="single" w:sz="8" w:space="0" w:color="auto"/>
            </w:tcBorders>
            <w:shd w:val="clear" w:color="auto" w:fill="auto"/>
            <w:noWrap/>
            <w:vAlign w:val="center"/>
            <w:hideMark/>
          </w:tcPr>
          <w:p w14:paraId="7D129816" w14:textId="77777777" w:rsidR="00BB5628" w:rsidRPr="004E74A6" w:rsidRDefault="00BB5628" w:rsidP="00832773">
            <w:pPr>
              <w:spacing w:line="276" w:lineRule="auto"/>
              <w:jc w:val="center"/>
              <w:rPr>
                <w:rFonts w:cs="Calibri"/>
                <w:color w:val="000000"/>
                <w:sz w:val="20"/>
                <w:lang w:eastAsia="es-CR"/>
              </w:rPr>
            </w:pPr>
            <w:r w:rsidRPr="004E74A6">
              <w:rPr>
                <w:rFonts w:cs="Calibri"/>
                <w:color w:val="000000"/>
                <w:sz w:val="20"/>
                <w:lang w:eastAsia="es-CR"/>
              </w:rPr>
              <w:t>6</w:t>
            </w:r>
          </w:p>
        </w:tc>
        <w:tc>
          <w:tcPr>
            <w:tcW w:w="2500" w:type="dxa"/>
            <w:tcBorders>
              <w:top w:val="nil"/>
              <w:left w:val="nil"/>
              <w:bottom w:val="nil"/>
              <w:right w:val="nil"/>
            </w:tcBorders>
            <w:shd w:val="clear" w:color="auto" w:fill="auto"/>
            <w:noWrap/>
            <w:vAlign w:val="bottom"/>
            <w:hideMark/>
          </w:tcPr>
          <w:p w14:paraId="4D617BBA" w14:textId="77777777" w:rsidR="00BB5628" w:rsidRPr="004E74A6" w:rsidRDefault="00BB5628" w:rsidP="00832773">
            <w:pPr>
              <w:spacing w:line="276" w:lineRule="auto"/>
              <w:jc w:val="center"/>
              <w:rPr>
                <w:rFonts w:cs="Calibri"/>
                <w:color w:val="000000"/>
                <w:sz w:val="20"/>
                <w:lang w:eastAsia="es-CR"/>
              </w:rPr>
            </w:pPr>
            <w:r w:rsidRPr="004E74A6">
              <w:rPr>
                <w:rFonts w:cs="Calibri"/>
                <w:color w:val="000000"/>
                <w:sz w:val="20"/>
                <w:lang w:eastAsia="es-CR"/>
              </w:rPr>
              <w:t>67%</w:t>
            </w:r>
          </w:p>
        </w:tc>
      </w:tr>
      <w:tr w:rsidR="00BB5628" w:rsidRPr="004E74A6" w14:paraId="26AF6C74" w14:textId="77777777" w:rsidTr="005103B2">
        <w:trPr>
          <w:trHeight w:val="300"/>
        </w:trPr>
        <w:tc>
          <w:tcPr>
            <w:tcW w:w="2800" w:type="dxa"/>
            <w:tcBorders>
              <w:top w:val="nil"/>
              <w:left w:val="nil"/>
              <w:bottom w:val="nil"/>
              <w:right w:val="single" w:sz="8" w:space="0" w:color="auto"/>
            </w:tcBorders>
            <w:shd w:val="clear" w:color="auto" w:fill="auto"/>
            <w:noWrap/>
            <w:vAlign w:val="center"/>
            <w:hideMark/>
          </w:tcPr>
          <w:p w14:paraId="043D443B" w14:textId="77777777" w:rsidR="00BB5628" w:rsidRPr="004E74A6" w:rsidRDefault="00BB5628" w:rsidP="00832773">
            <w:pPr>
              <w:spacing w:line="276" w:lineRule="auto"/>
              <w:jc w:val="left"/>
              <w:rPr>
                <w:rFonts w:cs="Calibri"/>
                <w:color w:val="000000"/>
                <w:sz w:val="20"/>
                <w:lang w:eastAsia="es-CR"/>
              </w:rPr>
            </w:pPr>
            <w:r w:rsidRPr="004E74A6">
              <w:rPr>
                <w:rFonts w:cs="Calibri"/>
                <w:color w:val="000000"/>
                <w:sz w:val="20"/>
                <w:lang w:eastAsia="es-CR"/>
              </w:rPr>
              <w:t>De ¢55.000.001 a ¢60.000.000</w:t>
            </w:r>
          </w:p>
        </w:tc>
        <w:tc>
          <w:tcPr>
            <w:tcW w:w="1200" w:type="dxa"/>
            <w:tcBorders>
              <w:top w:val="nil"/>
              <w:left w:val="nil"/>
              <w:bottom w:val="nil"/>
              <w:right w:val="single" w:sz="8" w:space="0" w:color="auto"/>
            </w:tcBorders>
            <w:shd w:val="clear" w:color="auto" w:fill="auto"/>
            <w:noWrap/>
            <w:vAlign w:val="center"/>
            <w:hideMark/>
          </w:tcPr>
          <w:p w14:paraId="3D6F4D72" w14:textId="77777777" w:rsidR="00BB5628" w:rsidRPr="004E74A6" w:rsidRDefault="00BB5628" w:rsidP="00832773">
            <w:pPr>
              <w:spacing w:line="276" w:lineRule="auto"/>
              <w:jc w:val="center"/>
              <w:rPr>
                <w:rFonts w:cs="Calibri"/>
                <w:color w:val="000000"/>
                <w:sz w:val="20"/>
                <w:lang w:eastAsia="es-CR"/>
              </w:rPr>
            </w:pPr>
            <w:r w:rsidRPr="004E74A6">
              <w:rPr>
                <w:rFonts w:cs="Calibri"/>
                <w:color w:val="000000"/>
                <w:sz w:val="20"/>
                <w:lang w:eastAsia="es-CR"/>
              </w:rPr>
              <w:t>8</w:t>
            </w:r>
          </w:p>
        </w:tc>
        <w:tc>
          <w:tcPr>
            <w:tcW w:w="1200" w:type="dxa"/>
            <w:tcBorders>
              <w:top w:val="nil"/>
              <w:left w:val="nil"/>
              <w:bottom w:val="nil"/>
              <w:right w:val="single" w:sz="8" w:space="0" w:color="auto"/>
            </w:tcBorders>
            <w:shd w:val="clear" w:color="auto" w:fill="auto"/>
            <w:noWrap/>
            <w:vAlign w:val="center"/>
            <w:hideMark/>
          </w:tcPr>
          <w:p w14:paraId="71FAE939" w14:textId="77777777" w:rsidR="00BB5628" w:rsidRPr="004E74A6" w:rsidRDefault="00BB5628" w:rsidP="00832773">
            <w:pPr>
              <w:spacing w:line="276" w:lineRule="auto"/>
              <w:jc w:val="center"/>
              <w:rPr>
                <w:rFonts w:cs="Calibri"/>
                <w:color w:val="000000"/>
                <w:sz w:val="20"/>
                <w:lang w:eastAsia="es-CR"/>
              </w:rPr>
            </w:pPr>
            <w:r w:rsidRPr="004E74A6">
              <w:rPr>
                <w:rFonts w:cs="Calibri"/>
                <w:color w:val="000000"/>
                <w:sz w:val="20"/>
                <w:lang w:eastAsia="es-CR"/>
              </w:rPr>
              <w:t>10</w:t>
            </w:r>
          </w:p>
        </w:tc>
        <w:tc>
          <w:tcPr>
            <w:tcW w:w="1200" w:type="dxa"/>
            <w:tcBorders>
              <w:top w:val="nil"/>
              <w:left w:val="nil"/>
              <w:bottom w:val="nil"/>
              <w:right w:val="single" w:sz="8" w:space="0" w:color="auto"/>
            </w:tcBorders>
            <w:shd w:val="clear" w:color="auto" w:fill="auto"/>
            <w:noWrap/>
            <w:vAlign w:val="center"/>
            <w:hideMark/>
          </w:tcPr>
          <w:p w14:paraId="41D2359B" w14:textId="77777777" w:rsidR="00BB5628" w:rsidRPr="004E74A6" w:rsidRDefault="00BB5628" w:rsidP="00832773">
            <w:pPr>
              <w:spacing w:line="276" w:lineRule="auto"/>
              <w:jc w:val="center"/>
              <w:rPr>
                <w:rFonts w:cs="Calibri"/>
                <w:color w:val="000000"/>
                <w:sz w:val="20"/>
                <w:lang w:eastAsia="es-CR"/>
              </w:rPr>
            </w:pPr>
            <w:r w:rsidRPr="004E74A6">
              <w:rPr>
                <w:rFonts w:cs="Calibri"/>
                <w:color w:val="000000"/>
                <w:sz w:val="20"/>
                <w:lang w:eastAsia="es-CR"/>
              </w:rPr>
              <w:t>7</w:t>
            </w:r>
          </w:p>
        </w:tc>
        <w:tc>
          <w:tcPr>
            <w:tcW w:w="1200" w:type="dxa"/>
            <w:tcBorders>
              <w:top w:val="nil"/>
              <w:left w:val="nil"/>
              <w:bottom w:val="nil"/>
              <w:right w:val="single" w:sz="8" w:space="0" w:color="auto"/>
            </w:tcBorders>
            <w:shd w:val="clear" w:color="auto" w:fill="auto"/>
            <w:noWrap/>
            <w:vAlign w:val="center"/>
            <w:hideMark/>
          </w:tcPr>
          <w:p w14:paraId="385F4590" w14:textId="77777777" w:rsidR="00BB5628" w:rsidRPr="004E74A6" w:rsidRDefault="00BB5628" w:rsidP="00832773">
            <w:pPr>
              <w:spacing w:line="276" w:lineRule="auto"/>
              <w:jc w:val="center"/>
              <w:rPr>
                <w:rFonts w:cs="Calibri"/>
                <w:color w:val="000000"/>
                <w:sz w:val="20"/>
                <w:lang w:eastAsia="es-CR"/>
              </w:rPr>
            </w:pPr>
            <w:r w:rsidRPr="004E74A6">
              <w:rPr>
                <w:rFonts w:cs="Calibri"/>
                <w:color w:val="000000"/>
                <w:sz w:val="20"/>
                <w:lang w:eastAsia="es-CR"/>
              </w:rPr>
              <w:t>8</w:t>
            </w:r>
          </w:p>
        </w:tc>
        <w:tc>
          <w:tcPr>
            <w:tcW w:w="2500" w:type="dxa"/>
            <w:tcBorders>
              <w:top w:val="nil"/>
              <w:left w:val="nil"/>
              <w:bottom w:val="nil"/>
              <w:right w:val="nil"/>
            </w:tcBorders>
            <w:shd w:val="clear" w:color="auto" w:fill="auto"/>
            <w:noWrap/>
            <w:vAlign w:val="bottom"/>
            <w:hideMark/>
          </w:tcPr>
          <w:p w14:paraId="39FC7F61" w14:textId="77777777" w:rsidR="00BB5628" w:rsidRPr="004E74A6" w:rsidRDefault="00BB5628" w:rsidP="00832773">
            <w:pPr>
              <w:spacing w:line="276" w:lineRule="auto"/>
              <w:jc w:val="center"/>
              <w:rPr>
                <w:rFonts w:cs="Calibri"/>
                <w:color w:val="000000"/>
                <w:sz w:val="20"/>
                <w:lang w:eastAsia="es-CR"/>
              </w:rPr>
            </w:pPr>
            <w:r w:rsidRPr="004E74A6">
              <w:rPr>
                <w:rFonts w:cs="Calibri"/>
                <w:color w:val="000000"/>
                <w:sz w:val="20"/>
                <w:lang w:eastAsia="es-CR"/>
              </w:rPr>
              <w:t>70%</w:t>
            </w:r>
          </w:p>
        </w:tc>
      </w:tr>
      <w:tr w:rsidR="00BB5628" w:rsidRPr="004E74A6" w14:paraId="27C55559" w14:textId="77777777" w:rsidTr="005103B2">
        <w:trPr>
          <w:trHeight w:val="300"/>
        </w:trPr>
        <w:tc>
          <w:tcPr>
            <w:tcW w:w="2800" w:type="dxa"/>
            <w:tcBorders>
              <w:top w:val="nil"/>
              <w:left w:val="nil"/>
              <w:bottom w:val="nil"/>
              <w:right w:val="single" w:sz="8" w:space="0" w:color="auto"/>
            </w:tcBorders>
            <w:shd w:val="clear" w:color="auto" w:fill="auto"/>
            <w:noWrap/>
            <w:vAlign w:val="center"/>
            <w:hideMark/>
          </w:tcPr>
          <w:p w14:paraId="32E06B2B" w14:textId="77777777" w:rsidR="00BB5628" w:rsidRPr="004E74A6" w:rsidRDefault="00BB5628" w:rsidP="00832773">
            <w:pPr>
              <w:spacing w:line="276" w:lineRule="auto"/>
              <w:jc w:val="left"/>
              <w:rPr>
                <w:rFonts w:cs="Calibri"/>
                <w:color w:val="000000"/>
                <w:sz w:val="20"/>
                <w:lang w:eastAsia="es-CR"/>
              </w:rPr>
            </w:pPr>
            <w:r w:rsidRPr="004E74A6">
              <w:rPr>
                <w:rFonts w:cs="Calibri"/>
                <w:color w:val="000000"/>
                <w:sz w:val="20"/>
                <w:lang w:eastAsia="es-CR"/>
              </w:rPr>
              <w:t>De ¢60.000.001 a ¢65.000.000</w:t>
            </w:r>
          </w:p>
        </w:tc>
        <w:tc>
          <w:tcPr>
            <w:tcW w:w="1200" w:type="dxa"/>
            <w:tcBorders>
              <w:top w:val="nil"/>
              <w:left w:val="nil"/>
              <w:bottom w:val="nil"/>
              <w:right w:val="single" w:sz="8" w:space="0" w:color="auto"/>
            </w:tcBorders>
            <w:shd w:val="clear" w:color="auto" w:fill="auto"/>
            <w:noWrap/>
            <w:vAlign w:val="center"/>
            <w:hideMark/>
          </w:tcPr>
          <w:p w14:paraId="667C1FF8" w14:textId="77777777" w:rsidR="00BB5628" w:rsidRPr="004E74A6" w:rsidRDefault="00BB5628" w:rsidP="00832773">
            <w:pPr>
              <w:spacing w:line="276" w:lineRule="auto"/>
              <w:jc w:val="center"/>
              <w:rPr>
                <w:rFonts w:cs="Calibri"/>
                <w:color w:val="000000"/>
                <w:sz w:val="20"/>
                <w:lang w:eastAsia="es-CR"/>
              </w:rPr>
            </w:pPr>
            <w:r w:rsidRPr="004E74A6">
              <w:rPr>
                <w:rFonts w:cs="Calibri"/>
                <w:color w:val="000000"/>
                <w:sz w:val="20"/>
                <w:lang w:eastAsia="es-CR"/>
              </w:rPr>
              <w:t>4</w:t>
            </w:r>
          </w:p>
        </w:tc>
        <w:tc>
          <w:tcPr>
            <w:tcW w:w="1200" w:type="dxa"/>
            <w:tcBorders>
              <w:top w:val="nil"/>
              <w:left w:val="nil"/>
              <w:bottom w:val="nil"/>
              <w:right w:val="single" w:sz="8" w:space="0" w:color="auto"/>
            </w:tcBorders>
            <w:shd w:val="clear" w:color="auto" w:fill="auto"/>
            <w:noWrap/>
            <w:vAlign w:val="center"/>
            <w:hideMark/>
          </w:tcPr>
          <w:p w14:paraId="42E354A5" w14:textId="77777777" w:rsidR="00BB5628" w:rsidRPr="004E74A6" w:rsidRDefault="00BB5628" w:rsidP="00832773">
            <w:pPr>
              <w:spacing w:line="276" w:lineRule="auto"/>
              <w:jc w:val="center"/>
              <w:rPr>
                <w:rFonts w:cs="Calibri"/>
                <w:color w:val="000000"/>
                <w:sz w:val="20"/>
                <w:lang w:eastAsia="es-CR"/>
              </w:rPr>
            </w:pPr>
            <w:r w:rsidRPr="004E74A6">
              <w:rPr>
                <w:rFonts w:cs="Calibri"/>
                <w:color w:val="000000"/>
                <w:sz w:val="20"/>
                <w:lang w:eastAsia="es-CR"/>
              </w:rPr>
              <w:t>3</w:t>
            </w:r>
          </w:p>
        </w:tc>
        <w:tc>
          <w:tcPr>
            <w:tcW w:w="1200" w:type="dxa"/>
            <w:tcBorders>
              <w:top w:val="nil"/>
              <w:left w:val="nil"/>
              <w:bottom w:val="nil"/>
              <w:right w:val="single" w:sz="8" w:space="0" w:color="auto"/>
            </w:tcBorders>
            <w:shd w:val="clear" w:color="auto" w:fill="auto"/>
            <w:noWrap/>
            <w:vAlign w:val="center"/>
            <w:hideMark/>
          </w:tcPr>
          <w:p w14:paraId="263318D5" w14:textId="77777777" w:rsidR="00BB5628" w:rsidRPr="004E74A6" w:rsidRDefault="00BB5628" w:rsidP="00832773">
            <w:pPr>
              <w:spacing w:line="276" w:lineRule="auto"/>
              <w:jc w:val="center"/>
              <w:rPr>
                <w:rFonts w:cs="Calibri"/>
                <w:color w:val="000000"/>
                <w:sz w:val="20"/>
                <w:lang w:eastAsia="es-CR"/>
              </w:rPr>
            </w:pPr>
            <w:r w:rsidRPr="004E74A6">
              <w:rPr>
                <w:rFonts w:cs="Calibri"/>
                <w:color w:val="000000"/>
                <w:sz w:val="20"/>
                <w:lang w:eastAsia="es-CR"/>
              </w:rPr>
              <w:t>1</w:t>
            </w:r>
          </w:p>
        </w:tc>
        <w:tc>
          <w:tcPr>
            <w:tcW w:w="1200" w:type="dxa"/>
            <w:tcBorders>
              <w:top w:val="nil"/>
              <w:left w:val="nil"/>
              <w:bottom w:val="nil"/>
              <w:right w:val="single" w:sz="8" w:space="0" w:color="auto"/>
            </w:tcBorders>
            <w:shd w:val="clear" w:color="auto" w:fill="auto"/>
            <w:noWrap/>
            <w:vAlign w:val="center"/>
            <w:hideMark/>
          </w:tcPr>
          <w:p w14:paraId="114C6385" w14:textId="77777777" w:rsidR="00BB5628" w:rsidRPr="004E74A6" w:rsidRDefault="00BB5628" w:rsidP="00832773">
            <w:pPr>
              <w:spacing w:line="276" w:lineRule="auto"/>
              <w:jc w:val="center"/>
              <w:rPr>
                <w:rFonts w:cs="Calibri"/>
                <w:color w:val="000000"/>
                <w:sz w:val="20"/>
                <w:lang w:eastAsia="es-CR"/>
              </w:rPr>
            </w:pPr>
            <w:r w:rsidRPr="004E74A6">
              <w:rPr>
                <w:rFonts w:cs="Calibri"/>
                <w:color w:val="000000"/>
                <w:sz w:val="20"/>
                <w:lang w:eastAsia="es-CR"/>
              </w:rPr>
              <w:t>3</w:t>
            </w:r>
          </w:p>
        </w:tc>
        <w:tc>
          <w:tcPr>
            <w:tcW w:w="2500" w:type="dxa"/>
            <w:tcBorders>
              <w:top w:val="nil"/>
              <w:left w:val="nil"/>
              <w:bottom w:val="nil"/>
              <w:right w:val="nil"/>
            </w:tcBorders>
            <w:shd w:val="clear" w:color="auto" w:fill="auto"/>
            <w:noWrap/>
            <w:vAlign w:val="bottom"/>
            <w:hideMark/>
          </w:tcPr>
          <w:p w14:paraId="3A92AB60" w14:textId="77777777" w:rsidR="00BB5628" w:rsidRPr="004E74A6" w:rsidRDefault="00BB5628" w:rsidP="00832773">
            <w:pPr>
              <w:spacing w:line="276" w:lineRule="auto"/>
              <w:jc w:val="center"/>
              <w:rPr>
                <w:rFonts w:cs="Calibri"/>
                <w:color w:val="000000"/>
                <w:sz w:val="20"/>
                <w:lang w:eastAsia="es-CR"/>
              </w:rPr>
            </w:pPr>
            <w:r w:rsidRPr="004E74A6">
              <w:rPr>
                <w:rFonts w:cs="Calibri"/>
                <w:color w:val="000000"/>
                <w:sz w:val="20"/>
                <w:lang w:eastAsia="es-CR"/>
              </w:rPr>
              <w:t>70%</w:t>
            </w:r>
          </w:p>
        </w:tc>
      </w:tr>
      <w:tr w:rsidR="00BB5628" w:rsidRPr="004E74A6" w14:paraId="42B9C1F4" w14:textId="77777777" w:rsidTr="005103B2">
        <w:trPr>
          <w:trHeight w:val="300"/>
        </w:trPr>
        <w:tc>
          <w:tcPr>
            <w:tcW w:w="2800" w:type="dxa"/>
            <w:tcBorders>
              <w:top w:val="nil"/>
              <w:left w:val="nil"/>
              <w:bottom w:val="nil"/>
              <w:right w:val="single" w:sz="8" w:space="0" w:color="auto"/>
            </w:tcBorders>
            <w:shd w:val="clear" w:color="auto" w:fill="auto"/>
            <w:noWrap/>
            <w:vAlign w:val="center"/>
            <w:hideMark/>
          </w:tcPr>
          <w:p w14:paraId="5867F825" w14:textId="77777777" w:rsidR="00BB5628" w:rsidRPr="004E74A6" w:rsidRDefault="00BB5628" w:rsidP="00832773">
            <w:pPr>
              <w:spacing w:line="276" w:lineRule="auto"/>
              <w:jc w:val="left"/>
              <w:rPr>
                <w:rFonts w:cs="Calibri"/>
                <w:color w:val="000000"/>
                <w:sz w:val="20"/>
                <w:lang w:eastAsia="es-CR"/>
              </w:rPr>
            </w:pPr>
            <w:r w:rsidRPr="004E74A6">
              <w:rPr>
                <w:rFonts w:cs="Calibri"/>
                <w:color w:val="000000"/>
                <w:sz w:val="20"/>
                <w:lang w:eastAsia="es-CR"/>
              </w:rPr>
              <w:t>De ¢65.000.001 a ¢70.000.000</w:t>
            </w:r>
          </w:p>
        </w:tc>
        <w:tc>
          <w:tcPr>
            <w:tcW w:w="1200" w:type="dxa"/>
            <w:tcBorders>
              <w:top w:val="nil"/>
              <w:left w:val="nil"/>
              <w:bottom w:val="nil"/>
              <w:right w:val="single" w:sz="8" w:space="0" w:color="auto"/>
            </w:tcBorders>
            <w:shd w:val="clear" w:color="auto" w:fill="auto"/>
            <w:noWrap/>
            <w:vAlign w:val="center"/>
            <w:hideMark/>
          </w:tcPr>
          <w:p w14:paraId="27A781DA" w14:textId="77777777" w:rsidR="00BB5628" w:rsidRPr="004E74A6" w:rsidRDefault="00BB5628" w:rsidP="00832773">
            <w:pPr>
              <w:spacing w:line="276" w:lineRule="auto"/>
              <w:jc w:val="center"/>
              <w:rPr>
                <w:rFonts w:cs="Calibri"/>
                <w:color w:val="000000"/>
                <w:sz w:val="20"/>
                <w:lang w:eastAsia="es-CR"/>
              </w:rPr>
            </w:pPr>
            <w:r w:rsidRPr="004E74A6">
              <w:rPr>
                <w:rFonts w:cs="Calibri"/>
                <w:color w:val="000000"/>
                <w:sz w:val="20"/>
                <w:lang w:eastAsia="es-CR"/>
              </w:rPr>
              <w:t>1</w:t>
            </w:r>
          </w:p>
        </w:tc>
        <w:tc>
          <w:tcPr>
            <w:tcW w:w="1200" w:type="dxa"/>
            <w:tcBorders>
              <w:top w:val="nil"/>
              <w:left w:val="nil"/>
              <w:bottom w:val="nil"/>
              <w:right w:val="single" w:sz="8" w:space="0" w:color="auto"/>
            </w:tcBorders>
            <w:shd w:val="clear" w:color="auto" w:fill="auto"/>
            <w:noWrap/>
            <w:vAlign w:val="center"/>
            <w:hideMark/>
          </w:tcPr>
          <w:p w14:paraId="602D5CF0" w14:textId="77777777" w:rsidR="00BB5628" w:rsidRPr="004E74A6" w:rsidRDefault="00BB5628" w:rsidP="00832773">
            <w:pPr>
              <w:spacing w:line="276" w:lineRule="auto"/>
              <w:jc w:val="center"/>
              <w:rPr>
                <w:rFonts w:cs="Calibri"/>
                <w:color w:val="000000"/>
                <w:sz w:val="20"/>
                <w:lang w:eastAsia="es-CR"/>
              </w:rPr>
            </w:pPr>
            <w:r w:rsidRPr="004E74A6">
              <w:rPr>
                <w:rFonts w:cs="Calibri"/>
                <w:color w:val="000000"/>
                <w:sz w:val="20"/>
                <w:lang w:eastAsia="es-CR"/>
              </w:rPr>
              <w:t>6</w:t>
            </w:r>
          </w:p>
        </w:tc>
        <w:tc>
          <w:tcPr>
            <w:tcW w:w="1200" w:type="dxa"/>
            <w:tcBorders>
              <w:top w:val="nil"/>
              <w:left w:val="nil"/>
              <w:bottom w:val="nil"/>
              <w:right w:val="single" w:sz="8" w:space="0" w:color="auto"/>
            </w:tcBorders>
            <w:shd w:val="clear" w:color="auto" w:fill="auto"/>
            <w:noWrap/>
            <w:vAlign w:val="center"/>
            <w:hideMark/>
          </w:tcPr>
          <w:p w14:paraId="47534DBC" w14:textId="77777777" w:rsidR="00BB5628" w:rsidRPr="004E74A6" w:rsidRDefault="00BB5628" w:rsidP="00832773">
            <w:pPr>
              <w:spacing w:line="276" w:lineRule="auto"/>
              <w:jc w:val="center"/>
              <w:rPr>
                <w:rFonts w:cs="Calibri"/>
                <w:color w:val="000000"/>
                <w:sz w:val="20"/>
                <w:lang w:eastAsia="es-CR"/>
              </w:rPr>
            </w:pPr>
            <w:r w:rsidRPr="004E74A6">
              <w:rPr>
                <w:rFonts w:cs="Calibri"/>
                <w:color w:val="000000"/>
                <w:sz w:val="20"/>
                <w:lang w:eastAsia="es-CR"/>
              </w:rPr>
              <w:t>5</w:t>
            </w:r>
          </w:p>
        </w:tc>
        <w:tc>
          <w:tcPr>
            <w:tcW w:w="1200" w:type="dxa"/>
            <w:tcBorders>
              <w:top w:val="nil"/>
              <w:left w:val="nil"/>
              <w:bottom w:val="nil"/>
              <w:right w:val="single" w:sz="8" w:space="0" w:color="auto"/>
            </w:tcBorders>
            <w:shd w:val="clear" w:color="auto" w:fill="auto"/>
            <w:noWrap/>
            <w:vAlign w:val="center"/>
            <w:hideMark/>
          </w:tcPr>
          <w:p w14:paraId="61DA0A60" w14:textId="77777777" w:rsidR="00BB5628" w:rsidRPr="004E74A6" w:rsidRDefault="00BB5628" w:rsidP="00832773">
            <w:pPr>
              <w:spacing w:line="276" w:lineRule="auto"/>
              <w:jc w:val="center"/>
              <w:rPr>
                <w:rFonts w:cs="Calibri"/>
                <w:color w:val="000000"/>
                <w:sz w:val="20"/>
                <w:lang w:eastAsia="es-CR"/>
              </w:rPr>
            </w:pPr>
            <w:r w:rsidRPr="004E74A6">
              <w:rPr>
                <w:rFonts w:cs="Calibri"/>
                <w:color w:val="000000"/>
                <w:sz w:val="20"/>
                <w:lang w:eastAsia="es-CR"/>
              </w:rPr>
              <w:t>4</w:t>
            </w:r>
          </w:p>
        </w:tc>
        <w:tc>
          <w:tcPr>
            <w:tcW w:w="2500" w:type="dxa"/>
            <w:tcBorders>
              <w:top w:val="nil"/>
              <w:left w:val="nil"/>
              <w:bottom w:val="nil"/>
              <w:right w:val="nil"/>
            </w:tcBorders>
            <w:shd w:val="clear" w:color="auto" w:fill="auto"/>
            <w:noWrap/>
            <w:vAlign w:val="bottom"/>
            <w:hideMark/>
          </w:tcPr>
          <w:p w14:paraId="04CCDFFE" w14:textId="77777777" w:rsidR="00BB5628" w:rsidRPr="004E74A6" w:rsidRDefault="00BB5628" w:rsidP="00832773">
            <w:pPr>
              <w:spacing w:line="276" w:lineRule="auto"/>
              <w:jc w:val="center"/>
              <w:rPr>
                <w:rFonts w:cs="Calibri"/>
                <w:color w:val="000000"/>
                <w:sz w:val="20"/>
                <w:lang w:eastAsia="es-CR"/>
              </w:rPr>
            </w:pPr>
            <w:r w:rsidRPr="004E74A6">
              <w:rPr>
                <w:rFonts w:cs="Calibri"/>
                <w:color w:val="000000"/>
                <w:sz w:val="20"/>
                <w:lang w:eastAsia="es-CR"/>
              </w:rPr>
              <w:t>72%</w:t>
            </w:r>
          </w:p>
        </w:tc>
      </w:tr>
      <w:tr w:rsidR="00BB5628" w:rsidRPr="004E74A6" w14:paraId="0A385773" w14:textId="77777777" w:rsidTr="005103B2">
        <w:trPr>
          <w:trHeight w:val="300"/>
        </w:trPr>
        <w:tc>
          <w:tcPr>
            <w:tcW w:w="2800" w:type="dxa"/>
            <w:tcBorders>
              <w:top w:val="nil"/>
              <w:left w:val="nil"/>
              <w:bottom w:val="nil"/>
              <w:right w:val="single" w:sz="8" w:space="0" w:color="auto"/>
            </w:tcBorders>
            <w:shd w:val="clear" w:color="auto" w:fill="auto"/>
            <w:noWrap/>
            <w:vAlign w:val="center"/>
            <w:hideMark/>
          </w:tcPr>
          <w:p w14:paraId="6B528DB2" w14:textId="77777777" w:rsidR="00BB5628" w:rsidRPr="004E74A6" w:rsidRDefault="00BB5628" w:rsidP="00832773">
            <w:pPr>
              <w:spacing w:line="276" w:lineRule="auto"/>
              <w:jc w:val="left"/>
              <w:rPr>
                <w:rFonts w:cs="Calibri"/>
                <w:color w:val="000000"/>
                <w:sz w:val="20"/>
                <w:lang w:eastAsia="es-CR"/>
              </w:rPr>
            </w:pPr>
            <w:r w:rsidRPr="004E74A6">
              <w:rPr>
                <w:rFonts w:cs="Calibri"/>
                <w:color w:val="000000"/>
                <w:sz w:val="20"/>
                <w:lang w:eastAsia="es-CR"/>
              </w:rPr>
              <w:t>De ¢70.000.001 a ¢75.000.000</w:t>
            </w:r>
          </w:p>
        </w:tc>
        <w:tc>
          <w:tcPr>
            <w:tcW w:w="1200" w:type="dxa"/>
            <w:tcBorders>
              <w:top w:val="nil"/>
              <w:left w:val="nil"/>
              <w:bottom w:val="nil"/>
              <w:right w:val="single" w:sz="8" w:space="0" w:color="auto"/>
            </w:tcBorders>
            <w:shd w:val="clear" w:color="auto" w:fill="auto"/>
            <w:noWrap/>
            <w:vAlign w:val="center"/>
            <w:hideMark/>
          </w:tcPr>
          <w:p w14:paraId="5912E09F" w14:textId="77777777" w:rsidR="00BB5628" w:rsidRPr="004E74A6" w:rsidRDefault="00BB5628" w:rsidP="00832773">
            <w:pPr>
              <w:spacing w:line="276" w:lineRule="auto"/>
              <w:jc w:val="center"/>
              <w:rPr>
                <w:rFonts w:cs="Calibri"/>
                <w:color w:val="000000"/>
                <w:sz w:val="20"/>
                <w:lang w:eastAsia="es-CR"/>
              </w:rPr>
            </w:pPr>
            <w:r w:rsidRPr="004E74A6">
              <w:rPr>
                <w:rFonts w:cs="Calibri"/>
                <w:color w:val="000000"/>
                <w:sz w:val="20"/>
                <w:lang w:eastAsia="es-CR"/>
              </w:rPr>
              <w:t>4</w:t>
            </w:r>
          </w:p>
        </w:tc>
        <w:tc>
          <w:tcPr>
            <w:tcW w:w="1200" w:type="dxa"/>
            <w:tcBorders>
              <w:top w:val="nil"/>
              <w:left w:val="nil"/>
              <w:bottom w:val="nil"/>
              <w:right w:val="single" w:sz="8" w:space="0" w:color="auto"/>
            </w:tcBorders>
            <w:shd w:val="clear" w:color="auto" w:fill="auto"/>
            <w:noWrap/>
            <w:vAlign w:val="center"/>
            <w:hideMark/>
          </w:tcPr>
          <w:p w14:paraId="44401073" w14:textId="77777777" w:rsidR="00BB5628" w:rsidRPr="004E74A6" w:rsidRDefault="00BB5628" w:rsidP="00832773">
            <w:pPr>
              <w:spacing w:line="276" w:lineRule="auto"/>
              <w:jc w:val="center"/>
              <w:rPr>
                <w:rFonts w:cs="Calibri"/>
                <w:color w:val="000000"/>
                <w:sz w:val="20"/>
                <w:lang w:eastAsia="es-CR"/>
              </w:rPr>
            </w:pPr>
            <w:r w:rsidRPr="004E74A6">
              <w:rPr>
                <w:rFonts w:cs="Calibri"/>
                <w:color w:val="000000"/>
                <w:sz w:val="20"/>
                <w:lang w:eastAsia="es-CR"/>
              </w:rPr>
              <w:t>2</w:t>
            </w:r>
          </w:p>
        </w:tc>
        <w:tc>
          <w:tcPr>
            <w:tcW w:w="1200" w:type="dxa"/>
            <w:tcBorders>
              <w:top w:val="nil"/>
              <w:left w:val="nil"/>
              <w:bottom w:val="nil"/>
              <w:right w:val="single" w:sz="8" w:space="0" w:color="auto"/>
            </w:tcBorders>
            <w:shd w:val="clear" w:color="auto" w:fill="auto"/>
            <w:noWrap/>
            <w:vAlign w:val="center"/>
            <w:hideMark/>
          </w:tcPr>
          <w:p w14:paraId="68C3D9B3" w14:textId="77777777" w:rsidR="00BB5628" w:rsidRPr="004E74A6" w:rsidRDefault="00BB5628" w:rsidP="00832773">
            <w:pPr>
              <w:spacing w:line="276" w:lineRule="auto"/>
              <w:jc w:val="center"/>
              <w:rPr>
                <w:rFonts w:cs="Calibri"/>
                <w:color w:val="000000"/>
                <w:sz w:val="20"/>
                <w:lang w:eastAsia="es-CR"/>
              </w:rPr>
            </w:pPr>
            <w:r w:rsidRPr="004E74A6">
              <w:rPr>
                <w:rFonts w:cs="Calibri"/>
                <w:color w:val="000000"/>
                <w:sz w:val="20"/>
                <w:lang w:eastAsia="es-CR"/>
              </w:rPr>
              <w:t>5</w:t>
            </w:r>
          </w:p>
        </w:tc>
        <w:tc>
          <w:tcPr>
            <w:tcW w:w="1200" w:type="dxa"/>
            <w:tcBorders>
              <w:top w:val="nil"/>
              <w:left w:val="nil"/>
              <w:bottom w:val="nil"/>
              <w:right w:val="single" w:sz="8" w:space="0" w:color="auto"/>
            </w:tcBorders>
            <w:shd w:val="clear" w:color="auto" w:fill="auto"/>
            <w:noWrap/>
            <w:vAlign w:val="center"/>
            <w:hideMark/>
          </w:tcPr>
          <w:p w14:paraId="3C83A4A2" w14:textId="77777777" w:rsidR="00BB5628" w:rsidRPr="004E74A6" w:rsidRDefault="00BB5628" w:rsidP="00832773">
            <w:pPr>
              <w:spacing w:line="276" w:lineRule="auto"/>
              <w:jc w:val="center"/>
              <w:rPr>
                <w:rFonts w:cs="Calibri"/>
                <w:color w:val="000000"/>
                <w:sz w:val="20"/>
                <w:lang w:eastAsia="es-CR"/>
              </w:rPr>
            </w:pPr>
            <w:r w:rsidRPr="004E74A6">
              <w:rPr>
                <w:rFonts w:cs="Calibri"/>
                <w:color w:val="000000"/>
                <w:sz w:val="20"/>
                <w:lang w:eastAsia="es-CR"/>
              </w:rPr>
              <w:t>4</w:t>
            </w:r>
          </w:p>
        </w:tc>
        <w:tc>
          <w:tcPr>
            <w:tcW w:w="2500" w:type="dxa"/>
            <w:tcBorders>
              <w:top w:val="nil"/>
              <w:left w:val="nil"/>
              <w:bottom w:val="nil"/>
              <w:right w:val="nil"/>
            </w:tcBorders>
            <w:shd w:val="clear" w:color="auto" w:fill="auto"/>
            <w:noWrap/>
            <w:vAlign w:val="bottom"/>
            <w:hideMark/>
          </w:tcPr>
          <w:p w14:paraId="214FB751" w14:textId="77777777" w:rsidR="00BB5628" w:rsidRPr="004E74A6" w:rsidRDefault="00BB5628" w:rsidP="00832773">
            <w:pPr>
              <w:spacing w:line="276" w:lineRule="auto"/>
              <w:jc w:val="center"/>
              <w:rPr>
                <w:rFonts w:cs="Calibri"/>
                <w:color w:val="000000"/>
                <w:sz w:val="20"/>
                <w:lang w:eastAsia="es-CR"/>
              </w:rPr>
            </w:pPr>
            <w:r w:rsidRPr="004E74A6">
              <w:rPr>
                <w:rFonts w:cs="Calibri"/>
                <w:color w:val="000000"/>
                <w:sz w:val="20"/>
                <w:lang w:eastAsia="es-CR"/>
              </w:rPr>
              <w:t>73%</w:t>
            </w:r>
          </w:p>
        </w:tc>
      </w:tr>
      <w:tr w:rsidR="00BB5628" w:rsidRPr="004E74A6" w14:paraId="3D75CB25" w14:textId="77777777" w:rsidTr="005103B2">
        <w:trPr>
          <w:trHeight w:val="300"/>
        </w:trPr>
        <w:tc>
          <w:tcPr>
            <w:tcW w:w="2800" w:type="dxa"/>
            <w:tcBorders>
              <w:top w:val="nil"/>
              <w:left w:val="nil"/>
              <w:bottom w:val="nil"/>
              <w:right w:val="single" w:sz="8" w:space="0" w:color="auto"/>
            </w:tcBorders>
            <w:shd w:val="clear" w:color="auto" w:fill="auto"/>
            <w:noWrap/>
            <w:vAlign w:val="center"/>
            <w:hideMark/>
          </w:tcPr>
          <w:p w14:paraId="2E7F9305" w14:textId="77777777" w:rsidR="00BB5628" w:rsidRPr="004E74A6" w:rsidRDefault="00BB5628" w:rsidP="00832773">
            <w:pPr>
              <w:spacing w:line="276" w:lineRule="auto"/>
              <w:jc w:val="left"/>
              <w:rPr>
                <w:rFonts w:cs="Calibri"/>
                <w:color w:val="000000"/>
                <w:sz w:val="20"/>
                <w:lang w:eastAsia="es-CR"/>
              </w:rPr>
            </w:pPr>
            <w:r w:rsidRPr="004E74A6">
              <w:rPr>
                <w:rFonts w:cs="Calibri"/>
                <w:color w:val="000000"/>
                <w:sz w:val="20"/>
                <w:lang w:eastAsia="es-CR"/>
              </w:rPr>
              <w:t>De ¢75.000.001 a ¢80.000.000</w:t>
            </w:r>
          </w:p>
        </w:tc>
        <w:tc>
          <w:tcPr>
            <w:tcW w:w="1200" w:type="dxa"/>
            <w:tcBorders>
              <w:top w:val="nil"/>
              <w:left w:val="nil"/>
              <w:bottom w:val="nil"/>
              <w:right w:val="single" w:sz="8" w:space="0" w:color="auto"/>
            </w:tcBorders>
            <w:shd w:val="clear" w:color="auto" w:fill="auto"/>
            <w:noWrap/>
            <w:vAlign w:val="center"/>
            <w:hideMark/>
          </w:tcPr>
          <w:p w14:paraId="6F380227" w14:textId="77777777" w:rsidR="00BB5628" w:rsidRPr="004E74A6" w:rsidRDefault="00BB5628" w:rsidP="00832773">
            <w:pPr>
              <w:spacing w:line="276" w:lineRule="auto"/>
              <w:jc w:val="center"/>
              <w:rPr>
                <w:rFonts w:cs="Calibri"/>
                <w:color w:val="000000"/>
                <w:sz w:val="20"/>
                <w:lang w:eastAsia="es-CR"/>
              </w:rPr>
            </w:pPr>
            <w:r w:rsidRPr="004E74A6">
              <w:rPr>
                <w:rFonts w:cs="Calibri"/>
                <w:color w:val="000000"/>
                <w:sz w:val="20"/>
                <w:lang w:eastAsia="es-CR"/>
              </w:rPr>
              <w:t>6</w:t>
            </w:r>
          </w:p>
        </w:tc>
        <w:tc>
          <w:tcPr>
            <w:tcW w:w="1200" w:type="dxa"/>
            <w:tcBorders>
              <w:top w:val="nil"/>
              <w:left w:val="nil"/>
              <w:bottom w:val="nil"/>
              <w:right w:val="single" w:sz="8" w:space="0" w:color="auto"/>
            </w:tcBorders>
            <w:shd w:val="clear" w:color="auto" w:fill="auto"/>
            <w:noWrap/>
            <w:vAlign w:val="center"/>
            <w:hideMark/>
          </w:tcPr>
          <w:p w14:paraId="52B77C1E" w14:textId="77777777" w:rsidR="00BB5628" w:rsidRPr="004E74A6" w:rsidRDefault="00BB5628" w:rsidP="00832773">
            <w:pPr>
              <w:spacing w:line="276" w:lineRule="auto"/>
              <w:jc w:val="center"/>
              <w:rPr>
                <w:rFonts w:cs="Calibri"/>
                <w:color w:val="000000"/>
                <w:sz w:val="20"/>
                <w:lang w:eastAsia="es-CR"/>
              </w:rPr>
            </w:pPr>
            <w:r w:rsidRPr="004E74A6">
              <w:rPr>
                <w:rFonts w:cs="Calibri"/>
                <w:color w:val="000000"/>
                <w:sz w:val="20"/>
                <w:lang w:eastAsia="es-CR"/>
              </w:rPr>
              <w:t>5</w:t>
            </w:r>
          </w:p>
        </w:tc>
        <w:tc>
          <w:tcPr>
            <w:tcW w:w="1200" w:type="dxa"/>
            <w:tcBorders>
              <w:top w:val="nil"/>
              <w:left w:val="nil"/>
              <w:bottom w:val="nil"/>
              <w:right w:val="single" w:sz="8" w:space="0" w:color="auto"/>
            </w:tcBorders>
            <w:shd w:val="clear" w:color="auto" w:fill="auto"/>
            <w:noWrap/>
            <w:vAlign w:val="center"/>
            <w:hideMark/>
          </w:tcPr>
          <w:p w14:paraId="64215EBE" w14:textId="77777777" w:rsidR="00BB5628" w:rsidRPr="004E74A6" w:rsidRDefault="00BB5628" w:rsidP="00832773">
            <w:pPr>
              <w:spacing w:line="276" w:lineRule="auto"/>
              <w:jc w:val="center"/>
              <w:rPr>
                <w:rFonts w:cs="Calibri"/>
                <w:color w:val="000000"/>
                <w:sz w:val="20"/>
                <w:lang w:eastAsia="es-CR"/>
              </w:rPr>
            </w:pPr>
            <w:r w:rsidRPr="004E74A6">
              <w:rPr>
                <w:rFonts w:cs="Calibri"/>
                <w:color w:val="000000"/>
                <w:sz w:val="20"/>
                <w:lang w:eastAsia="es-CR"/>
              </w:rPr>
              <w:t>7</w:t>
            </w:r>
          </w:p>
        </w:tc>
        <w:tc>
          <w:tcPr>
            <w:tcW w:w="1200" w:type="dxa"/>
            <w:tcBorders>
              <w:top w:val="nil"/>
              <w:left w:val="nil"/>
              <w:bottom w:val="nil"/>
              <w:right w:val="single" w:sz="8" w:space="0" w:color="auto"/>
            </w:tcBorders>
            <w:shd w:val="clear" w:color="auto" w:fill="auto"/>
            <w:noWrap/>
            <w:vAlign w:val="center"/>
            <w:hideMark/>
          </w:tcPr>
          <w:p w14:paraId="6F3C82AD" w14:textId="77777777" w:rsidR="00BB5628" w:rsidRPr="004E74A6" w:rsidRDefault="00BB5628" w:rsidP="00832773">
            <w:pPr>
              <w:spacing w:line="276" w:lineRule="auto"/>
              <w:jc w:val="center"/>
              <w:rPr>
                <w:rFonts w:cs="Calibri"/>
                <w:color w:val="000000"/>
                <w:sz w:val="20"/>
                <w:lang w:eastAsia="es-CR"/>
              </w:rPr>
            </w:pPr>
            <w:r w:rsidRPr="004E74A6">
              <w:rPr>
                <w:rFonts w:cs="Calibri"/>
                <w:color w:val="000000"/>
                <w:sz w:val="20"/>
                <w:lang w:eastAsia="es-CR"/>
              </w:rPr>
              <w:t>6</w:t>
            </w:r>
          </w:p>
        </w:tc>
        <w:tc>
          <w:tcPr>
            <w:tcW w:w="2500" w:type="dxa"/>
            <w:tcBorders>
              <w:top w:val="nil"/>
              <w:left w:val="nil"/>
              <w:bottom w:val="nil"/>
              <w:right w:val="nil"/>
            </w:tcBorders>
            <w:shd w:val="clear" w:color="auto" w:fill="auto"/>
            <w:noWrap/>
            <w:vAlign w:val="bottom"/>
            <w:hideMark/>
          </w:tcPr>
          <w:p w14:paraId="7F6E1703" w14:textId="77777777" w:rsidR="00BB5628" w:rsidRPr="004E74A6" w:rsidRDefault="00BB5628" w:rsidP="00832773">
            <w:pPr>
              <w:spacing w:line="276" w:lineRule="auto"/>
              <w:jc w:val="center"/>
              <w:rPr>
                <w:rFonts w:cs="Calibri"/>
                <w:color w:val="000000"/>
                <w:sz w:val="20"/>
                <w:lang w:eastAsia="es-CR"/>
              </w:rPr>
            </w:pPr>
            <w:r w:rsidRPr="004E74A6">
              <w:rPr>
                <w:rFonts w:cs="Calibri"/>
                <w:color w:val="000000"/>
                <w:sz w:val="20"/>
                <w:lang w:eastAsia="es-CR"/>
              </w:rPr>
              <w:t>74%</w:t>
            </w:r>
          </w:p>
        </w:tc>
      </w:tr>
      <w:tr w:rsidR="00BB5628" w:rsidRPr="004E74A6" w14:paraId="15B8183E" w14:textId="77777777" w:rsidTr="005103B2">
        <w:trPr>
          <w:trHeight w:val="300"/>
        </w:trPr>
        <w:tc>
          <w:tcPr>
            <w:tcW w:w="2800" w:type="dxa"/>
            <w:tcBorders>
              <w:top w:val="nil"/>
              <w:left w:val="nil"/>
              <w:bottom w:val="nil"/>
              <w:right w:val="single" w:sz="8" w:space="0" w:color="auto"/>
            </w:tcBorders>
            <w:shd w:val="clear" w:color="auto" w:fill="auto"/>
            <w:noWrap/>
            <w:vAlign w:val="center"/>
            <w:hideMark/>
          </w:tcPr>
          <w:p w14:paraId="6AFF2A6C" w14:textId="77777777" w:rsidR="00BB5628" w:rsidRPr="004E74A6" w:rsidRDefault="00BB5628" w:rsidP="00832773">
            <w:pPr>
              <w:spacing w:line="276" w:lineRule="auto"/>
              <w:jc w:val="left"/>
              <w:rPr>
                <w:rFonts w:cs="Calibri"/>
                <w:color w:val="000000"/>
                <w:sz w:val="20"/>
                <w:lang w:eastAsia="es-CR"/>
              </w:rPr>
            </w:pPr>
            <w:r w:rsidRPr="004E74A6">
              <w:rPr>
                <w:rFonts w:cs="Calibri"/>
                <w:color w:val="000000"/>
                <w:sz w:val="20"/>
                <w:lang w:eastAsia="es-CR"/>
              </w:rPr>
              <w:t>De ¢80.000.001 a ¢85.000.000</w:t>
            </w:r>
          </w:p>
        </w:tc>
        <w:tc>
          <w:tcPr>
            <w:tcW w:w="1200" w:type="dxa"/>
            <w:tcBorders>
              <w:top w:val="nil"/>
              <w:left w:val="nil"/>
              <w:bottom w:val="nil"/>
              <w:right w:val="single" w:sz="8" w:space="0" w:color="auto"/>
            </w:tcBorders>
            <w:shd w:val="clear" w:color="auto" w:fill="auto"/>
            <w:noWrap/>
            <w:vAlign w:val="center"/>
            <w:hideMark/>
          </w:tcPr>
          <w:p w14:paraId="5A0B6539" w14:textId="77777777" w:rsidR="00BB5628" w:rsidRPr="004E74A6" w:rsidRDefault="00BB5628" w:rsidP="00832773">
            <w:pPr>
              <w:spacing w:line="276" w:lineRule="auto"/>
              <w:jc w:val="center"/>
              <w:rPr>
                <w:rFonts w:cs="Calibri"/>
                <w:color w:val="000000"/>
                <w:sz w:val="20"/>
                <w:lang w:eastAsia="es-CR"/>
              </w:rPr>
            </w:pPr>
            <w:r w:rsidRPr="004E74A6">
              <w:rPr>
                <w:rFonts w:cs="Calibri"/>
                <w:color w:val="000000"/>
                <w:sz w:val="20"/>
                <w:lang w:eastAsia="es-CR"/>
              </w:rPr>
              <w:t>2</w:t>
            </w:r>
          </w:p>
        </w:tc>
        <w:tc>
          <w:tcPr>
            <w:tcW w:w="1200" w:type="dxa"/>
            <w:tcBorders>
              <w:top w:val="nil"/>
              <w:left w:val="nil"/>
              <w:bottom w:val="nil"/>
              <w:right w:val="single" w:sz="8" w:space="0" w:color="auto"/>
            </w:tcBorders>
            <w:shd w:val="clear" w:color="auto" w:fill="auto"/>
            <w:noWrap/>
            <w:vAlign w:val="center"/>
            <w:hideMark/>
          </w:tcPr>
          <w:p w14:paraId="02371C72" w14:textId="77777777" w:rsidR="00BB5628" w:rsidRPr="004E74A6" w:rsidRDefault="00BB5628" w:rsidP="00832773">
            <w:pPr>
              <w:spacing w:line="276" w:lineRule="auto"/>
              <w:jc w:val="center"/>
              <w:rPr>
                <w:rFonts w:cs="Calibri"/>
                <w:color w:val="000000"/>
                <w:sz w:val="20"/>
                <w:lang w:eastAsia="es-CR"/>
              </w:rPr>
            </w:pPr>
            <w:r w:rsidRPr="004E74A6">
              <w:rPr>
                <w:rFonts w:cs="Calibri"/>
                <w:color w:val="000000"/>
                <w:sz w:val="20"/>
                <w:lang w:eastAsia="es-CR"/>
              </w:rPr>
              <w:t>2</w:t>
            </w:r>
          </w:p>
        </w:tc>
        <w:tc>
          <w:tcPr>
            <w:tcW w:w="1200" w:type="dxa"/>
            <w:tcBorders>
              <w:top w:val="nil"/>
              <w:left w:val="nil"/>
              <w:bottom w:val="nil"/>
              <w:right w:val="single" w:sz="8" w:space="0" w:color="auto"/>
            </w:tcBorders>
            <w:shd w:val="clear" w:color="auto" w:fill="auto"/>
            <w:noWrap/>
            <w:vAlign w:val="center"/>
            <w:hideMark/>
          </w:tcPr>
          <w:p w14:paraId="174AE1A3" w14:textId="77777777" w:rsidR="00BB5628" w:rsidRPr="004E74A6" w:rsidRDefault="00BB5628" w:rsidP="00832773">
            <w:pPr>
              <w:spacing w:line="276" w:lineRule="auto"/>
              <w:jc w:val="center"/>
              <w:rPr>
                <w:rFonts w:cs="Calibri"/>
                <w:color w:val="000000"/>
                <w:sz w:val="20"/>
                <w:lang w:eastAsia="es-CR"/>
              </w:rPr>
            </w:pPr>
            <w:r w:rsidRPr="004E74A6">
              <w:rPr>
                <w:rFonts w:cs="Calibri"/>
                <w:color w:val="000000"/>
                <w:sz w:val="20"/>
                <w:lang w:eastAsia="es-CR"/>
              </w:rPr>
              <w:t>5</w:t>
            </w:r>
          </w:p>
        </w:tc>
        <w:tc>
          <w:tcPr>
            <w:tcW w:w="1200" w:type="dxa"/>
            <w:tcBorders>
              <w:top w:val="nil"/>
              <w:left w:val="nil"/>
              <w:bottom w:val="nil"/>
              <w:right w:val="single" w:sz="8" w:space="0" w:color="auto"/>
            </w:tcBorders>
            <w:shd w:val="clear" w:color="auto" w:fill="auto"/>
            <w:noWrap/>
            <w:vAlign w:val="center"/>
            <w:hideMark/>
          </w:tcPr>
          <w:p w14:paraId="2EBEE1BE" w14:textId="77777777" w:rsidR="00BB5628" w:rsidRPr="004E74A6" w:rsidRDefault="00BB5628" w:rsidP="00832773">
            <w:pPr>
              <w:spacing w:line="276" w:lineRule="auto"/>
              <w:jc w:val="center"/>
              <w:rPr>
                <w:rFonts w:cs="Calibri"/>
                <w:color w:val="000000"/>
                <w:sz w:val="20"/>
                <w:lang w:eastAsia="es-CR"/>
              </w:rPr>
            </w:pPr>
            <w:r w:rsidRPr="004E74A6">
              <w:rPr>
                <w:rFonts w:cs="Calibri"/>
                <w:color w:val="000000"/>
                <w:sz w:val="20"/>
                <w:lang w:eastAsia="es-CR"/>
              </w:rPr>
              <w:t>3</w:t>
            </w:r>
          </w:p>
        </w:tc>
        <w:tc>
          <w:tcPr>
            <w:tcW w:w="2500" w:type="dxa"/>
            <w:tcBorders>
              <w:top w:val="nil"/>
              <w:left w:val="nil"/>
              <w:bottom w:val="nil"/>
              <w:right w:val="nil"/>
            </w:tcBorders>
            <w:shd w:val="clear" w:color="auto" w:fill="auto"/>
            <w:noWrap/>
            <w:vAlign w:val="bottom"/>
            <w:hideMark/>
          </w:tcPr>
          <w:p w14:paraId="6BE6F0FD" w14:textId="77777777" w:rsidR="00BB5628" w:rsidRPr="004E74A6" w:rsidRDefault="00BB5628" w:rsidP="00832773">
            <w:pPr>
              <w:spacing w:line="276" w:lineRule="auto"/>
              <w:jc w:val="center"/>
              <w:rPr>
                <w:rFonts w:cs="Calibri"/>
                <w:color w:val="000000"/>
                <w:sz w:val="20"/>
                <w:lang w:eastAsia="es-CR"/>
              </w:rPr>
            </w:pPr>
            <w:r w:rsidRPr="004E74A6">
              <w:rPr>
                <w:rFonts w:cs="Calibri"/>
                <w:color w:val="000000"/>
                <w:sz w:val="20"/>
                <w:lang w:eastAsia="es-CR"/>
              </w:rPr>
              <w:t>75%</w:t>
            </w:r>
          </w:p>
        </w:tc>
      </w:tr>
      <w:tr w:rsidR="00BB5628" w:rsidRPr="004E74A6" w14:paraId="4AAD5A50" w14:textId="77777777" w:rsidTr="005103B2">
        <w:trPr>
          <w:trHeight w:val="300"/>
        </w:trPr>
        <w:tc>
          <w:tcPr>
            <w:tcW w:w="2800" w:type="dxa"/>
            <w:tcBorders>
              <w:top w:val="nil"/>
              <w:left w:val="nil"/>
              <w:bottom w:val="nil"/>
              <w:right w:val="single" w:sz="8" w:space="0" w:color="auto"/>
            </w:tcBorders>
            <w:shd w:val="clear" w:color="auto" w:fill="auto"/>
            <w:noWrap/>
            <w:vAlign w:val="center"/>
            <w:hideMark/>
          </w:tcPr>
          <w:p w14:paraId="5286BF97" w14:textId="77777777" w:rsidR="00BB5628" w:rsidRPr="004E74A6" w:rsidRDefault="00BB5628" w:rsidP="00832773">
            <w:pPr>
              <w:spacing w:line="276" w:lineRule="auto"/>
              <w:jc w:val="left"/>
              <w:rPr>
                <w:rFonts w:cs="Calibri"/>
                <w:color w:val="000000"/>
                <w:sz w:val="20"/>
                <w:lang w:eastAsia="es-CR"/>
              </w:rPr>
            </w:pPr>
            <w:r w:rsidRPr="004E74A6">
              <w:rPr>
                <w:rFonts w:cs="Calibri"/>
                <w:color w:val="000000"/>
                <w:sz w:val="20"/>
                <w:lang w:eastAsia="es-CR"/>
              </w:rPr>
              <w:t>De ¢85.000.001 a ¢90.000.000</w:t>
            </w:r>
          </w:p>
        </w:tc>
        <w:tc>
          <w:tcPr>
            <w:tcW w:w="1200" w:type="dxa"/>
            <w:tcBorders>
              <w:top w:val="nil"/>
              <w:left w:val="nil"/>
              <w:bottom w:val="nil"/>
              <w:right w:val="single" w:sz="8" w:space="0" w:color="auto"/>
            </w:tcBorders>
            <w:shd w:val="clear" w:color="auto" w:fill="auto"/>
            <w:noWrap/>
            <w:vAlign w:val="center"/>
            <w:hideMark/>
          </w:tcPr>
          <w:p w14:paraId="1670DF1F" w14:textId="77777777" w:rsidR="00BB5628" w:rsidRPr="004E74A6" w:rsidRDefault="00BB5628" w:rsidP="00832773">
            <w:pPr>
              <w:spacing w:line="276" w:lineRule="auto"/>
              <w:jc w:val="center"/>
              <w:rPr>
                <w:rFonts w:cs="Calibri"/>
                <w:color w:val="000000"/>
                <w:sz w:val="20"/>
                <w:lang w:eastAsia="es-CR"/>
              </w:rPr>
            </w:pPr>
            <w:r w:rsidRPr="004E74A6">
              <w:rPr>
                <w:rFonts w:cs="Calibri"/>
                <w:color w:val="000000"/>
                <w:sz w:val="20"/>
                <w:lang w:eastAsia="es-CR"/>
              </w:rPr>
              <w:t>7</w:t>
            </w:r>
          </w:p>
        </w:tc>
        <w:tc>
          <w:tcPr>
            <w:tcW w:w="1200" w:type="dxa"/>
            <w:tcBorders>
              <w:top w:val="nil"/>
              <w:left w:val="nil"/>
              <w:bottom w:val="nil"/>
              <w:right w:val="single" w:sz="8" w:space="0" w:color="auto"/>
            </w:tcBorders>
            <w:shd w:val="clear" w:color="auto" w:fill="auto"/>
            <w:noWrap/>
            <w:vAlign w:val="center"/>
            <w:hideMark/>
          </w:tcPr>
          <w:p w14:paraId="032C64E2" w14:textId="77777777" w:rsidR="00BB5628" w:rsidRPr="004E74A6" w:rsidRDefault="00BB5628" w:rsidP="00832773">
            <w:pPr>
              <w:spacing w:line="276" w:lineRule="auto"/>
              <w:jc w:val="center"/>
              <w:rPr>
                <w:rFonts w:cs="Calibri"/>
                <w:color w:val="000000"/>
                <w:sz w:val="20"/>
                <w:lang w:eastAsia="es-CR"/>
              </w:rPr>
            </w:pPr>
            <w:r w:rsidRPr="004E74A6">
              <w:rPr>
                <w:rFonts w:cs="Calibri"/>
                <w:color w:val="000000"/>
                <w:sz w:val="20"/>
                <w:lang w:eastAsia="es-CR"/>
              </w:rPr>
              <w:t>9</w:t>
            </w:r>
          </w:p>
        </w:tc>
        <w:tc>
          <w:tcPr>
            <w:tcW w:w="1200" w:type="dxa"/>
            <w:tcBorders>
              <w:top w:val="nil"/>
              <w:left w:val="nil"/>
              <w:bottom w:val="nil"/>
              <w:right w:val="single" w:sz="8" w:space="0" w:color="auto"/>
            </w:tcBorders>
            <w:shd w:val="clear" w:color="auto" w:fill="auto"/>
            <w:noWrap/>
            <w:vAlign w:val="center"/>
            <w:hideMark/>
          </w:tcPr>
          <w:p w14:paraId="5926E38E" w14:textId="77777777" w:rsidR="00BB5628" w:rsidRPr="004E74A6" w:rsidRDefault="00BB5628" w:rsidP="00832773">
            <w:pPr>
              <w:spacing w:line="276" w:lineRule="auto"/>
              <w:jc w:val="center"/>
              <w:rPr>
                <w:rFonts w:cs="Calibri"/>
                <w:color w:val="000000"/>
                <w:sz w:val="20"/>
                <w:lang w:eastAsia="es-CR"/>
              </w:rPr>
            </w:pPr>
            <w:r w:rsidRPr="004E74A6">
              <w:rPr>
                <w:rFonts w:cs="Calibri"/>
                <w:color w:val="000000"/>
                <w:sz w:val="20"/>
                <w:lang w:eastAsia="es-CR"/>
              </w:rPr>
              <w:t>4</w:t>
            </w:r>
          </w:p>
        </w:tc>
        <w:tc>
          <w:tcPr>
            <w:tcW w:w="1200" w:type="dxa"/>
            <w:tcBorders>
              <w:top w:val="nil"/>
              <w:left w:val="nil"/>
              <w:bottom w:val="nil"/>
              <w:right w:val="single" w:sz="8" w:space="0" w:color="auto"/>
            </w:tcBorders>
            <w:shd w:val="clear" w:color="auto" w:fill="auto"/>
            <w:noWrap/>
            <w:vAlign w:val="center"/>
            <w:hideMark/>
          </w:tcPr>
          <w:p w14:paraId="43F493EF" w14:textId="77777777" w:rsidR="00BB5628" w:rsidRPr="004E74A6" w:rsidRDefault="00BB5628" w:rsidP="00832773">
            <w:pPr>
              <w:spacing w:line="276" w:lineRule="auto"/>
              <w:jc w:val="center"/>
              <w:rPr>
                <w:rFonts w:cs="Calibri"/>
                <w:color w:val="000000"/>
                <w:sz w:val="20"/>
                <w:lang w:eastAsia="es-CR"/>
              </w:rPr>
            </w:pPr>
            <w:r w:rsidRPr="004E74A6">
              <w:rPr>
                <w:rFonts w:cs="Calibri"/>
                <w:color w:val="000000"/>
                <w:sz w:val="20"/>
                <w:lang w:eastAsia="es-CR"/>
              </w:rPr>
              <w:t>7</w:t>
            </w:r>
          </w:p>
        </w:tc>
        <w:tc>
          <w:tcPr>
            <w:tcW w:w="2500" w:type="dxa"/>
            <w:tcBorders>
              <w:top w:val="nil"/>
              <w:left w:val="nil"/>
              <w:bottom w:val="nil"/>
              <w:right w:val="nil"/>
            </w:tcBorders>
            <w:shd w:val="clear" w:color="auto" w:fill="auto"/>
            <w:noWrap/>
            <w:vAlign w:val="bottom"/>
            <w:hideMark/>
          </w:tcPr>
          <w:p w14:paraId="18DBFE09" w14:textId="77777777" w:rsidR="00BB5628" w:rsidRPr="004E74A6" w:rsidRDefault="00BB5628" w:rsidP="00832773">
            <w:pPr>
              <w:spacing w:line="276" w:lineRule="auto"/>
              <w:jc w:val="center"/>
              <w:rPr>
                <w:rFonts w:cs="Calibri"/>
                <w:color w:val="000000"/>
                <w:sz w:val="20"/>
                <w:lang w:eastAsia="es-CR"/>
              </w:rPr>
            </w:pPr>
            <w:r w:rsidRPr="004E74A6">
              <w:rPr>
                <w:rFonts w:cs="Calibri"/>
                <w:color w:val="000000"/>
                <w:sz w:val="20"/>
                <w:lang w:eastAsia="es-CR"/>
              </w:rPr>
              <w:t>77%</w:t>
            </w:r>
          </w:p>
        </w:tc>
      </w:tr>
      <w:tr w:rsidR="00BB5628" w:rsidRPr="004E74A6" w14:paraId="17A1D00C" w14:textId="77777777" w:rsidTr="005103B2">
        <w:trPr>
          <w:trHeight w:val="300"/>
        </w:trPr>
        <w:tc>
          <w:tcPr>
            <w:tcW w:w="2800" w:type="dxa"/>
            <w:tcBorders>
              <w:top w:val="nil"/>
              <w:left w:val="nil"/>
              <w:bottom w:val="nil"/>
              <w:right w:val="single" w:sz="8" w:space="0" w:color="auto"/>
            </w:tcBorders>
            <w:shd w:val="clear" w:color="auto" w:fill="auto"/>
            <w:noWrap/>
            <w:vAlign w:val="center"/>
            <w:hideMark/>
          </w:tcPr>
          <w:p w14:paraId="776E8DFE" w14:textId="77777777" w:rsidR="00BB5628" w:rsidRPr="004E74A6" w:rsidRDefault="00BB5628" w:rsidP="00832773">
            <w:pPr>
              <w:spacing w:line="276" w:lineRule="auto"/>
              <w:jc w:val="left"/>
              <w:rPr>
                <w:rFonts w:cs="Calibri"/>
                <w:color w:val="000000"/>
                <w:sz w:val="20"/>
                <w:lang w:eastAsia="es-CR"/>
              </w:rPr>
            </w:pPr>
            <w:r w:rsidRPr="004E74A6">
              <w:rPr>
                <w:rFonts w:cs="Calibri"/>
                <w:color w:val="000000"/>
                <w:sz w:val="20"/>
                <w:lang w:eastAsia="es-CR"/>
              </w:rPr>
              <w:t>De ¢90.000.001 a ¢95.000.000</w:t>
            </w:r>
          </w:p>
        </w:tc>
        <w:tc>
          <w:tcPr>
            <w:tcW w:w="1200" w:type="dxa"/>
            <w:tcBorders>
              <w:top w:val="nil"/>
              <w:left w:val="nil"/>
              <w:bottom w:val="nil"/>
              <w:right w:val="single" w:sz="8" w:space="0" w:color="auto"/>
            </w:tcBorders>
            <w:shd w:val="clear" w:color="auto" w:fill="auto"/>
            <w:noWrap/>
            <w:vAlign w:val="center"/>
            <w:hideMark/>
          </w:tcPr>
          <w:p w14:paraId="674A4ECB" w14:textId="77777777" w:rsidR="00BB5628" w:rsidRPr="004E74A6" w:rsidRDefault="00BB5628" w:rsidP="00832773">
            <w:pPr>
              <w:spacing w:line="276" w:lineRule="auto"/>
              <w:jc w:val="center"/>
              <w:rPr>
                <w:rFonts w:cs="Calibri"/>
                <w:color w:val="000000"/>
                <w:sz w:val="20"/>
                <w:lang w:eastAsia="es-CR"/>
              </w:rPr>
            </w:pPr>
            <w:r w:rsidRPr="004E74A6">
              <w:rPr>
                <w:rFonts w:cs="Calibri"/>
                <w:color w:val="000000"/>
                <w:sz w:val="20"/>
                <w:lang w:eastAsia="es-CR"/>
              </w:rPr>
              <w:t>2</w:t>
            </w:r>
          </w:p>
        </w:tc>
        <w:tc>
          <w:tcPr>
            <w:tcW w:w="1200" w:type="dxa"/>
            <w:tcBorders>
              <w:top w:val="nil"/>
              <w:left w:val="nil"/>
              <w:bottom w:val="nil"/>
              <w:right w:val="single" w:sz="8" w:space="0" w:color="auto"/>
            </w:tcBorders>
            <w:shd w:val="clear" w:color="auto" w:fill="auto"/>
            <w:noWrap/>
            <w:vAlign w:val="center"/>
            <w:hideMark/>
          </w:tcPr>
          <w:p w14:paraId="28BDB5F6" w14:textId="77777777" w:rsidR="00BB5628" w:rsidRPr="004E74A6" w:rsidRDefault="00BB5628" w:rsidP="00832773">
            <w:pPr>
              <w:spacing w:line="276" w:lineRule="auto"/>
              <w:jc w:val="center"/>
              <w:rPr>
                <w:rFonts w:cs="Calibri"/>
                <w:color w:val="000000"/>
                <w:sz w:val="20"/>
                <w:lang w:eastAsia="es-CR"/>
              </w:rPr>
            </w:pPr>
            <w:r w:rsidRPr="004E74A6">
              <w:rPr>
                <w:rFonts w:cs="Calibri"/>
                <w:color w:val="000000"/>
                <w:sz w:val="20"/>
                <w:lang w:eastAsia="es-CR"/>
              </w:rPr>
              <w:t>1</w:t>
            </w:r>
          </w:p>
        </w:tc>
        <w:tc>
          <w:tcPr>
            <w:tcW w:w="1200" w:type="dxa"/>
            <w:tcBorders>
              <w:top w:val="nil"/>
              <w:left w:val="nil"/>
              <w:bottom w:val="nil"/>
              <w:right w:val="single" w:sz="8" w:space="0" w:color="auto"/>
            </w:tcBorders>
            <w:shd w:val="clear" w:color="auto" w:fill="auto"/>
            <w:noWrap/>
            <w:vAlign w:val="center"/>
            <w:hideMark/>
          </w:tcPr>
          <w:p w14:paraId="10FA6DA5" w14:textId="77777777" w:rsidR="00BB5628" w:rsidRPr="004E74A6" w:rsidRDefault="00BB5628" w:rsidP="00832773">
            <w:pPr>
              <w:spacing w:line="276" w:lineRule="auto"/>
              <w:jc w:val="center"/>
              <w:rPr>
                <w:rFonts w:cs="Calibri"/>
                <w:color w:val="000000"/>
                <w:sz w:val="20"/>
                <w:lang w:eastAsia="es-CR"/>
              </w:rPr>
            </w:pPr>
            <w:r w:rsidRPr="004E74A6">
              <w:rPr>
                <w:rFonts w:cs="Calibri"/>
                <w:color w:val="000000"/>
                <w:sz w:val="20"/>
                <w:lang w:eastAsia="es-CR"/>
              </w:rPr>
              <w:t>2</w:t>
            </w:r>
          </w:p>
        </w:tc>
        <w:tc>
          <w:tcPr>
            <w:tcW w:w="1200" w:type="dxa"/>
            <w:tcBorders>
              <w:top w:val="nil"/>
              <w:left w:val="nil"/>
              <w:bottom w:val="nil"/>
              <w:right w:val="single" w:sz="8" w:space="0" w:color="auto"/>
            </w:tcBorders>
            <w:shd w:val="clear" w:color="auto" w:fill="auto"/>
            <w:noWrap/>
            <w:vAlign w:val="center"/>
            <w:hideMark/>
          </w:tcPr>
          <w:p w14:paraId="724D0D28" w14:textId="77777777" w:rsidR="00BB5628" w:rsidRPr="004E74A6" w:rsidRDefault="00BB5628" w:rsidP="00832773">
            <w:pPr>
              <w:spacing w:line="276" w:lineRule="auto"/>
              <w:jc w:val="center"/>
              <w:rPr>
                <w:rFonts w:cs="Calibri"/>
                <w:color w:val="000000"/>
                <w:sz w:val="20"/>
                <w:lang w:eastAsia="es-CR"/>
              </w:rPr>
            </w:pPr>
            <w:r w:rsidRPr="004E74A6">
              <w:rPr>
                <w:rFonts w:cs="Calibri"/>
                <w:color w:val="000000"/>
                <w:sz w:val="20"/>
                <w:lang w:eastAsia="es-CR"/>
              </w:rPr>
              <w:t>2</w:t>
            </w:r>
          </w:p>
        </w:tc>
        <w:tc>
          <w:tcPr>
            <w:tcW w:w="2500" w:type="dxa"/>
            <w:tcBorders>
              <w:top w:val="nil"/>
              <w:left w:val="nil"/>
              <w:bottom w:val="nil"/>
              <w:right w:val="nil"/>
            </w:tcBorders>
            <w:shd w:val="clear" w:color="auto" w:fill="auto"/>
            <w:noWrap/>
            <w:vAlign w:val="bottom"/>
            <w:hideMark/>
          </w:tcPr>
          <w:p w14:paraId="10FEBCE8" w14:textId="77777777" w:rsidR="00BB5628" w:rsidRPr="004E74A6" w:rsidRDefault="00BB5628" w:rsidP="00832773">
            <w:pPr>
              <w:spacing w:line="276" w:lineRule="auto"/>
              <w:jc w:val="center"/>
              <w:rPr>
                <w:rFonts w:cs="Calibri"/>
                <w:color w:val="000000"/>
                <w:sz w:val="20"/>
                <w:lang w:eastAsia="es-CR"/>
              </w:rPr>
            </w:pPr>
            <w:r w:rsidRPr="004E74A6">
              <w:rPr>
                <w:rFonts w:cs="Calibri"/>
                <w:color w:val="000000"/>
                <w:sz w:val="20"/>
                <w:lang w:eastAsia="es-CR"/>
              </w:rPr>
              <w:t>77%</w:t>
            </w:r>
          </w:p>
        </w:tc>
      </w:tr>
      <w:tr w:rsidR="00BB5628" w:rsidRPr="004E74A6" w14:paraId="3EA8E1B6" w14:textId="77777777" w:rsidTr="005103B2">
        <w:trPr>
          <w:trHeight w:val="300"/>
        </w:trPr>
        <w:tc>
          <w:tcPr>
            <w:tcW w:w="2800" w:type="dxa"/>
            <w:tcBorders>
              <w:top w:val="nil"/>
              <w:left w:val="nil"/>
              <w:bottom w:val="nil"/>
              <w:right w:val="single" w:sz="8" w:space="0" w:color="auto"/>
            </w:tcBorders>
            <w:shd w:val="clear" w:color="auto" w:fill="auto"/>
            <w:noWrap/>
            <w:vAlign w:val="center"/>
            <w:hideMark/>
          </w:tcPr>
          <w:p w14:paraId="35B725F1" w14:textId="77777777" w:rsidR="00BB5628" w:rsidRPr="004E74A6" w:rsidRDefault="00BB5628" w:rsidP="00832773">
            <w:pPr>
              <w:spacing w:line="276" w:lineRule="auto"/>
              <w:jc w:val="left"/>
              <w:rPr>
                <w:rFonts w:cs="Calibri"/>
                <w:color w:val="000000"/>
                <w:sz w:val="20"/>
                <w:lang w:eastAsia="es-CR"/>
              </w:rPr>
            </w:pPr>
            <w:r w:rsidRPr="004E74A6">
              <w:rPr>
                <w:rFonts w:cs="Calibri"/>
                <w:color w:val="000000"/>
                <w:sz w:val="20"/>
                <w:lang w:eastAsia="es-CR"/>
              </w:rPr>
              <w:lastRenderedPageBreak/>
              <w:t>De ¢95.000.001 a ¢100.000.000</w:t>
            </w:r>
          </w:p>
        </w:tc>
        <w:tc>
          <w:tcPr>
            <w:tcW w:w="1200" w:type="dxa"/>
            <w:tcBorders>
              <w:top w:val="nil"/>
              <w:left w:val="nil"/>
              <w:bottom w:val="nil"/>
              <w:right w:val="single" w:sz="8" w:space="0" w:color="auto"/>
            </w:tcBorders>
            <w:shd w:val="clear" w:color="auto" w:fill="auto"/>
            <w:noWrap/>
            <w:vAlign w:val="center"/>
            <w:hideMark/>
          </w:tcPr>
          <w:p w14:paraId="4E375043" w14:textId="77777777" w:rsidR="00BB5628" w:rsidRPr="004E74A6" w:rsidRDefault="00BB5628" w:rsidP="00832773">
            <w:pPr>
              <w:spacing w:line="276" w:lineRule="auto"/>
              <w:jc w:val="center"/>
              <w:rPr>
                <w:rFonts w:cs="Calibri"/>
                <w:color w:val="000000"/>
                <w:sz w:val="20"/>
                <w:lang w:eastAsia="es-CR"/>
              </w:rPr>
            </w:pPr>
            <w:r w:rsidRPr="004E74A6">
              <w:rPr>
                <w:rFonts w:cs="Calibri"/>
                <w:color w:val="000000"/>
                <w:sz w:val="20"/>
                <w:lang w:eastAsia="es-CR"/>
              </w:rPr>
              <w:t>14</w:t>
            </w:r>
          </w:p>
        </w:tc>
        <w:tc>
          <w:tcPr>
            <w:tcW w:w="1200" w:type="dxa"/>
            <w:tcBorders>
              <w:top w:val="nil"/>
              <w:left w:val="nil"/>
              <w:bottom w:val="nil"/>
              <w:right w:val="single" w:sz="8" w:space="0" w:color="auto"/>
            </w:tcBorders>
            <w:shd w:val="clear" w:color="auto" w:fill="auto"/>
            <w:noWrap/>
            <w:vAlign w:val="center"/>
            <w:hideMark/>
          </w:tcPr>
          <w:p w14:paraId="3B0EFFA5" w14:textId="77777777" w:rsidR="00BB5628" w:rsidRPr="004E74A6" w:rsidRDefault="00BB5628" w:rsidP="00832773">
            <w:pPr>
              <w:spacing w:line="276" w:lineRule="auto"/>
              <w:jc w:val="center"/>
              <w:rPr>
                <w:rFonts w:cs="Calibri"/>
                <w:color w:val="000000"/>
                <w:sz w:val="20"/>
                <w:lang w:eastAsia="es-CR"/>
              </w:rPr>
            </w:pPr>
            <w:r w:rsidRPr="004E74A6">
              <w:rPr>
                <w:rFonts w:cs="Calibri"/>
                <w:color w:val="000000"/>
                <w:sz w:val="20"/>
                <w:lang w:eastAsia="es-CR"/>
              </w:rPr>
              <w:t>11</w:t>
            </w:r>
          </w:p>
        </w:tc>
        <w:tc>
          <w:tcPr>
            <w:tcW w:w="1200" w:type="dxa"/>
            <w:tcBorders>
              <w:top w:val="nil"/>
              <w:left w:val="nil"/>
              <w:bottom w:val="nil"/>
              <w:right w:val="single" w:sz="8" w:space="0" w:color="auto"/>
            </w:tcBorders>
            <w:shd w:val="clear" w:color="auto" w:fill="auto"/>
            <w:noWrap/>
            <w:vAlign w:val="center"/>
            <w:hideMark/>
          </w:tcPr>
          <w:p w14:paraId="49722698" w14:textId="77777777" w:rsidR="00BB5628" w:rsidRPr="004E74A6" w:rsidRDefault="00BB5628" w:rsidP="00832773">
            <w:pPr>
              <w:spacing w:line="276" w:lineRule="auto"/>
              <w:jc w:val="center"/>
              <w:rPr>
                <w:rFonts w:cs="Calibri"/>
                <w:color w:val="000000"/>
                <w:sz w:val="20"/>
                <w:lang w:eastAsia="es-CR"/>
              </w:rPr>
            </w:pPr>
            <w:r w:rsidRPr="004E74A6">
              <w:rPr>
                <w:rFonts w:cs="Calibri"/>
                <w:color w:val="000000"/>
                <w:sz w:val="20"/>
                <w:lang w:eastAsia="es-CR"/>
              </w:rPr>
              <w:t>10</w:t>
            </w:r>
          </w:p>
        </w:tc>
        <w:tc>
          <w:tcPr>
            <w:tcW w:w="1200" w:type="dxa"/>
            <w:tcBorders>
              <w:top w:val="nil"/>
              <w:left w:val="nil"/>
              <w:bottom w:val="nil"/>
              <w:right w:val="single" w:sz="8" w:space="0" w:color="auto"/>
            </w:tcBorders>
            <w:shd w:val="clear" w:color="auto" w:fill="auto"/>
            <w:noWrap/>
            <w:vAlign w:val="center"/>
            <w:hideMark/>
          </w:tcPr>
          <w:p w14:paraId="3B3F8443" w14:textId="77777777" w:rsidR="00BB5628" w:rsidRPr="004E74A6" w:rsidRDefault="00BB5628" w:rsidP="00832773">
            <w:pPr>
              <w:spacing w:line="276" w:lineRule="auto"/>
              <w:jc w:val="center"/>
              <w:rPr>
                <w:rFonts w:cs="Calibri"/>
                <w:color w:val="000000"/>
                <w:sz w:val="20"/>
                <w:lang w:eastAsia="es-CR"/>
              </w:rPr>
            </w:pPr>
            <w:r w:rsidRPr="004E74A6">
              <w:rPr>
                <w:rFonts w:cs="Calibri"/>
                <w:color w:val="000000"/>
                <w:sz w:val="20"/>
                <w:lang w:eastAsia="es-CR"/>
              </w:rPr>
              <w:t>12</w:t>
            </w:r>
          </w:p>
        </w:tc>
        <w:tc>
          <w:tcPr>
            <w:tcW w:w="2500" w:type="dxa"/>
            <w:tcBorders>
              <w:top w:val="nil"/>
              <w:left w:val="nil"/>
              <w:bottom w:val="nil"/>
              <w:right w:val="nil"/>
            </w:tcBorders>
            <w:shd w:val="clear" w:color="auto" w:fill="auto"/>
            <w:noWrap/>
            <w:vAlign w:val="bottom"/>
            <w:hideMark/>
          </w:tcPr>
          <w:p w14:paraId="0EC1DF86" w14:textId="77777777" w:rsidR="00BB5628" w:rsidRPr="004E74A6" w:rsidRDefault="00BB5628" w:rsidP="00832773">
            <w:pPr>
              <w:spacing w:line="276" w:lineRule="auto"/>
              <w:jc w:val="center"/>
              <w:rPr>
                <w:rFonts w:cs="Calibri"/>
                <w:color w:val="000000"/>
                <w:sz w:val="20"/>
                <w:lang w:eastAsia="es-CR"/>
              </w:rPr>
            </w:pPr>
            <w:r w:rsidRPr="004E74A6">
              <w:rPr>
                <w:rFonts w:cs="Calibri"/>
                <w:color w:val="000000"/>
                <w:sz w:val="20"/>
                <w:lang w:eastAsia="es-CR"/>
              </w:rPr>
              <w:t>81%</w:t>
            </w:r>
          </w:p>
        </w:tc>
      </w:tr>
      <w:tr w:rsidR="00BB5628" w:rsidRPr="004E74A6" w14:paraId="5F2A3047" w14:textId="77777777" w:rsidTr="005103B2">
        <w:trPr>
          <w:trHeight w:val="300"/>
        </w:trPr>
        <w:tc>
          <w:tcPr>
            <w:tcW w:w="2800" w:type="dxa"/>
            <w:tcBorders>
              <w:top w:val="nil"/>
              <w:left w:val="nil"/>
              <w:bottom w:val="nil"/>
              <w:right w:val="single" w:sz="8" w:space="0" w:color="auto"/>
            </w:tcBorders>
            <w:shd w:val="clear" w:color="auto" w:fill="auto"/>
            <w:noWrap/>
            <w:vAlign w:val="center"/>
            <w:hideMark/>
          </w:tcPr>
          <w:p w14:paraId="6FE7C846" w14:textId="77777777" w:rsidR="00BB5628" w:rsidRPr="004E74A6" w:rsidRDefault="00BB5628" w:rsidP="00832773">
            <w:pPr>
              <w:spacing w:line="276" w:lineRule="auto"/>
              <w:jc w:val="left"/>
              <w:rPr>
                <w:rFonts w:cs="Calibri"/>
                <w:color w:val="000000"/>
                <w:sz w:val="20"/>
                <w:lang w:eastAsia="es-CR"/>
              </w:rPr>
            </w:pPr>
            <w:r w:rsidRPr="004E74A6">
              <w:rPr>
                <w:rFonts w:cs="Calibri"/>
                <w:color w:val="000000"/>
                <w:sz w:val="20"/>
                <w:lang w:eastAsia="es-CR"/>
              </w:rPr>
              <w:t>Más de ¢100.000.000</w:t>
            </w:r>
          </w:p>
        </w:tc>
        <w:tc>
          <w:tcPr>
            <w:tcW w:w="1200" w:type="dxa"/>
            <w:tcBorders>
              <w:top w:val="nil"/>
              <w:left w:val="nil"/>
              <w:bottom w:val="nil"/>
              <w:right w:val="single" w:sz="8" w:space="0" w:color="auto"/>
            </w:tcBorders>
            <w:shd w:val="clear" w:color="auto" w:fill="auto"/>
            <w:noWrap/>
            <w:vAlign w:val="center"/>
            <w:hideMark/>
          </w:tcPr>
          <w:p w14:paraId="29FB185F" w14:textId="77777777" w:rsidR="00BB5628" w:rsidRPr="004E74A6" w:rsidRDefault="00BB5628" w:rsidP="00832773">
            <w:pPr>
              <w:spacing w:line="276" w:lineRule="auto"/>
              <w:jc w:val="center"/>
              <w:rPr>
                <w:rFonts w:cs="Calibri"/>
                <w:color w:val="000000"/>
                <w:sz w:val="20"/>
                <w:lang w:eastAsia="es-CR"/>
              </w:rPr>
            </w:pPr>
            <w:r w:rsidRPr="004E74A6">
              <w:rPr>
                <w:rFonts w:cs="Calibri"/>
                <w:color w:val="000000"/>
                <w:sz w:val="20"/>
                <w:lang w:eastAsia="es-CR"/>
              </w:rPr>
              <w:t>46</w:t>
            </w:r>
          </w:p>
        </w:tc>
        <w:tc>
          <w:tcPr>
            <w:tcW w:w="1200" w:type="dxa"/>
            <w:tcBorders>
              <w:top w:val="nil"/>
              <w:left w:val="nil"/>
              <w:bottom w:val="nil"/>
              <w:right w:val="single" w:sz="8" w:space="0" w:color="auto"/>
            </w:tcBorders>
            <w:shd w:val="clear" w:color="auto" w:fill="auto"/>
            <w:noWrap/>
            <w:vAlign w:val="center"/>
            <w:hideMark/>
          </w:tcPr>
          <w:p w14:paraId="20E2C091" w14:textId="77777777" w:rsidR="00BB5628" w:rsidRPr="004E74A6" w:rsidRDefault="00BB5628" w:rsidP="00832773">
            <w:pPr>
              <w:spacing w:line="276" w:lineRule="auto"/>
              <w:jc w:val="center"/>
              <w:rPr>
                <w:rFonts w:cs="Calibri"/>
                <w:color w:val="000000"/>
                <w:sz w:val="20"/>
                <w:lang w:eastAsia="es-CR"/>
              </w:rPr>
            </w:pPr>
            <w:r w:rsidRPr="004E74A6">
              <w:rPr>
                <w:rFonts w:cs="Calibri"/>
                <w:color w:val="000000"/>
                <w:sz w:val="20"/>
                <w:lang w:eastAsia="es-CR"/>
              </w:rPr>
              <w:t>83</w:t>
            </w:r>
          </w:p>
        </w:tc>
        <w:tc>
          <w:tcPr>
            <w:tcW w:w="1200" w:type="dxa"/>
            <w:tcBorders>
              <w:top w:val="nil"/>
              <w:left w:val="nil"/>
              <w:bottom w:val="nil"/>
              <w:right w:val="single" w:sz="8" w:space="0" w:color="auto"/>
            </w:tcBorders>
            <w:shd w:val="clear" w:color="auto" w:fill="auto"/>
            <w:noWrap/>
            <w:vAlign w:val="center"/>
            <w:hideMark/>
          </w:tcPr>
          <w:p w14:paraId="36023C2A" w14:textId="77777777" w:rsidR="00BB5628" w:rsidRPr="004E74A6" w:rsidRDefault="00BB5628" w:rsidP="00832773">
            <w:pPr>
              <w:spacing w:line="276" w:lineRule="auto"/>
              <w:jc w:val="center"/>
              <w:rPr>
                <w:rFonts w:cs="Calibri"/>
                <w:color w:val="000000"/>
                <w:sz w:val="20"/>
                <w:lang w:eastAsia="es-CR"/>
              </w:rPr>
            </w:pPr>
            <w:r w:rsidRPr="004E74A6">
              <w:rPr>
                <w:rFonts w:cs="Calibri"/>
                <w:color w:val="000000"/>
                <w:sz w:val="20"/>
                <w:lang w:eastAsia="es-CR"/>
              </w:rPr>
              <w:t>54</w:t>
            </w:r>
          </w:p>
        </w:tc>
        <w:tc>
          <w:tcPr>
            <w:tcW w:w="1200" w:type="dxa"/>
            <w:tcBorders>
              <w:top w:val="nil"/>
              <w:left w:val="nil"/>
              <w:bottom w:val="nil"/>
              <w:right w:val="single" w:sz="8" w:space="0" w:color="auto"/>
            </w:tcBorders>
            <w:shd w:val="clear" w:color="auto" w:fill="auto"/>
            <w:noWrap/>
            <w:vAlign w:val="center"/>
            <w:hideMark/>
          </w:tcPr>
          <w:p w14:paraId="0ECAE7A9" w14:textId="77777777" w:rsidR="00BB5628" w:rsidRPr="004E74A6" w:rsidRDefault="00BB5628" w:rsidP="00832773">
            <w:pPr>
              <w:spacing w:line="276" w:lineRule="auto"/>
              <w:jc w:val="center"/>
              <w:rPr>
                <w:rFonts w:cs="Calibri"/>
                <w:color w:val="000000"/>
                <w:sz w:val="20"/>
                <w:lang w:eastAsia="es-CR"/>
              </w:rPr>
            </w:pPr>
            <w:r w:rsidRPr="004E74A6">
              <w:rPr>
                <w:rFonts w:cs="Calibri"/>
                <w:color w:val="000000"/>
                <w:sz w:val="20"/>
                <w:lang w:eastAsia="es-CR"/>
              </w:rPr>
              <w:t>61</w:t>
            </w:r>
          </w:p>
        </w:tc>
        <w:tc>
          <w:tcPr>
            <w:tcW w:w="2500" w:type="dxa"/>
            <w:tcBorders>
              <w:top w:val="nil"/>
              <w:left w:val="nil"/>
              <w:bottom w:val="nil"/>
              <w:right w:val="nil"/>
            </w:tcBorders>
            <w:shd w:val="clear" w:color="auto" w:fill="auto"/>
            <w:noWrap/>
            <w:vAlign w:val="bottom"/>
            <w:hideMark/>
          </w:tcPr>
          <w:p w14:paraId="1925EE0D" w14:textId="77777777" w:rsidR="00BB5628" w:rsidRPr="004E74A6" w:rsidRDefault="00BB5628" w:rsidP="00832773">
            <w:pPr>
              <w:spacing w:line="276" w:lineRule="auto"/>
              <w:jc w:val="center"/>
              <w:rPr>
                <w:rFonts w:cs="Calibri"/>
                <w:color w:val="000000"/>
                <w:sz w:val="20"/>
                <w:lang w:eastAsia="es-CR"/>
              </w:rPr>
            </w:pPr>
            <w:r w:rsidRPr="004E74A6">
              <w:rPr>
                <w:rFonts w:cs="Calibri"/>
                <w:color w:val="000000"/>
                <w:sz w:val="20"/>
                <w:lang w:eastAsia="es-CR"/>
              </w:rPr>
              <w:t>98%</w:t>
            </w:r>
          </w:p>
        </w:tc>
      </w:tr>
      <w:tr w:rsidR="00BB5628" w:rsidRPr="004E74A6" w14:paraId="06A2195B" w14:textId="77777777" w:rsidTr="005103B2">
        <w:trPr>
          <w:trHeight w:val="315"/>
        </w:trPr>
        <w:tc>
          <w:tcPr>
            <w:tcW w:w="2800" w:type="dxa"/>
            <w:tcBorders>
              <w:top w:val="nil"/>
              <w:left w:val="nil"/>
              <w:bottom w:val="single" w:sz="8" w:space="0" w:color="auto"/>
              <w:right w:val="single" w:sz="8" w:space="0" w:color="auto"/>
            </w:tcBorders>
            <w:shd w:val="clear" w:color="auto" w:fill="auto"/>
            <w:noWrap/>
            <w:vAlign w:val="center"/>
            <w:hideMark/>
          </w:tcPr>
          <w:p w14:paraId="708AFF8A" w14:textId="77777777" w:rsidR="00BB5628" w:rsidRPr="004E74A6" w:rsidRDefault="00BB5628" w:rsidP="00832773">
            <w:pPr>
              <w:spacing w:line="276" w:lineRule="auto"/>
              <w:jc w:val="left"/>
              <w:rPr>
                <w:rFonts w:cs="Calibri"/>
                <w:color w:val="ED7D31" w:themeColor="accent2"/>
                <w:sz w:val="20"/>
                <w:lang w:eastAsia="es-CR"/>
              </w:rPr>
            </w:pPr>
            <w:r w:rsidRPr="004E74A6">
              <w:rPr>
                <w:rFonts w:cs="Calibri"/>
                <w:color w:val="ED7D31" w:themeColor="accent2"/>
                <w:sz w:val="20"/>
                <w:lang w:eastAsia="es-CR"/>
              </w:rPr>
              <w:t>Expedientes Cuantía Cero</w:t>
            </w:r>
          </w:p>
        </w:tc>
        <w:tc>
          <w:tcPr>
            <w:tcW w:w="1200" w:type="dxa"/>
            <w:tcBorders>
              <w:top w:val="nil"/>
              <w:left w:val="nil"/>
              <w:bottom w:val="single" w:sz="8" w:space="0" w:color="auto"/>
              <w:right w:val="single" w:sz="8" w:space="0" w:color="auto"/>
            </w:tcBorders>
            <w:shd w:val="clear" w:color="auto" w:fill="auto"/>
            <w:noWrap/>
            <w:vAlign w:val="center"/>
            <w:hideMark/>
          </w:tcPr>
          <w:p w14:paraId="1F7A329E" w14:textId="77777777" w:rsidR="00BB5628" w:rsidRPr="004E74A6" w:rsidRDefault="00BB5628" w:rsidP="00832773">
            <w:pPr>
              <w:spacing w:line="276" w:lineRule="auto"/>
              <w:jc w:val="center"/>
              <w:rPr>
                <w:rFonts w:cs="Calibri"/>
                <w:color w:val="ED7D31" w:themeColor="accent2"/>
                <w:sz w:val="20"/>
                <w:lang w:eastAsia="es-CR"/>
              </w:rPr>
            </w:pPr>
            <w:r w:rsidRPr="004E74A6">
              <w:rPr>
                <w:rFonts w:cs="Calibri"/>
                <w:color w:val="ED7D31" w:themeColor="accent2"/>
                <w:sz w:val="20"/>
                <w:lang w:eastAsia="es-CR"/>
              </w:rPr>
              <w:t>25</w:t>
            </w:r>
          </w:p>
        </w:tc>
        <w:tc>
          <w:tcPr>
            <w:tcW w:w="1200" w:type="dxa"/>
            <w:tcBorders>
              <w:top w:val="nil"/>
              <w:left w:val="nil"/>
              <w:bottom w:val="single" w:sz="8" w:space="0" w:color="auto"/>
              <w:right w:val="single" w:sz="8" w:space="0" w:color="auto"/>
            </w:tcBorders>
            <w:shd w:val="clear" w:color="auto" w:fill="auto"/>
            <w:noWrap/>
            <w:vAlign w:val="center"/>
            <w:hideMark/>
          </w:tcPr>
          <w:p w14:paraId="2DF49704" w14:textId="77777777" w:rsidR="00BB5628" w:rsidRPr="004E74A6" w:rsidRDefault="00BB5628" w:rsidP="00832773">
            <w:pPr>
              <w:spacing w:line="276" w:lineRule="auto"/>
              <w:jc w:val="center"/>
              <w:rPr>
                <w:rFonts w:cs="Calibri"/>
                <w:color w:val="ED7D31" w:themeColor="accent2"/>
                <w:sz w:val="20"/>
                <w:lang w:eastAsia="es-CR"/>
              </w:rPr>
            </w:pPr>
            <w:r w:rsidRPr="004E74A6">
              <w:rPr>
                <w:rFonts w:cs="Calibri"/>
                <w:color w:val="ED7D31" w:themeColor="accent2"/>
                <w:sz w:val="20"/>
                <w:lang w:eastAsia="es-CR"/>
              </w:rPr>
              <w:t>1</w:t>
            </w:r>
          </w:p>
        </w:tc>
        <w:tc>
          <w:tcPr>
            <w:tcW w:w="1200" w:type="dxa"/>
            <w:tcBorders>
              <w:top w:val="nil"/>
              <w:left w:val="nil"/>
              <w:bottom w:val="single" w:sz="8" w:space="0" w:color="auto"/>
              <w:right w:val="single" w:sz="8" w:space="0" w:color="auto"/>
            </w:tcBorders>
            <w:shd w:val="clear" w:color="auto" w:fill="auto"/>
            <w:noWrap/>
            <w:vAlign w:val="center"/>
            <w:hideMark/>
          </w:tcPr>
          <w:p w14:paraId="1B523019" w14:textId="77777777" w:rsidR="00BB5628" w:rsidRPr="004E74A6" w:rsidRDefault="00BB5628" w:rsidP="00832773">
            <w:pPr>
              <w:spacing w:line="276" w:lineRule="auto"/>
              <w:jc w:val="center"/>
              <w:rPr>
                <w:rFonts w:cs="Calibri"/>
                <w:color w:val="ED7D31" w:themeColor="accent2"/>
                <w:sz w:val="20"/>
                <w:lang w:eastAsia="es-CR"/>
              </w:rPr>
            </w:pPr>
            <w:r w:rsidRPr="004E74A6">
              <w:rPr>
                <w:rFonts w:cs="Calibri"/>
                <w:color w:val="ED7D31" w:themeColor="accent2"/>
                <w:sz w:val="20"/>
                <w:lang w:eastAsia="es-CR"/>
              </w:rPr>
              <w:t>0</w:t>
            </w:r>
          </w:p>
        </w:tc>
        <w:tc>
          <w:tcPr>
            <w:tcW w:w="1200" w:type="dxa"/>
            <w:tcBorders>
              <w:top w:val="nil"/>
              <w:left w:val="nil"/>
              <w:bottom w:val="single" w:sz="8" w:space="0" w:color="auto"/>
              <w:right w:val="single" w:sz="8" w:space="0" w:color="auto"/>
            </w:tcBorders>
            <w:shd w:val="clear" w:color="auto" w:fill="auto"/>
            <w:noWrap/>
            <w:vAlign w:val="center"/>
            <w:hideMark/>
          </w:tcPr>
          <w:p w14:paraId="3B0BF909" w14:textId="77777777" w:rsidR="00BB5628" w:rsidRPr="004E74A6" w:rsidRDefault="00BB5628" w:rsidP="00832773">
            <w:pPr>
              <w:spacing w:line="276" w:lineRule="auto"/>
              <w:jc w:val="center"/>
              <w:rPr>
                <w:rFonts w:cs="Calibri"/>
                <w:color w:val="ED7D31" w:themeColor="accent2"/>
                <w:sz w:val="20"/>
                <w:lang w:eastAsia="es-CR"/>
              </w:rPr>
            </w:pPr>
            <w:r w:rsidRPr="004E74A6">
              <w:rPr>
                <w:rFonts w:cs="Calibri"/>
                <w:color w:val="ED7D31" w:themeColor="accent2"/>
                <w:sz w:val="20"/>
                <w:lang w:eastAsia="es-CR"/>
              </w:rPr>
              <w:t>9</w:t>
            </w:r>
          </w:p>
        </w:tc>
        <w:tc>
          <w:tcPr>
            <w:tcW w:w="2500" w:type="dxa"/>
            <w:tcBorders>
              <w:top w:val="nil"/>
              <w:left w:val="nil"/>
              <w:bottom w:val="single" w:sz="8" w:space="0" w:color="auto"/>
              <w:right w:val="nil"/>
            </w:tcBorders>
            <w:shd w:val="clear" w:color="auto" w:fill="auto"/>
            <w:noWrap/>
            <w:vAlign w:val="bottom"/>
            <w:hideMark/>
          </w:tcPr>
          <w:p w14:paraId="555DB2D3" w14:textId="77777777" w:rsidR="00BB5628" w:rsidRPr="004E74A6" w:rsidRDefault="00BB5628" w:rsidP="00832773">
            <w:pPr>
              <w:spacing w:line="276" w:lineRule="auto"/>
              <w:jc w:val="center"/>
              <w:rPr>
                <w:rFonts w:cs="Calibri"/>
                <w:color w:val="000000"/>
                <w:sz w:val="20"/>
                <w:lang w:eastAsia="es-CR"/>
              </w:rPr>
            </w:pPr>
            <w:r w:rsidRPr="004E74A6">
              <w:rPr>
                <w:rFonts w:cs="Calibri"/>
                <w:color w:val="000000"/>
                <w:sz w:val="20"/>
                <w:lang w:eastAsia="es-CR"/>
              </w:rPr>
              <w:t>100%</w:t>
            </w:r>
          </w:p>
        </w:tc>
      </w:tr>
    </w:tbl>
    <w:p w14:paraId="4DE16439" w14:textId="2F0DA464" w:rsidR="003E78C2" w:rsidRPr="004E74A6" w:rsidRDefault="003E78C2" w:rsidP="00832773">
      <w:pPr>
        <w:spacing w:line="276" w:lineRule="auto"/>
        <w:ind w:left="1191" w:right="1191"/>
        <w:rPr>
          <w:rFonts w:cs="Calibri"/>
          <w:i/>
          <w:iCs/>
          <w:color w:val="000000"/>
          <w:sz w:val="20"/>
          <w:lang w:eastAsia="es-CR"/>
        </w:rPr>
      </w:pPr>
      <w:r w:rsidRPr="004E74A6">
        <w:rPr>
          <w:rFonts w:cs="Calibri"/>
          <w:b/>
          <w:bCs/>
          <w:i/>
          <w:iCs/>
          <w:color w:val="000000"/>
          <w:sz w:val="20"/>
          <w:lang w:eastAsia="es-CR"/>
        </w:rPr>
        <w:t>Fuente</w:t>
      </w:r>
      <w:r w:rsidRPr="004E74A6">
        <w:rPr>
          <w:rFonts w:cs="Calibri"/>
          <w:i/>
          <w:iCs/>
          <w:color w:val="000000"/>
          <w:sz w:val="20"/>
          <w:lang w:eastAsia="es-CR"/>
        </w:rPr>
        <w:t>: Subproceso de Modernización Institucional con datos extraídos del sistema SIGMA, Dirección de Planificación.</w:t>
      </w:r>
    </w:p>
    <w:p w14:paraId="3FFE51A1" w14:textId="77777777" w:rsidR="008647ED" w:rsidRPr="004E74A6" w:rsidRDefault="008647ED" w:rsidP="00CE62C1">
      <w:pPr>
        <w:spacing w:after="160" w:line="276" w:lineRule="auto"/>
        <w:rPr>
          <w:rFonts w:cs="Calibri"/>
          <w:color w:val="000000"/>
          <w:szCs w:val="24"/>
          <w:lang w:eastAsia="es-CR"/>
        </w:rPr>
      </w:pPr>
    </w:p>
    <w:p w14:paraId="6D8307E2" w14:textId="77777777" w:rsidR="005E0CB8" w:rsidRPr="004E74A6" w:rsidRDefault="005E0CB8" w:rsidP="00CE62C1">
      <w:pPr>
        <w:spacing w:line="276" w:lineRule="auto"/>
        <w:rPr>
          <w:rFonts w:cs="Calibri"/>
          <w:color w:val="000000"/>
          <w:szCs w:val="24"/>
          <w:lang w:eastAsia="es-CR"/>
        </w:rPr>
      </w:pPr>
      <w:r w:rsidRPr="004E74A6">
        <w:rPr>
          <w:rFonts w:cs="Calibri"/>
          <w:color w:val="000000"/>
          <w:szCs w:val="24"/>
          <w:lang w:eastAsia="es-CR"/>
        </w:rPr>
        <w:t>De la información anterior se denota que:</w:t>
      </w:r>
    </w:p>
    <w:p w14:paraId="16ABD225" w14:textId="1063EB4F" w:rsidR="005E0CB8" w:rsidRPr="004E74A6" w:rsidRDefault="005E0CB8" w:rsidP="00CE62C1">
      <w:pPr>
        <w:pStyle w:val="Prrafodelista"/>
        <w:numPr>
          <w:ilvl w:val="0"/>
          <w:numId w:val="17"/>
        </w:numPr>
        <w:spacing w:line="276" w:lineRule="auto"/>
        <w:rPr>
          <w:rFonts w:ascii="Book Antiqua" w:hAnsi="Book Antiqua" w:cs="Calibri"/>
          <w:color w:val="000000"/>
          <w:lang w:val="es-CR" w:eastAsia="es-CR"/>
        </w:rPr>
      </w:pPr>
      <w:r w:rsidRPr="004E74A6">
        <w:rPr>
          <w:rFonts w:ascii="Book Antiqua" w:hAnsi="Book Antiqua" w:cs="Calibri"/>
          <w:color w:val="000000"/>
          <w:lang w:val="es-CR" w:eastAsia="es-CR"/>
        </w:rPr>
        <w:t>Se reporta el ingreso promedio de 10 casos al año con una cuantía inferior a la aprobada actualmente de 3 millones de colones.</w:t>
      </w:r>
    </w:p>
    <w:p w14:paraId="6446EB45" w14:textId="01D98DB5" w:rsidR="00C3667D" w:rsidRPr="004E74A6" w:rsidRDefault="00C3667D" w:rsidP="00CE62C1">
      <w:pPr>
        <w:pStyle w:val="Prrafodelista"/>
        <w:numPr>
          <w:ilvl w:val="0"/>
          <w:numId w:val="17"/>
        </w:numPr>
        <w:spacing w:line="276" w:lineRule="auto"/>
        <w:rPr>
          <w:rFonts w:ascii="Book Antiqua" w:hAnsi="Book Antiqua" w:cs="Calibri"/>
          <w:color w:val="000000"/>
          <w:lang w:val="es-CR" w:eastAsia="es-CR"/>
        </w:rPr>
      </w:pPr>
      <w:r w:rsidRPr="004E74A6">
        <w:rPr>
          <w:rFonts w:ascii="Book Antiqua" w:hAnsi="Book Antiqua" w:cs="Calibri"/>
          <w:color w:val="000000"/>
          <w:lang w:val="es-CR" w:eastAsia="es-CR"/>
        </w:rPr>
        <w:t>Existen asuntos que indicaban en tipo de cuantía “</w:t>
      </w:r>
      <w:r w:rsidRPr="004E74A6">
        <w:rPr>
          <w:rFonts w:ascii="Book Antiqua" w:hAnsi="Book Antiqua" w:cs="Calibri"/>
          <w:i/>
          <w:iCs/>
          <w:color w:val="000000"/>
          <w:lang w:val="es-CR" w:eastAsia="es-CR"/>
        </w:rPr>
        <w:t>estimable</w:t>
      </w:r>
      <w:r w:rsidRPr="004E74A6">
        <w:rPr>
          <w:rFonts w:ascii="Book Antiqua" w:hAnsi="Book Antiqua" w:cs="Calibri"/>
          <w:color w:val="000000"/>
          <w:lang w:val="es-CR" w:eastAsia="es-CR"/>
        </w:rPr>
        <w:t>” pero el rango lo dejaban en blanco, por lo que el sistema automáticamente indica “</w:t>
      </w:r>
      <w:r w:rsidRPr="004E74A6">
        <w:rPr>
          <w:rFonts w:ascii="Book Antiqua" w:hAnsi="Book Antiqua" w:cs="Calibri"/>
          <w:i/>
          <w:iCs/>
          <w:color w:val="000000"/>
          <w:lang w:val="es-CR" w:eastAsia="es-CR"/>
        </w:rPr>
        <w:t>Expedientes cuantía cero</w:t>
      </w:r>
      <w:r w:rsidRPr="004E74A6">
        <w:rPr>
          <w:rFonts w:ascii="Book Antiqua" w:hAnsi="Book Antiqua" w:cs="Calibri"/>
          <w:color w:val="000000"/>
          <w:lang w:val="es-CR" w:eastAsia="es-CR"/>
        </w:rPr>
        <w:t>”, situación que se corrigió a partir de 2021 con la mejora realizada por DTI que ligó ambos campos haciéndolos de llenado obligatorio en caso de utilizar “</w:t>
      </w:r>
      <w:r w:rsidRPr="004E74A6">
        <w:rPr>
          <w:rFonts w:ascii="Book Antiqua" w:hAnsi="Book Antiqua" w:cs="Calibri"/>
          <w:i/>
          <w:iCs/>
          <w:color w:val="000000"/>
          <w:lang w:val="es-CR" w:eastAsia="es-CR"/>
        </w:rPr>
        <w:t>estimable</w:t>
      </w:r>
      <w:r w:rsidRPr="004E74A6">
        <w:rPr>
          <w:rFonts w:ascii="Book Antiqua" w:hAnsi="Book Antiqua" w:cs="Calibri"/>
          <w:color w:val="000000"/>
          <w:lang w:val="es-CR" w:eastAsia="es-CR"/>
        </w:rPr>
        <w:t>” sea de menor o mayor cuantía.</w:t>
      </w:r>
    </w:p>
    <w:p w14:paraId="3E91F9CE" w14:textId="2922B098" w:rsidR="005E0CB8" w:rsidRPr="004E74A6" w:rsidRDefault="005E0CB8" w:rsidP="00CE62C1">
      <w:pPr>
        <w:pStyle w:val="Prrafodelista"/>
        <w:numPr>
          <w:ilvl w:val="0"/>
          <w:numId w:val="17"/>
        </w:numPr>
        <w:spacing w:line="276" w:lineRule="auto"/>
        <w:rPr>
          <w:rFonts w:ascii="Book Antiqua" w:hAnsi="Book Antiqua" w:cs="Calibri"/>
          <w:b/>
          <w:bCs/>
          <w:color w:val="000000"/>
          <w:u w:val="single"/>
          <w:lang w:val="es-CR" w:eastAsia="es-CR"/>
        </w:rPr>
      </w:pPr>
      <w:r w:rsidRPr="004E74A6">
        <w:rPr>
          <w:rFonts w:ascii="Book Antiqua" w:hAnsi="Book Antiqua" w:cs="Calibri"/>
          <w:color w:val="000000"/>
          <w:lang w:val="es-CR" w:eastAsia="es-CR"/>
        </w:rPr>
        <w:t xml:space="preserve">En caso de incrementarse la cuantía a 20 millones de colones </w:t>
      </w:r>
      <w:r w:rsidR="003A5122" w:rsidRPr="004E74A6">
        <w:rPr>
          <w:rFonts w:ascii="Book Antiqua" w:hAnsi="Book Antiqua" w:cs="Calibri"/>
          <w:color w:val="000000"/>
          <w:lang w:val="es-CR" w:eastAsia="es-CR"/>
        </w:rPr>
        <w:t xml:space="preserve">en materia Civil </w:t>
      </w:r>
      <w:r w:rsidRPr="004E74A6">
        <w:rPr>
          <w:rFonts w:ascii="Book Antiqua" w:hAnsi="Book Antiqua" w:cs="Calibri"/>
          <w:color w:val="000000"/>
          <w:lang w:val="es-CR" w:eastAsia="es-CR"/>
        </w:rPr>
        <w:t>según criterio experto (escenario A.1 y A.2</w:t>
      </w:r>
      <w:r w:rsidR="00E37EED" w:rsidRPr="004E74A6">
        <w:rPr>
          <w:rStyle w:val="Refdenotaalpie"/>
          <w:rFonts w:ascii="Book Antiqua" w:hAnsi="Book Antiqua"/>
          <w:color w:val="000000"/>
          <w:lang w:val="es-CR" w:eastAsia="es-CR"/>
        </w:rPr>
        <w:footnoteReference w:id="33"/>
      </w:r>
      <w:r w:rsidR="003C66B8" w:rsidRPr="004E74A6">
        <w:rPr>
          <w:rFonts w:ascii="Book Antiqua" w:hAnsi="Book Antiqua" w:cs="Calibri"/>
          <w:color w:val="000000"/>
          <w:lang w:val="es-CR" w:eastAsia="es-CR"/>
        </w:rPr>
        <w:t>), la</w:t>
      </w:r>
      <w:r w:rsidRPr="004E74A6">
        <w:rPr>
          <w:rFonts w:ascii="Book Antiqua" w:hAnsi="Book Antiqua" w:cs="Calibri"/>
          <w:color w:val="000000"/>
          <w:lang w:val="es-CR" w:eastAsia="es-CR"/>
        </w:rPr>
        <w:t xml:space="preserve"> Sala</w:t>
      </w:r>
      <w:r w:rsidR="004E4F51" w:rsidRPr="004E74A6">
        <w:rPr>
          <w:rFonts w:ascii="Book Antiqua" w:hAnsi="Book Antiqua" w:cs="Calibri"/>
          <w:color w:val="000000"/>
          <w:lang w:val="es-CR" w:eastAsia="es-CR"/>
        </w:rPr>
        <w:t xml:space="preserve"> Primera</w:t>
      </w:r>
      <w:r w:rsidRPr="004E74A6">
        <w:rPr>
          <w:rFonts w:ascii="Book Antiqua" w:hAnsi="Book Antiqua" w:cs="Calibri"/>
          <w:color w:val="000000"/>
          <w:lang w:val="es-CR" w:eastAsia="es-CR"/>
        </w:rPr>
        <w:t xml:space="preserve"> experimentaría una reducción en su entrada de</w:t>
      </w:r>
      <w:r w:rsidR="00BB5628" w:rsidRPr="004E74A6">
        <w:rPr>
          <w:rFonts w:ascii="Book Antiqua" w:hAnsi="Book Antiqua" w:cs="Calibri"/>
          <w:color w:val="000000"/>
          <w:lang w:val="es-CR" w:eastAsia="es-CR"/>
        </w:rPr>
        <w:t xml:space="preserve">l </w:t>
      </w:r>
      <w:r w:rsidRPr="004E74A6">
        <w:rPr>
          <w:rFonts w:ascii="Book Antiqua" w:hAnsi="Book Antiqua" w:cs="Calibri"/>
          <w:color w:val="000000"/>
          <w:lang w:val="es-CR" w:eastAsia="es-CR"/>
        </w:rPr>
        <w:t xml:space="preserve">43% (153 </w:t>
      </w:r>
      <w:r w:rsidR="003A5122" w:rsidRPr="004E74A6">
        <w:rPr>
          <w:rFonts w:ascii="Book Antiqua" w:hAnsi="Book Antiqua" w:cs="Calibri"/>
          <w:color w:val="000000"/>
          <w:lang w:val="es-CR" w:eastAsia="es-CR"/>
        </w:rPr>
        <w:t>casaciones civiles menos</w:t>
      </w:r>
      <w:r w:rsidRPr="004E74A6">
        <w:rPr>
          <w:rFonts w:ascii="Book Antiqua" w:hAnsi="Book Antiqua" w:cs="Calibri"/>
          <w:color w:val="000000"/>
          <w:lang w:val="es-CR" w:eastAsia="es-CR"/>
        </w:rPr>
        <w:t>)</w:t>
      </w:r>
      <w:r w:rsidR="003140D5" w:rsidRPr="004E74A6">
        <w:rPr>
          <w:rFonts w:ascii="Book Antiqua" w:hAnsi="Book Antiqua" w:cs="Calibri"/>
          <w:color w:val="000000"/>
          <w:lang w:val="es-CR" w:eastAsia="es-CR"/>
        </w:rPr>
        <w:t>. Un promedio de 153 sentencias al año (14 mensuales) que</w:t>
      </w:r>
      <w:r w:rsidRPr="004E74A6">
        <w:rPr>
          <w:rFonts w:ascii="Book Antiqua" w:hAnsi="Book Antiqua" w:cs="Calibri"/>
          <w:color w:val="000000"/>
          <w:lang w:val="es-CR" w:eastAsia="es-CR"/>
        </w:rPr>
        <w:t xml:space="preserve"> quedarían sin el acceso al recurso de casación</w:t>
      </w:r>
      <w:r w:rsidR="003140D5" w:rsidRPr="004E74A6">
        <w:rPr>
          <w:rFonts w:ascii="Book Antiqua" w:hAnsi="Book Antiqua" w:cs="Calibri"/>
          <w:color w:val="000000"/>
          <w:lang w:val="es-CR" w:eastAsia="es-CR"/>
        </w:rPr>
        <w:t xml:space="preserve"> y pasarían a disponer de recurso de apelación.</w:t>
      </w:r>
      <w:r w:rsidR="00E37EED" w:rsidRPr="004E74A6">
        <w:rPr>
          <w:rFonts w:ascii="Book Antiqua" w:hAnsi="Book Antiqua" w:cs="Calibri"/>
          <w:color w:val="000000"/>
          <w:lang w:val="es-CR" w:eastAsia="es-CR"/>
        </w:rPr>
        <w:t xml:space="preserve"> </w:t>
      </w:r>
      <w:r w:rsidR="00E37EED" w:rsidRPr="004E74A6">
        <w:rPr>
          <w:rFonts w:ascii="Book Antiqua" w:hAnsi="Book Antiqua" w:cs="Calibri"/>
          <w:b/>
          <w:bCs/>
          <w:color w:val="000000"/>
          <w:u w:val="single"/>
          <w:lang w:val="es-CR" w:eastAsia="es-CR"/>
        </w:rPr>
        <w:t xml:space="preserve">Este dato considera la cuantía de las casaciones civiles estimables del periodo 2019 al 2021. </w:t>
      </w:r>
    </w:p>
    <w:p w14:paraId="2AE5DB68" w14:textId="77777777" w:rsidR="008647ED" w:rsidRPr="004E74A6" w:rsidRDefault="008647ED" w:rsidP="00CE62C1">
      <w:pPr>
        <w:spacing w:after="160" w:line="276" w:lineRule="auto"/>
        <w:rPr>
          <w:rFonts w:cs="Calibri"/>
          <w:color w:val="000000"/>
          <w:szCs w:val="24"/>
          <w:lang w:eastAsia="es-CR"/>
        </w:rPr>
      </w:pPr>
    </w:p>
    <w:p w14:paraId="2BF0013E" w14:textId="7F6039E1" w:rsidR="002D3B68" w:rsidRPr="00C375EC" w:rsidRDefault="002D3B68" w:rsidP="00832773">
      <w:pPr>
        <w:pStyle w:val="Ttulo5"/>
        <w:rPr>
          <w:rFonts w:eastAsia="Calibri"/>
          <w:lang w:eastAsia="en-US"/>
        </w:rPr>
      </w:pPr>
      <w:r w:rsidRPr="00832773">
        <w:rPr>
          <w:rFonts w:eastAsia="Calibri"/>
          <w:lang w:val="es-CR" w:eastAsia="en-US"/>
        </w:rPr>
        <w:t>Demanda de revisión</w:t>
      </w:r>
    </w:p>
    <w:p w14:paraId="3E889D72" w14:textId="2BCE142A" w:rsidR="008647ED" w:rsidRPr="00832773" w:rsidRDefault="008647ED" w:rsidP="00CE62C1">
      <w:pPr>
        <w:spacing w:line="276" w:lineRule="auto"/>
        <w:rPr>
          <w:rFonts w:eastAsia="Calibri"/>
          <w:lang w:eastAsia="en-US"/>
        </w:rPr>
      </w:pPr>
    </w:p>
    <w:p w14:paraId="5171B364" w14:textId="75231241" w:rsidR="005D496D" w:rsidRPr="004E74A6" w:rsidRDefault="005D496D" w:rsidP="00CE62C1">
      <w:pPr>
        <w:spacing w:line="276" w:lineRule="auto"/>
        <w:rPr>
          <w:rFonts w:eastAsia="Calibri"/>
          <w:lang w:eastAsia="en-US"/>
        </w:rPr>
      </w:pPr>
      <w:r w:rsidRPr="004E74A6">
        <w:rPr>
          <w:rFonts w:eastAsia="Calibri"/>
          <w:lang w:eastAsia="en-US"/>
        </w:rPr>
        <w:t xml:space="preserve">En lo que respecto a </w:t>
      </w:r>
      <w:r w:rsidR="002D3B68" w:rsidRPr="004E74A6">
        <w:rPr>
          <w:rFonts w:eastAsia="Calibri"/>
          <w:lang w:eastAsia="en-US"/>
        </w:rPr>
        <w:t>las demandas de</w:t>
      </w:r>
      <w:r w:rsidRPr="004E74A6">
        <w:rPr>
          <w:rFonts w:eastAsia="Calibri"/>
          <w:i/>
          <w:iCs/>
          <w:lang w:eastAsia="en-US"/>
        </w:rPr>
        <w:t xml:space="preserve"> </w:t>
      </w:r>
      <w:r w:rsidR="002D3B68" w:rsidRPr="004E74A6">
        <w:rPr>
          <w:rFonts w:eastAsia="Calibri"/>
          <w:i/>
          <w:iCs/>
          <w:lang w:eastAsia="en-US"/>
        </w:rPr>
        <w:t>“</w:t>
      </w:r>
      <w:r w:rsidRPr="004E74A6">
        <w:rPr>
          <w:rFonts w:eastAsia="Calibri"/>
          <w:i/>
          <w:iCs/>
          <w:lang w:eastAsia="en-US"/>
        </w:rPr>
        <w:t>revisión</w:t>
      </w:r>
      <w:r w:rsidRPr="004E74A6">
        <w:rPr>
          <w:rFonts w:eastAsia="Calibri"/>
          <w:lang w:eastAsia="en-US"/>
        </w:rPr>
        <w:t xml:space="preserve">”, </w:t>
      </w:r>
      <w:r w:rsidR="00561C7F" w:rsidRPr="004E74A6">
        <w:rPr>
          <w:rFonts w:eastAsia="Calibri"/>
          <w:b/>
          <w:bCs/>
          <w:lang w:eastAsia="en-US"/>
        </w:rPr>
        <w:t>no</w:t>
      </w:r>
      <w:r w:rsidRPr="004E74A6">
        <w:rPr>
          <w:rFonts w:eastAsia="Calibri"/>
          <w:b/>
          <w:bCs/>
          <w:lang w:eastAsia="en-US"/>
        </w:rPr>
        <w:t xml:space="preserve"> se visualiza impacto en caso de modificarse el monto actual de cuantía en materia civil</w:t>
      </w:r>
      <w:r w:rsidRPr="004E74A6">
        <w:rPr>
          <w:rFonts w:eastAsia="Calibri"/>
          <w:lang w:eastAsia="en-US"/>
        </w:rPr>
        <w:t>, ya que aplica por criterios específicos según artículo 72.</w:t>
      </w:r>
      <w:r w:rsidR="00B810E5" w:rsidRPr="004E74A6">
        <w:rPr>
          <w:rFonts w:eastAsia="Calibri"/>
          <w:lang w:eastAsia="en-US"/>
        </w:rPr>
        <w:t>1</w:t>
      </w:r>
      <w:r w:rsidRPr="004E74A6">
        <w:rPr>
          <w:rFonts w:eastAsia="Calibri"/>
          <w:lang w:eastAsia="en-US"/>
        </w:rPr>
        <w:t xml:space="preserve"> del </w:t>
      </w:r>
      <w:r w:rsidR="00561C7F" w:rsidRPr="004E74A6">
        <w:rPr>
          <w:rFonts w:eastAsia="Calibri"/>
          <w:lang w:eastAsia="en-US"/>
        </w:rPr>
        <w:t>C</w:t>
      </w:r>
      <w:r w:rsidRPr="004E74A6">
        <w:rPr>
          <w:rFonts w:eastAsia="Calibri"/>
          <w:lang w:eastAsia="en-US"/>
        </w:rPr>
        <w:t xml:space="preserve">ódigo Procesal Civil, por lo que los ordinarios </w:t>
      </w:r>
      <w:r w:rsidRPr="004E74A6">
        <w:rPr>
          <w:rFonts w:eastAsia="Calibri"/>
          <w:lang w:eastAsia="en-US"/>
        </w:rPr>
        <w:lastRenderedPageBreak/>
        <w:t>independientemente de la cuantía que cumplan esas condiciones pueden acceder</w:t>
      </w:r>
      <w:r w:rsidR="007E7D57" w:rsidRPr="004E74A6">
        <w:rPr>
          <w:rFonts w:eastAsia="Calibri"/>
          <w:lang w:eastAsia="en-US"/>
        </w:rPr>
        <w:t xml:space="preserve"> a ella.</w:t>
      </w:r>
    </w:p>
    <w:p w14:paraId="297371BD" w14:textId="51997039" w:rsidR="00561C7F" w:rsidRPr="004E74A6" w:rsidRDefault="00561C7F" w:rsidP="00CE62C1">
      <w:pPr>
        <w:spacing w:line="276" w:lineRule="auto"/>
        <w:rPr>
          <w:rFonts w:eastAsia="Calibri"/>
          <w:lang w:eastAsia="en-US"/>
        </w:rPr>
      </w:pPr>
    </w:p>
    <w:p w14:paraId="0B9D4C91" w14:textId="27593A74" w:rsidR="00CD0519" w:rsidRPr="004E74A6" w:rsidRDefault="00561C7F" w:rsidP="00832773">
      <w:pPr>
        <w:spacing w:line="276" w:lineRule="auto"/>
        <w:ind w:left="567" w:right="476" w:firstLine="113"/>
        <w:rPr>
          <w:rFonts w:eastAsia="Calibri"/>
          <w:i/>
          <w:iCs/>
          <w:sz w:val="22"/>
          <w:szCs w:val="18"/>
          <w:lang w:eastAsia="en-US"/>
        </w:rPr>
      </w:pPr>
      <w:r w:rsidRPr="004E74A6">
        <w:rPr>
          <w:rFonts w:eastAsia="Calibri"/>
          <w:i/>
          <w:iCs/>
          <w:sz w:val="22"/>
          <w:szCs w:val="18"/>
          <w:lang w:eastAsia="en-US"/>
        </w:rPr>
        <w:t>“</w:t>
      </w:r>
      <w:r w:rsidRPr="004E74A6">
        <w:rPr>
          <w:rFonts w:eastAsia="Calibri"/>
          <w:b/>
          <w:bCs/>
          <w:i/>
          <w:iCs/>
          <w:sz w:val="22"/>
          <w:szCs w:val="18"/>
          <w:lang w:eastAsia="en-US"/>
        </w:rPr>
        <w:t>Artículo 72.</w:t>
      </w:r>
      <w:r w:rsidR="006C4D74" w:rsidRPr="004E74A6">
        <w:rPr>
          <w:rFonts w:eastAsia="Calibri"/>
          <w:b/>
          <w:bCs/>
          <w:i/>
          <w:iCs/>
          <w:sz w:val="22"/>
          <w:szCs w:val="18"/>
          <w:lang w:eastAsia="en-US"/>
        </w:rPr>
        <w:t>1</w:t>
      </w:r>
      <w:r w:rsidRPr="004E74A6">
        <w:rPr>
          <w:rFonts w:eastAsia="Calibri"/>
          <w:b/>
          <w:bCs/>
          <w:i/>
          <w:iCs/>
          <w:sz w:val="22"/>
          <w:szCs w:val="18"/>
          <w:lang w:eastAsia="en-US"/>
        </w:rPr>
        <w:t xml:space="preserve"> </w:t>
      </w:r>
      <w:r w:rsidR="006C4D74" w:rsidRPr="004E74A6">
        <w:rPr>
          <w:rFonts w:eastAsia="Calibri"/>
          <w:b/>
          <w:bCs/>
          <w:i/>
          <w:iCs/>
          <w:sz w:val="22"/>
          <w:szCs w:val="18"/>
          <w:lang w:eastAsia="en-US"/>
        </w:rPr>
        <w:t>Procedencia y causales</w:t>
      </w:r>
      <w:r w:rsidRPr="004E74A6">
        <w:rPr>
          <w:rFonts w:eastAsia="Calibri"/>
          <w:i/>
          <w:iCs/>
          <w:sz w:val="22"/>
          <w:szCs w:val="18"/>
          <w:lang w:eastAsia="en-US"/>
        </w:rPr>
        <w:t>. L</w:t>
      </w:r>
      <w:r w:rsidR="00CD0519" w:rsidRPr="004E74A6">
        <w:rPr>
          <w:rFonts w:eastAsia="Calibri"/>
          <w:i/>
          <w:iCs/>
          <w:sz w:val="22"/>
          <w:szCs w:val="18"/>
          <w:lang w:eastAsia="en-US"/>
        </w:rPr>
        <w:t>a revisión procederá contra pronunciamientos que tengan efecto de cosa juzgada material, siempre que concurra alguna de las siguientes causales:</w:t>
      </w:r>
    </w:p>
    <w:p w14:paraId="2F79F012" w14:textId="4212CCA6" w:rsidR="008D120A" w:rsidRPr="004E74A6" w:rsidRDefault="008D120A" w:rsidP="00832773">
      <w:pPr>
        <w:spacing w:line="276" w:lineRule="auto"/>
        <w:ind w:right="476"/>
        <w:rPr>
          <w:rFonts w:eastAsia="Calibri"/>
          <w:i/>
          <w:iCs/>
          <w:sz w:val="22"/>
          <w:szCs w:val="18"/>
          <w:lang w:eastAsia="en-US"/>
        </w:rPr>
      </w:pPr>
      <w:r w:rsidRPr="004E74A6">
        <w:rPr>
          <w:rFonts w:eastAsia="Calibri"/>
          <w:i/>
          <w:iCs/>
          <w:sz w:val="22"/>
          <w:szCs w:val="18"/>
          <w:lang w:eastAsia="en-US"/>
        </w:rPr>
        <w:t xml:space="preserve"> </w:t>
      </w:r>
    </w:p>
    <w:p w14:paraId="2917FF8E" w14:textId="77777777" w:rsidR="008D120A" w:rsidRPr="004E74A6" w:rsidRDefault="008D120A" w:rsidP="00832773">
      <w:pPr>
        <w:spacing w:line="276" w:lineRule="auto"/>
        <w:ind w:left="680" w:right="476"/>
        <w:rPr>
          <w:rFonts w:eastAsia="Calibri"/>
          <w:i/>
          <w:iCs/>
          <w:sz w:val="22"/>
          <w:szCs w:val="22"/>
          <w:lang w:eastAsia="en-US"/>
        </w:rPr>
      </w:pPr>
    </w:p>
    <w:p w14:paraId="00AC49C3" w14:textId="39310D0C" w:rsidR="00CD0519" w:rsidRPr="00832773" w:rsidRDefault="00CD0519" w:rsidP="00832773">
      <w:pPr>
        <w:pStyle w:val="Prrafodelista"/>
        <w:numPr>
          <w:ilvl w:val="0"/>
          <w:numId w:val="40"/>
        </w:numPr>
        <w:spacing w:line="276" w:lineRule="auto"/>
        <w:ind w:right="476"/>
        <w:rPr>
          <w:rFonts w:ascii="Book Antiqua" w:eastAsia="Calibri" w:hAnsi="Book Antiqua"/>
          <w:i/>
          <w:iCs/>
          <w:sz w:val="22"/>
          <w:szCs w:val="22"/>
          <w:lang w:val="es-CR" w:eastAsia="en-US"/>
        </w:rPr>
      </w:pPr>
      <w:r w:rsidRPr="00832773">
        <w:rPr>
          <w:rFonts w:ascii="Book Antiqua" w:eastAsia="Calibri" w:hAnsi="Book Antiqua"/>
          <w:i/>
          <w:iCs/>
          <w:sz w:val="22"/>
          <w:szCs w:val="22"/>
          <w:lang w:val="es-CR"/>
        </w:rPr>
        <w:t>Se hubieran dictado como consecuencia de prevaricato, cohecho o actos fraudulentos declarados en sentencia penal.</w:t>
      </w:r>
    </w:p>
    <w:p w14:paraId="1916BDB2" w14:textId="77777777" w:rsidR="008D120A" w:rsidRPr="004E74A6" w:rsidRDefault="008D120A" w:rsidP="00832773">
      <w:pPr>
        <w:pStyle w:val="Sinespaciado"/>
        <w:numPr>
          <w:ilvl w:val="0"/>
          <w:numId w:val="40"/>
        </w:numPr>
        <w:spacing w:line="276" w:lineRule="auto"/>
        <w:ind w:right="476"/>
        <w:jc w:val="both"/>
        <w:rPr>
          <w:rFonts w:ascii="Book Antiqua" w:hAnsi="Book Antiqua"/>
          <w:i/>
          <w:iCs/>
          <w:lang w:eastAsia="es-CR"/>
        </w:rPr>
      </w:pPr>
      <w:r w:rsidRPr="004E74A6">
        <w:rPr>
          <w:rFonts w:ascii="Book Antiqua" w:hAnsi="Book Antiqua"/>
          <w:i/>
          <w:iCs/>
          <w:lang w:eastAsia="es-CR"/>
        </w:rPr>
        <w:t>Cuando medie fraude procesal, colusión u otra maniobra fraudulenta de las partes para alcanzar el fallo.</w:t>
      </w:r>
    </w:p>
    <w:p w14:paraId="1878253E" w14:textId="77777777" w:rsidR="008D120A" w:rsidRPr="004E74A6" w:rsidRDefault="008D120A" w:rsidP="00832773">
      <w:pPr>
        <w:pStyle w:val="Sinespaciado"/>
        <w:numPr>
          <w:ilvl w:val="0"/>
          <w:numId w:val="40"/>
        </w:numPr>
        <w:spacing w:line="276" w:lineRule="auto"/>
        <w:ind w:right="476"/>
        <w:jc w:val="both"/>
        <w:rPr>
          <w:rFonts w:ascii="Book Antiqua" w:hAnsi="Book Antiqua"/>
          <w:i/>
          <w:iCs/>
          <w:lang w:eastAsia="es-CR"/>
        </w:rPr>
      </w:pPr>
      <w:r w:rsidRPr="004E74A6">
        <w:rPr>
          <w:rFonts w:ascii="Book Antiqua" w:hAnsi="Book Antiqua"/>
          <w:i/>
          <w:iCs/>
          <w:lang w:eastAsia="es-CR"/>
        </w:rPr>
        <w:t>Cuando alguna de las pruebas decisivas del pronunciamiento impugnado hubiera sido declarada falsa en fallo penal firme.</w:t>
      </w:r>
    </w:p>
    <w:p w14:paraId="54396B40" w14:textId="77777777" w:rsidR="008D120A" w:rsidRPr="004E74A6" w:rsidRDefault="008D120A" w:rsidP="00832773">
      <w:pPr>
        <w:pStyle w:val="Sinespaciado"/>
        <w:numPr>
          <w:ilvl w:val="0"/>
          <w:numId w:val="40"/>
        </w:numPr>
        <w:spacing w:line="276" w:lineRule="auto"/>
        <w:ind w:right="476"/>
        <w:jc w:val="both"/>
        <w:rPr>
          <w:rFonts w:ascii="Book Antiqua" w:hAnsi="Book Antiqua"/>
          <w:i/>
          <w:iCs/>
          <w:lang w:eastAsia="es-CR"/>
        </w:rPr>
      </w:pPr>
      <w:r w:rsidRPr="004E74A6">
        <w:rPr>
          <w:rFonts w:ascii="Book Antiqua" w:hAnsi="Book Antiqua"/>
          <w:i/>
          <w:iCs/>
          <w:lang w:eastAsia="es-CR"/>
        </w:rPr>
        <w:t>Se obtuvieran mediante violencia, intimidación o dolo.</w:t>
      </w:r>
    </w:p>
    <w:p w14:paraId="39D46B24" w14:textId="77777777" w:rsidR="008D120A" w:rsidRPr="004E74A6" w:rsidRDefault="008D120A" w:rsidP="00832773">
      <w:pPr>
        <w:pStyle w:val="Sinespaciado"/>
        <w:numPr>
          <w:ilvl w:val="0"/>
          <w:numId w:val="40"/>
        </w:numPr>
        <w:spacing w:line="276" w:lineRule="auto"/>
        <w:ind w:right="476"/>
        <w:jc w:val="both"/>
        <w:rPr>
          <w:rFonts w:ascii="Book Antiqua" w:hAnsi="Book Antiqua"/>
          <w:i/>
          <w:iCs/>
          <w:lang w:eastAsia="es-CR"/>
        </w:rPr>
      </w:pPr>
      <w:r w:rsidRPr="004E74A6">
        <w:rPr>
          <w:rFonts w:ascii="Book Antiqua" w:hAnsi="Book Antiqua"/>
          <w:i/>
          <w:iCs/>
          <w:lang w:eastAsia="es-CR"/>
        </w:rPr>
        <w:t>Cuando, por fuerza mayor o por actos fraudulentos de la parte contraria, no se hubiera presentado prueba esencial o se hubiera imposibilitado la comparecencia de la parte interesada a algún acto donde se practicó prueba trascendente.</w:t>
      </w:r>
    </w:p>
    <w:p w14:paraId="251F0558" w14:textId="77777777" w:rsidR="008D120A" w:rsidRPr="004E74A6" w:rsidRDefault="008D120A" w:rsidP="00832773">
      <w:pPr>
        <w:pStyle w:val="Sinespaciado"/>
        <w:numPr>
          <w:ilvl w:val="0"/>
          <w:numId w:val="40"/>
        </w:numPr>
        <w:spacing w:line="276" w:lineRule="auto"/>
        <w:ind w:right="476"/>
        <w:jc w:val="both"/>
        <w:rPr>
          <w:rFonts w:ascii="Book Antiqua" w:hAnsi="Book Antiqua"/>
          <w:i/>
          <w:iCs/>
          <w:lang w:eastAsia="es-CR"/>
        </w:rPr>
      </w:pPr>
      <w:r w:rsidRPr="004E74A6">
        <w:rPr>
          <w:rFonts w:ascii="Book Antiqua" w:hAnsi="Book Antiqua"/>
          <w:i/>
          <w:iCs/>
          <w:lang w:eastAsia="es-CR"/>
        </w:rPr>
        <w:t>Se haya dictado la sentencia sin emplazar al impugnante.</w:t>
      </w:r>
    </w:p>
    <w:p w14:paraId="321CBC77" w14:textId="77777777" w:rsidR="008D120A" w:rsidRPr="004E74A6" w:rsidRDefault="008D120A" w:rsidP="00832773">
      <w:pPr>
        <w:pStyle w:val="Sinespaciado"/>
        <w:numPr>
          <w:ilvl w:val="0"/>
          <w:numId w:val="40"/>
        </w:numPr>
        <w:spacing w:line="276" w:lineRule="auto"/>
        <w:ind w:right="476"/>
        <w:jc w:val="both"/>
        <w:rPr>
          <w:rFonts w:ascii="Book Antiqua" w:hAnsi="Book Antiqua"/>
          <w:i/>
          <w:iCs/>
          <w:lang w:eastAsia="es-CR"/>
        </w:rPr>
      </w:pPr>
      <w:r w:rsidRPr="004E74A6">
        <w:rPr>
          <w:rFonts w:ascii="Book Antiqua" w:hAnsi="Book Antiqua"/>
          <w:i/>
          <w:iCs/>
          <w:lang w:eastAsia="es-CR"/>
        </w:rPr>
        <w:t>Haya existido falta o indebida representación durante todo el proceso o al menos durante la audiencia de pruebas.</w:t>
      </w:r>
    </w:p>
    <w:p w14:paraId="1376DD40" w14:textId="77777777" w:rsidR="008D120A" w:rsidRPr="004E74A6" w:rsidRDefault="008D120A" w:rsidP="00832773">
      <w:pPr>
        <w:pStyle w:val="Sinespaciado"/>
        <w:numPr>
          <w:ilvl w:val="0"/>
          <w:numId w:val="40"/>
        </w:numPr>
        <w:spacing w:line="276" w:lineRule="auto"/>
        <w:ind w:right="476"/>
        <w:jc w:val="both"/>
        <w:rPr>
          <w:rFonts w:ascii="Book Antiqua" w:hAnsi="Book Antiqua"/>
          <w:i/>
          <w:iCs/>
          <w:lang w:eastAsia="es-CR"/>
        </w:rPr>
      </w:pPr>
      <w:r w:rsidRPr="004E74A6">
        <w:rPr>
          <w:rFonts w:ascii="Book Antiqua" w:hAnsi="Book Antiqua"/>
          <w:i/>
          <w:iCs/>
          <w:lang w:eastAsia="es-CR"/>
        </w:rPr>
        <w:t>Que la sentencia sea contradictoria con otra anterior con autoridad de cosa juzgada material, siempre que no se hubiera podido alegar dicha excepción.</w:t>
      </w:r>
    </w:p>
    <w:p w14:paraId="5212A6AF" w14:textId="77777777" w:rsidR="008D120A" w:rsidRPr="004E74A6" w:rsidRDefault="008D120A" w:rsidP="00832773">
      <w:pPr>
        <w:pStyle w:val="Sinespaciado"/>
        <w:numPr>
          <w:ilvl w:val="0"/>
          <w:numId w:val="40"/>
        </w:numPr>
        <w:spacing w:line="276" w:lineRule="auto"/>
        <w:ind w:right="476"/>
        <w:jc w:val="both"/>
        <w:rPr>
          <w:rFonts w:ascii="Book Antiqua" w:hAnsi="Book Antiqua"/>
          <w:i/>
          <w:iCs/>
          <w:lang w:eastAsia="es-CR"/>
        </w:rPr>
      </w:pPr>
      <w:r w:rsidRPr="004E74A6">
        <w:rPr>
          <w:rFonts w:ascii="Book Antiqua" w:hAnsi="Book Antiqua"/>
          <w:i/>
          <w:iCs/>
          <w:lang w:eastAsia="es-CR"/>
        </w:rPr>
        <w:t>Que la sentencia sea contradictoria con otra penal posterior con autoridad de cosa juzgada material en la que se establezca si la persona a quien se imputan los hechos que constituyen una infracción penal es o no la autora de ellos.</w:t>
      </w:r>
    </w:p>
    <w:p w14:paraId="30915786" w14:textId="77777777" w:rsidR="008D120A" w:rsidRPr="004E74A6" w:rsidRDefault="008D120A" w:rsidP="00832773">
      <w:pPr>
        <w:pStyle w:val="Sinespaciado"/>
        <w:numPr>
          <w:ilvl w:val="0"/>
          <w:numId w:val="40"/>
        </w:numPr>
        <w:spacing w:line="276" w:lineRule="auto"/>
        <w:ind w:right="476"/>
        <w:jc w:val="both"/>
        <w:rPr>
          <w:rFonts w:ascii="Book Antiqua" w:hAnsi="Book Antiqua"/>
          <w:i/>
          <w:iCs/>
          <w:lang w:eastAsia="es-CR"/>
        </w:rPr>
      </w:pPr>
      <w:r w:rsidRPr="004E74A6">
        <w:rPr>
          <w:rFonts w:ascii="Book Antiqua" w:hAnsi="Book Antiqua"/>
          <w:i/>
          <w:iCs/>
          <w:lang w:eastAsia="es-CR"/>
        </w:rPr>
        <w:t>Cuando se hubieran afectado, ilícitamente, bienes o derechos de terceros que no tuvieron participación en el proceso.</w:t>
      </w:r>
    </w:p>
    <w:p w14:paraId="52D78240" w14:textId="77777777" w:rsidR="008D120A" w:rsidRPr="004E74A6" w:rsidRDefault="008D120A" w:rsidP="00832773">
      <w:pPr>
        <w:pStyle w:val="Sinespaciado"/>
        <w:numPr>
          <w:ilvl w:val="0"/>
          <w:numId w:val="40"/>
        </w:numPr>
        <w:spacing w:line="276" w:lineRule="auto"/>
        <w:ind w:right="476"/>
        <w:jc w:val="both"/>
        <w:rPr>
          <w:rFonts w:ascii="Book Antiqua" w:hAnsi="Book Antiqua"/>
          <w:i/>
          <w:iCs/>
          <w:lang w:eastAsia="es-CR"/>
        </w:rPr>
      </w:pPr>
      <w:r w:rsidRPr="004E74A6">
        <w:rPr>
          <w:rFonts w:ascii="Book Antiqua" w:hAnsi="Book Antiqua"/>
          <w:i/>
          <w:iCs/>
          <w:lang w:eastAsia="es-CR"/>
        </w:rPr>
        <w:t>En cualquier otro caso en que se hubiera producido una grave y trascendente violación al debido proceso.</w:t>
      </w:r>
    </w:p>
    <w:p w14:paraId="30ACB189" w14:textId="77777777" w:rsidR="008D120A" w:rsidRPr="004E74A6" w:rsidRDefault="008D120A" w:rsidP="00832773">
      <w:pPr>
        <w:pStyle w:val="Sinespaciado"/>
        <w:numPr>
          <w:ilvl w:val="0"/>
          <w:numId w:val="40"/>
        </w:numPr>
        <w:spacing w:line="276" w:lineRule="auto"/>
        <w:ind w:right="476"/>
        <w:jc w:val="both"/>
        <w:rPr>
          <w:rFonts w:ascii="Book Antiqua" w:hAnsi="Book Antiqua"/>
          <w:i/>
          <w:iCs/>
          <w:lang w:eastAsia="es-CR"/>
        </w:rPr>
      </w:pPr>
      <w:r w:rsidRPr="004E74A6">
        <w:rPr>
          <w:rFonts w:ascii="Book Antiqua" w:hAnsi="Book Antiqua"/>
          <w:i/>
          <w:iCs/>
          <w:lang w:eastAsia="es-CR"/>
        </w:rPr>
        <w:t>Cuando surjan nuevos medios probatorios científicos o tecnológicos que permitan desvirtuar las conclusiones que se obtuvieron en la sentencia impugnada.</w:t>
      </w:r>
    </w:p>
    <w:p w14:paraId="1E4A80B1" w14:textId="77777777" w:rsidR="008D120A" w:rsidRPr="004E74A6" w:rsidRDefault="008D120A" w:rsidP="00832773">
      <w:pPr>
        <w:spacing w:line="276" w:lineRule="auto"/>
        <w:ind w:left="680" w:right="476"/>
        <w:rPr>
          <w:rFonts w:eastAsia="Calibri"/>
          <w:i/>
          <w:iCs/>
          <w:sz w:val="22"/>
          <w:szCs w:val="22"/>
          <w:lang w:eastAsia="en-US"/>
        </w:rPr>
      </w:pPr>
    </w:p>
    <w:p w14:paraId="0AC190AA" w14:textId="77777777" w:rsidR="008D120A" w:rsidRPr="004E74A6" w:rsidRDefault="008D120A" w:rsidP="00832773">
      <w:pPr>
        <w:pStyle w:val="Sinespaciado"/>
        <w:spacing w:line="276" w:lineRule="auto"/>
        <w:ind w:left="567" w:right="476" w:firstLine="113"/>
        <w:jc w:val="both"/>
        <w:rPr>
          <w:rFonts w:ascii="Book Antiqua" w:hAnsi="Book Antiqua"/>
          <w:i/>
          <w:iCs/>
          <w:lang w:eastAsia="es-CR"/>
        </w:rPr>
      </w:pPr>
      <w:r w:rsidRPr="004E74A6">
        <w:rPr>
          <w:rFonts w:ascii="Book Antiqua" w:hAnsi="Book Antiqua"/>
          <w:i/>
          <w:iCs/>
          <w:lang w:eastAsia="es-CR"/>
        </w:rPr>
        <w:t>Será necesario que el vicio hubiera causado perjuicio al impugnante y no haya sido posible subsanarlo dentro del mismo proceso en que se produjo.</w:t>
      </w:r>
    </w:p>
    <w:p w14:paraId="06732123" w14:textId="25242C7D" w:rsidR="00561C7F" w:rsidRPr="00832773" w:rsidRDefault="008D120A" w:rsidP="00832773">
      <w:pPr>
        <w:pStyle w:val="Sinespaciado"/>
        <w:spacing w:line="276" w:lineRule="auto"/>
        <w:ind w:left="567" w:right="476" w:firstLine="113"/>
        <w:jc w:val="both"/>
        <w:rPr>
          <w:i/>
          <w:iCs/>
          <w:lang w:eastAsia="es-CR"/>
        </w:rPr>
      </w:pPr>
      <w:r w:rsidRPr="00832773">
        <w:rPr>
          <w:rFonts w:ascii="Book Antiqua" w:hAnsi="Book Antiqua"/>
          <w:i/>
          <w:iCs/>
          <w:lang w:eastAsia="es-CR"/>
        </w:rPr>
        <w:t>No es procedente la revisión, cuando se sustente en una causal ya conocida y no invocada por el impugnante en una solicitud de revisión anterior.</w:t>
      </w:r>
      <w:r w:rsidR="00561C7F" w:rsidRPr="00832773">
        <w:rPr>
          <w:i/>
          <w:iCs/>
        </w:rPr>
        <w:t>”</w:t>
      </w:r>
    </w:p>
    <w:p w14:paraId="290A080E" w14:textId="00E3CE57" w:rsidR="00561C7F" w:rsidRPr="00832773" w:rsidRDefault="00561C7F" w:rsidP="00CE62C1">
      <w:pPr>
        <w:spacing w:line="276" w:lineRule="auto"/>
        <w:rPr>
          <w:rFonts w:eastAsia="Calibri"/>
          <w:sz w:val="22"/>
          <w:szCs w:val="22"/>
          <w:lang w:eastAsia="en-US"/>
        </w:rPr>
      </w:pPr>
    </w:p>
    <w:p w14:paraId="4BF6ADAD" w14:textId="77777777" w:rsidR="005D496D" w:rsidRPr="00832773" w:rsidRDefault="005D496D" w:rsidP="00CE62C1">
      <w:pPr>
        <w:spacing w:line="276" w:lineRule="auto"/>
        <w:rPr>
          <w:rFonts w:eastAsia="Calibri"/>
          <w:sz w:val="22"/>
          <w:szCs w:val="22"/>
          <w:lang w:eastAsia="en-US"/>
        </w:rPr>
      </w:pPr>
    </w:p>
    <w:p w14:paraId="4E2C87C4" w14:textId="77777777" w:rsidR="009474EA" w:rsidRPr="00832773" w:rsidRDefault="00EC1668" w:rsidP="00CE62C1">
      <w:pPr>
        <w:spacing w:line="276" w:lineRule="auto"/>
        <w:outlineLvl w:val="2"/>
        <w:rPr>
          <w:rFonts w:cs="Calibri"/>
          <w:b/>
          <w:i/>
          <w:iCs/>
          <w:color w:val="2F5496"/>
        </w:rPr>
      </w:pPr>
      <w:r w:rsidRPr="00832773">
        <w:rPr>
          <w:rFonts w:eastAsia="Calibri"/>
          <w:b/>
          <w:bCs/>
          <w:color w:val="2F5496"/>
          <w:lang w:eastAsia="en-US"/>
        </w:rPr>
        <w:lastRenderedPageBreak/>
        <w:t xml:space="preserve">Escenario E. </w:t>
      </w:r>
      <w:r w:rsidRPr="00832773">
        <w:rPr>
          <w:rFonts w:cs="Calibri"/>
          <w:b/>
          <w:i/>
          <w:iCs/>
          <w:color w:val="2F5496"/>
        </w:rPr>
        <w:t>Reformas Legales:</w:t>
      </w:r>
    </w:p>
    <w:p w14:paraId="0E39C367" w14:textId="77777777" w:rsidR="00140EE1" w:rsidRPr="00832773" w:rsidRDefault="00EC1668" w:rsidP="00CE62C1">
      <w:pPr>
        <w:spacing w:line="276" w:lineRule="auto"/>
        <w:rPr>
          <w:rFonts w:cs="Calibri"/>
          <w:bCs/>
        </w:rPr>
      </w:pPr>
      <w:r w:rsidRPr="00832773">
        <w:rPr>
          <w:rFonts w:cs="Calibri"/>
          <w:bCs/>
          <w:i/>
          <w:iCs/>
        </w:rPr>
        <w:t> </w:t>
      </w:r>
    </w:p>
    <w:p w14:paraId="3BD97270" w14:textId="346FCF04" w:rsidR="00EC1668" w:rsidRPr="00832773" w:rsidRDefault="00EC1668" w:rsidP="00CE62C1">
      <w:pPr>
        <w:spacing w:line="276" w:lineRule="auto"/>
        <w:rPr>
          <w:rFonts w:cs="Calibri"/>
          <w:bCs/>
        </w:rPr>
      </w:pPr>
      <w:r w:rsidRPr="00832773">
        <w:rPr>
          <w:rFonts w:cs="Calibri"/>
          <w:bCs/>
        </w:rPr>
        <w:t xml:space="preserve">Desde el informe 1913-PLA-EV-2020, </w:t>
      </w:r>
      <w:r w:rsidR="00E37EED" w:rsidRPr="00832773">
        <w:rPr>
          <w:rFonts w:cs="Calibri"/>
          <w:bCs/>
        </w:rPr>
        <w:t>este</w:t>
      </w:r>
      <w:r w:rsidRPr="00832773">
        <w:rPr>
          <w:rFonts w:cs="Calibri"/>
          <w:bCs/>
        </w:rPr>
        <w:t xml:space="preserve"> escenario </w:t>
      </w:r>
      <w:r w:rsidR="00E37EED" w:rsidRPr="00832773">
        <w:rPr>
          <w:rFonts w:cs="Calibri"/>
          <w:bCs/>
        </w:rPr>
        <w:t>fue</w:t>
      </w:r>
      <w:r w:rsidRPr="00832773">
        <w:rPr>
          <w:rFonts w:cs="Calibri"/>
          <w:bCs/>
        </w:rPr>
        <w:t xml:space="preserve"> el </w:t>
      </w:r>
      <w:r w:rsidR="00F74AF9" w:rsidRPr="00832773">
        <w:rPr>
          <w:rFonts w:cs="Calibri"/>
          <w:bCs/>
        </w:rPr>
        <w:t>recomendado por parte de</w:t>
      </w:r>
      <w:r w:rsidRPr="00832773">
        <w:rPr>
          <w:rFonts w:cs="Calibri"/>
          <w:bCs/>
        </w:rPr>
        <w:t xml:space="preserve"> la Dirección de Planificación por </w:t>
      </w:r>
      <w:r w:rsidR="00F74AF9" w:rsidRPr="00832773">
        <w:rPr>
          <w:rFonts w:cs="Calibri"/>
          <w:bCs/>
        </w:rPr>
        <w:t xml:space="preserve">la necesidad identificada de hacer ajustes en competencias </w:t>
      </w:r>
      <w:r w:rsidR="00E37EED" w:rsidRPr="00832773">
        <w:rPr>
          <w:rFonts w:cs="Calibri"/>
          <w:bCs/>
        </w:rPr>
        <w:t xml:space="preserve">civiles </w:t>
      </w:r>
      <w:r w:rsidR="00F74AF9" w:rsidRPr="00832773">
        <w:rPr>
          <w:rFonts w:cs="Calibri"/>
          <w:bCs/>
        </w:rPr>
        <w:t>más allá de la cuantía, los cuales solo pueden ser incorporados al ordenamiento jurídico mediante una ley</w:t>
      </w:r>
      <w:r w:rsidRPr="00832773">
        <w:rPr>
          <w:rFonts w:cs="Calibri"/>
          <w:bCs/>
        </w:rPr>
        <w:t xml:space="preserve">, tales como </w:t>
      </w:r>
      <w:r w:rsidR="00F74AF9" w:rsidRPr="00832773">
        <w:rPr>
          <w:rFonts w:cs="Calibri"/>
          <w:bCs/>
        </w:rPr>
        <w:t>ampliación de</w:t>
      </w:r>
      <w:r w:rsidRPr="00832773">
        <w:rPr>
          <w:rFonts w:cs="Calibri"/>
          <w:bCs/>
        </w:rPr>
        <w:t xml:space="preserve"> competencias del Tribunal de Apelación</w:t>
      </w:r>
      <w:r w:rsidR="008D2B4E" w:rsidRPr="00832773">
        <w:rPr>
          <w:rFonts w:cs="Calibri"/>
          <w:bCs/>
        </w:rPr>
        <w:t xml:space="preserve"> Contencioso Administrativ</w:t>
      </w:r>
      <w:r w:rsidR="00A041B3" w:rsidRPr="00832773">
        <w:rPr>
          <w:rFonts w:cs="Calibri"/>
          <w:bCs/>
        </w:rPr>
        <w:t>o</w:t>
      </w:r>
      <w:r w:rsidR="00F74AF9" w:rsidRPr="00832773">
        <w:rPr>
          <w:rFonts w:cs="Calibri"/>
          <w:bCs/>
        </w:rPr>
        <w:t xml:space="preserve">, distribución de competencias entre oficinas de primera instancia civil y que incluso puedan conocerse de forma unipersonal en tribunales. </w:t>
      </w:r>
    </w:p>
    <w:p w14:paraId="20081585" w14:textId="77777777" w:rsidR="00F74AF9" w:rsidRPr="00832773" w:rsidRDefault="00F74AF9" w:rsidP="00CE62C1">
      <w:pPr>
        <w:spacing w:line="276" w:lineRule="auto"/>
        <w:rPr>
          <w:rFonts w:cs="Calibri"/>
          <w:bCs/>
        </w:rPr>
      </w:pPr>
    </w:p>
    <w:p w14:paraId="57477E9D" w14:textId="6DEABEC2" w:rsidR="00D61942" w:rsidRPr="004E74A6" w:rsidRDefault="00D61942" w:rsidP="00CE62C1">
      <w:pPr>
        <w:spacing w:line="276" w:lineRule="auto"/>
        <w:rPr>
          <w:rFonts w:eastAsia="Calibri"/>
          <w:szCs w:val="24"/>
          <w:lang w:eastAsia="en-US"/>
        </w:rPr>
      </w:pPr>
      <w:r w:rsidRPr="00832773">
        <w:rPr>
          <w:rFonts w:cs="Calibri"/>
          <w:bCs/>
        </w:rPr>
        <w:t xml:space="preserve">Según el criterio de la Dirección Jurídica en el oficio </w:t>
      </w:r>
      <w:r w:rsidRPr="004E74A6">
        <w:rPr>
          <w:rFonts w:eastAsia="Calibri"/>
          <w:szCs w:val="24"/>
          <w:lang w:eastAsia="en-US"/>
        </w:rPr>
        <w:t>DJ-C-111-2021, se indic</w:t>
      </w:r>
      <w:r w:rsidR="00E37EED" w:rsidRPr="004E74A6">
        <w:rPr>
          <w:rFonts w:eastAsia="Calibri"/>
          <w:szCs w:val="24"/>
          <w:lang w:eastAsia="en-US"/>
        </w:rPr>
        <w:t>ó</w:t>
      </w:r>
      <w:r w:rsidRPr="004E74A6">
        <w:rPr>
          <w:rFonts w:eastAsia="Calibri"/>
          <w:szCs w:val="24"/>
          <w:lang w:eastAsia="en-US"/>
        </w:rPr>
        <w:t>:</w:t>
      </w:r>
    </w:p>
    <w:p w14:paraId="6CD13854" w14:textId="77777777" w:rsidR="00D61942" w:rsidRPr="004E74A6" w:rsidRDefault="00D61942" w:rsidP="00CE62C1">
      <w:pPr>
        <w:spacing w:after="160" w:line="276" w:lineRule="auto"/>
        <w:contextualSpacing/>
        <w:rPr>
          <w:rFonts w:eastAsia="Calibri"/>
          <w:szCs w:val="24"/>
          <w:lang w:eastAsia="en-US"/>
        </w:rPr>
      </w:pPr>
    </w:p>
    <w:p w14:paraId="31DC9D8F" w14:textId="121B637D" w:rsidR="00D61942" w:rsidRPr="004E74A6" w:rsidRDefault="00D61942" w:rsidP="00832773">
      <w:pPr>
        <w:spacing w:line="276" w:lineRule="auto"/>
        <w:ind w:left="567" w:right="476"/>
        <w:contextualSpacing/>
        <w:rPr>
          <w:rFonts w:eastAsia="Calibri"/>
          <w:i/>
          <w:iCs/>
          <w:sz w:val="22"/>
          <w:szCs w:val="22"/>
          <w:lang w:eastAsia="en-US"/>
        </w:rPr>
      </w:pPr>
      <w:r w:rsidRPr="004E74A6">
        <w:rPr>
          <w:rFonts w:eastAsia="Calibri"/>
          <w:i/>
          <w:iCs/>
          <w:sz w:val="22"/>
          <w:szCs w:val="22"/>
          <w:lang w:eastAsia="en-US"/>
        </w:rPr>
        <w:t>“</w:t>
      </w:r>
    </w:p>
    <w:p w14:paraId="7795453F" w14:textId="77777777" w:rsidR="00D61942" w:rsidRPr="004E74A6" w:rsidRDefault="00D61942" w:rsidP="00832773">
      <w:pPr>
        <w:spacing w:line="276" w:lineRule="auto"/>
        <w:ind w:left="567" w:right="476"/>
        <w:contextualSpacing/>
        <w:rPr>
          <w:rFonts w:eastAsia="Calibri"/>
          <w:i/>
          <w:iCs/>
          <w:sz w:val="22"/>
          <w:szCs w:val="22"/>
          <w:lang w:eastAsia="en-US"/>
        </w:rPr>
      </w:pPr>
      <w:r w:rsidRPr="004E74A6">
        <w:rPr>
          <w:rFonts w:eastAsia="Calibri"/>
          <w:i/>
          <w:iCs/>
          <w:sz w:val="22"/>
          <w:szCs w:val="22"/>
          <w:lang w:eastAsia="en-US"/>
        </w:rPr>
        <w:t>1.</w:t>
      </w:r>
      <w:r w:rsidRPr="004E74A6">
        <w:rPr>
          <w:rFonts w:eastAsia="Calibri"/>
          <w:i/>
          <w:iCs/>
          <w:sz w:val="22"/>
          <w:szCs w:val="22"/>
          <w:lang w:eastAsia="en-US"/>
        </w:rPr>
        <w:tab/>
        <w:t>La determinación de límites económicos como cuantía de los procesos judiciales en materia civil, constituye una potestad concedida por ley a la Corte Suprema de Justicia, como parte del ejercicio de gobierno administrativo del Poder Judicial (artículos 46, 59 y 114 de la Ley Orgánica del Poder Judicial; 16 y 158.4 de la Ley General de la Administración Pública).</w:t>
      </w:r>
    </w:p>
    <w:p w14:paraId="348E7AF9" w14:textId="77777777" w:rsidR="00D61942" w:rsidRPr="004E74A6" w:rsidRDefault="00D61942" w:rsidP="00832773">
      <w:pPr>
        <w:spacing w:line="276" w:lineRule="auto"/>
        <w:ind w:left="567" w:right="476"/>
        <w:contextualSpacing/>
        <w:rPr>
          <w:rFonts w:eastAsia="Calibri"/>
          <w:i/>
          <w:iCs/>
          <w:sz w:val="22"/>
          <w:szCs w:val="22"/>
          <w:lang w:eastAsia="en-US"/>
        </w:rPr>
      </w:pPr>
    </w:p>
    <w:p w14:paraId="59106A50" w14:textId="77777777" w:rsidR="00D61942" w:rsidRPr="004E74A6" w:rsidRDefault="00D61942" w:rsidP="00832773">
      <w:pPr>
        <w:spacing w:line="276" w:lineRule="auto"/>
        <w:ind w:left="567" w:right="476"/>
        <w:contextualSpacing/>
        <w:rPr>
          <w:rFonts w:eastAsia="Calibri"/>
          <w:i/>
          <w:iCs/>
          <w:sz w:val="22"/>
          <w:szCs w:val="22"/>
          <w:lang w:eastAsia="en-US"/>
        </w:rPr>
      </w:pPr>
      <w:r w:rsidRPr="004E74A6">
        <w:rPr>
          <w:rFonts w:eastAsia="Calibri"/>
          <w:i/>
          <w:iCs/>
          <w:sz w:val="22"/>
          <w:szCs w:val="22"/>
          <w:lang w:eastAsia="en-US"/>
        </w:rPr>
        <w:t>2.</w:t>
      </w:r>
      <w:r w:rsidRPr="004E74A6">
        <w:rPr>
          <w:rFonts w:eastAsia="Calibri"/>
          <w:i/>
          <w:iCs/>
          <w:sz w:val="22"/>
          <w:szCs w:val="22"/>
          <w:lang w:eastAsia="en-US"/>
        </w:rPr>
        <w:tab/>
        <w:t>La existencia de la potestad de fijación de cuantía como de reserva de ley, se establece en la Ley Orgánica del Poder Judicial y el Código Procesal Civil para la delimitación de la competencia objetiva en los procesos ordinarios exclusivamente y a efecto de deslindar las competencias de los tribunales y juzgados en materia civil, en mayor o menor cuantía; así como el acceso al recurso de casación.</w:t>
      </w:r>
    </w:p>
    <w:p w14:paraId="65CB6051" w14:textId="77777777" w:rsidR="00D61942" w:rsidRPr="004E74A6" w:rsidRDefault="00D61942" w:rsidP="00832773">
      <w:pPr>
        <w:spacing w:line="276" w:lineRule="auto"/>
        <w:ind w:left="567" w:right="476"/>
        <w:contextualSpacing/>
        <w:rPr>
          <w:rFonts w:eastAsia="Calibri"/>
          <w:i/>
          <w:iCs/>
          <w:sz w:val="22"/>
          <w:szCs w:val="22"/>
          <w:lang w:eastAsia="en-US"/>
        </w:rPr>
      </w:pPr>
    </w:p>
    <w:p w14:paraId="463AFAC9" w14:textId="77777777" w:rsidR="00D61942" w:rsidRPr="004E74A6" w:rsidRDefault="00D61942" w:rsidP="00832773">
      <w:pPr>
        <w:spacing w:line="276" w:lineRule="auto"/>
        <w:ind w:left="567" w:right="476"/>
        <w:contextualSpacing/>
        <w:rPr>
          <w:rFonts w:eastAsia="Calibri"/>
          <w:i/>
          <w:iCs/>
          <w:szCs w:val="24"/>
          <w:lang w:eastAsia="en-US"/>
        </w:rPr>
      </w:pPr>
      <w:r w:rsidRPr="004E74A6">
        <w:rPr>
          <w:rFonts w:eastAsia="Calibri"/>
          <w:i/>
          <w:iCs/>
          <w:sz w:val="22"/>
          <w:szCs w:val="22"/>
          <w:lang w:eastAsia="en-US"/>
        </w:rPr>
        <w:t>3.</w:t>
      </w:r>
      <w:r w:rsidRPr="004E74A6">
        <w:rPr>
          <w:rFonts w:eastAsia="Calibri"/>
          <w:i/>
          <w:iCs/>
          <w:sz w:val="22"/>
          <w:szCs w:val="22"/>
          <w:lang w:eastAsia="en-US"/>
        </w:rPr>
        <w:tab/>
      </w:r>
      <w:r w:rsidRPr="004E74A6">
        <w:rPr>
          <w:rFonts w:eastAsia="Calibri"/>
          <w:i/>
          <w:iCs/>
          <w:sz w:val="22"/>
          <w:szCs w:val="22"/>
          <w:shd w:val="clear" w:color="auto" w:fill="E2EFD9"/>
          <w:lang w:eastAsia="en-US"/>
        </w:rPr>
        <w:t xml:space="preserve">No se advierte la existencia de norma que habilite a la Corte Suprema de Justicia a realizar otro tipo de fijación de competencias en materia civil, ni a establecer cuantías diferenciadas según lo planteado por la Dirección de Planificación. En este sentido se requeriría una reforma legal que así lo permita”. </w:t>
      </w:r>
      <w:r w:rsidRPr="004E74A6">
        <w:rPr>
          <w:rFonts w:eastAsia="Calibri"/>
          <w:lang w:eastAsia="en-US"/>
        </w:rPr>
        <w:t>(Lo resaltado en verde no es del original).</w:t>
      </w:r>
    </w:p>
    <w:p w14:paraId="426C7EC1" w14:textId="77777777" w:rsidR="00D61942" w:rsidRPr="00832773" w:rsidRDefault="00D61942" w:rsidP="00CE62C1">
      <w:pPr>
        <w:spacing w:line="276" w:lineRule="auto"/>
        <w:rPr>
          <w:rFonts w:cs="Calibri"/>
          <w:bCs/>
        </w:rPr>
      </w:pPr>
    </w:p>
    <w:p w14:paraId="6FFDBF2C" w14:textId="64261C77" w:rsidR="00D61942" w:rsidRPr="00832773" w:rsidRDefault="00E37EED" w:rsidP="00CE62C1">
      <w:pPr>
        <w:spacing w:line="276" w:lineRule="auto"/>
        <w:rPr>
          <w:rFonts w:cs="Calibri"/>
          <w:bCs/>
        </w:rPr>
      </w:pPr>
      <w:r w:rsidRPr="00832773">
        <w:rPr>
          <w:rFonts w:cs="Calibri"/>
          <w:bCs/>
        </w:rPr>
        <w:t xml:space="preserve">Según el criterio </w:t>
      </w:r>
      <w:r w:rsidR="00D61942" w:rsidRPr="00832773">
        <w:rPr>
          <w:rFonts w:cs="Calibri"/>
          <w:bCs/>
        </w:rPr>
        <w:t xml:space="preserve">anterior, la Corte Suprema de Justicia para llevar a cabo fijaciones en competencias en materia </w:t>
      </w:r>
      <w:r w:rsidR="00A45D92" w:rsidRPr="00832773">
        <w:rPr>
          <w:rFonts w:cs="Calibri"/>
          <w:bCs/>
        </w:rPr>
        <w:t>C</w:t>
      </w:r>
      <w:r w:rsidR="00D61942" w:rsidRPr="00832773">
        <w:rPr>
          <w:rFonts w:cs="Calibri"/>
          <w:bCs/>
        </w:rPr>
        <w:t xml:space="preserve">ivil o establecer cuantías diferenciadas requiere de una modificación legal que le brinde dicha potestad, la cual permitiría a largo plazo que la Corte sea capaz mediante la base técnica oportuna, el tomar decisiones que respecto a dichos puntos para emparejar las necesidades de las personas usuarias en materia </w:t>
      </w:r>
      <w:r w:rsidRPr="00832773">
        <w:rPr>
          <w:rFonts w:cs="Calibri"/>
          <w:bCs/>
        </w:rPr>
        <w:t>C</w:t>
      </w:r>
      <w:r w:rsidR="00D61942" w:rsidRPr="00832773">
        <w:rPr>
          <w:rFonts w:cs="Calibri"/>
          <w:bCs/>
        </w:rPr>
        <w:t xml:space="preserve">ivil con la capacidad institucional para poder </w:t>
      </w:r>
      <w:r w:rsidR="007935F4" w:rsidRPr="00832773">
        <w:rPr>
          <w:rFonts w:cs="Calibri"/>
          <w:bCs/>
        </w:rPr>
        <w:t>dar una atención oportuna.</w:t>
      </w:r>
    </w:p>
    <w:p w14:paraId="2E55D9B9" w14:textId="3B76939C" w:rsidR="007935F4" w:rsidRPr="00832773" w:rsidRDefault="00DC399D" w:rsidP="00CE62C1">
      <w:pPr>
        <w:spacing w:line="276" w:lineRule="auto"/>
        <w:rPr>
          <w:rFonts w:cs="Calibri"/>
          <w:bCs/>
        </w:rPr>
      </w:pPr>
      <w:r>
        <w:rPr>
          <w:rFonts w:cs="Calibri"/>
          <w:bCs/>
        </w:rPr>
        <w:lastRenderedPageBreak/>
        <w:t>A</w:t>
      </w:r>
      <w:r w:rsidR="007935F4" w:rsidRPr="00832773">
        <w:rPr>
          <w:rFonts w:cs="Calibri"/>
          <w:bCs/>
        </w:rPr>
        <w:t xml:space="preserve">dicionalmente, se hace ver que a nivel de casaciones dentro de la Sala Primera </w:t>
      </w:r>
      <w:r w:rsidR="00E37EED" w:rsidRPr="00832773">
        <w:rPr>
          <w:rFonts w:cs="Calibri"/>
          <w:bCs/>
        </w:rPr>
        <w:t>considerando</w:t>
      </w:r>
      <w:r w:rsidR="007935F4" w:rsidRPr="00832773">
        <w:rPr>
          <w:rFonts w:cs="Calibri"/>
          <w:bCs/>
        </w:rPr>
        <w:t xml:space="preserve"> un promedio del 2019 al 2021, la materia </w:t>
      </w:r>
      <w:r w:rsidR="0088004A" w:rsidRPr="00832773">
        <w:rPr>
          <w:rFonts w:cs="Calibri"/>
          <w:bCs/>
        </w:rPr>
        <w:t>C</w:t>
      </w:r>
      <w:r w:rsidR="007935F4" w:rsidRPr="00832773">
        <w:rPr>
          <w:rFonts w:cs="Calibri"/>
          <w:bCs/>
        </w:rPr>
        <w:t xml:space="preserve">ivil </w:t>
      </w:r>
      <w:r w:rsidR="00FC06B8" w:rsidRPr="00832773">
        <w:rPr>
          <w:rFonts w:cs="Calibri"/>
          <w:bCs/>
        </w:rPr>
        <w:t>representó</w:t>
      </w:r>
      <w:r w:rsidR="007935F4" w:rsidRPr="00832773">
        <w:rPr>
          <w:rFonts w:cs="Calibri"/>
          <w:bCs/>
        </w:rPr>
        <w:t xml:space="preserve"> el 44% de las casaciones </w:t>
      </w:r>
      <w:r w:rsidR="00FC06B8" w:rsidRPr="00832773">
        <w:rPr>
          <w:rFonts w:cs="Calibri"/>
          <w:bCs/>
        </w:rPr>
        <w:t xml:space="preserve">entradas </w:t>
      </w:r>
      <w:r w:rsidR="007935F4" w:rsidRPr="00832773">
        <w:rPr>
          <w:rFonts w:cs="Calibri"/>
          <w:bCs/>
        </w:rPr>
        <w:t xml:space="preserve">mientras que la materia </w:t>
      </w:r>
      <w:r w:rsidR="00E67044" w:rsidRPr="00832773">
        <w:rPr>
          <w:rFonts w:cs="Calibri"/>
          <w:bCs/>
        </w:rPr>
        <w:t>Contencioso-Administrativa</w:t>
      </w:r>
      <w:r w:rsidR="007935F4" w:rsidRPr="00832773">
        <w:rPr>
          <w:rFonts w:cs="Calibri"/>
          <w:bCs/>
        </w:rPr>
        <w:t xml:space="preserve"> </w:t>
      </w:r>
      <w:r w:rsidR="00FC06B8" w:rsidRPr="00832773">
        <w:rPr>
          <w:rFonts w:cs="Calibri"/>
          <w:bCs/>
        </w:rPr>
        <w:t>representó el</w:t>
      </w:r>
      <w:r w:rsidR="007935F4" w:rsidRPr="00832773">
        <w:rPr>
          <w:rFonts w:cs="Calibri"/>
          <w:bCs/>
        </w:rPr>
        <w:t xml:space="preserve"> 48%, en conjunto </w:t>
      </w:r>
      <w:r w:rsidR="00FC06B8" w:rsidRPr="00832773">
        <w:rPr>
          <w:rFonts w:cs="Calibri"/>
          <w:bCs/>
        </w:rPr>
        <w:t>cubren el</w:t>
      </w:r>
      <w:r w:rsidR="007935F4" w:rsidRPr="00832773">
        <w:rPr>
          <w:rFonts w:cs="Calibri"/>
          <w:bCs/>
        </w:rPr>
        <w:t xml:space="preserve"> 92%</w:t>
      </w:r>
      <w:r w:rsidR="00FC06B8" w:rsidRPr="00832773">
        <w:rPr>
          <w:rFonts w:cs="Calibri"/>
          <w:bCs/>
        </w:rPr>
        <w:t xml:space="preserve"> de la entrada total de la Sala</w:t>
      </w:r>
      <w:r w:rsidR="007935F4" w:rsidRPr="00832773">
        <w:rPr>
          <w:rFonts w:cs="Calibri"/>
          <w:bCs/>
        </w:rPr>
        <w:t>.</w:t>
      </w:r>
    </w:p>
    <w:p w14:paraId="30983BBB" w14:textId="77777777" w:rsidR="00E37EED" w:rsidRPr="00832773" w:rsidRDefault="00E37EED" w:rsidP="00CE62C1">
      <w:pPr>
        <w:spacing w:line="276" w:lineRule="auto"/>
        <w:rPr>
          <w:rFonts w:cs="Calibri"/>
          <w:bCs/>
        </w:rPr>
      </w:pPr>
    </w:p>
    <w:p w14:paraId="36732DE8" w14:textId="3C6D84DF" w:rsidR="00FF25C8" w:rsidRPr="00832773" w:rsidRDefault="007935F4" w:rsidP="00CE62C1">
      <w:pPr>
        <w:spacing w:line="276" w:lineRule="auto"/>
        <w:rPr>
          <w:rFonts w:cs="Calibri"/>
          <w:bCs/>
        </w:rPr>
      </w:pPr>
      <w:r w:rsidRPr="00832773">
        <w:rPr>
          <w:rFonts w:cs="Calibri"/>
          <w:bCs/>
        </w:rPr>
        <w:t>Ahora bien, a pesar de tener el dato anterior con promedios, la tendencia individual año con año muestra una diferencia entre ambas materias. Para la materia civil e</w:t>
      </w:r>
      <w:r w:rsidR="00FC06B8" w:rsidRPr="00832773">
        <w:rPr>
          <w:rFonts w:cs="Calibri"/>
          <w:bCs/>
        </w:rPr>
        <w:t>n</w:t>
      </w:r>
      <w:r w:rsidRPr="00832773">
        <w:rPr>
          <w:rFonts w:cs="Calibri"/>
          <w:bCs/>
        </w:rPr>
        <w:t xml:space="preserve"> 2019 </w:t>
      </w:r>
      <w:r w:rsidR="00FC06B8" w:rsidRPr="00832773">
        <w:rPr>
          <w:rFonts w:cs="Calibri"/>
          <w:bCs/>
        </w:rPr>
        <w:t>ingresó un total de</w:t>
      </w:r>
      <w:r w:rsidRPr="00832773">
        <w:rPr>
          <w:rFonts w:cs="Calibri"/>
          <w:bCs/>
        </w:rPr>
        <w:t xml:space="preserve"> 667 recursos</w:t>
      </w:r>
      <w:r w:rsidR="00FC06B8" w:rsidRPr="00832773">
        <w:rPr>
          <w:rFonts w:cs="Calibri"/>
          <w:bCs/>
        </w:rPr>
        <w:t xml:space="preserve"> de casación</w:t>
      </w:r>
      <w:r w:rsidRPr="00832773">
        <w:rPr>
          <w:rFonts w:cs="Calibri"/>
          <w:bCs/>
        </w:rPr>
        <w:t xml:space="preserve">, </w:t>
      </w:r>
      <w:r w:rsidR="00FC06B8" w:rsidRPr="00832773">
        <w:rPr>
          <w:rFonts w:cs="Calibri"/>
          <w:bCs/>
        </w:rPr>
        <w:t xml:space="preserve">en </w:t>
      </w:r>
      <w:r w:rsidRPr="00832773">
        <w:rPr>
          <w:rFonts w:cs="Calibri"/>
          <w:bCs/>
        </w:rPr>
        <w:t xml:space="preserve">2020 </w:t>
      </w:r>
      <w:r w:rsidR="00FF25C8" w:rsidRPr="00832773">
        <w:rPr>
          <w:rFonts w:cs="Calibri"/>
          <w:bCs/>
        </w:rPr>
        <w:t xml:space="preserve">fueron </w:t>
      </w:r>
      <w:r w:rsidRPr="00832773">
        <w:rPr>
          <w:rFonts w:cs="Calibri"/>
          <w:bCs/>
        </w:rPr>
        <w:t>465 recursos y e</w:t>
      </w:r>
      <w:r w:rsidR="00FC06B8" w:rsidRPr="00832773">
        <w:rPr>
          <w:rFonts w:cs="Calibri"/>
          <w:bCs/>
        </w:rPr>
        <w:t>n</w:t>
      </w:r>
      <w:r w:rsidRPr="00832773">
        <w:rPr>
          <w:rFonts w:cs="Calibri"/>
          <w:bCs/>
        </w:rPr>
        <w:t xml:space="preserve"> 2021</w:t>
      </w:r>
      <w:r w:rsidR="00FF25C8" w:rsidRPr="00832773">
        <w:rPr>
          <w:rFonts w:cs="Calibri"/>
          <w:bCs/>
        </w:rPr>
        <w:t xml:space="preserve"> fueron</w:t>
      </w:r>
      <w:r w:rsidRPr="00832773">
        <w:rPr>
          <w:rFonts w:cs="Calibri"/>
          <w:bCs/>
        </w:rPr>
        <w:t xml:space="preserve"> 338 recursos, mostrando una disminución año con año</w:t>
      </w:r>
      <w:r w:rsidR="00FF25C8" w:rsidRPr="00832773">
        <w:rPr>
          <w:rFonts w:cs="Calibri"/>
          <w:bCs/>
        </w:rPr>
        <w:t xml:space="preserve">, disminuyendo más de 300 recursos entre el 2019 y 2021. </w:t>
      </w:r>
    </w:p>
    <w:p w14:paraId="508F36E7" w14:textId="77777777" w:rsidR="00FC06B8" w:rsidRPr="00832773" w:rsidRDefault="00FC06B8" w:rsidP="00CE62C1">
      <w:pPr>
        <w:spacing w:line="276" w:lineRule="auto"/>
        <w:rPr>
          <w:rFonts w:cs="Calibri"/>
          <w:bCs/>
        </w:rPr>
      </w:pPr>
    </w:p>
    <w:p w14:paraId="27F2FB38" w14:textId="0D828F66" w:rsidR="00FF25C8" w:rsidRPr="00832773" w:rsidRDefault="00FF25C8" w:rsidP="00CE62C1">
      <w:pPr>
        <w:spacing w:line="276" w:lineRule="auto"/>
        <w:rPr>
          <w:rFonts w:cs="Calibri"/>
          <w:bCs/>
        </w:rPr>
      </w:pPr>
      <w:r w:rsidRPr="00832773">
        <w:rPr>
          <w:rFonts w:cs="Calibri"/>
          <w:bCs/>
        </w:rPr>
        <w:t>Por otra parte, la materia contenciosa tuvo los siguientes recursos 582 para el 2019, 500 para el 2020 y 518 para el 2021, lo cual ha mantenido una cantidad que se encuentra entre los 500 y 600 recursos por año.</w:t>
      </w:r>
    </w:p>
    <w:p w14:paraId="4CC060E1" w14:textId="77777777" w:rsidR="00FC06B8" w:rsidRPr="00832773" w:rsidRDefault="00FC06B8" w:rsidP="00CE62C1">
      <w:pPr>
        <w:spacing w:line="276" w:lineRule="auto"/>
        <w:rPr>
          <w:rFonts w:cs="Calibri"/>
          <w:bCs/>
        </w:rPr>
      </w:pPr>
    </w:p>
    <w:p w14:paraId="64C3FE24" w14:textId="0B148E87" w:rsidR="00FF25C8" w:rsidRPr="00832773" w:rsidRDefault="00FF25C8" w:rsidP="00CE62C1">
      <w:pPr>
        <w:spacing w:line="276" w:lineRule="auto"/>
        <w:rPr>
          <w:rFonts w:cs="Calibri"/>
          <w:bCs/>
        </w:rPr>
      </w:pPr>
      <w:r w:rsidRPr="00832773">
        <w:rPr>
          <w:rFonts w:cs="Calibri"/>
          <w:bCs/>
        </w:rPr>
        <w:t xml:space="preserve">Si bien es necesario contextualizar dichos datos dentro de eventos que pudieron afectar su entrada, como el nuevo Código Procesal Civil, así como la pandemia que enfrentó la institución </w:t>
      </w:r>
      <w:r w:rsidR="00FC06B8" w:rsidRPr="00832773">
        <w:rPr>
          <w:rFonts w:cs="Calibri"/>
          <w:bCs/>
        </w:rPr>
        <w:t>con efectos principalmente en</w:t>
      </w:r>
      <w:r w:rsidRPr="00832773">
        <w:rPr>
          <w:rFonts w:cs="Calibri"/>
          <w:bCs/>
        </w:rPr>
        <w:t xml:space="preserve"> 2020 y 2021, lo cierto es que se muestra una tendencia</w:t>
      </w:r>
      <w:r w:rsidR="00FC06B8" w:rsidRPr="00832773">
        <w:rPr>
          <w:rFonts w:cs="Calibri"/>
          <w:bCs/>
        </w:rPr>
        <w:t>,</w:t>
      </w:r>
      <w:r w:rsidRPr="00832773">
        <w:rPr>
          <w:rFonts w:cs="Calibri"/>
          <w:bCs/>
        </w:rPr>
        <w:t xml:space="preserve"> donde toma fuerza la recomendación que atender la entrada de la materia contenciosa administrativa a través de las reformas legales correspondientes </w:t>
      </w:r>
      <w:r w:rsidR="00FC06B8" w:rsidRPr="00832773">
        <w:rPr>
          <w:rFonts w:cs="Calibri"/>
          <w:bCs/>
        </w:rPr>
        <w:t>y</w:t>
      </w:r>
      <w:r w:rsidRPr="00832773">
        <w:rPr>
          <w:rFonts w:cs="Calibri"/>
          <w:bCs/>
        </w:rPr>
        <w:t xml:space="preserve"> disminuir la cantidad de recursos de casación que se están presentando año con año y que se ha convertido en el principal ingreso de la Sala Primera.</w:t>
      </w:r>
    </w:p>
    <w:p w14:paraId="2EAC94C8" w14:textId="77777777" w:rsidR="00662185" w:rsidRPr="00832773" w:rsidRDefault="00662185" w:rsidP="00CE62C1">
      <w:pPr>
        <w:spacing w:line="276" w:lineRule="auto"/>
        <w:rPr>
          <w:rFonts w:cs="Calibri"/>
          <w:bCs/>
        </w:rPr>
      </w:pPr>
    </w:p>
    <w:p w14:paraId="36AC4F3C" w14:textId="2DD477ED" w:rsidR="00C35AD4" w:rsidRPr="00832773" w:rsidRDefault="006364D1" w:rsidP="00CE62C1">
      <w:pPr>
        <w:spacing w:line="276" w:lineRule="auto"/>
        <w:rPr>
          <w:rFonts w:cs="Calibri"/>
          <w:bCs/>
        </w:rPr>
      </w:pPr>
      <w:r w:rsidRPr="00832773">
        <w:rPr>
          <w:rFonts w:cs="Calibri"/>
          <w:bCs/>
        </w:rPr>
        <w:t>Las posibles reformas para analizar</w:t>
      </w:r>
      <w:r w:rsidR="00C35AD4" w:rsidRPr="00832773">
        <w:rPr>
          <w:rFonts w:cs="Calibri"/>
          <w:bCs/>
        </w:rPr>
        <w:t xml:space="preserve"> serían en los siguientes temas: </w:t>
      </w:r>
    </w:p>
    <w:p w14:paraId="4B098C93" w14:textId="77777777" w:rsidR="00662185" w:rsidRPr="00832773" w:rsidRDefault="00662185" w:rsidP="00CE62C1">
      <w:pPr>
        <w:spacing w:line="276" w:lineRule="auto"/>
        <w:rPr>
          <w:rFonts w:cs="Calibri"/>
          <w:bCs/>
        </w:rPr>
      </w:pPr>
    </w:p>
    <w:p w14:paraId="5251FE8C" w14:textId="2C958CF1" w:rsidR="00C35AD4" w:rsidRPr="00832773" w:rsidRDefault="00C35AD4">
      <w:pPr>
        <w:pStyle w:val="Prrafodelista"/>
        <w:numPr>
          <w:ilvl w:val="0"/>
          <w:numId w:val="29"/>
        </w:numPr>
        <w:shd w:val="clear" w:color="auto" w:fill="FFFFFF"/>
        <w:spacing w:line="276" w:lineRule="auto"/>
        <w:ind w:right="51"/>
        <w:rPr>
          <w:rFonts w:ascii="Book Antiqua" w:hAnsi="Book Antiqua" w:cs="Calibri"/>
          <w:bCs/>
          <w:lang w:val="es-CR"/>
        </w:rPr>
      </w:pPr>
      <w:r w:rsidRPr="00832773">
        <w:rPr>
          <w:rFonts w:ascii="Book Antiqua" w:hAnsi="Book Antiqua" w:cs="Calibri"/>
          <w:bCs/>
          <w:lang w:val="es-CR"/>
        </w:rPr>
        <w:t>Fijación de cuantía en materia Contencioso-Administrativa para acceder al recurso de casación.</w:t>
      </w:r>
    </w:p>
    <w:p w14:paraId="2E9F342D" w14:textId="38B507FA" w:rsidR="00C35AD4" w:rsidRDefault="00C35AD4" w:rsidP="00CE62C1">
      <w:pPr>
        <w:pStyle w:val="Prrafodelista"/>
        <w:numPr>
          <w:ilvl w:val="0"/>
          <w:numId w:val="29"/>
        </w:numPr>
        <w:shd w:val="clear" w:color="auto" w:fill="FFFFFF"/>
        <w:spacing w:line="276" w:lineRule="auto"/>
        <w:ind w:right="51"/>
        <w:rPr>
          <w:rFonts w:ascii="Book Antiqua" w:hAnsi="Book Antiqua" w:cs="Calibri"/>
          <w:bCs/>
          <w:lang w:val="es-CR"/>
        </w:rPr>
      </w:pPr>
      <w:r w:rsidRPr="00832773">
        <w:rPr>
          <w:rFonts w:ascii="Book Antiqua" w:hAnsi="Book Antiqua" w:cs="Calibri"/>
          <w:bCs/>
          <w:lang w:val="es-CR"/>
        </w:rPr>
        <w:t>Reducción de los procesos que tendrán recurso ante la Sala o Tribunal de Casación como un recurso extraordinario en materia Contencioso-Administrativa.</w:t>
      </w:r>
    </w:p>
    <w:p w14:paraId="13FFDCF0" w14:textId="3560AC24" w:rsidR="005D1B48" w:rsidRDefault="005D1B48" w:rsidP="005D1B48">
      <w:pPr>
        <w:shd w:val="clear" w:color="auto" w:fill="FFFFFF"/>
        <w:spacing w:line="276" w:lineRule="auto"/>
        <w:ind w:right="51"/>
        <w:rPr>
          <w:rFonts w:cs="Calibri"/>
          <w:bCs/>
        </w:rPr>
      </w:pPr>
    </w:p>
    <w:p w14:paraId="58B8B838" w14:textId="41801FB3" w:rsidR="005D1B48" w:rsidRDefault="005D1B48" w:rsidP="005D1B48">
      <w:pPr>
        <w:shd w:val="clear" w:color="auto" w:fill="FFFFFF"/>
        <w:spacing w:line="276" w:lineRule="auto"/>
        <w:ind w:right="51"/>
        <w:rPr>
          <w:rFonts w:cs="Calibri"/>
          <w:bCs/>
        </w:rPr>
      </w:pPr>
    </w:p>
    <w:p w14:paraId="6B4CEA52" w14:textId="77777777" w:rsidR="005D1B48" w:rsidRPr="005D1B48" w:rsidRDefault="005D1B48" w:rsidP="005D1B48">
      <w:pPr>
        <w:shd w:val="clear" w:color="auto" w:fill="FFFFFF"/>
        <w:spacing w:line="276" w:lineRule="auto"/>
        <w:ind w:right="51"/>
        <w:rPr>
          <w:rFonts w:cs="Calibri"/>
          <w:bCs/>
        </w:rPr>
      </w:pPr>
    </w:p>
    <w:p w14:paraId="2CA16ABB" w14:textId="734894A2" w:rsidR="00C35AD4" w:rsidRPr="00832773" w:rsidRDefault="00C35AD4" w:rsidP="00CE62C1">
      <w:pPr>
        <w:pStyle w:val="Prrafodelista"/>
        <w:numPr>
          <w:ilvl w:val="0"/>
          <w:numId w:val="29"/>
        </w:numPr>
        <w:shd w:val="clear" w:color="auto" w:fill="FFFFFF"/>
        <w:spacing w:line="276" w:lineRule="auto"/>
        <w:ind w:right="51"/>
        <w:rPr>
          <w:rFonts w:ascii="Book Antiqua" w:hAnsi="Book Antiqua" w:cs="Calibri"/>
          <w:bCs/>
          <w:lang w:val="es-CR"/>
        </w:rPr>
      </w:pPr>
      <w:r w:rsidRPr="00832773">
        <w:rPr>
          <w:rFonts w:ascii="Book Antiqua" w:hAnsi="Book Antiqua" w:cs="Calibri"/>
          <w:bCs/>
          <w:lang w:val="es-CR"/>
        </w:rPr>
        <w:lastRenderedPageBreak/>
        <w:t>Ampliar las competencias del Tribunal de Apelación Contencioso Administrativo, de manera que se aporte mayor carga de trabajo al recurso actual; estableciendo procesos que puedan ser conocidos de forma unipersonal incluyendo resoluciones de fondo.</w:t>
      </w:r>
    </w:p>
    <w:p w14:paraId="427B0596" w14:textId="5290BA76" w:rsidR="009651FC" w:rsidRPr="00832773" w:rsidRDefault="009651FC" w:rsidP="00CE62C1">
      <w:pPr>
        <w:pStyle w:val="Prrafodelista"/>
        <w:numPr>
          <w:ilvl w:val="0"/>
          <w:numId w:val="29"/>
        </w:numPr>
        <w:shd w:val="clear" w:color="auto" w:fill="FFFFFF"/>
        <w:spacing w:line="276" w:lineRule="auto"/>
        <w:ind w:right="51"/>
        <w:rPr>
          <w:rFonts w:ascii="Book Antiqua" w:hAnsi="Book Antiqua" w:cs="Calibri"/>
          <w:bCs/>
          <w:lang w:val="es-CR"/>
        </w:rPr>
      </w:pPr>
      <w:r w:rsidRPr="00832773">
        <w:rPr>
          <w:rFonts w:ascii="Book Antiqua" w:hAnsi="Book Antiqua" w:cs="Calibri"/>
          <w:bCs/>
          <w:lang w:val="es-CR"/>
        </w:rPr>
        <w:t>Valorar las propuestas de reformulación de la estructura de la Sala Primera que se encuentran pendientes de ser conocidas, en temas como la especialización de la Sala y adición de magistratura.</w:t>
      </w:r>
    </w:p>
    <w:p w14:paraId="47884D3E" w14:textId="77777777" w:rsidR="00C35AD4" w:rsidRPr="00832773" w:rsidRDefault="00C35AD4" w:rsidP="00CE62C1">
      <w:pPr>
        <w:pStyle w:val="Prrafodelista"/>
        <w:numPr>
          <w:ilvl w:val="0"/>
          <w:numId w:val="29"/>
        </w:numPr>
        <w:shd w:val="clear" w:color="auto" w:fill="FFFFFF"/>
        <w:spacing w:line="276" w:lineRule="auto"/>
        <w:ind w:right="51"/>
        <w:rPr>
          <w:rFonts w:ascii="Book Antiqua" w:hAnsi="Book Antiqua" w:cs="Calibri"/>
          <w:bCs/>
          <w:lang w:val="es-CR"/>
        </w:rPr>
      </w:pPr>
      <w:r w:rsidRPr="00832773">
        <w:rPr>
          <w:rFonts w:ascii="Book Antiqua" w:hAnsi="Book Antiqua" w:cs="Calibri"/>
          <w:bCs/>
          <w:lang w:val="es-CR"/>
        </w:rPr>
        <w:t>Modificar la distribución de competencias entre los Juzgados Civiles y Cobratorios y entre estos y los Tribunales Colegiados de Primera Instancia Civil y consecuentemente el órgano superior, valorando las estructuras y cargas de trabajo actuales.</w:t>
      </w:r>
    </w:p>
    <w:p w14:paraId="53081E09" w14:textId="7975294A" w:rsidR="00C35AD4" w:rsidRPr="00832773" w:rsidRDefault="00C35AD4" w:rsidP="00CE62C1">
      <w:pPr>
        <w:pStyle w:val="Prrafodelista"/>
        <w:numPr>
          <w:ilvl w:val="0"/>
          <w:numId w:val="29"/>
        </w:numPr>
        <w:shd w:val="clear" w:color="auto" w:fill="FFFFFF"/>
        <w:spacing w:line="276" w:lineRule="auto"/>
        <w:ind w:right="51"/>
        <w:rPr>
          <w:rFonts w:ascii="Book Antiqua" w:hAnsi="Book Antiqua" w:cs="Calibri"/>
          <w:bCs/>
          <w:lang w:val="es-CR"/>
        </w:rPr>
      </w:pPr>
      <w:r w:rsidRPr="00832773">
        <w:rPr>
          <w:rFonts w:ascii="Book Antiqua" w:hAnsi="Book Antiqua" w:cs="Calibri"/>
          <w:bCs/>
          <w:lang w:val="es-CR"/>
        </w:rPr>
        <w:t>Definir procesos que puedan ser conocidos de forma unipersonal por los Tribunales Colegiados de Primera Instancia Civil. Esto maximizaría el recurso institucional y equilibraría cargas en Primera Instancia entre Juzgados y Tribunales.</w:t>
      </w:r>
    </w:p>
    <w:p w14:paraId="506E8E66" w14:textId="5B180F1A" w:rsidR="00930787" w:rsidRPr="00832773" w:rsidRDefault="00930787" w:rsidP="00CE62C1">
      <w:pPr>
        <w:pStyle w:val="Prrafodelista"/>
        <w:numPr>
          <w:ilvl w:val="0"/>
          <w:numId w:val="29"/>
        </w:numPr>
        <w:spacing w:line="276" w:lineRule="auto"/>
        <w:ind w:right="51"/>
        <w:rPr>
          <w:rFonts w:ascii="Book Antiqua" w:eastAsia="Calibri" w:hAnsi="Book Antiqua"/>
          <w:lang w:val="es-CR" w:eastAsia="en-US"/>
        </w:rPr>
      </w:pPr>
      <w:r w:rsidRPr="00832773">
        <w:rPr>
          <w:rFonts w:ascii="Book Antiqua" w:eastAsia="Calibri" w:hAnsi="Book Antiqua"/>
          <w:lang w:val="es-CR" w:eastAsia="en-US"/>
        </w:rPr>
        <w:t>Artículo 69.1 en lo que corresponde a la fijación de requisitos acceso al recurso de casación según Ley 9342, que según indic</w:t>
      </w:r>
      <w:r w:rsidR="00FD71C3" w:rsidRPr="00832773">
        <w:rPr>
          <w:rFonts w:ascii="Book Antiqua" w:eastAsia="Calibri" w:hAnsi="Book Antiqua"/>
          <w:lang w:val="es-CR" w:eastAsia="en-US"/>
        </w:rPr>
        <w:t>ó</w:t>
      </w:r>
      <w:r w:rsidRPr="00832773">
        <w:rPr>
          <w:rFonts w:ascii="Book Antiqua" w:eastAsia="Calibri" w:hAnsi="Book Antiqua"/>
          <w:lang w:val="es-CR" w:eastAsia="en-US"/>
        </w:rPr>
        <w:t xml:space="preserve"> la Dirección Jurídica literalmente en el criterio DJC-376-2021 el artículo 69.1 elimina competencia del 114 LOPJ: </w:t>
      </w:r>
      <w:r w:rsidRPr="00832773">
        <w:rPr>
          <w:rFonts w:ascii="Book Antiqua" w:eastAsia="Calibri" w:hAnsi="Book Antiqua"/>
          <w:sz w:val="22"/>
          <w:szCs w:val="22"/>
          <w:lang w:val="es-CR" w:eastAsia="en-US"/>
        </w:rPr>
        <w:t>“</w:t>
      </w:r>
      <w:r w:rsidRPr="00832773">
        <w:rPr>
          <w:rFonts w:ascii="Book Antiqua" w:eastAsia="Calibri" w:hAnsi="Book Antiqua"/>
          <w:i/>
          <w:iCs/>
          <w:sz w:val="22"/>
          <w:szCs w:val="22"/>
          <w:lang w:val="es-CR" w:eastAsia="en-US"/>
        </w:rPr>
        <w:t>Se debe tener presente que, con la reciente reforma al Código Procesal Civil, ahora se debe observar el requisito contemplado en el artículo 69.1 de esta nueva normativa, en cuanto a que el recurso de casación en materia civil es posible cuando se trate de un proceso ordinario de mayor cuantía o inestimables; esto por cuanto, no puede obviarse, que el Código Procesal Civil es de creación y vigencia posterior a la Ley Orgánica del Poder Judicial”.</w:t>
      </w:r>
    </w:p>
    <w:p w14:paraId="4C3E5A61" w14:textId="0F1E130F" w:rsidR="00C35AD4" w:rsidRPr="00832773" w:rsidRDefault="00C35AD4" w:rsidP="00CE62C1">
      <w:pPr>
        <w:spacing w:line="276" w:lineRule="auto"/>
        <w:rPr>
          <w:rFonts w:cs="Calibri"/>
          <w:bCs/>
        </w:rPr>
      </w:pPr>
    </w:p>
    <w:p w14:paraId="058B1948" w14:textId="707EB11E" w:rsidR="003B3230" w:rsidRPr="00832773" w:rsidRDefault="00543F36" w:rsidP="00CE62C1">
      <w:pPr>
        <w:spacing w:line="276" w:lineRule="auto"/>
      </w:pPr>
      <w:r w:rsidRPr="00832773">
        <w:rPr>
          <w:rFonts w:cs="Calibri"/>
          <w:bCs/>
        </w:rPr>
        <w:t>La valoración de estas propuestas, así como eventualmente la redacción propuesta de reforma, corresponde a la Sala Primera en coordinación con la Comisión de la Jurisdicción Civil.</w:t>
      </w:r>
      <w:r w:rsidRPr="00832773">
        <w:t xml:space="preserve">  </w:t>
      </w:r>
    </w:p>
    <w:p w14:paraId="7648C7C3" w14:textId="77777777" w:rsidR="003B3230" w:rsidRPr="004E74A6" w:rsidRDefault="003B3230" w:rsidP="00832773">
      <w:pPr>
        <w:spacing w:line="276" w:lineRule="auto"/>
      </w:pPr>
    </w:p>
    <w:p w14:paraId="3F67B843" w14:textId="7385DD89" w:rsidR="00494557" w:rsidRPr="004E74A6" w:rsidRDefault="008D1A7A" w:rsidP="00832773">
      <w:pPr>
        <w:keepNext/>
        <w:keepLines/>
        <w:numPr>
          <w:ilvl w:val="0"/>
          <w:numId w:val="2"/>
        </w:numPr>
        <w:shd w:val="clear" w:color="auto" w:fill="2F86BB"/>
        <w:spacing w:before="240" w:line="276" w:lineRule="auto"/>
        <w:outlineLvl w:val="0"/>
        <w:rPr>
          <w:b/>
          <w:color w:val="FFFFFF"/>
          <w:sz w:val="22"/>
          <w:szCs w:val="22"/>
          <w:lang w:eastAsia="en-US"/>
        </w:rPr>
      </w:pPr>
      <w:r w:rsidRPr="004E74A6">
        <w:rPr>
          <w:b/>
          <w:color w:val="FFFFFF"/>
          <w:sz w:val="22"/>
          <w:szCs w:val="22"/>
          <w:lang w:eastAsia="en-US"/>
        </w:rPr>
        <w:t>Impacto de un cambio de cuantía Civil en materia de Cobro Judicial</w:t>
      </w:r>
    </w:p>
    <w:p w14:paraId="7D612CE9" w14:textId="77777777" w:rsidR="00566C55" w:rsidRPr="004E74A6" w:rsidRDefault="00566C55" w:rsidP="00CE62C1">
      <w:pPr>
        <w:pStyle w:val="Prrafodelista"/>
        <w:numPr>
          <w:ilvl w:val="0"/>
          <w:numId w:val="3"/>
        </w:numPr>
        <w:spacing w:line="276" w:lineRule="auto"/>
        <w:contextualSpacing/>
        <w:rPr>
          <w:rFonts w:ascii="Book Antiqua" w:eastAsia="Calibri" w:hAnsi="Book Antiqua" w:cs="Times New Roman"/>
          <w:vanish/>
          <w:szCs w:val="20"/>
          <w:lang w:val="es-CR" w:eastAsia="en-US"/>
        </w:rPr>
      </w:pPr>
    </w:p>
    <w:p w14:paraId="1404ECD8" w14:textId="77777777" w:rsidR="00566C55" w:rsidRPr="004E74A6" w:rsidRDefault="00566C55" w:rsidP="00CE62C1">
      <w:pPr>
        <w:pStyle w:val="Prrafodelista"/>
        <w:numPr>
          <w:ilvl w:val="0"/>
          <w:numId w:val="3"/>
        </w:numPr>
        <w:spacing w:line="276" w:lineRule="auto"/>
        <w:contextualSpacing/>
        <w:rPr>
          <w:rFonts w:ascii="Book Antiqua" w:eastAsia="Calibri" w:hAnsi="Book Antiqua" w:cs="Times New Roman"/>
          <w:vanish/>
          <w:szCs w:val="20"/>
          <w:lang w:val="es-CR" w:eastAsia="en-US"/>
        </w:rPr>
      </w:pPr>
    </w:p>
    <w:p w14:paraId="7998364A" w14:textId="03ABAED5" w:rsidR="00DE7745" w:rsidRPr="004E74A6" w:rsidRDefault="00DE7745" w:rsidP="00CE62C1">
      <w:pPr>
        <w:spacing w:line="276" w:lineRule="auto"/>
        <w:rPr>
          <w:rFonts w:eastAsia="Calibri"/>
          <w:lang w:eastAsia="en-US"/>
        </w:rPr>
      </w:pPr>
      <w:r w:rsidRPr="004E74A6">
        <w:rPr>
          <w:rFonts w:eastAsia="Calibri"/>
          <w:lang w:eastAsia="en-US"/>
        </w:rPr>
        <w:t xml:space="preserve">El impacto en materia de Cobro Judicial sería respecto a los asuntos que ahora no tienen apelación (artículo 67.3) y que de elevarse la cuantía sí contaran con recurso, lo que afectaría </w:t>
      </w:r>
      <w:r w:rsidR="0062178C" w:rsidRPr="004E74A6">
        <w:rPr>
          <w:rFonts w:eastAsia="Calibri"/>
          <w:lang w:eastAsia="en-US"/>
        </w:rPr>
        <w:t>a los</w:t>
      </w:r>
      <w:r w:rsidRPr="004E74A6">
        <w:rPr>
          <w:rFonts w:eastAsia="Calibri"/>
          <w:lang w:eastAsia="en-US"/>
        </w:rPr>
        <w:t xml:space="preserve"> Tribunales de Apelación </w:t>
      </w:r>
      <w:r w:rsidR="0062178C" w:rsidRPr="004E74A6">
        <w:rPr>
          <w:rFonts w:eastAsia="Calibri"/>
          <w:lang w:eastAsia="en-US"/>
        </w:rPr>
        <w:t>Civil</w:t>
      </w:r>
      <w:r w:rsidRPr="004E74A6">
        <w:rPr>
          <w:rFonts w:eastAsia="Calibri"/>
          <w:lang w:eastAsia="en-US"/>
        </w:rPr>
        <w:t xml:space="preserve"> del país </w:t>
      </w:r>
      <w:r w:rsidR="0062178C" w:rsidRPr="004E74A6">
        <w:rPr>
          <w:rFonts w:eastAsia="Calibri"/>
          <w:lang w:eastAsia="en-US"/>
        </w:rPr>
        <w:t xml:space="preserve">(excepto el Tribunal Segundo de Apelación Civil de San José) </w:t>
      </w:r>
      <w:r w:rsidRPr="004E74A6">
        <w:rPr>
          <w:rFonts w:eastAsia="Calibri"/>
          <w:lang w:eastAsia="en-US"/>
        </w:rPr>
        <w:t xml:space="preserve">quienes conocen en segunda instancia las apelaciones de </w:t>
      </w:r>
      <w:r w:rsidR="006C6B56" w:rsidRPr="004E74A6">
        <w:rPr>
          <w:rFonts w:eastAsia="Calibri"/>
          <w:lang w:eastAsia="en-US"/>
        </w:rPr>
        <w:t>C</w:t>
      </w:r>
      <w:r w:rsidRPr="004E74A6">
        <w:rPr>
          <w:rFonts w:eastAsia="Calibri"/>
          <w:lang w:eastAsia="en-US"/>
        </w:rPr>
        <w:t xml:space="preserve">obro </w:t>
      </w:r>
      <w:r w:rsidR="006C6B56" w:rsidRPr="004E74A6">
        <w:rPr>
          <w:rFonts w:eastAsia="Calibri"/>
          <w:lang w:eastAsia="en-US"/>
        </w:rPr>
        <w:t>Ju</w:t>
      </w:r>
      <w:r w:rsidRPr="004E74A6">
        <w:rPr>
          <w:rFonts w:eastAsia="Calibri"/>
          <w:lang w:eastAsia="en-US"/>
        </w:rPr>
        <w:t>dicial</w:t>
      </w:r>
      <w:r w:rsidR="0062178C" w:rsidRPr="004E74A6">
        <w:rPr>
          <w:rFonts w:eastAsia="Calibri"/>
          <w:lang w:eastAsia="en-US"/>
        </w:rPr>
        <w:t xml:space="preserve"> </w:t>
      </w:r>
    </w:p>
    <w:p w14:paraId="78B4BD72" w14:textId="6C5ECDBC" w:rsidR="00C26143" w:rsidRPr="004E74A6" w:rsidRDefault="007D6872" w:rsidP="00832773">
      <w:pPr>
        <w:spacing w:line="276" w:lineRule="auto"/>
        <w:rPr>
          <w:rFonts w:eastAsia="Calibri"/>
          <w:szCs w:val="24"/>
          <w:lang w:eastAsia="en-US"/>
        </w:rPr>
      </w:pPr>
      <w:r w:rsidRPr="004E74A6">
        <w:rPr>
          <w:rFonts w:eastAsia="Calibri"/>
          <w:lang w:eastAsia="en-US"/>
        </w:rPr>
        <w:lastRenderedPageBreak/>
        <w:t xml:space="preserve">En la siguiente tabla se tiene una recopilación de todos los asuntos de los Juzgados de </w:t>
      </w:r>
      <w:r w:rsidR="006C6B56" w:rsidRPr="004E74A6">
        <w:rPr>
          <w:rFonts w:eastAsia="Calibri"/>
          <w:lang w:eastAsia="en-US"/>
        </w:rPr>
        <w:t>C</w:t>
      </w:r>
      <w:r w:rsidRPr="004E74A6">
        <w:rPr>
          <w:rFonts w:eastAsia="Calibri"/>
          <w:lang w:eastAsia="en-US"/>
        </w:rPr>
        <w:t xml:space="preserve">obro a nivel nacional, considerando </w:t>
      </w:r>
      <w:r w:rsidR="00D468C5" w:rsidRPr="004E74A6">
        <w:rPr>
          <w:rFonts w:eastAsia="Calibri"/>
          <w:lang w:eastAsia="en-US"/>
        </w:rPr>
        <w:t>todos los tipos</w:t>
      </w:r>
      <w:r w:rsidRPr="004E74A6">
        <w:rPr>
          <w:rFonts w:eastAsia="Calibri"/>
          <w:lang w:eastAsia="en-US"/>
        </w:rPr>
        <w:t xml:space="preserve"> de carpeta y clasificándolos según el rango de cuantía para tener estimaciones sobre el comportamiento de un posible escenario de elevar el monto de cuantía y cómo podría afectar eventualmente a los Tribunales de Apelación.</w:t>
      </w:r>
    </w:p>
    <w:p w14:paraId="4E9B2C45" w14:textId="77777777" w:rsidR="005D1B48" w:rsidRDefault="005D1B48" w:rsidP="00832773">
      <w:pPr>
        <w:pStyle w:val="Descripcin"/>
        <w:keepNext/>
        <w:spacing w:line="276" w:lineRule="auto"/>
        <w:jc w:val="center"/>
        <w:rPr>
          <w:rFonts w:ascii="Book Antiqua" w:hAnsi="Book Antiqua"/>
          <w:i/>
          <w:iCs/>
          <w:sz w:val="20"/>
          <w:szCs w:val="16"/>
          <w:lang w:val="es-CR"/>
        </w:rPr>
      </w:pPr>
    </w:p>
    <w:p w14:paraId="7BAF8601" w14:textId="00C632E5" w:rsidR="007D6872" w:rsidRPr="00832773" w:rsidRDefault="007D6872" w:rsidP="00832773">
      <w:pPr>
        <w:pStyle w:val="Descripcin"/>
        <w:keepNext/>
        <w:spacing w:line="276" w:lineRule="auto"/>
        <w:jc w:val="center"/>
        <w:rPr>
          <w:i/>
          <w:iCs/>
          <w:sz w:val="20"/>
          <w:szCs w:val="16"/>
        </w:rPr>
      </w:pPr>
      <w:r w:rsidRPr="00832773">
        <w:rPr>
          <w:rFonts w:ascii="Book Antiqua" w:hAnsi="Book Antiqua"/>
          <w:i/>
          <w:iCs/>
          <w:sz w:val="20"/>
          <w:szCs w:val="16"/>
          <w:lang w:val="es-CR"/>
        </w:rPr>
        <w:t xml:space="preserve">Tabla </w:t>
      </w:r>
      <w:r w:rsidRPr="00832773">
        <w:rPr>
          <w:rFonts w:ascii="Book Antiqua" w:hAnsi="Book Antiqua"/>
          <w:i/>
          <w:iCs/>
          <w:sz w:val="20"/>
          <w:szCs w:val="16"/>
          <w:lang w:val="es-CR"/>
        </w:rPr>
        <w:fldChar w:fldCharType="begin"/>
      </w:r>
      <w:r w:rsidRPr="00832773">
        <w:rPr>
          <w:rFonts w:ascii="Book Antiqua" w:hAnsi="Book Antiqua"/>
          <w:i/>
          <w:iCs/>
          <w:sz w:val="20"/>
          <w:szCs w:val="16"/>
          <w:lang w:val="es-CR"/>
        </w:rPr>
        <w:instrText xml:space="preserve"> SEQ Tabla \* ARABIC </w:instrText>
      </w:r>
      <w:r w:rsidRPr="00832773">
        <w:rPr>
          <w:rFonts w:ascii="Book Antiqua" w:hAnsi="Book Antiqua"/>
          <w:i/>
          <w:iCs/>
          <w:sz w:val="20"/>
          <w:szCs w:val="16"/>
          <w:lang w:val="es-CR"/>
        </w:rPr>
        <w:fldChar w:fldCharType="separate"/>
      </w:r>
      <w:r w:rsidR="00374B51">
        <w:rPr>
          <w:rFonts w:ascii="Book Antiqua" w:hAnsi="Book Antiqua"/>
          <w:i/>
          <w:iCs/>
          <w:noProof/>
          <w:sz w:val="20"/>
          <w:szCs w:val="16"/>
          <w:lang w:val="es-CR"/>
        </w:rPr>
        <w:t>68</w:t>
      </w:r>
      <w:r w:rsidRPr="00832773">
        <w:rPr>
          <w:rFonts w:ascii="Book Antiqua" w:hAnsi="Book Antiqua"/>
          <w:i/>
          <w:iCs/>
          <w:sz w:val="20"/>
          <w:szCs w:val="16"/>
          <w:lang w:val="es-CR"/>
        </w:rPr>
        <w:fldChar w:fldCharType="end"/>
      </w:r>
      <w:r w:rsidRPr="00832773">
        <w:rPr>
          <w:rFonts w:ascii="Book Antiqua" w:hAnsi="Book Antiqua"/>
          <w:i/>
          <w:iCs/>
          <w:sz w:val="20"/>
          <w:szCs w:val="16"/>
          <w:lang w:val="es-CR"/>
        </w:rPr>
        <w:t xml:space="preserve"> Cantidad de expedientes entrados en materia cobratoria a nivel nacional según el rango de cuantía para el año 2021</w:t>
      </w:r>
    </w:p>
    <w:tbl>
      <w:tblPr>
        <w:tblW w:w="6857" w:type="dxa"/>
        <w:jc w:val="center"/>
        <w:tblCellMar>
          <w:left w:w="70" w:type="dxa"/>
          <w:right w:w="70" w:type="dxa"/>
        </w:tblCellMar>
        <w:tblLook w:val="04A0" w:firstRow="1" w:lastRow="0" w:firstColumn="1" w:lastColumn="0" w:noHBand="0" w:noVBand="1"/>
      </w:tblPr>
      <w:tblGrid>
        <w:gridCol w:w="3080"/>
        <w:gridCol w:w="1240"/>
        <w:gridCol w:w="1240"/>
        <w:gridCol w:w="1297"/>
      </w:tblGrid>
      <w:tr w:rsidR="007D6872" w:rsidRPr="004E74A6" w14:paraId="699AD445" w14:textId="77777777" w:rsidTr="00832773">
        <w:trPr>
          <w:trHeight w:val="576"/>
          <w:tblHeader/>
          <w:jc w:val="center"/>
        </w:trPr>
        <w:tc>
          <w:tcPr>
            <w:tcW w:w="3080" w:type="dxa"/>
            <w:tcBorders>
              <w:top w:val="single" w:sz="4" w:space="0" w:color="auto"/>
              <w:left w:val="nil"/>
              <w:bottom w:val="single" w:sz="4" w:space="0" w:color="auto"/>
              <w:right w:val="single" w:sz="4" w:space="0" w:color="auto"/>
            </w:tcBorders>
            <w:shd w:val="clear" w:color="auto" w:fill="auto"/>
            <w:vAlign w:val="center"/>
            <w:hideMark/>
          </w:tcPr>
          <w:p w14:paraId="5BC60649" w14:textId="77777777" w:rsidR="007D6872" w:rsidRPr="004E74A6" w:rsidRDefault="007D6872" w:rsidP="00832773">
            <w:pPr>
              <w:spacing w:line="276" w:lineRule="auto"/>
              <w:jc w:val="center"/>
              <w:rPr>
                <w:rFonts w:cs="Calibri"/>
                <w:color w:val="000000"/>
                <w:sz w:val="22"/>
                <w:szCs w:val="22"/>
                <w:lang w:eastAsia="es-CR"/>
              </w:rPr>
            </w:pPr>
            <w:r w:rsidRPr="004E74A6">
              <w:rPr>
                <w:rFonts w:cs="Calibri"/>
                <w:color w:val="000000"/>
                <w:sz w:val="22"/>
                <w:szCs w:val="22"/>
                <w:lang w:eastAsia="es-CR"/>
              </w:rPr>
              <w:t>Rango de cuantía</w:t>
            </w:r>
          </w:p>
        </w:tc>
        <w:tc>
          <w:tcPr>
            <w:tcW w:w="1240" w:type="dxa"/>
            <w:tcBorders>
              <w:top w:val="single" w:sz="4" w:space="0" w:color="auto"/>
              <w:left w:val="nil"/>
              <w:bottom w:val="single" w:sz="4" w:space="0" w:color="auto"/>
              <w:right w:val="single" w:sz="4" w:space="0" w:color="auto"/>
            </w:tcBorders>
            <w:shd w:val="clear" w:color="auto" w:fill="auto"/>
            <w:vAlign w:val="center"/>
            <w:hideMark/>
          </w:tcPr>
          <w:p w14:paraId="56EC1581" w14:textId="77777777" w:rsidR="007D6872" w:rsidRPr="004E74A6" w:rsidRDefault="007D6872" w:rsidP="00832773">
            <w:pPr>
              <w:spacing w:line="276" w:lineRule="auto"/>
              <w:jc w:val="center"/>
              <w:rPr>
                <w:rFonts w:cs="Calibri"/>
                <w:color w:val="000000"/>
                <w:sz w:val="22"/>
                <w:szCs w:val="22"/>
                <w:lang w:eastAsia="es-CR"/>
              </w:rPr>
            </w:pPr>
            <w:r w:rsidRPr="004E74A6">
              <w:rPr>
                <w:rFonts w:cs="Calibri"/>
                <w:color w:val="000000"/>
                <w:sz w:val="22"/>
                <w:szCs w:val="22"/>
                <w:lang w:eastAsia="es-CR"/>
              </w:rPr>
              <w:t>Cantidad</w:t>
            </w:r>
          </w:p>
        </w:tc>
        <w:tc>
          <w:tcPr>
            <w:tcW w:w="1240" w:type="dxa"/>
            <w:tcBorders>
              <w:top w:val="single" w:sz="4" w:space="0" w:color="auto"/>
              <w:left w:val="nil"/>
              <w:bottom w:val="single" w:sz="4" w:space="0" w:color="auto"/>
              <w:right w:val="single" w:sz="4" w:space="0" w:color="auto"/>
            </w:tcBorders>
            <w:shd w:val="clear" w:color="auto" w:fill="auto"/>
            <w:vAlign w:val="center"/>
            <w:hideMark/>
          </w:tcPr>
          <w:p w14:paraId="3A01E0C9" w14:textId="77777777" w:rsidR="007D6872" w:rsidRPr="004E74A6" w:rsidRDefault="007D6872" w:rsidP="00832773">
            <w:pPr>
              <w:spacing w:line="276" w:lineRule="auto"/>
              <w:jc w:val="center"/>
              <w:rPr>
                <w:rFonts w:cs="Calibri"/>
                <w:color w:val="000000"/>
                <w:sz w:val="22"/>
                <w:szCs w:val="22"/>
                <w:lang w:eastAsia="es-CR"/>
              </w:rPr>
            </w:pPr>
            <w:r w:rsidRPr="004E74A6">
              <w:rPr>
                <w:rFonts w:cs="Calibri"/>
                <w:color w:val="000000"/>
                <w:sz w:val="22"/>
                <w:szCs w:val="22"/>
                <w:lang w:eastAsia="es-CR"/>
              </w:rPr>
              <w:t>Valor Relativo</w:t>
            </w:r>
          </w:p>
        </w:tc>
        <w:tc>
          <w:tcPr>
            <w:tcW w:w="1297" w:type="dxa"/>
            <w:tcBorders>
              <w:top w:val="single" w:sz="4" w:space="0" w:color="auto"/>
              <w:left w:val="nil"/>
              <w:bottom w:val="single" w:sz="4" w:space="0" w:color="auto"/>
              <w:right w:val="nil"/>
            </w:tcBorders>
            <w:shd w:val="clear" w:color="auto" w:fill="auto"/>
            <w:vAlign w:val="center"/>
            <w:hideMark/>
          </w:tcPr>
          <w:p w14:paraId="75196093" w14:textId="77777777" w:rsidR="007D6872" w:rsidRPr="004E74A6" w:rsidRDefault="007D6872" w:rsidP="00832773">
            <w:pPr>
              <w:spacing w:line="276" w:lineRule="auto"/>
              <w:jc w:val="center"/>
              <w:rPr>
                <w:rFonts w:cs="Calibri"/>
                <w:color w:val="000000"/>
                <w:sz w:val="22"/>
                <w:szCs w:val="22"/>
                <w:lang w:eastAsia="es-CR"/>
              </w:rPr>
            </w:pPr>
            <w:r w:rsidRPr="004E74A6">
              <w:rPr>
                <w:rFonts w:cs="Calibri"/>
                <w:color w:val="000000"/>
                <w:sz w:val="22"/>
                <w:szCs w:val="22"/>
                <w:lang w:eastAsia="es-CR"/>
              </w:rPr>
              <w:t>Acumulado</w:t>
            </w:r>
          </w:p>
        </w:tc>
      </w:tr>
      <w:tr w:rsidR="007D6872" w:rsidRPr="004E74A6" w14:paraId="39C59D02" w14:textId="77777777" w:rsidTr="00832773">
        <w:trPr>
          <w:trHeight w:val="288"/>
          <w:jc w:val="center"/>
        </w:trPr>
        <w:tc>
          <w:tcPr>
            <w:tcW w:w="3080" w:type="dxa"/>
            <w:tcBorders>
              <w:top w:val="nil"/>
              <w:left w:val="nil"/>
              <w:bottom w:val="nil"/>
              <w:right w:val="single" w:sz="4" w:space="0" w:color="auto"/>
            </w:tcBorders>
            <w:shd w:val="clear" w:color="auto" w:fill="auto"/>
            <w:noWrap/>
            <w:vAlign w:val="bottom"/>
            <w:hideMark/>
          </w:tcPr>
          <w:p w14:paraId="73CE586B" w14:textId="77777777" w:rsidR="007D6872" w:rsidRPr="004E74A6" w:rsidRDefault="007D6872" w:rsidP="00832773">
            <w:pPr>
              <w:spacing w:line="276" w:lineRule="auto"/>
              <w:jc w:val="left"/>
              <w:rPr>
                <w:rFonts w:cs="Calibri"/>
                <w:color w:val="000000"/>
                <w:sz w:val="22"/>
                <w:szCs w:val="22"/>
                <w:lang w:eastAsia="es-CR"/>
              </w:rPr>
            </w:pPr>
            <w:r w:rsidRPr="004E74A6">
              <w:rPr>
                <w:rFonts w:cs="Calibri"/>
                <w:color w:val="000000"/>
                <w:sz w:val="22"/>
                <w:szCs w:val="22"/>
                <w:lang w:eastAsia="es-CR"/>
              </w:rPr>
              <w:t> </w:t>
            </w:r>
          </w:p>
        </w:tc>
        <w:tc>
          <w:tcPr>
            <w:tcW w:w="1240" w:type="dxa"/>
            <w:tcBorders>
              <w:top w:val="nil"/>
              <w:left w:val="nil"/>
              <w:bottom w:val="nil"/>
              <w:right w:val="single" w:sz="4" w:space="0" w:color="auto"/>
            </w:tcBorders>
            <w:shd w:val="clear" w:color="auto" w:fill="auto"/>
            <w:noWrap/>
            <w:vAlign w:val="center"/>
            <w:hideMark/>
          </w:tcPr>
          <w:p w14:paraId="4E22FCA7" w14:textId="77777777" w:rsidR="007D6872" w:rsidRPr="004E74A6" w:rsidRDefault="007D6872" w:rsidP="00832773">
            <w:pPr>
              <w:spacing w:line="276" w:lineRule="auto"/>
              <w:jc w:val="center"/>
              <w:rPr>
                <w:rFonts w:cs="Calibri"/>
                <w:color w:val="000000"/>
                <w:sz w:val="22"/>
                <w:szCs w:val="22"/>
                <w:lang w:eastAsia="es-CR"/>
              </w:rPr>
            </w:pPr>
            <w:r w:rsidRPr="004E74A6">
              <w:rPr>
                <w:rFonts w:cs="Calibri"/>
                <w:color w:val="000000"/>
                <w:sz w:val="22"/>
                <w:szCs w:val="22"/>
                <w:lang w:eastAsia="es-CR"/>
              </w:rPr>
              <w:t> </w:t>
            </w:r>
          </w:p>
        </w:tc>
        <w:tc>
          <w:tcPr>
            <w:tcW w:w="1240" w:type="dxa"/>
            <w:tcBorders>
              <w:top w:val="nil"/>
              <w:left w:val="nil"/>
              <w:bottom w:val="nil"/>
              <w:right w:val="single" w:sz="4" w:space="0" w:color="auto"/>
            </w:tcBorders>
            <w:shd w:val="clear" w:color="auto" w:fill="auto"/>
            <w:noWrap/>
            <w:vAlign w:val="center"/>
            <w:hideMark/>
          </w:tcPr>
          <w:p w14:paraId="2F436F35" w14:textId="77777777" w:rsidR="007D6872" w:rsidRPr="004E74A6" w:rsidRDefault="007D6872" w:rsidP="00832773">
            <w:pPr>
              <w:spacing w:line="276" w:lineRule="auto"/>
              <w:jc w:val="center"/>
              <w:rPr>
                <w:rFonts w:cs="Calibri"/>
                <w:color w:val="000000"/>
                <w:sz w:val="22"/>
                <w:szCs w:val="22"/>
                <w:lang w:eastAsia="es-CR"/>
              </w:rPr>
            </w:pPr>
            <w:r w:rsidRPr="004E74A6">
              <w:rPr>
                <w:rFonts w:cs="Calibri"/>
                <w:color w:val="000000"/>
                <w:sz w:val="22"/>
                <w:szCs w:val="22"/>
                <w:lang w:eastAsia="es-CR"/>
              </w:rPr>
              <w:t> </w:t>
            </w:r>
          </w:p>
        </w:tc>
        <w:tc>
          <w:tcPr>
            <w:tcW w:w="1297" w:type="dxa"/>
            <w:tcBorders>
              <w:top w:val="nil"/>
              <w:left w:val="nil"/>
              <w:bottom w:val="nil"/>
              <w:right w:val="nil"/>
            </w:tcBorders>
            <w:shd w:val="clear" w:color="auto" w:fill="auto"/>
            <w:noWrap/>
            <w:vAlign w:val="center"/>
            <w:hideMark/>
          </w:tcPr>
          <w:p w14:paraId="490E043E" w14:textId="77777777" w:rsidR="007D6872" w:rsidRPr="004E74A6" w:rsidRDefault="007D6872" w:rsidP="00832773">
            <w:pPr>
              <w:spacing w:line="276" w:lineRule="auto"/>
              <w:jc w:val="center"/>
              <w:rPr>
                <w:rFonts w:cs="Calibri"/>
                <w:color w:val="000000"/>
                <w:sz w:val="22"/>
                <w:szCs w:val="22"/>
                <w:lang w:eastAsia="es-CR"/>
              </w:rPr>
            </w:pPr>
            <w:r w:rsidRPr="004E74A6">
              <w:rPr>
                <w:rFonts w:cs="Calibri"/>
                <w:color w:val="000000"/>
                <w:sz w:val="22"/>
                <w:szCs w:val="22"/>
                <w:lang w:eastAsia="es-CR"/>
              </w:rPr>
              <w:t> </w:t>
            </w:r>
          </w:p>
        </w:tc>
      </w:tr>
      <w:tr w:rsidR="007D6872" w:rsidRPr="004E74A6" w14:paraId="186EED32" w14:textId="77777777" w:rsidTr="00832773">
        <w:trPr>
          <w:trHeight w:val="288"/>
          <w:jc w:val="center"/>
        </w:trPr>
        <w:tc>
          <w:tcPr>
            <w:tcW w:w="3080" w:type="dxa"/>
            <w:tcBorders>
              <w:top w:val="nil"/>
              <w:left w:val="nil"/>
              <w:bottom w:val="nil"/>
              <w:right w:val="single" w:sz="4" w:space="0" w:color="auto"/>
            </w:tcBorders>
            <w:shd w:val="clear" w:color="auto" w:fill="auto"/>
            <w:noWrap/>
            <w:vAlign w:val="bottom"/>
            <w:hideMark/>
          </w:tcPr>
          <w:p w14:paraId="6D253170" w14:textId="77777777" w:rsidR="007D6872" w:rsidRPr="004E74A6" w:rsidRDefault="007D6872" w:rsidP="00832773">
            <w:pPr>
              <w:spacing w:line="276" w:lineRule="auto"/>
              <w:jc w:val="center"/>
              <w:rPr>
                <w:rFonts w:cs="Calibri"/>
                <w:b/>
                <w:bCs/>
                <w:color w:val="000000"/>
                <w:sz w:val="22"/>
                <w:szCs w:val="22"/>
                <w:lang w:eastAsia="es-CR"/>
              </w:rPr>
            </w:pPr>
            <w:r w:rsidRPr="004E74A6">
              <w:rPr>
                <w:rFonts w:cs="Calibri"/>
                <w:b/>
                <w:bCs/>
                <w:color w:val="000000"/>
                <w:sz w:val="22"/>
                <w:szCs w:val="22"/>
                <w:lang w:eastAsia="es-CR"/>
              </w:rPr>
              <w:t>Total</w:t>
            </w:r>
          </w:p>
        </w:tc>
        <w:tc>
          <w:tcPr>
            <w:tcW w:w="1240" w:type="dxa"/>
            <w:tcBorders>
              <w:top w:val="nil"/>
              <w:left w:val="nil"/>
              <w:bottom w:val="nil"/>
              <w:right w:val="single" w:sz="4" w:space="0" w:color="auto"/>
            </w:tcBorders>
            <w:shd w:val="clear" w:color="auto" w:fill="auto"/>
            <w:noWrap/>
            <w:vAlign w:val="center"/>
            <w:hideMark/>
          </w:tcPr>
          <w:p w14:paraId="46E67C1D" w14:textId="77777777" w:rsidR="007D6872" w:rsidRPr="004E74A6" w:rsidRDefault="007D6872" w:rsidP="00832773">
            <w:pPr>
              <w:spacing w:line="276" w:lineRule="auto"/>
              <w:jc w:val="center"/>
              <w:rPr>
                <w:rFonts w:cs="Calibri"/>
                <w:b/>
                <w:bCs/>
                <w:color w:val="000000"/>
                <w:sz w:val="22"/>
                <w:szCs w:val="22"/>
                <w:lang w:eastAsia="es-CR"/>
              </w:rPr>
            </w:pPr>
            <w:r w:rsidRPr="004E74A6">
              <w:rPr>
                <w:rFonts w:cs="Calibri"/>
                <w:b/>
                <w:bCs/>
                <w:color w:val="000000"/>
                <w:sz w:val="22"/>
                <w:szCs w:val="22"/>
                <w:lang w:eastAsia="es-CR"/>
              </w:rPr>
              <w:t>156316</w:t>
            </w:r>
          </w:p>
        </w:tc>
        <w:tc>
          <w:tcPr>
            <w:tcW w:w="1240" w:type="dxa"/>
            <w:tcBorders>
              <w:top w:val="nil"/>
              <w:left w:val="nil"/>
              <w:bottom w:val="nil"/>
              <w:right w:val="single" w:sz="4" w:space="0" w:color="auto"/>
            </w:tcBorders>
            <w:shd w:val="clear" w:color="auto" w:fill="auto"/>
            <w:noWrap/>
            <w:vAlign w:val="center"/>
            <w:hideMark/>
          </w:tcPr>
          <w:p w14:paraId="13344A11" w14:textId="77777777" w:rsidR="007D6872" w:rsidRPr="004E74A6" w:rsidRDefault="007D6872" w:rsidP="00832773">
            <w:pPr>
              <w:spacing w:line="276" w:lineRule="auto"/>
              <w:jc w:val="center"/>
              <w:rPr>
                <w:rFonts w:cs="Calibri"/>
                <w:b/>
                <w:bCs/>
                <w:color w:val="000000"/>
                <w:sz w:val="22"/>
                <w:szCs w:val="22"/>
                <w:lang w:eastAsia="es-CR"/>
              </w:rPr>
            </w:pPr>
            <w:r w:rsidRPr="004E74A6">
              <w:rPr>
                <w:rFonts w:cs="Calibri"/>
                <w:b/>
                <w:bCs/>
                <w:color w:val="000000"/>
                <w:sz w:val="22"/>
                <w:szCs w:val="22"/>
                <w:lang w:eastAsia="es-CR"/>
              </w:rPr>
              <w:t>100,0%</w:t>
            </w:r>
          </w:p>
        </w:tc>
        <w:tc>
          <w:tcPr>
            <w:tcW w:w="1297" w:type="dxa"/>
            <w:tcBorders>
              <w:top w:val="nil"/>
              <w:left w:val="nil"/>
              <w:bottom w:val="nil"/>
              <w:right w:val="nil"/>
            </w:tcBorders>
            <w:shd w:val="clear" w:color="auto" w:fill="auto"/>
            <w:noWrap/>
            <w:vAlign w:val="center"/>
            <w:hideMark/>
          </w:tcPr>
          <w:p w14:paraId="580A265F" w14:textId="77777777" w:rsidR="007D6872" w:rsidRPr="004E74A6" w:rsidRDefault="007D6872" w:rsidP="00832773">
            <w:pPr>
              <w:spacing w:line="276" w:lineRule="auto"/>
              <w:jc w:val="center"/>
              <w:rPr>
                <w:rFonts w:cs="Calibri"/>
                <w:color w:val="000000"/>
                <w:sz w:val="22"/>
                <w:szCs w:val="22"/>
                <w:lang w:eastAsia="es-CR"/>
              </w:rPr>
            </w:pPr>
            <w:r w:rsidRPr="004E74A6">
              <w:rPr>
                <w:rFonts w:cs="Calibri"/>
                <w:color w:val="000000"/>
                <w:sz w:val="22"/>
                <w:szCs w:val="22"/>
                <w:lang w:eastAsia="es-CR"/>
              </w:rPr>
              <w:t> </w:t>
            </w:r>
          </w:p>
        </w:tc>
      </w:tr>
      <w:tr w:rsidR="007D6872" w:rsidRPr="004E74A6" w14:paraId="484CB52D" w14:textId="77777777" w:rsidTr="00832773">
        <w:trPr>
          <w:trHeight w:val="288"/>
          <w:jc w:val="center"/>
        </w:trPr>
        <w:tc>
          <w:tcPr>
            <w:tcW w:w="3080" w:type="dxa"/>
            <w:tcBorders>
              <w:top w:val="nil"/>
              <w:left w:val="nil"/>
              <w:bottom w:val="nil"/>
              <w:right w:val="single" w:sz="4" w:space="0" w:color="auto"/>
            </w:tcBorders>
            <w:shd w:val="clear" w:color="auto" w:fill="auto"/>
            <w:noWrap/>
            <w:vAlign w:val="bottom"/>
            <w:hideMark/>
          </w:tcPr>
          <w:p w14:paraId="728E531B" w14:textId="77777777" w:rsidR="007D6872" w:rsidRPr="004E74A6" w:rsidRDefault="007D6872" w:rsidP="00832773">
            <w:pPr>
              <w:spacing w:line="276" w:lineRule="auto"/>
              <w:jc w:val="left"/>
              <w:rPr>
                <w:rFonts w:cs="Calibri"/>
                <w:color w:val="000000"/>
                <w:sz w:val="22"/>
                <w:szCs w:val="22"/>
                <w:lang w:eastAsia="es-CR"/>
              </w:rPr>
            </w:pPr>
            <w:r w:rsidRPr="004E74A6">
              <w:rPr>
                <w:rFonts w:cs="Calibri"/>
                <w:color w:val="000000"/>
                <w:sz w:val="22"/>
                <w:szCs w:val="22"/>
                <w:lang w:eastAsia="es-CR"/>
              </w:rPr>
              <w:t> </w:t>
            </w:r>
          </w:p>
        </w:tc>
        <w:tc>
          <w:tcPr>
            <w:tcW w:w="1240" w:type="dxa"/>
            <w:tcBorders>
              <w:top w:val="nil"/>
              <w:left w:val="nil"/>
              <w:bottom w:val="nil"/>
              <w:right w:val="single" w:sz="4" w:space="0" w:color="auto"/>
            </w:tcBorders>
            <w:shd w:val="clear" w:color="auto" w:fill="auto"/>
            <w:noWrap/>
            <w:vAlign w:val="center"/>
            <w:hideMark/>
          </w:tcPr>
          <w:p w14:paraId="591718A3" w14:textId="77777777" w:rsidR="007D6872" w:rsidRPr="004E74A6" w:rsidRDefault="007D6872" w:rsidP="00832773">
            <w:pPr>
              <w:spacing w:line="276" w:lineRule="auto"/>
              <w:jc w:val="center"/>
              <w:rPr>
                <w:rFonts w:cs="Calibri"/>
                <w:color w:val="000000"/>
                <w:sz w:val="22"/>
                <w:szCs w:val="22"/>
                <w:lang w:eastAsia="es-CR"/>
              </w:rPr>
            </w:pPr>
            <w:r w:rsidRPr="004E74A6">
              <w:rPr>
                <w:rFonts w:cs="Calibri"/>
                <w:color w:val="000000"/>
                <w:sz w:val="22"/>
                <w:szCs w:val="22"/>
                <w:lang w:eastAsia="es-CR"/>
              </w:rPr>
              <w:t> </w:t>
            </w:r>
          </w:p>
        </w:tc>
        <w:tc>
          <w:tcPr>
            <w:tcW w:w="1240" w:type="dxa"/>
            <w:tcBorders>
              <w:top w:val="nil"/>
              <w:left w:val="nil"/>
              <w:bottom w:val="nil"/>
              <w:right w:val="single" w:sz="4" w:space="0" w:color="auto"/>
            </w:tcBorders>
            <w:shd w:val="clear" w:color="auto" w:fill="auto"/>
            <w:noWrap/>
            <w:vAlign w:val="center"/>
            <w:hideMark/>
          </w:tcPr>
          <w:p w14:paraId="6618F95B" w14:textId="77777777" w:rsidR="007D6872" w:rsidRPr="004E74A6" w:rsidRDefault="007D6872" w:rsidP="00832773">
            <w:pPr>
              <w:spacing w:line="276" w:lineRule="auto"/>
              <w:jc w:val="center"/>
              <w:rPr>
                <w:rFonts w:cs="Calibri"/>
                <w:color w:val="000000"/>
                <w:sz w:val="22"/>
                <w:szCs w:val="22"/>
                <w:lang w:eastAsia="es-CR"/>
              </w:rPr>
            </w:pPr>
            <w:r w:rsidRPr="004E74A6">
              <w:rPr>
                <w:rFonts w:cs="Calibri"/>
                <w:color w:val="000000"/>
                <w:sz w:val="22"/>
                <w:szCs w:val="22"/>
                <w:lang w:eastAsia="es-CR"/>
              </w:rPr>
              <w:t> </w:t>
            </w:r>
          </w:p>
        </w:tc>
        <w:tc>
          <w:tcPr>
            <w:tcW w:w="1297" w:type="dxa"/>
            <w:tcBorders>
              <w:top w:val="nil"/>
              <w:left w:val="nil"/>
              <w:bottom w:val="nil"/>
              <w:right w:val="nil"/>
            </w:tcBorders>
            <w:shd w:val="clear" w:color="auto" w:fill="auto"/>
            <w:noWrap/>
            <w:vAlign w:val="center"/>
            <w:hideMark/>
          </w:tcPr>
          <w:p w14:paraId="67231796" w14:textId="77777777" w:rsidR="007D6872" w:rsidRPr="004E74A6" w:rsidRDefault="007D6872" w:rsidP="00832773">
            <w:pPr>
              <w:spacing w:line="276" w:lineRule="auto"/>
              <w:jc w:val="center"/>
              <w:rPr>
                <w:rFonts w:cs="Calibri"/>
                <w:color w:val="000000"/>
                <w:sz w:val="22"/>
                <w:szCs w:val="22"/>
                <w:lang w:eastAsia="es-CR"/>
              </w:rPr>
            </w:pPr>
            <w:r w:rsidRPr="004E74A6">
              <w:rPr>
                <w:rFonts w:cs="Calibri"/>
                <w:color w:val="000000"/>
                <w:sz w:val="22"/>
                <w:szCs w:val="22"/>
                <w:lang w:eastAsia="es-CR"/>
              </w:rPr>
              <w:t> </w:t>
            </w:r>
          </w:p>
        </w:tc>
      </w:tr>
      <w:tr w:rsidR="007D6872" w:rsidRPr="004E74A6" w14:paraId="6D0B1565" w14:textId="77777777" w:rsidTr="00832773">
        <w:trPr>
          <w:trHeight w:val="288"/>
          <w:jc w:val="center"/>
        </w:trPr>
        <w:tc>
          <w:tcPr>
            <w:tcW w:w="3080" w:type="dxa"/>
            <w:tcBorders>
              <w:top w:val="nil"/>
              <w:left w:val="nil"/>
              <w:bottom w:val="nil"/>
              <w:right w:val="single" w:sz="4" w:space="0" w:color="auto"/>
            </w:tcBorders>
            <w:shd w:val="clear" w:color="auto" w:fill="auto"/>
            <w:noWrap/>
            <w:vAlign w:val="bottom"/>
            <w:hideMark/>
          </w:tcPr>
          <w:p w14:paraId="41CF5777" w14:textId="77777777" w:rsidR="007D6872" w:rsidRPr="004E74A6" w:rsidRDefault="007D6872" w:rsidP="00832773">
            <w:pPr>
              <w:spacing w:line="276" w:lineRule="auto"/>
              <w:jc w:val="left"/>
              <w:rPr>
                <w:rFonts w:cs="Calibri"/>
                <w:color w:val="000000"/>
                <w:sz w:val="22"/>
                <w:szCs w:val="22"/>
                <w:lang w:eastAsia="es-CR"/>
              </w:rPr>
            </w:pPr>
            <w:r w:rsidRPr="004E74A6">
              <w:rPr>
                <w:rFonts w:cs="Calibri"/>
                <w:color w:val="000000"/>
                <w:sz w:val="22"/>
                <w:szCs w:val="22"/>
                <w:lang w:eastAsia="es-CR"/>
              </w:rPr>
              <w:t>Menos de ¢3.000.001</w:t>
            </w:r>
          </w:p>
        </w:tc>
        <w:tc>
          <w:tcPr>
            <w:tcW w:w="1240" w:type="dxa"/>
            <w:tcBorders>
              <w:top w:val="nil"/>
              <w:left w:val="nil"/>
              <w:bottom w:val="nil"/>
              <w:right w:val="single" w:sz="4" w:space="0" w:color="auto"/>
            </w:tcBorders>
            <w:shd w:val="clear" w:color="auto" w:fill="auto"/>
            <w:noWrap/>
            <w:vAlign w:val="center"/>
            <w:hideMark/>
          </w:tcPr>
          <w:p w14:paraId="4A5B3B15" w14:textId="77777777" w:rsidR="007D6872" w:rsidRPr="004E74A6" w:rsidRDefault="007D6872" w:rsidP="00832773">
            <w:pPr>
              <w:spacing w:line="276" w:lineRule="auto"/>
              <w:jc w:val="center"/>
              <w:rPr>
                <w:rFonts w:cs="Calibri"/>
                <w:color w:val="000000"/>
                <w:sz w:val="22"/>
                <w:szCs w:val="22"/>
                <w:lang w:eastAsia="es-CR"/>
              </w:rPr>
            </w:pPr>
            <w:r w:rsidRPr="004E74A6">
              <w:rPr>
                <w:rFonts w:cs="Calibri"/>
                <w:color w:val="000000"/>
                <w:sz w:val="22"/>
                <w:szCs w:val="22"/>
                <w:lang w:eastAsia="es-CR"/>
              </w:rPr>
              <w:t>97569</w:t>
            </w:r>
          </w:p>
        </w:tc>
        <w:tc>
          <w:tcPr>
            <w:tcW w:w="1240" w:type="dxa"/>
            <w:tcBorders>
              <w:top w:val="nil"/>
              <w:left w:val="nil"/>
              <w:bottom w:val="nil"/>
              <w:right w:val="single" w:sz="4" w:space="0" w:color="auto"/>
            </w:tcBorders>
            <w:shd w:val="clear" w:color="auto" w:fill="auto"/>
            <w:noWrap/>
            <w:vAlign w:val="center"/>
            <w:hideMark/>
          </w:tcPr>
          <w:p w14:paraId="28F68014" w14:textId="77777777" w:rsidR="007D6872" w:rsidRPr="004E74A6" w:rsidRDefault="007D6872" w:rsidP="00832773">
            <w:pPr>
              <w:spacing w:line="276" w:lineRule="auto"/>
              <w:jc w:val="center"/>
              <w:rPr>
                <w:rFonts w:cs="Calibri"/>
                <w:color w:val="000000"/>
                <w:sz w:val="22"/>
                <w:szCs w:val="22"/>
                <w:lang w:eastAsia="es-CR"/>
              </w:rPr>
            </w:pPr>
            <w:r w:rsidRPr="004E74A6">
              <w:rPr>
                <w:rFonts w:cs="Calibri"/>
                <w:color w:val="000000"/>
                <w:sz w:val="22"/>
                <w:szCs w:val="22"/>
                <w:lang w:eastAsia="es-CR"/>
              </w:rPr>
              <w:t>62,4%</w:t>
            </w:r>
          </w:p>
        </w:tc>
        <w:tc>
          <w:tcPr>
            <w:tcW w:w="1297" w:type="dxa"/>
            <w:tcBorders>
              <w:top w:val="nil"/>
              <w:left w:val="nil"/>
              <w:bottom w:val="nil"/>
              <w:right w:val="nil"/>
            </w:tcBorders>
            <w:shd w:val="clear" w:color="auto" w:fill="auto"/>
            <w:noWrap/>
            <w:vAlign w:val="center"/>
            <w:hideMark/>
          </w:tcPr>
          <w:p w14:paraId="139C44E1" w14:textId="77777777" w:rsidR="007D6872" w:rsidRPr="004E74A6" w:rsidRDefault="007D6872" w:rsidP="00832773">
            <w:pPr>
              <w:spacing w:line="276" w:lineRule="auto"/>
              <w:jc w:val="center"/>
              <w:rPr>
                <w:rFonts w:cs="Calibri"/>
                <w:color w:val="000000"/>
                <w:sz w:val="22"/>
                <w:szCs w:val="22"/>
                <w:lang w:eastAsia="es-CR"/>
              </w:rPr>
            </w:pPr>
            <w:r w:rsidRPr="004E74A6">
              <w:rPr>
                <w:rFonts w:cs="Calibri"/>
                <w:color w:val="000000"/>
                <w:sz w:val="22"/>
                <w:szCs w:val="22"/>
                <w:lang w:eastAsia="es-CR"/>
              </w:rPr>
              <w:t>62%</w:t>
            </w:r>
          </w:p>
        </w:tc>
      </w:tr>
      <w:tr w:rsidR="007D6872" w:rsidRPr="004E74A6" w14:paraId="20EE5262" w14:textId="77777777" w:rsidTr="00832773">
        <w:trPr>
          <w:trHeight w:val="288"/>
          <w:jc w:val="center"/>
        </w:trPr>
        <w:tc>
          <w:tcPr>
            <w:tcW w:w="3080" w:type="dxa"/>
            <w:tcBorders>
              <w:top w:val="nil"/>
              <w:left w:val="nil"/>
              <w:bottom w:val="nil"/>
              <w:right w:val="single" w:sz="4" w:space="0" w:color="auto"/>
            </w:tcBorders>
            <w:shd w:val="clear" w:color="auto" w:fill="auto"/>
            <w:noWrap/>
            <w:vAlign w:val="bottom"/>
            <w:hideMark/>
          </w:tcPr>
          <w:p w14:paraId="5D40C398" w14:textId="77777777" w:rsidR="007D6872" w:rsidRPr="004E74A6" w:rsidRDefault="007D6872" w:rsidP="00832773">
            <w:pPr>
              <w:spacing w:line="276" w:lineRule="auto"/>
              <w:jc w:val="left"/>
              <w:rPr>
                <w:rFonts w:cs="Calibri"/>
                <w:color w:val="000000"/>
                <w:sz w:val="22"/>
                <w:szCs w:val="22"/>
                <w:lang w:eastAsia="es-CR"/>
              </w:rPr>
            </w:pPr>
            <w:r w:rsidRPr="004E74A6">
              <w:rPr>
                <w:rFonts w:cs="Calibri"/>
                <w:color w:val="000000"/>
                <w:sz w:val="22"/>
                <w:szCs w:val="22"/>
                <w:lang w:eastAsia="es-CR"/>
              </w:rPr>
              <w:t>De ¢3.000.001 a ¢4.000.000</w:t>
            </w:r>
          </w:p>
        </w:tc>
        <w:tc>
          <w:tcPr>
            <w:tcW w:w="1240" w:type="dxa"/>
            <w:tcBorders>
              <w:top w:val="nil"/>
              <w:left w:val="nil"/>
              <w:bottom w:val="nil"/>
              <w:right w:val="single" w:sz="4" w:space="0" w:color="auto"/>
            </w:tcBorders>
            <w:shd w:val="clear" w:color="auto" w:fill="auto"/>
            <w:noWrap/>
            <w:vAlign w:val="center"/>
            <w:hideMark/>
          </w:tcPr>
          <w:p w14:paraId="189C7A75" w14:textId="77777777" w:rsidR="007D6872" w:rsidRPr="004E74A6" w:rsidRDefault="007D6872" w:rsidP="00832773">
            <w:pPr>
              <w:spacing w:line="276" w:lineRule="auto"/>
              <w:jc w:val="center"/>
              <w:rPr>
                <w:rFonts w:cs="Calibri"/>
                <w:color w:val="000000"/>
                <w:sz w:val="22"/>
                <w:szCs w:val="22"/>
                <w:lang w:eastAsia="es-CR"/>
              </w:rPr>
            </w:pPr>
            <w:r w:rsidRPr="004E74A6">
              <w:rPr>
                <w:rFonts w:cs="Calibri"/>
                <w:color w:val="000000"/>
                <w:sz w:val="22"/>
                <w:szCs w:val="22"/>
                <w:lang w:eastAsia="es-CR"/>
              </w:rPr>
              <w:t>6786</w:t>
            </w:r>
          </w:p>
        </w:tc>
        <w:tc>
          <w:tcPr>
            <w:tcW w:w="1240" w:type="dxa"/>
            <w:tcBorders>
              <w:top w:val="nil"/>
              <w:left w:val="nil"/>
              <w:bottom w:val="nil"/>
              <w:right w:val="single" w:sz="4" w:space="0" w:color="auto"/>
            </w:tcBorders>
            <w:shd w:val="clear" w:color="auto" w:fill="auto"/>
            <w:noWrap/>
            <w:vAlign w:val="center"/>
            <w:hideMark/>
          </w:tcPr>
          <w:p w14:paraId="4612A4FC" w14:textId="77777777" w:rsidR="007D6872" w:rsidRPr="004E74A6" w:rsidRDefault="007D6872" w:rsidP="00832773">
            <w:pPr>
              <w:spacing w:line="276" w:lineRule="auto"/>
              <w:jc w:val="center"/>
              <w:rPr>
                <w:rFonts w:cs="Calibri"/>
                <w:color w:val="000000"/>
                <w:sz w:val="22"/>
                <w:szCs w:val="22"/>
                <w:lang w:eastAsia="es-CR"/>
              </w:rPr>
            </w:pPr>
            <w:r w:rsidRPr="004E74A6">
              <w:rPr>
                <w:rFonts w:cs="Calibri"/>
                <w:color w:val="000000"/>
                <w:sz w:val="22"/>
                <w:szCs w:val="22"/>
                <w:lang w:eastAsia="es-CR"/>
              </w:rPr>
              <w:t>4,3%</w:t>
            </w:r>
          </w:p>
        </w:tc>
        <w:tc>
          <w:tcPr>
            <w:tcW w:w="1297" w:type="dxa"/>
            <w:tcBorders>
              <w:top w:val="nil"/>
              <w:left w:val="nil"/>
              <w:bottom w:val="nil"/>
              <w:right w:val="nil"/>
            </w:tcBorders>
            <w:shd w:val="clear" w:color="auto" w:fill="auto"/>
            <w:noWrap/>
            <w:vAlign w:val="center"/>
            <w:hideMark/>
          </w:tcPr>
          <w:p w14:paraId="54502027" w14:textId="77777777" w:rsidR="007D6872" w:rsidRPr="004E74A6" w:rsidRDefault="007D6872" w:rsidP="00832773">
            <w:pPr>
              <w:spacing w:line="276" w:lineRule="auto"/>
              <w:jc w:val="center"/>
              <w:rPr>
                <w:rFonts w:cs="Calibri"/>
                <w:color w:val="000000"/>
                <w:sz w:val="22"/>
                <w:szCs w:val="22"/>
                <w:lang w:eastAsia="es-CR"/>
              </w:rPr>
            </w:pPr>
            <w:r w:rsidRPr="004E74A6">
              <w:rPr>
                <w:rFonts w:cs="Calibri"/>
                <w:color w:val="000000"/>
                <w:sz w:val="22"/>
                <w:szCs w:val="22"/>
                <w:lang w:eastAsia="es-CR"/>
              </w:rPr>
              <w:t>67%</w:t>
            </w:r>
          </w:p>
        </w:tc>
      </w:tr>
      <w:tr w:rsidR="007D6872" w:rsidRPr="004E74A6" w14:paraId="641F7B51" w14:textId="77777777" w:rsidTr="00832773">
        <w:trPr>
          <w:trHeight w:val="288"/>
          <w:jc w:val="center"/>
        </w:trPr>
        <w:tc>
          <w:tcPr>
            <w:tcW w:w="3080" w:type="dxa"/>
            <w:tcBorders>
              <w:top w:val="nil"/>
              <w:left w:val="nil"/>
              <w:bottom w:val="nil"/>
              <w:right w:val="single" w:sz="4" w:space="0" w:color="auto"/>
            </w:tcBorders>
            <w:shd w:val="clear" w:color="auto" w:fill="auto"/>
            <w:noWrap/>
            <w:vAlign w:val="bottom"/>
            <w:hideMark/>
          </w:tcPr>
          <w:p w14:paraId="71DB47C0" w14:textId="77777777" w:rsidR="007D6872" w:rsidRPr="004E74A6" w:rsidRDefault="007D6872" w:rsidP="00832773">
            <w:pPr>
              <w:spacing w:line="276" w:lineRule="auto"/>
              <w:jc w:val="left"/>
              <w:rPr>
                <w:rFonts w:cs="Calibri"/>
                <w:color w:val="000000"/>
                <w:sz w:val="22"/>
                <w:szCs w:val="22"/>
                <w:lang w:eastAsia="es-CR"/>
              </w:rPr>
            </w:pPr>
            <w:r w:rsidRPr="004E74A6">
              <w:rPr>
                <w:rFonts w:cs="Calibri"/>
                <w:color w:val="000000"/>
                <w:sz w:val="22"/>
                <w:szCs w:val="22"/>
                <w:lang w:eastAsia="es-CR"/>
              </w:rPr>
              <w:t>De ¢4.000.001 a ¢5.000.000</w:t>
            </w:r>
          </w:p>
        </w:tc>
        <w:tc>
          <w:tcPr>
            <w:tcW w:w="1240" w:type="dxa"/>
            <w:tcBorders>
              <w:top w:val="nil"/>
              <w:left w:val="nil"/>
              <w:bottom w:val="nil"/>
              <w:right w:val="single" w:sz="4" w:space="0" w:color="auto"/>
            </w:tcBorders>
            <w:shd w:val="clear" w:color="auto" w:fill="auto"/>
            <w:noWrap/>
            <w:vAlign w:val="center"/>
            <w:hideMark/>
          </w:tcPr>
          <w:p w14:paraId="045C7BE7" w14:textId="77777777" w:rsidR="007D6872" w:rsidRPr="004E74A6" w:rsidRDefault="007D6872" w:rsidP="00832773">
            <w:pPr>
              <w:spacing w:line="276" w:lineRule="auto"/>
              <w:jc w:val="center"/>
              <w:rPr>
                <w:rFonts w:cs="Calibri"/>
                <w:color w:val="000000"/>
                <w:sz w:val="22"/>
                <w:szCs w:val="22"/>
                <w:lang w:eastAsia="es-CR"/>
              </w:rPr>
            </w:pPr>
            <w:r w:rsidRPr="004E74A6">
              <w:rPr>
                <w:rFonts w:cs="Calibri"/>
                <w:color w:val="000000"/>
                <w:sz w:val="22"/>
                <w:szCs w:val="22"/>
                <w:lang w:eastAsia="es-CR"/>
              </w:rPr>
              <w:t>4617</w:t>
            </w:r>
          </w:p>
        </w:tc>
        <w:tc>
          <w:tcPr>
            <w:tcW w:w="1240" w:type="dxa"/>
            <w:tcBorders>
              <w:top w:val="nil"/>
              <w:left w:val="nil"/>
              <w:bottom w:val="nil"/>
              <w:right w:val="single" w:sz="4" w:space="0" w:color="auto"/>
            </w:tcBorders>
            <w:shd w:val="clear" w:color="auto" w:fill="auto"/>
            <w:noWrap/>
            <w:vAlign w:val="center"/>
            <w:hideMark/>
          </w:tcPr>
          <w:p w14:paraId="6B09F6CD" w14:textId="77777777" w:rsidR="007D6872" w:rsidRPr="004E74A6" w:rsidRDefault="007D6872" w:rsidP="00832773">
            <w:pPr>
              <w:spacing w:line="276" w:lineRule="auto"/>
              <w:jc w:val="center"/>
              <w:rPr>
                <w:rFonts w:cs="Calibri"/>
                <w:color w:val="000000"/>
                <w:sz w:val="22"/>
                <w:szCs w:val="22"/>
                <w:lang w:eastAsia="es-CR"/>
              </w:rPr>
            </w:pPr>
            <w:r w:rsidRPr="004E74A6">
              <w:rPr>
                <w:rFonts w:cs="Calibri"/>
                <w:color w:val="000000"/>
                <w:sz w:val="22"/>
                <w:szCs w:val="22"/>
                <w:lang w:eastAsia="es-CR"/>
              </w:rPr>
              <w:t>3,0%</w:t>
            </w:r>
          </w:p>
        </w:tc>
        <w:tc>
          <w:tcPr>
            <w:tcW w:w="1297" w:type="dxa"/>
            <w:tcBorders>
              <w:top w:val="nil"/>
              <w:left w:val="nil"/>
              <w:bottom w:val="nil"/>
              <w:right w:val="nil"/>
            </w:tcBorders>
            <w:shd w:val="clear" w:color="auto" w:fill="auto"/>
            <w:noWrap/>
            <w:vAlign w:val="center"/>
            <w:hideMark/>
          </w:tcPr>
          <w:p w14:paraId="784E04EA" w14:textId="77777777" w:rsidR="007D6872" w:rsidRPr="004E74A6" w:rsidRDefault="007D6872" w:rsidP="00832773">
            <w:pPr>
              <w:spacing w:line="276" w:lineRule="auto"/>
              <w:jc w:val="center"/>
              <w:rPr>
                <w:rFonts w:cs="Calibri"/>
                <w:color w:val="000000"/>
                <w:sz w:val="22"/>
                <w:szCs w:val="22"/>
                <w:lang w:eastAsia="es-CR"/>
              </w:rPr>
            </w:pPr>
            <w:r w:rsidRPr="004E74A6">
              <w:rPr>
                <w:rFonts w:cs="Calibri"/>
                <w:color w:val="000000"/>
                <w:sz w:val="22"/>
                <w:szCs w:val="22"/>
                <w:lang w:eastAsia="es-CR"/>
              </w:rPr>
              <w:t>70%</w:t>
            </w:r>
          </w:p>
        </w:tc>
      </w:tr>
      <w:tr w:rsidR="007D6872" w:rsidRPr="004E74A6" w14:paraId="26F847B8" w14:textId="77777777" w:rsidTr="00832773">
        <w:trPr>
          <w:trHeight w:val="288"/>
          <w:jc w:val="center"/>
        </w:trPr>
        <w:tc>
          <w:tcPr>
            <w:tcW w:w="3080" w:type="dxa"/>
            <w:tcBorders>
              <w:top w:val="nil"/>
              <w:left w:val="nil"/>
              <w:bottom w:val="nil"/>
              <w:right w:val="single" w:sz="4" w:space="0" w:color="auto"/>
            </w:tcBorders>
            <w:shd w:val="clear" w:color="auto" w:fill="auto"/>
            <w:noWrap/>
            <w:vAlign w:val="bottom"/>
            <w:hideMark/>
          </w:tcPr>
          <w:p w14:paraId="26CACB70" w14:textId="77777777" w:rsidR="007D6872" w:rsidRPr="004E74A6" w:rsidRDefault="007D6872" w:rsidP="00832773">
            <w:pPr>
              <w:spacing w:line="276" w:lineRule="auto"/>
              <w:jc w:val="left"/>
              <w:rPr>
                <w:rFonts w:cs="Calibri"/>
                <w:color w:val="000000"/>
                <w:sz w:val="22"/>
                <w:szCs w:val="22"/>
                <w:lang w:eastAsia="es-CR"/>
              </w:rPr>
            </w:pPr>
            <w:r w:rsidRPr="004E74A6">
              <w:rPr>
                <w:rFonts w:cs="Calibri"/>
                <w:color w:val="000000"/>
                <w:sz w:val="22"/>
                <w:szCs w:val="22"/>
                <w:lang w:eastAsia="es-CR"/>
              </w:rPr>
              <w:t>De ¢5.000.001 a ¢6.000.000</w:t>
            </w:r>
          </w:p>
        </w:tc>
        <w:tc>
          <w:tcPr>
            <w:tcW w:w="1240" w:type="dxa"/>
            <w:tcBorders>
              <w:top w:val="nil"/>
              <w:left w:val="nil"/>
              <w:bottom w:val="nil"/>
              <w:right w:val="single" w:sz="4" w:space="0" w:color="auto"/>
            </w:tcBorders>
            <w:shd w:val="clear" w:color="auto" w:fill="auto"/>
            <w:noWrap/>
            <w:vAlign w:val="center"/>
            <w:hideMark/>
          </w:tcPr>
          <w:p w14:paraId="4CEB4893" w14:textId="77777777" w:rsidR="007D6872" w:rsidRPr="004E74A6" w:rsidRDefault="007D6872" w:rsidP="00832773">
            <w:pPr>
              <w:spacing w:line="276" w:lineRule="auto"/>
              <w:jc w:val="center"/>
              <w:rPr>
                <w:rFonts w:cs="Calibri"/>
                <w:color w:val="000000"/>
                <w:sz w:val="22"/>
                <w:szCs w:val="22"/>
                <w:lang w:eastAsia="es-CR"/>
              </w:rPr>
            </w:pPr>
            <w:r w:rsidRPr="004E74A6">
              <w:rPr>
                <w:rFonts w:cs="Calibri"/>
                <w:color w:val="000000"/>
                <w:sz w:val="22"/>
                <w:szCs w:val="22"/>
                <w:lang w:eastAsia="es-CR"/>
              </w:rPr>
              <w:t>3882</w:t>
            </w:r>
          </w:p>
        </w:tc>
        <w:tc>
          <w:tcPr>
            <w:tcW w:w="1240" w:type="dxa"/>
            <w:tcBorders>
              <w:top w:val="nil"/>
              <w:left w:val="nil"/>
              <w:bottom w:val="nil"/>
              <w:right w:val="single" w:sz="4" w:space="0" w:color="auto"/>
            </w:tcBorders>
            <w:shd w:val="clear" w:color="auto" w:fill="auto"/>
            <w:noWrap/>
            <w:vAlign w:val="center"/>
            <w:hideMark/>
          </w:tcPr>
          <w:p w14:paraId="794C14C7" w14:textId="77777777" w:rsidR="007D6872" w:rsidRPr="004E74A6" w:rsidRDefault="007D6872" w:rsidP="00832773">
            <w:pPr>
              <w:spacing w:line="276" w:lineRule="auto"/>
              <w:jc w:val="center"/>
              <w:rPr>
                <w:rFonts w:cs="Calibri"/>
                <w:color w:val="000000"/>
                <w:sz w:val="22"/>
                <w:szCs w:val="22"/>
                <w:lang w:eastAsia="es-CR"/>
              </w:rPr>
            </w:pPr>
            <w:r w:rsidRPr="004E74A6">
              <w:rPr>
                <w:rFonts w:cs="Calibri"/>
                <w:color w:val="000000"/>
                <w:sz w:val="22"/>
                <w:szCs w:val="22"/>
                <w:lang w:eastAsia="es-CR"/>
              </w:rPr>
              <w:t>2,5%</w:t>
            </w:r>
          </w:p>
        </w:tc>
        <w:tc>
          <w:tcPr>
            <w:tcW w:w="1297" w:type="dxa"/>
            <w:tcBorders>
              <w:top w:val="nil"/>
              <w:left w:val="nil"/>
              <w:bottom w:val="nil"/>
              <w:right w:val="nil"/>
            </w:tcBorders>
            <w:shd w:val="clear" w:color="auto" w:fill="auto"/>
            <w:noWrap/>
            <w:vAlign w:val="center"/>
            <w:hideMark/>
          </w:tcPr>
          <w:p w14:paraId="76C60D47" w14:textId="77777777" w:rsidR="007D6872" w:rsidRPr="004E74A6" w:rsidRDefault="007D6872" w:rsidP="00832773">
            <w:pPr>
              <w:spacing w:line="276" w:lineRule="auto"/>
              <w:jc w:val="center"/>
              <w:rPr>
                <w:rFonts w:cs="Calibri"/>
                <w:color w:val="000000"/>
                <w:sz w:val="22"/>
                <w:szCs w:val="22"/>
                <w:lang w:eastAsia="es-CR"/>
              </w:rPr>
            </w:pPr>
            <w:r w:rsidRPr="004E74A6">
              <w:rPr>
                <w:rFonts w:cs="Calibri"/>
                <w:color w:val="000000"/>
                <w:sz w:val="22"/>
                <w:szCs w:val="22"/>
                <w:lang w:eastAsia="es-CR"/>
              </w:rPr>
              <w:t>72%</w:t>
            </w:r>
          </w:p>
        </w:tc>
      </w:tr>
      <w:tr w:rsidR="007D6872" w:rsidRPr="004E74A6" w14:paraId="7F15EF04" w14:textId="77777777" w:rsidTr="00832773">
        <w:trPr>
          <w:trHeight w:val="288"/>
          <w:jc w:val="center"/>
        </w:trPr>
        <w:tc>
          <w:tcPr>
            <w:tcW w:w="3080" w:type="dxa"/>
            <w:tcBorders>
              <w:top w:val="nil"/>
              <w:left w:val="nil"/>
              <w:bottom w:val="nil"/>
              <w:right w:val="single" w:sz="4" w:space="0" w:color="auto"/>
            </w:tcBorders>
            <w:shd w:val="clear" w:color="auto" w:fill="auto"/>
            <w:noWrap/>
            <w:vAlign w:val="bottom"/>
            <w:hideMark/>
          </w:tcPr>
          <w:p w14:paraId="1DE4191D" w14:textId="77777777" w:rsidR="007D6872" w:rsidRPr="004E74A6" w:rsidRDefault="007D6872" w:rsidP="00832773">
            <w:pPr>
              <w:spacing w:line="276" w:lineRule="auto"/>
              <w:jc w:val="left"/>
              <w:rPr>
                <w:rFonts w:cs="Calibri"/>
                <w:color w:val="000000"/>
                <w:sz w:val="22"/>
                <w:szCs w:val="22"/>
                <w:lang w:eastAsia="es-CR"/>
              </w:rPr>
            </w:pPr>
            <w:r w:rsidRPr="004E74A6">
              <w:rPr>
                <w:rFonts w:cs="Calibri"/>
                <w:color w:val="000000"/>
                <w:sz w:val="22"/>
                <w:szCs w:val="22"/>
                <w:lang w:eastAsia="es-CR"/>
              </w:rPr>
              <w:t>De ¢6.000.001 a ¢7.000.000</w:t>
            </w:r>
          </w:p>
        </w:tc>
        <w:tc>
          <w:tcPr>
            <w:tcW w:w="1240" w:type="dxa"/>
            <w:tcBorders>
              <w:top w:val="nil"/>
              <w:left w:val="nil"/>
              <w:bottom w:val="nil"/>
              <w:right w:val="single" w:sz="4" w:space="0" w:color="auto"/>
            </w:tcBorders>
            <w:shd w:val="clear" w:color="auto" w:fill="auto"/>
            <w:noWrap/>
            <w:vAlign w:val="center"/>
            <w:hideMark/>
          </w:tcPr>
          <w:p w14:paraId="52A43B03" w14:textId="77777777" w:rsidR="007D6872" w:rsidRPr="004E74A6" w:rsidRDefault="007D6872" w:rsidP="00832773">
            <w:pPr>
              <w:spacing w:line="276" w:lineRule="auto"/>
              <w:jc w:val="center"/>
              <w:rPr>
                <w:rFonts w:cs="Calibri"/>
                <w:color w:val="000000"/>
                <w:sz w:val="22"/>
                <w:szCs w:val="22"/>
                <w:lang w:eastAsia="es-CR"/>
              </w:rPr>
            </w:pPr>
            <w:r w:rsidRPr="004E74A6">
              <w:rPr>
                <w:rFonts w:cs="Calibri"/>
                <w:color w:val="000000"/>
                <w:sz w:val="22"/>
                <w:szCs w:val="22"/>
                <w:lang w:eastAsia="es-CR"/>
              </w:rPr>
              <w:t>2807</w:t>
            </w:r>
          </w:p>
        </w:tc>
        <w:tc>
          <w:tcPr>
            <w:tcW w:w="1240" w:type="dxa"/>
            <w:tcBorders>
              <w:top w:val="nil"/>
              <w:left w:val="nil"/>
              <w:bottom w:val="nil"/>
              <w:right w:val="single" w:sz="4" w:space="0" w:color="auto"/>
            </w:tcBorders>
            <w:shd w:val="clear" w:color="auto" w:fill="auto"/>
            <w:noWrap/>
            <w:vAlign w:val="center"/>
            <w:hideMark/>
          </w:tcPr>
          <w:p w14:paraId="0178B4E4" w14:textId="77777777" w:rsidR="007D6872" w:rsidRPr="004E74A6" w:rsidRDefault="007D6872" w:rsidP="00832773">
            <w:pPr>
              <w:spacing w:line="276" w:lineRule="auto"/>
              <w:jc w:val="center"/>
              <w:rPr>
                <w:rFonts w:cs="Calibri"/>
                <w:color w:val="000000"/>
                <w:sz w:val="22"/>
                <w:szCs w:val="22"/>
                <w:lang w:eastAsia="es-CR"/>
              </w:rPr>
            </w:pPr>
            <w:r w:rsidRPr="004E74A6">
              <w:rPr>
                <w:rFonts w:cs="Calibri"/>
                <w:color w:val="000000"/>
                <w:sz w:val="22"/>
                <w:szCs w:val="22"/>
                <w:lang w:eastAsia="es-CR"/>
              </w:rPr>
              <w:t>1,8%</w:t>
            </w:r>
          </w:p>
        </w:tc>
        <w:tc>
          <w:tcPr>
            <w:tcW w:w="1297" w:type="dxa"/>
            <w:tcBorders>
              <w:top w:val="nil"/>
              <w:left w:val="nil"/>
              <w:bottom w:val="nil"/>
              <w:right w:val="nil"/>
            </w:tcBorders>
            <w:shd w:val="clear" w:color="auto" w:fill="auto"/>
            <w:noWrap/>
            <w:vAlign w:val="center"/>
            <w:hideMark/>
          </w:tcPr>
          <w:p w14:paraId="0EC0374B" w14:textId="77777777" w:rsidR="007D6872" w:rsidRPr="004E74A6" w:rsidRDefault="007D6872" w:rsidP="00832773">
            <w:pPr>
              <w:spacing w:line="276" w:lineRule="auto"/>
              <w:jc w:val="center"/>
              <w:rPr>
                <w:rFonts w:cs="Calibri"/>
                <w:color w:val="000000"/>
                <w:sz w:val="22"/>
                <w:szCs w:val="22"/>
                <w:lang w:eastAsia="es-CR"/>
              </w:rPr>
            </w:pPr>
            <w:r w:rsidRPr="004E74A6">
              <w:rPr>
                <w:rFonts w:cs="Calibri"/>
                <w:color w:val="000000"/>
                <w:sz w:val="22"/>
                <w:szCs w:val="22"/>
                <w:lang w:eastAsia="es-CR"/>
              </w:rPr>
              <w:t>74%</w:t>
            </w:r>
          </w:p>
        </w:tc>
      </w:tr>
      <w:tr w:rsidR="007D6872" w:rsidRPr="004E74A6" w14:paraId="7B2BD666" w14:textId="77777777" w:rsidTr="00832773">
        <w:trPr>
          <w:trHeight w:val="288"/>
          <w:jc w:val="center"/>
        </w:trPr>
        <w:tc>
          <w:tcPr>
            <w:tcW w:w="3080" w:type="dxa"/>
            <w:tcBorders>
              <w:top w:val="nil"/>
              <w:left w:val="nil"/>
              <w:bottom w:val="nil"/>
              <w:right w:val="single" w:sz="4" w:space="0" w:color="auto"/>
            </w:tcBorders>
            <w:shd w:val="clear" w:color="auto" w:fill="auto"/>
            <w:noWrap/>
            <w:vAlign w:val="bottom"/>
            <w:hideMark/>
          </w:tcPr>
          <w:p w14:paraId="077F6FB2" w14:textId="77777777" w:rsidR="007D6872" w:rsidRPr="004E74A6" w:rsidRDefault="007D6872" w:rsidP="00832773">
            <w:pPr>
              <w:spacing w:line="276" w:lineRule="auto"/>
              <w:jc w:val="left"/>
              <w:rPr>
                <w:rFonts w:cs="Calibri"/>
                <w:color w:val="000000"/>
                <w:sz w:val="22"/>
                <w:szCs w:val="22"/>
                <w:lang w:eastAsia="es-CR"/>
              </w:rPr>
            </w:pPr>
            <w:r w:rsidRPr="004E74A6">
              <w:rPr>
                <w:rFonts w:cs="Calibri"/>
                <w:color w:val="000000"/>
                <w:sz w:val="22"/>
                <w:szCs w:val="22"/>
                <w:lang w:eastAsia="es-CR"/>
              </w:rPr>
              <w:t>De ¢7.000.001 a ¢8.000.000</w:t>
            </w:r>
          </w:p>
        </w:tc>
        <w:tc>
          <w:tcPr>
            <w:tcW w:w="1240" w:type="dxa"/>
            <w:tcBorders>
              <w:top w:val="nil"/>
              <w:left w:val="nil"/>
              <w:bottom w:val="nil"/>
              <w:right w:val="single" w:sz="4" w:space="0" w:color="auto"/>
            </w:tcBorders>
            <w:shd w:val="clear" w:color="auto" w:fill="auto"/>
            <w:noWrap/>
            <w:vAlign w:val="center"/>
            <w:hideMark/>
          </w:tcPr>
          <w:p w14:paraId="3EECA581" w14:textId="77777777" w:rsidR="007D6872" w:rsidRPr="004E74A6" w:rsidRDefault="007D6872" w:rsidP="00832773">
            <w:pPr>
              <w:spacing w:line="276" w:lineRule="auto"/>
              <w:jc w:val="center"/>
              <w:rPr>
                <w:rFonts w:cs="Calibri"/>
                <w:color w:val="000000"/>
                <w:sz w:val="22"/>
                <w:szCs w:val="22"/>
                <w:lang w:eastAsia="es-CR"/>
              </w:rPr>
            </w:pPr>
            <w:r w:rsidRPr="004E74A6">
              <w:rPr>
                <w:rFonts w:cs="Calibri"/>
                <w:color w:val="000000"/>
                <w:sz w:val="22"/>
                <w:szCs w:val="22"/>
                <w:lang w:eastAsia="es-CR"/>
              </w:rPr>
              <w:t>2265</w:t>
            </w:r>
          </w:p>
        </w:tc>
        <w:tc>
          <w:tcPr>
            <w:tcW w:w="1240" w:type="dxa"/>
            <w:tcBorders>
              <w:top w:val="nil"/>
              <w:left w:val="nil"/>
              <w:bottom w:val="nil"/>
              <w:right w:val="single" w:sz="4" w:space="0" w:color="auto"/>
            </w:tcBorders>
            <w:shd w:val="clear" w:color="auto" w:fill="auto"/>
            <w:noWrap/>
            <w:vAlign w:val="center"/>
            <w:hideMark/>
          </w:tcPr>
          <w:p w14:paraId="1796154A" w14:textId="77777777" w:rsidR="007D6872" w:rsidRPr="004E74A6" w:rsidRDefault="007D6872" w:rsidP="00832773">
            <w:pPr>
              <w:spacing w:line="276" w:lineRule="auto"/>
              <w:jc w:val="center"/>
              <w:rPr>
                <w:rFonts w:cs="Calibri"/>
                <w:color w:val="000000"/>
                <w:sz w:val="22"/>
                <w:szCs w:val="22"/>
                <w:lang w:eastAsia="es-CR"/>
              </w:rPr>
            </w:pPr>
            <w:r w:rsidRPr="004E74A6">
              <w:rPr>
                <w:rFonts w:cs="Calibri"/>
                <w:color w:val="000000"/>
                <w:sz w:val="22"/>
                <w:szCs w:val="22"/>
                <w:lang w:eastAsia="es-CR"/>
              </w:rPr>
              <w:t>1,4%</w:t>
            </w:r>
          </w:p>
        </w:tc>
        <w:tc>
          <w:tcPr>
            <w:tcW w:w="1297" w:type="dxa"/>
            <w:tcBorders>
              <w:top w:val="nil"/>
              <w:left w:val="nil"/>
              <w:bottom w:val="nil"/>
              <w:right w:val="nil"/>
            </w:tcBorders>
            <w:shd w:val="clear" w:color="auto" w:fill="auto"/>
            <w:noWrap/>
            <w:vAlign w:val="center"/>
            <w:hideMark/>
          </w:tcPr>
          <w:p w14:paraId="73BB8009" w14:textId="77777777" w:rsidR="007D6872" w:rsidRPr="004E74A6" w:rsidRDefault="007D6872" w:rsidP="00832773">
            <w:pPr>
              <w:spacing w:line="276" w:lineRule="auto"/>
              <w:jc w:val="center"/>
              <w:rPr>
                <w:rFonts w:cs="Calibri"/>
                <w:color w:val="000000"/>
                <w:sz w:val="22"/>
                <w:szCs w:val="22"/>
                <w:lang w:eastAsia="es-CR"/>
              </w:rPr>
            </w:pPr>
            <w:r w:rsidRPr="004E74A6">
              <w:rPr>
                <w:rFonts w:cs="Calibri"/>
                <w:color w:val="000000"/>
                <w:sz w:val="22"/>
                <w:szCs w:val="22"/>
                <w:lang w:eastAsia="es-CR"/>
              </w:rPr>
              <w:t>75%</w:t>
            </w:r>
          </w:p>
        </w:tc>
      </w:tr>
      <w:tr w:rsidR="007D6872" w:rsidRPr="004E74A6" w14:paraId="1A146DCE" w14:textId="77777777" w:rsidTr="00832773">
        <w:trPr>
          <w:trHeight w:val="288"/>
          <w:jc w:val="center"/>
        </w:trPr>
        <w:tc>
          <w:tcPr>
            <w:tcW w:w="3080" w:type="dxa"/>
            <w:tcBorders>
              <w:top w:val="nil"/>
              <w:left w:val="nil"/>
              <w:bottom w:val="nil"/>
              <w:right w:val="single" w:sz="4" w:space="0" w:color="auto"/>
            </w:tcBorders>
            <w:shd w:val="clear" w:color="auto" w:fill="auto"/>
            <w:noWrap/>
            <w:vAlign w:val="bottom"/>
            <w:hideMark/>
          </w:tcPr>
          <w:p w14:paraId="5BCCEE14" w14:textId="77777777" w:rsidR="007D6872" w:rsidRPr="004E74A6" w:rsidRDefault="007D6872" w:rsidP="00832773">
            <w:pPr>
              <w:spacing w:line="276" w:lineRule="auto"/>
              <w:jc w:val="left"/>
              <w:rPr>
                <w:rFonts w:cs="Calibri"/>
                <w:color w:val="000000"/>
                <w:sz w:val="22"/>
                <w:szCs w:val="22"/>
                <w:lang w:eastAsia="es-CR"/>
              </w:rPr>
            </w:pPr>
            <w:r w:rsidRPr="004E74A6">
              <w:rPr>
                <w:rFonts w:cs="Calibri"/>
                <w:color w:val="000000"/>
                <w:sz w:val="22"/>
                <w:szCs w:val="22"/>
                <w:lang w:eastAsia="es-CR"/>
              </w:rPr>
              <w:t>De ¢8.000.001 a ¢9.000.000</w:t>
            </w:r>
          </w:p>
        </w:tc>
        <w:tc>
          <w:tcPr>
            <w:tcW w:w="1240" w:type="dxa"/>
            <w:tcBorders>
              <w:top w:val="nil"/>
              <w:left w:val="nil"/>
              <w:bottom w:val="nil"/>
              <w:right w:val="single" w:sz="4" w:space="0" w:color="auto"/>
            </w:tcBorders>
            <w:shd w:val="clear" w:color="auto" w:fill="auto"/>
            <w:noWrap/>
            <w:vAlign w:val="center"/>
            <w:hideMark/>
          </w:tcPr>
          <w:p w14:paraId="5FD66C2D" w14:textId="77777777" w:rsidR="007D6872" w:rsidRPr="004E74A6" w:rsidRDefault="007D6872" w:rsidP="00832773">
            <w:pPr>
              <w:spacing w:line="276" w:lineRule="auto"/>
              <w:jc w:val="center"/>
              <w:rPr>
                <w:rFonts w:cs="Calibri"/>
                <w:color w:val="000000"/>
                <w:sz w:val="22"/>
                <w:szCs w:val="22"/>
                <w:lang w:eastAsia="es-CR"/>
              </w:rPr>
            </w:pPr>
            <w:r w:rsidRPr="004E74A6">
              <w:rPr>
                <w:rFonts w:cs="Calibri"/>
                <w:color w:val="000000"/>
                <w:sz w:val="22"/>
                <w:szCs w:val="22"/>
                <w:lang w:eastAsia="es-CR"/>
              </w:rPr>
              <w:t>1929</w:t>
            </w:r>
          </w:p>
        </w:tc>
        <w:tc>
          <w:tcPr>
            <w:tcW w:w="1240" w:type="dxa"/>
            <w:tcBorders>
              <w:top w:val="nil"/>
              <w:left w:val="nil"/>
              <w:bottom w:val="nil"/>
              <w:right w:val="single" w:sz="4" w:space="0" w:color="auto"/>
            </w:tcBorders>
            <w:shd w:val="clear" w:color="auto" w:fill="auto"/>
            <w:noWrap/>
            <w:vAlign w:val="center"/>
            <w:hideMark/>
          </w:tcPr>
          <w:p w14:paraId="4000DE4D" w14:textId="77777777" w:rsidR="007D6872" w:rsidRPr="004E74A6" w:rsidRDefault="007D6872" w:rsidP="00832773">
            <w:pPr>
              <w:spacing w:line="276" w:lineRule="auto"/>
              <w:jc w:val="center"/>
              <w:rPr>
                <w:rFonts w:cs="Calibri"/>
                <w:color w:val="000000"/>
                <w:sz w:val="22"/>
                <w:szCs w:val="22"/>
                <w:lang w:eastAsia="es-CR"/>
              </w:rPr>
            </w:pPr>
            <w:r w:rsidRPr="004E74A6">
              <w:rPr>
                <w:rFonts w:cs="Calibri"/>
                <w:color w:val="000000"/>
                <w:sz w:val="22"/>
                <w:szCs w:val="22"/>
                <w:lang w:eastAsia="es-CR"/>
              </w:rPr>
              <w:t>1,2%</w:t>
            </w:r>
          </w:p>
        </w:tc>
        <w:tc>
          <w:tcPr>
            <w:tcW w:w="1297" w:type="dxa"/>
            <w:tcBorders>
              <w:top w:val="nil"/>
              <w:left w:val="nil"/>
              <w:bottom w:val="nil"/>
              <w:right w:val="nil"/>
            </w:tcBorders>
            <w:shd w:val="clear" w:color="auto" w:fill="auto"/>
            <w:noWrap/>
            <w:vAlign w:val="center"/>
            <w:hideMark/>
          </w:tcPr>
          <w:p w14:paraId="7C5D15A6" w14:textId="77777777" w:rsidR="007D6872" w:rsidRPr="004E74A6" w:rsidRDefault="007D6872" w:rsidP="00832773">
            <w:pPr>
              <w:spacing w:line="276" w:lineRule="auto"/>
              <w:jc w:val="center"/>
              <w:rPr>
                <w:rFonts w:cs="Calibri"/>
                <w:color w:val="000000"/>
                <w:sz w:val="22"/>
                <w:szCs w:val="22"/>
                <w:lang w:eastAsia="es-CR"/>
              </w:rPr>
            </w:pPr>
            <w:r w:rsidRPr="004E74A6">
              <w:rPr>
                <w:rFonts w:cs="Calibri"/>
                <w:color w:val="000000"/>
                <w:sz w:val="22"/>
                <w:szCs w:val="22"/>
                <w:lang w:eastAsia="es-CR"/>
              </w:rPr>
              <w:t>77%</w:t>
            </w:r>
          </w:p>
        </w:tc>
      </w:tr>
      <w:tr w:rsidR="007D6872" w:rsidRPr="004E74A6" w14:paraId="38C095F7" w14:textId="77777777" w:rsidTr="00832773">
        <w:trPr>
          <w:trHeight w:val="288"/>
          <w:jc w:val="center"/>
        </w:trPr>
        <w:tc>
          <w:tcPr>
            <w:tcW w:w="3080" w:type="dxa"/>
            <w:tcBorders>
              <w:top w:val="nil"/>
              <w:left w:val="nil"/>
              <w:bottom w:val="nil"/>
              <w:right w:val="single" w:sz="4" w:space="0" w:color="auto"/>
            </w:tcBorders>
            <w:shd w:val="clear" w:color="auto" w:fill="auto"/>
            <w:noWrap/>
            <w:vAlign w:val="bottom"/>
            <w:hideMark/>
          </w:tcPr>
          <w:p w14:paraId="1CC52BEA" w14:textId="77777777" w:rsidR="007D6872" w:rsidRPr="004E74A6" w:rsidRDefault="007D6872" w:rsidP="00832773">
            <w:pPr>
              <w:spacing w:line="276" w:lineRule="auto"/>
              <w:jc w:val="left"/>
              <w:rPr>
                <w:rFonts w:cs="Calibri"/>
                <w:color w:val="000000"/>
                <w:sz w:val="22"/>
                <w:szCs w:val="22"/>
                <w:lang w:eastAsia="es-CR"/>
              </w:rPr>
            </w:pPr>
            <w:r w:rsidRPr="004E74A6">
              <w:rPr>
                <w:rFonts w:cs="Calibri"/>
                <w:color w:val="000000"/>
                <w:sz w:val="22"/>
                <w:szCs w:val="22"/>
                <w:lang w:eastAsia="es-CR"/>
              </w:rPr>
              <w:t>De ¢9.000.001 a ¢10.000.000</w:t>
            </w:r>
          </w:p>
        </w:tc>
        <w:tc>
          <w:tcPr>
            <w:tcW w:w="1240" w:type="dxa"/>
            <w:tcBorders>
              <w:top w:val="nil"/>
              <w:left w:val="nil"/>
              <w:bottom w:val="nil"/>
              <w:right w:val="single" w:sz="4" w:space="0" w:color="auto"/>
            </w:tcBorders>
            <w:shd w:val="clear" w:color="auto" w:fill="auto"/>
            <w:noWrap/>
            <w:vAlign w:val="center"/>
            <w:hideMark/>
          </w:tcPr>
          <w:p w14:paraId="53326CB3" w14:textId="77777777" w:rsidR="007D6872" w:rsidRPr="004E74A6" w:rsidRDefault="007D6872" w:rsidP="00832773">
            <w:pPr>
              <w:spacing w:line="276" w:lineRule="auto"/>
              <w:jc w:val="center"/>
              <w:rPr>
                <w:rFonts w:cs="Calibri"/>
                <w:color w:val="000000"/>
                <w:sz w:val="22"/>
                <w:szCs w:val="22"/>
                <w:lang w:eastAsia="es-CR"/>
              </w:rPr>
            </w:pPr>
            <w:r w:rsidRPr="004E74A6">
              <w:rPr>
                <w:rFonts w:cs="Calibri"/>
                <w:color w:val="000000"/>
                <w:sz w:val="22"/>
                <w:szCs w:val="22"/>
                <w:lang w:eastAsia="es-CR"/>
              </w:rPr>
              <w:t>1463</w:t>
            </w:r>
          </w:p>
        </w:tc>
        <w:tc>
          <w:tcPr>
            <w:tcW w:w="1240" w:type="dxa"/>
            <w:tcBorders>
              <w:top w:val="nil"/>
              <w:left w:val="nil"/>
              <w:bottom w:val="nil"/>
              <w:right w:val="single" w:sz="4" w:space="0" w:color="auto"/>
            </w:tcBorders>
            <w:shd w:val="clear" w:color="auto" w:fill="auto"/>
            <w:noWrap/>
            <w:vAlign w:val="center"/>
            <w:hideMark/>
          </w:tcPr>
          <w:p w14:paraId="5080EDD0" w14:textId="77777777" w:rsidR="007D6872" w:rsidRPr="004E74A6" w:rsidRDefault="007D6872" w:rsidP="00832773">
            <w:pPr>
              <w:spacing w:line="276" w:lineRule="auto"/>
              <w:jc w:val="center"/>
              <w:rPr>
                <w:rFonts w:cs="Calibri"/>
                <w:color w:val="000000"/>
                <w:sz w:val="22"/>
                <w:szCs w:val="22"/>
                <w:lang w:eastAsia="es-CR"/>
              </w:rPr>
            </w:pPr>
            <w:r w:rsidRPr="004E74A6">
              <w:rPr>
                <w:rFonts w:cs="Calibri"/>
                <w:color w:val="000000"/>
                <w:sz w:val="22"/>
                <w:szCs w:val="22"/>
                <w:lang w:eastAsia="es-CR"/>
              </w:rPr>
              <w:t>0,9%</w:t>
            </w:r>
          </w:p>
        </w:tc>
        <w:tc>
          <w:tcPr>
            <w:tcW w:w="1297" w:type="dxa"/>
            <w:tcBorders>
              <w:top w:val="nil"/>
              <w:left w:val="nil"/>
              <w:bottom w:val="nil"/>
              <w:right w:val="nil"/>
            </w:tcBorders>
            <w:shd w:val="clear" w:color="auto" w:fill="auto"/>
            <w:noWrap/>
            <w:vAlign w:val="center"/>
            <w:hideMark/>
          </w:tcPr>
          <w:p w14:paraId="7D3015C8" w14:textId="77777777" w:rsidR="007D6872" w:rsidRPr="004E74A6" w:rsidRDefault="007D6872" w:rsidP="00832773">
            <w:pPr>
              <w:spacing w:line="276" w:lineRule="auto"/>
              <w:jc w:val="center"/>
              <w:rPr>
                <w:rFonts w:cs="Calibri"/>
                <w:color w:val="000000"/>
                <w:sz w:val="22"/>
                <w:szCs w:val="22"/>
                <w:lang w:eastAsia="es-CR"/>
              </w:rPr>
            </w:pPr>
            <w:r w:rsidRPr="004E74A6">
              <w:rPr>
                <w:rFonts w:cs="Calibri"/>
                <w:color w:val="000000"/>
                <w:sz w:val="22"/>
                <w:szCs w:val="22"/>
                <w:lang w:eastAsia="es-CR"/>
              </w:rPr>
              <w:t>78%</w:t>
            </w:r>
          </w:p>
        </w:tc>
      </w:tr>
      <w:tr w:rsidR="007D6872" w:rsidRPr="004E74A6" w14:paraId="1A0B35EA" w14:textId="77777777" w:rsidTr="00832773">
        <w:trPr>
          <w:trHeight w:val="486"/>
          <w:jc w:val="center"/>
        </w:trPr>
        <w:tc>
          <w:tcPr>
            <w:tcW w:w="3080" w:type="dxa"/>
            <w:tcBorders>
              <w:top w:val="nil"/>
              <w:left w:val="nil"/>
              <w:bottom w:val="nil"/>
              <w:right w:val="single" w:sz="4" w:space="0" w:color="auto"/>
            </w:tcBorders>
            <w:shd w:val="clear" w:color="auto" w:fill="auto"/>
            <w:noWrap/>
            <w:vAlign w:val="bottom"/>
            <w:hideMark/>
          </w:tcPr>
          <w:p w14:paraId="4F45E565" w14:textId="77777777" w:rsidR="007D6872" w:rsidRPr="004E74A6" w:rsidRDefault="007D6872" w:rsidP="00832773">
            <w:pPr>
              <w:spacing w:line="276" w:lineRule="auto"/>
              <w:jc w:val="left"/>
              <w:rPr>
                <w:rFonts w:cs="Calibri"/>
                <w:color w:val="000000"/>
                <w:sz w:val="22"/>
                <w:szCs w:val="22"/>
                <w:lang w:eastAsia="es-CR"/>
              </w:rPr>
            </w:pPr>
            <w:r w:rsidRPr="004E74A6">
              <w:rPr>
                <w:rFonts w:cs="Calibri"/>
                <w:color w:val="000000"/>
                <w:sz w:val="22"/>
                <w:szCs w:val="22"/>
                <w:lang w:eastAsia="es-CR"/>
              </w:rPr>
              <w:t>De ¢10.000.001 a ¢15.000.000</w:t>
            </w:r>
          </w:p>
        </w:tc>
        <w:tc>
          <w:tcPr>
            <w:tcW w:w="1240" w:type="dxa"/>
            <w:tcBorders>
              <w:top w:val="nil"/>
              <w:left w:val="nil"/>
              <w:bottom w:val="nil"/>
              <w:right w:val="single" w:sz="4" w:space="0" w:color="auto"/>
            </w:tcBorders>
            <w:shd w:val="clear" w:color="auto" w:fill="auto"/>
            <w:noWrap/>
            <w:vAlign w:val="center"/>
            <w:hideMark/>
          </w:tcPr>
          <w:p w14:paraId="477E242A" w14:textId="77777777" w:rsidR="007D6872" w:rsidRPr="004E74A6" w:rsidRDefault="007D6872" w:rsidP="00832773">
            <w:pPr>
              <w:spacing w:line="276" w:lineRule="auto"/>
              <w:jc w:val="center"/>
              <w:rPr>
                <w:rFonts w:cs="Calibri"/>
                <w:color w:val="000000"/>
                <w:sz w:val="22"/>
                <w:szCs w:val="22"/>
                <w:lang w:eastAsia="es-CR"/>
              </w:rPr>
            </w:pPr>
            <w:r w:rsidRPr="004E74A6">
              <w:rPr>
                <w:rFonts w:cs="Calibri"/>
                <w:color w:val="000000"/>
                <w:sz w:val="22"/>
                <w:szCs w:val="22"/>
                <w:lang w:eastAsia="es-CR"/>
              </w:rPr>
              <w:t>4932</w:t>
            </w:r>
          </w:p>
        </w:tc>
        <w:tc>
          <w:tcPr>
            <w:tcW w:w="1240" w:type="dxa"/>
            <w:tcBorders>
              <w:top w:val="nil"/>
              <w:left w:val="nil"/>
              <w:bottom w:val="nil"/>
              <w:right w:val="single" w:sz="4" w:space="0" w:color="auto"/>
            </w:tcBorders>
            <w:shd w:val="clear" w:color="auto" w:fill="auto"/>
            <w:noWrap/>
            <w:vAlign w:val="center"/>
            <w:hideMark/>
          </w:tcPr>
          <w:p w14:paraId="4D3E3C3E" w14:textId="77777777" w:rsidR="007D6872" w:rsidRPr="004E74A6" w:rsidRDefault="007D6872" w:rsidP="00832773">
            <w:pPr>
              <w:spacing w:line="276" w:lineRule="auto"/>
              <w:jc w:val="center"/>
              <w:rPr>
                <w:rFonts w:cs="Calibri"/>
                <w:color w:val="000000"/>
                <w:sz w:val="22"/>
                <w:szCs w:val="22"/>
                <w:lang w:eastAsia="es-CR"/>
              </w:rPr>
            </w:pPr>
            <w:r w:rsidRPr="004E74A6">
              <w:rPr>
                <w:rFonts w:cs="Calibri"/>
                <w:color w:val="000000"/>
                <w:sz w:val="22"/>
                <w:szCs w:val="22"/>
                <w:lang w:eastAsia="es-CR"/>
              </w:rPr>
              <w:t>3,2%</w:t>
            </w:r>
          </w:p>
        </w:tc>
        <w:tc>
          <w:tcPr>
            <w:tcW w:w="1297" w:type="dxa"/>
            <w:tcBorders>
              <w:top w:val="nil"/>
              <w:left w:val="nil"/>
              <w:bottom w:val="nil"/>
              <w:right w:val="nil"/>
            </w:tcBorders>
            <w:shd w:val="clear" w:color="auto" w:fill="auto"/>
            <w:noWrap/>
            <w:vAlign w:val="center"/>
            <w:hideMark/>
          </w:tcPr>
          <w:p w14:paraId="679A0052" w14:textId="77777777" w:rsidR="007D6872" w:rsidRPr="004E74A6" w:rsidRDefault="007D6872" w:rsidP="00832773">
            <w:pPr>
              <w:spacing w:line="276" w:lineRule="auto"/>
              <w:jc w:val="center"/>
              <w:rPr>
                <w:rFonts w:cs="Calibri"/>
                <w:color w:val="000000"/>
                <w:sz w:val="22"/>
                <w:szCs w:val="22"/>
                <w:lang w:eastAsia="es-CR"/>
              </w:rPr>
            </w:pPr>
            <w:r w:rsidRPr="004E74A6">
              <w:rPr>
                <w:rFonts w:cs="Calibri"/>
                <w:color w:val="000000"/>
                <w:sz w:val="22"/>
                <w:szCs w:val="22"/>
                <w:lang w:eastAsia="es-CR"/>
              </w:rPr>
              <w:t>81%</w:t>
            </w:r>
          </w:p>
        </w:tc>
      </w:tr>
      <w:tr w:rsidR="007D6872" w:rsidRPr="004E74A6" w14:paraId="41BBF23A" w14:textId="77777777" w:rsidTr="00832773">
        <w:trPr>
          <w:trHeight w:val="288"/>
          <w:jc w:val="center"/>
        </w:trPr>
        <w:tc>
          <w:tcPr>
            <w:tcW w:w="3080" w:type="dxa"/>
            <w:tcBorders>
              <w:top w:val="nil"/>
              <w:left w:val="nil"/>
              <w:bottom w:val="nil"/>
              <w:right w:val="single" w:sz="4" w:space="0" w:color="auto"/>
            </w:tcBorders>
            <w:shd w:val="clear" w:color="auto" w:fill="C5E0B3" w:themeFill="accent6" w:themeFillTint="66"/>
            <w:noWrap/>
            <w:vAlign w:val="bottom"/>
            <w:hideMark/>
          </w:tcPr>
          <w:p w14:paraId="3B20099B" w14:textId="77777777" w:rsidR="007D6872" w:rsidRPr="004E74A6" w:rsidRDefault="007D6872" w:rsidP="00832773">
            <w:pPr>
              <w:spacing w:line="276" w:lineRule="auto"/>
              <w:jc w:val="left"/>
              <w:rPr>
                <w:rFonts w:cs="Calibri"/>
                <w:color w:val="000000"/>
                <w:sz w:val="22"/>
                <w:szCs w:val="22"/>
                <w:lang w:eastAsia="es-CR"/>
              </w:rPr>
            </w:pPr>
            <w:r w:rsidRPr="004E74A6">
              <w:rPr>
                <w:rFonts w:cs="Calibri"/>
                <w:color w:val="000000"/>
                <w:sz w:val="22"/>
                <w:szCs w:val="22"/>
                <w:lang w:eastAsia="es-CR"/>
              </w:rPr>
              <w:t>De ¢15.000.001 a ¢20.000.000</w:t>
            </w:r>
          </w:p>
        </w:tc>
        <w:tc>
          <w:tcPr>
            <w:tcW w:w="1240" w:type="dxa"/>
            <w:tcBorders>
              <w:top w:val="nil"/>
              <w:left w:val="nil"/>
              <w:bottom w:val="nil"/>
              <w:right w:val="single" w:sz="4" w:space="0" w:color="auto"/>
            </w:tcBorders>
            <w:shd w:val="clear" w:color="auto" w:fill="C5E0B3" w:themeFill="accent6" w:themeFillTint="66"/>
            <w:noWrap/>
            <w:vAlign w:val="center"/>
            <w:hideMark/>
          </w:tcPr>
          <w:p w14:paraId="571D509B" w14:textId="77777777" w:rsidR="007D6872" w:rsidRPr="004E74A6" w:rsidRDefault="007D6872" w:rsidP="00832773">
            <w:pPr>
              <w:spacing w:line="276" w:lineRule="auto"/>
              <w:jc w:val="center"/>
              <w:rPr>
                <w:rFonts w:cs="Calibri"/>
                <w:color w:val="000000"/>
                <w:sz w:val="22"/>
                <w:szCs w:val="22"/>
                <w:lang w:eastAsia="es-CR"/>
              </w:rPr>
            </w:pPr>
            <w:r w:rsidRPr="004E74A6">
              <w:rPr>
                <w:rFonts w:cs="Calibri"/>
                <w:color w:val="000000"/>
                <w:sz w:val="22"/>
                <w:szCs w:val="22"/>
                <w:lang w:eastAsia="es-CR"/>
              </w:rPr>
              <w:t>2130</w:t>
            </w:r>
          </w:p>
        </w:tc>
        <w:tc>
          <w:tcPr>
            <w:tcW w:w="1240" w:type="dxa"/>
            <w:tcBorders>
              <w:top w:val="nil"/>
              <w:left w:val="nil"/>
              <w:bottom w:val="nil"/>
              <w:right w:val="single" w:sz="4" w:space="0" w:color="auto"/>
            </w:tcBorders>
            <w:shd w:val="clear" w:color="auto" w:fill="C5E0B3" w:themeFill="accent6" w:themeFillTint="66"/>
            <w:noWrap/>
            <w:vAlign w:val="center"/>
            <w:hideMark/>
          </w:tcPr>
          <w:p w14:paraId="1AAA2739" w14:textId="77777777" w:rsidR="007D6872" w:rsidRPr="004E74A6" w:rsidRDefault="007D6872" w:rsidP="00832773">
            <w:pPr>
              <w:spacing w:line="276" w:lineRule="auto"/>
              <w:jc w:val="center"/>
              <w:rPr>
                <w:rFonts w:cs="Calibri"/>
                <w:color w:val="000000"/>
                <w:sz w:val="22"/>
                <w:szCs w:val="22"/>
                <w:lang w:eastAsia="es-CR"/>
              </w:rPr>
            </w:pPr>
            <w:r w:rsidRPr="004E74A6">
              <w:rPr>
                <w:rFonts w:cs="Calibri"/>
                <w:color w:val="000000"/>
                <w:sz w:val="22"/>
                <w:szCs w:val="22"/>
                <w:lang w:eastAsia="es-CR"/>
              </w:rPr>
              <w:t>1,4%</w:t>
            </w:r>
          </w:p>
        </w:tc>
        <w:tc>
          <w:tcPr>
            <w:tcW w:w="1297" w:type="dxa"/>
            <w:tcBorders>
              <w:top w:val="nil"/>
              <w:left w:val="nil"/>
              <w:bottom w:val="nil"/>
              <w:right w:val="nil"/>
            </w:tcBorders>
            <w:shd w:val="clear" w:color="auto" w:fill="C5E0B3" w:themeFill="accent6" w:themeFillTint="66"/>
            <w:noWrap/>
            <w:vAlign w:val="center"/>
            <w:hideMark/>
          </w:tcPr>
          <w:p w14:paraId="0CAF722D" w14:textId="77777777" w:rsidR="007D6872" w:rsidRPr="004E74A6" w:rsidRDefault="007D6872" w:rsidP="00832773">
            <w:pPr>
              <w:spacing w:line="276" w:lineRule="auto"/>
              <w:jc w:val="center"/>
              <w:rPr>
                <w:rFonts w:cs="Calibri"/>
                <w:color w:val="000000"/>
                <w:sz w:val="22"/>
                <w:szCs w:val="22"/>
                <w:lang w:eastAsia="es-CR"/>
              </w:rPr>
            </w:pPr>
            <w:r w:rsidRPr="004E74A6">
              <w:rPr>
                <w:rFonts w:cs="Calibri"/>
                <w:color w:val="000000"/>
                <w:sz w:val="22"/>
                <w:szCs w:val="22"/>
                <w:lang w:eastAsia="es-CR"/>
              </w:rPr>
              <w:t>82%</w:t>
            </w:r>
          </w:p>
        </w:tc>
      </w:tr>
      <w:tr w:rsidR="007D6872" w:rsidRPr="004E74A6" w14:paraId="398F905F" w14:textId="77777777" w:rsidTr="00832773">
        <w:trPr>
          <w:trHeight w:val="288"/>
          <w:jc w:val="center"/>
        </w:trPr>
        <w:tc>
          <w:tcPr>
            <w:tcW w:w="3080" w:type="dxa"/>
            <w:tcBorders>
              <w:top w:val="nil"/>
              <w:left w:val="nil"/>
              <w:bottom w:val="nil"/>
              <w:right w:val="single" w:sz="4" w:space="0" w:color="auto"/>
            </w:tcBorders>
            <w:shd w:val="clear" w:color="auto" w:fill="auto"/>
            <w:noWrap/>
            <w:vAlign w:val="bottom"/>
            <w:hideMark/>
          </w:tcPr>
          <w:p w14:paraId="624878A7" w14:textId="77777777" w:rsidR="007D6872" w:rsidRPr="004E74A6" w:rsidRDefault="007D6872" w:rsidP="00832773">
            <w:pPr>
              <w:spacing w:line="276" w:lineRule="auto"/>
              <w:jc w:val="left"/>
              <w:rPr>
                <w:rFonts w:cs="Calibri"/>
                <w:color w:val="000000"/>
                <w:sz w:val="22"/>
                <w:szCs w:val="22"/>
                <w:lang w:eastAsia="es-CR"/>
              </w:rPr>
            </w:pPr>
            <w:r w:rsidRPr="004E74A6">
              <w:rPr>
                <w:rFonts w:cs="Calibri"/>
                <w:color w:val="000000"/>
                <w:sz w:val="22"/>
                <w:szCs w:val="22"/>
                <w:lang w:eastAsia="es-CR"/>
              </w:rPr>
              <w:t>De ¢20.000.001 a ¢25.000.000</w:t>
            </w:r>
          </w:p>
        </w:tc>
        <w:tc>
          <w:tcPr>
            <w:tcW w:w="1240" w:type="dxa"/>
            <w:tcBorders>
              <w:top w:val="nil"/>
              <w:left w:val="nil"/>
              <w:bottom w:val="nil"/>
              <w:right w:val="single" w:sz="4" w:space="0" w:color="auto"/>
            </w:tcBorders>
            <w:shd w:val="clear" w:color="auto" w:fill="auto"/>
            <w:noWrap/>
            <w:vAlign w:val="center"/>
            <w:hideMark/>
          </w:tcPr>
          <w:p w14:paraId="114999DA" w14:textId="77777777" w:rsidR="007D6872" w:rsidRPr="004E74A6" w:rsidRDefault="007D6872" w:rsidP="00832773">
            <w:pPr>
              <w:spacing w:line="276" w:lineRule="auto"/>
              <w:jc w:val="center"/>
              <w:rPr>
                <w:rFonts w:cs="Calibri"/>
                <w:color w:val="000000"/>
                <w:sz w:val="22"/>
                <w:szCs w:val="22"/>
                <w:lang w:eastAsia="es-CR"/>
              </w:rPr>
            </w:pPr>
            <w:r w:rsidRPr="004E74A6">
              <w:rPr>
                <w:rFonts w:cs="Calibri"/>
                <w:color w:val="000000"/>
                <w:sz w:val="22"/>
                <w:szCs w:val="22"/>
                <w:lang w:eastAsia="es-CR"/>
              </w:rPr>
              <w:t>1105</w:t>
            </w:r>
          </w:p>
        </w:tc>
        <w:tc>
          <w:tcPr>
            <w:tcW w:w="1240" w:type="dxa"/>
            <w:tcBorders>
              <w:top w:val="nil"/>
              <w:left w:val="nil"/>
              <w:bottom w:val="nil"/>
              <w:right w:val="single" w:sz="4" w:space="0" w:color="auto"/>
            </w:tcBorders>
            <w:shd w:val="clear" w:color="auto" w:fill="auto"/>
            <w:noWrap/>
            <w:vAlign w:val="center"/>
            <w:hideMark/>
          </w:tcPr>
          <w:p w14:paraId="4FA00B59" w14:textId="77777777" w:rsidR="007D6872" w:rsidRPr="004E74A6" w:rsidRDefault="007D6872" w:rsidP="00832773">
            <w:pPr>
              <w:spacing w:line="276" w:lineRule="auto"/>
              <w:jc w:val="center"/>
              <w:rPr>
                <w:rFonts w:cs="Calibri"/>
                <w:color w:val="000000"/>
                <w:sz w:val="22"/>
                <w:szCs w:val="22"/>
                <w:lang w:eastAsia="es-CR"/>
              </w:rPr>
            </w:pPr>
            <w:r w:rsidRPr="004E74A6">
              <w:rPr>
                <w:rFonts w:cs="Calibri"/>
                <w:color w:val="000000"/>
                <w:sz w:val="22"/>
                <w:szCs w:val="22"/>
                <w:lang w:eastAsia="es-CR"/>
              </w:rPr>
              <w:t>0,7%</w:t>
            </w:r>
          </w:p>
        </w:tc>
        <w:tc>
          <w:tcPr>
            <w:tcW w:w="1297" w:type="dxa"/>
            <w:tcBorders>
              <w:top w:val="nil"/>
              <w:left w:val="nil"/>
              <w:bottom w:val="nil"/>
              <w:right w:val="nil"/>
            </w:tcBorders>
            <w:shd w:val="clear" w:color="auto" w:fill="auto"/>
            <w:noWrap/>
            <w:vAlign w:val="center"/>
            <w:hideMark/>
          </w:tcPr>
          <w:p w14:paraId="49E0364A" w14:textId="77777777" w:rsidR="007D6872" w:rsidRPr="004E74A6" w:rsidRDefault="007D6872" w:rsidP="00832773">
            <w:pPr>
              <w:spacing w:line="276" w:lineRule="auto"/>
              <w:jc w:val="center"/>
              <w:rPr>
                <w:rFonts w:cs="Calibri"/>
                <w:color w:val="000000"/>
                <w:sz w:val="22"/>
                <w:szCs w:val="22"/>
                <w:lang w:eastAsia="es-CR"/>
              </w:rPr>
            </w:pPr>
            <w:r w:rsidRPr="004E74A6">
              <w:rPr>
                <w:rFonts w:cs="Calibri"/>
                <w:color w:val="000000"/>
                <w:sz w:val="22"/>
                <w:szCs w:val="22"/>
                <w:lang w:eastAsia="es-CR"/>
              </w:rPr>
              <w:t>83%</w:t>
            </w:r>
          </w:p>
        </w:tc>
      </w:tr>
      <w:tr w:rsidR="007D6872" w:rsidRPr="004E74A6" w14:paraId="479AB237" w14:textId="77777777" w:rsidTr="00832773">
        <w:trPr>
          <w:trHeight w:val="288"/>
          <w:jc w:val="center"/>
        </w:trPr>
        <w:tc>
          <w:tcPr>
            <w:tcW w:w="3080" w:type="dxa"/>
            <w:tcBorders>
              <w:top w:val="nil"/>
              <w:left w:val="nil"/>
              <w:bottom w:val="nil"/>
              <w:right w:val="single" w:sz="4" w:space="0" w:color="auto"/>
            </w:tcBorders>
            <w:shd w:val="clear" w:color="auto" w:fill="auto"/>
            <w:noWrap/>
            <w:vAlign w:val="bottom"/>
            <w:hideMark/>
          </w:tcPr>
          <w:p w14:paraId="53A25E08" w14:textId="77777777" w:rsidR="007D6872" w:rsidRPr="004E74A6" w:rsidRDefault="007D6872" w:rsidP="00832773">
            <w:pPr>
              <w:spacing w:line="276" w:lineRule="auto"/>
              <w:jc w:val="left"/>
              <w:rPr>
                <w:rFonts w:cs="Calibri"/>
                <w:color w:val="000000"/>
                <w:sz w:val="22"/>
                <w:szCs w:val="22"/>
                <w:lang w:eastAsia="es-CR"/>
              </w:rPr>
            </w:pPr>
            <w:r w:rsidRPr="004E74A6">
              <w:rPr>
                <w:rFonts w:cs="Calibri"/>
                <w:color w:val="000000"/>
                <w:sz w:val="22"/>
                <w:szCs w:val="22"/>
                <w:lang w:eastAsia="es-CR"/>
              </w:rPr>
              <w:t>De ¢25.000.001 a ¢30.000.000</w:t>
            </w:r>
          </w:p>
        </w:tc>
        <w:tc>
          <w:tcPr>
            <w:tcW w:w="1240" w:type="dxa"/>
            <w:tcBorders>
              <w:top w:val="nil"/>
              <w:left w:val="nil"/>
              <w:bottom w:val="nil"/>
              <w:right w:val="single" w:sz="4" w:space="0" w:color="auto"/>
            </w:tcBorders>
            <w:shd w:val="clear" w:color="auto" w:fill="auto"/>
            <w:noWrap/>
            <w:vAlign w:val="center"/>
            <w:hideMark/>
          </w:tcPr>
          <w:p w14:paraId="16FE4ABA" w14:textId="77777777" w:rsidR="007D6872" w:rsidRPr="004E74A6" w:rsidRDefault="007D6872" w:rsidP="00832773">
            <w:pPr>
              <w:spacing w:line="276" w:lineRule="auto"/>
              <w:jc w:val="center"/>
              <w:rPr>
                <w:rFonts w:cs="Calibri"/>
                <w:color w:val="000000"/>
                <w:sz w:val="22"/>
                <w:szCs w:val="22"/>
                <w:lang w:eastAsia="es-CR"/>
              </w:rPr>
            </w:pPr>
            <w:r w:rsidRPr="004E74A6">
              <w:rPr>
                <w:rFonts w:cs="Calibri"/>
                <w:color w:val="000000"/>
                <w:sz w:val="22"/>
                <w:szCs w:val="22"/>
                <w:lang w:eastAsia="es-CR"/>
              </w:rPr>
              <w:t>576</w:t>
            </w:r>
          </w:p>
        </w:tc>
        <w:tc>
          <w:tcPr>
            <w:tcW w:w="1240" w:type="dxa"/>
            <w:tcBorders>
              <w:top w:val="nil"/>
              <w:left w:val="nil"/>
              <w:bottom w:val="nil"/>
              <w:right w:val="single" w:sz="4" w:space="0" w:color="auto"/>
            </w:tcBorders>
            <w:shd w:val="clear" w:color="auto" w:fill="auto"/>
            <w:noWrap/>
            <w:vAlign w:val="center"/>
            <w:hideMark/>
          </w:tcPr>
          <w:p w14:paraId="348571AD" w14:textId="77777777" w:rsidR="007D6872" w:rsidRPr="004E74A6" w:rsidRDefault="007D6872" w:rsidP="00832773">
            <w:pPr>
              <w:spacing w:line="276" w:lineRule="auto"/>
              <w:jc w:val="center"/>
              <w:rPr>
                <w:rFonts w:cs="Calibri"/>
                <w:color w:val="000000"/>
                <w:sz w:val="22"/>
                <w:szCs w:val="22"/>
                <w:lang w:eastAsia="es-CR"/>
              </w:rPr>
            </w:pPr>
            <w:r w:rsidRPr="004E74A6">
              <w:rPr>
                <w:rFonts w:cs="Calibri"/>
                <w:color w:val="000000"/>
                <w:sz w:val="22"/>
                <w:szCs w:val="22"/>
                <w:lang w:eastAsia="es-CR"/>
              </w:rPr>
              <w:t>0,4%</w:t>
            </w:r>
          </w:p>
        </w:tc>
        <w:tc>
          <w:tcPr>
            <w:tcW w:w="1297" w:type="dxa"/>
            <w:tcBorders>
              <w:top w:val="nil"/>
              <w:left w:val="nil"/>
              <w:bottom w:val="nil"/>
              <w:right w:val="nil"/>
            </w:tcBorders>
            <w:shd w:val="clear" w:color="auto" w:fill="auto"/>
            <w:noWrap/>
            <w:vAlign w:val="center"/>
            <w:hideMark/>
          </w:tcPr>
          <w:p w14:paraId="7E66C4D9" w14:textId="77777777" w:rsidR="007D6872" w:rsidRPr="004E74A6" w:rsidRDefault="007D6872" w:rsidP="00832773">
            <w:pPr>
              <w:spacing w:line="276" w:lineRule="auto"/>
              <w:jc w:val="center"/>
              <w:rPr>
                <w:rFonts w:cs="Calibri"/>
                <w:color w:val="000000"/>
                <w:sz w:val="22"/>
                <w:szCs w:val="22"/>
                <w:lang w:eastAsia="es-CR"/>
              </w:rPr>
            </w:pPr>
            <w:r w:rsidRPr="004E74A6">
              <w:rPr>
                <w:rFonts w:cs="Calibri"/>
                <w:color w:val="000000"/>
                <w:sz w:val="22"/>
                <w:szCs w:val="22"/>
                <w:lang w:eastAsia="es-CR"/>
              </w:rPr>
              <w:t>83%</w:t>
            </w:r>
          </w:p>
        </w:tc>
      </w:tr>
      <w:tr w:rsidR="007D6872" w:rsidRPr="004E74A6" w14:paraId="184015DA" w14:textId="77777777" w:rsidTr="00832773">
        <w:trPr>
          <w:trHeight w:val="288"/>
          <w:jc w:val="center"/>
        </w:trPr>
        <w:tc>
          <w:tcPr>
            <w:tcW w:w="3080" w:type="dxa"/>
            <w:tcBorders>
              <w:top w:val="nil"/>
              <w:left w:val="nil"/>
              <w:bottom w:val="nil"/>
              <w:right w:val="single" w:sz="4" w:space="0" w:color="auto"/>
            </w:tcBorders>
            <w:shd w:val="clear" w:color="auto" w:fill="auto"/>
            <w:noWrap/>
            <w:vAlign w:val="bottom"/>
            <w:hideMark/>
          </w:tcPr>
          <w:p w14:paraId="14B3CBB7" w14:textId="77777777" w:rsidR="007D6872" w:rsidRPr="004E74A6" w:rsidRDefault="007D6872" w:rsidP="00832773">
            <w:pPr>
              <w:spacing w:line="276" w:lineRule="auto"/>
              <w:jc w:val="left"/>
              <w:rPr>
                <w:rFonts w:cs="Calibri"/>
                <w:color w:val="000000"/>
                <w:sz w:val="22"/>
                <w:szCs w:val="22"/>
                <w:lang w:eastAsia="es-CR"/>
              </w:rPr>
            </w:pPr>
            <w:r w:rsidRPr="004E74A6">
              <w:rPr>
                <w:rFonts w:cs="Calibri"/>
                <w:color w:val="000000"/>
                <w:sz w:val="22"/>
                <w:szCs w:val="22"/>
                <w:lang w:eastAsia="es-CR"/>
              </w:rPr>
              <w:t>De ¢30.000.001 a ¢35.000.000</w:t>
            </w:r>
          </w:p>
        </w:tc>
        <w:tc>
          <w:tcPr>
            <w:tcW w:w="1240" w:type="dxa"/>
            <w:tcBorders>
              <w:top w:val="nil"/>
              <w:left w:val="nil"/>
              <w:bottom w:val="nil"/>
              <w:right w:val="single" w:sz="4" w:space="0" w:color="auto"/>
            </w:tcBorders>
            <w:shd w:val="clear" w:color="auto" w:fill="auto"/>
            <w:noWrap/>
            <w:vAlign w:val="center"/>
            <w:hideMark/>
          </w:tcPr>
          <w:p w14:paraId="509AD5E4" w14:textId="77777777" w:rsidR="007D6872" w:rsidRPr="004E74A6" w:rsidRDefault="007D6872" w:rsidP="00832773">
            <w:pPr>
              <w:spacing w:line="276" w:lineRule="auto"/>
              <w:jc w:val="center"/>
              <w:rPr>
                <w:rFonts w:cs="Calibri"/>
                <w:color w:val="000000"/>
                <w:sz w:val="22"/>
                <w:szCs w:val="22"/>
                <w:lang w:eastAsia="es-CR"/>
              </w:rPr>
            </w:pPr>
            <w:r w:rsidRPr="004E74A6">
              <w:rPr>
                <w:rFonts w:cs="Calibri"/>
                <w:color w:val="000000"/>
                <w:sz w:val="22"/>
                <w:szCs w:val="22"/>
                <w:lang w:eastAsia="es-CR"/>
              </w:rPr>
              <w:t>391</w:t>
            </w:r>
          </w:p>
        </w:tc>
        <w:tc>
          <w:tcPr>
            <w:tcW w:w="1240" w:type="dxa"/>
            <w:tcBorders>
              <w:top w:val="nil"/>
              <w:left w:val="nil"/>
              <w:bottom w:val="nil"/>
              <w:right w:val="single" w:sz="4" w:space="0" w:color="auto"/>
            </w:tcBorders>
            <w:shd w:val="clear" w:color="auto" w:fill="auto"/>
            <w:noWrap/>
            <w:vAlign w:val="center"/>
            <w:hideMark/>
          </w:tcPr>
          <w:p w14:paraId="5F0C5E53" w14:textId="77777777" w:rsidR="007D6872" w:rsidRPr="004E74A6" w:rsidRDefault="007D6872" w:rsidP="00832773">
            <w:pPr>
              <w:spacing w:line="276" w:lineRule="auto"/>
              <w:jc w:val="center"/>
              <w:rPr>
                <w:rFonts w:cs="Calibri"/>
                <w:color w:val="000000"/>
                <w:sz w:val="22"/>
                <w:szCs w:val="22"/>
                <w:lang w:eastAsia="es-CR"/>
              </w:rPr>
            </w:pPr>
            <w:r w:rsidRPr="004E74A6">
              <w:rPr>
                <w:rFonts w:cs="Calibri"/>
                <w:color w:val="000000"/>
                <w:sz w:val="22"/>
                <w:szCs w:val="22"/>
                <w:lang w:eastAsia="es-CR"/>
              </w:rPr>
              <w:t>0,3%</w:t>
            </w:r>
          </w:p>
        </w:tc>
        <w:tc>
          <w:tcPr>
            <w:tcW w:w="1297" w:type="dxa"/>
            <w:tcBorders>
              <w:top w:val="nil"/>
              <w:left w:val="nil"/>
              <w:bottom w:val="nil"/>
              <w:right w:val="nil"/>
            </w:tcBorders>
            <w:shd w:val="clear" w:color="auto" w:fill="auto"/>
            <w:noWrap/>
            <w:vAlign w:val="center"/>
            <w:hideMark/>
          </w:tcPr>
          <w:p w14:paraId="788B6F77" w14:textId="77777777" w:rsidR="007D6872" w:rsidRPr="004E74A6" w:rsidRDefault="007D6872" w:rsidP="00832773">
            <w:pPr>
              <w:spacing w:line="276" w:lineRule="auto"/>
              <w:jc w:val="center"/>
              <w:rPr>
                <w:rFonts w:cs="Calibri"/>
                <w:color w:val="000000"/>
                <w:sz w:val="22"/>
                <w:szCs w:val="22"/>
                <w:lang w:eastAsia="es-CR"/>
              </w:rPr>
            </w:pPr>
            <w:r w:rsidRPr="004E74A6">
              <w:rPr>
                <w:rFonts w:cs="Calibri"/>
                <w:color w:val="000000"/>
                <w:sz w:val="22"/>
                <w:szCs w:val="22"/>
                <w:lang w:eastAsia="es-CR"/>
              </w:rPr>
              <w:t>83%</w:t>
            </w:r>
          </w:p>
        </w:tc>
      </w:tr>
      <w:tr w:rsidR="007D6872" w:rsidRPr="004E74A6" w14:paraId="5901C21E" w14:textId="77777777" w:rsidTr="00832773">
        <w:trPr>
          <w:trHeight w:val="288"/>
          <w:jc w:val="center"/>
        </w:trPr>
        <w:tc>
          <w:tcPr>
            <w:tcW w:w="3080" w:type="dxa"/>
            <w:tcBorders>
              <w:top w:val="nil"/>
              <w:left w:val="nil"/>
              <w:bottom w:val="nil"/>
              <w:right w:val="single" w:sz="4" w:space="0" w:color="auto"/>
            </w:tcBorders>
            <w:shd w:val="clear" w:color="auto" w:fill="auto"/>
            <w:noWrap/>
            <w:vAlign w:val="bottom"/>
            <w:hideMark/>
          </w:tcPr>
          <w:p w14:paraId="6D931C24" w14:textId="77777777" w:rsidR="007D6872" w:rsidRPr="004E74A6" w:rsidRDefault="007D6872" w:rsidP="00832773">
            <w:pPr>
              <w:spacing w:line="276" w:lineRule="auto"/>
              <w:jc w:val="left"/>
              <w:rPr>
                <w:rFonts w:cs="Calibri"/>
                <w:color w:val="000000"/>
                <w:sz w:val="22"/>
                <w:szCs w:val="22"/>
                <w:lang w:eastAsia="es-CR"/>
              </w:rPr>
            </w:pPr>
            <w:r w:rsidRPr="004E74A6">
              <w:rPr>
                <w:rFonts w:cs="Calibri"/>
                <w:color w:val="000000"/>
                <w:sz w:val="22"/>
                <w:szCs w:val="22"/>
                <w:lang w:eastAsia="es-CR"/>
              </w:rPr>
              <w:t>De ¢35.000.001 a ¢40.000.000</w:t>
            </w:r>
          </w:p>
        </w:tc>
        <w:tc>
          <w:tcPr>
            <w:tcW w:w="1240" w:type="dxa"/>
            <w:tcBorders>
              <w:top w:val="nil"/>
              <w:left w:val="nil"/>
              <w:bottom w:val="nil"/>
              <w:right w:val="single" w:sz="4" w:space="0" w:color="auto"/>
            </w:tcBorders>
            <w:shd w:val="clear" w:color="auto" w:fill="auto"/>
            <w:noWrap/>
            <w:vAlign w:val="center"/>
            <w:hideMark/>
          </w:tcPr>
          <w:p w14:paraId="3FAB8A03" w14:textId="77777777" w:rsidR="007D6872" w:rsidRPr="004E74A6" w:rsidRDefault="007D6872" w:rsidP="00832773">
            <w:pPr>
              <w:spacing w:line="276" w:lineRule="auto"/>
              <w:jc w:val="center"/>
              <w:rPr>
                <w:rFonts w:cs="Calibri"/>
                <w:color w:val="000000"/>
                <w:sz w:val="22"/>
                <w:szCs w:val="22"/>
                <w:lang w:eastAsia="es-CR"/>
              </w:rPr>
            </w:pPr>
            <w:r w:rsidRPr="004E74A6">
              <w:rPr>
                <w:rFonts w:cs="Calibri"/>
                <w:color w:val="000000"/>
                <w:sz w:val="22"/>
                <w:szCs w:val="22"/>
                <w:lang w:eastAsia="es-CR"/>
              </w:rPr>
              <w:t>267</w:t>
            </w:r>
          </w:p>
        </w:tc>
        <w:tc>
          <w:tcPr>
            <w:tcW w:w="1240" w:type="dxa"/>
            <w:tcBorders>
              <w:top w:val="nil"/>
              <w:left w:val="nil"/>
              <w:bottom w:val="nil"/>
              <w:right w:val="single" w:sz="4" w:space="0" w:color="auto"/>
            </w:tcBorders>
            <w:shd w:val="clear" w:color="auto" w:fill="auto"/>
            <w:noWrap/>
            <w:vAlign w:val="center"/>
            <w:hideMark/>
          </w:tcPr>
          <w:p w14:paraId="32DA7586" w14:textId="77777777" w:rsidR="007D6872" w:rsidRPr="004E74A6" w:rsidRDefault="007D6872" w:rsidP="00832773">
            <w:pPr>
              <w:spacing w:line="276" w:lineRule="auto"/>
              <w:jc w:val="center"/>
              <w:rPr>
                <w:rFonts w:cs="Calibri"/>
                <w:color w:val="000000"/>
                <w:sz w:val="22"/>
                <w:szCs w:val="22"/>
                <w:lang w:eastAsia="es-CR"/>
              </w:rPr>
            </w:pPr>
            <w:r w:rsidRPr="004E74A6">
              <w:rPr>
                <w:rFonts w:cs="Calibri"/>
                <w:color w:val="000000"/>
                <w:sz w:val="22"/>
                <w:szCs w:val="22"/>
                <w:lang w:eastAsia="es-CR"/>
              </w:rPr>
              <w:t>0,2%</w:t>
            </w:r>
          </w:p>
        </w:tc>
        <w:tc>
          <w:tcPr>
            <w:tcW w:w="1297" w:type="dxa"/>
            <w:tcBorders>
              <w:top w:val="nil"/>
              <w:left w:val="nil"/>
              <w:bottom w:val="nil"/>
              <w:right w:val="nil"/>
            </w:tcBorders>
            <w:shd w:val="clear" w:color="auto" w:fill="auto"/>
            <w:noWrap/>
            <w:vAlign w:val="center"/>
            <w:hideMark/>
          </w:tcPr>
          <w:p w14:paraId="01DB66C2" w14:textId="77777777" w:rsidR="007D6872" w:rsidRPr="004E74A6" w:rsidRDefault="007D6872" w:rsidP="00832773">
            <w:pPr>
              <w:spacing w:line="276" w:lineRule="auto"/>
              <w:jc w:val="center"/>
              <w:rPr>
                <w:rFonts w:cs="Calibri"/>
                <w:color w:val="000000"/>
                <w:sz w:val="22"/>
                <w:szCs w:val="22"/>
                <w:lang w:eastAsia="es-CR"/>
              </w:rPr>
            </w:pPr>
            <w:r w:rsidRPr="004E74A6">
              <w:rPr>
                <w:rFonts w:cs="Calibri"/>
                <w:color w:val="000000"/>
                <w:sz w:val="22"/>
                <w:szCs w:val="22"/>
                <w:lang w:eastAsia="es-CR"/>
              </w:rPr>
              <w:t>84%</w:t>
            </w:r>
          </w:p>
        </w:tc>
      </w:tr>
      <w:tr w:rsidR="007D6872" w:rsidRPr="004E74A6" w14:paraId="45013848" w14:textId="77777777" w:rsidTr="00832773">
        <w:trPr>
          <w:trHeight w:val="288"/>
          <w:jc w:val="center"/>
        </w:trPr>
        <w:tc>
          <w:tcPr>
            <w:tcW w:w="3080" w:type="dxa"/>
            <w:tcBorders>
              <w:top w:val="nil"/>
              <w:left w:val="nil"/>
              <w:bottom w:val="nil"/>
              <w:right w:val="single" w:sz="4" w:space="0" w:color="auto"/>
            </w:tcBorders>
            <w:shd w:val="clear" w:color="auto" w:fill="auto"/>
            <w:noWrap/>
            <w:vAlign w:val="bottom"/>
            <w:hideMark/>
          </w:tcPr>
          <w:p w14:paraId="3380E818" w14:textId="77777777" w:rsidR="007D6872" w:rsidRPr="004E74A6" w:rsidRDefault="007D6872" w:rsidP="00832773">
            <w:pPr>
              <w:spacing w:line="276" w:lineRule="auto"/>
              <w:jc w:val="left"/>
              <w:rPr>
                <w:rFonts w:cs="Calibri"/>
                <w:color w:val="000000"/>
                <w:sz w:val="22"/>
                <w:szCs w:val="22"/>
                <w:lang w:eastAsia="es-CR"/>
              </w:rPr>
            </w:pPr>
            <w:r w:rsidRPr="004E74A6">
              <w:rPr>
                <w:rFonts w:cs="Calibri"/>
                <w:color w:val="000000"/>
                <w:sz w:val="22"/>
                <w:szCs w:val="22"/>
                <w:lang w:eastAsia="es-CR"/>
              </w:rPr>
              <w:t>De ¢40.000.001 a ¢45.000.000</w:t>
            </w:r>
          </w:p>
        </w:tc>
        <w:tc>
          <w:tcPr>
            <w:tcW w:w="1240" w:type="dxa"/>
            <w:tcBorders>
              <w:top w:val="nil"/>
              <w:left w:val="nil"/>
              <w:bottom w:val="nil"/>
              <w:right w:val="single" w:sz="4" w:space="0" w:color="auto"/>
            </w:tcBorders>
            <w:shd w:val="clear" w:color="auto" w:fill="auto"/>
            <w:noWrap/>
            <w:vAlign w:val="center"/>
            <w:hideMark/>
          </w:tcPr>
          <w:p w14:paraId="7354C079" w14:textId="77777777" w:rsidR="007D6872" w:rsidRPr="004E74A6" w:rsidRDefault="007D6872" w:rsidP="00832773">
            <w:pPr>
              <w:spacing w:line="276" w:lineRule="auto"/>
              <w:jc w:val="center"/>
              <w:rPr>
                <w:rFonts w:cs="Calibri"/>
                <w:color w:val="000000"/>
                <w:sz w:val="22"/>
                <w:szCs w:val="22"/>
                <w:lang w:eastAsia="es-CR"/>
              </w:rPr>
            </w:pPr>
            <w:r w:rsidRPr="004E74A6">
              <w:rPr>
                <w:rFonts w:cs="Calibri"/>
                <w:color w:val="000000"/>
                <w:sz w:val="22"/>
                <w:szCs w:val="22"/>
                <w:lang w:eastAsia="es-CR"/>
              </w:rPr>
              <w:t>184</w:t>
            </w:r>
          </w:p>
        </w:tc>
        <w:tc>
          <w:tcPr>
            <w:tcW w:w="1240" w:type="dxa"/>
            <w:tcBorders>
              <w:top w:val="nil"/>
              <w:left w:val="nil"/>
              <w:bottom w:val="nil"/>
              <w:right w:val="single" w:sz="4" w:space="0" w:color="auto"/>
            </w:tcBorders>
            <w:shd w:val="clear" w:color="auto" w:fill="auto"/>
            <w:noWrap/>
            <w:vAlign w:val="center"/>
            <w:hideMark/>
          </w:tcPr>
          <w:p w14:paraId="1568E768" w14:textId="77777777" w:rsidR="007D6872" w:rsidRPr="004E74A6" w:rsidRDefault="007D6872" w:rsidP="00832773">
            <w:pPr>
              <w:spacing w:line="276" w:lineRule="auto"/>
              <w:jc w:val="center"/>
              <w:rPr>
                <w:rFonts w:cs="Calibri"/>
                <w:color w:val="000000"/>
                <w:sz w:val="22"/>
                <w:szCs w:val="22"/>
                <w:lang w:eastAsia="es-CR"/>
              </w:rPr>
            </w:pPr>
            <w:r w:rsidRPr="004E74A6">
              <w:rPr>
                <w:rFonts w:cs="Calibri"/>
                <w:color w:val="000000"/>
                <w:sz w:val="22"/>
                <w:szCs w:val="22"/>
                <w:lang w:eastAsia="es-CR"/>
              </w:rPr>
              <w:t>0,1%</w:t>
            </w:r>
          </w:p>
        </w:tc>
        <w:tc>
          <w:tcPr>
            <w:tcW w:w="1297" w:type="dxa"/>
            <w:tcBorders>
              <w:top w:val="nil"/>
              <w:left w:val="nil"/>
              <w:bottom w:val="nil"/>
              <w:right w:val="nil"/>
            </w:tcBorders>
            <w:shd w:val="clear" w:color="auto" w:fill="auto"/>
            <w:noWrap/>
            <w:vAlign w:val="center"/>
            <w:hideMark/>
          </w:tcPr>
          <w:p w14:paraId="74824796" w14:textId="77777777" w:rsidR="007D6872" w:rsidRPr="004E74A6" w:rsidRDefault="007D6872" w:rsidP="00832773">
            <w:pPr>
              <w:spacing w:line="276" w:lineRule="auto"/>
              <w:jc w:val="center"/>
              <w:rPr>
                <w:rFonts w:cs="Calibri"/>
                <w:color w:val="000000"/>
                <w:sz w:val="22"/>
                <w:szCs w:val="22"/>
                <w:lang w:eastAsia="es-CR"/>
              </w:rPr>
            </w:pPr>
            <w:r w:rsidRPr="004E74A6">
              <w:rPr>
                <w:rFonts w:cs="Calibri"/>
                <w:color w:val="000000"/>
                <w:sz w:val="22"/>
                <w:szCs w:val="22"/>
                <w:lang w:eastAsia="es-CR"/>
              </w:rPr>
              <w:t>84%</w:t>
            </w:r>
          </w:p>
        </w:tc>
      </w:tr>
      <w:tr w:rsidR="007D6872" w:rsidRPr="004E74A6" w14:paraId="20336A8B" w14:textId="77777777" w:rsidTr="00832773">
        <w:trPr>
          <w:trHeight w:val="288"/>
          <w:jc w:val="center"/>
        </w:trPr>
        <w:tc>
          <w:tcPr>
            <w:tcW w:w="3080" w:type="dxa"/>
            <w:tcBorders>
              <w:top w:val="nil"/>
              <w:left w:val="nil"/>
              <w:bottom w:val="nil"/>
              <w:right w:val="single" w:sz="4" w:space="0" w:color="auto"/>
            </w:tcBorders>
            <w:shd w:val="clear" w:color="auto" w:fill="auto"/>
            <w:noWrap/>
            <w:vAlign w:val="bottom"/>
            <w:hideMark/>
          </w:tcPr>
          <w:p w14:paraId="5AD9067C" w14:textId="77777777" w:rsidR="007D6872" w:rsidRPr="004E74A6" w:rsidRDefault="007D6872" w:rsidP="00832773">
            <w:pPr>
              <w:spacing w:line="276" w:lineRule="auto"/>
              <w:jc w:val="left"/>
              <w:rPr>
                <w:rFonts w:cs="Calibri"/>
                <w:color w:val="000000"/>
                <w:sz w:val="22"/>
                <w:szCs w:val="22"/>
                <w:lang w:eastAsia="es-CR"/>
              </w:rPr>
            </w:pPr>
            <w:r w:rsidRPr="004E74A6">
              <w:rPr>
                <w:rFonts w:cs="Calibri"/>
                <w:color w:val="000000"/>
                <w:sz w:val="22"/>
                <w:szCs w:val="22"/>
                <w:lang w:eastAsia="es-CR"/>
              </w:rPr>
              <w:t>De ¢45.000.001 a ¢50.000.000</w:t>
            </w:r>
          </w:p>
        </w:tc>
        <w:tc>
          <w:tcPr>
            <w:tcW w:w="1240" w:type="dxa"/>
            <w:tcBorders>
              <w:top w:val="nil"/>
              <w:left w:val="nil"/>
              <w:bottom w:val="nil"/>
              <w:right w:val="single" w:sz="4" w:space="0" w:color="auto"/>
            </w:tcBorders>
            <w:shd w:val="clear" w:color="auto" w:fill="auto"/>
            <w:noWrap/>
            <w:vAlign w:val="center"/>
            <w:hideMark/>
          </w:tcPr>
          <w:p w14:paraId="52DAA534" w14:textId="77777777" w:rsidR="007D6872" w:rsidRPr="004E74A6" w:rsidRDefault="007D6872" w:rsidP="00832773">
            <w:pPr>
              <w:spacing w:line="276" w:lineRule="auto"/>
              <w:jc w:val="center"/>
              <w:rPr>
                <w:rFonts w:cs="Calibri"/>
                <w:color w:val="000000"/>
                <w:sz w:val="22"/>
                <w:szCs w:val="22"/>
                <w:lang w:eastAsia="es-CR"/>
              </w:rPr>
            </w:pPr>
            <w:r w:rsidRPr="004E74A6">
              <w:rPr>
                <w:rFonts w:cs="Calibri"/>
                <w:color w:val="000000"/>
                <w:sz w:val="22"/>
                <w:szCs w:val="22"/>
                <w:lang w:eastAsia="es-CR"/>
              </w:rPr>
              <w:t>166</w:t>
            </w:r>
          </w:p>
        </w:tc>
        <w:tc>
          <w:tcPr>
            <w:tcW w:w="1240" w:type="dxa"/>
            <w:tcBorders>
              <w:top w:val="nil"/>
              <w:left w:val="nil"/>
              <w:bottom w:val="nil"/>
              <w:right w:val="single" w:sz="4" w:space="0" w:color="auto"/>
            </w:tcBorders>
            <w:shd w:val="clear" w:color="auto" w:fill="auto"/>
            <w:noWrap/>
            <w:vAlign w:val="center"/>
            <w:hideMark/>
          </w:tcPr>
          <w:p w14:paraId="290093C9" w14:textId="77777777" w:rsidR="007D6872" w:rsidRPr="004E74A6" w:rsidRDefault="007D6872" w:rsidP="00832773">
            <w:pPr>
              <w:spacing w:line="276" w:lineRule="auto"/>
              <w:jc w:val="center"/>
              <w:rPr>
                <w:rFonts w:cs="Calibri"/>
                <w:color w:val="000000"/>
                <w:sz w:val="22"/>
                <w:szCs w:val="22"/>
                <w:lang w:eastAsia="es-CR"/>
              </w:rPr>
            </w:pPr>
            <w:r w:rsidRPr="004E74A6">
              <w:rPr>
                <w:rFonts w:cs="Calibri"/>
                <w:color w:val="000000"/>
                <w:sz w:val="22"/>
                <w:szCs w:val="22"/>
                <w:lang w:eastAsia="es-CR"/>
              </w:rPr>
              <w:t>0,1%</w:t>
            </w:r>
          </w:p>
        </w:tc>
        <w:tc>
          <w:tcPr>
            <w:tcW w:w="1297" w:type="dxa"/>
            <w:tcBorders>
              <w:top w:val="nil"/>
              <w:left w:val="nil"/>
              <w:bottom w:val="nil"/>
              <w:right w:val="nil"/>
            </w:tcBorders>
            <w:shd w:val="clear" w:color="auto" w:fill="auto"/>
            <w:noWrap/>
            <w:vAlign w:val="center"/>
            <w:hideMark/>
          </w:tcPr>
          <w:p w14:paraId="16323BF9" w14:textId="77777777" w:rsidR="007D6872" w:rsidRPr="004E74A6" w:rsidRDefault="007D6872" w:rsidP="00832773">
            <w:pPr>
              <w:spacing w:line="276" w:lineRule="auto"/>
              <w:jc w:val="center"/>
              <w:rPr>
                <w:rFonts w:cs="Calibri"/>
                <w:color w:val="000000"/>
                <w:sz w:val="22"/>
                <w:szCs w:val="22"/>
                <w:lang w:eastAsia="es-CR"/>
              </w:rPr>
            </w:pPr>
            <w:r w:rsidRPr="004E74A6">
              <w:rPr>
                <w:rFonts w:cs="Calibri"/>
                <w:color w:val="000000"/>
                <w:sz w:val="22"/>
                <w:szCs w:val="22"/>
                <w:lang w:eastAsia="es-CR"/>
              </w:rPr>
              <w:t>84%</w:t>
            </w:r>
          </w:p>
        </w:tc>
      </w:tr>
      <w:tr w:rsidR="007D6872" w:rsidRPr="004E74A6" w14:paraId="046004A4" w14:textId="77777777" w:rsidTr="00832773">
        <w:trPr>
          <w:trHeight w:val="288"/>
          <w:jc w:val="center"/>
        </w:trPr>
        <w:tc>
          <w:tcPr>
            <w:tcW w:w="3080" w:type="dxa"/>
            <w:tcBorders>
              <w:top w:val="nil"/>
              <w:left w:val="nil"/>
              <w:bottom w:val="nil"/>
              <w:right w:val="single" w:sz="4" w:space="0" w:color="auto"/>
            </w:tcBorders>
            <w:shd w:val="clear" w:color="auto" w:fill="auto"/>
            <w:noWrap/>
            <w:vAlign w:val="bottom"/>
            <w:hideMark/>
          </w:tcPr>
          <w:p w14:paraId="6F8B1AFA" w14:textId="77777777" w:rsidR="007D6872" w:rsidRPr="004E74A6" w:rsidRDefault="007D6872" w:rsidP="00832773">
            <w:pPr>
              <w:spacing w:line="276" w:lineRule="auto"/>
              <w:jc w:val="left"/>
              <w:rPr>
                <w:rFonts w:cs="Calibri"/>
                <w:color w:val="000000"/>
                <w:sz w:val="22"/>
                <w:szCs w:val="22"/>
                <w:lang w:eastAsia="es-CR"/>
              </w:rPr>
            </w:pPr>
            <w:r w:rsidRPr="004E74A6">
              <w:rPr>
                <w:rFonts w:cs="Calibri"/>
                <w:color w:val="000000"/>
                <w:sz w:val="22"/>
                <w:szCs w:val="22"/>
                <w:lang w:eastAsia="es-CR"/>
              </w:rPr>
              <w:t>De ¢50.000.001 a ¢55.000.000</w:t>
            </w:r>
          </w:p>
        </w:tc>
        <w:tc>
          <w:tcPr>
            <w:tcW w:w="1240" w:type="dxa"/>
            <w:tcBorders>
              <w:top w:val="nil"/>
              <w:left w:val="nil"/>
              <w:bottom w:val="nil"/>
              <w:right w:val="single" w:sz="4" w:space="0" w:color="auto"/>
            </w:tcBorders>
            <w:shd w:val="clear" w:color="auto" w:fill="auto"/>
            <w:noWrap/>
            <w:vAlign w:val="center"/>
            <w:hideMark/>
          </w:tcPr>
          <w:p w14:paraId="4696E9C6" w14:textId="77777777" w:rsidR="007D6872" w:rsidRPr="004E74A6" w:rsidRDefault="007D6872" w:rsidP="00832773">
            <w:pPr>
              <w:spacing w:line="276" w:lineRule="auto"/>
              <w:jc w:val="center"/>
              <w:rPr>
                <w:rFonts w:cs="Calibri"/>
                <w:color w:val="000000"/>
                <w:sz w:val="22"/>
                <w:szCs w:val="22"/>
                <w:lang w:eastAsia="es-CR"/>
              </w:rPr>
            </w:pPr>
            <w:r w:rsidRPr="004E74A6">
              <w:rPr>
                <w:rFonts w:cs="Calibri"/>
                <w:color w:val="000000"/>
                <w:sz w:val="22"/>
                <w:szCs w:val="22"/>
                <w:lang w:eastAsia="es-CR"/>
              </w:rPr>
              <w:t>164</w:t>
            </w:r>
          </w:p>
        </w:tc>
        <w:tc>
          <w:tcPr>
            <w:tcW w:w="1240" w:type="dxa"/>
            <w:tcBorders>
              <w:top w:val="nil"/>
              <w:left w:val="nil"/>
              <w:bottom w:val="nil"/>
              <w:right w:val="single" w:sz="4" w:space="0" w:color="auto"/>
            </w:tcBorders>
            <w:shd w:val="clear" w:color="auto" w:fill="auto"/>
            <w:noWrap/>
            <w:vAlign w:val="center"/>
            <w:hideMark/>
          </w:tcPr>
          <w:p w14:paraId="26931BA3" w14:textId="77777777" w:rsidR="007D6872" w:rsidRPr="004E74A6" w:rsidRDefault="007D6872" w:rsidP="00832773">
            <w:pPr>
              <w:spacing w:line="276" w:lineRule="auto"/>
              <w:jc w:val="center"/>
              <w:rPr>
                <w:rFonts w:cs="Calibri"/>
                <w:color w:val="000000"/>
                <w:sz w:val="22"/>
                <w:szCs w:val="22"/>
                <w:lang w:eastAsia="es-CR"/>
              </w:rPr>
            </w:pPr>
            <w:r w:rsidRPr="004E74A6">
              <w:rPr>
                <w:rFonts w:cs="Calibri"/>
                <w:color w:val="000000"/>
                <w:sz w:val="22"/>
                <w:szCs w:val="22"/>
                <w:lang w:eastAsia="es-CR"/>
              </w:rPr>
              <w:t>0,1%</w:t>
            </w:r>
          </w:p>
        </w:tc>
        <w:tc>
          <w:tcPr>
            <w:tcW w:w="1297" w:type="dxa"/>
            <w:tcBorders>
              <w:top w:val="nil"/>
              <w:left w:val="nil"/>
              <w:bottom w:val="nil"/>
              <w:right w:val="nil"/>
            </w:tcBorders>
            <w:shd w:val="clear" w:color="auto" w:fill="auto"/>
            <w:noWrap/>
            <w:vAlign w:val="center"/>
            <w:hideMark/>
          </w:tcPr>
          <w:p w14:paraId="7497F35C" w14:textId="77777777" w:rsidR="007D6872" w:rsidRPr="004E74A6" w:rsidRDefault="007D6872" w:rsidP="00832773">
            <w:pPr>
              <w:spacing w:line="276" w:lineRule="auto"/>
              <w:jc w:val="center"/>
              <w:rPr>
                <w:rFonts w:cs="Calibri"/>
                <w:color w:val="000000"/>
                <w:sz w:val="22"/>
                <w:szCs w:val="22"/>
                <w:lang w:eastAsia="es-CR"/>
              </w:rPr>
            </w:pPr>
            <w:r w:rsidRPr="004E74A6">
              <w:rPr>
                <w:rFonts w:cs="Calibri"/>
                <w:color w:val="000000"/>
                <w:sz w:val="22"/>
                <w:szCs w:val="22"/>
                <w:lang w:eastAsia="es-CR"/>
              </w:rPr>
              <w:t>84%</w:t>
            </w:r>
          </w:p>
        </w:tc>
      </w:tr>
      <w:tr w:rsidR="007D6872" w:rsidRPr="004E74A6" w14:paraId="0684B341" w14:textId="77777777" w:rsidTr="00832773">
        <w:trPr>
          <w:trHeight w:val="288"/>
          <w:jc w:val="center"/>
        </w:trPr>
        <w:tc>
          <w:tcPr>
            <w:tcW w:w="3080" w:type="dxa"/>
            <w:tcBorders>
              <w:top w:val="nil"/>
              <w:left w:val="nil"/>
              <w:bottom w:val="nil"/>
              <w:right w:val="single" w:sz="4" w:space="0" w:color="auto"/>
            </w:tcBorders>
            <w:shd w:val="clear" w:color="auto" w:fill="auto"/>
            <w:noWrap/>
            <w:vAlign w:val="bottom"/>
            <w:hideMark/>
          </w:tcPr>
          <w:p w14:paraId="729EB090" w14:textId="77777777" w:rsidR="007D6872" w:rsidRPr="004E74A6" w:rsidRDefault="007D6872" w:rsidP="00832773">
            <w:pPr>
              <w:spacing w:line="276" w:lineRule="auto"/>
              <w:jc w:val="left"/>
              <w:rPr>
                <w:rFonts w:cs="Calibri"/>
                <w:color w:val="000000"/>
                <w:sz w:val="22"/>
                <w:szCs w:val="22"/>
                <w:lang w:eastAsia="es-CR"/>
              </w:rPr>
            </w:pPr>
            <w:r w:rsidRPr="004E74A6">
              <w:rPr>
                <w:rFonts w:cs="Calibri"/>
                <w:color w:val="000000"/>
                <w:sz w:val="22"/>
                <w:szCs w:val="22"/>
                <w:lang w:eastAsia="es-CR"/>
              </w:rPr>
              <w:t>De ¢55.000.001 a ¢60.000.000</w:t>
            </w:r>
          </w:p>
        </w:tc>
        <w:tc>
          <w:tcPr>
            <w:tcW w:w="1240" w:type="dxa"/>
            <w:tcBorders>
              <w:top w:val="nil"/>
              <w:left w:val="nil"/>
              <w:bottom w:val="nil"/>
              <w:right w:val="single" w:sz="4" w:space="0" w:color="auto"/>
            </w:tcBorders>
            <w:shd w:val="clear" w:color="auto" w:fill="auto"/>
            <w:noWrap/>
            <w:vAlign w:val="center"/>
            <w:hideMark/>
          </w:tcPr>
          <w:p w14:paraId="4CE86BDD" w14:textId="77777777" w:rsidR="007D6872" w:rsidRPr="004E74A6" w:rsidRDefault="007D6872" w:rsidP="00832773">
            <w:pPr>
              <w:spacing w:line="276" w:lineRule="auto"/>
              <w:jc w:val="center"/>
              <w:rPr>
                <w:rFonts w:cs="Calibri"/>
                <w:color w:val="000000"/>
                <w:sz w:val="22"/>
                <w:szCs w:val="22"/>
                <w:lang w:eastAsia="es-CR"/>
              </w:rPr>
            </w:pPr>
            <w:r w:rsidRPr="004E74A6">
              <w:rPr>
                <w:rFonts w:cs="Calibri"/>
                <w:color w:val="000000"/>
                <w:sz w:val="22"/>
                <w:szCs w:val="22"/>
                <w:lang w:eastAsia="es-CR"/>
              </w:rPr>
              <w:t>111</w:t>
            </w:r>
          </w:p>
        </w:tc>
        <w:tc>
          <w:tcPr>
            <w:tcW w:w="1240" w:type="dxa"/>
            <w:tcBorders>
              <w:top w:val="nil"/>
              <w:left w:val="nil"/>
              <w:bottom w:val="nil"/>
              <w:right w:val="single" w:sz="4" w:space="0" w:color="auto"/>
            </w:tcBorders>
            <w:shd w:val="clear" w:color="auto" w:fill="auto"/>
            <w:noWrap/>
            <w:vAlign w:val="center"/>
            <w:hideMark/>
          </w:tcPr>
          <w:p w14:paraId="0B7ED854" w14:textId="77777777" w:rsidR="007D6872" w:rsidRPr="004E74A6" w:rsidRDefault="007D6872" w:rsidP="00832773">
            <w:pPr>
              <w:spacing w:line="276" w:lineRule="auto"/>
              <w:jc w:val="center"/>
              <w:rPr>
                <w:rFonts w:cs="Calibri"/>
                <w:color w:val="000000"/>
                <w:sz w:val="22"/>
                <w:szCs w:val="22"/>
                <w:lang w:eastAsia="es-CR"/>
              </w:rPr>
            </w:pPr>
            <w:r w:rsidRPr="004E74A6">
              <w:rPr>
                <w:rFonts w:cs="Calibri"/>
                <w:color w:val="000000"/>
                <w:sz w:val="22"/>
                <w:szCs w:val="22"/>
                <w:lang w:eastAsia="es-CR"/>
              </w:rPr>
              <w:t>0,1%</w:t>
            </w:r>
          </w:p>
        </w:tc>
        <w:tc>
          <w:tcPr>
            <w:tcW w:w="1297" w:type="dxa"/>
            <w:tcBorders>
              <w:top w:val="nil"/>
              <w:left w:val="nil"/>
              <w:bottom w:val="nil"/>
              <w:right w:val="nil"/>
            </w:tcBorders>
            <w:shd w:val="clear" w:color="auto" w:fill="auto"/>
            <w:noWrap/>
            <w:vAlign w:val="center"/>
            <w:hideMark/>
          </w:tcPr>
          <w:p w14:paraId="1C3DB63B" w14:textId="77777777" w:rsidR="007D6872" w:rsidRPr="004E74A6" w:rsidRDefault="007D6872" w:rsidP="00832773">
            <w:pPr>
              <w:spacing w:line="276" w:lineRule="auto"/>
              <w:jc w:val="center"/>
              <w:rPr>
                <w:rFonts w:cs="Calibri"/>
                <w:color w:val="000000"/>
                <w:sz w:val="22"/>
                <w:szCs w:val="22"/>
                <w:lang w:eastAsia="es-CR"/>
              </w:rPr>
            </w:pPr>
            <w:r w:rsidRPr="004E74A6">
              <w:rPr>
                <w:rFonts w:cs="Calibri"/>
                <w:color w:val="000000"/>
                <w:sz w:val="22"/>
                <w:szCs w:val="22"/>
                <w:lang w:eastAsia="es-CR"/>
              </w:rPr>
              <w:t>84%</w:t>
            </w:r>
          </w:p>
        </w:tc>
      </w:tr>
      <w:tr w:rsidR="007D6872" w:rsidRPr="004E74A6" w14:paraId="50B581CD" w14:textId="77777777" w:rsidTr="00832773">
        <w:trPr>
          <w:trHeight w:val="288"/>
          <w:jc w:val="center"/>
        </w:trPr>
        <w:tc>
          <w:tcPr>
            <w:tcW w:w="3080" w:type="dxa"/>
            <w:tcBorders>
              <w:top w:val="nil"/>
              <w:left w:val="nil"/>
              <w:bottom w:val="nil"/>
              <w:right w:val="single" w:sz="4" w:space="0" w:color="auto"/>
            </w:tcBorders>
            <w:shd w:val="clear" w:color="auto" w:fill="auto"/>
            <w:noWrap/>
            <w:vAlign w:val="bottom"/>
            <w:hideMark/>
          </w:tcPr>
          <w:p w14:paraId="2BDD7279" w14:textId="77777777" w:rsidR="007D6872" w:rsidRPr="004E74A6" w:rsidRDefault="007D6872" w:rsidP="00832773">
            <w:pPr>
              <w:spacing w:line="276" w:lineRule="auto"/>
              <w:jc w:val="left"/>
              <w:rPr>
                <w:rFonts w:cs="Calibri"/>
                <w:color w:val="000000"/>
                <w:sz w:val="22"/>
                <w:szCs w:val="22"/>
                <w:lang w:eastAsia="es-CR"/>
              </w:rPr>
            </w:pPr>
            <w:r w:rsidRPr="004E74A6">
              <w:rPr>
                <w:rFonts w:cs="Calibri"/>
                <w:color w:val="000000"/>
                <w:sz w:val="22"/>
                <w:szCs w:val="22"/>
                <w:lang w:eastAsia="es-CR"/>
              </w:rPr>
              <w:t>De ¢60.000.001 a ¢65.000.000</w:t>
            </w:r>
          </w:p>
        </w:tc>
        <w:tc>
          <w:tcPr>
            <w:tcW w:w="1240" w:type="dxa"/>
            <w:tcBorders>
              <w:top w:val="nil"/>
              <w:left w:val="nil"/>
              <w:bottom w:val="nil"/>
              <w:right w:val="single" w:sz="4" w:space="0" w:color="auto"/>
            </w:tcBorders>
            <w:shd w:val="clear" w:color="auto" w:fill="auto"/>
            <w:noWrap/>
            <w:vAlign w:val="center"/>
            <w:hideMark/>
          </w:tcPr>
          <w:p w14:paraId="697D45B9" w14:textId="77777777" w:rsidR="007D6872" w:rsidRPr="004E74A6" w:rsidRDefault="007D6872" w:rsidP="00832773">
            <w:pPr>
              <w:spacing w:line="276" w:lineRule="auto"/>
              <w:jc w:val="center"/>
              <w:rPr>
                <w:rFonts w:cs="Calibri"/>
                <w:color w:val="000000"/>
                <w:sz w:val="22"/>
                <w:szCs w:val="22"/>
                <w:lang w:eastAsia="es-CR"/>
              </w:rPr>
            </w:pPr>
            <w:r w:rsidRPr="004E74A6">
              <w:rPr>
                <w:rFonts w:cs="Calibri"/>
                <w:color w:val="000000"/>
                <w:sz w:val="22"/>
                <w:szCs w:val="22"/>
                <w:lang w:eastAsia="es-CR"/>
              </w:rPr>
              <w:t>113</w:t>
            </w:r>
          </w:p>
        </w:tc>
        <w:tc>
          <w:tcPr>
            <w:tcW w:w="1240" w:type="dxa"/>
            <w:tcBorders>
              <w:top w:val="nil"/>
              <w:left w:val="nil"/>
              <w:bottom w:val="nil"/>
              <w:right w:val="single" w:sz="4" w:space="0" w:color="auto"/>
            </w:tcBorders>
            <w:shd w:val="clear" w:color="auto" w:fill="auto"/>
            <w:noWrap/>
            <w:vAlign w:val="center"/>
            <w:hideMark/>
          </w:tcPr>
          <w:p w14:paraId="05E8CC23" w14:textId="77777777" w:rsidR="007D6872" w:rsidRPr="004E74A6" w:rsidRDefault="007D6872" w:rsidP="00832773">
            <w:pPr>
              <w:spacing w:line="276" w:lineRule="auto"/>
              <w:jc w:val="center"/>
              <w:rPr>
                <w:rFonts w:cs="Calibri"/>
                <w:color w:val="000000"/>
                <w:sz w:val="22"/>
                <w:szCs w:val="22"/>
                <w:lang w:eastAsia="es-CR"/>
              </w:rPr>
            </w:pPr>
            <w:r w:rsidRPr="004E74A6">
              <w:rPr>
                <w:rFonts w:cs="Calibri"/>
                <w:color w:val="000000"/>
                <w:sz w:val="22"/>
                <w:szCs w:val="22"/>
                <w:lang w:eastAsia="es-CR"/>
              </w:rPr>
              <w:t>0,1%</w:t>
            </w:r>
          </w:p>
        </w:tc>
        <w:tc>
          <w:tcPr>
            <w:tcW w:w="1297" w:type="dxa"/>
            <w:tcBorders>
              <w:top w:val="nil"/>
              <w:left w:val="nil"/>
              <w:bottom w:val="nil"/>
              <w:right w:val="nil"/>
            </w:tcBorders>
            <w:shd w:val="clear" w:color="auto" w:fill="auto"/>
            <w:noWrap/>
            <w:vAlign w:val="center"/>
            <w:hideMark/>
          </w:tcPr>
          <w:p w14:paraId="4EEC0CD7" w14:textId="77777777" w:rsidR="007D6872" w:rsidRPr="004E74A6" w:rsidRDefault="007D6872" w:rsidP="00832773">
            <w:pPr>
              <w:spacing w:line="276" w:lineRule="auto"/>
              <w:jc w:val="center"/>
              <w:rPr>
                <w:rFonts w:cs="Calibri"/>
                <w:color w:val="000000"/>
                <w:sz w:val="22"/>
                <w:szCs w:val="22"/>
                <w:lang w:eastAsia="es-CR"/>
              </w:rPr>
            </w:pPr>
            <w:r w:rsidRPr="004E74A6">
              <w:rPr>
                <w:rFonts w:cs="Calibri"/>
                <w:color w:val="000000"/>
                <w:sz w:val="22"/>
                <w:szCs w:val="22"/>
                <w:lang w:eastAsia="es-CR"/>
              </w:rPr>
              <w:t>84%</w:t>
            </w:r>
          </w:p>
        </w:tc>
      </w:tr>
      <w:tr w:rsidR="007D6872" w:rsidRPr="004E74A6" w14:paraId="7067B83F" w14:textId="77777777" w:rsidTr="00832773">
        <w:trPr>
          <w:trHeight w:val="288"/>
          <w:jc w:val="center"/>
        </w:trPr>
        <w:tc>
          <w:tcPr>
            <w:tcW w:w="3080" w:type="dxa"/>
            <w:tcBorders>
              <w:top w:val="nil"/>
              <w:left w:val="nil"/>
              <w:bottom w:val="nil"/>
              <w:right w:val="single" w:sz="4" w:space="0" w:color="auto"/>
            </w:tcBorders>
            <w:shd w:val="clear" w:color="auto" w:fill="auto"/>
            <w:noWrap/>
            <w:vAlign w:val="bottom"/>
            <w:hideMark/>
          </w:tcPr>
          <w:p w14:paraId="5E416C50" w14:textId="77777777" w:rsidR="007D6872" w:rsidRPr="004E74A6" w:rsidRDefault="007D6872" w:rsidP="00832773">
            <w:pPr>
              <w:spacing w:line="276" w:lineRule="auto"/>
              <w:jc w:val="left"/>
              <w:rPr>
                <w:rFonts w:cs="Calibri"/>
                <w:color w:val="000000"/>
                <w:sz w:val="22"/>
                <w:szCs w:val="22"/>
                <w:lang w:eastAsia="es-CR"/>
              </w:rPr>
            </w:pPr>
            <w:r w:rsidRPr="004E74A6">
              <w:rPr>
                <w:rFonts w:cs="Calibri"/>
                <w:color w:val="000000"/>
                <w:sz w:val="22"/>
                <w:szCs w:val="22"/>
                <w:lang w:eastAsia="es-CR"/>
              </w:rPr>
              <w:t>De ¢65.000.001 a ¢70.000.000</w:t>
            </w:r>
          </w:p>
        </w:tc>
        <w:tc>
          <w:tcPr>
            <w:tcW w:w="1240" w:type="dxa"/>
            <w:tcBorders>
              <w:top w:val="nil"/>
              <w:left w:val="nil"/>
              <w:bottom w:val="nil"/>
              <w:right w:val="single" w:sz="4" w:space="0" w:color="auto"/>
            </w:tcBorders>
            <w:shd w:val="clear" w:color="auto" w:fill="auto"/>
            <w:noWrap/>
            <w:vAlign w:val="center"/>
            <w:hideMark/>
          </w:tcPr>
          <w:p w14:paraId="0EE526E9" w14:textId="77777777" w:rsidR="007D6872" w:rsidRPr="004E74A6" w:rsidRDefault="007D6872" w:rsidP="00832773">
            <w:pPr>
              <w:spacing w:line="276" w:lineRule="auto"/>
              <w:jc w:val="center"/>
              <w:rPr>
                <w:rFonts w:cs="Calibri"/>
                <w:color w:val="000000"/>
                <w:sz w:val="22"/>
                <w:szCs w:val="22"/>
                <w:lang w:eastAsia="es-CR"/>
              </w:rPr>
            </w:pPr>
            <w:r w:rsidRPr="004E74A6">
              <w:rPr>
                <w:rFonts w:cs="Calibri"/>
                <w:color w:val="000000"/>
                <w:sz w:val="22"/>
                <w:szCs w:val="22"/>
                <w:lang w:eastAsia="es-CR"/>
              </w:rPr>
              <w:t>93</w:t>
            </w:r>
          </w:p>
        </w:tc>
        <w:tc>
          <w:tcPr>
            <w:tcW w:w="1240" w:type="dxa"/>
            <w:tcBorders>
              <w:top w:val="nil"/>
              <w:left w:val="nil"/>
              <w:bottom w:val="nil"/>
              <w:right w:val="single" w:sz="4" w:space="0" w:color="auto"/>
            </w:tcBorders>
            <w:shd w:val="clear" w:color="auto" w:fill="auto"/>
            <w:noWrap/>
            <w:vAlign w:val="center"/>
            <w:hideMark/>
          </w:tcPr>
          <w:p w14:paraId="08127710" w14:textId="77777777" w:rsidR="007D6872" w:rsidRPr="004E74A6" w:rsidRDefault="007D6872" w:rsidP="00832773">
            <w:pPr>
              <w:spacing w:line="276" w:lineRule="auto"/>
              <w:jc w:val="center"/>
              <w:rPr>
                <w:rFonts w:cs="Calibri"/>
                <w:color w:val="000000"/>
                <w:sz w:val="22"/>
                <w:szCs w:val="22"/>
                <w:lang w:eastAsia="es-CR"/>
              </w:rPr>
            </w:pPr>
            <w:r w:rsidRPr="004E74A6">
              <w:rPr>
                <w:rFonts w:cs="Calibri"/>
                <w:color w:val="000000"/>
                <w:sz w:val="22"/>
                <w:szCs w:val="22"/>
                <w:lang w:eastAsia="es-CR"/>
              </w:rPr>
              <w:t>0,1%</w:t>
            </w:r>
          </w:p>
        </w:tc>
        <w:tc>
          <w:tcPr>
            <w:tcW w:w="1297" w:type="dxa"/>
            <w:tcBorders>
              <w:top w:val="nil"/>
              <w:left w:val="nil"/>
              <w:bottom w:val="nil"/>
              <w:right w:val="nil"/>
            </w:tcBorders>
            <w:shd w:val="clear" w:color="auto" w:fill="auto"/>
            <w:noWrap/>
            <w:vAlign w:val="center"/>
            <w:hideMark/>
          </w:tcPr>
          <w:p w14:paraId="476E600D" w14:textId="77777777" w:rsidR="007D6872" w:rsidRPr="004E74A6" w:rsidRDefault="007D6872" w:rsidP="00832773">
            <w:pPr>
              <w:spacing w:line="276" w:lineRule="auto"/>
              <w:jc w:val="center"/>
              <w:rPr>
                <w:rFonts w:cs="Calibri"/>
                <w:color w:val="000000"/>
                <w:sz w:val="22"/>
                <w:szCs w:val="22"/>
                <w:lang w:eastAsia="es-CR"/>
              </w:rPr>
            </w:pPr>
            <w:r w:rsidRPr="004E74A6">
              <w:rPr>
                <w:rFonts w:cs="Calibri"/>
                <w:color w:val="000000"/>
                <w:sz w:val="22"/>
                <w:szCs w:val="22"/>
                <w:lang w:eastAsia="es-CR"/>
              </w:rPr>
              <w:t>84%</w:t>
            </w:r>
          </w:p>
        </w:tc>
      </w:tr>
      <w:tr w:rsidR="007D6872" w:rsidRPr="004E74A6" w14:paraId="0ED9DC21" w14:textId="77777777" w:rsidTr="00832773">
        <w:trPr>
          <w:trHeight w:val="288"/>
          <w:jc w:val="center"/>
        </w:trPr>
        <w:tc>
          <w:tcPr>
            <w:tcW w:w="3080" w:type="dxa"/>
            <w:tcBorders>
              <w:top w:val="nil"/>
              <w:left w:val="nil"/>
              <w:bottom w:val="nil"/>
              <w:right w:val="single" w:sz="4" w:space="0" w:color="auto"/>
            </w:tcBorders>
            <w:shd w:val="clear" w:color="auto" w:fill="auto"/>
            <w:noWrap/>
            <w:vAlign w:val="bottom"/>
            <w:hideMark/>
          </w:tcPr>
          <w:p w14:paraId="56144DCF" w14:textId="77777777" w:rsidR="007D6872" w:rsidRPr="004E74A6" w:rsidRDefault="007D6872" w:rsidP="00832773">
            <w:pPr>
              <w:spacing w:line="276" w:lineRule="auto"/>
              <w:jc w:val="left"/>
              <w:rPr>
                <w:rFonts w:cs="Calibri"/>
                <w:color w:val="000000"/>
                <w:sz w:val="22"/>
                <w:szCs w:val="22"/>
                <w:lang w:eastAsia="es-CR"/>
              </w:rPr>
            </w:pPr>
            <w:r w:rsidRPr="004E74A6">
              <w:rPr>
                <w:rFonts w:cs="Calibri"/>
                <w:color w:val="000000"/>
                <w:sz w:val="22"/>
                <w:szCs w:val="22"/>
                <w:lang w:eastAsia="es-CR"/>
              </w:rPr>
              <w:t>De ¢70.000.001 a ¢75.000.000</w:t>
            </w:r>
          </w:p>
        </w:tc>
        <w:tc>
          <w:tcPr>
            <w:tcW w:w="1240" w:type="dxa"/>
            <w:tcBorders>
              <w:top w:val="nil"/>
              <w:left w:val="nil"/>
              <w:bottom w:val="nil"/>
              <w:right w:val="single" w:sz="4" w:space="0" w:color="auto"/>
            </w:tcBorders>
            <w:shd w:val="clear" w:color="auto" w:fill="auto"/>
            <w:noWrap/>
            <w:vAlign w:val="center"/>
            <w:hideMark/>
          </w:tcPr>
          <w:p w14:paraId="63F9E107" w14:textId="77777777" w:rsidR="007D6872" w:rsidRPr="004E74A6" w:rsidRDefault="007D6872" w:rsidP="00832773">
            <w:pPr>
              <w:spacing w:line="276" w:lineRule="auto"/>
              <w:jc w:val="center"/>
              <w:rPr>
                <w:rFonts w:cs="Calibri"/>
                <w:color w:val="000000"/>
                <w:sz w:val="22"/>
                <w:szCs w:val="22"/>
                <w:lang w:eastAsia="es-CR"/>
              </w:rPr>
            </w:pPr>
            <w:r w:rsidRPr="004E74A6">
              <w:rPr>
                <w:rFonts w:cs="Calibri"/>
                <w:color w:val="000000"/>
                <w:sz w:val="22"/>
                <w:szCs w:val="22"/>
                <w:lang w:eastAsia="es-CR"/>
              </w:rPr>
              <w:t>85</w:t>
            </w:r>
          </w:p>
        </w:tc>
        <w:tc>
          <w:tcPr>
            <w:tcW w:w="1240" w:type="dxa"/>
            <w:tcBorders>
              <w:top w:val="nil"/>
              <w:left w:val="nil"/>
              <w:bottom w:val="nil"/>
              <w:right w:val="single" w:sz="4" w:space="0" w:color="auto"/>
            </w:tcBorders>
            <w:shd w:val="clear" w:color="auto" w:fill="auto"/>
            <w:noWrap/>
            <w:vAlign w:val="center"/>
            <w:hideMark/>
          </w:tcPr>
          <w:p w14:paraId="043AB9CA" w14:textId="77777777" w:rsidR="007D6872" w:rsidRPr="004E74A6" w:rsidRDefault="007D6872" w:rsidP="00832773">
            <w:pPr>
              <w:spacing w:line="276" w:lineRule="auto"/>
              <w:jc w:val="center"/>
              <w:rPr>
                <w:rFonts w:cs="Calibri"/>
                <w:color w:val="000000"/>
                <w:sz w:val="22"/>
                <w:szCs w:val="22"/>
                <w:lang w:eastAsia="es-CR"/>
              </w:rPr>
            </w:pPr>
            <w:r w:rsidRPr="004E74A6">
              <w:rPr>
                <w:rFonts w:cs="Calibri"/>
                <w:color w:val="000000"/>
                <w:sz w:val="22"/>
                <w:szCs w:val="22"/>
                <w:lang w:eastAsia="es-CR"/>
              </w:rPr>
              <w:t>0,1%</w:t>
            </w:r>
          </w:p>
        </w:tc>
        <w:tc>
          <w:tcPr>
            <w:tcW w:w="1297" w:type="dxa"/>
            <w:tcBorders>
              <w:top w:val="nil"/>
              <w:left w:val="nil"/>
              <w:bottom w:val="nil"/>
              <w:right w:val="nil"/>
            </w:tcBorders>
            <w:shd w:val="clear" w:color="auto" w:fill="auto"/>
            <w:noWrap/>
            <w:vAlign w:val="center"/>
            <w:hideMark/>
          </w:tcPr>
          <w:p w14:paraId="5BF6319B" w14:textId="77777777" w:rsidR="007D6872" w:rsidRPr="004E74A6" w:rsidRDefault="007D6872" w:rsidP="00832773">
            <w:pPr>
              <w:spacing w:line="276" w:lineRule="auto"/>
              <w:jc w:val="center"/>
              <w:rPr>
                <w:rFonts w:cs="Calibri"/>
                <w:color w:val="000000"/>
                <w:sz w:val="22"/>
                <w:szCs w:val="22"/>
                <w:lang w:eastAsia="es-CR"/>
              </w:rPr>
            </w:pPr>
            <w:r w:rsidRPr="004E74A6">
              <w:rPr>
                <w:rFonts w:cs="Calibri"/>
                <w:color w:val="000000"/>
                <w:sz w:val="22"/>
                <w:szCs w:val="22"/>
                <w:lang w:eastAsia="es-CR"/>
              </w:rPr>
              <w:t>84%</w:t>
            </w:r>
          </w:p>
        </w:tc>
      </w:tr>
      <w:tr w:rsidR="007D6872" w:rsidRPr="004E74A6" w14:paraId="5979CA74" w14:textId="77777777" w:rsidTr="00832773">
        <w:trPr>
          <w:trHeight w:val="288"/>
          <w:jc w:val="center"/>
        </w:trPr>
        <w:tc>
          <w:tcPr>
            <w:tcW w:w="3080" w:type="dxa"/>
            <w:tcBorders>
              <w:top w:val="nil"/>
              <w:left w:val="nil"/>
              <w:bottom w:val="nil"/>
              <w:right w:val="single" w:sz="4" w:space="0" w:color="auto"/>
            </w:tcBorders>
            <w:shd w:val="clear" w:color="auto" w:fill="auto"/>
            <w:noWrap/>
            <w:vAlign w:val="bottom"/>
            <w:hideMark/>
          </w:tcPr>
          <w:p w14:paraId="56DEA924" w14:textId="77777777" w:rsidR="007D6872" w:rsidRPr="004E74A6" w:rsidRDefault="007D6872" w:rsidP="00832773">
            <w:pPr>
              <w:spacing w:line="276" w:lineRule="auto"/>
              <w:jc w:val="left"/>
              <w:rPr>
                <w:rFonts w:cs="Calibri"/>
                <w:color w:val="000000"/>
                <w:sz w:val="22"/>
                <w:szCs w:val="22"/>
                <w:lang w:eastAsia="es-CR"/>
              </w:rPr>
            </w:pPr>
            <w:r w:rsidRPr="004E74A6">
              <w:rPr>
                <w:rFonts w:cs="Calibri"/>
                <w:color w:val="000000"/>
                <w:sz w:val="22"/>
                <w:szCs w:val="22"/>
                <w:lang w:eastAsia="es-CR"/>
              </w:rPr>
              <w:t>De ¢75.000.001 a ¢80.000.000</w:t>
            </w:r>
          </w:p>
        </w:tc>
        <w:tc>
          <w:tcPr>
            <w:tcW w:w="1240" w:type="dxa"/>
            <w:tcBorders>
              <w:top w:val="nil"/>
              <w:left w:val="nil"/>
              <w:bottom w:val="nil"/>
              <w:right w:val="single" w:sz="4" w:space="0" w:color="auto"/>
            </w:tcBorders>
            <w:shd w:val="clear" w:color="auto" w:fill="auto"/>
            <w:noWrap/>
            <w:vAlign w:val="center"/>
            <w:hideMark/>
          </w:tcPr>
          <w:p w14:paraId="370BAB09" w14:textId="77777777" w:rsidR="007D6872" w:rsidRPr="004E74A6" w:rsidRDefault="007D6872" w:rsidP="00832773">
            <w:pPr>
              <w:spacing w:line="276" w:lineRule="auto"/>
              <w:jc w:val="center"/>
              <w:rPr>
                <w:rFonts w:cs="Calibri"/>
                <w:color w:val="000000"/>
                <w:sz w:val="22"/>
                <w:szCs w:val="22"/>
                <w:lang w:eastAsia="es-CR"/>
              </w:rPr>
            </w:pPr>
            <w:r w:rsidRPr="004E74A6">
              <w:rPr>
                <w:rFonts w:cs="Calibri"/>
                <w:color w:val="000000"/>
                <w:sz w:val="22"/>
                <w:szCs w:val="22"/>
                <w:lang w:eastAsia="es-CR"/>
              </w:rPr>
              <w:t>59</w:t>
            </w:r>
          </w:p>
        </w:tc>
        <w:tc>
          <w:tcPr>
            <w:tcW w:w="1240" w:type="dxa"/>
            <w:tcBorders>
              <w:top w:val="nil"/>
              <w:left w:val="nil"/>
              <w:bottom w:val="nil"/>
              <w:right w:val="single" w:sz="4" w:space="0" w:color="auto"/>
            </w:tcBorders>
            <w:shd w:val="clear" w:color="auto" w:fill="auto"/>
            <w:noWrap/>
            <w:vAlign w:val="center"/>
            <w:hideMark/>
          </w:tcPr>
          <w:p w14:paraId="55AD53C2" w14:textId="77777777" w:rsidR="007D6872" w:rsidRPr="004E74A6" w:rsidRDefault="007D6872" w:rsidP="00832773">
            <w:pPr>
              <w:spacing w:line="276" w:lineRule="auto"/>
              <w:jc w:val="center"/>
              <w:rPr>
                <w:rFonts w:cs="Calibri"/>
                <w:color w:val="000000"/>
                <w:sz w:val="22"/>
                <w:szCs w:val="22"/>
                <w:lang w:eastAsia="es-CR"/>
              </w:rPr>
            </w:pPr>
            <w:r w:rsidRPr="004E74A6">
              <w:rPr>
                <w:rFonts w:cs="Calibri"/>
                <w:color w:val="000000"/>
                <w:sz w:val="22"/>
                <w:szCs w:val="22"/>
                <w:lang w:eastAsia="es-CR"/>
              </w:rPr>
              <w:t>0,0%</w:t>
            </w:r>
          </w:p>
        </w:tc>
        <w:tc>
          <w:tcPr>
            <w:tcW w:w="1297" w:type="dxa"/>
            <w:tcBorders>
              <w:top w:val="nil"/>
              <w:left w:val="nil"/>
              <w:bottom w:val="nil"/>
              <w:right w:val="nil"/>
            </w:tcBorders>
            <w:shd w:val="clear" w:color="auto" w:fill="auto"/>
            <w:noWrap/>
            <w:vAlign w:val="center"/>
            <w:hideMark/>
          </w:tcPr>
          <w:p w14:paraId="75730AFF" w14:textId="77777777" w:rsidR="007D6872" w:rsidRPr="004E74A6" w:rsidRDefault="007D6872" w:rsidP="00832773">
            <w:pPr>
              <w:spacing w:line="276" w:lineRule="auto"/>
              <w:jc w:val="center"/>
              <w:rPr>
                <w:rFonts w:cs="Calibri"/>
                <w:color w:val="000000"/>
                <w:sz w:val="22"/>
                <w:szCs w:val="22"/>
                <w:lang w:eastAsia="es-CR"/>
              </w:rPr>
            </w:pPr>
            <w:r w:rsidRPr="004E74A6">
              <w:rPr>
                <w:rFonts w:cs="Calibri"/>
                <w:color w:val="000000"/>
                <w:sz w:val="22"/>
                <w:szCs w:val="22"/>
                <w:lang w:eastAsia="es-CR"/>
              </w:rPr>
              <w:t>84%</w:t>
            </w:r>
          </w:p>
        </w:tc>
      </w:tr>
      <w:tr w:rsidR="007D6872" w:rsidRPr="004E74A6" w14:paraId="61784161" w14:textId="77777777" w:rsidTr="00832773">
        <w:trPr>
          <w:trHeight w:val="288"/>
          <w:jc w:val="center"/>
        </w:trPr>
        <w:tc>
          <w:tcPr>
            <w:tcW w:w="3080" w:type="dxa"/>
            <w:tcBorders>
              <w:top w:val="nil"/>
              <w:left w:val="nil"/>
              <w:bottom w:val="nil"/>
              <w:right w:val="single" w:sz="4" w:space="0" w:color="auto"/>
            </w:tcBorders>
            <w:shd w:val="clear" w:color="auto" w:fill="auto"/>
            <w:noWrap/>
            <w:vAlign w:val="bottom"/>
            <w:hideMark/>
          </w:tcPr>
          <w:p w14:paraId="30589AAF" w14:textId="77777777" w:rsidR="007D6872" w:rsidRPr="004E74A6" w:rsidRDefault="007D6872" w:rsidP="00832773">
            <w:pPr>
              <w:spacing w:line="276" w:lineRule="auto"/>
              <w:jc w:val="left"/>
              <w:rPr>
                <w:rFonts w:cs="Calibri"/>
                <w:color w:val="000000"/>
                <w:sz w:val="22"/>
                <w:szCs w:val="22"/>
                <w:lang w:eastAsia="es-CR"/>
              </w:rPr>
            </w:pPr>
            <w:r w:rsidRPr="004E74A6">
              <w:rPr>
                <w:rFonts w:cs="Calibri"/>
                <w:color w:val="000000"/>
                <w:sz w:val="22"/>
                <w:szCs w:val="22"/>
                <w:lang w:eastAsia="es-CR"/>
              </w:rPr>
              <w:t>De ¢80.000.001 a ¢85.000.000</w:t>
            </w:r>
          </w:p>
        </w:tc>
        <w:tc>
          <w:tcPr>
            <w:tcW w:w="1240" w:type="dxa"/>
            <w:tcBorders>
              <w:top w:val="nil"/>
              <w:left w:val="nil"/>
              <w:bottom w:val="nil"/>
              <w:right w:val="single" w:sz="4" w:space="0" w:color="auto"/>
            </w:tcBorders>
            <w:shd w:val="clear" w:color="auto" w:fill="auto"/>
            <w:noWrap/>
            <w:vAlign w:val="center"/>
            <w:hideMark/>
          </w:tcPr>
          <w:p w14:paraId="5232FD8C" w14:textId="77777777" w:rsidR="007D6872" w:rsidRPr="004E74A6" w:rsidRDefault="007D6872" w:rsidP="00832773">
            <w:pPr>
              <w:spacing w:line="276" w:lineRule="auto"/>
              <w:jc w:val="center"/>
              <w:rPr>
                <w:rFonts w:cs="Calibri"/>
                <w:color w:val="000000"/>
                <w:sz w:val="22"/>
                <w:szCs w:val="22"/>
                <w:lang w:eastAsia="es-CR"/>
              </w:rPr>
            </w:pPr>
            <w:r w:rsidRPr="004E74A6">
              <w:rPr>
                <w:rFonts w:cs="Calibri"/>
                <w:color w:val="000000"/>
                <w:sz w:val="22"/>
                <w:szCs w:val="22"/>
                <w:lang w:eastAsia="es-CR"/>
              </w:rPr>
              <w:t>50</w:t>
            </w:r>
          </w:p>
        </w:tc>
        <w:tc>
          <w:tcPr>
            <w:tcW w:w="1240" w:type="dxa"/>
            <w:tcBorders>
              <w:top w:val="nil"/>
              <w:left w:val="nil"/>
              <w:bottom w:val="nil"/>
              <w:right w:val="single" w:sz="4" w:space="0" w:color="auto"/>
            </w:tcBorders>
            <w:shd w:val="clear" w:color="auto" w:fill="auto"/>
            <w:noWrap/>
            <w:vAlign w:val="center"/>
            <w:hideMark/>
          </w:tcPr>
          <w:p w14:paraId="0935B2C3" w14:textId="77777777" w:rsidR="007D6872" w:rsidRPr="004E74A6" w:rsidRDefault="007D6872" w:rsidP="00832773">
            <w:pPr>
              <w:spacing w:line="276" w:lineRule="auto"/>
              <w:jc w:val="center"/>
              <w:rPr>
                <w:rFonts w:cs="Calibri"/>
                <w:color w:val="000000"/>
                <w:sz w:val="22"/>
                <w:szCs w:val="22"/>
                <w:lang w:eastAsia="es-CR"/>
              </w:rPr>
            </w:pPr>
            <w:r w:rsidRPr="004E74A6">
              <w:rPr>
                <w:rFonts w:cs="Calibri"/>
                <w:color w:val="000000"/>
                <w:sz w:val="22"/>
                <w:szCs w:val="22"/>
                <w:lang w:eastAsia="es-CR"/>
              </w:rPr>
              <w:t>0,0%</w:t>
            </w:r>
          </w:p>
        </w:tc>
        <w:tc>
          <w:tcPr>
            <w:tcW w:w="1297" w:type="dxa"/>
            <w:tcBorders>
              <w:top w:val="nil"/>
              <w:left w:val="nil"/>
              <w:bottom w:val="nil"/>
              <w:right w:val="nil"/>
            </w:tcBorders>
            <w:shd w:val="clear" w:color="auto" w:fill="auto"/>
            <w:noWrap/>
            <w:vAlign w:val="center"/>
            <w:hideMark/>
          </w:tcPr>
          <w:p w14:paraId="6C17A094" w14:textId="77777777" w:rsidR="007D6872" w:rsidRPr="004E74A6" w:rsidRDefault="007D6872" w:rsidP="00832773">
            <w:pPr>
              <w:spacing w:line="276" w:lineRule="auto"/>
              <w:jc w:val="center"/>
              <w:rPr>
                <w:rFonts w:cs="Calibri"/>
                <w:color w:val="000000"/>
                <w:sz w:val="22"/>
                <w:szCs w:val="22"/>
                <w:lang w:eastAsia="es-CR"/>
              </w:rPr>
            </w:pPr>
            <w:r w:rsidRPr="004E74A6">
              <w:rPr>
                <w:rFonts w:cs="Calibri"/>
                <w:color w:val="000000"/>
                <w:sz w:val="22"/>
                <w:szCs w:val="22"/>
                <w:lang w:eastAsia="es-CR"/>
              </w:rPr>
              <w:t>84%</w:t>
            </w:r>
          </w:p>
        </w:tc>
      </w:tr>
      <w:tr w:rsidR="007D6872" w:rsidRPr="004E74A6" w14:paraId="6D1332AF" w14:textId="77777777" w:rsidTr="00832773">
        <w:trPr>
          <w:trHeight w:val="288"/>
          <w:jc w:val="center"/>
        </w:trPr>
        <w:tc>
          <w:tcPr>
            <w:tcW w:w="3080" w:type="dxa"/>
            <w:tcBorders>
              <w:top w:val="nil"/>
              <w:left w:val="nil"/>
              <w:bottom w:val="nil"/>
              <w:right w:val="single" w:sz="4" w:space="0" w:color="auto"/>
            </w:tcBorders>
            <w:shd w:val="clear" w:color="auto" w:fill="auto"/>
            <w:noWrap/>
            <w:vAlign w:val="bottom"/>
            <w:hideMark/>
          </w:tcPr>
          <w:p w14:paraId="5D710A91" w14:textId="77777777" w:rsidR="007D6872" w:rsidRPr="004E74A6" w:rsidRDefault="007D6872" w:rsidP="00832773">
            <w:pPr>
              <w:spacing w:line="276" w:lineRule="auto"/>
              <w:jc w:val="left"/>
              <w:rPr>
                <w:rFonts w:cs="Calibri"/>
                <w:color w:val="000000"/>
                <w:sz w:val="22"/>
                <w:szCs w:val="22"/>
                <w:lang w:eastAsia="es-CR"/>
              </w:rPr>
            </w:pPr>
            <w:r w:rsidRPr="004E74A6">
              <w:rPr>
                <w:rFonts w:cs="Calibri"/>
                <w:color w:val="000000"/>
                <w:sz w:val="22"/>
                <w:szCs w:val="22"/>
                <w:lang w:eastAsia="es-CR"/>
              </w:rPr>
              <w:t>De ¢85.000.001 a ¢90.000.000</w:t>
            </w:r>
          </w:p>
        </w:tc>
        <w:tc>
          <w:tcPr>
            <w:tcW w:w="1240" w:type="dxa"/>
            <w:tcBorders>
              <w:top w:val="nil"/>
              <w:left w:val="nil"/>
              <w:bottom w:val="nil"/>
              <w:right w:val="single" w:sz="4" w:space="0" w:color="auto"/>
            </w:tcBorders>
            <w:shd w:val="clear" w:color="auto" w:fill="auto"/>
            <w:noWrap/>
            <w:vAlign w:val="center"/>
            <w:hideMark/>
          </w:tcPr>
          <w:p w14:paraId="54AF3ED5" w14:textId="77777777" w:rsidR="007D6872" w:rsidRPr="004E74A6" w:rsidRDefault="007D6872" w:rsidP="00832773">
            <w:pPr>
              <w:spacing w:line="276" w:lineRule="auto"/>
              <w:jc w:val="center"/>
              <w:rPr>
                <w:rFonts w:cs="Calibri"/>
                <w:color w:val="000000"/>
                <w:sz w:val="22"/>
                <w:szCs w:val="22"/>
                <w:lang w:eastAsia="es-CR"/>
              </w:rPr>
            </w:pPr>
            <w:r w:rsidRPr="004E74A6">
              <w:rPr>
                <w:rFonts w:cs="Calibri"/>
                <w:color w:val="000000"/>
                <w:sz w:val="22"/>
                <w:szCs w:val="22"/>
                <w:lang w:eastAsia="es-CR"/>
              </w:rPr>
              <w:t>38</w:t>
            </w:r>
          </w:p>
        </w:tc>
        <w:tc>
          <w:tcPr>
            <w:tcW w:w="1240" w:type="dxa"/>
            <w:tcBorders>
              <w:top w:val="nil"/>
              <w:left w:val="nil"/>
              <w:bottom w:val="nil"/>
              <w:right w:val="single" w:sz="4" w:space="0" w:color="auto"/>
            </w:tcBorders>
            <w:shd w:val="clear" w:color="auto" w:fill="auto"/>
            <w:noWrap/>
            <w:vAlign w:val="center"/>
            <w:hideMark/>
          </w:tcPr>
          <w:p w14:paraId="620A4945" w14:textId="77777777" w:rsidR="007D6872" w:rsidRPr="004E74A6" w:rsidRDefault="007D6872" w:rsidP="00832773">
            <w:pPr>
              <w:spacing w:line="276" w:lineRule="auto"/>
              <w:jc w:val="center"/>
              <w:rPr>
                <w:rFonts w:cs="Calibri"/>
                <w:color w:val="000000"/>
                <w:sz w:val="22"/>
                <w:szCs w:val="22"/>
                <w:lang w:eastAsia="es-CR"/>
              </w:rPr>
            </w:pPr>
            <w:r w:rsidRPr="004E74A6">
              <w:rPr>
                <w:rFonts w:cs="Calibri"/>
                <w:color w:val="000000"/>
                <w:sz w:val="22"/>
                <w:szCs w:val="22"/>
                <w:lang w:eastAsia="es-CR"/>
              </w:rPr>
              <w:t>0,0%</w:t>
            </w:r>
          </w:p>
        </w:tc>
        <w:tc>
          <w:tcPr>
            <w:tcW w:w="1297" w:type="dxa"/>
            <w:tcBorders>
              <w:top w:val="nil"/>
              <w:left w:val="nil"/>
              <w:bottom w:val="nil"/>
              <w:right w:val="nil"/>
            </w:tcBorders>
            <w:shd w:val="clear" w:color="auto" w:fill="auto"/>
            <w:noWrap/>
            <w:vAlign w:val="center"/>
            <w:hideMark/>
          </w:tcPr>
          <w:p w14:paraId="3FA9B861" w14:textId="77777777" w:rsidR="007D6872" w:rsidRPr="004E74A6" w:rsidRDefault="007D6872" w:rsidP="00832773">
            <w:pPr>
              <w:spacing w:line="276" w:lineRule="auto"/>
              <w:jc w:val="center"/>
              <w:rPr>
                <w:rFonts w:cs="Calibri"/>
                <w:color w:val="000000"/>
                <w:sz w:val="22"/>
                <w:szCs w:val="22"/>
                <w:lang w:eastAsia="es-CR"/>
              </w:rPr>
            </w:pPr>
            <w:r w:rsidRPr="004E74A6">
              <w:rPr>
                <w:rFonts w:cs="Calibri"/>
                <w:color w:val="000000"/>
                <w:sz w:val="22"/>
                <w:szCs w:val="22"/>
                <w:lang w:eastAsia="es-CR"/>
              </w:rPr>
              <w:t>84%</w:t>
            </w:r>
          </w:p>
        </w:tc>
      </w:tr>
      <w:tr w:rsidR="007D6872" w:rsidRPr="004E74A6" w14:paraId="0CFFB168" w14:textId="77777777" w:rsidTr="00832773">
        <w:trPr>
          <w:trHeight w:val="288"/>
          <w:jc w:val="center"/>
        </w:trPr>
        <w:tc>
          <w:tcPr>
            <w:tcW w:w="3080" w:type="dxa"/>
            <w:tcBorders>
              <w:top w:val="nil"/>
              <w:left w:val="nil"/>
              <w:bottom w:val="nil"/>
              <w:right w:val="single" w:sz="4" w:space="0" w:color="auto"/>
            </w:tcBorders>
            <w:shd w:val="clear" w:color="auto" w:fill="auto"/>
            <w:noWrap/>
            <w:vAlign w:val="bottom"/>
            <w:hideMark/>
          </w:tcPr>
          <w:p w14:paraId="148C4E6D" w14:textId="77777777" w:rsidR="007D6872" w:rsidRPr="004E74A6" w:rsidRDefault="007D6872" w:rsidP="00832773">
            <w:pPr>
              <w:spacing w:line="276" w:lineRule="auto"/>
              <w:jc w:val="left"/>
              <w:rPr>
                <w:rFonts w:cs="Calibri"/>
                <w:color w:val="000000"/>
                <w:sz w:val="22"/>
                <w:szCs w:val="22"/>
                <w:lang w:eastAsia="es-CR"/>
              </w:rPr>
            </w:pPr>
            <w:r w:rsidRPr="004E74A6">
              <w:rPr>
                <w:rFonts w:cs="Calibri"/>
                <w:color w:val="000000"/>
                <w:sz w:val="22"/>
                <w:szCs w:val="22"/>
                <w:lang w:eastAsia="es-CR"/>
              </w:rPr>
              <w:lastRenderedPageBreak/>
              <w:t>De ¢90.000.001 a ¢95.000.000</w:t>
            </w:r>
          </w:p>
        </w:tc>
        <w:tc>
          <w:tcPr>
            <w:tcW w:w="1240" w:type="dxa"/>
            <w:tcBorders>
              <w:top w:val="nil"/>
              <w:left w:val="nil"/>
              <w:bottom w:val="nil"/>
              <w:right w:val="single" w:sz="4" w:space="0" w:color="auto"/>
            </w:tcBorders>
            <w:shd w:val="clear" w:color="auto" w:fill="auto"/>
            <w:noWrap/>
            <w:vAlign w:val="center"/>
            <w:hideMark/>
          </w:tcPr>
          <w:p w14:paraId="65A95FF8" w14:textId="77777777" w:rsidR="007D6872" w:rsidRPr="004E74A6" w:rsidRDefault="007D6872" w:rsidP="00832773">
            <w:pPr>
              <w:spacing w:line="276" w:lineRule="auto"/>
              <w:jc w:val="center"/>
              <w:rPr>
                <w:rFonts w:cs="Calibri"/>
                <w:color w:val="000000"/>
                <w:sz w:val="22"/>
                <w:szCs w:val="22"/>
                <w:lang w:eastAsia="es-CR"/>
              </w:rPr>
            </w:pPr>
            <w:r w:rsidRPr="004E74A6">
              <w:rPr>
                <w:rFonts w:cs="Calibri"/>
                <w:color w:val="000000"/>
                <w:sz w:val="22"/>
                <w:szCs w:val="22"/>
                <w:lang w:eastAsia="es-CR"/>
              </w:rPr>
              <w:t>46</w:t>
            </w:r>
          </w:p>
        </w:tc>
        <w:tc>
          <w:tcPr>
            <w:tcW w:w="1240" w:type="dxa"/>
            <w:tcBorders>
              <w:top w:val="nil"/>
              <w:left w:val="nil"/>
              <w:bottom w:val="nil"/>
              <w:right w:val="single" w:sz="4" w:space="0" w:color="auto"/>
            </w:tcBorders>
            <w:shd w:val="clear" w:color="auto" w:fill="auto"/>
            <w:noWrap/>
            <w:vAlign w:val="center"/>
            <w:hideMark/>
          </w:tcPr>
          <w:p w14:paraId="2DD3AC06" w14:textId="77777777" w:rsidR="007D6872" w:rsidRPr="004E74A6" w:rsidRDefault="007D6872" w:rsidP="00832773">
            <w:pPr>
              <w:spacing w:line="276" w:lineRule="auto"/>
              <w:jc w:val="center"/>
              <w:rPr>
                <w:rFonts w:cs="Calibri"/>
                <w:color w:val="000000"/>
                <w:sz w:val="22"/>
                <w:szCs w:val="22"/>
                <w:lang w:eastAsia="es-CR"/>
              </w:rPr>
            </w:pPr>
            <w:r w:rsidRPr="004E74A6">
              <w:rPr>
                <w:rFonts w:cs="Calibri"/>
                <w:color w:val="000000"/>
                <w:sz w:val="22"/>
                <w:szCs w:val="22"/>
                <w:lang w:eastAsia="es-CR"/>
              </w:rPr>
              <w:t>0,0%</w:t>
            </w:r>
          </w:p>
        </w:tc>
        <w:tc>
          <w:tcPr>
            <w:tcW w:w="1297" w:type="dxa"/>
            <w:tcBorders>
              <w:top w:val="nil"/>
              <w:left w:val="nil"/>
              <w:bottom w:val="nil"/>
              <w:right w:val="nil"/>
            </w:tcBorders>
            <w:shd w:val="clear" w:color="auto" w:fill="auto"/>
            <w:noWrap/>
            <w:vAlign w:val="center"/>
            <w:hideMark/>
          </w:tcPr>
          <w:p w14:paraId="2C7B307B" w14:textId="77777777" w:rsidR="007D6872" w:rsidRPr="004E74A6" w:rsidRDefault="007D6872" w:rsidP="00832773">
            <w:pPr>
              <w:spacing w:line="276" w:lineRule="auto"/>
              <w:jc w:val="center"/>
              <w:rPr>
                <w:rFonts w:cs="Calibri"/>
                <w:color w:val="000000"/>
                <w:sz w:val="22"/>
                <w:szCs w:val="22"/>
                <w:lang w:eastAsia="es-CR"/>
              </w:rPr>
            </w:pPr>
            <w:r w:rsidRPr="004E74A6">
              <w:rPr>
                <w:rFonts w:cs="Calibri"/>
                <w:color w:val="000000"/>
                <w:sz w:val="22"/>
                <w:szCs w:val="22"/>
                <w:lang w:eastAsia="es-CR"/>
              </w:rPr>
              <w:t>84%</w:t>
            </w:r>
          </w:p>
        </w:tc>
      </w:tr>
      <w:tr w:rsidR="007D6872" w:rsidRPr="004E74A6" w14:paraId="44BD5CF3" w14:textId="77777777" w:rsidTr="00832773">
        <w:trPr>
          <w:trHeight w:val="288"/>
          <w:jc w:val="center"/>
        </w:trPr>
        <w:tc>
          <w:tcPr>
            <w:tcW w:w="3080" w:type="dxa"/>
            <w:tcBorders>
              <w:top w:val="nil"/>
              <w:left w:val="nil"/>
              <w:bottom w:val="nil"/>
              <w:right w:val="single" w:sz="4" w:space="0" w:color="auto"/>
            </w:tcBorders>
            <w:shd w:val="clear" w:color="auto" w:fill="auto"/>
            <w:noWrap/>
            <w:vAlign w:val="bottom"/>
            <w:hideMark/>
          </w:tcPr>
          <w:p w14:paraId="4845AAA3" w14:textId="77777777" w:rsidR="007D6872" w:rsidRPr="004E74A6" w:rsidRDefault="007D6872" w:rsidP="00832773">
            <w:pPr>
              <w:spacing w:line="276" w:lineRule="auto"/>
              <w:jc w:val="left"/>
              <w:rPr>
                <w:rFonts w:cs="Calibri"/>
                <w:color w:val="000000"/>
                <w:sz w:val="22"/>
                <w:szCs w:val="22"/>
                <w:lang w:eastAsia="es-CR"/>
              </w:rPr>
            </w:pPr>
            <w:r w:rsidRPr="004E74A6">
              <w:rPr>
                <w:rFonts w:cs="Calibri"/>
                <w:color w:val="000000"/>
                <w:sz w:val="22"/>
                <w:szCs w:val="22"/>
                <w:lang w:eastAsia="es-CR"/>
              </w:rPr>
              <w:t>De ¢95.000.001 a ¢100.000.000</w:t>
            </w:r>
          </w:p>
        </w:tc>
        <w:tc>
          <w:tcPr>
            <w:tcW w:w="1240" w:type="dxa"/>
            <w:tcBorders>
              <w:top w:val="nil"/>
              <w:left w:val="nil"/>
              <w:bottom w:val="nil"/>
              <w:right w:val="single" w:sz="4" w:space="0" w:color="auto"/>
            </w:tcBorders>
            <w:shd w:val="clear" w:color="auto" w:fill="auto"/>
            <w:noWrap/>
            <w:vAlign w:val="center"/>
            <w:hideMark/>
          </w:tcPr>
          <w:p w14:paraId="33B01079" w14:textId="77777777" w:rsidR="007D6872" w:rsidRPr="004E74A6" w:rsidRDefault="007D6872" w:rsidP="00832773">
            <w:pPr>
              <w:spacing w:line="276" w:lineRule="auto"/>
              <w:jc w:val="center"/>
              <w:rPr>
                <w:rFonts w:cs="Calibri"/>
                <w:color w:val="000000"/>
                <w:sz w:val="22"/>
                <w:szCs w:val="22"/>
                <w:lang w:eastAsia="es-CR"/>
              </w:rPr>
            </w:pPr>
            <w:r w:rsidRPr="004E74A6">
              <w:rPr>
                <w:rFonts w:cs="Calibri"/>
                <w:color w:val="000000"/>
                <w:sz w:val="22"/>
                <w:szCs w:val="22"/>
                <w:lang w:eastAsia="es-CR"/>
              </w:rPr>
              <w:t>98</w:t>
            </w:r>
          </w:p>
        </w:tc>
        <w:tc>
          <w:tcPr>
            <w:tcW w:w="1240" w:type="dxa"/>
            <w:tcBorders>
              <w:top w:val="nil"/>
              <w:left w:val="nil"/>
              <w:bottom w:val="nil"/>
              <w:right w:val="single" w:sz="4" w:space="0" w:color="auto"/>
            </w:tcBorders>
            <w:shd w:val="clear" w:color="auto" w:fill="auto"/>
            <w:noWrap/>
            <w:vAlign w:val="center"/>
            <w:hideMark/>
          </w:tcPr>
          <w:p w14:paraId="0474C2F5" w14:textId="77777777" w:rsidR="007D6872" w:rsidRPr="004E74A6" w:rsidRDefault="007D6872" w:rsidP="00832773">
            <w:pPr>
              <w:spacing w:line="276" w:lineRule="auto"/>
              <w:jc w:val="center"/>
              <w:rPr>
                <w:rFonts w:cs="Calibri"/>
                <w:color w:val="000000"/>
                <w:sz w:val="22"/>
                <w:szCs w:val="22"/>
                <w:lang w:eastAsia="es-CR"/>
              </w:rPr>
            </w:pPr>
            <w:r w:rsidRPr="004E74A6">
              <w:rPr>
                <w:rFonts w:cs="Calibri"/>
                <w:color w:val="000000"/>
                <w:sz w:val="22"/>
                <w:szCs w:val="22"/>
                <w:lang w:eastAsia="es-CR"/>
              </w:rPr>
              <w:t>0,1%</w:t>
            </w:r>
          </w:p>
        </w:tc>
        <w:tc>
          <w:tcPr>
            <w:tcW w:w="1297" w:type="dxa"/>
            <w:tcBorders>
              <w:top w:val="nil"/>
              <w:left w:val="nil"/>
              <w:bottom w:val="nil"/>
              <w:right w:val="nil"/>
            </w:tcBorders>
            <w:shd w:val="clear" w:color="auto" w:fill="auto"/>
            <w:noWrap/>
            <w:vAlign w:val="center"/>
            <w:hideMark/>
          </w:tcPr>
          <w:p w14:paraId="0E67F20C" w14:textId="77777777" w:rsidR="007D6872" w:rsidRPr="004E74A6" w:rsidRDefault="007D6872" w:rsidP="00832773">
            <w:pPr>
              <w:spacing w:line="276" w:lineRule="auto"/>
              <w:jc w:val="center"/>
              <w:rPr>
                <w:rFonts w:cs="Calibri"/>
                <w:color w:val="000000"/>
                <w:sz w:val="22"/>
                <w:szCs w:val="22"/>
                <w:lang w:eastAsia="es-CR"/>
              </w:rPr>
            </w:pPr>
            <w:r w:rsidRPr="004E74A6">
              <w:rPr>
                <w:rFonts w:cs="Calibri"/>
                <w:color w:val="000000"/>
                <w:sz w:val="22"/>
                <w:szCs w:val="22"/>
                <w:lang w:eastAsia="es-CR"/>
              </w:rPr>
              <w:t>84%</w:t>
            </w:r>
          </w:p>
        </w:tc>
      </w:tr>
      <w:tr w:rsidR="007D6872" w:rsidRPr="004E74A6" w14:paraId="3B2F2437" w14:textId="77777777" w:rsidTr="00832773">
        <w:trPr>
          <w:trHeight w:val="288"/>
          <w:jc w:val="center"/>
        </w:trPr>
        <w:tc>
          <w:tcPr>
            <w:tcW w:w="3080" w:type="dxa"/>
            <w:tcBorders>
              <w:top w:val="nil"/>
              <w:left w:val="nil"/>
              <w:bottom w:val="nil"/>
              <w:right w:val="single" w:sz="4" w:space="0" w:color="auto"/>
            </w:tcBorders>
            <w:shd w:val="clear" w:color="auto" w:fill="auto"/>
            <w:noWrap/>
            <w:vAlign w:val="bottom"/>
            <w:hideMark/>
          </w:tcPr>
          <w:p w14:paraId="2FA39EA9" w14:textId="77777777" w:rsidR="007D6872" w:rsidRPr="004E74A6" w:rsidRDefault="007D6872" w:rsidP="00832773">
            <w:pPr>
              <w:spacing w:line="276" w:lineRule="auto"/>
              <w:jc w:val="left"/>
              <w:rPr>
                <w:rFonts w:cs="Calibri"/>
                <w:color w:val="000000"/>
                <w:sz w:val="22"/>
                <w:szCs w:val="22"/>
                <w:lang w:eastAsia="es-CR"/>
              </w:rPr>
            </w:pPr>
            <w:r w:rsidRPr="004E74A6">
              <w:rPr>
                <w:rFonts w:cs="Calibri"/>
                <w:color w:val="000000"/>
                <w:sz w:val="22"/>
                <w:szCs w:val="22"/>
                <w:lang w:eastAsia="es-CR"/>
              </w:rPr>
              <w:t>Más de ¢100.000.000</w:t>
            </w:r>
          </w:p>
        </w:tc>
        <w:tc>
          <w:tcPr>
            <w:tcW w:w="1240" w:type="dxa"/>
            <w:tcBorders>
              <w:top w:val="nil"/>
              <w:left w:val="nil"/>
              <w:bottom w:val="nil"/>
              <w:right w:val="single" w:sz="4" w:space="0" w:color="auto"/>
            </w:tcBorders>
            <w:shd w:val="clear" w:color="auto" w:fill="auto"/>
            <w:noWrap/>
            <w:vAlign w:val="center"/>
            <w:hideMark/>
          </w:tcPr>
          <w:p w14:paraId="330A7EB4" w14:textId="77777777" w:rsidR="007D6872" w:rsidRPr="004E74A6" w:rsidRDefault="007D6872" w:rsidP="00832773">
            <w:pPr>
              <w:spacing w:line="276" w:lineRule="auto"/>
              <w:jc w:val="center"/>
              <w:rPr>
                <w:rFonts w:cs="Calibri"/>
                <w:color w:val="000000"/>
                <w:sz w:val="22"/>
                <w:szCs w:val="22"/>
                <w:lang w:eastAsia="es-CR"/>
              </w:rPr>
            </w:pPr>
            <w:r w:rsidRPr="004E74A6">
              <w:rPr>
                <w:rFonts w:cs="Calibri"/>
                <w:color w:val="000000"/>
                <w:sz w:val="22"/>
                <w:szCs w:val="22"/>
                <w:lang w:eastAsia="es-CR"/>
              </w:rPr>
              <w:t>1857</w:t>
            </w:r>
          </w:p>
        </w:tc>
        <w:tc>
          <w:tcPr>
            <w:tcW w:w="1240" w:type="dxa"/>
            <w:tcBorders>
              <w:top w:val="nil"/>
              <w:left w:val="nil"/>
              <w:bottom w:val="nil"/>
              <w:right w:val="single" w:sz="4" w:space="0" w:color="auto"/>
            </w:tcBorders>
            <w:shd w:val="clear" w:color="auto" w:fill="auto"/>
            <w:noWrap/>
            <w:vAlign w:val="center"/>
            <w:hideMark/>
          </w:tcPr>
          <w:p w14:paraId="34AB99E8" w14:textId="77777777" w:rsidR="007D6872" w:rsidRPr="004E74A6" w:rsidRDefault="007D6872" w:rsidP="00832773">
            <w:pPr>
              <w:spacing w:line="276" w:lineRule="auto"/>
              <w:jc w:val="center"/>
              <w:rPr>
                <w:rFonts w:cs="Calibri"/>
                <w:color w:val="000000"/>
                <w:sz w:val="22"/>
                <w:szCs w:val="22"/>
                <w:lang w:eastAsia="es-CR"/>
              </w:rPr>
            </w:pPr>
            <w:r w:rsidRPr="004E74A6">
              <w:rPr>
                <w:rFonts w:cs="Calibri"/>
                <w:color w:val="000000"/>
                <w:sz w:val="22"/>
                <w:szCs w:val="22"/>
                <w:lang w:eastAsia="es-CR"/>
              </w:rPr>
              <w:t>1,2%</w:t>
            </w:r>
          </w:p>
        </w:tc>
        <w:tc>
          <w:tcPr>
            <w:tcW w:w="1297" w:type="dxa"/>
            <w:tcBorders>
              <w:top w:val="nil"/>
              <w:left w:val="nil"/>
              <w:bottom w:val="nil"/>
              <w:right w:val="nil"/>
            </w:tcBorders>
            <w:shd w:val="clear" w:color="auto" w:fill="auto"/>
            <w:noWrap/>
            <w:vAlign w:val="center"/>
            <w:hideMark/>
          </w:tcPr>
          <w:p w14:paraId="363C1CF1" w14:textId="77777777" w:rsidR="007D6872" w:rsidRPr="004E74A6" w:rsidRDefault="007D6872" w:rsidP="00832773">
            <w:pPr>
              <w:spacing w:line="276" w:lineRule="auto"/>
              <w:jc w:val="center"/>
              <w:rPr>
                <w:rFonts w:cs="Calibri"/>
                <w:color w:val="000000"/>
                <w:sz w:val="22"/>
                <w:szCs w:val="22"/>
                <w:lang w:eastAsia="es-CR"/>
              </w:rPr>
            </w:pPr>
            <w:r w:rsidRPr="004E74A6">
              <w:rPr>
                <w:rFonts w:cs="Calibri"/>
                <w:color w:val="000000"/>
                <w:sz w:val="22"/>
                <w:szCs w:val="22"/>
                <w:lang w:eastAsia="es-CR"/>
              </w:rPr>
              <w:t>86%</w:t>
            </w:r>
          </w:p>
        </w:tc>
      </w:tr>
      <w:tr w:rsidR="007D6872" w:rsidRPr="004E74A6" w14:paraId="545A088D" w14:textId="77777777" w:rsidTr="00832773">
        <w:trPr>
          <w:trHeight w:val="288"/>
          <w:jc w:val="center"/>
        </w:trPr>
        <w:tc>
          <w:tcPr>
            <w:tcW w:w="3080" w:type="dxa"/>
            <w:tcBorders>
              <w:top w:val="nil"/>
              <w:left w:val="nil"/>
              <w:right w:val="single" w:sz="4" w:space="0" w:color="auto"/>
            </w:tcBorders>
            <w:shd w:val="clear" w:color="auto" w:fill="auto"/>
            <w:noWrap/>
            <w:vAlign w:val="bottom"/>
            <w:hideMark/>
          </w:tcPr>
          <w:p w14:paraId="1A8D2394" w14:textId="77777777" w:rsidR="007D6872" w:rsidRPr="004E74A6" w:rsidRDefault="007D6872" w:rsidP="00832773">
            <w:pPr>
              <w:spacing w:line="276" w:lineRule="auto"/>
              <w:jc w:val="left"/>
              <w:rPr>
                <w:rFonts w:cs="Calibri"/>
                <w:color w:val="000000"/>
                <w:sz w:val="22"/>
                <w:szCs w:val="22"/>
                <w:lang w:eastAsia="es-CR"/>
              </w:rPr>
            </w:pPr>
            <w:r w:rsidRPr="004E74A6">
              <w:rPr>
                <w:rFonts w:cs="Calibri"/>
                <w:color w:val="000000"/>
                <w:sz w:val="22"/>
                <w:szCs w:val="22"/>
                <w:lang w:eastAsia="es-CR"/>
              </w:rPr>
              <w:t>Expedientes Cuantía Cero</w:t>
            </w:r>
          </w:p>
        </w:tc>
        <w:tc>
          <w:tcPr>
            <w:tcW w:w="1240" w:type="dxa"/>
            <w:tcBorders>
              <w:top w:val="nil"/>
              <w:left w:val="nil"/>
              <w:right w:val="single" w:sz="4" w:space="0" w:color="auto"/>
            </w:tcBorders>
            <w:shd w:val="clear" w:color="auto" w:fill="auto"/>
            <w:noWrap/>
            <w:vAlign w:val="center"/>
            <w:hideMark/>
          </w:tcPr>
          <w:p w14:paraId="339AB730" w14:textId="77777777" w:rsidR="007D6872" w:rsidRPr="004E74A6" w:rsidRDefault="007D6872" w:rsidP="00832773">
            <w:pPr>
              <w:spacing w:line="276" w:lineRule="auto"/>
              <w:jc w:val="center"/>
              <w:rPr>
                <w:rFonts w:cs="Calibri"/>
                <w:color w:val="000000"/>
                <w:sz w:val="22"/>
                <w:szCs w:val="22"/>
                <w:lang w:eastAsia="es-CR"/>
              </w:rPr>
            </w:pPr>
            <w:r w:rsidRPr="004E74A6">
              <w:rPr>
                <w:rFonts w:cs="Calibri"/>
                <w:color w:val="000000"/>
                <w:sz w:val="22"/>
                <w:szCs w:val="22"/>
                <w:lang w:eastAsia="es-CR"/>
              </w:rPr>
              <w:t>5054</w:t>
            </w:r>
          </w:p>
        </w:tc>
        <w:tc>
          <w:tcPr>
            <w:tcW w:w="1240" w:type="dxa"/>
            <w:tcBorders>
              <w:top w:val="nil"/>
              <w:left w:val="nil"/>
              <w:right w:val="single" w:sz="4" w:space="0" w:color="auto"/>
            </w:tcBorders>
            <w:shd w:val="clear" w:color="auto" w:fill="auto"/>
            <w:noWrap/>
            <w:vAlign w:val="center"/>
            <w:hideMark/>
          </w:tcPr>
          <w:p w14:paraId="51727EC8" w14:textId="77777777" w:rsidR="007D6872" w:rsidRPr="004E74A6" w:rsidRDefault="007D6872" w:rsidP="00832773">
            <w:pPr>
              <w:spacing w:line="276" w:lineRule="auto"/>
              <w:jc w:val="center"/>
              <w:rPr>
                <w:rFonts w:cs="Calibri"/>
                <w:color w:val="000000"/>
                <w:sz w:val="22"/>
                <w:szCs w:val="22"/>
                <w:lang w:eastAsia="es-CR"/>
              </w:rPr>
            </w:pPr>
            <w:r w:rsidRPr="004E74A6">
              <w:rPr>
                <w:rFonts w:cs="Calibri"/>
                <w:color w:val="000000"/>
                <w:sz w:val="22"/>
                <w:szCs w:val="22"/>
                <w:lang w:eastAsia="es-CR"/>
              </w:rPr>
              <w:t>3,2%</w:t>
            </w:r>
          </w:p>
        </w:tc>
        <w:tc>
          <w:tcPr>
            <w:tcW w:w="1297" w:type="dxa"/>
            <w:tcBorders>
              <w:top w:val="nil"/>
              <w:left w:val="nil"/>
              <w:right w:val="nil"/>
            </w:tcBorders>
            <w:shd w:val="clear" w:color="auto" w:fill="auto"/>
            <w:noWrap/>
            <w:vAlign w:val="center"/>
            <w:hideMark/>
          </w:tcPr>
          <w:p w14:paraId="3076B066" w14:textId="77777777" w:rsidR="007D6872" w:rsidRPr="004E74A6" w:rsidRDefault="007D6872" w:rsidP="00832773">
            <w:pPr>
              <w:spacing w:line="276" w:lineRule="auto"/>
              <w:jc w:val="center"/>
              <w:rPr>
                <w:rFonts w:cs="Calibri"/>
                <w:color w:val="000000"/>
                <w:sz w:val="22"/>
                <w:szCs w:val="22"/>
                <w:lang w:eastAsia="es-CR"/>
              </w:rPr>
            </w:pPr>
            <w:r w:rsidRPr="004E74A6">
              <w:rPr>
                <w:rFonts w:cs="Calibri"/>
                <w:color w:val="000000"/>
                <w:sz w:val="22"/>
                <w:szCs w:val="22"/>
                <w:lang w:eastAsia="es-CR"/>
              </w:rPr>
              <w:t>89%</w:t>
            </w:r>
          </w:p>
        </w:tc>
      </w:tr>
      <w:tr w:rsidR="007D6872" w:rsidRPr="004E74A6" w14:paraId="10258DEC" w14:textId="77777777" w:rsidTr="00832773">
        <w:trPr>
          <w:trHeight w:val="288"/>
          <w:jc w:val="center"/>
        </w:trPr>
        <w:tc>
          <w:tcPr>
            <w:tcW w:w="3080" w:type="dxa"/>
            <w:tcBorders>
              <w:top w:val="nil"/>
              <w:left w:val="nil"/>
              <w:bottom w:val="single" w:sz="4" w:space="0" w:color="auto"/>
              <w:right w:val="single" w:sz="4" w:space="0" w:color="auto"/>
            </w:tcBorders>
            <w:shd w:val="clear" w:color="auto" w:fill="auto"/>
            <w:noWrap/>
            <w:vAlign w:val="bottom"/>
            <w:hideMark/>
          </w:tcPr>
          <w:p w14:paraId="1D06FEB6" w14:textId="53AC0950" w:rsidR="007D6872" w:rsidRPr="004E74A6" w:rsidRDefault="007D6872" w:rsidP="00832773">
            <w:pPr>
              <w:spacing w:line="276" w:lineRule="auto"/>
              <w:jc w:val="left"/>
              <w:rPr>
                <w:rFonts w:cs="Calibri"/>
                <w:color w:val="000000"/>
                <w:sz w:val="22"/>
                <w:szCs w:val="22"/>
                <w:lang w:eastAsia="es-CR"/>
              </w:rPr>
            </w:pPr>
            <w:r w:rsidRPr="004E74A6">
              <w:rPr>
                <w:rFonts w:cs="Calibri"/>
                <w:color w:val="000000"/>
                <w:sz w:val="22"/>
                <w:szCs w:val="22"/>
                <w:lang w:eastAsia="es-CR"/>
              </w:rPr>
              <w:t>SIN ACTUALIZAR</w:t>
            </w:r>
          </w:p>
        </w:tc>
        <w:tc>
          <w:tcPr>
            <w:tcW w:w="1240" w:type="dxa"/>
            <w:tcBorders>
              <w:top w:val="nil"/>
              <w:left w:val="nil"/>
              <w:bottom w:val="single" w:sz="4" w:space="0" w:color="auto"/>
              <w:right w:val="single" w:sz="4" w:space="0" w:color="auto"/>
            </w:tcBorders>
            <w:shd w:val="clear" w:color="auto" w:fill="auto"/>
            <w:noWrap/>
            <w:vAlign w:val="center"/>
            <w:hideMark/>
          </w:tcPr>
          <w:p w14:paraId="30665EC4" w14:textId="77777777" w:rsidR="007D6872" w:rsidRPr="004E74A6" w:rsidRDefault="007D6872" w:rsidP="00832773">
            <w:pPr>
              <w:spacing w:line="276" w:lineRule="auto"/>
              <w:jc w:val="center"/>
              <w:rPr>
                <w:rFonts w:cs="Calibri"/>
                <w:color w:val="000000"/>
                <w:sz w:val="22"/>
                <w:szCs w:val="22"/>
                <w:lang w:eastAsia="es-CR"/>
              </w:rPr>
            </w:pPr>
            <w:r w:rsidRPr="004E74A6">
              <w:rPr>
                <w:rFonts w:cs="Calibri"/>
                <w:color w:val="000000"/>
                <w:sz w:val="22"/>
                <w:szCs w:val="22"/>
                <w:lang w:eastAsia="es-CR"/>
              </w:rPr>
              <w:t>17479</w:t>
            </w:r>
          </w:p>
        </w:tc>
        <w:tc>
          <w:tcPr>
            <w:tcW w:w="1240" w:type="dxa"/>
            <w:tcBorders>
              <w:top w:val="nil"/>
              <w:left w:val="nil"/>
              <w:bottom w:val="single" w:sz="4" w:space="0" w:color="auto"/>
              <w:right w:val="single" w:sz="4" w:space="0" w:color="auto"/>
            </w:tcBorders>
            <w:shd w:val="clear" w:color="auto" w:fill="auto"/>
            <w:noWrap/>
            <w:vAlign w:val="center"/>
            <w:hideMark/>
          </w:tcPr>
          <w:p w14:paraId="624E4617" w14:textId="77777777" w:rsidR="007D6872" w:rsidRPr="004E74A6" w:rsidRDefault="007D6872" w:rsidP="00832773">
            <w:pPr>
              <w:spacing w:line="276" w:lineRule="auto"/>
              <w:jc w:val="center"/>
              <w:rPr>
                <w:rFonts w:cs="Calibri"/>
                <w:color w:val="000000"/>
                <w:sz w:val="22"/>
                <w:szCs w:val="22"/>
                <w:lang w:eastAsia="es-CR"/>
              </w:rPr>
            </w:pPr>
            <w:r w:rsidRPr="004E74A6">
              <w:rPr>
                <w:rFonts w:cs="Calibri"/>
                <w:color w:val="000000"/>
                <w:sz w:val="22"/>
                <w:szCs w:val="22"/>
                <w:lang w:eastAsia="es-CR"/>
              </w:rPr>
              <w:t>11,2%</w:t>
            </w:r>
          </w:p>
        </w:tc>
        <w:tc>
          <w:tcPr>
            <w:tcW w:w="1297" w:type="dxa"/>
            <w:tcBorders>
              <w:top w:val="nil"/>
              <w:left w:val="nil"/>
              <w:bottom w:val="single" w:sz="4" w:space="0" w:color="auto"/>
              <w:right w:val="nil"/>
            </w:tcBorders>
            <w:shd w:val="clear" w:color="auto" w:fill="auto"/>
            <w:noWrap/>
            <w:vAlign w:val="center"/>
            <w:hideMark/>
          </w:tcPr>
          <w:p w14:paraId="6FE3C5BB" w14:textId="77777777" w:rsidR="007D6872" w:rsidRPr="004E74A6" w:rsidRDefault="007D6872" w:rsidP="00832773">
            <w:pPr>
              <w:spacing w:line="276" w:lineRule="auto"/>
              <w:jc w:val="center"/>
              <w:rPr>
                <w:rFonts w:cs="Calibri"/>
                <w:color w:val="000000"/>
                <w:sz w:val="22"/>
                <w:szCs w:val="22"/>
                <w:lang w:eastAsia="es-CR"/>
              </w:rPr>
            </w:pPr>
            <w:r w:rsidRPr="004E74A6">
              <w:rPr>
                <w:rFonts w:cs="Calibri"/>
                <w:color w:val="000000"/>
                <w:sz w:val="22"/>
                <w:szCs w:val="22"/>
                <w:lang w:eastAsia="es-CR"/>
              </w:rPr>
              <w:t>100%</w:t>
            </w:r>
          </w:p>
        </w:tc>
      </w:tr>
    </w:tbl>
    <w:p w14:paraId="01719860" w14:textId="24C9B63E" w:rsidR="007D6872" w:rsidRPr="004E74A6" w:rsidRDefault="007D6872" w:rsidP="00832773">
      <w:pPr>
        <w:spacing w:line="276" w:lineRule="auto"/>
        <w:ind w:left="993" w:right="1191"/>
        <w:rPr>
          <w:rFonts w:cs="Calibri"/>
          <w:i/>
          <w:iCs/>
          <w:color w:val="000000"/>
          <w:sz w:val="20"/>
          <w:lang w:eastAsia="es-CR"/>
        </w:rPr>
      </w:pPr>
      <w:r w:rsidRPr="004E74A6">
        <w:rPr>
          <w:rFonts w:cs="Calibri"/>
          <w:b/>
          <w:bCs/>
          <w:i/>
          <w:iCs/>
          <w:color w:val="000000"/>
          <w:sz w:val="20"/>
          <w:lang w:eastAsia="es-CR"/>
        </w:rPr>
        <w:t>Fuente</w:t>
      </w:r>
      <w:r w:rsidRPr="004E74A6">
        <w:rPr>
          <w:rFonts w:cs="Calibri"/>
          <w:i/>
          <w:iCs/>
          <w:color w:val="000000"/>
          <w:sz w:val="20"/>
          <w:lang w:eastAsia="es-CR"/>
        </w:rPr>
        <w:t>: Subproceso de Modernización Institucional con datos extraídos del sistema SIGMA, Dirección de Planificación. Reporte cuantías 09-2022.</w:t>
      </w:r>
    </w:p>
    <w:p w14:paraId="452FB9A7" w14:textId="7C69C5DB" w:rsidR="007D6872" w:rsidRPr="004E74A6" w:rsidRDefault="007D6872" w:rsidP="00CE62C1">
      <w:pPr>
        <w:spacing w:after="160" w:line="276" w:lineRule="auto"/>
        <w:contextualSpacing/>
        <w:rPr>
          <w:rFonts w:eastAsia="Calibri"/>
          <w:szCs w:val="24"/>
          <w:lang w:eastAsia="en-US"/>
        </w:rPr>
      </w:pPr>
    </w:p>
    <w:p w14:paraId="00D84EAF" w14:textId="58B20023" w:rsidR="007D6872" w:rsidRPr="004E74A6" w:rsidRDefault="006C6B56" w:rsidP="00CE62C1">
      <w:pPr>
        <w:spacing w:after="160" w:line="276" w:lineRule="auto"/>
        <w:contextualSpacing/>
        <w:rPr>
          <w:rFonts w:eastAsia="Calibri"/>
          <w:szCs w:val="24"/>
          <w:lang w:eastAsia="en-US"/>
        </w:rPr>
      </w:pPr>
      <w:r w:rsidRPr="004E74A6">
        <w:rPr>
          <w:rFonts w:eastAsia="Calibri"/>
          <w:szCs w:val="24"/>
          <w:lang w:eastAsia="en-US"/>
        </w:rPr>
        <w:t xml:space="preserve">Como se observa de la tabla anterior, el 82% de los asuntos cobratorios actualmente tiene una cuantía de 20 millones de colones o menos. </w:t>
      </w:r>
    </w:p>
    <w:p w14:paraId="3FBC158F" w14:textId="570C9899" w:rsidR="001372CE" w:rsidRPr="004E74A6" w:rsidRDefault="001372CE" w:rsidP="00CE62C1">
      <w:pPr>
        <w:spacing w:after="160" w:line="276" w:lineRule="auto"/>
        <w:contextualSpacing/>
        <w:rPr>
          <w:rFonts w:eastAsia="Calibri"/>
          <w:szCs w:val="24"/>
          <w:lang w:eastAsia="en-US"/>
        </w:rPr>
      </w:pPr>
    </w:p>
    <w:p w14:paraId="35C7B3BA" w14:textId="77777777" w:rsidR="001372CE" w:rsidRPr="004E74A6" w:rsidRDefault="001372CE" w:rsidP="001372CE">
      <w:pPr>
        <w:spacing w:after="160" w:line="276" w:lineRule="auto"/>
        <w:rPr>
          <w:rFonts w:cs="Calibri"/>
          <w:color w:val="000000"/>
          <w:lang w:eastAsia="es-CR"/>
        </w:rPr>
      </w:pPr>
      <w:r w:rsidRPr="004E74A6">
        <w:rPr>
          <w:rFonts w:cs="Calibri"/>
          <w:color w:val="000000"/>
          <w:lang w:eastAsia="es-CR"/>
        </w:rPr>
        <w:t xml:space="preserve">Según la legislación actual, si el proceso principal es de mayor cuantía </w:t>
      </w:r>
      <w:r w:rsidRPr="004E74A6">
        <w:rPr>
          <w:rFonts w:cs="Calibri"/>
          <w:b/>
          <w:bCs/>
          <w:color w:val="000000"/>
          <w:lang w:eastAsia="es-CR"/>
        </w:rPr>
        <w:t>y el punto apelado</w:t>
      </w:r>
      <w:r w:rsidRPr="004E74A6">
        <w:rPr>
          <w:rFonts w:cs="Calibri"/>
          <w:color w:val="000000"/>
          <w:lang w:eastAsia="es-CR"/>
        </w:rPr>
        <w:t xml:space="preserve"> lo estiman </w:t>
      </w:r>
      <w:r w:rsidRPr="004E74A6">
        <w:rPr>
          <w:rFonts w:cs="Calibri"/>
          <w:b/>
          <w:bCs/>
          <w:color w:val="000000"/>
          <w:u w:val="single"/>
          <w:lang w:eastAsia="es-CR"/>
        </w:rPr>
        <w:t>como de menor cuantía se rechaza de plano porque carece del recurso según artículo 67.3 párrafo final de la Ley 9342</w:t>
      </w:r>
      <w:r w:rsidRPr="004E74A6">
        <w:rPr>
          <w:rStyle w:val="Refdenotaalpie"/>
          <w:color w:val="000000"/>
          <w:lang w:eastAsia="es-CR"/>
        </w:rPr>
        <w:footnoteReference w:id="34"/>
      </w:r>
      <w:r w:rsidRPr="004E74A6">
        <w:rPr>
          <w:rFonts w:cs="Calibri"/>
          <w:color w:val="000000"/>
          <w:lang w:eastAsia="es-CR"/>
        </w:rPr>
        <w:t xml:space="preserve">.  </w:t>
      </w:r>
    </w:p>
    <w:p w14:paraId="4946AECD" w14:textId="79A612B1" w:rsidR="001372CE" w:rsidRPr="004E74A6" w:rsidRDefault="001372CE" w:rsidP="001372CE">
      <w:pPr>
        <w:spacing w:after="160" w:line="276" w:lineRule="auto"/>
        <w:rPr>
          <w:rFonts w:cs="Calibri"/>
          <w:color w:val="000000"/>
          <w:lang w:eastAsia="es-CR"/>
        </w:rPr>
      </w:pPr>
      <w:r w:rsidRPr="004E74A6">
        <w:rPr>
          <w:rFonts w:cs="Calibri"/>
          <w:color w:val="000000"/>
          <w:lang w:eastAsia="es-CR"/>
        </w:rPr>
        <w:t xml:space="preserve">Si el proceso principal </w:t>
      </w:r>
      <w:r w:rsidRPr="00832773">
        <w:rPr>
          <w:rFonts w:cs="Calibri"/>
          <w:b/>
          <w:bCs/>
          <w:color w:val="000000"/>
          <w:lang w:eastAsia="es-CR"/>
        </w:rPr>
        <w:t>es de menor cuantía</w:t>
      </w:r>
      <w:r w:rsidRPr="004E74A6">
        <w:rPr>
          <w:rFonts w:cs="Calibri"/>
          <w:color w:val="000000"/>
          <w:lang w:eastAsia="es-CR"/>
        </w:rPr>
        <w:t xml:space="preserve">, </w:t>
      </w:r>
      <w:r w:rsidRPr="004E74A6">
        <w:rPr>
          <w:rFonts w:cs="Calibri"/>
          <w:b/>
          <w:bCs/>
          <w:color w:val="000000"/>
          <w:lang w:eastAsia="es-CR"/>
        </w:rPr>
        <w:t>y el punto apelado</w:t>
      </w:r>
      <w:r w:rsidRPr="004E74A6">
        <w:rPr>
          <w:rFonts w:cs="Calibri"/>
          <w:color w:val="000000"/>
          <w:lang w:eastAsia="es-CR"/>
        </w:rPr>
        <w:t xml:space="preserve"> es de menor o de mayor cuantía </w:t>
      </w:r>
      <w:r w:rsidRPr="00832773">
        <w:rPr>
          <w:rFonts w:cs="Calibri"/>
          <w:b/>
          <w:bCs/>
          <w:color w:val="000000"/>
          <w:lang w:eastAsia="es-CR"/>
        </w:rPr>
        <w:t>se admite el recurso,</w:t>
      </w:r>
      <w:r w:rsidRPr="004E74A6">
        <w:rPr>
          <w:rFonts w:cs="Calibri"/>
          <w:color w:val="000000"/>
          <w:lang w:eastAsia="es-CR"/>
        </w:rPr>
        <w:t xml:space="preserve"> es decir, actualmente solo en el 62% de los casos cobratorios entrados se admite el </w:t>
      </w:r>
      <w:r w:rsidR="008D51C4" w:rsidRPr="004E74A6">
        <w:rPr>
          <w:rFonts w:cs="Calibri"/>
          <w:color w:val="000000"/>
          <w:lang w:eastAsia="es-CR"/>
        </w:rPr>
        <w:t>recurso, pero</w:t>
      </w:r>
      <w:r w:rsidRPr="004E74A6">
        <w:rPr>
          <w:rFonts w:cs="Calibri"/>
          <w:color w:val="000000"/>
          <w:lang w:eastAsia="es-CR"/>
        </w:rPr>
        <w:t xml:space="preserve"> en caso de aprobarse el escenario A1 o A2 el porcentaje incrementaría al 85%, lo que representa un incremento de un 23% o unos</w:t>
      </w:r>
      <w:r w:rsidRPr="004E74A6">
        <w:t xml:space="preserve"> </w:t>
      </w:r>
      <w:r w:rsidRPr="004E74A6">
        <w:rPr>
          <w:rFonts w:cs="Calibri"/>
          <w:color w:val="000000"/>
          <w:lang w:eastAsia="es-CR"/>
        </w:rPr>
        <w:t xml:space="preserve">3 595 268 expedientes </w:t>
      </w:r>
      <w:r w:rsidR="008D51C4" w:rsidRPr="004E74A6">
        <w:rPr>
          <w:rFonts w:cs="Calibri"/>
          <w:color w:val="000000"/>
          <w:lang w:eastAsia="es-CR"/>
        </w:rPr>
        <w:t>adicionales con</w:t>
      </w:r>
      <w:r w:rsidRPr="004E74A6">
        <w:rPr>
          <w:rFonts w:cs="Calibri"/>
          <w:color w:val="000000"/>
          <w:lang w:eastAsia="es-CR"/>
        </w:rPr>
        <w:t xml:space="preserve"> posibilidad de admisión de recurso de apelación de ser gestionado por las partes</w:t>
      </w:r>
      <w:r w:rsidR="008B0CF2" w:rsidRPr="004E74A6">
        <w:rPr>
          <w:rFonts w:cs="Calibri"/>
          <w:color w:val="000000"/>
          <w:lang w:eastAsia="es-CR"/>
        </w:rPr>
        <w:t>.</w:t>
      </w:r>
    </w:p>
    <w:p w14:paraId="2CB2B05A" w14:textId="77777777" w:rsidR="009F4B85" w:rsidRPr="004E74A6" w:rsidRDefault="009F4B85" w:rsidP="00CE62C1">
      <w:pPr>
        <w:spacing w:after="160" w:line="276" w:lineRule="auto"/>
        <w:contextualSpacing/>
        <w:rPr>
          <w:rFonts w:eastAsia="Calibri"/>
          <w:szCs w:val="24"/>
          <w:lang w:eastAsia="en-US"/>
        </w:rPr>
      </w:pPr>
    </w:p>
    <w:p w14:paraId="7971FA27" w14:textId="1139B01F" w:rsidR="008D1A7A" w:rsidRPr="004E74A6" w:rsidRDefault="008D1A7A" w:rsidP="00832773">
      <w:pPr>
        <w:keepNext/>
        <w:keepLines/>
        <w:numPr>
          <w:ilvl w:val="0"/>
          <w:numId w:val="2"/>
        </w:numPr>
        <w:shd w:val="clear" w:color="auto" w:fill="2F86BB"/>
        <w:spacing w:before="240" w:line="276" w:lineRule="auto"/>
        <w:outlineLvl w:val="0"/>
        <w:rPr>
          <w:b/>
          <w:color w:val="FFFFFF"/>
          <w:sz w:val="22"/>
          <w:szCs w:val="22"/>
          <w:lang w:eastAsia="en-US"/>
        </w:rPr>
      </w:pPr>
      <w:r w:rsidRPr="00832773">
        <w:rPr>
          <w:b/>
          <w:color w:val="FFFFFF"/>
          <w:szCs w:val="32"/>
          <w:lang w:eastAsia="en-US"/>
        </w:rPr>
        <w:t>Impacto</w:t>
      </w:r>
      <w:r w:rsidRPr="004E74A6">
        <w:rPr>
          <w:b/>
          <w:color w:val="FFFFFF"/>
          <w:sz w:val="22"/>
          <w:szCs w:val="22"/>
          <w:lang w:eastAsia="en-US"/>
        </w:rPr>
        <w:t xml:space="preserve"> de un cambio de cuantía Civil en materia Concursal</w:t>
      </w:r>
    </w:p>
    <w:p w14:paraId="0E5BE08E" w14:textId="77777777" w:rsidR="009979D6" w:rsidRDefault="009979D6" w:rsidP="00CE62C1">
      <w:pPr>
        <w:spacing w:line="276" w:lineRule="auto"/>
        <w:rPr>
          <w:rFonts w:eastAsia="Calibri"/>
          <w:lang w:eastAsia="en-US"/>
        </w:rPr>
      </w:pPr>
    </w:p>
    <w:p w14:paraId="496B9AF5" w14:textId="61B59682" w:rsidR="00047DAC" w:rsidRPr="00832773" w:rsidRDefault="00047DAC" w:rsidP="00CE62C1">
      <w:pPr>
        <w:spacing w:line="276" w:lineRule="auto"/>
        <w:rPr>
          <w:rFonts w:eastAsia="Calibri"/>
          <w:lang w:eastAsia="en-US"/>
        </w:rPr>
      </w:pPr>
      <w:r w:rsidRPr="00832773">
        <w:rPr>
          <w:rFonts w:eastAsia="Calibri"/>
          <w:lang w:eastAsia="en-US"/>
        </w:rPr>
        <w:t xml:space="preserve">Según las observaciones recibidas por el equipo gestor en materia </w:t>
      </w:r>
      <w:r w:rsidR="00C0767B" w:rsidRPr="00832773">
        <w:rPr>
          <w:rFonts w:eastAsia="Calibri"/>
          <w:lang w:eastAsia="en-US"/>
        </w:rPr>
        <w:t>C</w:t>
      </w:r>
      <w:r w:rsidRPr="00832773">
        <w:rPr>
          <w:rFonts w:eastAsia="Calibri"/>
          <w:lang w:eastAsia="en-US"/>
        </w:rPr>
        <w:t>ivil, se indic</w:t>
      </w:r>
      <w:r w:rsidR="00C0767B" w:rsidRPr="00832773">
        <w:rPr>
          <w:rFonts w:eastAsia="Calibri"/>
          <w:lang w:eastAsia="en-US"/>
        </w:rPr>
        <w:t xml:space="preserve">ó </w:t>
      </w:r>
      <w:r w:rsidRPr="00832773">
        <w:rPr>
          <w:rFonts w:eastAsia="Calibri"/>
          <w:lang w:eastAsia="en-US"/>
        </w:rPr>
        <w:t xml:space="preserve">que en materia </w:t>
      </w:r>
      <w:r w:rsidR="006E4AF3" w:rsidRPr="00832773">
        <w:rPr>
          <w:rFonts w:eastAsia="Calibri"/>
          <w:lang w:eastAsia="en-US"/>
        </w:rPr>
        <w:t>C</w:t>
      </w:r>
      <w:r w:rsidRPr="00832773">
        <w:rPr>
          <w:rFonts w:eastAsia="Calibri"/>
          <w:lang w:eastAsia="en-US"/>
        </w:rPr>
        <w:t>oncursal se debe considerar lo siguiente:</w:t>
      </w:r>
    </w:p>
    <w:p w14:paraId="402483F8" w14:textId="77777777" w:rsidR="00047DAC" w:rsidRPr="00832773" w:rsidRDefault="00047DAC" w:rsidP="00CE62C1">
      <w:pPr>
        <w:spacing w:line="276" w:lineRule="auto"/>
        <w:rPr>
          <w:rFonts w:eastAsia="Calibri"/>
          <w:lang w:eastAsia="en-US"/>
        </w:rPr>
      </w:pPr>
    </w:p>
    <w:p w14:paraId="53E78833" w14:textId="6644DC0D" w:rsidR="00047DAC" w:rsidRPr="00832773" w:rsidRDefault="00047DAC" w:rsidP="00832773">
      <w:pPr>
        <w:widowControl w:val="0"/>
        <w:suppressAutoHyphens/>
        <w:spacing w:line="276" w:lineRule="auto"/>
        <w:ind w:left="567" w:right="618"/>
        <w:rPr>
          <w:i/>
          <w:iCs/>
          <w:sz w:val="22"/>
          <w:szCs w:val="18"/>
          <w:shd w:val="clear" w:color="auto" w:fill="FFFFFF"/>
        </w:rPr>
      </w:pPr>
      <w:r w:rsidRPr="00832773">
        <w:rPr>
          <w:i/>
          <w:iCs/>
          <w:sz w:val="22"/>
          <w:szCs w:val="18"/>
          <w:shd w:val="clear" w:color="auto" w:fill="FFFFFF"/>
        </w:rPr>
        <w:t>“</w:t>
      </w:r>
      <w:r w:rsidR="00C0767B" w:rsidRPr="00832773">
        <w:rPr>
          <w:i/>
          <w:iCs/>
          <w:sz w:val="22"/>
          <w:szCs w:val="18"/>
          <w:shd w:val="clear" w:color="auto" w:fill="FFFFFF"/>
        </w:rPr>
        <w:t>L</w:t>
      </w:r>
      <w:r w:rsidRPr="00832773">
        <w:rPr>
          <w:i/>
          <w:iCs/>
          <w:sz w:val="22"/>
          <w:szCs w:val="18"/>
          <w:shd w:val="clear" w:color="auto" w:fill="FFFFFF"/>
        </w:rPr>
        <w:t xml:space="preserve">a consecuencia en apelaciones y casaciones que podría generarse en los procesos concursales, pues nótese que según el artículo 57 de la Ley Concursal, no son pocas las normas que </w:t>
      </w:r>
      <w:r w:rsidRPr="00832773">
        <w:rPr>
          <w:i/>
          <w:iCs/>
          <w:color w:val="000000"/>
          <w:sz w:val="22"/>
          <w:szCs w:val="18"/>
          <w:shd w:val="clear" w:color="auto" w:fill="FFFFFF"/>
        </w:rPr>
        <w:t>otorgan</w:t>
      </w:r>
      <w:r w:rsidRPr="00832773">
        <w:rPr>
          <w:i/>
          <w:iCs/>
          <w:sz w:val="22"/>
          <w:szCs w:val="18"/>
          <w:shd w:val="clear" w:color="auto" w:fill="FFFFFF"/>
        </w:rPr>
        <w:t xml:space="preserve"> recurso de apelación por taxatividad objetividad con criterio </w:t>
      </w:r>
      <w:r w:rsidRPr="00832773">
        <w:rPr>
          <w:i/>
          <w:iCs/>
          <w:sz w:val="22"/>
          <w:szCs w:val="18"/>
          <w:shd w:val="clear" w:color="auto" w:fill="FFFFFF"/>
        </w:rPr>
        <w:lastRenderedPageBreak/>
        <w:t xml:space="preserve">limitante de cuantía a las liquidaciones, contratos, venta de bienes, reconocimiento de créditos, siempre que sean mayor cuantía, limitando a los de menor cuantía. Además, se echa de menos </w:t>
      </w:r>
      <w:r w:rsidRPr="00832773">
        <w:rPr>
          <w:i/>
          <w:iCs/>
          <w:color w:val="000000"/>
          <w:sz w:val="22"/>
          <w:szCs w:val="18"/>
          <w:shd w:val="clear" w:color="auto" w:fill="FFFFFF"/>
        </w:rPr>
        <w:t>las consecuencias en</w:t>
      </w:r>
      <w:r w:rsidRPr="00832773">
        <w:rPr>
          <w:i/>
          <w:iCs/>
          <w:sz w:val="22"/>
          <w:szCs w:val="18"/>
          <w:shd w:val="clear" w:color="auto" w:fill="FFFFFF"/>
        </w:rPr>
        <w:t xml:space="preserve"> las eventuales casaciones en procesos concursales, </w:t>
      </w:r>
      <w:r w:rsidRPr="00832773">
        <w:rPr>
          <w:i/>
          <w:iCs/>
          <w:color w:val="000000"/>
          <w:sz w:val="22"/>
          <w:szCs w:val="18"/>
          <w:shd w:val="clear" w:color="auto" w:fill="FFFFFF"/>
        </w:rPr>
        <w:t>cuya Ley</w:t>
      </w:r>
      <w:r w:rsidRPr="00832773">
        <w:rPr>
          <w:i/>
          <w:iCs/>
          <w:sz w:val="22"/>
          <w:szCs w:val="18"/>
          <w:shd w:val="clear" w:color="auto" w:fill="FFFFFF"/>
        </w:rPr>
        <w:t xml:space="preserve"> concede el recurso en lo relevante con criterio limitante de cuantía, en estos dos supuestos: </w:t>
      </w:r>
    </w:p>
    <w:p w14:paraId="7460F4D3" w14:textId="77777777" w:rsidR="00047DAC" w:rsidRPr="00832773" w:rsidRDefault="00047DAC" w:rsidP="00832773">
      <w:pPr>
        <w:widowControl w:val="0"/>
        <w:spacing w:line="276" w:lineRule="auto"/>
        <w:ind w:left="567" w:right="618"/>
        <w:rPr>
          <w:i/>
          <w:iCs/>
          <w:sz w:val="22"/>
          <w:szCs w:val="18"/>
        </w:rPr>
      </w:pPr>
      <w:r w:rsidRPr="00832773">
        <w:rPr>
          <w:i/>
          <w:iCs/>
          <w:sz w:val="22"/>
          <w:szCs w:val="18"/>
          <w:shd w:val="clear" w:color="auto" w:fill="FFFFFF"/>
        </w:rPr>
        <w:t xml:space="preserve">- </w:t>
      </w:r>
      <w:r w:rsidRPr="00832773">
        <w:rPr>
          <w:i/>
          <w:iCs/>
          <w:color w:val="000000"/>
          <w:sz w:val="22"/>
          <w:szCs w:val="18"/>
        </w:rPr>
        <w:t xml:space="preserve"> Se pronuncien sobre la nulidad o ineficacia frente al concurso, de actos y contratos de mayor cuantía o inestimables.</w:t>
      </w:r>
    </w:p>
    <w:p w14:paraId="469D3CDC" w14:textId="73335FC0" w:rsidR="00047DAC" w:rsidRPr="00832773" w:rsidRDefault="00047DAC" w:rsidP="00832773">
      <w:pPr>
        <w:widowControl w:val="0"/>
        <w:spacing w:line="276" w:lineRule="auto"/>
        <w:ind w:left="567" w:right="618"/>
        <w:rPr>
          <w:i/>
          <w:iCs/>
          <w:sz w:val="22"/>
          <w:szCs w:val="18"/>
          <w:shd w:val="clear" w:color="auto" w:fill="FFFFFF"/>
        </w:rPr>
      </w:pPr>
      <w:r w:rsidRPr="00832773">
        <w:rPr>
          <w:i/>
          <w:iCs/>
          <w:color w:val="000000"/>
          <w:sz w:val="22"/>
          <w:szCs w:val="18"/>
        </w:rPr>
        <w:t>-  Se pronuncien por el fondo sobre el reconocimiento de créditos concursales o a cargo de la masa, de mayor cuantía, que hayan sido controvertidos. Artículo 58 Ley Concursal de Costa Rica.</w:t>
      </w:r>
      <w:r w:rsidRPr="00832773">
        <w:rPr>
          <w:i/>
          <w:iCs/>
          <w:sz w:val="22"/>
          <w:szCs w:val="18"/>
          <w:shd w:val="clear" w:color="auto" w:fill="FFFFFF"/>
        </w:rPr>
        <w:t xml:space="preserve"> “</w:t>
      </w:r>
    </w:p>
    <w:p w14:paraId="1934A7A7" w14:textId="3FD03506" w:rsidR="00047DAC" w:rsidRPr="00832773" w:rsidRDefault="00047DAC" w:rsidP="00CE62C1">
      <w:pPr>
        <w:spacing w:line="276" w:lineRule="auto"/>
        <w:rPr>
          <w:rFonts w:eastAsia="Calibri"/>
          <w:lang w:eastAsia="en-US"/>
        </w:rPr>
      </w:pPr>
    </w:p>
    <w:p w14:paraId="2E83B0D0" w14:textId="77777777" w:rsidR="00D66CEC" w:rsidRPr="00832773" w:rsidRDefault="00D66CEC" w:rsidP="00CE62C1">
      <w:pPr>
        <w:spacing w:line="276" w:lineRule="auto"/>
        <w:rPr>
          <w:rFonts w:eastAsia="Calibri"/>
          <w:lang w:eastAsia="en-US"/>
        </w:rPr>
      </w:pPr>
    </w:p>
    <w:p w14:paraId="3669BFB2" w14:textId="696C630D" w:rsidR="00FD4498" w:rsidRPr="00832773" w:rsidRDefault="00FD4498" w:rsidP="00CE62C1">
      <w:pPr>
        <w:spacing w:line="276" w:lineRule="auto"/>
        <w:rPr>
          <w:rFonts w:eastAsia="Calibri"/>
          <w:lang w:eastAsia="en-US"/>
        </w:rPr>
      </w:pPr>
      <w:r w:rsidRPr="00832773">
        <w:rPr>
          <w:rFonts w:eastAsia="Calibri"/>
          <w:b/>
          <w:bCs/>
          <w:i/>
          <w:iCs/>
          <w:u w:val="single"/>
          <w:lang w:eastAsia="en-US"/>
        </w:rPr>
        <w:t>En materia Concursal todos los procesos son inestimables</w:t>
      </w:r>
      <w:r w:rsidRPr="00832773">
        <w:rPr>
          <w:rFonts w:eastAsia="Calibri"/>
          <w:lang w:eastAsia="en-US"/>
        </w:rPr>
        <w:t xml:space="preserve"> según artículo 35.3.9 del Código Procesal Civil en relación con el 69</w:t>
      </w:r>
      <w:r w:rsidR="00692F71" w:rsidRPr="00832773">
        <w:rPr>
          <w:rFonts w:eastAsia="Calibri"/>
          <w:lang w:eastAsia="en-US"/>
        </w:rPr>
        <w:t>.1</w:t>
      </w:r>
      <w:r w:rsidRPr="00832773">
        <w:rPr>
          <w:rFonts w:eastAsia="Calibri"/>
          <w:lang w:eastAsia="en-US"/>
        </w:rPr>
        <w:t xml:space="preserve"> de esa misma norma</w:t>
      </w:r>
      <w:r w:rsidR="00963959" w:rsidRPr="00832773">
        <w:rPr>
          <w:rFonts w:eastAsia="Calibri"/>
          <w:lang w:eastAsia="en-US"/>
        </w:rPr>
        <w:t xml:space="preserve">, por lo que el que se incremente o no la cuantía en materia Civil no tiene afectación para el Juzgado Concursal. </w:t>
      </w:r>
    </w:p>
    <w:p w14:paraId="32DD5AB5" w14:textId="77777777" w:rsidR="00FD4498" w:rsidRPr="00832773" w:rsidRDefault="00FD4498" w:rsidP="00CE62C1">
      <w:pPr>
        <w:spacing w:line="276" w:lineRule="auto"/>
        <w:rPr>
          <w:rFonts w:eastAsia="Calibri"/>
          <w:lang w:eastAsia="en-US"/>
        </w:rPr>
      </w:pPr>
    </w:p>
    <w:p w14:paraId="343A78AF" w14:textId="3F0138AC" w:rsidR="00692F71" w:rsidRPr="004E74A6" w:rsidRDefault="00692F71" w:rsidP="00692F71">
      <w:pPr>
        <w:spacing w:line="240" w:lineRule="auto"/>
        <w:ind w:left="567" w:right="618"/>
        <w:rPr>
          <w:b/>
          <w:bCs/>
          <w:i/>
          <w:iCs/>
          <w:color w:val="000000"/>
          <w:sz w:val="22"/>
          <w:szCs w:val="22"/>
          <w:lang w:eastAsia="es-CR"/>
        </w:rPr>
      </w:pPr>
      <w:r w:rsidRPr="004E74A6">
        <w:rPr>
          <w:b/>
          <w:bCs/>
          <w:i/>
          <w:iCs/>
          <w:color w:val="000000"/>
          <w:sz w:val="22"/>
          <w:szCs w:val="22"/>
          <w:lang w:eastAsia="es-CR"/>
        </w:rPr>
        <w:t>“ARTÍCULO 35-Demanda.</w:t>
      </w:r>
    </w:p>
    <w:p w14:paraId="2447B2CC" w14:textId="77777777" w:rsidR="00B52979" w:rsidRPr="00832773" w:rsidRDefault="00B52979" w:rsidP="00692F71">
      <w:pPr>
        <w:spacing w:line="240" w:lineRule="auto"/>
        <w:ind w:left="567" w:right="618"/>
        <w:rPr>
          <w:i/>
          <w:iCs/>
          <w:color w:val="000000"/>
          <w:sz w:val="22"/>
          <w:szCs w:val="22"/>
          <w:lang w:eastAsia="es-CR"/>
        </w:rPr>
      </w:pPr>
      <w:r w:rsidRPr="00832773">
        <w:rPr>
          <w:i/>
          <w:iCs/>
          <w:color w:val="000000"/>
          <w:sz w:val="22"/>
          <w:szCs w:val="22"/>
          <w:lang w:eastAsia="es-CR"/>
        </w:rPr>
        <w:t>(…)</w:t>
      </w:r>
    </w:p>
    <w:p w14:paraId="4B4B2650" w14:textId="688A7F6F" w:rsidR="00692F71" w:rsidRPr="004E74A6" w:rsidRDefault="00692F71" w:rsidP="00692F71">
      <w:pPr>
        <w:spacing w:line="240" w:lineRule="auto"/>
        <w:ind w:left="567" w:right="618"/>
        <w:rPr>
          <w:i/>
          <w:iCs/>
          <w:color w:val="000000"/>
          <w:sz w:val="22"/>
          <w:szCs w:val="22"/>
          <w:lang w:eastAsia="es-CR"/>
        </w:rPr>
      </w:pPr>
      <w:r w:rsidRPr="004E74A6">
        <w:rPr>
          <w:b/>
          <w:bCs/>
          <w:i/>
          <w:iCs/>
          <w:color w:val="000000"/>
          <w:sz w:val="22"/>
          <w:szCs w:val="22"/>
          <w:lang w:eastAsia="es-CR"/>
        </w:rPr>
        <w:t>35.3 Estimación. </w:t>
      </w:r>
      <w:r w:rsidRPr="004E74A6">
        <w:rPr>
          <w:i/>
          <w:iCs/>
          <w:color w:val="000000"/>
          <w:sz w:val="22"/>
          <w:szCs w:val="22"/>
          <w:lang w:eastAsia="es-CR"/>
        </w:rPr>
        <w:t>La estimación se fijará según el interés económico de la demanda. Para ese efecto, se tomará como base:</w:t>
      </w:r>
    </w:p>
    <w:p w14:paraId="1D09A79A" w14:textId="77777777" w:rsidR="00692F71" w:rsidRPr="004E74A6" w:rsidRDefault="00692F71" w:rsidP="00692F71">
      <w:pPr>
        <w:spacing w:line="240" w:lineRule="auto"/>
        <w:ind w:left="567" w:right="618"/>
        <w:rPr>
          <w:i/>
          <w:iCs/>
          <w:color w:val="000000"/>
          <w:sz w:val="22"/>
          <w:szCs w:val="22"/>
          <w:lang w:eastAsia="es-CR"/>
        </w:rPr>
      </w:pPr>
      <w:r w:rsidRPr="004E74A6">
        <w:rPr>
          <w:i/>
          <w:iCs/>
          <w:color w:val="000000"/>
          <w:sz w:val="22"/>
          <w:szCs w:val="22"/>
          <w:lang w:eastAsia="es-CR"/>
        </w:rPr>
        <w:t>(…)</w:t>
      </w:r>
    </w:p>
    <w:p w14:paraId="166F7EF0" w14:textId="5BE526D4" w:rsidR="00692F71" w:rsidRPr="004E74A6" w:rsidRDefault="00692F71" w:rsidP="00692F71">
      <w:pPr>
        <w:spacing w:line="240" w:lineRule="auto"/>
        <w:ind w:left="567" w:right="618"/>
        <w:rPr>
          <w:i/>
          <w:iCs/>
          <w:color w:val="000000"/>
          <w:sz w:val="22"/>
          <w:szCs w:val="22"/>
          <w:lang w:eastAsia="es-CR"/>
        </w:rPr>
      </w:pPr>
      <w:r w:rsidRPr="004E74A6">
        <w:rPr>
          <w:b/>
          <w:bCs/>
          <w:i/>
          <w:iCs/>
          <w:color w:val="000000"/>
          <w:sz w:val="22"/>
          <w:szCs w:val="22"/>
          <w:lang w:eastAsia="es-CR"/>
        </w:rPr>
        <w:t>9. </w:t>
      </w:r>
      <w:r w:rsidRPr="00832773">
        <w:rPr>
          <w:i/>
          <w:iCs/>
          <w:color w:val="000000"/>
          <w:sz w:val="22"/>
          <w:szCs w:val="22"/>
          <w:shd w:val="clear" w:color="auto" w:fill="C5E0B3" w:themeFill="accent6" w:themeFillTint="66"/>
          <w:lang w:eastAsia="es-CR"/>
        </w:rPr>
        <w:t>Se considerarán inestimables los procesos concursales</w:t>
      </w:r>
      <w:r w:rsidRPr="004E74A6">
        <w:rPr>
          <w:i/>
          <w:iCs/>
          <w:color w:val="000000"/>
          <w:sz w:val="22"/>
          <w:szCs w:val="22"/>
          <w:lang w:eastAsia="es-CR"/>
        </w:rPr>
        <w:t xml:space="preserve"> y aquellos que por su naturaleza la cuantía sea de imposible determinación, aunque tuvieran trascendencia económica”.</w:t>
      </w:r>
    </w:p>
    <w:p w14:paraId="010F7061" w14:textId="77777777" w:rsidR="00692F71" w:rsidRPr="004E74A6" w:rsidRDefault="00692F71" w:rsidP="00692F71">
      <w:pPr>
        <w:spacing w:line="240" w:lineRule="auto"/>
        <w:ind w:left="567" w:right="618"/>
        <w:rPr>
          <w:i/>
          <w:iCs/>
          <w:color w:val="000000"/>
          <w:sz w:val="22"/>
          <w:szCs w:val="22"/>
          <w:lang w:eastAsia="es-CR"/>
        </w:rPr>
      </w:pPr>
    </w:p>
    <w:p w14:paraId="739652B1" w14:textId="76A2460A" w:rsidR="00692F71" w:rsidRPr="00832773" w:rsidRDefault="00692F71" w:rsidP="00832773">
      <w:pPr>
        <w:spacing w:line="240" w:lineRule="auto"/>
        <w:ind w:left="567" w:right="618"/>
        <w:rPr>
          <w:i/>
          <w:iCs/>
          <w:color w:val="000000"/>
          <w:sz w:val="22"/>
          <w:szCs w:val="22"/>
          <w:lang w:eastAsia="es-CR"/>
        </w:rPr>
      </w:pPr>
      <w:r w:rsidRPr="004E74A6">
        <w:rPr>
          <w:b/>
          <w:bCs/>
          <w:i/>
          <w:iCs/>
          <w:color w:val="000000"/>
          <w:sz w:val="22"/>
          <w:szCs w:val="22"/>
          <w:lang w:eastAsia="es-CR"/>
        </w:rPr>
        <w:t>“</w:t>
      </w:r>
      <w:r w:rsidRPr="00832773">
        <w:rPr>
          <w:b/>
          <w:bCs/>
          <w:i/>
          <w:iCs/>
          <w:color w:val="000000"/>
          <w:sz w:val="22"/>
          <w:szCs w:val="22"/>
          <w:lang w:eastAsia="es-CR"/>
        </w:rPr>
        <w:t>ARTÍCULO 69.- Recurso de casación</w:t>
      </w:r>
    </w:p>
    <w:p w14:paraId="3EEAA24E" w14:textId="149ADD48" w:rsidR="00692F71" w:rsidRPr="00832773" w:rsidRDefault="00692F71" w:rsidP="00832773">
      <w:pPr>
        <w:spacing w:line="240" w:lineRule="auto"/>
        <w:ind w:left="567" w:right="618"/>
        <w:rPr>
          <w:i/>
          <w:iCs/>
          <w:color w:val="000000"/>
          <w:sz w:val="22"/>
          <w:szCs w:val="22"/>
          <w:lang w:eastAsia="es-CR"/>
        </w:rPr>
      </w:pPr>
      <w:r w:rsidRPr="00832773">
        <w:rPr>
          <w:b/>
          <w:bCs/>
          <w:i/>
          <w:iCs/>
          <w:color w:val="000000"/>
          <w:sz w:val="22"/>
          <w:szCs w:val="22"/>
          <w:lang w:eastAsia="es-CR"/>
        </w:rPr>
        <w:t>69.1 Resoluciones contra las que procede. </w:t>
      </w:r>
      <w:r w:rsidRPr="00832773">
        <w:rPr>
          <w:i/>
          <w:iCs/>
          <w:color w:val="000000"/>
          <w:sz w:val="22"/>
          <w:szCs w:val="22"/>
          <w:shd w:val="clear" w:color="auto" w:fill="C5E0B3" w:themeFill="accent6" w:themeFillTint="66"/>
          <w:lang w:eastAsia="es-CR"/>
        </w:rPr>
        <w:t>El recurso de casación podrá interponerse contra sentencias dictadas en procesos</w:t>
      </w:r>
      <w:r w:rsidRPr="00832773">
        <w:rPr>
          <w:i/>
          <w:iCs/>
          <w:color w:val="000000"/>
          <w:sz w:val="22"/>
          <w:szCs w:val="22"/>
          <w:lang w:eastAsia="es-CR"/>
        </w:rPr>
        <w:t xml:space="preserve"> ordinarios de mayor cuantía o </w:t>
      </w:r>
      <w:r w:rsidRPr="00832773">
        <w:rPr>
          <w:i/>
          <w:iCs/>
          <w:color w:val="000000"/>
          <w:sz w:val="22"/>
          <w:szCs w:val="22"/>
          <w:shd w:val="clear" w:color="auto" w:fill="C5E0B3" w:themeFill="accent6" w:themeFillTint="66"/>
          <w:lang w:eastAsia="es-CR"/>
        </w:rPr>
        <w:t>inestimables</w:t>
      </w:r>
      <w:r w:rsidRPr="00832773">
        <w:rPr>
          <w:i/>
          <w:iCs/>
          <w:color w:val="000000"/>
          <w:sz w:val="22"/>
          <w:szCs w:val="22"/>
          <w:lang w:eastAsia="es-CR"/>
        </w:rPr>
        <w:t xml:space="preserve"> y en los supuestos que la ley señale expresamente. La modificación del monto fijado para establecer la mayor cuantía, luego de iniciado un proceso, no impedirá el acceso al recurso.</w:t>
      </w:r>
    </w:p>
    <w:p w14:paraId="3E5DCC4B" w14:textId="7C1510AB" w:rsidR="00FD4498" w:rsidRPr="00832773" w:rsidRDefault="00FD4498" w:rsidP="00832773">
      <w:pPr>
        <w:spacing w:line="240" w:lineRule="auto"/>
        <w:rPr>
          <w:rFonts w:eastAsia="Calibri"/>
          <w:lang w:eastAsia="en-US"/>
        </w:rPr>
      </w:pPr>
    </w:p>
    <w:p w14:paraId="692E14A2" w14:textId="3E059F98" w:rsidR="00D66CEC" w:rsidRPr="00832773" w:rsidRDefault="00D66CEC" w:rsidP="00CE62C1">
      <w:pPr>
        <w:spacing w:line="276" w:lineRule="auto"/>
        <w:rPr>
          <w:rFonts w:eastAsia="Calibri"/>
          <w:lang w:eastAsia="en-US"/>
        </w:rPr>
      </w:pPr>
    </w:p>
    <w:p w14:paraId="318F000C" w14:textId="05D2604E" w:rsidR="00C0767B" w:rsidRPr="00832773" w:rsidRDefault="00963959" w:rsidP="00CE62C1">
      <w:pPr>
        <w:spacing w:line="276" w:lineRule="auto"/>
        <w:rPr>
          <w:rFonts w:eastAsia="Calibri"/>
          <w:lang w:eastAsia="en-US"/>
        </w:rPr>
      </w:pPr>
      <w:r w:rsidRPr="00832773">
        <w:rPr>
          <w:rFonts w:eastAsia="Calibri"/>
          <w:lang w:eastAsia="en-US"/>
        </w:rPr>
        <w:t xml:space="preserve">El cambio en la </w:t>
      </w:r>
      <w:r w:rsidR="00D22A83" w:rsidRPr="00832773">
        <w:rPr>
          <w:rFonts w:eastAsia="Calibri"/>
          <w:lang w:eastAsia="en-US"/>
        </w:rPr>
        <w:t>cuantía</w:t>
      </w:r>
      <w:r w:rsidRPr="00832773">
        <w:rPr>
          <w:rFonts w:eastAsia="Calibri"/>
          <w:lang w:eastAsia="en-US"/>
        </w:rPr>
        <w:t xml:space="preserve"> tendría impacto eventualmente, según l</w:t>
      </w:r>
      <w:r w:rsidR="00C0767B" w:rsidRPr="00832773">
        <w:rPr>
          <w:rFonts w:eastAsia="Calibri"/>
          <w:lang w:eastAsia="en-US"/>
        </w:rPr>
        <w:t>o</w:t>
      </w:r>
      <w:r w:rsidRPr="00832773">
        <w:rPr>
          <w:rFonts w:eastAsia="Calibri"/>
          <w:lang w:eastAsia="en-US"/>
        </w:rPr>
        <w:t xml:space="preserve"> dispuesto en los</w:t>
      </w:r>
      <w:r w:rsidR="00C0767B" w:rsidRPr="00832773">
        <w:rPr>
          <w:rFonts w:eastAsia="Calibri"/>
          <w:lang w:eastAsia="en-US"/>
        </w:rPr>
        <w:t xml:space="preserve"> artículos 57 y 58 de la Ley Concursal</w:t>
      </w:r>
      <w:r w:rsidRPr="00832773">
        <w:rPr>
          <w:rFonts w:eastAsia="Calibri"/>
          <w:lang w:eastAsia="en-US"/>
        </w:rPr>
        <w:t xml:space="preserve"> respecto al recurso del que dispondrían según algunos incisos de esos artículos, sea apelación o casación: </w:t>
      </w:r>
      <w:r w:rsidR="00C0767B" w:rsidRPr="00832773">
        <w:rPr>
          <w:rFonts w:eastAsia="Calibri"/>
          <w:lang w:eastAsia="en-US"/>
        </w:rPr>
        <w:t xml:space="preserve"> </w:t>
      </w:r>
    </w:p>
    <w:p w14:paraId="54169750" w14:textId="0F41DA42" w:rsidR="00C0767B" w:rsidRPr="00832773" w:rsidRDefault="00C0767B" w:rsidP="00CE62C1">
      <w:pPr>
        <w:spacing w:line="276" w:lineRule="auto"/>
        <w:rPr>
          <w:rFonts w:eastAsia="Calibri"/>
          <w:lang w:eastAsia="en-US"/>
        </w:rPr>
      </w:pPr>
    </w:p>
    <w:p w14:paraId="51423288" w14:textId="348A5D1A" w:rsidR="00C0767B" w:rsidRPr="00832773" w:rsidRDefault="00C0767B" w:rsidP="00832773">
      <w:pPr>
        <w:spacing w:line="276" w:lineRule="auto"/>
        <w:ind w:left="567" w:right="618"/>
        <w:rPr>
          <w:i/>
          <w:iCs/>
          <w:color w:val="000000"/>
          <w:sz w:val="22"/>
          <w:szCs w:val="22"/>
        </w:rPr>
      </w:pPr>
      <w:r w:rsidRPr="00832773">
        <w:rPr>
          <w:b/>
          <w:bCs/>
          <w:i/>
          <w:iCs/>
          <w:color w:val="000000"/>
          <w:sz w:val="22"/>
          <w:szCs w:val="22"/>
        </w:rPr>
        <w:lastRenderedPageBreak/>
        <w:t>ARTÍCULO 57- Apelación.</w:t>
      </w:r>
      <w:r w:rsidRPr="004E74A6">
        <w:rPr>
          <w:i/>
          <w:iCs/>
          <w:color w:val="000000"/>
          <w:sz w:val="22"/>
          <w:szCs w:val="22"/>
        </w:rPr>
        <w:t xml:space="preserve"> </w:t>
      </w:r>
      <w:r w:rsidRPr="00832773">
        <w:rPr>
          <w:i/>
          <w:iCs/>
          <w:color w:val="000000"/>
          <w:sz w:val="22"/>
          <w:szCs w:val="22"/>
        </w:rPr>
        <w:t>Sin perjuicio de lo establecido para casos especiales expresamente previstos por esta ley, solo serán apelables las resoluciones del juzgado concursal de primera instancia que:</w:t>
      </w:r>
    </w:p>
    <w:p w14:paraId="611B390C" w14:textId="77777777" w:rsidR="00C0767B" w:rsidRPr="00832773" w:rsidRDefault="00C0767B" w:rsidP="00832773">
      <w:pPr>
        <w:spacing w:line="276" w:lineRule="auto"/>
        <w:ind w:left="567" w:right="618"/>
        <w:rPr>
          <w:i/>
          <w:iCs/>
          <w:color w:val="000000"/>
          <w:sz w:val="22"/>
          <w:szCs w:val="22"/>
        </w:rPr>
      </w:pPr>
      <w:r w:rsidRPr="00832773">
        <w:rPr>
          <w:i/>
          <w:iCs/>
          <w:color w:val="000000"/>
          <w:sz w:val="22"/>
          <w:szCs w:val="22"/>
        </w:rPr>
        <w:t>1) Rechacen la representación de alguna de las partes.</w:t>
      </w:r>
    </w:p>
    <w:p w14:paraId="7A518744" w14:textId="77777777" w:rsidR="00C0767B" w:rsidRPr="00832773" w:rsidRDefault="00C0767B" w:rsidP="00832773">
      <w:pPr>
        <w:spacing w:line="276" w:lineRule="auto"/>
        <w:ind w:left="567" w:right="618"/>
        <w:rPr>
          <w:i/>
          <w:iCs/>
          <w:color w:val="000000"/>
          <w:sz w:val="22"/>
          <w:szCs w:val="22"/>
        </w:rPr>
      </w:pPr>
      <w:r w:rsidRPr="00832773">
        <w:rPr>
          <w:i/>
          <w:iCs/>
          <w:color w:val="000000"/>
          <w:sz w:val="22"/>
          <w:szCs w:val="22"/>
        </w:rPr>
        <w:t>2) Decreten la suspensión o interrupción del proceso.</w:t>
      </w:r>
    </w:p>
    <w:p w14:paraId="55C0982B" w14:textId="77777777" w:rsidR="00C0767B" w:rsidRPr="00832773" w:rsidRDefault="00C0767B" w:rsidP="00832773">
      <w:pPr>
        <w:spacing w:line="276" w:lineRule="auto"/>
        <w:ind w:left="567" w:right="618"/>
        <w:rPr>
          <w:i/>
          <w:iCs/>
          <w:color w:val="000000"/>
          <w:sz w:val="22"/>
          <w:szCs w:val="22"/>
        </w:rPr>
      </w:pPr>
      <w:r w:rsidRPr="00832773">
        <w:rPr>
          <w:i/>
          <w:iCs/>
          <w:color w:val="000000"/>
          <w:sz w:val="22"/>
          <w:szCs w:val="22"/>
        </w:rPr>
        <w:t>3) Se pronuncien sobre la solicitud de concesión, modificación, sustitución o levantamiento de una medida cautelar o tutelar, en concursos nacionales o transfronterizos.</w:t>
      </w:r>
    </w:p>
    <w:p w14:paraId="3B16B303" w14:textId="77777777" w:rsidR="00C0767B" w:rsidRPr="00832773" w:rsidRDefault="00C0767B" w:rsidP="00832773">
      <w:pPr>
        <w:spacing w:line="276" w:lineRule="auto"/>
        <w:ind w:left="567" w:right="618"/>
        <w:rPr>
          <w:i/>
          <w:iCs/>
          <w:color w:val="000000"/>
          <w:sz w:val="22"/>
          <w:szCs w:val="22"/>
        </w:rPr>
      </w:pPr>
      <w:r w:rsidRPr="00832773">
        <w:rPr>
          <w:i/>
          <w:iCs/>
          <w:color w:val="000000"/>
          <w:sz w:val="22"/>
          <w:szCs w:val="22"/>
        </w:rPr>
        <w:t>4) Declaren con lugar excepciones procesales.</w:t>
      </w:r>
    </w:p>
    <w:p w14:paraId="1D96F401" w14:textId="77777777" w:rsidR="00C0767B" w:rsidRPr="00832773" w:rsidRDefault="00C0767B" w:rsidP="00832773">
      <w:pPr>
        <w:spacing w:line="276" w:lineRule="auto"/>
        <w:ind w:left="567" w:right="618"/>
        <w:rPr>
          <w:i/>
          <w:iCs/>
          <w:color w:val="000000"/>
          <w:sz w:val="22"/>
          <w:szCs w:val="22"/>
        </w:rPr>
      </w:pPr>
      <w:r w:rsidRPr="00832773">
        <w:rPr>
          <w:i/>
          <w:iCs/>
          <w:color w:val="000000"/>
          <w:sz w:val="22"/>
          <w:szCs w:val="22"/>
        </w:rPr>
        <w:t>5) Resuelvan sobre la acumulación o desacumulación de procesos.</w:t>
      </w:r>
    </w:p>
    <w:p w14:paraId="132456D9" w14:textId="77777777" w:rsidR="00C0767B" w:rsidRPr="00832773" w:rsidRDefault="00C0767B" w:rsidP="00832773">
      <w:pPr>
        <w:spacing w:line="276" w:lineRule="auto"/>
        <w:ind w:left="567" w:right="618"/>
        <w:rPr>
          <w:i/>
          <w:iCs/>
          <w:color w:val="000000"/>
          <w:sz w:val="22"/>
          <w:szCs w:val="22"/>
        </w:rPr>
      </w:pPr>
      <w:r w:rsidRPr="00832773">
        <w:rPr>
          <w:i/>
          <w:iCs/>
          <w:color w:val="000000"/>
          <w:sz w:val="22"/>
          <w:szCs w:val="22"/>
        </w:rPr>
        <w:t>6) Decidan sobre la intervención de sucesores procesales o terceros.</w:t>
      </w:r>
    </w:p>
    <w:p w14:paraId="349F5499" w14:textId="77777777" w:rsidR="00C0767B" w:rsidRPr="00832773" w:rsidRDefault="00C0767B" w:rsidP="00832773">
      <w:pPr>
        <w:spacing w:line="276" w:lineRule="auto"/>
        <w:ind w:left="567" w:right="618"/>
        <w:rPr>
          <w:i/>
          <w:iCs/>
          <w:color w:val="000000"/>
          <w:sz w:val="22"/>
          <w:szCs w:val="22"/>
        </w:rPr>
      </w:pPr>
      <w:r w:rsidRPr="00832773">
        <w:rPr>
          <w:i/>
          <w:iCs/>
          <w:color w:val="000000"/>
          <w:sz w:val="22"/>
          <w:szCs w:val="22"/>
        </w:rPr>
        <w:t>7) Decreten la nulidad de actuaciones procesales.</w:t>
      </w:r>
    </w:p>
    <w:p w14:paraId="63A3CCD6" w14:textId="77777777" w:rsidR="00C0767B" w:rsidRPr="00832773" w:rsidRDefault="00C0767B" w:rsidP="00832773">
      <w:pPr>
        <w:spacing w:line="276" w:lineRule="auto"/>
        <w:ind w:left="567" w:right="618"/>
        <w:rPr>
          <w:i/>
          <w:iCs/>
          <w:color w:val="000000"/>
          <w:sz w:val="22"/>
          <w:szCs w:val="22"/>
        </w:rPr>
      </w:pPr>
      <w:r w:rsidRPr="00832773">
        <w:rPr>
          <w:i/>
          <w:iCs/>
          <w:color w:val="000000"/>
          <w:sz w:val="22"/>
          <w:szCs w:val="22"/>
        </w:rPr>
        <w:t>8) Rechacen la apertura del concurso o denieguen su extensión.</w:t>
      </w:r>
    </w:p>
    <w:p w14:paraId="06C0C070" w14:textId="77777777" w:rsidR="00C0767B" w:rsidRPr="00832773" w:rsidRDefault="00C0767B" w:rsidP="00832773">
      <w:pPr>
        <w:spacing w:line="276" w:lineRule="auto"/>
        <w:ind w:left="567" w:right="618"/>
        <w:rPr>
          <w:i/>
          <w:iCs/>
          <w:color w:val="000000"/>
          <w:sz w:val="22"/>
          <w:szCs w:val="22"/>
        </w:rPr>
      </w:pPr>
      <w:r w:rsidRPr="00832773">
        <w:rPr>
          <w:i/>
          <w:iCs/>
          <w:color w:val="000000"/>
          <w:sz w:val="22"/>
          <w:szCs w:val="22"/>
        </w:rPr>
        <w:t>9) Pongan fin al proceso o denieguen su conclusión.</w:t>
      </w:r>
    </w:p>
    <w:p w14:paraId="2F33F559" w14:textId="77777777" w:rsidR="00C0767B" w:rsidRPr="00832773" w:rsidRDefault="00C0767B" w:rsidP="00832773">
      <w:pPr>
        <w:spacing w:line="276" w:lineRule="auto"/>
        <w:ind w:left="567" w:right="618"/>
        <w:rPr>
          <w:i/>
          <w:iCs/>
          <w:color w:val="000000"/>
          <w:sz w:val="22"/>
          <w:szCs w:val="22"/>
        </w:rPr>
      </w:pPr>
      <w:r w:rsidRPr="00832773">
        <w:rPr>
          <w:i/>
          <w:iCs/>
          <w:color w:val="000000"/>
          <w:sz w:val="22"/>
          <w:szCs w:val="22"/>
        </w:rPr>
        <w:t>10) Resuelvan inclusiones u objeciones al activo concursal, incluido su avalúo, siempre que lo discutido supere el monto establecido para la mayor cuantía de los procesos civiles.</w:t>
      </w:r>
    </w:p>
    <w:p w14:paraId="095E24F5" w14:textId="77777777" w:rsidR="00C0767B" w:rsidRPr="00832773" w:rsidRDefault="00C0767B" w:rsidP="00832773">
      <w:pPr>
        <w:spacing w:line="276" w:lineRule="auto"/>
        <w:ind w:left="567" w:right="618"/>
        <w:rPr>
          <w:i/>
          <w:iCs/>
          <w:color w:val="000000"/>
          <w:sz w:val="22"/>
          <w:szCs w:val="22"/>
        </w:rPr>
      </w:pPr>
      <w:r w:rsidRPr="00832773">
        <w:rPr>
          <w:i/>
          <w:iCs/>
          <w:color w:val="000000"/>
          <w:sz w:val="22"/>
          <w:szCs w:val="22"/>
        </w:rPr>
        <w:t>11) Decidan reclamos de terceros respecto de los bienes inventariados o administrados en el concurso.</w:t>
      </w:r>
    </w:p>
    <w:p w14:paraId="0BDC68DF" w14:textId="77777777" w:rsidR="00C0767B" w:rsidRPr="00832773" w:rsidRDefault="00C0767B" w:rsidP="00832773">
      <w:pPr>
        <w:spacing w:line="276" w:lineRule="auto"/>
        <w:ind w:left="567" w:right="618"/>
        <w:rPr>
          <w:i/>
          <w:iCs/>
          <w:color w:val="000000"/>
          <w:sz w:val="22"/>
          <w:szCs w:val="22"/>
        </w:rPr>
      </w:pPr>
      <w:r w:rsidRPr="00832773">
        <w:rPr>
          <w:i/>
          <w:iCs/>
          <w:color w:val="000000"/>
          <w:sz w:val="22"/>
          <w:szCs w:val="22"/>
        </w:rPr>
        <w:t>12) Fijen o denieguen honorarios.</w:t>
      </w:r>
    </w:p>
    <w:p w14:paraId="7709F9F9" w14:textId="77777777" w:rsidR="00C0767B" w:rsidRPr="00832773" w:rsidRDefault="00C0767B" w:rsidP="00832773">
      <w:pPr>
        <w:spacing w:line="276" w:lineRule="auto"/>
        <w:ind w:left="567" w:right="618"/>
        <w:rPr>
          <w:i/>
          <w:iCs/>
          <w:color w:val="000000"/>
          <w:sz w:val="22"/>
          <w:szCs w:val="22"/>
        </w:rPr>
      </w:pPr>
      <w:r w:rsidRPr="00832773">
        <w:rPr>
          <w:i/>
          <w:iCs/>
          <w:color w:val="000000"/>
          <w:sz w:val="22"/>
          <w:szCs w:val="22"/>
        </w:rPr>
        <w:t>13) Dispongan sobre la remoción del administrador, interventor o liquidador concursal.</w:t>
      </w:r>
    </w:p>
    <w:p w14:paraId="0C059807" w14:textId="77777777" w:rsidR="00C0767B" w:rsidRPr="00832773" w:rsidRDefault="00C0767B" w:rsidP="00832773">
      <w:pPr>
        <w:spacing w:line="276" w:lineRule="auto"/>
        <w:ind w:left="567" w:right="618"/>
        <w:rPr>
          <w:i/>
          <w:iCs/>
          <w:color w:val="000000"/>
          <w:sz w:val="22"/>
          <w:szCs w:val="22"/>
        </w:rPr>
      </w:pPr>
      <w:r w:rsidRPr="00832773">
        <w:rPr>
          <w:i/>
          <w:iCs/>
          <w:color w:val="000000"/>
          <w:sz w:val="22"/>
          <w:szCs w:val="22"/>
        </w:rPr>
        <w:t>14) Decidan sobre la continuidad, variación o cesación de la actividad empresarial del concursado.</w:t>
      </w:r>
    </w:p>
    <w:p w14:paraId="74F774AA" w14:textId="77777777" w:rsidR="00C0767B" w:rsidRPr="00832773" w:rsidRDefault="00C0767B" w:rsidP="00832773">
      <w:pPr>
        <w:spacing w:line="276" w:lineRule="auto"/>
        <w:ind w:left="567" w:right="618"/>
        <w:rPr>
          <w:i/>
          <w:iCs/>
          <w:color w:val="000000"/>
          <w:sz w:val="22"/>
          <w:szCs w:val="22"/>
        </w:rPr>
      </w:pPr>
      <w:r w:rsidRPr="00832773">
        <w:rPr>
          <w:i/>
          <w:iCs/>
          <w:color w:val="000000"/>
          <w:sz w:val="22"/>
          <w:szCs w:val="22"/>
        </w:rPr>
        <w:t>15) Dispongan la pérdida, suspensión o limitación de las facultades del concursado o sus representantes para administrar los bienes del concurso.</w:t>
      </w:r>
    </w:p>
    <w:p w14:paraId="3F4C6C7E" w14:textId="77777777" w:rsidR="00C0767B" w:rsidRPr="00832773" w:rsidRDefault="00C0767B" w:rsidP="00832773">
      <w:pPr>
        <w:spacing w:line="276" w:lineRule="auto"/>
        <w:ind w:left="567" w:right="618"/>
        <w:rPr>
          <w:i/>
          <w:iCs/>
          <w:color w:val="000000"/>
          <w:sz w:val="22"/>
          <w:szCs w:val="22"/>
        </w:rPr>
      </w:pPr>
      <w:r w:rsidRPr="00832773">
        <w:rPr>
          <w:i/>
          <w:iCs/>
          <w:color w:val="000000"/>
          <w:sz w:val="22"/>
          <w:szCs w:val="22"/>
        </w:rPr>
        <w:t>16) Decidan la solicitud de resolución, continuación o cumplimiento forzoso de contratos en los que participe el concursado, cuando el valor de las prestaciones supere la suma prevista para mayor cuantía de los procesos civiles o sean inestimables.</w:t>
      </w:r>
    </w:p>
    <w:p w14:paraId="5F69255A" w14:textId="77777777" w:rsidR="00C0767B" w:rsidRPr="00832773" w:rsidRDefault="00C0767B" w:rsidP="00832773">
      <w:pPr>
        <w:shd w:val="clear" w:color="auto" w:fill="C5E0B3" w:themeFill="accent6" w:themeFillTint="66"/>
        <w:spacing w:line="276" w:lineRule="auto"/>
        <w:ind w:left="567" w:right="618"/>
        <w:rPr>
          <w:i/>
          <w:iCs/>
          <w:color w:val="000000"/>
          <w:sz w:val="22"/>
          <w:szCs w:val="22"/>
        </w:rPr>
      </w:pPr>
      <w:r w:rsidRPr="00832773">
        <w:rPr>
          <w:i/>
          <w:iCs/>
          <w:color w:val="000000"/>
          <w:sz w:val="22"/>
          <w:szCs w:val="22"/>
        </w:rPr>
        <w:t>17) Se pronuncien sobre la nulidad o ineficacia frente al concurso, de actos y contratos de menor cuantía.</w:t>
      </w:r>
    </w:p>
    <w:p w14:paraId="01B7600C" w14:textId="77777777" w:rsidR="00C0767B" w:rsidRPr="00832773" w:rsidRDefault="00C0767B" w:rsidP="00832773">
      <w:pPr>
        <w:spacing w:line="276" w:lineRule="auto"/>
        <w:ind w:left="567" w:right="618"/>
        <w:rPr>
          <w:i/>
          <w:iCs/>
          <w:color w:val="000000"/>
          <w:sz w:val="22"/>
          <w:szCs w:val="22"/>
        </w:rPr>
      </w:pPr>
      <w:r w:rsidRPr="00832773">
        <w:rPr>
          <w:i/>
          <w:iCs/>
          <w:color w:val="000000"/>
          <w:sz w:val="22"/>
          <w:szCs w:val="22"/>
        </w:rPr>
        <w:t>18) Decidan la pretensión alimentaria a cargo de la masa y a favor del concursado o las personas a quienes este deba alimentos.</w:t>
      </w:r>
    </w:p>
    <w:p w14:paraId="7313D02B" w14:textId="77777777" w:rsidR="00C0767B" w:rsidRPr="00832773" w:rsidRDefault="00C0767B" w:rsidP="00832773">
      <w:pPr>
        <w:spacing w:line="276" w:lineRule="auto"/>
        <w:ind w:left="567" w:right="618"/>
        <w:rPr>
          <w:i/>
          <w:iCs/>
          <w:color w:val="000000"/>
          <w:sz w:val="22"/>
          <w:szCs w:val="22"/>
        </w:rPr>
      </w:pPr>
      <w:r w:rsidRPr="00832773">
        <w:rPr>
          <w:i/>
          <w:iCs/>
          <w:color w:val="000000"/>
          <w:sz w:val="22"/>
          <w:szCs w:val="22"/>
        </w:rPr>
        <w:t>19) Se pronuncien sobre la aprobación o el rechazo de acuerdos de solución concursal, así como sus modificaciones. Solo podrán impugnar la aprobación, quienes se hubieran opuesto expresamente, en tiempo y forma, a la propuesta o acuerdo. Si se celebró junta para la aprobación, será necesario que el apelante haya asistido a ella y votado en contra de la propuesta.</w:t>
      </w:r>
    </w:p>
    <w:p w14:paraId="7FC785E5" w14:textId="77777777" w:rsidR="00C0767B" w:rsidRPr="00832773" w:rsidRDefault="00C0767B" w:rsidP="00832773">
      <w:pPr>
        <w:spacing w:line="276" w:lineRule="auto"/>
        <w:ind w:left="567" w:right="618"/>
        <w:rPr>
          <w:i/>
          <w:iCs/>
          <w:color w:val="000000"/>
          <w:sz w:val="22"/>
          <w:szCs w:val="22"/>
        </w:rPr>
      </w:pPr>
      <w:r w:rsidRPr="00832773">
        <w:rPr>
          <w:i/>
          <w:iCs/>
          <w:color w:val="000000"/>
          <w:sz w:val="22"/>
          <w:szCs w:val="22"/>
        </w:rPr>
        <w:t>20) Decidan sobre la nulidad, cumplimiento íntegro, cumplimiento forzoso o resolución de acuerdos concursales.</w:t>
      </w:r>
    </w:p>
    <w:p w14:paraId="5CD1B25F" w14:textId="77777777" w:rsidR="00C0767B" w:rsidRPr="00832773" w:rsidRDefault="00C0767B" w:rsidP="00832773">
      <w:pPr>
        <w:spacing w:line="276" w:lineRule="auto"/>
        <w:ind w:left="567" w:right="618"/>
        <w:rPr>
          <w:i/>
          <w:iCs/>
          <w:color w:val="000000"/>
          <w:sz w:val="22"/>
          <w:szCs w:val="22"/>
        </w:rPr>
      </w:pPr>
      <w:r w:rsidRPr="00832773">
        <w:rPr>
          <w:i/>
          <w:iCs/>
          <w:color w:val="000000"/>
          <w:sz w:val="22"/>
          <w:szCs w:val="22"/>
        </w:rPr>
        <w:t>21) Dispongan la apertura de la fase de liquidación del patrimonio concursado.</w:t>
      </w:r>
    </w:p>
    <w:p w14:paraId="7A189949" w14:textId="77777777" w:rsidR="00C0767B" w:rsidRPr="00832773" w:rsidRDefault="00C0767B" w:rsidP="00832773">
      <w:pPr>
        <w:spacing w:line="276" w:lineRule="auto"/>
        <w:ind w:left="567" w:right="618"/>
        <w:rPr>
          <w:i/>
          <w:iCs/>
          <w:color w:val="000000"/>
          <w:sz w:val="22"/>
          <w:szCs w:val="22"/>
        </w:rPr>
      </w:pPr>
      <w:r w:rsidRPr="00832773">
        <w:rPr>
          <w:i/>
          <w:iCs/>
          <w:color w:val="000000"/>
          <w:sz w:val="22"/>
          <w:szCs w:val="22"/>
        </w:rPr>
        <w:lastRenderedPageBreak/>
        <w:t>22) Ordenen, denieguen o aprueben la venta judicial o extrajudicial de bienes concursados con un valor de mayor cuantía y se encuentren afectos a un crédito concursal con privilegio especial.</w:t>
      </w:r>
    </w:p>
    <w:p w14:paraId="2AC33E5B" w14:textId="77777777" w:rsidR="00C0767B" w:rsidRPr="00832773" w:rsidRDefault="00C0767B" w:rsidP="00832773">
      <w:pPr>
        <w:shd w:val="clear" w:color="auto" w:fill="C5E0B3" w:themeFill="accent6" w:themeFillTint="66"/>
        <w:spacing w:line="276" w:lineRule="auto"/>
        <w:ind w:left="567" w:right="618"/>
        <w:rPr>
          <w:i/>
          <w:iCs/>
          <w:color w:val="000000"/>
          <w:sz w:val="22"/>
          <w:szCs w:val="22"/>
        </w:rPr>
      </w:pPr>
      <w:r w:rsidRPr="00832773">
        <w:rPr>
          <w:i/>
          <w:iCs/>
          <w:color w:val="000000"/>
          <w:sz w:val="22"/>
          <w:szCs w:val="22"/>
        </w:rPr>
        <w:t>23) Resuelvan por el fondo sobre el reconocimiento de créditos de menor cuantía concursales o a cargo de la masa, que hayan sido controvertidos.</w:t>
      </w:r>
    </w:p>
    <w:p w14:paraId="5ACF742B" w14:textId="77777777" w:rsidR="00C0767B" w:rsidRPr="00832773" w:rsidRDefault="00C0767B" w:rsidP="00832773">
      <w:pPr>
        <w:spacing w:line="276" w:lineRule="auto"/>
        <w:ind w:left="567" w:right="618"/>
        <w:rPr>
          <w:i/>
          <w:iCs/>
          <w:color w:val="000000"/>
          <w:sz w:val="22"/>
          <w:szCs w:val="22"/>
        </w:rPr>
      </w:pPr>
      <w:r w:rsidRPr="00832773">
        <w:rPr>
          <w:i/>
          <w:iCs/>
          <w:color w:val="000000"/>
          <w:sz w:val="22"/>
          <w:szCs w:val="22"/>
        </w:rPr>
        <w:t>24) Decidan incidentes sobre la extinción, por cualquier causa, de créditos admitidos dentro del concurso.</w:t>
      </w:r>
    </w:p>
    <w:p w14:paraId="5021EF87" w14:textId="77777777" w:rsidR="00C0767B" w:rsidRPr="00832773" w:rsidRDefault="00C0767B" w:rsidP="00832773">
      <w:pPr>
        <w:spacing w:line="276" w:lineRule="auto"/>
        <w:ind w:left="567" w:right="618"/>
        <w:rPr>
          <w:i/>
          <w:iCs/>
          <w:color w:val="000000"/>
          <w:sz w:val="22"/>
          <w:szCs w:val="22"/>
        </w:rPr>
      </w:pPr>
      <w:r w:rsidRPr="00832773">
        <w:rPr>
          <w:i/>
          <w:iCs/>
          <w:color w:val="000000"/>
          <w:sz w:val="22"/>
          <w:szCs w:val="22"/>
        </w:rPr>
        <w:t>25) Dispongan o denieguen el pago de créditos concursales o a cargo de la masa.</w:t>
      </w:r>
    </w:p>
    <w:p w14:paraId="2C0B4F31" w14:textId="77777777" w:rsidR="00C0767B" w:rsidRPr="00832773" w:rsidRDefault="00C0767B" w:rsidP="00832773">
      <w:pPr>
        <w:shd w:val="clear" w:color="auto" w:fill="C5E0B3" w:themeFill="accent6" w:themeFillTint="66"/>
        <w:spacing w:line="276" w:lineRule="auto"/>
        <w:ind w:left="567" w:right="618"/>
        <w:rPr>
          <w:i/>
          <w:iCs/>
          <w:color w:val="000000"/>
          <w:sz w:val="22"/>
          <w:szCs w:val="22"/>
        </w:rPr>
      </w:pPr>
      <w:r w:rsidRPr="00832773">
        <w:rPr>
          <w:i/>
          <w:iCs/>
          <w:color w:val="000000"/>
          <w:sz w:val="22"/>
          <w:szCs w:val="22"/>
        </w:rPr>
        <w:t>26) Resuelvan liquidaciones de intereses de mayor cuantía, cuando la ley admita su cobro dentro del concurso.</w:t>
      </w:r>
    </w:p>
    <w:p w14:paraId="4EBBE759" w14:textId="77777777" w:rsidR="00C0767B" w:rsidRPr="00832773" w:rsidRDefault="00C0767B" w:rsidP="00832773">
      <w:pPr>
        <w:spacing w:line="276" w:lineRule="auto"/>
        <w:ind w:left="567" w:right="618"/>
        <w:rPr>
          <w:i/>
          <w:iCs/>
          <w:color w:val="000000"/>
          <w:sz w:val="22"/>
          <w:szCs w:val="22"/>
        </w:rPr>
      </w:pPr>
      <w:r w:rsidRPr="00832773">
        <w:rPr>
          <w:i/>
          <w:iCs/>
          <w:color w:val="000000"/>
          <w:sz w:val="22"/>
          <w:szCs w:val="22"/>
        </w:rPr>
        <w:t>27) Resuelvan sobre la responsabilidad patrimonial solidaria o concurrente de otras personas, respecto de pasivos del concurso.</w:t>
      </w:r>
    </w:p>
    <w:p w14:paraId="390CACB4" w14:textId="77777777" w:rsidR="00C0767B" w:rsidRPr="00832773" w:rsidRDefault="00C0767B" w:rsidP="00832773">
      <w:pPr>
        <w:spacing w:line="276" w:lineRule="auto"/>
        <w:ind w:left="567" w:right="618"/>
        <w:rPr>
          <w:i/>
          <w:iCs/>
          <w:color w:val="000000"/>
          <w:sz w:val="22"/>
          <w:szCs w:val="22"/>
        </w:rPr>
      </w:pPr>
      <w:r w:rsidRPr="00832773">
        <w:rPr>
          <w:i/>
          <w:iCs/>
          <w:color w:val="000000"/>
          <w:sz w:val="22"/>
          <w:szCs w:val="22"/>
        </w:rPr>
        <w:t>28) Resuelvan en forma definitiva sobre la rendición de cuentas o responsabilidad frente al concurso, de administradores, interventores o liquidadores concursales.</w:t>
      </w:r>
    </w:p>
    <w:p w14:paraId="59BA9408" w14:textId="77777777" w:rsidR="00C0767B" w:rsidRPr="00832773" w:rsidRDefault="00C0767B" w:rsidP="00832773">
      <w:pPr>
        <w:spacing w:line="276" w:lineRule="auto"/>
        <w:ind w:left="567" w:right="618"/>
        <w:rPr>
          <w:i/>
          <w:iCs/>
          <w:color w:val="000000"/>
          <w:sz w:val="22"/>
          <w:szCs w:val="22"/>
        </w:rPr>
      </w:pPr>
      <w:r w:rsidRPr="00832773">
        <w:rPr>
          <w:i/>
          <w:iCs/>
          <w:color w:val="000000"/>
          <w:sz w:val="22"/>
          <w:szCs w:val="22"/>
        </w:rPr>
        <w:t>29) Modifiquen la condición de procesos principales o secundarios en relación con concursos transfronterizos paralelos.</w:t>
      </w:r>
    </w:p>
    <w:p w14:paraId="2301EA3E" w14:textId="77777777" w:rsidR="00C0767B" w:rsidRPr="00832773" w:rsidRDefault="00C0767B" w:rsidP="00832773">
      <w:pPr>
        <w:spacing w:line="276" w:lineRule="auto"/>
        <w:ind w:left="567" w:right="618"/>
        <w:rPr>
          <w:i/>
          <w:iCs/>
          <w:color w:val="000000"/>
          <w:sz w:val="22"/>
          <w:szCs w:val="22"/>
        </w:rPr>
      </w:pPr>
      <w:r w:rsidRPr="00832773">
        <w:rPr>
          <w:i/>
          <w:iCs/>
          <w:color w:val="000000"/>
          <w:sz w:val="22"/>
          <w:szCs w:val="22"/>
        </w:rPr>
        <w:t>30) Se pronuncien sobre la reapertura del concurso.</w:t>
      </w:r>
    </w:p>
    <w:p w14:paraId="32F06F85" w14:textId="77777777" w:rsidR="003A60A5" w:rsidRPr="004E74A6" w:rsidRDefault="003A60A5" w:rsidP="008C46B2">
      <w:pPr>
        <w:spacing w:line="276" w:lineRule="auto"/>
        <w:rPr>
          <w:rFonts w:ascii="Verdana" w:hAnsi="Verdana"/>
          <w:color w:val="000000"/>
          <w:sz w:val="20"/>
        </w:rPr>
      </w:pPr>
    </w:p>
    <w:p w14:paraId="0EA7EB7A" w14:textId="64A93D1E" w:rsidR="00C0767B" w:rsidRPr="00832773" w:rsidRDefault="00C0767B" w:rsidP="00832773">
      <w:pPr>
        <w:spacing w:line="276" w:lineRule="auto"/>
        <w:ind w:left="567" w:right="618"/>
        <w:rPr>
          <w:i/>
          <w:iCs/>
          <w:color w:val="000000"/>
          <w:sz w:val="22"/>
          <w:szCs w:val="22"/>
        </w:rPr>
      </w:pPr>
      <w:r w:rsidRPr="00832773">
        <w:rPr>
          <w:b/>
          <w:bCs/>
          <w:i/>
          <w:iCs/>
          <w:color w:val="000000"/>
          <w:sz w:val="22"/>
          <w:szCs w:val="22"/>
        </w:rPr>
        <w:t>ARTÍCULO 58- Recurso de casación.</w:t>
      </w:r>
      <w:r w:rsidRPr="004E74A6">
        <w:rPr>
          <w:b/>
          <w:bCs/>
          <w:i/>
          <w:iCs/>
          <w:color w:val="000000"/>
          <w:sz w:val="22"/>
          <w:szCs w:val="22"/>
        </w:rPr>
        <w:t xml:space="preserve"> </w:t>
      </w:r>
      <w:r w:rsidRPr="00832773">
        <w:rPr>
          <w:i/>
          <w:iCs/>
          <w:color w:val="000000"/>
          <w:sz w:val="22"/>
          <w:szCs w:val="22"/>
        </w:rPr>
        <w:t>Admitirán únicamente el recurso de casación, las resoluciones del Juzgado Concursal de primera instancia que:</w:t>
      </w:r>
    </w:p>
    <w:p w14:paraId="5C644888" w14:textId="77777777" w:rsidR="00C0767B" w:rsidRPr="00832773" w:rsidRDefault="00C0767B" w:rsidP="00832773">
      <w:pPr>
        <w:spacing w:line="276" w:lineRule="auto"/>
        <w:ind w:left="567" w:right="618"/>
        <w:rPr>
          <w:i/>
          <w:iCs/>
          <w:color w:val="000000"/>
          <w:sz w:val="22"/>
          <w:szCs w:val="22"/>
        </w:rPr>
      </w:pPr>
      <w:r w:rsidRPr="00832773">
        <w:rPr>
          <w:i/>
          <w:iCs/>
          <w:color w:val="000000"/>
          <w:sz w:val="22"/>
          <w:szCs w:val="22"/>
        </w:rPr>
        <w:t>1) Declaren la apertura del concurso o admitan su extensión.</w:t>
      </w:r>
    </w:p>
    <w:p w14:paraId="340DF42F" w14:textId="77777777" w:rsidR="00C0767B" w:rsidRPr="00832773" w:rsidRDefault="00C0767B" w:rsidP="00832773">
      <w:pPr>
        <w:shd w:val="clear" w:color="auto" w:fill="C5E0B3" w:themeFill="accent6" w:themeFillTint="66"/>
        <w:spacing w:line="276" w:lineRule="auto"/>
        <w:ind w:left="567" w:right="618"/>
        <w:rPr>
          <w:i/>
          <w:iCs/>
          <w:color w:val="000000"/>
          <w:sz w:val="22"/>
          <w:szCs w:val="22"/>
        </w:rPr>
      </w:pPr>
      <w:r w:rsidRPr="00832773">
        <w:rPr>
          <w:i/>
          <w:iCs/>
          <w:color w:val="000000"/>
          <w:sz w:val="22"/>
          <w:szCs w:val="22"/>
        </w:rPr>
        <w:t>2) Se pronuncien sobre la nulidad o ineficacia frente al concurso, de actos y contratos de mayor cuantía o inestimables.</w:t>
      </w:r>
    </w:p>
    <w:p w14:paraId="1D06EE6F" w14:textId="77777777" w:rsidR="00C0767B" w:rsidRPr="00832773" w:rsidRDefault="00C0767B" w:rsidP="00832773">
      <w:pPr>
        <w:shd w:val="clear" w:color="auto" w:fill="C5E0B3" w:themeFill="accent6" w:themeFillTint="66"/>
        <w:spacing w:line="276" w:lineRule="auto"/>
        <w:ind w:left="567" w:right="618"/>
        <w:rPr>
          <w:i/>
          <w:iCs/>
          <w:color w:val="000000"/>
          <w:sz w:val="22"/>
          <w:szCs w:val="22"/>
        </w:rPr>
      </w:pPr>
      <w:r w:rsidRPr="00832773">
        <w:rPr>
          <w:i/>
          <w:iCs/>
          <w:color w:val="000000"/>
          <w:sz w:val="22"/>
          <w:szCs w:val="22"/>
        </w:rPr>
        <w:t>3) Se pronuncien por el fondo sobre el reconocimiento de créditos concursales o a cargo de la masa, de mayor cuantía, que hayan sido controvertidos.</w:t>
      </w:r>
    </w:p>
    <w:p w14:paraId="6C5EC182" w14:textId="50BF09BA" w:rsidR="00C0767B" w:rsidRPr="00832773" w:rsidRDefault="00C0767B" w:rsidP="00CE62C1">
      <w:pPr>
        <w:spacing w:line="276" w:lineRule="auto"/>
        <w:rPr>
          <w:rFonts w:eastAsia="Calibri"/>
          <w:lang w:eastAsia="en-US"/>
        </w:rPr>
      </w:pPr>
    </w:p>
    <w:p w14:paraId="68056E84" w14:textId="4200DBA1" w:rsidR="008C46B2" w:rsidRPr="00832773" w:rsidRDefault="008C46B2" w:rsidP="00CE62C1">
      <w:pPr>
        <w:spacing w:line="276" w:lineRule="auto"/>
        <w:rPr>
          <w:rFonts w:eastAsia="Calibri"/>
          <w:lang w:eastAsia="en-US"/>
        </w:rPr>
      </w:pPr>
    </w:p>
    <w:p w14:paraId="77A7FA14" w14:textId="31FE2BEF" w:rsidR="00762AD8" w:rsidRDefault="00762AD8" w:rsidP="00762AD8">
      <w:pPr>
        <w:spacing w:line="276" w:lineRule="auto"/>
        <w:rPr>
          <w:rFonts w:eastAsia="Calibri"/>
          <w:lang w:eastAsia="en-US"/>
        </w:rPr>
      </w:pPr>
      <w:r w:rsidRPr="00832773">
        <w:rPr>
          <w:rFonts w:eastAsia="Calibri"/>
          <w:lang w:eastAsia="en-US"/>
        </w:rPr>
        <w:t>En el caso de las apelaciones, por la competencia particular del Tribunal Segundo de Apelación Civil de San José sería la única oficina impactada junto con la Sala Segunda, respecto a los incisos 17, 23 y 26</w:t>
      </w:r>
      <w:r w:rsidR="00D22A83" w:rsidRPr="00832773">
        <w:rPr>
          <w:rFonts w:eastAsia="Calibri"/>
          <w:lang w:eastAsia="en-US"/>
        </w:rPr>
        <w:t xml:space="preserve"> del artículo 57 y el artículo 58 de la</w:t>
      </w:r>
      <w:r w:rsidR="003D5563" w:rsidRPr="00832773">
        <w:rPr>
          <w:rFonts w:eastAsia="Calibri"/>
          <w:lang w:eastAsia="en-US"/>
        </w:rPr>
        <w:t xml:space="preserve"> </w:t>
      </w:r>
      <w:r w:rsidR="003D5563" w:rsidRPr="00832773">
        <w:rPr>
          <w:rFonts w:eastAsia="Calibri"/>
          <w:b/>
          <w:bCs/>
          <w:lang w:eastAsia="en-US"/>
        </w:rPr>
        <w:t>nueva</w:t>
      </w:r>
      <w:r w:rsidR="00D22A83" w:rsidRPr="00832773">
        <w:rPr>
          <w:rFonts w:eastAsia="Calibri"/>
          <w:lang w:eastAsia="en-US"/>
        </w:rPr>
        <w:t xml:space="preserve"> Ley Concursal</w:t>
      </w:r>
      <w:r w:rsidRPr="00832773">
        <w:rPr>
          <w:rFonts w:eastAsia="Calibri"/>
          <w:lang w:eastAsia="en-US"/>
        </w:rPr>
        <w:t>, en donde lo que se hace es una distribución de competencias entre esas 2 oficinas</w:t>
      </w:r>
      <w:r w:rsidR="00D22A83" w:rsidRPr="00832773">
        <w:rPr>
          <w:rFonts w:eastAsia="Calibri"/>
          <w:lang w:eastAsia="en-US"/>
        </w:rPr>
        <w:t>.</w:t>
      </w:r>
    </w:p>
    <w:p w14:paraId="7EE83F18" w14:textId="77777777" w:rsidR="005D1B48" w:rsidRPr="00832773" w:rsidRDefault="005D1B48" w:rsidP="00762AD8">
      <w:pPr>
        <w:spacing w:line="276" w:lineRule="auto"/>
        <w:rPr>
          <w:rFonts w:eastAsia="Calibri"/>
          <w:lang w:eastAsia="en-US"/>
        </w:rPr>
      </w:pPr>
    </w:p>
    <w:p w14:paraId="0231D358" w14:textId="11A66CB2" w:rsidR="00762AD8" w:rsidRPr="00832773" w:rsidRDefault="00762AD8" w:rsidP="00762AD8">
      <w:pPr>
        <w:spacing w:line="276" w:lineRule="auto"/>
        <w:rPr>
          <w:rFonts w:eastAsia="Calibri"/>
          <w:lang w:eastAsia="en-US"/>
        </w:rPr>
      </w:pPr>
      <w:r w:rsidRPr="00832773">
        <w:rPr>
          <w:rFonts w:eastAsia="Calibri"/>
          <w:lang w:eastAsia="en-US"/>
        </w:rPr>
        <w:t xml:space="preserve">En el </w:t>
      </w:r>
      <w:r w:rsidR="00D22A83" w:rsidRPr="00832773">
        <w:rPr>
          <w:rFonts w:eastAsia="Calibri"/>
          <w:lang w:eastAsia="en-US"/>
        </w:rPr>
        <w:t>inciso</w:t>
      </w:r>
      <w:r w:rsidRPr="00832773">
        <w:rPr>
          <w:rFonts w:eastAsia="Calibri"/>
          <w:lang w:eastAsia="en-US"/>
        </w:rPr>
        <w:t xml:space="preserve"> 17</w:t>
      </w:r>
      <w:r w:rsidR="00D22A83" w:rsidRPr="00832773">
        <w:rPr>
          <w:rFonts w:eastAsia="Calibri"/>
          <w:lang w:eastAsia="en-US"/>
        </w:rPr>
        <w:t>,</w:t>
      </w:r>
      <w:r w:rsidRPr="00832773">
        <w:rPr>
          <w:rFonts w:eastAsia="Calibri"/>
          <w:lang w:eastAsia="en-US"/>
        </w:rPr>
        <w:t xml:space="preserve"> decretada la nulidad del contrato, si ese contrato es de menor cuantía tiene apelación si es de mayor tendría casación, es decir, de incrementarse la cuantía, disminuiría</w:t>
      </w:r>
      <w:r w:rsidR="00D22A83" w:rsidRPr="00832773">
        <w:rPr>
          <w:rFonts w:eastAsia="Calibri"/>
          <w:lang w:eastAsia="en-US"/>
        </w:rPr>
        <w:t>n esos recursos</w:t>
      </w:r>
      <w:r w:rsidRPr="00832773">
        <w:rPr>
          <w:rFonts w:eastAsia="Calibri"/>
          <w:lang w:eastAsia="en-US"/>
        </w:rPr>
        <w:t xml:space="preserve"> ante Sala Segunda y aumentaría</w:t>
      </w:r>
      <w:r w:rsidR="008201CC" w:rsidRPr="00832773">
        <w:rPr>
          <w:rFonts w:eastAsia="Calibri"/>
          <w:lang w:eastAsia="en-US"/>
        </w:rPr>
        <w:t>n</w:t>
      </w:r>
      <w:r w:rsidRPr="00832773">
        <w:rPr>
          <w:rFonts w:eastAsia="Calibri"/>
          <w:lang w:eastAsia="en-US"/>
        </w:rPr>
        <w:t xml:space="preserve"> en el Tribunal Segundo de Apelación</w:t>
      </w:r>
      <w:r w:rsidR="008201CC" w:rsidRPr="00832773">
        <w:rPr>
          <w:rFonts w:eastAsia="Calibri"/>
          <w:lang w:eastAsia="en-US"/>
        </w:rPr>
        <w:t xml:space="preserve"> Civil</w:t>
      </w:r>
      <w:r w:rsidRPr="00832773">
        <w:rPr>
          <w:rFonts w:eastAsia="Calibri"/>
          <w:lang w:eastAsia="en-US"/>
        </w:rPr>
        <w:t xml:space="preserve">. </w:t>
      </w:r>
    </w:p>
    <w:p w14:paraId="4C859708" w14:textId="77777777" w:rsidR="00762AD8" w:rsidRPr="00832773" w:rsidRDefault="00762AD8" w:rsidP="00762AD8">
      <w:pPr>
        <w:spacing w:line="276" w:lineRule="auto"/>
        <w:rPr>
          <w:rFonts w:eastAsia="Calibri"/>
          <w:lang w:eastAsia="en-US"/>
        </w:rPr>
      </w:pPr>
    </w:p>
    <w:p w14:paraId="3BFFF35D" w14:textId="655F6690" w:rsidR="00762AD8" w:rsidRPr="00832773" w:rsidRDefault="00762AD8" w:rsidP="00762AD8">
      <w:pPr>
        <w:spacing w:line="276" w:lineRule="auto"/>
        <w:rPr>
          <w:rFonts w:eastAsia="Calibri"/>
          <w:lang w:eastAsia="en-US"/>
        </w:rPr>
      </w:pPr>
      <w:r w:rsidRPr="00832773">
        <w:rPr>
          <w:rFonts w:eastAsia="Calibri"/>
          <w:lang w:eastAsia="en-US"/>
        </w:rPr>
        <w:lastRenderedPageBreak/>
        <w:t xml:space="preserve">Respecto al inciso 23, la cuantía del </w:t>
      </w:r>
      <w:r w:rsidR="008201CC" w:rsidRPr="00832773">
        <w:rPr>
          <w:rFonts w:eastAsia="Calibri"/>
          <w:lang w:eastAsia="en-US"/>
        </w:rPr>
        <w:t>crédito</w:t>
      </w:r>
      <w:r w:rsidRPr="00832773">
        <w:rPr>
          <w:rFonts w:eastAsia="Calibri"/>
          <w:lang w:eastAsia="en-US"/>
        </w:rPr>
        <w:t xml:space="preserve"> controvertido sería el que fijaría si</w:t>
      </w:r>
      <w:r w:rsidR="008201CC" w:rsidRPr="00832773">
        <w:rPr>
          <w:rFonts w:eastAsia="Calibri"/>
          <w:lang w:eastAsia="en-US"/>
        </w:rPr>
        <w:t xml:space="preserve"> la resolución</w:t>
      </w:r>
      <w:r w:rsidRPr="00832773">
        <w:rPr>
          <w:rFonts w:eastAsia="Calibri"/>
          <w:lang w:eastAsia="en-US"/>
        </w:rPr>
        <w:t xml:space="preserve"> tiene apelación o casación, es decir, que de incrementarse la cuantía Civil, mayor cantidad de esas resoluciones </w:t>
      </w:r>
      <w:r w:rsidR="008201CC" w:rsidRPr="00832773">
        <w:rPr>
          <w:rFonts w:eastAsia="Calibri"/>
          <w:lang w:eastAsia="en-US"/>
        </w:rPr>
        <w:t>dispondrían</w:t>
      </w:r>
      <w:r w:rsidRPr="00832773">
        <w:rPr>
          <w:rFonts w:eastAsia="Calibri"/>
          <w:lang w:eastAsia="en-US"/>
        </w:rPr>
        <w:t xml:space="preserve"> </w:t>
      </w:r>
      <w:r w:rsidR="008201CC" w:rsidRPr="00832773">
        <w:rPr>
          <w:rFonts w:eastAsia="Calibri"/>
          <w:lang w:eastAsia="en-US"/>
        </w:rPr>
        <w:t>únicamente</w:t>
      </w:r>
      <w:r w:rsidRPr="00832773">
        <w:rPr>
          <w:rFonts w:eastAsia="Calibri"/>
          <w:lang w:eastAsia="en-US"/>
        </w:rPr>
        <w:t xml:space="preserve"> de apelación en</w:t>
      </w:r>
      <w:r w:rsidR="008201CC" w:rsidRPr="00832773">
        <w:rPr>
          <w:rFonts w:eastAsia="Calibri"/>
          <w:lang w:eastAsia="en-US"/>
        </w:rPr>
        <w:t xml:space="preserve"> </w:t>
      </w:r>
      <w:r w:rsidRPr="00832773">
        <w:rPr>
          <w:rFonts w:eastAsia="Calibri"/>
          <w:lang w:eastAsia="en-US"/>
        </w:rPr>
        <w:t xml:space="preserve">lugar de casación, es decir, </w:t>
      </w:r>
      <w:r w:rsidR="008201CC" w:rsidRPr="00832773">
        <w:rPr>
          <w:rFonts w:eastAsia="Calibri"/>
          <w:lang w:eastAsia="en-US"/>
        </w:rPr>
        <w:t>disminuirían esos recursos ante Sala Segunda y aumentarían en el Tribunal Segundo de Apelación Civil.</w:t>
      </w:r>
    </w:p>
    <w:p w14:paraId="6527FF04" w14:textId="77777777" w:rsidR="00762AD8" w:rsidRPr="00832773" w:rsidRDefault="00762AD8" w:rsidP="00762AD8">
      <w:pPr>
        <w:spacing w:line="276" w:lineRule="auto"/>
        <w:rPr>
          <w:rFonts w:eastAsia="Calibri"/>
          <w:lang w:eastAsia="en-US"/>
        </w:rPr>
      </w:pPr>
    </w:p>
    <w:p w14:paraId="4A6F1A30" w14:textId="3435FC48" w:rsidR="00762AD8" w:rsidRPr="00832773" w:rsidRDefault="008D51C4" w:rsidP="00762AD8">
      <w:pPr>
        <w:spacing w:line="276" w:lineRule="auto"/>
        <w:rPr>
          <w:rFonts w:eastAsia="Calibri"/>
          <w:lang w:eastAsia="en-US"/>
        </w:rPr>
      </w:pPr>
      <w:r>
        <w:rPr>
          <w:rFonts w:eastAsia="Calibri"/>
          <w:lang w:eastAsia="en-US"/>
        </w:rPr>
        <w:t xml:space="preserve">Con </w:t>
      </w:r>
      <w:r w:rsidRPr="00832773">
        <w:rPr>
          <w:rFonts w:eastAsia="Calibri"/>
          <w:lang w:eastAsia="en-US"/>
        </w:rPr>
        <w:t>el</w:t>
      </w:r>
      <w:r w:rsidR="00762AD8" w:rsidRPr="00832773">
        <w:rPr>
          <w:rFonts w:eastAsia="Calibri"/>
          <w:lang w:eastAsia="en-US"/>
        </w:rPr>
        <w:t xml:space="preserve"> inciso 26, de admitirse el recurso, por </w:t>
      </w:r>
      <w:r w:rsidRPr="00832773">
        <w:rPr>
          <w:rFonts w:eastAsia="Calibri"/>
          <w:lang w:eastAsia="en-US"/>
        </w:rPr>
        <w:t>ejemplo,</w:t>
      </w:r>
      <w:r w:rsidR="00762AD8" w:rsidRPr="00832773">
        <w:rPr>
          <w:rFonts w:eastAsia="Calibri"/>
          <w:lang w:eastAsia="en-US"/>
        </w:rPr>
        <w:t xml:space="preserve"> de un ajuste de tasa, sobre ese monto que se cobra, </w:t>
      </w:r>
      <w:r w:rsidR="008201CC" w:rsidRPr="00832773">
        <w:rPr>
          <w:rFonts w:eastAsia="Calibri"/>
          <w:lang w:eastAsia="en-US"/>
        </w:rPr>
        <w:t>entonces</w:t>
      </w:r>
      <w:r w:rsidR="00762AD8" w:rsidRPr="00832773">
        <w:rPr>
          <w:rFonts w:eastAsia="Calibri"/>
          <w:lang w:eastAsia="en-US"/>
        </w:rPr>
        <w:t xml:space="preserve"> si </w:t>
      </w:r>
      <w:r w:rsidR="008201CC" w:rsidRPr="00832773">
        <w:rPr>
          <w:rFonts w:eastAsia="Calibri"/>
          <w:lang w:eastAsia="en-US"/>
        </w:rPr>
        <w:t>la liquidación</w:t>
      </w:r>
      <w:r w:rsidR="00762AD8" w:rsidRPr="00832773">
        <w:rPr>
          <w:rFonts w:eastAsia="Calibri"/>
          <w:lang w:eastAsia="en-US"/>
        </w:rPr>
        <w:t xml:space="preserve"> es de mayor </w:t>
      </w:r>
      <w:r w:rsidR="008201CC" w:rsidRPr="00832773">
        <w:rPr>
          <w:rFonts w:eastAsia="Calibri"/>
          <w:lang w:eastAsia="en-US"/>
        </w:rPr>
        <w:t xml:space="preserve">cuantía </w:t>
      </w:r>
      <w:r w:rsidR="00762AD8" w:rsidRPr="00832773">
        <w:rPr>
          <w:rFonts w:eastAsia="Calibri"/>
          <w:lang w:eastAsia="en-US"/>
        </w:rPr>
        <w:t xml:space="preserve">tendría </w:t>
      </w:r>
      <w:r w:rsidR="000B37C9" w:rsidRPr="00832773">
        <w:rPr>
          <w:rFonts w:eastAsia="Calibri"/>
          <w:lang w:eastAsia="en-US"/>
        </w:rPr>
        <w:t xml:space="preserve">solamente </w:t>
      </w:r>
      <w:r w:rsidR="00762AD8" w:rsidRPr="00832773">
        <w:rPr>
          <w:rFonts w:eastAsia="Calibri"/>
          <w:lang w:eastAsia="en-US"/>
        </w:rPr>
        <w:t xml:space="preserve">apelación. De </w:t>
      </w:r>
      <w:r w:rsidR="008201CC" w:rsidRPr="00832773">
        <w:rPr>
          <w:rFonts w:eastAsia="Calibri"/>
          <w:lang w:eastAsia="en-US"/>
        </w:rPr>
        <w:t>subirse</w:t>
      </w:r>
      <w:r w:rsidR="00762AD8" w:rsidRPr="00832773">
        <w:rPr>
          <w:rFonts w:eastAsia="Calibri"/>
          <w:lang w:eastAsia="en-US"/>
        </w:rPr>
        <w:t xml:space="preserve"> la cuantía, meno</w:t>
      </w:r>
      <w:r w:rsidR="008201CC" w:rsidRPr="00832773">
        <w:rPr>
          <w:rFonts w:eastAsia="Calibri"/>
          <w:lang w:eastAsia="en-US"/>
        </w:rPr>
        <w:t>r cantidad de recursos</w:t>
      </w:r>
      <w:r w:rsidR="00762AD8" w:rsidRPr="00832773">
        <w:rPr>
          <w:rFonts w:eastAsia="Calibri"/>
          <w:lang w:eastAsia="en-US"/>
        </w:rPr>
        <w:t xml:space="preserve"> cumplirían esa condición</w:t>
      </w:r>
      <w:r w:rsidR="008201CC" w:rsidRPr="00832773">
        <w:rPr>
          <w:rFonts w:eastAsia="Calibri"/>
          <w:lang w:eastAsia="en-US"/>
        </w:rPr>
        <w:t xml:space="preserve"> entonces</w:t>
      </w:r>
      <w:r w:rsidR="00762AD8" w:rsidRPr="00832773">
        <w:rPr>
          <w:rFonts w:eastAsia="Calibri"/>
          <w:lang w:eastAsia="en-US"/>
        </w:rPr>
        <w:t xml:space="preserve"> disminuir</w:t>
      </w:r>
      <w:r w:rsidR="008201CC" w:rsidRPr="00832773">
        <w:rPr>
          <w:rFonts w:eastAsia="Calibri"/>
          <w:lang w:eastAsia="en-US"/>
        </w:rPr>
        <w:t>ía</w:t>
      </w:r>
      <w:r w:rsidR="00762AD8" w:rsidRPr="00832773">
        <w:rPr>
          <w:rFonts w:eastAsia="Calibri"/>
          <w:lang w:eastAsia="en-US"/>
        </w:rPr>
        <w:t xml:space="preserve"> la carga en </w:t>
      </w:r>
      <w:r w:rsidR="008201CC" w:rsidRPr="00832773">
        <w:rPr>
          <w:rFonts w:eastAsia="Calibri"/>
          <w:lang w:eastAsia="en-US"/>
        </w:rPr>
        <w:t>T</w:t>
      </w:r>
      <w:r w:rsidR="00762AD8" w:rsidRPr="00832773">
        <w:rPr>
          <w:rFonts w:eastAsia="Calibri"/>
          <w:lang w:eastAsia="en-US"/>
        </w:rPr>
        <w:t xml:space="preserve">ribunal </w:t>
      </w:r>
      <w:r w:rsidR="008201CC" w:rsidRPr="00832773">
        <w:rPr>
          <w:rFonts w:eastAsia="Calibri"/>
          <w:lang w:eastAsia="en-US"/>
        </w:rPr>
        <w:t>Segundo</w:t>
      </w:r>
      <w:r w:rsidR="00762AD8" w:rsidRPr="00832773">
        <w:rPr>
          <w:rFonts w:eastAsia="Calibri"/>
          <w:lang w:eastAsia="en-US"/>
        </w:rPr>
        <w:t>. En</w:t>
      </w:r>
      <w:r w:rsidR="008201CC" w:rsidRPr="00832773">
        <w:rPr>
          <w:rFonts w:eastAsia="Calibri"/>
          <w:lang w:eastAsia="en-US"/>
        </w:rPr>
        <w:t>tonces en</w:t>
      </w:r>
      <w:r w:rsidR="00762AD8" w:rsidRPr="00832773">
        <w:rPr>
          <w:rFonts w:eastAsia="Calibri"/>
          <w:lang w:eastAsia="en-US"/>
        </w:rPr>
        <w:t xml:space="preserve"> cuanto </w:t>
      </w:r>
      <w:r w:rsidR="008201CC" w:rsidRPr="00832773">
        <w:rPr>
          <w:rFonts w:eastAsia="Calibri"/>
          <w:lang w:eastAsia="en-US"/>
        </w:rPr>
        <w:t>a este inciso</w:t>
      </w:r>
      <w:r w:rsidR="00762AD8" w:rsidRPr="00832773">
        <w:rPr>
          <w:rFonts w:eastAsia="Calibri"/>
          <w:lang w:eastAsia="en-US"/>
        </w:rPr>
        <w:t xml:space="preserve"> el efecto sería una disminución de las apelaciones por esa causa. </w:t>
      </w:r>
    </w:p>
    <w:p w14:paraId="1B185B5D" w14:textId="2F359305" w:rsidR="006E4AF3" w:rsidRPr="00832773" w:rsidRDefault="006E4AF3" w:rsidP="00762AD8">
      <w:pPr>
        <w:spacing w:line="276" w:lineRule="auto"/>
        <w:rPr>
          <w:rFonts w:eastAsia="Calibri"/>
          <w:lang w:eastAsia="en-US"/>
        </w:rPr>
      </w:pPr>
    </w:p>
    <w:p w14:paraId="3555F9B0" w14:textId="69D08308" w:rsidR="006E4AF3" w:rsidRPr="00832773" w:rsidRDefault="006E4AF3" w:rsidP="00762AD8">
      <w:pPr>
        <w:spacing w:line="276" w:lineRule="auto"/>
        <w:rPr>
          <w:rFonts w:eastAsia="Calibri"/>
          <w:lang w:eastAsia="en-US"/>
        </w:rPr>
      </w:pPr>
      <w:r w:rsidRPr="00832773">
        <w:rPr>
          <w:rFonts w:eastAsia="Calibri"/>
          <w:lang w:eastAsia="en-US"/>
        </w:rPr>
        <w:t xml:space="preserve">Sin embargo, el impacto o la distribución de recursos entre la </w:t>
      </w:r>
      <w:r w:rsidR="004C6FC9" w:rsidRPr="00832773">
        <w:rPr>
          <w:rFonts w:eastAsia="Calibri"/>
          <w:lang w:eastAsia="en-US"/>
        </w:rPr>
        <w:t xml:space="preserve">Sala </w:t>
      </w:r>
      <w:r w:rsidRPr="00832773">
        <w:rPr>
          <w:rFonts w:eastAsia="Calibri"/>
          <w:lang w:eastAsia="en-US"/>
        </w:rPr>
        <w:t>Segunda y Tribunal Segundo de Apelación Civil sería mínimo, ya que del 2019 al 2021 en Sala Segunda solo ingresaron 6 casaciones en procesos de “</w:t>
      </w:r>
      <w:r w:rsidRPr="00832773">
        <w:rPr>
          <w:rFonts w:eastAsia="Calibri"/>
          <w:i/>
          <w:iCs/>
          <w:lang w:eastAsia="en-US"/>
        </w:rPr>
        <w:t>quiebra</w:t>
      </w:r>
      <w:r w:rsidRPr="00832773">
        <w:rPr>
          <w:rFonts w:eastAsia="Calibri"/>
          <w:lang w:eastAsia="en-US"/>
        </w:rPr>
        <w:t>”</w:t>
      </w:r>
      <w:r w:rsidR="004C6FC9" w:rsidRPr="00832773">
        <w:rPr>
          <w:rFonts w:eastAsia="Calibri"/>
          <w:lang w:eastAsia="en-US"/>
        </w:rPr>
        <w:t>, de los cuales solo 2 se identificaron como estimables y con el rango de cuantía “</w:t>
      </w:r>
      <w:r w:rsidR="004C6FC9" w:rsidRPr="004E74A6">
        <w:rPr>
          <w:rFonts w:cs="Calibri"/>
          <w:i/>
          <w:iCs/>
          <w:color w:val="000000"/>
          <w:sz w:val="22"/>
          <w:szCs w:val="22"/>
          <w:lang w:eastAsia="es-CR"/>
        </w:rPr>
        <w:t>Más de ¢100.000.000</w:t>
      </w:r>
      <w:r w:rsidR="004C6FC9" w:rsidRPr="00832773">
        <w:rPr>
          <w:rFonts w:eastAsia="Calibri"/>
          <w:lang w:eastAsia="en-US"/>
        </w:rPr>
        <w:t>”</w:t>
      </w:r>
      <w:r w:rsidRPr="00832773">
        <w:rPr>
          <w:rFonts w:eastAsia="Calibri"/>
          <w:lang w:eastAsia="en-US"/>
        </w:rPr>
        <w:t xml:space="preserve">: </w:t>
      </w:r>
    </w:p>
    <w:p w14:paraId="6C3218F9" w14:textId="6007D247" w:rsidR="006E4AF3" w:rsidRPr="00832773" w:rsidRDefault="006E4AF3" w:rsidP="00762AD8">
      <w:pPr>
        <w:spacing w:line="276" w:lineRule="auto"/>
        <w:rPr>
          <w:rFonts w:eastAsia="Calibri"/>
          <w:lang w:eastAsia="en-US"/>
        </w:rPr>
      </w:pPr>
    </w:p>
    <w:p w14:paraId="005FD8FA" w14:textId="451745E8" w:rsidR="00755589" w:rsidRPr="00832773" w:rsidRDefault="00755589" w:rsidP="00832773">
      <w:pPr>
        <w:pStyle w:val="Descripcin"/>
        <w:keepNext/>
        <w:spacing w:line="240" w:lineRule="auto"/>
        <w:jc w:val="center"/>
        <w:rPr>
          <w:rFonts w:ascii="Book Antiqua" w:hAnsi="Book Antiqua"/>
          <w:i/>
          <w:iCs/>
          <w:sz w:val="20"/>
          <w:szCs w:val="16"/>
          <w:lang w:val="es-CR"/>
        </w:rPr>
      </w:pPr>
      <w:r w:rsidRPr="00832773">
        <w:rPr>
          <w:rFonts w:ascii="Book Antiqua" w:hAnsi="Book Antiqua"/>
          <w:i/>
          <w:iCs/>
          <w:sz w:val="20"/>
          <w:szCs w:val="16"/>
          <w:lang w:val="es-CR"/>
        </w:rPr>
        <w:t xml:space="preserve">Tabla </w:t>
      </w:r>
      <w:r w:rsidRPr="00832773">
        <w:rPr>
          <w:rFonts w:ascii="Book Antiqua" w:hAnsi="Book Antiqua"/>
          <w:i/>
          <w:iCs/>
          <w:sz w:val="20"/>
          <w:szCs w:val="16"/>
          <w:lang w:val="es-CR"/>
        </w:rPr>
        <w:fldChar w:fldCharType="begin"/>
      </w:r>
      <w:r w:rsidRPr="00832773">
        <w:rPr>
          <w:rFonts w:ascii="Book Antiqua" w:hAnsi="Book Antiqua"/>
          <w:i/>
          <w:iCs/>
          <w:sz w:val="20"/>
          <w:szCs w:val="16"/>
          <w:lang w:val="es-CR"/>
        </w:rPr>
        <w:instrText xml:space="preserve"> SEQ Tabla \* ARABIC </w:instrText>
      </w:r>
      <w:r w:rsidRPr="00832773">
        <w:rPr>
          <w:rFonts w:ascii="Book Antiqua" w:hAnsi="Book Antiqua"/>
          <w:i/>
          <w:iCs/>
          <w:sz w:val="20"/>
          <w:szCs w:val="16"/>
          <w:lang w:val="es-CR"/>
        </w:rPr>
        <w:fldChar w:fldCharType="separate"/>
      </w:r>
      <w:r w:rsidR="00374B51">
        <w:rPr>
          <w:rFonts w:ascii="Book Antiqua" w:hAnsi="Book Antiqua"/>
          <w:i/>
          <w:iCs/>
          <w:noProof/>
          <w:sz w:val="20"/>
          <w:szCs w:val="16"/>
          <w:lang w:val="es-CR"/>
        </w:rPr>
        <w:t>69</w:t>
      </w:r>
      <w:r w:rsidRPr="00832773">
        <w:rPr>
          <w:rFonts w:ascii="Book Antiqua" w:hAnsi="Book Antiqua"/>
          <w:i/>
          <w:iCs/>
          <w:sz w:val="20"/>
          <w:szCs w:val="16"/>
          <w:lang w:val="es-CR"/>
        </w:rPr>
        <w:fldChar w:fldCharType="end"/>
      </w:r>
    </w:p>
    <w:p w14:paraId="3C138671" w14:textId="68EFA53D" w:rsidR="00755589" w:rsidRPr="00832773" w:rsidRDefault="00755589" w:rsidP="00832773">
      <w:pPr>
        <w:spacing w:line="240" w:lineRule="auto"/>
        <w:jc w:val="center"/>
        <w:rPr>
          <w:rFonts w:cs="Arial"/>
          <w:b/>
          <w:bCs/>
          <w:i/>
          <w:iCs/>
          <w:sz w:val="20"/>
          <w:szCs w:val="16"/>
        </w:rPr>
      </w:pPr>
      <w:r w:rsidRPr="00832773">
        <w:rPr>
          <w:rFonts w:cs="Arial"/>
          <w:b/>
          <w:bCs/>
          <w:i/>
          <w:iCs/>
          <w:sz w:val="20"/>
          <w:szCs w:val="16"/>
        </w:rPr>
        <w:t>Cantidad de casaciones por quiebra ingresada en Sala Segunda, 2019 a 2021</w:t>
      </w:r>
    </w:p>
    <w:tbl>
      <w:tblPr>
        <w:tblW w:w="7701" w:type="dxa"/>
        <w:jc w:val="center"/>
        <w:tblCellMar>
          <w:left w:w="70" w:type="dxa"/>
          <w:right w:w="70" w:type="dxa"/>
        </w:tblCellMar>
        <w:tblLook w:val="04A0" w:firstRow="1" w:lastRow="0" w:firstColumn="1" w:lastColumn="0" w:noHBand="0" w:noVBand="1"/>
      </w:tblPr>
      <w:tblGrid>
        <w:gridCol w:w="4101"/>
        <w:gridCol w:w="1200"/>
        <w:gridCol w:w="1200"/>
        <w:gridCol w:w="1200"/>
      </w:tblGrid>
      <w:tr w:rsidR="006E4AF3" w:rsidRPr="004E74A6" w14:paraId="6BDB13A4" w14:textId="77777777" w:rsidTr="00832773">
        <w:trPr>
          <w:trHeight w:val="443"/>
          <w:jc w:val="center"/>
        </w:trPr>
        <w:tc>
          <w:tcPr>
            <w:tcW w:w="4101" w:type="dxa"/>
            <w:tcBorders>
              <w:top w:val="single" w:sz="4" w:space="0" w:color="auto"/>
              <w:left w:val="nil"/>
              <w:bottom w:val="single" w:sz="4" w:space="0" w:color="auto"/>
              <w:right w:val="single" w:sz="4" w:space="0" w:color="auto"/>
            </w:tcBorders>
            <w:shd w:val="clear" w:color="auto" w:fill="auto"/>
            <w:noWrap/>
            <w:vAlign w:val="center"/>
            <w:hideMark/>
          </w:tcPr>
          <w:p w14:paraId="0EAE6613" w14:textId="653A4F22" w:rsidR="006E4AF3" w:rsidRPr="00832773" w:rsidRDefault="006E4AF3" w:rsidP="00832773">
            <w:pPr>
              <w:spacing w:line="240" w:lineRule="auto"/>
              <w:jc w:val="center"/>
              <w:rPr>
                <w:rFonts w:cs="Calibri"/>
                <w:b/>
                <w:bCs/>
                <w:color w:val="000000"/>
                <w:sz w:val="20"/>
                <w:lang w:eastAsia="es-CR"/>
              </w:rPr>
            </w:pPr>
            <w:r w:rsidRPr="00832773">
              <w:rPr>
                <w:rFonts w:cs="Calibri"/>
                <w:b/>
                <w:bCs/>
                <w:color w:val="000000"/>
                <w:sz w:val="20"/>
                <w:lang w:eastAsia="es-CR"/>
              </w:rPr>
              <w:t>Año</w:t>
            </w:r>
          </w:p>
        </w:tc>
        <w:tc>
          <w:tcPr>
            <w:tcW w:w="1200" w:type="dxa"/>
            <w:tcBorders>
              <w:top w:val="single" w:sz="4" w:space="0" w:color="auto"/>
              <w:left w:val="nil"/>
              <w:bottom w:val="single" w:sz="4" w:space="0" w:color="auto"/>
              <w:right w:val="single" w:sz="4" w:space="0" w:color="auto"/>
            </w:tcBorders>
            <w:shd w:val="clear" w:color="auto" w:fill="auto"/>
            <w:noWrap/>
            <w:vAlign w:val="center"/>
            <w:hideMark/>
          </w:tcPr>
          <w:p w14:paraId="538E98F4" w14:textId="77777777" w:rsidR="006E4AF3" w:rsidRPr="00832773" w:rsidRDefault="006E4AF3" w:rsidP="006E4AF3">
            <w:pPr>
              <w:spacing w:line="240" w:lineRule="auto"/>
              <w:jc w:val="center"/>
              <w:rPr>
                <w:rFonts w:cs="Calibri"/>
                <w:b/>
                <w:bCs/>
                <w:color w:val="000000"/>
                <w:sz w:val="20"/>
                <w:lang w:eastAsia="es-CR"/>
              </w:rPr>
            </w:pPr>
            <w:r w:rsidRPr="00832773">
              <w:rPr>
                <w:rFonts w:cs="Calibri"/>
                <w:b/>
                <w:bCs/>
                <w:color w:val="000000"/>
                <w:sz w:val="20"/>
                <w:lang w:eastAsia="es-CR"/>
              </w:rPr>
              <w:t>2019</w:t>
            </w:r>
          </w:p>
        </w:tc>
        <w:tc>
          <w:tcPr>
            <w:tcW w:w="1200" w:type="dxa"/>
            <w:tcBorders>
              <w:top w:val="single" w:sz="4" w:space="0" w:color="auto"/>
              <w:left w:val="nil"/>
              <w:bottom w:val="single" w:sz="4" w:space="0" w:color="auto"/>
              <w:right w:val="single" w:sz="4" w:space="0" w:color="auto"/>
            </w:tcBorders>
            <w:shd w:val="clear" w:color="auto" w:fill="auto"/>
            <w:noWrap/>
            <w:vAlign w:val="center"/>
            <w:hideMark/>
          </w:tcPr>
          <w:p w14:paraId="208EAF5F" w14:textId="77777777" w:rsidR="006E4AF3" w:rsidRPr="00832773" w:rsidRDefault="006E4AF3" w:rsidP="006E4AF3">
            <w:pPr>
              <w:spacing w:line="240" w:lineRule="auto"/>
              <w:jc w:val="center"/>
              <w:rPr>
                <w:rFonts w:cs="Calibri"/>
                <w:b/>
                <w:bCs/>
                <w:color w:val="000000"/>
                <w:sz w:val="20"/>
                <w:lang w:eastAsia="es-CR"/>
              </w:rPr>
            </w:pPr>
            <w:r w:rsidRPr="00832773">
              <w:rPr>
                <w:rFonts w:cs="Calibri"/>
                <w:b/>
                <w:bCs/>
                <w:color w:val="000000"/>
                <w:sz w:val="20"/>
                <w:lang w:eastAsia="es-CR"/>
              </w:rPr>
              <w:t>2020</w:t>
            </w:r>
          </w:p>
        </w:tc>
        <w:tc>
          <w:tcPr>
            <w:tcW w:w="1200" w:type="dxa"/>
            <w:tcBorders>
              <w:top w:val="single" w:sz="4" w:space="0" w:color="auto"/>
              <w:left w:val="nil"/>
              <w:bottom w:val="single" w:sz="4" w:space="0" w:color="auto"/>
              <w:right w:val="nil"/>
            </w:tcBorders>
            <w:shd w:val="clear" w:color="auto" w:fill="auto"/>
            <w:noWrap/>
            <w:vAlign w:val="center"/>
            <w:hideMark/>
          </w:tcPr>
          <w:p w14:paraId="1CEA841D" w14:textId="77777777" w:rsidR="006E4AF3" w:rsidRPr="00832773" w:rsidRDefault="006E4AF3" w:rsidP="006E4AF3">
            <w:pPr>
              <w:spacing w:line="240" w:lineRule="auto"/>
              <w:jc w:val="center"/>
              <w:rPr>
                <w:rFonts w:cs="Calibri"/>
                <w:b/>
                <w:bCs/>
                <w:color w:val="000000"/>
                <w:sz w:val="20"/>
                <w:lang w:eastAsia="es-CR"/>
              </w:rPr>
            </w:pPr>
            <w:r w:rsidRPr="00832773">
              <w:rPr>
                <w:rFonts w:cs="Calibri"/>
                <w:b/>
                <w:bCs/>
                <w:color w:val="000000"/>
                <w:sz w:val="20"/>
                <w:lang w:eastAsia="es-CR"/>
              </w:rPr>
              <w:t>2021</w:t>
            </w:r>
          </w:p>
        </w:tc>
      </w:tr>
      <w:tr w:rsidR="006E4AF3" w:rsidRPr="004E74A6" w14:paraId="418778CA" w14:textId="77777777" w:rsidTr="00832773">
        <w:trPr>
          <w:trHeight w:val="443"/>
          <w:jc w:val="center"/>
        </w:trPr>
        <w:tc>
          <w:tcPr>
            <w:tcW w:w="4101" w:type="dxa"/>
            <w:tcBorders>
              <w:top w:val="nil"/>
              <w:left w:val="nil"/>
              <w:bottom w:val="nil"/>
              <w:right w:val="single" w:sz="4" w:space="0" w:color="auto"/>
            </w:tcBorders>
            <w:shd w:val="clear" w:color="000000" w:fill="203764"/>
            <w:noWrap/>
            <w:vAlign w:val="center"/>
            <w:hideMark/>
          </w:tcPr>
          <w:p w14:paraId="01042103" w14:textId="5EDA93C0" w:rsidR="006E4AF3" w:rsidRPr="00832773" w:rsidRDefault="006E4AF3" w:rsidP="006E4AF3">
            <w:pPr>
              <w:spacing w:line="240" w:lineRule="auto"/>
              <w:jc w:val="left"/>
              <w:rPr>
                <w:rFonts w:cs="Calibri"/>
                <w:b/>
                <w:bCs/>
                <w:color w:val="FFFFFF"/>
                <w:sz w:val="20"/>
                <w:lang w:eastAsia="es-CR"/>
              </w:rPr>
            </w:pPr>
            <w:r w:rsidRPr="00832773">
              <w:rPr>
                <w:rFonts w:cs="Calibri"/>
                <w:b/>
                <w:bCs/>
                <w:color w:val="FFFFFF"/>
                <w:sz w:val="20"/>
                <w:lang w:eastAsia="es-CR"/>
              </w:rPr>
              <w:t>Casación</w:t>
            </w:r>
            <w:r w:rsidR="00CC283B" w:rsidRPr="004E74A6">
              <w:rPr>
                <w:rFonts w:cs="Calibri"/>
                <w:b/>
                <w:bCs/>
                <w:color w:val="FFFFFF"/>
                <w:sz w:val="20"/>
                <w:lang w:eastAsia="es-CR"/>
              </w:rPr>
              <w:t xml:space="preserve"> en Sala Segunda</w:t>
            </w:r>
          </w:p>
        </w:tc>
        <w:tc>
          <w:tcPr>
            <w:tcW w:w="1200" w:type="dxa"/>
            <w:tcBorders>
              <w:top w:val="nil"/>
              <w:left w:val="nil"/>
              <w:bottom w:val="nil"/>
              <w:right w:val="single" w:sz="4" w:space="0" w:color="auto"/>
            </w:tcBorders>
            <w:shd w:val="clear" w:color="000000" w:fill="203764"/>
            <w:noWrap/>
            <w:vAlign w:val="center"/>
            <w:hideMark/>
          </w:tcPr>
          <w:p w14:paraId="16731482" w14:textId="77777777" w:rsidR="006E4AF3" w:rsidRPr="00832773" w:rsidRDefault="006E4AF3" w:rsidP="006E4AF3">
            <w:pPr>
              <w:spacing w:line="240" w:lineRule="auto"/>
              <w:jc w:val="center"/>
              <w:rPr>
                <w:rFonts w:cs="Calibri"/>
                <w:b/>
                <w:bCs/>
                <w:color w:val="FFFFFF"/>
                <w:sz w:val="20"/>
                <w:lang w:eastAsia="es-CR"/>
              </w:rPr>
            </w:pPr>
            <w:r w:rsidRPr="00832773">
              <w:rPr>
                <w:rFonts w:cs="Calibri"/>
                <w:b/>
                <w:bCs/>
                <w:color w:val="FFFFFF"/>
                <w:sz w:val="20"/>
                <w:lang w:eastAsia="es-CR"/>
              </w:rPr>
              <w:t>1</w:t>
            </w:r>
          </w:p>
        </w:tc>
        <w:tc>
          <w:tcPr>
            <w:tcW w:w="1200" w:type="dxa"/>
            <w:tcBorders>
              <w:top w:val="nil"/>
              <w:left w:val="nil"/>
              <w:bottom w:val="nil"/>
              <w:right w:val="single" w:sz="4" w:space="0" w:color="auto"/>
            </w:tcBorders>
            <w:shd w:val="clear" w:color="000000" w:fill="203764"/>
            <w:noWrap/>
            <w:vAlign w:val="center"/>
            <w:hideMark/>
          </w:tcPr>
          <w:p w14:paraId="57E67D58" w14:textId="77777777" w:rsidR="006E4AF3" w:rsidRPr="00832773" w:rsidRDefault="006E4AF3" w:rsidP="006E4AF3">
            <w:pPr>
              <w:spacing w:line="240" w:lineRule="auto"/>
              <w:jc w:val="center"/>
              <w:rPr>
                <w:rFonts w:cs="Calibri"/>
                <w:b/>
                <w:bCs/>
                <w:color w:val="FFFFFF"/>
                <w:sz w:val="20"/>
                <w:lang w:eastAsia="es-CR"/>
              </w:rPr>
            </w:pPr>
            <w:r w:rsidRPr="00832773">
              <w:rPr>
                <w:rFonts w:cs="Calibri"/>
                <w:b/>
                <w:bCs/>
                <w:color w:val="FFFFFF"/>
                <w:sz w:val="20"/>
                <w:lang w:eastAsia="es-CR"/>
              </w:rPr>
              <w:t>2</w:t>
            </w:r>
          </w:p>
        </w:tc>
        <w:tc>
          <w:tcPr>
            <w:tcW w:w="1200" w:type="dxa"/>
            <w:tcBorders>
              <w:top w:val="nil"/>
              <w:left w:val="nil"/>
              <w:bottom w:val="nil"/>
              <w:right w:val="nil"/>
            </w:tcBorders>
            <w:shd w:val="clear" w:color="000000" w:fill="203764"/>
            <w:noWrap/>
            <w:vAlign w:val="center"/>
            <w:hideMark/>
          </w:tcPr>
          <w:p w14:paraId="40636E33" w14:textId="77777777" w:rsidR="006E4AF3" w:rsidRPr="00832773" w:rsidRDefault="006E4AF3" w:rsidP="006E4AF3">
            <w:pPr>
              <w:spacing w:line="240" w:lineRule="auto"/>
              <w:jc w:val="center"/>
              <w:rPr>
                <w:rFonts w:cs="Calibri"/>
                <w:b/>
                <w:bCs/>
                <w:color w:val="FFFFFF"/>
                <w:sz w:val="20"/>
                <w:lang w:eastAsia="es-CR"/>
              </w:rPr>
            </w:pPr>
            <w:r w:rsidRPr="00832773">
              <w:rPr>
                <w:rFonts w:cs="Calibri"/>
                <w:b/>
                <w:bCs/>
                <w:color w:val="FFFFFF"/>
                <w:sz w:val="20"/>
                <w:lang w:eastAsia="es-CR"/>
              </w:rPr>
              <w:t>3</w:t>
            </w:r>
          </w:p>
        </w:tc>
      </w:tr>
      <w:tr w:rsidR="006E4AF3" w:rsidRPr="004E74A6" w14:paraId="26AD2383" w14:textId="77777777" w:rsidTr="00832773">
        <w:trPr>
          <w:trHeight w:val="443"/>
          <w:jc w:val="center"/>
        </w:trPr>
        <w:tc>
          <w:tcPr>
            <w:tcW w:w="4101" w:type="dxa"/>
            <w:tcBorders>
              <w:top w:val="nil"/>
              <w:left w:val="nil"/>
              <w:bottom w:val="nil"/>
              <w:right w:val="single" w:sz="4" w:space="0" w:color="auto"/>
            </w:tcBorders>
            <w:shd w:val="clear" w:color="000000" w:fill="D9E1F2"/>
            <w:noWrap/>
            <w:vAlign w:val="center"/>
            <w:hideMark/>
          </w:tcPr>
          <w:p w14:paraId="0531A432" w14:textId="4F99A4FB" w:rsidR="006E4AF3" w:rsidRPr="00832773" w:rsidRDefault="00CC283B" w:rsidP="006E4AF3">
            <w:pPr>
              <w:spacing w:line="240" w:lineRule="auto"/>
              <w:ind w:firstLineChars="300" w:firstLine="600"/>
              <w:jc w:val="left"/>
              <w:rPr>
                <w:rFonts w:cs="Calibri"/>
                <w:color w:val="000000"/>
                <w:sz w:val="20"/>
                <w:lang w:eastAsia="es-CR"/>
              </w:rPr>
            </w:pPr>
            <w:r w:rsidRPr="004E74A6">
              <w:rPr>
                <w:rFonts w:cs="Calibri"/>
                <w:color w:val="000000"/>
                <w:sz w:val="20"/>
                <w:lang w:eastAsia="es-CR"/>
              </w:rPr>
              <w:t xml:space="preserve">Por </w:t>
            </w:r>
            <w:r w:rsidR="006E4AF3" w:rsidRPr="00832773">
              <w:rPr>
                <w:rFonts w:cs="Calibri"/>
                <w:color w:val="000000"/>
                <w:sz w:val="20"/>
                <w:lang w:eastAsia="es-CR"/>
              </w:rPr>
              <w:t>Quiebra</w:t>
            </w:r>
          </w:p>
        </w:tc>
        <w:tc>
          <w:tcPr>
            <w:tcW w:w="1200" w:type="dxa"/>
            <w:tcBorders>
              <w:top w:val="nil"/>
              <w:left w:val="nil"/>
              <w:bottom w:val="nil"/>
              <w:right w:val="single" w:sz="4" w:space="0" w:color="auto"/>
            </w:tcBorders>
            <w:shd w:val="clear" w:color="000000" w:fill="D9E1F2"/>
            <w:noWrap/>
            <w:vAlign w:val="center"/>
            <w:hideMark/>
          </w:tcPr>
          <w:p w14:paraId="5C74B83A" w14:textId="77777777" w:rsidR="006E4AF3" w:rsidRPr="00832773" w:rsidRDefault="006E4AF3" w:rsidP="006E4AF3">
            <w:pPr>
              <w:spacing w:line="240" w:lineRule="auto"/>
              <w:jc w:val="center"/>
              <w:rPr>
                <w:rFonts w:cs="Calibri"/>
                <w:color w:val="000000"/>
                <w:sz w:val="20"/>
                <w:lang w:eastAsia="es-CR"/>
              </w:rPr>
            </w:pPr>
            <w:r w:rsidRPr="00832773">
              <w:rPr>
                <w:rFonts w:cs="Calibri"/>
                <w:color w:val="000000"/>
                <w:sz w:val="20"/>
                <w:lang w:eastAsia="es-CR"/>
              </w:rPr>
              <w:t>1</w:t>
            </w:r>
          </w:p>
        </w:tc>
        <w:tc>
          <w:tcPr>
            <w:tcW w:w="1200" w:type="dxa"/>
            <w:tcBorders>
              <w:top w:val="nil"/>
              <w:left w:val="nil"/>
              <w:bottom w:val="nil"/>
              <w:right w:val="single" w:sz="4" w:space="0" w:color="auto"/>
            </w:tcBorders>
            <w:shd w:val="clear" w:color="000000" w:fill="D9E1F2"/>
            <w:noWrap/>
            <w:vAlign w:val="center"/>
            <w:hideMark/>
          </w:tcPr>
          <w:p w14:paraId="04CC6D67" w14:textId="77777777" w:rsidR="006E4AF3" w:rsidRPr="00832773" w:rsidRDefault="006E4AF3" w:rsidP="006E4AF3">
            <w:pPr>
              <w:spacing w:line="240" w:lineRule="auto"/>
              <w:jc w:val="center"/>
              <w:rPr>
                <w:rFonts w:cs="Calibri"/>
                <w:color w:val="000000"/>
                <w:sz w:val="20"/>
                <w:lang w:eastAsia="es-CR"/>
              </w:rPr>
            </w:pPr>
            <w:r w:rsidRPr="00832773">
              <w:rPr>
                <w:rFonts w:cs="Calibri"/>
                <w:color w:val="000000"/>
                <w:sz w:val="20"/>
                <w:lang w:eastAsia="es-CR"/>
              </w:rPr>
              <w:t>2</w:t>
            </w:r>
          </w:p>
        </w:tc>
        <w:tc>
          <w:tcPr>
            <w:tcW w:w="1200" w:type="dxa"/>
            <w:tcBorders>
              <w:top w:val="nil"/>
              <w:left w:val="nil"/>
              <w:bottom w:val="nil"/>
              <w:right w:val="nil"/>
            </w:tcBorders>
            <w:shd w:val="clear" w:color="000000" w:fill="D9E1F2"/>
            <w:noWrap/>
            <w:vAlign w:val="center"/>
            <w:hideMark/>
          </w:tcPr>
          <w:p w14:paraId="318DC436" w14:textId="77777777" w:rsidR="006E4AF3" w:rsidRPr="00832773" w:rsidRDefault="006E4AF3" w:rsidP="006E4AF3">
            <w:pPr>
              <w:spacing w:line="240" w:lineRule="auto"/>
              <w:jc w:val="center"/>
              <w:rPr>
                <w:rFonts w:cs="Calibri"/>
                <w:color w:val="000000"/>
                <w:sz w:val="20"/>
                <w:lang w:eastAsia="es-CR"/>
              </w:rPr>
            </w:pPr>
            <w:r w:rsidRPr="00832773">
              <w:rPr>
                <w:rFonts w:cs="Calibri"/>
                <w:color w:val="000000"/>
                <w:sz w:val="20"/>
                <w:lang w:eastAsia="es-CR"/>
              </w:rPr>
              <w:t>3</w:t>
            </w:r>
          </w:p>
        </w:tc>
      </w:tr>
      <w:tr w:rsidR="006E4AF3" w:rsidRPr="004E74A6" w14:paraId="234CC2C1" w14:textId="77777777" w:rsidTr="00832773">
        <w:trPr>
          <w:trHeight w:val="443"/>
          <w:jc w:val="center"/>
        </w:trPr>
        <w:tc>
          <w:tcPr>
            <w:tcW w:w="4101" w:type="dxa"/>
            <w:tcBorders>
              <w:top w:val="nil"/>
              <w:left w:val="nil"/>
              <w:right w:val="single" w:sz="4" w:space="0" w:color="auto"/>
            </w:tcBorders>
            <w:shd w:val="clear" w:color="auto" w:fill="auto"/>
            <w:noWrap/>
            <w:vAlign w:val="center"/>
            <w:hideMark/>
          </w:tcPr>
          <w:p w14:paraId="5B380E89" w14:textId="77777777" w:rsidR="006E4AF3" w:rsidRPr="00832773" w:rsidRDefault="006E4AF3" w:rsidP="006E4AF3">
            <w:pPr>
              <w:spacing w:line="240" w:lineRule="auto"/>
              <w:ind w:firstLineChars="500" w:firstLine="1000"/>
              <w:jc w:val="left"/>
              <w:rPr>
                <w:rFonts w:cs="Calibri"/>
                <w:i/>
                <w:iCs/>
                <w:color w:val="000000"/>
                <w:sz w:val="20"/>
                <w:lang w:eastAsia="es-CR"/>
              </w:rPr>
            </w:pPr>
            <w:r w:rsidRPr="00832773">
              <w:rPr>
                <w:rFonts w:cs="Calibri"/>
                <w:i/>
                <w:iCs/>
                <w:color w:val="000000"/>
                <w:sz w:val="20"/>
                <w:lang w:eastAsia="es-CR"/>
              </w:rPr>
              <w:t>Expedientes Cuantía Cero</w:t>
            </w:r>
          </w:p>
        </w:tc>
        <w:tc>
          <w:tcPr>
            <w:tcW w:w="1200" w:type="dxa"/>
            <w:tcBorders>
              <w:top w:val="nil"/>
              <w:left w:val="nil"/>
              <w:right w:val="single" w:sz="4" w:space="0" w:color="auto"/>
            </w:tcBorders>
            <w:shd w:val="clear" w:color="auto" w:fill="auto"/>
            <w:noWrap/>
            <w:vAlign w:val="center"/>
            <w:hideMark/>
          </w:tcPr>
          <w:p w14:paraId="10929595" w14:textId="77777777" w:rsidR="006E4AF3" w:rsidRPr="00832773" w:rsidRDefault="006E4AF3" w:rsidP="006E4AF3">
            <w:pPr>
              <w:spacing w:line="240" w:lineRule="auto"/>
              <w:jc w:val="center"/>
              <w:rPr>
                <w:rFonts w:cs="Calibri"/>
                <w:i/>
                <w:iCs/>
                <w:color w:val="000000"/>
                <w:sz w:val="20"/>
                <w:lang w:eastAsia="es-CR"/>
              </w:rPr>
            </w:pPr>
            <w:r w:rsidRPr="00832773">
              <w:rPr>
                <w:rFonts w:cs="Calibri"/>
                <w:i/>
                <w:iCs/>
                <w:color w:val="000000"/>
                <w:sz w:val="20"/>
                <w:lang w:eastAsia="es-CR"/>
              </w:rPr>
              <w:t>1</w:t>
            </w:r>
          </w:p>
        </w:tc>
        <w:tc>
          <w:tcPr>
            <w:tcW w:w="1200" w:type="dxa"/>
            <w:tcBorders>
              <w:top w:val="nil"/>
              <w:left w:val="nil"/>
              <w:right w:val="single" w:sz="4" w:space="0" w:color="auto"/>
            </w:tcBorders>
            <w:shd w:val="clear" w:color="auto" w:fill="auto"/>
            <w:noWrap/>
            <w:vAlign w:val="center"/>
            <w:hideMark/>
          </w:tcPr>
          <w:p w14:paraId="6281399D" w14:textId="77777777" w:rsidR="006E4AF3" w:rsidRPr="00832773" w:rsidRDefault="006E4AF3" w:rsidP="006E4AF3">
            <w:pPr>
              <w:spacing w:line="240" w:lineRule="auto"/>
              <w:jc w:val="center"/>
              <w:rPr>
                <w:rFonts w:cs="Calibri"/>
                <w:i/>
                <w:iCs/>
                <w:color w:val="000000"/>
                <w:sz w:val="20"/>
                <w:lang w:eastAsia="es-CR"/>
              </w:rPr>
            </w:pPr>
            <w:r w:rsidRPr="00832773">
              <w:rPr>
                <w:rFonts w:cs="Calibri"/>
                <w:i/>
                <w:iCs/>
                <w:color w:val="000000"/>
                <w:sz w:val="20"/>
                <w:lang w:eastAsia="es-CR"/>
              </w:rPr>
              <w:t>2</w:t>
            </w:r>
          </w:p>
        </w:tc>
        <w:tc>
          <w:tcPr>
            <w:tcW w:w="1200" w:type="dxa"/>
            <w:tcBorders>
              <w:top w:val="nil"/>
              <w:left w:val="nil"/>
              <w:right w:val="nil"/>
            </w:tcBorders>
            <w:shd w:val="clear" w:color="auto" w:fill="auto"/>
            <w:noWrap/>
            <w:vAlign w:val="center"/>
            <w:hideMark/>
          </w:tcPr>
          <w:p w14:paraId="128C16A0" w14:textId="77777777" w:rsidR="006E4AF3" w:rsidRPr="00832773" w:rsidRDefault="006E4AF3" w:rsidP="006E4AF3">
            <w:pPr>
              <w:spacing w:line="240" w:lineRule="auto"/>
              <w:jc w:val="center"/>
              <w:rPr>
                <w:rFonts w:cs="Calibri"/>
                <w:i/>
                <w:iCs/>
                <w:color w:val="000000"/>
                <w:sz w:val="20"/>
                <w:lang w:eastAsia="es-CR"/>
              </w:rPr>
            </w:pPr>
            <w:r w:rsidRPr="00832773">
              <w:rPr>
                <w:rFonts w:cs="Calibri"/>
                <w:i/>
                <w:iCs/>
                <w:color w:val="000000"/>
                <w:sz w:val="20"/>
                <w:lang w:eastAsia="es-CR"/>
              </w:rPr>
              <w:t>1</w:t>
            </w:r>
          </w:p>
        </w:tc>
      </w:tr>
      <w:tr w:rsidR="006E4AF3" w:rsidRPr="004E74A6" w14:paraId="7976ACA9" w14:textId="77777777" w:rsidTr="00832773">
        <w:trPr>
          <w:trHeight w:val="443"/>
          <w:jc w:val="center"/>
        </w:trPr>
        <w:tc>
          <w:tcPr>
            <w:tcW w:w="4101" w:type="dxa"/>
            <w:tcBorders>
              <w:top w:val="nil"/>
              <w:left w:val="nil"/>
              <w:bottom w:val="single" w:sz="4" w:space="0" w:color="auto"/>
              <w:right w:val="single" w:sz="4" w:space="0" w:color="auto"/>
            </w:tcBorders>
            <w:shd w:val="clear" w:color="auto" w:fill="auto"/>
            <w:noWrap/>
            <w:vAlign w:val="center"/>
            <w:hideMark/>
          </w:tcPr>
          <w:p w14:paraId="52D83CA8" w14:textId="77777777" w:rsidR="006E4AF3" w:rsidRPr="00832773" w:rsidRDefault="006E4AF3" w:rsidP="006E4AF3">
            <w:pPr>
              <w:spacing w:line="240" w:lineRule="auto"/>
              <w:ind w:firstLineChars="500" w:firstLine="1000"/>
              <w:jc w:val="left"/>
              <w:rPr>
                <w:rFonts w:cs="Calibri"/>
                <w:i/>
                <w:iCs/>
                <w:color w:val="000000"/>
                <w:sz w:val="20"/>
                <w:lang w:eastAsia="es-CR"/>
              </w:rPr>
            </w:pPr>
            <w:r w:rsidRPr="00832773">
              <w:rPr>
                <w:rFonts w:cs="Calibri"/>
                <w:i/>
                <w:iCs/>
                <w:color w:val="000000"/>
                <w:sz w:val="20"/>
                <w:lang w:eastAsia="es-CR"/>
              </w:rPr>
              <w:t>Más de ¢100.000.000</w:t>
            </w:r>
          </w:p>
        </w:tc>
        <w:tc>
          <w:tcPr>
            <w:tcW w:w="1200" w:type="dxa"/>
            <w:tcBorders>
              <w:top w:val="nil"/>
              <w:left w:val="nil"/>
              <w:bottom w:val="single" w:sz="4" w:space="0" w:color="auto"/>
              <w:right w:val="single" w:sz="4" w:space="0" w:color="auto"/>
            </w:tcBorders>
            <w:shd w:val="clear" w:color="auto" w:fill="auto"/>
            <w:noWrap/>
            <w:vAlign w:val="center"/>
            <w:hideMark/>
          </w:tcPr>
          <w:p w14:paraId="4C9BCB01" w14:textId="77777777" w:rsidR="006E4AF3" w:rsidRPr="00832773" w:rsidRDefault="006E4AF3" w:rsidP="006E4AF3">
            <w:pPr>
              <w:spacing w:line="240" w:lineRule="auto"/>
              <w:jc w:val="center"/>
              <w:rPr>
                <w:rFonts w:cs="Calibri"/>
                <w:i/>
                <w:iCs/>
                <w:color w:val="000000"/>
                <w:sz w:val="20"/>
                <w:lang w:eastAsia="es-CR"/>
              </w:rPr>
            </w:pPr>
            <w:r w:rsidRPr="00832773">
              <w:rPr>
                <w:rFonts w:cs="Calibri"/>
                <w:i/>
                <w:iCs/>
                <w:color w:val="000000"/>
                <w:sz w:val="20"/>
                <w:lang w:eastAsia="es-CR"/>
              </w:rPr>
              <w:t> </w:t>
            </w:r>
          </w:p>
        </w:tc>
        <w:tc>
          <w:tcPr>
            <w:tcW w:w="1200" w:type="dxa"/>
            <w:tcBorders>
              <w:top w:val="nil"/>
              <w:left w:val="nil"/>
              <w:bottom w:val="single" w:sz="4" w:space="0" w:color="auto"/>
              <w:right w:val="single" w:sz="4" w:space="0" w:color="auto"/>
            </w:tcBorders>
            <w:shd w:val="clear" w:color="auto" w:fill="auto"/>
            <w:noWrap/>
            <w:vAlign w:val="center"/>
            <w:hideMark/>
          </w:tcPr>
          <w:p w14:paraId="0FC7B444" w14:textId="77777777" w:rsidR="006E4AF3" w:rsidRPr="00832773" w:rsidRDefault="006E4AF3" w:rsidP="006E4AF3">
            <w:pPr>
              <w:spacing w:line="240" w:lineRule="auto"/>
              <w:jc w:val="center"/>
              <w:rPr>
                <w:rFonts w:cs="Calibri"/>
                <w:i/>
                <w:iCs/>
                <w:color w:val="000000"/>
                <w:sz w:val="20"/>
                <w:lang w:eastAsia="es-CR"/>
              </w:rPr>
            </w:pPr>
            <w:r w:rsidRPr="00832773">
              <w:rPr>
                <w:rFonts w:cs="Calibri"/>
                <w:i/>
                <w:iCs/>
                <w:color w:val="000000"/>
                <w:sz w:val="20"/>
                <w:lang w:eastAsia="es-CR"/>
              </w:rPr>
              <w:t> </w:t>
            </w:r>
          </w:p>
        </w:tc>
        <w:tc>
          <w:tcPr>
            <w:tcW w:w="1200" w:type="dxa"/>
            <w:tcBorders>
              <w:top w:val="nil"/>
              <w:left w:val="nil"/>
              <w:bottom w:val="single" w:sz="4" w:space="0" w:color="auto"/>
              <w:right w:val="nil"/>
            </w:tcBorders>
            <w:shd w:val="clear" w:color="auto" w:fill="auto"/>
            <w:noWrap/>
            <w:vAlign w:val="center"/>
            <w:hideMark/>
          </w:tcPr>
          <w:p w14:paraId="7B5B5271" w14:textId="77777777" w:rsidR="006E4AF3" w:rsidRPr="00832773" w:rsidRDefault="006E4AF3" w:rsidP="006E4AF3">
            <w:pPr>
              <w:spacing w:line="240" w:lineRule="auto"/>
              <w:jc w:val="center"/>
              <w:rPr>
                <w:rFonts w:cs="Calibri"/>
                <w:i/>
                <w:iCs/>
                <w:color w:val="000000"/>
                <w:sz w:val="20"/>
                <w:lang w:eastAsia="es-CR"/>
              </w:rPr>
            </w:pPr>
            <w:r w:rsidRPr="00832773">
              <w:rPr>
                <w:rFonts w:cs="Calibri"/>
                <w:i/>
                <w:iCs/>
                <w:color w:val="000000"/>
                <w:sz w:val="20"/>
                <w:lang w:eastAsia="es-CR"/>
              </w:rPr>
              <w:t>2</w:t>
            </w:r>
          </w:p>
        </w:tc>
      </w:tr>
    </w:tbl>
    <w:p w14:paraId="4C817074" w14:textId="7B1D024A" w:rsidR="00755589" w:rsidRPr="004E74A6" w:rsidRDefault="00755589" w:rsidP="00832773">
      <w:pPr>
        <w:spacing w:line="276" w:lineRule="auto"/>
        <w:ind w:right="1191"/>
        <w:rPr>
          <w:rFonts w:cs="Calibri"/>
          <w:b/>
          <w:bCs/>
          <w:i/>
          <w:iCs/>
          <w:color w:val="000000"/>
          <w:sz w:val="20"/>
          <w:lang w:eastAsia="es-CR"/>
        </w:rPr>
      </w:pPr>
      <w:r w:rsidRPr="004E74A6">
        <w:rPr>
          <w:rFonts w:cs="Calibri"/>
          <w:b/>
          <w:bCs/>
          <w:i/>
          <w:iCs/>
          <w:color w:val="000000"/>
          <w:sz w:val="20"/>
          <w:lang w:eastAsia="es-CR"/>
        </w:rPr>
        <w:t xml:space="preserve">            Fuente: </w:t>
      </w:r>
      <w:r w:rsidRPr="004E74A6">
        <w:rPr>
          <w:rFonts w:cs="Calibri"/>
          <w:i/>
          <w:iCs/>
          <w:color w:val="000000"/>
          <w:sz w:val="20"/>
          <w:lang w:eastAsia="es-CR"/>
        </w:rPr>
        <w:t xml:space="preserve">Subproceso de Modernización Institucional, según estadísticas judiciales. </w:t>
      </w:r>
    </w:p>
    <w:p w14:paraId="271ACD41" w14:textId="77777777" w:rsidR="006E4AF3" w:rsidRPr="00832773" w:rsidRDefault="006E4AF3" w:rsidP="00762AD8">
      <w:pPr>
        <w:spacing w:line="276" w:lineRule="auto"/>
        <w:rPr>
          <w:rFonts w:eastAsia="Calibri"/>
          <w:lang w:eastAsia="en-US"/>
        </w:rPr>
      </w:pPr>
    </w:p>
    <w:p w14:paraId="0BDB413E" w14:textId="7CED0274" w:rsidR="00762AD8" w:rsidRPr="00832773" w:rsidRDefault="00762AD8" w:rsidP="00CE62C1">
      <w:pPr>
        <w:spacing w:line="276" w:lineRule="auto"/>
        <w:rPr>
          <w:rFonts w:eastAsia="Calibri"/>
          <w:lang w:eastAsia="en-US"/>
        </w:rPr>
      </w:pPr>
    </w:p>
    <w:p w14:paraId="2B8416E0" w14:textId="2EC982AA" w:rsidR="00762AD8" w:rsidRDefault="00762AD8" w:rsidP="00CE62C1">
      <w:pPr>
        <w:spacing w:line="276" w:lineRule="auto"/>
        <w:rPr>
          <w:rFonts w:eastAsia="Calibri"/>
          <w:lang w:eastAsia="en-US"/>
        </w:rPr>
      </w:pPr>
    </w:p>
    <w:p w14:paraId="03A692D9" w14:textId="285C2F34" w:rsidR="005D1B48" w:rsidRDefault="005D1B48" w:rsidP="00CE62C1">
      <w:pPr>
        <w:spacing w:line="276" w:lineRule="auto"/>
        <w:rPr>
          <w:rFonts w:eastAsia="Calibri"/>
          <w:lang w:eastAsia="en-US"/>
        </w:rPr>
      </w:pPr>
    </w:p>
    <w:p w14:paraId="738BA359" w14:textId="4F0675C8" w:rsidR="005D1B48" w:rsidRDefault="005D1B48" w:rsidP="00CE62C1">
      <w:pPr>
        <w:spacing w:line="276" w:lineRule="auto"/>
        <w:rPr>
          <w:rFonts w:eastAsia="Calibri"/>
          <w:lang w:eastAsia="en-US"/>
        </w:rPr>
      </w:pPr>
    </w:p>
    <w:p w14:paraId="45E15B96" w14:textId="718372D7" w:rsidR="005D1B48" w:rsidRDefault="005D1B48" w:rsidP="00CE62C1">
      <w:pPr>
        <w:spacing w:line="276" w:lineRule="auto"/>
        <w:rPr>
          <w:rFonts w:eastAsia="Calibri"/>
          <w:lang w:eastAsia="en-US"/>
        </w:rPr>
      </w:pPr>
    </w:p>
    <w:p w14:paraId="5AD98AC7" w14:textId="77777777" w:rsidR="005D1B48" w:rsidRPr="00832773" w:rsidRDefault="005D1B48" w:rsidP="00CE62C1">
      <w:pPr>
        <w:spacing w:line="276" w:lineRule="auto"/>
        <w:rPr>
          <w:rFonts w:eastAsia="Calibri"/>
          <w:lang w:eastAsia="en-US"/>
        </w:rPr>
      </w:pPr>
    </w:p>
    <w:p w14:paraId="1D67EC65" w14:textId="742742B2" w:rsidR="008D1A7A" w:rsidRPr="004E74A6" w:rsidRDefault="008D1A7A" w:rsidP="00832773">
      <w:pPr>
        <w:keepNext/>
        <w:keepLines/>
        <w:numPr>
          <w:ilvl w:val="0"/>
          <w:numId w:val="2"/>
        </w:numPr>
        <w:shd w:val="clear" w:color="auto" w:fill="2F86BB"/>
        <w:spacing w:before="240" w:line="276" w:lineRule="auto"/>
        <w:outlineLvl w:val="0"/>
        <w:rPr>
          <w:b/>
          <w:color w:val="FFFFFF"/>
          <w:sz w:val="22"/>
          <w:szCs w:val="22"/>
          <w:lang w:eastAsia="en-US"/>
        </w:rPr>
      </w:pPr>
      <w:r w:rsidRPr="00832773">
        <w:rPr>
          <w:b/>
          <w:color w:val="FFFFFF"/>
          <w:szCs w:val="32"/>
          <w:lang w:eastAsia="en-US"/>
        </w:rPr>
        <w:lastRenderedPageBreak/>
        <w:t>Impacto</w:t>
      </w:r>
      <w:r w:rsidRPr="004E74A6">
        <w:rPr>
          <w:b/>
          <w:color w:val="FFFFFF"/>
          <w:sz w:val="22"/>
          <w:szCs w:val="22"/>
          <w:lang w:eastAsia="en-US"/>
        </w:rPr>
        <w:t xml:space="preserve"> de un cambio de cuantía Civil en materia Agraria</w:t>
      </w:r>
    </w:p>
    <w:p w14:paraId="6D2707CC" w14:textId="77777777" w:rsidR="00DF2898" w:rsidRDefault="00DF2898" w:rsidP="00CE62C1">
      <w:pPr>
        <w:pStyle w:val="Prrafodelista"/>
        <w:spacing w:line="276" w:lineRule="auto"/>
        <w:ind w:left="0"/>
        <w:contextualSpacing/>
        <w:rPr>
          <w:rFonts w:ascii="Book Antiqua" w:hAnsi="Book Antiqua" w:cs="Times New Roman"/>
          <w:lang w:val="es-CR"/>
        </w:rPr>
      </w:pPr>
    </w:p>
    <w:p w14:paraId="5F988822" w14:textId="18D2E1A4" w:rsidR="00C71A9D" w:rsidRPr="004E74A6" w:rsidRDefault="00C71A9D" w:rsidP="00CE62C1">
      <w:pPr>
        <w:pStyle w:val="Prrafodelista"/>
        <w:spacing w:line="276" w:lineRule="auto"/>
        <w:ind w:left="0"/>
        <w:contextualSpacing/>
        <w:rPr>
          <w:rFonts w:ascii="Book Antiqua" w:hAnsi="Book Antiqua" w:cs="Times New Roman"/>
          <w:lang w:val="es-CR"/>
        </w:rPr>
      </w:pPr>
      <w:r w:rsidRPr="004E74A6">
        <w:rPr>
          <w:rFonts w:ascii="Book Antiqua" w:hAnsi="Book Antiqua" w:cs="Times New Roman"/>
          <w:lang w:val="es-CR"/>
        </w:rPr>
        <w:t xml:space="preserve">Como parte de las observaciones recibidas del equipo gestor en materia </w:t>
      </w:r>
      <w:r w:rsidR="005169E8" w:rsidRPr="004E74A6">
        <w:rPr>
          <w:rFonts w:ascii="Book Antiqua" w:hAnsi="Book Antiqua" w:cs="Times New Roman"/>
          <w:lang w:val="es-CR"/>
        </w:rPr>
        <w:t>C</w:t>
      </w:r>
      <w:r w:rsidRPr="004E74A6">
        <w:rPr>
          <w:rFonts w:ascii="Book Antiqua" w:hAnsi="Book Antiqua" w:cs="Times New Roman"/>
          <w:lang w:val="es-CR"/>
        </w:rPr>
        <w:t xml:space="preserve">ivil, se </w:t>
      </w:r>
      <w:r w:rsidR="00DC4950" w:rsidRPr="004E74A6">
        <w:rPr>
          <w:rFonts w:ascii="Book Antiqua" w:hAnsi="Book Antiqua" w:cs="Times New Roman"/>
          <w:lang w:val="es-CR"/>
        </w:rPr>
        <w:t>incluyó el siguiente apartado</w:t>
      </w:r>
      <w:r w:rsidRPr="004E74A6">
        <w:rPr>
          <w:rFonts w:ascii="Book Antiqua" w:hAnsi="Book Antiqua" w:cs="Times New Roman"/>
          <w:lang w:val="es-CR"/>
        </w:rPr>
        <w:t xml:space="preserve"> sobre la afectación </w:t>
      </w:r>
      <w:r w:rsidR="00DC4950" w:rsidRPr="004E74A6">
        <w:rPr>
          <w:rFonts w:ascii="Book Antiqua" w:hAnsi="Book Antiqua" w:cs="Times New Roman"/>
          <w:lang w:val="es-CR"/>
        </w:rPr>
        <w:t xml:space="preserve">en </w:t>
      </w:r>
      <w:r w:rsidRPr="004E74A6">
        <w:rPr>
          <w:rFonts w:ascii="Book Antiqua" w:hAnsi="Book Antiqua" w:cs="Times New Roman"/>
          <w:lang w:val="es-CR"/>
        </w:rPr>
        <w:t xml:space="preserve">la materia </w:t>
      </w:r>
      <w:r w:rsidR="00DC4950" w:rsidRPr="004E74A6">
        <w:rPr>
          <w:rFonts w:ascii="Book Antiqua" w:hAnsi="Book Antiqua" w:cs="Times New Roman"/>
          <w:lang w:val="es-CR"/>
        </w:rPr>
        <w:t>A</w:t>
      </w:r>
      <w:r w:rsidRPr="004E74A6">
        <w:rPr>
          <w:rFonts w:ascii="Book Antiqua" w:hAnsi="Book Antiqua" w:cs="Times New Roman"/>
          <w:lang w:val="es-CR"/>
        </w:rPr>
        <w:t>graria</w:t>
      </w:r>
      <w:r w:rsidR="00DC4950" w:rsidRPr="004E74A6">
        <w:rPr>
          <w:rFonts w:ascii="Book Antiqua" w:hAnsi="Book Antiqua" w:cs="Times New Roman"/>
          <w:lang w:val="es-CR"/>
        </w:rPr>
        <w:t xml:space="preserve"> de incrementarse la cuantía Civil. </w:t>
      </w:r>
    </w:p>
    <w:p w14:paraId="59E46C2E" w14:textId="50001E84" w:rsidR="00DC4950" w:rsidRPr="004E74A6" w:rsidRDefault="00DC4950" w:rsidP="00CE62C1">
      <w:pPr>
        <w:pStyle w:val="Prrafodelista"/>
        <w:spacing w:line="276" w:lineRule="auto"/>
        <w:ind w:left="0"/>
        <w:contextualSpacing/>
        <w:rPr>
          <w:rFonts w:ascii="Book Antiqua" w:hAnsi="Book Antiqua" w:cs="Times New Roman"/>
          <w:lang w:val="es-CR"/>
        </w:rPr>
      </w:pPr>
    </w:p>
    <w:p w14:paraId="2F9F7EE1" w14:textId="13A9451A" w:rsidR="00DC4950" w:rsidRPr="004E74A6" w:rsidRDefault="00DC4950" w:rsidP="00CE62C1">
      <w:pPr>
        <w:pStyle w:val="Prrafodelista"/>
        <w:spacing w:line="276" w:lineRule="auto"/>
        <w:ind w:left="0"/>
        <w:contextualSpacing/>
        <w:rPr>
          <w:rFonts w:ascii="Book Antiqua" w:hAnsi="Book Antiqua" w:cs="Times New Roman"/>
          <w:lang w:val="es-CR"/>
        </w:rPr>
      </w:pPr>
      <w:r w:rsidRPr="004E74A6">
        <w:rPr>
          <w:rFonts w:ascii="Book Antiqua" w:hAnsi="Book Antiqua" w:cs="Times New Roman"/>
          <w:lang w:val="es-CR"/>
        </w:rPr>
        <w:t xml:space="preserve">Actualmente </w:t>
      </w:r>
      <w:r w:rsidR="00165C8F" w:rsidRPr="004E74A6">
        <w:rPr>
          <w:rFonts w:ascii="Book Antiqua" w:hAnsi="Book Antiqua" w:cs="Times New Roman"/>
          <w:lang w:val="es-CR"/>
        </w:rPr>
        <w:t>la</w:t>
      </w:r>
      <w:r w:rsidRPr="004E74A6">
        <w:rPr>
          <w:rFonts w:ascii="Book Antiqua" w:hAnsi="Book Antiqua" w:cs="Times New Roman"/>
          <w:lang w:val="es-CR"/>
        </w:rPr>
        <w:t xml:space="preserve"> materia Agraria utiliza la misma cuantía de materia Civil.</w:t>
      </w:r>
      <w:r w:rsidR="00301E11" w:rsidRPr="004E74A6">
        <w:rPr>
          <w:rFonts w:ascii="Book Antiqua" w:hAnsi="Book Antiqua" w:cs="Times New Roman"/>
          <w:lang w:val="es-CR"/>
        </w:rPr>
        <w:t xml:space="preserve"> Consultada a la gestoría Civil, explican que si sube la cuantía en Civil también sube al mismo monto la cuantía Agraria</w:t>
      </w:r>
      <w:r w:rsidR="00CF2E03" w:rsidRPr="004E74A6">
        <w:rPr>
          <w:rFonts w:ascii="Book Antiqua" w:hAnsi="Book Antiqua" w:cs="Times New Roman"/>
          <w:lang w:val="es-CR"/>
        </w:rPr>
        <w:t>, por lo que de aprobarse por Corte algún incremento, también se esperaría una disminución en las casaciones agrarias que ingresen a la Sala Primera</w:t>
      </w:r>
      <w:r w:rsidR="00345B5C">
        <w:rPr>
          <w:rFonts w:ascii="Book Antiqua" w:hAnsi="Book Antiqua" w:cs="Times New Roman"/>
          <w:lang w:val="es-CR"/>
        </w:rPr>
        <w:t>, aunque su impacto no sería significativo ya que solo el 6% del total de las casaciones que recibe la Sala Primera son agrarias</w:t>
      </w:r>
      <w:r w:rsidR="00CF2E03" w:rsidRPr="004E74A6">
        <w:rPr>
          <w:rFonts w:ascii="Book Antiqua" w:hAnsi="Book Antiqua" w:cs="Times New Roman"/>
          <w:lang w:val="es-CR"/>
        </w:rPr>
        <w:t>.</w:t>
      </w:r>
    </w:p>
    <w:p w14:paraId="4A2914DB" w14:textId="6780E390" w:rsidR="00374B51" w:rsidRDefault="00374B51">
      <w:pPr>
        <w:pStyle w:val="Prrafodelista"/>
        <w:spacing w:line="276" w:lineRule="auto"/>
        <w:ind w:left="0"/>
        <w:contextualSpacing/>
        <w:rPr>
          <w:rFonts w:ascii="Book Antiqua" w:hAnsi="Book Antiqua" w:cs="Times New Roman"/>
          <w:szCs w:val="20"/>
          <w:lang w:val="es-CR"/>
        </w:rPr>
      </w:pPr>
    </w:p>
    <w:p w14:paraId="56A707C4" w14:textId="178CEA04" w:rsidR="00374B51" w:rsidRDefault="00374B51">
      <w:pPr>
        <w:pStyle w:val="Prrafodelista"/>
        <w:spacing w:line="276" w:lineRule="auto"/>
        <w:ind w:left="0"/>
        <w:contextualSpacing/>
        <w:rPr>
          <w:rFonts w:ascii="Book Antiqua" w:hAnsi="Book Antiqua" w:cs="Times New Roman"/>
          <w:szCs w:val="20"/>
          <w:lang w:val="es-CR"/>
        </w:rPr>
      </w:pPr>
      <w:r>
        <w:rPr>
          <w:rFonts w:ascii="Book Antiqua" w:hAnsi="Book Antiqua" w:cs="Times New Roman"/>
          <w:szCs w:val="20"/>
          <w:lang w:val="es-CR"/>
        </w:rPr>
        <w:t xml:space="preserve">De incrementarse la cuantía a 20 millones de </w:t>
      </w:r>
      <w:r w:rsidR="00DF2898">
        <w:rPr>
          <w:rFonts w:ascii="Book Antiqua" w:hAnsi="Book Antiqua" w:cs="Times New Roman"/>
          <w:szCs w:val="20"/>
          <w:lang w:val="es-CR"/>
        </w:rPr>
        <w:t>colones,</w:t>
      </w:r>
      <w:r>
        <w:rPr>
          <w:rFonts w:ascii="Book Antiqua" w:hAnsi="Book Antiqua" w:cs="Times New Roman"/>
          <w:szCs w:val="20"/>
          <w:lang w:val="es-CR"/>
        </w:rPr>
        <w:t xml:space="preserve"> por ejemplo, la disminución en la entrada de casaciones agrarias sería de 9 recursos al año en promedio seg</w:t>
      </w:r>
      <w:r w:rsidR="00345B5C">
        <w:rPr>
          <w:rFonts w:ascii="Book Antiqua" w:hAnsi="Book Antiqua" w:cs="Times New Roman"/>
          <w:szCs w:val="20"/>
          <w:lang w:val="es-CR"/>
        </w:rPr>
        <w:t>ún da</w:t>
      </w:r>
      <w:r>
        <w:rPr>
          <w:rFonts w:ascii="Book Antiqua" w:hAnsi="Book Antiqua" w:cs="Times New Roman"/>
          <w:szCs w:val="20"/>
          <w:lang w:val="es-CR"/>
        </w:rPr>
        <w:t xml:space="preserve">tos de entrada de la Sala Primera </w:t>
      </w:r>
      <w:r w:rsidR="00345B5C">
        <w:rPr>
          <w:rFonts w:ascii="Book Antiqua" w:hAnsi="Book Antiqua" w:cs="Times New Roman"/>
          <w:szCs w:val="20"/>
          <w:lang w:val="es-CR"/>
        </w:rPr>
        <w:t xml:space="preserve">para </w:t>
      </w:r>
      <w:r>
        <w:rPr>
          <w:rFonts w:ascii="Book Antiqua" w:hAnsi="Book Antiqua" w:cs="Times New Roman"/>
          <w:szCs w:val="20"/>
          <w:lang w:val="es-CR"/>
        </w:rPr>
        <w:t xml:space="preserve">el periodo de 2019 a 2021: </w:t>
      </w:r>
    </w:p>
    <w:p w14:paraId="140577CC" w14:textId="299CE247" w:rsidR="00374B51" w:rsidRDefault="00374B51">
      <w:pPr>
        <w:pStyle w:val="Prrafodelista"/>
        <w:spacing w:line="276" w:lineRule="auto"/>
        <w:ind w:left="0"/>
        <w:contextualSpacing/>
        <w:rPr>
          <w:rFonts w:ascii="Book Antiqua" w:hAnsi="Book Antiqua" w:cs="Times New Roman"/>
          <w:szCs w:val="20"/>
          <w:lang w:val="es-CR"/>
        </w:rPr>
      </w:pPr>
    </w:p>
    <w:p w14:paraId="49FCB3A8" w14:textId="42A38BD6" w:rsidR="00374B51" w:rsidRPr="00832773" w:rsidRDefault="00374B51" w:rsidP="00832773">
      <w:pPr>
        <w:pStyle w:val="Descripcin"/>
        <w:keepNext/>
        <w:spacing w:line="240" w:lineRule="auto"/>
        <w:jc w:val="center"/>
        <w:rPr>
          <w:rFonts w:ascii="Book Antiqua" w:hAnsi="Book Antiqua"/>
          <w:i/>
          <w:iCs/>
          <w:sz w:val="22"/>
          <w:szCs w:val="22"/>
        </w:rPr>
      </w:pPr>
      <w:r w:rsidRPr="00832773">
        <w:rPr>
          <w:rFonts w:ascii="Book Antiqua" w:hAnsi="Book Antiqua"/>
          <w:i/>
          <w:iCs/>
          <w:sz w:val="22"/>
          <w:szCs w:val="22"/>
        </w:rPr>
        <w:t xml:space="preserve">Tabla </w:t>
      </w:r>
      <w:r w:rsidRPr="00832773">
        <w:rPr>
          <w:rFonts w:ascii="Book Antiqua" w:hAnsi="Book Antiqua"/>
          <w:i/>
          <w:iCs/>
          <w:sz w:val="22"/>
          <w:szCs w:val="22"/>
        </w:rPr>
        <w:fldChar w:fldCharType="begin"/>
      </w:r>
      <w:r w:rsidRPr="00832773">
        <w:rPr>
          <w:rFonts w:ascii="Book Antiqua" w:hAnsi="Book Antiqua"/>
          <w:i/>
          <w:iCs/>
          <w:sz w:val="22"/>
          <w:szCs w:val="22"/>
        </w:rPr>
        <w:instrText xml:space="preserve"> SEQ Tabla \* ARABIC </w:instrText>
      </w:r>
      <w:r w:rsidRPr="00832773">
        <w:rPr>
          <w:rFonts w:ascii="Book Antiqua" w:hAnsi="Book Antiqua"/>
          <w:i/>
          <w:iCs/>
          <w:sz w:val="22"/>
          <w:szCs w:val="22"/>
        </w:rPr>
        <w:fldChar w:fldCharType="separate"/>
      </w:r>
      <w:r w:rsidRPr="00832773">
        <w:rPr>
          <w:rFonts w:ascii="Book Antiqua" w:hAnsi="Book Antiqua"/>
          <w:i/>
          <w:iCs/>
          <w:noProof/>
          <w:sz w:val="22"/>
          <w:szCs w:val="22"/>
        </w:rPr>
        <w:t>70</w:t>
      </w:r>
      <w:r w:rsidRPr="00832773">
        <w:rPr>
          <w:rFonts w:ascii="Book Antiqua" w:hAnsi="Book Antiqua"/>
          <w:i/>
          <w:iCs/>
          <w:sz w:val="22"/>
          <w:szCs w:val="22"/>
        </w:rPr>
        <w:fldChar w:fldCharType="end"/>
      </w:r>
    </w:p>
    <w:p w14:paraId="17385E12" w14:textId="29DCBC4F" w:rsidR="00374B51" w:rsidRPr="00832773" w:rsidRDefault="00374B51" w:rsidP="00832773">
      <w:pPr>
        <w:spacing w:line="240" w:lineRule="auto"/>
        <w:jc w:val="center"/>
        <w:rPr>
          <w:b/>
          <w:bCs/>
          <w:i/>
          <w:iCs/>
          <w:sz w:val="22"/>
          <w:szCs w:val="22"/>
          <w:lang w:val="es-ES"/>
        </w:rPr>
      </w:pPr>
      <w:r w:rsidRPr="00832773">
        <w:rPr>
          <w:b/>
          <w:bCs/>
          <w:i/>
          <w:iCs/>
          <w:sz w:val="22"/>
          <w:szCs w:val="22"/>
          <w:lang w:val="es-ES"/>
        </w:rPr>
        <w:t xml:space="preserve">Casaciones agrarias ingresadas a la Sala Primera, </w:t>
      </w:r>
      <w:r w:rsidR="00080076">
        <w:rPr>
          <w:b/>
          <w:bCs/>
          <w:i/>
          <w:iCs/>
          <w:sz w:val="22"/>
          <w:szCs w:val="22"/>
          <w:lang w:val="es-ES"/>
        </w:rPr>
        <w:t xml:space="preserve">por rango de cuantía, </w:t>
      </w:r>
      <w:r w:rsidRPr="00832773">
        <w:rPr>
          <w:b/>
          <w:bCs/>
          <w:i/>
          <w:iCs/>
          <w:sz w:val="22"/>
          <w:szCs w:val="22"/>
          <w:lang w:val="es-ES"/>
        </w:rPr>
        <w:t>2019 a 2021</w:t>
      </w:r>
    </w:p>
    <w:tbl>
      <w:tblPr>
        <w:tblW w:w="9457" w:type="dxa"/>
        <w:tblCellMar>
          <w:left w:w="70" w:type="dxa"/>
          <w:right w:w="70" w:type="dxa"/>
        </w:tblCellMar>
        <w:tblLook w:val="04A0" w:firstRow="1" w:lastRow="0" w:firstColumn="1" w:lastColumn="0" w:noHBand="0" w:noVBand="1"/>
      </w:tblPr>
      <w:tblGrid>
        <w:gridCol w:w="3280"/>
        <w:gridCol w:w="1220"/>
        <w:gridCol w:w="1220"/>
        <w:gridCol w:w="1220"/>
        <w:gridCol w:w="1220"/>
        <w:gridCol w:w="1297"/>
      </w:tblGrid>
      <w:tr w:rsidR="00374B51" w:rsidRPr="00374B51" w14:paraId="6A1DEFC3" w14:textId="77777777" w:rsidTr="00832773">
        <w:trPr>
          <w:trHeight w:val="540"/>
        </w:trPr>
        <w:tc>
          <w:tcPr>
            <w:tcW w:w="3280" w:type="dxa"/>
            <w:tcBorders>
              <w:top w:val="single" w:sz="4" w:space="0" w:color="auto"/>
              <w:left w:val="nil"/>
              <w:bottom w:val="single" w:sz="4" w:space="0" w:color="auto"/>
              <w:right w:val="single" w:sz="4" w:space="0" w:color="auto"/>
            </w:tcBorders>
            <w:shd w:val="clear" w:color="auto" w:fill="auto"/>
            <w:noWrap/>
            <w:vAlign w:val="center"/>
            <w:hideMark/>
          </w:tcPr>
          <w:p w14:paraId="0D292216" w14:textId="77777777" w:rsidR="00374B51" w:rsidRPr="00374B51" w:rsidRDefault="00374B51" w:rsidP="00374B51">
            <w:pPr>
              <w:spacing w:line="240" w:lineRule="auto"/>
              <w:jc w:val="center"/>
              <w:rPr>
                <w:rFonts w:cs="Calibri"/>
                <w:color w:val="000000"/>
                <w:sz w:val="22"/>
                <w:szCs w:val="22"/>
                <w:lang w:eastAsia="es-CR"/>
              </w:rPr>
            </w:pPr>
            <w:r w:rsidRPr="00374B51">
              <w:rPr>
                <w:rFonts w:cs="Calibri"/>
                <w:color w:val="000000"/>
                <w:sz w:val="22"/>
                <w:szCs w:val="22"/>
                <w:lang w:eastAsia="es-CR"/>
              </w:rPr>
              <w:t>Rango de cuantía</w:t>
            </w:r>
          </w:p>
        </w:tc>
        <w:tc>
          <w:tcPr>
            <w:tcW w:w="1220" w:type="dxa"/>
            <w:tcBorders>
              <w:top w:val="single" w:sz="4" w:space="0" w:color="auto"/>
              <w:left w:val="nil"/>
              <w:bottom w:val="single" w:sz="4" w:space="0" w:color="auto"/>
              <w:right w:val="single" w:sz="4" w:space="0" w:color="auto"/>
            </w:tcBorders>
            <w:shd w:val="clear" w:color="auto" w:fill="auto"/>
            <w:noWrap/>
            <w:vAlign w:val="center"/>
            <w:hideMark/>
          </w:tcPr>
          <w:p w14:paraId="7E0D7051" w14:textId="77777777" w:rsidR="00374B51" w:rsidRPr="00374B51" w:rsidRDefault="00374B51" w:rsidP="00374B51">
            <w:pPr>
              <w:spacing w:line="240" w:lineRule="auto"/>
              <w:jc w:val="center"/>
              <w:rPr>
                <w:rFonts w:cs="Calibri"/>
                <w:color w:val="000000"/>
                <w:sz w:val="22"/>
                <w:szCs w:val="22"/>
                <w:lang w:eastAsia="es-CR"/>
              </w:rPr>
            </w:pPr>
            <w:r w:rsidRPr="00374B51">
              <w:rPr>
                <w:rFonts w:cs="Calibri"/>
                <w:color w:val="000000"/>
                <w:sz w:val="22"/>
                <w:szCs w:val="22"/>
                <w:lang w:eastAsia="es-CR"/>
              </w:rPr>
              <w:t>2019</w:t>
            </w:r>
          </w:p>
        </w:tc>
        <w:tc>
          <w:tcPr>
            <w:tcW w:w="1220" w:type="dxa"/>
            <w:tcBorders>
              <w:top w:val="single" w:sz="4" w:space="0" w:color="auto"/>
              <w:left w:val="nil"/>
              <w:bottom w:val="single" w:sz="4" w:space="0" w:color="auto"/>
              <w:right w:val="single" w:sz="4" w:space="0" w:color="auto"/>
            </w:tcBorders>
            <w:shd w:val="clear" w:color="auto" w:fill="auto"/>
            <w:noWrap/>
            <w:vAlign w:val="center"/>
            <w:hideMark/>
          </w:tcPr>
          <w:p w14:paraId="649ADAD2" w14:textId="77777777" w:rsidR="00374B51" w:rsidRPr="00374B51" w:rsidRDefault="00374B51" w:rsidP="00374B51">
            <w:pPr>
              <w:spacing w:line="240" w:lineRule="auto"/>
              <w:jc w:val="center"/>
              <w:rPr>
                <w:rFonts w:cs="Calibri"/>
                <w:color w:val="000000"/>
                <w:sz w:val="22"/>
                <w:szCs w:val="22"/>
                <w:lang w:eastAsia="es-CR"/>
              </w:rPr>
            </w:pPr>
            <w:r w:rsidRPr="00374B51">
              <w:rPr>
                <w:rFonts w:cs="Calibri"/>
                <w:color w:val="000000"/>
                <w:sz w:val="22"/>
                <w:szCs w:val="22"/>
                <w:lang w:eastAsia="es-CR"/>
              </w:rPr>
              <w:t>2020</w:t>
            </w:r>
          </w:p>
        </w:tc>
        <w:tc>
          <w:tcPr>
            <w:tcW w:w="1220" w:type="dxa"/>
            <w:tcBorders>
              <w:top w:val="single" w:sz="4" w:space="0" w:color="auto"/>
              <w:left w:val="nil"/>
              <w:bottom w:val="single" w:sz="4" w:space="0" w:color="auto"/>
              <w:right w:val="single" w:sz="4" w:space="0" w:color="auto"/>
            </w:tcBorders>
            <w:shd w:val="clear" w:color="auto" w:fill="auto"/>
            <w:noWrap/>
            <w:vAlign w:val="center"/>
            <w:hideMark/>
          </w:tcPr>
          <w:p w14:paraId="23C98CD2" w14:textId="77777777" w:rsidR="00374B51" w:rsidRPr="00374B51" w:rsidRDefault="00374B51" w:rsidP="00374B51">
            <w:pPr>
              <w:spacing w:line="240" w:lineRule="auto"/>
              <w:jc w:val="center"/>
              <w:rPr>
                <w:rFonts w:cs="Calibri"/>
                <w:color w:val="000000"/>
                <w:sz w:val="22"/>
                <w:szCs w:val="22"/>
                <w:lang w:eastAsia="es-CR"/>
              </w:rPr>
            </w:pPr>
            <w:r w:rsidRPr="00374B51">
              <w:rPr>
                <w:rFonts w:cs="Calibri"/>
                <w:color w:val="000000"/>
                <w:sz w:val="22"/>
                <w:szCs w:val="22"/>
                <w:lang w:eastAsia="es-CR"/>
              </w:rPr>
              <w:t>2021</w:t>
            </w:r>
          </w:p>
        </w:tc>
        <w:tc>
          <w:tcPr>
            <w:tcW w:w="1220" w:type="dxa"/>
            <w:tcBorders>
              <w:top w:val="single" w:sz="4" w:space="0" w:color="auto"/>
              <w:left w:val="nil"/>
              <w:bottom w:val="single" w:sz="4" w:space="0" w:color="auto"/>
              <w:right w:val="single" w:sz="4" w:space="0" w:color="auto"/>
            </w:tcBorders>
            <w:shd w:val="clear" w:color="auto" w:fill="auto"/>
            <w:noWrap/>
            <w:vAlign w:val="center"/>
            <w:hideMark/>
          </w:tcPr>
          <w:p w14:paraId="062C28AA" w14:textId="77777777" w:rsidR="00374B51" w:rsidRPr="00374B51" w:rsidRDefault="00374B51" w:rsidP="00374B51">
            <w:pPr>
              <w:spacing w:line="240" w:lineRule="auto"/>
              <w:jc w:val="center"/>
              <w:rPr>
                <w:rFonts w:cs="Calibri"/>
                <w:color w:val="000000"/>
                <w:sz w:val="22"/>
                <w:szCs w:val="22"/>
                <w:lang w:eastAsia="es-CR"/>
              </w:rPr>
            </w:pPr>
            <w:r w:rsidRPr="00374B51">
              <w:rPr>
                <w:rFonts w:cs="Calibri"/>
                <w:color w:val="000000"/>
                <w:sz w:val="22"/>
                <w:szCs w:val="22"/>
                <w:lang w:eastAsia="es-CR"/>
              </w:rPr>
              <w:t>Promedio</w:t>
            </w:r>
          </w:p>
        </w:tc>
        <w:tc>
          <w:tcPr>
            <w:tcW w:w="1297" w:type="dxa"/>
            <w:tcBorders>
              <w:top w:val="single" w:sz="4" w:space="0" w:color="auto"/>
              <w:left w:val="nil"/>
              <w:bottom w:val="single" w:sz="4" w:space="0" w:color="auto"/>
              <w:right w:val="nil"/>
            </w:tcBorders>
            <w:shd w:val="clear" w:color="auto" w:fill="auto"/>
            <w:noWrap/>
            <w:vAlign w:val="center"/>
            <w:hideMark/>
          </w:tcPr>
          <w:p w14:paraId="6720A319" w14:textId="77777777" w:rsidR="00374B51" w:rsidRPr="00374B51" w:rsidRDefault="00374B51" w:rsidP="00374B51">
            <w:pPr>
              <w:spacing w:line="240" w:lineRule="auto"/>
              <w:jc w:val="center"/>
              <w:rPr>
                <w:rFonts w:cs="Calibri"/>
                <w:color w:val="000000"/>
                <w:sz w:val="22"/>
                <w:szCs w:val="22"/>
                <w:lang w:eastAsia="es-CR"/>
              </w:rPr>
            </w:pPr>
            <w:r w:rsidRPr="00374B51">
              <w:rPr>
                <w:rFonts w:cs="Calibri"/>
                <w:color w:val="000000"/>
                <w:sz w:val="22"/>
                <w:szCs w:val="22"/>
                <w:lang w:eastAsia="es-CR"/>
              </w:rPr>
              <w:t>Acumulado</w:t>
            </w:r>
          </w:p>
        </w:tc>
      </w:tr>
      <w:tr w:rsidR="00374B51" w:rsidRPr="00374B51" w14:paraId="23DE745D" w14:textId="77777777" w:rsidTr="00832773">
        <w:trPr>
          <w:trHeight w:val="330"/>
        </w:trPr>
        <w:tc>
          <w:tcPr>
            <w:tcW w:w="3280" w:type="dxa"/>
            <w:tcBorders>
              <w:top w:val="nil"/>
              <w:left w:val="nil"/>
              <w:bottom w:val="nil"/>
              <w:right w:val="single" w:sz="4" w:space="0" w:color="auto"/>
            </w:tcBorders>
            <w:shd w:val="clear" w:color="auto" w:fill="auto"/>
            <w:noWrap/>
            <w:vAlign w:val="center"/>
            <w:hideMark/>
          </w:tcPr>
          <w:p w14:paraId="19840B72" w14:textId="77777777" w:rsidR="00374B51" w:rsidRPr="00374B51" w:rsidRDefault="00374B51" w:rsidP="00374B51">
            <w:pPr>
              <w:spacing w:line="240" w:lineRule="auto"/>
              <w:jc w:val="center"/>
              <w:rPr>
                <w:rFonts w:cs="Calibri"/>
                <w:b/>
                <w:bCs/>
                <w:color w:val="000000"/>
                <w:sz w:val="22"/>
                <w:szCs w:val="22"/>
                <w:lang w:eastAsia="es-CR"/>
              </w:rPr>
            </w:pPr>
            <w:r w:rsidRPr="00374B51">
              <w:rPr>
                <w:rFonts w:cs="Calibri"/>
                <w:b/>
                <w:bCs/>
                <w:color w:val="000000"/>
                <w:sz w:val="22"/>
                <w:szCs w:val="22"/>
                <w:lang w:eastAsia="es-CR"/>
              </w:rPr>
              <w:t> </w:t>
            </w:r>
          </w:p>
        </w:tc>
        <w:tc>
          <w:tcPr>
            <w:tcW w:w="1220" w:type="dxa"/>
            <w:tcBorders>
              <w:top w:val="nil"/>
              <w:left w:val="nil"/>
              <w:bottom w:val="nil"/>
              <w:right w:val="single" w:sz="4" w:space="0" w:color="auto"/>
            </w:tcBorders>
            <w:shd w:val="clear" w:color="auto" w:fill="auto"/>
            <w:noWrap/>
            <w:vAlign w:val="center"/>
            <w:hideMark/>
          </w:tcPr>
          <w:p w14:paraId="79B7D4B3" w14:textId="77777777" w:rsidR="00374B51" w:rsidRPr="00374B51" w:rsidRDefault="00374B51" w:rsidP="00374B51">
            <w:pPr>
              <w:spacing w:line="240" w:lineRule="auto"/>
              <w:jc w:val="center"/>
              <w:rPr>
                <w:rFonts w:cs="Calibri"/>
                <w:b/>
                <w:bCs/>
                <w:color w:val="000000"/>
                <w:sz w:val="22"/>
                <w:szCs w:val="22"/>
                <w:lang w:eastAsia="es-CR"/>
              </w:rPr>
            </w:pPr>
            <w:r w:rsidRPr="00374B51">
              <w:rPr>
                <w:rFonts w:cs="Calibri"/>
                <w:b/>
                <w:bCs/>
                <w:color w:val="000000"/>
                <w:sz w:val="22"/>
                <w:szCs w:val="22"/>
                <w:lang w:eastAsia="es-CR"/>
              </w:rPr>
              <w:t> </w:t>
            </w:r>
          </w:p>
        </w:tc>
        <w:tc>
          <w:tcPr>
            <w:tcW w:w="1220" w:type="dxa"/>
            <w:tcBorders>
              <w:top w:val="nil"/>
              <w:left w:val="nil"/>
              <w:bottom w:val="nil"/>
              <w:right w:val="single" w:sz="4" w:space="0" w:color="auto"/>
            </w:tcBorders>
            <w:shd w:val="clear" w:color="auto" w:fill="auto"/>
            <w:noWrap/>
            <w:vAlign w:val="center"/>
            <w:hideMark/>
          </w:tcPr>
          <w:p w14:paraId="1C67D163" w14:textId="77777777" w:rsidR="00374B51" w:rsidRPr="00374B51" w:rsidRDefault="00374B51" w:rsidP="00374B51">
            <w:pPr>
              <w:spacing w:line="240" w:lineRule="auto"/>
              <w:jc w:val="center"/>
              <w:rPr>
                <w:rFonts w:cs="Calibri"/>
                <w:b/>
                <w:bCs/>
                <w:color w:val="000000"/>
                <w:sz w:val="22"/>
                <w:szCs w:val="22"/>
                <w:lang w:eastAsia="es-CR"/>
              </w:rPr>
            </w:pPr>
            <w:r w:rsidRPr="00374B51">
              <w:rPr>
                <w:rFonts w:cs="Calibri"/>
                <w:b/>
                <w:bCs/>
                <w:color w:val="000000"/>
                <w:sz w:val="22"/>
                <w:szCs w:val="22"/>
                <w:lang w:eastAsia="es-CR"/>
              </w:rPr>
              <w:t> </w:t>
            </w:r>
          </w:p>
        </w:tc>
        <w:tc>
          <w:tcPr>
            <w:tcW w:w="1220" w:type="dxa"/>
            <w:tcBorders>
              <w:top w:val="nil"/>
              <w:left w:val="nil"/>
              <w:bottom w:val="nil"/>
              <w:right w:val="single" w:sz="4" w:space="0" w:color="auto"/>
            </w:tcBorders>
            <w:shd w:val="clear" w:color="auto" w:fill="auto"/>
            <w:noWrap/>
            <w:vAlign w:val="center"/>
            <w:hideMark/>
          </w:tcPr>
          <w:p w14:paraId="55D88E44" w14:textId="77777777" w:rsidR="00374B51" w:rsidRPr="00374B51" w:rsidRDefault="00374B51" w:rsidP="00374B51">
            <w:pPr>
              <w:spacing w:line="240" w:lineRule="auto"/>
              <w:jc w:val="center"/>
              <w:rPr>
                <w:rFonts w:cs="Calibri"/>
                <w:b/>
                <w:bCs/>
                <w:color w:val="000000"/>
                <w:sz w:val="22"/>
                <w:szCs w:val="22"/>
                <w:lang w:eastAsia="es-CR"/>
              </w:rPr>
            </w:pPr>
            <w:r w:rsidRPr="00374B51">
              <w:rPr>
                <w:rFonts w:cs="Calibri"/>
                <w:b/>
                <w:bCs/>
                <w:color w:val="000000"/>
                <w:sz w:val="22"/>
                <w:szCs w:val="22"/>
                <w:lang w:eastAsia="es-CR"/>
              </w:rPr>
              <w:t> </w:t>
            </w:r>
          </w:p>
        </w:tc>
        <w:tc>
          <w:tcPr>
            <w:tcW w:w="1220" w:type="dxa"/>
            <w:tcBorders>
              <w:top w:val="nil"/>
              <w:left w:val="nil"/>
              <w:bottom w:val="nil"/>
              <w:right w:val="single" w:sz="4" w:space="0" w:color="auto"/>
            </w:tcBorders>
            <w:shd w:val="clear" w:color="auto" w:fill="auto"/>
            <w:noWrap/>
            <w:vAlign w:val="center"/>
            <w:hideMark/>
          </w:tcPr>
          <w:p w14:paraId="6FD6B598" w14:textId="77777777" w:rsidR="00374B51" w:rsidRPr="00374B51" w:rsidRDefault="00374B51" w:rsidP="00374B51">
            <w:pPr>
              <w:spacing w:line="240" w:lineRule="auto"/>
              <w:jc w:val="center"/>
              <w:rPr>
                <w:rFonts w:cs="Calibri"/>
                <w:color w:val="000000"/>
                <w:sz w:val="22"/>
                <w:szCs w:val="22"/>
                <w:lang w:eastAsia="es-CR"/>
              </w:rPr>
            </w:pPr>
            <w:r w:rsidRPr="00374B51">
              <w:rPr>
                <w:rFonts w:cs="Calibri"/>
                <w:color w:val="000000"/>
                <w:sz w:val="22"/>
                <w:szCs w:val="22"/>
                <w:lang w:eastAsia="es-CR"/>
              </w:rPr>
              <w:t> </w:t>
            </w:r>
          </w:p>
        </w:tc>
        <w:tc>
          <w:tcPr>
            <w:tcW w:w="1297" w:type="dxa"/>
            <w:tcBorders>
              <w:top w:val="nil"/>
              <w:left w:val="nil"/>
              <w:bottom w:val="nil"/>
              <w:right w:val="nil"/>
            </w:tcBorders>
            <w:shd w:val="clear" w:color="auto" w:fill="auto"/>
            <w:noWrap/>
            <w:vAlign w:val="center"/>
            <w:hideMark/>
          </w:tcPr>
          <w:p w14:paraId="1B0181D4" w14:textId="77777777" w:rsidR="00374B51" w:rsidRPr="00374B51" w:rsidRDefault="00374B51" w:rsidP="00374B51">
            <w:pPr>
              <w:spacing w:line="240" w:lineRule="auto"/>
              <w:jc w:val="center"/>
              <w:rPr>
                <w:rFonts w:cs="Calibri"/>
                <w:color w:val="000000"/>
                <w:sz w:val="22"/>
                <w:szCs w:val="22"/>
                <w:lang w:eastAsia="es-CR"/>
              </w:rPr>
            </w:pPr>
            <w:r w:rsidRPr="00374B51">
              <w:rPr>
                <w:rFonts w:cs="Calibri"/>
                <w:color w:val="000000"/>
                <w:sz w:val="22"/>
                <w:szCs w:val="22"/>
                <w:lang w:eastAsia="es-CR"/>
              </w:rPr>
              <w:t> </w:t>
            </w:r>
          </w:p>
        </w:tc>
      </w:tr>
      <w:tr w:rsidR="00374B51" w:rsidRPr="00374B51" w14:paraId="21C95F23" w14:textId="77777777" w:rsidTr="00832773">
        <w:trPr>
          <w:trHeight w:val="330"/>
        </w:trPr>
        <w:tc>
          <w:tcPr>
            <w:tcW w:w="3280" w:type="dxa"/>
            <w:tcBorders>
              <w:top w:val="nil"/>
              <w:left w:val="nil"/>
              <w:bottom w:val="nil"/>
              <w:right w:val="single" w:sz="4" w:space="0" w:color="auto"/>
            </w:tcBorders>
            <w:shd w:val="clear" w:color="auto" w:fill="auto"/>
            <w:noWrap/>
            <w:vAlign w:val="center"/>
            <w:hideMark/>
          </w:tcPr>
          <w:p w14:paraId="2822DF2A" w14:textId="77777777" w:rsidR="00374B51" w:rsidRPr="00374B51" w:rsidRDefault="00374B51" w:rsidP="00374B51">
            <w:pPr>
              <w:spacing w:line="240" w:lineRule="auto"/>
              <w:jc w:val="center"/>
              <w:rPr>
                <w:rFonts w:cs="Calibri"/>
                <w:b/>
                <w:bCs/>
                <w:color w:val="000000"/>
                <w:sz w:val="22"/>
                <w:szCs w:val="22"/>
                <w:lang w:eastAsia="es-CR"/>
              </w:rPr>
            </w:pPr>
            <w:r w:rsidRPr="00374B51">
              <w:rPr>
                <w:rFonts w:cs="Calibri"/>
                <w:b/>
                <w:bCs/>
                <w:color w:val="000000"/>
                <w:sz w:val="22"/>
                <w:szCs w:val="22"/>
                <w:lang w:eastAsia="es-CR"/>
              </w:rPr>
              <w:t>Total general</w:t>
            </w:r>
          </w:p>
        </w:tc>
        <w:tc>
          <w:tcPr>
            <w:tcW w:w="1220" w:type="dxa"/>
            <w:tcBorders>
              <w:top w:val="nil"/>
              <w:left w:val="nil"/>
              <w:bottom w:val="nil"/>
              <w:right w:val="single" w:sz="4" w:space="0" w:color="auto"/>
            </w:tcBorders>
            <w:shd w:val="clear" w:color="auto" w:fill="auto"/>
            <w:noWrap/>
            <w:vAlign w:val="center"/>
            <w:hideMark/>
          </w:tcPr>
          <w:p w14:paraId="5CD81DC1" w14:textId="77777777" w:rsidR="00374B51" w:rsidRPr="00374B51" w:rsidRDefault="00374B51" w:rsidP="00374B51">
            <w:pPr>
              <w:spacing w:line="240" w:lineRule="auto"/>
              <w:jc w:val="center"/>
              <w:rPr>
                <w:rFonts w:cs="Calibri"/>
                <w:b/>
                <w:bCs/>
                <w:color w:val="000000"/>
                <w:sz w:val="22"/>
                <w:szCs w:val="22"/>
                <w:lang w:eastAsia="es-CR"/>
              </w:rPr>
            </w:pPr>
            <w:r w:rsidRPr="00374B51">
              <w:rPr>
                <w:rFonts w:cs="Calibri"/>
                <w:b/>
                <w:bCs/>
                <w:color w:val="000000"/>
                <w:sz w:val="22"/>
                <w:szCs w:val="22"/>
                <w:lang w:eastAsia="es-CR"/>
              </w:rPr>
              <w:t>71</w:t>
            </w:r>
          </w:p>
        </w:tc>
        <w:tc>
          <w:tcPr>
            <w:tcW w:w="1220" w:type="dxa"/>
            <w:tcBorders>
              <w:top w:val="nil"/>
              <w:left w:val="nil"/>
              <w:bottom w:val="nil"/>
              <w:right w:val="single" w:sz="4" w:space="0" w:color="auto"/>
            </w:tcBorders>
            <w:shd w:val="clear" w:color="auto" w:fill="auto"/>
            <w:noWrap/>
            <w:vAlign w:val="center"/>
            <w:hideMark/>
          </w:tcPr>
          <w:p w14:paraId="69FA6A99" w14:textId="77777777" w:rsidR="00374B51" w:rsidRPr="00374B51" w:rsidRDefault="00374B51" w:rsidP="00374B51">
            <w:pPr>
              <w:spacing w:line="240" w:lineRule="auto"/>
              <w:jc w:val="center"/>
              <w:rPr>
                <w:rFonts w:cs="Calibri"/>
                <w:b/>
                <w:bCs/>
                <w:color w:val="000000"/>
                <w:sz w:val="22"/>
                <w:szCs w:val="22"/>
                <w:lang w:eastAsia="es-CR"/>
              </w:rPr>
            </w:pPr>
            <w:r w:rsidRPr="00374B51">
              <w:rPr>
                <w:rFonts w:cs="Calibri"/>
                <w:b/>
                <w:bCs/>
                <w:color w:val="000000"/>
                <w:sz w:val="22"/>
                <w:szCs w:val="22"/>
                <w:lang w:eastAsia="es-CR"/>
              </w:rPr>
              <w:t>73</w:t>
            </w:r>
          </w:p>
        </w:tc>
        <w:tc>
          <w:tcPr>
            <w:tcW w:w="1220" w:type="dxa"/>
            <w:tcBorders>
              <w:top w:val="nil"/>
              <w:left w:val="nil"/>
              <w:bottom w:val="nil"/>
              <w:right w:val="single" w:sz="4" w:space="0" w:color="auto"/>
            </w:tcBorders>
            <w:shd w:val="clear" w:color="auto" w:fill="auto"/>
            <w:noWrap/>
            <w:vAlign w:val="center"/>
            <w:hideMark/>
          </w:tcPr>
          <w:p w14:paraId="46D86897" w14:textId="77777777" w:rsidR="00374B51" w:rsidRPr="00374B51" w:rsidRDefault="00374B51" w:rsidP="00374B51">
            <w:pPr>
              <w:spacing w:line="240" w:lineRule="auto"/>
              <w:jc w:val="center"/>
              <w:rPr>
                <w:rFonts w:cs="Calibri"/>
                <w:b/>
                <w:bCs/>
                <w:color w:val="000000"/>
                <w:sz w:val="22"/>
                <w:szCs w:val="22"/>
                <w:lang w:eastAsia="es-CR"/>
              </w:rPr>
            </w:pPr>
            <w:r w:rsidRPr="00374B51">
              <w:rPr>
                <w:rFonts w:cs="Calibri"/>
                <w:b/>
                <w:bCs/>
                <w:color w:val="000000"/>
                <w:sz w:val="22"/>
                <w:szCs w:val="22"/>
                <w:lang w:eastAsia="es-CR"/>
              </w:rPr>
              <w:t>49</w:t>
            </w:r>
          </w:p>
        </w:tc>
        <w:tc>
          <w:tcPr>
            <w:tcW w:w="1220" w:type="dxa"/>
            <w:tcBorders>
              <w:top w:val="nil"/>
              <w:left w:val="nil"/>
              <w:bottom w:val="nil"/>
              <w:right w:val="single" w:sz="4" w:space="0" w:color="auto"/>
            </w:tcBorders>
            <w:shd w:val="clear" w:color="auto" w:fill="auto"/>
            <w:noWrap/>
            <w:vAlign w:val="center"/>
            <w:hideMark/>
          </w:tcPr>
          <w:p w14:paraId="7731501B" w14:textId="77777777" w:rsidR="00374B51" w:rsidRPr="00374B51" w:rsidRDefault="00374B51" w:rsidP="00374B51">
            <w:pPr>
              <w:spacing w:line="240" w:lineRule="auto"/>
              <w:jc w:val="center"/>
              <w:rPr>
                <w:rFonts w:cs="Calibri"/>
                <w:b/>
                <w:bCs/>
                <w:color w:val="000000"/>
                <w:sz w:val="22"/>
                <w:szCs w:val="22"/>
                <w:lang w:eastAsia="es-CR"/>
              </w:rPr>
            </w:pPr>
            <w:r w:rsidRPr="00374B51">
              <w:rPr>
                <w:rFonts w:cs="Calibri"/>
                <w:b/>
                <w:bCs/>
                <w:color w:val="000000"/>
                <w:sz w:val="22"/>
                <w:szCs w:val="22"/>
                <w:lang w:eastAsia="es-CR"/>
              </w:rPr>
              <w:t>64</w:t>
            </w:r>
          </w:p>
        </w:tc>
        <w:tc>
          <w:tcPr>
            <w:tcW w:w="1297" w:type="dxa"/>
            <w:tcBorders>
              <w:top w:val="nil"/>
              <w:left w:val="nil"/>
              <w:bottom w:val="nil"/>
              <w:right w:val="nil"/>
            </w:tcBorders>
            <w:shd w:val="clear" w:color="auto" w:fill="auto"/>
            <w:noWrap/>
            <w:vAlign w:val="center"/>
            <w:hideMark/>
          </w:tcPr>
          <w:p w14:paraId="39DB0130" w14:textId="77777777" w:rsidR="00374B51" w:rsidRPr="00374B51" w:rsidRDefault="00374B51" w:rsidP="00374B51">
            <w:pPr>
              <w:spacing w:line="240" w:lineRule="auto"/>
              <w:jc w:val="center"/>
              <w:rPr>
                <w:rFonts w:cs="Calibri"/>
                <w:b/>
                <w:bCs/>
                <w:color w:val="000000"/>
                <w:sz w:val="22"/>
                <w:szCs w:val="22"/>
                <w:lang w:eastAsia="es-CR"/>
              </w:rPr>
            </w:pPr>
            <w:r w:rsidRPr="00374B51">
              <w:rPr>
                <w:rFonts w:cs="Calibri"/>
                <w:b/>
                <w:bCs/>
                <w:color w:val="000000"/>
                <w:sz w:val="22"/>
                <w:szCs w:val="22"/>
                <w:lang w:eastAsia="es-CR"/>
              </w:rPr>
              <w:t>100%</w:t>
            </w:r>
          </w:p>
        </w:tc>
      </w:tr>
      <w:tr w:rsidR="00374B51" w:rsidRPr="00374B51" w14:paraId="03AB3BB1" w14:textId="77777777" w:rsidTr="00832773">
        <w:trPr>
          <w:trHeight w:val="330"/>
        </w:trPr>
        <w:tc>
          <w:tcPr>
            <w:tcW w:w="3280" w:type="dxa"/>
            <w:tcBorders>
              <w:top w:val="nil"/>
              <w:left w:val="nil"/>
              <w:bottom w:val="nil"/>
              <w:right w:val="single" w:sz="4" w:space="0" w:color="auto"/>
            </w:tcBorders>
            <w:shd w:val="clear" w:color="auto" w:fill="auto"/>
            <w:noWrap/>
            <w:vAlign w:val="bottom"/>
            <w:hideMark/>
          </w:tcPr>
          <w:p w14:paraId="45538D3E" w14:textId="77777777" w:rsidR="00374B51" w:rsidRPr="00374B51" w:rsidRDefault="00374B51" w:rsidP="00374B51">
            <w:pPr>
              <w:spacing w:line="240" w:lineRule="auto"/>
              <w:jc w:val="left"/>
              <w:rPr>
                <w:rFonts w:cs="Calibri"/>
                <w:b/>
                <w:bCs/>
                <w:color w:val="000000"/>
                <w:sz w:val="22"/>
                <w:szCs w:val="22"/>
                <w:lang w:eastAsia="es-CR"/>
              </w:rPr>
            </w:pPr>
            <w:r w:rsidRPr="00374B51">
              <w:rPr>
                <w:rFonts w:cs="Calibri"/>
                <w:b/>
                <w:bCs/>
                <w:color w:val="000000"/>
                <w:sz w:val="22"/>
                <w:szCs w:val="22"/>
                <w:lang w:eastAsia="es-CR"/>
              </w:rPr>
              <w:t> </w:t>
            </w:r>
          </w:p>
        </w:tc>
        <w:tc>
          <w:tcPr>
            <w:tcW w:w="1220" w:type="dxa"/>
            <w:tcBorders>
              <w:top w:val="nil"/>
              <w:left w:val="nil"/>
              <w:bottom w:val="nil"/>
              <w:right w:val="single" w:sz="4" w:space="0" w:color="auto"/>
            </w:tcBorders>
            <w:shd w:val="clear" w:color="auto" w:fill="auto"/>
            <w:noWrap/>
            <w:vAlign w:val="center"/>
            <w:hideMark/>
          </w:tcPr>
          <w:p w14:paraId="315E60F6" w14:textId="77777777" w:rsidR="00374B51" w:rsidRPr="00374B51" w:rsidRDefault="00374B51" w:rsidP="00374B51">
            <w:pPr>
              <w:spacing w:line="240" w:lineRule="auto"/>
              <w:jc w:val="center"/>
              <w:rPr>
                <w:rFonts w:cs="Calibri"/>
                <w:b/>
                <w:bCs/>
                <w:color w:val="000000"/>
                <w:sz w:val="22"/>
                <w:szCs w:val="22"/>
                <w:lang w:eastAsia="es-CR"/>
              </w:rPr>
            </w:pPr>
            <w:r w:rsidRPr="00374B51">
              <w:rPr>
                <w:rFonts w:cs="Calibri"/>
                <w:b/>
                <w:bCs/>
                <w:color w:val="000000"/>
                <w:sz w:val="22"/>
                <w:szCs w:val="22"/>
                <w:lang w:eastAsia="es-CR"/>
              </w:rPr>
              <w:t> </w:t>
            </w:r>
          </w:p>
        </w:tc>
        <w:tc>
          <w:tcPr>
            <w:tcW w:w="1220" w:type="dxa"/>
            <w:tcBorders>
              <w:top w:val="nil"/>
              <w:left w:val="nil"/>
              <w:bottom w:val="nil"/>
              <w:right w:val="single" w:sz="4" w:space="0" w:color="auto"/>
            </w:tcBorders>
            <w:shd w:val="clear" w:color="auto" w:fill="auto"/>
            <w:noWrap/>
            <w:vAlign w:val="center"/>
            <w:hideMark/>
          </w:tcPr>
          <w:p w14:paraId="0CBA8441" w14:textId="77777777" w:rsidR="00374B51" w:rsidRPr="00374B51" w:rsidRDefault="00374B51" w:rsidP="00374B51">
            <w:pPr>
              <w:spacing w:line="240" w:lineRule="auto"/>
              <w:jc w:val="center"/>
              <w:rPr>
                <w:rFonts w:cs="Calibri"/>
                <w:b/>
                <w:bCs/>
                <w:color w:val="000000"/>
                <w:sz w:val="22"/>
                <w:szCs w:val="22"/>
                <w:lang w:eastAsia="es-CR"/>
              </w:rPr>
            </w:pPr>
            <w:r w:rsidRPr="00374B51">
              <w:rPr>
                <w:rFonts w:cs="Calibri"/>
                <w:b/>
                <w:bCs/>
                <w:color w:val="000000"/>
                <w:sz w:val="22"/>
                <w:szCs w:val="22"/>
                <w:lang w:eastAsia="es-CR"/>
              </w:rPr>
              <w:t> </w:t>
            </w:r>
          </w:p>
        </w:tc>
        <w:tc>
          <w:tcPr>
            <w:tcW w:w="1220" w:type="dxa"/>
            <w:tcBorders>
              <w:top w:val="nil"/>
              <w:left w:val="nil"/>
              <w:bottom w:val="nil"/>
              <w:right w:val="single" w:sz="4" w:space="0" w:color="auto"/>
            </w:tcBorders>
            <w:shd w:val="clear" w:color="auto" w:fill="auto"/>
            <w:noWrap/>
            <w:vAlign w:val="center"/>
            <w:hideMark/>
          </w:tcPr>
          <w:p w14:paraId="6A705EA5" w14:textId="77777777" w:rsidR="00374B51" w:rsidRPr="00374B51" w:rsidRDefault="00374B51" w:rsidP="00374B51">
            <w:pPr>
              <w:spacing w:line="240" w:lineRule="auto"/>
              <w:jc w:val="center"/>
              <w:rPr>
                <w:rFonts w:cs="Calibri"/>
                <w:b/>
                <w:bCs/>
                <w:color w:val="000000"/>
                <w:sz w:val="22"/>
                <w:szCs w:val="22"/>
                <w:lang w:eastAsia="es-CR"/>
              </w:rPr>
            </w:pPr>
            <w:r w:rsidRPr="00374B51">
              <w:rPr>
                <w:rFonts w:cs="Calibri"/>
                <w:b/>
                <w:bCs/>
                <w:color w:val="000000"/>
                <w:sz w:val="22"/>
                <w:szCs w:val="22"/>
                <w:lang w:eastAsia="es-CR"/>
              </w:rPr>
              <w:t> </w:t>
            </w:r>
          </w:p>
        </w:tc>
        <w:tc>
          <w:tcPr>
            <w:tcW w:w="1220" w:type="dxa"/>
            <w:tcBorders>
              <w:top w:val="nil"/>
              <w:left w:val="nil"/>
              <w:bottom w:val="nil"/>
              <w:right w:val="single" w:sz="4" w:space="0" w:color="auto"/>
            </w:tcBorders>
            <w:shd w:val="clear" w:color="auto" w:fill="auto"/>
            <w:noWrap/>
            <w:vAlign w:val="center"/>
            <w:hideMark/>
          </w:tcPr>
          <w:p w14:paraId="73EBC026" w14:textId="77777777" w:rsidR="00374B51" w:rsidRPr="00374B51" w:rsidRDefault="00374B51" w:rsidP="00374B51">
            <w:pPr>
              <w:spacing w:line="240" w:lineRule="auto"/>
              <w:jc w:val="center"/>
              <w:rPr>
                <w:rFonts w:cs="Calibri"/>
                <w:color w:val="000000"/>
                <w:sz w:val="22"/>
                <w:szCs w:val="22"/>
                <w:lang w:eastAsia="es-CR"/>
              </w:rPr>
            </w:pPr>
            <w:r w:rsidRPr="00374B51">
              <w:rPr>
                <w:rFonts w:cs="Calibri"/>
                <w:color w:val="000000"/>
                <w:sz w:val="22"/>
                <w:szCs w:val="22"/>
                <w:lang w:eastAsia="es-CR"/>
              </w:rPr>
              <w:t> </w:t>
            </w:r>
          </w:p>
        </w:tc>
        <w:tc>
          <w:tcPr>
            <w:tcW w:w="1297" w:type="dxa"/>
            <w:tcBorders>
              <w:top w:val="nil"/>
              <w:left w:val="nil"/>
              <w:bottom w:val="nil"/>
              <w:right w:val="nil"/>
            </w:tcBorders>
            <w:shd w:val="clear" w:color="auto" w:fill="auto"/>
            <w:noWrap/>
            <w:vAlign w:val="center"/>
            <w:hideMark/>
          </w:tcPr>
          <w:p w14:paraId="36375456" w14:textId="77777777" w:rsidR="00374B51" w:rsidRPr="00374B51" w:rsidRDefault="00374B51" w:rsidP="00374B51">
            <w:pPr>
              <w:spacing w:line="240" w:lineRule="auto"/>
              <w:jc w:val="center"/>
              <w:rPr>
                <w:rFonts w:cs="Calibri"/>
                <w:color w:val="000000"/>
                <w:sz w:val="22"/>
                <w:szCs w:val="22"/>
                <w:lang w:eastAsia="es-CR"/>
              </w:rPr>
            </w:pPr>
            <w:r w:rsidRPr="00374B51">
              <w:rPr>
                <w:rFonts w:cs="Calibri"/>
                <w:color w:val="000000"/>
                <w:sz w:val="22"/>
                <w:szCs w:val="22"/>
                <w:lang w:eastAsia="es-CR"/>
              </w:rPr>
              <w:t> </w:t>
            </w:r>
          </w:p>
        </w:tc>
      </w:tr>
      <w:tr w:rsidR="00374B51" w:rsidRPr="00374B51" w14:paraId="4B295CAA" w14:textId="77777777" w:rsidTr="00832773">
        <w:trPr>
          <w:trHeight w:val="330"/>
        </w:trPr>
        <w:tc>
          <w:tcPr>
            <w:tcW w:w="3280" w:type="dxa"/>
            <w:tcBorders>
              <w:top w:val="nil"/>
              <w:left w:val="nil"/>
              <w:bottom w:val="nil"/>
              <w:right w:val="single" w:sz="4" w:space="0" w:color="auto"/>
            </w:tcBorders>
            <w:shd w:val="clear" w:color="auto" w:fill="E2EFD9" w:themeFill="accent6" w:themeFillTint="33"/>
            <w:noWrap/>
            <w:vAlign w:val="center"/>
            <w:hideMark/>
          </w:tcPr>
          <w:p w14:paraId="5B1D9D9C" w14:textId="77777777" w:rsidR="00374B51" w:rsidRPr="00374B51" w:rsidRDefault="00374B51" w:rsidP="00374B51">
            <w:pPr>
              <w:spacing w:line="240" w:lineRule="auto"/>
              <w:jc w:val="left"/>
              <w:rPr>
                <w:rFonts w:cs="Calibri"/>
                <w:color w:val="000000"/>
                <w:sz w:val="22"/>
                <w:szCs w:val="22"/>
                <w:lang w:eastAsia="es-CR"/>
              </w:rPr>
            </w:pPr>
            <w:r w:rsidRPr="00374B51">
              <w:rPr>
                <w:rFonts w:cs="Calibri"/>
                <w:color w:val="000000"/>
                <w:sz w:val="22"/>
                <w:szCs w:val="22"/>
                <w:lang w:eastAsia="es-CR"/>
              </w:rPr>
              <w:t>Menos de ¢3.000.001</w:t>
            </w:r>
          </w:p>
        </w:tc>
        <w:tc>
          <w:tcPr>
            <w:tcW w:w="1220" w:type="dxa"/>
            <w:tcBorders>
              <w:top w:val="nil"/>
              <w:left w:val="nil"/>
              <w:bottom w:val="nil"/>
              <w:right w:val="single" w:sz="4" w:space="0" w:color="auto"/>
            </w:tcBorders>
            <w:shd w:val="clear" w:color="auto" w:fill="E2EFD9" w:themeFill="accent6" w:themeFillTint="33"/>
            <w:noWrap/>
            <w:vAlign w:val="center"/>
            <w:hideMark/>
          </w:tcPr>
          <w:p w14:paraId="1A345F3D" w14:textId="77777777" w:rsidR="00374B51" w:rsidRPr="00374B51" w:rsidRDefault="00374B51" w:rsidP="00374B51">
            <w:pPr>
              <w:spacing w:line="240" w:lineRule="auto"/>
              <w:jc w:val="center"/>
              <w:rPr>
                <w:rFonts w:cs="Calibri"/>
                <w:color w:val="000000"/>
                <w:sz w:val="22"/>
                <w:szCs w:val="22"/>
                <w:lang w:eastAsia="es-CR"/>
              </w:rPr>
            </w:pPr>
            <w:r w:rsidRPr="00374B51">
              <w:rPr>
                <w:rFonts w:cs="Calibri"/>
                <w:color w:val="000000"/>
                <w:sz w:val="22"/>
                <w:szCs w:val="22"/>
                <w:lang w:eastAsia="es-CR"/>
              </w:rPr>
              <w:t>2</w:t>
            </w:r>
          </w:p>
        </w:tc>
        <w:tc>
          <w:tcPr>
            <w:tcW w:w="1220" w:type="dxa"/>
            <w:tcBorders>
              <w:top w:val="nil"/>
              <w:left w:val="nil"/>
              <w:bottom w:val="nil"/>
              <w:right w:val="single" w:sz="4" w:space="0" w:color="auto"/>
            </w:tcBorders>
            <w:shd w:val="clear" w:color="auto" w:fill="E2EFD9" w:themeFill="accent6" w:themeFillTint="33"/>
            <w:noWrap/>
            <w:vAlign w:val="center"/>
            <w:hideMark/>
          </w:tcPr>
          <w:p w14:paraId="66365A69" w14:textId="77777777" w:rsidR="00374B51" w:rsidRPr="00374B51" w:rsidRDefault="00374B51" w:rsidP="00374B51">
            <w:pPr>
              <w:spacing w:line="240" w:lineRule="auto"/>
              <w:jc w:val="center"/>
              <w:rPr>
                <w:rFonts w:cs="Calibri"/>
                <w:color w:val="000000"/>
                <w:sz w:val="22"/>
                <w:szCs w:val="22"/>
                <w:lang w:eastAsia="es-CR"/>
              </w:rPr>
            </w:pPr>
            <w:r w:rsidRPr="00374B51">
              <w:rPr>
                <w:rFonts w:cs="Calibri"/>
                <w:color w:val="000000"/>
                <w:sz w:val="22"/>
                <w:szCs w:val="22"/>
                <w:lang w:eastAsia="es-CR"/>
              </w:rPr>
              <w:t>4</w:t>
            </w:r>
          </w:p>
        </w:tc>
        <w:tc>
          <w:tcPr>
            <w:tcW w:w="1220" w:type="dxa"/>
            <w:tcBorders>
              <w:top w:val="nil"/>
              <w:left w:val="nil"/>
              <w:bottom w:val="nil"/>
              <w:right w:val="single" w:sz="4" w:space="0" w:color="auto"/>
            </w:tcBorders>
            <w:shd w:val="clear" w:color="auto" w:fill="E2EFD9" w:themeFill="accent6" w:themeFillTint="33"/>
            <w:noWrap/>
            <w:vAlign w:val="center"/>
            <w:hideMark/>
          </w:tcPr>
          <w:p w14:paraId="4E375146" w14:textId="77777777" w:rsidR="00374B51" w:rsidRPr="00374B51" w:rsidRDefault="00374B51" w:rsidP="00374B51">
            <w:pPr>
              <w:spacing w:line="240" w:lineRule="auto"/>
              <w:jc w:val="center"/>
              <w:rPr>
                <w:rFonts w:cs="Calibri"/>
                <w:color w:val="000000"/>
                <w:sz w:val="22"/>
                <w:szCs w:val="22"/>
                <w:lang w:eastAsia="es-CR"/>
              </w:rPr>
            </w:pPr>
            <w:r w:rsidRPr="00374B51">
              <w:rPr>
                <w:rFonts w:cs="Calibri"/>
                <w:color w:val="000000"/>
                <w:sz w:val="22"/>
                <w:szCs w:val="22"/>
                <w:lang w:eastAsia="es-CR"/>
              </w:rPr>
              <w:t>3</w:t>
            </w:r>
          </w:p>
        </w:tc>
        <w:tc>
          <w:tcPr>
            <w:tcW w:w="1220" w:type="dxa"/>
            <w:tcBorders>
              <w:top w:val="nil"/>
              <w:left w:val="nil"/>
              <w:bottom w:val="nil"/>
              <w:right w:val="single" w:sz="4" w:space="0" w:color="auto"/>
            </w:tcBorders>
            <w:shd w:val="clear" w:color="auto" w:fill="E2EFD9" w:themeFill="accent6" w:themeFillTint="33"/>
            <w:noWrap/>
            <w:vAlign w:val="center"/>
            <w:hideMark/>
          </w:tcPr>
          <w:p w14:paraId="3B35D02F" w14:textId="77777777" w:rsidR="00374B51" w:rsidRPr="00374B51" w:rsidRDefault="00374B51" w:rsidP="00374B51">
            <w:pPr>
              <w:spacing w:line="240" w:lineRule="auto"/>
              <w:jc w:val="center"/>
              <w:rPr>
                <w:rFonts w:cs="Calibri"/>
                <w:color w:val="000000"/>
                <w:sz w:val="22"/>
                <w:szCs w:val="22"/>
                <w:lang w:eastAsia="es-CR"/>
              </w:rPr>
            </w:pPr>
            <w:r w:rsidRPr="00374B51">
              <w:rPr>
                <w:rFonts w:cs="Calibri"/>
                <w:color w:val="000000"/>
                <w:sz w:val="22"/>
                <w:szCs w:val="22"/>
                <w:lang w:eastAsia="es-CR"/>
              </w:rPr>
              <w:t>3,0</w:t>
            </w:r>
          </w:p>
        </w:tc>
        <w:tc>
          <w:tcPr>
            <w:tcW w:w="1297" w:type="dxa"/>
            <w:tcBorders>
              <w:top w:val="nil"/>
              <w:left w:val="nil"/>
              <w:bottom w:val="nil"/>
              <w:right w:val="nil"/>
            </w:tcBorders>
            <w:shd w:val="clear" w:color="auto" w:fill="E2EFD9" w:themeFill="accent6" w:themeFillTint="33"/>
            <w:noWrap/>
            <w:vAlign w:val="center"/>
            <w:hideMark/>
          </w:tcPr>
          <w:p w14:paraId="1A80682E" w14:textId="77777777" w:rsidR="00374B51" w:rsidRPr="00374B51" w:rsidRDefault="00374B51" w:rsidP="00374B51">
            <w:pPr>
              <w:spacing w:line="240" w:lineRule="auto"/>
              <w:jc w:val="center"/>
              <w:rPr>
                <w:rFonts w:cs="Calibri"/>
                <w:color w:val="000000"/>
                <w:sz w:val="22"/>
                <w:szCs w:val="22"/>
                <w:lang w:eastAsia="es-CR"/>
              </w:rPr>
            </w:pPr>
            <w:r w:rsidRPr="00374B51">
              <w:rPr>
                <w:rFonts w:cs="Calibri"/>
                <w:color w:val="000000"/>
                <w:sz w:val="22"/>
                <w:szCs w:val="22"/>
                <w:lang w:eastAsia="es-CR"/>
              </w:rPr>
              <w:t>5%</w:t>
            </w:r>
          </w:p>
        </w:tc>
      </w:tr>
      <w:tr w:rsidR="00374B51" w:rsidRPr="00374B51" w14:paraId="492321F5" w14:textId="77777777" w:rsidTr="00832773">
        <w:trPr>
          <w:trHeight w:val="330"/>
        </w:trPr>
        <w:tc>
          <w:tcPr>
            <w:tcW w:w="3280" w:type="dxa"/>
            <w:tcBorders>
              <w:top w:val="nil"/>
              <w:left w:val="nil"/>
              <w:bottom w:val="nil"/>
              <w:right w:val="single" w:sz="4" w:space="0" w:color="auto"/>
            </w:tcBorders>
            <w:shd w:val="clear" w:color="auto" w:fill="E2EFD9" w:themeFill="accent6" w:themeFillTint="33"/>
            <w:noWrap/>
            <w:vAlign w:val="center"/>
            <w:hideMark/>
          </w:tcPr>
          <w:p w14:paraId="0CD4C931" w14:textId="77777777" w:rsidR="00374B51" w:rsidRPr="00374B51" w:rsidRDefault="00374B51" w:rsidP="00374B51">
            <w:pPr>
              <w:spacing w:line="240" w:lineRule="auto"/>
              <w:jc w:val="left"/>
              <w:rPr>
                <w:rFonts w:cs="Calibri"/>
                <w:color w:val="000000"/>
                <w:sz w:val="22"/>
                <w:szCs w:val="22"/>
                <w:lang w:eastAsia="es-CR"/>
              </w:rPr>
            </w:pPr>
            <w:r w:rsidRPr="00374B51">
              <w:rPr>
                <w:rFonts w:cs="Calibri"/>
                <w:color w:val="000000"/>
                <w:sz w:val="22"/>
                <w:szCs w:val="22"/>
                <w:lang w:eastAsia="es-CR"/>
              </w:rPr>
              <w:t>De ¢3.000.001 a ¢4.000.000</w:t>
            </w:r>
          </w:p>
        </w:tc>
        <w:tc>
          <w:tcPr>
            <w:tcW w:w="1220" w:type="dxa"/>
            <w:tcBorders>
              <w:top w:val="nil"/>
              <w:left w:val="nil"/>
              <w:bottom w:val="nil"/>
              <w:right w:val="single" w:sz="4" w:space="0" w:color="auto"/>
            </w:tcBorders>
            <w:shd w:val="clear" w:color="auto" w:fill="E2EFD9" w:themeFill="accent6" w:themeFillTint="33"/>
            <w:noWrap/>
            <w:vAlign w:val="center"/>
            <w:hideMark/>
          </w:tcPr>
          <w:p w14:paraId="5A3711B3" w14:textId="77777777" w:rsidR="00374B51" w:rsidRPr="00374B51" w:rsidRDefault="00374B51" w:rsidP="00374B51">
            <w:pPr>
              <w:spacing w:line="240" w:lineRule="auto"/>
              <w:jc w:val="center"/>
              <w:rPr>
                <w:rFonts w:cs="Calibri"/>
                <w:color w:val="000000"/>
                <w:sz w:val="22"/>
                <w:szCs w:val="22"/>
                <w:lang w:eastAsia="es-CR"/>
              </w:rPr>
            </w:pPr>
            <w:r w:rsidRPr="00374B51">
              <w:rPr>
                <w:rFonts w:cs="Calibri"/>
                <w:color w:val="000000"/>
                <w:sz w:val="22"/>
                <w:szCs w:val="22"/>
                <w:lang w:eastAsia="es-CR"/>
              </w:rPr>
              <w:t>1</w:t>
            </w:r>
          </w:p>
        </w:tc>
        <w:tc>
          <w:tcPr>
            <w:tcW w:w="1220" w:type="dxa"/>
            <w:tcBorders>
              <w:top w:val="nil"/>
              <w:left w:val="nil"/>
              <w:bottom w:val="nil"/>
              <w:right w:val="single" w:sz="4" w:space="0" w:color="auto"/>
            </w:tcBorders>
            <w:shd w:val="clear" w:color="auto" w:fill="E2EFD9" w:themeFill="accent6" w:themeFillTint="33"/>
            <w:noWrap/>
            <w:vAlign w:val="center"/>
            <w:hideMark/>
          </w:tcPr>
          <w:p w14:paraId="0DAEE303" w14:textId="77777777" w:rsidR="00374B51" w:rsidRPr="00374B51" w:rsidRDefault="00374B51" w:rsidP="00374B51">
            <w:pPr>
              <w:spacing w:line="240" w:lineRule="auto"/>
              <w:jc w:val="center"/>
              <w:rPr>
                <w:rFonts w:cs="Calibri"/>
                <w:color w:val="000000"/>
                <w:sz w:val="22"/>
                <w:szCs w:val="22"/>
                <w:lang w:eastAsia="es-CR"/>
              </w:rPr>
            </w:pPr>
            <w:r w:rsidRPr="00374B51">
              <w:rPr>
                <w:rFonts w:cs="Calibri"/>
                <w:color w:val="000000"/>
                <w:sz w:val="22"/>
                <w:szCs w:val="22"/>
                <w:lang w:eastAsia="es-CR"/>
              </w:rPr>
              <w:t>1</w:t>
            </w:r>
          </w:p>
        </w:tc>
        <w:tc>
          <w:tcPr>
            <w:tcW w:w="1220" w:type="dxa"/>
            <w:tcBorders>
              <w:top w:val="nil"/>
              <w:left w:val="nil"/>
              <w:bottom w:val="nil"/>
              <w:right w:val="single" w:sz="4" w:space="0" w:color="auto"/>
            </w:tcBorders>
            <w:shd w:val="clear" w:color="auto" w:fill="E2EFD9" w:themeFill="accent6" w:themeFillTint="33"/>
            <w:noWrap/>
            <w:vAlign w:val="center"/>
            <w:hideMark/>
          </w:tcPr>
          <w:p w14:paraId="09479B8C" w14:textId="77777777" w:rsidR="00374B51" w:rsidRPr="00374B51" w:rsidRDefault="00374B51" w:rsidP="00374B51">
            <w:pPr>
              <w:spacing w:line="240" w:lineRule="auto"/>
              <w:jc w:val="center"/>
              <w:rPr>
                <w:rFonts w:cs="Calibri"/>
                <w:color w:val="000000"/>
                <w:sz w:val="22"/>
                <w:szCs w:val="22"/>
                <w:lang w:eastAsia="es-CR"/>
              </w:rPr>
            </w:pPr>
            <w:r w:rsidRPr="00374B51">
              <w:rPr>
                <w:rFonts w:cs="Calibri"/>
                <w:color w:val="000000"/>
                <w:sz w:val="22"/>
                <w:szCs w:val="22"/>
                <w:lang w:eastAsia="es-CR"/>
              </w:rPr>
              <w:t>0</w:t>
            </w:r>
          </w:p>
        </w:tc>
        <w:tc>
          <w:tcPr>
            <w:tcW w:w="1220" w:type="dxa"/>
            <w:tcBorders>
              <w:top w:val="nil"/>
              <w:left w:val="nil"/>
              <w:bottom w:val="nil"/>
              <w:right w:val="single" w:sz="4" w:space="0" w:color="auto"/>
            </w:tcBorders>
            <w:shd w:val="clear" w:color="auto" w:fill="E2EFD9" w:themeFill="accent6" w:themeFillTint="33"/>
            <w:noWrap/>
            <w:vAlign w:val="center"/>
            <w:hideMark/>
          </w:tcPr>
          <w:p w14:paraId="1B26F8D8" w14:textId="77777777" w:rsidR="00374B51" w:rsidRPr="00374B51" w:rsidRDefault="00374B51" w:rsidP="00374B51">
            <w:pPr>
              <w:spacing w:line="240" w:lineRule="auto"/>
              <w:jc w:val="center"/>
              <w:rPr>
                <w:rFonts w:cs="Calibri"/>
                <w:color w:val="000000"/>
                <w:sz w:val="22"/>
                <w:szCs w:val="22"/>
                <w:lang w:eastAsia="es-CR"/>
              </w:rPr>
            </w:pPr>
            <w:r w:rsidRPr="00374B51">
              <w:rPr>
                <w:rFonts w:cs="Calibri"/>
                <w:color w:val="000000"/>
                <w:sz w:val="22"/>
                <w:szCs w:val="22"/>
                <w:lang w:eastAsia="es-CR"/>
              </w:rPr>
              <w:t>0,7</w:t>
            </w:r>
          </w:p>
        </w:tc>
        <w:tc>
          <w:tcPr>
            <w:tcW w:w="1297" w:type="dxa"/>
            <w:tcBorders>
              <w:top w:val="nil"/>
              <w:left w:val="nil"/>
              <w:bottom w:val="nil"/>
              <w:right w:val="nil"/>
            </w:tcBorders>
            <w:shd w:val="clear" w:color="auto" w:fill="E2EFD9" w:themeFill="accent6" w:themeFillTint="33"/>
            <w:noWrap/>
            <w:vAlign w:val="center"/>
            <w:hideMark/>
          </w:tcPr>
          <w:p w14:paraId="412525AD" w14:textId="77777777" w:rsidR="00374B51" w:rsidRPr="00374B51" w:rsidRDefault="00374B51" w:rsidP="00374B51">
            <w:pPr>
              <w:spacing w:line="240" w:lineRule="auto"/>
              <w:jc w:val="center"/>
              <w:rPr>
                <w:rFonts w:cs="Calibri"/>
                <w:color w:val="000000"/>
                <w:sz w:val="22"/>
                <w:szCs w:val="22"/>
                <w:lang w:eastAsia="es-CR"/>
              </w:rPr>
            </w:pPr>
            <w:r w:rsidRPr="00374B51">
              <w:rPr>
                <w:rFonts w:cs="Calibri"/>
                <w:color w:val="000000"/>
                <w:sz w:val="22"/>
                <w:szCs w:val="22"/>
                <w:lang w:eastAsia="es-CR"/>
              </w:rPr>
              <w:t>6%</w:t>
            </w:r>
          </w:p>
        </w:tc>
      </w:tr>
      <w:tr w:rsidR="00374B51" w:rsidRPr="00374B51" w14:paraId="38412B38" w14:textId="77777777" w:rsidTr="00832773">
        <w:trPr>
          <w:trHeight w:val="330"/>
        </w:trPr>
        <w:tc>
          <w:tcPr>
            <w:tcW w:w="3280" w:type="dxa"/>
            <w:tcBorders>
              <w:top w:val="nil"/>
              <w:left w:val="nil"/>
              <w:bottom w:val="nil"/>
              <w:right w:val="single" w:sz="4" w:space="0" w:color="auto"/>
            </w:tcBorders>
            <w:shd w:val="clear" w:color="auto" w:fill="E2EFD9" w:themeFill="accent6" w:themeFillTint="33"/>
            <w:noWrap/>
            <w:vAlign w:val="center"/>
            <w:hideMark/>
          </w:tcPr>
          <w:p w14:paraId="63DA921D" w14:textId="77777777" w:rsidR="00374B51" w:rsidRPr="00832773" w:rsidRDefault="00374B51" w:rsidP="00374B51">
            <w:pPr>
              <w:spacing w:line="240" w:lineRule="auto"/>
              <w:jc w:val="left"/>
              <w:rPr>
                <w:rFonts w:cs="Calibri"/>
                <w:b/>
                <w:bCs/>
                <w:color w:val="000000"/>
                <w:sz w:val="22"/>
                <w:szCs w:val="22"/>
                <w:lang w:eastAsia="es-CR"/>
              </w:rPr>
            </w:pPr>
            <w:r w:rsidRPr="00832773">
              <w:rPr>
                <w:rFonts w:cs="Calibri"/>
                <w:b/>
                <w:bCs/>
                <w:color w:val="000000"/>
                <w:sz w:val="22"/>
                <w:szCs w:val="22"/>
                <w:lang w:eastAsia="es-CR"/>
              </w:rPr>
              <w:t>De ¢4.000.001 a ¢5.000.000</w:t>
            </w:r>
          </w:p>
        </w:tc>
        <w:tc>
          <w:tcPr>
            <w:tcW w:w="1220" w:type="dxa"/>
            <w:tcBorders>
              <w:top w:val="nil"/>
              <w:left w:val="nil"/>
              <w:bottom w:val="nil"/>
              <w:right w:val="single" w:sz="4" w:space="0" w:color="auto"/>
            </w:tcBorders>
            <w:shd w:val="clear" w:color="auto" w:fill="E2EFD9" w:themeFill="accent6" w:themeFillTint="33"/>
            <w:noWrap/>
            <w:vAlign w:val="center"/>
            <w:hideMark/>
          </w:tcPr>
          <w:p w14:paraId="532441C5" w14:textId="77777777" w:rsidR="00374B51" w:rsidRPr="00832773" w:rsidRDefault="00374B51" w:rsidP="00374B51">
            <w:pPr>
              <w:spacing w:line="240" w:lineRule="auto"/>
              <w:jc w:val="center"/>
              <w:rPr>
                <w:rFonts w:cs="Calibri"/>
                <w:b/>
                <w:bCs/>
                <w:color w:val="000000"/>
                <w:sz w:val="22"/>
                <w:szCs w:val="22"/>
                <w:lang w:eastAsia="es-CR"/>
              </w:rPr>
            </w:pPr>
            <w:r w:rsidRPr="00832773">
              <w:rPr>
                <w:rFonts w:cs="Calibri"/>
                <w:b/>
                <w:bCs/>
                <w:color w:val="000000"/>
                <w:sz w:val="22"/>
                <w:szCs w:val="22"/>
                <w:lang w:eastAsia="es-CR"/>
              </w:rPr>
              <w:t>1</w:t>
            </w:r>
          </w:p>
        </w:tc>
        <w:tc>
          <w:tcPr>
            <w:tcW w:w="1220" w:type="dxa"/>
            <w:tcBorders>
              <w:top w:val="nil"/>
              <w:left w:val="nil"/>
              <w:bottom w:val="nil"/>
              <w:right w:val="single" w:sz="4" w:space="0" w:color="auto"/>
            </w:tcBorders>
            <w:shd w:val="clear" w:color="auto" w:fill="E2EFD9" w:themeFill="accent6" w:themeFillTint="33"/>
            <w:noWrap/>
            <w:vAlign w:val="center"/>
            <w:hideMark/>
          </w:tcPr>
          <w:p w14:paraId="30FBF73D" w14:textId="77777777" w:rsidR="00374B51" w:rsidRPr="00832773" w:rsidRDefault="00374B51" w:rsidP="00374B51">
            <w:pPr>
              <w:spacing w:line="240" w:lineRule="auto"/>
              <w:jc w:val="center"/>
              <w:rPr>
                <w:rFonts w:cs="Calibri"/>
                <w:b/>
                <w:bCs/>
                <w:color w:val="000000"/>
                <w:sz w:val="22"/>
                <w:szCs w:val="22"/>
                <w:lang w:eastAsia="es-CR"/>
              </w:rPr>
            </w:pPr>
            <w:r w:rsidRPr="00832773">
              <w:rPr>
                <w:rFonts w:cs="Calibri"/>
                <w:b/>
                <w:bCs/>
                <w:color w:val="000000"/>
                <w:sz w:val="22"/>
                <w:szCs w:val="22"/>
                <w:lang w:eastAsia="es-CR"/>
              </w:rPr>
              <w:t>5</w:t>
            </w:r>
          </w:p>
        </w:tc>
        <w:tc>
          <w:tcPr>
            <w:tcW w:w="1220" w:type="dxa"/>
            <w:tcBorders>
              <w:top w:val="nil"/>
              <w:left w:val="nil"/>
              <w:bottom w:val="nil"/>
              <w:right w:val="single" w:sz="4" w:space="0" w:color="auto"/>
            </w:tcBorders>
            <w:shd w:val="clear" w:color="auto" w:fill="E2EFD9" w:themeFill="accent6" w:themeFillTint="33"/>
            <w:noWrap/>
            <w:vAlign w:val="center"/>
            <w:hideMark/>
          </w:tcPr>
          <w:p w14:paraId="4D489C60" w14:textId="77777777" w:rsidR="00374B51" w:rsidRPr="00832773" w:rsidRDefault="00374B51" w:rsidP="00374B51">
            <w:pPr>
              <w:spacing w:line="240" w:lineRule="auto"/>
              <w:jc w:val="center"/>
              <w:rPr>
                <w:rFonts w:cs="Calibri"/>
                <w:b/>
                <w:bCs/>
                <w:color w:val="000000"/>
                <w:sz w:val="22"/>
                <w:szCs w:val="22"/>
                <w:lang w:eastAsia="es-CR"/>
              </w:rPr>
            </w:pPr>
            <w:r w:rsidRPr="00832773">
              <w:rPr>
                <w:rFonts w:cs="Calibri"/>
                <w:b/>
                <w:bCs/>
                <w:color w:val="000000"/>
                <w:sz w:val="22"/>
                <w:szCs w:val="22"/>
                <w:lang w:eastAsia="es-CR"/>
              </w:rPr>
              <w:t>2</w:t>
            </w:r>
          </w:p>
        </w:tc>
        <w:tc>
          <w:tcPr>
            <w:tcW w:w="1220" w:type="dxa"/>
            <w:tcBorders>
              <w:top w:val="nil"/>
              <w:left w:val="nil"/>
              <w:bottom w:val="nil"/>
              <w:right w:val="single" w:sz="4" w:space="0" w:color="auto"/>
            </w:tcBorders>
            <w:shd w:val="clear" w:color="auto" w:fill="E2EFD9" w:themeFill="accent6" w:themeFillTint="33"/>
            <w:noWrap/>
            <w:vAlign w:val="center"/>
            <w:hideMark/>
          </w:tcPr>
          <w:p w14:paraId="75A3F812" w14:textId="77777777" w:rsidR="00374B51" w:rsidRPr="00832773" w:rsidRDefault="00374B51" w:rsidP="00374B51">
            <w:pPr>
              <w:spacing w:line="240" w:lineRule="auto"/>
              <w:jc w:val="center"/>
              <w:rPr>
                <w:rFonts w:cs="Calibri"/>
                <w:b/>
                <w:bCs/>
                <w:color w:val="000000"/>
                <w:sz w:val="22"/>
                <w:szCs w:val="22"/>
                <w:lang w:eastAsia="es-CR"/>
              </w:rPr>
            </w:pPr>
            <w:r w:rsidRPr="00832773">
              <w:rPr>
                <w:rFonts w:cs="Calibri"/>
                <w:b/>
                <w:bCs/>
                <w:color w:val="000000"/>
                <w:sz w:val="22"/>
                <w:szCs w:val="22"/>
                <w:lang w:eastAsia="es-CR"/>
              </w:rPr>
              <w:t>2,7</w:t>
            </w:r>
          </w:p>
        </w:tc>
        <w:tc>
          <w:tcPr>
            <w:tcW w:w="1297" w:type="dxa"/>
            <w:tcBorders>
              <w:top w:val="nil"/>
              <w:left w:val="nil"/>
              <w:bottom w:val="nil"/>
              <w:right w:val="nil"/>
            </w:tcBorders>
            <w:shd w:val="clear" w:color="auto" w:fill="E2EFD9" w:themeFill="accent6" w:themeFillTint="33"/>
            <w:noWrap/>
            <w:vAlign w:val="center"/>
            <w:hideMark/>
          </w:tcPr>
          <w:p w14:paraId="2E70CBA4" w14:textId="77777777" w:rsidR="00374B51" w:rsidRPr="00832773" w:rsidRDefault="00374B51" w:rsidP="00374B51">
            <w:pPr>
              <w:spacing w:line="240" w:lineRule="auto"/>
              <w:jc w:val="center"/>
              <w:rPr>
                <w:rFonts w:cs="Calibri"/>
                <w:b/>
                <w:bCs/>
                <w:color w:val="000000"/>
                <w:sz w:val="22"/>
                <w:szCs w:val="22"/>
                <w:lang w:eastAsia="es-CR"/>
              </w:rPr>
            </w:pPr>
            <w:r w:rsidRPr="00832773">
              <w:rPr>
                <w:rFonts w:cs="Calibri"/>
                <w:b/>
                <w:bCs/>
                <w:color w:val="000000"/>
                <w:sz w:val="22"/>
                <w:szCs w:val="22"/>
                <w:lang w:eastAsia="es-CR"/>
              </w:rPr>
              <w:t>10%</w:t>
            </w:r>
          </w:p>
        </w:tc>
      </w:tr>
      <w:tr w:rsidR="00374B51" w:rsidRPr="00374B51" w14:paraId="3B83086A" w14:textId="77777777" w:rsidTr="00832773">
        <w:trPr>
          <w:trHeight w:val="330"/>
        </w:trPr>
        <w:tc>
          <w:tcPr>
            <w:tcW w:w="3280" w:type="dxa"/>
            <w:tcBorders>
              <w:top w:val="nil"/>
              <w:left w:val="nil"/>
              <w:bottom w:val="nil"/>
              <w:right w:val="single" w:sz="4" w:space="0" w:color="auto"/>
            </w:tcBorders>
            <w:shd w:val="clear" w:color="auto" w:fill="E2EFD9" w:themeFill="accent6" w:themeFillTint="33"/>
            <w:noWrap/>
            <w:vAlign w:val="center"/>
            <w:hideMark/>
          </w:tcPr>
          <w:p w14:paraId="3723D89D" w14:textId="77777777" w:rsidR="00374B51" w:rsidRPr="00374B51" w:rsidRDefault="00374B51" w:rsidP="00374B51">
            <w:pPr>
              <w:spacing w:line="240" w:lineRule="auto"/>
              <w:jc w:val="left"/>
              <w:rPr>
                <w:rFonts w:cs="Calibri"/>
                <w:color w:val="000000"/>
                <w:sz w:val="22"/>
                <w:szCs w:val="22"/>
                <w:lang w:eastAsia="es-CR"/>
              </w:rPr>
            </w:pPr>
            <w:r w:rsidRPr="00374B51">
              <w:rPr>
                <w:rFonts w:cs="Calibri"/>
                <w:color w:val="000000"/>
                <w:sz w:val="22"/>
                <w:szCs w:val="22"/>
                <w:lang w:eastAsia="es-CR"/>
              </w:rPr>
              <w:t>De ¢5.000.001 a ¢6.000.000</w:t>
            </w:r>
          </w:p>
        </w:tc>
        <w:tc>
          <w:tcPr>
            <w:tcW w:w="1220" w:type="dxa"/>
            <w:tcBorders>
              <w:top w:val="nil"/>
              <w:left w:val="nil"/>
              <w:bottom w:val="nil"/>
              <w:right w:val="single" w:sz="4" w:space="0" w:color="auto"/>
            </w:tcBorders>
            <w:shd w:val="clear" w:color="auto" w:fill="E2EFD9" w:themeFill="accent6" w:themeFillTint="33"/>
            <w:noWrap/>
            <w:vAlign w:val="center"/>
            <w:hideMark/>
          </w:tcPr>
          <w:p w14:paraId="7539CDA2" w14:textId="77777777" w:rsidR="00374B51" w:rsidRPr="00374B51" w:rsidRDefault="00374B51" w:rsidP="00374B51">
            <w:pPr>
              <w:spacing w:line="240" w:lineRule="auto"/>
              <w:jc w:val="center"/>
              <w:rPr>
                <w:rFonts w:cs="Calibri"/>
                <w:color w:val="000000"/>
                <w:sz w:val="22"/>
                <w:szCs w:val="22"/>
                <w:lang w:eastAsia="es-CR"/>
              </w:rPr>
            </w:pPr>
            <w:r w:rsidRPr="00374B51">
              <w:rPr>
                <w:rFonts w:cs="Calibri"/>
                <w:color w:val="000000"/>
                <w:sz w:val="22"/>
                <w:szCs w:val="22"/>
                <w:lang w:eastAsia="es-CR"/>
              </w:rPr>
              <w:t>0</w:t>
            </w:r>
          </w:p>
        </w:tc>
        <w:tc>
          <w:tcPr>
            <w:tcW w:w="1220" w:type="dxa"/>
            <w:tcBorders>
              <w:top w:val="nil"/>
              <w:left w:val="nil"/>
              <w:bottom w:val="nil"/>
              <w:right w:val="single" w:sz="4" w:space="0" w:color="auto"/>
            </w:tcBorders>
            <w:shd w:val="clear" w:color="auto" w:fill="E2EFD9" w:themeFill="accent6" w:themeFillTint="33"/>
            <w:noWrap/>
            <w:vAlign w:val="center"/>
            <w:hideMark/>
          </w:tcPr>
          <w:p w14:paraId="4592AE72" w14:textId="77777777" w:rsidR="00374B51" w:rsidRPr="00374B51" w:rsidRDefault="00374B51" w:rsidP="00374B51">
            <w:pPr>
              <w:spacing w:line="240" w:lineRule="auto"/>
              <w:jc w:val="center"/>
              <w:rPr>
                <w:rFonts w:cs="Calibri"/>
                <w:color w:val="000000"/>
                <w:sz w:val="22"/>
                <w:szCs w:val="22"/>
                <w:lang w:eastAsia="es-CR"/>
              </w:rPr>
            </w:pPr>
            <w:r w:rsidRPr="00374B51">
              <w:rPr>
                <w:rFonts w:cs="Calibri"/>
                <w:color w:val="000000"/>
                <w:sz w:val="22"/>
                <w:szCs w:val="22"/>
                <w:lang w:eastAsia="es-CR"/>
              </w:rPr>
              <w:t>2</w:t>
            </w:r>
          </w:p>
        </w:tc>
        <w:tc>
          <w:tcPr>
            <w:tcW w:w="1220" w:type="dxa"/>
            <w:tcBorders>
              <w:top w:val="nil"/>
              <w:left w:val="nil"/>
              <w:bottom w:val="nil"/>
              <w:right w:val="single" w:sz="4" w:space="0" w:color="auto"/>
            </w:tcBorders>
            <w:shd w:val="clear" w:color="auto" w:fill="E2EFD9" w:themeFill="accent6" w:themeFillTint="33"/>
            <w:noWrap/>
            <w:vAlign w:val="center"/>
            <w:hideMark/>
          </w:tcPr>
          <w:p w14:paraId="273B2927" w14:textId="77777777" w:rsidR="00374B51" w:rsidRPr="00374B51" w:rsidRDefault="00374B51" w:rsidP="00374B51">
            <w:pPr>
              <w:spacing w:line="240" w:lineRule="auto"/>
              <w:jc w:val="center"/>
              <w:rPr>
                <w:rFonts w:cs="Calibri"/>
                <w:color w:val="000000"/>
                <w:sz w:val="22"/>
                <w:szCs w:val="22"/>
                <w:lang w:eastAsia="es-CR"/>
              </w:rPr>
            </w:pPr>
            <w:r w:rsidRPr="00374B51">
              <w:rPr>
                <w:rFonts w:cs="Calibri"/>
                <w:color w:val="000000"/>
                <w:sz w:val="22"/>
                <w:szCs w:val="22"/>
                <w:lang w:eastAsia="es-CR"/>
              </w:rPr>
              <w:t>3</w:t>
            </w:r>
          </w:p>
        </w:tc>
        <w:tc>
          <w:tcPr>
            <w:tcW w:w="1220" w:type="dxa"/>
            <w:tcBorders>
              <w:top w:val="nil"/>
              <w:left w:val="nil"/>
              <w:bottom w:val="nil"/>
              <w:right w:val="single" w:sz="4" w:space="0" w:color="auto"/>
            </w:tcBorders>
            <w:shd w:val="clear" w:color="auto" w:fill="E2EFD9" w:themeFill="accent6" w:themeFillTint="33"/>
            <w:noWrap/>
            <w:vAlign w:val="center"/>
            <w:hideMark/>
          </w:tcPr>
          <w:p w14:paraId="23A67990" w14:textId="77777777" w:rsidR="00374B51" w:rsidRPr="00374B51" w:rsidRDefault="00374B51" w:rsidP="00374B51">
            <w:pPr>
              <w:spacing w:line="240" w:lineRule="auto"/>
              <w:jc w:val="center"/>
              <w:rPr>
                <w:rFonts w:cs="Calibri"/>
                <w:color w:val="000000"/>
                <w:sz w:val="22"/>
                <w:szCs w:val="22"/>
                <w:lang w:eastAsia="es-CR"/>
              </w:rPr>
            </w:pPr>
            <w:r w:rsidRPr="00374B51">
              <w:rPr>
                <w:rFonts w:cs="Calibri"/>
                <w:color w:val="000000"/>
                <w:sz w:val="22"/>
                <w:szCs w:val="22"/>
                <w:lang w:eastAsia="es-CR"/>
              </w:rPr>
              <w:t>1,7</w:t>
            </w:r>
          </w:p>
        </w:tc>
        <w:tc>
          <w:tcPr>
            <w:tcW w:w="1297" w:type="dxa"/>
            <w:tcBorders>
              <w:top w:val="nil"/>
              <w:left w:val="nil"/>
              <w:bottom w:val="nil"/>
              <w:right w:val="nil"/>
            </w:tcBorders>
            <w:shd w:val="clear" w:color="auto" w:fill="E2EFD9" w:themeFill="accent6" w:themeFillTint="33"/>
            <w:noWrap/>
            <w:vAlign w:val="center"/>
            <w:hideMark/>
          </w:tcPr>
          <w:p w14:paraId="44924C39" w14:textId="77777777" w:rsidR="00374B51" w:rsidRPr="00374B51" w:rsidRDefault="00374B51" w:rsidP="00374B51">
            <w:pPr>
              <w:spacing w:line="240" w:lineRule="auto"/>
              <w:jc w:val="center"/>
              <w:rPr>
                <w:rFonts w:cs="Calibri"/>
                <w:color w:val="000000"/>
                <w:sz w:val="22"/>
                <w:szCs w:val="22"/>
                <w:lang w:eastAsia="es-CR"/>
              </w:rPr>
            </w:pPr>
            <w:r w:rsidRPr="00374B51">
              <w:rPr>
                <w:rFonts w:cs="Calibri"/>
                <w:color w:val="000000"/>
                <w:sz w:val="22"/>
                <w:szCs w:val="22"/>
                <w:lang w:eastAsia="es-CR"/>
              </w:rPr>
              <w:t>12%</w:t>
            </w:r>
          </w:p>
        </w:tc>
      </w:tr>
      <w:tr w:rsidR="00374B51" w:rsidRPr="00374B51" w14:paraId="244859D1" w14:textId="77777777" w:rsidTr="00832773">
        <w:trPr>
          <w:trHeight w:val="330"/>
        </w:trPr>
        <w:tc>
          <w:tcPr>
            <w:tcW w:w="3280" w:type="dxa"/>
            <w:tcBorders>
              <w:top w:val="nil"/>
              <w:left w:val="nil"/>
              <w:bottom w:val="nil"/>
              <w:right w:val="single" w:sz="4" w:space="0" w:color="auto"/>
            </w:tcBorders>
            <w:shd w:val="clear" w:color="auto" w:fill="E2EFD9" w:themeFill="accent6" w:themeFillTint="33"/>
            <w:noWrap/>
            <w:vAlign w:val="center"/>
            <w:hideMark/>
          </w:tcPr>
          <w:p w14:paraId="2CE69EF4" w14:textId="77777777" w:rsidR="00374B51" w:rsidRPr="00374B51" w:rsidRDefault="00374B51" w:rsidP="00374B51">
            <w:pPr>
              <w:spacing w:line="240" w:lineRule="auto"/>
              <w:jc w:val="left"/>
              <w:rPr>
                <w:rFonts w:cs="Calibri"/>
                <w:color w:val="000000"/>
                <w:sz w:val="22"/>
                <w:szCs w:val="22"/>
                <w:lang w:eastAsia="es-CR"/>
              </w:rPr>
            </w:pPr>
            <w:r w:rsidRPr="00374B51">
              <w:rPr>
                <w:rFonts w:cs="Calibri"/>
                <w:color w:val="000000"/>
                <w:sz w:val="22"/>
                <w:szCs w:val="22"/>
                <w:lang w:eastAsia="es-CR"/>
              </w:rPr>
              <w:t>De ¢6.000.001 a ¢7.000.000</w:t>
            </w:r>
          </w:p>
        </w:tc>
        <w:tc>
          <w:tcPr>
            <w:tcW w:w="1220" w:type="dxa"/>
            <w:tcBorders>
              <w:top w:val="nil"/>
              <w:left w:val="nil"/>
              <w:bottom w:val="nil"/>
              <w:right w:val="single" w:sz="4" w:space="0" w:color="auto"/>
            </w:tcBorders>
            <w:shd w:val="clear" w:color="auto" w:fill="E2EFD9" w:themeFill="accent6" w:themeFillTint="33"/>
            <w:noWrap/>
            <w:vAlign w:val="center"/>
            <w:hideMark/>
          </w:tcPr>
          <w:p w14:paraId="266CC551" w14:textId="77777777" w:rsidR="00374B51" w:rsidRPr="00374B51" w:rsidRDefault="00374B51" w:rsidP="00374B51">
            <w:pPr>
              <w:spacing w:line="240" w:lineRule="auto"/>
              <w:jc w:val="center"/>
              <w:rPr>
                <w:rFonts w:cs="Calibri"/>
                <w:color w:val="000000"/>
                <w:sz w:val="22"/>
                <w:szCs w:val="22"/>
                <w:lang w:eastAsia="es-CR"/>
              </w:rPr>
            </w:pPr>
            <w:r w:rsidRPr="00374B51">
              <w:rPr>
                <w:rFonts w:cs="Calibri"/>
                <w:color w:val="000000"/>
                <w:sz w:val="22"/>
                <w:szCs w:val="22"/>
                <w:lang w:eastAsia="es-CR"/>
              </w:rPr>
              <w:t>0</w:t>
            </w:r>
          </w:p>
        </w:tc>
        <w:tc>
          <w:tcPr>
            <w:tcW w:w="1220" w:type="dxa"/>
            <w:tcBorders>
              <w:top w:val="nil"/>
              <w:left w:val="nil"/>
              <w:bottom w:val="nil"/>
              <w:right w:val="single" w:sz="4" w:space="0" w:color="auto"/>
            </w:tcBorders>
            <w:shd w:val="clear" w:color="auto" w:fill="E2EFD9" w:themeFill="accent6" w:themeFillTint="33"/>
            <w:noWrap/>
            <w:vAlign w:val="center"/>
            <w:hideMark/>
          </w:tcPr>
          <w:p w14:paraId="35DA83A0" w14:textId="77777777" w:rsidR="00374B51" w:rsidRPr="00374B51" w:rsidRDefault="00374B51" w:rsidP="00374B51">
            <w:pPr>
              <w:spacing w:line="240" w:lineRule="auto"/>
              <w:jc w:val="center"/>
              <w:rPr>
                <w:rFonts w:cs="Calibri"/>
                <w:color w:val="000000"/>
                <w:sz w:val="22"/>
                <w:szCs w:val="22"/>
                <w:lang w:eastAsia="es-CR"/>
              </w:rPr>
            </w:pPr>
            <w:r w:rsidRPr="00374B51">
              <w:rPr>
                <w:rFonts w:cs="Calibri"/>
                <w:color w:val="000000"/>
                <w:sz w:val="22"/>
                <w:szCs w:val="22"/>
                <w:lang w:eastAsia="es-CR"/>
              </w:rPr>
              <w:t>0</w:t>
            </w:r>
          </w:p>
        </w:tc>
        <w:tc>
          <w:tcPr>
            <w:tcW w:w="1220" w:type="dxa"/>
            <w:tcBorders>
              <w:top w:val="nil"/>
              <w:left w:val="nil"/>
              <w:bottom w:val="nil"/>
              <w:right w:val="single" w:sz="4" w:space="0" w:color="auto"/>
            </w:tcBorders>
            <w:shd w:val="clear" w:color="auto" w:fill="E2EFD9" w:themeFill="accent6" w:themeFillTint="33"/>
            <w:noWrap/>
            <w:vAlign w:val="center"/>
            <w:hideMark/>
          </w:tcPr>
          <w:p w14:paraId="1AF86ABE" w14:textId="77777777" w:rsidR="00374B51" w:rsidRPr="00374B51" w:rsidRDefault="00374B51" w:rsidP="00374B51">
            <w:pPr>
              <w:spacing w:line="240" w:lineRule="auto"/>
              <w:jc w:val="center"/>
              <w:rPr>
                <w:rFonts w:cs="Calibri"/>
                <w:color w:val="000000"/>
                <w:sz w:val="22"/>
                <w:szCs w:val="22"/>
                <w:lang w:eastAsia="es-CR"/>
              </w:rPr>
            </w:pPr>
            <w:r w:rsidRPr="00374B51">
              <w:rPr>
                <w:rFonts w:cs="Calibri"/>
                <w:color w:val="000000"/>
                <w:sz w:val="22"/>
                <w:szCs w:val="22"/>
                <w:lang w:eastAsia="es-CR"/>
              </w:rPr>
              <w:t>1</w:t>
            </w:r>
          </w:p>
        </w:tc>
        <w:tc>
          <w:tcPr>
            <w:tcW w:w="1220" w:type="dxa"/>
            <w:tcBorders>
              <w:top w:val="nil"/>
              <w:left w:val="nil"/>
              <w:bottom w:val="nil"/>
              <w:right w:val="single" w:sz="4" w:space="0" w:color="auto"/>
            </w:tcBorders>
            <w:shd w:val="clear" w:color="auto" w:fill="E2EFD9" w:themeFill="accent6" w:themeFillTint="33"/>
            <w:noWrap/>
            <w:vAlign w:val="center"/>
            <w:hideMark/>
          </w:tcPr>
          <w:p w14:paraId="4723B7CA" w14:textId="77777777" w:rsidR="00374B51" w:rsidRPr="00374B51" w:rsidRDefault="00374B51" w:rsidP="00374B51">
            <w:pPr>
              <w:spacing w:line="240" w:lineRule="auto"/>
              <w:jc w:val="center"/>
              <w:rPr>
                <w:rFonts w:cs="Calibri"/>
                <w:color w:val="000000"/>
                <w:sz w:val="22"/>
                <w:szCs w:val="22"/>
                <w:lang w:eastAsia="es-CR"/>
              </w:rPr>
            </w:pPr>
            <w:r w:rsidRPr="00374B51">
              <w:rPr>
                <w:rFonts w:cs="Calibri"/>
                <w:color w:val="000000"/>
                <w:sz w:val="22"/>
                <w:szCs w:val="22"/>
                <w:lang w:eastAsia="es-CR"/>
              </w:rPr>
              <w:t>0,3</w:t>
            </w:r>
          </w:p>
        </w:tc>
        <w:tc>
          <w:tcPr>
            <w:tcW w:w="1297" w:type="dxa"/>
            <w:tcBorders>
              <w:top w:val="nil"/>
              <w:left w:val="nil"/>
              <w:bottom w:val="nil"/>
              <w:right w:val="nil"/>
            </w:tcBorders>
            <w:shd w:val="clear" w:color="auto" w:fill="E2EFD9" w:themeFill="accent6" w:themeFillTint="33"/>
            <w:noWrap/>
            <w:vAlign w:val="center"/>
            <w:hideMark/>
          </w:tcPr>
          <w:p w14:paraId="404EA623" w14:textId="77777777" w:rsidR="00374B51" w:rsidRPr="00374B51" w:rsidRDefault="00374B51" w:rsidP="00374B51">
            <w:pPr>
              <w:spacing w:line="240" w:lineRule="auto"/>
              <w:jc w:val="center"/>
              <w:rPr>
                <w:rFonts w:cs="Calibri"/>
                <w:color w:val="000000"/>
                <w:sz w:val="22"/>
                <w:szCs w:val="22"/>
                <w:lang w:eastAsia="es-CR"/>
              </w:rPr>
            </w:pPr>
            <w:r w:rsidRPr="00374B51">
              <w:rPr>
                <w:rFonts w:cs="Calibri"/>
                <w:color w:val="000000"/>
                <w:sz w:val="22"/>
                <w:szCs w:val="22"/>
                <w:lang w:eastAsia="es-CR"/>
              </w:rPr>
              <w:t>13%</w:t>
            </w:r>
          </w:p>
        </w:tc>
      </w:tr>
      <w:tr w:rsidR="00374B51" w:rsidRPr="00374B51" w14:paraId="581D9420" w14:textId="77777777" w:rsidTr="00832773">
        <w:trPr>
          <w:trHeight w:val="330"/>
        </w:trPr>
        <w:tc>
          <w:tcPr>
            <w:tcW w:w="3280" w:type="dxa"/>
            <w:tcBorders>
              <w:top w:val="nil"/>
              <w:left w:val="nil"/>
              <w:bottom w:val="nil"/>
              <w:right w:val="single" w:sz="4" w:space="0" w:color="auto"/>
            </w:tcBorders>
            <w:shd w:val="clear" w:color="auto" w:fill="E2EFD9" w:themeFill="accent6" w:themeFillTint="33"/>
            <w:noWrap/>
            <w:vAlign w:val="center"/>
            <w:hideMark/>
          </w:tcPr>
          <w:p w14:paraId="06AA7D3F" w14:textId="77777777" w:rsidR="00374B51" w:rsidRPr="00374B51" w:rsidRDefault="00374B51" w:rsidP="00374B51">
            <w:pPr>
              <w:spacing w:line="240" w:lineRule="auto"/>
              <w:jc w:val="left"/>
              <w:rPr>
                <w:rFonts w:cs="Calibri"/>
                <w:color w:val="000000"/>
                <w:sz w:val="22"/>
                <w:szCs w:val="22"/>
                <w:lang w:eastAsia="es-CR"/>
              </w:rPr>
            </w:pPr>
            <w:r w:rsidRPr="00374B51">
              <w:rPr>
                <w:rFonts w:cs="Calibri"/>
                <w:color w:val="000000"/>
                <w:sz w:val="22"/>
                <w:szCs w:val="22"/>
                <w:lang w:eastAsia="es-CR"/>
              </w:rPr>
              <w:t>De ¢7.000.001 a ¢8.000.000</w:t>
            </w:r>
          </w:p>
        </w:tc>
        <w:tc>
          <w:tcPr>
            <w:tcW w:w="1220" w:type="dxa"/>
            <w:tcBorders>
              <w:top w:val="nil"/>
              <w:left w:val="nil"/>
              <w:bottom w:val="nil"/>
              <w:right w:val="single" w:sz="4" w:space="0" w:color="auto"/>
            </w:tcBorders>
            <w:shd w:val="clear" w:color="auto" w:fill="E2EFD9" w:themeFill="accent6" w:themeFillTint="33"/>
            <w:noWrap/>
            <w:vAlign w:val="center"/>
            <w:hideMark/>
          </w:tcPr>
          <w:p w14:paraId="559396F4" w14:textId="77777777" w:rsidR="00374B51" w:rsidRPr="00374B51" w:rsidRDefault="00374B51" w:rsidP="00374B51">
            <w:pPr>
              <w:spacing w:line="240" w:lineRule="auto"/>
              <w:jc w:val="center"/>
              <w:rPr>
                <w:rFonts w:cs="Calibri"/>
                <w:color w:val="000000"/>
                <w:sz w:val="22"/>
                <w:szCs w:val="22"/>
                <w:lang w:eastAsia="es-CR"/>
              </w:rPr>
            </w:pPr>
            <w:r w:rsidRPr="00374B51">
              <w:rPr>
                <w:rFonts w:cs="Calibri"/>
                <w:color w:val="000000"/>
                <w:sz w:val="22"/>
                <w:szCs w:val="22"/>
                <w:lang w:eastAsia="es-CR"/>
              </w:rPr>
              <w:t>0</w:t>
            </w:r>
          </w:p>
        </w:tc>
        <w:tc>
          <w:tcPr>
            <w:tcW w:w="1220" w:type="dxa"/>
            <w:tcBorders>
              <w:top w:val="nil"/>
              <w:left w:val="nil"/>
              <w:bottom w:val="nil"/>
              <w:right w:val="single" w:sz="4" w:space="0" w:color="auto"/>
            </w:tcBorders>
            <w:shd w:val="clear" w:color="auto" w:fill="E2EFD9" w:themeFill="accent6" w:themeFillTint="33"/>
            <w:noWrap/>
            <w:vAlign w:val="center"/>
            <w:hideMark/>
          </w:tcPr>
          <w:p w14:paraId="1A12E9E8" w14:textId="77777777" w:rsidR="00374B51" w:rsidRPr="00374B51" w:rsidRDefault="00374B51" w:rsidP="00374B51">
            <w:pPr>
              <w:spacing w:line="240" w:lineRule="auto"/>
              <w:jc w:val="center"/>
              <w:rPr>
                <w:rFonts w:cs="Calibri"/>
                <w:color w:val="000000"/>
                <w:sz w:val="22"/>
                <w:szCs w:val="22"/>
                <w:lang w:eastAsia="es-CR"/>
              </w:rPr>
            </w:pPr>
            <w:r w:rsidRPr="00374B51">
              <w:rPr>
                <w:rFonts w:cs="Calibri"/>
                <w:color w:val="000000"/>
                <w:sz w:val="22"/>
                <w:szCs w:val="22"/>
                <w:lang w:eastAsia="es-CR"/>
              </w:rPr>
              <w:t>2</w:t>
            </w:r>
          </w:p>
        </w:tc>
        <w:tc>
          <w:tcPr>
            <w:tcW w:w="1220" w:type="dxa"/>
            <w:tcBorders>
              <w:top w:val="nil"/>
              <w:left w:val="nil"/>
              <w:bottom w:val="nil"/>
              <w:right w:val="single" w:sz="4" w:space="0" w:color="auto"/>
            </w:tcBorders>
            <w:shd w:val="clear" w:color="auto" w:fill="E2EFD9" w:themeFill="accent6" w:themeFillTint="33"/>
            <w:noWrap/>
            <w:vAlign w:val="center"/>
            <w:hideMark/>
          </w:tcPr>
          <w:p w14:paraId="62A425E5" w14:textId="77777777" w:rsidR="00374B51" w:rsidRPr="00374B51" w:rsidRDefault="00374B51" w:rsidP="00374B51">
            <w:pPr>
              <w:spacing w:line="240" w:lineRule="auto"/>
              <w:jc w:val="center"/>
              <w:rPr>
                <w:rFonts w:cs="Calibri"/>
                <w:color w:val="000000"/>
                <w:sz w:val="22"/>
                <w:szCs w:val="22"/>
                <w:lang w:eastAsia="es-CR"/>
              </w:rPr>
            </w:pPr>
            <w:r w:rsidRPr="00374B51">
              <w:rPr>
                <w:rFonts w:cs="Calibri"/>
                <w:color w:val="000000"/>
                <w:sz w:val="22"/>
                <w:szCs w:val="22"/>
                <w:lang w:eastAsia="es-CR"/>
              </w:rPr>
              <w:t>0</w:t>
            </w:r>
          </w:p>
        </w:tc>
        <w:tc>
          <w:tcPr>
            <w:tcW w:w="1220" w:type="dxa"/>
            <w:tcBorders>
              <w:top w:val="nil"/>
              <w:left w:val="nil"/>
              <w:bottom w:val="nil"/>
              <w:right w:val="single" w:sz="4" w:space="0" w:color="auto"/>
            </w:tcBorders>
            <w:shd w:val="clear" w:color="auto" w:fill="E2EFD9" w:themeFill="accent6" w:themeFillTint="33"/>
            <w:noWrap/>
            <w:vAlign w:val="center"/>
            <w:hideMark/>
          </w:tcPr>
          <w:p w14:paraId="4E4EC05F" w14:textId="77777777" w:rsidR="00374B51" w:rsidRPr="00374B51" w:rsidRDefault="00374B51" w:rsidP="00374B51">
            <w:pPr>
              <w:spacing w:line="240" w:lineRule="auto"/>
              <w:jc w:val="center"/>
              <w:rPr>
                <w:rFonts w:cs="Calibri"/>
                <w:color w:val="000000"/>
                <w:sz w:val="22"/>
                <w:szCs w:val="22"/>
                <w:lang w:eastAsia="es-CR"/>
              </w:rPr>
            </w:pPr>
            <w:r w:rsidRPr="00374B51">
              <w:rPr>
                <w:rFonts w:cs="Calibri"/>
                <w:color w:val="000000"/>
                <w:sz w:val="22"/>
                <w:szCs w:val="22"/>
                <w:lang w:eastAsia="es-CR"/>
              </w:rPr>
              <w:t>0,7</w:t>
            </w:r>
          </w:p>
        </w:tc>
        <w:tc>
          <w:tcPr>
            <w:tcW w:w="1297" w:type="dxa"/>
            <w:tcBorders>
              <w:top w:val="nil"/>
              <w:left w:val="nil"/>
              <w:bottom w:val="nil"/>
              <w:right w:val="nil"/>
            </w:tcBorders>
            <w:shd w:val="clear" w:color="auto" w:fill="E2EFD9" w:themeFill="accent6" w:themeFillTint="33"/>
            <w:noWrap/>
            <w:vAlign w:val="center"/>
            <w:hideMark/>
          </w:tcPr>
          <w:p w14:paraId="3E36D1DB" w14:textId="77777777" w:rsidR="00374B51" w:rsidRPr="00374B51" w:rsidRDefault="00374B51" w:rsidP="00374B51">
            <w:pPr>
              <w:spacing w:line="240" w:lineRule="auto"/>
              <w:jc w:val="center"/>
              <w:rPr>
                <w:rFonts w:cs="Calibri"/>
                <w:color w:val="000000"/>
                <w:sz w:val="22"/>
                <w:szCs w:val="22"/>
                <w:lang w:eastAsia="es-CR"/>
              </w:rPr>
            </w:pPr>
            <w:r w:rsidRPr="00374B51">
              <w:rPr>
                <w:rFonts w:cs="Calibri"/>
                <w:color w:val="000000"/>
                <w:sz w:val="22"/>
                <w:szCs w:val="22"/>
                <w:lang w:eastAsia="es-CR"/>
              </w:rPr>
              <w:t>14%</w:t>
            </w:r>
          </w:p>
        </w:tc>
      </w:tr>
      <w:tr w:rsidR="00374B51" w:rsidRPr="00374B51" w14:paraId="0089DC8B" w14:textId="77777777" w:rsidTr="00832773">
        <w:trPr>
          <w:trHeight w:val="330"/>
        </w:trPr>
        <w:tc>
          <w:tcPr>
            <w:tcW w:w="3280" w:type="dxa"/>
            <w:tcBorders>
              <w:top w:val="nil"/>
              <w:left w:val="nil"/>
              <w:bottom w:val="nil"/>
              <w:right w:val="single" w:sz="4" w:space="0" w:color="auto"/>
            </w:tcBorders>
            <w:shd w:val="clear" w:color="auto" w:fill="E2EFD9" w:themeFill="accent6" w:themeFillTint="33"/>
            <w:noWrap/>
            <w:vAlign w:val="center"/>
            <w:hideMark/>
          </w:tcPr>
          <w:p w14:paraId="01C87A1A" w14:textId="77777777" w:rsidR="00374B51" w:rsidRPr="00374B51" w:rsidRDefault="00374B51" w:rsidP="00374B51">
            <w:pPr>
              <w:spacing w:line="240" w:lineRule="auto"/>
              <w:jc w:val="left"/>
              <w:rPr>
                <w:rFonts w:cs="Calibri"/>
                <w:color w:val="000000"/>
                <w:sz w:val="22"/>
                <w:szCs w:val="22"/>
                <w:lang w:eastAsia="es-CR"/>
              </w:rPr>
            </w:pPr>
            <w:r w:rsidRPr="00374B51">
              <w:rPr>
                <w:rFonts w:cs="Calibri"/>
                <w:color w:val="000000"/>
                <w:sz w:val="22"/>
                <w:szCs w:val="22"/>
                <w:lang w:eastAsia="es-CR"/>
              </w:rPr>
              <w:t>De ¢9.000.001 a ¢10.000.000</w:t>
            </w:r>
          </w:p>
        </w:tc>
        <w:tc>
          <w:tcPr>
            <w:tcW w:w="1220" w:type="dxa"/>
            <w:tcBorders>
              <w:top w:val="nil"/>
              <w:left w:val="nil"/>
              <w:bottom w:val="nil"/>
              <w:right w:val="single" w:sz="4" w:space="0" w:color="auto"/>
            </w:tcBorders>
            <w:shd w:val="clear" w:color="auto" w:fill="E2EFD9" w:themeFill="accent6" w:themeFillTint="33"/>
            <w:noWrap/>
            <w:vAlign w:val="center"/>
            <w:hideMark/>
          </w:tcPr>
          <w:p w14:paraId="0300EF32" w14:textId="77777777" w:rsidR="00374B51" w:rsidRPr="00374B51" w:rsidRDefault="00374B51" w:rsidP="00374B51">
            <w:pPr>
              <w:spacing w:line="240" w:lineRule="auto"/>
              <w:jc w:val="center"/>
              <w:rPr>
                <w:rFonts w:cs="Calibri"/>
                <w:color w:val="000000"/>
                <w:sz w:val="22"/>
                <w:szCs w:val="22"/>
                <w:lang w:eastAsia="es-CR"/>
              </w:rPr>
            </w:pPr>
            <w:r w:rsidRPr="00374B51">
              <w:rPr>
                <w:rFonts w:cs="Calibri"/>
                <w:color w:val="000000"/>
                <w:sz w:val="22"/>
                <w:szCs w:val="22"/>
                <w:lang w:eastAsia="es-CR"/>
              </w:rPr>
              <w:t>1</w:t>
            </w:r>
          </w:p>
        </w:tc>
        <w:tc>
          <w:tcPr>
            <w:tcW w:w="1220" w:type="dxa"/>
            <w:tcBorders>
              <w:top w:val="nil"/>
              <w:left w:val="nil"/>
              <w:bottom w:val="nil"/>
              <w:right w:val="single" w:sz="4" w:space="0" w:color="auto"/>
            </w:tcBorders>
            <w:shd w:val="clear" w:color="auto" w:fill="E2EFD9" w:themeFill="accent6" w:themeFillTint="33"/>
            <w:noWrap/>
            <w:vAlign w:val="center"/>
            <w:hideMark/>
          </w:tcPr>
          <w:p w14:paraId="55E50A09" w14:textId="77777777" w:rsidR="00374B51" w:rsidRPr="00374B51" w:rsidRDefault="00374B51" w:rsidP="00374B51">
            <w:pPr>
              <w:spacing w:line="240" w:lineRule="auto"/>
              <w:jc w:val="center"/>
              <w:rPr>
                <w:rFonts w:cs="Calibri"/>
                <w:color w:val="000000"/>
                <w:sz w:val="22"/>
                <w:szCs w:val="22"/>
                <w:lang w:eastAsia="es-CR"/>
              </w:rPr>
            </w:pPr>
            <w:r w:rsidRPr="00374B51">
              <w:rPr>
                <w:rFonts w:cs="Calibri"/>
                <w:color w:val="000000"/>
                <w:sz w:val="22"/>
                <w:szCs w:val="22"/>
                <w:lang w:eastAsia="es-CR"/>
              </w:rPr>
              <w:t>6</w:t>
            </w:r>
          </w:p>
        </w:tc>
        <w:tc>
          <w:tcPr>
            <w:tcW w:w="1220" w:type="dxa"/>
            <w:tcBorders>
              <w:top w:val="nil"/>
              <w:left w:val="nil"/>
              <w:bottom w:val="nil"/>
              <w:right w:val="single" w:sz="4" w:space="0" w:color="auto"/>
            </w:tcBorders>
            <w:shd w:val="clear" w:color="auto" w:fill="E2EFD9" w:themeFill="accent6" w:themeFillTint="33"/>
            <w:noWrap/>
            <w:vAlign w:val="center"/>
            <w:hideMark/>
          </w:tcPr>
          <w:p w14:paraId="4EBEE6F0" w14:textId="77777777" w:rsidR="00374B51" w:rsidRPr="00374B51" w:rsidRDefault="00374B51" w:rsidP="00374B51">
            <w:pPr>
              <w:spacing w:line="240" w:lineRule="auto"/>
              <w:jc w:val="center"/>
              <w:rPr>
                <w:rFonts w:cs="Calibri"/>
                <w:color w:val="000000"/>
                <w:sz w:val="22"/>
                <w:szCs w:val="22"/>
                <w:lang w:eastAsia="es-CR"/>
              </w:rPr>
            </w:pPr>
            <w:r w:rsidRPr="00374B51">
              <w:rPr>
                <w:rFonts w:cs="Calibri"/>
                <w:color w:val="000000"/>
                <w:sz w:val="22"/>
                <w:szCs w:val="22"/>
                <w:lang w:eastAsia="es-CR"/>
              </w:rPr>
              <w:t>3</w:t>
            </w:r>
          </w:p>
        </w:tc>
        <w:tc>
          <w:tcPr>
            <w:tcW w:w="1220" w:type="dxa"/>
            <w:tcBorders>
              <w:top w:val="nil"/>
              <w:left w:val="nil"/>
              <w:bottom w:val="nil"/>
              <w:right w:val="single" w:sz="4" w:space="0" w:color="auto"/>
            </w:tcBorders>
            <w:shd w:val="clear" w:color="auto" w:fill="E2EFD9" w:themeFill="accent6" w:themeFillTint="33"/>
            <w:noWrap/>
            <w:vAlign w:val="center"/>
            <w:hideMark/>
          </w:tcPr>
          <w:p w14:paraId="0CAE5810" w14:textId="77777777" w:rsidR="00374B51" w:rsidRPr="00374B51" w:rsidRDefault="00374B51" w:rsidP="00374B51">
            <w:pPr>
              <w:spacing w:line="240" w:lineRule="auto"/>
              <w:jc w:val="center"/>
              <w:rPr>
                <w:rFonts w:cs="Calibri"/>
                <w:color w:val="000000"/>
                <w:sz w:val="22"/>
                <w:szCs w:val="22"/>
                <w:lang w:eastAsia="es-CR"/>
              </w:rPr>
            </w:pPr>
            <w:r w:rsidRPr="00374B51">
              <w:rPr>
                <w:rFonts w:cs="Calibri"/>
                <w:color w:val="000000"/>
                <w:sz w:val="22"/>
                <w:szCs w:val="22"/>
                <w:lang w:eastAsia="es-CR"/>
              </w:rPr>
              <w:t>3,3</w:t>
            </w:r>
          </w:p>
        </w:tc>
        <w:tc>
          <w:tcPr>
            <w:tcW w:w="1297" w:type="dxa"/>
            <w:tcBorders>
              <w:top w:val="nil"/>
              <w:left w:val="nil"/>
              <w:bottom w:val="nil"/>
              <w:right w:val="nil"/>
            </w:tcBorders>
            <w:shd w:val="clear" w:color="auto" w:fill="E2EFD9" w:themeFill="accent6" w:themeFillTint="33"/>
            <w:noWrap/>
            <w:vAlign w:val="center"/>
            <w:hideMark/>
          </w:tcPr>
          <w:p w14:paraId="17750D3F" w14:textId="77777777" w:rsidR="00374B51" w:rsidRPr="00374B51" w:rsidRDefault="00374B51" w:rsidP="00374B51">
            <w:pPr>
              <w:spacing w:line="240" w:lineRule="auto"/>
              <w:jc w:val="center"/>
              <w:rPr>
                <w:rFonts w:cs="Calibri"/>
                <w:color w:val="000000"/>
                <w:sz w:val="22"/>
                <w:szCs w:val="22"/>
                <w:lang w:eastAsia="es-CR"/>
              </w:rPr>
            </w:pPr>
            <w:r w:rsidRPr="00374B51">
              <w:rPr>
                <w:rFonts w:cs="Calibri"/>
                <w:color w:val="000000"/>
                <w:sz w:val="22"/>
                <w:szCs w:val="22"/>
                <w:lang w:eastAsia="es-CR"/>
              </w:rPr>
              <w:t>19%</w:t>
            </w:r>
          </w:p>
        </w:tc>
      </w:tr>
      <w:tr w:rsidR="00374B51" w:rsidRPr="00374B51" w14:paraId="4083526A" w14:textId="77777777" w:rsidTr="00832773">
        <w:trPr>
          <w:trHeight w:val="330"/>
        </w:trPr>
        <w:tc>
          <w:tcPr>
            <w:tcW w:w="3280" w:type="dxa"/>
            <w:tcBorders>
              <w:top w:val="nil"/>
              <w:left w:val="nil"/>
              <w:bottom w:val="nil"/>
              <w:right w:val="single" w:sz="4" w:space="0" w:color="auto"/>
            </w:tcBorders>
            <w:shd w:val="clear" w:color="auto" w:fill="E2EFD9" w:themeFill="accent6" w:themeFillTint="33"/>
            <w:noWrap/>
            <w:vAlign w:val="center"/>
            <w:hideMark/>
          </w:tcPr>
          <w:p w14:paraId="43DE6BE1" w14:textId="77777777" w:rsidR="00374B51" w:rsidRPr="00374B51" w:rsidRDefault="00374B51" w:rsidP="00374B51">
            <w:pPr>
              <w:spacing w:line="240" w:lineRule="auto"/>
              <w:jc w:val="left"/>
              <w:rPr>
                <w:rFonts w:cs="Calibri"/>
                <w:color w:val="000000"/>
                <w:sz w:val="22"/>
                <w:szCs w:val="22"/>
                <w:lang w:eastAsia="es-CR"/>
              </w:rPr>
            </w:pPr>
            <w:r w:rsidRPr="00374B51">
              <w:rPr>
                <w:rFonts w:cs="Calibri"/>
                <w:color w:val="000000"/>
                <w:sz w:val="22"/>
                <w:szCs w:val="22"/>
                <w:lang w:eastAsia="es-CR"/>
              </w:rPr>
              <w:t>De ¢10.000.001 a ¢15.000.000</w:t>
            </w:r>
          </w:p>
        </w:tc>
        <w:tc>
          <w:tcPr>
            <w:tcW w:w="1220" w:type="dxa"/>
            <w:tcBorders>
              <w:top w:val="nil"/>
              <w:left w:val="nil"/>
              <w:bottom w:val="nil"/>
              <w:right w:val="single" w:sz="4" w:space="0" w:color="auto"/>
            </w:tcBorders>
            <w:shd w:val="clear" w:color="auto" w:fill="E2EFD9" w:themeFill="accent6" w:themeFillTint="33"/>
            <w:noWrap/>
            <w:vAlign w:val="center"/>
            <w:hideMark/>
          </w:tcPr>
          <w:p w14:paraId="46DD7719" w14:textId="77777777" w:rsidR="00374B51" w:rsidRPr="00374B51" w:rsidRDefault="00374B51" w:rsidP="00374B51">
            <w:pPr>
              <w:spacing w:line="240" w:lineRule="auto"/>
              <w:jc w:val="center"/>
              <w:rPr>
                <w:rFonts w:cs="Calibri"/>
                <w:color w:val="000000"/>
                <w:sz w:val="22"/>
                <w:szCs w:val="22"/>
                <w:lang w:eastAsia="es-CR"/>
              </w:rPr>
            </w:pPr>
            <w:r w:rsidRPr="00374B51">
              <w:rPr>
                <w:rFonts w:cs="Calibri"/>
                <w:color w:val="000000"/>
                <w:sz w:val="22"/>
                <w:szCs w:val="22"/>
                <w:lang w:eastAsia="es-CR"/>
              </w:rPr>
              <w:t>2</w:t>
            </w:r>
          </w:p>
        </w:tc>
        <w:tc>
          <w:tcPr>
            <w:tcW w:w="1220" w:type="dxa"/>
            <w:tcBorders>
              <w:top w:val="nil"/>
              <w:left w:val="nil"/>
              <w:bottom w:val="nil"/>
              <w:right w:val="single" w:sz="4" w:space="0" w:color="auto"/>
            </w:tcBorders>
            <w:shd w:val="clear" w:color="auto" w:fill="E2EFD9" w:themeFill="accent6" w:themeFillTint="33"/>
            <w:noWrap/>
            <w:vAlign w:val="center"/>
            <w:hideMark/>
          </w:tcPr>
          <w:p w14:paraId="392ECFA7" w14:textId="77777777" w:rsidR="00374B51" w:rsidRPr="00374B51" w:rsidRDefault="00374B51" w:rsidP="00374B51">
            <w:pPr>
              <w:spacing w:line="240" w:lineRule="auto"/>
              <w:jc w:val="center"/>
              <w:rPr>
                <w:rFonts w:cs="Calibri"/>
                <w:color w:val="000000"/>
                <w:sz w:val="22"/>
                <w:szCs w:val="22"/>
                <w:lang w:eastAsia="es-CR"/>
              </w:rPr>
            </w:pPr>
            <w:r w:rsidRPr="00374B51">
              <w:rPr>
                <w:rFonts w:cs="Calibri"/>
                <w:color w:val="000000"/>
                <w:sz w:val="22"/>
                <w:szCs w:val="22"/>
                <w:lang w:eastAsia="es-CR"/>
              </w:rPr>
              <w:t>3</w:t>
            </w:r>
          </w:p>
        </w:tc>
        <w:tc>
          <w:tcPr>
            <w:tcW w:w="1220" w:type="dxa"/>
            <w:tcBorders>
              <w:top w:val="nil"/>
              <w:left w:val="nil"/>
              <w:bottom w:val="nil"/>
              <w:right w:val="single" w:sz="4" w:space="0" w:color="auto"/>
            </w:tcBorders>
            <w:shd w:val="clear" w:color="auto" w:fill="E2EFD9" w:themeFill="accent6" w:themeFillTint="33"/>
            <w:noWrap/>
            <w:vAlign w:val="center"/>
            <w:hideMark/>
          </w:tcPr>
          <w:p w14:paraId="53E0FDC7" w14:textId="77777777" w:rsidR="00374B51" w:rsidRPr="00374B51" w:rsidRDefault="00374B51" w:rsidP="00374B51">
            <w:pPr>
              <w:spacing w:line="240" w:lineRule="auto"/>
              <w:jc w:val="center"/>
              <w:rPr>
                <w:rFonts w:cs="Calibri"/>
                <w:color w:val="000000"/>
                <w:sz w:val="22"/>
                <w:szCs w:val="22"/>
                <w:lang w:eastAsia="es-CR"/>
              </w:rPr>
            </w:pPr>
            <w:r w:rsidRPr="00374B51">
              <w:rPr>
                <w:rFonts w:cs="Calibri"/>
                <w:color w:val="000000"/>
                <w:sz w:val="22"/>
                <w:szCs w:val="22"/>
                <w:lang w:eastAsia="es-CR"/>
              </w:rPr>
              <w:t>3</w:t>
            </w:r>
          </w:p>
        </w:tc>
        <w:tc>
          <w:tcPr>
            <w:tcW w:w="1220" w:type="dxa"/>
            <w:tcBorders>
              <w:top w:val="nil"/>
              <w:left w:val="nil"/>
              <w:bottom w:val="nil"/>
              <w:right w:val="single" w:sz="4" w:space="0" w:color="auto"/>
            </w:tcBorders>
            <w:shd w:val="clear" w:color="auto" w:fill="E2EFD9" w:themeFill="accent6" w:themeFillTint="33"/>
            <w:noWrap/>
            <w:vAlign w:val="center"/>
            <w:hideMark/>
          </w:tcPr>
          <w:p w14:paraId="79749966" w14:textId="77777777" w:rsidR="00374B51" w:rsidRPr="00374B51" w:rsidRDefault="00374B51" w:rsidP="00374B51">
            <w:pPr>
              <w:spacing w:line="240" w:lineRule="auto"/>
              <w:jc w:val="center"/>
              <w:rPr>
                <w:rFonts w:cs="Calibri"/>
                <w:color w:val="000000"/>
                <w:sz w:val="22"/>
                <w:szCs w:val="22"/>
                <w:lang w:eastAsia="es-CR"/>
              </w:rPr>
            </w:pPr>
            <w:r w:rsidRPr="00374B51">
              <w:rPr>
                <w:rFonts w:cs="Calibri"/>
                <w:color w:val="000000"/>
                <w:sz w:val="22"/>
                <w:szCs w:val="22"/>
                <w:lang w:eastAsia="es-CR"/>
              </w:rPr>
              <w:t>2,7</w:t>
            </w:r>
          </w:p>
        </w:tc>
        <w:tc>
          <w:tcPr>
            <w:tcW w:w="1297" w:type="dxa"/>
            <w:tcBorders>
              <w:top w:val="nil"/>
              <w:left w:val="nil"/>
              <w:bottom w:val="nil"/>
              <w:right w:val="nil"/>
            </w:tcBorders>
            <w:shd w:val="clear" w:color="auto" w:fill="E2EFD9" w:themeFill="accent6" w:themeFillTint="33"/>
            <w:noWrap/>
            <w:vAlign w:val="center"/>
            <w:hideMark/>
          </w:tcPr>
          <w:p w14:paraId="092DE3A8" w14:textId="77777777" w:rsidR="00374B51" w:rsidRPr="00374B51" w:rsidRDefault="00374B51" w:rsidP="00374B51">
            <w:pPr>
              <w:spacing w:line="240" w:lineRule="auto"/>
              <w:jc w:val="center"/>
              <w:rPr>
                <w:rFonts w:cs="Calibri"/>
                <w:color w:val="000000"/>
                <w:sz w:val="22"/>
                <w:szCs w:val="22"/>
                <w:lang w:eastAsia="es-CR"/>
              </w:rPr>
            </w:pPr>
            <w:r w:rsidRPr="00374B51">
              <w:rPr>
                <w:rFonts w:cs="Calibri"/>
                <w:color w:val="000000"/>
                <w:sz w:val="22"/>
                <w:szCs w:val="22"/>
                <w:lang w:eastAsia="es-CR"/>
              </w:rPr>
              <w:t>23%</w:t>
            </w:r>
          </w:p>
        </w:tc>
      </w:tr>
      <w:tr w:rsidR="00374B51" w:rsidRPr="00374B51" w14:paraId="4F8D8A4C" w14:textId="77777777" w:rsidTr="00832773">
        <w:trPr>
          <w:trHeight w:val="330"/>
        </w:trPr>
        <w:tc>
          <w:tcPr>
            <w:tcW w:w="3280" w:type="dxa"/>
            <w:tcBorders>
              <w:top w:val="nil"/>
              <w:left w:val="nil"/>
              <w:bottom w:val="nil"/>
              <w:right w:val="single" w:sz="4" w:space="0" w:color="auto"/>
            </w:tcBorders>
            <w:shd w:val="clear" w:color="auto" w:fill="E2EFD9" w:themeFill="accent6" w:themeFillTint="33"/>
            <w:noWrap/>
            <w:vAlign w:val="center"/>
            <w:hideMark/>
          </w:tcPr>
          <w:p w14:paraId="08FD70B2" w14:textId="77777777" w:rsidR="00374B51" w:rsidRPr="00374B51" w:rsidRDefault="00374B51" w:rsidP="00374B51">
            <w:pPr>
              <w:spacing w:line="240" w:lineRule="auto"/>
              <w:jc w:val="left"/>
              <w:rPr>
                <w:rFonts w:cs="Calibri"/>
                <w:color w:val="000000"/>
                <w:sz w:val="22"/>
                <w:szCs w:val="22"/>
                <w:lang w:eastAsia="es-CR"/>
              </w:rPr>
            </w:pPr>
            <w:r w:rsidRPr="00374B51">
              <w:rPr>
                <w:rFonts w:cs="Calibri"/>
                <w:color w:val="000000"/>
                <w:sz w:val="22"/>
                <w:szCs w:val="22"/>
                <w:lang w:eastAsia="es-CR"/>
              </w:rPr>
              <w:t>De ¢15.000.001 a ¢20.000.000</w:t>
            </w:r>
          </w:p>
        </w:tc>
        <w:tc>
          <w:tcPr>
            <w:tcW w:w="1220" w:type="dxa"/>
            <w:tcBorders>
              <w:top w:val="nil"/>
              <w:left w:val="nil"/>
              <w:bottom w:val="nil"/>
              <w:right w:val="single" w:sz="4" w:space="0" w:color="auto"/>
            </w:tcBorders>
            <w:shd w:val="clear" w:color="auto" w:fill="E2EFD9" w:themeFill="accent6" w:themeFillTint="33"/>
            <w:noWrap/>
            <w:vAlign w:val="center"/>
            <w:hideMark/>
          </w:tcPr>
          <w:p w14:paraId="7DD91B60" w14:textId="77777777" w:rsidR="00374B51" w:rsidRPr="00374B51" w:rsidRDefault="00374B51" w:rsidP="00374B51">
            <w:pPr>
              <w:spacing w:line="240" w:lineRule="auto"/>
              <w:jc w:val="center"/>
              <w:rPr>
                <w:rFonts w:cs="Calibri"/>
                <w:color w:val="000000"/>
                <w:sz w:val="22"/>
                <w:szCs w:val="22"/>
                <w:lang w:eastAsia="es-CR"/>
              </w:rPr>
            </w:pPr>
            <w:r w:rsidRPr="00374B51">
              <w:rPr>
                <w:rFonts w:cs="Calibri"/>
                <w:color w:val="000000"/>
                <w:sz w:val="22"/>
                <w:szCs w:val="22"/>
                <w:lang w:eastAsia="es-CR"/>
              </w:rPr>
              <w:t>0</w:t>
            </w:r>
          </w:p>
        </w:tc>
        <w:tc>
          <w:tcPr>
            <w:tcW w:w="1220" w:type="dxa"/>
            <w:tcBorders>
              <w:top w:val="nil"/>
              <w:left w:val="nil"/>
              <w:bottom w:val="nil"/>
              <w:right w:val="single" w:sz="4" w:space="0" w:color="auto"/>
            </w:tcBorders>
            <w:shd w:val="clear" w:color="auto" w:fill="E2EFD9" w:themeFill="accent6" w:themeFillTint="33"/>
            <w:noWrap/>
            <w:vAlign w:val="center"/>
            <w:hideMark/>
          </w:tcPr>
          <w:p w14:paraId="0CFC335B" w14:textId="77777777" w:rsidR="00374B51" w:rsidRPr="00374B51" w:rsidRDefault="00374B51" w:rsidP="00374B51">
            <w:pPr>
              <w:spacing w:line="240" w:lineRule="auto"/>
              <w:jc w:val="center"/>
              <w:rPr>
                <w:rFonts w:cs="Calibri"/>
                <w:color w:val="000000"/>
                <w:sz w:val="22"/>
                <w:szCs w:val="22"/>
                <w:lang w:eastAsia="es-CR"/>
              </w:rPr>
            </w:pPr>
            <w:r w:rsidRPr="00374B51">
              <w:rPr>
                <w:rFonts w:cs="Calibri"/>
                <w:color w:val="000000"/>
                <w:sz w:val="22"/>
                <w:szCs w:val="22"/>
                <w:lang w:eastAsia="es-CR"/>
              </w:rPr>
              <w:t>4</w:t>
            </w:r>
          </w:p>
        </w:tc>
        <w:tc>
          <w:tcPr>
            <w:tcW w:w="1220" w:type="dxa"/>
            <w:tcBorders>
              <w:top w:val="nil"/>
              <w:left w:val="nil"/>
              <w:bottom w:val="nil"/>
              <w:right w:val="single" w:sz="4" w:space="0" w:color="auto"/>
            </w:tcBorders>
            <w:shd w:val="clear" w:color="auto" w:fill="E2EFD9" w:themeFill="accent6" w:themeFillTint="33"/>
            <w:noWrap/>
            <w:vAlign w:val="center"/>
            <w:hideMark/>
          </w:tcPr>
          <w:p w14:paraId="424AD8BD" w14:textId="77777777" w:rsidR="00374B51" w:rsidRPr="00374B51" w:rsidRDefault="00374B51" w:rsidP="00374B51">
            <w:pPr>
              <w:spacing w:line="240" w:lineRule="auto"/>
              <w:jc w:val="center"/>
              <w:rPr>
                <w:rFonts w:cs="Calibri"/>
                <w:color w:val="000000"/>
                <w:sz w:val="22"/>
                <w:szCs w:val="22"/>
                <w:lang w:eastAsia="es-CR"/>
              </w:rPr>
            </w:pPr>
            <w:r w:rsidRPr="00374B51">
              <w:rPr>
                <w:rFonts w:cs="Calibri"/>
                <w:color w:val="000000"/>
                <w:sz w:val="22"/>
                <w:szCs w:val="22"/>
                <w:lang w:eastAsia="es-CR"/>
              </w:rPr>
              <w:t>2</w:t>
            </w:r>
          </w:p>
        </w:tc>
        <w:tc>
          <w:tcPr>
            <w:tcW w:w="1220" w:type="dxa"/>
            <w:tcBorders>
              <w:top w:val="nil"/>
              <w:left w:val="nil"/>
              <w:bottom w:val="nil"/>
              <w:right w:val="single" w:sz="4" w:space="0" w:color="auto"/>
            </w:tcBorders>
            <w:shd w:val="clear" w:color="auto" w:fill="E2EFD9" w:themeFill="accent6" w:themeFillTint="33"/>
            <w:noWrap/>
            <w:vAlign w:val="center"/>
            <w:hideMark/>
          </w:tcPr>
          <w:p w14:paraId="4C69AAB8" w14:textId="77777777" w:rsidR="00374B51" w:rsidRPr="00374B51" w:rsidRDefault="00374B51" w:rsidP="00374B51">
            <w:pPr>
              <w:spacing w:line="240" w:lineRule="auto"/>
              <w:jc w:val="center"/>
              <w:rPr>
                <w:rFonts w:cs="Calibri"/>
                <w:color w:val="000000"/>
                <w:sz w:val="22"/>
                <w:szCs w:val="22"/>
                <w:lang w:eastAsia="es-CR"/>
              </w:rPr>
            </w:pPr>
            <w:r w:rsidRPr="00374B51">
              <w:rPr>
                <w:rFonts w:cs="Calibri"/>
                <w:color w:val="000000"/>
                <w:sz w:val="22"/>
                <w:szCs w:val="22"/>
                <w:lang w:eastAsia="es-CR"/>
              </w:rPr>
              <w:t>2,0</w:t>
            </w:r>
          </w:p>
        </w:tc>
        <w:tc>
          <w:tcPr>
            <w:tcW w:w="1297" w:type="dxa"/>
            <w:tcBorders>
              <w:top w:val="nil"/>
              <w:left w:val="nil"/>
              <w:bottom w:val="nil"/>
              <w:right w:val="nil"/>
            </w:tcBorders>
            <w:shd w:val="clear" w:color="auto" w:fill="E2EFD9" w:themeFill="accent6" w:themeFillTint="33"/>
            <w:noWrap/>
            <w:vAlign w:val="center"/>
            <w:hideMark/>
          </w:tcPr>
          <w:p w14:paraId="0CC72971" w14:textId="77777777" w:rsidR="00374B51" w:rsidRPr="00374B51" w:rsidRDefault="00374B51" w:rsidP="00374B51">
            <w:pPr>
              <w:spacing w:line="240" w:lineRule="auto"/>
              <w:jc w:val="center"/>
              <w:rPr>
                <w:rFonts w:cs="Calibri"/>
                <w:color w:val="000000"/>
                <w:sz w:val="22"/>
                <w:szCs w:val="22"/>
                <w:lang w:eastAsia="es-CR"/>
              </w:rPr>
            </w:pPr>
            <w:r w:rsidRPr="00374B51">
              <w:rPr>
                <w:rFonts w:cs="Calibri"/>
                <w:color w:val="000000"/>
                <w:sz w:val="22"/>
                <w:szCs w:val="22"/>
                <w:lang w:eastAsia="es-CR"/>
              </w:rPr>
              <w:t>26%</w:t>
            </w:r>
          </w:p>
        </w:tc>
      </w:tr>
      <w:tr w:rsidR="00374B51" w:rsidRPr="00374B51" w14:paraId="3AB5ACBB" w14:textId="77777777" w:rsidTr="00832773">
        <w:trPr>
          <w:trHeight w:val="330"/>
        </w:trPr>
        <w:tc>
          <w:tcPr>
            <w:tcW w:w="3280" w:type="dxa"/>
            <w:tcBorders>
              <w:top w:val="nil"/>
              <w:left w:val="nil"/>
              <w:bottom w:val="nil"/>
              <w:right w:val="single" w:sz="4" w:space="0" w:color="auto"/>
            </w:tcBorders>
            <w:shd w:val="clear" w:color="auto" w:fill="E2EFD9" w:themeFill="accent6" w:themeFillTint="33"/>
            <w:noWrap/>
            <w:vAlign w:val="center"/>
            <w:hideMark/>
          </w:tcPr>
          <w:p w14:paraId="03FF72EF" w14:textId="77777777" w:rsidR="00374B51" w:rsidRPr="00374B51" w:rsidRDefault="00374B51" w:rsidP="00374B51">
            <w:pPr>
              <w:spacing w:line="240" w:lineRule="auto"/>
              <w:jc w:val="left"/>
              <w:rPr>
                <w:rFonts w:cs="Calibri"/>
                <w:color w:val="000000"/>
                <w:sz w:val="22"/>
                <w:szCs w:val="22"/>
                <w:lang w:eastAsia="es-CR"/>
              </w:rPr>
            </w:pPr>
            <w:r w:rsidRPr="00374B51">
              <w:rPr>
                <w:rFonts w:cs="Calibri"/>
                <w:color w:val="000000"/>
                <w:sz w:val="22"/>
                <w:szCs w:val="22"/>
                <w:lang w:eastAsia="es-CR"/>
              </w:rPr>
              <w:t>De ¢20.000.001 a ¢25.000.000</w:t>
            </w:r>
          </w:p>
        </w:tc>
        <w:tc>
          <w:tcPr>
            <w:tcW w:w="1220" w:type="dxa"/>
            <w:tcBorders>
              <w:top w:val="nil"/>
              <w:left w:val="nil"/>
              <w:bottom w:val="nil"/>
              <w:right w:val="single" w:sz="4" w:space="0" w:color="auto"/>
            </w:tcBorders>
            <w:shd w:val="clear" w:color="auto" w:fill="E2EFD9" w:themeFill="accent6" w:themeFillTint="33"/>
            <w:noWrap/>
            <w:vAlign w:val="center"/>
            <w:hideMark/>
          </w:tcPr>
          <w:p w14:paraId="79E8EED2" w14:textId="77777777" w:rsidR="00374B51" w:rsidRPr="00374B51" w:rsidRDefault="00374B51" w:rsidP="00374B51">
            <w:pPr>
              <w:spacing w:line="240" w:lineRule="auto"/>
              <w:jc w:val="center"/>
              <w:rPr>
                <w:rFonts w:cs="Calibri"/>
                <w:color w:val="000000"/>
                <w:sz w:val="22"/>
                <w:szCs w:val="22"/>
                <w:lang w:eastAsia="es-CR"/>
              </w:rPr>
            </w:pPr>
            <w:r w:rsidRPr="00374B51">
              <w:rPr>
                <w:rFonts w:cs="Calibri"/>
                <w:color w:val="000000"/>
                <w:sz w:val="22"/>
                <w:szCs w:val="22"/>
                <w:lang w:eastAsia="es-CR"/>
              </w:rPr>
              <w:t>0</w:t>
            </w:r>
          </w:p>
        </w:tc>
        <w:tc>
          <w:tcPr>
            <w:tcW w:w="1220" w:type="dxa"/>
            <w:tcBorders>
              <w:top w:val="nil"/>
              <w:left w:val="nil"/>
              <w:bottom w:val="nil"/>
              <w:right w:val="single" w:sz="4" w:space="0" w:color="auto"/>
            </w:tcBorders>
            <w:shd w:val="clear" w:color="auto" w:fill="E2EFD9" w:themeFill="accent6" w:themeFillTint="33"/>
            <w:noWrap/>
            <w:vAlign w:val="center"/>
            <w:hideMark/>
          </w:tcPr>
          <w:p w14:paraId="781EF0BC" w14:textId="77777777" w:rsidR="00374B51" w:rsidRPr="00374B51" w:rsidRDefault="00374B51" w:rsidP="00374B51">
            <w:pPr>
              <w:spacing w:line="240" w:lineRule="auto"/>
              <w:jc w:val="center"/>
              <w:rPr>
                <w:rFonts w:cs="Calibri"/>
                <w:color w:val="000000"/>
                <w:sz w:val="22"/>
                <w:szCs w:val="22"/>
                <w:lang w:eastAsia="es-CR"/>
              </w:rPr>
            </w:pPr>
            <w:r w:rsidRPr="00374B51">
              <w:rPr>
                <w:rFonts w:cs="Calibri"/>
                <w:color w:val="000000"/>
                <w:sz w:val="22"/>
                <w:szCs w:val="22"/>
                <w:lang w:eastAsia="es-CR"/>
              </w:rPr>
              <w:t>3</w:t>
            </w:r>
          </w:p>
        </w:tc>
        <w:tc>
          <w:tcPr>
            <w:tcW w:w="1220" w:type="dxa"/>
            <w:tcBorders>
              <w:top w:val="nil"/>
              <w:left w:val="nil"/>
              <w:bottom w:val="nil"/>
              <w:right w:val="single" w:sz="4" w:space="0" w:color="auto"/>
            </w:tcBorders>
            <w:shd w:val="clear" w:color="auto" w:fill="E2EFD9" w:themeFill="accent6" w:themeFillTint="33"/>
            <w:noWrap/>
            <w:vAlign w:val="center"/>
            <w:hideMark/>
          </w:tcPr>
          <w:p w14:paraId="560665A4" w14:textId="77777777" w:rsidR="00374B51" w:rsidRPr="00374B51" w:rsidRDefault="00374B51" w:rsidP="00374B51">
            <w:pPr>
              <w:spacing w:line="240" w:lineRule="auto"/>
              <w:jc w:val="center"/>
              <w:rPr>
                <w:rFonts w:cs="Calibri"/>
                <w:color w:val="000000"/>
                <w:sz w:val="22"/>
                <w:szCs w:val="22"/>
                <w:lang w:eastAsia="es-CR"/>
              </w:rPr>
            </w:pPr>
            <w:r w:rsidRPr="00374B51">
              <w:rPr>
                <w:rFonts w:cs="Calibri"/>
                <w:color w:val="000000"/>
                <w:sz w:val="22"/>
                <w:szCs w:val="22"/>
                <w:lang w:eastAsia="es-CR"/>
              </w:rPr>
              <w:t>2</w:t>
            </w:r>
          </w:p>
        </w:tc>
        <w:tc>
          <w:tcPr>
            <w:tcW w:w="1220" w:type="dxa"/>
            <w:tcBorders>
              <w:top w:val="nil"/>
              <w:left w:val="nil"/>
              <w:bottom w:val="nil"/>
              <w:right w:val="single" w:sz="4" w:space="0" w:color="auto"/>
            </w:tcBorders>
            <w:shd w:val="clear" w:color="auto" w:fill="E2EFD9" w:themeFill="accent6" w:themeFillTint="33"/>
            <w:noWrap/>
            <w:vAlign w:val="center"/>
            <w:hideMark/>
          </w:tcPr>
          <w:p w14:paraId="4E761C78" w14:textId="77777777" w:rsidR="00374B51" w:rsidRPr="00374B51" w:rsidRDefault="00374B51" w:rsidP="00374B51">
            <w:pPr>
              <w:spacing w:line="240" w:lineRule="auto"/>
              <w:jc w:val="center"/>
              <w:rPr>
                <w:rFonts w:cs="Calibri"/>
                <w:color w:val="000000"/>
                <w:sz w:val="22"/>
                <w:szCs w:val="22"/>
                <w:lang w:eastAsia="es-CR"/>
              </w:rPr>
            </w:pPr>
            <w:r w:rsidRPr="00374B51">
              <w:rPr>
                <w:rFonts w:cs="Calibri"/>
                <w:color w:val="000000"/>
                <w:sz w:val="22"/>
                <w:szCs w:val="22"/>
                <w:lang w:eastAsia="es-CR"/>
              </w:rPr>
              <w:t>1,7</w:t>
            </w:r>
          </w:p>
        </w:tc>
        <w:tc>
          <w:tcPr>
            <w:tcW w:w="1297" w:type="dxa"/>
            <w:tcBorders>
              <w:top w:val="nil"/>
              <w:left w:val="nil"/>
              <w:bottom w:val="nil"/>
              <w:right w:val="nil"/>
            </w:tcBorders>
            <w:shd w:val="clear" w:color="auto" w:fill="E2EFD9" w:themeFill="accent6" w:themeFillTint="33"/>
            <w:noWrap/>
            <w:vAlign w:val="center"/>
            <w:hideMark/>
          </w:tcPr>
          <w:p w14:paraId="242F03E8" w14:textId="77777777" w:rsidR="00374B51" w:rsidRPr="00374B51" w:rsidRDefault="00374B51" w:rsidP="00374B51">
            <w:pPr>
              <w:spacing w:line="240" w:lineRule="auto"/>
              <w:jc w:val="center"/>
              <w:rPr>
                <w:rFonts w:cs="Calibri"/>
                <w:color w:val="000000"/>
                <w:sz w:val="22"/>
                <w:szCs w:val="22"/>
                <w:lang w:eastAsia="es-CR"/>
              </w:rPr>
            </w:pPr>
            <w:r w:rsidRPr="00374B51">
              <w:rPr>
                <w:rFonts w:cs="Calibri"/>
                <w:color w:val="000000"/>
                <w:sz w:val="22"/>
                <w:szCs w:val="22"/>
                <w:lang w:eastAsia="es-CR"/>
              </w:rPr>
              <w:t>29%</w:t>
            </w:r>
          </w:p>
        </w:tc>
      </w:tr>
      <w:tr w:rsidR="00374B51" w:rsidRPr="00374B51" w14:paraId="6D60F2A2" w14:textId="77777777" w:rsidTr="00832773">
        <w:trPr>
          <w:trHeight w:val="330"/>
        </w:trPr>
        <w:tc>
          <w:tcPr>
            <w:tcW w:w="3280" w:type="dxa"/>
            <w:tcBorders>
              <w:top w:val="nil"/>
              <w:left w:val="nil"/>
              <w:bottom w:val="nil"/>
              <w:right w:val="single" w:sz="4" w:space="0" w:color="auto"/>
            </w:tcBorders>
            <w:shd w:val="clear" w:color="auto" w:fill="auto"/>
            <w:noWrap/>
            <w:vAlign w:val="center"/>
            <w:hideMark/>
          </w:tcPr>
          <w:p w14:paraId="66B0466B" w14:textId="77777777" w:rsidR="00374B51" w:rsidRPr="00374B51" w:rsidRDefault="00374B51" w:rsidP="00374B51">
            <w:pPr>
              <w:spacing w:line="240" w:lineRule="auto"/>
              <w:jc w:val="left"/>
              <w:rPr>
                <w:rFonts w:cs="Calibri"/>
                <w:color w:val="000000"/>
                <w:sz w:val="22"/>
                <w:szCs w:val="22"/>
                <w:lang w:eastAsia="es-CR"/>
              </w:rPr>
            </w:pPr>
            <w:r w:rsidRPr="00374B51">
              <w:rPr>
                <w:rFonts w:cs="Calibri"/>
                <w:color w:val="000000"/>
                <w:sz w:val="22"/>
                <w:szCs w:val="22"/>
                <w:lang w:eastAsia="es-CR"/>
              </w:rPr>
              <w:t>De ¢25.000.001 a ¢30.000.000</w:t>
            </w:r>
          </w:p>
        </w:tc>
        <w:tc>
          <w:tcPr>
            <w:tcW w:w="1220" w:type="dxa"/>
            <w:tcBorders>
              <w:top w:val="nil"/>
              <w:left w:val="nil"/>
              <w:bottom w:val="nil"/>
              <w:right w:val="single" w:sz="4" w:space="0" w:color="auto"/>
            </w:tcBorders>
            <w:shd w:val="clear" w:color="auto" w:fill="auto"/>
            <w:noWrap/>
            <w:vAlign w:val="center"/>
            <w:hideMark/>
          </w:tcPr>
          <w:p w14:paraId="138A5176" w14:textId="77777777" w:rsidR="00374B51" w:rsidRPr="00374B51" w:rsidRDefault="00374B51" w:rsidP="00374B51">
            <w:pPr>
              <w:spacing w:line="240" w:lineRule="auto"/>
              <w:jc w:val="center"/>
              <w:rPr>
                <w:rFonts w:cs="Calibri"/>
                <w:color w:val="000000"/>
                <w:sz w:val="22"/>
                <w:szCs w:val="22"/>
                <w:lang w:eastAsia="es-CR"/>
              </w:rPr>
            </w:pPr>
            <w:r w:rsidRPr="00374B51">
              <w:rPr>
                <w:rFonts w:cs="Calibri"/>
                <w:color w:val="000000"/>
                <w:sz w:val="22"/>
                <w:szCs w:val="22"/>
                <w:lang w:eastAsia="es-CR"/>
              </w:rPr>
              <w:t>1</w:t>
            </w:r>
          </w:p>
        </w:tc>
        <w:tc>
          <w:tcPr>
            <w:tcW w:w="1220" w:type="dxa"/>
            <w:tcBorders>
              <w:top w:val="nil"/>
              <w:left w:val="nil"/>
              <w:bottom w:val="nil"/>
              <w:right w:val="single" w:sz="4" w:space="0" w:color="auto"/>
            </w:tcBorders>
            <w:shd w:val="clear" w:color="auto" w:fill="auto"/>
            <w:noWrap/>
            <w:vAlign w:val="center"/>
            <w:hideMark/>
          </w:tcPr>
          <w:p w14:paraId="3C63E67F" w14:textId="77777777" w:rsidR="00374B51" w:rsidRPr="00374B51" w:rsidRDefault="00374B51" w:rsidP="00374B51">
            <w:pPr>
              <w:spacing w:line="240" w:lineRule="auto"/>
              <w:jc w:val="center"/>
              <w:rPr>
                <w:rFonts w:cs="Calibri"/>
                <w:color w:val="000000"/>
                <w:sz w:val="22"/>
                <w:szCs w:val="22"/>
                <w:lang w:eastAsia="es-CR"/>
              </w:rPr>
            </w:pPr>
            <w:r w:rsidRPr="00374B51">
              <w:rPr>
                <w:rFonts w:cs="Calibri"/>
                <w:color w:val="000000"/>
                <w:sz w:val="22"/>
                <w:szCs w:val="22"/>
                <w:lang w:eastAsia="es-CR"/>
              </w:rPr>
              <w:t>3</w:t>
            </w:r>
          </w:p>
        </w:tc>
        <w:tc>
          <w:tcPr>
            <w:tcW w:w="1220" w:type="dxa"/>
            <w:tcBorders>
              <w:top w:val="nil"/>
              <w:left w:val="nil"/>
              <w:bottom w:val="nil"/>
              <w:right w:val="single" w:sz="4" w:space="0" w:color="auto"/>
            </w:tcBorders>
            <w:shd w:val="clear" w:color="auto" w:fill="auto"/>
            <w:noWrap/>
            <w:vAlign w:val="center"/>
            <w:hideMark/>
          </w:tcPr>
          <w:p w14:paraId="5F8E6CAD" w14:textId="77777777" w:rsidR="00374B51" w:rsidRPr="00374B51" w:rsidRDefault="00374B51" w:rsidP="00374B51">
            <w:pPr>
              <w:spacing w:line="240" w:lineRule="auto"/>
              <w:jc w:val="center"/>
              <w:rPr>
                <w:rFonts w:cs="Calibri"/>
                <w:color w:val="000000"/>
                <w:sz w:val="22"/>
                <w:szCs w:val="22"/>
                <w:lang w:eastAsia="es-CR"/>
              </w:rPr>
            </w:pPr>
            <w:r w:rsidRPr="00374B51">
              <w:rPr>
                <w:rFonts w:cs="Calibri"/>
                <w:color w:val="000000"/>
                <w:sz w:val="22"/>
                <w:szCs w:val="22"/>
                <w:lang w:eastAsia="es-CR"/>
              </w:rPr>
              <w:t>3</w:t>
            </w:r>
          </w:p>
        </w:tc>
        <w:tc>
          <w:tcPr>
            <w:tcW w:w="1220" w:type="dxa"/>
            <w:tcBorders>
              <w:top w:val="nil"/>
              <w:left w:val="nil"/>
              <w:bottom w:val="nil"/>
              <w:right w:val="single" w:sz="4" w:space="0" w:color="auto"/>
            </w:tcBorders>
            <w:shd w:val="clear" w:color="auto" w:fill="auto"/>
            <w:noWrap/>
            <w:vAlign w:val="center"/>
            <w:hideMark/>
          </w:tcPr>
          <w:p w14:paraId="75EC212E" w14:textId="77777777" w:rsidR="00374B51" w:rsidRPr="00374B51" w:rsidRDefault="00374B51" w:rsidP="00374B51">
            <w:pPr>
              <w:spacing w:line="240" w:lineRule="auto"/>
              <w:jc w:val="center"/>
              <w:rPr>
                <w:rFonts w:cs="Calibri"/>
                <w:color w:val="000000"/>
                <w:sz w:val="22"/>
                <w:szCs w:val="22"/>
                <w:lang w:eastAsia="es-CR"/>
              </w:rPr>
            </w:pPr>
            <w:r w:rsidRPr="00374B51">
              <w:rPr>
                <w:rFonts w:cs="Calibri"/>
                <w:color w:val="000000"/>
                <w:sz w:val="22"/>
                <w:szCs w:val="22"/>
                <w:lang w:eastAsia="es-CR"/>
              </w:rPr>
              <w:t>2,3</w:t>
            </w:r>
          </w:p>
        </w:tc>
        <w:tc>
          <w:tcPr>
            <w:tcW w:w="1297" w:type="dxa"/>
            <w:tcBorders>
              <w:top w:val="nil"/>
              <w:left w:val="nil"/>
              <w:bottom w:val="nil"/>
              <w:right w:val="nil"/>
            </w:tcBorders>
            <w:shd w:val="clear" w:color="auto" w:fill="auto"/>
            <w:noWrap/>
            <w:vAlign w:val="center"/>
            <w:hideMark/>
          </w:tcPr>
          <w:p w14:paraId="7EC1D6F8" w14:textId="77777777" w:rsidR="00374B51" w:rsidRPr="00374B51" w:rsidRDefault="00374B51" w:rsidP="00374B51">
            <w:pPr>
              <w:spacing w:line="240" w:lineRule="auto"/>
              <w:jc w:val="center"/>
              <w:rPr>
                <w:rFonts w:cs="Calibri"/>
                <w:color w:val="000000"/>
                <w:sz w:val="22"/>
                <w:szCs w:val="22"/>
                <w:lang w:eastAsia="es-CR"/>
              </w:rPr>
            </w:pPr>
            <w:r w:rsidRPr="00374B51">
              <w:rPr>
                <w:rFonts w:cs="Calibri"/>
                <w:color w:val="000000"/>
                <w:sz w:val="22"/>
                <w:szCs w:val="22"/>
                <w:lang w:eastAsia="es-CR"/>
              </w:rPr>
              <w:t>33%</w:t>
            </w:r>
          </w:p>
        </w:tc>
      </w:tr>
      <w:tr w:rsidR="00374B51" w:rsidRPr="00374B51" w14:paraId="2E96335D" w14:textId="77777777" w:rsidTr="00832773">
        <w:trPr>
          <w:trHeight w:val="330"/>
        </w:trPr>
        <w:tc>
          <w:tcPr>
            <w:tcW w:w="3280" w:type="dxa"/>
            <w:tcBorders>
              <w:top w:val="nil"/>
              <w:left w:val="nil"/>
              <w:bottom w:val="nil"/>
              <w:right w:val="single" w:sz="4" w:space="0" w:color="auto"/>
            </w:tcBorders>
            <w:shd w:val="clear" w:color="auto" w:fill="auto"/>
            <w:noWrap/>
            <w:vAlign w:val="center"/>
            <w:hideMark/>
          </w:tcPr>
          <w:p w14:paraId="3B492B83" w14:textId="77777777" w:rsidR="00374B51" w:rsidRPr="00374B51" w:rsidRDefault="00374B51" w:rsidP="00374B51">
            <w:pPr>
              <w:spacing w:line="240" w:lineRule="auto"/>
              <w:jc w:val="left"/>
              <w:rPr>
                <w:rFonts w:cs="Calibri"/>
                <w:color w:val="000000"/>
                <w:sz w:val="22"/>
                <w:szCs w:val="22"/>
                <w:lang w:eastAsia="es-CR"/>
              </w:rPr>
            </w:pPr>
            <w:r w:rsidRPr="00374B51">
              <w:rPr>
                <w:rFonts w:cs="Calibri"/>
                <w:color w:val="000000"/>
                <w:sz w:val="22"/>
                <w:szCs w:val="22"/>
                <w:lang w:eastAsia="es-CR"/>
              </w:rPr>
              <w:t>De ¢30.000.001 a ¢35.000.000</w:t>
            </w:r>
          </w:p>
        </w:tc>
        <w:tc>
          <w:tcPr>
            <w:tcW w:w="1220" w:type="dxa"/>
            <w:tcBorders>
              <w:top w:val="nil"/>
              <w:left w:val="nil"/>
              <w:bottom w:val="nil"/>
              <w:right w:val="single" w:sz="4" w:space="0" w:color="auto"/>
            </w:tcBorders>
            <w:shd w:val="clear" w:color="auto" w:fill="auto"/>
            <w:noWrap/>
            <w:vAlign w:val="center"/>
            <w:hideMark/>
          </w:tcPr>
          <w:p w14:paraId="01170168" w14:textId="77777777" w:rsidR="00374B51" w:rsidRPr="00374B51" w:rsidRDefault="00374B51" w:rsidP="00374B51">
            <w:pPr>
              <w:spacing w:line="240" w:lineRule="auto"/>
              <w:jc w:val="center"/>
              <w:rPr>
                <w:rFonts w:cs="Calibri"/>
                <w:color w:val="000000"/>
                <w:sz w:val="22"/>
                <w:szCs w:val="22"/>
                <w:lang w:eastAsia="es-CR"/>
              </w:rPr>
            </w:pPr>
            <w:r w:rsidRPr="00374B51">
              <w:rPr>
                <w:rFonts w:cs="Calibri"/>
                <w:color w:val="000000"/>
                <w:sz w:val="22"/>
                <w:szCs w:val="22"/>
                <w:lang w:eastAsia="es-CR"/>
              </w:rPr>
              <w:t>0</w:t>
            </w:r>
          </w:p>
        </w:tc>
        <w:tc>
          <w:tcPr>
            <w:tcW w:w="1220" w:type="dxa"/>
            <w:tcBorders>
              <w:top w:val="nil"/>
              <w:left w:val="nil"/>
              <w:bottom w:val="nil"/>
              <w:right w:val="single" w:sz="4" w:space="0" w:color="auto"/>
            </w:tcBorders>
            <w:shd w:val="clear" w:color="auto" w:fill="auto"/>
            <w:noWrap/>
            <w:vAlign w:val="center"/>
            <w:hideMark/>
          </w:tcPr>
          <w:p w14:paraId="6A9DAAD3" w14:textId="77777777" w:rsidR="00374B51" w:rsidRPr="00374B51" w:rsidRDefault="00374B51" w:rsidP="00374B51">
            <w:pPr>
              <w:spacing w:line="240" w:lineRule="auto"/>
              <w:jc w:val="center"/>
              <w:rPr>
                <w:rFonts w:cs="Calibri"/>
                <w:color w:val="000000"/>
                <w:sz w:val="22"/>
                <w:szCs w:val="22"/>
                <w:lang w:eastAsia="es-CR"/>
              </w:rPr>
            </w:pPr>
            <w:r w:rsidRPr="00374B51">
              <w:rPr>
                <w:rFonts w:cs="Calibri"/>
                <w:color w:val="000000"/>
                <w:sz w:val="22"/>
                <w:szCs w:val="22"/>
                <w:lang w:eastAsia="es-CR"/>
              </w:rPr>
              <w:t>2</w:t>
            </w:r>
          </w:p>
        </w:tc>
        <w:tc>
          <w:tcPr>
            <w:tcW w:w="1220" w:type="dxa"/>
            <w:tcBorders>
              <w:top w:val="nil"/>
              <w:left w:val="nil"/>
              <w:bottom w:val="nil"/>
              <w:right w:val="single" w:sz="4" w:space="0" w:color="auto"/>
            </w:tcBorders>
            <w:shd w:val="clear" w:color="auto" w:fill="auto"/>
            <w:noWrap/>
            <w:vAlign w:val="center"/>
            <w:hideMark/>
          </w:tcPr>
          <w:p w14:paraId="3DAF5BC3" w14:textId="77777777" w:rsidR="00374B51" w:rsidRPr="00374B51" w:rsidRDefault="00374B51" w:rsidP="00374B51">
            <w:pPr>
              <w:spacing w:line="240" w:lineRule="auto"/>
              <w:jc w:val="center"/>
              <w:rPr>
                <w:rFonts w:cs="Calibri"/>
                <w:color w:val="000000"/>
                <w:sz w:val="22"/>
                <w:szCs w:val="22"/>
                <w:lang w:eastAsia="es-CR"/>
              </w:rPr>
            </w:pPr>
            <w:r w:rsidRPr="00374B51">
              <w:rPr>
                <w:rFonts w:cs="Calibri"/>
                <w:color w:val="000000"/>
                <w:sz w:val="22"/>
                <w:szCs w:val="22"/>
                <w:lang w:eastAsia="es-CR"/>
              </w:rPr>
              <w:t>1</w:t>
            </w:r>
          </w:p>
        </w:tc>
        <w:tc>
          <w:tcPr>
            <w:tcW w:w="1220" w:type="dxa"/>
            <w:tcBorders>
              <w:top w:val="nil"/>
              <w:left w:val="nil"/>
              <w:bottom w:val="nil"/>
              <w:right w:val="single" w:sz="4" w:space="0" w:color="auto"/>
            </w:tcBorders>
            <w:shd w:val="clear" w:color="auto" w:fill="auto"/>
            <w:noWrap/>
            <w:vAlign w:val="center"/>
            <w:hideMark/>
          </w:tcPr>
          <w:p w14:paraId="0B60177E" w14:textId="77777777" w:rsidR="00374B51" w:rsidRPr="00374B51" w:rsidRDefault="00374B51" w:rsidP="00374B51">
            <w:pPr>
              <w:spacing w:line="240" w:lineRule="auto"/>
              <w:jc w:val="center"/>
              <w:rPr>
                <w:rFonts w:cs="Calibri"/>
                <w:color w:val="000000"/>
                <w:sz w:val="22"/>
                <w:szCs w:val="22"/>
                <w:lang w:eastAsia="es-CR"/>
              </w:rPr>
            </w:pPr>
            <w:r w:rsidRPr="00374B51">
              <w:rPr>
                <w:rFonts w:cs="Calibri"/>
                <w:color w:val="000000"/>
                <w:sz w:val="22"/>
                <w:szCs w:val="22"/>
                <w:lang w:eastAsia="es-CR"/>
              </w:rPr>
              <w:t>1,0</w:t>
            </w:r>
          </w:p>
        </w:tc>
        <w:tc>
          <w:tcPr>
            <w:tcW w:w="1297" w:type="dxa"/>
            <w:tcBorders>
              <w:top w:val="nil"/>
              <w:left w:val="nil"/>
              <w:bottom w:val="nil"/>
              <w:right w:val="nil"/>
            </w:tcBorders>
            <w:shd w:val="clear" w:color="auto" w:fill="auto"/>
            <w:noWrap/>
            <w:vAlign w:val="center"/>
            <w:hideMark/>
          </w:tcPr>
          <w:p w14:paraId="0071F37A" w14:textId="77777777" w:rsidR="00374B51" w:rsidRPr="00374B51" w:rsidRDefault="00374B51" w:rsidP="00374B51">
            <w:pPr>
              <w:spacing w:line="240" w:lineRule="auto"/>
              <w:jc w:val="center"/>
              <w:rPr>
                <w:rFonts w:cs="Calibri"/>
                <w:color w:val="000000"/>
                <w:sz w:val="22"/>
                <w:szCs w:val="22"/>
                <w:lang w:eastAsia="es-CR"/>
              </w:rPr>
            </w:pPr>
            <w:r w:rsidRPr="00374B51">
              <w:rPr>
                <w:rFonts w:cs="Calibri"/>
                <w:color w:val="000000"/>
                <w:sz w:val="22"/>
                <w:szCs w:val="22"/>
                <w:lang w:eastAsia="es-CR"/>
              </w:rPr>
              <w:t>34%</w:t>
            </w:r>
          </w:p>
        </w:tc>
      </w:tr>
      <w:tr w:rsidR="00374B51" w:rsidRPr="00374B51" w14:paraId="297DA036" w14:textId="77777777" w:rsidTr="00832773">
        <w:trPr>
          <w:trHeight w:val="330"/>
        </w:trPr>
        <w:tc>
          <w:tcPr>
            <w:tcW w:w="3280" w:type="dxa"/>
            <w:tcBorders>
              <w:top w:val="nil"/>
              <w:left w:val="nil"/>
              <w:bottom w:val="nil"/>
              <w:right w:val="single" w:sz="4" w:space="0" w:color="auto"/>
            </w:tcBorders>
            <w:shd w:val="clear" w:color="auto" w:fill="auto"/>
            <w:noWrap/>
            <w:vAlign w:val="center"/>
            <w:hideMark/>
          </w:tcPr>
          <w:p w14:paraId="533D386C" w14:textId="77777777" w:rsidR="00374B51" w:rsidRPr="00374B51" w:rsidRDefault="00374B51" w:rsidP="00374B51">
            <w:pPr>
              <w:spacing w:line="240" w:lineRule="auto"/>
              <w:jc w:val="left"/>
              <w:rPr>
                <w:rFonts w:cs="Calibri"/>
                <w:color w:val="000000"/>
                <w:sz w:val="22"/>
                <w:szCs w:val="22"/>
                <w:lang w:eastAsia="es-CR"/>
              </w:rPr>
            </w:pPr>
            <w:r w:rsidRPr="00374B51">
              <w:rPr>
                <w:rFonts w:cs="Calibri"/>
                <w:color w:val="000000"/>
                <w:sz w:val="22"/>
                <w:szCs w:val="22"/>
                <w:lang w:eastAsia="es-CR"/>
              </w:rPr>
              <w:lastRenderedPageBreak/>
              <w:t>De ¢35.000.001 a ¢40.000.000</w:t>
            </w:r>
          </w:p>
        </w:tc>
        <w:tc>
          <w:tcPr>
            <w:tcW w:w="1220" w:type="dxa"/>
            <w:tcBorders>
              <w:top w:val="nil"/>
              <w:left w:val="nil"/>
              <w:bottom w:val="nil"/>
              <w:right w:val="single" w:sz="4" w:space="0" w:color="auto"/>
            </w:tcBorders>
            <w:shd w:val="clear" w:color="auto" w:fill="auto"/>
            <w:noWrap/>
            <w:vAlign w:val="center"/>
            <w:hideMark/>
          </w:tcPr>
          <w:p w14:paraId="6EAA7111" w14:textId="77777777" w:rsidR="00374B51" w:rsidRPr="00374B51" w:rsidRDefault="00374B51" w:rsidP="00374B51">
            <w:pPr>
              <w:spacing w:line="240" w:lineRule="auto"/>
              <w:jc w:val="center"/>
              <w:rPr>
                <w:rFonts w:cs="Calibri"/>
                <w:color w:val="000000"/>
                <w:sz w:val="22"/>
                <w:szCs w:val="22"/>
                <w:lang w:eastAsia="es-CR"/>
              </w:rPr>
            </w:pPr>
            <w:r w:rsidRPr="00374B51">
              <w:rPr>
                <w:rFonts w:cs="Calibri"/>
                <w:color w:val="000000"/>
                <w:sz w:val="22"/>
                <w:szCs w:val="22"/>
                <w:lang w:eastAsia="es-CR"/>
              </w:rPr>
              <w:t>9</w:t>
            </w:r>
          </w:p>
        </w:tc>
        <w:tc>
          <w:tcPr>
            <w:tcW w:w="1220" w:type="dxa"/>
            <w:tcBorders>
              <w:top w:val="nil"/>
              <w:left w:val="nil"/>
              <w:bottom w:val="nil"/>
              <w:right w:val="single" w:sz="4" w:space="0" w:color="auto"/>
            </w:tcBorders>
            <w:shd w:val="clear" w:color="auto" w:fill="auto"/>
            <w:noWrap/>
            <w:vAlign w:val="center"/>
            <w:hideMark/>
          </w:tcPr>
          <w:p w14:paraId="1BC09C01" w14:textId="77777777" w:rsidR="00374B51" w:rsidRPr="00374B51" w:rsidRDefault="00374B51" w:rsidP="00374B51">
            <w:pPr>
              <w:spacing w:line="240" w:lineRule="auto"/>
              <w:jc w:val="center"/>
              <w:rPr>
                <w:rFonts w:cs="Calibri"/>
                <w:color w:val="000000"/>
                <w:sz w:val="22"/>
                <w:szCs w:val="22"/>
                <w:lang w:eastAsia="es-CR"/>
              </w:rPr>
            </w:pPr>
            <w:r w:rsidRPr="00374B51">
              <w:rPr>
                <w:rFonts w:cs="Calibri"/>
                <w:color w:val="000000"/>
                <w:sz w:val="22"/>
                <w:szCs w:val="22"/>
                <w:lang w:eastAsia="es-CR"/>
              </w:rPr>
              <w:t>9</w:t>
            </w:r>
          </w:p>
        </w:tc>
        <w:tc>
          <w:tcPr>
            <w:tcW w:w="1220" w:type="dxa"/>
            <w:tcBorders>
              <w:top w:val="nil"/>
              <w:left w:val="nil"/>
              <w:bottom w:val="nil"/>
              <w:right w:val="single" w:sz="4" w:space="0" w:color="auto"/>
            </w:tcBorders>
            <w:shd w:val="clear" w:color="auto" w:fill="auto"/>
            <w:noWrap/>
            <w:vAlign w:val="center"/>
            <w:hideMark/>
          </w:tcPr>
          <w:p w14:paraId="472D8B89" w14:textId="77777777" w:rsidR="00374B51" w:rsidRPr="00374B51" w:rsidRDefault="00374B51" w:rsidP="00374B51">
            <w:pPr>
              <w:spacing w:line="240" w:lineRule="auto"/>
              <w:jc w:val="center"/>
              <w:rPr>
                <w:rFonts w:cs="Calibri"/>
                <w:color w:val="000000"/>
                <w:sz w:val="22"/>
                <w:szCs w:val="22"/>
                <w:lang w:eastAsia="es-CR"/>
              </w:rPr>
            </w:pPr>
            <w:r w:rsidRPr="00374B51">
              <w:rPr>
                <w:rFonts w:cs="Calibri"/>
                <w:color w:val="000000"/>
                <w:sz w:val="22"/>
                <w:szCs w:val="22"/>
                <w:lang w:eastAsia="es-CR"/>
              </w:rPr>
              <w:t>1</w:t>
            </w:r>
          </w:p>
        </w:tc>
        <w:tc>
          <w:tcPr>
            <w:tcW w:w="1220" w:type="dxa"/>
            <w:tcBorders>
              <w:top w:val="nil"/>
              <w:left w:val="nil"/>
              <w:bottom w:val="nil"/>
              <w:right w:val="single" w:sz="4" w:space="0" w:color="auto"/>
            </w:tcBorders>
            <w:shd w:val="clear" w:color="auto" w:fill="auto"/>
            <w:noWrap/>
            <w:vAlign w:val="center"/>
            <w:hideMark/>
          </w:tcPr>
          <w:p w14:paraId="394ED0F3" w14:textId="77777777" w:rsidR="00374B51" w:rsidRPr="00374B51" w:rsidRDefault="00374B51" w:rsidP="00374B51">
            <w:pPr>
              <w:spacing w:line="240" w:lineRule="auto"/>
              <w:jc w:val="center"/>
              <w:rPr>
                <w:rFonts w:cs="Calibri"/>
                <w:color w:val="000000"/>
                <w:sz w:val="22"/>
                <w:szCs w:val="22"/>
                <w:lang w:eastAsia="es-CR"/>
              </w:rPr>
            </w:pPr>
            <w:r w:rsidRPr="00374B51">
              <w:rPr>
                <w:rFonts w:cs="Calibri"/>
                <w:color w:val="000000"/>
                <w:sz w:val="22"/>
                <w:szCs w:val="22"/>
                <w:lang w:eastAsia="es-CR"/>
              </w:rPr>
              <w:t>6,3</w:t>
            </w:r>
          </w:p>
        </w:tc>
        <w:tc>
          <w:tcPr>
            <w:tcW w:w="1297" w:type="dxa"/>
            <w:tcBorders>
              <w:top w:val="nil"/>
              <w:left w:val="nil"/>
              <w:bottom w:val="nil"/>
              <w:right w:val="nil"/>
            </w:tcBorders>
            <w:shd w:val="clear" w:color="auto" w:fill="auto"/>
            <w:noWrap/>
            <w:vAlign w:val="center"/>
            <w:hideMark/>
          </w:tcPr>
          <w:p w14:paraId="1FB2CD60" w14:textId="77777777" w:rsidR="00374B51" w:rsidRPr="00374B51" w:rsidRDefault="00374B51" w:rsidP="00374B51">
            <w:pPr>
              <w:spacing w:line="240" w:lineRule="auto"/>
              <w:jc w:val="center"/>
              <w:rPr>
                <w:rFonts w:cs="Calibri"/>
                <w:color w:val="000000"/>
                <w:sz w:val="22"/>
                <w:szCs w:val="22"/>
                <w:lang w:eastAsia="es-CR"/>
              </w:rPr>
            </w:pPr>
            <w:r w:rsidRPr="00374B51">
              <w:rPr>
                <w:rFonts w:cs="Calibri"/>
                <w:color w:val="000000"/>
                <w:sz w:val="22"/>
                <w:szCs w:val="22"/>
                <w:lang w:eastAsia="es-CR"/>
              </w:rPr>
              <w:t>44%</w:t>
            </w:r>
          </w:p>
        </w:tc>
      </w:tr>
      <w:tr w:rsidR="00374B51" w:rsidRPr="00374B51" w14:paraId="13B329C9" w14:textId="77777777" w:rsidTr="00832773">
        <w:trPr>
          <w:trHeight w:val="330"/>
        </w:trPr>
        <w:tc>
          <w:tcPr>
            <w:tcW w:w="3280" w:type="dxa"/>
            <w:tcBorders>
              <w:top w:val="nil"/>
              <w:left w:val="nil"/>
              <w:bottom w:val="nil"/>
              <w:right w:val="single" w:sz="4" w:space="0" w:color="auto"/>
            </w:tcBorders>
            <w:shd w:val="clear" w:color="auto" w:fill="auto"/>
            <w:noWrap/>
            <w:vAlign w:val="center"/>
            <w:hideMark/>
          </w:tcPr>
          <w:p w14:paraId="53780445" w14:textId="77777777" w:rsidR="00374B51" w:rsidRPr="00374B51" w:rsidRDefault="00374B51" w:rsidP="00374B51">
            <w:pPr>
              <w:spacing w:line="240" w:lineRule="auto"/>
              <w:jc w:val="left"/>
              <w:rPr>
                <w:rFonts w:cs="Calibri"/>
                <w:color w:val="000000"/>
                <w:sz w:val="22"/>
                <w:szCs w:val="22"/>
                <w:lang w:eastAsia="es-CR"/>
              </w:rPr>
            </w:pPr>
            <w:r w:rsidRPr="00374B51">
              <w:rPr>
                <w:rFonts w:cs="Calibri"/>
                <w:color w:val="000000"/>
                <w:sz w:val="22"/>
                <w:szCs w:val="22"/>
                <w:lang w:eastAsia="es-CR"/>
              </w:rPr>
              <w:t>De ¢40.000.001 a ¢45.000.000</w:t>
            </w:r>
          </w:p>
        </w:tc>
        <w:tc>
          <w:tcPr>
            <w:tcW w:w="1220" w:type="dxa"/>
            <w:tcBorders>
              <w:top w:val="nil"/>
              <w:left w:val="nil"/>
              <w:bottom w:val="nil"/>
              <w:right w:val="single" w:sz="4" w:space="0" w:color="auto"/>
            </w:tcBorders>
            <w:shd w:val="clear" w:color="auto" w:fill="auto"/>
            <w:noWrap/>
            <w:vAlign w:val="center"/>
            <w:hideMark/>
          </w:tcPr>
          <w:p w14:paraId="3E489DF0" w14:textId="77777777" w:rsidR="00374B51" w:rsidRPr="00374B51" w:rsidRDefault="00374B51" w:rsidP="00374B51">
            <w:pPr>
              <w:spacing w:line="240" w:lineRule="auto"/>
              <w:jc w:val="center"/>
              <w:rPr>
                <w:rFonts w:cs="Calibri"/>
                <w:color w:val="000000"/>
                <w:sz w:val="22"/>
                <w:szCs w:val="22"/>
                <w:lang w:eastAsia="es-CR"/>
              </w:rPr>
            </w:pPr>
            <w:r w:rsidRPr="00374B51">
              <w:rPr>
                <w:rFonts w:cs="Calibri"/>
                <w:color w:val="000000"/>
                <w:sz w:val="22"/>
                <w:szCs w:val="22"/>
                <w:lang w:eastAsia="es-CR"/>
              </w:rPr>
              <w:t>1</w:t>
            </w:r>
          </w:p>
        </w:tc>
        <w:tc>
          <w:tcPr>
            <w:tcW w:w="1220" w:type="dxa"/>
            <w:tcBorders>
              <w:top w:val="nil"/>
              <w:left w:val="nil"/>
              <w:bottom w:val="nil"/>
              <w:right w:val="single" w:sz="4" w:space="0" w:color="auto"/>
            </w:tcBorders>
            <w:shd w:val="clear" w:color="auto" w:fill="auto"/>
            <w:noWrap/>
            <w:vAlign w:val="center"/>
            <w:hideMark/>
          </w:tcPr>
          <w:p w14:paraId="02DFD5FC" w14:textId="77777777" w:rsidR="00374B51" w:rsidRPr="00374B51" w:rsidRDefault="00374B51" w:rsidP="00374B51">
            <w:pPr>
              <w:spacing w:line="240" w:lineRule="auto"/>
              <w:jc w:val="center"/>
              <w:rPr>
                <w:rFonts w:cs="Calibri"/>
                <w:color w:val="000000"/>
                <w:sz w:val="22"/>
                <w:szCs w:val="22"/>
                <w:lang w:eastAsia="es-CR"/>
              </w:rPr>
            </w:pPr>
            <w:r w:rsidRPr="00374B51">
              <w:rPr>
                <w:rFonts w:cs="Calibri"/>
                <w:color w:val="000000"/>
                <w:sz w:val="22"/>
                <w:szCs w:val="22"/>
                <w:lang w:eastAsia="es-CR"/>
              </w:rPr>
              <w:t>0</w:t>
            </w:r>
          </w:p>
        </w:tc>
        <w:tc>
          <w:tcPr>
            <w:tcW w:w="1220" w:type="dxa"/>
            <w:tcBorders>
              <w:top w:val="nil"/>
              <w:left w:val="nil"/>
              <w:bottom w:val="nil"/>
              <w:right w:val="single" w:sz="4" w:space="0" w:color="auto"/>
            </w:tcBorders>
            <w:shd w:val="clear" w:color="auto" w:fill="auto"/>
            <w:noWrap/>
            <w:vAlign w:val="center"/>
            <w:hideMark/>
          </w:tcPr>
          <w:p w14:paraId="6020D732" w14:textId="77777777" w:rsidR="00374B51" w:rsidRPr="00374B51" w:rsidRDefault="00374B51" w:rsidP="00374B51">
            <w:pPr>
              <w:spacing w:line="240" w:lineRule="auto"/>
              <w:jc w:val="center"/>
              <w:rPr>
                <w:rFonts w:cs="Calibri"/>
                <w:color w:val="000000"/>
                <w:sz w:val="22"/>
                <w:szCs w:val="22"/>
                <w:lang w:eastAsia="es-CR"/>
              </w:rPr>
            </w:pPr>
            <w:r w:rsidRPr="00374B51">
              <w:rPr>
                <w:rFonts w:cs="Calibri"/>
                <w:color w:val="000000"/>
                <w:sz w:val="22"/>
                <w:szCs w:val="22"/>
                <w:lang w:eastAsia="es-CR"/>
              </w:rPr>
              <w:t>0</w:t>
            </w:r>
          </w:p>
        </w:tc>
        <w:tc>
          <w:tcPr>
            <w:tcW w:w="1220" w:type="dxa"/>
            <w:tcBorders>
              <w:top w:val="nil"/>
              <w:left w:val="nil"/>
              <w:bottom w:val="nil"/>
              <w:right w:val="single" w:sz="4" w:space="0" w:color="auto"/>
            </w:tcBorders>
            <w:shd w:val="clear" w:color="auto" w:fill="auto"/>
            <w:noWrap/>
            <w:vAlign w:val="center"/>
            <w:hideMark/>
          </w:tcPr>
          <w:p w14:paraId="66EC9146" w14:textId="77777777" w:rsidR="00374B51" w:rsidRPr="00374B51" w:rsidRDefault="00374B51" w:rsidP="00374B51">
            <w:pPr>
              <w:spacing w:line="240" w:lineRule="auto"/>
              <w:jc w:val="center"/>
              <w:rPr>
                <w:rFonts w:cs="Calibri"/>
                <w:color w:val="000000"/>
                <w:sz w:val="22"/>
                <w:szCs w:val="22"/>
                <w:lang w:eastAsia="es-CR"/>
              </w:rPr>
            </w:pPr>
            <w:r w:rsidRPr="00374B51">
              <w:rPr>
                <w:rFonts w:cs="Calibri"/>
                <w:color w:val="000000"/>
                <w:sz w:val="22"/>
                <w:szCs w:val="22"/>
                <w:lang w:eastAsia="es-CR"/>
              </w:rPr>
              <w:t>0,3</w:t>
            </w:r>
          </w:p>
        </w:tc>
        <w:tc>
          <w:tcPr>
            <w:tcW w:w="1297" w:type="dxa"/>
            <w:tcBorders>
              <w:top w:val="nil"/>
              <w:left w:val="nil"/>
              <w:bottom w:val="nil"/>
              <w:right w:val="nil"/>
            </w:tcBorders>
            <w:shd w:val="clear" w:color="auto" w:fill="auto"/>
            <w:noWrap/>
            <w:vAlign w:val="center"/>
            <w:hideMark/>
          </w:tcPr>
          <w:p w14:paraId="1C8E21CB" w14:textId="77777777" w:rsidR="00374B51" w:rsidRPr="00374B51" w:rsidRDefault="00374B51" w:rsidP="00374B51">
            <w:pPr>
              <w:spacing w:line="240" w:lineRule="auto"/>
              <w:jc w:val="center"/>
              <w:rPr>
                <w:rFonts w:cs="Calibri"/>
                <w:color w:val="000000"/>
                <w:sz w:val="22"/>
                <w:szCs w:val="22"/>
                <w:lang w:eastAsia="es-CR"/>
              </w:rPr>
            </w:pPr>
            <w:r w:rsidRPr="00374B51">
              <w:rPr>
                <w:rFonts w:cs="Calibri"/>
                <w:color w:val="000000"/>
                <w:sz w:val="22"/>
                <w:szCs w:val="22"/>
                <w:lang w:eastAsia="es-CR"/>
              </w:rPr>
              <w:t>45%</w:t>
            </w:r>
          </w:p>
        </w:tc>
      </w:tr>
      <w:tr w:rsidR="00374B51" w:rsidRPr="00374B51" w14:paraId="0CEF381D" w14:textId="77777777" w:rsidTr="00832773">
        <w:trPr>
          <w:trHeight w:val="330"/>
        </w:trPr>
        <w:tc>
          <w:tcPr>
            <w:tcW w:w="3280" w:type="dxa"/>
            <w:tcBorders>
              <w:top w:val="nil"/>
              <w:left w:val="nil"/>
              <w:bottom w:val="nil"/>
              <w:right w:val="single" w:sz="4" w:space="0" w:color="auto"/>
            </w:tcBorders>
            <w:shd w:val="clear" w:color="auto" w:fill="auto"/>
            <w:noWrap/>
            <w:vAlign w:val="center"/>
            <w:hideMark/>
          </w:tcPr>
          <w:p w14:paraId="5B56D0F8" w14:textId="77777777" w:rsidR="00374B51" w:rsidRPr="00374B51" w:rsidRDefault="00374B51" w:rsidP="00374B51">
            <w:pPr>
              <w:spacing w:line="240" w:lineRule="auto"/>
              <w:jc w:val="left"/>
              <w:rPr>
                <w:rFonts w:cs="Calibri"/>
                <w:color w:val="000000"/>
                <w:sz w:val="22"/>
                <w:szCs w:val="22"/>
                <w:lang w:eastAsia="es-CR"/>
              </w:rPr>
            </w:pPr>
            <w:r w:rsidRPr="00374B51">
              <w:rPr>
                <w:rFonts w:cs="Calibri"/>
                <w:color w:val="000000"/>
                <w:sz w:val="22"/>
                <w:szCs w:val="22"/>
                <w:lang w:eastAsia="es-CR"/>
              </w:rPr>
              <w:t>De ¢45.000.001 a ¢50.000.000</w:t>
            </w:r>
          </w:p>
        </w:tc>
        <w:tc>
          <w:tcPr>
            <w:tcW w:w="1220" w:type="dxa"/>
            <w:tcBorders>
              <w:top w:val="nil"/>
              <w:left w:val="nil"/>
              <w:bottom w:val="nil"/>
              <w:right w:val="single" w:sz="4" w:space="0" w:color="auto"/>
            </w:tcBorders>
            <w:shd w:val="clear" w:color="auto" w:fill="auto"/>
            <w:noWrap/>
            <w:vAlign w:val="center"/>
            <w:hideMark/>
          </w:tcPr>
          <w:p w14:paraId="2C9BA8D7" w14:textId="77777777" w:rsidR="00374B51" w:rsidRPr="00374B51" w:rsidRDefault="00374B51" w:rsidP="00374B51">
            <w:pPr>
              <w:spacing w:line="240" w:lineRule="auto"/>
              <w:jc w:val="center"/>
              <w:rPr>
                <w:rFonts w:cs="Calibri"/>
                <w:color w:val="000000"/>
                <w:sz w:val="22"/>
                <w:szCs w:val="22"/>
                <w:lang w:eastAsia="es-CR"/>
              </w:rPr>
            </w:pPr>
            <w:r w:rsidRPr="00374B51">
              <w:rPr>
                <w:rFonts w:cs="Calibri"/>
                <w:color w:val="000000"/>
                <w:sz w:val="22"/>
                <w:szCs w:val="22"/>
                <w:lang w:eastAsia="es-CR"/>
              </w:rPr>
              <w:t>2</w:t>
            </w:r>
          </w:p>
        </w:tc>
        <w:tc>
          <w:tcPr>
            <w:tcW w:w="1220" w:type="dxa"/>
            <w:tcBorders>
              <w:top w:val="nil"/>
              <w:left w:val="nil"/>
              <w:bottom w:val="nil"/>
              <w:right w:val="single" w:sz="4" w:space="0" w:color="auto"/>
            </w:tcBorders>
            <w:shd w:val="clear" w:color="auto" w:fill="auto"/>
            <w:noWrap/>
            <w:vAlign w:val="center"/>
            <w:hideMark/>
          </w:tcPr>
          <w:p w14:paraId="6AA90569" w14:textId="77777777" w:rsidR="00374B51" w:rsidRPr="00374B51" w:rsidRDefault="00374B51" w:rsidP="00374B51">
            <w:pPr>
              <w:spacing w:line="240" w:lineRule="auto"/>
              <w:jc w:val="center"/>
              <w:rPr>
                <w:rFonts w:cs="Calibri"/>
                <w:color w:val="000000"/>
                <w:sz w:val="22"/>
                <w:szCs w:val="22"/>
                <w:lang w:eastAsia="es-CR"/>
              </w:rPr>
            </w:pPr>
            <w:r w:rsidRPr="00374B51">
              <w:rPr>
                <w:rFonts w:cs="Calibri"/>
                <w:color w:val="000000"/>
                <w:sz w:val="22"/>
                <w:szCs w:val="22"/>
                <w:lang w:eastAsia="es-CR"/>
              </w:rPr>
              <w:t>4</w:t>
            </w:r>
          </w:p>
        </w:tc>
        <w:tc>
          <w:tcPr>
            <w:tcW w:w="1220" w:type="dxa"/>
            <w:tcBorders>
              <w:top w:val="nil"/>
              <w:left w:val="nil"/>
              <w:bottom w:val="nil"/>
              <w:right w:val="single" w:sz="4" w:space="0" w:color="auto"/>
            </w:tcBorders>
            <w:shd w:val="clear" w:color="auto" w:fill="auto"/>
            <w:noWrap/>
            <w:vAlign w:val="center"/>
            <w:hideMark/>
          </w:tcPr>
          <w:p w14:paraId="71418E05" w14:textId="77777777" w:rsidR="00374B51" w:rsidRPr="00374B51" w:rsidRDefault="00374B51" w:rsidP="00374B51">
            <w:pPr>
              <w:spacing w:line="240" w:lineRule="auto"/>
              <w:jc w:val="center"/>
              <w:rPr>
                <w:rFonts w:cs="Calibri"/>
                <w:color w:val="000000"/>
                <w:sz w:val="22"/>
                <w:szCs w:val="22"/>
                <w:lang w:eastAsia="es-CR"/>
              </w:rPr>
            </w:pPr>
            <w:r w:rsidRPr="00374B51">
              <w:rPr>
                <w:rFonts w:cs="Calibri"/>
                <w:color w:val="000000"/>
                <w:sz w:val="22"/>
                <w:szCs w:val="22"/>
                <w:lang w:eastAsia="es-CR"/>
              </w:rPr>
              <w:t>1</w:t>
            </w:r>
          </w:p>
        </w:tc>
        <w:tc>
          <w:tcPr>
            <w:tcW w:w="1220" w:type="dxa"/>
            <w:tcBorders>
              <w:top w:val="nil"/>
              <w:left w:val="nil"/>
              <w:bottom w:val="nil"/>
              <w:right w:val="single" w:sz="4" w:space="0" w:color="auto"/>
            </w:tcBorders>
            <w:shd w:val="clear" w:color="auto" w:fill="auto"/>
            <w:noWrap/>
            <w:vAlign w:val="center"/>
            <w:hideMark/>
          </w:tcPr>
          <w:p w14:paraId="7AF23FD6" w14:textId="77777777" w:rsidR="00374B51" w:rsidRPr="00374B51" w:rsidRDefault="00374B51" w:rsidP="00374B51">
            <w:pPr>
              <w:spacing w:line="240" w:lineRule="auto"/>
              <w:jc w:val="center"/>
              <w:rPr>
                <w:rFonts w:cs="Calibri"/>
                <w:color w:val="000000"/>
                <w:sz w:val="22"/>
                <w:szCs w:val="22"/>
                <w:lang w:eastAsia="es-CR"/>
              </w:rPr>
            </w:pPr>
            <w:r w:rsidRPr="00374B51">
              <w:rPr>
                <w:rFonts w:cs="Calibri"/>
                <w:color w:val="000000"/>
                <w:sz w:val="22"/>
                <w:szCs w:val="22"/>
                <w:lang w:eastAsia="es-CR"/>
              </w:rPr>
              <w:t>2,3</w:t>
            </w:r>
          </w:p>
        </w:tc>
        <w:tc>
          <w:tcPr>
            <w:tcW w:w="1297" w:type="dxa"/>
            <w:tcBorders>
              <w:top w:val="nil"/>
              <w:left w:val="nil"/>
              <w:bottom w:val="nil"/>
              <w:right w:val="nil"/>
            </w:tcBorders>
            <w:shd w:val="clear" w:color="auto" w:fill="auto"/>
            <w:noWrap/>
            <w:vAlign w:val="center"/>
            <w:hideMark/>
          </w:tcPr>
          <w:p w14:paraId="3A87F5D8" w14:textId="77777777" w:rsidR="00374B51" w:rsidRPr="00374B51" w:rsidRDefault="00374B51" w:rsidP="00374B51">
            <w:pPr>
              <w:spacing w:line="240" w:lineRule="auto"/>
              <w:jc w:val="center"/>
              <w:rPr>
                <w:rFonts w:cs="Calibri"/>
                <w:color w:val="000000"/>
                <w:sz w:val="22"/>
                <w:szCs w:val="22"/>
                <w:lang w:eastAsia="es-CR"/>
              </w:rPr>
            </w:pPr>
            <w:r w:rsidRPr="00374B51">
              <w:rPr>
                <w:rFonts w:cs="Calibri"/>
                <w:color w:val="000000"/>
                <w:sz w:val="22"/>
                <w:szCs w:val="22"/>
                <w:lang w:eastAsia="es-CR"/>
              </w:rPr>
              <w:t>48%</w:t>
            </w:r>
          </w:p>
        </w:tc>
      </w:tr>
      <w:tr w:rsidR="00374B51" w:rsidRPr="00374B51" w14:paraId="59C4731E" w14:textId="77777777" w:rsidTr="00832773">
        <w:trPr>
          <w:trHeight w:val="330"/>
        </w:trPr>
        <w:tc>
          <w:tcPr>
            <w:tcW w:w="3280" w:type="dxa"/>
            <w:tcBorders>
              <w:top w:val="nil"/>
              <w:left w:val="nil"/>
              <w:bottom w:val="nil"/>
              <w:right w:val="single" w:sz="4" w:space="0" w:color="auto"/>
            </w:tcBorders>
            <w:shd w:val="clear" w:color="auto" w:fill="auto"/>
            <w:noWrap/>
            <w:vAlign w:val="center"/>
            <w:hideMark/>
          </w:tcPr>
          <w:p w14:paraId="50485F71" w14:textId="77777777" w:rsidR="00374B51" w:rsidRPr="00374B51" w:rsidRDefault="00374B51" w:rsidP="00374B51">
            <w:pPr>
              <w:spacing w:line="240" w:lineRule="auto"/>
              <w:jc w:val="left"/>
              <w:rPr>
                <w:rFonts w:cs="Calibri"/>
                <w:color w:val="000000"/>
                <w:sz w:val="22"/>
                <w:szCs w:val="22"/>
                <w:lang w:eastAsia="es-CR"/>
              </w:rPr>
            </w:pPr>
            <w:r w:rsidRPr="00374B51">
              <w:rPr>
                <w:rFonts w:cs="Calibri"/>
                <w:color w:val="000000"/>
                <w:sz w:val="22"/>
                <w:szCs w:val="22"/>
                <w:lang w:eastAsia="es-CR"/>
              </w:rPr>
              <w:t>De ¢50.000.001 a ¢55.000.000</w:t>
            </w:r>
          </w:p>
        </w:tc>
        <w:tc>
          <w:tcPr>
            <w:tcW w:w="1220" w:type="dxa"/>
            <w:tcBorders>
              <w:top w:val="nil"/>
              <w:left w:val="nil"/>
              <w:bottom w:val="nil"/>
              <w:right w:val="single" w:sz="4" w:space="0" w:color="auto"/>
            </w:tcBorders>
            <w:shd w:val="clear" w:color="auto" w:fill="auto"/>
            <w:noWrap/>
            <w:vAlign w:val="center"/>
            <w:hideMark/>
          </w:tcPr>
          <w:p w14:paraId="038240A8" w14:textId="77777777" w:rsidR="00374B51" w:rsidRPr="00374B51" w:rsidRDefault="00374B51" w:rsidP="00374B51">
            <w:pPr>
              <w:spacing w:line="240" w:lineRule="auto"/>
              <w:jc w:val="center"/>
              <w:rPr>
                <w:rFonts w:cs="Calibri"/>
                <w:color w:val="000000"/>
                <w:sz w:val="22"/>
                <w:szCs w:val="22"/>
                <w:lang w:eastAsia="es-CR"/>
              </w:rPr>
            </w:pPr>
            <w:r w:rsidRPr="00374B51">
              <w:rPr>
                <w:rFonts w:cs="Calibri"/>
                <w:color w:val="000000"/>
                <w:sz w:val="22"/>
                <w:szCs w:val="22"/>
                <w:lang w:eastAsia="es-CR"/>
              </w:rPr>
              <w:t>0</w:t>
            </w:r>
          </w:p>
        </w:tc>
        <w:tc>
          <w:tcPr>
            <w:tcW w:w="1220" w:type="dxa"/>
            <w:tcBorders>
              <w:top w:val="nil"/>
              <w:left w:val="nil"/>
              <w:bottom w:val="nil"/>
              <w:right w:val="single" w:sz="4" w:space="0" w:color="auto"/>
            </w:tcBorders>
            <w:shd w:val="clear" w:color="auto" w:fill="auto"/>
            <w:noWrap/>
            <w:vAlign w:val="center"/>
            <w:hideMark/>
          </w:tcPr>
          <w:p w14:paraId="36F70EE6" w14:textId="77777777" w:rsidR="00374B51" w:rsidRPr="00374B51" w:rsidRDefault="00374B51" w:rsidP="00374B51">
            <w:pPr>
              <w:spacing w:line="240" w:lineRule="auto"/>
              <w:jc w:val="center"/>
              <w:rPr>
                <w:rFonts w:cs="Calibri"/>
                <w:color w:val="000000"/>
                <w:sz w:val="22"/>
                <w:szCs w:val="22"/>
                <w:lang w:eastAsia="es-CR"/>
              </w:rPr>
            </w:pPr>
            <w:r w:rsidRPr="00374B51">
              <w:rPr>
                <w:rFonts w:cs="Calibri"/>
                <w:color w:val="000000"/>
                <w:sz w:val="22"/>
                <w:szCs w:val="22"/>
                <w:lang w:eastAsia="es-CR"/>
              </w:rPr>
              <w:t>1</w:t>
            </w:r>
          </w:p>
        </w:tc>
        <w:tc>
          <w:tcPr>
            <w:tcW w:w="1220" w:type="dxa"/>
            <w:tcBorders>
              <w:top w:val="nil"/>
              <w:left w:val="nil"/>
              <w:bottom w:val="nil"/>
              <w:right w:val="single" w:sz="4" w:space="0" w:color="auto"/>
            </w:tcBorders>
            <w:shd w:val="clear" w:color="auto" w:fill="auto"/>
            <w:noWrap/>
            <w:vAlign w:val="center"/>
            <w:hideMark/>
          </w:tcPr>
          <w:p w14:paraId="3F036B4A" w14:textId="77777777" w:rsidR="00374B51" w:rsidRPr="00374B51" w:rsidRDefault="00374B51" w:rsidP="00374B51">
            <w:pPr>
              <w:spacing w:line="240" w:lineRule="auto"/>
              <w:jc w:val="center"/>
              <w:rPr>
                <w:rFonts w:cs="Calibri"/>
                <w:color w:val="000000"/>
                <w:sz w:val="22"/>
                <w:szCs w:val="22"/>
                <w:lang w:eastAsia="es-CR"/>
              </w:rPr>
            </w:pPr>
            <w:r w:rsidRPr="00374B51">
              <w:rPr>
                <w:rFonts w:cs="Calibri"/>
                <w:color w:val="000000"/>
                <w:sz w:val="22"/>
                <w:szCs w:val="22"/>
                <w:lang w:eastAsia="es-CR"/>
              </w:rPr>
              <w:t>1</w:t>
            </w:r>
          </w:p>
        </w:tc>
        <w:tc>
          <w:tcPr>
            <w:tcW w:w="1220" w:type="dxa"/>
            <w:tcBorders>
              <w:top w:val="nil"/>
              <w:left w:val="nil"/>
              <w:bottom w:val="nil"/>
              <w:right w:val="single" w:sz="4" w:space="0" w:color="auto"/>
            </w:tcBorders>
            <w:shd w:val="clear" w:color="auto" w:fill="auto"/>
            <w:noWrap/>
            <w:vAlign w:val="center"/>
            <w:hideMark/>
          </w:tcPr>
          <w:p w14:paraId="0137D8A4" w14:textId="77777777" w:rsidR="00374B51" w:rsidRPr="00374B51" w:rsidRDefault="00374B51" w:rsidP="00374B51">
            <w:pPr>
              <w:spacing w:line="240" w:lineRule="auto"/>
              <w:jc w:val="center"/>
              <w:rPr>
                <w:rFonts w:cs="Calibri"/>
                <w:color w:val="000000"/>
                <w:sz w:val="22"/>
                <w:szCs w:val="22"/>
                <w:lang w:eastAsia="es-CR"/>
              </w:rPr>
            </w:pPr>
            <w:r w:rsidRPr="00374B51">
              <w:rPr>
                <w:rFonts w:cs="Calibri"/>
                <w:color w:val="000000"/>
                <w:sz w:val="22"/>
                <w:szCs w:val="22"/>
                <w:lang w:eastAsia="es-CR"/>
              </w:rPr>
              <w:t>0,7</w:t>
            </w:r>
          </w:p>
        </w:tc>
        <w:tc>
          <w:tcPr>
            <w:tcW w:w="1297" w:type="dxa"/>
            <w:tcBorders>
              <w:top w:val="nil"/>
              <w:left w:val="nil"/>
              <w:bottom w:val="nil"/>
              <w:right w:val="nil"/>
            </w:tcBorders>
            <w:shd w:val="clear" w:color="auto" w:fill="auto"/>
            <w:noWrap/>
            <w:vAlign w:val="center"/>
            <w:hideMark/>
          </w:tcPr>
          <w:p w14:paraId="567ECE7D" w14:textId="77777777" w:rsidR="00374B51" w:rsidRPr="00374B51" w:rsidRDefault="00374B51" w:rsidP="00374B51">
            <w:pPr>
              <w:spacing w:line="240" w:lineRule="auto"/>
              <w:jc w:val="center"/>
              <w:rPr>
                <w:rFonts w:cs="Calibri"/>
                <w:color w:val="000000"/>
                <w:sz w:val="22"/>
                <w:szCs w:val="22"/>
                <w:lang w:eastAsia="es-CR"/>
              </w:rPr>
            </w:pPr>
            <w:r w:rsidRPr="00374B51">
              <w:rPr>
                <w:rFonts w:cs="Calibri"/>
                <w:color w:val="000000"/>
                <w:sz w:val="22"/>
                <w:szCs w:val="22"/>
                <w:lang w:eastAsia="es-CR"/>
              </w:rPr>
              <w:t>49%</w:t>
            </w:r>
          </w:p>
        </w:tc>
      </w:tr>
      <w:tr w:rsidR="00374B51" w:rsidRPr="00374B51" w14:paraId="0CFA7E38" w14:textId="77777777" w:rsidTr="00832773">
        <w:trPr>
          <w:trHeight w:val="330"/>
        </w:trPr>
        <w:tc>
          <w:tcPr>
            <w:tcW w:w="3280" w:type="dxa"/>
            <w:tcBorders>
              <w:top w:val="nil"/>
              <w:left w:val="nil"/>
              <w:bottom w:val="nil"/>
              <w:right w:val="single" w:sz="4" w:space="0" w:color="auto"/>
            </w:tcBorders>
            <w:shd w:val="clear" w:color="auto" w:fill="auto"/>
            <w:noWrap/>
            <w:vAlign w:val="center"/>
            <w:hideMark/>
          </w:tcPr>
          <w:p w14:paraId="608125CE" w14:textId="77777777" w:rsidR="00374B51" w:rsidRPr="00374B51" w:rsidRDefault="00374B51" w:rsidP="00374B51">
            <w:pPr>
              <w:spacing w:line="240" w:lineRule="auto"/>
              <w:jc w:val="left"/>
              <w:rPr>
                <w:rFonts w:cs="Calibri"/>
                <w:color w:val="000000"/>
                <w:sz w:val="22"/>
                <w:szCs w:val="22"/>
                <w:lang w:eastAsia="es-CR"/>
              </w:rPr>
            </w:pPr>
            <w:r w:rsidRPr="00374B51">
              <w:rPr>
                <w:rFonts w:cs="Calibri"/>
                <w:color w:val="000000"/>
                <w:sz w:val="22"/>
                <w:szCs w:val="22"/>
                <w:lang w:eastAsia="es-CR"/>
              </w:rPr>
              <w:t>De ¢55.000.001 a ¢60.000.000</w:t>
            </w:r>
          </w:p>
        </w:tc>
        <w:tc>
          <w:tcPr>
            <w:tcW w:w="1220" w:type="dxa"/>
            <w:tcBorders>
              <w:top w:val="nil"/>
              <w:left w:val="nil"/>
              <w:bottom w:val="nil"/>
              <w:right w:val="single" w:sz="4" w:space="0" w:color="auto"/>
            </w:tcBorders>
            <w:shd w:val="clear" w:color="auto" w:fill="auto"/>
            <w:noWrap/>
            <w:vAlign w:val="center"/>
            <w:hideMark/>
          </w:tcPr>
          <w:p w14:paraId="55943CDB" w14:textId="77777777" w:rsidR="00374B51" w:rsidRPr="00374B51" w:rsidRDefault="00374B51" w:rsidP="00374B51">
            <w:pPr>
              <w:spacing w:line="240" w:lineRule="auto"/>
              <w:jc w:val="center"/>
              <w:rPr>
                <w:rFonts w:cs="Calibri"/>
                <w:color w:val="000000"/>
                <w:sz w:val="22"/>
                <w:szCs w:val="22"/>
                <w:lang w:eastAsia="es-CR"/>
              </w:rPr>
            </w:pPr>
            <w:r w:rsidRPr="00374B51">
              <w:rPr>
                <w:rFonts w:cs="Calibri"/>
                <w:color w:val="000000"/>
                <w:sz w:val="22"/>
                <w:szCs w:val="22"/>
                <w:lang w:eastAsia="es-CR"/>
              </w:rPr>
              <w:t>2</w:t>
            </w:r>
          </w:p>
        </w:tc>
        <w:tc>
          <w:tcPr>
            <w:tcW w:w="1220" w:type="dxa"/>
            <w:tcBorders>
              <w:top w:val="nil"/>
              <w:left w:val="nil"/>
              <w:bottom w:val="nil"/>
              <w:right w:val="single" w:sz="4" w:space="0" w:color="auto"/>
            </w:tcBorders>
            <w:shd w:val="clear" w:color="auto" w:fill="auto"/>
            <w:noWrap/>
            <w:vAlign w:val="center"/>
            <w:hideMark/>
          </w:tcPr>
          <w:p w14:paraId="32EF826A" w14:textId="77777777" w:rsidR="00374B51" w:rsidRPr="00374B51" w:rsidRDefault="00374B51" w:rsidP="00374B51">
            <w:pPr>
              <w:spacing w:line="240" w:lineRule="auto"/>
              <w:jc w:val="center"/>
              <w:rPr>
                <w:rFonts w:cs="Calibri"/>
                <w:color w:val="000000"/>
                <w:sz w:val="22"/>
                <w:szCs w:val="22"/>
                <w:lang w:eastAsia="es-CR"/>
              </w:rPr>
            </w:pPr>
            <w:r w:rsidRPr="00374B51">
              <w:rPr>
                <w:rFonts w:cs="Calibri"/>
                <w:color w:val="000000"/>
                <w:sz w:val="22"/>
                <w:szCs w:val="22"/>
                <w:lang w:eastAsia="es-CR"/>
              </w:rPr>
              <w:t>1</w:t>
            </w:r>
          </w:p>
        </w:tc>
        <w:tc>
          <w:tcPr>
            <w:tcW w:w="1220" w:type="dxa"/>
            <w:tcBorders>
              <w:top w:val="nil"/>
              <w:left w:val="nil"/>
              <w:bottom w:val="nil"/>
              <w:right w:val="single" w:sz="4" w:space="0" w:color="auto"/>
            </w:tcBorders>
            <w:shd w:val="clear" w:color="auto" w:fill="auto"/>
            <w:noWrap/>
            <w:vAlign w:val="center"/>
            <w:hideMark/>
          </w:tcPr>
          <w:p w14:paraId="296AE2B8" w14:textId="77777777" w:rsidR="00374B51" w:rsidRPr="00374B51" w:rsidRDefault="00374B51" w:rsidP="00374B51">
            <w:pPr>
              <w:spacing w:line="240" w:lineRule="auto"/>
              <w:jc w:val="center"/>
              <w:rPr>
                <w:rFonts w:cs="Calibri"/>
                <w:color w:val="000000"/>
                <w:sz w:val="22"/>
                <w:szCs w:val="22"/>
                <w:lang w:eastAsia="es-CR"/>
              </w:rPr>
            </w:pPr>
            <w:r w:rsidRPr="00374B51">
              <w:rPr>
                <w:rFonts w:cs="Calibri"/>
                <w:color w:val="000000"/>
                <w:sz w:val="22"/>
                <w:szCs w:val="22"/>
                <w:lang w:eastAsia="es-CR"/>
              </w:rPr>
              <w:t>0</w:t>
            </w:r>
          </w:p>
        </w:tc>
        <w:tc>
          <w:tcPr>
            <w:tcW w:w="1220" w:type="dxa"/>
            <w:tcBorders>
              <w:top w:val="nil"/>
              <w:left w:val="nil"/>
              <w:bottom w:val="nil"/>
              <w:right w:val="single" w:sz="4" w:space="0" w:color="auto"/>
            </w:tcBorders>
            <w:shd w:val="clear" w:color="auto" w:fill="auto"/>
            <w:noWrap/>
            <w:vAlign w:val="center"/>
            <w:hideMark/>
          </w:tcPr>
          <w:p w14:paraId="048867E4" w14:textId="77777777" w:rsidR="00374B51" w:rsidRPr="00374B51" w:rsidRDefault="00374B51" w:rsidP="00374B51">
            <w:pPr>
              <w:spacing w:line="240" w:lineRule="auto"/>
              <w:jc w:val="center"/>
              <w:rPr>
                <w:rFonts w:cs="Calibri"/>
                <w:color w:val="000000"/>
                <w:sz w:val="22"/>
                <w:szCs w:val="22"/>
                <w:lang w:eastAsia="es-CR"/>
              </w:rPr>
            </w:pPr>
            <w:r w:rsidRPr="00374B51">
              <w:rPr>
                <w:rFonts w:cs="Calibri"/>
                <w:color w:val="000000"/>
                <w:sz w:val="22"/>
                <w:szCs w:val="22"/>
                <w:lang w:eastAsia="es-CR"/>
              </w:rPr>
              <w:t>1,0</w:t>
            </w:r>
          </w:p>
        </w:tc>
        <w:tc>
          <w:tcPr>
            <w:tcW w:w="1297" w:type="dxa"/>
            <w:tcBorders>
              <w:top w:val="nil"/>
              <w:left w:val="nil"/>
              <w:bottom w:val="nil"/>
              <w:right w:val="nil"/>
            </w:tcBorders>
            <w:shd w:val="clear" w:color="auto" w:fill="auto"/>
            <w:noWrap/>
            <w:vAlign w:val="center"/>
            <w:hideMark/>
          </w:tcPr>
          <w:p w14:paraId="00064E67" w14:textId="77777777" w:rsidR="00374B51" w:rsidRPr="00374B51" w:rsidRDefault="00374B51" w:rsidP="00374B51">
            <w:pPr>
              <w:spacing w:line="240" w:lineRule="auto"/>
              <w:jc w:val="center"/>
              <w:rPr>
                <w:rFonts w:cs="Calibri"/>
                <w:color w:val="000000"/>
                <w:sz w:val="22"/>
                <w:szCs w:val="22"/>
                <w:lang w:eastAsia="es-CR"/>
              </w:rPr>
            </w:pPr>
            <w:r w:rsidRPr="00374B51">
              <w:rPr>
                <w:rFonts w:cs="Calibri"/>
                <w:color w:val="000000"/>
                <w:sz w:val="22"/>
                <w:szCs w:val="22"/>
                <w:lang w:eastAsia="es-CR"/>
              </w:rPr>
              <w:t>51%</w:t>
            </w:r>
          </w:p>
        </w:tc>
      </w:tr>
      <w:tr w:rsidR="00374B51" w:rsidRPr="00374B51" w14:paraId="0AE14D71" w14:textId="77777777" w:rsidTr="00832773">
        <w:trPr>
          <w:trHeight w:val="330"/>
        </w:trPr>
        <w:tc>
          <w:tcPr>
            <w:tcW w:w="3280" w:type="dxa"/>
            <w:tcBorders>
              <w:top w:val="nil"/>
              <w:left w:val="nil"/>
              <w:bottom w:val="nil"/>
              <w:right w:val="single" w:sz="4" w:space="0" w:color="auto"/>
            </w:tcBorders>
            <w:shd w:val="clear" w:color="auto" w:fill="auto"/>
            <w:noWrap/>
            <w:vAlign w:val="center"/>
            <w:hideMark/>
          </w:tcPr>
          <w:p w14:paraId="00C8D1B0" w14:textId="77777777" w:rsidR="00374B51" w:rsidRPr="00374B51" w:rsidRDefault="00374B51" w:rsidP="00374B51">
            <w:pPr>
              <w:spacing w:line="240" w:lineRule="auto"/>
              <w:jc w:val="left"/>
              <w:rPr>
                <w:rFonts w:cs="Calibri"/>
                <w:color w:val="000000"/>
                <w:sz w:val="22"/>
                <w:szCs w:val="22"/>
                <w:lang w:eastAsia="es-CR"/>
              </w:rPr>
            </w:pPr>
            <w:r w:rsidRPr="00374B51">
              <w:rPr>
                <w:rFonts w:cs="Calibri"/>
                <w:color w:val="000000"/>
                <w:sz w:val="22"/>
                <w:szCs w:val="22"/>
                <w:lang w:eastAsia="es-CR"/>
              </w:rPr>
              <w:t>De ¢65.000.001 a ¢70.000.000</w:t>
            </w:r>
          </w:p>
        </w:tc>
        <w:tc>
          <w:tcPr>
            <w:tcW w:w="1220" w:type="dxa"/>
            <w:tcBorders>
              <w:top w:val="nil"/>
              <w:left w:val="nil"/>
              <w:bottom w:val="nil"/>
              <w:right w:val="single" w:sz="4" w:space="0" w:color="auto"/>
            </w:tcBorders>
            <w:shd w:val="clear" w:color="auto" w:fill="auto"/>
            <w:noWrap/>
            <w:vAlign w:val="center"/>
            <w:hideMark/>
          </w:tcPr>
          <w:p w14:paraId="3320F592" w14:textId="77777777" w:rsidR="00374B51" w:rsidRPr="00374B51" w:rsidRDefault="00374B51" w:rsidP="00374B51">
            <w:pPr>
              <w:spacing w:line="240" w:lineRule="auto"/>
              <w:jc w:val="center"/>
              <w:rPr>
                <w:rFonts w:cs="Calibri"/>
                <w:color w:val="000000"/>
                <w:sz w:val="22"/>
                <w:szCs w:val="22"/>
                <w:lang w:eastAsia="es-CR"/>
              </w:rPr>
            </w:pPr>
            <w:r w:rsidRPr="00374B51">
              <w:rPr>
                <w:rFonts w:cs="Calibri"/>
                <w:color w:val="000000"/>
                <w:sz w:val="22"/>
                <w:szCs w:val="22"/>
                <w:lang w:eastAsia="es-CR"/>
              </w:rPr>
              <w:t>1</w:t>
            </w:r>
          </w:p>
        </w:tc>
        <w:tc>
          <w:tcPr>
            <w:tcW w:w="1220" w:type="dxa"/>
            <w:tcBorders>
              <w:top w:val="nil"/>
              <w:left w:val="nil"/>
              <w:bottom w:val="nil"/>
              <w:right w:val="single" w:sz="4" w:space="0" w:color="auto"/>
            </w:tcBorders>
            <w:shd w:val="clear" w:color="auto" w:fill="auto"/>
            <w:noWrap/>
            <w:vAlign w:val="center"/>
            <w:hideMark/>
          </w:tcPr>
          <w:p w14:paraId="12799EE7" w14:textId="77777777" w:rsidR="00374B51" w:rsidRPr="00374B51" w:rsidRDefault="00374B51" w:rsidP="00374B51">
            <w:pPr>
              <w:spacing w:line="240" w:lineRule="auto"/>
              <w:jc w:val="center"/>
              <w:rPr>
                <w:rFonts w:cs="Calibri"/>
                <w:color w:val="000000"/>
                <w:sz w:val="22"/>
                <w:szCs w:val="22"/>
                <w:lang w:eastAsia="es-CR"/>
              </w:rPr>
            </w:pPr>
            <w:r w:rsidRPr="00374B51">
              <w:rPr>
                <w:rFonts w:cs="Calibri"/>
                <w:color w:val="000000"/>
                <w:sz w:val="22"/>
                <w:szCs w:val="22"/>
                <w:lang w:eastAsia="es-CR"/>
              </w:rPr>
              <w:t>1</w:t>
            </w:r>
          </w:p>
        </w:tc>
        <w:tc>
          <w:tcPr>
            <w:tcW w:w="1220" w:type="dxa"/>
            <w:tcBorders>
              <w:top w:val="nil"/>
              <w:left w:val="nil"/>
              <w:bottom w:val="nil"/>
              <w:right w:val="single" w:sz="4" w:space="0" w:color="auto"/>
            </w:tcBorders>
            <w:shd w:val="clear" w:color="auto" w:fill="auto"/>
            <w:noWrap/>
            <w:vAlign w:val="center"/>
            <w:hideMark/>
          </w:tcPr>
          <w:p w14:paraId="5ED1CDE8" w14:textId="77777777" w:rsidR="00374B51" w:rsidRPr="00374B51" w:rsidRDefault="00374B51" w:rsidP="00374B51">
            <w:pPr>
              <w:spacing w:line="240" w:lineRule="auto"/>
              <w:jc w:val="center"/>
              <w:rPr>
                <w:rFonts w:cs="Calibri"/>
                <w:color w:val="000000"/>
                <w:sz w:val="22"/>
                <w:szCs w:val="22"/>
                <w:lang w:eastAsia="es-CR"/>
              </w:rPr>
            </w:pPr>
            <w:r w:rsidRPr="00374B51">
              <w:rPr>
                <w:rFonts w:cs="Calibri"/>
                <w:color w:val="000000"/>
                <w:sz w:val="22"/>
                <w:szCs w:val="22"/>
                <w:lang w:eastAsia="es-CR"/>
              </w:rPr>
              <w:t>1</w:t>
            </w:r>
          </w:p>
        </w:tc>
        <w:tc>
          <w:tcPr>
            <w:tcW w:w="1220" w:type="dxa"/>
            <w:tcBorders>
              <w:top w:val="nil"/>
              <w:left w:val="nil"/>
              <w:bottom w:val="nil"/>
              <w:right w:val="single" w:sz="4" w:space="0" w:color="auto"/>
            </w:tcBorders>
            <w:shd w:val="clear" w:color="auto" w:fill="auto"/>
            <w:noWrap/>
            <w:vAlign w:val="center"/>
            <w:hideMark/>
          </w:tcPr>
          <w:p w14:paraId="31D53881" w14:textId="77777777" w:rsidR="00374B51" w:rsidRPr="00374B51" w:rsidRDefault="00374B51" w:rsidP="00374B51">
            <w:pPr>
              <w:spacing w:line="240" w:lineRule="auto"/>
              <w:jc w:val="center"/>
              <w:rPr>
                <w:rFonts w:cs="Calibri"/>
                <w:color w:val="000000"/>
                <w:sz w:val="22"/>
                <w:szCs w:val="22"/>
                <w:lang w:eastAsia="es-CR"/>
              </w:rPr>
            </w:pPr>
            <w:r w:rsidRPr="00374B51">
              <w:rPr>
                <w:rFonts w:cs="Calibri"/>
                <w:color w:val="000000"/>
                <w:sz w:val="22"/>
                <w:szCs w:val="22"/>
                <w:lang w:eastAsia="es-CR"/>
              </w:rPr>
              <w:t>1,0</w:t>
            </w:r>
          </w:p>
        </w:tc>
        <w:tc>
          <w:tcPr>
            <w:tcW w:w="1297" w:type="dxa"/>
            <w:tcBorders>
              <w:top w:val="nil"/>
              <w:left w:val="nil"/>
              <w:bottom w:val="nil"/>
              <w:right w:val="nil"/>
            </w:tcBorders>
            <w:shd w:val="clear" w:color="auto" w:fill="auto"/>
            <w:noWrap/>
            <w:vAlign w:val="center"/>
            <w:hideMark/>
          </w:tcPr>
          <w:p w14:paraId="5BE5685B" w14:textId="77777777" w:rsidR="00374B51" w:rsidRPr="00374B51" w:rsidRDefault="00374B51" w:rsidP="00374B51">
            <w:pPr>
              <w:spacing w:line="240" w:lineRule="auto"/>
              <w:jc w:val="center"/>
              <w:rPr>
                <w:rFonts w:cs="Calibri"/>
                <w:color w:val="000000"/>
                <w:sz w:val="22"/>
                <w:szCs w:val="22"/>
                <w:lang w:eastAsia="es-CR"/>
              </w:rPr>
            </w:pPr>
            <w:r w:rsidRPr="00374B51">
              <w:rPr>
                <w:rFonts w:cs="Calibri"/>
                <w:color w:val="000000"/>
                <w:sz w:val="22"/>
                <w:szCs w:val="22"/>
                <w:lang w:eastAsia="es-CR"/>
              </w:rPr>
              <w:t>52%</w:t>
            </w:r>
          </w:p>
        </w:tc>
      </w:tr>
      <w:tr w:rsidR="00374B51" w:rsidRPr="00374B51" w14:paraId="71E4F66F" w14:textId="77777777" w:rsidTr="00832773">
        <w:trPr>
          <w:trHeight w:val="330"/>
        </w:trPr>
        <w:tc>
          <w:tcPr>
            <w:tcW w:w="3280" w:type="dxa"/>
            <w:tcBorders>
              <w:top w:val="nil"/>
              <w:left w:val="nil"/>
              <w:bottom w:val="nil"/>
              <w:right w:val="single" w:sz="4" w:space="0" w:color="auto"/>
            </w:tcBorders>
            <w:shd w:val="clear" w:color="auto" w:fill="auto"/>
            <w:noWrap/>
            <w:vAlign w:val="center"/>
            <w:hideMark/>
          </w:tcPr>
          <w:p w14:paraId="0064AE7D" w14:textId="77777777" w:rsidR="00374B51" w:rsidRPr="00374B51" w:rsidRDefault="00374B51" w:rsidP="00374B51">
            <w:pPr>
              <w:spacing w:line="240" w:lineRule="auto"/>
              <w:jc w:val="left"/>
              <w:rPr>
                <w:rFonts w:cs="Calibri"/>
                <w:color w:val="000000"/>
                <w:sz w:val="22"/>
                <w:szCs w:val="22"/>
                <w:lang w:eastAsia="es-CR"/>
              </w:rPr>
            </w:pPr>
            <w:r w:rsidRPr="00374B51">
              <w:rPr>
                <w:rFonts w:cs="Calibri"/>
                <w:color w:val="000000"/>
                <w:sz w:val="22"/>
                <w:szCs w:val="22"/>
                <w:lang w:eastAsia="es-CR"/>
              </w:rPr>
              <w:t>De ¢70.000.001 a ¢75.000.000</w:t>
            </w:r>
          </w:p>
        </w:tc>
        <w:tc>
          <w:tcPr>
            <w:tcW w:w="1220" w:type="dxa"/>
            <w:tcBorders>
              <w:top w:val="nil"/>
              <w:left w:val="nil"/>
              <w:bottom w:val="nil"/>
              <w:right w:val="single" w:sz="4" w:space="0" w:color="auto"/>
            </w:tcBorders>
            <w:shd w:val="clear" w:color="auto" w:fill="auto"/>
            <w:noWrap/>
            <w:vAlign w:val="center"/>
            <w:hideMark/>
          </w:tcPr>
          <w:p w14:paraId="31869AFF" w14:textId="77777777" w:rsidR="00374B51" w:rsidRPr="00374B51" w:rsidRDefault="00374B51" w:rsidP="00374B51">
            <w:pPr>
              <w:spacing w:line="240" w:lineRule="auto"/>
              <w:jc w:val="center"/>
              <w:rPr>
                <w:rFonts w:cs="Calibri"/>
                <w:color w:val="000000"/>
                <w:sz w:val="22"/>
                <w:szCs w:val="22"/>
                <w:lang w:eastAsia="es-CR"/>
              </w:rPr>
            </w:pPr>
            <w:r w:rsidRPr="00374B51">
              <w:rPr>
                <w:rFonts w:cs="Calibri"/>
                <w:color w:val="000000"/>
                <w:sz w:val="22"/>
                <w:szCs w:val="22"/>
                <w:lang w:eastAsia="es-CR"/>
              </w:rPr>
              <w:t>0</w:t>
            </w:r>
          </w:p>
        </w:tc>
        <w:tc>
          <w:tcPr>
            <w:tcW w:w="1220" w:type="dxa"/>
            <w:tcBorders>
              <w:top w:val="nil"/>
              <w:left w:val="nil"/>
              <w:bottom w:val="nil"/>
              <w:right w:val="single" w:sz="4" w:space="0" w:color="auto"/>
            </w:tcBorders>
            <w:shd w:val="clear" w:color="auto" w:fill="auto"/>
            <w:noWrap/>
            <w:vAlign w:val="center"/>
            <w:hideMark/>
          </w:tcPr>
          <w:p w14:paraId="13F4FB36" w14:textId="77777777" w:rsidR="00374B51" w:rsidRPr="00374B51" w:rsidRDefault="00374B51" w:rsidP="00374B51">
            <w:pPr>
              <w:spacing w:line="240" w:lineRule="auto"/>
              <w:jc w:val="center"/>
              <w:rPr>
                <w:rFonts w:cs="Calibri"/>
                <w:color w:val="000000"/>
                <w:sz w:val="22"/>
                <w:szCs w:val="22"/>
                <w:lang w:eastAsia="es-CR"/>
              </w:rPr>
            </w:pPr>
            <w:r w:rsidRPr="00374B51">
              <w:rPr>
                <w:rFonts w:cs="Calibri"/>
                <w:color w:val="000000"/>
                <w:sz w:val="22"/>
                <w:szCs w:val="22"/>
                <w:lang w:eastAsia="es-CR"/>
              </w:rPr>
              <w:t>1</w:t>
            </w:r>
          </w:p>
        </w:tc>
        <w:tc>
          <w:tcPr>
            <w:tcW w:w="1220" w:type="dxa"/>
            <w:tcBorders>
              <w:top w:val="nil"/>
              <w:left w:val="nil"/>
              <w:bottom w:val="nil"/>
              <w:right w:val="single" w:sz="4" w:space="0" w:color="auto"/>
            </w:tcBorders>
            <w:shd w:val="clear" w:color="auto" w:fill="auto"/>
            <w:noWrap/>
            <w:vAlign w:val="center"/>
            <w:hideMark/>
          </w:tcPr>
          <w:p w14:paraId="38560EEC" w14:textId="77777777" w:rsidR="00374B51" w:rsidRPr="00374B51" w:rsidRDefault="00374B51" w:rsidP="00374B51">
            <w:pPr>
              <w:spacing w:line="240" w:lineRule="auto"/>
              <w:jc w:val="center"/>
              <w:rPr>
                <w:rFonts w:cs="Calibri"/>
                <w:color w:val="000000"/>
                <w:sz w:val="22"/>
                <w:szCs w:val="22"/>
                <w:lang w:eastAsia="es-CR"/>
              </w:rPr>
            </w:pPr>
            <w:r w:rsidRPr="00374B51">
              <w:rPr>
                <w:rFonts w:cs="Calibri"/>
                <w:color w:val="000000"/>
                <w:sz w:val="22"/>
                <w:szCs w:val="22"/>
                <w:lang w:eastAsia="es-CR"/>
              </w:rPr>
              <w:t>0</w:t>
            </w:r>
          </w:p>
        </w:tc>
        <w:tc>
          <w:tcPr>
            <w:tcW w:w="1220" w:type="dxa"/>
            <w:tcBorders>
              <w:top w:val="nil"/>
              <w:left w:val="nil"/>
              <w:bottom w:val="nil"/>
              <w:right w:val="single" w:sz="4" w:space="0" w:color="auto"/>
            </w:tcBorders>
            <w:shd w:val="clear" w:color="auto" w:fill="auto"/>
            <w:noWrap/>
            <w:vAlign w:val="center"/>
            <w:hideMark/>
          </w:tcPr>
          <w:p w14:paraId="58875870" w14:textId="77777777" w:rsidR="00374B51" w:rsidRPr="00374B51" w:rsidRDefault="00374B51" w:rsidP="00374B51">
            <w:pPr>
              <w:spacing w:line="240" w:lineRule="auto"/>
              <w:jc w:val="center"/>
              <w:rPr>
                <w:rFonts w:cs="Calibri"/>
                <w:color w:val="000000"/>
                <w:sz w:val="22"/>
                <w:szCs w:val="22"/>
                <w:lang w:eastAsia="es-CR"/>
              </w:rPr>
            </w:pPr>
            <w:r w:rsidRPr="00374B51">
              <w:rPr>
                <w:rFonts w:cs="Calibri"/>
                <w:color w:val="000000"/>
                <w:sz w:val="22"/>
                <w:szCs w:val="22"/>
                <w:lang w:eastAsia="es-CR"/>
              </w:rPr>
              <w:t>0,3</w:t>
            </w:r>
          </w:p>
        </w:tc>
        <w:tc>
          <w:tcPr>
            <w:tcW w:w="1297" w:type="dxa"/>
            <w:tcBorders>
              <w:top w:val="nil"/>
              <w:left w:val="nil"/>
              <w:bottom w:val="nil"/>
              <w:right w:val="nil"/>
            </w:tcBorders>
            <w:shd w:val="clear" w:color="auto" w:fill="auto"/>
            <w:noWrap/>
            <w:vAlign w:val="center"/>
            <w:hideMark/>
          </w:tcPr>
          <w:p w14:paraId="5B589F52" w14:textId="77777777" w:rsidR="00374B51" w:rsidRPr="00374B51" w:rsidRDefault="00374B51" w:rsidP="00374B51">
            <w:pPr>
              <w:spacing w:line="240" w:lineRule="auto"/>
              <w:jc w:val="center"/>
              <w:rPr>
                <w:rFonts w:cs="Calibri"/>
                <w:color w:val="000000"/>
                <w:sz w:val="22"/>
                <w:szCs w:val="22"/>
                <w:lang w:eastAsia="es-CR"/>
              </w:rPr>
            </w:pPr>
            <w:r w:rsidRPr="00374B51">
              <w:rPr>
                <w:rFonts w:cs="Calibri"/>
                <w:color w:val="000000"/>
                <w:sz w:val="22"/>
                <w:szCs w:val="22"/>
                <w:lang w:eastAsia="es-CR"/>
              </w:rPr>
              <w:t>53%</w:t>
            </w:r>
          </w:p>
        </w:tc>
      </w:tr>
      <w:tr w:rsidR="00374B51" w:rsidRPr="00374B51" w14:paraId="1B5568AA" w14:textId="77777777" w:rsidTr="00832773">
        <w:trPr>
          <w:trHeight w:val="330"/>
        </w:trPr>
        <w:tc>
          <w:tcPr>
            <w:tcW w:w="3280" w:type="dxa"/>
            <w:tcBorders>
              <w:top w:val="nil"/>
              <w:left w:val="nil"/>
              <w:bottom w:val="nil"/>
              <w:right w:val="single" w:sz="4" w:space="0" w:color="auto"/>
            </w:tcBorders>
            <w:shd w:val="clear" w:color="auto" w:fill="auto"/>
            <w:noWrap/>
            <w:vAlign w:val="center"/>
            <w:hideMark/>
          </w:tcPr>
          <w:p w14:paraId="77CF04DF" w14:textId="77777777" w:rsidR="00374B51" w:rsidRPr="00374B51" w:rsidRDefault="00374B51" w:rsidP="00374B51">
            <w:pPr>
              <w:spacing w:line="240" w:lineRule="auto"/>
              <w:jc w:val="left"/>
              <w:rPr>
                <w:rFonts w:cs="Calibri"/>
                <w:color w:val="000000"/>
                <w:sz w:val="22"/>
                <w:szCs w:val="22"/>
                <w:lang w:eastAsia="es-CR"/>
              </w:rPr>
            </w:pPr>
            <w:r w:rsidRPr="00374B51">
              <w:rPr>
                <w:rFonts w:cs="Calibri"/>
                <w:color w:val="000000"/>
                <w:sz w:val="22"/>
                <w:szCs w:val="22"/>
                <w:lang w:eastAsia="es-CR"/>
              </w:rPr>
              <w:t>De ¢95.000.001 a ¢100.000.000</w:t>
            </w:r>
          </w:p>
        </w:tc>
        <w:tc>
          <w:tcPr>
            <w:tcW w:w="1220" w:type="dxa"/>
            <w:tcBorders>
              <w:top w:val="nil"/>
              <w:left w:val="nil"/>
              <w:bottom w:val="nil"/>
              <w:right w:val="single" w:sz="4" w:space="0" w:color="auto"/>
            </w:tcBorders>
            <w:shd w:val="clear" w:color="auto" w:fill="auto"/>
            <w:noWrap/>
            <w:vAlign w:val="center"/>
            <w:hideMark/>
          </w:tcPr>
          <w:p w14:paraId="5BFAC54A" w14:textId="77777777" w:rsidR="00374B51" w:rsidRPr="00374B51" w:rsidRDefault="00374B51" w:rsidP="00374B51">
            <w:pPr>
              <w:spacing w:line="240" w:lineRule="auto"/>
              <w:jc w:val="center"/>
              <w:rPr>
                <w:rFonts w:cs="Calibri"/>
                <w:color w:val="000000"/>
                <w:sz w:val="22"/>
                <w:szCs w:val="22"/>
                <w:lang w:eastAsia="es-CR"/>
              </w:rPr>
            </w:pPr>
            <w:r w:rsidRPr="00374B51">
              <w:rPr>
                <w:rFonts w:cs="Calibri"/>
                <w:color w:val="000000"/>
                <w:sz w:val="22"/>
                <w:szCs w:val="22"/>
                <w:lang w:eastAsia="es-CR"/>
              </w:rPr>
              <w:t>2</w:t>
            </w:r>
          </w:p>
        </w:tc>
        <w:tc>
          <w:tcPr>
            <w:tcW w:w="1220" w:type="dxa"/>
            <w:tcBorders>
              <w:top w:val="nil"/>
              <w:left w:val="nil"/>
              <w:bottom w:val="nil"/>
              <w:right w:val="single" w:sz="4" w:space="0" w:color="auto"/>
            </w:tcBorders>
            <w:shd w:val="clear" w:color="auto" w:fill="auto"/>
            <w:noWrap/>
            <w:vAlign w:val="center"/>
            <w:hideMark/>
          </w:tcPr>
          <w:p w14:paraId="3E6F7F79" w14:textId="77777777" w:rsidR="00374B51" w:rsidRPr="00374B51" w:rsidRDefault="00374B51" w:rsidP="00374B51">
            <w:pPr>
              <w:spacing w:line="240" w:lineRule="auto"/>
              <w:jc w:val="center"/>
              <w:rPr>
                <w:rFonts w:cs="Calibri"/>
                <w:color w:val="000000"/>
                <w:sz w:val="22"/>
                <w:szCs w:val="22"/>
                <w:lang w:eastAsia="es-CR"/>
              </w:rPr>
            </w:pPr>
            <w:r w:rsidRPr="00374B51">
              <w:rPr>
                <w:rFonts w:cs="Calibri"/>
                <w:color w:val="000000"/>
                <w:sz w:val="22"/>
                <w:szCs w:val="22"/>
                <w:lang w:eastAsia="es-CR"/>
              </w:rPr>
              <w:t>1</w:t>
            </w:r>
          </w:p>
        </w:tc>
        <w:tc>
          <w:tcPr>
            <w:tcW w:w="1220" w:type="dxa"/>
            <w:tcBorders>
              <w:top w:val="nil"/>
              <w:left w:val="nil"/>
              <w:bottom w:val="nil"/>
              <w:right w:val="single" w:sz="4" w:space="0" w:color="auto"/>
            </w:tcBorders>
            <w:shd w:val="clear" w:color="auto" w:fill="auto"/>
            <w:noWrap/>
            <w:vAlign w:val="center"/>
            <w:hideMark/>
          </w:tcPr>
          <w:p w14:paraId="567A2BC2" w14:textId="77777777" w:rsidR="00374B51" w:rsidRPr="00374B51" w:rsidRDefault="00374B51" w:rsidP="00374B51">
            <w:pPr>
              <w:spacing w:line="240" w:lineRule="auto"/>
              <w:jc w:val="center"/>
              <w:rPr>
                <w:rFonts w:cs="Calibri"/>
                <w:color w:val="000000"/>
                <w:sz w:val="22"/>
                <w:szCs w:val="22"/>
                <w:lang w:eastAsia="es-CR"/>
              </w:rPr>
            </w:pPr>
            <w:r w:rsidRPr="00374B51">
              <w:rPr>
                <w:rFonts w:cs="Calibri"/>
                <w:color w:val="000000"/>
                <w:sz w:val="22"/>
                <w:szCs w:val="22"/>
                <w:lang w:eastAsia="es-CR"/>
              </w:rPr>
              <w:t>3</w:t>
            </w:r>
          </w:p>
        </w:tc>
        <w:tc>
          <w:tcPr>
            <w:tcW w:w="1220" w:type="dxa"/>
            <w:tcBorders>
              <w:top w:val="nil"/>
              <w:left w:val="nil"/>
              <w:bottom w:val="nil"/>
              <w:right w:val="single" w:sz="4" w:space="0" w:color="auto"/>
            </w:tcBorders>
            <w:shd w:val="clear" w:color="auto" w:fill="auto"/>
            <w:noWrap/>
            <w:vAlign w:val="center"/>
            <w:hideMark/>
          </w:tcPr>
          <w:p w14:paraId="27ED9369" w14:textId="77777777" w:rsidR="00374B51" w:rsidRPr="00374B51" w:rsidRDefault="00374B51" w:rsidP="00374B51">
            <w:pPr>
              <w:spacing w:line="240" w:lineRule="auto"/>
              <w:jc w:val="center"/>
              <w:rPr>
                <w:rFonts w:cs="Calibri"/>
                <w:color w:val="000000"/>
                <w:sz w:val="22"/>
                <w:szCs w:val="22"/>
                <w:lang w:eastAsia="es-CR"/>
              </w:rPr>
            </w:pPr>
            <w:r w:rsidRPr="00374B51">
              <w:rPr>
                <w:rFonts w:cs="Calibri"/>
                <w:color w:val="000000"/>
                <w:sz w:val="22"/>
                <w:szCs w:val="22"/>
                <w:lang w:eastAsia="es-CR"/>
              </w:rPr>
              <w:t>2,0</w:t>
            </w:r>
          </w:p>
        </w:tc>
        <w:tc>
          <w:tcPr>
            <w:tcW w:w="1297" w:type="dxa"/>
            <w:tcBorders>
              <w:top w:val="nil"/>
              <w:left w:val="nil"/>
              <w:bottom w:val="nil"/>
              <w:right w:val="nil"/>
            </w:tcBorders>
            <w:shd w:val="clear" w:color="auto" w:fill="auto"/>
            <w:noWrap/>
            <w:vAlign w:val="center"/>
            <w:hideMark/>
          </w:tcPr>
          <w:p w14:paraId="603CE621" w14:textId="77777777" w:rsidR="00374B51" w:rsidRPr="00374B51" w:rsidRDefault="00374B51" w:rsidP="00374B51">
            <w:pPr>
              <w:spacing w:line="240" w:lineRule="auto"/>
              <w:jc w:val="center"/>
              <w:rPr>
                <w:rFonts w:cs="Calibri"/>
                <w:color w:val="000000"/>
                <w:sz w:val="22"/>
                <w:szCs w:val="22"/>
                <w:lang w:eastAsia="es-CR"/>
              </w:rPr>
            </w:pPr>
            <w:r w:rsidRPr="00374B51">
              <w:rPr>
                <w:rFonts w:cs="Calibri"/>
                <w:color w:val="000000"/>
                <w:sz w:val="22"/>
                <w:szCs w:val="22"/>
                <w:lang w:eastAsia="es-CR"/>
              </w:rPr>
              <w:t>56%</w:t>
            </w:r>
          </w:p>
        </w:tc>
      </w:tr>
      <w:tr w:rsidR="00374B51" w:rsidRPr="00374B51" w14:paraId="5AC8B692" w14:textId="77777777" w:rsidTr="00832773">
        <w:trPr>
          <w:trHeight w:val="330"/>
        </w:trPr>
        <w:tc>
          <w:tcPr>
            <w:tcW w:w="3280" w:type="dxa"/>
            <w:tcBorders>
              <w:top w:val="nil"/>
              <w:left w:val="nil"/>
              <w:bottom w:val="nil"/>
              <w:right w:val="single" w:sz="4" w:space="0" w:color="auto"/>
            </w:tcBorders>
            <w:shd w:val="clear" w:color="auto" w:fill="auto"/>
            <w:noWrap/>
            <w:vAlign w:val="center"/>
            <w:hideMark/>
          </w:tcPr>
          <w:p w14:paraId="369D1215" w14:textId="77777777" w:rsidR="00374B51" w:rsidRPr="00374B51" w:rsidRDefault="00374B51" w:rsidP="00374B51">
            <w:pPr>
              <w:spacing w:line="240" w:lineRule="auto"/>
              <w:jc w:val="left"/>
              <w:rPr>
                <w:rFonts w:cs="Calibri"/>
                <w:color w:val="000000"/>
                <w:sz w:val="22"/>
                <w:szCs w:val="22"/>
                <w:lang w:eastAsia="es-CR"/>
              </w:rPr>
            </w:pPr>
            <w:r w:rsidRPr="00374B51">
              <w:rPr>
                <w:rFonts w:cs="Calibri"/>
                <w:color w:val="000000"/>
                <w:sz w:val="22"/>
                <w:szCs w:val="22"/>
                <w:lang w:eastAsia="es-CR"/>
              </w:rPr>
              <w:t>Más de ¢100.000.000</w:t>
            </w:r>
          </w:p>
        </w:tc>
        <w:tc>
          <w:tcPr>
            <w:tcW w:w="1220" w:type="dxa"/>
            <w:tcBorders>
              <w:top w:val="nil"/>
              <w:left w:val="nil"/>
              <w:bottom w:val="nil"/>
              <w:right w:val="single" w:sz="4" w:space="0" w:color="auto"/>
            </w:tcBorders>
            <w:shd w:val="clear" w:color="auto" w:fill="auto"/>
            <w:noWrap/>
            <w:vAlign w:val="center"/>
            <w:hideMark/>
          </w:tcPr>
          <w:p w14:paraId="42CB7EAE" w14:textId="77777777" w:rsidR="00374B51" w:rsidRPr="00374B51" w:rsidRDefault="00374B51" w:rsidP="00374B51">
            <w:pPr>
              <w:spacing w:line="240" w:lineRule="auto"/>
              <w:jc w:val="center"/>
              <w:rPr>
                <w:rFonts w:cs="Calibri"/>
                <w:color w:val="000000"/>
                <w:sz w:val="22"/>
                <w:szCs w:val="22"/>
                <w:lang w:eastAsia="es-CR"/>
              </w:rPr>
            </w:pPr>
            <w:r w:rsidRPr="00374B51">
              <w:rPr>
                <w:rFonts w:cs="Calibri"/>
                <w:color w:val="000000"/>
                <w:sz w:val="22"/>
                <w:szCs w:val="22"/>
                <w:lang w:eastAsia="es-CR"/>
              </w:rPr>
              <w:t>3</w:t>
            </w:r>
          </w:p>
        </w:tc>
        <w:tc>
          <w:tcPr>
            <w:tcW w:w="1220" w:type="dxa"/>
            <w:tcBorders>
              <w:top w:val="nil"/>
              <w:left w:val="nil"/>
              <w:bottom w:val="nil"/>
              <w:right w:val="single" w:sz="4" w:space="0" w:color="auto"/>
            </w:tcBorders>
            <w:shd w:val="clear" w:color="auto" w:fill="auto"/>
            <w:noWrap/>
            <w:vAlign w:val="center"/>
            <w:hideMark/>
          </w:tcPr>
          <w:p w14:paraId="13C7A4E4" w14:textId="77777777" w:rsidR="00374B51" w:rsidRPr="00374B51" w:rsidRDefault="00374B51" w:rsidP="00374B51">
            <w:pPr>
              <w:spacing w:line="240" w:lineRule="auto"/>
              <w:jc w:val="center"/>
              <w:rPr>
                <w:rFonts w:cs="Calibri"/>
                <w:color w:val="000000"/>
                <w:sz w:val="22"/>
                <w:szCs w:val="22"/>
                <w:lang w:eastAsia="es-CR"/>
              </w:rPr>
            </w:pPr>
            <w:r w:rsidRPr="00374B51">
              <w:rPr>
                <w:rFonts w:cs="Calibri"/>
                <w:color w:val="000000"/>
                <w:sz w:val="22"/>
                <w:szCs w:val="22"/>
                <w:lang w:eastAsia="es-CR"/>
              </w:rPr>
              <w:t>5</w:t>
            </w:r>
          </w:p>
        </w:tc>
        <w:tc>
          <w:tcPr>
            <w:tcW w:w="1220" w:type="dxa"/>
            <w:tcBorders>
              <w:top w:val="nil"/>
              <w:left w:val="nil"/>
              <w:bottom w:val="nil"/>
              <w:right w:val="single" w:sz="4" w:space="0" w:color="auto"/>
            </w:tcBorders>
            <w:shd w:val="clear" w:color="auto" w:fill="auto"/>
            <w:noWrap/>
            <w:vAlign w:val="center"/>
            <w:hideMark/>
          </w:tcPr>
          <w:p w14:paraId="6D0D83D6" w14:textId="77777777" w:rsidR="00374B51" w:rsidRPr="00374B51" w:rsidRDefault="00374B51" w:rsidP="00374B51">
            <w:pPr>
              <w:spacing w:line="240" w:lineRule="auto"/>
              <w:jc w:val="center"/>
              <w:rPr>
                <w:rFonts w:cs="Calibri"/>
                <w:color w:val="000000"/>
                <w:sz w:val="22"/>
                <w:szCs w:val="22"/>
                <w:lang w:eastAsia="es-CR"/>
              </w:rPr>
            </w:pPr>
            <w:r w:rsidRPr="00374B51">
              <w:rPr>
                <w:rFonts w:cs="Calibri"/>
                <w:color w:val="000000"/>
                <w:sz w:val="22"/>
                <w:szCs w:val="22"/>
                <w:lang w:eastAsia="es-CR"/>
              </w:rPr>
              <w:t>5</w:t>
            </w:r>
          </w:p>
        </w:tc>
        <w:tc>
          <w:tcPr>
            <w:tcW w:w="1220" w:type="dxa"/>
            <w:tcBorders>
              <w:top w:val="nil"/>
              <w:left w:val="nil"/>
              <w:bottom w:val="nil"/>
              <w:right w:val="single" w:sz="4" w:space="0" w:color="auto"/>
            </w:tcBorders>
            <w:shd w:val="clear" w:color="auto" w:fill="auto"/>
            <w:noWrap/>
            <w:vAlign w:val="center"/>
            <w:hideMark/>
          </w:tcPr>
          <w:p w14:paraId="3A878DBF" w14:textId="77777777" w:rsidR="00374B51" w:rsidRPr="00374B51" w:rsidRDefault="00374B51" w:rsidP="00374B51">
            <w:pPr>
              <w:spacing w:line="240" w:lineRule="auto"/>
              <w:jc w:val="center"/>
              <w:rPr>
                <w:rFonts w:cs="Calibri"/>
                <w:color w:val="000000"/>
                <w:sz w:val="22"/>
                <w:szCs w:val="22"/>
                <w:lang w:eastAsia="es-CR"/>
              </w:rPr>
            </w:pPr>
            <w:r w:rsidRPr="00374B51">
              <w:rPr>
                <w:rFonts w:cs="Calibri"/>
                <w:color w:val="000000"/>
                <w:sz w:val="22"/>
                <w:szCs w:val="22"/>
                <w:lang w:eastAsia="es-CR"/>
              </w:rPr>
              <w:t>4,3</w:t>
            </w:r>
          </w:p>
        </w:tc>
        <w:tc>
          <w:tcPr>
            <w:tcW w:w="1297" w:type="dxa"/>
            <w:tcBorders>
              <w:top w:val="nil"/>
              <w:left w:val="nil"/>
              <w:bottom w:val="nil"/>
              <w:right w:val="nil"/>
            </w:tcBorders>
            <w:shd w:val="clear" w:color="auto" w:fill="auto"/>
            <w:noWrap/>
            <w:vAlign w:val="center"/>
            <w:hideMark/>
          </w:tcPr>
          <w:p w14:paraId="7D55AC87" w14:textId="77777777" w:rsidR="00374B51" w:rsidRPr="00374B51" w:rsidRDefault="00374B51" w:rsidP="00374B51">
            <w:pPr>
              <w:spacing w:line="240" w:lineRule="auto"/>
              <w:jc w:val="center"/>
              <w:rPr>
                <w:rFonts w:cs="Calibri"/>
                <w:color w:val="000000"/>
                <w:sz w:val="22"/>
                <w:szCs w:val="22"/>
                <w:lang w:eastAsia="es-CR"/>
              </w:rPr>
            </w:pPr>
            <w:r w:rsidRPr="00374B51">
              <w:rPr>
                <w:rFonts w:cs="Calibri"/>
                <w:color w:val="000000"/>
                <w:sz w:val="22"/>
                <w:szCs w:val="22"/>
                <w:lang w:eastAsia="es-CR"/>
              </w:rPr>
              <w:t>63%</w:t>
            </w:r>
          </w:p>
        </w:tc>
      </w:tr>
      <w:tr w:rsidR="00374B51" w:rsidRPr="00374B51" w14:paraId="46101293" w14:textId="77777777" w:rsidTr="00832773">
        <w:trPr>
          <w:trHeight w:val="330"/>
        </w:trPr>
        <w:tc>
          <w:tcPr>
            <w:tcW w:w="3280" w:type="dxa"/>
            <w:tcBorders>
              <w:top w:val="nil"/>
              <w:left w:val="nil"/>
              <w:bottom w:val="nil"/>
              <w:right w:val="single" w:sz="4" w:space="0" w:color="auto"/>
            </w:tcBorders>
            <w:shd w:val="clear" w:color="auto" w:fill="auto"/>
            <w:noWrap/>
            <w:vAlign w:val="center"/>
            <w:hideMark/>
          </w:tcPr>
          <w:p w14:paraId="6110DEDF" w14:textId="77777777" w:rsidR="00374B51" w:rsidRPr="00374B51" w:rsidRDefault="00374B51" w:rsidP="00374B51">
            <w:pPr>
              <w:spacing w:line="240" w:lineRule="auto"/>
              <w:jc w:val="left"/>
              <w:rPr>
                <w:rFonts w:cs="Calibri"/>
                <w:color w:val="000000"/>
                <w:sz w:val="22"/>
                <w:szCs w:val="22"/>
                <w:lang w:eastAsia="es-CR"/>
              </w:rPr>
            </w:pPr>
            <w:r w:rsidRPr="00374B51">
              <w:rPr>
                <w:rFonts w:cs="Calibri"/>
                <w:color w:val="000000"/>
                <w:sz w:val="22"/>
                <w:szCs w:val="22"/>
                <w:lang w:eastAsia="es-CR"/>
              </w:rPr>
              <w:t>Expedientes Cuantía Cero</w:t>
            </w:r>
          </w:p>
        </w:tc>
        <w:tc>
          <w:tcPr>
            <w:tcW w:w="1220" w:type="dxa"/>
            <w:tcBorders>
              <w:top w:val="nil"/>
              <w:left w:val="nil"/>
              <w:bottom w:val="nil"/>
              <w:right w:val="single" w:sz="4" w:space="0" w:color="auto"/>
            </w:tcBorders>
            <w:shd w:val="clear" w:color="auto" w:fill="auto"/>
            <w:noWrap/>
            <w:vAlign w:val="center"/>
            <w:hideMark/>
          </w:tcPr>
          <w:p w14:paraId="5F42F710" w14:textId="77777777" w:rsidR="00374B51" w:rsidRPr="00374B51" w:rsidRDefault="00374B51" w:rsidP="00374B51">
            <w:pPr>
              <w:spacing w:line="240" w:lineRule="auto"/>
              <w:jc w:val="center"/>
              <w:rPr>
                <w:rFonts w:cs="Calibri"/>
                <w:color w:val="000000"/>
                <w:sz w:val="22"/>
                <w:szCs w:val="22"/>
                <w:lang w:eastAsia="es-CR"/>
              </w:rPr>
            </w:pPr>
            <w:r w:rsidRPr="00374B51">
              <w:rPr>
                <w:rFonts w:cs="Calibri"/>
                <w:color w:val="000000"/>
                <w:sz w:val="22"/>
                <w:szCs w:val="22"/>
                <w:lang w:eastAsia="es-CR"/>
              </w:rPr>
              <w:t>25</w:t>
            </w:r>
          </w:p>
        </w:tc>
        <w:tc>
          <w:tcPr>
            <w:tcW w:w="1220" w:type="dxa"/>
            <w:tcBorders>
              <w:top w:val="nil"/>
              <w:left w:val="nil"/>
              <w:bottom w:val="nil"/>
              <w:right w:val="single" w:sz="4" w:space="0" w:color="auto"/>
            </w:tcBorders>
            <w:shd w:val="clear" w:color="auto" w:fill="auto"/>
            <w:noWrap/>
            <w:vAlign w:val="center"/>
            <w:hideMark/>
          </w:tcPr>
          <w:p w14:paraId="270D09CA" w14:textId="77777777" w:rsidR="00374B51" w:rsidRPr="00374B51" w:rsidRDefault="00374B51" w:rsidP="00374B51">
            <w:pPr>
              <w:spacing w:line="240" w:lineRule="auto"/>
              <w:jc w:val="center"/>
              <w:rPr>
                <w:rFonts w:cs="Calibri"/>
                <w:color w:val="000000"/>
                <w:sz w:val="22"/>
                <w:szCs w:val="22"/>
                <w:lang w:eastAsia="es-CR"/>
              </w:rPr>
            </w:pPr>
            <w:r w:rsidRPr="00374B51">
              <w:rPr>
                <w:rFonts w:cs="Calibri"/>
                <w:color w:val="000000"/>
                <w:sz w:val="22"/>
                <w:szCs w:val="22"/>
                <w:lang w:eastAsia="es-CR"/>
              </w:rPr>
              <w:t>15</w:t>
            </w:r>
          </w:p>
        </w:tc>
        <w:tc>
          <w:tcPr>
            <w:tcW w:w="1220" w:type="dxa"/>
            <w:tcBorders>
              <w:top w:val="nil"/>
              <w:left w:val="nil"/>
              <w:bottom w:val="nil"/>
              <w:right w:val="single" w:sz="4" w:space="0" w:color="auto"/>
            </w:tcBorders>
            <w:shd w:val="clear" w:color="auto" w:fill="auto"/>
            <w:noWrap/>
            <w:vAlign w:val="center"/>
            <w:hideMark/>
          </w:tcPr>
          <w:p w14:paraId="3A3D5037" w14:textId="77777777" w:rsidR="00374B51" w:rsidRPr="00374B51" w:rsidRDefault="00374B51" w:rsidP="00374B51">
            <w:pPr>
              <w:spacing w:line="240" w:lineRule="auto"/>
              <w:jc w:val="center"/>
              <w:rPr>
                <w:rFonts w:cs="Calibri"/>
                <w:color w:val="000000"/>
                <w:sz w:val="22"/>
                <w:szCs w:val="22"/>
                <w:lang w:eastAsia="es-CR"/>
              </w:rPr>
            </w:pPr>
            <w:r w:rsidRPr="00374B51">
              <w:rPr>
                <w:rFonts w:cs="Calibri"/>
                <w:color w:val="000000"/>
                <w:sz w:val="22"/>
                <w:szCs w:val="22"/>
                <w:lang w:eastAsia="es-CR"/>
              </w:rPr>
              <w:t>14</w:t>
            </w:r>
          </w:p>
        </w:tc>
        <w:tc>
          <w:tcPr>
            <w:tcW w:w="1220" w:type="dxa"/>
            <w:tcBorders>
              <w:top w:val="nil"/>
              <w:left w:val="nil"/>
              <w:bottom w:val="nil"/>
              <w:right w:val="single" w:sz="4" w:space="0" w:color="auto"/>
            </w:tcBorders>
            <w:shd w:val="clear" w:color="auto" w:fill="auto"/>
            <w:noWrap/>
            <w:vAlign w:val="center"/>
            <w:hideMark/>
          </w:tcPr>
          <w:p w14:paraId="5D3B32E8" w14:textId="77777777" w:rsidR="00374B51" w:rsidRPr="00374B51" w:rsidRDefault="00374B51" w:rsidP="00374B51">
            <w:pPr>
              <w:spacing w:line="240" w:lineRule="auto"/>
              <w:jc w:val="center"/>
              <w:rPr>
                <w:rFonts w:cs="Calibri"/>
                <w:color w:val="000000"/>
                <w:sz w:val="22"/>
                <w:szCs w:val="22"/>
                <w:lang w:eastAsia="es-CR"/>
              </w:rPr>
            </w:pPr>
            <w:r w:rsidRPr="00374B51">
              <w:rPr>
                <w:rFonts w:cs="Calibri"/>
                <w:color w:val="000000"/>
                <w:sz w:val="22"/>
                <w:szCs w:val="22"/>
                <w:lang w:eastAsia="es-CR"/>
              </w:rPr>
              <w:t>18,0</w:t>
            </w:r>
          </w:p>
        </w:tc>
        <w:tc>
          <w:tcPr>
            <w:tcW w:w="1297" w:type="dxa"/>
            <w:tcBorders>
              <w:top w:val="nil"/>
              <w:left w:val="nil"/>
              <w:bottom w:val="nil"/>
              <w:right w:val="nil"/>
            </w:tcBorders>
            <w:shd w:val="clear" w:color="auto" w:fill="auto"/>
            <w:noWrap/>
            <w:vAlign w:val="center"/>
            <w:hideMark/>
          </w:tcPr>
          <w:p w14:paraId="431CE1D2" w14:textId="77777777" w:rsidR="00374B51" w:rsidRPr="00374B51" w:rsidRDefault="00374B51" w:rsidP="00374B51">
            <w:pPr>
              <w:spacing w:line="240" w:lineRule="auto"/>
              <w:jc w:val="center"/>
              <w:rPr>
                <w:rFonts w:cs="Calibri"/>
                <w:color w:val="000000"/>
                <w:sz w:val="22"/>
                <w:szCs w:val="22"/>
                <w:lang w:eastAsia="es-CR"/>
              </w:rPr>
            </w:pPr>
            <w:r w:rsidRPr="00374B51">
              <w:rPr>
                <w:rFonts w:cs="Calibri"/>
                <w:color w:val="000000"/>
                <w:sz w:val="22"/>
                <w:szCs w:val="22"/>
                <w:lang w:eastAsia="es-CR"/>
              </w:rPr>
              <w:t>91%</w:t>
            </w:r>
          </w:p>
        </w:tc>
      </w:tr>
      <w:tr w:rsidR="00374B51" w:rsidRPr="00374B51" w14:paraId="6E2AD425" w14:textId="77777777" w:rsidTr="00832773">
        <w:trPr>
          <w:trHeight w:val="330"/>
        </w:trPr>
        <w:tc>
          <w:tcPr>
            <w:tcW w:w="3280" w:type="dxa"/>
            <w:tcBorders>
              <w:top w:val="nil"/>
              <w:left w:val="nil"/>
              <w:bottom w:val="single" w:sz="4" w:space="0" w:color="auto"/>
              <w:right w:val="single" w:sz="4" w:space="0" w:color="auto"/>
            </w:tcBorders>
            <w:shd w:val="clear" w:color="auto" w:fill="auto"/>
            <w:vAlign w:val="center"/>
            <w:hideMark/>
          </w:tcPr>
          <w:p w14:paraId="71A570B5" w14:textId="77777777" w:rsidR="00374B51" w:rsidRPr="00374B51" w:rsidRDefault="00374B51" w:rsidP="00374B51">
            <w:pPr>
              <w:spacing w:line="240" w:lineRule="auto"/>
              <w:jc w:val="left"/>
              <w:rPr>
                <w:rFonts w:cs="Calibri"/>
                <w:color w:val="000000"/>
                <w:sz w:val="22"/>
                <w:szCs w:val="22"/>
                <w:lang w:eastAsia="es-CR"/>
              </w:rPr>
            </w:pPr>
            <w:r w:rsidRPr="00374B51">
              <w:rPr>
                <w:rFonts w:cs="Calibri"/>
                <w:color w:val="000000"/>
                <w:sz w:val="22"/>
                <w:szCs w:val="22"/>
                <w:lang w:eastAsia="es-CR"/>
              </w:rPr>
              <w:t>Sin actualizar</w:t>
            </w:r>
          </w:p>
        </w:tc>
        <w:tc>
          <w:tcPr>
            <w:tcW w:w="1220" w:type="dxa"/>
            <w:tcBorders>
              <w:top w:val="nil"/>
              <w:left w:val="nil"/>
              <w:bottom w:val="single" w:sz="4" w:space="0" w:color="auto"/>
              <w:right w:val="single" w:sz="4" w:space="0" w:color="auto"/>
            </w:tcBorders>
            <w:shd w:val="clear" w:color="auto" w:fill="auto"/>
            <w:noWrap/>
            <w:vAlign w:val="center"/>
            <w:hideMark/>
          </w:tcPr>
          <w:p w14:paraId="72E1D1C0" w14:textId="77777777" w:rsidR="00374B51" w:rsidRPr="00374B51" w:rsidRDefault="00374B51" w:rsidP="00374B51">
            <w:pPr>
              <w:spacing w:line="240" w:lineRule="auto"/>
              <w:jc w:val="center"/>
              <w:rPr>
                <w:rFonts w:cs="Calibri"/>
                <w:color w:val="000000"/>
                <w:sz w:val="22"/>
                <w:szCs w:val="22"/>
                <w:lang w:eastAsia="es-CR"/>
              </w:rPr>
            </w:pPr>
            <w:r w:rsidRPr="00374B51">
              <w:rPr>
                <w:rFonts w:cs="Calibri"/>
                <w:color w:val="000000"/>
                <w:sz w:val="22"/>
                <w:szCs w:val="22"/>
                <w:lang w:eastAsia="es-CR"/>
              </w:rPr>
              <w:t>18</w:t>
            </w:r>
          </w:p>
        </w:tc>
        <w:tc>
          <w:tcPr>
            <w:tcW w:w="1220" w:type="dxa"/>
            <w:tcBorders>
              <w:top w:val="nil"/>
              <w:left w:val="nil"/>
              <w:bottom w:val="single" w:sz="4" w:space="0" w:color="auto"/>
              <w:right w:val="single" w:sz="4" w:space="0" w:color="auto"/>
            </w:tcBorders>
            <w:shd w:val="clear" w:color="auto" w:fill="auto"/>
            <w:noWrap/>
            <w:vAlign w:val="center"/>
            <w:hideMark/>
          </w:tcPr>
          <w:p w14:paraId="5C38B8A5" w14:textId="77777777" w:rsidR="00374B51" w:rsidRPr="00374B51" w:rsidRDefault="00374B51" w:rsidP="00374B51">
            <w:pPr>
              <w:spacing w:line="240" w:lineRule="auto"/>
              <w:jc w:val="center"/>
              <w:rPr>
                <w:rFonts w:cs="Calibri"/>
                <w:color w:val="000000"/>
                <w:sz w:val="22"/>
                <w:szCs w:val="22"/>
                <w:lang w:eastAsia="es-CR"/>
              </w:rPr>
            </w:pPr>
            <w:r w:rsidRPr="00374B51">
              <w:rPr>
                <w:rFonts w:cs="Calibri"/>
                <w:color w:val="000000"/>
                <w:sz w:val="22"/>
                <w:szCs w:val="22"/>
                <w:lang w:eastAsia="es-CR"/>
              </w:rPr>
              <w:t>0</w:t>
            </w:r>
          </w:p>
        </w:tc>
        <w:tc>
          <w:tcPr>
            <w:tcW w:w="1220" w:type="dxa"/>
            <w:tcBorders>
              <w:top w:val="nil"/>
              <w:left w:val="nil"/>
              <w:bottom w:val="single" w:sz="4" w:space="0" w:color="auto"/>
              <w:right w:val="single" w:sz="4" w:space="0" w:color="auto"/>
            </w:tcBorders>
            <w:shd w:val="clear" w:color="auto" w:fill="auto"/>
            <w:noWrap/>
            <w:vAlign w:val="center"/>
            <w:hideMark/>
          </w:tcPr>
          <w:p w14:paraId="07108290" w14:textId="77777777" w:rsidR="00374B51" w:rsidRPr="00374B51" w:rsidRDefault="00374B51" w:rsidP="00374B51">
            <w:pPr>
              <w:spacing w:line="240" w:lineRule="auto"/>
              <w:jc w:val="center"/>
              <w:rPr>
                <w:rFonts w:cs="Calibri"/>
                <w:color w:val="000000"/>
                <w:sz w:val="22"/>
                <w:szCs w:val="22"/>
                <w:lang w:eastAsia="es-CR"/>
              </w:rPr>
            </w:pPr>
            <w:r w:rsidRPr="00374B51">
              <w:rPr>
                <w:rFonts w:cs="Calibri"/>
                <w:color w:val="000000"/>
                <w:sz w:val="22"/>
                <w:szCs w:val="22"/>
                <w:lang w:eastAsia="es-CR"/>
              </w:rPr>
              <w:t>0</w:t>
            </w:r>
          </w:p>
        </w:tc>
        <w:tc>
          <w:tcPr>
            <w:tcW w:w="1220" w:type="dxa"/>
            <w:tcBorders>
              <w:top w:val="nil"/>
              <w:left w:val="nil"/>
              <w:bottom w:val="single" w:sz="4" w:space="0" w:color="auto"/>
              <w:right w:val="single" w:sz="4" w:space="0" w:color="auto"/>
            </w:tcBorders>
            <w:shd w:val="clear" w:color="auto" w:fill="auto"/>
            <w:noWrap/>
            <w:vAlign w:val="center"/>
            <w:hideMark/>
          </w:tcPr>
          <w:p w14:paraId="1F6D8204" w14:textId="77777777" w:rsidR="00374B51" w:rsidRPr="00374B51" w:rsidRDefault="00374B51" w:rsidP="00374B51">
            <w:pPr>
              <w:spacing w:line="240" w:lineRule="auto"/>
              <w:jc w:val="center"/>
              <w:rPr>
                <w:rFonts w:cs="Calibri"/>
                <w:color w:val="000000"/>
                <w:sz w:val="22"/>
                <w:szCs w:val="22"/>
                <w:lang w:eastAsia="es-CR"/>
              </w:rPr>
            </w:pPr>
            <w:r w:rsidRPr="00374B51">
              <w:rPr>
                <w:rFonts w:cs="Calibri"/>
                <w:color w:val="000000"/>
                <w:sz w:val="22"/>
                <w:szCs w:val="22"/>
                <w:lang w:eastAsia="es-CR"/>
              </w:rPr>
              <w:t>6,0</w:t>
            </w:r>
          </w:p>
        </w:tc>
        <w:tc>
          <w:tcPr>
            <w:tcW w:w="1297" w:type="dxa"/>
            <w:tcBorders>
              <w:top w:val="nil"/>
              <w:left w:val="nil"/>
              <w:bottom w:val="single" w:sz="4" w:space="0" w:color="auto"/>
              <w:right w:val="nil"/>
            </w:tcBorders>
            <w:shd w:val="clear" w:color="auto" w:fill="auto"/>
            <w:noWrap/>
            <w:vAlign w:val="center"/>
            <w:hideMark/>
          </w:tcPr>
          <w:p w14:paraId="472193AB" w14:textId="77777777" w:rsidR="00374B51" w:rsidRPr="00374B51" w:rsidRDefault="00374B51" w:rsidP="00374B51">
            <w:pPr>
              <w:spacing w:line="240" w:lineRule="auto"/>
              <w:jc w:val="center"/>
              <w:rPr>
                <w:rFonts w:cs="Calibri"/>
                <w:color w:val="000000"/>
                <w:sz w:val="22"/>
                <w:szCs w:val="22"/>
                <w:lang w:eastAsia="es-CR"/>
              </w:rPr>
            </w:pPr>
            <w:r w:rsidRPr="00374B51">
              <w:rPr>
                <w:rFonts w:cs="Calibri"/>
                <w:color w:val="000000"/>
                <w:sz w:val="22"/>
                <w:szCs w:val="22"/>
                <w:lang w:eastAsia="es-CR"/>
              </w:rPr>
              <w:t>100%</w:t>
            </w:r>
          </w:p>
        </w:tc>
      </w:tr>
    </w:tbl>
    <w:p w14:paraId="2EEAFB9B" w14:textId="646A9CE6" w:rsidR="00374B51" w:rsidRPr="004E74A6" w:rsidRDefault="00374B51" w:rsidP="00374B51">
      <w:pPr>
        <w:spacing w:line="276" w:lineRule="auto"/>
        <w:ind w:right="1191"/>
        <w:rPr>
          <w:rFonts w:cs="Calibri"/>
          <w:b/>
          <w:bCs/>
          <w:i/>
          <w:iCs/>
          <w:color w:val="000000"/>
          <w:sz w:val="20"/>
          <w:lang w:eastAsia="es-CR"/>
        </w:rPr>
      </w:pPr>
      <w:r w:rsidRPr="004E74A6">
        <w:rPr>
          <w:rFonts w:cs="Calibri"/>
          <w:b/>
          <w:bCs/>
          <w:i/>
          <w:iCs/>
          <w:color w:val="000000"/>
          <w:sz w:val="20"/>
          <w:lang w:eastAsia="es-CR"/>
        </w:rPr>
        <w:t xml:space="preserve">Fuente: </w:t>
      </w:r>
      <w:r w:rsidRPr="004E74A6">
        <w:rPr>
          <w:rFonts w:cs="Calibri"/>
          <w:i/>
          <w:iCs/>
          <w:color w:val="000000"/>
          <w:sz w:val="20"/>
          <w:lang w:eastAsia="es-CR"/>
        </w:rPr>
        <w:t xml:space="preserve">Subproceso de Modernización Institucional, según estadísticas judiciales. </w:t>
      </w:r>
    </w:p>
    <w:p w14:paraId="195ED108" w14:textId="61429362" w:rsidR="00374B51" w:rsidRDefault="00374B51">
      <w:pPr>
        <w:pStyle w:val="Prrafodelista"/>
        <w:spacing w:line="276" w:lineRule="auto"/>
        <w:ind w:left="0"/>
        <w:contextualSpacing/>
        <w:rPr>
          <w:rFonts w:ascii="Book Antiqua" w:hAnsi="Book Antiqua" w:cs="Times New Roman"/>
          <w:szCs w:val="20"/>
          <w:lang w:val="es-CR"/>
        </w:rPr>
      </w:pPr>
    </w:p>
    <w:p w14:paraId="521D086B" w14:textId="77777777" w:rsidR="00374B51" w:rsidRPr="004E74A6" w:rsidRDefault="00374B51" w:rsidP="00832773">
      <w:pPr>
        <w:pStyle w:val="Prrafodelista"/>
        <w:spacing w:line="276" w:lineRule="auto"/>
        <w:ind w:left="0"/>
        <w:contextualSpacing/>
        <w:rPr>
          <w:rFonts w:ascii="Book Antiqua" w:hAnsi="Book Antiqua" w:cs="Times New Roman"/>
          <w:lang w:val="es-CR"/>
        </w:rPr>
      </w:pPr>
    </w:p>
    <w:p w14:paraId="69B1E26B" w14:textId="0CD5D860" w:rsidR="005169E8" w:rsidRPr="004E74A6" w:rsidRDefault="00DC4950" w:rsidP="005169E8">
      <w:pPr>
        <w:widowControl w:val="0"/>
        <w:suppressAutoHyphens/>
        <w:spacing w:line="276" w:lineRule="auto"/>
        <w:rPr>
          <w:color w:val="000000"/>
          <w:shd w:val="clear" w:color="auto" w:fill="FFFFFF"/>
        </w:rPr>
      </w:pPr>
      <w:r w:rsidRPr="004E74A6">
        <w:rPr>
          <w:color w:val="000000"/>
          <w:shd w:val="clear" w:color="auto" w:fill="FFFFFF"/>
        </w:rPr>
        <w:t>E</w:t>
      </w:r>
      <w:r w:rsidR="00C71A9D" w:rsidRPr="004E74A6">
        <w:rPr>
          <w:color w:val="000000"/>
          <w:shd w:val="clear" w:color="auto" w:fill="FFFFFF"/>
        </w:rPr>
        <w:t>l Nuevo Código Procesal Agrario, Ley 9606, propone un cambio de competencia para la Sala Primera a partir de la entrada en vigencia de la Ley, cuya última solicitud de prórroga de vacancia no ha sido aprobada</w:t>
      </w:r>
      <w:r w:rsidR="005169E8" w:rsidRPr="004E74A6">
        <w:rPr>
          <w:color w:val="000000"/>
          <w:shd w:val="clear" w:color="auto" w:fill="FFFFFF"/>
        </w:rPr>
        <w:t xml:space="preserve"> por la Asamblea Legislativa. </w:t>
      </w:r>
    </w:p>
    <w:p w14:paraId="397B711A" w14:textId="77777777" w:rsidR="005169E8" w:rsidRPr="004E74A6" w:rsidRDefault="005169E8" w:rsidP="005169E8">
      <w:pPr>
        <w:widowControl w:val="0"/>
        <w:suppressAutoHyphens/>
        <w:spacing w:line="276" w:lineRule="auto"/>
        <w:rPr>
          <w:color w:val="000000"/>
          <w:shd w:val="clear" w:color="auto" w:fill="FFFFFF"/>
        </w:rPr>
      </w:pPr>
    </w:p>
    <w:p w14:paraId="4ED693B6" w14:textId="11123AB2" w:rsidR="00C12576" w:rsidRPr="00832773" w:rsidRDefault="00C12576" w:rsidP="005169E8">
      <w:pPr>
        <w:spacing w:line="276" w:lineRule="auto"/>
        <w:rPr>
          <w:color w:val="000000"/>
          <w:shd w:val="clear" w:color="auto" w:fill="FFFFFF"/>
        </w:rPr>
      </w:pPr>
      <w:r w:rsidRPr="00832773">
        <w:rPr>
          <w:color w:val="000000"/>
          <w:shd w:val="clear" w:color="auto" w:fill="FFFFFF"/>
        </w:rPr>
        <w:t>Actualmente la Sala Primera solo tiene competencia en los procesos agrarios ordinarios de mayor cuantía; pero con e</w:t>
      </w:r>
      <w:r w:rsidR="005169E8" w:rsidRPr="00832773">
        <w:rPr>
          <w:color w:val="000000"/>
          <w:shd w:val="clear" w:color="auto" w:fill="FFFFFF"/>
        </w:rPr>
        <w:t>l Nuevo Código Procesal Agrario</w:t>
      </w:r>
      <w:r w:rsidRPr="00832773">
        <w:rPr>
          <w:color w:val="000000"/>
          <w:shd w:val="clear" w:color="auto" w:fill="FFFFFF"/>
        </w:rPr>
        <w:t xml:space="preserve">, el artículo 12 </w:t>
      </w:r>
      <w:r w:rsidR="005169E8" w:rsidRPr="00832773">
        <w:rPr>
          <w:color w:val="000000"/>
          <w:shd w:val="clear" w:color="auto" w:fill="FFFFFF"/>
        </w:rPr>
        <w:t xml:space="preserve">establece que tendrán recurso de casación </w:t>
      </w:r>
      <w:r w:rsidRPr="00832773">
        <w:rPr>
          <w:color w:val="000000"/>
          <w:shd w:val="clear" w:color="auto" w:fill="FFFFFF"/>
        </w:rPr>
        <w:t>también</w:t>
      </w:r>
      <w:r w:rsidR="005169E8" w:rsidRPr="00832773">
        <w:rPr>
          <w:color w:val="000000"/>
          <w:shd w:val="clear" w:color="auto" w:fill="FFFFFF"/>
        </w:rPr>
        <w:t xml:space="preserve"> los procesos agrarios ordinarios de menor cuantía y las ejecuciones de sentencia agrarias. </w:t>
      </w:r>
    </w:p>
    <w:p w14:paraId="096229A1" w14:textId="77777777" w:rsidR="00C12576" w:rsidRPr="00832773" w:rsidRDefault="00C12576" w:rsidP="005169E8">
      <w:pPr>
        <w:spacing w:line="276" w:lineRule="auto"/>
        <w:rPr>
          <w:szCs w:val="24"/>
        </w:rPr>
      </w:pPr>
    </w:p>
    <w:p w14:paraId="61B3800D" w14:textId="3EF6492D" w:rsidR="005169E8" w:rsidRPr="00832773" w:rsidRDefault="005169E8" w:rsidP="005169E8">
      <w:pPr>
        <w:spacing w:line="276" w:lineRule="auto"/>
        <w:rPr>
          <w:szCs w:val="24"/>
        </w:rPr>
      </w:pPr>
      <w:r w:rsidRPr="00832773">
        <w:rPr>
          <w:szCs w:val="24"/>
        </w:rPr>
        <w:t xml:space="preserve">El artículo 12 </w:t>
      </w:r>
      <w:r w:rsidR="00C12576" w:rsidRPr="00832773">
        <w:rPr>
          <w:szCs w:val="24"/>
        </w:rPr>
        <w:t>indica literalmente lo siguiente</w:t>
      </w:r>
      <w:r w:rsidRPr="00832773">
        <w:rPr>
          <w:szCs w:val="24"/>
        </w:rPr>
        <w:t>:</w:t>
      </w:r>
    </w:p>
    <w:p w14:paraId="3E44655E" w14:textId="77777777" w:rsidR="005169E8" w:rsidRPr="00832773" w:rsidRDefault="005169E8" w:rsidP="005169E8">
      <w:pPr>
        <w:spacing w:line="276" w:lineRule="auto"/>
        <w:rPr>
          <w:szCs w:val="24"/>
        </w:rPr>
      </w:pPr>
    </w:p>
    <w:p w14:paraId="60F18E2E" w14:textId="77777777" w:rsidR="005169E8" w:rsidRPr="004E74A6" w:rsidRDefault="005169E8" w:rsidP="00832773">
      <w:pPr>
        <w:autoSpaceDE w:val="0"/>
        <w:autoSpaceDN w:val="0"/>
        <w:adjustRightInd w:val="0"/>
        <w:spacing w:line="240" w:lineRule="auto"/>
        <w:ind w:left="567" w:right="618"/>
        <w:rPr>
          <w:i/>
          <w:iCs/>
          <w:color w:val="000000"/>
          <w:sz w:val="22"/>
          <w:szCs w:val="22"/>
          <w:lang w:eastAsia="es-CR"/>
        </w:rPr>
      </w:pPr>
      <w:r w:rsidRPr="004E74A6">
        <w:rPr>
          <w:i/>
          <w:iCs/>
          <w:color w:val="000000"/>
          <w:sz w:val="22"/>
          <w:szCs w:val="22"/>
          <w:lang w:eastAsia="es-CR"/>
        </w:rPr>
        <w:t>“</w:t>
      </w:r>
      <w:r w:rsidRPr="00832773">
        <w:rPr>
          <w:b/>
          <w:bCs/>
          <w:i/>
          <w:iCs/>
          <w:color w:val="000000"/>
          <w:sz w:val="22"/>
          <w:szCs w:val="22"/>
          <w:lang w:eastAsia="es-CR"/>
        </w:rPr>
        <w:t>ARTÍCULO 12- Funciones de la Sala de Casación</w:t>
      </w:r>
    </w:p>
    <w:p w14:paraId="2DE85C0B" w14:textId="77777777" w:rsidR="005169E8" w:rsidRPr="004E74A6" w:rsidRDefault="005169E8" w:rsidP="00832773">
      <w:pPr>
        <w:autoSpaceDE w:val="0"/>
        <w:autoSpaceDN w:val="0"/>
        <w:adjustRightInd w:val="0"/>
        <w:spacing w:line="240" w:lineRule="auto"/>
        <w:ind w:left="567" w:right="618"/>
        <w:rPr>
          <w:i/>
          <w:iCs/>
          <w:color w:val="000000"/>
          <w:sz w:val="22"/>
          <w:szCs w:val="22"/>
          <w:lang w:eastAsia="es-CR"/>
        </w:rPr>
      </w:pPr>
      <w:r w:rsidRPr="004E74A6">
        <w:rPr>
          <w:i/>
          <w:iCs/>
          <w:color w:val="000000"/>
          <w:sz w:val="22"/>
          <w:szCs w:val="22"/>
          <w:lang w:eastAsia="es-CR"/>
        </w:rPr>
        <w:t>La Sala Primera de la Corte Suprema de Justicia será competente para conocer:</w:t>
      </w:r>
    </w:p>
    <w:p w14:paraId="461FE9F6" w14:textId="4313D8F9" w:rsidR="005169E8" w:rsidRPr="004E74A6" w:rsidRDefault="005169E8" w:rsidP="00832773">
      <w:pPr>
        <w:autoSpaceDE w:val="0"/>
        <w:autoSpaceDN w:val="0"/>
        <w:adjustRightInd w:val="0"/>
        <w:spacing w:line="240" w:lineRule="auto"/>
        <w:ind w:left="567" w:right="618"/>
        <w:rPr>
          <w:i/>
          <w:iCs/>
          <w:color w:val="000000"/>
          <w:sz w:val="22"/>
          <w:szCs w:val="22"/>
          <w:lang w:eastAsia="es-CR"/>
        </w:rPr>
      </w:pPr>
      <w:r w:rsidRPr="004E74A6">
        <w:rPr>
          <w:i/>
          <w:iCs/>
          <w:color w:val="000000"/>
          <w:sz w:val="22"/>
          <w:szCs w:val="22"/>
          <w:lang w:eastAsia="es-CR"/>
        </w:rPr>
        <w:t>1) Las inconformidades y los conflictos de competencia suscitados entre los órganos de la jurisdicción agraria y los de otra materia, siempre que aquellos hayan prevenido en el conocimiento del asunto.</w:t>
      </w:r>
    </w:p>
    <w:p w14:paraId="515F65A5" w14:textId="77777777" w:rsidR="005169E8" w:rsidRPr="004E74A6" w:rsidRDefault="005169E8" w:rsidP="00832773">
      <w:pPr>
        <w:autoSpaceDE w:val="0"/>
        <w:autoSpaceDN w:val="0"/>
        <w:adjustRightInd w:val="0"/>
        <w:spacing w:line="240" w:lineRule="auto"/>
        <w:ind w:left="567" w:right="618"/>
        <w:rPr>
          <w:i/>
          <w:iCs/>
          <w:color w:val="000000"/>
          <w:sz w:val="22"/>
          <w:szCs w:val="22"/>
          <w:lang w:eastAsia="es-CR"/>
        </w:rPr>
      </w:pPr>
      <w:r w:rsidRPr="004E74A6">
        <w:rPr>
          <w:i/>
          <w:iCs/>
          <w:color w:val="000000"/>
          <w:sz w:val="22"/>
          <w:szCs w:val="22"/>
          <w:lang w:eastAsia="es-CR"/>
        </w:rPr>
        <w:t>2) Los conflictos que se generen por impedimentos y recusaciones, así como la acumulación de procesos tramitados en distintas jurisdicciones, siempre que estos sean competencia agraria.</w:t>
      </w:r>
    </w:p>
    <w:p w14:paraId="53CB5EA1" w14:textId="77777777" w:rsidR="005169E8" w:rsidRPr="004E74A6" w:rsidRDefault="005169E8" w:rsidP="00832773">
      <w:pPr>
        <w:autoSpaceDE w:val="0"/>
        <w:autoSpaceDN w:val="0"/>
        <w:adjustRightInd w:val="0"/>
        <w:spacing w:line="240" w:lineRule="auto"/>
        <w:ind w:left="567" w:right="618"/>
        <w:rPr>
          <w:i/>
          <w:iCs/>
          <w:color w:val="000000"/>
          <w:sz w:val="22"/>
          <w:szCs w:val="22"/>
          <w:lang w:eastAsia="es-CR"/>
        </w:rPr>
      </w:pPr>
      <w:r w:rsidRPr="004E74A6">
        <w:rPr>
          <w:i/>
          <w:iCs/>
          <w:color w:val="000000"/>
          <w:sz w:val="22"/>
          <w:szCs w:val="22"/>
          <w:lang w:eastAsia="es-CR"/>
        </w:rPr>
        <w:t>3) El recurso de casación contra las sentencias emitidas en procesos ordinarios, así como la revisión y demás resoluciones que tengan eficacia de cosa juzgada material.</w:t>
      </w:r>
    </w:p>
    <w:p w14:paraId="3BFA31B6" w14:textId="6874822A" w:rsidR="005169E8" w:rsidRPr="004E74A6" w:rsidRDefault="005169E8" w:rsidP="00832773">
      <w:pPr>
        <w:autoSpaceDE w:val="0"/>
        <w:autoSpaceDN w:val="0"/>
        <w:adjustRightInd w:val="0"/>
        <w:spacing w:line="240" w:lineRule="auto"/>
        <w:ind w:left="567" w:right="618"/>
        <w:rPr>
          <w:i/>
          <w:iCs/>
          <w:color w:val="000000"/>
          <w:sz w:val="22"/>
          <w:szCs w:val="22"/>
          <w:lang w:eastAsia="es-CR"/>
        </w:rPr>
      </w:pPr>
      <w:r w:rsidRPr="004E74A6">
        <w:rPr>
          <w:i/>
          <w:iCs/>
          <w:color w:val="000000"/>
          <w:sz w:val="22"/>
          <w:szCs w:val="22"/>
          <w:lang w:eastAsia="es-CR"/>
        </w:rPr>
        <w:lastRenderedPageBreak/>
        <w:t>4) El recurso de nulidad o la revisión contra laudos referidos a asuntos vinculados con la materia agraria</w:t>
      </w:r>
      <w:r w:rsidR="00C12576" w:rsidRPr="004E74A6">
        <w:rPr>
          <w:rStyle w:val="Refdenotaalpie"/>
          <w:i/>
          <w:iCs/>
          <w:color w:val="000000"/>
          <w:sz w:val="22"/>
          <w:szCs w:val="22"/>
          <w:lang w:eastAsia="es-CR"/>
        </w:rPr>
        <w:footnoteReference w:id="35"/>
      </w:r>
      <w:r w:rsidRPr="004E74A6">
        <w:rPr>
          <w:i/>
          <w:iCs/>
          <w:color w:val="000000"/>
          <w:sz w:val="22"/>
          <w:szCs w:val="22"/>
          <w:lang w:eastAsia="es-CR"/>
        </w:rPr>
        <w:t>.</w:t>
      </w:r>
    </w:p>
    <w:p w14:paraId="0851EA30" w14:textId="77777777" w:rsidR="005169E8" w:rsidRPr="004E74A6" w:rsidRDefault="005169E8" w:rsidP="00832773">
      <w:pPr>
        <w:spacing w:line="240" w:lineRule="auto"/>
        <w:ind w:left="567" w:right="618"/>
        <w:rPr>
          <w:i/>
          <w:iCs/>
          <w:color w:val="000000"/>
          <w:sz w:val="22"/>
          <w:szCs w:val="22"/>
          <w:lang w:eastAsia="es-CR"/>
        </w:rPr>
      </w:pPr>
      <w:r w:rsidRPr="004E74A6">
        <w:rPr>
          <w:i/>
          <w:iCs/>
          <w:color w:val="000000"/>
          <w:sz w:val="22"/>
          <w:szCs w:val="22"/>
          <w:lang w:eastAsia="es-CR"/>
        </w:rPr>
        <w:t>5) Los demás asuntos que determine el ordenamiento jurídico”.</w:t>
      </w:r>
    </w:p>
    <w:p w14:paraId="7EAE5DCA" w14:textId="6223808E" w:rsidR="005169E8" w:rsidRPr="004E74A6" w:rsidRDefault="005169E8" w:rsidP="005169E8">
      <w:pPr>
        <w:widowControl w:val="0"/>
        <w:suppressAutoHyphens/>
        <w:spacing w:line="276" w:lineRule="auto"/>
        <w:rPr>
          <w:color w:val="000000"/>
          <w:shd w:val="clear" w:color="auto" w:fill="FFFFFF"/>
        </w:rPr>
      </w:pPr>
    </w:p>
    <w:p w14:paraId="0707A22E" w14:textId="4D2FE079" w:rsidR="005169E8" w:rsidRPr="004E74A6" w:rsidRDefault="005169E8" w:rsidP="005169E8">
      <w:pPr>
        <w:widowControl w:val="0"/>
        <w:suppressAutoHyphens/>
        <w:spacing w:line="276" w:lineRule="auto"/>
        <w:rPr>
          <w:color w:val="000000"/>
          <w:shd w:val="clear" w:color="auto" w:fill="FFFFFF"/>
        </w:rPr>
      </w:pPr>
    </w:p>
    <w:p w14:paraId="5AE93A7A" w14:textId="7C95C679" w:rsidR="00C12576" w:rsidRPr="00832773" w:rsidRDefault="00C12576" w:rsidP="005169E8">
      <w:pPr>
        <w:widowControl w:val="0"/>
        <w:suppressAutoHyphens/>
        <w:spacing w:line="276" w:lineRule="auto"/>
        <w:rPr>
          <w:color w:val="000000"/>
          <w:shd w:val="clear" w:color="auto" w:fill="FFFFFF"/>
        </w:rPr>
      </w:pPr>
      <w:r w:rsidRPr="00832773">
        <w:rPr>
          <w:color w:val="000000"/>
          <w:shd w:val="clear" w:color="auto" w:fill="FFFFFF"/>
        </w:rPr>
        <w:t>A partir de la Ley 9606 se presentan los siguientes cambios</w:t>
      </w:r>
      <w:r w:rsidRPr="00832773">
        <w:rPr>
          <w:rStyle w:val="Refdenotaalpie"/>
          <w:color w:val="000000"/>
          <w:shd w:val="clear" w:color="auto" w:fill="FFFFFF"/>
        </w:rPr>
        <w:footnoteReference w:id="36"/>
      </w:r>
      <w:r w:rsidRPr="00832773">
        <w:rPr>
          <w:color w:val="000000"/>
          <w:shd w:val="clear" w:color="auto" w:fill="FFFFFF"/>
        </w:rPr>
        <w:t xml:space="preserve"> que no afectan la entrada en Sala Primera: </w:t>
      </w:r>
    </w:p>
    <w:p w14:paraId="2FB82691" w14:textId="77777777" w:rsidR="00C12576" w:rsidRPr="004E74A6" w:rsidRDefault="00C12576" w:rsidP="005169E8">
      <w:pPr>
        <w:widowControl w:val="0"/>
        <w:suppressAutoHyphens/>
        <w:spacing w:line="276" w:lineRule="auto"/>
        <w:rPr>
          <w:i/>
          <w:iCs/>
          <w:color w:val="000000"/>
          <w:shd w:val="clear" w:color="auto" w:fill="FFFFFF"/>
        </w:rPr>
      </w:pPr>
    </w:p>
    <w:p w14:paraId="6CE18B2C" w14:textId="463E9946" w:rsidR="005169E8" w:rsidRPr="00832773" w:rsidRDefault="005169E8" w:rsidP="00832773">
      <w:pPr>
        <w:pStyle w:val="Prrafodelista"/>
        <w:widowControl w:val="0"/>
        <w:numPr>
          <w:ilvl w:val="0"/>
          <w:numId w:val="58"/>
        </w:numPr>
        <w:suppressAutoHyphens/>
        <w:spacing w:line="276" w:lineRule="auto"/>
        <w:rPr>
          <w:color w:val="000000"/>
          <w:shd w:val="clear" w:color="auto" w:fill="FFFFFF"/>
        </w:rPr>
      </w:pPr>
      <w:r w:rsidRPr="00832773">
        <w:rPr>
          <w:rFonts w:ascii="Book Antiqua" w:hAnsi="Book Antiqua"/>
          <w:color w:val="000000"/>
          <w:shd w:val="clear" w:color="auto" w:fill="FFFFFF"/>
          <w:lang w:val="es-CR"/>
        </w:rPr>
        <w:t>Los Juzgados Contenciosos actualmente tienen competencia asuntos donde participa el Estado y un bien agrario, sin embargo, el nuevo Código indica que son competencia de los Juzgados Agrarios</w:t>
      </w:r>
    </w:p>
    <w:p w14:paraId="23A4FC4A" w14:textId="0674C2A0" w:rsidR="005169E8" w:rsidRPr="00832773" w:rsidRDefault="005169E8" w:rsidP="00832773">
      <w:pPr>
        <w:pStyle w:val="Prrafodelista"/>
        <w:widowControl w:val="0"/>
        <w:numPr>
          <w:ilvl w:val="0"/>
          <w:numId w:val="58"/>
        </w:numPr>
        <w:suppressAutoHyphens/>
        <w:spacing w:line="276" w:lineRule="auto"/>
        <w:rPr>
          <w:color w:val="000000"/>
          <w:shd w:val="clear" w:color="auto" w:fill="FFFFFF"/>
        </w:rPr>
      </w:pPr>
      <w:r w:rsidRPr="00832773">
        <w:rPr>
          <w:rFonts w:ascii="Book Antiqua" w:hAnsi="Book Antiqua"/>
          <w:color w:val="000000"/>
          <w:shd w:val="clear" w:color="auto" w:fill="FFFFFF"/>
          <w:lang w:val="es-CR"/>
        </w:rPr>
        <w:t xml:space="preserve">Los Juzgados </w:t>
      </w:r>
      <w:r w:rsidR="007D1F27" w:rsidRPr="00832773">
        <w:rPr>
          <w:rFonts w:ascii="Book Antiqua" w:hAnsi="Book Antiqua"/>
          <w:color w:val="000000"/>
          <w:shd w:val="clear" w:color="auto" w:fill="FFFFFF"/>
          <w:lang w:val="es-CR"/>
        </w:rPr>
        <w:t>A</w:t>
      </w:r>
      <w:r w:rsidRPr="00832773">
        <w:rPr>
          <w:rFonts w:ascii="Book Antiqua" w:hAnsi="Book Antiqua"/>
          <w:color w:val="000000"/>
          <w:shd w:val="clear" w:color="auto" w:fill="FFFFFF"/>
          <w:lang w:val="es-CR"/>
        </w:rPr>
        <w:t>grarios deberán conocer los procesos de Administración por Intervención Judicial, que actualmente se tramitan en sede Civil</w:t>
      </w:r>
    </w:p>
    <w:p w14:paraId="103795E4" w14:textId="77777777" w:rsidR="00C12576" w:rsidRPr="00832773" w:rsidRDefault="005169E8" w:rsidP="00C12576">
      <w:pPr>
        <w:pStyle w:val="Prrafodelista"/>
        <w:widowControl w:val="0"/>
        <w:numPr>
          <w:ilvl w:val="0"/>
          <w:numId w:val="58"/>
        </w:numPr>
        <w:suppressAutoHyphens/>
        <w:spacing w:line="276" w:lineRule="auto"/>
        <w:rPr>
          <w:rFonts w:ascii="Book Antiqua" w:hAnsi="Book Antiqua"/>
          <w:color w:val="000000"/>
          <w:shd w:val="clear" w:color="auto" w:fill="FFFFFF"/>
          <w:lang w:val="es-CR"/>
        </w:rPr>
      </w:pPr>
      <w:r w:rsidRPr="00832773">
        <w:rPr>
          <w:rFonts w:ascii="Book Antiqua" w:hAnsi="Book Antiqua"/>
          <w:color w:val="000000"/>
          <w:shd w:val="clear" w:color="auto" w:fill="FFFFFF"/>
          <w:lang w:val="es-CR"/>
        </w:rPr>
        <w:t>En materia sucesoria actualmente los Juzgados Agrarios conocen procesos sucesorios donde el bien es donado por el INDER, con el nuevo Código los Juzgados Agrarios asumen esos procesos más todos aquellos donde el bien este destinado una actividad de producción agraria</w:t>
      </w:r>
      <w:r w:rsidR="00C12576" w:rsidRPr="00832773">
        <w:rPr>
          <w:rFonts w:ascii="Book Antiqua" w:hAnsi="Book Antiqua"/>
          <w:color w:val="000000"/>
          <w:shd w:val="clear" w:color="auto" w:fill="FFFFFF"/>
          <w:lang w:val="es-CR"/>
        </w:rPr>
        <w:t>.</w:t>
      </w:r>
    </w:p>
    <w:p w14:paraId="4D17202A" w14:textId="085EA0FB" w:rsidR="005169E8" w:rsidRPr="00C375EC" w:rsidRDefault="005169E8" w:rsidP="00832773">
      <w:pPr>
        <w:pStyle w:val="Prrafodelista"/>
        <w:numPr>
          <w:ilvl w:val="0"/>
          <w:numId w:val="58"/>
        </w:numPr>
        <w:spacing w:line="276" w:lineRule="auto"/>
        <w:rPr>
          <w:rFonts w:eastAsia="Calibri"/>
          <w:lang w:eastAsia="en-US"/>
        </w:rPr>
      </w:pPr>
      <w:r w:rsidRPr="00832773">
        <w:rPr>
          <w:rFonts w:ascii="Book Antiqua" w:hAnsi="Book Antiqua"/>
          <w:lang w:val="es-CR"/>
        </w:rPr>
        <w:t xml:space="preserve">Actualmente los Juzgados Agrarios conocen los procesos cobratorios donde el plan de inversión del crédito esté relacionado con una actividad de producción agraria y a partir de la entrada en vigencia del nuevo Código asumirán estos más cualquier otro en donde el bien dado en garantía este dedicado a una actividad de producción agraria. </w:t>
      </w:r>
      <w:r w:rsidRPr="00832773">
        <w:rPr>
          <w:rFonts w:ascii="Book Antiqua" w:hAnsi="Book Antiqua"/>
          <w:b/>
          <w:bCs/>
          <w:lang w:val="es-CR"/>
        </w:rPr>
        <w:t xml:space="preserve">No debería afectar la entrada Sala Primera, salvo </w:t>
      </w:r>
      <w:r w:rsidRPr="00832773">
        <w:rPr>
          <w:rFonts w:ascii="Book Antiqua" w:hAnsi="Book Antiqua"/>
          <w:lang w:val="es-CR"/>
        </w:rPr>
        <w:t>que se genere algún conflicto de competencia respecto a la interpretación que den los Juzgados de Cobro a este particular como ocurrió en materia Civil con la entrada de la Ley 9342</w:t>
      </w:r>
      <w:r w:rsidR="007D1F27" w:rsidRPr="00832773">
        <w:rPr>
          <w:rFonts w:ascii="Book Antiqua" w:hAnsi="Book Antiqua"/>
          <w:lang w:val="es-CR"/>
        </w:rPr>
        <w:t>.</w:t>
      </w:r>
    </w:p>
    <w:p w14:paraId="5A45D24D" w14:textId="29504159" w:rsidR="005169E8" w:rsidRPr="004E74A6" w:rsidRDefault="005169E8" w:rsidP="00CE62C1">
      <w:pPr>
        <w:spacing w:after="160" w:line="276" w:lineRule="auto"/>
        <w:contextualSpacing/>
        <w:rPr>
          <w:rFonts w:eastAsia="Calibri"/>
          <w:szCs w:val="24"/>
          <w:lang w:eastAsia="en-US"/>
        </w:rPr>
      </w:pPr>
    </w:p>
    <w:p w14:paraId="58840ED8" w14:textId="3CC8DABF" w:rsidR="005169E8" w:rsidRPr="004E74A6" w:rsidRDefault="00165C8F" w:rsidP="00CE62C1">
      <w:pPr>
        <w:spacing w:after="160" w:line="276" w:lineRule="auto"/>
        <w:contextualSpacing/>
        <w:rPr>
          <w:rFonts w:eastAsia="Calibri"/>
          <w:szCs w:val="24"/>
          <w:lang w:eastAsia="en-US"/>
        </w:rPr>
      </w:pPr>
      <w:r w:rsidRPr="004E74A6">
        <w:rPr>
          <w:rFonts w:eastAsia="Calibri"/>
          <w:szCs w:val="24"/>
          <w:lang w:eastAsia="en-US"/>
        </w:rPr>
        <w:t xml:space="preserve">Para proyectar el impacto de esta Ley se plantearon 2 necesidades para obtener información que permita obtener ese tipo de proyección:  </w:t>
      </w:r>
    </w:p>
    <w:p w14:paraId="7EA437A7" w14:textId="5DF71DC2" w:rsidR="00165C8F" w:rsidRPr="004E74A6" w:rsidRDefault="00165C8F" w:rsidP="00CE62C1">
      <w:pPr>
        <w:spacing w:after="160" w:line="276" w:lineRule="auto"/>
        <w:contextualSpacing/>
        <w:rPr>
          <w:rFonts w:eastAsia="Calibri"/>
          <w:szCs w:val="24"/>
          <w:lang w:eastAsia="en-US"/>
        </w:rPr>
      </w:pPr>
    </w:p>
    <w:p w14:paraId="62CA9333" w14:textId="503D5B78" w:rsidR="00165C8F" w:rsidRPr="004E74A6" w:rsidRDefault="00165C8F" w:rsidP="00165C8F">
      <w:pPr>
        <w:pStyle w:val="Prrafodelista"/>
        <w:numPr>
          <w:ilvl w:val="0"/>
          <w:numId w:val="60"/>
        </w:numPr>
        <w:spacing w:after="160" w:line="276" w:lineRule="auto"/>
        <w:contextualSpacing/>
        <w:rPr>
          <w:rFonts w:ascii="Book Antiqua" w:eastAsia="Calibri" w:hAnsi="Book Antiqua" w:cs="Times New Roman"/>
          <w:lang w:val="es-CR" w:eastAsia="en-US"/>
        </w:rPr>
      </w:pPr>
      <w:r w:rsidRPr="00832773">
        <w:rPr>
          <w:rFonts w:ascii="Book Antiqua" w:eastAsia="Calibri" w:hAnsi="Book Antiqua" w:cs="Times New Roman"/>
          <w:lang w:val="es-CR" w:eastAsia="en-US"/>
        </w:rPr>
        <w:lastRenderedPageBreak/>
        <w:t xml:space="preserve">Contar con la cuantía de los procesos agrarios, aprovechando que todos los procesos son estimables.  El uso de la mejora se recomendó desde el oficio 1913-PLA-2020, pero según informó DTIC se aplicará hasta en el nuevo sistema de Gestión SIAGPJ. </w:t>
      </w:r>
    </w:p>
    <w:p w14:paraId="5CEAE2EF" w14:textId="4B3D01E7" w:rsidR="00165C8F" w:rsidRPr="00832773" w:rsidRDefault="00165C8F" w:rsidP="00036FFA">
      <w:pPr>
        <w:pStyle w:val="Prrafodelista"/>
        <w:numPr>
          <w:ilvl w:val="0"/>
          <w:numId w:val="60"/>
        </w:numPr>
        <w:spacing w:after="160" w:line="276" w:lineRule="auto"/>
        <w:contextualSpacing/>
        <w:rPr>
          <w:rFonts w:ascii="Book Antiqua" w:eastAsia="Calibri" w:hAnsi="Book Antiqua" w:cs="Times New Roman"/>
          <w:lang w:val="es-CR" w:eastAsia="en-US"/>
        </w:rPr>
      </w:pPr>
      <w:r w:rsidRPr="004E74A6">
        <w:rPr>
          <w:rFonts w:ascii="Book Antiqua" w:eastAsia="Calibri" w:hAnsi="Book Antiqua" w:cs="Times New Roman"/>
          <w:lang w:val="es-CR" w:eastAsia="en-US"/>
        </w:rPr>
        <w:t>Contar en Cobro con el detalle de la cantidad de procesos actuales en donde el bien es de naturaleza agraria</w:t>
      </w:r>
      <w:r w:rsidR="00036FFA" w:rsidRPr="00832773">
        <w:rPr>
          <w:rFonts w:ascii="Book Antiqua" w:eastAsia="Calibri" w:hAnsi="Book Antiqua" w:cs="Times New Roman"/>
          <w:lang w:val="es-CR" w:eastAsia="en-US"/>
        </w:rPr>
        <w:t xml:space="preserve"> (</w:t>
      </w:r>
      <w:r w:rsidR="00EA7B30" w:rsidRPr="004E74A6">
        <w:rPr>
          <w:rFonts w:ascii="Book Antiqua" w:eastAsia="Calibri" w:hAnsi="Book Antiqua" w:cs="Times New Roman"/>
          <w:lang w:val="es-CR" w:eastAsia="en-US"/>
        </w:rPr>
        <w:t>s</w:t>
      </w:r>
      <w:r w:rsidR="00036FFA" w:rsidRPr="00832773">
        <w:rPr>
          <w:rFonts w:ascii="Book Antiqua" w:eastAsia="Calibri" w:hAnsi="Book Antiqua" w:cs="Times New Roman"/>
          <w:lang w:val="es-CR" w:eastAsia="en-US"/>
        </w:rPr>
        <w:t xml:space="preserve">egún oficio </w:t>
      </w:r>
      <w:r w:rsidR="00036FFA" w:rsidRPr="004E74A6">
        <w:rPr>
          <w:rFonts w:ascii="Book Antiqua" w:eastAsia="Calibri" w:hAnsi="Book Antiqua" w:cs="Times New Roman"/>
          <w:lang w:val="es-CR" w:eastAsia="en-US"/>
        </w:rPr>
        <w:t>PICPA-030-2020 del 22 de octubre de 2020)</w:t>
      </w:r>
      <w:r w:rsidRPr="004E74A6">
        <w:rPr>
          <w:rFonts w:ascii="Book Antiqua" w:eastAsia="Calibri" w:hAnsi="Book Antiqua" w:cs="Times New Roman"/>
          <w:lang w:val="es-CR" w:eastAsia="en-US"/>
        </w:rPr>
        <w:t xml:space="preserve">. </w:t>
      </w:r>
      <w:r w:rsidR="00036FFA" w:rsidRPr="00832773">
        <w:rPr>
          <w:rFonts w:ascii="Book Antiqua" w:eastAsia="Calibri" w:hAnsi="Book Antiqua" w:cs="Times New Roman"/>
          <w:lang w:val="es-CR" w:eastAsia="en-US"/>
        </w:rPr>
        <w:t>Se r</w:t>
      </w:r>
      <w:r w:rsidR="00F86691" w:rsidRPr="00832773">
        <w:rPr>
          <w:rFonts w:ascii="Book Antiqua" w:eastAsia="Calibri" w:hAnsi="Book Antiqua" w:cs="Times New Roman"/>
          <w:lang w:val="es-CR" w:eastAsia="en-US"/>
        </w:rPr>
        <w:t xml:space="preserve">equiere de una mejora por parte de DTIC </w:t>
      </w:r>
      <w:r w:rsidR="00036FFA" w:rsidRPr="00832773">
        <w:rPr>
          <w:rFonts w:ascii="Book Antiqua" w:eastAsia="Calibri" w:hAnsi="Book Antiqua" w:cs="Times New Roman"/>
          <w:lang w:val="es-CR" w:eastAsia="en-US"/>
        </w:rPr>
        <w:t>la cual indicaron se realizar</w:t>
      </w:r>
      <w:r w:rsidR="00EA7B30" w:rsidRPr="004E74A6">
        <w:rPr>
          <w:rFonts w:ascii="Book Antiqua" w:eastAsia="Calibri" w:hAnsi="Book Antiqua" w:cs="Times New Roman"/>
          <w:lang w:val="es-CR" w:eastAsia="en-US"/>
        </w:rPr>
        <w:t>á</w:t>
      </w:r>
      <w:r w:rsidR="00036FFA" w:rsidRPr="00832773">
        <w:rPr>
          <w:rFonts w:ascii="Book Antiqua" w:eastAsia="Calibri" w:hAnsi="Book Antiqua" w:cs="Times New Roman"/>
          <w:lang w:val="es-CR" w:eastAsia="en-US"/>
        </w:rPr>
        <w:t xml:space="preserve"> para el nuevo sistema de gestión SIAGPJ</w:t>
      </w:r>
      <w:r w:rsidR="00CE68FA" w:rsidRPr="004E74A6">
        <w:rPr>
          <w:rStyle w:val="Refdenotaalpie"/>
          <w:rFonts w:ascii="Book Antiqua" w:eastAsia="Calibri" w:hAnsi="Book Antiqua"/>
          <w:lang w:val="es-CR" w:eastAsia="en-US"/>
        </w:rPr>
        <w:footnoteReference w:id="37"/>
      </w:r>
      <w:r w:rsidR="00036FFA" w:rsidRPr="00832773">
        <w:rPr>
          <w:rFonts w:ascii="Book Antiqua" w:eastAsia="Calibri" w:hAnsi="Book Antiqua" w:cs="Times New Roman"/>
          <w:lang w:val="es-CR" w:eastAsia="en-US"/>
        </w:rPr>
        <w:t xml:space="preserve"> </w:t>
      </w:r>
      <w:r w:rsidR="00F86691" w:rsidRPr="00832773">
        <w:rPr>
          <w:rFonts w:ascii="Book Antiqua" w:eastAsia="Calibri" w:hAnsi="Book Antiqua" w:cs="Times New Roman"/>
          <w:lang w:val="es-CR" w:eastAsia="en-US"/>
        </w:rPr>
        <w:t xml:space="preserve">y </w:t>
      </w:r>
      <w:r w:rsidR="008D51C4" w:rsidRPr="00832773">
        <w:rPr>
          <w:rFonts w:ascii="Book Antiqua" w:eastAsia="Calibri" w:hAnsi="Book Antiqua" w:cs="Times New Roman"/>
          <w:lang w:val="es-CR" w:eastAsia="en-US"/>
        </w:rPr>
        <w:t>luego un</w:t>
      </w:r>
      <w:r w:rsidR="00F86691" w:rsidRPr="00832773">
        <w:rPr>
          <w:rFonts w:ascii="Book Antiqua" w:eastAsia="Calibri" w:hAnsi="Book Antiqua" w:cs="Times New Roman"/>
          <w:lang w:val="es-CR" w:eastAsia="en-US"/>
        </w:rPr>
        <w:t xml:space="preserve"> reporte por parte del Subproceso de Estadística de la Dirección de Planificación. </w:t>
      </w:r>
    </w:p>
    <w:p w14:paraId="59DD128E" w14:textId="65EE02E3" w:rsidR="00036FFA" w:rsidRPr="00832773" w:rsidRDefault="005D1B48" w:rsidP="00832773">
      <w:pPr>
        <w:spacing w:after="160" w:line="276" w:lineRule="auto"/>
        <w:contextualSpacing/>
        <w:jc w:val="center"/>
        <w:rPr>
          <w:rFonts w:eastAsia="Calibri"/>
          <w:lang w:eastAsia="en-US"/>
        </w:rPr>
      </w:pPr>
      <w:r w:rsidRPr="004E74A6">
        <w:rPr>
          <w:rFonts w:eastAsia="Calibri"/>
          <w:lang w:eastAsia="en-US"/>
        </w:rPr>
        <w:object w:dxaOrig="1454" w:dyaOrig="905" w14:anchorId="7E10D565">
          <v:shape id="_x0000_i1026" type="#_x0000_t75" style="width:72.75pt;height:45.05pt" o:ole="">
            <v:imagedata r:id="rId29" o:title=""/>
          </v:shape>
          <o:OLEObject Type="Embed" ProgID="Acrobat.Document.DC" ShapeID="_x0000_i1026" DrawAspect="Icon" ObjectID="_1739708493" r:id="rId30"/>
        </w:object>
      </w:r>
    </w:p>
    <w:p w14:paraId="11F4C6BD" w14:textId="25342988" w:rsidR="00DF3E66" w:rsidRPr="004E74A6" w:rsidRDefault="00DF3E66" w:rsidP="00832773">
      <w:pPr>
        <w:keepNext/>
        <w:keepLines/>
        <w:numPr>
          <w:ilvl w:val="0"/>
          <w:numId w:val="2"/>
        </w:numPr>
        <w:shd w:val="clear" w:color="auto" w:fill="2F86BB"/>
        <w:spacing w:before="240" w:line="276" w:lineRule="auto"/>
        <w:outlineLvl w:val="0"/>
        <w:rPr>
          <w:b/>
          <w:color w:val="FFFFFF"/>
          <w:sz w:val="22"/>
          <w:szCs w:val="22"/>
          <w:lang w:eastAsia="en-US"/>
        </w:rPr>
      </w:pPr>
      <w:bookmarkStart w:id="12" w:name="_Hlk119934094"/>
      <w:r w:rsidRPr="00832773">
        <w:rPr>
          <w:b/>
          <w:color w:val="FFFFFF"/>
          <w:szCs w:val="32"/>
          <w:lang w:eastAsia="en-US"/>
        </w:rPr>
        <w:t>Impacto</w:t>
      </w:r>
      <w:r w:rsidRPr="004E74A6">
        <w:rPr>
          <w:b/>
          <w:color w:val="FFFFFF"/>
          <w:sz w:val="22"/>
          <w:szCs w:val="22"/>
          <w:lang w:eastAsia="en-US"/>
        </w:rPr>
        <w:t xml:space="preserve"> de un cambio de cuantía Civil en Sala Segunda</w:t>
      </w:r>
    </w:p>
    <w:bookmarkEnd w:id="12"/>
    <w:p w14:paraId="04F20F4B" w14:textId="77777777" w:rsidR="00DF2898" w:rsidRDefault="00DF2898" w:rsidP="00CE62C1">
      <w:pPr>
        <w:spacing w:after="160" w:line="276" w:lineRule="auto"/>
        <w:contextualSpacing/>
        <w:rPr>
          <w:rFonts w:eastAsia="Calibri"/>
          <w:szCs w:val="24"/>
          <w:lang w:eastAsia="en-US"/>
        </w:rPr>
      </w:pPr>
    </w:p>
    <w:p w14:paraId="63A32DCF" w14:textId="13FA5095" w:rsidR="00DC4950" w:rsidRPr="004E74A6" w:rsidRDefault="00DC4950" w:rsidP="00CE62C1">
      <w:pPr>
        <w:spacing w:after="160" w:line="276" w:lineRule="auto"/>
        <w:contextualSpacing/>
        <w:rPr>
          <w:rFonts w:eastAsia="Calibri"/>
          <w:szCs w:val="24"/>
          <w:lang w:eastAsia="en-US"/>
        </w:rPr>
      </w:pPr>
      <w:r w:rsidRPr="004E74A6">
        <w:rPr>
          <w:rFonts w:eastAsia="Calibri"/>
          <w:szCs w:val="24"/>
          <w:lang w:eastAsia="en-US"/>
        </w:rPr>
        <w:t xml:space="preserve">Por Ley Orgánica del Poder Judicial, la Sala Segunda es competente para conocer las casaciones en materia </w:t>
      </w:r>
      <w:r w:rsidR="00F13C7D" w:rsidRPr="004E74A6">
        <w:rPr>
          <w:rFonts w:eastAsia="Calibri"/>
          <w:szCs w:val="24"/>
          <w:lang w:eastAsia="en-US"/>
        </w:rPr>
        <w:t>C</w:t>
      </w:r>
      <w:r w:rsidRPr="004E74A6">
        <w:rPr>
          <w:rFonts w:eastAsia="Calibri"/>
          <w:szCs w:val="24"/>
          <w:lang w:eastAsia="en-US"/>
        </w:rPr>
        <w:t xml:space="preserve">oncursal y </w:t>
      </w:r>
      <w:r w:rsidR="00F13C7D" w:rsidRPr="004E74A6">
        <w:rPr>
          <w:rFonts w:eastAsia="Calibri"/>
          <w:szCs w:val="24"/>
          <w:lang w:eastAsia="en-US"/>
        </w:rPr>
        <w:t>S</w:t>
      </w:r>
      <w:r w:rsidRPr="004E74A6">
        <w:rPr>
          <w:rFonts w:eastAsia="Calibri"/>
          <w:szCs w:val="24"/>
          <w:lang w:eastAsia="en-US"/>
        </w:rPr>
        <w:t>ucesoria</w:t>
      </w:r>
      <w:r w:rsidR="00ED333D" w:rsidRPr="004E74A6">
        <w:rPr>
          <w:rFonts w:eastAsia="Calibri"/>
          <w:szCs w:val="24"/>
          <w:lang w:eastAsia="en-US"/>
        </w:rPr>
        <w:t xml:space="preserve"> en procesos ordinarios</w:t>
      </w:r>
      <w:r w:rsidRPr="004E74A6">
        <w:rPr>
          <w:rFonts w:eastAsia="Calibri"/>
          <w:szCs w:val="24"/>
          <w:lang w:eastAsia="en-US"/>
        </w:rPr>
        <w:t xml:space="preserve">. </w:t>
      </w:r>
    </w:p>
    <w:p w14:paraId="4911CF69" w14:textId="77777777" w:rsidR="00ED333D" w:rsidRPr="004E74A6" w:rsidRDefault="00ED333D" w:rsidP="00ED333D">
      <w:pPr>
        <w:spacing w:line="240" w:lineRule="auto"/>
        <w:rPr>
          <w:rFonts w:ascii="Verdana" w:hAnsi="Verdana"/>
          <w:color w:val="000000"/>
          <w:sz w:val="20"/>
          <w:lang w:eastAsia="es-CR"/>
        </w:rPr>
      </w:pPr>
      <w:r w:rsidRPr="004E74A6">
        <w:rPr>
          <w:rFonts w:ascii="Verdana" w:hAnsi="Verdana"/>
          <w:color w:val="000000"/>
          <w:sz w:val="20"/>
          <w:lang w:eastAsia="es-CR"/>
        </w:rPr>
        <w:t xml:space="preserve">    </w:t>
      </w:r>
    </w:p>
    <w:p w14:paraId="373B4CD1" w14:textId="4B8F0777" w:rsidR="00ED333D" w:rsidRPr="00832773" w:rsidRDefault="00ED333D" w:rsidP="00832773">
      <w:pPr>
        <w:spacing w:line="240" w:lineRule="auto"/>
        <w:ind w:left="567" w:right="618"/>
        <w:rPr>
          <w:i/>
          <w:iCs/>
          <w:color w:val="000000"/>
          <w:sz w:val="22"/>
          <w:szCs w:val="22"/>
          <w:lang w:eastAsia="es-CR"/>
        </w:rPr>
      </w:pPr>
      <w:r w:rsidRPr="00832773">
        <w:rPr>
          <w:i/>
          <w:iCs/>
          <w:color w:val="000000"/>
          <w:sz w:val="22"/>
          <w:szCs w:val="22"/>
          <w:lang w:eastAsia="es-CR"/>
        </w:rPr>
        <w:t>“</w:t>
      </w:r>
      <w:r w:rsidRPr="00832773">
        <w:rPr>
          <w:b/>
          <w:bCs/>
          <w:i/>
          <w:iCs/>
          <w:color w:val="000000"/>
          <w:sz w:val="22"/>
          <w:szCs w:val="22"/>
          <w:lang w:eastAsia="es-CR"/>
        </w:rPr>
        <w:t>Artículo 55.- La Sala Segunda conocerá:</w:t>
      </w:r>
    </w:p>
    <w:p w14:paraId="5E12209A" w14:textId="71C11E47" w:rsidR="00ED333D" w:rsidRPr="00832773" w:rsidRDefault="00ED333D" w:rsidP="00832773">
      <w:pPr>
        <w:spacing w:line="240" w:lineRule="auto"/>
        <w:ind w:left="567" w:right="618"/>
        <w:rPr>
          <w:i/>
          <w:iCs/>
          <w:color w:val="000000"/>
          <w:sz w:val="22"/>
          <w:szCs w:val="22"/>
          <w:lang w:eastAsia="es-CR"/>
        </w:rPr>
      </w:pPr>
      <w:r w:rsidRPr="00832773">
        <w:rPr>
          <w:i/>
          <w:iCs/>
          <w:color w:val="000000"/>
          <w:sz w:val="22"/>
          <w:szCs w:val="22"/>
          <w:lang w:eastAsia="es-CR"/>
        </w:rPr>
        <w:t>1.- De los recursos de casación y revisión que procedan, con arreglo a la ley, en juicios ordinarios o abreviados de familia o de derecho sucesorio y en juicios universales, o en las ejecuciones de sentencia en que el recurso no sea del conocimiento de la Sala Primera”.</w:t>
      </w:r>
    </w:p>
    <w:p w14:paraId="653EC6A9" w14:textId="77777777" w:rsidR="00ED333D" w:rsidRPr="004E74A6" w:rsidRDefault="00ED333D" w:rsidP="00CE62C1">
      <w:pPr>
        <w:spacing w:after="160" w:line="276" w:lineRule="auto"/>
        <w:contextualSpacing/>
        <w:rPr>
          <w:rFonts w:eastAsia="Calibri"/>
          <w:szCs w:val="24"/>
          <w:lang w:eastAsia="en-US"/>
        </w:rPr>
      </w:pPr>
    </w:p>
    <w:p w14:paraId="09C6B28B" w14:textId="359642F2" w:rsidR="003855ED" w:rsidRPr="004E74A6" w:rsidRDefault="003855ED" w:rsidP="00CE62C1">
      <w:pPr>
        <w:spacing w:after="160" w:line="276" w:lineRule="auto"/>
        <w:contextualSpacing/>
        <w:rPr>
          <w:rFonts w:eastAsia="Calibri"/>
          <w:szCs w:val="24"/>
          <w:lang w:eastAsia="en-US"/>
        </w:rPr>
      </w:pPr>
      <w:r w:rsidRPr="004E74A6">
        <w:rPr>
          <w:rFonts w:eastAsia="Calibri"/>
          <w:szCs w:val="24"/>
          <w:lang w:eastAsia="en-US"/>
        </w:rPr>
        <w:t>La Sala Segunda posee una composición de su entrada donde el 90% en promedio corresponden a carpetas un tipo de carpetas de recursos, lo cual puede observarse en la siguiente tabla:</w:t>
      </w:r>
    </w:p>
    <w:p w14:paraId="609305C5" w14:textId="25F3BE3F" w:rsidR="003855ED" w:rsidRDefault="003855ED" w:rsidP="00CE62C1">
      <w:pPr>
        <w:spacing w:after="160" w:line="276" w:lineRule="auto"/>
        <w:contextualSpacing/>
        <w:rPr>
          <w:rFonts w:eastAsia="Calibri"/>
          <w:szCs w:val="24"/>
          <w:lang w:eastAsia="en-US"/>
        </w:rPr>
      </w:pPr>
    </w:p>
    <w:p w14:paraId="7A9B8F47" w14:textId="77777777" w:rsidR="00DF2898" w:rsidRDefault="00DF2898" w:rsidP="00CE62C1">
      <w:pPr>
        <w:spacing w:after="160" w:line="276" w:lineRule="auto"/>
        <w:contextualSpacing/>
        <w:rPr>
          <w:rFonts w:eastAsia="Calibri"/>
          <w:szCs w:val="24"/>
          <w:lang w:eastAsia="en-US"/>
        </w:rPr>
      </w:pPr>
    </w:p>
    <w:p w14:paraId="26182B3D" w14:textId="77777777" w:rsidR="00DF2898" w:rsidRDefault="00DF2898" w:rsidP="00CE62C1">
      <w:pPr>
        <w:spacing w:after="160" w:line="276" w:lineRule="auto"/>
        <w:contextualSpacing/>
        <w:rPr>
          <w:rFonts w:eastAsia="Calibri"/>
          <w:szCs w:val="24"/>
          <w:lang w:eastAsia="en-US"/>
        </w:rPr>
      </w:pPr>
    </w:p>
    <w:p w14:paraId="027E5272" w14:textId="40A9883E" w:rsidR="003855ED" w:rsidRPr="00832773" w:rsidRDefault="003855ED" w:rsidP="00832773">
      <w:pPr>
        <w:pStyle w:val="Descripcin"/>
        <w:keepNext/>
        <w:spacing w:line="276" w:lineRule="auto"/>
        <w:jc w:val="center"/>
        <w:rPr>
          <w:i/>
          <w:iCs/>
          <w:sz w:val="20"/>
          <w:szCs w:val="16"/>
        </w:rPr>
      </w:pPr>
      <w:r w:rsidRPr="00832773">
        <w:rPr>
          <w:rFonts w:ascii="Book Antiqua" w:hAnsi="Book Antiqua"/>
          <w:i/>
          <w:iCs/>
          <w:sz w:val="20"/>
          <w:szCs w:val="16"/>
          <w:lang w:val="es-CR"/>
        </w:rPr>
        <w:lastRenderedPageBreak/>
        <w:t xml:space="preserve">Tabla </w:t>
      </w:r>
      <w:r w:rsidRPr="00832773">
        <w:rPr>
          <w:rFonts w:ascii="Book Antiqua" w:hAnsi="Book Antiqua"/>
          <w:i/>
          <w:iCs/>
          <w:sz w:val="20"/>
          <w:szCs w:val="16"/>
          <w:lang w:val="es-CR"/>
        </w:rPr>
        <w:fldChar w:fldCharType="begin"/>
      </w:r>
      <w:r w:rsidRPr="00832773">
        <w:rPr>
          <w:rFonts w:ascii="Book Antiqua" w:hAnsi="Book Antiqua"/>
          <w:i/>
          <w:iCs/>
          <w:sz w:val="20"/>
          <w:szCs w:val="16"/>
          <w:lang w:val="es-CR"/>
        </w:rPr>
        <w:instrText xml:space="preserve"> SEQ Tabla \* ARABIC </w:instrText>
      </w:r>
      <w:r w:rsidRPr="00832773">
        <w:rPr>
          <w:rFonts w:ascii="Book Antiqua" w:hAnsi="Book Antiqua"/>
          <w:i/>
          <w:iCs/>
          <w:sz w:val="20"/>
          <w:szCs w:val="16"/>
          <w:lang w:val="es-CR"/>
        </w:rPr>
        <w:fldChar w:fldCharType="separate"/>
      </w:r>
      <w:r w:rsidR="00374B51">
        <w:rPr>
          <w:rFonts w:ascii="Book Antiqua" w:hAnsi="Book Antiqua"/>
          <w:i/>
          <w:iCs/>
          <w:noProof/>
          <w:sz w:val="20"/>
          <w:szCs w:val="16"/>
          <w:lang w:val="es-CR"/>
        </w:rPr>
        <w:t>71</w:t>
      </w:r>
      <w:r w:rsidRPr="00832773">
        <w:rPr>
          <w:rFonts w:ascii="Book Antiqua" w:hAnsi="Book Antiqua"/>
          <w:i/>
          <w:iCs/>
          <w:sz w:val="20"/>
          <w:szCs w:val="16"/>
          <w:lang w:val="es-CR"/>
        </w:rPr>
        <w:fldChar w:fldCharType="end"/>
      </w:r>
      <w:r w:rsidRPr="00832773">
        <w:rPr>
          <w:rFonts w:ascii="Book Antiqua" w:hAnsi="Book Antiqua"/>
          <w:i/>
          <w:iCs/>
          <w:sz w:val="20"/>
          <w:szCs w:val="16"/>
          <w:lang w:val="es-CR"/>
        </w:rPr>
        <w:t xml:space="preserve"> Cantidad de expedientes entrados en Sala Segunda por tipo de carpeta para los años 2019, 2020 y 2021</w:t>
      </w:r>
    </w:p>
    <w:tbl>
      <w:tblPr>
        <w:tblW w:w="8600" w:type="dxa"/>
        <w:jc w:val="center"/>
        <w:tblCellMar>
          <w:left w:w="70" w:type="dxa"/>
          <w:right w:w="70" w:type="dxa"/>
        </w:tblCellMar>
        <w:tblLook w:val="04A0" w:firstRow="1" w:lastRow="0" w:firstColumn="1" w:lastColumn="0" w:noHBand="0" w:noVBand="1"/>
      </w:tblPr>
      <w:tblGrid>
        <w:gridCol w:w="3740"/>
        <w:gridCol w:w="1240"/>
        <w:gridCol w:w="1240"/>
        <w:gridCol w:w="1240"/>
        <w:gridCol w:w="1140"/>
      </w:tblGrid>
      <w:tr w:rsidR="003855ED" w:rsidRPr="004E74A6" w14:paraId="4B10E520" w14:textId="77777777" w:rsidTr="00832773">
        <w:trPr>
          <w:trHeight w:val="408"/>
          <w:tblHeader/>
          <w:jc w:val="center"/>
        </w:trPr>
        <w:tc>
          <w:tcPr>
            <w:tcW w:w="3740" w:type="dxa"/>
            <w:tcBorders>
              <w:top w:val="single" w:sz="4" w:space="0" w:color="000000"/>
              <w:left w:val="nil"/>
              <w:bottom w:val="single" w:sz="4" w:space="0" w:color="000000"/>
              <w:right w:val="single" w:sz="4" w:space="0" w:color="000000"/>
            </w:tcBorders>
            <w:shd w:val="clear" w:color="auto" w:fill="auto"/>
            <w:noWrap/>
            <w:vAlign w:val="center"/>
            <w:hideMark/>
          </w:tcPr>
          <w:p w14:paraId="700FA049"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Tipo de carpeta</w:t>
            </w:r>
          </w:p>
        </w:tc>
        <w:tc>
          <w:tcPr>
            <w:tcW w:w="1240" w:type="dxa"/>
            <w:tcBorders>
              <w:top w:val="single" w:sz="4" w:space="0" w:color="000000"/>
              <w:left w:val="nil"/>
              <w:bottom w:val="single" w:sz="4" w:space="0" w:color="000000"/>
              <w:right w:val="single" w:sz="4" w:space="0" w:color="000000"/>
            </w:tcBorders>
            <w:shd w:val="clear" w:color="auto" w:fill="auto"/>
            <w:noWrap/>
            <w:vAlign w:val="center"/>
            <w:hideMark/>
          </w:tcPr>
          <w:p w14:paraId="2284F154"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2019</w:t>
            </w:r>
          </w:p>
        </w:tc>
        <w:tc>
          <w:tcPr>
            <w:tcW w:w="1240" w:type="dxa"/>
            <w:tcBorders>
              <w:top w:val="single" w:sz="4" w:space="0" w:color="000000"/>
              <w:left w:val="nil"/>
              <w:bottom w:val="single" w:sz="4" w:space="0" w:color="000000"/>
              <w:right w:val="single" w:sz="4" w:space="0" w:color="000000"/>
            </w:tcBorders>
            <w:shd w:val="clear" w:color="auto" w:fill="auto"/>
            <w:noWrap/>
            <w:vAlign w:val="center"/>
            <w:hideMark/>
          </w:tcPr>
          <w:p w14:paraId="612AF111"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2020</w:t>
            </w:r>
          </w:p>
        </w:tc>
        <w:tc>
          <w:tcPr>
            <w:tcW w:w="1240" w:type="dxa"/>
            <w:tcBorders>
              <w:top w:val="single" w:sz="4" w:space="0" w:color="000000"/>
              <w:left w:val="nil"/>
              <w:bottom w:val="single" w:sz="4" w:space="0" w:color="000000"/>
              <w:right w:val="nil"/>
            </w:tcBorders>
            <w:shd w:val="clear" w:color="auto" w:fill="auto"/>
            <w:noWrap/>
            <w:vAlign w:val="center"/>
            <w:hideMark/>
          </w:tcPr>
          <w:p w14:paraId="476EF2F1"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2021</w:t>
            </w:r>
          </w:p>
        </w:tc>
        <w:tc>
          <w:tcPr>
            <w:tcW w:w="1140" w:type="dxa"/>
            <w:tcBorders>
              <w:top w:val="single" w:sz="4" w:space="0" w:color="000000"/>
              <w:left w:val="single" w:sz="4" w:space="0" w:color="000000"/>
              <w:bottom w:val="single" w:sz="4" w:space="0" w:color="000000"/>
              <w:right w:val="nil"/>
            </w:tcBorders>
            <w:shd w:val="clear" w:color="auto" w:fill="auto"/>
            <w:noWrap/>
            <w:vAlign w:val="center"/>
            <w:hideMark/>
          </w:tcPr>
          <w:p w14:paraId="066AD242"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Promedio</w:t>
            </w:r>
          </w:p>
        </w:tc>
      </w:tr>
      <w:tr w:rsidR="003855ED" w:rsidRPr="004E74A6" w14:paraId="57E41424" w14:textId="77777777" w:rsidTr="00832773">
        <w:trPr>
          <w:trHeight w:val="288"/>
          <w:jc w:val="center"/>
        </w:trPr>
        <w:tc>
          <w:tcPr>
            <w:tcW w:w="3740" w:type="dxa"/>
            <w:tcBorders>
              <w:top w:val="nil"/>
              <w:left w:val="nil"/>
              <w:bottom w:val="nil"/>
              <w:right w:val="single" w:sz="4" w:space="0" w:color="000000"/>
            </w:tcBorders>
            <w:shd w:val="clear" w:color="auto" w:fill="auto"/>
            <w:noWrap/>
            <w:vAlign w:val="center"/>
            <w:hideMark/>
          </w:tcPr>
          <w:p w14:paraId="6232CA79"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 </w:t>
            </w:r>
          </w:p>
        </w:tc>
        <w:tc>
          <w:tcPr>
            <w:tcW w:w="1240" w:type="dxa"/>
            <w:tcBorders>
              <w:top w:val="nil"/>
              <w:left w:val="nil"/>
              <w:bottom w:val="nil"/>
              <w:right w:val="single" w:sz="4" w:space="0" w:color="000000"/>
            </w:tcBorders>
            <w:shd w:val="clear" w:color="auto" w:fill="auto"/>
            <w:noWrap/>
            <w:vAlign w:val="center"/>
            <w:hideMark/>
          </w:tcPr>
          <w:p w14:paraId="518E7998"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 </w:t>
            </w:r>
          </w:p>
        </w:tc>
        <w:tc>
          <w:tcPr>
            <w:tcW w:w="1240" w:type="dxa"/>
            <w:tcBorders>
              <w:top w:val="nil"/>
              <w:left w:val="nil"/>
              <w:bottom w:val="nil"/>
              <w:right w:val="single" w:sz="4" w:space="0" w:color="000000"/>
            </w:tcBorders>
            <w:shd w:val="clear" w:color="auto" w:fill="auto"/>
            <w:noWrap/>
            <w:vAlign w:val="center"/>
            <w:hideMark/>
          </w:tcPr>
          <w:p w14:paraId="61DB9CCD"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 </w:t>
            </w:r>
          </w:p>
        </w:tc>
        <w:tc>
          <w:tcPr>
            <w:tcW w:w="1240" w:type="dxa"/>
            <w:tcBorders>
              <w:top w:val="nil"/>
              <w:left w:val="nil"/>
              <w:bottom w:val="nil"/>
              <w:right w:val="nil"/>
            </w:tcBorders>
            <w:shd w:val="clear" w:color="auto" w:fill="auto"/>
            <w:noWrap/>
            <w:vAlign w:val="center"/>
            <w:hideMark/>
          </w:tcPr>
          <w:p w14:paraId="411B437B"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 </w:t>
            </w:r>
          </w:p>
        </w:tc>
        <w:tc>
          <w:tcPr>
            <w:tcW w:w="1140" w:type="dxa"/>
            <w:tcBorders>
              <w:top w:val="nil"/>
              <w:left w:val="single" w:sz="4" w:space="0" w:color="000000"/>
              <w:bottom w:val="nil"/>
              <w:right w:val="nil"/>
            </w:tcBorders>
            <w:shd w:val="clear" w:color="auto" w:fill="auto"/>
            <w:noWrap/>
            <w:vAlign w:val="center"/>
            <w:hideMark/>
          </w:tcPr>
          <w:p w14:paraId="4DF8ABCF"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 </w:t>
            </w:r>
          </w:p>
        </w:tc>
      </w:tr>
      <w:tr w:rsidR="003855ED" w:rsidRPr="004E74A6" w14:paraId="35E0CED4" w14:textId="77777777" w:rsidTr="00832773">
        <w:trPr>
          <w:trHeight w:val="288"/>
          <w:jc w:val="center"/>
        </w:trPr>
        <w:tc>
          <w:tcPr>
            <w:tcW w:w="3740" w:type="dxa"/>
            <w:tcBorders>
              <w:top w:val="nil"/>
              <w:left w:val="nil"/>
              <w:bottom w:val="nil"/>
              <w:right w:val="single" w:sz="4" w:space="0" w:color="000000"/>
            </w:tcBorders>
            <w:shd w:val="clear" w:color="auto" w:fill="auto"/>
            <w:noWrap/>
            <w:vAlign w:val="center"/>
            <w:hideMark/>
          </w:tcPr>
          <w:p w14:paraId="63E59127" w14:textId="77777777" w:rsidR="003855ED" w:rsidRPr="004E74A6" w:rsidRDefault="003855ED" w:rsidP="00832773">
            <w:pPr>
              <w:spacing w:line="276" w:lineRule="auto"/>
              <w:jc w:val="center"/>
              <w:rPr>
                <w:rFonts w:cs="Calibri"/>
                <w:b/>
                <w:bCs/>
                <w:color w:val="000000"/>
                <w:sz w:val="22"/>
                <w:szCs w:val="22"/>
                <w:lang w:eastAsia="es-CR"/>
              </w:rPr>
            </w:pPr>
            <w:r w:rsidRPr="004E74A6">
              <w:rPr>
                <w:rFonts w:cs="Calibri"/>
                <w:b/>
                <w:bCs/>
                <w:color w:val="000000"/>
                <w:sz w:val="22"/>
                <w:szCs w:val="22"/>
                <w:lang w:eastAsia="es-CR"/>
              </w:rPr>
              <w:t>Total general</w:t>
            </w:r>
          </w:p>
        </w:tc>
        <w:tc>
          <w:tcPr>
            <w:tcW w:w="1240" w:type="dxa"/>
            <w:tcBorders>
              <w:top w:val="nil"/>
              <w:left w:val="nil"/>
              <w:bottom w:val="nil"/>
              <w:right w:val="single" w:sz="4" w:space="0" w:color="000000"/>
            </w:tcBorders>
            <w:shd w:val="clear" w:color="auto" w:fill="auto"/>
            <w:noWrap/>
            <w:vAlign w:val="center"/>
            <w:hideMark/>
          </w:tcPr>
          <w:p w14:paraId="78FE6A78" w14:textId="77777777" w:rsidR="003855ED" w:rsidRPr="004E74A6" w:rsidRDefault="003855ED" w:rsidP="00832773">
            <w:pPr>
              <w:spacing w:line="276" w:lineRule="auto"/>
              <w:jc w:val="center"/>
              <w:rPr>
                <w:rFonts w:cs="Calibri"/>
                <w:b/>
                <w:bCs/>
                <w:color w:val="000000"/>
                <w:sz w:val="22"/>
                <w:szCs w:val="22"/>
                <w:lang w:eastAsia="es-CR"/>
              </w:rPr>
            </w:pPr>
            <w:r w:rsidRPr="004E74A6">
              <w:rPr>
                <w:rFonts w:cs="Calibri"/>
                <w:b/>
                <w:bCs/>
                <w:color w:val="000000"/>
                <w:sz w:val="22"/>
                <w:szCs w:val="22"/>
                <w:lang w:eastAsia="es-CR"/>
              </w:rPr>
              <w:t>3569</w:t>
            </w:r>
          </w:p>
        </w:tc>
        <w:tc>
          <w:tcPr>
            <w:tcW w:w="1240" w:type="dxa"/>
            <w:tcBorders>
              <w:top w:val="nil"/>
              <w:left w:val="nil"/>
              <w:bottom w:val="nil"/>
              <w:right w:val="single" w:sz="4" w:space="0" w:color="000000"/>
            </w:tcBorders>
            <w:shd w:val="clear" w:color="auto" w:fill="auto"/>
            <w:noWrap/>
            <w:vAlign w:val="center"/>
            <w:hideMark/>
          </w:tcPr>
          <w:p w14:paraId="53476D9C" w14:textId="77777777" w:rsidR="003855ED" w:rsidRPr="004E74A6" w:rsidRDefault="003855ED" w:rsidP="00832773">
            <w:pPr>
              <w:spacing w:line="276" w:lineRule="auto"/>
              <w:jc w:val="center"/>
              <w:rPr>
                <w:rFonts w:cs="Calibri"/>
                <w:b/>
                <w:bCs/>
                <w:color w:val="000000"/>
                <w:sz w:val="22"/>
                <w:szCs w:val="22"/>
                <w:lang w:eastAsia="es-CR"/>
              </w:rPr>
            </w:pPr>
            <w:r w:rsidRPr="004E74A6">
              <w:rPr>
                <w:rFonts w:cs="Calibri"/>
                <w:b/>
                <w:bCs/>
                <w:color w:val="000000"/>
                <w:sz w:val="22"/>
                <w:szCs w:val="22"/>
                <w:lang w:eastAsia="es-CR"/>
              </w:rPr>
              <w:t>2969</w:t>
            </w:r>
          </w:p>
        </w:tc>
        <w:tc>
          <w:tcPr>
            <w:tcW w:w="1240" w:type="dxa"/>
            <w:tcBorders>
              <w:top w:val="nil"/>
              <w:left w:val="nil"/>
              <w:bottom w:val="nil"/>
              <w:right w:val="nil"/>
            </w:tcBorders>
            <w:shd w:val="clear" w:color="auto" w:fill="auto"/>
            <w:noWrap/>
            <w:vAlign w:val="center"/>
            <w:hideMark/>
          </w:tcPr>
          <w:p w14:paraId="7644E8CA" w14:textId="77777777" w:rsidR="003855ED" w:rsidRPr="004E74A6" w:rsidRDefault="003855ED" w:rsidP="00832773">
            <w:pPr>
              <w:spacing w:line="276" w:lineRule="auto"/>
              <w:jc w:val="center"/>
              <w:rPr>
                <w:rFonts w:cs="Calibri"/>
                <w:b/>
                <w:bCs/>
                <w:color w:val="000000"/>
                <w:sz w:val="22"/>
                <w:szCs w:val="22"/>
                <w:lang w:eastAsia="es-CR"/>
              </w:rPr>
            </w:pPr>
            <w:r w:rsidRPr="004E74A6">
              <w:rPr>
                <w:rFonts w:cs="Calibri"/>
                <w:b/>
                <w:bCs/>
                <w:color w:val="000000"/>
                <w:sz w:val="22"/>
                <w:szCs w:val="22"/>
                <w:lang w:eastAsia="es-CR"/>
              </w:rPr>
              <w:t>2900</w:t>
            </w:r>
          </w:p>
        </w:tc>
        <w:tc>
          <w:tcPr>
            <w:tcW w:w="1140" w:type="dxa"/>
            <w:tcBorders>
              <w:top w:val="nil"/>
              <w:left w:val="single" w:sz="4" w:space="0" w:color="000000"/>
              <w:bottom w:val="nil"/>
              <w:right w:val="nil"/>
            </w:tcBorders>
            <w:shd w:val="clear" w:color="auto" w:fill="auto"/>
            <w:noWrap/>
            <w:vAlign w:val="center"/>
            <w:hideMark/>
          </w:tcPr>
          <w:p w14:paraId="4CA37588" w14:textId="77777777" w:rsidR="003855ED" w:rsidRPr="004E74A6" w:rsidRDefault="003855ED" w:rsidP="00832773">
            <w:pPr>
              <w:spacing w:line="276" w:lineRule="auto"/>
              <w:jc w:val="center"/>
              <w:rPr>
                <w:rFonts w:cs="Calibri"/>
                <w:b/>
                <w:bCs/>
                <w:color w:val="000000"/>
                <w:sz w:val="22"/>
                <w:szCs w:val="22"/>
                <w:lang w:eastAsia="es-CR"/>
              </w:rPr>
            </w:pPr>
            <w:r w:rsidRPr="004E74A6">
              <w:rPr>
                <w:rFonts w:cs="Calibri"/>
                <w:b/>
                <w:bCs/>
                <w:color w:val="000000"/>
                <w:sz w:val="22"/>
                <w:szCs w:val="22"/>
                <w:lang w:eastAsia="es-CR"/>
              </w:rPr>
              <w:t>3146</w:t>
            </w:r>
          </w:p>
        </w:tc>
      </w:tr>
      <w:tr w:rsidR="003855ED" w:rsidRPr="004E74A6" w14:paraId="448DC0B4" w14:textId="77777777" w:rsidTr="00832773">
        <w:trPr>
          <w:trHeight w:val="288"/>
          <w:jc w:val="center"/>
        </w:trPr>
        <w:tc>
          <w:tcPr>
            <w:tcW w:w="3740" w:type="dxa"/>
            <w:tcBorders>
              <w:top w:val="nil"/>
              <w:left w:val="nil"/>
              <w:bottom w:val="nil"/>
              <w:right w:val="single" w:sz="4" w:space="0" w:color="000000"/>
            </w:tcBorders>
            <w:shd w:val="clear" w:color="auto" w:fill="auto"/>
            <w:noWrap/>
            <w:vAlign w:val="center"/>
            <w:hideMark/>
          </w:tcPr>
          <w:p w14:paraId="0C6B6E7D" w14:textId="77777777" w:rsidR="003855ED" w:rsidRPr="004E74A6" w:rsidRDefault="003855ED" w:rsidP="00832773">
            <w:pPr>
              <w:spacing w:line="276" w:lineRule="auto"/>
              <w:jc w:val="left"/>
              <w:rPr>
                <w:rFonts w:cs="Calibri"/>
                <w:color w:val="000000"/>
                <w:sz w:val="22"/>
                <w:szCs w:val="22"/>
                <w:lang w:eastAsia="es-CR"/>
              </w:rPr>
            </w:pPr>
            <w:r w:rsidRPr="004E74A6">
              <w:rPr>
                <w:rFonts w:cs="Calibri"/>
                <w:color w:val="000000"/>
                <w:sz w:val="22"/>
                <w:szCs w:val="22"/>
                <w:lang w:eastAsia="es-CR"/>
              </w:rPr>
              <w:t> </w:t>
            </w:r>
          </w:p>
        </w:tc>
        <w:tc>
          <w:tcPr>
            <w:tcW w:w="1240" w:type="dxa"/>
            <w:tcBorders>
              <w:top w:val="nil"/>
              <w:left w:val="nil"/>
              <w:bottom w:val="nil"/>
              <w:right w:val="single" w:sz="4" w:space="0" w:color="000000"/>
            </w:tcBorders>
            <w:shd w:val="clear" w:color="auto" w:fill="auto"/>
            <w:noWrap/>
            <w:vAlign w:val="center"/>
            <w:hideMark/>
          </w:tcPr>
          <w:p w14:paraId="107A723A"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 </w:t>
            </w:r>
          </w:p>
        </w:tc>
        <w:tc>
          <w:tcPr>
            <w:tcW w:w="1240" w:type="dxa"/>
            <w:tcBorders>
              <w:top w:val="nil"/>
              <w:left w:val="nil"/>
              <w:bottom w:val="nil"/>
              <w:right w:val="single" w:sz="4" w:space="0" w:color="000000"/>
            </w:tcBorders>
            <w:shd w:val="clear" w:color="auto" w:fill="auto"/>
            <w:noWrap/>
            <w:vAlign w:val="center"/>
            <w:hideMark/>
          </w:tcPr>
          <w:p w14:paraId="447CD31E"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 </w:t>
            </w:r>
          </w:p>
        </w:tc>
        <w:tc>
          <w:tcPr>
            <w:tcW w:w="1240" w:type="dxa"/>
            <w:tcBorders>
              <w:top w:val="nil"/>
              <w:left w:val="nil"/>
              <w:bottom w:val="nil"/>
              <w:right w:val="nil"/>
            </w:tcBorders>
            <w:shd w:val="clear" w:color="auto" w:fill="auto"/>
            <w:noWrap/>
            <w:vAlign w:val="center"/>
            <w:hideMark/>
          </w:tcPr>
          <w:p w14:paraId="03BBFAA5"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 </w:t>
            </w:r>
          </w:p>
        </w:tc>
        <w:tc>
          <w:tcPr>
            <w:tcW w:w="1140" w:type="dxa"/>
            <w:tcBorders>
              <w:top w:val="nil"/>
              <w:left w:val="single" w:sz="4" w:space="0" w:color="000000"/>
              <w:bottom w:val="nil"/>
              <w:right w:val="nil"/>
            </w:tcBorders>
            <w:shd w:val="clear" w:color="auto" w:fill="auto"/>
            <w:noWrap/>
            <w:vAlign w:val="center"/>
            <w:hideMark/>
          </w:tcPr>
          <w:p w14:paraId="5D8B5020" w14:textId="77777777" w:rsidR="003855ED" w:rsidRPr="004E74A6" w:rsidRDefault="003855ED" w:rsidP="00832773">
            <w:pPr>
              <w:spacing w:line="276" w:lineRule="auto"/>
              <w:jc w:val="center"/>
              <w:rPr>
                <w:rFonts w:cs="Calibri"/>
                <w:b/>
                <w:bCs/>
                <w:color w:val="000000"/>
                <w:sz w:val="22"/>
                <w:szCs w:val="22"/>
                <w:lang w:eastAsia="es-CR"/>
              </w:rPr>
            </w:pPr>
            <w:r w:rsidRPr="004E74A6">
              <w:rPr>
                <w:rFonts w:cs="Calibri"/>
                <w:b/>
                <w:bCs/>
                <w:color w:val="000000"/>
                <w:sz w:val="22"/>
                <w:szCs w:val="22"/>
                <w:lang w:eastAsia="es-CR"/>
              </w:rPr>
              <w:t> </w:t>
            </w:r>
          </w:p>
        </w:tc>
      </w:tr>
      <w:tr w:rsidR="003855ED" w:rsidRPr="004E74A6" w14:paraId="3A18E7E8" w14:textId="77777777" w:rsidTr="00832773">
        <w:trPr>
          <w:trHeight w:val="288"/>
          <w:jc w:val="center"/>
        </w:trPr>
        <w:tc>
          <w:tcPr>
            <w:tcW w:w="3740" w:type="dxa"/>
            <w:tcBorders>
              <w:top w:val="nil"/>
              <w:left w:val="nil"/>
              <w:bottom w:val="nil"/>
              <w:right w:val="single" w:sz="4" w:space="0" w:color="000000"/>
            </w:tcBorders>
            <w:shd w:val="clear" w:color="auto" w:fill="auto"/>
            <w:noWrap/>
            <w:vAlign w:val="center"/>
            <w:hideMark/>
          </w:tcPr>
          <w:p w14:paraId="0D269482" w14:textId="77777777" w:rsidR="003855ED" w:rsidRPr="004E74A6" w:rsidRDefault="003855ED" w:rsidP="00832773">
            <w:pPr>
              <w:spacing w:line="276" w:lineRule="auto"/>
              <w:jc w:val="left"/>
              <w:rPr>
                <w:rFonts w:cs="Calibri"/>
                <w:color w:val="000000"/>
                <w:sz w:val="22"/>
                <w:szCs w:val="22"/>
                <w:lang w:eastAsia="es-CR"/>
              </w:rPr>
            </w:pPr>
            <w:r w:rsidRPr="004E74A6">
              <w:rPr>
                <w:rFonts w:cs="Calibri"/>
                <w:color w:val="000000"/>
                <w:sz w:val="22"/>
                <w:szCs w:val="22"/>
                <w:lang w:eastAsia="es-CR"/>
              </w:rPr>
              <w:t>Recurso</w:t>
            </w:r>
          </w:p>
        </w:tc>
        <w:tc>
          <w:tcPr>
            <w:tcW w:w="1240" w:type="dxa"/>
            <w:tcBorders>
              <w:top w:val="nil"/>
              <w:left w:val="nil"/>
              <w:bottom w:val="nil"/>
              <w:right w:val="single" w:sz="4" w:space="0" w:color="000000"/>
            </w:tcBorders>
            <w:shd w:val="clear" w:color="auto" w:fill="auto"/>
            <w:noWrap/>
            <w:vAlign w:val="center"/>
            <w:hideMark/>
          </w:tcPr>
          <w:p w14:paraId="1C1BEDE9"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3134</w:t>
            </w:r>
          </w:p>
        </w:tc>
        <w:tc>
          <w:tcPr>
            <w:tcW w:w="1240" w:type="dxa"/>
            <w:tcBorders>
              <w:top w:val="nil"/>
              <w:left w:val="nil"/>
              <w:bottom w:val="nil"/>
              <w:right w:val="single" w:sz="4" w:space="0" w:color="000000"/>
            </w:tcBorders>
            <w:shd w:val="clear" w:color="auto" w:fill="auto"/>
            <w:noWrap/>
            <w:vAlign w:val="center"/>
            <w:hideMark/>
          </w:tcPr>
          <w:p w14:paraId="7682BD56"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2825</w:t>
            </w:r>
          </w:p>
        </w:tc>
        <w:tc>
          <w:tcPr>
            <w:tcW w:w="1240" w:type="dxa"/>
            <w:tcBorders>
              <w:top w:val="nil"/>
              <w:left w:val="nil"/>
              <w:bottom w:val="nil"/>
              <w:right w:val="nil"/>
            </w:tcBorders>
            <w:shd w:val="clear" w:color="auto" w:fill="auto"/>
            <w:noWrap/>
            <w:vAlign w:val="center"/>
            <w:hideMark/>
          </w:tcPr>
          <w:p w14:paraId="10A68734"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2567</w:t>
            </w:r>
          </w:p>
        </w:tc>
        <w:tc>
          <w:tcPr>
            <w:tcW w:w="1140" w:type="dxa"/>
            <w:tcBorders>
              <w:top w:val="nil"/>
              <w:left w:val="single" w:sz="4" w:space="0" w:color="000000"/>
              <w:bottom w:val="nil"/>
              <w:right w:val="nil"/>
            </w:tcBorders>
            <w:shd w:val="clear" w:color="auto" w:fill="auto"/>
            <w:noWrap/>
            <w:vAlign w:val="center"/>
            <w:hideMark/>
          </w:tcPr>
          <w:p w14:paraId="5F9D8C36"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2842</w:t>
            </w:r>
          </w:p>
        </w:tc>
      </w:tr>
      <w:tr w:rsidR="003855ED" w:rsidRPr="004E74A6" w14:paraId="30941F32" w14:textId="77777777" w:rsidTr="00832773">
        <w:trPr>
          <w:trHeight w:val="288"/>
          <w:jc w:val="center"/>
        </w:trPr>
        <w:tc>
          <w:tcPr>
            <w:tcW w:w="3740" w:type="dxa"/>
            <w:tcBorders>
              <w:top w:val="nil"/>
              <w:left w:val="nil"/>
              <w:bottom w:val="nil"/>
              <w:right w:val="single" w:sz="4" w:space="0" w:color="000000"/>
            </w:tcBorders>
            <w:shd w:val="clear" w:color="auto" w:fill="auto"/>
            <w:noWrap/>
            <w:vAlign w:val="center"/>
            <w:hideMark/>
          </w:tcPr>
          <w:p w14:paraId="68858586" w14:textId="77777777" w:rsidR="003855ED" w:rsidRPr="004E74A6" w:rsidRDefault="003855ED" w:rsidP="00832773">
            <w:pPr>
              <w:spacing w:line="276" w:lineRule="auto"/>
              <w:jc w:val="left"/>
              <w:rPr>
                <w:rFonts w:cs="Calibri"/>
                <w:color w:val="000000"/>
                <w:sz w:val="22"/>
                <w:szCs w:val="22"/>
                <w:lang w:eastAsia="es-CR"/>
              </w:rPr>
            </w:pPr>
            <w:r w:rsidRPr="004E74A6">
              <w:rPr>
                <w:rFonts w:cs="Calibri"/>
                <w:color w:val="000000"/>
                <w:sz w:val="22"/>
                <w:szCs w:val="22"/>
                <w:lang w:eastAsia="es-CR"/>
              </w:rPr>
              <w:t>Principal</w:t>
            </w:r>
          </w:p>
        </w:tc>
        <w:tc>
          <w:tcPr>
            <w:tcW w:w="1240" w:type="dxa"/>
            <w:tcBorders>
              <w:top w:val="nil"/>
              <w:left w:val="nil"/>
              <w:bottom w:val="nil"/>
              <w:right w:val="single" w:sz="4" w:space="0" w:color="000000"/>
            </w:tcBorders>
            <w:shd w:val="clear" w:color="auto" w:fill="auto"/>
            <w:noWrap/>
            <w:vAlign w:val="center"/>
            <w:hideMark/>
          </w:tcPr>
          <w:p w14:paraId="65604224"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421</w:t>
            </w:r>
          </w:p>
        </w:tc>
        <w:tc>
          <w:tcPr>
            <w:tcW w:w="1240" w:type="dxa"/>
            <w:tcBorders>
              <w:top w:val="nil"/>
              <w:left w:val="nil"/>
              <w:bottom w:val="nil"/>
              <w:right w:val="single" w:sz="4" w:space="0" w:color="000000"/>
            </w:tcBorders>
            <w:shd w:val="clear" w:color="auto" w:fill="auto"/>
            <w:noWrap/>
            <w:vAlign w:val="center"/>
            <w:hideMark/>
          </w:tcPr>
          <w:p w14:paraId="38D63E76"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136</w:t>
            </w:r>
          </w:p>
        </w:tc>
        <w:tc>
          <w:tcPr>
            <w:tcW w:w="1240" w:type="dxa"/>
            <w:tcBorders>
              <w:top w:val="nil"/>
              <w:left w:val="nil"/>
              <w:bottom w:val="nil"/>
              <w:right w:val="nil"/>
            </w:tcBorders>
            <w:shd w:val="clear" w:color="auto" w:fill="auto"/>
            <w:noWrap/>
            <w:vAlign w:val="center"/>
            <w:hideMark/>
          </w:tcPr>
          <w:p w14:paraId="0E27177A"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328</w:t>
            </w:r>
          </w:p>
        </w:tc>
        <w:tc>
          <w:tcPr>
            <w:tcW w:w="1140" w:type="dxa"/>
            <w:tcBorders>
              <w:top w:val="nil"/>
              <w:left w:val="single" w:sz="4" w:space="0" w:color="000000"/>
              <w:bottom w:val="nil"/>
              <w:right w:val="nil"/>
            </w:tcBorders>
            <w:shd w:val="clear" w:color="auto" w:fill="auto"/>
            <w:noWrap/>
            <w:vAlign w:val="center"/>
            <w:hideMark/>
          </w:tcPr>
          <w:p w14:paraId="0CBC584C"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295</w:t>
            </w:r>
          </w:p>
        </w:tc>
      </w:tr>
      <w:tr w:rsidR="003855ED" w:rsidRPr="004E74A6" w14:paraId="7365C299" w14:textId="77777777" w:rsidTr="00832773">
        <w:trPr>
          <w:trHeight w:val="288"/>
          <w:jc w:val="center"/>
        </w:trPr>
        <w:tc>
          <w:tcPr>
            <w:tcW w:w="3740" w:type="dxa"/>
            <w:tcBorders>
              <w:top w:val="nil"/>
              <w:left w:val="nil"/>
              <w:bottom w:val="nil"/>
              <w:right w:val="single" w:sz="4" w:space="0" w:color="000000"/>
            </w:tcBorders>
            <w:shd w:val="clear" w:color="auto" w:fill="auto"/>
            <w:noWrap/>
            <w:vAlign w:val="center"/>
            <w:hideMark/>
          </w:tcPr>
          <w:p w14:paraId="3D7D94DC" w14:textId="77777777" w:rsidR="003855ED" w:rsidRPr="004E74A6" w:rsidRDefault="003855ED" w:rsidP="00832773">
            <w:pPr>
              <w:spacing w:line="276" w:lineRule="auto"/>
              <w:jc w:val="left"/>
              <w:rPr>
                <w:rFonts w:cs="Calibri"/>
                <w:color w:val="000000"/>
                <w:sz w:val="22"/>
                <w:szCs w:val="22"/>
                <w:lang w:eastAsia="es-CR"/>
              </w:rPr>
            </w:pPr>
            <w:r w:rsidRPr="004E74A6">
              <w:rPr>
                <w:rFonts w:cs="Calibri"/>
                <w:color w:val="000000"/>
                <w:sz w:val="22"/>
                <w:szCs w:val="22"/>
                <w:lang w:eastAsia="es-CR"/>
              </w:rPr>
              <w:t>Competencia</w:t>
            </w:r>
          </w:p>
        </w:tc>
        <w:tc>
          <w:tcPr>
            <w:tcW w:w="1240" w:type="dxa"/>
            <w:tcBorders>
              <w:top w:val="nil"/>
              <w:left w:val="nil"/>
              <w:bottom w:val="nil"/>
              <w:right w:val="single" w:sz="4" w:space="0" w:color="000000"/>
            </w:tcBorders>
            <w:shd w:val="clear" w:color="auto" w:fill="auto"/>
            <w:noWrap/>
            <w:vAlign w:val="center"/>
            <w:hideMark/>
          </w:tcPr>
          <w:p w14:paraId="15C491A5"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13</w:t>
            </w:r>
          </w:p>
        </w:tc>
        <w:tc>
          <w:tcPr>
            <w:tcW w:w="1240" w:type="dxa"/>
            <w:tcBorders>
              <w:top w:val="nil"/>
              <w:left w:val="nil"/>
              <w:bottom w:val="nil"/>
              <w:right w:val="single" w:sz="4" w:space="0" w:color="000000"/>
            </w:tcBorders>
            <w:shd w:val="clear" w:color="auto" w:fill="auto"/>
            <w:noWrap/>
            <w:vAlign w:val="center"/>
            <w:hideMark/>
          </w:tcPr>
          <w:p w14:paraId="311412A0"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8</w:t>
            </w:r>
          </w:p>
        </w:tc>
        <w:tc>
          <w:tcPr>
            <w:tcW w:w="1240" w:type="dxa"/>
            <w:tcBorders>
              <w:top w:val="nil"/>
              <w:left w:val="nil"/>
              <w:bottom w:val="nil"/>
              <w:right w:val="nil"/>
            </w:tcBorders>
            <w:shd w:val="clear" w:color="auto" w:fill="auto"/>
            <w:noWrap/>
            <w:vAlign w:val="center"/>
            <w:hideMark/>
          </w:tcPr>
          <w:p w14:paraId="6A1B59FE"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5</w:t>
            </w:r>
          </w:p>
        </w:tc>
        <w:tc>
          <w:tcPr>
            <w:tcW w:w="1140" w:type="dxa"/>
            <w:tcBorders>
              <w:top w:val="nil"/>
              <w:left w:val="single" w:sz="4" w:space="0" w:color="000000"/>
              <w:bottom w:val="nil"/>
              <w:right w:val="nil"/>
            </w:tcBorders>
            <w:shd w:val="clear" w:color="auto" w:fill="auto"/>
            <w:noWrap/>
            <w:vAlign w:val="center"/>
            <w:hideMark/>
          </w:tcPr>
          <w:p w14:paraId="36584542"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8,7</w:t>
            </w:r>
          </w:p>
        </w:tc>
      </w:tr>
      <w:tr w:rsidR="003855ED" w:rsidRPr="004E74A6" w14:paraId="4FCD88D9" w14:textId="77777777" w:rsidTr="00832773">
        <w:trPr>
          <w:trHeight w:val="288"/>
          <w:jc w:val="center"/>
        </w:trPr>
        <w:tc>
          <w:tcPr>
            <w:tcW w:w="3740" w:type="dxa"/>
            <w:tcBorders>
              <w:top w:val="nil"/>
              <w:left w:val="nil"/>
              <w:bottom w:val="nil"/>
              <w:right w:val="single" w:sz="4" w:space="0" w:color="000000"/>
            </w:tcBorders>
            <w:shd w:val="clear" w:color="auto" w:fill="auto"/>
            <w:noWrap/>
            <w:vAlign w:val="center"/>
            <w:hideMark/>
          </w:tcPr>
          <w:p w14:paraId="21E76EAE" w14:textId="77777777" w:rsidR="003855ED" w:rsidRPr="004E74A6" w:rsidRDefault="003855ED" w:rsidP="00832773">
            <w:pPr>
              <w:spacing w:line="276" w:lineRule="auto"/>
              <w:jc w:val="left"/>
              <w:rPr>
                <w:rFonts w:cs="Calibri"/>
                <w:color w:val="000000"/>
                <w:sz w:val="22"/>
                <w:szCs w:val="22"/>
                <w:lang w:eastAsia="es-CR"/>
              </w:rPr>
            </w:pPr>
            <w:r w:rsidRPr="004E74A6">
              <w:rPr>
                <w:rFonts w:cs="Calibri"/>
                <w:color w:val="000000"/>
                <w:sz w:val="22"/>
                <w:szCs w:val="22"/>
                <w:lang w:eastAsia="es-CR"/>
              </w:rPr>
              <w:t>Legajo de Medidas Cautelares</w:t>
            </w:r>
          </w:p>
        </w:tc>
        <w:tc>
          <w:tcPr>
            <w:tcW w:w="1240" w:type="dxa"/>
            <w:tcBorders>
              <w:top w:val="nil"/>
              <w:left w:val="nil"/>
              <w:bottom w:val="nil"/>
              <w:right w:val="single" w:sz="4" w:space="0" w:color="000000"/>
            </w:tcBorders>
            <w:shd w:val="clear" w:color="auto" w:fill="auto"/>
            <w:noWrap/>
            <w:vAlign w:val="center"/>
            <w:hideMark/>
          </w:tcPr>
          <w:p w14:paraId="468DCFDE"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1</w:t>
            </w:r>
          </w:p>
        </w:tc>
        <w:tc>
          <w:tcPr>
            <w:tcW w:w="1240" w:type="dxa"/>
            <w:tcBorders>
              <w:top w:val="nil"/>
              <w:left w:val="nil"/>
              <w:bottom w:val="nil"/>
              <w:right w:val="single" w:sz="4" w:space="0" w:color="000000"/>
            </w:tcBorders>
            <w:shd w:val="clear" w:color="auto" w:fill="auto"/>
            <w:noWrap/>
            <w:vAlign w:val="center"/>
            <w:hideMark/>
          </w:tcPr>
          <w:p w14:paraId="496C5C80"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 </w:t>
            </w:r>
          </w:p>
        </w:tc>
        <w:tc>
          <w:tcPr>
            <w:tcW w:w="1240" w:type="dxa"/>
            <w:tcBorders>
              <w:top w:val="nil"/>
              <w:left w:val="nil"/>
              <w:bottom w:val="nil"/>
              <w:right w:val="nil"/>
            </w:tcBorders>
            <w:shd w:val="clear" w:color="auto" w:fill="auto"/>
            <w:noWrap/>
            <w:vAlign w:val="center"/>
            <w:hideMark/>
          </w:tcPr>
          <w:p w14:paraId="5D258712"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 </w:t>
            </w:r>
          </w:p>
        </w:tc>
        <w:tc>
          <w:tcPr>
            <w:tcW w:w="1140" w:type="dxa"/>
            <w:tcBorders>
              <w:top w:val="nil"/>
              <w:left w:val="single" w:sz="4" w:space="0" w:color="000000"/>
              <w:bottom w:val="nil"/>
              <w:right w:val="nil"/>
            </w:tcBorders>
            <w:shd w:val="clear" w:color="auto" w:fill="auto"/>
            <w:noWrap/>
            <w:vAlign w:val="center"/>
            <w:hideMark/>
          </w:tcPr>
          <w:p w14:paraId="03BB9EF3"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1</w:t>
            </w:r>
          </w:p>
        </w:tc>
      </w:tr>
      <w:tr w:rsidR="003855ED" w:rsidRPr="004E74A6" w14:paraId="62BCA077" w14:textId="77777777" w:rsidTr="00832773">
        <w:trPr>
          <w:trHeight w:val="288"/>
          <w:jc w:val="center"/>
        </w:trPr>
        <w:tc>
          <w:tcPr>
            <w:tcW w:w="3740" w:type="dxa"/>
            <w:tcBorders>
              <w:top w:val="nil"/>
              <w:left w:val="nil"/>
              <w:bottom w:val="single" w:sz="4" w:space="0" w:color="000000"/>
              <w:right w:val="single" w:sz="4" w:space="0" w:color="000000"/>
            </w:tcBorders>
            <w:shd w:val="clear" w:color="auto" w:fill="auto"/>
            <w:noWrap/>
            <w:vAlign w:val="center"/>
            <w:hideMark/>
          </w:tcPr>
          <w:p w14:paraId="1B07CBFE" w14:textId="77777777" w:rsidR="003855ED" w:rsidRPr="004E74A6" w:rsidRDefault="003855ED" w:rsidP="00832773">
            <w:pPr>
              <w:spacing w:line="276" w:lineRule="auto"/>
              <w:jc w:val="left"/>
              <w:rPr>
                <w:rFonts w:cs="Calibri"/>
                <w:color w:val="000000"/>
                <w:sz w:val="22"/>
                <w:szCs w:val="22"/>
                <w:lang w:eastAsia="es-CR"/>
              </w:rPr>
            </w:pPr>
            <w:r w:rsidRPr="004E74A6">
              <w:rPr>
                <w:rFonts w:cs="Calibri"/>
                <w:color w:val="000000"/>
                <w:sz w:val="22"/>
                <w:szCs w:val="22"/>
                <w:lang w:eastAsia="es-CR"/>
              </w:rPr>
              <w:t> </w:t>
            </w:r>
          </w:p>
        </w:tc>
        <w:tc>
          <w:tcPr>
            <w:tcW w:w="1240" w:type="dxa"/>
            <w:tcBorders>
              <w:top w:val="nil"/>
              <w:left w:val="nil"/>
              <w:bottom w:val="single" w:sz="4" w:space="0" w:color="000000"/>
              <w:right w:val="single" w:sz="4" w:space="0" w:color="000000"/>
            </w:tcBorders>
            <w:shd w:val="clear" w:color="auto" w:fill="auto"/>
            <w:noWrap/>
            <w:vAlign w:val="center"/>
            <w:hideMark/>
          </w:tcPr>
          <w:p w14:paraId="15299CFA"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 </w:t>
            </w:r>
          </w:p>
        </w:tc>
        <w:tc>
          <w:tcPr>
            <w:tcW w:w="1240" w:type="dxa"/>
            <w:tcBorders>
              <w:top w:val="nil"/>
              <w:left w:val="nil"/>
              <w:bottom w:val="single" w:sz="4" w:space="0" w:color="000000"/>
              <w:right w:val="single" w:sz="4" w:space="0" w:color="000000"/>
            </w:tcBorders>
            <w:shd w:val="clear" w:color="auto" w:fill="auto"/>
            <w:noWrap/>
            <w:vAlign w:val="center"/>
            <w:hideMark/>
          </w:tcPr>
          <w:p w14:paraId="7877E428"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 </w:t>
            </w:r>
          </w:p>
        </w:tc>
        <w:tc>
          <w:tcPr>
            <w:tcW w:w="1240" w:type="dxa"/>
            <w:tcBorders>
              <w:top w:val="nil"/>
              <w:left w:val="nil"/>
              <w:bottom w:val="single" w:sz="4" w:space="0" w:color="000000"/>
              <w:right w:val="nil"/>
            </w:tcBorders>
            <w:shd w:val="clear" w:color="auto" w:fill="auto"/>
            <w:noWrap/>
            <w:vAlign w:val="center"/>
            <w:hideMark/>
          </w:tcPr>
          <w:p w14:paraId="2A78BB5C"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 </w:t>
            </w:r>
          </w:p>
        </w:tc>
        <w:tc>
          <w:tcPr>
            <w:tcW w:w="1140" w:type="dxa"/>
            <w:tcBorders>
              <w:top w:val="nil"/>
              <w:left w:val="single" w:sz="4" w:space="0" w:color="000000"/>
              <w:bottom w:val="single" w:sz="4" w:space="0" w:color="000000"/>
              <w:right w:val="nil"/>
            </w:tcBorders>
            <w:shd w:val="clear" w:color="auto" w:fill="auto"/>
            <w:noWrap/>
            <w:vAlign w:val="center"/>
            <w:hideMark/>
          </w:tcPr>
          <w:p w14:paraId="74B87064" w14:textId="77777777" w:rsidR="003855ED" w:rsidRPr="004E74A6" w:rsidRDefault="003855ED" w:rsidP="00832773">
            <w:pPr>
              <w:spacing w:line="276" w:lineRule="auto"/>
              <w:jc w:val="center"/>
              <w:rPr>
                <w:rFonts w:cs="Calibri"/>
                <w:b/>
                <w:bCs/>
                <w:color w:val="000000"/>
                <w:sz w:val="22"/>
                <w:szCs w:val="22"/>
                <w:lang w:eastAsia="es-CR"/>
              </w:rPr>
            </w:pPr>
            <w:r w:rsidRPr="004E74A6">
              <w:rPr>
                <w:rFonts w:cs="Calibri"/>
                <w:b/>
                <w:bCs/>
                <w:color w:val="000000"/>
                <w:sz w:val="22"/>
                <w:szCs w:val="22"/>
                <w:lang w:eastAsia="es-CR"/>
              </w:rPr>
              <w:t> </w:t>
            </w:r>
          </w:p>
        </w:tc>
      </w:tr>
    </w:tbl>
    <w:p w14:paraId="0DD7B01A" w14:textId="3EBB7420" w:rsidR="003855ED" w:rsidRPr="004E74A6" w:rsidRDefault="003855ED" w:rsidP="00832773">
      <w:pPr>
        <w:spacing w:line="276" w:lineRule="auto"/>
        <w:ind w:left="142" w:right="1191"/>
        <w:rPr>
          <w:rFonts w:cs="Calibri"/>
          <w:i/>
          <w:iCs/>
          <w:color w:val="000000"/>
          <w:sz w:val="20"/>
          <w:lang w:eastAsia="es-CR"/>
        </w:rPr>
      </w:pPr>
      <w:r w:rsidRPr="004E74A6">
        <w:rPr>
          <w:rFonts w:cs="Calibri"/>
          <w:b/>
          <w:bCs/>
          <w:i/>
          <w:iCs/>
          <w:color w:val="000000"/>
          <w:sz w:val="20"/>
          <w:lang w:eastAsia="es-CR"/>
        </w:rPr>
        <w:t>Fuente</w:t>
      </w:r>
      <w:r w:rsidRPr="004E74A6">
        <w:rPr>
          <w:rFonts w:cs="Calibri"/>
          <w:i/>
          <w:iCs/>
          <w:color w:val="000000"/>
          <w:sz w:val="20"/>
          <w:lang w:eastAsia="es-CR"/>
        </w:rPr>
        <w:t>: Subproceso de Modernización Institucional con datos extraídos del sistema SIGMA, Dirección de Planificación. Reporte cuantías 18-11-2022.</w:t>
      </w:r>
    </w:p>
    <w:p w14:paraId="1A9CC8BD" w14:textId="35BF62A7" w:rsidR="003855ED" w:rsidRPr="004E74A6" w:rsidRDefault="003855ED" w:rsidP="00CE62C1">
      <w:pPr>
        <w:spacing w:after="160" w:line="276" w:lineRule="auto"/>
        <w:contextualSpacing/>
        <w:rPr>
          <w:rFonts w:eastAsia="Calibri"/>
          <w:szCs w:val="24"/>
          <w:lang w:eastAsia="en-US"/>
        </w:rPr>
      </w:pPr>
    </w:p>
    <w:p w14:paraId="0DA7A209" w14:textId="6575617F" w:rsidR="003855ED" w:rsidRPr="004E74A6" w:rsidRDefault="003855ED" w:rsidP="00CE62C1">
      <w:pPr>
        <w:spacing w:after="160" w:line="276" w:lineRule="auto"/>
        <w:contextualSpacing/>
        <w:rPr>
          <w:rFonts w:eastAsia="Calibri"/>
          <w:szCs w:val="24"/>
          <w:lang w:eastAsia="en-US"/>
        </w:rPr>
      </w:pPr>
      <w:r w:rsidRPr="004E74A6">
        <w:rPr>
          <w:rFonts w:eastAsia="Calibri"/>
          <w:szCs w:val="24"/>
          <w:lang w:eastAsia="en-US"/>
        </w:rPr>
        <w:t>Dichos recursos ingresan principalmente por casación, conformando el 96% de la entrada para la Sala, seguido de un 2% de la revisión y 1% de competencias.</w:t>
      </w:r>
    </w:p>
    <w:p w14:paraId="632A28DD" w14:textId="77777777" w:rsidR="003855ED" w:rsidRPr="004E74A6" w:rsidRDefault="003855ED" w:rsidP="00CE62C1">
      <w:pPr>
        <w:spacing w:after="160" w:line="276" w:lineRule="auto"/>
        <w:contextualSpacing/>
        <w:rPr>
          <w:rFonts w:eastAsia="Calibri"/>
          <w:szCs w:val="24"/>
          <w:lang w:eastAsia="en-US"/>
        </w:rPr>
      </w:pPr>
    </w:p>
    <w:p w14:paraId="3C80BAF6" w14:textId="377D2CC6" w:rsidR="003855ED" w:rsidRPr="00832773" w:rsidRDefault="003855ED" w:rsidP="00832773">
      <w:pPr>
        <w:pStyle w:val="Descripcin"/>
        <w:keepNext/>
        <w:spacing w:line="276" w:lineRule="auto"/>
        <w:jc w:val="center"/>
        <w:rPr>
          <w:i/>
          <w:iCs/>
          <w:sz w:val="20"/>
          <w:szCs w:val="16"/>
        </w:rPr>
      </w:pPr>
      <w:r w:rsidRPr="00832773">
        <w:rPr>
          <w:rFonts w:ascii="Book Antiqua" w:hAnsi="Book Antiqua"/>
          <w:i/>
          <w:iCs/>
          <w:sz w:val="20"/>
          <w:szCs w:val="16"/>
          <w:lang w:val="es-CR"/>
        </w:rPr>
        <w:t xml:space="preserve">Tabla </w:t>
      </w:r>
      <w:r w:rsidRPr="00832773">
        <w:rPr>
          <w:rFonts w:ascii="Book Antiqua" w:hAnsi="Book Antiqua"/>
          <w:i/>
          <w:iCs/>
          <w:sz w:val="20"/>
          <w:szCs w:val="16"/>
          <w:lang w:val="es-CR"/>
        </w:rPr>
        <w:fldChar w:fldCharType="begin"/>
      </w:r>
      <w:r w:rsidRPr="00832773">
        <w:rPr>
          <w:rFonts w:ascii="Book Antiqua" w:hAnsi="Book Antiqua"/>
          <w:i/>
          <w:iCs/>
          <w:sz w:val="20"/>
          <w:szCs w:val="16"/>
          <w:lang w:val="es-CR"/>
        </w:rPr>
        <w:instrText xml:space="preserve"> SEQ Tabla \* ARABIC </w:instrText>
      </w:r>
      <w:r w:rsidRPr="00832773">
        <w:rPr>
          <w:rFonts w:ascii="Book Antiqua" w:hAnsi="Book Antiqua"/>
          <w:i/>
          <w:iCs/>
          <w:sz w:val="20"/>
          <w:szCs w:val="16"/>
          <w:lang w:val="es-CR"/>
        </w:rPr>
        <w:fldChar w:fldCharType="separate"/>
      </w:r>
      <w:r w:rsidR="00374B51">
        <w:rPr>
          <w:rFonts w:ascii="Book Antiqua" w:hAnsi="Book Antiqua"/>
          <w:i/>
          <w:iCs/>
          <w:noProof/>
          <w:sz w:val="20"/>
          <w:szCs w:val="16"/>
          <w:lang w:val="es-CR"/>
        </w:rPr>
        <w:t>72</w:t>
      </w:r>
      <w:r w:rsidRPr="00832773">
        <w:rPr>
          <w:rFonts w:ascii="Book Antiqua" w:hAnsi="Book Antiqua"/>
          <w:i/>
          <w:iCs/>
          <w:sz w:val="20"/>
          <w:szCs w:val="16"/>
          <w:lang w:val="es-CR"/>
        </w:rPr>
        <w:fldChar w:fldCharType="end"/>
      </w:r>
      <w:r w:rsidRPr="00832773">
        <w:rPr>
          <w:rFonts w:ascii="Book Antiqua" w:hAnsi="Book Antiqua"/>
          <w:i/>
          <w:iCs/>
          <w:sz w:val="20"/>
          <w:szCs w:val="16"/>
          <w:lang w:val="es-CR"/>
        </w:rPr>
        <w:t xml:space="preserve"> Cantidad de expedientes entrados en Sala Segunda según procedimiento para los años 2019, 2020 y 2021</w:t>
      </w:r>
    </w:p>
    <w:tbl>
      <w:tblPr>
        <w:tblW w:w="8600" w:type="dxa"/>
        <w:jc w:val="center"/>
        <w:tblCellMar>
          <w:left w:w="70" w:type="dxa"/>
          <w:right w:w="70" w:type="dxa"/>
        </w:tblCellMar>
        <w:tblLook w:val="04A0" w:firstRow="1" w:lastRow="0" w:firstColumn="1" w:lastColumn="0" w:noHBand="0" w:noVBand="1"/>
      </w:tblPr>
      <w:tblGrid>
        <w:gridCol w:w="3740"/>
        <w:gridCol w:w="1240"/>
        <w:gridCol w:w="1240"/>
        <w:gridCol w:w="1240"/>
        <w:gridCol w:w="1140"/>
      </w:tblGrid>
      <w:tr w:rsidR="003855ED" w:rsidRPr="004E74A6" w14:paraId="0573C7A7" w14:textId="77777777" w:rsidTr="00832773">
        <w:trPr>
          <w:trHeight w:val="432"/>
          <w:tblHeader/>
          <w:jc w:val="center"/>
        </w:trPr>
        <w:tc>
          <w:tcPr>
            <w:tcW w:w="3740" w:type="dxa"/>
            <w:tcBorders>
              <w:top w:val="single" w:sz="4" w:space="0" w:color="auto"/>
              <w:left w:val="nil"/>
              <w:bottom w:val="single" w:sz="4" w:space="0" w:color="auto"/>
              <w:right w:val="single" w:sz="4" w:space="0" w:color="auto"/>
            </w:tcBorders>
            <w:shd w:val="clear" w:color="auto" w:fill="auto"/>
            <w:noWrap/>
            <w:vAlign w:val="center"/>
            <w:hideMark/>
          </w:tcPr>
          <w:p w14:paraId="5CE933C4" w14:textId="3E4EF681"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Procedimiento</w:t>
            </w:r>
          </w:p>
        </w:tc>
        <w:tc>
          <w:tcPr>
            <w:tcW w:w="1240" w:type="dxa"/>
            <w:tcBorders>
              <w:top w:val="single" w:sz="4" w:space="0" w:color="auto"/>
              <w:left w:val="nil"/>
              <w:bottom w:val="single" w:sz="4" w:space="0" w:color="auto"/>
              <w:right w:val="single" w:sz="4" w:space="0" w:color="auto"/>
            </w:tcBorders>
            <w:shd w:val="clear" w:color="auto" w:fill="auto"/>
            <w:noWrap/>
            <w:vAlign w:val="center"/>
            <w:hideMark/>
          </w:tcPr>
          <w:p w14:paraId="7973D505"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2019</w:t>
            </w:r>
          </w:p>
        </w:tc>
        <w:tc>
          <w:tcPr>
            <w:tcW w:w="1240" w:type="dxa"/>
            <w:tcBorders>
              <w:top w:val="single" w:sz="4" w:space="0" w:color="auto"/>
              <w:left w:val="nil"/>
              <w:bottom w:val="single" w:sz="4" w:space="0" w:color="auto"/>
              <w:right w:val="single" w:sz="4" w:space="0" w:color="auto"/>
            </w:tcBorders>
            <w:shd w:val="clear" w:color="auto" w:fill="auto"/>
            <w:noWrap/>
            <w:vAlign w:val="center"/>
            <w:hideMark/>
          </w:tcPr>
          <w:p w14:paraId="6BC01374"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2020</w:t>
            </w:r>
          </w:p>
        </w:tc>
        <w:tc>
          <w:tcPr>
            <w:tcW w:w="1240" w:type="dxa"/>
            <w:tcBorders>
              <w:top w:val="single" w:sz="4" w:space="0" w:color="auto"/>
              <w:left w:val="nil"/>
              <w:bottom w:val="single" w:sz="4" w:space="0" w:color="auto"/>
              <w:right w:val="single" w:sz="4" w:space="0" w:color="auto"/>
            </w:tcBorders>
            <w:shd w:val="clear" w:color="auto" w:fill="auto"/>
            <w:noWrap/>
            <w:vAlign w:val="center"/>
            <w:hideMark/>
          </w:tcPr>
          <w:p w14:paraId="42B7460C"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2021</w:t>
            </w:r>
          </w:p>
        </w:tc>
        <w:tc>
          <w:tcPr>
            <w:tcW w:w="1140" w:type="dxa"/>
            <w:tcBorders>
              <w:top w:val="single" w:sz="4" w:space="0" w:color="auto"/>
              <w:left w:val="nil"/>
              <w:bottom w:val="single" w:sz="4" w:space="0" w:color="auto"/>
              <w:right w:val="nil"/>
            </w:tcBorders>
            <w:shd w:val="clear" w:color="auto" w:fill="auto"/>
            <w:noWrap/>
            <w:vAlign w:val="center"/>
            <w:hideMark/>
          </w:tcPr>
          <w:p w14:paraId="0C070C69"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Promedio</w:t>
            </w:r>
          </w:p>
        </w:tc>
      </w:tr>
      <w:tr w:rsidR="003855ED" w:rsidRPr="004E74A6" w14:paraId="4BE26997" w14:textId="77777777" w:rsidTr="00832773">
        <w:trPr>
          <w:trHeight w:val="288"/>
          <w:jc w:val="center"/>
        </w:trPr>
        <w:tc>
          <w:tcPr>
            <w:tcW w:w="3740" w:type="dxa"/>
            <w:tcBorders>
              <w:top w:val="nil"/>
              <w:left w:val="nil"/>
              <w:bottom w:val="nil"/>
              <w:right w:val="single" w:sz="4" w:space="0" w:color="auto"/>
            </w:tcBorders>
            <w:shd w:val="clear" w:color="auto" w:fill="auto"/>
            <w:noWrap/>
            <w:vAlign w:val="center"/>
            <w:hideMark/>
          </w:tcPr>
          <w:p w14:paraId="45BF0B4A"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 </w:t>
            </w:r>
          </w:p>
        </w:tc>
        <w:tc>
          <w:tcPr>
            <w:tcW w:w="1240" w:type="dxa"/>
            <w:tcBorders>
              <w:top w:val="nil"/>
              <w:left w:val="nil"/>
              <w:bottom w:val="nil"/>
              <w:right w:val="single" w:sz="4" w:space="0" w:color="auto"/>
            </w:tcBorders>
            <w:shd w:val="clear" w:color="auto" w:fill="auto"/>
            <w:noWrap/>
            <w:vAlign w:val="center"/>
            <w:hideMark/>
          </w:tcPr>
          <w:p w14:paraId="4D20E382"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 </w:t>
            </w:r>
          </w:p>
        </w:tc>
        <w:tc>
          <w:tcPr>
            <w:tcW w:w="1240" w:type="dxa"/>
            <w:tcBorders>
              <w:top w:val="nil"/>
              <w:left w:val="nil"/>
              <w:bottom w:val="nil"/>
              <w:right w:val="single" w:sz="4" w:space="0" w:color="auto"/>
            </w:tcBorders>
            <w:shd w:val="clear" w:color="auto" w:fill="auto"/>
            <w:noWrap/>
            <w:vAlign w:val="center"/>
            <w:hideMark/>
          </w:tcPr>
          <w:p w14:paraId="01C4D2F7"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 </w:t>
            </w:r>
          </w:p>
        </w:tc>
        <w:tc>
          <w:tcPr>
            <w:tcW w:w="1240" w:type="dxa"/>
            <w:tcBorders>
              <w:top w:val="nil"/>
              <w:left w:val="nil"/>
              <w:bottom w:val="nil"/>
              <w:right w:val="single" w:sz="4" w:space="0" w:color="auto"/>
            </w:tcBorders>
            <w:shd w:val="clear" w:color="auto" w:fill="auto"/>
            <w:noWrap/>
            <w:vAlign w:val="center"/>
            <w:hideMark/>
          </w:tcPr>
          <w:p w14:paraId="76DDEDF2"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 </w:t>
            </w:r>
          </w:p>
        </w:tc>
        <w:tc>
          <w:tcPr>
            <w:tcW w:w="1140" w:type="dxa"/>
            <w:tcBorders>
              <w:top w:val="nil"/>
              <w:left w:val="nil"/>
              <w:bottom w:val="nil"/>
              <w:right w:val="nil"/>
            </w:tcBorders>
            <w:shd w:val="clear" w:color="auto" w:fill="auto"/>
            <w:noWrap/>
            <w:vAlign w:val="center"/>
            <w:hideMark/>
          </w:tcPr>
          <w:p w14:paraId="3AFE612A"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 </w:t>
            </w:r>
          </w:p>
        </w:tc>
      </w:tr>
      <w:tr w:rsidR="003855ED" w:rsidRPr="004E74A6" w14:paraId="7BBDDC00" w14:textId="77777777" w:rsidTr="00832773">
        <w:trPr>
          <w:trHeight w:val="288"/>
          <w:jc w:val="center"/>
        </w:trPr>
        <w:tc>
          <w:tcPr>
            <w:tcW w:w="3740" w:type="dxa"/>
            <w:tcBorders>
              <w:top w:val="nil"/>
              <w:left w:val="nil"/>
              <w:bottom w:val="nil"/>
              <w:right w:val="single" w:sz="4" w:space="0" w:color="auto"/>
            </w:tcBorders>
            <w:shd w:val="clear" w:color="auto" w:fill="auto"/>
            <w:noWrap/>
            <w:vAlign w:val="center"/>
            <w:hideMark/>
          </w:tcPr>
          <w:p w14:paraId="47F99DD2" w14:textId="77777777" w:rsidR="003855ED" w:rsidRPr="004E74A6" w:rsidRDefault="003855ED" w:rsidP="00832773">
            <w:pPr>
              <w:spacing w:line="276" w:lineRule="auto"/>
              <w:jc w:val="center"/>
              <w:rPr>
                <w:rFonts w:cs="Calibri"/>
                <w:b/>
                <w:bCs/>
                <w:color w:val="000000"/>
                <w:sz w:val="22"/>
                <w:szCs w:val="22"/>
                <w:lang w:eastAsia="es-CR"/>
              </w:rPr>
            </w:pPr>
            <w:r w:rsidRPr="004E74A6">
              <w:rPr>
                <w:rFonts w:cs="Calibri"/>
                <w:b/>
                <w:bCs/>
                <w:color w:val="000000"/>
                <w:sz w:val="22"/>
                <w:szCs w:val="22"/>
                <w:lang w:eastAsia="es-CR"/>
              </w:rPr>
              <w:t>Total general</w:t>
            </w:r>
          </w:p>
        </w:tc>
        <w:tc>
          <w:tcPr>
            <w:tcW w:w="1240" w:type="dxa"/>
            <w:tcBorders>
              <w:top w:val="nil"/>
              <w:left w:val="nil"/>
              <w:bottom w:val="nil"/>
              <w:right w:val="single" w:sz="4" w:space="0" w:color="auto"/>
            </w:tcBorders>
            <w:shd w:val="clear" w:color="auto" w:fill="auto"/>
            <w:noWrap/>
            <w:vAlign w:val="center"/>
            <w:hideMark/>
          </w:tcPr>
          <w:p w14:paraId="4E286492" w14:textId="77777777" w:rsidR="003855ED" w:rsidRPr="004E74A6" w:rsidRDefault="003855ED" w:rsidP="00832773">
            <w:pPr>
              <w:spacing w:line="276" w:lineRule="auto"/>
              <w:jc w:val="center"/>
              <w:rPr>
                <w:rFonts w:cs="Calibri"/>
                <w:b/>
                <w:bCs/>
                <w:color w:val="000000"/>
                <w:sz w:val="22"/>
                <w:szCs w:val="22"/>
                <w:lang w:eastAsia="es-CR"/>
              </w:rPr>
            </w:pPr>
            <w:r w:rsidRPr="004E74A6">
              <w:rPr>
                <w:rFonts w:cs="Calibri"/>
                <w:b/>
                <w:bCs/>
                <w:color w:val="000000"/>
                <w:sz w:val="22"/>
                <w:szCs w:val="22"/>
                <w:lang w:eastAsia="es-CR"/>
              </w:rPr>
              <w:t>3134</w:t>
            </w:r>
          </w:p>
        </w:tc>
        <w:tc>
          <w:tcPr>
            <w:tcW w:w="1240" w:type="dxa"/>
            <w:tcBorders>
              <w:top w:val="nil"/>
              <w:left w:val="nil"/>
              <w:bottom w:val="nil"/>
              <w:right w:val="single" w:sz="4" w:space="0" w:color="auto"/>
            </w:tcBorders>
            <w:shd w:val="clear" w:color="auto" w:fill="auto"/>
            <w:noWrap/>
            <w:vAlign w:val="center"/>
            <w:hideMark/>
          </w:tcPr>
          <w:p w14:paraId="7EA7025D" w14:textId="77777777" w:rsidR="003855ED" w:rsidRPr="004E74A6" w:rsidRDefault="003855ED" w:rsidP="00832773">
            <w:pPr>
              <w:spacing w:line="276" w:lineRule="auto"/>
              <w:jc w:val="center"/>
              <w:rPr>
                <w:rFonts w:cs="Calibri"/>
                <w:b/>
                <w:bCs/>
                <w:color w:val="000000"/>
                <w:sz w:val="22"/>
                <w:szCs w:val="22"/>
                <w:lang w:eastAsia="es-CR"/>
              </w:rPr>
            </w:pPr>
            <w:r w:rsidRPr="004E74A6">
              <w:rPr>
                <w:rFonts w:cs="Calibri"/>
                <w:b/>
                <w:bCs/>
                <w:color w:val="000000"/>
                <w:sz w:val="22"/>
                <w:szCs w:val="22"/>
                <w:lang w:eastAsia="es-CR"/>
              </w:rPr>
              <w:t>2825</w:t>
            </w:r>
          </w:p>
        </w:tc>
        <w:tc>
          <w:tcPr>
            <w:tcW w:w="1240" w:type="dxa"/>
            <w:tcBorders>
              <w:top w:val="nil"/>
              <w:left w:val="nil"/>
              <w:bottom w:val="nil"/>
              <w:right w:val="single" w:sz="4" w:space="0" w:color="auto"/>
            </w:tcBorders>
            <w:shd w:val="clear" w:color="auto" w:fill="auto"/>
            <w:noWrap/>
            <w:vAlign w:val="center"/>
            <w:hideMark/>
          </w:tcPr>
          <w:p w14:paraId="68129501" w14:textId="77777777" w:rsidR="003855ED" w:rsidRPr="004E74A6" w:rsidRDefault="003855ED" w:rsidP="00832773">
            <w:pPr>
              <w:spacing w:line="276" w:lineRule="auto"/>
              <w:jc w:val="center"/>
              <w:rPr>
                <w:rFonts w:cs="Calibri"/>
                <w:b/>
                <w:bCs/>
                <w:color w:val="000000"/>
                <w:sz w:val="22"/>
                <w:szCs w:val="22"/>
                <w:lang w:eastAsia="es-CR"/>
              </w:rPr>
            </w:pPr>
            <w:r w:rsidRPr="004E74A6">
              <w:rPr>
                <w:rFonts w:cs="Calibri"/>
                <w:b/>
                <w:bCs/>
                <w:color w:val="000000"/>
                <w:sz w:val="22"/>
                <w:szCs w:val="22"/>
                <w:lang w:eastAsia="es-CR"/>
              </w:rPr>
              <w:t>2567</w:t>
            </w:r>
          </w:p>
        </w:tc>
        <w:tc>
          <w:tcPr>
            <w:tcW w:w="1140" w:type="dxa"/>
            <w:tcBorders>
              <w:top w:val="nil"/>
              <w:left w:val="nil"/>
              <w:bottom w:val="nil"/>
              <w:right w:val="nil"/>
            </w:tcBorders>
            <w:shd w:val="clear" w:color="auto" w:fill="auto"/>
            <w:noWrap/>
            <w:vAlign w:val="center"/>
            <w:hideMark/>
          </w:tcPr>
          <w:p w14:paraId="2BEB44DF" w14:textId="77777777" w:rsidR="003855ED" w:rsidRPr="004E74A6" w:rsidRDefault="003855ED" w:rsidP="00832773">
            <w:pPr>
              <w:spacing w:line="276" w:lineRule="auto"/>
              <w:jc w:val="center"/>
              <w:rPr>
                <w:rFonts w:cs="Calibri"/>
                <w:b/>
                <w:bCs/>
                <w:color w:val="000000"/>
                <w:sz w:val="22"/>
                <w:szCs w:val="22"/>
                <w:lang w:eastAsia="es-CR"/>
              </w:rPr>
            </w:pPr>
            <w:r w:rsidRPr="004E74A6">
              <w:rPr>
                <w:rFonts w:cs="Calibri"/>
                <w:b/>
                <w:bCs/>
                <w:color w:val="000000"/>
                <w:sz w:val="22"/>
                <w:szCs w:val="22"/>
                <w:lang w:eastAsia="es-CR"/>
              </w:rPr>
              <w:t>2842</w:t>
            </w:r>
          </w:p>
        </w:tc>
      </w:tr>
      <w:tr w:rsidR="003855ED" w:rsidRPr="004E74A6" w14:paraId="093F5171" w14:textId="77777777" w:rsidTr="00832773">
        <w:trPr>
          <w:trHeight w:val="288"/>
          <w:jc w:val="center"/>
        </w:trPr>
        <w:tc>
          <w:tcPr>
            <w:tcW w:w="3740" w:type="dxa"/>
            <w:tcBorders>
              <w:top w:val="nil"/>
              <w:left w:val="nil"/>
              <w:bottom w:val="nil"/>
              <w:right w:val="single" w:sz="4" w:space="0" w:color="auto"/>
            </w:tcBorders>
            <w:shd w:val="clear" w:color="auto" w:fill="auto"/>
            <w:noWrap/>
            <w:vAlign w:val="bottom"/>
            <w:hideMark/>
          </w:tcPr>
          <w:p w14:paraId="3DADE6A8" w14:textId="77777777" w:rsidR="003855ED" w:rsidRPr="004E74A6" w:rsidRDefault="003855ED" w:rsidP="00832773">
            <w:pPr>
              <w:spacing w:line="276" w:lineRule="auto"/>
              <w:jc w:val="left"/>
              <w:rPr>
                <w:rFonts w:cs="Calibri"/>
                <w:color w:val="000000"/>
                <w:sz w:val="22"/>
                <w:szCs w:val="22"/>
                <w:lang w:eastAsia="es-CR"/>
              </w:rPr>
            </w:pPr>
            <w:r w:rsidRPr="004E74A6">
              <w:rPr>
                <w:rFonts w:cs="Calibri"/>
                <w:color w:val="000000"/>
                <w:sz w:val="22"/>
                <w:szCs w:val="22"/>
                <w:lang w:eastAsia="es-CR"/>
              </w:rPr>
              <w:t> </w:t>
            </w:r>
          </w:p>
        </w:tc>
        <w:tc>
          <w:tcPr>
            <w:tcW w:w="1240" w:type="dxa"/>
            <w:tcBorders>
              <w:top w:val="nil"/>
              <w:left w:val="nil"/>
              <w:bottom w:val="nil"/>
              <w:right w:val="single" w:sz="4" w:space="0" w:color="auto"/>
            </w:tcBorders>
            <w:shd w:val="clear" w:color="auto" w:fill="auto"/>
            <w:noWrap/>
            <w:vAlign w:val="center"/>
            <w:hideMark/>
          </w:tcPr>
          <w:p w14:paraId="5376A235"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 </w:t>
            </w:r>
          </w:p>
        </w:tc>
        <w:tc>
          <w:tcPr>
            <w:tcW w:w="1240" w:type="dxa"/>
            <w:tcBorders>
              <w:top w:val="nil"/>
              <w:left w:val="nil"/>
              <w:bottom w:val="nil"/>
              <w:right w:val="single" w:sz="4" w:space="0" w:color="auto"/>
            </w:tcBorders>
            <w:shd w:val="clear" w:color="auto" w:fill="auto"/>
            <w:noWrap/>
            <w:vAlign w:val="center"/>
            <w:hideMark/>
          </w:tcPr>
          <w:p w14:paraId="0939A9AB"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 </w:t>
            </w:r>
          </w:p>
        </w:tc>
        <w:tc>
          <w:tcPr>
            <w:tcW w:w="1240" w:type="dxa"/>
            <w:tcBorders>
              <w:top w:val="nil"/>
              <w:left w:val="nil"/>
              <w:bottom w:val="nil"/>
              <w:right w:val="single" w:sz="4" w:space="0" w:color="auto"/>
            </w:tcBorders>
            <w:shd w:val="clear" w:color="auto" w:fill="auto"/>
            <w:noWrap/>
            <w:vAlign w:val="center"/>
            <w:hideMark/>
          </w:tcPr>
          <w:p w14:paraId="042EB381"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 </w:t>
            </w:r>
          </w:p>
        </w:tc>
        <w:tc>
          <w:tcPr>
            <w:tcW w:w="1140" w:type="dxa"/>
            <w:tcBorders>
              <w:top w:val="nil"/>
              <w:left w:val="nil"/>
              <w:bottom w:val="nil"/>
              <w:right w:val="nil"/>
            </w:tcBorders>
            <w:shd w:val="clear" w:color="auto" w:fill="auto"/>
            <w:noWrap/>
            <w:vAlign w:val="center"/>
            <w:hideMark/>
          </w:tcPr>
          <w:p w14:paraId="0EA9200D"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 </w:t>
            </w:r>
          </w:p>
        </w:tc>
      </w:tr>
      <w:tr w:rsidR="003855ED" w:rsidRPr="004E74A6" w14:paraId="36B1EA65" w14:textId="77777777" w:rsidTr="00832773">
        <w:trPr>
          <w:trHeight w:val="288"/>
          <w:jc w:val="center"/>
        </w:trPr>
        <w:tc>
          <w:tcPr>
            <w:tcW w:w="3740" w:type="dxa"/>
            <w:tcBorders>
              <w:top w:val="nil"/>
              <w:left w:val="nil"/>
              <w:bottom w:val="nil"/>
              <w:right w:val="single" w:sz="4" w:space="0" w:color="auto"/>
            </w:tcBorders>
            <w:shd w:val="clear" w:color="auto" w:fill="auto"/>
            <w:noWrap/>
            <w:vAlign w:val="center"/>
            <w:hideMark/>
          </w:tcPr>
          <w:p w14:paraId="5D2410CD" w14:textId="77777777" w:rsidR="003855ED" w:rsidRPr="004E74A6" w:rsidRDefault="003855ED" w:rsidP="00832773">
            <w:pPr>
              <w:spacing w:line="276" w:lineRule="auto"/>
              <w:jc w:val="left"/>
              <w:rPr>
                <w:rFonts w:cs="Calibri"/>
                <w:color w:val="000000"/>
                <w:sz w:val="22"/>
                <w:szCs w:val="22"/>
                <w:lang w:eastAsia="es-CR"/>
              </w:rPr>
            </w:pPr>
            <w:r w:rsidRPr="004E74A6">
              <w:rPr>
                <w:rFonts w:cs="Calibri"/>
                <w:color w:val="000000"/>
                <w:sz w:val="22"/>
                <w:szCs w:val="22"/>
                <w:lang w:eastAsia="es-CR"/>
              </w:rPr>
              <w:t>Apelación por inadmisión</w:t>
            </w:r>
          </w:p>
        </w:tc>
        <w:tc>
          <w:tcPr>
            <w:tcW w:w="1240" w:type="dxa"/>
            <w:tcBorders>
              <w:top w:val="nil"/>
              <w:left w:val="nil"/>
              <w:bottom w:val="nil"/>
              <w:right w:val="single" w:sz="4" w:space="0" w:color="auto"/>
            </w:tcBorders>
            <w:shd w:val="clear" w:color="auto" w:fill="auto"/>
            <w:noWrap/>
            <w:vAlign w:val="center"/>
            <w:hideMark/>
          </w:tcPr>
          <w:p w14:paraId="4BA55D84"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9</w:t>
            </w:r>
          </w:p>
        </w:tc>
        <w:tc>
          <w:tcPr>
            <w:tcW w:w="1240" w:type="dxa"/>
            <w:tcBorders>
              <w:top w:val="nil"/>
              <w:left w:val="nil"/>
              <w:bottom w:val="nil"/>
              <w:right w:val="single" w:sz="4" w:space="0" w:color="auto"/>
            </w:tcBorders>
            <w:shd w:val="clear" w:color="auto" w:fill="auto"/>
            <w:noWrap/>
            <w:vAlign w:val="center"/>
            <w:hideMark/>
          </w:tcPr>
          <w:p w14:paraId="22017103"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5</w:t>
            </w:r>
          </w:p>
        </w:tc>
        <w:tc>
          <w:tcPr>
            <w:tcW w:w="1240" w:type="dxa"/>
            <w:tcBorders>
              <w:top w:val="nil"/>
              <w:left w:val="nil"/>
              <w:bottom w:val="nil"/>
              <w:right w:val="single" w:sz="4" w:space="0" w:color="auto"/>
            </w:tcBorders>
            <w:shd w:val="clear" w:color="auto" w:fill="auto"/>
            <w:noWrap/>
            <w:vAlign w:val="center"/>
            <w:hideMark/>
          </w:tcPr>
          <w:p w14:paraId="2C5954AF"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17</w:t>
            </w:r>
          </w:p>
        </w:tc>
        <w:tc>
          <w:tcPr>
            <w:tcW w:w="1140" w:type="dxa"/>
            <w:tcBorders>
              <w:top w:val="nil"/>
              <w:left w:val="nil"/>
              <w:bottom w:val="nil"/>
              <w:right w:val="nil"/>
            </w:tcBorders>
            <w:shd w:val="clear" w:color="auto" w:fill="auto"/>
            <w:noWrap/>
            <w:vAlign w:val="center"/>
            <w:hideMark/>
          </w:tcPr>
          <w:p w14:paraId="7A129A2F"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10</w:t>
            </w:r>
          </w:p>
        </w:tc>
      </w:tr>
      <w:tr w:rsidR="003855ED" w:rsidRPr="004E74A6" w14:paraId="5920FA0D" w14:textId="77777777" w:rsidTr="00832773">
        <w:trPr>
          <w:trHeight w:val="288"/>
          <w:jc w:val="center"/>
        </w:trPr>
        <w:tc>
          <w:tcPr>
            <w:tcW w:w="3740" w:type="dxa"/>
            <w:tcBorders>
              <w:top w:val="nil"/>
              <w:left w:val="nil"/>
              <w:bottom w:val="nil"/>
              <w:right w:val="single" w:sz="4" w:space="0" w:color="auto"/>
            </w:tcBorders>
            <w:shd w:val="clear" w:color="auto" w:fill="auto"/>
            <w:noWrap/>
            <w:vAlign w:val="center"/>
            <w:hideMark/>
          </w:tcPr>
          <w:p w14:paraId="6279FF21" w14:textId="77777777" w:rsidR="003855ED" w:rsidRPr="004E74A6" w:rsidRDefault="003855ED" w:rsidP="00832773">
            <w:pPr>
              <w:spacing w:line="276" w:lineRule="auto"/>
              <w:jc w:val="left"/>
              <w:rPr>
                <w:rFonts w:cs="Calibri"/>
                <w:color w:val="000000"/>
                <w:sz w:val="22"/>
                <w:szCs w:val="22"/>
                <w:lang w:eastAsia="es-CR"/>
              </w:rPr>
            </w:pPr>
            <w:r w:rsidRPr="004E74A6">
              <w:rPr>
                <w:rFonts w:cs="Calibri"/>
                <w:color w:val="000000"/>
                <w:sz w:val="22"/>
                <w:szCs w:val="22"/>
                <w:lang w:eastAsia="es-CR"/>
              </w:rPr>
              <w:t>Auto de pase</w:t>
            </w:r>
          </w:p>
        </w:tc>
        <w:tc>
          <w:tcPr>
            <w:tcW w:w="1240" w:type="dxa"/>
            <w:tcBorders>
              <w:top w:val="nil"/>
              <w:left w:val="nil"/>
              <w:bottom w:val="nil"/>
              <w:right w:val="single" w:sz="4" w:space="0" w:color="auto"/>
            </w:tcBorders>
            <w:shd w:val="clear" w:color="auto" w:fill="auto"/>
            <w:noWrap/>
            <w:vAlign w:val="center"/>
            <w:hideMark/>
          </w:tcPr>
          <w:p w14:paraId="7D3D780A"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1</w:t>
            </w:r>
          </w:p>
        </w:tc>
        <w:tc>
          <w:tcPr>
            <w:tcW w:w="1240" w:type="dxa"/>
            <w:tcBorders>
              <w:top w:val="nil"/>
              <w:left w:val="nil"/>
              <w:bottom w:val="nil"/>
              <w:right w:val="single" w:sz="4" w:space="0" w:color="auto"/>
            </w:tcBorders>
            <w:shd w:val="clear" w:color="auto" w:fill="auto"/>
            <w:noWrap/>
            <w:vAlign w:val="center"/>
            <w:hideMark/>
          </w:tcPr>
          <w:p w14:paraId="3A331CC8"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 </w:t>
            </w:r>
          </w:p>
        </w:tc>
        <w:tc>
          <w:tcPr>
            <w:tcW w:w="1240" w:type="dxa"/>
            <w:tcBorders>
              <w:top w:val="nil"/>
              <w:left w:val="nil"/>
              <w:bottom w:val="nil"/>
              <w:right w:val="single" w:sz="4" w:space="0" w:color="auto"/>
            </w:tcBorders>
            <w:shd w:val="clear" w:color="auto" w:fill="auto"/>
            <w:noWrap/>
            <w:vAlign w:val="center"/>
            <w:hideMark/>
          </w:tcPr>
          <w:p w14:paraId="55E3F5F4"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 </w:t>
            </w:r>
          </w:p>
        </w:tc>
        <w:tc>
          <w:tcPr>
            <w:tcW w:w="1140" w:type="dxa"/>
            <w:tcBorders>
              <w:top w:val="nil"/>
              <w:left w:val="nil"/>
              <w:bottom w:val="nil"/>
              <w:right w:val="nil"/>
            </w:tcBorders>
            <w:shd w:val="clear" w:color="auto" w:fill="auto"/>
            <w:noWrap/>
            <w:vAlign w:val="center"/>
            <w:hideMark/>
          </w:tcPr>
          <w:p w14:paraId="255F6E8E"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1</w:t>
            </w:r>
          </w:p>
        </w:tc>
      </w:tr>
      <w:tr w:rsidR="003855ED" w:rsidRPr="004E74A6" w14:paraId="52F1A558" w14:textId="77777777" w:rsidTr="00832773">
        <w:trPr>
          <w:trHeight w:val="288"/>
          <w:jc w:val="center"/>
        </w:trPr>
        <w:tc>
          <w:tcPr>
            <w:tcW w:w="3740" w:type="dxa"/>
            <w:tcBorders>
              <w:top w:val="nil"/>
              <w:left w:val="nil"/>
              <w:bottom w:val="nil"/>
              <w:right w:val="single" w:sz="4" w:space="0" w:color="auto"/>
            </w:tcBorders>
            <w:shd w:val="clear" w:color="auto" w:fill="auto"/>
            <w:noWrap/>
            <w:vAlign w:val="center"/>
            <w:hideMark/>
          </w:tcPr>
          <w:p w14:paraId="6125B4F7" w14:textId="77777777" w:rsidR="003855ED" w:rsidRPr="004E74A6" w:rsidRDefault="003855ED" w:rsidP="00832773">
            <w:pPr>
              <w:spacing w:line="276" w:lineRule="auto"/>
              <w:jc w:val="left"/>
              <w:rPr>
                <w:rFonts w:cs="Calibri"/>
                <w:color w:val="000000"/>
                <w:sz w:val="22"/>
                <w:szCs w:val="22"/>
                <w:lang w:eastAsia="es-CR"/>
              </w:rPr>
            </w:pPr>
            <w:r w:rsidRPr="004E74A6">
              <w:rPr>
                <w:rFonts w:cs="Calibri"/>
                <w:color w:val="000000"/>
                <w:sz w:val="22"/>
                <w:szCs w:val="22"/>
                <w:lang w:eastAsia="es-CR"/>
              </w:rPr>
              <w:t>Casación</w:t>
            </w:r>
          </w:p>
        </w:tc>
        <w:tc>
          <w:tcPr>
            <w:tcW w:w="1240" w:type="dxa"/>
            <w:tcBorders>
              <w:top w:val="nil"/>
              <w:left w:val="nil"/>
              <w:bottom w:val="nil"/>
              <w:right w:val="single" w:sz="4" w:space="0" w:color="auto"/>
            </w:tcBorders>
            <w:shd w:val="clear" w:color="auto" w:fill="auto"/>
            <w:noWrap/>
            <w:vAlign w:val="center"/>
            <w:hideMark/>
          </w:tcPr>
          <w:p w14:paraId="7E9C4550"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3051</w:t>
            </w:r>
          </w:p>
        </w:tc>
        <w:tc>
          <w:tcPr>
            <w:tcW w:w="1240" w:type="dxa"/>
            <w:tcBorders>
              <w:top w:val="nil"/>
              <w:left w:val="nil"/>
              <w:bottom w:val="nil"/>
              <w:right w:val="single" w:sz="4" w:space="0" w:color="auto"/>
            </w:tcBorders>
            <w:shd w:val="clear" w:color="auto" w:fill="auto"/>
            <w:noWrap/>
            <w:vAlign w:val="center"/>
            <w:hideMark/>
          </w:tcPr>
          <w:p w14:paraId="4C1C093F"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2724</w:t>
            </w:r>
          </w:p>
        </w:tc>
        <w:tc>
          <w:tcPr>
            <w:tcW w:w="1240" w:type="dxa"/>
            <w:tcBorders>
              <w:top w:val="nil"/>
              <w:left w:val="nil"/>
              <w:bottom w:val="nil"/>
              <w:right w:val="single" w:sz="4" w:space="0" w:color="auto"/>
            </w:tcBorders>
            <w:shd w:val="clear" w:color="auto" w:fill="auto"/>
            <w:noWrap/>
            <w:vAlign w:val="center"/>
            <w:hideMark/>
          </w:tcPr>
          <w:p w14:paraId="6A9B810A"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2413</w:t>
            </w:r>
          </w:p>
        </w:tc>
        <w:tc>
          <w:tcPr>
            <w:tcW w:w="1140" w:type="dxa"/>
            <w:tcBorders>
              <w:top w:val="nil"/>
              <w:left w:val="nil"/>
              <w:bottom w:val="nil"/>
              <w:right w:val="nil"/>
            </w:tcBorders>
            <w:shd w:val="clear" w:color="auto" w:fill="auto"/>
            <w:noWrap/>
            <w:vAlign w:val="center"/>
            <w:hideMark/>
          </w:tcPr>
          <w:p w14:paraId="6AB23D96"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2729</w:t>
            </w:r>
          </w:p>
        </w:tc>
      </w:tr>
      <w:tr w:rsidR="003855ED" w:rsidRPr="004E74A6" w14:paraId="6E3BFBCE" w14:textId="77777777" w:rsidTr="00832773">
        <w:trPr>
          <w:trHeight w:val="288"/>
          <w:jc w:val="center"/>
        </w:trPr>
        <w:tc>
          <w:tcPr>
            <w:tcW w:w="3740" w:type="dxa"/>
            <w:tcBorders>
              <w:top w:val="nil"/>
              <w:left w:val="nil"/>
              <w:bottom w:val="nil"/>
              <w:right w:val="single" w:sz="4" w:space="0" w:color="auto"/>
            </w:tcBorders>
            <w:shd w:val="clear" w:color="auto" w:fill="auto"/>
            <w:noWrap/>
            <w:vAlign w:val="center"/>
            <w:hideMark/>
          </w:tcPr>
          <w:p w14:paraId="1B60F27E" w14:textId="77777777" w:rsidR="003855ED" w:rsidRPr="004E74A6" w:rsidRDefault="003855ED" w:rsidP="00832773">
            <w:pPr>
              <w:spacing w:line="276" w:lineRule="auto"/>
              <w:jc w:val="left"/>
              <w:rPr>
                <w:rFonts w:cs="Calibri"/>
                <w:color w:val="000000"/>
                <w:sz w:val="22"/>
                <w:szCs w:val="22"/>
                <w:lang w:eastAsia="es-CR"/>
              </w:rPr>
            </w:pPr>
            <w:r w:rsidRPr="004E74A6">
              <w:rPr>
                <w:rFonts w:cs="Calibri"/>
                <w:color w:val="000000"/>
                <w:sz w:val="22"/>
                <w:szCs w:val="22"/>
                <w:lang w:eastAsia="es-CR"/>
              </w:rPr>
              <w:t>Competencia</w:t>
            </w:r>
          </w:p>
        </w:tc>
        <w:tc>
          <w:tcPr>
            <w:tcW w:w="1240" w:type="dxa"/>
            <w:tcBorders>
              <w:top w:val="nil"/>
              <w:left w:val="nil"/>
              <w:bottom w:val="nil"/>
              <w:right w:val="single" w:sz="4" w:space="0" w:color="auto"/>
            </w:tcBorders>
            <w:shd w:val="clear" w:color="auto" w:fill="auto"/>
            <w:noWrap/>
            <w:vAlign w:val="center"/>
            <w:hideMark/>
          </w:tcPr>
          <w:p w14:paraId="71439739"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35</w:t>
            </w:r>
          </w:p>
        </w:tc>
        <w:tc>
          <w:tcPr>
            <w:tcW w:w="1240" w:type="dxa"/>
            <w:tcBorders>
              <w:top w:val="nil"/>
              <w:left w:val="nil"/>
              <w:bottom w:val="nil"/>
              <w:right w:val="single" w:sz="4" w:space="0" w:color="auto"/>
            </w:tcBorders>
            <w:shd w:val="clear" w:color="auto" w:fill="auto"/>
            <w:noWrap/>
            <w:vAlign w:val="center"/>
            <w:hideMark/>
          </w:tcPr>
          <w:p w14:paraId="490D628A"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44</w:t>
            </w:r>
          </w:p>
        </w:tc>
        <w:tc>
          <w:tcPr>
            <w:tcW w:w="1240" w:type="dxa"/>
            <w:tcBorders>
              <w:top w:val="nil"/>
              <w:left w:val="nil"/>
              <w:bottom w:val="nil"/>
              <w:right w:val="single" w:sz="4" w:space="0" w:color="auto"/>
            </w:tcBorders>
            <w:shd w:val="clear" w:color="auto" w:fill="auto"/>
            <w:noWrap/>
            <w:vAlign w:val="center"/>
            <w:hideMark/>
          </w:tcPr>
          <w:p w14:paraId="218A134A"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44</w:t>
            </w:r>
          </w:p>
        </w:tc>
        <w:tc>
          <w:tcPr>
            <w:tcW w:w="1140" w:type="dxa"/>
            <w:tcBorders>
              <w:top w:val="nil"/>
              <w:left w:val="nil"/>
              <w:bottom w:val="nil"/>
              <w:right w:val="nil"/>
            </w:tcBorders>
            <w:shd w:val="clear" w:color="auto" w:fill="auto"/>
            <w:noWrap/>
            <w:vAlign w:val="center"/>
            <w:hideMark/>
          </w:tcPr>
          <w:p w14:paraId="4912B87A"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41</w:t>
            </w:r>
          </w:p>
        </w:tc>
      </w:tr>
      <w:tr w:rsidR="003855ED" w:rsidRPr="004E74A6" w14:paraId="620549A5" w14:textId="77777777" w:rsidTr="00832773">
        <w:trPr>
          <w:trHeight w:val="288"/>
          <w:jc w:val="center"/>
        </w:trPr>
        <w:tc>
          <w:tcPr>
            <w:tcW w:w="3740" w:type="dxa"/>
            <w:tcBorders>
              <w:top w:val="nil"/>
              <w:left w:val="nil"/>
              <w:bottom w:val="nil"/>
              <w:right w:val="single" w:sz="4" w:space="0" w:color="auto"/>
            </w:tcBorders>
            <w:shd w:val="clear" w:color="auto" w:fill="auto"/>
            <w:noWrap/>
            <w:vAlign w:val="center"/>
            <w:hideMark/>
          </w:tcPr>
          <w:p w14:paraId="0E3805B9" w14:textId="77777777" w:rsidR="003855ED" w:rsidRPr="004E74A6" w:rsidRDefault="003855ED" w:rsidP="00832773">
            <w:pPr>
              <w:spacing w:line="276" w:lineRule="auto"/>
              <w:jc w:val="left"/>
              <w:rPr>
                <w:rFonts w:cs="Calibri"/>
                <w:color w:val="000000"/>
                <w:sz w:val="22"/>
                <w:szCs w:val="22"/>
                <w:lang w:eastAsia="es-CR"/>
              </w:rPr>
            </w:pPr>
            <w:r w:rsidRPr="004E74A6">
              <w:rPr>
                <w:rFonts w:cs="Calibri"/>
                <w:color w:val="000000"/>
                <w:sz w:val="22"/>
                <w:szCs w:val="22"/>
                <w:lang w:eastAsia="es-CR"/>
              </w:rPr>
              <w:t>Revisión</w:t>
            </w:r>
          </w:p>
        </w:tc>
        <w:tc>
          <w:tcPr>
            <w:tcW w:w="1240" w:type="dxa"/>
            <w:tcBorders>
              <w:top w:val="nil"/>
              <w:left w:val="nil"/>
              <w:bottom w:val="nil"/>
              <w:right w:val="single" w:sz="4" w:space="0" w:color="auto"/>
            </w:tcBorders>
            <w:shd w:val="clear" w:color="auto" w:fill="auto"/>
            <w:noWrap/>
            <w:vAlign w:val="center"/>
            <w:hideMark/>
          </w:tcPr>
          <w:p w14:paraId="164055AA"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38</w:t>
            </w:r>
          </w:p>
        </w:tc>
        <w:tc>
          <w:tcPr>
            <w:tcW w:w="1240" w:type="dxa"/>
            <w:tcBorders>
              <w:top w:val="nil"/>
              <w:left w:val="nil"/>
              <w:bottom w:val="nil"/>
              <w:right w:val="single" w:sz="4" w:space="0" w:color="auto"/>
            </w:tcBorders>
            <w:shd w:val="clear" w:color="auto" w:fill="auto"/>
            <w:noWrap/>
            <w:vAlign w:val="center"/>
            <w:hideMark/>
          </w:tcPr>
          <w:p w14:paraId="3D230ADD"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52</w:t>
            </w:r>
          </w:p>
        </w:tc>
        <w:tc>
          <w:tcPr>
            <w:tcW w:w="1240" w:type="dxa"/>
            <w:tcBorders>
              <w:top w:val="nil"/>
              <w:left w:val="nil"/>
              <w:bottom w:val="nil"/>
              <w:right w:val="single" w:sz="4" w:space="0" w:color="auto"/>
            </w:tcBorders>
            <w:shd w:val="clear" w:color="auto" w:fill="auto"/>
            <w:noWrap/>
            <w:vAlign w:val="center"/>
            <w:hideMark/>
          </w:tcPr>
          <w:p w14:paraId="04648B4B"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93</w:t>
            </w:r>
          </w:p>
        </w:tc>
        <w:tc>
          <w:tcPr>
            <w:tcW w:w="1140" w:type="dxa"/>
            <w:tcBorders>
              <w:top w:val="nil"/>
              <w:left w:val="nil"/>
              <w:bottom w:val="nil"/>
              <w:right w:val="nil"/>
            </w:tcBorders>
            <w:shd w:val="clear" w:color="auto" w:fill="auto"/>
            <w:noWrap/>
            <w:vAlign w:val="center"/>
            <w:hideMark/>
          </w:tcPr>
          <w:p w14:paraId="204068E8"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61</w:t>
            </w:r>
          </w:p>
        </w:tc>
      </w:tr>
      <w:tr w:rsidR="003855ED" w:rsidRPr="004E74A6" w14:paraId="33ED46C8" w14:textId="77777777" w:rsidTr="00832773">
        <w:trPr>
          <w:trHeight w:val="288"/>
          <w:jc w:val="center"/>
        </w:trPr>
        <w:tc>
          <w:tcPr>
            <w:tcW w:w="3740" w:type="dxa"/>
            <w:tcBorders>
              <w:top w:val="nil"/>
              <w:left w:val="nil"/>
              <w:bottom w:val="single" w:sz="4" w:space="0" w:color="auto"/>
              <w:right w:val="single" w:sz="4" w:space="0" w:color="auto"/>
            </w:tcBorders>
            <w:shd w:val="clear" w:color="auto" w:fill="auto"/>
            <w:noWrap/>
            <w:vAlign w:val="center"/>
            <w:hideMark/>
          </w:tcPr>
          <w:p w14:paraId="7FE73613" w14:textId="77777777" w:rsidR="003855ED" w:rsidRPr="004E74A6" w:rsidRDefault="003855ED" w:rsidP="00832773">
            <w:pPr>
              <w:spacing w:line="276" w:lineRule="auto"/>
              <w:jc w:val="left"/>
              <w:rPr>
                <w:rFonts w:cs="Calibri"/>
                <w:color w:val="000000"/>
                <w:sz w:val="22"/>
                <w:szCs w:val="22"/>
                <w:lang w:eastAsia="es-CR"/>
              </w:rPr>
            </w:pPr>
            <w:r w:rsidRPr="004E74A6">
              <w:rPr>
                <w:rFonts w:cs="Calibri"/>
                <w:color w:val="000000"/>
                <w:sz w:val="22"/>
                <w:szCs w:val="22"/>
                <w:lang w:eastAsia="es-CR"/>
              </w:rPr>
              <w:t> </w:t>
            </w:r>
          </w:p>
        </w:tc>
        <w:tc>
          <w:tcPr>
            <w:tcW w:w="1240" w:type="dxa"/>
            <w:tcBorders>
              <w:top w:val="nil"/>
              <w:left w:val="nil"/>
              <w:bottom w:val="single" w:sz="4" w:space="0" w:color="auto"/>
              <w:right w:val="single" w:sz="4" w:space="0" w:color="auto"/>
            </w:tcBorders>
            <w:shd w:val="clear" w:color="auto" w:fill="auto"/>
            <w:noWrap/>
            <w:vAlign w:val="bottom"/>
            <w:hideMark/>
          </w:tcPr>
          <w:p w14:paraId="64126FC3" w14:textId="77777777" w:rsidR="003855ED" w:rsidRPr="004E74A6" w:rsidRDefault="003855ED" w:rsidP="00832773">
            <w:pPr>
              <w:spacing w:line="276" w:lineRule="auto"/>
              <w:jc w:val="left"/>
              <w:rPr>
                <w:rFonts w:cs="Calibri"/>
                <w:color w:val="000000"/>
                <w:sz w:val="22"/>
                <w:szCs w:val="22"/>
                <w:lang w:eastAsia="es-CR"/>
              </w:rPr>
            </w:pPr>
            <w:r w:rsidRPr="004E74A6">
              <w:rPr>
                <w:rFonts w:cs="Calibri"/>
                <w:color w:val="000000"/>
                <w:sz w:val="22"/>
                <w:szCs w:val="22"/>
                <w:lang w:eastAsia="es-CR"/>
              </w:rPr>
              <w:t> </w:t>
            </w:r>
          </w:p>
        </w:tc>
        <w:tc>
          <w:tcPr>
            <w:tcW w:w="1240" w:type="dxa"/>
            <w:tcBorders>
              <w:top w:val="nil"/>
              <w:left w:val="nil"/>
              <w:bottom w:val="single" w:sz="4" w:space="0" w:color="auto"/>
              <w:right w:val="single" w:sz="4" w:space="0" w:color="auto"/>
            </w:tcBorders>
            <w:shd w:val="clear" w:color="auto" w:fill="auto"/>
            <w:noWrap/>
            <w:vAlign w:val="bottom"/>
            <w:hideMark/>
          </w:tcPr>
          <w:p w14:paraId="3256653B" w14:textId="77777777" w:rsidR="003855ED" w:rsidRPr="004E74A6" w:rsidRDefault="003855ED" w:rsidP="00832773">
            <w:pPr>
              <w:spacing w:line="276" w:lineRule="auto"/>
              <w:jc w:val="left"/>
              <w:rPr>
                <w:rFonts w:cs="Calibri"/>
                <w:color w:val="000000"/>
                <w:sz w:val="22"/>
                <w:szCs w:val="22"/>
                <w:lang w:eastAsia="es-CR"/>
              </w:rPr>
            </w:pPr>
            <w:r w:rsidRPr="004E74A6">
              <w:rPr>
                <w:rFonts w:cs="Calibri"/>
                <w:color w:val="000000"/>
                <w:sz w:val="22"/>
                <w:szCs w:val="22"/>
                <w:lang w:eastAsia="es-CR"/>
              </w:rPr>
              <w:t> </w:t>
            </w:r>
          </w:p>
        </w:tc>
        <w:tc>
          <w:tcPr>
            <w:tcW w:w="1240" w:type="dxa"/>
            <w:tcBorders>
              <w:top w:val="nil"/>
              <w:left w:val="nil"/>
              <w:bottom w:val="single" w:sz="4" w:space="0" w:color="auto"/>
              <w:right w:val="single" w:sz="4" w:space="0" w:color="auto"/>
            </w:tcBorders>
            <w:shd w:val="clear" w:color="auto" w:fill="auto"/>
            <w:noWrap/>
            <w:vAlign w:val="bottom"/>
            <w:hideMark/>
          </w:tcPr>
          <w:p w14:paraId="377656A9" w14:textId="77777777" w:rsidR="003855ED" w:rsidRPr="004E74A6" w:rsidRDefault="003855ED" w:rsidP="00832773">
            <w:pPr>
              <w:spacing w:line="276" w:lineRule="auto"/>
              <w:jc w:val="left"/>
              <w:rPr>
                <w:rFonts w:cs="Calibri"/>
                <w:color w:val="000000"/>
                <w:sz w:val="22"/>
                <w:szCs w:val="22"/>
                <w:lang w:eastAsia="es-CR"/>
              </w:rPr>
            </w:pPr>
            <w:r w:rsidRPr="004E74A6">
              <w:rPr>
                <w:rFonts w:cs="Calibri"/>
                <w:color w:val="000000"/>
                <w:sz w:val="22"/>
                <w:szCs w:val="22"/>
                <w:lang w:eastAsia="es-CR"/>
              </w:rPr>
              <w:t> </w:t>
            </w:r>
          </w:p>
        </w:tc>
        <w:tc>
          <w:tcPr>
            <w:tcW w:w="1140" w:type="dxa"/>
            <w:tcBorders>
              <w:top w:val="nil"/>
              <w:left w:val="nil"/>
              <w:bottom w:val="single" w:sz="4" w:space="0" w:color="auto"/>
              <w:right w:val="nil"/>
            </w:tcBorders>
            <w:shd w:val="clear" w:color="auto" w:fill="auto"/>
            <w:noWrap/>
            <w:vAlign w:val="bottom"/>
            <w:hideMark/>
          </w:tcPr>
          <w:p w14:paraId="51E75D25" w14:textId="77777777" w:rsidR="003855ED" w:rsidRPr="004E74A6" w:rsidRDefault="003855ED" w:rsidP="00832773">
            <w:pPr>
              <w:spacing w:line="276" w:lineRule="auto"/>
              <w:jc w:val="left"/>
              <w:rPr>
                <w:rFonts w:cs="Calibri"/>
                <w:color w:val="000000"/>
                <w:sz w:val="22"/>
                <w:szCs w:val="22"/>
                <w:lang w:eastAsia="es-CR"/>
              </w:rPr>
            </w:pPr>
            <w:r w:rsidRPr="004E74A6">
              <w:rPr>
                <w:rFonts w:cs="Calibri"/>
                <w:color w:val="000000"/>
                <w:sz w:val="22"/>
                <w:szCs w:val="22"/>
                <w:lang w:eastAsia="es-CR"/>
              </w:rPr>
              <w:t> </w:t>
            </w:r>
          </w:p>
        </w:tc>
      </w:tr>
    </w:tbl>
    <w:p w14:paraId="72D00AD6" w14:textId="77777777" w:rsidR="003855ED" w:rsidRPr="004E74A6" w:rsidRDefault="003855ED" w:rsidP="00832773">
      <w:pPr>
        <w:spacing w:line="276" w:lineRule="auto"/>
        <w:ind w:left="142" w:right="1191"/>
        <w:rPr>
          <w:rFonts w:cs="Calibri"/>
          <w:i/>
          <w:iCs/>
          <w:color w:val="000000"/>
          <w:sz w:val="20"/>
          <w:lang w:eastAsia="es-CR"/>
        </w:rPr>
      </w:pPr>
      <w:r w:rsidRPr="004E74A6">
        <w:rPr>
          <w:rFonts w:cs="Calibri"/>
          <w:b/>
          <w:bCs/>
          <w:i/>
          <w:iCs/>
          <w:color w:val="000000"/>
          <w:sz w:val="20"/>
          <w:lang w:eastAsia="es-CR"/>
        </w:rPr>
        <w:t>Fuente</w:t>
      </w:r>
      <w:r w:rsidRPr="004E74A6">
        <w:rPr>
          <w:rFonts w:cs="Calibri"/>
          <w:i/>
          <w:iCs/>
          <w:color w:val="000000"/>
          <w:sz w:val="20"/>
          <w:lang w:eastAsia="es-CR"/>
        </w:rPr>
        <w:t>: Subproceso de Modernización Institucional con datos extraídos del sistema SIGMA, Dirección de Planificación. Reporte cuantías 18-11-2022.</w:t>
      </w:r>
    </w:p>
    <w:p w14:paraId="52A6D5CB" w14:textId="66B12A88" w:rsidR="003855ED" w:rsidRPr="004E74A6" w:rsidRDefault="003855ED" w:rsidP="00CE62C1">
      <w:pPr>
        <w:spacing w:after="160" w:line="276" w:lineRule="auto"/>
        <w:contextualSpacing/>
        <w:rPr>
          <w:rFonts w:eastAsia="Calibri"/>
          <w:szCs w:val="24"/>
          <w:lang w:eastAsia="en-US"/>
        </w:rPr>
      </w:pPr>
    </w:p>
    <w:p w14:paraId="25C8DBF1" w14:textId="3CD94E71" w:rsidR="003855ED" w:rsidRDefault="003855ED" w:rsidP="00CE62C1">
      <w:pPr>
        <w:spacing w:after="160" w:line="276" w:lineRule="auto"/>
        <w:contextualSpacing/>
        <w:rPr>
          <w:rFonts w:eastAsia="Calibri"/>
          <w:szCs w:val="24"/>
          <w:lang w:eastAsia="en-US"/>
        </w:rPr>
      </w:pPr>
      <w:r w:rsidRPr="004E74A6">
        <w:rPr>
          <w:rFonts w:eastAsia="Calibri"/>
          <w:szCs w:val="24"/>
          <w:lang w:eastAsia="en-US"/>
        </w:rPr>
        <w:t xml:space="preserve">En relación con la atención de materias, </w:t>
      </w:r>
      <w:r w:rsidR="007476FF" w:rsidRPr="004E74A6">
        <w:rPr>
          <w:rFonts w:eastAsia="Calibri"/>
          <w:szCs w:val="24"/>
          <w:lang w:eastAsia="en-US"/>
        </w:rPr>
        <w:t xml:space="preserve">según la estadística expuesta en la tabla 69, existe una diversidad de </w:t>
      </w:r>
      <w:r w:rsidR="00DF2898" w:rsidRPr="004E74A6">
        <w:rPr>
          <w:rFonts w:eastAsia="Calibri"/>
          <w:szCs w:val="24"/>
          <w:lang w:eastAsia="en-US"/>
        </w:rPr>
        <w:t>campos,</w:t>
      </w:r>
      <w:r w:rsidR="007476FF" w:rsidRPr="004E74A6">
        <w:rPr>
          <w:rFonts w:eastAsia="Calibri"/>
          <w:szCs w:val="24"/>
          <w:lang w:eastAsia="en-US"/>
        </w:rPr>
        <w:t xml:space="preserve"> pero la mayor cantidad está concentrada en </w:t>
      </w:r>
      <w:r w:rsidR="006E4AF3" w:rsidRPr="004E74A6">
        <w:rPr>
          <w:rFonts w:eastAsia="Calibri"/>
          <w:szCs w:val="24"/>
          <w:lang w:eastAsia="en-US"/>
        </w:rPr>
        <w:t>materia de Trabajo</w:t>
      </w:r>
      <w:r w:rsidR="007476FF" w:rsidRPr="004E74A6">
        <w:rPr>
          <w:rFonts w:eastAsia="Calibri"/>
          <w:szCs w:val="24"/>
          <w:lang w:eastAsia="en-US"/>
        </w:rPr>
        <w:t xml:space="preserve"> con el 89% de los expedientes, seguido por </w:t>
      </w:r>
      <w:r w:rsidR="006E4AF3" w:rsidRPr="004E74A6">
        <w:rPr>
          <w:rFonts w:eastAsia="Calibri"/>
          <w:szCs w:val="24"/>
          <w:lang w:eastAsia="en-US"/>
        </w:rPr>
        <w:t>F</w:t>
      </w:r>
      <w:r w:rsidR="007476FF" w:rsidRPr="004E74A6">
        <w:rPr>
          <w:rFonts w:eastAsia="Calibri"/>
          <w:szCs w:val="24"/>
          <w:lang w:eastAsia="en-US"/>
        </w:rPr>
        <w:t xml:space="preserve">amilia con un 8% mientras que la materia </w:t>
      </w:r>
      <w:r w:rsidR="006E4AF3" w:rsidRPr="004E74A6">
        <w:rPr>
          <w:rFonts w:eastAsia="Calibri"/>
          <w:szCs w:val="24"/>
          <w:lang w:eastAsia="en-US"/>
        </w:rPr>
        <w:t>C</w:t>
      </w:r>
      <w:r w:rsidR="007476FF" w:rsidRPr="004E74A6">
        <w:rPr>
          <w:rFonts w:eastAsia="Calibri"/>
          <w:szCs w:val="24"/>
          <w:lang w:eastAsia="en-US"/>
        </w:rPr>
        <w:t>ivil apenas alcanza un 1,7% dentro de la composición de la</w:t>
      </w:r>
      <w:r w:rsidR="006E4AF3" w:rsidRPr="004E74A6">
        <w:rPr>
          <w:rFonts w:eastAsia="Calibri"/>
          <w:szCs w:val="24"/>
          <w:lang w:eastAsia="en-US"/>
        </w:rPr>
        <w:t xml:space="preserve"> entrada de</w:t>
      </w:r>
      <w:r w:rsidR="007476FF" w:rsidRPr="004E74A6">
        <w:rPr>
          <w:rFonts w:eastAsia="Calibri"/>
          <w:szCs w:val="24"/>
          <w:lang w:eastAsia="en-US"/>
        </w:rPr>
        <w:t xml:space="preserve"> Sala</w:t>
      </w:r>
      <w:r w:rsidR="006E4AF3" w:rsidRPr="004E74A6">
        <w:rPr>
          <w:rFonts w:eastAsia="Calibri"/>
          <w:szCs w:val="24"/>
          <w:lang w:eastAsia="en-US"/>
        </w:rPr>
        <w:t xml:space="preserve"> Segunda</w:t>
      </w:r>
      <w:r w:rsidR="007476FF" w:rsidRPr="004E74A6">
        <w:rPr>
          <w:rFonts w:eastAsia="Calibri"/>
          <w:szCs w:val="24"/>
          <w:lang w:eastAsia="en-US"/>
        </w:rPr>
        <w:t>.</w:t>
      </w:r>
    </w:p>
    <w:p w14:paraId="01BEBF0C" w14:textId="1E3FFB1B" w:rsidR="003855ED" w:rsidRPr="004E74A6" w:rsidRDefault="007476FF" w:rsidP="00CE62C1">
      <w:pPr>
        <w:spacing w:after="160" w:line="276" w:lineRule="auto"/>
        <w:contextualSpacing/>
        <w:rPr>
          <w:rFonts w:eastAsia="Calibri"/>
          <w:szCs w:val="24"/>
          <w:lang w:eastAsia="en-US"/>
        </w:rPr>
      </w:pPr>
      <w:r w:rsidRPr="004E74A6">
        <w:rPr>
          <w:rFonts w:eastAsia="Calibri"/>
          <w:szCs w:val="24"/>
          <w:lang w:eastAsia="en-US"/>
        </w:rPr>
        <w:lastRenderedPageBreak/>
        <w:t xml:space="preserve">A su vez, dentro de esa porción ingresada en materia </w:t>
      </w:r>
      <w:r w:rsidR="00D66CEC" w:rsidRPr="004E74A6">
        <w:rPr>
          <w:rFonts w:eastAsia="Calibri"/>
          <w:szCs w:val="24"/>
          <w:lang w:eastAsia="en-US"/>
        </w:rPr>
        <w:t>C</w:t>
      </w:r>
      <w:r w:rsidRPr="004E74A6">
        <w:rPr>
          <w:rFonts w:eastAsia="Calibri"/>
          <w:szCs w:val="24"/>
          <w:lang w:eastAsia="en-US"/>
        </w:rPr>
        <w:t xml:space="preserve">ivil, es posible notar un crecimiento para el 2021 que se da principalmente en las casaciones y asuntos relacionados con la competencia según la tabla </w:t>
      </w:r>
      <w:r w:rsidR="007D6872" w:rsidRPr="004E74A6">
        <w:rPr>
          <w:rFonts w:eastAsia="Calibri"/>
          <w:szCs w:val="24"/>
          <w:lang w:eastAsia="en-US"/>
        </w:rPr>
        <w:t>70</w:t>
      </w:r>
      <w:r w:rsidRPr="004E74A6">
        <w:rPr>
          <w:rFonts w:eastAsia="Calibri"/>
          <w:szCs w:val="24"/>
          <w:lang w:eastAsia="en-US"/>
        </w:rPr>
        <w:t>.</w:t>
      </w:r>
    </w:p>
    <w:p w14:paraId="633108F7" w14:textId="77777777" w:rsidR="007476FF" w:rsidRPr="004E74A6" w:rsidRDefault="007476FF" w:rsidP="00CE62C1">
      <w:pPr>
        <w:spacing w:after="160" w:line="276" w:lineRule="auto"/>
        <w:contextualSpacing/>
        <w:rPr>
          <w:rFonts w:eastAsia="Calibri"/>
          <w:szCs w:val="24"/>
          <w:lang w:eastAsia="en-US"/>
        </w:rPr>
      </w:pPr>
    </w:p>
    <w:p w14:paraId="2D95FCF2" w14:textId="644637BA" w:rsidR="003855ED" w:rsidRPr="00832773" w:rsidRDefault="003855ED" w:rsidP="00832773">
      <w:pPr>
        <w:pStyle w:val="Descripcin"/>
        <w:keepNext/>
        <w:spacing w:line="276" w:lineRule="auto"/>
        <w:jc w:val="center"/>
        <w:rPr>
          <w:i/>
          <w:iCs/>
          <w:sz w:val="20"/>
          <w:szCs w:val="16"/>
        </w:rPr>
      </w:pPr>
      <w:r w:rsidRPr="00832773">
        <w:rPr>
          <w:rFonts w:ascii="Book Antiqua" w:hAnsi="Book Antiqua"/>
          <w:i/>
          <w:iCs/>
          <w:sz w:val="20"/>
          <w:szCs w:val="16"/>
          <w:lang w:val="es-CR"/>
        </w:rPr>
        <w:t xml:space="preserve">Tabla </w:t>
      </w:r>
      <w:r w:rsidRPr="00832773">
        <w:rPr>
          <w:rFonts w:ascii="Book Antiqua" w:hAnsi="Book Antiqua"/>
          <w:i/>
          <w:iCs/>
          <w:sz w:val="20"/>
          <w:szCs w:val="16"/>
          <w:lang w:val="es-CR"/>
        </w:rPr>
        <w:fldChar w:fldCharType="begin"/>
      </w:r>
      <w:r w:rsidRPr="00832773">
        <w:rPr>
          <w:rFonts w:ascii="Book Antiqua" w:hAnsi="Book Antiqua"/>
          <w:i/>
          <w:iCs/>
          <w:sz w:val="20"/>
          <w:szCs w:val="16"/>
          <w:lang w:val="es-CR"/>
        </w:rPr>
        <w:instrText xml:space="preserve"> SEQ Tabla \* ARABIC </w:instrText>
      </w:r>
      <w:r w:rsidRPr="00832773">
        <w:rPr>
          <w:rFonts w:ascii="Book Antiqua" w:hAnsi="Book Antiqua"/>
          <w:i/>
          <w:iCs/>
          <w:sz w:val="20"/>
          <w:szCs w:val="16"/>
          <w:lang w:val="es-CR"/>
        </w:rPr>
        <w:fldChar w:fldCharType="separate"/>
      </w:r>
      <w:r w:rsidR="00374B51">
        <w:rPr>
          <w:rFonts w:ascii="Book Antiqua" w:hAnsi="Book Antiqua"/>
          <w:i/>
          <w:iCs/>
          <w:noProof/>
          <w:sz w:val="20"/>
          <w:szCs w:val="16"/>
          <w:lang w:val="es-CR"/>
        </w:rPr>
        <w:t>73</w:t>
      </w:r>
      <w:r w:rsidRPr="00832773">
        <w:rPr>
          <w:rFonts w:ascii="Book Antiqua" w:hAnsi="Book Antiqua"/>
          <w:i/>
          <w:iCs/>
          <w:sz w:val="20"/>
          <w:szCs w:val="16"/>
          <w:lang w:val="es-CR"/>
        </w:rPr>
        <w:fldChar w:fldCharType="end"/>
      </w:r>
      <w:r w:rsidRPr="00832773">
        <w:rPr>
          <w:rFonts w:ascii="Book Antiqua" w:hAnsi="Book Antiqua"/>
          <w:i/>
          <w:iCs/>
          <w:sz w:val="20"/>
          <w:szCs w:val="16"/>
          <w:lang w:val="es-CR"/>
        </w:rPr>
        <w:t xml:space="preserve"> Cantidad de expedientes entrados en Sala Segunda por tipo de materia para los años 2019, 2020 y 2021</w:t>
      </w:r>
    </w:p>
    <w:tbl>
      <w:tblPr>
        <w:tblW w:w="8600" w:type="dxa"/>
        <w:jc w:val="center"/>
        <w:tblCellMar>
          <w:left w:w="70" w:type="dxa"/>
          <w:right w:w="70" w:type="dxa"/>
        </w:tblCellMar>
        <w:tblLook w:val="04A0" w:firstRow="1" w:lastRow="0" w:firstColumn="1" w:lastColumn="0" w:noHBand="0" w:noVBand="1"/>
      </w:tblPr>
      <w:tblGrid>
        <w:gridCol w:w="3740"/>
        <w:gridCol w:w="1240"/>
        <w:gridCol w:w="1240"/>
        <w:gridCol w:w="1240"/>
        <w:gridCol w:w="1140"/>
      </w:tblGrid>
      <w:tr w:rsidR="003855ED" w:rsidRPr="004E74A6" w14:paraId="38C88F64" w14:textId="77777777" w:rsidTr="00832773">
        <w:trPr>
          <w:trHeight w:val="468"/>
          <w:tblHeader/>
          <w:jc w:val="center"/>
        </w:trPr>
        <w:tc>
          <w:tcPr>
            <w:tcW w:w="3740" w:type="dxa"/>
            <w:tcBorders>
              <w:top w:val="single" w:sz="4" w:space="0" w:color="000000"/>
              <w:left w:val="nil"/>
              <w:bottom w:val="single" w:sz="4" w:space="0" w:color="000000"/>
              <w:right w:val="single" w:sz="4" w:space="0" w:color="000000"/>
            </w:tcBorders>
            <w:shd w:val="clear" w:color="auto" w:fill="auto"/>
            <w:noWrap/>
            <w:vAlign w:val="center"/>
            <w:hideMark/>
          </w:tcPr>
          <w:p w14:paraId="407451A5"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Materia</w:t>
            </w:r>
          </w:p>
        </w:tc>
        <w:tc>
          <w:tcPr>
            <w:tcW w:w="1240" w:type="dxa"/>
            <w:tcBorders>
              <w:top w:val="single" w:sz="4" w:space="0" w:color="000000"/>
              <w:left w:val="nil"/>
              <w:bottom w:val="single" w:sz="4" w:space="0" w:color="000000"/>
              <w:right w:val="single" w:sz="4" w:space="0" w:color="000000"/>
            </w:tcBorders>
            <w:shd w:val="clear" w:color="auto" w:fill="auto"/>
            <w:noWrap/>
            <w:vAlign w:val="center"/>
            <w:hideMark/>
          </w:tcPr>
          <w:p w14:paraId="496D099F"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2019</w:t>
            </w:r>
          </w:p>
        </w:tc>
        <w:tc>
          <w:tcPr>
            <w:tcW w:w="1240" w:type="dxa"/>
            <w:tcBorders>
              <w:top w:val="single" w:sz="4" w:space="0" w:color="000000"/>
              <w:left w:val="nil"/>
              <w:bottom w:val="single" w:sz="4" w:space="0" w:color="000000"/>
              <w:right w:val="single" w:sz="4" w:space="0" w:color="000000"/>
            </w:tcBorders>
            <w:shd w:val="clear" w:color="auto" w:fill="auto"/>
            <w:noWrap/>
            <w:vAlign w:val="center"/>
            <w:hideMark/>
          </w:tcPr>
          <w:p w14:paraId="7716FB11"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2020</w:t>
            </w:r>
          </w:p>
        </w:tc>
        <w:tc>
          <w:tcPr>
            <w:tcW w:w="1240" w:type="dxa"/>
            <w:tcBorders>
              <w:top w:val="single" w:sz="4" w:space="0" w:color="000000"/>
              <w:left w:val="nil"/>
              <w:bottom w:val="single" w:sz="4" w:space="0" w:color="000000"/>
              <w:right w:val="single" w:sz="4" w:space="0" w:color="000000"/>
            </w:tcBorders>
            <w:shd w:val="clear" w:color="auto" w:fill="auto"/>
            <w:noWrap/>
            <w:vAlign w:val="center"/>
            <w:hideMark/>
          </w:tcPr>
          <w:p w14:paraId="47AAA101"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2021</w:t>
            </w:r>
          </w:p>
        </w:tc>
        <w:tc>
          <w:tcPr>
            <w:tcW w:w="1140" w:type="dxa"/>
            <w:tcBorders>
              <w:top w:val="single" w:sz="4" w:space="0" w:color="000000"/>
              <w:left w:val="nil"/>
              <w:bottom w:val="single" w:sz="4" w:space="0" w:color="000000"/>
              <w:right w:val="nil"/>
            </w:tcBorders>
            <w:shd w:val="clear" w:color="auto" w:fill="auto"/>
            <w:noWrap/>
            <w:vAlign w:val="center"/>
            <w:hideMark/>
          </w:tcPr>
          <w:p w14:paraId="77EF7781"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Promedio</w:t>
            </w:r>
          </w:p>
        </w:tc>
      </w:tr>
      <w:tr w:rsidR="003855ED" w:rsidRPr="004E74A6" w14:paraId="1302AB41" w14:textId="77777777" w:rsidTr="00832773">
        <w:trPr>
          <w:trHeight w:val="288"/>
          <w:jc w:val="center"/>
        </w:trPr>
        <w:tc>
          <w:tcPr>
            <w:tcW w:w="3740" w:type="dxa"/>
            <w:tcBorders>
              <w:top w:val="nil"/>
              <w:left w:val="nil"/>
              <w:bottom w:val="nil"/>
              <w:right w:val="single" w:sz="4" w:space="0" w:color="000000"/>
            </w:tcBorders>
            <w:shd w:val="clear" w:color="auto" w:fill="auto"/>
            <w:noWrap/>
            <w:vAlign w:val="center"/>
            <w:hideMark/>
          </w:tcPr>
          <w:p w14:paraId="0131CF2A"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 </w:t>
            </w:r>
          </w:p>
        </w:tc>
        <w:tc>
          <w:tcPr>
            <w:tcW w:w="1240" w:type="dxa"/>
            <w:tcBorders>
              <w:top w:val="nil"/>
              <w:left w:val="nil"/>
              <w:bottom w:val="nil"/>
              <w:right w:val="single" w:sz="4" w:space="0" w:color="000000"/>
            </w:tcBorders>
            <w:shd w:val="clear" w:color="auto" w:fill="auto"/>
            <w:noWrap/>
            <w:vAlign w:val="center"/>
            <w:hideMark/>
          </w:tcPr>
          <w:p w14:paraId="6EE53DF2"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 </w:t>
            </w:r>
          </w:p>
        </w:tc>
        <w:tc>
          <w:tcPr>
            <w:tcW w:w="1240" w:type="dxa"/>
            <w:tcBorders>
              <w:top w:val="nil"/>
              <w:left w:val="nil"/>
              <w:bottom w:val="nil"/>
              <w:right w:val="single" w:sz="4" w:space="0" w:color="000000"/>
            </w:tcBorders>
            <w:shd w:val="clear" w:color="auto" w:fill="auto"/>
            <w:noWrap/>
            <w:vAlign w:val="center"/>
            <w:hideMark/>
          </w:tcPr>
          <w:p w14:paraId="6B8655E3"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 </w:t>
            </w:r>
          </w:p>
        </w:tc>
        <w:tc>
          <w:tcPr>
            <w:tcW w:w="1240" w:type="dxa"/>
            <w:tcBorders>
              <w:top w:val="nil"/>
              <w:left w:val="nil"/>
              <w:bottom w:val="nil"/>
              <w:right w:val="single" w:sz="4" w:space="0" w:color="000000"/>
            </w:tcBorders>
            <w:shd w:val="clear" w:color="auto" w:fill="auto"/>
            <w:noWrap/>
            <w:vAlign w:val="center"/>
            <w:hideMark/>
          </w:tcPr>
          <w:p w14:paraId="1B99DD47"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 </w:t>
            </w:r>
          </w:p>
        </w:tc>
        <w:tc>
          <w:tcPr>
            <w:tcW w:w="1140" w:type="dxa"/>
            <w:tcBorders>
              <w:top w:val="nil"/>
              <w:left w:val="nil"/>
              <w:bottom w:val="nil"/>
              <w:right w:val="nil"/>
            </w:tcBorders>
            <w:shd w:val="clear" w:color="auto" w:fill="auto"/>
            <w:noWrap/>
            <w:vAlign w:val="center"/>
            <w:hideMark/>
          </w:tcPr>
          <w:p w14:paraId="78CAB159"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 </w:t>
            </w:r>
          </w:p>
        </w:tc>
      </w:tr>
      <w:tr w:rsidR="003855ED" w:rsidRPr="004E74A6" w14:paraId="6447266B" w14:textId="77777777" w:rsidTr="00832773">
        <w:trPr>
          <w:trHeight w:val="288"/>
          <w:jc w:val="center"/>
        </w:trPr>
        <w:tc>
          <w:tcPr>
            <w:tcW w:w="3740" w:type="dxa"/>
            <w:tcBorders>
              <w:top w:val="nil"/>
              <w:left w:val="nil"/>
              <w:bottom w:val="nil"/>
              <w:right w:val="single" w:sz="4" w:space="0" w:color="000000"/>
            </w:tcBorders>
            <w:shd w:val="clear" w:color="auto" w:fill="auto"/>
            <w:noWrap/>
            <w:vAlign w:val="center"/>
            <w:hideMark/>
          </w:tcPr>
          <w:p w14:paraId="6870A345" w14:textId="77777777" w:rsidR="003855ED" w:rsidRPr="004E74A6" w:rsidRDefault="003855ED" w:rsidP="00832773">
            <w:pPr>
              <w:spacing w:line="276" w:lineRule="auto"/>
              <w:jc w:val="center"/>
              <w:rPr>
                <w:rFonts w:cs="Calibri"/>
                <w:b/>
                <w:bCs/>
                <w:color w:val="000000"/>
                <w:sz w:val="22"/>
                <w:szCs w:val="22"/>
                <w:lang w:eastAsia="es-CR"/>
              </w:rPr>
            </w:pPr>
            <w:r w:rsidRPr="004E74A6">
              <w:rPr>
                <w:rFonts w:cs="Calibri"/>
                <w:b/>
                <w:bCs/>
                <w:color w:val="000000"/>
                <w:sz w:val="22"/>
                <w:szCs w:val="22"/>
                <w:lang w:eastAsia="es-CR"/>
              </w:rPr>
              <w:t>Total general</w:t>
            </w:r>
          </w:p>
        </w:tc>
        <w:tc>
          <w:tcPr>
            <w:tcW w:w="1240" w:type="dxa"/>
            <w:tcBorders>
              <w:top w:val="nil"/>
              <w:left w:val="nil"/>
              <w:bottom w:val="nil"/>
              <w:right w:val="single" w:sz="4" w:space="0" w:color="000000"/>
            </w:tcBorders>
            <w:shd w:val="clear" w:color="auto" w:fill="auto"/>
            <w:noWrap/>
            <w:vAlign w:val="center"/>
            <w:hideMark/>
          </w:tcPr>
          <w:p w14:paraId="443472EC" w14:textId="77777777" w:rsidR="003855ED" w:rsidRPr="004E74A6" w:rsidRDefault="003855ED" w:rsidP="00832773">
            <w:pPr>
              <w:spacing w:line="276" w:lineRule="auto"/>
              <w:jc w:val="center"/>
              <w:rPr>
                <w:rFonts w:cs="Calibri"/>
                <w:b/>
                <w:bCs/>
                <w:color w:val="000000"/>
                <w:sz w:val="22"/>
                <w:szCs w:val="22"/>
                <w:lang w:eastAsia="es-CR"/>
              </w:rPr>
            </w:pPr>
            <w:r w:rsidRPr="004E74A6">
              <w:rPr>
                <w:rFonts w:cs="Calibri"/>
                <w:b/>
                <w:bCs/>
                <w:color w:val="000000"/>
                <w:sz w:val="22"/>
                <w:szCs w:val="22"/>
                <w:lang w:eastAsia="es-CR"/>
              </w:rPr>
              <w:t>3492</w:t>
            </w:r>
          </w:p>
        </w:tc>
        <w:tc>
          <w:tcPr>
            <w:tcW w:w="1240" w:type="dxa"/>
            <w:tcBorders>
              <w:top w:val="nil"/>
              <w:left w:val="nil"/>
              <w:bottom w:val="nil"/>
              <w:right w:val="single" w:sz="4" w:space="0" w:color="000000"/>
            </w:tcBorders>
            <w:shd w:val="clear" w:color="auto" w:fill="auto"/>
            <w:noWrap/>
            <w:vAlign w:val="center"/>
            <w:hideMark/>
          </w:tcPr>
          <w:p w14:paraId="2B298DF2" w14:textId="77777777" w:rsidR="003855ED" w:rsidRPr="004E74A6" w:rsidRDefault="003855ED" w:rsidP="00832773">
            <w:pPr>
              <w:spacing w:line="276" w:lineRule="auto"/>
              <w:jc w:val="center"/>
              <w:rPr>
                <w:rFonts w:cs="Calibri"/>
                <w:b/>
                <w:bCs/>
                <w:color w:val="000000"/>
                <w:sz w:val="22"/>
                <w:szCs w:val="22"/>
                <w:lang w:eastAsia="es-CR"/>
              </w:rPr>
            </w:pPr>
            <w:r w:rsidRPr="004E74A6">
              <w:rPr>
                <w:rFonts w:cs="Calibri"/>
                <w:b/>
                <w:bCs/>
                <w:color w:val="000000"/>
                <w:sz w:val="22"/>
                <w:szCs w:val="22"/>
                <w:lang w:eastAsia="es-CR"/>
              </w:rPr>
              <w:t>2968</w:t>
            </w:r>
          </w:p>
        </w:tc>
        <w:tc>
          <w:tcPr>
            <w:tcW w:w="1240" w:type="dxa"/>
            <w:tcBorders>
              <w:top w:val="nil"/>
              <w:left w:val="nil"/>
              <w:bottom w:val="nil"/>
              <w:right w:val="single" w:sz="4" w:space="0" w:color="000000"/>
            </w:tcBorders>
            <w:shd w:val="clear" w:color="auto" w:fill="auto"/>
            <w:noWrap/>
            <w:vAlign w:val="center"/>
            <w:hideMark/>
          </w:tcPr>
          <w:p w14:paraId="743737F4" w14:textId="77777777" w:rsidR="003855ED" w:rsidRPr="004E74A6" w:rsidRDefault="003855ED" w:rsidP="00832773">
            <w:pPr>
              <w:spacing w:line="276" w:lineRule="auto"/>
              <w:jc w:val="center"/>
              <w:rPr>
                <w:rFonts w:cs="Calibri"/>
                <w:b/>
                <w:bCs/>
                <w:color w:val="000000"/>
                <w:sz w:val="22"/>
                <w:szCs w:val="22"/>
                <w:lang w:eastAsia="es-CR"/>
              </w:rPr>
            </w:pPr>
            <w:r w:rsidRPr="004E74A6">
              <w:rPr>
                <w:rFonts w:cs="Calibri"/>
                <w:b/>
                <w:bCs/>
                <w:color w:val="000000"/>
                <w:sz w:val="22"/>
                <w:szCs w:val="22"/>
                <w:lang w:eastAsia="es-CR"/>
              </w:rPr>
              <w:t>2899</w:t>
            </w:r>
          </w:p>
        </w:tc>
        <w:tc>
          <w:tcPr>
            <w:tcW w:w="1140" w:type="dxa"/>
            <w:tcBorders>
              <w:top w:val="nil"/>
              <w:left w:val="nil"/>
              <w:bottom w:val="nil"/>
              <w:right w:val="nil"/>
            </w:tcBorders>
            <w:shd w:val="clear" w:color="auto" w:fill="auto"/>
            <w:noWrap/>
            <w:vAlign w:val="center"/>
            <w:hideMark/>
          </w:tcPr>
          <w:p w14:paraId="056A90F1" w14:textId="77777777" w:rsidR="003855ED" w:rsidRPr="004E74A6" w:rsidRDefault="003855ED" w:rsidP="00832773">
            <w:pPr>
              <w:spacing w:line="276" w:lineRule="auto"/>
              <w:jc w:val="center"/>
              <w:rPr>
                <w:rFonts w:cs="Calibri"/>
                <w:b/>
                <w:bCs/>
                <w:color w:val="000000"/>
                <w:sz w:val="22"/>
                <w:szCs w:val="22"/>
                <w:lang w:eastAsia="es-CR"/>
              </w:rPr>
            </w:pPr>
            <w:r w:rsidRPr="004E74A6">
              <w:rPr>
                <w:rFonts w:cs="Calibri"/>
                <w:b/>
                <w:bCs/>
                <w:color w:val="000000"/>
                <w:sz w:val="22"/>
                <w:szCs w:val="22"/>
                <w:lang w:eastAsia="es-CR"/>
              </w:rPr>
              <w:t>3120</w:t>
            </w:r>
          </w:p>
        </w:tc>
      </w:tr>
      <w:tr w:rsidR="003855ED" w:rsidRPr="004E74A6" w14:paraId="1C13FD0D" w14:textId="77777777" w:rsidTr="00832773">
        <w:trPr>
          <w:trHeight w:val="288"/>
          <w:jc w:val="center"/>
        </w:trPr>
        <w:tc>
          <w:tcPr>
            <w:tcW w:w="3740" w:type="dxa"/>
            <w:tcBorders>
              <w:top w:val="nil"/>
              <w:left w:val="nil"/>
              <w:bottom w:val="nil"/>
              <w:right w:val="single" w:sz="4" w:space="0" w:color="000000"/>
            </w:tcBorders>
            <w:shd w:val="clear" w:color="auto" w:fill="auto"/>
            <w:noWrap/>
            <w:vAlign w:val="center"/>
            <w:hideMark/>
          </w:tcPr>
          <w:p w14:paraId="1899D1E8" w14:textId="77777777" w:rsidR="003855ED" w:rsidRPr="004E74A6" w:rsidRDefault="003855ED" w:rsidP="00832773">
            <w:pPr>
              <w:spacing w:line="276" w:lineRule="auto"/>
              <w:jc w:val="left"/>
              <w:rPr>
                <w:rFonts w:cs="Calibri"/>
                <w:color w:val="000000"/>
                <w:sz w:val="22"/>
                <w:szCs w:val="22"/>
                <w:lang w:eastAsia="es-CR"/>
              </w:rPr>
            </w:pPr>
            <w:r w:rsidRPr="004E74A6">
              <w:rPr>
                <w:rFonts w:cs="Calibri"/>
                <w:color w:val="000000"/>
                <w:sz w:val="22"/>
                <w:szCs w:val="22"/>
                <w:lang w:eastAsia="es-CR"/>
              </w:rPr>
              <w:t> </w:t>
            </w:r>
          </w:p>
        </w:tc>
        <w:tc>
          <w:tcPr>
            <w:tcW w:w="1240" w:type="dxa"/>
            <w:tcBorders>
              <w:top w:val="nil"/>
              <w:left w:val="nil"/>
              <w:bottom w:val="nil"/>
              <w:right w:val="single" w:sz="4" w:space="0" w:color="000000"/>
            </w:tcBorders>
            <w:shd w:val="clear" w:color="auto" w:fill="auto"/>
            <w:noWrap/>
            <w:vAlign w:val="center"/>
            <w:hideMark/>
          </w:tcPr>
          <w:p w14:paraId="60166E7F"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 </w:t>
            </w:r>
          </w:p>
        </w:tc>
        <w:tc>
          <w:tcPr>
            <w:tcW w:w="1240" w:type="dxa"/>
            <w:tcBorders>
              <w:top w:val="nil"/>
              <w:left w:val="nil"/>
              <w:bottom w:val="nil"/>
              <w:right w:val="single" w:sz="4" w:space="0" w:color="000000"/>
            </w:tcBorders>
            <w:shd w:val="clear" w:color="auto" w:fill="auto"/>
            <w:noWrap/>
            <w:vAlign w:val="center"/>
            <w:hideMark/>
          </w:tcPr>
          <w:p w14:paraId="5799E756"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 </w:t>
            </w:r>
          </w:p>
        </w:tc>
        <w:tc>
          <w:tcPr>
            <w:tcW w:w="1240" w:type="dxa"/>
            <w:tcBorders>
              <w:top w:val="nil"/>
              <w:left w:val="nil"/>
              <w:bottom w:val="nil"/>
              <w:right w:val="single" w:sz="4" w:space="0" w:color="000000"/>
            </w:tcBorders>
            <w:shd w:val="clear" w:color="auto" w:fill="auto"/>
            <w:noWrap/>
            <w:vAlign w:val="center"/>
            <w:hideMark/>
          </w:tcPr>
          <w:p w14:paraId="464CA8FB"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 </w:t>
            </w:r>
          </w:p>
        </w:tc>
        <w:tc>
          <w:tcPr>
            <w:tcW w:w="1140" w:type="dxa"/>
            <w:tcBorders>
              <w:top w:val="nil"/>
              <w:left w:val="nil"/>
              <w:bottom w:val="nil"/>
              <w:right w:val="nil"/>
            </w:tcBorders>
            <w:shd w:val="clear" w:color="auto" w:fill="auto"/>
            <w:noWrap/>
            <w:vAlign w:val="center"/>
            <w:hideMark/>
          </w:tcPr>
          <w:p w14:paraId="05FB7DC1"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 </w:t>
            </w:r>
          </w:p>
        </w:tc>
      </w:tr>
      <w:tr w:rsidR="003855ED" w:rsidRPr="004E74A6" w14:paraId="70B9F734" w14:textId="77777777" w:rsidTr="00832773">
        <w:trPr>
          <w:trHeight w:val="288"/>
          <w:jc w:val="center"/>
        </w:trPr>
        <w:tc>
          <w:tcPr>
            <w:tcW w:w="3740" w:type="dxa"/>
            <w:tcBorders>
              <w:top w:val="nil"/>
              <w:left w:val="nil"/>
              <w:bottom w:val="nil"/>
              <w:right w:val="single" w:sz="4" w:space="0" w:color="000000"/>
            </w:tcBorders>
            <w:shd w:val="clear" w:color="auto" w:fill="auto"/>
            <w:noWrap/>
            <w:vAlign w:val="center"/>
            <w:hideMark/>
          </w:tcPr>
          <w:p w14:paraId="45DFAE72" w14:textId="77777777" w:rsidR="003855ED" w:rsidRPr="004E74A6" w:rsidRDefault="003855ED" w:rsidP="00832773">
            <w:pPr>
              <w:spacing w:line="276" w:lineRule="auto"/>
              <w:jc w:val="left"/>
              <w:rPr>
                <w:rFonts w:cs="Calibri"/>
                <w:color w:val="000000"/>
                <w:sz w:val="22"/>
                <w:szCs w:val="22"/>
                <w:lang w:eastAsia="es-CR"/>
              </w:rPr>
            </w:pPr>
            <w:r w:rsidRPr="004E74A6">
              <w:rPr>
                <w:rFonts w:cs="Calibri"/>
                <w:color w:val="000000"/>
                <w:sz w:val="22"/>
                <w:szCs w:val="22"/>
                <w:lang w:eastAsia="es-CR"/>
              </w:rPr>
              <w:t>Agrario</w:t>
            </w:r>
          </w:p>
        </w:tc>
        <w:tc>
          <w:tcPr>
            <w:tcW w:w="1240" w:type="dxa"/>
            <w:tcBorders>
              <w:top w:val="nil"/>
              <w:left w:val="nil"/>
              <w:bottom w:val="nil"/>
              <w:right w:val="single" w:sz="4" w:space="0" w:color="000000"/>
            </w:tcBorders>
            <w:shd w:val="clear" w:color="auto" w:fill="auto"/>
            <w:noWrap/>
            <w:vAlign w:val="center"/>
            <w:hideMark/>
          </w:tcPr>
          <w:p w14:paraId="31341346"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1</w:t>
            </w:r>
          </w:p>
        </w:tc>
        <w:tc>
          <w:tcPr>
            <w:tcW w:w="1240" w:type="dxa"/>
            <w:tcBorders>
              <w:top w:val="nil"/>
              <w:left w:val="nil"/>
              <w:bottom w:val="nil"/>
              <w:right w:val="single" w:sz="4" w:space="0" w:color="000000"/>
            </w:tcBorders>
            <w:shd w:val="clear" w:color="auto" w:fill="auto"/>
            <w:noWrap/>
            <w:vAlign w:val="center"/>
            <w:hideMark/>
          </w:tcPr>
          <w:p w14:paraId="35D41F53"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0</w:t>
            </w:r>
          </w:p>
        </w:tc>
        <w:tc>
          <w:tcPr>
            <w:tcW w:w="1240" w:type="dxa"/>
            <w:tcBorders>
              <w:top w:val="nil"/>
              <w:left w:val="nil"/>
              <w:bottom w:val="nil"/>
              <w:right w:val="single" w:sz="4" w:space="0" w:color="000000"/>
            </w:tcBorders>
            <w:shd w:val="clear" w:color="auto" w:fill="auto"/>
            <w:noWrap/>
            <w:vAlign w:val="center"/>
            <w:hideMark/>
          </w:tcPr>
          <w:p w14:paraId="25C28427"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3</w:t>
            </w:r>
          </w:p>
        </w:tc>
        <w:tc>
          <w:tcPr>
            <w:tcW w:w="1140" w:type="dxa"/>
            <w:tcBorders>
              <w:top w:val="nil"/>
              <w:left w:val="nil"/>
              <w:bottom w:val="nil"/>
              <w:right w:val="nil"/>
            </w:tcBorders>
            <w:shd w:val="clear" w:color="auto" w:fill="auto"/>
            <w:noWrap/>
            <w:vAlign w:val="center"/>
            <w:hideMark/>
          </w:tcPr>
          <w:p w14:paraId="32548D35"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1</w:t>
            </w:r>
          </w:p>
        </w:tc>
      </w:tr>
      <w:tr w:rsidR="003855ED" w:rsidRPr="004E74A6" w14:paraId="6D1982C2" w14:textId="77777777" w:rsidTr="00832773">
        <w:trPr>
          <w:trHeight w:val="288"/>
          <w:jc w:val="center"/>
        </w:trPr>
        <w:tc>
          <w:tcPr>
            <w:tcW w:w="3740" w:type="dxa"/>
            <w:tcBorders>
              <w:top w:val="nil"/>
              <w:left w:val="nil"/>
              <w:bottom w:val="nil"/>
              <w:right w:val="single" w:sz="4" w:space="0" w:color="000000"/>
            </w:tcBorders>
            <w:shd w:val="clear" w:color="auto" w:fill="auto"/>
            <w:noWrap/>
            <w:vAlign w:val="center"/>
            <w:hideMark/>
          </w:tcPr>
          <w:p w14:paraId="294D74A3" w14:textId="77777777" w:rsidR="003855ED" w:rsidRPr="004E74A6" w:rsidRDefault="003855ED" w:rsidP="00832773">
            <w:pPr>
              <w:spacing w:line="276" w:lineRule="auto"/>
              <w:jc w:val="left"/>
              <w:rPr>
                <w:rFonts w:cs="Calibri"/>
                <w:color w:val="000000"/>
                <w:sz w:val="22"/>
                <w:szCs w:val="22"/>
                <w:lang w:eastAsia="es-CR"/>
              </w:rPr>
            </w:pPr>
            <w:r w:rsidRPr="004E74A6">
              <w:rPr>
                <w:rFonts w:cs="Calibri"/>
                <w:color w:val="000000"/>
                <w:sz w:val="22"/>
                <w:szCs w:val="22"/>
                <w:lang w:eastAsia="es-CR"/>
              </w:rPr>
              <w:t>Civil</w:t>
            </w:r>
          </w:p>
        </w:tc>
        <w:tc>
          <w:tcPr>
            <w:tcW w:w="1240" w:type="dxa"/>
            <w:tcBorders>
              <w:top w:val="nil"/>
              <w:left w:val="nil"/>
              <w:bottom w:val="nil"/>
              <w:right w:val="single" w:sz="4" w:space="0" w:color="000000"/>
            </w:tcBorders>
            <w:shd w:val="clear" w:color="auto" w:fill="auto"/>
            <w:noWrap/>
            <w:vAlign w:val="center"/>
            <w:hideMark/>
          </w:tcPr>
          <w:p w14:paraId="1B8056AD"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43</w:t>
            </w:r>
          </w:p>
        </w:tc>
        <w:tc>
          <w:tcPr>
            <w:tcW w:w="1240" w:type="dxa"/>
            <w:tcBorders>
              <w:top w:val="nil"/>
              <w:left w:val="nil"/>
              <w:bottom w:val="nil"/>
              <w:right w:val="single" w:sz="4" w:space="0" w:color="000000"/>
            </w:tcBorders>
            <w:shd w:val="clear" w:color="auto" w:fill="auto"/>
            <w:noWrap/>
            <w:vAlign w:val="center"/>
            <w:hideMark/>
          </w:tcPr>
          <w:p w14:paraId="2589ECF0"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38</w:t>
            </w:r>
          </w:p>
        </w:tc>
        <w:tc>
          <w:tcPr>
            <w:tcW w:w="1240" w:type="dxa"/>
            <w:tcBorders>
              <w:top w:val="nil"/>
              <w:left w:val="nil"/>
              <w:bottom w:val="nil"/>
              <w:right w:val="single" w:sz="4" w:space="0" w:color="000000"/>
            </w:tcBorders>
            <w:shd w:val="clear" w:color="auto" w:fill="auto"/>
            <w:noWrap/>
            <w:vAlign w:val="center"/>
            <w:hideMark/>
          </w:tcPr>
          <w:p w14:paraId="37536E9B"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75</w:t>
            </w:r>
          </w:p>
        </w:tc>
        <w:tc>
          <w:tcPr>
            <w:tcW w:w="1140" w:type="dxa"/>
            <w:tcBorders>
              <w:top w:val="nil"/>
              <w:left w:val="nil"/>
              <w:bottom w:val="nil"/>
              <w:right w:val="nil"/>
            </w:tcBorders>
            <w:shd w:val="clear" w:color="auto" w:fill="auto"/>
            <w:noWrap/>
            <w:vAlign w:val="center"/>
            <w:hideMark/>
          </w:tcPr>
          <w:p w14:paraId="16C70BB9"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52</w:t>
            </w:r>
          </w:p>
        </w:tc>
      </w:tr>
      <w:tr w:rsidR="003855ED" w:rsidRPr="004E74A6" w14:paraId="02F09AA6" w14:textId="77777777" w:rsidTr="00832773">
        <w:trPr>
          <w:trHeight w:val="288"/>
          <w:jc w:val="center"/>
        </w:trPr>
        <w:tc>
          <w:tcPr>
            <w:tcW w:w="3740" w:type="dxa"/>
            <w:tcBorders>
              <w:top w:val="nil"/>
              <w:left w:val="nil"/>
              <w:bottom w:val="nil"/>
              <w:right w:val="single" w:sz="4" w:space="0" w:color="000000"/>
            </w:tcBorders>
            <w:shd w:val="clear" w:color="000000" w:fill="F2F2F2"/>
            <w:noWrap/>
            <w:vAlign w:val="center"/>
            <w:hideMark/>
          </w:tcPr>
          <w:p w14:paraId="06BA426B" w14:textId="77777777" w:rsidR="003855ED" w:rsidRPr="004E74A6" w:rsidRDefault="003855ED" w:rsidP="00832773">
            <w:pPr>
              <w:spacing w:line="276" w:lineRule="auto"/>
              <w:ind w:firstLineChars="300" w:firstLine="600"/>
              <w:jc w:val="left"/>
              <w:rPr>
                <w:rFonts w:cs="Calibri"/>
                <w:i/>
                <w:iCs/>
                <w:color w:val="000000"/>
                <w:sz w:val="20"/>
                <w:lang w:eastAsia="es-CR"/>
              </w:rPr>
            </w:pPr>
            <w:r w:rsidRPr="004E74A6">
              <w:rPr>
                <w:rFonts w:cs="Calibri"/>
                <w:i/>
                <w:iCs/>
                <w:color w:val="000000"/>
                <w:sz w:val="20"/>
                <w:lang w:eastAsia="es-CR"/>
              </w:rPr>
              <w:t>Otro</w:t>
            </w:r>
          </w:p>
        </w:tc>
        <w:tc>
          <w:tcPr>
            <w:tcW w:w="1240" w:type="dxa"/>
            <w:tcBorders>
              <w:top w:val="nil"/>
              <w:left w:val="nil"/>
              <w:bottom w:val="nil"/>
              <w:right w:val="single" w:sz="4" w:space="0" w:color="000000"/>
            </w:tcBorders>
            <w:shd w:val="clear" w:color="000000" w:fill="F2F2F2"/>
            <w:noWrap/>
            <w:vAlign w:val="center"/>
            <w:hideMark/>
          </w:tcPr>
          <w:p w14:paraId="3292B2C0" w14:textId="77777777" w:rsidR="003855ED" w:rsidRPr="004E74A6" w:rsidRDefault="003855ED" w:rsidP="00832773">
            <w:pPr>
              <w:spacing w:line="276" w:lineRule="auto"/>
              <w:jc w:val="center"/>
              <w:rPr>
                <w:rFonts w:cs="Calibri"/>
                <w:i/>
                <w:iCs/>
                <w:color w:val="808080"/>
                <w:sz w:val="20"/>
                <w:lang w:eastAsia="es-CR"/>
              </w:rPr>
            </w:pPr>
            <w:r w:rsidRPr="004E74A6">
              <w:rPr>
                <w:rFonts w:cs="Calibri"/>
                <w:i/>
                <w:iCs/>
                <w:color w:val="808080"/>
                <w:sz w:val="20"/>
                <w:lang w:eastAsia="es-CR"/>
              </w:rPr>
              <w:t>0</w:t>
            </w:r>
          </w:p>
        </w:tc>
        <w:tc>
          <w:tcPr>
            <w:tcW w:w="1240" w:type="dxa"/>
            <w:tcBorders>
              <w:top w:val="nil"/>
              <w:left w:val="nil"/>
              <w:bottom w:val="nil"/>
              <w:right w:val="single" w:sz="4" w:space="0" w:color="000000"/>
            </w:tcBorders>
            <w:shd w:val="clear" w:color="000000" w:fill="F2F2F2"/>
            <w:noWrap/>
            <w:vAlign w:val="center"/>
            <w:hideMark/>
          </w:tcPr>
          <w:p w14:paraId="40E04C36" w14:textId="77777777" w:rsidR="003855ED" w:rsidRPr="004E74A6" w:rsidRDefault="003855ED" w:rsidP="00832773">
            <w:pPr>
              <w:spacing w:line="276" w:lineRule="auto"/>
              <w:jc w:val="center"/>
              <w:rPr>
                <w:rFonts w:cs="Calibri"/>
                <w:i/>
                <w:iCs/>
                <w:color w:val="808080"/>
                <w:sz w:val="20"/>
                <w:lang w:eastAsia="es-CR"/>
              </w:rPr>
            </w:pPr>
            <w:r w:rsidRPr="004E74A6">
              <w:rPr>
                <w:rFonts w:cs="Calibri"/>
                <w:i/>
                <w:iCs/>
                <w:color w:val="808080"/>
                <w:sz w:val="20"/>
                <w:lang w:eastAsia="es-CR"/>
              </w:rPr>
              <w:t>1</w:t>
            </w:r>
          </w:p>
        </w:tc>
        <w:tc>
          <w:tcPr>
            <w:tcW w:w="1240" w:type="dxa"/>
            <w:tcBorders>
              <w:top w:val="nil"/>
              <w:left w:val="nil"/>
              <w:bottom w:val="nil"/>
              <w:right w:val="single" w:sz="4" w:space="0" w:color="000000"/>
            </w:tcBorders>
            <w:shd w:val="clear" w:color="000000" w:fill="F2F2F2"/>
            <w:noWrap/>
            <w:vAlign w:val="center"/>
            <w:hideMark/>
          </w:tcPr>
          <w:p w14:paraId="77D892FF" w14:textId="77777777" w:rsidR="003855ED" w:rsidRPr="004E74A6" w:rsidRDefault="003855ED" w:rsidP="00832773">
            <w:pPr>
              <w:spacing w:line="276" w:lineRule="auto"/>
              <w:jc w:val="center"/>
              <w:rPr>
                <w:rFonts w:cs="Calibri"/>
                <w:i/>
                <w:iCs/>
                <w:color w:val="808080"/>
                <w:sz w:val="20"/>
                <w:lang w:eastAsia="es-CR"/>
              </w:rPr>
            </w:pPr>
            <w:r w:rsidRPr="004E74A6">
              <w:rPr>
                <w:rFonts w:cs="Calibri"/>
                <w:i/>
                <w:iCs/>
                <w:color w:val="808080"/>
                <w:sz w:val="20"/>
                <w:lang w:eastAsia="es-CR"/>
              </w:rPr>
              <w:t>0</w:t>
            </w:r>
          </w:p>
        </w:tc>
        <w:tc>
          <w:tcPr>
            <w:tcW w:w="1140" w:type="dxa"/>
            <w:tcBorders>
              <w:top w:val="nil"/>
              <w:left w:val="nil"/>
              <w:bottom w:val="nil"/>
              <w:right w:val="nil"/>
            </w:tcBorders>
            <w:shd w:val="clear" w:color="000000" w:fill="F2F2F2"/>
            <w:noWrap/>
            <w:vAlign w:val="center"/>
            <w:hideMark/>
          </w:tcPr>
          <w:p w14:paraId="4A8C499B" w14:textId="77777777" w:rsidR="003855ED" w:rsidRPr="004E74A6" w:rsidRDefault="003855ED" w:rsidP="00832773">
            <w:pPr>
              <w:spacing w:line="276" w:lineRule="auto"/>
              <w:jc w:val="center"/>
              <w:rPr>
                <w:rFonts w:cs="Calibri"/>
                <w:color w:val="000000"/>
                <w:sz w:val="20"/>
                <w:lang w:eastAsia="es-CR"/>
              </w:rPr>
            </w:pPr>
            <w:r w:rsidRPr="004E74A6">
              <w:rPr>
                <w:rFonts w:cs="Calibri"/>
                <w:color w:val="000000"/>
                <w:sz w:val="20"/>
                <w:lang w:eastAsia="es-CR"/>
              </w:rPr>
              <w:t> </w:t>
            </w:r>
          </w:p>
        </w:tc>
      </w:tr>
      <w:tr w:rsidR="003855ED" w:rsidRPr="004E74A6" w14:paraId="5CA20E4B" w14:textId="77777777" w:rsidTr="00832773">
        <w:trPr>
          <w:trHeight w:val="288"/>
          <w:jc w:val="center"/>
        </w:trPr>
        <w:tc>
          <w:tcPr>
            <w:tcW w:w="3740" w:type="dxa"/>
            <w:tcBorders>
              <w:top w:val="nil"/>
              <w:left w:val="nil"/>
              <w:bottom w:val="nil"/>
              <w:right w:val="single" w:sz="4" w:space="0" w:color="000000"/>
            </w:tcBorders>
            <w:shd w:val="clear" w:color="000000" w:fill="F2F2F2"/>
            <w:noWrap/>
            <w:vAlign w:val="center"/>
            <w:hideMark/>
          </w:tcPr>
          <w:p w14:paraId="636995E3" w14:textId="77777777" w:rsidR="003855ED" w:rsidRPr="004E74A6" w:rsidRDefault="003855ED" w:rsidP="00832773">
            <w:pPr>
              <w:spacing w:line="276" w:lineRule="auto"/>
              <w:ind w:firstLineChars="300" w:firstLine="600"/>
              <w:jc w:val="left"/>
              <w:rPr>
                <w:rFonts w:cs="Calibri"/>
                <w:i/>
                <w:iCs/>
                <w:color w:val="000000"/>
                <w:sz w:val="20"/>
                <w:lang w:eastAsia="es-CR"/>
              </w:rPr>
            </w:pPr>
            <w:r w:rsidRPr="004E74A6">
              <w:rPr>
                <w:rFonts w:cs="Calibri"/>
                <w:i/>
                <w:iCs/>
                <w:color w:val="000000"/>
                <w:sz w:val="20"/>
                <w:lang w:eastAsia="es-CR"/>
              </w:rPr>
              <w:t>Casación</w:t>
            </w:r>
          </w:p>
        </w:tc>
        <w:tc>
          <w:tcPr>
            <w:tcW w:w="1240" w:type="dxa"/>
            <w:tcBorders>
              <w:top w:val="nil"/>
              <w:left w:val="nil"/>
              <w:bottom w:val="nil"/>
              <w:right w:val="single" w:sz="4" w:space="0" w:color="000000"/>
            </w:tcBorders>
            <w:shd w:val="clear" w:color="000000" w:fill="F2F2F2"/>
            <w:noWrap/>
            <w:vAlign w:val="center"/>
            <w:hideMark/>
          </w:tcPr>
          <w:p w14:paraId="64A81F86" w14:textId="77777777" w:rsidR="003855ED" w:rsidRPr="004E74A6" w:rsidRDefault="003855ED" w:rsidP="00832773">
            <w:pPr>
              <w:spacing w:line="276" w:lineRule="auto"/>
              <w:jc w:val="center"/>
              <w:rPr>
                <w:rFonts w:cs="Calibri"/>
                <w:i/>
                <w:iCs/>
                <w:color w:val="808080"/>
                <w:sz w:val="20"/>
                <w:lang w:eastAsia="es-CR"/>
              </w:rPr>
            </w:pPr>
            <w:r w:rsidRPr="004E74A6">
              <w:rPr>
                <w:rFonts w:cs="Calibri"/>
                <w:i/>
                <w:iCs/>
                <w:color w:val="808080"/>
                <w:sz w:val="20"/>
                <w:lang w:eastAsia="es-CR"/>
              </w:rPr>
              <w:t>32</w:t>
            </w:r>
          </w:p>
        </w:tc>
        <w:tc>
          <w:tcPr>
            <w:tcW w:w="1240" w:type="dxa"/>
            <w:tcBorders>
              <w:top w:val="nil"/>
              <w:left w:val="nil"/>
              <w:bottom w:val="nil"/>
              <w:right w:val="single" w:sz="4" w:space="0" w:color="000000"/>
            </w:tcBorders>
            <w:shd w:val="clear" w:color="000000" w:fill="F2F2F2"/>
            <w:noWrap/>
            <w:vAlign w:val="center"/>
            <w:hideMark/>
          </w:tcPr>
          <w:p w14:paraId="20CE4467" w14:textId="77777777" w:rsidR="003855ED" w:rsidRPr="004E74A6" w:rsidRDefault="003855ED" w:rsidP="00832773">
            <w:pPr>
              <w:spacing w:line="276" w:lineRule="auto"/>
              <w:jc w:val="center"/>
              <w:rPr>
                <w:rFonts w:cs="Calibri"/>
                <w:i/>
                <w:iCs/>
                <w:color w:val="808080"/>
                <w:sz w:val="20"/>
                <w:lang w:eastAsia="es-CR"/>
              </w:rPr>
            </w:pPr>
            <w:r w:rsidRPr="004E74A6">
              <w:rPr>
                <w:rFonts w:cs="Calibri"/>
                <w:i/>
                <w:iCs/>
                <w:color w:val="808080"/>
                <w:sz w:val="20"/>
                <w:lang w:eastAsia="es-CR"/>
              </w:rPr>
              <w:t>20</w:t>
            </w:r>
          </w:p>
        </w:tc>
        <w:tc>
          <w:tcPr>
            <w:tcW w:w="1240" w:type="dxa"/>
            <w:tcBorders>
              <w:top w:val="nil"/>
              <w:left w:val="nil"/>
              <w:bottom w:val="nil"/>
              <w:right w:val="single" w:sz="4" w:space="0" w:color="000000"/>
            </w:tcBorders>
            <w:shd w:val="clear" w:color="000000" w:fill="F2F2F2"/>
            <w:noWrap/>
            <w:vAlign w:val="center"/>
            <w:hideMark/>
          </w:tcPr>
          <w:p w14:paraId="2422EC66" w14:textId="77777777" w:rsidR="003855ED" w:rsidRPr="004E74A6" w:rsidRDefault="003855ED" w:rsidP="00832773">
            <w:pPr>
              <w:spacing w:line="276" w:lineRule="auto"/>
              <w:jc w:val="center"/>
              <w:rPr>
                <w:rFonts w:cs="Calibri"/>
                <w:i/>
                <w:iCs/>
                <w:color w:val="808080"/>
                <w:sz w:val="20"/>
                <w:lang w:eastAsia="es-CR"/>
              </w:rPr>
            </w:pPr>
            <w:r w:rsidRPr="004E74A6">
              <w:rPr>
                <w:rFonts w:cs="Calibri"/>
                <w:i/>
                <w:iCs/>
                <w:color w:val="808080"/>
                <w:sz w:val="20"/>
                <w:lang w:eastAsia="es-CR"/>
              </w:rPr>
              <w:t>47</w:t>
            </w:r>
          </w:p>
        </w:tc>
        <w:tc>
          <w:tcPr>
            <w:tcW w:w="1140" w:type="dxa"/>
            <w:tcBorders>
              <w:top w:val="nil"/>
              <w:left w:val="nil"/>
              <w:bottom w:val="nil"/>
              <w:right w:val="nil"/>
            </w:tcBorders>
            <w:shd w:val="clear" w:color="000000" w:fill="F2F2F2"/>
            <w:noWrap/>
            <w:vAlign w:val="center"/>
            <w:hideMark/>
          </w:tcPr>
          <w:p w14:paraId="6AD3DBBF" w14:textId="77777777" w:rsidR="003855ED" w:rsidRPr="004E74A6" w:rsidRDefault="003855ED" w:rsidP="00832773">
            <w:pPr>
              <w:spacing w:line="276" w:lineRule="auto"/>
              <w:jc w:val="center"/>
              <w:rPr>
                <w:rFonts w:cs="Calibri"/>
                <w:color w:val="000000"/>
                <w:sz w:val="20"/>
                <w:lang w:eastAsia="es-CR"/>
              </w:rPr>
            </w:pPr>
            <w:r w:rsidRPr="004E74A6">
              <w:rPr>
                <w:rFonts w:cs="Calibri"/>
                <w:color w:val="000000"/>
                <w:sz w:val="20"/>
                <w:lang w:eastAsia="es-CR"/>
              </w:rPr>
              <w:t> </w:t>
            </w:r>
          </w:p>
        </w:tc>
      </w:tr>
      <w:tr w:rsidR="003855ED" w:rsidRPr="004E74A6" w14:paraId="4E07C26C" w14:textId="77777777" w:rsidTr="00832773">
        <w:trPr>
          <w:trHeight w:val="288"/>
          <w:jc w:val="center"/>
        </w:trPr>
        <w:tc>
          <w:tcPr>
            <w:tcW w:w="3740" w:type="dxa"/>
            <w:tcBorders>
              <w:top w:val="nil"/>
              <w:left w:val="nil"/>
              <w:bottom w:val="nil"/>
              <w:right w:val="single" w:sz="4" w:space="0" w:color="000000"/>
            </w:tcBorders>
            <w:shd w:val="clear" w:color="000000" w:fill="F2F2F2"/>
            <w:noWrap/>
            <w:vAlign w:val="center"/>
            <w:hideMark/>
          </w:tcPr>
          <w:p w14:paraId="500B4044" w14:textId="77777777" w:rsidR="003855ED" w:rsidRPr="004E74A6" w:rsidRDefault="003855ED" w:rsidP="00832773">
            <w:pPr>
              <w:spacing w:line="276" w:lineRule="auto"/>
              <w:ind w:firstLineChars="300" w:firstLine="600"/>
              <w:jc w:val="left"/>
              <w:rPr>
                <w:rFonts w:cs="Calibri"/>
                <w:i/>
                <w:iCs/>
                <w:color w:val="000000"/>
                <w:sz w:val="20"/>
                <w:lang w:eastAsia="es-CR"/>
              </w:rPr>
            </w:pPr>
            <w:r w:rsidRPr="004E74A6">
              <w:rPr>
                <w:rFonts w:cs="Calibri"/>
                <w:i/>
                <w:iCs/>
                <w:color w:val="000000"/>
                <w:sz w:val="20"/>
                <w:lang w:eastAsia="es-CR"/>
              </w:rPr>
              <w:t>Competencia</w:t>
            </w:r>
          </w:p>
        </w:tc>
        <w:tc>
          <w:tcPr>
            <w:tcW w:w="1240" w:type="dxa"/>
            <w:tcBorders>
              <w:top w:val="nil"/>
              <w:left w:val="nil"/>
              <w:bottom w:val="nil"/>
              <w:right w:val="single" w:sz="4" w:space="0" w:color="000000"/>
            </w:tcBorders>
            <w:shd w:val="clear" w:color="000000" w:fill="F2F2F2"/>
            <w:noWrap/>
            <w:vAlign w:val="center"/>
            <w:hideMark/>
          </w:tcPr>
          <w:p w14:paraId="5AAD558E" w14:textId="77777777" w:rsidR="003855ED" w:rsidRPr="004E74A6" w:rsidRDefault="003855ED" w:rsidP="00832773">
            <w:pPr>
              <w:spacing w:line="276" w:lineRule="auto"/>
              <w:jc w:val="center"/>
              <w:rPr>
                <w:rFonts w:cs="Calibri"/>
                <w:i/>
                <w:iCs/>
                <w:color w:val="808080"/>
                <w:sz w:val="20"/>
                <w:lang w:eastAsia="es-CR"/>
              </w:rPr>
            </w:pPr>
            <w:r w:rsidRPr="004E74A6">
              <w:rPr>
                <w:rFonts w:cs="Calibri"/>
                <w:i/>
                <w:iCs/>
                <w:color w:val="808080"/>
                <w:sz w:val="20"/>
                <w:lang w:eastAsia="es-CR"/>
              </w:rPr>
              <w:t>10</w:t>
            </w:r>
          </w:p>
        </w:tc>
        <w:tc>
          <w:tcPr>
            <w:tcW w:w="1240" w:type="dxa"/>
            <w:tcBorders>
              <w:top w:val="nil"/>
              <w:left w:val="nil"/>
              <w:bottom w:val="nil"/>
              <w:right w:val="single" w:sz="4" w:space="0" w:color="000000"/>
            </w:tcBorders>
            <w:shd w:val="clear" w:color="000000" w:fill="F2F2F2"/>
            <w:noWrap/>
            <w:vAlign w:val="center"/>
            <w:hideMark/>
          </w:tcPr>
          <w:p w14:paraId="46B81528" w14:textId="77777777" w:rsidR="003855ED" w:rsidRPr="004E74A6" w:rsidRDefault="003855ED" w:rsidP="00832773">
            <w:pPr>
              <w:spacing w:line="276" w:lineRule="auto"/>
              <w:jc w:val="center"/>
              <w:rPr>
                <w:rFonts w:cs="Calibri"/>
                <w:i/>
                <w:iCs/>
                <w:color w:val="808080"/>
                <w:sz w:val="20"/>
                <w:lang w:eastAsia="es-CR"/>
              </w:rPr>
            </w:pPr>
            <w:r w:rsidRPr="004E74A6">
              <w:rPr>
                <w:rFonts w:cs="Calibri"/>
                <w:i/>
                <w:iCs/>
                <w:color w:val="808080"/>
                <w:sz w:val="20"/>
                <w:lang w:eastAsia="es-CR"/>
              </w:rPr>
              <w:t>17</w:t>
            </w:r>
          </w:p>
        </w:tc>
        <w:tc>
          <w:tcPr>
            <w:tcW w:w="1240" w:type="dxa"/>
            <w:tcBorders>
              <w:top w:val="nil"/>
              <w:left w:val="nil"/>
              <w:bottom w:val="nil"/>
              <w:right w:val="single" w:sz="4" w:space="0" w:color="000000"/>
            </w:tcBorders>
            <w:shd w:val="clear" w:color="000000" w:fill="F2F2F2"/>
            <w:noWrap/>
            <w:vAlign w:val="center"/>
            <w:hideMark/>
          </w:tcPr>
          <w:p w14:paraId="1F1080F1" w14:textId="77777777" w:rsidR="003855ED" w:rsidRPr="004E74A6" w:rsidRDefault="003855ED" w:rsidP="00832773">
            <w:pPr>
              <w:spacing w:line="276" w:lineRule="auto"/>
              <w:jc w:val="center"/>
              <w:rPr>
                <w:rFonts w:cs="Calibri"/>
                <w:i/>
                <w:iCs/>
                <w:color w:val="808080"/>
                <w:sz w:val="20"/>
                <w:lang w:eastAsia="es-CR"/>
              </w:rPr>
            </w:pPr>
            <w:r w:rsidRPr="004E74A6">
              <w:rPr>
                <w:rFonts w:cs="Calibri"/>
                <w:i/>
                <w:iCs/>
                <w:color w:val="808080"/>
                <w:sz w:val="20"/>
                <w:lang w:eastAsia="es-CR"/>
              </w:rPr>
              <w:t>26</w:t>
            </w:r>
          </w:p>
        </w:tc>
        <w:tc>
          <w:tcPr>
            <w:tcW w:w="1140" w:type="dxa"/>
            <w:tcBorders>
              <w:top w:val="nil"/>
              <w:left w:val="nil"/>
              <w:bottom w:val="nil"/>
              <w:right w:val="nil"/>
            </w:tcBorders>
            <w:shd w:val="clear" w:color="000000" w:fill="F2F2F2"/>
            <w:noWrap/>
            <w:vAlign w:val="center"/>
            <w:hideMark/>
          </w:tcPr>
          <w:p w14:paraId="572F561F" w14:textId="77777777" w:rsidR="003855ED" w:rsidRPr="004E74A6" w:rsidRDefault="003855ED" w:rsidP="00832773">
            <w:pPr>
              <w:spacing w:line="276" w:lineRule="auto"/>
              <w:jc w:val="center"/>
              <w:rPr>
                <w:rFonts w:cs="Calibri"/>
                <w:color w:val="000000"/>
                <w:sz w:val="20"/>
                <w:lang w:eastAsia="es-CR"/>
              </w:rPr>
            </w:pPr>
            <w:r w:rsidRPr="004E74A6">
              <w:rPr>
                <w:rFonts w:cs="Calibri"/>
                <w:color w:val="000000"/>
                <w:sz w:val="20"/>
                <w:lang w:eastAsia="es-CR"/>
              </w:rPr>
              <w:t> </w:t>
            </w:r>
          </w:p>
        </w:tc>
      </w:tr>
      <w:tr w:rsidR="003855ED" w:rsidRPr="004E74A6" w14:paraId="1BC354A5" w14:textId="77777777" w:rsidTr="00832773">
        <w:trPr>
          <w:trHeight w:val="288"/>
          <w:jc w:val="center"/>
        </w:trPr>
        <w:tc>
          <w:tcPr>
            <w:tcW w:w="3740" w:type="dxa"/>
            <w:tcBorders>
              <w:top w:val="nil"/>
              <w:left w:val="nil"/>
              <w:bottom w:val="nil"/>
              <w:right w:val="single" w:sz="4" w:space="0" w:color="000000"/>
            </w:tcBorders>
            <w:shd w:val="clear" w:color="000000" w:fill="F2F2F2"/>
            <w:noWrap/>
            <w:vAlign w:val="center"/>
            <w:hideMark/>
          </w:tcPr>
          <w:p w14:paraId="1ABA76F0" w14:textId="77777777" w:rsidR="003855ED" w:rsidRPr="004E74A6" w:rsidRDefault="003855ED" w:rsidP="00832773">
            <w:pPr>
              <w:spacing w:line="276" w:lineRule="auto"/>
              <w:ind w:firstLineChars="300" w:firstLine="600"/>
              <w:jc w:val="left"/>
              <w:rPr>
                <w:rFonts w:cs="Calibri"/>
                <w:i/>
                <w:iCs/>
                <w:color w:val="000000"/>
                <w:sz w:val="20"/>
                <w:lang w:eastAsia="es-CR"/>
              </w:rPr>
            </w:pPr>
            <w:r w:rsidRPr="004E74A6">
              <w:rPr>
                <w:rFonts w:cs="Calibri"/>
                <w:i/>
                <w:iCs/>
                <w:color w:val="000000"/>
                <w:sz w:val="20"/>
                <w:lang w:eastAsia="es-CR"/>
              </w:rPr>
              <w:t>Revisión</w:t>
            </w:r>
          </w:p>
        </w:tc>
        <w:tc>
          <w:tcPr>
            <w:tcW w:w="1240" w:type="dxa"/>
            <w:tcBorders>
              <w:top w:val="nil"/>
              <w:left w:val="nil"/>
              <w:bottom w:val="nil"/>
              <w:right w:val="single" w:sz="4" w:space="0" w:color="000000"/>
            </w:tcBorders>
            <w:shd w:val="clear" w:color="000000" w:fill="F2F2F2"/>
            <w:noWrap/>
            <w:vAlign w:val="center"/>
            <w:hideMark/>
          </w:tcPr>
          <w:p w14:paraId="7E719686" w14:textId="77777777" w:rsidR="003855ED" w:rsidRPr="004E74A6" w:rsidRDefault="003855ED" w:rsidP="00832773">
            <w:pPr>
              <w:spacing w:line="276" w:lineRule="auto"/>
              <w:jc w:val="center"/>
              <w:rPr>
                <w:rFonts w:cs="Calibri"/>
                <w:i/>
                <w:iCs/>
                <w:color w:val="808080"/>
                <w:sz w:val="20"/>
                <w:lang w:eastAsia="es-CR"/>
              </w:rPr>
            </w:pPr>
            <w:r w:rsidRPr="004E74A6">
              <w:rPr>
                <w:rFonts w:cs="Calibri"/>
                <w:i/>
                <w:iCs/>
                <w:color w:val="808080"/>
                <w:sz w:val="20"/>
                <w:lang w:eastAsia="es-CR"/>
              </w:rPr>
              <w:t>1</w:t>
            </w:r>
          </w:p>
        </w:tc>
        <w:tc>
          <w:tcPr>
            <w:tcW w:w="1240" w:type="dxa"/>
            <w:tcBorders>
              <w:top w:val="nil"/>
              <w:left w:val="nil"/>
              <w:bottom w:val="nil"/>
              <w:right w:val="single" w:sz="4" w:space="0" w:color="000000"/>
            </w:tcBorders>
            <w:shd w:val="clear" w:color="000000" w:fill="F2F2F2"/>
            <w:noWrap/>
            <w:vAlign w:val="center"/>
            <w:hideMark/>
          </w:tcPr>
          <w:p w14:paraId="66A87B81" w14:textId="77777777" w:rsidR="003855ED" w:rsidRPr="004E74A6" w:rsidRDefault="003855ED" w:rsidP="00832773">
            <w:pPr>
              <w:spacing w:line="276" w:lineRule="auto"/>
              <w:jc w:val="center"/>
              <w:rPr>
                <w:rFonts w:cs="Calibri"/>
                <w:i/>
                <w:iCs/>
                <w:color w:val="808080"/>
                <w:sz w:val="20"/>
                <w:lang w:eastAsia="es-CR"/>
              </w:rPr>
            </w:pPr>
            <w:r w:rsidRPr="004E74A6">
              <w:rPr>
                <w:rFonts w:cs="Calibri"/>
                <w:i/>
                <w:iCs/>
                <w:color w:val="808080"/>
                <w:sz w:val="20"/>
                <w:lang w:eastAsia="es-CR"/>
              </w:rPr>
              <w:t>0</w:t>
            </w:r>
          </w:p>
        </w:tc>
        <w:tc>
          <w:tcPr>
            <w:tcW w:w="1240" w:type="dxa"/>
            <w:tcBorders>
              <w:top w:val="nil"/>
              <w:left w:val="nil"/>
              <w:bottom w:val="nil"/>
              <w:right w:val="single" w:sz="4" w:space="0" w:color="000000"/>
            </w:tcBorders>
            <w:shd w:val="clear" w:color="000000" w:fill="F2F2F2"/>
            <w:noWrap/>
            <w:vAlign w:val="center"/>
            <w:hideMark/>
          </w:tcPr>
          <w:p w14:paraId="6896E232" w14:textId="77777777" w:rsidR="003855ED" w:rsidRPr="004E74A6" w:rsidRDefault="003855ED" w:rsidP="00832773">
            <w:pPr>
              <w:spacing w:line="276" w:lineRule="auto"/>
              <w:jc w:val="center"/>
              <w:rPr>
                <w:rFonts w:cs="Calibri"/>
                <w:i/>
                <w:iCs/>
                <w:color w:val="808080"/>
                <w:sz w:val="20"/>
                <w:lang w:eastAsia="es-CR"/>
              </w:rPr>
            </w:pPr>
            <w:r w:rsidRPr="004E74A6">
              <w:rPr>
                <w:rFonts w:cs="Calibri"/>
                <w:i/>
                <w:iCs/>
                <w:color w:val="808080"/>
                <w:sz w:val="20"/>
                <w:lang w:eastAsia="es-CR"/>
              </w:rPr>
              <w:t>2</w:t>
            </w:r>
          </w:p>
        </w:tc>
        <w:tc>
          <w:tcPr>
            <w:tcW w:w="1140" w:type="dxa"/>
            <w:tcBorders>
              <w:top w:val="nil"/>
              <w:left w:val="nil"/>
              <w:bottom w:val="nil"/>
              <w:right w:val="nil"/>
            </w:tcBorders>
            <w:shd w:val="clear" w:color="000000" w:fill="F2F2F2"/>
            <w:noWrap/>
            <w:vAlign w:val="center"/>
            <w:hideMark/>
          </w:tcPr>
          <w:p w14:paraId="7F708C4D" w14:textId="77777777" w:rsidR="003855ED" w:rsidRPr="004E74A6" w:rsidRDefault="003855ED" w:rsidP="00832773">
            <w:pPr>
              <w:spacing w:line="276" w:lineRule="auto"/>
              <w:jc w:val="center"/>
              <w:rPr>
                <w:rFonts w:cs="Calibri"/>
                <w:color w:val="000000"/>
                <w:sz w:val="20"/>
                <w:lang w:eastAsia="es-CR"/>
              </w:rPr>
            </w:pPr>
            <w:r w:rsidRPr="004E74A6">
              <w:rPr>
                <w:rFonts w:cs="Calibri"/>
                <w:color w:val="000000"/>
                <w:sz w:val="20"/>
                <w:lang w:eastAsia="es-CR"/>
              </w:rPr>
              <w:t> </w:t>
            </w:r>
          </w:p>
        </w:tc>
      </w:tr>
      <w:tr w:rsidR="003855ED" w:rsidRPr="004E74A6" w14:paraId="5DBC317A" w14:textId="77777777" w:rsidTr="00832773">
        <w:trPr>
          <w:trHeight w:val="288"/>
          <w:jc w:val="center"/>
        </w:trPr>
        <w:tc>
          <w:tcPr>
            <w:tcW w:w="3740" w:type="dxa"/>
            <w:tcBorders>
              <w:top w:val="nil"/>
              <w:left w:val="nil"/>
              <w:bottom w:val="nil"/>
              <w:right w:val="single" w:sz="4" w:space="0" w:color="000000"/>
            </w:tcBorders>
            <w:shd w:val="clear" w:color="auto" w:fill="auto"/>
            <w:noWrap/>
            <w:vAlign w:val="center"/>
            <w:hideMark/>
          </w:tcPr>
          <w:p w14:paraId="2F92FC5C" w14:textId="77777777" w:rsidR="003855ED" w:rsidRPr="004E74A6" w:rsidRDefault="003855ED" w:rsidP="00832773">
            <w:pPr>
              <w:spacing w:line="276" w:lineRule="auto"/>
              <w:jc w:val="left"/>
              <w:rPr>
                <w:rFonts w:cs="Calibri"/>
                <w:color w:val="000000"/>
                <w:sz w:val="22"/>
                <w:szCs w:val="22"/>
                <w:lang w:eastAsia="es-CR"/>
              </w:rPr>
            </w:pPr>
            <w:r w:rsidRPr="004E74A6">
              <w:rPr>
                <w:rFonts w:cs="Calibri"/>
                <w:color w:val="000000"/>
                <w:sz w:val="22"/>
                <w:szCs w:val="22"/>
                <w:lang w:eastAsia="es-CR"/>
              </w:rPr>
              <w:t>Contencioso Administrativo</w:t>
            </w:r>
          </w:p>
        </w:tc>
        <w:tc>
          <w:tcPr>
            <w:tcW w:w="1240" w:type="dxa"/>
            <w:tcBorders>
              <w:top w:val="nil"/>
              <w:left w:val="nil"/>
              <w:bottom w:val="nil"/>
              <w:right w:val="single" w:sz="4" w:space="0" w:color="000000"/>
            </w:tcBorders>
            <w:shd w:val="clear" w:color="auto" w:fill="auto"/>
            <w:noWrap/>
            <w:vAlign w:val="center"/>
            <w:hideMark/>
          </w:tcPr>
          <w:p w14:paraId="34E814AA"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34</w:t>
            </w:r>
          </w:p>
        </w:tc>
        <w:tc>
          <w:tcPr>
            <w:tcW w:w="1240" w:type="dxa"/>
            <w:tcBorders>
              <w:top w:val="nil"/>
              <w:left w:val="nil"/>
              <w:bottom w:val="nil"/>
              <w:right w:val="single" w:sz="4" w:space="0" w:color="000000"/>
            </w:tcBorders>
            <w:shd w:val="clear" w:color="auto" w:fill="auto"/>
            <w:noWrap/>
            <w:vAlign w:val="center"/>
            <w:hideMark/>
          </w:tcPr>
          <w:p w14:paraId="466D7CEC"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14</w:t>
            </w:r>
          </w:p>
        </w:tc>
        <w:tc>
          <w:tcPr>
            <w:tcW w:w="1240" w:type="dxa"/>
            <w:tcBorders>
              <w:top w:val="nil"/>
              <w:left w:val="nil"/>
              <w:bottom w:val="nil"/>
              <w:right w:val="single" w:sz="4" w:space="0" w:color="000000"/>
            </w:tcBorders>
            <w:shd w:val="clear" w:color="auto" w:fill="auto"/>
            <w:noWrap/>
            <w:vAlign w:val="center"/>
            <w:hideMark/>
          </w:tcPr>
          <w:p w14:paraId="715E484B"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9</w:t>
            </w:r>
          </w:p>
        </w:tc>
        <w:tc>
          <w:tcPr>
            <w:tcW w:w="1140" w:type="dxa"/>
            <w:tcBorders>
              <w:top w:val="nil"/>
              <w:left w:val="nil"/>
              <w:bottom w:val="nil"/>
              <w:right w:val="nil"/>
            </w:tcBorders>
            <w:shd w:val="clear" w:color="auto" w:fill="auto"/>
            <w:noWrap/>
            <w:vAlign w:val="center"/>
            <w:hideMark/>
          </w:tcPr>
          <w:p w14:paraId="490847ED"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19</w:t>
            </w:r>
          </w:p>
        </w:tc>
      </w:tr>
      <w:tr w:rsidR="003855ED" w:rsidRPr="004E74A6" w14:paraId="0863994B" w14:textId="77777777" w:rsidTr="00832773">
        <w:trPr>
          <w:trHeight w:val="288"/>
          <w:jc w:val="center"/>
        </w:trPr>
        <w:tc>
          <w:tcPr>
            <w:tcW w:w="3740" w:type="dxa"/>
            <w:tcBorders>
              <w:top w:val="nil"/>
              <w:left w:val="nil"/>
              <w:bottom w:val="nil"/>
              <w:right w:val="single" w:sz="4" w:space="0" w:color="000000"/>
            </w:tcBorders>
            <w:shd w:val="clear" w:color="auto" w:fill="auto"/>
            <w:noWrap/>
            <w:vAlign w:val="center"/>
            <w:hideMark/>
          </w:tcPr>
          <w:p w14:paraId="17C3021E" w14:textId="77777777" w:rsidR="003855ED" w:rsidRPr="004E74A6" w:rsidRDefault="003855ED" w:rsidP="00832773">
            <w:pPr>
              <w:spacing w:line="276" w:lineRule="auto"/>
              <w:jc w:val="left"/>
              <w:rPr>
                <w:rFonts w:cs="Calibri"/>
                <w:color w:val="000000"/>
                <w:sz w:val="22"/>
                <w:szCs w:val="22"/>
                <w:lang w:eastAsia="es-CR"/>
              </w:rPr>
            </w:pPr>
            <w:r w:rsidRPr="004E74A6">
              <w:rPr>
                <w:rFonts w:cs="Calibri"/>
                <w:color w:val="000000"/>
                <w:sz w:val="22"/>
                <w:szCs w:val="22"/>
                <w:lang w:eastAsia="es-CR"/>
              </w:rPr>
              <w:t>Familia</w:t>
            </w:r>
          </w:p>
        </w:tc>
        <w:tc>
          <w:tcPr>
            <w:tcW w:w="1240" w:type="dxa"/>
            <w:tcBorders>
              <w:top w:val="nil"/>
              <w:left w:val="nil"/>
              <w:bottom w:val="nil"/>
              <w:right w:val="single" w:sz="4" w:space="0" w:color="000000"/>
            </w:tcBorders>
            <w:shd w:val="clear" w:color="auto" w:fill="auto"/>
            <w:noWrap/>
            <w:vAlign w:val="center"/>
            <w:hideMark/>
          </w:tcPr>
          <w:p w14:paraId="2F3508D9"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224</w:t>
            </w:r>
          </w:p>
        </w:tc>
        <w:tc>
          <w:tcPr>
            <w:tcW w:w="1240" w:type="dxa"/>
            <w:tcBorders>
              <w:top w:val="nil"/>
              <w:left w:val="nil"/>
              <w:bottom w:val="nil"/>
              <w:right w:val="single" w:sz="4" w:space="0" w:color="000000"/>
            </w:tcBorders>
            <w:shd w:val="clear" w:color="auto" w:fill="auto"/>
            <w:noWrap/>
            <w:vAlign w:val="center"/>
            <w:hideMark/>
          </w:tcPr>
          <w:p w14:paraId="20A13F68"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158</w:t>
            </w:r>
          </w:p>
        </w:tc>
        <w:tc>
          <w:tcPr>
            <w:tcW w:w="1240" w:type="dxa"/>
            <w:tcBorders>
              <w:top w:val="nil"/>
              <w:left w:val="nil"/>
              <w:bottom w:val="nil"/>
              <w:right w:val="single" w:sz="4" w:space="0" w:color="000000"/>
            </w:tcBorders>
            <w:shd w:val="clear" w:color="auto" w:fill="auto"/>
            <w:noWrap/>
            <w:vAlign w:val="center"/>
            <w:hideMark/>
          </w:tcPr>
          <w:p w14:paraId="650A32B3"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353</w:t>
            </w:r>
          </w:p>
        </w:tc>
        <w:tc>
          <w:tcPr>
            <w:tcW w:w="1140" w:type="dxa"/>
            <w:tcBorders>
              <w:top w:val="nil"/>
              <w:left w:val="nil"/>
              <w:bottom w:val="nil"/>
              <w:right w:val="nil"/>
            </w:tcBorders>
            <w:shd w:val="clear" w:color="auto" w:fill="auto"/>
            <w:noWrap/>
            <w:vAlign w:val="center"/>
            <w:hideMark/>
          </w:tcPr>
          <w:p w14:paraId="5347E687"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245</w:t>
            </w:r>
          </w:p>
        </w:tc>
      </w:tr>
      <w:tr w:rsidR="003855ED" w:rsidRPr="004E74A6" w14:paraId="223BCCC0" w14:textId="77777777" w:rsidTr="00832773">
        <w:trPr>
          <w:trHeight w:val="288"/>
          <w:jc w:val="center"/>
        </w:trPr>
        <w:tc>
          <w:tcPr>
            <w:tcW w:w="3740" w:type="dxa"/>
            <w:tcBorders>
              <w:top w:val="nil"/>
              <w:left w:val="nil"/>
              <w:bottom w:val="nil"/>
              <w:right w:val="single" w:sz="4" w:space="0" w:color="000000"/>
            </w:tcBorders>
            <w:shd w:val="clear" w:color="auto" w:fill="auto"/>
            <w:noWrap/>
            <w:vAlign w:val="center"/>
            <w:hideMark/>
          </w:tcPr>
          <w:p w14:paraId="6FFC9A53" w14:textId="179101B2" w:rsidR="003855ED" w:rsidRPr="004E74A6" w:rsidRDefault="006E4AF3" w:rsidP="00832773">
            <w:pPr>
              <w:spacing w:line="276" w:lineRule="auto"/>
              <w:jc w:val="left"/>
              <w:rPr>
                <w:rFonts w:cs="Calibri"/>
                <w:color w:val="000000"/>
                <w:sz w:val="22"/>
                <w:szCs w:val="22"/>
                <w:lang w:eastAsia="es-CR"/>
              </w:rPr>
            </w:pPr>
            <w:r w:rsidRPr="004E74A6">
              <w:rPr>
                <w:rFonts w:cs="Calibri"/>
                <w:color w:val="000000"/>
                <w:sz w:val="22"/>
                <w:szCs w:val="22"/>
                <w:lang w:eastAsia="es-CR"/>
              </w:rPr>
              <w:t>Trabajo</w:t>
            </w:r>
          </w:p>
        </w:tc>
        <w:tc>
          <w:tcPr>
            <w:tcW w:w="1240" w:type="dxa"/>
            <w:tcBorders>
              <w:top w:val="nil"/>
              <w:left w:val="nil"/>
              <w:bottom w:val="nil"/>
              <w:right w:val="single" w:sz="4" w:space="0" w:color="000000"/>
            </w:tcBorders>
            <w:shd w:val="clear" w:color="auto" w:fill="auto"/>
            <w:noWrap/>
            <w:vAlign w:val="center"/>
            <w:hideMark/>
          </w:tcPr>
          <w:p w14:paraId="48B95850"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3146</w:t>
            </w:r>
          </w:p>
        </w:tc>
        <w:tc>
          <w:tcPr>
            <w:tcW w:w="1240" w:type="dxa"/>
            <w:tcBorders>
              <w:top w:val="nil"/>
              <w:left w:val="nil"/>
              <w:bottom w:val="nil"/>
              <w:right w:val="single" w:sz="4" w:space="0" w:color="000000"/>
            </w:tcBorders>
            <w:shd w:val="clear" w:color="auto" w:fill="auto"/>
            <w:noWrap/>
            <w:vAlign w:val="center"/>
            <w:hideMark/>
          </w:tcPr>
          <w:p w14:paraId="097DE024"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2743</w:t>
            </w:r>
          </w:p>
        </w:tc>
        <w:tc>
          <w:tcPr>
            <w:tcW w:w="1240" w:type="dxa"/>
            <w:tcBorders>
              <w:top w:val="nil"/>
              <w:left w:val="nil"/>
              <w:bottom w:val="nil"/>
              <w:right w:val="single" w:sz="4" w:space="0" w:color="000000"/>
            </w:tcBorders>
            <w:shd w:val="clear" w:color="auto" w:fill="auto"/>
            <w:noWrap/>
            <w:vAlign w:val="center"/>
            <w:hideMark/>
          </w:tcPr>
          <w:p w14:paraId="3D0C67D8"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2445</w:t>
            </w:r>
          </w:p>
        </w:tc>
        <w:tc>
          <w:tcPr>
            <w:tcW w:w="1140" w:type="dxa"/>
            <w:tcBorders>
              <w:top w:val="nil"/>
              <w:left w:val="nil"/>
              <w:bottom w:val="nil"/>
              <w:right w:val="nil"/>
            </w:tcBorders>
            <w:shd w:val="clear" w:color="auto" w:fill="auto"/>
            <w:noWrap/>
            <w:vAlign w:val="center"/>
            <w:hideMark/>
          </w:tcPr>
          <w:p w14:paraId="1FF8AE1A"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2778</w:t>
            </w:r>
          </w:p>
        </w:tc>
      </w:tr>
      <w:tr w:rsidR="003855ED" w:rsidRPr="004E74A6" w14:paraId="3B11F88E" w14:textId="77777777" w:rsidTr="00832773">
        <w:trPr>
          <w:trHeight w:val="288"/>
          <w:jc w:val="center"/>
        </w:trPr>
        <w:tc>
          <w:tcPr>
            <w:tcW w:w="3740" w:type="dxa"/>
            <w:tcBorders>
              <w:top w:val="nil"/>
              <w:left w:val="nil"/>
              <w:bottom w:val="nil"/>
              <w:right w:val="single" w:sz="4" w:space="0" w:color="000000"/>
            </w:tcBorders>
            <w:shd w:val="clear" w:color="auto" w:fill="auto"/>
            <w:noWrap/>
            <w:vAlign w:val="center"/>
            <w:hideMark/>
          </w:tcPr>
          <w:p w14:paraId="6B2AA928" w14:textId="77777777" w:rsidR="003855ED" w:rsidRPr="004E74A6" w:rsidRDefault="003855ED" w:rsidP="00832773">
            <w:pPr>
              <w:spacing w:line="276" w:lineRule="auto"/>
              <w:jc w:val="left"/>
              <w:rPr>
                <w:rFonts w:cs="Calibri"/>
                <w:color w:val="000000"/>
                <w:sz w:val="22"/>
                <w:szCs w:val="22"/>
                <w:lang w:eastAsia="es-CR"/>
              </w:rPr>
            </w:pPr>
            <w:r w:rsidRPr="004E74A6">
              <w:rPr>
                <w:rFonts w:cs="Calibri"/>
                <w:color w:val="000000"/>
                <w:sz w:val="22"/>
                <w:szCs w:val="22"/>
                <w:lang w:eastAsia="es-CR"/>
              </w:rPr>
              <w:t>Niñez y Adolescencia</w:t>
            </w:r>
          </w:p>
        </w:tc>
        <w:tc>
          <w:tcPr>
            <w:tcW w:w="1240" w:type="dxa"/>
            <w:tcBorders>
              <w:top w:val="nil"/>
              <w:left w:val="nil"/>
              <w:bottom w:val="nil"/>
              <w:right w:val="single" w:sz="4" w:space="0" w:color="000000"/>
            </w:tcBorders>
            <w:shd w:val="clear" w:color="auto" w:fill="auto"/>
            <w:noWrap/>
            <w:vAlign w:val="center"/>
            <w:hideMark/>
          </w:tcPr>
          <w:p w14:paraId="5EA84157"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0</w:t>
            </w:r>
          </w:p>
        </w:tc>
        <w:tc>
          <w:tcPr>
            <w:tcW w:w="1240" w:type="dxa"/>
            <w:tcBorders>
              <w:top w:val="nil"/>
              <w:left w:val="nil"/>
              <w:bottom w:val="nil"/>
              <w:right w:val="single" w:sz="4" w:space="0" w:color="000000"/>
            </w:tcBorders>
            <w:shd w:val="clear" w:color="auto" w:fill="auto"/>
            <w:noWrap/>
            <w:vAlign w:val="center"/>
            <w:hideMark/>
          </w:tcPr>
          <w:p w14:paraId="77DF9054"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3</w:t>
            </w:r>
          </w:p>
        </w:tc>
        <w:tc>
          <w:tcPr>
            <w:tcW w:w="1240" w:type="dxa"/>
            <w:tcBorders>
              <w:top w:val="nil"/>
              <w:left w:val="nil"/>
              <w:bottom w:val="nil"/>
              <w:right w:val="single" w:sz="4" w:space="0" w:color="000000"/>
            </w:tcBorders>
            <w:shd w:val="clear" w:color="auto" w:fill="auto"/>
            <w:noWrap/>
            <w:vAlign w:val="center"/>
            <w:hideMark/>
          </w:tcPr>
          <w:p w14:paraId="56B0CBAB"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1</w:t>
            </w:r>
          </w:p>
        </w:tc>
        <w:tc>
          <w:tcPr>
            <w:tcW w:w="1140" w:type="dxa"/>
            <w:tcBorders>
              <w:top w:val="nil"/>
              <w:left w:val="nil"/>
              <w:bottom w:val="nil"/>
              <w:right w:val="nil"/>
            </w:tcBorders>
            <w:shd w:val="clear" w:color="auto" w:fill="auto"/>
            <w:noWrap/>
            <w:vAlign w:val="center"/>
            <w:hideMark/>
          </w:tcPr>
          <w:p w14:paraId="5782415A"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1</w:t>
            </w:r>
          </w:p>
        </w:tc>
      </w:tr>
      <w:tr w:rsidR="003855ED" w:rsidRPr="004E74A6" w14:paraId="6F0E6AF8" w14:textId="77777777" w:rsidTr="00832773">
        <w:trPr>
          <w:trHeight w:val="288"/>
          <w:jc w:val="center"/>
        </w:trPr>
        <w:tc>
          <w:tcPr>
            <w:tcW w:w="3740" w:type="dxa"/>
            <w:tcBorders>
              <w:top w:val="nil"/>
              <w:left w:val="nil"/>
              <w:bottom w:val="nil"/>
              <w:right w:val="single" w:sz="4" w:space="0" w:color="000000"/>
            </w:tcBorders>
            <w:shd w:val="clear" w:color="auto" w:fill="auto"/>
            <w:noWrap/>
            <w:vAlign w:val="center"/>
            <w:hideMark/>
          </w:tcPr>
          <w:p w14:paraId="3B7937C7" w14:textId="77777777" w:rsidR="003855ED" w:rsidRPr="004E74A6" w:rsidRDefault="003855ED" w:rsidP="00832773">
            <w:pPr>
              <w:spacing w:line="276" w:lineRule="auto"/>
              <w:jc w:val="left"/>
              <w:rPr>
                <w:rFonts w:cs="Calibri"/>
                <w:color w:val="000000"/>
                <w:sz w:val="22"/>
                <w:szCs w:val="22"/>
                <w:lang w:eastAsia="es-CR"/>
              </w:rPr>
            </w:pPr>
            <w:r w:rsidRPr="004E74A6">
              <w:rPr>
                <w:rFonts w:cs="Calibri"/>
                <w:color w:val="000000"/>
                <w:sz w:val="22"/>
                <w:szCs w:val="22"/>
                <w:lang w:eastAsia="es-CR"/>
              </w:rPr>
              <w:t>Pensiones Alimentarias</w:t>
            </w:r>
          </w:p>
        </w:tc>
        <w:tc>
          <w:tcPr>
            <w:tcW w:w="1240" w:type="dxa"/>
            <w:tcBorders>
              <w:top w:val="nil"/>
              <w:left w:val="nil"/>
              <w:bottom w:val="nil"/>
              <w:right w:val="single" w:sz="4" w:space="0" w:color="000000"/>
            </w:tcBorders>
            <w:shd w:val="clear" w:color="auto" w:fill="auto"/>
            <w:noWrap/>
            <w:vAlign w:val="center"/>
            <w:hideMark/>
          </w:tcPr>
          <w:p w14:paraId="345D9F1E"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6</w:t>
            </w:r>
          </w:p>
        </w:tc>
        <w:tc>
          <w:tcPr>
            <w:tcW w:w="1240" w:type="dxa"/>
            <w:tcBorders>
              <w:top w:val="nil"/>
              <w:left w:val="nil"/>
              <w:bottom w:val="nil"/>
              <w:right w:val="single" w:sz="4" w:space="0" w:color="000000"/>
            </w:tcBorders>
            <w:shd w:val="clear" w:color="auto" w:fill="auto"/>
            <w:noWrap/>
            <w:vAlign w:val="center"/>
            <w:hideMark/>
          </w:tcPr>
          <w:p w14:paraId="06AE02DD"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11</w:t>
            </w:r>
          </w:p>
        </w:tc>
        <w:tc>
          <w:tcPr>
            <w:tcW w:w="1240" w:type="dxa"/>
            <w:tcBorders>
              <w:top w:val="nil"/>
              <w:left w:val="nil"/>
              <w:bottom w:val="nil"/>
              <w:right w:val="single" w:sz="4" w:space="0" w:color="000000"/>
            </w:tcBorders>
            <w:shd w:val="clear" w:color="auto" w:fill="auto"/>
            <w:noWrap/>
            <w:vAlign w:val="center"/>
            <w:hideMark/>
          </w:tcPr>
          <w:p w14:paraId="5CB09E44"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11</w:t>
            </w:r>
          </w:p>
        </w:tc>
        <w:tc>
          <w:tcPr>
            <w:tcW w:w="1140" w:type="dxa"/>
            <w:tcBorders>
              <w:top w:val="nil"/>
              <w:left w:val="nil"/>
              <w:bottom w:val="nil"/>
              <w:right w:val="nil"/>
            </w:tcBorders>
            <w:shd w:val="clear" w:color="auto" w:fill="auto"/>
            <w:noWrap/>
            <w:vAlign w:val="center"/>
            <w:hideMark/>
          </w:tcPr>
          <w:p w14:paraId="7EB48991"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9</w:t>
            </w:r>
          </w:p>
        </w:tc>
      </w:tr>
      <w:tr w:rsidR="003855ED" w:rsidRPr="004E74A6" w14:paraId="6B0CC17E" w14:textId="77777777" w:rsidTr="00832773">
        <w:trPr>
          <w:trHeight w:val="288"/>
          <w:jc w:val="center"/>
        </w:trPr>
        <w:tc>
          <w:tcPr>
            <w:tcW w:w="3740" w:type="dxa"/>
            <w:tcBorders>
              <w:top w:val="nil"/>
              <w:left w:val="nil"/>
              <w:right w:val="single" w:sz="4" w:space="0" w:color="000000"/>
            </w:tcBorders>
            <w:shd w:val="clear" w:color="auto" w:fill="auto"/>
            <w:noWrap/>
            <w:vAlign w:val="center"/>
            <w:hideMark/>
          </w:tcPr>
          <w:p w14:paraId="172AB07F" w14:textId="77777777" w:rsidR="003855ED" w:rsidRPr="004E74A6" w:rsidRDefault="003855ED" w:rsidP="00832773">
            <w:pPr>
              <w:spacing w:line="276" w:lineRule="auto"/>
              <w:jc w:val="left"/>
              <w:rPr>
                <w:rFonts w:cs="Calibri"/>
                <w:color w:val="000000"/>
                <w:sz w:val="22"/>
                <w:szCs w:val="22"/>
                <w:lang w:eastAsia="es-CR"/>
              </w:rPr>
            </w:pPr>
            <w:r w:rsidRPr="004E74A6">
              <w:rPr>
                <w:rFonts w:cs="Calibri"/>
                <w:color w:val="000000"/>
                <w:sz w:val="22"/>
                <w:szCs w:val="22"/>
                <w:lang w:eastAsia="es-CR"/>
              </w:rPr>
              <w:t>Sala Segunda</w:t>
            </w:r>
          </w:p>
        </w:tc>
        <w:tc>
          <w:tcPr>
            <w:tcW w:w="1240" w:type="dxa"/>
            <w:tcBorders>
              <w:top w:val="nil"/>
              <w:left w:val="nil"/>
              <w:right w:val="single" w:sz="4" w:space="0" w:color="000000"/>
            </w:tcBorders>
            <w:shd w:val="clear" w:color="auto" w:fill="auto"/>
            <w:noWrap/>
            <w:vAlign w:val="center"/>
            <w:hideMark/>
          </w:tcPr>
          <w:p w14:paraId="5BC1AA1D"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36</w:t>
            </w:r>
          </w:p>
        </w:tc>
        <w:tc>
          <w:tcPr>
            <w:tcW w:w="1240" w:type="dxa"/>
            <w:tcBorders>
              <w:top w:val="nil"/>
              <w:left w:val="nil"/>
              <w:right w:val="single" w:sz="4" w:space="0" w:color="000000"/>
            </w:tcBorders>
            <w:shd w:val="clear" w:color="auto" w:fill="auto"/>
            <w:noWrap/>
            <w:vAlign w:val="center"/>
            <w:hideMark/>
          </w:tcPr>
          <w:p w14:paraId="2FA7FA4B"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0</w:t>
            </w:r>
          </w:p>
        </w:tc>
        <w:tc>
          <w:tcPr>
            <w:tcW w:w="1240" w:type="dxa"/>
            <w:tcBorders>
              <w:top w:val="nil"/>
              <w:left w:val="nil"/>
              <w:right w:val="single" w:sz="4" w:space="0" w:color="000000"/>
            </w:tcBorders>
            <w:shd w:val="clear" w:color="auto" w:fill="auto"/>
            <w:noWrap/>
            <w:vAlign w:val="center"/>
            <w:hideMark/>
          </w:tcPr>
          <w:p w14:paraId="5A39EE54"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0</w:t>
            </w:r>
          </w:p>
        </w:tc>
        <w:tc>
          <w:tcPr>
            <w:tcW w:w="1140" w:type="dxa"/>
            <w:tcBorders>
              <w:top w:val="nil"/>
              <w:left w:val="nil"/>
              <w:right w:val="nil"/>
            </w:tcBorders>
            <w:shd w:val="clear" w:color="auto" w:fill="auto"/>
            <w:noWrap/>
            <w:vAlign w:val="center"/>
            <w:hideMark/>
          </w:tcPr>
          <w:p w14:paraId="7B78F99C"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12</w:t>
            </w:r>
          </w:p>
        </w:tc>
      </w:tr>
      <w:tr w:rsidR="003855ED" w:rsidRPr="004E74A6" w14:paraId="3434DB62" w14:textId="77777777" w:rsidTr="00832773">
        <w:trPr>
          <w:trHeight w:val="288"/>
          <w:jc w:val="center"/>
        </w:trPr>
        <w:tc>
          <w:tcPr>
            <w:tcW w:w="3740" w:type="dxa"/>
            <w:tcBorders>
              <w:top w:val="nil"/>
              <w:left w:val="nil"/>
              <w:bottom w:val="single" w:sz="4" w:space="0" w:color="auto"/>
              <w:right w:val="single" w:sz="4" w:space="0" w:color="000000"/>
            </w:tcBorders>
            <w:shd w:val="clear" w:color="auto" w:fill="auto"/>
            <w:noWrap/>
            <w:vAlign w:val="center"/>
            <w:hideMark/>
          </w:tcPr>
          <w:p w14:paraId="6367E74C" w14:textId="77777777" w:rsidR="003855ED" w:rsidRPr="004E74A6" w:rsidRDefault="003855ED" w:rsidP="00832773">
            <w:pPr>
              <w:spacing w:line="276" w:lineRule="auto"/>
              <w:jc w:val="left"/>
              <w:rPr>
                <w:rFonts w:cs="Calibri"/>
                <w:color w:val="000000"/>
                <w:sz w:val="22"/>
                <w:szCs w:val="22"/>
                <w:lang w:eastAsia="es-CR"/>
              </w:rPr>
            </w:pPr>
            <w:r w:rsidRPr="004E74A6">
              <w:rPr>
                <w:rFonts w:cs="Calibri"/>
                <w:color w:val="000000"/>
                <w:sz w:val="22"/>
                <w:szCs w:val="22"/>
                <w:lang w:eastAsia="es-CR"/>
              </w:rPr>
              <w:t>Violencia Doméstica</w:t>
            </w:r>
          </w:p>
        </w:tc>
        <w:tc>
          <w:tcPr>
            <w:tcW w:w="1240" w:type="dxa"/>
            <w:tcBorders>
              <w:top w:val="nil"/>
              <w:left w:val="nil"/>
              <w:bottom w:val="single" w:sz="4" w:space="0" w:color="auto"/>
              <w:right w:val="single" w:sz="4" w:space="0" w:color="000000"/>
            </w:tcBorders>
            <w:shd w:val="clear" w:color="auto" w:fill="auto"/>
            <w:noWrap/>
            <w:vAlign w:val="center"/>
            <w:hideMark/>
          </w:tcPr>
          <w:p w14:paraId="24213770"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2</w:t>
            </w:r>
          </w:p>
        </w:tc>
        <w:tc>
          <w:tcPr>
            <w:tcW w:w="1240" w:type="dxa"/>
            <w:tcBorders>
              <w:top w:val="nil"/>
              <w:left w:val="nil"/>
              <w:bottom w:val="single" w:sz="4" w:space="0" w:color="auto"/>
              <w:right w:val="single" w:sz="4" w:space="0" w:color="000000"/>
            </w:tcBorders>
            <w:shd w:val="clear" w:color="auto" w:fill="auto"/>
            <w:noWrap/>
            <w:vAlign w:val="center"/>
            <w:hideMark/>
          </w:tcPr>
          <w:p w14:paraId="29587B96"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1</w:t>
            </w:r>
          </w:p>
        </w:tc>
        <w:tc>
          <w:tcPr>
            <w:tcW w:w="1240" w:type="dxa"/>
            <w:tcBorders>
              <w:top w:val="nil"/>
              <w:left w:val="nil"/>
              <w:bottom w:val="single" w:sz="4" w:space="0" w:color="auto"/>
              <w:right w:val="single" w:sz="4" w:space="0" w:color="000000"/>
            </w:tcBorders>
            <w:shd w:val="clear" w:color="auto" w:fill="auto"/>
            <w:noWrap/>
            <w:vAlign w:val="center"/>
            <w:hideMark/>
          </w:tcPr>
          <w:p w14:paraId="4289F04D"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2</w:t>
            </w:r>
          </w:p>
        </w:tc>
        <w:tc>
          <w:tcPr>
            <w:tcW w:w="1140" w:type="dxa"/>
            <w:tcBorders>
              <w:top w:val="nil"/>
              <w:left w:val="nil"/>
              <w:bottom w:val="single" w:sz="4" w:space="0" w:color="auto"/>
              <w:right w:val="nil"/>
            </w:tcBorders>
            <w:shd w:val="clear" w:color="auto" w:fill="auto"/>
            <w:noWrap/>
            <w:vAlign w:val="center"/>
            <w:hideMark/>
          </w:tcPr>
          <w:p w14:paraId="40D48666"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2</w:t>
            </w:r>
          </w:p>
        </w:tc>
      </w:tr>
    </w:tbl>
    <w:p w14:paraId="0B977F65" w14:textId="77777777" w:rsidR="003855ED" w:rsidRPr="004E74A6" w:rsidRDefault="003855ED" w:rsidP="00832773">
      <w:pPr>
        <w:spacing w:line="276" w:lineRule="auto"/>
        <w:ind w:left="142" w:right="1191"/>
        <w:rPr>
          <w:rFonts w:cs="Calibri"/>
          <w:i/>
          <w:iCs/>
          <w:color w:val="000000"/>
          <w:sz w:val="20"/>
          <w:lang w:eastAsia="es-CR"/>
        </w:rPr>
      </w:pPr>
      <w:r w:rsidRPr="004E74A6">
        <w:rPr>
          <w:rFonts w:cs="Calibri"/>
          <w:b/>
          <w:bCs/>
          <w:i/>
          <w:iCs/>
          <w:color w:val="000000"/>
          <w:sz w:val="20"/>
          <w:lang w:eastAsia="es-CR"/>
        </w:rPr>
        <w:t>Fuente</w:t>
      </w:r>
      <w:r w:rsidRPr="004E74A6">
        <w:rPr>
          <w:rFonts w:cs="Calibri"/>
          <w:i/>
          <w:iCs/>
          <w:color w:val="000000"/>
          <w:sz w:val="20"/>
          <w:lang w:eastAsia="es-CR"/>
        </w:rPr>
        <w:t>: Subproceso de Modernización Institucional con datos extraídos del sistema SIGMA, Dirección de Planificación. Reporte cuantías 18-11-2022.</w:t>
      </w:r>
    </w:p>
    <w:p w14:paraId="48DB5FE0" w14:textId="10A2657D" w:rsidR="003855ED" w:rsidRPr="004E74A6" w:rsidRDefault="003855ED" w:rsidP="00CE62C1">
      <w:pPr>
        <w:spacing w:after="160" w:line="276" w:lineRule="auto"/>
        <w:contextualSpacing/>
        <w:rPr>
          <w:rFonts w:eastAsia="Calibri"/>
          <w:szCs w:val="24"/>
          <w:lang w:eastAsia="en-US"/>
        </w:rPr>
      </w:pPr>
    </w:p>
    <w:p w14:paraId="571852F9" w14:textId="06543BED" w:rsidR="00703C3E" w:rsidRPr="004E74A6" w:rsidRDefault="00703C3E" w:rsidP="00CE62C1">
      <w:pPr>
        <w:spacing w:after="160" w:line="276" w:lineRule="auto"/>
        <w:contextualSpacing/>
        <w:rPr>
          <w:rFonts w:eastAsia="Calibri"/>
          <w:szCs w:val="24"/>
          <w:lang w:eastAsia="en-US"/>
        </w:rPr>
      </w:pPr>
      <w:r w:rsidRPr="004E74A6">
        <w:rPr>
          <w:rFonts w:eastAsia="Calibri"/>
          <w:szCs w:val="24"/>
          <w:lang w:eastAsia="en-US"/>
        </w:rPr>
        <w:t xml:space="preserve">Esas casaciones corresponden a un incremento para el 2021 </w:t>
      </w:r>
      <w:r w:rsidRPr="00832773">
        <w:rPr>
          <w:rFonts w:eastAsia="Calibri"/>
          <w:b/>
          <w:bCs/>
          <w:szCs w:val="24"/>
          <w:lang w:eastAsia="en-US"/>
        </w:rPr>
        <w:t>en asuntos de auxilio judicial internacional, sucesiones y ordinarios</w:t>
      </w:r>
      <w:r w:rsidRPr="004E74A6">
        <w:rPr>
          <w:rFonts w:eastAsia="Calibri"/>
          <w:szCs w:val="24"/>
          <w:lang w:eastAsia="en-US"/>
        </w:rPr>
        <w:t>; mientras que también es posible ver un aumento para casaciones sobre competencias en asuntos ordinarios y de sucesión, esto según los datos de la siguiente tabla.</w:t>
      </w:r>
    </w:p>
    <w:p w14:paraId="688BA8BF" w14:textId="78E12F12" w:rsidR="00703C3E" w:rsidRDefault="00703C3E" w:rsidP="00CE62C1">
      <w:pPr>
        <w:spacing w:after="160" w:line="276" w:lineRule="auto"/>
        <w:contextualSpacing/>
        <w:rPr>
          <w:rFonts w:eastAsia="Calibri"/>
          <w:szCs w:val="24"/>
          <w:lang w:eastAsia="en-US"/>
        </w:rPr>
      </w:pPr>
    </w:p>
    <w:p w14:paraId="71D7B16F" w14:textId="0C563934" w:rsidR="00152C3F" w:rsidRDefault="00152C3F" w:rsidP="00CE62C1">
      <w:pPr>
        <w:spacing w:after="160" w:line="276" w:lineRule="auto"/>
        <w:contextualSpacing/>
        <w:rPr>
          <w:rFonts w:eastAsia="Calibri"/>
          <w:szCs w:val="24"/>
          <w:lang w:eastAsia="en-US"/>
        </w:rPr>
      </w:pPr>
    </w:p>
    <w:p w14:paraId="62DD2CEC" w14:textId="28B6ED7D" w:rsidR="00152C3F" w:rsidRDefault="00152C3F" w:rsidP="00CE62C1">
      <w:pPr>
        <w:spacing w:after="160" w:line="276" w:lineRule="auto"/>
        <w:contextualSpacing/>
        <w:rPr>
          <w:rFonts w:eastAsia="Calibri"/>
          <w:szCs w:val="24"/>
          <w:lang w:eastAsia="en-US"/>
        </w:rPr>
      </w:pPr>
    </w:p>
    <w:p w14:paraId="0CC1AC61" w14:textId="76F1AFDE" w:rsidR="00152C3F" w:rsidRDefault="00152C3F" w:rsidP="00CE62C1">
      <w:pPr>
        <w:spacing w:after="160" w:line="276" w:lineRule="auto"/>
        <w:contextualSpacing/>
        <w:rPr>
          <w:rFonts w:eastAsia="Calibri"/>
          <w:szCs w:val="24"/>
          <w:lang w:eastAsia="en-US"/>
        </w:rPr>
      </w:pPr>
    </w:p>
    <w:p w14:paraId="30F4C14C" w14:textId="38A85EF2" w:rsidR="005D1B48" w:rsidRDefault="005D1B48" w:rsidP="00CE62C1">
      <w:pPr>
        <w:spacing w:after="160" w:line="276" w:lineRule="auto"/>
        <w:contextualSpacing/>
        <w:rPr>
          <w:rFonts w:eastAsia="Calibri"/>
          <w:szCs w:val="24"/>
          <w:lang w:eastAsia="en-US"/>
        </w:rPr>
      </w:pPr>
    </w:p>
    <w:p w14:paraId="2E4F37B1" w14:textId="77777777" w:rsidR="005D1B48" w:rsidRDefault="005D1B48" w:rsidP="00CE62C1">
      <w:pPr>
        <w:spacing w:after="160" w:line="276" w:lineRule="auto"/>
        <w:contextualSpacing/>
        <w:rPr>
          <w:rFonts w:eastAsia="Calibri"/>
          <w:szCs w:val="24"/>
          <w:lang w:eastAsia="en-US"/>
        </w:rPr>
      </w:pPr>
    </w:p>
    <w:p w14:paraId="6ED7EEA0" w14:textId="3018499C" w:rsidR="00703C3E" w:rsidRDefault="00703C3E" w:rsidP="00832773">
      <w:pPr>
        <w:pStyle w:val="Descripcin"/>
        <w:keepNext/>
        <w:spacing w:line="276" w:lineRule="auto"/>
        <w:jc w:val="center"/>
        <w:rPr>
          <w:rFonts w:ascii="Book Antiqua" w:hAnsi="Book Antiqua"/>
          <w:i/>
          <w:iCs/>
          <w:sz w:val="20"/>
          <w:szCs w:val="16"/>
          <w:lang w:val="es-CR"/>
        </w:rPr>
      </w:pPr>
      <w:r w:rsidRPr="00832773">
        <w:rPr>
          <w:rFonts w:ascii="Book Antiqua" w:hAnsi="Book Antiqua"/>
          <w:i/>
          <w:iCs/>
          <w:sz w:val="20"/>
          <w:szCs w:val="16"/>
          <w:lang w:val="es-CR"/>
        </w:rPr>
        <w:lastRenderedPageBreak/>
        <w:t xml:space="preserve">Tabla </w:t>
      </w:r>
      <w:r w:rsidRPr="00832773">
        <w:rPr>
          <w:rFonts w:ascii="Book Antiqua" w:hAnsi="Book Antiqua"/>
          <w:i/>
          <w:iCs/>
          <w:sz w:val="20"/>
          <w:szCs w:val="16"/>
          <w:lang w:val="es-CR"/>
        </w:rPr>
        <w:fldChar w:fldCharType="begin"/>
      </w:r>
      <w:r w:rsidRPr="00832773">
        <w:rPr>
          <w:rFonts w:ascii="Book Antiqua" w:hAnsi="Book Antiqua"/>
          <w:i/>
          <w:iCs/>
          <w:sz w:val="20"/>
          <w:szCs w:val="16"/>
          <w:lang w:val="es-CR"/>
        </w:rPr>
        <w:instrText xml:space="preserve"> SEQ Tabla \* ARABIC </w:instrText>
      </w:r>
      <w:r w:rsidRPr="00832773">
        <w:rPr>
          <w:rFonts w:ascii="Book Antiqua" w:hAnsi="Book Antiqua"/>
          <w:i/>
          <w:iCs/>
          <w:sz w:val="20"/>
          <w:szCs w:val="16"/>
          <w:lang w:val="es-CR"/>
        </w:rPr>
        <w:fldChar w:fldCharType="separate"/>
      </w:r>
      <w:r w:rsidR="00374B51">
        <w:rPr>
          <w:rFonts w:ascii="Book Antiqua" w:hAnsi="Book Antiqua"/>
          <w:i/>
          <w:iCs/>
          <w:noProof/>
          <w:sz w:val="20"/>
          <w:szCs w:val="16"/>
          <w:lang w:val="es-CR"/>
        </w:rPr>
        <w:t>74</w:t>
      </w:r>
      <w:r w:rsidRPr="00832773">
        <w:rPr>
          <w:rFonts w:ascii="Book Antiqua" w:hAnsi="Book Antiqua"/>
          <w:i/>
          <w:iCs/>
          <w:sz w:val="20"/>
          <w:szCs w:val="16"/>
          <w:lang w:val="es-CR"/>
        </w:rPr>
        <w:fldChar w:fldCharType="end"/>
      </w:r>
      <w:r w:rsidRPr="00832773">
        <w:rPr>
          <w:rFonts w:ascii="Book Antiqua" w:hAnsi="Book Antiqua"/>
          <w:i/>
          <w:iCs/>
          <w:sz w:val="20"/>
          <w:szCs w:val="16"/>
          <w:lang w:val="es-CR"/>
        </w:rPr>
        <w:t xml:space="preserve"> Cantidad de asuntos por procedimiento y según clase de asunto para materia civil en Sala Segunda para los años 2019, 2020 y 2021</w:t>
      </w:r>
    </w:p>
    <w:p w14:paraId="2ECCA403" w14:textId="77777777" w:rsidR="005D1B48" w:rsidRPr="005D1B48" w:rsidRDefault="005D1B48" w:rsidP="005D1B48"/>
    <w:tbl>
      <w:tblPr>
        <w:tblW w:w="8003" w:type="dxa"/>
        <w:jc w:val="center"/>
        <w:tblCellMar>
          <w:left w:w="70" w:type="dxa"/>
          <w:right w:w="70" w:type="dxa"/>
        </w:tblCellMar>
        <w:tblLook w:val="04A0" w:firstRow="1" w:lastRow="0" w:firstColumn="1" w:lastColumn="0" w:noHBand="0" w:noVBand="1"/>
      </w:tblPr>
      <w:tblGrid>
        <w:gridCol w:w="4283"/>
        <w:gridCol w:w="1240"/>
        <w:gridCol w:w="1240"/>
        <w:gridCol w:w="1240"/>
      </w:tblGrid>
      <w:tr w:rsidR="00703C3E" w:rsidRPr="004E74A6" w14:paraId="48BD92A4" w14:textId="77777777" w:rsidTr="00832773">
        <w:trPr>
          <w:trHeight w:val="288"/>
          <w:tblHeader/>
          <w:jc w:val="center"/>
        </w:trPr>
        <w:tc>
          <w:tcPr>
            <w:tcW w:w="4283" w:type="dxa"/>
            <w:tcBorders>
              <w:top w:val="single" w:sz="4" w:space="0" w:color="auto"/>
              <w:left w:val="nil"/>
              <w:bottom w:val="single" w:sz="4" w:space="0" w:color="auto"/>
              <w:right w:val="single" w:sz="4" w:space="0" w:color="auto"/>
            </w:tcBorders>
            <w:shd w:val="clear" w:color="auto" w:fill="auto"/>
            <w:noWrap/>
            <w:vAlign w:val="center"/>
            <w:hideMark/>
          </w:tcPr>
          <w:p w14:paraId="563CCD5A" w14:textId="77777777" w:rsidR="00703C3E" w:rsidRPr="004E74A6" w:rsidRDefault="00703C3E" w:rsidP="00832773">
            <w:pPr>
              <w:spacing w:line="276" w:lineRule="auto"/>
              <w:jc w:val="left"/>
              <w:rPr>
                <w:rFonts w:cs="Calibri"/>
                <w:b/>
                <w:bCs/>
                <w:color w:val="000000"/>
                <w:sz w:val="22"/>
                <w:szCs w:val="22"/>
                <w:lang w:eastAsia="es-CR"/>
              </w:rPr>
            </w:pPr>
            <w:r w:rsidRPr="004E74A6">
              <w:rPr>
                <w:rFonts w:cs="Calibri"/>
                <w:b/>
                <w:bCs/>
                <w:color w:val="000000"/>
                <w:sz w:val="22"/>
                <w:szCs w:val="22"/>
                <w:lang w:eastAsia="es-CR"/>
              </w:rPr>
              <w:t> </w:t>
            </w:r>
          </w:p>
        </w:tc>
        <w:tc>
          <w:tcPr>
            <w:tcW w:w="1240" w:type="dxa"/>
            <w:tcBorders>
              <w:top w:val="single" w:sz="4" w:space="0" w:color="auto"/>
              <w:left w:val="nil"/>
              <w:bottom w:val="single" w:sz="4" w:space="0" w:color="auto"/>
              <w:right w:val="single" w:sz="4" w:space="0" w:color="auto"/>
            </w:tcBorders>
            <w:shd w:val="clear" w:color="auto" w:fill="auto"/>
            <w:noWrap/>
            <w:vAlign w:val="center"/>
            <w:hideMark/>
          </w:tcPr>
          <w:p w14:paraId="759ED021" w14:textId="77777777" w:rsidR="00703C3E" w:rsidRPr="004E74A6" w:rsidRDefault="00703C3E" w:rsidP="00832773">
            <w:pPr>
              <w:spacing w:line="276" w:lineRule="auto"/>
              <w:jc w:val="center"/>
              <w:rPr>
                <w:rFonts w:cs="Calibri"/>
                <w:b/>
                <w:bCs/>
                <w:color w:val="000000"/>
                <w:sz w:val="22"/>
                <w:szCs w:val="22"/>
                <w:lang w:eastAsia="es-CR"/>
              </w:rPr>
            </w:pPr>
            <w:r w:rsidRPr="004E74A6">
              <w:rPr>
                <w:rFonts w:cs="Calibri"/>
                <w:b/>
                <w:bCs/>
                <w:color w:val="000000"/>
                <w:sz w:val="22"/>
                <w:szCs w:val="22"/>
                <w:lang w:eastAsia="es-CR"/>
              </w:rPr>
              <w:t>2019</w:t>
            </w:r>
          </w:p>
        </w:tc>
        <w:tc>
          <w:tcPr>
            <w:tcW w:w="1240" w:type="dxa"/>
            <w:tcBorders>
              <w:top w:val="single" w:sz="4" w:space="0" w:color="auto"/>
              <w:left w:val="nil"/>
              <w:bottom w:val="single" w:sz="4" w:space="0" w:color="auto"/>
              <w:right w:val="single" w:sz="4" w:space="0" w:color="auto"/>
            </w:tcBorders>
            <w:shd w:val="clear" w:color="auto" w:fill="auto"/>
            <w:noWrap/>
            <w:vAlign w:val="center"/>
            <w:hideMark/>
          </w:tcPr>
          <w:p w14:paraId="68A38B68" w14:textId="77777777" w:rsidR="00703C3E" w:rsidRPr="004E74A6" w:rsidRDefault="00703C3E" w:rsidP="00832773">
            <w:pPr>
              <w:spacing w:line="276" w:lineRule="auto"/>
              <w:jc w:val="center"/>
              <w:rPr>
                <w:rFonts w:cs="Calibri"/>
                <w:b/>
                <w:bCs/>
                <w:color w:val="000000"/>
                <w:sz w:val="22"/>
                <w:szCs w:val="22"/>
                <w:lang w:eastAsia="es-CR"/>
              </w:rPr>
            </w:pPr>
            <w:r w:rsidRPr="004E74A6">
              <w:rPr>
                <w:rFonts w:cs="Calibri"/>
                <w:b/>
                <w:bCs/>
                <w:color w:val="000000"/>
                <w:sz w:val="22"/>
                <w:szCs w:val="22"/>
                <w:lang w:eastAsia="es-CR"/>
              </w:rPr>
              <w:t>2020</w:t>
            </w:r>
          </w:p>
        </w:tc>
        <w:tc>
          <w:tcPr>
            <w:tcW w:w="1240" w:type="dxa"/>
            <w:tcBorders>
              <w:top w:val="single" w:sz="4" w:space="0" w:color="auto"/>
              <w:left w:val="nil"/>
              <w:bottom w:val="single" w:sz="4" w:space="0" w:color="auto"/>
              <w:right w:val="nil"/>
            </w:tcBorders>
            <w:shd w:val="clear" w:color="auto" w:fill="auto"/>
            <w:noWrap/>
            <w:vAlign w:val="center"/>
            <w:hideMark/>
          </w:tcPr>
          <w:p w14:paraId="6527F3B7" w14:textId="77777777" w:rsidR="00703C3E" w:rsidRPr="004E74A6" w:rsidRDefault="00703C3E" w:rsidP="00832773">
            <w:pPr>
              <w:spacing w:line="276" w:lineRule="auto"/>
              <w:jc w:val="center"/>
              <w:rPr>
                <w:rFonts w:cs="Calibri"/>
                <w:b/>
                <w:bCs/>
                <w:color w:val="000000"/>
                <w:sz w:val="22"/>
                <w:szCs w:val="22"/>
                <w:lang w:eastAsia="es-CR"/>
              </w:rPr>
            </w:pPr>
            <w:r w:rsidRPr="004E74A6">
              <w:rPr>
                <w:rFonts w:cs="Calibri"/>
                <w:b/>
                <w:bCs/>
                <w:color w:val="000000"/>
                <w:sz w:val="22"/>
                <w:szCs w:val="22"/>
                <w:lang w:eastAsia="es-CR"/>
              </w:rPr>
              <w:t>2021</w:t>
            </w:r>
          </w:p>
        </w:tc>
      </w:tr>
      <w:tr w:rsidR="00703C3E" w:rsidRPr="004E74A6" w14:paraId="5CB89046" w14:textId="77777777" w:rsidTr="00832773">
        <w:trPr>
          <w:trHeight w:val="288"/>
          <w:jc w:val="center"/>
        </w:trPr>
        <w:tc>
          <w:tcPr>
            <w:tcW w:w="4283" w:type="dxa"/>
            <w:tcBorders>
              <w:top w:val="nil"/>
              <w:left w:val="nil"/>
              <w:bottom w:val="nil"/>
              <w:right w:val="single" w:sz="4" w:space="0" w:color="auto"/>
            </w:tcBorders>
            <w:shd w:val="clear" w:color="auto" w:fill="auto"/>
            <w:noWrap/>
            <w:vAlign w:val="center"/>
            <w:hideMark/>
          </w:tcPr>
          <w:p w14:paraId="2BAF6B48" w14:textId="77777777" w:rsidR="00703C3E" w:rsidRPr="004E74A6" w:rsidRDefault="00703C3E" w:rsidP="00832773">
            <w:pPr>
              <w:spacing w:line="276" w:lineRule="auto"/>
              <w:jc w:val="left"/>
              <w:rPr>
                <w:rFonts w:cs="Calibri"/>
                <w:b/>
                <w:bCs/>
                <w:color w:val="000000"/>
                <w:sz w:val="22"/>
                <w:szCs w:val="22"/>
                <w:lang w:eastAsia="es-CR"/>
              </w:rPr>
            </w:pPr>
            <w:r w:rsidRPr="004E74A6">
              <w:rPr>
                <w:rFonts w:cs="Calibri"/>
                <w:b/>
                <w:bCs/>
                <w:color w:val="000000"/>
                <w:sz w:val="22"/>
                <w:szCs w:val="22"/>
                <w:lang w:eastAsia="es-CR"/>
              </w:rPr>
              <w:t> </w:t>
            </w:r>
          </w:p>
        </w:tc>
        <w:tc>
          <w:tcPr>
            <w:tcW w:w="1240" w:type="dxa"/>
            <w:tcBorders>
              <w:top w:val="nil"/>
              <w:left w:val="nil"/>
              <w:bottom w:val="nil"/>
              <w:right w:val="single" w:sz="4" w:space="0" w:color="auto"/>
            </w:tcBorders>
            <w:shd w:val="clear" w:color="auto" w:fill="auto"/>
            <w:noWrap/>
            <w:vAlign w:val="center"/>
            <w:hideMark/>
          </w:tcPr>
          <w:p w14:paraId="03B36A7F" w14:textId="77777777" w:rsidR="00703C3E" w:rsidRPr="004E74A6" w:rsidRDefault="00703C3E" w:rsidP="00832773">
            <w:pPr>
              <w:spacing w:line="276" w:lineRule="auto"/>
              <w:jc w:val="center"/>
              <w:rPr>
                <w:rFonts w:cs="Calibri"/>
                <w:b/>
                <w:bCs/>
                <w:color w:val="000000"/>
                <w:sz w:val="22"/>
                <w:szCs w:val="22"/>
                <w:lang w:eastAsia="es-CR"/>
              </w:rPr>
            </w:pPr>
            <w:r w:rsidRPr="004E74A6">
              <w:rPr>
                <w:rFonts w:cs="Calibri"/>
                <w:b/>
                <w:bCs/>
                <w:color w:val="000000"/>
                <w:sz w:val="22"/>
                <w:szCs w:val="22"/>
                <w:lang w:eastAsia="es-CR"/>
              </w:rPr>
              <w:t> </w:t>
            </w:r>
          </w:p>
        </w:tc>
        <w:tc>
          <w:tcPr>
            <w:tcW w:w="1240" w:type="dxa"/>
            <w:tcBorders>
              <w:top w:val="nil"/>
              <w:left w:val="nil"/>
              <w:bottom w:val="nil"/>
              <w:right w:val="single" w:sz="4" w:space="0" w:color="auto"/>
            </w:tcBorders>
            <w:shd w:val="clear" w:color="auto" w:fill="auto"/>
            <w:noWrap/>
            <w:vAlign w:val="center"/>
            <w:hideMark/>
          </w:tcPr>
          <w:p w14:paraId="15094C9A" w14:textId="77777777" w:rsidR="00703C3E" w:rsidRPr="004E74A6" w:rsidRDefault="00703C3E" w:rsidP="00832773">
            <w:pPr>
              <w:spacing w:line="276" w:lineRule="auto"/>
              <w:jc w:val="center"/>
              <w:rPr>
                <w:rFonts w:cs="Calibri"/>
                <w:b/>
                <w:bCs/>
                <w:color w:val="000000"/>
                <w:sz w:val="22"/>
                <w:szCs w:val="22"/>
                <w:lang w:eastAsia="es-CR"/>
              </w:rPr>
            </w:pPr>
            <w:r w:rsidRPr="004E74A6">
              <w:rPr>
                <w:rFonts w:cs="Calibri"/>
                <w:b/>
                <w:bCs/>
                <w:color w:val="000000"/>
                <w:sz w:val="22"/>
                <w:szCs w:val="22"/>
                <w:lang w:eastAsia="es-CR"/>
              </w:rPr>
              <w:t> </w:t>
            </w:r>
          </w:p>
        </w:tc>
        <w:tc>
          <w:tcPr>
            <w:tcW w:w="1240" w:type="dxa"/>
            <w:tcBorders>
              <w:top w:val="nil"/>
              <w:left w:val="nil"/>
              <w:bottom w:val="nil"/>
              <w:right w:val="nil"/>
            </w:tcBorders>
            <w:shd w:val="clear" w:color="auto" w:fill="auto"/>
            <w:noWrap/>
            <w:vAlign w:val="center"/>
            <w:hideMark/>
          </w:tcPr>
          <w:p w14:paraId="20CC67D8" w14:textId="77777777" w:rsidR="00703C3E" w:rsidRPr="004E74A6" w:rsidRDefault="00703C3E" w:rsidP="00832773">
            <w:pPr>
              <w:spacing w:line="276" w:lineRule="auto"/>
              <w:jc w:val="center"/>
              <w:rPr>
                <w:rFonts w:cs="Calibri"/>
                <w:b/>
                <w:bCs/>
                <w:color w:val="000000"/>
                <w:sz w:val="22"/>
                <w:szCs w:val="22"/>
                <w:lang w:eastAsia="es-CR"/>
              </w:rPr>
            </w:pPr>
            <w:r w:rsidRPr="004E74A6">
              <w:rPr>
                <w:rFonts w:cs="Calibri"/>
                <w:b/>
                <w:bCs/>
                <w:color w:val="000000"/>
                <w:sz w:val="22"/>
                <w:szCs w:val="22"/>
                <w:lang w:eastAsia="es-CR"/>
              </w:rPr>
              <w:t> </w:t>
            </w:r>
          </w:p>
        </w:tc>
      </w:tr>
      <w:tr w:rsidR="00703C3E" w:rsidRPr="004E74A6" w14:paraId="057A86BA" w14:textId="77777777" w:rsidTr="00832773">
        <w:trPr>
          <w:trHeight w:val="288"/>
          <w:jc w:val="center"/>
        </w:trPr>
        <w:tc>
          <w:tcPr>
            <w:tcW w:w="4283" w:type="dxa"/>
            <w:tcBorders>
              <w:top w:val="nil"/>
              <w:left w:val="nil"/>
              <w:bottom w:val="nil"/>
              <w:right w:val="single" w:sz="4" w:space="0" w:color="auto"/>
            </w:tcBorders>
            <w:shd w:val="clear" w:color="auto" w:fill="auto"/>
            <w:noWrap/>
            <w:vAlign w:val="center"/>
            <w:hideMark/>
          </w:tcPr>
          <w:p w14:paraId="2F83C039" w14:textId="77777777" w:rsidR="00703C3E" w:rsidRPr="004E74A6" w:rsidRDefault="00703C3E" w:rsidP="00832773">
            <w:pPr>
              <w:spacing w:line="276" w:lineRule="auto"/>
              <w:jc w:val="left"/>
              <w:rPr>
                <w:rFonts w:cs="Calibri"/>
                <w:b/>
                <w:bCs/>
                <w:color w:val="000000"/>
                <w:sz w:val="22"/>
                <w:szCs w:val="22"/>
                <w:lang w:eastAsia="es-CR"/>
              </w:rPr>
            </w:pPr>
            <w:r w:rsidRPr="004E74A6">
              <w:rPr>
                <w:rFonts w:cs="Calibri"/>
                <w:b/>
                <w:bCs/>
                <w:color w:val="000000"/>
                <w:sz w:val="22"/>
                <w:szCs w:val="22"/>
                <w:lang w:eastAsia="es-CR"/>
              </w:rPr>
              <w:t>Otro</w:t>
            </w:r>
          </w:p>
        </w:tc>
        <w:tc>
          <w:tcPr>
            <w:tcW w:w="1240" w:type="dxa"/>
            <w:tcBorders>
              <w:top w:val="nil"/>
              <w:left w:val="nil"/>
              <w:bottom w:val="nil"/>
              <w:right w:val="single" w:sz="4" w:space="0" w:color="auto"/>
            </w:tcBorders>
            <w:shd w:val="clear" w:color="auto" w:fill="auto"/>
            <w:noWrap/>
            <w:vAlign w:val="center"/>
            <w:hideMark/>
          </w:tcPr>
          <w:p w14:paraId="6C7208AC" w14:textId="77777777" w:rsidR="00703C3E" w:rsidRPr="004E74A6" w:rsidRDefault="00703C3E" w:rsidP="00832773">
            <w:pPr>
              <w:spacing w:line="276" w:lineRule="auto"/>
              <w:jc w:val="center"/>
              <w:rPr>
                <w:rFonts w:cs="Calibri"/>
                <w:b/>
                <w:bCs/>
                <w:color w:val="000000"/>
                <w:sz w:val="22"/>
                <w:szCs w:val="22"/>
                <w:lang w:eastAsia="es-CR"/>
              </w:rPr>
            </w:pPr>
            <w:r w:rsidRPr="004E74A6">
              <w:rPr>
                <w:rFonts w:cs="Calibri"/>
                <w:b/>
                <w:bCs/>
                <w:color w:val="000000"/>
                <w:sz w:val="22"/>
                <w:szCs w:val="22"/>
                <w:lang w:eastAsia="es-CR"/>
              </w:rPr>
              <w:t> </w:t>
            </w:r>
          </w:p>
        </w:tc>
        <w:tc>
          <w:tcPr>
            <w:tcW w:w="1240" w:type="dxa"/>
            <w:tcBorders>
              <w:top w:val="nil"/>
              <w:left w:val="nil"/>
              <w:bottom w:val="nil"/>
              <w:right w:val="single" w:sz="4" w:space="0" w:color="auto"/>
            </w:tcBorders>
            <w:shd w:val="clear" w:color="auto" w:fill="auto"/>
            <w:noWrap/>
            <w:vAlign w:val="center"/>
            <w:hideMark/>
          </w:tcPr>
          <w:p w14:paraId="6DC390A3" w14:textId="77777777" w:rsidR="00703C3E" w:rsidRPr="004E74A6" w:rsidRDefault="00703C3E" w:rsidP="00832773">
            <w:pPr>
              <w:spacing w:line="276" w:lineRule="auto"/>
              <w:jc w:val="center"/>
              <w:rPr>
                <w:rFonts w:cs="Calibri"/>
                <w:b/>
                <w:bCs/>
                <w:color w:val="000000"/>
                <w:sz w:val="22"/>
                <w:szCs w:val="22"/>
                <w:lang w:eastAsia="es-CR"/>
              </w:rPr>
            </w:pPr>
            <w:r w:rsidRPr="004E74A6">
              <w:rPr>
                <w:rFonts w:cs="Calibri"/>
                <w:b/>
                <w:bCs/>
                <w:color w:val="000000"/>
                <w:sz w:val="22"/>
                <w:szCs w:val="22"/>
                <w:lang w:eastAsia="es-CR"/>
              </w:rPr>
              <w:t>1</w:t>
            </w:r>
          </w:p>
        </w:tc>
        <w:tc>
          <w:tcPr>
            <w:tcW w:w="1240" w:type="dxa"/>
            <w:tcBorders>
              <w:top w:val="nil"/>
              <w:left w:val="nil"/>
              <w:bottom w:val="nil"/>
              <w:right w:val="nil"/>
            </w:tcBorders>
            <w:shd w:val="clear" w:color="auto" w:fill="auto"/>
            <w:noWrap/>
            <w:vAlign w:val="center"/>
            <w:hideMark/>
          </w:tcPr>
          <w:p w14:paraId="0290BB9F" w14:textId="77777777" w:rsidR="00703C3E" w:rsidRPr="004E74A6" w:rsidRDefault="00703C3E" w:rsidP="00832773">
            <w:pPr>
              <w:spacing w:line="276" w:lineRule="auto"/>
              <w:jc w:val="center"/>
              <w:rPr>
                <w:rFonts w:cs="Calibri"/>
                <w:b/>
                <w:bCs/>
                <w:color w:val="000000"/>
                <w:sz w:val="22"/>
                <w:szCs w:val="22"/>
                <w:lang w:eastAsia="es-CR"/>
              </w:rPr>
            </w:pPr>
            <w:r w:rsidRPr="004E74A6">
              <w:rPr>
                <w:rFonts w:cs="Calibri"/>
                <w:b/>
                <w:bCs/>
                <w:color w:val="000000"/>
                <w:sz w:val="22"/>
                <w:szCs w:val="22"/>
                <w:lang w:eastAsia="es-CR"/>
              </w:rPr>
              <w:t> </w:t>
            </w:r>
          </w:p>
        </w:tc>
      </w:tr>
      <w:tr w:rsidR="00703C3E" w:rsidRPr="004E74A6" w14:paraId="6BA7F368" w14:textId="77777777" w:rsidTr="00832773">
        <w:trPr>
          <w:trHeight w:val="288"/>
          <w:jc w:val="center"/>
        </w:trPr>
        <w:tc>
          <w:tcPr>
            <w:tcW w:w="4283" w:type="dxa"/>
            <w:tcBorders>
              <w:top w:val="nil"/>
              <w:left w:val="nil"/>
              <w:bottom w:val="nil"/>
              <w:right w:val="single" w:sz="4" w:space="0" w:color="auto"/>
            </w:tcBorders>
            <w:shd w:val="clear" w:color="000000" w:fill="F2F2F2"/>
            <w:noWrap/>
            <w:vAlign w:val="center"/>
            <w:hideMark/>
          </w:tcPr>
          <w:p w14:paraId="488F3762" w14:textId="77777777" w:rsidR="00703C3E" w:rsidRPr="004E74A6" w:rsidRDefault="00703C3E" w:rsidP="00832773">
            <w:pPr>
              <w:spacing w:line="276" w:lineRule="auto"/>
              <w:ind w:firstLineChars="300" w:firstLine="660"/>
              <w:jc w:val="left"/>
              <w:rPr>
                <w:rFonts w:cs="Calibri"/>
                <w:i/>
                <w:iCs/>
                <w:color w:val="000000"/>
                <w:sz w:val="22"/>
                <w:szCs w:val="22"/>
                <w:lang w:eastAsia="es-CR"/>
              </w:rPr>
            </w:pPr>
            <w:r w:rsidRPr="004E74A6">
              <w:rPr>
                <w:rFonts w:cs="Calibri"/>
                <w:i/>
                <w:iCs/>
                <w:color w:val="000000"/>
                <w:sz w:val="22"/>
                <w:szCs w:val="22"/>
                <w:lang w:eastAsia="es-CR"/>
              </w:rPr>
              <w:t>Ordinario</w:t>
            </w:r>
          </w:p>
        </w:tc>
        <w:tc>
          <w:tcPr>
            <w:tcW w:w="1240" w:type="dxa"/>
            <w:tcBorders>
              <w:top w:val="nil"/>
              <w:left w:val="nil"/>
              <w:bottom w:val="nil"/>
              <w:right w:val="single" w:sz="4" w:space="0" w:color="auto"/>
            </w:tcBorders>
            <w:shd w:val="clear" w:color="000000" w:fill="F2F2F2"/>
            <w:noWrap/>
            <w:vAlign w:val="center"/>
            <w:hideMark/>
          </w:tcPr>
          <w:p w14:paraId="394C82B5" w14:textId="77777777" w:rsidR="00703C3E" w:rsidRPr="004E74A6" w:rsidRDefault="00703C3E" w:rsidP="00832773">
            <w:pPr>
              <w:spacing w:line="276" w:lineRule="auto"/>
              <w:jc w:val="center"/>
              <w:rPr>
                <w:rFonts w:cs="Calibri"/>
                <w:i/>
                <w:iCs/>
                <w:color w:val="000000"/>
                <w:sz w:val="22"/>
                <w:szCs w:val="22"/>
                <w:lang w:eastAsia="es-CR"/>
              </w:rPr>
            </w:pPr>
            <w:r w:rsidRPr="004E74A6">
              <w:rPr>
                <w:rFonts w:cs="Calibri"/>
                <w:i/>
                <w:iCs/>
                <w:color w:val="000000"/>
                <w:sz w:val="22"/>
                <w:szCs w:val="22"/>
                <w:lang w:eastAsia="es-CR"/>
              </w:rPr>
              <w:t> </w:t>
            </w:r>
          </w:p>
        </w:tc>
        <w:tc>
          <w:tcPr>
            <w:tcW w:w="1240" w:type="dxa"/>
            <w:tcBorders>
              <w:top w:val="nil"/>
              <w:left w:val="nil"/>
              <w:bottom w:val="nil"/>
              <w:right w:val="single" w:sz="4" w:space="0" w:color="auto"/>
            </w:tcBorders>
            <w:shd w:val="clear" w:color="000000" w:fill="F2F2F2"/>
            <w:noWrap/>
            <w:vAlign w:val="center"/>
            <w:hideMark/>
          </w:tcPr>
          <w:p w14:paraId="473F3BAF" w14:textId="77777777" w:rsidR="00703C3E" w:rsidRPr="004E74A6" w:rsidRDefault="00703C3E" w:rsidP="00832773">
            <w:pPr>
              <w:spacing w:line="276" w:lineRule="auto"/>
              <w:jc w:val="center"/>
              <w:rPr>
                <w:rFonts w:cs="Calibri"/>
                <w:i/>
                <w:iCs/>
                <w:color w:val="000000"/>
                <w:sz w:val="22"/>
                <w:szCs w:val="22"/>
                <w:lang w:eastAsia="es-CR"/>
              </w:rPr>
            </w:pPr>
            <w:r w:rsidRPr="004E74A6">
              <w:rPr>
                <w:rFonts w:cs="Calibri"/>
                <w:i/>
                <w:iCs/>
                <w:color w:val="000000"/>
                <w:sz w:val="22"/>
                <w:szCs w:val="22"/>
                <w:lang w:eastAsia="es-CR"/>
              </w:rPr>
              <w:t>1</w:t>
            </w:r>
          </w:p>
        </w:tc>
        <w:tc>
          <w:tcPr>
            <w:tcW w:w="1240" w:type="dxa"/>
            <w:tcBorders>
              <w:top w:val="nil"/>
              <w:left w:val="nil"/>
              <w:bottom w:val="nil"/>
              <w:right w:val="nil"/>
            </w:tcBorders>
            <w:shd w:val="clear" w:color="000000" w:fill="F2F2F2"/>
            <w:noWrap/>
            <w:vAlign w:val="center"/>
            <w:hideMark/>
          </w:tcPr>
          <w:p w14:paraId="5FE191EC" w14:textId="77777777" w:rsidR="00703C3E" w:rsidRPr="004E74A6" w:rsidRDefault="00703C3E" w:rsidP="00832773">
            <w:pPr>
              <w:spacing w:line="276" w:lineRule="auto"/>
              <w:jc w:val="center"/>
              <w:rPr>
                <w:rFonts w:cs="Calibri"/>
                <w:i/>
                <w:iCs/>
                <w:color w:val="000000"/>
                <w:sz w:val="22"/>
                <w:szCs w:val="22"/>
                <w:lang w:eastAsia="es-CR"/>
              </w:rPr>
            </w:pPr>
            <w:r w:rsidRPr="004E74A6">
              <w:rPr>
                <w:rFonts w:cs="Calibri"/>
                <w:i/>
                <w:iCs/>
                <w:color w:val="000000"/>
                <w:sz w:val="22"/>
                <w:szCs w:val="22"/>
                <w:lang w:eastAsia="es-CR"/>
              </w:rPr>
              <w:t> </w:t>
            </w:r>
          </w:p>
        </w:tc>
      </w:tr>
      <w:tr w:rsidR="00703C3E" w:rsidRPr="004E74A6" w14:paraId="01A844A6" w14:textId="77777777" w:rsidTr="00832773">
        <w:trPr>
          <w:trHeight w:val="288"/>
          <w:jc w:val="center"/>
        </w:trPr>
        <w:tc>
          <w:tcPr>
            <w:tcW w:w="4283" w:type="dxa"/>
            <w:tcBorders>
              <w:top w:val="nil"/>
              <w:left w:val="nil"/>
              <w:bottom w:val="nil"/>
              <w:right w:val="single" w:sz="4" w:space="0" w:color="auto"/>
            </w:tcBorders>
            <w:shd w:val="clear" w:color="auto" w:fill="auto"/>
            <w:noWrap/>
            <w:vAlign w:val="center"/>
            <w:hideMark/>
          </w:tcPr>
          <w:p w14:paraId="2531D378" w14:textId="77777777" w:rsidR="00703C3E" w:rsidRPr="004E74A6" w:rsidRDefault="00703C3E" w:rsidP="00832773">
            <w:pPr>
              <w:spacing w:line="276" w:lineRule="auto"/>
              <w:jc w:val="left"/>
              <w:rPr>
                <w:rFonts w:cs="Calibri"/>
                <w:b/>
                <w:bCs/>
                <w:color w:val="000000"/>
                <w:sz w:val="22"/>
                <w:szCs w:val="22"/>
                <w:lang w:eastAsia="es-CR"/>
              </w:rPr>
            </w:pPr>
            <w:r w:rsidRPr="004E74A6">
              <w:rPr>
                <w:rFonts w:cs="Calibri"/>
                <w:b/>
                <w:bCs/>
                <w:color w:val="000000"/>
                <w:sz w:val="22"/>
                <w:szCs w:val="22"/>
                <w:lang w:eastAsia="es-CR"/>
              </w:rPr>
              <w:t>Casación</w:t>
            </w:r>
          </w:p>
        </w:tc>
        <w:tc>
          <w:tcPr>
            <w:tcW w:w="1240" w:type="dxa"/>
            <w:tcBorders>
              <w:top w:val="nil"/>
              <w:left w:val="nil"/>
              <w:bottom w:val="nil"/>
              <w:right w:val="single" w:sz="4" w:space="0" w:color="auto"/>
            </w:tcBorders>
            <w:shd w:val="clear" w:color="auto" w:fill="auto"/>
            <w:noWrap/>
            <w:vAlign w:val="center"/>
            <w:hideMark/>
          </w:tcPr>
          <w:p w14:paraId="038A71A6" w14:textId="77777777" w:rsidR="00703C3E" w:rsidRPr="004E74A6" w:rsidRDefault="00703C3E" w:rsidP="00832773">
            <w:pPr>
              <w:spacing w:line="276" w:lineRule="auto"/>
              <w:jc w:val="center"/>
              <w:rPr>
                <w:rFonts w:cs="Calibri"/>
                <w:b/>
                <w:bCs/>
                <w:color w:val="000000"/>
                <w:sz w:val="22"/>
                <w:szCs w:val="22"/>
                <w:lang w:eastAsia="es-CR"/>
              </w:rPr>
            </w:pPr>
            <w:r w:rsidRPr="004E74A6">
              <w:rPr>
                <w:rFonts w:cs="Calibri"/>
                <w:b/>
                <w:bCs/>
                <w:color w:val="000000"/>
                <w:sz w:val="22"/>
                <w:szCs w:val="22"/>
                <w:lang w:eastAsia="es-CR"/>
              </w:rPr>
              <w:t>32</w:t>
            </w:r>
          </w:p>
        </w:tc>
        <w:tc>
          <w:tcPr>
            <w:tcW w:w="1240" w:type="dxa"/>
            <w:tcBorders>
              <w:top w:val="nil"/>
              <w:left w:val="nil"/>
              <w:bottom w:val="nil"/>
              <w:right w:val="single" w:sz="4" w:space="0" w:color="auto"/>
            </w:tcBorders>
            <w:shd w:val="clear" w:color="auto" w:fill="auto"/>
            <w:noWrap/>
            <w:vAlign w:val="center"/>
            <w:hideMark/>
          </w:tcPr>
          <w:p w14:paraId="7136929E" w14:textId="77777777" w:rsidR="00703C3E" w:rsidRPr="004E74A6" w:rsidRDefault="00703C3E" w:rsidP="00832773">
            <w:pPr>
              <w:spacing w:line="276" w:lineRule="auto"/>
              <w:jc w:val="center"/>
              <w:rPr>
                <w:rFonts w:cs="Calibri"/>
                <w:b/>
                <w:bCs/>
                <w:color w:val="000000"/>
                <w:sz w:val="22"/>
                <w:szCs w:val="22"/>
                <w:lang w:eastAsia="es-CR"/>
              </w:rPr>
            </w:pPr>
            <w:r w:rsidRPr="004E74A6">
              <w:rPr>
                <w:rFonts w:cs="Calibri"/>
                <w:b/>
                <w:bCs/>
                <w:color w:val="000000"/>
                <w:sz w:val="22"/>
                <w:szCs w:val="22"/>
                <w:lang w:eastAsia="es-CR"/>
              </w:rPr>
              <w:t>20</w:t>
            </w:r>
          </w:p>
        </w:tc>
        <w:tc>
          <w:tcPr>
            <w:tcW w:w="1240" w:type="dxa"/>
            <w:tcBorders>
              <w:top w:val="nil"/>
              <w:left w:val="nil"/>
              <w:bottom w:val="nil"/>
              <w:right w:val="nil"/>
            </w:tcBorders>
            <w:shd w:val="clear" w:color="auto" w:fill="auto"/>
            <w:noWrap/>
            <w:vAlign w:val="center"/>
            <w:hideMark/>
          </w:tcPr>
          <w:p w14:paraId="55A3A2C5" w14:textId="77777777" w:rsidR="00703C3E" w:rsidRPr="004E74A6" w:rsidRDefault="00703C3E" w:rsidP="00832773">
            <w:pPr>
              <w:spacing w:line="276" w:lineRule="auto"/>
              <w:jc w:val="center"/>
              <w:rPr>
                <w:rFonts w:cs="Calibri"/>
                <w:b/>
                <w:bCs/>
                <w:color w:val="000000"/>
                <w:sz w:val="22"/>
                <w:szCs w:val="22"/>
                <w:lang w:eastAsia="es-CR"/>
              </w:rPr>
            </w:pPr>
            <w:r w:rsidRPr="004E74A6">
              <w:rPr>
                <w:rFonts w:cs="Calibri"/>
                <w:b/>
                <w:bCs/>
                <w:color w:val="000000"/>
                <w:sz w:val="22"/>
                <w:szCs w:val="22"/>
                <w:lang w:eastAsia="es-CR"/>
              </w:rPr>
              <w:t>47</w:t>
            </w:r>
          </w:p>
        </w:tc>
      </w:tr>
      <w:tr w:rsidR="00703C3E" w:rsidRPr="004E74A6" w14:paraId="6813BC88" w14:textId="77777777" w:rsidTr="00832773">
        <w:trPr>
          <w:trHeight w:val="288"/>
          <w:jc w:val="center"/>
        </w:trPr>
        <w:tc>
          <w:tcPr>
            <w:tcW w:w="4283" w:type="dxa"/>
            <w:tcBorders>
              <w:top w:val="nil"/>
              <w:left w:val="nil"/>
              <w:bottom w:val="nil"/>
              <w:right w:val="single" w:sz="4" w:space="0" w:color="auto"/>
            </w:tcBorders>
            <w:shd w:val="clear" w:color="000000" w:fill="F2F2F2"/>
            <w:noWrap/>
            <w:vAlign w:val="center"/>
            <w:hideMark/>
          </w:tcPr>
          <w:p w14:paraId="2F5E490E" w14:textId="77777777" w:rsidR="00703C3E" w:rsidRPr="004E74A6" w:rsidRDefault="00703C3E" w:rsidP="00832773">
            <w:pPr>
              <w:spacing w:line="276" w:lineRule="auto"/>
              <w:ind w:firstLineChars="300" w:firstLine="660"/>
              <w:jc w:val="left"/>
              <w:rPr>
                <w:rFonts w:cs="Calibri"/>
                <w:i/>
                <w:iCs/>
                <w:color w:val="000000"/>
                <w:sz w:val="22"/>
                <w:szCs w:val="22"/>
                <w:lang w:eastAsia="es-CR"/>
              </w:rPr>
            </w:pPr>
            <w:r w:rsidRPr="004E74A6">
              <w:rPr>
                <w:rFonts w:cs="Calibri"/>
                <w:i/>
                <w:iCs/>
                <w:color w:val="000000"/>
                <w:sz w:val="22"/>
                <w:szCs w:val="22"/>
                <w:lang w:eastAsia="es-CR"/>
              </w:rPr>
              <w:t>Auxilio Judicial Internacional</w:t>
            </w:r>
          </w:p>
        </w:tc>
        <w:tc>
          <w:tcPr>
            <w:tcW w:w="1240" w:type="dxa"/>
            <w:tcBorders>
              <w:top w:val="nil"/>
              <w:left w:val="nil"/>
              <w:bottom w:val="nil"/>
              <w:right w:val="single" w:sz="4" w:space="0" w:color="auto"/>
            </w:tcBorders>
            <w:shd w:val="clear" w:color="000000" w:fill="F2F2F2"/>
            <w:noWrap/>
            <w:vAlign w:val="center"/>
            <w:hideMark/>
          </w:tcPr>
          <w:p w14:paraId="4F257321" w14:textId="77777777" w:rsidR="00703C3E" w:rsidRPr="004E74A6" w:rsidRDefault="00703C3E" w:rsidP="00832773">
            <w:pPr>
              <w:spacing w:line="276" w:lineRule="auto"/>
              <w:jc w:val="center"/>
              <w:rPr>
                <w:rFonts w:cs="Calibri"/>
                <w:i/>
                <w:iCs/>
                <w:color w:val="000000"/>
                <w:sz w:val="22"/>
                <w:szCs w:val="22"/>
                <w:lang w:eastAsia="es-CR"/>
              </w:rPr>
            </w:pPr>
            <w:r w:rsidRPr="004E74A6">
              <w:rPr>
                <w:rFonts w:cs="Calibri"/>
                <w:i/>
                <w:iCs/>
                <w:color w:val="000000"/>
                <w:sz w:val="22"/>
                <w:szCs w:val="22"/>
                <w:lang w:eastAsia="es-CR"/>
              </w:rPr>
              <w:t>5</w:t>
            </w:r>
          </w:p>
        </w:tc>
        <w:tc>
          <w:tcPr>
            <w:tcW w:w="1240" w:type="dxa"/>
            <w:tcBorders>
              <w:top w:val="nil"/>
              <w:left w:val="nil"/>
              <w:bottom w:val="nil"/>
              <w:right w:val="single" w:sz="4" w:space="0" w:color="auto"/>
            </w:tcBorders>
            <w:shd w:val="clear" w:color="000000" w:fill="F2F2F2"/>
            <w:noWrap/>
            <w:vAlign w:val="center"/>
            <w:hideMark/>
          </w:tcPr>
          <w:p w14:paraId="6ABEA48C" w14:textId="77777777" w:rsidR="00703C3E" w:rsidRPr="004E74A6" w:rsidRDefault="00703C3E" w:rsidP="00832773">
            <w:pPr>
              <w:spacing w:line="276" w:lineRule="auto"/>
              <w:jc w:val="center"/>
              <w:rPr>
                <w:rFonts w:cs="Calibri"/>
                <w:i/>
                <w:iCs/>
                <w:color w:val="000000"/>
                <w:sz w:val="22"/>
                <w:szCs w:val="22"/>
                <w:lang w:eastAsia="es-CR"/>
              </w:rPr>
            </w:pPr>
            <w:r w:rsidRPr="004E74A6">
              <w:rPr>
                <w:rFonts w:cs="Calibri"/>
                <w:i/>
                <w:iCs/>
                <w:color w:val="000000"/>
                <w:sz w:val="22"/>
                <w:szCs w:val="22"/>
                <w:lang w:eastAsia="es-CR"/>
              </w:rPr>
              <w:t>1</w:t>
            </w:r>
          </w:p>
        </w:tc>
        <w:tc>
          <w:tcPr>
            <w:tcW w:w="1240" w:type="dxa"/>
            <w:tcBorders>
              <w:top w:val="nil"/>
              <w:left w:val="nil"/>
              <w:bottom w:val="nil"/>
              <w:right w:val="nil"/>
            </w:tcBorders>
            <w:shd w:val="clear" w:color="000000" w:fill="F2F2F2"/>
            <w:noWrap/>
            <w:vAlign w:val="center"/>
            <w:hideMark/>
          </w:tcPr>
          <w:p w14:paraId="2EBB7211" w14:textId="77777777" w:rsidR="00703C3E" w:rsidRPr="004E74A6" w:rsidRDefault="00703C3E" w:rsidP="00832773">
            <w:pPr>
              <w:spacing w:line="276" w:lineRule="auto"/>
              <w:jc w:val="center"/>
              <w:rPr>
                <w:rFonts w:cs="Calibri"/>
                <w:i/>
                <w:iCs/>
                <w:color w:val="000000"/>
                <w:sz w:val="22"/>
                <w:szCs w:val="22"/>
                <w:lang w:eastAsia="es-CR"/>
              </w:rPr>
            </w:pPr>
            <w:r w:rsidRPr="004E74A6">
              <w:rPr>
                <w:rFonts w:cs="Calibri"/>
                <w:i/>
                <w:iCs/>
                <w:color w:val="000000"/>
                <w:sz w:val="22"/>
                <w:szCs w:val="22"/>
                <w:lang w:eastAsia="es-CR"/>
              </w:rPr>
              <w:t>11</w:t>
            </w:r>
          </w:p>
        </w:tc>
      </w:tr>
      <w:tr w:rsidR="00703C3E" w:rsidRPr="004E74A6" w14:paraId="23528509" w14:textId="77777777" w:rsidTr="00832773">
        <w:trPr>
          <w:trHeight w:val="288"/>
          <w:jc w:val="center"/>
        </w:trPr>
        <w:tc>
          <w:tcPr>
            <w:tcW w:w="4283" w:type="dxa"/>
            <w:tcBorders>
              <w:top w:val="nil"/>
              <w:left w:val="nil"/>
              <w:bottom w:val="nil"/>
              <w:right w:val="single" w:sz="4" w:space="0" w:color="auto"/>
            </w:tcBorders>
            <w:shd w:val="clear" w:color="000000" w:fill="F2F2F2"/>
            <w:noWrap/>
            <w:vAlign w:val="center"/>
            <w:hideMark/>
          </w:tcPr>
          <w:p w14:paraId="58349CC0" w14:textId="77777777" w:rsidR="00703C3E" w:rsidRPr="004E74A6" w:rsidRDefault="00703C3E" w:rsidP="00832773">
            <w:pPr>
              <w:spacing w:line="276" w:lineRule="auto"/>
              <w:ind w:firstLineChars="300" w:firstLine="660"/>
              <w:jc w:val="left"/>
              <w:rPr>
                <w:rFonts w:cs="Calibri"/>
                <w:i/>
                <w:iCs/>
                <w:color w:val="000000"/>
                <w:sz w:val="22"/>
                <w:szCs w:val="22"/>
                <w:lang w:eastAsia="es-CR"/>
              </w:rPr>
            </w:pPr>
            <w:r w:rsidRPr="004E74A6">
              <w:rPr>
                <w:rFonts w:cs="Calibri"/>
                <w:i/>
                <w:iCs/>
                <w:color w:val="000000"/>
                <w:sz w:val="22"/>
                <w:szCs w:val="22"/>
                <w:lang w:eastAsia="es-CR"/>
              </w:rPr>
              <w:t>Concurso civil de acreedores</w:t>
            </w:r>
          </w:p>
        </w:tc>
        <w:tc>
          <w:tcPr>
            <w:tcW w:w="1240" w:type="dxa"/>
            <w:tcBorders>
              <w:top w:val="nil"/>
              <w:left w:val="nil"/>
              <w:bottom w:val="nil"/>
              <w:right w:val="single" w:sz="4" w:space="0" w:color="auto"/>
            </w:tcBorders>
            <w:shd w:val="clear" w:color="000000" w:fill="F2F2F2"/>
            <w:noWrap/>
            <w:vAlign w:val="center"/>
            <w:hideMark/>
          </w:tcPr>
          <w:p w14:paraId="756E4870" w14:textId="77777777" w:rsidR="00703C3E" w:rsidRPr="004E74A6" w:rsidRDefault="00703C3E" w:rsidP="00832773">
            <w:pPr>
              <w:spacing w:line="276" w:lineRule="auto"/>
              <w:jc w:val="center"/>
              <w:rPr>
                <w:rFonts w:cs="Calibri"/>
                <w:i/>
                <w:iCs/>
                <w:color w:val="000000"/>
                <w:sz w:val="22"/>
                <w:szCs w:val="22"/>
                <w:lang w:eastAsia="es-CR"/>
              </w:rPr>
            </w:pPr>
            <w:r w:rsidRPr="004E74A6">
              <w:rPr>
                <w:rFonts w:cs="Calibri"/>
                <w:i/>
                <w:iCs/>
                <w:color w:val="000000"/>
                <w:sz w:val="22"/>
                <w:szCs w:val="22"/>
                <w:lang w:eastAsia="es-CR"/>
              </w:rPr>
              <w:t> </w:t>
            </w:r>
          </w:p>
        </w:tc>
        <w:tc>
          <w:tcPr>
            <w:tcW w:w="1240" w:type="dxa"/>
            <w:tcBorders>
              <w:top w:val="nil"/>
              <w:left w:val="nil"/>
              <w:bottom w:val="nil"/>
              <w:right w:val="single" w:sz="4" w:space="0" w:color="auto"/>
            </w:tcBorders>
            <w:shd w:val="clear" w:color="000000" w:fill="F2F2F2"/>
            <w:noWrap/>
            <w:vAlign w:val="center"/>
            <w:hideMark/>
          </w:tcPr>
          <w:p w14:paraId="22DDF6F6" w14:textId="77777777" w:rsidR="00703C3E" w:rsidRPr="004E74A6" w:rsidRDefault="00703C3E" w:rsidP="00832773">
            <w:pPr>
              <w:spacing w:line="276" w:lineRule="auto"/>
              <w:jc w:val="center"/>
              <w:rPr>
                <w:rFonts w:cs="Calibri"/>
                <w:i/>
                <w:iCs/>
                <w:color w:val="000000"/>
                <w:sz w:val="22"/>
                <w:szCs w:val="22"/>
                <w:lang w:eastAsia="es-CR"/>
              </w:rPr>
            </w:pPr>
            <w:r w:rsidRPr="004E74A6">
              <w:rPr>
                <w:rFonts w:cs="Calibri"/>
                <w:i/>
                <w:iCs/>
                <w:color w:val="000000"/>
                <w:sz w:val="22"/>
                <w:szCs w:val="22"/>
                <w:lang w:eastAsia="es-CR"/>
              </w:rPr>
              <w:t> </w:t>
            </w:r>
          </w:p>
        </w:tc>
        <w:tc>
          <w:tcPr>
            <w:tcW w:w="1240" w:type="dxa"/>
            <w:tcBorders>
              <w:top w:val="nil"/>
              <w:left w:val="nil"/>
              <w:bottom w:val="nil"/>
              <w:right w:val="nil"/>
            </w:tcBorders>
            <w:shd w:val="clear" w:color="000000" w:fill="F2F2F2"/>
            <w:noWrap/>
            <w:vAlign w:val="center"/>
            <w:hideMark/>
          </w:tcPr>
          <w:p w14:paraId="38580206" w14:textId="77777777" w:rsidR="00703C3E" w:rsidRPr="004E74A6" w:rsidRDefault="00703C3E" w:rsidP="00832773">
            <w:pPr>
              <w:spacing w:line="276" w:lineRule="auto"/>
              <w:jc w:val="center"/>
              <w:rPr>
                <w:rFonts w:cs="Calibri"/>
                <w:i/>
                <w:iCs/>
                <w:color w:val="000000"/>
                <w:sz w:val="22"/>
                <w:szCs w:val="22"/>
                <w:lang w:eastAsia="es-CR"/>
              </w:rPr>
            </w:pPr>
            <w:r w:rsidRPr="004E74A6">
              <w:rPr>
                <w:rFonts w:cs="Calibri"/>
                <w:i/>
                <w:iCs/>
                <w:color w:val="000000"/>
                <w:sz w:val="22"/>
                <w:szCs w:val="22"/>
                <w:lang w:eastAsia="es-CR"/>
              </w:rPr>
              <w:t>1</w:t>
            </w:r>
          </w:p>
        </w:tc>
      </w:tr>
      <w:tr w:rsidR="00703C3E" w:rsidRPr="004E74A6" w14:paraId="6973E2C0" w14:textId="77777777" w:rsidTr="00832773">
        <w:trPr>
          <w:trHeight w:val="288"/>
          <w:jc w:val="center"/>
        </w:trPr>
        <w:tc>
          <w:tcPr>
            <w:tcW w:w="4283" w:type="dxa"/>
            <w:tcBorders>
              <w:top w:val="nil"/>
              <w:left w:val="nil"/>
              <w:bottom w:val="nil"/>
              <w:right w:val="single" w:sz="4" w:space="0" w:color="auto"/>
            </w:tcBorders>
            <w:shd w:val="clear" w:color="000000" w:fill="F2F2F2"/>
            <w:noWrap/>
            <w:vAlign w:val="center"/>
            <w:hideMark/>
          </w:tcPr>
          <w:p w14:paraId="2FC6707B" w14:textId="77777777" w:rsidR="00703C3E" w:rsidRPr="004E74A6" w:rsidRDefault="00703C3E" w:rsidP="00832773">
            <w:pPr>
              <w:spacing w:line="276" w:lineRule="auto"/>
              <w:ind w:firstLineChars="300" w:firstLine="660"/>
              <w:jc w:val="left"/>
              <w:rPr>
                <w:rFonts w:cs="Calibri"/>
                <w:i/>
                <w:iCs/>
                <w:color w:val="000000"/>
                <w:sz w:val="22"/>
                <w:szCs w:val="22"/>
                <w:lang w:eastAsia="es-CR"/>
              </w:rPr>
            </w:pPr>
            <w:r w:rsidRPr="004E74A6">
              <w:rPr>
                <w:rFonts w:cs="Calibri"/>
                <w:i/>
                <w:iCs/>
                <w:color w:val="000000"/>
                <w:sz w:val="22"/>
                <w:szCs w:val="22"/>
                <w:lang w:eastAsia="es-CR"/>
              </w:rPr>
              <w:t>Convenio preventivo</w:t>
            </w:r>
          </w:p>
        </w:tc>
        <w:tc>
          <w:tcPr>
            <w:tcW w:w="1240" w:type="dxa"/>
            <w:tcBorders>
              <w:top w:val="nil"/>
              <w:left w:val="nil"/>
              <w:bottom w:val="nil"/>
              <w:right w:val="single" w:sz="4" w:space="0" w:color="auto"/>
            </w:tcBorders>
            <w:shd w:val="clear" w:color="000000" w:fill="F2F2F2"/>
            <w:noWrap/>
            <w:vAlign w:val="center"/>
            <w:hideMark/>
          </w:tcPr>
          <w:p w14:paraId="6AD5D9BA" w14:textId="77777777" w:rsidR="00703C3E" w:rsidRPr="004E74A6" w:rsidRDefault="00703C3E" w:rsidP="00832773">
            <w:pPr>
              <w:spacing w:line="276" w:lineRule="auto"/>
              <w:jc w:val="center"/>
              <w:rPr>
                <w:rFonts w:cs="Calibri"/>
                <w:i/>
                <w:iCs/>
                <w:color w:val="000000"/>
                <w:sz w:val="22"/>
                <w:szCs w:val="22"/>
                <w:lang w:eastAsia="es-CR"/>
              </w:rPr>
            </w:pPr>
            <w:r w:rsidRPr="004E74A6">
              <w:rPr>
                <w:rFonts w:cs="Calibri"/>
                <w:i/>
                <w:iCs/>
                <w:color w:val="000000"/>
                <w:sz w:val="22"/>
                <w:szCs w:val="22"/>
                <w:lang w:eastAsia="es-CR"/>
              </w:rPr>
              <w:t>1</w:t>
            </w:r>
          </w:p>
        </w:tc>
        <w:tc>
          <w:tcPr>
            <w:tcW w:w="1240" w:type="dxa"/>
            <w:tcBorders>
              <w:top w:val="nil"/>
              <w:left w:val="nil"/>
              <w:bottom w:val="nil"/>
              <w:right w:val="single" w:sz="4" w:space="0" w:color="auto"/>
            </w:tcBorders>
            <w:shd w:val="clear" w:color="000000" w:fill="F2F2F2"/>
            <w:noWrap/>
            <w:vAlign w:val="center"/>
            <w:hideMark/>
          </w:tcPr>
          <w:p w14:paraId="290E9382" w14:textId="77777777" w:rsidR="00703C3E" w:rsidRPr="004E74A6" w:rsidRDefault="00703C3E" w:rsidP="00832773">
            <w:pPr>
              <w:spacing w:line="276" w:lineRule="auto"/>
              <w:jc w:val="center"/>
              <w:rPr>
                <w:rFonts w:cs="Calibri"/>
                <w:i/>
                <w:iCs/>
                <w:color w:val="000000"/>
                <w:sz w:val="22"/>
                <w:szCs w:val="22"/>
                <w:lang w:eastAsia="es-CR"/>
              </w:rPr>
            </w:pPr>
            <w:r w:rsidRPr="004E74A6">
              <w:rPr>
                <w:rFonts w:cs="Calibri"/>
                <w:i/>
                <w:iCs/>
                <w:color w:val="000000"/>
                <w:sz w:val="22"/>
                <w:szCs w:val="22"/>
                <w:lang w:eastAsia="es-CR"/>
              </w:rPr>
              <w:t>2</w:t>
            </w:r>
          </w:p>
        </w:tc>
        <w:tc>
          <w:tcPr>
            <w:tcW w:w="1240" w:type="dxa"/>
            <w:tcBorders>
              <w:top w:val="nil"/>
              <w:left w:val="nil"/>
              <w:bottom w:val="nil"/>
              <w:right w:val="nil"/>
            </w:tcBorders>
            <w:shd w:val="clear" w:color="000000" w:fill="F2F2F2"/>
            <w:noWrap/>
            <w:vAlign w:val="center"/>
            <w:hideMark/>
          </w:tcPr>
          <w:p w14:paraId="2F3D9B19" w14:textId="77777777" w:rsidR="00703C3E" w:rsidRPr="004E74A6" w:rsidRDefault="00703C3E" w:rsidP="00832773">
            <w:pPr>
              <w:spacing w:line="276" w:lineRule="auto"/>
              <w:jc w:val="center"/>
              <w:rPr>
                <w:rFonts w:cs="Calibri"/>
                <w:i/>
                <w:iCs/>
                <w:color w:val="000000"/>
                <w:sz w:val="22"/>
                <w:szCs w:val="22"/>
                <w:lang w:eastAsia="es-CR"/>
              </w:rPr>
            </w:pPr>
            <w:r w:rsidRPr="004E74A6">
              <w:rPr>
                <w:rFonts w:cs="Calibri"/>
                <w:i/>
                <w:iCs/>
                <w:color w:val="000000"/>
                <w:sz w:val="22"/>
                <w:szCs w:val="22"/>
                <w:lang w:eastAsia="es-CR"/>
              </w:rPr>
              <w:t>1</w:t>
            </w:r>
          </w:p>
        </w:tc>
      </w:tr>
      <w:tr w:rsidR="00703C3E" w:rsidRPr="004E74A6" w14:paraId="26D2F1F2" w14:textId="77777777" w:rsidTr="00832773">
        <w:trPr>
          <w:trHeight w:val="288"/>
          <w:jc w:val="center"/>
        </w:trPr>
        <w:tc>
          <w:tcPr>
            <w:tcW w:w="4283" w:type="dxa"/>
            <w:tcBorders>
              <w:top w:val="nil"/>
              <w:left w:val="nil"/>
              <w:bottom w:val="nil"/>
              <w:right w:val="single" w:sz="4" w:space="0" w:color="auto"/>
            </w:tcBorders>
            <w:shd w:val="clear" w:color="000000" w:fill="F2F2F2"/>
            <w:noWrap/>
            <w:vAlign w:val="center"/>
            <w:hideMark/>
          </w:tcPr>
          <w:p w14:paraId="1DCEC355" w14:textId="77777777" w:rsidR="00703C3E" w:rsidRPr="004E74A6" w:rsidRDefault="00703C3E" w:rsidP="00832773">
            <w:pPr>
              <w:spacing w:line="276" w:lineRule="auto"/>
              <w:ind w:firstLineChars="300" w:firstLine="660"/>
              <w:jc w:val="left"/>
              <w:rPr>
                <w:rFonts w:cs="Calibri"/>
                <w:i/>
                <w:iCs/>
                <w:color w:val="000000"/>
                <w:sz w:val="22"/>
                <w:szCs w:val="22"/>
                <w:lang w:eastAsia="es-CR"/>
              </w:rPr>
            </w:pPr>
            <w:r w:rsidRPr="004E74A6">
              <w:rPr>
                <w:rFonts w:cs="Calibri"/>
                <w:i/>
                <w:iCs/>
                <w:color w:val="000000"/>
                <w:sz w:val="22"/>
                <w:szCs w:val="22"/>
                <w:lang w:eastAsia="es-CR"/>
              </w:rPr>
              <w:t>Cooperación Judicial Internacional</w:t>
            </w:r>
          </w:p>
        </w:tc>
        <w:tc>
          <w:tcPr>
            <w:tcW w:w="1240" w:type="dxa"/>
            <w:tcBorders>
              <w:top w:val="nil"/>
              <w:left w:val="nil"/>
              <w:bottom w:val="nil"/>
              <w:right w:val="single" w:sz="4" w:space="0" w:color="auto"/>
            </w:tcBorders>
            <w:shd w:val="clear" w:color="000000" w:fill="F2F2F2"/>
            <w:noWrap/>
            <w:vAlign w:val="center"/>
            <w:hideMark/>
          </w:tcPr>
          <w:p w14:paraId="202856B8" w14:textId="77777777" w:rsidR="00703C3E" w:rsidRPr="004E74A6" w:rsidRDefault="00703C3E" w:rsidP="00832773">
            <w:pPr>
              <w:spacing w:line="276" w:lineRule="auto"/>
              <w:jc w:val="center"/>
              <w:rPr>
                <w:rFonts w:cs="Calibri"/>
                <w:i/>
                <w:iCs/>
                <w:color w:val="000000"/>
                <w:sz w:val="22"/>
                <w:szCs w:val="22"/>
                <w:lang w:eastAsia="es-CR"/>
              </w:rPr>
            </w:pPr>
            <w:r w:rsidRPr="004E74A6">
              <w:rPr>
                <w:rFonts w:cs="Calibri"/>
                <w:i/>
                <w:iCs/>
                <w:color w:val="000000"/>
                <w:sz w:val="22"/>
                <w:szCs w:val="22"/>
                <w:lang w:eastAsia="es-CR"/>
              </w:rPr>
              <w:t>4</w:t>
            </w:r>
          </w:p>
        </w:tc>
        <w:tc>
          <w:tcPr>
            <w:tcW w:w="1240" w:type="dxa"/>
            <w:tcBorders>
              <w:top w:val="nil"/>
              <w:left w:val="nil"/>
              <w:bottom w:val="nil"/>
              <w:right w:val="single" w:sz="4" w:space="0" w:color="auto"/>
            </w:tcBorders>
            <w:shd w:val="clear" w:color="000000" w:fill="F2F2F2"/>
            <w:noWrap/>
            <w:vAlign w:val="center"/>
            <w:hideMark/>
          </w:tcPr>
          <w:p w14:paraId="46938538" w14:textId="77777777" w:rsidR="00703C3E" w:rsidRPr="004E74A6" w:rsidRDefault="00703C3E" w:rsidP="00832773">
            <w:pPr>
              <w:spacing w:line="276" w:lineRule="auto"/>
              <w:jc w:val="center"/>
              <w:rPr>
                <w:rFonts w:cs="Calibri"/>
                <w:i/>
                <w:iCs/>
                <w:color w:val="000000"/>
                <w:sz w:val="22"/>
                <w:szCs w:val="22"/>
                <w:lang w:eastAsia="es-CR"/>
              </w:rPr>
            </w:pPr>
            <w:r w:rsidRPr="004E74A6">
              <w:rPr>
                <w:rFonts w:cs="Calibri"/>
                <w:i/>
                <w:iCs/>
                <w:color w:val="000000"/>
                <w:sz w:val="22"/>
                <w:szCs w:val="22"/>
                <w:lang w:eastAsia="es-CR"/>
              </w:rPr>
              <w:t>3</w:t>
            </w:r>
          </w:p>
        </w:tc>
        <w:tc>
          <w:tcPr>
            <w:tcW w:w="1240" w:type="dxa"/>
            <w:tcBorders>
              <w:top w:val="nil"/>
              <w:left w:val="nil"/>
              <w:bottom w:val="nil"/>
              <w:right w:val="nil"/>
            </w:tcBorders>
            <w:shd w:val="clear" w:color="000000" w:fill="F2F2F2"/>
            <w:noWrap/>
            <w:vAlign w:val="center"/>
            <w:hideMark/>
          </w:tcPr>
          <w:p w14:paraId="246A8DE9" w14:textId="77777777" w:rsidR="00703C3E" w:rsidRPr="004E74A6" w:rsidRDefault="00703C3E" w:rsidP="00832773">
            <w:pPr>
              <w:spacing w:line="276" w:lineRule="auto"/>
              <w:jc w:val="center"/>
              <w:rPr>
                <w:rFonts w:cs="Calibri"/>
                <w:i/>
                <w:iCs/>
                <w:color w:val="000000"/>
                <w:sz w:val="22"/>
                <w:szCs w:val="22"/>
                <w:lang w:eastAsia="es-CR"/>
              </w:rPr>
            </w:pPr>
            <w:r w:rsidRPr="004E74A6">
              <w:rPr>
                <w:rFonts w:cs="Calibri"/>
                <w:i/>
                <w:iCs/>
                <w:color w:val="000000"/>
                <w:sz w:val="22"/>
                <w:szCs w:val="22"/>
                <w:lang w:eastAsia="es-CR"/>
              </w:rPr>
              <w:t>6</w:t>
            </w:r>
          </w:p>
        </w:tc>
      </w:tr>
      <w:tr w:rsidR="00703C3E" w:rsidRPr="004E74A6" w14:paraId="799B7135" w14:textId="77777777" w:rsidTr="00832773">
        <w:trPr>
          <w:trHeight w:val="288"/>
          <w:jc w:val="center"/>
        </w:trPr>
        <w:tc>
          <w:tcPr>
            <w:tcW w:w="4283" w:type="dxa"/>
            <w:tcBorders>
              <w:top w:val="nil"/>
              <w:left w:val="nil"/>
              <w:bottom w:val="nil"/>
              <w:right w:val="single" w:sz="4" w:space="0" w:color="auto"/>
            </w:tcBorders>
            <w:shd w:val="clear" w:color="000000" w:fill="F2F2F2"/>
            <w:noWrap/>
            <w:vAlign w:val="center"/>
            <w:hideMark/>
          </w:tcPr>
          <w:p w14:paraId="0598A3A4" w14:textId="77777777" w:rsidR="00703C3E" w:rsidRPr="004E74A6" w:rsidRDefault="00703C3E" w:rsidP="00832773">
            <w:pPr>
              <w:spacing w:line="276" w:lineRule="auto"/>
              <w:ind w:firstLineChars="300" w:firstLine="660"/>
              <w:jc w:val="left"/>
              <w:rPr>
                <w:rFonts w:cs="Calibri"/>
                <w:i/>
                <w:iCs/>
                <w:color w:val="000000"/>
                <w:sz w:val="22"/>
                <w:szCs w:val="22"/>
                <w:lang w:eastAsia="es-CR"/>
              </w:rPr>
            </w:pPr>
            <w:r w:rsidRPr="004E74A6">
              <w:rPr>
                <w:rFonts w:cs="Calibri"/>
                <w:i/>
                <w:iCs/>
                <w:color w:val="000000"/>
                <w:sz w:val="22"/>
                <w:szCs w:val="22"/>
                <w:lang w:eastAsia="es-CR"/>
              </w:rPr>
              <w:t>Inc. cobro honorarios abogado</w:t>
            </w:r>
          </w:p>
        </w:tc>
        <w:tc>
          <w:tcPr>
            <w:tcW w:w="1240" w:type="dxa"/>
            <w:tcBorders>
              <w:top w:val="nil"/>
              <w:left w:val="nil"/>
              <w:bottom w:val="nil"/>
              <w:right w:val="single" w:sz="4" w:space="0" w:color="auto"/>
            </w:tcBorders>
            <w:shd w:val="clear" w:color="000000" w:fill="F2F2F2"/>
            <w:noWrap/>
            <w:vAlign w:val="center"/>
            <w:hideMark/>
          </w:tcPr>
          <w:p w14:paraId="4BCA6C12" w14:textId="77777777" w:rsidR="00703C3E" w:rsidRPr="004E74A6" w:rsidRDefault="00703C3E" w:rsidP="00832773">
            <w:pPr>
              <w:spacing w:line="276" w:lineRule="auto"/>
              <w:jc w:val="center"/>
              <w:rPr>
                <w:rFonts w:cs="Calibri"/>
                <w:i/>
                <w:iCs/>
                <w:color w:val="000000"/>
                <w:sz w:val="22"/>
                <w:szCs w:val="22"/>
                <w:lang w:eastAsia="es-CR"/>
              </w:rPr>
            </w:pPr>
            <w:r w:rsidRPr="004E74A6">
              <w:rPr>
                <w:rFonts w:cs="Calibri"/>
                <w:i/>
                <w:iCs/>
                <w:color w:val="000000"/>
                <w:sz w:val="22"/>
                <w:szCs w:val="22"/>
                <w:lang w:eastAsia="es-CR"/>
              </w:rPr>
              <w:t>1</w:t>
            </w:r>
          </w:p>
        </w:tc>
        <w:tc>
          <w:tcPr>
            <w:tcW w:w="1240" w:type="dxa"/>
            <w:tcBorders>
              <w:top w:val="nil"/>
              <w:left w:val="nil"/>
              <w:bottom w:val="nil"/>
              <w:right w:val="single" w:sz="4" w:space="0" w:color="auto"/>
            </w:tcBorders>
            <w:shd w:val="clear" w:color="000000" w:fill="F2F2F2"/>
            <w:noWrap/>
            <w:vAlign w:val="center"/>
            <w:hideMark/>
          </w:tcPr>
          <w:p w14:paraId="2FA0CFCC" w14:textId="77777777" w:rsidR="00703C3E" w:rsidRPr="004E74A6" w:rsidRDefault="00703C3E" w:rsidP="00832773">
            <w:pPr>
              <w:spacing w:line="276" w:lineRule="auto"/>
              <w:jc w:val="center"/>
              <w:rPr>
                <w:rFonts w:cs="Calibri"/>
                <w:i/>
                <w:iCs/>
                <w:color w:val="000000"/>
                <w:sz w:val="22"/>
                <w:szCs w:val="22"/>
                <w:lang w:eastAsia="es-CR"/>
              </w:rPr>
            </w:pPr>
            <w:r w:rsidRPr="004E74A6">
              <w:rPr>
                <w:rFonts w:cs="Calibri"/>
                <w:i/>
                <w:iCs/>
                <w:color w:val="000000"/>
                <w:sz w:val="22"/>
                <w:szCs w:val="22"/>
                <w:lang w:eastAsia="es-CR"/>
              </w:rPr>
              <w:t> </w:t>
            </w:r>
          </w:p>
        </w:tc>
        <w:tc>
          <w:tcPr>
            <w:tcW w:w="1240" w:type="dxa"/>
            <w:tcBorders>
              <w:top w:val="nil"/>
              <w:left w:val="nil"/>
              <w:bottom w:val="nil"/>
              <w:right w:val="nil"/>
            </w:tcBorders>
            <w:shd w:val="clear" w:color="000000" w:fill="F2F2F2"/>
            <w:noWrap/>
            <w:vAlign w:val="center"/>
            <w:hideMark/>
          </w:tcPr>
          <w:p w14:paraId="4750961B" w14:textId="77777777" w:rsidR="00703C3E" w:rsidRPr="004E74A6" w:rsidRDefault="00703C3E" w:rsidP="00832773">
            <w:pPr>
              <w:spacing w:line="276" w:lineRule="auto"/>
              <w:jc w:val="center"/>
              <w:rPr>
                <w:rFonts w:cs="Calibri"/>
                <w:i/>
                <w:iCs/>
                <w:color w:val="000000"/>
                <w:sz w:val="22"/>
                <w:szCs w:val="22"/>
                <w:lang w:eastAsia="es-CR"/>
              </w:rPr>
            </w:pPr>
            <w:r w:rsidRPr="004E74A6">
              <w:rPr>
                <w:rFonts w:cs="Calibri"/>
                <w:i/>
                <w:iCs/>
                <w:color w:val="000000"/>
                <w:sz w:val="22"/>
                <w:szCs w:val="22"/>
                <w:lang w:eastAsia="es-CR"/>
              </w:rPr>
              <w:t> </w:t>
            </w:r>
          </w:p>
        </w:tc>
      </w:tr>
      <w:tr w:rsidR="00703C3E" w:rsidRPr="004E74A6" w14:paraId="23D2BBF4" w14:textId="77777777" w:rsidTr="00832773">
        <w:trPr>
          <w:trHeight w:val="288"/>
          <w:jc w:val="center"/>
        </w:trPr>
        <w:tc>
          <w:tcPr>
            <w:tcW w:w="4283" w:type="dxa"/>
            <w:tcBorders>
              <w:top w:val="nil"/>
              <w:left w:val="nil"/>
              <w:bottom w:val="nil"/>
              <w:right w:val="single" w:sz="4" w:space="0" w:color="auto"/>
            </w:tcBorders>
            <w:shd w:val="clear" w:color="000000" w:fill="F2F2F2"/>
            <w:noWrap/>
            <w:vAlign w:val="center"/>
            <w:hideMark/>
          </w:tcPr>
          <w:p w14:paraId="5B52F191" w14:textId="77777777" w:rsidR="00703C3E" w:rsidRPr="004E74A6" w:rsidRDefault="00703C3E" w:rsidP="00832773">
            <w:pPr>
              <w:spacing w:line="276" w:lineRule="auto"/>
              <w:ind w:firstLineChars="300" w:firstLine="660"/>
              <w:jc w:val="left"/>
              <w:rPr>
                <w:rFonts w:cs="Calibri"/>
                <w:i/>
                <w:iCs/>
                <w:color w:val="000000"/>
                <w:sz w:val="22"/>
                <w:szCs w:val="22"/>
                <w:lang w:eastAsia="es-CR"/>
              </w:rPr>
            </w:pPr>
            <w:r w:rsidRPr="004E74A6">
              <w:rPr>
                <w:rFonts w:cs="Calibri"/>
                <w:i/>
                <w:iCs/>
                <w:color w:val="000000"/>
                <w:sz w:val="22"/>
                <w:szCs w:val="22"/>
                <w:lang w:eastAsia="es-CR"/>
              </w:rPr>
              <w:t>Ordinario</w:t>
            </w:r>
          </w:p>
        </w:tc>
        <w:tc>
          <w:tcPr>
            <w:tcW w:w="1240" w:type="dxa"/>
            <w:tcBorders>
              <w:top w:val="nil"/>
              <w:left w:val="nil"/>
              <w:bottom w:val="nil"/>
              <w:right w:val="single" w:sz="4" w:space="0" w:color="auto"/>
            </w:tcBorders>
            <w:shd w:val="clear" w:color="000000" w:fill="F2F2F2"/>
            <w:noWrap/>
            <w:vAlign w:val="center"/>
            <w:hideMark/>
          </w:tcPr>
          <w:p w14:paraId="180A367F" w14:textId="77777777" w:rsidR="00703C3E" w:rsidRPr="004E74A6" w:rsidRDefault="00703C3E" w:rsidP="00832773">
            <w:pPr>
              <w:spacing w:line="276" w:lineRule="auto"/>
              <w:jc w:val="center"/>
              <w:rPr>
                <w:rFonts w:cs="Calibri"/>
                <w:i/>
                <w:iCs/>
                <w:color w:val="000000"/>
                <w:sz w:val="22"/>
                <w:szCs w:val="22"/>
                <w:lang w:eastAsia="es-CR"/>
              </w:rPr>
            </w:pPr>
            <w:r w:rsidRPr="004E74A6">
              <w:rPr>
                <w:rFonts w:cs="Calibri"/>
                <w:i/>
                <w:iCs/>
                <w:color w:val="000000"/>
                <w:sz w:val="22"/>
                <w:szCs w:val="22"/>
                <w:lang w:eastAsia="es-CR"/>
              </w:rPr>
              <w:t>15</w:t>
            </w:r>
          </w:p>
        </w:tc>
        <w:tc>
          <w:tcPr>
            <w:tcW w:w="1240" w:type="dxa"/>
            <w:tcBorders>
              <w:top w:val="nil"/>
              <w:left w:val="nil"/>
              <w:bottom w:val="nil"/>
              <w:right w:val="single" w:sz="4" w:space="0" w:color="auto"/>
            </w:tcBorders>
            <w:shd w:val="clear" w:color="000000" w:fill="F2F2F2"/>
            <w:noWrap/>
            <w:vAlign w:val="center"/>
            <w:hideMark/>
          </w:tcPr>
          <w:p w14:paraId="5AD9726A" w14:textId="77777777" w:rsidR="00703C3E" w:rsidRPr="004E74A6" w:rsidRDefault="00703C3E" w:rsidP="00832773">
            <w:pPr>
              <w:spacing w:line="276" w:lineRule="auto"/>
              <w:jc w:val="center"/>
              <w:rPr>
                <w:rFonts w:cs="Calibri"/>
                <w:i/>
                <w:iCs/>
                <w:color w:val="000000"/>
                <w:sz w:val="22"/>
                <w:szCs w:val="22"/>
                <w:lang w:eastAsia="es-CR"/>
              </w:rPr>
            </w:pPr>
            <w:r w:rsidRPr="004E74A6">
              <w:rPr>
                <w:rFonts w:cs="Calibri"/>
                <w:i/>
                <w:iCs/>
                <w:color w:val="000000"/>
                <w:sz w:val="22"/>
                <w:szCs w:val="22"/>
                <w:lang w:eastAsia="es-CR"/>
              </w:rPr>
              <w:t>7</w:t>
            </w:r>
          </w:p>
        </w:tc>
        <w:tc>
          <w:tcPr>
            <w:tcW w:w="1240" w:type="dxa"/>
            <w:tcBorders>
              <w:top w:val="nil"/>
              <w:left w:val="nil"/>
              <w:bottom w:val="nil"/>
              <w:right w:val="nil"/>
            </w:tcBorders>
            <w:shd w:val="clear" w:color="000000" w:fill="F2F2F2"/>
            <w:noWrap/>
            <w:vAlign w:val="center"/>
            <w:hideMark/>
          </w:tcPr>
          <w:p w14:paraId="630722E6" w14:textId="77777777" w:rsidR="00703C3E" w:rsidRPr="004E74A6" w:rsidRDefault="00703C3E" w:rsidP="00832773">
            <w:pPr>
              <w:spacing w:line="276" w:lineRule="auto"/>
              <w:jc w:val="center"/>
              <w:rPr>
                <w:rFonts w:cs="Calibri"/>
                <w:i/>
                <w:iCs/>
                <w:color w:val="000000"/>
                <w:sz w:val="22"/>
                <w:szCs w:val="22"/>
                <w:lang w:eastAsia="es-CR"/>
              </w:rPr>
            </w:pPr>
            <w:r w:rsidRPr="004E74A6">
              <w:rPr>
                <w:rFonts w:cs="Calibri"/>
                <w:i/>
                <w:iCs/>
                <w:color w:val="000000"/>
                <w:sz w:val="22"/>
                <w:szCs w:val="22"/>
                <w:lang w:eastAsia="es-CR"/>
              </w:rPr>
              <w:t>12</w:t>
            </w:r>
          </w:p>
        </w:tc>
      </w:tr>
      <w:tr w:rsidR="00703C3E" w:rsidRPr="004E74A6" w14:paraId="61308FD5" w14:textId="77777777" w:rsidTr="00832773">
        <w:trPr>
          <w:trHeight w:val="288"/>
          <w:jc w:val="center"/>
        </w:trPr>
        <w:tc>
          <w:tcPr>
            <w:tcW w:w="4283" w:type="dxa"/>
            <w:tcBorders>
              <w:top w:val="nil"/>
              <w:left w:val="nil"/>
              <w:bottom w:val="nil"/>
              <w:right w:val="single" w:sz="4" w:space="0" w:color="auto"/>
            </w:tcBorders>
            <w:shd w:val="clear" w:color="auto" w:fill="F2F2F2" w:themeFill="background1" w:themeFillShade="F2"/>
            <w:noWrap/>
            <w:vAlign w:val="center"/>
            <w:hideMark/>
          </w:tcPr>
          <w:p w14:paraId="668156C8" w14:textId="77777777" w:rsidR="00703C3E" w:rsidRPr="004E74A6" w:rsidRDefault="00703C3E" w:rsidP="00832773">
            <w:pPr>
              <w:spacing w:line="276" w:lineRule="auto"/>
              <w:ind w:firstLineChars="300" w:firstLine="660"/>
              <w:jc w:val="left"/>
              <w:rPr>
                <w:rFonts w:cs="Calibri"/>
                <w:i/>
                <w:iCs/>
                <w:color w:val="000000"/>
                <w:sz w:val="22"/>
                <w:szCs w:val="22"/>
                <w:lang w:eastAsia="es-CR"/>
              </w:rPr>
            </w:pPr>
            <w:r w:rsidRPr="004E74A6">
              <w:rPr>
                <w:rFonts w:cs="Calibri"/>
                <w:i/>
                <w:iCs/>
                <w:color w:val="000000"/>
                <w:sz w:val="22"/>
                <w:szCs w:val="22"/>
                <w:lang w:eastAsia="es-CR"/>
              </w:rPr>
              <w:t>Quiebra</w:t>
            </w:r>
          </w:p>
        </w:tc>
        <w:tc>
          <w:tcPr>
            <w:tcW w:w="1240" w:type="dxa"/>
            <w:tcBorders>
              <w:top w:val="nil"/>
              <w:left w:val="nil"/>
              <w:bottom w:val="nil"/>
              <w:right w:val="single" w:sz="4" w:space="0" w:color="auto"/>
            </w:tcBorders>
            <w:shd w:val="clear" w:color="auto" w:fill="F2F2F2" w:themeFill="background1" w:themeFillShade="F2"/>
            <w:noWrap/>
            <w:vAlign w:val="center"/>
            <w:hideMark/>
          </w:tcPr>
          <w:p w14:paraId="0AEB1A04" w14:textId="77777777" w:rsidR="00703C3E" w:rsidRPr="004E74A6" w:rsidRDefault="00703C3E" w:rsidP="00832773">
            <w:pPr>
              <w:spacing w:line="276" w:lineRule="auto"/>
              <w:jc w:val="center"/>
              <w:rPr>
                <w:rFonts w:cs="Calibri"/>
                <w:i/>
                <w:iCs/>
                <w:color w:val="000000"/>
                <w:sz w:val="22"/>
                <w:szCs w:val="22"/>
                <w:lang w:eastAsia="es-CR"/>
              </w:rPr>
            </w:pPr>
            <w:r w:rsidRPr="004E74A6">
              <w:rPr>
                <w:rFonts w:cs="Calibri"/>
                <w:i/>
                <w:iCs/>
                <w:color w:val="000000"/>
                <w:sz w:val="22"/>
                <w:szCs w:val="22"/>
                <w:lang w:eastAsia="es-CR"/>
              </w:rPr>
              <w:t>1</w:t>
            </w:r>
          </w:p>
        </w:tc>
        <w:tc>
          <w:tcPr>
            <w:tcW w:w="1240" w:type="dxa"/>
            <w:tcBorders>
              <w:top w:val="nil"/>
              <w:left w:val="nil"/>
              <w:bottom w:val="nil"/>
              <w:right w:val="single" w:sz="4" w:space="0" w:color="auto"/>
            </w:tcBorders>
            <w:shd w:val="clear" w:color="auto" w:fill="F2F2F2" w:themeFill="background1" w:themeFillShade="F2"/>
            <w:noWrap/>
            <w:vAlign w:val="center"/>
            <w:hideMark/>
          </w:tcPr>
          <w:p w14:paraId="7851B962" w14:textId="77777777" w:rsidR="00703C3E" w:rsidRPr="004E74A6" w:rsidRDefault="00703C3E" w:rsidP="00832773">
            <w:pPr>
              <w:spacing w:line="276" w:lineRule="auto"/>
              <w:jc w:val="center"/>
              <w:rPr>
                <w:rFonts w:cs="Calibri"/>
                <w:i/>
                <w:iCs/>
                <w:color w:val="000000"/>
                <w:sz w:val="22"/>
                <w:szCs w:val="22"/>
                <w:lang w:eastAsia="es-CR"/>
              </w:rPr>
            </w:pPr>
            <w:r w:rsidRPr="004E74A6">
              <w:rPr>
                <w:rFonts w:cs="Calibri"/>
                <w:i/>
                <w:iCs/>
                <w:color w:val="000000"/>
                <w:sz w:val="22"/>
                <w:szCs w:val="22"/>
                <w:lang w:eastAsia="es-CR"/>
              </w:rPr>
              <w:t>2</w:t>
            </w:r>
          </w:p>
        </w:tc>
        <w:tc>
          <w:tcPr>
            <w:tcW w:w="1240" w:type="dxa"/>
            <w:tcBorders>
              <w:top w:val="nil"/>
              <w:left w:val="nil"/>
              <w:bottom w:val="nil"/>
              <w:right w:val="nil"/>
            </w:tcBorders>
            <w:shd w:val="clear" w:color="auto" w:fill="F2F2F2" w:themeFill="background1" w:themeFillShade="F2"/>
            <w:noWrap/>
            <w:vAlign w:val="center"/>
            <w:hideMark/>
          </w:tcPr>
          <w:p w14:paraId="7241CBB3" w14:textId="77777777" w:rsidR="00703C3E" w:rsidRPr="004E74A6" w:rsidRDefault="00703C3E" w:rsidP="00832773">
            <w:pPr>
              <w:spacing w:line="276" w:lineRule="auto"/>
              <w:jc w:val="center"/>
              <w:rPr>
                <w:rFonts w:cs="Calibri"/>
                <w:i/>
                <w:iCs/>
                <w:color w:val="000000"/>
                <w:sz w:val="22"/>
                <w:szCs w:val="22"/>
                <w:lang w:eastAsia="es-CR"/>
              </w:rPr>
            </w:pPr>
            <w:r w:rsidRPr="004E74A6">
              <w:rPr>
                <w:rFonts w:cs="Calibri"/>
                <w:i/>
                <w:iCs/>
                <w:color w:val="000000"/>
                <w:sz w:val="22"/>
                <w:szCs w:val="22"/>
                <w:lang w:eastAsia="es-CR"/>
              </w:rPr>
              <w:t>3</w:t>
            </w:r>
          </w:p>
        </w:tc>
      </w:tr>
      <w:tr w:rsidR="00703C3E" w:rsidRPr="004E74A6" w14:paraId="5BAC03EF" w14:textId="77777777" w:rsidTr="00832773">
        <w:trPr>
          <w:trHeight w:val="288"/>
          <w:jc w:val="center"/>
        </w:trPr>
        <w:tc>
          <w:tcPr>
            <w:tcW w:w="4283" w:type="dxa"/>
            <w:tcBorders>
              <w:top w:val="nil"/>
              <w:left w:val="nil"/>
              <w:bottom w:val="nil"/>
              <w:right w:val="single" w:sz="4" w:space="0" w:color="auto"/>
            </w:tcBorders>
            <w:shd w:val="clear" w:color="000000" w:fill="F2F2F2"/>
            <w:noWrap/>
            <w:vAlign w:val="center"/>
            <w:hideMark/>
          </w:tcPr>
          <w:p w14:paraId="1F0AB752" w14:textId="77777777" w:rsidR="00703C3E" w:rsidRPr="004E74A6" w:rsidRDefault="00703C3E" w:rsidP="00832773">
            <w:pPr>
              <w:spacing w:line="276" w:lineRule="auto"/>
              <w:ind w:firstLineChars="300" w:firstLine="660"/>
              <w:jc w:val="left"/>
              <w:rPr>
                <w:rFonts w:cs="Calibri"/>
                <w:i/>
                <w:iCs/>
                <w:color w:val="000000"/>
                <w:sz w:val="22"/>
                <w:szCs w:val="22"/>
                <w:lang w:eastAsia="es-CR"/>
              </w:rPr>
            </w:pPr>
            <w:r w:rsidRPr="004E74A6">
              <w:rPr>
                <w:rFonts w:cs="Calibri"/>
                <w:i/>
                <w:iCs/>
                <w:color w:val="000000"/>
                <w:sz w:val="22"/>
                <w:szCs w:val="22"/>
                <w:lang w:eastAsia="es-CR"/>
              </w:rPr>
              <w:t>Sucesión</w:t>
            </w:r>
          </w:p>
        </w:tc>
        <w:tc>
          <w:tcPr>
            <w:tcW w:w="1240" w:type="dxa"/>
            <w:tcBorders>
              <w:top w:val="nil"/>
              <w:left w:val="nil"/>
              <w:bottom w:val="nil"/>
              <w:right w:val="single" w:sz="4" w:space="0" w:color="auto"/>
            </w:tcBorders>
            <w:shd w:val="clear" w:color="000000" w:fill="F2F2F2"/>
            <w:noWrap/>
            <w:vAlign w:val="center"/>
            <w:hideMark/>
          </w:tcPr>
          <w:p w14:paraId="79278F90" w14:textId="77777777" w:rsidR="00703C3E" w:rsidRPr="004E74A6" w:rsidRDefault="00703C3E" w:rsidP="00832773">
            <w:pPr>
              <w:spacing w:line="276" w:lineRule="auto"/>
              <w:jc w:val="center"/>
              <w:rPr>
                <w:rFonts w:cs="Calibri"/>
                <w:i/>
                <w:iCs/>
                <w:color w:val="000000"/>
                <w:sz w:val="22"/>
                <w:szCs w:val="22"/>
                <w:lang w:eastAsia="es-CR"/>
              </w:rPr>
            </w:pPr>
            <w:r w:rsidRPr="004E74A6">
              <w:rPr>
                <w:rFonts w:cs="Calibri"/>
                <w:i/>
                <w:iCs/>
                <w:color w:val="000000"/>
                <w:sz w:val="22"/>
                <w:szCs w:val="22"/>
                <w:lang w:eastAsia="es-CR"/>
              </w:rPr>
              <w:t>5</w:t>
            </w:r>
          </w:p>
        </w:tc>
        <w:tc>
          <w:tcPr>
            <w:tcW w:w="1240" w:type="dxa"/>
            <w:tcBorders>
              <w:top w:val="nil"/>
              <w:left w:val="nil"/>
              <w:bottom w:val="nil"/>
              <w:right w:val="single" w:sz="4" w:space="0" w:color="auto"/>
            </w:tcBorders>
            <w:shd w:val="clear" w:color="000000" w:fill="F2F2F2"/>
            <w:noWrap/>
            <w:vAlign w:val="center"/>
            <w:hideMark/>
          </w:tcPr>
          <w:p w14:paraId="7DBB9227" w14:textId="77777777" w:rsidR="00703C3E" w:rsidRPr="004E74A6" w:rsidRDefault="00703C3E" w:rsidP="00832773">
            <w:pPr>
              <w:spacing w:line="276" w:lineRule="auto"/>
              <w:jc w:val="center"/>
              <w:rPr>
                <w:rFonts w:cs="Calibri"/>
                <w:i/>
                <w:iCs/>
                <w:color w:val="000000"/>
                <w:sz w:val="22"/>
                <w:szCs w:val="22"/>
                <w:lang w:eastAsia="es-CR"/>
              </w:rPr>
            </w:pPr>
            <w:r w:rsidRPr="004E74A6">
              <w:rPr>
                <w:rFonts w:cs="Calibri"/>
                <w:i/>
                <w:iCs/>
                <w:color w:val="000000"/>
                <w:sz w:val="22"/>
                <w:szCs w:val="22"/>
                <w:lang w:eastAsia="es-CR"/>
              </w:rPr>
              <w:t>5</w:t>
            </w:r>
          </w:p>
        </w:tc>
        <w:tc>
          <w:tcPr>
            <w:tcW w:w="1240" w:type="dxa"/>
            <w:tcBorders>
              <w:top w:val="nil"/>
              <w:left w:val="nil"/>
              <w:bottom w:val="nil"/>
              <w:right w:val="nil"/>
            </w:tcBorders>
            <w:shd w:val="clear" w:color="000000" w:fill="F2F2F2"/>
            <w:noWrap/>
            <w:vAlign w:val="center"/>
            <w:hideMark/>
          </w:tcPr>
          <w:p w14:paraId="1FE2D257" w14:textId="77777777" w:rsidR="00703C3E" w:rsidRPr="004E74A6" w:rsidRDefault="00703C3E" w:rsidP="00832773">
            <w:pPr>
              <w:spacing w:line="276" w:lineRule="auto"/>
              <w:jc w:val="center"/>
              <w:rPr>
                <w:rFonts w:cs="Calibri"/>
                <w:i/>
                <w:iCs/>
                <w:color w:val="000000"/>
                <w:sz w:val="22"/>
                <w:szCs w:val="22"/>
                <w:lang w:eastAsia="es-CR"/>
              </w:rPr>
            </w:pPr>
            <w:r w:rsidRPr="004E74A6">
              <w:rPr>
                <w:rFonts w:cs="Calibri"/>
                <w:i/>
                <w:iCs/>
                <w:color w:val="000000"/>
                <w:sz w:val="22"/>
                <w:szCs w:val="22"/>
                <w:lang w:eastAsia="es-CR"/>
              </w:rPr>
              <w:t>13</w:t>
            </w:r>
          </w:p>
        </w:tc>
      </w:tr>
      <w:tr w:rsidR="00703C3E" w:rsidRPr="004E74A6" w14:paraId="439A3F23" w14:textId="77777777" w:rsidTr="00832773">
        <w:trPr>
          <w:trHeight w:val="288"/>
          <w:jc w:val="center"/>
        </w:trPr>
        <w:tc>
          <w:tcPr>
            <w:tcW w:w="4283" w:type="dxa"/>
            <w:tcBorders>
              <w:top w:val="nil"/>
              <w:left w:val="nil"/>
              <w:bottom w:val="nil"/>
              <w:right w:val="single" w:sz="4" w:space="0" w:color="auto"/>
            </w:tcBorders>
            <w:shd w:val="clear" w:color="auto" w:fill="auto"/>
            <w:noWrap/>
            <w:vAlign w:val="center"/>
            <w:hideMark/>
          </w:tcPr>
          <w:p w14:paraId="711FC7BB" w14:textId="77777777" w:rsidR="00703C3E" w:rsidRPr="004E74A6" w:rsidRDefault="00703C3E" w:rsidP="00832773">
            <w:pPr>
              <w:spacing w:line="276" w:lineRule="auto"/>
              <w:jc w:val="left"/>
              <w:rPr>
                <w:rFonts w:cs="Calibri"/>
                <w:b/>
                <w:bCs/>
                <w:color w:val="000000"/>
                <w:sz w:val="22"/>
                <w:szCs w:val="22"/>
                <w:lang w:eastAsia="es-CR"/>
              </w:rPr>
            </w:pPr>
            <w:r w:rsidRPr="004E74A6">
              <w:rPr>
                <w:rFonts w:cs="Calibri"/>
                <w:b/>
                <w:bCs/>
                <w:color w:val="000000"/>
                <w:sz w:val="22"/>
                <w:szCs w:val="22"/>
                <w:lang w:eastAsia="es-CR"/>
              </w:rPr>
              <w:t>Competencia</w:t>
            </w:r>
          </w:p>
        </w:tc>
        <w:tc>
          <w:tcPr>
            <w:tcW w:w="1240" w:type="dxa"/>
            <w:tcBorders>
              <w:top w:val="nil"/>
              <w:left w:val="nil"/>
              <w:bottom w:val="nil"/>
              <w:right w:val="single" w:sz="4" w:space="0" w:color="auto"/>
            </w:tcBorders>
            <w:shd w:val="clear" w:color="auto" w:fill="auto"/>
            <w:noWrap/>
            <w:vAlign w:val="center"/>
            <w:hideMark/>
          </w:tcPr>
          <w:p w14:paraId="6B3E3DF4" w14:textId="77777777" w:rsidR="00703C3E" w:rsidRPr="004E74A6" w:rsidRDefault="00703C3E" w:rsidP="00832773">
            <w:pPr>
              <w:spacing w:line="276" w:lineRule="auto"/>
              <w:jc w:val="center"/>
              <w:rPr>
                <w:rFonts w:cs="Calibri"/>
                <w:b/>
                <w:bCs/>
                <w:color w:val="000000"/>
                <w:sz w:val="22"/>
                <w:szCs w:val="22"/>
                <w:lang w:eastAsia="es-CR"/>
              </w:rPr>
            </w:pPr>
            <w:r w:rsidRPr="004E74A6">
              <w:rPr>
                <w:rFonts w:cs="Calibri"/>
                <w:b/>
                <w:bCs/>
                <w:color w:val="000000"/>
                <w:sz w:val="22"/>
                <w:szCs w:val="22"/>
                <w:lang w:eastAsia="es-CR"/>
              </w:rPr>
              <w:t>10</w:t>
            </w:r>
          </w:p>
        </w:tc>
        <w:tc>
          <w:tcPr>
            <w:tcW w:w="1240" w:type="dxa"/>
            <w:tcBorders>
              <w:top w:val="nil"/>
              <w:left w:val="nil"/>
              <w:bottom w:val="nil"/>
              <w:right w:val="single" w:sz="4" w:space="0" w:color="auto"/>
            </w:tcBorders>
            <w:shd w:val="clear" w:color="auto" w:fill="auto"/>
            <w:noWrap/>
            <w:vAlign w:val="center"/>
            <w:hideMark/>
          </w:tcPr>
          <w:p w14:paraId="4DDB9E92" w14:textId="77777777" w:rsidR="00703C3E" w:rsidRPr="004E74A6" w:rsidRDefault="00703C3E" w:rsidP="00832773">
            <w:pPr>
              <w:spacing w:line="276" w:lineRule="auto"/>
              <w:jc w:val="center"/>
              <w:rPr>
                <w:rFonts w:cs="Calibri"/>
                <w:b/>
                <w:bCs/>
                <w:color w:val="000000"/>
                <w:sz w:val="22"/>
                <w:szCs w:val="22"/>
                <w:lang w:eastAsia="es-CR"/>
              </w:rPr>
            </w:pPr>
            <w:r w:rsidRPr="004E74A6">
              <w:rPr>
                <w:rFonts w:cs="Calibri"/>
                <w:b/>
                <w:bCs/>
                <w:color w:val="000000"/>
                <w:sz w:val="22"/>
                <w:szCs w:val="22"/>
                <w:lang w:eastAsia="es-CR"/>
              </w:rPr>
              <w:t>17</w:t>
            </w:r>
          </w:p>
        </w:tc>
        <w:tc>
          <w:tcPr>
            <w:tcW w:w="1240" w:type="dxa"/>
            <w:tcBorders>
              <w:top w:val="nil"/>
              <w:left w:val="nil"/>
              <w:bottom w:val="nil"/>
              <w:right w:val="nil"/>
            </w:tcBorders>
            <w:shd w:val="clear" w:color="auto" w:fill="auto"/>
            <w:noWrap/>
            <w:vAlign w:val="center"/>
            <w:hideMark/>
          </w:tcPr>
          <w:p w14:paraId="7D5F1449" w14:textId="77777777" w:rsidR="00703C3E" w:rsidRPr="004E74A6" w:rsidRDefault="00703C3E" w:rsidP="00832773">
            <w:pPr>
              <w:spacing w:line="276" w:lineRule="auto"/>
              <w:jc w:val="center"/>
              <w:rPr>
                <w:rFonts w:cs="Calibri"/>
                <w:b/>
                <w:bCs/>
                <w:color w:val="000000"/>
                <w:sz w:val="22"/>
                <w:szCs w:val="22"/>
                <w:lang w:eastAsia="es-CR"/>
              </w:rPr>
            </w:pPr>
            <w:r w:rsidRPr="004E74A6">
              <w:rPr>
                <w:rFonts w:cs="Calibri"/>
                <w:b/>
                <w:bCs/>
                <w:color w:val="000000"/>
                <w:sz w:val="22"/>
                <w:szCs w:val="22"/>
                <w:lang w:eastAsia="es-CR"/>
              </w:rPr>
              <w:t>26</w:t>
            </w:r>
          </w:p>
        </w:tc>
      </w:tr>
      <w:tr w:rsidR="00703C3E" w:rsidRPr="004E74A6" w14:paraId="5D5CA302" w14:textId="77777777" w:rsidTr="00832773">
        <w:trPr>
          <w:trHeight w:val="288"/>
          <w:jc w:val="center"/>
        </w:trPr>
        <w:tc>
          <w:tcPr>
            <w:tcW w:w="4283" w:type="dxa"/>
            <w:tcBorders>
              <w:top w:val="nil"/>
              <w:left w:val="nil"/>
              <w:bottom w:val="nil"/>
              <w:right w:val="single" w:sz="4" w:space="0" w:color="auto"/>
            </w:tcBorders>
            <w:shd w:val="clear" w:color="000000" w:fill="F2F2F2"/>
            <w:noWrap/>
            <w:vAlign w:val="center"/>
            <w:hideMark/>
          </w:tcPr>
          <w:p w14:paraId="0F74FD0E" w14:textId="77777777" w:rsidR="00703C3E" w:rsidRPr="004E74A6" w:rsidRDefault="00703C3E" w:rsidP="00832773">
            <w:pPr>
              <w:spacing w:line="276" w:lineRule="auto"/>
              <w:ind w:firstLineChars="300" w:firstLine="660"/>
              <w:jc w:val="left"/>
              <w:rPr>
                <w:rFonts w:cs="Calibri"/>
                <w:i/>
                <w:iCs/>
                <w:color w:val="000000"/>
                <w:sz w:val="22"/>
                <w:szCs w:val="22"/>
                <w:lang w:eastAsia="es-CR"/>
              </w:rPr>
            </w:pPr>
            <w:r w:rsidRPr="004E74A6">
              <w:rPr>
                <w:rFonts w:cs="Calibri"/>
                <w:i/>
                <w:iCs/>
                <w:color w:val="000000"/>
                <w:sz w:val="22"/>
                <w:szCs w:val="22"/>
                <w:lang w:eastAsia="es-CR"/>
              </w:rPr>
              <w:t>Ordinario</w:t>
            </w:r>
          </w:p>
        </w:tc>
        <w:tc>
          <w:tcPr>
            <w:tcW w:w="1240" w:type="dxa"/>
            <w:tcBorders>
              <w:top w:val="nil"/>
              <w:left w:val="nil"/>
              <w:bottom w:val="nil"/>
              <w:right w:val="single" w:sz="4" w:space="0" w:color="auto"/>
            </w:tcBorders>
            <w:shd w:val="clear" w:color="000000" w:fill="F2F2F2"/>
            <w:noWrap/>
            <w:vAlign w:val="center"/>
            <w:hideMark/>
          </w:tcPr>
          <w:p w14:paraId="161CC5AD" w14:textId="77777777" w:rsidR="00703C3E" w:rsidRPr="004E74A6" w:rsidRDefault="00703C3E" w:rsidP="00832773">
            <w:pPr>
              <w:spacing w:line="276" w:lineRule="auto"/>
              <w:jc w:val="center"/>
              <w:rPr>
                <w:rFonts w:cs="Calibri"/>
                <w:i/>
                <w:iCs/>
                <w:color w:val="000000"/>
                <w:sz w:val="22"/>
                <w:szCs w:val="22"/>
                <w:lang w:eastAsia="es-CR"/>
              </w:rPr>
            </w:pPr>
            <w:r w:rsidRPr="004E74A6">
              <w:rPr>
                <w:rFonts w:cs="Calibri"/>
                <w:i/>
                <w:iCs/>
                <w:color w:val="000000"/>
                <w:sz w:val="22"/>
                <w:szCs w:val="22"/>
                <w:lang w:eastAsia="es-CR"/>
              </w:rPr>
              <w:t>3</w:t>
            </w:r>
          </w:p>
        </w:tc>
        <w:tc>
          <w:tcPr>
            <w:tcW w:w="1240" w:type="dxa"/>
            <w:tcBorders>
              <w:top w:val="nil"/>
              <w:left w:val="nil"/>
              <w:bottom w:val="nil"/>
              <w:right w:val="single" w:sz="4" w:space="0" w:color="auto"/>
            </w:tcBorders>
            <w:shd w:val="clear" w:color="000000" w:fill="F2F2F2"/>
            <w:noWrap/>
            <w:vAlign w:val="center"/>
            <w:hideMark/>
          </w:tcPr>
          <w:p w14:paraId="68D82B2D" w14:textId="77777777" w:rsidR="00703C3E" w:rsidRPr="004E74A6" w:rsidRDefault="00703C3E" w:rsidP="00832773">
            <w:pPr>
              <w:spacing w:line="276" w:lineRule="auto"/>
              <w:jc w:val="center"/>
              <w:rPr>
                <w:rFonts w:cs="Calibri"/>
                <w:i/>
                <w:iCs/>
                <w:color w:val="000000"/>
                <w:sz w:val="22"/>
                <w:szCs w:val="22"/>
                <w:lang w:eastAsia="es-CR"/>
              </w:rPr>
            </w:pPr>
            <w:r w:rsidRPr="004E74A6">
              <w:rPr>
                <w:rFonts w:cs="Calibri"/>
                <w:i/>
                <w:iCs/>
                <w:color w:val="000000"/>
                <w:sz w:val="22"/>
                <w:szCs w:val="22"/>
                <w:lang w:eastAsia="es-CR"/>
              </w:rPr>
              <w:t>6</w:t>
            </w:r>
          </w:p>
        </w:tc>
        <w:tc>
          <w:tcPr>
            <w:tcW w:w="1240" w:type="dxa"/>
            <w:tcBorders>
              <w:top w:val="nil"/>
              <w:left w:val="nil"/>
              <w:bottom w:val="nil"/>
              <w:right w:val="nil"/>
            </w:tcBorders>
            <w:shd w:val="clear" w:color="000000" w:fill="F2F2F2"/>
            <w:noWrap/>
            <w:vAlign w:val="center"/>
            <w:hideMark/>
          </w:tcPr>
          <w:p w14:paraId="47FD596E" w14:textId="77777777" w:rsidR="00703C3E" w:rsidRPr="004E74A6" w:rsidRDefault="00703C3E" w:rsidP="00832773">
            <w:pPr>
              <w:spacing w:line="276" w:lineRule="auto"/>
              <w:jc w:val="center"/>
              <w:rPr>
                <w:rFonts w:cs="Calibri"/>
                <w:i/>
                <w:iCs/>
                <w:color w:val="000000"/>
                <w:sz w:val="22"/>
                <w:szCs w:val="22"/>
                <w:lang w:eastAsia="es-CR"/>
              </w:rPr>
            </w:pPr>
            <w:r w:rsidRPr="004E74A6">
              <w:rPr>
                <w:rFonts w:cs="Calibri"/>
                <w:i/>
                <w:iCs/>
                <w:color w:val="000000"/>
                <w:sz w:val="22"/>
                <w:szCs w:val="22"/>
                <w:lang w:eastAsia="es-CR"/>
              </w:rPr>
              <w:t>12</w:t>
            </w:r>
          </w:p>
        </w:tc>
      </w:tr>
      <w:tr w:rsidR="00703C3E" w:rsidRPr="004E74A6" w14:paraId="145F7286" w14:textId="77777777" w:rsidTr="00832773">
        <w:trPr>
          <w:trHeight w:val="288"/>
          <w:jc w:val="center"/>
        </w:trPr>
        <w:tc>
          <w:tcPr>
            <w:tcW w:w="4283" w:type="dxa"/>
            <w:tcBorders>
              <w:top w:val="nil"/>
              <w:left w:val="nil"/>
              <w:bottom w:val="nil"/>
              <w:right w:val="single" w:sz="4" w:space="0" w:color="auto"/>
            </w:tcBorders>
            <w:shd w:val="clear" w:color="auto" w:fill="F2F2F2" w:themeFill="background1" w:themeFillShade="F2"/>
            <w:noWrap/>
            <w:vAlign w:val="center"/>
            <w:hideMark/>
          </w:tcPr>
          <w:p w14:paraId="45E65998" w14:textId="77777777" w:rsidR="00703C3E" w:rsidRPr="004E74A6" w:rsidRDefault="00703C3E" w:rsidP="00832773">
            <w:pPr>
              <w:spacing w:line="276" w:lineRule="auto"/>
              <w:ind w:firstLineChars="300" w:firstLine="660"/>
              <w:jc w:val="left"/>
              <w:rPr>
                <w:rFonts w:cs="Calibri"/>
                <w:i/>
                <w:iCs/>
                <w:color w:val="000000"/>
                <w:sz w:val="22"/>
                <w:szCs w:val="22"/>
                <w:lang w:eastAsia="es-CR"/>
              </w:rPr>
            </w:pPr>
            <w:r w:rsidRPr="004E74A6">
              <w:rPr>
                <w:rFonts w:cs="Calibri"/>
                <w:i/>
                <w:iCs/>
                <w:color w:val="000000"/>
                <w:sz w:val="22"/>
                <w:szCs w:val="22"/>
                <w:lang w:eastAsia="es-CR"/>
              </w:rPr>
              <w:t>Quiebra</w:t>
            </w:r>
          </w:p>
        </w:tc>
        <w:tc>
          <w:tcPr>
            <w:tcW w:w="1240" w:type="dxa"/>
            <w:tcBorders>
              <w:top w:val="nil"/>
              <w:left w:val="nil"/>
              <w:bottom w:val="nil"/>
              <w:right w:val="single" w:sz="4" w:space="0" w:color="auto"/>
            </w:tcBorders>
            <w:shd w:val="clear" w:color="auto" w:fill="F2F2F2" w:themeFill="background1" w:themeFillShade="F2"/>
            <w:noWrap/>
            <w:vAlign w:val="center"/>
            <w:hideMark/>
          </w:tcPr>
          <w:p w14:paraId="3107FC34" w14:textId="77777777" w:rsidR="00703C3E" w:rsidRPr="004E74A6" w:rsidRDefault="00703C3E" w:rsidP="00832773">
            <w:pPr>
              <w:spacing w:line="276" w:lineRule="auto"/>
              <w:jc w:val="center"/>
              <w:rPr>
                <w:rFonts w:cs="Calibri"/>
                <w:i/>
                <w:iCs/>
                <w:color w:val="000000"/>
                <w:sz w:val="22"/>
                <w:szCs w:val="22"/>
                <w:lang w:eastAsia="es-CR"/>
              </w:rPr>
            </w:pPr>
            <w:r w:rsidRPr="004E74A6">
              <w:rPr>
                <w:rFonts w:cs="Calibri"/>
                <w:i/>
                <w:iCs/>
                <w:color w:val="000000"/>
                <w:sz w:val="22"/>
                <w:szCs w:val="22"/>
                <w:lang w:eastAsia="es-CR"/>
              </w:rPr>
              <w:t> </w:t>
            </w:r>
          </w:p>
        </w:tc>
        <w:tc>
          <w:tcPr>
            <w:tcW w:w="1240" w:type="dxa"/>
            <w:tcBorders>
              <w:top w:val="nil"/>
              <w:left w:val="nil"/>
              <w:bottom w:val="nil"/>
              <w:right w:val="single" w:sz="4" w:space="0" w:color="auto"/>
            </w:tcBorders>
            <w:shd w:val="clear" w:color="auto" w:fill="F2F2F2" w:themeFill="background1" w:themeFillShade="F2"/>
            <w:noWrap/>
            <w:vAlign w:val="center"/>
            <w:hideMark/>
          </w:tcPr>
          <w:p w14:paraId="1A632485" w14:textId="77777777" w:rsidR="00703C3E" w:rsidRPr="004E74A6" w:rsidRDefault="00703C3E" w:rsidP="00832773">
            <w:pPr>
              <w:spacing w:line="276" w:lineRule="auto"/>
              <w:jc w:val="center"/>
              <w:rPr>
                <w:rFonts w:cs="Calibri"/>
                <w:i/>
                <w:iCs/>
                <w:color w:val="000000"/>
                <w:sz w:val="22"/>
                <w:szCs w:val="22"/>
                <w:lang w:eastAsia="es-CR"/>
              </w:rPr>
            </w:pPr>
            <w:r w:rsidRPr="004E74A6">
              <w:rPr>
                <w:rFonts w:cs="Calibri"/>
                <w:i/>
                <w:iCs/>
                <w:color w:val="000000"/>
                <w:sz w:val="22"/>
                <w:szCs w:val="22"/>
                <w:lang w:eastAsia="es-CR"/>
              </w:rPr>
              <w:t>1</w:t>
            </w:r>
          </w:p>
        </w:tc>
        <w:tc>
          <w:tcPr>
            <w:tcW w:w="1240" w:type="dxa"/>
            <w:tcBorders>
              <w:top w:val="nil"/>
              <w:left w:val="nil"/>
              <w:bottom w:val="nil"/>
              <w:right w:val="nil"/>
            </w:tcBorders>
            <w:shd w:val="clear" w:color="auto" w:fill="F2F2F2" w:themeFill="background1" w:themeFillShade="F2"/>
            <w:noWrap/>
            <w:vAlign w:val="center"/>
            <w:hideMark/>
          </w:tcPr>
          <w:p w14:paraId="687CBCAF" w14:textId="77777777" w:rsidR="00703C3E" w:rsidRPr="004E74A6" w:rsidRDefault="00703C3E" w:rsidP="00832773">
            <w:pPr>
              <w:spacing w:line="276" w:lineRule="auto"/>
              <w:jc w:val="center"/>
              <w:rPr>
                <w:rFonts w:cs="Calibri"/>
                <w:i/>
                <w:iCs/>
                <w:color w:val="000000"/>
                <w:sz w:val="22"/>
                <w:szCs w:val="22"/>
                <w:lang w:eastAsia="es-CR"/>
              </w:rPr>
            </w:pPr>
            <w:r w:rsidRPr="004E74A6">
              <w:rPr>
                <w:rFonts w:cs="Calibri"/>
                <w:i/>
                <w:iCs/>
                <w:color w:val="000000"/>
                <w:sz w:val="22"/>
                <w:szCs w:val="22"/>
                <w:lang w:eastAsia="es-CR"/>
              </w:rPr>
              <w:t> </w:t>
            </w:r>
          </w:p>
        </w:tc>
      </w:tr>
      <w:tr w:rsidR="00703C3E" w:rsidRPr="004E74A6" w14:paraId="25A1C748" w14:textId="77777777" w:rsidTr="00832773">
        <w:trPr>
          <w:trHeight w:val="288"/>
          <w:jc w:val="center"/>
        </w:trPr>
        <w:tc>
          <w:tcPr>
            <w:tcW w:w="4283" w:type="dxa"/>
            <w:tcBorders>
              <w:top w:val="nil"/>
              <w:left w:val="nil"/>
              <w:bottom w:val="nil"/>
              <w:right w:val="single" w:sz="4" w:space="0" w:color="auto"/>
            </w:tcBorders>
            <w:shd w:val="clear" w:color="000000" w:fill="F2F2F2"/>
            <w:noWrap/>
            <w:vAlign w:val="center"/>
            <w:hideMark/>
          </w:tcPr>
          <w:p w14:paraId="2CB93634" w14:textId="77777777" w:rsidR="00703C3E" w:rsidRPr="004E74A6" w:rsidRDefault="00703C3E" w:rsidP="00832773">
            <w:pPr>
              <w:spacing w:line="276" w:lineRule="auto"/>
              <w:ind w:firstLineChars="300" w:firstLine="660"/>
              <w:jc w:val="left"/>
              <w:rPr>
                <w:rFonts w:cs="Calibri"/>
                <w:i/>
                <w:iCs/>
                <w:color w:val="000000"/>
                <w:sz w:val="22"/>
                <w:szCs w:val="22"/>
                <w:lang w:eastAsia="es-CR"/>
              </w:rPr>
            </w:pPr>
            <w:r w:rsidRPr="004E74A6">
              <w:rPr>
                <w:rFonts w:cs="Calibri"/>
                <w:i/>
                <w:iCs/>
                <w:color w:val="000000"/>
                <w:sz w:val="22"/>
                <w:szCs w:val="22"/>
                <w:lang w:eastAsia="es-CR"/>
              </w:rPr>
              <w:t>Sucesión</w:t>
            </w:r>
          </w:p>
        </w:tc>
        <w:tc>
          <w:tcPr>
            <w:tcW w:w="1240" w:type="dxa"/>
            <w:tcBorders>
              <w:top w:val="nil"/>
              <w:left w:val="nil"/>
              <w:bottom w:val="nil"/>
              <w:right w:val="single" w:sz="4" w:space="0" w:color="auto"/>
            </w:tcBorders>
            <w:shd w:val="clear" w:color="000000" w:fill="F2F2F2"/>
            <w:noWrap/>
            <w:vAlign w:val="center"/>
            <w:hideMark/>
          </w:tcPr>
          <w:p w14:paraId="58613338" w14:textId="77777777" w:rsidR="00703C3E" w:rsidRPr="004E74A6" w:rsidRDefault="00703C3E" w:rsidP="00832773">
            <w:pPr>
              <w:spacing w:line="276" w:lineRule="auto"/>
              <w:jc w:val="center"/>
              <w:rPr>
                <w:rFonts w:cs="Calibri"/>
                <w:i/>
                <w:iCs/>
                <w:color w:val="000000"/>
                <w:sz w:val="22"/>
                <w:szCs w:val="22"/>
                <w:lang w:eastAsia="es-CR"/>
              </w:rPr>
            </w:pPr>
            <w:r w:rsidRPr="004E74A6">
              <w:rPr>
                <w:rFonts w:cs="Calibri"/>
                <w:i/>
                <w:iCs/>
                <w:color w:val="000000"/>
                <w:sz w:val="22"/>
                <w:szCs w:val="22"/>
                <w:lang w:eastAsia="es-CR"/>
              </w:rPr>
              <w:t>7</w:t>
            </w:r>
          </w:p>
        </w:tc>
        <w:tc>
          <w:tcPr>
            <w:tcW w:w="1240" w:type="dxa"/>
            <w:tcBorders>
              <w:top w:val="nil"/>
              <w:left w:val="nil"/>
              <w:bottom w:val="nil"/>
              <w:right w:val="single" w:sz="4" w:space="0" w:color="auto"/>
            </w:tcBorders>
            <w:shd w:val="clear" w:color="000000" w:fill="F2F2F2"/>
            <w:noWrap/>
            <w:vAlign w:val="center"/>
            <w:hideMark/>
          </w:tcPr>
          <w:p w14:paraId="23F6CC61" w14:textId="77777777" w:rsidR="00703C3E" w:rsidRPr="004E74A6" w:rsidRDefault="00703C3E" w:rsidP="00832773">
            <w:pPr>
              <w:spacing w:line="276" w:lineRule="auto"/>
              <w:jc w:val="center"/>
              <w:rPr>
                <w:rFonts w:cs="Calibri"/>
                <w:i/>
                <w:iCs/>
                <w:color w:val="000000"/>
                <w:sz w:val="22"/>
                <w:szCs w:val="22"/>
                <w:lang w:eastAsia="es-CR"/>
              </w:rPr>
            </w:pPr>
            <w:r w:rsidRPr="004E74A6">
              <w:rPr>
                <w:rFonts w:cs="Calibri"/>
                <w:i/>
                <w:iCs/>
                <w:color w:val="000000"/>
                <w:sz w:val="22"/>
                <w:szCs w:val="22"/>
                <w:lang w:eastAsia="es-CR"/>
              </w:rPr>
              <w:t>10</w:t>
            </w:r>
          </w:p>
        </w:tc>
        <w:tc>
          <w:tcPr>
            <w:tcW w:w="1240" w:type="dxa"/>
            <w:tcBorders>
              <w:top w:val="nil"/>
              <w:left w:val="nil"/>
              <w:bottom w:val="nil"/>
              <w:right w:val="nil"/>
            </w:tcBorders>
            <w:shd w:val="clear" w:color="000000" w:fill="F2F2F2"/>
            <w:noWrap/>
            <w:vAlign w:val="center"/>
            <w:hideMark/>
          </w:tcPr>
          <w:p w14:paraId="4E0B6155" w14:textId="77777777" w:rsidR="00703C3E" w:rsidRPr="004E74A6" w:rsidRDefault="00703C3E" w:rsidP="00832773">
            <w:pPr>
              <w:spacing w:line="276" w:lineRule="auto"/>
              <w:jc w:val="center"/>
              <w:rPr>
                <w:rFonts w:cs="Calibri"/>
                <w:i/>
                <w:iCs/>
                <w:color w:val="000000"/>
                <w:sz w:val="22"/>
                <w:szCs w:val="22"/>
                <w:lang w:eastAsia="es-CR"/>
              </w:rPr>
            </w:pPr>
            <w:r w:rsidRPr="004E74A6">
              <w:rPr>
                <w:rFonts w:cs="Calibri"/>
                <w:i/>
                <w:iCs/>
                <w:color w:val="000000"/>
                <w:sz w:val="22"/>
                <w:szCs w:val="22"/>
                <w:lang w:eastAsia="es-CR"/>
              </w:rPr>
              <w:t>14</w:t>
            </w:r>
          </w:p>
        </w:tc>
      </w:tr>
      <w:tr w:rsidR="00703C3E" w:rsidRPr="004E74A6" w14:paraId="3868B3F4" w14:textId="77777777" w:rsidTr="00832773">
        <w:trPr>
          <w:trHeight w:val="288"/>
          <w:jc w:val="center"/>
        </w:trPr>
        <w:tc>
          <w:tcPr>
            <w:tcW w:w="4283" w:type="dxa"/>
            <w:tcBorders>
              <w:top w:val="nil"/>
              <w:left w:val="nil"/>
              <w:right w:val="single" w:sz="4" w:space="0" w:color="auto"/>
            </w:tcBorders>
            <w:shd w:val="clear" w:color="auto" w:fill="auto"/>
            <w:noWrap/>
            <w:vAlign w:val="center"/>
            <w:hideMark/>
          </w:tcPr>
          <w:p w14:paraId="4A66E0FC" w14:textId="77777777" w:rsidR="00703C3E" w:rsidRPr="004E74A6" w:rsidRDefault="00703C3E" w:rsidP="00832773">
            <w:pPr>
              <w:spacing w:line="276" w:lineRule="auto"/>
              <w:jc w:val="left"/>
              <w:rPr>
                <w:rFonts w:cs="Calibri"/>
                <w:b/>
                <w:bCs/>
                <w:color w:val="000000"/>
                <w:sz w:val="22"/>
                <w:szCs w:val="22"/>
                <w:lang w:eastAsia="es-CR"/>
              </w:rPr>
            </w:pPr>
            <w:r w:rsidRPr="004E74A6">
              <w:rPr>
                <w:rFonts w:cs="Calibri"/>
                <w:b/>
                <w:bCs/>
                <w:color w:val="000000"/>
                <w:sz w:val="22"/>
                <w:szCs w:val="22"/>
                <w:lang w:eastAsia="es-CR"/>
              </w:rPr>
              <w:t>Revisión</w:t>
            </w:r>
          </w:p>
        </w:tc>
        <w:tc>
          <w:tcPr>
            <w:tcW w:w="1240" w:type="dxa"/>
            <w:tcBorders>
              <w:top w:val="nil"/>
              <w:left w:val="nil"/>
              <w:right w:val="single" w:sz="4" w:space="0" w:color="auto"/>
            </w:tcBorders>
            <w:shd w:val="clear" w:color="auto" w:fill="auto"/>
            <w:noWrap/>
            <w:vAlign w:val="center"/>
            <w:hideMark/>
          </w:tcPr>
          <w:p w14:paraId="67D1F67E" w14:textId="77777777" w:rsidR="00703C3E" w:rsidRPr="004E74A6" w:rsidRDefault="00703C3E" w:rsidP="00832773">
            <w:pPr>
              <w:spacing w:line="276" w:lineRule="auto"/>
              <w:jc w:val="center"/>
              <w:rPr>
                <w:rFonts w:cs="Calibri"/>
                <w:b/>
                <w:bCs/>
                <w:color w:val="000000"/>
                <w:sz w:val="22"/>
                <w:szCs w:val="22"/>
                <w:lang w:eastAsia="es-CR"/>
              </w:rPr>
            </w:pPr>
            <w:r w:rsidRPr="004E74A6">
              <w:rPr>
                <w:rFonts w:cs="Calibri"/>
                <w:b/>
                <w:bCs/>
                <w:color w:val="000000"/>
                <w:sz w:val="22"/>
                <w:szCs w:val="22"/>
                <w:lang w:eastAsia="es-CR"/>
              </w:rPr>
              <w:t>1</w:t>
            </w:r>
          </w:p>
        </w:tc>
        <w:tc>
          <w:tcPr>
            <w:tcW w:w="1240" w:type="dxa"/>
            <w:tcBorders>
              <w:top w:val="nil"/>
              <w:left w:val="nil"/>
              <w:right w:val="single" w:sz="4" w:space="0" w:color="auto"/>
            </w:tcBorders>
            <w:shd w:val="clear" w:color="auto" w:fill="auto"/>
            <w:noWrap/>
            <w:vAlign w:val="center"/>
            <w:hideMark/>
          </w:tcPr>
          <w:p w14:paraId="7CEA1C88" w14:textId="77777777" w:rsidR="00703C3E" w:rsidRPr="004E74A6" w:rsidRDefault="00703C3E" w:rsidP="00832773">
            <w:pPr>
              <w:spacing w:line="276" w:lineRule="auto"/>
              <w:jc w:val="center"/>
              <w:rPr>
                <w:rFonts w:cs="Calibri"/>
                <w:b/>
                <w:bCs/>
                <w:color w:val="000000"/>
                <w:sz w:val="22"/>
                <w:szCs w:val="22"/>
                <w:lang w:eastAsia="es-CR"/>
              </w:rPr>
            </w:pPr>
            <w:r w:rsidRPr="004E74A6">
              <w:rPr>
                <w:rFonts w:cs="Calibri"/>
                <w:b/>
                <w:bCs/>
                <w:color w:val="000000"/>
                <w:sz w:val="22"/>
                <w:szCs w:val="22"/>
                <w:lang w:eastAsia="es-CR"/>
              </w:rPr>
              <w:t> </w:t>
            </w:r>
          </w:p>
        </w:tc>
        <w:tc>
          <w:tcPr>
            <w:tcW w:w="1240" w:type="dxa"/>
            <w:tcBorders>
              <w:top w:val="nil"/>
              <w:left w:val="nil"/>
              <w:right w:val="nil"/>
            </w:tcBorders>
            <w:shd w:val="clear" w:color="auto" w:fill="auto"/>
            <w:noWrap/>
            <w:vAlign w:val="center"/>
            <w:hideMark/>
          </w:tcPr>
          <w:p w14:paraId="3C5588AA" w14:textId="77777777" w:rsidR="00703C3E" w:rsidRPr="004E74A6" w:rsidRDefault="00703C3E" w:rsidP="00832773">
            <w:pPr>
              <w:spacing w:line="276" w:lineRule="auto"/>
              <w:jc w:val="center"/>
              <w:rPr>
                <w:rFonts w:cs="Calibri"/>
                <w:b/>
                <w:bCs/>
                <w:color w:val="000000"/>
                <w:sz w:val="22"/>
                <w:szCs w:val="22"/>
                <w:lang w:eastAsia="es-CR"/>
              </w:rPr>
            </w:pPr>
            <w:r w:rsidRPr="004E74A6">
              <w:rPr>
                <w:rFonts w:cs="Calibri"/>
                <w:b/>
                <w:bCs/>
                <w:color w:val="000000"/>
                <w:sz w:val="22"/>
                <w:szCs w:val="22"/>
                <w:lang w:eastAsia="es-CR"/>
              </w:rPr>
              <w:t>2</w:t>
            </w:r>
          </w:p>
        </w:tc>
      </w:tr>
      <w:tr w:rsidR="00703C3E" w:rsidRPr="004E74A6" w14:paraId="025B14F0" w14:textId="77777777" w:rsidTr="00832773">
        <w:trPr>
          <w:trHeight w:val="288"/>
          <w:jc w:val="center"/>
        </w:trPr>
        <w:tc>
          <w:tcPr>
            <w:tcW w:w="4283" w:type="dxa"/>
            <w:tcBorders>
              <w:top w:val="nil"/>
              <w:left w:val="nil"/>
              <w:bottom w:val="single" w:sz="4" w:space="0" w:color="auto"/>
              <w:right w:val="single" w:sz="4" w:space="0" w:color="auto"/>
            </w:tcBorders>
            <w:shd w:val="clear" w:color="000000" w:fill="F2F2F2"/>
            <w:noWrap/>
            <w:vAlign w:val="center"/>
            <w:hideMark/>
          </w:tcPr>
          <w:p w14:paraId="23CC7B72" w14:textId="77777777" w:rsidR="00703C3E" w:rsidRPr="004E74A6" w:rsidRDefault="00703C3E" w:rsidP="00832773">
            <w:pPr>
              <w:spacing w:line="276" w:lineRule="auto"/>
              <w:ind w:firstLineChars="300" w:firstLine="660"/>
              <w:jc w:val="left"/>
              <w:rPr>
                <w:rFonts w:cs="Calibri"/>
                <w:i/>
                <w:iCs/>
                <w:color w:val="000000"/>
                <w:sz w:val="22"/>
                <w:szCs w:val="22"/>
                <w:lang w:eastAsia="es-CR"/>
              </w:rPr>
            </w:pPr>
            <w:r w:rsidRPr="004E74A6">
              <w:rPr>
                <w:rFonts w:cs="Calibri"/>
                <w:i/>
                <w:iCs/>
                <w:color w:val="000000"/>
                <w:sz w:val="22"/>
                <w:szCs w:val="22"/>
                <w:lang w:eastAsia="es-CR"/>
              </w:rPr>
              <w:t>Revisión</w:t>
            </w:r>
          </w:p>
        </w:tc>
        <w:tc>
          <w:tcPr>
            <w:tcW w:w="1240" w:type="dxa"/>
            <w:tcBorders>
              <w:top w:val="nil"/>
              <w:left w:val="nil"/>
              <w:bottom w:val="single" w:sz="4" w:space="0" w:color="auto"/>
              <w:right w:val="single" w:sz="4" w:space="0" w:color="auto"/>
            </w:tcBorders>
            <w:shd w:val="clear" w:color="000000" w:fill="F2F2F2"/>
            <w:noWrap/>
            <w:vAlign w:val="center"/>
            <w:hideMark/>
          </w:tcPr>
          <w:p w14:paraId="76A89C27" w14:textId="77777777" w:rsidR="00703C3E" w:rsidRPr="004E74A6" w:rsidRDefault="00703C3E" w:rsidP="00832773">
            <w:pPr>
              <w:spacing w:line="276" w:lineRule="auto"/>
              <w:jc w:val="center"/>
              <w:rPr>
                <w:rFonts w:cs="Calibri"/>
                <w:i/>
                <w:iCs/>
                <w:color w:val="000000"/>
                <w:sz w:val="22"/>
                <w:szCs w:val="22"/>
                <w:lang w:eastAsia="es-CR"/>
              </w:rPr>
            </w:pPr>
            <w:r w:rsidRPr="004E74A6">
              <w:rPr>
                <w:rFonts w:cs="Calibri"/>
                <w:i/>
                <w:iCs/>
                <w:color w:val="000000"/>
                <w:sz w:val="22"/>
                <w:szCs w:val="22"/>
                <w:lang w:eastAsia="es-CR"/>
              </w:rPr>
              <w:t>1</w:t>
            </w:r>
          </w:p>
        </w:tc>
        <w:tc>
          <w:tcPr>
            <w:tcW w:w="1240" w:type="dxa"/>
            <w:tcBorders>
              <w:top w:val="nil"/>
              <w:left w:val="nil"/>
              <w:bottom w:val="single" w:sz="4" w:space="0" w:color="auto"/>
              <w:right w:val="single" w:sz="4" w:space="0" w:color="auto"/>
            </w:tcBorders>
            <w:shd w:val="clear" w:color="000000" w:fill="F2F2F2"/>
            <w:noWrap/>
            <w:vAlign w:val="center"/>
            <w:hideMark/>
          </w:tcPr>
          <w:p w14:paraId="3D7B78E8" w14:textId="77777777" w:rsidR="00703C3E" w:rsidRPr="004E74A6" w:rsidRDefault="00703C3E" w:rsidP="00832773">
            <w:pPr>
              <w:spacing w:line="276" w:lineRule="auto"/>
              <w:jc w:val="center"/>
              <w:rPr>
                <w:rFonts w:cs="Calibri"/>
                <w:i/>
                <w:iCs/>
                <w:color w:val="000000"/>
                <w:sz w:val="22"/>
                <w:szCs w:val="22"/>
                <w:lang w:eastAsia="es-CR"/>
              </w:rPr>
            </w:pPr>
            <w:r w:rsidRPr="004E74A6">
              <w:rPr>
                <w:rFonts w:cs="Calibri"/>
                <w:i/>
                <w:iCs/>
                <w:color w:val="000000"/>
                <w:sz w:val="22"/>
                <w:szCs w:val="22"/>
                <w:lang w:eastAsia="es-CR"/>
              </w:rPr>
              <w:t> </w:t>
            </w:r>
          </w:p>
        </w:tc>
        <w:tc>
          <w:tcPr>
            <w:tcW w:w="1240" w:type="dxa"/>
            <w:tcBorders>
              <w:top w:val="nil"/>
              <w:left w:val="nil"/>
              <w:bottom w:val="single" w:sz="4" w:space="0" w:color="auto"/>
              <w:right w:val="nil"/>
            </w:tcBorders>
            <w:shd w:val="clear" w:color="000000" w:fill="F2F2F2"/>
            <w:noWrap/>
            <w:vAlign w:val="center"/>
            <w:hideMark/>
          </w:tcPr>
          <w:p w14:paraId="44DA361F" w14:textId="77777777" w:rsidR="00703C3E" w:rsidRPr="004E74A6" w:rsidRDefault="00703C3E" w:rsidP="00832773">
            <w:pPr>
              <w:spacing w:line="276" w:lineRule="auto"/>
              <w:jc w:val="center"/>
              <w:rPr>
                <w:rFonts w:cs="Calibri"/>
                <w:i/>
                <w:iCs/>
                <w:color w:val="000000"/>
                <w:sz w:val="22"/>
                <w:szCs w:val="22"/>
                <w:lang w:eastAsia="es-CR"/>
              </w:rPr>
            </w:pPr>
            <w:r w:rsidRPr="004E74A6">
              <w:rPr>
                <w:rFonts w:cs="Calibri"/>
                <w:i/>
                <w:iCs/>
                <w:color w:val="000000"/>
                <w:sz w:val="22"/>
                <w:szCs w:val="22"/>
                <w:lang w:eastAsia="es-CR"/>
              </w:rPr>
              <w:t>2</w:t>
            </w:r>
          </w:p>
        </w:tc>
      </w:tr>
    </w:tbl>
    <w:p w14:paraId="021B1C07" w14:textId="77777777" w:rsidR="00703C3E" w:rsidRPr="004E74A6" w:rsidRDefault="00703C3E" w:rsidP="00832773">
      <w:pPr>
        <w:spacing w:line="276" w:lineRule="auto"/>
        <w:ind w:left="142" w:right="1191"/>
        <w:rPr>
          <w:rFonts w:cs="Calibri"/>
          <w:i/>
          <w:iCs/>
          <w:color w:val="000000"/>
          <w:sz w:val="20"/>
          <w:lang w:eastAsia="es-CR"/>
        </w:rPr>
      </w:pPr>
      <w:r w:rsidRPr="004E74A6">
        <w:rPr>
          <w:rFonts w:cs="Calibri"/>
          <w:b/>
          <w:bCs/>
          <w:i/>
          <w:iCs/>
          <w:color w:val="000000"/>
          <w:sz w:val="20"/>
          <w:lang w:eastAsia="es-CR"/>
        </w:rPr>
        <w:t>Fuente</w:t>
      </w:r>
      <w:r w:rsidRPr="004E74A6">
        <w:rPr>
          <w:rFonts w:cs="Calibri"/>
          <w:i/>
          <w:iCs/>
          <w:color w:val="000000"/>
          <w:sz w:val="20"/>
          <w:lang w:eastAsia="es-CR"/>
        </w:rPr>
        <w:t>: Subproceso de Modernización Institucional con datos extraídos del sistema SIGMA, Dirección de Planificación. Reporte cuantías 18-11-2022.</w:t>
      </w:r>
    </w:p>
    <w:p w14:paraId="363313A2" w14:textId="77777777" w:rsidR="00703C3E" w:rsidRPr="004E74A6" w:rsidRDefault="00703C3E" w:rsidP="00CE62C1">
      <w:pPr>
        <w:spacing w:after="160" w:line="276" w:lineRule="auto"/>
        <w:contextualSpacing/>
        <w:rPr>
          <w:rFonts w:eastAsia="Calibri"/>
          <w:szCs w:val="24"/>
          <w:lang w:eastAsia="en-US"/>
        </w:rPr>
      </w:pPr>
    </w:p>
    <w:p w14:paraId="623CB545" w14:textId="5B68FBC3" w:rsidR="003855ED" w:rsidRPr="004E74A6" w:rsidRDefault="007476FF" w:rsidP="00CE62C1">
      <w:pPr>
        <w:spacing w:after="160" w:line="276" w:lineRule="auto"/>
        <w:contextualSpacing/>
        <w:rPr>
          <w:rFonts w:eastAsia="Calibri"/>
          <w:szCs w:val="24"/>
          <w:lang w:eastAsia="en-US"/>
        </w:rPr>
      </w:pPr>
      <w:r w:rsidRPr="004E74A6">
        <w:rPr>
          <w:rFonts w:eastAsia="Calibri"/>
          <w:szCs w:val="24"/>
          <w:lang w:eastAsia="en-US"/>
        </w:rPr>
        <w:t xml:space="preserve">Observando más a detalle las casaciones en materia </w:t>
      </w:r>
      <w:r w:rsidR="00D66CEC" w:rsidRPr="004E74A6">
        <w:rPr>
          <w:rFonts w:eastAsia="Calibri"/>
          <w:szCs w:val="24"/>
          <w:lang w:eastAsia="en-US"/>
        </w:rPr>
        <w:t>C</w:t>
      </w:r>
      <w:r w:rsidRPr="004E74A6">
        <w:rPr>
          <w:rFonts w:eastAsia="Calibri"/>
          <w:szCs w:val="24"/>
          <w:lang w:eastAsia="en-US"/>
        </w:rPr>
        <w:t xml:space="preserve">ivil ingresadas a la Sala Segunda y relacionadas con la cuantía, en la </w:t>
      </w:r>
      <w:r w:rsidR="00080076">
        <w:rPr>
          <w:rFonts w:eastAsia="Calibri"/>
          <w:szCs w:val="24"/>
          <w:lang w:eastAsia="en-US"/>
        </w:rPr>
        <w:t>siguiente</w:t>
      </w:r>
      <w:r w:rsidRPr="004E74A6">
        <w:rPr>
          <w:rFonts w:eastAsia="Calibri"/>
          <w:szCs w:val="24"/>
          <w:lang w:eastAsia="en-US"/>
        </w:rPr>
        <w:t xml:space="preserve"> se clasifican según el tipo de cuantía.</w:t>
      </w:r>
    </w:p>
    <w:p w14:paraId="66906EB4" w14:textId="652CDA62" w:rsidR="003855ED" w:rsidRDefault="003855ED" w:rsidP="00CE62C1">
      <w:pPr>
        <w:spacing w:after="160" w:line="276" w:lineRule="auto"/>
        <w:contextualSpacing/>
        <w:rPr>
          <w:rFonts w:eastAsia="Calibri"/>
          <w:szCs w:val="24"/>
          <w:lang w:eastAsia="en-US"/>
        </w:rPr>
      </w:pPr>
    </w:p>
    <w:p w14:paraId="04C2C662" w14:textId="340C319C" w:rsidR="00152C3F" w:rsidRDefault="00152C3F" w:rsidP="00CE62C1">
      <w:pPr>
        <w:spacing w:after="160" w:line="276" w:lineRule="auto"/>
        <w:contextualSpacing/>
        <w:rPr>
          <w:rFonts w:eastAsia="Calibri"/>
          <w:szCs w:val="24"/>
          <w:lang w:eastAsia="en-US"/>
        </w:rPr>
      </w:pPr>
    </w:p>
    <w:p w14:paraId="52D807A9" w14:textId="61ED1583" w:rsidR="00152C3F" w:rsidRDefault="00152C3F" w:rsidP="00CE62C1">
      <w:pPr>
        <w:spacing w:after="160" w:line="276" w:lineRule="auto"/>
        <w:contextualSpacing/>
        <w:rPr>
          <w:rFonts w:eastAsia="Calibri"/>
          <w:szCs w:val="24"/>
          <w:lang w:eastAsia="en-US"/>
        </w:rPr>
      </w:pPr>
    </w:p>
    <w:p w14:paraId="5F5F1E27" w14:textId="3B505CE3" w:rsidR="00152C3F" w:rsidRDefault="00152C3F" w:rsidP="00CE62C1">
      <w:pPr>
        <w:spacing w:after="160" w:line="276" w:lineRule="auto"/>
        <w:contextualSpacing/>
        <w:rPr>
          <w:rFonts w:eastAsia="Calibri"/>
          <w:szCs w:val="24"/>
          <w:lang w:eastAsia="en-US"/>
        </w:rPr>
      </w:pPr>
    </w:p>
    <w:p w14:paraId="1508388C" w14:textId="3CE7CCFF" w:rsidR="00152C3F" w:rsidRDefault="00152C3F" w:rsidP="00CE62C1">
      <w:pPr>
        <w:spacing w:after="160" w:line="276" w:lineRule="auto"/>
        <w:contextualSpacing/>
        <w:rPr>
          <w:rFonts w:eastAsia="Calibri"/>
          <w:szCs w:val="24"/>
          <w:lang w:eastAsia="en-US"/>
        </w:rPr>
      </w:pPr>
    </w:p>
    <w:p w14:paraId="23B025A9" w14:textId="412AF010" w:rsidR="00152C3F" w:rsidRDefault="00152C3F" w:rsidP="00CE62C1">
      <w:pPr>
        <w:spacing w:after="160" w:line="276" w:lineRule="auto"/>
        <w:contextualSpacing/>
        <w:rPr>
          <w:rFonts w:eastAsia="Calibri"/>
          <w:szCs w:val="24"/>
          <w:lang w:eastAsia="en-US"/>
        </w:rPr>
      </w:pPr>
    </w:p>
    <w:p w14:paraId="27485DBF" w14:textId="202C1ECE" w:rsidR="00152C3F" w:rsidRDefault="00152C3F" w:rsidP="00CE62C1">
      <w:pPr>
        <w:spacing w:after="160" w:line="276" w:lineRule="auto"/>
        <w:contextualSpacing/>
        <w:rPr>
          <w:rFonts w:eastAsia="Calibri"/>
          <w:szCs w:val="24"/>
          <w:lang w:eastAsia="en-US"/>
        </w:rPr>
      </w:pPr>
    </w:p>
    <w:p w14:paraId="57A692C3" w14:textId="74FB717B" w:rsidR="00152C3F" w:rsidRDefault="00152C3F" w:rsidP="00CE62C1">
      <w:pPr>
        <w:spacing w:after="160" w:line="276" w:lineRule="auto"/>
        <w:contextualSpacing/>
        <w:rPr>
          <w:rFonts w:eastAsia="Calibri"/>
          <w:szCs w:val="24"/>
          <w:lang w:eastAsia="en-US"/>
        </w:rPr>
      </w:pPr>
    </w:p>
    <w:p w14:paraId="6D3D6B2D" w14:textId="763DEB8E" w:rsidR="00152C3F" w:rsidRDefault="00152C3F" w:rsidP="00CE62C1">
      <w:pPr>
        <w:spacing w:after="160" w:line="276" w:lineRule="auto"/>
        <w:contextualSpacing/>
        <w:rPr>
          <w:rFonts w:eastAsia="Calibri"/>
          <w:szCs w:val="24"/>
          <w:lang w:eastAsia="en-US"/>
        </w:rPr>
      </w:pPr>
    </w:p>
    <w:p w14:paraId="5C5F5EE6" w14:textId="7BBCE5B9" w:rsidR="003855ED" w:rsidRDefault="003855ED" w:rsidP="00832773">
      <w:pPr>
        <w:pStyle w:val="Descripcin"/>
        <w:keepNext/>
        <w:spacing w:line="276" w:lineRule="auto"/>
        <w:jc w:val="center"/>
        <w:rPr>
          <w:rFonts w:ascii="Book Antiqua" w:hAnsi="Book Antiqua"/>
          <w:i/>
          <w:iCs/>
          <w:sz w:val="20"/>
          <w:szCs w:val="16"/>
          <w:lang w:val="es-CR"/>
        </w:rPr>
      </w:pPr>
      <w:r w:rsidRPr="00832773">
        <w:rPr>
          <w:rFonts w:ascii="Book Antiqua" w:hAnsi="Book Antiqua"/>
          <w:i/>
          <w:iCs/>
          <w:sz w:val="20"/>
          <w:szCs w:val="16"/>
          <w:lang w:val="es-CR"/>
        </w:rPr>
        <w:lastRenderedPageBreak/>
        <w:t xml:space="preserve">Tabla </w:t>
      </w:r>
      <w:r w:rsidRPr="00832773">
        <w:rPr>
          <w:rFonts w:ascii="Book Antiqua" w:hAnsi="Book Antiqua"/>
          <w:i/>
          <w:iCs/>
          <w:sz w:val="20"/>
          <w:szCs w:val="16"/>
          <w:lang w:val="es-CR"/>
        </w:rPr>
        <w:fldChar w:fldCharType="begin"/>
      </w:r>
      <w:r w:rsidRPr="00832773">
        <w:rPr>
          <w:rFonts w:ascii="Book Antiqua" w:hAnsi="Book Antiqua"/>
          <w:i/>
          <w:iCs/>
          <w:sz w:val="20"/>
          <w:szCs w:val="16"/>
          <w:lang w:val="es-CR"/>
        </w:rPr>
        <w:instrText xml:space="preserve"> SEQ Tabla \* ARABIC </w:instrText>
      </w:r>
      <w:r w:rsidRPr="00832773">
        <w:rPr>
          <w:rFonts w:ascii="Book Antiqua" w:hAnsi="Book Antiqua"/>
          <w:i/>
          <w:iCs/>
          <w:sz w:val="20"/>
          <w:szCs w:val="16"/>
          <w:lang w:val="es-CR"/>
        </w:rPr>
        <w:fldChar w:fldCharType="separate"/>
      </w:r>
      <w:r w:rsidR="00374B51">
        <w:rPr>
          <w:rFonts w:ascii="Book Antiqua" w:hAnsi="Book Antiqua"/>
          <w:i/>
          <w:iCs/>
          <w:noProof/>
          <w:sz w:val="20"/>
          <w:szCs w:val="16"/>
          <w:lang w:val="es-CR"/>
        </w:rPr>
        <w:t>75</w:t>
      </w:r>
      <w:r w:rsidRPr="00832773">
        <w:rPr>
          <w:rFonts w:ascii="Book Antiqua" w:hAnsi="Book Antiqua"/>
          <w:i/>
          <w:iCs/>
          <w:sz w:val="20"/>
          <w:szCs w:val="16"/>
          <w:lang w:val="es-CR"/>
        </w:rPr>
        <w:fldChar w:fldCharType="end"/>
      </w:r>
      <w:r w:rsidRPr="00832773">
        <w:rPr>
          <w:rFonts w:ascii="Book Antiqua" w:hAnsi="Book Antiqua"/>
          <w:i/>
          <w:iCs/>
          <w:sz w:val="20"/>
          <w:szCs w:val="16"/>
          <w:lang w:val="es-CR"/>
        </w:rPr>
        <w:t xml:space="preserve"> Cantidad de casaciones entradas de materia civil en Sala Segunda según el tipo de cuantía para los años 2019, 2020 y 2021</w:t>
      </w:r>
    </w:p>
    <w:p w14:paraId="18C5D3DC" w14:textId="77777777" w:rsidR="005D1B48" w:rsidRPr="005D1B48" w:rsidRDefault="005D1B48" w:rsidP="005D1B48"/>
    <w:tbl>
      <w:tblPr>
        <w:tblW w:w="8600" w:type="dxa"/>
        <w:jc w:val="center"/>
        <w:tblCellMar>
          <w:left w:w="70" w:type="dxa"/>
          <w:right w:w="70" w:type="dxa"/>
        </w:tblCellMar>
        <w:tblLook w:val="04A0" w:firstRow="1" w:lastRow="0" w:firstColumn="1" w:lastColumn="0" w:noHBand="0" w:noVBand="1"/>
      </w:tblPr>
      <w:tblGrid>
        <w:gridCol w:w="3740"/>
        <w:gridCol w:w="1240"/>
        <w:gridCol w:w="1240"/>
        <w:gridCol w:w="1240"/>
        <w:gridCol w:w="1140"/>
      </w:tblGrid>
      <w:tr w:rsidR="003855ED" w:rsidRPr="004E74A6" w14:paraId="67CB6B39" w14:textId="77777777" w:rsidTr="00832773">
        <w:trPr>
          <w:trHeight w:val="444"/>
          <w:tblHeader/>
          <w:jc w:val="center"/>
        </w:trPr>
        <w:tc>
          <w:tcPr>
            <w:tcW w:w="3740" w:type="dxa"/>
            <w:tcBorders>
              <w:top w:val="single" w:sz="4" w:space="0" w:color="000000"/>
              <w:left w:val="nil"/>
              <w:bottom w:val="single" w:sz="4" w:space="0" w:color="000000"/>
              <w:right w:val="single" w:sz="4" w:space="0" w:color="000000"/>
            </w:tcBorders>
            <w:shd w:val="clear" w:color="auto" w:fill="auto"/>
            <w:noWrap/>
            <w:vAlign w:val="center"/>
            <w:hideMark/>
          </w:tcPr>
          <w:p w14:paraId="7CF7B92A"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Tipo de cuantía</w:t>
            </w:r>
          </w:p>
        </w:tc>
        <w:tc>
          <w:tcPr>
            <w:tcW w:w="1240" w:type="dxa"/>
            <w:tcBorders>
              <w:top w:val="single" w:sz="4" w:space="0" w:color="000000"/>
              <w:left w:val="nil"/>
              <w:bottom w:val="single" w:sz="4" w:space="0" w:color="000000"/>
              <w:right w:val="single" w:sz="4" w:space="0" w:color="000000"/>
            </w:tcBorders>
            <w:shd w:val="clear" w:color="auto" w:fill="auto"/>
            <w:noWrap/>
            <w:vAlign w:val="center"/>
            <w:hideMark/>
          </w:tcPr>
          <w:p w14:paraId="4687700D"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2019</w:t>
            </w:r>
          </w:p>
        </w:tc>
        <w:tc>
          <w:tcPr>
            <w:tcW w:w="1240" w:type="dxa"/>
            <w:tcBorders>
              <w:top w:val="single" w:sz="4" w:space="0" w:color="000000"/>
              <w:left w:val="nil"/>
              <w:bottom w:val="single" w:sz="4" w:space="0" w:color="000000"/>
              <w:right w:val="single" w:sz="4" w:space="0" w:color="000000"/>
            </w:tcBorders>
            <w:shd w:val="clear" w:color="auto" w:fill="auto"/>
            <w:noWrap/>
            <w:vAlign w:val="center"/>
            <w:hideMark/>
          </w:tcPr>
          <w:p w14:paraId="54E27CDC"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2020</w:t>
            </w:r>
          </w:p>
        </w:tc>
        <w:tc>
          <w:tcPr>
            <w:tcW w:w="1240" w:type="dxa"/>
            <w:tcBorders>
              <w:top w:val="single" w:sz="4" w:space="0" w:color="000000"/>
              <w:left w:val="nil"/>
              <w:bottom w:val="single" w:sz="4" w:space="0" w:color="000000"/>
              <w:right w:val="nil"/>
            </w:tcBorders>
            <w:shd w:val="clear" w:color="auto" w:fill="auto"/>
            <w:noWrap/>
            <w:vAlign w:val="center"/>
            <w:hideMark/>
          </w:tcPr>
          <w:p w14:paraId="0FDCF178"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2021</w:t>
            </w:r>
          </w:p>
        </w:tc>
        <w:tc>
          <w:tcPr>
            <w:tcW w:w="1140" w:type="dxa"/>
            <w:tcBorders>
              <w:top w:val="single" w:sz="4" w:space="0" w:color="000000"/>
              <w:left w:val="single" w:sz="4" w:space="0" w:color="000000"/>
              <w:bottom w:val="single" w:sz="4" w:space="0" w:color="000000"/>
              <w:right w:val="nil"/>
            </w:tcBorders>
            <w:shd w:val="clear" w:color="auto" w:fill="auto"/>
            <w:noWrap/>
            <w:vAlign w:val="center"/>
            <w:hideMark/>
          </w:tcPr>
          <w:p w14:paraId="2A285180"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Promedio</w:t>
            </w:r>
          </w:p>
        </w:tc>
      </w:tr>
      <w:tr w:rsidR="003855ED" w:rsidRPr="004E74A6" w14:paraId="3EBAD553" w14:textId="77777777" w:rsidTr="00832773">
        <w:trPr>
          <w:trHeight w:val="288"/>
          <w:jc w:val="center"/>
        </w:trPr>
        <w:tc>
          <w:tcPr>
            <w:tcW w:w="3740" w:type="dxa"/>
            <w:tcBorders>
              <w:top w:val="nil"/>
              <w:left w:val="nil"/>
              <w:bottom w:val="nil"/>
              <w:right w:val="single" w:sz="4" w:space="0" w:color="000000"/>
            </w:tcBorders>
            <w:shd w:val="clear" w:color="auto" w:fill="auto"/>
            <w:noWrap/>
            <w:vAlign w:val="bottom"/>
            <w:hideMark/>
          </w:tcPr>
          <w:p w14:paraId="01DD4DBE" w14:textId="77777777" w:rsidR="003855ED" w:rsidRPr="004E74A6" w:rsidRDefault="003855ED" w:rsidP="00832773">
            <w:pPr>
              <w:spacing w:line="276" w:lineRule="auto"/>
              <w:jc w:val="left"/>
              <w:rPr>
                <w:rFonts w:cs="Calibri"/>
                <w:color w:val="000000"/>
                <w:sz w:val="22"/>
                <w:szCs w:val="22"/>
                <w:lang w:eastAsia="es-CR"/>
              </w:rPr>
            </w:pPr>
            <w:r w:rsidRPr="004E74A6">
              <w:rPr>
                <w:rFonts w:cs="Calibri"/>
                <w:color w:val="000000"/>
                <w:sz w:val="22"/>
                <w:szCs w:val="22"/>
                <w:lang w:eastAsia="es-CR"/>
              </w:rPr>
              <w:t> </w:t>
            </w:r>
          </w:p>
        </w:tc>
        <w:tc>
          <w:tcPr>
            <w:tcW w:w="1240" w:type="dxa"/>
            <w:tcBorders>
              <w:top w:val="nil"/>
              <w:left w:val="nil"/>
              <w:bottom w:val="nil"/>
              <w:right w:val="single" w:sz="4" w:space="0" w:color="000000"/>
            </w:tcBorders>
            <w:shd w:val="clear" w:color="auto" w:fill="auto"/>
            <w:noWrap/>
            <w:vAlign w:val="center"/>
            <w:hideMark/>
          </w:tcPr>
          <w:p w14:paraId="21FC11F2"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 </w:t>
            </w:r>
          </w:p>
        </w:tc>
        <w:tc>
          <w:tcPr>
            <w:tcW w:w="1240" w:type="dxa"/>
            <w:tcBorders>
              <w:top w:val="nil"/>
              <w:left w:val="nil"/>
              <w:bottom w:val="nil"/>
              <w:right w:val="single" w:sz="4" w:space="0" w:color="000000"/>
            </w:tcBorders>
            <w:shd w:val="clear" w:color="auto" w:fill="auto"/>
            <w:noWrap/>
            <w:vAlign w:val="center"/>
            <w:hideMark/>
          </w:tcPr>
          <w:p w14:paraId="5E4932ED"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 </w:t>
            </w:r>
          </w:p>
        </w:tc>
        <w:tc>
          <w:tcPr>
            <w:tcW w:w="1240" w:type="dxa"/>
            <w:tcBorders>
              <w:top w:val="nil"/>
              <w:left w:val="nil"/>
              <w:bottom w:val="nil"/>
              <w:right w:val="nil"/>
            </w:tcBorders>
            <w:shd w:val="clear" w:color="auto" w:fill="auto"/>
            <w:noWrap/>
            <w:vAlign w:val="center"/>
            <w:hideMark/>
          </w:tcPr>
          <w:p w14:paraId="39339FEA"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 </w:t>
            </w:r>
          </w:p>
        </w:tc>
        <w:tc>
          <w:tcPr>
            <w:tcW w:w="1140" w:type="dxa"/>
            <w:tcBorders>
              <w:top w:val="nil"/>
              <w:left w:val="single" w:sz="4" w:space="0" w:color="000000"/>
              <w:bottom w:val="nil"/>
              <w:right w:val="nil"/>
            </w:tcBorders>
            <w:shd w:val="clear" w:color="auto" w:fill="auto"/>
            <w:noWrap/>
            <w:vAlign w:val="center"/>
            <w:hideMark/>
          </w:tcPr>
          <w:p w14:paraId="0C8AAA7B"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 </w:t>
            </w:r>
          </w:p>
        </w:tc>
      </w:tr>
      <w:tr w:rsidR="003855ED" w:rsidRPr="004E74A6" w14:paraId="28B7E18A" w14:textId="77777777" w:rsidTr="00832773">
        <w:trPr>
          <w:trHeight w:val="288"/>
          <w:jc w:val="center"/>
        </w:trPr>
        <w:tc>
          <w:tcPr>
            <w:tcW w:w="3740" w:type="dxa"/>
            <w:tcBorders>
              <w:top w:val="nil"/>
              <w:left w:val="nil"/>
              <w:bottom w:val="nil"/>
              <w:right w:val="single" w:sz="4" w:space="0" w:color="000000"/>
            </w:tcBorders>
            <w:shd w:val="clear" w:color="auto" w:fill="auto"/>
            <w:noWrap/>
            <w:vAlign w:val="bottom"/>
            <w:hideMark/>
          </w:tcPr>
          <w:p w14:paraId="2096A42D" w14:textId="77777777" w:rsidR="003855ED" w:rsidRPr="004E74A6" w:rsidRDefault="003855ED" w:rsidP="00832773">
            <w:pPr>
              <w:spacing w:line="276" w:lineRule="auto"/>
              <w:jc w:val="center"/>
              <w:rPr>
                <w:rFonts w:cs="Calibri"/>
                <w:b/>
                <w:bCs/>
                <w:color w:val="000000"/>
                <w:sz w:val="22"/>
                <w:szCs w:val="22"/>
                <w:lang w:eastAsia="es-CR"/>
              </w:rPr>
            </w:pPr>
            <w:r w:rsidRPr="004E74A6">
              <w:rPr>
                <w:rFonts w:cs="Calibri"/>
                <w:b/>
                <w:bCs/>
                <w:color w:val="000000"/>
                <w:sz w:val="22"/>
                <w:szCs w:val="22"/>
                <w:lang w:eastAsia="es-CR"/>
              </w:rPr>
              <w:t>Total general</w:t>
            </w:r>
          </w:p>
        </w:tc>
        <w:tc>
          <w:tcPr>
            <w:tcW w:w="1240" w:type="dxa"/>
            <w:tcBorders>
              <w:top w:val="nil"/>
              <w:left w:val="nil"/>
              <w:bottom w:val="nil"/>
              <w:right w:val="single" w:sz="4" w:space="0" w:color="000000"/>
            </w:tcBorders>
            <w:shd w:val="clear" w:color="auto" w:fill="auto"/>
            <w:noWrap/>
            <w:vAlign w:val="center"/>
            <w:hideMark/>
          </w:tcPr>
          <w:p w14:paraId="4E250FB7" w14:textId="77777777" w:rsidR="003855ED" w:rsidRPr="004E74A6" w:rsidRDefault="003855ED" w:rsidP="00832773">
            <w:pPr>
              <w:spacing w:line="276" w:lineRule="auto"/>
              <w:jc w:val="center"/>
              <w:rPr>
                <w:rFonts w:cs="Calibri"/>
                <w:b/>
                <w:bCs/>
                <w:color w:val="000000"/>
                <w:sz w:val="22"/>
                <w:szCs w:val="22"/>
                <w:lang w:eastAsia="es-CR"/>
              </w:rPr>
            </w:pPr>
            <w:r w:rsidRPr="004E74A6">
              <w:rPr>
                <w:rFonts w:cs="Calibri"/>
                <w:b/>
                <w:bCs/>
                <w:color w:val="000000"/>
                <w:sz w:val="22"/>
                <w:szCs w:val="22"/>
                <w:lang w:eastAsia="es-CR"/>
              </w:rPr>
              <w:t>32</w:t>
            </w:r>
          </w:p>
        </w:tc>
        <w:tc>
          <w:tcPr>
            <w:tcW w:w="1240" w:type="dxa"/>
            <w:tcBorders>
              <w:top w:val="nil"/>
              <w:left w:val="nil"/>
              <w:bottom w:val="nil"/>
              <w:right w:val="single" w:sz="4" w:space="0" w:color="000000"/>
            </w:tcBorders>
            <w:shd w:val="clear" w:color="auto" w:fill="auto"/>
            <w:noWrap/>
            <w:vAlign w:val="center"/>
            <w:hideMark/>
          </w:tcPr>
          <w:p w14:paraId="7ED8B040" w14:textId="77777777" w:rsidR="003855ED" w:rsidRPr="004E74A6" w:rsidRDefault="003855ED" w:rsidP="00832773">
            <w:pPr>
              <w:spacing w:line="276" w:lineRule="auto"/>
              <w:jc w:val="center"/>
              <w:rPr>
                <w:rFonts w:cs="Calibri"/>
                <w:b/>
                <w:bCs/>
                <w:color w:val="000000"/>
                <w:sz w:val="22"/>
                <w:szCs w:val="22"/>
                <w:lang w:eastAsia="es-CR"/>
              </w:rPr>
            </w:pPr>
            <w:r w:rsidRPr="004E74A6">
              <w:rPr>
                <w:rFonts w:cs="Calibri"/>
                <w:b/>
                <w:bCs/>
                <w:color w:val="000000"/>
                <w:sz w:val="22"/>
                <w:szCs w:val="22"/>
                <w:lang w:eastAsia="es-CR"/>
              </w:rPr>
              <w:t>20</w:t>
            </w:r>
          </w:p>
        </w:tc>
        <w:tc>
          <w:tcPr>
            <w:tcW w:w="1240" w:type="dxa"/>
            <w:tcBorders>
              <w:top w:val="nil"/>
              <w:left w:val="nil"/>
              <w:bottom w:val="nil"/>
              <w:right w:val="nil"/>
            </w:tcBorders>
            <w:shd w:val="clear" w:color="auto" w:fill="auto"/>
            <w:noWrap/>
            <w:vAlign w:val="center"/>
            <w:hideMark/>
          </w:tcPr>
          <w:p w14:paraId="59EE801C" w14:textId="77777777" w:rsidR="003855ED" w:rsidRPr="004E74A6" w:rsidRDefault="003855ED" w:rsidP="00832773">
            <w:pPr>
              <w:spacing w:line="276" w:lineRule="auto"/>
              <w:jc w:val="center"/>
              <w:rPr>
                <w:rFonts w:cs="Calibri"/>
                <w:b/>
                <w:bCs/>
                <w:color w:val="000000"/>
                <w:sz w:val="22"/>
                <w:szCs w:val="22"/>
                <w:lang w:eastAsia="es-CR"/>
              </w:rPr>
            </w:pPr>
            <w:r w:rsidRPr="004E74A6">
              <w:rPr>
                <w:rFonts w:cs="Calibri"/>
                <w:b/>
                <w:bCs/>
                <w:color w:val="000000"/>
                <w:sz w:val="22"/>
                <w:szCs w:val="22"/>
                <w:lang w:eastAsia="es-CR"/>
              </w:rPr>
              <w:t>47</w:t>
            </w:r>
          </w:p>
        </w:tc>
        <w:tc>
          <w:tcPr>
            <w:tcW w:w="1140" w:type="dxa"/>
            <w:tcBorders>
              <w:top w:val="nil"/>
              <w:left w:val="single" w:sz="4" w:space="0" w:color="000000"/>
              <w:bottom w:val="nil"/>
              <w:right w:val="nil"/>
            </w:tcBorders>
            <w:shd w:val="clear" w:color="auto" w:fill="auto"/>
            <w:noWrap/>
            <w:vAlign w:val="center"/>
            <w:hideMark/>
          </w:tcPr>
          <w:p w14:paraId="2DB58B90" w14:textId="77777777" w:rsidR="003855ED" w:rsidRPr="004E74A6" w:rsidRDefault="003855ED" w:rsidP="00832773">
            <w:pPr>
              <w:spacing w:line="276" w:lineRule="auto"/>
              <w:jc w:val="center"/>
              <w:rPr>
                <w:rFonts w:cs="Calibri"/>
                <w:b/>
                <w:bCs/>
                <w:color w:val="000000"/>
                <w:sz w:val="22"/>
                <w:szCs w:val="22"/>
                <w:lang w:eastAsia="es-CR"/>
              </w:rPr>
            </w:pPr>
            <w:r w:rsidRPr="004E74A6">
              <w:rPr>
                <w:rFonts w:cs="Calibri"/>
                <w:b/>
                <w:bCs/>
                <w:color w:val="000000"/>
                <w:sz w:val="22"/>
                <w:szCs w:val="22"/>
                <w:lang w:eastAsia="es-CR"/>
              </w:rPr>
              <w:t>33</w:t>
            </w:r>
          </w:p>
        </w:tc>
      </w:tr>
      <w:tr w:rsidR="003855ED" w:rsidRPr="004E74A6" w14:paraId="5A2B891D" w14:textId="77777777" w:rsidTr="00832773">
        <w:trPr>
          <w:trHeight w:val="288"/>
          <w:jc w:val="center"/>
        </w:trPr>
        <w:tc>
          <w:tcPr>
            <w:tcW w:w="3740" w:type="dxa"/>
            <w:tcBorders>
              <w:top w:val="nil"/>
              <w:left w:val="nil"/>
              <w:bottom w:val="nil"/>
              <w:right w:val="single" w:sz="4" w:space="0" w:color="000000"/>
            </w:tcBorders>
            <w:shd w:val="clear" w:color="auto" w:fill="auto"/>
            <w:noWrap/>
            <w:vAlign w:val="bottom"/>
            <w:hideMark/>
          </w:tcPr>
          <w:p w14:paraId="315436E3" w14:textId="77777777" w:rsidR="003855ED" w:rsidRPr="004E74A6" w:rsidRDefault="003855ED" w:rsidP="00832773">
            <w:pPr>
              <w:spacing w:line="276" w:lineRule="auto"/>
              <w:jc w:val="left"/>
              <w:rPr>
                <w:rFonts w:cs="Calibri"/>
                <w:color w:val="000000"/>
                <w:sz w:val="22"/>
                <w:szCs w:val="22"/>
                <w:lang w:eastAsia="es-CR"/>
              </w:rPr>
            </w:pPr>
            <w:r w:rsidRPr="004E74A6">
              <w:rPr>
                <w:rFonts w:cs="Calibri"/>
                <w:color w:val="000000"/>
                <w:sz w:val="22"/>
                <w:szCs w:val="22"/>
                <w:lang w:eastAsia="es-CR"/>
              </w:rPr>
              <w:t> </w:t>
            </w:r>
          </w:p>
        </w:tc>
        <w:tc>
          <w:tcPr>
            <w:tcW w:w="1240" w:type="dxa"/>
            <w:tcBorders>
              <w:top w:val="nil"/>
              <w:left w:val="nil"/>
              <w:bottom w:val="nil"/>
              <w:right w:val="single" w:sz="4" w:space="0" w:color="000000"/>
            </w:tcBorders>
            <w:shd w:val="clear" w:color="auto" w:fill="auto"/>
            <w:noWrap/>
            <w:vAlign w:val="center"/>
            <w:hideMark/>
          </w:tcPr>
          <w:p w14:paraId="06CA6E72"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 </w:t>
            </w:r>
          </w:p>
        </w:tc>
        <w:tc>
          <w:tcPr>
            <w:tcW w:w="1240" w:type="dxa"/>
            <w:tcBorders>
              <w:top w:val="nil"/>
              <w:left w:val="nil"/>
              <w:bottom w:val="nil"/>
              <w:right w:val="single" w:sz="4" w:space="0" w:color="000000"/>
            </w:tcBorders>
            <w:shd w:val="clear" w:color="auto" w:fill="auto"/>
            <w:noWrap/>
            <w:vAlign w:val="center"/>
            <w:hideMark/>
          </w:tcPr>
          <w:p w14:paraId="1EFBC5EF"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 </w:t>
            </w:r>
          </w:p>
        </w:tc>
        <w:tc>
          <w:tcPr>
            <w:tcW w:w="1240" w:type="dxa"/>
            <w:tcBorders>
              <w:top w:val="nil"/>
              <w:left w:val="nil"/>
              <w:bottom w:val="nil"/>
              <w:right w:val="nil"/>
            </w:tcBorders>
            <w:shd w:val="clear" w:color="auto" w:fill="auto"/>
            <w:noWrap/>
            <w:vAlign w:val="center"/>
            <w:hideMark/>
          </w:tcPr>
          <w:p w14:paraId="3BE53658"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 </w:t>
            </w:r>
          </w:p>
        </w:tc>
        <w:tc>
          <w:tcPr>
            <w:tcW w:w="1140" w:type="dxa"/>
            <w:tcBorders>
              <w:top w:val="nil"/>
              <w:left w:val="single" w:sz="4" w:space="0" w:color="000000"/>
              <w:bottom w:val="nil"/>
              <w:right w:val="nil"/>
            </w:tcBorders>
            <w:shd w:val="clear" w:color="auto" w:fill="auto"/>
            <w:noWrap/>
            <w:vAlign w:val="center"/>
            <w:hideMark/>
          </w:tcPr>
          <w:p w14:paraId="6362A39C" w14:textId="77777777" w:rsidR="003855ED" w:rsidRPr="004E74A6" w:rsidRDefault="003855ED" w:rsidP="00832773">
            <w:pPr>
              <w:spacing w:line="276" w:lineRule="auto"/>
              <w:jc w:val="center"/>
              <w:rPr>
                <w:rFonts w:cs="Calibri"/>
                <w:b/>
                <w:bCs/>
                <w:color w:val="000000"/>
                <w:sz w:val="22"/>
                <w:szCs w:val="22"/>
                <w:lang w:eastAsia="es-CR"/>
              </w:rPr>
            </w:pPr>
            <w:r w:rsidRPr="004E74A6">
              <w:rPr>
                <w:rFonts w:cs="Calibri"/>
                <w:b/>
                <w:bCs/>
                <w:color w:val="000000"/>
                <w:sz w:val="22"/>
                <w:szCs w:val="22"/>
                <w:lang w:eastAsia="es-CR"/>
              </w:rPr>
              <w:t> </w:t>
            </w:r>
          </w:p>
        </w:tc>
      </w:tr>
      <w:tr w:rsidR="003855ED" w:rsidRPr="004E74A6" w14:paraId="15E2FEB2" w14:textId="77777777" w:rsidTr="00832773">
        <w:trPr>
          <w:trHeight w:val="288"/>
          <w:jc w:val="center"/>
        </w:trPr>
        <w:tc>
          <w:tcPr>
            <w:tcW w:w="3740" w:type="dxa"/>
            <w:tcBorders>
              <w:top w:val="nil"/>
              <w:left w:val="nil"/>
              <w:bottom w:val="nil"/>
              <w:right w:val="single" w:sz="4" w:space="0" w:color="000000"/>
            </w:tcBorders>
            <w:shd w:val="clear" w:color="auto" w:fill="auto"/>
            <w:noWrap/>
            <w:vAlign w:val="bottom"/>
            <w:hideMark/>
          </w:tcPr>
          <w:p w14:paraId="5337F786" w14:textId="77777777" w:rsidR="003855ED" w:rsidRPr="004E74A6" w:rsidRDefault="003855ED" w:rsidP="00832773">
            <w:pPr>
              <w:spacing w:line="276" w:lineRule="auto"/>
              <w:jc w:val="left"/>
              <w:rPr>
                <w:rFonts w:cs="Calibri"/>
                <w:color w:val="000000"/>
                <w:sz w:val="22"/>
                <w:szCs w:val="22"/>
                <w:lang w:eastAsia="es-CR"/>
              </w:rPr>
            </w:pPr>
            <w:r w:rsidRPr="004E74A6">
              <w:rPr>
                <w:rFonts w:cs="Calibri"/>
                <w:color w:val="000000"/>
                <w:sz w:val="22"/>
                <w:szCs w:val="22"/>
                <w:lang w:eastAsia="es-CR"/>
              </w:rPr>
              <w:t>Estimable mayor cuantía</w:t>
            </w:r>
          </w:p>
        </w:tc>
        <w:tc>
          <w:tcPr>
            <w:tcW w:w="1240" w:type="dxa"/>
            <w:tcBorders>
              <w:top w:val="nil"/>
              <w:left w:val="nil"/>
              <w:bottom w:val="nil"/>
              <w:right w:val="single" w:sz="4" w:space="0" w:color="000000"/>
            </w:tcBorders>
            <w:shd w:val="clear" w:color="auto" w:fill="auto"/>
            <w:noWrap/>
            <w:vAlign w:val="center"/>
            <w:hideMark/>
          </w:tcPr>
          <w:p w14:paraId="251FAF4A"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1</w:t>
            </w:r>
          </w:p>
        </w:tc>
        <w:tc>
          <w:tcPr>
            <w:tcW w:w="1240" w:type="dxa"/>
            <w:tcBorders>
              <w:top w:val="nil"/>
              <w:left w:val="nil"/>
              <w:bottom w:val="nil"/>
              <w:right w:val="single" w:sz="4" w:space="0" w:color="000000"/>
            </w:tcBorders>
            <w:shd w:val="clear" w:color="auto" w:fill="auto"/>
            <w:noWrap/>
            <w:vAlign w:val="center"/>
            <w:hideMark/>
          </w:tcPr>
          <w:p w14:paraId="4B947B08"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6</w:t>
            </w:r>
          </w:p>
        </w:tc>
        <w:tc>
          <w:tcPr>
            <w:tcW w:w="1240" w:type="dxa"/>
            <w:tcBorders>
              <w:top w:val="nil"/>
              <w:left w:val="nil"/>
              <w:bottom w:val="nil"/>
              <w:right w:val="nil"/>
            </w:tcBorders>
            <w:shd w:val="clear" w:color="auto" w:fill="auto"/>
            <w:noWrap/>
            <w:vAlign w:val="center"/>
            <w:hideMark/>
          </w:tcPr>
          <w:p w14:paraId="1A40B0E2"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15</w:t>
            </w:r>
          </w:p>
        </w:tc>
        <w:tc>
          <w:tcPr>
            <w:tcW w:w="1140" w:type="dxa"/>
            <w:tcBorders>
              <w:top w:val="nil"/>
              <w:left w:val="single" w:sz="4" w:space="0" w:color="000000"/>
              <w:bottom w:val="nil"/>
              <w:right w:val="nil"/>
            </w:tcBorders>
            <w:shd w:val="clear" w:color="auto" w:fill="auto"/>
            <w:noWrap/>
            <w:vAlign w:val="center"/>
            <w:hideMark/>
          </w:tcPr>
          <w:p w14:paraId="3ECE92D0" w14:textId="77777777" w:rsidR="003855ED" w:rsidRPr="00832773" w:rsidRDefault="003855ED" w:rsidP="00832773">
            <w:pPr>
              <w:spacing w:line="276" w:lineRule="auto"/>
              <w:jc w:val="center"/>
              <w:rPr>
                <w:rFonts w:cs="Calibri"/>
                <w:color w:val="000000"/>
                <w:sz w:val="22"/>
                <w:szCs w:val="22"/>
                <w:lang w:eastAsia="es-CR"/>
              </w:rPr>
            </w:pPr>
            <w:r w:rsidRPr="00832773">
              <w:rPr>
                <w:rFonts w:cs="Calibri"/>
                <w:color w:val="000000"/>
                <w:sz w:val="22"/>
                <w:szCs w:val="22"/>
                <w:lang w:eastAsia="es-CR"/>
              </w:rPr>
              <w:t>7</w:t>
            </w:r>
          </w:p>
        </w:tc>
      </w:tr>
      <w:tr w:rsidR="003855ED" w:rsidRPr="004E74A6" w14:paraId="28F2D6DD" w14:textId="77777777" w:rsidTr="00832773">
        <w:trPr>
          <w:trHeight w:val="288"/>
          <w:jc w:val="center"/>
        </w:trPr>
        <w:tc>
          <w:tcPr>
            <w:tcW w:w="3740" w:type="dxa"/>
            <w:tcBorders>
              <w:top w:val="nil"/>
              <w:left w:val="nil"/>
              <w:bottom w:val="nil"/>
              <w:right w:val="single" w:sz="4" w:space="0" w:color="000000"/>
            </w:tcBorders>
            <w:shd w:val="clear" w:color="auto" w:fill="auto"/>
            <w:noWrap/>
            <w:vAlign w:val="bottom"/>
            <w:hideMark/>
          </w:tcPr>
          <w:p w14:paraId="4051B0EE" w14:textId="77777777" w:rsidR="003855ED" w:rsidRPr="004E74A6" w:rsidRDefault="003855ED" w:rsidP="00832773">
            <w:pPr>
              <w:spacing w:line="276" w:lineRule="auto"/>
              <w:jc w:val="left"/>
              <w:rPr>
                <w:rFonts w:cs="Calibri"/>
                <w:color w:val="000000"/>
                <w:sz w:val="22"/>
                <w:szCs w:val="22"/>
                <w:lang w:eastAsia="es-CR"/>
              </w:rPr>
            </w:pPr>
            <w:r w:rsidRPr="004E74A6">
              <w:rPr>
                <w:rFonts w:cs="Calibri"/>
                <w:color w:val="000000"/>
                <w:sz w:val="22"/>
                <w:szCs w:val="22"/>
                <w:lang w:eastAsia="es-CR"/>
              </w:rPr>
              <w:t>Estimable menor cuantía</w:t>
            </w:r>
          </w:p>
        </w:tc>
        <w:tc>
          <w:tcPr>
            <w:tcW w:w="1240" w:type="dxa"/>
            <w:tcBorders>
              <w:top w:val="nil"/>
              <w:left w:val="nil"/>
              <w:bottom w:val="nil"/>
              <w:right w:val="single" w:sz="4" w:space="0" w:color="000000"/>
            </w:tcBorders>
            <w:shd w:val="clear" w:color="auto" w:fill="auto"/>
            <w:noWrap/>
            <w:vAlign w:val="center"/>
            <w:hideMark/>
          </w:tcPr>
          <w:p w14:paraId="18FD7221"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0</w:t>
            </w:r>
          </w:p>
        </w:tc>
        <w:tc>
          <w:tcPr>
            <w:tcW w:w="1240" w:type="dxa"/>
            <w:tcBorders>
              <w:top w:val="nil"/>
              <w:left w:val="nil"/>
              <w:bottom w:val="nil"/>
              <w:right w:val="single" w:sz="4" w:space="0" w:color="000000"/>
            </w:tcBorders>
            <w:shd w:val="clear" w:color="auto" w:fill="auto"/>
            <w:noWrap/>
            <w:vAlign w:val="center"/>
            <w:hideMark/>
          </w:tcPr>
          <w:p w14:paraId="4E102365"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0</w:t>
            </w:r>
          </w:p>
        </w:tc>
        <w:tc>
          <w:tcPr>
            <w:tcW w:w="1240" w:type="dxa"/>
            <w:tcBorders>
              <w:top w:val="nil"/>
              <w:left w:val="nil"/>
              <w:bottom w:val="nil"/>
              <w:right w:val="nil"/>
            </w:tcBorders>
            <w:shd w:val="clear" w:color="auto" w:fill="auto"/>
            <w:noWrap/>
            <w:vAlign w:val="center"/>
            <w:hideMark/>
          </w:tcPr>
          <w:p w14:paraId="5C2AB780"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3</w:t>
            </w:r>
          </w:p>
        </w:tc>
        <w:tc>
          <w:tcPr>
            <w:tcW w:w="1140" w:type="dxa"/>
            <w:tcBorders>
              <w:top w:val="nil"/>
              <w:left w:val="single" w:sz="4" w:space="0" w:color="000000"/>
              <w:bottom w:val="nil"/>
              <w:right w:val="nil"/>
            </w:tcBorders>
            <w:shd w:val="clear" w:color="auto" w:fill="auto"/>
            <w:noWrap/>
            <w:vAlign w:val="center"/>
            <w:hideMark/>
          </w:tcPr>
          <w:p w14:paraId="6DCE9339" w14:textId="77777777" w:rsidR="003855ED" w:rsidRPr="00832773" w:rsidRDefault="003855ED" w:rsidP="00832773">
            <w:pPr>
              <w:spacing w:line="276" w:lineRule="auto"/>
              <w:jc w:val="center"/>
              <w:rPr>
                <w:rFonts w:cs="Calibri"/>
                <w:color w:val="000000"/>
                <w:sz w:val="22"/>
                <w:szCs w:val="22"/>
                <w:lang w:eastAsia="es-CR"/>
              </w:rPr>
            </w:pPr>
            <w:r w:rsidRPr="00832773">
              <w:rPr>
                <w:rFonts w:cs="Calibri"/>
                <w:color w:val="000000"/>
                <w:sz w:val="22"/>
                <w:szCs w:val="22"/>
                <w:lang w:eastAsia="es-CR"/>
              </w:rPr>
              <w:t>1</w:t>
            </w:r>
          </w:p>
        </w:tc>
      </w:tr>
      <w:tr w:rsidR="003855ED" w:rsidRPr="004E74A6" w14:paraId="6AB0860D" w14:textId="77777777" w:rsidTr="00832773">
        <w:trPr>
          <w:trHeight w:val="288"/>
          <w:jc w:val="center"/>
        </w:trPr>
        <w:tc>
          <w:tcPr>
            <w:tcW w:w="3740" w:type="dxa"/>
            <w:tcBorders>
              <w:top w:val="nil"/>
              <w:left w:val="nil"/>
              <w:bottom w:val="nil"/>
              <w:right w:val="single" w:sz="4" w:space="0" w:color="000000"/>
            </w:tcBorders>
            <w:shd w:val="clear" w:color="auto" w:fill="auto"/>
            <w:noWrap/>
            <w:vAlign w:val="bottom"/>
            <w:hideMark/>
          </w:tcPr>
          <w:p w14:paraId="07299828" w14:textId="77777777" w:rsidR="003855ED" w:rsidRPr="004E74A6" w:rsidRDefault="003855ED" w:rsidP="00832773">
            <w:pPr>
              <w:spacing w:line="276" w:lineRule="auto"/>
              <w:jc w:val="left"/>
              <w:rPr>
                <w:rFonts w:cs="Calibri"/>
                <w:color w:val="000000"/>
                <w:sz w:val="22"/>
                <w:szCs w:val="22"/>
                <w:lang w:eastAsia="es-CR"/>
              </w:rPr>
            </w:pPr>
            <w:r w:rsidRPr="004E74A6">
              <w:rPr>
                <w:rFonts w:cs="Calibri"/>
                <w:color w:val="000000"/>
                <w:sz w:val="22"/>
                <w:szCs w:val="22"/>
                <w:lang w:eastAsia="es-CR"/>
              </w:rPr>
              <w:t>Inestimable</w:t>
            </w:r>
          </w:p>
        </w:tc>
        <w:tc>
          <w:tcPr>
            <w:tcW w:w="1240" w:type="dxa"/>
            <w:tcBorders>
              <w:top w:val="nil"/>
              <w:left w:val="nil"/>
              <w:bottom w:val="nil"/>
              <w:right w:val="single" w:sz="4" w:space="0" w:color="000000"/>
            </w:tcBorders>
            <w:shd w:val="clear" w:color="auto" w:fill="auto"/>
            <w:noWrap/>
            <w:vAlign w:val="center"/>
            <w:hideMark/>
          </w:tcPr>
          <w:p w14:paraId="61BEEF07"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0</w:t>
            </w:r>
          </w:p>
        </w:tc>
        <w:tc>
          <w:tcPr>
            <w:tcW w:w="1240" w:type="dxa"/>
            <w:tcBorders>
              <w:top w:val="nil"/>
              <w:left w:val="nil"/>
              <w:bottom w:val="nil"/>
              <w:right w:val="single" w:sz="4" w:space="0" w:color="000000"/>
            </w:tcBorders>
            <w:shd w:val="clear" w:color="auto" w:fill="auto"/>
            <w:noWrap/>
            <w:vAlign w:val="center"/>
            <w:hideMark/>
          </w:tcPr>
          <w:p w14:paraId="74E4B7BB"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1</w:t>
            </w:r>
          </w:p>
        </w:tc>
        <w:tc>
          <w:tcPr>
            <w:tcW w:w="1240" w:type="dxa"/>
            <w:tcBorders>
              <w:top w:val="nil"/>
              <w:left w:val="nil"/>
              <w:bottom w:val="nil"/>
              <w:right w:val="nil"/>
            </w:tcBorders>
            <w:shd w:val="clear" w:color="auto" w:fill="auto"/>
            <w:noWrap/>
            <w:vAlign w:val="center"/>
            <w:hideMark/>
          </w:tcPr>
          <w:p w14:paraId="0569791F"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7</w:t>
            </w:r>
          </w:p>
        </w:tc>
        <w:tc>
          <w:tcPr>
            <w:tcW w:w="1140" w:type="dxa"/>
            <w:tcBorders>
              <w:top w:val="nil"/>
              <w:left w:val="single" w:sz="4" w:space="0" w:color="000000"/>
              <w:bottom w:val="nil"/>
              <w:right w:val="nil"/>
            </w:tcBorders>
            <w:shd w:val="clear" w:color="auto" w:fill="auto"/>
            <w:noWrap/>
            <w:vAlign w:val="center"/>
            <w:hideMark/>
          </w:tcPr>
          <w:p w14:paraId="3A585B3A" w14:textId="77777777" w:rsidR="003855ED" w:rsidRPr="00832773" w:rsidRDefault="003855ED" w:rsidP="00832773">
            <w:pPr>
              <w:spacing w:line="276" w:lineRule="auto"/>
              <w:jc w:val="center"/>
              <w:rPr>
                <w:rFonts w:cs="Calibri"/>
                <w:color w:val="000000"/>
                <w:sz w:val="22"/>
                <w:szCs w:val="22"/>
                <w:lang w:eastAsia="es-CR"/>
              </w:rPr>
            </w:pPr>
            <w:r w:rsidRPr="00832773">
              <w:rPr>
                <w:rFonts w:cs="Calibri"/>
                <w:color w:val="000000"/>
                <w:sz w:val="22"/>
                <w:szCs w:val="22"/>
                <w:lang w:eastAsia="es-CR"/>
              </w:rPr>
              <w:t>3</w:t>
            </w:r>
          </w:p>
        </w:tc>
      </w:tr>
      <w:tr w:rsidR="003855ED" w:rsidRPr="004E74A6" w14:paraId="4DB17725" w14:textId="77777777" w:rsidTr="00832773">
        <w:trPr>
          <w:trHeight w:val="288"/>
          <w:jc w:val="center"/>
        </w:trPr>
        <w:tc>
          <w:tcPr>
            <w:tcW w:w="3740" w:type="dxa"/>
            <w:tcBorders>
              <w:top w:val="nil"/>
              <w:left w:val="nil"/>
              <w:right w:val="single" w:sz="4" w:space="0" w:color="000000"/>
            </w:tcBorders>
            <w:shd w:val="clear" w:color="auto" w:fill="auto"/>
            <w:noWrap/>
            <w:vAlign w:val="bottom"/>
            <w:hideMark/>
          </w:tcPr>
          <w:p w14:paraId="11139397" w14:textId="77777777" w:rsidR="003855ED" w:rsidRPr="004E74A6" w:rsidRDefault="003855ED" w:rsidP="00832773">
            <w:pPr>
              <w:spacing w:line="276" w:lineRule="auto"/>
              <w:jc w:val="left"/>
              <w:rPr>
                <w:rFonts w:cs="Calibri"/>
                <w:color w:val="000000"/>
                <w:sz w:val="22"/>
                <w:szCs w:val="22"/>
                <w:lang w:eastAsia="es-CR"/>
              </w:rPr>
            </w:pPr>
            <w:r w:rsidRPr="004E74A6">
              <w:rPr>
                <w:rFonts w:cs="Calibri"/>
                <w:color w:val="000000"/>
                <w:sz w:val="22"/>
                <w:szCs w:val="22"/>
                <w:lang w:eastAsia="es-CR"/>
              </w:rPr>
              <w:t>No aplica</w:t>
            </w:r>
          </w:p>
        </w:tc>
        <w:tc>
          <w:tcPr>
            <w:tcW w:w="1240" w:type="dxa"/>
            <w:tcBorders>
              <w:top w:val="nil"/>
              <w:left w:val="nil"/>
              <w:right w:val="single" w:sz="4" w:space="0" w:color="000000"/>
            </w:tcBorders>
            <w:shd w:val="clear" w:color="auto" w:fill="auto"/>
            <w:noWrap/>
            <w:vAlign w:val="center"/>
            <w:hideMark/>
          </w:tcPr>
          <w:p w14:paraId="3711CCCA"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17</w:t>
            </w:r>
          </w:p>
        </w:tc>
        <w:tc>
          <w:tcPr>
            <w:tcW w:w="1240" w:type="dxa"/>
            <w:tcBorders>
              <w:top w:val="nil"/>
              <w:left w:val="nil"/>
              <w:right w:val="single" w:sz="4" w:space="0" w:color="000000"/>
            </w:tcBorders>
            <w:shd w:val="clear" w:color="auto" w:fill="auto"/>
            <w:noWrap/>
            <w:vAlign w:val="center"/>
            <w:hideMark/>
          </w:tcPr>
          <w:p w14:paraId="40EA3F6B"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13</w:t>
            </w:r>
          </w:p>
        </w:tc>
        <w:tc>
          <w:tcPr>
            <w:tcW w:w="1240" w:type="dxa"/>
            <w:tcBorders>
              <w:top w:val="nil"/>
              <w:left w:val="nil"/>
              <w:right w:val="nil"/>
            </w:tcBorders>
            <w:shd w:val="clear" w:color="auto" w:fill="auto"/>
            <w:noWrap/>
            <w:vAlign w:val="center"/>
            <w:hideMark/>
          </w:tcPr>
          <w:p w14:paraId="758FC422"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21</w:t>
            </w:r>
          </w:p>
        </w:tc>
        <w:tc>
          <w:tcPr>
            <w:tcW w:w="1140" w:type="dxa"/>
            <w:tcBorders>
              <w:top w:val="nil"/>
              <w:left w:val="single" w:sz="4" w:space="0" w:color="000000"/>
              <w:right w:val="nil"/>
            </w:tcBorders>
            <w:shd w:val="clear" w:color="auto" w:fill="auto"/>
            <w:noWrap/>
            <w:vAlign w:val="center"/>
            <w:hideMark/>
          </w:tcPr>
          <w:p w14:paraId="27644B82" w14:textId="77777777" w:rsidR="003855ED" w:rsidRPr="00832773" w:rsidRDefault="003855ED" w:rsidP="00832773">
            <w:pPr>
              <w:spacing w:line="276" w:lineRule="auto"/>
              <w:jc w:val="center"/>
              <w:rPr>
                <w:rFonts w:cs="Calibri"/>
                <w:color w:val="000000"/>
                <w:sz w:val="22"/>
                <w:szCs w:val="22"/>
                <w:lang w:eastAsia="es-CR"/>
              </w:rPr>
            </w:pPr>
            <w:r w:rsidRPr="00832773">
              <w:rPr>
                <w:rFonts w:cs="Calibri"/>
                <w:color w:val="000000"/>
                <w:sz w:val="22"/>
                <w:szCs w:val="22"/>
                <w:lang w:eastAsia="es-CR"/>
              </w:rPr>
              <w:t>17</w:t>
            </w:r>
          </w:p>
        </w:tc>
      </w:tr>
      <w:tr w:rsidR="003855ED" w:rsidRPr="004E74A6" w14:paraId="4A9345F0" w14:textId="77777777" w:rsidTr="00832773">
        <w:trPr>
          <w:trHeight w:val="288"/>
          <w:jc w:val="center"/>
        </w:trPr>
        <w:tc>
          <w:tcPr>
            <w:tcW w:w="3740" w:type="dxa"/>
            <w:tcBorders>
              <w:top w:val="nil"/>
              <w:left w:val="nil"/>
              <w:bottom w:val="single" w:sz="4" w:space="0" w:color="auto"/>
              <w:right w:val="single" w:sz="4" w:space="0" w:color="000000"/>
            </w:tcBorders>
            <w:shd w:val="clear" w:color="auto" w:fill="auto"/>
            <w:noWrap/>
            <w:vAlign w:val="bottom"/>
            <w:hideMark/>
          </w:tcPr>
          <w:p w14:paraId="2C3493C5" w14:textId="77777777" w:rsidR="003855ED" w:rsidRPr="004E74A6" w:rsidRDefault="003855ED" w:rsidP="00832773">
            <w:pPr>
              <w:spacing w:line="276" w:lineRule="auto"/>
              <w:jc w:val="left"/>
              <w:rPr>
                <w:rFonts w:cs="Calibri"/>
                <w:color w:val="000000"/>
                <w:sz w:val="22"/>
                <w:szCs w:val="22"/>
                <w:lang w:eastAsia="es-CR"/>
              </w:rPr>
            </w:pPr>
            <w:r w:rsidRPr="004E74A6">
              <w:rPr>
                <w:rFonts w:cs="Calibri"/>
                <w:color w:val="000000"/>
                <w:sz w:val="22"/>
                <w:szCs w:val="22"/>
                <w:lang w:eastAsia="es-CR"/>
              </w:rPr>
              <w:t>Sin actualizar</w:t>
            </w:r>
          </w:p>
        </w:tc>
        <w:tc>
          <w:tcPr>
            <w:tcW w:w="1240" w:type="dxa"/>
            <w:tcBorders>
              <w:top w:val="nil"/>
              <w:left w:val="nil"/>
              <w:bottom w:val="single" w:sz="4" w:space="0" w:color="auto"/>
              <w:right w:val="single" w:sz="4" w:space="0" w:color="000000"/>
            </w:tcBorders>
            <w:shd w:val="clear" w:color="auto" w:fill="auto"/>
            <w:noWrap/>
            <w:vAlign w:val="center"/>
            <w:hideMark/>
          </w:tcPr>
          <w:p w14:paraId="7815B16C"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14</w:t>
            </w:r>
          </w:p>
        </w:tc>
        <w:tc>
          <w:tcPr>
            <w:tcW w:w="1240" w:type="dxa"/>
            <w:tcBorders>
              <w:top w:val="nil"/>
              <w:left w:val="nil"/>
              <w:bottom w:val="single" w:sz="4" w:space="0" w:color="auto"/>
              <w:right w:val="single" w:sz="4" w:space="0" w:color="000000"/>
            </w:tcBorders>
            <w:shd w:val="clear" w:color="auto" w:fill="auto"/>
            <w:noWrap/>
            <w:vAlign w:val="center"/>
            <w:hideMark/>
          </w:tcPr>
          <w:p w14:paraId="734479A9"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0</w:t>
            </w:r>
          </w:p>
        </w:tc>
        <w:tc>
          <w:tcPr>
            <w:tcW w:w="1240" w:type="dxa"/>
            <w:tcBorders>
              <w:top w:val="nil"/>
              <w:left w:val="nil"/>
              <w:bottom w:val="single" w:sz="4" w:space="0" w:color="auto"/>
              <w:right w:val="nil"/>
            </w:tcBorders>
            <w:shd w:val="clear" w:color="auto" w:fill="auto"/>
            <w:noWrap/>
            <w:vAlign w:val="center"/>
            <w:hideMark/>
          </w:tcPr>
          <w:p w14:paraId="24FC4B4C"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1</w:t>
            </w:r>
          </w:p>
        </w:tc>
        <w:tc>
          <w:tcPr>
            <w:tcW w:w="1140" w:type="dxa"/>
            <w:tcBorders>
              <w:top w:val="nil"/>
              <w:left w:val="single" w:sz="4" w:space="0" w:color="000000"/>
              <w:bottom w:val="single" w:sz="4" w:space="0" w:color="auto"/>
              <w:right w:val="nil"/>
            </w:tcBorders>
            <w:shd w:val="clear" w:color="auto" w:fill="auto"/>
            <w:noWrap/>
            <w:vAlign w:val="center"/>
            <w:hideMark/>
          </w:tcPr>
          <w:p w14:paraId="7DE162AB" w14:textId="77777777" w:rsidR="003855ED" w:rsidRPr="00832773" w:rsidRDefault="003855ED" w:rsidP="00832773">
            <w:pPr>
              <w:spacing w:line="276" w:lineRule="auto"/>
              <w:jc w:val="center"/>
              <w:rPr>
                <w:rFonts w:cs="Calibri"/>
                <w:color w:val="000000"/>
                <w:sz w:val="22"/>
                <w:szCs w:val="22"/>
                <w:lang w:eastAsia="es-CR"/>
              </w:rPr>
            </w:pPr>
            <w:r w:rsidRPr="00832773">
              <w:rPr>
                <w:rFonts w:cs="Calibri"/>
                <w:color w:val="000000"/>
                <w:sz w:val="22"/>
                <w:szCs w:val="22"/>
                <w:lang w:eastAsia="es-CR"/>
              </w:rPr>
              <w:t>5</w:t>
            </w:r>
          </w:p>
        </w:tc>
      </w:tr>
    </w:tbl>
    <w:p w14:paraId="679C2A8D" w14:textId="77777777" w:rsidR="003855ED" w:rsidRPr="004E74A6" w:rsidRDefault="003855ED" w:rsidP="00832773">
      <w:pPr>
        <w:spacing w:line="276" w:lineRule="auto"/>
        <w:ind w:left="142" w:right="1191"/>
        <w:rPr>
          <w:rFonts w:cs="Calibri"/>
          <w:i/>
          <w:iCs/>
          <w:color w:val="000000"/>
          <w:sz w:val="20"/>
          <w:lang w:eastAsia="es-CR"/>
        </w:rPr>
      </w:pPr>
      <w:r w:rsidRPr="004E74A6">
        <w:rPr>
          <w:rFonts w:cs="Calibri"/>
          <w:b/>
          <w:bCs/>
          <w:i/>
          <w:iCs/>
          <w:color w:val="000000"/>
          <w:sz w:val="20"/>
          <w:lang w:eastAsia="es-CR"/>
        </w:rPr>
        <w:t>Fuente</w:t>
      </w:r>
      <w:r w:rsidRPr="004E74A6">
        <w:rPr>
          <w:rFonts w:cs="Calibri"/>
          <w:i/>
          <w:iCs/>
          <w:color w:val="000000"/>
          <w:sz w:val="20"/>
          <w:lang w:eastAsia="es-CR"/>
        </w:rPr>
        <w:t>: Subproceso de Modernización Institucional con datos extraídos del sistema SIGMA, Dirección de Planificación. Reporte cuantías 18-11-2022.</w:t>
      </w:r>
    </w:p>
    <w:p w14:paraId="1FDFC70D" w14:textId="77777777" w:rsidR="003855ED" w:rsidRPr="004E74A6" w:rsidRDefault="003855ED" w:rsidP="00CE62C1">
      <w:pPr>
        <w:spacing w:after="160" w:line="276" w:lineRule="auto"/>
        <w:contextualSpacing/>
        <w:rPr>
          <w:rFonts w:eastAsia="Calibri"/>
          <w:szCs w:val="24"/>
          <w:lang w:eastAsia="en-US"/>
        </w:rPr>
      </w:pPr>
    </w:p>
    <w:p w14:paraId="18A76DA8" w14:textId="50672B8F" w:rsidR="003855ED" w:rsidRPr="004E74A6" w:rsidRDefault="007476FF" w:rsidP="00CE62C1">
      <w:pPr>
        <w:spacing w:after="160" w:line="276" w:lineRule="auto"/>
        <w:contextualSpacing/>
        <w:rPr>
          <w:rFonts w:eastAsia="Calibri"/>
          <w:szCs w:val="24"/>
          <w:lang w:eastAsia="en-US"/>
        </w:rPr>
      </w:pPr>
      <w:r w:rsidRPr="004E74A6">
        <w:rPr>
          <w:rFonts w:eastAsia="Calibri"/>
          <w:szCs w:val="24"/>
          <w:lang w:eastAsia="en-US"/>
        </w:rPr>
        <w:t>Trazando un mayor detalle de esas casaciones en relación a la cuantía, la</w:t>
      </w:r>
      <w:r w:rsidR="00080076">
        <w:rPr>
          <w:rFonts w:eastAsia="Calibri"/>
          <w:szCs w:val="24"/>
          <w:lang w:eastAsia="en-US"/>
        </w:rPr>
        <w:t xml:space="preserve"> siguiente</w:t>
      </w:r>
      <w:r w:rsidRPr="004E74A6">
        <w:rPr>
          <w:rFonts w:eastAsia="Calibri"/>
          <w:szCs w:val="24"/>
          <w:lang w:eastAsia="en-US"/>
        </w:rPr>
        <w:t xml:space="preserve"> tabla muestra la distribución según el rango de cuantía y a su vez, una columna con un acumulado para ver la cantidad que representan dichas casaciones según el rango de cuantía seleccionado.</w:t>
      </w:r>
      <w:r w:rsidR="00703C3E" w:rsidRPr="004E74A6">
        <w:rPr>
          <w:rFonts w:eastAsia="Calibri"/>
          <w:szCs w:val="24"/>
          <w:lang w:eastAsia="en-US"/>
        </w:rPr>
        <w:t xml:space="preserve"> Se </w:t>
      </w:r>
      <w:r w:rsidRPr="004E74A6">
        <w:rPr>
          <w:rFonts w:eastAsia="Calibri"/>
          <w:szCs w:val="24"/>
          <w:lang w:eastAsia="en-US"/>
        </w:rPr>
        <w:t>destaca con color ver la fila correspondiente a la propuesta del escenario que establece una cuantía en 20 millones de colones.</w:t>
      </w:r>
    </w:p>
    <w:p w14:paraId="0E26DA6B" w14:textId="5972D2F8" w:rsidR="00D61684" w:rsidRPr="004E74A6" w:rsidRDefault="00D61684" w:rsidP="00CE62C1">
      <w:pPr>
        <w:spacing w:after="160" w:line="276" w:lineRule="auto"/>
        <w:contextualSpacing/>
        <w:rPr>
          <w:rFonts w:eastAsia="Calibri"/>
          <w:szCs w:val="24"/>
          <w:lang w:eastAsia="en-US"/>
        </w:rPr>
      </w:pPr>
    </w:p>
    <w:p w14:paraId="595E4C94" w14:textId="3A1844E8" w:rsidR="003855ED" w:rsidRPr="00832773" w:rsidRDefault="003855ED" w:rsidP="00832773">
      <w:pPr>
        <w:pStyle w:val="Descripcin"/>
        <w:keepNext/>
        <w:spacing w:line="276" w:lineRule="auto"/>
        <w:jc w:val="center"/>
        <w:rPr>
          <w:i/>
          <w:iCs/>
          <w:sz w:val="20"/>
          <w:szCs w:val="16"/>
        </w:rPr>
      </w:pPr>
      <w:r w:rsidRPr="00832773">
        <w:rPr>
          <w:rFonts w:ascii="Book Antiqua" w:hAnsi="Book Antiqua"/>
          <w:i/>
          <w:iCs/>
          <w:sz w:val="20"/>
          <w:szCs w:val="16"/>
          <w:lang w:val="es-CR"/>
        </w:rPr>
        <w:t xml:space="preserve">Tabla </w:t>
      </w:r>
      <w:r w:rsidRPr="00832773">
        <w:rPr>
          <w:rFonts w:ascii="Book Antiqua" w:hAnsi="Book Antiqua"/>
          <w:i/>
          <w:iCs/>
          <w:sz w:val="20"/>
          <w:szCs w:val="16"/>
          <w:lang w:val="es-CR"/>
        </w:rPr>
        <w:fldChar w:fldCharType="begin"/>
      </w:r>
      <w:r w:rsidRPr="00832773">
        <w:rPr>
          <w:rFonts w:ascii="Book Antiqua" w:hAnsi="Book Antiqua"/>
          <w:i/>
          <w:iCs/>
          <w:sz w:val="20"/>
          <w:szCs w:val="16"/>
          <w:lang w:val="es-CR"/>
        </w:rPr>
        <w:instrText xml:space="preserve"> SEQ Tabla \* ARABIC </w:instrText>
      </w:r>
      <w:r w:rsidRPr="00832773">
        <w:rPr>
          <w:rFonts w:ascii="Book Antiqua" w:hAnsi="Book Antiqua"/>
          <w:i/>
          <w:iCs/>
          <w:sz w:val="20"/>
          <w:szCs w:val="16"/>
          <w:lang w:val="es-CR"/>
        </w:rPr>
        <w:fldChar w:fldCharType="separate"/>
      </w:r>
      <w:r w:rsidR="00374B51">
        <w:rPr>
          <w:rFonts w:ascii="Book Antiqua" w:hAnsi="Book Antiqua"/>
          <w:i/>
          <w:iCs/>
          <w:noProof/>
          <w:sz w:val="20"/>
          <w:szCs w:val="16"/>
          <w:lang w:val="es-CR"/>
        </w:rPr>
        <w:t>76</w:t>
      </w:r>
      <w:r w:rsidRPr="00832773">
        <w:rPr>
          <w:rFonts w:ascii="Book Antiqua" w:hAnsi="Book Antiqua"/>
          <w:i/>
          <w:iCs/>
          <w:sz w:val="20"/>
          <w:szCs w:val="16"/>
          <w:lang w:val="es-CR"/>
        </w:rPr>
        <w:fldChar w:fldCharType="end"/>
      </w:r>
      <w:r w:rsidRPr="00832773">
        <w:rPr>
          <w:rFonts w:ascii="Book Antiqua" w:hAnsi="Book Antiqua"/>
          <w:i/>
          <w:iCs/>
          <w:sz w:val="20"/>
          <w:szCs w:val="16"/>
          <w:lang w:val="es-CR"/>
        </w:rPr>
        <w:t xml:space="preserve"> Cantidad de casaciones en materia civil </w:t>
      </w:r>
      <w:r w:rsidR="00D61684" w:rsidRPr="00832773">
        <w:rPr>
          <w:rFonts w:ascii="Book Antiqua" w:hAnsi="Book Antiqua"/>
          <w:i/>
          <w:iCs/>
          <w:sz w:val="20"/>
          <w:szCs w:val="16"/>
          <w:lang w:val="es-CR"/>
        </w:rPr>
        <w:t>ingresadas en</w:t>
      </w:r>
      <w:r w:rsidRPr="00832773">
        <w:rPr>
          <w:rFonts w:ascii="Book Antiqua" w:hAnsi="Book Antiqua"/>
          <w:i/>
          <w:iCs/>
          <w:sz w:val="20"/>
          <w:szCs w:val="16"/>
          <w:lang w:val="es-CR"/>
        </w:rPr>
        <w:t xml:space="preserve"> Sala Segunda según el rango de cuantía para los años 2019, 2020 y 2021</w:t>
      </w:r>
    </w:p>
    <w:tbl>
      <w:tblPr>
        <w:tblW w:w="9897" w:type="dxa"/>
        <w:jc w:val="center"/>
        <w:tblCellMar>
          <w:left w:w="70" w:type="dxa"/>
          <w:right w:w="70" w:type="dxa"/>
        </w:tblCellMar>
        <w:tblLook w:val="04A0" w:firstRow="1" w:lastRow="0" w:firstColumn="1" w:lastColumn="0" w:noHBand="0" w:noVBand="1"/>
      </w:tblPr>
      <w:tblGrid>
        <w:gridCol w:w="3740"/>
        <w:gridCol w:w="1240"/>
        <w:gridCol w:w="1240"/>
        <w:gridCol w:w="1240"/>
        <w:gridCol w:w="1140"/>
        <w:gridCol w:w="1297"/>
      </w:tblGrid>
      <w:tr w:rsidR="003855ED" w:rsidRPr="004E74A6" w14:paraId="776ED25D" w14:textId="77777777" w:rsidTr="00832773">
        <w:trPr>
          <w:trHeight w:val="420"/>
          <w:tblHeader/>
          <w:jc w:val="center"/>
        </w:trPr>
        <w:tc>
          <w:tcPr>
            <w:tcW w:w="3740" w:type="dxa"/>
            <w:tcBorders>
              <w:top w:val="single" w:sz="4" w:space="0" w:color="auto"/>
              <w:left w:val="nil"/>
              <w:bottom w:val="single" w:sz="4" w:space="0" w:color="auto"/>
              <w:right w:val="single" w:sz="4" w:space="0" w:color="auto"/>
            </w:tcBorders>
            <w:shd w:val="clear" w:color="auto" w:fill="auto"/>
            <w:noWrap/>
            <w:vAlign w:val="center"/>
            <w:hideMark/>
          </w:tcPr>
          <w:p w14:paraId="4539F657"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Rango de cuantía</w:t>
            </w:r>
          </w:p>
        </w:tc>
        <w:tc>
          <w:tcPr>
            <w:tcW w:w="1240" w:type="dxa"/>
            <w:tcBorders>
              <w:top w:val="single" w:sz="4" w:space="0" w:color="auto"/>
              <w:left w:val="nil"/>
              <w:bottom w:val="single" w:sz="4" w:space="0" w:color="auto"/>
              <w:right w:val="single" w:sz="4" w:space="0" w:color="auto"/>
            </w:tcBorders>
            <w:shd w:val="clear" w:color="auto" w:fill="auto"/>
            <w:noWrap/>
            <w:vAlign w:val="center"/>
            <w:hideMark/>
          </w:tcPr>
          <w:p w14:paraId="5BAC3993"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2019</w:t>
            </w:r>
          </w:p>
        </w:tc>
        <w:tc>
          <w:tcPr>
            <w:tcW w:w="1240" w:type="dxa"/>
            <w:tcBorders>
              <w:top w:val="single" w:sz="4" w:space="0" w:color="auto"/>
              <w:left w:val="nil"/>
              <w:bottom w:val="single" w:sz="4" w:space="0" w:color="auto"/>
              <w:right w:val="single" w:sz="4" w:space="0" w:color="auto"/>
            </w:tcBorders>
            <w:shd w:val="clear" w:color="auto" w:fill="auto"/>
            <w:noWrap/>
            <w:vAlign w:val="center"/>
            <w:hideMark/>
          </w:tcPr>
          <w:p w14:paraId="7929B1A9"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2020</w:t>
            </w:r>
          </w:p>
        </w:tc>
        <w:tc>
          <w:tcPr>
            <w:tcW w:w="1240" w:type="dxa"/>
            <w:tcBorders>
              <w:top w:val="single" w:sz="4" w:space="0" w:color="auto"/>
              <w:left w:val="nil"/>
              <w:bottom w:val="single" w:sz="4" w:space="0" w:color="auto"/>
              <w:right w:val="nil"/>
            </w:tcBorders>
            <w:shd w:val="clear" w:color="auto" w:fill="auto"/>
            <w:noWrap/>
            <w:vAlign w:val="center"/>
            <w:hideMark/>
          </w:tcPr>
          <w:p w14:paraId="4F91AADD"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2021</w:t>
            </w:r>
          </w:p>
        </w:tc>
        <w:tc>
          <w:tcPr>
            <w:tcW w:w="1140" w:type="dxa"/>
            <w:tcBorders>
              <w:top w:val="single" w:sz="4" w:space="0" w:color="000000"/>
              <w:left w:val="single" w:sz="4" w:space="0" w:color="000000"/>
              <w:bottom w:val="single" w:sz="4" w:space="0" w:color="000000"/>
              <w:right w:val="nil"/>
            </w:tcBorders>
            <w:shd w:val="clear" w:color="auto" w:fill="auto"/>
            <w:noWrap/>
            <w:vAlign w:val="center"/>
            <w:hideMark/>
          </w:tcPr>
          <w:p w14:paraId="2254AD8A"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Promedio</w:t>
            </w:r>
          </w:p>
        </w:tc>
        <w:tc>
          <w:tcPr>
            <w:tcW w:w="1297" w:type="dxa"/>
            <w:tcBorders>
              <w:top w:val="single" w:sz="4" w:space="0" w:color="000000"/>
              <w:left w:val="single" w:sz="4" w:space="0" w:color="000000"/>
              <w:bottom w:val="single" w:sz="4" w:space="0" w:color="000000"/>
              <w:right w:val="nil"/>
            </w:tcBorders>
            <w:shd w:val="clear" w:color="auto" w:fill="auto"/>
            <w:noWrap/>
            <w:vAlign w:val="center"/>
            <w:hideMark/>
          </w:tcPr>
          <w:p w14:paraId="25924507"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Acumulado</w:t>
            </w:r>
          </w:p>
        </w:tc>
      </w:tr>
      <w:tr w:rsidR="003855ED" w:rsidRPr="004E74A6" w14:paraId="524FB195" w14:textId="77777777" w:rsidTr="00832773">
        <w:trPr>
          <w:trHeight w:val="288"/>
          <w:jc w:val="center"/>
        </w:trPr>
        <w:tc>
          <w:tcPr>
            <w:tcW w:w="3740" w:type="dxa"/>
            <w:tcBorders>
              <w:top w:val="nil"/>
              <w:left w:val="nil"/>
              <w:bottom w:val="nil"/>
              <w:right w:val="single" w:sz="4" w:space="0" w:color="auto"/>
            </w:tcBorders>
            <w:shd w:val="clear" w:color="auto" w:fill="auto"/>
            <w:noWrap/>
            <w:vAlign w:val="bottom"/>
            <w:hideMark/>
          </w:tcPr>
          <w:p w14:paraId="71893C28" w14:textId="77777777" w:rsidR="003855ED" w:rsidRPr="004E74A6" w:rsidRDefault="003855ED" w:rsidP="00832773">
            <w:pPr>
              <w:spacing w:line="276" w:lineRule="auto"/>
              <w:jc w:val="left"/>
              <w:rPr>
                <w:rFonts w:cs="Calibri"/>
                <w:color w:val="000000"/>
                <w:sz w:val="22"/>
                <w:szCs w:val="22"/>
                <w:lang w:eastAsia="es-CR"/>
              </w:rPr>
            </w:pPr>
            <w:r w:rsidRPr="004E74A6">
              <w:rPr>
                <w:rFonts w:cs="Calibri"/>
                <w:color w:val="000000"/>
                <w:sz w:val="22"/>
                <w:szCs w:val="22"/>
                <w:lang w:eastAsia="es-CR"/>
              </w:rPr>
              <w:t> </w:t>
            </w:r>
          </w:p>
        </w:tc>
        <w:tc>
          <w:tcPr>
            <w:tcW w:w="1240" w:type="dxa"/>
            <w:tcBorders>
              <w:top w:val="nil"/>
              <w:left w:val="nil"/>
              <w:bottom w:val="nil"/>
              <w:right w:val="single" w:sz="4" w:space="0" w:color="auto"/>
            </w:tcBorders>
            <w:shd w:val="clear" w:color="auto" w:fill="auto"/>
            <w:noWrap/>
            <w:vAlign w:val="center"/>
            <w:hideMark/>
          </w:tcPr>
          <w:p w14:paraId="38D5CCD5"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 </w:t>
            </w:r>
          </w:p>
        </w:tc>
        <w:tc>
          <w:tcPr>
            <w:tcW w:w="1240" w:type="dxa"/>
            <w:tcBorders>
              <w:top w:val="nil"/>
              <w:left w:val="nil"/>
              <w:bottom w:val="nil"/>
              <w:right w:val="single" w:sz="4" w:space="0" w:color="auto"/>
            </w:tcBorders>
            <w:shd w:val="clear" w:color="auto" w:fill="auto"/>
            <w:noWrap/>
            <w:vAlign w:val="center"/>
            <w:hideMark/>
          </w:tcPr>
          <w:p w14:paraId="7D1FDC6B"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 </w:t>
            </w:r>
          </w:p>
        </w:tc>
        <w:tc>
          <w:tcPr>
            <w:tcW w:w="1240" w:type="dxa"/>
            <w:tcBorders>
              <w:top w:val="nil"/>
              <w:left w:val="nil"/>
              <w:bottom w:val="nil"/>
              <w:right w:val="nil"/>
            </w:tcBorders>
            <w:shd w:val="clear" w:color="auto" w:fill="auto"/>
            <w:noWrap/>
            <w:vAlign w:val="center"/>
            <w:hideMark/>
          </w:tcPr>
          <w:p w14:paraId="4A57FB4B"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 </w:t>
            </w:r>
          </w:p>
        </w:tc>
        <w:tc>
          <w:tcPr>
            <w:tcW w:w="1140" w:type="dxa"/>
            <w:tcBorders>
              <w:top w:val="single" w:sz="4" w:space="0" w:color="auto"/>
              <w:left w:val="single" w:sz="4" w:space="0" w:color="auto"/>
              <w:bottom w:val="nil"/>
              <w:right w:val="nil"/>
            </w:tcBorders>
            <w:shd w:val="clear" w:color="auto" w:fill="auto"/>
            <w:noWrap/>
            <w:vAlign w:val="center"/>
            <w:hideMark/>
          </w:tcPr>
          <w:p w14:paraId="2C5040FE"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 </w:t>
            </w:r>
          </w:p>
        </w:tc>
        <w:tc>
          <w:tcPr>
            <w:tcW w:w="1297" w:type="dxa"/>
            <w:tcBorders>
              <w:top w:val="single" w:sz="4" w:space="0" w:color="auto"/>
              <w:left w:val="single" w:sz="4" w:space="0" w:color="auto"/>
              <w:bottom w:val="nil"/>
              <w:right w:val="nil"/>
            </w:tcBorders>
            <w:shd w:val="clear" w:color="auto" w:fill="auto"/>
            <w:noWrap/>
            <w:vAlign w:val="center"/>
            <w:hideMark/>
          </w:tcPr>
          <w:p w14:paraId="1DDA1476"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 </w:t>
            </w:r>
          </w:p>
        </w:tc>
      </w:tr>
      <w:tr w:rsidR="003855ED" w:rsidRPr="004E74A6" w14:paraId="6DFD4D16" w14:textId="77777777" w:rsidTr="00832773">
        <w:trPr>
          <w:trHeight w:val="288"/>
          <w:jc w:val="center"/>
        </w:trPr>
        <w:tc>
          <w:tcPr>
            <w:tcW w:w="3740" w:type="dxa"/>
            <w:tcBorders>
              <w:top w:val="nil"/>
              <w:left w:val="nil"/>
              <w:bottom w:val="nil"/>
              <w:right w:val="single" w:sz="4" w:space="0" w:color="auto"/>
            </w:tcBorders>
            <w:shd w:val="clear" w:color="auto" w:fill="auto"/>
            <w:noWrap/>
            <w:vAlign w:val="bottom"/>
            <w:hideMark/>
          </w:tcPr>
          <w:p w14:paraId="565C7C3E" w14:textId="77777777" w:rsidR="003855ED" w:rsidRPr="004E74A6" w:rsidRDefault="003855ED" w:rsidP="00832773">
            <w:pPr>
              <w:spacing w:line="276" w:lineRule="auto"/>
              <w:jc w:val="center"/>
              <w:rPr>
                <w:rFonts w:cs="Calibri"/>
                <w:b/>
                <w:bCs/>
                <w:color w:val="000000"/>
                <w:sz w:val="22"/>
                <w:szCs w:val="22"/>
                <w:lang w:eastAsia="es-CR"/>
              </w:rPr>
            </w:pPr>
            <w:r w:rsidRPr="004E74A6">
              <w:rPr>
                <w:rFonts w:cs="Calibri"/>
                <w:b/>
                <w:bCs/>
                <w:color w:val="000000"/>
                <w:sz w:val="22"/>
                <w:szCs w:val="22"/>
                <w:lang w:eastAsia="es-CR"/>
              </w:rPr>
              <w:t>Total general</w:t>
            </w:r>
          </w:p>
        </w:tc>
        <w:tc>
          <w:tcPr>
            <w:tcW w:w="1240" w:type="dxa"/>
            <w:tcBorders>
              <w:top w:val="nil"/>
              <w:left w:val="nil"/>
              <w:bottom w:val="nil"/>
              <w:right w:val="single" w:sz="4" w:space="0" w:color="auto"/>
            </w:tcBorders>
            <w:shd w:val="clear" w:color="auto" w:fill="auto"/>
            <w:noWrap/>
            <w:vAlign w:val="center"/>
            <w:hideMark/>
          </w:tcPr>
          <w:p w14:paraId="35172B91" w14:textId="77777777" w:rsidR="003855ED" w:rsidRPr="004E74A6" w:rsidRDefault="003855ED" w:rsidP="00832773">
            <w:pPr>
              <w:spacing w:line="276" w:lineRule="auto"/>
              <w:jc w:val="center"/>
              <w:rPr>
                <w:rFonts w:cs="Calibri"/>
                <w:b/>
                <w:bCs/>
                <w:color w:val="000000"/>
                <w:sz w:val="22"/>
                <w:szCs w:val="22"/>
                <w:lang w:eastAsia="es-CR"/>
              </w:rPr>
            </w:pPr>
            <w:r w:rsidRPr="004E74A6">
              <w:rPr>
                <w:rFonts w:cs="Calibri"/>
                <w:b/>
                <w:bCs/>
                <w:color w:val="000000"/>
                <w:sz w:val="22"/>
                <w:szCs w:val="22"/>
                <w:lang w:eastAsia="es-CR"/>
              </w:rPr>
              <w:t>32</w:t>
            </w:r>
          </w:p>
        </w:tc>
        <w:tc>
          <w:tcPr>
            <w:tcW w:w="1240" w:type="dxa"/>
            <w:tcBorders>
              <w:top w:val="nil"/>
              <w:left w:val="nil"/>
              <w:bottom w:val="nil"/>
              <w:right w:val="single" w:sz="4" w:space="0" w:color="auto"/>
            </w:tcBorders>
            <w:shd w:val="clear" w:color="auto" w:fill="auto"/>
            <w:noWrap/>
            <w:vAlign w:val="center"/>
            <w:hideMark/>
          </w:tcPr>
          <w:p w14:paraId="54EF39BC" w14:textId="77777777" w:rsidR="003855ED" w:rsidRPr="004E74A6" w:rsidRDefault="003855ED" w:rsidP="00832773">
            <w:pPr>
              <w:spacing w:line="276" w:lineRule="auto"/>
              <w:jc w:val="center"/>
              <w:rPr>
                <w:rFonts w:cs="Calibri"/>
                <w:b/>
                <w:bCs/>
                <w:color w:val="000000"/>
                <w:sz w:val="22"/>
                <w:szCs w:val="22"/>
                <w:lang w:eastAsia="es-CR"/>
              </w:rPr>
            </w:pPr>
            <w:r w:rsidRPr="004E74A6">
              <w:rPr>
                <w:rFonts w:cs="Calibri"/>
                <w:b/>
                <w:bCs/>
                <w:color w:val="000000"/>
                <w:sz w:val="22"/>
                <w:szCs w:val="22"/>
                <w:lang w:eastAsia="es-CR"/>
              </w:rPr>
              <w:t>20</w:t>
            </w:r>
          </w:p>
        </w:tc>
        <w:tc>
          <w:tcPr>
            <w:tcW w:w="1240" w:type="dxa"/>
            <w:tcBorders>
              <w:top w:val="nil"/>
              <w:left w:val="nil"/>
              <w:bottom w:val="nil"/>
              <w:right w:val="nil"/>
            </w:tcBorders>
            <w:shd w:val="clear" w:color="auto" w:fill="auto"/>
            <w:noWrap/>
            <w:vAlign w:val="center"/>
            <w:hideMark/>
          </w:tcPr>
          <w:p w14:paraId="7886B5E3" w14:textId="77777777" w:rsidR="003855ED" w:rsidRPr="004E74A6" w:rsidRDefault="003855ED" w:rsidP="00832773">
            <w:pPr>
              <w:spacing w:line="276" w:lineRule="auto"/>
              <w:jc w:val="center"/>
              <w:rPr>
                <w:rFonts w:cs="Calibri"/>
                <w:b/>
                <w:bCs/>
                <w:color w:val="000000"/>
                <w:sz w:val="22"/>
                <w:szCs w:val="22"/>
                <w:lang w:eastAsia="es-CR"/>
              </w:rPr>
            </w:pPr>
            <w:r w:rsidRPr="004E74A6">
              <w:rPr>
                <w:rFonts w:cs="Calibri"/>
                <w:b/>
                <w:bCs/>
                <w:color w:val="000000"/>
                <w:sz w:val="22"/>
                <w:szCs w:val="22"/>
                <w:lang w:eastAsia="es-CR"/>
              </w:rPr>
              <w:t>47</w:t>
            </w:r>
          </w:p>
        </w:tc>
        <w:tc>
          <w:tcPr>
            <w:tcW w:w="1140" w:type="dxa"/>
            <w:tcBorders>
              <w:top w:val="nil"/>
              <w:left w:val="single" w:sz="4" w:space="0" w:color="auto"/>
              <w:bottom w:val="nil"/>
              <w:right w:val="nil"/>
            </w:tcBorders>
            <w:shd w:val="clear" w:color="auto" w:fill="auto"/>
            <w:noWrap/>
            <w:vAlign w:val="center"/>
            <w:hideMark/>
          </w:tcPr>
          <w:p w14:paraId="62FCC870" w14:textId="77777777" w:rsidR="003855ED" w:rsidRPr="004E74A6" w:rsidRDefault="003855ED" w:rsidP="00832773">
            <w:pPr>
              <w:spacing w:line="276" w:lineRule="auto"/>
              <w:jc w:val="center"/>
              <w:rPr>
                <w:rFonts w:cs="Calibri"/>
                <w:b/>
                <w:bCs/>
                <w:color w:val="000000"/>
                <w:sz w:val="22"/>
                <w:szCs w:val="22"/>
                <w:lang w:eastAsia="es-CR"/>
              </w:rPr>
            </w:pPr>
            <w:r w:rsidRPr="004E74A6">
              <w:rPr>
                <w:rFonts w:cs="Calibri"/>
                <w:b/>
                <w:bCs/>
                <w:color w:val="000000"/>
                <w:sz w:val="22"/>
                <w:szCs w:val="22"/>
                <w:lang w:eastAsia="es-CR"/>
              </w:rPr>
              <w:t>33</w:t>
            </w:r>
          </w:p>
        </w:tc>
        <w:tc>
          <w:tcPr>
            <w:tcW w:w="1297" w:type="dxa"/>
            <w:tcBorders>
              <w:top w:val="nil"/>
              <w:left w:val="single" w:sz="4" w:space="0" w:color="auto"/>
              <w:bottom w:val="nil"/>
              <w:right w:val="nil"/>
            </w:tcBorders>
            <w:shd w:val="clear" w:color="auto" w:fill="auto"/>
            <w:noWrap/>
            <w:vAlign w:val="center"/>
            <w:hideMark/>
          </w:tcPr>
          <w:p w14:paraId="16A25E03" w14:textId="77777777" w:rsidR="003855ED" w:rsidRPr="004E74A6" w:rsidRDefault="003855ED" w:rsidP="00832773">
            <w:pPr>
              <w:spacing w:line="276" w:lineRule="auto"/>
              <w:jc w:val="center"/>
              <w:rPr>
                <w:rFonts w:cs="Calibri"/>
                <w:b/>
                <w:bCs/>
                <w:color w:val="000000"/>
                <w:sz w:val="22"/>
                <w:szCs w:val="22"/>
                <w:lang w:eastAsia="es-CR"/>
              </w:rPr>
            </w:pPr>
            <w:r w:rsidRPr="004E74A6">
              <w:rPr>
                <w:rFonts w:cs="Calibri"/>
                <w:b/>
                <w:bCs/>
                <w:color w:val="000000"/>
                <w:sz w:val="22"/>
                <w:szCs w:val="22"/>
                <w:lang w:eastAsia="es-CR"/>
              </w:rPr>
              <w:t>100%</w:t>
            </w:r>
          </w:p>
        </w:tc>
      </w:tr>
      <w:tr w:rsidR="003855ED" w:rsidRPr="004E74A6" w14:paraId="61AC31AB" w14:textId="77777777" w:rsidTr="00832773">
        <w:trPr>
          <w:trHeight w:val="288"/>
          <w:jc w:val="center"/>
        </w:trPr>
        <w:tc>
          <w:tcPr>
            <w:tcW w:w="3740" w:type="dxa"/>
            <w:tcBorders>
              <w:top w:val="nil"/>
              <w:left w:val="nil"/>
              <w:bottom w:val="nil"/>
              <w:right w:val="single" w:sz="4" w:space="0" w:color="auto"/>
            </w:tcBorders>
            <w:shd w:val="clear" w:color="auto" w:fill="auto"/>
            <w:noWrap/>
            <w:vAlign w:val="bottom"/>
            <w:hideMark/>
          </w:tcPr>
          <w:p w14:paraId="29834772" w14:textId="77777777" w:rsidR="003855ED" w:rsidRPr="004E74A6" w:rsidRDefault="003855ED" w:rsidP="00832773">
            <w:pPr>
              <w:spacing w:line="276" w:lineRule="auto"/>
              <w:jc w:val="left"/>
              <w:rPr>
                <w:rFonts w:cs="Calibri"/>
                <w:color w:val="000000"/>
                <w:sz w:val="22"/>
                <w:szCs w:val="22"/>
                <w:lang w:eastAsia="es-CR"/>
              </w:rPr>
            </w:pPr>
            <w:r w:rsidRPr="004E74A6">
              <w:rPr>
                <w:rFonts w:cs="Calibri"/>
                <w:color w:val="000000"/>
                <w:sz w:val="22"/>
                <w:szCs w:val="22"/>
                <w:lang w:eastAsia="es-CR"/>
              </w:rPr>
              <w:t> </w:t>
            </w:r>
          </w:p>
        </w:tc>
        <w:tc>
          <w:tcPr>
            <w:tcW w:w="1240" w:type="dxa"/>
            <w:tcBorders>
              <w:top w:val="nil"/>
              <w:left w:val="nil"/>
              <w:bottom w:val="nil"/>
              <w:right w:val="single" w:sz="4" w:space="0" w:color="auto"/>
            </w:tcBorders>
            <w:shd w:val="clear" w:color="auto" w:fill="auto"/>
            <w:noWrap/>
            <w:vAlign w:val="center"/>
            <w:hideMark/>
          </w:tcPr>
          <w:p w14:paraId="2C589D08"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 </w:t>
            </w:r>
          </w:p>
        </w:tc>
        <w:tc>
          <w:tcPr>
            <w:tcW w:w="1240" w:type="dxa"/>
            <w:tcBorders>
              <w:top w:val="nil"/>
              <w:left w:val="nil"/>
              <w:bottom w:val="nil"/>
              <w:right w:val="single" w:sz="4" w:space="0" w:color="auto"/>
            </w:tcBorders>
            <w:shd w:val="clear" w:color="auto" w:fill="auto"/>
            <w:noWrap/>
            <w:vAlign w:val="center"/>
            <w:hideMark/>
          </w:tcPr>
          <w:p w14:paraId="5E8D13B8"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 </w:t>
            </w:r>
          </w:p>
        </w:tc>
        <w:tc>
          <w:tcPr>
            <w:tcW w:w="1240" w:type="dxa"/>
            <w:tcBorders>
              <w:top w:val="nil"/>
              <w:left w:val="nil"/>
              <w:bottom w:val="nil"/>
              <w:right w:val="nil"/>
            </w:tcBorders>
            <w:shd w:val="clear" w:color="auto" w:fill="auto"/>
            <w:noWrap/>
            <w:vAlign w:val="center"/>
            <w:hideMark/>
          </w:tcPr>
          <w:p w14:paraId="653A758C"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 </w:t>
            </w:r>
          </w:p>
        </w:tc>
        <w:tc>
          <w:tcPr>
            <w:tcW w:w="1140" w:type="dxa"/>
            <w:tcBorders>
              <w:top w:val="nil"/>
              <w:left w:val="single" w:sz="4" w:space="0" w:color="auto"/>
              <w:bottom w:val="nil"/>
              <w:right w:val="nil"/>
            </w:tcBorders>
            <w:shd w:val="clear" w:color="auto" w:fill="auto"/>
            <w:noWrap/>
            <w:vAlign w:val="center"/>
            <w:hideMark/>
          </w:tcPr>
          <w:p w14:paraId="0EBC77CB" w14:textId="77777777" w:rsidR="003855ED" w:rsidRPr="004E74A6" w:rsidRDefault="003855ED" w:rsidP="00832773">
            <w:pPr>
              <w:spacing w:line="276" w:lineRule="auto"/>
              <w:jc w:val="center"/>
              <w:rPr>
                <w:rFonts w:cs="Calibri"/>
                <w:b/>
                <w:bCs/>
                <w:color w:val="000000"/>
                <w:sz w:val="22"/>
                <w:szCs w:val="22"/>
                <w:lang w:eastAsia="es-CR"/>
              </w:rPr>
            </w:pPr>
            <w:r w:rsidRPr="004E74A6">
              <w:rPr>
                <w:rFonts w:cs="Calibri"/>
                <w:b/>
                <w:bCs/>
                <w:color w:val="000000"/>
                <w:sz w:val="22"/>
                <w:szCs w:val="22"/>
                <w:lang w:eastAsia="es-CR"/>
              </w:rPr>
              <w:t> </w:t>
            </w:r>
          </w:p>
        </w:tc>
        <w:tc>
          <w:tcPr>
            <w:tcW w:w="1297" w:type="dxa"/>
            <w:tcBorders>
              <w:top w:val="nil"/>
              <w:left w:val="single" w:sz="4" w:space="0" w:color="auto"/>
              <w:bottom w:val="nil"/>
              <w:right w:val="nil"/>
            </w:tcBorders>
            <w:shd w:val="clear" w:color="auto" w:fill="auto"/>
            <w:noWrap/>
            <w:vAlign w:val="center"/>
            <w:hideMark/>
          </w:tcPr>
          <w:p w14:paraId="6F4C6ADA" w14:textId="77777777" w:rsidR="003855ED" w:rsidRPr="004E74A6" w:rsidRDefault="003855ED" w:rsidP="00832773">
            <w:pPr>
              <w:spacing w:line="276" w:lineRule="auto"/>
              <w:jc w:val="center"/>
              <w:rPr>
                <w:rFonts w:cs="Calibri"/>
                <w:b/>
                <w:bCs/>
                <w:color w:val="000000"/>
                <w:sz w:val="22"/>
                <w:szCs w:val="22"/>
                <w:lang w:eastAsia="es-CR"/>
              </w:rPr>
            </w:pPr>
            <w:r w:rsidRPr="004E74A6">
              <w:rPr>
                <w:rFonts w:cs="Calibri"/>
                <w:b/>
                <w:bCs/>
                <w:color w:val="000000"/>
                <w:sz w:val="22"/>
                <w:szCs w:val="22"/>
                <w:lang w:eastAsia="es-CR"/>
              </w:rPr>
              <w:t> </w:t>
            </w:r>
          </w:p>
        </w:tc>
      </w:tr>
      <w:tr w:rsidR="003855ED" w:rsidRPr="004E74A6" w14:paraId="3E8FE164" w14:textId="77777777" w:rsidTr="00832773">
        <w:trPr>
          <w:trHeight w:val="288"/>
          <w:jc w:val="center"/>
        </w:trPr>
        <w:tc>
          <w:tcPr>
            <w:tcW w:w="3740" w:type="dxa"/>
            <w:tcBorders>
              <w:top w:val="nil"/>
              <w:left w:val="nil"/>
              <w:bottom w:val="nil"/>
              <w:right w:val="single" w:sz="4" w:space="0" w:color="auto"/>
            </w:tcBorders>
            <w:shd w:val="clear" w:color="auto" w:fill="C5E0B3" w:themeFill="accent6" w:themeFillTint="66"/>
            <w:noWrap/>
            <w:vAlign w:val="bottom"/>
            <w:hideMark/>
          </w:tcPr>
          <w:p w14:paraId="25FA4C5B" w14:textId="77777777" w:rsidR="003855ED" w:rsidRPr="004E74A6" w:rsidRDefault="003855ED" w:rsidP="00832773">
            <w:pPr>
              <w:spacing w:line="276" w:lineRule="auto"/>
              <w:jc w:val="left"/>
              <w:rPr>
                <w:rFonts w:cs="Calibri"/>
                <w:color w:val="000000"/>
                <w:sz w:val="22"/>
                <w:szCs w:val="22"/>
                <w:lang w:eastAsia="es-CR"/>
              </w:rPr>
            </w:pPr>
            <w:r w:rsidRPr="004E74A6">
              <w:rPr>
                <w:rFonts w:cs="Calibri"/>
                <w:color w:val="000000"/>
                <w:sz w:val="22"/>
                <w:szCs w:val="22"/>
                <w:lang w:eastAsia="es-CR"/>
              </w:rPr>
              <w:t>De ¢3.000.001 a ¢4.000.000</w:t>
            </w:r>
          </w:p>
        </w:tc>
        <w:tc>
          <w:tcPr>
            <w:tcW w:w="1240" w:type="dxa"/>
            <w:tcBorders>
              <w:top w:val="nil"/>
              <w:left w:val="nil"/>
              <w:bottom w:val="nil"/>
              <w:right w:val="single" w:sz="4" w:space="0" w:color="auto"/>
            </w:tcBorders>
            <w:shd w:val="clear" w:color="auto" w:fill="C5E0B3" w:themeFill="accent6" w:themeFillTint="66"/>
            <w:noWrap/>
            <w:vAlign w:val="center"/>
            <w:hideMark/>
          </w:tcPr>
          <w:p w14:paraId="0E5013BB"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0</w:t>
            </w:r>
          </w:p>
        </w:tc>
        <w:tc>
          <w:tcPr>
            <w:tcW w:w="1240" w:type="dxa"/>
            <w:tcBorders>
              <w:top w:val="nil"/>
              <w:left w:val="nil"/>
              <w:bottom w:val="nil"/>
              <w:right w:val="single" w:sz="4" w:space="0" w:color="auto"/>
            </w:tcBorders>
            <w:shd w:val="clear" w:color="auto" w:fill="C5E0B3" w:themeFill="accent6" w:themeFillTint="66"/>
            <w:noWrap/>
            <w:vAlign w:val="center"/>
            <w:hideMark/>
          </w:tcPr>
          <w:p w14:paraId="3111AA27"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0</w:t>
            </w:r>
          </w:p>
        </w:tc>
        <w:tc>
          <w:tcPr>
            <w:tcW w:w="1240" w:type="dxa"/>
            <w:tcBorders>
              <w:top w:val="nil"/>
              <w:left w:val="nil"/>
              <w:bottom w:val="nil"/>
              <w:right w:val="nil"/>
            </w:tcBorders>
            <w:shd w:val="clear" w:color="auto" w:fill="C5E0B3" w:themeFill="accent6" w:themeFillTint="66"/>
            <w:noWrap/>
            <w:vAlign w:val="center"/>
            <w:hideMark/>
          </w:tcPr>
          <w:p w14:paraId="0DB95D02"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1</w:t>
            </w:r>
          </w:p>
        </w:tc>
        <w:tc>
          <w:tcPr>
            <w:tcW w:w="1140" w:type="dxa"/>
            <w:tcBorders>
              <w:top w:val="nil"/>
              <w:left w:val="single" w:sz="4" w:space="0" w:color="auto"/>
              <w:bottom w:val="nil"/>
              <w:right w:val="nil"/>
            </w:tcBorders>
            <w:shd w:val="clear" w:color="auto" w:fill="C5E0B3" w:themeFill="accent6" w:themeFillTint="66"/>
            <w:noWrap/>
            <w:vAlign w:val="center"/>
            <w:hideMark/>
          </w:tcPr>
          <w:p w14:paraId="1B31CA1B"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0,3</w:t>
            </w:r>
          </w:p>
        </w:tc>
        <w:tc>
          <w:tcPr>
            <w:tcW w:w="1297" w:type="dxa"/>
            <w:tcBorders>
              <w:top w:val="nil"/>
              <w:left w:val="single" w:sz="4" w:space="0" w:color="auto"/>
              <w:bottom w:val="nil"/>
              <w:right w:val="nil"/>
            </w:tcBorders>
            <w:shd w:val="clear" w:color="auto" w:fill="C5E0B3" w:themeFill="accent6" w:themeFillTint="66"/>
            <w:noWrap/>
            <w:vAlign w:val="center"/>
            <w:hideMark/>
          </w:tcPr>
          <w:p w14:paraId="60232002"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1%</w:t>
            </w:r>
          </w:p>
        </w:tc>
      </w:tr>
      <w:tr w:rsidR="003855ED" w:rsidRPr="004E74A6" w14:paraId="41B472AA" w14:textId="77777777" w:rsidTr="00832773">
        <w:trPr>
          <w:trHeight w:val="288"/>
          <w:jc w:val="center"/>
        </w:trPr>
        <w:tc>
          <w:tcPr>
            <w:tcW w:w="3740" w:type="dxa"/>
            <w:tcBorders>
              <w:top w:val="nil"/>
              <w:left w:val="nil"/>
              <w:bottom w:val="nil"/>
              <w:right w:val="single" w:sz="4" w:space="0" w:color="auto"/>
            </w:tcBorders>
            <w:shd w:val="clear" w:color="auto" w:fill="C5E0B3" w:themeFill="accent6" w:themeFillTint="66"/>
            <w:noWrap/>
            <w:vAlign w:val="bottom"/>
            <w:hideMark/>
          </w:tcPr>
          <w:p w14:paraId="30C68C0D" w14:textId="77777777" w:rsidR="003855ED" w:rsidRPr="004E74A6" w:rsidRDefault="003855ED" w:rsidP="00832773">
            <w:pPr>
              <w:spacing w:line="276" w:lineRule="auto"/>
              <w:jc w:val="left"/>
              <w:rPr>
                <w:rFonts w:cs="Calibri"/>
                <w:color w:val="000000"/>
                <w:sz w:val="22"/>
                <w:szCs w:val="22"/>
                <w:lang w:eastAsia="es-CR"/>
              </w:rPr>
            </w:pPr>
            <w:r w:rsidRPr="004E74A6">
              <w:rPr>
                <w:rFonts w:cs="Calibri"/>
                <w:color w:val="000000"/>
                <w:sz w:val="22"/>
                <w:szCs w:val="22"/>
                <w:lang w:eastAsia="es-CR"/>
              </w:rPr>
              <w:t>De ¢5.000.001 a ¢6.000.000</w:t>
            </w:r>
          </w:p>
        </w:tc>
        <w:tc>
          <w:tcPr>
            <w:tcW w:w="1240" w:type="dxa"/>
            <w:tcBorders>
              <w:top w:val="nil"/>
              <w:left w:val="nil"/>
              <w:bottom w:val="nil"/>
              <w:right w:val="single" w:sz="4" w:space="0" w:color="auto"/>
            </w:tcBorders>
            <w:shd w:val="clear" w:color="auto" w:fill="C5E0B3" w:themeFill="accent6" w:themeFillTint="66"/>
            <w:noWrap/>
            <w:vAlign w:val="center"/>
            <w:hideMark/>
          </w:tcPr>
          <w:p w14:paraId="4BF79694"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0</w:t>
            </w:r>
          </w:p>
        </w:tc>
        <w:tc>
          <w:tcPr>
            <w:tcW w:w="1240" w:type="dxa"/>
            <w:tcBorders>
              <w:top w:val="nil"/>
              <w:left w:val="nil"/>
              <w:bottom w:val="nil"/>
              <w:right w:val="single" w:sz="4" w:space="0" w:color="auto"/>
            </w:tcBorders>
            <w:shd w:val="clear" w:color="auto" w:fill="C5E0B3" w:themeFill="accent6" w:themeFillTint="66"/>
            <w:noWrap/>
            <w:vAlign w:val="center"/>
            <w:hideMark/>
          </w:tcPr>
          <w:p w14:paraId="74588D05"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1</w:t>
            </w:r>
          </w:p>
        </w:tc>
        <w:tc>
          <w:tcPr>
            <w:tcW w:w="1240" w:type="dxa"/>
            <w:tcBorders>
              <w:top w:val="nil"/>
              <w:left w:val="nil"/>
              <w:bottom w:val="nil"/>
              <w:right w:val="nil"/>
            </w:tcBorders>
            <w:shd w:val="clear" w:color="auto" w:fill="C5E0B3" w:themeFill="accent6" w:themeFillTint="66"/>
            <w:noWrap/>
            <w:vAlign w:val="center"/>
            <w:hideMark/>
          </w:tcPr>
          <w:p w14:paraId="0426F02E"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0</w:t>
            </w:r>
          </w:p>
        </w:tc>
        <w:tc>
          <w:tcPr>
            <w:tcW w:w="1140" w:type="dxa"/>
            <w:tcBorders>
              <w:top w:val="nil"/>
              <w:left w:val="single" w:sz="4" w:space="0" w:color="auto"/>
              <w:bottom w:val="nil"/>
              <w:right w:val="nil"/>
            </w:tcBorders>
            <w:shd w:val="clear" w:color="auto" w:fill="C5E0B3" w:themeFill="accent6" w:themeFillTint="66"/>
            <w:noWrap/>
            <w:vAlign w:val="center"/>
            <w:hideMark/>
          </w:tcPr>
          <w:p w14:paraId="64D8D5D2"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0,3</w:t>
            </w:r>
          </w:p>
        </w:tc>
        <w:tc>
          <w:tcPr>
            <w:tcW w:w="1297" w:type="dxa"/>
            <w:tcBorders>
              <w:top w:val="nil"/>
              <w:left w:val="single" w:sz="4" w:space="0" w:color="auto"/>
              <w:bottom w:val="nil"/>
              <w:right w:val="nil"/>
            </w:tcBorders>
            <w:shd w:val="clear" w:color="auto" w:fill="C5E0B3" w:themeFill="accent6" w:themeFillTint="66"/>
            <w:noWrap/>
            <w:vAlign w:val="center"/>
            <w:hideMark/>
          </w:tcPr>
          <w:p w14:paraId="6D8FD392"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2%</w:t>
            </w:r>
          </w:p>
        </w:tc>
      </w:tr>
      <w:tr w:rsidR="003855ED" w:rsidRPr="004E74A6" w14:paraId="48B36EF8" w14:textId="77777777" w:rsidTr="00832773">
        <w:trPr>
          <w:trHeight w:val="288"/>
          <w:jc w:val="center"/>
        </w:trPr>
        <w:tc>
          <w:tcPr>
            <w:tcW w:w="3740" w:type="dxa"/>
            <w:tcBorders>
              <w:top w:val="nil"/>
              <w:left w:val="nil"/>
              <w:bottom w:val="nil"/>
              <w:right w:val="single" w:sz="4" w:space="0" w:color="auto"/>
            </w:tcBorders>
            <w:shd w:val="clear" w:color="auto" w:fill="C5E0B3" w:themeFill="accent6" w:themeFillTint="66"/>
            <w:noWrap/>
            <w:vAlign w:val="bottom"/>
            <w:hideMark/>
          </w:tcPr>
          <w:p w14:paraId="429FA984" w14:textId="77777777" w:rsidR="003855ED" w:rsidRPr="004E74A6" w:rsidRDefault="003855ED" w:rsidP="00832773">
            <w:pPr>
              <w:spacing w:line="276" w:lineRule="auto"/>
              <w:jc w:val="left"/>
              <w:rPr>
                <w:rFonts w:cs="Calibri"/>
                <w:color w:val="000000"/>
                <w:sz w:val="22"/>
                <w:szCs w:val="22"/>
                <w:lang w:eastAsia="es-CR"/>
              </w:rPr>
            </w:pPr>
            <w:r w:rsidRPr="004E74A6">
              <w:rPr>
                <w:rFonts w:cs="Calibri"/>
                <w:color w:val="000000"/>
                <w:sz w:val="22"/>
                <w:szCs w:val="22"/>
                <w:lang w:eastAsia="es-CR"/>
              </w:rPr>
              <w:t>De ¢7.000.001 a ¢8.000.000</w:t>
            </w:r>
          </w:p>
        </w:tc>
        <w:tc>
          <w:tcPr>
            <w:tcW w:w="1240" w:type="dxa"/>
            <w:tcBorders>
              <w:top w:val="nil"/>
              <w:left w:val="nil"/>
              <w:bottom w:val="nil"/>
              <w:right w:val="single" w:sz="4" w:space="0" w:color="auto"/>
            </w:tcBorders>
            <w:shd w:val="clear" w:color="auto" w:fill="C5E0B3" w:themeFill="accent6" w:themeFillTint="66"/>
            <w:noWrap/>
            <w:vAlign w:val="center"/>
            <w:hideMark/>
          </w:tcPr>
          <w:p w14:paraId="02370AEB"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0</w:t>
            </w:r>
          </w:p>
        </w:tc>
        <w:tc>
          <w:tcPr>
            <w:tcW w:w="1240" w:type="dxa"/>
            <w:tcBorders>
              <w:top w:val="nil"/>
              <w:left w:val="nil"/>
              <w:bottom w:val="nil"/>
              <w:right w:val="single" w:sz="4" w:space="0" w:color="auto"/>
            </w:tcBorders>
            <w:shd w:val="clear" w:color="auto" w:fill="C5E0B3" w:themeFill="accent6" w:themeFillTint="66"/>
            <w:noWrap/>
            <w:vAlign w:val="center"/>
            <w:hideMark/>
          </w:tcPr>
          <w:p w14:paraId="14AA844F"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0</w:t>
            </w:r>
          </w:p>
        </w:tc>
        <w:tc>
          <w:tcPr>
            <w:tcW w:w="1240" w:type="dxa"/>
            <w:tcBorders>
              <w:top w:val="nil"/>
              <w:left w:val="nil"/>
              <w:bottom w:val="nil"/>
              <w:right w:val="nil"/>
            </w:tcBorders>
            <w:shd w:val="clear" w:color="auto" w:fill="C5E0B3" w:themeFill="accent6" w:themeFillTint="66"/>
            <w:noWrap/>
            <w:vAlign w:val="center"/>
            <w:hideMark/>
          </w:tcPr>
          <w:p w14:paraId="6CA2813F"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1</w:t>
            </w:r>
          </w:p>
        </w:tc>
        <w:tc>
          <w:tcPr>
            <w:tcW w:w="1140" w:type="dxa"/>
            <w:tcBorders>
              <w:top w:val="nil"/>
              <w:left w:val="single" w:sz="4" w:space="0" w:color="auto"/>
              <w:bottom w:val="nil"/>
              <w:right w:val="nil"/>
            </w:tcBorders>
            <w:shd w:val="clear" w:color="auto" w:fill="C5E0B3" w:themeFill="accent6" w:themeFillTint="66"/>
            <w:noWrap/>
            <w:vAlign w:val="center"/>
            <w:hideMark/>
          </w:tcPr>
          <w:p w14:paraId="314547B9"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0,3</w:t>
            </w:r>
          </w:p>
        </w:tc>
        <w:tc>
          <w:tcPr>
            <w:tcW w:w="1297" w:type="dxa"/>
            <w:tcBorders>
              <w:top w:val="nil"/>
              <w:left w:val="single" w:sz="4" w:space="0" w:color="auto"/>
              <w:bottom w:val="nil"/>
              <w:right w:val="nil"/>
            </w:tcBorders>
            <w:shd w:val="clear" w:color="auto" w:fill="C5E0B3" w:themeFill="accent6" w:themeFillTint="66"/>
            <w:noWrap/>
            <w:vAlign w:val="center"/>
            <w:hideMark/>
          </w:tcPr>
          <w:p w14:paraId="49DD452B"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3%</w:t>
            </w:r>
          </w:p>
        </w:tc>
      </w:tr>
      <w:tr w:rsidR="003855ED" w:rsidRPr="004E74A6" w14:paraId="374F0518" w14:textId="77777777" w:rsidTr="00832773">
        <w:trPr>
          <w:trHeight w:val="288"/>
          <w:jc w:val="center"/>
        </w:trPr>
        <w:tc>
          <w:tcPr>
            <w:tcW w:w="3740" w:type="dxa"/>
            <w:tcBorders>
              <w:top w:val="nil"/>
              <w:left w:val="nil"/>
              <w:bottom w:val="nil"/>
              <w:right w:val="single" w:sz="4" w:space="0" w:color="auto"/>
            </w:tcBorders>
            <w:shd w:val="clear" w:color="auto" w:fill="C5E0B3" w:themeFill="accent6" w:themeFillTint="66"/>
            <w:noWrap/>
            <w:vAlign w:val="bottom"/>
            <w:hideMark/>
          </w:tcPr>
          <w:p w14:paraId="26B4EC99" w14:textId="77777777" w:rsidR="003855ED" w:rsidRPr="004E74A6" w:rsidRDefault="003855ED" w:rsidP="00832773">
            <w:pPr>
              <w:spacing w:line="276" w:lineRule="auto"/>
              <w:jc w:val="left"/>
              <w:rPr>
                <w:rFonts w:cs="Calibri"/>
                <w:color w:val="000000"/>
                <w:sz w:val="22"/>
                <w:szCs w:val="22"/>
                <w:lang w:eastAsia="es-CR"/>
              </w:rPr>
            </w:pPr>
            <w:r w:rsidRPr="004E74A6">
              <w:rPr>
                <w:rFonts w:cs="Calibri"/>
                <w:color w:val="000000"/>
                <w:sz w:val="22"/>
                <w:szCs w:val="22"/>
                <w:lang w:eastAsia="es-CR"/>
              </w:rPr>
              <w:t>De ¢9.000.001 a ¢10.000.000</w:t>
            </w:r>
          </w:p>
        </w:tc>
        <w:tc>
          <w:tcPr>
            <w:tcW w:w="1240" w:type="dxa"/>
            <w:tcBorders>
              <w:top w:val="nil"/>
              <w:left w:val="nil"/>
              <w:bottom w:val="nil"/>
              <w:right w:val="single" w:sz="4" w:space="0" w:color="auto"/>
            </w:tcBorders>
            <w:shd w:val="clear" w:color="auto" w:fill="C5E0B3" w:themeFill="accent6" w:themeFillTint="66"/>
            <w:noWrap/>
            <w:vAlign w:val="center"/>
            <w:hideMark/>
          </w:tcPr>
          <w:p w14:paraId="05E56E85"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0</w:t>
            </w:r>
          </w:p>
        </w:tc>
        <w:tc>
          <w:tcPr>
            <w:tcW w:w="1240" w:type="dxa"/>
            <w:tcBorders>
              <w:top w:val="nil"/>
              <w:left w:val="nil"/>
              <w:bottom w:val="nil"/>
              <w:right w:val="single" w:sz="4" w:space="0" w:color="auto"/>
            </w:tcBorders>
            <w:shd w:val="clear" w:color="auto" w:fill="C5E0B3" w:themeFill="accent6" w:themeFillTint="66"/>
            <w:noWrap/>
            <w:vAlign w:val="center"/>
            <w:hideMark/>
          </w:tcPr>
          <w:p w14:paraId="4DCD9BFD"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0</w:t>
            </w:r>
          </w:p>
        </w:tc>
        <w:tc>
          <w:tcPr>
            <w:tcW w:w="1240" w:type="dxa"/>
            <w:tcBorders>
              <w:top w:val="nil"/>
              <w:left w:val="nil"/>
              <w:bottom w:val="nil"/>
              <w:right w:val="nil"/>
            </w:tcBorders>
            <w:shd w:val="clear" w:color="auto" w:fill="C5E0B3" w:themeFill="accent6" w:themeFillTint="66"/>
            <w:noWrap/>
            <w:vAlign w:val="center"/>
            <w:hideMark/>
          </w:tcPr>
          <w:p w14:paraId="63E6112C"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1</w:t>
            </w:r>
          </w:p>
        </w:tc>
        <w:tc>
          <w:tcPr>
            <w:tcW w:w="1140" w:type="dxa"/>
            <w:tcBorders>
              <w:top w:val="nil"/>
              <w:left w:val="single" w:sz="4" w:space="0" w:color="auto"/>
              <w:bottom w:val="nil"/>
              <w:right w:val="nil"/>
            </w:tcBorders>
            <w:shd w:val="clear" w:color="auto" w:fill="C5E0B3" w:themeFill="accent6" w:themeFillTint="66"/>
            <w:noWrap/>
            <w:vAlign w:val="center"/>
            <w:hideMark/>
          </w:tcPr>
          <w:p w14:paraId="0C2DC424"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0,3</w:t>
            </w:r>
          </w:p>
        </w:tc>
        <w:tc>
          <w:tcPr>
            <w:tcW w:w="1297" w:type="dxa"/>
            <w:tcBorders>
              <w:top w:val="nil"/>
              <w:left w:val="single" w:sz="4" w:space="0" w:color="auto"/>
              <w:bottom w:val="nil"/>
              <w:right w:val="nil"/>
            </w:tcBorders>
            <w:shd w:val="clear" w:color="auto" w:fill="C5E0B3" w:themeFill="accent6" w:themeFillTint="66"/>
            <w:noWrap/>
            <w:vAlign w:val="center"/>
            <w:hideMark/>
          </w:tcPr>
          <w:p w14:paraId="52CA55EB"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4%</w:t>
            </w:r>
          </w:p>
        </w:tc>
      </w:tr>
      <w:tr w:rsidR="003855ED" w:rsidRPr="004E74A6" w14:paraId="6CF0EAF8" w14:textId="77777777" w:rsidTr="00832773">
        <w:trPr>
          <w:trHeight w:val="288"/>
          <w:jc w:val="center"/>
        </w:trPr>
        <w:tc>
          <w:tcPr>
            <w:tcW w:w="3740" w:type="dxa"/>
            <w:tcBorders>
              <w:top w:val="nil"/>
              <w:left w:val="nil"/>
              <w:bottom w:val="nil"/>
              <w:right w:val="single" w:sz="4" w:space="0" w:color="auto"/>
            </w:tcBorders>
            <w:shd w:val="clear" w:color="auto" w:fill="C5E0B3" w:themeFill="accent6" w:themeFillTint="66"/>
            <w:noWrap/>
            <w:vAlign w:val="bottom"/>
            <w:hideMark/>
          </w:tcPr>
          <w:p w14:paraId="6D8332B2" w14:textId="77777777" w:rsidR="003855ED" w:rsidRPr="004E74A6" w:rsidRDefault="003855ED" w:rsidP="00832773">
            <w:pPr>
              <w:spacing w:line="276" w:lineRule="auto"/>
              <w:jc w:val="left"/>
              <w:rPr>
                <w:rFonts w:cs="Calibri"/>
                <w:color w:val="000000"/>
                <w:sz w:val="22"/>
                <w:szCs w:val="22"/>
                <w:lang w:eastAsia="es-CR"/>
              </w:rPr>
            </w:pPr>
            <w:r w:rsidRPr="004E74A6">
              <w:rPr>
                <w:rFonts w:cs="Calibri"/>
                <w:color w:val="000000"/>
                <w:sz w:val="22"/>
                <w:szCs w:val="22"/>
                <w:lang w:eastAsia="es-CR"/>
              </w:rPr>
              <w:t>De ¢15.000.001 a ¢20.000.000</w:t>
            </w:r>
          </w:p>
        </w:tc>
        <w:tc>
          <w:tcPr>
            <w:tcW w:w="1240" w:type="dxa"/>
            <w:tcBorders>
              <w:top w:val="nil"/>
              <w:left w:val="nil"/>
              <w:bottom w:val="nil"/>
              <w:right w:val="single" w:sz="4" w:space="0" w:color="auto"/>
            </w:tcBorders>
            <w:shd w:val="clear" w:color="auto" w:fill="C5E0B3" w:themeFill="accent6" w:themeFillTint="66"/>
            <w:noWrap/>
            <w:vAlign w:val="center"/>
            <w:hideMark/>
          </w:tcPr>
          <w:p w14:paraId="5D3CD3B8"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1</w:t>
            </w:r>
          </w:p>
        </w:tc>
        <w:tc>
          <w:tcPr>
            <w:tcW w:w="1240" w:type="dxa"/>
            <w:tcBorders>
              <w:top w:val="nil"/>
              <w:left w:val="nil"/>
              <w:bottom w:val="nil"/>
              <w:right w:val="single" w:sz="4" w:space="0" w:color="auto"/>
            </w:tcBorders>
            <w:shd w:val="clear" w:color="auto" w:fill="C5E0B3" w:themeFill="accent6" w:themeFillTint="66"/>
            <w:noWrap/>
            <w:vAlign w:val="center"/>
            <w:hideMark/>
          </w:tcPr>
          <w:p w14:paraId="019319D5"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1</w:t>
            </w:r>
          </w:p>
        </w:tc>
        <w:tc>
          <w:tcPr>
            <w:tcW w:w="1240" w:type="dxa"/>
            <w:tcBorders>
              <w:top w:val="nil"/>
              <w:left w:val="nil"/>
              <w:bottom w:val="nil"/>
              <w:right w:val="nil"/>
            </w:tcBorders>
            <w:shd w:val="clear" w:color="auto" w:fill="C5E0B3" w:themeFill="accent6" w:themeFillTint="66"/>
            <w:noWrap/>
            <w:vAlign w:val="center"/>
            <w:hideMark/>
          </w:tcPr>
          <w:p w14:paraId="0352A7A5"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1</w:t>
            </w:r>
          </w:p>
        </w:tc>
        <w:tc>
          <w:tcPr>
            <w:tcW w:w="1140" w:type="dxa"/>
            <w:tcBorders>
              <w:top w:val="nil"/>
              <w:left w:val="single" w:sz="4" w:space="0" w:color="auto"/>
              <w:bottom w:val="nil"/>
              <w:right w:val="nil"/>
            </w:tcBorders>
            <w:shd w:val="clear" w:color="auto" w:fill="C5E0B3" w:themeFill="accent6" w:themeFillTint="66"/>
            <w:noWrap/>
            <w:vAlign w:val="center"/>
            <w:hideMark/>
          </w:tcPr>
          <w:p w14:paraId="14F61F51"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1,0</w:t>
            </w:r>
          </w:p>
        </w:tc>
        <w:tc>
          <w:tcPr>
            <w:tcW w:w="1297" w:type="dxa"/>
            <w:tcBorders>
              <w:top w:val="nil"/>
              <w:left w:val="single" w:sz="4" w:space="0" w:color="auto"/>
              <w:bottom w:val="nil"/>
              <w:right w:val="nil"/>
            </w:tcBorders>
            <w:shd w:val="clear" w:color="auto" w:fill="C5E0B3" w:themeFill="accent6" w:themeFillTint="66"/>
            <w:noWrap/>
            <w:vAlign w:val="center"/>
            <w:hideMark/>
          </w:tcPr>
          <w:p w14:paraId="411C1225"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7%</w:t>
            </w:r>
          </w:p>
        </w:tc>
      </w:tr>
      <w:tr w:rsidR="003855ED" w:rsidRPr="004E74A6" w14:paraId="0D6B8C36" w14:textId="77777777" w:rsidTr="003855ED">
        <w:trPr>
          <w:trHeight w:val="288"/>
          <w:jc w:val="center"/>
        </w:trPr>
        <w:tc>
          <w:tcPr>
            <w:tcW w:w="3740" w:type="dxa"/>
            <w:tcBorders>
              <w:top w:val="nil"/>
              <w:left w:val="nil"/>
              <w:bottom w:val="nil"/>
              <w:right w:val="single" w:sz="4" w:space="0" w:color="auto"/>
            </w:tcBorders>
            <w:shd w:val="clear" w:color="auto" w:fill="auto"/>
            <w:noWrap/>
            <w:vAlign w:val="bottom"/>
            <w:hideMark/>
          </w:tcPr>
          <w:p w14:paraId="71732639" w14:textId="77777777" w:rsidR="003855ED" w:rsidRPr="004E74A6" w:rsidRDefault="003855ED" w:rsidP="00832773">
            <w:pPr>
              <w:spacing w:line="276" w:lineRule="auto"/>
              <w:jc w:val="left"/>
              <w:rPr>
                <w:rFonts w:cs="Calibri"/>
                <w:color w:val="000000"/>
                <w:sz w:val="22"/>
                <w:szCs w:val="22"/>
                <w:lang w:eastAsia="es-CR"/>
              </w:rPr>
            </w:pPr>
            <w:r w:rsidRPr="004E74A6">
              <w:rPr>
                <w:rFonts w:cs="Calibri"/>
                <w:color w:val="000000"/>
                <w:sz w:val="22"/>
                <w:szCs w:val="22"/>
                <w:lang w:eastAsia="es-CR"/>
              </w:rPr>
              <w:t>De ¢20.000.001 a ¢25.000.000</w:t>
            </w:r>
          </w:p>
        </w:tc>
        <w:tc>
          <w:tcPr>
            <w:tcW w:w="1240" w:type="dxa"/>
            <w:tcBorders>
              <w:top w:val="nil"/>
              <w:left w:val="nil"/>
              <w:bottom w:val="nil"/>
              <w:right w:val="single" w:sz="4" w:space="0" w:color="auto"/>
            </w:tcBorders>
            <w:shd w:val="clear" w:color="auto" w:fill="auto"/>
            <w:noWrap/>
            <w:vAlign w:val="center"/>
            <w:hideMark/>
          </w:tcPr>
          <w:p w14:paraId="698E5BE7"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0</w:t>
            </w:r>
          </w:p>
        </w:tc>
        <w:tc>
          <w:tcPr>
            <w:tcW w:w="1240" w:type="dxa"/>
            <w:tcBorders>
              <w:top w:val="nil"/>
              <w:left w:val="nil"/>
              <w:bottom w:val="nil"/>
              <w:right w:val="single" w:sz="4" w:space="0" w:color="auto"/>
            </w:tcBorders>
            <w:shd w:val="clear" w:color="auto" w:fill="auto"/>
            <w:noWrap/>
            <w:vAlign w:val="center"/>
            <w:hideMark/>
          </w:tcPr>
          <w:p w14:paraId="1568AF39"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0</w:t>
            </w:r>
          </w:p>
        </w:tc>
        <w:tc>
          <w:tcPr>
            <w:tcW w:w="1240" w:type="dxa"/>
            <w:tcBorders>
              <w:top w:val="nil"/>
              <w:left w:val="nil"/>
              <w:bottom w:val="nil"/>
              <w:right w:val="nil"/>
            </w:tcBorders>
            <w:shd w:val="clear" w:color="auto" w:fill="auto"/>
            <w:noWrap/>
            <w:vAlign w:val="center"/>
            <w:hideMark/>
          </w:tcPr>
          <w:p w14:paraId="6C16CC4F"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1</w:t>
            </w:r>
          </w:p>
        </w:tc>
        <w:tc>
          <w:tcPr>
            <w:tcW w:w="1140" w:type="dxa"/>
            <w:tcBorders>
              <w:top w:val="nil"/>
              <w:left w:val="single" w:sz="4" w:space="0" w:color="auto"/>
              <w:bottom w:val="nil"/>
              <w:right w:val="nil"/>
            </w:tcBorders>
            <w:shd w:val="clear" w:color="auto" w:fill="auto"/>
            <w:noWrap/>
            <w:vAlign w:val="center"/>
            <w:hideMark/>
          </w:tcPr>
          <w:p w14:paraId="41A8F227"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0,3</w:t>
            </w:r>
          </w:p>
        </w:tc>
        <w:tc>
          <w:tcPr>
            <w:tcW w:w="1297" w:type="dxa"/>
            <w:tcBorders>
              <w:top w:val="nil"/>
              <w:left w:val="single" w:sz="4" w:space="0" w:color="auto"/>
              <w:bottom w:val="nil"/>
              <w:right w:val="nil"/>
            </w:tcBorders>
            <w:shd w:val="clear" w:color="auto" w:fill="auto"/>
            <w:noWrap/>
            <w:vAlign w:val="center"/>
            <w:hideMark/>
          </w:tcPr>
          <w:p w14:paraId="095E9AF6"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8%</w:t>
            </w:r>
          </w:p>
        </w:tc>
      </w:tr>
      <w:tr w:rsidR="003855ED" w:rsidRPr="004E74A6" w14:paraId="5C57FF74" w14:textId="77777777" w:rsidTr="00832773">
        <w:trPr>
          <w:trHeight w:val="288"/>
          <w:jc w:val="center"/>
        </w:trPr>
        <w:tc>
          <w:tcPr>
            <w:tcW w:w="3740" w:type="dxa"/>
            <w:tcBorders>
              <w:top w:val="nil"/>
              <w:left w:val="nil"/>
              <w:bottom w:val="nil"/>
              <w:right w:val="single" w:sz="4" w:space="0" w:color="auto"/>
            </w:tcBorders>
            <w:shd w:val="clear" w:color="auto" w:fill="auto"/>
            <w:noWrap/>
            <w:vAlign w:val="bottom"/>
            <w:hideMark/>
          </w:tcPr>
          <w:p w14:paraId="71EEB9F9" w14:textId="77777777" w:rsidR="003855ED" w:rsidRPr="004E74A6" w:rsidRDefault="003855ED" w:rsidP="00832773">
            <w:pPr>
              <w:spacing w:line="276" w:lineRule="auto"/>
              <w:jc w:val="left"/>
              <w:rPr>
                <w:rFonts w:cs="Calibri"/>
                <w:color w:val="000000"/>
                <w:sz w:val="22"/>
                <w:szCs w:val="22"/>
                <w:lang w:eastAsia="es-CR"/>
              </w:rPr>
            </w:pPr>
            <w:r w:rsidRPr="004E74A6">
              <w:rPr>
                <w:rFonts w:cs="Calibri"/>
                <w:color w:val="000000"/>
                <w:sz w:val="22"/>
                <w:szCs w:val="22"/>
                <w:lang w:eastAsia="es-CR"/>
              </w:rPr>
              <w:t>De ¢30.000.001 a ¢35.000.000</w:t>
            </w:r>
          </w:p>
        </w:tc>
        <w:tc>
          <w:tcPr>
            <w:tcW w:w="1240" w:type="dxa"/>
            <w:tcBorders>
              <w:top w:val="nil"/>
              <w:left w:val="nil"/>
              <w:bottom w:val="nil"/>
              <w:right w:val="single" w:sz="4" w:space="0" w:color="auto"/>
            </w:tcBorders>
            <w:shd w:val="clear" w:color="auto" w:fill="auto"/>
            <w:noWrap/>
            <w:vAlign w:val="center"/>
            <w:hideMark/>
          </w:tcPr>
          <w:p w14:paraId="6E6174CC"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0</w:t>
            </w:r>
          </w:p>
        </w:tc>
        <w:tc>
          <w:tcPr>
            <w:tcW w:w="1240" w:type="dxa"/>
            <w:tcBorders>
              <w:top w:val="nil"/>
              <w:left w:val="nil"/>
              <w:bottom w:val="nil"/>
              <w:right w:val="single" w:sz="4" w:space="0" w:color="auto"/>
            </w:tcBorders>
            <w:shd w:val="clear" w:color="auto" w:fill="auto"/>
            <w:noWrap/>
            <w:vAlign w:val="center"/>
            <w:hideMark/>
          </w:tcPr>
          <w:p w14:paraId="2BCAB351"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2</w:t>
            </w:r>
          </w:p>
        </w:tc>
        <w:tc>
          <w:tcPr>
            <w:tcW w:w="1240" w:type="dxa"/>
            <w:tcBorders>
              <w:top w:val="nil"/>
              <w:left w:val="nil"/>
              <w:bottom w:val="nil"/>
              <w:right w:val="nil"/>
            </w:tcBorders>
            <w:shd w:val="clear" w:color="auto" w:fill="auto"/>
            <w:noWrap/>
            <w:vAlign w:val="center"/>
            <w:hideMark/>
          </w:tcPr>
          <w:p w14:paraId="1A4DF1FC"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0</w:t>
            </w:r>
          </w:p>
        </w:tc>
        <w:tc>
          <w:tcPr>
            <w:tcW w:w="1140" w:type="dxa"/>
            <w:tcBorders>
              <w:top w:val="nil"/>
              <w:left w:val="single" w:sz="4" w:space="0" w:color="auto"/>
              <w:bottom w:val="nil"/>
              <w:right w:val="nil"/>
            </w:tcBorders>
            <w:shd w:val="clear" w:color="auto" w:fill="auto"/>
            <w:noWrap/>
            <w:vAlign w:val="center"/>
            <w:hideMark/>
          </w:tcPr>
          <w:p w14:paraId="3B4915EE"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0,7</w:t>
            </w:r>
          </w:p>
        </w:tc>
        <w:tc>
          <w:tcPr>
            <w:tcW w:w="1297" w:type="dxa"/>
            <w:tcBorders>
              <w:top w:val="nil"/>
              <w:left w:val="single" w:sz="4" w:space="0" w:color="auto"/>
              <w:bottom w:val="nil"/>
              <w:right w:val="nil"/>
            </w:tcBorders>
            <w:shd w:val="clear" w:color="auto" w:fill="auto"/>
            <w:noWrap/>
            <w:vAlign w:val="center"/>
            <w:hideMark/>
          </w:tcPr>
          <w:p w14:paraId="7DDB2CF0"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10%</w:t>
            </w:r>
          </w:p>
        </w:tc>
      </w:tr>
      <w:tr w:rsidR="003855ED" w:rsidRPr="004E74A6" w14:paraId="7C1EC13A" w14:textId="77777777" w:rsidTr="00832773">
        <w:trPr>
          <w:trHeight w:val="288"/>
          <w:jc w:val="center"/>
        </w:trPr>
        <w:tc>
          <w:tcPr>
            <w:tcW w:w="3740" w:type="dxa"/>
            <w:tcBorders>
              <w:top w:val="nil"/>
              <w:left w:val="nil"/>
              <w:bottom w:val="nil"/>
              <w:right w:val="single" w:sz="4" w:space="0" w:color="auto"/>
            </w:tcBorders>
            <w:shd w:val="clear" w:color="auto" w:fill="auto"/>
            <w:noWrap/>
            <w:vAlign w:val="bottom"/>
            <w:hideMark/>
          </w:tcPr>
          <w:p w14:paraId="36EFE02E" w14:textId="77777777" w:rsidR="003855ED" w:rsidRPr="004E74A6" w:rsidRDefault="003855ED" w:rsidP="00832773">
            <w:pPr>
              <w:spacing w:line="276" w:lineRule="auto"/>
              <w:jc w:val="left"/>
              <w:rPr>
                <w:rFonts w:cs="Calibri"/>
                <w:color w:val="000000"/>
                <w:sz w:val="22"/>
                <w:szCs w:val="22"/>
                <w:lang w:eastAsia="es-CR"/>
              </w:rPr>
            </w:pPr>
            <w:r w:rsidRPr="004E74A6">
              <w:rPr>
                <w:rFonts w:cs="Calibri"/>
                <w:color w:val="000000"/>
                <w:sz w:val="22"/>
                <w:szCs w:val="22"/>
                <w:lang w:eastAsia="es-CR"/>
              </w:rPr>
              <w:t>De ¢35.000.001 a ¢40.000.000</w:t>
            </w:r>
          </w:p>
        </w:tc>
        <w:tc>
          <w:tcPr>
            <w:tcW w:w="1240" w:type="dxa"/>
            <w:tcBorders>
              <w:top w:val="nil"/>
              <w:left w:val="nil"/>
              <w:bottom w:val="nil"/>
              <w:right w:val="single" w:sz="4" w:space="0" w:color="auto"/>
            </w:tcBorders>
            <w:shd w:val="clear" w:color="auto" w:fill="auto"/>
            <w:noWrap/>
            <w:vAlign w:val="center"/>
            <w:hideMark/>
          </w:tcPr>
          <w:p w14:paraId="2B7812CA"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0</w:t>
            </w:r>
          </w:p>
        </w:tc>
        <w:tc>
          <w:tcPr>
            <w:tcW w:w="1240" w:type="dxa"/>
            <w:tcBorders>
              <w:top w:val="nil"/>
              <w:left w:val="nil"/>
              <w:bottom w:val="nil"/>
              <w:right w:val="single" w:sz="4" w:space="0" w:color="auto"/>
            </w:tcBorders>
            <w:shd w:val="clear" w:color="auto" w:fill="auto"/>
            <w:noWrap/>
            <w:vAlign w:val="center"/>
            <w:hideMark/>
          </w:tcPr>
          <w:p w14:paraId="38758D33"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0</w:t>
            </w:r>
          </w:p>
        </w:tc>
        <w:tc>
          <w:tcPr>
            <w:tcW w:w="1240" w:type="dxa"/>
            <w:tcBorders>
              <w:top w:val="nil"/>
              <w:left w:val="nil"/>
              <w:bottom w:val="nil"/>
              <w:right w:val="nil"/>
            </w:tcBorders>
            <w:shd w:val="clear" w:color="auto" w:fill="auto"/>
            <w:noWrap/>
            <w:vAlign w:val="center"/>
            <w:hideMark/>
          </w:tcPr>
          <w:p w14:paraId="10B6B1C0"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1</w:t>
            </w:r>
          </w:p>
        </w:tc>
        <w:tc>
          <w:tcPr>
            <w:tcW w:w="1140" w:type="dxa"/>
            <w:tcBorders>
              <w:top w:val="nil"/>
              <w:left w:val="single" w:sz="4" w:space="0" w:color="auto"/>
              <w:bottom w:val="nil"/>
              <w:right w:val="nil"/>
            </w:tcBorders>
            <w:shd w:val="clear" w:color="auto" w:fill="auto"/>
            <w:noWrap/>
            <w:vAlign w:val="center"/>
            <w:hideMark/>
          </w:tcPr>
          <w:p w14:paraId="4BCDCC85"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0,3</w:t>
            </w:r>
          </w:p>
        </w:tc>
        <w:tc>
          <w:tcPr>
            <w:tcW w:w="1297" w:type="dxa"/>
            <w:tcBorders>
              <w:top w:val="nil"/>
              <w:left w:val="single" w:sz="4" w:space="0" w:color="auto"/>
              <w:bottom w:val="nil"/>
              <w:right w:val="nil"/>
            </w:tcBorders>
            <w:shd w:val="clear" w:color="auto" w:fill="auto"/>
            <w:noWrap/>
            <w:vAlign w:val="center"/>
            <w:hideMark/>
          </w:tcPr>
          <w:p w14:paraId="312BE5E1"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11%</w:t>
            </w:r>
          </w:p>
        </w:tc>
      </w:tr>
      <w:tr w:rsidR="003855ED" w:rsidRPr="004E74A6" w14:paraId="3D67A6EE" w14:textId="77777777" w:rsidTr="00832773">
        <w:trPr>
          <w:trHeight w:val="288"/>
          <w:jc w:val="center"/>
        </w:trPr>
        <w:tc>
          <w:tcPr>
            <w:tcW w:w="3740" w:type="dxa"/>
            <w:tcBorders>
              <w:top w:val="nil"/>
              <w:left w:val="nil"/>
              <w:bottom w:val="nil"/>
              <w:right w:val="single" w:sz="4" w:space="0" w:color="auto"/>
            </w:tcBorders>
            <w:shd w:val="clear" w:color="auto" w:fill="auto"/>
            <w:noWrap/>
            <w:vAlign w:val="bottom"/>
            <w:hideMark/>
          </w:tcPr>
          <w:p w14:paraId="42E7BBC4" w14:textId="77777777" w:rsidR="003855ED" w:rsidRPr="004E74A6" w:rsidRDefault="003855ED" w:rsidP="00832773">
            <w:pPr>
              <w:spacing w:line="276" w:lineRule="auto"/>
              <w:jc w:val="left"/>
              <w:rPr>
                <w:rFonts w:cs="Calibri"/>
                <w:color w:val="000000"/>
                <w:sz w:val="22"/>
                <w:szCs w:val="22"/>
                <w:lang w:eastAsia="es-CR"/>
              </w:rPr>
            </w:pPr>
            <w:r w:rsidRPr="004E74A6">
              <w:rPr>
                <w:rFonts w:cs="Calibri"/>
                <w:color w:val="000000"/>
                <w:sz w:val="22"/>
                <w:szCs w:val="22"/>
                <w:lang w:eastAsia="es-CR"/>
              </w:rPr>
              <w:t>De ¢45.000.001 a ¢50.000.000</w:t>
            </w:r>
          </w:p>
        </w:tc>
        <w:tc>
          <w:tcPr>
            <w:tcW w:w="1240" w:type="dxa"/>
            <w:tcBorders>
              <w:top w:val="nil"/>
              <w:left w:val="nil"/>
              <w:bottom w:val="nil"/>
              <w:right w:val="single" w:sz="4" w:space="0" w:color="auto"/>
            </w:tcBorders>
            <w:shd w:val="clear" w:color="auto" w:fill="auto"/>
            <w:noWrap/>
            <w:vAlign w:val="center"/>
            <w:hideMark/>
          </w:tcPr>
          <w:p w14:paraId="4F1B250B"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0</w:t>
            </w:r>
          </w:p>
        </w:tc>
        <w:tc>
          <w:tcPr>
            <w:tcW w:w="1240" w:type="dxa"/>
            <w:tcBorders>
              <w:top w:val="nil"/>
              <w:left w:val="nil"/>
              <w:bottom w:val="nil"/>
              <w:right w:val="single" w:sz="4" w:space="0" w:color="auto"/>
            </w:tcBorders>
            <w:shd w:val="clear" w:color="auto" w:fill="auto"/>
            <w:noWrap/>
            <w:vAlign w:val="center"/>
            <w:hideMark/>
          </w:tcPr>
          <w:p w14:paraId="5F6904D7"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0</w:t>
            </w:r>
          </w:p>
        </w:tc>
        <w:tc>
          <w:tcPr>
            <w:tcW w:w="1240" w:type="dxa"/>
            <w:tcBorders>
              <w:top w:val="nil"/>
              <w:left w:val="nil"/>
              <w:bottom w:val="nil"/>
              <w:right w:val="nil"/>
            </w:tcBorders>
            <w:shd w:val="clear" w:color="auto" w:fill="auto"/>
            <w:noWrap/>
            <w:vAlign w:val="center"/>
            <w:hideMark/>
          </w:tcPr>
          <w:p w14:paraId="5AEB90E2"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1</w:t>
            </w:r>
          </w:p>
        </w:tc>
        <w:tc>
          <w:tcPr>
            <w:tcW w:w="1140" w:type="dxa"/>
            <w:tcBorders>
              <w:top w:val="nil"/>
              <w:left w:val="single" w:sz="4" w:space="0" w:color="auto"/>
              <w:bottom w:val="nil"/>
              <w:right w:val="nil"/>
            </w:tcBorders>
            <w:shd w:val="clear" w:color="auto" w:fill="auto"/>
            <w:noWrap/>
            <w:vAlign w:val="center"/>
            <w:hideMark/>
          </w:tcPr>
          <w:p w14:paraId="1A2213B5"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0,3</w:t>
            </w:r>
          </w:p>
        </w:tc>
        <w:tc>
          <w:tcPr>
            <w:tcW w:w="1297" w:type="dxa"/>
            <w:tcBorders>
              <w:top w:val="nil"/>
              <w:left w:val="single" w:sz="4" w:space="0" w:color="auto"/>
              <w:bottom w:val="nil"/>
              <w:right w:val="nil"/>
            </w:tcBorders>
            <w:shd w:val="clear" w:color="auto" w:fill="auto"/>
            <w:noWrap/>
            <w:vAlign w:val="center"/>
            <w:hideMark/>
          </w:tcPr>
          <w:p w14:paraId="285AC5EC"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12%</w:t>
            </w:r>
          </w:p>
        </w:tc>
      </w:tr>
      <w:tr w:rsidR="003855ED" w:rsidRPr="004E74A6" w14:paraId="185AB3FE" w14:textId="77777777" w:rsidTr="00832773">
        <w:trPr>
          <w:trHeight w:val="288"/>
          <w:jc w:val="center"/>
        </w:trPr>
        <w:tc>
          <w:tcPr>
            <w:tcW w:w="3740" w:type="dxa"/>
            <w:tcBorders>
              <w:top w:val="nil"/>
              <w:left w:val="nil"/>
              <w:bottom w:val="nil"/>
              <w:right w:val="single" w:sz="4" w:space="0" w:color="auto"/>
            </w:tcBorders>
            <w:shd w:val="clear" w:color="auto" w:fill="auto"/>
            <w:noWrap/>
            <w:vAlign w:val="bottom"/>
            <w:hideMark/>
          </w:tcPr>
          <w:p w14:paraId="4C7BDB24" w14:textId="77777777" w:rsidR="003855ED" w:rsidRPr="004E74A6" w:rsidRDefault="003855ED" w:rsidP="00832773">
            <w:pPr>
              <w:spacing w:line="276" w:lineRule="auto"/>
              <w:jc w:val="left"/>
              <w:rPr>
                <w:rFonts w:cs="Calibri"/>
                <w:color w:val="000000"/>
                <w:sz w:val="22"/>
                <w:szCs w:val="22"/>
                <w:lang w:eastAsia="es-CR"/>
              </w:rPr>
            </w:pPr>
            <w:r w:rsidRPr="004E74A6">
              <w:rPr>
                <w:rFonts w:cs="Calibri"/>
                <w:color w:val="000000"/>
                <w:sz w:val="22"/>
                <w:szCs w:val="22"/>
                <w:lang w:eastAsia="es-CR"/>
              </w:rPr>
              <w:lastRenderedPageBreak/>
              <w:t>De ¢50.000.001 a ¢55.000.000</w:t>
            </w:r>
          </w:p>
        </w:tc>
        <w:tc>
          <w:tcPr>
            <w:tcW w:w="1240" w:type="dxa"/>
            <w:tcBorders>
              <w:top w:val="nil"/>
              <w:left w:val="nil"/>
              <w:bottom w:val="nil"/>
              <w:right w:val="single" w:sz="4" w:space="0" w:color="auto"/>
            </w:tcBorders>
            <w:shd w:val="clear" w:color="auto" w:fill="auto"/>
            <w:noWrap/>
            <w:vAlign w:val="center"/>
            <w:hideMark/>
          </w:tcPr>
          <w:p w14:paraId="4692D662"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0</w:t>
            </w:r>
          </w:p>
        </w:tc>
        <w:tc>
          <w:tcPr>
            <w:tcW w:w="1240" w:type="dxa"/>
            <w:tcBorders>
              <w:top w:val="nil"/>
              <w:left w:val="nil"/>
              <w:bottom w:val="nil"/>
              <w:right w:val="single" w:sz="4" w:space="0" w:color="auto"/>
            </w:tcBorders>
            <w:shd w:val="clear" w:color="auto" w:fill="auto"/>
            <w:noWrap/>
            <w:vAlign w:val="center"/>
            <w:hideMark/>
          </w:tcPr>
          <w:p w14:paraId="0A37536F"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0</w:t>
            </w:r>
          </w:p>
        </w:tc>
        <w:tc>
          <w:tcPr>
            <w:tcW w:w="1240" w:type="dxa"/>
            <w:tcBorders>
              <w:top w:val="nil"/>
              <w:left w:val="nil"/>
              <w:bottom w:val="nil"/>
              <w:right w:val="nil"/>
            </w:tcBorders>
            <w:shd w:val="clear" w:color="auto" w:fill="auto"/>
            <w:noWrap/>
            <w:vAlign w:val="center"/>
            <w:hideMark/>
          </w:tcPr>
          <w:p w14:paraId="07887709"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1</w:t>
            </w:r>
          </w:p>
        </w:tc>
        <w:tc>
          <w:tcPr>
            <w:tcW w:w="1140" w:type="dxa"/>
            <w:tcBorders>
              <w:top w:val="nil"/>
              <w:left w:val="single" w:sz="4" w:space="0" w:color="auto"/>
              <w:bottom w:val="nil"/>
              <w:right w:val="nil"/>
            </w:tcBorders>
            <w:shd w:val="clear" w:color="auto" w:fill="auto"/>
            <w:noWrap/>
            <w:vAlign w:val="center"/>
            <w:hideMark/>
          </w:tcPr>
          <w:p w14:paraId="194B401B"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0,3</w:t>
            </w:r>
          </w:p>
        </w:tc>
        <w:tc>
          <w:tcPr>
            <w:tcW w:w="1297" w:type="dxa"/>
            <w:tcBorders>
              <w:top w:val="nil"/>
              <w:left w:val="single" w:sz="4" w:space="0" w:color="auto"/>
              <w:bottom w:val="nil"/>
              <w:right w:val="nil"/>
            </w:tcBorders>
            <w:shd w:val="clear" w:color="auto" w:fill="auto"/>
            <w:noWrap/>
            <w:vAlign w:val="center"/>
            <w:hideMark/>
          </w:tcPr>
          <w:p w14:paraId="76E7093F"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13%</w:t>
            </w:r>
          </w:p>
        </w:tc>
      </w:tr>
      <w:tr w:rsidR="003855ED" w:rsidRPr="004E74A6" w14:paraId="57700C99" w14:textId="77777777" w:rsidTr="00832773">
        <w:trPr>
          <w:trHeight w:val="288"/>
          <w:jc w:val="center"/>
        </w:trPr>
        <w:tc>
          <w:tcPr>
            <w:tcW w:w="3740" w:type="dxa"/>
            <w:tcBorders>
              <w:top w:val="nil"/>
              <w:left w:val="nil"/>
              <w:bottom w:val="nil"/>
              <w:right w:val="single" w:sz="4" w:space="0" w:color="auto"/>
            </w:tcBorders>
            <w:shd w:val="clear" w:color="auto" w:fill="auto"/>
            <w:noWrap/>
            <w:vAlign w:val="bottom"/>
            <w:hideMark/>
          </w:tcPr>
          <w:p w14:paraId="6AB7E5B9" w14:textId="77777777" w:rsidR="003855ED" w:rsidRPr="004E74A6" w:rsidRDefault="003855ED" w:rsidP="00832773">
            <w:pPr>
              <w:spacing w:line="276" w:lineRule="auto"/>
              <w:jc w:val="left"/>
              <w:rPr>
                <w:rFonts w:cs="Calibri"/>
                <w:color w:val="000000"/>
                <w:sz w:val="22"/>
                <w:szCs w:val="22"/>
                <w:lang w:eastAsia="es-CR"/>
              </w:rPr>
            </w:pPr>
            <w:r w:rsidRPr="004E74A6">
              <w:rPr>
                <w:rFonts w:cs="Calibri"/>
                <w:color w:val="000000"/>
                <w:sz w:val="22"/>
                <w:szCs w:val="22"/>
                <w:lang w:eastAsia="es-CR"/>
              </w:rPr>
              <w:t>De ¢55.000.001 a ¢60.000.000</w:t>
            </w:r>
          </w:p>
        </w:tc>
        <w:tc>
          <w:tcPr>
            <w:tcW w:w="1240" w:type="dxa"/>
            <w:tcBorders>
              <w:top w:val="nil"/>
              <w:left w:val="nil"/>
              <w:bottom w:val="nil"/>
              <w:right w:val="single" w:sz="4" w:space="0" w:color="auto"/>
            </w:tcBorders>
            <w:shd w:val="clear" w:color="auto" w:fill="auto"/>
            <w:noWrap/>
            <w:vAlign w:val="center"/>
            <w:hideMark/>
          </w:tcPr>
          <w:p w14:paraId="2BF4CADE"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0</w:t>
            </w:r>
          </w:p>
        </w:tc>
        <w:tc>
          <w:tcPr>
            <w:tcW w:w="1240" w:type="dxa"/>
            <w:tcBorders>
              <w:top w:val="nil"/>
              <w:left w:val="nil"/>
              <w:bottom w:val="nil"/>
              <w:right w:val="single" w:sz="4" w:space="0" w:color="auto"/>
            </w:tcBorders>
            <w:shd w:val="clear" w:color="auto" w:fill="auto"/>
            <w:noWrap/>
            <w:vAlign w:val="center"/>
            <w:hideMark/>
          </w:tcPr>
          <w:p w14:paraId="69176643"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0</w:t>
            </w:r>
          </w:p>
        </w:tc>
        <w:tc>
          <w:tcPr>
            <w:tcW w:w="1240" w:type="dxa"/>
            <w:tcBorders>
              <w:top w:val="nil"/>
              <w:left w:val="nil"/>
              <w:bottom w:val="nil"/>
              <w:right w:val="nil"/>
            </w:tcBorders>
            <w:shd w:val="clear" w:color="auto" w:fill="auto"/>
            <w:noWrap/>
            <w:vAlign w:val="center"/>
            <w:hideMark/>
          </w:tcPr>
          <w:p w14:paraId="41BAFA59"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1</w:t>
            </w:r>
          </w:p>
        </w:tc>
        <w:tc>
          <w:tcPr>
            <w:tcW w:w="1140" w:type="dxa"/>
            <w:tcBorders>
              <w:top w:val="nil"/>
              <w:left w:val="single" w:sz="4" w:space="0" w:color="auto"/>
              <w:bottom w:val="nil"/>
              <w:right w:val="nil"/>
            </w:tcBorders>
            <w:shd w:val="clear" w:color="auto" w:fill="auto"/>
            <w:noWrap/>
            <w:vAlign w:val="center"/>
            <w:hideMark/>
          </w:tcPr>
          <w:p w14:paraId="3D22F249"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0,3</w:t>
            </w:r>
          </w:p>
        </w:tc>
        <w:tc>
          <w:tcPr>
            <w:tcW w:w="1297" w:type="dxa"/>
            <w:tcBorders>
              <w:top w:val="nil"/>
              <w:left w:val="single" w:sz="4" w:space="0" w:color="auto"/>
              <w:bottom w:val="nil"/>
              <w:right w:val="nil"/>
            </w:tcBorders>
            <w:shd w:val="clear" w:color="auto" w:fill="auto"/>
            <w:noWrap/>
            <w:vAlign w:val="center"/>
            <w:hideMark/>
          </w:tcPr>
          <w:p w14:paraId="00B5BF14"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14%</w:t>
            </w:r>
          </w:p>
        </w:tc>
      </w:tr>
      <w:tr w:rsidR="003855ED" w:rsidRPr="004E74A6" w14:paraId="6C9C0E3C" w14:textId="77777777" w:rsidTr="00832773">
        <w:trPr>
          <w:trHeight w:val="288"/>
          <w:jc w:val="center"/>
        </w:trPr>
        <w:tc>
          <w:tcPr>
            <w:tcW w:w="3740" w:type="dxa"/>
            <w:tcBorders>
              <w:top w:val="nil"/>
              <w:left w:val="nil"/>
              <w:bottom w:val="nil"/>
              <w:right w:val="single" w:sz="4" w:space="0" w:color="auto"/>
            </w:tcBorders>
            <w:shd w:val="clear" w:color="auto" w:fill="auto"/>
            <w:noWrap/>
            <w:vAlign w:val="bottom"/>
            <w:hideMark/>
          </w:tcPr>
          <w:p w14:paraId="00A03B7A" w14:textId="77777777" w:rsidR="003855ED" w:rsidRPr="004E74A6" w:rsidRDefault="003855ED" w:rsidP="00832773">
            <w:pPr>
              <w:spacing w:line="276" w:lineRule="auto"/>
              <w:jc w:val="left"/>
              <w:rPr>
                <w:rFonts w:cs="Calibri"/>
                <w:color w:val="000000"/>
                <w:sz w:val="22"/>
                <w:szCs w:val="22"/>
                <w:lang w:eastAsia="es-CR"/>
              </w:rPr>
            </w:pPr>
            <w:r w:rsidRPr="004E74A6">
              <w:rPr>
                <w:rFonts w:cs="Calibri"/>
                <w:color w:val="000000"/>
                <w:sz w:val="22"/>
                <w:szCs w:val="22"/>
                <w:lang w:eastAsia="es-CR"/>
              </w:rPr>
              <w:t>De ¢95.000.001 a ¢100.000.000</w:t>
            </w:r>
          </w:p>
        </w:tc>
        <w:tc>
          <w:tcPr>
            <w:tcW w:w="1240" w:type="dxa"/>
            <w:tcBorders>
              <w:top w:val="nil"/>
              <w:left w:val="nil"/>
              <w:bottom w:val="nil"/>
              <w:right w:val="single" w:sz="4" w:space="0" w:color="auto"/>
            </w:tcBorders>
            <w:shd w:val="clear" w:color="auto" w:fill="auto"/>
            <w:noWrap/>
            <w:vAlign w:val="center"/>
            <w:hideMark/>
          </w:tcPr>
          <w:p w14:paraId="1E1679DC"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0</w:t>
            </w:r>
          </w:p>
        </w:tc>
        <w:tc>
          <w:tcPr>
            <w:tcW w:w="1240" w:type="dxa"/>
            <w:tcBorders>
              <w:top w:val="nil"/>
              <w:left w:val="nil"/>
              <w:bottom w:val="nil"/>
              <w:right w:val="single" w:sz="4" w:space="0" w:color="auto"/>
            </w:tcBorders>
            <w:shd w:val="clear" w:color="auto" w:fill="auto"/>
            <w:noWrap/>
            <w:vAlign w:val="center"/>
            <w:hideMark/>
          </w:tcPr>
          <w:p w14:paraId="5F4DABC9"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1</w:t>
            </w:r>
          </w:p>
        </w:tc>
        <w:tc>
          <w:tcPr>
            <w:tcW w:w="1240" w:type="dxa"/>
            <w:tcBorders>
              <w:top w:val="nil"/>
              <w:left w:val="nil"/>
              <w:bottom w:val="nil"/>
              <w:right w:val="nil"/>
            </w:tcBorders>
            <w:shd w:val="clear" w:color="auto" w:fill="auto"/>
            <w:noWrap/>
            <w:vAlign w:val="center"/>
            <w:hideMark/>
          </w:tcPr>
          <w:p w14:paraId="41C43292"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0</w:t>
            </w:r>
          </w:p>
        </w:tc>
        <w:tc>
          <w:tcPr>
            <w:tcW w:w="1140" w:type="dxa"/>
            <w:tcBorders>
              <w:top w:val="nil"/>
              <w:left w:val="single" w:sz="4" w:space="0" w:color="auto"/>
              <w:bottom w:val="nil"/>
              <w:right w:val="nil"/>
            </w:tcBorders>
            <w:shd w:val="clear" w:color="auto" w:fill="auto"/>
            <w:noWrap/>
            <w:vAlign w:val="center"/>
            <w:hideMark/>
          </w:tcPr>
          <w:p w14:paraId="1ED4E674"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0,3</w:t>
            </w:r>
          </w:p>
        </w:tc>
        <w:tc>
          <w:tcPr>
            <w:tcW w:w="1297" w:type="dxa"/>
            <w:tcBorders>
              <w:top w:val="nil"/>
              <w:left w:val="single" w:sz="4" w:space="0" w:color="auto"/>
              <w:bottom w:val="nil"/>
              <w:right w:val="nil"/>
            </w:tcBorders>
            <w:shd w:val="clear" w:color="auto" w:fill="auto"/>
            <w:noWrap/>
            <w:vAlign w:val="center"/>
            <w:hideMark/>
          </w:tcPr>
          <w:p w14:paraId="6899BAB1"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15%</w:t>
            </w:r>
          </w:p>
        </w:tc>
      </w:tr>
      <w:tr w:rsidR="003855ED" w:rsidRPr="004E74A6" w14:paraId="74D0B76D" w14:textId="77777777" w:rsidTr="00832773">
        <w:trPr>
          <w:trHeight w:val="288"/>
          <w:jc w:val="center"/>
        </w:trPr>
        <w:tc>
          <w:tcPr>
            <w:tcW w:w="3740" w:type="dxa"/>
            <w:tcBorders>
              <w:top w:val="nil"/>
              <w:left w:val="nil"/>
              <w:bottom w:val="nil"/>
              <w:right w:val="single" w:sz="4" w:space="0" w:color="auto"/>
            </w:tcBorders>
            <w:shd w:val="clear" w:color="auto" w:fill="auto"/>
            <w:noWrap/>
            <w:vAlign w:val="bottom"/>
            <w:hideMark/>
          </w:tcPr>
          <w:p w14:paraId="39DB1041" w14:textId="77777777" w:rsidR="003855ED" w:rsidRPr="004E74A6" w:rsidRDefault="003855ED" w:rsidP="00832773">
            <w:pPr>
              <w:spacing w:line="276" w:lineRule="auto"/>
              <w:jc w:val="left"/>
              <w:rPr>
                <w:rFonts w:cs="Calibri"/>
                <w:color w:val="000000"/>
                <w:sz w:val="22"/>
                <w:szCs w:val="22"/>
                <w:lang w:eastAsia="es-CR"/>
              </w:rPr>
            </w:pPr>
            <w:r w:rsidRPr="004E74A6">
              <w:rPr>
                <w:rFonts w:cs="Calibri"/>
                <w:color w:val="000000"/>
                <w:sz w:val="22"/>
                <w:szCs w:val="22"/>
                <w:lang w:eastAsia="es-CR"/>
              </w:rPr>
              <w:t>Expedientes Cuantía Cero</w:t>
            </w:r>
          </w:p>
        </w:tc>
        <w:tc>
          <w:tcPr>
            <w:tcW w:w="1240" w:type="dxa"/>
            <w:tcBorders>
              <w:top w:val="nil"/>
              <w:left w:val="nil"/>
              <w:bottom w:val="nil"/>
              <w:right w:val="single" w:sz="4" w:space="0" w:color="auto"/>
            </w:tcBorders>
            <w:shd w:val="clear" w:color="auto" w:fill="auto"/>
            <w:noWrap/>
            <w:vAlign w:val="center"/>
            <w:hideMark/>
          </w:tcPr>
          <w:p w14:paraId="240B5C37"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17</w:t>
            </w:r>
          </w:p>
        </w:tc>
        <w:tc>
          <w:tcPr>
            <w:tcW w:w="1240" w:type="dxa"/>
            <w:tcBorders>
              <w:top w:val="nil"/>
              <w:left w:val="nil"/>
              <w:bottom w:val="nil"/>
              <w:right w:val="single" w:sz="4" w:space="0" w:color="auto"/>
            </w:tcBorders>
            <w:shd w:val="clear" w:color="auto" w:fill="auto"/>
            <w:noWrap/>
            <w:vAlign w:val="center"/>
            <w:hideMark/>
          </w:tcPr>
          <w:p w14:paraId="62DD7236"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14</w:t>
            </w:r>
          </w:p>
        </w:tc>
        <w:tc>
          <w:tcPr>
            <w:tcW w:w="1240" w:type="dxa"/>
            <w:tcBorders>
              <w:top w:val="nil"/>
              <w:left w:val="nil"/>
              <w:bottom w:val="nil"/>
              <w:right w:val="nil"/>
            </w:tcBorders>
            <w:shd w:val="clear" w:color="auto" w:fill="auto"/>
            <w:noWrap/>
            <w:vAlign w:val="center"/>
            <w:hideMark/>
          </w:tcPr>
          <w:p w14:paraId="64735F5A"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28</w:t>
            </w:r>
          </w:p>
        </w:tc>
        <w:tc>
          <w:tcPr>
            <w:tcW w:w="1140" w:type="dxa"/>
            <w:tcBorders>
              <w:top w:val="nil"/>
              <w:left w:val="single" w:sz="4" w:space="0" w:color="auto"/>
              <w:bottom w:val="nil"/>
              <w:right w:val="nil"/>
            </w:tcBorders>
            <w:shd w:val="clear" w:color="auto" w:fill="auto"/>
            <w:noWrap/>
            <w:vAlign w:val="center"/>
            <w:hideMark/>
          </w:tcPr>
          <w:p w14:paraId="391DE274"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19,7</w:t>
            </w:r>
          </w:p>
        </w:tc>
        <w:tc>
          <w:tcPr>
            <w:tcW w:w="1297" w:type="dxa"/>
            <w:tcBorders>
              <w:top w:val="nil"/>
              <w:left w:val="single" w:sz="4" w:space="0" w:color="auto"/>
              <w:bottom w:val="nil"/>
              <w:right w:val="nil"/>
            </w:tcBorders>
            <w:shd w:val="clear" w:color="auto" w:fill="auto"/>
            <w:noWrap/>
            <w:vAlign w:val="center"/>
            <w:hideMark/>
          </w:tcPr>
          <w:p w14:paraId="4A853F0D"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75%</w:t>
            </w:r>
          </w:p>
        </w:tc>
      </w:tr>
      <w:tr w:rsidR="003855ED" w:rsidRPr="004E74A6" w14:paraId="2D569DF1" w14:textId="77777777" w:rsidTr="00832773">
        <w:trPr>
          <w:trHeight w:val="288"/>
          <w:jc w:val="center"/>
        </w:trPr>
        <w:tc>
          <w:tcPr>
            <w:tcW w:w="3740" w:type="dxa"/>
            <w:tcBorders>
              <w:top w:val="nil"/>
              <w:left w:val="nil"/>
              <w:right w:val="single" w:sz="4" w:space="0" w:color="auto"/>
            </w:tcBorders>
            <w:shd w:val="clear" w:color="auto" w:fill="auto"/>
            <w:noWrap/>
            <w:vAlign w:val="bottom"/>
            <w:hideMark/>
          </w:tcPr>
          <w:p w14:paraId="0619CB69" w14:textId="77777777" w:rsidR="003855ED" w:rsidRPr="004E74A6" w:rsidRDefault="003855ED" w:rsidP="00832773">
            <w:pPr>
              <w:spacing w:line="276" w:lineRule="auto"/>
              <w:jc w:val="left"/>
              <w:rPr>
                <w:rFonts w:cs="Calibri"/>
                <w:color w:val="000000"/>
                <w:sz w:val="22"/>
                <w:szCs w:val="22"/>
                <w:lang w:eastAsia="es-CR"/>
              </w:rPr>
            </w:pPr>
            <w:r w:rsidRPr="004E74A6">
              <w:rPr>
                <w:rFonts w:cs="Calibri"/>
                <w:color w:val="000000"/>
                <w:sz w:val="22"/>
                <w:szCs w:val="22"/>
                <w:lang w:eastAsia="es-CR"/>
              </w:rPr>
              <w:t>Más de ¢100.000.000</w:t>
            </w:r>
          </w:p>
        </w:tc>
        <w:tc>
          <w:tcPr>
            <w:tcW w:w="1240" w:type="dxa"/>
            <w:tcBorders>
              <w:top w:val="nil"/>
              <w:left w:val="nil"/>
              <w:right w:val="single" w:sz="4" w:space="0" w:color="auto"/>
            </w:tcBorders>
            <w:shd w:val="clear" w:color="auto" w:fill="auto"/>
            <w:noWrap/>
            <w:vAlign w:val="center"/>
            <w:hideMark/>
          </w:tcPr>
          <w:p w14:paraId="269D2388"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0</w:t>
            </w:r>
          </w:p>
        </w:tc>
        <w:tc>
          <w:tcPr>
            <w:tcW w:w="1240" w:type="dxa"/>
            <w:tcBorders>
              <w:top w:val="nil"/>
              <w:left w:val="nil"/>
              <w:right w:val="single" w:sz="4" w:space="0" w:color="auto"/>
            </w:tcBorders>
            <w:shd w:val="clear" w:color="auto" w:fill="auto"/>
            <w:noWrap/>
            <w:vAlign w:val="center"/>
            <w:hideMark/>
          </w:tcPr>
          <w:p w14:paraId="7568EE92"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1</w:t>
            </w:r>
          </w:p>
        </w:tc>
        <w:tc>
          <w:tcPr>
            <w:tcW w:w="1240" w:type="dxa"/>
            <w:tcBorders>
              <w:top w:val="nil"/>
              <w:left w:val="nil"/>
              <w:right w:val="nil"/>
            </w:tcBorders>
            <w:shd w:val="clear" w:color="auto" w:fill="auto"/>
            <w:noWrap/>
            <w:vAlign w:val="center"/>
            <w:hideMark/>
          </w:tcPr>
          <w:p w14:paraId="559552E5"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9</w:t>
            </w:r>
          </w:p>
        </w:tc>
        <w:tc>
          <w:tcPr>
            <w:tcW w:w="1140" w:type="dxa"/>
            <w:tcBorders>
              <w:top w:val="nil"/>
              <w:left w:val="single" w:sz="4" w:space="0" w:color="auto"/>
              <w:right w:val="nil"/>
            </w:tcBorders>
            <w:shd w:val="clear" w:color="auto" w:fill="auto"/>
            <w:noWrap/>
            <w:vAlign w:val="center"/>
            <w:hideMark/>
          </w:tcPr>
          <w:p w14:paraId="5C99FEC5"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3,3</w:t>
            </w:r>
          </w:p>
        </w:tc>
        <w:tc>
          <w:tcPr>
            <w:tcW w:w="1297" w:type="dxa"/>
            <w:tcBorders>
              <w:top w:val="nil"/>
              <w:left w:val="single" w:sz="4" w:space="0" w:color="auto"/>
              <w:right w:val="nil"/>
            </w:tcBorders>
            <w:shd w:val="clear" w:color="auto" w:fill="auto"/>
            <w:noWrap/>
            <w:vAlign w:val="center"/>
            <w:hideMark/>
          </w:tcPr>
          <w:p w14:paraId="1ACFB4C5"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85%</w:t>
            </w:r>
          </w:p>
        </w:tc>
      </w:tr>
      <w:tr w:rsidR="003855ED" w:rsidRPr="004E74A6" w14:paraId="11F400B9" w14:textId="77777777" w:rsidTr="00832773">
        <w:trPr>
          <w:trHeight w:val="288"/>
          <w:jc w:val="center"/>
        </w:trPr>
        <w:tc>
          <w:tcPr>
            <w:tcW w:w="3740" w:type="dxa"/>
            <w:tcBorders>
              <w:top w:val="nil"/>
              <w:left w:val="nil"/>
              <w:bottom w:val="single" w:sz="4" w:space="0" w:color="auto"/>
              <w:right w:val="single" w:sz="4" w:space="0" w:color="auto"/>
            </w:tcBorders>
            <w:shd w:val="clear" w:color="auto" w:fill="auto"/>
            <w:noWrap/>
            <w:vAlign w:val="bottom"/>
            <w:hideMark/>
          </w:tcPr>
          <w:p w14:paraId="6EF5FF1D" w14:textId="5284257F" w:rsidR="003855ED" w:rsidRPr="004E74A6" w:rsidRDefault="003855ED" w:rsidP="00832773">
            <w:pPr>
              <w:spacing w:line="276" w:lineRule="auto"/>
              <w:jc w:val="left"/>
              <w:rPr>
                <w:rFonts w:cs="Calibri"/>
                <w:color w:val="000000"/>
                <w:sz w:val="22"/>
                <w:szCs w:val="22"/>
                <w:lang w:eastAsia="es-CR"/>
              </w:rPr>
            </w:pPr>
            <w:r w:rsidRPr="004E74A6">
              <w:rPr>
                <w:rFonts w:cs="Calibri"/>
                <w:color w:val="000000"/>
                <w:sz w:val="22"/>
                <w:szCs w:val="22"/>
                <w:lang w:eastAsia="es-CR"/>
              </w:rPr>
              <w:t>SIN ACTUALIZAR</w:t>
            </w:r>
          </w:p>
        </w:tc>
        <w:tc>
          <w:tcPr>
            <w:tcW w:w="1240" w:type="dxa"/>
            <w:tcBorders>
              <w:top w:val="nil"/>
              <w:left w:val="nil"/>
              <w:bottom w:val="single" w:sz="4" w:space="0" w:color="auto"/>
              <w:right w:val="single" w:sz="4" w:space="0" w:color="auto"/>
            </w:tcBorders>
            <w:shd w:val="clear" w:color="auto" w:fill="auto"/>
            <w:noWrap/>
            <w:vAlign w:val="center"/>
            <w:hideMark/>
          </w:tcPr>
          <w:p w14:paraId="6E48F032"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14</w:t>
            </w:r>
          </w:p>
        </w:tc>
        <w:tc>
          <w:tcPr>
            <w:tcW w:w="1240" w:type="dxa"/>
            <w:tcBorders>
              <w:top w:val="nil"/>
              <w:left w:val="nil"/>
              <w:bottom w:val="single" w:sz="4" w:space="0" w:color="auto"/>
              <w:right w:val="single" w:sz="4" w:space="0" w:color="auto"/>
            </w:tcBorders>
            <w:shd w:val="clear" w:color="auto" w:fill="auto"/>
            <w:noWrap/>
            <w:vAlign w:val="center"/>
            <w:hideMark/>
          </w:tcPr>
          <w:p w14:paraId="7F33A752"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0</w:t>
            </w:r>
          </w:p>
        </w:tc>
        <w:tc>
          <w:tcPr>
            <w:tcW w:w="1240" w:type="dxa"/>
            <w:tcBorders>
              <w:top w:val="nil"/>
              <w:left w:val="nil"/>
              <w:bottom w:val="single" w:sz="4" w:space="0" w:color="auto"/>
              <w:right w:val="nil"/>
            </w:tcBorders>
            <w:shd w:val="clear" w:color="auto" w:fill="auto"/>
            <w:noWrap/>
            <w:vAlign w:val="center"/>
            <w:hideMark/>
          </w:tcPr>
          <w:p w14:paraId="7BA6EA0C"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1</w:t>
            </w:r>
          </w:p>
        </w:tc>
        <w:tc>
          <w:tcPr>
            <w:tcW w:w="1140" w:type="dxa"/>
            <w:tcBorders>
              <w:top w:val="nil"/>
              <w:left w:val="single" w:sz="4" w:space="0" w:color="auto"/>
              <w:bottom w:val="single" w:sz="4" w:space="0" w:color="auto"/>
              <w:right w:val="nil"/>
            </w:tcBorders>
            <w:shd w:val="clear" w:color="auto" w:fill="auto"/>
            <w:noWrap/>
            <w:vAlign w:val="center"/>
            <w:hideMark/>
          </w:tcPr>
          <w:p w14:paraId="4D6DD8E7"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5,0</w:t>
            </w:r>
          </w:p>
        </w:tc>
        <w:tc>
          <w:tcPr>
            <w:tcW w:w="1297" w:type="dxa"/>
            <w:tcBorders>
              <w:top w:val="nil"/>
              <w:left w:val="single" w:sz="4" w:space="0" w:color="auto"/>
              <w:bottom w:val="single" w:sz="4" w:space="0" w:color="auto"/>
              <w:right w:val="nil"/>
            </w:tcBorders>
            <w:shd w:val="clear" w:color="auto" w:fill="auto"/>
            <w:noWrap/>
            <w:vAlign w:val="center"/>
            <w:hideMark/>
          </w:tcPr>
          <w:p w14:paraId="0A26EA37" w14:textId="77777777" w:rsidR="003855ED" w:rsidRPr="004E74A6" w:rsidRDefault="003855ED" w:rsidP="00832773">
            <w:pPr>
              <w:spacing w:line="276" w:lineRule="auto"/>
              <w:jc w:val="center"/>
              <w:rPr>
                <w:rFonts w:cs="Calibri"/>
                <w:color w:val="000000"/>
                <w:sz w:val="22"/>
                <w:szCs w:val="22"/>
                <w:lang w:eastAsia="es-CR"/>
              </w:rPr>
            </w:pPr>
            <w:r w:rsidRPr="004E74A6">
              <w:rPr>
                <w:rFonts w:cs="Calibri"/>
                <w:color w:val="000000"/>
                <w:sz w:val="22"/>
                <w:szCs w:val="22"/>
                <w:lang w:eastAsia="es-CR"/>
              </w:rPr>
              <w:t>100%</w:t>
            </w:r>
          </w:p>
        </w:tc>
      </w:tr>
    </w:tbl>
    <w:p w14:paraId="1D5EA7CA" w14:textId="77777777" w:rsidR="003855ED" w:rsidRPr="004E74A6" w:rsidRDefault="003855ED" w:rsidP="00832773">
      <w:pPr>
        <w:spacing w:line="276" w:lineRule="auto"/>
        <w:ind w:left="-284" w:right="51"/>
        <w:rPr>
          <w:rFonts w:cs="Calibri"/>
          <w:i/>
          <w:iCs/>
          <w:color w:val="000000"/>
          <w:sz w:val="20"/>
          <w:lang w:eastAsia="es-CR"/>
        </w:rPr>
      </w:pPr>
      <w:r w:rsidRPr="004E74A6">
        <w:rPr>
          <w:rFonts w:cs="Calibri"/>
          <w:b/>
          <w:bCs/>
          <w:i/>
          <w:iCs/>
          <w:color w:val="000000"/>
          <w:sz w:val="20"/>
          <w:lang w:eastAsia="es-CR"/>
        </w:rPr>
        <w:t>Fuente</w:t>
      </w:r>
      <w:r w:rsidRPr="004E74A6">
        <w:rPr>
          <w:rFonts w:cs="Calibri"/>
          <w:i/>
          <w:iCs/>
          <w:color w:val="000000"/>
          <w:sz w:val="20"/>
          <w:lang w:eastAsia="es-CR"/>
        </w:rPr>
        <w:t>: Subproceso de Modernización Institucional con datos extraídos del sistema SIGMA, Dirección de Planificación. Reporte cuantías 18-11-2022.</w:t>
      </w:r>
    </w:p>
    <w:p w14:paraId="2665F743" w14:textId="77777777" w:rsidR="005514AE" w:rsidRPr="004E74A6" w:rsidRDefault="005514AE" w:rsidP="00CE62C1">
      <w:pPr>
        <w:spacing w:after="160" w:line="276" w:lineRule="auto"/>
        <w:contextualSpacing/>
        <w:rPr>
          <w:rFonts w:eastAsia="Calibri"/>
          <w:szCs w:val="24"/>
          <w:lang w:eastAsia="en-US"/>
        </w:rPr>
      </w:pPr>
    </w:p>
    <w:p w14:paraId="5A8E5E39" w14:textId="0461945B" w:rsidR="005514AE" w:rsidRPr="004E74A6" w:rsidRDefault="005514AE" w:rsidP="00CE62C1">
      <w:pPr>
        <w:spacing w:after="160" w:line="276" w:lineRule="auto"/>
        <w:contextualSpacing/>
        <w:rPr>
          <w:rFonts w:eastAsia="Calibri"/>
          <w:szCs w:val="24"/>
          <w:lang w:eastAsia="en-US"/>
        </w:rPr>
      </w:pPr>
      <w:r w:rsidRPr="004E74A6">
        <w:rPr>
          <w:rFonts w:eastAsia="Calibri"/>
          <w:szCs w:val="24"/>
          <w:lang w:eastAsia="en-US"/>
        </w:rPr>
        <w:t xml:space="preserve">Como se observa de la tabla anterior, de incrementarse la cuantía a 20 </w:t>
      </w:r>
      <w:r w:rsidR="008D51C4" w:rsidRPr="004E74A6">
        <w:rPr>
          <w:rFonts w:eastAsia="Calibri"/>
          <w:szCs w:val="24"/>
          <w:lang w:eastAsia="en-US"/>
        </w:rPr>
        <w:t>millones,</w:t>
      </w:r>
      <w:r w:rsidRPr="004E74A6">
        <w:rPr>
          <w:rFonts w:eastAsia="Calibri"/>
          <w:szCs w:val="24"/>
          <w:lang w:eastAsia="en-US"/>
        </w:rPr>
        <w:t xml:space="preserve"> por ejemplo, en materia Civil </w:t>
      </w:r>
      <w:r w:rsidR="00CB5EFB" w:rsidRPr="00832773">
        <w:rPr>
          <w:rFonts w:eastAsia="Calibri"/>
          <w:szCs w:val="24"/>
          <w:lang w:eastAsia="en-US"/>
        </w:rPr>
        <w:t xml:space="preserve">los </w:t>
      </w:r>
      <w:r w:rsidR="00CB5EFB" w:rsidRPr="004E74A6">
        <w:rPr>
          <w:rFonts w:eastAsia="Calibri"/>
          <w:szCs w:val="24"/>
          <w:lang w:eastAsia="en-US"/>
        </w:rPr>
        <w:t>recursos</w:t>
      </w:r>
      <w:r w:rsidR="00CB5EFB" w:rsidRPr="00832773">
        <w:rPr>
          <w:rFonts w:eastAsia="Calibri"/>
          <w:szCs w:val="24"/>
          <w:lang w:eastAsia="en-US"/>
        </w:rPr>
        <w:t xml:space="preserve"> </w:t>
      </w:r>
      <w:r w:rsidR="00CC283B" w:rsidRPr="00832773">
        <w:rPr>
          <w:rFonts w:eastAsia="Calibri"/>
          <w:b/>
          <w:bCs/>
          <w:szCs w:val="24"/>
          <w:lang w:eastAsia="en-US"/>
        </w:rPr>
        <w:t>estimables</w:t>
      </w:r>
      <w:r w:rsidR="00CC283B" w:rsidRPr="00832773">
        <w:rPr>
          <w:rFonts w:eastAsia="Calibri"/>
          <w:szCs w:val="24"/>
          <w:lang w:eastAsia="en-US"/>
        </w:rPr>
        <w:t xml:space="preserve"> </w:t>
      </w:r>
      <w:r w:rsidR="00CB5EFB" w:rsidRPr="00832773">
        <w:rPr>
          <w:rFonts w:eastAsia="Calibri"/>
          <w:szCs w:val="24"/>
          <w:lang w:eastAsia="en-US"/>
        </w:rPr>
        <w:t xml:space="preserve">en el rango de ¢3.000.001 a ¢20.000.000 </w:t>
      </w:r>
      <w:r w:rsidR="00CB5EFB" w:rsidRPr="004E74A6">
        <w:rPr>
          <w:rFonts w:eastAsia="Calibri"/>
          <w:szCs w:val="24"/>
          <w:lang w:eastAsia="en-US"/>
        </w:rPr>
        <w:t xml:space="preserve">fueron de 2019 a 2021 en total de </w:t>
      </w:r>
      <w:r w:rsidR="00CC283B" w:rsidRPr="00832773">
        <w:rPr>
          <w:rFonts w:eastAsia="Calibri"/>
          <w:szCs w:val="24"/>
          <w:lang w:eastAsia="en-US"/>
        </w:rPr>
        <w:t xml:space="preserve">7 </w:t>
      </w:r>
      <w:r w:rsidR="00CB5EFB" w:rsidRPr="004E74A6">
        <w:rPr>
          <w:rFonts w:eastAsia="Calibri"/>
          <w:szCs w:val="24"/>
          <w:lang w:eastAsia="en-US"/>
        </w:rPr>
        <w:t>recu</w:t>
      </w:r>
      <w:r w:rsidRPr="004E74A6">
        <w:rPr>
          <w:rFonts w:eastAsia="Calibri"/>
          <w:szCs w:val="24"/>
          <w:lang w:eastAsia="en-US"/>
        </w:rPr>
        <w:t>rsos</w:t>
      </w:r>
      <w:r w:rsidR="00437E9D" w:rsidRPr="004E74A6">
        <w:rPr>
          <w:rFonts w:eastAsia="Calibri"/>
          <w:szCs w:val="24"/>
          <w:lang w:eastAsia="en-US"/>
        </w:rPr>
        <w:t xml:space="preserve">, </w:t>
      </w:r>
      <w:r w:rsidR="00CB5EFB" w:rsidRPr="00832773">
        <w:rPr>
          <w:rFonts w:eastAsia="Calibri"/>
          <w:szCs w:val="24"/>
          <w:lang w:eastAsia="en-US"/>
        </w:rPr>
        <w:t xml:space="preserve">para </w:t>
      </w:r>
      <w:r w:rsidR="00437E9D" w:rsidRPr="004E74A6">
        <w:rPr>
          <w:rFonts w:eastAsia="Calibri"/>
          <w:szCs w:val="24"/>
          <w:lang w:eastAsia="en-US"/>
        </w:rPr>
        <w:t xml:space="preserve">un promedio de 2 </w:t>
      </w:r>
      <w:r w:rsidR="00CB5EFB" w:rsidRPr="00832773">
        <w:rPr>
          <w:rFonts w:eastAsia="Calibri"/>
          <w:szCs w:val="24"/>
          <w:lang w:eastAsia="en-US"/>
        </w:rPr>
        <w:t xml:space="preserve">casaciones </w:t>
      </w:r>
      <w:r w:rsidR="00437E9D" w:rsidRPr="004E74A6">
        <w:rPr>
          <w:rFonts w:eastAsia="Calibri"/>
          <w:szCs w:val="24"/>
          <w:lang w:eastAsia="en-US"/>
        </w:rPr>
        <w:t xml:space="preserve">por año </w:t>
      </w:r>
      <w:r w:rsidRPr="004E74A6">
        <w:rPr>
          <w:rFonts w:eastAsia="Calibri"/>
          <w:szCs w:val="24"/>
          <w:lang w:eastAsia="en-US"/>
        </w:rPr>
        <w:t xml:space="preserve">que ya no serían </w:t>
      </w:r>
      <w:r w:rsidR="00437E9D" w:rsidRPr="004E74A6">
        <w:rPr>
          <w:rFonts w:eastAsia="Calibri"/>
          <w:szCs w:val="24"/>
          <w:lang w:eastAsia="en-US"/>
        </w:rPr>
        <w:t xml:space="preserve">recursos </w:t>
      </w:r>
      <w:r w:rsidRPr="004E74A6">
        <w:rPr>
          <w:rFonts w:eastAsia="Calibri"/>
          <w:szCs w:val="24"/>
          <w:lang w:eastAsia="en-US"/>
        </w:rPr>
        <w:t>de casación</w:t>
      </w:r>
      <w:r w:rsidR="00CB5EFB" w:rsidRPr="004E74A6">
        <w:rPr>
          <w:rFonts w:eastAsia="Calibri"/>
          <w:szCs w:val="24"/>
          <w:lang w:eastAsia="en-US"/>
        </w:rPr>
        <w:t xml:space="preserve"> Civil</w:t>
      </w:r>
      <w:r w:rsidRPr="004E74A6">
        <w:rPr>
          <w:rFonts w:eastAsia="Calibri"/>
          <w:szCs w:val="24"/>
          <w:lang w:eastAsia="en-US"/>
        </w:rPr>
        <w:t xml:space="preserve"> ante la Sala Segunda sino distribuidos en los Tribunales de Apelación Civil de todo el país</w:t>
      </w:r>
      <w:r w:rsidR="00437E9D" w:rsidRPr="004E74A6">
        <w:rPr>
          <w:rFonts w:eastAsia="Calibri"/>
          <w:szCs w:val="24"/>
          <w:lang w:eastAsia="en-US"/>
        </w:rPr>
        <w:t xml:space="preserve"> con recurso de apelación solamente</w:t>
      </w:r>
      <w:r w:rsidRPr="004E74A6">
        <w:rPr>
          <w:rFonts w:eastAsia="Calibri"/>
          <w:szCs w:val="24"/>
          <w:lang w:eastAsia="en-US"/>
        </w:rPr>
        <w:t xml:space="preserve">.  </w:t>
      </w:r>
    </w:p>
    <w:p w14:paraId="155E776B" w14:textId="0BFDE52F" w:rsidR="005514AE" w:rsidRPr="004E74A6" w:rsidRDefault="005514AE" w:rsidP="00CE62C1">
      <w:pPr>
        <w:spacing w:after="160" w:line="276" w:lineRule="auto"/>
        <w:contextualSpacing/>
        <w:rPr>
          <w:rFonts w:eastAsia="Calibri"/>
          <w:szCs w:val="24"/>
          <w:lang w:eastAsia="en-US"/>
        </w:rPr>
      </w:pPr>
    </w:p>
    <w:p w14:paraId="5C7C48EF" w14:textId="77777777" w:rsidR="003461EB" w:rsidRPr="00AE079F" w:rsidRDefault="003461EB" w:rsidP="00832773">
      <w:pPr>
        <w:keepNext/>
        <w:keepLines/>
        <w:numPr>
          <w:ilvl w:val="0"/>
          <w:numId w:val="2"/>
        </w:numPr>
        <w:shd w:val="clear" w:color="auto" w:fill="2F86BB"/>
        <w:spacing w:before="240" w:line="276" w:lineRule="auto"/>
        <w:outlineLvl w:val="0"/>
        <w:rPr>
          <w:b/>
          <w:color w:val="FFFFFF"/>
          <w:szCs w:val="24"/>
          <w:lang w:eastAsia="en-US"/>
        </w:rPr>
      </w:pPr>
      <w:r w:rsidRPr="003461EB">
        <w:rPr>
          <w:b/>
          <w:color w:val="FFFFFF"/>
          <w:szCs w:val="32"/>
          <w:lang w:eastAsia="en-US"/>
        </w:rPr>
        <w:t>Informe</w:t>
      </w:r>
      <w:r>
        <w:rPr>
          <w:b/>
          <w:color w:val="FFFFFF"/>
          <w:szCs w:val="24"/>
          <w:lang w:eastAsia="en-US"/>
        </w:rPr>
        <w:t xml:space="preserve"> puesto en consulta</w:t>
      </w:r>
    </w:p>
    <w:p w14:paraId="2706D3CA" w14:textId="77777777" w:rsidR="003461EB" w:rsidRDefault="003461EB" w:rsidP="003461EB">
      <w:pPr>
        <w:pStyle w:val="Prrafodelista"/>
        <w:spacing w:line="276" w:lineRule="auto"/>
        <w:ind w:left="0"/>
        <w:contextualSpacing/>
        <w:rPr>
          <w:lang w:val="es-CR"/>
        </w:rPr>
      </w:pPr>
    </w:p>
    <w:p w14:paraId="03A520F0" w14:textId="77777777" w:rsidR="00A37D98" w:rsidRDefault="00CF40D7" w:rsidP="00CF40D7">
      <w:pPr>
        <w:tabs>
          <w:tab w:val="num" w:pos="709"/>
        </w:tabs>
        <w:spacing w:line="276" w:lineRule="auto"/>
        <w:rPr>
          <w:rFonts w:cs="Book Antiqua"/>
          <w:color w:val="000000" w:themeColor="text1"/>
          <w:szCs w:val="24"/>
        </w:rPr>
      </w:pPr>
      <w:r w:rsidRPr="00AE079F">
        <w:rPr>
          <w:rFonts w:cs="Book Antiqua"/>
          <w:color w:val="000000" w:themeColor="text1"/>
          <w:szCs w:val="24"/>
        </w:rPr>
        <w:t>Co</w:t>
      </w:r>
      <w:r w:rsidR="0071480A">
        <w:rPr>
          <w:rFonts w:cs="Book Antiqua"/>
          <w:color w:val="000000" w:themeColor="text1"/>
          <w:szCs w:val="24"/>
        </w:rPr>
        <w:t xml:space="preserve">mo se indicó previamente, el preliminar de este </w:t>
      </w:r>
      <w:r w:rsidRPr="00AE079F">
        <w:rPr>
          <w:rFonts w:cs="Book Antiqua"/>
          <w:color w:val="000000" w:themeColor="text1"/>
          <w:szCs w:val="24"/>
        </w:rPr>
        <w:t xml:space="preserve">de este documento fue puesto en conocimiento mediante los siguientes oficios: </w:t>
      </w:r>
    </w:p>
    <w:p w14:paraId="51540329" w14:textId="77777777" w:rsidR="00A37D98" w:rsidRDefault="00A37D98" w:rsidP="00CF40D7">
      <w:pPr>
        <w:tabs>
          <w:tab w:val="num" w:pos="709"/>
        </w:tabs>
        <w:spacing w:line="276" w:lineRule="auto"/>
        <w:rPr>
          <w:rFonts w:cs="Book Antiqua"/>
          <w:color w:val="000000" w:themeColor="text1"/>
          <w:szCs w:val="24"/>
        </w:rPr>
      </w:pPr>
    </w:p>
    <w:tbl>
      <w:tblPr>
        <w:tblStyle w:val="Tablaconcuadrcula"/>
        <w:tblW w:w="8926" w:type="dxa"/>
        <w:jc w:val="center"/>
        <w:tblInd w:w="0" w:type="dxa"/>
        <w:tblLook w:val="04A0" w:firstRow="1" w:lastRow="0" w:firstColumn="1" w:lastColumn="0" w:noHBand="0" w:noVBand="1"/>
      </w:tblPr>
      <w:tblGrid>
        <w:gridCol w:w="2122"/>
        <w:gridCol w:w="1984"/>
        <w:gridCol w:w="4820"/>
      </w:tblGrid>
      <w:tr w:rsidR="00A37D98" w:rsidRPr="00AE079F" w14:paraId="6048CA5C" w14:textId="77777777" w:rsidTr="00AE079F">
        <w:trPr>
          <w:jc w:val="center"/>
        </w:trPr>
        <w:tc>
          <w:tcPr>
            <w:tcW w:w="2122" w:type="dxa"/>
            <w:shd w:val="clear" w:color="auto" w:fill="F2F2F2" w:themeFill="background1" w:themeFillShade="F2"/>
            <w:vAlign w:val="center"/>
          </w:tcPr>
          <w:p w14:paraId="182A8888" w14:textId="77777777" w:rsidR="00A37D98" w:rsidRPr="00AE079F" w:rsidRDefault="00A37D98" w:rsidP="00AE079F">
            <w:pPr>
              <w:spacing w:line="276" w:lineRule="auto"/>
              <w:jc w:val="center"/>
              <w:rPr>
                <w:rFonts w:cs="Book Antiqua"/>
                <w:b/>
                <w:bCs/>
                <w:color w:val="000000" w:themeColor="text1"/>
                <w:szCs w:val="24"/>
              </w:rPr>
            </w:pPr>
            <w:r w:rsidRPr="00AE079F">
              <w:rPr>
                <w:rFonts w:cs="Book Antiqua"/>
                <w:b/>
                <w:bCs/>
                <w:color w:val="000000" w:themeColor="text1"/>
                <w:szCs w:val="24"/>
              </w:rPr>
              <w:t>Oficio</w:t>
            </w:r>
          </w:p>
        </w:tc>
        <w:tc>
          <w:tcPr>
            <w:tcW w:w="1984" w:type="dxa"/>
            <w:shd w:val="clear" w:color="auto" w:fill="F2F2F2" w:themeFill="background1" w:themeFillShade="F2"/>
            <w:vAlign w:val="center"/>
          </w:tcPr>
          <w:p w14:paraId="32C4916A" w14:textId="77777777" w:rsidR="00A37D98" w:rsidRPr="00AE079F" w:rsidRDefault="00A37D98" w:rsidP="00AE079F">
            <w:pPr>
              <w:spacing w:line="276" w:lineRule="auto"/>
              <w:jc w:val="center"/>
              <w:rPr>
                <w:rFonts w:cs="Book Antiqua"/>
                <w:b/>
                <w:bCs/>
                <w:color w:val="000000" w:themeColor="text1"/>
                <w:szCs w:val="24"/>
              </w:rPr>
            </w:pPr>
            <w:r w:rsidRPr="00AE079F">
              <w:rPr>
                <w:rFonts w:cs="Book Antiqua"/>
                <w:b/>
                <w:bCs/>
                <w:color w:val="000000" w:themeColor="text1"/>
                <w:szCs w:val="24"/>
              </w:rPr>
              <w:t>Fecha</w:t>
            </w:r>
          </w:p>
        </w:tc>
        <w:tc>
          <w:tcPr>
            <w:tcW w:w="4820" w:type="dxa"/>
            <w:shd w:val="clear" w:color="auto" w:fill="F2F2F2" w:themeFill="background1" w:themeFillShade="F2"/>
            <w:vAlign w:val="center"/>
          </w:tcPr>
          <w:p w14:paraId="3A0B5857" w14:textId="77777777" w:rsidR="00A37D98" w:rsidRPr="00AE079F" w:rsidRDefault="00A37D98" w:rsidP="00AE079F">
            <w:pPr>
              <w:spacing w:line="276" w:lineRule="auto"/>
              <w:jc w:val="center"/>
              <w:rPr>
                <w:rFonts w:cs="Book Antiqua"/>
                <w:b/>
                <w:bCs/>
                <w:color w:val="000000" w:themeColor="text1"/>
                <w:szCs w:val="24"/>
              </w:rPr>
            </w:pPr>
            <w:r w:rsidRPr="00AE079F">
              <w:rPr>
                <w:rFonts w:cs="Book Antiqua"/>
                <w:b/>
                <w:bCs/>
                <w:color w:val="000000" w:themeColor="text1"/>
                <w:szCs w:val="24"/>
              </w:rPr>
              <w:t>Destinatarios</w:t>
            </w:r>
          </w:p>
        </w:tc>
      </w:tr>
      <w:tr w:rsidR="00A37D98" w14:paraId="00FBF351" w14:textId="77777777" w:rsidTr="00AE079F">
        <w:trPr>
          <w:jc w:val="center"/>
        </w:trPr>
        <w:tc>
          <w:tcPr>
            <w:tcW w:w="2122" w:type="dxa"/>
            <w:vAlign w:val="center"/>
          </w:tcPr>
          <w:p w14:paraId="63881392" w14:textId="77777777" w:rsidR="00A37D98" w:rsidRDefault="00A37D98" w:rsidP="00AE079F">
            <w:pPr>
              <w:spacing w:line="276" w:lineRule="auto"/>
              <w:jc w:val="left"/>
              <w:rPr>
                <w:rFonts w:cs="Book Antiqua"/>
                <w:color w:val="000000" w:themeColor="text1"/>
                <w:szCs w:val="24"/>
              </w:rPr>
            </w:pPr>
            <w:r w:rsidRPr="00AE079F">
              <w:rPr>
                <w:rFonts w:cs="Book Antiqua"/>
                <w:color w:val="000000" w:themeColor="text1"/>
                <w:szCs w:val="24"/>
              </w:rPr>
              <w:t>779-PLA-MI-2022</w:t>
            </w:r>
          </w:p>
        </w:tc>
        <w:tc>
          <w:tcPr>
            <w:tcW w:w="1984" w:type="dxa"/>
            <w:vAlign w:val="center"/>
          </w:tcPr>
          <w:p w14:paraId="7663B44F" w14:textId="77777777" w:rsidR="00A37D98" w:rsidRDefault="00A37D98" w:rsidP="00AE079F">
            <w:pPr>
              <w:spacing w:line="276" w:lineRule="auto"/>
              <w:jc w:val="left"/>
              <w:rPr>
                <w:rFonts w:cs="Book Antiqua"/>
                <w:color w:val="000000" w:themeColor="text1"/>
                <w:szCs w:val="24"/>
              </w:rPr>
            </w:pPr>
            <w:r w:rsidRPr="00AE079F">
              <w:rPr>
                <w:rFonts w:cs="Book Antiqua"/>
                <w:color w:val="000000" w:themeColor="text1"/>
                <w:szCs w:val="24"/>
              </w:rPr>
              <w:t>02 de setiembre de 2022</w:t>
            </w:r>
          </w:p>
        </w:tc>
        <w:tc>
          <w:tcPr>
            <w:tcW w:w="4820" w:type="dxa"/>
            <w:vAlign w:val="center"/>
          </w:tcPr>
          <w:p w14:paraId="6A092698" w14:textId="77777777" w:rsidR="00A37D98" w:rsidRDefault="00A37D98" w:rsidP="00AE079F">
            <w:pPr>
              <w:spacing w:line="276" w:lineRule="auto"/>
              <w:jc w:val="left"/>
              <w:rPr>
                <w:rFonts w:cs="Book Antiqua"/>
                <w:color w:val="000000" w:themeColor="text1"/>
                <w:szCs w:val="24"/>
              </w:rPr>
            </w:pPr>
            <w:r w:rsidRPr="00AE079F">
              <w:rPr>
                <w:rFonts w:cs="Book Antiqua"/>
                <w:color w:val="000000" w:themeColor="text1"/>
                <w:szCs w:val="24"/>
              </w:rPr>
              <w:t>Sala Primera</w:t>
            </w:r>
          </w:p>
          <w:p w14:paraId="7C1A84A2" w14:textId="77777777" w:rsidR="00A37D98" w:rsidRDefault="00A37D98" w:rsidP="00AE079F">
            <w:pPr>
              <w:spacing w:line="276" w:lineRule="auto"/>
              <w:jc w:val="left"/>
              <w:rPr>
                <w:color w:val="000000" w:themeColor="text1"/>
                <w:szCs w:val="24"/>
              </w:rPr>
            </w:pPr>
            <w:r w:rsidRPr="00AE079F">
              <w:rPr>
                <w:color w:val="000000" w:themeColor="text1"/>
                <w:szCs w:val="24"/>
              </w:rPr>
              <w:t>Centro de Apoyo, Coordinación y Mejoramiento de la Función Jurisdiccional</w:t>
            </w:r>
          </w:p>
          <w:p w14:paraId="205F3EE1" w14:textId="77777777" w:rsidR="00A37D98" w:rsidRDefault="00A37D98" w:rsidP="00AE079F">
            <w:pPr>
              <w:spacing w:line="276" w:lineRule="auto"/>
              <w:jc w:val="left"/>
              <w:rPr>
                <w:rFonts w:cs="Book Antiqua"/>
                <w:color w:val="000000" w:themeColor="text1"/>
                <w:szCs w:val="24"/>
              </w:rPr>
            </w:pPr>
            <w:r w:rsidRPr="00AE079F">
              <w:rPr>
                <w:color w:val="000000" w:themeColor="text1"/>
                <w:szCs w:val="24"/>
              </w:rPr>
              <w:t>Comisión de la Jurisdicción Civil</w:t>
            </w:r>
          </w:p>
        </w:tc>
      </w:tr>
      <w:tr w:rsidR="00A37D98" w14:paraId="09654394" w14:textId="77777777" w:rsidTr="00AE079F">
        <w:trPr>
          <w:jc w:val="center"/>
        </w:trPr>
        <w:tc>
          <w:tcPr>
            <w:tcW w:w="2122" w:type="dxa"/>
            <w:vAlign w:val="center"/>
          </w:tcPr>
          <w:p w14:paraId="5CB21908" w14:textId="77777777" w:rsidR="00A37D98" w:rsidRDefault="00A37D98" w:rsidP="00AE079F">
            <w:pPr>
              <w:spacing w:line="276" w:lineRule="auto"/>
              <w:jc w:val="left"/>
              <w:rPr>
                <w:rFonts w:cs="Book Antiqua"/>
                <w:color w:val="000000" w:themeColor="text1"/>
                <w:szCs w:val="24"/>
              </w:rPr>
            </w:pPr>
            <w:r w:rsidRPr="00AE079F">
              <w:rPr>
                <w:color w:val="000000" w:themeColor="text1"/>
                <w:szCs w:val="24"/>
              </w:rPr>
              <w:t>998-PLA-MI(NPL)-2022</w:t>
            </w:r>
          </w:p>
        </w:tc>
        <w:tc>
          <w:tcPr>
            <w:tcW w:w="1984" w:type="dxa"/>
            <w:vAlign w:val="center"/>
          </w:tcPr>
          <w:p w14:paraId="377720FF" w14:textId="77777777" w:rsidR="00A37D98" w:rsidRDefault="00A37D98" w:rsidP="00AE079F">
            <w:pPr>
              <w:spacing w:line="276" w:lineRule="auto"/>
              <w:jc w:val="left"/>
              <w:rPr>
                <w:rFonts w:cs="Book Antiqua"/>
                <w:color w:val="000000" w:themeColor="text1"/>
                <w:szCs w:val="24"/>
              </w:rPr>
            </w:pPr>
            <w:r w:rsidRPr="00AE079F">
              <w:rPr>
                <w:color w:val="000000" w:themeColor="text1"/>
                <w:szCs w:val="24"/>
              </w:rPr>
              <w:t>26 de octubre de 2022</w:t>
            </w:r>
          </w:p>
        </w:tc>
        <w:tc>
          <w:tcPr>
            <w:tcW w:w="4820" w:type="dxa"/>
            <w:vAlign w:val="center"/>
          </w:tcPr>
          <w:p w14:paraId="7039BAD0" w14:textId="77777777" w:rsidR="00A37D98" w:rsidRDefault="00A37D98" w:rsidP="00AE079F">
            <w:pPr>
              <w:spacing w:line="276" w:lineRule="auto"/>
              <w:jc w:val="left"/>
              <w:rPr>
                <w:color w:val="000000" w:themeColor="text1"/>
                <w:szCs w:val="24"/>
              </w:rPr>
            </w:pPr>
            <w:r w:rsidRPr="00AE079F">
              <w:rPr>
                <w:color w:val="000000" w:themeColor="text1"/>
                <w:szCs w:val="24"/>
              </w:rPr>
              <w:t>Comisión de la Jurisdicción Contenciosa-Administrativa</w:t>
            </w:r>
          </w:p>
          <w:p w14:paraId="71C0B824" w14:textId="77777777" w:rsidR="00A37D98" w:rsidRDefault="00A37D98" w:rsidP="00AE079F">
            <w:pPr>
              <w:spacing w:line="276" w:lineRule="auto"/>
              <w:jc w:val="left"/>
              <w:rPr>
                <w:rFonts w:cs="Book Antiqua"/>
                <w:color w:val="000000" w:themeColor="text1"/>
                <w:szCs w:val="24"/>
              </w:rPr>
            </w:pPr>
            <w:r>
              <w:rPr>
                <w:color w:val="000000" w:themeColor="text1"/>
                <w:szCs w:val="24"/>
              </w:rPr>
              <w:t>C</w:t>
            </w:r>
            <w:r w:rsidRPr="00AE079F">
              <w:rPr>
                <w:color w:val="000000" w:themeColor="text1"/>
                <w:szCs w:val="24"/>
              </w:rPr>
              <w:t>omisión de la Jurisdicción Agraria</w:t>
            </w:r>
          </w:p>
        </w:tc>
      </w:tr>
      <w:tr w:rsidR="00A37D98" w14:paraId="44B649AD" w14:textId="77777777" w:rsidTr="00AE079F">
        <w:trPr>
          <w:jc w:val="center"/>
        </w:trPr>
        <w:tc>
          <w:tcPr>
            <w:tcW w:w="2122" w:type="dxa"/>
            <w:vAlign w:val="center"/>
          </w:tcPr>
          <w:p w14:paraId="0CDE3A0B" w14:textId="77777777" w:rsidR="00A37D98" w:rsidRPr="00AE079F" w:rsidRDefault="00A37D98" w:rsidP="00AE079F">
            <w:pPr>
              <w:spacing w:line="276" w:lineRule="auto"/>
              <w:jc w:val="left"/>
              <w:rPr>
                <w:color w:val="000000" w:themeColor="text1"/>
                <w:szCs w:val="24"/>
              </w:rPr>
            </w:pPr>
            <w:r w:rsidRPr="00AE079F">
              <w:rPr>
                <w:color w:val="000000" w:themeColor="text1"/>
                <w:szCs w:val="24"/>
              </w:rPr>
              <w:t>1027-PLA-MI(NPL)-2022</w:t>
            </w:r>
          </w:p>
        </w:tc>
        <w:tc>
          <w:tcPr>
            <w:tcW w:w="1984" w:type="dxa"/>
            <w:vAlign w:val="center"/>
          </w:tcPr>
          <w:p w14:paraId="44657117" w14:textId="77777777" w:rsidR="00A37D98" w:rsidRPr="00AE079F" w:rsidRDefault="00A37D98" w:rsidP="00AE079F">
            <w:pPr>
              <w:spacing w:line="276" w:lineRule="auto"/>
              <w:jc w:val="left"/>
              <w:rPr>
                <w:color w:val="000000" w:themeColor="text1"/>
                <w:szCs w:val="24"/>
              </w:rPr>
            </w:pPr>
            <w:r w:rsidRPr="00AE079F">
              <w:rPr>
                <w:color w:val="000000" w:themeColor="text1"/>
                <w:szCs w:val="24"/>
              </w:rPr>
              <w:t>26 de octubre de 2022.</w:t>
            </w:r>
          </w:p>
        </w:tc>
        <w:tc>
          <w:tcPr>
            <w:tcW w:w="4820" w:type="dxa"/>
            <w:vAlign w:val="center"/>
          </w:tcPr>
          <w:p w14:paraId="02B068EF" w14:textId="77777777" w:rsidR="00A37D98" w:rsidRDefault="00A37D98" w:rsidP="00AE079F">
            <w:pPr>
              <w:spacing w:line="276" w:lineRule="auto"/>
              <w:jc w:val="left"/>
              <w:rPr>
                <w:rFonts w:cs="Book Antiqua"/>
                <w:color w:val="000000" w:themeColor="text1"/>
                <w:szCs w:val="24"/>
              </w:rPr>
            </w:pPr>
            <w:r w:rsidRPr="00AE079F">
              <w:rPr>
                <w:color w:val="000000" w:themeColor="text1"/>
                <w:szCs w:val="24"/>
              </w:rPr>
              <w:t>Sala Segunda</w:t>
            </w:r>
          </w:p>
        </w:tc>
      </w:tr>
    </w:tbl>
    <w:p w14:paraId="6685B361" w14:textId="77777777" w:rsidR="00A37D98" w:rsidRDefault="00A37D98" w:rsidP="00CF40D7">
      <w:pPr>
        <w:tabs>
          <w:tab w:val="num" w:pos="709"/>
        </w:tabs>
        <w:spacing w:line="276" w:lineRule="auto"/>
        <w:rPr>
          <w:rFonts w:cs="Book Antiqua"/>
          <w:color w:val="000000" w:themeColor="text1"/>
          <w:szCs w:val="24"/>
        </w:rPr>
      </w:pPr>
    </w:p>
    <w:p w14:paraId="2FDB5CF8" w14:textId="77777777" w:rsidR="005D1B48" w:rsidRDefault="005D1B48" w:rsidP="00CF40D7">
      <w:pPr>
        <w:tabs>
          <w:tab w:val="num" w:pos="709"/>
        </w:tabs>
        <w:spacing w:line="276" w:lineRule="auto"/>
        <w:rPr>
          <w:rFonts w:cs="Book Antiqua"/>
          <w:color w:val="000000" w:themeColor="text1"/>
          <w:szCs w:val="24"/>
        </w:rPr>
      </w:pPr>
    </w:p>
    <w:p w14:paraId="105A1381" w14:textId="77777777" w:rsidR="005D1B48" w:rsidRDefault="005D1B48" w:rsidP="00CF40D7">
      <w:pPr>
        <w:tabs>
          <w:tab w:val="num" w:pos="709"/>
        </w:tabs>
        <w:spacing w:line="276" w:lineRule="auto"/>
        <w:rPr>
          <w:rFonts w:cs="Book Antiqua"/>
          <w:color w:val="000000" w:themeColor="text1"/>
          <w:szCs w:val="24"/>
        </w:rPr>
      </w:pPr>
    </w:p>
    <w:p w14:paraId="14FFF344" w14:textId="0D8A5E8E" w:rsidR="00CF40D7" w:rsidRPr="00AE079F" w:rsidRDefault="00CF40D7" w:rsidP="00CF40D7">
      <w:pPr>
        <w:tabs>
          <w:tab w:val="num" w:pos="709"/>
        </w:tabs>
        <w:spacing w:line="276" w:lineRule="auto"/>
        <w:rPr>
          <w:rFonts w:cs="Book Antiqua"/>
          <w:color w:val="000000" w:themeColor="text1"/>
          <w:szCs w:val="24"/>
        </w:rPr>
      </w:pPr>
      <w:r w:rsidRPr="00AE079F">
        <w:rPr>
          <w:rFonts w:cs="Book Antiqua"/>
          <w:color w:val="000000" w:themeColor="text1"/>
          <w:szCs w:val="24"/>
        </w:rPr>
        <w:lastRenderedPageBreak/>
        <w:t>De los oficios puestos en consulta se recibieron las siguientes respuestas:</w:t>
      </w:r>
    </w:p>
    <w:p w14:paraId="3A244661" w14:textId="77777777" w:rsidR="00CF40D7" w:rsidRPr="00AE079F" w:rsidRDefault="00CF40D7" w:rsidP="00CF40D7">
      <w:pPr>
        <w:tabs>
          <w:tab w:val="num" w:pos="709"/>
        </w:tabs>
        <w:spacing w:line="276" w:lineRule="auto"/>
        <w:rPr>
          <w:color w:val="000000" w:themeColor="text1"/>
        </w:rPr>
      </w:pPr>
    </w:p>
    <w:p w14:paraId="1CACC671" w14:textId="77777777" w:rsidR="00CF40D7" w:rsidRPr="00AE079F" w:rsidRDefault="00CF40D7" w:rsidP="00CF40D7">
      <w:pPr>
        <w:numPr>
          <w:ilvl w:val="0"/>
          <w:numId w:val="38"/>
        </w:numPr>
        <w:spacing w:line="276" w:lineRule="auto"/>
        <w:ind w:left="714" w:hanging="357"/>
        <w:rPr>
          <w:color w:val="000000" w:themeColor="text1"/>
          <w:szCs w:val="24"/>
        </w:rPr>
      </w:pPr>
      <w:r w:rsidRPr="00AE079F">
        <w:rPr>
          <w:color w:val="000000" w:themeColor="text1"/>
          <w:szCs w:val="24"/>
        </w:rPr>
        <w:t xml:space="preserve">Oficio </w:t>
      </w:r>
      <w:r w:rsidRPr="00AE079F">
        <w:rPr>
          <w:rFonts w:cs="Book Antiqua"/>
          <w:color w:val="000000" w:themeColor="text1"/>
          <w:szCs w:val="24"/>
        </w:rPr>
        <w:t>291-CACMFJ-JEF-2022 del Centro de Apoyo, Coordinación y Mejoramiento de la Función Jurisdiccional del 13 de setiembre de 2022</w:t>
      </w:r>
      <w:r w:rsidRPr="004E74A6">
        <w:rPr>
          <w:rFonts w:cs="Book Antiqua"/>
          <w:color w:val="000000" w:themeColor="text1"/>
          <w:szCs w:val="24"/>
        </w:rPr>
        <w:t xml:space="preserve"> (anexo 15)</w:t>
      </w:r>
      <w:r w:rsidRPr="00AE079F">
        <w:rPr>
          <w:rFonts w:cs="Book Antiqua"/>
          <w:color w:val="000000" w:themeColor="text1"/>
          <w:szCs w:val="24"/>
        </w:rPr>
        <w:t>.</w:t>
      </w:r>
    </w:p>
    <w:p w14:paraId="2B45904E" w14:textId="77777777" w:rsidR="00CF40D7" w:rsidRPr="00AE079F" w:rsidRDefault="00CF40D7" w:rsidP="00CF40D7">
      <w:pPr>
        <w:numPr>
          <w:ilvl w:val="0"/>
          <w:numId w:val="38"/>
        </w:numPr>
        <w:spacing w:line="276" w:lineRule="auto"/>
        <w:ind w:left="714" w:hanging="357"/>
        <w:rPr>
          <w:color w:val="000000" w:themeColor="text1"/>
          <w:szCs w:val="24"/>
        </w:rPr>
      </w:pPr>
      <w:r w:rsidRPr="00AE079F">
        <w:rPr>
          <w:rFonts w:cs="Book Antiqua"/>
          <w:color w:val="000000" w:themeColor="text1"/>
          <w:szCs w:val="24"/>
        </w:rPr>
        <w:t>Correo electrónico del 14 de setiembre 2022 del Equipo Gestor en Materia Civil con observaciones al informe 779-PLA-MI-2022</w:t>
      </w:r>
      <w:r w:rsidRPr="004E74A6">
        <w:rPr>
          <w:rFonts w:cs="Book Antiqua"/>
          <w:color w:val="000000" w:themeColor="text1"/>
          <w:szCs w:val="24"/>
        </w:rPr>
        <w:t xml:space="preserve"> (anexo 16)</w:t>
      </w:r>
      <w:r w:rsidRPr="00AE079F">
        <w:rPr>
          <w:rFonts w:cs="Book Antiqua"/>
          <w:color w:val="000000" w:themeColor="text1"/>
          <w:szCs w:val="24"/>
        </w:rPr>
        <w:t>.</w:t>
      </w:r>
    </w:p>
    <w:p w14:paraId="26BDBD1B" w14:textId="77777777" w:rsidR="00CF40D7" w:rsidRPr="00AE079F" w:rsidRDefault="00CF40D7" w:rsidP="00CF40D7">
      <w:pPr>
        <w:numPr>
          <w:ilvl w:val="0"/>
          <w:numId w:val="38"/>
        </w:numPr>
        <w:spacing w:line="276" w:lineRule="auto"/>
        <w:ind w:left="714" w:hanging="357"/>
        <w:rPr>
          <w:color w:val="000000" w:themeColor="text1"/>
          <w:szCs w:val="24"/>
        </w:rPr>
      </w:pPr>
      <w:r w:rsidRPr="00AE079F">
        <w:rPr>
          <w:rFonts w:cs="Book Antiqua"/>
          <w:color w:val="000000" w:themeColor="text1"/>
          <w:szCs w:val="24"/>
        </w:rPr>
        <w:t>Retroalimentación según consta en la Minuta 803-PLA-MI(NPL)-MNTA-2022 luego de la presentación del oficio 779-PLA-MI-2022 a personas integrantes de la Sala Primera el día 29 de setiembre de 2022</w:t>
      </w:r>
      <w:r w:rsidRPr="004E74A6">
        <w:rPr>
          <w:rFonts w:cs="Book Antiqua"/>
          <w:color w:val="000000" w:themeColor="text1"/>
          <w:szCs w:val="24"/>
        </w:rPr>
        <w:t xml:space="preserve"> (anexo 19).</w:t>
      </w:r>
    </w:p>
    <w:p w14:paraId="580C7432" w14:textId="77777777" w:rsidR="00CF40D7" w:rsidRPr="00AE079F" w:rsidRDefault="00CF40D7" w:rsidP="00CF40D7">
      <w:pPr>
        <w:numPr>
          <w:ilvl w:val="0"/>
          <w:numId w:val="38"/>
        </w:numPr>
        <w:spacing w:line="276" w:lineRule="auto"/>
        <w:ind w:left="714" w:hanging="357"/>
        <w:rPr>
          <w:color w:val="000000" w:themeColor="text1"/>
          <w:szCs w:val="24"/>
        </w:rPr>
      </w:pPr>
      <w:r w:rsidRPr="00AE079F">
        <w:rPr>
          <w:rFonts w:cs="Book Antiqua"/>
          <w:color w:val="000000" w:themeColor="text1"/>
          <w:szCs w:val="24"/>
        </w:rPr>
        <w:t xml:space="preserve">Oficio 227-CJC-2022 del 05 de octubre del 2022 de la Comisión de la Jurisdicción Civil </w:t>
      </w:r>
      <w:r w:rsidRPr="004E74A6">
        <w:rPr>
          <w:rFonts w:cs="Book Antiqua"/>
          <w:color w:val="000000" w:themeColor="text1"/>
          <w:szCs w:val="24"/>
        </w:rPr>
        <w:t>que comunicó el</w:t>
      </w:r>
      <w:r w:rsidRPr="00AE079F">
        <w:rPr>
          <w:rFonts w:cs="Book Antiqua"/>
          <w:color w:val="000000" w:themeColor="text1"/>
          <w:szCs w:val="24"/>
        </w:rPr>
        <w:t xml:space="preserve"> acuerdo de</w:t>
      </w:r>
      <w:r w:rsidRPr="004E74A6">
        <w:rPr>
          <w:rFonts w:cs="Book Antiqua"/>
          <w:color w:val="000000" w:themeColor="text1"/>
          <w:szCs w:val="24"/>
        </w:rPr>
        <w:t xml:space="preserve"> la</w:t>
      </w:r>
      <w:r w:rsidRPr="00AE079F">
        <w:rPr>
          <w:rFonts w:cs="Book Antiqua"/>
          <w:color w:val="000000" w:themeColor="text1"/>
          <w:szCs w:val="24"/>
        </w:rPr>
        <w:t xml:space="preserve"> sesión 12-2022, celebrada el 27 de setiembre de 2022, artículo II</w:t>
      </w:r>
      <w:r w:rsidRPr="004E74A6">
        <w:rPr>
          <w:rFonts w:cs="Book Antiqua"/>
          <w:color w:val="000000" w:themeColor="text1"/>
          <w:szCs w:val="24"/>
        </w:rPr>
        <w:t xml:space="preserve"> (anexo 20)</w:t>
      </w:r>
    </w:p>
    <w:p w14:paraId="70D295A0" w14:textId="77777777" w:rsidR="00CF40D7" w:rsidRPr="00AE079F" w:rsidRDefault="00CF40D7" w:rsidP="00CF40D7">
      <w:pPr>
        <w:numPr>
          <w:ilvl w:val="0"/>
          <w:numId w:val="38"/>
        </w:numPr>
        <w:spacing w:line="276" w:lineRule="auto"/>
        <w:ind w:left="714" w:hanging="357"/>
        <w:rPr>
          <w:color w:val="000000" w:themeColor="text1"/>
          <w:szCs w:val="24"/>
        </w:rPr>
      </w:pPr>
      <w:r w:rsidRPr="00AE079F">
        <w:rPr>
          <w:rFonts w:cs="Book Antiqua"/>
          <w:color w:val="000000" w:themeColor="text1"/>
          <w:szCs w:val="24"/>
        </w:rPr>
        <w:t>Oficio 805-SS1-2022 del 06 de octubre del 2022 de la Sala Primera solicitando prórroga al 13 de octubre de 2022 para compartir la posición de dicha cámara en relación con el informe preliminar 779-PLA-MI-2022</w:t>
      </w:r>
      <w:r w:rsidRPr="004E74A6">
        <w:rPr>
          <w:rFonts w:cs="Book Antiqua"/>
          <w:color w:val="000000" w:themeColor="text1"/>
          <w:szCs w:val="24"/>
        </w:rPr>
        <w:t xml:space="preserve"> (anexo 21)</w:t>
      </w:r>
      <w:r w:rsidRPr="00AE079F">
        <w:rPr>
          <w:rFonts w:cs="Book Antiqua"/>
          <w:color w:val="000000" w:themeColor="text1"/>
          <w:szCs w:val="24"/>
        </w:rPr>
        <w:t>.</w:t>
      </w:r>
    </w:p>
    <w:p w14:paraId="59C317CE" w14:textId="77777777" w:rsidR="00CF40D7" w:rsidRPr="00AE079F" w:rsidRDefault="00CF40D7" w:rsidP="00CF40D7">
      <w:pPr>
        <w:numPr>
          <w:ilvl w:val="0"/>
          <w:numId w:val="38"/>
        </w:numPr>
        <w:spacing w:line="276" w:lineRule="auto"/>
        <w:ind w:left="714" w:hanging="357"/>
        <w:rPr>
          <w:color w:val="000000" w:themeColor="text1"/>
          <w:szCs w:val="24"/>
        </w:rPr>
      </w:pPr>
      <w:r w:rsidRPr="00AE079F">
        <w:rPr>
          <w:rFonts w:cs="Book Antiqua"/>
          <w:color w:val="000000" w:themeColor="text1"/>
          <w:szCs w:val="24"/>
        </w:rPr>
        <w:t>Oficio PS1-43-2022 del 13 de octubre de 2022 por parte del Magistrado Presidente de Sala Primera, Luis Guillermo Rivas Loáiciga, con una serie de observaciones de forma y fondo planteadas por las Magistradas y Magistrado</w:t>
      </w:r>
      <w:r w:rsidRPr="004E74A6">
        <w:rPr>
          <w:rFonts w:cs="Book Antiqua"/>
          <w:color w:val="000000" w:themeColor="text1"/>
          <w:szCs w:val="24"/>
        </w:rPr>
        <w:t>s</w:t>
      </w:r>
      <w:r w:rsidRPr="00AE079F">
        <w:rPr>
          <w:rFonts w:cs="Book Antiqua"/>
          <w:color w:val="000000" w:themeColor="text1"/>
          <w:szCs w:val="24"/>
        </w:rPr>
        <w:t xml:space="preserve"> de Sala Primera</w:t>
      </w:r>
      <w:r w:rsidRPr="004E74A6">
        <w:rPr>
          <w:rFonts w:cs="Book Antiqua"/>
          <w:color w:val="000000" w:themeColor="text1"/>
          <w:szCs w:val="24"/>
        </w:rPr>
        <w:t xml:space="preserve"> anexo 22)</w:t>
      </w:r>
      <w:r w:rsidRPr="00AE079F">
        <w:rPr>
          <w:rFonts w:cs="Book Antiqua"/>
          <w:color w:val="000000" w:themeColor="text1"/>
          <w:szCs w:val="24"/>
        </w:rPr>
        <w:t xml:space="preserve">. </w:t>
      </w:r>
    </w:p>
    <w:p w14:paraId="2C751D44" w14:textId="77777777" w:rsidR="00CF40D7" w:rsidRPr="00AE079F" w:rsidRDefault="00CF40D7" w:rsidP="00CF40D7">
      <w:pPr>
        <w:numPr>
          <w:ilvl w:val="0"/>
          <w:numId w:val="38"/>
        </w:numPr>
        <w:spacing w:line="276" w:lineRule="auto"/>
        <w:ind w:left="714" w:hanging="357"/>
        <w:rPr>
          <w:color w:val="000000" w:themeColor="text1"/>
          <w:szCs w:val="24"/>
        </w:rPr>
      </w:pPr>
      <w:r w:rsidRPr="00AE079F">
        <w:rPr>
          <w:color w:val="000000" w:themeColor="text1"/>
          <w:szCs w:val="24"/>
        </w:rPr>
        <w:t>Oficio 3</w:t>
      </w:r>
      <w:r w:rsidRPr="004E74A6">
        <w:rPr>
          <w:color w:val="000000" w:themeColor="text1"/>
          <w:szCs w:val="24"/>
        </w:rPr>
        <w:t>17</w:t>
      </w:r>
      <w:r w:rsidRPr="00AE079F">
        <w:rPr>
          <w:color w:val="000000" w:themeColor="text1"/>
          <w:szCs w:val="24"/>
        </w:rPr>
        <w:t xml:space="preserve">-CJC-2022 de la Comisión de la Jurisdicción Civil con fecha del 01 de noviembre de 2022 </w:t>
      </w:r>
      <w:r w:rsidRPr="004E74A6">
        <w:rPr>
          <w:color w:val="000000" w:themeColor="text1"/>
          <w:szCs w:val="24"/>
        </w:rPr>
        <w:t xml:space="preserve">que comunicó el acuerdo de la </w:t>
      </w:r>
      <w:r w:rsidRPr="00AE079F">
        <w:rPr>
          <w:color w:val="000000" w:themeColor="text1"/>
          <w:szCs w:val="24"/>
        </w:rPr>
        <w:t>sesión 15-2022, celebrada el 01 de noviembre de 2022, artículo único</w:t>
      </w:r>
      <w:r w:rsidRPr="004E74A6">
        <w:rPr>
          <w:color w:val="000000" w:themeColor="text1"/>
          <w:szCs w:val="24"/>
        </w:rPr>
        <w:t xml:space="preserve"> (anexo 23)</w:t>
      </w:r>
      <w:r w:rsidRPr="00AE079F">
        <w:rPr>
          <w:color w:val="000000" w:themeColor="text1"/>
          <w:szCs w:val="24"/>
        </w:rPr>
        <w:t>.</w:t>
      </w:r>
    </w:p>
    <w:p w14:paraId="3DA463A9" w14:textId="77777777" w:rsidR="00CF40D7" w:rsidRDefault="00CF40D7" w:rsidP="003461EB">
      <w:pPr>
        <w:pStyle w:val="Prrafodelista"/>
        <w:spacing w:line="276" w:lineRule="auto"/>
        <w:ind w:left="0"/>
        <w:contextualSpacing/>
        <w:rPr>
          <w:lang w:val="es-CR"/>
        </w:rPr>
      </w:pPr>
    </w:p>
    <w:p w14:paraId="4BF7B37D" w14:textId="5DEC003E" w:rsidR="003461EB" w:rsidRPr="00C375EC" w:rsidRDefault="003461EB" w:rsidP="003461EB">
      <w:pPr>
        <w:pStyle w:val="Prrafodelista"/>
        <w:spacing w:line="276" w:lineRule="auto"/>
        <w:ind w:left="0"/>
        <w:contextualSpacing/>
      </w:pPr>
      <w:r w:rsidRPr="00AE079F">
        <w:rPr>
          <w:rFonts w:ascii="Book Antiqua" w:hAnsi="Book Antiqua" w:cs="Book Antiqua"/>
          <w:lang w:val="es-CR"/>
        </w:rPr>
        <w:t>T</w:t>
      </w:r>
      <w:r w:rsidRPr="00AE079F">
        <w:rPr>
          <w:rFonts w:ascii="Book Antiqua" w:hAnsi="Book Antiqua" w:cs="Times New Roman"/>
          <w:lang w:val="es-CR"/>
        </w:rPr>
        <w:t>odas las observaciones se consideraron en lo pertinente</w:t>
      </w:r>
      <w:r w:rsidR="00A37D98">
        <w:rPr>
          <w:rFonts w:ascii="Book Antiqua" w:hAnsi="Book Antiqua" w:cs="Times New Roman"/>
          <w:lang w:val="es-CR"/>
        </w:rPr>
        <w:t xml:space="preserve"> y el detalle de cada una</w:t>
      </w:r>
      <w:r w:rsidR="00596D36">
        <w:rPr>
          <w:rFonts w:ascii="Book Antiqua" w:hAnsi="Book Antiqua" w:cs="Times New Roman"/>
          <w:lang w:val="es-CR"/>
        </w:rPr>
        <w:t xml:space="preserve">, así como el criterio de esta Dirección se incluye en el documento que se adjunta: </w:t>
      </w:r>
      <w:r w:rsidRPr="00AE079F">
        <w:rPr>
          <w:rFonts w:ascii="Book Antiqua" w:hAnsi="Book Antiqua" w:cs="Times New Roman"/>
          <w:lang w:val="es-CR"/>
        </w:rPr>
        <w:t xml:space="preserve"> </w:t>
      </w:r>
    </w:p>
    <w:p w14:paraId="78ADAAB5" w14:textId="77777777" w:rsidR="003461EB" w:rsidRPr="004E74A6" w:rsidRDefault="003461EB" w:rsidP="003461EB">
      <w:pPr>
        <w:widowControl w:val="0"/>
        <w:spacing w:line="276" w:lineRule="auto"/>
        <w:rPr>
          <w:rFonts w:cs="Book Antiqua"/>
          <w:color w:val="4472C4" w:themeColor="accent1"/>
          <w:szCs w:val="24"/>
        </w:rPr>
      </w:pPr>
    </w:p>
    <w:bookmarkStart w:id="13" w:name="_MON_1730637261"/>
    <w:bookmarkEnd w:id="13"/>
    <w:p w14:paraId="397ADBF6" w14:textId="59A5F7CE" w:rsidR="003461EB" w:rsidRDefault="005D1B48" w:rsidP="003461EB">
      <w:pPr>
        <w:spacing w:line="276" w:lineRule="auto"/>
        <w:ind w:left="284"/>
        <w:contextualSpacing/>
        <w:jc w:val="center"/>
        <w:rPr>
          <w:szCs w:val="24"/>
        </w:rPr>
      </w:pPr>
      <w:r w:rsidRPr="004E74A6">
        <w:rPr>
          <w:szCs w:val="24"/>
        </w:rPr>
        <w:object w:dxaOrig="1454" w:dyaOrig="905" w14:anchorId="74F3C5BC">
          <v:shape id="_x0000_i1027" type="#_x0000_t75" style="width:72.75pt;height:45.05pt" o:ole="">
            <v:imagedata r:id="rId31" o:title=""/>
          </v:shape>
          <o:OLEObject Type="Embed" ProgID="Word.Document.12" ShapeID="_x0000_i1027" DrawAspect="Icon" ObjectID="_1739708494" r:id="rId32">
            <o:FieldCodes>\s</o:FieldCodes>
          </o:OLEObject>
        </w:object>
      </w:r>
    </w:p>
    <w:p w14:paraId="39555019" w14:textId="4F207DA4" w:rsidR="003461EB" w:rsidRDefault="003461EB" w:rsidP="003461EB">
      <w:pPr>
        <w:spacing w:line="276" w:lineRule="auto"/>
        <w:ind w:left="284"/>
        <w:contextualSpacing/>
        <w:jc w:val="center"/>
        <w:rPr>
          <w:szCs w:val="24"/>
        </w:rPr>
      </w:pPr>
    </w:p>
    <w:p w14:paraId="2C80D452" w14:textId="655E1C29" w:rsidR="005D1B48" w:rsidRDefault="005D1B48" w:rsidP="003461EB">
      <w:pPr>
        <w:spacing w:line="276" w:lineRule="auto"/>
        <w:ind w:left="284"/>
        <w:contextualSpacing/>
        <w:jc w:val="center"/>
        <w:rPr>
          <w:szCs w:val="24"/>
        </w:rPr>
      </w:pPr>
    </w:p>
    <w:p w14:paraId="666B50F2" w14:textId="77777777" w:rsidR="005D1B48" w:rsidRDefault="005D1B48" w:rsidP="003461EB">
      <w:pPr>
        <w:spacing w:line="276" w:lineRule="auto"/>
        <w:ind w:left="284"/>
        <w:contextualSpacing/>
        <w:jc w:val="center"/>
        <w:rPr>
          <w:szCs w:val="24"/>
        </w:rPr>
      </w:pPr>
    </w:p>
    <w:p w14:paraId="5875A8D1" w14:textId="34DA4825" w:rsidR="003855ED" w:rsidRPr="004E74A6" w:rsidRDefault="003855ED" w:rsidP="00CE62C1">
      <w:pPr>
        <w:spacing w:after="160" w:line="276" w:lineRule="auto"/>
        <w:contextualSpacing/>
        <w:rPr>
          <w:rFonts w:eastAsia="Calibri"/>
          <w:szCs w:val="24"/>
          <w:lang w:eastAsia="en-US"/>
        </w:rPr>
      </w:pPr>
    </w:p>
    <w:p w14:paraId="2BAA5633" w14:textId="29596292" w:rsidR="00C26143" w:rsidRPr="004E74A6" w:rsidRDefault="00C26143" w:rsidP="00832773">
      <w:pPr>
        <w:keepNext/>
        <w:keepLines/>
        <w:numPr>
          <w:ilvl w:val="0"/>
          <w:numId w:val="2"/>
        </w:numPr>
        <w:shd w:val="clear" w:color="auto" w:fill="2F86BB"/>
        <w:spacing w:before="240" w:line="276" w:lineRule="auto"/>
        <w:outlineLvl w:val="0"/>
        <w:rPr>
          <w:b/>
          <w:color w:val="FFFFFF"/>
          <w:sz w:val="22"/>
          <w:szCs w:val="22"/>
          <w:lang w:eastAsia="en-US"/>
        </w:rPr>
      </w:pPr>
      <w:r w:rsidRPr="00832773">
        <w:rPr>
          <w:b/>
          <w:color w:val="FFFFFF"/>
          <w:szCs w:val="32"/>
          <w:lang w:eastAsia="en-US"/>
        </w:rPr>
        <w:lastRenderedPageBreak/>
        <w:t>Conclusiones</w:t>
      </w:r>
      <w:r w:rsidR="00DF2898">
        <w:rPr>
          <w:b/>
          <w:color w:val="FFFFFF"/>
          <w:szCs w:val="32"/>
          <w:lang w:eastAsia="en-US"/>
        </w:rPr>
        <w:t xml:space="preserve"> generales</w:t>
      </w:r>
    </w:p>
    <w:p w14:paraId="1E64D5AE" w14:textId="77777777" w:rsidR="008E1866" w:rsidRPr="004E74A6" w:rsidRDefault="008E1866" w:rsidP="008E1866">
      <w:pPr>
        <w:pStyle w:val="Prrafodelista"/>
        <w:numPr>
          <w:ilvl w:val="0"/>
          <w:numId w:val="3"/>
        </w:numPr>
        <w:spacing w:after="160" w:line="276" w:lineRule="auto"/>
        <w:contextualSpacing/>
        <w:rPr>
          <w:rFonts w:ascii="Book Antiqua" w:eastAsia="Calibri" w:hAnsi="Book Antiqua" w:cs="Times New Roman"/>
          <w:vanish/>
          <w:lang w:val="es-CR" w:eastAsia="en-US"/>
        </w:rPr>
      </w:pPr>
    </w:p>
    <w:p w14:paraId="734F90A3" w14:textId="77777777" w:rsidR="008E1866" w:rsidRPr="004E74A6" w:rsidRDefault="008E1866" w:rsidP="008E1866">
      <w:pPr>
        <w:pStyle w:val="Prrafodelista"/>
        <w:numPr>
          <w:ilvl w:val="0"/>
          <w:numId w:val="3"/>
        </w:numPr>
        <w:spacing w:after="160" w:line="276" w:lineRule="auto"/>
        <w:contextualSpacing/>
        <w:rPr>
          <w:rFonts w:ascii="Book Antiqua" w:eastAsia="Calibri" w:hAnsi="Book Antiqua" w:cs="Times New Roman"/>
          <w:vanish/>
          <w:lang w:val="es-CR" w:eastAsia="en-US"/>
        </w:rPr>
      </w:pPr>
    </w:p>
    <w:p w14:paraId="3889B336" w14:textId="77777777" w:rsidR="008E1866" w:rsidRPr="004E74A6" w:rsidRDefault="008E1866" w:rsidP="008E1866">
      <w:pPr>
        <w:pStyle w:val="Prrafodelista"/>
        <w:numPr>
          <w:ilvl w:val="0"/>
          <w:numId w:val="3"/>
        </w:numPr>
        <w:spacing w:after="160" w:line="276" w:lineRule="auto"/>
        <w:contextualSpacing/>
        <w:rPr>
          <w:rFonts w:ascii="Book Antiqua" w:eastAsia="Calibri" w:hAnsi="Book Antiqua" w:cs="Times New Roman"/>
          <w:vanish/>
          <w:lang w:val="es-CR" w:eastAsia="en-US"/>
        </w:rPr>
      </w:pPr>
    </w:p>
    <w:p w14:paraId="260CA5F7" w14:textId="77777777" w:rsidR="008E1866" w:rsidRDefault="008E1866" w:rsidP="00A25EF9">
      <w:pPr>
        <w:spacing w:after="160" w:line="276" w:lineRule="auto"/>
        <w:contextualSpacing/>
        <w:rPr>
          <w:rFonts w:eastAsia="Calibri"/>
          <w:vanish/>
          <w:lang w:eastAsia="en-US"/>
        </w:rPr>
      </w:pPr>
    </w:p>
    <w:p w14:paraId="2A062EF5" w14:textId="77777777" w:rsidR="00A25EF9" w:rsidRPr="00832773" w:rsidRDefault="00A25EF9" w:rsidP="00832773">
      <w:pPr>
        <w:spacing w:after="160" w:line="276" w:lineRule="auto"/>
        <w:contextualSpacing/>
        <w:rPr>
          <w:rFonts w:eastAsia="Calibri"/>
          <w:vanish/>
          <w:lang w:eastAsia="en-US"/>
        </w:rPr>
      </w:pPr>
    </w:p>
    <w:p w14:paraId="6864F29B" w14:textId="77777777" w:rsidR="00A25EF9" w:rsidRDefault="00A25EF9" w:rsidP="00832773">
      <w:pPr>
        <w:pStyle w:val="Prrafodelista"/>
        <w:spacing w:after="160" w:line="276" w:lineRule="auto"/>
        <w:ind w:left="567"/>
        <w:contextualSpacing/>
        <w:rPr>
          <w:rFonts w:ascii="Book Antiqua" w:eastAsia="Calibri" w:hAnsi="Book Antiqua"/>
          <w:lang w:eastAsia="en-US"/>
        </w:rPr>
      </w:pPr>
    </w:p>
    <w:p w14:paraId="1BFEDA3C" w14:textId="3E0D3E03" w:rsidR="00566C55" w:rsidRPr="005D1B48" w:rsidRDefault="00566C55" w:rsidP="00832773">
      <w:pPr>
        <w:pStyle w:val="Prrafodelista"/>
        <w:numPr>
          <w:ilvl w:val="1"/>
          <w:numId w:val="62"/>
        </w:numPr>
        <w:spacing w:after="160" w:line="276" w:lineRule="auto"/>
        <w:ind w:left="567" w:hanging="502"/>
        <w:contextualSpacing/>
        <w:rPr>
          <w:rFonts w:eastAsia="Calibri"/>
          <w:lang w:eastAsia="en-US"/>
        </w:rPr>
      </w:pPr>
      <w:r w:rsidRPr="00832773">
        <w:rPr>
          <w:rFonts w:ascii="Book Antiqua" w:eastAsia="Calibri" w:hAnsi="Book Antiqua"/>
          <w:lang w:eastAsia="en-US"/>
        </w:rPr>
        <w:t xml:space="preserve">El último incremento de la cuantía en materia Civil se estableció en acuerdo de Corte Plena de sesión 38-13, del 9 de setiembre del 2013, artículo XXV, para fijarse en la suma de más de </w:t>
      </w:r>
      <w:r w:rsidRPr="00832773">
        <w:rPr>
          <w:rFonts w:ascii="Book Antiqua" w:eastAsia="Calibri" w:hAnsi="Book Antiqua"/>
          <w:b/>
          <w:bCs/>
          <w:lang w:eastAsia="en-US"/>
        </w:rPr>
        <w:t>¢3.000.000.00</w:t>
      </w:r>
      <w:r w:rsidRPr="00832773">
        <w:rPr>
          <w:rFonts w:ascii="Book Antiqua" w:eastAsia="Calibri" w:hAnsi="Book Antiqua"/>
          <w:lang w:eastAsia="en-US"/>
        </w:rPr>
        <w:t xml:space="preserve"> para los procesos civiles de mayor cuantía e interposición del recurso de Casación, utilizando como criterio el Índice de Precios al Consumidor.</w:t>
      </w:r>
      <w:r w:rsidR="00822BA1" w:rsidRPr="00832773">
        <w:rPr>
          <w:rFonts w:ascii="Book Antiqua" w:eastAsia="Calibri" w:hAnsi="Book Antiqua"/>
          <w:lang w:eastAsia="en-US"/>
        </w:rPr>
        <w:t xml:space="preserve"> Límite que se mantiene vigente al momento de elaboración del presente informe.</w:t>
      </w:r>
    </w:p>
    <w:p w14:paraId="1D10DAB9" w14:textId="77777777" w:rsidR="005D1B48" w:rsidRPr="00832773" w:rsidRDefault="005D1B48" w:rsidP="005D1B48">
      <w:pPr>
        <w:pStyle w:val="Prrafodelista"/>
        <w:spacing w:after="160" w:line="276" w:lineRule="auto"/>
        <w:ind w:left="567"/>
        <w:contextualSpacing/>
        <w:rPr>
          <w:rFonts w:eastAsia="Calibri"/>
          <w:lang w:eastAsia="en-US"/>
        </w:rPr>
      </w:pPr>
    </w:p>
    <w:p w14:paraId="7599BFF3" w14:textId="7E661172" w:rsidR="00566C55" w:rsidRPr="00832773" w:rsidRDefault="004E4F51" w:rsidP="00832773">
      <w:pPr>
        <w:pStyle w:val="Prrafodelista"/>
        <w:numPr>
          <w:ilvl w:val="1"/>
          <w:numId w:val="62"/>
        </w:numPr>
        <w:spacing w:after="160" w:line="276" w:lineRule="auto"/>
        <w:ind w:left="567" w:hanging="502"/>
        <w:contextualSpacing/>
        <w:rPr>
          <w:rFonts w:eastAsia="Calibri"/>
          <w:lang w:eastAsia="en-US"/>
        </w:rPr>
      </w:pPr>
      <w:r w:rsidRPr="00832773">
        <w:rPr>
          <w:rFonts w:ascii="Book Antiqua" w:eastAsia="Calibri" w:hAnsi="Book Antiqua"/>
          <w:lang w:eastAsia="en-US"/>
        </w:rPr>
        <w:t>D</w:t>
      </w:r>
      <w:r w:rsidR="00566C55" w:rsidRPr="00832773">
        <w:rPr>
          <w:rFonts w:ascii="Book Antiqua" w:eastAsia="Calibri" w:hAnsi="Book Antiqua"/>
          <w:lang w:eastAsia="en-US"/>
        </w:rPr>
        <w:t>urante el 2020-2022 se han dado cierres parciales y limitación servicios ofrecidos según los lineamientos establecidos por la institución para ser aplicados debido al COVID-19, sesión del Consejo Superior 32-21, del 13 de abril de 2021, artículo LXVII.</w:t>
      </w:r>
      <w:r w:rsidR="00822BA1" w:rsidRPr="00832773">
        <w:rPr>
          <w:rFonts w:ascii="Book Antiqua" w:eastAsia="Calibri" w:hAnsi="Book Antiqua"/>
          <w:lang w:eastAsia="en-US"/>
        </w:rPr>
        <w:t xml:space="preserve"> Dicha situación puede tener alguna incidencia sobre la producción de las </w:t>
      </w:r>
      <w:r w:rsidR="004E46FA" w:rsidRPr="00832773">
        <w:rPr>
          <w:rFonts w:ascii="Book Antiqua" w:eastAsia="Calibri" w:hAnsi="Book Antiqua"/>
          <w:lang w:eastAsia="en-US"/>
        </w:rPr>
        <w:t>oficinas,</w:t>
      </w:r>
      <w:r w:rsidR="00822BA1" w:rsidRPr="00832773">
        <w:rPr>
          <w:rFonts w:ascii="Book Antiqua" w:eastAsia="Calibri" w:hAnsi="Book Antiqua"/>
          <w:lang w:eastAsia="en-US"/>
        </w:rPr>
        <w:t xml:space="preserve"> así como la cantidad de asuntos ingresados.</w:t>
      </w:r>
    </w:p>
    <w:p w14:paraId="2665B295" w14:textId="77777777" w:rsidR="00566C55" w:rsidRPr="004E74A6" w:rsidRDefault="00566C55" w:rsidP="00CE62C1">
      <w:pPr>
        <w:spacing w:after="160" w:line="276" w:lineRule="auto"/>
        <w:contextualSpacing/>
        <w:rPr>
          <w:rFonts w:eastAsia="Calibri"/>
          <w:szCs w:val="24"/>
          <w:lang w:eastAsia="en-US"/>
        </w:rPr>
      </w:pPr>
    </w:p>
    <w:p w14:paraId="32876194" w14:textId="3EB1CC5E" w:rsidR="00566C55" w:rsidRPr="00832773" w:rsidRDefault="000066DB" w:rsidP="00832773">
      <w:pPr>
        <w:pStyle w:val="Prrafodelista"/>
        <w:numPr>
          <w:ilvl w:val="1"/>
          <w:numId w:val="62"/>
        </w:numPr>
        <w:spacing w:after="160" w:line="276" w:lineRule="auto"/>
        <w:ind w:left="567" w:hanging="502"/>
        <w:contextualSpacing/>
        <w:rPr>
          <w:rFonts w:eastAsia="Calibri"/>
          <w:lang w:eastAsia="en-US"/>
        </w:rPr>
      </w:pPr>
      <w:r w:rsidRPr="00832773">
        <w:rPr>
          <w:rFonts w:ascii="Book Antiqua" w:eastAsia="Calibri" w:hAnsi="Book Antiqua"/>
          <w:lang w:eastAsia="en-US"/>
        </w:rPr>
        <w:t>Con relación al escenario A, versión 2 de criterio experto con cuantías diferenciadas, l</w:t>
      </w:r>
      <w:r w:rsidR="00566C55" w:rsidRPr="00832773">
        <w:rPr>
          <w:rFonts w:ascii="Book Antiqua" w:eastAsia="Calibri" w:hAnsi="Book Antiqua"/>
          <w:lang w:eastAsia="en-US"/>
        </w:rPr>
        <w:t xml:space="preserve">a Dirección Jurídica en el oficio DJ-C-111-2021 </w:t>
      </w:r>
      <w:r w:rsidR="007B3092" w:rsidRPr="00832773">
        <w:rPr>
          <w:rFonts w:ascii="Book Antiqua" w:eastAsia="Calibri" w:hAnsi="Book Antiqua"/>
          <w:lang w:eastAsia="en-US"/>
        </w:rPr>
        <w:t>comunicó</w:t>
      </w:r>
      <w:r w:rsidR="00566C55" w:rsidRPr="00832773">
        <w:rPr>
          <w:rFonts w:ascii="Book Antiqua" w:eastAsia="Calibri" w:hAnsi="Book Antiqua"/>
          <w:lang w:eastAsia="en-US"/>
        </w:rPr>
        <w:t xml:space="preserve"> las únicas 2 posibilidades de Corte Plena para variar la cuantía de conformidad con la Ley Orgánica del Poder Judicial a saber:</w:t>
      </w:r>
    </w:p>
    <w:p w14:paraId="0EB73A31" w14:textId="77777777" w:rsidR="00566C55" w:rsidRPr="004E74A6" w:rsidRDefault="00566C55" w:rsidP="00CE62C1">
      <w:pPr>
        <w:spacing w:after="160" w:line="276" w:lineRule="auto"/>
        <w:contextualSpacing/>
        <w:rPr>
          <w:rFonts w:eastAsia="Calibri"/>
          <w:szCs w:val="24"/>
          <w:lang w:eastAsia="en-US"/>
        </w:rPr>
      </w:pPr>
    </w:p>
    <w:p w14:paraId="264031F5" w14:textId="77777777" w:rsidR="00566C55" w:rsidRPr="004E74A6" w:rsidRDefault="00566C55" w:rsidP="00832773">
      <w:pPr>
        <w:tabs>
          <w:tab w:val="left" w:pos="993"/>
        </w:tabs>
        <w:spacing w:line="276" w:lineRule="auto"/>
        <w:ind w:left="567" w:right="476"/>
        <w:contextualSpacing/>
        <w:rPr>
          <w:rFonts w:eastAsia="Calibri"/>
          <w:i/>
          <w:iCs/>
          <w:sz w:val="22"/>
          <w:szCs w:val="22"/>
          <w:lang w:eastAsia="en-US"/>
        </w:rPr>
      </w:pPr>
      <w:r w:rsidRPr="004E74A6">
        <w:rPr>
          <w:rFonts w:eastAsia="Calibri"/>
          <w:i/>
          <w:iCs/>
          <w:sz w:val="22"/>
          <w:szCs w:val="22"/>
          <w:lang w:eastAsia="en-US"/>
        </w:rPr>
        <w:t>“Al respecto considera esta unidad asesora que lo planteado por la Dirección de Planificación se encuentra limitado conforme al análisis hecho, en la propia Ley Orgánica del Poder Judicial, toda vez que la misma permite únicamente que la Corte Suprema de Justicia pueda realizar una fijación de cuantía en los dos supuestos indicados, a saber:</w:t>
      </w:r>
    </w:p>
    <w:p w14:paraId="07C95AC6" w14:textId="77777777" w:rsidR="00566C55" w:rsidRPr="004E74A6" w:rsidRDefault="00566C55" w:rsidP="00832773">
      <w:pPr>
        <w:tabs>
          <w:tab w:val="left" w:pos="993"/>
        </w:tabs>
        <w:spacing w:line="276" w:lineRule="auto"/>
        <w:ind w:left="567" w:right="476"/>
        <w:contextualSpacing/>
        <w:rPr>
          <w:rFonts w:eastAsia="Calibri"/>
          <w:i/>
          <w:iCs/>
          <w:sz w:val="22"/>
          <w:szCs w:val="22"/>
          <w:lang w:eastAsia="en-US"/>
        </w:rPr>
      </w:pPr>
    </w:p>
    <w:p w14:paraId="52AC1E71" w14:textId="77777777" w:rsidR="00566C55" w:rsidRPr="004E74A6" w:rsidRDefault="00566C55" w:rsidP="00832773">
      <w:pPr>
        <w:numPr>
          <w:ilvl w:val="0"/>
          <w:numId w:val="4"/>
        </w:numPr>
        <w:tabs>
          <w:tab w:val="left" w:pos="993"/>
        </w:tabs>
        <w:spacing w:line="276" w:lineRule="auto"/>
        <w:ind w:left="567" w:right="476" w:firstLine="0"/>
        <w:contextualSpacing/>
        <w:rPr>
          <w:rFonts w:eastAsia="Calibri"/>
          <w:b/>
          <w:bCs/>
          <w:i/>
          <w:iCs/>
          <w:sz w:val="22"/>
          <w:szCs w:val="22"/>
          <w:lang w:eastAsia="en-US"/>
        </w:rPr>
      </w:pPr>
      <w:r w:rsidRPr="004E74A6">
        <w:rPr>
          <w:rFonts w:eastAsia="Calibri"/>
          <w:b/>
          <w:bCs/>
          <w:i/>
          <w:iCs/>
          <w:sz w:val="22"/>
          <w:szCs w:val="22"/>
          <w:lang w:eastAsia="en-US"/>
        </w:rPr>
        <w:t>La fijación de los topes de menor cuantía para diferenciarlo de la mayor cuantía en procesos ordinarios para efectos de determinación de la competencia de los respectivos órganos jurisdiccionales.</w:t>
      </w:r>
    </w:p>
    <w:p w14:paraId="3018BDF4" w14:textId="77777777" w:rsidR="00566C55" w:rsidRPr="004E74A6" w:rsidRDefault="00566C55" w:rsidP="00832773">
      <w:pPr>
        <w:numPr>
          <w:ilvl w:val="0"/>
          <w:numId w:val="4"/>
        </w:numPr>
        <w:tabs>
          <w:tab w:val="left" w:pos="993"/>
          <w:tab w:val="left" w:pos="1134"/>
        </w:tabs>
        <w:spacing w:line="276" w:lineRule="auto"/>
        <w:ind w:left="567" w:right="476" w:firstLine="0"/>
        <w:contextualSpacing/>
        <w:rPr>
          <w:rFonts w:eastAsia="Calibri"/>
          <w:b/>
          <w:bCs/>
          <w:i/>
          <w:iCs/>
          <w:sz w:val="22"/>
          <w:szCs w:val="22"/>
          <w:lang w:eastAsia="en-US"/>
        </w:rPr>
      </w:pPr>
      <w:r w:rsidRPr="004E74A6">
        <w:rPr>
          <w:rFonts w:eastAsia="Calibri"/>
          <w:b/>
          <w:bCs/>
          <w:i/>
          <w:iCs/>
          <w:sz w:val="22"/>
          <w:szCs w:val="22"/>
          <w:lang w:eastAsia="en-US"/>
        </w:rPr>
        <w:tab/>
        <w:t>La fijación del monto mínimo para que en un proceso ordinario se pueda interponer el recurso de casación ante Sala Primera.</w:t>
      </w:r>
    </w:p>
    <w:p w14:paraId="403BF881" w14:textId="77777777" w:rsidR="00566C55" w:rsidRPr="004E74A6" w:rsidRDefault="00566C55" w:rsidP="00832773">
      <w:pPr>
        <w:tabs>
          <w:tab w:val="left" w:pos="993"/>
        </w:tabs>
        <w:spacing w:line="276" w:lineRule="auto"/>
        <w:ind w:left="567" w:right="476"/>
        <w:contextualSpacing/>
        <w:rPr>
          <w:rFonts w:eastAsia="Calibri"/>
          <w:i/>
          <w:iCs/>
          <w:sz w:val="22"/>
          <w:szCs w:val="22"/>
          <w:lang w:eastAsia="en-US"/>
        </w:rPr>
      </w:pPr>
    </w:p>
    <w:p w14:paraId="57B955E9" w14:textId="77777777" w:rsidR="00566C55" w:rsidRPr="004E74A6" w:rsidRDefault="00566C55" w:rsidP="00832773">
      <w:pPr>
        <w:tabs>
          <w:tab w:val="left" w:pos="993"/>
        </w:tabs>
        <w:spacing w:line="276" w:lineRule="auto"/>
        <w:ind w:left="567" w:right="476"/>
        <w:contextualSpacing/>
        <w:rPr>
          <w:rFonts w:eastAsia="Calibri"/>
          <w:i/>
          <w:iCs/>
          <w:sz w:val="22"/>
          <w:szCs w:val="22"/>
          <w:lang w:eastAsia="en-US"/>
        </w:rPr>
      </w:pPr>
      <w:r w:rsidRPr="004E74A6">
        <w:rPr>
          <w:rFonts w:eastAsia="Calibri"/>
          <w:i/>
          <w:iCs/>
          <w:sz w:val="22"/>
          <w:szCs w:val="22"/>
          <w:lang w:eastAsia="en-US"/>
        </w:rPr>
        <w:t>Cualquier otra posibilidad de fijar otros tipos de cuantía para otros fines, escapa lo que hasta el momento disponen las normas de cita y consecuentemente resultan jurídicamente improcedentes de no operar un cambio normativo en tal sentido.</w:t>
      </w:r>
    </w:p>
    <w:p w14:paraId="7C21BECE" w14:textId="77777777" w:rsidR="00566C55" w:rsidRPr="004E74A6" w:rsidRDefault="00566C55" w:rsidP="00832773">
      <w:pPr>
        <w:tabs>
          <w:tab w:val="left" w:pos="993"/>
        </w:tabs>
        <w:spacing w:line="276" w:lineRule="auto"/>
        <w:ind w:left="567" w:right="476"/>
        <w:contextualSpacing/>
        <w:rPr>
          <w:rFonts w:eastAsia="Calibri"/>
          <w:i/>
          <w:iCs/>
          <w:sz w:val="22"/>
          <w:szCs w:val="22"/>
          <w:lang w:eastAsia="en-US"/>
        </w:rPr>
      </w:pPr>
    </w:p>
    <w:p w14:paraId="35A1EC02" w14:textId="77777777" w:rsidR="00566C55" w:rsidRPr="004E74A6" w:rsidRDefault="00566C55" w:rsidP="00832773">
      <w:pPr>
        <w:tabs>
          <w:tab w:val="left" w:pos="993"/>
        </w:tabs>
        <w:spacing w:line="276" w:lineRule="auto"/>
        <w:ind w:left="567" w:right="476"/>
        <w:contextualSpacing/>
        <w:rPr>
          <w:rFonts w:eastAsia="Calibri"/>
          <w:i/>
          <w:iCs/>
          <w:sz w:val="22"/>
          <w:szCs w:val="22"/>
          <w:lang w:eastAsia="en-US"/>
        </w:rPr>
      </w:pPr>
      <w:r w:rsidRPr="004E74A6">
        <w:rPr>
          <w:rFonts w:eastAsia="Calibri"/>
          <w:i/>
          <w:iCs/>
          <w:sz w:val="22"/>
          <w:szCs w:val="22"/>
          <w:lang w:eastAsia="en-US"/>
        </w:rPr>
        <w:lastRenderedPageBreak/>
        <w:t xml:space="preserve">(…) Con base en todo lo expuesto, se puede concluir que: </w:t>
      </w:r>
    </w:p>
    <w:p w14:paraId="1FE7D648" w14:textId="77777777" w:rsidR="00566C55" w:rsidRPr="004E74A6" w:rsidRDefault="00566C55" w:rsidP="00832773">
      <w:pPr>
        <w:tabs>
          <w:tab w:val="left" w:pos="993"/>
        </w:tabs>
        <w:spacing w:line="276" w:lineRule="auto"/>
        <w:ind w:left="567" w:right="476"/>
        <w:contextualSpacing/>
        <w:rPr>
          <w:rFonts w:eastAsia="Calibri"/>
          <w:i/>
          <w:iCs/>
          <w:sz w:val="22"/>
          <w:szCs w:val="22"/>
          <w:lang w:eastAsia="en-US"/>
        </w:rPr>
      </w:pPr>
    </w:p>
    <w:p w14:paraId="1C143B8F" w14:textId="77777777" w:rsidR="00566C55" w:rsidRPr="004E74A6" w:rsidRDefault="00566C55" w:rsidP="00832773">
      <w:pPr>
        <w:tabs>
          <w:tab w:val="left" w:pos="993"/>
        </w:tabs>
        <w:spacing w:line="276" w:lineRule="auto"/>
        <w:ind w:left="567" w:right="476"/>
        <w:contextualSpacing/>
        <w:rPr>
          <w:rFonts w:eastAsia="Calibri"/>
          <w:i/>
          <w:iCs/>
          <w:sz w:val="22"/>
          <w:szCs w:val="22"/>
          <w:lang w:eastAsia="en-US"/>
        </w:rPr>
      </w:pPr>
      <w:r w:rsidRPr="004E74A6">
        <w:rPr>
          <w:rFonts w:eastAsia="Calibri"/>
          <w:i/>
          <w:iCs/>
          <w:sz w:val="22"/>
          <w:szCs w:val="22"/>
          <w:lang w:eastAsia="en-US"/>
        </w:rPr>
        <w:t>1.</w:t>
      </w:r>
      <w:r w:rsidRPr="004E74A6">
        <w:rPr>
          <w:rFonts w:eastAsia="Calibri"/>
          <w:i/>
          <w:iCs/>
          <w:sz w:val="22"/>
          <w:szCs w:val="22"/>
          <w:lang w:eastAsia="en-US"/>
        </w:rPr>
        <w:tab/>
        <w:t>La determinación de límites económicos como cuantía de los procesos judiciales en materia civil, constituye una potestad concedida por ley a la Corte Suprema de Justicia, como parte del ejercicio de gobierno administrativo del Poder Judicial (artículos 46, 59 y 114 de la Ley Orgánica del Poder Judicial; 16 y 158.4 de la Ley General de la Administración Pública).</w:t>
      </w:r>
    </w:p>
    <w:p w14:paraId="4F3DA7A7" w14:textId="77777777" w:rsidR="00566C55" w:rsidRPr="004E74A6" w:rsidRDefault="00566C55" w:rsidP="00832773">
      <w:pPr>
        <w:tabs>
          <w:tab w:val="left" w:pos="993"/>
        </w:tabs>
        <w:spacing w:line="276" w:lineRule="auto"/>
        <w:ind w:left="567" w:right="476"/>
        <w:contextualSpacing/>
        <w:rPr>
          <w:rFonts w:eastAsia="Calibri"/>
          <w:i/>
          <w:iCs/>
          <w:sz w:val="22"/>
          <w:szCs w:val="22"/>
          <w:lang w:eastAsia="en-US"/>
        </w:rPr>
      </w:pPr>
    </w:p>
    <w:p w14:paraId="50AECD3B" w14:textId="77777777" w:rsidR="000A4A2B" w:rsidRPr="004E74A6" w:rsidRDefault="00566C55" w:rsidP="00832773">
      <w:pPr>
        <w:tabs>
          <w:tab w:val="left" w:pos="993"/>
        </w:tabs>
        <w:spacing w:line="276" w:lineRule="auto"/>
        <w:ind w:left="567" w:right="476"/>
        <w:contextualSpacing/>
        <w:rPr>
          <w:rFonts w:eastAsia="Calibri"/>
          <w:i/>
          <w:iCs/>
          <w:sz w:val="22"/>
          <w:szCs w:val="22"/>
          <w:lang w:eastAsia="en-US"/>
        </w:rPr>
      </w:pPr>
      <w:r w:rsidRPr="004E74A6">
        <w:rPr>
          <w:rFonts w:eastAsia="Calibri"/>
          <w:i/>
          <w:iCs/>
          <w:sz w:val="22"/>
          <w:szCs w:val="22"/>
          <w:lang w:eastAsia="en-US"/>
        </w:rPr>
        <w:t>2.</w:t>
      </w:r>
      <w:r w:rsidRPr="004E74A6">
        <w:rPr>
          <w:rFonts w:eastAsia="Calibri"/>
          <w:i/>
          <w:iCs/>
          <w:sz w:val="22"/>
          <w:szCs w:val="22"/>
          <w:lang w:eastAsia="en-US"/>
        </w:rPr>
        <w:tab/>
        <w:t>La existencia de la potestad de fijación de cuantía como de reserva de ley, se establece en la Ley Orgánica del Poder Judicial y el Código Procesal Civil para la delimitación de la competencia objetiva en los procesos ordinarios exclusivamente y a efecto de deslindar las competencias de los tribunales y juzgados en materia civil, en mayor o menor cuantía; así como el acceso al recurso de casación.</w:t>
      </w:r>
    </w:p>
    <w:p w14:paraId="03947414" w14:textId="77777777" w:rsidR="000A4A2B" w:rsidRPr="004E74A6" w:rsidRDefault="000A4A2B" w:rsidP="00832773">
      <w:pPr>
        <w:tabs>
          <w:tab w:val="left" w:pos="993"/>
        </w:tabs>
        <w:spacing w:line="276" w:lineRule="auto"/>
        <w:ind w:left="567" w:right="476"/>
        <w:contextualSpacing/>
        <w:rPr>
          <w:rFonts w:eastAsia="Calibri"/>
          <w:i/>
          <w:iCs/>
          <w:sz w:val="22"/>
          <w:szCs w:val="22"/>
          <w:lang w:eastAsia="en-US"/>
        </w:rPr>
      </w:pPr>
    </w:p>
    <w:p w14:paraId="5D10863D" w14:textId="5D04288C" w:rsidR="00A22238" w:rsidRPr="004E74A6" w:rsidRDefault="00566C55" w:rsidP="00832773">
      <w:pPr>
        <w:tabs>
          <w:tab w:val="left" w:pos="993"/>
        </w:tabs>
        <w:spacing w:line="276" w:lineRule="auto"/>
        <w:ind w:left="567" w:right="476"/>
        <w:contextualSpacing/>
        <w:rPr>
          <w:rFonts w:eastAsia="Calibri"/>
          <w:i/>
          <w:iCs/>
          <w:sz w:val="22"/>
          <w:szCs w:val="22"/>
          <w:lang w:eastAsia="en-US"/>
        </w:rPr>
      </w:pPr>
      <w:r w:rsidRPr="004E74A6">
        <w:rPr>
          <w:rFonts w:eastAsia="Calibri"/>
          <w:i/>
          <w:iCs/>
          <w:sz w:val="22"/>
          <w:szCs w:val="22"/>
          <w:lang w:eastAsia="en-US"/>
        </w:rPr>
        <w:t>3.</w:t>
      </w:r>
      <w:r w:rsidRPr="004E74A6">
        <w:rPr>
          <w:rFonts w:eastAsia="Calibri"/>
          <w:i/>
          <w:iCs/>
          <w:sz w:val="22"/>
          <w:szCs w:val="22"/>
          <w:lang w:eastAsia="en-US"/>
        </w:rPr>
        <w:tab/>
      </w:r>
      <w:r w:rsidR="00A22238" w:rsidRPr="004E74A6">
        <w:rPr>
          <w:rFonts w:eastAsia="Calibri"/>
          <w:i/>
          <w:iCs/>
          <w:sz w:val="22"/>
          <w:szCs w:val="22"/>
          <w:shd w:val="clear" w:color="auto" w:fill="E2EFD9"/>
          <w:lang w:eastAsia="en-US"/>
        </w:rPr>
        <w:t xml:space="preserve">No se advierte la existencia de norma que habilite a la Corte Suprema de Justicia a realizar otro tipo de fijación de competencias en materia civil, ni a establecer cuantías diferenciadas según lo planteado por la Dirección de Planificación. En este sentido se requeriría una reforma legal que así lo permita”. </w:t>
      </w:r>
      <w:r w:rsidR="00A22238" w:rsidRPr="004E74A6">
        <w:rPr>
          <w:rFonts w:eastAsia="Calibri"/>
          <w:sz w:val="22"/>
          <w:szCs w:val="22"/>
          <w:lang w:eastAsia="en-US"/>
        </w:rPr>
        <w:t>(Lo resaltado en verde no es del original).</w:t>
      </w:r>
    </w:p>
    <w:p w14:paraId="1F765497" w14:textId="5DFAC3D3" w:rsidR="00566C55" w:rsidRPr="004E74A6" w:rsidRDefault="00566C55" w:rsidP="00CE62C1">
      <w:pPr>
        <w:spacing w:line="276" w:lineRule="auto"/>
        <w:ind w:left="851"/>
        <w:contextualSpacing/>
        <w:rPr>
          <w:rFonts w:eastAsia="Calibri"/>
          <w:i/>
          <w:iCs/>
          <w:szCs w:val="24"/>
          <w:lang w:eastAsia="en-US"/>
        </w:rPr>
      </w:pPr>
    </w:p>
    <w:p w14:paraId="1997DF3A" w14:textId="77777777" w:rsidR="00566C55" w:rsidRPr="004E74A6" w:rsidRDefault="00566C55" w:rsidP="00CE62C1">
      <w:pPr>
        <w:spacing w:after="160" w:line="276" w:lineRule="auto"/>
        <w:contextualSpacing/>
        <w:rPr>
          <w:rFonts w:eastAsia="Calibri"/>
          <w:szCs w:val="24"/>
          <w:lang w:eastAsia="en-US"/>
        </w:rPr>
      </w:pPr>
    </w:p>
    <w:p w14:paraId="725B7AA6" w14:textId="40DC787B" w:rsidR="00566C55" w:rsidRPr="004E74A6" w:rsidRDefault="00566C55" w:rsidP="00CE62C1">
      <w:pPr>
        <w:spacing w:after="160" w:line="276" w:lineRule="auto"/>
        <w:contextualSpacing/>
        <w:rPr>
          <w:rFonts w:eastAsia="Calibri"/>
          <w:szCs w:val="24"/>
          <w:lang w:eastAsia="en-US"/>
        </w:rPr>
      </w:pPr>
      <w:r w:rsidRPr="004E74A6">
        <w:rPr>
          <w:rFonts w:eastAsia="Calibri"/>
          <w:szCs w:val="24"/>
          <w:lang w:eastAsia="en-US"/>
        </w:rPr>
        <w:t xml:space="preserve">Por su parte en el criterio </w:t>
      </w:r>
      <w:r w:rsidRPr="004E74A6">
        <w:rPr>
          <w:rFonts w:eastAsia="Calibri"/>
          <w:b/>
          <w:bCs/>
          <w:szCs w:val="24"/>
          <w:lang w:eastAsia="en-US"/>
        </w:rPr>
        <w:t>DJ-C-376-2021</w:t>
      </w:r>
      <w:r w:rsidRPr="004E74A6">
        <w:rPr>
          <w:rFonts w:eastAsia="Calibri"/>
          <w:szCs w:val="24"/>
          <w:lang w:eastAsia="en-US"/>
        </w:rPr>
        <w:t xml:space="preserve"> del 6 de julio 2021 </w:t>
      </w:r>
      <w:r w:rsidR="000D6122" w:rsidRPr="004E74A6">
        <w:rPr>
          <w:rFonts w:eastAsia="Calibri"/>
          <w:szCs w:val="24"/>
          <w:lang w:eastAsia="en-US"/>
        </w:rPr>
        <w:t>la Dirección Jurídica indicó</w:t>
      </w:r>
      <w:r w:rsidRPr="004E74A6">
        <w:rPr>
          <w:rFonts w:eastAsia="Calibri"/>
          <w:szCs w:val="24"/>
          <w:lang w:eastAsia="en-US"/>
        </w:rPr>
        <w:t>:</w:t>
      </w:r>
    </w:p>
    <w:p w14:paraId="3A7D368E" w14:textId="77777777" w:rsidR="00566C55" w:rsidRPr="004E74A6" w:rsidRDefault="00566C55" w:rsidP="00CE62C1">
      <w:pPr>
        <w:spacing w:after="160" w:line="276" w:lineRule="auto"/>
        <w:contextualSpacing/>
        <w:rPr>
          <w:rFonts w:eastAsia="Calibri"/>
          <w:szCs w:val="24"/>
          <w:lang w:eastAsia="en-US"/>
        </w:rPr>
      </w:pPr>
    </w:p>
    <w:p w14:paraId="70A2AFFD" w14:textId="77777777" w:rsidR="00566C55" w:rsidRPr="004E74A6" w:rsidRDefault="00566C55" w:rsidP="00832773">
      <w:pPr>
        <w:spacing w:after="160" w:line="276" w:lineRule="auto"/>
        <w:ind w:left="851" w:right="476"/>
        <w:contextualSpacing/>
        <w:rPr>
          <w:rFonts w:eastAsia="Calibri"/>
          <w:i/>
          <w:iCs/>
          <w:sz w:val="22"/>
          <w:szCs w:val="22"/>
          <w:lang w:eastAsia="en-US"/>
        </w:rPr>
      </w:pPr>
      <w:r w:rsidRPr="004E74A6">
        <w:rPr>
          <w:rFonts w:eastAsia="Calibri"/>
          <w:i/>
          <w:iCs/>
          <w:sz w:val="22"/>
          <w:szCs w:val="22"/>
          <w:lang w:eastAsia="en-US"/>
        </w:rPr>
        <w:t>“Siendo de trascendente importancia que dicho numeral 69 en su inciso 1 estipula claramente lo siguiente:</w:t>
      </w:r>
    </w:p>
    <w:p w14:paraId="2C4664EA" w14:textId="77777777" w:rsidR="00566C55" w:rsidRPr="004E74A6" w:rsidRDefault="00566C55" w:rsidP="00832773">
      <w:pPr>
        <w:spacing w:after="160" w:line="276" w:lineRule="auto"/>
        <w:ind w:left="851" w:right="476"/>
        <w:contextualSpacing/>
        <w:rPr>
          <w:rFonts w:eastAsia="Calibri"/>
          <w:i/>
          <w:iCs/>
          <w:sz w:val="22"/>
          <w:szCs w:val="22"/>
          <w:lang w:eastAsia="en-US"/>
        </w:rPr>
      </w:pPr>
    </w:p>
    <w:p w14:paraId="239A1CFB" w14:textId="77777777" w:rsidR="00566C55" w:rsidRPr="004E74A6" w:rsidRDefault="00566C55" w:rsidP="00832773">
      <w:pPr>
        <w:spacing w:after="160" w:line="276" w:lineRule="auto"/>
        <w:ind w:left="851" w:right="476"/>
        <w:contextualSpacing/>
        <w:rPr>
          <w:rFonts w:eastAsia="Calibri"/>
          <w:i/>
          <w:iCs/>
          <w:sz w:val="22"/>
          <w:szCs w:val="22"/>
          <w:lang w:eastAsia="en-US"/>
        </w:rPr>
      </w:pPr>
      <w:r w:rsidRPr="004E74A6">
        <w:rPr>
          <w:rFonts w:eastAsia="Calibri"/>
          <w:i/>
          <w:iCs/>
          <w:sz w:val="22"/>
          <w:szCs w:val="22"/>
          <w:lang w:eastAsia="en-US"/>
        </w:rPr>
        <w:t>“</w:t>
      </w:r>
      <w:r w:rsidRPr="004E74A6">
        <w:rPr>
          <w:rFonts w:eastAsia="Calibri"/>
          <w:b/>
          <w:bCs/>
          <w:i/>
          <w:iCs/>
          <w:sz w:val="22"/>
          <w:szCs w:val="22"/>
          <w:lang w:eastAsia="en-US"/>
        </w:rPr>
        <w:t>69.1 Resoluciones contra las que procede.</w:t>
      </w:r>
      <w:r w:rsidRPr="004E74A6">
        <w:rPr>
          <w:rFonts w:eastAsia="Calibri"/>
          <w:i/>
          <w:iCs/>
          <w:sz w:val="22"/>
          <w:szCs w:val="22"/>
          <w:lang w:eastAsia="en-US"/>
        </w:rPr>
        <w:t xml:space="preserve"> El recurso de casación podrá interponerse contra sentencias dictadas </w:t>
      </w:r>
      <w:r w:rsidRPr="004E74A6">
        <w:rPr>
          <w:rFonts w:eastAsia="Calibri"/>
          <w:b/>
          <w:bCs/>
          <w:i/>
          <w:iCs/>
          <w:sz w:val="22"/>
          <w:szCs w:val="22"/>
          <w:lang w:eastAsia="en-US"/>
        </w:rPr>
        <w:t>en procesos ordinarios de mayor cuantía</w:t>
      </w:r>
      <w:r w:rsidRPr="004E74A6">
        <w:rPr>
          <w:rFonts w:eastAsia="Calibri"/>
          <w:i/>
          <w:iCs/>
          <w:sz w:val="22"/>
          <w:szCs w:val="22"/>
          <w:lang w:eastAsia="en-US"/>
        </w:rPr>
        <w:t xml:space="preserve"> o inestimables y en los supuestos que la ley señale expresamente. La modificación del monto fijado para establecer la mayor cuantía, luego de iniciado un proceso, no impedirá el acceso al recurso” (las negrillas no son del original).</w:t>
      </w:r>
    </w:p>
    <w:p w14:paraId="6A5696F5" w14:textId="77777777" w:rsidR="00566C55" w:rsidRPr="004E74A6" w:rsidRDefault="00566C55" w:rsidP="00832773">
      <w:pPr>
        <w:spacing w:after="160" w:line="276" w:lineRule="auto"/>
        <w:ind w:left="851" w:right="476"/>
        <w:contextualSpacing/>
        <w:rPr>
          <w:rFonts w:eastAsia="Calibri"/>
          <w:i/>
          <w:iCs/>
          <w:sz w:val="22"/>
          <w:szCs w:val="22"/>
          <w:lang w:eastAsia="en-US"/>
        </w:rPr>
      </w:pPr>
    </w:p>
    <w:p w14:paraId="16EA23AD" w14:textId="77777777" w:rsidR="00566C55" w:rsidRPr="004E74A6" w:rsidRDefault="00566C55" w:rsidP="00832773">
      <w:pPr>
        <w:spacing w:after="160" w:line="276" w:lineRule="auto"/>
        <w:ind w:left="851" w:right="476"/>
        <w:contextualSpacing/>
        <w:rPr>
          <w:rFonts w:eastAsia="Calibri"/>
          <w:i/>
          <w:iCs/>
          <w:sz w:val="22"/>
          <w:szCs w:val="22"/>
          <w:lang w:eastAsia="en-US"/>
        </w:rPr>
      </w:pPr>
      <w:r w:rsidRPr="004E74A6">
        <w:rPr>
          <w:rFonts w:eastAsia="Calibri"/>
          <w:i/>
          <w:iCs/>
          <w:sz w:val="22"/>
          <w:szCs w:val="22"/>
          <w:lang w:eastAsia="en-US"/>
        </w:rPr>
        <w:t xml:space="preserve">En otros términos, es requisito indispensable para que una sentencia pueda ser objeto del recurso de casación, que pertenezca a un </w:t>
      </w:r>
      <w:r w:rsidRPr="004E74A6">
        <w:rPr>
          <w:rFonts w:eastAsia="Calibri"/>
          <w:b/>
          <w:bCs/>
          <w:i/>
          <w:iCs/>
          <w:sz w:val="22"/>
          <w:szCs w:val="22"/>
          <w:u w:val="single"/>
          <w:lang w:eastAsia="en-US"/>
        </w:rPr>
        <w:t>proceso ordinario de mayor cuantía</w:t>
      </w:r>
      <w:r w:rsidRPr="004E74A6">
        <w:rPr>
          <w:rFonts w:eastAsia="Calibri"/>
          <w:i/>
          <w:iCs/>
          <w:sz w:val="22"/>
          <w:szCs w:val="22"/>
          <w:lang w:eastAsia="en-US"/>
        </w:rPr>
        <w:t>.</w:t>
      </w:r>
    </w:p>
    <w:p w14:paraId="2F676230" w14:textId="77777777" w:rsidR="00566C55" w:rsidRPr="004E74A6" w:rsidRDefault="00566C55" w:rsidP="00832773">
      <w:pPr>
        <w:spacing w:after="160" w:line="276" w:lineRule="auto"/>
        <w:ind w:left="851" w:right="476"/>
        <w:contextualSpacing/>
        <w:rPr>
          <w:rFonts w:eastAsia="Calibri"/>
          <w:i/>
          <w:iCs/>
          <w:sz w:val="22"/>
          <w:szCs w:val="22"/>
          <w:lang w:eastAsia="en-US"/>
        </w:rPr>
      </w:pPr>
    </w:p>
    <w:p w14:paraId="2C2EAA13" w14:textId="77777777" w:rsidR="00566C55" w:rsidRPr="004E74A6" w:rsidRDefault="00566C55" w:rsidP="00832773">
      <w:pPr>
        <w:spacing w:after="160" w:line="276" w:lineRule="auto"/>
        <w:ind w:left="851" w:right="476"/>
        <w:contextualSpacing/>
        <w:rPr>
          <w:rFonts w:eastAsia="Calibri"/>
          <w:i/>
          <w:iCs/>
          <w:sz w:val="22"/>
          <w:szCs w:val="22"/>
          <w:lang w:eastAsia="en-US"/>
        </w:rPr>
      </w:pPr>
      <w:r w:rsidRPr="004E74A6">
        <w:rPr>
          <w:rFonts w:eastAsia="Calibri"/>
          <w:i/>
          <w:iCs/>
          <w:sz w:val="22"/>
          <w:szCs w:val="22"/>
          <w:lang w:eastAsia="en-US"/>
        </w:rPr>
        <w:t>Si bien es cierto el artículo 59 inciso 14 de la Ley Orgánica del Poder Judicial establece como parte de las competencias que corresponde a la Corte Suprema de Justicia:</w:t>
      </w:r>
    </w:p>
    <w:p w14:paraId="3B0D359F" w14:textId="77777777" w:rsidR="00566C55" w:rsidRPr="004E74A6" w:rsidRDefault="00566C55" w:rsidP="00832773">
      <w:pPr>
        <w:spacing w:after="160" w:line="276" w:lineRule="auto"/>
        <w:ind w:left="851" w:right="476"/>
        <w:contextualSpacing/>
        <w:rPr>
          <w:rFonts w:eastAsia="Calibri"/>
          <w:i/>
          <w:iCs/>
          <w:sz w:val="22"/>
          <w:szCs w:val="22"/>
          <w:lang w:eastAsia="en-US"/>
        </w:rPr>
      </w:pPr>
      <w:r w:rsidRPr="004E74A6">
        <w:rPr>
          <w:rFonts w:eastAsia="Calibri"/>
          <w:i/>
          <w:iCs/>
          <w:sz w:val="22"/>
          <w:szCs w:val="22"/>
          <w:lang w:eastAsia="en-US"/>
        </w:rPr>
        <w:lastRenderedPageBreak/>
        <w:t>“14.- Establecer los montos para determinar la procedencia del recurso de casación, por votación mínima de dos terceras partes de la totalidad de los Magistrados. Este monto podrá disminuirse o aumentarse, una vez transcurrido el plazo aquí fijado, para lo cual previamente se solicitará al Banco Central de Costa Rica, un informe sobre el índice inflacionario.</w:t>
      </w:r>
    </w:p>
    <w:p w14:paraId="04CEFAF8" w14:textId="77777777" w:rsidR="00566C55" w:rsidRPr="004E74A6" w:rsidRDefault="00566C55" w:rsidP="00832773">
      <w:pPr>
        <w:spacing w:after="160" w:line="276" w:lineRule="auto"/>
        <w:ind w:left="851" w:right="476"/>
        <w:contextualSpacing/>
        <w:rPr>
          <w:rFonts w:eastAsia="Calibri"/>
          <w:i/>
          <w:iCs/>
          <w:sz w:val="22"/>
          <w:szCs w:val="22"/>
          <w:lang w:eastAsia="en-US"/>
        </w:rPr>
      </w:pPr>
    </w:p>
    <w:p w14:paraId="137EA648" w14:textId="77777777" w:rsidR="00566C55" w:rsidRPr="004E74A6" w:rsidRDefault="00566C55" w:rsidP="00832773">
      <w:pPr>
        <w:spacing w:after="160" w:line="276" w:lineRule="auto"/>
        <w:ind w:left="851" w:right="476"/>
        <w:contextualSpacing/>
        <w:rPr>
          <w:rFonts w:eastAsia="Calibri"/>
          <w:i/>
          <w:iCs/>
          <w:sz w:val="22"/>
          <w:szCs w:val="22"/>
          <w:lang w:eastAsia="en-US"/>
        </w:rPr>
      </w:pPr>
      <w:r w:rsidRPr="004E74A6">
        <w:rPr>
          <w:rFonts w:eastAsia="Calibri"/>
          <w:i/>
          <w:iCs/>
          <w:sz w:val="22"/>
          <w:szCs w:val="22"/>
          <w:lang w:eastAsia="en-US"/>
        </w:rPr>
        <w:t>Si transcurriere un mes sin haberse recibido el informe, la Corte prescindirá de él y hará la fijación que corresponda. La fijación que se realice, tanto en este caso como en el del inciso anterior, regirá un mes después de su primera publicación en el Boletín Judicial, por un período mínimo de dos años.”</w:t>
      </w:r>
    </w:p>
    <w:p w14:paraId="7CBDD5BE" w14:textId="77777777" w:rsidR="00566C55" w:rsidRPr="004E74A6" w:rsidRDefault="00566C55" w:rsidP="00832773">
      <w:pPr>
        <w:spacing w:after="160" w:line="276" w:lineRule="auto"/>
        <w:ind w:right="476"/>
        <w:contextualSpacing/>
        <w:rPr>
          <w:rFonts w:eastAsia="Calibri"/>
          <w:sz w:val="22"/>
          <w:szCs w:val="22"/>
          <w:lang w:eastAsia="en-US"/>
        </w:rPr>
      </w:pPr>
    </w:p>
    <w:p w14:paraId="19BDE611" w14:textId="4D235B12" w:rsidR="00566C55" w:rsidRPr="004E74A6" w:rsidRDefault="00566C55" w:rsidP="00832773">
      <w:pPr>
        <w:spacing w:line="276" w:lineRule="auto"/>
        <w:ind w:left="851" w:right="476"/>
        <w:contextualSpacing/>
        <w:rPr>
          <w:rFonts w:eastAsia="Calibri"/>
          <w:i/>
          <w:iCs/>
          <w:sz w:val="22"/>
          <w:szCs w:val="22"/>
          <w:lang w:eastAsia="en-US"/>
        </w:rPr>
      </w:pPr>
      <w:r w:rsidRPr="004E74A6">
        <w:rPr>
          <w:rFonts w:eastAsia="Calibri"/>
          <w:i/>
          <w:iCs/>
          <w:sz w:val="22"/>
          <w:szCs w:val="22"/>
          <w:lang w:eastAsia="en-US"/>
        </w:rPr>
        <w:t>Se debe tener presente que, con la reciente reforma al Código Procesal Civil, ahora se debe observar el requisito contemplado en el artículo 69.1 de esta nueva normativa, en cuanto a que el recurso de casación en materia civil es posible cuando se trate de un proceso ordinario de mayor cuantía o inestimables; esto por cuanto, no puede obviarse, que el Código Procesal Civil es de creación y vigencia posterior a la Ley Orgánica del Poder Judicial.</w:t>
      </w:r>
    </w:p>
    <w:p w14:paraId="252FE063" w14:textId="77777777" w:rsidR="00566C55" w:rsidRPr="004E74A6" w:rsidRDefault="00566C55" w:rsidP="00832773">
      <w:pPr>
        <w:spacing w:line="276" w:lineRule="auto"/>
        <w:ind w:left="851" w:right="476"/>
        <w:contextualSpacing/>
        <w:rPr>
          <w:rFonts w:eastAsia="Calibri"/>
          <w:i/>
          <w:iCs/>
          <w:sz w:val="22"/>
          <w:szCs w:val="22"/>
          <w:lang w:eastAsia="en-US"/>
        </w:rPr>
      </w:pPr>
    </w:p>
    <w:p w14:paraId="39676018" w14:textId="77777777" w:rsidR="000A4A2B" w:rsidRPr="004E74A6" w:rsidRDefault="000A4A2B" w:rsidP="00832773">
      <w:pPr>
        <w:shd w:val="clear" w:color="auto" w:fill="E2EFD9"/>
        <w:spacing w:line="276" w:lineRule="auto"/>
        <w:ind w:left="851" w:right="476"/>
        <w:rPr>
          <w:rFonts w:eastAsia="Calibri"/>
          <w:sz w:val="22"/>
          <w:szCs w:val="22"/>
          <w:lang w:eastAsia="en-US"/>
        </w:rPr>
      </w:pPr>
      <w:r w:rsidRPr="00832773">
        <w:rPr>
          <w:rFonts w:eastAsia="Calibri"/>
          <w:i/>
          <w:iCs/>
          <w:sz w:val="22"/>
          <w:szCs w:val="22"/>
          <w:lang w:eastAsia="en-US"/>
        </w:rPr>
        <w:t>De manera que, con esta nueva normativa el legislador limitó la competencia de la Corte Suprema de Justicia en cuanto a la determinación de la procedencia del recurso de casación, al establecer como requisito indispensable para que una sentencia pueda ser objeto de dicho recurso en materia civil, que pertenezca a un proceso ordinario de mayor cuantía o de cuantía inestimable.</w:t>
      </w:r>
    </w:p>
    <w:p w14:paraId="4DDE5302" w14:textId="77777777" w:rsidR="000A4A2B" w:rsidRPr="004E74A6" w:rsidRDefault="000A4A2B" w:rsidP="00832773">
      <w:pPr>
        <w:spacing w:line="276" w:lineRule="auto"/>
        <w:ind w:left="851" w:right="476"/>
        <w:rPr>
          <w:rFonts w:eastAsia="Calibri"/>
          <w:sz w:val="22"/>
          <w:szCs w:val="22"/>
          <w:lang w:eastAsia="en-US"/>
        </w:rPr>
      </w:pPr>
      <w:r w:rsidRPr="004E74A6">
        <w:rPr>
          <w:rFonts w:eastAsia="Calibri"/>
          <w:i/>
          <w:iCs/>
          <w:sz w:val="22"/>
          <w:szCs w:val="22"/>
          <w:lang w:eastAsia="en-US"/>
        </w:rPr>
        <w:t> </w:t>
      </w:r>
    </w:p>
    <w:p w14:paraId="652348D8" w14:textId="77777777" w:rsidR="000A4A2B" w:rsidRPr="004E74A6" w:rsidRDefault="000A4A2B" w:rsidP="00832773">
      <w:pPr>
        <w:spacing w:line="276" w:lineRule="auto"/>
        <w:ind w:left="851" w:right="476"/>
        <w:rPr>
          <w:rFonts w:eastAsia="Calibri"/>
          <w:sz w:val="22"/>
          <w:szCs w:val="22"/>
          <w:lang w:eastAsia="en-US"/>
        </w:rPr>
      </w:pPr>
      <w:r w:rsidRPr="00832773">
        <w:rPr>
          <w:rFonts w:eastAsia="Calibri"/>
          <w:i/>
          <w:iCs/>
          <w:sz w:val="22"/>
          <w:szCs w:val="22"/>
          <w:lang w:eastAsia="en-US"/>
        </w:rPr>
        <w:t xml:space="preserve">No obstante lo anterior, se debe tener presente lo externado en el criterio DJ-C-111-2021, en el sentido de que </w:t>
      </w:r>
      <w:r w:rsidRPr="00832773">
        <w:rPr>
          <w:rFonts w:eastAsia="Calibri"/>
          <w:b/>
          <w:bCs/>
          <w:i/>
          <w:iCs/>
          <w:sz w:val="22"/>
          <w:szCs w:val="22"/>
          <w:lang w:eastAsia="en-US"/>
        </w:rPr>
        <w:t>la fijación de los límites económicos como cuantía de los procesos judiciales en materia civil, constituye una potestad concedida por ley a la Corte Suprema de Justicia</w:t>
      </w:r>
      <w:r w:rsidRPr="00832773">
        <w:rPr>
          <w:rFonts w:eastAsia="Calibri"/>
          <w:i/>
          <w:iCs/>
          <w:sz w:val="22"/>
          <w:szCs w:val="22"/>
          <w:lang w:eastAsia="en-US"/>
        </w:rPr>
        <w:t xml:space="preserve">, como parte del ejercicio de gobierno administrativo del Poder Judicial (artículos 46 y 114 de la Ley Orgánica del Poder Judicial; 16 y 158.4 de la Ley General de la Administración Pública), con la finalidad de distribuir la competencia de los órganos jurisdiccionales, para lo cual la Corte podrá tomar en consideración múltiples factores, en orden a aumentar o disminuir los montos de cuantía; ahora bien, para ello se debe tener presente la precaución señalada en dicho criterio, </w:t>
      </w:r>
      <w:r w:rsidRPr="00832773">
        <w:rPr>
          <w:rFonts w:eastAsia="Calibri"/>
          <w:i/>
          <w:iCs/>
          <w:sz w:val="22"/>
          <w:szCs w:val="22"/>
          <w:shd w:val="clear" w:color="auto" w:fill="E2EFD9"/>
          <w:lang w:eastAsia="en-US"/>
        </w:rPr>
        <w:t>en cuanto a la no existencia de norma legal que habilite a la Corte para realizar otro tipo de fijación de competencias en esta material, ni tampoco que pueda a establecer cuantías diferenciadas; siendo que para ello se requeriría una reforma legal que así lo permita”.</w:t>
      </w:r>
    </w:p>
    <w:p w14:paraId="618BB749" w14:textId="77777777" w:rsidR="00566C55" w:rsidRPr="004E74A6" w:rsidRDefault="00566C55" w:rsidP="00CE62C1">
      <w:pPr>
        <w:spacing w:after="160" w:line="276" w:lineRule="auto"/>
        <w:contextualSpacing/>
        <w:rPr>
          <w:rFonts w:eastAsia="Calibri"/>
          <w:szCs w:val="24"/>
          <w:lang w:eastAsia="en-US"/>
        </w:rPr>
      </w:pPr>
    </w:p>
    <w:p w14:paraId="4803534C" w14:textId="0D2E2ED1" w:rsidR="00822BA1" w:rsidRPr="004E74A6" w:rsidRDefault="00822BA1" w:rsidP="00CE62C1">
      <w:pPr>
        <w:spacing w:after="160" w:line="276" w:lineRule="auto"/>
        <w:contextualSpacing/>
        <w:rPr>
          <w:rFonts w:eastAsia="Calibri"/>
          <w:szCs w:val="24"/>
          <w:lang w:eastAsia="en-US"/>
        </w:rPr>
      </w:pPr>
      <w:r w:rsidRPr="004E74A6">
        <w:rPr>
          <w:rFonts w:eastAsia="Calibri"/>
          <w:szCs w:val="24"/>
          <w:lang w:eastAsia="en-US"/>
        </w:rPr>
        <w:lastRenderedPageBreak/>
        <w:t xml:space="preserve">A partir de dichos informes, la competencia de la Corte Plena quedaría sujeta al establecimiento </w:t>
      </w:r>
      <w:r w:rsidR="0089635F" w:rsidRPr="004E74A6">
        <w:rPr>
          <w:rFonts w:eastAsia="Calibri"/>
          <w:szCs w:val="24"/>
          <w:lang w:eastAsia="en-US"/>
        </w:rPr>
        <w:t>del límite de la cuantía para definir la competencia jurisdiccional entre mayor y menor cuantía, así como el acceso al recurso de casación para asuntos de mayor cuantía; sin embargo, el establecimiento de cuantías diferenciadas implicaría de reformas legales ante la ausencia de normas legales que habiliten a la Corte Plena a realizar dicha modificación</w:t>
      </w:r>
      <w:r w:rsidR="000066DB" w:rsidRPr="004E74A6">
        <w:rPr>
          <w:rFonts w:eastAsia="Calibri"/>
          <w:szCs w:val="24"/>
          <w:lang w:eastAsia="en-US"/>
        </w:rPr>
        <w:t>, siendo potestad de la Corte analizar dichos criterios emitidos por la Dirección Jurídica</w:t>
      </w:r>
      <w:r w:rsidR="008E1866" w:rsidRPr="004E74A6">
        <w:rPr>
          <w:rFonts w:eastAsia="Calibri"/>
          <w:szCs w:val="24"/>
          <w:lang w:eastAsia="en-US"/>
        </w:rPr>
        <w:t xml:space="preserve"> además de considerar lo expuesto al respecto por la gestoría Civil y la Sala Primera (anexos 16 y 22 de este informe)</w:t>
      </w:r>
      <w:r w:rsidR="000066DB" w:rsidRPr="004E74A6">
        <w:rPr>
          <w:rFonts w:eastAsia="Calibri"/>
          <w:szCs w:val="24"/>
          <w:lang w:eastAsia="en-US"/>
        </w:rPr>
        <w:t xml:space="preserve">. </w:t>
      </w:r>
    </w:p>
    <w:p w14:paraId="429F540A" w14:textId="4862B633" w:rsidR="00822BA1" w:rsidRPr="004E74A6" w:rsidRDefault="00822BA1" w:rsidP="00CE62C1">
      <w:pPr>
        <w:spacing w:after="160" w:line="276" w:lineRule="auto"/>
        <w:contextualSpacing/>
        <w:rPr>
          <w:rFonts w:eastAsia="Calibri"/>
          <w:szCs w:val="24"/>
          <w:lang w:eastAsia="en-US"/>
        </w:rPr>
      </w:pPr>
    </w:p>
    <w:p w14:paraId="7217B760" w14:textId="430FEEAD" w:rsidR="007B3092" w:rsidRPr="00832773" w:rsidRDefault="007B3092" w:rsidP="00832773">
      <w:pPr>
        <w:pStyle w:val="Prrafodelista"/>
        <w:numPr>
          <w:ilvl w:val="1"/>
          <w:numId w:val="62"/>
        </w:numPr>
        <w:spacing w:after="160" w:line="276" w:lineRule="auto"/>
        <w:ind w:left="567" w:hanging="502"/>
        <w:contextualSpacing/>
        <w:rPr>
          <w:rFonts w:eastAsia="Calibri"/>
          <w:lang w:eastAsia="en-US"/>
        </w:rPr>
      </w:pPr>
      <w:r w:rsidRPr="00832773">
        <w:rPr>
          <w:rFonts w:ascii="Book Antiqua" w:eastAsia="Calibri" w:hAnsi="Book Antiqua"/>
          <w:lang w:eastAsia="en-US"/>
        </w:rPr>
        <w:t>Para el Escenario B</w:t>
      </w:r>
      <w:r w:rsidR="002A7B79" w:rsidRPr="00832773">
        <w:rPr>
          <w:rFonts w:ascii="Book Antiqua" w:eastAsia="Calibri" w:hAnsi="Book Antiqua"/>
          <w:lang w:eastAsia="en-US"/>
        </w:rPr>
        <w:t xml:space="preserve"> de actualización</w:t>
      </w:r>
      <w:r w:rsidRPr="00832773">
        <w:rPr>
          <w:rFonts w:ascii="Book Antiqua" w:eastAsia="Calibri" w:hAnsi="Book Antiqua"/>
          <w:lang w:eastAsia="en-US"/>
        </w:rPr>
        <w:t xml:space="preserve"> del monto de la cuantía en materia Civil, según el Índice de Precios al Consumidor, se adiciona el Índice de Precios al Productor y se establece la nueva cuantía en el monto de mayor cuantía en alrededor de los ¢4.</w:t>
      </w:r>
      <w:r w:rsidR="00F12F64" w:rsidRPr="00832773">
        <w:rPr>
          <w:rFonts w:ascii="Book Antiqua" w:eastAsia="Calibri" w:hAnsi="Book Antiqua"/>
          <w:lang w:eastAsia="en-US"/>
        </w:rPr>
        <w:t>400</w:t>
      </w:r>
      <w:r w:rsidRPr="00832773">
        <w:rPr>
          <w:rFonts w:ascii="Book Antiqua" w:eastAsia="Calibri" w:hAnsi="Book Antiqua"/>
          <w:lang w:eastAsia="en-US"/>
        </w:rPr>
        <w:t>.000.00.</w:t>
      </w:r>
      <w:r w:rsidR="008E1866" w:rsidRPr="00832773">
        <w:rPr>
          <w:rFonts w:ascii="Book Antiqua" w:eastAsia="Calibri" w:hAnsi="Book Antiqua"/>
          <w:lang w:eastAsia="en-US"/>
        </w:rPr>
        <w:t xml:space="preserve"> Respecto a este escenario la Sala Primera </w:t>
      </w:r>
      <w:r w:rsidR="008D51C4" w:rsidRPr="00832773">
        <w:rPr>
          <w:rFonts w:ascii="Book Antiqua" w:eastAsia="Calibri" w:hAnsi="Book Antiqua"/>
          <w:lang w:eastAsia="en-US"/>
        </w:rPr>
        <w:t>propone que</w:t>
      </w:r>
      <w:r w:rsidR="008E1866" w:rsidRPr="00832773">
        <w:rPr>
          <w:rFonts w:ascii="Book Antiqua" w:eastAsia="Calibri" w:hAnsi="Book Antiqua"/>
          <w:lang w:eastAsia="en-US"/>
        </w:rPr>
        <w:t xml:space="preserve"> se cree una nueva herramienta para el cálculo, oficio PS1-43-2022-anexo 22.</w:t>
      </w:r>
    </w:p>
    <w:p w14:paraId="12E2CC19" w14:textId="77777777" w:rsidR="007B3092" w:rsidRPr="004E74A6" w:rsidRDefault="007B3092" w:rsidP="00CE62C1">
      <w:pPr>
        <w:spacing w:line="276" w:lineRule="auto"/>
        <w:rPr>
          <w:rFonts w:eastAsia="Calibri"/>
          <w:lang w:eastAsia="en-US"/>
        </w:rPr>
      </w:pPr>
    </w:p>
    <w:p w14:paraId="2479DCC8" w14:textId="160CB9E9" w:rsidR="007B3092" w:rsidRPr="00832773" w:rsidRDefault="007B3092" w:rsidP="00832773">
      <w:pPr>
        <w:pStyle w:val="Prrafodelista"/>
        <w:numPr>
          <w:ilvl w:val="1"/>
          <w:numId w:val="62"/>
        </w:numPr>
        <w:spacing w:after="160" w:line="276" w:lineRule="auto"/>
        <w:ind w:left="567" w:hanging="502"/>
        <w:contextualSpacing/>
        <w:rPr>
          <w:rFonts w:eastAsia="Calibri"/>
          <w:lang w:eastAsia="en-US"/>
        </w:rPr>
      </w:pPr>
      <w:r w:rsidRPr="00832773">
        <w:rPr>
          <w:rFonts w:ascii="Book Antiqua" w:eastAsia="Calibri" w:hAnsi="Book Antiqua"/>
          <w:lang w:eastAsia="en-US"/>
        </w:rPr>
        <w:t xml:space="preserve">El Escenario C. Costo del Recurso de Casación en materia civil para la Sala Primera, se </w:t>
      </w:r>
      <w:r w:rsidR="006A454D" w:rsidRPr="00832773">
        <w:rPr>
          <w:rFonts w:ascii="Book Antiqua" w:eastAsia="Calibri" w:hAnsi="Book Antiqua"/>
          <w:lang w:eastAsia="en-US"/>
        </w:rPr>
        <w:t xml:space="preserve">actualiza el monto, con el </w:t>
      </w:r>
      <w:r w:rsidR="00DC4862" w:rsidRPr="00832773">
        <w:rPr>
          <w:rFonts w:ascii="Book Antiqua" w:eastAsia="Calibri" w:hAnsi="Book Antiqua"/>
          <w:lang w:eastAsia="en-US"/>
        </w:rPr>
        <w:t>c</w:t>
      </w:r>
      <w:r w:rsidR="006A454D" w:rsidRPr="00832773">
        <w:rPr>
          <w:rFonts w:ascii="Book Antiqua" w:eastAsia="Calibri" w:hAnsi="Book Antiqua"/>
          <w:lang w:eastAsia="en-US"/>
        </w:rPr>
        <w:t>osto de la justicia civil en 2020 de terminar una casación civil. El</w:t>
      </w:r>
      <w:r w:rsidRPr="00832773">
        <w:rPr>
          <w:rFonts w:ascii="Book Antiqua" w:eastAsia="Calibri" w:hAnsi="Book Antiqua"/>
          <w:lang w:eastAsia="en-US"/>
        </w:rPr>
        <w:t xml:space="preserve"> nuevo monto de cuantía </w:t>
      </w:r>
      <w:r w:rsidR="006A454D" w:rsidRPr="00832773">
        <w:rPr>
          <w:rFonts w:ascii="Book Antiqua" w:eastAsia="Calibri" w:hAnsi="Book Antiqua"/>
          <w:lang w:eastAsia="en-US"/>
        </w:rPr>
        <w:t>propuesto sería de</w:t>
      </w:r>
      <w:r w:rsidRPr="00832773">
        <w:rPr>
          <w:rFonts w:ascii="Book Antiqua" w:eastAsia="Calibri" w:hAnsi="Book Antiqua"/>
          <w:lang w:eastAsia="en-US"/>
        </w:rPr>
        <w:t xml:space="preserve"> </w:t>
      </w:r>
      <w:r w:rsidRPr="00D26031">
        <w:rPr>
          <w:rFonts w:ascii="Times New Roman" w:eastAsia="Calibri" w:hAnsi="Times New Roman" w:cs="Times New Roman"/>
          <w:lang w:eastAsia="en-US"/>
        </w:rPr>
        <w:t>₡</w:t>
      </w:r>
      <w:r w:rsidR="00B70B60" w:rsidRPr="00832773">
        <w:rPr>
          <w:rFonts w:ascii="Book Antiqua" w:eastAsia="Calibri" w:hAnsi="Book Antiqua"/>
          <w:lang w:eastAsia="en-US"/>
        </w:rPr>
        <w:t>1 200</w:t>
      </w:r>
      <w:r w:rsidR="005B2C04" w:rsidRPr="00832773">
        <w:rPr>
          <w:rFonts w:ascii="Book Antiqua" w:eastAsia="Calibri" w:hAnsi="Book Antiqua"/>
          <w:lang w:eastAsia="en-US"/>
        </w:rPr>
        <w:t> </w:t>
      </w:r>
      <w:r w:rsidR="00B70B60" w:rsidRPr="00832773">
        <w:rPr>
          <w:rFonts w:ascii="Book Antiqua" w:eastAsia="Calibri" w:hAnsi="Book Antiqua"/>
          <w:lang w:eastAsia="en-US"/>
        </w:rPr>
        <w:t>000</w:t>
      </w:r>
      <w:r w:rsidR="005B2C04" w:rsidRPr="00832773">
        <w:rPr>
          <w:rFonts w:ascii="Book Antiqua" w:eastAsia="Calibri" w:hAnsi="Book Antiqua"/>
          <w:lang w:eastAsia="en-US"/>
        </w:rPr>
        <w:t xml:space="preserve"> si se consideran todos los terminados de la Sala y de </w:t>
      </w:r>
      <w:r w:rsidR="005B2C04" w:rsidRPr="00D26031">
        <w:rPr>
          <w:rFonts w:ascii="Times New Roman" w:eastAsia="Calibri" w:hAnsi="Times New Roman" w:cs="Times New Roman"/>
          <w:lang w:eastAsia="en-US"/>
        </w:rPr>
        <w:t>₡</w:t>
      </w:r>
      <w:r w:rsidR="00DC4862" w:rsidRPr="00832773">
        <w:rPr>
          <w:rFonts w:ascii="Book Antiqua" w:eastAsia="Calibri" w:hAnsi="Book Antiqua"/>
          <w:lang w:eastAsia="en-US"/>
        </w:rPr>
        <w:t>2 800 000</w:t>
      </w:r>
      <w:r w:rsidR="005B2C04" w:rsidRPr="00832773">
        <w:rPr>
          <w:rFonts w:ascii="Book Antiqua" w:eastAsia="Calibri" w:hAnsi="Book Antiqua"/>
          <w:lang w:eastAsia="en-US"/>
        </w:rPr>
        <w:t xml:space="preserve"> si se consideran solo las casaciones</w:t>
      </w:r>
      <w:r w:rsidR="00DC4862" w:rsidRPr="00832773">
        <w:rPr>
          <w:rFonts w:ascii="Book Antiqua" w:eastAsia="Calibri" w:hAnsi="Book Antiqua"/>
          <w:lang w:eastAsia="en-US"/>
        </w:rPr>
        <w:t>; por lo que este escenario recom</w:t>
      </w:r>
      <w:r w:rsidR="00E56FB6" w:rsidRPr="00832773">
        <w:rPr>
          <w:rFonts w:ascii="Book Antiqua" w:eastAsia="Calibri" w:hAnsi="Book Antiqua"/>
          <w:lang w:eastAsia="en-US"/>
        </w:rPr>
        <w:t>ienda</w:t>
      </w:r>
      <w:r w:rsidR="00DC4862" w:rsidRPr="00832773">
        <w:rPr>
          <w:rFonts w:ascii="Book Antiqua" w:eastAsia="Calibri" w:hAnsi="Book Antiqua"/>
          <w:lang w:eastAsia="en-US"/>
        </w:rPr>
        <w:t xml:space="preserve"> mantener la cuantía actual de </w:t>
      </w:r>
      <w:r w:rsidR="008A49CD" w:rsidRPr="00D26031">
        <w:rPr>
          <w:rFonts w:ascii="Times New Roman" w:eastAsia="Calibri" w:hAnsi="Times New Roman" w:cs="Times New Roman"/>
          <w:lang w:eastAsia="en-US"/>
        </w:rPr>
        <w:t>₡</w:t>
      </w:r>
      <w:r w:rsidR="00DC4862" w:rsidRPr="00832773">
        <w:rPr>
          <w:rFonts w:ascii="Book Antiqua" w:eastAsia="Calibri" w:hAnsi="Book Antiqua"/>
          <w:lang w:eastAsia="en-US"/>
        </w:rPr>
        <w:t>3 000 000</w:t>
      </w:r>
      <w:r w:rsidR="008A49CD" w:rsidRPr="00832773">
        <w:rPr>
          <w:rFonts w:ascii="Book Antiqua" w:eastAsia="Calibri" w:hAnsi="Book Antiqua"/>
          <w:lang w:eastAsia="en-US"/>
        </w:rPr>
        <w:t xml:space="preserve">. </w:t>
      </w:r>
    </w:p>
    <w:p w14:paraId="64247E48" w14:textId="77777777" w:rsidR="00C85F67" w:rsidRPr="00832773" w:rsidRDefault="00C85F67" w:rsidP="00832773">
      <w:pPr>
        <w:pStyle w:val="Prrafodelista"/>
        <w:spacing w:line="276" w:lineRule="auto"/>
        <w:rPr>
          <w:rFonts w:eastAsia="Calibri"/>
          <w:lang w:val="es-CR" w:eastAsia="en-US"/>
        </w:rPr>
      </w:pPr>
    </w:p>
    <w:p w14:paraId="20280242" w14:textId="5475CE52" w:rsidR="007973B9" w:rsidRPr="00832773" w:rsidRDefault="00B6293D" w:rsidP="00832773">
      <w:pPr>
        <w:pStyle w:val="Prrafodelista"/>
        <w:numPr>
          <w:ilvl w:val="1"/>
          <w:numId w:val="62"/>
        </w:numPr>
        <w:spacing w:after="160" w:line="276" w:lineRule="auto"/>
        <w:ind w:left="567" w:hanging="502"/>
        <w:contextualSpacing/>
        <w:rPr>
          <w:rFonts w:eastAsia="Calibri"/>
          <w:lang w:eastAsia="en-US"/>
        </w:rPr>
      </w:pPr>
      <w:r w:rsidRPr="00832773">
        <w:rPr>
          <w:rFonts w:ascii="Book Antiqua" w:eastAsia="Calibri" w:hAnsi="Book Antiqua"/>
          <w:lang w:eastAsia="en-US"/>
        </w:rPr>
        <w:t xml:space="preserve">En relación con el </w:t>
      </w:r>
      <w:r w:rsidR="00CA4A19" w:rsidRPr="00832773">
        <w:rPr>
          <w:rFonts w:ascii="Book Antiqua" w:eastAsia="Calibri" w:hAnsi="Book Antiqua"/>
          <w:lang w:eastAsia="en-US"/>
        </w:rPr>
        <w:t>E</w:t>
      </w:r>
      <w:r w:rsidRPr="00832773">
        <w:rPr>
          <w:rFonts w:ascii="Book Antiqua" w:eastAsia="Calibri" w:hAnsi="Book Antiqua"/>
          <w:lang w:eastAsia="en-US"/>
        </w:rPr>
        <w:t>scenario E. Reformas Legales</w:t>
      </w:r>
      <w:r w:rsidR="000066DB" w:rsidRPr="00832773">
        <w:rPr>
          <w:rFonts w:ascii="Book Antiqua" w:eastAsia="Calibri" w:hAnsi="Book Antiqua"/>
          <w:lang w:eastAsia="en-US"/>
        </w:rPr>
        <w:t>, e</w:t>
      </w:r>
      <w:r w:rsidRPr="00832773">
        <w:rPr>
          <w:rFonts w:ascii="Book Antiqua" w:eastAsia="Calibri" w:hAnsi="Book Antiqua"/>
          <w:lang w:eastAsia="en-US"/>
        </w:rPr>
        <w:t>l mismo se mantiene según lo establecido en el informe 1913-PLA-EV-2020</w:t>
      </w:r>
      <w:r w:rsidR="007973B9" w:rsidRPr="00832773">
        <w:rPr>
          <w:rFonts w:ascii="Book Antiqua" w:eastAsia="Calibri" w:hAnsi="Book Antiqua"/>
          <w:lang w:eastAsia="en-US"/>
        </w:rPr>
        <w:t xml:space="preserve"> se incluye adicionalmente</w:t>
      </w:r>
      <w:r w:rsidR="00CA4A19" w:rsidRPr="00832773">
        <w:rPr>
          <w:rFonts w:ascii="Book Antiqua" w:eastAsia="Calibri" w:hAnsi="Book Antiqua"/>
          <w:lang w:eastAsia="en-US"/>
        </w:rPr>
        <w:t xml:space="preserve"> solamente</w:t>
      </w:r>
      <w:r w:rsidR="007973B9" w:rsidRPr="00832773">
        <w:rPr>
          <w:rFonts w:ascii="Book Antiqua" w:eastAsia="Calibri" w:hAnsi="Book Antiqua"/>
          <w:lang w:eastAsia="en-US"/>
        </w:rPr>
        <w:t xml:space="preserve"> el tema de la reforma al 69.</w:t>
      </w:r>
      <w:r w:rsidR="00C35AD4" w:rsidRPr="00832773">
        <w:rPr>
          <w:rFonts w:ascii="Book Antiqua" w:eastAsia="Calibri" w:hAnsi="Book Antiqua"/>
          <w:lang w:eastAsia="en-US"/>
        </w:rPr>
        <w:t>1</w:t>
      </w:r>
      <w:r w:rsidR="007973B9" w:rsidRPr="00832773">
        <w:rPr>
          <w:rFonts w:ascii="Book Antiqua" w:eastAsia="Calibri" w:hAnsi="Book Antiqua"/>
          <w:lang w:eastAsia="en-US"/>
        </w:rPr>
        <w:t xml:space="preserve"> del Código Procesal Civil según criterios de la Dirección Jurídica</w:t>
      </w:r>
      <w:r w:rsidR="00CA4A19" w:rsidRPr="00832773">
        <w:rPr>
          <w:rFonts w:ascii="Book Antiqua" w:eastAsia="Calibri" w:hAnsi="Book Antiqua"/>
          <w:lang w:eastAsia="en-US"/>
        </w:rPr>
        <w:t xml:space="preserve"> en relación con el artículo 114 de la Ley Orgánica del Poder Judicial</w:t>
      </w:r>
      <w:r w:rsidR="008E1866" w:rsidRPr="00832773">
        <w:rPr>
          <w:rFonts w:ascii="Book Antiqua" w:eastAsia="Calibri" w:hAnsi="Book Antiqua"/>
          <w:lang w:eastAsia="en-US"/>
        </w:rPr>
        <w:t xml:space="preserve"> así como las consideraciones de la Sala Primera y la Comisión de la Jurisdicción Civil respecto a la viabilidad de las mismas-anexos 19, 22 y 23. </w:t>
      </w:r>
    </w:p>
    <w:p w14:paraId="5278E72C" w14:textId="50FFC639" w:rsidR="007973B9" w:rsidRDefault="007973B9" w:rsidP="00CE62C1">
      <w:pPr>
        <w:spacing w:line="276" w:lineRule="auto"/>
        <w:rPr>
          <w:rFonts w:eastAsia="Calibri"/>
          <w:lang w:eastAsia="en-US"/>
        </w:rPr>
      </w:pPr>
    </w:p>
    <w:p w14:paraId="7F64583D" w14:textId="77777777" w:rsidR="005D1B48" w:rsidRPr="004E74A6" w:rsidRDefault="005D1B48" w:rsidP="00CE62C1">
      <w:pPr>
        <w:spacing w:line="276" w:lineRule="auto"/>
        <w:rPr>
          <w:rFonts w:eastAsia="Calibri"/>
          <w:lang w:eastAsia="en-US"/>
        </w:rPr>
      </w:pPr>
    </w:p>
    <w:p w14:paraId="03662F36" w14:textId="77777777" w:rsidR="008E1866" w:rsidRPr="00832773" w:rsidRDefault="007973B9" w:rsidP="00832773">
      <w:pPr>
        <w:pStyle w:val="Prrafodelista"/>
        <w:numPr>
          <w:ilvl w:val="1"/>
          <w:numId w:val="62"/>
        </w:numPr>
        <w:spacing w:after="160" w:line="276" w:lineRule="auto"/>
        <w:ind w:left="567" w:hanging="502"/>
        <w:contextualSpacing/>
        <w:rPr>
          <w:rFonts w:ascii="Book Antiqua" w:eastAsia="Calibri" w:hAnsi="Book Antiqua"/>
          <w:lang w:eastAsia="en-US"/>
        </w:rPr>
      </w:pPr>
      <w:r w:rsidRPr="00832773">
        <w:rPr>
          <w:rFonts w:ascii="Book Antiqua" w:eastAsia="Calibri" w:hAnsi="Book Antiqua"/>
          <w:lang w:eastAsia="en-US"/>
        </w:rPr>
        <w:lastRenderedPageBreak/>
        <w:t>Se mantiene la recomendación de parte de esta Dirección de que este escenario es el ideal. Sin embargo, a solicitud de Sala Primera se mantiene e</w:t>
      </w:r>
      <w:r w:rsidR="00DC4862" w:rsidRPr="00832773">
        <w:rPr>
          <w:rFonts w:ascii="Book Antiqua" w:eastAsia="Calibri" w:hAnsi="Book Antiqua"/>
          <w:lang w:eastAsia="en-US"/>
        </w:rPr>
        <w:t>l</w:t>
      </w:r>
      <w:r w:rsidRPr="00832773">
        <w:rPr>
          <w:rFonts w:ascii="Book Antiqua" w:eastAsia="Calibri" w:hAnsi="Book Antiqua"/>
          <w:lang w:eastAsia="en-US"/>
        </w:rPr>
        <w:t xml:space="preserve"> </w:t>
      </w:r>
      <w:r w:rsidR="00CA4A19" w:rsidRPr="00832773">
        <w:rPr>
          <w:rFonts w:ascii="Book Antiqua" w:eastAsia="Calibri" w:hAnsi="Book Antiqua"/>
          <w:lang w:eastAsia="en-US"/>
        </w:rPr>
        <w:t>“</w:t>
      </w:r>
      <w:r w:rsidRPr="00832773">
        <w:rPr>
          <w:rFonts w:ascii="Book Antiqua" w:eastAsia="Calibri" w:hAnsi="Book Antiqua"/>
          <w:lang w:eastAsia="en-US"/>
        </w:rPr>
        <w:t>escenario A</w:t>
      </w:r>
      <w:r w:rsidR="00CA4A19" w:rsidRPr="00832773">
        <w:rPr>
          <w:rFonts w:ascii="Book Antiqua" w:eastAsia="Calibri" w:hAnsi="Book Antiqua"/>
          <w:lang w:eastAsia="en-US"/>
        </w:rPr>
        <w:t>”</w:t>
      </w:r>
      <w:r w:rsidRPr="00832773">
        <w:rPr>
          <w:rFonts w:ascii="Book Antiqua" w:eastAsia="Calibri" w:hAnsi="Book Antiqua"/>
          <w:lang w:eastAsia="en-US"/>
        </w:rPr>
        <w:t xml:space="preserve"> a pesar del criterio dado por la Dirección Jurídica, y </w:t>
      </w:r>
      <w:r w:rsidR="00B6293D" w:rsidRPr="00832773">
        <w:rPr>
          <w:rFonts w:ascii="Book Antiqua" w:eastAsia="Calibri" w:hAnsi="Book Antiqua"/>
          <w:lang w:eastAsia="en-US"/>
        </w:rPr>
        <w:t xml:space="preserve">se somete a valoración </w:t>
      </w:r>
      <w:r w:rsidRPr="00832773">
        <w:rPr>
          <w:rFonts w:ascii="Book Antiqua" w:eastAsia="Calibri" w:hAnsi="Book Antiqua"/>
          <w:lang w:eastAsia="en-US"/>
        </w:rPr>
        <w:t>nuevamente en este informe a</w:t>
      </w:r>
      <w:r w:rsidR="00B6293D" w:rsidRPr="00832773">
        <w:rPr>
          <w:rFonts w:ascii="Book Antiqua" w:eastAsia="Calibri" w:hAnsi="Book Antiqua"/>
          <w:lang w:eastAsia="en-US"/>
        </w:rPr>
        <w:t xml:space="preserve"> la Sala Primera</w:t>
      </w:r>
      <w:r w:rsidR="007B3092" w:rsidRPr="00832773">
        <w:rPr>
          <w:rFonts w:ascii="Book Antiqua" w:eastAsia="Calibri" w:hAnsi="Book Antiqua"/>
          <w:lang w:eastAsia="en-US"/>
        </w:rPr>
        <w:t xml:space="preserve"> y Corte Plena</w:t>
      </w:r>
      <w:r w:rsidR="00B6293D" w:rsidRPr="00832773">
        <w:rPr>
          <w:rFonts w:ascii="Book Antiqua" w:eastAsia="Calibri" w:hAnsi="Book Antiqua"/>
          <w:lang w:eastAsia="en-US"/>
        </w:rPr>
        <w:t xml:space="preserve"> conforme a las políticas de contención del gasto institucionales</w:t>
      </w:r>
      <w:r w:rsidR="007B3092" w:rsidRPr="00832773">
        <w:rPr>
          <w:rFonts w:ascii="Book Antiqua" w:eastAsia="Calibri" w:hAnsi="Book Antiqua"/>
          <w:lang w:eastAsia="en-US"/>
        </w:rPr>
        <w:t xml:space="preserve"> y la revisión de datos </w:t>
      </w:r>
      <w:r w:rsidRPr="00832773">
        <w:rPr>
          <w:rFonts w:ascii="Book Antiqua" w:eastAsia="Calibri" w:hAnsi="Book Antiqua"/>
          <w:lang w:eastAsia="en-US"/>
        </w:rPr>
        <w:t xml:space="preserve">estadísticos actualizados 2019 al 2021. </w:t>
      </w:r>
    </w:p>
    <w:p w14:paraId="536FBD39" w14:textId="77777777" w:rsidR="008E1866" w:rsidRPr="004E74A6" w:rsidRDefault="008E1866" w:rsidP="008E1866">
      <w:pPr>
        <w:pStyle w:val="Prrafodelista"/>
        <w:spacing w:line="276" w:lineRule="auto"/>
        <w:ind w:left="720"/>
        <w:rPr>
          <w:rFonts w:ascii="Book Antiqua" w:eastAsia="Calibri" w:hAnsi="Book Antiqua" w:cs="Times New Roman"/>
          <w:szCs w:val="20"/>
          <w:lang w:val="es-CR" w:eastAsia="en-US"/>
        </w:rPr>
      </w:pPr>
    </w:p>
    <w:p w14:paraId="5DB0A08F" w14:textId="04C9F95B" w:rsidR="00CA4A19" w:rsidRPr="00832773" w:rsidRDefault="007973B9" w:rsidP="00832773">
      <w:pPr>
        <w:pStyle w:val="Prrafodelista"/>
        <w:numPr>
          <w:ilvl w:val="1"/>
          <w:numId w:val="62"/>
        </w:numPr>
        <w:spacing w:after="160" w:line="276" w:lineRule="auto"/>
        <w:ind w:left="567" w:hanging="502"/>
        <w:contextualSpacing/>
        <w:rPr>
          <w:rFonts w:ascii="Book Antiqua" w:eastAsia="Calibri" w:hAnsi="Book Antiqua"/>
          <w:lang w:eastAsia="en-US"/>
        </w:rPr>
      </w:pPr>
      <w:r w:rsidRPr="00832773">
        <w:rPr>
          <w:rFonts w:ascii="Book Antiqua" w:eastAsia="Calibri" w:hAnsi="Book Antiqua"/>
          <w:lang w:eastAsia="en-US"/>
        </w:rPr>
        <w:t xml:space="preserve">Mantiene el criterio esta Dirección, que </w:t>
      </w:r>
      <w:r w:rsidR="00B6293D" w:rsidRPr="00832773">
        <w:rPr>
          <w:rFonts w:ascii="Book Antiqua" w:eastAsia="Calibri" w:hAnsi="Book Antiqua"/>
          <w:lang w:eastAsia="en-US"/>
        </w:rPr>
        <w:t>la necesidad de iniciativas de reformas legales</w:t>
      </w:r>
      <w:r w:rsidR="007B3092" w:rsidRPr="00832773">
        <w:rPr>
          <w:rFonts w:ascii="Book Antiqua" w:eastAsia="Calibri" w:hAnsi="Book Antiqua"/>
          <w:lang w:eastAsia="en-US"/>
        </w:rPr>
        <w:t xml:space="preserve"> en materia Civil para distribuir la competencia entre la primera instancia </w:t>
      </w:r>
      <w:r w:rsidRPr="00832773">
        <w:rPr>
          <w:rFonts w:ascii="Book Antiqua" w:eastAsia="Calibri" w:hAnsi="Book Antiqua"/>
          <w:lang w:eastAsia="en-US"/>
        </w:rPr>
        <w:t>y reformas en</w:t>
      </w:r>
      <w:r w:rsidR="007B3092" w:rsidRPr="00832773">
        <w:rPr>
          <w:rFonts w:ascii="Book Antiqua" w:eastAsia="Calibri" w:hAnsi="Book Antiqua"/>
          <w:lang w:eastAsia="en-US"/>
        </w:rPr>
        <w:t xml:space="preserve"> materia Contenciosa (cuyo Código Procesal entró en vigencia desde hace doce años) </w:t>
      </w:r>
      <w:r w:rsidRPr="00832773">
        <w:rPr>
          <w:rFonts w:ascii="Book Antiqua" w:eastAsia="Calibri" w:hAnsi="Book Antiqua"/>
          <w:lang w:eastAsia="en-US"/>
        </w:rPr>
        <w:t>son las que realmente</w:t>
      </w:r>
      <w:r w:rsidR="007B3092" w:rsidRPr="00832773">
        <w:rPr>
          <w:rFonts w:ascii="Book Antiqua" w:eastAsia="Calibri" w:hAnsi="Book Antiqua"/>
          <w:lang w:eastAsia="en-US"/>
        </w:rPr>
        <w:t xml:space="preserve"> </w:t>
      </w:r>
      <w:r w:rsidRPr="00832773">
        <w:rPr>
          <w:rFonts w:ascii="Book Antiqua" w:eastAsia="Calibri" w:hAnsi="Book Antiqua"/>
          <w:lang w:eastAsia="en-US"/>
        </w:rPr>
        <w:t>permitirían</w:t>
      </w:r>
      <w:r w:rsidR="007B3092" w:rsidRPr="00832773">
        <w:rPr>
          <w:rFonts w:ascii="Book Antiqua" w:eastAsia="Calibri" w:hAnsi="Book Antiqua"/>
          <w:lang w:eastAsia="en-US"/>
        </w:rPr>
        <w:t xml:space="preserve"> re</w:t>
      </w:r>
      <w:r w:rsidR="00B6293D" w:rsidRPr="00832773">
        <w:rPr>
          <w:rFonts w:ascii="Book Antiqua" w:eastAsia="Calibri" w:hAnsi="Book Antiqua"/>
          <w:lang w:eastAsia="en-US"/>
        </w:rPr>
        <w:t>gular la entrada en la Sala Primera y maximizar el recurso humano actual</w:t>
      </w:r>
      <w:r w:rsidR="007B3092" w:rsidRPr="00832773">
        <w:rPr>
          <w:rFonts w:ascii="Book Antiqua" w:eastAsia="Calibri" w:hAnsi="Book Antiqua"/>
          <w:lang w:eastAsia="en-US"/>
        </w:rPr>
        <w:t xml:space="preserve"> también en primera y segunda instancia (Juzgados Civiles, Tribunales Colegiados Civiles y Tribunales de Apelación Civil)</w:t>
      </w:r>
      <w:r w:rsidR="00C35AD4" w:rsidRPr="00832773">
        <w:rPr>
          <w:rFonts w:ascii="Book Antiqua" w:eastAsia="Calibri" w:hAnsi="Book Antiqua"/>
          <w:lang w:eastAsia="en-US"/>
        </w:rPr>
        <w:t>.</w:t>
      </w:r>
    </w:p>
    <w:p w14:paraId="64DF2C11" w14:textId="77777777" w:rsidR="00CA4A19" w:rsidRPr="004E74A6" w:rsidRDefault="00CA4A19" w:rsidP="00CE62C1">
      <w:pPr>
        <w:pStyle w:val="Prrafodelista"/>
        <w:spacing w:line="276" w:lineRule="auto"/>
        <w:ind w:left="720"/>
        <w:rPr>
          <w:rFonts w:ascii="Book Antiqua" w:eastAsia="Calibri" w:hAnsi="Book Antiqua" w:cs="Times New Roman"/>
          <w:szCs w:val="20"/>
          <w:lang w:val="es-CR" w:eastAsia="en-US"/>
        </w:rPr>
      </w:pPr>
    </w:p>
    <w:p w14:paraId="7567DDC5" w14:textId="2EF99643" w:rsidR="00B6293D" w:rsidRPr="00832773" w:rsidRDefault="006364D1" w:rsidP="00832773">
      <w:pPr>
        <w:pStyle w:val="Prrafodelista"/>
        <w:numPr>
          <w:ilvl w:val="1"/>
          <w:numId w:val="62"/>
        </w:numPr>
        <w:spacing w:after="160" w:line="276" w:lineRule="auto"/>
        <w:ind w:left="567" w:hanging="502"/>
        <w:contextualSpacing/>
        <w:rPr>
          <w:rFonts w:ascii="Book Antiqua" w:eastAsia="Calibri" w:hAnsi="Book Antiqua"/>
          <w:lang w:eastAsia="en-US"/>
        </w:rPr>
      </w:pPr>
      <w:r w:rsidRPr="00832773">
        <w:rPr>
          <w:rFonts w:ascii="Book Antiqua" w:eastAsia="Calibri" w:hAnsi="Book Antiqua"/>
          <w:lang w:eastAsia="en-US"/>
        </w:rPr>
        <w:t>Las posibles reformas para analizar</w:t>
      </w:r>
      <w:r w:rsidR="00C35AD4" w:rsidRPr="00832773">
        <w:rPr>
          <w:rFonts w:ascii="Book Antiqua" w:eastAsia="Calibri" w:hAnsi="Book Antiqua"/>
          <w:lang w:eastAsia="en-US"/>
        </w:rPr>
        <w:t xml:space="preserve"> serían en los siguientes temas:</w:t>
      </w:r>
    </w:p>
    <w:p w14:paraId="54862D7D" w14:textId="77777777" w:rsidR="00C35AD4" w:rsidRPr="004E74A6" w:rsidRDefault="00C35AD4" w:rsidP="00CE62C1">
      <w:pPr>
        <w:spacing w:line="276" w:lineRule="auto"/>
        <w:rPr>
          <w:rFonts w:eastAsia="Calibri"/>
          <w:lang w:eastAsia="en-US"/>
        </w:rPr>
      </w:pPr>
    </w:p>
    <w:p w14:paraId="2CB3BC1D" w14:textId="2E328436" w:rsidR="00B6293D" w:rsidRPr="004E74A6" w:rsidRDefault="00B6293D" w:rsidP="008E1866">
      <w:pPr>
        <w:numPr>
          <w:ilvl w:val="0"/>
          <w:numId w:val="7"/>
        </w:numPr>
        <w:spacing w:line="276" w:lineRule="auto"/>
        <w:rPr>
          <w:rFonts w:eastAsia="Calibri"/>
          <w:lang w:eastAsia="en-US"/>
        </w:rPr>
      </w:pPr>
      <w:r w:rsidRPr="004E74A6">
        <w:rPr>
          <w:rFonts w:eastAsia="Calibri"/>
          <w:lang w:eastAsia="en-US"/>
        </w:rPr>
        <w:t>Fijación de cuantía en materia Contencioso-Administrativa para acceder al recurso de casación.</w:t>
      </w:r>
      <w:r w:rsidR="008E1866" w:rsidRPr="004E74A6">
        <w:rPr>
          <w:rFonts w:eastAsia="Calibri"/>
          <w:lang w:eastAsia="en-US"/>
        </w:rPr>
        <w:t xml:space="preserve"> Tomar en consideración lo expuesto por la magistrada Rojas en sesión de trabajo del 29 de setiembre de 2022 (minuta 803-PLA-MI(NPL)-MNTA-2022-anexo 19).</w:t>
      </w:r>
    </w:p>
    <w:p w14:paraId="06446D98" w14:textId="77777777" w:rsidR="00B6293D" w:rsidRPr="004E74A6" w:rsidRDefault="00B6293D" w:rsidP="00CE62C1">
      <w:pPr>
        <w:numPr>
          <w:ilvl w:val="0"/>
          <w:numId w:val="7"/>
        </w:numPr>
        <w:spacing w:line="276" w:lineRule="auto"/>
        <w:rPr>
          <w:rFonts w:eastAsia="Calibri"/>
          <w:lang w:eastAsia="en-US"/>
        </w:rPr>
      </w:pPr>
      <w:r w:rsidRPr="004E74A6">
        <w:rPr>
          <w:rFonts w:eastAsia="Calibri"/>
          <w:lang w:eastAsia="en-US"/>
        </w:rPr>
        <w:t>Reducción de los procesos que tendrán recurso ante la Sala o Tribunal de Casación como un recurso extraordinario en materia Contencioso-Administrativa.</w:t>
      </w:r>
    </w:p>
    <w:p w14:paraId="0A2D1785" w14:textId="22D7FE67" w:rsidR="00B6293D" w:rsidRPr="004E74A6" w:rsidRDefault="00B6293D" w:rsidP="00CE62C1">
      <w:pPr>
        <w:numPr>
          <w:ilvl w:val="0"/>
          <w:numId w:val="7"/>
        </w:numPr>
        <w:spacing w:line="276" w:lineRule="auto"/>
        <w:rPr>
          <w:rFonts w:eastAsia="Calibri"/>
          <w:lang w:eastAsia="en-US"/>
        </w:rPr>
      </w:pPr>
      <w:r w:rsidRPr="004E74A6">
        <w:rPr>
          <w:rFonts w:eastAsia="Calibri"/>
          <w:lang w:eastAsia="en-US"/>
        </w:rPr>
        <w:t>Ampliar las competencias del Tribunal de Apelación Contencioso Administrativo, de manera que se aporte mayor carga de trabajo al recurso actual; estableciendo procesos que puedan ser conocidos de forma unipersonal incluyendo resoluciones de fondo.</w:t>
      </w:r>
    </w:p>
    <w:p w14:paraId="5347793A" w14:textId="4678FB6D" w:rsidR="00301F56" w:rsidRPr="00832773" w:rsidRDefault="00301F56" w:rsidP="00832773">
      <w:pPr>
        <w:pStyle w:val="Prrafodelista"/>
        <w:numPr>
          <w:ilvl w:val="0"/>
          <w:numId w:val="7"/>
        </w:numPr>
        <w:shd w:val="clear" w:color="auto" w:fill="FFFFFF"/>
        <w:spacing w:line="276" w:lineRule="auto"/>
        <w:ind w:right="51"/>
        <w:rPr>
          <w:rFonts w:cs="Calibri"/>
          <w:bCs/>
        </w:rPr>
      </w:pPr>
      <w:r w:rsidRPr="00832773">
        <w:rPr>
          <w:rFonts w:ascii="Book Antiqua" w:hAnsi="Book Antiqua" w:cs="Calibri"/>
          <w:bCs/>
          <w:lang w:val="es-CR"/>
        </w:rPr>
        <w:t>Valorar las propuestas de reformulación de la estructura de la Sala Primera que se encuentran pendientes de ser conocidas</w:t>
      </w:r>
      <w:r w:rsidR="008E1866" w:rsidRPr="00832773">
        <w:rPr>
          <w:rFonts w:ascii="Book Antiqua" w:hAnsi="Book Antiqua" w:cs="Calibri"/>
          <w:bCs/>
          <w:lang w:val="es-CR"/>
        </w:rPr>
        <w:t xml:space="preserve"> por Corte Plena</w:t>
      </w:r>
      <w:r w:rsidRPr="00832773">
        <w:rPr>
          <w:rFonts w:ascii="Book Antiqua" w:hAnsi="Book Antiqua" w:cs="Calibri"/>
          <w:bCs/>
          <w:lang w:val="es-CR"/>
        </w:rPr>
        <w:t xml:space="preserve">, en temas como la especialización de la Sala y adición de </w:t>
      </w:r>
      <w:r w:rsidR="008E1866" w:rsidRPr="00832773">
        <w:rPr>
          <w:rFonts w:ascii="Book Antiqua" w:hAnsi="Book Antiqua" w:cs="Calibri"/>
          <w:bCs/>
          <w:lang w:val="es-CR"/>
        </w:rPr>
        <w:t xml:space="preserve">una </w:t>
      </w:r>
      <w:r w:rsidRPr="00832773">
        <w:rPr>
          <w:rFonts w:ascii="Book Antiqua" w:hAnsi="Book Antiqua" w:cs="Calibri"/>
          <w:bCs/>
          <w:lang w:val="es-CR"/>
        </w:rPr>
        <w:t>magistratura</w:t>
      </w:r>
      <w:r w:rsidR="008E1866" w:rsidRPr="00832773">
        <w:rPr>
          <w:rFonts w:ascii="Book Antiqua" w:hAnsi="Book Antiqua" w:cs="Calibri"/>
          <w:bCs/>
          <w:lang w:val="es-CR"/>
        </w:rPr>
        <w:t>, según solicitó la magistrada Rojas Morales en sesión de trabajo del 29 de setiembre de 2022 (minuta 803-PLA-MI(NPL)-MNTA-2022-anexo 19).</w:t>
      </w:r>
    </w:p>
    <w:p w14:paraId="7EEBFEBD" w14:textId="77777777" w:rsidR="00B6293D" w:rsidRPr="004E74A6" w:rsidRDefault="00B6293D" w:rsidP="00CE62C1">
      <w:pPr>
        <w:numPr>
          <w:ilvl w:val="0"/>
          <w:numId w:val="7"/>
        </w:numPr>
        <w:spacing w:line="276" w:lineRule="auto"/>
        <w:rPr>
          <w:rFonts w:eastAsia="Calibri"/>
          <w:lang w:eastAsia="en-US"/>
        </w:rPr>
      </w:pPr>
      <w:r w:rsidRPr="004E74A6">
        <w:rPr>
          <w:rFonts w:eastAsia="Calibri"/>
          <w:lang w:eastAsia="en-US"/>
        </w:rPr>
        <w:lastRenderedPageBreak/>
        <w:t>Modificar la distribución de competencias entre los Juzgados Civiles y Cobratorios y entre estos y los Tribunales Colegiados de Primera Instancia Civil y consecuentemente el órgano superior, valorando las estructuras y cargas de trabajo actuales.</w:t>
      </w:r>
    </w:p>
    <w:p w14:paraId="1DFCD3AC" w14:textId="77777777" w:rsidR="00863AB0" w:rsidRPr="004E74A6" w:rsidRDefault="00B6293D" w:rsidP="00CE62C1">
      <w:pPr>
        <w:numPr>
          <w:ilvl w:val="0"/>
          <w:numId w:val="7"/>
        </w:numPr>
        <w:spacing w:line="276" w:lineRule="auto"/>
        <w:rPr>
          <w:rFonts w:eastAsia="Calibri"/>
          <w:lang w:eastAsia="en-US"/>
        </w:rPr>
      </w:pPr>
      <w:r w:rsidRPr="004E74A6">
        <w:rPr>
          <w:rFonts w:eastAsia="Calibri"/>
          <w:lang w:eastAsia="en-US"/>
        </w:rPr>
        <w:t>Definir procesos que puedan ser conocidos de forma unipersonal por los Tribunales Colegiados de Primera Instancia Civil. Esto maximizaría el recurso institucional y equilibraría cargas en Primera Instancia entre Juzgados y Tribunales.</w:t>
      </w:r>
    </w:p>
    <w:p w14:paraId="7D2E2B05" w14:textId="5D3038B8" w:rsidR="00C35AD4" w:rsidRPr="004E74A6" w:rsidRDefault="00C35AD4" w:rsidP="00CE62C1">
      <w:pPr>
        <w:numPr>
          <w:ilvl w:val="0"/>
          <w:numId w:val="7"/>
        </w:numPr>
        <w:spacing w:line="276" w:lineRule="auto"/>
        <w:rPr>
          <w:rFonts w:eastAsia="Calibri"/>
          <w:lang w:eastAsia="en-US"/>
        </w:rPr>
      </w:pPr>
      <w:r w:rsidRPr="004E74A6">
        <w:rPr>
          <w:rFonts w:eastAsia="Calibri"/>
          <w:lang w:eastAsia="en-US"/>
        </w:rPr>
        <w:t xml:space="preserve">Artículo 69.1 en lo que corresponde a la fijación de requisitos acceso al recurso de casación según Ley 9342, que según indico la Dirección Jurídica literalmente en el criterio </w:t>
      </w:r>
      <w:r w:rsidR="00863AB0" w:rsidRPr="004E74A6">
        <w:rPr>
          <w:rFonts w:eastAsia="Calibri"/>
          <w:lang w:eastAsia="en-US"/>
        </w:rPr>
        <w:t xml:space="preserve">DJC-376-2021 el artículo 69.1 elimina competencia del 114 LOPJ: </w:t>
      </w:r>
      <w:r w:rsidR="00863AB0" w:rsidRPr="004E74A6">
        <w:rPr>
          <w:rFonts w:eastAsia="Calibri"/>
          <w:i/>
          <w:iCs/>
          <w:sz w:val="22"/>
          <w:szCs w:val="22"/>
          <w:lang w:eastAsia="en-US"/>
        </w:rPr>
        <w:t xml:space="preserve">“Se debe tener presente que, con la reciente reforma al Código Procesal Civil, ahora se debe observar el requisito contemplado en el artículo 69.1 de esta nueva normativa, en cuanto a que el recurso de casación en materia civil es posible cuando se trate de un proceso ordinario de mayor cuantía o inestimables; </w:t>
      </w:r>
      <w:r w:rsidR="00863AB0" w:rsidRPr="00832773">
        <w:rPr>
          <w:rFonts w:eastAsia="Calibri"/>
          <w:i/>
          <w:iCs/>
          <w:sz w:val="22"/>
          <w:szCs w:val="22"/>
          <w:lang w:eastAsia="en-US"/>
        </w:rPr>
        <w:t>esto por cuanto, no puede obviarse, que el Código Procesal Civil es de creación y vigencia posterior a la Ley Orgánica del Poder Judicial”.</w:t>
      </w:r>
    </w:p>
    <w:p w14:paraId="734F9D3A" w14:textId="0365AF3D" w:rsidR="004E4F51" w:rsidRPr="00832773" w:rsidRDefault="004E4F51" w:rsidP="00832773">
      <w:pPr>
        <w:pStyle w:val="Prrafodelista"/>
        <w:spacing w:line="276" w:lineRule="auto"/>
        <w:rPr>
          <w:rFonts w:eastAsia="Calibri"/>
          <w:lang w:val="es-CR" w:eastAsia="en-US"/>
        </w:rPr>
      </w:pPr>
    </w:p>
    <w:p w14:paraId="0112F368" w14:textId="77777777" w:rsidR="005939E8" w:rsidRPr="00832773" w:rsidRDefault="00AD165E" w:rsidP="00832773">
      <w:pPr>
        <w:pStyle w:val="Prrafodelista"/>
        <w:numPr>
          <w:ilvl w:val="1"/>
          <w:numId w:val="62"/>
        </w:numPr>
        <w:spacing w:after="160" w:line="276" w:lineRule="auto"/>
        <w:ind w:left="567" w:hanging="502"/>
        <w:contextualSpacing/>
        <w:rPr>
          <w:rFonts w:eastAsia="Calibri"/>
          <w:lang w:eastAsia="en-US"/>
        </w:rPr>
      </w:pPr>
      <w:r w:rsidRPr="00832773">
        <w:rPr>
          <w:rFonts w:ascii="Book Antiqua" w:eastAsia="Calibri" w:hAnsi="Book Antiqua"/>
          <w:lang w:eastAsia="en-US"/>
        </w:rPr>
        <w:t xml:space="preserve">En relación con el Escenario </w:t>
      </w:r>
      <w:r w:rsidR="004E4F51" w:rsidRPr="00832773">
        <w:rPr>
          <w:rFonts w:ascii="Book Antiqua" w:eastAsia="Calibri" w:hAnsi="Book Antiqua"/>
          <w:lang w:eastAsia="en-US"/>
        </w:rPr>
        <w:t>D</w:t>
      </w:r>
      <w:r w:rsidRPr="00832773">
        <w:rPr>
          <w:rFonts w:ascii="Book Antiqua" w:eastAsia="Calibri" w:hAnsi="Book Antiqua"/>
          <w:lang w:eastAsia="en-US"/>
        </w:rPr>
        <w:t xml:space="preserve"> y el Escenario </w:t>
      </w:r>
      <w:r w:rsidR="004E4F51" w:rsidRPr="00832773">
        <w:rPr>
          <w:rFonts w:ascii="Book Antiqua" w:eastAsia="Calibri" w:hAnsi="Book Antiqua"/>
          <w:lang w:eastAsia="en-US"/>
        </w:rPr>
        <w:t>A</w:t>
      </w:r>
      <w:r w:rsidRPr="00832773">
        <w:rPr>
          <w:rFonts w:ascii="Book Antiqua" w:eastAsia="Calibri" w:hAnsi="Book Antiqua"/>
          <w:lang w:eastAsia="en-US"/>
        </w:rPr>
        <w:t xml:space="preserve">; se procedió a realizar una valoración sobre la cantidad de asuntos entrados a nivel de primera y segunda instancia, así como </w:t>
      </w:r>
      <w:r w:rsidR="00CB04FA" w:rsidRPr="00832773">
        <w:rPr>
          <w:rFonts w:ascii="Book Antiqua" w:eastAsia="Calibri" w:hAnsi="Book Antiqua"/>
          <w:lang w:eastAsia="en-US"/>
        </w:rPr>
        <w:t>la distribución de procesos inestimables, y los estimables clasificados por rango d</w:t>
      </w:r>
      <w:r w:rsidR="00217F64" w:rsidRPr="00832773">
        <w:rPr>
          <w:rFonts w:ascii="Book Antiqua" w:eastAsia="Calibri" w:hAnsi="Book Antiqua"/>
          <w:lang w:eastAsia="en-US"/>
        </w:rPr>
        <w:t>e</w:t>
      </w:r>
      <w:r w:rsidR="00CB04FA" w:rsidRPr="00832773">
        <w:rPr>
          <w:rFonts w:ascii="Book Antiqua" w:eastAsia="Calibri" w:hAnsi="Book Antiqua"/>
          <w:lang w:eastAsia="en-US"/>
        </w:rPr>
        <w:t xml:space="preserve"> cuantía ente </w:t>
      </w:r>
      <w:r w:rsidRPr="00832773">
        <w:rPr>
          <w:rFonts w:ascii="Book Antiqua" w:eastAsia="Calibri" w:hAnsi="Book Antiqua"/>
          <w:lang w:eastAsia="en-US"/>
        </w:rPr>
        <w:t>mayor y menor cuantía.</w:t>
      </w:r>
      <w:r w:rsidR="00DB442A" w:rsidRPr="00832773">
        <w:rPr>
          <w:rFonts w:ascii="Book Antiqua" w:eastAsia="Calibri" w:hAnsi="Book Antiqua"/>
          <w:lang w:eastAsia="en-US"/>
        </w:rPr>
        <w:t xml:space="preserve"> </w:t>
      </w:r>
    </w:p>
    <w:p w14:paraId="4810D5F2" w14:textId="77777777" w:rsidR="005939E8" w:rsidRPr="004E74A6" w:rsidRDefault="005939E8" w:rsidP="00CE62C1">
      <w:pPr>
        <w:spacing w:line="276" w:lineRule="auto"/>
        <w:rPr>
          <w:rFonts w:eastAsia="Calibri"/>
          <w:lang w:eastAsia="en-US"/>
        </w:rPr>
      </w:pPr>
    </w:p>
    <w:p w14:paraId="4D2C70D3" w14:textId="090DDADA" w:rsidR="00C2209B" w:rsidRPr="00832773" w:rsidRDefault="00C2209B" w:rsidP="00832773">
      <w:pPr>
        <w:pStyle w:val="Prrafodelista"/>
        <w:numPr>
          <w:ilvl w:val="2"/>
          <w:numId w:val="62"/>
        </w:numPr>
        <w:spacing w:line="276" w:lineRule="auto"/>
        <w:ind w:left="709"/>
        <w:rPr>
          <w:rFonts w:ascii="Book Antiqua" w:eastAsia="Calibri" w:hAnsi="Book Antiqua"/>
          <w:lang w:val="es-CR" w:eastAsia="en-US"/>
        </w:rPr>
      </w:pPr>
      <w:r w:rsidRPr="00832773">
        <w:rPr>
          <w:rFonts w:ascii="Book Antiqua" w:eastAsia="Calibri" w:hAnsi="Book Antiqua"/>
          <w:lang w:val="es-CR" w:eastAsia="en-US"/>
        </w:rPr>
        <w:t>D</w:t>
      </w:r>
      <w:r w:rsidR="00DB442A" w:rsidRPr="00832773">
        <w:rPr>
          <w:rFonts w:ascii="Book Antiqua" w:eastAsia="Calibri" w:hAnsi="Book Antiqua"/>
          <w:lang w:val="es-CR" w:eastAsia="en-US"/>
        </w:rPr>
        <w:t>el total de casaciones ingresadas por año en Sala Primera que corresponde en promedio a 1115</w:t>
      </w:r>
      <w:r w:rsidR="00DB442A" w:rsidRPr="00832773">
        <w:rPr>
          <w:rStyle w:val="Refdenotaalpie"/>
          <w:rFonts w:ascii="Book Antiqua" w:eastAsia="Calibri" w:hAnsi="Book Antiqua"/>
          <w:lang w:val="es-CR" w:eastAsia="en-US"/>
        </w:rPr>
        <w:footnoteReference w:id="38"/>
      </w:r>
      <w:r w:rsidRPr="00832773">
        <w:rPr>
          <w:rFonts w:ascii="Book Antiqua" w:eastAsia="Calibri" w:hAnsi="Book Antiqua"/>
          <w:lang w:val="es-CR" w:eastAsia="en-US"/>
        </w:rPr>
        <w:t>:</w:t>
      </w:r>
    </w:p>
    <w:p w14:paraId="4762BF83" w14:textId="77777777" w:rsidR="00C2209B" w:rsidRPr="00832773" w:rsidRDefault="00C2209B" w:rsidP="00CE62C1">
      <w:pPr>
        <w:pStyle w:val="Prrafodelista"/>
        <w:numPr>
          <w:ilvl w:val="0"/>
          <w:numId w:val="30"/>
        </w:numPr>
        <w:spacing w:line="276" w:lineRule="auto"/>
        <w:rPr>
          <w:rFonts w:ascii="Book Antiqua" w:eastAsia="Calibri" w:hAnsi="Book Antiqua"/>
          <w:lang w:val="es-CR" w:eastAsia="en-US"/>
        </w:rPr>
      </w:pPr>
      <w:r w:rsidRPr="00832773">
        <w:rPr>
          <w:rFonts w:ascii="Book Antiqua" w:hAnsi="Book Antiqua" w:cs="Calibri"/>
          <w:color w:val="000000"/>
          <w:lang w:val="es-CR" w:eastAsia="es-CR"/>
        </w:rPr>
        <w:t>El 39% corresponden a asuntos estimables, que cabe recordar son los afectados por el límite de cuantía que se defina según materia.</w:t>
      </w:r>
    </w:p>
    <w:p w14:paraId="703CC047" w14:textId="77777777" w:rsidR="00C2209B" w:rsidRPr="00832773" w:rsidRDefault="00C2209B" w:rsidP="00CE62C1">
      <w:pPr>
        <w:pStyle w:val="Prrafodelista"/>
        <w:numPr>
          <w:ilvl w:val="0"/>
          <w:numId w:val="30"/>
        </w:numPr>
        <w:spacing w:line="276" w:lineRule="auto"/>
        <w:rPr>
          <w:rFonts w:ascii="Book Antiqua" w:eastAsia="Calibri" w:hAnsi="Book Antiqua"/>
          <w:lang w:val="es-CR" w:eastAsia="en-US"/>
        </w:rPr>
      </w:pPr>
      <w:r w:rsidRPr="00832773">
        <w:rPr>
          <w:rFonts w:ascii="Book Antiqua" w:hAnsi="Book Antiqua" w:cs="Calibri"/>
          <w:color w:val="000000"/>
          <w:lang w:val="es-CR" w:eastAsia="es-CR"/>
        </w:rPr>
        <w:t>Un 10% son asuntos inestimables y por lo no se ven afectados por las modificaciones en el monto de cuantía que fije Corte Plena y que eventualmente le permita a la Sala Primera regular su ingreso</w:t>
      </w:r>
    </w:p>
    <w:p w14:paraId="091930A9" w14:textId="5F4600F3" w:rsidR="00C2209B" w:rsidRPr="00832773" w:rsidRDefault="00C2209B" w:rsidP="00CE62C1">
      <w:pPr>
        <w:pStyle w:val="Prrafodelista"/>
        <w:numPr>
          <w:ilvl w:val="0"/>
          <w:numId w:val="30"/>
        </w:numPr>
        <w:spacing w:line="276" w:lineRule="auto"/>
        <w:rPr>
          <w:rFonts w:ascii="Book Antiqua" w:eastAsia="Calibri" w:hAnsi="Book Antiqua"/>
          <w:lang w:val="es-CR" w:eastAsia="en-US"/>
        </w:rPr>
      </w:pPr>
      <w:r w:rsidRPr="00832773">
        <w:rPr>
          <w:rFonts w:ascii="Book Antiqua" w:hAnsi="Book Antiqua" w:cs="Calibri"/>
          <w:color w:val="000000"/>
          <w:lang w:val="es-CR" w:eastAsia="es-CR"/>
        </w:rPr>
        <w:t>El 48% se seleccionó la opción “</w:t>
      </w:r>
      <w:r w:rsidRPr="00832773">
        <w:rPr>
          <w:rFonts w:ascii="Book Antiqua" w:hAnsi="Book Antiqua" w:cs="Calibri"/>
          <w:i/>
          <w:iCs/>
          <w:color w:val="000000"/>
          <w:lang w:val="es-CR" w:eastAsia="es-CR"/>
        </w:rPr>
        <w:t>No aplica”</w:t>
      </w:r>
      <w:r w:rsidRPr="00832773">
        <w:rPr>
          <w:rFonts w:ascii="Book Antiqua" w:hAnsi="Book Antiqua" w:cs="Calibri"/>
          <w:color w:val="000000"/>
          <w:lang w:val="es-CR" w:eastAsia="es-CR"/>
        </w:rPr>
        <w:t xml:space="preserve"> cuantía.</w:t>
      </w:r>
    </w:p>
    <w:p w14:paraId="2091BDE2" w14:textId="552A83F7" w:rsidR="00C2209B" w:rsidRPr="00832773" w:rsidRDefault="00C2209B" w:rsidP="00CE62C1">
      <w:pPr>
        <w:pStyle w:val="Prrafodelista"/>
        <w:numPr>
          <w:ilvl w:val="0"/>
          <w:numId w:val="30"/>
        </w:numPr>
        <w:spacing w:line="276" w:lineRule="auto"/>
        <w:rPr>
          <w:rFonts w:ascii="Book Antiqua" w:eastAsia="Calibri" w:hAnsi="Book Antiqua"/>
          <w:lang w:val="es-CR" w:eastAsia="en-US"/>
        </w:rPr>
      </w:pPr>
      <w:r w:rsidRPr="00832773">
        <w:rPr>
          <w:rFonts w:ascii="Book Antiqua" w:hAnsi="Book Antiqua" w:cs="Calibri"/>
          <w:color w:val="000000"/>
          <w:lang w:val="es-CR" w:eastAsia="es-CR"/>
        </w:rPr>
        <w:t>Un 5% se registró como pendiente de actualizar.</w:t>
      </w:r>
    </w:p>
    <w:p w14:paraId="5B157AF0" w14:textId="77777777" w:rsidR="00C2209B" w:rsidRPr="00832773" w:rsidRDefault="00C2209B" w:rsidP="00CE62C1">
      <w:pPr>
        <w:pStyle w:val="Prrafodelista"/>
        <w:spacing w:line="276" w:lineRule="auto"/>
        <w:ind w:left="783"/>
        <w:rPr>
          <w:rFonts w:ascii="Book Antiqua" w:eastAsia="Calibri" w:hAnsi="Book Antiqua"/>
          <w:lang w:val="es-CR" w:eastAsia="en-US"/>
        </w:rPr>
      </w:pPr>
    </w:p>
    <w:p w14:paraId="5FE4DF0A" w14:textId="10FB9865" w:rsidR="00C2209B" w:rsidRPr="00832773" w:rsidRDefault="00C2209B" w:rsidP="00832773">
      <w:pPr>
        <w:pStyle w:val="Prrafodelista"/>
        <w:numPr>
          <w:ilvl w:val="2"/>
          <w:numId w:val="62"/>
        </w:numPr>
        <w:spacing w:line="276" w:lineRule="auto"/>
        <w:ind w:left="709"/>
        <w:rPr>
          <w:rFonts w:ascii="Book Antiqua" w:hAnsi="Book Antiqua" w:cs="Calibri"/>
          <w:color w:val="000000"/>
          <w:lang w:val="es-CR" w:eastAsia="es-CR"/>
        </w:rPr>
      </w:pPr>
      <w:r w:rsidRPr="00832773">
        <w:rPr>
          <w:rFonts w:ascii="Book Antiqua" w:hAnsi="Book Antiqua" w:cs="Calibri"/>
          <w:color w:val="000000"/>
          <w:lang w:val="es-CR" w:eastAsia="es-CR"/>
        </w:rPr>
        <w:lastRenderedPageBreak/>
        <w:t>Se resalta la labor de depuración de la Sala Primera, considerando que los datos sin actualizar van a la baja, pasaron de 151 en 2019, a reportar solo 1 en 2020 y 9 en 2021. Se insta a mantener la actualización constante, En materia Civil, pese a que en 2019 se reportaron asuntos “</w:t>
      </w:r>
      <w:r w:rsidRPr="00832773">
        <w:rPr>
          <w:rFonts w:ascii="Book Antiqua" w:hAnsi="Book Antiqua" w:cs="Calibri"/>
          <w:i/>
          <w:iCs/>
          <w:color w:val="000000"/>
          <w:lang w:val="es-CR" w:eastAsia="es-CR"/>
        </w:rPr>
        <w:t>sin actualizar</w:t>
      </w:r>
      <w:r w:rsidRPr="00832773">
        <w:rPr>
          <w:rFonts w:ascii="Book Antiqua" w:hAnsi="Book Antiqua" w:cs="Calibri"/>
          <w:color w:val="000000"/>
          <w:lang w:val="es-CR" w:eastAsia="es-CR"/>
        </w:rPr>
        <w:t xml:space="preserve">”, la situación se corrigió a partir del 2020. </w:t>
      </w:r>
    </w:p>
    <w:p w14:paraId="6EB1C995" w14:textId="5BFFCF28" w:rsidR="00C2209B" w:rsidRPr="00832773" w:rsidRDefault="00C2209B" w:rsidP="00CE62C1">
      <w:pPr>
        <w:pStyle w:val="Prrafodelista"/>
        <w:spacing w:line="276" w:lineRule="auto"/>
        <w:ind w:left="720"/>
        <w:rPr>
          <w:rFonts w:ascii="Book Antiqua" w:eastAsia="Calibri" w:hAnsi="Book Antiqua"/>
          <w:lang w:val="es-CR" w:eastAsia="en-US"/>
        </w:rPr>
      </w:pPr>
    </w:p>
    <w:p w14:paraId="6F71A3BE" w14:textId="724FF24E" w:rsidR="001D38BA" w:rsidRPr="00832773" w:rsidRDefault="00C2209B" w:rsidP="00832773">
      <w:pPr>
        <w:pStyle w:val="Prrafodelista"/>
        <w:numPr>
          <w:ilvl w:val="2"/>
          <w:numId w:val="62"/>
        </w:numPr>
        <w:spacing w:line="276" w:lineRule="auto"/>
        <w:rPr>
          <w:rFonts w:ascii="Book Antiqua" w:eastAsia="Calibri" w:hAnsi="Book Antiqua"/>
          <w:lang w:val="es-CR" w:eastAsia="en-US"/>
        </w:rPr>
      </w:pPr>
      <w:r w:rsidRPr="00832773">
        <w:rPr>
          <w:rFonts w:ascii="Book Antiqua" w:eastAsia="Calibri" w:hAnsi="Book Antiqua"/>
          <w:lang w:val="es-CR" w:eastAsia="en-US"/>
        </w:rPr>
        <w:t xml:space="preserve">De esas 1115 casaciones </w:t>
      </w:r>
      <w:r w:rsidR="001D38BA" w:rsidRPr="00832773">
        <w:rPr>
          <w:rFonts w:ascii="Book Antiqua" w:eastAsia="Calibri" w:hAnsi="Book Antiqua"/>
          <w:lang w:val="es-CR" w:eastAsia="en-US"/>
        </w:rPr>
        <w:t>la distribución por materia es:</w:t>
      </w:r>
    </w:p>
    <w:p w14:paraId="40DA37DC" w14:textId="196E4727" w:rsidR="001D38BA" w:rsidRPr="004E74A6" w:rsidRDefault="001D38BA" w:rsidP="00CE62C1">
      <w:pPr>
        <w:pStyle w:val="Prrafodelista"/>
        <w:numPr>
          <w:ilvl w:val="0"/>
          <w:numId w:val="28"/>
        </w:numPr>
        <w:spacing w:line="276" w:lineRule="auto"/>
        <w:rPr>
          <w:rFonts w:ascii="Book Antiqua" w:eastAsia="Calibri" w:hAnsi="Book Antiqua" w:cs="Times New Roman"/>
          <w:szCs w:val="20"/>
          <w:lang w:val="es-CR" w:eastAsia="en-US"/>
        </w:rPr>
      </w:pPr>
      <w:r w:rsidRPr="004E74A6">
        <w:rPr>
          <w:rFonts w:ascii="Book Antiqua" w:eastAsia="Calibri" w:hAnsi="Book Antiqua" w:cs="Times New Roman"/>
          <w:szCs w:val="20"/>
          <w:lang w:val="es-CR" w:eastAsia="en-US"/>
        </w:rPr>
        <w:t>533 casaciones son Contenciosas, lo que representa,</w:t>
      </w:r>
      <w:r w:rsidR="00CC261C" w:rsidRPr="004E74A6">
        <w:rPr>
          <w:rFonts w:ascii="Book Antiqua" w:eastAsia="Calibri" w:hAnsi="Book Antiqua" w:cs="Times New Roman"/>
          <w:szCs w:val="20"/>
          <w:lang w:val="es-CR" w:eastAsia="en-US"/>
        </w:rPr>
        <w:t xml:space="preserve"> </w:t>
      </w:r>
      <w:r w:rsidRPr="004E74A6">
        <w:rPr>
          <w:rFonts w:ascii="Book Antiqua" w:eastAsia="Calibri" w:hAnsi="Book Antiqua" w:cs="Times New Roman"/>
          <w:szCs w:val="20"/>
          <w:lang w:val="es-CR" w:eastAsia="en-US"/>
        </w:rPr>
        <w:t xml:space="preserve">la mayor entrada y corresponde a un 48%. </w:t>
      </w:r>
    </w:p>
    <w:p w14:paraId="6E99625E" w14:textId="0732E811" w:rsidR="00451F06" w:rsidRPr="004E74A6" w:rsidRDefault="00DB442A" w:rsidP="00CE62C1">
      <w:pPr>
        <w:pStyle w:val="Prrafodelista"/>
        <w:numPr>
          <w:ilvl w:val="0"/>
          <w:numId w:val="28"/>
        </w:numPr>
        <w:spacing w:line="276" w:lineRule="auto"/>
        <w:rPr>
          <w:rFonts w:ascii="Book Antiqua" w:eastAsia="Calibri" w:hAnsi="Book Antiqua" w:cs="Times New Roman"/>
          <w:szCs w:val="20"/>
          <w:lang w:val="es-CR" w:eastAsia="en-US"/>
        </w:rPr>
      </w:pPr>
      <w:r w:rsidRPr="004E74A6">
        <w:rPr>
          <w:rFonts w:ascii="Book Antiqua" w:eastAsia="Calibri" w:hAnsi="Book Antiqua" w:cs="Times New Roman"/>
          <w:szCs w:val="20"/>
          <w:lang w:val="es-CR" w:eastAsia="en-US"/>
        </w:rPr>
        <w:t>490 son Civiles (4</w:t>
      </w:r>
      <w:r w:rsidR="001D38BA" w:rsidRPr="004E74A6">
        <w:rPr>
          <w:rFonts w:ascii="Book Antiqua" w:eastAsia="Calibri" w:hAnsi="Book Antiqua" w:cs="Times New Roman"/>
          <w:szCs w:val="20"/>
          <w:lang w:val="es-CR" w:eastAsia="en-US"/>
        </w:rPr>
        <w:t>4%</w:t>
      </w:r>
      <w:r w:rsidRPr="004E74A6">
        <w:rPr>
          <w:rFonts w:ascii="Book Antiqua" w:eastAsia="Calibri" w:hAnsi="Book Antiqua" w:cs="Times New Roman"/>
          <w:szCs w:val="20"/>
          <w:lang w:val="es-CR" w:eastAsia="en-US"/>
        </w:rPr>
        <w:t>)</w:t>
      </w:r>
      <w:r w:rsidR="00B03DF8" w:rsidRPr="004E74A6">
        <w:rPr>
          <w:rFonts w:ascii="Book Antiqua" w:eastAsia="Calibri" w:hAnsi="Book Antiqua" w:cs="Times New Roman"/>
          <w:szCs w:val="20"/>
          <w:lang w:val="es-CR" w:eastAsia="en-US"/>
        </w:rPr>
        <w:t xml:space="preserve">, de estas el 73% son estimables (en promedio </w:t>
      </w:r>
      <w:r w:rsidR="008B2DC5" w:rsidRPr="004E74A6">
        <w:rPr>
          <w:rFonts w:ascii="Book Antiqua" w:eastAsia="Calibri" w:hAnsi="Book Antiqua" w:cs="Times New Roman"/>
          <w:szCs w:val="20"/>
          <w:lang w:val="es-CR" w:eastAsia="en-US"/>
        </w:rPr>
        <w:t>459.7 casaciones</w:t>
      </w:r>
      <w:r w:rsidR="00B03DF8" w:rsidRPr="004E74A6">
        <w:rPr>
          <w:rFonts w:ascii="Book Antiqua" w:eastAsia="Calibri" w:hAnsi="Book Antiqua" w:cs="Times New Roman"/>
          <w:szCs w:val="20"/>
          <w:lang w:val="es-CR" w:eastAsia="en-US"/>
        </w:rPr>
        <w:t>).</w:t>
      </w:r>
    </w:p>
    <w:p w14:paraId="321A6A51" w14:textId="1977EF12" w:rsidR="001D38BA" w:rsidRPr="004E74A6" w:rsidRDefault="001D38BA" w:rsidP="00CE62C1">
      <w:pPr>
        <w:pStyle w:val="Prrafodelista"/>
        <w:numPr>
          <w:ilvl w:val="0"/>
          <w:numId w:val="28"/>
        </w:numPr>
        <w:spacing w:line="276" w:lineRule="auto"/>
        <w:rPr>
          <w:rFonts w:ascii="Book Antiqua" w:eastAsia="Calibri" w:hAnsi="Book Antiqua" w:cs="Times New Roman"/>
          <w:szCs w:val="20"/>
          <w:lang w:val="es-CR" w:eastAsia="en-US"/>
        </w:rPr>
      </w:pPr>
      <w:r w:rsidRPr="004E74A6">
        <w:rPr>
          <w:rFonts w:ascii="Book Antiqua" w:eastAsia="Calibri" w:hAnsi="Book Antiqua" w:cs="Times New Roman"/>
          <w:szCs w:val="20"/>
          <w:lang w:val="es-CR" w:eastAsia="en-US"/>
        </w:rPr>
        <w:t>64 Agrarias (6%).</w:t>
      </w:r>
    </w:p>
    <w:p w14:paraId="291B5783" w14:textId="1185E509" w:rsidR="001D38BA" w:rsidRPr="004E74A6" w:rsidRDefault="001D38BA" w:rsidP="00CE62C1">
      <w:pPr>
        <w:pStyle w:val="Prrafodelista"/>
        <w:numPr>
          <w:ilvl w:val="0"/>
          <w:numId w:val="28"/>
        </w:numPr>
        <w:spacing w:line="276" w:lineRule="auto"/>
        <w:rPr>
          <w:rFonts w:ascii="Book Antiqua" w:eastAsia="Calibri" w:hAnsi="Book Antiqua" w:cs="Times New Roman"/>
          <w:szCs w:val="20"/>
          <w:lang w:val="es-CR" w:eastAsia="en-US"/>
        </w:rPr>
      </w:pPr>
      <w:r w:rsidRPr="004E74A6">
        <w:rPr>
          <w:rFonts w:ascii="Book Antiqua" w:eastAsia="Calibri" w:hAnsi="Book Antiqua" w:cs="Times New Roman"/>
          <w:szCs w:val="20"/>
          <w:lang w:val="es-CR" w:eastAsia="en-US"/>
        </w:rPr>
        <w:t>28 restantes en materia familia, cobro, laboral y notarial (2%).</w:t>
      </w:r>
    </w:p>
    <w:p w14:paraId="2AC980C6" w14:textId="77777777" w:rsidR="00451F06" w:rsidRPr="004E74A6" w:rsidRDefault="00451F06" w:rsidP="00CE62C1">
      <w:pPr>
        <w:spacing w:line="276" w:lineRule="auto"/>
        <w:rPr>
          <w:rFonts w:eastAsia="Calibri"/>
          <w:lang w:eastAsia="en-US"/>
        </w:rPr>
      </w:pPr>
    </w:p>
    <w:p w14:paraId="474A381D" w14:textId="758D902D" w:rsidR="00093F8A" w:rsidRPr="004E74A6" w:rsidRDefault="00093F8A" w:rsidP="00832773">
      <w:pPr>
        <w:numPr>
          <w:ilvl w:val="2"/>
          <w:numId w:val="62"/>
        </w:numPr>
        <w:spacing w:line="276" w:lineRule="auto"/>
        <w:rPr>
          <w:rFonts w:eastAsia="Calibri"/>
          <w:lang w:eastAsia="en-US"/>
        </w:rPr>
      </w:pPr>
      <w:r w:rsidRPr="004E74A6">
        <w:rPr>
          <w:rFonts w:eastAsia="Calibri"/>
          <w:lang w:eastAsia="en-US"/>
        </w:rPr>
        <w:t>Al analizar incluso el comportamiento desde el 2015, es más evidente aún el impacto que tuvo la entrada de la reforma procesal civil en octubre 2018 en lo que respecta a la entrada y carga de trabajo de esta Sala, se puede observar que entre 2015 y 2017 la entrada en casaciones civiles no sobrepasaba 189 casos al año (17 por mes), hasta incluso llegar a recibir 667 en 2019 que fue el año con mayor entrada reportada (59 casaciones civiles por mes).</w:t>
      </w:r>
    </w:p>
    <w:p w14:paraId="05577E17" w14:textId="77777777" w:rsidR="00093F8A" w:rsidRPr="004E74A6" w:rsidRDefault="00093F8A" w:rsidP="00CE62C1">
      <w:pPr>
        <w:spacing w:line="276" w:lineRule="auto"/>
        <w:rPr>
          <w:rFonts w:eastAsia="Calibri"/>
          <w:lang w:eastAsia="en-US"/>
        </w:rPr>
      </w:pPr>
    </w:p>
    <w:p w14:paraId="615CDEB6" w14:textId="088CEBC3" w:rsidR="00093F8A" w:rsidRPr="004E74A6" w:rsidRDefault="00093F8A" w:rsidP="00CE62C1">
      <w:pPr>
        <w:spacing w:line="276" w:lineRule="auto"/>
        <w:rPr>
          <w:rFonts w:eastAsia="Calibri"/>
          <w:lang w:eastAsia="en-US"/>
        </w:rPr>
      </w:pPr>
    </w:p>
    <w:p w14:paraId="4462FFDE" w14:textId="56944510" w:rsidR="00AD165E" w:rsidRPr="004E74A6" w:rsidRDefault="005D1B48" w:rsidP="00832773">
      <w:pPr>
        <w:numPr>
          <w:ilvl w:val="1"/>
          <w:numId w:val="62"/>
        </w:numPr>
        <w:spacing w:line="276" w:lineRule="auto"/>
        <w:rPr>
          <w:rFonts w:eastAsia="Calibri"/>
          <w:lang w:eastAsia="en-US"/>
        </w:rPr>
      </w:pPr>
      <w:r>
        <w:rPr>
          <w:rFonts w:eastAsia="Calibri"/>
          <w:lang w:eastAsia="en-US"/>
        </w:rPr>
        <w:t xml:space="preserve"> </w:t>
      </w:r>
      <w:r w:rsidR="00451F06" w:rsidRPr="004E74A6">
        <w:rPr>
          <w:rFonts w:eastAsia="Calibri"/>
          <w:lang w:eastAsia="en-US"/>
        </w:rPr>
        <w:t xml:space="preserve">El impacto de un cambio en cuantía para los Juzgados Civiles será en entrada de procesos ordinarios, clase que a nivel de juzgado es la menos representativa, ya que estos juzgados tramitan principalmente </w:t>
      </w:r>
      <w:r w:rsidR="00AD165E" w:rsidRPr="004E74A6">
        <w:rPr>
          <w:rFonts w:eastAsia="Calibri"/>
          <w:lang w:eastAsia="en-US"/>
        </w:rPr>
        <w:t>monitorios, sucesorios y no contenciosos</w:t>
      </w:r>
      <w:r w:rsidR="00451F06" w:rsidRPr="004E74A6">
        <w:rPr>
          <w:rFonts w:eastAsia="Calibri"/>
          <w:lang w:eastAsia="en-US"/>
        </w:rPr>
        <w:t xml:space="preserve">. </w:t>
      </w:r>
      <w:r w:rsidR="006A130C" w:rsidRPr="004E74A6">
        <w:rPr>
          <w:rFonts w:eastAsia="Calibri"/>
          <w:lang w:eastAsia="en-US"/>
        </w:rPr>
        <w:t xml:space="preserve"> Caso contrario </w:t>
      </w:r>
      <w:r w:rsidR="00451F06" w:rsidRPr="004E74A6">
        <w:rPr>
          <w:rFonts w:eastAsia="Calibri"/>
          <w:lang w:eastAsia="en-US"/>
        </w:rPr>
        <w:t xml:space="preserve">en Tribunales Colegiados </w:t>
      </w:r>
      <w:r w:rsidR="006A130C" w:rsidRPr="004E74A6">
        <w:rPr>
          <w:rFonts w:eastAsia="Calibri"/>
          <w:lang w:eastAsia="en-US"/>
        </w:rPr>
        <w:t>donde los procesos ordinarios</w:t>
      </w:r>
      <w:r w:rsidR="00451F06" w:rsidRPr="004E74A6">
        <w:rPr>
          <w:rFonts w:eastAsia="Calibri"/>
          <w:lang w:eastAsia="en-US"/>
        </w:rPr>
        <w:t xml:space="preserve"> </w:t>
      </w:r>
      <w:r w:rsidR="006A130C" w:rsidRPr="004E74A6">
        <w:rPr>
          <w:rFonts w:eastAsia="Calibri"/>
          <w:lang w:eastAsia="en-US"/>
        </w:rPr>
        <w:t xml:space="preserve">constituyen su </w:t>
      </w:r>
      <w:r w:rsidR="008E1866" w:rsidRPr="004E74A6">
        <w:rPr>
          <w:rFonts w:eastAsia="Calibri"/>
          <w:lang w:eastAsia="en-US"/>
        </w:rPr>
        <w:t xml:space="preserve">única </w:t>
      </w:r>
      <w:r w:rsidR="006A130C" w:rsidRPr="004E74A6">
        <w:rPr>
          <w:rFonts w:eastAsia="Calibri"/>
          <w:lang w:eastAsia="en-US"/>
        </w:rPr>
        <w:t>entrada.</w:t>
      </w:r>
    </w:p>
    <w:p w14:paraId="56582004" w14:textId="77777777" w:rsidR="00451F06" w:rsidRPr="00832773" w:rsidRDefault="00451F06" w:rsidP="00832773">
      <w:pPr>
        <w:pStyle w:val="Prrafodelista"/>
        <w:spacing w:line="276" w:lineRule="auto"/>
        <w:rPr>
          <w:rFonts w:eastAsia="Calibri"/>
          <w:lang w:val="es-CR" w:eastAsia="en-US"/>
        </w:rPr>
      </w:pPr>
    </w:p>
    <w:p w14:paraId="52E64CA6" w14:textId="226FE54B" w:rsidR="00451F06" w:rsidRPr="004E74A6" w:rsidRDefault="005D1B48" w:rsidP="00832773">
      <w:pPr>
        <w:pStyle w:val="Prrafodelista"/>
        <w:numPr>
          <w:ilvl w:val="1"/>
          <w:numId w:val="62"/>
        </w:numPr>
        <w:spacing w:line="276" w:lineRule="auto"/>
        <w:rPr>
          <w:rFonts w:ascii="Book Antiqua" w:eastAsia="Calibri" w:hAnsi="Book Antiqua" w:cs="Times New Roman"/>
          <w:szCs w:val="20"/>
          <w:lang w:val="es-CR" w:eastAsia="en-US"/>
        </w:rPr>
      </w:pPr>
      <w:r>
        <w:rPr>
          <w:rFonts w:ascii="Book Antiqua" w:eastAsia="Calibri" w:hAnsi="Book Antiqua" w:cs="Times New Roman"/>
          <w:szCs w:val="20"/>
          <w:lang w:val="es-CR" w:eastAsia="en-US"/>
        </w:rPr>
        <w:t xml:space="preserve">  </w:t>
      </w:r>
      <w:r w:rsidR="00451F06" w:rsidRPr="004E74A6">
        <w:rPr>
          <w:rFonts w:ascii="Book Antiqua" w:eastAsia="Calibri" w:hAnsi="Book Antiqua" w:cs="Times New Roman"/>
          <w:szCs w:val="20"/>
          <w:lang w:val="es-CR" w:eastAsia="en-US"/>
        </w:rPr>
        <w:t>Conforme al</w:t>
      </w:r>
      <w:r w:rsidR="007B3092" w:rsidRPr="004E74A6">
        <w:rPr>
          <w:rFonts w:ascii="Book Antiqua" w:eastAsia="Calibri" w:hAnsi="Book Antiqua" w:cs="Times New Roman"/>
          <w:szCs w:val="20"/>
          <w:lang w:val="es-CR" w:eastAsia="en-US"/>
        </w:rPr>
        <w:t xml:space="preserve"> análisis realizado </w:t>
      </w:r>
      <w:r w:rsidR="00217F64" w:rsidRPr="004E74A6">
        <w:rPr>
          <w:rFonts w:ascii="Book Antiqua" w:eastAsia="Calibri" w:hAnsi="Book Antiqua" w:cs="Times New Roman"/>
          <w:szCs w:val="20"/>
          <w:lang w:val="es-CR" w:eastAsia="en-US"/>
        </w:rPr>
        <w:t xml:space="preserve">al establecerse </w:t>
      </w:r>
      <w:r w:rsidR="006A3B90" w:rsidRPr="004E74A6">
        <w:rPr>
          <w:rFonts w:ascii="Book Antiqua" w:eastAsia="Calibri" w:hAnsi="Book Antiqua" w:cs="Times New Roman"/>
          <w:szCs w:val="20"/>
          <w:lang w:val="es-CR" w:eastAsia="en-US"/>
        </w:rPr>
        <w:t>una modificación o incremento</w:t>
      </w:r>
      <w:r w:rsidR="00AD165E" w:rsidRPr="004E74A6">
        <w:rPr>
          <w:rFonts w:ascii="Book Antiqua" w:eastAsia="Calibri" w:hAnsi="Book Antiqua" w:cs="Times New Roman"/>
          <w:szCs w:val="20"/>
          <w:lang w:val="es-CR" w:eastAsia="en-US"/>
        </w:rPr>
        <w:t xml:space="preserve"> </w:t>
      </w:r>
      <w:r w:rsidR="006A3B90" w:rsidRPr="004E74A6">
        <w:rPr>
          <w:rFonts w:ascii="Book Antiqua" w:eastAsia="Calibri" w:hAnsi="Book Antiqua" w:cs="Times New Roman"/>
          <w:szCs w:val="20"/>
          <w:lang w:val="es-CR" w:eastAsia="en-US"/>
        </w:rPr>
        <w:t>en</w:t>
      </w:r>
      <w:r w:rsidR="00AD165E" w:rsidRPr="004E74A6">
        <w:rPr>
          <w:rFonts w:ascii="Book Antiqua" w:eastAsia="Calibri" w:hAnsi="Book Antiqua" w:cs="Times New Roman"/>
          <w:szCs w:val="20"/>
          <w:lang w:val="es-CR" w:eastAsia="en-US"/>
        </w:rPr>
        <w:t xml:space="preserve"> el límite </w:t>
      </w:r>
      <w:r w:rsidR="00217F64" w:rsidRPr="004E74A6">
        <w:rPr>
          <w:rFonts w:ascii="Book Antiqua" w:eastAsia="Calibri" w:hAnsi="Book Antiqua" w:cs="Times New Roman"/>
          <w:szCs w:val="20"/>
          <w:lang w:val="es-CR" w:eastAsia="en-US"/>
        </w:rPr>
        <w:t>de la cuantía</w:t>
      </w:r>
      <w:r w:rsidR="00451F06" w:rsidRPr="004E74A6">
        <w:rPr>
          <w:rFonts w:ascii="Book Antiqua" w:eastAsia="Calibri" w:hAnsi="Book Antiqua" w:cs="Times New Roman"/>
          <w:szCs w:val="20"/>
          <w:lang w:val="es-CR" w:eastAsia="en-US"/>
        </w:rPr>
        <w:t xml:space="preserve"> los principales cambios serían: </w:t>
      </w:r>
    </w:p>
    <w:p w14:paraId="68175ADD" w14:textId="6255CA86" w:rsidR="00451F06" w:rsidRPr="004E74A6" w:rsidRDefault="00451F06" w:rsidP="00832773">
      <w:pPr>
        <w:spacing w:line="276" w:lineRule="auto"/>
        <w:rPr>
          <w:rFonts w:eastAsia="Calibri"/>
          <w:lang w:eastAsia="en-US"/>
        </w:rPr>
      </w:pPr>
    </w:p>
    <w:p w14:paraId="62F9099A" w14:textId="113C1300" w:rsidR="006A17F5" w:rsidRPr="004E74A6" w:rsidRDefault="006A3B90" w:rsidP="00832773">
      <w:pPr>
        <w:pStyle w:val="Prrafodelista"/>
        <w:numPr>
          <w:ilvl w:val="2"/>
          <w:numId w:val="62"/>
        </w:numPr>
        <w:spacing w:line="276" w:lineRule="auto"/>
        <w:rPr>
          <w:rFonts w:ascii="Book Antiqua" w:eastAsia="Calibri" w:hAnsi="Book Antiqua" w:cs="Times New Roman"/>
          <w:szCs w:val="20"/>
          <w:lang w:val="es-CR" w:eastAsia="en-US"/>
        </w:rPr>
      </w:pPr>
      <w:r w:rsidRPr="004E74A6">
        <w:rPr>
          <w:rFonts w:ascii="Book Antiqua" w:eastAsia="Calibri" w:hAnsi="Book Antiqua" w:cs="Times New Roman"/>
          <w:szCs w:val="20"/>
          <w:lang w:val="es-CR" w:eastAsia="en-US"/>
        </w:rPr>
        <w:t>En caso de aprobarse el escenario A1</w:t>
      </w:r>
      <w:r w:rsidR="006A17F5" w:rsidRPr="004E74A6">
        <w:rPr>
          <w:rFonts w:ascii="Book Antiqua" w:eastAsia="Calibri" w:hAnsi="Book Antiqua" w:cs="Times New Roman"/>
          <w:szCs w:val="20"/>
          <w:lang w:val="es-CR" w:eastAsia="en-US"/>
        </w:rPr>
        <w:t>, B</w:t>
      </w:r>
      <w:r w:rsidR="00DC4862" w:rsidRPr="004E74A6">
        <w:rPr>
          <w:rFonts w:ascii="Book Antiqua" w:eastAsia="Calibri" w:hAnsi="Book Antiqua" w:cs="Times New Roman"/>
          <w:szCs w:val="20"/>
          <w:lang w:val="es-CR" w:eastAsia="en-US"/>
        </w:rPr>
        <w:t xml:space="preserve"> </w:t>
      </w:r>
      <w:r w:rsidR="006A17F5" w:rsidRPr="004E74A6">
        <w:rPr>
          <w:rFonts w:ascii="Book Antiqua" w:eastAsia="Calibri" w:hAnsi="Book Antiqua" w:cs="Times New Roman"/>
          <w:szCs w:val="20"/>
          <w:lang w:val="es-CR" w:eastAsia="en-US"/>
        </w:rPr>
        <w:t>o D</w:t>
      </w:r>
      <w:r w:rsidRPr="004E74A6">
        <w:rPr>
          <w:rFonts w:ascii="Book Antiqua" w:eastAsia="Calibri" w:hAnsi="Book Antiqua" w:cs="Times New Roman"/>
          <w:szCs w:val="20"/>
          <w:lang w:val="es-CR" w:eastAsia="en-US"/>
        </w:rPr>
        <w:t xml:space="preserve"> se generaría un i</w:t>
      </w:r>
      <w:r w:rsidR="00451F06" w:rsidRPr="004E74A6">
        <w:rPr>
          <w:rFonts w:ascii="Book Antiqua" w:eastAsia="Calibri" w:hAnsi="Book Antiqua" w:cs="Times New Roman"/>
          <w:szCs w:val="20"/>
          <w:lang w:val="es-CR" w:eastAsia="en-US"/>
        </w:rPr>
        <w:t xml:space="preserve">ncremento </w:t>
      </w:r>
      <w:r w:rsidR="002D1CD2" w:rsidRPr="004E74A6">
        <w:rPr>
          <w:rFonts w:ascii="Book Antiqua" w:eastAsia="Calibri" w:hAnsi="Book Antiqua" w:cs="Times New Roman"/>
          <w:szCs w:val="20"/>
          <w:lang w:val="es-CR" w:eastAsia="en-US"/>
        </w:rPr>
        <w:t>en</w:t>
      </w:r>
      <w:r w:rsidR="00217F64" w:rsidRPr="004E74A6">
        <w:rPr>
          <w:rFonts w:ascii="Book Antiqua" w:eastAsia="Calibri" w:hAnsi="Book Antiqua" w:cs="Times New Roman"/>
          <w:szCs w:val="20"/>
          <w:lang w:val="es-CR" w:eastAsia="en-US"/>
        </w:rPr>
        <w:t xml:space="preserve"> la carga laboral en los Juzgados Civiles, pues los mismos deberán </w:t>
      </w:r>
      <w:r w:rsidR="00217F64" w:rsidRPr="004E74A6">
        <w:rPr>
          <w:rFonts w:ascii="Book Antiqua" w:eastAsia="Calibri" w:hAnsi="Book Antiqua" w:cs="Times New Roman"/>
          <w:szCs w:val="20"/>
          <w:lang w:val="es-CR" w:eastAsia="en-US"/>
        </w:rPr>
        <w:lastRenderedPageBreak/>
        <w:t xml:space="preserve">asumir aquellos </w:t>
      </w:r>
      <w:r w:rsidR="006A130C" w:rsidRPr="004E74A6">
        <w:rPr>
          <w:rFonts w:ascii="Book Antiqua" w:eastAsia="Calibri" w:hAnsi="Book Antiqua" w:cs="Times New Roman"/>
          <w:szCs w:val="20"/>
          <w:lang w:val="es-CR" w:eastAsia="en-US"/>
        </w:rPr>
        <w:t>asuntos ordinarios</w:t>
      </w:r>
      <w:r w:rsidR="00217F64" w:rsidRPr="004E74A6">
        <w:rPr>
          <w:rFonts w:ascii="Book Antiqua" w:eastAsia="Calibri" w:hAnsi="Book Antiqua" w:cs="Times New Roman"/>
          <w:szCs w:val="20"/>
          <w:lang w:val="es-CR" w:eastAsia="en-US"/>
        </w:rPr>
        <w:t xml:space="preserve"> </w:t>
      </w:r>
      <w:r w:rsidR="007B3092" w:rsidRPr="004E74A6">
        <w:rPr>
          <w:rFonts w:ascii="Book Antiqua" w:eastAsia="Calibri" w:hAnsi="Book Antiqua" w:cs="Times New Roman"/>
          <w:szCs w:val="20"/>
          <w:lang w:val="es-CR" w:eastAsia="en-US"/>
        </w:rPr>
        <w:t>entre ¢1 y el monto que fije Corte Plena</w:t>
      </w:r>
      <w:r w:rsidR="005561DF" w:rsidRPr="004E74A6">
        <w:rPr>
          <w:rFonts w:ascii="Book Antiqua" w:eastAsia="Calibri" w:hAnsi="Book Antiqua" w:cs="Times New Roman"/>
          <w:szCs w:val="20"/>
          <w:lang w:val="es-CR" w:eastAsia="en-US"/>
        </w:rPr>
        <w:t xml:space="preserve"> (actualmente solo conocen los ordinarios de ¢3.000.000 o menos</w:t>
      </w:r>
      <w:r w:rsidR="008E1866" w:rsidRPr="004E74A6">
        <w:rPr>
          <w:rFonts w:ascii="Book Antiqua" w:eastAsia="Calibri" w:hAnsi="Book Antiqua" w:cs="Times New Roman"/>
          <w:szCs w:val="20"/>
          <w:lang w:val="es-CR" w:eastAsia="en-US"/>
        </w:rPr>
        <w:t xml:space="preserve">). </w:t>
      </w:r>
    </w:p>
    <w:p w14:paraId="09B97A1C" w14:textId="77777777" w:rsidR="006A17F5" w:rsidRPr="00832773" w:rsidRDefault="006A17F5" w:rsidP="00CE62C1">
      <w:pPr>
        <w:pStyle w:val="Prrafodelista"/>
        <w:spacing w:line="276" w:lineRule="auto"/>
        <w:ind w:left="720"/>
        <w:rPr>
          <w:rFonts w:ascii="Book Antiqua" w:eastAsia="Calibri" w:hAnsi="Book Antiqua"/>
          <w:lang w:val="es-CR" w:eastAsia="en-US"/>
        </w:rPr>
      </w:pPr>
    </w:p>
    <w:p w14:paraId="795B9D91" w14:textId="46053D60" w:rsidR="006A17F5" w:rsidRPr="004E74A6" w:rsidRDefault="006A3B90" w:rsidP="00CE62C1">
      <w:pPr>
        <w:spacing w:line="276" w:lineRule="auto"/>
        <w:rPr>
          <w:rFonts w:eastAsia="Calibri"/>
          <w:lang w:eastAsia="en-US"/>
        </w:rPr>
      </w:pPr>
      <w:r w:rsidRPr="004E74A6">
        <w:rPr>
          <w:rFonts w:eastAsia="Calibri"/>
          <w:lang w:eastAsia="en-US"/>
        </w:rPr>
        <w:t>Siendo algunos de</w:t>
      </w:r>
      <w:r w:rsidR="00C7716F" w:rsidRPr="004E74A6">
        <w:rPr>
          <w:rFonts w:eastAsia="Calibri"/>
          <w:lang w:eastAsia="en-US"/>
        </w:rPr>
        <w:t xml:space="preserve"> esos</w:t>
      </w:r>
      <w:r w:rsidRPr="004E74A6">
        <w:rPr>
          <w:rFonts w:eastAsia="Calibri"/>
          <w:lang w:eastAsia="en-US"/>
        </w:rPr>
        <w:t xml:space="preserve"> </w:t>
      </w:r>
      <w:r w:rsidR="00AC2298" w:rsidRPr="004E74A6">
        <w:rPr>
          <w:rFonts w:eastAsia="Calibri"/>
          <w:lang w:eastAsia="en-US"/>
        </w:rPr>
        <w:t>juzgados</w:t>
      </w:r>
      <w:r w:rsidRPr="004E74A6">
        <w:rPr>
          <w:rFonts w:eastAsia="Calibri"/>
          <w:lang w:eastAsia="en-US"/>
        </w:rPr>
        <w:t>, las oficinas civiles</w:t>
      </w:r>
      <w:r w:rsidR="00AC2298" w:rsidRPr="004E74A6">
        <w:rPr>
          <w:rFonts w:eastAsia="Calibri"/>
          <w:lang w:eastAsia="en-US"/>
        </w:rPr>
        <w:t xml:space="preserve"> con mayor circulante activo como en el caso de los 3 Juzgados de San José.</w:t>
      </w:r>
    </w:p>
    <w:p w14:paraId="34F1791A" w14:textId="77777777" w:rsidR="006A17F5" w:rsidRPr="00832773" w:rsidRDefault="006A17F5" w:rsidP="00CE62C1">
      <w:pPr>
        <w:pStyle w:val="Prrafodelista"/>
        <w:spacing w:line="276" w:lineRule="auto"/>
        <w:ind w:left="720"/>
        <w:rPr>
          <w:rFonts w:ascii="Book Antiqua" w:eastAsia="Calibri" w:hAnsi="Book Antiqua"/>
          <w:lang w:val="es-CR" w:eastAsia="en-US"/>
        </w:rPr>
      </w:pPr>
    </w:p>
    <w:p w14:paraId="4CBF7DC7" w14:textId="378B28EB" w:rsidR="00283F0C" w:rsidRPr="004E74A6" w:rsidRDefault="002D1CD2" w:rsidP="00CE62C1">
      <w:pPr>
        <w:spacing w:line="276" w:lineRule="auto"/>
        <w:rPr>
          <w:rFonts w:eastAsia="Calibri"/>
          <w:lang w:eastAsia="en-US"/>
        </w:rPr>
      </w:pPr>
      <w:r w:rsidRPr="004E74A6">
        <w:rPr>
          <w:rFonts w:eastAsia="Calibri"/>
          <w:lang w:eastAsia="en-US"/>
        </w:rPr>
        <w:t xml:space="preserve">De fijarse la cuantía según criterio experto (escenario A1), </w:t>
      </w:r>
      <w:r w:rsidRPr="004E74A6">
        <w:rPr>
          <w:rFonts w:eastAsia="Calibri"/>
          <w:b/>
          <w:bCs/>
          <w:lang w:eastAsia="en-US"/>
        </w:rPr>
        <w:t xml:space="preserve">se proyecta un incremento en la entrada de estos Juzgados </w:t>
      </w:r>
      <w:r w:rsidR="003F1535" w:rsidRPr="004E74A6">
        <w:rPr>
          <w:rFonts w:eastAsia="Calibri"/>
          <w:b/>
          <w:bCs/>
          <w:lang w:eastAsia="en-US"/>
        </w:rPr>
        <w:t>entre 4% y</w:t>
      </w:r>
      <w:r w:rsidRPr="004E74A6">
        <w:rPr>
          <w:rFonts w:eastAsia="Calibri"/>
          <w:b/>
          <w:bCs/>
          <w:lang w:eastAsia="en-US"/>
        </w:rPr>
        <w:t xml:space="preserve"> </w:t>
      </w:r>
      <w:r w:rsidR="00160E79" w:rsidRPr="004E74A6">
        <w:rPr>
          <w:rFonts w:eastAsia="Calibri"/>
          <w:b/>
          <w:bCs/>
          <w:lang w:eastAsia="en-US"/>
        </w:rPr>
        <w:t>6</w:t>
      </w:r>
      <w:r w:rsidRPr="004E74A6">
        <w:rPr>
          <w:rFonts w:eastAsia="Calibri"/>
          <w:b/>
          <w:bCs/>
          <w:lang w:eastAsia="en-US"/>
        </w:rPr>
        <w:t xml:space="preserve">% (en promedio </w:t>
      </w:r>
      <w:r w:rsidR="00931CE5" w:rsidRPr="004E74A6">
        <w:rPr>
          <w:rFonts w:eastAsia="Calibri"/>
          <w:b/>
          <w:bCs/>
          <w:lang w:eastAsia="en-US"/>
        </w:rPr>
        <w:t>506,7</w:t>
      </w:r>
      <w:r w:rsidR="006A3B90" w:rsidRPr="004E74A6">
        <w:rPr>
          <w:rFonts w:eastAsia="Calibri"/>
          <w:b/>
          <w:bCs/>
          <w:lang w:eastAsia="en-US"/>
        </w:rPr>
        <w:t xml:space="preserve"> ordinarios nuevos por</w:t>
      </w:r>
      <w:r w:rsidRPr="004E74A6">
        <w:rPr>
          <w:rFonts w:eastAsia="Calibri"/>
          <w:b/>
          <w:bCs/>
          <w:lang w:eastAsia="en-US"/>
        </w:rPr>
        <w:t xml:space="preserve"> año</w:t>
      </w:r>
      <w:r w:rsidR="006A3B90" w:rsidRPr="004E74A6">
        <w:rPr>
          <w:rFonts w:eastAsia="Calibri"/>
          <w:b/>
          <w:bCs/>
          <w:lang w:eastAsia="en-US"/>
        </w:rPr>
        <w:t xml:space="preserve"> adicionales</w:t>
      </w:r>
      <w:r w:rsidR="00363B9F" w:rsidRPr="004E74A6">
        <w:rPr>
          <w:rStyle w:val="Refdenotaalpie"/>
          <w:rFonts w:eastAsia="Calibri"/>
          <w:b/>
          <w:bCs/>
          <w:lang w:eastAsia="en-US"/>
        </w:rPr>
        <w:footnoteReference w:id="39"/>
      </w:r>
      <w:r w:rsidRPr="004E74A6">
        <w:rPr>
          <w:rFonts w:eastAsia="Calibri"/>
          <w:b/>
          <w:bCs/>
          <w:lang w:eastAsia="en-US"/>
        </w:rPr>
        <w:t>)</w:t>
      </w:r>
      <w:r w:rsidR="00283F0C" w:rsidRPr="004E74A6">
        <w:rPr>
          <w:rFonts w:eastAsia="Calibri"/>
          <w:b/>
          <w:bCs/>
          <w:lang w:eastAsia="en-US"/>
        </w:rPr>
        <w:t xml:space="preserve">, </w:t>
      </w:r>
      <w:r w:rsidR="00283F0C" w:rsidRPr="00832773">
        <w:rPr>
          <w:rFonts w:eastAsia="Calibri"/>
          <w:lang w:eastAsia="en-US"/>
        </w:rPr>
        <w:t xml:space="preserve">el incremento anual para cada Juzgado </w:t>
      </w:r>
      <w:r w:rsidR="003F1535" w:rsidRPr="00832773">
        <w:rPr>
          <w:rFonts w:eastAsia="Calibri"/>
          <w:lang w:eastAsia="en-US"/>
        </w:rPr>
        <w:t>puede variar</w:t>
      </w:r>
      <w:r w:rsidR="00283F0C" w:rsidRPr="00832773">
        <w:rPr>
          <w:rFonts w:eastAsia="Calibri"/>
          <w:lang w:eastAsia="en-US"/>
        </w:rPr>
        <w:t xml:space="preserve"> entre </w:t>
      </w:r>
      <w:r w:rsidR="003F1535" w:rsidRPr="00832773">
        <w:rPr>
          <w:rFonts w:eastAsia="Calibri"/>
          <w:lang w:eastAsia="en-US"/>
        </w:rPr>
        <w:t>2</w:t>
      </w:r>
      <w:r w:rsidR="00283F0C" w:rsidRPr="00832773">
        <w:rPr>
          <w:rFonts w:eastAsia="Calibri"/>
          <w:lang w:eastAsia="en-US"/>
        </w:rPr>
        <w:t xml:space="preserve"> y </w:t>
      </w:r>
      <w:r w:rsidR="003F1535" w:rsidRPr="00832773">
        <w:rPr>
          <w:rFonts w:eastAsia="Calibri"/>
          <w:lang w:eastAsia="en-US"/>
        </w:rPr>
        <w:t>66</w:t>
      </w:r>
      <w:r w:rsidR="00283F0C" w:rsidRPr="00832773">
        <w:rPr>
          <w:rFonts w:eastAsia="Calibri"/>
          <w:lang w:eastAsia="en-US"/>
        </w:rPr>
        <w:t xml:space="preserve"> asuntos </w:t>
      </w:r>
      <w:r w:rsidR="006504E7" w:rsidRPr="00832773">
        <w:rPr>
          <w:rFonts w:eastAsia="Calibri"/>
          <w:lang w:eastAsia="en-US"/>
        </w:rPr>
        <w:t>(tabla 50</w:t>
      </w:r>
      <w:r w:rsidR="003F1535" w:rsidRPr="00832773">
        <w:rPr>
          <w:rFonts w:eastAsia="Calibri"/>
          <w:lang w:eastAsia="en-US"/>
        </w:rPr>
        <w:t xml:space="preserve"> y 51</w:t>
      </w:r>
      <w:r w:rsidR="008E1866" w:rsidRPr="00832773">
        <w:rPr>
          <w:rFonts w:eastAsia="Calibri"/>
          <w:lang w:eastAsia="en-US"/>
        </w:rPr>
        <w:t xml:space="preserve"> de este informe</w:t>
      </w:r>
      <w:r w:rsidR="006504E7" w:rsidRPr="00832773">
        <w:rPr>
          <w:rFonts w:eastAsia="Calibri"/>
          <w:lang w:eastAsia="en-US"/>
        </w:rPr>
        <w:t>)</w:t>
      </w:r>
      <w:r w:rsidR="008E1866" w:rsidRPr="004E74A6">
        <w:rPr>
          <w:rFonts w:eastAsia="Calibri"/>
          <w:lang w:eastAsia="en-US"/>
        </w:rPr>
        <w:t>.</w:t>
      </w:r>
    </w:p>
    <w:p w14:paraId="52C94A63" w14:textId="77777777" w:rsidR="00283F0C" w:rsidRPr="00832773" w:rsidRDefault="00283F0C" w:rsidP="00CE62C1">
      <w:pPr>
        <w:pStyle w:val="Prrafodelista"/>
        <w:spacing w:line="276" w:lineRule="auto"/>
        <w:ind w:left="720"/>
        <w:rPr>
          <w:rFonts w:ascii="Book Antiqua" w:eastAsia="Calibri" w:hAnsi="Book Antiqua"/>
          <w:lang w:val="es-CR" w:eastAsia="en-US"/>
        </w:rPr>
      </w:pPr>
    </w:p>
    <w:p w14:paraId="6458DBC7" w14:textId="18934CDD" w:rsidR="002A29DA" w:rsidRPr="004E74A6" w:rsidRDefault="00283F0C" w:rsidP="00CE62C1">
      <w:pPr>
        <w:spacing w:line="276" w:lineRule="auto"/>
        <w:rPr>
          <w:rFonts w:eastAsia="Calibri"/>
          <w:szCs w:val="24"/>
          <w:lang w:eastAsia="en-US"/>
        </w:rPr>
      </w:pPr>
      <w:r w:rsidRPr="004E74A6">
        <w:rPr>
          <w:rFonts w:eastAsia="Calibri"/>
          <w:szCs w:val="24"/>
          <w:lang w:eastAsia="en-US"/>
        </w:rPr>
        <w:t xml:space="preserve">Cabe destacar incluso </w:t>
      </w:r>
      <w:r w:rsidR="002A29DA" w:rsidRPr="004E74A6">
        <w:rPr>
          <w:rFonts w:eastAsia="Calibri"/>
          <w:szCs w:val="24"/>
          <w:lang w:eastAsia="en-US"/>
        </w:rPr>
        <w:t xml:space="preserve">en los 28 Juzgados que tienen competencia en materia </w:t>
      </w:r>
      <w:r w:rsidRPr="004E74A6">
        <w:rPr>
          <w:rFonts w:eastAsia="Calibri"/>
          <w:szCs w:val="24"/>
          <w:lang w:eastAsia="en-US"/>
        </w:rPr>
        <w:t>C</w:t>
      </w:r>
      <w:r w:rsidR="002A29DA" w:rsidRPr="004E74A6">
        <w:rPr>
          <w:rFonts w:eastAsia="Calibri"/>
          <w:szCs w:val="24"/>
          <w:lang w:eastAsia="en-US"/>
        </w:rPr>
        <w:t xml:space="preserve">ivil, de enero 2019 hasta julio 2022 se ha presentado una tendencia </w:t>
      </w:r>
      <w:r w:rsidRPr="004E74A6">
        <w:rPr>
          <w:rFonts w:eastAsia="Calibri"/>
          <w:szCs w:val="24"/>
          <w:lang w:eastAsia="en-US"/>
        </w:rPr>
        <w:t xml:space="preserve">a la baja del circulante </w:t>
      </w:r>
      <w:r w:rsidR="006504E7" w:rsidRPr="004E74A6">
        <w:rPr>
          <w:rFonts w:eastAsia="Calibri"/>
          <w:szCs w:val="24"/>
          <w:lang w:eastAsia="en-US"/>
        </w:rPr>
        <w:t xml:space="preserve">de </w:t>
      </w:r>
      <w:r w:rsidR="002A29DA" w:rsidRPr="004E74A6">
        <w:rPr>
          <w:rFonts w:eastAsia="Calibri"/>
          <w:szCs w:val="24"/>
          <w:lang w:eastAsia="en-US"/>
        </w:rPr>
        <w:t>un 26%</w:t>
      </w:r>
      <w:r w:rsidR="006504E7" w:rsidRPr="004E74A6">
        <w:rPr>
          <w:rFonts w:eastAsia="Calibri"/>
          <w:szCs w:val="24"/>
          <w:lang w:eastAsia="en-US"/>
        </w:rPr>
        <w:t xml:space="preserve">, </w:t>
      </w:r>
      <w:r w:rsidR="008E1866" w:rsidRPr="004E74A6">
        <w:rPr>
          <w:rFonts w:eastAsia="Calibri"/>
          <w:szCs w:val="24"/>
          <w:lang w:eastAsia="en-US"/>
        </w:rPr>
        <w:t>rendimiento que se podría ver afectado</w:t>
      </w:r>
      <w:r w:rsidR="006504E7" w:rsidRPr="004E74A6">
        <w:rPr>
          <w:rFonts w:eastAsia="Calibri"/>
          <w:szCs w:val="24"/>
          <w:lang w:eastAsia="en-US"/>
        </w:rPr>
        <w:t xml:space="preserve"> por el incremento en la entrada</w:t>
      </w:r>
      <w:r w:rsidR="00E56FB6" w:rsidRPr="004E74A6">
        <w:rPr>
          <w:rFonts w:eastAsia="Calibri"/>
          <w:szCs w:val="24"/>
          <w:lang w:eastAsia="en-US"/>
        </w:rPr>
        <w:t xml:space="preserve"> </w:t>
      </w:r>
      <w:r w:rsidR="006D758F" w:rsidRPr="004E74A6">
        <w:rPr>
          <w:rFonts w:eastAsia="Calibri"/>
          <w:szCs w:val="24"/>
          <w:lang w:eastAsia="en-US"/>
        </w:rPr>
        <w:t>o</w:t>
      </w:r>
      <w:r w:rsidR="00E56FB6" w:rsidRPr="004E74A6">
        <w:rPr>
          <w:rFonts w:eastAsia="Calibri"/>
          <w:szCs w:val="24"/>
          <w:lang w:eastAsia="en-US"/>
        </w:rPr>
        <w:t xml:space="preserve"> un eventual incremento de la cuantía</w:t>
      </w:r>
      <w:r w:rsidR="006504E7" w:rsidRPr="004E74A6">
        <w:rPr>
          <w:rFonts w:eastAsia="Calibri"/>
          <w:szCs w:val="24"/>
          <w:lang w:eastAsia="en-US"/>
        </w:rPr>
        <w:t xml:space="preserve">. </w:t>
      </w:r>
    </w:p>
    <w:p w14:paraId="4BAFEC9A" w14:textId="77777777" w:rsidR="00967851" w:rsidRPr="004E74A6" w:rsidRDefault="00967851" w:rsidP="00CE62C1">
      <w:pPr>
        <w:spacing w:line="276" w:lineRule="auto"/>
        <w:rPr>
          <w:rFonts w:eastAsia="Calibri"/>
          <w:lang w:eastAsia="en-US"/>
        </w:rPr>
      </w:pPr>
    </w:p>
    <w:p w14:paraId="211C570D" w14:textId="71C8AE19" w:rsidR="006907B6" w:rsidRPr="004E74A6" w:rsidRDefault="005D5683" w:rsidP="00CE62C1">
      <w:pPr>
        <w:spacing w:line="276" w:lineRule="auto"/>
        <w:rPr>
          <w:rFonts w:eastAsia="Calibri"/>
          <w:lang w:eastAsia="en-US"/>
        </w:rPr>
      </w:pPr>
      <w:r w:rsidRPr="004E74A6">
        <w:rPr>
          <w:rFonts w:eastAsia="Calibri"/>
          <w:szCs w:val="24"/>
          <w:lang w:eastAsia="en-US"/>
        </w:rPr>
        <w:t>Se reitera, que e</w:t>
      </w:r>
      <w:r w:rsidR="002A29DA" w:rsidRPr="004E74A6">
        <w:rPr>
          <w:rFonts w:eastAsia="Calibri"/>
          <w:szCs w:val="24"/>
          <w:lang w:eastAsia="en-US"/>
        </w:rPr>
        <w:t>st</w:t>
      </w:r>
      <w:r w:rsidR="006504E7" w:rsidRPr="004E74A6">
        <w:rPr>
          <w:rFonts w:eastAsia="Calibri"/>
          <w:szCs w:val="24"/>
          <w:lang w:eastAsia="en-US"/>
        </w:rPr>
        <w:t>e informe presenta una proyección según los datos reportados en los sistemas por las mi</w:t>
      </w:r>
      <w:r w:rsidRPr="004E74A6">
        <w:rPr>
          <w:rFonts w:eastAsia="Calibri"/>
          <w:szCs w:val="24"/>
          <w:lang w:eastAsia="en-US"/>
        </w:rPr>
        <w:t>s</w:t>
      </w:r>
      <w:r w:rsidR="006504E7" w:rsidRPr="004E74A6">
        <w:rPr>
          <w:rFonts w:eastAsia="Calibri"/>
          <w:szCs w:val="24"/>
          <w:lang w:eastAsia="en-US"/>
        </w:rPr>
        <w:t>mas oficinas</w:t>
      </w:r>
      <w:r w:rsidRPr="004E74A6">
        <w:rPr>
          <w:rFonts w:eastAsia="Calibri"/>
          <w:szCs w:val="24"/>
          <w:lang w:eastAsia="en-US"/>
        </w:rPr>
        <w:t>.</w:t>
      </w:r>
    </w:p>
    <w:p w14:paraId="41966A0B" w14:textId="77777777" w:rsidR="00363B9F" w:rsidRPr="004E74A6" w:rsidRDefault="00363B9F" w:rsidP="00CE62C1">
      <w:pPr>
        <w:spacing w:line="276" w:lineRule="auto"/>
        <w:rPr>
          <w:rFonts w:eastAsia="Calibri"/>
          <w:lang w:eastAsia="en-US"/>
        </w:rPr>
      </w:pPr>
    </w:p>
    <w:p w14:paraId="77739375" w14:textId="792FEC77" w:rsidR="006A17F5" w:rsidRPr="004E74A6" w:rsidRDefault="006A17F5" w:rsidP="00832773">
      <w:pPr>
        <w:pStyle w:val="Prrafodelista"/>
        <w:numPr>
          <w:ilvl w:val="2"/>
          <w:numId w:val="62"/>
        </w:numPr>
        <w:spacing w:line="276" w:lineRule="auto"/>
        <w:rPr>
          <w:rFonts w:ascii="Book Antiqua" w:eastAsia="Calibri" w:hAnsi="Book Antiqua" w:cs="Times New Roman"/>
          <w:szCs w:val="20"/>
          <w:lang w:val="es-CR" w:eastAsia="en-US"/>
        </w:rPr>
      </w:pPr>
      <w:r w:rsidRPr="004E74A6">
        <w:rPr>
          <w:rFonts w:ascii="Book Antiqua" w:eastAsia="Calibri" w:hAnsi="Book Antiqua" w:cs="Times New Roman"/>
          <w:szCs w:val="20"/>
          <w:lang w:val="es-CR" w:eastAsia="en-US"/>
        </w:rPr>
        <w:t>En caso de aprobarse el escenario A1, B o D se presentaría una d</w:t>
      </w:r>
      <w:r w:rsidR="00AC2298" w:rsidRPr="004E74A6">
        <w:rPr>
          <w:rFonts w:ascii="Book Antiqua" w:eastAsia="Calibri" w:hAnsi="Book Antiqua" w:cs="Times New Roman"/>
          <w:szCs w:val="20"/>
          <w:lang w:val="es-CR" w:eastAsia="en-US"/>
        </w:rPr>
        <w:t xml:space="preserve">isminución en la carga laboral de los </w:t>
      </w:r>
      <w:r w:rsidR="00AC2298" w:rsidRPr="004E74A6">
        <w:rPr>
          <w:rFonts w:ascii="Book Antiqua" w:eastAsia="Calibri" w:hAnsi="Book Antiqua" w:cs="Times New Roman"/>
          <w:b/>
          <w:bCs/>
          <w:szCs w:val="20"/>
          <w:u w:val="single"/>
          <w:lang w:val="es-CR" w:eastAsia="en-US"/>
        </w:rPr>
        <w:t>Tribunales Colegiados de Primera Instancia Civil</w:t>
      </w:r>
      <w:r w:rsidR="00AC2298" w:rsidRPr="004E74A6">
        <w:rPr>
          <w:rFonts w:ascii="Book Antiqua" w:eastAsia="Calibri" w:hAnsi="Book Antiqua" w:cs="Times New Roman"/>
          <w:szCs w:val="20"/>
          <w:lang w:val="es-CR" w:eastAsia="en-US"/>
        </w:rPr>
        <w:t xml:space="preserve">, oficinas </w:t>
      </w:r>
      <w:r w:rsidRPr="004E74A6">
        <w:rPr>
          <w:rFonts w:ascii="Book Antiqua" w:eastAsia="Calibri" w:hAnsi="Book Antiqua" w:cs="Times New Roman"/>
          <w:szCs w:val="20"/>
          <w:lang w:val="es-CR" w:eastAsia="en-US"/>
        </w:rPr>
        <w:t xml:space="preserve">actualmente </w:t>
      </w:r>
      <w:r w:rsidR="00AC2298" w:rsidRPr="004E74A6">
        <w:rPr>
          <w:rFonts w:ascii="Book Antiqua" w:eastAsia="Calibri" w:hAnsi="Book Antiqua" w:cs="Times New Roman"/>
          <w:szCs w:val="20"/>
          <w:lang w:val="es-CR" w:eastAsia="en-US"/>
        </w:rPr>
        <w:t>con baja carga de trabajo, y que además por LOPJ independientemente de la entrada</w:t>
      </w:r>
      <w:r w:rsidRPr="004E74A6">
        <w:rPr>
          <w:rFonts w:ascii="Book Antiqua" w:eastAsia="Calibri" w:hAnsi="Book Antiqua" w:cs="Times New Roman"/>
          <w:szCs w:val="20"/>
          <w:lang w:val="es-CR" w:eastAsia="en-US"/>
        </w:rPr>
        <w:t>, es decir</w:t>
      </w:r>
      <w:r w:rsidR="00AC2298" w:rsidRPr="004E74A6">
        <w:rPr>
          <w:rFonts w:ascii="Book Antiqua" w:eastAsia="Calibri" w:hAnsi="Book Antiqua" w:cs="Times New Roman"/>
          <w:szCs w:val="20"/>
          <w:lang w:val="es-CR" w:eastAsia="en-US"/>
        </w:rPr>
        <w:t xml:space="preserve"> por baja que sea, tiene una estructura mínima de 3 personas juzgadoras categoría 4</w:t>
      </w:r>
      <w:r w:rsidR="005939E8" w:rsidRPr="004E74A6">
        <w:rPr>
          <w:rFonts w:ascii="Book Antiqua" w:eastAsia="Calibri" w:hAnsi="Book Antiqua" w:cs="Times New Roman"/>
          <w:szCs w:val="20"/>
          <w:lang w:val="es-CR" w:eastAsia="en-US"/>
        </w:rPr>
        <w:t>; situación que podría derivar en subutilización de personal y la necesidad de modificar sus estructuras organizativas.</w:t>
      </w:r>
    </w:p>
    <w:p w14:paraId="46C34F5D" w14:textId="77777777" w:rsidR="006A17F5" w:rsidRPr="004E74A6" w:rsidRDefault="006A17F5" w:rsidP="00CE62C1">
      <w:pPr>
        <w:pStyle w:val="Prrafodelista"/>
        <w:spacing w:line="276" w:lineRule="auto"/>
        <w:ind w:left="720"/>
        <w:rPr>
          <w:rFonts w:ascii="Book Antiqua" w:eastAsia="Calibri" w:hAnsi="Book Antiqua" w:cs="Times New Roman"/>
          <w:szCs w:val="20"/>
          <w:lang w:val="es-CR" w:eastAsia="en-US"/>
        </w:rPr>
      </w:pPr>
    </w:p>
    <w:p w14:paraId="3A06CF35" w14:textId="70970F51" w:rsidR="00217F64" w:rsidRPr="004E74A6" w:rsidRDefault="006A17F5" w:rsidP="00CE62C1">
      <w:pPr>
        <w:pStyle w:val="Prrafodelista"/>
        <w:spacing w:line="276" w:lineRule="auto"/>
        <w:ind w:left="720"/>
        <w:rPr>
          <w:rFonts w:ascii="Book Antiqua" w:eastAsia="Calibri" w:hAnsi="Book Antiqua" w:cs="Times New Roman"/>
          <w:szCs w:val="20"/>
          <w:lang w:val="es-CR" w:eastAsia="en-US"/>
        </w:rPr>
      </w:pPr>
      <w:r w:rsidRPr="00832773">
        <w:rPr>
          <w:rFonts w:ascii="Book Antiqua" w:eastAsia="Calibri" w:hAnsi="Book Antiqua"/>
          <w:lang w:val="es-CR" w:eastAsia="en-US"/>
        </w:rPr>
        <w:t>De fijarse la cuantía según criterio experto (escenario A1</w:t>
      </w:r>
      <w:r w:rsidR="008E1866" w:rsidRPr="00832773">
        <w:rPr>
          <w:rFonts w:ascii="Book Antiqua" w:eastAsia="Calibri" w:hAnsi="Book Antiqua"/>
          <w:lang w:val="es-CR" w:eastAsia="en-US"/>
        </w:rPr>
        <w:t>-</w:t>
      </w:r>
      <w:r w:rsidR="007B0F86" w:rsidRPr="00832773">
        <w:rPr>
          <w:rFonts w:ascii="Book Antiqua" w:eastAsia="Calibri" w:hAnsi="Book Antiqua"/>
          <w:lang w:val="es-CR" w:eastAsia="en-US"/>
        </w:rPr>
        <w:t xml:space="preserve">20 </w:t>
      </w:r>
      <w:r w:rsidR="008D51C4" w:rsidRPr="00832773">
        <w:rPr>
          <w:rFonts w:ascii="Book Antiqua" w:eastAsia="Calibri" w:hAnsi="Book Antiqua"/>
          <w:lang w:val="es-CR" w:eastAsia="en-US"/>
        </w:rPr>
        <w:t>millones,</w:t>
      </w:r>
      <w:r w:rsidR="00DC4862" w:rsidRPr="00832773">
        <w:rPr>
          <w:rFonts w:ascii="Book Antiqua" w:eastAsia="Calibri" w:hAnsi="Book Antiqua"/>
          <w:lang w:val="es-CR" w:eastAsia="en-US"/>
        </w:rPr>
        <w:t xml:space="preserve"> por ejemplo</w:t>
      </w:r>
      <w:r w:rsidRPr="00832773">
        <w:rPr>
          <w:rFonts w:ascii="Book Antiqua" w:eastAsia="Calibri" w:hAnsi="Book Antiqua"/>
          <w:lang w:val="es-CR" w:eastAsia="en-US"/>
        </w:rPr>
        <w:t xml:space="preserve">), los Tribunales de Primera Instancia Civil </w:t>
      </w:r>
      <w:r w:rsidR="006A3B90" w:rsidRPr="004E74A6">
        <w:rPr>
          <w:rFonts w:ascii="Book Antiqua" w:eastAsia="Calibri" w:hAnsi="Book Antiqua" w:cs="Times New Roman"/>
          <w:b/>
          <w:bCs/>
          <w:szCs w:val="20"/>
          <w:lang w:val="es-CR" w:eastAsia="en-US"/>
        </w:rPr>
        <w:t>perdería</w:t>
      </w:r>
      <w:r w:rsidRPr="004E74A6">
        <w:rPr>
          <w:rFonts w:ascii="Book Antiqua" w:eastAsia="Calibri" w:hAnsi="Book Antiqua" w:cs="Times New Roman"/>
          <w:b/>
          <w:bCs/>
          <w:szCs w:val="20"/>
          <w:lang w:val="es-CR" w:eastAsia="en-US"/>
        </w:rPr>
        <w:t>n</w:t>
      </w:r>
      <w:r w:rsidR="006A3B90" w:rsidRPr="004E74A6">
        <w:rPr>
          <w:rFonts w:ascii="Book Antiqua" w:eastAsia="Calibri" w:hAnsi="Book Antiqua" w:cs="Times New Roman"/>
          <w:b/>
          <w:bCs/>
          <w:szCs w:val="20"/>
          <w:lang w:val="es-CR" w:eastAsia="en-US"/>
        </w:rPr>
        <w:t xml:space="preserve"> en promedio </w:t>
      </w:r>
      <w:r w:rsidR="00706676" w:rsidRPr="004E74A6">
        <w:rPr>
          <w:rFonts w:ascii="Book Antiqua" w:eastAsia="Calibri" w:hAnsi="Book Antiqua" w:cs="Times New Roman"/>
          <w:b/>
          <w:bCs/>
          <w:szCs w:val="20"/>
          <w:lang w:val="es-CR" w:eastAsia="en-US"/>
        </w:rPr>
        <w:t>55</w:t>
      </w:r>
      <w:r w:rsidR="006A3B90" w:rsidRPr="004E74A6">
        <w:rPr>
          <w:rFonts w:ascii="Book Antiqua" w:eastAsia="Calibri" w:hAnsi="Book Antiqua" w:cs="Times New Roman"/>
          <w:b/>
          <w:bCs/>
          <w:szCs w:val="20"/>
          <w:lang w:val="es-CR" w:eastAsia="en-US"/>
        </w:rPr>
        <w:t>% de la entrada</w:t>
      </w:r>
      <w:r w:rsidRPr="004E74A6">
        <w:rPr>
          <w:rFonts w:ascii="Book Antiqua" w:eastAsia="Calibri" w:hAnsi="Book Antiqua" w:cs="Times New Roman"/>
          <w:b/>
          <w:bCs/>
          <w:szCs w:val="20"/>
          <w:lang w:val="es-CR" w:eastAsia="en-US"/>
        </w:rPr>
        <w:t xml:space="preserve"> actual</w:t>
      </w:r>
      <w:r w:rsidR="006A3B90" w:rsidRPr="004E74A6">
        <w:rPr>
          <w:rFonts w:ascii="Book Antiqua" w:eastAsia="Calibri" w:hAnsi="Book Antiqua" w:cs="Times New Roman"/>
          <w:b/>
          <w:bCs/>
          <w:szCs w:val="20"/>
          <w:lang w:val="es-CR" w:eastAsia="en-US"/>
        </w:rPr>
        <w:t xml:space="preserve"> (aproximadamente </w:t>
      </w:r>
      <w:r w:rsidR="00706676" w:rsidRPr="004E74A6">
        <w:rPr>
          <w:rFonts w:ascii="Book Antiqua" w:eastAsia="Calibri" w:hAnsi="Book Antiqua" w:cs="Times New Roman"/>
          <w:b/>
          <w:bCs/>
          <w:szCs w:val="20"/>
          <w:lang w:val="es-CR" w:eastAsia="en-US"/>
        </w:rPr>
        <w:t>506,7</w:t>
      </w:r>
      <w:r w:rsidR="006A3B90" w:rsidRPr="004E74A6">
        <w:rPr>
          <w:rFonts w:ascii="Book Antiqua" w:eastAsia="Calibri" w:hAnsi="Book Antiqua" w:cs="Times New Roman"/>
          <w:b/>
          <w:bCs/>
          <w:szCs w:val="20"/>
          <w:lang w:val="es-CR" w:eastAsia="en-US"/>
        </w:rPr>
        <w:t xml:space="preserve"> casos al año</w:t>
      </w:r>
      <w:r w:rsidR="00706676" w:rsidRPr="004E74A6">
        <w:rPr>
          <w:rStyle w:val="Refdenotaalpie"/>
          <w:rFonts w:ascii="Book Antiqua" w:eastAsia="Calibri" w:hAnsi="Book Antiqua"/>
          <w:b/>
          <w:bCs/>
          <w:szCs w:val="20"/>
          <w:lang w:val="es-CR" w:eastAsia="en-US"/>
        </w:rPr>
        <w:footnoteReference w:id="40"/>
      </w:r>
      <w:r w:rsidR="006A3B90" w:rsidRPr="004E74A6">
        <w:rPr>
          <w:rFonts w:ascii="Book Antiqua" w:eastAsia="Calibri" w:hAnsi="Book Antiqua" w:cs="Times New Roman"/>
          <w:b/>
          <w:bCs/>
          <w:szCs w:val="20"/>
          <w:lang w:val="es-CR" w:eastAsia="en-US"/>
        </w:rPr>
        <w:t>).</w:t>
      </w:r>
    </w:p>
    <w:p w14:paraId="00F6FB5A" w14:textId="1E1559EE" w:rsidR="00363B9F" w:rsidRPr="004E74A6" w:rsidRDefault="00363B9F" w:rsidP="00CE62C1">
      <w:pPr>
        <w:pStyle w:val="Prrafodelista"/>
        <w:spacing w:line="276" w:lineRule="auto"/>
        <w:ind w:left="720"/>
        <w:rPr>
          <w:rFonts w:ascii="Book Antiqua" w:eastAsia="Calibri" w:hAnsi="Book Antiqua" w:cs="Times New Roman"/>
          <w:b/>
          <w:bCs/>
          <w:szCs w:val="20"/>
          <w:lang w:val="es-CR" w:eastAsia="en-US"/>
        </w:rPr>
      </w:pPr>
    </w:p>
    <w:p w14:paraId="19DCE387" w14:textId="0965F3FE" w:rsidR="00363B9F" w:rsidRPr="004E74A6" w:rsidRDefault="006A17F5" w:rsidP="00832773">
      <w:pPr>
        <w:pStyle w:val="Prrafodelista"/>
        <w:numPr>
          <w:ilvl w:val="2"/>
          <w:numId w:val="62"/>
        </w:numPr>
        <w:spacing w:line="276" w:lineRule="auto"/>
        <w:rPr>
          <w:rFonts w:ascii="Book Antiqua" w:eastAsia="Calibri" w:hAnsi="Book Antiqua" w:cs="Times New Roman"/>
          <w:szCs w:val="20"/>
          <w:lang w:val="es-CR" w:eastAsia="en-US"/>
        </w:rPr>
      </w:pPr>
      <w:r w:rsidRPr="004E74A6">
        <w:rPr>
          <w:rFonts w:ascii="Book Antiqua" w:eastAsia="Calibri" w:hAnsi="Book Antiqua" w:cs="Times New Roman"/>
          <w:szCs w:val="20"/>
          <w:lang w:val="es-CR" w:eastAsia="en-US"/>
        </w:rPr>
        <w:lastRenderedPageBreak/>
        <w:t>En caso de aprobarse el escenario A en cualquiera de las versiones, B o D, e</w:t>
      </w:r>
      <w:r w:rsidR="00363B9F" w:rsidRPr="004E74A6">
        <w:rPr>
          <w:rFonts w:ascii="Book Antiqua" w:eastAsia="Calibri" w:hAnsi="Book Antiqua" w:cs="Times New Roman"/>
          <w:szCs w:val="20"/>
          <w:lang w:val="es-CR" w:eastAsia="en-US"/>
        </w:rPr>
        <w:t>n segunda instancia (</w:t>
      </w:r>
      <w:r w:rsidR="00363B9F" w:rsidRPr="004E74A6">
        <w:rPr>
          <w:rFonts w:ascii="Book Antiqua" w:eastAsia="Calibri" w:hAnsi="Book Antiqua" w:cs="Times New Roman"/>
          <w:b/>
          <w:bCs/>
          <w:szCs w:val="20"/>
          <w:lang w:val="es-CR" w:eastAsia="en-US"/>
        </w:rPr>
        <w:t xml:space="preserve">Tribunales de </w:t>
      </w:r>
      <w:r w:rsidRPr="004E74A6">
        <w:rPr>
          <w:rFonts w:ascii="Book Antiqua" w:eastAsia="Calibri" w:hAnsi="Book Antiqua" w:cs="Times New Roman"/>
          <w:b/>
          <w:bCs/>
          <w:szCs w:val="20"/>
          <w:lang w:val="es-CR" w:eastAsia="en-US"/>
        </w:rPr>
        <w:t>A</w:t>
      </w:r>
      <w:r w:rsidR="00363B9F" w:rsidRPr="004E74A6">
        <w:rPr>
          <w:rFonts w:ascii="Book Antiqua" w:eastAsia="Calibri" w:hAnsi="Book Antiqua" w:cs="Times New Roman"/>
          <w:b/>
          <w:bCs/>
          <w:szCs w:val="20"/>
          <w:lang w:val="es-CR" w:eastAsia="en-US"/>
        </w:rPr>
        <w:t>pelación</w:t>
      </w:r>
      <w:r w:rsidR="00363B9F" w:rsidRPr="004E74A6">
        <w:rPr>
          <w:rFonts w:ascii="Book Antiqua" w:eastAsia="Calibri" w:hAnsi="Book Antiqua" w:cs="Times New Roman"/>
          <w:szCs w:val="20"/>
          <w:lang w:val="es-CR" w:eastAsia="en-US"/>
        </w:rPr>
        <w:t xml:space="preserve"> competentes en materia civil), </w:t>
      </w:r>
      <w:r w:rsidR="006D7EC0" w:rsidRPr="004E74A6">
        <w:rPr>
          <w:rFonts w:ascii="Book Antiqua" w:eastAsia="Calibri" w:hAnsi="Book Antiqua" w:cs="Times New Roman"/>
          <w:szCs w:val="20"/>
          <w:lang w:val="es-CR" w:eastAsia="en-US"/>
        </w:rPr>
        <w:t>mantendrían la competencia actual</w:t>
      </w:r>
      <w:r w:rsidR="00363B9F" w:rsidRPr="004E74A6">
        <w:rPr>
          <w:rFonts w:ascii="Book Antiqua" w:eastAsia="Calibri" w:hAnsi="Book Antiqua" w:cs="Times New Roman"/>
          <w:szCs w:val="20"/>
          <w:lang w:val="es-CR" w:eastAsia="en-US"/>
        </w:rPr>
        <w:t xml:space="preserve"> apelaciones interlocutorias</w:t>
      </w:r>
      <w:r w:rsidR="00DC4862" w:rsidRPr="004E74A6">
        <w:rPr>
          <w:rFonts w:ascii="Book Antiqua" w:eastAsia="Calibri" w:hAnsi="Book Antiqua" w:cs="Times New Roman"/>
          <w:szCs w:val="20"/>
          <w:lang w:val="es-CR" w:eastAsia="en-US"/>
        </w:rPr>
        <w:t xml:space="preserve"> y</w:t>
      </w:r>
      <w:r w:rsidR="006D7EC0" w:rsidRPr="004E74A6">
        <w:rPr>
          <w:rFonts w:ascii="Book Antiqua" w:eastAsia="Calibri" w:hAnsi="Book Antiqua" w:cs="Times New Roman"/>
          <w:szCs w:val="20"/>
          <w:lang w:val="es-CR" w:eastAsia="en-US"/>
        </w:rPr>
        <w:t xml:space="preserve"> </w:t>
      </w:r>
      <w:r w:rsidR="00363B9F" w:rsidRPr="004E74A6">
        <w:rPr>
          <w:rFonts w:ascii="Book Antiqua" w:eastAsia="Calibri" w:hAnsi="Book Antiqua" w:cs="Times New Roman"/>
          <w:szCs w:val="20"/>
          <w:lang w:val="es-CR" w:eastAsia="en-US"/>
        </w:rPr>
        <w:t>se incrementaría</w:t>
      </w:r>
      <w:r w:rsidRPr="004E74A6">
        <w:rPr>
          <w:rFonts w:ascii="Book Antiqua" w:eastAsia="Calibri" w:hAnsi="Book Antiqua" w:cs="Times New Roman"/>
          <w:szCs w:val="20"/>
          <w:lang w:val="es-CR" w:eastAsia="en-US"/>
        </w:rPr>
        <w:t xml:space="preserve"> la</w:t>
      </w:r>
      <w:r w:rsidR="006D7EC0" w:rsidRPr="004E74A6">
        <w:rPr>
          <w:rFonts w:ascii="Book Antiqua" w:eastAsia="Calibri" w:hAnsi="Book Antiqua" w:cs="Times New Roman"/>
          <w:szCs w:val="20"/>
          <w:lang w:val="es-CR" w:eastAsia="en-US"/>
        </w:rPr>
        <w:t xml:space="preserve"> entrada</w:t>
      </w:r>
      <w:r w:rsidRPr="004E74A6">
        <w:rPr>
          <w:rFonts w:ascii="Book Antiqua" w:eastAsia="Calibri" w:hAnsi="Book Antiqua" w:cs="Times New Roman"/>
          <w:szCs w:val="20"/>
          <w:lang w:val="es-CR" w:eastAsia="en-US"/>
        </w:rPr>
        <w:t xml:space="preserve"> </w:t>
      </w:r>
      <w:r w:rsidR="00363B9F" w:rsidRPr="004E74A6">
        <w:rPr>
          <w:rFonts w:ascii="Book Antiqua" w:eastAsia="Calibri" w:hAnsi="Book Antiqua" w:cs="Times New Roman"/>
          <w:szCs w:val="20"/>
          <w:lang w:val="es-CR" w:eastAsia="en-US"/>
        </w:rPr>
        <w:t xml:space="preserve">de apelaciones </w:t>
      </w:r>
      <w:r w:rsidR="00363B9F" w:rsidRPr="004E74A6">
        <w:rPr>
          <w:rFonts w:ascii="Book Antiqua" w:eastAsia="Calibri" w:hAnsi="Book Antiqua" w:cs="Times New Roman"/>
          <w:b/>
          <w:bCs/>
          <w:szCs w:val="20"/>
          <w:u w:val="single"/>
          <w:lang w:val="es-CR" w:eastAsia="en-US"/>
        </w:rPr>
        <w:t>de sentencia</w:t>
      </w:r>
      <w:r w:rsidR="00363B9F" w:rsidRPr="004E74A6">
        <w:rPr>
          <w:rFonts w:ascii="Book Antiqua" w:eastAsia="Calibri" w:hAnsi="Book Antiqua" w:cs="Times New Roman"/>
          <w:szCs w:val="20"/>
          <w:lang w:val="es-CR" w:eastAsia="en-US"/>
        </w:rPr>
        <w:t xml:space="preserve"> </w:t>
      </w:r>
      <w:r w:rsidR="006D7EC0" w:rsidRPr="004E74A6">
        <w:rPr>
          <w:rFonts w:ascii="Book Antiqua" w:eastAsia="Calibri" w:hAnsi="Book Antiqua" w:cs="Times New Roman"/>
          <w:szCs w:val="20"/>
          <w:lang w:val="es-CR" w:eastAsia="en-US"/>
        </w:rPr>
        <w:t>C</w:t>
      </w:r>
      <w:r w:rsidR="00363B9F" w:rsidRPr="004E74A6">
        <w:rPr>
          <w:rFonts w:ascii="Book Antiqua" w:eastAsia="Calibri" w:hAnsi="Book Antiqua" w:cs="Times New Roman"/>
          <w:szCs w:val="20"/>
          <w:lang w:val="es-CR" w:eastAsia="en-US"/>
        </w:rPr>
        <w:t>ivil</w:t>
      </w:r>
      <w:r w:rsidR="008E1866" w:rsidRPr="004E74A6">
        <w:rPr>
          <w:rFonts w:ascii="Book Antiqua" w:eastAsia="Calibri" w:hAnsi="Book Antiqua" w:cs="Times New Roman"/>
          <w:szCs w:val="20"/>
          <w:lang w:val="es-CR" w:eastAsia="en-US"/>
        </w:rPr>
        <w:t>, Cobratoria y Concursal</w:t>
      </w:r>
      <w:r w:rsidRPr="004E74A6">
        <w:rPr>
          <w:rFonts w:ascii="Book Antiqua" w:eastAsia="Calibri" w:hAnsi="Book Antiqua" w:cs="Times New Roman"/>
          <w:szCs w:val="20"/>
          <w:lang w:val="es-CR" w:eastAsia="en-US"/>
        </w:rPr>
        <w:t>.</w:t>
      </w:r>
      <w:r w:rsidR="007F403F" w:rsidRPr="004E74A6">
        <w:rPr>
          <w:rFonts w:ascii="Book Antiqua" w:eastAsia="Calibri" w:hAnsi="Book Antiqua" w:cs="Times New Roman"/>
          <w:szCs w:val="20"/>
          <w:lang w:val="es-CR" w:eastAsia="en-US"/>
        </w:rPr>
        <w:t xml:space="preserve"> </w:t>
      </w:r>
    </w:p>
    <w:p w14:paraId="3B7AFF6A" w14:textId="78A548A4" w:rsidR="00AB5613" w:rsidRPr="004E74A6" w:rsidRDefault="00AB5613" w:rsidP="00CE62C1">
      <w:pPr>
        <w:spacing w:line="276" w:lineRule="auto"/>
        <w:rPr>
          <w:rFonts w:eastAsia="Calibri"/>
          <w:lang w:eastAsia="en-US"/>
        </w:rPr>
      </w:pPr>
    </w:p>
    <w:p w14:paraId="0220C9F6" w14:textId="791060FE" w:rsidR="00AB5613" w:rsidRPr="004E74A6" w:rsidRDefault="00AB5613" w:rsidP="00CE62C1">
      <w:pPr>
        <w:spacing w:after="160" w:line="276" w:lineRule="auto"/>
        <w:rPr>
          <w:rFonts w:cs="Calibri"/>
          <w:color w:val="000000"/>
          <w:lang w:eastAsia="es-CR"/>
        </w:rPr>
      </w:pPr>
      <w:r w:rsidRPr="004E74A6">
        <w:rPr>
          <w:rFonts w:cs="Calibri"/>
          <w:b/>
          <w:bCs/>
          <w:color w:val="000000"/>
          <w:u w:val="single"/>
          <w:lang w:eastAsia="es-CR"/>
        </w:rPr>
        <w:t>En caso de aprobarse el escenario A.1,</w:t>
      </w:r>
      <w:r w:rsidRPr="004E74A6">
        <w:rPr>
          <w:rFonts w:cs="Calibri"/>
          <w:color w:val="000000"/>
          <w:lang w:eastAsia="es-CR"/>
        </w:rPr>
        <w:t xml:space="preserve"> lo que corresponde a entrada de apelaciones </w:t>
      </w:r>
      <w:r w:rsidR="00DC4862" w:rsidRPr="004E74A6">
        <w:rPr>
          <w:rFonts w:cs="Calibri"/>
          <w:color w:val="000000"/>
          <w:lang w:eastAsia="es-CR"/>
        </w:rPr>
        <w:t>de menor cuantía /</w:t>
      </w:r>
      <w:r w:rsidRPr="004E74A6">
        <w:rPr>
          <w:rFonts w:cs="Calibri"/>
          <w:color w:val="000000"/>
          <w:lang w:eastAsia="es-CR"/>
        </w:rPr>
        <w:t>unipersonales se incrementaría</w:t>
      </w:r>
      <w:r w:rsidR="008E1866" w:rsidRPr="004E74A6">
        <w:rPr>
          <w:rFonts w:cs="Calibri"/>
          <w:color w:val="000000"/>
          <w:lang w:eastAsia="es-CR"/>
        </w:rPr>
        <w:t xml:space="preserve"> tanto en Civil como Cobro</w:t>
      </w:r>
      <w:r w:rsidRPr="004E74A6">
        <w:rPr>
          <w:rFonts w:cs="Calibri"/>
          <w:color w:val="000000"/>
          <w:lang w:eastAsia="es-CR"/>
        </w:rPr>
        <w:t>, pero con los datos actuales no se puede prever el aumento por dependiendo de la estimación, ya que se trata de asuntos que actualmente no tienen apelación</w:t>
      </w:r>
      <w:r w:rsidR="00DC4862" w:rsidRPr="004E74A6">
        <w:rPr>
          <w:rFonts w:cs="Calibri"/>
          <w:color w:val="000000"/>
          <w:lang w:eastAsia="es-CR"/>
        </w:rPr>
        <w:t xml:space="preserve"> por lo siguiente:</w:t>
      </w:r>
      <w:r w:rsidRPr="004E74A6">
        <w:rPr>
          <w:rFonts w:cs="Calibri"/>
          <w:color w:val="000000"/>
          <w:lang w:eastAsia="es-CR"/>
        </w:rPr>
        <w:t xml:space="preserve"> </w:t>
      </w:r>
    </w:p>
    <w:p w14:paraId="3EF092D9" w14:textId="7136D291" w:rsidR="00AB5613" w:rsidRPr="004E74A6" w:rsidRDefault="00AB5613" w:rsidP="00CE62C1">
      <w:pPr>
        <w:spacing w:after="160" w:line="276" w:lineRule="auto"/>
        <w:rPr>
          <w:rFonts w:cs="Calibri"/>
          <w:color w:val="000000"/>
          <w:lang w:eastAsia="es-CR"/>
        </w:rPr>
      </w:pPr>
      <w:r w:rsidRPr="004E74A6">
        <w:rPr>
          <w:rFonts w:cs="Calibri"/>
          <w:color w:val="000000"/>
          <w:lang w:eastAsia="es-CR"/>
        </w:rPr>
        <w:t xml:space="preserve">Actualmente si el proceso principal es de mayor cuantía y el punto apelado lo estiman </w:t>
      </w:r>
      <w:r w:rsidRPr="004E74A6">
        <w:rPr>
          <w:rFonts w:cs="Calibri"/>
          <w:b/>
          <w:bCs/>
          <w:color w:val="000000"/>
          <w:u w:val="single"/>
          <w:lang w:eastAsia="es-CR"/>
        </w:rPr>
        <w:t>como de menor cuantía se rechaza de plano porque carece del recurso según artículo 67.3 párrafo final de la Ley 9342</w:t>
      </w:r>
      <w:r w:rsidRPr="004E74A6">
        <w:rPr>
          <w:rStyle w:val="Refdenotaalpie"/>
          <w:color w:val="000000"/>
          <w:lang w:eastAsia="es-CR"/>
        </w:rPr>
        <w:footnoteReference w:id="41"/>
      </w:r>
      <w:r w:rsidRPr="004E74A6">
        <w:rPr>
          <w:rFonts w:cs="Calibri"/>
          <w:color w:val="000000"/>
          <w:lang w:eastAsia="es-CR"/>
        </w:rPr>
        <w:t>.  Si el proceso principal es de menor cuantía</w:t>
      </w:r>
      <w:r w:rsidR="00DC4862" w:rsidRPr="004E74A6">
        <w:rPr>
          <w:rFonts w:cs="Calibri"/>
          <w:color w:val="000000"/>
          <w:lang w:eastAsia="es-CR"/>
        </w:rPr>
        <w:t xml:space="preserve"> (independientemente de que</w:t>
      </w:r>
      <w:r w:rsidRPr="004E74A6">
        <w:rPr>
          <w:rFonts w:cs="Calibri"/>
          <w:color w:val="000000"/>
          <w:lang w:eastAsia="es-CR"/>
        </w:rPr>
        <w:t xml:space="preserve"> el punto apelado </w:t>
      </w:r>
      <w:r w:rsidR="00DC4862" w:rsidRPr="004E74A6">
        <w:rPr>
          <w:rFonts w:cs="Calibri"/>
          <w:color w:val="000000"/>
          <w:lang w:eastAsia="es-CR"/>
        </w:rPr>
        <w:t>sea</w:t>
      </w:r>
      <w:r w:rsidRPr="004E74A6">
        <w:rPr>
          <w:rFonts w:cs="Calibri"/>
          <w:color w:val="000000"/>
          <w:lang w:eastAsia="es-CR"/>
        </w:rPr>
        <w:t xml:space="preserve"> de menor o de mayor cuantía</w:t>
      </w:r>
      <w:r w:rsidR="00DC4862" w:rsidRPr="004E74A6">
        <w:rPr>
          <w:rFonts w:cs="Calibri"/>
          <w:color w:val="000000"/>
          <w:lang w:eastAsia="es-CR"/>
        </w:rPr>
        <w:t>)</w:t>
      </w:r>
      <w:r w:rsidRPr="004E74A6">
        <w:rPr>
          <w:rFonts w:cs="Calibri"/>
          <w:color w:val="000000"/>
          <w:lang w:eastAsia="es-CR"/>
        </w:rPr>
        <w:t xml:space="preserve"> se </w:t>
      </w:r>
      <w:r w:rsidR="00DC4862" w:rsidRPr="004E74A6">
        <w:rPr>
          <w:rFonts w:cs="Calibri"/>
          <w:color w:val="000000"/>
          <w:lang w:eastAsia="es-CR"/>
        </w:rPr>
        <w:t>admite</w:t>
      </w:r>
      <w:r w:rsidRPr="004E74A6">
        <w:rPr>
          <w:rFonts w:cs="Calibri"/>
          <w:color w:val="000000"/>
          <w:lang w:eastAsia="es-CR"/>
        </w:rPr>
        <w:t xml:space="preserve"> el recurso por lo que aquí habría variación respecto a la competencia actual en los siguientes puntos: </w:t>
      </w:r>
    </w:p>
    <w:p w14:paraId="2E3E5651" w14:textId="77777777" w:rsidR="00AB5613" w:rsidRPr="00832773" w:rsidRDefault="00AB5613" w:rsidP="00CE62C1">
      <w:pPr>
        <w:pStyle w:val="Prrafodelista"/>
        <w:numPr>
          <w:ilvl w:val="0"/>
          <w:numId w:val="35"/>
        </w:numPr>
        <w:spacing w:after="160" w:line="276" w:lineRule="auto"/>
        <w:rPr>
          <w:rFonts w:ascii="Book Antiqua" w:hAnsi="Book Antiqua" w:cs="Calibri"/>
          <w:color w:val="000000"/>
          <w:lang w:val="es-CR" w:eastAsia="es-CR"/>
        </w:rPr>
      </w:pPr>
      <w:r w:rsidRPr="00832773">
        <w:rPr>
          <w:rFonts w:ascii="Book Antiqua" w:hAnsi="Book Antiqua" w:cs="Calibri"/>
          <w:color w:val="000000"/>
          <w:lang w:val="es-CR" w:eastAsia="es-CR"/>
        </w:rPr>
        <w:t>Forma de integración, si la apelación es de menor se resuelve en el Tribunal de Apelación de forma unipersonal y si se estimó como de mayor cuantía lo resuelven colegiado</w:t>
      </w:r>
      <w:r w:rsidRPr="00832773">
        <w:rPr>
          <w:rStyle w:val="Refdenotaalpie"/>
          <w:rFonts w:ascii="Book Antiqua" w:hAnsi="Book Antiqua"/>
          <w:color w:val="000000"/>
          <w:lang w:val="es-CR" w:eastAsia="es-CR"/>
        </w:rPr>
        <w:footnoteReference w:id="42"/>
      </w:r>
      <w:r w:rsidRPr="00832773">
        <w:rPr>
          <w:rFonts w:ascii="Book Antiqua" w:hAnsi="Book Antiqua" w:cs="Calibri"/>
          <w:color w:val="000000"/>
          <w:lang w:val="es-CR" w:eastAsia="es-CR"/>
        </w:rPr>
        <w:t>; es decir, aumentarían las integraciones unipersonales en el rango de ¢1 a la cantidad de millones que fije Corte Plena</w:t>
      </w:r>
      <w:r w:rsidRPr="00832773">
        <w:rPr>
          <w:rStyle w:val="Refdenotaalpie"/>
          <w:rFonts w:ascii="Book Antiqua" w:hAnsi="Book Antiqua"/>
          <w:color w:val="000000"/>
          <w:lang w:val="es-CR" w:eastAsia="es-CR"/>
        </w:rPr>
        <w:footnoteReference w:id="43"/>
      </w:r>
      <w:r w:rsidRPr="00832773">
        <w:rPr>
          <w:rFonts w:ascii="Book Antiqua" w:hAnsi="Book Antiqua" w:cs="Calibri"/>
          <w:color w:val="000000"/>
          <w:lang w:val="es-CR" w:eastAsia="es-CR"/>
        </w:rPr>
        <w:t xml:space="preserve">. </w:t>
      </w:r>
    </w:p>
    <w:p w14:paraId="288236D9" w14:textId="77777777" w:rsidR="00AB5613" w:rsidRPr="00832773" w:rsidRDefault="00AB5613" w:rsidP="00CE62C1">
      <w:pPr>
        <w:pStyle w:val="Prrafodelista"/>
        <w:numPr>
          <w:ilvl w:val="0"/>
          <w:numId w:val="35"/>
        </w:numPr>
        <w:spacing w:after="160" w:line="276" w:lineRule="auto"/>
        <w:rPr>
          <w:rFonts w:ascii="Book Antiqua" w:hAnsi="Book Antiqua" w:cs="Calibri"/>
          <w:color w:val="000000"/>
          <w:lang w:val="es-CR" w:eastAsia="es-CR"/>
        </w:rPr>
      </w:pPr>
      <w:r w:rsidRPr="00832773">
        <w:rPr>
          <w:rFonts w:ascii="Book Antiqua" w:hAnsi="Book Antiqua" w:cs="Calibri"/>
          <w:color w:val="000000"/>
          <w:lang w:val="es-CR" w:eastAsia="es-CR"/>
        </w:rPr>
        <w:t>Eventual incremento en la cantidad de apelaciones, al incrementarse el límite de la cuantía, existiría una mayor cantidad de asuntos clasificados como de “</w:t>
      </w:r>
      <w:r w:rsidRPr="00832773">
        <w:rPr>
          <w:rFonts w:ascii="Book Antiqua" w:hAnsi="Book Antiqua" w:cs="Calibri"/>
          <w:i/>
          <w:iCs/>
          <w:color w:val="000000"/>
          <w:lang w:val="es-CR" w:eastAsia="es-CR"/>
        </w:rPr>
        <w:t>menor cuantía</w:t>
      </w:r>
      <w:r w:rsidRPr="00832773">
        <w:rPr>
          <w:rFonts w:ascii="Book Antiqua" w:hAnsi="Book Antiqua" w:cs="Calibri"/>
          <w:color w:val="000000"/>
          <w:lang w:val="es-CR" w:eastAsia="es-CR"/>
        </w:rPr>
        <w:t>” con respecto a la actualidad.</w:t>
      </w:r>
    </w:p>
    <w:p w14:paraId="5B5B0659" w14:textId="4E0F6909" w:rsidR="00AB5613" w:rsidRPr="004E74A6" w:rsidRDefault="00AB5613" w:rsidP="00CE62C1">
      <w:pPr>
        <w:spacing w:line="276" w:lineRule="auto"/>
        <w:rPr>
          <w:rFonts w:eastAsia="Calibri"/>
          <w:lang w:eastAsia="en-US"/>
        </w:rPr>
      </w:pPr>
    </w:p>
    <w:p w14:paraId="7B7F48B9" w14:textId="4D13C034" w:rsidR="00426EE4" w:rsidRDefault="00426EE4" w:rsidP="00CE62C1">
      <w:pPr>
        <w:spacing w:line="276" w:lineRule="auto"/>
        <w:rPr>
          <w:rFonts w:eastAsia="Calibri"/>
          <w:lang w:eastAsia="en-US"/>
        </w:rPr>
      </w:pPr>
      <w:r w:rsidRPr="004E74A6">
        <w:rPr>
          <w:rFonts w:eastAsia="Calibri"/>
          <w:lang w:eastAsia="en-US"/>
        </w:rPr>
        <w:lastRenderedPageBreak/>
        <w:t>No se logr</w:t>
      </w:r>
      <w:r w:rsidR="00801505" w:rsidRPr="004E74A6">
        <w:rPr>
          <w:rFonts w:eastAsia="Calibri"/>
          <w:lang w:eastAsia="en-US"/>
        </w:rPr>
        <w:t>ó</w:t>
      </w:r>
      <w:r w:rsidRPr="004E74A6">
        <w:rPr>
          <w:rFonts w:eastAsia="Calibri"/>
          <w:lang w:eastAsia="en-US"/>
        </w:rPr>
        <w:t xml:space="preserve"> estimar el promedio de ingreso adicional que tendrían, porque en este momento no se cuenta con el detalle de la entrada por cuantía de estos asuntos a nivel de Tribunal Colegiado, la carpeta RR hala la información que incluya en el sistema el juzgado civil, en su mayoría indicaron no aplica- </w:t>
      </w:r>
      <w:r w:rsidRPr="004E74A6">
        <w:rPr>
          <w:rFonts w:eastAsia="Calibri"/>
          <w:b/>
          <w:bCs/>
          <w:i/>
          <w:iCs/>
          <w:lang w:eastAsia="en-US"/>
        </w:rPr>
        <w:t>ver tabla 52.</w:t>
      </w:r>
      <w:r w:rsidRPr="004E74A6">
        <w:rPr>
          <w:rFonts w:eastAsia="Calibri"/>
          <w:lang w:eastAsia="en-US"/>
        </w:rPr>
        <w:t xml:space="preserve"> Pero sería igual a la cantidad de apelaciones contra las sentencias dictadas en esos </w:t>
      </w:r>
      <w:r w:rsidR="00AB5613" w:rsidRPr="004E74A6">
        <w:rPr>
          <w:rFonts w:eastAsia="Calibri"/>
          <w:lang w:eastAsia="en-US"/>
        </w:rPr>
        <w:t>153</w:t>
      </w:r>
      <w:r w:rsidRPr="004E74A6">
        <w:rPr>
          <w:rFonts w:eastAsia="Calibri"/>
          <w:lang w:eastAsia="en-US"/>
        </w:rPr>
        <w:t xml:space="preserve"> asuntos que eventualmente según el escenario A dejarían de te</w:t>
      </w:r>
      <w:r w:rsidR="005F3CAA" w:rsidRPr="004E74A6">
        <w:rPr>
          <w:rFonts w:eastAsia="Calibri"/>
          <w:lang w:eastAsia="en-US"/>
        </w:rPr>
        <w:t>ner</w:t>
      </w:r>
      <w:r w:rsidRPr="004E74A6">
        <w:rPr>
          <w:rFonts w:eastAsia="Calibri"/>
          <w:lang w:eastAsia="en-US"/>
        </w:rPr>
        <w:t xml:space="preserve"> recurso de casación ante la </w:t>
      </w:r>
      <w:r w:rsidR="006D7EC0" w:rsidRPr="004E74A6">
        <w:rPr>
          <w:rFonts w:eastAsia="Calibri"/>
          <w:lang w:eastAsia="en-US"/>
        </w:rPr>
        <w:t>S</w:t>
      </w:r>
      <w:r w:rsidRPr="004E74A6">
        <w:rPr>
          <w:rFonts w:eastAsia="Calibri"/>
          <w:lang w:eastAsia="en-US"/>
        </w:rPr>
        <w:t xml:space="preserve">ala </w:t>
      </w:r>
      <w:r w:rsidR="006D7EC0" w:rsidRPr="004E74A6">
        <w:rPr>
          <w:rFonts w:eastAsia="Calibri"/>
          <w:lang w:eastAsia="en-US"/>
        </w:rPr>
        <w:t xml:space="preserve">Primera </w:t>
      </w:r>
      <w:r w:rsidRPr="004E74A6">
        <w:rPr>
          <w:rFonts w:eastAsia="Calibri"/>
          <w:lang w:eastAsia="en-US"/>
        </w:rPr>
        <w:t>para tener únicamente apelación ante estos Tribunales</w:t>
      </w:r>
      <w:r w:rsidR="009365E0" w:rsidRPr="004E74A6">
        <w:rPr>
          <w:rFonts w:eastAsia="Calibri"/>
          <w:lang w:eastAsia="en-US"/>
        </w:rPr>
        <w:t xml:space="preserve"> más las apelaciones que se presenten en contra de las sentencias que dicten los Juzgados a partir del incremento en la entrada de 506 asuntos al año a nivel nacional eventualmente</w:t>
      </w:r>
      <w:r w:rsidR="00AB5613" w:rsidRPr="004E74A6">
        <w:rPr>
          <w:rFonts w:eastAsia="Calibri"/>
          <w:lang w:eastAsia="en-US"/>
        </w:rPr>
        <w:t>.</w:t>
      </w:r>
    </w:p>
    <w:p w14:paraId="0630B1C6" w14:textId="77777777" w:rsidR="007D02E1" w:rsidRPr="004E74A6" w:rsidRDefault="007D02E1" w:rsidP="00CE62C1">
      <w:pPr>
        <w:spacing w:line="276" w:lineRule="auto"/>
        <w:rPr>
          <w:rFonts w:eastAsia="Calibri"/>
          <w:lang w:eastAsia="en-US"/>
        </w:rPr>
      </w:pPr>
    </w:p>
    <w:p w14:paraId="2F97ED1E" w14:textId="45462BCA" w:rsidR="008E1866" w:rsidRPr="004E74A6" w:rsidRDefault="008E1866" w:rsidP="00CE62C1">
      <w:pPr>
        <w:spacing w:line="276" w:lineRule="auto"/>
        <w:rPr>
          <w:rFonts w:eastAsia="Calibri"/>
          <w:lang w:eastAsia="en-US"/>
        </w:rPr>
      </w:pPr>
      <w:r w:rsidRPr="004E74A6">
        <w:rPr>
          <w:rFonts w:eastAsia="Calibri"/>
          <w:lang w:eastAsia="en-US"/>
        </w:rPr>
        <w:t xml:space="preserve">Respecto a la distribución de recursos en materia concursal, entre el Tribunal Segundo de Apelación Civil y la Sala Segunda, la modificación sería mínima, ya que por año en promedio solo se presentan 2 recursos de casación concursales en </w:t>
      </w:r>
      <w:r w:rsidR="00CC283B" w:rsidRPr="004E74A6">
        <w:rPr>
          <w:rFonts w:eastAsia="Calibri"/>
          <w:lang w:eastAsia="en-US"/>
        </w:rPr>
        <w:t>S</w:t>
      </w:r>
      <w:r w:rsidRPr="004E74A6">
        <w:rPr>
          <w:rFonts w:eastAsia="Calibri"/>
          <w:lang w:eastAsia="en-US"/>
        </w:rPr>
        <w:t>ala segunda y los cambios, solo sería en las apelaciones dispuestas por los artículos 57 y 58 de la Ley Concursal. El detalle se explicó en el apartado “</w:t>
      </w:r>
      <w:r w:rsidRPr="00832773">
        <w:rPr>
          <w:rFonts w:eastAsia="Calibri"/>
          <w:i/>
          <w:iCs/>
          <w:lang w:eastAsia="en-US"/>
        </w:rPr>
        <w:t>6. Impacto de un cambio de cuantía Civil en Sala Segunda”</w:t>
      </w:r>
      <w:r w:rsidRPr="004E74A6">
        <w:rPr>
          <w:rFonts w:eastAsia="Calibri"/>
          <w:lang w:eastAsia="en-US"/>
        </w:rPr>
        <w:t xml:space="preserve"> de este informe.  </w:t>
      </w:r>
    </w:p>
    <w:p w14:paraId="11E6DA63" w14:textId="77777777" w:rsidR="008E1866" w:rsidRPr="004E74A6" w:rsidRDefault="008E1866" w:rsidP="00CE62C1">
      <w:pPr>
        <w:spacing w:line="276" w:lineRule="auto"/>
        <w:rPr>
          <w:rFonts w:eastAsia="Calibri"/>
          <w:lang w:eastAsia="en-US"/>
        </w:rPr>
      </w:pPr>
    </w:p>
    <w:p w14:paraId="0866D425" w14:textId="1F86D004" w:rsidR="00131876" w:rsidRPr="004E74A6" w:rsidRDefault="008E1866" w:rsidP="00CE62C1">
      <w:pPr>
        <w:spacing w:line="276" w:lineRule="auto"/>
        <w:rPr>
          <w:rFonts w:eastAsia="Calibri"/>
          <w:lang w:eastAsia="en-US"/>
        </w:rPr>
      </w:pPr>
      <w:r w:rsidRPr="004E74A6">
        <w:rPr>
          <w:rFonts w:eastAsia="Calibri"/>
          <w:lang w:eastAsia="en-US"/>
        </w:rPr>
        <w:t xml:space="preserve"> </w:t>
      </w:r>
    </w:p>
    <w:p w14:paraId="1D885658" w14:textId="09C1657C" w:rsidR="00554395" w:rsidRPr="004E74A6" w:rsidRDefault="00554395" w:rsidP="00832773">
      <w:pPr>
        <w:pStyle w:val="Prrafodelista"/>
        <w:numPr>
          <w:ilvl w:val="2"/>
          <w:numId w:val="62"/>
        </w:numPr>
        <w:spacing w:line="276" w:lineRule="auto"/>
        <w:rPr>
          <w:rFonts w:ascii="Book Antiqua" w:eastAsia="Calibri" w:hAnsi="Book Antiqua" w:cs="Times New Roman"/>
          <w:szCs w:val="20"/>
          <w:lang w:val="es-CR" w:eastAsia="en-US"/>
        </w:rPr>
      </w:pPr>
      <w:r w:rsidRPr="004E74A6">
        <w:rPr>
          <w:rFonts w:ascii="Book Antiqua" w:eastAsia="Calibri" w:hAnsi="Book Antiqua" w:cs="Times New Roman"/>
          <w:szCs w:val="20"/>
          <w:lang w:val="es-CR" w:eastAsia="en-US"/>
        </w:rPr>
        <w:t xml:space="preserve">En caso de aprobarse el escenario A en cualquiera de las versiones, B o D se presentaría una disminución en la carga laboral de la Sala Primera. </w:t>
      </w:r>
    </w:p>
    <w:p w14:paraId="674BC174" w14:textId="77777777" w:rsidR="00554395" w:rsidRPr="00832773" w:rsidRDefault="00554395" w:rsidP="00CE62C1">
      <w:pPr>
        <w:pStyle w:val="Prrafodelista"/>
        <w:spacing w:line="276" w:lineRule="auto"/>
        <w:ind w:left="720"/>
        <w:rPr>
          <w:rFonts w:ascii="Book Antiqua" w:eastAsia="Calibri" w:hAnsi="Book Antiqua"/>
          <w:lang w:val="es-CR" w:eastAsia="en-US"/>
        </w:rPr>
      </w:pPr>
    </w:p>
    <w:p w14:paraId="1407A1D9" w14:textId="67844006" w:rsidR="00706676" w:rsidRPr="004E74A6" w:rsidRDefault="00554395" w:rsidP="00CE62C1">
      <w:pPr>
        <w:spacing w:line="276" w:lineRule="auto"/>
        <w:rPr>
          <w:rFonts w:eastAsia="Calibri"/>
          <w:lang w:eastAsia="en-US"/>
        </w:rPr>
      </w:pPr>
      <w:r w:rsidRPr="004E74A6">
        <w:rPr>
          <w:rFonts w:eastAsia="Calibri"/>
          <w:lang w:eastAsia="en-US"/>
        </w:rPr>
        <w:t xml:space="preserve">De fijarse la cuantía según criterio experto (escenario A), </w:t>
      </w:r>
      <w:r w:rsidR="00660139" w:rsidRPr="004E74A6">
        <w:rPr>
          <w:rFonts w:eastAsia="Calibri"/>
          <w:lang w:eastAsia="en-US"/>
        </w:rPr>
        <w:t xml:space="preserve">cualquiera de las versiones </w:t>
      </w:r>
      <w:r w:rsidR="00660139" w:rsidRPr="004E74A6">
        <w:rPr>
          <w:rFonts w:eastAsia="Calibri"/>
          <w:b/>
          <w:bCs/>
          <w:lang w:eastAsia="en-US"/>
        </w:rPr>
        <w:t>sería de aproximadamente 153 casaciones civiles</w:t>
      </w:r>
      <w:r w:rsidRPr="004E74A6">
        <w:rPr>
          <w:rFonts w:eastAsia="Calibri"/>
          <w:b/>
          <w:bCs/>
          <w:lang w:eastAsia="en-US"/>
        </w:rPr>
        <w:t xml:space="preserve"> anualmente</w:t>
      </w:r>
      <w:r w:rsidR="00660139" w:rsidRPr="004E74A6">
        <w:rPr>
          <w:rFonts w:eastAsia="Calibri"/>
          <w:b/>
          <w:bCs/>
          <w:lang w:eastAsia="en-US"/>
        </w:rPr>
        <w:t>, lo que presenta una disminución con respecto a la entrada actual de un 43%</w:t>
      </w:r>
      <w:r w:rsidR="0013509D" w:rsidRPr="004E74A6">
        <w:rPr>
          <w:rStyle w:val="Refdenotaalpie"/>
          <w:rFonts w:eastAsia="Calibri"/>
          <w:b/>
          <w:bCs/>
          <w:lang w:eastAsia="en-US"/>
        </w:rPr>
        <w:footnoteReference w:id="44"/>
      </w:r>
      <w:r w:rsidR="00660139" w:rsidRPr="004E74A6">
        <w:rPr>
          <w:rFonts w:eastAsia="Calibri"/>
          <w:b/>
          <w:bCs/>
          <w:lang w:eastAsia="en-US"/>
        </w:rPr>
        <w:t>.</w:t>
      </w:r>
      <w:r w:rsidR="00660139" w:rsidRPr="004E74A6">
        <w:rPr>
          <w:rFonts w:eastAsia="Calibri"/>
          <w:lang w:eastAsia="en-US"/>
        </w:rPr>
        <w:t xml:space="preserve"> </w:t>
      </w:r>
    </w:p>
    <w:p w14:paraId="579906FC" w14:textId="77777777" w:rsidR="008E1866" w:rsidRPr="004E74A6" w:rsidRDefault="008E1866" w:rsidP="00CE62C1">
      <w:pPr>
        <w:spacing w:line="276" w:lineRule="auto"/>
        <w:rPr>
          <w:rFonts w:eastAsia="Calibri"/>
          <w:lang w:eastAsia="en-US"/>
        </w:rPr>
      </w:pPr>
    </w:p>
    <w:p w14:paraId="3D3B38A5" w14:textId="6138801D" w:rsidR="008E1866" w:rsidRPr="004E74A6" w:rsidRDefault="008E1866" w:rsidP="00832773">
      <w:pPr>
        <w:pStyle w:val="Prrafodelista"/>
        <w:numPr>
          <w:ilvl w:val="2"/>
          <w:numId w:val="62"/>
        </w:numPr>
        <w:spacing w:line="276" w:lineRule="auto"/>
        <w:rPr>
          <w:rFonts w:ascii="Book Antiqua" w:eastAsia="Calibri" w:hAnsi="Book Antiqua" w:cs="Times New Roman"/>
          <w:szCs w:val="20"/>
          <w:lang w:val="es-CR" w:eastAsia="en-US"/>
        </w:rPr>
      </w:pPr>
      <w:r w:rsidRPr="004E74A6">
        <w:rPr>
          <w:rFonts w:ascii="Book Antiqua" w:eastAsia="Calibri" w:hAnsi="Book Antiqua" w:cs="Times New Roman"/>
          <w:szCs w:val="20"/>
          <w:lang w:val="es-CR" w:eastAsia="en-US"/>
        </w:rPr>
        <w:t>En caso de aprobarse el escenario A en cualquiera de las versiones, B o D se presentaría una disminución en la carga laboral de la Sala Segunda, en las apelaciones concursales.  No se dispone de la proyección exacta, pero no serían más de 2 casaciones al año.</w:t>
      </w:r>
    </w:p>
    <w:p w14:paraId="5BD39CA4" w14:textId="77777777" w:rsidR="008E1866" w:rsidRPr="0071480A" w:rsidRDefault="008E1866" w:rsidP="00CE62C1">
      <w:pPr>
        <w:spacing w:line="276" w:lineRule="auto"/>
        <w:rPr>
          <w:rFonts w:eastAsia="Calibri"/>
          <w:lang w:eastAsia="en-US"/>
        </w:rPr>
      </w:pPr>
    </w:p>
    <w:p w14:paraId="4752D9C9" w14:textId="77777777" w:rsidR="00AD165E" w:rsidRPr="0071480A" w:rsidRDefault="00AD165E" w:rsidP="00CE62C1">
      <w:pPr>
        <w:spacing w:line="276" w:lineRule="auto"/>
        <w:rPr>
          <w:rFonts w:eastAsia="Calibri"/>
          <w:lang w:eastAsia="en-US"/>
        </w:rPr>
      </w:pPr>
    </w:p>
    <w:p w14:paraId="666AAAC3" w14:textId="4250DCC2" w:rsidR="00DC27EF" w:rsidRPr="00832773" w:rsidRDefault="00801505" w:rsidP="00832773">
      <w:pPr>
        <w:pStyle w:val="Prrafodelista"/>
        <w:numPr>
          <w:ilvl w:val="1"/>
          <w:numId w:val="62"/>
        </w:numPr>
        <w:spacing w:after="160" w:line="276" w:lineRule="auto"/>
        <w:ind w:left="567" w:hanging="502"/>
        <w:contextualSpacing/>
        <w:rPr>
          <w:rFonts w:cs="Calibri"/>
          <w:color w:val="000000"/>
          <w:lang w:eastAsia="es-CR"/>
        </w:rPr>
      </w:pPr>
      <w:r w:rsidRPr="00832773">
        <w:rPr>
          <w:rFonts w:ascii="Book Antiqua" w:eastAsia="Calibri" w:hAnsi="Book Antiqua"/>
          <w:lang w:eastAsia="en-US"/>
        </w:rPr>
        <w:lastRenderedPageBreak/>
        <w:t>Adicionalmente, a los efectos citados en el punto anterior,</w:t>
      </w:r>
      <w:r w:rsidR="00AC41FF" w:rsidRPr="00832773">
        <w:rPr>
          <w:rFonts w:ascii="Book Antiqua" w:eastAsia="Calibri" w:hAnsi="Book Antiqua"/>
          <w:lang w:eastAsia="en-US"/>
        </w:rPr>
        <w:t xml:space="preserve"> se analizó la entrada específicamente </w:t>
      </w:r>
      <w:r w:rsidR="00AC41FF" w:rsidRPr="00832773">
        <w:rPr>
          <w:rFonts w:ascii="Book Antiqua" w:eastAsia="Calibri" w:hAnsi="Book Antiqua"/>
          <w:b/>
          <w:bCs/>
          <w:lang w:eastAsia="en-US"/>
        </w:rPr>
        <w:t>de incidentes procesales</w:t>
      </w:r>
      <w:r w:rsidR="00AC41FF" w:rsidRPr="00832773">
        <w:rPr>
          <w:rFonts w:ascii="Book Antiqua" w:eastAsia="Calibri" w:hAnsi="Book Antiqua"/>
          <w:lang w:eastAsia="en-US"/>
        </w:rPr>
        <w:t xml:space="preserve"> </w:t>
      </w:r>
      <w:r w:rsidR="00AC41FF" w:rsidRPr="00832773">
        <w:rPr>
          <w:rFonts w:ascii="Book Antiqua" w:eastAsia="Calibri" w:hAnsi="Book Antiqua"/>
          <w:b/>
          <w:bCs/>
          <w:lang w:eastAsia="en-US"/>
        </w:rPr>
        <w:t>en apelación</w:t>
      </w:r>
      <w:r w:rsidR="00AC41FF" w:rsidRPr="00832773">
        <w:rPr>
          <w:rFonts w:ascii="Book Antiqua" w:eastAsia="Calibri" w:hAnsi="Book Antiqua"/>
          <w:lang w:eastAsia="en-US"/>
        </w:rPr>
        <w:t xml:space="preserve"> en segunda </w:t>
      </w:r>
      <w:r w:rsidR="00DC27EF" w:rsidRPr="00832773">
        <w:rPr>
          <w:rFonts w:ascii="Book Antiqua" w:eastAsia="Calibri" w:hAnsi="Book Antiqua"/>
          <w:lang w:eastAsia="en-US"/>
        </w:rPr>
        <w:t>instancia donde si</w:t>
      </w:r>
      <w:r w:rsidR="00DC27EF" w:rsidRPr="00832773">
        <w:rPr>
          <w:rFonts w:ascii="Book Antiqua" w:hAnsi="Book Antiqua" w:cs="Calibri"/>
          <w:color w:val="000000"/>
          <w:lang w:eastAsia="es-CR"/>
        </w:rPr>
        <w:t xml:space="preserve"> el proceso principal es de mayor cuantía y el incidente</w:t>
      </w:r>
      <w:r w:rsidR="001872A7" w:rsidRPr="00832773">
        <w:rPr>
          <w:rFonts w:ascii="Book Antiqua" w:hAnsi="Book Antiqua" w:cs="Calibri"/>
          <w:color w:val="000000"/>
          <w:lang w:eastAsia="es-CR"/>
        </w:rPr>
        <w:t xml:space="preserve"> u otros aspectos</w:t>
      </w:r>
      <w:r w:rsidR="00DC27EF" w:rsidRPr="00832773">
        <w:rPr>
          <w:rFonts w:ascii="Book Antiqua" w:hAnsi="Book Antiqua" w:cs="Calibri"/>
          <w:color w:val="000000"/>
          <w:lang w:eastAsia="es-CR"/>
        </w:rPr>
        <w:t xml:space="preserve"> </w:t>
      </w:r>
      <w:r w:rsidR="00DD50C9" w:rsidRPr="00832773">
        <w:rPr>
          <w:rFonts w:ascii="Book Antiqua" w:hAnsi="Book Antiqua" w:cs="Calibri"/>
          <w:color w:val="000000"/>
          <w:lang w:eastAsia="es-CR"/>
        </w:rPr>
        <w:t>no exced</w:t>
      </w:r>
      <w:r w:rsidR="00D81521" w:rsidRPr="00832773">
        <w:rPr>
          <w:rFonts w:ascii="Book Antiqua" w:hAnsi="Book Antiqua" w:cs="Calibri"/>
          <w:color w:val="000000"/>
          <w:lang w:eastAsia="es-CR"/>
        </w:rPr>
        <w:t>e</w:t>
      </w:r>
      <w:r w:rsidR="00DD50C9" w:rsidRPr="00832773">
        <w:rPr>
          <w:rFonts w:ascii="Book Antiqua" w:hAnsi="Book Antiqua" w:cs="Calibri"/>
          <w:color w:val="000000"/>
          <w:lang w:eastAsia="es-CR"/>
        </w:rPr>
        <w:t>n la suma prevista para menor cuantía</w:t>
      </w:r>
      <w:r w:rsidR="00D81521" w:rsidRPr="00832773">
        <w:rPr>
          <w:rFonts w:ascii="Book Antiqua" w:hAnsi="Book Antiqua" w:cs="Calibri"/>
          <w:b/>
          <w:bCs/>
          <w:color w:val="000000"/>
          <w:u w:val="single"/>
          <w:lang w:eastAsia="es-CR"/>
        </w:rPr>
        <w:t xml:space="preserve">, el incidente </w:t>
      </w:r>
      <w:r w:rsidR="00DC27EF" w:rsidRPr="00832773">
        <w:rPr>
          <w:rFonts w:ascii="Book Antiqua" w:hAnsi="Book Antiqua" w:cs="Calibri"/>
          <w:b/>
          <w:bCs/>
          <w:color w:val="000000"/>
          <w:u w:val="single"/>
          <w:lang w:eastAsia="es-CR"/>
        </w:rPr>
        <w:t>se rechaza de plano porque carece del recurso según artículo 67.3 párrafo final de la Ley 9342</w:t>
      </w:r>
      <w:r w:rsidR="00DC27EF" w:rsidRPr="00832773">
        <w:rPr>
          <w:rStyle w:val="Refdenotaalpie"/>
          <w:rFonts w:ascii="Book Antiqua" w:hAnsi="Book Antiqua"/>
          <w:color w:val="000000"/>
          <w:lang w:eastAsia="es-CR"/>
        </w:rPr>
        <w:footnoteReference w:id="45"/>
      </w:r>
      <w:r w:rsidR="00DC27EF" w:rsidRPr="00832773">
        <w:rPr>
          <w:rFonts w:ascii="Book Antiqua" w:hAnsi="Book Antiqua" w:cs="Calibri"/>
          <w:color w:val="000000"/>
          <w:lang w:eastAsia="es-CR"/>
        </w:rPr>
        <w:t>.  Si el proceso principal es de menor cuantía, el incidente</w:t>
      </w:r>
      <w:r w:rsidR="001872A7" w:rsidRPr="00832773">
        <w:rPr>
          <w:rFonts w:ascii="Book Antiqua" w:hAnsi="Book Antiqua" w:cs="Calibri"/>
          <w:color w:val="000000"/>
          <w:lang w:eastAsia="es-CR"/>
        </w:rPr>
        <w:t xml:space="preserve"> u otros aspectos</w:t>
      </w:r>
      <w:r w:rsidR="00DC27EF" w:rsidRPr="00832773">
        <w:rPr>
          <w:rFonts w:ascii="Book Antiqua" w:hAnsi="Book Antiqua" w:cs="Calibri"/>
          <w:color w:val="000000"/>
          <w:lang w:eastAsia="es-CR"/>
        </w:rPr>
        <w:t xml:space="preserve"> sea</w:t>
      </w:r>
      <w:r w:rsidR="002C1FFC" w:rsidRPr="00832773">
        <w:rPr>
          <w:rFonts w:ascii="Book Antiqua" w:hAnsi="Book Antiqua" w:cs="Calibri"/>
          <w:color w:val="000000"/>
          <w:lang w:eastAsia="es-CR"/>
        </w:rPr>
        <w:t>n</w:t>
      </w:r>
      <w:r w:rsidR="00DC27EF" w:rsidRPr="00832773">
        <w:rPr>
          <w:rFonts w:ascii="Book Antiqua" w:hAnsi="Book Antiqua" w:cs="Calibri"/>
          <w:color w:val="000000"/>
          <w:lang w:eastAsia="es-CR"/>
        </w:rPr>
        <w:t xml:space="preserve"> de menor o de mayor cuantía se admite el recurso por lo que aquí no habría variación respecto a la competencia actual, salvo en la integración, porque si el incidente </w:t>
      </w:r>
      <w:r w:rsidR="001872A7" w:rsidRPr="00832773">
        <w:rPr>
          <w:rFonts w:ascii="Book Antiqua" w:hAnsi="Book Antiqua" w:cs="Calibri"/>
          <w:color w:val="000000"/>
          <w:lang w:eastAsia="es-CR"/>
        </w:rPr>
        <w:t>u otros aspectos son</w:t>
      </w:r>
      <w:r w:rsidR="00DC27EF" w:rsidRPr="00832773">
        <w:rPr>
          <w:rFonts w:ascii="Book Antiqua" w:hAnsi="Book Antiqua" w:cs="Calibri"/>
          <w:color w:val="000000"/>
          <w:lang w:eastAsia="es-CR"/>
        </w:rPr>
        <w:t xml:space="preserve"> de menor se resuelve en el Tribunal de Apelación de forma unipersonal y si el incidente </w:t>
      </w:r>
      <w:r w:rsidR="001872A7" w:rsidRPr="00832773">
        <w:rPr>
          <w:rFonts w:ascii="Book Antiqua" w:hAnsi="Book Antiqua" w:cs="Calibri"/>
          <w:color w:val="000000"/>
          <w:lang w:eastAsia="es-CR"/>
        </w:rPr>
        <w:t xml:space="preserve">u otros aspectos </w:t>
      </w:r>
      <w:r w:rsidR="00DC27EF" w:rsidRPr="00832773">
        <w:rPr>
          <w:rFonts w:ascii="Book Antiqua" w:hAnsi="Book Antiqua" w:cs="Calibri"/>
          <w:color w:val="000000"/>
          <w:lang w:eastAsia="es-CR"/>
        </w:rPr>
        <w:t>se estim</w:t>
      </w:r>
      <w:r w:rsidR="002C1FFC" w:rsidRPr="00832773">
        <w:rPr>
          <w:rFonts w:ascii="Book Antiqua" w:hAnsi="Book Antiqua" w:cs="Calibri"/>
          <w:color w:val="000000"/>
          <w:lang w:eastAsia="es-CR"/>
        </w:rPr>
        <w:t>aron</w:t>
      </w:r>
      <w:r w:rsidR="00DC27EF" w:rsidRPr="00832773">
        <w:rPr>
          <w:rFonts w:ascii="Book Antiqua" w:hAnsi="Book Antiqua" w:cs="Calibri"/>
          <w:color w:val="000000"/>
          <w:lang w:eastAsia="es-CR"/>
        </w:rPr>
        <w:t xml:space="preserve"> como de mayor cuantía lo resuelven colegiado</w:t>
      </w:r>
      <w:r w:rsidR="00DC27EF" w:rsidRPr="00832773">
        <w:rPr>
          <w:rStyle w:val="Refdenotaalpie"/>
          <w:rFonts w:ascii="Book Antiqua" w:hAnsi="Book Antiqua"/>
          <w:color w:val="000000"/>
          <w:lang w:eastAsia="es-CR"/>
        </w:rPr>
        <w:footnoteReference w:id="46"/>
      </w:r>
      <w:r w:rsidR="00DC27EF" w:rsidRPr="00832773">
        <w:rPr>
          <w:rFonts w:ascii="Book Antiqua" w:hAnsi="Book Antiqua" w:cs="Calibri"/>
          <w:color w:val="000000"/>
          <w:lang w:eastAsia="es-CR"/>
        </w:rPr>
        <w:t>; es decir, aumentarían las integraciones unipersonales para resolver carpetas IP estimadas en el rango de ¢1 a la cantidad de millones que fije Corte Plena</w:t>
      </w:r>
      <w:r w:rsidR="00DC27EF" w:rsidRPr="00832773">
        <w:rPr>
          <w:rStyle w:val="Refdenotaalpie"/>
          <w:rFonts w:ascii="Book Antiqua" w:hAnsi="Book Antiqua"/>
          <w:color w:val="000000"/>
          <w:lang w:eastAsia="es-CR"/>
        </w:rPr>
        <w:footnoteReference w:id="47"/>
      </w:r>
      <w:r w:rsidR="00DC27EF" w:rsidRPr="00832773">
        <w:rPr>
          <w:rFonts w:ascii="Book Antiqua" w:hAnsi="Book Antiqua" w:cs="Calibri"/>
          <w:color w:val="000000"/>
          <w:lang w:eastAsia="es-CR"/>
        </w:rPr>
        <w:t xml:space="preserve">. </w:t>
      </w:r>
    </w:p>
    <w:p w14:paraId="0DEB96F2" w14:textId="77777777" w:rsidR="00967851" w:rsidRPr="0071480A" w:rsidRDefault="00967851" w:rsidP="00CE62C1">
      <w:pPr>
        <w:spacing w:line="276" w:lineRule="auto"/>
        <w:rPr>
          <w:rFonts w:cs="Calibri"/>
          <w:color w:val="000000"/>
          <w:lang w:eastAsia="es-CR"/>
        </w:rPr>
      </w:pPr>
    </w:p>
    <w:p w14:paraId="0AE9B49F" w14:textId="220A6D13" w:rsidR="00AC41FF" w:rsidRPr="0071480A" w:rsidRDefault="00DC27EF" w:rsidP="00CE62C1">
      <w:pPr>
        <w:spacing w:line="276" w:lineRule="auto"/>
        <w:rPr>
          <w:rFonts w:eastAsia="Calibri"/>
          <w:lang w:eastAsia="en-US"/>
        </w:rPr>
      </w:pPr>
      <w:r w:rsidRPr="0071480A">
        <w:rPr>
          <w:rFonts w:eastAsia="Calibri"/>
          <w:lang w:eastAsia="en-US"/>
        </w:rPr>
        <w:t>En</w:t>
      </w:r>
      <w:r w:rsidR="00AC41FF" w:rsidRPr="0071480A">
        <w:rPr>
          <w:rFonts w:eastAsia="Calibri"/>
          <w:lang w:eastAsia="en-US"/>
        </w:rPr>
        <w:t xml:space="preserve"> promedio de 2019 a 2021, a nivel nacional en Tribunales de Apelación, ingresaron un total de 6 apelaciones de incidente (carpetas IP), 2 por año, de las cuales sólo en 1 en el 2021, lo estimaron en el rango de cuantía de</w:t>
      </w:r>
      <w:r w:rsidR="00A57A72" w:rsidRPr="0071480A">
        <w:rPr>
          <w:rFonts w:eastAsia="Calibri"/>
          <w:lang w:eastAsia="en-US"/>
        </w:rPr>
        <w:t xml:space="preserve"> </w:t>
      </w:r>
      <w:r w:rsidR="00AC41FF" w:rsidRPr="0071480A">
        <w:rPr>
          <w:rFonts w:eastAsia="Calibri"/>
          <w:lang w:eastAsia="en-US"/>
        </w:rPr>
        <w:t>¢30.000.001 a ¢35.000.000</w:t>
      </w:r>
      <w:r w:rsidR="00A57A72" w:rsidRPr="0071480A">
        <w:rPr>
          <w:rFonts w:eastAsia="Calibri"/>
          <w:lang w:eastAsia="en-US"/>
        </w:rPr>
        <w:t xml:space="preserve">-ver detalle en </w:t>
      </w:r>
      <w:r w:rsidR="00A57A72" w:rsidRPr="0071480A">
        <w:rPr>
          <w:rFonts w:eastAsia="Calibri"/>
          <w:b/>
          <w:bCs/>
          <w:i/>
          <w:iCs/>
          <w:lang w:eastAsia="en-US"/>
        </w:rPr>
        <w:t>tabla 51</w:t>
      </w:r>
      <w:r w:rsidR="00A57A72" w:rsidRPr="0071480A">
        <w:rPr>
          <w:rFonts w:eastAsia="Calibri"/>
          <w:lang w:eastAsia="en-US"/>
        </w:rPr>
        <w:t xml:space="preserve"> de este informe</w:t>
      </w:r>
      <w:r w:rsidR="00AC41FF" w:rsidRPr="0071480A">
        <w:rPr>
          <w:rFonts w:eastAsia="Calibri"/>
          <w:lang w:eastAsia="en-US"/>
        </w:rPr>
        <w:t>.</w:t>
      </w:r>
    </w:p>
    <w:p w14:paraId="05073D5C" w14:textId="77777777" w:rsidR="00967851" w:rsidRPr="0071480A" w:rsidRDefault="00967851" w:rsidP="00CE62C1">
      <w:pPr>
        <w:spacing w:line="276" w:lineRule="auto"/>
        <w:rPr>
          <w:rFonts w:eastAsia="Calibri"/>
          <w:lang w:eastAsia="en-US"/>
        </w:rPr>
      </w:pPr>
    </w:p>
    <w:p w14:paraId="268B2B5E" w14:textId="489AB1D0" w:rsidR="001232E4" w:rsidRPr="0071480A" w:rsidRDefault="00AC41FF" w:rsidP="00CE62C1">
      <w:pPr>
        <w:spacing w:line="276" w:lineRule="auto"/>
        <w:rPr>
          <w:rFonts w:cs="Calibri"/>
          <w:color w:val="000000"/>
          <w:szCs w:val="24"/>
          <w:lang w:eastAsia="es-CR"/>
        </w:rPr>
      </w:pPr>
      <w:r w:rsidRPr="0071480A">
        <w:rPr>
          <w:rFonts w:eastAsia="Calibri"/>
          <w:lang w:eastAsia="en-US"/>
        </w:rPr>
        <w:t>Por lo que de aprobarse los escenarios A, B, C o D, y siendo que la entrada</w:t>
      </w:r>
      <w:r w:rsidR="00DC27EF" w:rsidRPr="0071480A">
        <w:rPr>
          <w:rFonts w:eastAsia="Calibri"/>
          <w:lang w:eastAsia="en-US"/>
        </w:rPr>
        <w:t xml:space="preserve"> de incidentes</w:t>
      </w:r>
      <w:r w:rsidRPr="0071480A">
        <w:rPr>
          <w:rFonts w:eastAsia="Calibri"/>
          <w:lang w:eastAsia="en-US"/>
        </w:rPr>
        <w:t xml:space="preserve"> es mínima</w:t>
      </w:r>
      <w:r w:rsidR="00DC27EF" w:rsidRPr="0071480A">
        <w:rPr>
          <w:rFonts w:eastAsia="Calibri"/>
          <w:lang w:eastAsia="en-US"/>
        </w:rPr>
        <w:t xml:space="preserve">; </w:t>
      </w:r>
      <w:r w:rsidR="001232E4" w:rsidRPr="0071480A">
        <w:rPr>
          <w:rFonts w:cs="Calibri"/>
          <w:b/>
          <w:bCs/>
          <w:i/>
          <w:iCs/>
          <w:color w:val="000000"/>
          <w:szCs w:val="24"/>
          <w:lang w:eastAsia="es-CR"/>
        </w:rPr>
        <w:t>no se vislumbra impacto en caso de aprobarse por Corte Plena un aumento en la cuantía Civil</w:t>
      </w:r>
      <w:r w:rsidR="001232E4" w:rsidRPr="0071480A">
        <w:rPr>
          <w:rFonts w:cs="Calibri"/>
          <w:color w:val="000000"/>
          <w:szCs w:val="24"/>
          <w:lang w:eastAsia="es-CR"/>
        </w:rPr>
        <w:t xml:space="preserve">. </w:t>
      </w:r>
    </w:p>
    <w:p w14:paraId="610E6294" w14:textId="7FE8C3FE" w:rsidR="001232E4" w:rsidRPr="0071480A" w:rsidRDefault="001232E4" w:rsidP="00CE62C1">
      <w:pPr>
        <w:spacing w:line="276" w:lineRule="auto"/>
        <w:rPr>
          <w:rFonts w:eastAsia="Calibri"/>
          <w:lang w:eastAsia="en-US"/>
        </w:rPr>
      </w:pPr>
    </w:p>
    <w:p w14:paraId="0A5F7780" w14:textId="1F069E84" w:rsidR="005D496D" w:rsidRPr="00832773" w:rsidRDefault="005D496D" w:rsidP="00832773">
      <w:pPr>
        <w:pStyle w:val="Prrafodelista"/>
        <w:numPr>
          <w:ilvl w:val="1"/>
          <w:numId w:val="62"/>
        </w:numPr>
        <w:spacing w:after="160" w:line="276" w:lineRule="auto"/>
        <w:ind w:left="567" w:hanging="502"/>
        <w:contextualSpacing/>
        <w:rPr>
          <w:rFonts w:eastAsia="Calibri"/>
          <w:lang w:eastAsia="en-US"/>
        </w:rPr>
      </w:pPr>
      <w:r w:rsidRPr="00832773">
        <w:rPr>
          <w:rFonts w:ascii="Book Antiqua" w:eastAsia="Calibri" w:hAnsi="Book Antiqua"/>
          <w:lang w:eastAsia="en-US"/>
        </w:rPr>
        <w:t xml:space="preserve">En lo </w:t>
      </w:r>
      <w:r w:rsidR="008D51C4" w:rsidRPr="00832773">
        <w:rPr>
          <w:rFonts w:ascii="Book Antiqua" w:eastAsia="Calibri" w:hAnsi="Book Antiqua"/>
          <w:lang w:eastAsia="en-US"/>
        </w:rPr>
        <w:t>que,</w:t>
      </w:r>
      <w:r w:rsidRPr="00832773">
        <w:rPr>
          <w:rFonts w:ascii="Book Antiqua" w:eastAsia="Calibri" w:hAnsi="Book Antiqua"/>
          <w:lang w:eastAsia="en-US"/>
        </w:rPr>
        <w:t xml:space="preserve"> respecto a</w:t>
      </w:r>
      <w:r w:rsidR="00453A12" w:rsidRPr="00832773">
        <w:rPr>
          <w:rFonts w:ascii="Book Antiqua" w:eastAsia="Calibri" w:hAnsi="Book Antiqua"/>
          <w:lang w:eastAsia="en-US"/>
        </w:rPr>
        <w:t xml:space="preserve"> la demanda </w:t>
      </w:r>
      <w:r w:rsidRPr="00832773">
        <w:rPr>
          <w:rFonts w:ascii="Book Antiqua" w:eastAsia="Calibri" w:hAnsi="Book Antiqua"/>
          <w:lang w:eastAsia="en-US"/>
        </w:rPr>
        <w:t xml:space="preserve">de revisión, tampoco se visualiza impacto en caso de modificarse el monto actual de cuantía en materia </w:t>
      </w:r>
      <w:r w:rsidR="00C008B1" w:rsidRPr="00832773">
        <w:rPr>
          <w:rFonts w:ascii="Book Antiqua" w:eastAsia="Calibri" w:hAnsi="Book Antiqua"/>
          <w:lang w:eastAsia="en-US"/>
        </w:rPr>
        <w:t>C</w:t>
      </w:r>
      <w:r w:rsidRPr="00832773">
        <w:rPr>
          <w:rFonts w:ascii="Book Antiqua" w:eastAsia="Calibri" w:hAnsi="Book Antiqua"/>
          <w:lang w:eastAsia="en-US"/>
        </w:rPr>
        <w:t>ivil, ya que aplica por criterios específicos según artículo 72.</w:t>
      </w:r>
      <w:r w:rsidR="00CD0519" w:rsidRPr="00832773">
        <w:rPr>
          <w:rFonts w:ascii="Book Antiqua" w:eastAsia="Calibri" w:hAnsi="Book Antiqua"/>
          <w:lang w:eastAsia="en-US"/>
        </w:rPr>
        <w:t>1</w:t>
      </w:r>
      <w:r w:rsidRPr="00832773">
        <w:rPr>
          <w:rFonts w:ascii="Book Antiqua" w:eastAsia="Calibri" w:hAnsi="Book Antiqua"/>
          <w:lang w:eastAsia="en-US"/>
        </w:rPr>
        <w:t xml:space="preserve"> del </w:t>
      </w:r>
      <w:r w:rsidR="00C008B1" w:rsidRPr="00832773">
        <w:rPr>
          <w:rFonts w:ascii="Book Antiqua" w:eastAsia="Calibri" w:hAnsi="Book Antiqua"/>
          <w:lang w:eastAsia="en-US"/>
        </w:rPr>
        <w:t>C</w:t>
      </w:r>
      <w:r w:rsidRPr="00832773">
        <w:rPr>
          <w:rFonts w:ascii="Book Antiqua" w:eastAsia="Calibri" w:hAnsi="Book Antiqua"/>
          <w:lang w:eastAsia="en-US"/>
        </w:rPr>
        <w:t xml:space="preserve">ódigo Procesal Civil, </w:t>
      </w:r>
      <w:r w:rsidR="00453A12" w:rsidRPr="00832773">
        <w:rPr>
          <w:rFonts w:ascii="Book Antiqua" w:eastAsia="Calibri" w:hAnsi="Book Antiqua"/>
          <w:lang w:eastAsia="en-US"/>
        </w:rPr>
        <w:t xml:space="preserve">y conforme explican los jueces gestores civiles actuales, aplica contra </w:t>
      </w:r>
      <w:r w:rsidR="00453A12" w:rsidRPr="00832773">
        <w:rPr>
          <w:rFonts w:ascii="Book Antiqua" w:eastAsia="Calibri" w:hAnsi="Book Antiqua"/>
          <w:lang w:eastAsia="en-US"/>
        </w:rPr>
        <w:lastRenderedPageBreak/>
        <w:t xml:space="preserve">pronunciamientos con carácter de cosa </w:t>
      </w:r>
      <w:r w:rsidR="00781502" w:rsidRPr="00832773">
        <w:rPr>
          <w:rFonts w:ascii="Book Antiqua" w:eastAsia="Calibri" w:hAnsi="Book Antiqua"/>
          <w:lang w:eastAsia="en-US"/>
        </w:rPr>
        <w:t>Juzgada material independientemente</w:t>
      </w:r>
      <w:r w:rsidRPr="00832773">
        <w:rPr>
          <w:rFonts w:ascii="Book Antiqua" w:eastAsia="Calibri" w:hAnsi="Book Antiqua"/>
          <w:lang w:eastAsia="en-US"/>
        </w:rPr>
        <w:t xml:space="preserve"> de la cuantía</w:t>
      </w:r>
      <w:r w:rsidR="00E674D0" w:rsidRPr="00832773">
        <w:rPr>
          <w:rFonts w:ascii="Book Antiqua" w:eastAsia="Calibri" w:hAnsi="Book Antiqua"/>
          <w:lang w:eastAsia="en-US"/>
        </w:rPr>
        <w:t>.</w:t>
      </w:r>
    </w:p>
    <w:p w14:paraId="0781BA0F" w14:textId="77777777" w:rsidR="00401CAB" w:rsidRPr="00832773" w:rsidRDefault="00401CAB" w:rsidP="00832773">
      <w:pPr>
        <w:pStyle w:val="Prrafodelista"/>
        <w:spacing w:line="276" w:lineRule="auto"/>
        <w:rPr>
          <w:rFonts w:ascii="Book Antiqua" w:eastAsia="Calibri" w:hAnsi="Book Antiqua"/>
          <w:lang w:val="es-CR" w:eastAsia="en-US"/>
        </w:rPr>
      </w:pPr>
    </w:p>
    <w:p w14:paraId="40B1FE9E" w14:textId="7B1AA8A9" w:rsidR="00401CAB" w:rsidRPr="00832773" w:rsidRDefault="005D1B48" w:rsidP="00832773">
      <w:pPr>
        <w:pStyle w:val="Prrafodelista"/>
        <w:numPr>
          <w:ilvl w:val="1"/>
          <w:numId w:val="62"/>
        </w:numPr>
        <w:spacing w:after="160" w:line="276" w:lineRule="auto"/>
        <w:ind w:left="567" w:hanging="502"/>
        <w:contextualSpacing/>
        <w:rPr>
          <w:rFonts w:eastAsia="Calibri"/>
          <w:lang w:eastAsia="en-US"/>
        </w:rPr>
      </w:pPr>
      <w:r>
        <w:rPr>
          <w:rFonts w:ascii="Book Antiqua" w:eastAsia="Calibri" w:hAnsi="Book Antiqua"/>
          <w:lang w:eastAsia="en-US"/>
        </w:rPr>
        <w:t xml:space="preserve"> </w:t>
      </w:r>
      <w:r w:rsidR="00401CAB" w:rsidRPr="00832773">
        <w:rPr>
          <w:rFonts w:ascii="Book Antiqua" w:eastAsia="Calibri" w:hAnsi="Book Antiqua"/>
          <w:lang w:eastAsia="en-US"/>
        </w:rPr>
        <w:t xml:space="preserve">La mayor entrada de procesos y de casaciones en Sala Primera corresponden a la materia Contenciosa </w:t>
      </w:r>
      <w:r w:rsidR="005939E8" w:rsidRPr="00832773">
        <w:rPr>
          <w:rFonts w:ascii="Book Antiqua" w:eastAsia="Calibri" w:hAnsi="Book Antiqua"/>
          <w:lang w:eastAsia="en-US"/>
        </w:rPr>
        <w:t>Administrativa no</w:t>
      </w:r>
      <w:r w:rsidR="00401CAB" w:rsidRPr="00832773">
        <w:rPr>
          <w:rFonts w:ascii="Book Antiqua" w:eastAsia="Calibri" w:hAnsi="Book Antiqua"/>
          <w:lang w:eastAsia="en-US"/>
        </w:rPr>
        <w:t xml:space="preserve"> Civil, por lo que la Sala debe considerar medidas para regular la entrada de estos procesos y no solamente en materia Civil, si el objetivo es lograr disminución de la carga laboral de esta instancia (en </w:t>
      </w:r>
      <w:r w:rsidR="003363AE" w:rsidRPr="00832773">
        <w:rPr>
          <w:rFonts w:ascii="Book Antiqua" w:eastAsia="Calibri" w:hAnsi="Book Antiqua"/>
          <w:lang w:eastAsia="en-US"/>
        </w:rPr>
        <w:t>promedio por</w:t>
      </w:r>
      <w:r w:rsidR="00401CAB" w:rsidRPr="00832773">
        <w:rPr>
          <w:rFonts w:ascii="Book Antiqua" w:eastAsia="Calibri" w:hAnsi="Book Antiqua"/>
          <w:lang w:eastAsia="en-US"/>
        </w:rPr>
        <w:t xml:space="preserve"> año ingresan a la Sala 533 recursos en materia Contenciosa</w:t>
      </w:r>
      <w:r w:rsidR="00CF1327" w:rsidRPr="00832773">
        <w:rPr>
          <w:rFonts w:ascii="Book Antiqua" w:eastAsia="Calibri" w:hAnsi="Book Antiqua"/>
          <w:lang w:eastAsia="en-US"/>
        </w:rPr>
        <w:t xml:space="preserve"> </w:t>
      </w:r>
      <w:r w:rsidR="005939E8" w:rsidRPr="00832773">
        <w:rPr>
          <w:rFonts w:ascii="Book Antiqua" w:eastAsia="Calibri" w:hAnsi="Book Antiqua"/>
          <w:lang w:eastAsia="en-US"/>
        </w:rPr>
        <w:t>(48%</w:t>
      </w:r>
      <w:r w:rsidR="00CF1327" w:rsidRPr="00832773">
        <w:rPr>
          <w:rFonts w:ascii="Book Antiqua" w:eastAsia="Calibri" w:hAnsi="Book Antiqua"/>
          <w:lang w:eastAsia="en-US"/>
        </w:rPr>
        <w:t xml:space="preserve"> de la entrada total de casaciones)</w:t>
      </w:r>
      <w:r w:rsidR="00401CAB" w:rsidRPr="00832773">
        <w:rPr>
          <w:rFonts w:ascii="Book Antiqua" w:eastAsia="Calibri" w:hAnsi="Book Antiqua"/>
          <w:lang w:eastAsia="en-US"/>
        </w:rPr>
        <w:t xml:space="preserve"> y se resuelven 541, mientras que en materia Civil ingresan 490</w:t>
      </w:r>
      <w:r w:rsidR="005939E8" w:rsidRPr="00832773">
        <w:rPr>
          <w:rFonts w:ascii="Book Antiqua" w:eastAsia="Calibri" w:hAnsi="Book Antiqua"/>
          <w:lang w:eastAsia="en-US"/>
        </w:rPr>
        <w:t xml:space="preserve"> (44% de la entrada total de casaciones)</w:t>
      </w:r>
      <w:r w:rsidR="00401CAB" w:rsidRPr="00832773">
        <w:rPr>
          <w:rFonts w:ascii="Book Antiqua" w:eastAsia="Calibri" w:hAnsi="Book Antiqua"/>
          <w:lang w:eastAsia="en-US"/>
        </w:rPr>
        <w:t xml:space="preserve"> de los cuales se resuelven 281</w:t>
      </w:r>
      <w:r w:rsidR="00CF1327" w:rsidRPr="00832773">
        <w:rPr>
          <w:rFonts w:ascii="Book Antiqua" w:eastAsia="Calibri" w:hAnsi="Book Antiqua"/>
          <w:lang w:eastAsia="en-US"/>
        </w:rPr>
        <w:t xml:space="preserve"> en promedio al año.</w:t>
      </w:r>
      <w:r w:rsidR="00F34C5D" w:rsidRPr="00832773">
        <w:rPr>
          <w:rStyle w:val="Refdenotaalpie"/>
          <w:rFonts w:ascii="Book Antiqua" w:eastAsia="Calibri" w:hAnsi="Book Antiqua"/>
          <w:lang w:eastAsia="en-US"/>
        </w:rPr>
        <w:footnoteReference w:id="48"/>
      </w:r>
    </w:p>
    <w:p w14:paraId="19790BB0" w14:textId="4A457FB5" w:rsidR="00170225" w:rsidRPr="00832773" w:rsidRDefault="00170225" w:rsidP="00CE62C1">
      <w:pPr>
        <w:spacing w:after="160" w:line="276" w:lineRule="auto"/>
        <w:rPr>
          <w:rFonts w:eastAsia="Calibri"/>
          <w:sz w:val="22"/>
          <w:szCs w:val="22"/>
          <w:lang w:eastAsia="en-US"/>
        </w:rPr>
      </w:pPr>
    </w:p>
    <w:p w14:paraId="78A4568D" w14:textId="48C56171" w:rsidR="00D61684" w:rsidRPr="00832773" w:rsidRDefault="005D1B48" w:rsidP="00832773">
      <w:pPr>
        <w:pStyle w:val="Prrafodelista"/>
        <w:numPr>
          <w:ilvl w:val="1"/>
          <w:numId w:val="62"/>
        </w:numPr>
        <w:spacing w:after="160" w:line="276" w:lineRule="auto"/>
        <w:ind w:left="567" w:hanging="502"/>
        <w:contextualSpacing/>
        <w:rPr>
          <w:i/>
          <w:iCs/>
        </w:rPr>
      </w:pPr>
      <w:r>
        <w:rPr>
          <w:rFonts w:ascii="Book Antiqua" w:eastAsia="Calibri" w:hAnsi="Book Antiqua"/>
          <w:lang w:val="es-CR" w:eastAsia="en-US"/>
        </w:rPr>
        <w:t xml:space="preserve"> </w:t>
      </w:r>
      <w:r w:rsidR="00D61684" w:rsidRPr="00832773">
        <w:rPr>
          <w:rFonts w:ascii="Book Antiqua" w:eastAsia="Calibri" w:hAnsi="Book Antiqua"/>
          <w:lang w:val="es-CR" w:eastAsia="en-US"/>
        </w:rPr>
        <w:t xml:space="preserve">Una vez entre en vigencia el Código Procesal Agrario se espera un incremento en la entrada tanto de Juzgados Agrarios como la Sala Primera, como parte de los efectos de la norma, sin embargo, no es posible en este momento proyectar cuantos asuntos, ya que se requiere entre otros datos conocer la naturaleza del bien (procesos cobratorios, civiles), para determinar si se trasladaría a competencia de las oficinas agrarias. Para iniciar con esas estimaciones se requiere de una mejora informática en el nuevo sistema de Gestión, la cual aún no está desarrollada por parte de la Dirección de Tecnología de la Información y las Comunicaciones.  Según informó doña Vivian Rímola el 22 de noviembre de 2022 </w:t>
      </w:r>
      <w:r w:rsidR="00D61684" w:rsidRPr="00832773">
        <w:rPr>
          <w:rFonts w:ascii="Book Antiqua" w:hAnsi="Book Antiqua"/>
          <w:i/>
          <w:iCs/>
          <w:sz w:val="22"/>
          <w:szCs w:val="22"/>
          <w:lang w:val="es-CR"/>
        </w:rPr>
        <w:t>“las mejoras relacionadas a materia civil, de acuerdo a nuestro cronograma, están para iniciar finales del 2023 y durante el 2024. Esta solicitud en su momento deberá ser priorizadas junto con la lista de desarrollados en materia civil para establecer en que orden y prioridad será atendida”.</w:t>
      </w:r>
    </w:p>
    <w:p w14:paraId="1AD045D4" w14:textId="77777777" w:rsidR="00D61684" w:rsidRPr="00C375EC" w:rsidRDefault="00D61684" w:rsidP="00832773">
      <w:pPr>
        <w:pStyle w:val="Prrafodelista"/>
        <w:rPr>
          <w:rFonts w:eastAsia="Calibri"/>
          <w:lang w:eastAsia="en-US"/>
        </w:rPr>
      </w:pPr>
    </w:p>
    <w:p w14:paraId="40064081" w14:textId="5738043E" w:rsidR="0047707E" w:rsidRPr="00832773" w:rsidRDefault="005D1B48" w:rsidP="00832773">
      <w:pPr>
        <w:pStyle w:val="Prrafodelista"/>
        <w:numPr>
          <w:ilvl w:val="1"/>
          <w:numId w:val="62"/>
        </w:numPr>
        <w:spacing w:after="160" w:line="276" w:lineRule="auto"/>
        <w:ind w:left="567" w:hanging="502"/>
        <w:contextualSpacing/>
        <w:rPr>
          <w:rFonts w:eastAsia="Calibri"/>
          <w:lang w:eastAsia="en-US"/>
        </w:rPr>
      </w:pPr>
      <w:r>
        <w:rPr>
          <w:rFonts w:ascii="Book Antiqua" w:eastAsia="Calibri" w:hAnsi="Book Antiqua"/>
          <w:lang w:eastAsia="en-US"/>
        </w:rPr>
        <w:t xml:space="preserve"> </w:t>
      </w:r>
      <w:r w:rsidR="0047707E" w:rsidRPr="00832773">
        <w:rPr>
          <w:rFonts w:ascii="Book Antiqua" w:eastAsia="Calibri" w:hAnsi="Book Antiqua"/>
          <w:lang w:eastAsia="en-US"/>
        </w:rPr>
        <w:t>En forma de resumen, según escenario, el impacto en la entrada en la Sala Primera, en caso de Corte Plena aprobar los escenarios A,</w:t>
      </w:r>
      <w:r w:rsidR="00E375D4" w:rsidRPr="00832773">
        <w:rPr>
          <w:rFonts w:ascii="Book Antiqua" w:eastAsia="Calibri" w:hAnsi="Book Antiqua"/>
          <w:lang w:eastAsia="en-US"/>
        </w:rPr>
        <w:t xml:space="preserve"> </w:t>
      </w:r>
      <w:r w:rsidR="0047707E" w:rsidRPr="00832773">
        <w:rPr>
          <w:rFonts w:ascii="Book Antiqua" w:eastAsia="Calibri" w:hAnsi="Book Antiqua"/>
          <w:lang w:eastAsia="en-US"/>
        </w:rPr>
        <w:t>B,</w:t>
      </w:r>
      <w:r w:rsidR="00E375D4" w:rsidRPr="00832773">
        <w:rPr>
          <w:rFonts w:ascii="Book Antiqua" w:eastAsia="Calibri" w:hAnsi="Book Antiqua"/>
          <w:lang w:eastAsia="en-US"/>
        </w:rPr>
        <w:t xml:space="preserve"> </w:t>
      </w:r>
      <w:r w:rsidR="0047707E" w:rsidRPr="00832773">
        <w:rPr>
          <w:rFonts w:ascii="Book Antiqua" w:eastAsia="Calibri" w:hAnsi="Book Antiqua"/>
          <w:lang w:eastAsia="en-US"/>
        </w:rPr>
        <w:t xml:space="preserve">C o D serían: </w:t>
      </w:r>
    </w:p>
    <w:p w14:paraId="3C4E23D8" w14:textId="7C8E0D29" w:rsidR="00E56FB6" w:rsidRPr="004E74A6" w:rsidRDefault="00E375D4" w:rsidP="00CE62C1">
      <w:pPr>
        <w:spacing w:line="276" w:lineRule="auto"/>
        <w:rPr>
          <w:rFonts w:eastAsia="Calibri"/>
          <w:lang w:eastAsia="en-US"/>
        </w:rPr>
      </w:pPr>
      <w:r w:rsidRPr="004E74A6">
        <w:rPr>
          <w:rFonts w:eastAsia="Calibri"/>
          <w:lang w:eastAsia="en-US"/>
        </w:rPr>
        <w:t xml:space="preserve">  </w:t>
      </w:r>
    </w:p>
    <w:p w14:paraId="5C9D1EB5" w14:textId="7330A6A6" w:rsidR="0047707E" w:rsidRPr="00832773" w:rsidRDefault="0047707E" w:rsidP="00F0204A">
      <w:pPr>
        <w:pStyle w:val="Descripcin"/>
        <w:keepNext/>
        <w:spacing w:line="276" w:lineRule="auto"/>
        <w:jc w:val="center"/>
        <w:rPr>
          <w:rFonts w:ascii="Book Antiqua" w:hAnsi="Book Antiqua"/>
          <w:i/>
          <w:iCs/>
          <w:sz w:val="22"/>
          <w:szCs w:val="22"/>
          <w:lang w:val="es-CR"/>
        </w:rPr>
      </w:pPr>
      <w:r w:rsidRPr="00832773">
        <w:rPr>
          <w:rFonts w:ascii="Book Antiqua" w:hAnsi="Book Antiqua"/>
          <w:i/>
          <w:iCs/>
          <w:sz w:val="22"/>
          <w:szCs w:val="22"/>
          <w:lang w:val="es-CR"/>
        </w:rPr>
        <w:lastRenderedPageBreak/>
        <w:t xml:space="preserve">Ilustración </w:t>
      </w:r>
      <w:r w:rsidRPr="00832773">
        <w:rPr>
          <w:rFonts w:ascii="Book Antiqua" w:hAnsi="Book Antiqua"/>
          <w:i/>
          <w:iCs/>
          <w:sz w:val="22"/>
          <w:szCs w:val="22"/>
          <w:lang w:val="es-CR"/>
        </w:rPr>
        <w:fldChar w:fldCharType="begin"/>
      </w:r>
      <w:r w:rsidRPr="00832773">
        <w:rPr>
          <w:rFonts w:ascii="Book Antiqua" w:hAnsi="Book Antiqua"/>
          <w:i/>
          <w:iCs/>
          <w:sz w:val="22"/>
          <w:szCs w:val="22"/>
          <w:lang w:val="es-CR"/>
        </w:rPr>
        <w:instrText xml:space="preserve"> SEQ Ilustración \* ARABIC </w:instrText>
      </w:r>
      <w:r w:rsidRPr="00832773">
        <w:rPr>
          <w:rFonts w:ascii="Book Antiqua" w:hAnsi="Book Antiqua"/>
          <w:i/>
          <w:iCs/>
          <w:sz w:val="22"/>
          <w:szCs w:val="22"/>
          <w:lang w:val="es-CR"/>
        </w:rPr>
        <w:fldChar w:fldCharType="separate"/>
      </w:r>
      <w:r w:rsidR="00755589" w:rsidRPr="00832773">
        <w:rPr>
          <w:rFonts w:ascii="Book Antiqua" w:hAnsi="Book Antiqua"/>
          <w:i/>
          <w:iCs/>
          <w:noProof/>
          <w:sz w:val="22"/>
          <w:szCs w:val="22"/>
          <w:lang w:val="es-CR"/>
        </w:rPr>
        <w:t>5</w:t>
      </w:r>
      <w:r w:rsidRPr="00832773">
        <w:rPr>
          <w:rFonts w:ascii="Book Antiqua" w:hAnsi="Book Antiqua"/>
          <w:i/>
          <w:iCs/>
          <w:sz w:val="22"/>
          <w:szCs w:val="22"/>
          <w:lang w:val="es-CR"/>
        </w:rPr>
        <w:fldChar w:fldCharType="end"/>
      </w:r>
      <w:r w:rsidR="00B6217A" w:rsidRPr="00832773">
        <w:rPr>
          <w:rFonts w:ascii="Book Antiqua" w:hAnsi="Book Antiqua"/>
          <w:i/>
          <w:iCs/>
          <w:sz w:val="22"/>
          <w:szCs w:val="22"/>
          <w:lang w:val="es-CR"/>
        </w:rPr>
        <w:t xml:space="preserve"> </w:t>
      </w:r>
    </w:p>
    <w:p w14:paraId="519387CD" w14:textId="709BC8AA" w:rsidR="0047707E" w:rsidRPr="00832773" w:rsidRDefault="00E56FB6" w:rsidP="00832773">
      <w:pPr>
        <w:spacing w:line="276" w:lineRule="auto"/>
        <w:jc w:val="center"/>
        <w:rPr>
          <w:b/>
          <w:bCs/>
          <w:i/>
          <w:iCs/>
          <w:sz w:val="22"/>
          <w:szCs w:val="22"/>
        </w:rPr>
      </w:pPr>
      <w:r w:rsidRPr="004E74A6">
        <w:rPr>
          <w:rFonts w:eastAsia="Calibri"/>
          <w:noProof/>
          <w:lang w:eastAsia="en-US"/>
        </w:rPr>
        <w:drawing>
          <wp:anchor distT="0" distB="0" distL="114300" distR="114300" simplePos="0" relativeHeight="251659264" behindDoc="1" locked="0" layoutInCell="1" allowOverlap="1" wp14:anchorId="5A27059B" wp14:editId="61189FDF">
            <wp:simplePos x="0" y="0"/>
            <wp:positionH relativeFrom="column">
              <wp:posOffset>186690</wp:posOffset>
            </wp:positionH>
            <wp:positionV relativeFrom="paragraph">
              <wp:posOffset>295910</wp:posOffset>
            </wp:positionV>
            <wp:extent cx="5076825" cy="3082925"/>
            <wp:effectExtent l="0" t="38100" r="9525" b="22225"/>
            <wp:wrapSquare wrapText="bothSides"/>
            <wp:docPr id="18" name="Diagrama 1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3" r:lo="rId34" r:qs="rId35" r:cs="rId36"/>
              </a:graphicData>
            </a:graphic>
            <wp14:sizeRelH relativeFrom="page">
              <wp14:pctWidth>0</wp14:pctWidth>
            </wp14:sizeRelH>
            <wp14:sizeRelV relativeFrom="page">
              <wp14:pctHeight>0</wp14:pctHeight>
            </wp14:sizeRelV>
          </wp:anchor>
        </w:drawing>
      </w:r>
      <w:r w:rsidR="0047707E" w:rsidRPr="00832773">
        <w:rPr>
          <w:b/>
          <w:bCs/>
          <w:i/>
          <w:iCs/>
          <w:sz w:val="22"/>
          <w:szCs w:val="22"/>
        </w:rPr>
        <w:t>Impacto en la entrada de la Sala Primera según escenario A,</w:t>
      </w:r>
      <w:r w:rsidR="008E6351" w:rsidRPr="00832773">
        <w:rPr>
          <w:b/>
          <w:bCs/>
          <w:i/>
          <w:iCs/>
          <w:sz w:val="22"/>
          <w:szCs w:val="22"/>
        </w:rPr>
        <w:t xml:space="preserve"> </w:t>
      </w:r>
      <w:r w:rsidR="0047707E" w:rsidRPr="00832773">
        <w:rPr>
          <w:b/>
          <w:bCs/>
          <w:i/>
          <w:iCs/>
          <w:sz w:val="22"/>
          <w:szCs w:val="22"/>
        </w:rPr>
        <w:t>B,</w:t>
      </w:r>
      <w:r w:rsidR="008E6351" w:rsidRPr="00832773">
        <w:rPr>
          <w:b/>
          <w:bCs/>
          <w:i/>
          <w:iCs/>
          <w:sz w:val="22"/>
          <w:szCs w:val="22"/>
        </w:rPr>
        <w:t xml:space="preserve"> </w:t>
      </w:r>
      <w:r w:rsidR="0047707E" w:rsidRPr="00832773">
        <w:rPr>
          <w:b/>
          <w:bCs/>
          <w:i/>
          <w:iCs/>
          <w:sz w:val="22"/>
          <w:szCs w:val="22"/>
        </w:rPr>
        <w:t>C</w:t>
      </w:r>
      <w:r w:rsidR="008E6351" w:rsidRPr="00832773">
        <w:rPr>
          <w:b/>
          <w:bCs/>
          <w:i/>
          <w:iCs/>
          <w:sz w:val="22"/>
          <w:szCs w:val="22"/>
        </w:rPr>
        <w:t xml:space="preserve"> y </w:t>
      </w:r>
      <w:r w:rsidR="0047707E" w:rsidRPr="00832773">
        <w:rPr>
          <w:b/>
          <w:bCs/>
          <w:i/>
          <w:iCs/>
          <w:sz w:val="22"/>
          <w:szCs w:val="22"/>
        </w:rPr>
        <w:t>D</w:t>
      </w:r>
    </w:p>
    <w:p w14:paraId="671A784F" w14:textId="16D15305" w:rsidR="0047707E" w:rsidRPr="004E74A6" w:rsidRDefault="00967851" w:rsidP="00832773">
      <w:pPr>
        <w:spacing w:line="276" w:lineRule="auto"/>
        <w:rPr>
          <w:rFonts w:eastAsia="Calibri"/>
          <w:i/>
          <w:iCs/>
          <w:sz w:val="20"/>
          <w:szCs w:val="16"/>
          <w:lang w:eastAsia="en-US"/>
        </w:rPr>
      </w:pPr>
      <w:r w:rsidRPr="004E74A6">
        <w:rPr>
          <w:rFonts w:eastAsia="Calibri"/>
          <w:b/>
          <w:bCs/>
          <w:i/>
          <w:iCs/>
          <w:sz w:val="20"/>
          <w:szCs w:val="16"/>
          <w:lang w:eastAsia="en-US"/>
        </w:rPr>
        <w:t xml:space="preserve">        </w:t>
      </w:r>
      <w:r w:rsidR="0047707E" w:rsidRPr="004E74A6">
        <w:rPr>
          <w:rFonts w:eastAsia="Calibri"/>
          <w:b/>
          <w:bCs/>
          <w:i/>
          <w:iCs/>
          <w:sz w:val="20"/>
          <w:szCs w:val="16"/>
          <w:lang w:eastAsia="en-US"/>
        </w:rPr>
        <w:t>Fuente</w:t>
      </w:r>
      <w:r w:rsidR="0047707E" w:rsidRPr="004E74A6">
        <w:rPr>
          <w:rFonts w:eastAsia="Calibri"/>
          <w:i/>
          <w:iCs/>
          <w:sz w:val="20"/>
          <w:szCs w:val="16"/>
          <w:lang w:eastAsia="en-US"/>
        </w:rPr>
        <w:t>: Subproceso de Modernización Institucional.</w:t>
      </w:r>
    </w:p>
    <w:p w14:paraId="6620F045" w14:textId="256C730F" w:rsidR="006B1DDC" w:rsidRPr="004E74A6" w:rsidRDefault="006B1DDC">
      <w:pPr>
        <w:pStyle w:val="Descripcin"/>
        <w:keepNext/>
        <w:spacing w:line="276" w:lineRule="auto"/>
        <w:jc w:val="center"/>
        <w:rPr>
          <w:rFonts w:ascii="Book Antiqua" w:hAnsi="Book Antiqua" w:cs="Times New Roman"/>
          <w:b w:val="0"/>
          <w:bCs w:val="0"/>
          <w:lang w:val="es-CR"/>
        </w:rPr>
      </w:pPr>
    </w:p>
    <w:p w14:paraId="4C86C2C4" w14:textId="7B3EFE42" w:rsidR="006B1DDC" w:rsidRPr="004E74A6" w:rsidRDefault="006B1DDC" w:rsidP="006B1DDC"/>
    <w:p w14:paraId="3AAD144D" w14:textId="32FE3F23" w:rsidR="006B1DDC" w:rsidRPr="004E74A6" w:rsidRDefault="006B1DDC" w:rsidP="006B1DDC"/>
    <w:p w14:paraId="5EC9037F" w14:textId="7E8979B1" w:rsidR="006B1DDC" w:rsidRPr="004E74A6" w:rsidRDefault="006B1DDC" w:rsidP="006B1DDC"/>
    <w:p w14:paraId="7B0E8192" w14:textId="1CE21DA4" w:rsidR="006B1DDC" w:rsidRPr="004E74A6" w:rsidRDefault="006B1DDC" w:rsidP="006B1DDC"/>
    <w:p w14:paraId="2997D7FF" w14:textId="7AD7570F" w:rsidR="006B1DDC" w:rsidRPr="004E74A6" w:rsidRDefault="006B1DDC" w:rsidP="006B1DDC"/>
    <w:p w14:paraId="3233E4D8" w14:textId="0DE06DA6" w:rsidR="006B1DDC" w:rsidRPr="004E74A6" w:rsidRDefault="006B1DDC" w:rsidP="006B1DDC"/>
    <w:p w14:paraId="75DB334C" w14:textId="68ABE3F4" w:rsidR="006B1DDC" w:rsidRPr="004E74A6" w:rsidRDefault="006B1DDC" w:rsidP="006B1DDC"/>
    <w:p w14:paraId="2554F7E3" w14:textId="4C53DFF6" w:rsidR="006B1DDC" w:rsidRPr="004E74A6" w:rsidRDefault="006B1DDC" w:rsidP="006B1DDC"/>
    <w:p w14:paraId="0C39674C" w14:textId="77777777" w:rsidR="005D1B48" w:rsidRDefault="005D1B48" w:rsidP="005D1B48"/>
    <w:p w14:paraId="5C1D57B8" w14:textId="77777777" w:rsidR="005D1B48" w:rsidRDefault="005D1B48" w:rsidP="005D1B48"/>
    <w:p w14:paraId="60C0581D" w14:textId="77777777" w:rsidR="005D1B48" w:rsidRDefault="005D1B48" w:rsidP="005D1B48"/>
    <w:p w14:paraId="1D89F923" w14:textId="77777777" w:rsidR="005D1B48" w:rsidRDefault="005D1B48" w:rsidP="005D1B48"/>
    <w:p w14:paraId="74D175D3" w14:textId="77777777" w:rsidR="005D1B48" w:rsidRDefault="005D1B48" w:rsidP="005D1B48"/>
    <w:p w14:paraId="77F6415B" w14:textId="3EC3B3B1" w:rsidR="00B96FBA" w:rsidRPr="00832773" w:rsidRDefault="00B96FBA" w:rsidP="00F0204A">
      <w:pPr>
        <w:pStyle w:val="Descripcin"/>
        <w:keepNext/>
        <w:spacing w:line="276" w:lineRule="auto"/>
        <w:jc w:val="center"/>
        <w:rPr>
          <w:rFonts w:ascii="Book Antiqua" w:hAnsi="Book Antiqua"/>
          <w:i/>
          <w:iCs/>
          <w:sz w:val="22"/>
          <w:szCs w:val="22"/>
          <w:lang w:val="es-CR"/>
        </w:rPr>
      </w:pPr>
      <w:r w:rsidRPr="00832773">
        <w:rPr>
          <w:rFonts w:ascii="Book Antiqua" w:hAnsi="Book Antiqua"/>
          <w:i/>
          <w:iCs/>
          <w:sz w:val="22"/>
          <w:szCs w:val="22"/>
          <w:lang w:val="es-CR"/>
        </w:rPr>
        <w:lastRenderedPageBreak/>
        <w:t xml:space="preserve">Ilustración </w:t>
      </w:r>
      <w:r w:rsidRPr="00832773">
        <w:rPr>
          <w:rFonts w:ascii="Book Antiqua" w:hAnsi="Book Antiqua"/>
          <w:i/>
          <w:iCs/>
          <w:sz w:val="22"/>
          <w:szCs w:val="22"/>
          <w:lang w:val="es-CR"/>
        </w:rPr>
        <w:fldChar w:fldCharType="begin"/>
      </w:r>
      <w:r w:rsidRPr="00832773">
        <w:rPr>
          <w:rFonts w:ascii="Book Antiqua" w:hAnsi="Book Antiqua"/>
          <w:i/>
          <w:iCs/>
          <w:sz w:val="22"/>
          <w:szCs w:val="22"/>
          <w:lang w:val="es-CR"/>
        </w:rPr>
        <w:instrText xml:space="preserve"> SEQ Ilustración \* ARABIC </w:instrText>
      </w:r>
      <w:r w:rsidRPr="00832773">
        <w:rPr>
          <w:rFonts w:ascii="Book Antiqua" w:hAnsi="Book Antiqua"/>
          <w:i/>
          <w:iCs/>
          <w:sz w:val="22"/>
          <w:szCs w:val="22"/>
          <w:lang w:val="es-CR"/>
        </w:rPr>
        <w:fldChar w:fldCharType="separate"/>
      </w:r>
      <w:r w:rsidR="00755589" w:rsidRPr="00832773">
        <w:rPr>
          <w:rFonts w:ascii="Book Antiqua" w:hAnsi="Book Antiqua"/>
          <w:i/>
          <w:iCs/>
          <w:noProof/>
          <w:sz w:val="22"/>
          <w:szCs w:val="22"/>
          <w:lang w:val="es-CR"/>
        </w:rPr>
        <w:t>6</w:t>
      </w:r>
      <w:r w:rsidRPr="00832773">
        <w:rPr>
          <w:rFonts w:ascii="Book Antiqua" w:hAnsi="Book Antiqua"/>
          <w:i/>
          <w:iCs/>
          <w:sz w:val="22"/>
          <w:szCs w:val="22"/>
          <w:lang w:val="es-CR"/>
        </w:rPr>
        <w:fldChar w:fldCharType="end"/>
      </w:r>
      <w:r w:rsidRPr="00832773">
        <w:rPr>
          <w:rFonts w:ascii="Book Antiqua" w:hAnsi="Book Antiqua"/>
          <w:i/>
          <w:iCs/>
          <w:sz w:val="22"/>
          <w:szCs w:val="22"/>
          <w:lang w:val="es-CR"/>
        </w:rPr>
        <w:t xml:space="preserve"> </w:t>
      </w:r>
    </w:p>
    <w:p w14:paraId="3D362CA2" w14:textId="25C0AF41" w:rsidR="00B96FBA" w:rsidRPr="00832773" w:rsidRDefault="00B96FBA" w:rsidP="00832773">
      <w:pPr>
        <w:spacing w:line="276" w:lineRule="auto"/>
        <w:jc w:val="center"/>
        <w:rPr>
          <w:b/>
          <w:bCs/>
          <w:i/>
          <w:iCs/>
          <w:sz w:val="22"/>
          <w:szCs w:val="22"/>
        </w:rPr>
      </w:pPr>
      <w:r w:rsidRPr="00832773">
        <w:rPr>
          <w:b/>
          <w:bCs/>
          <w:i/>
          <w:iCs/>
          <w:sz w:val="22"/>
          <w:szCs w:val="22"/>
        </w:rPr>
        <w:t>Impacto en la entrada de los Juzgados</w:t>
      </w:r>
      <w:r w:rsidR="00AA09E0" w:rsidRPr="00832773">
        <w:rPr>
          <w:b/>
          <w:bCs/>
          <w:i/>
          <w:iCs/>
          <w:sz w:val="22"/>
          <w:szCs w:val="22"/>
        </w:rPr>
        <w:t xml:space="preserve"> Civiles </w:t>
      </w:r>
      <w:r w:rsidRPr="00832773">
        <w:rPr>
          <w:b/>
          <w:bCs/>
          <w:i/>
          <w:iCs/>
          <w:sz w:val="22"/>
          <w:szCs w:val="22"/>
        </w:rPr>
        <w:t>según escenario A,</w:t>
      </w:r>
      <w:r w:rsidR="00F37A28" w:rsidRPr="00832773">
        <w:rPr>
          <w:b/>
          <w:bCs/>
          <w:i/>
          <w:iCs/>
          <w:sz w:val="22"/>
          <w:szCs w:val="22"/>
        </w:rPr>
        <w:t xml:space="preserve"> </w:t>
      </w:r>
      <w:r w:rsidRPr="00832773">
        <w:rPr>
          <w:b/>
          <w:bCs/>
          <w:i/>
          <w:iCs/>
          <w:sz w:val="22"/>
          <w:szCs w:val="22"/>
        </w:rPr>
        <w:t>B,</w:t>
      </w:r>
      <w:r w:rsidR="00F37A28" w:rsidRPr="00832773">
        <w:rPr>
          <w:b/>
          <w:bCs/>
          <w:i/>
          <w:iCs/>
          <w:sz w:val="22"/>
          <w:szCs w:val="22"/>
        </w:rPr>
        <w:t xml:space="preserve"> </w:t>
      </w:r>
      <w:r w:rsidRPr="00832773">
        <w:rPr>
          <w:b/>
          <w:bCs/>
          <w:i/>
          <w:iCs/>
          <w:sz w:val="22"/>
          <w:szCs w:val="22"/>
        </w:rPr>
        <w:t>C</w:t>
      </w:r>
      <w:r w:rsidR="00F37A28" w:rsidRPr="00832773">
        <w:rPr>
          <w:b/>
          <w:bCs/>
          <w:i/>
          <w:iCs/>
          <w:sz w:val="22"/>
          <w:szCs w:val="22"/>
        </w:rPr>
        <w:t xml:space="preserve"> y</w:t>
      </w:r>
      <w:r w:rsidR="00CE51A6" w:rsidRPr="00832773">
        <w:rPr>
          <w:b/>
          <w:bCs/>
          <w:i/>
          <w:iCs/>
          <w:sz w:val="22"/>
          <w:szCs w:val="22"/>
        </w:rPr>
        <w:t xml:space="preserve"> </w:t>
      </w:r>
      <w:r w:rsidRPr="00832773">
        <w:rPr>
          <w:b/>
          <w:bCs/>
          <w:i/>
          <w:iCs/>
          <w:sz w:val="22"/>
          <w:szCs w:val="22"/>
        </w:rPr>
        <w:t>D</w:t>
      </w:r>
    </w:p>
    <w:p w14:paraId="5988A514" w14:textId="59FAC196" w:rsidR="00B96FBA" w:rsidRPr="004E74A6" w:rsidRDefault="00FB2E1C" w:rsidP="00832773">
      <w:pPr>
        <w:spacing w:line="276" w:lineRule="auto"/>
        <w:ind w:left="426"/>
        <w:rPr>
          <w:rFonts w:eastAsia="Calibri"/>
          <w:i/>
          <w:iCs/>
          <w:sz w:val="20"/>
          <w:szCs w:val="16"/>
          <w:lang w:eastAsia="en-US"/>
        </w:rPr>
      </w:pPr>
      <w:r w:rsidRPr="00832773">
        <w:rPr>
          <w:rFonts w:ascii="Arial" w:eastAsia="Calibri" w:hAnsi="Arial" w:cs="Arial"/>
          <w:noProof/>
          <w:szCs w:val="24"/>
          <w:lang w:eastAsia="en-US"/>
        </w:rPr>
        <w:drawing>
          <wp:anchor distT="0" distB="0" distL="114300" distR="114300" simplePos="0" relativeHeight="251660288" behindDoc="1" locked="0" layoutInCell="1" allowOverlap="1" wp14:anchorId="6A31DCD6" wp14:editId="35623D29">
            <wp:simplePos x="0" y="0"/>
            <wp:positionH relativeFrom="column">
              <wp:posOffset>132715</wp:posOffset>
            </wp:positionH>
            <wp:positionV relativeFrom="paragraph">
              <wp:posOffset>49530</wp:posOffset>
            </wp:positionV>
            <wp:extent cx="5132705" cy="3019425"/>
            <wp:effectExtent l="0" t="0" r="0" b="9525"/>
            <wp:wrapSquare wrapText="bothSides"/>
            <wp:docPr id="19" name="Diagrama 1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8" r:lo="rId39" r:qs="rId40" r:cs="rId41"/>
              </a:graphicData>
            </a:graphic>
            <wp14:sizeRelH relativeFrom="page">
              <wp14:pctWidth>0</wp14:pctWidth>
            </wp14:sizeRelH>
            <wp14:sizeRelV relativeFrom="page">
              <wp14:pctHeight>0</wp14:pctHeight>
            </wp14:sizeRelV>
          </wp:anchor>
        </w:drawing>
      </w:r>
      <w:r w:rsidR="00967851" w:rsidRPr="004E74A6">
        <w:rPr>
          <w:rFonts w:eastAsia="Calibri"/>
          <w:b/>
          <w:bCs/>
          <w:i/>
          <w:iCs/>
          <w:sz w:val="20"/>
          <w:szCs w:val="16"/>
          <w:lang w:eastAsia="en-US"/>
        </w:rPr>
        <w:t xml:space="preserve">           </w:t>
      </w:r>
      <w:r w:rsidR="00B96FBA" w:rsidRPr="004E74A6">
        <w:rPr>
          <w:rFonts w:eastAsia="Calibri"/>
          <w:b/>
          <w:bCs/>
          <w:i/>
          <w:iCs/>
          <w:sz w:val="20"/>
          <w:szCs w:val="16"/>
          <w:lang w:eastAsia="en-US"/>
        </w:rPr>
        <w:t>Fuente</w:t>
      </w:r>
      <w:r w:rsidR="00B96FBA" w:rsidRPr="004E74A6">
        <w:rPr>
          <w:rFonts w:eastAsia="Calibri"/>
          <w:i/>
          <w:iCs/>
          <w:sz w:val="20"/>
          <w:szCs w:val="16"/>
          <w:lang w:eastAsia="en-US"/>
        </w:rPr>
        <w:t>: Subproceso de Modernización Institucional.</w:t>
      </w:r>
    </w:p>
    <w:p w14:paraId="0091E476" w14:textId="107B54C8" w:rsidR="00B96FBA" w:rsidRPr="00832773" w:rsidRDefault="00B96FBA" w:rsidP="00832773">
      <w:pPr>
        <w:pStyle w:val="Prrafodelista"/>
        <w:spacing w:line="276" w:lineRule="auto"/>
        <w:rPr>
          <w:rFonts w:eastAsia="Calibri"/>
          <w:lang w:val="es-CR" w:eastAsia="en-US"/>
        </w:rPr>
      </w:pPr>
    </w:p>
    <w:p w14:paraId="2D8A00CF" w14:textId="21B5B846" w:rsidR="00B96FBA" w:rsidRPr="00832773" w:rsidRDefault="00B96FBA" w:rsidP="00F0204A">
      <w:pPr>
        <w:pStyle w:val="Descripcin"/>
        <w:keepNext/>
        <w:spacing w:line="276" w:lineRule="auto"/>
        <w:jc w:val="center"/>
        <w:rPr>
          <w:rFonts w:ascii="Book Antiqua" w:hAnsi="Book Antiqua"/>
          <w:i/>
          <w:iCs/>
          <w:sz w:val="22"/>
          <w:szCs w:val="22"/>
          <w:lang w:val="es-CR"/>
        </w:rPr>
      </w:pPr>
      <w:r w:rsidRPr="00832773">
        <w:rPr>
          <w:rFonts w:ascii="Book Antiqua" w:hAnsi="Book Antiqua"/>
          <w:i/>
          <w:iCs/>
          <w:sz w:val="22"/>
          <w:szCs w:val="22"/>
          <w:lang w:val="es-CR"/>
        </w:rPr>
        <w:t xml:space="preserve">Ilustración </w:t>
      </w:r>
      <w:r w:rsidRPr="00832773">
        <w:rPr>
          <w:rFonts w:ascii="Book Antiqua" w:hAnsi="Book Antiqua"/>
          <w:i/>
          <w:iCs/>
          <w:sz w:val="22"/>
          <w:szCs w:val="22"/>
          <w:lang w:val="es-CR"/>
        </w:rPr>
        <w:fldChar w:fldCharType="begin"/>
      </w:r>
      <w:r w:rsidRPr="00832773">
        <w:rPr>
          <w:rFonts w:ascii="Book Antiqua" w:hAnsi="Book Antiqua"/>
          <w:i/>
          <w:iCs/>
          <w:sz w:val="22"/>
          <w:szCs w:val="22"/>
          <w:lang w:val="es-CR"/>
        </w:rPr>
        <w:instrText xml:space="preserve"> SEQ Ilustración \* ARABIC </w:instrText>
      </w:r>
      <w:r w:rsidRPr="00832773">
        <w:rPr>
          <w:rFonts w:ascii="Book Antiqua" w:hAnsi="Book Antiqua"/>
          <w:i/>
          <w:iCs/>
          <w:sz w:val="22"/>
          <w:szCs w:val="22"/>
          <w:lang w:val="es-CR"/>
        </w:rPr>
        <w:fldChar w:fldCharType="separate"/>
      </w:r>
      <w:r w:rsidR="00755589" w:rsidRPr="00832773">
        <w:rPr>
          <w:rFonts w:ascii="Book Antiqua" w:hAnsi="Book Antiqua"/>
          <w:i/>
          <w:iCs/>
          <w:noProof/>
          <w:sz w:val="22"/>
          <w:szCs w:val="22"/>
          <w:lang w:val="es-CR"/>
        </w:rPr>
        <w:t>7</w:t>
      </w:r>
      <w:r w:rsidRPr="00832773">
        <w:rPr>
          <w:rFonts w:ascii="Book Antiqua" w:hAnsi="Book Antiqua"/>
          <w:i/>
          <w:iCs/>
          <w:sz w:val="22"/>
          <w:szCs w:val="22"/>
          <w:lang w:val="es-CR"/>
        </w:rPr>
        <w:fldChar w:fldCharType="end"/>
      </w:r>
      <w:r w:rsidRPr="00832773">
        <w:rPr>
          <w:rFonts w:ascii="Book Antiqua" w:hAnsi="Book Antiqua"/>
          <w:i/>
          <w:iCs/>
          <w:sz w:val="22"/>
          <w:szCs w:val="22"/>
          <w:lang w:val="es-CR"/>
        </w:rPr>
        <w:t xml:space="preserve"> </w:t>
      </w:r>
    </w:p>
    <w:p w14:paraId="224DC258" w14:textId="5B492E0B" w:rsidR="00B96FBA" w:rsidRPr="00832773" w:rsidRDefault="00E56FB6" w:rsidP="00832773">
      <w:pPr>
        <w:spacing w:line="276" w:lineRule="auto"/>
        <w:jc w:val="center"/>
        <w:rPr>
          <w:b/>
          <w:bCs/>
          <w:i/>
          <w:iCs/>
          <w:sz w:val="22"/>
          <w:szCs w:val="22"/>
        </w:rPr>
      </w:pPr>
      <w:r w:rsidRPr="004E74A6">
        <w:rPr>
          <w:rFonts w:eastAsia="Calibri"/>
          <w:noProof/>
          <w:lang w:eastAsia="en-US"/>
        </w:rPr>
        <w:drawing>
          <wp:anchor distT="0" distB="0" distL="114300" distR="114300" simplePos="0" relativeHeight="251661312" behindDoc="1" locked="0" layoutInCell="1" allowOverlap="1" wp14:anchorId="36046923" wp14:editId="02B22DDB">
            <wp:simplePos x="0" y="0"/>
            <wp:positionH relativeFrom="column">
              <wp:posOffset>183515</wp:posOffset>
            </wp:positionH>
            <wp:positionV relativeFrom="paragraph">
              <wp:posOffset>477520</wp:posOffset>
            </wp:positionV>
            <wp:extent cx="5132705" cy="2870200"/>
            <wp:effectExtent l="0" t="0" r="0" b="25400"/>
            <wp:wrapSquare wrapText="bothSides"/>
            <wp:docPr id="20" name="Diagrama 2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3" r:lo="rId44" r:qs="rId45" r:cs="rId46"/>
              </a:graphicData>
            </a:graphic>
            <wp14:sizeRelH relativeFrom="page">
              <wp14:pctWidth>0</wp14:pctWidth>
            </wp14:sizeRelH>
            <wp14:sizeRelV relativeFrom="page">
              <wp14:pctHeight>0</wp14:pctHeight>
            </wp14:sizeRelV>
          </wp:anchor>
        </w:drawing>
      </w:r>
      <w:r w:rsidR="00B96FBA" w:rsidRPr="00832773">
        <w:rPr>
          <w:b/>
          <w:bCs/>
          <w:i/>
          <w:iCs/>
          <w:sz w:val="22"/>
          <w:szCs w:val="22"/>
        </w:rPr>
        <w:t xml:space="preserve">Impacto en la entrada de </w:t>
      </w:r>
      <w:r w:rsidR="00C10EDF" w:rsidRPr="00832773">
        <w:rPr>
          <w:b/>
          <w:bCs/>
          <w:i/>
          <w:iCs/>
          <w:sz w:val="22"/>
          <w:szCs w:val="22"/>
        </w:rPr>
        <w:t>los Tribunales Colegiados de Primera Instancia Civil</w:t>
      </w:r>
      <w:r w:rsidR="00B96FBA" w:rsidRPr="00832773">
        <w:rPr>
          <w:b/>
          <w:bCs/>
          <w:i/>
          <w:iCs/>
          <w:sz w:val="22"/>
          <w:szCs w:val="22"/>
        </w:rPr>
        <w:t xml:space="preserve"> según escenario A,</w:t>
      </w:r>
      <w:r w:rsidR="00C74667" w:rsidRPr="00832773">
        <w:rPr>
          <w:b/>
          <w:bCs/>
          <w:i/>
          <w:iCs/>
          <w:sz w:val="22"/>
          <w:szCs w:val="22"/>
        </w:rPr>
        <w:t xml:space="preserve"> </w:t>
      </w:r>
      <w:r w:rsidR="00B96FBA" w:rsidRPr="00832773">
        <w:rPr>
          <w:b/>
          <w:bCs/>
          <w:i/>
          <w:iCs/>
          <w:sz w:val="22"/>
          <w:szCs w:val="22"/>
        </w:rPr>
        <w:t>B,</w:t>
      </w:r>
      <w:r w:rsidR="00C74667" w:rsidRPr="00832773">
        <w:rPr>
          <w:b/>
          <w:bCs/>
          <w:i/>
          <w:iCs/>
          <w:sz w:val="22"/>
          <w:szCs w:val="22"/>
        </w:rPr>
        <w:t xml:space="preserve"> </w:t>
      </w:r>
      <w:r w:rsidR="00B96FBA" w:rsidRPr="00832773">
        <w:rPr>
          <w:b/>
          <w:bCs/>
          <w:i/>
          <w:iCs/>
          <w:sz w:val="22"/>
          <w:szCs w:val="22"/>
        </w:rPr>
        <w:t>C</w:t>
      </w:r>
      <w:r w:rsidR="00C74667" w:rsidRPr="00832773">
        <w:rPr>
          <w:b/>
          <w:bCs/>
          <w:i/>
          <w:iCs/>
          <w:sz w:val="22"/>
          <w:szCs w:val="22"/>
        </w:rPr>
        <w:t xml:space="preserve"> y</w:t>
      </w:r>
      <w:r w:rsidR="00CE51A6" w:rsidRPr="00832773">
        <w:rPr>
          <w:b/>
          <w:bCs/>
          <w:i/>
          <w:iCs/>
          <w:sz w:val="22"/>
          <w:szCs w:val="22"/>
        </w:rPr>
        <w:t xml:space="preserve"> </w:t>
      </w:r>
      <w:r w:rsidR="00B96FBA" w:rsidRPr="00832773">
        <w:rPr>
          <w:b/>
          <w:bCs/>
          <w:i/>
          <w:iCs/>
          <w:sz w:val="22"/>
          <w:szCs w:val="22"/>
        </w:rPr>
        <w:t>D</w:t>
      </w:r>
    </w:p>
    <w:p w14:paraId="61C0A19A" w14:textId="77777777" w:rsidR="00B96FBA" w:rsidRPr="004E74A6" w:rsidRDefault="00B96FBA" w:rsidP="00832773">
      <w:pPr>
        <w:spacing w:line="276" w:lineRule="auto"/>
        <w:ind w:left="567"/>
        <w:rPr>
          <w:rFonts w:eastAsia="Calibri"/>
          <w:i/>
          <w:iCs/>
          <w:sz w:val="20"/>
          <w:szCs w:val="16"/>
          <w:lang w:eastAsia="en-US"/>
        </w:rPr>
      </w:pPr>
      <w:r w:rsidRPr="004E74A6">
        <w:rPr>
          <w:rFonts w:eastAsia="Calibri"/>
          <w:b/>
          <w:bCs/>
          <w:i/>
          <w:iCs/>
          <w:sz w:val="20"/>
          <w:szCs w:val="16"/>
          <w:lang w:eastAsia="en-US"/>
        </w:rPr>
        <w:t>Fuente</w:t>
      </w:r>
      <w:r w:rsidRPr="004E74A6">
        <w:rPr>
          <w:rFonts w:eastAsia="Calibri"/>
          <w:i/>
          <w:iCs/>
          <w:sz w:val="20"/>
          <w:szCs w:val="16"/>
          <w:lang w:eastAsia="en-US"/>
        </w:rPr>
        <w:t>: Subproceso de Modernización Institucional.</w:t>
      </w:r>
    </w:p>
    <w:p w14:paraId="4C27F66F" w14:textId="70C27120" w:rsidR="00B96FBA" w:rsidRPr="00832773" w:rsidRDefault="00B96FBA" w:rsidP="00F0204A">
      <w:pPr>
        <w:pStyle w:val="Descripcin"/>
        <w:keepNext/>
        <w:spacing w:line="276" w:lineRule="auto"/>
        <w:jc w:val="center"/>
        <w:rPr>
          <w:rFonts w:ascii="Book Antiqua" w:hAnsi="Book Antiqua"/>
          <w:i/>
          <w:iCs/>
          <w:sz w:val="22"/>
          <w:szCs w:val="22"/>
          <w:lang w:val="es-CR"/>
        </w:rPr>
      </w:pPr>
      <w:r w:rsidRPr="00832773">
        <w:rPr>
          <w:rFonts w:ascii="Book Antiqua" w:hAnsi="Book Antiqua"/>
          <w:i/>
          <w:iCs/>
          <w:sz w:val="22"/>
          <w:szCs w:val="22"/>
          <w:lang w:val="es-CR"/>
        </w:rPr>
        <w:lastRenderedPageBreak/>
        <w:t xml:space="preserve">Ilustración </w:t>
      </w:r>
      <w:r w:rsidRPr="00832773">
        <w:rPr>
          <w:rFonts w:ascii="Book Antiqua" w:hAnsi="Book Antiqua"/>
          <w:i/>
          <w:iCs/>
          <w:sz w:val="22"/>
          <w:szCs w:val="22"/>
          <w:lang w:val="es-CR"/>
        </w:rPr>
        <w:fldChar w:fldCharType="begin"/>
      </w:r>
      <w:r w:rsidRPr="00832773">
        <w:rPr>
          <w:rFonts w:ascii="Book Antiqua" w:hAnsi="Book Antiqua"/>
          <w:i/>
          <w:iCs/>
          <w:sz w:val="22"/>
          <w:szCs w:val="22"/>
          <w:lang w:val="es-CR"/>
        </w:rPr>
        <w:instrText xml:space="preserve"> SEQ Ilustración \* ARABIC </w:instrText>
      </w:r>
      <w:r w:rsidRPr="00832773">
        <w:rPr>
          <w:rFonts w:ascii="Book Antiqua" w:hAnsi="Book Antiqua"/>
          <w:i/>
          <w:iCs/>
          <w:sz w:val="22"/>
          <w:szCs w:val="22"/>
          <w:lang w:val="es-CR"/>
        </w:rPr>
        <w:fldChar w:fldCharType="separate"/>
      </w:r>
      <w:r w:rsidR="00755589" w:rsidRPr="00832773">
        <w:rPr>
          <w:rFonts w:ascii="Book Antiqua" w:hAnsi="Book Antiqua"/>
          <w:i/>
          <w:iCs/>
          <w:noProof/>
          <w:sz w:val="22"/>
          <w:szCs w:val="22"/>
          <w:lang w:val="es-CR"/>
        </w:rPr>
        <w:t>8</w:t>
      </w:r>
      <w:r w:rsidRPr="00832773">
        <w:rPr>
          <w:rFonts w:ascii="Book Antiqua" w:hAnsi="Book Antiqua"/>
          <w:i/>
          <w:iCs/>
          <w:sz w:val="22"/>
          <w:szCs w:val="22"/>
          <w:lang w:val="es-CR"/>
        </w:rPr>
        <w:fldChar w:fldCharType="end"/>
      </w:r>
      <w:r w:rsidRPr="00832773">
        <w:rPr>
          <w:rFonts w:ascii="Book Antiqua" w:hAnsi="Book Antiqua"/>
          <w:i/>
          <w:iCs/>
          <w:sz w:val="22"/>
          <w:szCs w:val="22"/>
          <w:lang w:val="es-CR"/>
        </w:rPr>
        <w:t xml:space="preserve"> </w:t>
      </w:r>
    </w:p>
    <w:p w14:paraId="3425DBD0" w14:textId="245654AE" w:rsidR="00B96FBA" w:rsidRPr="00832773" w:rsidRDefault="003A50EA" w:rsidP="00832773">
      <w:pPr>
        <w:spacing w:line="276" w:lineRule="auto"/>
        <w:jc w:val="center"/>
        <w:rPr>
          <w:b/>
          <w:bCs/>
          <w:i/>
          <w:iCs/>
          <w:sz w:val="22"/>
          <w:szCs w:val="22"/>
        </w:rPr>
      </w:pPr>
      <w:r w:rsidRPr="004E74A6">
        <w:rPr>
          <w:rFonts w:eastAsia="Calibri"/>
          <w:noProof/>
          <w:lang w:eastAsia="en-US"/>
        </w:rPr>
        <w:drawing>
          <wp:anchor distT="0" distB="0" distL="114300" distR="114300" simplePos="0" relativeHeight="251662336" behindDoc="1" locked="0" layoutInCell="1" allowOverlap="1" wp14:anchorId="7E8832E1" wp14:editId="1114B678">
            <wp:simplePos x="0" y="0"/>
            <wp:positionH relativeFrom="column">
              <wp:posOffset>135255</wp:posOffset>
            </wp:positionH>
            <wp:positionV relativeFrom="paragraph">
              <wp:posOffset>282575</wp:posOffset>
            </wp:positionV>
            <wp:extent cx="5259070" cy="3444875"/>
            <wp:effectExtent l="38100" t="0" r="55880" b="0"/>
            <wp:wrapSquare wrapText="bothSides"/>
            <wp:docPr id="21" name="Diagrama 2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8" r:lo="rId49" r:qs="rId50" r:cs="rId51"/>
              </a:graphicData>
            </a:graphic>
            <wp14:sizeRelH relativeFrom="page">
              <wp14:pctWidth>0</wp14:pctWidth>
            </wp14:sizeRelH>
            <wp14:sizeRelV relativeFrom="page">
              <wp14:pctHeight>0</wp14:pctHeight>
            </wp14:sizeRelV>
          </wp:anchor>
        </w:drawing>
      </w:r>
      <w:r w:rsidR="00B96FBA" w:rsidRPr="00832773">
        <w:rPr>
          <w:b/>
          <w:bCs/>
          <w:i/>
          <w:iCs/>
          <w:sz w:val="22"/>
          <w:szCs w:val="22"/>
        </w:rPr>
        <w:t xml:space="preserve">Impacto en la entrada de </w:t>
      </w:r>
      <w:r w:rsidR="004C7C60" w:rsidRPr="00832773">
        <w:rPr>
          <w:b/>
          <w:bCs/>
          <w:i/>
          <w:iCs/>
          <w:sz w:val="22"/>
          <w:szCs w:val="22"/>
        </w:rPr>
        <w:t>los Tribunales de Apelación Civil</w:t>
      </w:r>
      <w:r w:rsidR="00B96FBA" w:rsidRPr="00832773">
        <w:rPr>
          <w:b/>
          <w:bCs/>
          <w:i/>
          <w:iCs/>
          <w:sz w:val="22"/>
          <w:szCs w:val="22"/>
        </w:rPr>
        <w:t xml:space="preserve"> según escenario A,</w:t>
      </w:r>
      <w:r w:rsidR="00C74667" w:rsidRPr="00832773">
        <w:rPr>
          <w:b/>
          <w:bCs/>
          <w:i/>
          <w:iCs/>
          <w:sz w:val="22"/>
          <w:szCs w:val="22"/>
        </w:rPr>
        <w:t xml:space="preserve"> </w:t>
      </w:r>
      <w:r w:rsidR="00B96FBA" w:rsidRPr="00832773">
        <w:rPr>
          <w:b/>
          <w:bCs/>
          <w:i/>
          <w:iCs/>
          <w:sz w:val="22"/>
          <w:szCs w:val="22"/>
        </w:rPr>
        <w:t>B,</w:t>
      </w:r>
      <w:r w:rsidR="00C74667" w:rsidRPr="00832773">
        <w:rPr>
          <w:b/>
          <w:bCs/>
          <w:i/>
          <w:iCs/>
          <w:sz w:val="22"/>
          <w:szCs w:val="22"/>
        </w:rPr>
        <w:t xml:space="preserve"> </w:t>
      </w:r>
      <w:r w:rsidR="00B96FBA" w:rsidRPr="00832773">
        <w:rPr>
          <w:b/>
          <w:bCs/>
          <w:i/>
          <w:iCs/>
          <w:sz w:val="22"/>
          <w:szCs w:val="22"/>
        </w:rPr>
        <w:t>C</w:t>
      </w:r>
      <w:r w:rsidR="00C74667" w:rsidRPr="00832773">
        <w:rPr>
          <w:b/>
          <w:bCs/>
          <w:i/>
          <w:iCs/>
          <w:sz w:val="22"/>
          <w:szCs w:val="22"/>
        </w:rPr>
        <w:t xml:space="preserve"> y </w:t>
      </w:r>
      <w:r w:rsidR="00B96FBA" w:rsidRPr="00832773">
        <w:rPr>
          <w:b/>
          <w:bCs/>
          <w:i/>
          <w:iCs/>
          <w:sz w:val="22"/>
          <w:szCs w:val="22"/>
        </w:rPr>
        <w:t>D</w:t>
      </w:r>
    </w:p>
    <w:p w14:paraId="4B00F372" w14:textId="41D8B767" w:rsidR="00B96FBA" w:rsidRPr="004E74A6" w:rsidRDefault="00B96FBA" w:rsidP="00832773">
      <w:pPr>
        <w:spacing w:line="276" w:lineRule="auto"/>
        <w:ind w:left="142"/>
        <w:rPr>
          <w:rFonts w:eastAsia="Calibri"/>
          <w:i/>
          <w:iCs/>
          <w:sz w:val="20"/>
          <w:szCs w:val="16"/>
          <w:lang w:eastAsia="en-US"/>
        </w:rPr>
      </w:pPr>
      <w:r w:rsidRPr="004E74A6">
        <w:rPr>
          <w:rFonts w:eastAsia="Calibri"/>
          <w:b/>
          <w:bCs/>
          <w:i/>
          <w:iCs/>
          <w:sz w:val="20"/>
          <w:szCs w:val="16"/>
          <w:lang w:eastAsia="en-US"/>
        </w:rPr>
        <w:t>Fuente</w:t>
      </w:r>
      <w:r w:rsidRPr="004E74A6">
        <w:rPr>
          <w:rFonts w:eastAsia="Calibri"/>
          <w:i/>
          <w:iCs/>
          <w:sz w:val="20"/>
          <w:szCs w:val="16"/>
          <w:lang w:eastAsia="en-US"/>
        </w:rPr>
        <w:t>: Subproceso de Modernización Institucional.</w:t>
      </w:r>
    </w:p>
    <w:p w14:paraId="3200AF21" w14:textId="1D806E61" w:rsidR="004C7C60" w:rsidRPr="004E74A6" w:rsidRDefault="004C7C60" w:rsidP="00832773">
      <w:pPr>
        <w:spacing w:line="276" w:lineRule="auto"/>
        <w:ind w:left="142"/>
        <w:rPr>
          <w:rFonts w:eastAsia="Calibri"/>
          <w:i/>
          <w:iCs/>
          <w:sz w:val="20"/>
          <w:szCs w:val="16"/>
          <w:lang w:eastAsia="en-US"/>
        </w:rPr>
      </w:pPr>
      <w:r w:rsidRPr="00832773">
        <w:rPr>
          <w:rFonts w:eastAsia="Calibri"/>
          <w:b/>
          <w:bCs/>
          <w:i/>
          <w:iCs/>
          <w:sz w:val="20"/>
          <w:szCs w:val="16"/>
          <w:lang w:eastAsia="en-US"/>
        </w:rPr>
        <w:t>Nota</w:t>
      </w:r>
      <w:r w:rsidRPr="004E74A6">
        <w:rPr>
          <w:rFonts w:eastAsia="Calibri"/>
          <w:i/>
          <w:iCs/>
          <w:sz w:val="20"/>
          <w:szCs w:val="16"/>
          <w:lang w:eastAsia="en-US"/>
        </w:rPr>
        <w:t>: En el caso de los Tribunales de Apelación al revisar los datos no se estiman los recursos, por lo cual no es posible obtener las estadísticas que permitan obtener más cercanía al porcentaje de impacto.</w:t>
      </w:r>
    </w:p>
    <w:p w14:paraId="0185FEA8" w14:textId="699C63C7" w:rsidR="00F91A90" w:rsidRPr="004E74A6" w:rsidRDefault="00F91A90" w:rsidP="00832773">
      <w:pPr>
        <w:spacing w:line="276" w:lineRule="auto"/>
        <w:ind w:left="142"/>
        <w:rPr>
          <w:rFonts w:eastAsia="Calibri"/>
          <w:i/>
          <w:iCs/>
          <w:sz w:val="20"/>
          <w:szCs w:val="16"/>
          <w:lang w:eastAsia="en-US"/>
        </w:rPr>
      </w:pPr>
      <w:r w:rsidRPr="004E74A6">
        <w:rPr>
          <w:rFonts w:eastAsia="Calibri"/>
          <w:i/>
          <w:iCs/>
          <w:sz w:val="20"/>
          <w:szCs w:val="16"/>
          <w:lang w:eastAsia="en-US"/>
        </w:rPr>
        <w:t xml:space="preserve">El impacto en materia de Cobro Judicial sería respecto a los asuntos que ahora no tienen apelación (artículo 67.3) y que de elevarse la cuantía si contaran con recurso, lo que afectaría </w:t>
      </w:r>
      <w:r w:rsidR="00537E72" w:rsidRPr="004E74A6">
        <w:rPr>
          <w:rFonts w:eastAsia="Calibri"/>
          <w:i/>
          <w:iCs/>
          <w:sz w:val="20"/>
          <w:szCs w:val="16"/>
          <w:lang w:eastAsia="en-US"/>
        </w:rPr>
        <w:t xml:space="preserve">a todos los tribunales del país, salvo el Tribunal Segundo de Apelación </w:t>
      </w:r>
      <w:r w:rsidR="008D51C4" w:rsidRPr="004E74A6">
        <w:rPr>
          <w:rFonts w:eastAsia="Calibri"/>
          <w:i/>
          <w:iCs/>
          <w:sz w:val="20"/>
          <w:szCs w:val="16"/>
          <w:lang w:eastAsia="en-US"/>
        </w:rPr>
        <w:t>Civil de</w:t>
      </w:r>
      <w:r w:rsidR="00537E72" w:rsidRPr="004E74A6">
        <w:rPr>
          <w:rFonts w:eastAsia="Calibri"/>
          <w:i/>
          <w:iCs/>
          <w:sz w:val="20"/>
          <w:szCs w:val="16"/>
          <w:lang w:eastAsia="en-US"/>
        </w:rPr>
        <w:t xml:space="preserve"> San José que no conoce Cobro. </w:t>
      </w:r>
    </w:p>
    <w:p w14:paraId="4EAFDFC2" w14:textId="74700AA8" w:rsidR="00B96FBA" w:rsidRPr="004E74A6" w:rsidRDefault="00F91A90" w:rsidP="00CE62C1">
      <w:pPr>
        <w:spacing w:line="276" w:lineRule="auto"/>
        <w:rPr>
          <w:rFonts w:eastAsia="Calibri"/>
          <w:lang w:eastAsia="en-US"/>
        </w:rPr>
      </w:pPr>
      <w:r w:rsidRPr="004E74A6">
        <w:rPr>
          <w:rFonts w:eastAsia="Calibri"/>
          <w:lang w:eastAsia="en-US"/>
        </w:rPr>
        <w:t xml:space="preserve"> </w:t>
      </w:r>
    </w:p>
    <w:p w14:paraId="205CB323" w14:textId="51CBF697" w:rsidR="003A50EA" w:rsidRPr="00832773" w:rsidRDefault="003A50EA" w:rsidP="003A50EA">
      <w:pPr>
        <w:pStyle w:val="Descripcin"/>
        <w:keepNext/>
        <w:spacing w:line="276" w:lineRule="auto"/>
        <w:jc w:val="center"/>
        <w:rPr>
          <w:rFonts w:ascii="Book Antiqua" w:hAnsi="Book Antiqua"/>
          <w:i/>
          <w:iCs/>
          <w:sz w:val="22"/>
          <w:szCs w:val="22"/>
          <w:lang w:val="es-CR"/>
        </w:rPr>
      </w:pPr>
      <w:r w:rsidRPr="00832773">
        <w:rPr>
          <w:rFonts w:ascii="Book Antiqua" w:hAnsi="Book Antiqua"/>
          <w:i/>
          <w:iCs/>
          <w:sz w:val="22"/>
          <w:szCs w:val="22"/>
          <w:lang w:val="es-CR"/>
        </w:rPr>
        <w:lastRenderedPageBreak/>
        <w:t xml:space="preserve">Ilustración </w:t>
      </w:r>
      <w:r w:rsidRPr="00832773">
        <w:rPr>
          <w:rFonts w:ascii="Book Antiqua" w:hAnsi="Book Antiqua"/>
          <w:i/>
          <w:iCs/>
          <w:sz w:val="22"/>
          <w:szCs w:val="22"/>
          <w:lang w:val="es-CR"/>
        </w:rPr>
        <w:fldChar w:fldCharType="begin"/>
      </w:r>
      <w:r w:rsidRPr="00832773">
        <w:rPr>
          <w:rFonts w:ascii="Book Antiqua" w:hAnsi="Book Antiqua"/>
          <w:i/>
          <w:iCs/>
          <w:sz w:val="22"/>
          <w:szCs w:val="22"/>
          <w:lang w:val="es-CR"/>
        </w:rPr>
        <w:instrText xml:space="preserve"> SEQ Ilustración \* ARABIC </w:instrText>
      </w:r>
      <w:r w:rsidRPr="00832773">
        <w:rPr>
          <w:rFonts w:ascii="Book Antiqua" w:hAnsi="Book Antiqua"/>
          <w:i/>
          <w:iCs/>
          <w:sz w:val="22"/>
          <w:szCs w:val="22"/>
          <w:lang w:val="es-CR"/>
        </w:rPr>
        <w:fldChar w:fldCharType="separate"/>
      </w:r>
      <w:r w:rsidR="00755589" w:rsidRPr="00832773">
        <w:rPr>
          <w:rFonts w:ascii="Book Antiqua" w:hAnsi="Book Antiqua"/>
          <w:i/>
          <w:iCs/>
          <w:noProof/>
          <w:sz w:val="22"/>
          <w:szCs w:val="22"/>
          <w:lang w:val="es-CR"/>
        </w:rPr>
        <w:t>9</w:t>
      </w:r>
      <w:r w:rsidRPr="00832773">
        <w:rPr>
          <w:rFonts w:ascii="Book Antiqua" w:hAnsi="Book Antiqua"/>
          <w:i/>
          <w:iCs/>
          <w:sz w:val="22"/>
          <w:szCs w:val="22"/>
          <w:lang w:val="es-CR"/>
        </w:rPr>
        <w:fldChar w:fldCharType="end"/>
      </w:r>
      <w:r w:rsidRPr="00832773">
        <w:rPr>
          <w:rFonts w:ascii="Book Antiqua" w:hAnsi="Book Antiqua"/>
          <w:i/>
          <w:iCs/>
          <w:sz w:val="22"/>
          <w:szCs w:val="22"/>
          <w:lang w:val="es-CR"/>
        </w:rPr>
        <w:t xml:space="preserve"> </w:t>
      </w:r>
    </w:p>
    <w:p w14:paraId="1F50FCA4" w14:textId="4BC95DE4" w:rsidR="003A50EA" w:rsidRPr="00832773" w:rsidRDefault="003A50EA" w:rsidP="003A50EA">
      <w:pPr>
        <w:spacing w:line="276" w:lineRule="auto"/>
        <w:jc w:val="center"/>
        <w:rPr>
          <w:b/>
          <w:bCs/>
          <w:i/>
          <w:iCs/>
          <w:sz w:val="22"/>
          <w:szCs w:val="22"/>
        </w:rPr>
      </w:pPr>
      <w:r w:rsidRPr="004E74A6">
        <w:rPr>
          <w:rFonts w:eastAsia="Calibri"/>
          <w:noProof/>
          <w:lang w:eastAsia="en-US"/>
        </w:rPr>
        <w:drawing>
          <wp:anchor distT="0" distB="0" distL="114300" distR="114300" simplePos="0" relativeHeight="251663360" behindDoc="1" locked="0" layoutInCell="1" allowOverlap="1" wp14:anchorId="65976851" wp14:editId="04DDF05F">
            <wp:simplePos x="0" y="0"/>
            <wp:positionH relativeFrom="column">
              <wp:posOffset>186690</wp:posOffset>
            </wp:positionH>
            <wp:positionV relativeFrom="paragraph">
              <wp:posOffset>263449</wp:posOffset>
            </wp:positionV>
            <wp:extent cx="5132705" cy="3373120"/>
            <wp:effectExtent l="38100" t="0" r="29845" b="0"/>
            <wp:wrapSquare wrapText="bothSides"/>
            <wp:docPr id="15" name="Diagrama 1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3" r:lo="rId54" r:qs="rId55" r:cs="rId56"/>
              </a:graphicData>
            </a:graphic>
            <wp14:sizeRelH relativeFrom="page">
              <wp14:pctWidth>0</wp14:pctWidth>
            </wp14:sizeRelH>
            <wp14:sizeRelV relativeFrom="page">
              <wp14:pctHeight>0</wp14:pctHeight>
            </wp14:sizeRelV>
          </wp:anchor>
        </w:drawing>
      </w:r>
      <w:r w:rsidRPr="00832773">
        <w:rPr>
          <w:b/>
          <w:bCs/>
          <w:i/>
          <w:iCs/>
          <w:sz w:val="22"/>
          <w:szCs w:val="22"/>
        </w:rPr>
        <w:t>Impacto en la entrada de la Sala Segunda según escenario A, B, C y D</w:t>
      </w:r>
    </w:p>
    <w:p w14:paraId="00F8D887" w14:textId="77777777" w:rsidR="003A50EA" w:rsidRPr="004E74A6" w:rsidRDefault="003A50EA" w:rsidP="00832773">
      <w:pPr>
        <w:spacing w:line="276" w:lineRule="auto"/>
        <w:ind w:left="284"/>
        <w:rPr>
          <w:rFonts w:eastAsia="Calibri"/>
          <w:i/>
          <w:iCs/>
          <w:sz w:val="20"/>
          <w:szCs w:val="16"/>
          <w:lang w:eastAsia="en-US"/>
        </w:rPr>
      </w:pPr>
      <w:r w:rsidRPr="004E74A6">
        <w:rPr>
          <w:rFonts w:eastAsia="Calibri"/>
          <w:b/>
          <w:bCs/>
          <w:i/>
          <w:iCs/>
          <w:sz w:val="20"/>
          <w:szCs w:val="16"/>
          <w:lang w:eastAsia="en-US"/>
        </w:rPr>
        <w:t>Fuente</w:t>
      </w:r>
      <w:r w:rsidRPr="004E74A6">
        <w:rPr>
          <w:rFonts w:eastAsia="Calibri"/>
          <w:i/>
          <w:iCs/>
          <w:sz w:val="20"/>
          <w:szCs w:val="16"/>
          <w:lang w:eastAsia="en-US"/>
        </w:rPr>
        <w:t>: Subproceso de Modernización Institucional.</w:t>
      </w:r>
    </w:p>
    <w:p w14:paraId="0955B5E9" w14:textId="3092EB84" w:rsidR="003A50EA" w:rsidRPr="004E74A6" w:rsidRDefault="003A50EA" w:rsidP="00CE62C1">
      <w:pPr>
        <w:spacing w:line="276" w:lineRule="auto"/>
        <w:rPr>
          <w:rFonts w:eastAsia="Calibri"/>
          <w:lang w:eastAsia="en-US"/>
        </w:rPr>
      </w:pPr>
    </w:p>
    <w:p w14:paraId="5F3BB8F8" w14:textId="77777777" w:rsidR="003A50EA" w:rsidRPr="004E74A6" w:rsidRDefault="003A50EA" w:rsidP="00832773">
      <w:pPr>
        <w:spacing w:line="276" w:lineRule="auto"/>
        <w:rPr>
          <w:rFonts w:eastAsia="Calibri"/>
          <w:lang w:eastAsia="en-US"/>
        </w:rPr>
      </w:pPr>
    </w:p>
    <w:p w14:paraId="1EB9D155" w14:textId="24B73210" w:rsidR="00C008B1" w:rsidRPr="00832773" w:rsidRDefault="00FD610B" w:rsidP="00832773">
      <w:pPr>
        <w:pStyle w:val="Prrafodelista"/>
        <w:numPr>
          <w:ilvl w:val="1"/>
          <w:numId w:val="62"/>
        </w:numPr>
        <w:spacing w:after="160" w:line="276" w:lineRule="auto"/>
        <w:ind w:left="567" w:hanging="502"/>
        <w:contextualSpacing/>
        <w:rPr>
          <w:rFonts w:eastAsia="Calibri"/>
          <w:lang w:eastAsia="en-US"/>
        </w:rPr>
      </w:pPr>
      <w:r w:rsidRPr="00832773">
        <w:rPr>
          <w:rFonts w:ascii="Book Antiqua" w:eastAsia="Calibri" w:hAnsi="Book Antiqua"/>
          <w:lang w:eastAsia="en-US"/>
        </w:rPr>
        <w:t>Se ha logrado constatar que se registraron variables de forma errónea, situación que puede atribuirse a diversas causas que no son el objet</w:t>
      </w:r>
      <w:r w:rsidR="00174282" w:rsidRPr="00832773">
        <w:rPr>
          <w:rFonts w:ascii="Book Antiqua" w:eastAsia="Calibri" w:hAnsi="Book Antiqua"/>
          <w:lang w:eastAsia="en-US"/>
        </w:rPr>
        <w:t>o</w:t>
      </w:r>
      <w:r w:rsidRPr="00832773">
        <w:rPr>
          <w:rFonts w:ascii="Book Antiqua" w:eastAsia="Calibri" w:hAnsi="Book Antiqua"/>
          <w:lang w:eastAsia="en-US"/>
        </w:rPr>
        <w:t xml:space="preserve"> del presente informe y por lo cual no se ahondará en su determinación</w:t>
      </w:r>
      <w:r w:rsidR="007C268E" w:rsidRPr="00832773">
        <w:rPr>
          <w:rFonts w:ascii="Book Antiqua" w:eastAsia="Calibri" w:hAnsi="Book Antiqua"/>
          <w:lang w:eastAsia="en-US"/>
        </w:rPr>
        <w:t>,</w:t>
      </w:r>
      <w:r w:rsidRPr="00832773">
        <w:rPr>
          <w:rFonts w:ascii="Book Antiqua" w:eastAsia="Calibri" w:hAnsi="Book Antiqua"/>
          <w:lang w:eastAsia="en-US"/>
        </w:rPr>
        <w:t xml:space="preserve"> </w:t>
      </w:r>
      <w:r w:rsidR="007C268E" w:rsidRPr="00832773">
        <w:rPr>
          <w:rFonts w:ascii="Book Antiqua" w:eastAsia="Calibri" w:hAnsi="Book Antiqua"/>
          <w:lang w:eastAsia="en-US"/>
        </w:rPr>
        <w:t>s</w:t>
      </w:r>
      <w:r w:rsidRPr="00832773">
        <w:rPr>
          <w:rFonts w:ascii="Book Antiqua" w:eastAsia="Calibri" w:hAnsi="Book Antiqua"/>
          <w:lang w:eastAsia="en-US"/>
        </w:rPr>
        <w:t xml:space="preserve">in embargo, </w:t>
      </w:r>
      <w:r w:rsidR="007C268E" w:rsidRPr="00832773">
        <w:rPr>
          <w:rFonts w:ascii="Book Antiqua" w:eastAsia="Calibri" w:hAnsi="Book Antiqua"/>
          <w:lang w:eastAsia="en-US"/>
        </w:rPr>
        <w:t>dicha</w:t>
      </w:r>
      <w:r w:rsidRPr="00832773">
        <w:rPr>
          <w:rFonts w:ascii="Book Antiqua" w:eastAsia="Calibri" w:hAnsi="Book Antiqua"/>
          <w:lang w:eastAsia="en-US"/>
        </w:rPr>
        <w:t xml:space="preserve"> imprecisión </w:t>
      </w:r>
      <w:r w:rsidR="007C268E" w:rsidRPr="00832773">
        <w:rPr>
          <w:rFonts w:ascii="Book Antiqua" w:eastAsia="Calibri" w:hAnsi="Book Antiqua"/>
          <w:lang w:eastAsia="en-US"/>
        </w:rPr>
        <w:t>no afectó</w:t>
      </w:r>
      <w:r w:rsidRPr="00832773">
        <w:rPr>
          <w:rFonts w:ascii="Book Antiqua" w:eastAsia="Calibri" w:hAnsi="Book Antiqua"/>
          <w:lang w:eastAsia="en-US"/>
        </w:rPr>
        <w:t xml:space="preserve"> la integridad y calidad del</w:t>
      </w:r>
      <w:r w:rsidR="007C268E" w:rsidRPr="00832773">
        <w:rPr>
          <w:rFonts w:ascii="Book Antiqua" w:eastAsia="Calibri" w:hAnsi="Book Antiqua"/>
          <w:lang w:eastAsia="en-US"/>
        </w:rPr>
        <w:t xml:space="preserve"> presente</w:t>
      </w:r>
      <w:r w:rsidRPr="00832773">
        <w:rPr>
          <w:rFonts w:ascii="Book Antiqua" w:eastAsia="Calibri" w:hAnsi="Book Antiqua"/>
          <w:lang w:eastAsia="en-US"/>
        </w:rPr>
        <w:t xml:space="preserve"> estudio</w:t>
      </w:r>
      <w:r w:rsidR="005939E8" w:rsidRPr="00832773">
        <w:rPr>
          <w:rFonts w:ascii="Book Antiqua" w:eastAsia="Calibri" w:hAnsi="Book Antiqua"/>
          <w:lang w:eastAsia="en-US"/>
        </w:rPr>
        <w:t>, pero si es necesario conforme lo dispone la circular 2</w:t>
      </w:r>
      <w:r w:rsidR="00C008B1" w:rsidRPr="00832773">
        <w:rPr>
          <w:rFonts w:ascii="Book Antiqua" w:eastAsia="Calibri" w:hAnsi="Book Antiqua"/>
          <w:lang w:eastAsia="en-US"/>
        </w:rPr>
        <w:t>9</w:t>
      </w:r>
      <w:r w:rsidR="005939E8" w:rsidRPr="00832773">
        <w:rPr>
          <w:rFonts w:ascii="Book Antiqua" w:eastAsia="Calibri" w:hAnsi="Book Antiqua"/>
          <w:lang w:eastAsia="en-US"/>
        </w:rPr>
        <w:t>7-2021 que las oficinas Civiles</w:t>
      </w:r>
      <w:r w:rsidR="00F377FB" w:rsidRPr="00832773">
        <w:rPr>
          <w:rFonts w:ascii="Book Antiqua" w:eastAsia="Calibri" w:hAnsi="Book Antiqua"/>
          <w:lang w:eastAsia="en-US"/>
        </w:rPr>
        <w:t xml:space="preserve"> y Cobro</w:t>
      </w:r>
      <w:r w:rsidR="005939E8" w:rsidRPr="00832773">
        <w:rPr>
          <w:rFonts w:ascii="Book Antiqua" w:eastAsia="Calibri" w:hAnsi="Book Antiqua"/>
          <w:lang w:eastAsia="en-US"/>
        </w:rPr>
        <w:t xml:space="preserve"> actualicen la información </w:t>
      </w:r>
      <w:r w:rsidR="008D51C4" w:rsidRPr="00832773">
        <w:rPr>
          <w:rFonts w:ascii="Book Antiqua" w:eastAsia="Calibri" w:hAnsi="Book Antiqua"/>
          <w:lang w:eastAsia="en-US"/>
        </w:rPr>
        <w:t>diariamente,</w:t>
      </w:r>
      <w:r w:rsidR="00174282" w:rsidRPr="00832773">
        <w:rPr>
          <w:rFonts w:ascii="Book Antiqua" w:eastAsia="Calibri" w:hAnsi="Book Antiqua"/>
          <w:lang w:eastAsia="en-US"/>
        </w:rPr>
        <w:t xml:space="preserve"> así como diversas directrices institucionales tales como: </w:t>
      </w:r>
    </w:p>
    <w:p w14:paraId="59A061D9" w14:textId="77777777" w:rsidR="00C008B1" w:rsidRPr="00832773" w:rsidRDefault="00C008B1" w:rsidP="00832773">
      <w:pPr>
        <w:pStyle w:val="Prrafodelista"/>
        <w:spacing w:line="276" w:lineRule="auto"/>
        <w:rPr>
          <w:rFonts w:eastAsia="Calibri"/>
          <w:lang w:val="es-CR" w:eastAsia="en-US"/>
        </w:rPr>
      </w:pPr>
    </w:p>
    <w:p w14:paraId="6D7A8A1E" w14:textId="77777777" w:rsidR="00C008B1" w:rsidRPr="00832773" w:rsidRDefault="00174282" w:rsidP="00CE62C1">
      <w:pPr>
        <w:pStyle w:val="Prrafodelista"/>
        <w:numPr>
          <w:ilvl w:val="0"/>
          <w:numId w:val="31"/>
        </w:numPr>
        <w:spacing w:line="276" w:lineRule="auto"/>
        <w:rPr>
          <w:rFonts w:ascii="Book Antiqua" w:eastAsia="Calibri" w:hAnsi="Book Antiqua"/>
          <w:sz w:val="22"/>
          <w:szCs w:val="22"/>
          <w:lang w:val="es-CR" w:eastAsia="en-US"/>
        </w:rPr>
      </w:pPr>
      <w:r w:rsidRPr="00832773">
        <w:rPr>
          <w:rFonts w:ascii="Book Antiqua" w:eastAsia="Calibri" w:hAnsi="Book Antiqua"/>
          <w:sz w:val="22"/>
          <w:szCs w:val="22"/>
          <w:lang w:val="es-CR" w:eastAsia="en-US"/>
        </w:rPr>
        <w:t>Circular 23-2021 de la Secretaría General de la Corte relacionado con la reiteración de la circular 15-2019, sobre la importancia de mantener actualizado los sistemas informáticos y efectuar un registro diario y actualizado de la información de esos sistemas, entre ellos el Sistema Costarricense de Gestión de Despachos Judiciales (SCGDJ) y el de la Agenda “</w:t>
      </w:r>
      <w:r w:rsidRPr="00832773">
        <w:rPr>
          <w:rFonts w:ascii="Book Antiqua" w:eastAsia="Calibri" w:hAnsi="Book Antiqua"/>
          <w:i/>
          <w:iCs/>
          <w:sz w:val="22"/>
          <w:szCs w:val="22"/>
          <w:lang w:val="es-CR" w:eastAsia="en-US"/>
        </w:rPr>
        <w:t>Cronos</w:t>
      </w:r>
      <w:r w:rsidRPr="00832773">
        <w:rPr>
          <w:rFonts w:ascii="Book Antiqua" w:eastAsia="Calibri" w:hAnsi="Book Antiqua"/>
          <w:sz w:val="22"/>
          <w:szCs w:val="22"/>
          <w:lang w:val="es-CR" w:eastAsia="en-US"/>
        </w:rPr>
        <w:t>”</w:t>
      </w:r>
      <w:r w:rsidR="00C008B1" w:rsidRPr="00832773">
        <w:rPr>
          <w:rFonts w:ascii="Book Antiqua" w:eastAsia="Calibri" w:hAnsi="Book Antiqua"/>
          <w:sz w:val="22"/>
          <w:szCs w:val="22"/>
          <w:lang w:val="es-CR" w:eastAsia="en-US"/>
        </w:rPr>
        <w:t>.</w:t>
      </w:r>
    </w:p>
    <w:p w14:paraId="46B9558A" w14:textId="77777777" w:rsidR="00C008B1" w:rsidRPr="00832773" w:rsidRDefault="00C008B1" w:rsidP="00CE62C1">
      <w:pPr>
        <w:pStyle w:val="Prrafodelista"/>
        <w:numPr>
          <w:ilvl w:val="0"/>
          <w:numId w:val="31"/>
        </w:numPr>
        <w:spacing w:before="240" w:line="276" w:lineRule="auto"/>
        <w:rPr>
          <w:rFonts w:ascii="Book Antiqua" w:eastAsia="Calibri" w:hAnsi="Book Antiqua"/>
          <w:sz w:val="22"/>
          <w:szCs w:val="22"/>
          <w:lang w:val="es-CR" w:eastAsia="en-US"/>
        </w:rPr>
      </w:pPr>
      <w:r w:rsidRPr="00832773">
        <w:rPr>
          <w:rFonts w:ascii="Book Antiqua" w:eastAsia="Calibri" w:hAnsi="Book Antiqua"/>
          <w:sz w:val="22"/>
          <w:szCs w:val="22"/>
          <w:lang w:val="es-CR" w:eastAsia="en-US"/>
        </w:rPr>
        <w:t>C</w:t>
      </w:r>
      <w:r w:rsidR="00174282" w:rsidRPr="00832773">
        <w:rPr>
          <w:rFonts w:ascii="Book Antiqua" w:eastAsia="Calibri" w:hAnsi="Book Antiqua"/>
          <w:sz w:val="22"/>
          <w:szCs w:val="22"/>
          <w:lang w:val="es-CR" w:eastAsia="en-US"/>
        </w:rPr>
        <w:t>ircular 170-2021</w:t>
      </w:r>
      <w:r w:rsidR="00244B71" w:rsidRPr="00832773">
        <w:rPr>
          <w:rFonts w:ascii="Book Antiqua" w:eastAsia="Calibri" w:hAnsi="Book Antiqua"/>
          <w:sz w:val="22"/>
          <w:szCs w:val="22"/>
          <w:lang w:val="es-CR" w:eastAsia="en-US"/>
        </w:rPr>
        <w:t xml:space="preserve">. </w:t>
      </w:r>
    </w:p>
    <w:p w14:paraId="4EE39860" w14:textId="5293DD1C" w:rsidR="00FD610B" w:rsidRPr="00832773" w:rsidRDefault="00C008B1" w:rsidP="00CE62C1">
      <w:pPr>
        <w:pStyle w:val="Prrafodelista"/>
        <w:numPr>
          <w:ilvl w:val="0"/>
          <w:numId w:val="31"/>
        </w:numPr>
        <w:spacing w:before="240" w:line="276" w:lineRule="auto"/>
        <w:rPr>
          <w:rFonts w:ascii="Book Antiqua" w:eastAsia="Calibri" w:hAnsi="Book Antiqua"/>
          <w:sz w:val="22"/>
          <w:szCs w:val="22"/>
          <w:lang w:val="es-CR" w:eastAsia="en-US"/>
        </w:rPr>
      </w:pPr>
      <w:r w:rsidRPr="00832773">
        <w:rPr>
          <w:rFonts w:ascii="Book Antiqua" w:eastAsia="Calibri" w:hAnsi="Book Antiqua"/>
          <w:sz w:val="22"/>
          <w:szCs w:val="22"/>
          <w:lang w:val="es-CR" w:eastAsia="en-US"/>
        </w:rPr>
        <w:lastRenderedPageBreak/>
        <w:t>La circular 95-2022 reiteración sobre la necesidad de actualizar los sistemas informáticos con toda la información pertinente, de manera que se recopile la información necesaria para la generación de estadísticas judiciales.</w:t>
      </w:r>
      <w:r w:rsidR="005939E8" w:rsidRPr="00832773">
        <w:rPr>
          <w:rFonts w:ascii="Book Antiqua" w:eastAsia="Calibri" w:hAnsi="Book Antiqua"/>
          <w:sz w:val="22"/>
          <w:szCs w:val="22"/>
          <w:lang w:val="es-CR" w:eastAsia="en-US"/>
        </w:rPr>
        <w:t xml:space="preserve"> </w:t>
      </w:r>
    </w:p>
    <w:p w14:paraId="0D964C2C" w14:textId="6BF192C8" w:rsidR="00F377FB" w:rsidRPr="00832773" w:rsidRDefault="00F377FB" w:rsidP="00CE62C1">
      <w:pPr>
        <w:pStyle w:val="Prrafodelista"/>
        <w:numPr>
          <w:ilvl w:val="0"/>
          <w:numId w:val="31"/>
        </w:numPr>
        <w:spacing w:before="240" w:line="276" w:lineRule="auto"/>
        <w:rPr>
          <w:rFonts w:ascii="Book Antiqua" w:eastAsia="Calibri" w:hAnsi="Book Antiqua"/>
          <w:sz w:val="22"/>
          <w:szCs w:val="22"/>
          <w:lang w:val="es-CR" w:eastAsia="en-US"/>
        </w:rPr>
      </w:pPr>
      <w:r w:rsidRPr="00832773">
        <w:rPr>
          <w:rFonts w:ascii="Book Antiqua" w:eastAsia="Calibri" w:hAnsi="Book Antiqua"/>
          <w:sz w:val="22"/>
          <w:szCs w:val="22"/>
          <w:lang w:val="es-CR" w:eastAsia="en-US"/>
        </w:rPr>
        <w:t>Circular 22-2022 “</w:t>
      </w:r>
      <w:r w:rsidRPr="00832773">
        <w:rPr>
          <w:rFonts w:ascii="Book Antiqua" w:eastAsia="Calibri" w:hAnsi="Book Antiqua"/>
          <w:i/>
          <w:iCs/>
          <w:sz w:val="22"/>
          <w:szCs w:val="22"/>
          <w:lang w:val="es-CR" w:eastAsia="en-US"/>
        </w:rPr>
        <w:t>Procedimiento de inventario automatizado para implementar en las oficinas que atienden materia cobratoria</w:t>
      </w:r>
      <w:r w:rsidRPr="00832773">
        <w:rPr>
          <w:rFonts w:ascii="Book Antiqua" w:eastAsia="Calibri" w:hAnsi="Book Antiqua"/>
          <w:sz w:val="22"/>
          <w:szCs w:val="22"/>
          <w:lang w:val="es-CR" w:eastAsia="en-US"/>
        </w:rPr>
        <w:t xml:space="preserve">” </w:t>
      </w:r>
      <w:r w:rsidRPr="00832773">
        <w:rPr>
          <w:rFonts w:ascii="Book Antiqua" w:hAnsi="Book Antiqua"/>
          <w:lang w:val="es-CR"/>
        </w:rPr>
        <w:t>relativa a los informes por inconsistencias en materia de Cobro Judicial.</w:t>
      </w:r>
    </w:p>
    <w:p w14:paraId="2F25EF19" w14:textId="77777777" w:rsidR="00C008B1" w:rsidRPr="00832773" w:rsidRDefault="00C008B1" w:rsidP="00832773">
      <w:pPr>
        <w:pStyle w:val="Prrafodelista"/>
        <w:spacing w:line="276" w:lineRule="auto"/>
        <w:rPr>
          <w:rFonts w:eastAsia="Calibri"/>
          <w:lang w:val="es-CR" w:eastAsia="en-US"/>
        </w:rPr>
      </w:pPr>
    </w:p>
    <w:p w14:paraId="57BC6273" w14:textId="7F696A5A" w:rsidR="000112D0" w:rsidRPr="00832773" w:rsidRDefault="000112D0" w:rsidP="00832773">
      <w:pPr>
        <w:pStyle w:val="Prrafodelista"/>
        <w:numPr>
          <w:ilvl w:val="1"/>
          <w:numId w:val="62"/>
        </w:numPr>
        <w:spacing w:after="160" w:line="276" w:lineRule="auto"/>
        <w:ind w:left="567" w:hanging="502"/>
        <w:contextualSpacing/>
        <w:rPr>
          <w:rFonts w:ascii="Book Antiqua" w:hAnsi="Book Antiqua"/>
          <w:lang w:val="es-CR"/>
        </w:rPr>
      </w:pPr>
      <w:r w:rsidRPr="00832773">
        <w:rPr>
          <w:rFonts w:ascii="Book Antiqua" w:hAnsi="Book Antiqua"/>
          <w:lang w:val="es-CR"/>
        </w:rPr>
        <w:t xml:space="preserve">Se requiere de una mejora en el sistema actual o nuevo sistema de gestión de manera que las opciones que aparecen a nivel de sistema se ajusten a la formula estadística, imposibilitando que se puedan seleccionar variables que no sean atinentes a la clase de asunto, procedimientos y demás elementos de la fórmula. Por </w:t>
      </w:r>
      <w:r w:rsidR="008D51C4" w:rsidRPr="00832773">
        <w:rPr>
          <w:rFonts w:ascii="Book Antiqua" w:hAnsi="Book Antiqua"/>
          <w:lang w:val="es-CR"/>
        </w:rPr>
        <w:t>ejemplo,</w:t>
      </w:r>
      <w:r w:rsidRPr="00832773">
        <w:rPr>
          <w:rFonts w:ascii="Book Antiqua" w:hAnsi="Book Antiqua"/>
          <w:lang w:val="es-CR"/>
        </w:rPr>
        <w:t xml:space="preserve"> para la clase “</w:t>
      </w:r>
      <w:r w:rsidRPr="00832773">
        <w:rPr>
          <w:rFonts w:ascii="Book Antiqua" w:hAnsi="Book Antiqua"/>
          <w:i/>
          <w:iCs/>
          <w:lang w:val="es-CR"/>
        </w:rPr>
        <w:t>ordinario</w:t>
      </w:r>
      <w:r w:rsidRPr="00832773">
        <w:rPr>
          <w:rFonts w:ascii="Book Antiqua" w:hAnsi="Book Antiqua"/>
          <w:lang w:val="es-CR"/>
        </w:rPr>
        <w:t>” solo debería visualizarse como opción en procedimiento “</w:t>
      </w:r>
      <w:r w:rsidRPr="00832773">
        <w:rPr>
          <w:rFonts w:ascii="Book Antiqua" w:hAnsi="Book Antiqua"/>
          <w:i/>
          <w:iCs/>
          <w:lang w:val="es-CR"/>
        </w:rPr>
        <w:t>ordinario</w:t>
      </w:r>
      <w:r w:rsidRPr="00832773">
        <w:rPr>
          <w:rFonts w:ascii="Book Antiqua" w:hAnsi="Book Antiqua"/>
          <w:lang w:val="es-CR"/>
        </w:rPr>
        <w:t xml:space="preserve">” y que no se visualicen todas las opciones para evitar errores o inconsistencias.  Correspondiente o bien en las clases de asunto que se permiten crear según clase de carpeta. Lo anterior también </w:t>
      </w:r>
      <w:r w:rsidR="00F662D4" w:rsidRPr="00832773">
        <w:rPr>
          <w:rFonts w:ascii="Book Antiqua" w:hAnsi="Book Antiqua"/>
          <w:lang w:val="es-CR"/>
        </w:rPr>
        <w:t>acordado</w:t>
      </w:r>
      <w:r w:rsidRPr="00832773">
        <w:rPr>
          <w:rFonts w:ascii="Book Antiqua" w:hAnsi="Book Antiqua"/>
          <w:lang w:val="es-CR"/>
        </w:rPr>
        <w:t xml:space="preserve"> en sesión de trabajo con los jueces gestores</w:t>
      </w:r>
      <w:r w:rsidR="00F662D4" w:rsidRPr="00832773">
        <w:rPr>
          <w:rFonts w:ascii="Book Antiqua" w:hAnsi="Book Antiqua"/>
          <w:lang w:val="es-CR"/>
        </w:rPr>
        <w:t xml:space="preserve"> en la materia Civil.</w:t>
      </w:r>
    </w:p>
    <w:p w14:paraId="1983C447" w14:textId="77777777" w:rsidR="000112D0" w:rsidRPr="00832773" w:rsidRDefault="000112D0" w:rsidP="00CE62C1">
      <w:pPr>
        <w:pStyle w:val="Prrafodelista"/>
        <w:spacing w:line="276" w:lineRule="auto"/>
        <w:ind w:left="720"/>
        <w:rPr>
          <w:rFonts w:ascii="Book Antiqua" w:hAnsi="Book Antiqua"/>
          <w:lang w:val="es-CR"/>
        </w:rPr>
      </w:pPr>
    </w:p>
    <w:p w14:paraId="1493C6D4" w14:textId="0AB351CA" w:rsidR="0072348C" w:rsidRPr="00832773" w:rsidRDefault="00344785" w:rsidP="00832773">
      <w:pPr>
        <w:pStyle w:val="Prrafodelista"/>
        <w:numPr>
          <w:ilvl w:val="1"/>
          <w:numId w:val="62"/>
        </w:numPr>
        <w:spacing w:after="160" w:line="276" w:lineRule="auto"/>
        <w:ind w:left="567" w:hanging="502"/>
        <w:contextualSpacing/>
        <w:rPr>
          <w:rFonts w:eastAsia="Calibri"/>
          <w:b/>
          <w:bCs/>
          <w:u w:val="single"/>
          <w:lang w:eastAsia="en-US"/>
        </w:rPr>
      </w:pPr>
      <w:r w:rsidRPr="00832773">
        <w:rPr>
          <w:rFonts w:ascii="Book Antiqua" w:eastAsia="Calibri" w:hAnsi="Book Antiqua"/>
          <w:lang w:eastAsia="en-US"/>
        </w:rPr>
        <w:t>Los Tribunales Colegiados de Primera Instancia y Juzgados Civiles deben actualizar a la mayor brevedad la información estad</w:t>
      </w:r>
      <w:r w:rsidR="0048644B" w:rsidRPr="00832773">
        <w:rPr>
          <w:rFonts w:ascii="Book Antiqua" w:eastAsia="Calibri" w:hAnsi="Book Antiqua"/>
          <w:lang w:eastAsia="en-US"/>
        </w:rPr>
        <w:t>ística conforme lo dispuesto actualmente en la circular 113-18</w:t>
      </w:r>
      <w:r w:rsidR="004A5801" w:rsidRPr="00832773">
        <w:rPr>
          <w:rFonts w:ascii="Book Antiqua" w:eastAsia="Calibri" w:hAnsi="Book Antiqua"/>
          <w:lang w:eastAsia="en-US"/>
        </w:rPr>
        <w:t xml:space="preserve"> y su posterior actualización</w:t>
      </w:r>
      <w:r w:rsidR="0048644B" w:rsidRPr="00832773">
        <w:rPr>
          <w:rFonts w:ascii="Book Antiqua" w:eastAsia="Calibri" w:hAnsi="Book Antiqua"/>
          <w:lang w:eastAsia="en-US"/>
        </w:rPr>
        <w:t xml:space="preserve">, </w:t>
      </w:r>
      <w:r w:rsidRPr="00832773">
        <w:rPr>
          <w:rFonts w:ascii="Book Antiqua" w:eastAsia="Calibri" w:hAnsi="Book Antiqua"/>
          <w:lang w:eastAsia="en-US"/>
        </w:rPr>
        <w:t xml:space="preserve">y evitar en lo posible errores, por ejemplo, </w:t>
      </w:r>
      <w:r w:rsidRPr="00832773">
        <w:rPr>
          <w:rFonts w:ascii="Book Antiqua" w:eastAsia="Calibri" w:hAnsi="Book Antiqua"/>
          <w:b/>
          <w:bCs/>
          <w:u w:val="single"/>
          <w:lang w:eastAsia="en-US"/>
        </w:rPr>
        <w:t xml:space="preserve">en ordinarios donde en la variable procedimiento utilizan </w:t>
      </w:r>
      <w:r w:rsidR="00AC4EBA" w:rsidRPr="00832773">
        <w:rPr>
          <w:rFonts w:ascii="Book Antiqua" w:eastAsia="Calibri" w:hAnsi="Book Antiqua"/>
          <w:b/>
          <w:bCs/>
          <w:u w:val="single"/>
          <w:lang w:eastAsia="en-US"/>
        </w:rPr>
        <w:t>tipos que</w:t>
      </w:r>
      <w:r w:rsidRPr="00832773">
        <w:rPr>
          <w:rFonts w:ascii="Book Antiqua" w:eastAsia="Calibri" w:hAnsi="Book Antiqua"/>
          <w:b/>
          <w:bCs/>
          <w:u w:val="single"/>
          <w:lang w:eastAsia="en-US"/>
        </w:rPr>
        <w:t xml:space="preserve"> no se ajustan a la fórmula estadística</w:t>
      </w:r>
      <w:r w:rsidR="0072348C" w:rsidRPr="00832773">
        <w:rPr>
          <w:rFonts w:ascii="Book Antiqua" w:eastAsia="Calibri" w:hAnsi="Book Antiqua"/>
          <w:b/>
          <w:bCs/>
          <w:u w:val="single"/>
          <w:lang w:eastAsia="en-US"/>
        </w:rPr>
        <w:t>.</w:t>
      </w:r>
    </w:p>
    <w:p w14:paraId="043F7ABA" w14:textId="77777777" w:rsidR="0072348C" w:rsidRPr="00832773" w:rsidRDefault="0072348C" w:rsidP="00832773">
      <w:pPr>
        <w:pStyle w:val="Prrafodelista"/>
        <w:spacing w:line="276" w:lineRule="auto"/>
        <w:rPr>
          <w:rFonts w:eastAsia="Calibri"/>
          <w:lang w:val="es-CR" w:eastAsia="en-US"/>
        </w:rPr>
      </w:pPr>
    </w:p>
    <w:p w14:paraId="15737A5B" w14:textId="46DF9847" w:rsidR="00D10C21" w:rsidRPr="004E74A6" w:rsidRDefault="00AC4EBA" w:rsidP="00CE62C1">
      <w:pPr>
        <w:spacing w:line="276" w:lineRule="auto"/>
        <w:ind w:left="720"/>
        <w:rPr>
          <w:rFonts w:eastAsia="Calibri"/>
          <w:lang w:eastAsia="en-US"/>
        </w:rPr>
      </w:pPr>
      <w:r w:rsidRPr="004E74A6">
        <w:rPr>
          <w:rFonts w:eastAsia="Calibri"/>
          <w:lang w:eastAsia="en-US"/>
        </w:rPr>
        <w:t>T</w:t>
      </w:r>
      <w:r w:rsidR="0072348C" w:rsidRPr="004E74A6">
        <w:rPr>
          <w:rFonts w:eastAsia="Calibri"/>
          <w:lang w:eastAsia="en-US"/>
        </w:rPr>
        <w:t xml:space="preserve">ambién </w:t>
      </w:r>
      <w:r w:rsidR="004A5801" w:rsidRPr="004E74A6">
        <w:rPr>
          <w:rFonts w:eastAsia="Calibri"/>
          <w:lang w:eastAsia="en-US"/>
        </w:rPr>
        <w:t xml:space="preserve">incluir información faltante, como </w:t>
      </w:r>
      <w:r w:rsidR="0072348C" w:rsidRPr="004E74A6">
        <w:rPr>
          <w:rFonts w:eastAsia="Calibri"/>
          <w:lang w:eastAsia="en-US"/>
        </w:rPr>
        <w:t xml:space="preserve">la cantidad de datos sin actualizar en lo que respecta a cuantía, por </w:t>
      </w:r>
      <w:r w:rsidR="008D51C4" w:rsidRPr="004E74A6">
        <w:rPr>
          <w:rFonts w:eastAsia="Calibri"/>
          <w:lang w:eastAsia="en-US"/>
        </w:rPr>
        <w:t>ejemplo,</w:t>
      </w:r>
      <w:r w:rsidR="0072348C" w:rsidRPr="004E74A6">
        <w:rPr>
          <w:rFonts w:eastAsia="Calibri"/>
          <w:lang w:eastAsia="en-US"/>
        </w:rPr>
        <w:t xml:space="preserve"> en Tribunales Colegiados </w:t>
      </w:r>
      <w:r w:rsidR="00295B71" w:rsidRPr="004E74A6">
        <w:rPr>
          <w:rFonts w:eastAsia="Calibri"/>
          <w:lang w:eastAsia="en-US"/>
        </w:rPr>
        <w:t>reportan pendiente de actualizar</w:t>
      </w:r>
      <w:r w:rsidR="0072348C" w:rsidRPr="004E74A6">
        <w:rPr>
          <w:rFonts w:eastAsia="Calibri"/>
          <w:lang w:eastAsia="en-US"/>
        </w:rPr>
        <w:t xml:space="preserve"> </w:t>
      </w:r>
      <w:r w:rsidRPr="004E74A6">
        <w:rPr>
          <w:rFonts w:cs="Calibri"/>
          <w:color w:val="000000"/>
          <w:sz w:val="22"/>
          <w:szCs w:val="22"/>
          <w:lang w:eastAsia="es-CR"/>
        </w:rPr>
        <w:t xml:space="preserve">682 </w:t>
      </w:r>
      <w:r w:rsidR="0072348C" w:rsidRPr="004E74A6">
        <w:rPr>
          <w:rFonts w:eastAsia="Calibri"/>
          <w:lang w:eastAsia="en-US"/>
        </w:rPr>
        <w:t xml:space="preserve">datos. </w:t>
      </w:r>
    </w:p>
    <w:p w14:paraId="6C21F27F" w14:textId="7EBCA77A" w:rsidR="00B27359" w:rsidRPr="004E74A6" w:rsidRDefault="00B27359" w:rsidP="00CE62C1">
      <w:pPr>
        <w:spacing w:line="276" w:lineRule="auto"/>
        <w:ind w:left="720"/>
        <w:rPr>
          <w:rFonts w:eastAsia="Calibri"/>
          <w:lang w:eastAsia="en-US"/>
        </w:rPr>
      </w:pPr>
    </w:p>
    <w:p w14:paraId="2671F253" w14:textId="3C42854E" w:rsidR="00B27359" w:rsidRPr="004E74A6" w:rsidRDefault="00B27359" w:rsidP="00CE62C1">
      <w:pPr>
        <w:spacing w:line="276" w:lineRule="auto"/>
        <w:ind w:left="720"/>
        <w:rPr>
          <w:rFonts w:eastAsia="Calibri"/>
          <w:lang w:eastAsia="en-US"/>
        </w:rPr>
      </w:pPr>
    </w:p>
    <w:p w14:paraId="5F00D867" w14:textId="75280F0B" w:rsidR="00B27359" w:rsidRDefault="00B27359" w:rsidP="00CE62C1">
      <w:pPr>
        <w:spacing w:line="276" w:lineRule="auto"/>
        <w:ind w:left="720"/>
        <w:rPr>
          <w:rFonts w:eastAsia="Calibri"/>
          <w:lang w:eastAsia="en-US"/>
        </w:rPr>
      </w:pPr>
    </w:p>
    <w:p w14:paraId="1CD601D3" w14:textId="5910B39F" w:rsidR="005D1B48" w:rsidRDefault="005D1B48" w:rsidP="00CE62C1">
      <w:pPr>
        <w:spacing w:line="276" w:lineRule="auto"/>
        <w:ind w:left="720"/>
        <w:rPr>
          <w:rFonts w:eastAsia="Calibri"/>
          <w:lang w:eastAsia="en-US"/>
        </w:rPr>
      </w:pPr>
    </w:p>
    <w:p w14:paraId="70C7CEE6" w14:textId="3C593C39" w:rsidR="005D1B48" w:rsidRDefault="005D1B48" w:rsidP="00CE62C1">
      <w:pPr>
        <w:spacing w:line="276" w:lineRule="auto"/>
        <w:ind w:left="720"/>
        <w:rPr>
          <w:rFonts w:eastAsia="Calibri"/>
          <w:lang w:eastAsia="en-US"/>
        </w:rPr>
      </w:pPr>
    </w:p>
    <w:p w14:paraId="46683B7C" w14:textId="77777777" w:rsidR="005D1B48" w:rsidRPr="004E74A6" w:rsidRDefault="005D1B48" w:rsidP="00CE62C1">
      <w:pPr>
        <w:spacing w:line="276" w:lineRule="auto"/>
        <w:ind w:left="720"/>
        <w:rPr>
          <w:rFonts w:eastAsia="Calibri"/>
          <w:lang w:eastAsia="en-US"/>
        </w:rPr>
      </w:pPr>
    </w:p>
    <w:p w14:paraId="0DDC563A" w14:textId="04168EE1" w:rsidR="00950FF1" w:rsidRPr="004E74A6" w:rsidRDefault="00950FF1" w:rsidP="00CE62C1">
      <w:pPr>
        <w:spacing w:line="276" w:lineRule="auto"/>
        <w:ind w:left="720"/>
        <w:rPr>
          <w:rFonts w:eastAsia="Calibri"/>
          <w:lang w:eastAsia="en-US"/>
        </w:rPr>
      </w:pPr>
    </w:p>
    <w:tbl>
      <w:tblPr>
        <w:tblW w:w="9081" w:type="dxa"/>
        <w:jc w:val="center"/>
        <w:tblCellMar>
          <w:left w:w="70" w:type="dxa"/>
          <w:right w:w="70" w:type="dxa"/>
        </w:tblCellMar>
        <w:tblLook w:val="04A0" w:firstRow="1" w:lastRow="0" w:firstColumn="1" w:lastColumn="0" w:noHBand="0" w:noVBand="1"/>
      </w:tblPr>
      <w:tblGrid>
        <w:gridCol w:w="5954"/>
        <w:gridCol w:w="1533"/>
        <w:gridCol w:w="1594"/>
      </w:tblGrid>
      <w:tr w:rsidR="00AC4EBA" w:rsidRPr="004E74A6" w14:paraId="76FC58B7" w14:textId="77777777" w:rsidTr="00EB102E">
        <w:trPr>
          <w:trHeight w:val="851"/>
          <w:jc w:val="center"/>
        </w:trPr>
        <w:tc>
          <w:tcPr>
            <w:tcW w:w="5954" w:type="dxa"/>
            <w:vMerge w:val="restart"/>
            <w:tcBorders>
              <w:top w:val="single" w:sz="4" w:space="0" w:color="auto"/>
              <w:left w:val="nil"/>
              <w:bottom w:val="single" w:sz="4" w:space="0" w:color="auto"/>
              <w:right w:val="single" w:sz="4" w:space="0" w:color="auto"/>
            </w:tcBorders>
            <w:shd w:val="clear" w:color="auto" w:fill="auto"/>
            <w:vAlign w:val="center"/>
            <w:hideMark/>
          </w:tcPr>
          <w:p w14:paraId="77811EB5" w14:textId="77777777" w:rsidR="00AC4EBA" w:rsidRPr="00832773" w:rsidRDefault="00AC4EBA" w:rsidP="00152C3F">
            <w:pPr>
              <w:spacing w:line="240" w:lineRule="auto"/>
              <w:jc w:val="center"/>
              <w:rPr>
                <w:rFonts w:cs="Calibri"/>
                <w:color w:val="000000"/>
                <w:sz w:val="20"/>
                <w:lang w:eastAsia="es-CR"/>
              </w:rPr>
            </w:pPr>
            <w:r w:rsidRPr="00832773">
              <w:rPr>
                <w:rFonts w:cs="Calibri"/>
                <w:color w:val="000000"/>
                <w:sz w:val="20"/>
                <w:lang w:eastAsia="es-CR"/>
              </w:rPr>
              <w:lastRenderedPageBreak/>
              <w:t>Tribunal Colegiado Primera Instancia Civil</w:t>
            </w:r>
          </w:p>
        </w:tc>
        <w:tc>
          <w:tcPr>
            <w:tcW w:w="3127" w:type="dxa"/>
            <w:gridSpan w:val="2"/>
            <w:tcBorders>
              <w:top w:val="single" w:sz="4" w:space="0" w:color="auto"/>
              <w:left w:val="nil"/>
              <w:bottom w:val="single" w:sz="4" w:space="0" w:color="auto"/>
            </w:tcBorders>
            <w:shd w:val="clear" w:color="auto" w:fill="auto"/>
            <w:vAlign w:val="center"/>
            <w:hideMark/>
          </w:tcPr>
          <w:p w14:paraId="41FA6834" w14:textId="297FEB89" w:rsidR="00AC4EBA" w:rsidRPr="00832773" w:rsidRDefault="00AC4EBA" w:rsidP="00152C3F">
            <w:pPr>
              <w:spacing w:line="240" w:lineRule="auto"/>
              <w:jc w:val="center"/>
              <w:rPr>
                <w:rFonts w:cs="Calibri"/>
                <w:color w:val="000000"/>
                <w:sz w:val="20"/>
                <w:lang w:eastAsia="es-CR"/>
              </w:rPr>
            </w:pPr>
            <w:r w:rsidRPr="00832773">
              <w:rPr>
                <w:rFonts w:cs="Calibri"/>
                <w:color w:val="000000"/>
                <w:sz w:val="20"/>
                <w:lang w:eastAsia="es-CR"/>
              </w:rPr>
              <w:t>Composición entrada procedimientos ordinarios</w:t>
            </w:r>
          </w:p>
          <w:p w14:paraId="2F84068F" w14:textId="3E7C787E" w:rsidR="00AC4EBA" w:rsidRPr="00832773" w:rsidRDefault="00AC4EBA" w:rsidP="00152C3F">
            <w:pPr>
              <w:spacing w:line="240" w:lineRule="auto"/>
              <w:jc w:val="center"/>
              <w:rPr>
                <w:rFonts w:cs="Calibri"/>
                <w:color w:val="000000"/>
                <w:sz w:val="20"/>
                <w:lang w:eastAsia="es-CR"/>
              </w:rPr>
            </w:pPr>
            <w:r w:rsidRPr="00832773">
              <w:rPr>
                <w:rFonts w:cs="Calibri"/>
                <w:color w:val="000000"/>
                <w:sz w:val="20"/>
                <w:lang w:eastAsia="es-CR"/>
              </w:rPr>
              <w:t>sin Actualizar</w:t>
            </w:r>
          </w:p>
        </w:tc>
      </w:tr>
      <w:tr w:rsidR="00AC4EBA" w:rsidRPr="004E74A6" w14:paraId="36DB2739" w14:textId="77777777" w:rsidTr="00AC4EBA">
        <w:trPr>
          <w:trHeight w:val="480"/>
          <w:jc w:val="center"/>
        </w:trPr>
        <w:tc>
          <w:tcPr>
            <w:tcW w:w="5954" w:type="dxa"/>
            <w:vMerge/>
            <w:tcBorders>
              <w:top w:val="single" w:sz="4" w:space="0" w:color="auto"/>
              <w:left w:val="nil"/>
              <w:bottom w:val="single" w:sz="4" w:space="0" w:color="auto"/>
              <w:right w:val="single" w:sz="4" w:space="0" w:color="auto"/>
            </w:tcBorders>
            <w:vAlign w:val="center"/>
            <w:hideMark/>
          </w:tcPr>
          <w:p w14:paraId="49E44A3C" w14:textId="77777777" w:rsidR="00AC4EBA" w:rsidRPr="00832773" w:rsidRDefault="00AC4EBA" w:rsidP="00152C3F">
            <w:pPr>
              <w:spacing w:line="240" w:lineRule="auto"/>
              <w:jc w:val="left"/>
              <w:rPr>
                <w:rFonts w:cs="Calibri"/>
                <w:color w:val="000000"/>
                <w:sz w:val="20"/>
                <w:lang w:eastAsia="es-CR"/>
              </w:rPr>
            </w:pPr>
          </w:p>
        </w:tc>
        <w:tc>
          <w:tcPr>
            <w:tcW w:w="1533" w:type="dxa"/>
            <w:tcBorders>
              <w:top w:val="nil"/>
              <w:left w:val="nil"/>
              <w:bottom w:val="single" w:sz="4" w:space="0" w:color="auto"/>
              <w:right w:val="single" w:sz="4" w:space="0" w:color="auto"/>
            </w:tcBorders>
            <w:shd w:val="clear" w:color="auto" w:fill="auto"/>
            <w:vAlign w:val="center"/>
            <w:hideMark/>
          </w:tcPr>
          <w:p w14:paraId="5600AD0C" w14:textId="77777777" w:rsidR="00AC4EBA" w:rsidRPr="00832773" w:rsidRDefault="00AC4EBA" w:rsidP="00152C3F">
            <w:pPr>
              <w:spacing w:line="240" w:lineRule="auto"/>
              <w:jc w:val="center"/>
              <w:rPr>
                <w:rFonts w:cs="Calibri"/>
                <w:color w:val="000000"/>
                <w:sz w:val="20"/>
                <w:lang w:eastAsia="es-CR"/>
              </w:rPr>
            </w:pPr>
            <w:r w:rsidRPr="00832773">
              <w:rPr>
                <w:rFonts w:cs="Calibri"/>
                <w:color w:val="000000"/>
                <w:sz w:val="20"/>
                <w:lang w:eastAsia="es-CR"/>
              </w:rPr>
              <w:t>Porcentual</w:t>
            </w:r>
          </w:p>
        </w:tc>
        <w:tc>
          <w:tcPr>
            <w:tcW w:w="1594" w:type="dxa"/>
            <w:tcBorders>
              <w:top w:val="nil"/>
              <w:left w:val="nil"/>
              <w:bottom w:val="single" w:sz="4" w:space="0" w:color="auto"/>
              <w:right w:val="nil"/>
            </w:tcBorders>
            <w:shd w:val="clear" w:color="auto" w:fill="auto"/>
            <w:noWrap/>
            <w:vAlign w:val="center"/>
            <w:hideMark/>
          </w:tcPr>
          <w:p w14:paraId="72FB899C" w14:textId="77777777" w:rsidR="00AC4EBA" w:rsidRPr="00832773" w:rsidRDefault="00AC4EBA" w:rsidP="00152C3F">
            <w:pPr>
              <w:spacing w:line="240" w:lineRule="auto"/>
              <w:jc w:val="center"/>
              <w:rPr>
                <w:rFonts w:cs="Calibri"/>
                <w:color w:val="000000"/>
                <w:sz w:val="20"/>
                <w:lang w:eastAsia="es-CR"/>
              </w:rPr>
            </w:pPr>
            <w:r w:rsidRPr="00832773">
              <w:rPr>
                <w:rFonts w:cs="Calibri"/>
                <w:color w:val="000000"/>
                <w:sz w:val="20"/>
                <w:lang w:eastAsia="es-CR"/>
              </w:rPr>
              <w:t>Valores absolutos</w:t>
            </w:r>
          </w:p>
        </w:tc>
      </w:tr>
      <w:tr w:rsidR="00AC4EBA" w:rsidRPr="004E74A6" w14:paraId="3C16CF6B" w14:textId="77777777" w:rsidTr="00AC4EBA">
        <w:trPr>
          <w:trHeight w:val="398"/>
          <w:jc w:val="center"/>
        </w:trPr>
        <w:tc>
          <w:tcPr>
            <w:tcW w:w="5954" w:type="dxa"/>
            <w:tcBorders>
              <w:top w:val="nil"/>
              <w:left w:val="nil"/>
              <w:bottom w:val="nil"/>
              <w:right w:val="single" w:sz="4" w:space="0" w:color="auto"/>
            </w:tcBorders>
            <w:shd w:val="clear" w:color="000000" w:fill="FFD966"/>
            <w:vAlign w:val="center"/>
            <w:hideMark/>
          </w:tcPr>
          <w:p w14:paraId="107C91CC" w14:textId="77777777" w:rsidR="00AC4EBA" w:rsidRPr="00832773" w:rsidRDefault="00AC4EBA" w:rsidP="00152C3F">
            <w:pPr>
              <w:spacing w:line="240" w:lineRule="auto"/>
              <w:rPr>
                <w:rFonts w:cs="Calibri"/>
                <w:b/>
                <w:bCs/>
                <w:color w:val="000000"/>
                <w:sz w:val="20"/>
                <w:lang w:eastAsia="es-CR"/>
              </w:rPr>
            </w:pPr>
            <w:r w:rsidRPr="00832773">
              <w:rPr>
                <w:rFonts w:cs="Calibri"/>
                <w:b/>
                <w:bCs/>
                <w:color w:val="000000"/>
                <w:sz w:val="20"/>
                <w:lang w:eastAsia="es-CR"/>
              </w:rPr>
              <w:t>Tercer Circuito Judicial San José, Hatillo</w:t>
            </w:r>
          </w:p>
        </w:tc>
        <w:tc>
          <w:tcPr>
            <w:tcW w:w="1533" w:type="dxa"/>
            <w:tcBorders>
              <w:top w:val="nil"/>
              <w:left w:val="nil"/>
              <w:bottom w:val="nil"/>
              <w:right w:val="single" w:sz="4" w:space="0" w:color="auto"/>
            </w:tcBorders>
            <w:shd w:val="clear" w:color="000000" w:fill="FFD966"/>
            <w:vAlign w:val="center"/>
            <w:hideMark/>
          </w:tcPr>
          <w:p w14:paraId="15F1FBA8" w14:textId="77777777" w:rsidR="00AC4EBA" w:rsidRPr="00832773" w:rsidRDefault="00AC4EBA" w:rsidP="00152C3F">
            <w:pPr>
              <w:spacing w:line="240" w:lineRule="auto"/>
              <w:jc w:val="center"/>
              <w:rPr>
                <w:rFonts w:cs="Calibri"/>
                <w:b/>
                <w:bCs/>
                <w:color w:val="000000"/>
                <w:sz w:val="20"/>
                <w:lang w:eastAsia="es-CR"/>
              </w:rPr>
            </w:pPr>
            <w:r w:rsidRPr="00832773">
              <w:rPr>
                <w:rFonts w:cs="Calibri"/>
                <w:b/>
                <w:bCs/>
                <w:color w:val="000000"/>
                <w:sz w:val="20"/>
                <w:lang w:eastAsia="es-CR"/>
              </w:rPr>
              <w:t>82%</w:t>
            </w:r>
          </w:p>
        </w:tc>
        <w:tc>
          <w:tcPr>
            <w:tcW w:w="1594" w:type="dxa"/>
            <w:tcBorders>
              <w:top w:val="nil"/>
              <w:left w:val="nil"/>
              <w:bottom w:val="nil"/>
              <w:right w:val="nil"/>
            </w:tcBorders>
            <w:shd w:val="clear" w:color="000000" w:fill="FFD966"/>
            <w:noWrap/>
            <w:vAlign w:val="center"/>
            <w:hideMark/>
          </w:tcPr>
          <w:p w14:paraId="7F500683" w14:textId="77777777" w:rsidR="00AC4EBA" w:rsidRPr="00832773" w:rsidRDefault="00AC4EBA" w:rsidP="00152C3F">
            <w:pPr>
              <w:spacing w:line="240" w:lineRule="auto"/>
              <w:jc w:val="center"/>
              <w:rPr>
                <w:rFonts w:cs="Calibri"/>
                <w:b/>
                <w:bCs/>
                <w:color w:val="000000"/>
                <w:sz w:val="20"/>
                <w:lang w:eastAsia="es-CR"/>
              </w:rPr>
            </w:pPr>
            <w:r w:rsidRPr="00832773">
              <w:rPr>
                <w:rFonts w:cs="Calibri"/>
                <w:b/>
                <w:bCs/>
                <w:color w:val="000000"/>
                <w:sz w:val="20"/>
                <w:lang w:eastAsia="es-CR"/>
              </w:rPr>
              <w:t>101</w:t>
            </w:r>
          </w:p>
        </w:tc>
      </w:tr>
      <w:tr w:rsidR="00AC4EBA" w:rsidRPr="004E74A6" w14:paraId="28E30BFE" w14:textId="77777777" w:rsidTr="00AC4EBA">
        <w:trPr>
          <w:trHeight w:val="398"/>
          <w:jc w:val="center"/>
        </w:trPr>
        <w:tc>
          <w:tcPr>
            <w:tcW w:w="5954" w:type="dxa"/>
            <w:tcBorders>
              <w:top w:val="nil"/>
              <w:left w:val="nil"/>
              <w:bottom w:val="nil"/>
              <w:right w:val="single" w:sz="4" w:space="0" w:color="auto"/>
            </w:tcBorders>
            <w:shd w:val="clear" w:color="000000" w:fill="FFD966"/>
            <w:vAlign w:val="center"/>
            <w:hideMark/>
          </w:tcPr>
          <w:p w14:paraId="52201137" w14:textId="77777777" w:rsidR="00AC4EBA" w:rsidRPr="00832773" w:rsidRDefault="00AC4EBA" w:rsidP="00152C3F">
            <w:pPr>
              <w:spacing w:line="240" w:lineRule="auto"/>
              <w:rPr>
                <w:rFonts w:cs="Calibri"/>
                <w:b/>
                <w:bCs/>
                <w:color w:val="000000"/>
                <w:sz w:val="20"/>
                <w:lang w:eastAsia="es-CR"/>
              </w:rPr>
            </w:pPr>
            <w:r w:rsidRPr="00832773">
              <w:rPr>
                <w:rFonts w:cs="Calibri"/>
                <w:b/>
                <w:bCs/>
                <w:color w:val="000000"/>
                <w:sz w:val="20"/>
                <w:lang w:eastAsia="es-CR"/>
              </w:rPr>
              <w:t>Primer Circuito Judicial de Alajuela</w:t>
            </w:r>
          </w:p>
        </w:tc>
        <w:tc>
          <w:tcPr>
            <w:tcW w:w="1533" w:type="dxa"/>
            <w:tcBorders>
              <w:top w:val="nil"/>
              <w:left w:val="nil"/>
              <w:bottom w:val="nil"/>
              <w:right w:val="single" w:sz="4" w:space="0" w:color="auto"/>
            </w:tcBorders>
            <w:shd w:val="clear" w:color="000000" w:fill="FFD966"/>
            <w:vAlign w:val="center"/>
            <w:hideMark/>
          </w:tcPr>
          <w:p w14:paraId="3341408D" w14:textId="77777777" w:rsidR="00AC4EBA" w:rsidRPr="00832773" w:rsidRDefault="00AC4EBA" w:rsidP="00152C3F">
            <w:pPr>
              <w:spacing w:line="240" w:lineRule="auto"/>
              <w:jc w:val="center"/>
              <w:rPr>
                <w:rFonts w:cs="Calibri"/>
                <w:b/>
                <w:bCs/>
                <w:color w:val="000000"/>
                <w:sz w:val="20"/>
                <w:lang w:eastAsia="es-CR"/>
              </w:rPr>
            </w:pPr>
            <w:r w:rsidRPr="00832773">
              <w:rPr>
                <w:rFonts w:cs="Calibri"/>
                <w:b/>
                <w:bCs/>
                <w:color w:val="000000"/>
                <w:sz w:val="20"/>
                <w:lang w:eastAsia="es-CR"/>
              </w:rPr>
              <w:t>76%</w:t>
            </w:r>
          </w:p>
        </w:tc>
        <w:tc>
          <w:tcPr>
            <w:tcW w:w="1594" w:type="dxa"/>
            <w:tcBorders>
              <w:top w:val="nil"/>
              <w:left w:val="nil"/>
              <w:bottom w:val="nil"/>
              <w:right w:val="nil"/>
            </w:tcBorders>
            <w:shd w:val="clear" w:color="000000" w:fill="FFD966"/>
            <w:noWrap/>
            <w:vAlign w:val="center"/>
            <w:hideMark/>
          </w:tcPr>
          <w:p w14:paraId="69562555" w14:textId="77777777" w:rsidR="00AC4EBA" w:rsidRPr="00832773" w:rsidRDefault="00AC4EBA" w:rsidP="00152C3F">
            <w:pPr>
              <w:spacing w:line="240" w:lineRule="auto"/>
              <w:jc w:val="center"/>
              <w:rPr>
                <w:rFonts w:cs="Calibri"/>
                <w:b/>
                <w:bCs/>
                <w:color w:val="000000"/>
                <w:sz w:val="20"/>
                <w:lang w:eastAsia="es-CR"/>
              </w:rPr>
            </w:pPr>
            <w:r w:rsidRPr="00832773">
              <w:rPr>
                <w:rFonts w:cs="Calibri"/>
                <w:b/>
                <w:bCs/>
                <w:color w:val="000000"/>
                <w:sz w:val="20"/>
                <w:lang w:eastAsia="es-CR"/>
              </w:rPr>
              <w:t>120</w:t>
            </w:r>
          </w:p>
        </w:tc>
      </w:tr>
      <w:tr w:rsidR="00AC4EBA" w:rsidRPr="004E74A6" w14:paraId="66989806" w14:textId="77777777" w:rsidTr="00AC4EBA">
        <w:trPr>
          <w:trHeight w:val="398"/>
          <w:jc w:val="center"/>
        </w:trPr>
        <w:tc>
          <w:tcPr>
            <w:tcW w:w="5954" w:type="dxa"/>
            <w:tcBorders>
              <w:top w:val="nil"/>
              <w:left w:val="nil"/>
              <w:bottom w:val="nil"/>
              <w:right w:val="single" w:sz="4" w:space="0" w:color="auto"/>
            </w:tcBorders>
            <w:shd w:val="clear" w:color="000000" w:fill="FFD966"/>
            <w:vAlign w:val="center"/>
            <w:hideMark/>
          </w:tcPr>
          <w:p w14:paraId="294FC825" w14:textId="77777777" w:rsidR="00AC4EBA" w:rsidRPr="00832773" w:rsidRDefault="00AC4EBA" w:rsidP="00152C3F">
            <w:pPr>
              <w:spacing w:line="240" w:lineRule="auto"/>
              <w:rPr>
                <w:rFonts w:cs="Calibri"/>
                <w:b/>
                <w:bCs/>
                <w:color w:val="000000"/>
                <w:sz w:val="20"/>
                <w:lang w:eastAsia="es-CR"/>
              </w:rPr>
            </w:pPr>
            <w:r w:rsidRPr="00832773">
              <w:rPr>
                <w:rFonts w:cs="Calibri"/>
                <w:b/>
                <w:bCs/>
                <w:color w:val="000000"/>
                <w:sz w:val="20"/>
                <w:lang w:eastAsia="es-CR"/>
              </w:rPr>
              <w:t>Tercer Circuito Judicial Alajuela, San Ramón</w:t>
            </w:r>
          </w:p>
        </w:tc>
        <w:tc>
          <w:tcPr>
            <w:tcW w:w="1533" w:type="dxa"/>
            <w:tcBorders>
              <w:top w:val="nil"/>
              <w:left w:val="nil"/>
              <w:bottom w:val="nil"/>
              <w:right w:val="single" w:sz="4" w:space="0" w:color="auto"/>
            </w:tcBorders>
            <w:shd w:val="clear" w:color="000000" w:fill="FFD966"/>
            <w:vAlign w:val="center"/>
            <w:hideMark/>
          </w:tcPr>
          <w:p w14:paraId="74BE081C" w14:textId="77777777" w:rsidR="00AC4EBA" w:rsidRPr="00832773" w:rsidRDefault="00AC4EBA" w:rsidP="00152C3F">
            <w:pPr>
              <w:spacing w:line="240" w:lineRule="auto"/>
              <w:jc w:val="center"/>
              <w:rPr>
                <w:rFonts w:cs="Calibri"/>
                <w:b/>
                <w:bCs/>
                <w:color w:val="000000"/>
                <w:sz w:val="20"/>
                <w:lang w:eastAsia="es-CR"/>
              </w:rPr>
            </w:pPr>
            <w:r w:rsidRPr="00832773">
              <w:rPr>
                <w:rFonts w:cs="Calibri"/>
                <w:b/>
                <w:bCs/>
                <w:color w:val="000000"/>
                <w:sz w:val="20"/>
                <w:lang w:eastAsia="es-CR"/>
              </w:rPr>
              <w:t>76%</w:t>
            </w:r>
          </w:p>
        </w:tc>
        <w:tc>
          <w:tcPr>
            <w:tcW w:w="1594" w:type="dxa"/>
            <w:tcBorders>
              <w:top w:val="nil"/>
              <w:left w:val="nil"/>
              <w:bottom w:val="nil"/>
              <w:right w:val="nil"/>
            </w:tcBorders>
            <w:shd w:val="clear" w:color="000000" w:fill="FFD966"/>
            <w:noWrap/>
            <w:vAlign w:val="center"/>
            <w:hideMark/>
          </w:tcPr>
          <w:p w14:paraId="3949FDC1" w14:textId="77777777" w:rsidR="00AC4EBA" w:rsidRPr="00832773" w:rsidRDefault="00AC4EBA" w:rsidP="00152C3F">
            <w:pPr>
              <w:spacing w:line="240" w:lineRule="auto"/>
              <w:jc w:val="center"/>
              <w:rPr>
                <w:rFonts w:cs="Calibri"/>
                <w:b/>
                <w:bCs/>
                <w:color w:val="000000"/>
                <w:sz w:val="20"/>
                <w:lang w:eastAsia="es-CR"/>
              </w:rPr>
            </w:pPr>
            <w:r w:rsidRPr="00832773">
              <w:rPr>
                <w:rFonts w:cs="Calibri"/>
                <w:b/>
                <w:bCs/>
                <w:color w:val="000000"/>
                <w:sz w:val="20"/>
                <w:lang w:eastAsia="es-CR"/>
              </w:rPr>
              <w:t>114</w:t>
            </w:r>
          </w:p>
        </w:tc>
      </w:tr>
      <w:tr w:rsidR="00AC4EBA" w:rsidRPr="004E74A6" w14:paraId="1D9DE0FE" w14:textId="77777777" w:rsidTr="00AC4EBA">
        <w:trPr>
          <w:trHeight w:val="398"/>
          <w:jc w:val="center"/>
        </w:trPr>
        <w:tc>
          <w:tcPr>
            <w:tcW w:w="5954" w:type="dxa"/>
            <w:tcBorders>
              <w:top w:val="nil"/>
              <w:left w:val="nil"/>
              <w:bottom w:val="nil"/>
              <w:right w:val="single" w:sz="4" w:space="0" w:color="auto"/>
            </w:tcBorders>
            <w:shd w:val="clear" w:color="auto" w:fill="auto"/>
            <w:vAlign w:val="center"/>
            <w:hideMark/>
          </w:tcPr>
          <w:p w14:paraId="070CFFE4" w14:textId="77777777" w:rsidR="00AC4EBA" w:rsidRPr="00832773" w:rsidRDefault="00AC4EBA" w:rsidP="00152C3F">
            <w:pPr>
              <w:spacing w:line="240" w:lineRule="auto"/>
              <w:rPr>
                <w:rFonts w:cs="Calibri"/>
                <w:color w:val="000000"/>
                <w:sz w:val="20"/>
                <w:lang w:eastAsia="es-CR"/>
              </w:rPr>
            </w:pPr>
            <w:r w:rsidRPr="00832773">
              <w:rPr>
                <w:rFonts w:cs="Calibri"/>
                <w:color w:val="000000"/>
                <w:sz w:val="20"/>
                <w:lang w:eastAsia="es-CR"/>
              </w:rPr>
              <w:t>Primer Circuito Judicial Guanacaste, Liberia</w:t>
            </w:r>
          </w:p>
        </w:tc>
        <w:tc>
          <w:tcPr>
            <w:tcW w:w="1533" w:type="dxa"/>
            <w:tcBorders>
              <w:top w:val="nil"/>
              <w:left w:val="nil"/>
              <w:bottom w:val="nil"/>
              <w:right w:val="single" w:sz="4" w:space="0" w:color="auto"/>
            </w:tcBorders>
            <w:shd w:val="clear" w:color="auto" w:fill="auto"/>
            <w:vAlign w:val="center"/>
            <w:hideMark/>
          </w:tcPr>
          <w:p w14:paraId="18C17BE9" w14:textId="77777777" w:rsidR="00AC4EBA" w:rsidRPr="00832773" w:rsidRDefault="00AC4EBA" w:rsidP="00152C3F">
            <w:pPr>
              <w:spacing w:line="240" w:lineRule="auto"/>
              <w:jc w:val="center"/>
              <w:rPr>
                <w:rFonts w:cs="Calibri"/>
                <w:color w:val="000000"/>
                <w:sz w:val="20"/>
                <w:lang w:eastAsia="es-CR"/>
              </w:rPr>
            </w:pPr>
            <w:r w:rsidRPr="00832773">
              <w:rPr>
                <w:rFonts w:cs="Calibri"/>
                <w:color w:val="000000"/>
                <w:sz w:val="20"/>
                <w:lang w:eastAsia="es-CR"/>
              </w:rPr>
              <w:t>37%</w:t>
            </w:r>
          </w:p>
        </w:tc>
        <w:tc>
          <w:tcPr>
            <w:tcW w:w="1594" w:type="dxa"/>
            <w:tcBorders>
              <w:top w:val="nil"/>
              <w:left w:val="nil"/>
              <w:bottom w:val="nil"/>
              <w:right w:val="nil"/>
            </w:tcBorders>
            <w:shd w:val="clear" w:color="auto" w:fill="auto"/>
            <w:noWrap/>
            <w:vAlign w:val="center"/>
            <w:hideMark/>
          </w:tcPr>
          <w:p w14:paraId="51BB6852" w14:textId="77777777" w:rsidR="00AC4EBA" w:rsidRPr="00832773" w:rsidRDefault="00AC4EBA" w:rsidP="00152C3F">
            <w:pPr>
              <w:spacing w:line="240" w:lineRule="auto"/>
              <w:jc w:val="center"/>
              <w:rPr>
                <w:rFonts w:cs="Calibri"/>
                <w:color w:val="000000"/>
                <w:sz w:val="20"/>
                <w:lang w:eastAsia="es-CR"/>
              </w:rPr>
            </w:pPr>
            <w:r w:rsidRPr="00832773">
              <w:rPr>
                <w:rFonts w:cs="Calibri"/>
                <w:color w:val="000000"/>
                <w:sz w:val="20"/>
                <w:lang w:eastAsia="es-CR"/>
              </w:rPr>
              <w:t>33</w:t>
            </w:r>
          </w:p>
        </w:tc>
      </w:tr>
      <w:tr w:rsidR="00AC4EBA" w:rsidRPr="004E74A6" w14:paraId="0777FDE5" w14:textId="77777777" w:rsidTr="00AC4EBA">
        <w:trPr>
          <w:trHeight w:val="398"/>
          <w:jc w:val="center"/>
        </w:trPr>
        <w:tc>
          <w:tcPr>
            <w:tcW w:w="5954" w:type="dxa"/>
            <w:tcBorders>
              <w:top w:val="nil"/>
              <w:left w:val="nil"/>
              <w:bottom w:val="nil"/>
              <w:right w:val="single" w:sz="4" w:space="0" w:color="auto"/>
            </w:tcBorders>
            <w:shd w:val="clear" w:color="auto" w:fill="auto"/>
            <w:vAlign w:val="center"/>
            <w:hideMark/>
          </w:tcPr>
          <w:p w14:paraId="4CCD2386" w14:textId="77777777" w:rsidR="00AC4EBA" w:rsidRPr="00832773" w:rsidRDefault="00AC4EBA" w:rsidP="00152C3F">
            <w:pPr>
              <w:spacing w:line="240" w:lineRule="auto"/>
              <w:rPr>
                <w:rFonts w:cs="Calibri"/>
                <w:color w:val="000000"/>
                <w:sz w:val="20"/>
                <w:lang w:eastAsia="es-CR"/>
              </w:rPr>
            </w:pPr>
            <w:r w:rsidRPr="00832773">
              <w:rPr>
                <w:rFonts w:cs="Calibri"/>
                <w:color w:val="000000"/>
                <w:sz w:val="20"/>
                <w:lang w:eastAsia="es-CR"/>
              </w:rPr>
              <w:t>Tribunal Segundo Primer Circuito Judicial San José</w:t>
            </w:r>
          </w:p>
        </w:tc>
        <w:tc>
          <w:tcPr>
            <w:tcW w:w="1533" w:type="dxa"/>
            <w:tcBorders>
              <w:top w:val="nil"/>
              <w:left w:val="nil"/>
              <w:bottom w:val="nil"/>
              <w:right w:val="single" w:sz="4" w:space="0" w:color="auto"/>
            </w:tcBorders>
            <w:shd w:val="clear" w:color="auto" w:fill="auto"/>
            <w:vAlign w:val="center"/>
            <w:hideMark/>
          </w:tcPr>
          <w:p w14:paraId="74D8AECF" w14:textId="77777777" w:rsidR="00AC4EBA" w:rsidRPr="00832773" w:rsidRDefault="00AC4EBA" w:rsidP="00152C3F">
            <w:pPr>
              <w:spacing w:line="240" w:lineRule="auto"/>
              <w:jc w:val="center"/>
              <w:rPr>
                <w:rFonts w:cs="Calibri"/>
                <w:color w:val="000000"/>
                <w:sz w:val="20"/>
                <w:lang w:eastAsia="es-CR"/>
              </w:rPr>
            </w:pPr>
            <w:r w:rsidRPr="00832773">
              <w:rPr>
                <w:rFonts w:cs="Calibri"/>
                <w:color w:val="000000"/>
                <w:sz w:val="20"/>
                <w:lang w:eastAsia="es-CR"/>
              </w:rPr>
              <w:t>33%</w:t>
            </w:r>
          </w:p>
        </w:tc>
        <w:tc>
          <w:tcPr>
            <w:tcW w:w="1594" w:type="dxa"/>
            <w:tcBorders>
              <w:top w:val="nil"/>
              <w:left w:val="nil"/>
              <w:bottom w:val="nil"/>
              <w:right w:val="nil"/>
            </w:tcBorders>
            <w:shd w:val="clear" w:color="auto" w:fill="auto"/>
            <w:noWrap/>
            <w:vAlign w:val="center"/>
            <w:hideMark/>
          </w:tcPr>
          <w:p w14:paraId="37B720F4" w14:textId="77777777" w:rsidR="00AC4EBA" w:rsidRPr="00832773" w:rsidRDefault="00AC4EBA" w:rsidP="00152C3F">
            <w:pPr>
              <w:spacing w:line="240" w:lineRule="auto"/>
              <w:jc w:val="center"/>
              <w:rPr>
                <w:rFonts w:cs="Calibri"/>
                <w:color w:val="000000"/>
                <w:sz w:val="20"/>
                <w:lang w:eastAsia="es-CR"/>
              </w:rPr>
            </w:pPr>
            <w:r w:rsidRPr="00832773">
              <w:rPr>
                <w:rFonts w:cs="Calibri"/>
                <w:color w:val="000000"/>
                <w:sz w:val="20"/>
                <w:lang w:eastAsia="es-CR"/>
              </w:rPr>
              <w:t>89</w:t>
            </w:r>
          </w:p>
        </w:tc>
      </w:tr>
      <w:tr w:rsidR="00AC4EBA" w:rsidRPr="004E74A6" w14:paraId="40DF0420" w14:textId="77777777" w:rsidTr="00AC4EBA">
        <w:trPr>
          <w:trHeight w:val="398"/>
          <w:jc w:val="center"/>
        </w:trPr>
        <w:tc>
          <w:tcPr>
            <w:tcW w:w="5954" w:type="dxa"/>
            <w:tcBorders>
              <w:top w:val="nil"/>
              <w:left w:val="nil"/>
              <w:bottom w:val="nil"/>
              <w:right w:val="single" w:sz="4" w:space="0" w:color="auto"/>
            </w:tcBorders>
            <w:shd w:val="clear" w:color="auto" w:fill="auto"/>
            <w:vAlign w:val="center"/>
            <w:hideMark/>
          </w:tcPr>
          <w:p w14:paraId="2153F816" w14:textId="77777777" w:rsidR="00AC4EBA" w:rsidRPr="00832773" w:rsidRDefault="00AC4EBA" w:rsidP="00152C3F">
            <w:pPr>
              <w:spacing w:line="240" w:lineRule="auto"/>
              <w:rPr>
                <w:rFonts w:cs="Calibri"/>
                <w:color w:val="000000"/>
                <w:sz w:val="20"/>
                <w:lang w:eastAsia="es-CR"/>
              </w:rPr>
            </w:pPr>
            <w:r w:rsidRPr="00832773">
              <w:rPr>
                <w:rFonts w:cs="Calibri"/>
                <w:color w:val="000000"/>
                <w:sz w:val="20"/>
                <w:lang w:eastAsia="es-CR"/>
              </w:rPr>
              <w:t>Primer Circuito Judicial Zona Sur, Pérez Zeledón</w:t>
            </w:r>
          </w:p>
        </w:tc>
        <w:tc>
          <w:tcPr>
            <w:tcW w:w="1533" w:type="dxa"/>
            <w:tcBorders>
              <w:top w:val="nil"/>
              <w:left w:val="nil"/>
              <w:bottom w:val="nil"/>
              <w:right w:val="single" w:sz="4" w:space="0" w:color="auto"/>
            </w:tcBorders>
            <w:shd w:val="clear" w:color="auto" w:fill="auto"/>
            <w:vAlign w:val="center"/>
            <w:hideMark/>
          </w:tcPr>
          <w:p w14:paraId="2D6118D1" w14:textId="77777777" w:rsidR="00AC4EBA" w:rsidRPr="00832773" w:rsidRDefault="00AC4EBA" w:rsidP="00152C3F">
            <w:pPr>
              <w:spacing w:line="240" w:lineRule="auto"/>
              <w:jc w:val="center"/>
              <w:rPr>
                <w:rFonts w:cs="Calibri"/>
                <w:color w:val="000000"/>
                <w:sz w:val="20"/>
                <w:lang w:eastAsia="es-CR"/>
              </w:rPr>
            </w:pPr>
            <w:r w:rsidRPr="00832773">
              <w:rPr>
                <w:rFonts w:cs="Calibri"/>
                <w:color w:val="000000"/>
                <w:sz w:val="20"/>
                <w:lang w:eastAsia="es-CR"/>
              </w:rPr>
              <w:t>31%</w:t>
            </w:r>
          </w:p>
        </w:tc>
        <w:tc>
          <w:tcPr>
            <w:tcW w:w="1594" w:type="dxa"/>
            <w:tcBorders>
              <w:top w:val="nil"/>
              <w:left w:val="nil"/>
              <w:bottom w:val="nil"/>
              <w:right w:val="nil"/>
            </w:tcBorders>
            <w:shd w:val="clear" w:color="auto" w:fill="auto"/>
            <w:noWrap/>
            <w:vAlign w:val="center"/>
            <w:hideMark/>
          </w:tcPr>
          <w:p w14:paraId="0101E5F1" w14:textId="77777777" w:rsidR="00AC4EBA" w:rsidRPr="00832773" w:rsidRDefault="00AC4EBA" w:rsidP="00152C3F">
            <w:pPr>
              <w:spacing w:line="240" w:lineRule="auto"/>
              <w:jc w:val="center"/>
              <w:rPr>
                <w:rFonts w:cs="Calibri"/>
                <w:color w:val="000000"/>
                <w:sz w:val="20"/>
                <w:lang w:eastAsia="es-CR"/>
              </w:rPr>
            </w:pPr>
            <w:r w:rsidRPr="00832773">
              <w:rPr>
                <w:rFonts w:cs="Calibri"/>
                <w:color w:val="000000"/>
                <w:sz w:val="20"/>
                <w:lang w:eastAsia="es-CR"/>
              </w:rPr>
              <w:t>31</w:t>
            </w:r>
          </w:p>
        </w:tc>
      </w:tr>
      <w:tr w:rsidR="00AC4EBA" w:rsidRPr="004E74A6" w14:paraId="5E429F04" w14:textId="77777777" w:rsidTr="00AC4EBA">
        <w:trPr>
          <w:trHeight w:val="398"/>
          <w:jc w:val="center"/>
        </w:trPr>
        <w:tc>
          <w:tcPr>
            <w:tcW w:w="5954" w:type="dxa"/>
            <w:tcBorders>
              <w:top w:val="nil"/>
              <w:left w:val="nil"/>
              <w:bottom w:val="nil"/>
              <w:right w:val="single" w:sz="4" w:space="0" w:color="auto"/>
            </w:tcBorders>
            <w:shd w:val="clear" w:color="auto" w:fill="auto"/>
            <w:vAlign w:val="center"/>
            <w:hideMark/>
          </w:tcPr>
          <w:p w14:paraId="46AE1498" w14:textId="77777777" w:rsidR="00AC4EBA" w:rsidRPr="00832773" w:rsidRDefault="00AC4EBA" w:rsidP="00152C3F">
            <w:pPr>
              <w:spacing w:line="240" w:lineRule="auto"/>
              <w:rPr>
                <w:rFonts w:cs="Calibri"/>
                <w:color w:val="000000"/>
                <w:sz w:val="20"/>
                <w:lang w:eastAsia="es-CR"/>
              </w:rPr>
            </w:pPr>
            <w:r w:rsidRPr="00832773">
              <w:rPr>
                <w:rFonts w:cs="Calibri"/>
                <w:color w:val="000000"/>
                <w:sz w:val="20"/>
                <w:lang w:eastAsia="es-CR"/>
              </w:rPr>
              <w:t>Puntarenas</w:t>
            </w:r>
          </w:p>
        </w:tc>
        <w:tc>
          <w:tcPr>
            <w:tcW w:w="1533" w:type="dxa"/>
            <w:tcBorders>
              <w:top w:val="nil"/>
              <w:left w:val="nil"/>
              <w:bottom w:val="nil"/>
              <w:right w:val="single" w:sz="4" w:space="0" w:color="auto"/>
            </w:tcBorders>
            <w:shd w:val="clear" w:color="auto" w:fill="auto"/>
            <w:vAlign w:val="center"/>
            <w:hideMark/>
          </w:tcPr>
          <w:p w14:paraId="1F58EFC6" w14:textId="77777777" w:rsidR="00AC4EBA" w:rsidRPr="00832773" w:rsidRDefault="00AC4EBA" w:rsidP="00152C3F">
            <w:pPr>
              <w:spacing w:line="240" w:lineRule="auto"/>
              <w:jc w:val="center"/>
              <w:rPr>
                <w:rFonts w:cs="Calibri"/>
                <w:color w:val="000000"/>
                <w:sz w:val="20"/>
                <w:lang w:eastAsia="es-CR"/>
              </w:rPr>
            </w:pPr>
            <w:r w:rsidRPr="00832773">
              <w:rPr>
                <w:rFonts w:cs="Calibri"/>
                <w:color w:val="000000"/>
                <w:sz w:val="20"/>
                <w:lang w:eastAsia="es-CR"/>
              </w:rPr>
              <w:t>26%</w:t>
            </w:r>
          </w:p>
        </w:tc>
        <w:tc>
          <w:tcPr>
            <w:tcW w:w="1594" w:type="dxa"/>
            <w:tcBorders>
              <w:top w:val="nil"/>
              <w:left w:val="nil"/>
              <w:bottom w:val="nil"/>
              <w:right w:val="nil"/>
            </w:tcBorders>
            <w:shd w:val="clear" w:color="auto" w:fill="auto"/>
            <w:noWrap/>
            <w:vAlign w:val="center"/>
            <w:hideMark/>
          </w:tcPr>
          <w:p w14:paraId="31F34FA1" w14:textId="77777777" w:rsidR="00AC4EBA" w:rsidRPr="00832773" w:rsidRDefault="00AC4EBA" w:rsidP="00152C3F">
            <w:pPr>
              <w:spacing w:line="240" w:lineRule="auto"/>
              <w:jc w:val="center"/>
              <w:rPr>
                <w:rFonts w:cs="Calibri"/>
                <w:color w:val="000000"/>
                <w:sz w:val="20"/>
                <w:lang w:eastAsia="es-CR"/>
              </w:rPr>
            </w:pPr>
            <w:r w:rsidRPr="00832773">
              <w:rPr>
                <w:rFonts w:cs="Calibri"/>
                <w:color w:val="000000"/>
                <w:sz w:val="20"/>
                <w:lang w:eastAsia="es-CR"/>
              </w:rPr>
              <w:t>28</w:t>
            </w:r>
          </w:p>
        </w:tc>
      </w:tr>
      <w:tr w:rsidR="00AC4EBA" w:rsidRPr="004E74A6" w14:paraId="2AFFECCD" w14:textId="77777777" w:rsidTr="00AC4EBA">
        <w:trPr>
          <w:trHeight w:val="398"/>
          <w:jc w:val="center"/>
        </w:trPr>
        <w:tc>
          <w:tcPr>
            <w:tcW w:w="5954" w:type="dxa"/>
            <w:tcBorders>
              <w:top w:val="nil"/>
              <w:left w:val="nil"/>
              <w:bottom w:val="nil"/>
              <w:right w:val="single" w:sz="4" w:space="0" w:color="auto"/>
            </w:tcBorders>
            <w:shd w:val="clear" w:color="auto" w:fill="auto"/>
            <w:vAlign w:val="center"/>
            <w:hideMark/>
          </w:tcPr>
          <w:p w14:paraId="3CDB39E4" w14:textId="77777777" w:rsidR="00AC4EBA" w:rsidRPr="00832773" w:rsidRDefault="00AC4EBA" w:rsidP="00152C3F">
            <w:pPr>
              <w:spacing w:line="240" w:lineRule="auto"/>
              <w:rPr>
                <w:rFonts w:cs="Calibri"/>
                <w:color w:val="000000"/>
                <w:sz w:val="20"/>
                <w:lang w:eastAsia="es-CR"/>
              </w:rPr>
            </w:pPr>
            <w:r w:rsidRPr="00832773">
              <w:rPr>
                <w:rFonts w:cs="Calibri"/>
                <w:color w:val="000000"/>
                <w:sz w:val="20"/>
                <w:lang w:eastAsia="es-CR"/>
              </w:rPr>
              <w:t>Heredia</w:t>
            </w:r>
          </w:p>
        </w:tc>
        <w:tc>
          <w:tcPr>
            <w:tcW w:w="1533" w:type="dxa"/>
            <w:tcBorders>
              <w:top w:val="nil"/>
              <w:left w:val="nil"/>
              <w:bottom w:val="nil"/>
              <w:right w:val="single" w:sz="4" w:space="0" w:color="auto"/>
            </w:tcBorders>
            <w:shd w:val="clear" w:color="auto" w:fill="auto"/>
            <w:vAlign w:val="center"/>
            <w:hideMark/>
          </w:tcPr>
          <w:p w14:paraId="4148A6B6" w14:textId="77777777" w:rsidR="00AC4EBA" w:rsidRPr="00832773" w:rsidRDefault="00AC4EBA" w:rsidP="00152C3F">
            <w:pPr>
              <w:spacing w:line="240" w:lineRule="auto"/>
              <w:jc w:val="center"/>
              <w:rPr>
                <w:rFonts w:cs="Calibri"/>
                <w:color w:val="000000"/>
                <w:sz w:val="20"/>
                <w:lang w:eastAsia="es-CR"/>
              </w:rPr>
            </w:pPr>
            <w:r w:rsidRPr="00832773">
              <w:rPr>
                <w:rFonts w:cs="Calibri"/>
                <w:color w:val="000000"/>
                <w:sz w:val="20"/>
                <w:lang w:eastAsia="es-CR"/>
              </w:rPr>
              <w:t>23%</w:t>
            </w:r>
          </w:p>
        </w:tc>
        <w:tc>
          <w:tcPr>
            <w:tcW w:w="1594" w:type="dxa"/>
            <w:tcBorders>
              <w:top w:val="nil"/>
              <w:left w:val="nil"/>
              <w:bottom w:val="nil"/>
              <w:right w:val="nil"/>
            </w:tcBorders>
            <w:shd w:val="clear" w:color="auto" w:fill="auto"/>
            <w:noWrap/>
            <w:vAlign w:val="center"/>
            <w:hideMark/>
          </w:tcPr>
          <w:p w14:paraId="1B306784" w14:textId="77777777" w:rsidR="00AC4EBA" w:rsidRPr="00832773" w:rsidRDefault="00AC4EBA" w:rsidP="00152C3F">
            <w:pPr>
              <w:spacing w:line="240" w:lineRule="auto"/>
              <w:jc w:val="center"/>
              <w:rPr>
                <w:rFonts w:cs="Calibri"/>
                <w:color w:val="000000"/>
                <w:sz w:val="20"/>
                <w:lang w:eastAsia="es-CR"/>
              </w:rPr>
            </w:pPr>
            <w:r w:rsidRPr="00832773">
              <w:rPr>
                <w:rFonts w:cs="Calibri"/>
                <w:color w:val="000000"/>
                <w:sz w:val="20"/>
                <w:lang w:eastAsia="es-CR"/>
              </w:rPr>
              <w:t>44</w:t>
            </w:r>
          </w:p>
        </w:tc>
      </w:tr>
      <w:tr w:rsidR="00AC4EBA" w:rsidRPr="004E74A6" w14:paraId="391D32DE" w14:textId="77777777" w:rsidTr="00AC4EBA">
        <w:trPr>
          <w:trHeight w:val="398"/>
          <w:jc w:val="center"/>
        </w:trPr>
        <w:tc>
          <w:tcPr>
            <w:tcW w:w="5954" w:type="dxa"/>
            <w:tcBorders>
              <w:top w:val="nil"/>
              <w:left w:val="nil"/>
              <w:bottom w:val="nil"/>
              <w:right w:val="single" w:sz="4" w:space="0" w:color="auto"/>
            </w:tcBorders>
            <w:shd w:val="clear" w:color="auto" w:fill="auto"/>
            <w:vAlign w:val="center"/>
            <w:hideMark/>
          </w:tcPr>
          <w:p w14:paraId="372C30A4" w14:textId="77777777" w:rsidR="00AC4EBA" w:rsidRPr="00832773" w:rsidRDefault="00AC4EBA" w:rsidP="00152C3F">
            <w:pPr>
              <w:spacing w:line="240" w:lineRule="auto"/>
              <w:rPr>
                <w:rFonts w:cs="Calibri"/>
                <w:color w:val="000000"/>
                <w:sz w:val="20"/>
                <w:lang w:eastAsia="es-CR"/>
              </w:rPr>
            </w:pPr>
            <w:r w:rsidRPr="00832773">
              <w:rPr>
                <w:rFonts w:cs="Calibri"/>
                <w:color w:val="000000"/>
                <w:sz w:val="20"/>
                <w:lang w:eastAsia="es-CR"/>
              </w:rPr>
              <w:t>Primer Circuito Judicial Zona Atlántica</w:t>
            </w:r>
          </w:p>
        </w:tc>
        <w:tc>
          <w:tcPr>
            <w:tcW w:w="1533" w:type="dxa"/>
            <w:tcBorders>
              <w:top w:val="nil"/>
              <w:left w:val="nil"/>
              <w:bottom w:val="nil"/>
              <w:right w:val="single" w:sz="4" w:space="0" w:color="auto"/>
            </w:tcBorders>
            <w:shd w:val="clear" w:color="auto" w:fill="auto"/>
            <w:vAlign w:val="center"/>
            <w:hideMark/>
          </w:tcPr>
          <w:p w14:paraId="3552D7F3" w14:textId="77777777" w:rsidR="00AC4EBA" w:rsidRPr="00832773" w:rsidRDefault="00AC4EBA" w:rsidP="00152C3F">
            <w:pPr>
              <w:spacing w:line="240" w:lineRule="auto"/>
              <w:jc w:val="center"/>
              <w:rPr>
                <w:rFonts w:cs="Calibri"/>
                <w:color w:val="000000"/>
                <w:sz w:val="20"/>
                <w:lang w:eastAsia="es-CR"/>
              </w:rPr>
            </w:pPr>
            <w:r w:rsidRPr="00832773">
              <w:rPr>
                <w:rFonts w:cs="Calibri"/>
                <w:color w:val="000000"/>
                <w:sz w:val="20"/>
                <w:lang w:eastAsia="es-CR"/>
              </w:rPr>
              <w:t>23%</w:t>
            </w:r>
          </w:p>
        </w:tc>
        <w:tc>
          <w:tcPr>
            <w:tcW w:w="1594" w:type="dxa"/>
            <w:tcBorders>
              <w:top w:val="nil"/>
              <w:left w:val="nil"/>
              <w:bottom w:val="nil"/>
              <w:right w:val="nil"/>
            </w:tcBorders>
            <w:shd w:val="clear" w:color="auto" w:fill="auto"/>
            <w:noWrap/>
            <w:vAlign w:val="center"/>
            <w:hideMark/>
          </w:tcPr>
          <w:p w14:paraId="46334CFC" w14:textId="77777777" w:rsidR="00AC4EBA" w:rsidRPr="00832773" w:rsidRDefault="00AC4EBA" w:rsidP="00152C3F">
            <w:pPr>
              <w:spacing w:line="240" w:lineRule="auto"/>
              <w:jc w:val="center"/>
              <w:rPr>
                <w:rFonts w:cs="Calibri"/>
                <w:color w:val="000000"/>
                <w:sz w:val="20"/>
                <w:lang w:eastAsia="es-CR"/>
              </w:rPr>
            </w:pPr>
            <w:r w:rsidRPr="00832773">
              <w:rPr>
                <w:rFonts w:cs="Calibri"/>
                <w:color w:val="000000"/>
                <w:sz w:val="20"/>
                <w:lang w:eastAsia="es-CR"/>
              </w:rPr>
              <w:t>26</w:t>
            </w:r>
          </w:p>
        </w:tc>
      </w:tr>
      <w:tr w:rsidR="00AC4EBA" w:rsidRPr="004E74A6" w14:paraId="687DCC6B" w14:textId="77777777" w:rsidTr="00AC4EBA">
        <w:trPr>
          <w:trHeight w:val="398"/>
          <w:jc w:val="center"/>
        </w:trPr>
        <w:tc>
          <w:tcPr>
            <w:tcW w:w="5954" w:type="dxa"/>
            <w:tcBorders>
              <w:top w:val="nil"/>
              <w:left w:val="nil"/>
              <w:bottom w:val="nil"/>
              <w:right w:val="single" w:sz="4" w:space="0" w:color="auto"/>
            </w:tcBorders>
            <w:shd w:val="clear" w:color="auto" w:fill="auto"/>
            <w:vAlign w:val="center"/>
            <w:hideMark/>
          </w:tcPr>
          <w:p w14:paraId="303547E4" w14:textId="77777777" w:rsidR="00AC4EBA" w:rsidRPr="00832773" w:rsidRDefault="00AC4EBA" w:rsidP="00152C3F">
            <w:pPr>
              <w:spacing w:line="240" w:lineRule="auto"/>
              <w:rPr>
                <w:rFonts w:cs="Calibri"/>
                <w:color w:val="000000"/>
                <w:sz w:val="20"/>
                <w:lang w:eastAsia="es-CR"/>
              </w:rPr>
            </w:pPr>
            <w:r w:rsidRPr="00832773">
              <w:rPr>
                <w:rFonts w:cs="Calibri"/>
                <w:color w:val="000000"/>
                <w:sz w:val="20"/>
                <w:lang w:eastAsia="es-CR"/>
              </w:rPr>
              <w:t>Tribunal Primero Primer Circuito Judicial San José</w:t>
            </w:r>
          </w:p>
        </w:tc>
        <w:tc>
          <w:tcPr>
            <w:tcW w:w="1533" w:type="dxa"/>
            <w:tcBorders>
              <w:top w:val="nil"/>
              <w:left w:val="nil"/>
              <w:bottom w:val="nil"/>
              <w:right w:val="single" w:sz="4" w:space="0" w:color="auto"/>
            </w:tcBorders>
            <w:shd w:val="clear" w:color="auto" w:fill="auto"/>
            <w:vAlign w:val="center"/>
            <w:hideMark/>
          </w:tcPr>
          <w:p w14:paraId="0713B61F" w14:textId="77777777" w:rsidR="00AC4EBA" w:rsidRPr="00832773" w:rsidRDefault="00AC4EBA" w:rsidP="00152C3F">
            <w:pPr>
              <w:spacing w:line="240" w:lineRule="auto"/>
              <w:jc w:val="center"/>
              <w:rPr>
                <w:rFonts w:cs="Calibri"/>
                <w:color w:val="000000"/>
                <w:sz w:val="20"/>
                <w:lang w:eastAsia="es-CR"/>
              </w:rPr>
            </w:pPr>
            <w:r w:rsidRPr="00832773">
              <w:rPr>
                <w:rFonts w:cs="Calibri"/>
                <w:color w:val="000000"/>
                <w:sz w:val="20"/>
                <w:lang w:eastAsia="es-CR"/>
              </w:rPr>
              <w:t>20%</w:t>
            </w:r>
          </w:p>
        </w:tc>
        <w:tc>
          <w:tcPr>
            <w:tcW w:w="1594" w:type="dxa"/>
            <w:tcBorders>
              <w:top w:val="nil"/>
              <w:left w:val="nil"/>
              <w:bottom w:val="nil"/>
              <w:right w:val="nil"/>
            </w:tcBorders>
            <w:shd w:val="clear" w:color="auto" w:fill="auto"/>
            <w:noWrap/>
            <w:vAlign w:val="center"/>
            <w:hideMark/>
          </w:tcPr>
          <w:p w14:paraId="1A3E70E5" w14:textId="77777777" w:rsidR="00AC4EBA" w:rsidRPr="00832773" w:rsidRDefault="00AC4EBA" w:rsidP="00152C3F">
            <w:pPr>
              <w:spacing w:line="240" w:lineRule="auto"/>
              <w:jc w:val="center"/>
              <w:rPr>
                <w:rFonts w:cs="Calibri"/>
                <w:color w:val="000000"/>
                <w:sz w:val="20"/>
                <w:lang w:eastAsia="es-CR"/>
              </w:rPr>
            </w:pPr>
            <w:r w:rsidRPr="00832773">
              <w:rPr>
                <w:rFonts w:cs="Calibri"/>
                <w:color w:val="000000"/>
                <w:sz w:val="20"/>
                <w:lang w:eastAsia="es-CR"/>
              </w:rPr>
              <w:t>65,0</w:t>
            </w:r>
          </w:p>
        </w:tc>
      </w:tr>
      <w:tr w:rsidR="00AC4EBA" w:rsidRPr="004E74A6" w14:paraId="2AB04B47" w14:textId="77777777" w:rsidTr="00AC4EBA">
        <w:trPr>
          <w:trHeight w:val="398"/>
          <w:jc w:val="center"/>
        </w:trPr>
        <w:tc>
          <w:tcPr>
            <w:tcW w:w="5954" w:type="dxa"/>
            <w:tcBorders>
              <w:top w:val="nil"/>
              <w:left w:val="nil"/>
              <w:bottom w:val="nil"/>
              <w:right w:val="single" w:sz="4" w:space="0" w:color="auto"/>
            </w:tcBorders>
            <w:shd w:val="clear" w:color="auto" w:fill="auto"/>
            <w:vAlign w:val="center"/>
            <w:hideMark/>
          </w:tcPr>
          <w:p w14:paraId="3D180CCC" w14:textId="77777777" w:rsidR="00AC4EBA" w:rsidRPr="00832773" w:rsidRDefault="00AC4EBA" w:rsidP="00152C3F">
            <w:pPr>
              <w:spacing w:line="240" w:lineRule="auto"/>
              <w:rPr>
                <w:rFonts w:cs="Calibri"/>
                <w:color w:val="000000"/>
                <w:sz w:val="20"/>
                <w:lang w:eastAsia="es-CR"/>
              </w:rPr>
            </w:pPr>
            <w:r w:rsidRPr="00832773">
              <w:rPr>
                <w:rFonts w:cs="Calibri"/>
                <w:color w:val="000000"/>
                <w:sz w:val="20"/>
                <w:lang w:eastAsia="es-CR"/>
              </w:rPr>
              <w:t>Cartago</w:t>
            </w:r>
          </w:p>
        </w:tc>
        <w:tc>
          <w:tcPr>
            <w:tcW w:w="1533" w:type="dxa"/>
            <w:tcBorders>
              <w:top w:val="nil"/>
              <w:left w:val="nil"/>
              <w:bottom w:val="nil"/>
              <w:right w:val="single" w:sz="4" w:space="0" w:color="auto"/>
            </w:tcBorders>
            <w:shd w:val="clear" w:color="auto" w:fill="auto"/>
            <w:vAlign w:val="center"/>
            <w:hideMark/>
          </w:tcPr>
          <w:p w14:paraId="5EAFC579" w14:textId="77777777" w:rsidR="00AC4EBA" w:rsidRPr="00832773" w:rsidRDefault="00AC4EBA" w:rsidP="00152C3F">
            <w:pPr>
              <w:spacing w:line="240" w:lineRule="auto"/>
              <w:jc w:val="center"/>
              <w:rPr>
                <w:rFonts w:cs="Calibri"/>
                <w:color w:val="000000"/>
                <w:sz w:val="20"/>
                <w:lang w:eastAsia="es-CR"/>
              </w:rPr>
            </w:pPr>
            <w:r w:rsidRPr="00832773">
              <w:rPr>
                <w:rFonts w:cs="Calibri"/>
                <w:color w:val="000000"/>
                <w:sz w:val="20"/>
                <w:lang w:eastAsia="es-CR"/>
              </w:rPr>
              <w:t>12%</w:t>
            </w:r>
          </w:p>
        </w:tc>
        <w:tc>
          <w:tcPr>
            <w:tcW w:w="1594" w:type="dxa"/>
            <w:tcBorders>
              <w:top w:val="nil"/>
              <w:left w:val="nil"/>
              <w:bottom w:val="nil"/>
              <w:right w:val="nil"/>
            </w:tcBorders>
            <w:shd w:val="clear" w:color="auto" w:fill="auto"/>
            <w:noWrap/>
            <w:vAlign w:val="center"/>
            <w:hideMark/>
          </w:tcPr>
          <w:p w14:paraId="1837AB38" w14:textId="77777777" w:rsidR="00AC4EBA" w:rsidRPr="00832773" w:rsidRDefault="00AC4EBA" w:rsidP="00152C3F">
            <w:pPr>
              <w:spacing w:line="240" w:lineRule="auto"/>
              <w:jc w:val="center"/>
              <w:rPr>
                <w:rFonts w:cs="Calibri"/>
                <w:color w:val="000000"/>
                <w:sz w:val="20"/>
                <w:lang w:eastAsia="es-CR"/>
              </w:rPr>
            </w:pPr>
            <w:r w:rsidRPr="00832773">
              <w:rPr>
                <w:rFonts w:cs="Calibri"/>
                <w:color w:val="000000"/>
                <w:sz w:val="20"/>
                <w:lang w:eastAsia="es-CR"/>
              </w:rPr>
              <w:t>21</w:t>
            </w:r>
          </w:p>
        </w:tc>
      </w:tr>
      <w:tr w:rsidR="00AC4EBA" w:rsidRPr="004E74A6" w14:paraId="650539E1" w14:textId="77777777" w:rsidTr="00AC4EBA">
        <w:trPr>
          <w:trHeight w:val="398"/>
          <w:jc w:val="center"/>
        </w:trPr>
        <w:tc>
          <w:tcPr>
            <w:tcW w:w="5954" w:type="dxa"/>
            <w:tcBorders>
              <w:top w:val="nil"/>
              <w:left w:val="nil"/>
              <w:bottom w:val="nil"/>
              <w:right w:val="single" w:sz="4" w:space="0" w:color="auto"/>
            </w:tcBorders>
            <w:shd w:val="clear" w:color="auto" w:fill="auto"/>
            <w:vAlign w:val="center"/>
            <w:hideMark/>
          </w:tcPr>
          <w:p w14:paraId="4844A4A8" w14:textId="77777777" w:rsidR="00AC4EBA" w:rsidRPr="00832773" w:rsidRDefault="00AC4EBA" w:rsidP="00152C3F">
            <w:pPr>
              <w:spacing w:line="240" w:lineRule="auto"/>
              <w:rPr>
                <w:rFonts w:cs="Calibri"/>
                <w:color w:val="000000"/>
                <w:sz w:val="20"/>
                <w:lang w:eastAsia="es-CR"/>
              </w:rPr>
            </w:pPr>
            <w:r w:rsidRPr="00832773">
              <w:rPr>
                <w:rFonts w:cs="Calibri"/>
                <w:color w:val="000000"/>
                <w:sz w:val="20"/>
                <w:lang w:eastAsia="es-CR"/>
              </w:rPr>
              <w:t>Segundo Circuito Judicial de Guanacaste, Nicoya</w:t>
            </w:r>
          </w:p>
        </w:tc>
        <w:tc>
          <w:tcPr>
            <w:tcW w:w="1533" w:type="dxa"/>
            <w:tcBorders>
              <w:top w:val="nil"/>
              <w:left w:val="nil"/>
              <w:bottom w:val="nil"/>
              <w:right w:val="single" w:sz="4" w:space="0" w:color="auto"/>
            </w:tcBorders>
            <w:shd w:val="clear" w:color="auto" w:fill="auto"/>
            <w:vAlign w:val="center"/>
            <w:hideMark/>
          </w:tcPr>
          <w:p w14:paraId="0C6D8DE9" w14:textId="77777777" w:rsidR="00AC4EBA" w:rsidRPr="00832773" w:rsidRDefault="00AC4EBA" w:rsidP="00152C3F">
            <w:pPr>
              <w:spacing w:line="240" w:lineRule="auto"/>
              <w:jc w:val="center"/>
              <w:rPr>
                <w:rFonts w:cs="Calibri"/>
                <w:color w:val="000000"/>
                <w:sz w:val="20"/>
                <w:lang w:eastAsia="es-CR"/>
              </w:rPr>
            </w:pPr>
            <w:r w:rsidRPr="00832773">
              <w:rPr>
                <w:rFonts w:cs="Calibri"/>
                <w:color w:val="000000"/>
                <w:sz w:val="20"/>
                <w:lang w:eastAsia="es-CR"/>
              </w:rPr>
              <w:t>9%</w:t>
            </w:r>
          </w:p>
        </w:tc>
        <w:tc>
          <w:tcPr>
            <w:tcW w:w="1594" w:type="dxa"/>
            <w:tcBorders>
              <w:top w:val="nil"/>
              <w:left w:val="nil"/>
              <w:bottom w:val="nil"/>
              <w:right w:val="nil"/>
            </w:tcBorders>
            <w:shd w:val="clear" w:color="auto" w:fill="auto"/>
            <w:noWrap/>
            <w:vAlign w:val="center"/>
            <w:hideMark/>
          </w:tcPr>
          <w:p w14:paraId="61E9E50E" w14:textId="77777777" w:rsidR="00AC4EBA" w:rsidRPr="00832773" w:rsidRDefault="00AC4EBA" w:rsidP="00152C3F">
            <w:pPr>
              <w:spacing w:line="240" w:lineRule="auto"/>
              <w:jc w:val="center"/>
              <w:rPr>
                <w:rFonts w:cs="Calibri"/>
                <w:color w:val="000000"/>
                <w:sz w:val="20"/>
                <w:lang w:eastAsia="es-CR"/>
              </w:rPr>
            </w:pPr>
            <w:r w:rsidRPr="00832773">
              <w:rPr>
                <w:rFonts w:cs="Calibri"/>
                <w:color w:val="000000"/>
                <w:sz w:val="20"/>
                <w:lang w:eastAsia="es-CR"/>
              </w:rPr>
              <w:t>10</w:t>
            </w:r>
          </w:p>
        </w:tc>
      </w:tr>
      <w:tr w:rsidR="00AC4EBA" w:rsidRPr="004E74A6" w14:paraId="6D317D4D" w14:textId="77777777" w:rsidTr="00AC4EBA">
        <w:trPr>
          <w:trHeight w:val="398"/>
          <w:jc w:val="center"/>
        </w:trPr>
        <w:tc>
          <w:tcPr>
            <w:tcW w:w="5954" w:type="dxa"/>
            <w:tcBorders>
              <w:top w:val="nil"/>
              <w:left w:val="nil"/>
              <w:bottom w:val="nil"/>
              <w:right w:val="single" w:sz="4" w:space="0" w:color="auto"/>
            </w:tcBorders>
            <w:shd w:val="clear" w:color="auto" w:fill="auto"/>
            <w:vAlign w:val="center"/>
            <w:hideMark/>
          </w:tcPr>
          <w:p w14:paraId="148A46E1" w14:textId="77777777" w:rsidR="00AC4EBA" w:rsidRPr="00832773" w:rsidRDefault="00AC4EBA" w:rsidP="00152C3F">
            <w:pPr>
              <w:spacing w:line="240" w:lineRule="auto"/>
              <w:jc w:val="center"/>
              <w:rPr>
                <w:rFonts w:cs="Calibri"/>
                <w:b/>
                <w:bCs/>
                <w:color w:val="000000"/>
                <w:sz w:val="20"/>
                <w:lang w:eastAsia="es-CR"/>
              </w:rPr>
            </w:pPr>
            <w:r w:rsidRPr="00832773">
              <w:rPr>
                <w:rFonts w:cs="Calibri"/>
                <w:b/>
                <w:bCs/>
                <w:color w:val="000000"/>
                <w:sz w:val="20"/>
                <w:lang w:eastAsia="es-CR"/>
              </w:rPr>
              <w:t>Total</w:t>
            </w:r>
          </w:p>
        </w:tc>
        <w:tc>
          <w:tcPr>
            <w:tcW w:w="1533" w:type="dxa"/>
            <w:tcBorders>
              <w:top w:val="nil"/>
              <w:left w:val="nil"/>
              <w:bottom w:val="nil"/>
              <w:right w:val="single" w:sz="4" w:space="0" w:color="auto"/>
            </w:tcBorders>
            <w:shd w:val="clear" w:color="auto" w:fill="auto"/>
            <w:vAlign w:val="center"/>
            <w:hideMark/>
          </w:tcPr>
          <w:p w14:paraId="17CDECEC" w14:textId="77777777" w:rsidR="00AC4EBA" w:rsidRPr="00832773" w:rsidRDefault="00AC4EBA" w:rsidP="00152C3F">
            <w:pPr>
              <w:spacing w:line="240" w:lineRule="auto"/>
              <w:jc w:val="center"/>
              <w:rPr>
                <w:rFonts w:cs="Calibri"/>
                <w:color w:val="000000"/>
                <w:sz w:val="20"/>
                <w:lang w:eastAsia="es-CR"/>
              </w:rPr>
            </w:pPr>
            <w:r w:rsidRPr="00832773">
              <w:rPr>
                <w:rFonts w:cs="Calibri"/>
                <w:color w:val="000000"/>
                <w:sz w:val="20"/>
                <w:lang w:eastAsia="es-CR"/>
              </w:rPr>
              <w:t> </w:t>
            </w:r>
          </w:p>
        </w:tc>
        <w:tc>
          <w:tcPr>
            <w:tcW w:w="1594" w:type="dxa"/>
            <w:tcBorders>
              <w:top w:val="nil"/>
              <w:left w:val="nil"/>
              <w:bottom w:val="nil"/>
              <w:right w:val="nil"/>
            </w:tcBorders>
            <w:shd w:val="clear" w:color="auto" w:fill="auto"/>
            <w:noWrap/>
            <w:vAlign w:val="center"/>
            <w:hideMark/>
          </w:tcPr>
          <w:p w14:paraId="5206E2A4" w14:textId="77777777" w:rsidR="00AC4EBA" w:rsidRPr="00832773" w:rsidRDefault="00AC4EBA" w:rsidP="00152C3F">
            <w:pPr>
              <w:spacing w:line="240" w:lineRule="auto"/>
              <w:jc w:val="center"/>
              <w:rPr>
                <w:rFonts w:cs="Calibri"/>
                <w:color w:val="000000"/>
                <w:sz w:val="20"/>
                <w:lang w:eastAsia="es-CR"/>
              </w:rPr>
            </w:pPr>
            <w:r w:rsidRPr="00832773">
              <w:rPr>
                <w:rFonts w:cs="Calibri"/>
                <w:color w:val="000000"/>
                <w:sz w:val="20"/>
                <w:lang w:eastAsia="es-CR"/>
              </w:rPr>
              <w:t>682</w:t>
            </w:r>
          </w:p>
        </w:tc>
      </w:tr>
      <w:tr w:rsidR="00AC4EBA" w:rsidRPr="004E74A6" w14:paraId="4D94C121" w14:textId="77777777" w:rsidTr="00AC4EBA">
        <w:trPr>
          <w:trHeight w:val="398"/>
          <w:jc w:val="center"/>
        </w:trPr>
        <w:tc>
          <w:tcPr>
            <w:tcW w:w="5954" w:type="dxa"/>
            <w:tcBorders>
              <w:top w:val="nil"/>
              <w:left w:val="nil"/>
              <w:bottom w:val="single" w:sz="4" w:space="0" w:color="auto"/>
              <w:right w:val="single" w:sz="4" w:space="0" w:color="auto"/>
            </w:tcBorders>
            <w:shd w:val="clear" w:color="auto" w:fill="auto"/>
            <w:vAlign w:val="center"/>
            <w:hideMark/>
          </w:tcPr>
          <w:p w14:paraId="1EA0D701" w14:textId="77777777" w:rsidR="00AC4EBA" w:rsidRPr="00832773" w:rsidRDefault="00AC4EBA" w:rsidP="00152C3F">
            <w:pPr>
              <w:spacing w:line="240" w:lineRule="auto"/>
              <w:jc w:val="center"/>
              <w:rPr>
                <w:rFonts w:cs="Calibri"/>
                <w:b/>
                <w:bCs/>
                <w:color w:val="000000"/>
                <w:sz w:val="20"/>
                <w:lang w:eastAsia="es-CR"/>
              </w:rPr>
            </w:pPr>
            <w:r w:rsidRPr="00832773">
              <w:rPr>
                <w:rFonts w:cs="Calibri"/>
                <w:b/>
                <w:bCs/>
                <w:color w:val="000000"/>
                <w:sz w:val="20"/>
                <w:lang w:eastAsia="es-CR"/>
              </w:rPr>
              <w:t>Promedio</w:t>
            </w:r>
          </w:p>
        </w:tc>
        <w:tc>
          <w:tcPr>
            <w:tcW w:w="1533" w:type="dxa"/>
            <w:tcBorders>
              <w:top w:val="nil"/>
              <w:left w:val="nil"/>
              <w:bottom w:val="single" w:sz="4" w:space="0" w:color="auto"/>
              <w:right w:val="single" w:sz="4" w:space="0" w:color="auto"/>
            </w:tcBorders>
            <w:shd w:val="clear" w:color="auto" w:fill="auto"/>
            <w:vAlign w:val="center"/>
            <w:hideMark/>
          </w:tcPr>
          <w:p w14:paraId="1B6507B9" w14:textId="77777777" w:rsidR="00AC4EBA" w:rsidRPr="00832773" w:rsidRDefault="00AC4EBA" w:rsidP="00152C3F">
            <w:pPr>
              <w:spacing w:line="240" w:lineRule="auto"/>
              <w:jc w:val="center"/>
              <w:rPr>
                <w:rFonts w:cs="Calibri"/>
                <w:b/>
                <w:bCs/>
                <w:color w:val="000000"/>
                <w:sz w:val="20"/>
                <w:lang w:eastAsia="es-CR"/>
              </w:rPr>
            </w:pPr>
            <w:r w:rsidRPr="00832773">
              <w:rPr>
                <w:rFonts w:cs="Calibri"/>
                <w:b/>
                <w:bCs/>
                <w:color w:val="000000"/>
                <w:sz w:val="20"/>
                <w:lang w:eastAsia="es-CR"/>
              </w:rPr>
              <w:t>38%</w:t>
            </w:r>
          </w:p>
        </w:tc>
        <w:tc>
          <w:tcPr>
            <w:tcW w:w="1594" w:type="dxa"/>
            <w:tcBorders>
              <w:top w:val="nil"/>
              <w:left w:val="nil"/>
              <w:bottom w:val="single" w:sz="4" w:space="0" w:color="auto"/>
              <w:right w:val="nil"/>
            </w:tcBorders>
            <w:shd w:val="clear" w:color="auto" w:fill="auto"/>
            <w:noWrap/>
            <w:vAlign w:val="center"/>
            <w:hideMark/>
          </w:tcPr>
          <w:p w14:paraId="0DE60D31" w14:textId="77777777" w:rsidR="00AC4EBA" w:rsidRPr="00832773" w:rsidRDefault="00AC4EBA" w:rsidP="00152C3F">
            <w:pPr>
              <w:spacing w:line="240" w:lineRule="auto"/>
              <w:jc w:val="center"/>
              <w:rPr>
                <w:rFonts w:cs="Calibri"/>
                <w:b/>
                <w:bCs/>
                <w:color w:val="000000"/>
                <w:sz w:val="20"/>
                <w:lang w:eastAsia="es-CR"/>
              </w:rPr>
            </w:pPr>
            <w:r w:rsidRPr="00832773">
              <w:rPr>
                <w:rFonts w:cs="Calibri"/>
                <w:b/>
                <w:bCs/>
                <w:color w:val="000000"/>
                <w:sz w:val="20"/>
                <w:lang w:eastAsia="es-CR"/>
              </w:rPr>
              <w:t>57</w:t>
            </w:r>
          </w:p>
        </w:tc>
      </w:tr>
    </w:tbl>
    <w:p w14:paraId="7073EEC7" w14:textId="2A9C4C78" w:rsidR="00950FF1" w:rsidRPr="004E74A6" w:rsidRDefault="00950FF1" w:rsidP="00CE62C1">
      <w:pPr>
        <w:spacing w:line="276" w:lineRule="auto"/>
        <w:ind w:left="720"/>
        <w:rPr>
          <w:rFonts w:eastAsia="Calibri"/>
          <w:lang w:eastAsia="en-US"/>
        </w:rPr>
      </w:pPr>
    </w:p>
    <w:p w14:paraId="31817A15" w14:textId="77777777" w:rsidR="00FD5D40" w:rsidRPr="00832773" w:rsidRDefault="00FD5D40" w:rsidP="00832773">
      <w:pPr>
        <w:pStyle w:val="Prrafodelista"/>
        <w:spacing w:line="276" w:lineRule="auto"/>
        <w:rPr>
          <w:rFonts w:eastAsia="Calibri"/>
          <w:lang w:val="es-CR" w:eastAsia="en-US"/>
        </w:rPr>
      </w:pPr>
    </w:p>
    <w:p w14:paraId="1EA5A2BB" w14:textId="03503CF7" w:rsidR="00344785" w:rsidRPr="00832773" w:rsidRDefault="00344785" w:rsidP="00832773">
      <w:pPr>
        <w:pStyle w:val="Prrafodelista"/>
        <w:numPr>
          <w:ilvl w:val="1"/>
          <w:numId w:val="62"/>
        </w:numPr>
        <w:spacing w:after="160" w:line="276" w:lineRule="auto"/>
        <w:ind w:left="567" w:hanging="502"/>
        <w:contextualSpacing/>
        <w:rPr>
          <w:rFonts w:eastAsia="Calibri"/>
          <w:lang w:eastAsia="en-US"/>
        </w:rPr>
      </w:pPr>
      <w:r w:rsidRPr="00832773">
        <w:rPr>
          <w:rFonts w:ascii="Book Antiqua" w:eastAsia="Calibri" w:hAnsi="Book Antiqua"/>
          <w:lang w:eastAsia="en-US"/>
        </w:rPr>
        <w:t>La Sala Primera debe actualizar la información estadística</w:t>
      </w:r>
      <w:r w:rsidR="00CF1327" w:rsidRPr="00832773">
        <w:rPr>
          <w:rFonts w:ascii="Book Antiqua" w:eastAsia="Calibri" w:hAnsi="Book Antiqua"/>
          <w:lang w:eastAsia="en-US"/>
        </w:rPr>
        <w:t xml:space="preserve"> del tipo y </w:t>
      </w:r>
      <w:r w:rsidR="00C31C82" w:rsidRPr="00832773">
        <w:rPr>
          <w:rFonts w:ascii="Book Antiqua" w:eastAsia="Calibri" w:hAnsi="Book Antiqua"/>
          <w:lang w:eastAsia="en-US"/>
        </w:rPr>
        <w:t>rango</w:t>
      </w:r>
      <w:r w:rsidR="00CF1327" w:rsidRPr="00832773">
        <w:rPr>
          <w:rFonts w:ascii="Book Antiqua" w:eastAsia="Calibri" w:hAnsi="Book Antiqua"/>
          <w:lang w:eastAsia="en-US"/>
        </w:rPr>
        <w:t xml:space="preserve"> </w:t>
      </w:r>
      <w:r w:rsidRPr="00832773">
        <w:rPr>
          <w:rFonts w:ascii="Book Antiqua" w:eastAsia="Calibri" w:hAnsi="Book Antiqua"/>
          <w:lang w:eastAsia="en-US"/>
        </w:rPr>
        <w:t>cuantía en materia Agraria, también a los procesos que ingresan como carpeta principal (PRI)</w:t>
      </w:r>
      <w:r w:rsidR="00DA54C9" w:rsidRPr="00832773">
        <w:rPr>
          <w:rFonts w:ascii="Book Antiqua" w:eastAsia="Calibri" w:hAnsi="Book Antiqua"/>
          <w:lang w:eastAsia="en-US"/>
        </w:rPr>
        <w:t xml:space="preserve"> en materia Civil que no se ajusta de </w:t>
      </w:r>
      <w:r w:rsidR="00AD3CD5" w:rsidRPr="00832773">
        <w:rPr>
          <w:rFonts w:ascii="Book Antiqua" w:eastAsia="Calibri" w:hAnsi="Book Antiqua"/>
          <w:lang w:eastAsia="en-US"/>
        </w:rPr>
        <w:t>A</w:t>
      </w:r>
      <w:r w:rsidR="00DA54C9" w:rsidRPr="00832773">
        <w:rPr>
          <w:rFonts w:ascii="Book Antiqua" w:eastAsia="Calibri" w:hAnsi="Book Antiqua"/>
          <w:lang w:eastAsia="en-US"/>
        </w:rPr>
        <w:t xml:space="preserve">uxilio </w:t>
      </w:r>
      <w:r w:rsidR="00AD3CD5" w:rsidRPr="00832773">
        <w:rPr>
          <w:rFonts w:ascii="Book Antiqua" w:eastAsia="Calibri" w:hAnsi="Book Antiqua"/>
          <w:lang w:eastAsia="en-US"/>
        </w:rPr>
        <w:t>I</w:t>
      </w:r>
      <w:r w:rsidR="00DA54C9" w:rsidRPr="00832773">
        <w:rPr>
          <w:rFonts w:ascii="Book Antiqua" w:eastAsia="Calibri" w:hAnsi="Book Antiqua"/>
          <w:lang w:eastAsia="en-US"/>
        </w:rPr>
        <w:t>nternacional ni revisiones</w:t>
      </w:r>
      <w:r w:rsidRPr="00832773">
        <w:rPr>
          <w:rFonts w:ascii="Book Antiqua" w:eastAsia="Calibri" w:hAnsi="Book Antiqua"/>
          <w:lang w:eastAsia="en-US"/>
        </w:rPr>
        <w:t>. Si bien ha mejorado el tema de actuali</w:t>
      </w:r>
      <w:r w:rsidR="00DA54C9" w:rsidRPr="00832773">
        <w:rPr>
          <w:rFonts w:ascii="Book Antiqua" w:eastAsia="Calibri" w:hAnsi="Book Antiqua"/>
          <w:lang w:eastAsia="en-US"/>
        </w:rPr>
        <w:t xml:space="preserve">zación con el paso de los años, </w:t>
      </w:r>
      <w:r w:rsidRPr="00832773">
        <w:rPr>
          <w:rFonts w:ascii="Book Antiqua" w:eastAsia="Calibri" w:hAnsi="Book Antiqua"/>
          <w:lang w:eastAsia="en-US"/>
        </w:rPr>
        <w:t>en 2021</w:t>
      </w:r>
      <w:r w:rsidR="00DA54C9" w:rsidRPr="00832773">
        <w:rPr>
          <w:rFonts w:ascii="Book Antiqua" w:eastAsia="Calibri" w:hAnsi="Book Antiqua"/>
          <w:lang w:eastAsia="en-US"/>
        </w:rPr>
        <w:t xml:space="preserve"> aún se evidenciaron</w:t>
      </w:r>
      <w:r w:rsidRPr="00832773">
        <w:rPr>
          <w:rFonts w:ascii="Book Antiqua" w:eastAsia="Calibri" w:hAnsi="Book Antiqua"/>
          <w:lang w:eastAsia="en-US"/>
        </w:rPr>
        <w:t xml:space="preserve"> inconsistencias que deben ser corregidas.</w:t>
      </w:r>
      <w:r w:rsidR="00E52D79" w:rsidRPr="00832773">
        <w:rPr>
          <w:rFonts w:ascii="Book Antiqua" w:eastAsia="Calibri" w:hAnsi="Book Antiqua"/>
          <w:lang w:eastAsia="en-US"/>
        </w:rPr>
        <w:t xml:space="preserve"> </w:t>
      </w:r>
    </w:p>
    <w:p w14:paraId="0CB4282F" w14:textId="77777777" w:rsidR="00344785" w:rsidRPr="00832773" w:rsidRDefault="00344785" w:rsidP="00832773">
      <w:pPr>
        <w:pStyle w:val="Prrafodelista"/>
        <w:spacing w:line="276" w:lineRule="auto"/>
        <w:rPr>
          <w:rFonts w:ascii="Book Antiqua" w:eastAsia="Calibri" w:hAnsi="Book Antiqua"/>
          <w:lang w:val="es-CR" w:eastAsia="en-US"/>
        </w:rPr>
      </w:pPr>
    </w:p>
    <w:p w14:paraId="3AA299F1" w14:textId="459C27C8" w:rsidR="00C8443D" w:rsidRPr="00832773" w:rsidRDefault="00344785" w:rsidP="00832773">
      <w:pPr>
        <w:pStyle w:val="Prrafodelista"/>
        <w:numPr>
          <w:ilvl w:val="1"/>
          <w:numId w:val="62"/>
        </w:numPr>
        <w:spacing w:after="160" w:line="276" w:lineRule="auto"/>
        <w:ind w:left="567" w:hanging="502"/>
        <w:contextualSpacing/>
        <w:rPr>
          <w:rFonts w:eastAsia="Calibri"/>
          <w:lang w:eastAsia="en-US"/>
        </w:rPr>
      </w:pPr>
      <w:r w:rsidRPr="00832773">
        <w:rPr>
          <w:rFonts w:ascii="Book Antiqua" w:eastAsia="Calibri" w:hAnsi="Book Antiqua"/>
          <w:lang w:eastAsia="en-US"/>
        </w:rPr>
        <w:t xml:space="preserve">Pese a que en materia Contenciosa no aplica cuantía actualmente, para futuros estudios o posibles reformas legales, para obtener el dato de la cuantía de los procesos, puede la Sala Primera valorar la implementación de </w:t>
      </w:r>
      <w:r w:rsidR="00DA54C9" w:rsidRPr="00832773">
        <w:rPr>
          <w:rFonts w:ascii="Book Antiqua" w:eastAsia="Calibri" w:hAnsi="Book Antiqua"/>
          <w:lang w:eastAsia="en-US"/>
        </w:rPr>
        <w:t>l</w:t>
      </w:r>
      <w:r w:rsidRPr="00832773">
        <w:rPr>
          <w:rFonts w:ascii="Book Antiqua" w:eastAsia="Calibri" w:hAnsi="Book Antiqua"/>
          <w:lang w:eastAsia="en-US"/>
        </w:rPr>
        <w:t>a mejora de cuantía, solamente para esos efectos y tener el dato histórico de los procesos ingresados.</w:t>
      </w:r>
    </w:p>
    <w:p w14:paraId="4635ADDF" w14:textId="77777777" w:rsidR="00967851" w:rsidRPr="004E74A6" w:rsidRDefault="00967851" w:rsidP="00CE62C1">
      <w:pPr>
        <w:spacing w:after="160" w:line="276" w:lineRule="auto"/>
        <w:rPr>
          <w:rFonts w:ascii="Calibri" w:eastAsia="Calibri" w:hAnsi="Calibri"/>
          <w:sz w:val="22"/>
          <w:szCs w:val="22"/>
          <w:lang w:eastAsia="en-US"/>
        </w:rPr>
      </w:pPr>
    </w:p>
    <w:p w14:paraId="2E1B7E62" w14:textId="39FFF436" w:rsidR="00494557" w:rsidRPr="004E74A6" w:rsidRDefault="00494557" w:rsidP="00832773">
      <w:pPr>
        <w:keepNext/>
        <w:keepLines/>
        <w:numPr>
          <w:ilvl w:val="0"/>
          <w:numId w:val="2"/>
        </w:numPr>
        <w:shd w:val="clear" w:color="auto" w:fill="2F86BB"/>
        <w:spacing w:before="240" w:line="276" w:lineRule="auto"/>
        <w:outlineLvl w:val="0"/>
        <w:rPr>
          <w:b/>
          <w:color w:val="FFFFFF"/>
          <w:szCs w:val="32"/>
          <w:lang w:eastAsia="es-CR"/>
        </w:rPr>
      </w:pPr>
      <w:r w:rsidRPr="004E74A6">
        <w:rPr>
          <w:b/>
          <w:color w:val="FFFFFF"/>
          <w:szCs w:val="32"/>
          <w:lang w:eastAsia="es-CR"/>
        </w:rPr>
        <w:lastRenderedPageBreak/>
        <w:t xml:space="preserve">Recomendaciones </w:t>
      </w:r>
      <w:r w:rsidR="00A97077">
        <w:rPr>
          <w:b/>
          <w:color w:val="FFFFFF"/>
          <w:szCs w:val="32"/>
          <w:lang w:eastAsia="es-CR"/>
        </w:rPr>
        <w:t>generales</w:t>
      </w:r>
    </w:p>
    <w:p w14:paraId="08561EAA" w14:textId="1417A7C7" w:rsidR="00097349" w:rsidRPr="00C375EC" w:rsidRDefault="00097349" w:rsidP="00832773">
      <w:pPr>
        <w:pStyle w:val="Ttulo3"/>
        <w:rPr>
          <w:lang w:eastAsia="ja-JP"/>
        </w:rPr>
      </w:pPr>
      <w:r w:rsidRPr="00832773">
        <w:rPr>
          <w:lang w:val="es-CR" w:eastAsia="ja-JP"/>
        </w:rPr>
        <w:t>A Corte Plena</w:t>
      </w:r>
    </w:p>
    <w:p w14:paraId="08A86DFC" w14:textId="77777777" w:rsidR="008E1866" w:rsidRPr="00832773" w:rsidRDefault="008E1866" w:rsidP="008E1866">
      <w:pPr>
        <w:pStyle w:val="Prrafodelista"/>
        <w:numPr>
          <w:ilvl w:val="0"/>
          <w:numId w:val="26"/>
        </w:numPr>
        <w:suppressAutoHyphens/>
        <w:spacing w:line="276" w:lineRule="auto"/>
        <w:ind w:right="49"/>
        <w:contextualSpacing/>
        <w:rPr>
          <w:rFonts w:ascii="Book Antiqua" w:eastAsia="Calibri" w:hAnsi="Book Antiqua"/>
          <w:vanish/>
          <w:lang w:val="es-CR" w:eastAsia="es-CR"/>
        </w:rPr>
      </w:pPr>
    </w:p>
    <w:p w14:paraId="74082DBA" w14:textId="77777777" w:rsidR="008E1866" w:rsidRPr="00832773" w:rsidRDefault="008E1866" w:rsidP="008E1866">
      <w:pPr>
        <w:pStyle w:val="Prrafodelista"/>
        <w:numPr>
          <w:ilvl w:val="0"/>
          <w:numId w:val="26"/>
        </w:numPr>
        <w:suppressAutoHyphens/>
        <w:spacing w:line="276" w:lineRule="auto"/>
        <w:ind w:right="49"/>
        <w:contextualSpacing/>
        <w:rPr>
          <w:rFonts w:ascii="Book Antiqua" w:eastAsia="Calibri" w:hAnsi="Book Antiqua"/>
          <w:vanish/>
          <w:lang w:val="es-CR" w:eastAsia="es-CR"/>
        </w:rPr>
      </w:pPr>
    </w:p>
    <w:p w14:paraId="3CAB84C0" w14:textId="77777777" w:rsidR="008E1866" w:rsidRPr="00832773" w:rsidRDefault="008E1866" w:rsidP="008E1866">
      <w:pPr>
        <w:pStyle w:val="Prrafodelista"/>
        <w:numPr>
          <w:ilvl w:val="0"/>
          <w:numId w:val="26"/>
        </w:numPr>
        <w:suppressAutoHyphens/>
        <w:spacing w:line="276" w:lineRule="auto"/>
        <w:ind w:right="49"/>
        <w:contextualSpacing/>
        <w:rPr>
          <w:rFonts w:ascii="Book Antiqua" w:eastAsia="Calibri" w:hAnsi="Book Antiqua"/>
          <w:vanish/>
          <w:lang w:val="es-CR" w:eastAsia="es-CR"/>
        </w:rPr>
      </w:pPr>
    </w:p>
    <w:p w14:paraId="678D476B" w14:textId="77777777" w:rsidR="008E1866" w:rsidRPr="00832773" w:rsidRDefault="008E1866" w:rsidP="008E1866">
      <w:pPr>
        <w:pStyle w:val="Prrafodelista"/>
        <w:numPr>
          <w:ilvl w:val="0"/>
          <w:numId w:val="26"/>
        </w:numPr>
        <w:suppressAutoHyphens/>
        <w:spacing w:line="276" w:lineRule="auto"/>
        <w:ind w:right="49"/>
        <w:contextualSpacing/>
        <w:rPr>
          <w:rFonts w:ascii="Book Antiqua" w:eastAsia="Calibri" w:hAnsi="Book Antiqua"/>
          <w:vanish/>
          <w:lang w:val="es-CR" w:eastAsia="es-CR"/>
        </w:rPr>
      </w:pPr>
    </w:p>
    <w:p w14:paraId="57FEF1EF" w14:textId="77777777" w:rsidR="008E1866" w:rsidRPr="00832773" w:rsidRDefault="008E1866" w:rsidP="008E1866">
      <w:pPr>
        <w:pStyle w:val="Prrafodelista"/>
        <w:numPr>
          <w:ilvl w:val="0"/>
          <w:numId w:val="26"/>
        </w:numPr>
        <w:suppressAutoHyphens/>
        <w:spacing w:line="276" w:lineRule="auto"/>
        <w:ind w:right="49"/>
        <w:contextualSpacing/>
        <w:rPr>
          <w:rFonts w:ascii="Book Antiqua" w:eastAsia="Calibri" w:hAnsi="Book Antiqua"/>
          <w:vanish/>
          <w:lang w:val="es-CR" w:eastAsia="es-CR"/>
        </w:rPr>
      </w:pPr>
    </w:p>
    <w:p w14:paraId="59F3A216" w14:textId="14D7A270" w:rsidR="00D045C1" w:rsidRPr="00E128B7" w:rsidRDefault="00097349" w:rsidP="00E128B7">
      <w:pPr>
        <w:pStyle w:val="Prrafodelista"/>
        <w:numPr>
          <w:ilvl w:val="1"/>
          <w:numId w:val="63"/>
        </w:numPr>
        <w:spacing w:after="160" w:line="276" w:lineRule="auto"/>
        <w:ind w:left="426" w:hanging="436"/>
        <w:contextualSpacing/>
        <w:rPr>
          <w:rFonts w:ascii="Book Antiqua" w:eastAsia="Calibri" w:hAnsi="Book Antiqua"/>
          <w:lang w:val="es-CR" w:eastAsia="es-CR"/>
        </w:rPr>
      </w:pPr>
      <w:r w:rsidRPr="00832773">
        <w:rPr>
          <w:rFonts w:ascii="Book Antiqua" w:eastAsia="Calibri" w:hAnsi="Book Antiqua"/>
          <w:lang w:val="es-CR" w:eastAsia="es-CR"/>
        </w:rPr>
        <w:t xml:space="preserve">Se </w:t>
      </w:r>
      <w:r w:rsidR="00E84E5C" w:rsidRPr="00832773">
        <w:rPr>
          <w:rFonts w:ascii="Book Antiqua" w:eastAsia="Calibri" w:hAnsi="Book Antiqua"/>
          <w:lang w:val="es-CR" w:eastAsia="es-CR"/>
        </w:rPr>
        <w:t xml:space="preserve">presentan para su valoración 5 escenarios posibles de modificación de cuantía en materia Civil, como una </w:t>
      </w:r>
      <w:r w:rsidR="00926517" w:rsidRPr="00832773">
        <w:rPr>
          <w:rFonts w:ascii="Book Antiqua" w:eastAsia="Calibri" w:hAnsi="Book Antiqua"/>
          <w:lang w:val="es-CR" w:eastAsia="es-CR"/>
        </w:rPr>
        <w:t>actualización</w:t>
      </w:r>
      <w:r w:rsidR="00E84E5C" w:rsidRPr="00832773">
        <w:rPr>
          <w:rFonts w:ascii="Book Antiqua" w:eastAsia="Calibri" w:hAnsi="Book Antiqua"/>
          <w:lang w:val="es-CR" w:eastAsia="es-CR"/>
        </w:rPr>
        <w:t xml:space="preserve"> al informe 1913-PLA-EV-2020</w:t>
      </w:r>
      <w:r w:rsidR="00616774">
        <w:rPr>
          <w:rFonts w:ascii="Book Antiqua" w:eastAsia="Calibri" w:hAnsi="Book Antiqua"/>
          <w:lang w:val="es-CR" w:eastAsia="es-CR"/>
        </w:rPr>
        <w:t xml:space="preserve"> de esta Dirección,</w:t>
      </w:r>
      <w:r w:rsidR="00E84E5C" w:rsidRPr="00832773">
        <w:rPr>
          <w:rFonts w:ascii="Book Antiqua" w:eastAsia="Calibri" w:hAnsi="Book Antiqua"/>
          <w:lang w:val="es-CR" w:eastAsia="es-CR"/>
        </w:rPr>
        <w:t xml:space="preserve"> según solicitud de Cor</w:t>
      </w:r>
      <w:r w:rsidR="00527676" w:rsidRPr="00832773">
        <w:rPr>
          <w:rFonts w:ascii="Book Antiqua" w:eastAsia="Calibri" w:hAnsi="Book Antiqua"/>
          <w:lang w:val="es-CR" w:eastAsia="es-CR"/>
        </w:rPr>
        <w:t>t</w:t>
      </w:r>
      <w:r w:rsidR="00E84E5C" w:rsidRPr="00832773">
        <w:rPr>
          <w:rFonts w:ascii="Book Antiqua" w:eastAsia="Calibri" w:hAnsi="Book Antiqua"/>
          <w:lang w:val="es-CR" w:eastAsia="es-CR"/>
        </w:rPr>
        <w:t xml:space="preserve">e Plena en sesión </w:t>
      </w:r>
      <w:r w:rsidR="00527676" w:rsidRPr="00832773">
        <w:rPr>
          <w:rFonts w:ascii="Book Antiqua" w:eastAsia="Calibri" w:hAnsi="Book Antiqua"/>
          <w:lang w:val="es-CR" w:eastAsia="es-CR"/>
        </w:rPr>
        <w:t>2-2021 celebrada el 11 de enero del 2021, artículo XLII</w:t>
      </w:r>
      <w:r w:rsidR="001600EF" w:rsidRPr="00832773">
        <w:rPr>
          <w:rFonts w:ascii="Book Antiqua" w:eastAsia="Calibri" w:hAnsi="Book Antiqua"/>
          <w:lang w:val="es-CR" w:eastAsia="es-CR"/>
        </w:rPr>
        <w:t xml:space="preserve"> </w:t>
      </w:r>
      <w:r w:rsidR="00C375EC">
        <w:rPr>
          <w:rFonts w:ascii="Book Antiqua" w:eastAsia="Calibri" w:hAnsi="Book Antiqua"/>
          <w:lang w:val="es-CR" w:eastAsia="es-CR"/>
        </w:rPr>
        <w:t>que se realizó</w:t>
      </w:r>
      <w:r w:rsidR="00527676" w:rsidRPr="00832773">
        <w:rPr>
          <w:rFonts w:ascii="Book Antiqua" w:eastAsia="Calibri" w:hAnsi="Book Antiqua"/>
          <w:lang w:val="es-CR" w:eastAsia="es-CR"/>
        </w:rPr>
        <w:t xml:space="preserve"> posterior a la actualización en los sistemas por parte de las oficinas según circular 2</w:t>
      </w:r>
      <w:r w:rsidR="001600EF" w:rsidRPr="00832773">
        <w:rPr>
          <w:rFonts w:ascii="Book Antiqua" w:eastAsia="Calibri" w:hAnsi="Book Antiqua"/>
          <w:lang w:val="es-CR" w:eastAsia="es-CR"/>
        </w:rPr>
        <w:t>9</w:t>
      </w:r>
      <w:r w:rsidR="00527676" w:rsidRPr="00832773">
        <w:rPr>
          <w:rFonts w:ascii="Book Antiqua" w:eastAsia="Calibri" w:hAnsi="Book Antiqua"/>
          <w:lang w:val="es-CR" w:eastAsia="es-CR"/>
        </w:rPr>
        <w:t xml:space="preserve">7-2021 de noviembre 2021. </w:t>
      </w:r>
      <w:r w:rsidR="00AC3651" w:rsidRPr="00E128B7">
        <w:rPr>
          <w:rFonts w:ascii="Book Antiqua" w:eastAsia="Calibri" w:hAnsi="Book Antiqua"/>
          <w:lang w:val="es-CR" w:eastAsia="es-CR"/>
        </w:rPr>
        <w:t xml:space="preserve">Se aclara que </w:t>
      </w:r>
      <w:r w:rsidR="00D045C1" w:rsidRPr="00E128B7">
        <w:rPr>
          <w:rFonts w:ascii="Book Antiqua" w:eastAsia="Calibri" w:hAnsi="Book Antiqua"/>
          <w:lang w:val="es-CR" w:eastAsia="es-CR"/>
        </w:rPr>
        <w:t xml:space="preserve">actualmente en materia Agraria se utiliza el mismo monto de cuantía </w:t>
      </w:r>
      <w:r w:rsidR="00C375EC" w:rsidRPr="00E128B7">
        <w:rPr>
          <w:rFonts w:ascii="Book Antiqua" w:eastAsia="Calibri" w:hAnsi="Book Antiqua"/>
          <w:lang w:val="es-CR" w:eastAsia="es-CR"/>
        </w:rPr>
        <w:t>C</w:t>
      </w:r>
      <w:r w:rsidR="00D045C1" w:rsidRPr="00E128B7">
        <w:rPr>
          <w:rFonts w:ascii="Book Antiqua" w:eastAsia="Calibri" w:hAnsi="Book Antiqua"/>
          <w:lang w:val="es-CR" w:eastAsia="es-CR"/>
        </w:rPr>
        <w:t xml:space="preserve">ivil, por lo que </w:t>
      </w:r>
      <w:r w:rsidR="00C375EC" w:rsidRPr="00E128B7">
        <w:rPr>
          <w:rFonts w:ascii="Book Antiqua" w:eastAsia="Calibri" w:hAnsi="Book Antiqua"/>
          <w:lang w:val="es-CR" w:eastAsia="es-CR"/>
        </w:rPr>
        <w:t xml:space="preserve">depende lo que apruebe la Corte Plena </w:t>
      </w:r>
      <w:r w:rsidR="00D045C1" w:rsidRPr="00E128B7">
        <w:rPr>
          <w:rFonts w:ascii="Book Antiqua" w:eastAsia="Calibri" w:hAnsi="Book Antiqua"/>
          <w:lang w:val="es-CR" w:eastAsia="es-CR"/>
        </w:rPr>
        <w:t>variaría también la cuantía Agraria.</w:t>
      </w:r>
      <w:r w:rsidR="00D045C1" w:rsidRPr="00E128B7">
        <w:rPr>
          <w:rFonts w:eastAsia="Calibri"/>
          <w:lang w:eastAsia="es-CR"/>
        </w:rPr>
        <w:t xml:space="preserve"> </w:t>
      </w:r>
    </w:p>
    <w:p w14:paraId="3C1B8C19" w14:textId="77777777" w:rsidR="00D045C1" w:rsidRDefault="00D045C1" w:rsidP="00CE62C1">
      <w:pPr>
        <w:suppressAutoHyphens/>
        <w:spacing w:line="276" w:lineRule="auto"/>
        <w:ind w:right="49"/>
        <w:contextualSpacing/>
        <w:rPr>
          <w:rFonts w:eastAsia="Calibri"/>
          <w:lang w:eastAsia="es-CR"/>
        </w:rPr>
      </w:pPr>
    </w:p>
    <w:p w14:paraId="1EED0D9B" w14:textId="3B0F41DF" w:rsidR="00AC3651" w:rsidRPr="004E74A6" w:rsidRDefault="00D045C1" w:rsidP="00575AA9">
      <w:pPr>
        <w:suppressAutoHyphens/>
        <w:spacing w:line="276" w:lineRule="auto"/>
        <w:ind w:left="426" w:right="49"/>
        <w:contextualSpacing/>
        <w:rPr>
          <w:rFonts w:eastAsia="Calibri"/>
          <w:lang w:eastAsia="es-CR"/>
        </w:rPr>
      </w:pPr>
      <w:r>
        <w:rPr>
          <w:rFonts w:eastAsia="Calibri"/>
          <w:lang w:eastAsia="es-CR"/>
        </w:rPr>
        <w:t>Además, e</w:t>
      </w:r>
      <w:r w:rsidR="00AC3651" w:rsidRPr="004E74A6">
        <w:rPr>
          <w:rFonts w:eastAsia="Calibri"/>
          <w:lang w:eastAsia="es-CR"/>
        </w:rPr>
        <w:t xml:space="preserve">l escenario A2 según la Dirección </w:t>
      </w:r>
      <w:r w:rsidR="0019569C" w:rsidRPr="004E74A6">
        <w:rPr>
          <w:rFonts w:eastAsia="Calibri"/>
          <w:lang w:eastAsia="es-CR"/>
        </w:rPr>
        <w:t>J</w:t>
      </w:r>
      <w:r w:rsidR="00AC3651" w:rsidRPr="004E74A6">
        <w:rPr>
          <w:rFonts w:eastAsia="Calibri"/>
          <w:lang w:eastAsia="es-CR"/>
        </w:rPr>
        <w:t xml:space="preserve">urídica requiere de reforma legal previa, sin embargo, a solicitud de la Sala Primera se incluye esta versión, se analizó el posible impacto y constan en el informe los criterios jurídicos, </w:t>
      </w:r>
      <w:r w:rsidR="0023337E" w:rsidRPr="004E74A6">
        <w:rPr>
          <w:rFonts w:eastAsia="Calibri"/>
          <w:lang w:eastAsia="es-CR"/>
        </w:rPr>
        <w:t>p</w:t>
      </w:r>
      <w:r w:rsidR="00AC3651" w:rsidRPr="004E74A6">
        <w:rPr>
          <w:rFonts w:eastAsia="Calibri"/>
          <w:lang w:eastAsia="es-CR"/>
        </w:rPr>
        <w:t>ara que fina</w:t>
      </w:r>
      <w:r w:rsidR="0023337E" w:rsidRPr="004E74A6">
        <w:rPr>
          <w:rFonts w:eastAsia="Calibri"/>
          <w:lang w:eastAsia="es-CR"/>
        </w:rPr>
        <w:t>l</w:t>
      </w:r>
      <w:r w:rsidR="00AC3651" w:rsidRPr="004E74A6">
        <w:rPr>
          <w:rFonts w:eastAsia="Calibri"/>
          <w:lang w:eastAsia="es-CR"/>
        </w:rPr>
        <w:t>mente se</w:t>
      </w:r>
      <w:r w:rsidR="0023337E" w:rsidRPr="004E74A6">
        <w:rPr>
          <w:rFonts w:eastAsia="Calibri"/>
          <w:lang w:eastAsia="es-CR"/>
        </w:rPr>
        <w:t>a</w:t>
      </w:r>
      <w:r w:rsidR="00AC3651" w:rsidRPr="004E74A6">
        <w:rPr>
          <w:rFonts w:eastAsia="Calibri"/>
          <w:lang w:eastAsia="es-CR"/>
        </w:rPr>
        <w:t xml:space="preserve"> Corte Plena quien valore lo correspondiente. </w:t>
      </w:r>
      <w:r w:rsidR="0007207B" w:rsidRPr="004E74A6">
        <w:rPr>
          <w:rFonts w:eastAsia="Calibri"/>
          <w:lang w:eastAsia="es-CR"/>
        </w:rPr>
        <w:t xml:space="preserve">Al respecto la Sala </w:t>
      </w:r>
      <w:r w:rsidR="00616774" w:rsidRPr="004E74A6">
        <w:rPr>
          <w:rFonts w:eastAsia="Calibri"/>
          <w:lang w:eastAsia="es-CR"/>
        </w:rPr>
        <w:t>Primera mediante</w:t>
      </w:r>
      <w:r w:rsidR="0007207B" w:rsidRPr="004E74A6">
        <w:rPr>
          <w:rFonts w:eastAsia="Calibri"/>
          <w:lang w:eastAsia="es-CR"/>
        </w:rPr>
        <w:t xml:space="preserve"> oficio PS1-43-2022 (anexo 22) indicó:</w:t>
      </w:r>
    </w:p>
    <w:p w14:paraId="3FD185C0" w14:textId="6404FB01" w:rsidR="0007207B" w:rsidRPr="004E74A6" w:rsidRDefault="0007207B" w:rsidP="00CE62C1">
      <w:pPr>
        <w:suppressAutoHyphens/>
        <w:spacing w:line="276" w:lineRule="auto"/>
        <w:ind w:right="49"/>
        <w:contextualSpacing/>
        <w:rPr>
          <w:rFonts w:eastAsia="Calibri"/>
          <w:lang w:eastAsia="es-CR"/>
        </w:rPr>
      </w:pPr>
    </w:p>
    <w:p w14:paraId="512072BC" w14:textId="23F6C439" w:rsidR="0007207B" w:rsidRPr="00832773" w:rsidRDefault="0007207B" w:rsidP="00832773">
      <w:pPr>
        <w:suppressAutoHyphens/>
        <w:spacing w:line="276" w:lineRule="auto"/>
        <w:ind w:left="567" w:right="618"/>
        <w:contextualSpacing/>
        <w:rPr>
          <w:rFonts w:eastAsia="Calibri"/>
          <w:i/>
          <w:iCs/>
          <w:sz w:val="20"/>
          <w:lang w:eastAsia="es-CR"/>
        </w:rPr>
      </w:pPr>
      <w:r w:rsidRPr="004E74A6">
        <w:rPr>
          <w:i/>
          <w:iCs/>
          <w:sz w:val="20"/>
        </w:rPr>
        <w:t>“</w:t>
      </w:r>
      <w:r w:rsidRPr="00832773">
        <w:rPr>
          <w:i/>
          <w:iCs/>
          <w:sz w:val="20"/>
        </w:rPr>
        <w:t>No se comparte el criterio de la Dirección Jurídica incluido en el informe, que limita la posibilidad de aplicar una cuantía para el acceso del recurso de casación, que es una potestad otorgada para la Corte Plena de acuerdo a la Ley Orgánica del Poder Judicial, artículos 59 (inciso 14) y 114. La Sala Primera ha venido mostrando una mejora en los tiempos de respuesta en los últimos dos años, con una disminución en el circulante de aproximadamente 2000 asuntos, producto de la superioridad de los casos terminados por sobre los entrados; sin embargo, los tiempos de resolución siguen siendo superiores a los que poseen los Tribunales de Apelación Civil, por lo que un aumento en la cuantía para la casación ocasionaría un efecto positivo para las personas usuarias que ahora tendrían la posibilidad (en los casos que se determine) de acceder al recurso de la apelación que es mucho más amplio en sus causales que la casación</w:t>
      </w:r>
      <w:r w:rsidRPr="004E74A6">
        <w:rPr>
          <w:i/>
          <w:iCs/>
          <w:sz w:val="20"/>
        </w:rPr>
        <w:t>”</w:t>
      </w:r>
      <w:r w:rsidRPr="00832773">
        <w:rPr>
          <w:i/>
          <w:iCs/>
          <w:sz w:val="20"/>
        </w:rPr>
        <w:t>.</w:t>
      </w:r>
    </w:p>
    <w:p w14:paraId="4673E1FD" w14:textId="77777777" w:rsidR="00300A8F" w:rsidRPr="004E74A6" w:rsidRDefault="00300A8F" w:rsidP="00CE62C1">
      <w:pPr>
        <w:spacing w:line="276" w:lineRule="auto"/>
        <w:rPr>
          <w:bCs/>
          <w:color w:val="1F3864"/>
          <w:spacing w:val="10"/>
          <w:lang w:eastAsia="ja-JP"/>
        </w:rPr>
      </w:pPr>
    </w:p>
    <w:p w14:paraId="280A9B86" w14:textId="561E5EBF" w:rsidR="00926517" w:rsidRPr="00832773" w:rsidRDefault="00926517" w:rsidP="00832773">
      <w:pPr>
        <w:pStyle w:val="Descripcin"/>
        <w:keepNext/>
        <w:spacing w:line="276" w:lineRule="auto"/>
        <w:jc w:val="center"/>
        <w:rPr>
          <w:rFonts w:ascii="Book Antiqua" w:hAnsi="Book Antiqua"/>
          <w:i/>
          <w:iCs/>
          <w:sz w:val="22"/>
          <w:szCs w:val="22"/>
          <w:lang w:val="es-CR"/>
        </w:rPr>
      </w:pPr>
      <w:r w:rsidRPr="00832773">
        <w:rPr>
          <w:rFonts w:ascii="Book Antiqua" w:hAnsi="Book Antiqua"/>
          <w:i/>
          <w:iCs/>
          <w:sz w:val="22"/>
          <w:szCs w:val="22"/>
          <w:lang w:val="es-CR"/>
        </w:rPr>
        <w:lastRenderedPageBreak/>
        <w:t xml:space="preserve">Ilustración </w:t>
      </w:r>
      <w:r w:rsidRPr="00832773">
        <w:rPr>
          <w:rFonts w:ascii="Book Antiqua" w:hAnsi="Book Antiqua"/>
          <w:i/>
          <w:iCs/>
          <w:sz w:val="22"/>
          <w:szCs w:val="22"/>
          <w:lang w:val="es-CR"/>
        </w:rPr>
        <w:fldChar w:fldCharType="begin"/>
      </w:r>
      <w:r w:rsidRPr="00832773">
        <w:rPr>
          <w:rFonts w:ascii="Book Antiqua" w:hAnsi="Book Antiqua"/>
          <w:i/>
          <w:iCs/>
          <w:sz w:val="22"/>
          <w:szCs w:val="22"/>
          <w:lang w:val="es-CR"/>
        </w:rPr>
        <w:instrText xml:space="preserve"> SEQ Ilustración \* ARABIC </w:instrText>
      </w:r>
      <w:r w:rsidRPr="00832773">
        <w:rPr>
          <w:rFonts w:ascii="Book Antiqua" w:hAnsi="Book Antiqua"/>
          <w:i/>
          <w:iCs/>
          <w:sz w:val="22"/>
          <w:szCs w:val="22"/>
          <w:lang w:val="es-CR"/>
        </w:rPr>
        <w:fldChar w:fldCharType="separate"/>
      </w:r>
      <w:r w:rsidR="00755589" w:rsidRPr="00832773">
        <w:rPr>
          <w:rFonts w:ascii="Book Antiqua" w:hAnsi="Book Antiqua"/>
          <w:i/>
          <w:iCs/>
          <w:noProof/>
          <w:sz w:val="22"/>
          <w:szCs w:val="22"/>
          <w:lang w:val="es-CR"/>
        </w:rPr>
        <w:t>10</w:t>
      </w:r>
      <w:r w:rsidRPr="00832773">
        <w:rPr>
          <w:rFonts w:ascii="Book Antiqua" w:hAnsi="Book Antiqua"/>
          <w:i/>
          <w:iCs/>
          <w:sz w:val="22"/>
          <w:szCs w:val="22"/>
          <w:lang w:val="es-CR"/>
        </w:rPr>
        <w:fldChar w:fldCharType="end"/>
      </w:r>
      <w:r w:rsidR="00CB5749" w:rsidRPr="00832773">
        <w:rPr>
          <w:rStyle w:val="Refdenotaalpie"/>
          <w:rFonts w:ascii="Book Antiqua" w:hAnsi="Book Antiqua"/>
          <w:i/>
          <w:iCs/>
          <w:sz w:val="22"/>
          <w:szCs w:val="22"/>
          <w:lang w:val="es-CR"/>
        </w:rPr>
        <w:footnoteReference w:id="49"/>
      </w:r>
    </w:p>
    <w:p w14:paraId="39FD2757" w14:textId="77777777" w:rsidR="00926517" w:rsidRPr="00832773" w:rsidRDefault="00926517" w:rsidP="00832773">
      <w:pPr>
        <w:pStyle w:val="Descripcin"/>
        <w:keepNext/>
        <w:spacing w:line="276" w:lineRule="auto"/>
        <w:jc w:val="center"/>
        <w:rPr>
          <w:rFonts w:ascii="Book Antiqua" w:hAnsi="Book Antiqua"/>
          <w:i/>
          <w:iCs/>
          <w:sz w:val="22"/>
          <w:szCs w:val="22"/>
          <w:lang w:val="es-CR"/>
        </w:rPr>
      </w:pPr>
      <w:r w:rsidRPr="00832773">
        <w:rPr>
          <w:rFonts w:ascii="Book Antiqua" w:hAnsi="Book Antiqua"/>
          <w:i/>
          <w:iCs/>
          <w:sz w:val="22"/>
          <w:szCs w:val="22"/>
          <w:lang w:val="es-CR"/>
        </w:rPr>
        <w:t>Actualización de escenarios incluidos anteriormente en el informe 1913-PLA-EV-2020</w:t>
      </w:r>
    </w:p>
    <w:p w14:paraId="3FDB0F45" w14:textId="0619B154" w:rsidR="00926517" w:rsidRPr="00832773" w:rsidRDefault="007D2FF3" w:rsidP="00CE62C1">
      <w:pPr>
        <w:spacing w:line="276" w:lineRule="auto"/>
        <w:ind w:right="-374"/>
        <w:jc w:val="center"/>
        <w:rPr>
          <w:rFonts w:eastAsia="Calibri"/>
          <w:lang w:eastAsia="en-US"/>
        </w:rPr>
      </w:pPr>
      <w:r w:rsidRPr="004E74A6">
        <w:rPr>
          <w:noProof/>
        </w:rPr>
        <w:drawing>
          <wp:inline distT="0" distB="0" distL="0" distR="0" wp14:anchorId="45ADABAC" wp14:editId="2A5B0BB2">
            <wp:extent cx="5613400" cy="3255645"/>
            <wp:effectExtent l="0" t="0" r="6350" b="1905"/>
            <wp:docPr id="8" name="Imagen 8" descr="Escala de tiem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descr="Escala de tiempo&#10;&#10;Descripción generada automáticamente"/>
                    <pic:cNvPicPr/>
                  </pic:nvPicPr>
                  <pic:blipFill>
                    <a:blip r:embed="rId21"/>
                    <a:stretch>
                      <a:fillRect/>
                    </a:stretch>
                  </pic:blipFill>
                  <pic:spPr>
                    <a:xfrm>
                      <a:off x="0" y="0"/>
                      <a:ext cx="5613400" cy="3255645"/>
                    </a:xfrm>
                    <a:prstGeom prst="rect">
                      <a:avLst/>
                    </a:prstGeom>
                  </pic:spPr>
                </pic:pic>
              </a:graphicData>
            </a:graphic>
          </wp:inline>
        </w:drawing>
      </w:r>
    </w:p>
    <w:p w14:paraId="51E59BAA" w14:textId="01DC81E9" w:rsidR="00926517" w:rsidRPr="00832773" w:rsidRDefault="00926517" w:rsidP="00CE62C1">
      <w:pPr>
        <w:spacing w:line="276" w:lineRule="auto"/>
        <w:jc w:val="left"/>
        <w:rPr>
          <w:rFonts w:eastAsia="Calibri"/>
          <w:i/>
          <w:iCs/>
          <w:sz w:val="20"/>
          <w:szCs w:val="16"/>
          <w:lang w:eastAsia="en-US"/>
        </w:rPr>
      </w:pPr>
      <w:r w:rsidRPr="00832773">
        <w:rPr>
          <w:rFonts w:eastAsia="Calibri"/>
          <w:b/>
          <w:bCs/>
          <w:i/>
          <w:iCs/>
          <w:sz w:val="20"/>
          <w:szCs w:val="16"/>
          <w:lang w:eastAsia="en-US"/>
        </w:rPr>
        <w:t>Fuente</w:t>
      </w:r>
      <w:r w:rsidRPr="00832773">
        <w:rPr>
          <w:rFonts w:eastAsia="Calibri"/>
          <w:i/>
          <w:iCs/>
          <w:sz w:val="20"/>
          <w:szCs w:val="16"/>
          <w:lang w:eastAsia="en-US"/>
        </w:rPr>
        <w:t>: Subproceso de Modernización Institucional</w:t>
      </w:r>
    </w:p>
    <w:p w14:paraId="312BE3C5" w14:textId="02953E27" w:rsidR="00BD7F0C" w:rsidRPr="00832773" w:rsidRDefault="00BD7F0C" w:rsidP="00BD7F0C">
      <w:pPr>
        <w:pStyle w:val="Textoindependiente"/>
        <w:widowControl w:val="0"/>
        <w:spacing w:line="276" w:lineRule="auto"/>
        <w:rPr>
          <w:rFonts w:eastAsia="Calibri"/>
          <w:i/>
          <w:iCs/>
          <w:sz w:val="20"/>
          <w:szCs w:val="16"/>
          <w:lang w:eastAsia="en-US"/>
        </w:rPr>
      </w:pPr>
      <w:r w:rsidRPr="00832773">
        <w:rPr>
          <w:rFonts w:eastAsia="Calibri"/>
          <w:b/>
          <w:bCs/>
          <w:i/>
          <w:iCs/>
          <w:sz w:val="20"/>
          <w:szCs w:val="16"/>
          <w:lang w:eastAsia="en-US"/>
        </w:rPr>
        <w:t>Nota respecto al escenario A:</w:t>
      </w:r>
      <w:r w:rsidRPr="00832773">
        <w:rPr>
          <w:rFonts w:eastAsia="Calibri"/>
          <w:i/>
          <w:iCs/>
          <w:sz w:val="20"/>
          <w:szCs w:val="16"/>
          <w:lang w:eastAsia="en-US"/>
        </w:rPr>
        <w:t xml:space="preserve"> Como parte de las observaciones recibidas por parte de la Sala Primera mediante oficio PS1-43-2022 (anexo 22), se recomendó a Corte Plena que el límite se establezca en 40 millones de colones y no 20</w:t>
      </w:r>
      <w:r w:rsidR="00CD7AC2" w:rsidRPr="00832773">
        <w:rPr>
          <w:rFonts w:eastAsia="Calibri"/>
          <w:i/>
          <w:iCs/>
          <w:sz w:val="20"/>
          <w:szCs w:val="16"/>
          <w:lang w:eastAsia="en-US"/>
        </w:rPr>
        <w:t xml:space="preserve"> millones de colones</w:t>
      </w:r>
      <w:r w:rsidRPr="00832773">
        <w:rPr>
          <w:rFonts w:eastAsia="Calibri"/>
          <w:i/>
          <w:iCs/>
          <w:sz w:val="20"/>
          <w:szCs w:val="16"/>
          <w:lang w:eastAsia="en-US"/>
        </w:rPr>
        <w:t xml:space="preserve"> como se había recomendado inicialmente para el escenario A. </w:t>
      </w:r>
    </w:p>
    <w:p w14:paraId="03707DBF" w14:textId="7BCDCC10" w:rsidR="007D2FF3" w:rsidRPr="00832773" w:rsidRDefault="007D2FF3" w:rsidP="00CE62C1">
      <w:pPr>
        <w:spacing w:line="276" w:lineRule="auto"/>
        <w:jc w:val="left"/>
        <w:rPr>
          <w:rFonts w:eastAsia="Calibri"/>
          <w:i/>
          <w:iCs/>
          <w:sz w:val="20"/>
          <w:szCs w:val="16"/>
          <w:lang w:eastAsia="en-US"/>
        </w:rPr>
      </w:pPr>
    </w:p>
    <w:p w14:paraId="21D0E8A9" w14:textId="5021FFD1" w:rsidR="00926517" w:rsidRPr="00832773" w:rsidRDefault="00E84E5C" w:rsidP="00832773">
      <w:pPr>
        <w:pStyle w:val="Prrafodelista"/>
        <w:numPr>
          <w:ilvl w:val="1"/>
          <w:numId w:val="63"/>
        </w:numPr>
        <w:spacing w:after="160" w:line="276" w:lineRule="auto"/>
        <w:ind w:left="426" w:hanging="436"/>
        <w:contextualSpacing/>
        <w:rPr>
          <w:rFonts w:ascii="Book Antiqua" w:eastAsia="Calibri" w:hAnsi="Book Antiqua"/>
          <w:lang w:val="es-CR" w:eastAsia="es-CR"/>
        </w:rPr>
      </w:pPr>
      <w:r w:rsidRPr="00832773">
        <w:rPr>
          <w:rFonts w:ascii="Book Antiqua" w:eastAsia="Calibri" w:hAnsi="Book Antiqua"/>
          <w:lang w:val="es-CR" w:eastAsia="es-CR"/>
        </w:rPr>
        <w:t xml:space="preserve">Esta </w:t>
      </w:r>
      <w:r w:rsidR="00300A8F" w:rsidRPr="00832773">
        <w:rPr>
          <w:rFonts w:ascii="Book Antiqua" w:eastAsia="Calibri" w:hAnsi="Book Antiqua"/>
          <w:lang w:val="es-CR" w:eastAsia="es-CR"/>
        </w:rPr>
        <w:t xml:space="preserve">Dirección </w:t>
      </w:r>
      <w:r w:rsidR="00097349" w:rsidRPr="00832773">
        <w:rPr>
          <w:rFonts w:ascii="Book Antiqua" w:eastAsia="Calibri" w:hAnsi="Book Antiqua"/>
          <w:lang w:val="es-CR" w:eastAsia="es-CR"/>
        </w:rPr>
        <w:t>recomienda adoptar el escenario E</w:t>
      </w:r>
      <w:r w:rsidR="00FC3528" w:rsidRPr="00832773">
        <w:rPr>
          <w:rFonts w:ascii="Book Antiqua" w:eastAsia="Calibri" w:hAnsi="Book Antiqua"/>
          <w:lang w:val="es-CR" w:eastAsia="es-CR"/>
        </w:rPr>
        <w:t>. Reformas Legales. Dicho escenario contempla ajust</w:t>
      </w:r>
      <w:r w:rsidR="001600EF" w:rsidRPr="00832773">
        <w:rPr>
          <w:rFonts w:ascii="Book Antiqua" w:eastAsia="Calibri" w:hAnsi="Book Antiqua"/>
          <w:lang w:val="es-CR" w:eastAsia="es-CR"/>
        </w:rPr>
        <w:t>e</w:t>
      </w:r>
      <w:r w:rsidR="00B737BD" w:rsidRPr="00832773">
        <w:rPr>
          <w:rFonts w:ascii="Book Antiqua" w:eastAsia="Calibri" w:hAnsi="Book Antiqua"/>
          <w:lang w:val="es-CR" w:eastAsia="es-CR"/>
        </w:rPr>
        <w:t>s</w:t>
      </w:r>
      <w:r w:rsidR="00FC3528" w:rsidRPr="00832773">
        <w:rPr>
          <w:rFonts w:ascii="Book Antiqua" w:eastAsia="Calibri" w:hAnsi="Book Antiqua"/>
          <w:lang w:val="es-CR" w:eastAsia="es-CR"/>
        </w:rPr>
        <w:t xml:space="preserve"> </w:t>
      </w:r>
      <w:r w:rsidR="00B737BD" w:rsidRPr="00832773">
        <w:rPr>
          <w:rFonts w:ascii="Book Antiqua" w:eastAsia="Calibri" w:hAnsi="Book Antiqua"/>
          <w:lang w:val="es-CR" w:eastAsia="es-CR"/>
        </w:rPr>
        <w:t>para Sala Primera</w:t>
      </w:r>
      <w:r w:rsidR="001600EF" w:rsidRPr="00832773">
        <w:rPr>
          <w:rFonts w:ascii="Book Antiqua" w:eastAsia="Calibri" w:hAnsi="Book Antiqua"/>
          <w:lang w:val="es-CR" w:eastAsia="es-CR"/>
        </w:rPr>
        <w:t xml:space="preserve"> que regulen su entrada, inicia</w:t>
      </w:r>
      <w:r w:rsidR="00CF4596" w:rsidRPr="00832773">
        <w:rPr>
          <w:rFonts w:ascii="Book Antiqua" w:eastAsia="Calibri" w:hAnsi="Book Antiqua"/>
          <w:lang w:val="es-CR" w:eastAsia="es-CR"/>
        </w:rPr>
        <w:t>ndo</w:t>
      </w:r>
      <w:r w:rsidR="001600EF" w:rsidRPr="00832773">
        <w:rPr>
          <w:rFonts w:ascii="Book Antiqua" w:eastAsia="Calibri" w:hAnsi="Book Antiqua"/>
          <w:lang w:val="es-CR" w:eastAsia="es-CR"/>
        </w:rPr>
        <w:t xml:space="preserve"> con materia Contenciosa Administrativa que representa el 48% de las casaciones ingresadas</w:t>
      </w:r>
      <w:r w:rsidR="00FC3528" w:rsidRPr="00832773">
        <w:rPr>
          <w:rFonts w:ascii="Book Antiqua" w:eastAsia="Calibri" w:hAnsi="Book Antiqua"/>
          <w:lang w:val="es-CR" w:eastAsia="es-CR"/>
        </w:rPr>
        <w:t>, así como la Primera Instancia Civil, en el tanto se han logrado identificar oportunidades de mejora producto de la experiencia observada a partir de la reforma legal implementada en 2018. Esta opción si bien implica un esfuerzo en cuanto a su formulación y aprobación, tendría ajustes que a largo plazo repercuten en el mejoramiento de la función en las oficinas judiciales.</w:t>
      </w:r>
      <w:r w:rsidR="007D2FF3" w:rsidRPr="00832773">
        <w:rPr>
          <w:rFonts w:ascii="Book Antiqua" w:eastAsia="Calibri" w:hAnsi="Book Antiqua"/>
          <w:lang w:val="es-CR" w:eastAsia="es-CR"/>
        </w:rPr>
        <w:t xml:space="preserve"> </w:t>
      </w:r>
    </w:p>
    <w:p w14:paraId="68F77269" w14:textId="48EFB611" w:rsidR="00A357C7" w:rsidRPr="004E74A6" w:rsidRDefault="00A357C7" w:rsidP="00A357C7">
      <w:pPr>
        <w:suppressAutoHyphens/>
        <w:spacing w:line="276" w:lineRule="auto"/>
        <w:ind w:right="49"/>
        <w:contextualSpacing/>
        <w:rPr>
          <w:rFonts w:eastAsia="Calibri"/>
          <w:lang w:eastAsia="es-CR"/>
        </w:rPr>
      </w:pPr>
      <w:r w:rsidRPr="004E74A6">
        <w:rPr>
          <w:rFonts w:eastAsia="Calibri"/>
          <w:lang w:eastAsia="es-CR"/>
        </w:rPr>
        <w:lastRenderedPageBreak/>
        <w:t xml:space="preserve">Como complemento a esta recomendación, la Comisión de la Jurisdicción Civil mediate oficio 317-CJC-2022 </w:t>
      </w:r>
      <w:r w:rsidR="00173DB6" w:rsidRPr="004E74A6">
        <w:rPr>
          <w:rFonts w:eastAsia="Calibri"/>
          <w:lang w:eastAsia="es-CR"/>
        </w:rPr>
        <w:t xml:space="preserve">(anexo 23) </w:t>
      </w:r>
      <w:r w:rsidRPr="004E74A6">
        <w:rPr>
          <w:rFonts w:eastAsia="Calibri"/>
          <w:lang w:eastAsia="es-CR"/>
        </w:rPr>
        <w:t>comunicó el acuerdo de la sesión 15-2022, del1 de noviembre 2022, artículo único que indicó literalmente:</w:t>
      </w:r>
    </w:p>
    <w:p w14:paraId="7F29DCEC" w14:textId="4F8A03CA" w:rsidR="00A357C7" w:rsidRPr="004E74A6" w:rsidRDefault="00A357C7" w:rsidP="00A357C7">
      <w:pPr>
        <w:suppressAutoHyphens/>
        <w:spacing w:line="276" w:lineRule="auto"/>
        <w:ind w:right="49"/>
        <w:contextualSpacing/>
        <w:rPr>
          <w:rFonts w:eastAsia="Calibri"/>
          <w:lang w:eastAsia="es-CR"/>
        </w:rPr>
      </w:pPr>
    </w:p>
    <w:p w14:paraId="7CC036BE" w14:textId="403218A4" w:rsidR="00A357C7" w:rsidRPr="004E74A6" w:rsidRDefault="00A357C7" w:rsidP="00832773">
      <w:pPr>
        <w:suppressAutoHyphens/>
        <w:spacing w:line="276" w:lineRule="auto"/>
        <w:ind w:left="567" w:right="618"/>
        <w:contextualSpacing/>
        <w:rPr>
          <w:rFonts w:eastAsia="Calibri"/>
          <w:lang w:eastAsia="es-CR"/>
        </w:rPr>
      </w:pPr>
      <w:r w:rsidRPr="004E74A6">
        <w:rPr>
          <w:b/>
          <w:bCs/>
          <w:i/>
          <w:iCs/>
          <w:sz w:val="20"/>
        </w:rPr>
        <w:t>“Se acordó</w:t>
      </w:r>
      <w:r w:rsidRPr="004E74A6">
        <w:rPr>
          <w:i/>
          <w:iCs/>
          <w:sz w:val="20"/>
        </w:rPr>
        <w:t xml:space="preserve">: </w:t>
      </w:r>
      <w:r w:rsidRPr="004E74A6">
        <w:rPr>
          <w:b/>
          <w:bCs/>
          <w:i/>
          <w:iCs/>
          <w:sz w:val="20"/>
        </w:rPr>
        <w:t xml:space="preserve">1. </w:t>
      </w:r>
      <w:r w:rsidRPr="004E74A6">
        <w:rPr>
          <w:i/>
          <w:iCs/>
          <w:sz w:val="20"/>
        </w:rPr>
        <w:t xml:space="preserve">Tener por remitido el Oficio 779-PLA-MI-2022 de la Dirección de Planificación, así como el informe de recomendaciones del Equipo Gestor Civil, las manifestaciones de las personas integrantes de la Comisión de la Jurisdicción Civil, incluyendo el comunicado enviado por el juez Guillermo Guilá el 28 de octubre de 2022. </w:t>
      </w:r>
      <w:r w:rsidRPr="00832773">
        <w:rPr>
          <w:b/>
          <w:bCs/>
          <w:i/>
          <w:iCs/>
          <w:sz w:val="20"/>
          <w:shd w:val="clear" w:color="auto" w:fill="9CC2E5" w:themeFill="accent5" w:themeFillTint="99"/>
        </w:rPr>
        <w:t xml:space="preserve">2. </w:t>
      </w:r>
      <w:r w:rsidRPr="00832773">
        <w:rPr>
          <w:i/>
          <w:iCs/>
          <w:sz w:val="20"/>
          <w:shd w:val="clear" w:color="auto" w:fill="9CC2E5" w:themeFill="accent5" w:themeFillTint="99"/>
        </w:rPr>
        <w:t>Comunicar a la Dirección de Planificación que la Comisión de la Jurisdicción Civil, desde una perspectiva integral, comparte la propuesta expuesta en el Oficio 779-PLA-MI-2022 de no hacer modificaciones por el momento a la cuantía en la materia Civil,</w:t>
      </w:r>
      <w:r w:rsidRPr="004E74A6">
        <w:rPr>
          <w:i/>
          <w:iCs/>
          <w:sz w:val="20"/>
        </w:rPr>
        <w:t xml:space="preserve"> en atención al impacto negativo que podría tener en los despachos que actualmente tienen una mayor carga de trabajo, incrementando los procesos de su conocimiento; y disminuir la carga de despachos que en este momento tienen menores cargas de trabajo. Aunado al hecho de que, estadísticamente, según informe de la Dirección de Planificación, se reporta una tendencia a la baja en la cantidad de recursos de casación civil que han ingresado a la Primera desde 2019 a la actualidad, lo cual es coherente con las proyecciones por lo que resta del 2022; pese a la eficiente gestión que se ha reportado estadísticamente en los despachos civiles. </w:t>
      </w:r>
      <w:r w:rsidRPr="00832773">
        <w:rPr>
          <w:b/>
          <w:bCs/>
          <w:i/>
          <w:iCs/>
          <w:sz w:val="20"/>
          <w:shd w:val="clear" w:color="auto" w:fill="9CC2E5" w:themeFill="accent5" w:themeFillTint="99"/>
        </w:rPr>
        <w:t xml:space="preserve">3. </w:t>
      </w:r>
      <w:r w:rsidRPr="00832773">
        <w:rPr>
          <w:i/>
          <w:iCs/>
          <w:sz w:val="20"/>
          <w:shd w:val="clear" w:color="auto" w:fill="9CC2E5" w:themeFill="accent5" w:themeFillTint="99"/>
        </w:rPr>
        <w:t>Instar a impulsar las reformas procesales que se estimen necesarias para plantearlas a Corte Plena a fin de que los magistrados y magistradas valoren la pertinencia de su aprobación y eventual remisión al Ministerio de Justicia para que se considere trasladar las eventuales propuestas a la Asamblea Legislativa</w:t>
      </w:r>
      <w:r w:rsidRPr="004E74A6">
        <w:rPr>
          <w:i/>
          <w:iCs/>
          <w:sz w:val="20"/>
        </w:rPr>
        <w:t xml:space="preserve">. </w:t>
      </w:r>
      <w:r w:rsidRPr="004E74A6">
        <w:rPr>
          <w:b/>
          <w:bCs/>
          <w:i/>
          <w:iCs/>
          <w:sz w:val="20"/>
        </w:rPr>
        <w:t xml:space="preserve">4. </w:t>
      </w:r>
      <w:r w:rsidRPr="004E74A6">
        <w:rPr>
          <w:i/>
          <w:iCs/>
          <w:sz w:val="20"/>
        </w:rPr>
        <w:t xml:space="preserve">Se declara firme este acuerdo. Comuníquese a la Dirección de Planificación. Lo resaltado en celeste no es del original. </w:t>
      </w:r>
    </w:p>
    <w:p w14:paraId="65E3DFD0" w14:textId="77777777" w:rsidR="00A357C7" w:rsidRPr="004E74A6" w:rsidRDefault="00A357C7" w:rsidP="00A357C7">
      <w:pPr>
        <w:suppressAutoHyphens/>
        <w:spacing w:line="276" w:lineRule="auto"/>
        <w:ind w:right="49"/>
        <w:contextualSpacing/>
        <w:rPr>
          <w:rFonts w:eastAsia="Calibri"/>
          <w:lang w:eastAsia="es-CR"/>
        </w:rPr>
      </w:pPr>
    </w:p>
    <w:p w14:paraId="0F622D4F" w14:textId="12C4F9B6" w:rsidR="00EA2EE8" w:rsidRPr="004E74A6" w:rsidRDefault="00EA2EE8" w:rsidP="00A357C7">
      <w:pPr>
        <w:suppressAutoHyphens/>
        <w:spacing w:line="276" w:lineRule="auto"/>
        <w:ind w:right="49"/>
        <w:contextualSpacing/>
        <w:rPr>
          <w:szCs w:val="24"/>
        </w:rPr>
      </w:pPr>
      <w:r w:rsidRPr="00832773">
        <w:rPr>
          <w:szCs w:val="24"/>
        </w:rPr>
        <w:t xml:space="preserve">Por otra parte, respecto al escenario “E” la Sala Primera mediante oficio </w:t>
      </w:r>
      <w:r w:rsidRPr="004E74A6">
        <w:rPr>
          <w:szCs w:val="24"/>
        </w:rPr>
        <w:t>PS1-43-</w:t>
      </w:r>
      <w:r w:rsidR="008D51C4" w:rsidRPr="004E74A6">
        <w:rPr>
          <w:szCs w:val="24"/>
        </w:rPr>
        <w:t>2022 (</w:t>
      </w:r>
      <w:r w:rsidRPr="004E74A6">
        <w:rPr>
          <w:szCs w:val="24"/>
        </w:rPr>
        <w:t xml:space="preserve">anexo 22) indicó: </w:t>
      </w:r>
    </w:p>
    <w:p w14:paraId="3D853BF4" w14:textId="77777777" w:rsidR="00EA2EE8" w:rsidRPr="004E74A6" w:rsidRDefault="00EA2EE8" w:rsidP="00A357C7">
      <w:pPr>
        <w:suppressAutoHyphens/>
        <w:spacing w:line="276" w:lineRule="auto"/>
        <w:ind w:right="49"/>
        <w:contextualSpacing/>
        <w:rPr>
          <w:szCs w:val="24"/>
        </w:rPr>
      </w:pPr>
    </w:p>
    <w:p w14:paraId="06AAB44F" w14:textId="2F1DE72B" w:rsidR="00A357C7" w:rsidRPr="00832773" w:rsidRDefault="00EA2EE8" w:rsidP="00EA2EE8">
      <w:pPr>
        <w:suppressAutoHyphens/>
        <w:spacing w:line="276" w:lineRule="auto"/>
        <w:ind w:left="567" w:right="618"/>
        <w:contextualSpacing/>
        <w:rPr>
          <w:i/>
          <w:iCs/>
          <w:sz w:val="20"/>
        </w:rPr>
      </w:pPr>
      <w:r w:rsidRPr="00832773">
        <w:rPr>
          <w:i/>
          <w:iCs/>
          <w:sz w:val="20"/>
        </w:rPr>
        <w:t>“La Sala Primera es respetuosa de la ciencia y la técnica como sustento para la aprobación de actos administrativos, pero considera que la posición de la Dirección de Planificación de recomendar el escenario E denominado “Reformas Legales” para resolver el cambio de la cuantía, es una vía improbable políticamente al requerirse de la aprobación legislativa de la norma procesal civil y que en caso de ser factible, requerirá de varios meses y hasta años para concretarse, dejando sin resolver un asunto que ya tiene más de un año y medio de estarse discutiendo en Corte Plena”.</w:t>
      </w:r>
    </w:p>
    <w:p w14:paraId="293A1C29" w14:textId="77777777" w:rsidR="00EA2EE8" w:rsidRPr="004E74A6" w:rsidRDefault="00EA2EE8" w:rsidP="00832773">
      <w:pPr>
        <w:suppressAutoHyphens/>
        <w:spacing w:line="276" w:lineRule="auto"/>
        <w:ind w:left="567" w:right="618"/>
        <w:contextualSpacing/>
        <w:rPr>
          <w:rFonts w:eastAsia="Calibri"/>
          <w:lang w:eastAsia="es-CR"/>
        </w:rPr>
      </w:pPr>
    </w:p>
    <w:p w14:paraId="0D965178" w14:textId="61A60763" w:rsidR="008A43A0" w:rsidRPr="00832773" w:rsidRDefault="007D2FF3" w:rsidP="00832773">
      <w:pPr>
        <w:pStyle w:val="Prrafodelista"/>
        <w:numPr>
          <w:ilvl w:val="1"/>
          <w:numId w:val="63"/>
        </w:numPr>
        <w:spacing w:after="160" w:line="276" w:lineRule="auto"/>
        <w:ind w:left="426" w:hanging="436"/>
        <w:contextualSpacing/>
        <w:rPr>
          <w:rFonts w:ascii="Book Antiqua" w:eastAsia="Calibri" w:hAnsi="Book Antiqua"/>
          <w:lang w:val="es-CR" w:eastAsia="es-CR"/>
        </w:rPr>
      </w:pPr>
      <w:r w:rsidRPr="00832773">
        <w:rPr>
          <w:rFonts w:ascii="Book Antiqua" w:eastAsia="Calibri" w:hAnsi="Book Antiqua"/>
          <w:lang w:val="es-CR" w:eastAsia="es-CR"/>
        </w:rPr>
        <w:t>Solicitar el análisis de las propuesta</w:t>
      </w:r>
      <w:r w:rsidR="00CF4596" w:rsidRPr="00832773">
        <w:rPr>
          <w:rFonts w:ascii="Book Antiqua" w:eastAsia="Calibri" w:hAnsi="Book Antiqua"/>
          <w:lang w:val="es-CR" w:eastAsia="es-CR"/>
        </w:rPr>
        <w:t>s</w:t>
      </w:r>
      <w:r w:rsidRPr="00832773">
        <w:rPr>
          <w:rFonts w:ascii="Book Antiqua" w:eastAsia="Calibri" w:hAnsi="Book Antiqua"/>
          <w:lang w:val="es-CR" w:eastAsia="es-CR"/>
        </w:rPr>
        <w:t xml:space="preserve"> de reforma legal a la Sala Primera en coordinación con la Comisión de la Jurisdicción Civil, en un plazo prudencial, como alternativas para disminuir la mora judicial en esa Sala</w:t>
      </w:r>
      <w:r w:rsidR="008A43A0" w:rsidRPr="00832773">
        <w:rPr>
          <w:rFonts w:ascii="Book Antiqua" w:eastAsia="Calibri" w:hAnsi="Book Antiqua"/>
          <w:lang w:val="es-CR" w:eastAsia="es-CR"/>
        </w:rPr>
        <w:t>:</w:t>
      </w:r>
      <w:r w:rsidR="004079ED" w:rsidRPr="00832773" w:rsidDel="004079ED">
        <w:rPr>
          <w:rFonts w:ascii="Book Antiqua" w:eastAsia="Calibri" w:hAnsi="Book Antiqua"/>
          <w:lang w:val="es-CR" w:eastAsia="es-CR"/>
        </w:rPr>
        <w:t xml:space="preserve"> </w:t>
      </w:r>
    </w:p>
    <w:p w14:paraId="5AC02163" w14:textId="77777777" w:rsidR="008A43A0" w:rsidRPr="004E74A6" w:rsidRDefault="008A43A0" w:rsidP="00CE62C1">
      <w:pPr>
        <w:spacing w:line="276" w:lineRule="auto"/>
        <w:rPr>
          <w:rFonts w:eastAsia="Calibri"/>
          <w:lang w:eastAsia="en-US"/>
        </w:rPr>
      </w:pPr>
    </w:p>
    <w:p w14:paraId="17CDC708" w14:textId="3549373C" w:rsidR="008A43A0" w:rsidRDefault="008A43A0" w:rsidP="00657C49">
      <w:pPr>
        <w:numPr>
          <w:ilvl w:val="0"/>
          <w:numId w:val="7"/>
        </w:numPr>
        <w:spacing w:line="276" w:lineRule="auto"/>
        <w:rPr>
          <w:rFonts w:eastAsia="Calibri"/>
          <w:lang w:eastAsia="en-US"/>
        </w:rPr>
      </w:pPr>
      <w:r w:rsidRPr="004E74A6">
        <w:rPr>
          <w:rFonts w:eastAsia="Calibri"/>
          <w:lang w:eastAsia="en-US"/>
        </w:rPr>
        <w:lastRenderedPageBreak/>
        <w:t>Fijación de cuantía en materia Contencioso-Administrativa para acceder al recurso de casación.</w:t>
      </w:r>
      <w:r w:rsidR="00657C49" w:rsidRPr="004E74A6">
        <w:rPr>
          <w:rFonts w:eastAsia="Calibri"/>
          <w:lang w:eastAsia="en-US"/>
        </w:rPr>
        <w:t xml:space="preserve"> Tomar en consideración lo expuesto por la magistrada Rojas en sesión de trabajo del 29 de setiembre de 2022 (minuta 803-PLA-MI(NPL)-MNTA-2022-anexo 19).</w:t>
      </w:r>
    </w:p>
    <w:p w14:paraId="4811FB1A" w14:textId="77777777" w:rsidR="00890851" w:rsidRPr="004E74A6" w:rsidRDefault="00890851" w:rsidP="00890851">
      <w:pPr>
        <w:spacing w:line="276" w:lineRule="auto"/>
        <w:ind w:left="720"/>
        <w:rPr>
          <w:rFonts w:eastAsia="Calibri"/>
          <w:lang w:eastAsia="en-US"/>
        </w:rPr>
      </w:pPr>
    </w:p>
    <w:p w14:paraId="4D964248" w14:textId="64D05BE8" w:rsidR="00890851" w:rsidRPr="005D1B48" w:rsidRDefault="008A43A0" w:rsidP="005D1B48">
      <w:pPr>
        <w:numPr>
          <w:ilvl w:val="0"/>
          <w:numId w:val="7"/>
        </w:numPr>
        <w:spacing w:line="276" w:lineRule="auto"/>
        <w:rPr>
          <w:rFonts w:eastAsia="Calibri"/>
          <w:lang w:eastAsia="en-US"/>
        </w:rPr>
      </w:pPr>
      <w:r w:rsidRPr="004E74A6">
        <w:rPr>
          <w:rFonts w:eastAsia="Calibri"/>
          <w:lang w:eastAsia="en-US"/>
        </w:rPr>
        <w:t>Reducción de los procesos que tendrán recurso ante la Sala o Tribunal de Casación como un recurso extraordinario en materia Contencioso-Administrativa.</w:t>
      </w:r>
    </w:p>
    <w:p w14:paraId="0E0E1708" w14:textId="77777777" w:rsidR="00890851" w:rsidRPr="004E74A6" w:rsidRDefault="00890851" w:rsidP="00890851">
      <w:pPr>
        <w:spacing w:line="276" w:lineRule="auto"/>
        <w:ind w:left="720"/>
        <w:rPr>
          <w:rFonts w:eastAsia="Calibri"/>
          <w:lang w:eastAsia="en-US"/>
        </w:rPr>
      </w:pPr>
    </w:p>
    <w:p w14:paraId="16DC165A" w14:textId="75402805" w:rsidR="008A43A0" w:rsidRDefault="008A43A0" w:rsidP="00CE62C1">
      <w:pPr>
        <w:numPr>
          <w:ilvl w:val="0"/>
          <w:numId w:val="7"/>
        </w:numPr>
        <w:spacing w:line="276" w:lineRule="auto"/>
        <w:rPr>
          <w:rFonts w:eastAsia="Calibri"/>
          <w:lang w:eastAsia="en-US"/>
        </w:rPr>
      </w:pPr>
      <w:r w:rsidRPr="004E74A6">
        <w:rPr>
          <w:rFonts w:eastAsia="Calibri"/>
          <w:lang w:eastAsia="en-US"/>
        </w:rPr>
        <w:t>Ampliar las competencias del Tribunal de Apelación Contencioso Administrativo, de manera que se aporte mayor carga de trabajo al recurso actual; estableciendo procesos que puedan ser conocidos de forma unipersonal incluyendo resoluciones de fondo.</w:t>
      </w:r>
    </w:p>
    <w:p w14:paraId="0C7E3383" w14:textId="77777777" w:rsidR="00890851" w:rsidRPr="004E74A6" w:rsidRDefault="00890851" w:rsidP="00890851">
      <w:pPr>
        <w:spacing w:line="276" w:lineRule="auto"/>
        <w:ind w:left="720"/>
        <w:rPr>
          <w:rFonts w:eastAsia="Calibri"/>
          <w:lang w:eastAsia="en-US"/>
        </w:rPr>
      </w:pPr>
    </w:p>
    <w:p w14:paraId="394C5069" w14:textId="6625ABD0" w:rsidR="00301F56" w:rsidRPr="00890851" w:rsidRDefault="00301F56" w:rsidP="00832773">
      <w:pPr>
        <w:pStyle w:val="Prrafodelista"/>
        <w:numPr>
          <w:ilvl w:val="0"/>
          <w:numId w:val="7"/>
        </w:numPr>
        <w:shd w:val="clear" w:color="auto" w:fill="FFFFFF"/>
        <w:spacing w:line="276" w:lineRule="auto"/>
        <w:ind w:right="51"/>
        <w:rPr>
          <w:rFonts w:cs="Calibri"/>
          <w:bCs/>
        </w:rPr>
      </w:pPr>
      <w:r w:rsidRPr="00832773">
        <w:rPr>
          <w:rFonts w:ascii="Book Antiqua" w:hAnsi="Book Antiqua" w:cs="Calibri"/>
          <w:bCs/>
          <w:lang w:val="es-CR"/>
        </w:rPr>
        <w:t>Valorar las propuestas de reformulación de la estructura de la Sala Primera que se encuentran pendientes de ser conocidas</w:t>
      </w:r>
      <w:r w:rsidR="00657C49" w:rsidRPr="00832773">
        <w:rPr>
          <w:rFonts w:ascii="Book Antiqua" w:hAnsi="Book Antiqua" w:cs="Calibri"/>
          <w:bCs/>
          <w:lang w:val="es-CR"/>
        </w:rPr>
        <w:t xml:space="preserve"> por Corte Plena</w:t>
      </w:r>
      <w:r w:rsidRPr="00832773">
        <w:rPr>
          <w:rFonts w:ascii="Book Antiqua" w:hAnsi="Book Antiqua" w:cs="Calibri"/>
          <w:bCs/>
          <w:lang w:val="es-CR"/>
        </w:rPr>
        <w:t xml:space="preserve">, en temas como la especialización de la Sala y adición de </w:t>
      </w:r>
      <w:r w:rsidR="00657C49" w:rsidRPr="00832773">
        <w:rPr>
          <w:rFonts w:ascii="Book Antiqua" w:hAnsi="Book Antiqua" w:cs="Calibri"/>
          <w:bCs/>
          <w:lang w:val="es-CR"/>
        </w:rPr>
        <w:t xml:space="preserve">una </w:t>
      </w:r>
      <w:r w:rsidRPr="00832773">
        <w:rPr>
          <w:rFonts w:ascii="Book Antiqua" w:hAnsi="Book Antiqua" w:cs="Calibri"/>
          <w:bCs/>
          <w:lang w:val="es-CR"/>
        </w:rPr>
        <w:t>magistratura</w:t>
      </w:r>
      <w:r w:rsidR="00657C49" w:rsidRPr="00832773">
        <w:rPr>
          <w:rFonts w:ascii="Book Antiqua" w:hAnsi="Book Antiqua" w:cs="Calibri"/>
          <w:bCs/>
          <w:lang w:val="es-CR"/>
        </w:rPr>
        <w:t>, según solicit</w:t>
      </w:r>
      <w:r w:rsidR="008E1866" w:rsidRPr="00832773">
        <w:rPr>
          <w:rFonts w:ascii="Book Antiqua" w:hAnsi="Book Antiqua" w:cs="Calibri"/>
          <w:bCs/>
          <w:lang w:val="es-CR"/>
        </w:rPr>
        <w:t>ó</w:t>
      </w:r>
      <w:r w:rsidR="00657C49" w:rsidRPr="00832773">
        <w:rPr>
          <w:rFonts w:ascii="Book Antiqua" w:hAnsi="Book Antiqua" w:cs="Calibri"/>
          <w:bCs/>
          <w:lang w:val="es-CR"/>
        </w:rPr>
        <w:t xml:space="preserve"> la magistrada Rojas </w:t>
      </w:r>
      <w:r w:rsidR="008E1866" w:rsidRPr="00832773">
        <w:rPr>
          <w:rFonts w:ascii="Book Antiqua" w:hAnsi="Book Antiqua" w:cs="Calibri"/>
          <w:bCs/>
          <w:lang w:val="es-CR"/>
        </w:rPr>
        <w:t xml:space="preserve">Morales </w:t>
      </w:r>
      <w:r w:rsidR="00657C49" w:rsidRPr="00832773">
        <w:rPr>
          <w:rFonts w:ascii="Book Antiqua" w:hAnsi="Book Antiqua" w:cs="Calibri"/>
          <w:bCs/>
          <w:lang w:val="es-CR"/>
        </w:rPr>
        <w:t>en sesión de trabajo del 29 de setiembre de 2022 (minuta 803-PLA-MI(NPL)-MNTA-2022-anexo 19).</w:t>
      </w:r>
    </w:p>
    <w:p w14:paraId="40E1979C" w14:textId="77777777" w:rsidR="00890851" w:rsidRPr="00890851" w:rsidRDefault="00890851" w:rsidP="00890851">
      <w:pPr>
        <w:pStyle w:val="Prrafodelista"/>
        <w:rPr>
          <w:rFonts w:cs="Calibri"/>
          <w:bCs/>
        </w:rPr>
      </w:pPr>
    </w:p>
    <w:p w14:paraId="49183622" w14:textId="77777777" w:rsidR="00890851" w:rsidRPr="00832773" w:rsidRDefault="00890851" w:rsidP="00890851">
      <w:pPr>
        <w:pStyle w:val="Prrafodelista"/>
        <w:shd w:val="clear" w:color="auto" w:fill="FFFFFF"/>
        <w:spacing w:line="276" w:lineRule="auto"/>
        <w:ind w:left="720" w:right="51"/>
        <w:rPr>
          <w:rFonts w:cs="Calibri"/>
          <w:bCs/>
        </w:rPr>
      </w:pPr>
    </w:p>
    <w:p w14:paraId="14523298" w14:textId="77777777" w:rsidR="008A43A0" w:rsidRDefault="008A43A0" w:rsidP="00CE62C1">
      <w:pPr>
        <w:numPr>
          <w:ilvl w:val="0"/>
          <w:numId w:val="7"/>
        </w:numPr>
        <w:spacing w:line="276" w:lineRule="auto"/>
        <w:rPr>
          <w:rFonts w:eastAsia="Calibri"/>
          <w:lang w:eastAsia="en-US"/>
        </w:rPr>
      </w:pPr>
      <w:r w:rsidRPr="004E74A6">
        <w:rPr>
          <w:rFonts w:eastAsia="Calibri"/>
          <w:lang w:eastAsia="en-US"/>
        </w:rPr>
        <w:t>Modificar la distribución de competencias entre los Juzgados Civiles y Cobratorios y entre estos y los Tribunales Colegiados de Primera Instancia Civil y consecuentemente el órgano superior, valorando las estructuras y cargas de trabajo actuales.</w:t>
      </w:r>
    </w:p>
    <w:p w14:paraId="76DA62A4" w14:textId="77777777" w:rsidR="00890851" w:rsidRPr="004E74A6" w:rsidRDefault="00890851" w:rsidP="00890851">
      <w:pPr>
        <w:spacing w:line="276" w:lineRule="auto"/>
        <w:ind w:left="720"/>
        <w:rPr>
          <w:rFonts w:eastAsia="Calibri"/>
          <w:lang w:eastAsia="en-US"/>
        </w:rPr>
      </w:pPr>
    </w:p>
    <w:p w14:paraId="2BA37269" w14:textId="75C81E5A" w:rsidR="00890851" w:rsidRPr="005D1B48" w:rsidRDefault="008A43A0" w:rsidP="005D1B48">
      <w:pPr>
        <w:numPr>
          <w:ilvl w:val="0"/>
          <w:numId w:val="7"/>
        </w:numPr>
        <w:spacing w:line="276" w:lineRule="auto"/>
        <w:rPr>
          <w:rFonts w:eastAsia="Calibri"/>
          <w:lang w:eastAsia="en-US"/>
        </w:rPr>
      </w:pPr>
      <w:r w:rsidRPr="004E74A6">
        <w:rPr>
          <w:rFonts w:eastAsia="Calibri"/>
          <w:lang w:eastAsia="en-US"/>
        </w:rPr>
        <w:t>Definir procesos que puedan ser conocidos de forma unipersonal por los Tribunales Colegiados de Primera Instancia Civil. Esto maximizaría el recurso institucional y equilibraría cargas en Primera Instancia entre Juzgados y Tribunales.</w:t>
      </w:r>
    </w:p>
    <w:p w14:paraId="354ED08D" w14:textId="77777777" w:rsidR="00890851" w:rsidRPr="004E74A6" w:rsidRDefault="00890851" w:rsidP="00890851">
      <w:pPr>
        <w:spacing w:line="276" w:lineRule="auto"/>
        <w:ind w:left="720"/>
        <w:rPr>
          <w:rFonts w:eastAsia="Calibri"/>
          <w:lang w:eastAsia="en-US"/>
        </w:rPr>
      </w:pPr>
    </w:p>
    <w:p w14:paraId="2F7FB0F9" w14:textId="77777777" w:rsidR="008A43A0" w:rsidRPr="004E74A6" w:rsidRDefault="008A43A0" w:rsidP="00CE62C1">
      <w:pPr>
        <w:numPr>
          <w:ilvl w:val="0"/>
          <w:numId w:val="7"/>
        </w:numPr>
        <w:spacing w:line="276" w:lineRule="auto"/>
        <w:rPr>
          <w:rFonts w:eastAsia="Calibri"/>
          <w:lang w:eastAsia="en-US"/>
        </w:rPr>
      </w:pPr>
      <w:r w:rsidRPr="004E74A6">
        <w:rPr>
          <w:rFonts w:eastAsia="Calibri"/>
          <w:lang w:eastAsia="en-US"/>
        </w:rPr>
        <w:t xml:space="preserve">Artículo 69.1 en lo que corresponde a la fijación de requisitos acceso al recurso de casación según Ley 9342, que según indico la Dirección Jurídica literalmente en el criterio DJC-376-2021 el artículo 69.1 elimina competencia </w:t>
      </w:r>
      <w:r w:rsidRPr="004E74A6">
        <w:rPr>
          <w:rFonts w:eastAsia="Calibri"/>
          <w:lang w:eastAsia="en-US"/>
        </w:rPr>
        <w:lastRenderedPageBreak/>
        <w:t xml:space="preserve">del 114 LOPJ: </w:t>
      </w:r>
      <w:r w:rsidRPr="004E74A6">
        <w:rPr>
          <w:rFonts w:eastAsia="Calibri"/>
          <w:i/>
          <w:iCs/>
          <w:sz w:val="22"/>
          <w:szCs w:val="22"/>
          <w:lang w:eastAsia="en-US"/>
        </w:rPr>
        <w:t xml:space="preserve">“Se debe tener presente que, con la reciente reforma al Código Procesal Civil, ahora se debe observar el requisito contemplado en el artículo 69.1 de esta nueva normativa, en cuanto a que el recurso de casación en materia civil es posible cuando se trate de un proceso ordinario de mayor cuantía o inestimables; </w:t>
      </w:r>
      <w:r w:rsidRPr="00832773">
        <w:rPr>
          <w:rFonts w:eastAsia="Calibri"/>
          <w:i/>
          <w:iCs/>
          <w:sz w:val="22"/>
          <w:szCs w:val="22"/>
          <w:lang w:eastAsia="en-US"/>
        </w:rPr>
        <w:t>esto por cuanto, no puede obviarse, que el Código Procesal Civil es de creación y vigencia posterior a la Ley Orgánica del Poder Judicial”.</w:t>
      </w:r>
    </w:p>
    <w:p w14:paraId="06F20429" w14:textId="77777777" w:rsidR="008A43A0" w:rsidRPr="00832773" w:rsidRDefault="008A43A0" w:rsidP="00CE62C1">
      <w:pPr>
        <w:pStyle w:val="Prrafodelista"/>
        <w:suppressAutoHyphens/>
        <w:spacing w:line="276" w:lineRule="auto"/>
        <w:ind w:left="720" w:right="49"/>
        <w:contextualSpacing/>
        <w:rPr>
          <w:rFonts w:ascii="Book Antiqua" w:eastAsia="Calibri" w:hAnsi="Book Antiqua"/>
          <w:lang w:val="es-CR" w:eastAsia="es-CR"/>
        </w:rPr>
      </w:pPr>
    </w:p>
    <w:p w14:paraId="46AABE47" w14:textId="4E318C83" w:rsidR="006F151F" w:rsidRPr="00832773" w:rsidRDefault="001600EF" w:rsidP="00832773">
      <w:pPr>
        <w:pStyle w:val="Prrafodelista"/>
        <w:numPr>
          <w:ilvl w:val="2"/>
          <w:numId w:val="63"/>
        </w:numPr>
        <w:spacing w:after="160" w:line="276" w:lineRule="auto"/>
        <w:contextualSpacing/>
        <w:rPr>
          <w:rFonts w:ascii="Book Antiqua" w:eastAsia="Calibri" w:hAnsi="Book Antiqua"/>
          <w:lang w:val="es-CR" w:eastAsia="es-CR"/>
        </w:rPr>
      </w:pPr>
      <w:r w:rsidRPr="00832773">
        <w:rPr>
          <w:rFonts w:ascii="Book Antiqua" w:eastAsia="Calibri" w:hAnsi="Book Antiqua"/>
          <w:lang w:val="es-CR" w:eastAsia="es-CR"/>
        </w:rPr>
        <w:t>Mientras se logra ejecutar el E</w:t>
      </w:r>
      <w:r w:rsidR="00CC261C" w:rsidRPr="00832773">
        <w:rPr>
          <w:rFonts w:ascii="Book Antiqua" w:eastAsia="Calibri" w:hAnsi="Book Antiqua"/>
          <w:lang w:val="es-CR" w:eastAsia="es-CR"/>
        </w:rPr>
        <w:t xml:space="preserve">scenario E </w:t>
      </w:r>
      <w:r w:rsidR="00CF4596" w:rsidRPr="00832773">
        <w:rPr>
          <w:rFonts w:ascii="Book Antiqua" w:eastAsia="Calibri" w:hAnsi="Book Antiqua"/>
          <w:lang w:val="es-CR" w:eastAsia="es-CR"/>
        </w:rPr>
        <w:t>(</w:t>
      </w:r>
      <w:r w:rsidR="00CC261C" w:rsidRPr="00832773">
        <w:rPr>
          <w:rFonts w:ascii="Book Antiqua" w:eastAsia="Calibri" w:hAnsi="Book Antiqua"/>
          <w:lang w:val="es-CR" w:eastAsia="es-CR"/>
        </w:rPr>
        <w:t>de Reformas Legales</w:t>
      </w:r>
      <w:r w:rsidR="00EE3413" w:rsidRPr="00832773">
        <w:rPr>
          <w:rFonts w:ascii="Book Antiqua" w:eastAsia="Calibri" w:hAnsi="Book Antiqua"/>
          <w:lang w:val="es-CR" w:eastAsia="es-CR"/>
        </w:rPr>
        <w:t>)</w:t>
      </w:r>
      <w:r w:rsidR="00CC261C" w:rsidRPr="00832773">
        <w:rPr>
          <w:rFonts w:ascii="Book Antiqua" w:eastAsia="Calibri" w:hAnsi="Book Antiqua"/>
          <w:lang w:val="es-CR" w:eastAsia="es-CR"/>
        </w:rPr>
        <w:t>, donde se pueda atender</w:t>
      </w:r>
      <w:r w:rsidR="00CC261C" w:rsidRPr="004E74A6">
        <w:rPr>
          <w:rFonts w:ascii="Book Antiqua" w:eastAsia="Calibri" w:hAnsi="Book Antiqua" w:cs="Times New Roman"/>
          <w:szCs w:val="20"/>
          <w:lang w:val="es-CR" w:eastAsia="en-US"/>
        </w:rPr>
        <w:t xml:space="preserve"> iniciativas de reformas en materia Civil para distribuir la competencia entre la primera instancia y reformas en materia Contenciosa que </w:t>
      </w:r>
      <w:r w:rsidR="00B27C78" w:rsidRPr="004E74A6">
        <w:rPr>
          <w:rFonts w:ascii="Book Antiqua" w:eastAsia="Calibri" w:hAnsi="Book Antiqua" w:cs="Times New Roman"/>
          <w:szCs w:val="20"/>
          <w:lang w:val="es-CR" w:eastAsia="en-US"/>
        </w:rPr>
        <w:t>permitan</w:t>
      </w:r>
      <w:r w:rsidR="00CC261C" w:rsidRPr="004E74A6">
        <w:rPr>
          <w:rFonts w:ascii="Book Antiqua" w:eastAsia="Calibri" w:hAnsi="Book Antiqua" w:cs="Times New Roman"/>
          <w:szCs w:val="20"/>
          <w:lang w:val="es-CR" w:eastAsia="en-US"/>
        </w:rPr>
        <w:t xml:space="preserve"> regular la entrada en la Sala Primera y maximizar el recurso humano actual también en primera y segunda instancia (Juzgados Civiles, Tribunales Colegiados Civiles y Tribunales de Apelación Civil).</w:t>
      </w:r>
      <w:r w:rsidRPr="00832773">
        <w:rPr>
          <w:rFonts w:ascii="Book Antiqua" w:eastAsia="Calibri" w:hAnsi="Book Antiqua"/>
          <w:lang w:val="es-CR" w:eastAsia="es-CR"/>
        </w:rPr>
        <w:t xml:space="preserve">, </w:t>
      </w:r>
      <w:r w:rsidR="004079ED" w:rsidRPr="00832773">
        <w:rPr>
          <w:rFonts w:ascii="Book Antiqua" w:eastAsia="Calibri" w:hAnsi="Book Antiqua"/>
          <w:lang w:val="es-CR" w:eastAsia="es-CR"/>
        </w:rPr>
        <w:t xml:space="preserve">puede la </w:t>
      </w:r>
      <w:r w:rsidRPr="00832773">
        <w:rPr>
          <w:rFonts w:ascii="Book Antiqua" w:eastAsia="Calibri" w:hAnsi="Book Antiqua"/>
          <w:lang w:val="es-CR" w:eastAsia="es-CR"/>
        </w:rPr>
        <w:t>Corte Plena</w:t>
      </w:r>
      <w:r w:rsidR="00EE3413" w:rsidRPr="00832773">
        <w:rPr>
          <w:rFonts w:ascii="Book Antiqua" w:eastAsia="Calibri" w:hAnsi="Book Antiqua"/>
          <w:lang w:val="es-CR" w:eastAsia="es-CR"/>
        </w:rPr>
        <w:t xml:space="preserve"> </w:t>
      </w:r>
      <w:r w:rsidRPr="00832773">
        <w:rPr>
          <w:rFonts w:ascii="Book Antiqua" w:eastAsia="Calibri" w:hAnsi="Book Antiqua"/>
          <w:lang w:val="es-CR" w:eastAsia="es-CR"/>
        </w:rPr>
        <w:t>aprobar un escenario que aplique inmediatamente,</w:t>
      </w:r>
      <w:r w:rsidR="00B27C78" w:rsidRPr="00832773">
        <w:rPr>
          <w:rFonts w:ascii="Book Antiqua" w:eastAsia="Calibri" w:hAnsi="Book Antiqua"/>
          <w:lang w:val="es-CR" w:eastAsia="es-CR"/>
        </w:rPr>
        <w:t xml:space="preserve"> por lo que</w:t>
      </w:r>
      <w:r w:rsidRPr="00832773">
        <w:rPr>
          <w:rFonts w:ascii="Book Antiqua" w:eastAsia="Calibri" w:hAnsi="Book Antiqua"/>
          <w:lang w:val="es-CR" w:eastAsia="es-CR"/>
        </w:rPr>
        <w:t xml:space="preserve"> </w:t>
      </w:r>
      <w:r w:rsidR="00097349" w:rsidRPr="00832773">
        <w:rPr>
          <w:rFonts w:ascii="Book Antiqua" w:eastAsia="Calibri" w:hAnsi="Book Antiqua"/>
          <w:lang w:val="es-CR" w:eastAsia="es-CR"/>
        </w:rPr>
        <w:t xml:space="preserve">se recomienda </w:t>
      </w:r>
      <w:r w:rsidRPr="00832773">
        <w:rPr>
          <w:rFonts w:ascii="Book Antiqua" w:eastAsia="Calibri" w:hAnsi="Book Antiqua"/>
          <w:lang w:val="es-CR" w:eastAsia="es-CR"/>
        </w:rPr>
        <w:t xml:space="preserve">valorar el impacto de cada </w:t>
      </w:r>
      <w:r w:rsidR="007D2FF3" w:rsidRPr="00832773">
        <w:rPr>
          <w:rFonts w:ascii="Book Antiqua" w:eastAsia="Calibri" w:hAnsi="Book Antiqua"/>
          <w:lang w:val="es-CR" w:eastAsia="es-CR"/>
        </w:rPr>
        <w:t>uno</w:t>
      </w:r>
      <w:r w:rsidR="006F151F" w:rsidRPr="00832773">
        <w:rPr>
          <w:rFonts w:ascii="Book Antiqua" w:eastAsia="Calibri" w:hAnsi="Book Antiqua"/>
          <w:lang w:val="es-CR" w:eastAsia="es-CR"/>
        </w:rPr>
        <w:t>:</w:t>
      </w:r>
    </w:p>
    <w:p w14:paraId="1F52826F" w14:textId="77777777" w:rsidR="006F151F" w:rsidRPr="00832773" w:rsidRDefault="006F151F" w:rsidP="00CE62C1">
      <w:pPr>
        <w:pStyle w:val="Prrafodelista"/>
        <w:spacing w:line="276" w:lineRule="auto"/>
        <w:rPr>
          <w:rFonts w:ascii="Book Antiqua" w:eastAsia="Calibri" w:hAnsi="Book Antiqua"/>
          <w:lang w:val="es-CR" w:eastAsia="es-CR"/>
        </w:rPr>
      </w:pPr>
    </w:p>
    <w:p w14:paraId="5B0411BA" w14:textId="1C67E10C" w:rsidR="006F151F" w:rsidRPr="00832773" w:rsidRDefault="006F151F" w:rsidP="00CE62C1">
      <w:pPr>
        <w:pStyle w:val="Prrafodelista"/>
        <w:numPr>
          <w:ilvl w:val="0"/>
          <w:numId w:val="32"/>
        </w:numPr>
        <w:suppressAutoHyphens/>
        <w:spacing w:line="276" w:lineRule="auto"/>
        <w:ind w:right="49"/>
        <w:contextualSpacing/>
        <w:rPr>
          <w:rFonts w:ascii="Book Antiqua" w:eastAsia="Calibri" w:hAnsi="Book Antiqua"/>
          <w:lang w:val="es-CR" w:eastAsia="es-CR"/>
        </w:rPr>
      </w:pPr>
      <w:r w:rsidRPr="00832773">
        <w:rPr>
          <w:rFonts w:ascii="Book Antiqua" w:eastAsia="Calibri" w:hAnsi="Book Antiqua"/>
          <w:lang w:val="es-CR" w:eastAsia="es-CR"/>
        </w:rPr>
        <w:t>De aprobar</w:t>
      </w:r>
      <w:r w:rsidR="0047707E" w:rsidRPr="00832773">
        <w:rPr>
          <w:rFonts w:ascii="Book Antiqua" w:eastAsia="Calibri" w:hAnsi="Book Antiqua"/>
          <w:lang w:val="es-CR" w:eastAsia="es-CR"/>
        </w:rPr>
        <w:t xml:space="preserve"> </w:t>
      </w:r>
      <w:r w:rsidR="001600EF" w:rsidRPr="00832773">
        <w:rPr>
          <w:rFonts w:ascii="Book Antiqua" w:eastAsia="Calibri" w:hAnsi="Book Antiqua"/>
          <w:lang w:val="es-CR" w:eastAsia="es-CR"/>
        </w:rPr>
        <w:t>el</w:t>
      </w:r>
      <w:r w:rsidR="0047707E" w:rsidRPr="00832773">
        <w:rPr>
          <w:rFonts w:ascii="Book Antiqua" w:eastAsia="Calibri" w:hAnsi="Book Antiqua"/>
          <w:lang w:val="es-CR" w:eastAsia="es-CR"/>
        </w:rPr>
        <w:t xml:space="preserve"> escenario</w:t>
      </w:r>
      <w:r w:rsidR="001600EF" w:rsidRPr="00832773">
        <w:rPr>
          <w:rFonts w:ascii="Book Antiqua" w:eastAsia="Calibri" w:hAnsi="Book Antiqua"/>
          <w:lang w:val="es-CR" w:eastAsia="es-CR"/>
        </w:rPr>
        <w:t xml:space="preserve"> A la cuantía fijada </w:t>
      </w:r>
      <w:r w:rsidR="007D2FF3" w:rsidRPr="00832773">
        <w:rPr>
          <w:rFonts w:ascii="Book Antiqua" w:eastAsia="Calibri" w:hAnsi="Book Antiqua"/>
          <w:lang w:val="es-CR" w:eastAsia="es-CR"/>
        </w:rPr>
        <w:t xml:space="preserve">según criterio experto </w:t>
      </w:r>
      <w:r w:rsidR="001600EF" w:rsidRPr="00832773">
        <w:rPr>
          <w:rFonts w:ascii="Book Antiqua" w:eastAsia="Calibri" w:hAnsi="Book Antiqua"/>
          <w:lang w:val="es-CR" w:eastAsia="es-CR"/>
        </w:rPr>
        <w:t xml:space="preserve">sería </w:t>
      </w:r>
      <w:r w:rsidRPr="00832773">
        <w:rPr>
          <w:rFonts w:ascii="Book Antiqua" w:eastAsia="Calibri" w:hAnsi="Book Antiqua" w:cs="Times New Roman"/>
          <w:b/>
          <w:bCs/>
          <w:szCs w:val="20"/>
          <w:lang w:val="es-CR" w:eastAsia="en-US"/>
        </w:rPr>
        <w:t>¢20.000.000</w:t>
      </w:r>
      <w:r w:rsidR="001600EF" w:rsidRPr="00832773">
        <w:rPr>
          <w:rFonts w:ascii="Book Antiqua" w:eastAsia="Calibri" w:hAnsi="Book Antiqua"/>
          <w:b/>
          <w:bCs/>
          <w:lang w:val="es-CR" w:eastAsia="es-CR"/>
        </w:rPr>
        <w:t>,</w:t>
      </w:r>
      <w:r w:rsidR="001600EF" w:rsidRPr="00832773">
        <w:rPr>
          <w:rFonts w:ascii="Book Antiqua" w:eastAsia="Calibri" w:hAnsi="Book Antiqua"/>
          <w:lang w:val="es-CR" w:eastAsia="es-CR"/>
        </w:rPr>
        <w:t xml:space="preserve"> deben indicar si aprueban la versión 1 (aplicada por igual a cualquier proceso</w:t>
      </w:r>
      <w:r w:rsidR="00536D67" w:rsidRPr="00832773">
        <w:rPr>
          <w:rFonts w:ascii="Book Antiqua" w:eastAsia="Calibri" w:hAnsi="Book Antiqua"/>
          <w:lang w:val="es-CR" w:eastAsia="es-CR"/>
        </w:rPr>
        <w:t xml:space="preserve"> que desestabilizaría la distribución de asuntos en primera instancia</w:t>
      </w:r>
      <w:r w:rsidR="001600EF" w:rsidRPr="00832773">
        <w:rPr>
          <w:rFonts w:ascii="Book Antiqua" w:eastAsia="Calibri" w:hAnsi="Book Antiqua"/>
          <w:lang w:val="es-CR" w:eastAsia="es-CR"/>
        </w:rPr>
        <w:t xml:space="preserve">) </w:t>
      </w:r>
      <w:r w:rsidR="00CE51A6" w:rsidRPr="00832773">
        <w:rPr>
          <w:rFonts w:ascii="Book Antiqua" w:eastAsia="Calibri" w:hAnsi="Book Antiqua"/>
          <w:lang w:val="es-CR" w:eastAsia="es-CR"/>
        </w:rPr>
        <w:t>o</w:t>
      </w:r>
      <w:r w:rsidR="001600EF" w:rsidRPr="00832773">
        <w:rPr>
          <w:rFonts w:ascii="Book Antiqua" w:eastAsia="Calibri" w:hAnsi="Book Antiqua"/>
          <w:lang w:val="es-CR" w:eastAsia="es-CR"/>
        </w:rPr>
        <w:t xml:space="preserve"> 2 (aplica solo para recurso casación de los ordinarios</w:t>
      </w:r>
      <w:r w:rsidR="007D2FF3" w:rsidRPr="00832773">
        <w:rPr>
          <w:rFonts w:ascii="Book Antiqua" w:eastAsia="Calibri" w:hAnsi="Book Antiqua"/>
          <w:lang w:val="es-CR" w:eastAsia="es-CR"/>
        </w:rPr>
        <w:t>)</w:t>
      </w:r>
      <w:r w:rsidR="00B47B33" w:rsidRPr="00832773">
        <w:rPr>
          <w:rFonts w:ascii="Book Antiqua" w:eastAsia="Calibri" w:hAnsi="Book Antiqua"/>
          <w:lang w:val="es-CR" w:eastAsia="es-CR"/>
        </w:rPr>
        <w:t>, según criterio legal de la D</w:t>
      </w:r>
      <w:r w:rsidR="007D2FF3" w:rsidRPr="00832773">
        <w:rPr>
          <w:rFonts w:ascii="Book Antiqua" w:eastAsia="Calibri" w:hAnsi="Book Antiqua"/>
          <w:lang w:val="es-CR" w:eastAsia="es-CR"/>
        </w:rPr>
        <w:t>irección Jurídica</w:t>
      </w:r>
      <w:r w:rsidR="00B47B33" w:rsidRPr="00832773">
        <w:rPr>
          <w:rFonts w:ascii="Book Antiqua" w:eastAsia="Calibri" w:hAnsi="Book Antiqua"/>
          <w:lang w:val="es-CR" w:eastAsia="es-CR"/>
        </w:rPr>
        <w:t xml:space="preserve"> no está facultada la Corte por </w:t>
      </w:r>
      <w:r w:rsidR="00147A9D" w:rsidRPr="00832773">
        <w:rPr>
          <w:rFonts w:ascii="Book Antiqua" w:eastAsia="Calibri" w:hAnsi="Book Antiqua"/>
          <w:lang w:val="es-CR" w:eastAsia="es-CR"/>
        </w:rPr>
        <w:t xml:space="preserve">Ley para aplicarlo, sin embargo, </w:t>
      </w:r>
      <w:r w:rsidR="007D2FF3" w:rsidRPr="00832773">
        <w:rPr>
          <w:rFonts w:ascii="Book Antiqua" w:eastAsia="Calibri" w:hAnsi="Book Antiqua"/>
          <w:lang w:val="es-CR" w:eastAsia="es-CR"/>
        </w:rPr>
        <w:t xml:space="preserve">este escenario </w:t>
      </w:r>
      <w:r w:rsidR="00147A9D" w:rsidRPr="00832773">
        <w:rPr>
          <w:rFonts w:ascii="Book Antiqua" w:eastAsia="Calibri" w:hAnsi="Book Antiqua"/>
          <w:lang w:val="es-CR" w:eastAsia="es-CR"/>
        </w:rPr>
        <w:t>no provocaría que se desestabilicen las estructuras en primera instancia</w:t>
      </w:r>
      <w:r w:rsidR="001600EF" w:rsidRPr="00832773">
        <w:rPr>
          <w:rFonts w:ascii="Book Antiqua" w:eastAsia="Calibri" w:hAnsi="Book Antiqua"/>
          <w:lang w:val="es-CR" w:eastAsia="es-CR"/>
        </w:rPr>
        <w:t>)</w:t>
      </w:r>
      <w:r w:rsidRPr="00832773">
        <w:rPr>
          <w:rFonts w:ascii="Book Antiqua" w:eastAsia="Calibri" w:hAnsi="Book Antiqua"/>
          <w:lang w:val="es-CR" w:eastAsia="es-CR"/>
        </w:rPr>
        <w:t xml:space="preserve"> y provocaría entre los cambios una reducción del 43% de la entrada de la Sal</w:t>
      </w:r>
      <w:r w:rsidR="008A43A0" w:rsidRPr="00832773">
        <w:rPr>
          <w:rFonts w:ascii="Book Antiqua" w:eastAsia="Calibri" w:hAnsi="Book Antiqua"/>
          <w:lang w:val="es-CR" w:eastAsia="es-CR"/>
        </w:rPr>
        <w:t>a</w:t>
      </w:r>
      <w:r w:rsidRPr="00832773">
        <w:rPr>
          <w:rFonts w:ascii="Book Antiqua" w:eastAsia="Calibri" w:hAnsi="Book Antiqua"/>
          <w:lang w:val="es-CR" w:eastAsia="es-CR"/>
        </w:rPr>
        <w:t xml:space="preserve"> </w:t>
      </w:r>
      <w:r w:rsidR="008A43A0" w:rsidRPr="00832773">
        <w:rPr>
          <w:rFonts w:ascii="Book Antiqua" w:eastAsia="Calibri" w:hAnsi="Book Antiqua"/>
          <w:lang w:val="es-CR" w:eastAsia="es-CR"/>
        </w:rPr>
        <w:t>P</w:t>
      </w:r>
      <w:r w:rsidRPr="00832773">
        <w:rPr>
          <w:rFonts w:ascii="Book Antiqua" w:eastAsia="Calibri" w:hAnsi="Book Antiqua"/>
          <w:lang w:val="es-CR" w:eastAsia="es-CR"/>
        </w:rPr>
        <w:t xml:space="preserve">rimera en casaciones civiles estimadas, lo que representa 153 casaciones al año </w:t>
      </w:r>
      <w:r w:rsidR="0047707E" w:rsidRPr="00832773">
        <w:rPr>
          <w:rFonts w:ascii="Book Antiqua" w:eastAsia="Calibri" w:hAnsi="Book Antiqua"/>
          <w:lang w:val="es-CR" w:eastAsia="es-CR"/>
        </w:rPr>
        <w:t>o 1</w:t>
      </w:r>
      <w:r w:rsidRPr="00832773">
        <w:rPr>
          <w:rFonts w:ascii="Book Antiqua" w:eastAsia="Calibri" w:hAnsi="Book Antiqua"/>
          <w:lang w:val="es-CR" w:eastAsia="es-CR"/>
        </w:rPr>
        <w:t>4 por mes.</w:t>
      </w:r>
      <w:r w:rsidR="004E74A6">
        <w:rPr>
          <w:rFonts w:ascii="Book Antiqua" w:eastAsia="Calibri" w:hAnsi="Book Antiqua"/>
          <w:lang w:val="es-CR" w:eastAsia="es-CR"/>
        </w:rPr>
        <w:t xml:space="preserve"> El monto recomendado varió a </w:t>
      </w:r>
      <w:r w:rsidR="004E74A6" w:rsidRPr="00553284">
        <w:rPr>
          <w:rFonts w:ascii="Book Antiqua" w:eastAsia="Calibri" w:hAnsi="Book Antiqua" w:cs="Times New Roman"/>
          <w:b/>
          <w:bCs/>
          <w:szCs w:val="20"/>
          <w:lang w:val="es-CR" w:eastAsia="en-US"/>
        </w:rPr>
        <w:t>¢</w:t>
      </w:r>
      <w:r w:rsidR="004E74A6">
        <w:rPr>
          <w:rFonts w:ascii="Book Antiqua" w:eastAsia="Calibri" w:hAnsi="Book Antiqua" w:cs="Times New Roman"/>
          <w:b/>
          <w:bCs/>
          <w:szCs w:val="20"/>
          <w:lang w:val="es-CR" w:eastAsia="en-US"/>
        </w:rPr>
        <w:t>4</w:t>
      </w:r>
      <w:r w:rsidR="004E74A6" w:rsidRPr="00553284">
        <w:rPr>
          <w:rFonts w:ascii="Book Antiqua" w:eastAsia="Calibri" w:hAnsi="Book Antiqua" w:cs="Times New Roman"/>
          <w:b/>
          <w:bCs/>
          <w:szCs w:val="20"/>
          <w:lang w:val="es-CR" w:eastAsia="en-US"/>
        </w:rPr>
        <w:t>0.000.000</w:t>
      </w:r>
      <w:r w:rsidR="004E74A6">
        <w:rPr>
          <w:rFonts w:ascii="Book Antiqua" w:eastAsia="Calibri" w:hAnsi="Book Antiqua" w:cs="Times New Roman"/>
          <w:b/>
          <w:bCs/>
          <w:szCs w:val="20"/>
          <w:lang w:val="es-CR" w:eastAsia="en-US"/>
        </w:rPr>
        <w:t xml:space="preserve"> s</w:t>
      </w:r>
      <w:r w:rsidR="004E74A6" w:rsidRPr="00832773">
        <w:rPr>
          <w:rFonts w:ascii="Book Antiqua" w:eastAsia="Calibri" w:hAnsi="Book Antiqua"/>
          <w:lang w:val="es-CR" w:eastAsia="es-CR"/>
        </w:rPr>
        <w:t>egú</w:t>
      </w:r>
      <w:r w:rsidR="004E74A6">
        <w:rPr>
          <w:rFonts w:ascii="Book Antiqua" w:eastAsia="Calibri" w:hAnsi="Book Antiqua"/>
          <w:lang w:val="es-CR" w:eastAsia="es-CR"/>
        </w:rPr>
        <w:t>n</w:t>
      </w:r>
      <w:r w:rsidR="004E74A6" w:rsidRPr="00832773">
        <w:rPr>
          <w:rFonts w:ascii="Book Antiqua" w:eastAsia="Calibri" w:hAnsi="Book Antiqua"/>
          <w:lang w:val="es-CR" w:eastAsia="es-CR"/>
        </w:rPr>
        <w:t xml:space="preserve"> oficio PS1-43-2022 (anexo 22)</w:t>
      </w:r>
      <w:r w:rsidR="004E74A6">
        <w:rPr>
          <w:rFonts w:ascii="Book Antiqua" w:eastAsia="Calibri" w:hAnsi="Book Antiqua"/>
          <w:lang w:val="es-CR" w:eastAsia="es-CR"/>
        </w:rPr>
        <w:t>.</w:t>
      </w:r>
    </w:p>
    <w:p w14:paraId="00D2AF88" w14:textId="0DCB0E60" w:rsidR="001600EF" w:rsidRPr="00832773" w:rsidRDefault="006F151F" w:rsidP="00CE62C1">
      <w:pPr>
        <w:pStyle w:val="Prrafodelista"/>
        <w:numPr>
          <w:ilvl w:val="0"/>
          <w:numId w:val="32"/>
        </w:numPr>
        <w:suppressAutoHyphens/>
        <w:spacing w:line="276" w:lineRule="auto"/>
        <w:ind w:right="49"/>
        <w:contextualSpacing/>
        <w:rPr>
          <w:rFonts w:ascii="Book Antiqua" w:eastAsia="Calibri" w:hAnsi="Book Antiqua"/>
          <w:lang w:val="es-CR" w:eastAsia="es-CR"/>
        </w:rPr>
      </w:pPr>
      <w:r w:rsidRPr="00832773">
        <w:rPr>
          <w:rFonts w:ascii="Book Antiqua" w:eastAsia="Calibri" w:hAnsi="Book Antiqua"/>
          <w:lang w:val="es-CR" w:eastAsia="es-CR"/>
        </w:rPr>
        <w:t xml:space="preserve">De aprobar el escenario B </w:t>
      </w:r>
      <w:r w:rsidR="0067565C" w:rsidRPr="00832773">
        <w:rPr>
          <w:rFonts w:ascii="Book Antiqua" w:eastAsia="Calibri" w:hAnsi="Book Antiqua"/>
          <w:lang w:val="es-CR" w:eastAsia="es-CR"/>
        </w:rPr>
        <w:t>actualización de monto según IPC:</w:t>
      </w:r>
      <w:r w:rsidR="00536D67" w:rsidRPr="00832773">
        <w:rPr>
          <w:rFonts w:ascii="Book Antiqua" w:eastAsia="Calibri" w:hAnsi="Book Antiqua"/>
          <w:lang w:val="es-CR" w:eastAsia="es-CR"/>
        </w:rPr>
        <w:t xml:space="preserve"> </w:t>
      </w:r>
      <w:r w:rsidRPr="00832773">
        <w:rPr>
          <w:rFonts w:ascii="Book Antiqua" w:eastAsia="Calibri" w:hAnsi="Book Antiqua"/>
          <w:lang w:val="es-CR" w:eastAsia="es-CR"/>
        </w:rPr>
        <w:t xml:space="preserve">la cuantía sería de aproximadamente </w:t>
      </w:r>
      <w:r w:rsidRPr="004E74A6">
        <w:rPr>
          <w:rFonts w:ascii="Book Antiqua" w:eastAsia="Calibri" w:hAnsi="Book Antiqua" w:cs="Times New Roman"/>
          <w:szCs w:val="20"/>
          <w:lang w:val="es-CR" w:eastAsia="en-US"/>
        </w:rPr>
        <w:t>¢4</w:t>
      </w:r>
      <w:r w:rsidR="0067565C" w:rsidRPr="004E74A6">
        <w:rPr>
          <w:rFonts w:ascii="Book Antiqua" w:eastAsia="Calibri" w:hAnsi="Book Antiqua" w:cs="Times New Roman"/>
          <w:szCs w:val="20"/>
          <w:lang w:val="es-CR" w:eastAsia="en-US"/>
        </w:rPr>
        <w:t xml:space="preserve"> 400 000</w:t>
      </w:r>
      <w:r w:rsidR="008A43A0" w:rsidRPr="004E74A6">
        <w:rPr>
          <w:rFonts w:ascii="Book Antiqua" w:eastAsia="Calibri" w:hAnsi="Book Antiqua" w:cs="Times New Roman"/>
          <w:szCs w:val="20"/>
          <w:lang w:val="es-CR" w:eastAsia="en-US"/>
        </w:rPr>
        <w:t xml:space="preserve">, implicaría una reducción en la entrada de la Sala Primera de un </w:t>
      </w:r>
      <w:r w:rsidR="00CB5E05" w:rsidRPr="004E74A6">
        <w:rPr>
          <w:rFonts w:ascii="Book Antiqua" w:eastAsia="Calibri" w:hAnsi="Book Antiqua" w:cs="Times New Roman"/>
          <w:szCs w:val="20"/>
          <w:lang w:val="es-CR" w:eastAsia="en-US"/>
        </w:rPr>
        <w:t>aproximado de 12</w:t>
      </w:r>
      <w:r w:rsidR="008A43A0" w:rsidRPr="004E74A6">
        <w:rPr>
          <w:rFonts w:ascii="Book Antiqua" w:eastAsia="Calibri" w:hAnsi="Book Antiqua" w:cs="Times New Roman"/>
          <w:szCs w:val="20"/>
          <w:lang w:val="es-CR" w:eastAsia="en-US"/>
        </w:rPr>
        <w:t xml:space="preserve">%, </w:t>
      </w:r>
      <w:r w:rsidR="00CB5E05" w:rsidRPr="004E74A6">
        <w:rPr>
          <w:rFonts w:ascii="Book Antiqua" w:eastAsia="Calibri" w:hAnsi="Book Antiqua" w:cs="Times New Roman"/>
          <w:szCs w:val="20"/>
          <w:lang w:val="es-CR" w:eastAsia="en-US"/>
        </w:rPr>
        <w:t xml:space="preserve">unas 22 </w:t>
      </w:r>
      <w:r w:rsidR="008A43A0" w:rsidRPr="004E74A6">
        <w:rPr>
          <w:rFonts w:ascii="Book Antiqua" w:eastAsia="Calibri" w:hAnsi="Book Antiqua" w:cs="Times New Roman"/>
          <w:szCs w:val="20"/>
          <w:lang w:val="es-CR" w:eastAsia="en-US"/>
        </w:rPr>
        <w:t xml:space="preserve">casaciones civiles al año o </w:t>
      </w:r>
      <w:r w:rsidR="00CB5E05" w:rsidRPr="004E74A6">
        <w:rPr>
          <w:rFonts w:ascii="Book Antiqua" w:eastAsia="Calibri" w:hAnsi="Book Antiqua" w:cs="Times New Roman"/>
          <w:szCs w:val="20"/>
          <w:lang w:val="es-CR" w:eastAsia="en-US"/>
        </w:rPr>
        <w:t xml:space="preserve">2 </w:t>
      </w:r>
      <w:r w:rsidR="008A43A0" w:rsidRPr="004E74A6">
        <w:rPr>
          <w:rFonts w:ascii="Book Antiqua" w:eastAsia="Calibri" w:hAnsi="Book Antiqua" w:cs="Times New Roman"/>
          <w:szCs w:val="20"/>
          <w:lang w:val="es-CR" w:eastAsia="en-US"/>
        </w:rPr>
        <w:t>por mes en promedio.</w:t>
      </w:r>
    </w:p>
    <w:p w14:paraId="29E81635" w14:textId="54A1184B" w:rsidR="006F151F" w:rsidRPr="00832773" w:rsidRDefault="006F151F" w:rsidP="00CE62C1">
      <w:pPr>
        <w:pStyle w:val="Prrafodelista"/>
        <w:numPr>
          <w:ilvl w:val="0"/>
          <w:numId w:val="32"/>
        </w:numPr>
        <w:suppressAutoHyphens/>
        <w:spacing w:line="276" w:lineRule="auto"/>
        <w:ind w:right="49"/>
        <w:contextualSpacing/>
        <w:rPr>
          <w:rFonts w:ascii="Book Antiqua" w:eastAsia="Calibri" w:hAnsi="Book Antiqua"/>
          <w:lang w:val="es-CR" w:eastAsia="es-CR"/>
        </w:rPr>
      </w:pPr>
      <w:r w:rsidRPr="004E74A6">
        <w:rPr>
          <w:rFonts w:ascii="Book Antiqua" w:eastAsia="Calibri" w:hAnsi="Book Antiqua" w:cs="Times New Roman"/>
          <w:szCs w:val="20"/>
          <w:lang w:val="es-CR" w:eastAsia="en-US"/>
        </w:rPr>
        <w:t xml:space="preserve">De aprobar el escenario C </w:t>
      </w:r>
      <w:r w:rsidR="0067565C" w:rsidRPr="004E74A6">
        <w:rPr>
          <w:rFonts w:ascii="Book Antiqua" w:eastAsia="Calibri" w:hAnsi="Book Antiqua" w:cs="Times New Roman"/>
          <w:szCs w:val="20"/>
          <w:lang w:val="es-CR" w:eastAsia="en-US"/>
        </w:rPr>
        <w:t>costo del recurso de casación:</w:t>
      </w:r>
      <w:r w:rsidR="006A69E8" w:rsidRPr="004E74A6">
        <w:rPr>
          <w:rFonts w:ascii="Book Antiqua" w:eastAsia="Calibri" w:hAnsi="Book Antiqua" w:cs="Times New Roman"/>
          <w:szCs w:val="20"/>
          <w:lang w:val="es-CR" w:eastAsia="en-US"/>
        </w:rPr>
        <w:t xml:space="preserve"> </w:t>
      </w:r>
      <w:r w:rsidRPr="00832773">
        <w:rPr>
          <w:rFonts w:ascii="Book Antiqua" w:eastAsia="Calibri" w:hAnsi="Book Antiqua"/>
          <w:lang w:val="es-CR" w:eastAsia="es-CR"/>
        </w:rPr>
        <w:t xml:space="preserve">la cuantía sería de aproximadamente </w:t>
      </w:r>
      <w:r w:rsidRPr="004E74A6">
        <w:rPr>
          <w:rFonts w:ascii="Book Antiqua" w:eastAsia="Calibri" w:hAnsi="Book Antiqua" w:cs="Times New Roman"/>
          <w:lang w:val="es-CR" w:eastAsia="en-US"/>
        </w:rPr>
        <w:t>¢1</w:t>
      </w:r>
      <w:r w:rsidR="0067565C" w:rsidRPr="004E74A6">
        <w:rPr>
          <w:rFonts w:ascii="Book Antiqua" w:eastAsia="Calibri" w:hAnsi="Book Antiqua" w:cs="Times New Roman"/>
          <w:lang w:val="es-CR" w:eastAsia="en-US"/>
        </w:rPr>
        <w:t xml:space="preserve"> 200 000</w:t>
      </w:r>
      <w:r w:rsidR="008A43A0" w:rsidRPr="004E74A6">
        <w:rPr>
          <w:rFonts w:ascii="Book Antiqua" w:eastAsia="Calibri" w:hAnsi="Book Antiqua" w:cs="Times New Roman"/>
          <w:lang w:val="es-CR" w:eastAsia="en-US"/>
        </w:rPr>
        <w:t xml:space="preserve">, una reducción porcentual de entrada en Sala de </w:t>
      </w:r>
      <w:r w:rsidR="00CB5E05" w:rsidRPr="004E74A6">
        <w:rPr>
          <w:rFonts w:ascii="Book Antiqua" w:eastAsia="Calibri" w:hAnsi="Book Antiqua" w:cs="Times New Roman"/>
          <w:lang w:val="es-CR" w:eastAsia="en-US"/>
        </w:rPr>
        <w:t>menos del 3</w:t>
      </w:r>
      <w:r w:rsidR="008A43A0" w:rsidRPr="004E74A6">
        <w:rPr>
          <w:rFonts w:ascii="Book Antiqua" w:eastAsia="Calibri" w:hAnsi="Book Antiqua" w:cs="Times New Roman"/>
          <w:lang w:val="es-CR" w:eastAsia="en-US"/>
        </w:rPr>
        <w:t>%,</w:t>
      </w:r>
      <w:r w:rsidR="00CB5E05" w:rsidRPr="004E74A6">
        <w:rPr>
          <w:rFonts w:ascii="Book Antiqua" w:eastAsia="Calibri" w:hAnsi="Book Antiqua" w:cs="Times New Roman"/>
          <w:lang w:val="es-CR" w:eastAsia="en-US"/>
        </w:rPr>
        <w:t xml:space="preserve"> </w:t>
      </w:r>
      <w:r w:rsidR="00536D67" w:rsidRPr="004E74A6">
        <w:rPr>
          <w:rFonts w:ascii="Book Antiqua" w:eastAsia="Calibri" w:hAnsi="Book Antiqua" w:cs="Times New Roman"/>
          <w:lang w:val="es-CR" w:eastAsia="en-US"/>
        </w:rPr>
        <w:t>por lo que se recomienda mantener los ¢3 000</w:t>
      </w:r>
      <w:r w:rsidR="00CF4596" w:rsidRPr="004E74A6">
        <w:rPr>
          <w:rFonts w:ascii="Book Antiqua" w:eastAsia="Calibri" w:hAnsi="Book Antiqua" w:cs="Times New Roman"/>
          <w:lang w:val="es-CR" w:eastAsia="en-US"/>
        </w:rPr>
        <w:t> </w:t>
      </w:r>
      <w:r w:rsidR="00536D67" w:rsidRPr="004E74A6">
        <w:rPr>
          <w:rFonts w:ascii="Book Antiqua" w:eastAsia="Calibri" w:hAnsi="Book Antiqua" w:cs="Times New Roman"/>
          <w:lang w:val="es-CR" w:eastAsia="en-US"/>
        </w:rPr>
        <w:t>000</w:t>
      </w:r>
      <w:r w:rsidR="00CF4596" w:rsidRPr="004E74A6">
        <w:rPr>
          <w:rFonts w:ascii="Book Antiqua" w:eastAsia="Calibri" w:hAnsi="Book Antiqua" w:cs="Times New Roman"/>
          <w:lang w:val="es-CR" w:eastAsia="en-US"/>
        </w:rPr>
        <w:t xml:space="preserve"> actuales</w:t>
      </w:r>
      <w:r w:rsidR="00536D67" w:rsidRPr="004E74A6">
        <w:rPr>
          <w:rFonts w:ascii="Book Antiqua" w:eastAsia="Calibri" w:hAnsi="Book Antiqua" w:cs="Times New Roman"/>
          <w:lang w:val="es-CR" w:eastAsia="en-US"/>
        </w:rPr>
        <w:t>.</w:t>
      </w:r>
      <w:r w:rsidR="00536D67" w:rsidRPr="004E74A6">
        <w:rPr>
          <w:rFonts w:ascii="Book Antiqua" w:eastAsia="Calibri" w:hAnsi="Book Antiqua" w:cs="Times New Roman"/>
          <w:szCs w:val="20"/>
          <w:lang w:val="es-CR" w:eastAsia="en-US"/>
        </w:rPr>
        <w:t xml:space="preserve"> </w:t>
      </w:r>
    </w:p>
    <w:p w14:paraId="7E7AF12C" w14:textId="531DF97B" w:rsidR="006F151F" w:rsidRPr="00832773" w:rsidRDefault="006F151F" w:rsidP="00CE62C1">
      <w:pPr>
        <w:pStyle w:val="Prrafodelista"/>
        <w:numPr>
          <w:ilvl w:val="0"/>
          <w:numId w:val="32"/>
        </w:numPr>
        <w:suppressAutoHyphens/>
        <w:spacing w:line="276" w:lineRule="auto"/>
        <w:ind w:right="49"/>
        <w:contextualSpacing/>
        <w:rPr>
          <w:rFonts w:ascii="Book Antiqua" w:eastAsia="Calibri" w:hAnsi="Book Antiqua"/>
          <w:lang w:val="es-CR" w:eastAsia="es-CR"/>
        </w:rPr>
      </w:pPr>
      <w:r w:rsidRPr="004E74A6">
        <w:rPr>
          <w:rFonts w:ascii="Book Antiqua" w:eastAsia="Calibri" w:hAnsi="Book Antiqua" w:cs="Times New Roman"/>
          <w:szCs w:val="20"/>
          <w:lang w:val="es-CR" w:eastAsia="en-US"/>
        </w:rPr>
        <w:lastRenderedPageBreak/>
        <w:t xml:space="preserve">De aprobar el escenario D, </w:t>
      </w:r>
      <w:r w:rsidR="0067565C" w:rsidRPr="004E74A6">
        <w:rPr>
          <w:rFonts w:ascii="Book Antiqua" w:eastAsia="Calibri" w:hAnsi="Book Antiqua" w:cs="Times New Roman"/>
          <w:szCs w:val="20"/>
          <w:lang w:val="es-CR" w:eastAsia="en-US"/>
        </w:rPr>
        <w:t>impacto del incremento en Sala Primera:</w:t>
      </w:r>
      <w:r w:rsidR="006A69E8" w:rsidRPr="004E74A6">
        <w:rPr>
          <w:rFonts w:ascii="Book Antiqua" w:eastAsia="Calibri" w:hAnsi="Book Antiqua" w:cs="Times New Roman"/>
          <w:szCs w:val="20"/>
          <w:lang w:val="es-CR" w:eastAsia="en-US"/>
        </w:rPr>
        <w:t xml:space="preserve"> </w:t>
      </w:r>
      <w:r w:rsidRPr="004E74A6">
        <w:rPr>
          <w:rFonts w:ascii="Book Antiqua" w:eastAsia="Calibri" w:hAnsi="Book Antiqua" w:cs="Times New Roman"/>
          <w:szCs w:val="20"/>
          <w:lang w:val="es-CR" w:eastAsia="en-US"/>
        </w:rPr>
        <w:t>según el rango fijado esa sería la disminución</w:t>
      </w:r>
      <w:r w:rsidR="00AC3E05" w:rsidRPr="004E74A6">
        <w:rPr>
          <w:rFonts w:ascii="Book Antiqua" w:eastAsia="Calibri" w:hAnsi="Book Antiqua" w:cs="Times New Roman"/>
          <w:szCs w:val="20"/>
          <w:lang w:val="es-CR" w:eastAsia="en-US"/>
        </w:rPr>
        <w:t>, podría ir desde un 6% en adelante como se observa en la siguiente proyección:</w:t>
      </w:r>
    </w:p>
    <w:p w14:paraId="359DF343" w14:textId="3D2EE61B" w:rsidR="006F151F" w:rsidRPr="004E74A6" w:rsidRDefault="006F151F" w:rsidP="00CE62C1">
      <w:pPr>
        <w:pStyle w:val="Prrafodelista"/>
        <w:suppressAutoHyphens/>
        <w:spacing w:line="276" w:lineRule="auto"/>
        <w:ind w:left="720" w:right="49"/>
        <w:contextualSpacing/>
        <w:rPr>
          <w:rFonts w:eastAsia="Calibri" w:cs="Times New Roman"/>
          <w:szCs w:val="20"/>
          <w:lang w:val="es-CR" w:eastAsia="en-US"/>
        </w:rPr>
      </w:pPr>
    </w:p>
    <w:p w14:paraId="4B3E6D47" w14:textId="34F323F8" w:rsidR="006F151F" w:rsidRPr="004E74A6" w:rsidRDefault="006F151F" w:rsidP="00CE62C1">
      <w:pPr>
        <w:pStyle w:val="Prrafodelista"/>
        <w:suppressAutoHyphens/>
        <w:spacing w:line="276" w:lineRule="auto"/>
        <w:ind w:left="720" w:right="49"/>
        <w:contextualSpacing/>
        <w:rPr>
          <w:rFonts w:eastAsia="Calibri" w:cs="Times New Roman"/>
          <w:szCs w:val="20"/>
          <w:lang w:val="es-CR" w:eastAsia="en-US"/>
        </w:rPr>
      </w:pPr>
    </w:p>
    <w:tbl>
      <w:tblPr>
        <w:tblW w:w="8789" w:type="dxa"/>
        <w:jc w:val="center"/>
        <w:tblCellMar>
          <w:left w:w="70" w:type="dxa"/>
          <w:right w:w="70" w:type="dxa"/>
        </w:tblCellMar>
        <w:tblLook w:val="04A0" w:firstRow="1" w:lastRow="0" w:firstColumn="1" w:lastColumn="0" w:noHBand="0" w:noVBand="1"/>
      </w:tblPr>
      <w:tblGrid>
        <w:gridCol w:w="2800"/>
        <w:gridCol w:w="3012"/>
        <w:gridCol w:w="2977"/>
      </w:tblGrid>
      <w:tr w:rsidR="00AC3E05" w:rsidRPr="004E74A6" w14:paraId="0B54BB3B" w14:textId="77777777" w:rsidTr="00EB102E">
        <w:trPr>
          <w:trHeight w:val="1095"/>
          <w:tblHeader/>
          <w:jc w:val="center"/>
        </w:trPr>
        <w:tc>
          <w:tcPr>
            <w:tcW w:w="2800" w:type="dxa"/>
            <w:tcBorders>
              <w:top w:val="single" w:sz="8" w:space="0" w:color="auto"/>
              <w:left w:val="nil"/>
              <w:bottom w:val="single" w:sz="8" w:space="0" w:color="auto"/>
              <w:right w:val="single" w:sz="8" w:space="0" w:color="auto"/>
            </w:tcBorders>
            <w:shd w:val="clear" w:color="auto" w:fill="auto"/>
            <w:noWrap/>
            <w:vAlign w:val="center"/>
            <w:hideMark/>
          </w:tcPr>
          <w:p w14:paraId="1A3A8C9C" w14:textId="77777777" w:rsidR="006F151F" w:rsidRPr="004E74A6" w:rsidRDefault="006F151F" w:rsidP="00832773">
            <w:pPr>
              <w:spacing w:line="276" w:lineRule="auto"/>
              <w:jc w:val="center"/>
              <w:rPr>
                <w:rFonts w:cs="Calibri"/>
                <w:color w:val="2F5496" w:themeColor="accent1" w:themeShade="BF"/>
                <w:sz w:val="20"/>
                <w:lang w:eastAsia="es-CR"/>
              </w:rPr>
            </w:pPr>
            <w:r w:rsidRPr="004E74A6">
              <w:rPr>
                <w:rFonts w:cs="Calibri"/>
                <w:color w:val="2F5496" w:themeColor="accent1" w:themeShade="BF"/>
                <w:sz w:val="20"/>
                <w:lang w:eastAsia="es-CR"/>
              </w:rPr>
              <w:t xml:space="preserve">Rango Cuantía </w:t>
            </w:r>
          </w:p>
        </w:tc>
        <w:tc>
          <w:tcPr>
            <w:tcW w:w="3012" w:type="dxa"/>
            <w:tcBorders>
              <w:top w:val="single" w:sz="8" w:space="0" w:color="auto"/>
              <w:left w:val="nil"/>
              <w:bottom w:val="single" w:sz="8" w:space="0" w:color="auto"/>
              <w:right w:val="single" w:sz="8" w:space="0" w:color="auto"/>
            </w:tcBorders>
            <w:shd w:val="clear" w:color="auto" w:fill="auto"/>
            <w:noWrap/>
            <w:vAlign w:val="center"/>
            <w:hideMark/>
          </w:tcPr>
          <w:p w14:paraId="4BD7C9C3" w14:textId="6681795A" w:rsidR="006F151F" w:rsidRPr="004E74A6" w:rsidRDefault="006F151F" w:rsidP="00832773">
            <w:pPr>
              <w:spacing w:line="276" w:lineRule="auto"/>
              <w:jc w:val="center"/>
              <w:rPr>
                <w:rFonts w:cs="Calibri"/>
                <w:color w:val="2F5496" w:themeColor="accent1" w:themeShade="BF"/>
                <w:sz w:val="20"/>
                <w:lang w:eastAsia="es-CR"/>
              </w:rPr>
            </w:pPr>
            <w:r w:rsidRPr="004E74A6">
              <w:rPr>
                <w:rFonts w:cs="Calibri"/>
                <w:color w:val="2F5496" w:themeColor="accent1" w:themeShade="BF"/>
                <w:sz w:val="20"/>
                <w:lang w:eastAsia="es-CR"/>
              </w:rPr>
              <w:t>Promedio entrada en casaciones civiles estimables de 2019 al 2021</w:t>
            </w:r>
          </w:p>
        </w:tc>
        <w:tc>
          <w:tcPr>
            <w:tcW w:w="2977" w:type="dxa"/>
            <w:tcBorders>
              <w:top w:val="single" w:sz="8" w:space="0" w:color="auto"/>
              <w:left w:val="nil"/>
              <w:bottom w:val="single" w:sz="8" w:space="0" w:color="auto"/>
              <w:right w:val="nil"/>
            </w:tcBorders>
            <w:shd w:val="clear" w:color="auto" w:fill="auto"/>
            <w:vAlign w:val="center"/>
            <w:hideMark/>
          </w:tcPr>
          <w:p w14:paraId="30641A61" w14:textId="77777777" w:rsidR="006F151F" w:rsidRPr="004E74A6" w:rsidRDefault="006F151F" w:rsidP="00832773">
            <w:pPr>
              <w:spacing w:line="276" w:lineRule="auto"/>
              <w:jc w:val="center"/>
              <w:rPr>
                <w:rFonts w:cs="Calibri"/>
                <w:color w:val="2F5496" w:themeColor="accent1" w:themeShade="BF"/>
                <w:sz w:val="20"/>
                <w:lang w:eastAsia="es-CR"/>
              </w:rPr>
            </w:pPr>
            <w:r w:rsidRPr="004E74A6">
              <w:rPr>
                <w:rFonts w:cs="Calibri"/>
                <w:color w:val="2F5496" w:themeColor="accent1" w:themeShade="BF"/>
                <w:sz w:val="20"/>
                <w:lang w:eastAsia="es-CR"/>
              </w:rPr>
              <w:t>Pérdida porcentual en la entrada en caso de elevarse la cuantía según rango</w:t>
            </w:r>
          </w:p>
        </w:tc>
      </w:tr>
      <w:tr w:rsidR="00AC3E05" w:rsidRPr="004E74A6" w14:paraId="7F3BF739" w14:textId="77777777" w:rsidTr="006F151F">
        <w:trPr>
          <w:trHeight w:val="300"/>
          <w:jc w:val="center"/>
        </w:trPr>
        <w:tc>
          <w:tcPr>
            <w:tcW w:w="2800" w:type="dxa"/>
            <w:tcBorders>
              <w:top w:val="nil"/>
              <w:left w:val="nil"/>
              <w:bottom w:val="nil"/>
              <w:right w:val="single" w:sz="8" w:space="0" w:color="auto"/>
            </w:tcBorders>
            <w:shd w:val="clear" w:color="auto" w:fill="auto"/>
            <w:noWrap/>
            <w:vAlign w:val="center"/>
            <w:hideMark/>
          </w:tcPr>
          <w:p w14:paraId="538E55F9" w14:textId="77777777" w:rsidR="006F151F" w:rsidRPr="004E74A6" w:rsidRDefault="006F151F" w:rsidP="00832773">
            <w:pPr>
              <w:spacing w:line="276" w:lineRule="auto"/>
              <w:jc w:val="center"/>
              <w:rPr>
                <w:rFonts w:cs="Calibri"/>
                <w:color w:val="2F5496" w:themeColor="accent1" w:themeShade="BF"/>
                <w:sz w:val="20"/>
                <w:lang w:eastAsia="es-CR"/>
              </w:rPr>
            </w:pPr>
            <w:r w:rsidRPr="004E74A6">
              <w:rPr>
                <w:rFonts w:cs="Calibri"/>
                <w:color w:val="2F5496" w:themeColor="accent1" w:themeShade="BF"/>
                <w:sz w:val="20"/>
                <w:lang w:eastAsia="es-CR"/>
              </w:rPr>
              <w:t>Total</w:t>
            </w:r>
          </w:p>
        </w:tc>
        <w:tc>
          <w:tcPr>
            <w:tcW w:w="3012" w:type="dxa"/>
            <w:tcBorders>
              <w:top w:val="nil"/>
              <w:left w:val="nil"/>
              <w:bottom w:val="nil"/>
              <w:right w:val="single" w:sz="8" w:space="0" w:color="auto"/>
            </w:tcBorders>
            <w:shd w:val="clear" w:color="auto" w:fill="auto"/>
            <w:noWrap/>
            <w:vAlign w:val="center"/>
            <w:hideMark/>
          </w:tcPr>
          <w:p w14:paraId="362D15BA" w14:textId="77777777" w:rsidR="006F151F" w:rsidRPr="004E74A6" w:rsidRDefault="006F151F" w:rsidP="00832773">
            <w:pPr>
              <w:spacing w:line="276" w:lineRule="auto"/>
              <w:jc w:val="center"/>
              <w:rPr>
                <w:rFonts w:cs="Calibri"/>
                <w:color w:val="2F5496" w:themeColor="accent1" w:themeShade="BF"/>
                <w:sz w:val="20"/>
                <w:lang w:eastAsia="es-CR"/>
              </w:rPr>
            </w:pPr>
            <w:r w:rsidRPr="004E74A6">
              <w:rPr>
                <w:rFonts w:cs="Calibri"/>
                <w:color w:val="2F5496" w:themeColor="accent1" w:themeShade="BF"/>
                <w:sz w:val="20"/>
                <w:lang w:eastAsia="es-CR"/>
              </w:rPr>
              <w:t>360</w:t>
            </w:r>
          </w:p>
        </w:tc>
        <w:tc>
          <w:tcPr>
            <w:tcW w:w="2977" w:type="dxa"/>
            <w:tcBorders>
              <w:top w:val="nil"/>
              <w:left w:val="nil"/>
              <w:bottom w:val="nil"/>
              <w:right w:val="nil"/>
            </w:tcBorders>
            <w:shd w:val="clear" w:color="auto" w:fill="auto"/>
            <w:noWrap/>
            <w:vAlign w:val="bottom"/>
            <w:hideMark/>
          </w:tcPr>
          <w:p w14:paraId="7AA74CD8" w14:textId="77777777" w:rsidR="006F151F" w:rsidRPr="004E74A6" w:rsidRDefault="006F151F" w:rsidP="00832773">
            <w:pPr>
              <w:spacing w:line="276" w:lineRule="auto"/>
              <w:jc w:val="center"/>
              <w:rPr>
                <w:rFonts w:cs="Calibri"/>
                <w:color w:val="2F5496" w:themeColor="accent1" w:themeShade="BF"/>
                <w:sz w:val="20"/>
                <w:lang w:eastAsia="es-CR"/>
              </w:rPr>
            </w:pPr>
          </w:p>
        </w:tc>
      </w:tr>
      <w:tr w:rsidR="00AC3E05" w:rsidRPr="004E74A6" w14:paraId="74E0C21C" w14:textId="77777777" w:rsidTr="006F151F">
        <w:trPr>
          <w:trHeight w:val="300"/>
          <w:jc w:val="center"/>
        </w:trPr>
        <w:tc>
          <w:tcPr>
            <w:tcW w:w="2800" w:type="dxa"/>
            <w:tcBorders>
              <w:top w:val="nil"/>
              <w:left w:val="nil"/>
              <w:bottom w:val="nil"/>
              <w:right w:val="single" w:sz="8" w:space="0" w:color="auto"/>
            </w:tcBorders>
            <w:shd w:val="clear" w:color="auto" w:fill="auto"/>
            <w:noWrap/>
            <w:vAlign w:val="center"/>
            <w:hideMark/>
          </w:tcPr>
          <w:p w14:paraId="3A88302E" w14:textId="77777777" w:rsidR="006F151F" w:rsidRPr="004E74A6" w:rsidRDefault="006F151F" w:rsidP="00832773">
            <w:pPr>
              <w:spacing w:line="276" w:lineRule="auto"/>
              <w:jc w:val="left"/>
              <w:rPr>
                <w:rFonts w:cs="Calibri"/>
                <w:color w:val="2F5496" w:themeColor="accent1" w:themeShade="BF"/>
                <w:sz w:val="20"/>
                <w:lang w:eastAsia="es-CR"/>
              </w:rPr>
            </w:pPr>
            <w:r w:rsidRPr="004E74A6">
              <w:rPr>
                <w:rFonts w:cs="Calibri"/>
                <w:color w:val="2F5496" w:themeColor="accent1" w:themeShade="BF"/>
                <w:sz w:val="20"/>
                <w:lang w:eastAsia="es-CR"/>
              </w:rPr>
              <w:t> </w:t>
            </w:r>
          </w:p>
        </w:tc>
        <w:tc>
          <w:tcPr>
            <w:tcW w:w="3012" w:type="dxa"/>
            <w:tcBorders>
              <w:top w:val="nil"/>
              <w:left w:val="nil"/>
              <w:bottom w:val="nil"/>
              <w:right w:val="single" w:sz="8" w:space="0" w:color="auto"/>
            </w:tcBorders>
            <w:shd w:val="clear" w:color="auto" w:fill="auto"/>
            <w:noWrap/>
            <w:vAlign w:val="center"/>
            <w:hideMark/>
          </w:tcPr>
          <w:p w14:paraId="486E781D" w14:textId="77777777" w:rsidR="006F151F" w:rsidRPr="004E74A6" w:rsidRDefault="006F151F" w:rsidP="00832773">
            <w:pPr>
              <w:spacing w:line="276" w:lineRule="auto"/>
              <w:jc w:val="center"/>
              <w:rPr>
                <w:rFonts w:cs="Calibri"/>
                <w:color w:val="2F5496" w:themeColor="accent1" w:themeShade="BF"/>
                <w:sz w:val="20"/>
                <w:lang w:eastAsia="es-CR"/>
              </w:rPr>
            </w:pPr>
            <w:r w:rsidRPr="004E74A6">
              <w:rPr>
                <w:rFonts w:cs="Calibri"/>
                <w:color w:val="2F5496" w:themeColor="accent1" w:themeShade="BF"/>
                <w:sz w:val="20"/>
                <w:lang w:eastAsia="es-CR"/>
              </w:rPr>
              <w:t> </w:t>
            </w:r>
          </w:p>
        </w:tc>
        <w:tc>
          <w:tcPr>
            <w:tcW w:w="2977" w:type="dxa"/>
            <w:tcBorders>
              <w:top w:val="nil"/>
              <w:left w:val="nil"/>
              <w:bottom w:val="nil"/>
              <w:right w:val="nil"/>
            </w:tcBorders>
            <w:shd w:val="clear" w:color="auto" w:fill="auto"/>
            <w:noWrap/>
            <w:vAlign w:val="bottom"/>
            <w:hideMark/>
          </w:tcPr>
          <w:p w14:paraId="5102D636" w14:textId="77777777" w:rsidR="006F151F" w:rsidRPr="004E74A6" w:rsidRDefault="006F151F" w:rsidP="00832773">
            <w:pPr>
              <w:spacing w:line="276" w:lineRule="auto"/>
              <w:jc w:val="center"/>
              <w:rPr>
                <w:rFonts w:cs="Calibri"/>
                <w:color w:val="2F5496" w:themeColor="accent1" w:themeShade="BF"/>
                <w:sz w:val="20"/>
                <w:lang w:eastAsia="es-CR"/>
              </w:rPr>
            </w:pPr>
          </w:p>
        </w:tc>
      </w:tr>
      <w:tr w:rsidR="00AC3E05" w:rsidRPr="004E74A6" w14:paraId="00DF931A" w14:textId="77777777" w:rsidTr="006F151F">
        <w:trPr>
          <w:trHeight w:val="300"/>
          <w:jc w:val="center"/>
        </w:trPr>
        <w:tc>
          <w:tcPr>
            <w:tcW w:w="2800" w:type="dxa"/>
            <w:tcBorders>
              <w:top w:val="nil"/>
              <w:left w:val="nil"/>
              <w:bottom w:val="nil"/>
              <w:right w:val="single" w:sz="8" w:space="0" w:color="auto"/>
            </w:tcBorders>
            <w:shd w:val="clear" w:color="auto" w:fill="auto"/>
            <w:noWrap/>
            <w:vAlign w:val="center"/>
            <w:hideMark/>
          </w:tcPr>
          <w:p w14:paraId="6D83ACF9" w14:textId="77777777" w:rsidR="006F151F" w:rsidRPr="004E74A6" w:rsidRDefault="006F151F" w:rsidP="00832773">
            <w:pPr>
              <w:spacing w:line="276" w:lineRule="auto"/>
              <w:jc w:val="left"/>
              <w:rPr>
                <w:rFonts w:cs="Calibri"/>
                <w:color w:val="2F5496" w:themeColor="accent1" w:themeShade="BF"/>
                <w:sz w:val="20"/>
                <w:lang w:eastAsia="es-CR"/>
              </w:rPr>
            </w:pPr>
            <w:r w:rsidRPr="004E74A6">
              <w:rPr>
                <w:rFonts w:cs="Calibri"/>
                <w:color w:val="2F5496" w:themeColor="accent1" w:themeShade="BF"/>
                <w:sz w:val="20"/>
                <w:lang w:eastAsia="es-CR"/>
              </w:rPr>
              <w:t>Menos de ¢3.000.001</w:t>
            </w:r>
          </w:p>
        </w:tc>
        <w:tc>
          <w:tcPr>
            <w:tcW w:w="3012" w:type="dxa"/>
            <w:tcBorders>
              <w:top w:val="nil"/>
              <w:left w:val="nil"/>
              <w:bottom w:val="nil"/>
              <w:right w:val="single" w:sz="8" w:space="0" w:color="auto"/>
            </w:tcBorders>
            <w:shd w:val="clear" w:color="auto" w:fill="auto"/>
            <w:noWrap/>
            <w:vAlign w:val="center"/>
            <w:hideMark/>
          </w:tcPr>
          <w:p w14:paraId="65CAFE10" w14:textId="77777777" w:rsidR="006F151F" w:rsidRPr="004E74A6" w:rsidRDefault="006F151F" w:rsidP="00832773">
            <w:pPr>
              <w:spacing w:line="276" w:lineRule="auto"/>
              <w:jc w:val="center"/>
              <w:rPr>
                <w:rFonts w:cs="Calibri"/>
                <w:color w:val="2F5496" w:themeColor="accent1" w:themeShade="BF"/>
                <w:sz w:val="20"/>
                <w:lang w:eastAsia="es-CR"/>
              </w:rPr>
            </w:pPr>
            <w:r w:rsidRPr="004E74A6">
              <w:rPr>
                <w:rFonts w:cs="Calibri"/>
                <w:color w:val="2F5496" w:themeColor="accent1" w:themeShade="BF"/>
                <w:sz w:val="20"/>
                <w:lang w:eastAsia="es-CR"/>
              </w:rPr>
              <w:t>10</w:t>
            </w:r>
          </w:p>
        </w:tc>
        <w:tc>
          <w:tcPr>
            <w:tcW w:w="2977" w:type="dxa"/>
            <w:tcBorders>
              <w:top w:val="nil"/>
              <w:left w:val="nil"/>
              <w:bottom w:val="nil"/>
              <w:right w:val="nil"/>
            </w:tcBorders>
            <w:shd w:val="clear" w:color="auto" w:fill="auto"/>
            <w:noWrap/>
            <w:vAlign w:val="bottom"/>
            <w:hideMark/>
          </w:tcPr>
          <w:p w14:paraId="3781928A" w14:textId="77777777" w:rsidR="006F151F" w:rsidRPr="004E74A6" w:rsidRDefault="006F151F" w:rsidP="00832773">
            <w:pPr>
              <w:spacing w:line="276" w:lineRule="auto"/>
              <w:jc w:val="center"/>
              <w:rPr>
                <w:rFonts w:cs="Calibri"/>
                <w:color w:val="2F5496" w:themeColor="accent1" w:themeShade="BF"/>
                <w:sz w:val="20"/>
                <w:lang w:eastAsia="es-CR"/>
              </w:rPr>
            </w:pPr>
            <w:r w:rsidRPr="004E74A6">
              <w:rPr>
                <w:rFonts w:cs="Calibri"/>
                <w:color w:val="2F5496" w:themeColor="accent1" w:themeShade="BF"/>
                <w:sz w:val="20"/>
                <w:lang w:eastAsia="es-CR"/>
              </w:rPr>
              <w:t>3%</w:t>
            </w:r>
          </w:p>
        </w:tc>
      </w:tr>
      <w:tr w:rsidR="00AC3E05" w:rsidRPr="004E74A6" w14:paraId="68D56AEB" w14:textId="77777777" w:rsidTr="006F151F">
        <w:trPr>
          <w:trHeight w:val="300"/>
          <w:jc w:val="center"/>
        </w:trPr>
        <w:tc>
          <w:tcPr>
            <w:tcW w:w="2800" w:type="dxa"/>
            <w:tcBorders>
              <w:top w:val="nil"/>
              <w:left w:val="nil"/>
              <w:bottom w:val="nil"/>
              <w:right w:val="single" w:sz="8" w:space="0" w:color="auto"/>
            </w:tcBorders>
            <w:shd w:val="clear" w:color="auto" w:fill="auto"/>
            <w:noWrap/>
            <w:vAlign w:val="center"/>
            <w:hideMark/>
          </w:tcPr>
          <w:p w14:paraId="1C1AED31" w14:textId="77777777" w:rsidR="006F151F" w:rsidRPr="004E74A6" w:rsidRDefault="006F151F" w:rsidP="00832773">
            <w:pPr>
              <w:spacing w:line="276" w:lineRule="auto"/>
              <w:jc w:val="left"/>
              <w:rPr>
                <w:rFonts w:cs="Calibri"/>
                <w:color w:val="2F5496" w:themeColor="accent1" w:themeShade="BF"/>
                <w:sz w:val="20"/>
                <w:lang w:eastAsia="es-CR"/>
              </w:rPr>
            </w:pPr>
            <w:r w:rsidRPr="004E74A6">
              <w:rPr>
                <w:rFonts w:cs="Calibri"/>
                <w:color w:val="2F5496" w:themeColor="accent1" w:themeShade="BF"/>
                <w:sz w:val="20"/>
                <w:lang w:eastAsia="es-CR"/>
              </w:rPr>
              <w:t>De ¢3.000.001 a ¢4.000.000</w:t>
            </w:r>
          </w:p>
        </w:tc>
        <w:tc>
          <w:tcPr>
            <w:tcW w:w="3012" w:type="dxa"/>
            <w:tcBorders>
              <w:top w:val="nil"/>
              <w:left w:val="nil"/>
              <w:bottom w:val="nil"/>
              <w:right w:val="single" w:sz="8" w:space="0" w:color="auto"/>
            </w:tcBorders>
            <w:shd w:val="clear" w:color="auto" w:fill="auto"/>
            <w:noWrap/>
            <w:vAlign w:val="center"/>
            <w:hideMark/>
          </w:tcPr>
          <w:p w14:paraId="28FECE46" w14:textId="77777777" w:rsidR="006F151F" w:rsidRPr="004E74A6" w:rsidRDefault="006F151F" w:rsidP="00832773">
            <w:pPr>
              <w:spacing w:line="276" w:lineRule="auto"/>
              <w:jc w:val="center"/>
              <w:rPr>
                <w:rFonts w:cs="Calibri"/>
                <w:color w:val="2F5496" w:themeColor="accent1" w:themeShade="BF"/>
                <w:sz w:val="20"/>
                <w:lang w:eastAsia="es-CR"/>
              </w:rPr>
            </w:pPr>
            <w:r w:rsidRPr="004E74A6">
              <w:rPr>
                <w:rFonts w:cs="Calibri"/>
                <w:color w:val="2F5496" w:themeColor="accent1" w:themeShade="BF"/>
                <w:sz w:val="20"/>
                <w:lang w:eastAsia="es-CR"/>
              </w:rPr>
              <w:t>12</w:t>
            </w:r>
          </w:p>
        </w:tc>
        <w:tc>
          <w:tcPr>
            <w:tcW w:w="2977" w:type="dxa"/>
            <w:tcBorders>
              <w:top w:val="nil"/>
              <w:left w:val="nil"/>
              <w:bottom w:val="nil"/>
              <w:right w:val="nil"/>
            </w:tcBorders>
            <w:shd w:val="clear" w:color="auto" w:fill="auto"/>
            <w:noWrap/>
            <w:vAlign w:val="bottom"/>
            <w:hideMark/>
          </w:tcPr>
          <w:p w14:paraId="523C27F3" w14:textId="77777777" w:rsidR="006F151F" w:rsidRPr="004E74A6" w:rsidRDefault="006F151F" w:rsidP="00832773">
            <w:pPr>
              <w:spacing w:line="276" w:lineRule="auto"/>
              <w:jc w:val="center"/>
              <w:rPr>
                <w:rFonts w:cs="Calibri"/>
                <w:color w:val="2F5496" w:themeColor="accent1" w:themeShade="BF"/>
                <w:sz w:val="20"/>
                <w:lang w:eastAsia="es-CR"/>
              </w:rPr>
            </w:pPr>
            <w:r w:rsidRPr="004E74A6">
              <w:rPr>
                <w:rFonts w:cs="Calibri"/>
                <w:color w:val="2F5496" w:themeColor="accent1" w:themeShade="BF"/>
                <w:sz w:val="20"/>
                <w:lang w:eastAsia="es-CR"/>
              </w:rPr>
              <w:t>6%</w:t>
            </w:r>
          </w:p>
        </w:tc>
      </w:tr>
      <w:tr w:rsidR="00AC3E05" w:rsidRPr="004E74A6" w14:paraId="424EB940" w14:textId="77777777" w:rsidTr="006F151F">
        <w:trPr>
          <w:trHeight w:val="300"/>
          <w:jc w:val="center"/>
        </w:trPr>
        <w:tc>
          <w:tcPr>
            <w:tcW w:w="2800" w:type="dxa"/>
            <w:tcBorders>
              <w:top w:val="nil"/>
              <w:left w:val="nil"/>
              <w:bottom w:val="nil"/>
              <w:right w:val="single" w:sz="8" w:space="0" w:color="auto"/>
            </w:tcBorders>
            <w:shd w:val="clear" w:color="auto" w:fill="auto"/>
            <w:noWrap/>
            <w:vAlign w:val="center"/>
            <w:hideMark/>
          </w:tcPr>
          <w:p w14:paraId="5E73AAD0" w14:textId="77777777" w:rsidR="006F151F" w:rsidRPr="004E74A6" w:rsidRDefault="006F151F" w:rsidP="00832773">
            <w:pPr>
              <w:spacing w:line="276" w:lineRule="auto"/>
              <w:jc w:val="left"/>
              <w:rPr>
                <w:rFonts w:cs="Calibri"/>
                <w:color w:val="2F5496" w:themeColor="accent1" w:themeShade="BF"/>
                <w:sz w:val="20"/>
                <w:lang w:eastAsia="es-CR"/>
              </w:rPr>
            </w:pPr>
            <w:r w:rsidRPr="004E74A6">
              <w:rPr>
                <w:rFonts w:cs="Calibri"/>
                <w:color w:val="2F5496" w:themeColor="accent1" w:themeShade="BF"/>
                <w:sz w:val="20"/>
                <w:lang w:eastAsia="es-CR"/>
              </w:rPr>
              <w:t>De ¢4.000.001 a ¢5.000.000</w:t>
            </w:r>
          </w:p>
        </w:tc>
        <w:tc>
          <w:tcPr>
            <w:tcW w:w="3012" w:type="dxa"/>
            <w:tcBorders>
              <w:top w:val="nil"/>
              <w:left w:val="nil"/>
              <w:bottom w:val="nil"/>
              <w:right w:val="single" w:sz="8" w:space="0" w:color="auto"/>
            </w:tcBorders>
            <w:shd w:val="clear" w:color="auto" w:fill="auto"/>
            <w:noWrap/>
            <w:vAlign w:val="center"/>
            <w:hideMark/>
          </w:tcPr>
          <w:p w14:paraId="76933904" w14:textId="77777777" w:rsidR="006F151F" w:rsidRPr="004E74A6" w:rsidRDefault="006F151F" w:rsidP="00832773">
            <w:pPr>
              <w:spacing w:line="276" w:lineRule="auto"/>
              <w:jc w:val="center"/>
              <w:rPr>
                <w:rFonts w:cs="Calibri"/>
                <w:color w:val="2F5496" w:themeColor="accent1" w:themeShade="BF"/>
                <w:sz w:val="20"/>
                <w:lang w:eastAsia="es-CR"/>
              </w:rPr>
            </w:pPr>
            <w:r w:rsidRPr="004E74A6">
              <w:rPr>
                <w:rFonts w:cs="Calibri"/>
                <w:color w:val="2F5496" w:themeColor="accent1" w:themeShade="BF"/>
                <w:sz w:val="20"/>
                <w:lang w:eastAsia="es-CR"/>
              </w:rPr>
              <w:t>21</w:t>
            </w:r>
          </w:p>
        </w:tc>
        <w:tc>
          <w:tcPr>
            <w:tcW w:w="2977" w:type="dxa"/>
            <w:tcBorders>
              <w:top w:val="nil"/>
              <w:left w:val="nil"/>
              <w:bottom w:val="nil"/>
              <w:right w:val="nil"/>
            </w:tcBorders>
            <w:shd w:val="clear" w:color="auto" w:fill="auto"/>
            <w:noWrap/>
            <w:vAlign w:val="bottom"/>
            <w:hideMark/>
          </w:tcPr>
          <w:p w14:paraId="08FF3988" w14:textId="77777777" w:rsidR="006F151F" w:rsidRPr="004E74A6" w:rsidRDefault="006F151F" w:rsidP="00832773">
            <w:pPr>
              <w:spacing w:line="276" w:lineRule="auto"/>
              <w:jc w:val="center"/>
              <w:rPr>
                <w:rFonts w:cs="Calibri"/>
                <w:color w:val="2F5496" w:themeColor="accent1" w:themeShade="BF"/>
                <w:sz w:val="20"/>
                <w:lang w:eastAsia="es-CR"/>
              </w:rPr>
            </w:pPr>
            <w:r w:rsidRPr="004E74A6">
              <w:rPr>
                <w:rFonts w:cs="Calibri"/>
                <w:color w:val="2F5496" w:themeColor="accent1" w:themeShade="BF"/>
                <w:sz w:val="20"/>
                <w:lang w:eastAsia="es-CR"/>
              </w:rPr>
              <w:t>12%</w:t>
            </w:r>
          </w:p>
        </w:tc>
      </w:tr>
      <w:tr w:rsidR="00AC3E05" w:rsidRPr="004E74A6" w14:paraId="2CB4267F" w14:textId="77777777" w:rsidTr="006F151F">
        <w:trPr>
          <w:trHeight w:val="300"/>
          <w:jc w:val="center"/>
        </w:trPr>
        <w:tc>
          <w:tcPr>
            <w:tcW w:w="2800" w:type="dxa"/>
            <w:tcBorders>
              <w:top w:val="nil"/>
              <w:left w:val="nil"/>
              <w:bottom w:val="nil"/>
              <w:right w:val="single" w:sz="8" w:space="0" w:color="auto"/>
            </w:tcBorders>
            <w:shd w:val="clear" w:color="auto" w:fill="auto"/>
            <w:noWrap/>
            <w:vAlign w:val="center"/>
            <w:hideMark/>
          </w:tcPr>
          <w:p w14:paraId="6125917B" w14:textId="77777777" w:rsidR="006F151F" w:rsidRPr="004E74A6" w:rsidRDefault="006F151F" w:rsidP="00832773">
            <w:pPr>
              <w:spacing w:line="276" w:lineRule="auto"/>
              <w:jc w:val="left"/>
              <w:rPr>
                <w:rFonts w:cs="Calibri"/>
                <w:color w:val="2F5496" w:themeColor="accent1" w:themeShade="BF"/>
                <w:sz w:val="20"/>
                <w:lang w:eastAsia="es-CR"/>
              </w:rPr>
            </w:pPr>
            <w:r w:rsidRPr="004E74A6">
              <w:rPr>
                <w:rFonts w:cs="Calibri"/>
                <w:color w:val="2F5496" w:themeColor="accent1" w:themeShade="BF"/>
                <w:sz w:val="20"/>
                <w:lang w:eastAsia="es-CR"/>
              </w:rPr>
              <w:t>De ¢5.000.001 a ¢6.000.000</w:t>
            </w:r>
          </w:p>
        </w:tc>
        <w:tc>
          <w:tcPr>
            <w:tcW w:w="3012" w:type="dxa"/>
            <w:tcBorders>
              <w:top w:val="nil"/>
              <w:left w:val="nil"/>
              <w:bottom w:val="nil"/>
              <w:right w:val="single" w:sz="8" w:space="0" w:color="auto"/>
            </w:tcBorders>
            <w:shd w:val="clear" w:color="auto" w:fill="auto"/>
            <w:noWrap/>
            <w:vAlign w:val="center"/>
            <w:hideMark/>
          </w:tcPr>
          <w:p w14:paraId="6D828DBE" w14:textId="77777777" w:rsidR="006F151F" w:rsidRPr="004E74A6" w:rsidRDefault="006F151F" w:rsidP="00832773">
            <w:pPr>
              <w:spacing w:line="276" w:lineRule="auto"/>
              <w:jc w:val="center"/>
              <w:rPr>
                <w:rFonts w:cs="Calibri"/>
                <w:color w:val="2F5496" w:themeColor="accent1" w:themeShade="BF"/>
                <w:sz w:val="20"/>
                <w:lang w:eastAsia="es-CR"/>
              </w:rPr>
            </w:pPr>
            <w:r w:rsidRPr="004E74A6">
              <w:rPr>
                <w:rFonts w:cs="Calibri"/>
                <w:color w:val="2F5496" w:themeColor="accent1" w:themeShade="BF"/>
                <w:sz w:val="20"/>
                <w:lang w:eastAsia="es-CR"/>
              </w:rPr>
              <w:t>12</w:t>
            </w:r>
          </w:p>
        </w:tc>
        <w:tc>
          <w:tcPr>
            <w:tcW w:w="2977" w:type="dxa"/>
            <w:tcBorders>
              <w:top w:val="nil"/>
              <w:left w:val="nil"/>
              <w:bottom w:val="nil"/>
              <w:right w:val="nil"/>
            </w:tcBorders>
            <w:shd w:val="clear" w:color="auto" w:fill="auto"/>
            <w:noWrap/>
            <w:vAlign w:val="bottom"/>
            <w:hideMark/>
          </w:tcPr>
          <w:p w14:paraId="448490CF" w14:textId="77777777" w:rsidR="006F151F" w:rsidRPr="004E74A6" w:rsidRDefault="006F151F" w:rsidP="00832773">
            <w:pPr>
              <w:spacing w:line="276" w:lineRule="auto"/>
              <w:jc w:val="center"/>
              <w:rPr>
                <w:rFonts w:cs="Calibri"/>
                <w:color w:val="2F5496" w:themeColor="accent1" w:themeShade="BF"/>
                <w:sz w:val="20"/>
                <w:lang w:eastAsia="es-CR"/>
              </w:rPr>
            </w:pPr>
            <w:r w:rsidRPr="004E74A6">
              <w:rPr>
                <w:rFonts w:cs="Calibri"/>
                <w:color w:val="2F5496" w:themeColor="accent1" w:themeShade="BF"/>
                <w:sz w:val="20"/>
                <w:lang w:eastAsia="es-CR"/>
              </w:rPr>
              <w:t>15%</w:t>
            </w:r>
          </w:p>
        </w:tc>
      </w:tr>
      <w:tr w:rsidR="00AC3E05" w:rsidRPr="004E74A6" w14:paraId="51412975" w14:textId="77777777" w:rsidTr="006F151F">
        <w:trPr>
          <w:trHeight w:val="300"/>
          <w:jc w:val="center"/>
        </w:trPr>
        <w:tc>
          <w:tcPr>
            <w:tcW w:w="2800" w:type="dxa"/>
            <w:tcBorders>
              <w:top w:val="nil"/>
              <w:left w:val="nil"/>
              <w:bottom w:val="nil"/>
              <w:right w:val="single" w:sz="8" w:space="0" w:color="auto"/>
            </w:tcBorders>
            <w:shd w:val="clear" w:color="auto" w:fill="auto"/>
            <w:noWrap/>
            <w:vAlign w:val="center"/>
            <w:hideMark/>
          </w:tcPr>
          <w:p w14:paraId="1635B30D" w14:textId="77777777" w:rsidR="006F151F" w:rsidRPr="004E74A6" w:rsidRDefault="006F151F" w:rsidP="00832773">
            <w:pPr>
              <w:spacing w:line="276" w:lineRule="auto"/>
              <w:jc w:val="left"/>
              <w:rPr>
                <w:rFonts w:cs="Calibri"/>
                <w:color w:val="2F5496" w:themeColor="accent1" w:themeShade="BF"/>
                <w:sz w:val="20"/>
                <w:lang w:eastAsia="es-CR"/>
              </w:rPr>
            </w:pPr>
            <w:r w:rsidRPr="004E74A6">
              <w:rPr>
                <w:rFonts w:cs="Calibri"/>
                <w:color w:val="2F5496" w:themeColor="accent1" w:themeShade="BF"/>
                <w:sz w:val="20"/>
                <w:lang w:eastAsia="es-CR"/>
              </w:rPr>
              <w:t>De ¢6.000.001 a ¢7.000.000</w:t>
            </w:r>
          </w:p>
        </w:tc>
        <w:tc>
          <w:tcPr>
            <w:tcW w:w="3012" w:type="dxa"/>
            <w:tcBorders>
              <w:top w:val="nil"/>
              <w:left w:val="nil"/>
              <w:bottom w:val="nil"/>
              <w:right w:val="single" w:sz="8" w:space="0" w:color="auto"/>
            </w:tcBorders>
            <w:shd w:val="clear" w:color="auto" w:fill="auto"/>
            <w:noWrap/>
            <w:vAlign w:val="center"/>
            <w:hideMark/>
          </w:tcPr>
          <w:p w14:paraId="57F90DED" w14:textId="77777777" w:rsidR="006F151F" w:rsidRPr="004E74A6" w:rsidRDefault="006F151F" w:rsidP="00832773">
            <w:pPr>
              <w:spacing w:line="276" w:lineRule="auto"/>
              <w:jc w:val="center"/>
              <w:rPr>
                <w:rFonts w:cs="Calibri"/>
                <w:color w:val="2F5496" w:themeColor="accent1" w:themeShade="BF"/>
                <w:sz w:val="20"/>
                <w:lang w:eastAsia="es-CR"/>
              </w:rPr>
            </w:pPr>
            <w:r w:rsidRPr="004E74A6">
              <w:rPr>
                <w:rFonts w:cs="Calibri"/>
                <w:color w:val="2F5496" w:themeColor="accent1" w:themeShade="BF"/>
                <w:sz w:val="20"/>
                <w:lang w:eastAsia="es-CR"/>
              </w:rPr>
              <w:t>7</w:t>
            </w:r>
          </w:p>
        </w:tc>
        <w:tc>
          <w:tcPr>
            <w:tcW w:w="2977" w:type="dxa"/>
            <w:tcBorders>
              <w:top w:val="nil"/>
              <w:left w:val="nil"/>
              <w:bottom w:val="nil"/>
              <w:right w:val="nil"/>
            </w:tcBorders>
            <w:shd w:val="clear" w:color="auto" w:fill="auto"/>
            <w:noWrap/>
            <w:vAlign w:val="bottom"/>
            <w:hideMark/>
          </w:tcPr>
          <w:p w14:paraId="08982E9E" w14:textId="77777777" w:rsidR="006F151F" w:rsidRPr="004E74A6" w:rsidRDefault="006F151F" w:rsidP="00832773">
            <w:pPr>
              <w:spacing w:line="276" w:lineRule="auto"/>
              <w:jc w:val="center"/>
              <w:rPr>
                <w:rFonts w:cs="Calibri"/>
                <w:color w:val="2F5496" w:themeColor="accent1" w:themeShade="BF"/>
                <w:sz w:val="20"/>
                <w:lang w:eastAsia="es-CR"/>
              </w:rPr>
            </w:pPr>
            <w:r w:rsidRPr="004E74A6">
              <w:rPr>
                <w:rFonts w:cs="Calibri"/>
                <w:color w:val="2F5496" w:themeColor="accent1" w:themeShade="BF"/>
                <w:sz w:val="20"/>
                <w:lang w:eastAsia="es-CR"/>
              </w:rPr>
              <w:t>17%</w:t>
            </w:r>
          </w:p>
        </w:tc>
      </w:tr>
      <w:tr w:rsidR="00AC3E05" w:rsidRPr="004E74A6" w14:paraId="2185B2CA" w14:textId="77777777" w:rsidTr="006F151F">
        <w:trPr>
          <w:trHeight w:val="300"/>
          <w:jc w:val="center"/>
        </w:trPr>
        <w:tc>
          <w:tcPr>
            <w:tcW w:w="2800" w:type="dxa"/>
            <w:tcBorders>
              <w:top w:val="nil"/>
              <w:left w:val="nil"/>
              <w:bottom w:val="nil"/>
              <w:right w:val="single" w:sz="8" w:space="0" w:color="auto"/>
            </w:tcBorders>
            <w:shd w:val="clear" w:color="auto" w:fill="auto"/>
            <w:noWrap/>
            <w:vAlign w:val="center"/>
            <w:hideMark/>
          </w:tcPr>
          <w:p w14:paraId="4BE040F9" w14:textId="77777777" w:rsidR="006F151F" w:rsidRPr="004E74A6" w:rsidRDefault="006F151F" w:rsidP="00832773">
            <w:pPr>
              <w:spacing w:line="276" w:lineRule="auto"/>
              <w:jc w:val="left"/>
              <w:rPr>
                <w:rFonts w:cs="Calibri"/>
                <w:color w:val="2F5496" w:themeColor="accent1" w:themeShade="BF"/>
                <w:sz w:val="20"/>
                <w:lang w:eastAsia="es-CR"/>
              </w:rPr>
            </w:pPr>
            <w:r w:rsidRPr="004E74A6">
              <w:rPr>
                <w:rFonts w:cs="Calibri"/>
                <w:color w:val="2F5496" w:themeColor="accent1" w:themeShade="BF"/>
                <w:sz w:val="20"/>
                <w:lang w:eastAsia="es-CR"/>
              </w:rPr>
              <w:t>De ¢7.000.001 a ¢8.000.000</w:t>
            </w:r>
          </w:p>
        </w:tc>
        <w:tc>
          <w:tcPr>
            <w:tcW w:w="3012" w:type="dxa"/>
            <w:tcBorders>
              <w:top w:val="nil"/>
              <w:left w:val="nil"/>
              <w:bottom w:val="nil"/>
              <w:right w:val="single" w:sz="8" w:space="0" w:color="auto"/>
            </w:tcBorders>
            <w:shd w:val="clear" w:color="auto" w:fill="auto"/>
            <w:noWrap/>
            <w:vAlign w:val="center"/>
            <w:hideMark/>
          </w:tcPr>
          <w:p w14:paraId="72BB732D" w14:textId="77777777" w:rsidR="006F151F" w:rsidRPr="004E74A6" w:rsidRDefault="006F151F" w:rsidP="00832773">
            <w:pPr>
              <w:spacing w:line="276" w:lineRule="auto"/>
              <w:jc w:val="center"/>
              <w:rPr>
                <w:rFonts w:cs="Calibri"/>
                <w:color w:val="2F5496" w:themeColor="accent1" w:themeShade="BF"/>
                <w:sz w:val="20"/>
                <w:lang w:eastAsia="es-CR"/>
              </w:rPr>
            </w:pPr>
            <w:r w:rsidRPr="004E74A6">
              <w:rPr>
                <w:rFonts w:cs="Calibri"/>
                <w:color w:val="2F5496" w:themeColor="accent1" w:themeShade="BF"/>
                <w:sz w:val="20"/>
                <w:lang w:eastAsia="es-CR"/>
              </w:rPr>
              <w:t>11</w:t>
            </w:r>
          </w:p>
        </w:tc>
        <w:tc>
          <w:tcPr>
            <w:tcW w:w="2977" w:type="dxa"/>
            <w:tcBorders>
              <w:top w:val="nil"/>
              <w:left w:val="nil"/>
              <w:bottom w:val="nil"/>
              <w:right w:val="nil"/>
            </w:tcBorders>
            <w:shd w:val="clear" w:color="auto" w:fill="auto"/>
            <w:noWrap/>
            <w:vAlign w:val="bottom"/>
            <w:hideMark/>
          </w:tcPr>
          <w:p w14:paraId="1C3E6A6E" w14:textId="77777777" w:rsidR="006F151F" w:rsidRPr="004E74A6" w:rsidRDefault="006F151F" w:rsidP="00832773">
            <w:pPr>
              <w:spacing w:line="276" w:lineRule="auto"/>
              <w:jc w:val="center"/>
              <w:rPr>
                <w:rFonts w:cs="Calibri"/>
                <w:color w:val="2F5496" w:themeColor="accent1" w:themeShade="BF"/>
                <w:sz w:val="20"/>
                <w:lang w:eastAsia="es-CR"/>
              </w:rPr>
            </w:pPr>
            <w:r w:rsidRPr="004E74A6">
              <w:rPr>
                <w:rFonts w:cs="Calibri"/>
                <w:color w:val="2F5496" w:themeColor="accent1" w:themeShade="BF"/>
                <w:sz w:val="20"/>
                <w:lang w:eastAsia="es-CR"/>
              </w:rPr>
              <w:t>20%</w:t>
            </w:r>
          </w:p>
        </w:tc>
      </w:tr>
      <w:tr w:rsidR="00AC3E05" w:rsidRPr="004E74A6" w14:paraId="4AC37435" w14:textId="77777777" w:rsidTr="006F151F">
        <w:trPr>
          <w:trHeight w:val="300"/>
          <w:jc w:val="center"/>
        </w:trPr>
        <w:tc>
          <w:tcPr>
            <w:tcW w:w="2800" w:type="dxa"/>
            <w:tcBorders>
              <w:top w:val="nil"/>
              <w:left w:val="nil"/>
              <w:bottom w:val="nil"/>
              <w:right w:val="single" w:sz="8" w:space="0" w:color="auto"/>
            </w:tcBorders>
            <w:shd w:val="clear" w:color="auto" w:fill="auto"/>
            <w:noWrap/>
            <w:vAlign w:val="center"/>
            <w:hideMark/>
          </w:tcPr>
          <w:p w14:paraId="2128A509" w14:textId="77777777" w:rsidR="006F151F" w:rsidRPr="004E74A6" w:rsidRDefault="006F151F" w:rsidP="00832773">
            <w:pPr>
              <w:spacing w:line="276" w:lineRule="auto"/>
              <w:jc w:val="left"/>
              <w:rPr>
                <w:rFonts w:cs="Calibri"/>
                <w:color w:val="2F5496" w:themeColor="accent1" w:themeShade="BF"/>
                <w:sz w:val="20"/>
                <w:lang w:eastAsia="es-CR"/>
              </w:rPr>
            </w:pPr>
            <w:r w:rsidRPr="004E74A6">
              <w:rPr>
                <w:rFonts w:cs="Calibri"/>
                <w:color w:val="2F5496" w:themeColor="accent1" w:themeShade="BF"/>
                <w:sz w:val="20"/>
                <w:lang w:eastAsia="es-CR"/>
              </w:rPr>
              <w:t>De ¢8.000.001 a ¢9.000.000</w:t>
            </w:r>
          </w:p>
        </w:tc>
        <w:tc>
          <w:tcPr>
            <w:tcW w:w="3012" w:type="dxa"/>
            <w:tcBorders>
              <w:top w:val="nil"/>
              <w:left w:val="nil"/>
              <w:bottom w:val="nil"/>
              <w:right w:val="single" w:sz="8" w:space="0" w:color="auto"/>
            </w:tcBorders>
            <w:shd w:val="clear" w:color="auto" w:fill="auto"/>
            <w:noWrap/>
            <w:vAlign w:val="center"/>
            <w:hideMark/>
          </w:tcPr>
          <w:p w14:paraId="35C02E02" w14:textId="77777777" w:rsidR="006F151F" w:rsidRPr="004E74A6" w:rsidRDefault="006F151F" w:rsidP="00832773">
            <w:pPr>
              <w:spacing w:line="276" w:lineRule="auto"/>
              <w:jc w:val="center"/>
              <w:rPr>
                <w:rFonts w:cs="Calibri"/>
                <w:color w:val="2F5496" w:themeColor="accent1" w:themeShade="BF"/>
                <w:sz w:val="20"/>
                <w:lang w:eastAsia="es-CR"/>
              </w:rPr>
            </w:pPr>
            <w:r w:rsidRPr="004E74A6">
              <w:rPr>
                <w:rFonts w:cs="Calibri"/>
                <w:color w:val="2F5496" w:themeColor="accent1" w:themeShade="BF"/>
                <w:sz w:val="20"/>
                <w:lang w:eastAsia="es-CR"/>
              </w:rPr>
              <w:t>5</w:t>
            </w:r>
          </w:p>
        </w:tc>
        <w:tc>
          <w:tcPr>
            <w:tcW w:w="2977" w:type="dxa"/>
            <w:tcBorders>
              <w:top w:val="nil"/>
              <w:left w:val="nil"/>
              <w:bottom w:val="nil"/>
              <w:right w:val="nil"/>
            </w:tcBorders>
            <w:shd w:val="clear" w:color="auto" w:fill="auto"/>
            <w:noWrap/>
            <w:vAlign w:val="bottom"/>
            <w:hideMark/>
          </w:tcPr>
          <w:p w14:paraId="28B1DEF7" w14:textId="77777777" w:rsidR="006F151F" w:rsidRPr="004E74A6" w:rsidRDefault="006F151F" w:rsidP="00832773">
            <w:pPr>
              <w:spacing w:line="276" w:lineRule="auto"/>
              <w:jc w:val="center"/>
              <w:rPr>
                <w:rFonts w:cs="Calibri"/>
                <w:color w:val="2F5496" w:themeColor="accent1" w:themeShade="BF"/>
                <w:sz w:val="20"/>
                <w:lang w:eastAsia="es-CR"/>
              </w:rPr>
            </w:pPr>
            <w:r w:rsidRPr="004E74A6">
              <w:rPr>
                <w:rFonts w:cs="Calibri"/>
                <w:color w:val="2F5496" w:themeColor="accent1" w:themeShade="BF"/>
                <w:sz w:val="20"/>
                <w:lang w:eastAsia="es-CR"/>
              </w:rPr>
              <w:t>22%</w:t>
            </w:r>
          </w:p>
        </w:tc>
      </w:tr>
      <w:tr w:rsidR="00AC3E05" w:rsidRPr="004E74A6" w14:paraId="61096D04" w14:textId="77777777" w:rsidTr="006F151F">
        <w:trPr>
          <w:trHeight w:val="300"/>
          <w:jc w:val="center"/>
        </w:trPr>
        <w:tc>
          <w:tcPr>
            <w:tcW w:w="2800" w:type="dxa"/>
            <w:tcBorders>
              <w:top w:val="nil"/>
              <w:left w:val="nil"/>
              <w:bottom w:val="nil"/>
              <w:right w:val="single" w:sz="8" w:space="0" w:color="auto"/>
            </w:tcBorders>
            <w:shd w:val="clear" w:color="auto" w:fill="auto"/>
            <w:noWrap/>
            <w:vAlign w:val="center"/>
            <w:hideMark/>
          </w:tcPr>
          <w:p w14:paraId="474E0439" w14:textId="77777777" w:rsidR="006F151F" w:rsidRPr="004E74A6" w:rsidRDefault="006F151F" w:rsidP="00832773">
            <w:pPr>
              <w:spacing w:line="276" w:lineRule="auto"/>
              <w:jc w:val="left"/>
              <w:rPr>
                <w:rFonts w:cs="Calibri"/>
                <w:color w:val="2F5496" w:themeColor="accent1" w:themeShade="BF"/>
                <w:sz w:val="20"/>
                <w:lang w:eastAsia="es-CR"/>
              </w:rPr>
            </w:pPr>
            <w:r w:rsidRPr="004E74A6">
              <w:rPr>
                <w:rFonts w:cs="Calibri"/>
                <w:color w:val="2F5496" w:themeColor="accent1" w:themeShade="BF"/>
                <w:sz w:val="20"/>
                <w:lang w:eastAsia="es-CR"/>
              </w:rPr>
              <w:t>De ¢9.000.001 a ¢10.000.000</w:t>
            </w:r>
          </w:p>
        </w:tc>
        <w:tc>
          <w:tcPr>
            <w:tcW w:w="3012" w:type="dxa"/>
            <w:tcBorders>
              <w:top w:val="nil"/>
              <w:left w:val="nil"/>
              <w:bottom w:val="nil"/>
              <w:right w:val="single" w:sz="8" w:space="0" w:color="auto"/>
            </w:tcBorders>
            <w:shd w:val="clear" w:color="auto" w:fill="auto"/>
            <w:noWrap/>
            <w:vAlign w:val="center"/>
            <w:hideMark/>
          </w:tcPr>
          <w:p w14:paraId="2E54675A" w14:textId="77777777" w:rsidR="006F151F" w:rsidRPr="004E74A6" w:rsidRDefault="006F151F" w:rsidP="00832773">
            <w:pPr>
              <w:spacing w:line="276" w:lineRule="auto"/>
              <w:jc w:val="center"/>
              <w:rPr>
                <w:rFonts w:cs="Calibri"/>
                <w:color w:val="2F5496" w:themeColor="accent1" w:themeShade="BF"/>
                <w:sz w:val="20"/>
                <w:lang w:eastAsia="es-CR"/>
              </w:rPr>
            </w:pPr>
            <w:r w:rsidRPr="004E74A6">
              <w:rPr>
                <w:rFonts w:cs="Calibri"/>
                <w:color w:val="2F5496" w:themeColor="accent1" w:themeShade="BF"/>
                <w:sz w:val="20"/>
                <w:lang w:eastAsia="es-CR"/>
              </w:rPr>
              <w:t>22</w:t>
            </w:r>
          </w:p>
        </w:tc>
        <w:tc>
          <w:tcPr>
            <w:tcW w:w="2977" w:type="dxa"/>
            <w:tcBorders>
              <w:top w:val="nil"/>
              <w:left w:val="nil"/>
              <w:bottom w:val="nil"/>
              <w:right w:val="nil"/>
            </w:tcBorders>
            <w:shd w:val="clear" w:color="auto" w:fill="auto"/>
            <w:noWrap/>
            <w:vAlign w:val="bottom"/>
            <w:hideMark/>
          </w:tcPr>
          <w:p w14:paraId="770DA1E9" w14:textId="77777777" w:rsidR="006F151F" w:rsidRPr="004E74A6" w:rsidRDefault="006F151F" w:rsidP="00832773">
            <w:pPr>
              <w:spacing w:line="276" w:lineRule="auto"/>
              <w:jc w:val="center"/>
              <w:rPr>
                <w:rFonts w:cs="Calibri"/>
                <w:color w:val="2F5496" w:themeColor="accent1" w:themeShade="BF"/>
                <w:sz w:val="20"/>
                <w:lang w:eastAsia="es-CR"/>
              </w:rPr>
            </w:pPr>
            <w:r w:rsidRPr="004E74A6">
              <w:rPr>
                <w:rFonts w:cs="Calibri"/>
                <w:color w:val="2F5496" w:themeColor="accent1" w:themeShade="BF"/>
                <w:sz w:val="20"/>
                <w:lang w:eastAsia="es-CR"/>
              </w:rPr>
              <w:t>28%</w:t>
            </w:r>
          </w:p>
        </w:tc>
      </w:tr>
      <w:tr w:rsidR="00AC3E05" w:rsidRPr="004E74A6" w14:paraId="1F7B44E7" w14:textId="77777777" w:rsidTr="006F151F">
        <w:trPr>
          <w:trHeight w:val="300"/>
          <w:jc w:val="center"/>
        </w:trPr>
        <w:tc>
          <w:tcPr>
            <w:tcW w:w="2800" w:type="dxa"/>
            <w:tcBorders>
              <w:top w:val="nil"/>
              <w:left w:val="nil"/>
              <w:bottom w:val="nil"/>
              <w:right w:val="single" w:sz="8" w:space="0" w:color="auto"/>
            </w:tcBorders>
            <w:shd w:val="clear" w:color="auto" w:fill="auto"/>
            <w:noWrap/>
            <w:vAlign w:val="center"/>
            <w:hideMark/>
          </w:tcPr>
          <w:p w14:paraId="41A81895" w14:textId="77777777" w:rsidR="006F151F" w:rsidRPr="004E74A6" w:rsidRDefault="006F151F" w:rsidP="00832773">
            <w:pPr>
              <w:spacing w:line="276" w:lineRule="auto"/>
              <w:jc w:val="left"/>
              <w:rPr>
                <w:rFonts w:cs="Calibri"/>
                <w:color w:val="2F5496" w:themeColor="accent1" w:themeShade="BF"/>
                <w:sz w:val="20"/>
                <w:lang w:eastAsia="es-CR"/>
              </w:rPr>
            </w:pPr>
            <w:r w:rsidRPr="004E74A6">
              <w:rPr>
                <w:rFonts w:cs="Calibri"/>
                <w:color w:val="2F5496" w:themeColor="accent1" w:themeShade="BF"/>
                <w:sz w:val="20"/>
                <w:lang w:eastAsia="es-CR"/>
              </w:rPr>
              <w:t>De ¢10.000.001 a ¢15.000.000</w:t>
            </w:r>
          </w:p>
        </w:tc>
        <w:tc>
          <w:tcPr>
            <w:tcW w:w="3012" w:type="dxa"/>
            <w:tcBorders>
              <w:top w:val="nil"/>
              <w:left w:val="nil"/>
              <w:bottom w:val="nil"/>
              <w:right w:val="single" w:sz="8" w:space="0" w:color="auto"/>
            </w:tcBorders>
            <w:shd w:val="clear" w:color="auto" w:fill="auto"/>
            <w:noWrap/>
            <w:vAlign w:val="center"/>
            <w:hideMark/>
          </w:tcPr>
          <w:p w14:paraId="4D627D71" w14:textId="77777777" w:rsidR="006F151F" w:rsidRPr="004E74A6" w:rsidRDefault="006F151F" w:rsidP="00832773">
            <w:pPr>
              <w:spacing w:line="276" w:lineRule="auto"/>
              <w:jc w:val="center"/>
              <w:rPr>
                <w:rFonts w:cs="Calibri"/>
                <w:color w:val="2F5496" w:themeColor="accent1" w:themeShade="BF"/>
                <w:sz w:val="20"/>
                <w:lang w:eastAsia="es-CR"/>
              </w:rPr>
            </w:pPr>
            <w:r w:rsidRPr="004E74A6">
              <w:rPr>
                <w:rFonts w:cs="Calibri"/>
                <w:color w:val="2F5496" w:themeColor="accent1" w:themeShade="BF"/>
                <w:sz w:val="20"/>
                <w:lang w:eastAsia="es-CR"/>
              </w:rPr>
              <w:t>31</w:t>
            </w:r>
          </w:p>
        </w:tc>
        <w:tc>
          <w:tcPr>
            <w:tcW w:w="2977" w:type="dxa"/>
            <w:tcBorders>
              <w:top w:val="nil"/>
              <w:left w:val="nil"/>
              <w:bottom w:val="nil"/>
              <w:right w:val="nil"/>
            </w:tcBorders>
            <w:shd w:val="clear" w:color="auto" w:fill="auto"/>
            <w:noWrap/>
            <w:vAlign w:val="bottom"/>
            <w:hideMark/>
          </w:tcPr>
          <w:p w14:paraId="56734718" w14:textId="77777777" w:rsidR="006F151F" w:rsidRPr="004E74A6" w:rsidRDefault="006F151F" w:rsidP="00832773">
            <w:pPr>
              <w:spacing w:line="276" w:lineRule="auto"/>
              <w:jc w:val="center"/>
              <w:rPr>
                <w:rFonts w:cs="Calibri"/>
                <w:color w:val="2F5496" w:themeColor="accent1" w:themeShade="BF"/>
                <w:sz w:val="20"/>
                <w:lang w:eastAsia="es-CR"/>
              </w:rPr>
            </w:pPr>
            <w:r w:rsidRPr="004E74A6">
              <w:rPr>
                <w:rFonts w:cs="Calibri"/>
                <w:color w:val="2F5496" w:themeColor="accent1" w:themeShade="BF"/>
                <w:sz w:val="20"/>
                <w:lang w:eastAsia="es-CR"/>
              </w:rPr>
              <w:t>36%</w:t>
            </w:r>
          </w:p>
        </w:tc>
      </w:tr>
      <w:tr w:rsidR="00AC3E05" w:rsidRPr="004E74A6" w14:paraId="566A97E5" w14:textId="77777777" w:rsidTr="006F151F">
        <w:trPr>
          <w:trHeight w:val="300"/>
          <w:jc w:val="center"/>
        </w:trPr>
        <w:tc>
          <w:tcPr>
            <w:tcW w:w="2800" w:type="dxa"/>
            <w:tcBorders>
              <w:top w:val="nil"/>
              <w:left w:val="nil"/>
              <w:bottom w:val="nil"/>
              <w:right w:val="single" w:sz="8" w:space="0" w:color="auto"/>
            </w:tcBorders>
            <w:shd w:val="clear" w:color="auto" w:fill="auto"/>
            <w:noWrap/>
            <w:vAlign w:val="center"/>
            <w:hideMark/>
          </w:tcPr>
          <w:p w14:paraId="570F1BF2" w14:textId="77777777" w:rsidR="006F151F" w:rsidRPr="004E74A6" w:rsidRDefault="006F151F" w:rsidP="00832773">
            <w:pPr>
              <w:spacing w:line="276" w:lineRule="auto"/>
              <w:jc w:val="left"/>
              <w:rPr>
                <w:rFonts w:cs="Calibri"/>
                <w:color w:val="2F5496" w:themeColor="accent1" w:themeShade="BF"/>
                <w:sz w:val="20"/>
                <w:lang w:eastAsia="es-CR"/>
              </w:rPr>
            </w:pPr>
            <w:r w:rsidRPr="004E74A6">
              <w:rPr>
                <w:rFonts w:cs="Calibri"/>
                <w:color w:val="2F5496" w:themeColor="accent1" w:themeShade="BF"/>
                <w:sz w:val="20"/>
                <w:lang w:eastAsia="es-CR"/>
              </w:rPr>
              <w:t>De ¢15.000.001 a ¢20.000.000</w:t>
            </w:r>
          </w:p>
        </w:tc>
        <w:tc>
          <w:tcPr>
            <w:tcW w:w="3012" w:type="dxa"/>
            <w:tcBorders>
              <w:top w:val="nil"/>
              <w:left w:val="nil"/>
              <w:bottom w:val="nil"/>
              <w:right w:val="single" w:sz="8" w:space="0" w:color="auto"/>
            </w:tcBorders>
            <w:shd w:val="clear" w:color="auto" w:fill="auto"/>
            <w:noWrap/>
            <w:vAlign w:val="center"/>
            <w:hideMark/>
          </w:tcPr>
          <w:p w14:paraId="6106530A" w14:textId="77777777" w:rsidR="006F151F" w:rsidRPr="004E74A6" w:rsidRDefault="006F151F" w:rsidP="00832773">
            <w:pPr>
              <w:spacing w:line="276" w:lineRule="auto"/>
              <w:jc w:val="center"/>
              <w:rPr>
                <w:rFonts w:cs="Calibri"/>
                <w:color w:val="2F5496" w:themeColor="accent1" w:themeShade="BF"/>
                <w:sz w:val="20"/>
                <w:lang w:eastAsia="es-CR"/>
              </w:rPr>
            </w:pPr>
            <w:r w:rsidRPr="004E74A6">
              <w:rPr>
                <w:rFonts w:cs="Calibri"/>
                <w:color w:val="2F5496" w:themeColor="accent1" w:themeShade="BF"/>
                <w:sz w:val="20"/>
                <w:lang w:eastAsia="es-CR"/>
              </w:rPr>
              <w:t>22</w:t>
            </w:r>
          </w:p>
        </w:tc>
        <w:tc>
          <w:tcPr>
            <w:tcW w:w="2977" w:type="dxa"/>
            <w:tcBorders>
              <w:top w:val="nil"/>
              <w:left w:val="nil"/>
              <w:bottom w:val="nil"/>
              <w:right w:val="nil"/>
            </w:tcBorders>
            <w:shd w:val="clear" w:color="auto" w:fill="auto"/>
            <w:noWrap/>
            <w:vAlign w:val="bottom"/>
            <w:hideMark/>
          </w:tcPr>
          <w:p w14:paraId="4AAC7E00" w14:textId="77777777" w:rsidR="006F151F" w:rsidRPr="004E74A6" w:rsidRDefault="006F151F" w:rsidP="00832773">
            <w:pPr>
              <w:spacing w:line="276" w:lineRule="auto"/>
              <w:jc w:val="center"/>
              <w:rPr>
                <w:rFonts w:cs="Calibri"/>
                <w:color w:val="2F5496" w:themeColor="accent1" w:themeShade="BF"/>
                <w:sz w:val="20"/>
                <w:lang w:eastAsia="es-CR"/>
              </w:rPr>
            </w:pPr>
            <w:r w:rsidRPr="004E74A6">
              <w:rPr>
                <w:rFonts w:cs="Calibri"/>
                <w:color w:val="2F5496" w:themeColor="accent1" w:themeShade="BF"/>
                <w:sz w:val="20"/>
                <w:lang w:eastAsia="es-CR"/>
              </w:rPr>
              <w:t>43%</w:t>
            </w:r>
          </w:p>
        </w:tc>
      </w:tr>
      <w:tr w:rsidR="00AC3E05" w:rsidRPr="004E74A6" w14:paraId="1E050945" w14:textId="77777777" w:rsidTr="006F151F">
        <w:trPr>
          <w:trHeight w:val="300"/>
          <w:jc w:val="center"/>
        </w:trPr>
        <w:tc>
          <w:tcPr>
            <w:tcW w:w="2800" w:type="dxa"/>
            <w:tcBorders>
              <w:top w:val="nil"/>
              <w:left w:val="nil"/>
              <w:bottom w:val="nil"/>
              <w:right w:val="single" w:sz="8" w:space="0" w:color="auto"/>
            </w:tcBorders>
            <w:shd w:val="clear" w:color="auto" w:fill="auto"/>
            <w:noWrap/>
            <w:vAlign w:val="center"/>
            <w:hideMark/>
          </w:tcPr>
          <w:p w14:paraId="52521A7C" w14:textId="77777777" w:rsidR="006F151F" w:rsidRPr="004E74A6" w:rsidRDefault="006F151F" w:rsidP="00832773">
            <w:pPr>
              <w:spacing w:line="276" w:lineRule="auto"/>
              <w:jc w:val="left"/>
              <w:rPr>
                <w:rFonts w:cs="Calibri"/>
                <w:color w:val="2F5496" w:themeColor="accent1" w:themeShade="BF"/>
                <w:sz w:val="20"/>
                <w:lang w:eastAsia="es-CR"/>
              </w:rPr>
            </w:pPr>
            <w:r w:rsidRPr="004E74A6">
              <w:rPr>
                <w:rFonts w:cs="Calibri"/>
                <w:color w:val="2F5496" w:themeColor="accent1" w:themeShade="BF"/>
                <w:sz w:val="20"/>
                <w:lang w:eastAsia="es-CR"/>
              </w:rPr>
              <w:t>De ¢20.000.001 a ¢25.000.000</w:t>
            </w:r>
          </w:p>
        </w:tc>
        <w:tc>
          <w:tcPr>
            <w:tcW w:w="3012" w:type="dxa"/>
            <w:tcBorders>
              <w:top w:val="nil"/>
              <w:left w:val="nil"/>
              <w:bottom w:val="nil"/>
              <w:right w:val="single" w:sz="8" w:space="0" w:color="auto"/>
            </w:tcBorders>
            <w:shd w:val="clear" w:color="auto" w:fill="auto"/>
            <w:noWrap/>
            <w:vAlign w:val="center"/>
            <w:hideMark/>
          </w:tcPr>
          <w:p w14:paraId="6C3E1EF6" w14:textId="77777777" w:rsidR="006F151F" w:rsidRPr="004E74A6" w:rsidRDefault="006F151F" w:rsidP="00832773">
            <w:pPr>
              <w:spacing w:line="276" w:lineRule="auto"/>
              <w:jc w:val="center"/>
              <w:rPr>
                <w:rFonts w:cs="Calibri"/>
                <w:color w:val="2F5496" w:themeColor="accent1" w:themeShade="BF"/>
                <w:sz w:val="20"/>
                <w:lang w:eastAsia="es-CR"/>
              </w:rPr>
            </w:pPr>
            <w:r w:rsidRPr="004E74A6">
              <w:rPr>
                <w:rFonts w:cs="Calibri"/>
                <w:color w:val="2F5496" w:themeColor="accent1" w:themeShade="BF"/>
                <w:sz w:val="20"/>
                <w:lang w:eastAsia="es-CR"/>
              </w:rPr>
              <w:t>19</w:t>
            </w:r>
          </w:p>
        </w:tc>
        <w:tc>
          <w:tcPr>
            <w:tcW w:w="2977" w:type="dxa"/>
            <w:tcBorders>
              <w:top w:val="nil"/>
              <w:left w:val="nil"/>
              <w:bottom w:val="nil"/>
              <w:right w:val="nil"/>
            </w:tcBorders>
            <w:shd w:val="clear" w:color="auto" w:fill="auto"/>
            <w:noWrap/>
            <w:vAlign w:val="bottom"/>
            <w:hideMark/>
          </w:tcPr>
          <w:p w14:paraId="2636C3DF" w14:textId="77777777" w:rsidR="006F151F" w:rsidRPr="004E74A6" w:rsidRDefault="006F151F" w:rsidP="00832773">
            <w:pPr>
              <w:spacing w:line="276" w:lineRule="auto"/>
              <w:jc w:val="center"/>
              <w:rPr>
                <w:rFonts w:cs="Calibri"/>
                <w:color w:val="2F5496" w:themeColor="accent1" w:themeShade="BF"/>
                <w:sz w:val="20"/>
                <w:lang w:eastAsia="es-CR"/>
              </w:rPr>
            </w:pPr>
            <w:r w:rsidRPr="004E74A6">
              <w:rPr>
                <w:rFonts w:cs="Calibri"/>
                <w:color w:val="2F5496" w:themeColor="accent1" w:themeShade="BF"/>
                <w:sz w:val="20"/>
                <w:lang w:eastAsia="es-CR"/>
              </w:rPr>
              <w:t>48%</w:t>
            </w:r>
          </w:p>
        </w:tc>
      </w:tr>
      <w:tr w:rsidR="00AC3E05" w:rsidRPr="004E74A6" w14:paraId="03C4375D" w14:textId="77777777" w:rsidTr="006F151F">
        <w:trPr>
          <w:trHeight w:val="300"/>
          <w:jc w:val="center"/>
        </w:trPr>
        <w:tc>
          <w:tcPr>
            <w:tcW w:w="2800" w:type="dxa"/>
            <w:tcBorders>
              <w:top w:val="nil"/>
              <w:left w:val="nil"/>
              <w:bottom w:val="nil"/>
              <w:right w:val="single" w:sz="8" w:space="0" w:color="auto"/>
            </w:tcBorders>
            <w:shd w:val="clear" w:color="auto" w:fill="auto"/>
            <w:noWrap/>
            <w:vAlign w:val="center"/>
            <w:hideMark/>
          </w:tcPr>
          <w:p w14:paraId="42416BF1" w14:textId="77777777" w:rsidR="006F151F" w:rsidRPr="004E74A6" w:rsidRDefault="006F151F" w:rsidP="00832773">
            <w:pPr>
              <w:spacing w:line="276" w:lineRule="auto"/>
              <w:jc w:val="left"/>
              <w:rPr>
                <w:rFonts w:cs="Calibri"/>
                <w:color w:val="2F5496" w:themeColor="accent1" w:themeShade="BF"/>
                <w:sz w:val="20"/>
                <w:lang w:eastAsia="es-CR"/>
              </w:rPr>
            </w:pPr>
            <w:r w:rsidRPr="004E74A6">
              <w:rPr>
                <w:rFonts w:cs="Calibri"/>
                <w:color w:val="2F5496" w:themeColor="accent1" w:themeShade="BF"/>
                <w:sz w:val="20"/>
                <w:lang w:eastAsia="es-CR"/>
              </w:rPr>
              <w:t>De ¢25.000.001 a ¢30.000.000</w:t>
            </w:r>
          </w:p>
        </w:tc>
        <w:tc>
          <w:tcPr>
            <w:tcW w:w="3012" w:type="dxa"/>
            <w:tcBorders>
              <w:top w:val="nil"/>
              <w:left w:val="nil"/>
              <w:bottom w:val="nil"/>
              <w:right w:val="single" w:sz="8" w:space="0" w:color="auto"/>
            </w:tcBorders>
            <w:shd w:val="clear" w:color="auto" w:fill="auto"/>
            <w:noWrap/>
            <w:vAlign w:val="center"/>
            <w:hideMark/>
          </w:tcPr>
          <w:p w14:paraId="0DA60508" w14:textId="77777777" w:rsidR="006F151F" w:rsidRPr="004E74A6" w:rsidRDefault="006F151F" w:rsidP="00832773">
            <w:pPr>
              <w:spacing w:line="276" w:lineRule="auto"/>
              <w:jc w:val="center"/>
              <w:rPr>
                <w:rFonts w:cs="Calibri"/>
                <w:color w:val="2F5496" w:themeColor="accent1" w:themeShade="BF"/>
                <w:sz w:val="20"/>
                <w:lang w:eastAsia="es-CR"/>
              </w:rPr>
            </w:pPr>
            <w:r w:rsidRPr="004E74A6">
              <w:rPr>
                <w:rFonts w:cs="Calibri"/>
                <w:color w:val="2F5496" w:themeColor="accent1" w:themeShade="BF"/>
                <w:sz w:val="20"/>
                <w:lang w:eastAsia="es-CR"/>
              </w:rPr>
              <w:t>19</w:t>
            </w:r>
          </w:p>
        </w:tc>
        <w:tc>
          <w:tcPr>
            <w:tcW w:w="2977" w:type="dxa"/>
            <w:tcBorders>
              <w:top w:val="nil"/>
              <w:left w:val="nil"/>
              <w:bottom w:val="nil"/>
              <w:right w:val="nil"/>
            </w:tcBorders>
            <w:shd w:val="clear" w:color="auto" w:fill="auto"/>
            <w:noWrap/>
            <w:vAlign w:val="bottom"/>
            <w:hideMark/>
          </w:tcPr>
          <w:p w14:paraId="351BBA3B" w14:textId="77777777" w:rsidR="006F151F" w:rsidRPr="004E74A6" w:rsidRDefault="006F151F" w:rsidP="00832773">
            <w:pPr>
              <w:spacing w:line="276" w:lineRule="auto"/>
              <w:jc w:val="center"/>
              <w:rPr>
                <w:rFonts w:cs="Calibri"/>
                <w:color w:val="2F5496" w:themeColor="accent1" w:themeShade="BF"/>
                <w:sz w:val="20"/>
                <w:lang w:eastAsia="es-CR"/>
              </w:rPr>
            </w:pPr>
            <w:r w:rsidRPr="004E74A6">
              <w:rPr>
                <w:rFonts w:cs="Calibri"/>
                <w:color w:val="2F5496" w:themeColor="accent1" w:themeShade="BF"/>
                <w:sz w:val="20"/>
                <w:lang w:eastAsia="es-CR"/>
              </w:rPr>
              <w:t>53%</w:t>
            </w:r>
          </w:p>
        </w:tc>
      </w:tr>
      <w:tr w:rsidR="00AC3E05" w:rsidRPr="004E74A6" w14:paraId="740FE55F" w14:textId="77777777" w:rsidTr="006F151F">
        <w:trPr>
          <w:trHeight w:val="300"/>
          <w:jc w:val="center"/>
        </w:trPr>
        <w:tc>
          <w:tcPr>
            <w:tcW w:w="2800" w:type="dxa"/>
            <w:tcBorders>
              <w:top w:val="nil"/>
              <w:left w:val="nil"/>
              <w:bottom w:val="nil"/>
              <w:right w:val="single" w:sz="8" w:space="0" w:color="auto"/>
            </w:tcBorders>
            <w:shd w:val="clear" w:color="auto" w:fill="auto"/>
            <w:noWrap/>
            <w:vAlign w:val="center"/>
            <w:hideMark/>
          </w:tcPr>
          <w:p w14:paraId="198C9AAB" w14:textId="77777777" w:rsidR="006F151F" w:rsidRPr="004E74A6" w:rsidRDefault="006F151F" w:rsidP="00832773">
            <w:pPr>
              <w:spacing w:line="276" w:lineRule="auto"/>
              <w:jc w:val="left"/>
              <w:rPr>
                <w:rFonts w:cs="Calibri"/>
                <w:color w:val="2F5496" w:themeColor="accent1" w:themeShade="BF"/>
                <w:sz w:val="20"/>
                <w:lang w:eastAsia="es-CR"/>
              </w:rPr>
            </w:pPr>
            <w:r w:rsidRPr="004E74A6">
              <w:rPr>
                <w:rFonts w:cs="Calibri"/>
                <w:color w:val="2F5496" w:themeColor="accent1" w:themeShade="BF"/>
                <w:sz w:val="20"/>
                <w:lang w:eastAsia="es-CR"/>
              </w:rPr>
              <w:t>De ¢30.000.001 a ¢35.000.000</w:t>
            </w:r>
          </w:p>
        </w:tc>
        <w:tc>
          <w:tcPr>
            <w:tcW w:w="3012" w:type="dxa"/>
            <w:tcBorders>
              <w:top w:val="nil"/>
              <w:left w:val="nil"/>
              <w:bottom w:val="nil"/>
              <w:right w:val="single" w:sz="8" w:space="0" w:color="auto"/>
            </w:tcBorders>
            <w:shd w:val="clear" w:color="auto" w:fill="auto"/>
            <w:noWrap/>
            <w:vAlign w:val="center"/>
            <w:hideMark/>
          </w:tcPr>
          <w:p w14:paraId="038616B0" w14:textId="77777777" w:rsidR="006F151F" w:rsidRPr="004E74A6" w:rsidRDefault="006F151F" w:rsidP="00832773">
            <w:pPr>
              <w:spacing w:line="276" w:lineRule="auto"/>
              <w:jc w:val="center"/>
              <w:rPr>
                <w:rFonts w:cs="Calibri"/>
                <w:color w:val="2F5496" w:themeColor="accent1" w:themeShade="BF"/>
                <w:sz w:val="20"/>
                <w:lang w:eastAsia="es-CR"/>
              </w:rPr>
            </w:pPr>
            <w:r w:rsidRPr="004E74A6">
              <w:rPr>
                <w:rFonts w:cs="Calibri"/>
                <w:color w:val="2F5496" w:themeColor="accent1" w:themeShade="BF"/>
                <w:sz w:val="20"/>
                <w:lang w:eastAsia="es-CR"/>
              </w:rPr>
              <w:t>11</w:t>
            </w:r>
          </w:p>
        </w:tc>
        <w:tc>
          <w:tcPr>
            <w:tcW w:w="2977" w:type="dxa"/>
            <w:tcBorders>
              <w:top w:val="nil"/>
              <w:left w:val="nil"/>
              <w:bottom w:val="nil"/>
              <w:right w:val="nil"/>
            </w:tcBorders>
            <w:shd w:val="clear" w:color="auto" w:fill="auto"/>
            <w:noWrap/>
            <w:vAlign w:val="bottom"/>
            <w:hideMark/>
          </w:tcPr>
          <w:p w14:paraId="4A212186" w14:textId="77777777" w:rsidR="006F151F" w:rsidRPr="004E74A6" w:rsidRDefault="006F151F" w:rsidP="00832773">
            <w:pPr>
              <w:spacing w:line="276" w:lineRule="auto"/>
              <w:jc w:val="center"/>
              <w:rPr>
                <w:rFonts w:cs="Calibri"/>
                <w:color w:val="2F5496" w:themeColor="accent1" w:themeShade="BF"/>
                <w:sz w:val="20"/>
                <w:lang w:eastAsia="es-CR"/>
              </w:rPr>
            </w:pPr>
            <w:r w:rsidRPr="004E74A6">
              <w:rPr>
                <w:rFonts w:cs="Calibri"/>
                <w:color w:val="2F5496" w:themeColor="accent1" w:themeShade="BF"/>
                <w:sz w:val="20"/>
                <w:lang w:eastAsia="es-CR"/>
              </w:rPr>
              <w:t>56%</w:t>
            </w:r>
          </w:p>
        </w:tc>
      </w:tr>
      <w:tr w:rsidR="00AC3E05" w:rsidRPr="004E74A6" w14:paraId="4D67269F" w14:textId="77777777" w:rsidTr="006F151F">
        <w:trPr>
          <w:trHeight w:val="300"/>
          <w:jc w:val="center"/>
        </w:trPr>
        <w:tc>
          <w:tcPr>
            <w:tcW w:w="2800" w:type="dxa"/>
            <w:tcBorders>
              <w:top w:val="nil"/>
              <w:left w:val="nil"/>
              <w:bottom w:val="nil"/>
              <w:right w:val="single" w:sz="8" w:space="0" w:color="auto"/>
            </w:tcBorders>
            <w:shd w:val="clear" w:color="auto" w:fill="auto"/>
            <w:noWrap/>
            <w:vAlign w:val="center"/>
            <w:hideMark/>
          </w:tcPr>
          <w:p w14:paraId="20DF6998" w14:textId="77777777" w:rsidR="006F151F" w:rsidRPr="004E74A6" w:rsidRDefault="006F151F" w:rsidP="00832773">
            <w:pPr>
              <w:spacing w:line="276" w:lineRule="auto"/>
              <w:jc w:val="left"/>
              <w:rPr>
                <w:rFonts w:cs="Calibri"/>
                <w:color w:val="2F5496" w:themeColor="accent1" w:themeShade="BF"/>
                <w:sz w:val="20"/>
                <w:lang w:eastAsia="es-CR"/>
              </w:rPr>
            </w:pPr>
            <w:r w:rsidRPr="004E74A6">
              <w:rPr>
                <w:rFonts w:cs="Calibri"/>
                <w:color w:val="2F5496" w:themeColor="accent1" w:themeShade="BF"/>
                <w:sz w:val="20"/>
                <w:lang w:eastAsia="es-CR"/>
              </w:rPr>
              <w:t>De ¢35.000.001 a ¢40.000.000</w:t>
            </w:r>
          </w:p>
        </w:tc>
        <w:tc>
          <w:tcPr>
            <w:tcW w:w="3012" w:type="dxa"/>
            <w:tcBorders>
              <w:top w:val="nil"/>
              <w:left w:val="nil"/>
              <w:bottom w:val="nil"/>
              <w:right w:val="single" w:sz="8" w:space="0" w:color="auto"/>
            </w:tcBorders>
            <w:shd w:val="clear" w:color="auto" w:fill="auto"/>
            <w:noWrap/>
            <w:vAlign w:val="center"/>
            <w:hideMark/>
          </w:tcPr>
          <w:p w14:paraId="29B33CCF" w14:textId="77777777" w:rsidR="006F151F" w:rsidRPr="004E74A6" w:rsidRDefault="006F151F" w:rsidP="00832773">
            <w:pPr>
              <w:spacing w:line="276" w:lineRule="auto"/>
              <w:jc w:val="center"/>
              <w:rPr>
                <w:rFonts w:cs="Calibri"/>
                <w:color w:val="2F5496" w:themeColor="accent1" w:themeShade="BF"/>
                <w:sz w:val="20"/>
                <w:lang w:eastAsia="es-CR"/>
              </w:rPr>
            </w:pPr>
            <w:r w:rsidRPr="004E74A6">
              <w:rPr>
                <w:rFonts w:cs="Calibri"/>
                <w:color w:val="2F5496" w:themeColor="accent1" w:themeShade="BF"/>
                <w:sz w:val="20"/>
                <w:lang w:eastAsia="es-CR"/>
              </w:rPr>
              <w:t>16</w:t>
            </w:r>
          </w:p>
        </w:tc>
        <w:tc>
          <w:tcPr>
            <w:tcW w:w="2977" w:type="dxa"/>
            <w:tcBorders>
              <w:top w:val="nil"/>
              <w:left w:val="nil"/>
              <w:bottom w:val="nil"/>
              <w:right w:val="nil"/>
            </w:tcBorders>
            <w:shd w:val="clear" w:color="auto" w:fill="auto"/>
            <w:noWrap/>
            <w:vAlign w:val="bottom"/>
            <w:hideMark/>
          </w:tcPr>
          <w:p w14:paraId="5C308B91" w14:textId="77777777" w:rsidR="006F151F" w:rsidRPr="004E74A6" w:rsidRDefault="006F151F" w:rsidP="00832773">
            <w:pPr>
              <w:spacing w:line="276" w:lineRule="auto"/>
              <w:jc w:val="center"/>
              <w:rPr>
                <w:rFonts w:cs="Calibri"/>
                <w:color w:val="2F5496" w:themeColor="accent1" w:themeShade="BF"/>
                <w:sz w:val="20"/>
                <w:lang w:eastAsia="es-CR"/>
              </w:rPr>
            </w:pPr>
            <w:r w:rsidRPr="004E74A6">
              <w:rPr>
                <w:rFonts w:cs="Calibri"/>
                <w:color w:val="2F5496" w:themeColor="accent1" w:themeShade="BF"/>
                <w:sz w:val="20"/>
                <w:lang w:eastAsia="es-CR"/>
              </w:rPr>
              <w:t>60%</w:t>
            </w:r>
          </w:p>
        </w:tc>
      </w:tr>
      <w:tr w:rsidR="00AC3E05" w:rsidRPr="004E74A6" w14:paraId="09977648" w14:textId="77777777" w:rsidTr="006F151F">
        <w:trPr>
          <w:trHeight w:val="300"/>
          <w:jc w:val="center"/>
        </w:trPr>
        <w:tc>
          <w:tcPr>
            <w:tcW w:w="2800" w:type="dxa"/>
            <w:tcBorders>
              <w:top w:val="nil"/>
              <w:left w:val="nil"/>
              <w:bottom w:val="nil"/>
              <w:right w:val="single" w:sz="8" w:space="0" w:color="auto"/>
            </w:tcBorders>
            <w:shd w:val="clear" w:color="auto" w:fill="auto"/>
            <w:noWrap/>
            <w:vAlign w:val="center"/>
            <w:hideMark/>
          </w:tcPr>
          <w:p w14:paraId="09417FA7" w14:textId="77777777" w:rsidR="006F151F" w:rsidRPr="004E74A6" w:rsidRDefault="006F151F" w:rsidP="00832773">
            <w:pPr>
              <w:spacing w:line="276" w:lineRule="auto"/>
              <w:jc w:val="left"/>
              <w:rPr>
                <w:rFonts w:cs="Calibri"/>
                <w:color w:val="2F5496" w:themeColor="accent1" w:themeShade="BF"/>
                <w:sz w:val="20"/>
                <w:lang w:eastAsia="es-CR"/>
              </w:rPr>
            </w:pPr>
            <w:r w:rsidRPr="004E74A6">
              <w:rPr>
                <w:rFonts w:cs="Calibri"/>
                <w:color w:val="2F5496" w:themeColor="accent1" w:themeShade="BF"/>
                <w:sz w:val="20"/>
                <w:lang w:eastAsia="es-CR"/>
              </w:rPr>
              <w:t>De ¢40.000.001 a ¢45.000.000</w:t>
            </w:r>
          </w:p>
        </w:tc>
        <w:tc>
          <w:tcPr>
            <w:tcW w:w="3012" w:type="dxa"/>
            <w:tcBorders>
              <w:top w:val="nil"/>
              <w:left w:val="nil"/>
              <w:bottom w:val="nil"/>
              <w:right w:val="single" w:sz="8" w:space="0" w:color="auto"/>
            </w:tcBorders>
            <w:shd w:val="clear" w:color="auto" w:fill="auto"/>
            <w:noWrap/>
            <w:vAlign w:val="center"/>
            <w:hideMark/>
          </w:tcPr>
          <w:p w14:paraId="1DB29B81" w14:textId="77777777" w:rsidR="006F151F" w:rsidRPr="004E74A6" w:rsidRDefault="006F151F" w:rsidP="00832773">
            <w:pPr>
              <w:spacing w:line="276" w:lineRule="auto"/>
              <w:jc w:val="center"/>
              <w:rPr>
                <w:rFonts w:cs="Calibri"/>
                <w:color w:val="2F5496" w:themeColor="accent1" w:themeShade="BF"/>
                <w:sz w:val="20"/>
                <w:lang w:eastAsia="es-CR"/>
              </w:rPr>
            </w:pPr>
            <w:r w:rsidRPr="004E74A6">
              <w:rPr>
                <w:rFonts w:cs="Calibri"/>
                <w:color w:val="2F5496" w:themeColor="accent1" w:themeShade="BF"/>
                <w:sz w:val="20"/>
                <w:lang w:eastAsia="es-CR"/>
              </w:rPr>
              <w:t>5</w:t>
            </w:r>
          </w:p>
        </w:tc>
        <w:tc>
          <w:tcPr>
            <w:tcW w:w="2977" w:type="dxa"/>
            <w:tcBorders>
              <w:top w:val="nil"/>
              <w:left w:val="nil"/>
              <w:bottom w:val="nil"/>
              <w:right w:val="nil"/>
            </w:tcBorders>
            <w:shd w:val="clear" w:color="auto" w:fill="auto"/>
            <w:noWrap/>
            <w:vAlign w:val="bottom"/>
            <w:hideMark/>
          </w:tcPr>
          <w:p w14:paraId="68045756" w14:textId="77777777" w:rsidR="006F151F" w:rsidRPr="004E74A6" w:rsidRDefault="006F151F" w:rsidP="00832773">
            <w:pPr>
              <w:spacing w:line="276" w:lineRule="auto"/>
              <w:jc w:val="center"/>
              <w:rPr>
                <w:rFonts w:cs="Calibri"/>
                <w:color w:val="2F5496" w:themeColor="accent1" w:themeShade="BF"/>
                <w:sz w:val="20"/>
                <w:lang w:eastAsia="es-CR"/>
              </w:rPr>
            </w:pPr>
            <w:r w:rsidRPr="004E74A6">
              <w:rPr>
                <w:rFonts w:cs="Calibri"/>
                <w:color w:val="2F5496" w:themeColor="accent1" w:themeShade="BF"/>
                <w:sz w:val="20"/>
                <w:lang w:eastAsia="es-CR"/>
              </w:rPr>
              <w:t>62%</w:t>
            </w:r>
          </w:p>
        </w:tc>
      </w:tr>
      <w:tr w:rsidR="00AC3E05" w:rsidRPr="004E74A6" w14:paraId="68B61A23" w14:textId="77777777" w:rsidTr="006F151F">
        <w:trPr>
          <w:trHeight w:val="300"/>
          <w:jc w:val="center"/>
        </w:trPr>
        <w:tc>
          <w:tcPr>
            <w:tcW w:w="2800" w:type="dxa"/>
            <w:tcBorders>
              <w:top w:val="nil"/>
              <w:left w:val="nil"/>
              <w:bottom w:val="nil"/>
              <w:right w:val="single" w:sz="8" w:space="0" w:color="auto"/>
            </w:tcBorders>
            <w:shd w:val="clear" w:color="auto" w:fill="auto"/>
            <w:noWrap/>
            <w:vAlign w:val="center"/>
            <w:hideMark/>
          </w:tcPr>
          <w:p w14:paraId="12A15B2F" w14:textId="77777777" w:rsidR="006F151F" w:rsidRPr="004E74A6" w:rsidRDefault="006F151F" w:rsidP="00832773">
            <w:pPr>
              <w:spacing w:line="276" w:lineRule="auto"/>
              <w:jc w:val="left"/>
              <w:rPr>
                <w:rFonts w:cs="Calibri"/>
                <w:color w:val="2F5496" w:themeColor="accent1" w:themeShade="BF"/>
                <w:sz w:val="20"/>
                <w:lang w:eastAsia="es-CR"/>
              </w:rPr>
            </w:pPr>
            <w:r w:rsidRPr="004E74A6">
              <w:rPr>
                <w:rFonts w:cs="Calibri"/>
                <w:color w:val="2F5496" w:themeColor="accent1" w:themeShade="BF"/>
                <w:sz w:val="20"/>
                <w:lang w:eastAsia="es-CR"/>
              </w:rPr>
              <w:t>De ¢45.000.001 a ¢50.000.000</w:t>
            </w:r>
          </w:p>
        </w:tc>
        <w:tc>
          <w:tcPr>
            <w:tcW w:w="3012" w:type="dxa"/>
            <w:tcBorders>
              <w:top w:val="nil"/>
              <w:left w:val="nil"/>
              <w:bottom w:val="nil"/>
              <w:right w:val="single" w:sz="8" w:space="0" w:color="auto"/>
            </w:tcBorders>
            <w:shd w:val="clear" w:color="auto" w:fill="auto"/>
            <w:noWrap/>
            <w:vAlign w:val="center"/>
            <w:hideMark/>
          </w:tcPr>
          <w:p w14:paraId="0F693FBF" w14:textId="77777777" w:rsidR="006F151F" w:rsidRPr="004E74A6" w:rsidRDefault="006F151F" w:rsidP="00832773">
            <w:pPr>
              <w:spacing w:line="276" w:lineRule="auto"/>
              <w:jc w:val="center"/>
              <w:rPr>
                <w:rFonts w:cs="Calibri"/>
                <w:color w:val="2F5496" w:themeColor="accent1" w:themeShade="BF"/>
                <w:sz w:val="20"/>
                <w:lang w:eastAsia="es-CR"/>
              </w:rPr>
            </w:pPr>
            <w:r w:rsidRPr="004E74A6">
              <w:rPr>
                <w:rFonts w:cs="Calibri"/>
                <w:color w:val="2F5496" w:themeColor="accent1" w:themeShade="BF"/>
                <w:sz w:val="20"/>
                <w:lang w:eastAsia="es-CR"/>
              </w:rPr>
              <w:t>14</w:t>
            </w:r>
          </w:p>
        </w:tc>
        <w:tc>
          <w:tcPr>
            <w:tcW w:w="2977" w:type="dxa"/>
            <w:tcBorders>
              <w:top w:val="nil"/>
              <w:left w:val="nil"/>
              <w:bottom w:val="nil"/>
              <w:right w:val="nil"/>
            </w:tcBorders>
            <w:shd w:val="clear" w:color="auto" w:fill="auto"/>
            <w:noWrap/>
            <w:vAlign w:val="bottom"/>
            <w:hideMark/>
          </w:tcPr>
          <w:p w14:paraId="53BF308B" w14:textId="77777777" w:rsidR="006F151F" w:rsidRPr="004E74A6" w:rsidRDefault="006F151F" w:rsidP="00832773">
            <w:pPr>
              <w:spacing w:line="276" w:lineRule="auto"/>
              <w:jc w:val="center"/>
              <w:rPr>
                <w:rFonts w:cs="Calibri"/>
                <w:color w:val="2F5496" w:themeColor="accent1" w:themeShade="BF"/>
                <w:sz w:val="20"/>
                <w:lang w:eastAsia="es-CR"/>
              </w:rPr>
            </w:pPr>
            <w:r w:rsidRPr="004E74A6">
              <w:rPr>
                <w:rFonts w:cs="Calibri"/>
                <w:color w:val="2F5496" w:themeColor="accent1" w:themeShade="BF"/>
                <w:sz w:val="20"/>
                <w:lang w:eastAsia="es-CR"/>
              </w:rPr>
              <w:t>66%</w:t>
            </w:r>
          </w:p>
        </w:tc>
      </w:tr>
      <w:tr w:rsidR="00AC3E05" w:rsidRPr="004E74A6" w14:paraId="1818AA88" w14:textId="77777777" w:rsidTr="006F151F">
        <w:trPr>
          <w:trHeight w:val="300"/>
          <w:jc w:val="center"/>
        </w:trPr>
        <w:tc>
          <w:tcPr>
            <w:tcW w:w="2800" w:type="dxa"/>
            <w:tcBorders>
              <w:top w:val="nil"/>
              <w:left w:val="nil"/>
              <w:bottom w:val="nil"/>
              <w:right w:val="single" w:sz="8" w:space="0" w:color="auto"/>
            </w:tcBorders>
            <w:shd w:val="clear" w:color="auto" w:fill="auto"/>
            <w:noWrap/>
            <w:vAlign w:val="center"/>
            <w:hideMark/>
          </w:tcPr>
          <w:p w14:paraId="2D15A228" w14:textId="77777777" w:rsidR="006F151F" w:rsidRPr="004E74A6" w:rsidRDefault="006F151F" w:rsidP="00832773">
            <w:pPr>
              <w:spacing w:line="276" w:lineRule="auto"/>
              <w:jc w:val="left"/>
              <w:rPr>
                <w:rFonts w:cs="Calibri"/>
                <w:color w:val="2F5496" w:themeColor="accent1" w:themeShade="BF"/>
                <w:sz w:val="20"/>
                <w:lang w:eastAsia="es-CR"/>
              </w:rPr>
            </w:pPr>
            <w:r w:rsidRPr="004E74A6">
              <w:rPr>
                <w:rFonts w:cs="Calibri"/>
                <w:color w:val="2F5496" w:themeColor="accent1" w:themeShade="BF"/>
                <w:sz w:val="20"/>
                <w:lang w:eastAsia="es-CR"/>
              </w:rPr>
              <w:t>De ¢50.000.001 a ¢55.000.000</w:t>
            </w:r>
          </w:p>
        </w:tc>
        <w:tc>
          <w:tcPr>
            <w:tcW w:w="3012" w:type="dxa"/>
            <w:tcBorders>
              <w:top w:val="nil"/>
              <w:left w:val="nil"/>
              <w:bottom w:val="nil"/>
              <w:right w:val="single" w:sz="8" w:space="0" w:color="auto"/>
            </w:tcBorders>
            <w:shd w:val="clear" w:color="auto" w:fill="auto"/>
            <w:noWrap/>
            <w:vAlign w:val="center"/>
            <w:hideMark/>
          </w:tcPr>
          <w:p w14:paraId="2A528FF0" w14:textId="77777777" w:rsidR="006F151F" w:rsidRPr="004E74A6" w:rsidRDefault="006F151F" w:rsidP="00832773">
            <w:pPr>
              <w:spacing w:line="276" w:lineRule="auto"/>
              <w:jc w:val="center"/>
              <w:rPr>
                <w:rFonts w:cs="Calibri"/>
                <w:color w:val="2F5496" w:themeColor="accent1" w:themeShade="BF"/>
                <w:sz w:val="20"/>
                <w:lang w:eastAsia="es-CR"/>
              </w:rPr>
            </w:pPr>
            <w:r w:rsidRPr="004E74A6">
              <w:rPr>
                <w:rFonts w:cs="Calibri"/>
                <w:color w:val="2F5496" w:themeColor="accent1" w:themeShade="BF"/>
                <w:sz w:val="20"/>
                <w:lang w:eastAsia="es-CR"/>
              </w:rPr>
              <w:t>6</w:t>
            </w:r>
          </w:p>
        </w:tc>
        <w:tc>
          <w:tcPr>
            <w:tcW w:w="2977" w:type="dxa"/>
            <w:tcBorders>
              <w:top w:val="nil"/>
              <w:left w:val="nil"/>
              <w:bottom w:val="nil"/>
              <w:right w:val="nil"/>
            </w:tcBorders>
            <w:shd w:val="clear" w:color="auto" w:fill="auto"/>
            <w:noWrap/>
            <w:vAlign w:val="bottom"/>
            <w:hideMark/>
          </w:tcPr>
          <w:p w14:paraId="3C68B5F1" w14:textId="77777777" w:rsidR="006F151F" w:rsidRPr="004E74A6" w:rsidRDefault="006F151F" w:rsidP="00832773">
            <w:pPr>
              <w:spacing w:line="276" w:lineRule="auto"/>
              <w:jc w:val="center"/>
              <w:rPr>
                <w:rFonts w:cs="Calibri"/>
                <w:color w:val="2F5496" w:themeColor="accent1" w:themeShade="BF"/>
                <w:sz w:val="20"/>
                <w:lang w:eastAsia="es-CR"/>
              </w:rPr>
            </w:pPr>
            <w:r w:rsidRPr="004E74A6">
              <w:rPr>
                <w:rFonts w:cs="Calibri"/>
                <w:color w:val="2F5496" w:themeColor="accent1" w:themeShade="BF"/>
                <w:sz w:val="20"/>
                <w:lang w:eastAsia="es-CR"/>
              </w:rPr>
              <w:t>67%</w:t>
            </w:r>
          </w:p>
        </w:tc>
      </w:tr>
      <w:tr w:rsidR="00AC3E05" w:rsidRPr="004E74A6" w14:paraId="6C8A32D5" w14:textId="77777777" w:rsidTr="006F151F">
        <w:trPr>
          <w:trHeight w:val="300"/>
          <w:jc w:val="center"/>
        </w:trPr>
        <w:tc>
          <w:tcPr>
            <w:tcW w:w="2800" w:type="dxa"/>
            <w:tcBorders>
              <w:top w:val="nil"/>
              <w:left w:val="nil"/>
              <w:bottom w:val="nil"/>
              <w:right w:val="single" w:sz="8" w:space="0" w:color="auto"/>
            </w:tcBorders>
            <w:shd w:val="clear" w:color="auto" w:fill="auto"/>
            <w:noWrap/>
            <w:vAlign w:val="center"/>
            <w:hideMark/>
          </w:tcPr>
          <w:p w14:paraId="0552DDEE" w14:textId="77777777" w:rsidR="006F151F" w:rsidRPr="004E74A6" w:rsidRDefault="006F151F" w:rsidP="00832773">
            <w:pPr>
              <w:spacing w:line="276" w:lineRule="auto"/>
              <w:jc w:val="left"/>
              <w:rPr>
                <w:rFonts w:cs="Calibri"/>
                <w:color w:val="2F5496" w:themeColor="accent1" w:themeShade="BF"/>
                <w:sz w:val="20"/>
                <w:lang w:eastAsia="es-CR"/>
              </w:rPr>
            </w:pPr>
            <w:r w:rsidRPr="004E74A6">
              <w:rPr>
                <w:rFonts w:cs="Calibri"/>
                <w:color w:val="2F5496" w:themeColor="accent1" w:themeShade="BF"/>
                <w:sz w:val="20"/>
                <w:lang w:eastAsia="es-CR"/>
              </w:rPr>
              <w:t>De ¢55.000.001 a ¢60.000.000</w:t>
            </w:r>
          </w:p>
        </w:tc>
        <w:tc>
          <w:tcPr>
            <w:tcW w:w="3012" w:type="dxa"/>
            <w:tcBorders>
              <w:top w:val="nil"/>
              <w:left w:val="nil"/>
              <w:bottom w:val="nil"/>
              <w:right w:val="single" w:sz="8" w:space="0" w:color="auto"/>
            </w:tcBorders>
            <w:shd w:val="clear" w:color="auto" w:fill="auto"/>
            <w:noWrap/>
            <w:vAlign w:val="center"/>
            <w:hideMark/>
          </w:tcPr>
          <w:p w14:paraId="39B9BFE4" w14:textId="77777777" w:rsidR="006F151F" w:rsidRPr="004E74A6" w:rsidRDefault="006F151F" w:rsidP="00832773">
            <w:pPr>
              <w:spacing w:line="276" w:lineRule="auto"/>
              <w:jc w:val="center"/>
              <w:rPr>
                <w:rFonts w:cs="Calibri"/>
                <w:color w:val="2F5496" w:themeColor="accent1" w:themeShade="BF"/>
                <w:sz w:val="20"/>
                <w:lang w:eastAsia="es-CR"/>
              </w:rPr>
            </w:pPr>
            <w:r w:rsidRPr="004E74A6">
              <w:rPr>
                <w:rFonts w:cs="Calibri"/>
                <w:color w:val="2F5496" w:themeColor="accent1" w:themeShade="BF"/>
                <w:sz w:val="20"/>
                <w:lang w:eastAsia="es-CR"/>
              </w:rPr>
              <w:t>8</w:t>
            </w:r>
          </w:p>
        </w:tc>
        <w:tc>
          <w:tcPr>
            <w:tcW w:w="2977" w:type="dxa"/>
            <w:tcBorders>
              <w:top w:val="nil"/>
              <w:left w:val="nil"/>
              <w:bottom w:val="nil"/>
              <w:right w:val="nil"/>
            </w:tcBorders>
            <w:shd w:val="clear" w:color="auto" w:fill="auto"/>
            <w:noWrap/>
            <w:vAlign w:val="bottom"/>
            <w:hideMark/>
          </w:tcPr>
          <w:p w14:paraId="26036D70" w14:textId="77777777" w:rsidR="006F151F" w:rsidRPr="004E74A6" w:rsidRDefault="006F151F" w:rsidP="00832773">
            <w:pPr>
              <w:spacing w:line="276" w:lineRule="auto"/>
              <w:jc w:val="center"/>
              <w:rPr>
                <w:rFonts w:cs="Calibri"/>
                <w:color w:val="2F5496" w:themeColor="accent1" w:themeShade="BF"/>
                <w:sz w:val="20"/>
                <w:lang w:eastAsia="es-CR"/>
              </w:rPr>
            </w:pPr>
            <w:r w:rsidRPr="004E74A6">
              <w:rPr>
                <w:rFonts w:cs="Calibri"/>
                <w:color w:val="2F5496" w:themeColor="accent1" w:themeShade="BF"/>
                <w:sz w:val="20"/>
                <w:lang w:eastAsia="es-CR"/>
              </w:rPr>
              <w:t>70%</w:t>
            </w:r>
          </w:p>
        </w:tc>
      </w:tr>
      <w:tr w:rsidR="00AC3E05" w:rsidRPr="004E74A6" w14:paraId="59D7E336" w14:textId="77777777" w:rsidTr="006F151F">
        <w:trPr>
          <w:trHeight w:val="300"/>
          <w:jc w:val="center"/>
        </w:trPr>
        <w:tc>
          <w:tcPr>
            <w:tcW w:w="2800" w:type="dxa"/>
            <w:tcBorders>
              <w:top w:val="nil"/>
              <w:left w:val="nil"/>
              <w:bottom w:val="nil"/>
              <w:right w:val="single" w:sz="8" w:space="0" w:color="auto"/>
            </w:tcBorders>
            <w:shd w:val="clear" w:color="auto" w:fill="auto"/>
            <w:noWrap/>
            <w:vAlign w:val="center"/>
            <w:hideMark/>
          </w:tcPr>
          <w:p w14:paraId="0CCD0AB8" w14:textId="77777777" w:rsidR="006F151F" w:rsidRPr="004E74A6" w:rsidRDefault="006F151F" w:rsidP="00832773">
            <w:pPr>
              <w:spacing w:line="276" w:lineRule="auto"/>
              <w:jc w:val="left"/>
              <w:rPr>
                <w:rFonts w:cs="Calibri"/>
                <w:color w:val="2F5496" w:themeColor="accent1" w:themeShade="BF"/>
                <w:sz w:val="20"/>
                <w:lang w:eastAsia="es-CR"/>
              </w:rPr>
            </w:pPr>
            <w:r w:rsidRPr="004E74A6">
              <w:rPr>
                <w:rFonts w:cs="Calibri"/>
                <w:color w:val="2F5496" w:themeColor="accent1" w:themeShade="BF"/>
                <w:sz w:val="20"/>
                <w:lang w:eastAsia="es-CR"/>
              </w:rPr>
              <w:t>De ¢60.000.001 a ¢65.000.000</w:t>
            </w:r>
          </w:p>
        </w:tc>
        <w:tc>
          <w:tcPr>
            <w:tcW w:w="3012" w:type="dxa"/>
            <w:tcBorders>
              <w:top w:val="nil"/>
              <w:left w:val="nil"/>
              <w:bottom w:val="nil"/>
              <w:right w:val="single" w:sz="8" w:space="0" w:color="auto"/>
            </w:tcBorders>
            <w:shd w:val="clear" w:color="auto" w:fill="auto"/>
            <w:noWrap/>
            <w:vAlign w:val="center"/>
            <w:hideMark/>
          </w:tcPr>
          <w:p w14:paraId="5210843E" w14:textId="77777777" w:rsidR="006F151F" w:rsidRPr="004E74A6" w:rsidRDefault="006F151F" w:rsidP="00832773">
            <w:pPr>
              <w:spacing w:line="276" w:lineRule="auto"/>
              <w:jc w:val="center"/>
              <w:rPr>
                <w:rFonts w:cs="Calibri"/>
                <w:color w:val="2F5496" w:themeColor="accent1" w:themeShade="BF"/>
                <w:sz w:val="20"/>
                <w:lang w:eastAsia="es-CR"/>
              </w:rPr>
            </w:pPr>
            <w:r w:rsidRPr="004E74A6">
              <w:rPr>
                <w:rFonts w:cs="Calibri"/>
                <w:color w:val="2F5496" w:themeColor="accent1" w:themeShade="BF"/>
                <w:sz w:val="20"/>
                <w:lang w:eastAsia="es-CR"/>
              </w:rPr>
              <w:t>3</w:t>
            </w:r>
          </w:p>
        </w:tc>
        <w:tc>
          <w:tcPr>
            <w:tcW w:w="2977" w:type="dxa"/>
            <w:tcBorders>
              <w:top w:val="nil"/>
              <w:left w:val="nil"/>
              <w:bottom w:val="nil"/>
              <w:right w:val="nil"/>
            </w:tcBorders>
            <w:shd w:val="clear" w:color="auto" w:fill="auto"/>
            <w:noWrap/>
            <w:vAlign w:val="bottom"/>
            <w:hideMark/>
          </w:tcPr>
          <w:p w14:paraId="5EAE2540" w14:textId="77777777" w:rsidR="006F151F" w:rsidRPr="004E74A6" w:rsidRDefault="006F151F" w:rsidP="00832773">
            <w:pPr>
              <w:spacing w:line="276" w:lineRule="auto"/>
              <w:jc w:val="center"/>
              <w:rPr>
                <w:rFonts w:cs="Calibri"/>
                <w:color w:val="2F5496" w:themeColor="accent1" w:themeShade="BF"/>
                <w:sz w:val="20"/>
                <w:lang w:eastAsia="es-CR"/>
              </w:rPr>
            </w:pPr>
            <w:r w:rsidRPr="004E74A6">
              <w:rPr>
                <w:rFonts w:cs="Calibri"/>
                <w:color w:val="2F5496" w:themeColor="accent1" w:themeShade="BF"/>
                <w:sz w:val="20"/>
                <w:lang w:eastAsia="es-CR"/>
              </w:rPr>
              <w:t>70%</w:t>
            </w:r>
          </w:p>
        </w:tc>
      </w:tr>
      <w:tr w:rsidR="00AC3E05" w:rsidRPr="004E74A6" w14:paraId="77D5F423" w14:textId="77777777" w:rsidTr="006F151F">
        <w:trPr>
          <w:trHeight w:val="300"/>
          <w:jc w:val="center"/>
        </w:trPr>
        <w:tc>
          <w:tcPr>
            <w:tcW w:w="2800" w:type="dxa"/>
            <w:tcBorders>
              <w:top w:val="nil"/>
              <w:left w:val="nil"/>
              <w:bottom w:val="nil"/>
              <w:right w:val="single" w:sz="8" w:space="0" w:color="auto"/>
            </w:tcBorders>
            <w:shd w:val="clear" w:color="auto" w:fill="auto"/>
            <w:noWrap/>
            <w:vAlign w:val="center"/>
            <w:hideMark/>
          </w:tcPr>
          <w:p w14:paraId="4A347C16" w14:textId="77777777" w:rsidR="006F151F" w:rsidRPr="004E74A6" w:rsidRDefault="006F151F" w:rsidP="00832773">
            <w:pPr>
              <w:spacing w:line="276" w:lineRule="auto"/>
              <w:jc w:val="left"/>
              <w:rPr>
                <w:rFonts w:cs="Calibri"/>
                <w:color w:val="2F5496" w:themeColor="accent1" w:themeShade="BF"/>
                <w:sz w:val="20"/>
                <w:lang w:eastAsia="es-CR"/>
              </w:rPr>
            </w:pPr>
            <w:r w:rsidRPr="004E74A6">
              <w:rPr>
                <w:rFonts w:cs="Calibri"/>
                <w:color w:val="2F5496" w:themeColor="accent1" w:themeShade="BF"/>
                <w:sz w:val="20"/>
                <w:lang w:eastAsia="es-CR"/>
              </w:rPr>
              <w:t>De ¢65.000.001 a ¢70.000.000</w:t>
            </w:r>
          </w:p>
        </w:tc>
        <w:tc>
          <w:tcPr>
            <w:tcW w:w="3012" w:type="dxa"/>
            <w:tcBorders>
              <w:top w:val="nil"/>
              <w:left w:val="nil"/>
              <w:bottom w:val="nil"/>
              <w:right w:val="single" w:sz="8" w:space="0" w:color="auto"/>
            </w:tcBorders>
            <w:shd w:val="clear" w:color="auto" w:fill="auto"/>
            <w:noWrap/>
            <w:vAlign w:val="center"/>
            <w:hideMark/>
          </w:tcPr>
          <w:p w14:paraId="54E113E5" w14:textId="77777777" w:rsidR="006F151F" w:rsidRPr="004E74A6" w:rsidRDefault="006F151F" w:rsidP="00832773">
            <w:pPr>
              <w:spacing w:line="276" w:lineRule="auto"/>
              <w:jc w:val="center"/>
              <w:rPr>
                <w:rFonts w:cs="Calibri"/>
                <w:color w:val="2F5496" w:themeColor="accent1" w:themeShade="BF"/>
                <w:sz w:val="20"/>
                <w:lang w:eastAsia="es-CR"/>
              </w:rPr>
            </w:pPr>
            <w:r w:rsidRPr="004E74A6">
              <w:rPr>
                <w:rFonts w:cs="Calibri"/>
                <w:color w:val="2F5496" w:themeColor="accent1" w:themeShade="BF"/>
                <w:sz w:val="20"/>
                <w:lang w:eastAsia="es-CR"/>
              </w:rPr>
              <w:t>4</w:t>
            </w:r>
          </w:p>
        </w:tc>
        <w:tc>
          <w:tcPr>
            <w:tcW w:w="2977" w:type="dxa"/>
            <w:tcBorders>
              <w:top w:val="nil"/>
              <w:left w:val="nil"/>
              <w:bottom w:val="nil"/>
              <w:right w:val="nil"/>
            </w:tcBorders>
            <w:shd w:val="clear" w:color="auto" w:fill="auto"/>
            <w:noWrap/>
            <w:vAlign w:val="bottom"/>
            <w:hideMark/>
          </w:tcPr>
          <w:p w14:paraId="59C50ECF" w14:textId="77777777" w:rsidR="006F151F" w:rsidRPr="004E74A6" w:rsidRDefault="006F151F" w:rsidP="00832773">
            <w:pPr>
              <w:spacing w:line="276" w:lineRule="auto"/>
              <w:jc w:val="center"/>
              <w:rPr>
                <w:rFonts w:cs="Calibri"/>
                <w:color w:val="2F5496" w:themeColor="accent1" w:themeShade="BF"/>
                <w:sz w:val="20"/>
                <w:lang w:eastAsia="es-CR"/>
              </w:rPr>
            </w:pPr>
            <w:r w:rsidRPr="004E74A6">
              <w:rPr>
                <w:rFonts w:cs="Calibri"/>
                <w:color w:val="2F5496" w:themeColor="accent1" w:themeShade="BF"/>
                <w:sz w:val="20"/>
                <w:lang w:eastAsia="es-CR"/>
              </w:rPr>
              <w:t>72%</w:t>
            </w:r>
          </w:p>
        </w:tc>
      </w:tr>
      <w:tr w:rsidR="00AC3E05" w:rsidRPr="004E74A6" w14:paraId="602BC7F6" w14:textId="77777777" w:rsidTr="006F151F">
        <w:trPr>
          <w:trHeight w:val="300"/>
          <w:jc w:val="center"/>
        </w:trPr>
        <w:tc>
          <w:tcPr>
            <w:tcW w:w="2800" w:type="dxa"/>
            <w:tcBorders>
              <w:top w:val="nil"/>
              <w:left w:val="nil"/>
              <w:bottom w:val="nil"/>
              <w:right w:val="single" w:sz="8" w:space="0" w:color="auto"/>
            </w:tcBorders>
            <w:shd w:val="clear" w:color="auto" w:fill="auto"/>
            <w:noWrap/>
            <w:vAlign w:val="center"/>
            <w:hideMark/>
          </w:tcPr>
          <w:p w14:paraId="6603D3DB" w14:textId="77777777" w:rsidR="006F151F" w:rsidRPr="004E74A6" w:rsidRDefault="006F151F" w:rsidP="00832773">
            <w:pPr>
              <w:spacing w:line="276" w:lineRule="auto"/>
              <w:jc w:val="left"/>
              <w:rPr>
                <w:rFonts w:cs="Calibri"/>
                <w:color w:val="2F5496" w:themeColor="accent1" w:themeShade="BF"/>
                <w:sz w:val="20"/>
                <w:lang w:eastAsia="es-CR"/>
              </w:rPr>
            </w:pPr>
            <w:r w:rsidRPr="004E74A6">
              <w:rPr>
                <w:rFonts w:cs="Calibri"/>
                <w:color w:val="2F5496" w:themeColor="accent1" w:themeShade="BF"/>
                <w:sz w:val="20"/>
                <w:lang w:eastAsia="es-CR"/>
              </w:rPr>
              <w:t>De ¢70.000.001 a ¢75.000.000</w:t>
            </w:r>
          </w:p>
        </w:tc>
        <w:tc>
          <w:tcPr>
            <w:tcW w:w="3012" w:type="dxa"/>
            <w:tcBorders>
              <w:top w:val="nil"/>
              <w:left w:val="nil"/>
              <w:bottom w:val="nil"/>
              <w:right w:val="single" w:sz="8" w:space="0" w:color="auto"/>
            </w:tcBorders>
            <w:shd w:val="clear" w:color="auto" w:fill="auto"/>
            <w:noWrap/>
            <w:vAlign w:val="center"/>
            <w:hideMark/>
          </w:tcPr>
          <w:p w14:paraId="26FCA4CB" w14:textId="77777777" w:rsidR="006F151F" w:rsidRPr="004E74A6" w:rsidRDefault="006F151F" w:rsidP="00832773">
            <w:pPr>
              <w:spacing w:line="276" w:lineRule="auto"/>
              <w:jc w:val="center"/>
              <w:rPr>
                <w:rFonts w:cs="Calibri"/>
                <w:color w:val="2F5496" w:themeColor="accent1" w:themeShade="BF"/>
                <w:sz w:val="20"/>
                <w:lang w:eastAsia="es-CR"/>
              </w:rPr>
            </w:pPr>
            <w:r w:rsidRPr="004E74A6">
              <w:rPr>
                <w:rFonts w:cs="Calibri"/>
                <w:color w:val="2F5496" w:themeColor="accent1" w:themeShade="BF"/>
                <w:sz w:val="20"/>
                <w:lang w:eastAsia="es-CR"/>
              </w:rPr>
              <w:t>4</w:t>
            </w:r>
          </w:p>
        </w:tc>
        <w:tc>
          <w:tcPr>
            <w:tcW w:w="2977" w:type="dxa"/>
            <w:tcBorders>
              <w:top w:val="nil"/>
              <w:left w:val="nil"/>
              <w:bottom w:val="nil"/>
              <w:right w:val="nil"/>
            </w:tcBorders>
            <w:shd w:val="clear" w:color="auto" w:fill="auto"/>
            <w:noWrap/>
            <w:vAlign w:val="bottom"/>
            <w:hideMark/>
          </w:tcPr>
          <w:p w14:paraId="454AC31B" w14:textId="77777777" w:rsidR="006F151F" w:rsidRPr="004E74A6" w:rsidRDefault="006F151F" w:rsidP="00832773">
            <w:pPr>
              <w:spacing w:line="276" w:lineRule="auto"/>
              <w:jc w:val="center"/>
              <w:rPr>
                <w:rFonts w:cs="Calibri"/>
                <w:color w:val="2F5496" w:themeColor="accent1" w:themeShade="BF"/>
                <w:sz w:val="20"/>
                <w:lang w:eastAsia="es-CR"/>
              </w:rPr>
            </w:pPr>
            <w:r w:rsidRPr="004E74A6">
              <w:rPr>
                <w:rFonts w:cs="Calibri"/>
                <w:color w:val="2F5496" w:themeColor="accent1" w:themeShade="BF"/>
                <w:sz w:val="20"/>
                <w:lang w:eastAsia="es-CR"/>
              </w:rPr>
              <w:t>73%</w:t>
            </w:r>
          </w:p>
        </w:tc>
      </w:tr>
      <w:tr w:rsidR="00AC3E05" w:rsidRPr="004E74A6" w14:paraId="6BFCE069" w14:textId="77777777" w:rsidTr="006F151F">
        <w:trPr>
          <w:trHeight w:val="300"/>
          <w:jc w:val="center"/>
        </w:trPr>
        <w:tc>
          <w:tcPr>
            <w:tcW w:w="2800" w:type="dxa"/>
            <w:tcBorders>
              <w:top w:val="nil"/>
              <w:left w:val="nil"/>
              <w:bottom w:val="nil"/>
              <w:right w:val="single" w:sz="8" w:space="0" w:color="auto"/>
            </w:tcBorders>
            <w:shd w:val="clear" w:color="auto" w:fill="auto"/>
            <w:noWrap/>
            <w:vAlign w:val="center"/>
            <w:hideMark/>
          </w:tcPr>
          <w:p w14:paraId="0AA30A74" w14:textId="77777777" w:rsidR="006F151F" w:rsidRPr="004E74A6" w:rsidRDefault="006F151F" w:rsidP="00832773">
            <w:pPr>
              <w:spacing w:line="276" w:lineRule="auto"/>
              <w:jc w:val="left"/>
              <w:rPr>
                <w:rFonts w:cs="Calibri"/>
                <w:color w:val="2F5496" w:themeColor="accent1" w:themeShade="BF"/>
                <w:sz w:val="20"/>
                <w:lang w:eastAsia="es-CR"/>
              </w:rPr>
            </w:pPr>
            <w:r w:rsidRPr="004E74A6">
              <w:rPr>
                <w:rFonts w:cs="Calibri"/>
                <w:color w:val="2F5496" w:themeColor="accent1" w:themeShade="BF"/>
                <w:sz w:val="20"/>
                <w:lang w:eastAsia="es-CR"/>
              </w:rPr>
              <w:t>De ¢75.000.001 a ¢80.000.000</w:t>
            </w:r>
          </w:p>
        </w:tc>
        <w:tc>
          <w:tcPr>
            <w:tcW w:w="3012" w:type="dxa"/>
            <w:tcBorders>
              <w:top w:val="nil"/>
              <w:left w:val="nil"/>
              <w:bottom w:val="nil"/>
              <w:right w:val="single" w:sz="8" w:space="0" w:color="auto"/>
            </w:tcBorders>
            <w:shd w:val="clear" w:color="auto" w:fill="auto"/>
            <w:noWrap/>
            <w:vAlign w:val="center"/>
            <w:hideMark/>
          </w:tcPr>
          <w:p w14:paraId="1788F98F" w14:textId="77777777" w:rsidR="006F151F" w:rsidRPr="004E74A6" w:rsidRDefault="006F151F" w:rsidP="00832773">
            <w:pPr>
              <w:spacing w:line="276" w:lineRule="auto"/>
              <w:jc w:val="center"/>
              <w:rPr>
                <w:rFonts w:cs="Calibri"/>
                <w:color w:val="2F5496" w:themeColor="accent1" w:themeShade="BF"/>
                <w:sz w:val="20"/>
                <w:lang w:eastAsia="es-CR"/>
              </w:rPr>
            </w:pPr>
            <w:r w:rsidRPr="004E74A6">
              <w:rPr>
                <w:rFonts w:cs="Calibri"/>
                <w:color w:val="2F5496" w:themeColor="accent1" w:themeShade="BF"/>
                <w:sz w:val="20"/>
                <w:lang w:eastAsia="es-CR"/>
              </w:rPr>
              <w:t>6</w:t>
            </w:r>
          </w:p>
        </w:tc>
        <w:tc>
          <w:tcPr>
            <w:tcW w:w="2977" w:type="dxa"/>
            <w:tcBorders>
              <w:top w:val="nil"/>
              <w:left w:val="nil"/>
              <w:bottom w:val="nil"/>
              <w:right w:val="nil"/>
            </w:tcBorders>
            <w:shd w:val="clear" w:color="auto" w:fill="auto"/>
            <w:noWrap/>
            <w:vAlign w:val="bottom"/>
            <w:hideMark/>
          </w:tcPr>
          <w:p w14:paraId="7CDAABC7" w14:textId="77777777" w:rsidR="006F151F" w:rsidRPr="004E74A6" w:rsidRDefault="006F151F" w:rsidP="00832773">
            <w:pPr>
              <w:spacing w:line="276" w:lineRule="auto"/>
              <w:jc w:val="center"/>
              <w:rPr>
                <w:rFonts w:cs="Calibri"/>
                <w:color w:val="2F5496" w:themeColor="accent1" w:themeShade="BF"/>
                <w:sz w:val="20"/>
                <w:lang w:eastAsia="es-CR"/>
              </w:rPr>
            </w:pPr>
            <w:r w:rsidRPr="004E74A6">
              <w:rPr>
                <w:rFonts w:cs="Calibri"/>
                <w:color w:val="2F5496" w:themeColor="accent1" w:themeShade="BF"/>
                <w:sz w:val="20"/>
                <w:lang w:eastAsia="es-CR"/>
              </w:rPr>
              <w:t>74%</w:t>
            </w:r>
          </w:p>
        </w:tc>
      </w:tr>
      <w:tr w:rsidR="00AC3E05" w:rsidRPr="004E74A6" w14:paraId="443B2E6B" w14:textId="77777777" w:rsidTr="006F151F">
        <w:trPr>
          <w:trHeight w:val="300"/>
          <w:jc w:val="center"/>
        </w:trPr>
        <w:tc>
          <w:tcPr>
            <w:tcW w:w="2800" w:type="dxa"/>
            <w:tcBorders>
              <w:top w:val="nil"/>
              <w:left w:val="nil"/>
              <w:bottom w:val="nil"/>
              <w:right w:val="single" w:sz="8" w:space="0" w:color="auto"/>
            </w:tcBorders>
            <w:shd w:val="clear" w:color="auto" w:fill="auto"/>
            <w:noWrap/>
            <w:vAlign w:val="center"/>
            <w:hideMark/>
          </w:tcPr>
          <w:p w14:paraId="5F3A045E" w14:textId="77777777" w:rsidR="006F151F" w:rsidRPr="004E74A6" w:rsidRDefault="006F151F" w:rsidP="00832773">
            <w:pPr>
              <w:spacing w:line="276" w:lineRule="auto"/>
              <w:jc w:val="left"/>
              <w:rPr>
                <w:rFonts w:cs="Calibri"/>
                <w:color w:val="2F5496" w:themeColor="accent1" w:themeShade="BF"/>
                <w:sz w:val="20"/>
                <w:lang w:eastAsia="es-CR"/>
              </w:rPr>
            </w:pPr>
            <w:r w:rsidRPr="004E74A6">
              <w:rPr>
                <w:rFonts w:cs="Calibri"/>
                <w:color w:val="2F5496" w:themeColor="accent1" w:themeShade="BF"/>
                <w:sz w:val="20"/>
                <w:lang w:eastAsia="es-CR"/>
              </w:rPr>
              <w:t>De ¢80.000.001 a ¢85.000.000</w:t>
            </w:r>
          </w:p>
        </w:tc>
        <w:tc>
          <w:tcPr>
            <w:tcW w:w="3012" w:type="dxa"/>
            <w:tcBorders>
              <w:top w:val="nil"/>
              <w:left w:val="nil"/>
              <w:bottom w:val="nil"/>
              <w:right w:val="single" w:sz="8" w:space="0" w:color="auto"/>
            </w:tcBorders>
            <w:shd w:val="clear" w:color="auto" w:fill="auto"/>
            <w:noWrap/>
            <w:vAlign w:val="center"/>
            <w:hideMark/>
          </w:tcPr>
          <w:p w14:paraId="0A0C5C7C" w14:textId="77777777" w:rsidR="006F151F" w:rsidRPr="004E74A6" w:rsidRDefault="006F151F" w:rsidP="00832773">
            <w:pPr>
              <w:spacing w:line="276" w:lineRule="auto"/>
              <w:jc w:val="center"/>
              <w:rPr>
                <w:rFonts w:cs="Calibri"/>
                <w:color w:val="2F5496" w:themeColor="accent1" w:themeShade="BF"/>
                <w:sz w:val="20"/>
                <w:lang w:eastAsia="es-CR"/>
              </w:rPr>
            </w:pPr>
            <w:r w:rsidRPr="004E74A6">
              <w:rPr>
                <w:rFonts w:cs="Calibri"/>
                <w:color w:val="2F5496" w:themeColor="accent1" w:themeShade="BF"/>
                <w:sz w:val="20"/>
                <w:lang w:eastAsia="es-CR"/>
              </w:rPr>
              <w:t>3</w:t>
            </w:r>
          </w:p>
        </w:tc>
        <w:tc>
          <w:tcPr>
            <w:tcW w:w="2977" w:type="dxa"/>
            <w:tcBorders>
              <w:top w:val="nil"/>
              <w:left w:val="nil"/>
              <w:bottom w:val="nil"/>
              <w:right w:val="nil"/>
            </w:tcBorders>
            <w:shd w:val="clear" w:color="auto" w:fill="auto"/>
            <w:noWrap/>
            <w:vAlign w:val="bottom"/>
            <w:hideMark/>
          </w:tcPr>
          <w:p w14:paraId="1744C4B6" w14:textId="77777777" w:rsidR="006F151F" w:rsidRPr="004E74A6" w:rsidRDefault="006F151F" w:rsidP="00832773">
            <w:pPr>
              <w:spacing w:line="276" w:lineRule="auto"/>
              <w:jc w:val="center"/>
              <w:rPr>
                <w:rFonts w:cs="Calibri"/>
                <w:color w:val="2F5496" w:themeColor="accent1" w:themeShade="BF"/>
                <w:sz w:val="20"/>
                <w:lang w:eastAsia="es-CR"/>
              </w:rPr>
            </w:pPr>
            <w:r w:rsidRPr="004E74A6">
              <w:rPr>
                <w:rFonts w:cs="Calibri"/>
                <w:color w:val="2F5496" w:themeColor="accent1" w:themeShade="BF"/>
                <w:sz w:val="20"/>
                <w:lang w:eastAsia="es-CR"/>
              </w:rPr>
              <w:t>75%</w:t>
            </w:r>
          </w:p>
        </w:tc>
      </w:tr>
      <w:tr w:rsidR="00AC3E05" w:rsidRPr="004E74A6" w14:paraId="13894108" w14:textId="77777777" w:rsidTr="006F151F">
        <w:trPr>
          <w:trHeight w:val="300"/>
          <w:jc w:val="center"/>
        </w:trPr>
        <w:tc>
          <w:tcPr>
            <w:tcW w:w="2800" w:type="dxa"/>
            <w:tcBorders>
              <w:top w:val="nil"/>
              <w:left w:val="nil"/>
              <w:bottom w:val="nil"/>
              <w:right w:val="single" w:sz="8" w:space="0" w:color="auto"/>
            </w:tcBorders>
            <w:shd w:val="clear" w:color="auto" w:fill="auto"/>
            <w:noWrap/>
            <w:vAlign w:val="center"/>
            <w:hideMark/>
          </w:tcPr>
          <w:p w14:paraId="2D709078" w14:textId="77777777" w:rsidR="006F151F" w:rsidRPr="004E74A6" w:rsidRDefault="006F151F" w:rsidP="00832773">
            <w:pPr>
              <w:spacing w:line="276" w:lineRule="auto"/>
              <w:jc w:val="left"/>
              <w:rPr>
                <w:rFonts w:cs="Calibri"/>
                <w:color w:val="2F5496" w:themeColor="accent1" w:themeShade="BF"/>
                <w:sz w:val="20"/>
                <w:lang w:eastAsia="es-CR"/>
              </w:rPr>
            </w:pPr>
            <w:r w:rsidRPr="004E74A6">
              <w:rPr>
                <w:rFonts w:cs="Calibri"/>
                <w:color w:val="2F5496" w:themeColor="accent1" w:themeShade="BF"/>
                <w:sz w:val="20"/>
                <w:lang w:eastAsia="es-CR"/>
              </w:rPr>
              <w:t>De ¢85.000.001 a ¢90.000.000</w:t>
            </w:r>
          </w:p>
        </w:tc>
        <w:tc>
          <w:tcPr>
            <w:tcW w:w="3012" w:type="dxa"/>
            <w:tcBorders>
              <w:top w:val="nil"/>
              <w:left w:val="nil"/>
              <w:bottom w:val="nil"/>
              <w:right w:val="single" w:sz="8" w:space="0" w:color="auto"/>
            </w:tcBorders>
            <w:shd w:val="clear" w:color="auto" w:fill="auto"/>
            <w:noWrap/>
            <w:vAlign w:val="center"/>
            <w:hideMark/>
          </w:tcPr>
          <w:p w14:paraId="2F55AAB2" w14:textId="77777777" w:rsidR="006F151F" w:rsidRPr="004E74A6" w:rsidRDefault="006F151F" w:rsidP="00832773">
            <w:pPr>
              <w:spacing w:line="276" w:lineRule="auto"/>
              <w:jc w:val="center"/>
              <w:rPr>
                <w:rFonts w:cs="Calibri"/>
                <w:color w:val="2F5496" w:themeColor="accent1" w:themeShade="BF"/>
                <w:sz w:val="20"/>
                <w:lang w:eastAsia="es-CR"/>
              </w:rPr>
            </w:pPr>
            <w:r w:rsidRPr="004E74A6">
              <w:rPr>
                <w:rFonts w:cs="Calibri"/>
                <w:color w:val="2F5496" w:themeColor="accent1" w:themeShade="BF"/>
                <w:sz w:val="20"/>
                <w:lang w:eastAsia="es-CR"/>
              </w:rPr>
              <w:t>7</w:t>
            </w:r>
          </w:p>
        </w:tc>
        <w:tc>
          <w:tcPr>
            <w:tcW w:w="2977" w:type="dxa"/>
            <w:tcBorders>
              <w:top w:val="nil"/>
              <w:left w:val="nil"/>
              <w:bottom w:val="nil"/>
              <w:right w:val="nil"/>
            </w:tcBorders>
            <w:shd w:val="clear" w:color="auto" w:fill="auto"/>
            <w:noWrap/>
            <w:vAlign w:val="bottom"/>
            <w:hideMark/>
          </w:tcPr>
          <w:p w14:paraId="04823DCB" w14:textId="77777777" w:rsidR="006F151F" w:rsidRPr="004E74A6" w:rsidRDefault="006F151F" w:rsidP="00832773">
            <w:pPr>
              <w:spacing w:line="276" w:lineRule="auto"/>
              <w:jc w:val="center"/>
              <w:rPr>
                <w:rFonts w:cs="Calibri"/>
                <w:color w:val="2F5496" w:themeColor="accent1" w:themeShade="BF"/>
                <w:sz w:val="20"/>
                <w:lang w:eastAsia="es-CR"/>
              </w:rPr>
            </w:pPr>
            <w:r w:rsidRPr="004E74A6">
              <w:rPr>
                <w:rFonts w:cs="Calibri"/>
                <w:color w:val="2F5496" w:themeColor="accent1" w:themeShade="BF"/>
                <w:sz w:val="20"/>
                <w:lang w:eastAsia="es-CR"/>
              </w:rPr>
              <w:t>77%</w:t>
            </w:r>
          </w:p>
        </w:tc>
      </w:tr>
      <w:tr w:rsidR="00AC3E05" w:rsidRPr="004E74A6" w14:paraId="5762425A" w14:textId="77777777" w:rsidTr="006F151F">
        <w:trPr>
          <w:trHeight w:val="300"/>
          <w:jc w:val="center"/>
        </w:trPr>
        <w:tc>
          <w:tcPr>
            <w:tcW w:w="2800" w:type="dxa"/>
            <w:tcBorders>
              <w:top w:val="nil"/>
              <w:left w:val="nil"/>
              <w:bottom w:val="nil"/>
              <w:right w:val="single" w:sz="8" w:space="0" w:color="auto"/>
            </w:tcBorders>
            <w:shd w:val="clear" w:color="auto" w:fill="auto"/>
            <w:noWrap/>
            <w:vAlign w:val="center"/>
            <w:hideMark/>
          </w:tcPr>
          <w:p w14:paraId="139090CC" w14:textId="77777777" w:rsidR="006F151F" w:rsidRPr="004E74A6" w:rsidRDefault="006F151F" w:rsidP="00832773">
            <w:pPr>
              <w:spacing w:line="276" w:lineRule="auto"/>
              <w:jc w:val="left"/>
              <w:rPr>
                <w:rFonts w:cs="Calibri"/>
                <w:color w:val="2F5496" w:themeColor="accent1" w:themeShade="BF"/>
                <w:sz w:val="20"/>
                <w:lang w:eastAsia="es-CR"/>
              </w:rPr>
            </w:pPr>
            <w:r w:rsidRPr="004E74A6">
              <w:rPr>
                <w:rFonts w:cs="Calibri"/>
                <w:color w:val="2F5496" w:themeColor="accent1" w:themeShade="BF"/>
                <w:sz w:val="20"/>
                <w:lang w:eastAsia="es-CR"/>
              </w:rPr>
              <w:t>De ¢90.000.001 a ¢95.000.000</w:t>
            </w:r>
          </w:p>
        </w:tc>
        <w:tc>
          <w:tcPr>
            <w:tcW w:w="3012" w:type="dxa"/>
            <w:tcBorders>
              <w:top w:val="nil"/>
              <w:left w:val="nil"/>
              <w:bottom w:val="nil"/>
              <w:right w:val="single" w:sz="8" w:space="0" w:color="auto"/>
            </w:tcBorders>
            <w:shd w:val="clear" w:color="auto" w:fill="auto"/>
            <w:noWrap/>
            <w:vAlign w:val="center"/>
            <w:hideMark/>
          </w:tcPr>
          <w:p w14:paraId="2DE296D5" w14:textId="77777777" w:rsidR="006F151F" w:rsidRPr="004E74A6" w:rsidRDefault="006F151F" w:rsidP="00832773">
            <w:pPr>
              <w:spacing w:line="276" w:lineRule="auto"/>
              <w:jc w:val="center"/>
              <w:rPr>
                <w:rFonts w:cs="Calibri"/>
                <w:color w:val="2F5496" w:themeColor="accent1" w:themeShade="BF"/>
                <w:sz w:val="20"/>
                <w:lang w:eastAsia="es-CR"/>
              </w:rPr>
            </w:pPr>
            <w:r w:rsidRPr="004E74A6">
              <w:rPr>
                <w:rFonts w:cs="Calibri"/>
                <w:color w:val="2F5496" w:themeColor="accent1" w:themeShade="BF"/>
                <w:sz w:val="20"/>
                <w:lang w:eastAsia="es-CR"/>
              </w:rPr>
              <w:t>2</w:t>
            </w:r>
          </w:p>
        </w:tc>
        <w:tc>
          <w:tcPr>
            <w:tcW w:w="2977" w:type="dxa"/>
            <w:tcBorders>
              <w:top w:val="nil"/>
              <w:left w:val="nil"/>
              <w:bottom w:val="nil"/>
              <w:right w:val="nil"/>
            </w:tcBorders>
            <w:shd w:val="clear" w:color="auto" w:fill="auto"/>
            <w:noWrap/>
            <w:vAlign w:val="bottom"/>
            <w:hideMark/>
          </w:tcPr>
          <w:p w14:paraId="68C136DA" w14:textId="77777777" w:rsidR="006F151F" w:rsidRPr="004E74A6" w:rsidRDefault="006F151F" w:rsidP="00832773">
            <w:pPr>
              <w:spacing w:line="276" w:lineRule="auto"/>
              <w:jc w:val="center"/>
              <w:rPr>
                <w:rFonts w:cs="Calibri"/>
                <w:color w:val="2F5496" w:themeColor="accent1" w:themeShade="BF"/>
                <w:sz w:val="20"/>
                <w:lang w:eastAsia="es-CR"/>
              </w:rPr>
            </w:pPr>
            <w:r w:rsidRPr="004E74A6">
              <w:rPr>
                <w:rFonts w:cs="Calibri"/>
                <w:color w:val="2F5496" w:themeColor="accent1" w:themeShade="BF"/>
                <w:sz w:val="20"/>
                <w:lang w:eastAsia="es-CR"/>
              </w:rPr>
              <w:t>77%</w:t>
            </w:r>
          </w:p>
        </w:tc>
      </w:tr>
      <w:tr w:rsidR="00AC3E05" w:rsidRPr="004E74A6" w14:paraId="5986055E" w14:textId="77777777" w:rsidTr="006F151F">
        <w:trPr>
          <w:trHeight w:val="300"/>
          <w:jc w:val="center"/>
        </w:trPr>
        <w:tc>
          <w:tcPr>
            <w:tcW w:w="2800" w:type="dxa"/>
            <w:tcBorders>
              <w:top w:val="nil"/>
              <w:left w:val="nil"/>
              <w:bottom w:val="nil"/>
              <w:right w:val="single" w:sz="8" w:space="0" w:color="auto"/>
            </w:tcBorders>
            <w:shd w:val="clear" w:color="auto" w:fill="auto"/>
            <w:noWrap/>
            <w:vAlign w:val="center"/>
            <w:hideMark/>
          </w:tcPr>
          <w:p w14:paraId="6F986BE1" w14:textId="77777777" w:rsidR="006F151F" w:rsidRPr="004E74A6" w:rsidRDefault="006F151F" w:rsidP="00832773">
            <w:pPr>
              <w:spacing w:line="276" w:lineRule="auto"/>
              <w:jc w:val="left"/>
              <w:rPr>
                <w:rFonts w:cs="Calibri"/>
                <w:color w:val="2F5496" w:themeColor="accent1" w:themeShade="BF"/>
                <w:sz w:val="20"/>
                <w:lang w:eastAsia="es-CR"/>
              </w:rPr>
            </w:pPr>
            <w:r w:rsidRPr="004E74A6">
              <w:rPr>
                <w:rFonts w:cs="Calibri"/>
                <w:color w:val="2F5496" w:themeColor="accent1" w:themeShade="BF"/>
                <w:sz w:val="20"/>
                <w:lang w:eastAsia="es-CR"/>
              </w:rPr>
              <w:t>De ¢95.000.001 a ¢100.000.000</w:t>
            </w:r>
          </w:p>
        </w:tc>
        <w:tc>
          <w:tcPr>
            <w:tcW w:w="3012" w:type="dxa"/>
            <w:tcBorders>
              <w:top w:val="nil"/>
              <w:left w:val="nil"/>
              <w:bottom w:val="nil"/>
              <w:right w:val="single" w:sz="8" w:space="0" w:color="auto"/>
            </w:tcBorders>
            <w:shd w:val="clear" w:color="auto" w:fill="auto"/>
            <w:noWrap/>
            <w:vAlign w:val="center"/>
            <w:hideMark/>
          </w:tcPr>
          <w:p w14:paraId="134EA91F" w14:textId="77777777" w:rsidR="006F151F" w:rsidRPr="004E74A6" w:rsidRDefault="006F151F" w:rsidP="00832773">
            <w:pPr>
              <w:spacing w:line="276" w:lineRule="auto"/>
              <w:jc w:val="center"/>
              <w:rPr>
                <w:rFonts w:cs="Calibri"/>
                <w:color w:val="2F5496" w:themeColor="accent1" w:themeShade="BF"/>
                <w:sz w:val="20"/>
                <w:lang w:eastAsia="es-CR"/>
              </w:rPr>
            </w:pPr>
            <w:r w:rsidRPr="004E74A6">
              <w:rPr>
                <w:rFonts w:cs="Calibri"/>
                <w:color w:val="2F5496" w:themeColor="accent1" w:themeShade="BF"/>
                <w:sz w:val="20"/>
                <w:lang w:eastAsia="es-CR"/>
              </w:rPr>
              <w:t>12</w:t>
            </w:r>
          </w:p>
        </w:tc>
        <w:tc>
          <w:tcPr>
            <w:tcW w:w="2977" w:type="dxa"/>
            <w:tcBorders>
              <w:top w:val="nil"/>
              <w:left w:val="nil"/>
              <w:bottom w:val="nil"/>
              <w:right w:val="nil"/>
            </w:tcBorders>
            <w:shd w:val="clear" w:color="auto" w:fill="auto"/>
            <w:noWrap/>
            <w:vAlign w:val="bottom"/>
            <w:hideMark/>
          </w:tcPr>
          <w:p w14:paraId="4BBAD4E4" w14:textId="77777777" w:rsidR="006F151F" w:rsidRPr="004E74A6" w:rsidRDefault="006F151F" w:rsidP="00832773">
            <w:pPr>
              <w:spacing w:line="276" w:lineRule="auto"/>
              <w:jc w:val="center"/>
              <w:rPr>
                <w:rFonts w:cs="Calibri"/>
                <w:color w:val="2F5496" w:themeColor="accent1" w:themeShade="BF"/>
                <w:sz w:val="20"/>
                <w:lang w:eastAsia="es-CR"/>
              </w:rPr>
            </w:pPr>
            <w:r w:rsidRPr="004E74A6">
              <w:rPr>
                <w:rFonts w:cs="Calibri"/>
                <w:color w:val="2F5496" w:themeColor="accent1" w:themeShade="BF"/>
                <w:sz w:val="20"/>
                <w:lang w:eastAsia="es-CR"/>
              </w:rPr>
              <w:t>81%</w:t>
            </w:r>
          </w:p>
        </w:tc>
      </w:tr>
      <w:tr w:rsidR="00AC3E05" w:rsidRPr="004E74A6" w14:paraId="606FAF8E" w14:textId="77777777" w:rsidTr="006F151F">
        <w:trPr>
          <w:trHeight w:val="300"/>
          <w:jc w:val="center"/>
        </w:trPr>
        <w:tc>
          <w:tcPr>
            <w:tcW w:w="2800" w:type="dxa"/>
            <w:tcBorders>
              <w:top w:val="nil"/>
              <w:left w:val="nil"/>
              <w:bottom w:val="nil"/>
              <w:right w:val="single" w:sz="8" w:space="0" w:color="auto"/>
            </w:tcBorders>
            <w:shd w:val="clear" w:color="auto" w:fill="auto"/>
            <w:noWrap/>
            <w:vAlign w:val="center"/>
            <w:hideMark/>
          </w:tcPr>
          <w:p w14:paraId="0588DF7D" w14:textId="77777777" w:rsidR="006F151F" w:rsidRPr="004E74A6" w:rsidRDefault="006F151F" w:rsidP="00832773">
            <w:pPr>
              <w:spacing w:line="276" w:lineRule="auto"/>
              <w:jc w:val="left"/>
              <w:rPr>
                <w:rFonts w:cs="Calibri"/>
                <w:color w:val="2F5496" w:themeColor="accent1" w:themeShade="BF"/>
                <w:sz w:val="20"/>
                <w:lang w:eastAsia="es-CR"/>
              </w:rPr>
            </w:pPr>
            <w:r w:rsidRPr="004E74A6">
              <w:rPr>
                <w:rFonts w:cs="Calibri"/>
                <w:color w:val="2F5496" w:themeColor="accent1" w:themeShade="BF"/>
                <w:sz w:val="20"/>
                <w:lang w:eastAsia="es-CR"/>
              </w:rPr>
              <w:t>Más de ¢100.000.000</w:t>
            </w:r>
          </w:p>
        </w:tc>
        <w:tc>
          <w:tcPr>
            <w:tcW w:w="3012" w:type="dxa"/>
            <w:tcBorders>
              <w:top w:val="nil"/>
              <w:left w:val="nil"/>
              <w:bottom w:val="nil"/>
              <w:right w:val="single" w:sz="8" w:space="0" w:color="auto"/>
            </w:tcBorders>
            <w:shd w:val="clear" w:color="auto" w:fill="auto"/>
            <w:noWrap/>
            <w:vAlign w:val="center"/>
            <w:hideMark/>
          </w:tcPr>
          <w:p w14:paraId="0A760F6F" w14:textId="77777777" w:rsidR="006F151F" w:rsidRPr="004E74A6" w:rsidRDefault="006F151F" w:rsidP="00832773">
            <w:pPr>
              <w:spacing w:line="276" w:lineRule="auto"/>
              <w:jc w:val="center"/>
              <w:rPr>
                <w:rFonts w:cs="Calibri"/>
                <w:color w:val="2F5496" w:themeColor="accent1" w:themeShade="BF"/>
                <w:sz w:val="20"/>
                <w:lang w:eastAsia="es-CR"/>
              </w:rPr>
            </w:pPr>
            <w:r w:rsidRPr="004E74A6">
              <w:rPr>
                <w:rFonts w:cs="Calibri"/>
                <w:color w:val="2F5496" w:themeColor="accent1" w:themeShade="BF"/>
                <w:sz w:val="20"/>
                <w:lang w:eastAsia="es-CR"/>
              </w:rPr>
              <w:t>61</w:t>
            </w:r>
          </w:p>
        </w:tc>
        <w:tc>
          <w:tcPr>
            <w:tcW w:w="2977" w:type="dxa"/>
            <w:tcBorders>
              <w:top w:val="nil"/>
              <w:left w:val="nil"/>
              <w:bottom w:val="nil"/>
              <w:right w:val="nil"/>
            </w:tcBorders>
            <w:shd w:val="clear" w:color="auto" w:fill="auto"/>
            <w:noWrap/>
            <w:vAlign w:val="bottom"/>
            <w:hideMark/>
          </w:tcPr>
          <w:p w14:paraId="6E3ACA4C" w14:textId="77777777" w:rsidR="006F151F" w:rsidRPr="004E74A6" w:rsidRDefault="006F151F" w:rsidP="00832773">
            <w:pPr>
              <w:spacing w:line="276" w:lineRule="auto"/>
              <w:jc w:val="center"/>
              <w:rPr>
                <w:rFonts w:cs="Calibri"/>
                <w:color w:val="2F5496" w:themeColor="accent1" w:themeShade="BF"/>
                <w:sz w:val="20"/>
                <w:lang w:eastAsia="es-CR"/>
              </w:rPr>
            </w:pPr>
            <w:r w:rsidRPr="004E74A6">
              <w:rPr>
                <w:rFonts w:cs="Calibri"/>
                <w:color w:val="2F5496" w:themeColor="accent1" w:themeShade="BF"/>
                <w:sz w:val="20"/>
                <w:lang w:eastAsia="es-CR"/>
              </w:rPr>
              <w:t>98%</w:t>
            </w:r>
          </w:p>
        </w:tc>
      </w:tr>
      <w:tr w:rsidR="00AC3E05" w:rsidRPr="004E74A6" w14:paraId="5A20799D" w14:textId="77777777" w:rsidTr="006F151F">
        <w:trPr>
          <w:trHeight w:val="315"/>
          <w:jc w:val="center"/>
        </w:trPr>
        <w:tc>
          <w:tcPr>
            <w:tcW w:w="2800" w:type="dxa"/>
            <w:tcBorders>
              <w:top w:val="nil"/>
              <w:left w:val="nil"/>
              <w:bottom w:val="single" w:sz="8" w:space="0" w:color="auto"/>
              <w:right w:val="single" w:sz="8" w:space="0" w:color="auto"/>
            </w:tcBorders>
            <w:shd w:val="clear" w:color="auto" w:fill="auto"/>
            <w:noWrap/>
            <w:vAlign w:val="center"/>
            <w:hideMark/>
          </w:tcPr>
          <w:p w14:paraId="37AED4CB" w14:textId="77777777" w:rsidR="006F151F" w:rsidRPr="004E74A6" w:rsidRDefault="006F151F" w:rsidP="00832773">
            <w:pPr>
              <w:spacing w:line="276" w:lineRule="auto"/>
              <w:jc w:val="left"/>
              <w:rPr>
                <w:rFonts w:cs="Calibri"/>
                <w:color w:val="2F5496" w:themeColor="accent1" w:themeShade="BF"/>
                <w:sz w:val="20"/>
                <w:lang w:eastAsia="es-CR"/>
              </w:rPr>
            </w:pPr>
            <w:r w:rsidRPr="004E74A6">
              <w:rPr>
                <w:rFonts w:cs="Calibri"/>
                <w:color w:val="2F5496" w:themeColor="accent1" w:themeShade="BF"/>
                <w:sz w:val="20"/>
                <w:lang w:eastAsia="es-CR"/>
              </w:rPr>
              <w:t>Expedientes Cuantía Cero</w:t>
            </w:r>
          </w:p>
        </w:tc>
        <w:tc>
          <w:tcPr>
            <w:tcW w:w="3012" w:type="dxa"/>
            <w:tcBorders>
              <w:top w:val="nil"/>
              <w:left w:val="nil"/>
              <w:bottom w:val="single" w:sz="8" w:space="0" w:color="auto"/>
              <w:right w:val="single" w:sz="8" w:space="0" w:color="auto"/>
            </w:tcBorders>
            <w:shd w:val="clear" w:color="auto" w:fill="auto"/>
            <w:noWrap/>
            <w:vAlign w:val="center"/>
            <w:hideMark/>
          </w:tcPr>
          <w:p w14:paraId="0C18E619" w14:textId="77777777" w:rsidR="006F151F" w:rsidRPr="004E74A6" w:rsidRDefault="006F151F" w:rsidP="00832773">
            <w:pPr>
              <w:spacing w:line="276" w:lineRule="auto"/>
              <w:jc w:val="center"/>
              <w:rPr>
                <w:rFonts w:cs="Calibri"/>
                <w:color w:val="2F5496" w:themeColor="accent1" w:themeShade="BF"/>
                <w:sz w:val="20"/>
                <w:lang w:eastAsia="es-CR"/>
              </w:rPr>
            </w:pPr>
            <w:r w:rsidRPr="004E74A6">
              <w:rPr>
                <w:rFonts w:cs="Calibri"/>
                <w:color w:val="2F5496" w:themeColor="accent1" w:themeShade="BF"/>
                <w:sz w:val="20"/>
                <w:lang w:eastAsia="es-CR"/>
              </w:rPr>
              <w:t>9</w:t>
            </w:r>
          </w:p>
        </w:tc>
        <w:tc>
          <w:tcPr>
            <w:tcW w:w="2977" w:type="dxa"/>
            <w:tcBorders>
              <w:top w:val="nil"/>
              <w:left w:val="nil"/>
              <w:bottom w:val="single" w:sz="8" w:space="0" w:color="auto"/>
              <w:right w:val="nil"/>
            </w:tcBorders>
            <w:shd w:val="clear" w:color="auto" w:fill="auto"/>
            <w:noWrap/>
            <w:vAlign w:val="bottom"/>
            <w:hideMark/>
          </w:tcPr>
          <w:p w14:paraId="323FF180" w14:textId="77777777" w:rsidR="006F151F" w:rsidRPr="004E74A6" w:rsidRDefault="006F151F" w:rsidP="00832773">
            <w:pPr>
              <w:spacing w:line="276" w:lineRule="auto"/>
              <w:jc w:val="center"/>
              <w:rPr>
                <w:rFonts w:cs="Calibri"/>
                <w:color w:val="2F5496" w:themeColor="accent1" w:themeShade="BF"/>
                <w:sz w:val="20"/>
                <w:lang w:eastAsia="es-CR"/>
              </w:rPr>
            </w:pPr>
            <w:r w:rsidRPr="004E74A6">
              <w:rPr>
                <w:rFonts w:cs="Calibri"/>
                <w:color w:val="2F5496" w:themeColor="accent1" w:themeShade="BF"/>
                <w:sz w:val="20"/>
                <w:lang w:eastAsia="es-CR"/>
              </w:rPr>
              <w:t>100%</w:t>
            </w:r>
          </w:p>
        </w:tc>
      </w:tr>
    </w:tbl>
    <w:p w14:paraId="23872206" w14:textId="77777777" w:rsidR="00CD7AC2" w:rsidRDefault="000112D0" w:rsidP="00CE62C1">
      <w:pPr>
        <w:suppressAutoHyphens/>
        <w:spacing w:line="276" w:lineRule="auto"/>
        <w:ind w:right="49"/>
        <w:contextualSpacing/>
        <w:rPr>
          <w:rFonts w:eastAsia="Calibri"/>
          <w:lang w:eastAsia="es-CR"/>
        </w:rPr>
      </w:pPr>
      <w:r w:rsidRPr="004E74A6">
        <w:rPr>
          <w:rFonts w:eastAsia="Calibri"/>
          <w:lang w:eastAsia="es-CR"/>
        </w:rPr>
        <w:lastRenderedPageBreak/>
        <w:t xml:space="preserve">De realizar el </w:t>
      </w:r>
      <w:r w:rsidR="00AC3E05" w:rsidRPr="004E74A6">
        <w:rPr>
          <w:rFonts w:eastAsia="Calibri"/>
          <w:lang w:eastAsia="es-CR"/>
        </w:rPr>
        <w:t>cambio en este momento,</w:t>
      </w:r>
      <w:r w:rsidRPr="004E74A6">
        <w:rPr>
          <w:rFonts w:eastAsia="Calibri"/>
          <w:lang w:eastAsia="es-CR"/>
        </w:rPr>
        <w:t xml:space="preserve"> la Corte Plena debe contemplar que</w:t>
      </w:r>
      <w:r w:rsidR="00AC3E05" w:rsidRPr="004E74A6">
        <w:rPr>
          <w:rFonts w:eastAsia="Calibri"/>
          <w:lang w:eastAsia="es-CR"/>
        </w:rPr>
        <w:t xml:space="preserve"> implicaría </w:t>
      </w:r>
      <w:r w:rsidR="00097349" w:rsidRPr="004E74A6">
        <w:rPr>
          <w:rFonts w:eastAsia="Calibri"/>
          <w:lang w:eastAsia="es-CR"/>
        </w:rPr>
        <w:t>revisar las estructuras de las oficinas correspondientes a la Primera Instancia Civil con la finalidad de ajustar el recurso humano</w:t>
      </w:r>
      <w:r w:rsidR="006C5975" w:rsidRPr="004E74A6">
        <w:rPr>
          <w:rFonts w:eastAsia="Calibri"/>
          <w:lang w:eastAsia="es-CR"/>
        </w:rPr>
        <w:t xml:space="preserve"> para que su funcionamiento se </w:t>
      </w:r>
      <w:r w:rsidR="00926517" w:rsidRPr="004E74A6">
        <w:rPr>
          <w:rFonts w:eastAsia="Calibri"/>
          <w:lang w:eastAsia="es-CR"/>
        </w:rPr>
        <w:t>dé</w:t>
      </w:r>
      <w:r w:rsidR="006C5975" w:rsidRPr="004E74A6">
        <w:rPr>
          <w:rFonts w:eastAsia="Calibri"/>
          <w:lang w:eastAsia="es-CR"/>
        </w:rPr>
        <w:t xml:space="preserve"> bajo los principios de eficacia y eficiencia.</w:t>
      </w:r>
      <w:r w:rsidR="00B737BD" w:rsidRPr="004E74A6">
        <w:rPr>
          <w:rFonts w:eastAsia="Calibri"/>
          <w:lang w:eastAsia="es-CR"/>
        </w:rPr>
        <w:t xml:space="preserve"> Producto del aumento en la cuantía se generará un aumento en el ingreso de los Juzgados Civiles y una disminución de trabajo en los Tribunales Colegiados de Primera Instancia Civil</w:t>
      </w:r>
      <w:r w:rsidR="00926517" w:rsidRPr="004E74A6">
        <w:rPr>
          <w:rFonts w:eastAsia="Calibri"/>
          <w:lang w:eastAsia="es-CR"/>
        </w:rPr>
        <w:t xml:space="preserve"> que ya hoy en día tienen una baja carga laboral, y en donde además por Ley se debe respetar independientemente de lo baja que sea la entrada, una estructura mínima de 3 personas juzgadoras categoría 4</w:t>
      </w:r>
      <w:r w:rsidR="00B737BD" w:rsidRPr="004E74A6">
        <w:rPr>
          <w:rFonts w:eastAsia="Calibri"/>
          <w:lang w:eastAsia="es-CR"/>
        </w:rPr>
        <w:t>.</w:t>
      </w:r>
      <w:r w:rsidR="009403AB" w:rsidRPr="004E74A6">
        <w:rPr>
          <w:rFonts w:eastAsia="Calibri"/>
          <w:lang w:eastAsia="es-CR"/>
        </w:rPr>
        <w:t xml:space="preserve"> </w:t>
      </w:r>
    </w:p>
    <w:p w14:paraId="2F597669" w14:textId="77777777" w:rsidR="00890851" w:rsidRPr="004E74A6" w:rsidRDefault="00890851" w:rsidP="00CE62C1">
      <w:pPr>
        <w:suppressAutoHyphens/>
        <w:spacing w:line="276" w:lineRule="auto"/>
        <w:ind w:right="49"/>
        <w:contextualSpacing/>
        <w:rPr>
          <w:rFonts w:eastAsia="Calibri"/>
          <w:lang w:eastAsia="es-CR"/>
        </w:rPr>
      </w:pPr>
    </w:p>
    <w:p w14:paraId="226BCD3B" w14:textId="6D9ECF01" w:rsidR="00097349" w:rsidRDefault="00763259" w:rsidP="00CE62C1">
      <w:pPr>
        <w:suppressAutoHyphens/>
        <w:spacing w:line="276" w:lineRule="auto"/>
        <w:ind w:right="49"/>
        <w:contextualSpacing/>
        <w:rPr>
          <w:rFonts w:eastAsia="Calibri"/>
          <w:lang w:eastAsia="es-CR"/>
        </w:rPr>
      </w:pPr>
      <w:r w:rsidRPr="004E74A6">
        <w:rPr>
          <w:rFonts w:eastAsia="Calibri"/>
          <w:lang w:eastAsia="es-CR"/>
        </w:rPr>
        <w:t>En los Juzgados Civiles se</w:t>
      </w:r>
      <w:r w:rsidR="00CB5E05" w:rsidRPr="004E74A6">
        <w:rPr>
          <w:rFonts w:eastAsia="Calibri"/>
          <w:lang w:eastAsia="es-CR"/>
        </w:rPr>
        <w:t xml:space="preserve"> </w:t>
      </w:r>
      <w:r w:rsidRPr="004E74A6">
        <w:rPr>
          <w:rFonts w:eastAsia="Calibri"/>
          <w:lang w:eastAsia="es-CR"/>
        </w:rPr>
        <w:t>ha dado hoy día una estabilización del circulante, por lo que en algunos Juzgados Civiles se ha dado la colaboración de personal técnico en los despachos cobratorios</w:t>
      </w:r>
      <w:r w:rsidR="0053590A" w:rsidRPr="004E74A6">
        <w:rPr>
          <w:rFonts w:eastAsia="Calibri"/>
          <w:lang w:eastAsia="es-CR"/>
        </w:rPr>
        <w:t xml:space="preserve">, igualmente, se han remitido solicitudes al Consejo Superior </w:t>
      </w:r>
      <w:r w:rsidR="00536D67" w:rsidRPr="004E74A6">
        <w:rPr>
          <w:rFonts w:eastAsia="Calibri"/>
          <w:lang w:eastAsia="es-CR"/>
        </w:rPr>
        <w:t xml:space="preserve">que en caso de </w:t>
      </w:r>
      <w:r w:rsidR="0053590A" w:rsidRPr="004E74A6">
        <w:rPr>
          <w:rFonts w:eastAsia="Calibri"/>
          <w:lang w:eastAsia="es-CR"/>
        </w:rPr>
        <w:t xml:space="preserve">realizar nombramientos en propiedad, </w:t>
      </w:r>
      <w:r w:rsidR="00536D67" w:rsidRPr="004E74A6">
        <w:rPr>
          <w:rFonts w:eastAsia="Calibri"/>
          <w:lang w:eastAsia="es-CR"/>
        </w:rPr>
        <w:t xml:space="preserve">se incluya la respectiva observación de que las plazas eventualmente por carga de trabajo pueden ser trasladadas a otras oficinas, al menos </w:t>
      </w:r>
      <w:r w:rsidR="0053590A" w:rsidRPr="004E74A6">
        <w:rPr>
          <w:rFonts w:eastAsia="Calibri"/>
          <w:lang w:eastAsia="es-CR"/>
        </w:rPr>
        <w:t>hasta que no se resuelva en definitiva el impacto de la cuantía en las cargas de trabajo.</w:t>
      </w:r>
    </w:p>
    <w:p w14:paraId="73177E5C" w14:textId="77777777" w:rsidR="00890851" w:rsidRPr="004E74A6" w:rsidRDefault="00890851" w:rsidP="00CE62C1">
      <w:pPr>
        <w:suppressAutoHyphens/>
        <w:spacing w:line="276" w:lineRule="auto"/>
        <w:ind w:right="49"/>
        <w:contextualSpacing/>
        <w:rPr>
          <w:rFonts w:eastAsia="Calibri"/>
          <w:lang w:eastAsia="es-CR"/>
        </w:rPr>
      </w:pPr>
    </w:p>
    <w:p w14:paraId="4B8A59F0" w14:textId="6C265BEF" w:rsidR="00CD7AC2" w:rsidRPr="004E74A6" w:rsidRDefault="00CD7AC2" w:rsidP="00832773">
      <w:pPr>
        <w:suppressAutoHyphens/>
        <w:spacing w:line="276" w:lineRule="auto"/>
        <w:ind w:right="49"/>
        <w:contextualSpacing/>
        <w:rPr>
          <w:rFonts w:eastAsia="Calibri"/>
          <w:lang w:eastAsia="en-US"/>
        </w:rPr>
      </w:pPr>
      <w:r w:rsidRPr="004E74A6">
        <w:rPr>
          <w:rFonts w:eastAsia="Calibri"/>
          <w:lang w:eastAsia="es-CR"/>
        </w:rPr>
        <w:t>De aprobarse un incremento en la cuantía se deberá analizar ese impacto, planes de trabajo y revaloración</w:t>
      </w:r>
      <w:r w:rsidRPr="004E74A6">
        <w:rPr>
          <w:rFonts w:eastAsia="Calibri"/>
          <w:lang w:eastAsia="en-US"/>
        </w:rPr>
        <w:t xml:space="preserve"> o ampliación respecto al criterio DJ-AJ-C-247-2021 del 12 de mayo de 2021 (anexo 10) en donde concluy</w:t>
      </w:r>
      <w:r w:rsidR="00D045C1">
        <w:rPr>
          <w:rFonts w:eastAsia="Calibri"/>
          <w:lang w:eastAsia="en-US"/>
        </w:rPr>
        <w:t>ó</w:t>
      </w:r>
      <w:r w:rsidRPr="004E74A6">
        <w:rPr>
          <w:rFonts w:eastAsia="Calibri"/>
          <w:lang w:eastAsia="en-US"/>
        </w:rPr>
        <w:t xml:space="preserve"> que las personas juzgadoras Civiles por su competencia específica no pueden firmar asuntos en materia de Cobro Judicial como parte de planes de trabajo desarrollados en la primera instancia, para generar carga de trabajo para las plazas civiles y reducirlos plazos de espera en materia cobratoria.</w:t>
      </w:r>
    </w:p>
    <w:p w14:paraId="1F194AD1" w14:textId="285809B8" w:rsidR="005611B6" w:rsidRPr="004E74A6" w:rsidRDefault="005611B6" w:rsidP="00CE62C1">
      <w:pPr>
        <w:suppressAutoHyphens/>
        <w:spacing w:line="276" w:lineRule="auto"/>
        <w:ind w:right="49"/>
        <w:contextualSpacing/>
        <w:rPr>
          <w:rFonts w:eastAsia="Calibri"/>
          <w:lang w:eastAsia="es-CR"/>
        </w:rPr>
      </w:pPr>
    </w:p>
    <w:p w14:paraId="6299067F" w14:textId="1C269EAE" w:rsidR="0041312A" w:rsidRPr="004E74A6" w:rsidRDefault="005611B6" w:rsidP="0041312A">
      <w:pPr>
        <w:widowControl w:val="0"/>
        <w:suppressAutoHyphens/>
        <w:spacing w:line="276" w:lineRule="auto"/>
        <w:rPr>
          <w:i/>
          <w:iCs/>
          <w:shd w:val="clear" w:color="auto" w:fill="FFFFFF"/>
        </w:rPr>
      </w:pPr>
      <w:r w:rsidRPr="004E74A6">
        <w:rPr>
          <w:rFonts w:eastAsia="Calibri"/>
          <w:lang w:eastAsia="es-CR"/>
        </w:rPr>
        <w:t xml:space="preserve">Como parte de las observaciones recibidas por parte del equipo gestor en materia </w:t>
      </w:r>
      <w:r w:rsidR="0041312A" w:rsidRPr="004E74A6">
        <w:rPr>
          <w:rFonts w:eastAsia="Calibri"/>
          <w:lang w:eastAsia="es-CR"/>
        </w:rPr>
        <w:t>C</w:t>
      </w:r>
      <w:r w:rsidRPr="004E74A6">
        <w:rPr>
          <w:rFonts w:eastAsia="Calibri"/>
          <w:lang w:eastAsia="es-CR"/>
        </w:rPr>
        <w:t>ivil</w:t>
      </w:r>
      <w:r w:rsidR="0041312A" w:rsidRPr="004E74A6">
        <w:rPr>
          <w:rFonts w:eastAsia="Calibri"/>
          <w:lang w:eastAsia="es-CR"/>
        </w:rPr>
        <w:t xml:space="preserve"> (anexo 16)</w:t>
      </w:r>
      <w:r w:rsidRPr="004E74A6">
        <w:rPr>
          <w:rFonts w:eastAsia="Calibri"/>
          <w:lang w:eastAsia="es-CR"/>
        </w:rPr>
        <w:t xml:space="preserve">, se </w:t>
      </w:r>
      <w:r w:rsidR="004647C0" w:rsidRPr="004E74A6">
        <w:rPr>
          <w:rFonts w:eastAsia="Calibri"/>
          <w:lang w:eastAsia="es-CR"/>
        </w:rPr>
        <w:t xml:space="preserve">recomienda </w:t>
      </w:r>
      <w:r w:rsidR="0041312A" w:rsidRPr="004E74A6">
        <w:rPr>
          <w:rFonts w:eastAsia="Calibri"/>
          <w:lang w:eastAsia="es-CR"/>
        </w:rPr>
        <w:t xml:space="preserve">a Corte Plena </w:t>
      </w:r>
      <w:r w:rsidR="004647C0" w:rsidRPr="004E74A6">
        <w:rPr>
          <w:rFonts w:eastAsia="Calibri"/>
          <w:lang w:eastAsia="es-CR"/>
        </w:rPr>
        <w:t xml:space="preserve">considerar el siguiente criterio que fue emitido por dicho </w:t>
      </w:r>
      <w:r w:rsidR="00BE694B" w:rsidRPr="004E74A6">
        <w:rPr>
          <w:rFonts w:eastAsia="Calibri"/>
          <w:lang w:eastAsia="es-CR"/>
        </w:rPr>
        <w:t>equipo:</w:t>
      </w:r>
      <w:r w:rsidR="00BE694B" w:rsidRPr="004E74A6">
        <w:rPr>
          <w:i/>
          <w:iCs/>
          <w:shd w:val="clear" w:color="auto" w:fill="FFFFFF"/>
        </w:rPr>
        <w:t xml:space="preserve"> </w:t>
      </w:r>
    </w:p>
    <w:p w14:paraId="2001F9F3" w14:textId="77777777" w:rsidR="0041312A" w:rsidRPr="004E74A6" w:rsidRDefault="0041312A" w:rsidP="0041312A">
      <w:pPr>
        <w:widowControl w:val="0"/>
        <w:suppressAutoHyphens/>
        <w:spacing w:line="276" w:lineRule="auto"/>
        <w:rPr>
          <w:i/>
          <w:iCs/>
          <w:shd w:val="clear" w:color="auto" w:fill="FFFFFF"/>
        </w:rPr>
      </w:pPr>
    </w:p>
    <w:p w14:paraId="65BF0766" w14:textId="19414933" w:rsidR="004647C0" w:rsidRDefault="00BE694B" w:rsidP="00832773">
      <w:pPr>
        <w:widowControl w:val="0"/>
        <w:suppressAutoHyphens/>
        <w:spacing w:line="276" w:lineRule="auto"/>
        <w:ind w:left="567" w:right="618"/>
        <w:rPr>
          <w:i/>
          <w:iCs/>
          <w:sz w:val="20"/>
          <w:shd w:val="clear" w:color="auto" w:fill="FFFFFF"/>
        </w:rPr>
      </w:pPr>
      <w:r w:rsidRPr="00832773">
        <w:rPr>
          <w:i/>
          <w:iCs/>
          <w:sz w:val="20"/>
          <w:shd w:val="clear" w:color="auto" w:fill="FFFFFF"/>
        </w:rPr>
        <w:t>“En</w:t>
      </w:r>
      <w:r w:rsidR="004647C0" w:rsidRPr="00832773">
        <w:rPr>
          <w:i/>
          <w:iCs/>
          <w:sz w:val="20"/>
          <w:shd w:val="clear" w:color="auto" w:fill="FFFFFF"/>
        </w:rPr>
        <w:t xml:space="preserve"> temas de fijación de cuantía, es menester hacer el siguiente recuento histórico para que los escenarios sean valorados con el origen y motivación del derecho positivo vigente y precedentes de la Sala Constitucional: </w:t>
      </w:r>
    </w:p>
    <w:p w14:paraId="78A1EF95" w14:textId="77777777" w:rsidR="005D1B48" w:rsidRPr="00832773" w:rsidRDefault="005D1B48" w:rsidP="00832773">
      <w:pPr>
        <w:widowControl w:val="0"/>
        <w:suppressAutoHyphens/>
        <w:spacing w:line="276" w:lineRule="auto"/>
        <w:ind w:left="567" w:right="618"/>
        <w:rPr>
          <w:i/>
          <w:iCs/>
          <w:sz w:val="20"/>
          <w:shd w:val="clear" w:color="auto" w:fill="FFFFFF"/>
        </w:rPr>
      </w:pPr>
    </w:p>
    <w:p w14:paraId="6C8BAE7E" w14:textId="77777777" w:rsidR="004647C0" w:rsidRPr="00832773" w:rsidRDefault="004647C0" w:rsidP="00832773">
      <w:pPr>
        <w:widowControl w:val="0"/>
        <w:spacing w:line="276" w:lineRule="auto"/>
        <w:ind w:left="567" w:right="618"/>
        <w:rPr>
          <w:i/>
          <w:iCs/>
          <w:sz w:val="20"/>
          <w:shd w:val="clear" w:color="auto" w:fill="FFFFFF"/>
        </w:rPr>
      </w:pPr>
      <w:r w:rsidRPr="00832773">
        <w:rPr>
          <w:i/>
          <w:iCs/>
          <w:sz w:val="20"/>
          <w:shd w:val="clear" w:color="auto" w:fill="FFFFFF"/>
        </w:rPr>
        <w:t xml:space="preserve">Mediante la Ley 6332 del 08 de junio del 1979 se autoriza a la Corte Suprema de Justicia para la determinación de la cuantía en procesos civiles y contenciosos. Con esto se faculta a la Corte para </w:t>
      </w:r>
      <w:r w:rsidRPr="00832773">
        <w:rPr>
          <w:i/>
          <w:iCs/>
          <w:sz w:val="20"/>
          <w:shd w:val="clear" w:color="auto" w:fill="FFFFFF"/>
        </w:rPr>
        <w:lastRenderedPageBreak/>
        <w:t xml:space="preserve">reglamentar la fijación de cuantía evitando delegar tal función al legislador como lo fue antes de esa legislación. Posteriormente, esa disposición se reitera en la Ley Orgánica del Poder Judicial artículo 59 inciso 13) quedando la norma positiva de esta manera como prerrogativa de la Corte Plena: </w:t>
      </w:r>
    </w:p>
    <w:p w14:paraId="45B1FAD4" w14:textId="77777777" w:rsidR="004647C0" w:rsidRPr="00832773" w:rsidRDefault="004647C0" w:rsidP="00832773">
      <w:pPr>
        <w:widowControl w:val="0"/>
        <w:spacing w:line="276" w:lineRule="auto"/>
        <w:ind w:left="567" w:right="618"/>
        <w:rPr>
          <w:i/>
          <w:iCs/>
          <w:sz w:val="20"/>
          <w:shd w:val="clear" w:color="auto" w:fill="FFFFFF"/>
        </w:rPr>
      </w:pPr>
      <w:r w:rsidRPr="00832773">
        <w:rPr>
          <w:i/>
          <w:iCs/>
          <w:color w:val="000000"/>
          <w:sz w:val="20"/>
          <w:shd w:val="clear" w:color="auto" w:fill="FFFFFF"/>
        </w:rPr>
        <w:t>“Establecer los montos para determinar la competencia, en razón de la cuantía, en todo asunto de carácter patrimonial”.</w:t>
      </w:r>
      <w:r w:rsidRPr="00832773">
        <w:rPr>
          <w:i/>
          <w:iCs/>
          <w:sz w:val="20"/>
          <w:shd w:val="clear" w:color="auto" w:fill="FFFFFF"/>
        </w:rPr>
        <w:t xml:space="preserve"> </w:t>
      </w:r>
    </w:p>
    <w:p w14:paraId="57F075F3" w14:textId="77777777" w:rsidR="004647C0" w:rsidRPr="00832773" w:rsidRDefault="004647C0" w:rsidP="00832773">
      <w:pPr>
        <w:widowControl w:val="0"/>
        <w:spacing w:line="276" w:lineRule="auto"/>
        <w:ind w:left="567" w:right="618"/>
        <w:rPr>
          <w:i/>
          <w:iCs/>
          <w:sz w:val="20"/>
          <w:shd w:val="clear" w:color="auto" w:fill="FFFFFF"/>
        </w:rPr>
      </w:pPr>
      <w:r w:rsidRPr="00832773">
        <w:rPr>
          <w:i/>
          <w:iCs/>
          <w:sz w:val="20"/>
          <w:shd w:val="clear" w:color="auto" w:fill="FFFFFF"/>
        </w:rPr>
        <w:t xml:space="preserve">Sobre esta facultad de Corte, es menester tomar en consideración el dimensionamiento que le ha dado la Sala Constitucional al tema de fijación de cuantía por Corte Plena en los votos 2390 de las 14:42 horas del 29 de abril de 1997, 1070 de las 15:21 del 23 de febrero de 1995 y 6097 de las 09:24 horas del 18 de octubre de 1994. </w:t>
      </w:r>
    </w:p>
    <w:p w14:paraId="3EE9CA70" w14:textId="77777777" w:rsidR="004647C0" w:rsidRPr="00832773" w:rsidRDefault="004647C0" w:rsidP="00832773">
      <w:pPr>
        <w:widowControl w:val="0"/>
        <w:spacing w:line="276" w:lineRule="auto"/>
        <w:ind w:left="567" w:right="618"/>
        <w:rPr>
          <w:i/>
          <w:iCs/>
          <w:sz w:val="20"/>
          <w:shd w:val="clear" w:color="auto" w:fill="FFFFFF"/>
        </w:rPr>
      </w:pPr>
      <w:r w:rsidRPr="00832773">
        <w:rPr>
          <w:i/>
          <w:iCs/>
          <w:color w:val="000000"/>
          <w:sz w:val="20"/>
          <w:shd w:val="clear" w:color="auto" w:fill="FFFFFF"/>
        </w:rPr>
        <w:t>Al respecto</w:t>
      </w:r>
      <w:r w:rsidRPr="00832773">
        <w:rPr>
          <w:i/>
          <w:iCs/>
          <w:sz w:val="20"/>
          <w:shd w:val="clear" w:color="auto" w:fill="FFFFFF"/>
        </w:rPr>
        <w:t xml:space="preserve">, vemos que en el voto de la Sala Constitucional 6097 del 18 de octubre de 1994, dicha Sala indica: </w:t>
      </w:r>
    </w:p>
    <w:p w14:paraId="2A07F864" w14:textId="77777777" w:rsidR="004647C0" w:rsidRPr="00832773" w:rsidRDefault="004647C0" w:rsidP="00832773">
      <w:pPr>
        <w:pStyle w:val="Textoindependiente"/>
        <w:widowControl w:val="0"/>
        <w:spacing w:line="276" w:lineRule="auto"/>
        <w:ind w:left="567" w:right="618"/>
        <w:rPr>
          <w:i/>
          <w:iCs/>
          <w:sz w:val="20"/>
        </w:rPr>
      </w:pPr>
      <w:r w:rsidRPr="00832773">
        <w:rPr>
          <w:rFonts w:hint="eastAsia"/>
          <w:i/>
          <w:iCs/>
          <w:color w:val="000000"/>
          <w:sz w:val="20"/>
          <w:shd w:val="clear" w:color="auto" w:fill="FFFFFF"/>
        </w:rPr>
        <w:t>“</w:t>
      </w:r>
      <w:r w:rsidRPr="00832773">
        <w:rPr>
          <w:i/>
          <w:iCs/>
          <w:color w:val="000000"/>
          <w:sz w:val="20"/>
          <w:shd w:val="clear" w:color="auto" w:fill="FFFFFF"/>
        </w:rPr>
        <w:t xml:space="preserve">(…) IV.- Por último, alega el accionante que la totalidad de la ley 7046 del seis de octubre de mil novecientos ochenta y seis y los Acuerdos de Corte Plena, en las sesiones celebradas el dieciocho de mayo y el veintisiete de junio ambas de mil novecientos ochenta y nueve son inconstitucionales por violar los artículos 105 en relación con el inciso primero del artículo 121, ambos de Constitución Política. Este tema fue analizado por la Sala en sentencia número 3987-92 de las quince horas treinta y seis minutos del quince de diciembre del año pasado: </w:t>
      </w:r>
      <w:r w:rsidRPr="00832773">
        <w:rPr>
          <w:i/>
          <w:iCs/>
          <w:color w:val="000000"/>
          <w:sz w:val="20"/>
        </w:rPr>
        <w:t xml:space="preserve">"...la Asamblea Legislativa no ha pasado el ejercicio de sus potestades a la Corte Plena, ni ha descargado en ésta la determinación de la competencia del Tribunal por razón de la cuantía. Establecida por el órgano legislativo la suma de doscientos mil colones, éste -que ejerce, cierto es, una facultad exclusiva determinada por el artículo 166 de la Constitución Política, cual es el "señalar la jurisdicción". decide dar una atribución al Poder Judicial, para que la Corte Plena ejecute lo ya dispuesto, en la forma prevista en el artículo 71 inciso 11 de la Ley Orgánica del Poder Judicial, lo cual no es inusual ya que la propia constitución lo ordena, en tratándose de la variación del poder adquisitivo de la moneda en su artículo 84 (...). La disposición impugnada no delega el poder de determinar la competencia por razón de la cuantía a la Corte Plena; lo que hace es hacer respetar la decisión legislativa de la Asamblea y remitir a una resolución, objetivamente delimitada, de la Corte Plena, función que como una atribución deberá ejercer esta última atenida al criterio objetivo de la inflación. TERCERO: Así, ha de distinguirse entre delegación en sentido estricto y atribuir cierta autoridad, ajustada a un patrón objetivo, a la Corte Plena para ajustar, hacia arriba o hacia abajo, la cuantía para la procedencia del recurso de casación, atribución que no resulta inconstitucional." </w:t>
      </w:r>
      <w:r w:rsidRPr="00832773">
        <w:rPr>
          <w:b/>
          <w:bCs/>
          <w:i/>
          <w:iCs/>
          <w:color w:val="000000"/>
          <w:sz w:val="20"/>
        </w:rPr>
        <w:t xml:space="preserve">De conformidad con la interpretación anterior, la Corte Plena </w:t>
      </w:r>
      <w:r w:rsidRPr="00832773">
        <w:rPr>
          <w:rFonts w:hint="eastAsia"/>
          <w:b/>
          <w:bCs/>
          <w:i/>
          <w:iCs/>
          <w:color w:val="000000"/>
          <w:sz w:val="20"/>
        </w:rPr>
        <w:t>ú</w:t>
      </w:r>
      <w:r w:rsidRPr="00832773">
        <w:rPr>
          <w:b/>
          <w:bCs/>
          <w:i/>
          <w:iCs/>
          <w:color w:val="000000"/>
          <w:sz w:val="20"/>
        </w:rPr>
        <w:t>nicamente actualiza los valores para fijar el monto para recurrir en Casación</w:t>
      </w:r>
      <w:r w:rsidRPr="00832773">
        <w:rPr>
          <w:i/>
          <w:iCs/>
          <w:color w:val="000000"/>
          <w:sz w:val="20"/>
        </w:rPr>
        <w:t xml:space="preserve">, acatando las disposiciones legislativas contenidas en la ley 7046 cuestionada y de allí que ni los acuerdos ni la ley resulta inconstitucional. Lo que disponen los acuerdos cuestionados regirán a partir de un mes después de su publicación y se aplicará a todos aquellos procesos judiciales en trámite, en los que a ese momento, aún no se hubiere dictado sentencia de segunda instancia." Lo destacado no corresponde al original. </w:t>
      </w:r>
    </w:p>
    <w:p w14:paraId="0ED0D5AB" w14:textId="77777777" w:rsidR="004647C0" w:rsidRPr="00832773" w:rsidRDefault="004647C0" w:rsidP="00832773">
      <w:pPr>
        <w:widowControl w:val="0"/>
        <w:spacing w:line="276" w:lineRule="auto"/>
        <w:ind w:left="567" w:right="618"/>
        <w:rPr>
          <w:i/>
          <w:iCs/>
          <w:sz w:val="20"/>
          <w:shd w:val="clear" w:color="auto" w:fill="FFFFFF"/>
        </w:rPr>
      </w:pPr>
      <w:r w:rsidRPr="00832773">
        <w:rPr>
          <w:i/>
          <w:iCs/>
          <w:sz w:val="20"/>
          <w:shd w:val="clear" w:color="auto" w:fill="FFFFFF"/>
        </w:rPr>
        <w:t xml:space="preserve">Se infiere que en este precedente, que a su vez se basa en la sentencia 6398-1993 de la misma Sala, se ampara la facultad de Corte Plena para fijar el monto para recurrir en casación, por lo que se recomienda valorar este dimensionamiento de Sala Constitucional para el escenario de las cuantías diferenciadas A.2., concretamente porque la Ley Orgánica del Poder Judicial establece </w:t>
      </w:r>
      <w:r w:rsidRPr="00832773">
        <w:rPr>
          <w:i/>
          <w:iCs/>
          <w:sz w:val="20"/>
          <w:shd w:val="clear" w:color="auto" w:fill="FFFFFF"/>
        </w:rPr>
        <w:lastRenderedPageBreak/>
        <w:t xml:space="preserve">dos facultades de Corte Plena en la fijación de la cuantía, descritas en el artículo 59, incisos 13 y 14, que señalan: </w:t>
      </w:r>
    </w:p>
    <w:p w14:paraId="7CA1C394" w14:textId="77777777" w:rsidR="004647C0" w:rsidRPr="00832773" w:rsidRDefault="004647C0" w:rsidP="00832773">
      <w:pPr>
        <w:widowControl w:val="0"/>
        <w:spacing w:line="276" w:lineRule="auto"/>
        <w:ind w:left="567" w:right="618"/>
        <w:rPr>
          <w:i/>
          <w:iCs/>
          <w:sz w:val="20"/>
          <w:shd w:val="clear" w:color="auto" w:fill="FFFFFF"/>
        </w:rPr>
      </w:pPr>
    </w:p>
    <w:p w14:paraId="64D90963" w14:textId="77777777" w:rsidR="004647C0" w:rsidRPr="00832773" w:rsidRDefault="004647C0" w:rsidP="00832773">
      <w:pPr>
        <w:pStyle w:val="Textoindependiente"/>
        <w:widowControl w:val="0"/>
        <w:spacing w:line="276" w:lineRule="auto"/>
        <w:ind w:left="567" w:right="618"/>
        <w:rPr>
          <w:i/>
          <w:iCs/>
          <w:sz w:val="20"/>
        </w:rPr>
      </w:pPr>
      <w:r w:rsidRPr="00832773">
        <w:rPr>
          <w:rFonts w:hint="eastAsia"/>
          <w:i/>
          <w:iCs/>
          <w:color w:val="000000"/>
          <w:sz w:val="20"/>
          <w:shd w:val="clear" w:color="auto" w:fill="FFFFFF"/>
        </w:rPr>
        <w:t>“</w:t>
      </w:r>
      <w:r w:rsidRPr="00832773">
        <w:rPr>
          <w:i/>
          <w:iCs/>
          <w:color w:val="000000"/>
          <w:sz w:val="20"/>
          <w:shd w:val="clear" w:color="auto" w:fill="FFFFFF"/>
        </w:rPr>
        <w:t>13.- Establecer los montos para determinar la competencia, en razón de la cuantía, en todo asunto de carácter patrimonial.</w:t>
      </w:r>
    </w:p>
    <w:p w14:paraId="754A0848" w14:textId="77777777" w:rsidR="004647C0" w:rsidRPr="00832773" w:rsidRDefault="004647C0" w:rsidP="00832773">
      <w:pPr>
        <w:pStyle w:val="Textoindependiente"/>
        <w:widowControl w:val="0"/>
        <w:spacing w:line="276" w:lineRule="auto"/>
        <w:ind w:left="567" w:right="618"/>
        <w:rPr>
          <w:i/>
          <w:iCs/>
          <w:sz w:val="20"/>
        </w:rPr>
      </w:pPr>
      <w:r w:rsidRPr="00832773">
        <w:rPr>
          <w:i/>
          <w:iCs/>
          <w:color w:val="000000"/>
          <w:sz w:val="20"/>
        </w:rPr>
        <w:t xml:space="preserve">14.- Establecer los montos para determinar la procedencia del recurso de casación, por votación mínima de dos terceras partes de la totalidad de los Magistrados. Este monto podrá disminuirse o aumentarse, una vez transcurrido el plazo aquí fijado, para lo cual previamente se solicitará al Banco Central de Costa Rica, un informe sobre el </w:t>
      </w:r>
      <w:r w:rsidRPr="00832773">
        <w:rPr>
          <w:rFonts w:hint="eastAsia"/>
          <w:i/>
          <w:iCs/>
          <w:color w:val="000000"/>
          <w:sz w:val="20"/>
        </w:rPr>
        <w:t>í</w:t>
      </w:r>
      <w:r w:rsidRPr="00832773">
        <w:rPr>
          <w:i/>
          <w:iCs/>
          <w:color w:val="000000"/>
          <w:sz w:val="20"/>
        </w:rPr>
        <w:t>ndice inflacionario”.</w:t>
      </w:r>
    </w:p>
    <w:p w14:paraId="342CB2E2" w14:textId="77777777" w:rsidR="004647C0" w:rsidRPr="00832773" w:rsidRDefault="004647C0" w:rsidP="00832773">
      <w:pPr>
        <w:pStyle w:val="Textoindependiente"/>
        <w:widowControl w:val="0"/>
        <w:spacing w:line="276" w:lineRule="auto"/>
        <w:ind w:left="567" w:right="618"/>
        <w:rPr>
          <w:i/>
          <w:iCs/>
          <w:sz w:val="20"/>
        </w:rPr>
      </w:pPr>
      <w:r w:rsidRPr="00832773">
        <w:rPr>
          <w:i/>
          <w:iCs/>
          <w:color w:val="000000"/>
          <w:sz w:val="20"/>
        </w:rPr>
        <w:t xml:space="preserve">Recordemos que el inciso 13 es la norma general del artículo 114 que es de especial regulación para Juzgados Contravencionales y Mixtos, en tanto le concede la facultad a Corte Plena para delimitar la competencia territorial, material, cuantía y sede a esos despachos, no obstante tómese en consideración que el ámbito de aplicación de esa norma 114 está ubicada en el capítulo III de la LOPJ para los Juzgados Contravencionales y de Menor Cuantía (los cuales por cierto ya no conocen de materia civil a partir de la reforma procesal de octubre del 2018). Si bien el criterio de Dirección Jurídica </w:t>
      </w:r>
      <w:r w:rsidRPr="00832773">
        <w:rPr>
          <w:rFonts w:eastAsia="Calibri"/>
          <w:b/>
          <w:bCs/>
          <w:i/>
          <w:iCs/>
          <w:color w:val="000000"/>
          <w:sz w:val="20"/>
          <w:lang w:eastAsia="en-US"/>
        </w:rPr>
        <w:t>DJ-C-376-2021</w:t>
      </w:r>
      <w:r w:rsidRPr="00832773">
        <w:rPr>
          <w:rFonts w:eastAsia="Calibri"/>
          <w:i/>
          <w:iCs/>
          <w:color w:val="000000"/>
          <w:sz w:val="20"/>
          <w:lang w:eastAsia="en-US"/>
        </w:rPr>
        <w:t xml:space="preserve"> del 6 de julio 2021</w:t>
      </w:r>
      <w:r w:rsidRPr="00832773">
        <w:rPr>
          <w:i/>
          <w:iCs/>
          <w:color w:val="000000"/>
          <w:sz w:val="20"/>
        </w:rPr>
        <w:t xml:space="preserve">, parece que lo desea armonizar a las estructuras actuales, no podemos pasar por alto en la interpretación sistemática de dicha que ley esa circunstancia, incluso nótese que en todas las normas posteriores al 114 se regulan temas dirigidos a los juzgados contravencionales, los cuales en su momento sí conocían civil de menor cuantía, empero actualmente no conocen civil, solamente funcionan como Centros de Gestión, regulados así por Corte. Esto lo hacemos notar para que sea considerado por los </w:t>
      </w:r>
      <w:r w:rsidRPr="00832773">
        <w:rPr>
          <w:rFonts w:hint="eastAsia"/>
          <w:i/>
          <w:iCs/>
          <w:color w:val="000000"/>
          <w:sz w:val="20"/>
        </w:rPr>
        <w:t>ó</w:t>
      </w:r>
      <w:r w:rsidRPr="00832773">
        <w:rPr>
          <w:i/>
          <w:iCs/>
          <w:color w:val="000000"/>
          <w:sz w:val="20"/>
        </w:rPr>
        <w:t>rganos tomadores de decisión en la interpretación a la postura de la Dirección Jurídica.</w:t>
      </w:r>
    </w:p>
    <w:p w14:paraId="5122EBBB" w14:textId="169E0017" w:rsidR="00623D99" w:rsidRPr="00832773" w:rsidRDefault="004647C0" w:rsidP="00832773">
      <w:pPr>
        <w:pStyle w:val="Textoindependiente"/>
        <w:widowControl w:val="0"/>
        <w:spacing w:line="276" w:lineRule="auto"/>
        <w:ind w:left="567" w:right="618"/>
        <w:rPr>
          <w:i/>
          <w:iCs/>
          <w:color w:val="000000"/>
          <w:sz w:val="20"/>
        </w:rPr>
      </w:pPr>
      <w:r w:rsidRPr="00832773">
        <w:rPr>
          <w:i/>
          <w:iCs/>
          <w:color w:val="000000"/>
          <w:sz w:val="20"/>
        </w:rPr>
        <w:t>Entonces, si el ámbito de aplicación del artículo 114 de la LOPJ se dirige solamente a Juzgados Contravencionales y Mixtos (que para civil actualmente son Centros de Gestión, no ejercen actividad jurisdiccional civil), ergo, para los supuestos que ahora se quieren regular sobre ajuste de cuantía civil, necesariamente debemos avocarnos a las normas generales de competencia de Corte Plena, ubicadas en el capítulo VI de la Ley Orgánica, artículo 59 incisos 13 y 14 antes transcritos. Sobre esto, bajo una interpretación literal y sistemática podemos concluir que esas normas no son acumulativas. En derecho público debemos regirnos por el principio de legalidad positivo (artículo 11 de la Ley General de la Administración Pública) estando autorizada la administración pública para realizar solamente lo expresamente autorizado por ley. En este caso, la ley le concede a Corte dos prerrogativas; sea ajustar la cuantía para delimitar competencia en todo asunto patrimonial y también establecer los montos para acceder al recurso de casación. Ambas facultades no se regulan como acumulativas ni con dependencia de una sobre otra, ni tampoco se establece que ambas deben ejercerse en el mismo momento, no pudiendo distinguir donde la ley no lo hace, principio básico de la hermenéutica jurídica.  Esto también lo hacemos notar para que sea considerado por los órganos tomadores de decisión en la interpretación a la postura de la Dirección Jurídica sobre cuantías diferenciadas”</w:t>
      </w:r>
    </w:p>
    <w:p w14:paraId="3ED004CA" w14:textId="777120F6" w:rsidR="0041312A" w:rsidRDefault="0041312A" w:rsidP="00832773">
      <w:pPr>
        <w:pStyle w:val="Textoindependiente"/>
        <w:widowControl w:val="0"/>
        <w:spacing w:line="276" w:lineRule="auto"/>
        <w:rPr>
          <w:i/>
          <w:iCs/>
          <w:color w:val="000000"/>
        </w:rPr>
      </w:pPr>
    </w:p>
    <w:p w14:paraId="4A0A64B1" w14:textId="77777777" w:rsidR="005D1B48" w:rsidRPr="00832773" w:rsidRDefault="005D1B48" w:rsidP="00832773">
      <w:pPr>
        <w:pStyle w:val="Textoindependiente"/>
        <w:widowControl w:val="0"/>
        <w:spacing w:line="276" w:lineRule="auto"/>
        <w:rPr>
          <w:i/>
          <w:iCs/>
          <w:color w:val="000000"/>
        </w:rPr>
      </w:pPr>
    </w:p>
    <w:p w14:paraId="5BDC3A7B" w14:textId="2B07E961" w:rsidR="00623D99" w:rsidRPr="004E74A6" w:rsidRDefault="00623D99" w:rsidP="00832773">
      <w:pPr>
        <w:pStyle w:val="Textoindependiente"/>
        <w:widowControl w:val="0"/>
        <w:spacing w:line="276" w:lineRule="auto"/>
        <w:rPr>
          <w:i/>
          <w:iCs/>
          <w:color w:val="000000"/>
        </w:rPr>
      </w:pPr>
      <w:r w:rsidRPr="004E74A6">
        <w:rPr>
          <w:rFonts w:eastAsia="Calibri"/>
          <w:lang w:eastAsia="es-CR"/>
        </w:rPr>
        <w:lastRenderedPageBreak/>
        <w:t>Como parte de las observaciones recibidas por parte de la Sala Primera</w:t>
      </w:r>
      <w:r w:rsidR="0041312A" w:rsidRPr="004E74A6">
        <w:rPr>
          <w:rFonts w:eastAsia="Calibri"/>
          <w:lang w:eastAsia="es-CR"/>
        </w:rPr>
        <w:t xml:space="preserve"> mediante oficio PS1-43-2022 (anexo 22)</w:t>
      </w:r>
      <w:r w:rsidRPr="004E74A6">
        <w:rPr>
          <w:rFonts w:eastAsia="Calibri"/>
          <w:lang w:eastAsia="es-CR"/>
        </w:rPr>
        <w:t xml:space="preserve">, se </w:t>
      </w:r>
      <w:r w:rsidR="0041312A" w:rsidRPr="004E74A6">
        <w:rPr>
          <w:rFonts w:eastAsia="Calibri"/>
          <w:lang w:eastAsia="es-CR"/>
        </w:rPr>
        <w:t>recomendó</w:t>
      </w:r>
      <w:r w:rsidRPr="004E74A6">
        <w:rPr>
          <w:rFonts w:eastAsia="Calibri"/>
          <w:lang w:eastAsia="es-CR"/>
        </w:rPr>
        <w:t xml:space="preserve"> </w:t>
      </w:r>
      <w:r w:rsidR="0041312A" w:rsidRPr="004E74A6">
        <w:rPr>
          <w:rFonts w:eastAsia="Calibri"/>
          <w:lang w:eastAsia="es-CR"/>
        </w:rPr>
        <w:t xml:space="preserve">a Corte Plena que </w:t>
      </w:r>
      <w:r w:rsidR="00A0619B" w:rsidRPr="004E74A6">
        <w:rPr>
          <w:rFonts w:eastAsia="Calibri"/>
          <w:lang w:eastAsia="es-CR"/>
        </w:rPr>
        <w:t>el límite se establezca en 40 millones de colones</w:t>
      </w:r>
      <w:r w:rsidR="0041312A" w:rsidRPr="004E74A6">
        <w:rPr>
          <w:rFonts w:eastAsia="Calibri"/>
          <w:lang w:eastAsia="es-CR"/>
        </w:rPr>
        <w:t xml:space="preserve"> y citan lo siguiente:</w:t>
      </w:r>
    </w:p>
    <w:p w14:paraId="489FD412" w14:textId="7252DF97" w:rsidR="00A0619B" w:rsidRPr="00832773" w:rsidRDefault="00A0619B" w:rsidP="00832773">
      <w:pPr>
        <w:pStyle w:val="Prrafodelista"/>
        <w:spacing w:line="276" w:lineRule="auto"/>
        <w:ind w:left="567" w:right="618"/>
        <w:rPr>
          <w:rFonts w:ascii="Book Antiqua" w:hAnsi="Book Antiqua" w:cs="Times New Roman"/>
          <w:i/>
          <w:iCs/>
          <w:sz w:val="20"/>
          <w:szCs w:val="20"/>
          <w:lang w:val="es-CR"/>
        </w:rPr>
      </w:pPr>
      <w:r w:rsidRPr="004E74A6">
        <w:rPr>
          <w:rFonts w:ascii="Book Antiqua" w:hAnsi="Book Antiqua" w:cs="Times New Roman"/>
          <w:i/>
          <w:iCs/>
          <w:sz w:val="20"/>
          <w:szCs w:val="20"/>
          <w:lang w:val="es-CR"/>
        </w:rPr>
        <w:t>“</w:t>
      </w:r>
      <w:r w:rsidRPr="00832773">
        <w:rPr>
          <w:rFonts w:ascii="Book Antiqua" w:hAnsi="Book Antiqua" w:cs="Times New Roman"/>
          <w:i/>
          <w:iCs/>
          <w:sz w:val="20"/>
          <w:szCs w:val="20"/>
          <w:lang w:val="es-CR"/>
        </w:rPr>
        <w:t>El pasado 30 de setiembre, la Dirección de Planificación remitió un documento con el nuevo cálculo del impacto que tendría sobre los juzgados civiles el aumento en la cuantía a 20 millones, que indica lo siguiente: “al realizar la proyección utilizando un promedio simple de distribución asuntos por procedencia, el incremento proyectado en las oficinas civiles es del 6% anual, y utilizando un promedio ponderado el impacto o incremento en la entrada se proyecta en 4%”.  Bajo esta perspectiva, la modificación en la distribución de las cargas de trabajo ante un cambio a 20 millones no conllevaría cambios sustanciales que comprometa la eficiencia en la competencia de los Juzgados, Tribunales y la Sala Primera.</w:t>
      </w:r>
    </w:p>
    <w:p w14:paraId="369781D8" w14:textId="77777777" w:rsidR="00A0619B" w:rsidRPr="00832773" w:rsidRDefault="00A0619B" w:rsidP="00832773">
      <w:pPr>
        <w:pStyle w:val="Prrafodelista"/>
        <w:spacing w:line="276" w:lineRule="auto"/>
        <w:ind w:left="567" w:right="618"/>
        <w:rPr>
          <w:rFonts w:ascii="Book Antiqua" w:hAnsi="Book Antiqua" w:cs="Times New Roman"/>
          <w:i/>
          <w:iCs/>
          <w:sz w:val="20"/>
          <w:szCs w:val="20"/>
          <w:lang w:val="es-CR"/>
        </w:rPr>
      </w:pPr>
      <w:r w:rsidRPr="00832773">
        <w:rPr>
          <w:rFonts w:ascii="Book Antiqua" w:hAnsi="Book Antiqua" w:cs="Times New Roman"/>
          <w:i/>
          <w:iCs/>
          <w:sz w:val="20"/>
          <w:szCs w:val="20"/>
          <w:lang w:val="es-CR"/>
        </w:rPr>
        <w:t xml:space="preserve">En la página 123 del informe, se establece que, ante el aumento propuesto de 20 millones, la Sala Primera dejaría de recibir 153 asuntos menos por año, que equivalen a 14 asuntos por mes, que pasarían a distribuirse entre los 9 Tribunales de Apelación. En este contexto, al ser la cuantía un criterio de distribución de competencias que debería plantearse en el largo plazo, con el fin de evitar cambios continuos en la estructura organizacional, esta Sala considera que debería ser superior al monto que establece el informe, y situarse en 40 millones de colones, que de acuerdo a la información de la tabla n° 63 implicaría una disminución de 218 recursos de casación por año (18 casos por mes). </w:t>
      </w:r>
    </w:p>
    <w:p w14:paraId="6D5D03FF" w14:textId="25E5E80E" w:rsidR="00A0619B" w:rsidRPr="00832773" w:rsidRDefault="00A0619B" w:rsidP="00832773">
      <w:pPr>
        <w:pStyle w:val="Prrafodelista"/>
        <w:spacing w:line="276" w:lineRule="auto"/>
        <w:ind w:left="567" w:right="618"/>
        <w:rPr>
          <w:rFonts w:ascii="Book Antiqua" w:hAnsi="Book Antiqua" w:cs="Times New Roman"/>
          <w:i/>
          <w:iCs/>
          <w:sz w:val="20"/>
          <w:szCs w:val="20"/>
          <w:lang w:val="es-CR"/>
        </w:rPr>
      </w:pPr>
      <w:r w:rsidRPr="00832773">
        <w:rPr>
          <w:rFonts w:ascii="Book Antiqua" w:hAnsi="Book Antiqua" w:cs="Times New Roman"/>
          <w:i/>
          <w:iCs/>
          <w:sz w:val="20"/>
          <w:szCs w:val="20"/>
          <w:lang w:val="es-CR"/>
        </w:rPr>
        <w:t>De acuerdo con las estadísticas de distribución de casos por cuantía durante el 2021 que incluyó la Dirección de Planificación en su informe, la cantidad de asuntos que ingresan anualmente a los Tribunales Colegiados de Primera Instancia en el rango de los 20 a 40 millones, es promedio de 26 asuntos para los Tribunales de San José, Alajuela, Cartago y Heredia; para los Tribunales de Liberia, Puntarenas, Pérez Zeledón y Limón el promedio es de 15 asuntos y finalmente para los Tribunales de Hatillo, San Ramón y Nicoya la media es 6 asuntos, siendo entonces, que en términos absolutos la cantidad de casos anuales en ese rango de cuantía no es significativo y es una carga de trabajo que podría absorberse por los Juzgados Civiles.</w:t>
      </w:r>
      <w:r w:rsidRPr="004E74A6">
        <w:rPr>
          <w:rFonts w:ascii="Book Antiqua" w:hAnsi="Book Antiqua" w:cs="Times New Roman"/>
          <w:i/>
          <w:iCs/>
          <w:sz w:val="20"/>
          <w:szCs w:val="20"/>
          <w:lang w:val="es-CR"/>
        </w:rPr>
        <w:t>”</w:t>
      </w:r>
    </w:p>
    <w:p w14:paraId="49EE098F" w14:textId="77777777" w:rsidR="00623D99" w:rsidRPr="00832773" w:rsidRDefault="00623D99" w:rsidP="00832773">
      <w:pPr>
        <w:pStyle w:val="Textoindependiente"/>
        <w:widowControl w:val="0"/>
        <w:spacing w:line="276" w:lineRule="auto"/>
        <w:ind w:left="720"/>
        <w:rPr>
          <w:i/>
          <w:iCs/>
          <w:color w:val="000000"/>
        </w:rPr>
      </w:pPr>
    </w:p>
    <w:p w14:paraId="5B91FD1C" w14:textId="0BC5C6BA" w:rsidR="00CD7AC2" w:rsidRPr="005D1B48" w:rsidRDefault="00623D99" w:rsidP="00832773">
      <w:pPr>
        <w:pStyle w:val="Prrafodelista"/>
        <w:numPr>
          <w:ilvl w:val="1"/>
          <w:numId w:val="63"/>
        </w:numPr>
        <w:spacing w:after="160" w:line="276" w:lineRule="auto"/>
        <w:ind w:left="426" w:hanging="436"/>
        <w:contextualSpacing/>
        <w:rPr>
          <w:rFonts w:eastAsia="Calibri"/>
          <w:lang w:eastAsia="es-CR"/>
        </w:rPr>
      </w:pPr>
      <w:r w:rsidRPr="00832773">
        <w:rPr>
          <w:rFonts w:ascii="Book Antiqua" w:eastAsia="Calibri" w:hAnsi="Book Antiqua"/>
          <w:lang w:val="es-CR" w:eastAsia="es-CR"/>
        </w:rPr>
        <w:t xml:space="preserve">Se recomienda </w:t>
      </w:r>
      <w:r w:rsidR="00890851" w:rsidRPr="00832773">
        <w:rPr>
          <w:rFonts w:ascii="Book Antiqua" w:eastAsia="Calibri" w:hAnsi="Book Antiqua"/>
          <w:lang w:val="es-CR" w:eastAsia="es-CR"/>
        </w:rPr>
        <w:t>que,</w:t>
      </w:r>
      <w:r w:rsidRPr="00832773">
        <w:rPr>
          <w:rFonts w:ascii="Book Antiqua" w:eastAsia="Calibri" w:hAnsi="Book Antiqua"/>
          <w:lang w:val="es-CR" w:eastAsia="es-CR"/>
        </w:rPr>
        <w:t xml:space="preserve"> en caso de aprobarse algún escenario presente en este informe de la Dirección de Planificación o un escenario alternativo aprobado por Corte Plena, dentro del uso pleno de sus facultades, y que involucre la modificación de la cuantía en materia </w:t>
      </w:r>
      <w:r w:rsidR="00AA1793" w:rsidRPr="00832773">
        <w:rPr>
          <w:rFonts w:ascii="Book Antiqua" w:eastAsia="Calibri" w:hAnsi="Book Antiqua"/>
          <w:lang w:val="es-CR" w:eastAsia="es-CR"/>
        </w:rPr>
        <w:t>C</w:t>
      </w:r>
      <w:r w:rsidRPr="00832773">
        <w:rPr>
          <w:rFonts w:ascii="Book Antiqua" w:eastAsia="Calibri" w:hAnsi="Book Antiqua"/>
          <w:lang w:val="es-CR" w:eastAsia="es-CR"/>
        </w:rPr>
        <w:t>ivil (aumento o disminución de los 3 millones de colones vigentes como límite)</w:t>
      </w:r>
      <w:r w:rsidR="00CD7AC2" w:rsidRPr="00832773">
        <w:rPr>
          <w:rFonts w:ascii="Book Antiqua" w:eastAsia="Calibri" w:hAnsi="Book Antiqua"/>
          <w:lang w:val="es-CR" w:eastAsia="es-CR"/>
        </w:rPr>
        <w:t xml:space="preserve"> entonces:</w:t>
      </w:r>
    </w:p>
    <w:p w14:paraId="3D657AAD" w14:textId="77777777" w:rsidR="005D1B48" w:rsidRPr="00832773" w:rsidRDefault="005D1B48" w:rsidP="005D1B48">
      <w:pPr>
        <w:pStyle w:val="Prrafodelista"/>
        <w:spacing w:after="160" w:line="276" w:lineRule="auto"/>
        <w:ind w:left="426"/>
        <w:contextualSpacing/>
        <w:rPr>
          <w:rFonts w:eastAsia="Calibri"/>
          <w:lang w:eastAsia="es-CR"/>
        </w:rPr>
      </w:pPr>
    </w:p>
    <w:p w14:paraId="47F2B858" w14:textId="7863E65B" w:rsidR="00CD7AC2" w:rsidRPr="00832773" w:rsidRDefault="00CD7AC2" w:rsidP="00CD7AC2">
      <w:pPr>
        <w:pStyle w:val="Prrafodelista"/>
        <w:numPr>
          <w:ilvl w:val="0"/>
          <w:numId w:val="61"/>
        </w:numPr>
        <w:spacing w:line="276" w:lineRule="auto"/>
        <w:rPr>
          <w:rFonts w:ascii="Book Antiqua" w:eastAsia="Calibri" w:hAnsi="Book Antiqua" w:cs="Times New Roman"/>
          <w:lang w:val="es-CR" w:eastAsia="en-US"/>
        </w:rPr>
      </w:pPr>
      <w:r w:rsidRPr="00832773">
        <w:rPr>
          <w:rFonts w:ascii="Book Antiqua" w:eastAsia="Calibri" w:hAnsi="Book Antiqua" w:cs="Times New Roman"/>
          <w:lang w:val="es-CR" w:eastAsia="en-US"/>
        </w:rPr>
        <w:t>Se solicite</w:t>
      </w:r>
      <w:r w:rsidR="00623D99" w:rsidRPr="00832773">
        <w:rPr>
          <w:rFonts w:ascii="Book Antiqua" w:eastAsia="Calibri" w:hAnsi="Book Antiqua" w:cs="Times New Roman"/>
          <w:lang w:val="es-CR" w:eastAsia="en-US"/>
        </w:rPr>
        <w:t xml:space="preserve"> a la Dirección de Planificación hacer la revisión de los planes de trabajo que se encuentren vigentes al momento e involucren oficinas como Juzgados Civiles, Cobro o Tribunales Colegiados de Primera Instancia Civil, con la finalidad de valorar su continuidad y el correcto uso de plazas.</w:t>
      </w:r>
    </w:p>
    <w:p w14:paraId="12CAC2FD" w14:textId="049A2D8C" w:rsidR="00CD7AC2" w:rsidRPr="00C375EC" w:rsidRDefault="00CD7AC2" w:rsidP="00832773">
      <w:pPr>
        <w:pStyle w:val="Prrafodelista"/>
        <w:numPr>
          <w:ilvl w:val="0"/>
          <w:numId w:val="61"/>
        </w:numPr>
        <w:spacing w:line="276" w:lineRule="auto"/>
        <w:rPr>
          <w:rFonts w:eastAsia="Calibri"/>
          <w:lang w:eastAsia="en-US"/>
        </w:rPr>
      </w:pPr>
      <w:r w:rsidRPr="00832773">
        <w:rPr>
          <w:rFonts w:ascii="Book Antiqua" w:eastAsia="Calibri" w:hAnsi="Book Antiqua" w:cs="Times New Roman"/>
          <w:lang w:val="es-CR" w:eastAsia="en-US"/>
        </w:rPr>
        <w:lastRenderedPageBreak/>
        <w:t>Se solicite a la Dirección Jurídica de ampliación respecto al criterio DJ-AJ-C-247-2021 del 12 de mayo de 2021 (anexo 10) en donde concluye que las personas juzgadoras Civiles por su competencia específica no pueden firmar asuntos en materia de Cobro Judicial como parte de planes de trabajo desarrollados en la primera instancia, para generar carga de trabajo para las plazas civiles y reducirlos plazos de espera en materia cobratoria, considerando las reservas comunicadas por la Comisión de la Jurisdicción Civil al respecto</w:t>
      </w:r>
      <w:r w:rsidRPr="00832773">
        <w:rPr>
          <w:rStyle w:val="Refdenotaalpie"/>
          <w:rFonts w:ascii="Book Antiqua" w:eastAsia="Calibri" w:hAnsi="Book Antiqua"/>
          <w:lang w:val="es-CR" w:eastAsia="en-US"/>
        </w:rPr>
        <w:footnoteReference w:id="50"/>
      </w:r>
      <w:r w:rsidRPr="00832773">
        <w:rPr>
          <w:rFonts w:ascii="Book Antiqua" w:eastAsia="Calibri" w:hAnsi="Book Antiqua" w:cs="Times New Roman"/>
          <w:lang w:val="es-CR" w:eastAsia="en-US"/>
        </w:rPr>
        <w:t xml:space="preserve">. </w:t>
      </w:r>
    </w:p>
    <w:p w14:paraId="653236C6" w14:textId="77777777" w:rsidR="00CD7AC2" w:rsidRPr="004E74A6" w:rsidRDefault="00CD7AC2" w:rsidP="00832773">
      <w:pPr>
        <w:spacing w:line="276" w:lineRule="auto"/>
        <w:ind w:left="720"/>
        <w:rPr>
          <w:rFonts w:eastAsia="Calibri"/>
          <w:szCs w:val="24"/>
          <w:lang w:eastAsia="en-US"/>
        </w:rPr>
      </w:pPr>
    </w:p>
    <w:p w14:paraId="11A31C69" w14:textId="2B891B62" w:rsidR="008D30CC" w:rsidRPr="00832773" w:rsidRDefault="008D30CC" w:rsidP="00832773">
      <w:pPr>
        <w:pStyle w:val="Prrafodelista"/>
        <w:numPr>
          <w:ilvl w:val="1"/>
          <w:numId w:val="63"/>
        </w:numPr>
        <w:spacing w:after="160" w:line="276" w:lineRule="auto"/>
        <w:ind w:left="426" w:hanging="436"/>
        <w:contextualSpacing/>
        <w:rPr>
          <w:rFonts w:eastAsia="Calibri"/>
          <w:lang w:eastAsia="es-CR"/>
        </w:rPr>
      </w:pPr>
      <w:r w:rsidRPr="00832773">
        <w:rPr>
          <w:rFonts w:ascii="Book Antiqua" w:eastAsia="Calibri" w:hAnsi="Book Antiqua"/>
          <w:lang w:val="es-CR" w:eastAsia="es-CR"/>
        </w:rPr>
        <w:t xml:space="preserve">Se </w:t>
      </w:r>
      <w:r w:rsidR="00543A05" w:rsidRPr="00832773">
        <w:rPr>
          <w:rFonts w:ascii="Book Antiqua" w:eastAsia="Calibri" w:hAnsi="Book Antiqua"/>
          <w:lang w:val="es-CR" w:eastAsia="es-CR"/>
        </w:rPr>
        <w:t>incluye para</w:t>
      </w:r>
      <w:r w:rsidRPr="00832773">
        <w:rPr>
          <w:rFonts w:ascii="Book Antiqua" w:eastAsia="Calibri" w:hAnsi="Book Antiqua"/>
          <w:lang w:val="es-CR" w:eastAsia="es-CR"/>
        </w:rPr>
        <w:t xml:space="preserve"> valoración lo indicado en el oficio PS1-43-2022 </w:t>
      </w:r>
      <w:r w:rsidR="00C90814" w:rsidRPr="00832773">
        <w:rPr>
          <w:rFonts w:ascii="Book Antiqua" w:eastAsia="Calibri" w:hAnsi="Book Antiqua"/>
          <w:lang w:val="es-CR" w:eastAsia="es-CR"/>
        </w:rPr>
        <w:t xml:space="preserve">por </w:t>
      </w:r>
      <w:r w:rsidRPr="00832773">
        <w:rPr>
          <w:rFonts w:ascii="Book Antiqua" w:eastAsia="Calibri" w:hAnsi="Book Antiqua"/>
          <w:lang w:val="es-CR" w:eastAsia="es-CR"/>
        </w:rPr>
        <w:t xml:space="preserve">del señor Magistrado Presidente de Sala Primera, Luis Guillermo Rivas Loáiciga, </w:t>
      </w:r>
      <w:r w:rsidR="00543A05" w:rsidRPr="00832773">
        <w:rPr>
          <w:rFonts w:ascii="Book Antiqua" w:eastAsia="Calibri" w:hAnsi="Book Antiqua"/>
          <w:lang w:val="es-CR" w:eastAsia="es-CR"/>
        </w:rPr>
        <w:t>donde recomienda</w:t>
      </w:r>
      <w:r w:rsidR="00AA1793" w:rsidRPr="00832773">
        <w:rPr>
          <w:rFonts w:ascii="Book Antiqua" w:eastAsia="Calibri" w:hAnsi="Book Antiqua"/>
          <w:lang w:val="es-CR" w:eastAsia="es-CR"/>
        </w:rPr>
        <w:t xml:space="preserve"> que en lugar de utilizar el índice de Precios al Consumidor como establece la Ley Orgánica del Poder Judicial</w:t>
      </w:r>
      <w:r w:rsidR="00543A05" w:rsidRPr="00832773">
        <w:rPr>
          <w:rFonts w:ascii="Book Antiqua" w:eastAsia="Calibri" w:hAnsi="Book Antiqua"/>
          <w:lang w:val="es-CR" w:eastAsia="es-CR"/>
        </w:rPr>
        <w:t xml:space="preserve"> </w:t>
      </w:r>
      <w:r w:rsidR="00AA1793" w:rsidRPr="00832773">
        <w:rPr>
          <w:rFonts w:ascii="Book Antiqua" w:eastAsia="Calibri" w:hAnsi="Book Antiqua"/>
          <w:lang w:val="es-CR" w:eastAsia="es-CR"/>
        </w:rPr>
        <w:t xml:space="preserve">sea </w:t>
      </w:r>
      <w:r w:rsidR="00543A05" w:rsidRPr="00832773">
        <w:rPr>
          <w:rFonts w:ascii="Book Antiqua" w:eastAsia="Calibri" w:hAnsi="Book Antiqua"/>
          <w:lang w:val="es-CR" w:eastAsia="es-CR"/>
        </w:rPr>
        <w:t>“la Dirección de Planificación trabaje cuanto antes en la construcción de una metodología de índice para cuantías judiciales”.</w:t>
      </w:r>
    </w:p>
    <w:p w14:paraId="33ECE985" w14:textId="47CB7897" w:rsidR="00494557" w:rsidRPr="00C375EC" w:rsidRDefault="00494557" w:rsidP="00832773">
      <w:pPr>
        <w:pStyle w:val="Ttulo3"/>
        <w:rPr>
          <w:lang w:eastAsia="ja-JP"/>
        </w:rPr>
      </w:pPr>
      <w:r w:rsidRPr="00832773">
        <w:rPr>
          <w:lang w:val="es-CR" w:eastAsia="ja-JP"/>
        </w:rPr>
        <w:t xml:space="preserve">Al </w:t>
      </w:r>
      <w:r w:rsidR="00926517" w:rsidRPr="00832773">
        <w:rPr>
          <w:lang w:val="es-CR" w:eastAsia="ja-JP"/>
        </w:rPr>
        <w:t>Consejo Superior</w:t>
      </w:r>
    </w:p>
    <w:p w14:paraId="7F1DD160" w14:textId="587FD9E7" w:rsidR="00926517" w:rsidRDefault="00B727C4" w:rsidP="00832773">
      <w:pPr>
        <w:pStyle w:val="Prrafodelista"/>
        <w:numPr>
          <w:ilvl w:val="1"/>
          <w:numId w:val="63"/>
        </w:numPr>
        <w:spacing w:after="160" w:line="276" w:lineRule="auto"/>
        <w:ind w:left="426" w:hanging="436"/>
        <w:contextualSpacing/>
        <w:rPr>
          <w:rFonts w:ascii="Book Antiqua" w:eastAsia="Calibri" w:hAnsi="Book Antiqua"/>
          <w:lang w:val="es-CR" w:eastAsia="es-CR"/>
        </w:rPr>
      </w:pPr>
      <w:r w:rsidRPr="00832773">
        <w:rPr>
          <w:rFonts w:ascii="Book Antiqua" w:eastAsia="Calibri" w:hAnsi="Book Antiqua"/>
          <w:lang w:val="es-CR" w:eastAsia="es-CR"/>
        </w:rPr>
        <w:t>Reiterar las responsabilidades de cada dependencia conforme al Modelo de Sostenibilidad según acuerdos del Consejo Superior en sesiones 107-16 del 29 de noviembre, artículo XLIX y 16-2020 celebrada el 27 de febrero del 2020, artículo LXXIII, de generar planes remediales y coordinaciones con los demás entes responsables del citado Modelo de forma que se mejore la gestión de las oficinas</w:t>
      </w:r>
      <w:r w:rsidR="000112D0" w:rsidRPr="00832773">
        <w:rPr>
          <w:rFonts w:ascii="Book Antiqua" w:eastAsia="Calibri" w:hAnsi="Book Antiqua"/>
          <w:lang w:val="es-CR" w:eastAsia="es-CR"/>
        </w:rPr>
        <w:t xml:space="preserve"> (informes de la Dirección de Planificación 1981-PLA-2016 y 217-PLA-2017).</w:t>
      </w:r>
    </w:p>
    <w:p w14:paraId="1DC6F480" w14:textId="77777777" w:rsidR="00890851" w:rsidRPr="00832773" w:rsidRDefault="00890851" w:rsidP="00890851">
      <w:pPr>
        <w:pStyle w:val="Prrafodelista"/>
        <w:spacing w:after="160" w:line="276" w:lineRule="auto"/>
        <w:ind w:left="426"/>
        <w:contextualSpacing/>
        <w:rPr>
          <w:rFonts w:ascii="Book Antiqua" w:eastAsia="Calibri" w:hAnsi="Book Antiqua"/>
          <w:lang w:val="es-CR" w:eastAsia="es-CR"/>
        </w:rPr>
      </w:pPr>
    </w:p>
    <w:p w14:paraId="43BF5DDA" w14:textId="667CBABA" w:rsidR="00536D67" w:rsidRPr="00832773" w:rsidRDefault="00926517" w:rsidP="00832773">
      <w:pPr>
        <w:pStyle w:val="Prrafodelista"/>
        <w:numPr>
          <w:ilvl w:val="1"/>
          <w:numId w:val="63"/>
        </w:numPr>
        <w:spacing w:after="160" w:line="276" w:lineRule="auto"/>
        <w:ind w:left="426" w:hanging="436"/>
        <w:contextualSpacing/>
        <w:rPr>
          <w:rFonts w:ascii="Book Antiqua" w:eastAsia="Calibri" w:hAnsi="Book Antiqua"/>
          <w:lang w:val="es-CR" w:eastAsia="es-CR"/>
        </w:rPr>
      </w:pPr>
      <w:r w:rsidRPr="00832773">
        <w:rPr>
          <w:rFonts w:ascii="Book Antiqua" w:eastAsia="Calibri" w:hAnsi="Book Antiqua"/>
          <w:lang w:val="es-CR" w:eastAsia="es-CR"/>
        </w:rPr>
        <w:t>R</w:t>
      </w:r>
      <w:r w:rsidR="00097349" w:rsidRPr="00832773">
        <w:rPr>
          <w:rFonts w:ascii="Book Antiqua" w:eastAsia="Calibri" w:hAnsi="Book Antiqua"/>
          <w:lang w:val="es-CR" w:eastAsia="es-CR"/>
        </w:rPr>
        <w:t xml:space="preserve">eiterar a las diversas oficinas correspondientes a la materia </w:t>
      </w:r>
      <w:r w:rsidRPr="00832773">
        <w:rPr>
          <w:rFonts w:ascii="Book Antiqua" w:eastAsia="Calibri" w:hAnsi="Book Antiqua"/>
          <w:lang w:val="es-CR" w:eastAsia="es-CR"/>
        </w:rPr>
        <w:t>C</w:t>
      </w:r>
      <w:r w:rsidR="00097349" w:rsidRPr="00832773">
        <w:rPr>
          <w:rFonts w:ascii="Book Antiqua" w:eastAsia="Calibri" w:hAnsi="Book Antiqua"/>
          <w:lang w:val="es-CR" w:eastAsia="es-CR"/>
        </w:rPr>
        <w:t>ivil</w:t>
      </w:r>
      <w:r w:rsidR="000112D0" w:rsidRPr="00832773">
        <w:rPr>
          <w:rFonts w:ascii="Book Antiqua" w:eastAsia="Calibri" w:hAnsi="Book Antiqua"/>
          <w:lang w:val="es-CR" w:eastAsia="es-CR"/>
        </w:rPr>
        <w:t xml:space="preserve">, en Primera y Segunda </w:t>
      </w:r>
      <w:r w:rsidR="008D51C4" w:rsidRPr="00832773">
        <w:rPr>
          <w:rFonts w:ascii="Book Antiqua" w:eastAsia="Calibri" w:hAnsi="Book Antiqua"/>
          <w:lang w:val="es-CR" w:eastAsia="es-CR"/>
        </w:rPr>
        <w:t>Instancia,</w:t>
      </w:r>
      <w:r w:rsidR="000112D0" w:rsidRPr="00832773">
        <w:rPr>
          <w:rFonts w:ascii="Book Antiqua" w:eastAsia="Calibri" w:hAnsi="Book Antiqua"/>
          <w:lang w:val="es-CR" w:eastAsia="es-CR"/>
        </w:rPr>
        <w:t xml:space="preserve"> así como en la Sala Primera</w:t>
      </w:r>
      <w:r w:rsidR="00097349" w:rsidRPr="00832773">
        <w:rPr>
          <w:rFonts w:ascii="Book Antiqua" w:eastAsia="Calibri" w:hAnsi="Book Antiqua"/>
          <w:lang w:val="es-CR" w:eastAsia="es-CR"/>
        </w:rPr>
        <w:t xml:space="preserve">, </w:t>
      </w:r>
      <w:r w:rsidR="000112D0" w:rsidRPr="00832773">
        <w:rPr>
          <w:rFonts w:ascii="Book Antiqua" w:eastAsia="Calibri" w:hAnsi="Book Antiqua"/>
          <w:lang w:val="es-CR" w:eastAsia="es-CR"/>
        </w:rPr>
        <w:t xml:space="preserve">donde es una </w:t>
      </w:r>
      <w:r w:rsidR="00097349" w:rsidRPr="00832773">
        <w:rPr>
          <w:rFonts w:ascii="Book Antiqua" w:eastAsia="Calibri" w:hAnsi="Book Antiqua"/>
          <w:lang w:val="es-CR" w:eastAsia="es-CR"/>
        </w:rPr>
        <w:t>necesidad de hacer un llenado completo de los datos en los Sistemas Informáticos incluido el campo de cuantía</w:t>
      </w:r>
      <w:r w:rsidRPr="00832773">
        <w:rPr>
          <w:rFonts w:ascii="Book Antiqua" w:eastAsia="Calibri" w:hAnsi="Book Antiqua"/>
          <w:lang w:val="es-CR" w:eastAsia="es-CR"/>
        </w:rPr>
        <w:t xml:space="preserve"> (tipo y rango)</w:t>
      </w:r>
      <w:r w:rsidR="00097349" w:rsidRPr="00832773">
        <w:rPr>
          <w:rFonts w:ascii="Book Antiqua" w:eastAsia="Calibri" w:hAnsi="Book Antiqua"/>
          <w:lang w:val="es-CR" w:eastAsia="es-CR"/>
        </w:rPr>
        <w:t xml:space="preserve"> con la finalidad de tener mejor calidad de la información</w:t>
      </w:r>
      <w:r w:rsidR="00B737BD" w:rsidRPr="00832773">
        <w:rPr>
          <w:rFonts w:ascii="Book Antiqua" w:eastAsia="Calibri" w:hAnsi="Book Antiqua"/>
          <w:lang w:val="es-CR" w:eastAsia="es-CR"/>
        </w:rPr>
        <w:t>,</w:t>
      </w:r>
      <w:r w:rsidR="00097349" w:rsidRPr="00832773">
        <w:rPr>
          <w:rFonts w:ascii="Book Antiqua" w:eastAsia="Calibri" w:hAnsi="Book Antiqua"/>
          <w:lang w:val="es-CR" w:eastAsia="es-CR"/>
        </w:rPr>
        <w:t xml:space="preserve"> </w:t>
      </w:r>
      <w:r w:rsidR="00B737BD" w:rsidRPr="00832773">
        <w:rPr>
          <w:rFonts w:ascii="Book Antiqua" w:eastAsia="Calibri" w:hAnsi="Book Antiqua"/>
          <w:lang w:val="es-CR" w:eastAsia="es-CR"/>
        </w:rPr>
        <w:t>e</w:t>
      </w:r>
      <w:r w:rsidR="00097349" w:rsidRPr="00832773">
        <w:rPr>
          <w:rFonts w:ascii="Book Antiqua" w:eastAsia="Calibri" w:hAnsi="Book Antiqua"/>
          <w:lang w:val="es-CR" w:eastAsia="es-CR"/>
        </w:rPr>
        <w:t>sto llevando a cabo controles al respecto</w:t>
      </w:r>
      <w:r w:rsidRPr="00832773">
        <w:rPr>
          <w:rFonts w:ascii="Book Antiqua" w:eastAsia="Calibri" w:hAnsi="Book Antiqua"/>
          <w:lang w:val="es-CR" w:eastAsia="es-CR"/>
        </w:rPr>
        <w:t xml:space="preserve">, pudiendo utilizar en la variable tipo de cuantía únicamente las opciones estimable o inestimable. </w:t>
      </w:r>
    </w:p>
    <w:p w14:paraId="2EDA1647" w14:textId="6EE3BC35" w:rsidR="00796AC9" w:rsidRPr="00832773" w:rsidRDefault="00796AC9" w:rsidP="00832773">
      <w:pPr>
        <w:pStyle w:val="Prrafodelista"/>
        <w:spacing w:before="240" w:line="276" w:lineRule="auto"/>
        <w:ind w:left="720"/>
        <w:rPr>
          <w:rFonts w:ascii="Book Antiqua" w:hAnsi="Book Antiqua"/>
          <w:lang w:val="es-CR"/>
        </w:rPr>
      </w:pPr>
    </w:p>
    <w:p w14:paraId="66F68237" w14:textId="199F3AB8" w:rsidR="00F662D4" w:rsidRPr="00832773" w:rsidRDefault="00F662D4" w:rsidP="00832773">
      <w:pPr>
        <w:pStyle w:val="Prrafodelista"/>
        <w:numPr>
          <w:ilvl w:val="1"/>
          <w:numId w:val="63"/>
        </w:numPr>
        <w:spacing w:after="160" w:line="276" w:lineRule="auto"/>
        <w:ind w:left="426" w:hanging="436"/>
        <w:contextualSpacing/>
        <w:rPr>
          <w:rFonts w:ascii="Book Antiqua" w:eastAsia="Calibri" w:hAnsi="Book Antiqua"/>
          <w:lang w:val="es-CR" w:eastAsia="es-CR"/>
        </w:rPr>
      </w:pPr>
      <w:r w:rsidRPr="00832773">
        <w:rPr>
          <w:rFonts w:ascii="Book Antiqua" w:eastAsia="Calibri" w:hAnsi="Book Antiqua"/>
          <w:lang w:val="es-CR" w:eastAsia="es-CR"/>
        </w:rPr>
        <w:lastRenderedPageBreak/>
        <w:t xml:space="preserve">Solicitar a la Dirección de Tecnología de la Información valorar la factibilidad de crear una mejora en el sistema actual o nuevo sistema de gestión de manera que las opciones que aparecen a nivel de sistema se ajusten a la formula estadística, imposibilitando que se puedan seleccionar variables que no sean atinentes a la clase de asunto, procedimientos y demás elementos de la fórmula. Por </w:t>
      </w:r>
      <w:r w:rsidR="00CD01A6" w:rsidRPr="00832773">
        <w:rPr>
          <w:rFonts w:ascii="Book Antiqua" w:eastAsia="Calibri" w:hAnsi="Book Antiqua"/>
          <w:lang w:val="es-CR" w:eastAsia="es-CR"/>
        </w:rPr>
        <w:t>ejemplo,</w:t>
      </w:r>
      <w:r w:rsidRPr="00832773">
        <w:rPr>
          <w:rFonts w:ascii="Book Antiqua" w:eastAsia="Calibri" w:hAnsi="Book Antiqua"/>
          <w:lang w:val="es-CR" w:eastAsia="es-CR"/>
        </w:rPr>
        <w:t xml:space="preserve"> para la clase “ordinario” solo debería visualizarse como opción en procedimiento “ordinario” y que no se visualicen todas las opciones para evitar errores o inconsistencias.  </w:t>
      </w:r>
    </w:p>
    <w:p w14:paraId="02EC9E21" w14:textId="77777777" w:rsidR="002600D7" w:rsidRPr="00832773" w:rsidRDefault="002600D7" w:rsidP="00832773">
      <w:pPr>
        <w:pStyle w:val="Prrafodelista"/>
        <w:rPr>
          <w:rFonts w:ascii="Book Antiqua" w:hAnsi="Book Antiqua"/>
          <w:lang w:val="es-CR"/>
        </w:rPr>
      </w:pPr>
    </w:p>
    <w:p w14:paraId="265CA40A" w14:textId="6F8CA1C7" w:rsidR="002600D7" w:rsidRPr="00832773" w:rsidRDefault="002600D7" w:rsidP="00832773">
      <w:pPr>
        <w:pStyle w:val="Prrafodelista"/>
        <w:numPr>
          <w:ilvl w:val="1"/>
          <w:numId w:val="63"/>
        </w:numPr>
        <w:spacing w:after="160" w:line="276" w:lineRule="auto"/>
        <w:ind w:left="426" w:hanging="436"/>
        <w:contextualSpacing/>
        <w:rPr>
          <w:rFonts w:ascii="Book Antiqua" w:eastAsia="Calibri" w:hAnsi="Book Antiqua"/>
          <w:lang w:val="es-CR" w:eastAsia="es-CR"/>
        </w:rPr>
      </w:pPr>
      <w:r w:rsidRPr="00832773">
        <w:rPr>
          <w:rFonts w:ascii="Book Antiqua" w:eastAsia="Calibri" w:hAnsi="Book Antiqua"/>
          <w:lang w:val="es-CR" w:eastAsia="es-CR"/>
        </w:rPr>
        <w:t>Reiterar la circular 22-2022 “reporte de inconsistencias en Cobro”</w:t>
      </w:r>
      <w:r w:rsidR="007674E4" w:rsidRPr="00832773">
        <w:rPr>
          <w:rFonts w:ascii="Book Antiqua" w:eastAsia="Calibri" w:hAnsi="Book Antiqua"/>
          <w:lang w:val="es-CR" w:eastAsia="es-CR"/>
        </w:rPr>
        <w:t xml:space="preserve"> que incluye actualmente como inconsistencia la desactualización de la variable cuantía</w:t>
      </w:r>
      <w:r w:rsidRPr="00832773">
        <w:rPr>
          <w:rFonts w:ascii="Book Antiqua" w:eastAsia="Calibri" w:hAnsi="Book Antiqua"/>
          <w:lang w:val="es-CR" w:eastAsia="es-CR"/>
        </w:rPr>
        <w:t>.</w:t>
      </w:r>
    </w:p>
    <w:p w14:paraId="4B0DD7D1" w14:textId="77777777" w:rsidR="002600D7" w:rsidRPr="00832773" w:rsidRDefault="002600D7" w:rsidP="00890851">
      <w:pPr>
        <w:pStyle w:val="Prrafodelista"/>
        <w:spacing w:after="160" w:line="276" w:lineRule="auto"/>
        <w:ind w:left="426"/>
        <w:contextualSpacing/>
        <w:rPr>
          <w:rFonts w:ascii="Book Antiqua" w:eastAsia="Calibri" w:hAnsi="Book Antiqua"/>
          <w:lang w:val="es-CR" w:eastAsia="es-CR"/>
        </w:rPr>
      </w:pPr>
    </w:p>
    <w:p w14:paraId="175ABC56" w14:textId="34F29228" w:rsidR="00EF7CBB" w:rsidRPr="00890851" w:rsidRDefault="00890851" w:rsidP="00890851">
      <w:pPr>
        <w:spacing w:line="276" w:lineRule="auto"/>
        <w:rPr>
          <w:rFonts w:ascii="Arial" w:hAnsi="Arial"/>
        </w:rPr>
      </w:pPr>
      <w:r>
        <w:rPr>
          <w:rFonts w:eastAsia="Calibri"/>
          <w:lang w:eastAsia="es-CR"/>
        </w:rPr>
        <w:t xml:space="preserve">9.10 </w:t>
      </w:r>
      <w:r w:rsidR="002600D7" w:rsidRPr="00890851">
        <w:rPr>
          <w:rFonts w:eastAsia="Calibri"/>
          <w:lang w:eastAsia="es-CR"/>
        </w:rPr>
        <w:t>Reiterar a las oficinas Civiles y Cobratorias la obligatoriedad de completar en los expedientes</w:t>
      </w:r>
      <w:r w:rsidR="007674E4" w:rsidRPr="00890851">
        <w:rPr>
          <w:rFonts w:eastAsia="Calibri"/>
          <w:lang w:eastAsia="es-CR"/>
        </w:rPr>
        <w:t xml:space="preserve"> (todos los tipos de carpeta)</w:t>
      </w:r>
      <w:r w:rsidR="002600D7" w:rsidRPr="00890851">
        <w:rPr>
          <w:rFonts w:eastAsia="Calibri"/>
          <w:lang w:eastAsia="es-CR"/>
        </w:rPr>
        <w:t xml:space="preserve">, el dato del </w:t>
      </w:r>
      <w:r w:rsidR="007674E4" w:rsidRPr="00890851">
        <w:rPr>
          <w:rFonts w:eastAsia="Calibri"/>
          <w:lang w:eastAsia="es-CR"/>
        </w:rPr>
        <w:t>“</w:t>
      </w:r>
      <w:r w:rsidR="002600D7" w:rsidRPr="00890851">
        <w:rPr>
          <w:rFonts w:eastAsia="Calibri"/>
          <w:lang w:eastAsia="es-CR"/>
        </w:rPr>
        <w:t>tipo de cuantía</w:t>
      </w:r>
      <w:r w:rsidR="007674E4" w:rsidRPr="00890851">
        <w:rPr>
          <w:rFonts w:eastAsia="Calibri"/>
          <w:lang w:eastAsia="es-CR"/>
        </w:rPr>
        <w:t>”</w:t>
      </w:r>
      <w:r w:rsidR="002600D7" w:rsidRPr="00890851">
        <w:rPr>
          <w:rFonts w:eastAsia="Calibri"/>
          <w:lang w:eastAsia="es-CR"/>
        </w:rPr>
        <w:t xml:space="preserve">, y en caso de ser estimables también la variable de “rango de cuantía”. </w:t>
      </w:r>
    </w:p>
    <w:p w14:paraId="7D0C967F" w14:textId="77777777" w:rsidR="00F662D4" w:rsidRPr="00832773" w:rsidRDefault="00F662D4" w:rsidP="00CE62C1">
      <w:pPr>
        <w:pStyle w:val="Prrafodelista"/>
        <w:spacing w:line="276" w:lineRule="auto"/>
        <w:ind w:left="720"/>
        <w:rPr>
          <w:rFonts w:ascii="Book Antiqua" w:hAnsi="Book Antiqua"/>
          <w:lang w:val="es-CR"/>
        </w:rPr>
      </w:pPr>
    </w:p>
    <w:p w14:paraId="5FFA6922" w14:textId="7E8EC33C" w:rsidR="00B737BD" w:rsidRPr="00C375EC" w:rsidRDefault="00B737BD" w:rsidP="00832773">
      <w:pPr>
        <w:pStyle w:val="Ttulo3"/>
        <w:rPr>
          <w:lang w:eastAsia="ja-JP"/>
        </w:rPr>
      </w:pPr>
      <w:r w:rsidRPr="00832773">
        <w:rPr>
          <w:lang w:val="es-CR" w:eastAsia="ja-JP"/>
        </w:rPr>
        <w:t>Al Centro de Apoyo, Coordinación y Mejoramiento de la Función Jurisdiccional</w:t>
      </w:r>
      <w:r w:rsidR="006D6FAB">
        <w:rPr>
          <w:lang w:val="es-CR" w:eastAsia="ja-JP"/>
        </w:rPr>
        <w:t xml:space="preserve"> y </w:t>
      </w:r>
      <w:r w:rsidRPr="00832773">
        <w:rPr>
          <w:lang w:val="es-CR" w:eastAsia="ja-JP"/>
        </w:rPr>
        <w:t>la</w:t>
      </w:r>
      <w:r w:rsidR="00926517" w:rsidRPr="00832773">
        <w:rPr>
          <w:lang w:val="es-CR" w:eastAsia="ja-JP"/>
        </w:rPr>
        <w:t>s</w:t>
      </w:r>
      <w:r w:rsidRPr="00832773">
        <w:rPr>
          <w:lang w:val="es-CR" w:eastAsia="ja-JP"/>
        </w:rPr>
        <w:t xml:space="preserve"> persona</w:t>
      </w:r>
      <w:r w:rsidR="00926517" w:rsidRPr="00832773">
        <w:rPr>
          <w:lang w:val="es-CR" w:eastAsia="ja-JP"/>
        </w:rPr>
        <w:t>s</w:t>
      </w:r>
      <w:r w:rsidRPr="00832773">
        <w:rPr>
          <w:lang w:val="es-CR" w:eastAsia="ja-JP"/>
        </w:rPr>
        <w:t xml:space="preserve"> juzgadora</w:t>
      </w:r>
      <w:r w:rsidR="00926517" w:rsidRPr="00832773">
        <w:rPr>
          <w:lang w:val="es-CR" w:eastAsia="ja-JP"/>
        </w:rPr>
        <w:t>s</w:t>
      </w:r>
      <w:r w:rsidRPr="00832773">
        <w:rPr>
          <w:lang w:val="es-CR" w:eastAsia="ja-JP"/>
        </w:rPr>
        <w:t xml:space="preserve"> gestora</w:t>
      </w:r>
      <w:r w:rsidR="00926517" w:rsidRPr="00832773">
        <w:rPr>
          <w:lang w:val="es-CR" w:eastAsia="ja-JP"/>
        </w:rPr>
        <w:t>s</w:t>
      </w:r>
      <w:r w:rsidRPr="00832773">
        <w:rPr>
          <w:lang w:val="es-CR" w:eastAsia="ja-JP"/>
        </w:rPr>
        <w:t xml:space="preserve"> en la materia</w:t>
      </w:r>
      <w:r w:rsidR="00926517" w:rsidRPr="00832773">
        <w:rPr>
          <w:lang w:val="es-CR" w:eastAsia="ja-JP"/>
        </w:rPr>
        <w:t xml:space="preserve"> Civil</w:t>
      </w:r>
      <w:r w:rsidRPr="00832773">
        <w:rPr>
          <w:lang w:val="es-CR" w:eastAsia="ja-JP"/>
        </w:rPr>
        <w:t xml:space="preserve"> </w:t>
      </w:r>
    </w:p>
    <w:p w14:paraId="6783874F" w14:textId="77777777" w:rsidR="00527676" w:rsidRPr="004E74A6" w:rsidRDefault="00527676" w:rsidP="00CE62C1">
      <w:pPr>
        <w:spacing w:line="276" w:lineRule="auto"/>
        <w:rPr>
          <w:b/>
          <w:color w:val="1F3864"/>
          <w:spacing w:val="10"/>
          <w:szCs w:val="24"/>
          <w:lang w:eastAsia="ja-JP"/>
        </w:rPr>
      </w:pPr>
    </w:p>
    <w:p w14:paraId="540A47FD" w14:textId="417E78DE" w:rsidR="009D238C" w:rsidRPr="00890851" w:rsidRDefault="00890851" w:rsidP="00890851">
      <w:pPr>
        <w:spacing w:after="160" w:line="276" w:lineRule="auto"/>
        <w:contextualSpacing/>
        <w:rPr>
          <w:rFonts w:eastAsia="Calibri"/>
          <w:lang w:eastAsia="es-CR"/>
        </w:rPr>
      </w:pPr>
      <w:r>
        <w:rPr>
          <w:rFonts w:eastAsia="Calibri"/>
          <w:lang w:eastAsia="es-CR"/>
        </w:rPr>
        <w:t xml:space="preserve">9.11 </w:t>
      </w:r>
      <w:r w:rsidR="00926517" w:rsidRPr="00890851">
        <w:rPr>
          <w:rFonts w:eastAsia="Calibri"/>
          <w:lang w:eastAsia="es-CR"/>
        </w:rPr>
        <w:t>Como parte del seguimiento,</w:t>
      </w:r>
      <w:r w:rsidR="003A2E35" w:rsidRPr="00890851">
        <w:rPr>
          <w:rFonts w:eastAsia="Calibri"/>
          <w:lang w:eastAsia="es-CR"/>
        </w:rPr>
        <w:t xml:space="preserve"> impulsar las acciones </w:t>
      </w:r>
      <w:r w:rsidR="00986B8C" w:rsidRPr="00890851">
        <w:rPr>
          <w:rFonts w:eastAsia="Calibri"/>
          <w:lang w:eastAsia="es-CR"/>
        </w:rPr>
        <w:t>para que las oficinas mejore</w:t>
      </w:r>
      <w:r w:rsidR="00CB7CB2" w:rsidRPr="00890851">
        <w:rPr>
          <w:rFonts w:eastAsia="Calibri"/>
          <w:lang w:eastAsia="es-CR"/>
        </w:rPr>
        <w:t>n</w:t>
      </w:r>
      <w:r w:rsidR="00926517" w:rsidRPr="00890851">
        <w:rPr>
          <w:rFonts w:eastAsia="Calibri"/>
          <w:lang w:eastAsia="es-CR"/>
        </w:rPr>
        <w:t xml:space="preserve"> el manejo estadístico de la información</w:t>
      </w:r>
      <w:r w:rsidR="00CB7CB2" w:rsidRPr="00890851">
        <w:rPr>
          <w:rFonts w:eastAsia="Calibri"/>
          <w:lang w:eastAsia="es-CR"/>
        </w:rPr>
        <w:t>,</w:t>
      </w:r>
      <w:r w:rsidR="00926517" w:rsidRPr="00890851">
        <w:rPr>
          <w:rFonts w:eastAsia="Calibri"/>
          <w:lang w:eastAsia="es-CR"/>
        </w:rPr>
        <w:t xml:space="preserve"> </w:t>
      </w:r>
      <w:r w:rsidR="00986B8C" w:rsidRPr="00890851">
        <w:rPr>
          <w:rFonts w:eastAsia="Calibri"/>
          <w:lang w:eastAsia="es-CR"/>
        </w:rPr>
        <w:t xml:space="preserve">tanto </w:t>
      </w:r>
      <w:r w:rsidR="009D238C" w:rsidRPr="00890851">
        <w:rPr>
          <w:rFonts w:eastAsia="Calibri"/>
          <w:lang w:eastAsia="es-CR"/>
        </w:rPr>
        <w:t>hacia a las personas internas y externas que ingresan los datos al sistema (personas técnicas judiciales, oficinas de Recepción de Documentos, personas usuarias a través del sistema gestión y todo aquel usuario del sistema que se identifique), con la finalidad de mejorar la calidad del dato y asegurar el correcto ingreso de información a los expedientes</w:t>
      </w:r>
      <w:r w:rsidR="00527676" w:rsidRPr="00890851">
        <w:rPr>
          <w:rFonts w:eastAsia="Calibri"/>
          <w:lang w:eastAsia="es-CR"/>
        </w:rPr>
        <w:t>.</w:t>
      </w:r>
    </w:p>
    <w:p w14:paraId="4E4E7416" w14:textId="77777777" w:rsidR="00890851" w:rsidRPr="00832773" w:rsidRDefault="00890851" w:rsidP="00890851">
      <w:pPr>
        <w:pStyle w:val="Prrafodelista"/>
        <w:spacing w:after="160" w:line="276" w:lineRule="auto"/>
        <w:ind w:left="426"/>
        <w:contextualSpacing/>
        <w:rPr>
          <w:rFonts w:ascii="Book Antiqua" w:eastAsia="Calibri" w:hAnsi="Book Antiqua"/>
          <w:lang w:val="es-CR" w:eastAsia="es-CR"/>
        </w:rPr>
      </w:pPr>
    </w:p>
    <w:p w14:paraId="7D99C868" w14:textId="3F69967F" w:rsidR="00926517" w:rsidRPr="00997A48" w:rsidRDefault="009D238C" w:rsidP="00890851">
      <w:pPr>
        <w:pStyle w:val="Prrafodelista"/>
        <w:numPr>
          <w:ilvl w:val="1"/>
          <w:numId w:val="65"/>
        </w:numPr>
        <w:spacing w:after="160" w:line="276" w:lineRule="auto"/>
        <w:contextualSpacing/>
        <w:rPr>
          <w:rFonts w:ascii="Book Antiqua" w:eastAsia="Calibri" w:hAnsi="Book Antiqua" w:cs="Times New Roman"/>
          <w:szCs w:val="20"/>
          <w:lang w:val="es-CR" w:eastAsia="es-CR"/>
        </w:rPr>
      </w:pPr>
      <w:r w:rsidRPr="00997A48">
        <w:rPr>
          <w:rFonts w:ascii="Book Antiqua" w:eastAsia="Calibri" w:hAnsi="Book Antiqua" w:cs="Times New Roman"/>
          <w:szCs w:val="20"/>
          <w:lang w:val="es-CR" w:eastAsia="es-CR"/>
        </w:rPr>
        <w:t>P</w:t>
      </w:r>
      <w:r w:rsidR="00926517" w:rsidRPr="00997A48">
        <w:rPr>
          <w:rFonts w:ascii="Book Antiqua" w:eastAsia="Calibri" w:hAnsi="Book Antiqua" w:cs="Times New Roman"/>
          <w:szCs w:val="20"/>
          <w:lang w:val="es-CR" w:eastAsia="es-CR"/>
        </w:rPr>
        <w:t xml:space="preserve">roceder a la mayor brevedad a presentar a la </w:t>
      </w:r>
      <w:r w:rsidR="00A63518" w:rsidRPr="00997A48">
        <w:rPr>
          <w:rFonts w:ascii="Book Antiqua" w:eastAsia="Calibri" w:hAnsi="Book Antiqua" w:cs="Times New Roman"/>
          <w:szCs w:val="20"/>
          <w:lang w:val="es-CR" w:eastAsia="es-CR"/>
        </w:rPr>
        <w:t>Comisión</w:t>
      </w:r>
      <w:r w:rsidR="00926517" w:rsidRPr="00997A48">
        <w:rPr>
          <w:rFonts w:ascii="Book Antiqua" w:eastAsia="Calibri" w:hAnsi="Book Antiqua" w:cs="Times New Roman"/>
          <w:szCs w:val="20"/>
          <w:lang w:val="es-CR" w:eastAsia="es-CR"/>
        </w:rPr>
        <w:t xml:space="preserve"> Civil</w:t>
      </w:r>
      <w:r w:rsidR="006D6FAB" w:rsidRPr="00997A48">
        <w:rPr>
          <w:rFonts w:ascii="Book Antiqua" w:eastAsia="Calibri" w:hAnsi="Book Antiqua" w:cs="Times New Roman"/>
          <w:szCs w:val="20"/>
          <w:lang w:val="es-CR" w:eastAsia="es-CR"/>
        </w:rPr>
        <w:t xml:space="preserve"> propuestas que atiendan </w:t>
      </w:r>
      <w:r w:rsidR="000112D0" w:rsidRPr="00997A48">
        <w:rPr>
          <w:rFonts w:ascii="Book Antiqua" w:eastAsia="Calibri" w:hAnsi="Book Antiqua" w:cs="Times New Roman"/>
          <w:szCs w:val="20"/>
          <w:lang w:val="es-CR" w:eastAsia="es-CR"/>
        </w:rPr>
        <w:t>las oportunidades de mejora detalladas en el oficio 327-PLA-MI-2022</w:t>
      </w:r>
      <w:r w:rsidR="0056204E" w:rsidRPr="00997A48">
        <w:rPr>
          <w:rFonts w:ascii="Book Antiqua" w:eastAsia="Calibri" w:hAnsi="Book Antiqua" w:cs="Times New Roman"/>
          <w:szCs w:val="20"/>
          <w:lang w:val="es-CR" w:eastAsia="es-CR"/>
        </w:rPr>
        <w:t xml:space="preserve">. </w:t>
      </w:r>
      <w:r w:rsidR="00926517" w:rsidRPr="00997A48">
        <w:rPr>
          <w:rFonts w:ascii="Book Antiqua" w:eastAsia="Calibri" w:hAnsi="Book Antiqua" w:cs="Times New Roman"/>
          <w:szCs w:val="20"/>
          <w:lang w:val="es-CR" w:eastAsia="es-CR"/>
        </w:rPr>
        <w:t xml:space="preserve"> </w:t>
      </w:r>
    </w:p>
    <w:p w14:paraId="0BD5A772" w14:textId="2674E169" w:rsidR="008C76BD" w:rsidRPr="004E74A6" w:rsidRDefault="008C76BD" w:rsidP="00CE62C1">
      <w:pPr>
        <w:spacing w:before="240" w:after="160" w:line="276" w:lineRule="auto"/>
        <w:rPr>
          <w:rFonts w:eastAsia="Calibri"/>
          <w:szCs w:val="24"/>
          <w:lang w:eastAsia="en-US"/>
        </w:rPr>
      </w:pPr>
    </w:p>
    <w:p w14:paraId="1986A8C6" w14:textId="6CF83C94" w:rsidR="008C76BD" w:rsidRPr="00C375EC" w:rsidRDefault="008C76BD" w:rsidP="00832773">
      <w:pPr>
        <w:pStyle w:val="Ttulo3"/>
        <w:rPr>
          <w:lang w:eastAsia="ja-JP"/>
        </w:rPr>
      </w:pPr>
      <w:r w:rsidRPr="00832773">
        <w:rPr>
          <w:lang w:val="es-CR" w:eastAsia="ja-JP"/>
        </w:rPr>
        <w:lastRenderedPageBreak/>
        <w:t>Al Subproceso de Estadística</w:t>
      </w:r>
      <w:r w:rsidR="008E1866" w:rsidRPr="00832773">
        <w:rPr>
          <w:lang w:val="es-CR" w:eastAsia="ja-JP"/>
        </w:rPr>
        <w:t xml:space="preserve"> de la Dirección de Planificación</w:t>
      </w:r>
    </w:p>
    <w:p w14:paraId="541EB6B2" w14:textId="63020B0D" w:rsidR="008C76BD" w:rsidRPr="00832773" w:rsidRDefault="008C76BD" w:rsidP="00890851">
      <w:pPr>
        <w:pStyle w:val="Prrafodelista"/>
        <w:numPr>
          <w:ilvl w:val="1"/>
          <w:numId w:val="65"/>
        </w:numPr>
        <w:spacing w:after="160" w:line="276" w:lineRule="auto"/>
        <w:ind w:left="426" w:hanging="436"/>
        <w:contextualSpacing/>
        <w:rPr>
          <w:rFonts w:eastAsia="Calibri"/>
          <w:lang w:eastAsia="es-CR"/>
        </w:rPr>
      </w:pPr>
      <w:r w:rsidRPr="00832773">
        <w:rPr>
          <w:rFonts w:ascii="Book Antiqua" w:eastAsia="Calibri" w:hAnsi="Book Antiqua"/>
          <w:lang w:val="es-CR" w:eastAsia="es-CR"/>
        </w:rPr>
        <w:t>Analizar la forma de trabajo en las Salas de la Corte</w:t>
      </w:r>
      <w:r w:rsidR="007428C4" w:rsidRPr="00832773">
        <w:rPr>
          <w:rFonts w:ascii="Book Antiqua" w:eastAsia="Calibri" w:hAnsi="Book Antiqua"/>
          <w:lang w:val="es-CR" w:eastAsia="es-CR"/>
        </w:rPr>
        <w:t xml:space="preserve"> </w:t>
      </w:r>
      <w:r w:rsidRPr="00832773">
        <w:rPr>
          <w:rFonts w:ascii="Book Antiqua" w:eastAsia="Calibri" w:hAnsi="Book Antiqua"/>
          <w:lang w:val="es-CR" w:eastAsia="es-CR"/>
        </w:rPr>
        <w:t>en cuanto a</w:t>
      </w:r>
      <w:r w:rsidR="00784BFC" w:rsidRPr="00832773">
        <w:rPr>
          <w:rFonts w:ascii="Book Antiqua" w:eastAsia="Calibri" w:hAnsi="Book Antiqua"/>
          <w:lang w:val="es-CR" w:eastAsia="es-CR"/>
        </w:rPr>
        <w:t>l uso de</w:t>
      </w:r>
      <w:r w:rsidRPr="00832773">
        <w:rPr>
          <w:rFonts w:ascii="Book Antiqua" w:eastAsia="Calibri" w:hAnsi="Book Antiqua"/>
          <w:lang w:val="es-CR" w:eastAsia="es-CR"/>
        </w:rPr>
        <w:t xml:space="preserve"> las carpetas principales y de recursos</w:t>
      </w:r>
      <w:r w:rsidR="00043A6B" w:rsidRPr="00832773">
        <w:rPr>
          <w:rFonts w:ascii="Book Antiqua" w:eastAsia="Calibri" w:hAnsi="Book Antiqua"/>
          <w:lang w:val="es-CR" w:eastAsia="es-CR"/>
        </w:rPr>
        <w:t xml:space="preserve"> </w:t>
      </w:r>
      <w:r w:rsidRPr="00832773">
        <w:rPr>
          <w:rFonts w:ascii="Book Antiqua" w:eastAsia="Calibri" w:hAnsi="Book Antiqua"/>
          <w:lang w:val="es-CR" w:eastAsia="es-CR"/>
        </w:rPr>
        <w:t xml:space="preserve">con la finalidad de </w:t>
      </w:r>
      <w:r w:rsidR="007428C4" w:rsidRPr="00832773">
        <w:rPr>
          <w:rFonts w:ascii="Book Antiqua" w:eastAsia="Calibri" w:hAnsi="Book Antiqua"/>
          <w:lang w:val="es-CR" w:eastAsia="es-CR"/>
        </w:rPr>
        <w:t xml:space="preserve">generar una propuesta que </w:t>
      </w:r>
      <w:r w:rsidRPr="00832773">
        <w:rPr>
          <w:rFonts w:ascii="Book Antiqua" w:eastAsia="Calibri" w:hAnsi="Book Antiqua"/>
          <w:lang w:val="es-CR" w:eastAsia="es-CR"/>
        </w:rPr>
        <w:t>estandari</w:t>
      </w:r>
      <w:r w:rsidR="007428C4" w:rsidRPr="00832773">
        <w:rPr>
          <w:rFonts w:ascii="Book Antiqua" w:eastAsia="Calibri" w:hAnsi="Book Antiqua"/>
          <w:lang w:val="es-CR" w:eastAsia="es-CR"/>
        </w:rPr>
        <w:t xml:space="preserve">ce </w:t>
      </w:r>
      <w:r w:rsidRPr="00832773">
        <w:rPr>
          <w:rFonts w:ascii="Book Antiqua" w:eastAsia="Calibri" w:hAnsi="Book Antiqua"/>
          <w:lang w:val="es-CR" w:eastAsia="es-CR"/>
        </w:rPr>
        <w:t>y ajust</w:t>
      </w:r>
      <w:r w:rsidR="007428C4" w:rsidRPr="00832773">
        <w:rPr>
          <w:rFonts w:ascii="Book Antiqua" w:eastAsia="Calibri" w:hAnsi="Book Antiqua"/>
          <w:lang w:val="es-CR" w:eastAsia="es-CR"/>
        </w:rPr>
        <w:t>e las formas de trabajo</w:t>
      </w:r>
      <w:r w:rsidR="00784BFC" w:rsidRPr="00832773">
        <w:rPr>
          <w:rFonts w:ascii="Book Antiqua" w:eastAsia="Calibri" w:hAnsi="Book Antiqua"/>
          <w:lang w:val="es-CR" w:eastAsia="es-CR"/>
        </w:rPr>
        <w:t xml:space="preserve"> de todas las Salas, procurando fijar el método más eficiente en beneficio de la persona usuaria.</w:t>
      </w:r>
    </w:p>
    <w:p w14:paraId="4EC0A03C" w14:textId="59AB8915" w:rsidR="00D45C84" w:rsidRPr="004E74A6" w:rsidRDefault="00F377FB" w:rsidP="00CE62C1">
      <w:pPr>
        <w:spacing w:line="276" w:lineRule="auto"/>
        <w:rPr>
          <w:b/>
          <w:color w:val="1F3864"/>
          <w:spacing w:val="10"/>
          <w:szCs w:val="24"/>
          <w:lang w:eastAsia="ja-JP"/>
        </w:rPr>
      </w:pPr>
      <w:r w:rsidRPr="004E74A6">
        <w:rPr>
          <w:rFonts w:eastAsia="Calibri"/>
          <w:szCs w:val="24"/>
          <w:lang w:eastAsia="en-US"/>
        </w:rPr>
        <w:t xml:space="preserve"> </w:t>
      </w:r>
    </w:p>
    <w:p w14:paraId="6220A889" w14:textId="24B6DD59" w:rsidR="00883812" w:rsidRPr="00C375EC" w:rsidRDefault="00883812" w:rsidP="00832773">
      <w:pPr>
        <w:pStyle w:val="Ttulo3"/>
        <w:rPr>
          <w:szCs w:val="24"/>
          <w:lang w:eastAsia="ja-JP"/>
        </w:rPr>
      </w:pPr>
      <w:r w:rsidRPr="00832773">
        <w:rPr>
          <w:szCs w:val="24"/>
          <w:lang w:val="es-CR" w:eastAsia="ja-JP"/>
        </w:rPr>
        <w:t>A</w:t>
      </w:r>
      <w:r w:rsidRPr="00832773">
        <w:rPr>
          <w:lang w:val="es-CR" w:eastAsia="ja-JP"/>
        </w:rPr>
        <w:t xml:space="preserve"> la Comisión de la Jurisdicción Civil</w:t>
      </w:r>
      <w:r w:rsidR="00BE694B" w:rsidRPr="00832773">
        <w:rPr>
          <w:lang w:val="es-CR" w:eastAsia="ja-JP"/>
        </w:rPr>
        <w:t xml:space="preserve"> y la Comisión </w:t>
      </w:r>
      <w:r w:rsidR="00776F0B" w:rsidRPr="00832773">
        <w:rPr>
          <w:lang w:val="es-CR" w:eastAsia="ja-JP"/>
        </w:rPr>
        <w:t xml:space="preserve">de la Jurisdicción </w:t>
      </w:r>
      <w:r w:rsidR="00BE694B" w:rsidRPr="00832773">
        <w:rPr>
          <w:lang w:val="es-CR" w:eastAsia="ja-JP"/>
        </w:rPr>
        <w:t>Agraria</w:t>
      </w:r>
    </w:p>
    <w:p w14:paraId="11313685" w14:textId="77777777" w:rsidR="00967851" w:rsidRPr="004E74A6" w:rsidRDefault="00967851" w:rsidP="00CE62C1">
      <w:pPr>
        <w:spacing w:line="276" w:lineRule="auto"/>
        <w:rPr>
          <w:b/>
          <w:color w:val="1F3864"/>
          <w:spacing w:val="10"/>
          <w:lang w:eastAsia="ja-JP"/>
        </w:rPr>
      </w:pPr>
    </w:p>
    <w:p w14:paraId="3CCE1B9E" w14:textId="70BC246B" w:rsidR="00F3614C" w:rsidRPr="00832773" w:rsidRDefault="00A46ABD" w:rsidP="00890851">
      <w:pPr>
        <w:pStyle w:val="Prrafodelista"/>
        <w:numPr>
          <w:ilvl w:val="1"/>
          <w:numId w:val="65"/>
        </w:numPr>
        <w:spacing w:after="160" w:line="276" w:lineRule="auto"/>
        <w:ind w:left="426" w:hanging="436"/>
        <w:contextualSpacing/>
        <w:rPr>
          <w:rFonts w:eastAsia="Calibri"/>
          <w:lang w:eastAsia="es-CR"/>
        </w:rPr>
      </w:pPr>
      <w:r w:rsidRPr="00832773">
        <w:rPr>
          <w:rFonts w:ascii="Book Antiqua" w:eastAsia="Calibri" w:hAnsi="Book Antiqua"/>
          <w:lang w:val="es-CR" w:eastAsia="es-CR"/>
        </w:rPr>
        <w:t xml:space="preserve">Retomar las tareas pendientes relacionadas con el presente informe: </w:t>
      </w:r>
    </w:p>
    <w:p w14:paraId="3712D28F" w14:textId="093ABACC" w:rsidR="00883812" w:rsidRPr="00CD01A6" w:rsidRDefault="00883812" w:rsidP="00CD01A6">
      <w:pPr>
        <w:spacing w:after="160" w:line="276" w:lineRule="auto"/>
        <w:contextualSpacing/>
        <w:rPr>
          <w:rFonts w:eastAsia="Calibri"/>
          <w:lang w:eastAsia="es-CR"/>
        </w:rPr>
      </w:pPr>
      <w:r w:rsidRPr="00CD01A6">
        <w:rPr>
          <w:rFonts w:eastAsia="Calibri"/>
          <w:lang w:eastAsia="es-CR"/>
        </w:rPr>
        <w:t xml:space="preserve">Coordinación </w:t>
      </w:r>
      <w:r w:rsidR="00A46ABD" w:rsidRPr="00CD01A6">
        <w:rPr>
          <w:rFonts w:eastAsia="Calibri"/>
          <w:lang w:eastAsia="es-CR"/>
        </w:rPr>
        <w:t xml:space="preserve">para dar cumplimiento </w:t>
      </w:r>
      <w:r w:rsidR="00F3614C" w:rsidRPr="00CD01A6">
        <w:rPr>
          <w:rFonts w:eastAsia="Calibri"/>
          <w:lang w:eastAsia="es-CR"/>
        </w:rPr>
        <w:t xml:space="preserve">a la </w:t>
      </w:r>
      <w:r w:rsidR="00A46ABD" w:rsidRPr="00CD01A6">
        <w:rPr>
          <w:rFonts w:eastAsia="Calibri"/>
          <w:lang w:eastAsia="es-CR"/>
        </w:rPr>
        <w:t xml:space="preserve">recomendación 5.6 del informe 1913-PLA-EV-2020. </w:t>
      </w:r>
      <w:r w:rsidRPr="00CD01A6">
        <w:rPr>
          <w:rFonts w:eastAsia="Calibri"/>
          <w:lang w:eastAsia="es-CR"/>
        </w:rPr>
        <w:t xml:space="preserve"> </w:t>
      </w:r>
    </w:p>
    <w:p w14:paraId="2416CACC" w14:textId="77777777" w:rsidR="00F3614C" w:rsidRPr="004E74A6" w:rsidRDefault="00F3614C" w:rsidP="00832773">
      <w:pPr>
        <w:spacing w:line="276" w:lineRule="auto"/>
        <w:rPr>
          <w:rFonts w:eastAsia="Calibri"/>
          <w:lang w:eastAsia="en-US"/>
        </w:rPr>
      </w:pPr>
    </w:p>
    <w:p w14:paraId="3E011F26" w14:textId="77777777" w:rsidR="00494557" w:rsidRPr="004E74A6" w:rsidRDefault="00494557" w:rsidP="00832773">
      <w:pPr>
        <w:keepNext/>
        <w:keepLines/>
        <w:numPr>
          <w:ilvl w:val="0"/>
          <w:numId w:val="2"/>
        </w:numPr>
        <w:shd w:val="clear" w:color="auto" w:fill="2F86BB"/>
        <w:spacing w:before="240" w:line="276" w:lineRule="auto"/>
        <w:outlineLvl w:val="0"/>
        <w:rPr>
          <w:b/>
          <w:color w:val="FFFFFF"/>
          <w:szCs w:val="32"/>
          <w:lang w:eastAsia="es-CR"/>
        </w:rPr>
      </w:pPr>
      <w:r w:rsidRPr="004E74A6">
        <w:rPr>
          <w:b/>
          <w:color w:val="FFFFFF"/>
          <w:szCs w:val="32"/>
          <w:lang w:eastAsia="en-US"/>
        </w:rPr>
        <w:t>Anexos</w:t>
      </w:r>
    </w:p>
    <w:p w14:paraId="2BEBFF3B" w14:textId="77777777" w:rsidR="00B727C4" w:rsidRPr="004E74A6" w:rsidRDefault="00B727C4" w:rsidP="00CE62C1">
      <w:pPr>
        <w:spacing w:line="276" w:lineRule="auto"/>
        <w:rPr>
          <w:lang w:eastAsia="es-CR"/>
        </w:rPr>
      </w:pPr>
    </w:p>
    <w:tbl>
      <w:tblPr>
        <w:tblW w:w="849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1119"/>
        <w:gridCol w:w="5245"/>
        <w:gridCol w:w="2126"/>
      </w:tblGrid>
      <w:tr w:rsidR="00494557" w:rsidRPr="004E74A6" w14:paraId="625921E8" w14:textId="77777777" w:rsidTr="00832773">
        <w:trPr>
          <w:trHeight w:val="335"/>
          <w:tblHeader/>
          <w:jc w:val="center"/>
        </w:trPr>
        <w:tc>
          <w:tcPr>
            <w:tcW w:w="1119" w:type="dxa"/>
            <w:shd w:val="clear" w:color="000000" w:fill="0673A5"/>
            <w:noWrap/>
            <w:vAlign w:val="center"/>
            <w:hideMark/>
          </w:tcPr>
          <w:p w14:paraId="17AB3CF9" w14:textId="77777777" w:rsidR="00494557" w:rsidRPr="004E74A6" w:rsidRDefault="00494557" w:rsidP="00CE62C1">
            <w:pPr>
              <w:spacing w:line="276" w:lineRule="auto"/>
              <w:jc w:val="center"/>
              <w:rPr>
                <w:b/>
                <w:bCs/>
                <w:color w:val="FFFFFF"/>
                <w:sz w:val="20"/>
                <w:lang w:eastAsia="es-CR"/>
              </w:rPr>
            </w:pPr>
            <w:r w:rsidRPr="004E74A6">
              <w:rPr>
                <w:b/>
                <w:bCs/>
                <w:color w:val="FFFFFF"/>
                <w:sz w:val="20"/>
                <w:lang w:eastAsia="es-CR"/>
              </w:rPr>
              <w:t>Anexo</w:t>
            </w:r>
          </w:p>
        </w:tc>
        <w:tc>
          <w:tcPr>
            <w:tcW w:w="5245" w:type="dxa"/>
            <w:shd w:val="clear" w:color="000000" w:fill="0673A5"/>
            <w:noWrap/>
            <w:vAlign w:val="center"/>
            <w:hideMark/>
          </w:tcPr>
          <w:p w14:paraId="1F4EDB53" w14:textId="77777777" w:rsidR="00494557" w:rsidRPr="004E74A6" w:rsidRDefault="00494557" w:rsidP="00CE62C1">
            <w:pPr>
              <w:spacing w:line="276" w:lineRule="auto"/>
              <w:jc w:val="center"/>
              <w:rPr>
                <w:b/>
                <w:bCs/>
                <w:color w:val="FFFFFF"/>
                <w:sz w:val="20"/>
                <w:lang w:eastAsia="es-CR"/>
              </w:rPr>
            </w:pPr>
            <w:r w:rsidRPr="004E74A6">
              <w:rPr>
                <w:b/>
                <w:bCs/>
                <w:color w:val="FFFFFF"/>
                <w:sz w:val="20"/>
                <w:lang w:eastAsia="es-CR"/>
              </w:rPr>
              <w:t>Nombre</w:t>
            </w:r>
          </w:p>
        </w:tc>
        <w:tc>
          <w:tcPr>
            <w:tcW w:w="2126" w:type="dxa"/>
            <w:shd w:val="clear" w:color="000000" w:fill="0673A5"/>
            <w:noWrap/>
            <w:vAlign w:val="center"/>
            <w:hideMark/>
          </w:tcPr>
          <w:p w14:paraId="2F40C1D7" w14:textId="77777777" w:rsidR="00494557" w:rsidRPr="004E74A6" w:rsidRDefault="00494557" w:rsidP="00CE62C1">
            <w:pPr>
              <w:spacing w:line="276" w:lineRule="auto"/>
              <w:jc w:val="center"/>
              <w:rPr>
                <w:b/>
                <w:bCs/>
                <w:color w:val="FFFFFF"/>
                <w:sz w:val="20"/>
                <w:lang w:eastAsia="es-CR"/>
              </w:rPr>
            </w:pPr>
            <w:r w:rsidRPr="004E74A6">
              <w:rPr>
                <w:b/>
                <w:bCs/>
                <w:color w:val="FFFFFF"/>
                <w:sz w:val="20"/>
                <w:lang w:eastAsia="es-CR"/>
              </w:rPr>
              <w:t>Documento</w:t>
            </w:r>
          </w:p>
        </w:tc>
      </w:tr>
      <w:tr w:rsidR="0060306B" w:rsidRPr="004E74A6" w14:paraId="63E3094F" w14:textId="77777777" w:rsidTr="00832773">
        <w:trPr>
          <w:trHeight w:val="335"/>
          <w:jc w:val="center"/>
        </w:trPr>
        <w:tc>
          <w:tcPr>
            <w:tcW w:w="1119" w:type="dxa"/>
            <w:shd w:val="clear" w:color="auto" w:fill="auto"/>
            <w:noWrap/>
            <w:vAlign w:val="center"/>
          </w:tcPr>
          <w:p w14:paraId="4E0024B8" w14:textId="5681D095" w:rsidR="0060306B" w:rsidRPr="00832773" w:rsidRDefault="0060306B" w:rsidP="00CE62C1">
            <w:pPr>
              <w:spacing w:line="276" w:lineRule="auto"/>
              <w:jc w:val="center"/>
              <w:rPr>
                <w:i/>
                <w:iCs/>
                <w:sz w:val="20"/>
                <w:lang w:eastAsia="es-CR"/>
              </w:rPr>
            </w:pPr>
            <w:r w:rsidRPr="00832773">
              <w:rPr>
                <w:i/>
                <w:iCs/>
                <w:sz w:val="20"/>
                <w:lang w:eastAsia="es-CR"/>
              </w:rPr>
              <w:t>1</w:t>
            </w:r>
          </w:p>
        </w:tc>
        <w:tc>
          <w:tcPr>
            <w:tcW w:w="5245" w:type="dxa"/>
            <w:shd w:val="clear" w:color="auto" w:fill="auto"/>
            <w:vAlign w:val="center"/>
          </w:tcPr>
          <w:p w14:paraId="768D8D0B" w14:textId="0500D3D6" w:rsidR="0060306B" w:rsidRPr="00832773" w:rsidRDefault="0060306B" w:rsidP="00CE62C1">
            <w:pPr>
              <w:spacing w:line="276" w:lineRule="auto"/>
              <w:rPr>
                <w:rFonts w:cs="Arial"/>
                <w:sz w:val="22"/>
                <w:szCs w:val="22"/>
              </w:rPr>
            </w:pPr>
            <w:r w:rsidRPr="004E74A6">
              <w:rPr>
                <w:sz w:val="22"/>
                <w:szCs w:val="22"/>
              </w:rPr>
              <w:t>Criterio DJ-C-361-2020</w:t>
            </w:r>
          </w:p>
        </w:tc>
        <w:tc>
          <w:tcPr>
            <w:tcW w:w="2126" w:type="dxa"/>
            <w:shd w:val="clear" w:color="auto" w:fill="auto"/>
            <w:noWrap/>
            <w:vAlign w:val="center"/>
          </w:tcPr>
          <w:p w14:paraId="2F68D5E9" w14:textId="29635EAD" w:rsidR="0060306B" w:rsidRPr="004E74A6" w:rsidRDefault="00997A48" w:rsidP="00CE62C1">
            <w:pPr>
              <w:spacing w:line="276" w:lineRule="auto"/>
              <w:jc w:val="center"/>
              <w:rPr>
                <w:sz w:val="22"/>
                <w:szCs w:val="22"/>
              </w:rPr>
            </w:pPr>
            <w:r w:rsidRPr="004E74A6">
              <w:rPr>
                <w:sz w:val="22"/>
                <w:szCs w:val="22"/>
              </w:rPr>
              <w:object w:dxaOrig="2520" w:dyaOrig="1640" w14:anchorId="0BCB7ECE">
                <v:shape id="_x0000_i1028" type="#_x0000_t75" style="width:78.55pt;height:54.65pt" o:ole="">
                  <v:imagedata r:id="rId58" o:title=""/>
                </v:shape>
                <o:OLEObject Type="Embed" ProgID="Acrobat.Document.DC" ShapeID="_x0000_i1028" DrawAspect="Icon" ObjectID="_1739708495" r:id="rId59"/>
              </w:object>
            </w:r>
          </w:p>
        </w:tc>
      </w:tr>
      <w:tr w:rsidR="0060306B" w:rsidRPr="004E74A6" w14:paraId="0D60A954" w14:textId="77777777" w:rsidTr="00832773">
        <w:trPr>
          <w:trHeight w:val="335"/>
          <w:jc w:val="center"/>
        </w:trPr>
        <w:tc>
          <w:tcPr>
            <w:tcW w:w="1119" w:type="dxa"/>
            <w:shd w:val="clear" w:color="auto" w:fill="auto"/>
            <w:noWrap/>
            <w:vAlign w:val="center"/>
            <w:hideMark/>
          </w:tcPr>
          <w:p w14:paraId="1076A218" w14:textId="177A8AD8" w:rsidR="0060306B" w:rsidRPr="00832773" w:rsidRDefault="0060306B" w:rsidP="00CE62C1">
            <w:pPr>
              <w:spacing w:line="276" w:lineRule="auto"/>
              <w:jc w:val="center"/>
              <w:rPr>
                <w:i/>
                <w:iCs/>
                <w:sz w:val="20"/>
                <w:lang w:eastAsia="es-CR"/>
              </w:rPr>
            </w:pPr>
            <w:r w:rsidRPr="00832773">
              <w:rPr>
                <w:i/>
                <w:iCs/>
                <w:sz w:val="20"/>
                <w:lang w:eastAsia="es-CR"/>
              </w:rPr>
              <w:t>2</w:t>
            </w:r>
          </w:p>
        </w:tc>
        <w:tc>
          <w:tcPr>
            <w:tcW w:w="5245" w:type="dxa"/>
            <w:shd w:val="clear" w:color="auto" w:fill="auto"/>
            <w:vAlign w:val="center"/>
          </w:tcPr>
          <w:p w14:paraId="3A2FB30C" w14:textId="1686137D" w:rsidR="0060306B" w:rsidRPr="00832773" w:rsidRDefault="0060306B" w:rsidP="00CE62C1">
            <w:pPr>
              <w:spacing w:line="276" w:lineRule="auto"/>
              <w:rPr>
                <w:rFonts w:cs="Arial"/>
                <w:sz w:val="22"/>
                <w:szCs w:val="22"/>
              </w:rPr>
            </w:pPr>
            <w:r w:rsidRPr="00832773">
              <w:rPr>
                <w:rFonts w:cs="Arial"/>
                <w:sz w:val="22"/>
                <w:szCs w:val="22"/>
              </w:rPr>
              <w:t>Criterio DJ-C-111-2021</w:t>
            </w:r>
          </w:p>
        </w:tc>
        <w:tc>
          <w:tcPr>
            <w:tcW w:w="2126" w:type="dxa"/>
            <w:shd w:val="clear" w:color="auto" w:fill="auto"/>
            <w:noWrap/>
            <w:vAlign w:val="center"/>
          </w:tcPr>
          <w:p w14:paraId="52F49E10" w14:textId="36352A6B" w:rsidR="0060306B" w:rsidRPr="004E74A6" w:rsidRDefault="00997A48" w:rsidP="00CE62C1">
            <w:pPr>
              <w:spacing w:line="276" w:lineRule="auto"/>
              <w:jc w:val="center"/>
              <w:rPr>
                <w:sz w:val="20"/>
              </w:rPr>
            </w:pPr>
            <w:r w:rsidRPr="004E74A6">
              <w:rPr>
                <w:sz w:val="22"/>
                <w:szCs w:val="22"/>
              </w:rPr>
              <w:object w:dxaOrig="1440" w:dyaOrig="932" w14:anchorId="0CE5A41F">
                <v:shape id="_x0000_i1029" type="#_x0000_t75" style="width:1in;height:48.5pt" o:ole="">
                  <v:imagedata r:id="rId60" o:title=""/>
                </v:shape>
                <o:OLEObject Type="Embed" ProgID="Acrobat.Document.DC" ShapeID="_x0000_i1029" DrawAspect="Icon" ObjectID="_1739708496" r:id="rId61"/>
              </w:object>
            </w:r>
          </w:p>
        </w:tc>
      </w:tr>
      <w:tr w:rsidR="0060306B" w:rsidRPr="004E74A6" w14:paraId="1390C307" w14:textId="77777777" w:rsidTr="00832773">
        <w:trPr>
          <w:trHeight w:val="335"/>
          <w:jc w:val="center"/>
        </w:trPr>
        <w:tc>
          <w:tcPr>
            <w:tcW w:w="1119" w:type="dxa"/>
            <w:shd w:val="clear" w:color="auto" w:fill="auto"/>
            <w:noWrap/>
            <w:vAlign w:val="center"/>
          </w:tcPr>
          <w:p w14:paraId="504CA301" w14:textId="532D36A4" w:rsidR="0060306B" w:rsidRPr="00832773" w:rsidRDefault="0060306B" w:rsidP="00CE62C1">
            <w:pPr>
              <w:spacing w:line="276" w:lineRule="auto"/>
              <w:jc w:val="center"/>
              <w:rPr>
                <w:i/>
                <w:iCs/>
                <w:sz w:val="20"/>
                <w:lang w:eastAsia="es-CR"/>
              </w:rPr>
            </w:pPr>
            <w:r w:rsidRPr="00832773">
              <w:rPr>
                <w:i/>
                <w:iCs/>
                <w:sz w:val="20"/>
                <w:lang w:eastAsia="es-CR"/>
              </w:rPr>
              <w:t>3</w:t>
            </w:r>
          </w:p>
        </w:tc>
        <w:tc>
          <w:tcPr>
            <w:tcW w:w="5245" w:type="dxa"/>
            <w:shd w:val="clear" w:color="auto" w:fill="auto"/>
            <w:vAlign w:val="center"/>
          </w:tcPr>
          <w:p w14:paraId="18BB49CD" w14:textId="2EB43497" w:rsidR="0060306B" w:rsidRPr="004E74A6" w:rsidRDefault="0060306B" w:rsidP="00CE62C1">
            <w:pPr>
              <w:spacing w:line="276" w:lineRule="auto"/>
              <w:rPr>
                <w:sz w:val="20"/>
              </w:rPr>
            </w:pPr>
            <w:r w:rsidRPr="004E74A6">
              <w:rPr>
                <w:rFonts w:cs="Arial"/>
                <w:color w:val="000000"/>
                <w:sz w:val="22"/>
                <w:szCs w:val="22"/>
              </w:rPr>
              <w:t>Criterio DJ-C-376-2021</w:t>
            </w:r>
          </w:p>
        </w:tc>
        <w:tc>
          <w:tcPr>
            <w:tcW w:w="2126" w:type="dxa"/>
            <w:shd w:val="clear" w:color="auto" w:fill="auto"/>
            <w:noWrap/>
            <w:vAlign w:val="center"/>
          </w:tcPr>
          <w:p w14:paraId="640AF61E" w14:textId="04E4AA2A" w:rsidR="0060306B" w:rsidRPr="004E74A6" w:rsidRDefault="00997A48" w:rsidP="00CE62C1">
            <w:pPr>
              <w:spacing w:line="276" w:lineRule="auto"/>
              <w:jc w:val="center"/>
              <w:rPr>
                <w:sz w:val="20"/>
              </w:rPr>
            </w:pPr>
            <w:r w:rsidRPr="004E74A6">
              <w:rPr>
                <w:sz w:val="22"/>
                <w:szCs w:val="22"/>
              </w:rPr>
              <w:object w:dxaOrig="1440" w:dyaOrig="932" w14:anchorId="60D5FD5F">
                <v:shape id="_x0000_i1030" type="#_x0000_t75" style="width:1in;height:48.5pt" o:ole="">
                  <v:imagedata r:id="rId62" o:title=""/>
                </v:shape>
                <o:OLEObject Type="Embed" ProgID="Acrobat.Document.DC" ShapeID="_x0000_i1030" DrawAspect="Icon" ObjectID="_1739708497" r:id="rId63"/>
              </w:object>
            </w:r>
          </w:p>
        </w:tc>
      </w:tr>
      <w:tr w:rsidR="0060306B" w:rsidRPr="004E74A6" w14:paraId="5E9D474D" w14:textId="77777777" w:rsidTr="00832773">
        <w:trPr>
          <w:trHeight w:val="335"/>
          <w:jc w:val="center"/>
        </w:trPr>
        <w:tc>
          <w:tcPr>
            <w:tcW w:w="1119" w:type="dxa"/>
            <w:shd w:val="clear" w:color="auto" w:fill="auto"/>
            <w:noWrap/>
            <w:vAlign w:val="center"/>
          </w:tcPr>
          <w:p w14:paraId="5380CAA2" w14:textId="77777777" w:rsidR="0060306B" w:rsidRPr="004E74A6" w:rsidRDefault="0060306B" w:rsidP="00CE62C1">
            <w:pPr>
              <w:spacing w:line="276" w:lineRule="auto"/>
              <w:jc w:val="center"/>
              <w:rPr>
                <w:i/>
                <w:iCs/>
                <w:sz w:val="20"/>
                <w:lang w:eastAsia="es-CR"/>
              </w:rPr>
            </w:pPr>
            <w:r w:rsidRPr="004E74A6">
              <w:rPr>
                <w:i/>
                <w:iCs/>
                <w:sz w:val="20"/>
                <w:lang w:eastAsia="es-CR"/>
              </w:rPr>
              <w:t>4</w:t>
            </w:r>
          </w:p>
        </w:tc>
        <w:tc>
          <w:tcPr>
            <w:tcW w:w="5245" w:type="dxa"/>
            <w:shd w:val="clear" w:color="auto" w:fill="auto"/>
            <w:vAlign w:val="center"/>
          </w:tcPr>
          <w:p w14:paraId="0EEA8A0A" w14:textId="77777777" w:rsidR="0060306B" w:rsidRPr="004E74A6" w:rsidRDefault="0060306B" w:rsidP="00CE62C1">
            <w:pPr>
              <w:spacing w:line="276" w:lineRule="auto"/>
              <w:rPr>
                <w:sz w:val="20"/>
              </w:rPr>
            </w:pPr>
            <w:r w:rsidRPr="004E74A6">
              <w:rPr>
                <w:sz w:val="22"/>
                <w:szCs w:val="22"/>
              </w:rPr>
              <w:t>Oficio 964-PLA-2021</w:t>
            </w:r>
          </w:p>
        </w:tc>
        <w:tc>
          <w:tcPr>
            <w:tcW w:w="2126" w:type="dxa"/>
            <w:shd w:val="clear" w:color="auto" w:fill="auto"/>
            <w:noWrap/>
            <w:vAlign w:val="center"/>
          </w:tcPr>
          <w:p w14:paraId="56BE53AF" w14:textId="300ED705" w:rsidR="0060306B" w:rsidRPr="004E74A6" w:rsidRDefault="00997A48" w:rsidP="00CE62C1">
            <w:pPr>
              <w:spacing w:line="276" w:lineRule="auto"/>
              <w:jc w:val="center"/>
              <w:rPr>
                <w:sz w:val="20"/>
              </w:rPr>
            </w:pPr>
            <w:r w:rsidRPr="004E74A6">
              <w:rPr>
                <w:sz w:val="22"/>
                <w:szCs w:val="22"/>
              </w:rPr>
              <w:object w:dxaOrig="1440" w:dyaOrig="932" w14:anchorId="40A5C9FF">
                <v:shape id="_x0000_i1031" type="#_x0000_t75" style="width:73.95pt;height:50.45pt" o:ole="">
                  <v:imagedata r:id="rId64" o:title=""/>
                </v:shape>
                <o:OLEObject Type="Embed" ProgID="Acrobat.Document.DC" ShapeID="_x0000_i1031" DrawAspect="Icon" ObjectID="_1739708498" r:id="rId65"/>
              </w:object>
            </w:r>
          </w:p>
        </w:tc>
      </w:tr>
      <w:tr w:rsidR="0060306B" w:rsidRPr="004E74A6" w14:paraId="078258B5" w14:textId="77777777" w:rsidTr="00832773">
        <w:trPr>
          <w:trHeight w:val="335"/>
          <w:jc w:val="center"/>
        </w:trPr>
        <w:tc>
          <w:tcPr>
            <w:tcW w:w="1119" w:type="dxa"/>
            <w:shd w:val="clear" w:color="auto" w:fill="auto"/>
            <w:noWrap/>
            <w:vAlign w:val="center"/>
          </w:tcPr>
          <w:p w14:paraId="52C52FEF" w14:textId="77777777" w:rsidR="0060306B" w:rsidRPr="004E74A6" w:rsidRDefault="0060306B" w:rsidP="00CE62C1">
            <w:pPr>
              <w:spacing w:line="276" w:lineRule="auto"/>
              <w:jc w:val="center"/>
              <w:rPr>
                <w:b/>
                <w:bCs/>
                <w:i/>
                <w:iCs/>
                <w:sz w:val="20"/>
                <w:lang w:eastAsia="es-CR"/>
              </w:rPr>
            </w:pPr>
            <w:r w:rsidRPr="004E74A6">
              <w:rPr>
                <w:b/>
                <w:bCs/>
                <w:i/>
                <w:iCs/>
                <w:sz w:val="20"/>
                <w:lang w:eastAsia="es-CR"/>
              </w:rPr>
              <w:t>5</w:t>
            </w:r>
          </w:p>
        </w:tc>
        <w:tc>
          <w:tcPr>
            <w:tcW w:w="5245" w:type="dxa"/>
            <w:shd w:val="clear" w:color="auto" w:fill="auto"/>
            <w:vAlign w:val="center"/>
          </w:tcPr>
          <w:p w14:paraId="71CCD14B" w14:textId="77777777" w:rsidR="0060306B" w:rsidRPr="004E74A6" w:rsidRDefault="0060306B" w:rsidP="00CE62C1">
            <w:pPr>
              <w:spacing w:line="276" w:lineRule="auto"/>
              <w:rPr>
                <w:sz w:val="20"/>
              </w:rPr>
            </w:pPr>
            <w:r w:rsidRPr="004E74A6">
              <w:rPr>
                <w:sz w:val="22"/>
                <w:szCs w:val="22"/>
              </w:rPr>
              <w:t>Minuta 939-PLA-MI-MNTA-2021</w:t>
            </w:r>
          </w:p>
        </w:tc>
        <w:tc>
          <w:tcPr>
            <w:tcW w:w="2126" w:type="dxa"/>
            <w:shd w:val="clear" w:color="auto" w:fill="auto"/>
            <w:noWrap/>
            <w:vAlign w:val="center"/>
          </w:tcPr>
          <w:p w14:paraId="5986128C" w14:textId="120B7A10" w:rsidR="0060306B" w:rsidRPr="004E74A6" w:rsidRDefault="0060306B" w:rsidP="00CE62C1">
            <w:pPr>
              <w:spacing w:line="276" w:lineRule="auto"/>
              <w:jc w:val="center"/>
              <w:rPr>
                <w:sz w:val="20"/>
              </w:rPr>
            </w:pPr>
            <w:r w:rsidRPr="004E74A6">
              <w:rPr>
                <w:sz w:val="20"/>
              </w:rPr>
              <w:object w:dxaOrig="1155" w:dyaOrig="752" w14:anchorId="3343104F">
                <v:shape id="_x0000_i1032" type="#_x0000_t75" style="width:53.9pt;height:35.4pt" o:ole="">
                  <v:imagedata r:id="rId66" o:title=""/>
                </v:shape>
                <o:OLEObject Type="Embed" ProgID="Package" ShapeID="_x0000_i1032" DrawAspect="Icon" ObjectID="_1739708499" r:id="rId67"/>
              </w:object>
            </w:r>
          </w:p>
        </w:tc>
      </w:tr>
      <w:tr w:rsidR="0060306B" w:rsidRPr="004E74A6" w14:paraId="638A049E" w14:textId="77777777" w:rsidTr="00832773">
        <w:trPr>
          <w:trHeight w:val="335"/>
          <w:jc w:val="center"/>
        </w:trPr>
        <w:tc>
          <w:tcPr>
            <w:tcW w:w="1119" w:type="dxa"/>
            <w:shd w:val="clear" w:color="auto" w:fill="auto"/>
            <w:noWrap/>
            <w:vAlign w:val="center"/>
          </w:tcPr>
          <w:p w14:paraId="6E97E627" w14:textId="29ED625C" w:rsidR="0060306B" w:rsidRPr="004E74A6" w:rsidRDefault="0060306B" w:rsidP="00CE62C1">
            <w:pPr>
              <w:spacing w:line="276" w:lineRule="auto"/>
              <w:jc w:val="center"/>
              <w:rPr>
                <w:b/>
                <w:bCs/>
                <w:i/>
                <w:iCs/>
                <w:sz w:val="20"/>
                <w:lang w:eastAsia="es-CR"/>
              </w:rPr>
            </w:pPr>
            <w:r w:rsidRPr="004E74A6">
              <w:rPr>
                <w:b/>
                <w:bCs/>
                <w:i/>
                <w:iCs/>
                <w:sz w:val="20"/>
                <w:lang w:eastAsia="es-CR"/>
              </w:rPr>
              <w:lastRenderedPageBreak/>
              <w:t>6</w:t>
            </w:r>
          </w:p>
        </w:tc>
        <w:tc>
          <w:tcPr>
            <w:tcW w:w="5245" w:type="dxa"/>
            <w:shd w:val="clear" w:color="auto" w:fill="auto"/>
            <w:vAlign w:val="center"/>
          </w:tcPr>
          <w:p w14:paraId="54655702" w14:textId="39D4BF22" w:rsidR="0060306B" w:rsidRPr="004E74A6" w:rsidRDefault="0060306B" w:rsidP="00CE62C1">
            <w:pPr>
              <w:spacing w:line="276" w:lineRule="auto"/>
              <w:rPr>
                <w:sz w:val="22"/>
                <w:szCs w:val="22"/>
              </w:rPr>
            </w:pPr>
            <w:r w:rsidRPr="004E74A6">
              <w:rPr>
                <w:sz w:val="22"/>
                <w:szCs w:val="22"/>
              </w:rPr>
              <w:t xml:space="preserve">Circular 247-2021 </w:t>
            </w:r>
            <w:r w:rsidRPr="004E74A6">
              <w:rPr>
                <w:i/>
                <w:iCs/>
                <w:sz w:val="22"/>
                <w:szCs w:val="22"/>
              </w:rPr>
              <w:t>“Obligación de mantener información actualizada en los sistemas y depurar datos pendientes sobre cuantía en procesos Civiles y Cobratorios”</w:t>
            </w:r>
          </w:p>
        </w:tc>
        <w:tc>
          <w:tcPr>
            <w:tcW w:w="2126" w:type="dxa"/>
            <w:shd w:val="clear" w:color="auto" w:fill="auto"/>
            <w:noWrap/>
            <w:vAlign w:val="center"/>
          </w:tcPr>
          <w:p w14:paraId="4EC7D6D8" w14:textId="43693EB8" w:rsidR="0060306B" w:rsidRPr="004E74A6" w:rsidRDefault="00997A48" w:rsidP="00CE62C1">
            <w:pPr>
              <w:spacing w:line="276" w:lineRule="auto"/>
              <w:jc w:val="center"/>
              <w:rPr>
                <w:sz w:val="20"/>
              </w:rPr>
            </w:pPr>
            <w:r w:rsidRPr="004E74A6">
              <w:rPr>
                <w:sz w:val="20"/>
              </w:rPr>
              <w:object w:dxaOrig="1454" w:dyaOrig="905" w14:anchorId="20527EA1">
                <v:shape id="_x0000_i1033" type="#_x0000_t75" style="width:1in;height:48.5pt" o:ole="">
                  <v:imagedata r:id="rId68" o:title=""/>
                </v:shape>
                <o:OLEObject Type="Embed" ProgID="Acrobat.Document.DC" ShapeID="_x0000_i1033" DrawAspect="Icon" ObjectID="_1739708500" r:id="rId69"/>
              </w:object>
            </w:r>
          </w:p>
        </w:tc>
      </w:tr>
      <w:tr w:rsidR="0060306B" w:rsidRPr="004E74A6" w14:paraId="6B7C699D" w14:textId="77777777" w:rsidTr="00832773">
        <w:trPr>
          <w:trHeight w:val="335"/>
          <w:jc w:val="center"/>
        </w:trPr>
        <w:tc>
          <w:tcPr>
            <w:tcW w:w="1119" w:type="dxa"/>
            <w:shd w:val="clear" w:color="auto" w:fill="auto"/>
            <w:noWrap/>
            <w:vAlign w:val="center"/>
          </w:tcPr>
          <w:p w14:paraId="7CA8DDB3" w14:textId="1EEC9A55" w:rsidR="0060306B" w:rsidRPr="004E74A6" w:rsidRDefault="0060306B" w:rsidP="00CE62C1">
            <w:pPr>
              <w:spacing w:line="276" w:lineRule="auto"/>
              <w:jc w:val="center"/>
              <w:rPr>
                <w:b/>
                <w:bCs/>
                <w:i/>
                <w:iCs/>
                <w:sz w:val="20"/>
                <w:lang w:eastAsia="es-CR"/>
              </w:rPr>
            </w:pPr>
            <w:r w:rsidRPr="004E74A6">
              <w:rPr>
                <w:b/>
                <w:bCs/>
                <w:i/>
                <w:iCs/>
                <w:sz w:val="20"/>
                <w:lang w:eastAsia="es-CR"/>
              </w:rPr>
              <w:t>7</w:t>
            </w:r>
          </w:p>
        </w:tc>
        <w:tc>
          <w:tcPr>
            <w:tcW w:w="5245" w:type="dxa"/>
            <w:shd w:val="clear" w:color="auto" w:fill="auto"/>
            <w:vAlign w:val="center"/>
          </w:tcPr>
          <w:p w14:paraId="754E2212" w14:textId="7EE2A297" w:rsidR="0060306B" w:rsidRPr="004E74A6" w:rsidRDefault="0060306B" w:rsidP="00CE62C1">
            <w:pPr>
              <w:spacing w:line="276" w:lineRule="auto"/>
              <w:rPr>
                <w:sz w:val="22"/>
                <w:szCs w:val="22"/>
              </w:rPr>
            </w:pPr>
            <w:r w:rsidRPr="004E74A6">
              <w:rPr>
                <w:sz w:val="22"/>
                <w:szCs w:val="22"/>
              </w:rPr>
              <w:t>Oficio 1913-PLA-EV-2020</w:t>
            </w:r>
          </w:p>
        </w:tc>
        <w:tc>
          <w:tcPr>
            <w:tcW w:w="2126" w:type="dxa"/>
            <w:shd w:val="clear" w:color="auto" w:fill="auto"/>
            <w:noWrap/>
            <w:vAlign w:val="center"/>
          </w:tcPr>
          <w:p w14:paraId="517E0B18" w14:textId="7FBE463F" w:rsidR="0060306B" w:rsidRPr="004E74A6" w:rsidRDefault="00997A48" w:rsidP="00CE62C1">
            <w:pPr>
              <w:spacing w:line="276" w:lineRule="auto"/>
              <w:jc w:val="center"/>
              <w:rPr>
                <w:sz w:val="20"/>
              </w:rPr>
            </w:pPr>
            <w:r w:rsidRPr="004E74A6">
              <w:rPr>
                <w:sz w:val="20"/>
              </w:rPr>
              <w:object w:dxaOrig="1454" w:dyaOrig="905" w14:anchorId="780D6385">
                <v:shape id="_x0000_i1034" type="#_x0000_t75" style="width:73.95pt;height:49.3pt" o:ole="">
                  <v:imagedata r:id="rId70" o:title=""/>
                </v:shape>
                <o:OLEObject Type="Embed" ProgID="Acrobat.Document.DC" ShapeID="_x0000_i1034" DrawAspect="Icon" ObjectID="_1739708501" r:id="rId71"/>
              </w:object>
            </w:r>
          </w:p>
        </w:tc>
      </w:tr>
      <w:tr w:rsidR="0060306B" w:rsidRPr="004E74A6" w14:paraId="6894A791" w14:textId="77777777" w:rsidTr="00832773">
        <w:trPr>
          <w:trHeight w:val="335"/>
          <w:jc w:val="center"/>
        </w:trPr>
        <w:tc>
          <w:tcPr>
            <w:tcW w:w="1119" w:type="dxa"/>
            <w:shd w:val="clear" w:color="auto" w:fill="auto"/>
            <w:noWrap/>
            <w:vAlign w:val="center"/>
          </w:tcPr>
          <w:p w14:paraId="519B724A" w14:textId="1796F5E7" w:rsidR="0060306B" w:rsidRPr="004E74A6" w:rsidRDefault="0060306B" w:rsidP="00CE62C1">
            <w:pPr>
              <w:spacing w:line="276" w:lineRule="auto"/>
              <w:jc w:val="center"/>
              <w:rPr>
                <w:b/>
                <w:bCs/>
                <w:i/>
                <w:iCs/>
                <w:sz w:val="20"/>
                <w:lang w:eastAsia="es-CR"/>
              </w:rPr>
            </w:pPr>
            <w:r w:rsidRPr="004E74A6">
              <w:rPr>
                <w:b/>
                <w:bCs/>
                <w:i/>
                <w:iCs/>
                <w:sz w:val="20"/>
                <w:lang w:eastAsia="es-CR"/>
              </w:rPr>
              <w:t>8</w:t>
            </w:r>
          </w:p>
        </w:tc>
        <w:tc>
          <w:tcPr>
            <w:tcW w:w="5245" w:type="dxa"/>
            <w:shd w:val="clear" w:color="auto" w:fill="auto"/>
            <w:vAlign w:val="center"/>
          </w:tcPr>
          <w:p w14:paraId="537C6403" w14:textId="0971832E" w:rsidR="0060306B" w:rsidRPr="004E74A6" w:rsidRDefault="0060306B" w:rsidP="00CE62C1">
            <w:pPr>
              <w:spacing w:line="276" w:lineRule="auto"/>
              <w:rPr>
                <w:sz w:val="22"/>
                <w:szCs w:val="22"/>
              </w:rPr>
            </w:pPr>
            <w:r w:rsidRPr="004E74A6">
              <w:rPr>
                <w:sz w:val="22"/>
                <w:szCs w:val="22"/>
              </w:rPr>
              <w:t>Oficio CJC-80-2022</w:t>
            </w:r>
          </w:p>
        </w:tc>
        <w:tc>
          <w:tcPr>
            <w:tcW w:w="2126" w:type="dxa"/>
            <w:shd w:val="clear" w:color="auto" w:fill="auto"/>
            <w:noWrap/>
            <w:vAlign w:val="center"/>
          </w:tcPr>
          <w:p w14:paraId="6615ACD7" w14:textId="33BEDC0D" w:rsidR="0060306B" w:rsidRPr="004E74A6" w:rsidRDefault="00997A48" w:rsidP="00CE62C1">
            <w:pPr>
              <w:spacing w:line="276" w:lineRule="auto"/>
              <w:jc w:val="center"/>
              <w:rPr>
                <w:sz w:val="20"/>
              </w:rPr>
            </w:pPr>
            <w:r w:rsidRPr="004E74A6">
              <w:rPr>
                <w:sz w:val="20"/>
              </w:rPr>
              <w:object w:dxaOrig="1454" w:dyaOrig="905" w14:anchorId="4FB2FF08">
                <v:shape id="_x0000_i1035" type="#_x0000_t75" style="width:1in;height:48.5pt" o:ole="">
                  <v:imagedata r:id="rId72" o:title=""/>
                </v:shape>
                <o:OLEObject Type="Embed" ProgID="Acrobat.Document.DC" ShapeID="_x0000_i1035" DrawAspect="Icon" ObjectID="_1739708502" r:id="rId73"/>
              </w:object>
            </w:r>
          </w:p>
        </w:tc>
      </w:tr>
      <w:tr w:rsidR="0060306B" w:rsidRPr="004E74A6" w14:paraId="69C21766" w14:textId="77777777" w:rsidTr="00832773">
        <w:trPr>
          <w:trHeight w:val="335"/>
          <w:jc w:val="center"/>
        </w:trPr>
        <w:tc>
          <w:tcPr>
            <w:tcW w:w="1119" w:type="dxa"/>
            <w:shd w:val="clear" w:color="auto" w:fill="auto"/>
            <w:noWrap/>
            <w:vAlign w:val="center"/>
          </w:tcPr>
          <w:p w14:paraId="3170DDC0" w14:textId="46D6260D" w:rsidR="0060306B" w:rsidRPr="004E74A6" w:rsidRDefault="0060306B" w:rsidP="00CE62C1">
            <w:pPr>
              <w:spacing w:line="276" w:lineRule="auto"/>
              <w:jc w:val="center"/>
              <w:rPr>
                <w:b/>
                <w:bCs/>
                <w:i/>
                <w:iCs/>
                <w:sz w:val="20"/>
                <w:lang w:eastAsia="es-CR"/>
              </w:rPr>
            </w:pPr>
            <w:r w:rsidRPr="004E74A6">
              <w:rPr>
                <w:b/>
                <w:bCs/>
                <w:i/>
                <w:iCs/>
                <w:sz w:val="20"/>
                <w:lang w:eastAsia="es-CR"/>
              </w:rPr>
              <w:t>9</w:t>
            </w:r>
          </w:p>
        </w:tc>
        <w:tc>
          <w:tcPr>
            <w:tcW w:w="5245" w:type="dxa"/>
            <w:shd w:val="clear" w:color="auto" w:fill="auto"/>
            <w:vAlign w:val="center"/>
          </w:tcPr>
          <w:p w14:paraId="51F7CB24" w14:textId="15FC1E11" w:rsidR="0060306B" w:rsidRPr="004E74A6" w:rsidRDefault="0060306B" w:rsidP="00CE62C1">
            <w:pPr>
              <w:spacing w:line="276" w:lineRule="auto"/>
              <w:rPr>
                <w:sz w:val="22"/>
                <w:szCs w:val="22"/>
              </w:rPr>
            </w:pPr>
            <w:r w:rsidRPr="004E74A6">
              <w:rPr>
                <w:sz w:val="22"/>
                <w:szCs w:val="22"/>
              </w:rPr>
              <w:t>Oficio CJC-121-2022</w:t>
            </w:r>
          </w:p>
        </w:tc>
        <w:tc>
          <w:tcPr>
            <w:tcW w:w="2126" w:type="dxa"/>
            <w:shd w:val="clear" w:color="auto" w:fill="auto"/>
            <w:noWrap/>
            <w:vAlign w:val="center"/>
          </w:tcPr>
          <w:p w14:paraId="2A390D5B" w14:textId="5F7E2857" w:rsidR="0060306B" w:rsidRPr="004E74A6" w:rsidRDefault="00997A48" w:rsidP="00CE62C1">
            <w:pPr>
              <w:spacing w:line="276" w:lineRule="auto"/>
              <w:jc w:val="center"/>
              <w:rPr>
                <w:sz w:val="20"/>
              </w:rPr>
            </w:pPr>
            <w:r w:rsidRPr="004E74A6">
              <w:rPr>
                <w:sz w:val="20"/>
              </w:rPr>
              <w:object w:dxaOrig="1454" w:dyaOrig="905" w14:anchorId="1541A9EA">
                <v:shape id="_x0000_i1036" type="#_x0000_t75" style="width:1in;height:48.5pt" o:ole="">
                  <v:imagedata r:id="rId74" o:title=""/>
                </v:shape>
                <o:OLEObject Type="Embed" ProgID="Acrobat.Document.DC" ShapeID="_x0000_i1036" DrawAspect="Icon" ObjectID="_1739708503" r:id="rId75"/>
              </w:object>
            </w:r>
          </w:p>
        </w:tc>
      </w:tr>
      <w:tr w:rsidR="0060306B" w:rsidRPr="004E74A6" w14:paraId="137DFE2E" w14:textId="77777777" w:rsidTr="00832773">
        <w:trPr>
          <w:trHeight w:val="335"/>
          <w:jc w:val="center"/>
        </w:trPr>
        <w:tc>
          <w:tcPr>
            <w:tcW w:w="1119" w:type="dxa"/>
            <w:shd w:val="clear" w:color="auto" w:fill="auto"/>
            <w:noWrap/>
            <w:vAlign w:val="center"/>
          </w:tcPr>
          <w:p w14:paraId="79120B69" w14:textId="2EF26093" w:rsidR="0060306B" w:rsidRPr="004E74A6" w:rsidRDefault="0060306B" w:rsidP="00CE62C1">
            <w:pPr>
              <w:spacing w:line="276" w:lineRule="auto"/>
              <w:jc w:val="center"/>
              <w:rPr>
                <w:b/>
                <w:bCs/>
                <w:i/>
                <w:iCs/>
                <w:sz w:val="20"/>
                <w:lang w:eastAsia="es-CR"/>
              </w:rPr>
            </w:pPr>
            <w:r w:rsidRPr="004E74A6">
              <w:rPr>
                <w:b/>
                <w:bCs/>
                <w:i/>
                <w:iCs/>
                <w:sz w:val="20"/>
                <w:lang w:eastAsia="es-CR"/>
              </w:rPr>
              <w:t>10</w:t>
            </w:r>
          </w:p>
        </w:tc>
        <w:tc>
          <w:tcPr>
            <w:tcW w:w="5245" w:type="dxa"/>
            <w:shd w:val="clear" w:color="auto" w:fill="auto"/>
            <w:vAlign w:val="center"/>
          </w:tcPr>
          <w:p w14:paraId="444CA877" w14:textId="2DBF93C5" w:rsidR="0060306B" w:rsidRPr="004E74A6" w:rsidRDefault="0060306B" w:rsidP="00CE62C1">
            <w:pPr>
              <w:spacing w:line="276" w:lineRule="auto"/>
              <w:rPr>
                <w:sz w:val="22"/>
                <w:szCs w:val="22"/>
              </w:rPr>
            </w:pPr>
            <w:r w:rsidRPr="004E74A6">
              <w:rPr>
                <w:sz w:val="22"/>
                <w:szCs w:val="22"/>
              </w:rPr>
              <w:t>Criterio DJ-AJ-C-247-2021</w:t>
            </w:r>
          </w:p>
        </w:tc>
        <w:tc>
          <w:tcPr>
            <w:tcW w:w="2126" w:type="dxa"/>
            <w:shd w:val="clear" w:color="auto" w:fill="auto"/>
            <w:noWrap/>
            <w:vAlign w:val="center"/>
          </w:tcPr>
          <w:p w14:paraId="4BE7B7AB" w14:textId="661F78D0" w:rsidR="0060306B" w:rsidRPr="004E74A6" w:rsidRDefault="00997A48" w:rsidP="00CE62C1">
            <w:pPr>
              <w:spacing w:line="276" w:lineRule="auto"/>
              <w:jc w:val="center"/>
              <w:rPr>
                <w:sz w:val="20"/>
              </w:rPr>
            </w:pPr>
            <w:r w:rsidRPr="004E74A6">
              <w:rPr>
                <w:sz w:val="20"/>
              </w:rPr>
              <w:object w:dxaOrig="1454" w:dyaOrig="905" w14:anchorId="07F1688B">
                <v:shape id="_x0000_i1037" type="#_x0000_t75" style="width:1in;height:48.5pt" o:ole="">
                  <v:imagedata r:id="rId76" o:title=""/>
                </v:shape>
                <o:OLEObject Type="Embed" ProgID="Acrobat.Document.DC" ShapeID="_x0000_i1037" DrawAspect="Icon" ObjectID="_1739708504" r:id="rId77"/>
              </w:object>
            </w:r>
          </w:p>
        </w:tc>
      </w:tr>
      <w:tr w:rsidR="0060306B" w:rsidRPr="004E74A6" w14:paraId="52AC93DC" w14:textId="77777777" w:rsidTr="00832773">
        <w:trPr>
          <w:trHeight w:val="335"/>
          <w:jc w:val="center"/>
        </w:trPr>
        <w:tc>
          <w:tcPr>
            <w:tcW w:w="1119" w:type="dxa"/>
            <w:shd w:val="clear" w:color="auto" w:fill="auto"/>
            <w:noWrap/>
            <w:vAlign w:val="center"/>
          </w:tcPr>
          <w:p w14:paraId="692C7339" w14:textId="6E4F6ABF" w:rsidR="0060306B" w:rsidRPr="004E74A6" w:rsidRDefault="0060306B" w:rsidP="00CE62C1">
            <w:pPr>
              <w:spacing w:line="276" w:lineRule="auto"/>
              <w:jc w:val="center"/>
              <w:rPr>
                <w:b/>
                <w:bCs/>
                <w:i/>
                <w:iCs/>
                <w:sz w:val="20"/>
                <w:lang w:eastAsia="es-CR"/>
              </w:rPr>
            </w:pPr>
            <w:r w:rsidRPr="004E74A6">
              <w:rPr>
                <w:b/>
                <w:bCs/>
                <w:i/>
                <w:iCs/>
                <w:sz w:val="20"/>
                <w:lang w:eastAsia="es-CR"/>
              </w:rPr>
              <w:t>11</w:t>
            </w:r>
          </w:p>
        </w:tc>
        <w:tc>
          <w:tcPr>
            <w:tcW w:w="5245" w:type="dxa"/>
            <w:shd w:val="clear" w:color="auto" w:fill="auto"/>
            <w:vAlign w:val="center"/>
          </w:tcPr>
          <w:p w14:paraId="694D4F23" w14:textId="7032C9B3" w:rsidR="0060306B" w:rsidRPr="004E74A6" w:rsidRDefault="0060306B" w:rsidP="00CE62C1">
            <w:pPr>
              <w:spacing w:line="276" w:lineRule="auto"/>
              <w:rPr>
                <w:sz w:val="22"/>
                <w:szCs w:val="22"/>
              </w:rPr>
            </w:pPr>
            <w:r w:rsidRPr="004E74A6">
              <w:rPr>
                <w:sz w:val="22"/>
                <w:szCs w:val="22"/>
              </w:rPr>
              <w:t>Minuta 533-PLA-MI-MNTA-2022</w:t>
            </w:r>
          </w:p>
        </w:tc>
        <w:tc>
          <w:tcPr>
            <w:tcW w:w="2126" w:type="dxa"/>
            <w:shd w:val="clear" w:color="auto" w:fill="auto"/>
            <w:noWrap/>
            <w:vAlign w:val="center"/>
          </w:tcPr>
          <w:p w14:paraId="55E1CE1A" w14:textId="4C05ADFE" w:rsidR="0060306B" w:rsidRPr="004E74A6" w:rsidRDefault="0060306B" w:rsidP="00CE62C1">
            <w:pPr>
              <w:spacing w:line="276" w:lineRule="auto"/>
              <w:jc w:val="center"/>
              <w:rPr>
                <w:sz w:val="20"/>
              </w:rPr>
            </w:pPr>
            <w:r w:rsidRPr="004E74A6">
              <w:rPr>
                <w:sz w:val="20"/>
              </w:rPr>
              <w:object w:dxaOrig="1520" w:dyaOrig="988" w14:anchorId="10F0BE18">
                <v:shape id="_x0000_i1038" type="#_x0000_t75" style="width:78.55pt;height:53.9pt" o:ole="">
                  <v:imagedata r:id="rId78" o:title=""/>
                </v:shape>
                <o:OLEObject Type="Embed" ProgID="Package" ShapeID="_x0000_i1038" DrawAspect="Icon" ObjectID="_1739708505" r:id="rId79"/>
              </w:object>
            </w:r>
          </w:p>
        </w:tc>
      </w:tr>
      <w:tr w:rsidR="0060306B" w:rsidRPr="004E74A6" w14:paraId="54094E12" w14:textId="77777777" w:rsidTr="00832773">
        <w:trPr>
          <w:trHeight w:val="335"/>
          <w:jc w:val="center"/>
        </w:trPr>
        <w:tc>
          <w:tcPr>
            <w:tcW w:w="1119" w:type="dxa"/>
            <w:shd w:val="clear" w:color="auto" w:fill="auto"/>
            <w:noWrap/>
            <w:vAlign w:val="center"/>
          </w:tcPr>
          <w:p w14:paraId="74242EF4" w14:textId="764368F2" w:rsidR="0060306B" w:rsidRPr="004E74A6" w:rsidRDefault="0060306B" w:rsidP="00CE62C1">
            <w:pPr>
              <w:spacing w:line="276" w:lineRule="auto"/>
              <w:jc w:val="center"/>
              <w:rPr>
                <w:sz w:val="22"/>
                <w:szCs w:val="22"/>
              </w:rPr>
            </w:pPr>
            <w:r w:rsidRPr="004E74A6">
              <w:rPr>
                <w:b/>
                <w:bCs/>
                <w:i/>
                <w:iCs/>
                <w:sz w:val="20"/>
                <w:lang w:eastAsia="es-CR"/>
              </w:rPr>
              <w:t>12</w:t>
            </w:r>
          </w:p>
        </w:tc>
        <w:tc>
          <w:tcPr>
            <w:tcW w:w="5245" w:type="dxa"/>
            <w:shd w:val="clear" w:color="auto" w:fill="auto"/>
            <w:vAlign w:val="center"/>
          </w:tcPr>
          <w:p w14:paraId="2B2A4F29" w14:textId="33369578" w:rsidR="0060306B" w:rsidRPr="004E74A6" w:rsidRDefault="0060306B" w:rsidP="00CE62C1">
            <w:pPr>
              <w:spacing w:line="276" w:lineRule="auto"/>
              <w:rPr>
                <w:sz w:val="22"/>
                <w:szCs w:val="22"/>
              </w:rPr>
            </w:pPr>
            <w:r w:rsidRPr="004E74A6">
              <w:rPr>
                <w:sz w:val="22"/>
                <w:szCs w:val="22"/>
              </w:rPr>
              <w:t>Análisis de Juzgados Civiles con mayor detalle en cuanto al ingreso de asuntos</w:t>
            </w:r>
          </w:p>
        </w:tc>
        <w:bookmarkStart w:id="14" w:name="_MON_1715724062"/>
        <w:bookmarkEnd w:id="14"/>
        <w:tc>
          <w:tcPr>
            <w:tcW w:w="2126" w:type="dxa"/>
            <w:shd w:val="clear" w:color="auto" w:fill="auto"/>
            <w:noWrap/>
            <w:vAlign w:val="center"/>
          </w:tcPr>
          <w:p w14:paraId="112BAFF0" w14:textId="1D9EBD03" w:rsidR="0060306B" w:rsidRPr="004E74A6" w:rsidRDefault="0060306B" w:rsidP="00CE62C1">
            <w:pPr>
              <w:spacing w:line="276" w:lineRule="auto"/>
              <w:jc w:val="center"/>
              <w:rPr>
                <w:sz w:val="20"/>
              </w:rPr>
            </w:pPr>
            <w:r w:rsidRPr="004E74A6">
              <w:rPr>
                <w:sz w:val="20"/>
              </w:rPr>
              <w:object w:dxaOrig="1155" w:dyaOrig="752" w14:anchorId="717B4B0E">
                <v:shape id="_x0000_i1039" type="#_x0000_t75" style="width:53.9pt;height:35.4pt" o:ole="">
                  <v:imagedata r:id="rId80" o:title=""/>
                </v:shape>
                <o:OLEObject Type="Embed" ProgID="Word.Document.12" ShapeID="_x0000_i1039" DrawAspect="Icon" ObjectID="_1739708506" r:id="rId81">
                  <o:FieldCodes>\s</o:FieldCodes>
                </o:OLEObject>
              </w:object>
            </w:r>
          </w:p>
        </w:tc>
      </w:tr>
      <w:tr w:rsidR="0060306B" w:rsidRPr="004E74A6" w14:paraId="5B99F381" w14:textId="77777777" w:rsidTr="00832773">
        <w:trPr>
          <w:trHeight w:val="335"/>
          <w:jc w:val="center"/>
        </w:trPr>
        <w:tc>
          <w:tcPr>
            <w:tcW w:w="1119" w:type="dxa"/>
            <w:shd w:val="clear" w:color="auto" w:fill="auto"/>
            <w:noWrap/>
            <w:vAlign w:val="center"/>
          </w:tcPr>
          <w:p w14:paraId="64C36225" w14:textId="006DC78D" w:rsidR="0060306B" w:rsidRPr="004E74A6" w:rsidRDefault="0060306B" w:rsidP="00CE62C1">
            <w:pPr>
              <w:spacing w:line="276" w:lineRule="auto"/>
              <w:jc w:val="center"/>
              <w:rPr>
                <w:b/>
                <w:bCs/>
                <w:i/>
                <w:iCs/>
                <w:sz w:val="20"/>
                <w:lang w:eastAsia="es-CR"/>
              </w:rPr>
            </w:pPr>
            <w:r w:rsidRPr="004E74A6">
              <w:rPr>
                <w:b/>
                <w:bCs/>
                <w:i/>
                <w:iCs/>
                <w:sz w:val="20"/>
                <w:lang w:eastAsia="es-CR"/>
              </w:rPr>
              <w:t>13</w:t>
            </w:r>
          </w:p>
        </w:tc>
        <w:tc>
          <w:tcPr>
            <w:tcW w:w="5245" w:type="dxa"/>
            <w:shd w:val="clear" w:color="auto" w:fill="auto"/>
            <w:vAlign w:val="center"/>
          </w:tcPr>
          <w:p w14:paraId="3699081F" w14:textId="23B1CC80" w:rsidR="0060306B" w:rsidRPr="004E74A6" w:rsidRDefault="0060306B" w:rsidP="00CE62C1">
            <w:pPr>
              <w:spacing w:line="276" w:lineRule="auto"/>
              <w:rPr>
                <w:sz w:val="22"/>
                <w:szCs w:val="22"/>
              </w:rPr>
            </w:pPr>
            <w:r w:rsidRPr="004E74A6">
              <w:rPr>
                <w:sz w:val="22"/>
                <w:szCs w:val="22"/>
              </w:rPr>
              <w:t>Análisis de Tribunales de Apelación Civil con mayor detalle en cuanto al ingreso de asuntos</w:t>
            </w:r>
          </w:p>
        </w:tc>
        <w:bookmarkStart w:id="15" w:name="_MON_1716937754"/>
        <w:bookmarkEnd w:id="15"/>
        <w:tc>
          <w:tcPr>
            <w:tcW w:w="2126" w:type="dxa"/>
            <w:shd w:val="clear" w:color="auto" w:fill="auto"/>
            <w:noWrap/>
            <w:vAlign w:val="center"/>
          </w:tcPr>
          <w:p w14:paraId="27D96F92" w14:textId="05209B14" w:rsidR="0060306B" w:rsidRPr="004E74A6" w:rsidRDefault="0060306B" w:rsidP="00CE62C1">
            <w:pPr>
              <w:spacing w:line="276" w:lineRule="auto"/>
              <w:jc w:val="center"/>
              <w:rPr>
                <w:sz w:val="20"/>
              </w:rPr>
            </w:pPr>
            <w:r w:rsidRPr="004E74A6">
              <w:rPr>
                <w:sz w:val="20"/>
              </w:rPr>
              <w:object w:dxaOrig="1155" w:dyaOrig="752" w14:anchorId="0586BA3C">
                <v:shape id="_x0000_i1040" type="#_x0000_t75" style="width:53.9pt;height:35.4pt" o:ole="">
                  <v:imagedata r:id="rId82" o:title=""/>
                </v:shape>
                <o:OLEObject Type="Embed" ProgID="Word.Document.12" ShapeID="_x0000_i1040" DrawAspect="Icon" ObjectID="_1739708507" r:id="rId83">
                  <o:FieldCodes>\s</o:FieldCodes>
                </o:OLEObject>
              </w:object>
            </w:r>
          </w:p>
        </w:tc>
      </w:tr>
      <w:tr w:rsidR="0060306B" w:rsidRPr="004E74A6" w14:paraId="5150D38A" w14:textId="77777777" w:rsidTr="00832773">
        <w:trPr>
          <w:trHeight w:val="335"/>
          <w:jc w:val="center"/>
        </w:trPr>
        <w:tc>
          <w:tcPr>
            <w:tcW w:w="1119" w:type="dxa"/>
            <w:shd w:val="clear" w:color="auto" w:fill="auto"/>
            <w:noWrap/>
            <w:vAlign w:val="center"/>
          </w:tcPr>
          <w:p w14:paraId="2D0A79BC" w14:textId="0E8D0D0B" w:rsidR="0060306B" w:rsidRPr="004E74A6" w:rsidRDefault="0060306B" w:rsidP="00CE62C1">
            <w:pPr>
              <w:spacing w:line="276" w:lineRule="auto"/>
              <w:jc w:val="center"/>
              <w:rPr>
                <w:b/>
                <w:bCs/>
                <w:i/>
                <w:iCs/>
                <w:sz w:val="20"/>
                <w:lang w:eastAsia="es-CR"/>
              </w:rPr>
            </w:pPr>
            <w:r w:rsidRPr="004E74A6">
              <w:rPr>
                <w:b/>
                <w:bCs/>
                <w:i/>
                <w:iCs/>
                <w:sz w:val="20"/>
                <w:lang w:eastAsia="es-CR"/>
              </w:rPr>
              <w:t>14</w:t>
            </w:r>
          </w:p>
        </w:tc>
        <w:tc>
          <w:tcPr>
            <w:tcW w:w="5245" w:type="dxa"/>
            <w:shd w:val="clear" w:color="auto" w:fill="auto"/>
            <w:vAlign w:val="center"/>
          </w:tcPr>
          <w:p w14:paraId="05ECF4D9" w14:textId="769F0CD2" w:rsidR="0060306B" w:rsidRPr="004E74A6" w:rsidRDefault="0060306B" w:rsidP="00CE62C1">
            <w:pPr>
              <w:spacing w:line="276" w:lineRule="auto"/>
              <w:rPr>
                <w:sz w:val="22"/>
                <w:szCs w:val="22"/>
              </w:rPr>
            </w:pPr>
            <w:r w:rsidRPr="004E74A6">
              <w:rPr>
                <w:sz w:val="22"/>
                <w:szCs w:val="22"/>
              </w:rPr>
              <w:t>Tabla con datos y análisis sobre el circulante final de los Juzgados Civiles de enero 2019 hasta julio 2022</w:t>
            </w:r>
          </w:p>
        </w:tc>
        <w:bookmarkStart w:id="16" w:name="_MON_1724738662"/>
        <w:bookmarkEnd w:id="16"/>
        <w:tc>
          <w:tcPr>
            <w:tcW w:w="2126" w:type="dxa"/>
            <w:shd w:val="clear" w:color="auto" w:fill="auto"/>
            <w:noWrap/>
            <w:vAlign w:val="center"/>
          </w:tcPr>
          <w:p w14:paraId="6E79CA3F" w14:textId="6619EE65" w:rsidR="0060306B" w:rsidRPr="004E74A6" w:rsidRDefault="00997A48" w:rsidP="00CE62C1">
            <w:pPr>
              <w:spacing w:line="276" w:lineRule="auto"/>
              <w:jc w:val="center"/>
              <w:rPr>
                <w:sz w:val="20"/>
              </w:rPr>
            </w:pPr>
            <w:r w:rsidRPr="004E74A6">
              <w:rPr>
                <w:sz w:val="20"/>
              </w:rPr>
              <w:object w:dxaOrig="1155" w:dyaOrig="752" w14:anchorId="50FD9088">
                <v:shape id="_x0000_i1041" type="#_x0000_t75" style="width:59.3pt;height:40.8pt" o:ole="">
                  <v:imagedata r:id="rId84" o:title=""/>
                </v:shape>
                <o:OLEObject Type="Embed" ProgID="Excel.Sheet.12" ShapeID="_x0000_i1041" DrawAspect="Icon" ObjectID="_1739708508" r:id="rId85"/>
              </w:object>
            </w:r>
          </w:p>
        </w:tc>
      </w:tr>
      <w:tr w:rsidR="000729D8" w:rsidRPr="004E74A6" w14:paraId="500A75F3" w14:textId="77777777" w:rsidTr="00832773">
        <w:trPr>
          <w:trHeight w:val="335"/>
          <w:jc w:val="center"/>
        </w:trPr>
        <w:tc>
          <w:tcPr>
            <w:tcW w:w="1119" w:type="dxa"/>
            <w:shd w:val="clear" w:color="auto" w:fill="auto"/>
            <w:noWrap/>
            <w:vAlign w:val="center"/>
          </w:tcPr>
          <w:p w14:paraId="7583754F" w14:textId="31B53D24" w:rsidR="000729D8" w:rsidRPr="004E74A6" w:rsidRDefault="000729D8" w:rsidP="000729D8">
            <w:pPr>
              <w:spacing w:line="276" w:lineRule="auto"/>
              <w:jc w:val="center"/>
              <w:rPr>
                <w:b/>
                <w:bCs/>
                <w:i/>
                <w:iCs/>
                <w:sz w:val="20"/>
                <w:lang w:eastAsia="es-CR"/>
              </w:rPr>
            </w:pPr>
            <w:r w:rsidRPr="004E74A6">
              <w:rPr>
                <w:b/>
                <w:bCs/>
                <w:i/>
                <w:iCs/>
                <w:sz w:val="20"/>
                <w:lang w:eastAsia="es-CR"/>
              </w:rPr>
              <w:t>15</w:t>
            </w:r>
          </w:p>
        </w:tc>
        <w:tc>
          <w:tcPr>
            <w:tcW w:w="5245" w:type="dxa"/>
            <w:shd w:val="clear" w:color="auto" w:fill="auto"/>
            <w:vAlign w:val="center"/>
          </w:tcPr>
          <w:p w14:paraId="4F3855EA" w14:textId="59F89C78" w:rsidR="000729D8" w:rsidRPr="004E74A6" w:rsidRDefault="000729D8" w:rsidP="000729D8">
            <w:pPr>
              <w:spacing w:line="276" w:lineRule="auto"/>
              <w:rPr>
                <w:sz w:val="22"/>
                <w:szCs w:val="22"/>
              </w:rPr>
            </w:pPr>
            <w:r w:rsidRPr="004E74A6">
              <w:rPr>
                <w:sz w:val="22"/>
                <w:szCs w:val="22"/>
              </w:rPr>
              <w:t>Oficio 291-CACMFJ-JEF-2022, observaciones al oficio 779-PLA-MI-2022 en consulta</w:t>
            </w:r>
          </w:p>
        </w:tc>
        <w:tc>
          <w:tcPr>
            <w:tcW w:w="2126" w:type="dxa"/>
            <w:shd w:val="clear" w:color="auto" w:fill="auto"/>
            <w:noWrap/>
            <w:vAlign w:val="center"/>
          </w:tcPr>
          <w:p w14:paraId="3F44DE21" w14:textId="17CD022C" w:rsidR="000729D8" w:rsidRPr="004E74A6" w:rsidRDefault="00997A48" w:rsidP="000729D8">
            <w:pPr>
              <w:spacing w:line="276" w:lineRule="auto"/>
              <w:jc w:val="center"/>
              <w:rPr>
                <w:sz w:val="20"/>
              </w:rPr>
            </w:pPr>
            <w:r w:rsidRPr="004E74A6">
              <w:rPr>
                <w:sz w:val="20"/>
              </w:rPr>
              <w:object w:dxaOrig="1454" w:dyaOrig="905" w14:anchorId="7B5B0138">
                <v:shape id="_x0000_i1042" type="#_x0000_t75" style="width:72.75pt;height:45.05pt" o:ole="">
                  <v:imagedata r:id="rId86" o:title=""/>
                </v:shape>
                <o:OLEObject Type="Embed" ProgID="Acrobat.Document.DC" ShapeID="_x0000_i1042" DrawAspect="Icon" ObjectID="_1739708509" r:id="rId87"/>
              </w:object>
            </w:r>
          </w:p>
        </w:tc>
      </w:tr>
      <w:tr w:rsidR="000729D8" w:rsidRPr="004E74A6" w14:paraId="6EFF1CBA" w14:textId="77777777" w:rsidTr="00832773">
        <w:trPr>
          <w:trHeight w:val="335"/>
          <w:jc w:val="center"/>
        </w:trPr>
        <w:tc>
          <w:tcPr>
            <w:tcW w:w="1119" w:type="dxa"/>
            <w:shd w:val="clear" w:color="auto" w:fill="auto"/>
            <w:noWrap/>
            <w:vAlign w:val="center"/>
          </w:tcPr>
          <w:p w14:paraId="48248889" w14:textId="0B9FB59E" w:rsidR="000729D8" w:rsidRPr="004E74A6" w:rsidRDefault="000729D8" w:rsidP="000729D8">
            <w:pPr>
              <w:spacing w:line="276" w:lineRule="auto"/>
              <w:jc w:val="center"/>
              <w:rPr>
                <w:b/>
                <w:bCs/>
                <w:i/>
                <w:iCs/>
                <w:sz w:val="20"/>
                <w:lang w:eastAsia="es-CR"/>
              </w:rPr>
            </w:pPr>
            <w:r w:rsidRPr="004E74A6">
              <w:rPr>
                <w:b/>
                <w:bCs/>
                <w:i/>
                <w:iCs/>
                <w:sz w:val="20"/>
                <w:lang w:eastAsia="es-CR"/>
              </w:rPr>
              <w:t>16</w:t>
            </w:r>
          </w:p>
        </w:tc>
        <w:tc>
          <w:tcPr>
            <w:tcW w:w="5245" w:type="dxa"/>
            <w:shd w:val="clear" w:color="auto" w:fill="auto"/>
            <w:vAlign w:val="center"/>
          </w:tcPr>
          <w:p w14:paraId="3C96DDEA" w14:textId="03A70C38" w:rsidR="000729D8" w:rsidRPr="004E74A6" w:rsidRDefault="000729D8" w:rsidP="000729D8">
            <w:pPr>
              <w:spacing w:line="276" w:lineRule="auto"/>
              <w:rPr>
                <w:sz w:val="22"/>
                <w:szCs w:val="22"/>
              </w:rPr>
            </w:pPr>
            <w:r w:rsidRPr="004E74A6">
              <w:rPr>
                <w:sz w:val="22"/>
                <w:szCs w:val="22"/>
              </w:rPr>
              <w:t>Observaciones al informe de cuantía 779-PLA-MI-2022 equipo de gestores en materia civil</w:t>
            </w:r>
          </w:p>
        </w:tc>
        <w:tc>
          <w:tcPr>
            <w:tcW w:w="2126" w:type="dxa"/>
            <w:shd w:val="clear" w:color="auto" w:fill="auto"/>
            <w:noWrap/>
            <w:vAlign w:val="center"/>
          </w:tcPr>
          <w:p w14:paraId="02CC344D" w14:textId="2F99D1E9" w:rsidR="000729D8" w:rsidRPr="004E74A6" w:rsidRDefault="00997A48" w:rsidP="000729D8">
            <w:pPr>
              <w:spacing w:line="276" w:lineRule="auto"/>
              <w:jc w:val="center"/>
              <w:rPr>
                <w:sz w:val="20"/>
              </w:rPr>
            </w:pPr>
            <w:r w:rsidRPr="004E74A6">
              <w:rPr>
                <w:sz w:val="20"/>
              </w:rPr>
              <w:object w:dxaOrig="1454" w:dyaOrig="905" w14:anchorId="0549D527">
                <v:shape id="_x0000_i1043" type="#_x0000_t75" style="width:72.75pt;height:45.05pt" o:ole="">
                  <v:imagedata r:id="rId88" o:title=""/>
                </v:shape>
                <o:OLEObject Type="Embed" ProgID="Acrobat.Document.DC" ShapeID="_x0000_i1043" DrawAspect="Icon" ObjectID="_1739708510" r:id="rId89"/>
              </w:object>
            </w:r>
          </w:p>
        </w:tc>
      </w:tr>
      <w:tr w:rsidR="000729D8" w:rsidRPr="004E74A6" w14:paraId="224A1692" w14:textId="77777777" w:rsidTr="00832773">
        <w:trPr>
          <w:trHeight w:val="335"/>
          <w:jc w:val="center"/>
        </w:trPr>
        <w:tc>
          <w:tcPr>
            <w:tcW w:w="1119" w:type="dxa"/>
            <w:shd w:val="clear" w:color="auto" w:fill="auto"/>
            <w:noWrap/>
            <w:vAlign w:val="center"/>
          </w:tcPr>
          <w:p w14:paraId="1DB5CE13" w14:textId="45873A78" w:rsidR="000729D8" w:rsidRPr="004E74A6" w:rsidRDefault="000729D8" w:rsidP="000729D8">
            <w:pPr>
              <w:spacing w:line="276" w:lineRule="auto"/>
              <w:jc w:val="center"/>
              <w:rPr>
                <w:b/>
                <w:bCs/>
                <w:i/>
                <w:iCs/>
                <w:sz w:val="20"/>
                <w:lang w:eastAsia="es-CR"/>
              </w:rPr>
            </w:pPr>
            <w:r w:rsidRPr="004E74A6">
              <w:rPr>
                <w:b/>
                <w:bCs/>
                <w:i/>
                <w:iCs/>
                <w:sz w:val="20"/>
                <w:lang w:eastAsia="es-CR"/>
              </w:rPr>
              <w:lastRenderedPageBreak/>
              <w:t>17</w:t>
            </w:r>
          </w:p>
        </w:tc>
        <w:tc>
          <w:tcPr>
            <w:tcW w:w="5245" w:type="dxa"/>
            <w:shd w:val="clear" w:color="auto" w:fill="auto"/>
            <w:vAlign w:val="center"/>
          </w:tcPr>
          <w:p w14:paraId="62AF661F" w14:textId="2CF9D2AF" w:rsidR="000729D8" w:rsidRPr="00832773" w:rsidRDefault="000729D8" w:rsidP="000729D8">
            <w:pPr>
              <w:spacing w:line="276" w:lineRule="auto"/>
              <w:rPr>
                <w:i/>
                <w:iCs/>
                <w:sz w:val="22"/>
                <w:szCs w:val="22"/>
              </w:rPr>
            </w:pPr>
            <w:r w:rsidRPr="004E74A6">
              <w:rPr>
                <w:sz w:val="22"/>
                <w:szCs w:val="22"/>
              </w:rPr>
              <w:t xml:space="preserve">Circular 22-2022. </w:t>
            </w:r>
            <w:r w:rsidRPr="004E74A6">
              <w:rPr>
                <w:i/>
                <w:iCs/>
                <w:sz w:val="22"/>
                <w:szCs w:val="22"/>
              </w:rPr>
              <w:t>Procedimiento de inventario automatizado para implementar en las oficinas que atienden materia cobratoria.</w:t>
            </w:r>
          </w:p>
        </w:tc>
        <w:tc>
          <w:tcPr>
            <w:tcW w:w="2126" w:type="dxa"/>
            <w:shd w:val="clear" w:color="auto" w:fill="auto"/>
            <w:noWrap/>
            <w:vAlign w:val="center"/>
          </w:tcPr>
          <w:p w14:paraId="7DEDAE71" w14:textId="51F62183" w:rsidR="000729D8" w:rsidRPr="004E74A6" w:rsidRDefault="00997A48" w:rsidP="000729D8">
            <w:pPr>
              <w:spacing w:line="276" w:lineRule="auto"/>
              <w:jc w:val="center"/>
              <w:rPr>
                <w:sz w:val="20"/>
              </w:rPr>
            </w:pPr>
            <w:r w:rsidRPr="004E74A6">
              <w:rPr>
                <w:sz w:val="20"/>
              </w:rPr>
              <w:object w:dxaOrig="1454" w:dyaOrig="905" w14:anchorId="1713E259">
                <v:shape id="_x0000_i1044" type="#_x0000_t75" style="width:72.75pt;height:45.05pt" o:ole="">
                  <v:imagedata r:id="rId90" o:title=""/>
                </v:shape>
                <o:OLEObject Type="Embed" ProgID="Acrobat.Document.DC" ShapeID="_x0000_i1044" DrawAspect="Icon" ObjectID="_1739708511" r:id="rId91"/>
              </w:object>
            </w:r>
            <w:r w:rsidRPr="004E74A6">
              <w:rPr>
                <w:sz w:val="20"/>
              </w:rPr>
              <w:object w:dxaOrig="1454" w:dyaOrig="905" w14:anchorId="4C615C3E">
                <v:shape id="_x0000_i1045" type="#_x0000_t75" style="width:72.75pt;height:45.05pt" o:ole="">
                  <v:imagedata r:id="rId92" o:title=""/>
                </v:shape>
                <o:OLEObject Type="Embed" ProgID="Acrobat.Document.DC" ShapeID="_x0000_i1045" DrawAspect="Icon" ObjectID="_1739708512" r:id="rId93"/>
              </w:object>
            </w:r>
          </w:p>
        </w:tc>
      </w:tr>
      <w:tr w:rsidR="000729D8" w:rsidRPr="004E74A6" w14:paraId="614D0F48" w14:textId="77777777" w:rsidTr="00832773">
        <w:trPr>
          <w:trHeight w:val="335"/>
          <w:jc w:val="center"/>
        </w:trPr>
        <w:tc>
          <w:tcPr>
            <w:tcW w:w="1119" w:type="dxa"/>
            <w:shd w:val="clear" w:color="auto" w:fill="auto"/>
            <w:noWrap/>
            <w:vAlign w:val="center"/>
          </w:tcPr>
          <w:p w14:paraId="11F920AC" w14:textId="71974EE6" w:rsidR="000729D8" w:rsidRPr="004E74A6" w:rsidRDefault="000729D8" w:rsidP="000729D8">
            <w:pPr>
              <w:spacing w:line="276" w:lineRule="auto"/>
              <w:jc w:val="center"/>
              <w:rPr>
                <w:b/>
                <w:bCs/>
                <w:i/>
                <w:iCs/>
                <w:sz w:val="20"/>
                <w:lang w:eastAsia="es-CR"/>
              </w:rPr>
            </w:pPr>
            <w:r w:rsidRPr="004E74A6">
              <w:rPr>
                <w:b/>
                <w:bCs/>
                <w:i/>
                <w:iCs/>
                <w:sz w:val="20"/>
                <w:lang w:eastAsia="es-CR"/>
              </w:rPr>
              <w:t>18</w:t>
            </w:r>
          </w:p>
        </w:tc>
        <w:tc>
          <w:tcPr>
            <w:tcW w:w="5245" w:type="dxa"/>
            <w:shd w:val="clear" w:color="auto" w:fill="auto"/>
            <w:vAlign w:val="center"/>
          </w:tcPr>
          <w:p w14:paraId="1D672E58" w14:textId="32CC4321" w:rsidR="000729D8" w:rsidRPr="004E74A6" w:rsidRDefault="00796AC9" w:rsidP="000729D8">
            <w:pPr>
              <w:spacing w:line="276" w:lineRule="auto"/>
              <w:rPr>
                <w:sz w:val="22"/>
                <w:szCs w:val="22"/>
              </w:rPr>
            </w:pPr>
            <w:r w:rsidRPr="004E74A6">
              <w:rPr>
                <w:szCs w:val="24"/>
              </w:rPr>
              <w:t>O</w:t>
            </w:r>
            <w:r w:rsidR="000729D8" w:rsidRPr="004E74A6">
              <w:rPr>
                <w:szCs w:val="24"/>
              </w:rPr>
              <w:t xml:space="preserve">ficios </w:t>
            </w:r>
            <w:r w:rsidR="000729D8" w:rsidRPr="00832773">
              <w:rPr>
                <w:szCs w:val="24"/>
              </w:rPr>
              <w:t>1631 y 1633-DTI-2020 de la Dirección de Tecnología de la Información</w:t>
            </w:r>
          </w:p>
        </w:tc>
        <w:tc>
          <w:tcPr>
            <w:tcW w:w="2126" w:type="dxa"/>
            <w:shd w:val="clear" w:color="auto" w:fill="auto"/>
            <w:noWrap/>
            <w:vAlign w:val="center"/>
          </w:tcPr>
          <w:p w14:paraId="191D0C71" w14:textId="515A84CF" w:rsidR="000729D8" w:rsidRPr="004E74A6" w:rsidRDefault="00997A48" w:rsidP="000729D8">
            <w:pPr>
              <w:spacing w:line="276" w:lineRule="auto"/>
              <w:jc w:val="center"/>
              <w:rPr>
                <w:sz w:val="20"/>
              </w:rPr>
            </w:pPr>
            <w:r w:rsidRPr="004E74A6">
              <w:rPr>
                <w:sz w:val="20"/>
              </w:rPr>
              <w:object w:dxaOrig="1155" w:dyaOrig="752" w14:anchorId="6DB6AD1D">
                <v:shape id="_x0000_i1046" type="#_x0000_t75" style="width:59.3pt;height:37.35pt" o:ole="">
                  <v:imagedata r:id="rId94" o:title=""/>
                </v:shape>
                <o:OLEObject Type="Embed" ProgID="Acrobat.Document.DC" ShapeID="_x0000_i1046" DrawAspect="Icon" ObjectID="_1739708513" r:id="rId95"/>
              </w:object>
            </w:r>
          </w:p>
          <w:p w14:paraId="1A69A0DD" w14:textId="0CE89861" w:rsidR="000729D8" w:rsidRPr="004E74A6" w:rsidRDefault="00997A48" w:rsidP="000729D8">
            <w:pPr>
              <w:spacing w:line="276" w:lineRule="auto"/>
              <w:jc w:val="center"/>
              <w:rPr>
                <w:sz w:val="20"/>
              </w:rPr>
            </w:pPr>
            <w:r w:rsidRPr="004E74A6">
              <w:rPr>
                <w:sz w:val="20"/>
              </w:rPr>
              <w:object w:dxaOrig="1155" w:dyaOrig="752" w14:anchorId="2F6A10F5">
                <v:shape id="_x0000_i1047" type="#_x0000_t75" style="width:59.3pt;height:37.35pt" o:ole="">
                  <v:imagedata r:id="rId96" o:title=""/>
                </v:shape>
                <o:OLEObject Type="Embed" ProgID="Acrobat.Document.DC" ShapeID="_x0000_i1047" DrawAspect="Icon" ObjectID="_1739708514" r:id="rId97"/>
              </w:object>
            </w:r>
          </w:p>
        </w:tc>
      </w:tr>
      <w:tr w:rsidR="000729D8" w:rsidRPr="004E74A6" w14:paraId="3C510CE0" w14:textId="77777777" w:rsidTr="00832773">
        <w:trPr>
          <w:trHeight w:val="335"/>
          <w:jc w:val="center"/>
        </w:trPr>
        <w:tc>
          <w:tcPr>
            <w:tcW w:w="1119" w:type="dxa"/>
            <w:shd w:val="clear" w:color="auto" w:fill="auto"/>
            <w:noWrap/>
            <w:vAlign w:val="center"/>
          </w:tcPr>
          <w:p w14:paraId="57F4B592" w14:textId="0321A85D" w:rsidR="000729D8" w:rsidRPr="004E74A6" w:rsidRDefault="000729D8" w:rsidP="000729D8">
            <w:pPr>
              <w:spacing w:line="276" w:lineRule="auto"/>
              <w:jc w:val="center"/>
              <w:rPr>
                <w:b/>
                <w:bCs/>
                <w:i/>
                <w:iCs/>
                <w:sz w:val="20"/>
                <w:lang w:eastAsia="es-CR"/>
              </w:rPr>
            </w:pPr>
            <w:r w:rsidRPr="004E74A6">
              <w:rPr>
                <w:b/>
                <w:bCs/>
                <w:i/>
                <w:iCs/>
                <w:sz w:val="20"/>
                <w:lang w:eastAsia="es-CR"/>
              </w:rPr>
              <w:t>19</w:t>
            </w:r>
          </w:p>
        </w:tc>
        <w:tc>
          <w:tcPr>
            <w:tcW w:w="5245" w:type="dxa"/>
            <w:shd w:val="clear" w:color="auto" w:fill="auto"/>
            <w:vAlign w:val="center"/>
          </w:tcPr>
          <w:p w14:paraId="61E693A1" w14:textId="4AD6C444" w:rsidR="000729D8" w:rsidRPr="004E74A6" w:rsidRDefault="000729D8" w:rsidP="000729D8">
            <w:pPr>
              <w:spacing w:line="276" w:lineRule="auto"/>
              <w:rPr>
                <w:szCs w:val="24"/>
              </w:rPr>
            </w:pPr>
            <w:r w:rsidRPr="004E74A6">
              <w:rPr>
                <w:szCs w:val="24"/>
              </w:rPr>
              <w:t>Minuta 803-PLA-MI(NPL)-MNTA-2022</w:t>
            </w:r>
          </w:p>
        </w:tc>
        <w:tc>
          <w:tcPr>
            <w:tcW w:w="2126" w:type="dxa"/>
            <w:shd w:val="clear" w:color="auto" w:fill="auto"/>
            <w:noWrap/>
            <w:vAlign w:val="center"/>
          </w:tcPr>
          <w:p w14:paraId="65BA6F69" w14:textId="38214E87" w:rsidR="000729D8" w:rsidRPr="004E74A6" w:rsidRDefault="00997A48" w:rsidP="000729D8">
            <w:pPr>
              <w:spacing w:line="276" w:lineRule="auto"/>
              <w:jc w:val="center"/>
              <w:rPr>
                <w:sz w:val="20"/>
              </w:rPr>
            </w:pPr>
            <w:r w:rsidRPr="004E74A6">
              <w:rPr>
                <w:sz w:val="20"/>
              </w:rPr>
              <w:object w:dxaOrig="1155" w:dyaOrig="752" w14:anchorId="464C41C4">
                <v:shape id="_x0000_i1048" type="#_x0000_t75" style="width:60.05pt;height:36.6pt" o:ole="">
                  <v:imagedata r:id="rId98" o:title=""/>
                </v:shape>
                <o:OLEObject Type="Embed" ProgID="Acrobat.Document.DC" ShapeID="_x0000_i1048" DrawAspect="Icon" ObjectID="_1739708515" r:id="rId99"/>
              </w:object>
            </w:r>
          </w:p>
        </w:tc>
      </w:tr>
      <w:tr w:rsidR="000729D8" w:rsidRPr="004E74A6" w14:paraId="13665CA3" w14:textId="77777777" w:rsidTr="00832773">
        <w:trPr>
          <w:trHeight w:val="335"/>
          <w:jc w:val="center"/>
        </w:trPr>
        <w:tc>
          <w:tcPr>
            <w:tcW w:w="1119" w:type="dxa"/>
            <w:shd w:val="clear" w:color="auto" w:fill="auto"/>
            <w:noWrap/>
            <w:vAlign w:val="center"/>
          </w:tcPr>
          <w:p w14:paraId="08275705" w14:textId="210C778F" w:rsidR="000729D8" w:rsidRPr="004E74A6" w:rsidRDefault="000729D8" w:rsidP="000729D8">
            <w:pPr>
              <w:spacing w:line="276" w:lineRule="auto"/>
              <w:jc w:val="center"/>
              <w:rPr>
                <w:b/>
                <w:bCs/>
                <w:i/>
                <w:iCs/>
                <w:sz w:val="20"/>
                <w:lang w:eastAsia="es-CR"/>
              </w:rPr>
            </w:pPr>
            <w:r w:rsidRPr="004E74A6">
              <w:rPr>
                <w:b/>
                <w:bCs/>
                <w:i/>
                <w:iCs/>
                <w:sz w:val="20"/>
                <w:lang w:eastAsia="es-CR"/>
              </w:rPr>
              <w:t>20</w:t>
            </w:r>
          </w:p>
        </w:tc>
        <w:tc>
          <w:tcPr>
            <w:tcW w:w="5245" w:type="dxa"/>
            <w:shd w:val="clear" w:color="auto" w:fill="auto"/>
            <w:vAlign w:val="center"/>
          </w:tcPr>
          <w:p w14:paraId="684208E5" w14:textId="00551786" w:rsidR="000729D8" w:rsidRPr="004E74A6" w:rsidRDefault="000729D8" w:rsidP="000729D8">
            <w:pPr>
              <w:spacing w:line="276" w:lineRule="auto"/>
              <w:rPr>
                <w:szCs w:val="24"/>
              </w:rPr>
            </w:pPr>
            <w:r w:rsidRPr="004E74A6">
              <w:rPr>
                <w:szCs w:val="24"/>
              </w:rPr>
              <w:t>Oficio 277-CJC-2022</w:t>
            </w:r>
          </w:p>
        </w:tc>
        <w:tc>
          <w:tcPr>
            <w:tcW w:w="2126" w:type="dxa"/>
            <w:shd w:val="clear" w:color="auto" w:fill="auto"/>
            <w:noWrap/>
            <w:vAlign w:val="center"/>
          </w:tcPr>
          <w:p w14:paraId="485C2E3B" w14:textId="723E0492" w:rsidR="000729D8" w:rsidRPr="004E74A6" w:rsidRDefault="00997A48" w:rsidP="000729D8">
            <w:pPr>
              <w:spacing w:line="276" w:lineRule="auto"/>
              <w:jc w:val="center"/>
              <w:rPr>
                <w:sz w:val="20"/>
              </w:rPr>
            </w:pPr>
            <w:r w:rsidRPr="004E74A6">
              <w:rPr>
                <w:sz w:val="20"/>
              </w:rPr>
              <w:object w:dxaOrig="1454" w:dyaOrig="905" w14:anchorId="47A2CAEE">
                <v:shape id="_x0000_i1049" type="#_x0000_t75" style="width:72.75pt;height:45.05pt" o:ole="">
                  <v:imagedata r:id="rId100" o:title=""/>
                </v:shape>
                <o:OLEObject Type="Embed" ProgID="Acrobat.Document.DC" ShapeID="_x0000_i1049" DrawAspect="Icon" ObjectID="_1739708516" r:id="rId101"/>
              </w:object>
            </w:r>
          </w:p>
        </w:tc>
      </w:tr>
      <w:tr w:rsidR="000729D8" w:rsidRPr="004E74A6" w14:paraId="4E1E96B5" w14:textId="77777777" w:rsidTr="00832773">
        <w:trPr>
          <w:trHeight w:val="335"/>
          <w:jc w:val="center"/>
        </w:trPr>
        <w:tc>
          <w:tcPr>
            <w:tcW w:w="1119" w:type="dxa"/>
            <w:shd w:val="clear" w:color="auto" w:fill="auto"/>
            <w:noWrap/>
            <w:vAlign w:val="center"/>
          </w:tcPr>
          <w:p w14:paraId="4DC14CE9" w14:textId="61382021" w:rsidR="000729D8" w:rsidRPr="004E74A6" w:rsidRDefault="000729D8" w:rsidP="000729D8">
            <w:pPr>
              <w:spacing w:line="276" w:lineRule="auto"/>
              <w:jc w:val="center"/>
              <w:rPr>
                <w:b/>
                <w:bCs/>
                <w:i/>
                <w:iCs/>
                <w:sz w:val="20"/>
                <w:lang w:eastAsia="es-CR"/>
              </w:rPr>
            </w:pPr>
            <w:r w:rsidRPr="004E74A6">
              <w:rPr>
                <w:b/>
                <w:bCs/>
                <w:i/>
                <w:iCs/>
                <w:sz w:val="20"/>
                <w:lang w:eastAsia="es-CR"/>
              </w:rPr>
              <w:t>21</w:t>
            </w:r>
          </w:p>
        </w:tc>
        <w:tc>
          <w:tcPr>
            <w:tcW w:w="5245" w:type="dxa"/>
            <w:shd w:val="clear" w:color="auto" w:fill="auto"/>
            <w:vAlign w:val="center"/>
          </w:tcPr>
          <w:p w14:paraId="0BB06B20" w14:textId="6EEB34B4" w:rsidR="000729D8" w:rsidRPr="004E74A6" w:rsidRDefault="000729D8" w:rsidP="000729D8">
            <w:pPr>
              <w:spacing w:line="276" w:lineRule="auto"/>
              <w:rPr>
                <w:szCs w:val="24"/>
              </w:rPr>
            </w:pPr>
            <w:r w:rsidRPr="004E74A6">
              <w:rPr>
                <w:szCs w:val="24"/>
              </w:rPr>
              <w:t>Oficio 805-SS1-2022</w:t>
            </w:r>
          </w:p>
        </w:tc>
        <w:tc>
          <w:tcPr>
            <w:tcW w:w="2126" w:type="dxa"/>
            <w:shd w:val="clear" w:color="auto" w:fill="auto"/>
            <w:noWrap/>
            <w:vAlign w:val="center"/>
          </w:tcPr>
          <w:p w14:paraId="0A0A745C" w14:textId="57E2249A" w:rsidR="000729D8" w:rsidRPr="004E74A6" w:rsidRDefault="00997A48" w:rsidP="000729D8">
            <w:pPr>
              <w:spacing w:line="276" w:lineRule="auto"/>
              <w:jc w:val="center"/>
              <w:rPr>
                <w:sz w:val="20"/>
              </w:rPr>
            </w:pPr>
            <w:r w:rsidRPr="004E74A6">
              <w:rPr>
                <w:sz w:val="20"/>
              </w:rPr>
              <w:object w:dxaOrig="1155" w:dyaOrig="752" w14:anchorId="5C4B356D">
                <v:shape id="_x0000_i1050" type="#_x0000_t75" style="width:59.3pt;height:37.35pt" o:ole="">
                  <v:imagedata r:id="rId102" o:title=""/>
                </v:shape>
                <o:OLEObject Type="Embed" ProgID="Acrobat.Document.DC" ShapeID="_x0000_i1050" DrawAspect="Icon" ObjectID="_1739708517" r:id="rId103"/>
              </w:object>
            </w:r>
          </w:p>
        </w:tc>
      </w:tr>
      <w:tr w:rsidR="000729D8" w:rsidRPr="004E74A6" w14:paraId="15DBA034" w14:textId="77777777" w:rsidTr="00832773">
        <w:trPr>
          <w:trHeight w:val="335"/>
          <w:jc w:val="center"/>
        </w:trPr>
        <w:tc>
          <w:tcPr>
            <w:tcW w:w="1119" w:type="dxa"/>
            <w:shd w:val="clear" w:color="auto" w:fill="auto"/>
            <w:noWrap/>
            <w:vAlign w:val="center"/>
          </w:tcPr>
          <w:p w14:paraId="0018FEAD" w14:textId="41357558" w:rsidR="000729D8" w:rsidRPr="004E74A6" w:rsidRDefault="000729D8" w:rsidP="000729D8">
            <w:pPr>
              <w:spacing w:line="276" w:lineRule="auto"/>
              <w:jc w:val="center"/>
              <w:rPr>
                <w:b/>
                <w:bCs/>
                <w:i/>
                <w:iCs/>
                <w:sz w:val="20"/>
                <w:lang w:eastAsia="es-CR"/>
              </w:rPr>
            </w:pPr>
            <w:r w:rsidRPr="004E74A6">
              <w:rPr>
                <w:b/>
                <w:bCs/>
                <w:i/>
                <w:iCs/>
                <w:sz w:val="20"/>
                <w:lang w:eastAsia="es-CR"/>
              </w:rPr>
              <w:t>22</w:t>
            </w:r>
          </w:p>
        </w:tc>
        <w:tc>
          <w:tcPr>
            <w:tcW w:w="5245" w:type="dxa"/>
            <w:shd w:val="clear" w:color="auto" w:fill="auto"/>
            <w:vAlign w:val="center"/>
          </w:tcPr>
          <w:p w14:paraId="59EEF2FC" w14:textId="65909AD7" w:rsidR="000729D8" w:rsidRPr="004E74A6" w:rsidRDefault="000729D8" w:rsidP="000729D8">
            <w:pPr>
              <w:spacing w:line="276" w:lineRule="auto"/>
              <w:rPr>
                <w:szCs w:val="24"/>
              </w:rPr>
            </w:pPr>
            <w:r w:rsidRPr="004E74A6">
              <w:rPr>
                <w:szCs w:val="24"/>
              </w:rPr>
              <w:t>Oficio PS1-43-2022 en respuesta al oficio 779-PLA-MI-2022, Magistrado Presidente Sala Primera, Luis Guillermo Rivas Loáiciga.</w:t>
            </w:r>
          </w:p>
        </w:tc>
        <w:tc>
          <w:tcPr>
            <w:tcW w:w="2126" w:type="dxa"/>
            <w:shd w:val="clear" w:color="auto" w:fill="auto"/>
            <w:noWrap/>
            <w:vAlign w:val="center"/>
          </w:tcPr>
          <w:p w14:paraId="3EEC99F8" w14:textId="3C84103A" w:rsidR="000729D8" w:rsidRPr="004E74A6" w:rsidRDefault="00997A48" w:rsidP="000729D8">
            <w:pPr>
              <w:spacing w:line="276" w:lineRule="auto"/>
              <w:jc w:val="center"/>
              <w:rPr>
                <w:sz w:val="20"/>
              </w:rPr>
            </w:pPr>
            <w:r w:rsidRPr="004E74A6">
              <w:rPr>
                <w:sz w:val="20"/>
              </w:rPr>
              <w:object w:dxaOrig="1155" w:dyaOrig="752" w14:anchorId="49EEDA13">
                <v:shape id="_x0000_i1051" type="#_x0000_t75" style="width:58.15pt;height:37.75pt" o:ole="">
                  <v:imagedata r:id="rId104" o:title=""/>
                </v:shape>
                <o:OLEObject Type="Embed" ProgID="Acrobat.Document.DC" ShapeID="_x0000_i1051" DrawAspect="Icon" ObjectID="_1739708518" r:id="rId105"/>
              </w:object>
            </w:r>
          </w:p>
        </w:tc>
      </w:tr>
      <w:tr w:rsidR="000729D8" w:rsidRPr="004E74A6" w14:paraId="2C4A2EBD" w14:textId="77777777" w:rsidTr="00832773">
        <w:trPr>
          <w:trHeight w:val="335"/>
          <w:jc w:val="center"/>
        </w:trPr>
        <w:tc>
          <w:tcPr>
            <w:tcW w:w="1119" w:type="dxa"/>
            <w:shd w:val="clear" w:color="auto" w:fill="auto"/>
            <w:noWrap/>
            <w:vAlign w:val="center"/>
          </w:tcPr>
          <w:p w14:paraId="425764D2" w14:textId="3AE38544" w:rsidR="000729D8" w:rsidRPr="004E74A6" w:rsidRDefault="000729D8" w:rsidP="000729D8">
            <w:pPr>
              <w:spacing w:line="276" w:lineRule="auto"/>
              <w:jc w:val="center"/>
              <w:rPr>
                <w:b/>
                <w:bCs/>
                <w:i/>
                <w:iCs/>
                <w:sz w:val="20"/>
                <w:lang w:eastAsia="es-CR"/>
              </w:rPr>
            </w:pPr>
            <w:r w:rsidRPr="004E74A6">
              <w:rPr>
                <w:b/>
                <w:bCs/>
                <w:i/>
                <w:iCs/>
                <w:sz w:val="20"/>
                <w:lang w:eastAsia="es-CR"/>
              </w:rPr>
              <w:t>23</w:t>
            </w:r>
          </w:p>
        </w:tc>
        <w:tc>
          <w:tcPr>
            <w:tcW w:w="5245" w:type="dxa"/>
            <w:shd w:val="clear" w:color="auto" w:fill="auto"/>
            <w:vAlign w:val="center"/>
          </w:tcPr>
          <w:p w14:paraId="2DC3A41B" w14:textId="457C4271" w:rsidR="000729D8" w:rsidRPr="004E74A6" w:rsidRDefault="001A202C" w:rsidP="000729D8">
            <w:pPr>
              <w:spacing w:line="276" w:lineRule="auto"/>
              <w:rPr>
                <w:szCs w:val="24"/>
              </w:rPr>
            </w:pPr>
            <w:r w:rsidRPr="004E74A6">
              <w:rPr>
                <w:szCs w:val="24"/>
              </w:rPr>
              <w:t>Oficio 317-CJC-202 que comunicó el a</w:t>
            </w:r>
            <w:r w:rsidR="000729D8" w:rsidRPr="004E74A6">
              <w:rPr>
                <w:szCs w:val="24"/>
              </w:rPr>
              <w:t>cta CJC-15-2022 de la Comisión de la Jurisdicción Civil, sesión extraordinaria 1 noviembre 2022.</w:t>
            </w:r>
          </w:p>
        </w:tc>
        <w:tc>
          <w:tcPr>
            <w:tcW w:w="2126" w:type="dxa"/>
            <w:shd w:val="clear" w:color="auto" w:fill="auto"/>
            <w:noWrap/>
            <w:vAlign w:val="center"/>
          </w:tcPr>
          <w:p w14:paraId="457B7527" w14:textId="11570998" w:rsidR="000729D8" w:rsidRPr="004E74A6" w:rsidRDefault="00997A48" w:rsidP="000729D8">
            <w:pPr>
              <w:spacing w:line="276" w:lineRule="auto"/>
              <w:jc w:val="center"/>
              <w:rPr>
                <w:sz w:val="20"/>
              </w:rPr>
            </w:pPr>
            <w:r w:rsidRPr="004E74A6">
              <w:rPr>
                <w:sz w:val="20"/>
              </w:rPr>
              <w:object w:dxaOrig="1454" w:dyaOrig="905" w14:anchorId="3D57F3AB">
                <v:shape id="_x0000_i1052" type="#_x0000_t75" style="width:72.75pt;height:45.05pt" o:ole="">
                  <v:imagedata r:id="rId106" o:title=""/>
                </v:shape>
                <o:OLEObject Type="Embed" ProgID="Acrobat.Document.DC" ShapeID="_x0000_i1052" DrawAspect="Icon" ObjectID="_1739708519" r:id="rId107"/>
              </w:object>
            </w:r>
          </w:p>
        </w:tc>
      </w:tr>
    </w:tbl>
    <w:p w14:paraId="2BA6F72A" w14:textId="77777777" w:rsidR="000D6122" w:rsidRPr="004E74A6" w:rsidRDefault="000D6122" w:rsidP="00CE62C1">
      <w:pPr>
        <w:tabs>
          <w:tab w:val="left" w:pos="1740"/>
        </w:tabs>
        <w:spacing w:line="276" w:lineRule="auto"/>
        <w:rPr>
          <w:szCs w:val="24"/>
          <w:lang w:eastAsia="es-CR"/>
        </w:rPr>
      </w:pPr>
    </w:p>
    <w:p w14:paraId="7486859D" w14:textId="77777777" w:rsidR="00967851" w:rsidRPr="004E74A6" w:rsidRDefault="00967851" w:rsidP="00CE62C1">
      <w:pPr>
        <w:tabs>
          <w:tab w:val="left" w:pos="1740"/>
        </w:tabs>
        <w:spacing w:line="276" w:lineRule="auto"/>
        <w:rPr>
          <w:szCs w:val="24"/>
          <w:lang w:eastAsia="es-CR"/>
        </w:rPr>
      </w:pPr>
      <w:r w:rsidRPr="004E74A6">
        <w:rPr>
          <w:szCs w:val="24"/>
          <w:lang w:eastAsia="es-CR"/>
        </w:rPr>
        <w:t>Atentamente,</w:t>
      </w:r>
    </w:p>
    <w:p w14:paraId="6A65A2CD" w14:textId="2C45D358" w:rsidR="00967851" w:rsidRDefault="00967851" w:rsidP="00CE62C1">
      <w:pPr>
        <w:tabs>
          <w:tab w:val="left" w:pos="1740"/>
        </w:tabs>
        <w:spacing w:line="276" w:lineRule="auto"/>
        <w:rPr>
          <w:szCs w:val="24"/>
          <w:lang w:eastAsia="es-CR"/>
        </w:rPr>
      </w:pPr>
    </w:p>
    <w:p w14:paraId="0DC9A785" w14:textId="77777777" w:rsidR="00997A48" w:rsidRPr="004E74A6" w:rsidRDefault="00997A48" w:rsidP="00CE62C1">
      <w:pPr>
        <w:tabs>
          <w:tab w:val="left" w:pos="1740"/>
        </w:tabs>
        <w:spacing w:line="276" w:lineRule="auto"/>
        <w:rPr>
          <w:szCs w:val="24"/>
          <w:lang w:eastAsia="es-CR"/>
        </w:rPr>
      </w:pPr>
    </w:p>
    <w:p w14:paraId="5823851D" w14:textId="7FD3A962" w:rsidR="00967851" w:rsidRPr="004E74A6" w:rsidRDefault="00967851" w:rsidP="00CE62C1">
      <w:pPr>
        <w:tabs>
          <w:tab w:val="left" w:pos="1740"/>
        </w:tabs>
        <w:spacing w:line="276" w:lineRule="auto"/>
        <w:rPr>
          <w:szCs w:val="24"/>
          <w:lang w:eastAsia="es-CR"/>
        </w:rPr>
      </w:pPr>
      <w:r w:rsidRPr="004E74A6">
        <w:rPr>
          <w:szCs w:val="24"/>
          <w:lang w:eastAsia="es-CR"/>
        </w:rPr>
        <w:t xml:space="preserve">Ing. </w:t>
      </w:r>
      <w:r w:rsidR="00836264" w:rsidRPr="004E74A6">
        <w:rPr>
          <w:szCs w:val="24"/>
          <w:lang w:eastAsia="es-CR"/>
        </w:rPr>
        <w:t>Yesenia Salazar Guzmán</w:t>
      </w:r>
      <w:r w:rsidRPr="004E74A6">
        <w:rPr>
          <w:szCs w:val="24"/>
          <w:lang w:eastAsia="es-CR"/>
        </w:rPr>
        <w:t>, Jef</w:t>
      </w:r>
      <w:r w:rsidR="00836264" w:rsidRPr="004E74A6">
        <w:rPr>
          <w:szCs w:val="24"/>
          <w:lang w:eastAsia="es-CR"/>
        </w:rPr>
        <w:t>a</w:t>
      </w:r>
      <w:r w:rsidRPr="004E74A6">
        <w:rPr>
          <w:szCs w:val="24"/>
          <w:lang w:eastAsia="es-CR"/>
        </w:rPr>
        <w:t xml:space="preserve"> a.i.</w:t>
      </w:r>
    </w:p>
    <w:p w14:paraId="3F64DCE0" w14:textId="766E7E3F" w:rsidR="000D6122" w:rsidRPr="004E74A6" w:rsidRDefault="00967851" w:rsidP="00CE62C1">
      <w:pPr>
        <w:tabs>
          <w:tab w:val="left" w:pos="1740"/>
        </w:tabs>
        <w:spacing w:line="276" w:lineRule="auto"/>
        <w:rPr>
          <w:szCs w:val="24"/>
          <w:lang w:eastAsia="es-CR"/>
        </w:rPr>
      </w:pPr>
      <w:r w:rsidRPr="004E74A6">
        <w:rPr>
          <w:szCs w:val="24"/>
          <w:lang w:eastAsia="es-CR"/>
        </w:rPr>
        <w:t>Subproceso de Modernización Institucional</w:t>
      </w:r>
      <w:r w:rsidR="00836264" w:rsidRPr="004E74A6">
        <w:rPr>
          <w:szCs w:val="24"/>
          <w:lang w:eastAsia="es-CR"/>
        </w:rPr>
        <w:t xml:space="preserve"> – No penal</w:t>
      </w:r>
    </w:p>
    <w:p w14:paraId="3478F4E7" w14:textId="1F581159" w:rsidR="00967851" w:rsidRPr="004E74A6" w:rsidRDefault="00967851" w:rsidP="00CE62C1">
      <w:pPr>
        <w:tabs>
          <w:tab w:val="left" w:pos="1740"/>
        </w:tabs>
        <w:spacing w:line="276" w:lineRule="auto"/>
        <w:rPr>
          <w:szCs w:val="24"/>
          <w:lang w:eastAsia="es-CR"/>
        </w:rPr>
      </w:pPr>
    </w:p>
    <w:p w14:paraId="109E3C22" w14:textId="5317C8D6" w:rsidR="00967851" w:rsidRDefault="00967851" w:rsidP="00CE62C1">
      <w:pPr>
        <w:tabs>
          <w:tab w:val="left" w:pos="1740"/>
        </w:tabs>
        <w:spacing w:line="276" w:lineRule="auto"/>
        <w:rPr>
          <w:szCs w:val="24"/>
          <w:lang w:eastAsia="es-CR"/>
        </w:rPr>
      </w:pPr>
    </w:p>
    <w:p w14:paraId="5280918F" w14:textId="295CF04B" w:rsidR="00997A48" w:rsidRDefault="00997A48" w:rsidP="00CE62C1">
      <w:pPr>
        <w:tabs>
          <w:tab w:val="left" w:pos="1740"/>
        </w:tabs>
        <w:spacing w:line="276" w:lineRule="auto"/>
        <w:rPr>
          <w:szCs w:val="24"/>
          <w:lang w:eastAsia="es-CR"/>
        </w:rPr>
      </w:pPr>
    </w:p>
    <w:p w14:paraId="6D7B42D0" w14:textId="2CBF100A" w:rsidR="00997A48" w:rsidRDefault="00997A48" w:rsidP="00CE62C1">
      <w:pPr>
        <w:tabs>
          <w:tab w:val="left" w:pos="1740"/>
        </w:tabs>
        <w:spacing w:line="276" w:lineRule="auto"/>
        <w:rPr>
          <w:szCs w:val="24"/>
          <w:lang w:eastAsia="es-CR"/>
        </w:rPr>
      </w:pPr>
    </w:p>
    <w:p w14:paraId="3F4E2C34" w14:textId="77777777" w:rsidR="00494557" w:rsidRPr="004E74A6" w:rsidRDefault="00494557" w:rsidP="00CE62C1">
      <w:pPr>
        <w:suppressAutoHyphens/>
        <w:spacing w:line="276" w:lineRule="auto"/>
        <w:rPr>
          <w:rFonts w:cs="Book Antiqua"/>
          <w:lang w:eastAsia="ar-SA"/>
        </w:rPr>
      </w:pPr>
      <w:r w:rsidRPr="004E74A6">
        <w:rPr>
          <w:rFonts w:cs="Book Antiqua"/>
          <w:i/>
          <w:iCs/>
          <w:lang w:eastAsia="ar-SA"/>
        </w:rPr>
        <w:lastRenderedPageBreak/>
        <w:t>Este informe cuenta con las revisiones y ajustes correspondientes de las jefaturas indicadas</w:t>
      </w:r>
      <w:r w:rsidRPr="004E74A6">
        <w:rPr>
          <w:rFonts w:cs="Book Antiqua"/>
          <w:lang w:eastAsia="ar-SA"/>
        </w:rPr>
        <w:t>.</w:t>
      </w:r>
    </w:p>
    <w:p w14:paraId="3502AB5F" w14:textId="77777777" w:rsidR="00494557" w:rsidRPr="004E74A6" w:rsidRDefault="00494557" w:rsidP="00CE62C1">
      <w:pPr>
        <w:suppressAutoHyphens/>
        <w:spacing w:line="276" w:lineRule="auto"/>
        <w:rPr>
          <w:rFonts w:cs="Book Antiqua"/>
          <w:lang w:eastAsia="ar-SA"/>
        </w:rPr>
      </w:pPr>
    </w:p>
    <w:tbl>
      <w:tblPr>
        <w:tblW w:w="5295"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87"/>
        <w:gridCol w:w="3965"/>
        <w:gridCol w:w="3699"/>
      </w:tblGrid>
      <w:tr w:rsidR="00494557" w:rsidRPr="004E74A6" w14:paraId="203C3AC4" w14:textId="77777777" w:rsidTr="00997A48">
        <w:trPr>
          <w:trHeight w:val="332"/>
          <w:jc w:val="center"/>
        </w:trPr>
        <w:tc>
          <w:tcPr>
            <w:tcW w:w="902" w:type="pct"/>
            <w:tcBorders>
              <w:top w:val="single" w:sz="4" w:space="0" w:color="auto"/>
              <w:left w:val="single" w:sz="4" w:space="0" w:color="auto"/>
              <w:bottom w:val="single" w:sz="4" w:space="0" w:color="auto"/>
              <w:right w:val="single" w:sz="4" w:space="0" w:color="auto"/>
            </w:tcBorders>
            <w:shd w:val="clear" w:color="auto" w:fill="1F3864" w:themeFill="accent1" w:themeFillShade="80"/>
          </w:tcPr>
          <w:p w14:paraId="4275253E" w14:textId="6F664537" w:rsidR="00494557" w:rsidRPr="004E74A6" w:rsidRDefault="00997A48" w:rsidP="00997A48">
            <w:pPr>
              <w:spacing w:line="276" w:lineRule="auto"/>
              <w:jc w:val="center"/>
              <w:rPr>
                <w:rFonts w:cs="Arial"/>
                <w:b/>
                <w:sz w:val="22"/>
                <w:szCs w:val="18"/>
              </w:rPr>
            </w:pPr>
            <w:r>
              <w:rPr>
                <w:rFonts w:cs="Arial"/>
                <w:b/>
                <w:sz w:val="22"/>
                <w:szCs w:val="18"/>
              </w:rPr>
              <w:t>Informe</w:t>
            </w:r>
          </w:p>
        </w:tc>
        <w:tc>
          <w:tcPr>
            <w:tcW w:w="2120" w:type="pct"/>
            <w:tcBorders>
              <w:top w:val="single" w:sz="4" w:space="0" w:color="auto"/>
              <w:left w:val="single" w:sz="4" w:space="0" w:color="auto"/>
              <w:bottom w:val="single" w:sz="4" w:space="0" w:color="auto"/>
              <w:right w:val="single" w:sz="4" w:space="0" w:color="auto"/>
            </w:tcBorders>
            <w:shd w:val="clear" w:color="auto" w:fill="1F3864" w:themeFill="accent1" w:themeFillShade="80"/>
            <w:vAlign w:val="center"/>
            <w:hideMark/>
          </w:tcPr>
          <w:p w14:paraId="23228B2D" w14:textId="2FB6534E" w:rsidR="00494557" w:rsidRPr="004E74A6" w:rsidRDefault="00494557" w:rsidP="00997A48">
            <w:pPr>
              <w:spacing w:line="276" w:lineRule="auto"/>
              <w:jc w:val="center"/>
              <w:rPr>
                <w:b/>
                <w:color w:val="FFFFFF"/>
                <w:sz w:val="22"/>
                <w:szCs w:val="18"/>
              </w:rPr>
            </w:pPr>
            <w:r w:rsidRPr="004E74A6">
              <w:rPr>
                <w:b/>
                <w:color w:val="FFFFFF"/>
                <w:sz w:val="22"/>
                <w:szCs w:val="18"/>
              </w:rPr>
              <w:t>N</w:t>
            </w:r>
            <w:r w:rsidR="00997A48">
              <w:rPr>
                <w:b/>
                <w:color w:val="FFFFFF"/>
                <w:sz w:val="22"/>
                <w:szCs w:val="18"/>
              </w:rPr>
              <w:t>ombre</w:t>
            </w:r>
          </w:p>
        </w:tc>
        <w:tc>
          <w:tcPr>
            <w:tcW w:w="1978" w:type="pct"/>
            <w:tcBorders>
              <w:top w:val="single" w:sz="4" w:space="0" w:color="auto"/>
              <w:left w:val="single" w:sz="4" w:space="0" w:color="auto"/>
              <w:bottom w:val="single" w:sz="4" w:space="0" w:color="auto"/>
              <w:right w:val="single" w:sz="4" w:space="0" w:color="auto"/>
            </w:tcBorders>
            <w:shd w:val="clear" w:color="auto" w:fill="1F3864" w:themeFill="accent1" w:themeFillShade="80"/>
            <w:vAlign w:val="center"/>
            <w:hideMark/>
          </w:tcPr>
          <w:p w14:paraId="7F41F40B" w14:textId="77777777" w:rsidR="00494557" w:rsidRPr="004E74A6" w:rsidRDefault="00494557" w:rsidP="00997A48">
            <w:pPr>
              <w:spacing w:line="276" w:lineRule="auto"/>
              <w:jc w:val="center"/>
              <w:rPr>
                <w:b/>
                <w:color w:val="FFFFFF"/>
                <w:sz w:val="22"/>
                <w:szCs w:val="18"/>
              </w:rPr>
            </w:pPr>
            <w:r w:rsidRPr="004E74A6">
              <w:rPr>
                <w:b/>
                <w:color w:val="FFFFFF"/>
                <w:sz w:val="22"/>
                <w:szCs w:val="18"/>
              </w:rPr>
              <w:t>Puesto</w:t>
            </w:r>
          </w:p>
        </w:tc>
      </w:tr>
      <w:tr w:rsidR="00494557" w:rsidRPr="004E74A6" w14:paraId="21AB1ADD" w14:textId="77777777" w:rsidTr="00997A48">
        <w:trPr>
          <w:trHeight w:val="632"/>
          <w:jc w:val="center"/>
        </w:trPr>
        <w:tc>
          <w:tcPr>
            <w:tcW w:w="902" w:type="pct"/>
            <w:tcBorders>
              <w:top w:val="single" w:sz="4" w:space="0" w:color="auto"/>
              <w:left w:val="single" w:sz="4" w:space="0" w:color="000000"/>
              <w:bottom w:val="single" w:sz="4" w:space="0" w:color="000000"/>
              <w:right w:val="single" w:sz="4" w:space="0" w:color="000000"/>
            </w:tcBorders>
            <w:shd w:val="clear" w:color="auto" w:fill="F2F2F2"/>
            <w:vAlign w:val="center"/>
          </w:tcPr>
          <w:p w14:paraId="41A732EA" w14:textId="044A7D1A" w:rsidR="00494557" w:rsidRPr="004E74A6" w:rsidRDefault="00494557" w:rsidP="00CE62C1">
            <w:pPr>
              <w:spacing w:line="276" w:lineRule="auto"/>
              <w:jc w:val="center"/>
              <w:rPr>
                <w:b/>
                <w:color w:val="000000"/>
                <w:sz w:val="22"/>
                <w:szCs w:val="18"/>
                <w:lang w:eastAsia="es-CR"/>
              </w:rPr>
            </w:pPr>
            <w:r w:rsidRPr="004E74A6">
              <w:rPr>
                <w:b/>
                <w:color w:val="000000"/>
                <w:sz w:val="22"/>
                <w:szCs w:val="18"/>
                <w:lang w:eastAsia="es-CR"/>
              </w:rPr>
              <w:t>Elaborado por</w:t>
            </w:r>
            <w:r w:rsidR="00967851" w:rsidRPr="004E74A6">
              <w:rPr>
                <w:b/>
                <w:color w:val="000000"/>
                <w:sz w:val="22"/>
                <w:szCs w:val="18"/>
                <w:lang w:eastAsia="es-CR"/>
              </w:rPr>
              <w:t>:</w:t>
            </w:r>
          </w:p>
        </w:tc>
        <w:tc>
          <w:tcPr>
            <w:tcW w:w="2120" w:type="pct"/>
            <w:tcBorders>
              <w:top w:val="single" w:sz="4" w:space="0" w:color="auto"/>
              <w:left w:val="single" w:sz="4" w:space="0" w:color="000000"/>
              <w:bottom w:val="single" w:sz="4" w:space="0" w:color="000000"/>
              <w:right w:val="single" w:sz="4" w:space="0" w:color="000000"/>
            </w:tcBorders>
            <w:vAlign w:val="center"/>
          </w:tcPr>
          <w:p w14:paraId="46592050" w14:textId="77777777" w:rsidR="00494557" w:rsidRPr="004E74A6" w:rsidRDefault="00B727C4" w:rsidP="00CE62C1">
            <w:pPr>
              <w:spacing w:line="276" w:lineRule="auto"/>
              <w:rPr>
                <w:sz w:val="22"/>
                <w:szCs w:val="18"/>
              </w:rPr>
            </w:pPr>
            <w:r w:rsidRPr="004E74A6">
              <w:rPr>
                <w:sz w:val="22"/>
                <w:szCs w:val="18"/>
              </w:rPr>
              <w:t>Lic. Michael Andrés Garita Jiménez</w:t>
            </w:r>
            <w:r w:rsidR="000D6122" w:rsidRPr="004E74A6">
              <w:rPr>
                <w:sz w:val="22"/>
                <w:szCs w:val="18"/>
              </w:rPr>
              <w:t xml:space="preserve"> Máster Melissa Durán Gamboa</w:t>
            </w:r>
          </w:p>
        </w:tc>
        <w:tc>
          <w:tcPr>
            <w:tcW w:w="1978" w:type="pct"/>
            <w:tcBorders>
              <w:top w:val="single" w:sz="4" w:space="0" w:color="auto"/>
              <w:left w:val="single" w:sz="4" w:space="0" w:color="000000"/>
              <w:bottom w:val="single" w:sz="4" w:space="0" w:color="000000"/>
              <w:right w:val="single" w:sz="4" w:space="0" w:color="000000"/>
            </w:tcBorders>
            <w:vAlign w:val="center"/>
          </w:tcPr>
          <w:p w14:paraId="643966B7" w14:textId="77777777" w:rsidR="00494557" w:rsidRPr="004E74A6" w:rsidRDefault="00494557" w:rsidP="00CE62C1">
            <w:pPr>
              <w:spacing w:line="276" w:lineRule="auto"/>
              <w:rPr>
                <w:sz w:val="22"/>
                <w:szCs w:val="18"/>
              </w:rPr>
            </w:pPr>
            <w:r w:rsidRPr="004E74A6">
              <w:rPr>
                <w:sz w:val="22"/>
                <w:szCs w:val="18"/>
              </w:rPr>
              <w:t>Profesional 2</w:t>
            </w:r>
          </w:p>
          <w:p w14:paraId="09266987" w14:textId="77777777" w:rsidR="000D6122" w:rsidRPr="004E74A6" w:rsidRDefault="000D6122" w:rsidP="00CE62C1">
            <w:pPr>
              <w:spacing w:line="276" w:lineRule="auto"/>
              <w:rPr>
                <w:sz w:val="22"/>
                <w:szCs w:val="18"/>
              </w:rPr>
            </w:pPr>
            <w:r w:rsidRPr="004E74A6">
              <w:rPr>
                <w:sz w:val="22"/>
                <w:szCs w:val="18"/>
              </w:rPr>
              <w:t>Coordinadora de Unidad 3</w:t>
            </w:r>
          </w:p>
        </w:tc>
      </w:tr>
      <w:tr w:rsidR="00494557" w:rsidRPr="004E74A6" w14:paraId="382BC9DE" w14:textId="77777777" w:rsidTr="00832773">
        <w:trPr>
          <w:trHeight w:val="632"/>
          <w:jc w:val="center"/>
        </w:trPr>
        <w:tc>
          <w:tcPr>
            <w:tcW w:w="902" w:type="pct"/>
            <w:tcBorders>
              <w:top w:val="single" w:sz="4" w:space="0" w:color="000000"/>
              <w:left w:val="single" w:sz="4" w:space="0" w:color="000000"/>
              <w:bottom w:val="single" w:sz="4" w:space="0" w:color="000000"/>
              <w:right w:val="single" w:sz="4" w:space="0" w:color="000000"/>
            </w:tcBorders>
            <w:shd w:val="clear" w:color="auto" w:fill="F2F2F2"/>
            <w:vAlign w:val="center"/>
            <w:hideMark/>
          </w:tcPr>
          <w:p w14:paraId="6BA40FB4" w14:textId="77777777" w:rsidR="00494557" w:rsidRPr="004E74A6" w:rsidRDefault="00494557" w:rsidP="00CE62C1">
            <w:pPr>
              <w:spacing w:line="276" w:lineRule="auto"/>
              <w:jc w:val="center"/>
              <w:rPr>
                <w:b/>
                <w:color w:val="000000"/>
                <w:sz w:val="22"/>
                <w:szCs w:val="18"/>
                <w:lang w:eastAsia="es-CR"/>
              </w:rPr>
            </w:pPr>
            <w:r w:rsidRPr="004E74A6">
              <w:rPr>
                <w:b/>
                <w:color w:val="000000"/>
                <w:sz w:val="22"/>
                <w:szCs w:val="18"/>
                <w:lang w:eastAsia="es-CR"/>
              </w:rPr>
              <w:t>Aprobado por:</w:t>
            </w:r>
          </w:p>
        </w:tc>
        <w:tc>
          <w:tcPr>
            <w:tcW w:w="2120" w:type="pct"/>
            <w:tcBorders>
              <w:top w:val="single" w:sz="4" w:space="0" w:color="000000"/>
              <w:left w:val="single" w:sz="4" w:space="0" w:color="000000"/>
              <w:bottom w:val="single" w:sz="4" w:space="0" w:color="000000"/>
              <w:right w:val="single" w:sz="4" w:space="0" w:color="000000"/>
            </w:tcBorders>
            <w:vAlign w:val="center"/>
            <w:hideMark/>
          </w:tcPr>
          <w:p w14:paraId="0FFB6328" w14:textId="76162390" w:rsidR="00494557" w:rsidRPr="004E74A6" w:rsidRDefault="00494557" w:rsidP="00CE62C1">
            <w:pPr>
              <w:spacing w:line="276" w:lineRule="auto"/>
              <w:rPr>
                <w:color w:val="000000"/>
                <w:sz w:val="22"/>
                <w:szCs w:val="18"/>
                <w:lang w:eastAsia="es-CR"/>
              </w:rPr>
            </w:pPr>
            <w:r w:rsidRPr="004E74A6">
              <w:rPr>
                <w:sz w:val="22"/>
                <w:szCs w:val="18"/>
              </w:rPr>
              <w:t xml:space="preserve">Ing. </w:t>
            </w:r>
            <w:r w:rsidR="00587746" w:rsidRPr="004E74A6">
              <w:rPr>
                <w:rFonts w:cs="Book Antiqua"/>
                <w:bCs/>
                <w:snapToGrid w:val="0"/>
                <w:szCs w:val="24"/>
              </w:rPr>
              <w:t>Yesenia Salazar Guzmán</w:t>
            </w:r>
          </w:p>
        </w:tc>
        <w:tc>
          <w:tcPr>
            <w:tcW w:w="1978" w:type="pct"/>
            <w:tcBorders>
              <w:top w:val="single" w:sz="4" w:space="0" w:color="000000"/>
              <w:left w:val="single" w:sz="4" w:space="0" w:color="000000"/>
              <w:bottom w:val="single" w:sz="4" w:space="0" w:color="000000"/>
              <w:right w:val="single" w:sz="4" w:space="0" w:color="000000"/>
            </w:tcBorders>
            <w:vAlign w:val="center"/>
            <w:hideMark/>
          </w:tcPr>
          <w:p w14:paraId="3A17A543" w14:textId="4A5F3B08" w:rsidR="00494557" w:rsidRPr="004E74A6" w:rsidRDefault="00494557" w:rsidP="00CE62C1">
            <w:pPr>
              <w:spacing w:line="276" w:lineRule="auto"/>
              <w:rPr>
                <w:color w:val="000000"/>
                <w:sz w:val="22"/>
                <w:szCs w:val="18"/>
                <w:lang w:eastAsia="es-CR"/>
              </w:rPr>
            </w:pPr>
            <w:r w:rsidRPr="004E74A6">
              <w:rPr>
                <w:color w:val="000000"/>
                <w:sz w:val="22"/>
                <w:szCs w:val="18"/>
                <w:lang w:eastAsia="es-CR"/>
              </w:rPr>
              <w:t>Jef</w:t>
            </w:r>
            <w:r w:rsidR="00587746" w:rsidRPr="004E74A6">
              <w:rPr>
                <w:color w:val="000000"/>
                <w:sz w:val="22"/>
                <w:szCs w:val="18"/>
                <w:lang w:eastAsia="es-CR"/>
              </w:rPr>
              <w:t>a</w:t>
            </w:r>
            <w:r w:rsidRPr="004E74A6">
              <w:rPr>
                <w:color w:val="000000"/>
                <w:sz w:val="22"/>
                <w:szCs w:val="18"/>
                <w:lang w:eastAsia="es-CR"/>
              </w:rPr>
              <w:t xml:space="preserve"> a.i.  Subproceso de Modernización Institucional </w:t>
            </w:r>
            <w:r w:rsidR="00587746" w:rsidRPr="004E74A6">
              <w:rPr>
                <w:color w:val="000000"/>
                <w:sz w:val="22"/>
                <w:szCs w:val="18"/>
                <w:lang w:eastAsia="es-CR"/>
              </w:rPr>
              <w:t>– No penal</w:t>
            </w:r>
          </w:p>
        </w:tc>
      </w:tr>
      <w:tr w:rsidR="00967851" w:rsidRPr="004E74A6" w14:paraId="1127E0CF" w14:textId="77777777" w:rsidTr="00832773">
        <w:trPr>
          <w:trHeight w:val="632"/>
          <w:jc w:val="center"/>
        </w:trPr>
        <w:tc>
          <w:tcPr>
            <w:tcW w:w="902" w:type="pct"/>
            <w:tcBorders>
              <w:top w:val="single" w:sz="4" w:space="0" w:color="000000"/>
              <w:left w:val="single" w:sz="4" w:space="0" w:color="000000"/>
              <w:bottom w:val="single" w:sz="4" w:space="0" w:color="000000"/>
              <w:right w:val="single" w:sz="4" w:space="0" w:color="000000"/>
            </w:tcBorders>
            <w:shd w:val="clear" w:color="auto" w:fill="F2F2F2"/>
            <w:vAlign w:val="center"/>
          </w:tcPr>
          <w:p w14:paraId="3EB3F22D" w14:textId="2A6534DE" w:rsidR="00967851" w:rsidRPr="004E74A6" w:rsidRDefault="00967851" w:rsidP="00CE62C1">
            <w:pPr>
              <w:spacing w:line="276" w:lineRule="auto"/>
              <w:jc w:val="center"/>
              <w:rPr>
                <w:b/>
                <w:color w:val="000000"/>
                <w:sz w:val="22"/>
                <w:szCs w:val="18"/>
                <w:lang w:eastAsia="es-CR"/>
              </w:rPr>
            </w:pPr>
            <w:r w:rsidRPr="004E74A6">
              <w:rPr>
                <w:b/>
                <w:color w:val="000000"/>
                <w:sz w:val="22"/>
                <w:szCs w:val="18"/>
                <w:lang w:eastAsia="es-CR"/>
              </w:rPr>
              <w:t>Visto Bueno:</w:t>
            </w:r>
          </w:p>
        </w:tc>
        <w:tc>
          <w:tcPr>
            <w:tcW w:w="2120" w:type="pct"/>
            <w:tcBorders>
              <w:top w:val="single" w:sz="4" w:space="0" w:color="000000"/>
              <w:left w:val="single" w:sz="4" w:space="0" w:color="000000"/>
              <w:bottom w:val="single" w:sz="4" w:space="0" w:color="000000"/>
              <w:right w:val="single" w:sz="4" w:space="0" w:color="000000"/>
            </w:tcBorders>
            <w:vAlign w:val="center"/>
          </w:tcPr>
          <w:p w14:paraId="185E79CC" w14:textId="113866BC" w:rsidR="00967851" w:rsidRPr="004E74A6" w:rsidRDefault="00967851" w:rsidP="00CE62C1">
            <w:pPr>
              <w:spacing w:line="276" w:lineRule="auto"/>
              <w:rPr>
                <w:sz w:val="22"/>
                <w:szCs w:val="18"/>
              </w:rPr>
            </w:pPr>
            <w:r w:rsidRPr="004E74A6">
              <w:rPr>
                <w:sz w:val="22"/>
                <w:szCs w:val="18"/>
              </w:rPr>
              <w:t>Licda. Nacira Valverde Bermúdez</w:t>
            </w:r>
          </w:p>
        </w:tc>
        <w:tc>
          <w:tcPr>
            <w:tcW w:w="1978" w:type="pct"/>
            <w:tcBorders>
              <w:top w:val="single" w:sz="4" w:space="0" w:color="000000"/>
              <w:left w:val="single" w:sz="4" w:space="0" w:color="000000"/>
              <w:bottom w:val="single" w:sz="4" w:space="0" w:color="000000"/>
              <w:right w:val="single" w:sz="4" w:space="0" w:color="000000"/>
            </w:tcBorders>
            <w:vAlign w:val="center"/>
          </w:tcPr>
          <w:p w14:paraId="7B734B97" w14:textId="1A40BD89" w:rsidR="00967851" w:rsidRPr="004E74A6" w:rsidRDefault="00967851" w:rsidP="00CE62C1">
            <w:pPr>
              <w:spacing w:line="276" w:lineRule="auto"/>
              <w:rPr>
                <w:color w:val="000000"/>
                <w:sz w:val="22"/>
                <w:szCs w:val="18"/>
                <w:lang w:eastAsia="es-CR"/>
              </w:rPr>
            </w:pPr>
            <w:r w:rsidRPr="004E74A6">
              <w:rPr>
                <w:color w:val="000000"/>
                <w:sz w:val="22"/>
                <w:szCs w:val="18"/>
                <w:lang w:eastAsia="es-CR"/>
              </w:rPr>
              <w:t>Directora a.i. de Planificación</w:t>
            </w:r>
          </w:p>
        </w:tc>
      </w:tr>
    </w:tbl>
    <w:p w14:paraId="02EC0AEA" w14:textId="77777777" w:rsidR="00494557" w:rsidRPr="004E74A6" w:rsidRDefault="00494557" w:rsidP="00CE62C1">
      <w:pPr>
        <w:spacing w:line="276" w:lineRule="auto"/>
        <w:rPr>
          <w:rFonts w:cs="Book Antiqua"/>
          <w:snapToGrid w:val="0"/>
          <w:szCs w:val="24"/>
        </w:rPr>
      </w:pPr>
    </w:p>
    <w:p w14:paraId="0092410A" w14:textId="77777777" w:rsidR="00494557" w:rsidRPr="004E74A6" w:rsidRDefault="00494557" w:rsidP="00CE62C1">
      <w:pPr>
        <w:spacing w:line="276" w:lineRule="auto"/>
        <w:rPr>
          <w:i/>
          <w:iCs/>
          <w:szCs w:val="24"/>
          <w:lang w:eastAsia="es-CR"/>
        </w:rPr>
      </w:pPr>
    </w:p>
    <w:p w14:paraId="06988B85" w14:textId="77777777" w:rsidR="006C5341" w:rsidRPr="00832773" w:rsidRDefault="006C5341" w:rsidP="00CE62C1">
      <w:pPr>
        <w:spacing w:line="276" w:lineRule="auto"/>
        <w:rPr>
          <w:rFonts w:cs="Book Antiqua"/>
          <w:szCs w:val="24"/>
        </w:rPr>
      </w:pPr>
    </w:p>
    <w:p w14:paraId="252D21FE" w14:textId="77777777" w:rsidR="00010DEE" w:rsidRPr="00832773" w:rsidRDefault="00010DEE" w:rsidP="00CE62C1">
      <w:pPr>
        <w:spacing w:line="276" w:lineRule="auto"/>
        <w:rPr>
          <w:rFonts w:cs="Book Antiqua"/>
          <w:szCs w:val="24"/>
        </w:rPr>
      </w:pPr>
    </w:p>
    <w:sectPr w:rsidR="00010DEE" w:rsidRPr="00832773" w:rsidSect="00357FBD">
      <w:headerReference w:type="default" r:id="rId108"/>
      <w:pgSz w:w="12242" w:h="15842" w:code="1"/>
      <w:pgMar w:top="2268" w:right="1701"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CE866A5" w14:textId="77777777" w:rsidR="00A95E9B" w:rsidRDefault="00A95E9B">
      <w:r>
        <w:separator/>
      </w:r>
    </w:p>
  </w:endnote>
  <w:endnote w:type="continuationSeparator" w:id="0">
    <w:p w14:paraId="56674102" w14:textId="77777777" w:rsidR="00A95E9B" w:rsidRDefault="00A95E9B">
      <w:r>
        <w:continuationSeparator/>
      </w:r>
    </w:p>
  </w:endnote>
  <w:endnote w:type="continuationNotice" w:id="1">
    <w:p w14:paraId="7306EA12" w14:textId="77777777" w:rsidR="00A95E9B" w:rsidRDefault="00A95E9B">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OpenSymbol">
    <w:panose1 w:val="05010000000000000000"/>
    <w:charset w:val="00"/>
    <w:family w:val="auto"/>
    <w:pitch w:val="variable"/>
    <w:sig w:usb0="800000AF" w:usb1="1001ECEA" w:usb2="00000000" w:usb3="00000000" w:csb0="80000001"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Arial Unicode MS">
    <w:panose1 w:val="020B0604020202020204"/>
    <w:charset w:val="00"/>
    <w:family w:val="roman"/>
    <w:pitch w:val="variable"/>
    <w:sig w:usb0="00000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Carlito">
    <w:panose1 w:val="020F0502020204030204"/>
    <w:charset w:val="00"/>
    <w:family w:val="swiss"/>
    <w:pitch w:val="variable"/>
    <w:sig w:usb0="E10002FF" w:usb1="5000ECFF" w:usb2="00000009" w:usb3="00000000" w:csb0="0000019F" w:csb1="00000000"/>
  </w:font>
  <w:font w:name="Century Gothic">
    <w:panose1 w:val="020B0502020202020204"/>
    <w:charset w:val="00"/>
    <w:family w:val="swiss"/>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E6A78C" w14:textId="77777777" w:rsidR="00B32800" w:rsidRDefault="00B32800" w:rsidP="004129F5">
    <w:pPr>
      <w:pStyle w:val="Piedepgina"/>
      <w:framePr w:wrap="auto"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Pr>
        <w:rStyle w:val="Nmerodepgina"/>
        <w:noProof/>
      </w:rPr>
      <w:t>2</w:t>
    </w:r>
    <w:r>
      <w:rPr>
        <w:rStyle w:val="Nmerodepgina"/>
      </w:rPr>
      <w:fldChar w:fldCharType="end"/>
    </w:r>
  </w:p>
  <w:p w14:paraId="65B65D28" w14:textId="77777777" w:rsidR="00B32800" w:rsidRPr="00FF2E9C" w:rsidRDefault="00B32800" w:rsidP="00494557">
    <w:pPr>
      <w:pBdr>
        <w:top w:val="single" w:sz="4" w:space="1" w:color="auto"/>
      </w:pBdr>
      <w:jc w:val="center"/>
      <w:rPr>
        <w:b/>
        <w:bCs/>
        <w:i/>
        <w:iCs/>
        <w:color w:val="000000"/>
        <w:sz w:val="20"/>
      </w:rPr>
    </w:pPr>
    <w:r w:rsidRPr="00FF2E9C">
      <w:rPr>
        <w:b/>
        <w:bCs/>
        <w:i/>
        <w:iCs/>
        <w:color w:val="000000"/>
        <w:sz w:val="20"/>
      </w:rPr>
      <w:t>Trabajamos por el desarrollo de la administración de justicia con proyección e innovación</w:t>
    </w:r>
  </w:p>
  <w:p w14:paraId="2020A353" w14:textId="77777777" w:rsidR="00B32800" w:rsidRDefault="00B32800" w:rsidP="002F6410">
    <w:pPr>
      <w:pStyle w:val="Piedepgina"/>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FC5C1AE" w14:textId="77777777" w:rsidR="00A95E9B" w:rsidRDefault="00A95E9B">
      <w:r>
        <w:separator/>
      </w:r>
    </w:p>
  </w:footnote>
  <w:footnote w:type="continuationSeparator" w:id="0">
    <w:p w14:paraId="3EBDF66E" w14:textId="77777777" w:rsidR="00A95E9B" w:rsidRDefault="00A95E9B">
      <w:r>
        <w:continuationSeparator/>
      </w:r>
    </w:p>
  </w:footnote>
  <w:footnote w:type="continuationNotice" w:id="1">
    <w:p w14:paraId="5CFBBCB6" w14:textId="77777777" w:rsidR="00A95E9B" w:rsidRDefault="00A95E9B">
      <w:pPr>
        <w:spacing w:line="240" w:lineRule="auto"/>
      </w:pPr>
    </w:p>
  </w:footnote>
  <w:footnote w:id="2">
    <w:p w14:paraId="7E60BC28" w14:textId="77777777" w:rsidR="00B32800" w:rsidRPr="006A624C" w:rsidRDefault="00B32800" w:rsidP="003D7FFB">
      <w:pPr>
        <w:spacing w:line="240" w:lineRule="auto"/>
        <w:rPr>
          <w:b/>
          <w:bCs/>
          <w:spacing w:val="-3"/>
          <w:sz w:val="20"/>
          <w:u w:val="single"/>
          <w:lang w:val="es-ES_tradnl"/>
        </w:rPr>
      </w:pPr>
      <w:r w:rsidRPr="006A624C">
        <w:rPr>
          <w:rStyle w:val="Refdenotaalpie"/>
          <w:sz w:val="20"/>
        </w:rPr>
        <w:footnoteRef/>
      </w:r>
      <w:r w:rsidRPr="006A624C">
        <w:rPr>
          <w:sz w:val="20"/>
        </w:rPr>
        <w:t xml:space="preserve"> Aprobado por Corte Plena en sesión 18-15 celebrada el 7 de junio del año 2016, artículo único.</w:t>
      </w:r>
    </w:p>
  </w:footnote>
  <w:footnote w:id="3">
    <w:p w14:paraId="601F5419" w14:textId="77777777" w:rsidR="00B32800" w:rsidRPr="006A624C" w:rsidRDefault="00B32800" w:rsidP="003D7FFB">
      <w:pPr>
        <w:spacing w:line="240" w:lineRule="auto"/>
        <w:rPr>
          <w:sz w:val="20"/>
        </w:rPr>
      </w:pPr>
      <w:r w:rsidRPr="006A624C">
        <w:rPr>
          <w:rStyle w:val="Refdenotaalpie"/>
          <w:sz w:val="20"/>
        </w:rPr>
        <w:footnoteRef/>
      </w:r>
      <w:r w:rsidRPr="006A624C">
        <w:rPr>
          <w:sz w:val="20"/>
        </w:rPr>
        <w:t xml:space="preserve"> Aprobado por Corte Plena en sesión 15-17 celebrada el 31 de mayo del 2017, artículo IV.</w:t>
      </w:r>
    </w:p>
  </w:footnote>
  <w:footnote w:id="4">
    <w:p w14:paraId="2CEA2FCE" w14:textId="77777777" w:rsidR="00B32800" w:rsidRPr="006A624C" w:rsidRDefault="00B32800" w:rsidP="003D7FFB">
      <w:pPr>
        <w:spacing w:line="240" w:lineRule="auto"/>
        <w:rPr>
          <w:sz w:val="20"/>
        </w:rPr>
      </w:pPr>
      <w:r w:rsidRPr="006A624C">
        <w:rPr>
          <w:rStyle w:val="Refdenotaalpie"/>
          <w:sz w:val="20"/>
        </w:rPr>
        <w:footnoteRef/>
      </w:r>
      <w:r w:rsidRPr="006A624C">
        <w:rPr>
          <w:sz w:val="20"/>
        </w:rPr>
        <w:t xml:space="preserve"> Aprobado por Corte Plena en sesión 24-18 celebrada el 30 de mayo del 2018, artículo I. </w:t>
      </w:r>
    </w:p>
  </w:footnote>
  <w:footnote w:id="5">
    <w:p w14:paraId="2F38BAD1" w14:textId="77777777" w:rsidR="00B32800" w:rsidRPr="006A624C" w:rsidRDefault="00B32800" w:rsidP="003D7FFB">
      <w:pPr>
        <w:spacing w:line="240" w:lineRule="auto"/>
        <w:ind w:right="-232"/>
        <w:rPr>
          <w:sz w:val="20"/>
        </w:rPr>
      </w:pPr>
      <w:r w:rsidRPr="006A624C">
        <w:rPr>
          <w:rStyle w:val="Refdenotaalpie"/>
          <w:sz w:val="20"/>
        </w:rPr>
        <w:footnoteRef/>
      </w:r>
      <w:r w:rsidRPr="006A624C">
        <w:rPr>
          <w:sz w:val="20"/>
        </w:rPr>
        <w:t xml:space="preserve"> Aprobado por Corte Plena en sesión 22-19 del 6 de junio 2019, artículo I.</w:t>
      </w:r>
    </w:p>
  </w:footnote>
  <w:footnote w:id="6">
    <w:p w14:paraId="2E63BA9F" w14:textId="77777777" w:rsidR="00B32800" w:rsidRPr="006A624C" w:rsidRDefault="00B32800" w:rsidP="003D7FFB">
      <w:pPr>
        <w:pStyle w:val="Textonotapie"/>
        <w:spacing w:line="240" w:lineRule="auto"/>
        <w:rPr>
          <w:sz w:val="20"/>
        </w:rPr>
      </w:pPr>
      <w:r w:rsidRPr="006A624C">
        <w:rPr>
          <w:rStyle w:val="Refdenotaalpie"/>
          <w:sz w:val="20"/>
        </w:rPr>
        <w:footnoteRef/>
      </w:r>
      <w:r w:rsidRPr="006A624C">
        <w:rPr>
          <w:sz w:val="20"/>
        </w:rPr>
        <w:t xml:space="preserve"> Aprobado por Corte Plena en sesión 31-20, de 2 de junio 2020, artículo I.</w:t>
      </w:r>
    </w:p>
  </w:footnote>
  <w:footnote w:id="7">
    <w:p w14:paraId="42FB1F4F" w14:textId="755354E1" w:rsidR="00B32800" w:rsidRDefault="00B32800" w:rsidP="003D7FFB">
      <w:pPr>
        <w:pStyle w:val="Textonotapie"/>
        <w:spacing w:line="240" w:lineRule="auto"/>
      </w:pPr>
      <w:r w:rsidRPr="006A624C">
        <w:rPr>
          <w:rStyle w:val="Refdenotaalpie"/>
          <w:sz w:val="20"/>
        </w:rPr>
        <w:footnoteRef/>
      </w:r>
      <w:r w:rsidRPr="006A624C">
        <w:rPr>
          <w:sz w:val="20"/>
        </w:rPr>
        <w:t xml:space="preserve"> Aprobado por Corte Plena en sesión 21-21, del primero de junio 2021, artículo II.</w:t>
      </w:r>
    </w:p>
  </w:footnote>
  <w:footnote w:id="8">
    <w:p w14:paraId="36ECE05C" w14:textId="77777777" w:rsidR="00B32800" w:rsidRPr="002F53AE" w:rsidRDefault="00B32800" w:rsidP="00B622E5">
      <w:pPr>
        <w:pStyle w:val="Textonotapie"/>
        <w:spacing w:line="240" w:lineRule="auto"/>
        <w:rPr>
          <w:sz w:val="20"/>
        </w:rPr>
      </w:pPr>
      <w:r w:rsidRPr="002F53AE">
        <w:rPr>
          <w:rStyle w:val="Refdenotaalpie"/>
          <w:sz w:val="20"/>
        </w:rPr>
        <w:footnoteRef/>
      </w:r>
      <w:r w:rsidRPr="002F53AE">
        <w:rPr>
          <w:sz w:val="20"/>
        </w:rPr>
        <w:t xml:space="preserve"> Informe de la Dirección de Planificación 24-PLA-MI-2017. </w:t>
      </w:r>
    </w:p>
  </w:footnote>
  <w:footnote w:id="9">
    <w:p w14:paraId="3867E7EA" w14:textId="31453096" w:rsidR="00B32800" w:rsidRPr="002F53AE" w:rsidRDefault="00B32800" w:rsidP="00B622E5">
      <w:pPr>
        <w:pStyle w:val="Textonotapie"/>
        <w:spacing w:line="240" w:lineRule="auto"/>
        <w:rPr>
          <w:sz w:val="20"/>
        </w:rPr>
      </w:pPr>
      <w:r w:rsidRPr="002F53AE">
        <w:rPr>
          <w:rStyle w:val="Refdenotaalpie"/>
          <w:sz w:val="20"/>
        </w:rPr>
        <w:footnoteRef/>
      </w:r>
      <w:r>
        <w:rPr>
          <w:sz w:val="20"/>
        </w:rPr>
        <w:t xml:space="preserve"> </w:t>
      </w:r>
      <w:r w:rsidRPr="002F53AE">
        <w:rPr>
          <w:sz w:val="20"/>
        </w:rPr>
        <w:t>Informe de la Dirección de Planificación 32-PLA-MI-2018.</w:t>
      </w:r>
      <w:r>
        <w:rPr>
          <w:sz w:val="20"/>
        </w:rPr>
        <w:t xml:space="preserve"> </w:t>
      </w:r>
      <w:r w:rsidRPr="0076272C">
        <w:rPr>
          <w:sz w:val="20"/>
        </w:rPr>
        <w:t>Pla</w:t>
      </w:r>
      <w:r w:rsidRPr="003D7FFB">
        <w:rPr>
          <w:sz w:val="20"/>
        </w:rPr>
        <w:t>z</w:t>
      </w:r>
      <w:r w:rsidRPr="0076272C">
        <w:rPr>
          <w:sz w:val="20"/>
        </w:rPr>
        <w:t>a actualmente colabora en “competencias” según plan de trabajo oficio 911-PLA-PE-2020.</w:t>
      </w:r>
    </w:p>
  </w:footnote>
  <w:footnote w:id="10">
    <w:p w14:paraId="0538C238" w14:textId="77777777" w:rsidR="00B32800" w:rsidRPr="00450A68" w:rsidRDefault="00B32800" w:rsidP="003D7FFB">
      <w:pPr>
        <w:pStyle w:val="Textonotapie"/>
        <w:spacing w:line="240" w:lineRule="auto"/>
      </w:pPr>
      <w:r w:rsidRPr="002F53AE">
        <w:rPr>
          <w:rStyle w:val="Refdenotaalpie"/>
          <w:sz w:val="20"/>
        </w:rPr>
        <w:footnoteRef/>
      </w:r>
      <w:r w:rsidRPr="002F53AE">
        <w:rPr>
          <w:sz w:val="20"/>
        </w:rPr>
        <w:t xml:space="preserve"> Informe de la Dirección de Planificación 555-PLA-MI-RH-2019.</w:t>
      </w:r>
    </w:p>
  </w:footnote>
  <w:footnote w:id="11">
    <w:p w14:paraId="6773BAA5" w14:textId="01EFDBE4" w:rsidR="00B32800" w:rsidRDefault="00B32800" w:rsidP="003D7FFB">
      <w:pPr>
        <w:pStyle w:val="Textonotapie"/>
        <w:spacing w:line="240" w:lineRule="auto"/>
      </w:pPr>
      <w:r>
        <w:rPr>
          <w:rStyle w:val="Refdenotaalpie"/>
        </w:rPr>
        <w:footnoteRef/>
      </w:r>
      <w:r>
        <w:t xml:space="preserve"> </w:t>
      </w:r>
      <w:r w:rsidRPr="003D7FFB">
        <w:rPr>
          <w:sz w:val="18"/>
          <w:szCs w:val="14"/>
        </w:rPr>
        <w:t>Se llevo a cabo una sesión de trabajo entre la Dirección de Planificación con la señora Magistrada Damaris Vargas el 8 de octubre de 2021 para colaborar en la redacción de un borrador de circular.</w:t>
      </w:r>
    </w:p>
  </w:footnote>
  <w:footnote w:id="12">
    <w:p w14:paraId="34BABEEE" w14:textId="42687527" w:rsidR="00B32800" w:rsidRDefault="00B32800" w:rsidP="00EB102E">
      <w:pPr>
        <w:pStyle w:val="Textonotapie"/>
        <w:spacing w:line="240" w:lineRule="auto"/>
      </w:pPr>
      <w:r>
        <w:rPr>
          <w:rStyle w:val="Refdenotaalpie"/>
        </w:rPr>
        <w:footnoteRef/>
      </w:r>
      <w:r>
        <w:t xml:space="preserve"> </w:t>
      </w:r>
      <w:r w:rsidRPr="00EB102E">
        <w:rPr>
          <w:sz w:val="20"/>
          <w:szCs w:val="16"/>
        </w:rPr>
        <w:t>Según explicación del Lic. Minor Delgado Sanchez, Juez Gestor Civil el 8 de agosto de 2022, en los procesos de mayor cuantía (</w:t>
      </w:r>
      <w:r>
        <w:rPr>
          <w:sz w:val="20"/>
          <w:szCs w:val="16"/>
        </w:rPr>
        <w:t xml:space="preserve">actualmente de </w:t>
      </w:r>
      <w:r w:rsidRPr="00EB102E">
        <w:rPr>
          <w:sz w:val="20"/>
          <w:szCs w:val="16"/>
        </w:rPr>
        <w:t xml:space="preserve">más de 3 millones), al apelar, la estimación de cada punto debe analizarse por separado en cuanto a la posibilidad de apelación. Por ejemplo, si cada punto apelado actualmente es de 3 millones o menos se rechaza de plano. Pero en los procesos de menor cuantía (de elevarse a 20 millones serían mayor la cantidad de asuntos en ese rango), independientemente de la cuantía del punto apelado, se admite el recurso, es decir, la proyección es que más asuntos que hoy no son apelables de darse el incremento en la cuantía entonces si tendría apelación (unipersonal) antes el Tribunal de Apelación. </w:t>
      </w:r>
    </w:p>
  </w:footnote>
  <w:footnote w:id="13">
    <w:p w14:paraId="3152FA49" w14:textId="77777777" w:rsidR="00B32800" w:rsidRDefault="00B32800" w:rsidP="00CA577E">
      <w:pPr>
        <w:pStyle w:val="Textonotapie"/>
        <w:spacing w:line="240" w:lineRule="auto"/>
      </w:pPr>
      <w:r>
        <w:rPr>
          <w:rStyle w:val="Refdenotaalpie"/>
        </w:rPr>
        <w:footnoteRef/>
      </w:r>
      <w:r>
        <w:t xml:space="preserve"> </w:t>
      </w:r>
      <w:r w:rsidRPr="00273624">
        <w:rPr>
          <w:sz w:val="18"/>
          <w:szCs w:val="14"/>
        </w:rPr>
        <w:t>Se contemplan únicamente los asuntos entrados, no la entrada total que incluye otras variables como los asuntos reentrados.</w:t>
      </w:r>
    </w:p>
  </w:footnote>
  <w:footnote w:id="14">
    <w:p w14:paraId="1BC5DD38" w14:textId="77777777" w:rsidR="00B32800" w:rsidRPr="00CA577E" w:rsidRDefault="00B32800" w:rsidP="00D92D45">
      <w:pPr>
        <w:pStyle w:val="Textonotapie"/>
        <w:spacing w:line="240" w:lineRule="auto"/>
        <w:rPr>
          <w:sz w:val="18"/>
          <w:szCs w:val="18"/>
          <w:lang w:val="es-CR"/>
        </w:rPr>
      </w:pPr>
      <w:r w:rsidRPr="00CA577E">
        <w:rPr>
          <w:rStyle w:val="Refdenotaalpie"/>
          <w:sz w:val="18"/>
          <w:szCs w:val="18"/>
        </w:rPr>
        <w:footnoteRef/>
      </w:r>
      <w:r w:rsidRPr="00CA577E">
        <w:rPr>
          <w:sz w:val="18"/>
          <w:szCs w:val="18"/>
        </w:rPr>
        <w:t xml:space="preserve"> </w:t>
      </w:r>
      <w:r w:rsidRPr="00CA577E">
        <w:rPr>
          <w:sz w:val="18"/>
          <w:szCs w:val="18"/>
          <w:lang w:val="es-CR"/>
        </w:rPr>
        <w:t>Tanto en la primera y segunda instancia civil se han identificado datos que no corresponden a la fórmula estadística, esto significa que se han registrado asuntos, procedimientos o cuantías con variables que no deberían, por ejemplo, en los asuntos ordinarios solo deberían aparecer procedimientos ordinarios. Si bien se logró detectar estas inconsistencias, se muestra la información tal y como se refleja en el sistema. Se harán las recomendaciones correspondientes para corregir dicho problema.</w:t>
      </w:r>
    </w:p>
  </w:footnote>
  <w:footnote w:id="15">
    <w:p w14:paraId="78040B11" w14:textId="71F38903" w:rsidR="00B32800" w:rsidRDefault="00B32800" w:rsidP="000F6981">
      <w:pPr>
        <w:pStyle w:val="Textonotapie"/>
        <w:spacing w:line="240" w:lineRule="auto"/>
      </w:pPr>
      <w:r>
        <w:rPr>
          <w:rStyle w:val="Refdenotaalpie"/>
        </w:rPr>
        <w:footnoteRef/>
      </w:r>
      <w:r>
        <w:t xml:space="preserve"> </w:t>
      </w:r>
      <w:r w:rsidRPr="000F6981">
        <w:rPr>
          <w:sz w:val="18"/>
          <w:szCs w:val="18"/>
        </w:rPr>
        <w:t>D</w:t>
      </w:r>
      <w:r w:rsidRPr="000F6981">
        <w:rPr>
          <w:rFonts w:cs="Calibri"/>
          <w:color w:val="000000"/>
          <w:sz w:val="18"/>
          <w:szCs w:val="18"/>
          <w:lang w:eastAsia="es-CR"/>
        </w:rPr>
        <w:t>ato promedio del 2019 al 2021 (i)</w:t>
      </w:r>
    </w:p>
  </w:footnote>
  <w:footnote w:id="16">
    <w:p w14:paraId="64D9BC76" w14:textId="77777777" w:rsidR="00B32800" w:rsidRDefault="00B32800" w:rsidP="000F6981">
      <w:pPr>
        <w:pStyle w:val="Textonotapie"/>
        <w:spacing w:line="240" w:lineRule="auto"/>
      </w:pPr>
      <w:r>
        <w:rPr>
          <w:rStyle w:val="Refdenotaalpie"/>
        </w:rPr>
        <w:footnoteRef/>
      </w:r>
      <w:r>
        <w:t xml:space="preserve"> </w:t>
      </w:r>
      <w:r w:rsidRPr="000F6981">
        <w:rPr>
          <w:sz w:val="18"/>
          <w:szCs w:val="14"/>
        </w:rPr>
        <w:t>Ver tabla 60, composición entrada de casaciones civiles por rango de cuantía.</w:t>
      </w:r>
    </w:p>
  </w:footnote>
  <w:footnote w:id="17">
    <w:p w14:paraId="44683099" w14:textId="479C25FE" w:rsidR="006871BE" w:rsidRPr="00832773" w:rsidRDefault="006871BE" w:rsidP="00832773">
      <w:pPr>
        <w:pStyle w:val="Textonotapie"/>
        <w:spacing w:line="240" w:lineRule="auto"/>
        <w:rPr>
          <w:lang w:val="es-CR"/>
        </w:rPr>
      </w:pPr>
      <w:r>
        <w:rPr>
          <w:rStyle w:val="Refdenotaalpie"/>
        </w:rPr>
        <w:footnoteRef/>
      </w:r>
      <w:r>
        <w:t xml:space="preserve"> </w:t>
      </w:r>
      <w:r>
        <w:rPr>
          <w:sz w:val="18"/>
          <w:szCs w:val="14"/>
          <w:lang w:val="es-CR"/>
        </w:rPr>
        <w:t xml:space="preserve">El modelo de proyección se utiliza para estimar el </w:t>
      </w:r>
      <w:r w:rsidR="002E50CC">
        <w:rPr>
          <w:sz w:val="18"/>
          <w:szCs w:val="14"/>
          <w:lang w:val="es-CR"/>
        </w:rPr>
        <w:t xml:space="preserve">posible </w:t>
      </w:r>
      <w:r>
        <w:rPr>
          <w:sz w:val="18"/>
          <w:szCs w:val="14"/>
          <w:lang w:val="es-CR"/>
        </w:rPr>
        <w:t>incremento a nivel de Juzgados Civiles</w:t>
      </w:r>
      <w:r w:rsidR="006F7AA3">
        <w:rPr>
          <w:sz w:val="18"/>
          <w:szCs w:val="14"/>
          <w:lang w:val="es-CR"/>
        </w:rPr>
        <w:t>. La proyección parte de un histórico de entrada que se ajustará o no a la realidad dependiendo del comportamiento de la entrada y del escenario aprobado por Corte Plena.</w:t>
      </w:r>
    </w:p>
  </w:footnote>
  <w:footnote w:id="18">
    <w:p w14:paraId="521E1FA0" w14:textId="1AA84AEC" w:rsidR="00B32800" w:rsidRDefault="00B32800" w:rsidP="004843E0">
      <w:pPr>
        <w:pStyle w:val="Textonotapie"/>
        <w:spacing w:line="240" w:lineRule="auto"/>
      </w:pPr>
      <w:r>
        <w:rPr>
          <w:rStyle w:val="Refdenotaalpie"/>
        </w:rPr>
        <w:footnoteRef/>
      </w:r>
      <w:r>
        <w:t xml:space="preserve"> </w:t>
      </w:r>
      <w:r w:rsidRPr="004843E0">
        <w:rPr>
          <w:sz w:val="18"/>
          <w:szCs w:val="14"/>
        </w:rPr>
        <w:t>Valor promedio entre cantidad de juzgados que comparten competencia territorial con los Tribunales Colegiados de Primera Instancia, obtenido de la tabla 49 de este informe.  Por ejemplo, entre el Tribunal primero y segundo colegiados de San José, conocen asuntos ordinarios antes tramitados en los Juzgados Civiles de San Jose I y II Circuito Judicial y mixto de Puriscal, es decir, los asuntos que deje de conocer estos 2 tribunales se distribuirían entre los 3 Juzgados Civiles de San José</w:t>
      </w:r>
      <w:r w:rsidR="00B246CA">
        <w:rPr>
          <w:sz w:val="18"/>
          <w:szCs w:val="14"/>
        </w:rPr>
        <w:t xml:space="preserve"> y Puriscal</w:t>
      </w:r>
      <w:r w:rsidRPr="004843E0">
        <w:rPr>
          <w:sz w:val="18"/>
          <w:szCs w:val="14"/>
        </w:rPr>
        <w:t>. Para efectos del ejercicio únicamente, y siendo que no se cuenta con el dato de la procedencia a nivel de entrada de Tribunal Colegiados, se divide proporcionalmente la entrada actual del Tribunal Colegiado entre la cantidad de juzgados civiles, es este ejemplo entre 4.</w:t>
      </w:r>
    </w:p>
  </w:footnote>
  <w:footnote w:id="19">
    <w:p w14:paraId="0C16C013" w14:textId="0BF74359" w:rsidR="00186B25" w:rsidRDefault="00186B25" w:rsidP="00832773">
      <w:pPr>
        <w:pStyle w:val="Textonotapie"/>
        <w:spacing w:line="240" w:lineRule="auto"/>
      </w:pPr>
      <w:r>
        <w:rPr>
          <w:rStyle w:val="Refdenotaalpie"/>
        </w:rPr>
        <w:footnoteRef/>
      </w:r>
      <w:r>
        <w:t xml:space="preserve"> </w:t>
      </w:r>
      <w:r w:rsidRPr="00832773">
        <w:rPr>
          <w:sz w:val="18"/>
          <w:szCs w:val="14"/>
          <w:lang w:val="es-CR"/>
        </w:rPr>
        <w:t>El peso por procedencia se obtiene a partir del promedio ponderado de la entrada civil de cada oficina entre el total de la sumatoria de las entradas combinadas. Se utiliza el valor de entrada de asuntos civiles de las de los juzgados que comparten competencia territorial con los Tribunales Colegiados de Primera Instancia, obtenido de la tabla 49 de este informe. Por ejemplo, entre el Tribunal primero y segundo colegiados de San José, conocen asuntos ordinarios antes tramitados en los Juzgados Civiles de San Jose I y II Circuito Judicial y mixto de Puriscal, es decir, los asuntos que deje de conocer estos 2 tribunales se distribuirían entre los 3 Juzgados Civiles de San José y Puriscal. Para efectos del ejercicio y por solicitud de la Sala Primera, se incluye este ejercicio siendo que no se cuenta con el dato de la procedencia a nivel de entrada de Tribunal Colegiados, se divide proporcionalmente la entrada actual del Tribunal Colegiado entre la cantidad de juzgados civiles según el peso o promedio ponderado de los asuntos civiles entrados en cada juzgado, en este mismo ejemplo los 165 asuntos de incremento se dividen entre las cuatro oficinas pero porcentualmente, un 33% para el Primero Civil, 32% en el Segundo, 30% en el Tercero y 5% en Puriscal.</w:t>
      </w:r>
    </w:p>
  </w:footnote>
  <w:footnote w:id="20">
    <w:p w14:paraId="4011337E" w14:textId="77777777" w:rsidR="004B55DA" w:rsidRPr="00534D88" w:rsidRDefault="004B55DA" w:rsidP="004B55DA">
      <w:pPr>
        <w:autoSpaceDE w:val="0"/>
        <w:autoSpaceDN w:val="0"/>
        <w:adjustRightInd w:val="0"/>
        <w:spacing w:line="240" w:lineRule="auto"/>
        <w:rPr>
          <w:rFonts w:cs="Arial"/>
          <w:i/>
          <w:iCs/>
          <w:color w:val="000000"/>
          <w:sz w:val="20"/>
          <w:lang w:eastAsia="es-CR"/>
        </w:rPr>
      </w:pPr>
      <w:r w:rsidRPr="00534D88">
        <w:rPr>
          <w:rStyle w:val="Refdenotaalpie"/>
        </w:rPr>
        <w:footnoteRef/>
      </w:r>
      <w:r w:rsidRPr="00534D88">
        <w:t xml:space="preserve"> </w:t>
      </w:r>
      <w:r w:rsidRPr="00534D88">
        <w:rPr>
          <w:rFonts w:cs="Arial"/>
          <w:i/>
          <w:iCs/>
          <w:color w:val="000000"/>
          <w:sz w:val="20"/>
          <w:lang w:eastAsia="es-CR"/>
        </w:rPr>
        <w:t>El artículo 67.3 párrafo final del código procesal Civil vigente dispone “En los procesos de mayor cuantía, los autos que se dicten sobre incidentes o aspectos que no excedan la suma prevista para menor cuantía carecerán de recurso de apelación.”</w:t>
      </w:r>
    </w:p>
  </w:footnote>
  <w:footnote w:id="21">
    <w:p w14:paraId="6D13FB08" w14:textId="77777777" w:rsidR="00B32800" w:rsidRPr="00357179" w:rsidRDefault="00B32800" w:rsidP="006032B8">
      <w:pPr>
        <w:pStyle w:val="Default"/>
        <w:jc w:val="both"/>
        <w:rPr>
          <w:rFonts w:ascii="Book Antiqua" w:hAnsi="Book Antiqua"/>
          <w:i/>
          <w:iCs/>
          <w:sz w:val="20"/>
          <w:szCs w:val="20"/>
        </w:rPr>
      </w:pPr>
      <w:r w:rsidRPr="00534D88">
        <w:rPr>
          <w:rStyle w:val="Refdenotaalpie"/>
        </w:rPr>
        <w:footnoteRef/>
      </w:r>
      <w:r w:rsidRPr="00534D88">
        <w:t xml:space="preserve"> </w:t>
      </w:r>
      <w:r w:rsidRPr="00534D88">
        <w:rPr>
          <w:rFonts w:ascii="Book Antiqua" w:hAnsi="Book Antiqua"/>
          <w:i/>
          <w:iCs/>
          <w:sz w:val="20"/>
          <w:szCs w:val="20"/>
        </w:rPr>
        <w:t>Lo anterior conforme al artículos 95 de la Ley Orgánica del Poder Judicial sobre la conformación unipersonal y colegiada de los tribunales de apelación en materia civil –incluidos los asuntos cobratorios.</w:t>
      </w:r>
    </w:p>
  </w:footnote>
  <w:footnote w:id="22">
    <w:p w14:paraId="3292640F" w14:textId="77777777" w:rsidR="00B32800" w:rsidRDefault="00B32800" w:rsidP="006032B8">
      <w:pPr>
        <w:pStyle w:val="Textonotapie"/>
      </w:pPr>
      <w:r>
        <w:rPr>
          <w:rStyle w:val="Refdenotaalpie"/>
        </w:rPr>
        <w:footnoteRef/>
      </w:r>
      <w:r>
        <w:t xml:space="preserve"> </w:t>
      </w:r>
      <w:r w:rsidRPr="00357179">
        <w:rPr>
          <w:rFonts w:cs="Arial"/>
          <w:i/>
          <w:iCs/>
          <w:color w:val="000000"/>
          <w:sz w:val="20"/>
          <w:lang w:val="es-CR" w:eastAsia="es-CR"/>
        </w:rPr>
        <w:t>La recomendación del escenario A</w:t>
      </w:r>
      <w:r>
        <w:rPr>
          <w:rFonts w:cs="Arial"/>
          <w:i/>
          <w:iCs/>
          <w:color w:val="000000"/>
          <w:sz w:val="20"/>
          <w:lang w:val="es-CR" w:eastAsia="es-CR"/>
        </w:rPr>
        <w:t>.1</w:t>
      </w:r>
      <w:r w:rsidRPr="00357179">
        <w:rPr>
          <w:rFonts w:cs="Arial"/>
          <w:i/>
          <w:iCs/>
          <w:color w:val="000000"/>
          <w:sz w:val="20"/>
          <w:lang w:val="es-CR" w:eastAsia="es-CR"/>
        </w:rPr>
        <w:t xml:space="preserve"> es ¢20.000.000.</w:t>
      </w:r>
    </w:p>
  </w:footnote>
  <w:footnote w:id="23">
    <w:p w14:paraId="7FDDBA4E" w14:textId="6245FE00" w:rsidR="00B32800" w:rsidRPr="00534D88" w:rsidRDefault="00B32800" w:rsidP="00165258">
      <w:pPr>
        <w:autoSpaceDE w:val="0"/>
        <w:autoSpaceDN w:val="0"/>
        <w:adjustRightInd w:val="0"/>
        <w:spacing w:line="240" w:lineRule="auto"/>
        <w:rPr>
          <w:rFonts w:cs="Arial"/>
          <w:i/>
          <w:iCs/>
          <w:color w:val="000000"/>
          <w:sz w:val="20"/>
          <w:lang w:eastAsia="es-CR"/>
        </w:rPr>
      </w:pPr>
      <w:r w:rsidRPr="00534D88">
        <w:rPr>
          <w:rStyle w:val="Refdenotaalpie"/>
        </w:rPr>
        <w:footnoteRef/>
      </w:r>
      <w:r w:rsidRPr="00534D88">
        <w:t xml:space="preserve"> </w:t>
      </w:r>
      <w:r w:rsidRPr="00534D88">
        <w:rPr>
          <w:rFonts w:cs="Arial"/>
          <w:i/>
          <w:iCs/>
          <w:color w:val="000000"/>
          <w:sz w:val="20"/>
          <w:lang w:eastAsia="es-CR"/>
        </w:rPr>
        <w:t>El artículo 67.3 párrafo final del código procesal Civil vigente dispone “En los procesos de mayor cuantía, los autos que se dicten sobre incidentes o aspectos que no excedan la suma prevista para menor cuantía carecerán de recurso de apelación.”</w:t>
      </w:r>
    </w:p>
  </w:footnote>
  <w:footnote w:id="24">
    <w:p w14:paraId="6EED9EA4" w14:textId="3FADE5A5" w:rsidR="00B32800" w:rsidRPr="00357179" w:rsidRDefault="00B32800" w:rsidP="00357179">
      <w:pPr>
        <w:pStyle w:val="Default"/>
        <w:jc w:val="both"/>
        <w:rPr>
          <w:rFonts w:ascii="Book Antiqua" w:hAnsi="Book Antiqua"/>
          <w:i/>
          <w:iCs/>
          <w:sz w:val="20"/>
          <w:szCs w:val="20"/>
        </w:rPr>
      </w:pPr>
      <w:r w:rsidRPr="00534D88">
        <w:rPr>
          <w:rStyle w:val="Refdenotaalpie"/>
        </w:rPr>
        <w:footnoteRef/>
      </w:r>
      <w:r w:rsidRPr="00534D88">
        <w:t xml:space="preserve"> </w:t>
      </w:r>
      <w:r w:rsidRPr="00534D88">
        <w:rPr>
          <w:rFonts w:ascii="Book Antiqua" w:hAnsi="Book Antiqua"/>
          <w:i/>
          <w:iCs/>
          <w:sz w:val="20"/>
          <w:szCs w:val="20"/>
        </w:rPr>
        <w:t>Lo anterior conforme al artículos 95 de la Ley Orgánica del Poder Judicial sobre la conformación unipersonal y colegiada de los tribunales de apelación en materia civil –incluidos los asuntos cobratorios.</w:t>
      </w:r>
    </w:p>
  </w:footnote>
  <w:footnote w:id="25">
    <w:p w14:paraId="341FEBCD" w14:textId="6EBE3F36" w:rsidR="00B32800" w:rsidRDefault="00B32800">
      <w:pPr>
        <w:pStyle w:val="Textonotapie"/>
      </w:pPr>
      <w:r>
        <w:rPr>
          <w:rStyle w:val="Refdenotaalpie"/>
        </w:rPr>
        <w:footnoteRef/>
      </w:r>
      <w:r>
        <w:t xml:space="preserve"> </w:t>
      </w:r>
      <w:r w:rsidRPr="00357179">
        <w:rPr>
          <w:rFonts w:cs="Arial"/>
          <w:i/>
          <w:iCs/>
          <w:color w:val="000000"/>
          <w:sz w:val="20"/>
          <w:lang w:val="es-CR" w:eastAsia="es-CR"/>
        </w:rPr>
        <w:t>La recomendación del escenario A</w:t>
      </w:r>
      <w:r>
        <w:rPr>
          <w:rFonts w:cs="Arial"/>
          <w:i/>
          <w:iCs/>
          <w:color w:val="000000"/>
          <w:sz w:val="20"/>
          <w:lang w:val="es-CR" w:eastAsia="es-CR"/>
        </w:rPr>
        <w:t>.1</w:t>
      </w:r>
      <w:r w:rsidRPr="00357179">
        <w:rPr>
          <w:rFonts w:cs="Arial"/>
          <w:i/>
          <w:iCs/>
          <w:color w:val="000000"/>
          <w:sz w:val="20"/>
          <w:lang w:val="es-CR" w:eastAsia="es-CR"/>
        </w:rPr>
        <w:t xml:space="preserve"> es ¢20.000.000.</w:t>
      </w:r>
    </w:p>
  </w:footnote>
  <w:footnote w:id="26">
    <w:p w14:paraId="5F4A56F1" w14:textId="7255C394" w:rsidR="00E375D4" w:rsidRPr="00832773" w:rsidRDefault="00E375D4" w:rsidP="00832773">
      <w:pPr>
        <w:pStyle w:val="Textonotapie"/>
        <w:spacing w:line="240" w:lineRule="auto"/>
        <w:rPr>
          <w:lang w:val="es-CR"/>
        </w:rPr>
      </w:pPr>
      <w:r w:rsidRPr="00832773">
        <w:rPr>
          <w:rStyle w:val="Refdenotaalpie"/>
          <w:sz w:val="18"/>
          <w:szCs w:val="14"/>
        </w:rPr>
        <w:footnoteRef/>
      </w:r>
      <w:r w:rsidRPr="00832773">
        <w:rPr>
          <w:sz w:val="18"/>
          <w:szCs w:val="14"/>
        </w:rPr>
        <w:t xml:space="preserve"> </w:t>
      </w:r>
      <w:r w:rsidRPr="00832773">
        <w:rPr>
          <w:sz w:val="18"/>
          <w:szCs w:val="14"/>
          <w:lang w:val="es-CR"/>
        </w:rPr>
        <w:t xml:space="preserve">Existen 10 casaciones que entran en el rango de </w:t>
      </w:r>
      <w:r w:rsidRPr="00832773">
        <w:rPr>
          <w:rFonts w:cs="Calibri"/>
          <w:b/>
          <w:bCs/>
          <w:color w:val="000000"/>
          <w:sz w:val="18"/>
          <w:szCs w:val="18"/>
          <w:u w:val="single"/>
          <w:lang w:eastAsia="es-CR"/>
        </w:rPr>
        <w:t>¢1 a ¢3.000.000</w:t>
      </w:r>
      <w:r w:rsidR="002A6947" w:rsidRPr="00832773">
        <w:rPr>
          <w:rFonts w:cs="Calibri"/>
          <w:b/>
          <w:bCs/>
          <w:color w:val="000000"/>
          <w:sz w:val="18"/>
          <w:szCs w:val="18"/>
          <w:u w:val="single"/>
          <w:lang w:eastAsia="es-CR"/>
        </w:rPr>
        <w:t xml:space="preserve">, </w:t>
      </w:r>
      <w:r w:rsidR="002A6947" w:rsidRPr="00832773">
        <w:rPr>
          <w:rFonts w:cs="Calibri"/>
          <w:color w:val="000000"/>
          <w:sz w:val="18"/>
          <w:szCs w:val="18"/>
          <w:u w:val="single"/>
          <w:lang w:eastAsia="es-CR"/>
        </w:rPr>
        <w:t>lo que completaría el monto total de 153 casaciones que se reducen para la Sala Primera.</w:t>
      </w:r>
    </w:p>
  </w:footnote>
  <w:footnote w:id="27">
    <w:p w14:paraId="34C6A19E" w14:textId="06DFF15C" w:rsidR="00B32800" w:rsidRDefault="00B32800" w:rsidP="00F20904">
      <w:pPr>
        <w:pStyle w:val="Textonotapie"/>
        <w:spacing w:line="240" w:lineRule="auto"/>
        <w:jc w:val="left"/>
      </w:pPr>
      <w:r>
        <w:rPr>
          <w:rStyle w:val="Refdenotaalpie"/>
        </w:rPr>
        <w:footnoteRef/>
      </w:r>
      <w:r>
        <w:t xml:space="preserve"> </w:t>
      </w:r>
      <w:r>
        <w:rPr>
          <w:sz w:val="20"/>
        </w:rPr>
        <w:t>Recuperado</w:t>
      </w:r>
      <w:r w:rsidRPr="001376D0">
        <w:rPr>
          <w:sz w:val="20"/>
        </w:rPr>
        <w:t xml:space="preserve"> de: https://gee.bccr.fi.cr/indicadoreseconomicos/Documentos/DocumentosMetodologiasNotasTecnicas/Metodolog%C3%ADa%20Indices/Inflaci%C3%B3n%20e%20%C3%ADndices%20de%20precios%20(2018-05).pdf</w:t>
      </w:r>
    </w:p>
  </w:footnote>
  <w:footnote w:id="28">
    <w:p w14:paraId="76A2B240" w14:textId="3795C011" w:rsidR="00B32800" w:rsidRDefault="00B32800" w:rsidP="00F95F04">
      <w:pPr>
        <w:pStyle w:val="Textonotapie"/>
        <w:spacing w:line="276" w:lineRule="auto"/>
      </w:pPr>
      <w:r>
        <w:rPr>
          <w:rStyle w:val="Refdenotaalpie"/>
        </w:rPr>
        <w:footnoteRef/>
      </w:r>
      <w:r>
        <w:t xml:space="preserve"> </w:t>
      </w:r>
      <w:r w:rsidRPr="00F95F04">
        <w:rPr>
          <w:sz w:val="20"/>
          <w:szCs w:val="16"/>
        </w:rPr>
        <w:t>Promedio 2019 - 2021</w:t>
      </w:r>
    </w:p>
  </w:footnote>
  <w:footnote w:id="29">
    <w:p w14:paraId="01905BF1" w14:textId="17B0058E" w:rsidR="00B32800" w:rsidRDefault="00B32800" w:rsidP="00832773">
      <w:pPr>
        <w:pStyle w:val="Textonotapie"/>
        <w:spacing w:line="240" w:lineRule="auto"/>
      </w:pPr>
      <w:r>
        <w:rPr>
          <w:rStyle w:val="Refdenotaalpie"/>
        </w:rPr>
        <w:footnoteRef/>
      </w:r>
      <w:r>
        <w:t xml:space="preserve"> </w:t>
      </w:r>
      <w:r w:rsidRPr="00D10C21">
        <w:rPr>
          <w:sz w:val="20"/>
          <w:szCs w:val="16"/>
        </w:rPr>
        <w:t>Promedio 2019 al 2021.</w:t>
      </w:r>
    </w:p>
  </w:footnote>
  <w:footnote w:id="30">
    <w:p w14:paraId="4D3331A7" w14:textId="7053FCC9" w:rsidR="00B32800" w:rsidRDefault="00B32800" w:rsidP="00DC2CE2">
      <w:pPr>
        <w:pStyle w:val="Textonotapie"/>
        <w:spacing w:line="240" w:lineRule="auto"/>
      </w:pPr>
      <w:r>
        <w:rPr>
          <w:rStyle w:val="Refdenotaalpie"/>
        </w:rPr>
        <w:footnoteRef/>
      </w:r>
      <w:r>
        <w:t xml:space="preserve"> </w:t>
      </w:r>
      <w:r w:rsidRPr="006364D1">
        <w:rPr>
          <w:sz w:val="20"/>
          <w:szCs w:val="16"/>
        </w:rPr>
        <w:t>Según explican los jueces gestores en sesión de trabajo del 17 de junio de 2022.</w:t>
      </w:r>
      <w:r>
        <w:rPr>
          <w:sz w:val="20"/>
          <w:szCs w:val="16"/>
        </w:rPr>
        <w:t xml:space="preserve"> </w:t>
      </w:r>
    </w:p>
  </w:footnote>
  <w:footnote w:id="31">
    <w:p w14:paraId="4E6E278B" w14:textId="59D6904D" w:rsidR="00B32800" w:rsidRDefault="00B32800" w:rsidP="00AD152E">
      <w:pPr>
        <w:pStyle w:val="Textonotapie"/>
        <w:spacing w:line="240" w:lineRule="auto"/>
      </w:pPr>
      <w:r>
        <w:rPr>
          <w:rStyle w:val="Refdenotaalpie"/>
        </w:rPr>
        <w:footnoteRef/>
      </w:r>
      <w:r>
        <w:t xml:space="preserve"> </w:t>
      </w:r>
      <w:r w:rsidRPr="00AD152E">
        <w:rPr>
          <w:sz w:val="20"/>
          <w:szCs w:val="16"/>
        </w:rPr>
        <w:t>Promedio 2019 al 2021.</w:t>
      </w:r>
      <w:r>
        <w:rPr>
          <w:sz w:val="20"/>
          <w:szCs w:val="16"/>
        </w:rPr>
        <w:t xml:space="preserve"> De esas solo 360 en promedio son “</w:t>
      </w:r>
      <w:r w:rsidRPr="00C3667D">
        <w:rPr>
          <w:i/>
          <w:iCs/>
          <w:sz w:val="20"/>
          <w:szCs w:val="16"/>
        </w:rPr>
        <w:t>estimables</w:t>
      </w:r>
      <w:r>
        <w:rPr>
          <w:sz w:val="20"/>
          <w:szCs w:val="16"/>
        </w:rPr>
        <w:t>”.</w:t>
      </w:r>
    </w:p>
  </w:footnote>
  <w:footnote w:id="32">
    <w:p w14:paraId="735F511A" w14:textId="49B854F5" w:rsidR="00FB453D" w:rsidRPr="00832773" w:rsidRDefault="00FB453D" w:rsidP="00832773">
      <w:pPr>
        <w:pStyle w:val="Textonotapie"/>
        <w:spacing w:line="240" w:lineRule="auto"/>
        <w:rPr>
          <w:lang w:val="es-CR"/>
        </w:rPr>
      </w:pPr>
      <w:r>
        <w:rPr>
          <w:rStyle w:val="Refdenotaalpie"/>
        </w:rPr>
        <w:footnoteRef/>
      </w:r>
      <w:r>
        <w:t xml:space="preserve"> </w:t>
      </w:r>
      <w:r w:rsidRPr="00832773">
        <w:rPr>
          <w:sz w:val="18"/>
          <w:szCs w:val="14"/>
          <w:lang w:val="es-CR"/>
        </w:rPr>
        <w:t>Consultado el 18 de noviembre de 2022 en la página web https://planificacion.poder-judicial.go.cr/index.php/estadisticas-e-indicadores/estadisticas-para-especialistas</w:t>
      </w:r>
    </w:p>
  </w:footnote>
  <w:footnote w:id="33">
    <w:p w14:paraId="32DD8991" w14:textId="6EFF62F6" w:rsidR="00B32800" w:rsidRPr="00E37EED" w:rsidRDefault="00B32800" w:rsidP="00E37EED">
      <w:pPr>
        <w:spacing w:line="276" w:lineRule="auto"/>
        <w:rPr>
          <w:rFonts w:cs="Calibri"/>
          <w:color w:val="000000"/>
          <w:szCs w:val="24"/>
          <w:lang w:eastAsia="es-CR"/>
        </w:rPr>
      </w:pPr>
      <w:r>
        <w:rPr>
          <w:rStyle w:val="Refdenotaalpie"/>
        </w:rPr>
        <w:footnoteRef/>
      </w:r>
      <w:r>
        <w:t xml:space="preserve"> </w:t>
      </w:r>
      <w:r w:rsidRPr="00E37EED">
        <w:rPr>
          <w:sz w:val="20"/>
          <w:szCs w:val="16"/>
        </w:rPr>
        <w:t xml:space="preserve">Recordar que el escenario A impactaría directamente la entrada de la Sala Primera, según criterio experto y cuantías diferencias. </w:t>
      </w:r>
    </w:p>
  </w:footnote>
  <w:footnote w:id="34">
    <w:p w14:paraId="37ACCC35" w14:textId="77777777" w:rsidR="001372CE" w:rsidRPr="00534D88" w:rsidRDefault="001372CE" w:rsidP="001372CE">
      <w:pPr>
        <w:autoSpaceDE w:val="0"/>
        <w:autoSpaceDN w:val="0"/>
        <w:adjustRightInd w:val="0"/>
        <w:spacing w:line="240" w:lineRule="auto"/>
        <w:rPr>
          <w:rFonts w:cs="Arial"/>
          <w:i/>
          <w:iCs/>
          <w:color w:val="000000"/>
          <w:sz w:val="20"/>
          <w:lang w:eastAsia="es-CR"/>
        </w:rPr>
      </w:pPr>
      <w:r w:rsidRPr="00534D88">
        <w:rPr>
          <w:rStyle w:val="Refdenotaalpie"/>
        </w:rPr>
        <w:footnoteRef/>
      </w:r>
      <w:r w:rsidRPr="00534D88">
        <w:t xml:space="preserve"> </w:t>
      </w:r>
      <w:r w:rsidRPr="00534D88">
        <w:rPr>
          <w:rFonts w:cs="Arial"/>
          <w:i/>
          <w:iCs/>
          <w:color w:val="000000"/>
          <w:sz w:val="20"/>
          <w:lang w:eastAsia="es-CR"/>
        </w:rPr>
        <w:t>El artículo 67.3 párrafo final del código procesal Civil vigente dispone “En los procesos de mayor cuantía, los autos que se dicten sobre incidentes o aspectos que no excedan la suma prevista para menor cuantía carecerán de recurso de apelación.”</w:t>
      </w:r>
    </w:p>
  </w:footnote>
  <w:footnote w:id="35">
    <w:p w14:paraId="58B264A4" w14:textId="07CAEC74" w:rsidR="00C12576" w:rsidRPr="00832773" w:rsidRDefault="00C12576" w:rsidP="00832773">
      <w:pPr>
        <w:spacing w:line="240" w:lineRule="auto"/>
        <w:contextualSpacing/>
        <w:rPr>
          <w:rFonts w:eastAsia="Calibri"/>
          <w:szCs w:val="24"/>
          <w:lang w:eastAsia="en-US"/>
        </w:rPr>
      </w:pPr>
      <w:r>
        <w:rPr>
          <w:rStyle w:val="Refdenotaalpie"/>
        </w:rPr>
        <w:footnoteRef/>
      </w:r>
      <w:r>
        <w:t xml:space="preserve"> </w:t>
      </w:r>
      <w:r w:rsidRPr="00832773">
        <w:rPr>
          <w:sz w:val="18"/>
          <w:szCs w:val="14"/>
        </w:rPr>
        <w:t>Actualmente la Sala Primera los conoce, el nuevo Código Procesal Agrario únicamente los identifica en el inciso 4 del artículo 12.</w:t>
      </w:r>
      <w:r w:rsidRPr="00832773">
        <w:rPr>
          <w:sz w:val="22"/>
          <w:szCs w:val="18"/>
        </w:rPr>
        <w:t xml:space="preserve">   </w:t>
      </w:r>
    </w:p>
  </w:footnote>
  <w:footnote w:id="36">
    <w:p w14:paraId="40A11CC7" w14:textId="69C68284" w:rsidR="00C12576" w:rsidRDefault="00C12576" w:rsidP="00832773">
      <w:pPr>
        <w:pStyle w:val="Textonotapie"/>
        <w:spacing w:line="240" w:lineRule="auto"/>
      </w:pPr>
      <w:r>
        <w:rPr>
          <w:rStyle w:val="Refdenotaalpie"/>
        </w:rPr>
        <w:footnoteRef/>
      </w:r>
      <w:r>
        <w:t xml:space="preserve"> </w:t>
      </w:r>
      <w:r w:rsidRPr="00832773">
        <w:rPr>
          <w:color w:val="000000"/>
          <w:sz w:val="18"/>
          <w:szCs w:val="14"/>
          <w:shd w:val="clear" w:color="auto" w:fill="FFFFFF"/>
        </w:rPr>
        <w:t>Para la redacción de las siguientes observaciones de carácter jurídico se solicitó vía telefónica el 24 de marzo de 2020, el criterio de la señora Magistrada Damaris Vargas Vásquez como experta en materia Agraria</w:t>
      </w:r>
    </w:p>
  </w:footnote>
  <w:footnote w:id="37">
    <w:p w14:paraId="53310533" w14:textId="33875058" w:rsidR="00CE68FA" w:rsidRPr="00832773" w:rsidRDefault="00CE68FA" w:rsidP="00832773">
      <w:pPr>
        <w:spacing w:line="240" w:lineRule="auto"/>
        <w:rPr>
          <w:i/>
          <w:iCs/>
        </w:rPr>
      </w:pPr>
      <w:r>
        <w:rPr>
          <w:rStyle w:val="Refdenotaalpie"/>
        </w:rPr>
        <w:footnoteRef/>
      </w:r>
      <w:r>
        <w:t xml:space="preserve"> </w:t>
      </w:r>
      <w:r w:rsidRPr="00832773">
        <w:rPr>
          <w:sz w:val="20"/>
        </w:rPr>
        <w:t xml:space="preserve">Se consultó a doña Vivian Rímola de DTIC y el 22 de noviembre 2022 informó: </w:t>
      </w:r>
      <w:r w:rsidRPr="00832773">
        <w:rPr>
          <w:i/>
          <w:iCs/>
          <w:sz w:val="20"/>
        </w:rPr>
        <w:t xml:space="preserve">“No, no se ha desarrollado la mejora en el </w:t>
      </w:r>
      <w:r w:rsidR="008D51C4" w:rsidRPr="00832773">
        <w:rPr>
          <w:i/>
          <w:iCs/>
          <w:sz w:val="20"/>
        </w:rPr>
        <w:t>nuevo sistema</w:t>
      </w:r>
      <w:r w:rsidRPr="00832773">
        <w:rPr>
          <w:i/>
          <w:iCs/>
          <w:sz w:val="20"/>
        </w:rPr>
        <w:t>.</w:t>
      </w:r>
      <w:r>
        <w:rPr>
          <w:i/>
          <w:iCs/>
          <w:sz w:val="20"/>
        </w:rPr>
        <w:t xml:space="preserve"> </w:t>
      </w:r>
      <w:r w:rsidRPr="00832773">
        <w:rPr>
          <w:i/>
          <w:iCs/>
          <w:sz w:val="20"/>
        </w:rPr>
        <w:t>Las mejoras relacionadas a materia civil, de acuerdo a nuestro cronograma, están para iniciar finales del 2023 y durante el 2024. Esta solicitud en su momento deberá ser priorizadas junto con la lista de desarrollados en materia civil para establecer en que orden y prioridad será atendida.”</w:t>
      </w:r>
    </w:p>
  </w:footnote>
  <w:footnote w:id="38">
    <w:p w14:paraId="410A39CB" w14:textId="30B49CB6" w:rsidR="00B32800" w:rsidRDefault="00B32800">
      <w:pPr>
        <w:pStyle w:val="Textonotapie"/>
      </w:pPr>
      <w:r>
        <w:rPr>
          <w:rStyle w:val="Refdenotaalpie"/>
        </w:rPr>
        <w:footnoteRef/>
      </w:r>
      <w:r>
        <w:t xml:space="preserve"> </w:t>
      </w:r>
      <w:r w:rsidRPr="00DB442A">
        <w:rPr>
          <w:sz w:val="20"/>
          <w:szCs w:val="16"/>
        </w:rPr>
        <w:t>Promedio 2019 al 2021.</w:t>
      </w:r>
    </w:p>
  </w:footnote>
  <w:footnote w:id="39">
    <w:p w14:paraId="033DE131" w14:textId="63A2B21B" w:rsidR="00B32800" w:rsidRDefault="00B32800" w:rsidP="00363B9F">
      <w:pPr>
        <w:pStyle w:val="Textonotapie"/>
        <w:spacing w:line="240" w:lineRule="auto"/>
      </w:pPr>
      <w:r>
        <w:rPr>
          <w:rStyle w:val="Refdenotaalpie"/>
        </w:rPr>
        <w:footnoteRef/>
      </w:r>
      <w:r>
        <w:t xml:space="preserve"> </w:t>
      </w:r>
      <w:r w:rsidRPr="00363B9F">
        <w:rPr>
          <w:sz w:val="18"/>
          <w:szCs w:val="18"/>
        </w:rPr>
        <w:t xml:space="preserve">Ver tabla </w:t>
      </w:r>
      <w:r>
        <w:rPr>
          <w:sz w:val="18"/>
          <w:szCs w:val="18"/>
        </w:rPr>
        <w:t>49</w:t>
      </w:r>
      <w:r w:rsidRPr="00363B9F">
        <w:rPr>
          <w:sz w:val="18"/>
          <w:szCs w:val="18"/>
        </w:rPr>
        <w:t xml:space="preserve"> de este informe que presenta la composición entrada de los Tribunales Colegiados</w:t>
      </w:r>
      <w:r>
        <w:rPr>
          <w:sz w:val="18"/>
          <w:szCs w:val="18"/>
        </w:rPr>
        <w:t xml:space="preserve"> y tabla 50 con el impacto en juzgados</w:t>
      </w:r>
      <w:r w:rsidRPr="00363B9F">
        <w:rPr>
          <w:sz w:val="18"/>
          <w:szCs w:val="18"/>
        </w:rPr>
        <w:t>.</w:t>
      </w:r>
    </w:p>
  </w:footnote>
  <w:footnote w:id="40">
    <w:p w14:paraId="6B549032" w14:textId="209DE83A" w:rsidR="00B32800" w:rsidRDefault="00B32800" w:rsidP="00363B9F">
      <w:pPr>
        <w:pStyle w:val="Textonotapie"/>
        <w:spacing w:line="240" w:lineRule="auto"/>
      </w:pPr>
      <w:r>
        <w:rPr>
          <w:rStyle w:val="Refdenotaalpie"/>
        </w:rPr>
        <w:footnoteRef/>
      </w:r>
      <w:r>
        <w:t xml:space="preserve"> </w:t>
      </w:r>
      <w:r w:rsidRPr="00706676">
        <w:rPr>
          <w:sz w:val="18"/>
          <w:szCs w:val="18"/>
        </w:rPr>
        <w:t>Ver tabla 49 de este informe.</w:t>
      </w:r>
      <w:r>
        <w:t xml:space="preserve"> </w:t>
      </w:r>
    </w:p>
  </w:footnote>
  <w:footnote w:id="41">
    <w:p w14:paraId="267ED902" w14:textId="77777777" w:rsidR="00B32800" w:rsidRPr="00534D88" w:rsidRDefault="00B32800" w:rsidP="00AB5613">
      <w:pPr>
        <w:autoSpaceDE w:val="0"/>
        <w:autoSpaceDN w:val="0"/>
        <w:adjustRightInd w:val="0"/>
        <w:spacing w:line="240" w:lineRule="auto"/>
        <w:rPr>
          <w:rFonts w:cs="Arial"/>
          <w:i/>
          <w:iCs/>
          <w:color w:val="000000"/>
          <w:sz w:val="20"/>
          <w:lang w:eastAsia="es-CR"/>
        </w:rPr>
      </w:pPr>
      <w:r w:rsidRPr="00534D88">
        <w:rPr>
          <w:rStyle w:val="Refdenotaalpie"/>
        </w:rPr>
        <w:footnoteRef/>
      </w:r>
      <w:r w:rsidRPr="00534D88">
        <w:t xml:space="preserve"> </w:t>
      </w:r>
      <w:r w:rsidRPr="00534D88">
        <w:rPr>
          <w:rFonts w:cs="Arial"/>
          <w:i/>
          <w:iCs/>
          <w:color w:val="000000"/>
          <w:sz w:val="20"/>
          <w:lang w:eastAsia="es-CR"/>
        </w:rPr>
        <w:t>El artículo 67.3 párrafo final del código procesal Civil vigente dispone “En los procesos de mayor cuantía, los autos que se dicten sobre incidentes o aspectos que no excedan la suma prevista para menor cuantía carecerán de recurso de apelación.”</w:t>
      </w:r>
    </w:p>
  </w:footnote>
  <w:footnote w:id="42">
    <w:p w14:paraId="6B57E1B7" w14:textId="77777777" w:rsidR="00B32800" w:rsidRPr="00357179" w:rsidRDefault="00B32800" w:rsidP="00AB5613">
      <w:pPr>
        <w:pStyle w:val="Default"/>
        <w:jc w:val="both"/>
        <w:rPr>
          <w:rFonts w:ascii="Book Antiqua" w:hAnsi="Book Antiqua"/>
          <w:i/>
          <w:iCs/>
          <w:sz w:val="20"/>
          <w:szCs w:val="20"/>
        </w:rPr>
      </w:pPr>
      <w:r w:rsidRPr="00534D88">
        <w:rPr>
          <w:rStyle w:val="Refdenotaalpie"/>
        </w:rPr>
        <w:footnoteRef/>
      </w:r>
      <w:r w:rsidRPr="00534D88">
        <w:t xml:space="preserve"> </w:t>
      </w:r>
      <w:r w:rsidRPr="00534D88">
        <w:rPr>
          <w:rFonts w:ascii="Book Antiqua" w:hAnsi="Book Antiqua"/>
          <w:i/>
          <w:iCs/>
          <w:sz w:val="20"/>
          <w:szCs w:val="20"/>
        </w:rPr>
        <w:t>Lo anterior conforme al artículos 95 de la Ley Orgánica del Poder Judicial sobre la conformación unipersonal y colegiada de los tribunales de apelación en materia civil –incluidos los asuntos cobratorios.</w:t>
      </w:r>
    </w:p>
  </w:footnote>
  <w:footnote w:id="43">
    <w:p w14:paraId="257B07F8" w14:textId="77777777" w:rsidR="00B32800" w:rsidRDefault="00B32800" w:rsidP="00AB5613">
      <w:pPr>
        <w:pStyle w:val="Textonotapie"/>
      </w:pPr>
      <w:r>
        <w:rPr>
          <w:rStyle w:val="Refdenotaalpie"/>
        </w:rPr>
        <w:footnoteRef/>
      </w:r>
      <w:r>
        <w:t xml:space="preserve"> </w:t>
      </w:r>
      <w:r w:rsidRPr="00357179">
        <w:rPr>
          <w:rFonts w:cs="Arial"/>
          <w:i/>
          <w:iCs/>
          <w:color w:val="000000"/>
          <w:sz w:val="20"/>
          <w:lang w:val="es-CR" w:eastAsia="es-CR"/>
        </w:rPr>
        <w:t>La recomendación del escenario A</w:t>
      </w:r>
      <w:r>
        <w:rPr>
          <w:rFonts w:cs="Arial"/>
          <w:i/>
          <w:iCs/>
          <w:color w:val="000000"/>
          <w:sz w:val="20"/>
          <w:lang w:val="es-CR" w:eastAsia="es-CR"/>
        </w:rPr>
        <w:t>.1</w:t>
      </w:r>
      <w:r w:rsidRPr="00357179">
        <w:rPr>
          <w:rFonts w:cs="Arial"/>
          <w:i/>
          <w:iCs/>
          <w:color w:val="000000"/>
          <w:sz w:val="20"/>
          <w:lang w:val="es-CR" w:eastAsia="es-CR"/>
        </w:rPr>
        <w:t xml:space="preserve"> es ¢20.000.000.</w:t>
      </w:r>
    </w:p>
  </w:footnote>
  <w:footnote w:id="44">
    <w:p w14:paraId="17FF6A33" w14:textId="48C2E2D7" w:rsidR="00B32800" w:rsidRDefault="00B32800" w:rsidP="0013509D">
      <w:pPr>
        <w:pStyle w:val="Textonotapie"/>
        <w:spacing w:line="240" w:lineRule="auto"/>
      </w:pPr>
      <w:r>
        <w:rPr>
          <w:rStyle w:val="Refdenotaalpie"/>
        </w:rPr>
        <w:footnoteRef/>
      </w:r>
      <w:r>
        <w:t xml:space="preserve"> </w:t>
      </w:r>
      <w:r w:rsidRPr="00554395">
        <w:rPr>
          <w:sz w:val="18"/>
          <w:szCs w:val="14"/>
        </w:rPr>
        <w:t>Dato promedio 2019 al 2021.</w:t>
      </w:r>
      <w:r>
        <w:t xml:space="preserve"> </w:t>
      </w:r>
      <w:r w:rsidRPr="000F6981">
        <w:rPr>
          <w:sz w:val="18"/>
          <w:szCs w:val="14"/>
        </w:rPr>
        <w:t xml:space="preserve">Ver tabla </w:t>
      </w:r>
      <w:r>
        <w:rPr>
          <w:sz w:val="18"/>
          <w:szCs w:val="14"/>
        </w:rPr>
        <w:t>61</w:t>
      </w:r>
      <w:r w:rsidRPr="000F6981">
        <w:rPr>
          <w:sz w:val="18"/>
          <w:szCs w:val="14"/>
        </w:rPr>
        <w:t>, composición entrada de casaciones civiles por rango de cuantía.</w:t>
      </w:r>
    </w:p>
  </w:footnote>
  <w:footnote w:id="45">
    <w:p w14:paraId="2525E1B8" w14:textId="77777777" w:rsidR="00B32800" w:rsidRPr="00534D88" w:rsidRDefault="00B32800" w:rsidP="00DC27EF">
      <w:pPr>
        <w:autoSpaceDE w:val="0"/>
        <w:autoSpaceDN w:val="0"/>
        <w:adjustRightInd w:val="0"/>
        <w:spacing w:line="240" w:lineRule="auto"/>
        <w:rPr>
          <w:rFonts w:cs="Arial"/>
          <w:i/>
          <w:iCs/>
          <w:color w:val="000000"/>
          <w:sz w:val="20"/>
          <w:lang w:eastAsia="es-CR"/>
        </w:rPr>
      </w:pPr>
      <w:r w:rsidRPr="00534D88">
        <w:rPr>
          <w:rStyle w:val="Refdenotaalpie"/>
        </w:rPr>
        <w:footnoteRef/>
      </w:r>
      <w:r w:rsidRPr="00534D88">
        <w:t xml:space="preserve"> </w:t>
      </w:r>
      <w:r w:rsidRPr="00A57A72">
        <w:rPr>
          <w:rFonts w:cs="Arial"/>
          <w:color w:val="000000"/>
          <w:sz w:val="20"/>
          <w:lang w:eastAsia="es-CR"/>
        </w:rPr>
        <w:t>El artículo 67.3 párrafo final del código procesal Civil vigente dispone</w:t>
      </w:r>
      <w:r w:rsidRPr="00534D88">
        <w:rPr>
          <w:rFonts w:cs="Arial"/>
          <w:i/>
          <w:iCs/>
          <w:color w:val="000000"/>
          <w:sz w:val="20"/>
          <w:lang w:eastAsia="es-CR"/>
        </w:rPr>
        <w:t xml:space="preserve"> “En los procesos de mayor cuantía, los autos que se dicten sobre incidentes o aspectos que no excedan la suma prevista para menor cuantía carecerán de recurso de apelación.”</w:t>
      </w:r>
    </w:p>
  </w:footnote>
  <w:footnote w:id="46">
    <w:p w14:paraId="39511261" w14:textId="77777777" w:rsidR="00B32800" w:rsidRPr="00357179" w:rsidRDefault="00B32800" w:rsidP="00DC27EF">
      <w:pPr>
        <w:pStyle w:val="Default"/>
        <w:jc w:val="both"/>
        <w:rPr>
          <w:rFonts w:ascii="Book Antiqua" w:hAnsi="Book Antiqua"/>
          <w:i/>
          <w:iCs/>
          <w:sz w:val="20"/>
          <w:szCs w:val="20"/>
        </w:rPr>
      </w:pPr>
      <w:r w:rsidRPr="00534D88">
        <w:rPr>
          <w:rStyle w:val="Refdenotaalpie"/>
        </w:rPr>
        <w:footnoteRef/>
      </w:r>
      <w:r w:rsidRPr="00534D88">
        <w:t xml:space="preserve"> </w:t>
      </w:r>
      <w:r w:rsidRPr="00A57A72">
        <w:rPr>
          <w:rFonts w:ascii="Book Antiqua" w:hAnsi="Book Antiqua"/>
          <w:sz w:val="20"/>
          <w:szCs w:val="20"/>
        </w:rPr>
        <w:t>Lo anterior conforme al artículos 95 de la Ley Orgánica del Poder Judicial sobre la conformación unipersonal y colegiada de los tribunales de apelación en materia civil –incluidos los asuntos cobratorios.</w:t>
      </w:r>
    </w:p>
  </w:footnote>
  <w:footnote w:id="47">
    <w:p w14:paraId="763AF877" w14:textId="77777777" w:rsidR="00B32800" w:rsidRPr="00A57A72" w:rsidRDefault="00B32800" w:rsidP="00EB102E">
      <w:pPr>
        <w:pStyle w:val="Textonotapie"/>
        <w:spacing w:line="240" w:lineRule="auto"/>
      </w:pPr>
      <w:r>
        <w:rPr>
          <w:rStyle w:val="Refdenotaalpie"/>
        </w:rPr>
        <w:footnoteRef/>
      </w:r>
      <w:r>
        <w:t xml:space="preserve"> </w:t>
      </w:r>
      <w:r w:rsidRPr="00A57A72">
        <w:rPr>
          <w:rFonts w:cs="Arial"/>
          <w:color w:val="000000"/>
          <w:sz w:val="20"/>
          <w:lang w:val="es-CR" w:eastAsia="es-CR"/>
        </w:rPr>
        <w:t>La recomendación del escenario A.1 es ¢20.000.000.</w:t>
      </w:r>
    </w:p>
  </w:footnote>
  <w:footnote w:id="48">
    <w:p w14:paraId="0273E77B" w14:textId="15AD0419" w:rsidR="00B32800" w:rsidRDefault="00B32800" w:rsidP="00E56FB6">
      <w:pPr>
        <w:pStyle w:val="Textonotapie"/>
        <w:spacing w:line="240" w:lineRule="auto"/>
      </w:pPr>
      <w:r>
        <w:rPr>
          <w:rStyle w:val="Refdenotaalpie"/>
        </w:rPr>
        <w:footnoteRef/>
      </w:r>
      <w:r>
        <w:t xml:space="preserve"> </w:t>
      </w:r>
      <w:r w:rsidRPr="00C008B1">
        <w:rPr>
          <w:sz w:val="18"/>
          <w:szCs w:val="14"/>
        </w:rPr>
        <w:t xml:space="preserve">El detalle desglosado de estos datos se visualiza tanto en entrada como en terminados, se visualizan en este informe, ver tablas 59 y 55 respectivamente. </w:t>
      </w:r>
    </w:p>
  </w:footnote>
  <w:footnote w:id="49">
    <w:p w14:paraId="38C7FAA1" w14:textId="3C632B71" w:rsidR="00CB5749" w:rsidRDefault="00CB5749">
      <w:pPr>
        <w:pStyle w:val="Textonotapie"/>
      </w:pPr>
      <w:r w:rsidRPr="00832773">
        <w:rPr>
          <w:rStyle w:val="Refdenotaalpie"/>
          <w:sz w:val="20"/>
          <w:szCs w:val="16"/>
        </w:rPr>
        <w:footnoteRef/>
      </w:r>
      <w:r w:rsidRPr="00832773">
        <w:rPr>
          <w:sz w:val="20"/>
          <w:szCs w:val="16"/>
        </w:rPr>
        <w:t xml:space="preserve"> El escenario A está subdivido en A1 y A2. Ver recomendación </w:t>
      </w:r>
      <w:r w:rsidR="00895229">
        <w:rPr>
          <w:sz w:val="20"/>
          <w:szCs w:val="16"/>
        </w:rPr>
        <w:t>7</w:t>
      </w:r>
      <w:r w:rsidRPr="00832773">
        <w:rPr>
          <w:sz w:val="20"/>
          <w:szCs w:val="16"/>
        </w:rPr>
        <w:t>.3.1.</w:t>
      </w:r>
    </w:p>
  </w:footnote>
  <w:footnote w:id="50">
    <w:p w14:paraId="29D1FD12" w14:textId="20391D3F" w:rsidR="00CD7AC2" w:rsidRDefault="00CD7AC2">
      <w:pPr>
        <w:pStyle w:val="Textonotapie"/>
      </w:pPr>
      <w:r>
        <w:rPr>
          <w:rStyle w:val="Refdenotaalpie"/>
        </w:rPr>
        <w:footnoteRef/>
      </w:r>
      <w:r>
        <w:t xml:space="preserve"> </w:t>
      </w:r>
      <w:r w:rsidRPr="00832773">
        <w:rPr>
          <w:sz w:val="18"/>
          <w:szCs w:val="14"/>
        </w:rPr>
        <w:t xml:space="preserve">Ver antecedente 1.24 de este informe.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5837D7" w14:textId="491F35C1" w:rsidR="00B32800" w:rsidRPr="00B32800" w:rsidRDefault="00B32800" w:rsidP="00B32800">
    <w:pPr>
      <w:tabs>
        <w:tab w:val="center" w:pos="8804"/>
        <w:tab w:val="right" w:pos="8875"/>
      </w:tabs>
      <w:spacing w:line="240" w:lineRule="auto"/>
      <w:jc w:val="center"/>
      <w:rPr>
        <w:rFonts w:cs="Book Antiqua"/>
        <w:i/>
        <w:iCs/>
        <w:sz w:val="18"/>
        <w:szCs w:val="18"/>
      </w:rPr>
    </w:pPr>
    <w:r>
      <w:rPr>
        <w:rFonts w:cs="Book Antiqua"/>
        <w:i/>
        <w:iCs/>
        <w:sz w:val="18"/>
        <w:szCs w:val="18"/>
      </w:rPr>
      <w:t xml:space="preserve">                     </w:t>
    </w:r>
    <w:r w:rsidRPr="00B32800">
      <w:rPr>
        <w:rFonts w:cs="Book Antiqua"/>
        <w:i/>
        <w:iCs/>
        <w:sz w:val="18"/>
        <w:szCs w:val="18"/>
      </w:rPr>
      <w:t>Poder Judicial - Dirección de Planificación</w:t>
    </w:r>
    <w:r w:rsidR="0073734E">
      <w:rPr>
        <w:rFonts w:ascii="Times New Roman" w:hAnsi="Times New Roman"/>
        <w:noProof/>
        <w:szCs w:val="24"/>
      </w:rPr>
      <w:drawing>
        <wp:inline distT="0" distB="0" distL="0" distR="0" wp14:anchorId="451F5DA4" wp14:editId="002061FE">
          <wp:extent cx="317500" cy="406400"/>
          <wp:effectExtent l="0" t="0" r="635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17500" cy="406400"/>
                  </a:xfrm>
                  <a:prstGeom prst="rect">
                    <a:avLst/>
                  </a:prstGeom>
                  <a:noFill/>
                  <a:ln>
                    <a:noFill/>
                  </a:ln>
                </pic:spPr>
              </pic:pic>
            </a:graphicData>
          </a:graphic>
        </wp:inline>
      </w:drawing>
    </w:r>
  </w:p>
  <w:p w14:paraId="56631616" w14:textId="6EAF56F8" w:rsidR="00B32800" w:rsidRPr="00B32800" w:rsidRDefault="00B32800" w:rsidP="00B32800">
    <w:pPr>
      <w:tabs>
        <w:tab w:val="center" w:pos="4252"/>
        <w:tab w:val="right" w:pos="8875"/>
      </w:tabs>
      <w:spacing w:line="240" w:lineRule="auto"/>
      <w:jc w:val="center"/>
      <w:rPr>
        <w:rFonts w:cs="Book Antiqua"/>
        <w:i/>
        <w:iCs/>
        <w:sz w:val="18"/>
        <w:szCs w:val="18"/>
      </w:rPr>
    </w:pPr>
    <w:r w:rsidRPr="00B32800">
      <w:rPr>
        <w:rFonts w:cs="Book Antiqua"/>
        <w:i/>
        <w:iCs/>
        <w:sz w:val="18"/>
        <w:szCs w:val="18"/>
      </w:rPr>
      <w:t>San José - Costa Rica</w:t>
    </w:r>
  </w:p>
  <w:p w14:paraId="325321CF" w14:textId="5AFFCF23" w:rsidR="00B32800" w:rsidRPr="00B32800" w:rsidRDefault="00B32800" w:rsidP="00B32800">
    <w:pPr>
      <w:tabs>
        <w:tab w:val="center" w:pos="4252"/>
        <w:tab w:val="right" w:pos="8504"/>
      </w:tabs>
      <w:spacing w:line="240" w:lineRule="auto"/>
      <w:jc w:val="center"/>
      <w:rPr>
        <w:rFonts w:ascii="Times New Roman" w:hAnsi="Times New Roman"/>
        <w:sz w:val="20"/>
        <w:lang w:val="en-US"/>
      </w:rPr>
    </w:pPr>
    <w:r w:rsidRPr="00B32800">
      <w:rPr>
        <w:rFonts w:cs="Book Antiqua"/>
        <w:i/>
        <w:iCs/>
        <w:sz w:val="18"/>
        <w:szCs w:val="18"/>
        <w:lang w:val="en-US"/>
      </w:rPr>
      <w:t>Telf</w:t>
    </w:r>
    <w:r w:rsidR="008D51C4" w:rsidRPr="00B32800">
      <w:rPr>
        <w:rFonts w:cs="Book Antiqua"/>
        <w:i/>
        <w:iCs/>
        <w:sz w:val="18"/>
        <w:szCs w:val="18"/>
        <w:lang w:val="en-US"/>
      </w:rPr>
      <w:t xml:space="preserve">. </w:t>
    </w:r>
    <w:r w:rsidRPr="00B32800">
      <w:rPr>
        <w:rFonts w:cs="Book Antiqua"/>
        <w:i/>
        <w:iCs/>
        <w:sz w:val="18"/>
        <w:szCs w:val="18"/>
        <w:lang w:val="en-US"/>
      </w:rPr>
      <w:t>2295-3600 / 3599 / Apdo</w:t>
    </w:r>
    <w:r w:rsidR="008D51C4" w:rsidRPr="00B32800">
      <w:rPr>
        <w:rFonts w:cs="Book Antiqua"/>
        <w:i/>
        <w:iCs/>
        <w:sz w:val="18"/>
        <w:szCs w:val="18"/>
        <w:lang w:val="en-US"/>
      </w:rPr>
      <w:t xml:space="preserve">. </w:t>
    </w:r>
    <w:r w:rsidRPr="00B32800">
      <w:rPr>
        <w:rFonts w:cs="Book Antiqua"/>
        <w:i/>
        <w:iCs/>
        <w:sz w:val="18"/>
        <w:szCs w:val="18"/>
        <w:lang w:val="en-US"/>
      </w:rPr>
      <w:t>95-1003 / planificacion@poder-judicial.go.cr</w:t>
    </w:r>
  </w:p>
  <w:p w14:paraId="3A44D78B" w14:textId="77777777" w:rsidR="00B32800" w:rsidRPr="00B32800" w:rsidRDefault="00B32800" w:rsidP="00B32800">
    <w:pPr>
      <w:pBdr>
        <w:bottom w:val="single" w:sz="6" w:space="0" w:color="auto"/>
      </w:pBdr>
      <w:spacing w:after="20" w:line="240" w:lineRule="auto"/>
      <w:jc w:val="center"/>
      <w:rPr>
        <w:rFonts w:ascii="Times New Roman" w:hAnsi="Times New Roman"/>
        <w:sz w:val="20"/>
        <w:lang w:val="en-US"/>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ABFE82" w14:textId="705DE16B" w:rsidR="00A822FB" w:rsidRPr="00B32800" w:rsidRDefault="00A822FB" w:rsidP="00B32800">
    <w:pPr>
      <w:tabs>
        <w:tab w:val="center" w:pos="8804"/>
        <w:tab w:val="right" w:pos="8875"/>
      </w:tabs>
      <w:spacing w:line="240" w:lineRule="auto"/>
      <w:jc w:val="center"/>
      <w:rPr>
        <w:rFonts w:cs="Book Antiqua"/>
        <w:i/>
        <w:iCs/>
        <w:sz w:val="18"/>
        <w:szCs w:val="18"/>
      </w:rPr>
    </w:pPr>
    <w:r>
      <w:rPr>
        <w:rFonts w:cs="Book Antiqua"/>
        <w:i/>
        <w:iCs/>
        <w:sz w:val="18"/>
        <w:szCs w:val="18"/>
      </w:rPr>
      <w:t xml:space="preserve">              </w:t>
    </w:r>
    <w:r w:rsidRPr="00B32800">
      <w:rPr>
        <w:rFonts w:cs="Book Antiqua"/>
        <w:i/>
        <w:iCs/>
        <w:sz w:val="18"/>
        <w:szCs w:val="18"/>
      </w:rPr>
      <w:t>Poder Judicial - Dirección de Planificación</w:t>
    </w:r>
    <w:r>
      <w:rPr>
        <w:rFonts w:ascii="Times New Roman" w:hAnsi="Times New Roman"/>
        <w:noProof/>
        <w:szCs w:val="24"/>
      </w:rPr>
      <w:drawing>
        <wp:inline distT="0" distB="0" distL="0" distR="0" wp14:anchorId="09249283" wp14:editId="5B157000">
          <wp:extent cx="317500" cy="406400"/>
          <wp:effectExtent l="0" t="0" r="635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17500" cy="406400"/>
                  </a:xfrm>
                  <a:prstGeom prst="rect">
                    <a:avLst/>
                  </a:prstGeom>
                  <a:noFill/>
                  <a:ln>
                    <a:noFill/>
                  </a:ln>
                </pic:spPr>
              </pic:pic>
            </a:graphicData>
          </a:graphic>
        </wp:inline>
      </w:drawing>
    </w:r>
  </w:p>
  <w:p w14:paraId="1B4F7754" w14:textId="77777777" w:rsidR="00A822FB" w:rsidRPr="00B32800" w:rsidRDefault="00A822FB" w:rsidP="00B32800">
    <w:pPr>
      <w:tabs>
        <w:tab w:val="center" w:pos="4252"/>
        <w:tab w:val="right" w:pos="8875"/>
      </w:tabs>
      <w:spacing w:line="240" w:lineRule="auto"/>
      <w:jc w:val="center"/>
      <w:rPr>
        <w:rFonts w:cs="Book Antiqua"/>
        <w:i/>
        <w:iCs/>
        <w:sz w:val="18"/>
        <w:szCs w:val="18"/>
      </w:rPr>
    </w:pPr>
    <w:r w:rsidRPr="00B32800">
      <w:rPr>
        <w:rFonts w:cs="Book Antiqua"/>
        <w:i/>
        <w:iCs/>
        <w:sz w:val="18"/>
        <w:szCs w:val="18"/>
      </w:rPr>
      <w:t>San José - Costa Rica</w:t>
    </w:r>
  </w:p>
  <w:p w14:paraId="52A18A8A" w14:textId="616FA70E" w:rsidR="00A822FB" w:rsidRPr="00B32800" w:rsidRDefault="00A822FB" w:rsidP="00B32800">
    <w:pPr>
      <w:tabs>
        <w:tab w:val="center" w:pos="4252"/>
        <w:tab w:val="right" w:pos="8504"/>
      </w:tabs>
      <w:spacing w:line="240" w:lineRule="auto"/>
      <w:jc w:val="center"/>
      <w:rPr>
        <w:rFonts w:ascii="Times New Roman" w:hAnsi="Times New Roman"/>
        <w:sz w:val="20"/>
        <w:lang w:val="en-US"/>
      </w:rPr>
    </w:pPr>
    <w:r w:rsidRPr="00B32800">
      <w:rPr>
        <w:rFonts w:cs="Book Antiqua"/>
        <w:i/>
        <w:iCs/>
        <w:sz w:val="18"/>
        <w:szCs w:val="18"/>
        <w:lang w:val="en-US"/>
      </w:rPr>
      <w:t>Telf</w:t>
    </w:r>
    <w:r w:rsidR="008D51C4" w:rsidRPr="00B32800">
      <w:rPr>
        <w:rFonts w:cs="Book Antiqua"/>
        <w:i/>
        <w:iCs/>
        <w:sz w:val="18"/>
        <w:szCs w:val="18"/>
        <w:lang w:val="en-US"/>
      </w:rPr>
      <w:t xml:space="preserve">. </w:t>
    </w:r>
    <w:r w:rsidRPr="00B32800">
      <w:rPr>
        <w:rFonts w:cs="Book Antiqua"/>
        <w:i/>
        <w:iCs/>
        <w:sz w:val="18"/>
        <w:szCs w:val="18"/>
        <w:lang w:val="en-US"/>
      </w:rPr>
      <w:t>2295-3600 / 3599 / Apdo</w:t>
    </w:r>
    <w:r w:rsidR="008D51C4" w:rsidRPr="00B32800">
      <w:rPr>
        <w:rFonts w:cs="Book Antiqua"/>
        <w:i/>
        <w:iCs/>
        <w:sz w:val="18"/>
        <w:szCs w:val="18"/>
        <w:lang w:val="en-US"/>
      </w:rPr>
      <w:t xml:space="preserve">. </w:t>
    </w:r>
    <w:r w:rsidRPr="00B32800">
      <w:rPr>
        <w:rFonts w:cs="Book Antiqua"/>
        <w:i/>
        <w:iCs/>
        <w:sz w:val="18"/>
        <w:szCs w:val="18"/>
        <w:lang w:val="en-US"/>
      </w:rPr>
      <w:t>95-1003 / planificacion@poder-judicial.go.cr</w:t>
    </w:r>
  </w:p>
  <w:p w14:paraId="1A4CA361" w14:textId="77777777" w:rsidR="00A822FB" w:rsidRPr="00B32800" w:rsidRDefault="00A822FB" w:rsidP="00B32800">
    <w:pPr>
      <w:pBdr>
        <w:bottom w:val="single" w:sz="6" w:space="0" w:color="auto"/>
      </w:pBdr>
      <w:spacing w:after="20" w:line="240" w:lineRule="auto"/>
      <w:jc w:val="center"/>
      <w:rPr>
        <w:rFonts w:ascii="Times New Roman" w:hAnsi="Times New Roman"/>
        <w:sz w:val="20"/>
        <w:lang w:val="en-U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name w:val="WW8Num1"/>
    <w:lvl w:ilvl="0">
      <w:start w:val="1"/>
      <w:numFmt w:val="decimal"/>
      <w:lvlText w:val="%1."/>
      <w:lvlJc w:val="left"/>
      <w:pPr>
        <w:tabs>
          <w:tab w:val="num" w:pos="0"/>
        </w:tabs>
      </w:pPr>
      <w:rPr>
        <w:rFonts w:ascii="Arial" w:hAnsi="Arial" w:cs="Arial"/>
        <w:sz w:val="24"/>
        <w:szCs w:val="24"/>
      </w:rPr>
    </w:lvl>
    <w:lvl w:ilvl="1">
      <w:start w:val="1"/>
      <w:numFmt w:val="bullet"/>
      <w:lvlText w:val="ü"/>
      <w:lvlJc w:val="left"/>
      <w:pPr>
        <w:tabs>
          <w:tab w:val="num" w:pos="0"/>
        </w:tabs>
      </w:pPr>
      <w:rPr>
        <w:rFonts w:ascii="Wingdings" w:hAnsi="Wingdings"/>
        <w:sz w:val="24"/>
      </w:rPr>
    </w:lvl>
    <w:lvl w:ilvl="2">
      <w:start w:val="1"/>
      <w:numFmt w:val="decimal"/>
      <w:lvlText w:val="%3."/>
      <w:lvlJc w:val="left"/>
      <w:pPr>
        <w:tabs>
          <w:tab w:val="num" w:pos="0"/>
        </w:tabs>
      </w:pPr>
      <w:rPr>
        <w:rFonts w:ascii="Arial" w:hAnsi="Arial" w:cs="Arial"/>
        <w:sz w:val="24"/>
        <w:szCs w:val="24"/>
      </w:rPr>
    </w:lvl>
    <w:lvl w:ilvl="3">
      <w:start w:val="1"/>
      <w:numFmt w:val="decimal"/>
      <w:lvlText w:val="%4."/>
      <w:lvlJc w:val="left"/>
      <w:pPr>
        <w:tabs>
          <w:tab w:val="num" w:pos="0"/>
        </w:tabs>
      </w:pPr>
      <w:rPr>
        <w:rFonts w:ascii="Arial" w:hAnsi="Arial" w:cs="Arial"/>
        <w:sz w:val="24"/>
        <w:szCs w:val="24"/>
      </w:rPr>
    </w:lvl>
    <w:lvl w:ilvl="4">
      <w:start w:val="1"/>
      <w:numFmt w:val="decimal"/>
      <w:lvlText w:val="%5."/>
      <w:lvlJc w:val="left"/>
      <w:pPr>
        <w:tabs>
          <w:tab w:val="num" w:pos="0"/>
        </w:tabs>
      </w:pPr>
      <w:rPr>
        <w:rFonts w:ascii="Arial" w:hAnsi="Arial" w:cs="Arial"/>
        <w:sz w:val="24"/>
        <w:szCs w:val="24"/>
      </w:rPr>
    </w:lvl>
    <w:lvl w:ilvl="5">
      <w:start w:val="1"/>
      <w:numFmt w:val="decimal"/>
      <w:lvlText w:val="%6."/>
      <w:lvlJc w:val="left"/>
      <w:pPr>
        <w:tabs>
          <w:tab w:val="num" w:pos="0"/>
        </w:tabs>
      </w:pPr>
      <w:rPr>
        <w:rFonts w:ascii="Arial" w:hAnsi="Arial" w:cs="Arial"/>
        <w:sz w:val="24"/>
        <w:szCs w:val="24"/>
      </w:rPr>
    </w:lvl>
    <w:lvl w:ilvl="6">
      <w:start w:val="1"/>
      <w:numFmt w:val="decimal"/>
      <w:lvlText w:val="%7."/>
      <w:lvlJc w:val="left"/>
      <w:pPr>
        <w:tabs>
          <w:tab w:val="num" w:pos="0"/>
        </w:tabs>
      </w:pPr>
      <w:rPr>
        <w:rFonts w:ascii="Arial" w:hAnsi="Arial" w:cs="Arial"/>
        <w:sz w:val="24"/>
        <w:szCs w:val="24"/>
      </w:rPr>
    </w:lvl>
    <w:lvl w:ilvl="7">
      <w:start w:val="1"/>
      <w:numFmt w:val="decimal"/>
      <w:lvlText w:val="%8."/>
      <w:lvlJc w:val="left"/>
      <w:pPr>
        <w:tabs>
          <w:tab w:val="num" w:pos="0"/>
        </w:tabs>
      </w:pPr>
      <w:rPr>
        <w:rFonts w:ascii="Arial" w:hAnsi="Arial" w:cs="Arial"/>
        <w:sz w:val="24"/>
        <w:szCs w:val="24"/>
      </w:rPr>
    </w:lvl>
    <w:lvl w:ilvl="8">
      <w:start w:val="1"/>
      <w:numFmt w:val="decimal"/>
      <w:lvlText w:val="%9."/>
      <w:lvlJc w:val="left"/>
      <w:pPr>
        <w:tabs>
          <w:tab w:val="num" w:pos="0"/>
        </w:tabs>
      </w:pPr>
      <w:rPr>
        <w:rFonts w:ascii="Arial" w:hAnsi="Arial" w:cs="Arial"/>
        <w:sz w:val="24"/>
        <w:szCs w:val="24"/>
      </w:rPr>
    </w:lvl>
  </w:abstractNum>
  <w:abstractNum w:abstractNumId="1" w15:restartNumberingAfterBreak="0">
    <w:nsid w:val="0075376A"/>
    <w:multiLevelType w:val="hybridMultilevel"/>
    <w:tmpl w:val="3804824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 w15:restartNumberingAfterBreak="0">
    <w:nsid w:val="020A6F92"/>
    <w:multiLevelType w:val="hybridMultilevel"/>
    <w:tmpl w:val="17A2065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 w15:restartNumberingAfterBreak="0">
    <w:nsid w:val="054C76A6"/>
    <w:multiLevelType w:val="hybridMultilevel"/>
    <w:tmpl w:val="37C6304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 w15:restartNumberingAfterBreak="0">
    <w:nsid w:val="06051913"/>
    <w:multiLevelType w:val="hybridMultilevel"/>
    <w:tmpl w:val="36BAE3F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 w15:restartNumberingAfterBreak="0">
    <w:nsid w:val="0A44715E"/>
    <w:multiLevelType w:val="hybridMultilevel"/>
    <w:tmpl w:val="05D8828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 w15:restartNumberingAfterBreak="0">
    <w:nsid w:val="0B642C8B"/>
    <w:multiLevelType w:val="multilevel"/>
    <w:tmpl w:val="E7BA539E"/>
    <w:lvl w:ilvl="0">
      <w:start w:val="1"/>
      <w:numFmt w:val="decimal"/>
      <w:lvlText w:val="%1."/>
      <w:lvlJc w:val="left"/>
      <w:pPr>
        <w:ind w:left="284" w:hanging="284"/>
      </w:pPr>
      <w:rPr>
        <w:rFonts w:hint="default"/>
      </w:rPr>
    </w:lvl>
    <w:lvl w:ilvl="1">
      <w:start w:val="1"/>
      <w:numFmt w:val="decimal"/>
      <w:isLgl/>
      <w:lvlText w:val="%1.%2."/>
      <w:lvlJc w:val="left"/>
      <w:pPr>
        <w:ind w:left="0" w:firstLine="0"/>
      </w:pPr>
      <w:rPr>
        <w:rFonts w:ascii="Book Antiqua" w:hAnsi="Book Antiqua"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7" w15:restartNumberingAfterBreak="0">
    <w:nsid w:val="0EE21794"/>
    <w:multiLevelType w:val="multilevel"/>
    <w:tmpl w:val="6304152E"/>
    <w:lvl w:ilvl="0">
      <w:start w:val="1"/>
      <w:numFmt w:val="bullet"/>
      <w:lvlText w:val=""/>
      <w:lvlJc w:val="left"/>
      <w:pPr>
        <w:tabs>
          <w:tab w:val="num" w:pos="0"/>
        </w:tabs>
        <w:ind w:left="780" w:hanging="360"/>
      </w:pPr>
      <w:rPr>
        <w:rFonts w:ascii="Symbol" w:hAnsi="Symbol" w:cs="Symbol" w:hint="default"/>
      </w:rPr>
    </w:lvl>
    <w:lvl w:ilvl="1">
      <w:start w:val="1"/>
      <w:numFmt w:val="bullet"/>
      <w:lvlText w:val="o"/>
      <w:lvlJc w:val="left"/>
      <w:pPr>
        <w:tabs>
          <w:tab w:val="num" w:pos="0"/>
        </w:tabs>
        <w:ind w:left="1500" w:hanging="360"/>
      </w:pPr>
      <w:rPr>
        <w:rFonts w:ascii="Courier New" w:hAnsi="Courier New" w:cs="Courier New" w:hint="default"/>
      </w:rPr>
    </w:lvl>
    <w:lvl w:ilvl="2">
      <w:start w:val="1"/>
      <w:numFmt w:val="bullet"/>
      <w:lvlText w:val=""/>
      <w:lvlJc w:val="left"/>
      <w:pPr>
        <w:tabs>
          <w:tab w:val="num" w:pos="0"/>
        </w:tabs>
        <w:ind w:left="2220" w:hanging="360"/>
      </w:pPr>
      <w:rPr>
        <w:rFonts w:ascii="Wingdings" w:hAnsi="Wingdings" w:cs="Wingdings" w:hint="default"/>
      </w:rPr>
    </w:lvl>
    <w:lvl w:ilvl="3">
      <w:start w:val="1"/>
      <w:numFmt w:val="bullet"/>
      <w:lvlText w:val=""/>
      <w:lvlJc w:val="left"/>
      <w:pPr>
        <w:tabs>
          <w:tab w:val="num" w:pos="0"/>
        </w:tabs>
        <w:ind w:left="2940" w:hanging="360"/>
      </w:pPr>
      <w:rPr>
        <w:rFonts w:ascii="Symbol" w:hAnsi="Symbol" w:cs="Symbol" w:hint="default"/>
      </w:rPr>
    </w:lvl>
    <w:lvl w:ilvl="4">
      <w:start w:val="1"/>
      <w:numFmt w:val="bullet"/>
      <w:lvlText w:val="o"/>
      <w:lvlJc w:val="left"/>
      <w:pPr>
        <w:tabs>
          <w:tab w:val="num" w:pos="0"/>
        </w:tabs>
        <w:ind w:left="3660" w:hanging="360"/>
      </w:pPr>
      <w:rPr>
        <w:rFonts w:ascii="Courier New" w:hAnsi="Courier New" w:cs="Courier New" w:hint="default"/>
      </w:rPr>
    </w:lvl>
    <w:lvl w:ilvl="5">
      <w:start w:val="1"/>
      <w:numFmt w:val="bullet"/>
      <w:lvlText w:val=""/>
      <w:lvlJc w:val="left"/>
      <w:pPr>
        <w:tabs>
          <w:tab w:val="num" w:pos="0"/>
        </w:tabs>
        <w:ind w:left="4380" w:hanging="360"/>
      </w:pPr>
      <w:rPr>
        <w:rFonts w:ascii="Wingdings" w:hAnsi="Wingdings" w:cs="Wingdings" w:hint="default"/>
      </w:rPr>
    </w:lvl>
    <w:lvl w:ilvl="6">
      <w:start w:val="1"/>
      <w:numFmt w:val="bullet"/>
      <w:lvlText w:val=""/>
      <w:lvlJc w:val="left"/>
      <w:pPr>
        <w:tabs>
          <w:tab w:val="num" w:pos="0"/>
        </w:tabs>
        <w:ind w:left="5100" w:hanging="360"/>
      </w:pPr>
      <w:rPr>
        <w:rFonts w:ascii="Symbol" w:hAnsi="Symbol" w:cs="Symbol" w:hint="default"/>
      </w:rPr>
    </w:lvl>
    <w:lvl w:ilvl="7">
      <w:start w:val="1"/>
      <w:numFmt w:val="bullet"/>
      <w:lvlText w:val="o"/>
      <w:lvlJc w:val="left"/>
      <w:pPr>
        <w:tabs>
          <w:tab w:val="num" w:pos="0"/>
        </w:tabs>
        <w:ind w:left="5820" w:hanging="360"/>
      </w:pPr>
      <w:rPr>
        <w:rFonts w:ascii="Courier New" w:hAnsi="Courier New" w:cs="Courier New" w:hint="default"/>
      </w:rPr>
    </w:lvl>
    <w:lvl w:ilvl="8">
      <w:start w:val="1"/>
      <w:numFmt w:val="bullet"/>
      <w:lvlText w:val=""/>
      <w:lvlJc w:val="left"/>
      <w:pPr>
        <w:tabs>
          <w:tab w:val="num" w:pos="0"/>
        </w:tabs>
        <w:ind w:left="6540" w:hanging="360"/>
      </w:pPr>
      <w:rPr>
        <w:rFonts w:ascii="Wingdings" w:hAnsi="Wingdings" w:cs="Wingdings" w:hint="default"/>
      </w:rPr>
    </w:lvl>
  </w:abstractNum>
  <w:abstractNum w:abstractNumId="8" w15:restartNumberingAfterBreak="0">
    <w:nsid w:val="10262C9B"/>
    <w:multiLevelType w:val="hybridMultilevel"/>
    <w:tmpl w:val="F634D3B8"/>
    <w:lvl w:ilvl="0" w:tplc="140A000B">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 w15:restartNumberingAfterBreak="0">
    <w:nsid w:val="112C6C95"/>
    <w:multiLevelType w:val="multilevel"/>
    <w:tmpl w:val="1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12B024A3"/>
    <w:multiLevelType w:val="hybridMultilevel"/>
    <w:tmpl w:val="8B16738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1" w15:restartNumberingAfterBreak="0">
    <w:nsid w:val="163775FC"/>
    <w:multiLevelType w:val="hybridMultilevel"/>
    <w:tmpl w:val="1E260C6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2" w15:restartNumberingAfterBreak="0">
    <w:nsid w:val="17943941"/>
    <w:multiLevelType w:val="multilevel"/>
    <w:tmpl w:val="70FE46CE"/>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13" w15:restartNumberingAfterBreak="0">
    <w:nsid w:val="17CA50C8"/>
    <w:multiLevelType w:val="multilevel"/>
    <w:tmpl w:val="B5E46050"/>
    <w:lvl w:ilvl="0">
      <w:start w:val="9"/>
      <w:numFmt w:val="decimal"/>
      <w:lvlText w:val="%1"/>
      <w:lvlJc w:val="left"/>
      <w:pPr>
        <w:ind w:left="420" w:hanging="420"/>
      </w:pPr>
      <w:rPr>
        <w:rFonts w:hint="default"/>
      </w:rPr>
    </w:lvl>
    <w:lvl w:ilvl="1">
      <w:start w:val="12"/>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4" w15:restartNumberingAfterBreak="0">
    <w:nsid w:val="18A075B5"/>
    <w:multiLevelType w:val="multilevel"/>
    <w:tmpl w:val="3794AA5C"/>
    <w:lvl w:ilvl="0">
      <w:start w:val="2"/>
      <w:numFmt w:val="decimal"/>
      <w:lvlText w:val="%1."/>
      <w:lvlJc w:val="left"/>
      <w:pPr>
        <w:ind w:left="360" w:hanging="360"/>
      </w:pPr>
      <w:rPr>
        <w:rFonts w:hint="default"/>
      </w:rPr>
    </w:lvl>
    <w:lvl w:ilvl="1">
      <w:start w:val="1"/>
      <w:numFmt w:val="decimal"/>
      <w:lvlText w:val="%1.%2."/>
      <w:lvlJc w:val="left"/>
      <w:pPr>
        <w:ind w:left="113" w:firstLine="0"/>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 w15:restartNumberingAfterBreak="0">
    <w:nsid w:val="1A542E57"/>
    <w:multiLevelType w:val="multilevel"/>
    <w:tmpl w:val="DF347718"/>
    <w:lvl w:ilvl="0">
      <w:start w:val="4"/>
      <w:numFmt w:val="decimal"/>
      <w:lvlText w:val="%1."/>
      <w:lvlJc w:val="left"/>
      <w:pPr>
        <w:tabs>
          <w:tab w:val="num" w:pos="0"/>
        </w:tabs>
        <w:ind w:left="360" w:hanging="360"/>
      </w:pPr>
      <w:rPr>
        <w:b/>
        <w:i w:val="0"/>
      </w:rPr>
    </w:lvl>
    <w:lvl w:ilvl="1">
      <w:start w:val="1"/>
      <w:numFmt w:val="decimal"/>
      <w:lvlText w:val="%1.%2."/>
      <w:lvlJc w:val="left"/>
      <w:pPr>
        <w:tabs>
          <w:tab w:val="num" w:pos="0"/>
        </w:tabs>
        <w:ind w:left="720" w:hanging="720"/>
      </w:pPr>
      <w:rPr>
        <w:b/>
        <w:bCs/>
        <w:i w:val="0"/>
      </w:rPr>
    </w:lvl>
    <w:lvl w:ilvl="2">
      <w:start w:val="1"/>
      <w:numFmt w:val="decimal"/>
      <w:lvlText w:val="%1.%2.%3."/>
      <w:lvlJc w:val="left"/>
      <w:pPr>
        <w:tabs>
          <w:tab w:val="num" w:pos="0"/>
        </w:tabs>
        <w:ind w:left="720" w:hanging="720"/>
      </w:pPr>
      <w:rPr>
        <w:b/>
        <w:i w:val="0"/>
      </w:rPr>
    </w:lvl>
    <w:lvl w:ilvl="3">
      <w:start w:val="1"/>
      <w:numFmt w:val="decimal"/>
      <w:lvlText w:val="%1.%2.%3.%4."/>
      <w:lvlJc w:val="left"/>
      <w:pPr>
        <w:tabs>
          <w:tab w:val="num" w:pos="0"/>
        </w:tabs>
        <w:ind w:left="1080" w:hanging="1080"/>
      </w:pPr>
      <w:rPr>
        <w:b/>
        <w:i w:val="0"/>
      </w:rPr>
    </w:lvl>
    <w:lvl w:ilvl="4">
      <w:start w:val="1"/>
      <w:numFmt w:val="decimal"/>
      <w:lvlText w:val="%1.%2.%3.%4.%5."/>
      <w:lvlJc w:val="left"/>
      <w:pPr>
        <w:tabs>
          <w:tab w:val="num" w:pos="0"/>
        </w:tabs>
        <w:ind w:left="1080" w:hanging="1080"/>
      </w:pPr>
      <w:rPr>
        <w:b/>
        <w:i w:val="0"/>
      </w:rPr>
    </w:lvl>
    <w:lvl w:ilvl="5">
      <w:start w:val="1"/>
      <w:numFmt w:val="decimal"/>
      <w:lvlText w:val="%1.%2.%3.%4.%5.%6."/>
      <w:lvlJc w:val="left"/>
      <w:pPr>
        <w:tabs>
          <w:tab w:val="num" w:pos="0"/>
        </w:tabs>
        <w:ind w:left="1440" w:hanging="1440"/>
      </w:pPr>
      <w:rPr>
        <w:b/>
        <w:i w:val="0"/>
      </w:rPr>
    </w:lvl>
    <w:lvl w:ilvl="6">
      <w:start w:val="1"/>
      <w:numFmt w:val="decimal"/>
      <w:lvlText w:val="%1.%2.%3.%4.%5.%6.%7."/>
      <w:lvlJc w:val="left"/>
      <w:pPr>
        <w:tabs>
          <w:tab w:val="num" w:pos="0"/>
        </w:tabs>
        <w:ind w:left="1440" w:hanging="1440"/>
      </w:pPr>
      <w:rPr>
        <w:b/>
        <w:i w:val="0"/>
      </w:rPr>
    </w:lvl>
    <w:lvl w:ilvl="7">
      <w:start w:val="1"/>
      <w:numFmt w:val="decimal"/>
      <w:lvlText w:val="%1.%2.%3.%4.%5.%6.%7.%8."/>
      <w:lvlJc w:val="left"/>
      <w:pPr>
        <w:tabs>
          <w:tab w:val="num" w:pos="0"/>
        </w:tabs>
        <w:ind w:left="1800" w:hanging="1800"/>
      </w:pPr>
      <w:rPr>
        <w:b/>
        <w:i w:val="0"/>
      </w:rPr>
    </w:lvl>
    <w:lvl w:ilvl="8">
      <w:start w:val="1"/>
      <w:numFmt w:val="decimal"/>
      <w:lvlText w:val="%1.%2.%3.%4.%5.%6.%7.%8.%9."/>
      <w:lvlJc w:val="left"/>
      <w:pPr>
        <w:tabs>
          <w:tab w:val="num" w:pos="0"/>
        </w:tabs>
        <w:ind w:left="2160" w:hanging="2160"/>
      </w:pPr>
      <w:rPr>
        <w:b/>
        <w:i w:val="0"/>
      </w:rPr>
    </w:lvl>
  </w:abstractNum>
  <w:abstractNum w:abstractNumId="16" w15:restartNumberingAfterBreak="0">
    <w:nsid w:val="1A7A68B4"/>
    <w:multiLevelType w:val="hybridMultilevel"/>
    <w:tmpl w:val="27F661D0"/>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7" w15:restartNumberingAfterBreak="0">
    <w:nsid w:val="1AE27B0A"/>
    <w:multiLevelType w:val="hybridMultilevel"/>
    <w:tmpl w:val="1BF285C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8" w15:restartNumberingAfterBreak="0">
    <w:nsid w:val="1CAA5382"/>
    <w:multiLevelType w:val="hybridMultilevel"/>
    <w:tmpl w:val="CB06551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9" w15:restartNumberingAfterBreak="0">
    <w:nsid w:val="1F431338"/>
    <w:multiLevelType w:val="hybridMultilevel"/>
    <w:tmpl w:val="EF82E5B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0" w15:restartNumberingAfterBreak="0">
    <w:nsid w:val="22BD5A0B"/>
    <w:multiLevelType w:val="hybridMultilevel"/>
    <w:tmpl w:val="2C806EA4"/>
    <w:lvl w:ilvl="0" w:tplc="B0925C12">
      <w:start w:val="1"/>
      <w:numFmt w:val="decimal"/>
      <w:lvlText w:val="1.3.%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1" w15:restartNumberingAfterBreak="0">
    <w:nsid w:val="23B75574"/>
    <w:multiLevelType w:val="hybridMultilevel"/>
    <w:tmpl w:val="CD32720E"/>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2" w15:restartNumberingAfterBreak="0">
    <w:nsid w:val="249C3A49"/>
    <w:multiLevelType w:val="hybridMultilevel"/>
    <w:tmpl w:val="68FAA5C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3" w15:restartNumberingAfterBreak="0">
    <w:nsid w:val="2C8E051D"/>
    <w:multiLevelType w:val="hybridMultilevel"/>
    <w:tmpl w:val="D4B01590"/>
    <w:lvl w:ilvl="0" w:tplc="140A000F">
      <w:start w:val="1"/>
      <w:numFmt w:val="decimal"/>
      <w:lvlText w:val="%1."/>
      <w:lvlJc w:val="left"/>
      <w:pPr>
        <w:ind w:left="1287" w:hanging="360"/>
      </w:pPr>
    </w:lvl>
    <w:lvl w:ilvl="1" w:tplc="140A0019" w:tentative="1">
      <w:start w:val="1"/>
      <w:numFmt w:val="lowerLetter"/>
      <w:lvlText w:val="%2."/>
      <w:lvlJc w:val="left"/>
      <w:pPr>
        <w:ind w:left="2007" w:hanging="360"/>
      </w:pPr>
    </w:lvl>
    <w:lvl w:ilvl="2" w:tplc="140A001B" w:tentative="1">
      <w:start w:val="1"/>
      <w:numFmt w:val="lowerRoman"/>
      <w:lvlText w:val="%3."/>
      <w:lvlJc w:val="right"/>
      <w:pPr>
        <w:ind w:left="2727" w:hanging="180"/>
      </w:pPr>
    </w:lvl>
    <w:lvl w:ilvl="3" w:tplc="140A000F" w:tentative="1">
      <w:start w:val="1"/>
      <w:numFmt w:val="decimal"/>
      <w:lvlText w:val="%4."/>
      <w:lvlJc w:val="left"/>
      <w:pPr>
        <w:ind w:left="3447" w:hanging="360"/>
      </w:pPr>
    </w:lvl>
    <w:lvl w:ilvl="4" w:tplc="140A0019" w:tentative="1">
      <w:start w:val="1"/>
      <w:numFmt w:val="lowerLetter"/>
      <w:lvlText w:val="%5."/>
      <w:lvlJc w:val="left"/>
      <w:pPr>
        <w:ind w:left="4167" w:hanging="360"/>
      </w:pPr>
    </w:lvl>
    <w:lvl w:ilvl="5" w:tplc="140A001B" w:tentative="1">
      <w:start w:val="1"/>
      <w:numFmt w:val="lowerRoman"/>
      <w:lvlText w:val="%6."/>
      <w:lvlJc w:val="right"/>
      <w:pPr>
        <w:ind w:left="4887" w:hanging="180"/>
      </w:pPr>
    </w:lvl>
    <w:lvl w:ilvl="6" w:tplc="140A000F" w:tentative="1">
      <w:start w:val="1"/>
      <w:numFmt w:val="decimal"/>
      <w:lvlText w:val="%7."/>
      <w:lvlJc w:val="left"/>
      <w:pPr>
        <w:ind w:left="5607" w:hanging="360"/>
      </w:pPr>
    </w:lvl>
    <w:lvl w:ilvl="7" w:tplc="140A0019" w:tentative="1">
      <w:start w:val="1"/>
      <w:numFmt w:val="lowerLetter"/>
      <w:lvlText w:val="%8."/>
      <w:lvlJc w:val="left"/>
      <w:pPr>
        <w:ind w:left="6327" w:hanging="360"/>
      </w:pPr>
    </w:lvl>
    <w:lvl w:ilvl="8" w:tplc="140A001B" w:tentative="1">
      <w:start w:val="1"/>
      <w:numFmt w:val="lowerRoman"/>
      <w:lvlText w:val="%9."/>
      <w:lvlJc w:val="right"/>
      <w:pPr>
        <w:ind w:left="7047" w:hanging="180"/>
      </w:pPr>
    </w:lvl>
  </w:abstractNum>
  <w:abstractNum w:abstractNumId="24" w15:restartNumberingAfterBreak="0">
    <w:nsid w:val="2D5A0184"/>
    <w:multiLevelType w:val="multilevel"/>
    <w:tmpl w:val="0BFC297A"/>
    <w:lvl w:ilvl="0">
      <w:start w:val="2"/>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5" w15:restartNumberingAfterBreak="0">
    <w:nsid w:val="2DBB2A92"/>
    <w:multiLevelType w:val="hybridMultilevel"/>
    <w:tmpl w:val="A1326FC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6" w15:restartNumberingAfterBreak="0">
    <w:nsid w:val="2FE35F29"/>
    <w:multiLevelType w:val="multilevel"/>
    <w:tmpl w:val="C700D7F0"/>
    <w:lvl w:ilvl="0">
      <w:start w:val="8"/>
      <w:numFmt w:val="decimal"/>
      <w:lvlText w:val="%1"/>
      <w:lvlJc w:val="left"/>
      <w:pPr>
        <w:ind w:left="360" w:hanging="360"/>
      </w:pPr>
      <w:rPr>
        <w:rFonts w:hint="default"/>
      </w:rPr>
    </w:lvl>
    <w:lvl w:ilvl="1">
      <w:start w:val="1"/>
      <w:numFmt w:val="decimal"/>
      <w:lvlText w:val="%1.%2"/>
      <w:lvlJc w:val="left"/>
      <w:pPr>
        <w:ind w:left="644" w:hanging="360"/>
      </w:pPr>
      <w:rPr>
        <w:rFonts w:hint="default"/>
        <w:b w:val="0"/>
        <w:bCs w:val="0"/>
      </w:rPr>
    </w:lvl>
    <w:lvl w:ilvl="2">
      <w:start w:val="1"/>
      <w:numFmt w:val="decimal"/>
      <w:lvlText w:val="%1.%2.%3"/>
      <w:lvlJc w:val="left"/>
      <w:pPr>
        <w:ind w:left="1288" w:hanging="72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072" w:hanging="1800"/>
      </w:pPr>
      <w:rPr>
        <w:rFonts w:hint="default"/>
      </w:rPr>
    </w:lvl>
  </w:abstractNum>
  <w:abstractNum w:abstractNumId="27" w15:restartNumberingAfterBreak="0">
    <w:nsid w:val="31D20310"/>
    <w:multiLevelType w:val="hybridMultilevel"/>
    <w:tmpl w:val="4EE419D8"/>
    <w:lvl w:ilvl="0" w:tplc="140A0001">
      <w:start w:val="1"/>
      <w:numFmt w:val="bullet"/>
      <w:lvlText w:val=""/>
      <w:lvlJc w:val="left"/>
      <w:pPr>
        <w:ind w:left="780" w:hanging="360"/>
      </w:pPr>
      <w:rPr>
        <w:rFonts w:ascii="Symbol" w:hAnsi="Symbol" w:hint="default"/>
      </w:rPr>
    </w:lvl>
    <w:lvl w:ilvl="1" w:tplc="140A0003" w:tentative="1">
      <w:start w:val="1"/>
      <w:numFmt w:val="bullet"/>
      <w:lvlText w:val="o"/>
      <w:lvlJc w:val="left"/>
      <w:pPr>
        <w:ind w:left="1500" w:hanging="360"/>
      </w:pPr>
      <w:rPr>
        <w:rFonts w:ascii="Courier New" w:hAnsi="Courier New" w:cs="Courier New" w:hint="default"/>
      </w:rPr>
    </w:lvl>
    <w:lvl w:ilvl="2" w:tplc="140A0005" w:tentative="1">
      <w:start w:val="1"/>
      <w:numFmt w:val="bullet"/>
      <w:lvlText w:val=""/>
      <w:lvlJc w:val="left"/>
      <w:pPr>
        <w:ind w:left="2220" w:hanging="360"/>
      </w:pPr>
      <w:rPr>
        <w:rFonts w:ascii="Wingdings" w:hAnsi="Wingdings" w:hint="default"/>
      </w:rPr>
    </w:lvl>
    <w:lvl w:ilvl="3" w:tplc="140A0001" w:tentative="1">
      <w:start w:val="1"/>
      <w:numFmt w:val="bullet"/>
      <w:lvlText w:val=""/>
      <w:lvlJc w:val="left"/>
      <w:pPr>
        <w:ind w:left="2940" w:hanging="360"/>
      </w:pPr>
      <w:rPr>
        <w:rFonts w:ascii="Symbol" w:hAnsi="Symbol" w:hint="default"/>
      </w:rPr>
    </w:lvl>
    <w:lvl w:ilvl="4" w:tplc="140A0003" w:tentative="1">
      <w:start w:val="1"/>
      <w:numFmt w:val="bullet"/>
      <w:lvlText w:val="o"/>
      <w:lvlJc w:val="left"/>
      <w:pPr>
        <w:ind w:left="3660" w:hanging="360"/>
      </w:pPr>
      <w:rPr>
        <w:rFonts w:ascii="Courier New" w:hAnsi="Courier New" w:cs="Courier New" w:hint="default"/>
      </w:rPr>
    </w:lvl>
    <w:lvl w:ilvl="5" w:tplc="140A0005" w:tentative="1">
      <w:start w:val="1"/>
      <w:numFmt w:val="bullet"/>
      <w:lvlText w:val=""/>
      <w:lvlJc w:val="left"/>
      <w:pPr>
        <w:ind w:left="4380" w:hanging="360"/>
      </w:pPr>
      <w:rPr>
        <w:rFonts w:ascii="Wingdings" w:hAnsi="Wingdings" w:hint="default"/>
      </w:rPr>
    </w:lvl>
    <w:lvl w:ilvl="6" w:tplc="140A0001" w:tentative="1">
      <w:start w:val="1"/>
      <w:numFmt w:val="bullet"/>
      <w:lvlText w:val=""/>
      <w:lvlJc w:val="left"/>
      <w:pPr>
        <w:ind w:left="5100" w:hanging="360"/>
      </w:pPr>
      <w:rPr>
        <w:rFonts w:ascii="Symbol" w:hAnsi="Symbol" w:hint="default"/>
      </w:rPr>
    </w:lvl>
    <w:lvl w:ilvl="7" w:tplc="140A0003" w:tentative="1">
      <w:start w:val="1"/>
      <w:numFmt w:val="bullet"/>
      <w:lvlText w:val="o"/>
      <w:lvlJc w:val="left"/>
      <w:pPr>
        <w:ind w:left="5820" w:hanging="360"/>
      </w:pPr>
      <w:rPr>
        <w:rFonts w:ascii="Courier New" w:hAnsi="Courier New" w:cs="Courier New" w:hint="default"/>
      </w:rPr>
    </w:lvl>
    <w:lvl w:ilvl="8" w:tplc="140A0005" w:tentative="1">
      <w:start w:val="1"/>
      <w:numFmt w:val="bullet"/>
      <w:lvlText w:val=""/>
      <w:lvlJc w:val="left"/>
      <w:pPr>
        <w:ind w:left="6540" w:hanging="360"/>
      </w:pPr>
      <w:rPr>
        <w:rFonts w:ascii="Wingdings" w:hAnsi="Wingdings" w:hint="default"/>
      </w:rPr>
    </w:lvl>
  </w:abstractNum>
  <w:abstractNum w:abstractNumId="28" w15:restartNumberingAfterBreak="0">
    <w:nsid w:val="328724DC"/>
    <w:multiLevelType w:val="hybridMultilevel"/>
    <w:tmpl w:val="8752CE56"/>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9" w15:restartNumberingAfterBreak="0">
    <w:nsid w:val="33FB5BB1"/>
    <w:multiLevelType w:val="hybridMultilevel"/>
    <w:tmpl w:val="B8FAD1B8"/>
    <w:lvl w:ilvl="0" w:tplc="140A000F">
      <w:start w:val="1"/>
      <w:numFmt w:val="decimal"/>
      <w:lvlText w:val="%1."/>
      <w:lvlJc w:val="left"/>
      <w:pPr>
        <w:ind w:left="833" w:hanging="360"/>
      </w:pPr>
    </w:lvl>
    <w:lvl w:ilvl="1" w:tplc="140A0019" w:tentative="1">
      <w:start w:val="1"/>
      <w:numFmt w:val="lowerLetter"/>
      <w:lvlText w:val="%2."/>
      <w:lvlJc w:val="left"/>
      <w:pPr>
        <w:ind w:left="1553" w:hanging="360"/>
      </w:pPr>
    </w:lvl>
    <w:lvl w:ilvl="2" w:tplc="140A001B" w:tentative="1">
      <w:start w:val="1"/>
      <w:numFmt w:val="lowerRoman"/>
      <w:lvlText w:val="%3."/>
      <w:lvlJc w:val="right"/>
      <w:pPr>
        <w:ind w:left="2273" w:hanging="180"/>
      </w:pPr>
    </w:lvl>
    <w:lvl w:ilvl="3" w:tplc="140A000F" w:tentative="1">
      <w:start w:val="1"/>
      <w:numFmt w:val="decimal"/>
      <w:lvlText w:val="%4."/>
      <w:lvlJc w:val="left"/>
      <w:pPr>
        <w:ind w:left="2993" w:hanging="360"/>
      </w:pPr>
    </w:lvl>
    <w:lvl w:ilvl="4" w:tplc="140A0019" w:tentative="1">
      <w:start w:val="1"/>
      <w:numFmt w:val="lowerLetter"/>
      <w:lvlText w:val="%5."/>
      <w:lvlJc w:val="left"/>
      <w:pPr>
        <w:ind w:left="3713" w:hanging="360"/>
      </w:pPr>
    </w:lvl>
    <w:lvl w:ilvl="5" w:tplc="140A001B" w:tentative="1">
      <w:start w:val="1"/>
      <w:numFmt w:val="lowerRoman"/>
      <w:lvlText w:val="%6."/>
      <w:lvlJc w:val="right"/>
      <w:pPr>
        <w:ind w:left="4433" w:hanging="180"/>
      </w:pPr>
    </w:lvl>
    <w:lvl w:ilvl="6" w:tplc="140A000F" w:tentative="1">
      <w:start w:val="1"/>
      <w:numFmt w:val="decimal"/>
      <w:lvlText w:val="%7."/>
      <w:lvlJc w:val="left"/>
      <w:pPr>
        <w:ind w:left="5153" w:hanging="360"/>
      </w:pPr>
    </w:lvl>
    <w:lvl w:ilvl="7" w:tplc="140A0019" w:tentative="1">
      <w:start w:val="1"/>
      <w:numFmt w:val="lowerLetter"/>
      <w:lvlText w:val="%8."/>
      <w:lvlJc w:val="left"/>
      <w:pPr>
        <w:ind w:left="5873" w:hanging="360"/>
      </w:pPr>
    </w:lvl>
    <w:lvl w:ilvl="8" w:tplc="140A001B" w:tentative="1">
      <w:start w:val="1"/>
      <w:numFmt w:val="lowerRoman"/>
      <w:lvlText w:val="%9."/>
      <w:lvlJc w:val="right"/>
      <w:pPr>
        <w:ind w:left="6593" w:hanging="180"/>
      </w:pPr>
    </w:lvl>
  </w:abstractNum>
  <w:abstractNum w:abstractNumId="30" w15:restartNumberingAfterBreak="0">
    <w:nsid w:val="371F51BC"/>
    <w:multiLevelType w:val="multilevel"/>
    <w:tmpl w:val="BD06072A"/>
    <w:lvl w:ilvl="0">
      <w:start w:val="1"/>
      <w:numFmt w:val="decimal"/>
      <w:lvlText w:val="%1."/>
      <w:lvlJc w:val="left"/>
      <w:pPr>
        <w:ind w:left="360" w:hanging="360"/>
      </w:pPr>
      <w:rPr>
        <w:rFonts w:hint="default"/>
      </w:rPr>
    </w:lvl>
    <w:lvl w:ilvl="1">
      <w:start w:val="1"/>
      <w:numFmt w:val="decimal"/>
      <w:lvlText w:val="%1.%2."/>
      <w:lvlJc w:val="left"/>
      <w:pPr>
        <w:ind w:left="113" w:firstLine="0"/>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1" w15:restartNumberingAfterBreak="0">
    <w:nsid w:val="3734172A"/>
    <w:multiLevelType w:val="multilevel"/>
    <w:tmpl w:val="F61063AA"/>
    <w:lvl w:ilvl="0">
      <w:start w:val="1"/>
      <w:numFmt w:val="decimal"/>
      <w:lvlText w:val="%1."/>
      <w:lvlJc w:val="left"/>
      <w:pPr>
        <w:ind w:left="450" w:hanging="450"/>
      </w:pPr>
      <w:rPr>
        <w:rFonts w:hint="default"/>
      </w:rPr>
    </w:lvl>
    <w:lvl w:ilvl="1">
      <w:start w:val="1"/>
      <w:numFmt w:val="decimal"/>
      <w:pStyle w:val="Estilo3"/>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32" w15:restartNumberingAfterBreak="0">
    <w:nsid w:val="3B4037CE"/>
    <w:multiLevelType w:val="hybridMultilevel"/>
    <w:tmpl w:val="A522AB82"/>
    <w:lvl w:ilvl="0" w:tplc="3D429B62">
      <w:start w:val="1"/>
      <w:numFmt w:val="upperLetter"/>
      <w:lvlText w:val="%1."/>
      <w:lvlJc w:val="left"/>
      <w:pPr>
        <w:ind w:left="720" w:hanging="360"/>
      </w:pPr>
      <w:rPr>
        <w:rFonts w:hint="default"/>
        <w:b/>
        <w:i w:val="0"/>
        <w:color w:val="auto"/>
        <w:sz w:val="24"/>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3" w15:restartNumberingAfterBreak="0">
    <w:nsid w:val="43AE1997"/>
    <w:multiLevelType w:val="multilevel"/>
    <w:tmpl w:val="C84EE7FA"/>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4" w15:restartNumberingAfterBreak="0">
    <w:nsid w:val="44EE21FF"/>
    <w:multiLevelType w:val="hybridMultilevel"/>
    <w:tmpl w:val="DD78FD8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5" w15:restartNumberingAfterBreak="0">
    <w:nsid w:val="44F40F01"/>
    <w:multiLevelType w:val="hybridMultilevel"/>
    <w:tmpl w:val="77009A6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6" w15:restartNumberingAfterBreak="0">
    <w:nsid w:val="45242973"/>
    <w:multiLevelType w:val="hybridMultilevel"/>
    <w:tmpl w:val="D9F646C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7" w15:restartNumberingAfterBreak="0">
    <w:nsid w:val="4BB34C74"/>
    <w:multiLevelType w:val="multilevel"/>
    <w:tmpl w:val="9E967548"/>
    <w:lvl w:ilvl="0">
      <w:start w:val="9"/>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38" w15:restartNumberingAfterBreak="0">
    <w:nsid w:val="4E9454B0"/>
    <w:multiLevelType w:val="multilevel"/>
    <w:tmpl w:val="3BACC8A8"/>
    <w:lvl w:ilvl="0">
      <w:start w:val="4"/>
      <w:numFmt w:val="decimal"/>
      <w:lvlText w:val="%1."/>
      <w:lvlJc w:val="left"/>
      <w:pPr>
        <w:ind w:left="360" w:hanging="360"/>
      </w:pPr>
      <w:rPr>
        <w:rFonts w:hint="default"/>
        <w:b/>
        <w:i w:val="0"/>
      </w:rPr>
    </w:lvl>
    <w:lvl w:ilvl="1">
      <w:start w:val="1"/>
      <w:numFmt w:val="decimal"/>
      <w:lvlText w:val="%1.%2."/>
      <w:lvlJc w:val="left"/>
      <w:pPr>
        <w:ind w:left="720" w:hanging="720"/>
      </w:pPr>
      <w:rPr>
        <w:rFonts w:ascii="Book Antiqua" w:hAnsi="Book Antiqua" w:hint="default"/>
        <w:b/>
        <w:bCs/>
        <w:i w:val="0"/>
      </w:rPr>
    </w:lvl>
    <w:lvl w:ilvl="2">
      <w:start w:val="1"/>
      <w:numFmt w:val="decimal"/>
      <w:lvlText w:val="%1.%2.%3."/>
      <w:lvlJc w:val="left"/>
      <w:pPr>
        <w:ind w:left="720" w:hanging="720"/>
      </w:pPr>
      <w:rPr>
        <w:rFonts w:hint="default"/>
        <w:b/>
        <w:i w:val="0"/>
      </w:rPr>
    </w:lvl>
    <w:lvl w:ilvl="3">
      <w:start w:val="1"/>
      <w:numFmt w:val="decimal"/>
      <w:lvlText w:val="%1.%2.%3.%4."/>
      <w:lvlJc w:val="left"/>
      <w:pPr>
        <w:ind w:left="1080" w:hanging="1080"/>
      </w:pPr>
      <w:rPr>
        <w:rFonts w:hint="default"/>
        <w:b/>
        <w:i w:val="0"/>
      </w:rPr>
    </w:lvl>
    <w:lvl w:ilvl="4">
      <w:start w:val="1"/>
      <w:numFmt w:val="decimal"/>
      <w:lvlText w:val="%1.%2.%3.%4.%5."/>
      <w:lvlJc w:val="left"/>
      <w:pPr>
        <w:ind w:left="1080" w:hanging="1080"/>
      </w:pPr>
      <w:rPr>
        <w:rFonts w:hint="default"/>
        <w:b/>
        <w:i w:val="0"/>
      </w:rPr>
    </w:lvl>
    <w:lvl w:ilvl="5">
      <w:start w:val="1"/>
      <w:numFmt w:val="decimal"/>
      <w:lvlText w:val="%1.%2.%3.%4.%5.%6."/>
      <w:lvlJc w:val="left"/>
      <w:pPr>
        <w:ind w:left="1440" w:hanging="1440"/>
      </w:pPr>
      <w:rPr>
        <w:rFonts w:hint="default"/>
        <w:b/>
        <w:i w:val="0"/>
      </w:rPr>
    </w:lvl>
    <w:lvl w:ilvl="6">
      <w:start w:val="1"/>
      <w:numFmt w:val="decimal"/>
      <w:lvlText w:val="%1.%2.%3.%4.%5.%6.%7."/>
      <w:lvlJc w:val="left"/>
      <w:pPr>
        <w:ind w:left="1440" w:hanging="1440"/>
      </w:pPr>
      <w:rPr>
        <w:rFonts w:hint="default"/>
        <w:b/>
        <w:i w:val="0"/>
      </w:rPr>
    </w:lvl>
    <w:lvl w:ilvl="7">
      <w:start w:val="1"/>
      <w:numFmt w:val="decimal"/>
      <w:lvlText w:val="%1.%2.%3.%4.%5.%6.%7.%8."/>
      <w:lvlJc w:val="left"/>
      <w:pPr>
        <w:ind w:left="1800" w:hanging="1800"/>
      </w:pPr>
      <w:rPr>
        <w:rFonts w:hint="default"/>
        <w:b/>
        <w:i w:val="0"/>
      </w:rPr>
    </w:lvl>
    <w:lvl w:ilvl="8">
      <w:start w:val="1"/>
      <w:numFmt w:val="decimal"/>
      <w:lvlText w:val="%1.%2.%3.%4.%5.%6.%7.%8.%9."/>
      <w:lvlJc w:val="left"/>
      <w:pPr>
        <w:ind w:left="2160" w:hanging="2160"/>
      </w:pPr>
      <w:rPr>
        <w:rFonts w:hint="default"/>
        <w:b/>
        <w:i w:val="0"/>
      </w:rPr>
    </w:lvl>
  </w:abstractNum>
  <w:abstractNum w:abstractNumId="39" w15:restartNumberingAfterBreak="0">
    <w:nsid w:val="4F3614BF"/>
    <w:multiLevelType w:val="hybridMultilevel"/>
    <w:tmpl w:val="184C7BEE"/>
    <w:lvl w:ilvl="0" w:tplc="140A0001">
      <w:start w:val="1"/>
      <w:numFmt w:val="bullet"/>
      <w:lvlText w:val=""/>
      <w:lvlJc w:val="left"/>
      <w:pPr>
        <w:ind w:left="1440" w:hanging="360"/>
      </w:pPr>
      <w:rPr>
        <w:rFonts w:ascii="Symbol" w:hAnsi="Symbol" w:hint="default"/>
      </w:rPr>
    </w:lvl>
    <w:lvl w:ilvl="1" w:tplc="140A0003" w:tentative="1">
      <w:start w:val="1"/>
      <w:numFmt w:val="bullet"/>
      <w:lvlText w:val="o"/>
      <w:lvlJc w:val="left"/>
      <w:pPr>
        <w:ind w:left="2160" w:hanging="360"/>
      </w:pPr>
      <w:rPr>
        <w:rFonts w:ascii="Courier New" w:hAnsi="Courier New" w:cs="Courier New" w:hint="default"/>
      </w:rPr>
    </w:lvl>
    <w:lvl w:ilvl="2" w:tplc="140A0005" w:tentative="1">
      <w:start w:val="1"/>
      <w:numFmt w:val="bullet"/>
      <w:lvlText w:val=""/>
      <w:lvlJc w:val="left"/>
      <w:pPr>
        <w:ind w:left="2880" w:hanging="360"/>
      </w:pPr>
      <w:rPr>
        <w:rFonts w:ascii="Wingdings" w:hAnsi="Wingdings" w:hint="default"/>
      </w:rPr>
    </w:lvl>
    <w:lvl w:ilvl="3" w:tplc="140A0001" w:tentative="1">
      <w:start w:val="1"/>
      <w:numFmt w:val="bullet"/>
      <w:lvlText w:val=""/>
      <w:lvlJc w:val="left"/>
      <w:pPr>
        <w:ind w:left="3600" w:hanging="360"/>
      </w:pPr>
      <w:rPr>
        <w:rFonts w:ascii="Symbol" w:hAnsi="Symbol" w:hint="default"/>
      </w:rPr>
    </w:lvl>
    <w:lvl w:ilvl="4" w:tplc="140A0003" w:tentative="1">
      <w:start w:val="1"/>
      <w:numFmt w:val="bullet"/>
      <w:lvlText w:val="o"/>
      <w:lvlJc w:val="left"/>
      <w:pPr>
        <w:ind w:left="4320" w:hanging="360"/>
      </w:pPr>
      <w:rPr>
        <w:rFonts w:ascii="Courier New" w:hAnsi="Courier New" w:cs="Courier New" w:hint="default"/>
      </w:rPr>
    </w:lvl>
    <w:lvl w:ilvl="5" w:tplc="140A0005" w:tentative="1">
      <w:start w:val="1"/>
      <w:numFmt w:val="bullet"/>
      <w:lvlText w:val=""/>
      <w:lvlJc w:val="left"/>
      <w:pPr>
        <w:ind w:left="5040" w:hanging="360"/>
      </w:pPr>
      <w:rPr>
        <w:rFonts w:ascii="Wingdings" w:hAnsi="Wingdings" w:hint="default"/>
      </w:rPr>
    </w:lvl>
    <w:lvl w:ilvl="6" w:tplc="140A0001" w:tentative="1">
      <w:start w:val="1"/>
      <w:numFmt w:val="bullet"/>
      <w:lvlText w:val=""/>
      <w:lvlJc w:val="left"/>
      <w:pPr>
        <w:ind w:left="5760" w:hanging="360"/>
      </w:pPr>
      <w:rPr>
        <w:rFonts w:ascii="Symbol" w:hAnsi="Symbol" w:hint="default"/>
      </w:rPr>
    </w:lvl>
    <w:lvl w:ilvl="7" w:tplc="140A0003" w:tentative="1">
      <w:start w:val="1"/>
      <w:numFmt w:val="bullet"/>
      <w:lvlText w:val="o"/>
      <w:lvlJc w:val="left"/>
      <w:pPr>
        <w:ind w:left="6480" w:hanging="360"/>
      </w:pPr>
      <w:rPr>
        <w:rFonts w:ascii="Courier New" w:hAnsi="Courier New" w:cs="Courier New" w:hint="default"/>
      </w:rPr>
    </w:lvl>
    <w:lvl w:ilvl="8" w:tplc="140A0005" w:tentative="1">
      <w:start w:val="1"/>
      <w:numFmt w:val="bullet"/>
      <w:lvlText w:val=""/>
      <w:lvlJc w:val="left"/>
      <w:pPr>
        <w:ind w:left="7200" w:hanging="360"/>
      </w:pPr>
      <w:rPr>
        <w:rFonts w:ascii="Wingdings" w:hAnsi="Wingdings" w:hint="default"/>
      </w:rPr>
    </w:lvl>
  </w:abstractNum>
  <w:abstractNum w:abstractNumId="40" w15:restartNumberingAfterBreak="0">
    <w:nsid w:val="50BE46D3"/>
    <w:multiLevelType w:val="hybridMultilevel"/>
    <w:tmpl w:val="95E4CAA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1" w15:restartNumberingAfterBreak="0">
    <w:nsid w:val="5132392D"/>
    <w:multiLevelType w:val="hybridMultilevel"/>
    <w:tmpl w:val="8A369CA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2" w15:restartNumberingAfterBreak="0">
    <w:nsid w:val="521545F4"/>
    <w:multiLevelType w:val="hybridMultilevel"/>
    <w:tmpl w:val="B39AC7F8"/>
    <w:lvl w:ilvl="0" w:tplc="140A0001">
      <w:start w:val="1"/>
      <w:numFmt w:val="bullet"/>
      <w:lvlText w:val=""/>
      <w:lvlJc w:val="left"/>
      <w:pPr>
        <w:ind w:left="783" w:hanging="360"/>
      </w:pPr>
      <w:rPr>
        <w:rFonts w:ascii="Symbol" w:hAnsi="Symbol" w:hint="default"/>
      </w:rPr>
    </w:lvl>
    <w:lvl w:ilvl="1" w:tplc="140A0003" w:tentative="1">
      <w:start w:val="1"/>
      <w:numFmt w:val="bullet"/>
      <w:lvlText w:val="o"/>
      <w:lvlJc w:val="left"/>
      <w:pPr>
        <w:ind w:left="1503" w:hanging="360"/>
      </w:pPr>
      <w:rPr>
        <w:rFonts w:ascii="Courier New" w:hAnsi="Courier New" w:cs="Courier New" w:hint="default"/>
      </w:rPr>
    </w:lvl>
    <w:lvl w:ilvl="2" w:tplc="140A0005" w:tentative="1">
      <w:start w:val="1"/>
      <w:numFmt w:val="bullet"/>
      <w:lvlText w:val=""/>
      <w:lvlJc w:val="left"/>
      <w:pPr>
        <w:ind w:left="2223" w:hanging="360"/>
      </w:pPr>
      <w:rPr>
        <w:rFonts w:ascii="Wingdings" w:hAnsi="Wingdings" w:hint="default"/>
      </w:rPr>
    </w:lvl>
    <w:lvl w:ilvl="3" w:tplc="140A0001" w:tentative="1">
      <w:start w:val="1"/>
      <w:numFmt w:val="bullet"/>
      <w:lvlText w:val=""/>
      <w:lvlJc w:val="left"/>
      <w:pPr>
        <w:ind w:left="2943" w:hanging="360"/>
      </w:pPr>
      <w:rPr>
        <w:rFonts w:ascii="Symbol" w:hAnsi="Symbol" w:hint="default"/>
      </w:rPr>
    </w:lvl>
    <w:lvl w:ilvl="4" w:tplc="140A0003" w:tentative="1">
      <w:start w:val="1"/>
      <w:numFmt w:val="bullet"/>
      <w:lvlText w:val="o"/>
      <w:lvlJc w:val="left"/>
      <w:pPr>
        <w:ind w:left="3663" w:hanging="360"/>
      </w:pPr>
      <w:rPr>
        <w:rFonts w:ascii="Courier New" w:hAnsi="Courier New" w:cs="Courier New" w:hint="default"/>
      </w:rPr>
    </w:lvl>
    <w:lvl w:ilvl="5" w:tplc="140A0005" w:tentative="1">
      <w:start w:val="1"/>
      <w:numFmt w:val="bullet"/>
      <w:lvlText w:val=""/>
      <w:lvlJc w:val="left"/>
      <w:pPr>
        <w:ind w:left="4383" w:hanging="360"/>
      </w:pPr>
      <w:rPr>
        <w:rFonts w:ascii="Wingdings" w:hAnsi="Wingdings" w:hint="default"/>
      </w:rPr>
    </w:lvl>
    <w:lvl w:ilvl="6" w:tplc="140A0001" w:tentative="1">
      <w:start w:val="1"/>
      <w:numFmt w:val="bullet"/>
      <w:lvlText w:val=""/>
      <w:lvlJc w:val="left"/>
      <w:pPr>
        <w:ind w:left="5103" w:hanging="360"/>
      </w:pPr>
      <w:rPr>
        <w:rFonts w:ascii="Symbol" w:hAnsi="Symbol" w:hint="default"/>
      </w:rPr>
    </w:lvl>
    <w:lvl w:ilvl="7" w:tplc="140A0003" w:tentative="1">
      <w:start w:val="1"/>
      <w:numFmt w:val="bullet"/>
      <w:lvlText w:val="o"/>
      <w:lvlJc w:val="left"/>
      <w:pPr>
        <w:ind w:left="5823" w:hanging="360"/>
      </w:pPr>
      <w:rPr>
        <w:rFonts w:ascii="Courier New" w:hAnsi="Courier New" w:cs="Courier New" w:hint="default"/>
      </w:rPr>
    </w:lvl>
    <w:lvl w:ilvl="8" w:tplc="140A0005" w:tentative="1">
      <w:start w:val="1"/>
      <w:numFmt w:val="bullet"/>
      <w:lvlText w:val=""/>
      <w:lvlJc w:val="left"/>
      <w:pPr>
        <w:ind w:left="6543" w:hanging="360"/>
      </w:pPr>
      <w:rPr>
        <w:rFonts w:ascii="Wingdings" w:hAnsi="Wingdings" w:hint="default"/>
      </w:rPr>
    </w:lvl>
  </w:abstractNum>
  <w:abstractNum w:abstractNumId="43" w15:restartNumberingAfterBreak="0">
    <w:nsid w:val="53AC3CD1"/>
    <w:multiLevelType w:val="hybridMultilevel"/>
    <w:tmpl w:val="D382D0EA"/>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4" w15:restartNumberingAfterBreak="0">
    <w:nsid w:val="55F72AC3"/>
    <w:multiLevelType w:val="hybridMultilevel"/>
    <w:tmpl w:val="4E4AFFCE"/>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5" w15:restartNumberingAfterBreak="0">
    <w:nsid w:val="56694F2A"/>
    <w:multiLevelType w:val="hybridMultilevel"/>
    <w:tmpl w:val="A2FE8ECC"/>
    <w:lvl w:ilvl="0" w:tplc="B0925C12">
      <w:start w:val="1"/>
      <w:numFmt w:val="decimal"/>
      <w:lvlText w:val="1.3.%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6" w15:restartNumberingAfterBreak="0">
    <w:nsid w:val="56D15C1B"/>
    <w:multiLevelType w:val="hybridMultilevel"/>
    <w:tmpl w:val="A97EBAA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7" w15:restartNumberingAfterBreak="0">
    <w:nsid w:val="580F0CDD"/>
    <w:multiLevelType w:val="multilevel"/>
    <w:tmpl w:val="3C3AD94A"/>
    <w:lvl w:ilvl="0">
      <w:start w:val="1"/>
      <w:numFmt w:val="decimal"/>
      <w:lvlText w:val="%1."/>
      <w:lvlJc w:val="left"/>
      <w:pPr>
        <w:ind w:left="360" w:hanging="360"/>
      </w:pPr>
      <w:rPr>
        <w:rFonts w:hint="default"/>
        <w:b/>
        <w:i w:val="0"/>
      </w:rPr>
    </w:lvl>
    <w:lvl w:ilvl="1">
      <w:start w:val="1"/>
      <w:numFmt w:val="decimal"/>
      <w:lvlText w:val="%1.%2."/>
      <w:lvlJc w:val="left"/>
      <w:pPr>
        <w:ind w:left="720" w:hanging="720"/>
      </w:pPr>
      <w:rPr>
        <w:rFonts w:hint="default"/>
        <w:b/>
        <w:i w:val="0"/>
      </w:rPr>
    </w:lvl>
    <w:lvl w:ilvl="2">
      <w:start w:val="1"/>
      <w:numFmt w:val="decimal"/>
      <w:lvlText w:val="%1.%2.%3."/>
      <w:lvlJc w:val="left"/>
      <w:pPr>
        <w:ind w:left="720" w:hanging="720"/>
      </w:pPr>
      <w:rPr>
        <w:rFonts w:hint="default"/>
        <w:b/>
        <w:i w:val="0"/>
      </w:rPr>
    </w:lvl>
    <w:lvl w:ilvl="3">
      <w:start w:val="1"/>
      <w:numFmt w:val="decimal"/>
      <w:lvlText w:val="%1.%2.%3.%4."/>
      <w:lvlJc w:val="left"/>
      <w:pPr>
        <w:ind w:left="1080" w:hanging="1080"/>
      </w:pPr>
      <w:rPr>
        <w:rFonts w:hint="default"/>
        <w:b/>
        <w:i w:val="0"/>
      </w:rPr>
    </w:lvl>
    <w:lvl w:ilvl="4">
      <w:start w:val="1"/>
      <w:numFmt w:val="decimal"/>
      <w:lvlText w:val="%1.%2.%3.%4.%5."/>
      <w:lvlJc w:val="left"/>
      <w:pPr>
        <w:ind w:left="1080" w:hanging="1080"/>
      </w:pPr>
      <w:rPr>
        <w:rFonts w:hint="default"/>
        <w:b/>
        <w:i w:val="0"/>
      </w:rPr>
    </w:lvl>
    <w:lvl w:ilvl="5">
      <w:start w:val="1"/>
      <w:numFmt w:val="decimal"/>
      <w:lvlText w:val="%1.%2.%3.%4.%5.%6."/>
      <w:lvlJc w:val="left"/>
      <w:pPr>
        <w:ind w:left="1440" w:hanging="1440"/>
      </w:pPr>
      <w:rPr>
        <w:rFonts w:hint="default"/>
        <w:b/>
        <w:i w:val="0"/>
      </w:rPr>
    </w:lvl>
    <w:lvl w:ilvl="6">
      <w:start w:val="1"/>
      <w:numFmt w:val="decimal"/>
      <w:lvlText w:val="%1.%2.%3.%4.%5.%6.%7."/>
      <w:lvlJc w:val="left"/>
      <w:pPr>
        <w:ind w:left="1440" w:hanging="1440"/>
      </w:pPr>
      <w:rPr>
        <w:rFonts w:hint="default"/>
        <w:b/>
        <w:i w:val="0"/>
      </w:rPr>
    </w:lvl>
    <w:lvl w:ilvl="7">
      <w:start w:val="1"/>
      <w:numFmt w:val="decimal"/>
      <w:lvlText w:val="%1.%2.%3.%4.%5.%6.%7.%8."/>
      <w:lvlJc w:val="left"/>
      <w:pPr>
        <w:ind w:left="1800" w:hanging="1800"/>
      </w:pPr>
      <w:rPr>
        <w:rFonts w:hint="default"/>
        <w:b/>
        <w:i w:val="0"/>
      </w:rPr>
    </w:lvl>
    <w:lvl w:ilvl="8">
      <w:start w:val="1"/>
      <w:numFmt w:val="decimal"/>
      <w:lvlText w:val="%1.%2.%3.%4.%5.%6.%7.%8.%9."/>
      <w:lvlJc w:val="left"/>
      <w:pPr>
        <w:ind w:left="2160" w:hanging="2160"/>
      </w:pPr>
      <w:rPr>
        <w:rFonts w:hint="default"/>
        <w:b/>
        <w:i w:val="0"/>
      </w:rPr>
    </w:lvl>
  </w:abstractNum>
  <w:abstractNum w:abstractNumId="48" w15:restartNumberingAfterBreak="0">
    <w:nsid w:val="59972C38"/>
    <w:multiLevelType w:val="hybridMultilevel"/>
    <w:tmpl w:val="2916AFC0"/>
    <w:lvl w:ilvl="0" w:tplc="140A000F">
      <w:start w:val="1"/>
      <w:numFmt w:val="decimal"/>
      <w:lvlText w:val="%1."/>
      <w:lvlJc w:val="left"/>
      <w:pPr>
        <w:ind w:left="720" w:hanging="360"/>
      </w:pPr>
    </w:lvl>
    <w:lvl w:ilvl="1" w:tplc="140A0019">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9" w15:restartNumberingAfterBreak="0">
    <w:nsid w:val="5A3A19F1"/>
    <w:multiLevelType w:val="hybridMultilevel"/>
    <w:tmpl w:val="B86E005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0" w15:restartNumberingAfterBreak="0">
    <w:nsid w:val="5B824119"/>
    <w:multiLevelType w:val="hybridMultilevel"/>
    <w:tmpl w:val="24A67544"/>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1" w15:restartNumberingAfterBreak="0">
    <w:nsid w:val="62D2641D"/>
    <w:multiLevelType w:val="hybridMultilevel"/>
    <w:tmpl w:val="E19EEB6E"/>
    <w:lvl w:ilvl="0" w:tplc="140A0001">
      <w:start w:val="1"/>
      <w:numFmt w:val="bullet"/>
      <w:lvlText w:val=""/>
      <w:lvlJc w:val="left"/>
      <w:pPr>
        <w:ind w:left="1440" w:hanging="360"/>
      </w:pPr>
      <w:rPr>
        <w:rFonts w:ascii="Symbol" w:hAnsi="Symbol" w:hint="default"/>
      </w:rPr>
    </w:lvl>
    <w:lvl w:ilvl="1" w:tplc="140A0003">
      <w:start w:val="1"/>
      <w:numFmt w:val="bullet"/>
      <w:lvlText w:val="o"/>
      <w:lvlJc w:val="left"/>
      <w:pPr>
        <w:ind w:left="2160" w:hanging="360"/>
      </w:pPr>
      <w:rPr>
        <w:rFonts w:ascii="Courier New" w:hAnsi="Courier New" w:cs="Courier New" w:hint="default"/>
      </w:rPr>
    </w:lvl>
    <w:lvl w:ilvl="2" w:tplc="140A0005" w:tentative="1">
      <w:start w:val="1"/>
      <w:numFmt w:val="bullet"/>
      <w:lvlText w:val=""/>
      <w:lvlJc w:val="left"/>
      <w:pPr>
        <w:ind w:left="2880" w:hanging="360"/>
      </w:pPr>
      <w:rPr>
        <w:rFonts w:ascii="Wingdings" w:hAnsi="Wingdings" w:hint="default"/>
      </w:rPr>
    </w:lvl>
    <w:lvl w:ilvl="3" w:tplc="140A0001" w:tentative="1">
      <w:start w:val="1"/>
      <w:numFmt w:val="bullet"/>
      <w:lvlText w:val=""/>
      <w:lvlJc w:val="left"/>
      <w:pPr>
        <w:ind w:left="3600" w:hanging="360"/>
      </w:pPr>
      <w:rPr>
        <w:rFonts w:ascii="Symbol" w:hAnsi="Symbol" w:hint="default"/>
      </w:rPr>
    </w:lvl>
    <w:lvl w:ilvl="4" w:tplc="140A0003" w:tentative="1">
      <w:start w:val="1"/>
      <w:numFmt w:val="bullet"/>
      <w:lvlText w:val="o"/>
      <w:lvlJc w:val="left"/>
      <w:pPr>
        <w:ind w:left="4320" w:hanging="360"/>
      </w:pPr>
      <w:rPr>
        <w:rFonts w:ascii="Courier New" w:hAnsi="Courier New" w:cs="Courier New" w:hint="default"/>
      </w:rPr>
    </w:lvl>
    <w:lvl w:ilvl="5" w:tplc="140A0005" w:tentative="1">
      <w:start w:val="1"/>
      <w:numFmt w:val="bullet"/>
      <w:lvlText w:val=""/>
      <w:lvlJc w:val="left"/>
      <w:pPr>
        <w:ind w:left="5040" w:hanging="360"/>
      </w:pPr>
      <w:rPr>
        <w:rFonts w:ascii="Wingdings" w:hAnsi="Wingdings" w:hint="default"/>
      </w:rPr>
    </w:lvl>
    <w:lvl w:ilvl="6" w:tplc="140A0001" w:tentative="1">
      <w:start w:val="1"/>
      <w:numFmt w:val="bullet"/>
      <w:lvlText w:val=""/>
      <w:lvlJc w:val="left"/>
      <w:pPr>
        <w:ind w:left="5760" w:hanging="360"/>
      </w:pPr>
      <w:rPr>
        <w:rFonts w:ascii="Symbol" w:hAnsi="Symbol" w:hint="default"/>
      </w:rPr>
    </w:lvl>
    <w:lvl w:ilvl="7" w:tplc="140A0003" w:tentative="1">
      <w:start w:val="1"/>
      <w:numFmt w:val="bullet"/>
      <w:lvlText w:val="o"/>
      <w:lvlJc w:val="left"/>
      <w:pPr>
        <w:ind w:left="6480" w:hanging="360"/>
      </w:pPr>
      <w:rPr>
        <w:rFonts w:ascii="Courier New" w:hAnsi="Courier New" w:cs="Courier New" w:hint="default"/>
      </w:rPr>
    </w:lvl>
    <w:lvl w:ilvl="8" w:tplc="140A0005" w:tentative="1">
      <w:start w:val="1"/>
      <w:numFmt w:val="bullet"/>
      <w:lvlText w:val=""/>
      <w:lvlJc w:val="left"/>
      <w:pPr>
        <w:ind w:left="7200" w:hanging="360"/>
      </w:pPr>
      <w:rPr>
        <w:rFonts w:ascii="Wingdings" w:hAnsi="Wingdings" w:hint="default"/>
      </w:rPr>
    </w:lvl>
  </w:abstractNum>
  <w:abstractNum w:abstractNumId="52" w15:restartNumberingAfterBreak="0">
    <w:nsid w:val="63C96C1A"/>
    <w:multiLevelType w:val="hybridMultilevel"/>
    <w:tmpl w:val="CA14048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3" w15:restartNumberingAfterBreak="0">
    <w:nsid w:val="65315FE9"/>
    <w:multiLevelType w:val="multilevel"/>
    <w:tmpl w:val="731A24A8"/>
    <w:lvl w:ilvl="0">
      <w:start w:val="1"/>
      <w:numFmt w:val="bullet"/>
      <w:lvlText w:val=""/>
      <w:lvlJc w:val="left"/>
      <w:pPr>
        <w:tabs>
          <w:tab w:val="num" w:pos="294"/>
        </w:tabs>
        <w:ind w:left="294" w:hanging="360"/>
      </w:pPr>
      <w:rPr>
        <w:rFonts w:ascii="Symbol" w:hAnsi="Symbol" w:hint="default"/>
        <w:sz w:val="20"/>
      </w:rPr>
    </w:lvl>
    <w:lvl w:ilvl="1" w:tentative="1">
      <w:start w:val="1"/>
      <w:numFmt w:val="bullet"/>
      <w:lvlText w:val=""/>
      <w:lvlJc w:val="left"/>
      <w:pPr>
        <w:tabs>
          <w:tab w:val="num" w:pos="1014"/>
        </w:tabs>
        <w:ind w:left="1014" w:hanging="360"/>
      </w:pPr>
      <w:rPr>
        <w:rFonts w:ascii="Symbol" w:hAnsi="Symbol" w:hint="default"/>
        <w:sz w:val="20"/>
      </w:rPr>
    </w:lvl>
    <w:lvl w:ilvl="2" w:tentative="1">
      <w:start w:val="1"/>
      <w:numFmt w:val="bullet"/>
      <w:lvlText w:val=""/>
      <w:lvlJc w:val="left"/>
      <w:pPr>
        <w:tabs>
          <w:tab w:val="num" w:pos="1734"/>
        </w:tabs>
        <w:ind w:left="1734" w:hanging="360"/>
      </w:pPr>
      <w:rPr>
        <w:rFonts w:ascii="Symbol" w:hAnsi="Symbol" w:hint="default"/>
        <w:sz w:val="20"/>
      </w:rPr>
    </w:lvl>
    <w:lvl w:ilvl="3" w:tentative="1">
      <w:start w:val="1"/>
      <w:numFmt w:val="bullet"/>
      <w:lvlText w:val=""/>
      <w:lvlJc w:val="left"/>
      <w:pPr>
        <w:tabs>
          <w:tab w:val="num" w:pos="2454"/>
        </w:tabs>
        <w:ind w:left="2454" w:hanging="360"/>
      </w:pPr>
      <w:rPr>
        <w:rFonts w:ascii="Symbol" w:hAnsi="Symbol" w:hint="default"/>
        <w:sz w:val="20"/>
      </w:rPr>
    </w:lvl>
    <w:lvl w:ilvl="4" w:tentative="1">
      <w:start w:val="1"/>
      <w:numFmt w:val="bullet"/>
      <w:lvlText w:val=""/>
      <w:lvlJc w:val="left"/>
      <w:pPr>
        <w:tabs>
          <w:tab w:val="num" w:pos="3174"/>
        </w:tabs>
        <w:ind w:left="3174" w:hanging="360"/>
      </w:pPr>
      <w:rPr>
        <w:rFonts w:ascii="Symbol" w:hAnsi="Symbol" w:hint="default"/>
        <w:sz w:val="20"/>
      </w:rPr>
    </w:lvl>
    <w:lvl w:ilvl="5" w:tentative="1">
      <w:start w:val="1"/>
      <w:numFmt w:val="bullet"/>
      <w:lvlText w:val=""/>
      <w:lvlJc w:val="left"/>
      <w:pPr>
        <w:tabs>
          <w:tab w:val="num" w:pos="3894"/>
        </w:tabs>
        <w:ind w:left="3894" w:hanging="360"/>
      </w:pPr>
      <w:rPr>
        <w:rFonts w:ascii="Symbol" w:hAnsi="Symbol" w:hint="default"/>
        <w:sz w:val="20"/>
      </w:rPr>
    </w:lvl>
    <w:lvl w:ilvl="6" w:tentative="1">
      <w:start w:val="1"/>
      <w:numFmt w:val="bullet"/>
      <w:lvlText w:val=""/>
      <w:lvlJc w:val="left"/>
      <w:pPr>
        <w:tabs>
          <w:tab w:val="num" w:pos="4614"/>
        </w:tabs>
        <w:ind w:left="4614" w:hanging="360"/>
      </w:pPr>
      <w:rPr>
        <w:rFonts w:ascii="Symbol" w:hAnsi="Symbol" w:hint="default"/>
        <w:sz w:val="20"/>
      </w:rPr>
    </w:lvl>
    <w:lvl w:ilvl="7" w:tentative="1">
      <w:start w:val="1"/>
      <w:numFmt w:val="bullet"/>
      <w:lvlText w:val=""/>
      <w:lvlJc w:val="left"/>
      <w:pPr>
        <w:tabs>
          <w:tab w:val="num" w:pos="5334"/>
        </w:tabs>
        <w:ind w:left="5334" w:hanging="360"/>
      </w:pPr>
      <w:rPr>
        <w:rFonts w:ascii="Symbol" w:hAnsi="Symbol" w:hint="default"/>
        <w:sz w:val="20"/>
      </w:rPr>
    </w:lvl>
    <w:lvl w:ilvl="8" w:tentative="1">
      <w:start w:val="1"/>
      <w:numFmt w:val="bullet"/>
      <w:lvlText w:val=""/>
      <w:lvlJc w:val="left"/>
      <w:pPr>
        <w:tabs>
          <w:tab w:val="num" w:pos="6054"/>
        </w:tabs>
        <w:ind w:left="6054" w:hanging="360"/>
      </w:pPr>
      <w:rPr>
        <w:rFonts w:ascii="Symbol" w:hAnsi="Symbol" w:hint="default"/>
        <w:sz w:val="20"/>
      </w:rPr>
    </w:lvl>
  </w:abstractNum>
  <w:abstractNum w:abstractNumId="54" w15:restartNumberingAfterBreak="0">
    <w:nsid w:val="659547D6"/>
    <w:multiLevelType w:val="hybridMultilevel"/>
    <w:tmpl w:val="39B07C3E"/>
    <w:lvl w:ilvl="0" w:tplc="140A0001">
      <w:start w:val="1"/>
      <w:numFmt w:val="bullet"/>
      <w:lvlText w:val=""/>
      <w:lvlJc w:val="left"/>
      <w:pPr>
        <w:ind w:left="1440" w:hanging="360"/>
      </w:pPr>
      <w:rPr>
        <w:rFonts w:ascii="Symbol" w:hAnsi="Symbol" w:hint="default"/>
      </w:rPr>
    </w:lvl>
    <w:lvl w:ilvl="1" w:tplc="140A0003" w:tentative="1">
      <w:start w:val="1"/>
      <w:numFmt w:val="bullet"/>
      <w:lvlText w:val="o"/>
      <w:lvlJc w:val="left"/>
      <w:pPr>
        <w:ind w:left="2160" w:hanging="360"/>
      </w:pPr>
      <w:rPr>
        <w:rFonts w:ascii="Courier New" w:hAnsi="Courier New" w:cs="Courier New" w:hint="default"/>
      </w:rPr>
    </w:lvl>
    <w:lvl w:ilvl="2" w:tplc="140A0005" w:tentative="1">
      <w:start w:val="1"/>
      <w:numFmt w:val="bullet"/>
      <w:lvlText w:val=""/>
      <w:lvlJc w:val="left"/>
      <w:pPr>
        <w:ind w:left="2880" w:hanging="360"/>
      </w:pPr>
      <w:rPr>
        <w:rFonts w:ascii="Wingdings" w:hAnsi="Wingdings" w:hint="default"/>
      </w:rPr>
    </w:lvl>
    <w:lvl w:ilvl="3" w:tplc="140A0001" w:tentative="1">
      <w:start w:val="1"/>
      <w:numFmt w:val="bullet"/>
      <w:lvlText w:val=""/>
      <w:lvlJc w:val="left"/>
      <w:pPr>
        <w:ind w:left="3600" w:hanging="360"/>
      </w:pPr>
      <w:rPr>
        <w:rFonts w:ascii="Symbol" w:hAnsi="Symbol" w:hint="default"/>
      </w:rPr>
    </w:lvl>
    <w:lvl w:ilvl="4" w:tplc="140A0003" w:tentative="1">
      <w:start w:val="1"/>
      <w:numFmt w:val="bullet"/>
      <w:lvlText w:val="o"/>
      <w:lvlJc w:val="left"/>
      <w:pPr>
        <w:ind w:left="4320" w:hanging="360"/>
      </w:pPr>
      <w:rPr>
        <w:rFonts w:ascii="Courier New" w:hAnsi="Courier New" w:cs="Courier New" w:hint="default"/>
      </w:rPr>
    </w:lvl>
    <w:lvl w:ilvl="5" w:tplc="140A0005" w:tentative="1">
      <w:start w:val="1"/>
      <w:numFmt w:val="bullet"/>
      <w:lvlText w:val=""/>
      <w:lvlJc w:val="left"/>
      <w:pPr>
        <w:ind w:left="5040" w:hanging="360"/>
      </w:pPr>
      <w:rPr>
        <w:rFonts w:ascii="Wingdings" w:hAnsi="Wingdings" w:hint="default"/>
      </w:rPr>
    </w:lvl>
    <w:lvl w:ilvl="6" w:tplc="140A0001" w:tentative="1">
      <w:start w:val="1"/>
      <w:numFmt w:val="bullet"/>
      <w:lvlText w:val=""/>
      <w:lvlJc w:val="left"/>
      <w:pPr>
        <w:ind w:left="5760" w:hanging="360"/>
      </w:pPr>
      <w:rPr>
        <w:rFonts w:ascii="Symbol" w:hAnsi="Symbol" w:hint="default"/>
      </w:rPr>
    </w:lvl>
    <w:lvl w:ilvl="7" w:tplc="140A0003" w:tentative="1">
      <w:start w:val="1"/>
      <w:numFmt w:val="bullet"/>
      <w:lvlText w:val="o"/>
      <w:lvlJc w:val="left"/>
      <w:pPr>
        <w:ind w:left="6480" w:hanging="360"/>
      </w:pPr>
      <w:rPr>
        <w:rFonts w:ascii="Courier New" w:hAnsi="Courier New" w:cs="Courier New" w:hint="default"/>
      </w:rPr>
    </w:lvl>
    <w:lvl w:ilvl="8" w:tplc="140A0005" w:tentative="1">
      <w:start w:val="1"/>
      <w:numFmt w:val="bullet"/>
      <w:lvlText w:val=""/>
      <w:lvlJc w:val="left"/>
      <w:pPr>
        <w:ind w:left="7200" w:hanging="360"/>
      </w:pPr>
      <w:rPr>
        <w:rFonts w:ascii="Wingdings" w:hAnsi="Wingdings" w:hint="default"/>
      </w:rPr>
    </w:lvl>
  </w:abstractNum>
  <w:abstractNum w:abstractNumId="55" w15:restartNumberingAfterBreak="0">
    <w:nsid w:val="6AB030A6"/>
    <w:multiLevelType w:val="hybridMultilevel"/>
    <w:tmpl w:val="24E24076"/>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6" w15:restartNumberingAfterBreak="0">
    <w:nsid w:val="6AE75B4C"/>
    <w:multiLevelType w:val="hybridMultilevel"/>
    <w:tmpl w:val="A970D152"/>
    <w:lvl w:ilvl="0" w:tplc="0B60D0B2">
      <w:start w:val="2"/>
      <w:numFmt w:val="upperRoman"/>
      <w:lvlText w:val="%1."/>
      <w:lvlJc w:val="left"/>
      <w:pPr>
        <w:ind w:left="1080" w:hanging="720"/>
      </w:pPr>
    </w:lvl>
    <w:lvl w:ilvl="1" w:tplc="AD10ABC2">
      <w:start w:val="1"/>
      <w:numFmt w:val="decimal"/>
      <w:lvlText w:val="%2."/>
      <w:lvlJc w:val="left"/>
      <w:pPr>
        <w:tabs>
          <w:tab w:val="num" w:pos="1440"/>
        </w:tabs>
        <w:ind w:left="1440" w:hanging="360"/>
      </w:pPr>
      <w:rPr>
        <w:b/>
      </w:rPr>
    </w:lvl>
    <w:lvl w:ilvl="2" w:tplc="140A001B">
      <w:start w:val="1"/>
      <w:numFmt w:val="decimal"/>
      <w:lvlText w:val="%3."/>
      <w:lvlJc w:val="left"/>
      <w:pPr>
        <w:tabs>
          <w:tab w:val="num" w:pos="2160"/>
        </w:tabs>
        <w:ind w:left="2160" w:hanging="360"/>
      </w:pPr>
    </w:lvl>
    <w:lvl w:ilvl="3" w:tplc="140A000F">
      <w:start w:val="1"/>
      <w:numFmt w:val="decimal"/>
      <w:lvlText w:val="%4."/>
      <w:lvlJc w:val="left"/>
      <w:pPr>
        <w:tabs>
          <w:tab w:val="num" w:pos="2880"/>
        </w:tabs>
        <w:ind w:left="2880" w:hanging="360"/>
      </w:pPr>
    </w:lvl>
    <w:lvl w:ilvl="4" w:tplc="140A0019">
      <w:start w:val="1"/>
      <w:numFmt w:val="decimal"/>
      <w:lvlText w:val="%5."/>
      <w:lvlJc w:val="left"/>
      <w:pPr>
        <w:tabs>
          <w:tab w:val="num" w:pos="3600"/>
        </w:tabs>
        <w:ind w:left="3600" w:hanging="360"/>
      </w:pPr>
    </w:lvl>
    <w:lvl w:ilvl="5" w:tplc="140A001B">
      <w:start w:val="1"/>
      <w:numFmt w:val="decimal"/>
      <w:lvlText w:val="%6."/>
      <w:lvlJc w:val="left"/>
      <w:pPr>
        <w:tabs>
          <w:tab w:val="num" w:pos="4320"/>
        </w:tabs>
        <w:ind w:left="4320" w:hanging="360"/>
      </w:pPr>
    </w:lvl>
    <w:lvl w:ilvl="6" w:tplc="140A000F">
      <w:start w:val="1"/>
      <w:numFmt w:val="decimal"/>
      <w:lvlText w:val="%7."/>
      <w:lvlJc w:val="left"/>
      <w:pPr>
        <w:tabs>
          <w:tab w:val="num" w:pos="5040"/>
        </w:tabs>
        <w:ind w:left="5040" w:hanging="360"/>
      </w:pPr>
    </w:lvl>
    <w:lvl w:ilvl="7" w:tplc="140A0019">
      <w:start w:val="1"/>
      <w:numFmt w:val="decimal"/>
      <w:lvlText w:val="%8."/>
      <w:lvlJc w:val="left"/>
      <w:pPr>
        <w:tabs>
          <w:tab w:val="num" w:pos="5760"/>
        </w:tabs>
        <w:ind w:left="5760" w:hanging="360"/>
      </w:pPr>
    </w:lvl>
    <w:lvl w:ilvl="8" w:tplc="140A001B">
      <w:start w:val="1"/>
      <w:numFmt w:val="decimal"/>
      <w:lvlText w:val="%9."/>
      <w:lvlJc w:val="left"/>
      <w:pPr>
        <w:tabs>
          <w:tab w:val="num" w:pos="6480"/>
        </w:tabs>
        <w:ind w:left="6480" w:hanging="360"/>
      </w:pPr>
    </w:lvl>
  </w:abstractNum>
  <w:abstractNum w:abstractNumId="57" w15:restartNumberingAfterBreak="0">
    <w:nsid w:val="6E3B142D"/>
    <w:multiLevelType w:val="hybridMultilevel"/>
    <w:tmpl w:val="8E92013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8" w15:restartNumberingAfterBreak="0">
    <w:nsid w:val="711D47EE"/>
    <w:multiLevelType w:val="hybridMultilevel"/>
    <w:tmpl w:val="6600A2B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9" w15:restartNumberingAfterBreak="0">
    <w:nsid w:val="72F44C8F"/>
    <w:multiLevelType w:val="hybridMultilevel"/>
    <w:tmpl w:val="B41417B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0" w15:restartNumberingAfterBreak="0">
    <w:nsid w:val="74F21C7F"/>
    <w:multiLevelType w:val="hybridMultilevel"/>
    <w:tmpl w:val="D5245F49"/>
    <w:lvl w:ilvl="0" w:tplc="FFFFFFFF">
      <w:start w:val="1"/>
      <w:numFmt w:val="lowerLetter"/>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1" w15:restartNumberingAfterBreak="0">
    <w:nsid w:val="777771D0"/>
    <w:multiLevelType w:val="hybridMultilevel"/>
    <w:tmpl w:val="A6E8B0EE"/>
    <w:lvl w:ilvl="0" w:tplc="B900A808">
      <w:start w:val="1"/>
      <w:numFmt w:val="decimal"/>
      <w:suff w:val="space"/>
      <w:lvlText w:val="%1."/>
      <w:lvlJc w:val="left"/>
      <w:pPr>
        <w:ind w:left="0" w:firstLine="0"/>
      </w:pPr>
      <w:rPr>
        <w:rFonts w:hint="default"/>
        <w:b/>
        <w:i w:val="0"/>
      </w:rPr>
    </w:lvl>
    <w:lvl w:ilvl="1" w:tplc="140A0019">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62" w15:restartNumberingAfterBreak="0">
    <w:nsid w:val="786E5D86"/>
    <w:multiLevelType w:val="multilevel"/>
    <w:tmpl w:val="BD06072A"/>
    <w:lvl w:ilvl="0">
      <w:start w:val="1"/>
      <w:numFmt w:val="decimal"/>
      <w:lvlText w:val="%1."/>
      <w:lvlJc w:val="left"/>
      <w:pPr>
        <w:ind w:left="360" w:hanging="360"/>
      </w:pPr>
      <w:rPr>
        <w:rFonts w:hint="default"/>
      </w:rPr>
    </w:lvl>
    <w:lvl w:ilvl="1">
      <w:start w:val="1"/>
      <w:numFmt w:val="decimal"/>
      <w:lvlText w:val="%1.%2."/>
      <w:lvlJc w:val="left"/>
      <w:pPr>
        <w:ind w:left="113" w:firstLine="0"/>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3" w15:restartNumberingAfterBreak="0">
    <w:nsid w:val="7A740309"/>
    <w:multiLevelType w:val="hybridMultilevel"/>
    <w:tmpl w:val="5C9C297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4" w15:restartNumberingAfterBreak="0">
    <w:nsid w:val="7EB82C44"/>
    <w:multiLevelType w:val="multilevel"/>
    <w:tmpl w:val="E332960E"/>
    <w:lvl w:ilvl="0">
      <w:start w:val="1"/>
      <w:numFmt w:val="decimal"/>
      <w:lvlText w:val="%1."/>
      <w:lvlJc w:val="left"/>
      <w:pPr>
        <w:tabs>
          <w:tab w:val="num" w:pos="0"/>
        </w:tabs>
        <w:ind w:left="284" w:hanging="284"/>
      </w:pPr>
    </w:lvl>
    <w:lvl w:ilvl="1">
      <w:start w:val="1"/>
      <w:numFmt w:val="decimal"/>
      <w:lvlText w:val="%1.%2."/>
      <w:lvlJc w:val="left"/>
      <w:pPr>
        <w:tabs>
          <w:tab w:val="num" w:pos="0"/>
        </w:tabs>
        <w:ind w:left="0" w:firstLine="0"/>
      </w:pPr>
    </w:lvl>
    <w:lvl w:ilvl="2">
      <w:start w:val="1"/>
      <w:numFmt w:val="decimal"/>
      <w:lvlText w:val="%1.%2.%3."/>
      <w:lvlJc w:val="left"/>
      <w:pPr>
        <w:tabs>
          <w:tab w:val="num" w:pos="0"/>
        </w:tabs>
        <w:ind w:left="720" w:hanging="720"/>
      </w:pPr>
    </w:lvl>
    <w:lvl w:ilvl="3">
      <w:start w:val="1"/>
      <w:numFmt w:val="decimal"/>
      <w:lvlText w:val="%1.%2.%3.%4."/>
      <w:lvlJc w:val="left"/>
      <w:pPr>
        <w:tabs>
          <w:tab w:val="num" w:pos="0"/>
        </w:tabs>
        <w:ind w:left="1080" w:hanging="1080"/>
      </w:pPr>
    </w:lvl>
    <w:lvl w:ilvl="4">
      <w:start w:val="1"/>
      <w:numFmt w:val="decimal"/>
      <w:lvlText w:val="%1.%2.%3.%4.%5."/>
      <w:lvlJc w:val="left"/>
      <w:pPr>
        <w:tabs>
          <w:tab w:val="num" w:pos="0"/>
        </w:tabs>
        <w:ind w:left="1080" w:hanging="1080"/>
      </w:pPr>
    </w:lvl>
    <w:lvl w:ilvl="5">
      <w:start w:val="1"/>
      <w:numFmt w:val="decimal"/>
      <w:lvlText w:val="%1.%2.%3.%4.%5.%6."/>
      <w:lvlJc w:val="left"/>
      <w:pPr>
        <w:tabs>
          <w:tab w:val="num" w:pos="0"/>
        </w:tabs>
        <w:ind w:left="1440" w:hanging="1440"/>
      </w:pPr>
    </w:lvl>
    <w:lvl w:ilvl="6">
      <w:start w:val="1"/>
      <w:numFmt w:val="decimal"/>
      <w:lvlText w:val="%1.%2.%3.%4.%5.%6.%7."/>
      <w:lvlJc w:val="left"/>
      <w:pPr>
        <w:tabs>
          <w:tab w:val="num" w:pos="0"/>
        </w:tabs>
        <w:ind w:left="1440" w:hanging="1440"/>
      </w:pPr>
    </w:lvl>
    <w:lvl w:ilvl="7">
      <w:start w:val="1"/>
      <w:numFmt w:val="decimal"/>
      <w:lvlText w:val="%1.%2.%3.%4.%5.%6.%7.%8."/>
      <w:lvlJc w:val="left"/>
      <w:pPr>
        <w:tabs>
          <w:tab w:val="num" w:pos="0"/>
        </w:tabs>
        <w:ind w:left="1800" w:hanging="1800"/>
      </w:pPr>
    </w:lvl>
    <w:lvl w:ilvl="8">
      <w:start w:val="1"/>
      <w:numFmt w:val="decimal"/>
      <w:lvlText w:val="%1.%2.%3.%4.%5.%6.%7.%8.%9."/>
      <w:lvlJc w:val="left"/>
      <w:pPr>
        <w:tabs>
          <w:tab w:val="num" w:pos="0"/>
        </w:tabs>
        <w:ind w:left="2160" w:hanging="2160"/>
      </w:pPr>
    </w:lvl>
  </w:abstractNum>
  <w:num w:numId="1" w16cid:durableId="90470079">
    <w:abstractNumId w:val="53"/>
  </w:num>
  <w:num w:numId="2" w16cid:durableId="1970626028">
    <w:abstractNumId w:val="24"/>
  </w:num>
  <w:num w:numId="3" w16cid:durableId="637418878">
    <w:abstractNumId w:val="6"/>
  </w:num>
  <w:num w:numId="4" w16cid:durableId="1769811499">
    <w:abstractNumId w:val="8"/>
  </w:num>
  <w:num w:numId="5" w16cid:durableId="637227349">
    <w:abstractNumId w:val="61"/>
  </w:num>
  <w:num w:numId="6" w16cid:durableId="939098006">
    <w:abstractNumId w:val="30"/>
  </w:num>
  <w:num w:numId="7" w16cid:durableId="1516729942">
    <w:abstractNumId w:val="10"/>
  </w:num>
  <w:num w:numId="8" w16cid:durableId="815954307">
    <w:abstractNumId w:val="17"/>
  </w:num>
  <w:num w:numId="9" w16cid:durableId="1126703515">
    <w:abstractNumId w:val="63"/>
  </w:num>
  <w:num w:numId="10" w16cid:durableId="601574426">
    <w:abstractNumId w:val="59"/>
  </w:num>
  <w:num w:numId="11" w16cid:durableId="1372534333">
    <w:abstractNumId w:val="52"/>
  </w:num>
  <w:num w:numId="12" w16cid:durableId="261839168">
    <w:abstractNumId w:val="11"/>
  </w:num>
  <w:num w:numId="13" w16cid:durableId="807934741">
    <w:abstractNumId w:val="29"/>
  </w:num>
  <w:num w:numId="14" w16cid:durableId="710034744">
    <w:abstractNumId w:val="14"/>
  </w:num>
  <w:num w:numId="15" w16cid:durableId="5331686">
    <w:abstractNumId w:val="5"/>
  </w:num>
  <w:num w:numId="16" w16cid:durableId="753891808">
    <w:abstractNumId w:val="47"/>
  </w:num>
  <w:num w:numId="17" w16cid:durableId="1032000613">
    <w:abstractNumId w:val="46"/>
  </w:num>
  <w:num w:numId="18" w16cid:durableId="716978828">
    <w:abstractNumId w:val="27"/>
  </w:num>
  <w:num w:numId="19" w16cid:durableId="777942464">
    <w:abstractNumId w:val="62"/>
  </w:num>
  <w:num w:numId="20" w16cid:durableId="239675319">
    <w:abstractNumId w:val="22"/>
  </w:num>
  <w:num w:numId="21" w16cid:durableId="918320626">
    <w:abstractNumId w:val="31"/>
  </w:num>
  <w:num w:numId="22" w16cid:durableId="780760777">
    <w:abstractNumId w:val="32"/>
  </w:num>
  <w:num w:numId="23" w16cid:durableId="1087701019">
    <w:abstractNumId w:val="1"/>
  </w:num>
  <w:num w:numId="24" w16cid:durableId="570695794">
    <w:abstractNumId w:val="34"/>
  </w:num>
  <w:num w:numId="25" w16cid:durableId="108207837">
    <w:abstractNumId w:val="25"/>
  </w:num>
  <w:num w:numId="26" w16cid:durableId="1718047228">
    <w:abstractNumId w:val="38"/>
  </w:num>
  <w:num w:numId="27" w16cid:durableId="492991601">
    <w:abstractNumId w:val="19"/>
  </w:num>
  <w:num w:numId="28" w16cid:durableId="116920845">
    <w:abstractNumId w:val="18"/>
  </w:num>
  <w:num w:numId="29" w16cid:durableId="1061978109">
    <w:abstractNumId w:val="36"/>
  </w:num>
  <w:num w:numId="30" w16cid:durableId="2138450970">
    <w:abstractNumId w:val="42"/>
  </w:num>
  <w:num w:numId="31" w16cid:durableId="1503541830">
    <w:abstractNumId w:val="49"/>
  </w:num>
  <w:num w:numId="32" w16cid:durableId="2047174586">
    <w:abstractNumId w:val="3"/>
  </w:num>
  <w:num w:numId="33" w16cid:durableId="1263294271">
    <w:abstractNumId w:val="28"/>
  </w:num>
  <w:num w:numId="34" w16cid:durableId="1169710399">
    <w:abstractNumId w:val="57"/>
  </w:num>
  <w:num w:numId="35" w16cid:durableId="1823963438">
    <w:abstractNumId w:val="43"/>
  </w:num>
  <w:num w:numId="36" w16cid:durableId="1547138688">
    <w:abstractNumId w:val="56"/>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1697999057">
    <w:abstractNumId w:val="39"/>
  </w:num>
  <w:num w:numId="38" w16cid:durableId="1419256972">
    <w:abstractNumId w:val="58"/>
  </w:num>
  <w:num w:numId="39" w16cid:durableId="2006931907">
    <w:abstractNumId w:val="23"/>
  </w:num>
  <w:num w:numId="40" w16cid:durableId="1191189434">
    <w:abstractNumId w:val="16"/>
  </w:num>
  <w:num w:numId="41" w16cid:durableId="404837297">
    <w:abstractNumId w:val="33"/>
  </w:num>
  <w:num w:numId="42" w16cid:durableId="1395086348">
    <w:abstractNumId w:val="7"/>
  </w:num>
  <w:num w:numId="43" w16cid:durableId="1282149290">
    <w:abstractNumId w:val="64"/>
  </w:num>
  <w:num w:numId="44" w16cid:durableId="610743023">
    <w:abstractNumId w:val="15"/>
  </w:num>
  <w:num w:numId="45" w16cid:durableId="2101103952">
    <w:abstractNumId w:val="50"/>
  </w:num>
  <w:num w:numId="46" w16cid:durableId="1714039235">
    <w:abstractNumId w:val="20"/>
  </w:num>
  <w:num w:numId="47" w16cid:durableId="841822890">
    <w:abstractNumId w:val="45"/>
  </w:num>
  <w:num w:numId="48" w16cid:durableId="102189698">
    <w:abstractNumId w:val="12"/>
  </w:num>
  <w:num w:numId="49" w16cid:durableId="1210146758">
    <w:abstractNumId w:val="55"/>
  </w:num>
  <w:num w:numId="50" w16cid:durableId="1815246545">
    <w:abstractNumId w:val="48"/>
  </w:num>
  <w:num w:numId="51" w16cid:durableId="412554419">
    <w:abstractNumId w:val="44"/>
  </w:num>
  <w:num w:numId="52" w16cid:durableId="1851332690">
    <w:abstractNumId w:val="60"/>
  </w:num>
  <w:num w:numId="53" w16cid:durableId="1152794171">
    <w:abstractNumId w:val="9"/>
  </w:num>
  <w:num w:numId="54" w16cid:durableId="1019116520">
    <w:abstractNumId w:val="38"/>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16cid:durableId="1253246618">
    <w:abstractNumId w:val="54"/>
  </w:num>
  <w:num w:numId="56" w16cid:durableId="661858953">
    <w:abstractNumId w:val="2"/>
  </w:num>
  <w:num w:numId="57" w16cid:durableId="762148586">
    <w:abstractNumId w:val="41"/>
  </w:num>
  <w:num w:numId="58" w16cid:durableId="1741976918">
    <w:abstractNumId w:val="35"/>
  </w:num>
  <w:num w:numId="59" w16cid:durableId="349257677">
    <w:abstractNumId w:val="40"/>
  </w:num>
  <w:num w:numId="60" w16cid:durableId="311250494">
    <w:abstractNumId w:val="21"/>
  </w:num>
  <w:num w:numId="61" w16cid:durableId="925697900">
    <w:abstractNumId w:val="51"/>
  </w:num>
  <w:num w:numId="62" w16cid:durableId="796416868">
    <w:abstractNumId w:val="26"/>
  </w:num>
  <w:num w:numId="63" w16cid:durableId="1935432723">
    <w:abstractNumId w:val="37"/>
  </w:num>
  <w:num w:numId="64" w16cid:durableId="1639607563">
    <w:abstractNumId w:val="4"/>
  </w:num>
  <w:num w:numId="65" w16cid:durableId="665716418">
    <w:abstractNumId w:val="13"/>
  </w:num>
  <w:numIdMacAtCleanup w:val="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embedSystemFonts/>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oNotHyphenateCaps/>
  <w:drawingGridHorizontalSpacing w:val="100"/>
  <w:displayHorizontalDrawingGridEvery w:val="2"/>
  <w:characterSpacingControl w:val="doNotCompress"/>
  <w:doNotValidateAgainstSchema/>
  <w:doNotDemarcateInvalidXml/>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F0EE8"/>
    <w:rsid w:val="000022DE"/>
    <w:rsid w:val="000031F6"/>
    <w:rsid w:val="0000357F"/>
    <w:rsid w:val="000039C8"/>
    <w:rsid w:val="000039CA"/>
    <w:rsid w:val="000059B4"/>
    <w:rsid w:val="000066DB"/>
    <w:rsid w:val="0001078F"/>
    <w:rsid w:val="00010AEB"/>
    <w:rsid w:val="00010DEE"/>
    <w:rsid w:val="000112D0"/>
    <w:rsid w:val="000131C6"/>
    <w:rsid w:val="00014425"/>
    <w:rsid w:val="000154EC"/>
    <w:rsid w:val="000168CC"/>
    <w:rsid w:val="00016912"/>
    <w:rsid w:val="0001722E"/>
    <w:rsid w:val="000173A4"/>
    <w:rsid w:val="000204D7"/>
    <w:rsid w:val="000209CE"/>
    <w:rsid w:val="00021440"/>
    <w:rsid w:val="000226F0"/>
    <w:rsid w:val="00022B73"/>
    <w:rsid w:val="000231A7"/>
    <w:rsid w:val="000255D7"/>
    <w:rsid w:val="00025970"/>
    <w:rsid w:val="000273AF"/>
    <w:rsid w:val="0002772B"/>
    <w:rsid w:val="00027839"/>
    <w:rsid w:val="00027903"/>
    <w:rsid w:val="00027CB3"/>
    <w:rsid w:val="00027D59"/>
    <w:rsid w:val="00032A6A"/>
    <w:rsid w:val="00032CFB"/>
    <w:rsid w:val="00032ECF"/>
    <w:rsid w:val="0003358A"/>
    <w:rsid w:val="00034B15"/>
    <w:rsid w:val="0003525C"/>
    <w:rsid w:val="000362BC"/>
    <w:rsid w:val="00036FFA"/>
    <w:rsid w:val="00040132"/>
    <w:rsid w:val="00040FD1"/>
    <w:rsid w:val="000413C2"/>
    <w:rsid w:val="00041B24"/>
    <w:rsid w:val="00043A6B"/>
    <w:rsid w:val="00044B65"/>
    <w:rsid w:val="00046CCD"/>
    <w:rsid w:val="00047546"/>
    <w:rsid w:val="000478A8"/>
    <w:rsid w:val="00047B4C"/>
    <w:rsid w:val="00047DAC"/>
    <w:rsid w:val="000500F3"/>
    <w:rsid w:val="0005109D"/>
    <w:rsid w:val="00051409"/>
    <w:rsid w:val="0005270B"/>
    <w:rsid w:val="00053D0A"/>
    <w:rsid w:val="000540E6"/>
    <w:rsid w:val="00054A79"/>
    <w:rsid w:val="000558D4"/>
    <w:rsid w:val="00055E02"/>
    <w:rsid w:val="00057F01"/>
    <w:rsid w:val="000640E9"/>
    <w:rsid w:val="00064784"/>
    <w:rsid w:val="00064D77"/>
    <w:rsid w:val="00066309"/>
    <w:rsid w:val="00066617"/>
    <w:rsid w:val="00067AEC"/>
    <w:rsid w:val="000712AD"/>
    <w:rsid w:val="000716EC"/>
    <w:rsid w:val="0007188F"/>
    <w:rsid w:val="0007207B"/>
    <w:rsid w:val="000729D8"/>
    <w:rsid w:val="00072CE7"/>
    <w:rsid w:val="000738BA"/>
    <w:rsid w:val="00073C31"/>
    <w:rsid w:val="00074100"/>
    <w:rsid w:val="000745D1"/>
    <w:rsid w:val="00074B03"/>
    <w:rsid w:val="000769A6"/>
    <w:rsid w:val="00077A41"/>
    <w:rsid w:val="00080076"/>
    <w:rsid w:val="0008039A"/>
    <w:rsid w:val="0008208A"/>
    <w:rsid w:val="000820DD"/>
    <w:rsid w:val="00082199"/>
    <w:rsid w:val="0008267F"/>
    <w:rsid w:val="00082A6F"/>
    <w:rsid w:val="00083A70"/>
    <w:rsid w:val="00083BA3"/>
    <w:rsid w:val="00083E7F"/>
    <w:rsid w:val="00083F7F"/>
    <w:rsid w:val="00084BDF"/>
    <w:rsid w:val="0008547D"/>
    <w:rsid w:val="000854AD"/>
    <w:rsid w:val="00086343"/>
    <w:rsid w:val="00087A6C"/>
    <w:rsid w:val="000907B5"/>
    <w:rsid w:val="00091E84"/>
    <w:rsid w:val="00091F17"/>
    <w:rsid w:val="000920EF"/>
    <w:rsid w:val="000929DF"/>
    <w:rsid w:val="0009367A"/>
    <w:rsid w:val="00093F8A"/>
    <w:rsid w:val="0009533A"/>
    <w:rsid w:val="00096FAC"/>
    <w:rsid w:val="00097349"/>
    <w:rsid w:val="00097A20"/>
    <w:rsid w:val="000A02D4"/>
    <w:rsid w:val="000A11AB"/>
    <w:rsid w:val="000A13CA"/>
    <w:rsid w:val="000A326D"/>
    <w:rsid w:val="000A3CDF"/>
    <w:rsid w:val="000A48C8"/>
    <w:rsid w:val="000A4A2B"/>
    <w:rsid w:val="000A5089"/>
    <w:rsid w:val="000A5E79"/>
    <w:rsid w:val="000A6EC4"/>
    <w:rsid w:val="000A704B"/>
    <w:rsid w:val="000A779D"/>
    <w:rsid w:val="000B039B"/>
    <w:rsid w:val="000B066F"/>
    <w:rsid w:val="000B0CB3"/>
    <w:rsid w:val="000B1303"/>
    <w:rsid w:val="000B1F7E"/>
    <w:rsid w:val="000B2915"/>
    <w:rsid w:val="000B37C9"/>
    <w:rsid w:val="000B3FE4"/>
    <w:rsid w:val="000B44A8"/>
    <w:rsid w:val="000B47DE"/>
    <w:rsid w:val="000B48AF"/>
    <w:rsid w:val="000B4A84"/>
    <w:rsid w:val="000B51BD"/>
    <w:rsid w:val="000B60E3"/>
    <w:rsid w:val="000B653A"/>
    <w:rsid w:val="000B660E"/>
    <w:rsid w:val="000C00F7"/>
    <w:rsid w:val="000C07B2"/>
    <w:rsid w:val="000C0C4F"/>
    <w:rsid w:val="000C199B"/>
    <w:rsid w:val="000C1CDA"/>
    <w:rsid w:val="000C3307"/>
    <w:rsid w:val="000C59DA"/>
    <w:rsid w:val="000C5BAA"/>
    <w:rsid w:val="000D08BC"/>
    <w:rsid w:val="000D0F8E"/>
    <w:rsid w:val="000D1283"/>
    <w:rsid w:val="000D1923"/>
    <w:rsid w:val="000D26D2"/>
    <w:rsid w:val="000D4B6C"/>
    <w:rsid w:val="000D4DE0"/>
    <w:rsid w:val="000D5362"/>
    <w:rsid w:val="000D5514"/>
    <w:rsid w:val="000D6122"/>
    <w:rsid w:val="000D62BD"/>
    <w:rsid w:val="000D7D61"/>
    <w:rsid w:val="000D7FDB"/>
    <w:rsid w:val="000E0040"/>
    <w:rsid w:val="000E096B"/>
    <w:rsid w:val="000E154A"/>
    <w:rsid w:val="000E1624"/>
    <w:rsid w:val="000E242A"/>
    <w:rsid w:val="000E36A3"/>
    <w:rsid w:val="000E542D"/>
    <w:rsid w:val="000E7B1A"/>
    <w:rsid w:val="000F025D"/>
    <w:rsid w:val="000F03A9"/>
    <w:rsid w:val="000F150F"/>
    <w:rsid w:val="000F2695"/>
    <w:rsid w:val="000F3CB4"/>
    <w:rsid w:val="000F4A42"/>
    <w:rsid w:val="000F4FC2"/>
    <w:rsid w:val="000F6981"/>
    <w:rsid w:val="000F71C1"/>
    <w:rsid w:val="000F7B71"/>
    <w:rsid w:val="00100742"/>
    <w:rsid w:val="001008A9"/>
    <w:rsid w:val="00100E19"/>
    <w:rsid w:val="0010143F"/>
    <w:rsid w:val="001018BE"/>
    <w:rsid w:val="00101E63"/>
    <w:rsid w:val="001020D5"/>
    <w:rsid w:val="00102BDB"/>
    <w:rsid w:val="0010535F"/>
    <w:rsid w:val="001054EE"/>
    <w:rsid w:val="0010568E"/>
    <w:rsid w:val="0010720C"/>
    <w:rsid w:val="00111174"/>
    <w:rsid w:val="0011237D"/>
    <w:rsid w:val="00112485"/>
    <w:rsid w:val="00112FB6"/>
    <w:rsid w:val="0011482D"/>
    <w:rsid w:val="001148BA"/>
    <w:rsid w:val="001148C2"/>
    <w:rsid w:val="0011507A"/>
    <w:rsid w:val="001152E1"/>
    <w:rsid w:val="00115919"/>
    <w:rsid w:val="00116649"/>
    <w:rsid w:val="00116AB0"/>
    <w:rsid w:val="00116F7E"/>
    <w:rsid w:val="00116F9E"/>
    <w:rsid w:val="00117296"/>
    <w:rsid w:val="00117A83"/>
    <w:rsid w:val="0012292D"/>
    <w:rsid w:val="00122975"/>
    <w:rsid w:val="001232E4"/>
    <w:rsid w:val="00123A64"/>
    <w:rsid w:val="00125AF9"/>
    <w:rsid w:val="00130538"/>
    <w:rsid w:val="00130918"/>
    <w:rsid w:val="00131876"/>
    <w:rsid w:val="00132240"/>
    <w:rsid w:val="00132550"/>
    <w:rsid w:val="00133111"/>
    <w:rsid w:val="0013509D"/>
    <w:rsid w:val="00135374"/>
    <w:rsid w:val="00135450"/>
    <w:rsid w:val="00135CA3"/>
    <w:rsid w:val="001362ED"/>
    <w:rsid w:val="001372CE"/>
    <w:rsid w:val="001376D0"/>
    <w:rsid w:val="00137D33"/>
    <w:rsid w:val="00137DB1"/>
    <w:rsid w:val="0014034B"/>
    <w:rsid w:val="00140A35"/>
    <w:rsid w:val="00140C56"/>
    <w:rsid w:val="00140EC3"/>
    <w:rsid w:val="00140EE1"/>
    <w:rsid w:val="00141F4E"/>
    <w:rsid w:val="001422C0"/>
    <w:rsid w:val="00143725"/>
    <w:rsid w:val="00143C28"/>
    <w:rsid w:val="00143DD4"/>
    <w:rsid w:val="00143F3A"/>
    <w:rsid w:val="00144A65"/>
    <w:rsid w:val="00145106"/>
    <w:rsid w:val="001458F9"/>
    <w:rsid w:val="00145C92"/>
    <w:rsid w:val="00146794"/>
    <w:rsid w:val="00147A9D"/>
    <w:rsid w:val="00151297"/>
    <w:rsid w:val="001520AC"/>
    <w:rsid w:val="001529B7"/>
    <w:rsid w:val="00152C3F"/>
    <w:rsid w:val="00153473"/>
    <w:rsid w:val="0015381D"/>
    <w:rsid w:val="001566DA"/>
    <w:rsid w:val="001568F8"/>
    <w:rsid w:val="00157E3E"/>
    <w:rsid w:val="001600EF"/>
    <w:rsid w:val="00160E79"/>
    <w:rsid w:val="00162B59"/>
    <w:rsid w:val="0016330F"/>
    <w:rsid w:val="0016438D"/>
    <w:rsid w:val="0016456C"/>
    <w:rsid w:val="00165258"/>
    <w:rsid w:val="0016539F"/>
    <w:rsid w:val="00165C8F"/>
    <w:rsid w:val="00167A93"/>
    <w:rsid w:val="00167BDC"/>
    <w:rsid w:val="00167D92"/>
    <w:rsid w:val="00170225"/>
    <w:rsid w:val="00170E9E"/>
    <w:rsid w:val="001739BF"/>
    <w:rsid w:val="00173DB6"/>
    <w:rsid w:val="00174282"/>
    <w:rsid w:val="00174373"/>
    <w:rsid w:val="00174FDB"/>
    <w:rsid w:val="00175548"/>
    <w:rsid w:val="0017586F"/>
    <w:rsid w:val="00177A77"/>
    <w:rsid w:val="0018129A"/>
    <w:rsid w:val="00181C21"/>
    <w:rsid w:val="00182919"/>
    <w:rsid w:val="00183167"/>
    <w:rsid w:val="00183610"/>
    <w:rsid w:val="00183DA4"/>
    <w:rsid w:val="0018420C"/>
    <w:rsid w:val="00184278"/>
    <w:rsid w:val="001843FE"/>
    <w:rsid w:val="00184760"/>
    <w:rsid w:val="00184904"/>
    <w:rsid w:val="001852BC"/>
    <w:rsid w:val="0018575A"/>
    <w:rsid w:val="00186401"/>
    <w:rsid w:val="00186733"/>
    <w:rsid w:val="00186A4A"/>
    <w:rsid w:val="00186B25"/>
    <w:rsid w:val="001872A7"/>
    <w:rsid w:val="001874A4"/>
    <w:rsid w:val="00193D21"/>
    <w:rsid w:val="0019439A"/>
    <w:rsid w:val="00194F64"/>
    <w:rsid w:val="0019569C"/>
    <w:rsid w:val="0019575A"/>
    <w:rsid w:val="00196806"/>
    <w:rsid w:val="0019703B"/>
    <w:rsid w:val="001A1BAA"/>
    <w:rsid w:val="001A202C"/>
    <w:rsid w:val="001A21A4"/>
    <w:rsid w:val="001A233B"/>
    <w:rsid w:val="001A2758"/>
    <w:rsid w:val="001A3ED9"/>
    <w:rsid w:val="001A428A"/>
    <w:rsid w:val="001A4893"/>
    <w:rsid w:val="001A57F3"/>
    <w:rsid w:val="001A58E5"/>
    <w:rsid w:val="001A5A19"/>
    <w:rsid w:val="001A78F1"/>
    <w:rsid w:val="001A7D8D"/>
    <w:rsid w:val="001A7FD8"/>
    <w:rsid w:val="001B02EE"/>
    <w:rsid w:val="001B1692"/>
    <w:rsid w:val="001B2FD6"/>
    <w:rsid w:val="001B33F7"/>
    <w:rsid w:val="001B3A6B"/>
    <w:rsid w:val="001B3C1E"/>
    <w:rsid w:val="001B47D8"/>
    <w:rsid w:val="001B5355"/>
    <w:rsid w:val="001B59FD"/>
    <w:rsid w:val="001B675C"/>
    <w:rsid w:val="001C10F8"/>
    <w:rsid w:val="001C14BA"/>
    <w:rsid w:val="001C21DB"/>
    <w:rsid w:val="001C31BA"/>
    <w:rsid w:val="001C3314"/>
    <w:rsid w:val="001C496C"/>
    <w:rsid w:val="001C4EE1"/>
    <w:rsid w:val="001C56C8"/>
    <w:rsid w:val="001C56CF"/>
    <w:rsid w:val="001C7B66"/>
    <w:rsid w:val="001D0403"/>
    <w:rsid w:val="001D19B9"/>
    <w:rsid w:val="001D20FE"/>
    <w:rsid w:val="001D223B"/>
    <w:rsid w:val="001D2AFC"/>
    <w:rsid w:val="001D2C7C"/>
    <w:rsid w:val="001D372F"/>
    <w:rsid w:val="001D38BA"/>
    <w:rsid w:val="001D40D1"/>
    <w:rsid w:val="001D55E1"/>
    <w:rsid w:val="001D5D14"/>
    <w:rsid w:val="001D7959"/>
    <w:rsid w:val="001E0BF7"/>
    <w:rsid w:val="001E1853"/>
    <w:rsid w:val="001E2973"/>
    <w:rsid w:val="001E2E4F"/>
    <w:rsid w:val="001E3252"/>
    <w:rsid w:val="001E35C3"/>
    <w:rsid w:val="001E41E9"/>
    <w:rsid w:val="001E517B"/>
    <w:rsid w:val="001E5462"/>
    <w:rsid w:val="001E6465"/>
    <w:rsid w:val="001E71F7"/>
    <w:rsid w:val="001E77A6"/>
    <w:rsid w:val="001E7DC6"/>
    <w:rsid w:val="001F0617"/>
    <w:rsid w:val="001F09A6"/>
    <w:rsid w:val="001F0DA8"/>
    <w:rsid w:val="001F131F"/>
    <w:rsid w:val="001F1695"/>
    <w:rsid w:val="001F1A91"/>
    <w:rsid w:val="001F1C58"/>
    <w:rsid w:val="001F2CA2"/>
    <w:rsid w:val="001F31D9"/>
    <w:rsid w:val="001F369B"/>
    <w:rsid w:val="001F3C76"/>
    <w:rsid w:val="001F49DB"/>
    <w:rsid w:val="001F561D"/>
    <w:rsid w:val="001F561E"/>
    <w:rsid w:val="001F58F8"/>
    <w:rsid w:val="001F5D0A"/>
    <w:rsid w:val="00200811"/>
    <w:rsid w:val="002013EE"/>
    <w:rsid w:val="0020205C"/>
    <w:rsid w:val="002020EF"/>
    <w:rsid w:val="00202354"/>
    <w:rsid w:val="002028C8"/>
    <w:rsid w:val="00204470"/>
    <w:rsid w:val="00204FF3"/>
    <w:rsid w:val="00205D82"/>
    <w:rsid w:val="0021051F"/>
    <w:rsid w:val="00210A2D"/>
    <w:rsid w:val="002110C6"/>
    <w:rsid w:val="00213160"/>
    <w:rsid w:val="00217F64"/>
    <w:rsid w:val="0022151C"/>
    <w:rsid w:val="00221C1C"/>
    <w:rsid w:val="00222F68"/>
    <w:rsid w:val="00222FFD"/>
    <w:rsid w:val="002236DD"/>
    <w:rsid w:val="0022401C"/>
    <w:rsid w:val="0022405E"/>
    <w:rsid w:val="00224284"/>
    <w:rsid w:val="002249F5"/>
    <w:rsid w:val="00224DE7"/>
    <w:rsid w:val="002263E9"/>
    <w:rsid w:val="00227195"/>
    <w:rsid w:val="002277E9"/>
    <w:rsid w:val="002306ED"/>
    <w:rsid w:val="00230CC3"/>
    <w:rsid w:val="0023337E"/>
    <w:rsid w:val="00233BE0"/>
    <w:rsid w:val="002340AF"/>
    <w:rsid w:val="002346C2"/>
    <w:rsid w:val="00234BB6"/>
    <w:rsid w:val="00234DCE"/>
    <w:rsid w:val="0023583E"/>
    <w:rsid w:val="00236E02"/>
    <w:rsid w:val="00240338"/>
    <w:rsid w:val="0024056B"/>
    <w:rsid w:val="0024080B"/>
    <w:rsid w:val="00240862"/>
    <w:rsid w:val="00240978"/>
    <w:rsid w:val="00241C7E"/>
    <w:rsid w:val="0024215D"/>
    <w:rsid w:val="00243962"/>
    <w:rsid w:val="00244358"/>
    <w:rsid w:val="00244B71"/>
    <w:rsid w:val="00245844"/>
    <w:rsid w:val="00245A34"/>
    <w:rsid w:val="0025205A"/>
    <w:rsid w:val="0025452D"/>
    <w:rsid w:val="00255594"/>
    <w:rsid w:val="002557CB"/>
    <w:rsid w:val="00256AC2"/>
    <w:rsid w:val="00256B14"/>
    <w:rsid w:val="002600D7"/>
    <w:rsid w:val="002618C6"/>
    <w:rsid w:val="00261AC5"/>
    <w:rsid w:val="00261BBD"/>
    <w:rsid w:val="00261BCE"/>
    <w:rsid w:val="0026249C"/>
    <w:rsid w:val="00262A80"/>
    <w:rsid w:val="00263393"/>
    <w:rsid w:val="002633B4"/>
    <w:rsid w:val="00264A12"/>
    <w:rsid w:val="00264B46"/>
    <w:rsid w:val="002659F4"/>
    <w:rsid w:val="00265B22"/>
    <w:rsid w:val="00266567"/>
    <w:rsid w:val="002712A7"/>
    <w:rsid w:val="002716B2"/>
    <w:rsid w:val="00271B70"/>
    <w:rsid w:val="00272089"/>
    <w:rsid w:val="0027275B"/>
    <w:rsid w:val="002727AA"/>
    <w:rsid w:val="00273333"/>
    <w:rsid w:val="00273624"/>
    <w:rsid w:val="00273F0A"/>
    <w:rsid w:val="00274347"/>
    <w:rsid w:val="00275011"/>
    <w:rsid w:val="00275A8A"/>
    <w:rsid w:val="002766EC"/>
    <w:rsid w:val="00276F2B"/>
    <w:rsid w:val="00277D8E"/>
    <w:rsid w:val="00280690"/>
    <w:rsid w:val="0028105B"/>
    <w:rsid w:val="00282497"/>
    <w:rsid w:val="00282A8E"/>
    <w:rsid w:val="0028385A"/>
    <w:rsid w:val="00283912"/>
    <w:rsid w:val="00283F0C"/>
    <w:rsid w:val="002856DA"/>
    <w:rsid w:val="00285A22"/>
    <w:rsid w:val="00285C63"/>
    <w:rsid w:val="00285C79"/>
    <w:rsid w:val="0028614B"/>
    <w:rsid w:val="002930DE"/>
    <w:rsid w:val="00294AA1"/>
    <w:rsid w:val="00295B71"/>
    <w:rsid w:val="002975F4"/>
    <w:rsid w:val="00297864"/>
    <w:rsid w:val="00297B27"/>
    <w:rsid w:val="002A0FCC"/>
    <w:rsid w:val="002A1E3D"/>
    <w:rsid w:val="002A1F85"/>
    <w:rsid w:val="002A29DA"/>
    <w:rsid w:val="002A390E"/>
    <w:rsid w:val="002A3B28"/>
    <w:rsid w:val="002A3DEB"/>
    <w:rsid w:val="002A47C4"/>
    <w:rsid w:val="002A4E48"/>
    <w:rsid w:val="002A5399"/>
    <w:rsid w:val="002A5C13"/>
    <w:rsid w:val="002A6947"/>
    <w:rsid w:val="002A6972"/>
    <w:rsid w:val="002A6DC7"/>
    <w:rsid w:val="002A71CF"/>
    <w:rsid w:val="002A7338"/>
    <w:rsid w:val="002A741E"/>
    <w:rsid w:val="002A7B79"/>
    <w:rsid w:val="002B047F"/>
    <w:rsid w:val="002B0A97"/>
    <w:rsid w:val="002B0B96"/>
    <w:rsid w:val="002B1780"/>
    <w:rsid w:val="002B3BB4"/>
    <w:rsid w:val="002B41CC"/>
    <w:rsid w:val="002B4E07"/>
    <w:rsid w:val="002B63AC"/>
    <w:rsid w:val="002B7328"/>
    <w:rsid w:val="002B7698"/>
    <w:rsid w:val="002B782F"/>
    <w:rsid w:val="002B79E3"/>
    <w:rsid w:val="002B7E3A"/>
    <w:rsid w:val="002C03E8"/>
    <w:rsid w:val="002C0DD4"/>
    <w:rsid w:val="002C1594"/>
    <w:rsid w:val="002C1B14"/>
    <w:rsid w:val="002C1D19"/>
    <w:rsid w:val="002C1FFC"/>
    <w:rsid w:val="002C29D4"/>
    <w:rsid w:val="002C344D"/>
    <w:rsid w:val="002C3636"/>
    <w:rsid w:val="002C446E"/>
    <w:rsid w:val="002C4CD7"/>
    <w:rsid w:val="002C5083"/>
    <w:rsid w:val="002C61D6"/>
    <w:rsid w:val="002C7CA1"/>
    <w:rsid w:val="002C7EF7"/>
    <w:rsid w:val="002D0621"/>
    <w:rsid w:val="002D0CDC"/>
    <w:rsid w:val="002D1CD2"/>
    <w:rsid w:val="002D2502"/>
    <w:rsid w:val="002D2908"/>
    <w:rsid w:val="002D2B97"/>
    <w:rsid w:val="002D2F85"/>
    <w:rsid w:val="002D358A"/>
    <w:rsid w:val="002D3850"/>
    <w:rsid w:val="002D3B68"/>
    <w:rsid w:val="002D5A56"/>
    <w:rsid w:val="002D5C8B"/>
    <w:rsid w:val="002D6130"/>
    <w:rsid w:val="002D61DE"/>
    <w:rsid w:val="002D769F"/>
    <w:rsid w:val="002D7EAA"/>
    <w:rsid w:val="002E000C"/>
    <w:rsid w:val="002E0282"/>
    <w:rsid w:val="002E0F31"/>
    <w:rsid w:val="002E12A1"/>
    <w:rsid w:val="002E15CC"/>
    <w:rsid w:val="002E1BE4"/>
    <w:rsid w:val="002E1C01"/>
    <w:rsid w:val="002E254E"/>
    <w:rsid w:val="002E2968"/>
    <w:rsid w:val="002E35AC"/>
    <w:rsid w:val="002E37A8"/>
    <w:rsid w:val="002E47CB"/>
    <w:rsid w:val="002E50CC"/>
    <w:rsid w:val="002F0791"/>
    <w:rsid w:val="002F10B4"/>
    <w:rsid w:val="002F129E"/>
    <w:rsid w:val="002F18BF"/>
    <w:rsid w:val="002F1D5F"/>
    <w:rsid w:val="002F32D7"/>
    <w:rsid w:val="002F36F3"/>
    <w:rsid w:val="002F4275"/>
    <w:rsid w:val="002F4878"/>
    <w:rsid w:val="002F4CFB"/>
    <w:rsid w:val="002F53AE"/>
    <w:rsid w:val="002F53F9"/>
    <w:rsid w:val="002F5F74"/>
    <w:rsid w:val="002F6410"/>
    <w:rsid w:val="002F64B8"/>
    <w:rsid w:val="002F6CFB"/>
    <w:rsid w:val="002F6EF2"/>
    <w:rsid w:val="002F7329"/>
    <w:rsid w:val="002F76C2"/>
    <w:rsid w:val="003004C0"/>
    <w:rsid w:val="00300509"/>
    <w:rsid w:val="00300A8F"/>
    <w:rsid w:val="00301161"/>
    <w:rsid w:val="003011D1"/>
    <w:rsid w:val="003014A8"/>
    <w:rsid w:val="00301E11"/>
    <w:rsid w:val="00301F56"/>
    <w:rsid w:val="003048C3"/>
    <w:rsid w:val="003063DA"/>
    <w:rsid w:val="00306AEF"/>
    <w:rsid w:val="0030722D"/>
    <w:rsid w:val="00307DF2"/>
    <w:rsid w:val="00311BE7"/>
    <w:rsid w:val="00312182"/>
    <w:rsid w:val="00312187"/>
    <w:rsid w:val="0031256C"/>
    <w:rsid w:val="00313BBA"/>
    <w:rsid w:val="003140D5"/>
    <w:rsid w:val="00315453"/>
    <w:rsid w:val="003156C2"/>
    <w:rsid w:val="003160C4"/>
    <w:rsid w:val="0031755A"/>
    <w:rsid w:val="00322966"/>
    <w:rsid w:val="00322C49"/>
    <w:rsid w:val="0032319D"/>
    <w:rsid w:val="003231E6"/>
    <w:rsid w:val="00323785"/>
    <w:rsid w:val="00324202"/>
    <w:rsid w:val="00324FC6"/>
    <w:rsid w:val="0032545D"/>
    <w:rsid w:val="00326164"/>
    <w:rsid w:val="003265E8"/>
    <w:rsid w:val="00326DFD"/>
    <w:rsid w:val="00330C70"/>
    <w:rsid w:val="003312ED"/>
    <w:rsid w:val="00331C96"/>
    <w:rsid w:val="00332FE7"/>
    <w:rsid w:val="00334987"/>
    <w:rsid w:val="003363AE"/>
    <w:rsid w:val="00340E54"/>
    <w:rsid w:val="00342A03"/>
    <w:rsid w:val="00343241"/>
    <w:rsid w:val="003439C6"/>
    <w:rsid w:val="00343BEB"/>
    <w:rsid w:val="00344785"/>
    <w:rsid w:val="00344A9D"/>
    <w:rsid w:val="00344AEA"/>
    <w:rsid w:val="00345468"/>
    <w:rsid w:val="003454D3"/>
    <w:rsid w:val="003459C2"/>
    <w:rsid w:val="00345B5C"/>
    <w:rsid w:val="003461EB"/>
    <w:rsid w:val="003464A1"/>
    <w:rsid w:val="00346D0F"/>
    <w:rsid w:val="003507C8"/>
    <w:rsid w:val="00350ED6"/>
    <w:rsid w:val="00351061"/>
    <w:rsid w:val="0035138A"/>
    <w:rsid w:val="0035142D"/>
    <w:rsid w:val="00351B89"/>
    <w:rsid w:val="003520BC"/>
    <w:rsid w:val="00352256"/>
    <w:rsid w:val="00352A20"/>
    <w:rsid w:val="00353000"/>
    <w:rsid w:val="00353CD8"/>
    <w:rsid w:val="00356316"/>
    <w:rsid w:val="00357179"/>
    <w:rsid w:val="003575B5"/>
    <w:rsid w:val="00357FBD"/>
    <w:rsid w:val="00361862"/>
    <w:rsid w:val="00362450"/>
    <w:rsid w:val="00363033"/>
    <w:rsid w:val="003637DD"/>
    <w:rsid w:val="00363B9F"/>
    <w:rsid w:val="00364509"/>
    <w:rsid w:val="0036463A"/>
    <w:rsid w:val="00364898"/>
    <w:rsid w:val="003657C7"/>
    <w:rsid w:val="003715A1"/>
    <w:rsid w:val="003722A7"/>
    <w:rsid w:val="0037266D"/>
    <w:rsid w:val="0037274C"/>
    <w:rsid w:val="00372DAA"/>
    <w:rsid w:val="00372E31"/>
    <w:rsid w:val="00373D47"/>
    <w:rsid w:val="003742E5"/>
    <w:rsid w:val="00374B51"/>
    <w:rsid w:val="00375BD5"/>
    <w:rsid w:val="00375C21"/>
    <w:rsid w:val="00375FE8"/>
    <w:rsid w:val="003768B7"/>
    <w:rsid w:val="0037796E"/>
    <w:rsid w:val="00377D58"/>
    <w:rsid w:val="00381042"/>
    <w:rsid w:val="003812E3"/>
    <w:rsid w:val="00381BCD"/>
    <w:rsid w:val="00381CD2"/>
    <w:rsid w:val="0038346A"/>
    <w:rsid w:val="003848CB"/>
    <w:rsid w:val="003855ED"/>
    <w:rsid w:val="00386217"/>
    <w:rsid w:val="00386600"/>
    <w:rsid w:val="00386BC3"/>
    <w:rsid w:val="00390360"/>
    <w:rsid w:val="0039164F"/>
    <w:rsid w:val="00391FF7"/>
    <w:rsid w:val="0039226A"/>
    <w:rsid w:val="00392515"/>
    <w:rsid w:val="00393D8A"/>
    <w:rsid w:val="00393E8A"/>
    <w:rsid w:val="00394E29"/>
    <w:rsid w:val="00395262"/>
    <w:rsid w:val="003A04B5"/>
    <w:rsid w:val="003A2BCE"/>
    <w:rsid w:val="003A2BFA"/>
    <w:rsid w:val="003A2E35"/>
    <w:rsid w:val="003A3B10"/>
    <w:rsid w:val="003A3F3C"/>
    <w:rsid w:val="003A43CF"/>
    <w:rsid w:val="003A50EA"/>
    <w:rsid w:val="003A5122"/>
    <w:rsid w:val="003A56F4"/>
    <w:rsid w:val="003A60A5"/>
    <w:rsid w:val="003A67E9"/>
    <w:rsid w:val="003A6CBA"/>
    <w:rsid w:val="003A750D"/>
    <w:rsid w:val="003A7A44"/>
    <w:rsid w:val="003B05D5"/>
    <w:rsid w:val="003B0AB0"/>
    <w:rsid w:val="003B0EA7"/>
    <w:rsid w:val="003B1FDE"/>
    <w:rsid w:val="003B219A"/>
    <w:rsid w:val="003B22E6"/>
    <w:rsid w:val="003B2569"/>
    <w:rsid w:val="003B3230"/>
    <w:rsid w:val="003B41D3"/>
    <w:rsid w:val="003B470F"/>
    <w:rsid w:val="003B4F97"/>
    <w:rsid w:val="003B5FCB"/>
    <w:rsid w:val="003B6B27"/>
    <w:rsid w:val="003B6CDD"/>
    <w:rsid w:val="003B7591"/>
    <w:rsid w:val="003C3723"/>
    <w:rsid w:val="003C66B8"/>
    <w:rsid w:val="003C6C7D"/>
    <w:rsid w:val="003C75C0"/>
    <w:rsid w:val="003D264F"/>
    <w:rsid w:val="003D2BF8"/>
    <w:rsid w:val="003D2F3D"/>
    <w:rsid w:val="003D4402"/>
    <w:rsid w:val="003D5563"/>
    <w:rsid w:val="003D5F11"/>
    <w:rsid w:val="003D72D6"/>
    <w:rsid w:val="003D73E1"/>
    <w:rsid w:val="003D78F2"/>
    <w:rsid w:val="003D7FFB"/>
    <w:rsid w:val="003E10DA"/>
    <w:rsid w:val="003E19F6"/>
    <w:rsid w:val="003E34DF"/>
    <w:rsid w:val="003E3879"/>
    <w:rsid w:val="003E3D38"/>
    <w:rsid w:val="003E4755"/>
    <w:rsid w:val="003E6150"/>
    <w:rsid w:val="003E724E"/>
    <w:rsid w:val="003E78C2"/>
    <w:rsid w:val="003E7B17"/>
    <w:rsid w:val="003F064E"/>
    <w:rsid w:val="003F1345"/>
    <w:rsid w:val="003F1535"/>
    <w:rsid w:val="003F216C"/>
    <w:rsid w:val="003F3FBA"/>
    <w:rsid w:val="003F416B"/>
    <w:rsid w:val="003F491B"/>
    <w:rsid w:val="003F4B2B"/>
    <w:rsid w:val="003F5EB6"/>
    <w:rsid w:val="003F7A7F"/>
    <w:rsid w:val="003F7F26"/>
    <w:rsid w:val="00400C90"/>
    <w:rsid w:val="00400E94"/>
    <w:rsid w:val="00401CAB"/>
    <w:rsid w:val="0040241E"/>
    <w:rsid w:val="0040264E"/>
    <w:rsid w:val="00402EA5"/>
    <w:rsid w:val="004032F8"/>
    <w:rsid w:val="00404400"/>
    <w:rsid w:val="004050BF"/>
    <w:rsid w:val="00407393"/>
    <w:rsid w:val="004079ED"/>
    <w:rsid w:val="00410AE9"/>
    <w:rsid w:val="00411EEE"/>
    <w:rsid w:val="004129F5"/>
    <w:rsid w:val="00412BE2"/>
    <w:rsid w:val="0041312A"/>
    <w:rsid w:val="00414CFF"/>
    <w:rsid w:val="00415C13"/>
    <w:rsid w:val="00416943"/>
    <w:rsid w:val="004208E3"/>
    <w:rsid w:val="00420E8E"/>
    <w:rsid w:val="00423AEE"/>
    <w:rsid w:val="0042486F"/>
    <w:rsid w:val="00425E8F"/>
    <w:rsid w:val="004265DF"/>
    <w:rsid w:val="00426CEA"/>
    <w:rsid w:val="00426EE4"/>
    <w:rsid w:val="00427FA3"/>
    <w:rsid w:val="00430452"/>
    <w:rsid w:val="00430896"/>
    <w:rsid w:val="00430D8E"/>
    <w:rsid w:val="004339DD"/>
    <w:rsid w:val="00434228"/>
    <w:rsid w:val="004351DF"/>
    <w:rsid w:val="004367A5"/>
    <w:rsid w:val="004367F6"/>
    <w:rsid w:val="00436817"/>
    <w:rsid w:val="00437C8E"/>
    <w:rsid w:val="00437E9D"/>
    <w:rsid w:val="00440C68"/>
    <w:rsid w:val="004417CB"/>
    <w:rsid w:val="00442AF0"/>
    <w:rsid w:val="00442B81"/>
    <w:rsid w:val="004430A8"/>
    <w:rsid w:val="00443970"/>
    <w:rsid w:val="00445C73"/>
    <w:rsid w:val="00446557"/>
    <w:rsid w:val="004466FB"/>
    <w:rsid w:val="00447FE6"/>
    <w:rsid w:val="004508B3"/>
    <w:rsid w:val="00451F06"/>
    <w:rsid w:val="00452626"/>
    <w:rsid w:val="00452D0B"/>
    <w:rsid w:val="00453A12"/>
    <w:rsid w:val="004545D8"/>
    <w:rsid w:val="00454954"/>
    <w:rsid w:val="004553EC"/>
    <w:rsid w:val="00455501"/>
    <w:rsid w:val="004562FD"/>
    <w:rsid w:val="00457DB5"/>
    <w:rsid w:val="00457F29"/>
    <w:rsid w:val="004614A8"/>
    <w:rsid w:val="004623AD"/>
    <w:rsid w:val="00463CCB"/>
    <w:rsid w:val="004647C0"/>
    <w:rsid w:val="00467239"/>
    <w:rsid w:val="004678F8"/>
    <w:rsid w:val="00471494"/>
    <w:rsid w:val="00471AC9"/>
    <w:rsid w:val="0047243F"/>
    <w:rsid w:val="00473DEE"/>
    <w:rsid w:val="00474085"/>
    <w:rsid w:val="0047506B"/>
    <w:rsid w:val="0047707E"/>
    <w:rsid w:val="0047789D"/>
    <w:rsid w:val="0048016B"/>
    <w:rsid w:val="00480B4C"/>
    <w:rsid w:val="00482837"/>
    <w:rsid w:val="00482FE6"/>
    <w:rsid w:val="004832B8"/>
    <w:rsid w:val="004843E0"/>
    <w:rsid w:val="00484F6C"/>
    <w:rsid w:val="004855D7"/>
    <w:rsid w:val="0048644B"/>
    <w:rsid w:val="0048792F"/>
    <w:rsid w:val="00490839"/>
    <w:rsid w:val="00490C09"/>
    <w:rsid w:val="00490F89"/>
    <w:rsid w:val="004924F3"/>
    <w:rsid w:val="00492A30"/>
    <w:rsid w:val="00493F2D"/>
    <w:rsid w:val="004941BF"/>
    <w:rsid w:val="00494557"/>
    <w:rsid w:val="00494E41"/>
    <w:rsid w:val="00496666"/>
    <w:rsid w:val="00497468"/>
    <w:rsid w:val="004A03F3"/>
    <w:rsid w:val="004A1CA9"/>
    <w:rsid w:val="004A208E"/>
    <w:rsid w:val="004A4736"/>
    <w:rsid w:val="004A4F32"/>
    <w:rsid w:val="004A5155"/>
    <w:rsid w:val="004A535E"/>
    <w:rsid w:val="004A5801"/>
    <w:rsid w:val="004A75C6"/>
    <w:rsid w:val="004B35F2"/>
    <w:rsid w:val="004B376F"/>
    <w:rsid w:val="004B55DA"/>
    <w:rsid w:val="004B6018"/>
    <w:rsid w:val="004B616A"/>
    <w:rsid w:val="004B62E0"/>
    <w:rsid w:val="004B6BEF"/>
    <w:rsid w:val="004B746F"/>
    <w:rsid w:val="004B7AA3"/>
    <w:rsid w:val="004B7FA7"/>
    <w:rsid w:val="004C08AE"/>
    <w:rsid w:val="004C0EDA"/>
    <w:rsid w:val="004C1BA5"/>
    <w:rsid w:val="004C4BF9"/>
    <w:rsid w:val="004C52D0"/>
    <w:rsid w:val="004C5790"/>
    <w:rsid w:val="004C6FC9"/>
    <w:rsid w:val="004C7170"/>
    <w:rsid w:val="004C7C60"/>
    <w:rsid w:val="004D05CF"/>
    <w:rsid w:val="004D10BC"/>
    <w:rsid w:val="004D19FA"/>
    <w:rsid w:val="004D280C"/>
    <w:rsid w:val="004D2CA9"/>
    <w:rsid w:val="004D64F4"/>
    <w:rsid w:val="004D68AC"/>
    <w:rsid w:val="004D6939"/>
    <w:rsid w:val="004D75FB"/>
    <w:rsid w:val="004E28A5"/>
    <w:rsid w:val="004E343C"/>
    <w:rsid w:val="004E3836"/>
    <w:rsid w:val="004E389B"/>
    <w:rsid w:val="004E3B08"/>
    <w:rsid w:val="004E3D53"/>
    <w:rsid w:val="004E46FA"/>
    <w:rsid w:val="004E4F14"/>
    <w:rsid w:val="004E4F51"/>
    <w:rsid w:val="004E5525"/>
    <w:rsid w:val="004E5D39"/>
    <w:rsid w:val="004E6C16"/>
    <w:rsid w:val="004E70DF"/>
    <w:rsid w:val="004E74A6"/>
    <w:rsid w:val="004F0255"/>
    <w:rsid w:val="004F0BF3"/>
    <w:rsid w:val="004F18CF"/>
    <w:rsid w:val="004F18DC"/>
    <w:rsid w:val="004F2B93"/>
    <w:rsid w:val="004F45DC"/>
    <w:rsid w:val="004F6294"/>
    <w:rsid w:val="004F76A1"/>
    <w:rsid w:val="004F772E"/>
    <w:rsid w:val="005016AF"/>
    <w:rsid w:val="00501980"/>
    <w:rsid w:val="00501F6D"/>
    <w:rsid w:val="0050381F"/>
    <w:rsid w:val="00503E13"/>
    <w:rsid w:val="005047C1"/>
    <w:rsid w:val="00504F7D"/>
    <w:rsid w:val="00505B19"/>
    <w:rsid w:val="0050640A"/>
    <w:rsid w:val="00506DBF"/>
    <w:rsid w:val="005103B2"/>
    <w:rsid w:val="005112AE"/>
    <w:rsid w:val="0051132D"/>
    <w:rsid w:val="005146A8"/>
    <w:rsid w:val="00516574"/>
    <w:rsid w:val="005169E8"/>
    <w:rsid w:val="00517D3A"/>
    <w:rsid w:val="00520523"/>
    <w:rsid w:val="005212AB"/>
    <w:rsid w:val="00522EB9"/>
    <w:rsid w:val="005230C9"/>
    <w:rsid w:val="0052365D"/>
    <w:rsid w:val="00524D09"/>
    <w:rsid w:val="00525288"/>
    <w:rsid w:val="00526C1B"/>
    <w:rsid w:val="00527676"/>
    <w:rsid w:val="00527C4C"/>
    <w:rsid w:val="00530D4E"/>
    <w:rsid w:val="005312FB"/>
    <w:rsid w:val="005315D3"/>
    <w:rsid w:val="00534174"/>
    <w:rsid w:val="00534D88"/>
    <w:rsid w:val="0053529D"/>
    <w:rsid w:val="005354B5"/>
    <w:rsid w:val="0053590A"/>
    <w:rsid w:val="005360C9"/>
    <w:rsid w:val="00536D67"/>
    <w:rsid w:val="0053744C"/>
    <w:rsid w:val="00537E72"/>
    <w:rsid w:val="00540814"/>
    <w:rsid w:val="00543A05"/>
    <w:rsid w:val="00543F36"/>
    <w:rsid w:val="00544065"/>
    <w:rsid w:val="005442E3"/>
    <w:rsid w:val="005451BF"/>
    <w:rsid w:val="00546FC0"/>
    <w:rsid w:val="005471D6"/>
    <w:rsid w:val="0054745B"/>
    <w:rsid w:val="005514AE"/>
    <w:rsid w:val="00551D62"/>
    <w:rsid w:val="005523FD"/>
    <w:rsid w:val="00552603"/>
    <w:rsid w:val="005526E8"/>
    <w:rsid w:val="00553214"/>
    <w:rsid w:val="00553846"/>
    <w:rsid w:val="00553DA5"/>
    <w:rsid w:val="00553F9F"/>
    <w:rsid w:val="0055421A"/>
    <w:rsid w:val="00554395"/>
    <w:rsid w:val="00555F52"/>
    <w:rsid w:val="00555FD5"/>
    <w:rsid w:val="005561DF"/>
    <w:rsid w:val="00556596"/>
    <w:rsid w:val="00560F56"/>
    <w:rsid w:val="005611B6"/>
    <w:rsid w:val="00561C7F"/>
    <w:rsid w:val="0056204E"/>
    <w:rsid w:val="00562630"/>
    <w:rsid w:val="0056385E"/>
    <w:rsid w:val="00566C55"/>
    <w:rsid w:val="00566C6E"/>
    <w:rsid w:val="00570B86"/>
    <w:rsid w:val="005729BE"/>
    <w:rsid w:val="0057334A"/>
    <w:rsid w:val="005741D4"/>
    <w:rsid w:val="00574CC1"/>
    <w:rsid w:val="00575AA9"/>
    <w:rsid w:val="00576CFE"/>
    <w:rsid w:val="00583404"/>
    <w:rsid w:val="00583731"/>
    <w:rsid w:val="00584D67"/>
    <w:rsid w:val="00584FD5"/>
    <w:rsid w:val="00585FAB"/>
    <w:rsid w:val="005867D1"/>
    <w:rsid w:val="005870A6"/>
    <w:rsid w:val="00587539"/>
    <w:rsid w:val="00587741"/>
    <w:rsid w:val="00587746"/>
    <w:rsid w:val="00587A31"/>
    <w:rsid w:val="00587D2F"/>
    <w:rsid w:val="0059012C"/>
    <w:rsid w:val="00590ECA"/>
    <w:rsid w:val="00591831"/>
    <w:rsid w:val="0059188A"/>
    <w:rsid w:val="005919CB"/>
    <w:rsid w:val="00592114"/>
    <w:rsid w:val="005925EA"/>
    <w:rsid w:val="005939E8"/>
    <w:rsid w:val="00593D2A"/>
    <w:rsid w:val="005949DA"/>
    <w:rsid w:val="00596D36"/>
    <w:rsid w:val="005A0FC2"/>
    <w:rsid w:val="005A199D"/>
    <w:rsid w:val="005A1BB1"/>
    <w:rsid w:val="005A2369"/>
    <w:rsid w:val="005A29AF"/>
    <w:rsid w:val="005A411E"/>
    <w:rsid w:val="005A49C7"/>
    <w:rsid w:val="005A69C3"/>
    <w:rsid w:val="005A7149"/>
    <w:rsid w:val="005A788B"/>
    <w:rsid w:val="005A7F6E"/>
    <w:rsid w:val="005B27E2"/>
    <w:rsid w:val="005B2C04"/>
    <w:rsid w:val="005B3B0C"/>
    <w:rsid w:val="005B5E29"/>
    <w:rsid w:val="005C00EC"/>
    <w:rsid w:val="005C105B"/>
    <w:rsid w:val="005C1F91"/>
    <w:rsid w:val="005C23C7"/>
    <w:rsid w:val="005C260D"/>
    <w:rsid w:val="005C3D6C"/>
    <w:rsid w:val="005C4A97"/>
    <w:rsid w:val="005C5393"/>
    <w:rsid w:val="005C6889"/>
    <w:rsid w:val="005C68D2"/>
    <w:rsid w:val="005C6BC0"/>
    <w:rsid w:val="005C70AA"/>
    <w:rsid w:val="005C741D"/>
    <w:rsid w:val="005C7E81"/>
    <w:rsid w:val="005D081A"/>
    <w:rsid w:val="005D1B48"/>
    <w:rsid w:val="005D1D44"/>
    <w:rsid w:val="005D1EA8"/>
    <w:rsid w:val="005D215B"/>
    <w:rsid w:val="005D3A24"/>
    <w:rsid w:val="005D496D"/>
    <w:rsid w:val="005D5683"/>
    <w:rsid w:val="005D5D15"/>
    <w:rsid w:val="005D5E35"/>
    <w:rsid w:val="005D6018"/>
    <w:rsid w:val="005D7B01"/>
    <w:rsid w:val="005D7D8B"/>
    <w:rsid w:val="005D7F68"/>
    <w:rsid w:val="005E0767"/>
    <w:rsid w:val="005E0CB8"/>
    <w:rsid w:val="005E0D5D"/>
    <w:rsid w:val="005E14BE"/>
    <w:rsid w:val="005E2376"/>
    <w:rsid w:val="005E42A6"/>
    <w:rsid w:val="005E519D"/>
    <w:rsid w:val="005E585F"/>
    <w:rsid w:val="005E5D6C"/>
    <w:rsid w:val="005E5F8F"/>
    <w:rsid w:val="005E60DE"/>
    <w:rsid w:val="005E6B95"/>
    <w:rsid w:val="005E6E44"/>
    <w:rsid w:val="005E750E"/>
    <w:rsid w:val="005E77D0"/>
    <w:rsid w:val="005F0009"/>
    <w:rsid w:val="005F1F2E"/>
    <w:rsid w:val="005F2245"/>
    <w:rsid w:val="005F2A57"/>
    <w:rsid w:val="005F3611"/>
    <w:rsid w:val="005F37B8"/>
    <w:rsid w:val="005F3B81"/>
    <w:rsid w:val="005F3CAA"/>
    <w:rsid w:val="005F3E6F"/>
    <w:rsid w:val="005F4DBD"/>
    <w:rsid w:val="005F4E80"/>
    <w:rsid w:val="005F5D9F"/>
    <w:rsid w:val="005F64AD"/>
    <w:rsid w:val="005F6E47"/>
    <w:rsid w:val="005F71D4"/>
    <w:rsid w:val="005F7F05"/>
    <w:rsid w:val="0060020A"/>
    <w:rsid w:val="0060198F"/>
    <w:rsid w:val="006019A1"/>
    <w:rsid w:val="00602E8F"/>
    <w:rsid w:val="0060306B"/>
    <w:rsid w:val="006032B8"/>
    <w:rsid w:val="00603AFD"/>
    <w:rsid w:val="00605440"/>
    <w:rsid w:val="0060670C"/>
    <w:rsid w:val="00606BD6"/>
    <w:rsid w:val="00607A63"/>
    <w:rsid w:val="00607E16"/>
    <w:rsid w:val="00611B47"/>
    <w:rsid w:val="00613714"/>
    <w:rsid w:val="00614F91"/>
    <w:rsid w:val="00616774"/>
    <w:rsid w:val="0061736A"/>
    <w:rsid w:val="00617990"/>
    <w:rsid w:val="00617F8C"/>
    <w:rsid w:val="00620C25"/>
    <w:rsid w:val="00620CAA"/>
    <w:rsid w:val="0062178C"/>
    <w:rsid w:val="0062181A"/>
    <w:rsid w:val="0062351B"/>
    <w:rsid w:val="00623A72"/>
    <w:rsid w:val="00623D99"/>
    <w:rsid w:val="0062507A"/>
    <w:rsid w:val="00625A11"/>
    <w:rsid w:val="00626220"/>
    <w:rsid w:val="006341C5"/>
    <w:rsid w:val="006364D1"/>
    <w:rsid w:val="00637252"/>
    <w:rsid w:val="006377E5"/>
    <w:rsid w:val="00640788"/>
    <w:rsid w:val="00641214"/>
    <w:rsid w:val="00641B8A"/>
    <w:rsid w:val="0064332A"/>
    <w:rsid w:val="00643676"/>
    <w:rsid w:val="00643850"/>
    <w:rsid w:val="00644365"/>
    <w:rsid w:val="00644F96"/>
    <w:rsid w:val="00646290"/>
    <w:rsid w:val="0064630E"/>
    <w:rsid w:val="00646F64"/>
    <w:rsid w:val="006474AE"/>
    <w:rsid w:val="00647D6A"/>
    <w:rsid w:val="006504E7"/>
    <w:rsid w:val="00650A4D"/>
    <w:rsid w:val="006517FE"/>
    <w:rsid w:val="00651D68"/>
    <w:rsid w:val="00652973"/>
    <w:rsid w:val="00652D85"/>
    <w:rsid w:val="006532A4"/>
    <w:rsid w:val="00653AEC"/>
    <w:rsid w:val="006551C1"/>
    <w:rsid w:val="0065663E"/>
    <w:rsid w:val="006568A4"/>
    <w:rsid w:val="0065707C"/>
    <w:rsid w:val="006572E4"/>
    <w:rsid w:val="0065782A"/>
    <w:rsid w:val="00657C49"/>
    <w:rsid w:val="00660139"/>
    <w:rsid w:val="006601E7"/>
    <w:rsid w:val="00662185"/>
    <w:rsid w:val="0066373D"/>
    <w:rsid w:val="00664520"/>
    <w:rsid w:val="00664F39"/>
    <w:rsid w:val="006651E6"/>
    <w:rsid w:val="00671082"/>
    <w:rsid w:val="00671B8A"/>
    <w:rsid w:val="00674DDF"/>
    <w:rsid w:val="00674E32"/>
    <w:rsid w:val="0067553D"/>
    <w:rsid w:val="0067565C"/>
    <w:rsid w:val="006756E4"/>
    <w:rsid w:val="00676927"/>
    <w:rsid w:val="00676DAA"/>
    <w:rsid w:val="00677280"/>
    <w:rsid w:val="006774D2"/>
    <w:rsid w:val="00677737"/>
    <w:rsid w:val="006800F7"/>
    <w:rsid w:val="00681C62"/>
    <w:rsid w:val="00682266"/>
    <w:rsid w:val="0068299C"/>
    <w:rsid w:val="006829A6"/>
    <w:rsid w:val="00683113"/>
    <w:rsid w:val="00684302"/>
    <w:rsid w:val="00684DEC"/>
    <w:rsid w:val="00684FCB"/>
    <w:rsid w:val="00686124"/>
    <w:rsid w:val="006871BE"/>
    <w:rsid w:val="00687A71"/>
    <w:rsid w:val="00687CE0"/>
    <w:rsid w:val="00687FA3"/>
    <w:rsid w:val="006907B6"/>
    <w:rsid w:val="00691017"/>
    <w:rsid w:val="0069167B"/>
    <w:rsid w:val="00692F71"/>
    <w:rsid w:val="006935EC"/>
    <w:rsid w:val="00693778"/>
    <w:rsid w:val="00693F61"/>
    <w:rsid w:val="00693FE9"/>
    <w:rsid w:val="006940F0"/>
    <w:rsid w:val="00694AB4"/>
    <w:rsid w:val="00694FAA"/>
    <w:rsid w:val="006951C4"/>
    <w:rsid w:val="0069556D"/>
    <w:rsid w:val="006968D2"/>
    <w:rsid w:val="006974D6"/>
    <w:rsid w:val="0069773D"/>
    <w:rsid w:val="00697741"/>
    <w:rsid w:val="00697AF4"/>
    <w:rsid w:val="006A0BC2"/>
    <w:rsid w:val="006A0EE1"/>
    <w:rsid w:val="006A130C"/>
    <w:rsid w:val="006A15C9"/>
    <w:rsid w:val="006A17F5"/>
    <w:rsid w:val="006A2F70"/>
    <w:rsid w:val="006A35EE"/>
    <w:rsid w:val="006A3B90"/>
    <w:rsid w:val="006A3E1D"/>
    <w:rsid w:val="006A454D"/>
    <w:rsid w:val="006A4F49"/>
    <w:rsid w:val="006A624C"/>
    <w:rsid w:val="006A66D4"/>
    <w:rsid w:val="006A69E8"/>
    <w:rsid w:val="006A7461"/>
    <w:rsid w:val="006A76BE"/>
    <w:rsid w:val="006B0164"/>
    <w:rsid w:val="006B1614"/>
    <w:rsid w:val="006B192A"/>
    <w:rsid w:val="006B1DDC"/>
    <w:rsid w:val="006B223A"/>
    <w:rsid w:val="006B2BCE"/>
    <w:rsid w:val="006B358C"/>
    <w:rsid w:val="006B3982"/>
    <w:rsid w:val="006B489E"/>
    <w:rsid w:val="006B548B"/>
    <w:rsid w:val="006B5F4D"/>
    <w:rsid w:val="006B63AC"/>
    <w:rsid w:val="006B6716"/>
    <w:rsid w:val="006B6845"/>
    <w:rsid w:val="006B6CCD"/>
    <w:rsid w:val="006B768C"/>
    <w:rsid w:val="006B7CEA"/>
    <w:rsid w:val="006B7D38"/>
    <w:rsid w:val="006C0500"/>
    <w:rsid w:val="006C3CC9"/>
    <w:rsid w:val="006C42AF"/>
    <w:rsid w:val="006C4D74"/>
    <w:rsid w:val="006C5341"/>
    <w:rsid w:val="006C5975"/>
    <w:rsid w:val="006C5F99"/>
    <w:rsid w:val="006C6B56"/>
    <w:rsid w:val="006C7DC6"/>
    <w:rsid w:val="006D0564"/>
    <w:rsid w:val="006D1B56"/>
    <w:rsid w:val="006D1E3E"/>
    <w:rsid w:val="006D286F"/>
    <w:rsid w:val="006D2D82"/>
    <w:rsid w:val="006D31A4"/>
    <w:rsid w:val="006D40CF"/>
    <w:rsid w:val="006D4CD8"/>
    <w:rsid w:val="006D4E78"/>
    <w:rsid w:val="006D4EBD"/>
    <w:rsid w:val="006D6954"/>
    <w:rsid w:val="006D6FAB"/>
    <w:rsid w:val="006D758F"/>
    <w:rsid w:val="006D7BD7"/>
    <w:rsid w:val="006D7EC0"/>
    <w:rsid w:val="006E0146"/>
    <w:rsid w:val="006E1273"/>
    <w:rsid w:val="006E1604"/>
    <w:rsid w:val="006E2C91"/>
    <w:rsid w:val="006E2E06"/>
    <w:rsid w:val="006E3485"/>
    <w:rsid w:val="006E397A"/>
    <w:rsid w:val="006E3B1A"/>
    <w:rsid w:val="006E4AF3"/>
    <w:rsid w:val="006E5816"/>
    <w:rsid w:val="006E6122"/>
    <w:rsid w:val="006E61F2"/>
    <w:rsid w:val="006E68BE"/>
    <w:rsid w:val="006E6922"/>
    <w:rsid w:val="006E6B00"/>
    <w:rsid w:val="006E75BE"/>
    <w:rsid w:val="006E774A"/>
    <w:rsid w:val="006F151F"/>
    <w:rsid w:val="006F3BD0"/>
    <w:rsid w:val="006F5439"/>
    <w:rsid w:val="006F58A3"/>
    <w:rsid w:val="006F5DB7"/>
    <w:rsid w:val="006F7344"/>
    <w:rsid w:val="006F7958"/>
    <w:rsid w:val="006F7AA3"/>
    <w:rsid w:val="007005A2"/>
    <w:rsid w:val="00702DED"/>
    <w:rsid w:val="007038F3"/>
    <w:rsid w:val="00703AA8"/>
    <w:rsid w:val="00703C3E"/>
    <w:rsid w:val="00706676"/>
    <w:rsid w:val="00707E68"/>
    <w:rsid w:val="00707EB6"/>
    <w:rsid w:val="00710209"/>
    <w:rsid w:val="007107A6"/>
    <w:rsid w:val="007116A4"/>
    <w:rsid w:val="00712B19"/>
    <w:rsid w:val="00712BDB"/>
    <w:rsid w:val="007137A1"/>
    <w:rsid w:val="007144C6"/>
    <w:rsid w:val="0071480A"/>
    <w:rsid w:val="00715574"/>
    <w:rsid w:val="00715DCA"/>
    <w:rsid w:val="007176C3"/>
    <w:rsid w:val="00717D58"/>
    <w:rsid w:val="00717F47"/>
    <w:rsid w:val="00720038"/>
    <w:rsid w:val="00720681"/>
    <w:rsid w:val="00720891"/>
    <w:rsid w:val="0072106F"/>
    <w:rsid w:val="007233DF"/>
    <w:rsid w:val="0072348C"/>
    <w:rsid w:val="007244C5"/>
    <w:rsid w:val="0072495F"/>
    <w:rsid w:val="00724D94"/>
    <w:rsid w:val="00725520"/>
    <w:rsid w:val="0072572A"/>
    <w:rsid w:val="0072574B"/>
    <w:rsid w:val="00725927"/>
    <w:rsid w:val="00725AD3"/>
    <w:rsid w:val="00726933"/>
    <w:rsid w:val="007273D7"/>
    <w:rsid w:val="0072788B"/>
    <w:rsid w:val="00731B5E"/>
    <w:rsid w:val="007323A3"/>
    <w:rsid w:val="007327CF"/>
    <w:rsid w:val="0073305E"/>
    <w:rsid w:val="00733CDF"/>
    <w:rsid w:val="00734CC1"/>
    <w:rsid w:val="007365DA"/>
    <w:rsid w:val="00736B45"/>
    <w:rsid w:val="00736BBB"/>
    <w:rsid w:val="0073734E"/>
    <w:rsid w:val="007403EF"/>
    <w:rsid w:val="007428C4"/>
    <w:rsid w:val="007428CA"/>
    <w:rsid w:val="00745869"/>
    <w:rsid w:val="007464A7"/>
    <w:rsid w:val="00746E45"/>
    <w:rsid w:val="00747270"/>
    <w:rsid w:val="007476FF"/>
    <w:rsid w:val="00747955"/>
    <w:rsid w:val="00747A09"/>
    <w:rsid w:val="00750291"/>
    <w:rsid w:val="007510C2"/>
    <w:rsid w:val="00751A8B"/>
    <w:rsid w:val="0075213E"/>
    <w:rsid w:val="00752F2E"/>
    <w:rsid w:val="007530F7"/>
    <w:rsid w:val="007531D5"/>
    <w:rsid w:val="00753465"/>
    <w:rsid w:val="0075393C"/>
    <w:rsid w:val="007543A0"/>
    <w:rsid w:val="007552C6"/>
    <w:rsid w:val="00755589"/>
    <w:rsid w:val="00755786"/>
    <w:rsid w:val="00756A8D"/>
    <w:rsid w:val="00756F2C"/>
    <w:rsid w:val="007573A4"/>
    <w:rsid w:val="007575B2"/>
    <w:rsid w:val="007614EF"/>
    <w:rsid w:val="007618C8"/>
    <w:rsid w:val="0076248E"/>
    <w:rsid w:val="0076272C"/>
    <w:rsid w:val="00762A15"/>
    <w:rsid w:val="00762AD8"/>
    <w:rsid w:val="00763259"/>
    <w:rsid w:val="00763287"/>
    <w:rsid w:val="007641AC"/>
    <w:rsid w:val="007646BB"/>
    <w:rsid w:val="00764CAC"/>
    <w:rsid w:val="0076603E"/>
    <w:rsid w:val="007672B8"/>
    <w:rsid w:val="007674E4"/>
    <w:rsid w:val="00767EFE"/>
    <w:rsid w:val="00767FE4"/>
    <w:rsid w:val="00770E6A"/>
    <w:rsid w:val="0077233C"/>
    <w:rsid w:val="00772BDB"/>
    <w:rsid w:val="007737FB"/>
    <w:rsid w:val="00773C2E"/>
    <w:rsid w:val="007749D4"/>
    <w:rsid w:val="007749D8"/>
    <w:rsid w:val="00776526"/>
    <w:rsid w:val="00776F0B"/>
    <w:rsid w:val="007775EF"/>
    <w:rsid w:val="00777608"/>
    <w:rsid w:val="007810D5"/>
    <w:rsid w:val="00781502"/>
    <w:rsid w:val="00781B57"/>
    <w:rsid w:val="00782A9B"/>
    <w:rsid w:val="0078337B"/>
    <w:rsid w:val="00783AE0"/>
    <w:rsid w:val="00783FAB"/>
    <w:rsid w:val="00784BFC"/>
    <w:rsid w:val="00785BC1"/>
    <w:rsid w:val="00786A1E"/>
    <w:rsid w:val="00786B1E"/>
    <w:rsid w:val="00786BA1"/>
    <w:rsid w:val="00790ED0"/>
    <w:rsid w:val="0079199F"/>
    <w:rsid w:val="00792305"/>
    <w:rsid w:val="007923DB"/>
    <w:rsid w:val="007935F4"/>
    <w:rsid w:val="00793C30"/>
    <w:rsid w:val="00794407"/>
    <w:rsid w:val="00796AC9"/>
    <w:rsid w:val="007973B9"/>
    <w:rsid w:val="007A01C6"/>
    <w:rsid w:val="007A02FC"/>
    <w:rsid w:val="007A2473"/>
    <w:rsid w:val="007A3CE7"/>
    <w:rsid w:val="007A3F7E"/>
    <w:rsid w:val="007A3FEB"/>
    <w:rsid w:val="007A5B24"/>
    <w:rsid w:val="007A5F52"/>
    <w:rsid w:val="007B0034"/>
    <w:rsid w:val="007B0114"/>
    <w:rsid w:val="007B0284"/>
    <w:rsid w:val="007B0ADF"/>
    <w:rsid w:val="007B0D20"/>
    <w:rsid w:val="007B0F86"/>
    <w:rsid w:val="007B3092"/>
    <w:rsid w:val="007B36C2"/>
    <w:rsid w:val="007B4079"/>
    <w:rsid w:val="007B4313"/>
    <w:rsid w:val="007B6080"/>
    <w:rsid w:val="007B634C"/>
    <w:rsid w:val="007B7B54"/>
    <w:rsid w:val="007B7DA2"/>
    <w:rsid w:val="007C01D1"/>
    <w:rsid w:val="007C03B5"/>
    <w:rsid w:val="007C081F"/>
    <w:rsid w:val="007C0E0A"/>
    <w:rsid w:val="007C1964"/>
    <w:rsid w:val="007C268E"/>
    <w:rsid w:val="007C2CBE"/>
    <w:rsid w:val="007C3294"/>
    <w:rsid w:val="007C57B5"/>
    <w:rsid w:val="007C5C58"/>
    <w:rsid w:val="007C6431"/>
    <w:rsid w:val="007C6761"/>
    <w:rsid w:val="007C6C79"/>
    <w:rsid w:val="007C6E72"/>
    <w:rsid w:val="007C7336"/>
    <w:rsid w:val="007C748A"/>
    <w:rsid w:val="007C750B"/>
    <w:rsid w:val="007D0125"/>
    <w:rsid w:val="007D02E1"/>
    <w:rsid w:val="007D0D3C"/>
    <w:rsid w:val="007D0EEF"/>
    <w:rsid w:val="007D1D59"/>
    <w:rsid w:val="007D1F27"/>
    <w:rsid w:val="007D24FD"/>
    <w:rsid w:val="007D2FF3"/>
    <w:rsid w:val="007D43FF"/>
    <w:rsid w:val="007D58A0"/>
    <w:rsid w:val="007D6188"/>
    <w:rsid w:val="007D6391"/>
    <w:rsid w:val="007D6872"/>
    <w:rsid w:val="007D6AC6"/>
    <w:rsid w:val="007E0210"/>
    <w:rsid w:val="007E0AEC"/>
    <w:rsid w:val="007E2D10"/>
    <w:rsid w:val="007E300C"/>
    <w:rsid w:val="007E578F"/>
    <w:rsid w:val="007E616F"/>
    <w:rsid w:val="007E752E"/>
    <w:rsid w:val="007E77E7"/>
    <w:rsid w:val="007E7D57"/>
    <w:rsid w:val="007F2B87"/>
    <w:rsid w:val="007F38CF"/>
    <w:rsid w:val="007F3945"/>
    <w:rsid w:val="007F403F"/>
    <w:rsid w:val="007F5969"/>
    <w:rsid w:val="007F7140"/>
    <w:rsid w:val="007F72BC"/>
    <w:rsid w:val="007F79C9"/>
    <w:rsid w:val="00800E2F"/>
    <w:rsid w:val="0080115B"/>
    <w:rsid w:val="00801505"/>
    <w:rsid w:val="00801938"/>
    <w:rsid w:val="00801FE0"/>
    <w:rsid w:val="008025C3"/>
    <w:rsid w:val="0080333B"/>
    <w:rsid w:val="008035F9"/>
    <w:rsid w:val="00803AAD"/>
    <w:rsid w:val="00803D96"/>
    <w:rsid w:val="00804250"/>
    <w:rsid w:val="00805207"/>
    <w:rsid w:val="0080597D"/>
    <w:rsid w:val="008064B5"/>
    <w:rsid w:val="00806A05"/>
    <w:rsid w:val="00807797"/>
    <w:rsid w:val="00807D48"/>
    <w:rsid w:val="00810E01"/>
    <w:rsid w:val="00811DD9"/>
    <w:rsid w:val="0081212B"/>
    <w:rsid w:val="00817C5B"/>
    <w:rsid w:val="00817DA8"/>
    <w:rsid w:val="008201CC"/>
    <w:rsid w:val="00820F97"/>
    <w:rsid w:val="0082125D"/>
    <w:rsid w:val="0082131C"/>
    <w:rsid w:val="00821927"/>
    <w:rsid w:val="00822BA1"/>
    <w:rsid w:val="00822EE0"/>
    <w:rsid w:val="00823A3A"/>
    <w:rsid w:val="00823AEA"/>
    <w:rsid w:val="00823C29"/>
    <w:rsid w:val="00824674"/>
    <w:rsid w:val="008257D0"/>
    <w:rsid w:val="00826AC1"/>
    <w:rsid w:val="008271DB"/>
    <w:rsid w:val="0082774C"/>
    <w:rsid w:val="008279CD"/>
    <w:rsid w:val="00827AA3"/>
    <w:rsid w:val="00832773"/>
    <w:rsid w:val="00833158"/>
    <w:rsid w:val="00833EFB"/>
    <w:rsid w:val="008344E6"/>
    <w:rsid w:val="008346B0"/>
    <w:rsid w:val="00834C6A"/>
    <w:rsid w:val="008353F7"/>
    <w:rsid w:val="00835B5B"/>
    <w:rsid w:val="00836264"/>
    <w:rsid w:val="008363C4"/>
    <w:rsid w:val="00837E78"/>
    <w:rsid w:val="0084136E"/>
    <w:rsid w:val="00841AA0"/>
    <w:rsid w:val="00841DD1"/>
    <w:rsid w:val="00843FC1"/>
    <w:rsid w:val="00844B08"/>
    <w:rsid w:val="00845711"/>
    <w:rsid w:val="008461D4"/>
    <w:rsid w:val="00847161"/>
    <w:rsid w:val="00850438"/>
    <w:rsid w:val="00850630"/>
    <w:rsid w:val="00850BE5"/>
    <w:rsid w:val="00851C6B"/>
    <w:rsid w:val="008526F4"/>
    <w:rsid w:val="008529BF"/>
    <w:rsid w:val="00852E09"/>
    <w:rsid w:val="00853026"/>
    <w:rsid w:val="00854255"/>
    <w:rsid w:val="00854AB4"/>
    <w:rsid w:val="00855EF9"/>
    <w:rsid w:val="00856CEE"/>
    <w:rsid w:val="00857EB7"/>
    <w:rsid w:val="00857FA3"/>
    <w:rsid w:val="0086065C"/>
    <w:rsid w:val="00860BDA"/>
    <w:rsid w:val="00860E32"/>
    <w:rsid w:val="00862839"/>
    <w:rsid w:val="00862F9F"/>
    <w:rsid w:val="0086324A"/>
    <w:rsid w:val="00863AB0"/>
    <w:rsid w:val="008647ED"/>
    <w:rsid w:val="00864D07"/>
    <w:rsid w:val="00865663"/>
    <w:rsid w:val="0086568D"/>
    <w:rsid w:val="00867CD9"/>
    <w:rsid w:val="0087036B"/>
    <w:rsid w:val="00870651"/>
    <w:rsid w:val="00871781"/>
    <w:rsid w:val="008718C1"/>
    <w:rsid w:val="0087195B"/>
    <w:rsid w:val="008722B6"/>
    <w:rsid w:val="00872B57"/>
    <w:rsid w:val="00872B89"/>
    <w:rsid w:val="008732F9"/>
    <w:rsid w:val="008737C7"/>
    <w:rsid w:val="0087391D"/>
    <w:rsid w:val="00873A04"/>
    <w:rsid w:val="008743A6"/>
    <w:rsid w:val="00875BDD"/>
    <w:rsid w:val="008760B6"/>
    <w:rsid w:val="00877F70"/>
    <w:rsid w:val="0088004A"/>
    <w:rsid w:val="008812BC"/>
    <w:rsid w:val="00881A16"/>
    <w:rsid w:val="00881B08"/>
    <w:rsid w:val="00881C9A"/>
    <w:rsid w:val="0088346D"/>
    <w:rsid w:val="0088361D"/>
    <w:rsid w:val="00883812"/>
    <w:rsid w:val="00883A7D"/>
    <w:rsid w:val="00884592"/>
    <w:rsid w:val="00887341"/>
    <w:rsid w:val="008875A8"/>
    <w:rsid w:val="00887F85"/>
    <w:rsid w:val="00890851"/>
    <w:rsid w:val="0089229F"/>
    <w:rsid w:val="00894355"/>
    <w:rsid w:val="0089465C"/>
    <w:rsid w:val="00894F89"/>
    <w:rsid w:val="0089521C"/>
    <w:rsid w:val="00895229"/>
    <w:rsid w:val="008952DF"/>
    <w:rsid w:val="008957FA"/>
    <w:rsid w:val="00895D7D"/>
    <w:rsid w:val="0089635F"/>
    <w:rsid w:val="008A3B13"/>
    <w:rsid w:val="008A3EE3"/>
    <w:rsid w:val="008A43A0"/>
    <w:rsid w:val="008A49CD"/>
    <w:rsid w:val="008A4F73"/>
    <w:rsid w:val="008A5D5B"/>
    <w:rsid w:val="008A634E"/>
    <w:rsid w:val="008A76E7"/>
    <w:rsid w:val="008B0CF2"/>
    <w:rsid w:val="008B0D7E"/>
    <w:rsid w:val="008B0F91"/>
    <w:rsid w:val="008B2121"/>
    <w:rsid w:val="008B245E"/>
    <w:rsid w:val="008B2DC5"/>
    <w:rsid w:val="008B510E"/>
    <w:rsid w:val="008B519D"/>
    <w:rsid w:val="008B55DE"/>
    <w:rsid w:val="008B5607"/>
    <w:rsid w:val="008B7460"/>
    <w:rsid w:val="008B74EF"/>
    <w:rsid w:val="008B7CA8"/>
    <w:rsid w:val="008C2E11"/>
    <w:rsid w:val="008C31C7"/>
    <w:rsid w:val="008C3266"/>
    <w:rsid w:val="008C37B6"/>
    <w:rsid w:val="008C46B2"/>
    <w:rsid w:val="008C4EC7"/>
    <w:rsid w:val="008C76BD"/>
    <w:rsid w:val="008D0F70"/>
    <w:rsid w:val="008D120A"/>
    <w:rsid w:val="008D1495"/>
    <w:rsid w:val="008D14C2"/>
    <w:rsid w:val="008D1A58"/>
    <w:rsid w:val="008D1A7A"/>
    <w:rsid w:val="008D2B4E"/>
    <w:rsid w:val="008D2BC0"/>
    <w:rsid w:val="008D30CC"/>
    <w:rsid w:val="008D45E5"/>
    <w:rsid w:val="008D51C4"/>
    <w:rsid w:val="008D5F32"/>
    <w:rsid w:val="008D71FE"/>
    <w:rsid w:val="008D726D"/>
    <w:rsid w:val="008D751F"/>
    <w:rsid w:val="008D7B9A"/>
    <w:rsid w:val="008E1431"/>
    <w:rsid w:val="008E1866"/>
    <w:rsid w:val="008E18EE"/>
    <w:rsid w:val="008E281C"/>
    <w:rsid w:val="008E2DC5"/>
    <w:rsid w:val="008E515C"/>
    <w:rsid w:val="008E552A"/>
    <w:rsid w:val="008E57B0"/>
    <w:rsid w:val="008E6351"/>
    <w:rsid w:val="008E7DF1"/>
    <w:rsid w:val="008E7E5F"/>
    <w:rsid w:val="008F083D"/>
    <w:rsid w:val="008F0883"/>
    <w:rsid w:val="008F332A"/>
    <w:rsid w:val="008F3F91"/>
    <w:rsid w:val="008F46FB"/>
    <w:rsid w:val="008F48CC"/>
    <w:rsid w:val="008F58E9"/>
    <w:rsid w:val="008F5B48"/>
    <w:rsid w:val="008F68D7"/>
    <w:rsid w:val="008F6D6C"/>
    <w:rsid w:val="008F7B6A"/>
    <w:rsid w:val="00900D99"/>
    <w:rsid w:val="00901272"/>
    <w:rsid w:val="009015F9"/>
    <w:rsid w:val="0090419A"/>
    <w:rsid w:val="00904282"/>
    <w:rsid w:val="00904DCA"/>
    <w:rsid w:val="00906985"/>
    <w:rsid w:val="009102F7"/>
    <w:rsid w:val="00912119"/>
    <w:rsid w:val="009129D0"/>
    <w:rsid w:val="00912BB0"/>
    <w:rsid w:val="00913C2E"/>
    <w:rsid w:val="00914A07"/>
    <w:rsid w:val="009150AA"/>
    <w:rsid w:val="0091657C"/>
    <w:rsid w:val="009169E8"/>
    <w:rsid w:val="00916D93"/>
    <w:rsid w:val="00920E9A"/>
    <w:rsid w:val="009214F8"/>
    <w:rsid w:val="0092228C"/>
    <w:rsid w:val="009240F4"/>
    <w:rsid w:val="0092426E"/>
    <w:rsid w:val="009245D4"/>
    <w:rsid w:val="00924666"/>
    <w:rsid w:val="00924DE8"/>
    <w:rsid w:val="00925038"/>
    <w:rsid w:val="009253B0"/>
    <w:rsid w:val="00925852"/>
    <w:rsid w:val="00926517"/>
    <w:rsid w:val="00927D49"/>
    <w:rsid w:val="00930453"/>
    <w:rsid w:val="00930787"/>
    <w:rsid w:val="00930CED"/>
    <w:rsid w:val="00930FB0"/>
    <w:rsid w:val="00931CE5"/>
    <w:rsid w:val="00932D70"/>
    <w:rsid w:val="009330A3"/>
    <w:rsid w:val="0093481F"/>
    <w:rsid w:val="00934BB1"/>
    <w:rsid w:val="00935E35"/>
    <w:rsid w:val="00936172"/>
    <w:rsid w:val="009365E0"/>
    <w:rsid w:val="0093668A"/>
    <w:rsid w:val="00936BC0"/>
    <w:rsid w:val="009403AB"/>
    <w:rsid w:val="00940FF4"/>
    <w:rsid w:val="00941062"/>
    <w:rsid w:val="00943C6A"/>
    <w:rsid w:val="0094461E"/>
    <w:rsid w:val="009474EA"/>
    <w:rsid w:val="00947CB3"/>
    <w:rsid w:val="00950545"/>
    <w:rsid w:val="00950FF1"/>
    <w:rsid w:val="00951321"/>
    <w:rsid w:val="0095330A"/>
    <w:rsid w:val="009533E7"/>
    <w:rsid w:val="00954BF3"/>
    <w:rsid w:val="00955B91"/>
    <w:rsid w:val="00956132"/>
    <w:rsid w:val="00956DFC"/>
    <w:rsid w:val="009603EE"/>
    <w:rsid w:val="009606B7"/>
    <w:rsid w:val="009608FE"/>
    <w:rsid w:val="009613DB"/>
    <w:rsid w:val="00962040"/>
    <w:rsid w:val="00962966"/>
    <w:rsid w:val="00962E8C"/>
    <w:rsid w:val="00963959"/>
    <w:rsid w:val="009639EF"/>
    <w:rsid w:val="00964019"/>
    <w:rsid w:val="009651FC"/>
    <w:rsid w:val="00967851"/>
    <w:rsid w:val="00967D6E"/>
    <w:rsid w:val="00970558"/>
    <w:rsid w:val="0097182E"/>
    <w:rsid w:val="00971BE5"/>
    <w:rsid w:val="00971F33"/>
    <w:rsid w:val="009720BC"/>
    <w:rsid w:val="00972E96"/>
    <w:rsid w:val="009735FA"/>
    <w:rsid w:val="00973B47"/>
    <w:rsid w:val="009747AA"/>
    <w:rsid w:val="00974C28"/>
    <w:rsid w:val="009761B7"/>
    <w:rsid w:val="009772DD"/>
    <w:rsid w:val="0098015C"/>
    <w:rsid w:val="00980EB9"/>
    <w:rsid w:val="00980FF9"/>
    <w:rsid w:val="0098265C"/>
    <w:rsid w:val="009830D4"/>
    <w:rsid w:val="00983E2B"/>
    <w:rsid w:val="00984640"/>
    <w:rsid w:val="009846A9"/>
    <w:rsid w:val="00985A63"/>
    <w:rsid w:val="00986B8C"/>
    <w:rsid w:val="00986D8C"/>
    <w:rsid w:val="00987070"/>
    <w:rsid w:val="009870D5"/>
    <w:rsid w:val="00987A99"/>
    <w:rsid w:val="00987F23"/>
    <w:rsid w:val="009900A3"/>
    <w:rsid w:val="00991462"/>
    <w:rsid w:val="0099234F"/>
    <w:rsid w:val="00992BAD"/>
    <w:rsid w:val="00993E59"/>
    <w:rsid w:val="00994C43"/>
    <w:rsid w:val="0099521E"/>
    <w:rsid w:val="00996749"/>
    <w:rsid w:val="009979D6"/>
    <w:rsid w:val="00997A48"/>
    <w:rsid w:val="00997CEA"/>
    <w:rsid w:val="009A0AA3"/>
    <w:rsid w:val="009A0BD2"/>
    <w:rsid w:val="009A0D74"/>
    <w:rsid w:val="009A2117"/>
    <w:rsid w:val="009A25EF"/>
    <w:rsid w:val="009A3606"/>
    <w:rsid w:val="009A38DB"/>
    <w:rsid w:val="009A62C9"/>
    <w:rsid w:val="009A73B2"/>
    <w:rsid w:val="009A76E4"/>
    <w:rsid w:val="009A7A56"/>
    <w:rsid w:val="009B013C"/>
    <w:rsid w:val="009B056E"/>
    <w:rsid w:val="009B122C"/>
    <w:rsid w:val="009B1652"/>
    <w:rsid w:val="009B2368"/>
    <w:rsid w:val="009B29F2"/>
    <w:rsid w:val="009B35F5"/>
    <w:rsid w:val="009B46C1"/>
    <w:rsid w:val="009B5EF1"/>
    <w:rsid w:val="009B6FAB"/>
    <w:rsid w:val="009B74C4"/>
    <w:rsid w:val="009B76CD"/>
    <w:rsid w:val="009B778E"/>
    <w:rsid w:val="009C00EC"/>
    <w:rsid w:val="009C0164"/>
    <w:rsid w:val="009C0A09"/>
    <w:rsid w:val="009C17B8"/>
    <w:rsid w:val="009C3901"/>
    <w:rsid w:val="009C3D7E"/>
    <w:rsid w:val="009C51A8"/>
    <w:rsid w:val="009C60AF"/>
    <w:rsid w:val="009C6BB8"/>
    <w:rsid w:val="009C6BE8"/>
    <w:rsid w:val="009D0DEE"/>
    <w:rsid w:val="009D0EF1"/>
    <w:rsid w:val="009D159C"/>
    <w:rsid w:val="009D185D"/>
    <w:rsid w:val="009D1A63"/>
    <w:rsid w:val="009D1D55"/>
    <w:rsid w:val="009D22B7"/>
    <w:rsid w:val="009D238C"/>
    <w:rsid w:val="009D4F39"/>
    <w:rsid w:val="009D5AF2"/>
    <w:rsid w:val="009D6A81"/>
    <w:rsid w:val="009D71EC"/>
    <w:rsid w:val="009D75EC"/>
    <w:rsid w:val="009E0270"/>
    <w:rsid w:val="009E3E7E"/>
    <w:rsid w:val="009E48FD"/>
    <w:rsid w:val="009E4A9B"/>
    <w:rsid w:val="009E5755"/>
    <w:rsid w:val="009E67A9"/>
    <w:rsid w:val="009E7445"/>
    <w:rsid w:val="009E798F"/>
    <w:rsid w:val="009E7C2C"/>
    <w:rsid w:val="009F0E0A"/>
    <w:rsid w:val="009F386B"/>
    <w:rsid w:val="009F4B85"/>
    <w:rsid w:val="009F6347"/>
    <w:rsid w:val="009F6526"/>
    <w:rsid w:val="009F75A7"/>
    <w:rsid w:val="009F7CDC"/>
    <w:rsid w:val="00A00173"/>
    <w:rsid w:val="00A0117C"/>
    <w:rsid w:val="00A01888"/>
    <w:rsid w:val="00A025F5"/>
    <w:rsid w:val="00A02B3A"/>
    <w:rsid w:val="00A032C7"/>
    <w:rsid w:val="00A041B3"/>
    <w:rsid w:val="00A05E91"/>
    <w:rsid w:val="00A06172"/>
    <w:rsid w:val="00A0619B"/>
    <w:rsid w:val="00A063BA"/>
    <w:rsid w:val="00A06C15"/>
    <w:rsid w:val="00A06E92"/>
    <w:rsid w:val="00A06F90"/>
    <w:rsid w:val="00A07372"/>
    <w:rsid w:val="00A07686"/>
    <w:rsid w:val="00A108DA"/>
    <w:rsid w:val="00A1099D"/>
    <w:rsid w:val="00A1430C"/>
    <w:rsid w:val="00A1433C"/>
    <w:rsid w:val="00A1465B"/>
    <w:rsid w:val="00A1477A"/>
    <w:rsid w:val="00A15C41"/>
    <w:rsid w:val="00A16493"/>
    <w:rsid w:val="00A20859"/>
    <w:rsid w:val="00A20B1C"/>
    <w:rsid w:val="00A2213D"/>
    <w:rsid w:val="00A22238"/>
    <w:rsid w:val="00A22522"/>
    <w:rsid w:val="00A238B2"/>
    <w:rsid w:val="00A23FC3"/>
    <w:rsid w:val="00A24ABB"/>
    <w:rsid w:val="00A24EA6"/>
    <w:rsid w:val="00A25285"/>
    <w:rsid w:val="00A25EF9"/>
    <w:rsid w:val="00A27C64"/>
    <w:rsid w:val="00A27F45"/>
    <w:rsid w:val="00A33C22"/>
    <w:rsid w:val="00A33D92"/>
    <w:rsid w:val="00A34F32"/>
    <w:rsid w:val="00A350D3"/>
    <w:rsid w:val="00A357C7"/>
    <w:rsid w:val="00A36154"/>
    <w:rsid w:val="00A36818"/>
    <w:rsid w:val="00A36896"/>
    <w:rsid w:val="00A36EF8"/>
    <w:rsid w:val="00A372B6"/>
    <w:rsid w:val="00A379E2"/>
    <w:rsid w:val="00A37BBD"/>
    <w:rsid w:val="00A37D98"/>
    <w:rsid w:val="00A37E82"/>
    <w:rsid w:val="00A40F26"/>
    <w:rsid w:val="00A41D03"/>
    <w:rsid w:val="00A41DBB"/>
    <w:rsid w:val="00A42088"/>
    <w:rsid w:val="00A421A3"/>
    <w:rsid w:val="00A4283D"/>
    <w:rsid w:val="00A43E9C"/>
    <w:rsid w:val="00A45D92"/>
    <w:rsid w:val="00A4647A"/>
    <w:rsid w:val="00A46718"/>
    <w:rsid w:val="00A46ABD"/>
    <w:rsid w:val="00A46EF5"/>
    <w:rsid w:val="00A47102"/>
    <w:rsid w:val="00A47E04"/>
    <w:rsid w:val="00A51CAB"/>
    <w:rsid w:val="00A52D8A"/>
    <w:rsid w:val="00A53899"/>
    <w:rsid w:val="00A54468"/>
    <w:rsid w:val="00A55D16"/>
    <w:rsid w:val="00A55F4E"/>
    <w:rsid w:val="00A575FB"/>
    <w:rsid w:val="00A57A72"/>
    <w:rsid w:val="00A57D85"/>
    <w:rsid w:val="00A603DF"/>
    <w:rsid w:val="00A618DF"/>
    <w:rsid w:val="00A6347E"/>
    <w:rsid w:val="00A63518"/>
    <w:rsid w:val="00A63F6E"/>
    <w:rsid w:val="00A64311"/>
    <w:rsid w:val="00A6538A"/>
    <w:rsid w:val="00A6547A"/>
    <w:rsid w:val="00A657FB"/>
    <w:rsid w:val="00A6602A"/>
    <w:rsid w:val="00A66891"/>
    <w:rsid w:val="00A66A67"/>
    <w:rsid w:val="00A66CBC"/>
    <w:rsid w:val="00A71260"/>
    <w:rsid w:val="00A71510"/>
    <w:rsid w:val="00A71CDD"/>
    <w:rsid w:val="00A7253F"/>
    <w:rsid w:val="00A731B5"/>
    <w:rsid w:val="00A73821"/>
    <w:rsid w:val="00A7415B"/>
    <w:rsid w:val="00A7510D"/>
    <w:rsid w:val="00A75C01"/>
    <w:rsid w:val="00A76243"/>
    <w:rsid w:val="00A7797B"/>
    <w:rsid w:val="00A77AC6"/>
    <w:rsid w:val="00A77EAB"/>
    <w:rsid w:val="00A8080E"/>
    <w:rsid w:val="00A81DA2"/>
    <w:rsid w:val="00A822FB"/>
    <w:rsid w:val="00A82381"/>
    <w:rsid w:val="00A8276F"/>
    <w:rsid w:val="00A82880"/>
    <w:rsid w:val="00A82B88"/>
    <w:rsid w:val="00A8434A"/>
    <w:rsid w:val="00A85305"/>
    <w:rsid w:val="00A905D1"/>
    <w:rsid w:val="00A906DE"/>
    <w:rsid w:val="00A90726"/>
    <w:rsid w:val="00A9100A"/>
    <w:rsid w:val="00A91459"/>
    <w:rsid w:val="00A91C5C"/>
    <w:rsid w:val="00A92495"/>
    <w:rsid w:val="00A94483"/>
    <w:rsid w:val="00A94A7B"/>
    <w:rsid w:val="00A95E9B"/>
    <w:rsid w:val="00A97077"/>
    <w:rsid w:val="00A97489"/>
    <w:rsid w:val="00AA09E0"/>
    <w:rsid w:val="00AA0C91"/>
    <w:rsid w:val="00AA1793"/>
    <w:rsid w:val="00AA1ECD"/>
    <w:rsid w:val="00AA32DF"/>
    <w:rsid w:val="00AA3E94"/>
    <w:rsid w:val="00AA53CF"/>
    <w:rsid w:val="00AA690C"/>
    <w:rsid w:val="00AA696D"/>
    <w:rsid w:val="00AA72DF"/>
    <w:rsid w:val="00AA7DA1"/>
    <w:rsid w:val="00AB352E"/>
    <w:rsid w:val="00AB3600"/>
    <w:rsid w:val="00AB3C5D"/>
    <w:rsid w:val="00AB4795"/>
    <w:rsid w:val="00AB496A"/>
    <w:rsid w:val="00AB4CF4"/>
    <w:rsid w:val="00AB5613"/>
    <w:rsid w:val="00AB5A32"/>
    <w:rsid w:val="00AB61B4"/>
    <w:rsid w:val="00AB67B7"/>
    <w:rsid w:val="00AB7976"/>
    <w:rsid w:val="00AC0E57"/>
    <w:rsid w:val="00AC2298"/>
    <w:rsid w:val="00AC2FF0"/>
    <w:rsid w:val="00AC3651"/>
    <w:rsid w:val="00AC3E05"/>
    <w:rsid w:val="00AC41FF"/>
    <w:rsid w:val="00AC4EBA"/>
    <w:rsid w:val="00AC6185"/>
    <w:rsid w:val="00AD152E"/>
    <w:rsid w:val="00AD165E"/>
    <w:rsid w:val="00AD1679"/>
    <w:rsid w:val="00AD1D13"/>
    <w:rsid w:val="00AD200A"/>
    <w:rsid w:val="00AD2291"/>
    <w:rsid w:val="00AD3CD5"/>
    <w:rsid w:val="00AD52E7"/>
    <w:rsid w:val="00AD53E2"/>
    <w:rsid w:val="00AD599A"/>
    <w:rsid w:val="00AD678D"/>
    <w:rsid w:val="00AD72A3"/>
    <w:rsid w:val="00AD778A"/>
    <w:rsid w:val="00AD7A2E"/>
    <w:rsid w:val="00AE15C8"/>
    <w:rsid w:val="00AE1CAC"/>
    <w:rsid w:val="00AE2580"/>
    <w:rsid w:val="00AE2928"/>
    <w:rsid w:val="00AE37C9"/>
    <w:rsid w:val="00AE3C58"/>
    <w:rsid w:val="00AE4F3B"/>
    <w:rsid w:val="00AE5844"/>
    <w:rsid w:val="00AE6D76"/>
    <w:rsid w:val="00AF04B5"/>
    <w:rsid w:val="00AF0FA4"/>
    <w:rsid w:val="00AF2502"/>
    <w:rsid w:val="00AF32D3"/>
    <w:rsid w:val="00AF33EA"/>
    <w:rsid w:val="00AF367A"/>
    <w:rsid w:val="00AF4A3C"/>
    <w:rsid w:val="00AF6104"/>
    <w:rsid w:val="00AF6D17"/>
    <w:rsid w:val="00AF731D"/>
    <w:rsid w:val="00B00DDF"/>
    <w:rsid w:val="00B0130B"/>
    <w:rsid w:val="00B0214B"/>
    <w:rsid w:val="00B02401"/>
    <w:rsid w:val="00B03DF8"/>
    <w:rsid w:val="00B04507"/>
    <w:rsid w:val="00B04730"/>
    <w:rsid w:val="00B055B1"/>
    <w:rsid w:val="00B05E04"/>
    <w:rsid w:val="00B06C02"/>
    <w:rsid w:val="00B07CFF"/>
    <w:rsid w:val="00B10C96"/>
    <w:rsid w:val="00B111AB"/>
    <w:rsid w:val="00B126BE"/>
    <w:rsid w:val="00B15CB4"/>
    <w:rsid w:val="00B15DCF"/>
    <w:rsid w:val="00B15FC1"/>
    <w:rsid w:val="00B16DB4"/>
    <w:rsid w:val="00B21049"/>
    <w:rsid w:val="00B21155"/>
    <w:rsid w:val="00B2152B"/>
    <w:rsid w:val="00B216DB"/>
    <w:rsid w:val="00B21E27"/>
    <w:rsid w:val="00B226F5"/>
    <w:rsid w:val="00B246CA"/>
    <w:rsid w:val="00B24C91"/>
    <w:rsid w:val="00B26143"/>
    <w:rsid w:val="00B26436"/>
    <w:rsid w:val="00B27359"/>
    <w:rsid w:val="00B27C78"/>
    <w:rsid w:val="00B31E3C"/>
    <w:rsid w:val="00B32783"/>
    <w:rsid w:val="00B32800"/>
    <w:rsid w:val="00B32919"/>
    <w:rsid w:val="00B333F2"/>
    <w:rsid w:val="00B341B7"/>
    <w:rsid w:val="00B34930"/>
    <w:rsid w:val="00B34B21"/>
    <w:rsid w:val="00B34C33"/>
    <w:rsid w:val="00B35079"/>
    <w:rsid w:val="00B35AD5"/>
    <w:rsid w:val="00B36990"/>
    <w:rsid w:val="00B36AA6"/>
    <w:rsid w:val="00B36C55"/>
    <w:rsid w:val="00B4039C"/>
    <w:rsid w:val="00B412A0"/>
    <w:rsid w:val="00B41DB8"/>
    <w:rsid w:val="00B42FE0"/>
    <w:rsid w:val="00B44293"/>
    <w:rsid w:val="00B44D28"/>
    <w:rsid w:val="00B471C4"/>
    <w:rsid w:val="00B47229"/>
    <w:rsid w:val="00B47B33"/>
    <w:rsid w:val="00B50214"/>
    <w:rsid w:val="00B503B3"/>
    <w:rsid w:val="00B5045D"/>
    <w:rsid w:val="00B50A2A"/>
    <w:rsid w:val="00B5157C"/>
    <w:rsid w:val="00B524A9"/>
    <w:rsid w:val="00B52680"/>
    <w:rsid w:val="00B52979"/>
    <w:rsid w:val="00B53F3E"/>
    <w:rsid w:val="00B5494D"/>
    <w:rsid w:val="00B54C99"/>
    <w:rsid w:val="00B54D5A"/>
    <w:rsid w:val="00B5537A"/>
    <w:rsid w:val="00B559E2"/>
    <w:rsid w:val="00B55F18"/>
    <w:rsid w:val="00B56235"/>
    <w:rsid w:val="00B568D2"/>
    <w:rsid w:val="00B601FE"/>
    <w:rsid w:val="00B60D11"/>
    <w:rsid w:val="00B6217A"/>
    <w:rsid w:val="00B622E5"/>
    <w:rsid w:val="00B6293D"/>
    <w:rsid w:val="00B65838"/>
    <w:rsid w:val="00B66BF9"/>
    <w:rsid w:val="00B67ED6"/>
    <w:rsid w:val="00B70B60"/>
    <w:rsid w:val="00B714A9"/>
    <w:rsid w:val="00B72026"/>
    <w:rsid w:val="00B72534"/>
    <w:rsid w:val="00B727C4"/>
    <w:rsid w:val="00B737BD"/>
    <w:rsid w:val="00B75314"/>
    <w:rsid w:val="00B7674C"/>
    <w:rsid w:val="00B770D0"/>
    <w:rsid w:val="00B80C94"/>
    <w:rsid w:val="00B810E5"/>
    <w:rsid w:val="00B813D5"/>
    <w:rsid w:val="00B83185"/>
    <w:rsid w:val="00B83566"/>
    <w:rsid w:val="00B84D9C"/>
    <w:rsid w:val="00B86954"/>
    <w:rsid w:val="00B86E99"/>
    <w:rsid w:val="00B91A11"/>
    <w:rsid w:val="00B92976"/>
    <w:rsid w:val="00B93923"/>
    <w:rsid w:val="00B94997"/>
    <w:rsid w:val="00B96014"/>
    <w:rsid w:val="00B96FBA"/>
    <w:rsid w:val="00BA44D7"/>
    <w:rsid w:val="00BA4C96"/>
    <w:rsid w:val="00BA4E72"/>
    <w:rsid w:val="00BA530A"/>
    <w:rsid w:val="00BA5DEA"/>
    <w:rsid w:val="00BA6493"/>
    <w:rsid w:val="00BA759F"/>
    <w:rsid w:val="00BA78C7"/>
    <w:rsid w:val="00BB0BA1"/>
    <w:rsid w:val="00BB10D8"/>
    <w:rsid w:val="00BB3635"/>
    <w:rsid w:val="00BB380B"/>
    <w:rsid w:val="00BB3A57"/>
    <w:rsid w:val="00BB4A58"/>
    <w:rsid w:val="00BB5291"/>
    <w:rsid w:val="00BB5628"/>
    <w:rsid w:val="00BB6A99"/>
    <w:rsid w:val="00BB6B73"/>
    <w:rsid w:val="00BB6B80"/>
    <w:rsid w:val="00BC143F"/>
    <w:rsid w:val="00BC1B05"/>
    <w:rsid w:val="00BC2295"/>
    <w:rsid w:val="00BC22D9"/>
    <w:rsid w:val="00BC4F1F"/>
    <w:rsid w:val="00BD04A4"/>
    <w:rsid w:val="00BD0A17"/>
    <w:rsid w:val="00BD1849"/>
    <w:rsid w:val="00BD2A83"/>
    <w:rsid w:val="00BD2D56"/>
    <w:rsid w:val="00BD3628"/>
    <w:rsid w:val="00BD46C3"/>
    <w:rsid w:val="00BD5D8C"/>
    <w:rsid w:val="00BD7F0C"/>
    <w:rsid w:val="00BD7F27"/>
    <w:rsid w:val="00BE0484"/>
    <w:rsid w:val="00BE1B77"/>
    <w:rsid w:val="00BE328C"/>
    <w:rsid w:val="00BE360E"/>
    <w:rsid w:val="00BE3E0D"/>
    <w:rsid w:val="00BE43F8"/>
    <w:rsid w:val="00BE45CD"/>
    <w:rsid w:val="00BE55F3"/>
    <w:rsid w:val="00BE55F8"/>
    <w:rsid w:val="00BE5F58"/>
    <w:rsid w:val="00BE65A1"/>
    <w:rsid w:val="00BE679B"/>
    <w:rsid w:val="00BE694B"/>
    <w:rsid w:val="00BE6A51"/>
    <w:rsid w:val="00BE6ADB"/>
    <w:rsid w:val="00BE73DB"/>
    <w:rsid w:val="00BE7C62"/>
    <w:rsid w:val="00BF0EE8"/>
    <w:rsid w:val="00BF126F"/>
    <w:rsid w:val="00BF214F"/>
    <w:rsid w:val="00BF3034"/>
    <w:rsid w:val="00BF4AEA"/>
    <w:rsid w:val="00BF4D6D"/>
    <w:rsid w:val="00BF5139"/>
    <w:rsid w:val="00BF59DA"/>
    <w:rsid w:val="00BF6353"/>
    <w:rsid w:val="00BF7474"/>
    <w:rsid w:val="00C008B1"/>
    <w:rsid w:val="00C00B22"/>
    <w:rsid w:val="00C00EF0"/>
    <w:rsid w:val="00C01E5E"/>
    <w:rsid w:val="00C02ACF"/>
    <w:rsid w:val="00C03413"/>
    <w:rsid w:val="00C04355"/>
    <w:rsid w:val="00C04AA8"/>
    <w:rsid w:val="00C0607A"/>
    <w:rsid w:val="00C061CC"/>
    <w:rsid w:val="00C06A82"/>
    <w:rsid w:val="00C0767B"/>
    <w:rsid w:val="00C109CA"/>
    <w:rsid w:val="00C10EDF"/>
    <w:rsid w:val="00C10F14"/>
    <w:rsid w:val="00C110D6"/>
    <w:rsid w:val="00C12576"/>
    <w:rsid w:val="00C12C81"/>
    <w:rsid w:val="00C12F2B"/>
    <w:rsid w:val="00C135F9"/>
    <w:rsid w:val="00C148F1"/>
    <w:rsid w:val="00C16883"/>
    <w:rsid w:val="00C20D8E"/>
    <w:rsid w:val="00C2209B"/>
    <w:rsid w:val="00C22C27"/>
    <w:rsid w:val="00C24077"/>
    <w:rsid w:val="00C25363"/>
    <w:rsid w:val="00C26143"/>
    <w:rsid w:val="00C26A09"/>
    <w:rsid w:val="00C273C2"/>
    <w:rsid w:val="00C27623"/>
    <w:rsid w:val="00C27879"/>
    <w:rsid w:val="00C30095"/>
    <w:rsid w:val="00C31C82"/>
    <w:rsid w:val="00C31EA9"/>
    <w:rsid w:val="00C33219"/>
    <w:rsid w:val="00C340AA"/>
    <w:rsid w:val="00C34357"/>
    <w:rsid w:val="00C3495B"/>
    <w:rsid w:val="00C34C5B"/>
    <w:rsid w:val="00C34CD1"/>
    <w:rsid w:val="00C34E64"/>
    <w:rsid w:val="00C354D2"/>
    <w:rsid w:val="00C35631"/>
    <w:rsid w:val="00C35AD4"/>
    <w:rsid w:val="00C35CA7"/>
    <w:rsid w:val="00C36098"/>
    <w:rsid w:val="00C3667D"/>
    <w:rsid w:val="00C37323"/>
    <w:rsid w:val="00C375EC"/>
    <w:rsid w:val="00C41157"/>
    <w:rsid w:val="00C41259"/>
    <w:rsid w:val="00C41C1D"/>
    <w:rsid w:val="00C431EF"/>
    <w:rsid w:val="00C432FE"/>
    <w:rsid w:val="00C44D1B"/>
    <w:rsid w:val="00C45170"/>
    <w:rsid w:val="00C46EEB"/>
    <w:rsid w:val="00C50B0F"/>
    <w:rsid w:val="00C51D8E"/>
    <w:rsid w:val="00C5337D"/>
    <w:rsid w:val="00C53645"/>
    <w:rsid w:val="00C551A2"/>
    <w:rsid w:val="00C570C7"/>
    <w:rsid w:val="00C57312"/>
    <w:rsid w:val="00C5758C"/>
    <w:rsid w:val="00C61456"/>
    <w:rsid w:val="00C61AE5"/>
    <w:rsid w:val="00C620F7"/>
    <w:rsid w:val="00C625AB"/>
    <w:rsid w:val="00C63ADE"/>
    <w:rsid w:val="00C644CA"/>
    <w:rsid w:val="00C64EBC"/>
    <w:rsid w:val="00C6557F"/>
    <w:rsid w:val="00C65CC2"/>
    <w:rsid w:val="00C65D37"/>
    <w:rsid w:val="00C66005"/>
    <w:rsid w:val="00C6653B"/>
    <w:rsid w:val="00C66E46"/>
    <w:rsid w:val="00C67861"/>
    <w:rsid w:val="00C70931"/>
    <w:rsid w:val="00C70993"/>
    <w:rsid w:val="00C70CE4"/>
    <w:rsid w:val="00C7157D"/>
    <w:rsid w:val="00C71A9D"/>
    <w:rsid w:val="00C7220D"/>
    <w:rsid w:val="00C728BF"/>
    <w:rsid w:val="00C72FC0"/>
    <w:rsid w:val="00C73E06"/>
    <w:rsid w:val="00C74667"/>
    <w:rsid w:val="00C74E15"/>
    <w:rsid w:val="00C7629D"/>
    <w:rsid w:val="00C7632B"/>
    <w:rsid w:val="00C7716F"/>
    <w:rsid w:val="00C77E1E"/>
    <w:rsid w:val="00C802C5"/>
    <w:rsid w:val="00C802C7"/>
    <w:rsid w:val="00C8065A"/>
    <w:rsid w:val="00C823C0"/>
    <w:rsid w:val="00C8443D"/>
    <w:rsid w:val="00C84656"/>
    <w:rsid w:val="00C85511"/>
    <w:rsid w:val="00C85F67"/>
    <w:rsid w:val="00C870DE"/>
    <w:rsid w:val="00C87EE3"/>
    <w:rsid w:val="00C90814"/>
    <w:rsid w:val="00C93111"/>
    <w:rsid w:val="00C9474F"/>
    <w:rsid w:val="00C96344"/>
    <w:rsid w:val="00C9682A"/>
    <w:rsid w:val="00C97D31"/>
    <w:rsid w:val="00CA0116"/>
    <w:rsid w:val="00CA04E1"/>
    <w:rsid w:val="00CA2378"/>
    <w:rsid w:val="00CA3F7A"/>
    <w:rsid w:val="00CA4A19"/>
    <w:rsid w:val="00CA5256"/>
    <w:rsid w:val="00CA577E"/>
    <w:rsid w:val="00CA5891"/>
    <w:rsid w:val="00CA5CA6"/>
    <w:rsid w:val="00CA61A6"/>
    <w:rsid w:val="00CA6241"/>
    <w:rsid w:val="00CA6BF5"/>
    <w:rsid w:val="00CA6DE6"/>
    <w:rsid w:val="00CA6DFA"/>
    <w:rsid w:val="00CB04FA"/>
    <w:rsid w:val="00CB44AA"/>
    <w:rsid w:val="00CB4692"/>
    <w:rsid w:val="00CB55CC"/>
    <w:rsid w:val="00CB5749"/>
    <w:rsid w:val="00CB5E05"/>
    <w:rsid w:val="00CB5EB6"/>
    <w:rsid w:val="00CB5EFB"/>
    <w:rsid w:val="00CB64EA"/>
    <w:rsid w:val="00CB7487"/>
    <w:rsid w:val="00CB7CB2"/>
    <w:rsid w:val="00CC12EB"/>
    <w:rsid w:val="00CC261C"/>
    <w:rsid w:val="00CC283B"/>
    <w:rsid w:val="00CC2FAE"/>
    <w:rsid w:val="00CC3C35"/>
    <w:rsid w:val="00CC4535"/>
    <w:rsid w:val="00CC46D2"/>
    <w:rsid w:val="00CC4B2A"/>
    <w:rsid w:val="00CC5491"/>
    <w:rsid w:val="00CC61F6"/>
    <w:rsid w:val="00CC62BD"/>
    <w:rsid w:val="00CC695F"/>
    <w:rsid w:val="00CC78D8"/>
    <w:rsid w:val="00CD01A6"/>
    <w:rsid w:val="00CD0519"/>
    <w:rsid w:val="00CD1CC6"/>
    <w:rsid w:val="00CD21C2"/>
    <w:rsid w:val="00CD5D96"/>
    <w:rsid w:val="00CD6613"/>
    <w:rsid w:val="00CD664C"/>
    <w:rsid w:val="00CD7AC2"/>
    <w:rsid w:val="00CE058C"/>
    <w:rsid w:val="00CE086C"/>
    <w:rsid w:val="00CE0969"/>
    <w:rsid w:val="00CE0DFD"/>
    <w:rsid w:val="00CE2768"/>
    <w:rsid w:val="00CE28FF"/>
    <w:rsid w:val="00CE2DCB"/>
    <w:rsid w:val="00CE3D5B"/>
    <w:rsid w:val="00CE51A6"/>
    <w:rsid w:val="00CE62C1"/>
    <w:rsid w:val="00CE68FA"/>
    <w:rsid w:val="00CE6906"/>
    <w:rsid w:val="00CE6E5F"/>
    <w:rsid w:val="00CE7127"/>
    <w:rsid w:val="00CF005E"/>
    <w:rsid w:val="00CF0C9D"/>
    <w:rsid w:val="00CF1327"/>
    <w:rsid w:val="00CF1A41"/>
    <w:rsid w:val="00CF2E03"/>
    <w:rsid w:val="00CF36B0"/>
    <w:rsid w:val="00CF3E8F"/>
    <w:rsid w:val="00CF3EF9"/>
    <w:rsid w:val="00CF40D7"/>
    <w:rsid w:val="00CF4596"/>
    <w:rsid w:val="00CF4D9A"/>
    <w:rsid w:val="00CF5071"/>
    <w:rsid w:val="00CF591B"/>
    <w:rsid w:val="00CF59BD"/>
    <w:rsid w:val="00CF6626"/>
    <w:rsid w:val="00CF70E1"/>
    <w:rsid w:val="00CF7FF6"/>
    <w:rsid w:val="00D00599"/>
    <w:rsid w:val="00D00ECE"/>
    <w:rsid w:val="00D0239A"/>
    <w:rsid w:val="00D045C1"/>
    <w:rsid w:val="00D05CFF"/>
    <w:rsid w:val="00D05FC7"/>
    <w:rsid w:val="00D06A7D"/>
    <w:rsid w:val="00D07231"/>
    <w:rsid w:val="00D072B4"/>
    <w:rsid w:val="00D10C21"/>
    <w:rsid w:val="00D10F4F"/>
    <w:rsid w:val="00D139C1"/>
    <w:rsid w:val="00D140B7"/>
    <w:rsid w:val="00D160B8"/>
    <w:rsid w:val="00D16F79"/>
    <w:rsid w:val="00D17D62"/>
    <w:rsid w:val="00D205A4"/>
    <w:rsid w:val="00D20D1B"/>
    <w:rsid w:val="00D21273"/>
    <w:rsid w:val="00D2133F"/>
    <w:rsid w:val="00D220F1"/>
    <w:rsid w:val="00D222EC"/>
    <w:rsid w:val="00D22A83"/>
    <w:rsid w:val="00D22F53"/>
    <w:rsid w:val="00D24BC5"/>
    <w:rsid w:val="00D24DA3"/>
    <w:rsid w:val="00D26031"/>
    <w:rsid w:val="00D27BBD"/>
    <w:rsid w:val="00D31732"/>
    <w:rsid w:val="00D31DB9"/>
    <w:rsid w:val="00D31F3D"/>
    <w:rsid w:val="00D32651"/>
    <w:rsid w:val="00D32C81"/>
    <w:rsid w:val="00D330E0"/>
    <w:rsid w:val="00D3318E"/>
    <w:rsid w:val="00D333FD"/>
    <w:rsid w:val="00D33C3B"/>
    <w:rsid w:val="00D340B8"/>
    <w:rsid w:val="00D34BB2"/>
    <w:rsid w:val="00D36308"/>
    <w:rsid w:val="00D364EC"/>
    <w:rsid w:val="00D369A0"/>
    <w:rsid w:val="00D36A3B"/>
    <w:rsid w:val="00D375D1"/>
    <w:rsid w:val="00D37EDE"/>
    <w:rsid w:val="00D37F22"/>
    <w:rsid w:val="00D412B1"/>
    <w:rsid w:val="00D4216E"/>
    <w:rsid w:val="00D43003"/>
    <w:rsid w:val="00D434E4"/>
    <w:rsid w:val="00D43C43"/>
    <w:rsid w:val="00D44070"/>
    <w:rsid w:val="00D45BAA"/>
    <w:rsid w:val="00D45C84"/>
    <w:rsid w:val="00D468C5"/>
    <w:rsid w:val="00D4694E"/>
    <w:rsid w:val="00D4697C"/>
    <w:rsid w:val="00D471F9"/>
    <w:rsid w:val="00D47EA0"/>
    <w:rsid w:val="00D50BF3"/>
    <w:rsid w:val="00D50D16"/>
    <w:rsid w:val="00D5125C"/>
    <w:rsid w:val="00D51E66"/>
    <w:rsid w:val="00D529C2"/>
    <w:rsid w:val="00D5372E"/>
    <w:rsid w:val="00D53AC4"/>
    <w:rsid w:val="00D54D04"/>
    <w:rsid w:val="00D55319"/>
    <w:rsid w:val="00D56093"/>
    <w:rsid w:val="00D565FB"/>
    <w:rsid w:val="00D57B55"/>
    <w:rsid w:val="00D57BE9"/>
    <w:rsid w:val="00D57C90"/>
    <w:rsid w:val="00D6147A"/>
    <w:rsid w:val="00D61566"/>
    <w:rsid w:val="00D61684"/>
    <w:rsid w:val="00D61942"/>
    <w:rsid w:val="00D62961"/>
    <w:rsid w:val="00D62A98"/>
    <w:rsid w:val="00D63822"/>
    <w:rsid w:val="00D63BD7"/>
    <w:rsid w:val="00D642D7"/>
    <w:rsid w:val="00D648B5"/>
    <w:rsid w:val="00D64BEF"/>
    <w:rsid w:val="00D66CB0"/>
    <w:rsid w:val="00D66CEC"/>
    <w:rsid w:val="00D707E9"/>
    <w:rsid w:val="00D7089C"/>
    <w:rsid w:val="00D712EB"/>
    <w:rsid w:val="00D71804"/>
    <w:rsid w:val="00D71966"/>
    <w:rsid w:val="00D72B33"/>
    <w:rsid w:val="00D73223"/>
    <w:rsid w:val="00D733DB"/>
    <w:rsid w:val="00D73BF5"/>
    <w:rsid w:val="00D7467E"/>
    <w:rsid w:val="00D7588E"/>
    <w:rsid w:val="00D75F78"/>
    <w:rsid w:val="00D8081E"/>
    <w:rsid w:val="00D80922"/>
    <w:rsid w:val="00D81521"/>
    <w:rsid w:val="00D8169C"/>
    <w:rsid w:val="00D81766"/>
    <w:rsid w:val="00D83AB3"/>
    <w:rsid w:val="00D83C4E"/>
    <w:rsid w:val="00D846AA"/>
    <w:rsid w:val="00D84911"/>
    <w:rsid w:val="00D85E75"/>
    <w:rsid w:val="00D87276"/>
    <w:rsid w:val="00D91142"/>
    <w:rsid w:val="00D91588"/>
    <w:rsid w:val="00D921C0"/>
    <w:rsid w:val="00D92C00"/>
    <w:rsid w:val="00D92D45"/>
    <w:rsid w:val="00D92FCA"/>
    <w:rsid w:val="00D949D9"/>
    <w:rsid w:val="00D94BF6"/>
    <w:rsid w:val="00D95F54"/>
    <w:rsid w:val="00D96461"/>
    <w:rsid w:val="00D96FDB"/>
    <w:rsid w:val="00D9736B"/>
    <w:rsid w:val="00D97865"/>
    <w:rsid w:val="00D97C0C"/>
    <w:rsid w:val="00D97CEB"/>
    <w:rsid w:val="00DA0CB6"/>
    <w:rsid w:val="00DA1785"/>
    <w:rsid w:val="00DA4457"/>
    <w:rsid w:val="00DA54C9"/>
    <w:rsid w:val="00DA69FA"/>
    <w:rsid w:val="00DA7375"/>
    <w:rsid w:val="00DA7784"/>
    <w:rsid w:val="00DB042E"/>
    <w:rsid w:val="00DB240E"/>
    <w:rsid w:val="00DB34FF"/>
    <w:rsid w:val="00DB35A9"/>
    <w:rsid w:val="00DB3DC1"/>
    <w:rsid w:val="00DB442A"/>
    <w:rsid w:val="00DB48C2"/>
    <w:rsid w:val="00DB57EB"/>
    <w:rsid w:val="00DB6017"/>
    <w:rsid w:val="00DB601C"/>
    <w:rsid w:val="00DB721F"/>
    <w:rsid w:val="00DC05AB"/>
    <w:rsid w:val="00DC1B71"/>
    <w:rsid w:val="00DC2083"/>
    <w:rsid w:val="00DC2102"/>
    <w:rsid w:val="00DC27EF"/>
    <w:rsid w:val="00DC2CE2"/>
    <w:rsid w:val="00DC2F6F"/>
    <w:rsid w:val="00DC3080"/>
    <w:rsid w:val="00DC31BE"/>
    <w:rsid w:val="00DC399D"/>
    <w:rsid w:val="00DC3AD4"/>
    <w:rsid w:val="00DC3AEC"/>
    <w:rsid w:val="00DC46B8"/>
    <w:rsid w:val="00DC4862"/>
    <w:rsid w:val="00DC48E0"/>
    <w:rsid w:val="00DC4950"/>
    <w:rsid w:val="00DC54C5"/>
    <w:rsid w:val="00DC54DF"/>
    <w:rsid w:val="00DC7749"/>
    <w:rsid w:val="00DD0684"/>
    <w:rsid w:val="00DD0AFB"/>
    <w:rsid w:val="00DD0B95"/>
    <w:rsid w:val="00DD0CE6"/>
    <w:rsid w:val="00DD2BDF"/>
    <w:rsid w:val="00DD2CF1"/>
    <w:rsid w:val="00DD4E70"/>
    <w:rsid w:val="00DD50C9"/>
    <w:rsid w:val="00DE1BF6"/>
    <w:rsid w:val="00DE1D39"/>
    <w:rsid w:val="00DE2BAB"/>
    <w:rsid w:val="00DE2CA0"/>
    <w:rsid w:val="00DE2E9F"/>
    <w:rsid w:val="00DE3064"/>
    <w:rsid w:val="00DE357D"/>
    <w:rsid w:val="00DE6775"/>
    <w:rsid w:val="00DE6E30"/>
    <w:rsid w:val="00DE7517"/>
    <w:rsid w:val="00DE7666"/>
    <w:rsid w:val="00DE7745"/>
    <w:rsid w:val="00DF1388"/>
    <w:rsid w:val="00DF1F7C"/>
    <w:rsid w:val="00DF2898"/>
    <w:rsid w:val="00DF33C8"/>
    <w:rsid w:val="00DF3688"/>
    <w:rsid w:val="00DF3E66"/>
    <w:rsid w:val="00DF48C6"/>
    <w:rsid w:val="00DF5297"/>
    <w:rsid w:val="00DF5F78"/>
    <w:rsid w:val="00DF5FBE"/>
    <w:rsid w:val="00DF7E80"/>
    <w:rsid w:val="00E016F2"/>
    <w:rsid w:val="00E01FE1"/>
    <w:rsid w:val="00E021FD"/>
    <w:rsid w:val="00E026FE"/>
    <w:rsid w:val="00E0359D"/>
    <w:rsid w:val="00E03684"/>
    <w:rsid w:val="00E043DC"/>
    <w:rsid w:val="00E05A3B"/>
    <w:rsid w:val="00E06774"/>
    <w:rsid w:val="00E072BC"/>
    <w:rsid w:val="00E07E7F"/>
    <w:rsid w:val="00E10205"/>
    <w:rsid w:val="00E108B2"/>
    <w:rsid w:val="00E10CFF"/>
    <w:rsid w:val="00E112B7"/>
    <w:rsid w:val="00E12709"/>
    <w:rsid w:val="00E1270A"/>
    <w:rsid w:val="00E128B7"/>
    <w:rsid w:val="00E12B71"/>
    <w:rsid w:val="00E148E1"/>
    <w:rsid w:val="00E14D22"/>
    <w:rsid w:val="00E1560E"/>
    <w:rsid w:val="00E15E11"/>
    <w:rsid w:val="00E161F1"/>
    <w:rsid w:val="00E17A68"/>
    <w:rsid w:val="00E17B95"/>
    <w:rsid w:val="00E202DF"/>
    <w:rsid w:val="00E20E39"/>
    <w:rsid w:val="00E22145"/>
    <w:rsid w:val="00E2293E"/>
    <w:rsid w:val="00E22F6E"/>
    <w:rsid w:val="00E23D96"/>
    <w:rsid w:val="00E2617F"/>
    <w:rsid w:val="00E267E8"/>
    <w:rsid w:val="00E2682D"/>
    <w:rsid w:val="00E2728C"/>
    <w:rsid w:val="00E301CE"/>
    <w:rsid w:val="00E30E46"/>
    <w:rsid w:val="00E3109A"/>
    <w:rsid w:val="00E32CA8"/>
    <w:rsid w:val="00E33873"/>
    <w:rsid w:val="00E338DF"/>
    <w:rsid w:val="00E33CD2"/>
    <w:rsid w:val="00E33D56"/>
    <w:rsid w:val="00E34864"/>
    <w:rsid w:val="00E35274"/>
    <w:rsid w:val="00E3571E"/>
    <w:rsid w:val="00E36592"/>
    <w:rsid w:val="00E37316"/>
    <w:rsid w:val="00E375D4"/>
    <w:rsid w:val="00E37EED"/>
    <w:rsid w:val="00E412A4"/>
    <w:rsid w:val="00E417C5"/>
    <w:rsid w:val="00E419B4"/>
    <w:rsid w:val="00E43282"/>
    <w:rsid w:val="00E43410"/>
    <w:rsid w:val="00E43D6E"/>
    <w:rsid w:val="00E43E6D"/>
    <w:rsid w:val="00E4414F"/>
    <w:rsid w:val="00E524BB"/>
    <w:rsid w:val="00E527D2"/>
    <w:rsid w:val="00E52D79"/>
    <w:rsid w:val="00E52E8B"/>
    <w:rsid w:val="00E532C9"/>
    <w:rsid w:val="00E53596"/>
    <w:rsid w:val="00E54B5B"/>
    <w:rsid w:val="00E54ED5"/>
    <w:rsid w:val="00E56BDA"/>
    <w:rsid w:val="00E56FB6"/>
    <w:rsid w:val="00E60865"/>
    <w:rsid w:val="00E61AAF"/>
    <w:rsid w:val="00E61F94"/>
    <w:rsid w:val="00E62D89"/>
    <w:rsid w:val="00E62F6C"/>
    <w:rsid w:val="00E63A80"/>
    <w:rsid w:val="00E63BFE"/>
    <w:rsid w:val="00E65332"/>
    <w:rsid w:val="00E65D0A"/>
    <w:rsid w:val="00E65D0D"/>
    <w:rsid w:val="00E65D9F"/>
    <w:rsid w:val="00E6693B"/>
    <w:rsid w:val="00E67044"/>
    <w:rsid w:val="00E674D0"/>
    <w:rsid w:val="00E678D2"/>
    <w:rsid w:val="00E67B63"/>
    <w:rsid w:val="00E700EB"/>
    <w:rsid w:val="00E701D4"/>
    <w:rsid w:val="00E70892"/>
    <w:rsid w:val="00E70C34"/>
    <w:rsid w:val="00E713E7"/>
    <w:rsid w:val="00E7193D"/>
    <w:rsid w:val="00E72CA5"/>
    <w:rsid w:val="00E73FA1"/>
    <w:rsid w:val="00E74722"/>
    <w:rsid w:val="00E751CA"/>
    <w:rsid w:val="00E7625E"/>
    <w:rsid w:val="00E76BFA"/>
    <w:rsid w:val="00E800B5"/>
    <w:rsid w:val="00E806CF"/>
    <w:rsid w:val="00E814A8"/>
    <w:rsid w:val="00E831FD"/>
    <w:rsid w:val="00E83451"/>
    <w:rsid w:val="00E84E5C"/>
    <w:rsid w:val="00E85C59"/>
    <w:rsid w:val="00E86606"/>
    <w:rsid w:val="00E867B6"/>
    <w:rsid w:val="00E8726A"/>
    <w:rsid w:val="00E8726D"/>
    <w:rsid w:val="00E87770"/>
    <w:rsid w:val="00E90314"/>
    <w:rsid w:val="00E90DBC"/>
    <w:rsid w:val="00E92765"/>
    <w:rsid w:val="00E94D14"/>
    <w:rsid w:val="00E94ED1"/>
    <w:rsid w:val="00E959B0"/>
    <w:rsid w:val="00EA0126"/>
    <w:rsid w:val="00EA198C"/>
    <w:rsid w:val="00EA1C32"/>
    <w:rsid w:val="00EA2EE8"/>
    <w:rsid w:val="00EA3081"/>
    <w:rsid w:val="00EA4418"/>
    <w:rsid w:val="00EA4689"/>
    <w:rsid w:val="00EA4D94"/>
    <w:rsid w:val="00EA4E61"/>
    <w:rsid w:val="00EA59A3"/>
    <w:rsid w:val="00EA68AC"/>
    <w:rsid w:val="00EA7B30"/>
    <w:rsid w:val="00EA7B74"/>
    <w:rsid w:val="00EB06BA"/>
    <w:rsid w:val="00EB0F53"/>
    <w:rsid w:val="00EB102E"/>
    <w:rsid w:val="00EB1B05"/>
    <w:rsid w:val="00EB2BA4"/>
    <w:rsid w:val="00EB2F9D"/>
    <w:rsid w:val="00EB2FBE"/>
    <w:rsid w:val="00EB45ED"/>
    <w:rsid w:val="00EB51B3"/>
    <w:rsid w:val="00EB5E80"/>
    <w:rsid w:val="00EB5FFF"/>
    <w:rsid w:val="00EB7610"/>
    <w:rsid w:val="00EB79A1"/>
    <w:rsid w:val="00EB7AB9"/>
    <w:rsid w:val="00EB7D9B"/>
    <w:rsid w:val="00EC00B5"/>
    <w:rsid w:val="00EC146D"/>
    <w:rsid w:val="00EC1668"/>
    <w:rsid w:val="00EC1899"/>
    <w:rsid w:val="00EC25A8"/>
    <w:rsid w:val="00EC309D"/>
    <w:rsid w:val="00EC3809"/>
    <w:rsid w:val="00EC5391"/>
    <w:rsid w:val="00EC564C"/>
    <w:rsid w:val="00EC573A"/>
    <w:rsid w:val="00EC580A"/>
    <w:rsid w:val="00EC75B3"/>
    <w:rsid w:val="00EC7AD7"/>
    <w:rsid w:val="00ED0052"/>
    <w:rsid w:val="00ED0478"/>
    <w:rsid w:val="00ED0669"/>
    <w:rsid w:val="00ED07F0"/>
    <w:rsid w:val="00ED1E69"/>
    <w:rsid w:val="00ED333D"/>
    <w:rsid w:val="00ED3593"/>
    <w:rsid w:val="00ED39A8"/>
    <w:rsid w:val="00ED6EEF"/>
    <w:rsid w:val="00EE095A"/>
    <w:rsid w:val="00EE17DA"/>
    <w:rsid w:val="00EE3413"/>
    <w:rsid w:val="00EE360F"/>
    <w:rsid w:val="00EE3ECD"/>
    <w:rsid w:val="00EE46ED"/>
    <w:rsid w:val="00EE47B8"/>
    <w:rsid w:val="00EE4A33"/>
    <w:rsid w:val="00EE50FC"/>
    <w:rsid w:val="00EE5215"/>
    <w:rsid w:val="00EE5D63"/>
    <w:rsid w:val="00EE6E61"/>
    <w:rsid w:val="00EE7BC3"/>
    <w:rsid w:val="00EE7EF3"/>
    <w:rsid w:val="00EF0826"/>
    <w:rsid w:val="00EF1766"/>
    <w:rsid w:val="00EF29B2"/>
    <w:rsid w:val="00EF318F"/>
    <w:rsid w:val="00EF3ABF"/>
    <w:rsid w:val="00EF3DD7"/>
    <w:rsid w:val="00EF44A6"/>
    <w:rsid w:val="00EF45B8"/>
    <w:rsid w:val="00EF4879"/>
    <w:rsid w:val="00EF6785"/>
    <w:rsid w:val="00EF7391"/>
    <w:rsid w:val="00EF7648"/>
    <w:rsid w:val="00EF768D"/>
    <w:rsid w:val="00EF774A"/>
    <w:rsid w:val="00EF7CBB"/>
    <w:rsid w:val="00F01C69"/>
    <w:rsid w:val="00F0204A"/>
    <w:rsid w:val="00F03C09"/>
    <w:rsid w:val="00F03E10"/>
    <w:rsid w:val="00F0511D"/>
    <w:rsid w:val="00F060EC"/>
    <w:rsid w:val="00F078AE"/>
    <w:rsid w:val="00F10B98"/>
    <w:rsid w:val="00F11D9B"/>
    <w:rsid w:val="00F12200"/>
    <w:rsid w:val="00F12B91"/>
    <w:rsid w:val="00F12F64"/>
    <w:rsid w:val="00F13C7D"/>
    <w:rsid w:val="00F13D6E"/>
    <w:rsid w:val="00F14D6F"/>
    <w:rsid w:val="00F158BC"/>
    <w:rsid w:val="00F15F0E"/>
    <w:rsid w:val="00F15F94"/>
    <w:rsid w:val="00F174F0"/>
    <w:rsid w:val="00F17F08"/>
    <w:rsid w:val="00F206A4"/>
    <w:rsid w:val="00F20904"/>
    <w:rsid w:val="00F212E7"/>
    <w:rsid w:val="00F2147F"/>
    <w:rsid w:val="00F21F4B"/>
    <w:rsid w:val="00F236AF"/>
    <w:rsid w:val="00F23898"/>
    <w:rsid w:val="00F23B14"/>
    <w:rsid w:val="00F24567"/>
    <w:rsid w:val="00F261E5"/>
    <w:rsid w:val="00F263E7"/>
    <w:rsid w:val="00F27B49"/>
    <w:rsid w:val="00F309C6"/>
    <w:rsid w:val="00F310CE"/>
    <w:rsid w:val="00F32645"/>
    <w:rsid w:val="00F326F8"/>
    <w:rsid w:val="00F3352E"/>
    <w:rsid w:val="00F33D6D"/>
    <w:rsid w:val="00F34C5D"/>
    <w:rsid w:val="00F3614C"/>
    <w:rsid w:val="00F371FB"/>
    <w:rsid w:val="00F377FB"/>
    <w:rsid w:val="00F37A28"/>
    <w:rsid w:val="00F400D7"/>
    <w:rsid w:val="00F40A2F"/>
    <w:rsid w:val="00F42611"/>
    <w:rsid w:val="00F42F3A"/>
    <w:rsid w:val="00F459A5"/>
    <w:rsid w:val="00F46696"/>
    <w:rsid w:val="00F46ED5"/>
    <w:rsid w:val="00F47EE8"/>
    <w:rsid w:val="00F50405"/>
    <w:rsid w:val="00F506D7"/>
    <w:rsid w:val="00F50C32"/>
    <w:rsid w:val="00F51758"/>
    <w:rsid w:val="00F53B9E"/>
    <w:rsid w:val="00F53F20"/>
    <w:rsid w:val="00F55EF4"/>
    <w:rsid w:val="00F561FC"/>
    <w:rsid w:val="00F56DA7"/>
    <w:rsid w:val="00F56E4A"/>
    <w:rsid w:val="00F56EFA"/>
    <w:rsid w:val="00F57C3B"/>
    <w:rsid w:val="00F57D2A"/>
    <w:rsid w:val="00F61E54"/>
    <w:rsid w:val="00F64917"/>
    <w:rsid w:val="00F64FDF"/>
    <w:rsid w:val="00F662D4"/>
    <w:rsid w:val="00F66451"/>
    <w:rsid w:val="00F66B37"/>
    <w:rsid w:val="00F66FF2"/>
    <w:rsid w:val="00F67BA6"/>
    <w:rsid w:val="00F73190"/>
    <w:rsid w:val="00F732B1"/>
    <w:rsid w:val="00F74AF9"/>
    <w:rsid w:val="00F75A7A"/>
    <w:rsid w:val="00F76354"/>
    <w:rsid w:val="00F76F77"/>
    <w:rsid w:val="00F772D8"/>
    <w:rsid w:val="00F806A3"/>
    <w:rsid w:val="00F81D4F"/>
    <w:rsid w:val="00F824BA"/>
    <w:rsid w:val="00F82EFE"/>
    <w:rsid w:val="00F84BAA"/>
    <w:rsid w:val="00F85258"/>
    <w:rsid w:val="00F85365"/>
    <w:rsid w:val="00F86691"/>
    <w:rsid w:val="00F87727"/>
    <w:rsid w:val="00F9018F"/>
    <w:rsid w:val="00F91994"/>
    <w:rsid w:val="00F91A90"/>
    <w:rsid w:val="00F9238D"/>
    <w:rsid w:val="00F95271"/>
    <w:rsid w:val="00F95301"/>
    <w:rsid w:val="00F95F04"/>
    <w:rsid w:val="00F96DA5"/>
    <w:rsid w:val="00F97463"/>
    <w:rsid w:val="00F9794F"/>
    <w:rsid w:val="00FA31BE"/>
    <w:rsid w:val="00FA3414"/>
    <w:rsid w:val="00FA4A47"/>
    <w:rsid w:val="00FA4C3F"/>
    <w:rsid w:val="00FB0367"/>
    <w:rsid w:val="00FB10AC"/>
    <w:rsid w:val="00FB13C3"/>
    <w:rsid w:val="00FB2E07"/>
    <w:rsid w:val="00FB2E1C"/>
    <w:rsid w:val="00FB333B"/>
    <w:rsid w:val="00FB343B"/>
    <w:rsid w:val="00FB422B"/>
    <w:rsid w:val="00FB453D"/>
    <w:rsid w:val="00FB52D8"/>
    <w:rsid w:val="00FB5DA6"/>
    <w:rsid w:val="00FB5DE0"/>
    <w:rsid w:val="00FB6848"/>
    <w:rsid w:val="00FB7C7D"/>
    <w:rsid w:val="00FC03C7"/>
    <w:rsid w:val="00FC06B8"/>
    <w:rsid w:val="00FC0B7A"/>
    <w:rsid w:val="00FC0FF2"/>
    <w:rsid w:val="00FC2F60"/>
    <w:rsid w:val="00FC3528"/>
    <w:rsid w:val="00FC3592"/>
    <w:rsid w:val="00FC5C5E"/>
    <w:rsid w:val="00FC6D17"/>
    <w:rsid w:val="00FC7072"/>
    <w:rsid w:val="00FD0281"/>
    <w:rsid w:val="00FD0CE2"/>
    <w:rsid w:val="00FD1535"/>
    <w:rsid w:val="00FD1B7D"/>
    <w:rsid w:val="00FD3699"/>
    <w:rsid w:val="00FD3BB5"/>
    <w:rsid w:val="00FD4498"/>
    <w:rsid w:val="00FD5024"/>
    <w:rsid w:val="00FD5382"/>
    <w:rsid w:val="00FD5D40"/>
    <w:rsid w:val="00FD610B"/>
    <w:rsid w:val="00FD71C3"/>
    <w:rsid w:val="00FD76BD"/>
    <w:rsid w:val="00FE02A2"/>
    <w:rsid w:val="00FE0AFC"/>
    <w:rsid w:val="00FE0E88"/>
    <w:rsid w:val="00FE22CF"/>
    <w:rsid w:val="00FE2511"/>
    <w:rsid w:val="00FE2638"/>
    <w:rsid w:val="00FE274C"/>
    <w:rsid w:val="00FE4B83"/>
    <w:rsid w:val="00FE545D"/>
    <w:rsid w:val="00FE6876"/>
    <w:rsid w:val="00FE71B6"/>
    <w:rsid w:val="00FE75C4"/>
    <w:rsid w:val="00FE76AB"/>
    <w:rsid w:val="00FF07F3"/>
    <w:rsid w:val="00FF2427"/>
    <w:rsid w:val="00FF25C8"/>
    <w:rsid w:val="00FF4E02"/>
    <w:rsid w:val="00FF4E74"/>
    <w:rsid w:val="00FF6892"/>
    <w:rsid w:val="00FF692A"/>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6EBC396"/>
  <w15:chartTrackingRefBased/>
  <w15:docId w15:val="{07AB41CF-EF6A-4B87-BBB5-E027D318B7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s-CR" w:eastAsia="es-CR"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annotation text" w:uiPriority="99"/>
    <w:lsdException w:name="header" w:uiPriority="99"/>
    <w:lsdException w:name="footer" w:uiPriority="99"/>
    <w:lsdException w:name="caption" w:uiPriority="35" w:qFormat="1"/>
    <w:lsdException w:name="footnote reference" w:qFormat="1"/>
    <w:lsdException w:name="annotation reference" w:uiPriority="99"/>
    <w:lsdException w:name="Title" w:uiPriority="1" w:qFormat="1"/>
    <w:lsdException w:name="Subtitle" w:qFormat="1"/>
    <w:lsdException w:name="Strong" w:qFormat="1"/>
    <w:lsdException w:name="Emphasis" w:qFormat="1"/>
    <w:lsdException w:name="Normal (Web)" w:uiPriority="99"/>
    <w:lsdException w:name="Normal Table" w:semiHidden="1" w:unhideWhenUsed="1"/>
    <w:lsdException w:name="annotation subject" w:uiPriority="99"/>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A37D98"/>
    <w:pPr>
      <w:spacing w:line="360" w:lineRule="auto"/>
      <w:jc w:val="both"/>
    </w:pPr>
    <w:rPr>
      <w:rFonts w:ascii="Book Antiqua" w:hAnsi="Book Antiqua"/>
      <w:sz w:val="24"/>
      <w:lang w:eastAsia="es-ES"/>
    </w:rPr>
  </w:style>
  <w:style w:type="paragraph" w:styleId="Ttulo1">
    <w:name w:val="heading 1"/>
    <w:aliases w:val="Título Principal"/>
    <w:basedOn w:val="Normal"/>
    <w:next w:val="Normal"/>
    <w:link w:val="Ttulo1Car"/>
    <w:qFormat/>
    <w:rsid w:val="000131C6"/>
    <w:pPr>
      <w:keepNext/>
      <w:widowControl w:val="0"/>
      <w:tabs>
        <w:tab w:val="center" w:pos="4680"/>
      </w:tabs>
      <w:autoSpaceDE w:val="0"/>
      <w:autoSpaceDN w:val="0"/>
      <w:adjustRightInd w:val="0"/>
      <w:outlineLvl w:val="0"/>
    </w:pPr>
    <w:rPr>
      <w:rFonts w:ascii="Arial" w:hAnsi="Arial" w:cs="Arial"/>
      <w:b/>
      <w:bCs/>
      <w:i/>
      <w:iCs/>
      <w:color w:val="000000"/>
      <w:spacing w:val="-3"/>
      <w:szCs w:val="24"/>
      <w:u w:color="000000"/>
      <w:lang w:val="es-ES"/>
    </w:rPr>
  </w:style>
  <w:style w:type="paragraph" w:styleId="Ttulo2">
    <w:name w:val="heading 2"/>
    <w:basedOn w:val="Normal"/>
    <w:next w:val="Normal"/>
    <w:qFormat/>
    <w:rsid w:val="000131C6"/>
    <w:pPr>
      <w:keepNext/>
      <w:widowControl w:val="0"/>
      <w:autoSpaceDE w:val="0"/>
      <w:autoSpaceDN w:val="0"/>
      <w:adjustRightInd w:val="0"/>
      <w:spacing w:before="240" w:after="60"/>
      <w:outlineLvl w:val="1"/>
    </w:pPr>
    <w:rPr>
      <w:rFonts w:ascii="Arial" w:hAnsi="Arial" w:cs="Arial"/>
      <w:b/>
      <w:bCs/>
      <w:i/>
      <w:iCs/>
      <w:sz w:val="28"/>
      <w:szCs w:val="28"/>
      <w:lang w:val="es-ES"/>
    </w:rPr>
  </w:style>
  <w:style w:type="paragraph" w:styleId="Ttulo3">
    <w:name w:val="heading 3"/>
    <w:basedOn w:val="Normal"/>
    <w:next w:val="Normal"/>
    <w:qFormat/>
    <w:rsid w:val="000131C6"/>
    <w:pPr>
      <w:keepNext/>
      <w:widowControl w:val="0"/>
      <w:autoSpaceDE w:val="0"/>
      <w:autoSpaceDN w:val="0"/>
      <w:adjustRightInd w:val="0"/>
      <w:spacing w:before="240" w:after="60"/>
      <w:outlineLvl w:val="2"/>
    </w:pPr>
    <w:rPr>
      <w:rFonts w:ascii="Arial" w:hAnsi="Arial" w:cs="Arial"/>
      <w:b/>
      <w:bCs/>
      <w:sz w:val="26"/>
      <w:szCs w:val="26"/>
      <w:lang w:val="es-ES"/>
    </w:rPr>
  </w:style>
  <w:style w:type="paragraph" w:styleId="Ttulo4">
    <w:name w:val="heading 4"/>
    <w:basedOn w:val="Normal"/>
    <w:next w:val="Normal"/>
    <w:link w:val="Ttulo4Car"/>
    <w:qFormat/>
    <w:rsid w:val="000131C6"/>
    <w:pPr>
      <w:keepNext/>
      <w:widowControl w:val="0"/>
      <w:autoSpaceDE w:val="0"/>
      <w:autoSpaceDN w:val="0"/>
      <w:adjustRightInd w:val="0"/>
      <w:outlineLvl w:val="3"/>
    </w:pPr>
    <w:rPr>
      <w:rFonts w:cs="Book Antiqua"/>
      <w:b/>
      <w:bCs/>
      <w:szCs w:val="24"/>
      <w:u w:color="000000"/>
      <w:lang w:val="es-ES"/>
    </w:rPr>
  </w:style>
  <w:style w:type="paragraph" w:styleId="Ttulo5">
    <w:name w:val="heading 5"/>
    <w:basedOn w:val="Normal"/>
    <w:next w:val="Normal"/>
    <w:qFormat/>
    <w:rsid w:val="000131C6"/>
    <w:pPr>
      <w:keepNext/>
      <w:widowControl w:val="0"/>
      <w:autoSpaceDE w:val="0"/>
      <w:autoSpaceDN w:val="0"/>
      <w:adjustRightInd w:val="0"/>
      <w:outlineLvl w:val="4"/>
    </w:pPr>
    <w:rPr>
      <w:rFonts w:ascii="Arial" w:hAnsi="Arial" w:cs="Arial"/>
      <w:b/>
      <w:bCs/>
      <w:i/>
      <w:iCs/>
      <w:color w:val="000000"/>
      <w:szCs w:val="24"/>
      <w:u w:color="000000"/>
      <w:lang w:val="es-ES"/>
    </w:rPr>
  </w:style>
  <w:style w:type="paragraph" w:styleId="Ttulo6">
    <w:name w:val="heading 6"/>
    <w:basedOn w:val="Normal"/>
    <w:next w:val="Normal"/>
    <w:qFormat/>
    <w:rsid w:val="00364509"/>
    <w:pPr>
      <w:widowControl w:val="0"/>
      <w:autoSpaceDE w:val="0"/>
      <w:autoSpaceDN w:val="0"/>
      <w:adjustRightInd w:val="0"/>
      <w:spacing w:before="240" w:after="60"/>
      <w:outlineLvl w:val="5"/>
    </w:pPr>
    <w:rPr>
      <w:b/>
      <w:bCs/>
      <w:sz w:val="22"/>
      <w:szCs w:val="22"/>
      <w:lang w:val="es-ES"/>
    </w:rPr>
  </w:style>
  <w:style w:type="paragraph" w:styleId="Ttulo7">
    <w:name w:val="heading 7"/>
    <w:basedOn w:val="Normal"/>
    <w:qFormat/>
    <w:rsid w:val="00283912"/>
    <w:pPr>
      <w:keepNext/>
      <w:shd w:val="clear" w:color="auto" w:fill="FFFFFF"/>
      <w:tabs>
        <w:tab w:val="num" w:pos="360"/>
      </w:tabs>
      <w:autoSpaceDE w:val="0"/>
      <w:jc w:val="right"/>
      <w:outlineLvl w:val="6"/>
    </w:pPr>
    <w:rPr>
      <w:rFonts w:ascii="Arial" w:hAnsi="Arial" w:cs="Arial"/>
      <w:b/>
      <w:bCs/>
      <w:szCs w:val="24"/>
      <w:u w:val="single"/>
      <w:lang w:val="es-ES"/>
    </w:rPr>
  </w:style>
  <w:style w:type="paragraph" w:styleId="Ttulo8">
    <w:name w:val="heading 8"/>
    <w:basedOn w:val="Normal"/>
    <w:next w:val="Normal"/>
    <w:qFormat/>
    <w:rsid w:val="000131C6"/>
    <w:pPr>
      <w:keepNext/>
      <w:widowControl w:val="0"/>
      <w:autoSpaceDE w:val="0"/>
      <w:autoSpaceDN w:val="0"/>
      <w:adjustRightInd w:val="0"/>
      <w:jc w:val="right"/>
      <w:outlineLvl w:val="7"/>
    </w:pPr>
    <w:rPr>
      <w:rFonts w:cs="Book Antiqua"/>
      <w:szCs w:val="24"/>
      <w:lang w:val="es-ES"/>
    </w:rPr>
  </w:style>
  <w:style w:type="paragraph" w:styleId="Ttulo9">
    <w:name w:val="heading 9"/>
    <w:basedOn w:val="Normal"/>
    <w:next w:val="Normal"/>
    <w:qFormat/>
    <w:rsid w:val="00364509"/>
    <w:pPr>
      <w:keepNext/>
      <w:jc w:val="right"/>
      <w:outlineLvl w:val="8"/>
    </w:pPr>
    <w:rPr>
      <w:rFonts w:ascii="Arial" w:hAnsi="Arial" w:cs="Arial"/>
      <w:b/>
      <w:bCs/>
      <w:sz w:val="18"/>
      <w:szCs w:val="18"/>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4Car">
    <w:name w:val="Título 4 Car"/>
    <w:link w:val="Ttulo4"/>
    <w:rsid w:val="00756F2C"/>
    <w:rPr>
      <w:rFonts w:ascii="Book Antiqua" w:hAnsi="Book Antiqua" w:cs="Book Antiqua"/>
      <w:b/>
      <w:bCs/>
      <w:sz w:val="24"/>
      <w:szCs w:val="24"/>
      <w:u w:color="000000"/>
      <w:lang w:val="es-ES" w:eastAsia="es-ES"/>
    </w:rPr>
  </w:style>
  <w:style w:type="paragraph" w:styleId="Textodeglobo">
    <w:name w:val="Balloon Text"/>
    <w:basedOn w:val="Normal"/>
    <w:link w:val="TextodegloboCar"/>
    <w:uiPriority w:val="99"/>
    <w:semiHidden/>
    <w:rPr>
      <w:rFonts w:ascii="Tahoma" w:hAnsi="Tahoma" w:cs="Tahoma"/>
      <w:sz w:val="16"/>
      <w:szCs w:val="16"/>
      <w:lang w:val="es-ES"/>
    </w:rPr>
  </w:style>
  <w:style w:type="paragraph" w:styleId="Textoindependiente2">
    <w:name w:val="Body Text 2"/>
    <w:basedOn w:val="Normal"/>
    <w:link w:val="Textoindependiente2Car"/>
    <w:rsid w:val="00BF0EE8"/>
    <w:rPr>
      <w:rFonts w:ascii="Bookman Old Style" w:hAnsi="Bookman Old Style" w:cs="Bookman Old Style"/>
      <w:szCs w:val="24"/>
      <w:lang w:val="es-ES_tradnl"/>
    </w:rPr>
  </w:style>
  <w:style w:type="character" w:styleId="Hipervnculo">
    <w:name w:val="Hyperlink"/>
    <w:rsid w:val="00BF0EE8"/>
    <w:rPr>
      <w:rFonts w:cs="Times New Roman"/>
      <w:color w:val="0000FF"/>
      <w:u w:val="single"/>
    </w:rPr>
  </w:style>
  <w:style w:type="paragraph" w:customStyle="1" w:styleId="Car">
    <w:name w:val="Car"/>
    <w:basedOn w:val="Normal"/>
    <w:semiHidden/>
    <w:rsid w:val="00BF0EE8"/>
    <w:pPr>
      <w:spacing w:after="160" w:line="240" w:lineRule="exact"/>
    </w:pPr>
    <w:rPr>
      <w:rFonts w:ascii="Verdana" w:hAnsi="Verdana" w:cs="Verdana"/>
      <w:lang w:val="en-AU" w:eastAsia="en-US"/>
    </w:rPr>
  </w:style>
  <w:style w:type="paragraph" w:styleId="Encabezado">
    <w:name w:val="header"/>
    <w:aliases w:val="encabezado"/>
    <w:basedOn w:val="Normal"/>
    <w:link w:val="EncabezadoCar"/>
    <w:uiPriority w:val="99"/>
    <w:rsid w:val="00BF0EE8"/>
    <w:pPr>
      <w:tabs>
        <w:tab w:val="center" w:pos="4252"/>
        <w:tab w:val="right" w:pos="8504"/>
      </w:tabs>
    </w:pPr>
  </w:style>
  <w:style w:type="character" w:customStyle="1" w:styleId="EncabezadoCar">
    <w:name w:val="Encabezado Car"/>
    <w:aliases w:val="encabezado Car"/>
    <w:link w:val="Encabezado"/>
    <w:uiPriority w:val="99"/>
    <w:locked/>
    <w:rsid w:val="009772DD"/>
    <w:rPr>
      <w:lang w:val="es-CR" w:eastAsia="es-ES"/>
    </w:rPr>
  </w:style>
  <w:style w:type="paragraph" w:styleId="Piedepgina">
    <w:name w:val="footer"/>
    <w:basedOn w:val="Normal"/>
    <w:link w:val="PiedepginaCar"/>
    <w:uiPriority w:val="99"/>
    <w:rsid w:val="00BF0EE8"/>
    <w:pPr>
      <w:tabs>
        <w:tab w:val="center" w:pos="4252"/>
        <w:tab w:val="right" w:pos="8504"/>
      </w:tabs>
    </w:pPr>
  </w:style>
  <w:style w:type="character" w:styleId="Nmerodepgina">
    <w:name w:val="page number"/>
    <w:rsid w:val="002F6410"/>
    <w:rPr>
      <w:rFonts w:cs="Times New Roman"/>
    </w:rPr>
  </w:style>
  <w:style w:type="paragraph" w:styleId="NormalWeb">
    <w:name w:val="Normal (Web)"/>
    <w:basedOn w:val="Normal"/>
    <w:uiPriority w:val="99"/>
    <w:rsid w:val="009772DD"/>
    <w:pPr>
      <w:widowControl w:val="0"/>
      <w:autoSpaceDE w:val="0"/>
      <w:autoSpaceDN w:val="0"/>
      <w:adjustRightInd w:val="0"/>
    </w:pPr>
    <w:rPr>
      <w:rFonts w:ascii="Arial Unicode MS" w:eastAsia="Arial Unicode MS" w:hAnsi="Arial" w:cs="Arial Unicode MS"/>
      <w:color w:val="000000"/>
      <w:szCs w:val="24"/>
      <w:u w:color="000000"/>
      <w:lang w:val="es-ES"/>
    </w:rPr>
  </w:style>
  <w:style w:type="table" w:styleId="Tablaconcuadrcula">
    <w:name w:val="Table Grid"/>
    <w:basedOn w:val="Tablanormal"/>
    <w:uiPriority w:val="39"/>
    <w:rsid w:val="009772DD"/>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independiente">
    <w:name w:val="Body Text"/>
    <w:basedOn w:val="Normal"/>
    <w:link w:val="TextoindependienteCar"/>
    <w:rsid w:val="00B15CB4"/>
    <w:pPr>
      <w:spacing w:after="120"/>
    </w:pPr>
  </w:style>
  <w:style w:type="character" w:customStyle="1" w:styleId="TextoindependienteCar">
    <w:name w:val="Texto independiente Car"/>
    <w:link w:val="Textoindependiente"/>
    <w:rsid w:val="002249F5"/>
    <w:rPr>
      <w:lang w:eastAsia="es-ES"/>
    </w:rPr>
  </w:style>
  <w:style w:type="paragraph" w:styleId="Textonotapie">
    <w:name w:val="footnote text"/>
    <w:basedOn w:val="Normal"/>
    <w:link w:val="TextonotapieCar"/>
    <w:rsid w:val="00B15CB4"/>
    <w:rPr>
      <w:lang w:val="es-ES"/>
    </w:rPr>
  </w:style>
  <w:style w:type="character" w:customStyle="1" w:styleId="TextonotapieCar">
    <w:name w:val="Texto nota pie Car"/>
    <w:link w:val="Textonotapie"/>
    <w:locked/>
    <w:rsid w:val="000131C6"/>
    <w:rPr>
      <w:rFonts w:cs="Times New Roman"/>
      <w:lang w:val="es-ES" w:eastAsia="es-ES"/>
    </w:rPr>
  </w:style>
  <w:style w:type="character" w:styleId="Refdenotaalpie">
    <w:name w:val="footnote reference"/>
    <w:aliases w:val="ƒ89,^ƒ89,Footnotes refss,Texto de nota al pie,Appel note de bas de page,Referencia nota al pie"/>
    <w:qFormat/>
    <w:rsid w:val="00B15CB4"/>
    <w:rPr>
      <w:rFonts w:cs="Times New Roman"/>
      <w:vertAlign w:val="superscript"/>
    </w:rPr>
  </w:style>
  <w:style w:type="character" w:styleId="Textoennegrita">
    <w:name w:val="Strong"/>
    <w:qFormat/>
    <w:rsid w:val="00283912"/>
    <w:rPr>
      <w:rFonts w:cs="Times New Roman"/>
      <w:b/>
      <w:bCs/>
    </w:rPr>
  </w:style>
  <w:style w:type="paragraph" w:customStyle="1" w:styleId="CharChar">
    <w:name w:val="Char Char"/>
    <w:basedOn w:val="Normal"/>
    <w:semiHidden/>
    <w:rsid w:val="00283912"/>
    <w:pPr>
      <w:spacing w:after="160" w:line="240" w:lineRule="exact"/>
    </w:pPr>
    <w:rPr>
      <w:rFonts w:ascii="Verdana" w:hAnsi="Verdana" w:cs="Verdana"/>
      <w:lang w:val="en-AU" w:eastAsia="en-US"/>
    </w:rPr>
  </w:style>
  <w:style w:type="paragraph" w:customStyle="1" w:styleId="Estilo">
    <w:name w:val="Estilo"/>
    <w:next w:val="Normal"/>
    <w:rsid w:val="000131C6"/>
    <w:pPr>
      <w:widowControl w:val="0"/>
      <w:autoSpaceDE w:val="0"/>
      <w:autoSpaceDN w:val="0"/>
      <w:adjustRightInd w:val="0"/>
    </w:pPr>
    <w:rPr>
      <w:rFonts w:ascii="Arial" w:hAnsi="Arial" w:cs="Arial"/>
      <w:sz w:val="24"/>
      <w:szCs w:val="24"/>
      <w:lang w:val="es-ES" w:eastAsia="es-ES"/>
    </w:rPr>
  </w:style>
  <w:style w:type="paragraph" w:customStyle="1" w:styleId="Estilo1">
    <w:name w:val="Estilo1"/>
    <w:next w:val="Normal"/>
    <w:rsid w:val="000131C6"/>
    <w:pPr>
      <w:widowControl w:val="0"/>
      <w:autoSpaceDE w:val="0"/>
      <w:autoSpaceDN w:val="0"/>
      <w:adjustRightInd w:val="0"/>
    </w:pPr>
    <w:rPr>
      <w:rFonts w:ascii="Arial" w:hAnsi="Arial" w:cs="Arial"/>
      <w:sz w:val="24"/>
      <w:szCs w:val="24"/>
      <w:u w:color="000000"/>
      <w:lang w:val="es-ES" w:eastAsia="es-ES"/>
    </w:rPr>
  </w:style>
  <w:style w:type="paragraph" w:styleId="Textoindependiente3">
    <w:name w:val="Body Text 3"/>
    <w:basedOn w:val="Normal"/>
    <w:rsid w:val="000131C6"/>
    <w:pPr>
      <w:widowControl w:val="0"/>
      <w:autoSpaceDE w:val="0"/>
      <w:autoSpaceDN w:val="0"/>
      <w:adjustRightInd w:val="0"/>
    </w:pPr>
    <w:rPr>
      <w:rFonts w:cs="Book Antiqua"/>
      <w:szCs w:val="24"/>
      <w:lang w:val="es-ES"/>
    </w:rPr>
  </w:style>
  <w:style w:type="character" w:styleId="Hipervnculovisitado">
    <w:name w:val="FollowedHyperlink"/>
    <w:rsid w:val="000131C6"/>
    <w:rPr>
      <w:rFonts w:cs="Times New Roman"/>
      <w:color w:val="800080"/>
      <w:u w:val="single"/>
    </w:rPr>
  </w:style>
  <w:style w:type="paragraph" w:customStyle="1" w:styleId="Ttulo30">
    <w:name w:val="TÍtulo 3"/>
    <w:next w:val="Normal"/>
    <w:rsid w:val="000131C6"/>
    <w:pPr>
      <w:keepNext/>
      <w:widowControl w:val="0"/>
      <w:autoSpaceDE w:val="0"/>
      <w:autoSpaceDN w:val="0"/>
      <w:adjustRightInd w:val="0"/>
      <w:jc w:val="both"/>
    </w:pPr>
    <w:rPr>
      <w:rFonts w:ascii="Arial" w:hAnsi="Arial" w:cs="Arial"/>
      <w:sz w:val="24"/>
      <w:szCs w:val="24"/>
      <w:lang w:val="es-ES" w:eastAsia="es-ES"/>
    </w:rPr>
  </w:style>
  <w:style w:type="paragraph" w:styleId="Sangra2detindependiente">
    <w:name w:val="Body Text Indent 2"/>
    <w:basedOn w:val="Normal"/>
    <w:rsid w:val="000131C6"/>
    <w:pPr>
      <w:widowControl w:val="0"/>
      <w:autoSpaceDE w:val="0"/>
      <w:autoSpaceDN w:val="0"/>
      <w:adjustRightInd w:val="0"/>
      <w:ind w:left="497"/>
    </w:pPr>
    <w:rPr>
      <w:rFonts w:ascii="Arial" w:hAnsi="Arial" w:cs="Arial"/>
      <w:color w:val="000000"/>
      <w:spacing w:val="-10"/>
      <w:sz w:val="28"/>
      <w:szCs w:val="28"/>
      <w:u w:color="000000"/>
      <w:lang w:val="es-ES"/>
    </w:rPr>
  </w:style>
  <w:style w:type="paragraph" w:styleId="Mapadeldocumento">
    <w:name w:val="Document Map"/>
    <w:basedOn w:val="Normal"/>
    <w:semiHidden/>
    <w:rsid w:val="000131C6"/>
    <w:pPr>
      <w:widowControl w:val="0"/>
      <w:shd w:val="clear" w:color="auto" w:fill="000080"/>
      <w:autoSpaceDE w:val="0"/>
      <w:autoSpaceDN w:val="0"/>
      <w:adjustRightInd w:val="0"/>
    </w:pPr>
    <w:rPr>
      <w:rFonts w:ascii="Tahoma" w:hAnsi="Tahoma" w:cs="Tahoma"/>
      <w:color w:val="000000"/>
      <w:u w:color="000000"/>
      <w:lang w:val="es-ES"/>
    </w:rPr>
  </w:style>
  <w:style w:type="paragraph" w:customStyle="1" w:styleId="H5">
    <w:name w:val="H5"/>
    <w:next w:val="Normal"/>
    <w:rsid w:val="000131C6"/>
    <w:pPr>
      <w:keepNext/>
      <w:widowControl w:val="0"/>
      <w:autoSpaceDE w:val="0"/>
      <w:autoSpaceDN w:val="0"/>
      <w:adjustRightInd w:val="0"/>
      <w:spacing w:before="100" w:after="100"/>
      <w:outlineLvl w:val="5"/>
    </w:pPr>
    <w:rPr>
      <w:rFonts w:ascii="Arial" w:hAnsi="Arial" w:cs="Arial"/>
      <w:b/>
      <w:bCs/>
      <w:shd w:val="clear" w:color="auto" w:fill="FFFFFF"/>
      <w:lang w:val="es-ES" w:eastAsia="es-ES"/>
    </w:rPr>
  </w:style>
  <w:style w:type="paragraph" w:customStyle="1" w:styleId="estilo2">
    <w:name w:val="estilo2"/>
    <w:basedOn w:val="Normal"/>
    <w:rsid w:val="000131C6"/>
    <w:pPr>
      <w:spacing w:before="100" w:beforeAutospacing="1" w:after="100" w:afterAutospacing="1"/>
    </w:pPr>
    <w:rPr>
      <w:rFonts w:ascii="Verdana" w:hAnsi="Verdana" w:cs="Verdana"/>
      <w:szCs w:val="24"/>
      <w:lang w:val="es-ES"/>
    </w:rPr>
  </w:style>
  <w:style w:type="character" w:customStyle="1" w:styleId="estilo51">
    <w:name w:val="estilo51"/>
    <w:rsid w:val="000131C6"/>
    <w:rPr>
      <w:rFonts w:cs="Times New Roman"/>
      <w:b/>
      <w:bCs/>
    </w:rPr>
  </w:style>
  <w:style w:type="character" w:customStyle="1" w:styleId="estilo41">
    <w:name w:val="estilo41"/>
    <w:rsid w:val="000131C6"/>
    <w:rPr>
      <w:rFonts w:cs="Times New Roman"/>
    </w:rPr>
  </w:style>
  <w:style w:type="paragraph" w:styleId="Prrafodelista">
    <w:name w:val="List Paragraph"/>
    <w:aliases w:val="Bullet 1,Use Case List Paragraph,Lista vistosa - Énfasis 11,Párrafo de lista Car Car Car,Informe,FooterText,numbered,Paragraphe de liste1,Bulletr List Paragraph,列出段落,列出段落1,lp1,lp11,Footnote,List Paragraph 1,Numbered List Paragraph,3"/>
    <w:basedOn w:val="Normal"/>
    <w:qFormat/>
    <w:rsid w:val="000131C6"/>
    <w:pPr>
      <w:ind w:left="708"/>
    </w:pPr>
    <w:rPr>
      <w:rFonts w:ascii="Arial" w:hAnsi="Arial" w:cs="Arial"/>
      <w:szCs w:val="24"/>
      <w:lang w:val="es-ES"/>
    </w:rPr>
  </w:style>
  <w:style w:type="character" w:styleId="nfasis">
    <w:name w:val="Emphasis"/>
    <w:qFormat/>
    <w:rsid w:val="000131C6"/>
    <w:rPr>
      <w:rFonts w:cs="Times New Roman"/>
      <w:i/>
      <w:iCs/>
    </w:rPr>
  </w:style>
  <w:style w:type="paragraph" w:customStyle="1" w:styleId="Prrafodelista1">
    <w:name w:val="Párrafo de lista1"/>
    <w:basedOn w:val="Normal"/>
    <w:rsid w:val="000131C6"/>
    <w:pPr>
      <w:spacing w:after="200" w:line="276" w:lineRule="auto"/>
      <w:ind w:left="720"/>
    </w:pPr>
    <w:rPr>
      <w:rFonts w:ascii="Calibri" w:hAnsi="Calibri" w:cs="Calibri"/>
      <w:sz w:val="22"/>
      <w:szCs w:val="22"/>
      <w:lang w:eastAsia="en-US"/>
    </w:rPr>
  </w:style>
  <w:style w:type="character" w:customStyle="1" w:styleId="CarCar1">
    <w:name w:val="Car Car1"/>
    <w:semiHidden/>
    <w:locked/>
    <w:rsid w:val="000131C6"/>
    <w:rPr>
      <w:rFonts w:ascii="Calibri" w:hAnsi="Calibri" w:cs="Calibri"/>
      <w:lang w:val="es-CR" w:eastAsia="en-US"/>
    </w:rPr>
  </w:style>
  <w:style w:type="paragraph" w:styleId="Sangradetextonormal">
    <w:name w:val="Body Text Indent"/>
    <w:basedOn w:val="Normal"/>
    <w:rsid w:val="000131C6"/>
    <w:pPr>
      <w:widowControl w:val="0"/>
      <w:autoSpaceDE w:val="0"/>
      <w:autoSpaceDN w:val="0"/>
      <w:adjustRightInd w:val="0"/>
      <w:spacing w:after="120"/>
      <w:ind w:left="283"/>
    </w:pPr>
    <w:rPr>
      <w:rFonts w:ascii="Arial" w:hAnsi="Arial" w:cs="Arial"/>
      <w:szCs w:val="24"/>
      <w:lang w:val="es-ES"/>
    </w:rPr>
  </w:style>
  <w:style w:type="character" w:customStyle="1" w:styleId="CarCar2">
    <w:name w:val="Car Car2"/>
    <w:semiHidden/>
    <w:rsid w:val="000131C6"/>
    <w:rPr>
      <w:rFonts w:cs="Times New Roman"/>
      <w:lang w:val="es-ES" w:eastAsia="es-ES"/>
    </w:rPr>
  </w:style>
  <w:style w:type="paragraph" w:customStyle="1" w:styleId="BodyText22">
    <w:name w:val="Body Text 22"/>
    <w:rsid w:val="000131C6"/>
    <w:pPr>
      <w:widowControl w:val="0"/>
      <w:autoSpaceDE w:val="0"/>
      <w:autoSpaceDN w:val="0"/>
      <w:adjustRightInd w:val="0"/>
      <w:jc w:val="both"/>
    </w:pPr>
    <w:rPr>
      <w:rFonts w:ascii="Arial" w:hAnsi="Arial" w:cs="Arial"/>
      <w:sz w:val="24"/>
      <w:szCs w:val="24"/>
      <w:u w:color="000000"/>
      <w:shd w:val="clear" w:color="auto" w:fill="FFFFFF"/>
      <w:lang w:val="es-ES" w:eastAsia="es-ES"/>
    </w:rPr>
  </w:style>
  <w:style w:type="paragraph" w:styleId="Textodebloque">
    <w:name w:val="Block Text"/>
    <w:basedOn w:val="Normal"/>
    <w:rsid w:val="000131C6"/>
    <w:pPr>
      <w:widowControl w:val="0"/>
      <w:autoSpaceDE w:val="0"/>
      <w:autoSpaceDN w:val="0"/>
      <w:adjustRightInd w:val="0"/>
    </w:pPr>
    <w:rPr>
      <w:rFonts w:ascii="Arial" w:hAnsi="Arial" w:cs="Arial"/>
      <w:b/>
      <w:bCs/>
      <w:szCs w:val="24"/>
      <w:u w:color="000000"/>
      <w:shd w:val="clear" w:color="auto" w:fill="FFFFFF"/>
      <w:lang w:val="es-ES_tradnl"/>
    </w:rPr>
  </w:style>
  <w:style w:type="paragraph" w:customStyle="1" w:styleId="Car1">
    <w:name w:val="Car1"/>
    <w:basedOn w:val="Normal"/>
    <w:semiHidden/>
    <w:rsid w:val="000131C6"/>
    <w:pPr>
      <w:spacing w:after="160" w:line="240" w:lineRule="exact"/>
    </w:pPr>
    <w:rPr>
      <w:rFonts w:ascii="Verdana" w:hAnsi="Verdana" w:cs="Verdana"/>
      <w:lang w:val="en-AU" w:eastAsia="en-US"/>
    </w:rPr>
  </w:style>
  <w:style w:type="paragraph" w:styleId="Ttulo">
    <w:name w:val="Title"/>
    <w:basedOn w:val="Normal"/>
    <w:link w:val="TtuloCar"/>
    <w:uiPriority w:val="1"/>
    <w:qFormat/>
    <w:rsid w:val="006E3B1A"/>
    <w:pPr>
      <w:jc w:val="center"/>
    </w:pPr>
    <w:rPr>
      <w:rFonts w:ascii="Arial" w:hAnsi="Arial"/>
      <w:b/>
      <w:bCs/>
      <w:sz w:val="36"/>
      <w:szCs w:val="36"/>
    </w:rPr>
  </w:style>
  <w:style w:type="character" w:customStyle="1" w:styleId="TtuloCar">
    <w:name w:val="Título Car"/>
    <w:link w:val="Ttulo"/>
    <w:uiPriority w:val="1"/>
    <w:locked/>
    <w:rsid w:val="006E3B1A"/>
    <w:rPr>
      <w:rFonts w:ascii="Arial" w:hAnsi="Arial"/>
      <w:b/>
      <w:bCs/>
      <w:sz w:val="36"/>
      <w:szCs w:val="36"/>
      <w:lang w:val="es-CR" w:eastAsia="es-ES" w:bidi="ar-SA"/>
    </w:rPr>
  </w:style>
  <w:style w:type="paragraph" w:customStyle="1" w:styleId="Prrafodelista2">
    <w:name w:val="Párrafo de lista2"/>
    <w:basedOn w:val="Normal"/>
    <w:qFormat/>
    <w:rsid w:val="006E3B1A"/>
    <w:pPr>
      <w:spacing w:after="200" w:line="276" w:lineRule="auto"/>
      <w:ind w:left="720"/>
      <w:contextualSpacing/>
    </w:pPr>
    <w:rPr>
      <w:rFonts w:ascii="Calibri" w:hAnsi="Calibri"/>
      <w:sz w:val="22"/>
      <w:szCs w:val="22"/>
      <w:lang w:val="es-ES" w:eastAsia="en-US"/>
    </w:rPr>
  </w:style>
  <w:style w:type="paragraph" w:customStyle="1" w:styleId="ListParagraph1">
    <w:name w:val="List Paragraph1"/>
    <w:basedOn w:val="Normal"/>
    <w:qFormat/>
    <w:rsid w:val="006E3B1A"/>
    <w:pPr>
      <w:ind w:left="720"/>
    </w:pPr>
    <w:rPr>
      <w:szCs w:val="24"/>
      <w:lang w:val="es-ES"/>
    </w:rPr>
  </w:style>
  <w:style w:type="paragraph" w:styleId="Sangra3detindependiente">
    <w:name w:val="Body Text Indent 3"/>
    <w:basedOn w:val="Normal"/>
    <w:rsid w:val="00364509"/>
    <w:pPr>
      <w:ind w:left="709" w:hanging="709"/>
    </w:pPr>
    <w:rPr>
      <w:rFonts w:ascii="Bookman Old Style" w:hAnsi="Bookman Old Style" w:cs="Bookman Old Style"/>
      <w:szCs w:val="24"/>
      <w:lang w:val="es-ES_tradnl"/>
    </w:rPr>
  </w:style>
  <w:style w:type="paragraph" w:styleId="Subttulo">
    <w:name w:val="Subtitle"/>
    <w:basedOn w:val="Normal"/>
    <w:qFormat/>
    <w:rsid w:val="00364509"/>
    <w:pPr>
      <w:jc w:val="center"/>
    </w:pPr>
    <w:rPr>
      <w:b/>
      <w:bCs/>
      <w:sz w:val="32"/>
      <w:szCs w:val="32"/>
      <w:lang w:val="es-ES"/>
    </w:rPr>
  </w:style>
  <w:style w:type="paragraph" w:styleId="Lista">
    <w:name w:val="List"/>
    <w:basedOn w:val="Normal"/>
    <w:rsid w:val="00364509"/>
    <w:pPr>
      <w:ind w:left="283" w:hanging="283"/>
    </w:pPr>
    <w:rPr>
      <w:sz w:val="28"/>
      <w:szCs w:val="28"/>
      <w:lang w:val="es-ES"/>
    </w:rPr>
  </w:style>
  <w:style w:type="paragraph" w:customStyle="1" w:styleId="Ttulo60">
    <w:name w:val="TÍtulo 6"/>
    <w:basedOn w:val="Normal"/>
    <w:next w:val="Normal"/>
    <w:rsid w:val="00364509"/>
    <w:pPr>
      <w:keepNext/>
      <w:widowControl w:val="0"/>
      <w:tabs>
        <w:tab w:val="left" w:pos="-720"/>
      </w:tabs>
      <w:suppressAutoHyphens/>
      <w:overflowPunct w:val="0"/>
      <w:autoSpaceDE w:val="0"/>
      <w:autoSpaceDN w:val="0"/>
      <w:adjustRightInd w:val="0"/>
      <w:textAlignment w:val="baseline"/>
    </w:pPr>
    <w:rPr>
      <w:rFonts w:ascii="Bookman Old Style" w:hAnsi="Bookman Old Style" w:cs="Bookman Old Style"/>
      <w:spacing w:val="-3"/>
      <w:szCs w:val="24"/>
      <w:lang w:val="es-ES"/>
    </w:rPr>
  </w:style>
  <w:style w:type="paragraph" w:customStyle="1" w:styleId="Ttulo90">
    <w:name w:val="TÕtulo 9"/>
    <w:basedOn w:val="Normal"/>
    <w:next w:val="Normal"/>
    <w:rsid w:val="00364509"/>
    <w:pPr>
      <w:keepNext/>
      <w:tabs>
        <w:tab w:val="left" w:pos="142"/>
      </w:tabs>
      <w:overflowPunct w:val="0"/>
      <w:autoSpaceDE w:val="0"/>
      <w:autoSpaceDN w:val="0"/>
      <w:adjustRightInd w:val="0"/>
      <w:textAlignment w:val="baseline"/>
    </w:pPr>
    <w:rPr>
      <w:rFonts w:cs="Book Antiqua"/>
      <w:b/>
      <w:bCs/>
      <w:sz w:val="22"/>
      <w:szCs w:val="22"/>
      <w:lang w:val="es-ES"/>
    </w:rPr>
  </w:style>
  <w:style w:type="paragraph" w:customStyle="1" w:styleId="xl24">
    <w:name w:val="xl24"/>
    <w:basedOn w:val="Normal"/>
    <w:rsid w:val="00364509"/>
    <w:pPr>
      <w:spacing w:before="100" w:beforeAutospacing="1" w:after="100" w:afterAutospacing="1"/>
      <w:jc w:val="center"/>
    </w:pPr>
    <w:rPr>
      <w:rFonts w:ascii="Arial Unicode MS" w:eastAsia="Arial Unicode MS" w:hAnsi="Arial Unicode MS" w:cs="Arial Unicode MS"/>
      <w:szCs w:val="24"/>
      <w:lang w:val="es-ES"/>
    </w:rPr>
  </w:style>
  <w:style w:type="paragraph" w:customStyle="1" w:styleId="Cpi">
    <w:name w:val="Cpi"/>
    <w:basedOn w:val="Normal"/>
    <w:rsid w:val="00364509"/>
    <w:pPr>
      <w:widowControl w:val="0"/>
      <w:autoSpaceDE w:val="0"/>
      <w:autoSpaceDN w:val="0"/>
      <w:adjustRightInd w:val="0"/>
    </w:pPr>
    <w:rPr>
      <w:sz w:val="28"/>
      <w:szCs w:val="28"/>
      <w:shd w:val="clear" w:color="auto" w:fill="FFFFFF"/>
      <w:lang w:val="es-MX"/>
    </w:rPr>
  </w:style>
  <w:style w:type="paragraph" w:styleId="Descripcin">
    <w:name w:val="caption"/>
    <w:aliases w:val="Epígrafe,Epígrafe2,Descripción1"/>
    <w:basedOn w:val="Normal"/>
    <w:next w:val="Normal"/>
    <w:uiPriority w:val="35"/>
    <w:qFormat/>
    <w:rsid w:val="00364509"/>
    <w:pPr>
      <w:widowControl w:val="0"/>
      <w:autoSpaceDE w:val="0"/>
      <w:autoSpaceDN w:val="0"/>
      <w:adjustRightInd w:val="0"/>
    </w:pPr>
    <w:rPr>
      <w:rFonts w:ascii="Arial" w:hAnsi="Arial" w:cs="Arial"/>
      <w:b/>
      <w:bCs/>
      <w:lang w:val="es-ES"/>
    </w:rPr>
  </w:style>
  <w:style w:type="paragraph" w:customStyle="1" w:styleId="Prrafodelista20">
    <w:name w:val="Párrafo de lista20"/>
    <w:basedOn w:val="Normal"/>
    <w:qFormat/>
    <w:rsid w:val="002249F5"/>
    <w:pPr>
      <w:spacing w:after="200" w:line="276" w:lineRule="auto"/>
      <w:ind w:left="720"/>
      <w:contextualSpacing/>
    </w:pPr>
    <w:rPr>
      <w:rFonts w:ascii="Calibri" w:hAnsi="Calibri"/>
      <w:sz w:val="22"/>
      <w:szCs w:val="22"/>
      <w:lang w:val="es-ES" w:eastAsia="en-US"/>
    </w:rPr>
  </w:style>
  <w:style w:type="paragraph" w:customStyle="1" w:styleId="ecxttulo3">
    <w:name w:val="ecxttulo3"/>
    <w:rsid w:val="002249F5"/>
    <w:pPr>
      <w:widowControl w:val="0"/>
      <w:autoSpaceDE w:val="0"/>
      <w:autoSpaceDN w:val="0"/>
      <w:adjustRightInd w:val="0"/>
    </w:pPr>
    <w:rPr>
      <w:rFonts w:ascii="Arial" w:hAnsi="Arial"/>
      <w:sz w:val="24"/>
      <w:szCs w:val="24"/>
      <w:lang w:val="es-ES" w:eastAsia="es-ES"/>
    </w:rPr>
  </w:style>
  <w:style w:type="paragraph" w:customStyle="1" w:styleId="Default">
    <w:name w:val="Default"/>
    <w:qFormat/>
    <w:rsid w:val="002249F5"/>
    <w:pPr>
      <w:autoSpaceDE w:val="0"/>
      <w:autoSpaceDN w:val="0"/>
      <w:adjustRightInd w:val="0"/>
    </w:pPr>
    <w:rPr>
      <w:rFonts w:ascii="Arial" w:hAnsi="Arial" w:cs="Arial"/>
      <w:color w:val="000000"/>
      <w:sz w:val="24"/>
      <w:szCs w:val="24"/>
    </w:rPr>
  </w:style>
  <w:style w:type="character" w:styleId="Refdecomentario">
    <w:name w:val="annotation reference"/>
    <w:uiPriority w:val="99"/>
    <w:rsid w:val="002249F5"/>
    <w:rPr>
      <w:sz w:val="16"/>
      <w:szCs w:val="16"/>
    </w:rPr>
  </w:style>
  <w:style w:type="paragraph" w:styleId="Textocomentario">
    <w:name w:val="annotation text"/>
    <w:basedOn w:val="Normal"/>
    <w:link w:val="TextocomentarioCar"/>
    <w:uiPriority w:val="99"/>
    <w:rsid w:val="002249F5"/>
  </w:style>
  <w:style w:type="character" w:customStyle="1" w:styleId="TextocomentarioCar">
    <w:name w:val="Texto comentario Car"/>
    <w:link w:val="Textocomentario"/>
    <w:uiPriority w:val="99"/>
    <w:rsid w:val="002249F5"/>
    <w:rPr>
      <w:lang w:eastAsia="es-ES"/>
    </w:rPr>
  </w:style>
  <w:style w:type="paragraph" w:styleId="Asuntodelcomentario">
    <w:name w:val="annotation subject"/>
    <w:basedOn w:val="Textocomentario"/>
    <w:next w:val="Textocomentario"/>
    <w:link w:val="AsuntodelcomentarioCar"/>
    <w:uiPriority w:val="99"/>
    <w:rsid w:val="002249F5"/>
    <w:rPr>
      <w:b/>
      <w:bCs/>
    </w:rPr>
  </w:style>
  <w:style w:type="character" w:customStyle="1" w:styleId="AsuntodelcomentarioCar">
    <w:name w:val="Asunto del comentario Car"/>
    <w:link w:val="Asuntodelcomentario"/>
    <w:uiPriority w:val="99"/>
    <w:rsid w:val="002249F5"/>
    <w:rPr>
      <w:b/>
      <w:bCs/>
      <w:lang w:eastAsia="es-ES"/>
    </w:rPr>
  </w:style>
  <w:style w:type="paragraph" w:customStyle="1" w:styleId="footnotedescription">
    <w:name w:val="footnote description"/>
    <w:next w:val="Normal"/>
    <w:link w:val="footnotedescriptionChar"/>
    <w:hidden/>
    <w:rsid w:val="00B714A9"/>
    <w:pPr>
      <w:spacing w:line="293" w:lineRule="auto"/>
    </w:pPr>
    <w:rPr>
      <w:color w:val="000000"/>
      <w:szCs w:val="22"/>
    </w:rPr>
  </w:style>
  <w:style w:type="character" w:customStyle="1" w:styleId="footnotedescriptionChar">
    <w:name w:val="footnote description Char"/>
    <w:link w:val="footnotedescription"/>
    <w:rsid w:val="00B714A9"/>
    <w:rPr>
      <w:color w:val="000000"/>
      <w:szCs w:val="22"/>
    </w:rPr>
  </w:style>
  <w:style w:type="character" w:customStyle="1" w:styleId="footnotemark">
    <w:name w:val="footnote mark"/>
    <w:hidden/>
    <w:rsid w:val="00B714A9"/>
    <w:rPr>
      <w:rFonts w:ascii="Times New Roman" w:eastAsia="Times New Roman" w:hAnsi="Times New Roman" w:cs="Times New Roman"/>
      <w:color w:val="000000"/>
      <w:sz w:val="20"/>
      <w:vertAlign w:val="superscript"/>
    </w:rPr>
  </w:style>
  <w:style w:type="paragraph" w:customStyle="1" w:styleId="WW-Predeterminado">
    <w:name w:val="WW-Predeterminado"/>
    <w:uiPriority w:val="99"/>
    <w:rsid w:val="00D64BEF"/>
    <w:pPr>
      <w:widowControl w:val="0"/>
      <w:autoSpaceDE w:val="0"/>
      <w:autoSpaceDN w:val="0"/>
      <w:adjustRightInd w:val="0"/>
    </w:pPr>
    <w:rPr>
      <w:rFonts w:ascii="Arial" w:hAnsi="Arial" w:cs="Arial"/>
      <w:sz w:val="24"/>
      <w:szCs w:val="24"/>
      <w:u w:val="single"/>
      <w:lang w:val="es-ES"/>
    </w:rPr>
  </w:style>
  <w:style w:type="character" w:customStyle="1" w:styleId="TextodegloboCar">
    <w:name w:val="Texto de globo Car"/>
    <w:link w:val="Textodeglobo"/>
    <w:uiPriority w:val="99"/>
    <w:semiHidden/>
    <w:rsid w:val="008B0F91"/>
    <w:rPr>
      <w:rFonts w:ascii="Tahoma" w:hAnsi="Tahoma" w:cs="Tahoma"/>
      <w:sz w:val="16"/>
      <w:szCs w:val="16"/>
      <w:lang w:val="es-ES" w:eastAsia="es-ES"/>
    </w:rPr>
  </w:style>
  <w:style w:type="character" w:customStyle="1" w:styleId="Ttulo1Car">
    <w:name w:val="Título 1 Car"/>
    <w:aliases w:val="Título Principal Car"/>
    <w:link w:val="Ttulo1"/>
    <w:qFormat/>
    <w:rsid w:val="008B0F91"/>
    <w:rPr>
      <w:rFonts w:ascii="Arial" w:hAnsi="Arial" w:cs="Arial"/>
      <w:b/>
      <w:bCs/>
      <w:i/>
      <w:iCs/>
      <w:color w:val="000000"/>
      <w:spacing w:val="-3"/>
      <w:sz w:val="24"/>
      <w:szCs w:val="24"/>
      <w:u w:color="000000"/>
      <w:lang w:val="es-ES" w:eastAsia="es-ES"/>
    </w:rPr>
  </w:style>
  <w:style w:type="character" w:customStyle="1" w:styleId="PiedepginaCar">
    <w:name w:val="Pie de página Car"/>
    <w:link w:val="Piedepgina"/>
    <w:uiPriority w:val="99"/>
    <w:rsid w:val="008B0F91"/>
    <w:rPr>
      <w:lang w:eastAsia="es-ES"/>
    </w:rPr>
  </w:style>
  <w:style w:type="paragraph" w:styleId="Revisin">
    <w:name w:val="Revision"/>
    <w:hidden/>
    <w:uiPriority w:val="99"/>
    <w:semiHidden/>
    <w:rsid w:val="008B0F91"/>
    <w:rPr>
      <w:rFonts w:ascii="Calibri" w:eastAsia="Calibri" w:hAnsi="Calibri" w:cs="Arial"/>
      <w:sz w:val="22"/>
      <w:szCs w:val="22"/>
      <w:lang w:eastAsia="en-US"/>
    </w:rPr>
  </w:style>
  <w:style w:type="paragraph" w:styleId="Sinespaciado">
    <w:name w:val="No Spacing"/>
    <w:uiPriority w:val="1"/>
    <w:qFormat/>
    <w:rsid w:val="009E7445"/>
    <w:rPr>
      <w:rFonts w:ascii="Calibri" w:eastAsia="Calibri" w:hAnsi="Calibri"/>
      <w:sz w:val="22"/>
      <w:szCs w:val="22"/>
      <w:lang w:eastAsia="en-US"/>
    </w:rPr>
  </w:style>
  <w:style w:type="character" w:customStyle="1" w:styleId="Textoindependiente2Car">
    <w:name w:val="Texto independiente 2 Car"/>
    <w:link w:val="Textoindependiente2"/>
    <w:rsid w:val="004D280C"/>
    <w:rPr>
      <w:rFonts w:ascii="Bookman Old Style" w:hAnsi="Bookman Old Style" w:cs="Bookman Old Style"/>
      <w:sz w:val="24"/>
      <w:szCs w:val="24"/>
      <w:lang w:val="es-ES_tradnl" w:eastAsia="es-ES"/>
    </w:rPr>
  </w:style>
  <w:style w:type="paragraph" w:customStyle="1" w:styleId="xmsonormal">
    <w:name w:val="x_msonormal"/>
    <w:basedOn w:val="Normal"/>
    <w:rsid w:val="00755786"/>
    <w:pPr>
      <w:spacing w:before="100" w:beforeAutospacing="1" w:after="100" w:afterAutospacing="1"/>
    </w:pPr>
    <w:rPr>
      <w:szCs w:val="24"/>
      <w:lang w:eastAsia="es-CR"/>
    </w:rPr>
  </w:style>
  <w:style w:type="table" w:customStyle="1" w:styleId="Estilo20">
    <w:name w:val="Estilo2"/>
    <w:basedOn w:val="Tablanormal"/>
    <w:rsid w:val="0065663E"/>
    <w:rPr>
      <w:rFonts w:ascii="Book Antiqua" w:hAnsi="Book Antiqua"/>
    </w:rPr>
    <w:tblPr>
      <w:tblBorders>
        <w:top w:val="single" w:sz="4" w:space="0" w:color="auto"/>
        <w:insideV w:val="single" w:sz="4" w:space="0" w:color="auto"/>
      </w:tblBorders>
    </w:tblPr>
  </w:style>
  <w:style w:type="paragraph" w:customStyle="1" w:styleId="Prrafodelista200">
    <w:name w:val="Párrafo de lista200"/>
    <w:basedOn w:val="Normal"/>
    <w:qFormat/>
    <w:rsid w:val="00A66CBC"/>
    <w:pPr>
      <w:spacing w:after="200" w:line="276" w:lineRule="auto"/>
      <w:ind w:left="720"/>
      <w:contextualSpacing/>
    </w:pPr>
    <w:rPr>
      <w:rFonts w:ascii="Calibri" w:hAnsi="Calibri"/>
      <w:sz w:val="22"/>
      <w:szCs w:val="22"/>
      <w:lang w:val="es-ES" w:eastAsia="en-US"/>
    </w:rPr>
  </w:style>
  <w:style w:type="table" w:customStyle="1" w:styleId="TableGrid0">
    <w:name w:val="Table Grid0"/>
    <w:rsid w:val="00A66CBC"/>
    <w:rPr>
      <w:rFonts w:ascii="Calibri" w:hAnsi="Calibri"/>
      <w:sz w:val="22"/>
      <w:szCs w:val="22"/>
    </w:rPr>
    <w:tblPr>
      <w:tblCellMar>
        <w:top w:w="0" w:type="dxa"/>
        <w:left w:w="0" w:type="dxa"/>
        <w:bottom w:w="0" w:type="dxa"/>
        <w:right w:w="0" w:type="dxa"/>
      </w:tblCellMar>
    </w:tblPr>
  </w:style>
  <w:style w:type="paragraph" w:customStyle="1" w:styleId="Prrafodelista2000">
    <w:name w:val="Párrafo de lista2000"/>
    <w:basedOn w:val="Normal"/>
    <w:qFormat/>
    <w:rsid w:val="003156C2"/>
    <w:pPr>
      <w:spacing w:after="200" w:line="276" w:lineRule="auto"/>
      <w:ind w:left="720"/>
      <w:contextualSpacing/>
    </w:pPr>
    <w:rPr>
      <w:rFonts w:ascii="Calibri" w:hAnsi="Calibri"/>
      <w:sz w:val="22"/>
      <w:szCs w:val="22"/>
      <w:lang w:val="es-ES" w:eastAsia="en-US"/>
    </w:rPr>
  </w:style>
  <w:style w:type="character" w:styleId="Mencinsinresolver">
    <w:name w:val="Unresolved Mention"/>
    <w:uiPriority w:val="99"/>
    <w:semiHidden/>
    <w:unhideWhenUsed/>
    <w:rsid w:val="00B5045D"/>
    <w:rPr>
      <w:color w:val="605E5C"/>
      <w:shd w:val="clear" w:color="auto" w:fill="E1DFDD"/>
    </w:rPr>
  </w:style>
  <w:style w:type="paragraph" w:customStyle="1" w:styleId="Estilo3">
    <w:name w:val="Estilo3"/>
    <w:basedOn w:val="Normal"/>
    <w:link w:val="Estilo3Car"/>
    <w:qFormat/>
    <w:rsid w:val="00936172"/>
    <w:pPr>
      <w:numPr>
        <w:ilvl w:val="1"/>
        <w:numId w:val="21"/>
      </w:numPr>
      <w:shd w:val="clear" w:color="auto" w:fill="D0CECE" w:themeFill="background2" w:themeFillShade="E6"/>
      <w:spacing w:after="160" w:line="276" w:lineRule="auto"/>
      <w:outlineLvl w:val="4"/>
    </w:pPr>
    <w:rPr>
      <w:rFonts w:cs="Calibri"/>
      <w:color w:val="000000"/>
      <w:szCs w:val="24"/>
      <w:lang w:eastAsia="es-CR"/>
    </w:rPr>
  </w:style>
  <w:style w:type="character" w:customStyle="1" w:styleId="Estilo3Car">
    <w:name w:val="Estilo3 Car"/>
    <w:basedOn w:val="Fuentedeprrafopredeter"/>
    <w:link w:val="Estilo3"/>
    <w:rsid w:val="00936172"/>
    <w:rPr>
      <w:rFonts w:ascii="Book Antiqua" w:hAnsi="Book Antiqua" w:cs="Calibri"/>
      <w:color w:val="000000"/>
      <w:sz w:val="24"/>
      <w:szCs w:val="24"/>
      <w:shd w:val="clear" w:color="auto" w:fill="D0CECE" w:themeFill="background2" w:themeFillShade="E6"/>
    </w:rPr>
  </w:style>
  <w:style w:type="character" w:customStyle="1" w:styleId="Caracteresdenotaalpie">
    <w:name w:val="Caracteres de nota al pie"/>
    <w:qFormat/>
    <w:rsid w:val="004E3B08"/>
  </w:style>
  <w:style w:type="character" w:customStyle="1" w:styleId="Ancladenotaalpie">
    <w:name w:val="Ancla de nota al pie"/>
    <w:rsid w:val="004E3B08"/>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93535">
      <w:bodyDiv w:val="1"/>
      <w:marLeft w:val="0"/>
      <w:marRight w:val="0"/>
      <w:marTop w:val="0"/>
      <w:marBottom w:val="0"/>
      <w:divBdr>
        <w:top w:val="none" w:sz="0" w:space="0" w:color="auto"/>
        <w:left w:val="none" w:sz="0" w:space="0" w:color="auto"/>
        <w:bottom w:val="none" w:sz="0" w:space="0" w:color="auto"/>
        <w:right w:val="none" w:sz="0" w:space="0" w:color="auto"/>
      </w:divBdr>
    </w:div>
    <w:div w:id="3631990">
      <w:bodyDiv w:val="1"/>
      <w:marLeft w:val="0"/>
      <w:marRight w:val="0"/>
      <w:marTop w:val="0"/>
      <w:marBottom w:val="0"/>
      <w:divBdr>
        <w:top w:val="none" w:sz="0" w:space="0" w:color="auto"/>
        <w:left w:val="none" w:sz="0" w:space="0" w:color="auto"/>
        <w:bottom w:val="none" w:sz="0" w:space="0" w:color="auto"/>
        <w:right w:val="none" w:sz="0" w:space="0" w:color="auto"/>
      </w:divBdr>
    </w:div>
    <w:div w:id="16202728">
      <w:bodyDiv w:val="1"/>
      <w:marLeft w:val="0"/>
      <w:marRight w:val="0"/>
      <w:marTop w:val="0"/>
      <w:marBottom w:val="0"/>
      <w:divBdr>
        <w:top w:val="none" w:sz="0" w:space="0" w:color="auto"/>
        <w:left w:val="none" w:sz="0" w:space="0" w:color="auto"/>
        <w:bottom w:val="none" w:sz="0" w:space="0" w:color="auto"/>
        <w:right w:val="none" w:sz="0" w:space="0" w:color="auto"/>
      </w:divBdr>
    </w:div>
    <w:div w:id="17128300">
      <w:bodyDiv w:val="1"/>
      <w:marLeft w:val="0"/>
      <w:marRight w:val="0"/>
      <w:marTop w:val="0"/>
      <w:marBottom w:val="0"/>
      <w:divBdr>
        <w:top w:val="none" w:sz="0" w:space="0" w:color="auto"/>
        <w:left w:val="none" w:sz="0" w:space="0" w:color="auto"/>
        <w:bottom w:val="none" w:sz="0" w:space="0" w:color="auto"/>
        <w:right w:val="none" w:sz="0" w:space="0" w:color="auto"/>
      </w:divBdr>
    </w:div>
    <w:div w:id="21441252">
      <w:bodyDiv w:val="1"/>
      <w:marLeft w:val="0"/>
      <w:marRight w:val="0"/>
      <w:marTop w:val="0"/>
      <w:marBottom w:val="0"/>
      <w:divBdr>
        <w:top w:val="none" w:sz="0" w:space="0" w:color="auto"/>
        <w:left w:val="none" w:sz="0" w:space="0" w:color="auto"/>
        <w:bottom w:val="none" w:sz="0" w:space="0" w:color="auto"/>
        <w:right w:val="none" w:sz="0" w:space="0" w:color="auto"/>
      </w:divBdr>
    </w:div>
    <w:div w:id="25983403">
      <w:bodyDiv w:val="1"/>
      <w:marLeft w:val="0"/>
      <w:marRight w:val="0"/>
      <w:marTop w:val="0"/>
      <w:marBottom w:val="0"/>
      <w:divBdr>
        <w:top w:val="none" w:sz="0" w:space="0" w:color="auto"/>
        <w:left w:val="none" w:sz="0" w:space="0" w:color="auto"/>
        <w:bottom w:val="none" w:sz="0" w:space="0" w:color="auto"/>
        <w:right w:val="none" w:sz="0" w:space="0" w:color="auto"/>
      </w:divBdr>
    </w:div>
    <w:div w:id="26226164">
      <w:bodyDiv w:val="1"/>
      <w:marLeft w:val="0"/>
      <w:marRight w:val="0"/>
      <w:marTop w:val="0"/>
      <w:marBottom w:val="0"/>
      <w:divBdr>
        <w:top w:val="none" w:sz="0" w:space="0" w:color="auto"/>
        <w:left w:val="none" w:sz="0" w:space="0" w:color="auto"/>
        <w:bottom w:val="none" w:sz="0" w:space="0" w:color="auto"/>
        <w:right w:val="none" w:sz="0" w:space="0" w:color="auto"/>
      </w:divBdr>
    </w:div>
    <w:div w:id="34545405">
      <w:bodyDiv w:val="1"/>
      <w:marLeft w:val="0"/>
      <w:marRight w:val="0"/>
      <w:marTop w:val="0"/>
      <w:marBottom w:val="0"/>
      <w:divBdr>
        <w:top w:val="none" w:sz="0" w:space="0" w:color="auto"/>
        <w:left w:val="none" w:sz="0" w:space="0" w:color="auto"/>
        <w:bottom w:val="none" w:sz="0" w:space="0" w:color="auto"/>
        <w:right w:val="none" w:sz="0" w:space="0" w:color="auto"/>
      </w:divBdr>
    </w:div>
    <w:div w:id="37050842">
      <w:bodyDiv w:val="1"/>
      <w:marLeft w:val="0"/>
      <w:marRight w:val="0"/>
      <w:marTop w:val="0"/>
      <w:marBottom w:val="0"/>
      <w:divBdr>
        <w:top w:val="none" w:sz="0" w:space="0" w:color="auto"/>
        <w:left w:val="none" w:sz="0" w:space="0" w:color="auto"/>
        <w:bottom w:val="none" w:sz="0" w:space="0" w:color="auto"/>
        <w:right w:val="none" w:sz="0" w:space="0" w:color="auto"/>
      </w:divBdr>
    </w:div>
    <w:div w:id="37706753">
      <w:bodyDiv w:val="1"/>
      <w:marLeft w:val="0"/>
      <w:marRight w:val="0"/>
      <w:marTop w:val="0"/>
      <w:marBottom w:val="0"/>
      <w:divBdr>
        <w:top w:val="none" w:sz="0" w:space="0" w:color="auto"/>
        <w:left w:val="none" w:sz="0" w:space="0" w:color="auto"/>
        <w:bottom w:val="none" w:sz="0" w:space="0" w:color="auto"/>
        <w:right w:val="none" w:sz="0" w:space="0" w:color="auto"/>
      </w:divBdr>
    </w:div>
    <w:div w:id="40401352">
      <w:bodyDiv w:val="1"/>
      <w:marLeft w:val="0"/>
      <w:marRight w:val="0"/>
      <w:marTop w:val="0"/>
      <w:marBottom w:val="0"/>
      <w:divBdr>
        <w:top w:val="none" w:sz="0" w:space="0" w:color="auto"/>
        <w:left w:val="none" w:sz="0" w:space="0" w:color="auto"/>
        <w:bottom w:val="none" w:sz="0" w:space="0" w:color="auto"/>
        <w:right w:val="none" w:sz="0" w:space="0" w:color="auto"/>
      </w:divBdr>
    </w:div>
    <w:div w:id="42483353">
      <w:bodyDiv w:val="1"/>
      <w:marLeft w:val="0"/>
      <w:marRight w:val="0"/>
      <w:marTop w:val="0"/>
      <w:marBottom w:val="0"/>
      <w:divBdr>
        <w:top w:val="none" w:sz="0" w:space="0" w:color="auto"/>
        <w:left w:val="none" w:sz="0" w:space="0" w:color="auto"/>
        <w:bottom w:val="none" w:sz="0" w:space="0" w:color="auto"/>
        <w:right w:val="none" w:sz="0" w:space="0" w:color="auto"/>
      </w:divBdr>
    </w:div>
    <w:div w:id="42486799">
      <w:bodyDiv w:val="1"/>
      <w:marLeft w:val="0"/>
      <w:marRight w:val="0"/>
      <w:marTop w:val="0"/>
      <w:marBottom w:val="0"/>
      <w:divBdr>
        <w:top w:val="none" w:sz="0" w:space="0" w:color="auto"/>
        <w:left w:val="none" w:sz="0" w:space="0" w:color="auto"/>
        <w:bottom w:val="none" w:sz="0" w:space="0" w:color="auto"/>
        <w:right w:val="none" w:sz="0" w:space="0" w:color="auto"/>
      </w:divBdr>
    </w:div>
    <w:div w:id="44791717">
      <w:bodyDiv w:val="1"/>
      <w:marLeft w:val="0"/>
      <w:marRight w:val="0"/>
      <w:marTop w:val="0"/>
      <w:marBottom w:val="0"/>
      <w:divBdr>
        <w:top w:val="none" w:sz="0" w:space="0" w:color="auto"/>
        <w:left w:val="none" w:sz="0" w:space="0" w:color="auto"/>
        <w:bottom w:val="none" w:sz="0" w:space="0" w:color="auto"/>
        <w:right w:val="none" w:sz="0" w:space="0" w:color="auto"/>
      </w:divBdr>
    </w:div>
    <w:div w:id="47263935">
      <w:bodyDiv w:val="1"/>
      <w:marLeft w:val="0"/>
      <w:marRight w:val="0"/>
      <w:marTop w:val="0"/>
      <w:marBottom w:val="0"/>
      <w:divBdr>
        <w:top w:val="none" w:sz="0" w:space="0" w:color="auto"/>
        <w:left w:val="none" w:sz="0" w:space="0" w:color="auto"/>
        <w:bottom w:val="none" w:sz="0" w:space="0" w:color="auto"/>
        <w:right w:val="none" w:sz="0" w:space="0" w:color="auto"/>
      </w:divBdr>
    </w:div>
    <w:div w:id="49311609">
      <w:bodyDiv w:val="1"/>
      <w:marLeft w:val="0"/>
      <w:marRight w:val="0"/>
      <w:marTop w:val="0"/>
      <w:marBottom w:val="0"/>
      <w:divBdr>
        <w:top w:val="none" w:sz="0" w:space="0" w:color="auto"/>
        <w:left w:val="none" w:sz="0" w:space="0" w:color="auto"/>
        <w:bottom w:val="none" w:sz="0" w:space="0" w:color="auto"/>
        <w:right w:val="none" w:sz="0" w:space="0" w:color="auto"/>
      </w:divBdr>
    </w:div>
    <w:div w:id="50887912">
      <w:bodyDiv w:val="1"/>
      <w:marLeft w:val="0"/>
      <w:marRight w:val="0"/>
      <w:marTop w:val="0"/>
      <w:marBottom w:val="0"/>
      <w:divBdr>
        <w:top w:val="none" w:sz="0" w:space="0" w:color="auto"/>
        <w:left w:val="none" w:sz="0" w:space="0" w:color="auto"/>
        <w:bottom w:val="none" w:sz="0" w:space="0" w:color="auto"/>
        <w:right w:val="none" w:sz="0" w:space="0" w:color="auto"/>
      </w:divBdr>
    </w:div>
    <w:div w:id="55975743">
      <w:bodyDiv w:val="1"/>
      <w:marLeft w:val="0"/>
      <w:marRight w:val="0"/>
      <w:marTop w:val="0"/>
      <w:marBottom w:val="0"/>
      <w:divBdr>
        <w:top w:val="none" w:sz="0" w:space="0" w:color="auto"/>
        <w:left w:val="none" w:sz="0" w:space="0" w:color="auto"/>
        <w:bottom w:val="none" w:sz="0" w:space="0" w:color="auto"/>
        <w:right w:val="none" w:sz="0" w:space="0" w:color="auto"/>
      </w:divBdr>
    </w:div>
    <w:div w:id="58065945">
      <w:bodyDiv w:val="1"/>
      <w:marLeft w:val="0"/>
      <w:marRight w:val="0"/>
      <w:marTop w:val="0"/>
      <w:marBottom w:val="0"/>
      <w:divBdr>
        <w:top w:val="none" w:sz="0" w:space="0" w:color="auto"/>
        <w:left w:val="none" w:sz="0" w:space="0" w:color="auto"/>
        <w:bottom w:val="none" w:sz="0" w:space="0" w:color="auto"/>
        <w:right w:val="none" w:sz="0" w:space="0" w:color="auto"/>
      </w:divBdr>
    </w:div>
    <w:div w:id="61146375">
      <w:bodyDiv w:val="1"/>
      <w:marLeft w:val="0"/>
      <w:marRight w:val="0"/>
      <w:marTop w:val="0"/>
      <w:marBottom w:val="0"/>
      <w:divBdr>
        <w:top w:val="none" w:sz="0" w:space="0" w:color="auto"/>
        <w:left w:val="none" w:sz="0" w:space="0" w:color="auto"/>
        <w:bottom w:val="none" w:sz="0" w:space="0" w:color="auto"/>
        <w:right w:val="none" w:sz="0" w:space="0" w:color="auto"/>
      </w:divBdr>
    </w:div>
    <w:div w:id="63338724">
      <w:bodyDiv w:val="1"/>
      <w:marLeft w:val="0"/>
      <w:marRight w:val="0"/>
      <w:marTop w:val="0"/>
      <w:marBottom w:val="0"/>
      <w:divBdr>
        <w:top w:val="none" w:sz="0" w:space="0" w:color="auto"/>
        <w:left w:val="none" w:sz="0" w:space="0" w:color="auto"/>
        <w:bottom w:val="none" w:sz="0" w:space="0" w:color="auto"/>
        <w:right w:val="none" w:sz="0" w:space="0" w:color="auto"/>
      </w:divBdr>
    </w:div>
    <w:div w:id="67114705">
      <w:bodyDiv w:val="1"/>
      <w:marLeft w:val="0"/>
      <w:marRight w:val="0"/>
      <w:marTop w:val="0"/>
      <w:marBottom w:val="0"/>
      <w:divBdr>
        <w:top w:val="none" w:sz="0" w:space="0" w:color="auto"/>
        <w:left w:val="none" w:sz="0" w:space="0" w:color="auto"/>
        <w:bottom w:val="none" w:sz="0" w:space="0" w:color="auto"/>
        <w:right w:val="none" w:sz="0" w:space="0" w:color="auto"/>
      </w:divBdr>
    </w:div>
    <w:div w:id="69819229">
      <w:bodyDiv w:val="1"/>
      <w:marLeft w:val="0"/>
      <w:marRight w:val="0"/>
      <w:marTop w:val="0"/>
      <w:marBottom w:val="0"/>
      <w:divBdr>
        <w:top w:val="none" w:sz="0" w:space="0" w:color="auto"/>
        <w:left w:val="none" w:sz="0" w:space="0" w:color="auto"/>
        <w:bottom w:val="none" w:sz="0" w:space="0" w:color="auto"/>
        <w:right w:val="none" w:sz="0" w:space="0" w:color="auto"/>
      </w:divBdr>
    </w:div>
    <w:div w:id="72439703">
      <w:bodyDiv w:val="1"/>
      <w:marLeft w:val="0"/>
      <w:marRight w:val="0"/>
      <w:marTop w:val="0"/>
      <w:marBottom w:val="0"/>
      <w:divBdr>
        <w:top w:val="none" w:sz="0" w:space="0" w:color="auto"/>
        <w:left w:val="none" w:sz="0" w:space="0" w:color="auto"/>
        <w:bottom w:val="none" w:sz="0" w:space="0" w:color="auto"/>
        <w:right w:val="none" w:sz="0" w:space="0" w:color="auto"/>
      </w:divBdr>
    </w:div>
    <w:div w:id="76171268">
      <w:bodyDiv w:val="1"/>
      <w:marLeft w:val="0"/>
      <w:marRight w:val="0"/>
      <w:marTop w:val="0"/>
      <w:marBottom w:val="0"/>
      <w:divBdr>
        <w:top w:val="none" w:sz="0" w:space="0" w:color="auto"/>
        <w:left w:val="none" w:sz="0" w:space="0" w:color="auto"/>
        <w:bottom w:val="none" w:sz="0" w:space="0" w:color="auto"/>
        <w:right w:val="none" w:sz="0" w:space="0" w:color="auto"/>
      </w:divBdr>
    </w:div>
    <w:div w:id="77599081">
      <w:bodyDiv w:val="1"/>
      <w:marLeft w:val="0"/>
      <w:marRight w:val="0"/>
      <w:marTop w:val="0"/>
      <w:marBottom w:val="0"/>
      <w:divBdr>
        <w:top w:val="none" w:sz="0" w:space="0" w:color="auto"/>
        <w:left w:val="none" w:sz="0" w:space="0" w:color="auto"/>
        <w:bottom w:val="none" w:sz="0" w:space="0" w:color="auto"/>
        <w:right w:val="none" w:sz="0" w:space="0" w:color="auto"/>
      </w:divBdr>
    </w:div>
    <w:div w:id="81295055">
      <w:bodyDiv w:val="1"/>
      <w:marLeft w:val="0"/>
      <w:marRight w:val="0"/>
      <w:marTop w:val="0"/>
      <w:marBottom w:val="0"/>
      <w:divBdr>
        <w:top w:val="none" w:sz="0" w:space="0" w:color="auto"/>
        <w:left w:val="none" w:sz="0" w:space="0" w:color="auto"/>
        <w:bottom w:val="none" w:sz="0" w:space="0" w:color="auto"/>
        <w:right w:val="none" w:sz="0" w:space="0" w:color="auto"/>
      </w:divBdr>
    </w:div>
    <w:div w:id="85268974">
      <w:bodyDiv w:val="1"/>
      <w:marLeft w:val="0"/>
      <w:marRight w:val="0"/>
      <w:marTop w:val="0"/>
      <w:marBottom w:val="0"/>
      <w:divBdr>
        <w:top w:val="none" w:sz="0" w:space="0" w:color="auto"/>
        <w:left w:val="none" w:sz="0" w:space="0" w:color="auto"/>
        <w:bottom w:val="none" w:sz="0" w:space="0" w:color="auto"/>
        <w:right w:val="none" w:sz="0" w:space="0" w:color="auto"/>
      </w:divBdr>
    </w:div>
    <w:div w:id="88043558">
      <w:bodyDiv w:val="1"/>
      <w:marLeft w:val="0"/>
      <w:marRight w:val="0"/>
      <w:marTop w:val="0"/>
      <w:marBottom w:val="0"/>
      <w:divBdr>
        <w:top w:val="none" w:sz="0" w:space="0" w:color="auto"/>
        <w:left w:val="none" w:sz="0" w:space="0" w:color="auto"/>
        <w:bottom w:val="none" w:sz="0" w:space="0" w:color="auto"/>
        <w:right w:val="none" w:sz="0" w:space="0" w:color="auto"/>
      </w:divBdr>
    </w:div>
    <w:div w:id="89670374">
      <w:bodyDiv w:val="1"/>
      <w:marLeft w:val="0"/>
      <w:marRight w:val="0"/>
      <w:marTop w:val="0"/>
      <w:marBottom w:val="0"/>
      <w:divBdr>
        <w:top w:val="none" w:sz="0" w:space="0" w:color="auto"/>
        <w:left w:val="none" w:sz="0" w:space="0" w:color="auto"/>
        <w:bottom w:val="none" w:sz="0" w:space="0" w:color="auto"/>
        <w:right w:val="none" w:sz="0" w:space="0" w:color="auto"/>
      </w:divBdr>
    </w:div>
    <w:div w:id="93403173">
      <w:bodyDiv w:val="1"/>
      <w:marLeft w:val="0"/>
      <w:marRight w:val="0"/>
      <w:marTop w:val="0"/>
      <w:marBottom w:val="0"/>
      <w:divBdr>
        <w:top w:val="none" w:sz="0" w:space="0" w:color="auto"/>
        <w:left w:val="none" w:sz="0" w:space="0" w:color="auto"/>
        <w:bottom w:val="none" w:sz="0" w:space="0" w:color="auto"/>
        <w:right w:val="none" w:sz="0" w:space="0" w:color="auto"/>
      </w:divBdr>
    </w:div>
    <w:div w:id="97334306">
      <w:bodyDiv w:val="1"/>
      <w:marLeft w:val="0"/>
      <w:marRight w:val="0"/>
      <w:marTop w:val="0"/>
      <w:marBottom w:val="0"/>
      <w:divBdr>
        <w:top w:val="none" w:sz="0" w:space="0" w:color="auto"/>
        <w:left w:val="none" w:sz="0" w:space="0" w:color="auto"/>
        <w:bottom w:val="none" w:sz="0" w:space="0" w:color="auto"/>
        <w:right w:val="none" w:sz="0" w:space="0" w:color="auto"/>
      </w:divBdr>
    </w:div>
    <w:div w:id="97602923">
      <w:bodyDiv w:val="1"/>
      <w:marLeft w:val="0"/>
      <w:marRight w:val="0"/>
      <w:marTop w:val="0"/>
      <w:marBottom w:val="0"/>
      <w:divBdr>
        <w:top w:val="none" w:sz="0" w:space="0" w:color="auto"/>
        <w:left w:val="none" w:sz="0" w:space="0" w:color="auto"/>
        <w:bottom w:val="none" w:sz="0" w:space="0" w:color="auto"/>
        <w:right w:val="none" w:sz="0" w:space="0" w:color="auto"/>
      </w:divBdr>
    </w:div>
    <w:div w:id="103499181">
      <w:bodyDiv w:val="1"/>
      <w:marLeft w:val="0"/>
      <w:marRight w:val="0"/>
      <w:marTop w:val="0"/>
      <w:marBottom w:val="0"/>
      <w:divBdr>
        <w:top w:val="none" w:sz="0" w:space="0" w:color="auto"/>
        <w:left w:val="none" w:sz="0" w:space="0" w:color="auto"/>
        <w:bottom w:val="none" w:sz="0" w:space="0" w:color="auto"/>
        <w:right w:val="none" w:sz="0" w:space="0" w:color="auto"/>
      </w:divBdr>
    </w:div>
    <w:div w:id="107313202">
      <w:bodyDiv w:val="1"/>
      <w:marLeft w:val="0"/>
      <w:marRight w:val="0"/>
      <w:marTop w:val="0"/>
      <w:marBottom w:val="0"/>
      <w:divBdr>
        <w:top w:val="none" w:sz="0" w:space="0" w:color="auto"/>
        <w:left w:val="none" w:sz="0" w:space="0" w:color="auto"/>
        <w:bottom w:val="none" w:sz="0" w:space="0" w:color="auto"/>
        <w:right w:val="none" w:sz="0" w:space="0" w:color="auto"/>
      </w:divBdr>
    </w:div>
    <w:div w:id="109278005">
      <w:bodyDiv w:val="1"/>
      <w:marLeft w:val="0"/>
      <w:marRight w:val="0"/>
      <w:marTop w:val="0"/>
      <w:marBottom w:val="0"/>
      <w:divBdr>
        <w:top w:val="none" w:sz="0" w:space="0" w:color="auto"/>
        <w:left w:val="none" w:sz="0" w:space="0" w:color="auto"/>
        <w:bottom w:val="none" w:sz="0" w:space="0" w:color="auto"/>
        <w:right w:val="none" w:sz="0" w:space="0" w:color="auto"/>
      </w:divBdr>
    </w:div>
    <w:div w:id="110710795">
      <w:bodyDiv w:val="1"/>
      <w:marLeft w:val="0"/>
      <w:marRight w:val="0"/>
      <w:marTop w:val="0"/>
      <w:marBottom w:val="0"/>
      <w:divBdr>
        <w:top w:val="none" w:sz="0" w:space="0" w:color="auto"/>
        <w:left w:val="none" w:sz="0" w:space="0" w:color="auto"/>
        <w:bottom w:val="none" w:sz="0" w:space="0" w:color="auto"/>
        <w:right w:val="none" w:sz="0" w:space="0" w:color="auto"/>
      </w:divBdr>
    </w:div>
    <w:div w:id="113981228">
      <w:bodyDiv w:val="1"/>
      <w:marLeft w:val="0"/>
      <w:marRight w:val="0"/>
      <w:marTop w:val="0"/>
      <w:marBottom w:val="0"/>
      <w:divBdr>
        <w:top w:val="none" w:sz="0" w:space="0" w:color="auto"/>
        <w:left w:val="none" w:sz="0" w:space="0" w:color="auto"/>
        <w:bottom w:val="none" w:sz="0" w:space="0" w:color="auto"/>
        <w:right w:val="none" w:sz="0" w:space="0" w:color="auto"/>
      </w:divBdr>
    </w:div>
    <w:div w:id="118188405">
      <w:bodyDiv w:val="1"/>
      <w:marLeft w:val="0"/>
      <w:marRight w:val="0"/>
      <w:marTop w:val="0"/>
      <w:marBottom w:val="0"/>
      <w:divBdr>
        <w:top w:val="none" w:sz="0" w:space="0" w:color="auto"/>
        <w:left w:val="none" w:sz="0" w:space="0" w:color="auto"/>
        <w:bottom w:val="none" w:sz="0" w:space="0" w:color="auto"/>
        <w:right w:val="none" w:sz="0" w:space="0" w:color="auto"/>
      </w:divBdr>
    </w:div>
    <w:div w:id="121703265">
      <w:bodyDiv w:val="1"/>
      <w:marLeft w:val="0"/>
      <w:marRight w:val="0"/>
      <w:marTop w:val="0"/>
      <w:marBottom w:val="0"/>
      <w:divBdr>
        <w:top w:val="none" w:sz="0" w:space="0" w:color="auto"/>
        <w:left w:val="none" w:sz="0" w:space="0" w:color="auto"/>
        <w:bottom w:val="none" w:sz="0" w:space="0" w:color="auto"/>
        <w:right w:val="none" w:sz="0" w:space="0" w:color="auto"/>
      </w:divBdr>
    </w:div>
    <w:div w:id="121927493">
      <w:bodyDiv w:val="1"/>
      <w:marLeft w:val="0"/>
      <w:marRight w:val="0"/>
      <w:marTop w:val="0"/>
      <w:marBottom w:val="0"/>
      <w:divBdr>
        <w:top w:val="none" w:sz="0" w:space="0" w:color="auto"/>
        <w:left w:val="none" w:sz="0" w:space="0" w:color="auto"/>
        <w:bottom w:val="none" w:sz="0" w:space="0" w:color="auto"/>
        <w:right w:val="none" w:sz="0" w:space="0" w:color="auto"/>
      </w:divBdr>
    </w:div>
    <w:div w:id="126902107">
      <w:bodyDiv w:val="1"/>
      <w:marLeft w:val="0"/>
      <w:marRight w:val="0"/>
      <w:marTop w:val="0"/>
      <w:marBottom w:val="0"/>
      <w:divBdr>
        <w:top w:val="none" w:sz="0" w:space="0" w:color="auto"/>
        <w:left w:val="none" w:sz="0" w:space="0" w:color="auto"/>
        <w:bottom w:val="none" w:sz="0" w:space="0" w:color="auto"/>
        <w:right w:val="none" w:sz="0" w:space="0" w:color="auto"/>
      </w:divBdr>
    </w:div>
    <w:div w:id="130564410">
      <w:bodyDiv w:val="1"/>
      <w:marLeft w:val="0"/>
      <w:marRight w:val="0"/>
      <w:marTop w:val="0"/>
      <w:marBottom w:val="0"/>
      <w:divBdr>
        <w:top w:val="none" w:sz="0" w:space="0" w:color="auto"/>
        <w:left w:val="none" w:sz="0" w:space="0" w:color="auto"/>
        <w:bottom w:val="none" w:sz="0" w:space="0" w:color="auto"/>
        <w:right w:val="none" w:sz="0" w:space="0" w:color="auto"/>
      </w:divBdr>
    </w:div>
    <w:div w:id="131531796">
      <w:bodyDiv w:val="1"/>
      <w:marLeft w:val="0"/>
      <w:marRight w:val="0"/>
      <w:marTop w:val="0"/>
      <w:marBottom w:val="0"/>
      <w:divBdr>
        <w:top w:val="none" w:sz="0" w:space="0" w:color="auto"/>
        <w:left w:val="none" w:sz="0" w:space="0" w:color="auto"/>
        <w:bottom w:val="none" w:sz="0" w:space="0" w:color="auto"/>
        <w:right w:val="none" w:sz="0" w:space="0" w:color="auto"/>
      </w:divBdr>
    </w:div>
    <w:div w:id="133300890">
      <w:bodyDiv w:val="1"/>
      <w:marLeft w:val="0"/>
      <w:marRight w:val="0"/>
      <w:marTop w:val="0"/>
      <w:marBottom w:val="0"/>
      <w:divBdr>
        <w:top w:val="none" w:sz="0" w:space="0" w:color="auto"/>
        <w:left w:val="none" w:sz="0" w:space="0" w:color="auto"/>
        <w:bottom w:val="none" w:sz="0" w:space="0" w:color="auto"/>
        <w:right w:val="none" w:sz="0" w:space="0" w:color="auto"/>
      </w:divBdr>
    </w:div>
    <w:div w:id="135224150">
      <w:bodyDiv w:val="1"/>
      <w:marLeft w:val="0"/>
      <w:marRight w:val="0"/>
      <w:marTop w:val="0"/>
      <w:marBottom w:val="0"/>
      <w:divBdr>
        <w:top w:val="none" w:sz="0" w:space="0" w:color="auto"/>
        <w:left w:val="none" w:sz="0" w:space="0" w:color="auto"/>
        <w:bottom w:val="none" w:sz="0" w:space="0" w:color="auto"/>
        <w:right w:val="none" w:sz="0" w:space="0" w:color="auto"/>
      </w:divBdr>
    </w:div>
    <w:div w:id="138544668">
      <w:bodyDiv w:val="1"/>
      <w:marLeft w:val="0"/>
      <w:marRight w:val="0"/>
      <w:marTop w:val="0"/>
      <w:marBottom w:val="0"/>
      <w:divBdr>
        <w:top w:val="none" w:sz="0" w:space="0" w:color="auto"/>
        <w:left w:val="none" w:sz="0" w:space="0" w:color="auto"/>
        <w:bottom w:val="none" w:sz="0" w:space="0" w:color="auto"/>
        <w:right w:val="none" w:sz="0" w:space="0" w:color="auto"/>
      </w:divBdr>
    </w:div>
    <w:div w:id="147132962">
      <w:bodyDiv w:val="1"/>
      <w:marLeft w:val="0"/>
      <w:marRight w:val="0"/>
      <w:marTop w:val="0"/>
      <w:marBottom w:val="0"/>
      <w:divBdr>
        <w:top w:val="none" w:sz="0" w:space="0" w:color="auto"/>
        <w:left w:val="none" w:sz="0" w:space="0" w:color="auto"/>
        <w:bottom w:val="none" w:sz="0" w:space="0" w:color="auto"/>
        <w:right w:val="none" w:sz="0" w:space="0" w:color="auto"/>
      </w:divBdr>
    </w:div>
    <w:div w:id="150947492">
      <w:bodyDiv w:val="1"/>
      <w:marLeft w:val="0"/>
      <w:marRight w:val="0"/>
      <w:marTop w:val="0"/>
      <w:marBottom w:val="0"/>
      <w:divBdr>
        <w:top w:val="none" w:sz="0" w:space="0" w:color="auto"/>
        <w:left w:val="none" w:sz="0" w:space="0" w:color="auto"/>
        <w:bottom w:val="none" w:sz="0" w:space="0" w:color="auto"/>
        <w:right w:val="none" w:sz="0" w:space="0" w:color="auto"/>
      </w:divBdr>
    </w:div>
    <w:div w:id="153298465">
      <w:bodyDiv w:val="1"/>
      <w:marLeft w:val="0"/>
      <w:marRight w:val="0"/>
      <w:marTop w:val="0"/>
      <w:marBottom w:val="0"/>
      <w:divBdr>
        <w:top w:val="none" w:sz="0" w:space="0" w:color="auto"/>
        <w:left w:val="none" w:sz="0" w:space="0" w:color="auto"/>
        <w:bottom w:val="none" w:sz="0" w:space="0" w:color="auto"/>
        <w:right w:val="none" w:sz="0" w:space="0" w:color="auto"/>
      </w:divBdr>
    </w:div>
    <w:div w:id="157230372">
      <w:bodyDiv w:val="1"/>
      <w:marLeft w:val="0"/>
      <w:marRight w:val="0"/>
      <w:marTop w:val="0"/>
      <w:marBottom w:val="0"/>
      <w:divBdr>
        <w:top w:val="none" w:sz="0" w:space="0" w:color="auto"/>
        <w:left w:val="none" w:sz="0" w:space="0" w:color="auto"/>
        <w:bottom w:val="none" w:sz="0" w:space="0" w:color="auto"/>
        <w:right w:val="none" w:sz="0" w:space="0" w:color="auto"/>
      </w:divBdr>
    </w:div>
    <w:div w:id="160506258">
      <w:bodyDiv w:val="1"/>
      <w:marLeft w:val="0"/>
      <w:marRight w:val="0"/>
      <w:marTop w:val="0"/>
      <w:marBottom w:val="0"/>
      <w:divBdr>
        <w:top w:val="none" w:sz="0" w:space="0" w:color="auto"/>
        <w:left w:val="none" w:sz="0" w:space="0" w:color="auto"/>
        <w:bottom w:val="none" w:sz="0" w:space="0" w:color="auto"/>
        <w:right w:val="none" w:sz="0" w:space="0" w:color="auto"/>
      </w:divBdr>
    </w:div>
    <w:div w:id="160509541">
      <w:bodyDiv w:val="1"/>
      <w:marLeft w:val="0"/>
      <w:marRight w:val="0"/>
      <w:marTop w:val="0"/>
      <w:marBottom w:val="0"/>
      <w:divBdr>
        <w:top w:val="none" w:sz="0" w:space="0" w:color="auto"/>
        <w:left w:val="none" w:sz="0" w:space="0" w:color="auto"/>
        <w:bottom w:val="none" w:sz="0" w:space="0" w:color="auto"/>
        <w:right w:val="none" w:sz="0" w:space="0" w:color="auto"/>
      </w:divBdr>
    </w:div>
    <w:div w:id="164368652">
      <w:bodyDiv w:val="1"/>
      <w:marLeft w:val="0"/>
      <w:marRight w:val="0"/>
      <w:marTop w:val="0"/>
      <w:marBottom w:val="0"/>
      <w:divBdr>
        <w:top w:val="none" w:sz="0" w:space="0" w:color="auto"/>
        <w:left w:val="none" w:sz="0" w:space="0" w:color="auto"/>
        <w:bottom w:val="none" w:sz="0" w:space="0" w:color="auto"/>
        <w:right w:val="none" w:sz="0" w:space="0" w:color="auto"/>
      </w:divBdr>
    </w:div>
    <w:div w:id="168524487">
      <w:bodyDiv w:val="1"/>
      <w:marLeft w:val="0"/>
      <w:marRight w:val="0"/>
      <w:marTop w:val="0"/>
      <w:marBottom w:val="0"/>
      <w:divBdr>
        <w:top w:val="none" w:sz="0" w:space="0" w:color="auto"/>
        <w:left w:val="none" w:sz="0" w:space="0" w:color="auto"/>
        <w:bottom w:val="none" w:sz="0" w:space="0" w:color="auto"/>
        <w:right w:val="none" w:sz="0" w:space="0" w:color="auto"/>
      </w:divBdr>
    </w:div>
    <w:div w:id="172649408">
      <w:bodyDiv w:val="1"/>
      <w:marLeft w:val="0"/>
      <w:marRight w:val="0"/>
      <w:marTop w:val="0"/>
      <w:marBottom w:val="0"/>
      <w:divBdr>
        <w:top w:val="none" w:sz="0" w:space="0" w:color="auto"/>
        <w:left w:val="none" w:sz="0" w:space="0" w:color="auto"/>
        <w:bottom w:val="none" w:sz="0" w:space="0" w:color="auto"/>
        <w:right w:val="none" w:sz="0" w:space="0" w:color="auto"/>
      </w:divBdr>
    </w:div>
    <w:div w:id="174879780">
      <w:bodyDiv w:val="1"/>
      <w:marLeft w:val="0"/>
      <w:marRight w:val="0"/>
      <w:marTop w:val="0"/>
      <w:marBottom w:val="0"/>
      <w:divBdr>
        <w:top w:val="none" w:sz="0" w:space="0" w:color="auto"/>
        <w:left w:val="none" w:sz="0" w:space="0" w:color="auto"/>
        <w:bottom w:val="none" w:sz="0" w:space="0" w:color="auto"/>
        <w:right w:val="none" w:sz="0" w:space="0" w:color="auto"/>
      </w:divBdr>
    </w:div>
    <w:div w:id="176240219">
      <w:bodyDiv w:val="1"/>
      <w:marLeft w:val="0"/>
      <w:marRight w:val="0"/>
      <w:marTop w:val="0"/>
      <w:marBottom w:val="0"/>
      <w:divBdr>
        <w:top w:val="none" w:sz="0" w:space="0" w:color="auto"/>
        <w:left w:val="none" w:sz="0" w:space="0" w:color="auto"/>
        <w:bottom w:val="none" w:sz="0" w:space="0" w:color="auto"/>
        <w:right w:val="none" w:sz="0" w:space="0" w:color="auto"/>
      </w:divBdr>
    </w:div>
    <w:div w:id="176845978">
      <w:bodyDiv w:val="1"/>
      <w:marLeft w:val="0"/>
      <w:marRight w:val="0"/>
      <w:marTop w:val="0"/>
      <w:marBottom w:val="0"/>
      <w:divBdr>
        <w:top w:val="none" w:sz="0" w:space="0" w:color="auto"/>
        <w:left w:val="none" w:sz="0" w:space="0" w:color="auto"/>
        <w:bottom w:val="none" w:sz="0" w:space="0" w:color="auto"/>
        <w:right w:val="none" w:sz="0" w:space="0" w:color="auto"/>
      </w:divBdr>
    </w:div>
    <w:div w:id="179703645">
      <w:bodyDiv w:val="1"/>
      <w:marLeft w:val="0"/>
      <w:marRight w:val="0"/>
      <w:marTop w:val="0"/>
      <w:marBottom w:val="0"/>
      <w:divBdr>
        <w:top w:val="none" w:sz="0" w:space="0" w:color="auto"/>
        <w:left w:val="none" w:sz="0" w:space="0" w:color="auto"/>
        <w:bottom w:val="none" w:sz="0" w:space="0" w:color="auto"/>
        <w:right w:val="none" w:sz="0" w:space="0" w:color="auto"/>
      </w:divBdr>
    </w:div>
    <w:div w:id="179705742">
      <w:bodyDiv w:val="1"/>
      <w:marLeft w:val="0"/>
      <w:marRight w:val="0"/>
      <w:marTop w:val="0"/>
      <w:marBottom w:val="0"/>
      <w:divBdr>
        <w:top w:val="none" w:sz="0" w:space="0" w:color="auto"/>
        <w:left w:val="none" w:sz="0" w:space="0" w:color="auto"/>
        <w:bottom w:val="none" w:sz="0" w:space="0" w:color="auto"/>
        <w:right w:val="none" w:sz="0" w:space="0" w:color="auto"/>
      </w:divBdr>
    </w:div>
    <w:div w:id="180172488">
      <w:bodyDiv w:val="1"/>
      <w:marLeft w:val="0"/>
      <w:marRight w:val="0"/>
      <w:marTop w:val="0"/>
      <w:marBottom w:val="0"/>
      <w:divBdr>
        <w:top w:val="none" w:sz="0" w:space="0" w:color="auto"/>
        <w:left w:val="none" w:sz="0" w:space="0" w:color="auto"/>
        <w:bottom w:val="none" w:sz="0" w:space="0" w:color="auto"/>
        <w:right w:val="none" w:sz="0" w:space="0" w:color="auto"/>
      </w:divBdr>
    </w:div>
    <w:div w:id="187186775">
      <w:bodyDiv w:val="1"/>
      <w:marLeft w:val="0"/>
      <w:marRight w:val="0"/>
      <w:marTop w:val="0"/>
      <w:marBottom w:val="0"/>
      <w:divBdr>
        <w:top w:val="none" w:sz="0" w:space="0" w:color="auto"/>
        <w:left w:val="none" w:sz="0" w:space="0" w:color="auto"/>
        <w:bottom w:val="none" w:sz="0" w:space="0" w:color="auto"/>
        <w:right w:val="none" w:sz="0" w:space="0" w:color="auto"/>
      </w:divBdr>
    </w:div>
    <w:div w:id="190462647">
      <w:bodyDiv w:val="1"/>
      <w:marLeft w:val="0"/>
      <w:marRight w:val="0"/>
      <w:marTop w:val="0"/>
      <w:marBottom w:val="0"/>
      <w:divBdr>
        <w:top w:val="none" w:sz="0" w:space="0" w:color="auto"/>
        <w:left w:val="none" w:sz="0" w:space="0" w:color="auto"/>
        <w:bottom w:val="none" w:sz="0" w:space="0" w:color="auto"/>
        <w:right w:val="none" w:sz="0" w:space="0" w:color="auto"/>
      </w:divBdr>
    </w:div>
    <w:div w:id="196892841">
      <w:bodyDiv w:val="1"/>
      <w:marLeft w:val="0"/>
      <w:marRight w:val="0"/>
      <w:marTop w:val="0"/>
      <w:marBottom w:val="0"/>
      <w:divBdr>
        <w:top w:val="none" w:sz="0" w:space="0" w:color="auto"/>
        <w:left w:val="none" w:sz="0" w:space="0" w:color="auto"/>
        <w:bottom w:val="none" w:sz="0" w:space="0" w:color="auto"/>
        <w:right w:val="none" w:sz="0" w:space="0" w:color="auto"/>
      </w:divBdr>
    </w:div>
    <w:div w:id="198905146">
      <w:bodyDiv w:val="1"/>
      <w:marLeft w:val="0"/>
      <w:marRight w:val="0"/>
      <w:marTop w:val="0"/>
      <w:marBottom w:val="0"/>
      <w:divBdr>
        <w:top w:val="none" w:sz="0" w:space="0" w:color="auto"/>
        <w:left w:val="none" w:sz="0" w:space="0" w:color="auto"/>
        <w:bottom w:val="none" w:sz="0" w:space="0" w:color="auto"/>
        <w:right w:val="none" w:sz="0" w:space="0" w:color="auto"/>
      </w:divBdr>
    </w:div>
    <w:div w:id="209195665">
      <w:bodyDiv w:val="1"/>
      <w:marLeft w:val="0"/>
      <w:marRight w:val="0"/>
      <w:marTop w:val="0"/>
      <w:marBottom w:val="0"/>
      <w:divBdr>
        <w:top w:val="none" w:sz="0" w:space="0" w:color="auto"/>
        <w:left w:val="none" w:sz="0" w:space="0" w:color="auto"/>
        <w:bottom w:val="none" w:sz="0" w:space="0" w:color="auto"/>
        <w:right w:val="none" w:sz="0" w:space="0" w:color="auto"/>
      </w:divBdr>
    </w:div>
    <w:div w:id="213858993">
      <w:bodyDiv w:val="1"/>
      <w:marLeft w:val="0"/>
      <w:marRight w:val="0"/>
      <w:marTop w:val="0"/>
      <w:marBottom w:val="0"/>
      <w:divBdr>
        <w:top w:val="none" w:sz="0" w:space="0" w:color="auto"/>
        <w:left w:val="none" w:sz="0" w:space="0" w:color="auto"/>
        <w:bottom w:val="none" w:sz="0" w:space="0" w:color="auto"/>
        <w:right w:val="none" w:sz="0" w:space="0" w:color="auto"/>
      </w:divBdr>
    </w:div>
    <w:div w:id="217254187">
      <w:bodyDiv w:val="1"/>
      <w:marLeft w:val="0"/>
      <w:marRight w:val="0"/>
      <w:marTop w:val="0"/>
      <w:marBottom w:val="0"/>
      <w:divBdr>
        <w:top w:val="none" w:sz="0" w:space="0" w:color="auto"/>
        <w:left w:val="none" w:sz="0" w:space="0" w:color="auto"/>
        <w:bottom w:val="none" w:sz="0" w:space="0" w:color="auto"/>
        <w:right w:val="none" w:sz="0" w:space="0" w:color="auto"/>
      </w:divBdr>
    </w:div>
    <w:div w:id="217742895">
      <w:bodyDiv w:val="1"/>
      <w:marLeft w:val="0"/>
      <w:marRight w:val="0"/>
      <w:marTop w:val="0"/>
      <w:marBottom w:val="0"/>
      <w:divBdr>
        <w:top w:val="none" w:sz="0" w:space="0" w:color="auto"/>
        <w:left w:val="none" w:sz="0" w:space="0" w:color="auto"/>
        <w:bottom w:val="none" w:sz="0" w:space="0" w:color="auto"/>
        <w:right w:val="none" w:sz="0" w:space="0" w:color="auto"/>
      </w:divBdr>
    </w:div>
    <w:div w:id="221019628">
      <w:bodyDiv w:val="1"/>
      <w:marLeft w:val="0"/>
      <w:marRight w:val="0"/>
      <w:marTop w:val="0"/>
      <w:marBottom w:val="0"/>
      <w:divBdr>
        <w:top w:val="none" w:sz="0" w:space="0" w:color="auto"/>
        <w:left w:val="none" w:sz="0" w:space="0" w:color="auto"/>
        <w:bottom w:val="none" w:sz="0" w:space="0" w:color="auto"/>
        <w:right w:val="none" w:sz="0" w:space="0" w:color="auto"/>
      </w:divBdr>
    </w:div>
    <w:div w:id="222251457">
      <w:bodyDiv w:val="1"/>
      <w:marLeft w:val="0"/>
      <w:marRight w:val="0"/>
      <w:marTop w:val="0"/>
      <w:marBottom w:val="0"/>
      <w:divBdr>
        <w:top w:val="none" w:sz="0" w:space="0" w:color="auto"/>
        <w:left w:val="none" w:sz="0" w:space="0" w:color="auto"/>
        <w:bottom w:val="none" w:sz="0" w:space="0" w:color="auto"/>
        <w:right w:val="none" w:sz="0" w:space="0" w:color="auto"/>
      </w:divBdr>
    </w:div>
    <w:div w:id="222721603">
      <w:bodyDiv w:val="1"/>
      <w:marLeft w:val="0"/>
      <w:marRight w:val="0"/>
      <w:marTop w:val="0"/>
      <w:marBottom w:val="0"/>
      <w:divBdr>
        <w:top w:val="none" w:sz="0" w:space="0" w:color="auto"/>
        <w:left w:val="none" w:sz="0" w:space="0" w:color="auto"/>
        <w:bottom w:val="none" w:sz="0" w:space="0" w:color="auto"/>
        <w:right w:val="none" w:sz="0" w:space="0" w:color="auto"/>
      </w:divBdr>
    </w:div>
    <w:div w:id="225915343">
      <w:bodyDiv w:val="1"/>
      <w:marLeft w:val="0"/>
      <w:marRight w:val="0"/>
      <w:marTop w:val="0"/>
      <w:marBottom w:val="0"/>
      <w:divBdr>
        <w:top w:val="none" w:sz="0" w:space="0" w:color="auto"/>
        <w:left w:val="none" w:sz="0" w:space="0" w:color="auto"/>
        <w:bottom w:val="none" w:sz="0" w:space="0" w:color="auto"/>
        <w:right w:val="none" w:sz="0" w:space="0" w:color="auto"/>
      </w:divBdr>
    </w:div>
    <w:div w:id="227035067">
      <w:bodyDiv w:val="1"/>
      <w:marLeft w:val="0"/>
      <w:marRight w:val="0"/>
      <w:marTop w:val="0"/>
      <w:marBottom w:val="0"/>
      <w:divBdr>
        <w:top w:val="none" w:sz="0" w:space="0" w:color="auto"/>
        <w:left w:val="none" w:sz="0" w:space="0" w:color="auto"/>
        <w:bottom w:val="none" w:sz="0" w:space="0" w:color="auto"/>
        <w:right w:val="none" w:sz="0" w:space="0" w:color="auto"/>
      </w:divBdr>
    </w:div>
    <w:div w:id="245651469">
      <w:bodyDiv w:val="1"/>
      <w:marLeft w:val="0"/>
      <w:marRight w:val="0"/>
      <w:marTop w:val="0"/>
      <w:marBottom w:val="0"/>
      <w:divBdr>
        <w:top w:val="none" w:sz="0" w:space="0" w:color="auto"/>
        <w:left w:val="none" w:sz="0" w:space="0" w:color="auto"/>
        <w:bottom w:val="none" w:sz="0" w:space="0" w:color="auto"/>
        <w:right w:val="none" w:sz="0" w:space="0" w:color="auto"/>
      </w:divBdr>
    </w:div>
    <w:div w:id="248346883">
      <w:bodyDiv w:val="1"/>
      <w:marLeft w:val="0"/>
      <w:marRight w:val="0"/>
      <w:marTop w:val="0"/>
      <w:marBottom w:val="0"/>
      <w:divBdr>
        <w:top w:val="none" w:sz="0" w:space="0" w:color="auto"/>
        <w:left w:val="none" w:sz="0" w:space="0" w:color="auto"/>
        <w:bottom w:val="none" w:sz="0" w:space="0" w:color="auto"/>
        <w:right w:val="none" w:sz="0" w:space="0" w:color="auto"/>
      </w:divBdr>
    </w:div>
    <w:div w:id="251622576">
      <w:bodyDiv w:val="1"/>
      <w:marLeft w:val="0"/>
      <w:marRight w:val="0"/>
      <w:marTop w:val="0"/>
      <w:marBottom w:val="0"/>
      <w:divBdr>
        <w:top w:val="none" w:sz="0" w:space="0" w:color="auto"/>
        <w:left w:val="none" w:sz="0" w:space="0" w:color="auto"/>
        <w:bottom w:val="none" w:sz="0" w:space="0" w:color="auto"/>
        <w:right w:val="none" w:sz="0" w:space="0" w:color="auto"/>
      </w:divBdr>
    </w:div>
    <w:div w:id="254287162">
      <w:bodyDiv w:val="1"/>
      <w:marLeft w:val="0"/>
      <w:marRight w:val="0"/>
      <w:marTop w:val="0"/>
      <w:marBottom w:val="0"/>
      <w:divBdr>
        <w:top w:val="none" w:sz="0" w:space="0" w:color="auto"/>
        <w:left w:val="none" w:sz="0" w:space="0" w:color="auto"/>
        <w:bottom w:val="none" w:sz="0" w:space="0" w:color="auto"/>
        <w:right w:val="none" w:sz="0" w:space="0" w:color="auto"/>
      </w:divBdr>
    </w:div>
    <w:div w:id="258489190">
      <w:bodyDiv w:val="1"/>
      <w:marLeft w:val="0"/>
      <w:marRight w:val="0"/>
      <w:marTop w:val="0"/>
      <w:marBottom w:val="0"/>
      <w:divBdr>
        <w:top w:val="none" w:sz="0" w:space="0" w:color="auto"/>
        <w:left w:val="none" w:sz="0" w:space="0" w:color="auto"/>
        <w:bottom w:val="none" w:sz="0" w:space="0" w:color="auto"/>
        <w:right w:val="none" w:sz="0" w:space="0" w:color="auto"/>
      </w:divBdr>
    </w:div>
    <w:div w:id="260065464">
      <w:bodyDiv w:val="1"/>
      <w:marLeft w:val="0"/>
      <w:marRight w:val="0"/>
      <w:marTop w:val="0"/>
      <w:marBottom w:val="0"/>
      <w:divBdr>
        <w:top w:val="none" w:sz="0" w:space="0" w:color="auto"/>
        <w:left w:val="none" w:sz="0" w:space="0" w:color="auto"/>
        <w:bottom w:val="none" w:sz="0" w:space="0" w:color="auto"/>
        <w:right w:val="none" w:sz="0" w:space="0" w:color="auto"/>
      </w:divBdr>
    </w:div>
    <w:div w:id="260259677">
      <w:bodyDiv w:val="1"/>
      <w:marLeft w:val="0"/>
      <w:marRight w:val="0"/>
      <w:marTop w:val="0"/>
      <w:marBottom w:val="0"/>
      <w:divBdr>
        <w:top w:val="none" w:sz="0" w:space="0" w:color="auto"/>
        <w:left w:val="none" w:sz="0" w:space="0" w:color="auto"/>
        <w:bottom w:val="none" w:sz="0" w:space="0" w:color="auto"/>
        <w:right w:val="none" w:sz="0" w:space="0" w:color="auto"/>
      </w:divBdr>
    </w:div>
    <w:div w:id="265428452">
      <w:bodyDiv w:val="1"/>
      <w:marLeft w:val="0"/>
      <w:marRight w:val="0"/>
      <w:marTop w:val="0"/>
      <w:marBottom w:val="0"/>
      <w:divBdr>
        <w:top w:val="none" w:sz="0" w:space="0" w:color="auto"/>
        <w:left w:val="none" w:sz="0" w:space="0" w:color="auto"/>
        <w:bottom w:val="none" w:sz="0" w:space="0" w:color="auto"/>
        <w:right w:val="none" w:sz="0" w:space="0" w:color="auto"/>
      </w:divBdr>
    </w:div>
    <w:div w:id="268197656">
      <w:bodyDiv w:val="1"/>
      <w:marLeft w:val="0"/>
      <w:marRight w:val="0"/>
      <w:marTop w:val="0"/>
      <w:marBottom w:val="0"/>
      <w:divBdr>
        <w:top w:val="none" w:sz="0" w:space="0" w:color="auto"/>
        <w:left w:val="none" w:sz="0" w:space="0" w:color="auto"/>
        <w:bottom w:val="none" w:sz="0" w:space="0" w:color="auto"/>
        <w:right w:val="none" w:sz="0" w:space="0" w:color="auto"/>
      </w:divBdr>
    </w:div>
    <w:div w:id="271478864">
      <w:bodyDiv w:val="1"/>
      <w:marLeft w:val="0"/>
      <w:marRight w:val="0"/>
      <w:marTop w:val="0"/>
      <w:marBottom w:val="0"/>
      <w:divBdr>
        <w:top w:val="none" w:sz="0" w:space="0" w:color="auto"/>
        <w:left w:val="none" w:sz="0" w:space="0" w:color="auto"/>
        <w:bottom w:val="none" w:sz="0" w:space="0" w:color="auto"/>
        <w:right w:val="none" w:sz="0" w:space="0" w:color="auto"/>
      </w:divBdr>
    </w:div>
    <w:div w:id="273876171">
      <w:bodyDiv w:val="1"/>
      <w:marLeft w:val="0"/>
      <w:marRight w:val="0"/>
      <w:marTop w:val="0"/>
      <w:marBottom w:val="0"/>
      <w:divBdr>
        <w:top w:val="none" w:sz="0" w:space="0" w:color="auto"/>
        <w:left w:val="none" w:sz="0" w:space="0" w:color="auto"/>
        <w:bottom w:val="none" w:sz="0" w:space="0" w:color="auto"/>
        <w:right w:val="none" w:sz="0" w:space="0" w:color="auto"/>
      </w:divBdr>
    </w:div>
    <w:div w:id="279269307">
      <w:bodyDiv w:val="1"/>
      <w:marLeft w:val="0"/>
      <w:marRight w:val="0"/>
      <w:marTop w:val="0"/>
      <w:marBottom w:val="0"/>
      <w:divBdr>
        <w:top w:val="none" w:sz="0" w:space="0" w:color="auto"/>
        <w:left w:val="none" w:sz="0" w:space="0" w:color="auto"/>
        <w:bottom w:val="none" w:sz="0" w:space="0" w:color="auto"/>
        <w:right w:val="none" w:sz="0" w:space="0" w:color="auto"/>
      </w:divBdr>
    </w:div>
    <w:div w:id="279797498">
      <w:bodyDiv w:val="1"/>
      <w:marLeft w:val="0"/>
      <w:marRight w:val="0"/>
      <w:marTop w:val="0"/>
      <w:marBottom w:val="0"/>
      <w:divBdr>
        <w:top w:val="none" w:sz="0" w:space="0" w:color="auto"/>
        <w:left w:val="none" w:sz="0" w:space="0" w:color="auto"/>
        <w:bottom w:val="none" w:sz="0" w:space="0" w:color="auto"/>
        <w:right w:val="none" w:sz="0" w:space="0" w:color="auto"/>
      </w:divBdr>
    </w:div>
    <w:div w:id="281427333">
      <w:bodyDiv w:val="1"/>
      <w:marLeft w:val="0"/>
      <w:marRight w:val="0"/>
      <w:marTop w:val="0"/>
      <w:marBottom w:val="0"/>
      <w:divBdr>
        <w:top w:val="none" w:sz="0" w:space="0" w:color="auto"/>
        <w:left w:val="none" w:sz="0" w:space="0" w:color="auto"/>
        <w:bottom w:val="none" w:sz="0" w:space="0" w:color="auto"/>
        <w:right w:val="none" w:sz="0" w:space="0" w:color="auto"/>
      </w:divBdr>
    </w:div>
    <w:div w:id="283655643">
      <w:bodyDiv w:val="1"/>
      <w:marLeft w:val="0"/>
      <w:marRight w:val="0"/>
      <w:marTop w:val="0"/>
      <w:marBottom w:val="0"/>
      <w:divBdr>
        <w:top w:val="none" w:sz="0" w:space="0" w:color="auto"/>
        <w:left w:val="none" w:sz="0" w:space="0" w:color="auto"/>
        <w:bottom w:val="none" w:sz="0" w:space="0" w:color="auto"/>
        <w:right w:val="none" w:sz="0" w:space="0" w:color="auto"/>
      </w:divBdr>
    </w:div>
    <w:div w:id="286200087">
      <w:bodyDiv w:val="1"/>
      <w:marLeft w:val="0"/>
      <w:marRight w:val="0"/>
      <w:marTop w:val="0"/>
      <w:marBottom w:val="0"/>
      <w:divBdr>
        <w:top w:val="none" w:sz="0" w:space="0" w:color="auto"/>
        <w:left w:val="none" w:sz="0" w:space="0" w:color="auto"/>
        <w:bottom w:val="none" w:sz="0" w:space="0" w:color="auto"/>
        <w:right w:val="none" w:sz="0" w:space="0" w:color="auto"/>
      </w:divBdr>
    </w:div>
    <w:div w:id="286472819">
      <w:bodyDiv w:val="1"/>
      <w:marLeft w:val="0"/>
      <w:marRight w:val="0"/>
      <w:marTop w:val="0"/>
      <w:marBottom w:val="0"/>
      <w:divBdr>
        <w:top w:val="none" w:sz="0" w:space="0" w:color="auto"/>
        <w:left w:val="none" w:sz="0" w:space="0" w:color="auto"/>
        <w:bottom w:val="none" w:sz="0" w:space="0" w:color="auto"/>
        <w:right w:val="none" w:sz="0" w:space="0" w:color="auto"/>
      </w:divBdr>
    </w:div>
    <w:div w:id="289555099">
      <w:bodyDiv w:val="1"/>
      <w:marLeft w:val="0"/>
      <w:marRight w:val="0"/>
      <w:marTop w:val="0"/>
      <w:marBottom w:val="0"/>
      <w:divBdr>
        <w:top w:val="none" w:sz="0" w:space="0" w:color="auto"/>
        <w:left w:val="none" w:sz="0" w:space="0" w:color="auto"/>
        <w:bottom w:val="none" w:sz="0" w:space="0" w:color="auto"/>
        <w:right w:val="none" w:sz="0" w:space="0" w:color="auto"/>
      </w:divBdr>
    </w:div>
    <w:div w:id="290988202">
      <w:bodyDiv w:val="1"/>
      <w:marLeft w:val="0"/>
      <w:marRight w:val="0"/>
      <w:marTop w:val="0"/>
      <w:marBottom w:val="0"/>
      <w:divBdr>
        <w:top w:val="none" w:sz="0" w:space="0" w:color="auto"/>
        <w:left w:val="none" w:sz="0" w:space="0" w:color="auto"/>
        <w:bottom w:val="none" w:sz="0" w:space="0" w:color="auto"/>
        <w:right w:val="none" w:sz="0" w:space="0" w:color="auto"/>
      </w:divBdr>
    </w:div>
    <w:div w:id="293216487">
      <w:bodyDiv w:val="1"/>
      <w:marLeft w:val="0"/>
      <w:marRight w:val="0"/>
      <w:marTop w:val="0"/>
      <w:marBottom w:val="0"/>
      <w:divBdr>
        <w:top w:val="none" w:sz="0" w:space="0" w:color="auto"/>
        <w:left w:val="none" w:sz="0" w:space="0" w:color="auto"/>
        <w:bottom w:val="none" w:sz="0" w:space="0" w:color="auto"/>
        <w:right w:val="none" w:sz="0" w:space="0" w:color="auto"/>
      </w:divBdr>
    </w:div>
    <w:div w:id="297299340">
      <w:bodyDiv w:val="1"/>
      <w:marLeft w:val="0"/>
      <w:marRight w:val="0"/>
      <w:marTop w:val="0"/>
      <w:marBottom w:val="0"/>
      <w:divBdr>
        <w:top w:val="none" w:sz="0" w:space="0" w:color="auto"/>
        <w:left w:val="none" w:sz="0" w:space="0" w:color="auto"/>
        <w:bottom w:val="none" w:sz="0" w:space="0" w:color="auto"/>
        <w:right w:val="none" w:sz="0" w:space="0" w:color="auto"/>
      </w:divBdr>
    </w:div>
    <w:div w:id="297422597">
      <w:bodyDiv w:val="1"/>
      <w:marLeft w:val="0"/>
      <w:marRight w:val="0"/>
      <w:marTop w:val="0"/>
      <w:marBottom w:val="0"/>
      <w:divBdr>
        <w:top w:val="none" w:sz="0" w:space="0" w:color="auto"/>
        <w:left w:val="none" w:sz="0" w:space="0" w:color="auto"/>
        <w:bottom w:val="none" w:sz="0" w:space="0" w:color="auto"/>
        <w:right w:val="none" w:sz="0" w:space="0" w:color="auto"/>
      </w:divBdr>
    </w:div>
    <w:div w:id="297807042">
      <w:bodyDiv w:val="1"/>
      <w:marLeft w:val="0"/>
      <w:marRight w:val="0"/>
      <w:marTop w:val="0"/>
      <w:marBottom w:val="0"/>
      <w:divBdr>
        <w:top w:val="none" w:sz="0" w:space="0" w:color="auto"/>
        <w:left w:val="none" w:sz="0" w:space="0" w:color="auto"/>
        <w:bottom w:val="none" w:sz="0" w:space="0" w:color="auto"/>
        <w:right w:val="none" w:sz="0" w:space="0" w:color="auto"/>
      </w:divBdr>
    </w:div>
    <w:div w:id="301009028">
      <w:bodyDiv w:val="1"/>
      <w:marLeft w:val="0"/>
      <w:marRight w:val="0"/>
      <w:marTop w:val="0"/>
      <w:marBottom w:val="0"/>
      <w:divBdr>
        <w:top w:val="none" w:sz="0" w:space="0" w:color="auto"/>
        <w:left w:val="none" w:sz="0" w:space="0" w:color="auto"/>
        <w:bottom w:val="none" w:sz="0" w:space="0" w:color="auto"/>
        <w:right w:val="none" w:sz="0" w:space="0" w:color="auto"/>
      </w:divBdr>
    </w:div>
    <w:div w:id="305398552">
      <w:bodyDiv w:val="1"/>
      <w:marLeft w:val="0"/>
      <w:marRight w:val="0"/>
      <w:marTop w:val="0"/>
      <w:marBottom w:val="0"/>
      <w:divBdr>
        <w:top w:val="none" w:sz="0" w:space="0" w:color="auto"/>
        <w:left w:val="none" w:sz="0" w:space="0" w:color="auto"/>
        <w:bottom w:val="none" w:sz="0" w:space="0" w:color="auto"/>
        <w:right w:val="none" w:sz="0" w:space="0" w:color="auto"/>
      </w:divBdr>
    </w:div>
    <w:div w:id="308873861">
      <w:bodyDiv w:val="1"/>
      <w:marLeft w:val="0"/>
      <w:marRight w:val="0"/>
      <w:marTop w:val="0"/>
      <w:marBottom w:val="0"/>
      <w:divBdr>
        <w:top w:val="none" w:sz="0" w:space="0" w:color="auto"/>
        <w:left w:val="none" w:sz="0" w:space="0" w:color="auto"/>
        <w:bottom w:val="none" w:sz="0" w:space="0" w:color="auto"/>
        <w:right w:val="none" w:sz="0" w:space="0" w:color="auto"/>
      </w:divBdr>
    </w:div>
    <w:div w:id="310453228">
      <w:bodyDiv w:val="1"/>
      <w:marLeft w:val="0"/>
      <w:marRight w:val="0"/>
      <w:marTop w:val="0"/>
      <w:marBottom w:val="0"/>
      <w:divBdr>
        <w:top w:val="none" w:sz="0" w:space="0" w:color="auto"/>
        <w:left w:val="none" w:sz="0" w:space="0" w:color="auto"/>
        <w:bottom w:val="none" w:sz="0" w:space="0" w:color="auto"/>
        <w:right w:val="none" w:sz="0" w:space="0" w:color="auto"/>
      </w:divBdr>
    </w:div>
    <w:div w:id="317613610">
      <w:bodyDiv w:val="1"/>
      <w:marLeft w:val="0"/>
      <w:marRight w:val="0"/>
      <w:marTop w:val="0"/>
      <w:marBottom w:val="0"/>
      <w:divBdr>
        <w:top w:val="none" w:sz="0" w:space="0" w:color="auto"/>
        <w:left w:val="none" w:sz="0" w:space="0" w:color="auto"/>
        <w:bottom w:val="none" w:sz="0" w:space="0" w:color="auto"/>
        <w:right w:val="none" w:sz="0" w:space="0" w:color="auto"/>
      </w:divBdr>
    </w:div>
    <w:div w:id="319309189">
      <w:bodyDiv w:val="1"/>
      <w:marLeft w:val="0"/>
      <w:marRight w:val="0"/>
      <w:marTop w:val="0"/>
      <w:marBottom w:val="0"/>
      <w:divBdr>
        <w:top w:val="none" w:sz="0" w:space="0" w:color="auto"/>
        <w:left w:val="none" w:sz="0" w:space="0" w:color="auto"/>
        <w:bottom w:val="none" w:sz="0" w:space="0" w:color="auto"/>
        <w:right w:val="none" w:sz="0" w:space="0" w:color="auto"/>
      </w:divBdr>
    </w:div>
    <w:div w:id="320814845">
      <w:bodyDiv w:val="1"/>
      <w:marLeft w:val="0"/>
      <w:marRight w:val="0"/>
      <w:marTop w:val="0"/>
      <w:marBottom w:val="0"/>
      <w:divBdr>
        <w:top w:val="none" w:sz="0" w:space="0" w:color="auto"/>
        <w:left w:val="none" w:sz="0" w:space="0" w:color="auto"/>
        <w:bottom w:val="none" w:sz="0" w:space="0" w:color="auto"/>
        <w:right w:val="none" w:sz="0" w:space="0" w:color="auto"/>
      </w:divBdr>
    </w:div>
    <w:div w:id="320890084">
      <w:bodyDiv w:val="1"/>
      <w:marLeft w:val="0"/>
      <w:marRight w:val="0"/>
      <w:marTop w:val="0"/>
      <w:marBottom w:val="0"/>
      <w:divBdr>
        <w:top w:val="none" w:sz="0" w:space="0" w:color="auto"/>
        <w:left w:val="none" w:sz="0" w:space="0" w:color="auto"/>
        <w:bottom w:val="none" w:sz="0" w:space="0" w:color="auto"/>
        <w:right w:val="none" w:sz="0" w:space="0" w:color="auto"/>
      </w:divBdr>
    </w:div>
    <w:div w:id="323976087">
      <w:bodyDiv w:val="1"/>
      <w:marLeft w:val="0"/>
      <w:marRight w:val="0"/>
      <w:marTop w:val="0"/>
      <w:marBottom w:val="0"/>
      <w:divBdr>
        <w:top w:val="none" w:sz="0" w:space="0" w:color="auto"/>
        <w:left w:val="none" w:sz="0" w:space="0" w:color="auto"/>
        <w:bottom w:val="none" w:sz="0" w:space="0" w:color="auto"/>
        <w:right w:val="none" w:sz="0" w:space="0" w:color="auto"/>
      </w:divBdr>
    </w:div>
    <w:div w:id="324936695">
      <w:bodyDiv w:val="1"/>
      <w:marLeft w:val="0"/>
      <w:marRight w:val="0"/>
      <w:marTop w:val="0"/>
      <w:marBottom w:val="0"/>
      <w:divBdr>
        <w:top w:val="none" w:sz="0" w:space="0" w:color="auto"/>
        <w:left w:val="none" w:sz="0" w:space="0" w:color="auto"/>
        <w:bottom w:val="none" w:sz="0" w:space="0" w:color="auto"/>
        <w:right w:val="none" w:sz="0" w:space="0" w:color="auto"/>
      </w:divBdr>
    </w:div>
    <w:div w:id="326440444">
      <w:bodyDiv w:val="1"/>
      <w:marLeft w:val="0"/>
      <w:marRight w:val="0"/>
      <w:marTop w:val="0"/>
      <w:marBottom w:val="0"/>
      <w:divBdr>
        <w:top w:val="none" w:sz="0" w:space="0" w:color="auto"/>
        <w:left w:val="none" w:sz="0" w:space="0" w:color="auto"/>
        <w:bottom w:val="none" w:sz="0" w:space="0" w:color="auto"/>
        <w:right w:val="none" w:sz="0" w:space="0" w:color="auto"/>
      </w:divBdr>
    </w:div>
    <w:div w:id="329214114">
      <w:bodyDiv w:val="1"/>
      <w:marLeft w:val="0"/>
      <w:marRight w:val="0"/>
      <w:marTop w:val="0"/>
      <w:marBottom w:val="0"/>
      <w:divBdr>
        <w:top w:val="none" w:sz="0" w:space="0" w:color="auto"/>
        <w:left w:val="none" w:sz="0" w:space="0" w:color="auto"/>
        <w:bottom w:val="none" w:sz="0" w:space="0" w:color="auto"/>
        <w:right w:val="none" w:sz="0" w:space="0" w:color="auto"/>
      </w:divBdr>
    </w:div>
    <w:div w:id="332727672">
      <w:bodyDiv w:val="1"/>
      <w:marLeft w:val="0"/>
      <w:marRight w:val="0"/>
      <w:marTop w:val="0"/>
      <w:marBottom w:val="0"/>
      <w:divBdr>
        <w:top w:val="none" w:sz="0" w:space="0" w:color="auto"/>
        <w:left w:val="none" w:sz="0" w:space="0" w:color="auto"/>
        <w:bottom w:val="none" w:sz="0" w:space="0" w:color="auto"/>
        <w:right w:val="none" w:sz="0" w:space="0" w:color="auto"/>
      </w:divBdr>
    </w:div>
    <w:div w:id="334379703">
      <w:bodyDiv w:val="1"/>
      <w:marLeft w:val="0"/>
      <w:marRight w:val="0"/>
      <w:marTop w:val="0"/>
      <w:marBottom w:val="0"/>
      <w:divBdr>
        <w:top w:val="none" w:sz="0" w:space="0" w:color="auto"/>
        <w:left w:val="none" w:sz="0" w:space="0" w:color="auto"/>
        <w:bottom w:val="none" w:sz="0" w:space="0" w:color="auto"/>
        <w:right w:val="none" w:sz="0" w:space="0" w:color="auto"/>
      </w:divBdr>
    </w:div>
    <w:div w:id="337074977">
      <w:bodyDiv w:val="1"/>
      <w:marLeft w:val="0"/>
      <w:marRight w:val="0"/>
      <w:marTop w:val="0"/>
      <w:marBottom w:val="0"/>
      <w:divBdr>
        <w:top w:val="none" w:sz="0" w:space="0" w:color="auto"/>
        <w:left w:val="none" w:sz="0" w:space="0" w:color="auto"/>
        <w:bottom w:val="none" w:sz="0" w:space="0" w:color="auto"/>
        <w:right w:val="none" w:sz="0" w:space="0" w:color="auto"/>
      </w:divBdr>
    </w:div>
    <w:div w:id="342899386">
      <w:bodyDiv w:val="1"/>
      <w:marLeft w:val="0"/>
      <w:marRight w:val="0"/>
      <w:marTop w:val="0"/>
      <w:marBottom w:val="0"/>
      <w:divBdr>
        <w:top w:val="none" w:sz="0" w:space="0" w:color="auto"/>
        <w:left w:val="none" w:sz="0" w:space="0" w:color="auto"/>
        <w:bottom w:val="none" w:sz="0" w:space="0" w:color="auto"/>
        <w:right w:val="none" w:sz="0" w:space="0" w:color="auto"/>
      </w:divBdr>
    </w:div>
    <w:div w:id="343047802">
      <w:bodyDiv w:val="1"/>
      <w:marLeft w:val="0"/>
      <w:marRight w:val="0"/>
      <w:marTop w:val="0"/>
      <w:marBottom w:val="0"/>
      <w:divBdr>
        <w:top w:val="none" w:sz="0" w:space="0" w:color="auto"/>
        <w:left w:val="none" w:sz="0" w:space="0" w:color="auto"/>
        <w:bottom w:val="none" w:sz="0" w:space="0" w:color="auto"/>
        <w:right w:val="none" w:sz="0" w:space="0" w:color="auto"/>
      </w:divBdr>
    </w:div>
    <w:div w:id="344332435">
      <w:bodyDiv w:val="1"/>
      <w:marLeft w:val="0"/>
      <w:marRight w:val="0"/>
      <w:marTop w:val="0"/>
      <w:marBottom w:val="0"/>
      <w:divBdr>
        <w:top w:val="none" w:sz="0" w:space="0" w:color="auto"/>
        <w:left w:val="none" w:sz="0" w:space="0" w:color="auto"/>
        <w:bottom w:val="none" w:sz="0" w:space="0" w:color="auto"/>
        <w:right w:val="none" w:sz="0" w:space="0" w:color="auto"/>
      </w:divBdr>
    </w:div>
    <w:div w:id="345835169">
      <w:bodyDiv w:val="1"/>
      <w:marLeft w:val="0"/>
      <w:marRight w:val="0"/>
      <w:marTop w:val="0"/>
      <w:marBottom w:val="0"/>
      <w:divBdr>
        <w:top w:val="none" w:sz="0" w:space="0" w:color="auto"/>
        <w:left w:val="none" w:sz="0" w:space="0" w:color="auto"/>
        <w:bottom w:val="none" w:sz="0" w:space="0" w:color="auto"/>
        <w:right w:val="none" w:sz="0" w:space="0" w:color="auto"/>
      </w:divBdr>
    </w:div>
    <w:div w:id="347752784">
      <w:bodyDiv w:val="1"/>
      <w:marLeft w:val="0"/>
      <w:marRight w:val="0"/>
      <w:marTop w:val="0"/>
      <w:marBottom w:val="0"/>
      <w:divBdr>
        <w:top w:val="none" w:sz="0" w:space="0" w:color="auto"/>
        <w:left w:val="none" w:sz="0" w:space="0" w:color="auto"/>
        <w:bottom w:val="none" w:sz="0" w:space="0" w:color="auto"/>
        <w:right w:val="none" w:sz="0" w:space="0" w:color="auto"/>
      </w:divBdr>
    </w:div>
    <w:div w:id="350108873">
      <w:bodyDiv w:val="1"/>
      <w:marLeft w:val="0"/>
      <w:marRight w:val="0"/>
      <w:marTop w:val="0"/>
      <w:marBottom w:val="0"/>
      <w:divBdr>
        <w:top w:val="none" w:sz="0" w:space="0" w:color="auto"/>
        <w:left w:val="none" w:sz="0" w:space="0" w:color="auto"/>
        <w:bottom w:val="none" w:sz="0" w:space="0" w:color="auto"/>
        <w:right w:val="none" w:sz="0" w:space="0" w:color="auto"/>
      </w:divBdr>
    </w:div>
    <w:div w:id="352072678">
      <w:bodyDiv w:val="1"/>
      <w:marLeft w:val="0"/>
      <w:marRight w:val="0"/>
      <w:marTop w:val="0"/>
      <w:marBottom w:val="0"/>
      <w:divBdr>
        <w:top w:val="none" w:sz="0" w:space="0" w:color="auto"/>
        <w:left w:val="none" w:sz="0" w:space="0" w:color="auto"/>
        <w:bottom w:val="none" w:sz="0" w:space="0" w:color="auto"/>
        <w:right w:val="none" w:sz="0" w:space="0" w:color="auto"/>
      </w:divBdr>
    </w:div>
    <w:div w:id="354039319">
      <w:bodyDiv w:val="1"/>
      <w:marLeft w:val="0"/>
      <w:marRight w:val="0"/>
      <w:marTop w:val="0"/>
      <w:marBottom w:val="0"/>
      <w:divBdr>
        <w:top w:val="none" w:sz="0" w:space="0" w:color="auto"/>
        <w:left w:val="none" w:sz="0" w:space="0" w:color="auto"/>
        <w:bottom w:val="none" w:sz="0" w:space="0" w:color="auto"/>
        <w:right w:val="none" w:sz="0" w:space="0" w:color="auto"/>
      </w:divBdr>
    </w:div>
    <w:div w:id="355161721">
      <w:bodyDiv w:val="1"/>
      <w:marLeft w:val="0"/>
      <w:marRight w:val="0"/>
      <w:marTop w:val="0"/>
      <w:marBottom w:val="0"/>
      <w:divBdr>
        <w:top w:val="none" w:sz="0" w:space="0" w:color="auto"/>
        <w:left w:val="none" w:sz="0" w:space="0" w:color="auto"/>
        <w:bottom w:val="none" w:sz="0" w:space="0" w:color="auto"/>
        <w:right w:val="none" w:sz="0" w:space="0" w:color="auto"/>
      </w:divBdr>
    </w:div>
    <w:div w:id="355347822">
      <w:bodyDiv w:val="1"/>
      <w:marLeft w:val="0"/>
      <w:marRight w:val="0"/>
      <w:marTop w:val="0"/>
      <w:marBottom w:val="0"/>
      <w:divBdr>
        <w:top w:val="none" w:sz="0" w:space="0" w:color="auto"/>
        <w:left w:val="none" w:sz="0" w:space="0" w:color="auto"/>
        <w:bottom w:val="none" w:sz="0" w:space="0" w:color="auto"/>
        <w:right w:val="none" w:sz="0" w:space="0" w:color="auto"/>
      </w:divBdr>
    </w:div>
    <w:div w:id="356586402">
      <w:bodyDiv w:val="1"/>
      <w:marLeft w:val="0"/>
      <w:marRight w:val="0"/>
      <w:marTop w:val="0"/>
      <w:marBottom w:val="0"/>
      <w:divBdr>
        <w:top w:val="none" w:sz="0" w:space="0" w:color="auto"/>
        <w:left w:val="none" w:sz="0" w:space="0" w:color="auto"/>
        <w:bottom w:val="none" w:sz="0" w:space="0" w:color="auto"/>
        <w:right w:val="none" w:sz="0" w:space="0" w:color="auto"/>
      </w:divBdr>
    </w:div>
    <w:div w:id="365957825">
      <w:bodyDiv w:val="1"/>
      <w:marLeft w:val="0"/>
      <w:marRight w:val="0"/>
      <w:marTop w:val="0"/>
      <w:marBottom w:val="0"/>
      <w:divBdr>
        <w:top w:val="none" w:sz="0" w:space="0" w:color="auto"/>
        <w:left w:val="none" w:sz="0" w:space="0" w:color="auto"/>
        <w:bottom w:val="none" w:sz="0" w:space="0" w:color="auto"/>
        <w:right w:val="none" w:sz="0" w:space="0" w:color="auto"/>
      </w:divBdr>
    </w:div>
    <w:div w:id="369838503">
      <w:bodyDiv w:val="1"/>
      <w:marLeft w:val="0"/>
      <w:marRight w:val="0"/>
      <w:marTop w:val="0"/>
      <w:marBottom w:val="0"/>
      <w:divBdr>
        <w:top w:val="none" w:sz="0" w:space="0" w:color="auto"/>
        <w:left w:val="none" w:sz="0" w:space="0" w:color="auto"/>
        <w:bottom w:val="none" w:sz="0" w:space="0" w:color="auto"/>
        <w:right w:val="none" w:sz="0" w:space="0" w:color="auto"/>
      </w:divBdr>
    </w:div>
    <w:div w:id="370420210">
      <w:bodyDiv w:val="1"/>
      <w:marLeft w:val="0"/>
      <w:marRight w:val="0"/>
      <w:marTop w:val="0"/>
      <w:marBottom w:val="0"/>
      <w:divBdr>
        <w:top w:val="none" w:sz="0" w:space="0" w:color="auto"/>
        <w:left w:val="none" w:sz="0" w:space="0" w:color="auto"/>
        <w:bottom w:val="none" w:sz="0" w:space="0" w:color="auto"/>
        <w:right w:val="none" w:sz="0" w:space="0" w:color="auto"/>
      </w:divBdr>
    </w:div>
    <w:div w:id="376127920">
      <w:bodyDiv w:val="1"/>
      <w:marLeft w:val="0"/>
      <w:marRight w:val="0"/>
      <w:marTop w:val="0"/>
      <w:marBottom w:val="0"/>
      <w:divBdr>
        <w:top w:val="none" w:sz="0" w:space="0" w:color="auto"/>
        <w:left w:val="none" w:sz="0" w:space="0" w:color="auto"/>
        <w:bottom w:val="none" w:sz="0" w:space="0" w:color="auto"/>
        <w:right w:val="none" w:sz="0" w:space="0" w:color="auto"/>
      </w:divBdr>
    </w:div>
    <w:div w:id="381099535">
      <w:bodyDiv w:val="1"/>
      <w:marLeft w:val="0"/>
      <w:marRight w:val="0"/>
      <w:marTop w:val="0"/>
      <w:marBottom w:val="0"/>
      <w:divBdr>
        <w:top w:val="none" w:sz="0" w:space="0" w:color="auto"/>
        <w:left w:val="none" w:sz="0" w:space="0" w:color="auto"/>
        <w:bottom w:val="none" w:sz="0" w:space="0" w:color="auto"/>
        <w:right w:val="none" w:sz="0" w:space="0" w:color="auto"/>
      </w:divBdr>
    </w:div>
    <w:div w:id="394360684">
      <w:bodyDiv w:val="1"/>
      <w:marLeft w:val="0"/>
      <w:marRight w:val="0"/>
      <w:marTop w:val="0"/>
      <w:marBottom w:val="0"/>
      <w:divBdr>
        <w:top w:val="none" w:sz="0" w:space="0" w:color="auto"/>
        <w:left w:val="none" w:sz="0" w:space="0" w:color="auto"/>
        <w:bottom w:val="none" w:sz="0" w:space="0" w:color="auto"/>
        <w:right w:val="none" w:sz="0" w:space="0" w:color="auto"/>
      </w:divBdr>
    </w:div>
    <w:div w:id="396905269">
      <w:bodyDiv w:val="1"/>
      <w:marLeft w:val="0"/>
      <w:marRight w:val="0"/>
      <w:marTop w:val="0"/>
      <w:marBottom w:val="0"/>
      <w:divBdr>
        <w:top w:val="none" w:sz="0" w:space="0" w:color="auto"/>
        <w:left w:val="none" w:sz="0" w:space="0" w:color="auto"/>
        <w:bottom w:val="none" w:sz="0" w:space="0" w:color="auto"/>
        <w:right w:val="none" w:sz="0" w:space="0" w:color="auto"/>
      </w:divBdr>
    </w:div>
    <w:div w:id="400906142">
      <w:bodyDiv w:val="1"/>
      <w:marLeft w:val="0"/>
      <w:marRight w:val="0"/>
      <w:marTop w:val="0"/>
      <w:marBottom w:val="0"/>
      <w:divBdr>
        <w:top w:val="none" w:sz="0" w:space="0" w:color="auto"/>
        <w:left w:val="none" w:sz="0" w:space="0" w:color="auto"/>
        <w:bottom w:val="none" w:sz="0" w:space="0" w:color="auto"/>
        <w:right w:val="none" w:sz="0" w:space="0" w:color="auto"/>
      </w:divBdr>
    </w:div>
    <w:div w:id="402417375">
      <w:bodyDiv w:val="1"/>
      <w:marLeft w:val="0"/>
      <w:marRight w:val="0"/>
      <w:marTop w:val="0"/>
      <w:marBottom w:val="0"/>
      <w:divBdr>
        <w:top w:val="none" w:sz="0" w:space="0" w:color="auto"/>
        <w:left w:val="none" w:sz="0" w:space="0" w:color="auto"/>
        <w:bottom w:val="none" w:sz="0" w:space="0" w:color="auto"/>
        <w:right w:val="none" w:sz="0" w:space="0" w:color="auto"/>
      </w:divBdr>
    </w:div>
    <w:div w:id="402870245">
      <w:bodyDiv w:val="1"/>
      <w:marLeft w:val="0"/>
      <w:marRight w:val="0"/>
      <w:marTop w:val="0"/>
      <w:marBottom w:val="0"/>
      <w:divBdr>
        <w:top w:val="none" w:sz="0" w:space="0" w:color="auto"/>
        <w:left w:val="none" w:sz="0" w:space="0" w:color="auto"/>
        <w:bottom w:val="none" w:sz="0" w:space="0" w:color="auto"/>
        <w:right w:val="none" w:sz="0" w:space="0" w:color="auto"/>
      </w:divBdr>
    </w:div>
    <w:div w:id="407464783">
      <w:bodyDiv w:val="1"/>
      <w:marLeft w:val="0"/>
      <w:marRight w:val="0"/>
      <w:marTop w:val="0"/>
      <w:marBottom w:val="0"/>
      <w:divBdr>
        <w:top w:val="none" w:sz="0" w:space="0" w:color="auto"/>
        <w:left w:val="none" w:sz="0" w:space="0" w:color="auto"/>
        <w:bottom w:val="none" w:sz="0" w:space="0" w:color="auto"/>
        <w:right w:val="none" w:sz="0" w:space="0" w:color="auto"/>
      </w:divBdr>
    </w:div>
    <w:div w:id="410583523">
      <w:bodyDiv w:val="1"/>
      <w:marLeft w:val="0"/>
      <w:marRight w:val="0"/>
      <w:marTop w:val="0"/>
      <w:marBottom w:val="0"/>
      <w:divBdr>
        <w:top w:val="none" w:sz="0" w:space="0" w:color="auto"/>
        <w:left w:val="none" w:sz="0" w:space="0" w:color="auto"/>
        <w:bottom w:val="none" w:sz="0" w:space="0" w:color="auto"/>
        <w:right w:val="none" w:sz="0" w:space="0" w:color="auto"/>
      </w:divBdr>
    </w:div>
    <w:div w:id="410583600">
      <w:bodyDiv w:val="1"/>
      <w:marLeft w:val="0"/>
      <w:marRight w:val="0"/>
      <w:marTop w:val="0"/>
      <w:marBottom w:val="0"/>
      <w:divBdr>
        <w:top w:val="none" w:sz="0" w:space="0" w:color="auto"/>
        <w:left w:val="none" w:sz="0" w:space="0" w:color="auto"/>
        <w:bottom w:val="none" w:sz="0" w:space="0" w:color="auto"/>
        <w:right w:val="none" w:sz="0" w:space="0" w:color="auto"/>
      </w:divBdr>
    </w:div>
    <w:div w:id="417289201">
      <w:bodyDiv w:val="1"/>
      <w:marLeft w:val="0"/>
      <w:marRight w:val="0"/>
      <w:marTop w:val="0"/>
      <w:marBottom w:val="0"/>
      <w:divBdr>
        <w:top w:val="none" w:sz="0" w:space="0" w:color="auto"/>
        <w:left w:val="none" w:sz="0" w:space="0" w:color="auto"/>
        <w:bottom w:val="none" w:sz="0" w:space="0" w:color="auto"/>
        <w:right w:val="none" w:sz="0" w:space="0" w:color="auto"/>
      </w:divBdr>
    </w:div>
    <w:div w:id="425884080">
      <w:bodyDiv w:val="1"/>
      <w:marLeft w:val="0"/>
      <w:marRight w:val="0"/>
      <w:marTop w:val="0"/>
      <w:marBottom w:val="0"/>
      <w:divBdr>
        <w:top w:val="none" w:sz="0" w:space="0" w:color="auto"/>
        <w:left w:val="none" w:sz="0" w:space="0" w:color="auto"/>
        <w:bottom w:val="none" w:sz="0" w:space="0" w:color="auto"/>
        <w:right w:val="none" w:sz="0" w:space="0" w:color="auto"/>
      </w:divBdr>
    </w:div>
    <w:div w:id="427043756">
      <w:bodyDiv w:val="1"/>
      <w:marLeft w:val="0"/>
      <w:marRight w:val="0"/>
      <w:marTop w:val="0"/>
      <w:marBottom w:val="0"/>
      <w:divBdr>
        <w:top w:val="none" w:sz="0" w:space="0" w:color="auto"/>
        <w:left w:val="none" w:sz="0" w:space="0" w:color="auto"/>
        <w:bottom w:val="none" w:sz="0" w:space="0" w:color="auto"/>
        <w:right w:val="none" w:sz="0" w:space="0" w:color="auto"/>
      </w:divBdr>
    </w:div>
    <w:div w:id="434787523">
      <w:bodyDiv w:val="1"/>
      <w:marLeft w:val="0"/>
      <w:marRight w:val="0"/>
      <w:marTop w:val="0"/>
      <w:marBottom w:val="0"/>
      <w:divBdr>
        <w:top w:val="none" w:sz="0" w:space="0" w:color="auto"/>
        <w:left w:val="none" w:sz="0" w:space="0" w:color="auto"/>
        <w:bottom w:val="none" w:sz="0" w:space="0" w:color="auto"/>
        <w:right w:val="none" w:sz="0" w:space="0" w:color="auto"/>
      </w:divBdr>
    </w:div>
    <w:div w:id="439498102">
      <w:bodyDiv w:val="1"/>
      <w:marLeft w:val="0"/>
      <w:marRight w:val="0"/>
      <w:marTop w:val="0"/>
      <w:marBottom w:val="0"/>
      <w:divBdr>
        <w:top w:val="none" w:sz="0" w:space="0" w:color="auto"/>
        <w:left w:val="none" w:sz="0" w:space="0" w:color="auto"/>
        <w:bottom w:val="none" w:sz="0" w:space="0" w:color="auto"/>
        <w:right w:val="none" w:sz="0" w:space="0" w:color="auto"/>
      </w:divBdr>
    </w:div>
    <w:div w:id="439841356">
      <w:bodyDiv w:val="1"/>
      <w:marLeft w:val="0"/>
      <w:marRight w:val="0"/>
      <w:marTop w:val="0"/>
      <w:marBottom w:val="0"/>
      <w:divBdr>
        <w:top w:val="none" w:sz="0" w:space="0" w:color="auto"/>
        <w:left w:val="none" w:sz="0" w:space="0" w:color="auto"/>
        <w:bottom w:val="none" w:sz="0" w:space="0" w:color="auto"/>
        <w:right w:val="none" w:sz="0" w:space="0" w:color="auto"/>
      </w:divBdr>
    </w:div>
    <w:div w:id="440611528">
      <w:bodyDiv w:val="1"/>
      <w:marLeft w:val="0"/>
      <w:marRight w:val="0"/>
      <w:marTop w:val="0"/>
      <w:marBottom w:val="0"/>
      <w:divBdr>
        <w:top w:val="none" w:sz="0" w:space="0" w:color="auto"/>
        <w:left w:val="none" w:sz="0" w:space="0" w:color="auto"/>
        <w:bottom w:val="none" w:sz="0" w:space="0" w:color="auto"/>
        <w:right w:val="none" w:sz="0" w:space="0" w:color="auto"/>
      </w:divBdr>
    </w:div>
    <w:div w:id="441463825">
      <w:bodyDiv w:val="1"/>
      <w:marLeft w:val="0"/>
      <w:marRight w:val="0"/>
      <w:marTop w:val="0"/>
      <w:marBottom w:val="0"/>
      <w:divBdr>
        <w:top w:val="none" w:sz="0" w:space="0" w:color="auto"/>
        <w:left w:val="none" w:sz="0" w:space="0" w:color="auto"/>
        <w:bottom w:val="none" w:sz="0" w:space="0" w:color="auto"/>
        <w:right w:val="none" w:sz="0" w:space="0" w:color="auto"/>
      </w:divBdr>
    </w:div>
    <w:div w:id="442773212">
      <w:bodyDiv w:val="1"/>
      <w:marLeft w:val="0"/>
      <w:marRight w:val="0"/>
      <w:marTop w:val="0"/>
      <w:marBottom w:val="0"/>
      <w:divBdr>
        <w:top w:val="none" w:sz="0" w:space="0" w:color="auto"/>
        <w:left w:val="none" w:sz="0" w:space="0" w:color="auto"/>
        <w:bottom w:val="none" w:sz="0" w:space="0" w:color="auto"/>
        <w:right w:val="none" w:sz="0" w:space="0" w:color="auto"/>
      </w:divBdr>
    </w:div>
    <w:div w:id="445000420">
      <w:bodyDiv w:val="1"/>
      <w:marLeft w:val="0"/>
      <w:marRight w:val="0"/>
      <w:marTop w:val="0"/>
      <w:marBottom w:val="0"/>
      <w:divBdr>
        <w:top w:val="none" w:sz="0" w:space="0" w:color="auto"/>
        <w:left w:val="none" w:sz="0" w:space="0" w:color="auto"/>
        <w:bottom w:val="none" w:sz="0" w:space="0" w:color="auto"/>
        <w:right w:val="none" w:sz="0" w:space="0" w:color="auto"/>
      </w:divBdr>
    </w:div>
    <w:div w:id="467819179">
      <w:bodyDiv w:val="1"/>
      <w:marLeft w:val="0"/>
      <w:marRight w:val="0"/>
      <w:marTop w:val="0"/>
      <w:marBottom w:val="0"/>
      <w:divBdr>
        <w:top w:val="none" w:sz="0" w:space="0" w:color="auto"/>
        <w:left w:val="none" w:sz="0" w:space="0" w:color="auto"/>
        <w:bottom w:val="none" w:sz="0" w:space="0" w:color="auto"/>
        <w:right w:val="none" w:sz="0" w:space="0" w:color="auto"/>
      </w:divBdr>
    </w:div>
    <w:div w:id="475295657">
      <w:bodyDiv w:val="1"/>
      <w:marLeft w:val="0"/>
      <w:marRight w:val="0"/>
      <w:marTop w:val="0"/>
      <w:marBottom w:val="0"/>
      <w:divBdr>
        <w:top w:val="none" w:sz="0" w:space="0" w:color="auto"/>
        <w:left w:val="none" w:sz="0" w:space="0" w:color="auto"/>
        <w:bottom w:val="none" w:sz="0" w:space="0" w:color="auto"/>
        <w:right w:val="none" w:sz="0" w:space="0" w:color="auto"/>
      </w:divBdr>
    </w:div>
    <w:div w:id="476535555">
      <w:bodyDiv w:val="1"/>
      <w:marLeft w:val="0"/>
      <w:marRight w:val="0"/>
      <w:marTop w:val="0"/>
      <w:marBottom w:val="0"/>
      <w:divBdr>
        <w:top w:val="none" w:sz="0" w:space="0" w:color="auto"/>
        <w:left w:val="none" w:sz="0" w:space="0" w:color="auto"/>
        <w:bottom w:val="none" w:sz="0" w:space="0" w:color="auto"/>
        <w:right w:val="none" w:sz="0" w:space="0" w:color="auto"/>
      </w:divBdr>
    </w:div>
    <w:div w:id="478695551">
      <w:bodyDiv w:val="1"/>
      <w:marLeft w:val="0"/>
      <w:marRight w:val="0"/>
      <w:marTop w:val="0"/>
      <w:marBottom w:val="0"/>
      <w:divBdr>
        <w:top w:val="none" w:sz="0" w:space="0" w:color="auto"/>
        <w:left w:val="none" w:sz="0" w:space="0" w:color="auto"/>
        <w:bottom w:val="none" w:sz="0" w:space="0" w:color="auto"/>
        <w:right w:val="none" w:sz="0" w:space="0" w:color="auto"/>
      </w:divBdr>
    </w:div>
    <w:div w:id="480386370">
      <w:bodyDiv w:val="1"/>
      <w:marLeft w:val="0"/>
      <w:marRight w:val="0"/>
      <w:marTop w:val="0"/>
      <w:marBottom w:val="0"/>
      <w:divBdr>
        <w:top w:val="none" w:sz="0" w:space="0" w:color="auto"/>
        <w:left w:val="none" w:sz="0" w:space="0" w:color="auto"/>
        <w:bottom w:val="none" w:sz="0" w:space="0" w:color="auto"/>
        <w:right w:val="none" w:sz="0" w:space="0" w:color="auto"/>
      </w:divBdr>
    </w:div>
    <w:div w:id="481196817">
      <w:bodyDiv w:val="1"/>
      <w:marLeft w:val="0"/>
      <w:marRight w:val="0"/>
      <w:marTop w:val="0"/>
      <w:marBottom w:val="0"/>
      <w:divBdr>
        <w:top w:val="none" w:sz="0" w:space="0" w:color="auto"/>
        <w:left w:val="none" w:sz="0" w:space="0" w:color="auto"/>
        <w:bottom w:val="none" w:sz="0" w:space="0" w:color="auto"/>
        <w:right w:val="none" w:sz="0" w:space="0" w:color="auto"/>
      </w:divBdr>
    </w:div>
    <w:div w:id="486098091">
      <w:bodyDiv w:val="1"/>
      <w:marLeft w:val="0"/>
      <w:marRight w:val="0"/>
      <w:marTop w:val="0"/>
      <w:marBottom w:val="0"/>
      <w:divBdr>
        <w:top w:val="none" w:sz="0" w:space="0" w:color="auto"/>
        <w:left w:val="none" w:sz="0" w:space="0" w:color="auto"/>
        <w:bottom w:val="none" w:sz="0" w:space="0" w:color="auto"/>
        <w:right w:val="none" w:sz="0" w:space="0" w:color="auto"/>
      </w:divBdr>
    </w:div>
    <w:div w:id="486635717">
      <w:bodyDiv w:val="1"/>
      <w:marLeft w:val="0"/>
      <w:marRight w:val="0"/>
      <w:marTop w:val="0"/>
      <w:marBottom w:val="0"/>
      <w:divBdr>
        <w:top w:val="none" w:sz="0" w:space="0" w:color="auto"/>
        <w:left w:val="none" w:sz="0" w:space="0" w:color="auto"/>
        <w:bottom w:val="none" w:sz="0" w:space="0" w:color="auto"/>
        <w:right w:val="none" w:sz="0" w:space="0" w:color="auto"/>
      </w:divBdr>
    </w:div>
    <w:div w:id="489643511">
      <w:bodyDiv w:val="1"/>
      <w:marLeft w:val="0"/>
      <w:marRight w:val="0"/>
      <w:marTop w:val="0"/>
      <w:marBottom w:val="0"/>
      <w:divBdr>
        <w:top w:val="none" w:sz="0" w:space="0" w:color="auto"/>
        <w:left w:val="none" w:sz="0" w:space="0" w:color="auto"/>
        <w:bottom w:val="none" w:sz="0" w:space="0" w:color="auto"/>
        <w:right w:val="none" w:sz="0" w:space="0" w:color="auto"/>
      </w:divBdr>
    </w:div>
    <w:div w:id="490609913">
      <w:bodyDiv w:val="1"/>
      <w:marLeft w:val="0"/>
      <w:marRight w:val="0"/>
      <w:marTop w:val="0"/>
      <w:marBottom w:val="0"/>
      <w:divBdr>
        <w:top w:val="none" w:sz="0" w:space="0" w:color="auto"/>
        <w:left w:val="none" w:sz="0" w:space="0" w:color="auto"/>
        <w:bottom w:val="none" w:sz="0" w:space="0" w:color="auto"/>
        <w:right w:val="none" w:sz="0" w:space="0" w:color="auto"/>
      </w:divBdr>
    </w:div>
    <w:div w:id="491872384">
      <w:bodyDiv w:val="1"/>
      <w:marLeft w:val="0"/>
      <w:marRight w:val="0"/>
      <w:marTop w:val="0"/>
      <w:marBottom w:val="0"/>
      <w:divBdr>
        <w:top w:val="none" w:sz="0" w:space="0" w:color="auto"/>
        <w:left w:val="none" w:sz="0" w:space="0" w:color="auto"/>
        <w:bottom w:val="none" w:sz="0" w:space="0" w:color="auto"/>
        <w:right w:val="none" w:sz="0" w:space="0" w:color="auto"/>
      </w:divBdr>
    </w:div>
    <w:div w:id="492066241">
      <w:bodyDiv w:val="1"/>
      <w:marLeft w:val="0"/>
      <w:marRight w:val="0"/>
      <w:marTop w:val="0"/>
      <w:marBottom w:val="0"/>
      <w:divBdr>
        <w:top w:val="none" w:sz="0" w:space="0" w:color="auto"/>
        <w:left w:val="none" w:sz="0" w:space="0" w:color="auto"/>
        <w:bottom w:val="none" w:sz="0" w:space="0" w:color="auto"/>
        <w:right w:val="none" w:sz="0" w:space="0" w:color="auto"/>
      </w:divBdr>
    </w:div>
    <w:div w:id="492911493">
      <w:bodyDiv w:val="1"/>
      <w:marLeft w:val="0"/>
      <w:marRight w:val="0"/>
      <w:marTop w:val="0"/>
      <w:marBottom w:val="0"/>
      <w:divBdr>
        <w:top w:val="none" w:sz="0" w:space="0" w:color="auto"/>
        <w:left w:val="none" w:sz="0" w:space="0" w:color="auto"/>
        <w:bottom w:val="none" w:sz="0" w:space="0" w:color="auto"/>
        <w:right w:val="none" w:sz="0" w:space="0" w:color="auto"/>
      </w:divBdr>
    </w:div>
    <w:div w:id="493836418">
      <w:bodyDiv w:val="1"/>
      <w:marLeft w:val="0"/>
      <w:marRight w:val="0"/>
      <w:marTop w:val="0"/>
      <w:marBottom w:val="0"/>
      <w:divBdr>
        <w:top w:val="none" w:sz="0" w:space="0" w:color="auto"/>
        <w:left w:val="none" w:sz="0" w:space="0" w:color="auto"/>
        <w:bottom w:val="none" w:sz="0" w:space="0" w:color="auto"/>
        <w:right w:val="none" w:sz="0" w:space="0" w:color="auto"/>
      </w:divBdr>
    </w:div>
    <w:div w:id="502552218">
      <w:bodyDiv w:val="1"/>
      <w:marLeft w:val="0"/>
      <w:marRight w:val="0"/>
      <w:marTop w:val="0"/>
      <w:marBottom w:val="0"/>
      <w:divBdr>
        <w:top w:val="none" w:sz="0" w:space="0" w:color="auto"/>
        <w:left w:val="none" w:sz="0" w:space="0" w:color="auto"/>
        <w:bottom w:val="none" w:sz="0" w:space="0" w:color="auto"/>
        <w:right w:val="none" w:sz="0" w:space="0" w:color="auto"/>
      </w:divBdr>
    </w:div>
    <w:div w:id="504249378">
      <w:bodyDiv w:val="1"/>
      <w:marLeft w:val="0"/>
      <w:marRight w:val="0"/>
      <w:marTop w:val="0"/>
      <w:marBottom w:val="0"/>
      <w:divBdr>
        <w:top w:val="none" w:sz="0" w:space="0" w:color="auto"/>
        <w:left w:val="none" w:sz="0" w:space="0" w:color="auto"/>
        <w:bottom w:val="none" w:sz="0" w:space="0" w:color="auto"/>
        <w:right w:val="none" w:sz="0" w:space="0" w:color="auto"/>
      </w:divBdr>
    </w:div>
    <w:div w:id="508909942">
      <w:bodyDiv w:val="1"/>
      <w:marLeft w:val="0"/>
      <w:marRight w:val="0"/>
      <w:marTop w:val="0"/>
      <w:marBottom w:val="0"/>
      <w:divBdr>
        <w:top w:val="none" w:sz="0" w:space="0" w:color="auto"/>
        <w:left w:val="none" w:sz="0" w:space="0" w:color="auto"/>
        <w:bottom w:val="none" w:sz="0" w:space="0" w:color="auto"/>
        <w:right w:val="none" w:sz="0" w:space="0" w:color="auto"/>
      </w:divBdr>
    </w:div>
    <w:div w:id="511409238">
      <w:bodyDiv w:val="1"/>
      <w:marLeft w:val="0"/>
      <w:marRight w:val="0"/>
      <w:marTop w:val="0"/>
      <w:marBottom w:val="0"/>
      <w:divBdr>
        <w:top w:val="none" w:sz="0" w:space="0" w:color="auto"/>
        <w:left w:val="none" w:sz="0" w:space="0" w:color="auto"/>
        <w:bottom w:val="none" w:sz="0" w:space="0" w:color="auto"/>
        <w:right w:val="none" w:sz="0" w:space="0" w:color="auto"/>
      </w:divBdr>
    </w:div>
    <w:div w:id="514075673">
      <w:bodyDiv w:val="1"/>
      <w:marLeft w:val="0"/>
      <w:marRight w:val="0"/>
      <w:marTop w:val="0"/>
      <w:marBottom w:val="0"/>
      <w:divBdr>
        <w:top w:val="none" w:sz="0" w:space="0" w:color="auto"/>
        <w:left w:val="none" w:sz="0" w:space="0" w:color="auto"/>
        <w:bottom w:val="none" w:sz="0" w:space="0" w:color="auto"/>
        <w:right w:val="none" w:sz="0" w:space="0" w:color="auto"/>
      </w:divBdr>
    </w:div>
    <w:div w:id="516583000">
      <w:bodyDiv w:val="1"/>
      <w:marLeft w:val="0"/>
      <w:marRight w:val="0"/>
      <w:marTop w:val="0"/>
      <w:marBottom w:val="0"/>
      <w:divBdr>
        <w:top w:val="none" w:sz="0" w:space="0" w:color="auto"/>
        <w:left w:val="none" w:sz="0" w:space="0" w:color="auto"/>
        <w:bottom w:val="none" w:sz="0" w:space="0" w:color="auto"/>
        <w:right w:val="none" w:sz="0" w:space="0" w:color="auto"/>
      </w:divBdr>
    </w:div>
    <w:div w:id="517935194">
      <w:bodyDiv w:val="1"/>
      <w:marLeft w:val="0"/>
      <w:marRight w:val="0"/>
      <w:marTop w:val="0"/>
      <w:marBottom w:val="0"/>
      <w:divBdr>
        <w:top w:val="none" w:sz="0" w:space="0" w:color="auto"/>
        <w:left w:val="none" w:sz="0" w:space="0" w:color="auto"/>
        <w:bottom w:val="none" w:sz="0" w:space="0" w:color="auto"/>
        <w:right w:val="none" w:sz="0" w:space="0" w:color="auto"/>
      </w:divBdr>
    </w:div>
    <w:div w:id="518618337">
      <w:bodyDiv w:val="1"/>
      <w:marLeft w:val="0"/>
      <w:marRight w:val="0"/>
      <w:marTop w:val="0"/>
      <w:marBottom w:val="0"/>
      <w:divBdr>
        <w:top w:val="none" w:sz="0" w:space="0" w:color="auto"/>
        <w:left w:val="none" w:sz="0" w:space="0" w:color="auto"/>
        <w:bottom w:val="none" w:sz="0" w:space="0" w:color="auto"/>
        <w:right w:val="none" w:sz="0" w:space="0" w:color="auto"/>
      </w:divBdr>
    </w:div>
    <w:div w:id="522136560">
      <w:bodyDiv w:val="1"/>
      <w:marLeft w:val="0"/>
      <w:marRight w:val="0"/>
      <w:marTop w:val="0"/>
      <w:marBottom w:val="0"/>
      <w:divBdr>
        <w:top w:val="none" w:sz="0" w:space="0" w:color="auto"/>
        <w:left w:val="none" w:sz="0" w:space="0" w:color="auto"/>
        <w:bottom w:val="none" w:sz="0" w:space="0" w:color="auto"/>
        <w:right w:val="none" w:sz="0" w:space="0" w:color="auto"/>
      </w:divBdr>
    </w:div>
    <w:div w:id="523791919">
      <w:bodyDiv w:val="1"/>
      <w:marLeft w:val="0"/>
      <w:marRight w:val="0"/>
      <w:marTop w:val="0"/>
      <w:marBottom w:val="0"/>
      <w:divBdr>
        <w:top w:val="none" w:sz="0" w:space="0" w:color="auto"/>
        <w:left w:val="none" w:sz="0" w:space="0" w:color="auto"/>
        <w:bottom w:val="none" w:sz="0" w:space="0" w:color="auto"/>
        <w:right w:val="none" w:sz="0" w:space="0" w:color="auto"/>
      </w:divBdr>
    </w:div>
    <w:div w:id="525366794">
      <w:bodyDiv w:val="1"/>
      <w:marLeft w:val="0"/>
      <w:marRight w:val="0"/>
      <w:marTop w:val="0"/>
      <w:marBottom w:val="0"/>
      <w:divBdr>
        <w:top w:val="none" w:sz="0" w:space="0" w:color="auto"/>
        <w:left w:val="none" w:sz="0" w:space="0" w:color="auto"/>
        <w:bottom w:val="none" w:sz="0" w:space="0" w:color="auto"/>
        <w:right w:val="none" w:sz="0" w:space="0" w:color="auto"/>
      </w:divBdr>
    </w:div>
    <w:div w:id="526990613">
      <w:bodyDiv w:val="1"/>
      <w:marLeft w:val="0"/>
      <w:marRight w:val="0"/>
      <w:marTop w:val="0"/>
      <w:marBottom w:val="0"/>
      <w:divBdr>
        <w:top w:val="none" w:sz="0" w:space="0" w:color="auto"/>
        <w:left w:val="none" w:sz="0" w:space="0" w:color="auto"/>
        <w:bottom w:val="none" w:sz="0" w:space="0" w:color="auto"/>
        <w:right w:val="none" w:sz="0" w:space="0" w:color="auto"/>
      </w:divBdr>
    </w:div>
    <w:div w:id="526993840">
      <w:bodyDiv w:val="1"/>
      <w:marLeft w:val="0"/>
      <w:marRight w:val="0"/>
      <w:marTop w:val="0"/>
      <w:marBottom w:val="0"/>
      <w:divBdr>
        <w:top w:val="none" w:sz="0" w:space="0" w:color="auto"/>
        <w:left w:val="none" w:sz="0" w:space="0" w:color="auto"/>
        <w:bottom w:val="none" w:sz="0" w:space="0" w:color="auto"/>
        <w:right w:val="none" w:sz="0" w:space="0" w:color="auto"/>
      </w:divBdr>
    </w:div>
    <w:div w:id="531458295">
      <w:bodyDiv w:val="1"/>
      <w:marLeft w:val="0"/>
      <w:marRight w:val="0"/>
      <w:marTop w:val="0"/>
      <w:marBottom w:val="0"/>
      <w:divBdr>
        <w:top w:val="none" w:sz="0" w:space="0" w:color="auto"/>
        <w:left w:val="none" w:sz="0" w:space="0" w:color="auto"/>
        <w:bottom w:val="none" w:sz="0" w:space="0" w:color="auto"/>
        <w:right w:val="none" w:sz="0" w:space="0" w:color="auto"/>
      </w:divBdr>
    </w:div>
    <w:div w:id="535390080">
      <w:bodyDiv w:val="1"/>
      <w:marLeft w:val="0"/>
      <w:marRight w:val="0"/>
      <w:marTop w:val="0"/>
      <w:marBottom w:val="0"/>
      <w:divBdr>
        <w:top w:val="none" w:sz="0" w:space="0" w:color="auto"/>
        <w:left w:val="none" w:sz="0" w:space="0" w:color="auto"/>
        <w:bottom w:val="none" w:sz="0" w:space="0" w:color="auto"/>
        <w:right w:val="none" w:sz="0" w:space="0" w:color="auto"/>
      </w:divBdr>
    </w:div>
    <w:div w:id="539243489">
      <w:bodyDiv w:val="1"/>
      <w:marLeft w:val="0"/>
      <w:marRight w:val="0"/>
      <w:marTop w:val="0"/>
      <w:marBottom w:val="0"/>
      <w:divBdr>
        <w:top w:val="none" w:sz="0" w:space="0" w:color="auto"/>
        <w:left w:val="none" w:sz="0" w:space="0" w:color="auto"/>
        <w:bottom w:val="none" w:sz="0" w:space="0" w:color="auto"/>
        <w:right w:val="none" w:sz="0" w:space="0" w:color="auto"/>
      </w:divBdr>
    </w:div>
    <w:div w:id="539709710">
      <w:bodyDiv w:val="1"/>
      <w:marLeft w:val="0"/>
      <w:marRight w:val="0"/>
      <w:marTop w:val="0"/>
      <w:marBottom w:val="0"/>
      <w:divBdr>
        <w:top w:val="none" w:sz="0" w:space="0" w:color="auto"/>
        <w:left w:val="none" w:sz="0" w:space="0" w:color="auto"/>
        <w:bottom w:val="none" w:sz="0" w:space="0" w:color="auto"/>
        <w:right w:val="none" w:sz="0" w:space="0" w:color="auto"/>
      </w:divBdr>
    </w:div>
    <w:div w:id="540367574">
      <w:bodyDiv w:val="1"/>
      <w:marLeft w:val="0"/>
      <w:marRight w:val="0"/>
      <w:marTop w:val="0"/>
      <w:marBottom w:val="0"/>
      <w:divBdr>
        <w:top w:val="none" w:sz="0" w:space="0" w:color="auto"/>
        <w:left w:val="none" w:sz="0" w:space="0" w:color="auto"/>
        <w:bottom w:val="none" w:sz="0" w:space="0" w:color="auto"/>
        <w:right w:val="none" w:sz="0" w:space="0" w:color="auto"/>
      </w:divBdr>
    </w:div>
    <w:div w:id="544678695">
      <w:bodyDiv w:val="1"/>
      <w:marLeft w:val="0"/>
      <w:marRight w:val="0"/>
      <w:marTop w:val="0"/>
      <w:marBottom w:val="0"/>
      <w:divBdr>
        <w:top w:val="none" w:sz="0" w:space="0" w:color="auto"/>
        <w:left w:val="none" w:sz="0" w:space="0" w:color="auto"/>
        <w:bottom w:val="none" w:sz="0" w:space="0" w:color="auto"/>
        <w:right w:val="none" w:sz="0" w:space="0" w:color="auto"/>
      </w:divBdr>
    </w:div>
    <w:div w:id="551189164">
      <w:bodyDiv w:val="1"/>
      <w:marLeft w:val="0"/>
      <w:marRight w:val="0"/>
      <w:marTop w:val="0"/>
      <w:marBottom w:val="0"/>
      <w:divBdr>
        <w:top w:val="none" w:sz="0" w:space="0" w:color="auto"/>
        <w:left w:val="none" w:sz="0" w:space="0" w:color="auto"/>
        <w:bottom w:val="none" w:sz="0" w:space="0" w:color="auto"/>
        <w:right w:val="none" w:sz="0" w:space="0" w:color="auto"/>
      </w:divBdr>
    </w:div>
    <w:div w:id="559827812">
      <w:bodyDiv w:val="1"/>
      <w:marLeft w:val="0"/>
      <w:marRight w:val="0"/>
      <w:marTop w:val="0"/>
      <w:marBottom w:val="0"/>
      <w:divBdr>
        <w:top w:val="none" w:sz="0" w:space="0" w:color="auto"/>
        <w:left w:val="none" w:sz="0" w:space="0" w:color="auto"/>
        <w:bottom w:val="none" w:sz="0" w:space="0" w:color="auto"/>
        <w:right w:val="none" w:sz="0" w:space="0" w:color="auto"/>
      </w:divBdr>
    </w:div>
    <w:div w:id="562520931">
      <w:bodyDiv w:val="1"/>
      <w:marLeft w:val="0"/>
      <w:marRight w:val="0"/>
      <w:marTop w:val="0"/>
      <w:marBottom w:val="0"/>
      <w:divBdr>
        <w:top w:val="none" w:sz="0" w:space="0" w:color="auto"/>
        <w:left w:val="none" w:sz="0" w:space="0" w:color="auto"/>
        <w:bottom w:val="none" w:sz="0" w:space="0" w:color="auto"/>
        <w:right w:val="none" w:sz="0" w:space="0" w:color="auto"/>
      </w:divBdr>
    </w:div>
    <w:div w:id="565143394">
      <w:bodyDiv w:val="1"/>
      <w:marLeft w:val="0"/>
      <w:marRight w:val="0"/>
      <w:marTop w:val="0"/>
      <w:marBottom w:val="0"/>
      <w:divBdr>
        <w:top w:val="none" w:sz="0" w:space="0" w:color="auto"/>
        <w:left w:val="none" w:sz="0" w:space="0" w:color="auto"/>
        <w:bottom w:val="none" w:sz="0" w:space="0" w:color="auto"/>
        <w:right w:val="none" w:sz="0" w:space="0" w:color="auto"/>
      </w:divBdr>
    </w:div>
    <w:div w:id="565339042">
      <w:bodyDiv w:val="1"/>
      <w:marLeft w:val="0"/>
      <w:marRight w:val="0"/>
      <w:marTop w:val="0"/>
      <w:marBottom w:val="0"/>
      <w:divBdr>
        <w:top w:val="none" w:sz="0" w:space="0" w:color="auto"/>
        <w:left w:val="none" w:sz="0" w:space="0" w:color="auto"/>
        <w:bottom w:val="none" w:sz="0" w:space="0" w:color="auto"/>
        <w:right w:val="none" w:sz="0" w:space="0" w:color="auto"/>
      </w:divBdr>
    </w:div>
    <w:div w:id="565721212">
      <w:bodyDiv w:val="1"/>
      <w:marLeft w:val="0"/>
      <w:marRight w:val="0"/>
      <w:marTop w:val="0"/>
      <w:marBottom w:val="0"/>
      <w:divBdr>
        <w:top w:val="none" w:sz="0" w:space="0" w:color="auto"/>
        <w:left w:val="none" w:sz="0" w:space="0" w:color="auto"/>
        <w:bottom w:val="none" w:sz="0" w:space="0" w:color="auto"/>
        <w:right w:val="none" w:sz="0" w:space="0" w:color="auto"/>
      </w:divBdr>
    </w:div>
    <w:div w:id="568199400">
      <w:bodyDiv w:val="1"/>
      <w:marLeft w:val="0"/>
      <w:marRight w:val="0"/>
      <w:marTop w:val="0"/>
      <w:marBottom w:val="0"/>
      <w:divBdr>
        <w:top w:val="none" w:sz="0" w:space="0" w:color="auto"/>
        <w:left w:val="none" w:sz="0" w:space="0" w:color="auto"/>
        <w:bottom w:val="none" w:sz="0" w:space="0" w:color="auto"/>
        <w:right w:val="none" w:sz="0" w:space="0" w:color="auto"/>
      </w:divBdr>
    </w:div>
    <w:div w:id="571157473">
      <w:bodyDiv w:val="1"/>
      <w:marLeft w:val="0"/>
      <w:marRight w:val="0"/>
      <w:marTop w:val="0"/>
      <w:marBottom w:val="0"/>
      <w:divBdr>
        <w:top w:val="none" w:sz="0" w:space="0" w:color="auto"/>
        <w:left w:val="none" w:sz="0" w:space="0" w:color="auto"/>
        <w:bottom w:val="none" w:sz="0" w:space="0" w:color="auto"/>
        <w:right w:val="none" w:sz="0" w:space="0" w:color="auto"/>
      </w:divBdr>
    </w:div>
    <w:div w:id="573588404">
      <w:bodyDiv w:val="1"/>
      <w:marLeft w:val="0"/>
      <w:marRight w:val="0"/>
      <w:marTop w:val="0"/>
      <w:marBottom w:val="0"/>
      <w:divBdr>
        <w:top w:val="none" w:sz="0" w:space="0" w:color="auto"/>
        <w:left w:val="none" w:sz="0" w:space="0" w:color="auto"/>
        <w:bottom w:val="none" w:sz="0" w:space="0" w:color="auto"/>
        <w:right w:val="none" w:sz="0" w:space="0" w:color="auto"/>
      </w:divBdr>
    </w:div>
    <w:div w:id="580526613">
      <w:bodyDiv w:val="1"/>
      <w:marLeft w:val="0"/>
      <w:marRight w:val="0"/>
      <w:marTop w:val="0"/>
      <w:marBottom w:val="0"/>
      <w:divBdr>
        <w:top w:val="none" w:sz="0" w:space="0" w:color="auto"/>
        <w:left w:val="none" w:sz="0" w:space="0" w:color="auto"/>
        <w:bottom w:val="none" w:sz="0" w:space="0" w:color="auto"/>
        <w:right w:val="none" w:sz="0" w:space="0" w:color="auto"/>
      </w:divBdr>
      <w:divsChild>
        <w:div w:id="1060396066">
          <w:marLeft w:val="0"/>
          <w:marRight w:val="0"/>
          <w:marTop w:val="0"/>
          <w:marBottom w:val="0"/>
          <w:divBdr>
            <w:top w:val="none" w:sz="0" w:space="0" w:color="auto"/>
            <w:left w:val="none" w:sz="0" w:space="0" w:color="auto"/>
            <w:bottom w:val="none" w:sz="0" w:space="0" w:color="auto"/>
            <w:right w:val="none" w:sz="0" w:space="0" w:color="auto"/>
          </w:divBdr>
        </w:div>
      </w:divsChild>
    </w:div>
    <w:div w:id="584460665">
      <w:bodyDiv w:val="1"/>
      <w:marLeft w:val="0"/>
      <w:marRight w:val="0"/>
      <w:marTop w:val="0"/>
      <w:marBottom w:val="0"/>
      <w:divBdr>
        <w:top w:val="none" w:sz="0" w:space="0" w:color="auto"/>
        <w:left w:val="none" w:sz="0" w:space="0" w:color="auto"/>
        <w:bottom w:val="none" w:sz="0" w:space="0" w:color="auto"/>
        <w:right w:val="none" w:sz="0" w:space="0" w:color="auto"/>
      </w:divBdr>
    </w:div>
    <w:div w:id="585070769">
      <w:bodyDiv w:val="1"/>
      <w:marLeft w:val="0"/>
      <w:marRight w:val="0"/>
      <w:marTop w:val="0"/>
      <w:marBottom w:val="0"/>
      <w:divBdr>
        <w:top w:val="none" w:sz="0" w:space="0" w:color="auto"/>
        <w:left w:val="none" w:sz="0" w:space="0" w:color="auto"/>
        <w:bottom w:val="none" w:sz="0" w:space="0" w:color="auto"/>
        <w:right w:val="none" w:sz="0" w:space="0" w:color="auto"/>
      </w:divBdr>
    </w:div>
    <w:div w:id="587932014">
      <w:bodyDiv w:val="1"/>
      <w:marLeft w:val="0"/>
      <w:marRight w:val="0"/>
      <w:marTop w:val="0"/>
      <w:marBottom w:val="0"/>
      <w:divBdr>
        <w:top w:val="none" w:sz="0" w:space="0" w:color="auto"/>
        <w:left w:val="none" w:sz="0" w:space="0" w:color="auto"/>
        <w:bottom w:val="none" w:sz="0" w:space="0" w:color="auto"/>
        <w:right w:val="none" w:sz="0" w:space="0" w:color="auto"/>
      </w:divBdr>
    </w:div>
    <w:div w:id="590088371">
      <w:bodyDiv w:val="1"/>
      <w:marLeft w:val="0"/>
      <w:marRight w:val="0"/>
      <w:marTop w:val="0"/>
      <w:marBottom w:val="0"/>
      <w:divBdr>
        <w:top w:val="none" w:sz="0" w:space="0" w:color="auto"/>
        <w:left w:val="none" w:sz="0" w:space="0" w:color="auto"/>
        <w:bottom w:val="none" w:sz="0" w:space="0" w:color="auto"/>
        <w:right w:val="none" w:sz="0" w:space="0" w:color="auto"/>
      </w:divBdr>
    </w:div>
    <w:div w:id="591277517">
      <w:bodyDiv w:val="1"/>
      <w:marLeft w:val="0"/>
      <w:marRight w:val="0"/>
      <w:marTop w:val="0"/>
      <w:marBottom w:val="0"/>
      <w:divBdr>
        <w:top w:val="none" w:sz="0" w:space="0" w:color="auto"/>
        <w:left w:val="none" w:sz="0" w:space="0" w:color="auto"/>
        <w:bottom w:val="none" w:sz="0" w:space="0" w:color="auto"/>
        <w:right w:val="none" w:sz="0" w:space="0" w:color="auto"/>
      </w:divBdr>
    </w:div>
    <w:div w:id="591939367">
      <w:bodyDiv w:val="1"/>
      <w:marLeft w:val="0"/>
      <w:marRight w:val="0"/>
      <w:marTop w:val="0"/>
      <w:marBottom w:val="0"/>
      <w:divBdr>
        <w:top w:val="none" w:sz="0" w:space="0" w:color="auto"/>
        <w:left w:val="none" w:sz="0" w:space="0" w:color="auto"/>
        <w:bottom w:val="none" w:sz="0" w:space="0" w:color="auto"/>
        <w:right w:val="none" w:sz="0" w:space="0" w:color="auto"/>
      </w:divBdr>
    </w:div>
    <w:div w:id="592393403">
      <w:bodyDiv w:val="1"/>
      <w:marLeft w:val="0"/>
      <w:marRight w:val="0"/>
      <w:marTop w:val="0"/>
      <w:marBottom w:val="0"/>
      <w:divBdr>
        <w:top w:val="none" w:sz="0" w:space="0" w:color="auto"/>
        <w:left w:val="none" w:sz="0" w:space="0" w:color="auto"/>
        <w:bottom w:val="none" w:sz="0" w:space="0" w:color="auto"/>
        <w:right w:val="none" w:sz="0" w:space="0" w:color="auto"/>
      </w:divBdr>
    </w:div>
    <w:div w:id="597832492">
      <w:bodyDiv w:val="1"/>
      <w:marLeft w:val="0"/>
      <w:marRight w:val="0"/>
      <w:marTop w:val="0"/>
      <w:marBottom w:val="0"/>
      <w:divBdr>
        <w:top w:val="none" w:sz="0" w:space="0" w:color="auto"/>
        <w:left w:val="none" w:sz="0" w:space="0" w:color="auto"/>
        <w:bottom w:val="none" w:sz="0" w:space="0" w:color="auto"/>
        <w:right w:val="none" w:sz="0" w:space="0" w:color="auto"/>
      </w:divBdr>
    </w:div>
    <w:div w:id="602684257">
      <w:bodyDiv w:val="1"/>
      <w:marLeft w:val="0"/>
      <w:marRight w:val="0"/>
      <w:marTop w:val="0"/>
      <w:marBottom w:val="0"/>
      <w:divBdr>
        <w:top w:val="none" w:sz="0" w:space="0" w:color="auto"/>
        <w:left w:val="none" w:sz="0" w:space="0" w:color="auto"/>
        <w:bottom w:val="none" w:sz="0" w:space="0" w:color="auto"/>
        <w:right w:val="none" w:sz="0" w:space="0" w:color="auto"/>
      </w:divBdr>
    </w:div>
    <w:div w:id="607541629">
      <w:bodyDiv w:val="1"/>
      <w:marLeft w:val="0"/>
      <w:marRight w:val="0"/>
      <w:marTop w:val="0"/>
      <w:marBottom w:val="0"/>
      <w:divBdr>
        <w:top w:val="none" w:sz="0" w:space="0" w:color="auto"/>
        <w:left w:val="none" w:sz="0" w:space="0" w:color="auto"/>
        <w:bottom w:val="none" w:sz="0" w:space="0" w:color="auto"/>
        <w:right w:val="none" w:sz="0" w:space="0" w:color="auto"/>
      </w:divBdr>
    </w:div>
    <w:div w:id="612708307">
      <w:bodyDiv w:val="1"/>
      <w:marLeft w:val="0"/>
      <w:marRight w:val="0"/>
      <w:marTop w:val="0"/>
      <w:marBottom w:val="0"/>
      <w:divBdr>
        <w:top w:val="none" w:sz="0" w:space="0" w:color="auto"/>
        <w:left w:val="none" w:sz="0" w:space="0" w:color="auto"/>
        <w:bottom w:val="none" w:sz="0" w:space="0" w:color="auto"/>
        <w:right w:val="none" w:sz="0" w:space="0" w:color="auto"/>
      </w:divBdr>
    </w:div>
    <w:div w:id="615871967">
      <w:bodyDiv w:val="1"/>
      <w:marLeft w:val="0"/>
      <w:marRight w:val="0"/>
      <w:marTop w:val="0"/>
      <w:marBottom w:val="0"/>
      <w:divBdr>
        <w:top w:val="none" w:sz="0" w:space="0" w:color="auto"/>
        <w:left w:val="none" w:sz="0" w:space="0" w:color="auto"/>
        <w:bottom w:val="none" w:sz="0" w:space="0" w:color="auto"/>
        <w:right w:val="none" w:sz="0" w:space="0" w:color="auto"/>
      </w:divBdr>
    </w:div>
    <w:div w:id="617374052">
      <w:bodyDiv w:val="1"/>
      <w:marLeft w:val="0"/>
      <w:marRight w:val="0"/>
      <w:marTop w:val="0"/>
      <w:marBottom w:val="0"/>
      <w:divBdr>
        <w:top w:val="none" w:sz="0" w:space="0" w:color="auto"/>
        <w:left w:val="none" w:sz="0" w:space="0" w:color="auto"/>
        <w:bottom w:val="none" w:sz="0" w:space="0" w:color="auto"/>
        <w:right w:val="none" w:sz="0" w:space="0" w:color="auto"/>
      </w:divBdr>
    </w:div>
    <w:div w:id="620184232">
      <w:bodyDiv w:val="1"/>
      <w:marLeft w:val="0"/>
      <w:marRight w:val="0"/>
      <w:marTop w:val="0"/>
      <w:marBottom w:val="0"/>
      <w:divBdr>
        <w:top w:val="none" w:sz="0" w:space="0" w:color="auto"/>
        <w:left w:val="none" w:sz="0" w:space="0" w:color="auto"/>
        <w:bottom w:val="none" w:sz="0" w:space="0" w:color="auto"/>
        <w:right w:val="none" w:sz="0" w:space="0" w:color="auto"/>
      </w:divBdr>
    </w:div>
    <w:div w:id="620307127">
      <w:bodyDiv w:val="1"/>
      <w:marLeft w:val="0"/>
      <w:marRight w:val="0"/>
      <w:marTop w:val="0"/>
      <w:marBottom w:val="0"/>
      <w:divBdr>
        <w:top w:val="none" w:sz="0" w:space="0" w:color="auto"/>
        <w:left w:val="none" w:sz="0" w:space="0" w:color="auto"/>
        <w:bottom w:val="none" w:sz="0" w:space="0" w:color="auto"/>
        <w:right w:val="none" w:sz="0" w:space="0" w:color="auto"/>
      </w:divBdr>
    </w:div>
    <w:div w:id="626859189">
      <w:bodyDiv w:val="1"/>
      <w:marLeft w:val="0"/>
      <w:marRight w:val="0"/>
      <w:marTop w:val="0"/>
      <w:marBottom w:val="0"/>
      <w:divBdr>
        <w:top w:val="none" w:sz="0" w:space="0" w:color="auto"/>
        <w:left w:val="none" w:sz="0" w:space="0" w:color="auto"/>
        <w:bottom w:val="none" w:sz="0" w:space="0" w:color="auto"/>
        <w:right w:val="none" w:sz="0" w:space="0" w:color="auto"/>
      </w:divBdr>
    </w:div>
    <w:div w:id="630287020">
      <w:bodyDiv w:val="1"/>
      <w:marLeft w:val="0"/>
      <w:marRight w:val="0"/>
      <w:marTop w:val="0"/>
      <w:marBottom w:val="0"/>
      <w:divBdr>
        <w:top w:val="none" w:sz="0" w:space="0" w:color="auto"/>
        <w:left w:val="none" w:sz="0" w:space="0" w:color="auto"/>
        <w:bottom w:val="none" w:sz="0" w:space="0" w:color="auto"/>
        <w:right w:val="none" w:sz="0" w:space="0" w:color="auto"/>
      </w:divBdr>
    </w:div>
    <w:div w:id="638608417">
      <w:bodyDiv w:val="1"/>
      <w:marLeft w:val="0"/>
      <w:marRight w:val="0"/>
      <w:marTop w:val="0"/>
      <w:marBottom w:val="0"/>
      <w:divBdr>
        <w:top w:val="none" w:sz="0" w:space="0" w:color="auto"/>
        <w:left w:val="none" w:sz="0" w:space="0" w:color="auto"/>
        <w:bottom w:val="none" w:sz="0" w:space="0" w:color="auto"/>
        <w:right w:val="none" w:sz="0" w:space="0" w:color="auto"/>
      </w:divBdr>
    </w:div>
    <w:div w:id="639262827">
      <w:bodyDiv w:val="1"/>
      <w:marLeft w:val="0"/>
      <w:marRight w:val="0"/>
      <w:marTop w:val="0"/>
      <w:marBottom w:val="0"/>
      <w:divBdr>
        <w:top w:val="none" w:sz="0" w:space="0" w:color="auto"/>
        <w:left w:val="none" w:sz="0" w:space="0" w:color="auto"/>
        <w:bottom w:val="none" w:sz="0" w:space="0" w:color="auto"/>
        <w:right w:val="none" w:sz="0" w:space="0" w:color="auto"/>
      </w:divBdr>
    </w:div>
    <w:div w:id="642005279">
      <w:bodyDiv w:val="1"/>
      <w:marLeft w:val="0"/>
      <w:marRight w:val="0"/>
      <w:marTop w:val="0"/>
      <w:marBottom w:val="0"/>
      <w:divBdr>
        <w:top w:val="none" w:sz="0" w:space="0" w:color="auto"/>
        <w:left w:val="none" w:sz="0" w:space="0" w:color="auto"/>
        <w:bottom w:val="none" w:sz="0" w:space="0" w:color="auto"/>
        <w:right w:val="none" w:sz="0" w:space="0" w:color="auto"/>
      </w:divBdr>
    </w:div>
    <w:div w:id="644821639">
      <w:bodyDiv w:val="1"/>
      <w:marLeft w:val="0"/>
      <w:marRight w:val="0"/>
      <w:marTop w:val="0"/>
      <w:marBottom w:val="0"/>
      <w:divBdr>
        <w:top w:val="none" w:sz="0" w:space="0" w:color="auto"/>
        <w:left w:val="none" w:sz="0" w:space="0" w:color="auto"/>
        <w:bottom w:val="none" w:sz="0" w:space="0" w:color="auto"/>
        <w:right w:val="none" w:sz="0" w:space="0" w:color="auto"/>
      </w:divBdr>
    </w:div>
    <w:div w:id="645857938">
      <w:bodyDiv w:val="1"/>
      <w:marLeft w:val="0"/>
      <w:marRight w:val="0"/>
      <w:marTop w:val="0"/>
      <w:marBottom w:val="0"/>
      <w:divBdr>
        <w:top w:val="none" w:sz="0" w:space="0" w:color="auto"/>
        <w:left w:val="none" w:sz="0" w:space="0" w:color="auto"/>
        <w:bottom w:val="none" w:sz="0" w:space="0" w:color="auto"/>
        <w:right w:val="none" w:sz="0" w:space="0" w:color="auto"/>
      </w:divBdr>
    </w:div>
    <w:div w:id="648899041">
      <w:bodyDiv w:val="1"/>
      <w:marLeft w:val="0"/>
      <w:marRight w:val="0"/>
      <w:marTop w:val="0"/>
      <w:marBottom w:val="0"/>
      <w:divBdr>
        <w:top w:val="none" w:sz="0" w:space="0" w:color="auto"/>
        <w:left w:val="none" w:sz="0" w:space="0" w:color="auto"/>
        <w:bottom w:val="none" w:sz="0" w:space="0" w:color="auto"/>
        <w:right w:val="none" w:sz="0" w:space="0" w:color="auto"/>
      </w:divBdr>
    </w:div>
    <w:div w:id="659507449">
      <w:bodyDiv w:val="1"/>
      <w:marLeft w:val="0"/>
      <w:marRight w:val="0"/>
      <w:marTop w:val="0"/>
      <w:marBottom w:val="0"/>
      <w:divBdr>
        <w:top w:val="none" w:sz="0" w:space="0" w:color="auto"/>
        <w:left w:val="none" w:sz="0" w:space="0" w:color="auto"/>
        <w:bottom w:val="none" w:sz="0" w:space="0" w:color="auto"/>
        <w:right w:val="none" w:sz="0" w:space="0" w:color="auto"/>
      </w:divBdr>
    </w:div>
    <w:div w:id="663626261">
      <w:bodyDiv w:val="1"/>
      <w:marLeft w:val="0"/>
      <w:marRight w:val="0"/>
      <w:marTop w:val="0"/>
      <w:marBottom w:val="0"/>
      <w:divBdr>
        <w:top w:val="none" w:sz="0" w:space="0" w:color="auto"/>
        <w:left w:val="none" w:sz="0" w:space="0" w:color="auto"/>
        <w:bottom w:val="none" w:sz="0" w:space="0" w:color="auto"/>
        <w:right w:val="none" w:sz="0" w:space="0" w:color="auto"/>
      </w:divBdr>
    </w:div>
    <w:div w:id="664403994">
      <w:bodyDiv w:val="1"/>
      <w:marLeft w:val="0"/>
      <w:marRight w:val="0"/>
      <w:marTop w:val="0"/>
      <w:marBottom w:val="0"/>
      <w:divBdr>
        <w:top w:val="none" w:sz="0" w:space="0" w:color="auto"/>
        <w:left w:val="none" w:sz="0" w:space="0" w:color="auto"/>
        <w:bottom w:val="none" w:sz="0" w:space="0" w:color="auto"/>
        <w:right w:val="none" w:sz="0" w:space="0" w:color="auto"/>
      </w:divBdr>
    </w:div>
    <w:div w:id="667944345">
      <w:bodyDiv w:val="1"/>
      <w:marLeft w:val="0"/>
      <w:marRight w:val="0"/>
      <w:marTop w:val="0"/>
      <w:marBottom w:val="0"/>
      <w:divBdr>
        <w:top w:val="none" w:sz="0" w:space="0" w:color="auto"/>
        <w:left w:val="none" w:sz="0" w:space="0" w:color="auto"/>
        <w:bottom w:val="none" w:sz="0" w:space="0" w:color="auto"/>
        <w:right w:val="none" w:sz="0" w:space="0" w:color="auto"/>
      </w:divBdr>
    </w:div>
    <w:div w:id="675961649">
      <w:bodyDiv w:val="1"/>
      <w:marLeft w:val="0"/>
      <w:marRight w:val="0"/>
      <w:marTop w:val="0"/>
      <w:marBottom w:val="0"/>
      <w:divBdr>
        <w:top w:val="none" w:sz="0" w:space="0" w:color="auto"/>
        <w:left w:val="none" w:sz="0" w:space="0" w:color="auto"/>
        <w:bottom w:val="none" w:sz="0" w:space="0" w:color="auto"/>
        <w:right w:val="none" w:sz="0" w:space="0" w:color="auto"/>
      </w:divBdr>
    </w:div>
    <w:div w:id="677390632">
      <w:bodyDiv w:val="1"/>
      <w:marLeft w:val="0"/>
      <w:marRight w:val="0"/>
      <w:marTop w:val="0"/>
      <w:marBottom w:val="0"/>
      <w:divBdr>
        <w:top w:val="none" w:sz="0" w:space="0" w:color="auto"/>
        <w:left w:val="none" w:sz="0" w:space="0" w:color="auto"/>
        <w:bottom w:val="none" w:sz="0" w:space="0" w:color="auto"/>
        <w:right w:val="none" w:sz="0" w:space="0" w:color="auto"/>
      </w:divBdr>
    </w:div>
    <w:div w:id="678894172">
      <w:bodyDiv w:val="1"/>
      <w:marLeft w:val="0"/>
      <w:marRight w:val="0"/>
      <w:marTop w:val="0"/>
      <w:marBottom w:val="0"/>
      <w:divBdr>
        <w:top w:val="none" w:sz="0" w:space="0" w:color="auto"/>
        <w:left w:val="none" w:sz="0" w:space="0" w:color="auto"/>
        <w:bottom w:val="none" w:sz="0" w:space="0" w:color="auto"/>
        <w:right w:val="none" w:sz="0" w:space="0" w:color="auto"/>
      </w:divBdr>
    </w:div>
    <w:div w:id="685062193">
      <w:bodyDiv w:val="1"/>
      <w:marLeft w:val="0"/>
      <w:marRight w:val="0"/>
      <w:marTop w:val="0"/>
      <w:marBottom w:val="0"/>
      <w:divBdr>
        <w:top w:val="none" w:sz="0" w:space="0" w:color="auto"/>
        <w:left w:val="none" w:sz="0" w:space="0" w:color="auto"/>
        <w:bottom w:val="none" w:sz="0" w:space="0" w:color="auto"/>
        <w:right w:val="none" w:sz="0" w:space="0" w:color="auto"/>
      </w:divBdr>
    </w:div>
    <w:div w:id="694431165">
      <w:bodyDiv w:val="1"/>
      <w:marLeft w:val="0"/>
      <w:marRight w:val="0"/>
      <w:marTop w:val="0"/>
      <w:marBottom w:val="0"/>
      <w:divBdr>
        <w:top w:val="none" w:sz="0" w:space="0" w:color="auto"/>
        <w:left w:val="none" w:sz="0" w:space="0" w:color="auto"/>
        <w:bottom w:val="none" w:sz="0" w:space="0" w:color="auto"/>
        <w:right w:val="none" w:sz="0" w:space="0" w:color="auto"/>
      </w:divBdr>
    </w:div>
    <w:div w:id="707684061">
      <w:bodyDiv w:val="1"/>
      <w:marLeft w:val="0"/>
      <w:marRight w:val="0"/>
      <w:marTop w:val="0"/>
      <w:marBottom w:val="0"/>
      <w:divBdr>
        <w:top w:val="none" w:sz="0" w:space="0" w:color="auto"/>
        <w:left w:val="none" w:sz="0" w:space="0" w:color="auto"/>
        <w:bottom w:val="none" w:sz="0" w:space="0" w:color="auto"/>
        <w:right w:val="none" w:sz="0" w:space="0" w:color="auto"/>
      </w:divBdr>
    </w:div>
    <w:div w:id="711227541">
      <w:bodyDiv w:val="1"/>
      <w:marLeft w:val="0"/>
      <w:marRight w:val="0"/>
      <w:marTop w:val="0"/>
      <w:marBottom w:val="0"/>
      <w:divBdr>
        <w:top w:val="none" w:sz="0" w:space="0" w:color="auto"/>
        <w:left w:val="none" w:sz="0" w:space="0" w:color="auto"/>
        <w:bottom w:val="none" w:sz="0" w:space="0" w:color="auto"/>
        <w:right w:val="none" w:sz="0" w:space="0" w:color="auto"/>
      </w:divBdr>
    </w:div>
    <w:div w:id="713895961">
      <w:bodyDiv w:val="1"/>
      <w:marLeft w:val="0"/>
      <w:marRight w:val="0"/>
      <w:marTop w:val="0"/>
      <w:marBottom w:val="0"/>
      <w:divBdr>
        <w:top w:val="none" w:sz="0" w:space="0" w:color="auto"/>
        <w:left w:val="none" w:sz="0" w:space="0" w:color="auto"/>
        <w:bottom w:val="none" w:sz="0" w:space="0" w:color="auto"/>
        <w:right w:val="none" w:sz="0" w:space="0" w:color="auto"/>
      </w:divBdr>
    </w:div>
    <w:div w:id="715353111">
      <w:bodyDiv w:val="1"/>
      <w:marLeft w:val="0"/>
      <w:marRight w:val="0"/>
      <w:marTop w:val="0"/>
      <w:marBottom w:val="0"/>
      <w:divBdr>
        <w:top w:val="none" w:sz="0" w:space="0" w:color="auto"/>
        <w:left w:val="none" w:sz="0" w:space="0" w:color="auto"/>
        <w:bottom w:val="none" w:sz="0" w:space="0" w:color="auto"/>
        <w:right w:val="none" w:sz="0" w:space="0" w:color="auto"/>
      </w:divBdr>
    </w:div>
    <w:div w:id="718675758">
      <w:bodyDiv w:val="1"/>
      <w:marLeft w:val="0"/>
      <w:marRight w:val="0"/>
      <w:marTop w:val="0"/>
      <w:marBottom w:val="0"/>
      <w:divBdr>
        <w:top w:val="none" w:sz="0" w:space="0" w:color="auto"/>
        <w:left w:val="none" w:sz="0" w:space="0" w:color="auto"/>
        <w:bottom w:val="none" w:sz="0" w:space="0" w:color="auto"/>
        <w:right w:val="none" w:sz="0" w:space="0" w:color="auto"/>
      </w:divBdr>
    </w:div>
    <w:div w:id="722797566">
      <w:bodyDiv w:val="1"/>
      <w:marLeft w:val="0"/>
      <w:marRight w:val="0"/>
      <w:marTop w:val="0"/>
      <w:marBottom w:val="0"/>
      <w:divBdr>
        <w:top w:val="none" w:sz="0" w:space="0" w:color="auto"/>
        <w:left w:val="none" w:sz="0" w:space="0" w:color="auto"/>
        <w:bottom w:val="none" w:sz="0" w:space="0" w:color="auto"/>
        <w:right w:val="none" w:sz="0" w:space="0" w:color="auto"/>
      </w:divBdr>
    </w:div>
    <w:div w:id="724380118">
      <w:bodyDiv w:val="1"/>
      <w:marLeft w:val="0"/>
      <w:marRight w:val="0"/>
      <w:marTop w:val="0"/>
      <w:marBottom w:val="0"/>
      <w:divBdr>
        <w:top w:val="none" w:sz="0" w:space="0" w:color="auto"/>
        <w:left w:val="none" w:sz="0" w:space="0" w:color="auto"/>
        <w:bottom w:val="none" w:sz="0" w:space="0" w:color="auto"/>
        <w:right w:val="none" w:sz="0" w:space="0" w:color="auto"/>
      </w:divBdr>
    </w:div>
    <w:div w:id="724908611">
      <w:bodyDiv w:val="1"/>
      <w:marLeft w:val="0"/>
      <w:marRight w:val="0"/>
      <w:marTop w:val="0"/>
      <w:marBottom w:val="0"/>
      <w:divBdr>
        <w:top w:val="none" w:sz="0" w:space="0" w:color="auto"/>
        <w:left w:val="none" w:sz="0" w:space="0" w:color="auto"/>
        <w:bottom w:val="none" w:sz="0" w:space="0" w:color="auto"/>
        <w:right w:val="none" w:sz="0" w:space="0" w:color="auto"/>
      </w:divBdr>
    </w:div>
    <w:div w:id="724909121">
      <w:bodyDiv w:val="1"/>
      <w:marLeft w:val="0"/>
      <w:marRight w:val="0"/>
      <w:marTop w:val="0"/>
      <w:marBottom w:val="0"/>
      <w:divBdr>
        <w:top w:val="none" w:sz="0" w:space="0" w:color="auto"/>
        <w:left w:val="none" w:sz="0" w:space="0" w:color="auto"/>
        <w:bottom w:val="none" w:sz="0" w:space="0" w:color="auto"/>
        <w:right w:val="none" w:sz="0" w:space="0" w:color="auto"/>
      </w:divBdr>
    </w:div>
    <w:div w:id="725184061">
      <w:bodyDiv w:val="1"/>
      <w:marLeft w:val="0"/>
      <w:marRight w:val="0"/>
      <w:marTop w:val="0"/>
      <w:marBottom w:val="0"/>
      <w:divBdr>
        <w:top w:val="none" w:sz="0" w:space="0" w:color="auto"/>
        <w:left w:val="none" w:sz="0" w:space="0" w:color="auto"/>
        <w:bottom w:val="none" w:sz="0" w:space="0" w:color="auto"/>
        <w:right w:val="none" w:sz="0" w:space="0" w:color="auto"/>
      </w:divBdr>
    </w:div>
    <w:div w:id="732192409">
      <w:bodyDiv w:val="1"/>
      <w:marLeft w:val="0"/>
      <w:marRight w:val="0"/>
      <w:marTop w:val="0"/>
      <w:marBottom w:val="0"/>
      <w:divBdr>
        <w:top w:val="none" w:sz="0" w:space="0" w:color="auto"/>
        <w:left w:val="none" w:sz="0" w:space="0" w:color="auto"/>
        <w:bottom w:val="none" w:sz="0" w:space="0" w:color="auto"/>
        <w:right w:val="none" w:sz="0" w:space="0" w:color="auto"/>
      </w:divBdr>
    </w:div>
    <w:div w:id="732390143">
      <w:bodyDiv w:val="1"/>
      <w:marLeft w:val="0"/>
      <w:marRight w:val="0"/>
      <w:marTop w:val="0"/>
      <w:marBottom w:val="0"/>
      <w:divBdr>
        <w:top w:val="none" w:sz="0" w:space="0" w:color="auto"/>
        <w:left w:val="none" w:sz="0" w:space="0" w:color="auto"/>
        <w:bottom w:val="none" w:sz="0" w:space="0" w:color="auto"/>
        <w:right w:val="none" w:sz="0" w:space="0" w:color="auto"/>
      </w:divBdr>
    </w:div>
    <w:div w:id="740753532">
      <w:bodyDiv w:val="1"/>
      <w:marLeft w:val="0"/>
      <w:marRight w:val="0"/>
      <w:marTop w:val="0"/>
      <w:marBottom w:val="0"/>
      <w:divBdr>
        <w:top w:val="none" w:sz="0" w:space="0" w:color="auto"/>
        <w:left w:val="none" w:sz="0" w:space="0" w:color="auto"/>
        <w:bottom w:val="none" w:sz="0" w:space="0" w:color="auto"/>
        <w:right w:val="none" w:sz="0" w:space="0" w:color="auto"/>
      </w:divBdr>
    </w:div>
    <w:div w:id="742261888">
      <w:bodyDiv w:val="1"/>
      <w:marLeft w:val="0"/>
      <w:marRight w:val="0"/>
      <w:marTop w:val="0"/>
      <w:marBottom w:val="0"/>
      <w:divBdr>
        <w:top w:val="none" w:sz="0" w:space="0" w:color="auto"/>
        <w:left w:val="none" w:sz="0" w:space="0" w:color="auto"/>
        <w:bottom w:val="none" w:sz="0" w:space="0" w:color="auto"/>
        <w:right w:val="none" w:sz="0" w:space="0" w:color="auto"/>
      </w:divBdr>
    </w:div>
    <w:div w:id="743337976">
      <w:bodyDiv w:val="1"/>
      <w:marLeft w:val="0"/>
      <w:marRight w:val="0"/>
      <w:marTop w:val="0"/>
      <w:marBottom w:val="0"/>
      <w:divBdr>
        <w:top w:val="none" w:sz="0" w:space="0" w:color="auto"/>
        <w:left w:val="none" w:sz="0" w:space="0" w:color="auto"/>
        <w:bottom w:val="none" w:sz="0" w:space="0" w:color="auto"/>
        <w:right w:val="none" w:sz="0" w:space="0" w:color="auto"/>
      </w:divBdr>
    </w:div>
    <w:div w:id="744882693">
      <w:bodyDiv w:val="1"/>
      <w:marLeft w:val="0"/>
      <w:marRight w:val="0"/>
      <w:marTop w:val="0"/>
      <w:marBottom w:val="0"/>
      <w:divBdr>
        <w:top w:val="none" w:sz="0" w:space="0" w:color="auto"/>
        <w:left w:val="none" w:sz="0" w:space="0" w:color="auto"/>
        <w:bottom w:val="none" w:sz="0" w:space="0" w:color="auto"/>
        <w:right w:val="none" w:sz="0" w:space="0" w:color="auto"/>
      </w:divBdr>
    </w:div>
    <w:div w:id="750664857">
      <w:bodyDiv w:val="1"/>
      <w:marLeft w:val="0"/>
      <w:marRight w:val="0"/>
      <w:marTop w:val="0"/>
      <w:marBottom w:val="0"/>
      <w:divBdr>
        <w:top w:val="none" w:sz="0" w:space="0" w:color="auto"/>
        <w:left w:val="none" w:sz="0" w:space="0" w:color="auto"/>
        <w:bottom w:val="none" w:sz="0" w:space="0" w:color="auto"/>
        <w:right w:val="none" w:sz="0" w:space="0" w:color="auto"/>
      </w:divBdr>
    </w:div>
    <w:div w:id="753821688">
      <w:bodyDiv w:val="1"/>
      <w:marLeft w:val="0"/>
      <w:marRight w:val="0"/>
      <w:marTop w:val="0"/>
      <w:marBottom w:val="0"/>
      <w:divBdr>
        <w:top w:val="none" w:sz="0" w:space="0" w:color="auto"/>
        <w:left w:val="none" w:sz="0" w:space="0" w:color="auto"/>
        <w:bottom w:val="none" w:sz="0" w:space="0" w:color="auto"/>
        <w:right w:val="none" w:sz="0" w:space="0" w:color="auto"/>
      </w:divBdr>
    </w:div>
    <w:div w:id="755783229">
      <w:bodyDiv w:val="1"/>
      <w:marLeft w:val="0"/>
      <w:marRight w:val="0"/>
      <w:marTop w:val="0"/>
      <w:marBottom w:val="0"/>
      <w:divBdr>
        <w:top w:val="none" w:sz="0" w:space="0" w:color="auto"/>
        <w:left w:val="none" w:sz="0" w:space="0" w:color="auto"/>
        <w:bottom w:val="none" w:sz="0" w:space="0" w:color="auto"/>
        <w:right w:val="none" w:sz="0" w:space="0" w:color="auto"/>
      </w:divBdr>
    </w:div>
    <w:div w:id="756170276">
      <w:bodyDiv w:val="1"/>
      <w:marLeft w:val="0"/>
      <w:marRight w:val="0"/>
      <w:marTop w:val="0"/>
      <w:marBottom w:val="0"/>
      <w:divBdr>
        <w:top w:val="none" w:sz="0" w:space="0" w:color="auto"/>
        <w:left w:val="none" w:sz="0" w:space="0" w:color="auto"/>
        <w:bottom w:val="none" w:sz="0" w:space="0" w:color="auto"/>
        <w:right w:val="none" w:sz="0" w:space="0" w:color="auto"/>
      </w:divBdr>
    </w:div>
    <w:div w:id="757749332">
      <w:bodyDiv w:val="1"/>
      <w:marLeft w:val="0"/>
      <w:marRight w:val="0"/>
      <w:marTop w:val="0"/>
      <w:marBottom w:val="0"/>
      <w:divBdr>
        <w:top w:val="none" w:sz="0" w:space="0" w:color="auto"/>
        <w:left w:val="none" w:sz="0" w:space="0" w:color="auto"/>
        <w:bottom w:val="none" w:sz="0" w:space="0" w:color="auto"/>
        <w:right w:val="none" w:sz="0" w:space="0" w:color="auto"/>
      </w:divBdr>
    </w:div>
    <w:div w:id="758251862">
      <w:bodyDiv w:val="1"/>
      <w:marLeft w:val="0"/>
      <w:marRight w:val="0"/>
      <w:marTop w:val="0"/>
      <w:marBottom w:val="0"/>
      <w:divBdr>
        <w:top w:val="none" w:sz="0" w:space="0" w:color="auto"/>
        <w:left w:val="none" w:sz="0" w:space="0" w:color="auto"/>
        <w:bottom w:val="none" w:sz="0" w:space="0" w:color="auto"/>
        <w:right w:val="none" w:sz="0" w:space="0" w:color="auto"/>
      </w:divBdr>
    </w:div>
    <w:div w:id="758450270">
      <w:bodyDiv w:val="1"/>
      <w:marLeft w:val="0"/>
      <w:marRight w:val="0"/>
      <w:marTop w:val="0"/>
      <w:marBottom w:val="0"/>
      <w:divBdr>
        <w:top w:val="none" w:sz="0" w:space="0" w:color="auto"/>
        <w:left w:val="none" w:sz="0" w:space="0" w:color="auto"/>
        <w:bottom w:val="none" w:sz="0" w:space="0" w:color="auto"/>
        <w:right w:val="none" w:sz="0" w:space="0" w:color="auto"/>
      </w:divBdr>
    </w:div>
    <w:div w:id="762386101">
      <w:bodyDiv w:val="1"/>
      <w:marLeft w:val="0"/>
      <w:marRight w:val="0"/>
      <w:marTop w:val="0"/>
      <w:marBottom w:val="0"/>
      <w:divBdr>
        <w:top w:val="none" w:sz="0" w:space="0" w:color="auto"/>
        <w:left w:val="none" w:sz="0" w:space="0" w:color="auto"/>
        <w:bottom w:val="none" w:sz="0" w:space="0" w:color="auto"/>
        <w:right w:val="none" w:sz="0" w:space="0" w:color="auto"/>
      </w:divBdr>
    </w:div>
    <w:div w:id="764613942">
      <w:bodyDiv w:val="1"/>
      <w:marLeft w:val="0"/>
      <w:marRight w:val="0"/>
      <w:marTop w:val="0"/>
      <w:marBottom w:val="0"/>
      <w:divBdr>
        <w:top w:val="none" w:sz="0" w:space="0" w:color="auto"/>
        <w:left w:val="none" w:sz="0" w:space="0" w:color="auto"/>
        <w:bottom w:val="none" w:sz="0" w:space="0" w:color="auto"/>
        <w:right w:val="none" w:sz="0" w:space="0" w:color="auto"/>
      </w:divBdr>
    </w:div>
    <w:div w:id="766121273">
      <w:bodyDiv w:val="1"/>
      <w:marLeft w:val="0"/>
      <w:marRight w:val="0"/>
      <w:marTop w:val="0"/>
      <w:marBottom w:val="0"/>
      <w:divBdr>
        <w:top w:val="none" w:sz="0" w:space="0" w:color="auto"/>
        <w:left w:val="none" w:sz="0" w:space="0" w:color="auto"/>
        <w:bottom w:val="none" w:sz="0" w:space="0" w:color="auto"/>
        <w:right w:val="none" w:sz="0" w:space="0" w:color="auto"/>
      </w:divBdr>
    </w:div>
    <w:div w:id="770509703">
      <w:bodyDiv w:val="1"/>
      <w:marLeft w:val="0"/>
      <w:marRight w:val="0"/>
      <w:marTop w:val="0"/>
      <w:marBottom w:val="0"/>
      <w:divBdr>
        <w:top w:val="none" w:sz="0" w:space="0" w:color="auto"/>
        <w:left w:val="none" w:sz="0" w:space="0" w:color="auto"/>
        <w:bottom w:val="none" w:sz="0" w:space="0" w:color="auto"/>
        <w:right w:val="none" w:sz="0" w:space="0" w:color="auto"/>
      </w:divBdr>
    </w:div>
    <w:div w:id="774060385">
      <w:bodyDiv w:val="1"/>
      <w:marLeft w:val="0"/>
      <w:marRight w:val="0"/>
      <w:marTop w:val="0"/>
      <w:marBottom w:val="0"/>
      <w:divBdr>
        <w:top w:val="none" w:sz="0" w:space="0" w:color="auto"/>
        <w:left w:val="none" w:sz="0" w:space="0" w:color="auto"/>
        <w:bottom w:val="none" w:sz="0" w:space="0" w:color="auto"/>
        <w:right w:val="none" w:sz="0" w:space="0" w:color="auto"/>
      </w:divBdr>
    </w:div>
    <w:div w:id="774518275">
      <w:bodyDiv w:val="1"/>
      <w:marLeft w:val="0"/>
      <w:marRight w:val="0"/>
      <w:marTop w:val="0"/>
      <w:marBottom w:val="0"/>
      <w:divBdr>
        <w:top w:val="none" w:sz="0" w:space="0" w:color="auto"/>
        <w:left w:val="none" w:sz="0" w:space="0" w:color="auto"/>
        <w:bottom w:val="none" w:sz="0" w:space="0" w:color="auto"/>
        <w:right w:val="none" w:sz="0" w:space="0" w:color="auto"/>
      </w:divBdr>
    </w:div>
    <w:div w:id="774861445">
      <w:bodyDiv w:val="1"/>
      <w:marLeft w:val="0"/>
      <w:marRight w:val="0"/>
      <w:marTop w:val="0"/>
      <w:marBottom w:val="0"/>
      <w:divBdr>
        <w:top w:val="none" w:sz="0" w:space="0" w:color="auto"/>
        <w:left w:val="none" w:sz="0" w:space="0" w:color="auto"/>
        <w:bottom w:val="none" w:sz="0" w:space="0" w:color="auto"/>
        <w:right w:val="none" w:sz="0" w:space="0" w:color="auto"/>
      </w:divBdr>
    </w:div>
    <w:div w:id="775716073">
      <w:bodyDiv w:val="1"/>
      <w:marLeft w:val="0"/>
      <w:marRight w:val="0"/>
      <w:marTop w:val="0"/>
      <w:marBottom w:val="0"/>
      <w:divBdr>
        <w:top w:val="none" w:sz="0" w:space="0" w:color="auto"/>
        <w:left w:val="none" w:sz="0" w:space="0" w:color="auto"/>
        <w:bottom w:val="none" w:sz="0" w:space="0" w:color="auto"/>
        <w:right w:val="none" w:sz="0" w:space="0" w:color="auto"/>
      </w:divBdr>
    </w:div>
    <w:div w:id="784271742">
      <w:bodyDiv w:val="1"/>
      <w:marLeft w:val="0"/>
      <w:marRight w:val="0"/>
      <w:marTop w:val="0"/>
      <w:marBottom w:val="0"/>
      <w:divBdr>
        <w:top w:val="none" w:sz="0" w:space="0" w:color="auto"/>
        <w:left w:val="none" w:sz="0" w:space="0" w:color="auto"/>
        <w:bottom w:val="none" w:sz="0" w:space="0" w:color="auto"/>
        <w:right w:val="none" w:sz="0" w:space="0" w:color="auto"/>
      </w:divBdr>
    </w:div>
    <w:div w:id="785588809">
      <w:bodyDiv w:val="1"/>
      <w:marLeft w:val="0"/>
      <w:marRight w:val="0"/>
      <w:marTop w:val="0"/>
      <w:marBottom w:val="0"/>
      <w:divBdr>
        <w:top w:val="none" w:sz="0" w:space="0" w:color="auto"/>
        <w:left w:val="none" w:sz="0" w:space="0" w:color="auto"/>
        <w:bottom w:val="none" w:sz="0" w:space="0" w:color="auto"/>
        <w:right w:val="none" w:sz="0" w:space="0" w:color="auto"/>
      </w:divBdr>
    </w:div>
    <w:div w:id="786656727">
      <w:bodyDiv w:val="1"/>
      <w:marLeft w:val="0"/>
      <w:marRight w:val="0"/>
      <w:marTop w:val="0"/>
      <w:marBottom w:val="0"/>
      <w:divBdr>
        <w:top w:val="none" w:sz="0" w:space="0" w:color="auto"/>
        <w:left w:val="none" w:sz="0" w:space="0" w:color="auto"/>
        <w:bottom w:val="none" w:sz="0" w:space="0" w:color="auto"/>
        <w:right w:val="none" w:sz="0" w:space="0" w:color="auto"/>
      </w:divBdr>
    </w:div>
    <w:div w:id="792790914">
      <w:bodyDiv w:val="1"/>
      <w:marLeft w:val="0"/>
      <w:marRight w:val="0"/>
      <w:marTop w:val="0"/>
      <w:marBottom w:val="0"/>
      <w:divBdr>
        <w:top w:val="none" w:sz="0" w:space="0" w:color="auto"/>
        <w:left w:val="none" w:sz="0" w:space="0" w:color="auto"/>
        <w:bottom w:val="none" w:sz="0" w:space="0" w:color="auto"/>
        <w:right w:val="none" w:sz="0" w:space="0" w:color="auto"/>
      </w:divBdr>
    </w:div>
    <w:div w:id="793135394">
      <w:bodyDiv w:val="1"/>
      <w:marLeft w:val="0"/>
      <w:marRight w:val="0"/>
      <w:marTop w:val="0"/>
      <w:marBottom w:val="0"/>
      <w:divBdr>
        <w:top w:val="none" w:sz="0" w:space="0" w:color="auto"/>
        <w:left w:val="none" w:sz="0" w:space="0" w:color="auto"/>
        <w:bottom w:val="none" w:sz="0" w:space="0" w:color="auto"/>
        <w:right w:val="none" w:sz="0" w:space="0" w:color="auto"/>
      </w:divBdr>
    </w:div>
    <w:div w:id="794252360">
      <w:bodyDiv w:val="1"/>
      <w:marLeft w:val="0"/>
      <w:marRight w:val="0"/>
      <w:marTop w:val="0"/>
      <w:marBottom w:val="0"/>
      <w:divBdr>
        <w:top w:val="none" w:sz="0" w:space="0" w:color="auto"/>
        <w:left w:val="none" w:sz="0" w:space="0" w:color="auto"/>
        <w:bottom w:val="none" w:sz="0" w:space="0" w:color="auto"/>
        <w:right w:val="none" w:sz="0" w:space="0" w:color="auto"/>
      </w:divBdr>
    </w:div>
    <w:div w:id="804199153">
      <w:bodyDiv w:val="1"/>
      <w:marLeft w:val="0"/>
      <w:marRight w:val="0"/>
      <w:marTop w:val="0"/>
      <w:marBottom w:val="0"/>
      <w:divBdr>
        <w:top w:val="none" w:sz="0" w:space="0" w:color="auto"/>
        <w:left w:val="none" w:sz="0" w:space="0" w:color="auto"/>
        <w:bottom w:val="none" w:sz="0" w:space="0" w:color="auto"/>
        <w:right w:val="none" w:sz="0" w:space="0" w:color="auto"/>
      </w:divBdr>
    </w:div>
    <w:div w:id="804930372">
      <w:bodyDiv w:val="1"/>
      <w:marLeft w:val="0"/>
      <w:marRight w:val="0"/>
      <w:marTop w:val="0"/>
      <w:marBottom w:val="0"/>
      <w:divBdr>
        <w:top w:val="none" w:sz="0" w:space="0" w:color="auto"/>
        <w:left w:val="none" w:sz="0" w:space="0" w:color="auto"/>
        <w:bottom w:val="none" w:sz="0" w:space="0" w:color="auto"/>
        <w:right w:val="none" w:sz="0" w:space="0" w:color="auto"/>
      </w:divBdr>
    </w:div>
    <w:div w:id="811941415">
      <w:bodyDiv w:val="1"/>
      <w:marLeft w:val="0"/>
      <w:marRight w:val="0"/>
      <w:marTop w:val="0"/>
      <w:marBottom w:val="0"/>
      <w:divBdr>
        <w:top w:val="none" w:sz="0" w:space="0" w:color="auto"/>
        <w:left w:val="none" w:sz="0" w:space="0" w:color="auto"/>
        <w:bottom w:val="none" w:sz="0" w:space="0" w:color="auto"/>
        <w:right w:val="none" w:sz="0" w:space="0" w:color="auto"/>
      </w:divBdr>
    </w:div>
    <w:div w:id="815684547">
      <w:bodyDiv w:val="1"/>
      <w:marLeft w:val="0"/>
      <w:marRight w:val="0"/>
      <w:marTop w:val="0"/>
      <w:marBottom w:val="0"/>
      <w:divBdr>
        <w:top w:val="none" w:sz="0" w:space="0" w:color="auto"/>
        <w:left w:val="none" w:sz="0" w:space="0" w:color="auto"/>
        <w:bottom w:val="none" w:sz="0" w:space="0" w:color="auto"/>
        <w:right w:val="none" w:sz="0" w:space="0" w:color="auto"/>
      </w:divBdr>
    </w:div>
    <w:div w:id="817304069">
      <w:bodyDiv w:val="1"/>
      <w:marLeft w:val="0"/>
      <w:marRight w:val="0"/>
      <w:marTop w:val="0"/>
      <w:marBottom w:val="0"/>
      <w:divBdr>
        <w:top w:val="none" w:sz="0" w:space="0" w:color="auto"/>
        <w:left w:val="none" w:sz="0" w:space="0" w:color="auto"/>
        <w:bottom w:val="none" w:sz="0" w:space="0" w:color="auto"/>
        <w:right w:val="none" w:sz="0" w:space="0" w:color="auto"/>
      </w:divBdr>
    </w:div>
    <w:div w:id="836961893">
      <w:bodyDiv w:val="1"/>
      <w:marLeft w:val="0"/>
      <w:marRight w:val="0"/>
      <w:marTop w:val="0"/>
      <w:marBottom w:val="0"/>
      <w:divBdr>
        <w:top w:val="none" w:sz="0" w:space="0" w:color="auto"/>
        <w:left w:val="none" w:sz="0" w:space="0" w:color="auto"/>
        <w:bottom w:val="none" w:sz="0" w:space="0" w:color="auto"/>
        <w:right w:val="none" w:sz="0" w:space="0" w:color="auto"/>
      </w:divBdr>
    </w:div>
    <w:div w:id="840579830">
      <w:bodyDiv w:val="1"/>
      <w:marLeft w:val="0"/>
      <w:marRight w:val="0"/>
      <w:marTop w:val="0"/>
      <w:marBottom w:val="0"/>
      <w:divBdr>
        <w:top w:val="none" w:sz="0" w:space="0" w:color="auto"/>
        <w:left w:val="none" w:sz="0" w:space="0" w:color="auto"/>
        <w:bottom w:val="none" w:sz="0" w:space="0" w:color="auto"/>
        <w:right w:val="none" w:sz="0" w:space="0" w:color="auto"/>
      </w:divBdr>
    </w:div>
    <w:div w:id="848253463">
      <w:bodyDiv w:val="1"/>
      <w:marLeft w:val="0"/>
      <w:marRight w:val="0"/>
      <w:marTop w:val="0"/>
      <w:marBottom w:val="0"/>
      <w:divBdr>
        <w:top w:val="none" w:sz="0" w:space="0" w:color="auto"/>
        <w:left w:val="none" w:sz="0" w:space="0" w:color="auto"/>
        <w:bottom w:val="none" w:sz="0" w:space="0" w:color="auto"/>
        <w:right w:val="none" w:sz="0" w:space="0" w:color="auto"/>
      </w:divBdr>
    </w:div>
    <w:div w:id="858853916">
      <w:bodyDiv w:val="1"/>
      <w:marLeft w:val="0"/>
      <w:marRight w:val="0"/>
      <w:marTop w:val="0"/>
      <w:marBottom w:val="0"/>
      <w:divBdr>
        <w:top w:val="none" w:sz="0" w:space="0" w:color="auto"/>
        <w:left w:val="none" w:sz="0" w:space="0" w:color="auto"/>
        <w:bottom w:val="none" w:sz="0" w:space="0" w:color="auto"/>
        <w:right w:val="none" w:sz="0" w:space="0" w:color="auto"/>
      </w:divBdr>
    </w:div>
    <w:div w:id="868882318">
      <w:bodyDiv w:val="1"/>
      <w:marLeft w:val="0"/>
      <w:marRight w:val="0"/>
      <w:marTop w:val="0"/>
      <w:marBottom w:val="0"/>
      <w:divBdr>
        <w:top w:val="none" w:sz="0" w:space="0" w:color="auto"/>
        <w:left w:val="none" w:sz="0" w:space="0" w:color="auto"/>
        <w:bottom w:val="none" w:sz="0" w:space="0" w:color="auto"/>
        <w:right w:val="none" w:sz="0" w:space="0" w:color="auto"/>
      </w:divBdr>
    </w:div>
    <w:div w:id="869948924">
      <w:bodyDiv w:val="1"/>
      <w:marLeft w:val="0"/>
      <w:marRight w:val="0"/>
      <w:marTop w:val="0"/>
      <w:marBottom w:val="0"/>
      <w:divBdr>
        <w:top w:val="none" w:sz="0" w:space="0" w:color="auto"/>
        <w:left w:val="none" w:sz="0" w:space="0" w:color="auto"/>
        <w:bottom w:val="none" w:sz="0" w:space="0" w:color="auto"/>
        <w:right w:val="none" w:sz="0" w:space="0" w:color="auto"/>
      </w:divBdr>
    </w:div>
    <w:div w:id="876047444">
      <w:bodyDiv w:val="1"/>
      <w:marLeft w:val="0"/>
      <w:marRight w:val="0"/>
      <w:marTop w:val="0"/>
      <w:marBottom w:val="0"/>
      <w:divBdr>
        <w:top w:val="none" w:sz="0" w:space="0" w:color="auto"/>
        <w:left w:val="none" w:sz="0" w:space="0" w:color="auto"/>
        <w:bottom w:val="none" w:sz="0" w:space="0" w:color="auto"/>
        <w:right w:val="none" w:sz="0" w:space="0" w:color="auto"/>
      </w:divBdr>
    </w:div>
    <w:div w:id="878476681">
      <w:bodyDiv w:val="1"/>
      <w:marLeft w:val="0"/>
      <w:marRight w:val="0"/>
      <w:marTop w:val="0"/>
      <w:marBottom w:val="0"/>
      <w:divBdr>
        <w:top w:val="none" w:sz="0" w:space="0" w:color="auto"/>
        <w:left w:val="none" w:sz="0" w:space="0" w:color="auto"/>
        <w:bottom w:val="none" w:sz="0" w:space="0" w:color="auto"/>
        <w:right w:val="none" w:sz="0" w:space="0" w:color="auto"/>
      </w:divBdr>
    </w:div>
    <w:div w:id="880246263">
      <w:bodyDiv w:val="1"/>
      <w:marLeft w:val="0"/>
      <w:marRight w:val="0"/>
      <w:marTop w:val="0"/>
      <w:marBottom w:val="0"/>
      <w:divBdr>
        <w:top w:val="none" w:sz="0" w:space="0" w:color="auto"/>
        <w:left w:val="none" w:sz="0" w:space="0" w:color="auto"/>
        <w:bottom w:val="none" w:sz="0" w:space="0" w:color="auto"/>
        <w:right w:val="none" w:sz="0" w:space="0" w:color="auto"/>
      </w:divBdr>
    </w:div>
    <w:div w:id="886113863">
      <w:bodyDiv w:val="1"/>
      <w:marLeft w:val="0"/>
      <w:marRight w:val="0"/>
      <w:marTop w:val="0"/>
      <w:marBottom w:val="0"/>
      <w:divBdr>
        <w:top w:val="none" w:sz="0" w:space="0" w:color="auto"/>
        <w:left w:val="none" w:sz="0" w:space="0" w:color="auto"/>
        <w:bottom w:val="none" w:sz="0" w:space="0" w:color="auto"/>
        <w:right w:val="none" w:sz="0" w:space="0" w:color="auto"/>
      </w:divBdr>
    </w:div>
    <w:div w:id="894311728">
      <w:bodyDiv w:val="1"/>
      <w:marLeft w:val="0"/>
      <w:marRight w:val="0"/>
      <w:marTop w:val="0"/>
      <w:marBottom w:val="0"/>
      <w:divBdr>
        <w:top w:val="none" w:sz="0" w:space="0" w:color="auto"/>
        <w:left w:val="none" w:sz="0" w:space="0" w:color="auto"/>
        <w:bottom w:val="none" w:sz="0" w:space="0" w:color="auto"/>
        <w:right w:val="none" w:sz="0" w:space="0" w:color="auto"/>
      </w:divBdr>
    </w:div>
    <w:div w:id="906695992">
      <w:bodyDiv w:val="1"/>
      <w:marLeft w:val="0"/>
      <w:marRight w:val="0"/>
      <w:marTop w:val="0"/>
      <w:marBottom w:val="0"/>
      <w:divBdr>
        <w:top w:val="none" w:sz="0" w:space="0" w:color="auto"/>
        <w:left w:val="none" w:sz="0" w:space="0" w:color="auto"/>
        <w:bottom w:val="none" w:sz="0" w:space="0" w:color="auto"/>
        <w:right w:val="none" w:sz="0" w:space="0" w:color="auto"/>
      </w:divBdr>
    </w:div>
    <w:div w:id="912742407">
      <w:bodyDiv w:val="1"/>
      <w:marLeft w:val="0"/>
      <w:marRight w:val="0"/>
      <w:marTop w:val="0"/>
      <w:marBottom w:val="0"/>
      <w:divBdr>
        <w:top w:val="none" w:sz="0" w:space="0" w:color="auto"/>
        <w:left w:val="none" w:sz="0" w:space="0" w:color="auto"/>
        <w:bottom w:val="none" w:sz="0" w:space="0" w:color="auto"/>
        <w:right w:val="none" w:sz="0" w:space="0" w:color="auto"/>
      </w:divBdr>
    </w:div>
    <w:div w:id="916287005">
      <w:bodyDiv w:val="1"/>
      <w:marLeft w:val="0"/>
      <w:marRight w:val="0"/>
      <w:marTop w:val="0"/>
      <w:marBottom w:val="0"/>
      <w:divBdr>
        <w:top w:val="none" w:sz="0" w:space="0" w:color="auto"/>
        <w:left w:val="none" w:sz="0" w:space="0" w:color="auto"/>
        <w:bottom w:val="none" w:sz="0" w:space="0" w:color="auto"/>
        <w:right w:val="none" w:sz="0" w:space="0" w:color="auto"/>
      </w:divBdr>
    </w:div>
    <w:div w:id="925531948">
      <w:bodyDiv w:val="1"/>
      <w:marLeft w:val="0"/>
      <w:marRight w:val="0"/>
      <w:marTop w:val="0"/>
      <w:marBottom w:val="0"/>
      <w:divBdr>
        <w:top w:val="none" w:sz="0" w:space="0" w:color="auto"/>
        <w:left w:val="none" w:sz="0" w:space="0" w:color="auto"/>
        <w:bottom w:val="none" w:sz="0" w:space="0" w:color="auto"/>
        <w:right w:val="none" w:sz="0" w:space="0" w:color="auto"/>
      </w:divBdr>
    </w:div>
    <w:div w:id="934482818">
      <w:bodyDiv w:val="1"/>
      <w:marLeft w:val="0"/>
      <w:marRight w:val="0"/>
      <w:marTop w:val="0"/>
      <w:marBottom w:val="0"/>
      <w:divBdr>
        <w:top w:val="none" w:sz="0" w:space="0" w:color="auto"/>
        <w:left w:val="none" w:sz="0" w:space="0" w:color="auto"/>
        <w:bottom w:val="none" w:sz="0" w:space="0" w:color="auto"/>
        <w:right w:val="none" w:sz="0" w:space="0" w:color="auto"/>
      </w:divBdr>
    </w:div>
    <w:div w:id="939919740">
      <w:bodyDiv w:val="1"/>
      <w:marLeft w:val="0"/>
      <w:marRight w:val="0"/>
      <w:marTop w:val="0"/>
      <w:marBottom w:val="0"/>
      <w:divBdr>
        <w:top w:val="none" w:sz="0" w:space="0" w:color="auto"/>
        <w:left w:val="none" w:sz="0" w:space="0" w:color="auto"/>
        <w:bottom w:val="none" w:sz="0" w:space="0" w:color="auto"/>
        <w:right w:val="none" w:sz="0" w:space="0" w:color="auto"/>
      </w:divBdr>
    </w:div>
    <w:div w:id="940726455">
      <w:bodyDiv w:val="1"/>
      <w:marLeft w:val="0"/>
      <w:marRight w:val="0"/>
      <w:marTop w:val="0"/>
      <w:marBottom w:val="0"/>
      <w:divBdr>
        <w:top w:val="none" w:sz="0" w:space="0" w:color="auto"/>
        <w:left w:val="none" w:sz="0" w:space="0" w:color="auto"/>
        <w:bottom w:val="none" w:sz="0" w:space="0" w:color="auto"/>
        <w:right w:val="none" w:sz="0" w:space="0" w:color="auto"/>
      </w:divBdr>
    </w:div>
    <w:div w:id="943225908">
      <w:bodyDiv w:val="1"/>
      <w:marLeft w:val="0"/>
      <w:marRight w:val="0"/>
      <w:marTop w:val="0"/>
      <w:marBottom w:val="0"/>
      <w:divBdr>
        <w:top w:val="none" w:sz="0" w:space="0" w:color="auto"/>
        <w:left w:val="none" w:sz="0" w:space="0" w:color="auto"/>
        <w:bottom w:val="none" w:sz="0" w:space="0" w:color="auto"/>
        <w:right w:val="none" w:sz="0" w:space="0" w:color="auto"/>
      </w:divBdr>
    </w:div>
    <w:div w:id="947585968">
      <w:bodyDiv w:val="1"/>
      <w:marLeft w:val="0"/>
      <w:marRight w:val="0"/>
      <w:marTop w:val="0"/>
      <w:marBottom w:val="0"/>
      <w:divBdr>
        <w:top w:val="none" w:sz="0" w:space="0" w:color="auto"/>
        <w:left w:val="none" w:sz="0" w:space="0" w:color="auto"/>
        <w:bottom w:val="none" w:sz="0" w:space="0" w:color="auto"/>
        <w:right w:val="none" w:sz="0" w:space="0" w:color="auto"/>
      </w:divBdr>
    </w:div>
    <w:div w:id="964577894">
      <w:bodyDiv w:val="1"/>
      <w:marLeft w:val="0"/>
      <w:marRight w:val="0"/>
      <w:marTop w:val="0"/>
      <w:marBottom w:val="0"/>
      <w:divBdr>
        <w:top w:val="none" w:sz="0" w:space="0" w:color="auto"/>
        <w:left w:val="none" w:sz="0" w:space="0" w:color="auto"/>
        <w:bottom w:val="none" w:sz="0" w:space="0" w:color="auto"/>
        <w:right w:val="none" w:sz="0" w:space="0" w:color="auto"/>
      </w:divBdr>
    </w:div>
    <w:div w:id="968820206">
      <w:bodyDiv w:val="1"/>
      <w:marLeft w:val="0"/>
      <w:marRight w:val="0"/>
      <w:marTop w:val="0"/>
      <w:marBottom w:val="0"/>
      <w:divBdr>
        <w:top w:val="none" w:sz="0" w:space="0" w:color="auto"/>
        <w:left w:val="none" w:sz="0" w:space="0" w:color="auto"/>
        <w:bottom w:val="none" w:sz="0" w:space="0" w:color="auto"/>
        <w:right w:val="none" w:sz="0" w:space="0" w:color="auto"/>
      </w:divBdr>
    </w:div>
    <w:div w:id="969047363">
      <w:bodyDiv w:val="1"/>
      <w:marLeft w:val="0"/>
      <w:marRight w:val="0"/>
      <w:marTop w:val="0"/>
      <w:marBottom w:val="0"/>
      <w:divBdr>
        <w:top w:val="none" w:sz="0" w:space="0" w:color="auto"/>
        <w:left w:val="none" w:sz="0" w:space="0" w:color="auto"/>
        <w:bottom w:val="none" w:sz="0" w:space="0" w:color="auto"/>
        <w:right w:val="none" w:sz="0" w:space="0" w:color="auto"/>
      </w:divBdr>
    </w:div>
    <w:div w:id="969868825">
      <w:bodyDiv w:val="1"/>
      <w:marLeft w:val="0"/>
      <w:marRight w:val="0"/>
      <w:marTop w:val="0"/>
      <w:marBottom w:val="0"/>
      <w:divBdr>
        <w:top w:val="none" w:sz="0" w:space="0" w:color="auto"/>
        <w:left w:val="none" w:sz="0" w:space="0" w:color="auto"/>
        <w:bottom w:val="none" w:sz="0" w:space="0" w:color="auto"/>
        <w:right w:val="none" w:sz="0" w:space="0" w:color="auto"/>
      </w:divBdr>
    </w:div>
    <w:div w:id="971862579">
      <w:bodyDiv w:val="1"/>
      <w:marLeft w:val="0"/>
      <w:marRight w:val="0"/>
      <w:marTop w:val="0"/>
      <w:marBottom w:val="0"/>
      <w:divBdr>
        <w:top w:val="none" w:sz="0" w:space="0" w:color="auto"/>
        <w:left w:val="none" w:sz="0" w:space="0" w:color="auto"/>
        <w:bottom w:val="none" w:sz="0" w:space="0" w:color="auto"/>
        <w:right w:val="none" w:sz="0" w:space="0" w:color="auto"/>
      </w:divBdr>
    </w:div>
    <w:div w:id="977027241">
      <w:bodyDiv w:val="1"/>
      <w:marLeft w:val="0"/>
      <w:marRight w:val="0"/>
      <w:marTop w:val="0"/>
      <w:marBottom w:val="0"/>
      <w:divBdr>
        <w:top w:val="none" w:sz="0" w:space="0" w:color="auto"/>
        <w:left w:val="none" w:sz="0" w:space="0" w:color="auto"/>
        <w:bottom w:val="none" w:sz="0" w:space="0" w:color="auto"/>
        <w:right w:val="none" w:sz="0" w:space="0" w:color="auto"/>
      </w:divBdr>
    </w:div>
    <w:div w:id="980963043">
      <w:bodyDiv w:val="1"/>
      <w:marLeft w:val="0"/>
      <w:marRight w:val="0"/>
      <w:marTop w:val="0"/>
      <w:marBottom w:val="0"/>
      <w:divBdr>
        <w:top w:val="none" w:sz="0" w:space="0" w:color="auto"/>
        <w:left w:val="none" w:sz="0" w:space="0" w:color="auto"/>
        <w:bottom w:val="none" w:sz="0" w:space="0" w:color="auto"/>
        <w:right w:val="none" w:sz="0" w:space="0" w:color="auto"/>
      </w:divBdr>
    </w:div>
    <w:div w:id="982848716">
      <w:bodyDiv w:val="1"/>
      <w:marLeft w:val="0"/>
      <w:marRight w:val="0"/>
      <w:marTop w:val="0"/>
      <w:marBottom w:val="0"/>
      <w:divBdr>
        <w:top w:val="none" w:sz="0" w:space="0" w:color="auto"/>
        <w:left w:val="none" w:sz="0" w:space="0" w:color="auto"/>
        <w:bottom w:val="none" w:sz="0" w:space="0" w:color="auto"/>
        <w:right w:val="none" w:sz="0" w:space="0" w:color="auto"/>
      </w:divBdr>
    </w:div>
    <w:div w:id="983314761">
      <w:bodyDiv w:val="1"/>
      <w:marLeft w:val="0"/>
      <w:marRight w:val="0"/>
      <w:marTop w:val="0"/>
      <w:marBottom w:val="0"/>
      <w:divBdr>
        <w:top w:val="none" w:sz="0" w:space="0" w:color="auto"/>
        <w:left w:val="none" w:sz="0" w:space="0" w:color="auto"/>
        <w:bottom w:val="none" w:sz="0" w:space="0" w:color="auto"/>
        <w:right w:val="none" w:sz="0" w:space="0" w:color="auto"/>
      </w:divBdr>
    </w:div>
    <w:div w:id="990183654">
      <w:bodyDiv w:val="1"/>
      <w:marLeft w:val="0"/>
      <w:marRight w:val="0"/>
      <w:marTop w:val="0"/>
      <w:marBottom w:val="0"/>
      <w:divBdr>
        <w:top w:val="none" w:sz="0" w:space="0" w:color="auto"/>
        <w:left w:val="none" w:sz="0" w:space="0" w:color="auto"/>
        <w:bottom w:val="none" w:sz="0" w:space="0" w:color="auto"/>
        <w:right w:val="none" w:sz="0" w:space="0" w:color="auto"/>
      </w:divBdr>
    </w:div>
    <w:div w:id="994259804">
      <w:bodyDiv w:val="1"/>
      <w:marLeft w:val="0"/>
      <w:marRight w:val="0"/>
      <w:marTop w:val="0"/>
      <w:marBottom w:val="0"/>
      <w:divBdr>
        <w:top w:val="none" w:sz="0" w:space="0" w:color="auto"/>
        <w:left w:val="none" w:sz="0" w:space="0" w:color="auto"/>
        <w:bottom w:val="none" w:sz="0" w:space="0" w:color="auto"/>
        <w:right w:val="none" w:sz="0" w:space="0" w:color="auto"/>
      </w:divBdr>
    </w:div>
    <w:div w:id="996760349">
      <w:bodyDiv w:val="1"/>
      <w:marLeft w:val="0"/>
      <w:marRight w:val="0"/>
      <w:marTop w:val="0"/>
      <w:marBottom w:val="0"/>
      <w:divBdr>
        <w:top w:val="none" w:sz="0" w:space="0" w:color="auto"/>
        <w:left w:val="none" w:sz="0" w:space="0" w:color="auto"/>
        <w:bottom w:val="none" w:sz="0" w:space="0" w:color="auto"/>
        <w:right w:val="none" w:sz="0" w:space="0" w:color="auto"/>
      </w:divBdr>
    </w:div>
    <w:div w:id="1002198850">
      <w:bodyDiv w:val="1"/>
      <w:marLeft w:val="0"/>
      <w:marRight w:val="0"/>
      <w:marTop w:val="0"/>
      <w:marBottom w:val="0"/>
      <w:divBdr>
        <w:top w:val="none" w:sz="0" w:space="0" w:color="auto"/>
        <w:left w:val="none" w:sz="0" w:space="0" w:color="auto"/>
        <w:bottom w:val="none" w:sz="0" w:space="0" w:color="auto"/>
        <w:right w:val="none" w:sz="0" w:space="0" w:color="auto"/>
      </w:divBdr>
    </w:div>
    <w:div w:id="1013144904">
      <w:bodyDiv w:val="1"/>
      <w:marLeft w:val="0"/>
      <w:marRight w:val="0"/>
      <w:marTop w:val="0"/>
      <w:marBottom w:val="0"/>
      <w:divBdr>
        <w:top w:val="none" w:sz="0" w:space="0" w:color="auto"/>
        <w:left w:val="none" w:sz="0" w:space="0" w:color="auto"/>
        <w:bottom w:val="none" w:sz="0" w:space="0" w:color="auto"/>
        <w:right w:val="none" w:sz="0" w:space="0" w:color="auto"/>
      </w:divBdr>
    </w:div>
    <w:div w:id="1022972059">
      <w:bodyDiv w:val="1"/>
      <w:marLeft w:val="0"/>
      <w:marRight w:val="0"/>
      <w:marTop w:val="0"/>
      <w:marBottom w:val="0"/>
      <w:divBdr>
        <w:top w:val="none" w:sz="0" w:space="0" w:color="auto"/>
        <w:left w:val="none" w:sz="0" w:space="0" w:color="auto"/>
        <w:bottom w:val="none" w:sz="0" w:space="0" w:color="auto"/>
        <w:right w:val="none" w:sz="0" w:space="0" w:color="auto"/>
      </w:divBdr>
    </w:div>
    <w:div w:id="1022977638">
      <w:bodyDiv w:val="1"/>
      <w:marLeft w:val="0"/>
      <w:marRight w:val="0"/>
      <w:marTop w:val="0"/>
      <w:marBottom w:val="0"/>
      <w:divBdr>
        <w:top w:val="none" w:sz="0" w:space="0" w:color="auto"/>
        <w:left w:val="none" w:sz="0" w:space="0" w:color="auto"/>
        <w:bottom w:val="none" w:sz="0" w:space="0" w:color="auto"/>
        <w:right w:val="none" w:sz="0" w:space="0" w:color="auto"/>
      </w:divBdr>
    </w:div>
    <w:div w:id="1031684375">
      <w:bodyDiv w:val="1"/>
      <w:marLeft w:val="0"/>
      <w:marRight w:val="0"/>
      <w:marTop w:val="0"/>
      <w:marBottom w:val="0"/>
      <w:divBdr>
        <w:top w:val="none" w:sz="0" w:space="0" w:color="auto"/>
        <w:left w:val="none" w:sz="0" w:space="0" w:color="auto"/>
        <w:bottom w:val="none" w:sz="0" w:space="0" w:color="auto"/>
        <w:right w:val="none" w:sz="0" w:space="0" w:color="auto"/>
      </w:divBdr>
    </w:div>
    <w:div w:id="1042094467">
      <w:bodyDiv w:val="1"/>
      <w:marLeft w:val="0"/>
      <w:marRight w:val="0"/>
      <w:marTop w:val="0"/>
      <w:marBottom w:val="0"/>
      <w:divBdr>
        <w:top w:val="none" w:sz="0" w:space="0" w:color="auto"/>
        <w:left w:val="none" w:sz="0" w:space="0" w:color="auto"/>
        <w:bottom w:val="none" w:sz="0" w:space="0" w:color="auto"/>
        <w:right w:val="none" w:sz="0" w:space="0" w:color="auto"/>
      </w:divBdr>
    </w:div>
    <w:div w:id="1045448687">
      <w:bodyDiv w:val="1"/>
      <w:marLeft w:val="0"/>
      <w:marRight w:val="0"/>
      <w:marTop w:val="0"/>
      <w:marBottom w:val="0"/>
      <w:divBdr>
        <w:top w:val="none" w:sz="0" w:space="0" w:color="auto"/>
        <w:left w:val="none" w:sz="0" w:space="0" w:color="auto"/>
        <w:bottom w:val="none" w:sz="0" w:space="0" w:color="auto"/>
        <w:right w:val="none" w:sz="0" w:space="0" w:color="auto"/>
      </w:divBdr>
    </w:div>
    <w:div w:id="1046025058">
      <w:bodyDiv w:val="1"/>
      <w:marLeft w:val="0"/>
      <w:marRight w:val="0"/>
      <w:marTop w:val="0"/>
      <w:marBottom w:val="0"/>
      <w:divBdr>
        <w:top w:val="none" w:sz="0" w:space="0" w:color="auto"/>
        <w:left w:val="none" w:sz="0" w:space="0" w:color="auto"/>
        <w:bottom w:val="none" w:sz="0" w:space="0" w:color="auto"/>
        <w:right w:val="none" w:sz="0" w:space="0" w:color="auto"/>
      </w:divBdr>
    </w:div>
    <w:div w:id="1049382477">
      <w:bodyDiv w:val="1"/>
      <w:marLeft w:val="0"/>
      <w:marRight w:val="0"/>
      <w:marTop w:val="0"/>
      <w:marBottom w:val="0"/>
      <w:divBdr>
        <w:top w:val="none" w:sz="0" w:space="0" w:color="auto"/>
        <w:left w:val="none" w:sz="0" w:space="0" w:color="auto"/>
        <w:bottom w:val="none" w:sz="0" w:space="0" w:color="auto"/>
        <w:right w:val="none" w:sz="0" w:space="0" w:color="auto"/>
      </w:divBdr>
    </w:div>
    <w:div w:id="1061173830">
      <w:bodyDiv w:val="1"/>
      <w:marLeft w:val="0"/>
      <w:marRight w:val="0"/>
      <w:marTop w:val="0"/>
      <w:marBottom w:val="0"/>
      <w:divBdr>
        <w:top w:val="none" w:sz="0" w:space="0" w:color="auto"/>
        <w:left w:val="none" w:sz="0" w:space="0" w:color="auto"/>
        <w:bottom w:val="none" w:sz="0" w:space="0" w:color="auto"/>
        <w:right w:val="none" w:sz="0" w:space="0" w:color="auto"/>
      </w:divBdr>
    </w:div>
    <w:div w:id="1063023276">
      <w:bodyDiv w:val="1"/>
      <w:marLeft w:val="0"/>
      <w:marRight w:val="0"/>
      <w:marTop w:val="0"/>
      <w:marBottom w:val="0"/>
      <w:divBdr>
        <w:top w:val="none" w:sz="0" w:space="0" w:color="auto"/>
        <w:left w:val="none" w:sz="0" w:space="0" w:color="auto"/>
        <w:bottom w:val="none" w:sz="0" w:space="0" w:color="auto"/>
        <w:right w:val="none" w:sz="0" w:space="0" w:color="auto"/>
      </w:divBdr>
    </w:div>
    <w:div w:id="1063060729">
      <w:bodyDiv w:val="1"/>
      <w:marLeft w:val="0"/>
      <w:marRight w:val="0"/>
      <w:marTop w:val="0"/>
      <w:marBottom w:val="0"/>
      <w:divBdr>
        <w:top w:val="none" w:sz="0" w:space="0" w:color="auto"/>
        <w:left w:val="none" w:sz="0" w:space="0" w:color="auto"/>
        <w:bottom w:val="none" w:sz="0" w:space="0" w:color="auto"/>
        <w:right w:val="none" w:sz="0" w:space="0" w:color="auto"/>
      </w:divBdr>
    </w:div>
    <w:div w:id="1064328912">
      <w:bodyDiv w:val="1"/>
      <w:marLeft w:val="0"/>
      <w:marRight w:val="0"/>
      <w:marTop w:val="0"/>
      <w:marBottom w:val="0"/>
      <w:divBdr>
        <w:top w:val="none" w:sz="0" w:space="0" w:color="auto"/>
        <w:left w:val="none" w:sz="0" w:space="0" w:color="auto"/>
        <w:bottom w:val="none" w:sz="0" w:space="0" w:color="auto"/>
        <w:right w:val="none" w:sz="0" w:space="0" w:color="auto"/>
      </w:divBdr>
    </w:div>
    <w:div w:id="1075279768">
      <w:bodyDiv w:val="1"/>
      <w:marLeft w:val="0"/>
      <w:marRight w:val="0"/>
      <w:marTop w:val="0"/>
      <w:marBottom w:val="0"/>
      <w:divBdr>
        <w:top w:val="none" w:sz="0" w:space="0" w:color="auto"/>
        <w:left w:val="none" w:sz="0" w:space="0" w:color="auto"/>
        <w:bottom w:val="none" w:sz="0" w:space="0" w:color="auto"/>
        <w:right w:val="none" w:sz="0" w:space="0" w:color="auto"/>
      </w:divBdr>
    </w:div>
    <w:div w:id="1077552176">
      <w:bodyDiv w:val="1"/>
      <w:marLeft w:val="0"/>
      <w:marRight w:val="0"/>
      <w:marTop w:val="0"/>
      <w:marBottom w:val="0"/>
      <w:divBdr>
        <w:top w:val="none" w:sz="0" w:space="0" w:color="auto"/>
        <w:left w:val="none" w:sz="0" w:space="0" w:color="auto"/>
        <w:bottom w:val="none" w:sz="0" w:space="0" w:color="auto"/>
        <w:right w:val="none" w:sz="0" w:space="0" w:color="auto"/>
      </w:divBdr>
    </w:div>
    <w:div w:id="1081373937">
      <w:bodyDiv w:val="1"/>
      <w:marLeft w:val="0"/>
      <w:marRight w:val="0"/>
      <w:marTop w:val="0"/>
      <w:marBottom w:val="0"/>
      <w:divBdr>
        <w:top w:val="none" w:sz="0" w:space="0" w:color="auto"/>
        <w:left w:val="none" w:sz="0" w:space="0" w:color="auto"/>
        <w:bottom w:val="none" w:sz="0" w:space="0" w:color="auto"/>
        <w:right w:val="none" w:sz="0" w:space="0" w:color="auto"/>
      </w:divBdr>
    </w:div>
    <w:div w:id="1082682431">
      <w:bodyDiv w:val="1"/>
      <w:marLeft w:val="0"/>
      <w:marRight w:val="0"/>
      <w:marTop w:val="0"/>
      <w:marBottom w:val="0"/>
      <w:divBdr>
        <w:top w:val="none" w:sz="0" w:space="0" w:color="auto"/>
        <w:left w:val="none" w:sz="0" w:space="0" w:color="auto"/>
        <w:bottom w:val="none" w:sz="0" w:space="0" w:color="auto"/>
        <w:right w:val="none" w:sz="0" w:space="0" w:color="auto"/>
      </w:divBdr>
    </w:div>
    <w:div w:id="1083142592">
      <w:bodyDiv w:val="1"/>
      <w:marLeft w:val="0"/>
      <w:marRight w:val="0"/>
      <w:marTop w:val="0"/>
      <w:marBottom w:val="0"/>
      <w:divBdr>
        <w:top w:val="none" w:sz="0" w:space="0" w:color="auto"/>
        <w:left w:val="none" w:sz="0" w:space="0" w:color="auto"/>
        <w:bottom w:val="none" w:sz="0" w:space="0" w:color="auto"/>
        <w:right w:val="none" w:sz="0" w:space="0" w:color="auto"/>
      </w:divBdr>
    </w:div>
    <w:div w:id="1083839913">
      <w:bodyDiv w:val="1"/>
      <w:marLeft w:val="0"/>
      <w:marRight w:val="0"/>
      <w:marTop w:val="0"/>
      <w:marBottom w:val="0"/>
      <w:divBdr>
        <w:top w:val="none" w:sz="0" w:space="0" w:color="auto"/>
        <w:left w:val="none" w:sz="0" w:space="0" w:color="auto"/>
        <w:bottom w:val="none" w:sz="0" w:space="0" w:color="auto"/>
        <w:right w:val="none" w:sz="0" w:space="0" w:color="auto"/>
      </w:divBdr>
    </w:div>
    <w:div w:id="1088769980">
      <w:bodyDiv w:val="1"/>
      <w:marLeft w:val="0"/>
      <w:marRight w:val="0"/>
      <w:marTop w:val="0"/>
      <w:marBottom w:val="0"/>
      <w:divBdr>
        <w:top w:val="none" w:sz="0" w:space="0" w:color="auto"/>
        <w:left w:val="none" w:sz="0" w:space="0" w:color="auto"/>
        <w:bottom w:val="none" w:sz="0" w:space="0" w:color="auto"/>
        <w:right w:val="none" w:sz="0" w:space="0" w:color="auto"/>
      </w:divBdr>
    </w:div>
    <w:div w:id="1090002789">
      <w:bodyDiv w:val="1"/>
      <w:marLeft w:val="0"/>
      <w:marRight w:val="0"/>
      <w:marTop w:val="0"/>
      <w:marBottom w:val="0"/>
      <w:divBdr>
        <w:top w:val="none" w:sz="0" w:space="0" w:color="auto"/>
        <w:left w:val="none" w:sz="0" w:space="0" w:color="auto"/>
        <w:bottom w:val="none" w:sz="0" w:space="0" w:color="auto"/>
        <w:right w:val="none" w:sz="0" w:space="0" w:color="auto"/>
      </w:divBdr>
    </w:div>
    <w:div w:id="1093936142">
      <w:bodyDiv w:val="1"/>
      <w:marLeft w:val="0"/>
      <w:marRight w:val="0"/>
      <w:marTop w:val="0"/>
      <w:marBottom w:val="0"/>
      <w:divBdr>
        <w:top w:val="none" w:sz="0" w:space="0" w:color="auto"/>
        <w:left w:val="none" w:sz="0" w:space="0" w:color="auto"/>
        <w:bottom w:val="none" w:sz="0" w:space="0" w:color="auto"/>
        <w:right w:val="none" w:sz="0" w:space="0" w:color="auto"/>
      </w:divBdr>
    </w:div>
    <w:div w:id="1094399020">
      <w:bodyDiv w:val="1"/>
      <w:marLeft w:val="0"/>
      <w:marRight w:val="0"/>
      <w:marTop w:val="0"/>
      <w:marBottom w:val="0"/>
      <w:divBdr>
        <w:top w:val="none" w:sz="0" w:space="0" w:color="auto"/>
        <w:left w:val="none" w:sz="0" w:space="0" w:color="auto"/>
        <w:bottom w:val="none" w:sz="0" w:space="0" w:color="auto"/>
        <w:right w:val="none" w:sz="0" w:space="0" w:color="auto"/>
      </w:divBdr>
    </w:div>
    <w:div w:id="1096486752">
      <w:bodyDiv w:val="1"/>
      <w:marLeft w:val="0"/>
      <w:marRight w:val="0"/>
      <w:marTop w:val="0"/>
      <w:marBottom w:val="0"/>
      <w:divBdr>
        <w:top w:val="none" w:sz="0" w:space="0" w:color="auto"/>
        <w:left w:val="none" w:sz="0" w:space="0" w:color="auto"/>
        <w:bottom w:val="none" w:sz="0" w:space="0" w:color="auto"/>
        <w:right w:val="none" w:sz="0" w:space="0" w:color="auto"/>
      </w:divBdr>
    </w:div>
    <w:div w:id="1098253756">
      <w:bodyDiv w:val="1"/>
      <w:marLeft w:val="0"/>
      <w:marRight w:val="0"/>
      <w:marTop w:val="0"/>
      <w:marBottom w:val="0"/>
      <w:divBdr>
        <w:top w:val="none" w:sz="0" w:space="0" w:color="auto"/>
        <w:left w:val="none" w:sz="0" w:space="0" w:color="auto"/>
        <w:bottom w:val="none" w:sz="0" w:space="0" w:color="auto"/>
        <w:right w:val="none" w:sz="0" w:space="0" w:color="auto"/>
      </w:divBdr>
    </w:div>
    <w:div w:id="1100447471">
      <w:bodyDiv w:val="1"/>
      <w:marLeft w:val="0"/>
      <w:marRight w:val="0"/>
      <w:marTop w:val="0"/>
      <w:marBottom w:val="0"/>
      <w:divBdr>
        <w:top w:val="none" w:sz="0" w:space="0" w:color="auto"/>
        <w:left w:val="none" w:sz="0" w:space="0" w:color="auto"/>
        <w:bottom w:val="none" w:sz="0" w:space="0" w:color="auto"/>
        <w:right w:val="none" w:sz="0" w:space="0" w:color="auto"/>
      </w:divBdr>
    </w:div>
    <w:div w:id="1104576418">
      <w:bodyDiv w:val="1"/>
      <w:marLeft w:val="0"/>
      <w:marRight w:val="0"/>
      <w:marTop w:val="0"/>
      <w:marBottom w:val="0"/>
      <w:divBdr>
        <w:top w:val="none" w:sz="0" w:space="0" w:color="auto"/>
        <w:left w:val="none" w:sz="0" w:space="0" w:color="auto"/>
        <w:bottom w:val="none" w:sz="0" w:space="0" w:color="auto"/>
        <w:right w:val="none" w:sz="0" w:space="0" w:color="auto"/>
      </w:divBdr>
    </w:div>
    <w:div w:id="1105080515">
      <w:bodyDiv w:val="1"/>
      <w:marLeft w:val="0"/>
      <w:marRight w:val="0"/>
      <w:marTop w:val="0"/>
      <w:marBottom w:val="0"/>
      <w:divBdr>
        <w:top w:val="none" w:sz="0" w:space="0" w:color="auto"/>
        <w:left w:val="none" w:sz="0" w:space="0" w:color="auto"/>
        <w:bottom w:val="none" w:sz="0" w:space="0" w:color="auto"/>
        <w:right w:val="none" w:sz="0" w:space="0" w:color="auto"/>
      </w:divBdr>
    </w:div>
    <w:div w:id="1108349530">
      <w:bodyDiv w:val="1"/>
      <w:marLeft w:val="0"/>
      <w:marRight w:val="0"/>
      <w:marTop w:val="0"/>
      <w:marBottom w:val="0"/>
      <w:divBdr>
        <w:top w:val="none" w:sz="0" w:space="0" w:color="auto"/>
        <w:left w:val="none" w:sz="0" w:space="0" w:color="auto"/>
        <w:bottom w:val="none" w:sz="0" w:space="0" w:color="auto"/>
        <w:right w:val="none" w:sz="0" w:space="0" w:color="auto"/>
      </w:divBdr>
    </w:div>
    <w:div w:id="1108355597">
      <w:bodyDiv w:val="1"/>
      <w:marLeft w:val="0"/>
      <w:marRight w:val="0"/>
      <w:marTop w:val="0"/>
      <w:marBottom w:val="0"/>
      <w:divBdr>
        <w:top w:val="none" w:sz="0" w:space="0" w:color="auto"/>
        <w:left w:val="none" w:sz="0" w:space="0" w:color="auto"/>
        <w:bottom w:val="none" w:sz="0" w:space="0" w:color="auto"/>
        <w:right w:val="none" w:sz="0" w:space="0" w:color="auto"/>
      </w:divBdr>
    </w:div>
    <w:div w:id="1109937568">
      <w:bodyDiv w:val="1"/>
      <w:marLeft w:val="0"/>
      <w:marRight w:val="0"/>
      <w:marTop w:val="0"/>
      <w:marBottom w:val="0"/>
      <w:divBdr>
        <w:top w:val="none" w:sz="0" w:space="0" w:color="auto"/>
        <w:left w:val="none" w:sz="0" w:space="0" w:color="auto"/>
        <w:bottom w:val="none" w:sz="0" w:space="0" w:color="auto"/>
        <w:right w:val="none" w:sz="0" w:space="0" w:color="auto"/>
      </w:divBdr>
    </w:div>
    <w:div w:id="1111436806">
      <w:bodyDiv w:val="1"/>
      <w:marLeft w:val="0"/>
      <w:marRight w:val="0"/>
      <w:marTop w:val="0"/>
      <w:marBottom w:val="0"/>
      <w:divBdr>
        <w:top w:val="none" w:sz="0" w:space="0" w:color="auto"/>
        <w:left w:val="none" w:sz="0" w:space="0" w:color="auto"/>
        <w:bottom w:val="none" w:sz="0" w:space="0" w:color="auto"/>
        <w:right w:val="none" w:sz="0" w:space="0" w:color="auto"/>
      </w:divBdr>
    </w:div>
    <w:div w:id="1112749725">
      <w:bodyDiv w:val="1"/>
      <w:marLeft w:val="0"/>
      <w:marRight w:val="0"/>
      <w:marTop w:val="0"/>
      <w:marBottom w:val="0"/>
      <w:divBdr>
        <w:top w:val="none" w:sz="0" w:space="0" w:color="auto"/>
        <w:left w:val="none" w:sz="0" w:space="0" w:color="auto"/>
        <w:bottom w:val="none" w:sz="0" w:space="0" w:color="auto"/>
        <w:right w:val="none" w:sz="0" w:space="0" w:color="auto"/>
      </w:divBdr>
    </w:div>
    <w:div w:id="1113940706">
      <w:bodyDiv w:val="1"/>
      <w:marLeft w:val="0"/>
      <w:marRight w:val="0"/>
      <w:marTop w:val="0"/>
      <w:marBottom w:val="0"/>
      <w:divBdr>
        <w:top w:val="none" w:sz="0" w:space="0" w:color="auto"/>
        <w:left w:val="none" w:sz="0" w:space="0" w:color="auto"/>
        <w:bottom w:val="none" w:sz="0" w:space="0" w:color="auto"/>
        <w:right w:val="none" w:sz="0" w:space="0" w:color="auto"/>
      </w:divBdr>
    </w:div>
    <w:div w:id="1115254135">
      <w:bodyDiv w:val="1"/>
      <w:marLeft w:val="0"/>
      <w:marRight w:val="0"/>
      <w:marTop w:val="0"/>
      <w:marBottom w:val="0"/>
      <w:divBdr>
        <w:top w:val="none" w:sz="0" w:space="0" w:color="auto"/>
        <w:left w:val="none" w:sz="0" w:space="0" w:color="auto"/>
        <w:bottom w:val="none" w:sz="0" w:space="0" w:color="auto"/>
        <w:right w:val="none" w:sz="0" w:space="0" w:color="auto"/>
      </w:divBdr>
    </w:div>
    <w:div w:id="1118180542">
      <w:bodyDiv w:val="1"/>
      <w:marLeft w:val="0"/>
      <w:marRight w:val="0"/>
      <w:marTop w:val="0"/>
      <w:marBottom w:val="0"/>
      <w:divBdr>
        <w:top w:val="none" w:sz="0" w:space="0" w:color="auto"/>
        <w:left w:val="none" w:sz="0" w:space="0" w:color="auto"/>
        <w:bottom w:val="none" w:sz="0" w:space="0" w:color="auto"/>
        <w:right w:val="none" w:sz="0" w:space="0" w:color="auto"/>
      </w:divBdr>
    </w:div>
    <w:div w:id="1124075856">
      <w:bodyDiv w:val="1"/>
      <w:marLeft w:val="0"/>
      <w:marRight w:val="0"/>
      <w:marTop w:val="0"/>
      <w:marBottom w:val="0"/>
      <w:divBdr>
        <w:top w:val="none" w:sz="0" w:space="0" w:color="auto"/>
        <w:left w:val="none" w:sz="0" w:space="0" w:color="auto"/>
        <w:bottom w:val="none" w:sz="0" w:space="0" w:color="auto"/>
        <w:right w:val="none" w:sz="0" w:space="0" w:color="auto"/>
      </w:divBdr>
    </w:div>
    <w:div w:id="1125663684">
      <w:bodyDiv w:val="1"/>
      <w:marLeft w:val="0"/>
      <w:marRight w:val="0"/>
      <w:marTop w:val="0"/>
      <w:marBottom w:val="0"/>
      <w:divBdr>
        <w:top w:val="none" w:sz="0" w:space="0" w:color="auto"/>
        <w:left w:val="none" w:sz="0" w:space="0" w:color="auto"/>
        <w:bottom w:val="none" w:sz="0" w:space="0" w:color="auto"/>
        <w:right w:val="none" w:sz="0" w:space="0" w:color="auto"/>
      </w:divBdr>
    </w:div>
    <w:div w:id="1136222317">
      <w:bodyDiv w:val="1"/>
      <w:marLeft w:val="0"/>
      <w:marRight w:val="0"/>
      <w:marTop w:val="0"/>
      <w:marBottom w:val="0"/>
      <w:divBdr>
        <w:top w:val="none" w:sz="0" w:space="0" w:color="auto"/>
        <w:left w:val="none" w:sz="0" w:space="0" w:color="auto"/>
        <w:bottom w:val="none" w:sz="0" w:space="0" w:color="auto"/>
        <w:right w:val="none" w:sz="0" w:space="0" w:color="auto"/>
      </w:divBdr>
    </w:div>
    <w:div w:id="1142116653">
      <w:bodyDiv w:val="1"/>
      <w:marLeft w:val="0"/>
      <w:marRight w:val="0"/>
      <w:marTop w:val="0"/>
      <w:marBottom w:val="0"/>
      <w:divBdr>
        <w:top w:val="none" w:sz="0" w:space="0" w:color="auto"/>
        <w:left w:val="none" w:sz="0" w:space="0" w:color="auto"/>
        <w:bottom w:val="none" w:sz="0" w:space="0" w:color="auto"/>
        <w:right w:val="none" w:sz="0" w:space="0" w:color="auto"/>
      </w:divBdr>
    </w:div>
    <w:div w:id="1147550252">
      <w:bodyDiv w:val="1"/>
      <w:marLeft w:val="0"/>
      <w:marRight w:val="0"/>
      <w:marTop w:val="0"/>
      <w:marBottom w:val="0"/>
      <w:divBdr>
        <w:top w:val="none" w:sz="0" w:space="0" w:color="auto"/>
        <w:left w:val="none" w:sz="0" w:space="0" w:color="auto"/>
        <w:bottom w:val="none" w:sz="0" w:space="0" w:color="auto"/>
        <w:right w:val="none" w:sz="0" w:space="0" w:color="auto"/>
      </w:divBdr>
    </w:div>
    <w:div w:id="1150712235">
      <w:bodyDiv w:val="1"/>
      <w:marLeft w:val="0"/>
      <w:marRight w:val="0"/>
      <w:marTop w:val="0"/>
      <w:marBottom w:val="0"/>
      <w:divBdr>
        <w:top w:val="none" w:sz="0" w:space="0" w:color="auto"/>
        <w:left w:val="none" w:sz="0" w:space="0" w:color="auto"/>
        <w:bottom w:val="none" w:sz="0" w:space="0" w:color="auto"/>
        <w:right w:val="none" w:sz="0" w:space="0" w:color="auto"/>
      </w:divBdr>
    </w:div>
    <w:div w:id="1151364033">
      <w:bodyDiv w:val="1"/>
      <w:marLeft w:val="0"/>
      <w:marRight w:val="0"/>
      <w:marTop w:val="0"/>
      <w:marBottom w:val="0"/>
      <w:divBdr>
        <w:top w:val="none" w:sz="0" w:space="0" w:color="auto"/>
        <w:left w:val="none" w:sz="0" w:space="0" w:color="auto"/>
        <w:bottom w:val="none" w:sz="0" w:space="0" w:color="auto"/>
        <w:right w:val="none" w:sz="0" w:space="0" w:color="auto"/>
      </w:divBdr>
    </w:div>
    <w:div w:id="1151751420">
      <w:bodyDiv w:val="1"/>
      <w:marLeft w:val="0"/>
      <w:marRight w:val="0"/>
      <w:marTop w:val="0"/>
      <w:marBottom w:val="0"/>
      <w:divBdr>
        <w:top w:val="none" w:sz="0" w:space="0" w:color="auto"/>
        <w:left w:val="none" w:sz="0" w:space="0" w:color="auto"/>
        <w:bottom w:val="none" w:sz="0" w:space="0" w:color="auto"/>
        <w:right w:val="none" w:sz="0" w:space="0" w:color="auto"/>
      </w:divBdr>
    </w:div>
    <w:div w:id="1152940891">
      <w:bodyDiv w:val="1"/>
      <w:marLeft w:val="0"/>
      <w:marRight w:val="0"/>
      <w:marTop w:val="0"/>
      <w:marBottom w:val="0"/>
      <w:divBdr>
        <w:top w:val="none" w:sz="0" w:space="0" w:color="auto"/>
        <w:left w:val="none" w:sz="0" w:space="0" w:color="auto"/>
        <w:bottom w:val="none" w:sz="0" w:space="0" w:color="auto"/>
        <w:right w:val="none" w:sz="0" w:space="0" w:color="auto"/>
      </w:divBdr>
    </w:div>
    <w:div w:id="1155948807">
      <w:bodyDiv w:val="1"/>
      <w:marLeft w:val="0"/>
      <w:marRight w:val="0"/>
      <w:marTop w:val="0"/>
      <w:marBottom w:val="0"/>
      <w:divBdr>
        <w:top w:val="none" w:sz="0" w:space="0" w:color="auto"/>
        <w:left w:val="none" w:sz="0" w:space="0" w:color="auto"/>
        <w:bottom w:val="none" w:sz="0" w:space="0" w:color="auto"/>
        <w:right w:val="none" w:sz="0" w:space="0" w:color="auto"/>
      </w:divBdr>
    </w:div>
    <w:div w:id="1156069818">
      <w:bodyDiv w:val="1"/>
      <w:marLeft w:val="0"/>
      <w:marRight w:val="0"/>
      <w:marTop w:val="0"/>
      <w:marBottom w:val="0"/>
      <w:divBdr>
        <w:top w:val="none" w:sz="0" w:space="0" w:color="auto"/>
        <w:left w:val="none" w:sz="0" w:space="0" w:color="auto"/>
        <w:bottom w:val="none" w:sz="0" w:space="0" w:color="auto"/>
        <w:right w:val="none" w:sz="0" w:space="0" w:color="auto"/>
      </w:divBdr>
    </w:div>
    <w:div w:id="1161966638">
      <w:bodyDiv w:val="1"/>
      <w:marLeft w:val="0"/>
      <w:marRight w:val="0"/>
      <w:marTop w:val="0"/>
      <w:marBottom w:val="0"/>
      <w:divBdr>
        <w:top w:val="none" w:sz="0" w:space="0" w:color="auto"/>
        <w:left w:val="none" w:sz="0" w:space="0" w:color="auto"/>
        <w:bottom w:val="none" w:sz="0" w:space="0" w:color="auto"/>
        <w:right w:val="none" w:sz="0" w:space="0" w:color="auto"/>
      </w:divBdr>
    </w:div>
    <w:div w:id="1166559379">
      <w:bodyDiv w:val="1"/>
      <w:marLeft w:val="0"/>
      <w:marRight w:val="0"/>
      <w:marTop w:val="0"/>
      <w:marBottom w:val="0"/>
      <w:divBdr>
        <w:top w:val="none" w:sz="0" w:space="0" w:color="auto"/>
        <w:left w:val="none" w:sz="0" w:space="0" w:color="auto"/>
        <w:bottom w:val="none" w:sz="0" w:space="0" w:color="auto"/>
        <w:right w:val="none" w:sz="0" w:space="0" w:color="auto"/>
      </w:divBdr>
    </w:div>
    <w:div w:id="1170826413">
      <w:bodyDiv w:val="1"/>
      <w:marLeft w:val="0"/>
      <w:marRight w:val="0"/>
      <w:marTop w:val="0"/>
      <w:marBottom w:val="0"/>
      <w:divBdr>
        <w:top w:val="none" w:sz="0" w:space="0" w:color="auto"/>
        <w:left w:val="none" w:sz="0" w:space="0" w:color="auto"/>
        <w:bottom w:val="none" w:sz="0" w:space="0" w:color="auto"/>
        <w:right w:val="none" w:sz="0" w:space="0" w:color="auto"/>
      </w:divBdr>
    </w:div>
    <w:div w:id="1174876139">
      <w:bodyDiv w:val="1"/>
      <w:marLeft w:val="0"/>
      <w:marRight w:val="0"/>
      <w:marTop w:val="0"/>
      <w:marBottom w:val="0"/>
      <w:divBdr>
        <w:top w:val="none" w:sz="0" w:space="0" w:color="auto"/>
        <w:left w:val="none" w:sz="0" w:space="0" w:color="auto"/>
        <w:bottom w:val="none" w:sz="0" w:space="0" w:color="auto"/>
        <w:right w:val="none" w:sz="0" w:space="0" w:color="auto"/>
      </w:divBdr>
    </w:div>
    <w:div w:id="1176306684">
      <w:bodyDiv w:val="1"/>
      <w:marLeft w:val="0"/>
      <w:marRight w:val="0"/>
      <w:marTop w:val="0"/>
      <w:marBottom w:val="0"/>
      <w:divBdr>
        <w:top w:val="none" w:sz="0" w:space="0" w:color="auto"/>
        <w:left w:val="none" w:sz="0" w:space="0" w:color="auto"/>
        <w:bottom w:val="none" w:sz="0" w:space="0" w:color="auto"/>
        <w:right w:val="none" w:sz="0" w:space="0" w:color="auto"/>
      </w:divBdr>
    </w:div>
    <w:div w:id="1181550440">
      <w:bodyDiv w:val="1"/>
      <w:marLeft w:val="0"/>
      <w:marRight w:val="0"/>
      <w:marTop w:val="0"/>
      <w:marBottom w:val="0"/>
      <w:divBdr>
        <w:top w:val="none" w:sz="0" w:space="0" w:color="auto"/>
        <w:left w:val="none" w:sz="0" w:space="0" w:color="auto"/>
        <w:bottom w:val="none" w:sz="0" w:space="0" w:color="auto"/>
        <w:right w:val="none" w:sz="0" w:space="0" w:color="auto"/>
      </w:divBdr>
    </w:div>
    <w:div w:id="1182665396">
      <w:bodyDiv w:val="1"/>
      <w:marLeft w:val="0"/>
      <w:marRight w:val="0"/>
      <w:marTop w:val="0"/>
      <w:marBottom w:val="0"/>
      <w:divBdr>
        <w:top w:val="none" w:sz="0" w:space="0" w:color="auto"/>
        <w:left w:val="none" w:sz="0" w:space="0" w:color="auto"/>
        <w:bottom w:val="none" w:sz="0" w:space="0" w:color="auto"/>
        <w:right w:val="none" w:sz="0" w:space="0" w:color="auto"/>
      </w:divBdr>
    </w:div>
    <w:div w:id="1183742230">
      <w:bodyDiv w:val="1"/>
      <w:marLeft w:val="0"/>
      <w:marRight w:val="0"/>
      <w:marTop w:val="0"/>
      <w:marBottom w:val="0"/>
      <w:divBdr>
        <w:top w:val="none" w:sz="0" w:space="0" w:color="auto"/>
        <w:left w:val="none" w:sz="0" w:space="0" w:color="auto"/>
        <w:bottom w:val="none" w:sz="0" w:space="0" w:color="auto"/>
        <w:right w:val="none" w:sz="0" w:space="0" w:color="auto"/>
      </w:divBdr>
    </w:div>
    <w:div w:id="1195777699">
      <w:bodyDiv w:val="1"/>
      <w:marLeft w:val="0"/>
      <w:marRight w:val="0"/>
      <w:marTop w:val="0"/>
      <w:marBottom w:val="0"/>
      <w:divBdr>
        <w:top w:val="none" w:sz="0" w:space="0" w:color="auto"/>
        <w:left w:val="none" w:sz="0" w:space="0" w:color="auto"/>
        <w:bottom w:val="none" w:sz="0" w:space="0" w:color="auto"/>
        <w:right w:val="none" w:sz="0" w:space="0" w:color="auto"/>
      </w:divBdr>
    </w:div>
    <w:div w:id="1203397961">
      <w:bodyDiv w:val="1"/>
      <w:marLeft w:val="0"/>
      <w:marRight w:val="0"/>
      <w:marTop w:val="0"/>
      <w:marBottom w:val="0"/>
      <w:divBdr>
        <w:top w:val="none" w:sz="0" w:space="0" w:color="auto"/>
        <w:left w:val="none" w:sz="0" w:space="0" w:color="auto"/>
        <w:bottom w:val="none" w:sz="0" w:space="0" w:color="auto"/>
        <w:right w:val="none" w:sz="0" w:space="0" w:color="auto"/>
      </w:divBdr>
    </w:div>
    <w:div w:id="1204052818">
      <w:bodyDiv w:val="1"/>
      <w:marLeft w:val="0"/>
      <w:marRight w:val="0"/>
      <w:marTop w:val="0"/>
      <w:marBottom w:val="0"/>
      <w:divBdr>
        <w:top w:val="none" w:sz="0" w:space="0" w:color="auto"/>
        <w:left w:val="none" w:sz="0" w:space="0" w:color="auto"/>
        <w:bottom w:val="none" w:sz="0" w:space="0" w:color="auto"/>
        <w:right w:val="none" w:sz="0" w:space="0" w:color="auto"/>
      </w:divBdr>
    </w:div>
    <w:div w:id="1206716801">
      <w:bodyDiv w:val="1"/>
      <w:marLeft w:val="0"/>
      <w:marRight w:val="0"/>
      <w:marTop w:val="0"/>
      <w:marBottom w:val="0"/>
      <w:divBdr>
        <w:top w:val="none" w:sz="0" w:space="0" w:color="auto"/>
        <w:left w:val="none" w:sz="0" w:space="0" w:color="auto"/>
        <w:bottom w:val="none" w:sz="0" w:space="0" w:color="auto"/>
        <w:right w:val="none" w:sz="0" w:space="0" w:color="auto"/>
      </w:divBdr>
    </w:div>
    <w:div w:id="1207991808">
      <w:bodyDiv w:val="1"/>
      <w:marLeft w:val="0"/>
      <w:marRight w:val="0"/>
      <w:marTop w:val="0"/>
      <w:marBottom w:val="0"/>
      <w:divBdr>
        <w:top w:val="none" w:sz="0" w:space="0" w:color="auto"/>
        <w:left w:val="none" w:sz="0" w:space="0" w:color="auto"/>
        <w:bottom w:val="none" w:sz="0" w:space="0" w:color="auto"/>
        <w:right w:val="none" w:sz="0" w:space="0" w:color="auto"/>
      </w:divBdr>
    </w:div>
    <w:div w:id="1212693512">
      <w:bodyDiv w:val="1"/>
      <w:marLeft w:val="0"/>
      <w:marRight w:val="0"/>
      <w:marTop w:val="0"/>
      <w:marBottom w:val="0"/>
      <w:divBdr>
        <w:top w:val="none" w:sz="0" w:space="0" w:color="auto"/>
        <w:left w:val="none" w:sz="0" w:space="0" w:color="auto"/>
        <w:bottom w:val="none" w:sz="0" w:space="0" w:color="auto"/>
        <w:right w:val="none" w:sz="0" w:space="0" w:color="auto"/>
      </w:divBdr>
    </w:div>
    <w:div w:id="1215266117">
      <w:bodyDiv w:val="1"/>
      <w:marLeft w:val="0"/>
      <w:marRight w:val="0"/>
      <w:marTop w:val="0"/>
      <w:marBottom w:val="0"/>
      <w:divBdr>
        <w:top w:val="none" w:sz="0" w:space="0" w:color="auto"/>
        <w:left w:val="none" w:sz="0" w:space="0" w:color="auto"/>
        <w:bottom w:val="none" w:sz="0" w:space="0" w:color="auto"/>
        <w:right w:val="none" w:sz="0" w:space="0" w:color="auto"/>
      </w:divBdr>
    </w:div>
    <w:div w:id="1218514935">
      <w:bodyDiv w:val="1"/>
      <w:marLeft w:val="0"/>
      <w:marRight w:val="0"/>
      <w:marTop w:val="0"/>
      <w:marBottom w:val="0"/>
      <w:divBdr>
        <w:top w:val="none" w:sz="0" w:space="0" w:color="auto"/>
        <w:left w:val="none" w:sz="0" w:space="0" w:color="auto"/>
        <w:bottom w:val="none" w:sz="0" w:space="0" w:color="auto"/>
        <w:right w:val="none" w:sz="0" w:space="0" w:color="auto"/>
      </w:divBdr>
    </w:div>
    <w:div w:id="1223717126">
      <w:bodyDiv w:val="1"/>
      <w:marLeft w:val="0"/>
      <w:marRight w:val="0"/>
      <w:marTop w:val="0"/>
      <w:marBottom w:val="0"/>
      <w:divBdr>
        <w:top w:val="none" w:sz="0" w:space="0" w:color="auto"/>
        <w:left w:val="none" w:sz="0" w:space="0" w:color="auto"/>
        <w:bottom w:val="none" w:sz="0" w:space="0" w:color="auto"/>
        <w:right w:val="none" w:sz="0" w:space="0" w:color="auto"/>
      </w:divBdr>
    </w:div>
    <w:div w:id="1225330751">
      <w:bodyDiv w:val="1"/>
      <w:marLeft w:val="0"/>
      <w:marRight w:val="0"/>
      <w:marTop w:val="0"/>
      <w:marBottom w:val="0"/>
      <w:divBdr>
        <w:top w:val="none" w:sz="0" w:space="0" w:color="auto"/>
        <w:left w:val="none" w:sz="0" w:space="0" w:color="auto"/>
        <w:bottom w:val="none" w:sz="0" w:space="0" w:color="auto"/>
        <w:right w:val="none" w:sz="0" w:space="0" w:color="auto"/>
      </w:divBdr>
    </w:div>
    <w:div w:id="1225676183">
      <w:bodyDiv w:val="1"/>
      <w:marLeft w:val="0"/>
      <w:marRight w:val="0"/>
      <w:marTop w:val="0"/>
      <w:marBottom w:val="0"/>
      <w:divBdr>
        <w:top w:val="none" w:sz="0" w:space="0" w:color="auto"/>
        <w:left w:val="none" w:sz="0" w:space="0" w:color="auto"/>
        <w:bottom w:val="none" w:sz="0" w:space="0" w:color="auto"/>
        <w:right w:val="none" w:sz="0" w:space="0" w:color="auto"/>
      </w:divBdr>
    </w:div>
    <w:div w:id="1226264102">
      <w:bodyDiv w:val="1"/>
      <w:marLeft w:val="0"/>
      <w:marRight w:val="0"/>
      <w:marTop w:val="0"/>
      <w:marBottom w:val="0"/>
      <w:divBdr>
        <w:top w:val="none" w:sz="0" w:space="0" w:color="auto"/>
        <w:left w:val="none" w:sz="0" w:space="0" w:color="auto"/>
        <w:bottom w:val="none" w:sz="0" w:space="0" w:color="auto"/>
        <w:right w:val="none" w:sz="0" w:space="0" w:color="auto"/>
      </w:divBdr>
    </w:div>
    <w:div w:id="1230534944">
      <w:bodyDiv w:val="1"/>
      <w:marLeft w:val="0"/>
      <w:marRight w:val="0"/>
      <w:marTop w:val="0"/>
      <w:marBottom w:val="0"/>
      <w:divBdr>
        <w:top w:val="none" w:sz="0" w:space="0" w:color="auto"/>
        <w:left w:val="none" w:sz="0" w:space="0" w:color="auto"/>
        <w:bottom w:val="none" w:sz="0" w:space="0" w:color="auto"/>
        <w:right w:val="none" w:sz="0" w:space="0" w:color="auto"/>
      </w:divBdr>
    </w:div>
    <w:div w:id="1234582605">
      <w:bodyDiv w:val="1"/>
      <w:marLeft w:val="0"/>
      <w:marRight w:val="0"/>
      <w:marTop w:val="0"/>
      <w:marBottom w:val="0"/>
      <w:divBdr>
        <w:top w:val="none" w:sz="0" w:space="0" w:color="auto"/>
        <w:left w:val="none" w:sz="0" w:space="0" w:color="auto"/>
        <w:bottom w:val="none" w:sz="0" w:space="0" w:color="auto"/>
        <w:right w:val="none" w:sz="0" w:space="0" w:color="auto"/>
      </w:divBdr>
    </w:div>
    <w:div w:id="1235778037">
      <w:bodyDiv w:val="1"/>
      <w:marLeft w:val="0"/>
      <w:marRight w:val="0"/>
      <w:marTop w:val="0"/>
      <w:marBottom w:val="0"/>
      <w:divBdr>
        <w:top w:val="none" w:sz="0" w:space="0" w:color="auto"/>
        <w:left w:val="none" w:sz="0" w:space="0" w:color="auto"/>
        <w:bottom w:val="none" w:sz="0" w:space="0" w:color="auto"/>
        <w:right w:val="none" w:sz="0" w:space="0" w:color="auto"/>
      </w:divBdr>
    </w:div>
    <w:div w:id="1235971716">
      <w:bodyDiv w:val="1"/>
      <w:marLeft w:val="0"/>
      <w:marRight w:val="0"/>
      <w:marTop w:val="0"/>
      <w:marBottom w:val="0"/>
      <w:divBdr>
        <w:top w:val="none" w:sz="0" w:space="0" w:color="auto"/>
        <w:left w:val="none" w:sz="0" w:space="0" w:color="auto"/>
        <w:bottom w:val="none" w:sz="0" w:space="0" w:color="auto"/>
        <w:right w:val="none" w:sz="0" w:space="0" w:color="auto"/>
      </w:divBdr>
    </w:div>
    <w:div w:id="1238127053">
      <w:bodyDiv w:val="1"/>
      <w:marLeft w:val="0"/>
      <w:marRight w:val="0"/>
      <w:marTop w:val="0"/>
      <w:marBottom w:val="0"/>
      <w:divBdr>
        <w:top w:val="none" w:sz="0" w:space="0" w:color="auto"/>
        <w:left w:val="none" w:sz="0" w:space="0" w:color="auto"/>
        <w:bottom w:val="none" w:sz="0" w:space="0" w:color="auto"/>
        <w:right w:val="none" w:sz="0" w:space="0" w:color="auto"/>
      </w:divBdr>
    </w:div>
    <w:div w:id="1239171135">
      <w:bodyDiv w:val="1"/>
      <w:marLeft w:val="0"/>
      <w:marRight w:val="0"/>
      <w:marTop w:val="0"/>
      <w:marBottom w:val="0"/>
      <w:divBdr>
        <w:top w:val="none" w:sz="0" w:space="0" w:color="auto"/>
        <w:left w:val="none" w:sz="0" w:space="0" w:color="auto"/>
        <w:bottom w:val="none" w:sz="0" w:space="0" w:color="auto"/>
        <w:right w:val="none" w:sz="0" w:space="0" w:color="auto"/>
      </w:divBdr>
    </w:div>
    <w:div w:id="1240140073">
      <w:bodyDiv w:val="1"/>
      <w:marLeft w:val="0"/>
      <w:marRight w:val="0"/>
      <w:marTop w:val="0"/>
      <w:marBottom w:val="0"/>
      <w:divBdr>
        <w:top w:val="none" w:sz="0" w:space="0" w:color="auto"/>
        <w:left w:val="none" w:sz="0" w:space="0" w:color="auto"/>
        <w:bottom w:val="none" w:sz="0" w:space="0" w:color="auto"/>
        <w:right w:val="none" w:sz="0" w:space="0" w:color="auto"/>
      </w:divBdr>
    </w:div>
    <w:div w:id="1241526646">
      <w:bodyDiv w:val="1"/>
      <w:marLeft w:val="0"/>
      <w:marRight w:val="0"/>
      <w:marTop w:val="0"/>
      <w:marBottom w:val="0"/>
      <w:divBdr>
        <w:top w:val="none" w:sz="0" w:space="0" w:color="auto"/>
        <w:left w:val="none" w:sz="0" w:space="0" w:color="auto"/>
        <w:bottom w:val="none" w:sz="0" w:space="0" w:color="auto"/>
        <w:right w:val="none" w:sz="0" w:space="0" w:color="auto"/>
      </w:divBdr>
    </w:div>
    <w:div w:id="1245143521">
      <w:bodyDiv w:val="1"/>
      <w:marLeft w:val="0"/>
      <w:marRight w:val="0"/>
      <w:marTop w:val="0"/>
      <w:marBottom w:val="0"/>
      <w:divBdr>
        <w:top w:val="none" w:sz="0" w:space="0" w:color="auto"/>
        <w:left w:val="none" w:sz="0" w:space="0" w:color="auto"/>
        <w:bottom w:val="none" w:sz="0" w:space="0" w:color="auto"/>
        <w:right w:val="none" w:sz="0" w:space="0" w:color="auto"/>
      </w:divBdr>
    </w:div>
    <w:div w:id="1247763567">
      <w:bodyDiv w:val="1"/>
      <w:marLeft w:val="0"/>
      <w:marRight w:val="0"/>
      <w:marTop w:val="0"/>
      <w:marBottom w:val="0"/>
      <w:divBdr>
        <w:top w:val="none" w:sz="0" w:space="0" w:color="auto"/>
        <w:left w:val="none" w:sz="0" w:space="0" w:color="auto"/>
        <w:bottom w:val="none" w:sz="0" w:space="0" w:color="auto"/>
        <w:right w:val="none" w:sz="0" w:space="0" w:color="auto"/>
      </w:divBdr>
    </w:div>
    <w:div w:id="1248077075">
      <w:bodyDiv w:val="1"/>
      <w:marLeft w:val="0"/>
      <w:marRight w:val="0"/>
      <w:marTop w:val="0"/>
      <w:marBottom w:val="0"/>
      <w:divBdr>
        <w:top w:val="none" w:sz="0" w:space="0" w:color="auto"/>
        <w:left w:val="none" w:sz="0" w:space="0" w:color="auto"/>
        <w:bottom w:val="none" w:sz="0" w:space="0" w:color="auto"/>
        <w:right w:val="none" w:sz="0" w:space="0" w:color="auto"/>
      </w:divBdr>
    </w:div>
    <w:div w:id="1250309628">
      <w:bodyDiv w:val="1"/>
      <w:marLeft w:val="0"/>
      <w:marRight w:val="0"/>
      <w:marTop w:val="0"/>
      <w:marBottom w:val="0"/>
      <w:divBdr>
        <w:top w:val="none" w:sz="0" w:space="0" w:color="auto"/>
        <w:left w:val="none" w:sz="0" w:space="0" w:color="auto"/>
        <w:bottom w:val="none" w:sz="0" w:space="0" w:color="auto"/>
        <w:right w:val="none" w:sz="0" w:space="0" w:color="auto"/>
      </w:divBdr>
    </w:div>
    <w:div w:id="1252663058">
      <w:bodyDiv w:val="1"/>
      <w:marLeft w:val="0"/>
      <w:marRight w:val="0"/>
      <w:marTop w:val="0"/>
      <w:marBottom w:val="0"/>
      <w:divBdr>
        <w:top w:val="none" w:sz="0" w:space="0" w:color="auto"/>
        <w:left w:val="none" w:sz="0" w:space="0" w:color="auto"/>
        <w:bottom w:val="none" w:sz="0" w:space="0" w:color="auto"/>
        <w:right w:val="none" w:sz="0" w:space="0" w:color="auto"/>
      </w:divBdr>
    </w:div>
    <w:div w:id="1256745348">
      <w:bodyDiv w:val="1"/>
      <w:marLeft w:val="0"/>
      <w:marRight w:val="0"/>
      <w:marTop w:val="0"/>
      <w:marBottom w:val="0"/>
      <w:divBdr>
        <w:top w:val="none" w:sz="0" w:space="0" w:color="auto"/>
        <w:left w:val="none" w:sz="0" w:space="0" w:color="auto"/>
        <w:bottom w:val="none" w:sz="0" w:space="0" w:color="auto"/>
        <w:right w:val="none" w:sz="0" w:space="0" w:color="auto"/>
      </w:divBdr>
    </w:div>
    <w:div w:id="1261065599">
      <w:bodyDiv w:val="1"/>
      <w:marLeft w:val="0"/>
      <w:marRight w:val="0"/>
      <w:marTop w:val="0"/>
      <w:marBottom w:val="0"/>
      <w:divBdr>
        <w:top w:val="none" w:sz="0" w:space="0" w:color="auto"/>
        <w:left w:val="none" w:sz="0" w:space="0" w:color="auto"/>
        <w:bottom w:val="none" w:sz="0" w:space="0" w:color="auto"/>
        <w:right w:val="none" w:sz="0" w:space="0" w:color="auto"/>
      </w:divBdr>
    </w:div>
    <w:div w:id="1265069484">
      <w:bodyDiv w:val="1"/>
      <w:marLeft w:val="0"/>
      <w:marRight w:val="0"/>
      <w:marTop w:val="0"/>
      <w:marBottom w:val="0"/>
      <w:divBdr>
        <w:top w:val="none" w:sz="0" w:space="0" w:color="auto"/>
        <w:left w:val="none" w:sz="0" w:space="0" w:color="auto"/>
        <w:bottom w:val="none" w:sz="0" w:space="0" w:color="auto"/>
        <w:right w:val="none" w:sz="0" w:space="0" w:color="auto"/>
      </w:divBdr>
    </w:div>
    <w:div w:id="1268931391">
      <w:bodyDiv w:val="1"/>
      <w:marLeft w:val="0"/>
      <w:marRight w:val="0"/>
      <w:marTop w:val="0"/>
      <w:marBottom w:val="0"/>
      <w:divBdr>
        <w:top w:val="none" w:sz="0" w:space="0" w:color="auto"/>
        <w:left w:val="none" w:sz="0" w:space="0" w:color="auto"/>
        <w:bottom w:val="none" w:sz="0" w:space="0" w:color="auto"/>
        <w:right w:val="none" w:sz="0" w:space="0" w:color="auto"/>
      </w:divBdr>
    </w:div>
    <w:div w:id="1279678193">
      <w:bodyDiv w:val="1"/>
      <w:marLeft w:val="0"/>
      <w:marRight w:val="0"/>
      <w:marTop w:val="0"/>
      <w:marBottom w:val="0"/>
      <w:divBdr>
        <w:top w:val="none" w:sz="0" w:space="0" w:color="auto"/>
        <w:left w:val="none" w:sz="0" w:space="0" w:color="auto"/>
        <w:bottom w:val="none" w:sz="0" w:space="0" w:color="auto"/>
        <w:right w:val="none" w:sz="0" w:space="0" w:color="auto"/>
      </w:divBdr>
    </w:div>
    <w:div w:id="1281912322">
      <w:bodyDiv w:val="1"/>
      <w:marLeft w:val="0"/>
      <w:marRight w:val="0"/>
      <w:marTop w:val="0"/>
      <w:marBottom w:val="0"/>
      <w:divBdr>
        <w:top w:val="none" w:sz="0" w:space="0" w:color="auto"/>
        <w:left w:val="none" w:sz="0" w:space="0" w:color="auto"/>
        <w:bottom w:val="none" w:sz="0" w:space="0" w:color="auto"/>
        <w:right w:val="none" w:sz="0" w:space="0" w:color="auto"/>
      </w:divBdr>
    </w:div>
    <w:div w:id="1282495554">
      <w:bodyDiv w:val="1"/>
      <w:marLeft w:val="0"/>
      <w:marRight w:val="0"/>
      <w:marTop w:val="0"/>
      <w:marBottom w:val="0"/>
      <w:divBdr>
        <w:top w:val="none" w:sz="0" w:space="0" w:color="auto"/>
        <w:left w:val="none" w:sz="0" w:space="0" w:color="auto"/>
        <w:bottom w:val="none" w:sz="0" w:space="0" w:color="auto"/>
        <w:right w:val="none" w:sz="0" w:space="0" w:color="auto"/>
      </w:divBdr>
    </w:div>
    <w:div w:id="1284772453">
      <w:bodyDiv w:val="1"/>
      <w:marLeft w:val="0"/>
      <w:marRight w:val="0"/>
      <w:marTop w:val="0"/>
      <w:marBottom w:val="0"/>
      <w:divBdr>
        <w:top w:val="none" w:sz="0" w:space="0" w:color="auto"/>
        <w:left w:val="none" w:sz="0" w:space="0" w:color="auto"/>
        <w:bottom w:val="none" w:sz="0" w:space="0" w:color="auto"/>
        <w:right w:val="none" w:sz="0" w:space="0" w:color="auto"/>
      </w:divBdr>
    </w:div>
    <w:div w:id="1289627569">
      <w:bodyDiv w:val="1"/>
      <w:marLeft w:val="0"/>
      <w:marRight w:val="0"/>
      <w:marTop w:val="0"/>
      <w:marBottom w:val="0"/>
      <w:divBdr>
        <w:top w:val="none" w:sz="0" w:space="0" w:color="auto"/>
        <w:left w:val="none" w:sz="0" w:space="0" w:color="auto"/>
        <w:bottom w:val="none" w:sz="0" w:space="0" w:color="auto"/>
        <w:right w:val="none" w:sz="0" w:space="0" w:color="auto"/>
      </w:divBdr>
    </w:div>
    <w:div w:id="1293831531">
      <w:bodyDiv w:val="1"/>
      <w:marLeft w:val="0"/>
      <w:marRight w:val="0"/>
      <w:marTop w:val="0"/>
      <w:marBottom w:val="0"/>
      <w:divBdr>
        <w:top w:val="none" w:sz="0" w:space="0" w:color="auto"/>
        <w:left w:val="none" w:sz="0" w:space="0" w:color="auto"/>
        <w:bottom w:val="none" w:sz="0" w:space="0" w:color="auto"/>
        <w:right w:val="none" w:sz="0" w:space="0" w:color="auto"/>
      </w:divBdr>
    </w:div>
    <w:div w:id="1293904917">
      <w:bodyDiv w:val="1"/>
      <w:marLeft w:val="0"/>
      <w:marRight w:val="0"/>
      <w:marTop w:val="0"/>
      <w:marBottom w:val="0"/>
      <w:divBdr>
        <w:top w:val="none" w:sz="0" w:space="0" w:color="auto"/>
        <w:left w:val="none" w:sz="0" w:space="0" w:color="auto"/>
        <w:bottom w:val="none" w:sz="0" w:space="0" w:color="auto"/>
        <w:right w:val="none" w:sz="0" w:space="0" w:color="auto"/>
      </w:divBdr>
    </w:div>
    <w:div w:id="1294139767">
      <w:bodyDiv w:val="1"/>
      <w:marLeft w:val="0"/>
      <w:marRight w:val="0"/>
      <w:marTop w:val="0"/>
      <w:marBottom w:val="0"/>
      <w:divBdr>
        <w:top w:val="none" w:sz="0" w:space="0" w:color="auto"/>
        <w:left w:val="none" w:sz="0" w:space="0" w:color="auto"/>
        <w:bottom w:val="none" w:sz="0" w:space="0" w:color="auto"/>
        <w:right w:val="none" w:sz="0" w:space="0" w:color="auto"/>
      </w:divBdr>
    </w:div>
    <w:div w:id="1295331892">
      <w:bodyDiv w:val="1"/>
      <w:marLeft w:val="0"/>
      <w:marRight w:val="0"/>
      <w:marTop w:val="0"/>
      <w:marBottom w:val="0"/>
      <w:divBdr>
        <w:top w:val="none" w:sz="0" w:space="0" w:color="auto"/>
        <w:left w:val="none" w:sz="0" w:space="0" w:color="auto"/>
        <w:bottom w:val="none" w:sz="0" w:space="0" w:color="auto"/>
        <w:right w:val="none" w:sz="0" w:space="0" w:color="auto"/>
      </w:divBdr>
    </w:div>
    <w:div w:id="1299338307">
      <w:bodyDiv w:val="1"/>
      <w:marLeft w:val="0"/>
      <w:marRight w:val="0"/>
      <w:marTop w:val="0"/>
      <w:marBottom w:val="0"/>
      <w:divBdr>
        <w:top w:val="none" w:sz="0" w:space="0" w:color="auto"/>
        <w:left w:val="none" w:sz="0" w:space="0" w:color="auto"/>
        <w:bottom w:val="none" w:sz="0" w:space="0" w:color="auto"/>
        <w:right w:val="none" w:sz="0" w:space="0" w:color="auto"/>
      </w:divBdr>
    </w:div>
    <w:div w:id="1303198876">
      <w:bodyDiv w:val="1"/>
      <w:marLeft w:val="0"/>
      <w:marRight w:val="0"/>
      <w:marTop w:val="0"/>
      <w:marBottom w:val="0"/>
      <w:divBdr>
        <w:top w:val="none" w:sz="0" w:space="0" w:color="auto"/>
        <w:left w:val="none" w:sz="0" w:space="0" w:color="auto"/>
        <w:bottom w:val="none" w:sz="0" w:space="0" w:color="auto"/>
        <w:right w:val="none" w:sz="0" w:space="0" w:color="auto"/>
      </w:divBdr>
    </w:div>
    <w:div w:id="1307852537">
      <w:bodyDiv w:val="1"/>
      <w:marLeft w:val="0"/>
      <w:marRight w:val="0"/>
      <w:marTop w:val="0"/>
      <w:marBottom w:val="0"/>
      <w:divBdr>
        <w:top w:val="none" w:sz="0" w:space="0" w:color="auto"/>
        <w:left w:val="none" w:sz="0" w:space="0" w:color="auto"/>
        <w:bottom w:val="none" w:sz="0" w:space="0" w:color="auto"/>
        <w:right w:val="none" w:sz="0" w:space="0" w:color="auto"/>
      </w:divBdr>
    </w:div>
    <w:div w:id="1308969934">
      <w:bodyDiv w:val="1"/>
      <w:marLeft w:val="0"/>
      <w:marRight w:val="0"/>
      <w:marTop w:val="0"/>
      <w:marBottom w:val="0"/>
      <w:divBdr>
        <w:top w:val="none" w:sz="0" w:space="0" w:color="auto"/>
        <w:left w:val="none" w:sz="0" w:space="0" w:color="auto"/>
        <w:bottom w:val="none" w:sz="0" w:space="0" w:color="auto"/>
        <w:right w:val="none" w:sz="0" w:space="0" w:color="auto"/>
      </w:divBdr>
    </w:div>
    <w:div w:id="1309626570">
      <w:bodyDiv w:val="1"/>
      <w:marLeft w:val="0"/>
      <w:marRight w:val="0"/>
      <w:marTop w:val="0"/>
      <w:marBottom w:val="0"/>
      <w:divBdr>
        <w:top w:val="none" w:sz="0" w:space="0" w:color="auto"/>
        <w:left w:val="none" w:sz="0" w:space="0" w:color="auto"/>
        <w:bottom w:val="none" w:sz="0" w:space="0" w:color="auto"/>
        <w:right w:val="none" w:sz="0" w:space="0" w:color="auto"/>
      </w:divBdr>
    </w:div>
    <w:div w:id="1314330232">
      <w:bodyDiv w:val="1"/>
      <w:marLeft w:val="0"/>
      <w:marRight w:val="0"/>
      <w:marTop w:val="0"/>
      <w:marBottom w:val="0"/>
      <w:divBdr>
        <w:top w:val="none" w:sz="0" w:space="0" w:color="auto"/>
        <w:left w:val="none" w:sz="0" w:space="0" w:color="auto"/>
        <w:bottom w:val="none" w:sz="0" w:space="0" w:color="auto"/>
        <w:right w:val="none" w:sz="0" w:space="0" w:color="auto"/>
      </w:divBdr>
    </w:div>
    <w:div w:id="1315447203">
      <w:bodyDiv w:val="1"/>
      <w:marLeft w:val="0"/>
      <w:marRight w:val="0"/>
      <w:marTop w:val="0"/>
      <w:marBottom w:val="0"/>
      <w:divBdr>
        <w:top w:val="none" w:sz="0" w:space="0" w:color="auto"/>
        <w:left w:val="none" w:sz="0" w:space="0" w:color="auto"/>
        <w:bottom w:val="none" w:sz="0" w:space="0" w:color="auto"/>
        <w:right w:val="none" w:sz="0" w:space="0" w:color="auto"/>
      </w:divBdr>
    </w:div>
    <w:div w:id="1318336752">
      <w:bodyDiv w:val="1"/>
      <w:marLeft w:val="0"/>
      <w:marRight w:val="0"/>
      <w:marTop w:val="0"/>
      <w:marBottom w:val="0"/>
      <w:divBdr>
        <w:top w:val="none" w:sz="0" w:space="0" w:color="auto"/>
        <w:left w:val="none" w:sz="0" w:space="0" w:color="auto"/>
        <w:bottom w:val="none" w:sz="0" w:space="0" w:color="auto"/>
        <w:right w:val="none" w:sz="0" w:space="0" w:color="auto"/>
      </w:divBdr>
    </w:div>
    <w:div w:id="1320353967">
      <w:bodyDiv w:val="1"/>
      <w:marLeft w:val="0"/>
      <w:marRight w:val="0"/>
      <w:marTop w:val="0"/>
      <w:marBottom w:val="0"/>
      <w:divBdr>
        <w:top w:val="none" w:sz="0" w:space="0" w:color="auto"/>
        <w:left w:val="none" w:sz="0" w:space="0" w:color="auto"/>
        <w:bottom w:val="none" w:sz="0" w:space="0" w:color="auto"/>
        <w:right w:val="none" w:sz="0" w:space="0" w:color="auto"/>
      </w:divBdr>
    </w:div>
    <w:div w:id="1321696518">
      <w:bodyDiv w:val="1"/>
      <w:marLeft w:val="0"/>
      <w:marRight w:val="0"/>
      <w:marTop w:val="0"/>
      <w:marBottom w:val="0"/>
      <w:divBdr>
        <w:top w:val="none" w:sz="0" w:space="0" w:color="auto"/>
        <w:left w:val="none" w:sz="0" w:space="0" w:color="auto"/>
        <w:bottom w:val="none" w:sz="0" w:space="0" w:color="auto"/>
        <w:right w:val="none" w:sz="0" w:space="0" w:color="auto"/>
      </w:divBdr>
    </w:div>
    <w:div w:id="1321806588">
      <w:bodyDiv w:val="1"/>
      <w:marLeft w:val="0"/>
      <w:marRight w:val="0"/>
      <w:marTop w:val="0"/>
      <w:marBottom w:val="0"/>
      <w:divBdr>
        <w:top w:val="none" w:sz="0" w:space="0" w:color="auto"/>
        <w:left w:val="none" w:sz="0" w:space="0" w:color="auto"/>
        <w:bottom w:val="none" w:sz="0" w:space="0" w:color="auto"/>
        <w:right w:val="none" w:sz="0" w:space="0" w:color="auto"/>
      </w:divBdr>
    </w:div>
    <w:div w:id="1334990059">
      <w:bodyDiv w:val="1"/>
      <w:marLeft w:val="0"/>
      <w:marRight w:val="0"/>
      <w:marTop w:val="0"/>
      <w:marBottom w:val="0"/>
      <w:divBdr>
        <w:top w:val="none" w:sz="0" w:space="0" w:color="auto"/>
        <w:left w:val="none" w:sz="0" w:space="0" w:color="auto"/>
        <w:bottom w:val="none" w:sz="0" w:space="0" w:color="auto"/>
        <w:right w:val="none" w:sz="0" w:space="0" w:color="auto"/>
      </w:divBdr>
      <w:divsChild>
        <w:div w:id="1149439956">
          <w:marLeft w:val="0"/>
          <w:marRight w:val="0"/>
          <w:marTop w:val="0"/>
          <w:marBottom w:val="0"/>
          <w:divBdr>
            <w:top w:val="none" w:sz="0" w:space="0" w:color="auto"/>
            <w:left w:val="none" w:sz="0" w:space="0" w:color="auto"/>
            <w:bottom w:val="none" w:sz="0" w:space="0" w:color="auto"/>
            <w:right w:val="none" w:sz="0" w:space="0" w:color="auto"/>
          </w:divBdr>
        </w:div>
      </w:divsChild>
    </w:div>
    <w:div w:id="1337074355">
      <w:bodyDiv w:val="1"/>
      <w:marLeft w:val="0"/>
      <w:marRight w:val="0"/>
      <w:marTop w:val="0"/>
      <w:marBottom w:val="0"/>
      <w:divBdr>
        <w:top w:val="none" w:sz="0" w:space="0" w:color="auto"/>
        <w:left w:val="none" w:sz="0" w:space="0" w:color="auto"/>
        <w:bottom w:val="none" w:sz="0" w:space="0" w:color="auto"/>
        <w:right w:val="none" w:sz="0" w:space="0" w:color="auto"/>
      </w:divBdr>
    </w:div>
    <w:div w:id="1337417908">
      <w:bodyDiv w:val="1"/>
      <w:marLeft w:val="0"/>
      <w:marRight w:val="0"/>
      <w:marTop w:val="0"/>
      <w:marBottom w:val="0"/>
      <w:divBdr>
        <w:top w:val="none" w:sz="0" w:space="0" w:color="auto"/>
        <w:left w:val="none" w:sz="0" w:space="0" w:color="auto"/>
        <w:bottom w:val="none" w:sz="0" w:space="0" w:color="auto"/>
        <w:right w:val="none" w:sz="0" w:space="0" w:color="auto"/>
      </w:divBdr>
    </w:div>
    <w:div w:id="1350062735">
      <w:bodyDiv w:val="1"/>
      <w:marLeft w:val="0"/>
      <w:marRight w:val="0"/>
      <w:marTop w:val="0"/>
      <w:marBottom w:val="0"/>
      <w:divBdr>
        <w:top w:val="none" w:sz="0" w:space="0" w:color="auto"/>
        <w:left w:val="none" w:sz="0" w:space="0" w:color="auto"/>
        <w:bottom w:val="none" w:sz="0" w:space="0" w:color="auto"/>
        <w:right w:val="none" w:sz="0" w:space="0" w:color="auto"/>
      </w:divBdr>
    </w:div>
    <w:div w:id="1352148802">
      <w:bodyDiv w:val="1"/>
      <w:marLeft w:val="0"/>
      <w:marRight w:val="0"/>
      <w:marTop w:val="0"/>
      <w:marBottom w:val="0"/>
      <w:divBdr>
        <w:top w:val="none" w:sz="0" w:space="0" w:color="auto"/>
        <w:left w:val="none" w:sz="0" w:space="0" w:color="auto"/>
        <w:bottom w:val="none" w:sz="0" w:space="0" w:color="auto"/>
        <w:right w:val="none" w:sz="0" w:space="0" w:color="auto"/>
      </w:divBdr>
    </w:div>
    <w:div w:id="1356537777">
      <w:bodyDiv w:val="1"/>
      <w:marLeft w:val="0"/>
      <w:marRight w:val="0"/>
      <w:marTop w:val="0"/>
      <w:marBottom w:val="0"/>
      <w:divBdr>
        <w:top w:val="none" w:sz="0" w:space="0" w:color="auto"/>
        <w:left w:val="none" w:sz="0" w:space="0" w:color="auto"/>
        <w:bottom w:val="none" w:sz="0" w:space="0" w:color="auto"/>
        <w:right w:val="none" w:sz="0" w:space="0" w:color="auto"/>
      </w:divBdr>
    </w:div>
    <w:div w:id="1356881651">
      <w:bodyDiv w:val="1"/>
      <w:marLeft w:val="0"/>
      <w:marRight w:val="0"/>
      <w:marTop w:val="0"/>
      <w:marBottom w:val="0"/>
      <w:divBdr>
        <w:top w:val="none" w:sz="0" w:space="0" w:color="auto"/>
        <w:left w:val="none" w:sz="0" w:space="0" w:color="auto"/>
        <w:bottom w:val="none" w:sz="0" w:space="0" w:color="auto"/>
        <w:right w:val="none" w:sz="0" w:space="0" w:color="auto"/>
      </w:divBdr>
    </w:div>
    <w:div w:id="1360546277">
      <w:bodyDiv w:val="1"/>
      <w:marLeft w:val="0"/>
      <w:marRight w:val="0"/>
      <w:marTop w:val="0"/>
      <w:marBottom w:val="0"/>
      <w:divBdr>
        <w:top w:val="none" w:sz="0" w:space="0" w:color="auto"/>
        <w:left w:val="none" w:sz="0" w:space="0" w:color="auto"/>
        <w:bottom w:val="none" w:sz="0" w:space="0" w:color="auto"/>
        <w:right w:val="none" w:sz="0" w:space="0" w:color="auto"/>
      </w:divBdr>
    </w:div>
    <w:div w:id="1361665652">
      <w:bodyDiv w:val="1"/>
      <w:marLeft w:val="0"/>
      <w:marRight w:val="0"/>
      <w:marTop w:val="0"/>
      <w:marBottom w:val="0"/>
      <w:divBdr>
        <w:top w:val="none" w:sz="0" w:space="0" w:color="auto"/>
        <w:left w:val="none" w:sz="0" w:space="0" w:color="auto"/>
        <w:bottom w:val="none" w:sz="0" w:space="0" w:color="auto"/>
        <w:right w:val="none" w:sz="0" w:space="0" w:color="auto"/>
      </w:divBdr>
    </w:div>
    <w:div w:id="1361852880">
      <w:bodyDiv w:val="1"/>
      <w:marLeft w:val="0"/>
      <w:marRight w:val="0"/>
      <w:marTop w:val="0"/>
      <w:marBottom w:val="0"/>
      <w:divBdr>
        <w:top w:val="none" w:sz="0" w:space="0" w:color="auto"/>
        <w:left w:val="none" w:sz="0" w:space="0" w:color="auto"/>
        <w:bottom w:val="none" w:sz="0" w:space="0" w:color="auto"/>
        <w:right w:val="none" w:sz="0" w:space="0" w:color="auto"/>
      </w:divBdr>
    </w:div>
    <w:div w:id="1366103547">
      <w:bodyDiv w:val="1"/>
      <w:marLeft w:val="0"/>
      <w:marRight w:val="0"/>
      <w:marTop w:val="0"/>
      <w:marBottom w:val="0"/>
      <w:divBdr>
        <w:top w:val="none" w:sz="0" w:space="0" w:color="auto"/>
        <w:left w:val="none" w:sz="0" w:space="0" w:color="auto"/>
        <w:bottom w:val="none" w:sz="0" w:space="0" w:color="auto"/>
        <w:right w:val="none" w:sz="0" w:space="0" w:color="auto"/>
      </w:divBdr>
    </w:div>
    <w:div w:id="1366906163">
      <w:bodyDiv w:val="1"/>
      <w:marLeft w:val="0"/>
      <w:marRight w:val="0"/>
      <w:marTop w:val="0"/>
      <w:marBottom w:val="0"/>
      <w:divBdr>
        <w:top w:val="none" w:sz="0" w:space="0" w:color="auto"/>
        <w:left w:val="none" w:sz="0" w:space="0" w:color="auto"/>
        <w:bottom w:val="none" w:sz="0" w:space="0" w:color="auto"/>
        <w:right w:val="none" w:sz="0" w:space="0" w:color="auto"/>
      </w:divBdr>
    </w:div>
    <w:div w:id="1369598508">
      <w:bodyDiv w:val="1"/>
      <w:marLeft w:val="0"/>
      <w:marRight w:val="0"/>
      <w:marTop w:val="0"/>
      <w:marBottom w:val="0"/>
      <w:divBdr>
        <w:top w:val="none" w:sz="0" w:space="0" w:color="auto"/>
        <w:left w:val="none" w:sz="0" w:space="0" w:color="auto"/>
        <w:bottom w:val="none" w:sz="0" w:space="0" w:color="auto"/>
        <w:right w:val="none" w:sz="0" w:space="0" w:color="auto"/>
      </w:divBdr>
    </w:div>
    <w:div w:id="1373116432">
      <w:bodyDiv w:val="1"/>
      <w:marLeft w:val="0"/>
      <w:marRight w:val="0"/>
      <w:marTop w:val="0"/>
      <w:marBottom w:val="0"/>
      <w:divBdr>
        <w:top w:val="none" w:sz="0" w:space="0" w:color="auto"/>
        <w:left w:val="none" w:sz="0" w:space="0" w:color="auto"/>
        <w:bottom w:val="none" w:sz="0" w:space="0" w:color="auto"/>
        <w:right w:val="none" w:sz="0" w:space="0" w:color="auto"/>
      </w:divBdr>
    </w:div>
    <w:div w:id="1373535290">
      <w:bodyDiv w:val="1"/>
      <w:marLeft w:val="0"/>
      <w:marRight w:val="0"/>
      <w:marTop w:val="0"/>
      <w:marBottom w:val="0"/>
      <w:divBdr>
        <w:top w:val="none" w:sz="0" w:space="0" w:color="auto"/>
        <w:left w:val="none" w:sz="0" w:space="0" w:color="auto"/>
        <w:bottom w:val="none" w:sz="0" w:space="0" w:color="auto"/>
        <w:right w:val="none" w:sz="0" w:space="0" w:color="auto"/>
      </w:divBdr>
    </w:div>
    <w:div w:id="1375930977">
      <w:bodyDiv w:val="1"/>
      <w:marLeft w:val="0"/>
      <w:marRight w:val="0"/>
      <w:marTop w:val="0"/>
      <w:marBottom w:val="0"/>
      <w:divBdr>
        <w:top w:val="none" w:sz="0" w:space="0" w:color="auto"/>
        <w:left w:val="none" w:sz="0" w:space="0" w:color="auto"/>
        <w:bottom w:val="none" w:sz="0" w:space="0" w:color="auto"/>
        <w:right w:val="none" w:sz="0" w:space="0" w:color="auto"/>
      </w:divBdr>
    </w:div>
    <w:div w:id="1376126097">
      <w:bodyDiv w:val="1"/>
      <w:marLeft w:val="0"/>
      <w:marRight w:val="0"/>
      <w:marTop w:val="0"/>
      <w:marBottom w:val="0"/>
      <w:divBdr>
        <w:top w:val="none" w:sz="0" w:space="0" w:color="auto"/>
        <w:left w:val="none" w:sz="0" w:space="0" w:color="auto"/>
        <w:bottom w:val="none" w:sz="0" w:space="0" w:color="auto"/>
        <w:right w:val="none" w:sz="0" w:space="0" w:color="auto"/>
      </w:divBdr>
    </w:div>
    <w:div w:id="1379279076">
      <w:bodyDiv w:val="1"/>
      <w:marLeft w:val="0"/>
      <w:marRight w:val="0"/>
      <w:marTop w:val="0"/>
      <w:marBottom w:val="0"/>
      <w:divBdr>
        <w:top w:val="none" w:sz="0" w:space="0" w:color="auto"/>
        <w:left w:val="none" w:sz="0" w:space="0" w:color="auto"/>
        <w:bottom w:val="none" w:sz="0" w:space="0" w:color="auto"/>
        <w:right w:val="none" w:sz="0" w:space="0" w:color="auto"/>
      </w:divBdr>
    </w:div>
    <w:div w:id="1381006367">
      <w:bodyDiv w:val="1"/>
      <w:marLeft w:val="0"/>
      <w:marRight w:val="0"/>
      <w:marTop w:val="0"/>
      <w:marBottom w:val="0"/>
      <w:divBdr>
        <w:top w:val="none" w:sz="0" w:space="0" w:color="auto"/>
        <w:left w:val="none" w:sz="0" w:space="0" w:color="auto"/>
        <w:bottom w:val="none" w:sz="0" w:space="0" w:color="auto"/>
        <w:right w:val="none" w:sz="0" w:space="0" w:color="auto"/>
      </w:divBdr>
    </w:div>
    <w:div w:id="1381979154">
      <w:bodyDiv w:val="1"/>
      <w:marLeft w:val="0"/>
      <w:marRight w:val="0"/>
      <w:marTop w:val="0"/>
      <w:marBottom w:val="0"/>
      <w:divBdr>
        <w:top w:val="none" w:sz="0" w:space="0" w:color="auto"/>
        <w:left w:val="none" w:sz="0" w:space="0" w:color="auto"/>
        <w:bottom w:val="none" w:sz="0" w:space="0" w:color="auto"/>
        <w:right w:val="none" w:sz="0" w:space="0" w:color="auto"/>
      </w:divBdr>
    </w:div>
    <w:div w:id="1392967938">
      <w:bodyDiv w:val="1"/>
      <w:marLeft w:val="0"/>
      <w:marRight w:val="0"/>
      <w:marTop w:val="0"/>
      <w:marBottom w:val="0"/>
      <w:divBdr>
        <w:top w:val="none" w:sz="0" w:space="0" w:color="auto"/>
        <w:left w:val="none" w:sz="0" w:space="0" w:color="auto"/>
        <w:bottom w:val="none" w:sz="0" w:space="0" w:color="auto"/>
        <w:right w:val="none" w:sz="0" w:space="0" w:color="auto"/>
      </w:divBdr>
    </w:div>
    <w:div w:id="1405299702">
      <w:bodyDiv w:val="1"/>
      <w:marLeft w:val="0"/>
      <w:marRight w:val="0"/>
      <w:marTop w:val="0"/>
      <w:marBottom w:val="0"/>
      <w:divBdr>
        <w:top w:val="none" w:sz="0" w:space="0" w:color="auto"/>
        <w:left w:val="none" w:sz="0" w:space="0" w:color="auto"/>
        <w:bottom w:val="none" w:sz="0" w:space="0" w:color="auto"/>
        <w:right w:val="none" w:sz="0" w:space="0" w:color="auto"/>
      </w:divBdr>
    </w:div>
    <w:div w:id="1406028131">
      <w:bodyDiv w:val="1"/>
      <w:marLeft w:val="0"/>
      <w:marRight w:val="0"/>
      <w:marTop w:val="0"/>
      <w:marBottom w:val="0"/>
      <w:divBdr>
        <w:top w:val="none" w:sz="0" w:space="0" w:color="auto"/>
        <w:left w:val="none" w:sz="0" w:space="0" w:color="auto"/>
        <w:bottom w:val="none" w:sz="0" w:space="0" w:color="auto"/>
        <w:right w:val="none" w:sz="0" w:space="0" w:color="auto"/>
      </w:divBdr>
    </w:div>
    <w:div w:id="1407073897">
      <w:bodyDiv w:val="1"/>
      <w:marLeft w:val="0"/>
      <w:marRight w:val="0"/>
      <w:marTop w:val="0"/>
      <w:marBottom w:val="0"/>
      <w:divBdr>
        <w:top w:val="none" w:sz="0" w:space="0" w:color="auto"/>
        <w:left w:val="none" w:sz="0" w:space="0" w:color="auto"/>
        <w:bottom w:val="none" w:sz="0" w:space="0" w:color="auto"/>
        <w:right w:val="none" w:sz="0" w:space="0" w:color="auto"/>
      </w:divBdr>
    </w:div>
    <w:div w:id="1409497282">
      <w:bodyDiv w:val="1"/>
      <w:marLeft w:val="0"/>
      <w:marRight w:val="0"/>
      <w:marTop w:val="0"/>
      <w:marBottom w:val="0"/>
      <w:divBdr>
        <w:top w:val="none" w:sz="0" w:space="0" w:color="auto"/>
        <w:left w:val="none" w:sz="0" w:space="0" w:color="auto"/>
        <w:bottom w:val="none" w:sz="0" w:space="0" w:color="auto"/>
        <w:right w:val="none" w:sz="0" w:space="0" w:color="auto"/>
      </w:divBdr>
    </w:div>
    <w:div w:id="1411124488">
      <w:bodyDiv w:val="1"/>
      <w:marLeft w:val="0"/>
      <w:marRight w:val="0"/>
      <w:marTop w:val="0"/>
      <w:marBottom w:val="0"/>
      <w:divBdr>
        <w:top w:val="none" w:sz="0" w:space="0" w:color="auto"/>
        <w:left w:val="none" w:sz="0" w:space="0" w:color="auto"/>
        <w:bottom w:val="none" w:sz="0" w:space="0" w:color="auto"/>
        <w:right w:val="none" w:sz="0" w:space="0" w:color="auto"/>
      </w:divBdr>
    </w:div>
    <w:div w:id="1413815835">
      <w:bodyDiv w:val="1"/>
      <w:marLeft w:val="0"/>
      <w:marRight w:val="0"/>
      <w:marTop w:val="0"/>
      <w:marBottom w:val="0"/>
      <w:divBdr>
        <w:top w:val="none" w:sz="0" w:space="0" w:color="auto"/>
        <w:left w:val="none" w:sz="0" w:space="0" w:color="auto"/>
        <w:bottom w:val="none" w:sz="0" w:space="0" w:color="auto"/>
        <w:right w:val="none" w:sz="0" w:space="0" w:color="auto"/>
      </w:divBdr>
    </w:div>
    <w:div w:id="1414156590">
      <w:bodyDiv w:val="1"/>
      <w:marLeft w:val="0"/>
      <w:marRight w:val="0"/>
      <w:marTop w:val="0"/>
      <w:marBottom w:val="0"/>
      <w:divBdr>
        <w:top w:val="none" w:sz="0" w:space="0" w:color="auto"/>
        <w:left w:val="none" w:sz="0" w:space="0" w:color="auto"/>
        <w:bottom w:val="none" w:sz="0" w:space="0" w:color="auto"/>
        <w:right w:val="none" w:sz="0" w:space="0" w:color="auto"/>
      </w:divBdr>
    </w:div>
    <w:div w:id="1415201533">
      <w:bodyDiv w:val="1"/>
      <w:marLeft w:val="0"/>
      <w:marRight w:val="0"/>
      <w:marTop w:val="0"/>
      <w:marBottom w:val="0"/>
      <w:divBdr>
        <w:top w:val="none" w:sz="0" w:space="0" w:color="auto"/>
        <w:left w:val="none" w:sz="0" w:space="0" w:color="auto"/>
        <w:bottom w:val="none" w:sz="0" w:space="0" w:color="auto"/>
        <w:right w:val="none" w:sz="0" w:space="0" w:color="auto"/>
      </w:divBdr>
    </w:div>
    <w:div w:id="1417945784">
      <w:bodyDiv w:val="1"/>
      <w:marLeft w:val="0"/>
      <w:marRight w:val="0"/>
      <w:marTop w:val="0"/>
      <w:marBottom w:val="0"/>
      <w:divBdr>
        <w:top w:val="none" w:sz="0" w:space="0" w:color="auto"/>
        <w:left w:val="none" w:sz="0" w:space="0" w:color="auto"/>
        <w:bottom w:val="none" w:sz="0" w:space="0" w:color="auto"/>
        <w:right w:val="none" w:sz="0" w:space="0" w:color="auto"/>
      </w:divBdr>
    </w:div>
    <w:div w:id="1418867603">
      <w:bodyDiv w:val="1"/>
      <w:marLeft w:val="0"/>
      <w:marRight w:val="0"/>
      <w:marTop w:val="0"/>
      <w:marBottom w:val="0"/>
      <w:divBdr>
        <w:top w:val="none" w:sz="0" w:space="0" w:color="auto"/>
        <w:left w:val="none" w:sz="0" w:space="0" w:color="auto"/>
        <w:bottom w:val="none" w:sz="0" w:space="0" w:color="auto"/>
        <w:right w:val="none" w:sz="0" w:space="0" w:color="auto"/>
      </w:divBdr>
    </w:div>
    <w:div w:id="1422335628">
      <w:bodyDiv w:val="1"/>
      <w:marLeft w:val="0"/>
      <w:marRight w:val="0"/>
      <w:marTop w:val="0"/>
      <w:marBottom w:val="0"/>
      <w:divBdr>
        <w:top w:val="none" w:sz="0" w:space="0" w:color="auto"/>
        <w:left w:val="none" w:sz="0" w:space="0" w:color="auto"/>
        <w:bottom w:val="none" w:sz="0" w:space="0" w:color="auto"/>
        <w:right w:val="none" w:sz="0" w:space="0" w:color="auto"/>
      </w:divBdr>
    </w:div>
    <w:div w:id="1425808377">
      <w:bodyDiv w:val="1"/>
      <w:marLeft w:val="0"/>
      <w:marRight w:val="0"/>
      <w:marTop w:val="0"/>
      <w:marBottom w:val="0"/>
      <w:divBdr>
        <w:top w:val="none" w:sz="0" w:space="0" w:color="auto"/>
        <w:left w:val="none" w:sz="0" w:space="0" w:color="auto"/>
        <w:bottom w:val="none" w:sz="0" w:space="0" w:color="auto"/>
        <w:right w:val="none" w:sz="0" w:space="0" w:color="auto"/>
      </w:divBdr>
    </w:div>
    <w:div w:id="1438596279">
      <w:bodyDiv w:val="1"/>
      <w:marLeft w:val="0"/>
      <w:marRight w:val="0"/>
      <w:marTop w:val="0"/>
      <w:marBottom w:val="0"/>
      <w:divBdr>
        <w:top w:val="none" w:sz="0" w:space="0" w:color="auto"/>
        <w:left w:val="none" w:sz="0" w:space="0" w:color="auto"/>
        <w:bottom w:val="none" w:sz="0" w:space="0" w:color="auto"/>
        <w:right w:val="none" w:sz="0" w:space="0" w:color="auto"/>
      </w:divBdr>
    </w:div>
    <w:div w:id="1440027740">
      <w:bodyDiv w:val="1"/>
      <w:marLeft w:val="0"/>
      <w:marRight w:val="0"/>
      <w:marTop w:val="0"/>
      <w:marBottom w:val="0"/>
      <w:divBdr>
        <w:top w:val="none" w:sz="0" w:space="0" w:color="auto"/>
        <w:left w:val="none" w:sz="0" w:space="0" w:color="auto"/>
        <w:bottom w:val="none" w:sz="0" w:space="0" w:color="auto"/>
        <w:right w:val="none" w:sz="0" w:space="0" w:color="auto"/>
      </w:divBdr>
    </w:div>
    <w:div w:id="1442411199">
      <w:bodyDiv w:val="1"/>
      <w:marLeft w:val="0"/>
      <w:marRight w:val="0"/>
      <w:marTop w:val="0"/>
      <w:marBottom w:val="0"/>
      <w:divBdr>
        <w:top w:val="none" w:sz="0" w:space="0" w:color="auto"/>
        <w:left w:val="none" w:sz="0" w:space="0" w:color="auto"/>
        <w:bottom w:val="none" w:sz="0" w:space="0" w:color="auto"/>
        <w:right w:val="none" w:sz="0" w:space="0" w:color="auto"/>
      </w:divBdr>
    </w:div>
    <w:div w:id="1447116946">
      <w:bodyDiv w:val="1"/>
      <w:marLeft w:val="0"/>
      <w:marRight w:val="0"/>
      <w:marTop w:val="0"/>
      <w:marBottom w:val="0"/>
      <w:divBdr>
        <w:top w:val="none" w:sz="0" w:space="0" w:color="auto"/>
        <w:left w:val="none" w:sz="0" w:space="0" w:color="auto"/>
        <w:bottom w:val="none" w:sz="0" w:space="0" w:color="auto"/>
        <w:right w:val="none" w:sz="0" w:space="0" w:color="auto"/>
      </w:divBdr>
    </w:div>
    <w:div w:id="1453211990">
      <w:bodyDiv w:val="1"/>
      <w:marLeft w:val="0"/>
      <w:marRight w:val="0"/>
      <w:marTop w:val="0"/>
      <w:marBottom w:val="0"/>
      <w:divBdr>
        <w:top w:val="none" w:sz="0" w:space="0" w:color="auto"/>
        <w:left w:val="none" w:sz="0" w:space="0" w:color="auto"/>
        <w:bottom w:val="none" w:sz="0" w:space="0" w:color="auto"/>
        <w:right w:val="none" w:sz="0" w:space="0" w:color="auto"/>
      </w:divBdr>
    </w:div>
    <w:div w:id="1456680827">
      <w:bodyDiv w:val="1"/>
      <w:marLeft w:val="0"/>
      <w:marRight w:val="0"/>
      <w:marTop w:val="0"/>
      <w:marBottom w:val="0"/>
      <w:divBdr>
        <w:top w:val="none" w:sz="0" w:space="0" w:color="auto"/>
        <w:left w:val="none" w:sz="0" w:space="0" w:color="auto"/>
        <w:bottom w:val="none" w:sz="0" w:space="0" w:color="auto"/>
        <w:right w:val="none" w:sz="0" w:space="0" w:color="auto"/>
      </w:divBdr>
    </w:div>
    <w:div w:id="1463160158">
      <w:bodyDiv w:val="1"/>
      <w:marLeft w:val="0"/>
      <w:marRight w:val="0"/>
      <w:marTop w:val="0"/>
      <w:marBottom w:val="0"/>
      <w:divBdr>
        <w:top w:val="none" w:sz="0" w:space="0" w:color="auto"/>
        <w:left w:val="none" w:sz="0" w:space="0" w:color="auto"/>
        <w:bottom w:val="none" w:sz="0" w:space="0" w:color="auto"/>
        <w:right w:val="none" w:sz="0" w:space="0" w:color="auto"/>
      </w:divBdr>
    </w:div>
    <w:div w:id="1467703598">
      <w:bodyDiv w:val="1"/>
      <w:marLeft w:val="0"/>
      <w:marRight w:val="0"/>
      <w:marTop w:val="0"/>
      <w:marBottom w:val="0"/>
      <w:divBdr>
        <w:top w:val="none" w:sz="0" w:space="0" w:color="auto"/>
        <w:left w:val="none" w:sz="0" w:space="0" w:color="auto"/>
        <w:bottom w:val="none" w:sz="0" w:space="0" w:color="auto"/>
        <w:right w:val="none" w:sz="0" w:space="0" w:color="auto"/>
      </w:divBdr>
    </w:div>
    <w:div w:id="1470897726">
      <w:bodyDiv w:val="1"/>
      <w:marLeft w:val="0"/>
      <w:marRight w:val="0"/>
      <w:marTop w:val="0"/>
      <w:marBottom w:val="0"/>
      <w:divBdr>
        <w:top w:val="none" w:sz="0" w:space="0" w:color="auto"/>
        <w:left w:val="none" w:sz="0" w:space="0" w:color="auto"/>
        <w:bottom w:val="none" w:sz="0" w:space="0" w:color="auto"/>
        <w:right w:val="none" w:sz="0" w:space="0" w:color="auto"/>
      </w:divBdr>
    </w:div>
    <w:div w:id="1473060742">
      <w:bodyDiv w:val="1"/>
      <w:marLeft w:val="0"/>
      <w:marRight w:val="0"/>
      <w:marTop w:val="0"/>
      <w:marBottom w:val="0"/>
      <w:divBdr>
        <w:top w:val="none" w:sz="0" w:space="0" w:color="auto"/>
        <w:left w:val="none" w:sz="0" w:space="0" w:color="auto"/>
        <w:bottom w:val="none" w:sz="0" w:space="0" w:color="auto"/>
        <w:right w:val="none" w:sz="0" w:space="0" w:color="auto"/>
      </w:divBdr>
    </w:div>
    <w:div w:id="1474173809">
      <w:bodyDiv w:val="1"/>
      <w:marLeft w:val="0"/>
      <w:marRight w:val="0"/>
      <w:marTop w:val="0"/>
      <w:marBottom w:val="0"/>
      <w:divBdr>
        <w:top w:val="none" w:sz="0" w:space="0" w:color="auto"/>
        <w:left w:val="none" w:sz="0" w:space="0" w:color="auto"/>
        <w:bottom w:val="none" w:sz="0" w:space="0" w:color="auto"/>
        <w:right w:val="none" w:sz="0" w:space="0" w:color="auto"/>
      </w:divBdr>
    </w:div>
    <w:div w:id="1474907963">
      <w:bodyDiv w:val="1"/>
      <w:marLeft w:val="0"/>
      <w:marRight w:val="0"/>
      <w:marTop w:val="0"/>
      <w:marBottom w:val="0"/>
      <w:divBdr>
        <w:top w:val="none" w:sz="0" w:space="0" w:color="auto"/>
        <w:left w:val="none" w:sz="0" w:space="0" w:color="auto"/>
        <w:bottom w:val="none" w:sz="0" w:space="0" w:color="auto"/>
        <w:right w:val="none" w:sz="0" w:space="0" w:color="auto"/>
      </w:divBdr>
    </w:div>
    <w:div w:id="1478649499">
      <w:bodyDiv w:val="1"/>
      <w:marLeft w:val="0"/>
      <w:marRight w:val="0"/>
      <w:marTop w:val="0"/>
      <w:marBottom w:val="0"/>
      <w:divBdr>
        <w:top w:val="none" w:sz="0" w:space="0" w:color="auto"/>
        <w:left w:val="none" w:sz="0" w:space="0" w:color="auto"/>
        <w:bottom w:val="none" w:sz="0" w:space="0" w:color="auto"/>
        <w:right w:val="none" w:sz="0" w:space="0" w:color="auto"/>
      </w:divBdr>
    </w:div>
    <w:div w:id="1483888149">
      <w:bodyDiv w:val="1"/>
      <w:marLeft w:val="0"/>
      <w:marRight w:val="0"/>
      <w:marTop w:val="0"/>
      <w:marBottom w:val="0"/>
      <w:divBdr>
        <w:top w:val="none" w:sz="0" w:space="0" w:color="auto"/>
        <w:left w:val="none" w:sz="0" w:space="0" w:color="auto"/>
        <w:bottom w:val="none" w:sz="0" w:space="0" w:color="auto"/>
        <w:right w:val="none" w:sz="0" w:space="0" w:color="auto"/>
      </w:divBdr>
    </w:div>
    <w:div w:id="1485315247">
      <w:bodyDiv w:val="1"/>
      <w:marLeft w:val="0"/>
      <w:marRight w:val="0"/>
      <w:marTop w:val="0"/>
      <w:marBottom w:val="0"/>
      <w:divBdr>
        <w:top w:val="none" w:sz="0" w:space="0" w:color="auto"/>
        <w:left w:val="none" w:sz="0" w:space="0" w:color="auto"/>
        <w:bottom w:val="none" w:sz="0" w:space="0" w:color="auto"/>
        <w:right w:val="none" w:sz="0" w:space="0" w:color="auto"/>
      </w:divBdr>
    </w:div>
    <w:div w:id="1497915850">
      <w:bodyDiv w:val="1"/>
      <w:marLeft w:val="0"/>
      <w:marRight w:val="0"/>
      <w:marTop w:val="0"/>
      <w:marBottom w:val="0"/>
      <w:divBdr>
        <w:top w:val="none" w:sz="0" w:space="0" w:color="auto"/>
        <w:left w:val="none" w:sz="0" w:space="0" w:color="auto"/>
        <w:bottom w:val="none" w:sz="0" w:space="0" w:color="auto"/>
        <w:right w:val="none" w:sz="0" w:space="0" w:color="auto"/>
      </w:divBdr>
    </w:div>
    <w:div w:id="1498686587">
      <w:bodyDiv w:val="1"/>
      <w:marLeft w:val="0"/>
      <w:marRight w:val="0"/>
      <w:marTop w:val="0"/>
      <w:marBottom w:val="0"/>
      <w:divBdr>
        <w:top w:val="none" w:sz="0" w:space="0" w:color="auto"/>
        <w:left w:val="none" w:sz="0" w:space="0" w:color="auto"/>
        <w:bottom w:val="none" w:sz="0" w:space="0" w:color="auto"/>
        <w:right w:val="none" w:sz="0" w:space="0" w:color="auto"/>
      </w:divBdr>
    </w:div>
    <w:div w:id="1498761923">
      <w:bodyDiv w:val="1"/>
      <w:marLeft w:val="0"/>
      <w:marRight w:val="0"/>
      <w:marTop w:val="0"/>
      <w:marBottom w:val="0"/>
      <w:divBdr>
        <w:top w:val="none" w:sz="0" w:space="0" w:color="auto"/>
        <w:left w:val="none" w:sz="0" w:space="0" w:color="auto"/>
        <w:bottom w:val="none" w:sz="0" w:space="0" w:color="auto"/>
        <w:right w:val="none" w:sz="0" w:space="0" w:color="auto"/>
      </w:divBdr>
    </w:div>
    <w:div w:id="1500579544">
      <w:bodyDiv w:val="1"/>
      <w:marLeft w:val="0"/>
      <w:marRight w:val="0"/>
      <w:marTop w:val="0"/>
      <w:marBottom w:val="0"/>
      <w:divBdr>
        <w:top w:val="none" w:sz="0" w:space="0" w:color="auto"/>
        <w:left w:val="none" w:sz="0" w:space="0" w:color="auto"/>
        <w:bottom w:val="none" w:sz="0" w:space="0" w:color="auto"/>
        <w:right w:val="none" w:sz="0" w:space="0" w:color="auto"/>
      </w:divBdr>
    </w:div>
    <w:div w:id="1500730096">
      <w:bodyDiv w:val="1"/>
      <w:marLeft w:val="0"/>
      <w:marRight w:val="0"/>
      <w:marTop w:val="0"/>
      <w:marBottom w:val="0"/>
      <w:divBdr>
        <w:top w:val="none" w:sz="0" w:space="0" w:color="auto"/>
        <w:left w:val="none" w:sz="0" w:space="0" w:color="auto"/>
        <w:bottom w:val="none" w:sz="0" w:space="0" w:color="auto"/>
        <w:right w:val="none" w:sz="0" w:space="0" w:color="auto"/>
      </w:divBdr>
    </w:div>
    <w:div w:id="1500971100">
      <w:bodyDiv w:val="1"/>
      <w:marLeft w:val="0"/>
      <w:marRight w:val="0"/>
      <w:marTop w:val="0"/>
      <w:marBottom w:val="0"/>
      <w:divBdr>
        <w:top w:val="none" w:sz="0" w:space="0" w:color="auto"/>
        <w:left w:val="none" w:sz="0" w:space="0" w:color="auto"/>
        <w:bottom w:val="none" w:sz="0" w:space="0" w:color="auto"/>
        <w:right w:val="none" w:sz="0" w:space="0" w:color="auto"/>
      </w:divBdr>
    </w:div>
    <w:div w:id="1502895233">
      <w:bodyDiv w:val="1"/>
      <w:marLeft w:val="0"/>
      <w:marRight w:val="0"/>
      <w:marTop w:val="0"/>
      <w:marBottom w:val="0"/>
      <w:divBdr>
        <w:top w:val="none" w:sz="0" w:space="0" w:color="auto"/>
        <w:left w:val="none" w:sz="0" w:space="0" w:color="auto"/>
        <w:bottom w:val="none" w:sz="0" w:space="0" w:color="auto"/>
        <w:right w:val="none" w:sz="0" w:space="0" w:color="auto"/>
      </w:divBdr>
    </w:div>
    <w:div w:id="1509250098">
      <w:bodyDiv w:val="1"/>
      <w:marLeft w:val="0"/>
      <w:marRight w:val="0"/>
      <w:marTop w:val="0"/>
      <w:marBottom w:val="0"/>
      <w:divBdr>
        <w:top w:val="none" w:sz="0" w:space="0" w:color="auto"/>
        <w:left w:val="none" w:sz="0" w:space="0" w:color="auto"/>
        <w:bottom w:val="none" w:sz="0" w:space="0" w:color="auto"/>
        <w:right w:val="none" w:sz="0" w:space="0" w:color="auto"/>
      </w:divBdr>
    </w:div>
    <w:div w:id="1517159711">
      <w:bodyDiv w:val="1"/>
      <w:marLeft w:val="0"/>
      <w:marRight w:val="0"/>
      <w:marTop w:val="0"/>
      <w:marBottom w:val="0"/>
      <w:divBdr>
        <w:top w:val="none" w:sz="0" w:space="0" w:color="auto"/>
        <w:left w:val="none" w:sz="0" w:space="0" w:color="auto"/>
        <w:bottom w:val="none" w:sz="0" w:space="0" w:color="auto"/>
        <w:right w:val="none" w:sz="0" w:space="0" w:color="auto"/>
      </w:divBdr>
    </w:div>
    <w:div w:id="1523131721">
      <w:bodyDiv w:val="1"/>
      <w:marLeft w:val="0"/>
      <w:marRight w:val="0"/>
      <w:marTop w:val="0"/>
      <w:marBottom w:val="0"/>
      <w:divBdr>
        <w:top w:val="none" w:sz="0" w:space="0" w:color="auto"/>
        <w:left w:val="none" w:sz="0" w:space="0" w:color="auto"/>
        <w:bottom w:val="none" w:sz="0" w:space="0" w:color="auto"/>
        <w:right w:val="none" w:sz="0" w:space="0" w:color="auto"/>
      </w:divBdr>
    </w:div>
    <w:div w:id="1523201030">
      <w:bodyDiv w:val="1"/>
      <w:marLeft w:val="0"/>
      <w:marRight w:val="0"/>
      <w:marTop w:val="0"/>
      <w:marBottom w:val="0"/>
      <w:divBdr>
        <w:top w:val="none" w:sz="0" w:space="0" w:color="auto"/>
        <w:left w:val="none" w:sz="0" w:space="0" w:color="auto"/>
        <w:bottom w:val="none" w:sz="0" w:space="0" w:color="auto"/>
        <w:right w:val="none" w:sz="0" w:space="0" w:color="auto"/>
      </w:divBdr>
    </w:div>
    <w:div w:id="1524248591">
      <w:bodyDiv w:val="1"/>
      <w:marLeft w:val="0"/>
      <w:marRight w:val="0"/>
      <w:marTop w:val="0"/>
      <w:marBottom w:val="0"/>
      <w:divBdr>
        <w:top w:val="none" w:sz="0" w:space="0" w:color="auto"/>
        <w:left w:val="none" w:sz="0" w:space="0" w:color="auto"/>
        <w:bottom w:val="none" w:sz="0" w:space="0" w:color="auto"/>
        <w:right w:val="none" w:sz="0" w:space="0" w:color="auto"/>
      </w:divBdr>
    </w:div>
    <w:div w:id="1525249784">
      <w:bodyDiv w:val="1"/>
      <w:marLeft w:val="0"/>
      <w:marRight w:val="0"/>
      <w:marTop w:val="0"/>
      <w:marBottom w:val="0"/>
      <w:divBdr>
        <w:top w:val="none" w:sz="0" w:space="0" w:color="auto"/>
        <w:left w:val="none" w:sz="0" w:space="0" w:color="auto"/>
        <w:bottom w:val="none" w:sz="0" w:space="0" w:color="auto"/>
        <w:right w:val="none" w:sz="0" w:space="0" w:color="auto"/>
      </w:divBdr>
    </w:div>
    <w:div w:id="1536624923">
      <w:bodyDiv w:val="1"/>
      <w:marLeft w:val="0"/>
      <w:marRight w:val="0"/>
      <w:marTop w:val="0"/>
      <w:marBottom w:val="0"/>
      <w:divBdr>
        <w:top w:val="none" w:sz="0" w:space="0" w:color="auto"/>
        <w:left w:val="none" w:sz="0" w:space="0" w:color="auto"/>
        <w:bottom w:val="none" w:sz="0" w:space="0" w:color="auto"/>
        <w:right w:val="none" w:sz="0" w:space="0" w:color="auto"/>
      </w:divBdr>
    </w:div>
    <w:div w:id="1544823896">
      <w:bodyDiv w:val="1"/>
      <w:marLeft w:val="0"/>
      <w:marRight w:val="0"/>
      <w:marTop w:val="0"/>
      <w:marBottom w:val="0"/>
      <w:divBdr>
        <w:top w:val="none" w:sz="0" w:space="0" w:color="auto"/>
        <w:left w:val="none" w:sz="0" w:space="0" w:color="auto"/>
        <w:bottom w:val="none" w:sz="0" w:space="0" w:color="auto"/>
        <w:right w:val="none" w:sz="0" w:space="0" w:color="auto"/>
      </w:divBdr>
    </w:div>
    <w:div w:id="1545681107">
      <w:bodyDiv w:val="1"/>
      <w:marLeft w:val="0"/>
      <w:marRight w:val="0"/>
      <w:marTop w:val="0"/>
      <w:marBottom w:val="0"/>
      <w:divBdr>
        <w:top w:val="none" w:sz="0" w:space="0" w:color="auto"/>
        <w:left w:val="none" w:sz="0" w:space="0" w:color="auto"/>
        <w:bottom w:val="none" w:sz="0" w:space="0" w:color="auto"/>
        <w:right w:val="none" w:sz="0" w:space="0" w:color="auto"/>
      </w:divBdr>
    </w:div>
    <w:div w:id="1547792532">
      <w:bodyDiv w:val="1"/>
      <w:marLeft w:val="0"/>
      <w:marRight w:val="0"/>
      <w:marTop w:val="0"/>
      <w:marBottom w:val="0"/>
      <w:divBdr>
        <w:top w:val="none" w:sz="0" w:space="0" w:color="auto"/>
        <w:left w:val="none" w:sz="0" w:space="0" w:color="auto"/>
        <w:bottom w:val="none" w:sz="0" w:space="0" w:color="auto"/>
        <w:right w:val="none" w:sz="0" w:space="0" w:color="auto"/>
      </w:divBdr>
    </w:div>
    <w:div w:id="1552576378">
      <w:bodyDiv w:val="1"/>
      <w:marLeft w:val="0"/>
      <w:marRight w:val="0"/>
      <w:marTop w:val="0"/>
      <w:marBottom w:val="0"/>
      <w:divBdr>
        <w:top w:val="none" w:sz="0" w:space="0" w:color="auto"/>
        <w:left w:val="none" w:sz="0" w:space="0" w:color="auto"/>
        <w:bottom w:val="none" w:sz="0" w:space="0" w:color="auto"/>
        <w:right w:val="none" w:sz="0" w:space="0" w:color="auto"/>
      </w:divBdr>
    </w:div>
    <w:div w:id="1557741797">
      <w:bodyDiv w:val="1"/>
      <w:marLeft w:val="0"/>
      <w:marRight w:val="0"/>
      <w:marTop w:val="0"/>
      <w:marBottom w:val="0"/>
      <w:divBdr>
        <w:top w:val="none" w:sz="0" w:space="0" w:color="auto"/>
        <w:left w:val="none" w:sz="0" w:space="0" w:color="auto"/>
        <w:bottom w:val="none" w:sz="0" w:space="0" w:color="auto"/>
        <w:right w:val="none" w:sz="0" w:space="0" w:color="auto"/>
      </w:divBdr>
    </w:div>
    <w:div w:id="1557743119">
      <w:bodyDiv w:val="1"/>
      <w:marLeft w:val="0"/>
      <w:marRight w:val="0"/>
      <w:marTop w:val="0"/>
      <w:marBottom w:val="0"/>
      <w:divBdr>
        <w:top w:val="none" w:sz="0" w:space="0" w:color="auto"/>
        <w:left w:val="none" w:sz="0" w:space="0" w:color="auto"/>
        <w:bottom w:val="none" w:sz="0" w:space="0" w:color="auto"/>
        <w:right w:val="none" w:sz="0" w:space="0" w:color="auto"/>
      </w:divBdr>
    </w:div>
    <w:div w:id="1558664792">
      <w:bodyDiv w:val="1"/>
      <w:marLeft w:val="0"/>
      <w:marRight w:val="0"/>
      <w:marTop w:val="0"/>
      <w:marBottom w:val="0"/>
      <w:divBdr>
        <w:top w:val="none" w:sz="0" w:space="0" w:color="auto"/>
        <w:left w:val="none" w:sz="0" w:space="0" w:color="auto"/>
        <w:bottom w:val="none" w:sz="0" w:space="0" w:color="auto"/>
        <w:right w:val="none" w:sz="0" w:space="0" w:color="auto"/>
      </w:divBdr>
    </w:div>
    <w:div w:id="1562136810">
      <w:bodyDiv w:val="1"/>
      <w:marLeft w:val="0"/>
      <w:marRight w:val="0"/>
      <w:marTop w:val="0"/>
      <w:marBottom w:val="0"/>
      <w:divBdr>
        <w:top w:val="none" w:sz="0" w:space="0" w:color="auto"/>
        <w:left w:val="none" w:sz="0" w:space="0" w:color="auto"/>
        <w:bottom w:val="none" w:sz="0" w:space="0" w:color="auto"/>
        <w:right w:val="none" w:sz="0" w:space="0" w:color="auto"/>
      </w:divBdr>
    </w:div>
    <w:div w:id="1565213285">
      <w:bodyDiv w:val="1"/>
      <w:marLeft w:val="0"/>
      <w:marRight w:val="0"/>
      <w:marTop w:val="0"/>
      <w:marBottom w:val="0"/>
      <w:divBdr>
        <w:top w:val="none" w:sz="0" w:space="0" w:color="auto"/>
        <w:left w:val="none" w:sz="0" w:space="0" w:color="auto"/>
        <w:bottom w:val="none" w:sz="0" w:space="0" w:color="auto"/>
        <w:right w:val="none" w:sz="0" w:space="0" w:color="auto"/>
      </w:divBdr>
    </w:div>
    <w:div w:id="1570728156">
      <w:bodyDiv w:val="1"/>
      <w:marLeft w:val="0"/>
      <w:marRight w:val="0"/>
      <w:marTop w:val="0"/>
      <w:marBottom w:val="0"/>
      <w:divBdr>
        <w:top w:val="none" w:sz="0" w:space="0" w:color="auto"/>
        <w:left w:val="none" w:sz="0" w:space="0" w:color="auto"/>
        <w:bottom w:val="none" w:sz="0" w:space="0" w:color="auto"/>
        <w:right w:val="none" w:sz="0" w:space="0" w:color="auto"/>
      </w:divBdr>
    </w:div>
    <w:div w:id="1572036918">
      <w:bodyDiv w:val="1"/>
      <w:marLeft w:val="0"/>
      <w:marRight w:val="0"/>
      <w:marTop w:val="0"/>
      <w:marBottom w:val="0"/>
      <w:divBdr>
        <w:top w:val="none" w:sz="0" w:space="0" w:color="auto"/>
        <w:left w:val="none" w:sz="0" w:space="0" w:color="auto"/>
        <w:bottom w:val="none" w:sz="0" w:space="0" w:color="auto"/>
        <w:right w:val="none" w:sz="0" w:space="0" w:color="auto"/>
      </w:divBdr>
    </w:div>
    <w:div w:id="1579898929">
      <w:bodyDiv w:val="1"/>
      <w:marLeft w:val="0"/>
      <w:marRight w:val="0"/>
      <w:marTop w:val="0"/>
      <w:marBottom w:val="0"/>
      <w:divBdr>
        <w:top w:val="none" w:sz="0" w:space="0" w:color="auto"/>
        <w:left w:val="none" w:sz="0" w:space="0" w:color="auto"/>
        <w:bottom w:val="none" w:sz="0" w:space="0" w:color="auto"/>
        <w:right w:val="none" w:sz="0" w:space="0" w:color="auto"/>
      </w:divBdr>
    </w:div>
    <w:div w:id="1602837136">
      <w:bodyDiv w:val="1"/>
      <w:marLeft w:val="0"/>
      <w:marRight w:val="0"/>
      <w:marTop w:val="0"/>
      <w:marBottom w:val="0"/>
      <w:divBdr>
        <w:top w:val="none" w:sz="0" w:space="0" w:color="auto"/>
        <w:left w:val="none" w:sz="0" w:space="0" w:color="auto"/>
        <w:bottom w:val="none" w:sz="0" w:space="0" w:color="auto"/>
        <w:right w:val="none" w:sz="0" w:space="0" w:color="auto"/>
      </w:divBdr>
    </w:div>
    <w:div w:id="1608078321">
      <w:bodyDiv w:val="1"/>
      <w:marLeft w:val="0"/>
      <w:marRight w:val="0"/>
      <w:marTop w:val="0"/>
      <w:marBottom w:val="0"/>
      <w:divBdr>
        <w:top w:val="none" w:sz="0" w:space="0" w:color="auto"/>
        <w:left w:val="none" w:sz="0" w:space="0" w:color="auto"/>
        <w:bottom w:val="none" w:sz="0" w:space="0" w:color="auto"/>
        <w:right w:val="none" w:sz="0" w:space="0" w:color="auto"/>
      </w:divBdr>
    </w:div>
    <w:div w:id="1608467051">
      <w:bodyDiv w:val="1"/>
      <w:marLeft w:val="0"/>
      <w:marRight w:val="0"/>
      <w:marTop w:val="0"/>
      <w:marBottom w:val="0"/>
      <w:divBdr>
        <w:top w:val="none" w:sz="0" w:space="0" w:color="auto"/>
        <w:left w:val="none" w:sz="0" w:space="0" w:color="auto"/>
        <w:bottom w:val="none" w:sz="0" w:space="0" w:color="auto"/>
        <w:right w:val="none" w:sz="0" w:space="0" w:color="auto"/>
      </w:divBdr>
    </w:div>
    <w:div w:id="1609198689">
      <w:bodyDiv w:val="1"/>
      <w:marLeft w:val="0"/>
      <w:marRight w:val="0"/>
      <w:marTop w:val="0"/>
      <w:marBottom w:val="0"/>
      <w:divBdr>
        <w:top w:val="none" w:sz="0" w:space="0" w:color="auto"/>
        <w:left w:val="none" w:sz="0" w:space="0" w:color="auto"/>
        <w:bottom w:val="none" w:sz="0" w:space="0" w:color="auto"/>
        <w:right w:val="none" w:sz="0" w:space="0" w:color="auto"/>
      </w:divBdr>
    </w:div>
    <w:div w:id="1609967530">
      <w:bodyDiv w:val="1"/>
      <w:marLeft w:val="0"/>
      <w:marRight w:val="0"/>
      <w:marTop w:val="0"/>
      <w:marBottom w:val="0"/>
      <w:divBdr>
        <w:top w:val="none" w:sz="0" w:space="0" w:color="auto"/>
        <w:left w:val="none" w:sz="0" w:space="0" w:color="auto"/>
        <w:bottom w:val="none" w:sz="0" w:space="0" w:color="auto"/>
        <w:right w:val="none" w:sz="0" w:space="0" w:color="auto"/>
      </w:divBdr>
    </w:div>
    <w:div w:id="1616331756">
      <w:bodyDiv w:val="1"/>
      <w:marLeft w:val="0"/>
      <w:marRight w:val="0"/>
      <w:marTop w:val="0"/>
      <w:marBottom w:val="0"/>
      <w:divBdr>
        <w:top w:val="none" w:sz="0" w:space="0" w:color="auto"/>
        <w:left w:val="none" w:sz="0" w:space="0" w:color="auto"/>
        <w:bottom w:val="none" w:sz="0" w:space="0" w:color="auto"/>
        <w:right w:val="none" w:sz="0" w:space="0" w:color="auto"/>
      </w:divBdr>
    </w:div>
    <w:div w:id="1619485190">
      <w:bodyDiv w:val="1"/>
      <w:marLeft w:val="0"/>
      <w:marRight w:val="0"/>
      <w:marTop w:val="0"/>
      <w:marBottom w:val="0"/>
      <w:divBdr>
        <w:top w:val="none" w:sz="0" w:space="0" w:color="auto"/>
        <w:left w:val="none" w:sz="0" w:space="0" w:color="auto"/>
        <w:bottom w:val="none" w:sz="0" w:space="0" w:color="auto"/>
        <w:right w:val="none" w:sz="0" w:space="0" w:color="auto"/>
      </w:divBdr>
    </w:div>
    <w:div w:id="1629504741">
      <w:bodyDiv w:val="1"/>
      <w:marLeft w:val="0"/>
      <w:marRight w:val="0"/>
      <w:marTop w:val="0"/>
      <w:marBottom w:val="0"/>
      <w:divBdr>
        <w:top w:val="none" w:sz="0" w:space="0" w:color="auto"/>
        <w:left w:val="none" w:sz="0" w:space="0" w:color="auto"/>
        <w:bottom w:val="none" w:sz="0" w:space="0" w:color="auto"/>
        <w:right w:val="none" w:sz="0" w:space="0" w:color="auto"/>
      </w:divBdr>
    </w:div>
    <w:div w:id="1632590196">
      <w:bodyDiv w:val="1"/>
      <w:marLeft w:val="0"/>
      <w:marRight w:val="0"/>
      <w:marTop w:val="0"/>
      <w:marBottom w:val="0"/>
      <w:divBdr>
        <w:top w:val="none" w:sz="0" w:space="0" w:color="auto"/>
        <w:left w:val="none" w:sz="0" w:space="0" w:color="auto"/>
        <w:bottom w:val="none" w:sz="0" w:space="0" w:color="auto"/>
        <w:right w:val="none" w:sz="0" w:space="0" w:color="auto"/>
      </w:divBdr>
    </w:div>
    <w:div w:id="1638097828">
      <w:bodyDiv w:val="1"/>
      <w:marLeft w:val="0"/>
      <w:marRight w:val="0"/>
      <w:marTop w:val="0"/>
      <w:marBottom w:val="0"/>
      <w:divBdr>
        <w:top w:val="none" w:sz="0" w:space="0" w:color="auto"/>
        <w:left w:val="none" w:sz="0" w:space="0" w:color="auto"/>
        <w:bottom w:val="none" w:sz="0" w:space="0" w:color="auto"/>
        <w:right w:val="none" w:sz="0" w:space="0" w:color="auto"/>
      </w:divBdr>
    </w:div>
    <w:div w:id="1642227643">
      <w:bodyDiv w:val="1"/>
      <w:marLeft w:val="0"/>
      <w:marRight w:val="0"/>
      <w:marTop w:val="0"/>
      <w:marBottom w:val="0"/>
      <w:divBdr>
        <w:top w:val="none" w:sz="0" w:space="0" w:color="auto"/>
        <w:left w:val="none" w:sz="0" w:space="0" w:color="auto"/>
        <w:bottom w:val="none" w:sz="0" w:space="0" w:color="auto"/>
        <w:right w:val="none" w:sz="0" w:space="0" w:color="auto"/>
      </w:divBdr>
    </w:div>
    <w:div w:id="1643073944">
      <w:bodyDiv w:val="1"/>
      <w:marLeft w:val="0"/>
      <w:marRight w:val="0"/>
      <w:marTop w:val="0"/>
      <w:marBottom w:val="0"/>
      <w:divBdr>
        <w:top w:val="none" w:sz="0" w:space="0" w:color="auto"/>
        <w:left w:val="none" w:sz="0" w:space="0" w:color="auto"/>
        <w:bottom w:val="none" w:sz="0" w:space="0" w:color="auto"/>
        <w:right w:val="none" w:sz="0" w:space="0" w:color="auto"/>
      </w:divBdr>
    </w:div>
    <w:div w:id="1647391561">
      <w:bodyDiv w:val="1"/>
      <w:marLeft w:val="0"/>
      <w:marRight w:val="0"/>
      <w:marTop w:val="0"/>
      <w:marBottom w:val="0"/>
      <w:divBdr>
        <w:top w:val="none" w:sz="0" w:space="0" w:color="auto"/>
        <w:left w:val="none" w:sz="0" w:space="0" w:color="auto"/>
        <w:bottom w:val="none" w:sz="0" w:space="0" w:color="auto"/>
        <w:right w:val="none" w:sz="0" w:space="0" w:color="auto"/>
      </w:divBdr>
    </w:div>
    <w:div w:id="1650867597">
      <w:bodyDiv w:val="1"/>
      <w:marLeft w:val="0"/>
      <w:marRight w:val="0"/>
      <w:marTop w:val="0"/>
      <w:marBottom w:val="0"/>
      <w:divBdr>
        <w:top w:val="none" w:sz="0" w:space="0" w:color="auto"/>
        <w:left w:val="none" w:sz="0" w:space="0" w:color="auto"/>
        <w:bottom w:val="none" w:sz="0" w:space="0" w:color="auto"/>
        <w:right w:val="none" w:sz="0" w:space="0" w:color="auto"/>
      </w:divBdr>
    </w:div>
    <w:div w:id="1651399992">
      <w:bodyDiv w:val="1"/>
      <w:marLeft w:val="0"/>
      <w:marRight w:val="0"/>
      <w:marTop w:val="0"/>
      <w:marBottom w:val="0"/>
      <w:divBdr>
        <w:top w:val="none" w:sz="0" w:space="0" w:color="auto"/>
        <w:left w:val="none" w:sz="0" w:space="0" w:color="auto"/>
        <w:bottom w:val="none" w:sz="0" w:space="0" w:color="auto"/>
        <w:right w:val="none" w:sz="0" w:space="0" w:color="auto"/>
      </w:divBdr>
    </w:div>
    <w:div w:id="1654799690">
      <w:bodyDiv w:val="1"/>
      <w:marLeft w:val="0"/>
      <w:marRight w:val="0"/>
      <w:marTop w:val="0"/>
      <w:marBottom w:val="0"/>
      <w:divBdr>
        <w:top w:val="none" w:sz="0" w:space="0" w:color="auto"/>
        <w:left w:val="none" w:sz="0" w:space="0" w:color="auto"/>
        <w:bottom w:val="none" w:sz="0" w:space="0" w:color="auto"/>
        <w:right w:val="none" w:sz="0" w:space="0" w:color="auto"/>
      </w:divBdr>
    </w:div>
    <w:div w:id="1654872563">
      <w:bodyDiv w:val="1"/>
      <w:marLeft w:val="0"/>
      <w:marRight w:val="0"/>
      <w:marTop w:val="0"/>
      <w:marBottom w:val="0"/>
      <w:divBdr>
        <w:top w:val="none" w:sz="0" w:space="0" w:color="auto"/>
        <w:left w:val="none" w:sz="0" w:space="0" w:color="auto"/>
        <w:bottom w:val="none" w:sz="0" w:space="0" w:color="auto"/>
        <w:right w:val="none" w:sz="0" w:space="0" w:color="auto"/>
      </w:divBdr>
    </w:div>
    <w:div w:id="1655915569">
      <w:bodyDiv w:val="1"/>
      <w:marLeft w:val="0"/>
      <w:marRight w:val="0"/>
      <w:marTop w:val="0"/>
      <w:marBottom w:val="0"/>
      <w:divBdr>
        <w:top w:val="none" w:sz="0" w:space="0" w:color="auto"/>
        <w:left w:val="none" w:sz="0" w:space="0" w:color="auto"/>
        <w:bottom w:val="none" w:sz="0" w:space="0" w:color="auto"/>
        <w:right w:val="none" w:sz="0" w:space="0" w:color="auto"/>
      </w:divBdr>
    </w:div>
    <w:div w:id="1658025993">
      <w:bodyDiv w:val="1"/>
      <w:marLeft w:val="0"/>
      <w:marRight w:val="0"/>
      <w:marTop w:val="0"/>
      <w:marBottom w:val="0"/>
      <w:divBdr>
        <w:top w:val="none" w:sz="0" w:space="0" w:color="auto"/>
        <w:left w:val="none" w:sz="0" w:space="0" w:color="auto"/>
        <w:bottom w:val="none" w:sz="0" w:space="0" w:color="auto"/>
        <w:right w:val="none" w:sz="0" w:space="0" w:color="auto"/>
      </w:divBdr>
    </w:div>
    <w:div w:id="1658847578">
      <w:bodyDiv w:val="1"/>
      <w:marLeft w:val="0"/>
      <w:marRight w:val="0"/>
      <w:marTop w:val="0"/>
      <w:marBottom w:val="0"/>
      <w:divBdr>
        <w:top w:val="none" w:sz="0" w:space="0" w:color="auto"/>
        <w:left w:val="none" w:sz="0" w:space="0" w:color="auto"/>
        <w:bottom w:val="none" w:sz="0" w:space="0" w:color="auto"/>
        <w:right w:val="none" w:sz="0" w:space="0" w:color="auto"/>
      </w:divBdr>
    </w:div>
    <w:div w:id="1662005160">
      <w:bodyDiv w:val="1"/>
      <w:marLeft w:val="0"/>
      <w:marRight w:val="0"/>
      <w:marTop w:val="0"/>
      <w:marBottom w:val="0"/>
      <w:divBdr>
        <w:top w:val="none" w:sz="0" w:space="0" w:color="auto"/>
        <w:left w:val="none" w:sz="0" w:space="0" w:color="auto"/>
        <w:bottom w:val="none" w:sz="0" w:space="0" w:color="auto"/>
        <w:right w:val="none" w:sz="0" w:space="0" w:color="auto"/>
      </w:divBdr>
    </w:div>
    <w:div w:id="1664701902">
      <w:bodyDiv w:val="1"/>
      <w:marLeft w:val="0"/>
      <w:marRight w:val="0"/>
      <w:marTop w:val="0"/>
      <w:marBottom w:val="0"/>
      <w:divBdr>
        <w:top w:val="none" w:sz="0" w:space="0" w:color="auto"/>
        <w:left w:val="none" w:sz="0" w:space="0" w:color="auto"/>
        <w:bottom w:val="none" w:sz="0" w:space="0" w:color="auto"/>
        <w:right w:val="none" w:sz="0" w:space="0" w:color="auto"/>
      </w:divBdr>
    </w:div>
    <w:div w:id="1669869325">
      <w:bodyDiv w:val="1"/>
      <w:marLeft w:val="0"/>
      <w:marRight w:val="0"/>
      <w:marTop w:val="0"/>
      <w:marBottom w:val="0"/>
      <w:divBdr>
        <w:top w:val="none" w:sz="0" w:space="0" w:color="auto"/>
        <w:left w:val="none" w:sz="0" w:space="0" w:color="auto"/>
        <w:bottom w:val="none" w:sz="0" w:space="0" w:color="auto"/>
        <w:right w:val="none" w:sz="0" w:space="0" w:color="auto"/>
      </w:divBdr>
    </w:div>
    <w:div w:id="1670787961">
      <w:bodyDiv w:val="1"/>
      <w:marLeft w:val="0"/>
      <w:marRight w:val="0"/>
      <w:marTop w:val="0"/>
      <w:marBottom w:val="0"/>
      <w:divBdr>
        <w:top w:val="none" w:sz="0" w:space="0" w:color="auto"/>
        <w:left w:val="none" w:sz="0" w:space="0" w:color="auto"/>
        <w:bottom w:val="none" w:sz="0" w:space="0" w:color="auto"/>
        <w:right w:val="none" w:sz="0" w:space="0" w:color="auto"/>
      </w:divBdr>
    </w:div>
    <w:div w:id="1679230232">
      <w:bodyDiv w:val="1"/>
      <w:marLeft w:val="0"/>
      <w:marRight w:val="0"/>
      <w:marTop w:val="0"/>
      <w:marBottom w:val="0"/>
      <w:divBdr>
        <w:top w:val="none" w:sz="0" w:space="0" w:color="auto"/>
        <w:left w:val="none" w:sz="0" w:space="0" w:color="auto"/>
        <w:bottom w:val="none" w:sz="0" w:space="0" w:color="auto"/>
        <w:right w:val="none" w:sz="0" w:space="0" w:color="auto"/>
      </w:divBdr>
    </w:div>
    <w:div w:id="1682392539">
      <w:bodyDiv w:val="1"/>
      <w:marLeft w:val="0"/>
      <w:marRight w:val="0"/>
      <w:marTop w:val="0"/>
      <w:marBottom w:val="0"/>
      <w:divBdr>
        <w:top w:val="none" w:sz="0" w:space="0" w:color="auto"/>
        <w:left w:val="none" w:sz="0" w:space="0" w:color="auto"/>
        <w:bottom w:val="none" w:sz="0" w:space="0" w:color="auto"/>
        <w:right w:val="none" w:sz="0" w:space="0" w:color="auto"/>
      </w:divBdr>
    </w:div>
    <w:div w:id="1683429542">
      <w:bodyDiv w:val="1"/>
      <w:marLeft w:val="0"/>
      <w:marRight w:val="0"/>
      <w:marTop w:val="0"/>
      <w:marBottom w:val="0"/>
      <w:divBdr>
        <w:top w:val="none" w:sz="0" w:space="0" w:color="auto"/>
        <w:left w:val="none" w:sz="0" w:space="0" w:color="auto"/>
        <w:bottom w:val="none" w:sz="0" w:space="0" w:color="auto"/>
        <w:right w:val="none" w:sz="0" w:space="0" w:color="auto"/>
      </w:divBdr>
    </w:div>
    <w:div w:id="1687518400">
      <w:bodyDiv w:val="1"/>
      <w:marLeft w:val="0"/>
      <w:marRight w:val="0"/>
      <w:marTop w:val="0"/>
      <w:marBottom w:val="0"/>
      <w:divBdr>
        <w:top w:val="none" w:sz="0" w:space="0" w:color="auto"/>
        <w:left w:val="none" w:sz="0" w:space="0" w:color="auto"/>
        <w:bottom w:val="none" w:sz="0" w:space="0" w:color="auto"/>
        <w:right w:val="none" w:sz="0" w:space="0" w:color="auto"/>
      </w:divBdr>
    </w:div>
    <w:div w:id="1691027652">
      <w:bodyDiv w:val="1"/>
      <w:marLeft w:val="0"/>
      <w:marRight w:val="0"/>
      <w:marTop w:val="0"/>
      <w:marBottom w:val="0"/>
      <w:divBdr>
        <w:top w:val="none" w:sz="0" w:space="0" w:color="auto"/>
        <w:left w:val="none" w:sz="0" w:space="0" w:color="auto"/>
        <w:bottom w:val="none" w:sz="0" w:space="0" w:color="auto"/>
        <w:right w:val="none" w:sz="0" w:space="0" w:color="auto"/>
      </w:divBdr>
    </w:div>
    <w:div w:id="1696883748">
      <w:bodyDiv w:val="1"/>
      <w:marLeft w:val="0"/>
      <w:marRight w:val="0"/>
      <w:marTop w:val="0"/>
      <w:marBottom w:val="0"/>
      <w:divBdr>
        <w:top w:val="none" w:sz="0" w:space="0" w:color="auto"/>
        <w:left w:val="none" w:sz="0" w:space="0" w:color="auto"/>
        <w:bottom w:val="none" w:sz="0" w:space="0" w:color="auto"/>
        <w:right w:val="none" w:sz="0" w:space="0" w:color="auto"/>
      </w:divBdr>
    </w:div>
    <w:div w:id="1707023588">
      <w:bodyDiv w:val="1"/>
      <w:marLeft w:val="0"/>
      <w:marRight w:val="0"/>
      <w:marTop w:val="0"/>
      <w:marBottom w:val="0"/>
      <w:divBdr>
        <w:top w:val="none" w:sz="0" w:space="0" w:color="auto"/>
        <w:left w:val="none" w:sz="0" w:space="0" w:color="auto"/>
        <w:bottom w:val="none" w:sz="0" w:space="0" w:color="auto"/>
        <w:right w:val="none" w:sz="0" w:space="0" w:color="auto"/>
      </w:divBdr>
    </w:div>
    <w:div w:id="1710959715">
      <w:bodyDiv w:val="1"/>
      <w:marLeft w:val="0"/>
      <w:marRight w:val="0"/>
      <w:marTop w:val="0"/>
      <w:marBottom w:val="0"/>
      <w:divBdr>
        <w:top w:val="none" w:sz="0" w:space="0" w:color="auto"/>
        <w:left w:val="none" w:sz="0" w:space="0" w:color="auto"/>
        <w:bottom w:val="none" w:sz="0" w:space="0" w:color="auto"/>
        <w:right w:val="none" w:sz="0" w:space="0" w:color="auto"/>
      </w:divBdr>
    </w:div>
    <w:div w:id="1722364384">
      <w:bodyDiv w:val="1"/>
      <w:marLeft w:val="0"/>
      <w:marRight w:val="0"/>
      <w:marTop w:val="0"/>
      <w:marBottom w:val="0"/>
      <w:divBdr>
        <w:top w:val="none" w:sz="0" w:space="0" w:color="auto"/>
        <w:left w:val="none" w:sz="0" w:space="0" w:color="auto"/>
        <w:bottom w:val="none" w:sz="0" w:space="0" w:color="auto"/>
        <w:right w:val="none" w:sz="0" w:space="0" w:color="auto"/>
      </w:divBdr>
    </w:div>
    <w:div w:id="1725135115">
      <w:bodyDiv w:val="1"/>
      <w:marLeft w:val="0"/>
      <w:marRight w:val="0"/>
      <w:marTop w:val="0"/>
      <w:marBottom w:val="0"/>
      <w:divBdr>
        <w:top w:val="none" w:sz="0" w:space="0" w:color="auto"/>
        <w:left w:val="none" w:sz="0" w:space="0" w:color="auto"/>
        <w:bottom w:val="none" w:sz="0" w:space="0" w:color="auto"/>
        <w:right w:val="none" w:sz="0" w:space="0" w:color="auto"/>
      </w:divBdr>
    </w:div>
    <w:div w:id="1728871826">
      <w:bodyDiv w:val="1"/>
      <w:marLeft w:val="0"/>
      <w:marRight w:val="0"/>
      <w:marTop w:val="0"/>
      <w:marBottom w:val="0"/>
      <w:divBdr>
        <w:top w:val="none" w:sz="0" w:space="0" w:color="auto"/>
        <w:left w:val="none" w:sz="0" w:space="0" w:color="auto"/>
        <w:bottom w:val="none" w:sz="0" w:space="0" w:color="auto"/>
        <w:right w:val="none" w:sz="0" w:space="0" w:color="auto"/>
      </w:divBdr>
    </w:div>
    <w:div w:id="1741520086">
      <w:bodyDiv w:val="1"/>
      <w:marLeft w:val="0"/>
      <w:marRight w:val="0"/>
      <w:marTop w:val="0"/>
      <w:marBottom w:val="0"/>
      <w:divBdr>
        <w:top w:val="none" w:sz="0" w:space="0" w:color="auto"/>
        <w:left w:val="none" w:sz="0" w:space="0" w:color="auto"/>
        <w:bottom w:val="none" w:sz="0" w:space="0" w:color="auto"/>
        <w:right w:val="none" w:sz="0" w:space="0" w:color="auto"/>
      </w:divBdr>
    </w:div>
    <w:div w:id="1746604155">
      <w:bodyDiv w:val="1"/>
      <w:marLeft w:val="0"/>
      <w:marRight w:val="0"/>
      <w:marTop w:val="0"/>
      <w:marBottom w:val="0"/>
      <w:divBdr>
        <w:top w:val="none" w:sz="0" w:space="0" w:color="auto"/>
        <w:left w:val="none" w:sz="0" w:space="0" w:color="auto"/>
        <w:bottom w:val="none" w:sz="0" w:space="0" w:color="auto"/>
        <w:right w:val="none" w:sz="0" w:space="0" w:color="auto"/>
      </w:divBdr>
    </w:div>
    <w:div w:id="1748385353">
      <w:bodyDiv w:val="1"/>
      <w:marLeft w:val="0"/>
      <w:marRight w:val="0"/>
      <w:marTop w:val="0"/>
      <w:marBottom w:val="0"/>
      <w:divBdr>
        <w:top w:val="none" w:sz="0" w:space="0" w:color="auto"/>
        <w:left w:val="none" w:sz="0" w:space="0" w:color="auto"/>
        <w:bottom w:val="none" w:sz="0" w:space="0" w:color="auto"/>
        <w:right w:val="none" w:sz="0" w:space="0" w:color="auto"/>
      </w:divBdr>
    </w:div>
    <w:div w:id="1751923944">
      <w:bodyDiv w:val="1"/>
      <w:marLeft w:val="0"/>
      <w:marRight w:val="0"/>
      <w:marTop w:val="0"/>
      <w:marBottom w:val="0"/>
      <w:divBdr>
        <w:top w:val="none" w:sz="0" w:space="0" w:color="auto"/>
        <w:left w:val="none" w:sz="0" w:space="0" w:color="auto"/>
        <w:bottom w:val="none" w:sz="0" w:space="0" w:color="auto"/>
        <w:right w:val="none" w:sz="0" w:space="0" w:color="auto"/>
      </w:divBdr>
    </w:div>
    <w:div w:id="1752193750">
      <w:bodyDiv w:val="1"/>
      <w:marLeft w:val="0"/>
      <w:marRight w:val="0"/>
      <w:marTop w:val="0"/>
      <w:marBottom w:val="0"/>
      <w:divBdr>
        <w:top w:val="none" w:sz="0" w:space="0" w:color="auto"/>
        <w:left w:val="none" w:sz="0" w:space="0" w:color="auto"/>
        <w:bottom w:val="none" w:sz="0" w:space="0" w:color="auto"/>
        <w:right w:val="none" w:sz="0" w:space="0" w:color="auto"/>
      </w:divBdr>
    </w:div>
    <w:div w:id="1755086024">
      <w:bodyDiv w:val="1"/>
      <w:marLeft w:val="0"/>
      <w:marRight w:val="0"/>
      <w:marTop w:val="0"/>
      <w:marBottom w:val="0"/>
      <w:divBdr>
        <w:top w:val="none" w:sz="0" w:space="0" w:color="auto"/>
        <w:left w:val="none" w:sz="0" w:space="0" w:color="auto"/>
        <w:bottom w:val="none" w:sz="0" w:space="0" w:color="auto"/>
        <w:right w:val="none" w:sz="0" w:space="0" w:color="auto"/>
      </w:divBdr>
    </w:div>
    <w:div w:id="1759788608">
      <w:bodyDiv w:val="1"/>
      <w:marLeft w:val="0"/>
      <w:marRight w:val="0"/>
      <w:marTop w:val="0"/>
      <w:marBottom w:val="0"/>
      <w:divBdr>
        <w:top w:val="none" w:sz="0" w:space="0" w:color="auto"/>
        <w:left w:val="none" w:sz="0" w:space="0" w:color="auto"/>
        <w:bottom w:val="none" w:sz="0" w:space="0" w:color="auto"/>
        <w:right w:val="none" w:sz="0" w:space="0" w:color="auto"/>
      </w:divBdr>
    </w:div>
    <w:div w:id="1760636927">
      <w:bodyDiv w:val="1"/>
      <w:marLeft w:val="0"/>
      <w:marRight w:val="0"/>
      <w:marTop w:val="0"/>
      <w:marBottom w:val="0"/>
      <w:divBdr>
        <w:top w:val="none" w:sz="0" w:space="0" w:color="auto"/>
        <w:left w:val="none" w:sz="0" w:space="0" w:color="auto"/>
        <w:bottom w:val="none" w:sz="0" w:space="0" w:color="auto"/>
        <w:right w:val="none" w:sz="0" w:space="0" w:color="auto"/>
      </w:divBdr>
    </w:div>
    <w:div w:id="1768116046">
      <w:bodyDiv w:val="1"/>
      <w:marLeft w:val="0"/>
      <w:marRight w:val="0"/>
      <w:marTop w:val="0"/>
      <w:marBottom w:val="0"/>
      <w:divBdr>
        <w:top w:val="none" w:sz="0" w:space="0" w:color="auto"/>
        <w:left w:val="none" w:sz="0" w:space="0" w:color="auto"/>
        <w:bottom w:val="none" w:sz="0" w:space="0" w:color="auto"/>
        <w:right w:val="none" w:sz="0" w:space="0" w:color="auto"/>
      </w:divBdr>
    </w:div>
    <w:div w:id="1771394088">
      <w:bodyDiv w:val="1"/>
      <w:marLeft w:val="0"/>
      <w:marRight w:val="0"/>
      <w:marTop w:val="0"/>
      <w:marBottom w:val="0"/>
      <w:divBdr>
        <w:top w:val="none" w:sz="0" w:space="0" w:color="auto"/>
        <w:left w:val="none" w:sz="0" w:space="0" w:color="auto"/>
        <w:bottom w:val="none" w:sz="0" w:space="0" w:color="auto"/>
        <w:right w:val="none" w:sz="0" w:space="0" w:color="auto"/>
      </w:divBdr>
    </w:div>
    <w:div w:id="1775593676">
      <w:bodyDiv w:val="1"/>
      <w:marLeft w:val="0"/>
      <w:marRight w:val="0"/>
      <w:marTop w:val="0"/>
      <w:marBottom w:val="0"/>
      <w:divBdr>
        <w:top w:val="none" w:sz="0" w:space="0" w:color="auto"/>
        <w:left w:val="none" w:sz="0" w:space="0" w:color="auto"/>
        <w:bottom w:val="none" w:sz="0" w:space="0" w:color="auto"/>
        <w:right w:val="none" w:sz="0" w:space="0" w:color="auto"/>
      </w:divBdr>
    </w:div>
    <w:div w:id="1779447725">
      <w:bodyDiv w:val="1"/>
      <w:marLeft w:val="0"/>
      <w:marRight w:val="0"/>
      <w:marTop w:val="0"/>
      <w:marBottom w:val="0"/>
      <w:divBdr>
        <w:top w:val="none" w:sz="0" w:space="0" w:color="auto"/>
        <w:left w:val="none" w:sz="0" w:space="0" w:color="auto"/>
        <w:bottom w:val="none" w:sz="0" w:space="0" w:color="auto"/>
        <w:right w:val="none" w:sz="0" w:space="0" w:color="auto"/>
      </w:divBdr>
    </w:div>
    <w:div w:id="1779979840">
      <w:bodyDiv w:val="1"/>
      <w:marLeft w:val="0"/>
      <w:marRight w:val="0"/>
      <w:marTop w:val="0"/>
      <w:marBottom w:val="0"/>
      <w:divBdr>
        <w:top w:val="none" w:sz="0" w:space="0" w:color="auto"/>
        <w:left w:val="none" w:sz="0" w:space="0" w:color="auto"/>
        <w:bottom w:val="none" w:sz="0" w:space="0" w:color="auto"/>
        <w:right w:val="none" w:sz="0" w:space="0" w:color="auto"/>
      </w:divBdr>
    </w:div>
    <w:div w:id="1780182164">
      <w:bodyDiv w:val="1"/>
      <w:marLeft w:val="0"/>
      <w:marRight w:val="0"/>
      <w:marTop w:val="0"/>
      <w:marBottom w:val="0"/>
      <w:divBdr>
        <w:top w:val="none" w:sz="0" w:space="0" w:color="auto"/>
        <w:left w:val="none" w:sz="0" w:space="0" w:color="auto"/>
        <w:bottom w:val="none" w:sz="0" w:space="0" w:color="auto"/>
        <w:right w:val="none" w:sz="0" w:space="0" w:color="auto"/>
      </w:divBdr>
    </w:div>
    <w:div w:id="1780290988">
      <w:bodyDiv w:val="1"/>
      <w:marLeft w:val="0"/>
      <w:marRight w:val="0"/>
      <w:marTop w:val="0"/>
      <w:marBottom w:val="0"/>
      <w:divBdr>
        <w:top w:val="none" w:sz="0" w:space="0" w:color="auto"/>
        <w:left w:val="none" w:sz="0" w:space="0" w:color="auto"/>
        <w:bottom w:val="none" w:sz="0" w:space="0" w:color="auto"/>
        <w:right w:val="none" w:sz="0" w:space="0" w:color="auto"/>
      </w:divBdr>
    </w:div>
    <w:div w:id="1780946831">
      <w:bodyDiv w:val="1"/>
      <w:marLeft w:val="0"/>
      <w:marRight w:val="0"/>
      <w:marTop w:val="0"/>
      <w:marBottom w:val="0"/>
      <w:divBdr>
        <w:top w:val="none" w:sz="0" w:space="0" w:color="auto"/>
        <w:left w:val="none" w:sz="0" w:space="0" w:color="auto"/>
        <w:bottom w:val="none" w:sz="0" w:space="0" w:color="auto"/>
        <w:right w:val="none" w:sz="0" w:space="0" w:color="auto"/>
      </w:divBdr>
    </w:div>
    <w:div w:id="1781728163">
      <w:bodyDiv w:val="1"/>
      <w:marLeft w:val="0"/>
      <w:marRight w:val="0"/>
      <w:marTop w:val="0"/>
      <w:marBottom w:val="0"/>
      <w:divBdr>
        <w:top w:val="none" w:sz="0" w:space="0" w:color="auto"/>
        <w:left w:val="none" w:sz="0" w:space="0" w:color="auto"/>
        <w:bottom w:val="none" w:sz="0" w:space="0" w:color="auto"/>
        <w:right w:val="none" w:sz="0" w:space="0" w:color="auto"/>
      </w:divBdr>
    </w:div>
    <w:div w:id="1798643449">
      <w:bodyDiv w:val="1"/>
      <w:marLeft w:val="0"/>
      <w:marRight w:val="0"/>
      <w:marTop w:val="0"/>
      <w:marBottom w:val="0"/>
      <w:divBdr>
        <w:top w:val="none" w:sz="0" w:space="0" w:color="auto"/>
        <w:left w:val="none" w:sz="0" w:space="0" w:color="auto"/>
        <w:bottom w:val="none" w:sz="0" w:space="0" w:color="auto"/>
        <w:right w:val="none" w:sz="0" w:space="0" w:color="auto"/>
      </w:divBdr>
    </w:div>
    <w:div w:id="1808743536">
      <w:bodyDiv w:val="1"/>
      <w:marLeft w:val="0"/>
      <w:marRight w:val="0"/>
      <w:marTop w:val="0"/>
      <w:marBottom w:val="0"/>
      <w:divBdr>
        <w:top w:val="none" w:sz="0" w:space="0" w:color="auto"/>
        <w:left w:val="none" w:sz="0" w:space="0" w:color="auto"/>
        <w:bottom w:val="none" w:sz="0" w:space="0" w:color="auto"/>
        <w:right w:val="none" w:sz="0" w:space="0" w:color="auto"/>
      </w:divBdr>
    </w:div>
    <w:div w:id="1809470602">
      <w:bodyDiv w:val="1"/>
      <w:marLeft w:val="0"/>
      <w:marRight w:val="0"/>
      <w:marTop w:val="0"/>
      <w:marBottom w:val="0"/>
      <w:divBdr>
        <w:top w:val="none" w:sz="0" w:space="0" w:color="auto"/>
        <w:left w:val="none" w:sz="0" w:space="0" w:color="auto"/>
        <w:bottom w:val="none" w:sz="0" w:space="0" w:color="auto"/>
        <w:right w:val="none" w:sz="0" w:space="0" w:color="auto"/>
      </w:divBdr>
    </w:div>
    <w:div w:id="1810317491">
      <w:bodyDiv w:val="1"/>
      <w:marLeft w:val="0"/>
      <w:marRight w:val="0"/>
      <w:marTop w:val="0"/>
      <w:marBottom w:val="0"/>
      <w:divBdr>
        <w:top w:val="none" w:sz="0" w:space="0" w:color="auto"/>
        <w:left w:val="none" w:sz="0" w:space="0" w:color="auto"/>
        <w:bottom w:val="none" w:sz="0" w:space="0" w:color="auto"/>
        <w:right w:val="none" w:sz="0" w:space="0" w:color="auto"/>
      </w:divBdr>
    </w:div>
    <w:div w:id="1811747342">
      <w:bodyDiv w:val="1"/>
      <w:marLeft w:val="0"/>
      <w:marRight w:val="0"/>
      <w:marTop w:val="0"/>
      <w:marBottom w:val="0"/>
      <w:divBdr>
        <w:top w:val="none" w:sz="0" w:space="0" w:color="auto"/>
        <w:left w:val="none" w:sz="0" w:space="0" w:color="auto"/>
        <w:bottom w:val="none" w:sz="0" w:space="0" w:color="auto"/>
        <w:right w:val="none" w:sz="0" w:space="0" w:color="auto"/>
      </w:divBdr>
    </w:div>
    <w:div w:id="1811752502">
      <w:bodyDiv w:val="1"/>
      <w:marLeft w:val="0"/>
      <w:marRight w:val="0"/>
      <w:marTop w:val="0"/>
      <w:marBottom w:val="0"/>
      <w:divBdr>
        <w:top w:val="none" w:sz="0" w:space="0" w:color="auto"/>
        <w:left w:val="none" w:sz="0" w:space="0" w:color="auto"/>
        <w:bottom w:val="none" w:sz="0" w:space="0" w:color="auto"/>
        <w:right w:val="none" w:sz="0" w:space="0" w:color="auto"/>
      </w:divBdr>
    </w:div>
    <w:div w:id="1816870956">
      <w:bodyDiv w:val="1"/>
      <w:marLeft w:val="0"/>
      <w:marRight w:val="0"/>
      <w:marTop w:val="0"/>
      <w:marBottom w:val="0"/>
      <w:divBdr>
        <w:top w:val="none" w:sz="0" w:space="0" w:color="auto"/>
        <w:left w:val="none" w:sz="0" w:space="0" w:color="auto"/>
        <w:bottom w:val="none" w:sz="0" w:space="0" w:color="auto"/>
        <w:right w:val="none" w:sz="0" w:space="0" w:color="auto"/>
      </w:divBdr>
    </w:div>
    <w:div w:id="1818836591">
      <w:bodyDiv w:val="1"/>
      <w:marLeft w:val="0"/>
      <w:marRight w:val="0"/>
      <w:marTop w:val="0"/>
      <w:marBottom w:val="0"/>
      <w:divBdr>
        <w:top w:val="none" w:sz="0" w:space="0" w:color="auto"/>
        <w:left w:val="none" w:sz="0" w:space="0" w:color="auto"/>
        <w:bottom w:val="none" w:sz="0" w:space="0" w:color="auto"/>
        <w:right w:val="none" w:sz="0" w:space="0" w:color="auto"/>
      </w:divBdr>
    </w:div>
    <w:div w:id="1824617839">
      <w:bodyDiv w:val="1"/>
      <w:marLeft w:val="0"/>
      <w:marRight w:val="0"/>
      <w:marTop w:val="0"/>
      <w:marBottom w:val="0"/>
      <w:divBdr>
        <w:top w:val="none" w:sz="0" w:space="0" w:color="auto"/>
        <w:left w:val="none" w:sz="0" w:space="0" w:color="auto"/>
        <w:bottom w:val="none" w:sz="0" w:space="0" w:color="auto"/>
        <w:right w:val="none" w:sz="0" w:space="0" w:color="auto"/>
      </w:divBdr>
    </w:div>
    <w:div w:id="1825585786">
      <w:bodyDiv w:val="1"/>
      <w:marLeft w:val="0"/>
      <w:marRight w:val="0"/>
      <w:marTop w:val="0"/>
      <w:marBottom w:val="0"/>
      <w:divBdr>
        <w:top w:val="none" w:sz="0" w:space="0" w:color="auto"/>
        <w:left w:val="none" w:sz="0" w:space="0" w:color="auto"/>
        <w:bottom w:val="none" w:sz="0" w:space="0" w:color="auto"/>
        <w:right w:val="none" w:sz="0" w:space="0" w:color="auto"/>
      </w:divBdr>
    </w:div>
    <w:div w:id="1826511164">
      <w:bodyDiv w:val="1"/>
      <w:marLeft w:val="0"/>
      <w:marRight w:val="0"/>
      <w:marTop w:val="0"/>
      <w:marBottom w:val="0"/>
      <w:divBdr>
        <w:top w:val="none" w:sz="0" w:space="0" w:color="auto"/>
        <w:left w:val="none" w:sz="0" w:space="0" w:color="auto"/>
        <w:bottom w:val="none" w:sz="0" w:space="0" w:color="auto"/>
        <w:right w:val="none" w:sz="0" w:space="0" w:color="auto"/>
      </w:divBdr>
    </w:div>
    <w:div w:id="1839421429">
      <w:bodyDiv w:val="1"/>
      <w:marLeft w:val="0"/>
      <w:marRight w:val="0"/>
      <w:marTop w:val="0"/>
      <w:marBottom w:val="0"/>
      <w:divBdr>
        <w:top w:val="none" w:sz="0" w:space="0" w:color="auto"/>
        <w:left w:val="none" w:sz="0" w:space="0" w:color="auto"/>
        <w:bottom w:val="none" w:sz="0" w:space="0" w:color="auto"/>
        <w:right w:val="none" w:sz="0" w:space="0" w:color="auto"/>
      </w:divBdr>
    </w:div>
    <w:div w:id="1839953510">
      <w:bodyDiv w:val="1"/>
      <w:marLeft w:val="0"/>
      <w:marRight w:val="0"/>
      <w:marTop w:val="0"/>
      <w:marBottom w:val="0"/>
      <w:divBdr>
        <w:top w:val="none" w:sz="0" w:space="0" w:color="auto"/>
        <w:left w:val="none" w:sz="0" w:space="0" w:color="auto"/>
        <w:bottom w:val="none" w:sz="0" w:space="0" w:color="auto"/>
        <w:right w:val="none" w:sz="0" w:space="0" w:color="auto"/>
      </w:divBdr>
    </w:div>
    <w:div w:id="1846092119">
      <w:bodyDiv w:val="1"/>
      <w:marLeft w:val="0"/>
      <w:marRight w:val="0"/>
      <w:marTop w:val="0"/>
      <w:marBottom w:val="0"/>
      <w:divBdr>
        <w:top w:val="none" w:sz="0" w:space="0" w:color="auto"/>
        <w:left w:val="none" w:sz="0" w:space="0" w:color="auto"/>
        <w:bottom w:val="none" w:sz="0" w:space="0" w:color="auto"/>
        <w:right w:val="none" w:sz="0" w:space="0" w:color="auto"/>
      </w:divBdr>
    </w:div>
    <w:div w:id="1846283055">
      <w:bodyDiv w:val="1"/>
      <w:marLeft w:val="0"/>
      <w:marRight w:val="0"/>
      <w:marTop w:val="0"/>
      <w:marBottom w:val="0"/>
      <w:divBdr>
        <w:top w:val="none" w:sz="0" w:space="0" w:color="auto"/>
        <w:left w:val="none" w:sz="0" w:space="0" w:color="auto"/>
        <w:bottom w:val="none" w:sz="0" w:space="0" w:color="auto"/>
        <w:right w:val="none" w:sz="0" w:space="0" w:color="auto"/>
      </w:divBdr>
    </w:div>
    <w:div w:id="1847788900">
      <w:bodyDiv w:val="1"/>
      <w:marLeft w:val="0"/>
      <w:marRight w:val="0"/>
      <w:marTop w:val="0"/>
      <w:marBottom w:val="0"/>
      <w:divBdr>
        <w:top w:val="none" w:sz="0" w:space="0" w:color="auto"/>
        <w:left w:val="none" w:sz="0" w:space="0" w:color="auto"/>
        <w:bottom w:val="none" w:sz="0" w:space="0" w:color="auto"/>
        <w:right w:val="none" w:sz="0" w:space="0" w:color="auto"/>
      </w:divBdr>
    </w:div>
    <w:div w:id="1854758135">
      <w:bodyDiv w:val="1"/>
      <w:marLeft w:val="0"/>
      <w:marRight w:val="0"/>
      <w:marTop w:val="0"/>
      <w:marBottom w:val="0"/>
      <w:divBdr>
        <w:top w:val="none" w:sz="0" w:space="0" w:color="auto"/>
        <w:left w:val="none" w:sz="0" w:space="0" w:color="auto"/>
        <w:bottom w:val="none" w:sz="0" w:space="0" w:color="auto"/>
        <w:right w:val="none" w:sz="0" w:space="0" w:color="auto"/>
      </w:divBdr>
    </w:div>
    <w:div w:id="1856846918">
      <w:bodyDiv w:val="1"/>
      <w:marLeft w:val="0"/>
      <w:marRight w:val="0"/>
      <w:marTop w:val="0"/>
      <w:marBottom w:val="0"/>
      <w:divBdr>
        <w:top w:val="none" w:sz="0" w:space="0" w:color="auto"/>
        <w:left w:val="none" w:sz="0" w:space="0" w:color="auto"/>
        <w:bottom w:val="none" w:sz="0" w:space="0" w:color="auto"/>
        <w:right w:val="none" w:sz="0" w:space="0" w:color="auto"/>
      </w:divBdr>
    </w:div>
    <w:div w:id="1857379653">
      <w:bodyDiv w:val="1"/>
      <w:marLeft w:val="0"/>
      <w:marRight w:val="0"/>
      <w:marTop w:val="0"/>
      <w:marBottom w:val="0"/>
      <w:divBdr>
        <w:top w:val="none" w:sz="0" w:space="0" w:color="auto"/>
        <w:left w:val="none" w:sz="0" w:space="0" w:color="auto"/>
        <w:bottom w:val="none" w:sz="0" w:space="0" w:color="auto"/>
        <w:right w:val="none" w:sz="0" w:space="0" w:color="auto"/>
      </w:divBdr>
    </w:div>
    <w:div w:id="1861233450">
      <w:bodyDiv w:val="1"/>
      <w:marLeft w:val="0"/>
      <w:marRight w:val="0"/>
      <w:marTop w:val="0"/>
      <w:marBottom w:val="0"/>
      <w:divBdr>
        <w:top w:val="none" w:sz="0" w:space="0" w:color="auto"/>
        <w:left w:val="none" w:sz="0" w:space="0" w:color="auto"/>
        <w:bottom w:val="none" w:sz="0" w:space="0" w:color="auto"/>
        <w:right w:val="none" w:sz="0" w:space="0" w:color="auto"/>
      </w:divBdr>
    </w:div>
    <w:div w:id="1862545379">
      <w:bodyDiv w:val="1"/>
      <w:marLeft w:val="0"/>
      <w:marRight w:val="0"/>
      <w:marTop w:val="0"/>
      <w:marBottom w:val="0"/>
      <w:divBdr>
        <w:top w:val="none" w:sz="0" w:space="0" w:color="auto"/>
        <w:left w:val="none" w:sz="0" w:space="0" w:color="auto"/>
        <w:bottom w:val="none" w:sz="0" w:space="0" w:color="auto"/>
        <w:right w:val="none" w:sz="0" w:space="0" w:color="auto"/>
      </w:divBdr>
    </w:div>
    <w:div w:id="1864131975">
      <w:bodyDiv w:val="1"/>
      <w:marLeft w:val="0"/>
      <w:marRight w:val="0"/>
      <w:marTop w:val="0"/>
      <w:marBottom w:val="0"/>
      <w:divBdr>
        <w:top w:val="none" w:sz="0" w:space="0" w:color="auto"/>
        <w:left w:val="none" w:sz="0" w:space="0" w:color="auto"/>
        <w:bottom w:val="none" w:sz="0" w:space="0" w:color="auto"/>
        <w:right w:val="none" w:sz="0" w:space="0" w:color="auto"/>
      </w:divBdr>
    </w:div>
    <w:div w:id="1865485354">
      <w:bodyDiv w:val="1"/>
      <w:marLeft w:val="0"/>
      <w:marRight w:val="0"/>
      <w:marTop w:val="0"/>
      <w:marBottom w:val="0"/>
      <w:divBdr>
        <w:top w:val="none" w:sz="0" w:space="0" w:color="auto"/>
        <w:left w:val="none" w:sz="0" w:space="0" w:color="auto"/>
        <w:bottom w:val="none" w:sz="0" w:space="0" w:color="auto"/>
        <w:right w:val="none" w:sz="0" w:space="0" w:color="auto"/>
      </w:divBdr>
    </w:div>
    <w:div w:id="1872523496">
      <w:bodyDiv w:val="1"/>
      <w:marLeft w:val="0"/>
      <w:marRight w:val="0"/>
      <w:marTop w:val="0"/>
      <w:marBottom w:val="0"/>
      <w:divBdr>
        <w:top w:val="none" w:sz="0" w:space="0" w:color="auto"/>
        <w:left w:val="none" w:sz="0" w:space="0" w:color="auto"/>
        <w:bottom w:val="none" w:sz="0" w:space="0" w:color="auto"/>
        <w:right w:val="none" w:sz="0" w:space="0" w:color="auto"/>
      </w:divBdr>
    </w:div>
    <w:div w:id="1876039870">
      <w:bodyDiv w:val="1"/>
      <w:marLeft w:val="0"/>
      <w:marRight w:val="0"/>
      <w:marTop w:val="0"/>
      <w:marBottom w:val="0"/>
      <w:divBdr>
        <w:top w:val="none" w:sz="0" w:space="0" w:color="auto"/>
        <w:left w:val="none" w:sz="0" w:space="0" w:color="auto"/>
        <w:bottom w:val="none" w:sz="0" w:space="0" w:color="auto"/>
        <w:right w:val="none" w:sz="0" w:space="0" w:color="auto"/>
      </w:divBdr>
    </w:div>
    <w:div w:id="1876846355">
      <w:bodyDiv w:val="1"/>
      <w:marLeft w:val="0"/>
      <w:marRight w:val="0"/>
      <w:marTop w:val="0"/>
      <w:marBottom w:val="0"/>
      <w:divBdr>
        <w:top w:val="none" w:sz="0" w:space="0" w:color="auto"/>
        <w:left w:val="none" w:sz="0" w:space="0" w:color="auto"/>
        <w:bottom w:val="none" w:sz="0" w:space="0" w:color="auto"/>
        <w:right w:val="none" w:sz="0" w:space="0" w:color="auto"/>
      </w:divBdr>
    </w:div>
    <w:div w:id="1879538874">
      <w:bodyDiv w:val="1"/>
      <w:marLeft w:val="0"/>
      <w:marRight w:val="0"/>
      <w:marTop w:val="0"/>
      <w:marBottom w:val="0"/>
      <w:divBdr>
        <w:top w:val="none" w:sz="0" w:space="0" w:color="auto"/>
        <w:left w:val="none" w:sz="0" w:space="0" w:color="auto"/>
        <w:bottom w:val="none" w:sz="0" w:space="0" w:color="auto"/>
        <w:right w:val="none" w:sz="0" w:space="0" w:color="auto"/>
      </w:divBdr>
    </w:div>
    <w:div w:id="1881896128">
      <w:bodyDiv w:val="1"/>
      <w:marLeft w:val="0"/>
      <w:marRight w:val="0"/>
      <w:marTop w:val="0"/>
      <w:marBottom w:val="0"/>
      <w:divBdr>
        <w:top w:val="none" w:sz="0" w:space="0" w:color="auto"/>
        <w:left w:val="none" w:sz="0" w:space="0" w:color="auto"/>
        <w:bottom w:val="none" w:sz="0" w:space="0" w:color="auto"/>
        <w:right w:val="none" w:sz="0" w:space="0" w:color="auto"/>
      </w:divBdr>
    </w:div>
    <w:div w:id="1886796516">
      <w:bodyDiv w:val="1"/>
      <w:marLeft w:val="0"/>
      <w:marRight w:val="0"/>
      <w:marTop w:val="0"/>
      <w:marBottom w:val="0"/>
      <w:divBdr>
        <w:top w:val="none" w:sz="0" w:space="0" w:color="auto"/>
        <w:left w:val="none" w:sz="0" w:space="0" w:color="auto"/>
        <w:bottom w:val="none" w:sz="0" w:space="0" w:color="auto"/>
        <w:right w:val="none" w:sz="0" w:space="0" w:color="auto"/>
      </w:divBdr>
    </w:div>
    <w:div w:id="1889685154">
      <w:bodyDiv w:val="1"/>
      <w:marLeft w:val="0"/>
      <w:marRight w:val="0"/>
      <w:marTop w:val="0"/>
      <w:marBottom w:val="0"/>
      <w:divBdr>
        <w:top w:val="none" w:sz="0" w:space="0" w:color="auto"/>
        <w:left w:val="none" w:sz="0" w:space="0" w:color="auto"/>
        <w:bottom w:val="none" w:sz="0" w:space="0" w:color="auto"/>
        <w:right w:val="none" w:sz="0" w:space="0" w:color="auto"/>
      </w:divBdr>
    </w:div>
    <w:div w:id="1889948085">
      <w:bodyDiv w:val="1"/>
      <w:marLeft w:val="0"/>
      <w:marRight w:val="0"/>
      <w:marTop w:val="0"/>
      <w:marBottom w:val="0"/>
      <w:divBdr>
        <w:top w:val="none" w:sz="0" w:space="0" w:color="auto"/>
        <w:left w:val="none" w:sz="0" w:space="0" w:color="auto"/>
        <w:bottom w:val="none" w:sz="0" w:space="0" w:color="auto"/>
        <w:right w:val="none" w:sz="0" w:space="0" w:color="auto"/>
      </w:divBdr>
    </w:div>
    <w:div w:id="1893231741">
      <w:bodyDiv w:val="1"/>
      <w:marLeft w:val="0"/>
      <w:marRight w:val="0"/>
      <w:marTop w:val="0"/>
      <w:marBottom w:val="0"/>
      <w:divBdr>
        <w:top w:val="none" w:sz="0" w:space="0" w:color="auto"/>
        <w:left w:val="none" w:sz="0" w:space="0" w:color="auto"/>
        <w:bottom w:val="none" w:sz="0" w:space="0" w:color="auto"/>
        <w:right w:val="none" w:sz="0" w:space="0" w:color="auto"/>
      </w:divBdr>
    </w:div>
    <w:div w:id="1895390093">
      <w:bodyDiv w:val="1"/>
      <w:marLeft w:val="0"/>
      <w:marRight w:val="0"/>
      <w:marTop w:val="0"/>
      <w:marBottom w:val="0"/>
      <w:divBdr>
        <w:top w:val="none" w:sz="0" w:space="0" w:color="auto"/>
        <w:left w:val="none" w:sz="0" w:space="0" w:color="auto"/>
        <w:bottom w:val="none" w:sz="0" w:space="0" w:color="auto"/>
        <w:right w:val="none" w:sz="0" w:space="0" w:color="auto"/>
      </w:divBdr>
    </w:div>
    <w:div w:id="1896089780">
      <w:bodyDiv w:val="1"/>
      <w:marLeft w:val="0"/>
      <w:marRight w:val="0"/>
      <w:marTop w:val="0"/>
      <w:marBottom w:val="0"/>
      <w:divBdr>
        <w:top w:val="none" w:sz="0" w:space="0" w:color="auto"/>
        <w:left w:val="none" w:sz="0" w:space="0" w:color="auto"/>
        <w:bottom w:val="none" w:sz="0" w:space="0" w:color="auto"/>
        <w:right w:val="none" w:sz="0" w:space="0" w:color="auto"/>
      </w:divBdr>
    </w:div>
    <w:div w:id="1898978733">
      <w:bodyDiv w:val="1"/>
      <w:marLeft w:val="0"/>
      <w:marRight w:val="0"/>
      <w:marTop w:val="0"/>
      <w:marBottom w:val="0"/>
      <w:divBdr>
        <w:top w:val="none" w:sz="0" w:space="0" w:color="auto"/>
        <w:left w:val="none" w:sz="0" w:space="0" w:color="auto"/>
        <w:bottom w:val="none" w:sz="0" w:space="0" w:color="auto"/>
        <w:right w:val="none" w:sz="0" w:space="0" w:color="auto"/>
      </w:divBdr>
    </w:div>
    <w:div w:id="1902328494">
      <w:bodyDiv w:val="1"/>
      <w:marLeft w:val="0"/>
      <w:marRight w:val="0"/>
      <w:marTop w:val="0"/>
      <w:marBottom w:val="0"/>
      <w:divBdr>
        <w:top w:val="none" w:sz="0" w:space="0" w:color="auto"/>
        <w:left w:val="none" w:sz="0" w:space="0" w:color="auto"/>
        <w:bottom w:val="none" w:sz="0" w:space="0" w:color="auto"/>
        <w:right w:val="none" w:sz="0" w:space="0" w:color="auto"/>
      </w:divBdr>
    </w:div>
    <w:div w:id="1907840856">
      <w:bodyDiv w:val="1"/>
      <w:marLeft w:val="0"/>
      <w:marRight w:val="0"/>
      <w:marTop w:val="0"/>
      <w:marBottom w:val="0"/>
      <w:divBdr>
        <w:top w:val="none" w:sz="0" w:space="0" w:color="auto"/>
        <w:left w:val="none" w:sz="0" w:space="0" w:color="auto"/>
        <w:bottom w:val="none" w:sz="0" w:space="0" w:color="auto"/>
        <w:right w:val="none" w:sz="0" w:space="0" w:color="auto"/>
      </w:divBdr>
    </w:div>
    <w:div w:id="1908762565">
      <w:bodyDiv w:val="1"/>
      <w:marLeft w:val="0"/>
      <w:marRight w:val="0"/>
      <w:marTop w:val="0"/>
      <w:marBottom w:val="0"/>
      <w:divBdr>
        <w:top w:val="none" w:sz="0" w:space="0" w:color="auto"/>
        <w:left w:val="none" w:sz="0" w:space="0" w:color="auto"/>
        <w:bottom w:val="none" w:sz="0" w:space="0" w:color="auto"/>
        <w:right w:val="none" w:sz="0" w:space="0" w:color="auto"/>
      </w:divBdr>
    </w:div>
    <w:div w:id="1909143874">
      <w:bodyDiv w:val="1"/>
      <w:marLeft w:val="0"/>
      <w:marRight w:val="0"/>
      <w:marTop w:val="0"/>
      <w:marBottom w:val="0"/>
      <w:divBdr>
        <w:top w:val="none" w:sz="0" w:space="0" w:color="auto"/>
        <w:left w:val="none" w:sz="0" w:space="0" w:color="auto"/>
        <w:bottom w:val="none" w:sz="0" w:space="0" w:color="auto"/>
        <w:right w:val="none" w:sz="0" w:space="0" w:color="auto"/>
      </w:divBdr>
    </w:div>
    <w:div w:id="1917202128">
      <w:bodyDiv w:val="1"/>
      <w:marLeft w:val="0"/>
      <w:marRight w:val="0"/>
      <w:marTop w:val="0"/>
      <w:marBottom w:val="0"/>
      <w:divBdr>
        <w:top w:val="none" w:sz="0" w:space="0" w:color="auto"/>
        <w:left w:val="none" w:sz="0" w:space="0" w:color="auto"/>
        <w:bottom w:val="none" w:sz="0" w:space="0" w:color="auto"/>
        <w:right w:val="none" w:sz="0" w:space="0" w:color="auto"/>
      </w:divBdr>
    </w:div>
    <w:div w:id="1917669930">
      <w:bodyDiv w:val="1"/>
      <w:marLeft w:val="0"/>
      <w:marRight w:val="0"/>
      <w:marTop w:val="0"/>
      <w:marBottom w:val="0"/>
      <w:divBdr>
        <w:top w:val="none" w:sz="0" w:space="0" w:color="auto"/>
        <w:left w:val="none" w:sz="0" w:space="0" w:color="auto"/>
        <w:bottom w:val="none" w:sz="0" w:space="0" w:color="auto"/>
        <w:right w:val="none" w:sz="0" w:space="0" w:color="auto"/>
      </w:divBdr>
    </w:div>
    <w:div w:id="1917784798">
      <w:bodyDiv w:val="1"/>
      <w:marLeft w:val="0"/>
      <w:marRight w:val="0"/>
      <w:marTop w:val="0"/>
      <w:marBottom w:val="0"/>
      <w:divBdr>
        <w:top w:val="none" w:sz="0" w:space="0" w:color="auto"/>
        <w:left w:val="none" w:sz="0" w:space="0" w:color="auto"/>
        <w:bottom w:val="none" w:sz="0" w:space="0" w:color="auto"/>
        <w:right w:val="none" w:sz="0" w:space="0" w:color="auto"/>
      </w:divBdr>
    </w:div>
    <w:div w:id="1920868515">
      <w:bodyDiv w:val="1"/>
      <w:marLeft w:val="0"/>
      <w:marRight w:val="0"/>
      <w:marTop w:val="0"/>
      <w:marBottom w:val="0"/>
      <w:divBdr>
        <w:top w:val="none" w:sz="0" w:space="0" w:color="auto"/>
        <w:left w:val="none" w:sz="0" w:space="0" w:color="auto"/>
        <w:bottom w:val="none" w:sz="0" w:space="0" w:color="auto"/>
        <w:right w:val="none" w:sz="0" w:space="0" w:color="auto"/>
      </w:divBdr>
    </w:div>
    <w:div w:id="1924602937">
      <w:bodyDiv w:val="1"/>
      <w:marLeft w:val="0"/>
      <w:marRight w:val="0"/>
      <w:marTop w:val="0"/>
      <w:marBottom w:val="0"/>
      <w:divBdr>
        <w:top w:val="none" w:sz="0" w:space="0" w:color="auto"/>
        <w:left w:val="none" w:sz="0" w:space="0" w:color="auto"/>
        <w:bottom w:val="none" w:sz="0" w:space="0" w:color="auto"/>
        <w:right w:val="none" w:sz="0" w:space="0" w:color="auto"/>
      </w:divBdr>
    </w:div>
    <w:div w:id="1925648668">
      <w:bodyDiv w:val="1"/>
      <w:marLeft w:val="0"/>
      <w:marRight w:val="0"/>
      <w:marTop w:val="0"/>
      <w:marBottom w:val="0"/>
      <w:divBdr>
        <w:top w:val="none" w:sz="0" w:space="0" w:color="auto"/>
        <w:left w:val="none" w:sz="0" w:space="0" w:color="auto"/>
        <w:bottom w:val="none" w:sz="0" w:space="0" w:color="auto"/>
        <w:right w:val="none" w:sz="0" w:space="0" w:color="auto"/>
      </w:divBdr>
    </w:div>
    <w:div w:id="1925795321">
      <w:bodyDiv w:val="1"/>
      <w:marLeft w:val="0"/>
      <w:marRight w:val="0"/>
      <w:marTop w:val="0"/>
      <w:marBottom w:val="0"/>
      <w:divBdr>
        <w:top w:val="none" w:sz="0" w:space="0" w:color="auto"/>
        <w:left w:val="none" w:sz="0" w:space="0" w:color="auto"/>
        <w:bottom w:val="none" w:sz="0" w:space="0" w:color="auto"/>
        <w:right w:val="none" w:sz="0" w:space="0" w:color="auto"/>
      </w:divBdr>
    </w:div>
    <w:div w:id="1932618594">
      <w:bodyDiv w:val="1"/>
      <w:marLeft w:val="0"/>
      <w:marRight w:val="0"/>
      <w:marTop w:val="0"/>
      <w:marBottom w:val="0"/>
      <w:divBdr>
        <w:top w:val="none" w:sz="0" w:space="0" w:color="auto"/>
        <w:left w:val="none" w:sz="0" w:space="0" w:color="auto"/>
        <w:bottom w:val="none" w:sz="0" w:space="0" w:color="auto"/>
        <w:right w:val="none" w:sz="0" w:space="0" w:color="auto"/>
      </w:divBdr>
    </w:div>
    <w:div w:id="1933663038">
      <w:bodyDiv w:val="1"/>
      <w:marLeft w:val="0"/>
      <w:marRight w:val="0"/>
      <w:marTop w:val="0"/>
      <w:marBottom w:val="0"/>
      <w:divBdr>
        <w:top w:val="none" w:sz="0" w:space="0" w:color="auto"/>
        <w:left w:val="none" w:sz="0" w:space="0" w:color="auto"/>
        <w:bottom w:val="none" w:sz="0" w:space="0" w:color="auto"/>
        <w:right w:val="none" w:sz="0" w:space="0" w:color="auto"/>
      </w:divBdr>
    </w:div>
    <w:div w:id="1951619476">
      <w:bodyDiv w:val="1"/>
      <w:marLeft w:val="0"/>
      <w:marRight w:val="0"/>
      <w:marTop w:val="0"/>
      <w:marBottom w:val="0"/>
      <w:divBdr>
        <w:top w:val="none" w:sz="0" w:space="0" w:color="auto"/>
        <w:left w:val="none" w:sz="0" w:space="0" w:color="auto"/>
        <w:bottom w:val="none" w:sz="0" w:space="0" w:color="auto"/>
        <w:right w:val="none" w:sz="0" w:space="0" w:color="auto"/>
      </w:divBdr>
    </w:div>
    <w:div w:id="1962614586">
      <w:bodyDiv w:val="1"/>
      <w:marLeft w:val="0"/>
      <w:marRight w:val="0"/>
      <w:marTop w:val="0"/>
      <w:marBottom w:val="0"/>
      <w:divBdr>
        <w:top w:val="none" w:sz="0" w:space="0" w:color="auto"/>
        <w:left w:val="none" w:sz="0" w:space="0" w:color="auto"/>
        <w:bottom w:val="none" w:sz="0" w:space="0" w:color="auto"/>
        <w:right w:val="none" w:sz="0" w:space="0" w:color="auto"/>
      </w:divBdr>
    </w:div>
    <w:div w:id="1963883147">
      <w:bodyDiv w:val="1"/>
      <w:marLeft w:val="0"/>
      <w:marRight w:val="0"/>
      <w:marTop w:val="0"/>
      <w:marBottom w:val="0"/>
      <w:divBdr>
        <w:top w:val="none" w:sz="0" w:space="0" w:color="auto"/>
        <w:left w:val="none" w:sz="0" w:space="0" w:color="auto"/>
        <w:bottom w:val="none" w:sz="0" w:space="0" w:color="auto"/>
        <w:right w:val="none" w:sz="0" w:space="0" w:color="auto"/>
      </w:divBdr>
    </w:div>
    <w:div w:id="1965496461">
      <w:bodyDiv w:val="1"/>
      <w:marLeft w:val="0"/>
      <w:marRight w:val="0"/>
      <w:marTop w:val="0"/>
      <w:marBottom w:val="0"/>
      <w:divBdr>
        <w:top w:val="none" w:sz="0" w:space="0" w:color="auto"/>
        <w:left w:val="none" w:sz="0" w:space="0" w:color="auto"/>
        <w:bottom w:val="none" w:sz="0" w:space="0" w:color="auto"/>
        <w:right w:val="none" w:sz="0" w:space="0" w:color="auto"/>
      </w:divBdr>
    </w:div>
    <w:div w:id="1966540369">
      <w:bodyDiv w:val="1"/>
      <w:marLeft w:val="0"/>
      <w:marRight w:val="0"/>
      <w:marTop w:val="0"/>
      <w:marBottom w:val="0"/>
      <w:divBdr>
        <w:top w:val="none" w:sz="0" w:space="0" w:color="auto"/>
        <w:left w:val="none" w:sz="0" w:space="0" w:color="auto"/>
        <w:bottom w:val="none" w:sz="0" w:space="0" w:color="auto"/>
        <w:right w:val="none" w:sz="0" w:space="0" w:color="auto"/>
      </w:divBdr>
    </w:div>
    <w:div w:id="1967468573">
      <w:bodyDiv w:val="1"/>
      <w:marLeft w:val="0"/>
      <w:marRight w:val="0"/>
      <w:marTop w:val="0"/>
      <w:marBottom w:val="0"/>
      <w:divBdr>
        <w:top w:val="none" w:sz="0" w:space="0" w:color="auto"/>
        <w:left w:val="none" w:sz="0" w:space="0" w:color="auto"/>
        <w:bottom w:val="none" w:sz="0" w:space="0" w:color="auto"/>
        <w:right w:val="none" w:sz="0" w:space="0" w:color="auto"/>
      </w:divBdr>
    </w:div>
    <w:div w:id="1968582470">
      <w:bodyDiv w:val="1"/>
      <w:marLeft w:val="0"/>
      <w:marRight w:val="0"/>
      <w:marTop w:val="0"/>
      <w:marBottom w:val="0"/>
      <w:divBdr>
        <w:top w:val="none" w:sz="0" w:space="0" w:color="auto"/>
        <w:left w:val="none" w:sz="0" w:space="0" w:color="auto"/>
        <w:bottom w:val="none" w:sz="0" w:space="0" w:color="auto"/>
        <w:right w:val="none" w:sz="0" w:space="0" w:color="auto"/>
      </w:divBdr>
    </w:div>
    <w:div w:id="1969970249">
      <w:bodyDiv w:val="1"/>
      <w:marLeft w:val="0"/>
      <w:marRight w:val="0"/>
      <w:marTop w:val="0"/>
      <w:marBottom w:val="0"/>
      <w:divBdr>
        <w:top w:val="none" w:sz="0" w:space="0" w:color="auto"/>
        <w:left w:val="none" w:sz="0" w:space="0" w:color="auto"/>
        <w:bottom w:val="none" w:sz="0" w:space="0" w:color="auto"/>
        <w:right w:val="none" w:sz="0" w:space="0" w:color="auto"/>
      </w:divBdr>
    </w:div>
    <w:div w:id="1970013728">
      <w:bodyDiv w:val="1"/>
      <w:marLeft w:val="0"/>
      <w:marRight w:val="0"/>
      <w:marTop w:val="0"/>
      <w:marBottom w:val="0"/>
      <w:divBdr>
        <w:top w:val="none" w:sz="0" w:space="0" w:color="auto"/>
        <w:left w:val="none" w:sz="0" w:space="0" w:color="auto"/>
        <w:bottom w:val="none" w:sz="0" w:space="0" w:color="auto"/>
        <w:right w:val="none" w:sz="0" w:space="0" w:color="auto"/>
      </w:divBdr>
    </w:div>
    <w:div w:id="1974944751">
      <w:bodyDiv w:val="1"/>
      <w:marLeft w:val="0"/>
      <w:marRight w:val="0"/>
      <w:marTop w:val="0"/>
      <w:marBottom w:val="0"/>
      <w:divBdr>
        <w:top w:val="none" w:sz="0" w:space="0" w:color="auto"/>
        <w:left w:val="none" w:sz="0" w:space="0" w:color="auto"/>
        <w:bottom w:val="none" w:sz="0" w:space="0" w:color="auto"/>
        <w:right w:val="none" w:sz="0" w:space="0" w:color="auto"/>
      </w:divBdr>
    </w:div>
    <w:div w:id="1983146412">
      <w:bodyDiv w:val="1"/>
      <w:marLeft w:val="0"/>
      <w:marRight w:val="0"/>
      <w:marTop w:val="0"/>
      <w:marBottom w:val="0"/>
      <w:divBdr>
        <w:top w:val="none" w:sz="0" w:space="0" w:color="auto"/>
        <w:left w:val="none" w:sz="0" w:space="0" w:color="auto"/>
        <w:bottom w:val="none" w:sz="0" w:space="0" w:color="auto"/>
        <w:right w:val="none" w:sz="0" w:space="0" w:color="auto"/>
      </w:divBdr>
    </w:div>
    <w:div w:id="1987974656">
      <w:bodyDiv w:val="1"/>
      <w:marLeft w:val="0"/>
      <w:marRight w:val="0"/>
      <w:marTop w:val="0"/>
      <w:marBottom w:val="0"/>
      <w:divBdr>
        <w:top w:val="none" w:sz="0" w:space="0" w:color="auto"/>
        <w:left w:val="none" w:sz="0" w:space="0" w:color="auto"/>
        <w:bottom w:val="none" w:sz="0" w:space="0" w:color="auto"/>
        <w:right w:val="none" w:sz="0" w:space="0" w:color="auto"/>
      </w:divBdr>
    </w:div>
    <w:div w:id="1989481900">
      <w:bodyDiv w:val="1"/>
      <w:marLeft w:val="0"/>
      <w:marRight w:val="0"/>
      <w:marTop w:val="0"/>
      <w:marBottom w:val="0"/>
      <w:divBdr>
        <w:top w:val="none" w:sz="0" w:space="0" w:color="auto"/>
        <w:left w:val="none" w:sz="0" w:space="0" w:color="auto"/>
        <w:bottom w:val="none" w:sz="0" w:space="0" w:color="auto"/>
        <w:right w:val="none" w:sz="0" w:space="0" w:color="auto"/>
      </w:divBdr>
    </w:div>
    <w:div w:id="1991708244">
      <w:bodyDiv w:val="1"/>
      <w:marLeft w:val="0"/>
      <w:marRight w:val="0"/>
      <w:marTop w:val="0"/>
      <w:marBottom w:val="0"/>
      <w:divBdr>
        <w:top w:val="none" w:sz="0" w:space="0" w:color="auto"/>
        <w:left w:val="none" w:sz="0" w:space="0" w:color="auto"/>
        <w:bottom w:val="none" w:sz="0" w:space="0" w:color="auto"/>
        <w:right w:val="none" w:sz="0" w:space="0" w:color="auto"/>
      </w:divBdr>
    </w:div>
    <w:div w:id="1992556937">
      <w:bodyDiv w:val="1"/>
      <w:marLeft w:val="0"/>
      <w:marRight w:val="0"/>
      <w:marTop w:val="0"/>
      <w:marBottom w:val="0"/>
      <w:divBdr>
        <w:top w:val="none" w:sz="0" w:space="0" w:color="auto"/>
        <w:left w:val="none" w:sz="0" w:space="0" w:color="auto"/>
        <w:bottom w:val="none" w:sz="0" w:space="0" w:color="auto"/>
        <w:right w:val="none" w:sz="0" w:space="0" w:color="auto"/>
      </w:divBdr>
    </w:div>
    <w:div w:id="1993025305">
      <w:bodyDiv w:val="1"/>
      <w:marLeft w:val="0"/>
      <w:marRight w:val="0"/>
      <w:marTop w:val="0"/>
      <w:marBottom w:val="0"/>
      <w:divBdr>
        <w:top w:val="none" w:sz="0" w:space="0" w:color="auto"/>
        <w:left w:val="none" w:sz="0" w:space="0" w:color="auto"/>
        <w:bottom w:val="none" w:sz="0" w:space="0" w:color="auto"/>
        <w:right w:val="none" w:sz="0" w:space="0" w:color="auto"/>
      </w:divBdr>
    </w:div>
    <w:div w:id="1997949388">
      <w:bodyDiv w:val="1"/>
      <w:marLeft w:val="0"/>
      <w:marRight w:val="0"/>
      <w:marTop w:val="0"/>
      <w:marBottom w:val="0"/>
      <w:divBdr>
        <w:top w:val="none" w:sz="0" w:space="0" w:color="auto"/>
        <w:left w:val="none" w:sz="0" w:space="0" w:color="auto"/>
        <w:bottom w:val="none" w:sz="0" w:space="0" w:color="auto"/>
        <w:right w:val="none" w:sz="0" w:space="0" w:color="auto"/>
      </w:divBdr>
    </w:div>
    <w:div w:id="1999916372">
      <w:bodyDiv w:val="1"/>
      <w:marLeft w:val="0"/>
      <w:marRight w:val="0"/>
      <w:marTop w:val="0"/>
      <w:marBottom w:val="0"/>
      <w:divBdr>
        <w:top w:val="none" w:sz="0" w:space="0" w:color="auto"/>
        <w:left w:val="none" w:sz="0" w:space="0" w:color="auto"/>
        <w:bottom w:val="none" w:sz="0" w:space="0" w:color="auto"/>
        <w:right w:val="none" w:sz="0" w:space="0" w:color="auto"/>
      </w:divBdr>
    </w:div>
    <w:div w:id="2000689142">
      <w:bodyDiv w:val="1"/>
      <w:marLeft w:val="0"/>
      <w:marRight w:val="0"/>
      <w:marTop w:val="0"/>
      <w:marBottom w:val="0"/>
      <w:divBdr>
        <w:top w:val="none" w:sz="0" w:space="0" w:color="auto"/>
        <w:left w:val="none" w:sz="0" w:space="0" w:color="auto"/>
        <w:bottom w:val="none" w:sz="0" w:space="0" w:color="auto"/>
        <w:right w:val="none" w:sz="0" w:space="0" w:color="auto"/>
      </w:divBdr>
    </w:div>
    <w:div w:id="2002006820">
      <w:bodyDiv w:val="1"/>
      <w:marLeft w:val="0"/>
      <w:marRight w:val="0"/>
      <w:marTop w:val="0"/>
      <w:marBottom w:val="0"/>
      <w:divBdr>
        <w:top w:val="none" w:sz="0" w:space="0" w:color="auto"/>
        <w:left w:val="none" w:sz="0" w:space="0" w:color="auto"/>
        <w:bottom w:val="none" w:sz="0" w:space="0" w:color="auto"/>
        <w:right w:val="none" w:sz="0" w:space="0" w:color="auto"/>
      </w:divBdr>
    </w:div>
    <w:div w:id="2002081186">
      <w:bodyDiv w:val="1"/>
      <w:marLeft w:val="0"/>
      <w:marRight w:val="0"/>
      <w:marTop w:val="0"/>
      <w:marBottom w:val="0"/>
      <w:divBdr>
        <w:top w:val="none" w:sz="0" w:space="0" w:color="auto"/>
        <w:left w:val="none" w:sz="0" w:space="0" w:color="auto"/>
        <w:bottom w:val="none" w:sz="0" w:space="0" w:color="auto"/>
        <w:right w:val="none" w:sz="0" w:space="0" w:color="auto"/>
      </w:divBdr>
    </w:div>
    <w:div w:id="2005670019">
      <w:bodyDiv w:val="1"/>
      <w:marLeft w:val="0"/>
      <w:marRight w:val="0"/>
      <w:marTop w:val="0"/>
      <w:marBottom w:val="0"/>
      <w:divBdr>
        <w:top w:val="none" w:sz="0" w:space="0" w:color="auto"/>
        <w:left w:val="none" w:sz="0" w:space="0" w:color="auto"/>
        <w:bottom w:val="none" w:sz="0" w:space="0" w:color="auto"/>
        <w:right w:val="none" w:sz="0" w:space="0" w:color="auto"/>
      </w:divBdr>
    </w:div>
    <w:div w:id="2007781236">
      <w:bodyDiv w:val="1"/>
      <w:marLeft w:val="0"/>
      <w:marRight w:val="0"/>
      <w:marTop w:val="0"/>
      <w:marBottom w:val="0"/>
      <w:divBdr>
        <w:top w:val="none" w:sz="0" w:space="0" w:color="auto"/>
        <w:left w:val="none" w:sz="0" w:space="0" w:color="auto"/>
        <w:bottom w:val="none" w:sz="0" w:space="0" w:color="auto"/>
        <w:right w:val="none" w:sz="0" w:space="0" w:color="auto"/>
      </w:divBdr>
    </w:div>
    <w:div w:id="2008097639">
      <w:bodyDiv w:val="1"/>
      <w:marLeft w:val="0"/>
      <w:marRight w:val="0"/>
      <w:marTop w:val="0"/>
      <w:marBottom w:val="0"/>
      <w:divBdr>
        <w:top w:val="none" w:sz="0" w:space="0" w:color="auto"/>
        <w:left w:val="none" w:sz="0" w:space="0" w:color="auto"/>
        <w:bottom w:val="none" w:sz="0" w:space="0" w:color="auto"/>
        <w:right w:val="none" w:sz="0" w:space="0" w:color="auto"/>
      </w:divBdr>
    </w:div>
    <w:div w:id="2009404192">
      <w:bodyDiv w:val="1"/>
      <w:marLeft w:val="0"/>
      <w:marRight w:val="0"/>
      <w:marTop w:val="0"/>
      <w:marBottom w:val="0"/>
      <w:divBdr>
        <w:top w:val="none" w:sz="0" w:space="0" w:color="auto"/>
        <w:left w:val="none" w:sz="0" w:space="0" w:color="auto"/>
        <w:bottom w:val="none" w:sz="0" w:space="0" w:color="auto"/>
        <w:right w:val="none" w:sz="0" w:space="0" w:color="auto"/>
      </w:divBdr>
    </w:div>
    <w:div w:id="2020111631">
      <w:bodyDiv w:val="1"/>
      <w:marLeft w:val="0"/>
      <w:marRight w:val="0"/>
      <w:marTop w:val="0"/>
      <w:marBottom w:val="0"/>
      <w:divBdr>
        <w:top w:val="none" w:sz="0" w:space="0" w:color="auto"/>
        <w:left w:val="none" w:sz="0" w:space="0" w:color="auto"/>
        <w:bottom w:val="none" w:sz="0" w:space="0" w:color="auto"/>
        <w:right w:val="none" w:sz="0" w:space="0" w:color="auto"/>
      </w:divBdr>
    </w:div>
    <w:div w:id="2025202295">
      <w:bodyDiv w:val="1"/>
      <w:marLeft w:val="0"/>
      <w:marRight w:val="0"/>
      <w:marTop w:val="0"/>
      <w:marBottom w:val="0"/>
      <w:divBdr>
        <w:top w:val="none" w:sz="0" w:space="0" w:color="auto"/>
        <w:left w:val="none" w:sz="0" w:space="0" w:color="auto"/>
        <w:bottom w:val="none" w:sz="0" w:space="0" w:color="auto"/>
        <w:right w:val="none" w:sz="0" w:space="0" w:color="auto"/>
      </w:divBdr>
    </w:div>
    <w:div w:id="2027244177">
      <w:bodyDiv w:val="1"/>
      <w:marLeft w:val="0"/>
      <w:marRight w:val="0"/>
      <w:marTop w:val="0"/>
      <w:marBottom w:val="0"/>
      <w:divBdr>
        <w:top w:val="none" w:sz="0" w:space="0" w:color="auto"/>
        <w:left w:val="none" w:sz="0" w:space="0" w:color="auto"/>
        <w:bottom w:val="none" w:sz="0" w:space="0" w:color="auto"/>
        <w:right w:val="none" w:sz="0" w:space="0" w:color="auto"/>
      </w:divBdr>
    </w:div>
    <w:div w:id="2027905317">
      <w:bodyDiv w:val="1"/>
      <w:marLeft w:val="0"/>
      <w:marRight w:val="0"/>
      <w:marTop w:val="0"/>
      <w:marBottom w:val="0"/>
      <w:divBdr>
        <w:top w:val="none" w:sz="0" w:space="0" w:color="auto"/>
        <w:left w:val="none" w:sz="0" w:space="0" w:color="auto"/>
        <w:bottom w:val="none" w:sz="0" w:space="0" w:color="auto"/>
        <w:right w:val="none" w:sz="0" w:space="0" w:color="auto"/>
      </w:divBdr>
    </w:div>
    <w:div w:id="2028679208">
      <w:bodyDiv w:val="1"/>
      <w:marLeft w:val="0"/>
      <w:marRight w:val="0"/>
      <w:marTop w:val="0"/>
      <w:marBottom w:val="0"/>
      <w:divBdr>
        <w:top w:val="none" w:sz="0" w:space="0" w:color="auto"/>
        <w:left w:val="none" w:sz="0" w:space="0" w:color="auto"/>
        <w:bottom w:val="none" w:sz="0" w:space="0" w:color="auto"/>
        <w:right w:val="none" w:sz="0" w:space="0" w:color="auto"/>
      </w:divBdr>
    </w:div>
    <w:div w:id="2029215891">
      <w:bodyDiv w:val="1"/>
      <w:marLeft w:val="0"/>
      <w:marRight w:val="0"/>
      <w:marTop w:val="0"/>
      <w:marBottom w:val="0"/>
      <w:divBdr>
        <w:top w:val="none" w:sz="0" w:space="0" w:color="auto"/>
        <w:left w:val="none" w:sz="0" w:space="0" w:color="auto"/>
        <w:bottom w:val="none" w:sz="0" w:space="0" w:color="auto"/>
        <w:right w:val="none" w:sz="0" w:space="0" w:color="auto"/>
      </w:divBdr>
    </w:div>
    <w:div w:id="2029288915">
      <w:bodyDiv w:val="1"/>
      <w:marLeft w:val="0"/>
      <w:marRight w:val="0"/>
      <w:marTop w:val="0"/>
      <w:marBottom w:val="0"/>
      <w:divBdr>
        <w:top w:val="none" w:sz="0" w:space="0" w:color="auto"/>
        <w:left w:val="none" w:sz="0" w:space="0" w:color="auto"/>
        <w:bottom w:val="none" w:sz="0" w:space="0" w:color="auto"/>
        <w:right w:val="none" w:sz="0" w:space="0" w:color="auto"/>
      </w:divBdr>
    </w:div>
    <w:div w:id="2030136072">
      <w:bodyDiv w:val="1"/>
      <w:marLeft w:val="0"/>
      <w:marRight w:val="0"/>
      <w:marTop w:val="0"/>
      <w:marBottom w:val="0"/>
      <w:divBdr>
        <w:top w:val="none" w:sz="0" w:space="0" w:color="auto"/>
        <w:left w:val="none" w:sz="0" w:space="0" w:color="auto"/>
        <w:bottom w:val="none" w:sz="0" w:space="0" w:color="auto"/>
        <w:right w:val="none" w:sz="0" w:space="0" w:color="auto"/>
      </w:divBdr>
    </w:div>
    <w:div w:id="2037075223">
      <w:bodyDiv w:val="1"/>
      <w:marLeft w:val="0"/>
      <w:marRight w:val="0"/>
      <w:marTop w:val="0"/>
      <w:marBottom w:val="0"/>
      <w:divBdr>
        <w:top w:val="none" w:sz="0" w:space="0" w:color="auto"/>
        <w:left w:val="none" w:sz="0" w:space="0" w:color="auto"/>
        <w:bottom w:val="none" w:sz="0" w:space="0" w:color="auto"/>
        <w:right w:val="none" w:sz="0" w:space="0" w:color="auto"/>
      </w:divBdr>
    </w:div>
    <w:div w:id="2037535905">
      <w:bodyDiv w:val="1"/>
      <w:marLeft w:val="0"/>
      <w:marRight w:val="0"/>
      <w:marTop w:val="0"/>
      <w:marBottom w:val="0"/>
      <w:divBdr>
        <w:top w:val="none" w:sz="0" w:space="0" w:color="auto"/>
        <w:left w:val="none" w:sz="0" w:space="0" w:color="auto"/>
        <w:bottom w:val="none" w:sz="0" w:space="0" w:color="auto"/>
        <w:right w:val="none" w:sz="0" w:space="0" w:color="auto"/>
      </w:divBdr>
    </w:div>
    <w:div w:id="2037806624">
      <w:bodyDiv w:val="1"/>
      <w:marLeft w:val="0"/>
      <w:marRight w:val="0"/>
      <w:marTop w:val="0"/>
      <w:marBottom w:val="0"/>
      <w:divBdr>
        <w:top w:val="none" w:sz="0" w:space="0" w:color="auto"/>
        <w:left w:val="none" w:sz="0" w:space="0" w:color="auto"/>
        <w:bottom w:val="none" w:sz="0" w:space="0" w:color="auto"/>
        <w:right w:val="none" w:sz="0" w:space="0" w:color="auto"/>
      </w:divBdr>
    </w:div>
    <w:div w:id="2040816933">
      <w:bodyDiv w:val="1"/>
      <w:marLeft w:val="0"/>
      <w:marRight w:val="0"/>
      <w:marTop w:val="0"/>
      <w:marBottom w:val="0"/>
      <w:divBdr>
        <w:top w:val="none" w:sz="0" w:space="0" w:color="auto"/>
        <w:left w:val="none" w:sz="0" w:space="0" w:color="auto"/>
        <w:bottom w:val="none" w:sz="0" w:space="0" w:color="auto"/>
        <w:right w:val="none" w:sz="0" w:space="0" w:color="auto"/>
      </w:divBdr>
    </w:div>
    <w:div w:id="2049183877">
      <w:bodyDiv w:val="1"/>
      <w:marLeft w:val="0"/>
      <w:marRight w:val="0"/>
      <w:marTop w:val="0"/>
      <w:marBottom w:val="0"/>
      <w:divBdr>
        <w:top w:val="none" w:sz="0" w:space="0" w:color="auto"/>
        <w:left w:val="none" w:sz="0" w:space="0" w:color="auto"/>
        <w:bottom w:val="none" w:sz="0" w:space="0" w:color="auto"/>
        <w:right w:val="none" w:sz="0" w:space="0" w:color="auto"/>
      </w:divBdr>
    </w:div>
    <w:div w:id="2050371337">
      <w:bodyDiv w:val="1"/>
      <w:marLeft w:val="0"/>
      <w:marRight w:val="0"/>
      <w:marTop w:val="0"/>
      <w:marBottom w:val="0"/>
      <w:divBdr>
        <w:top w:val="none" w:sz="0" w:space="0" w:color="auto"/>
        <w:left w:val="none" w:sz="0" w:space="0" w:color="auto"/>
        <w:bottom w:val="none" w:sz="0" w:space="0" w:color="auto"/>
        <w:right w:val="none" w:sz="0" w:space="0" w:color="auto"/>
      </w:divBdr>
    </w:div>
    <w:div w:id="2060669523">
      <w:bodyDiv w:val="1"/>
      <w:marLeft w:val="0"/>
      <w:marRight w:val="0"/>
      <w:marTop w:val="0"/>
      <w:marBottom w:val="0"/>
      <w:divBdr>
        <w:top w:val="none" w:sz="0" w:space="0" w:color="auto"/>
        <w:left w:val="none" w:sz="0" w:space="0" w:color="auto"/>
        <w:bottom w:val="none" w:sz="0" w:space="0" w:color="auto"/>
        <w:right w:val="none" w:sz="0" w:space="0" w:color="auto"/>
      </w:divBdr>
    </w:div>
    <w:div w:id="2061322354">
      <w:bodyDiv w:val="1"/>
      <w:marLeft w:val="0"/>
      <w:marRight w:val="0"/>
      <w:marTop w:val="0"/>
      <w:marBottom w:val="0"/>
      <w:divBdr>
        <w:top w:val="none" w:sz="0" w:space="0" w:color="auto"/>
        <w:left w:val="none" w:sz="0" w:space="0" w:color="auto"/>
        <w:bottom w:val="none" w:sz="0" w:space="0" w:color="auto"/>
        <w:right w:val="none" w:sz="0" w:space="0" w:color="auto"/>
      </w:divBdr>
    </w:div>
    <w:div w:id="2062748898">
      <w:bodyDiv w:val="1"/>
      <w:marLeft w:val="0"/>
      <w:marRight w:val="0"/>
      <w:marTop w:val="0"/>
      <w:marBottom w:val="0"/>
      <w:divBdr>
        <w:top w:val="none" w:sz="0" w:space="0" w:color="auto"/>
        <w:left w:val="none" w:sz="0" w:space="0" w:color="auto"/>
        <w:bottom w:val="none" w:sz="0" w:space="0" w:color="auto"/>
        <w:right w:val="none" w:sz="0" w:space="0" w:color="auto"/>
      </w:divBdr>
    </w:div>
    <w:div w:id="2063671569">
      <w:bodyDiv w:val="1"/>
      <w:marLeft w:val="0"/>
      <w:marRight w:val="0"/>
      <w:marTop w:val="0"/>
      <w:marBottom w:val="0"/>
      <w:divBdr>
        <w:top w:val="none" w:sz="0" w:space="0" w:color="auto"/>
        <w:left w:val="none" w:sz="0" w:space="0" w:color="auto"/>
        <w:bottom w:val="none" w:sz="0" w:space="0" w:color="auto"/>
        <w:right w:val="none" w:sz="0" w:space="0" w:color="auto"/>
      </w:divBdr>
    </w:div>
    <w:div w:id="2065257471">
      <w:bodyDiv w:val="1"/>
      <w:marLeft w:val="0"/>
      <w:marRight w:val="0"/>
      <w:marTop w:val="0"/>
      <w:marBottom w:val="0"/>
      <w:divBdr>
        <w:top w:val="none" w:sz="0" w:space="0" w:color="auto"/>
        <w:left w:val="none" w:sz="0" w:space="0" w:color="auto"/>
        <w:bottom w:val="none" w:sz="0" w:space="0" w:color="auto"/>
        <w:right w:val="none" w:sz="0" w:space="0" w:color="auto"/>
      </w:divBdr>
    </w:div>
    <w:div w:id="2065445076">
      <w:bodyDiv w:val="1"/>
      <w:marLeft w:val="0"/>
      <w:marRight w:val="0"/>
      <w:marTop w:val="0"/>
      <w:marBottom w:val="0"/>
      <w:divBdr>
        <w:top w:val="none" w:sz="0" w:space="0" w:color="auto"/>
        <w:left w:val="none" w:sz="0" w:space="0" w:color="auto"/>
        <w:bottom w:val="none" w:sz="0" w:space="0" w:color="auto"/>
        <w:right w:val="none" w:sz="0" w:space="0" w:color="auto"/>
      </w:divBdr>
    </w:div>
    <w:div w:id="2069725045">
      <w:bodyDiv w:val="1"/>
      <w:marLeft w:val="0"/>
      <w:marRight w:val="0"/>
      <w:marTop w:val="0"/>
      <w:marBottom w:val="0"/>
      <w:divBdr>
        <w:top w:val="none" w:sz="0" w:space="0" w:color="auto"/>
        <w:left w:val="none" w:sz="0" w:space="0" w:color="auto"/>
        <w:bottom w:val="none" w:sz="0" w:space="0" w:color="auto"/>
        <w:right w:val="none" w:sz="0" w:space="0" w:color="auto"/>
      </w:divBdr>
    </w:div>
    <w:div w:id="2076510064">
      <w:bodyDiv w:val="1"/>
      <w:marLeft w:val="0"/>
      <w:marRight w:val="0"/>
      <w:marTop w:val="0"/>
      <w:marBottom w:val="0"/>
      <w:divBdr>
        <w:top w:val="none" w:sz="0" w:space="0" w:color="auto"/>
        <w:left w:val="none" w:sz="0" w:space="0" w:color="auto"/>
        <w:bottom w:val="none" w:sz="0" w:space="0" w:color="auto"/>
        <w:right w:val="none" w:sz="0" w:space="0" w:color="auto"/>
      </w:divBdr>
    </w:div>
    <w:div w:id="2078896696">
      <w:bodyDiv w:val="1"/>
      <w:marLeft w:val="0"/>
      <w:marRight w:val="0"/>
      <w:marTop w:val="0"/>
      <w:marBottom w:val="0"/>
      <w:divBdr>
        <w:top w:val="none" w:sz="0" w:space="0" w:color="auto"/>
        <w:left w:val="none" w:sz="0" w:space="0" w:color="auto"/>
        <w:bottom w:val="none" w:sz="0" w:space="0" w:color="auto"/>
        <w:right w:val="none" w:sz="0" w:space="0" w:color="auto"/>
      </w:divBdr>
    </w:div>
    <w:div w:id="2086291848">
      <w:bodyDiv w:val="1"/>
      <w:marLeft w:val="0"/>
      <w:marRight w:val="0"/>
      <w:marTop w:val="0"/>
      <w:marBottom w:val="0"/>
      <w:divBdr>
        <w:top w:val="none" w:sz="0" w:space="0" w:color="auto"/>
        <w:left w:val="none" w:sz="0" w:space="0" w:color="auto"/>
        <w:bottom w:val="none" w:sz="0" w:space="0" w:color="auto"/>
        <w:right w:val="none" w:sz="0" w:space="0" w:color="auto"/>
      </w:divBdr>
    </w:div>
    <w:div w:id="2089110858">
      <w:bodyDiv w:val="1"/>
      <w:marLeft w:val="0"/>
      <w:marRight w:val="0"/>
      <w:marTop w:val="0"/>
      <w:marBottom w:val="0"/>
      <w:divBdr>
        <w:top w:val="none" w:sz="0" w:space="0" w:color="auto"/>
        <w:left w:val="none" w:sz="0" w:space="0" w:color="auto"/>
        <w:bottom w:val="none" w:sz="0" w:space="0" w:color="auto"/>
        <w:right w:val="none" w:sz="0" w:space="0" w:color="auto"/>
      </w:divBdr>
    </w:div>
    <w:div w:id="2092121438">
      <w:bodyDiv w:val="1"/>
      <w:marLeft w:val="0"/>
      <w:marRight w:val="0"/>
      <w:marTop w:val="0"/>
      <w:marBottom w:val="0"/>
      <w:divBdr>
        <w:top w:val="none" w:sz="0" w:space="0" w:color="auto"/>
        <w:left w:val="none" w:sz="0" w:space="0" w:color="auto"/>
        <w:bottom w:val="none" w:sz="0" w:space="0" w:color="auto"/>
        <w:right w:val="none" w:sz="0" w:space="0" w:color="auto"/>
      </w:divBdr>
    </w:div>
    <w:div w:id="2094742969">
      <w:bodyDiv w:val="1"/>
      <w:marLeft w:val="0"/>
      <w:marRight w:val="0"/>
      <w:marTop w:val="0"/>
      <w:marBottom w:val="0"/>
      <w:divBdr>
        <w:top w:val="none" w:sz="0" w:space="0" w:color="auto"/>
        <w:left w:val="none" w:sz="0" w:space="0" w:color="auto"/>
        <w:bottom w:val="none" w:sz="0" w:space="0" w:color="auto"/>
        <w:right w:val="none" w:sz="0" w:space="0" w:color="auto"/>
      </w:divBdr>
    </w:div>
    <w:div w:id="2099016642">
      <w:bodyDiv w:val="1"/>
      <w:marLeft w:val="0"/>
      <w:marRight w:val="0"/>
      <w:marTop w:val="0"/>
      <w:marBottom w:val="0"/>
      <w:divBdr>
        <w:top w:val="none" w:sz="0" w:space="0" w:color="auto"/>
        <w:left w:val="none" w:sz="0" w:space="0" w:color="auto"/>
        <w:bottom w:val="none" w:sz="0" w:space="0" w:color="auto"/>
        <w:right w:val="none" w:sz="0" w:space="0" w:color="auto"/>
      </w:divBdr>
    </w:div>
    <w:div w:id="2103187411">
      <w:bodyDiv w:val="1"/>
      <w:marLeft w:val="0"/>
      <w:marRight w:val="0"/>
      <w:marTop w:val="0"/>
      <w:marBottom w:val="0"/>
      <w:divBdr>
        <w:top w:val="none" w:sz="0" w:space="0" w:color="auto"/>
        <w:left w:val="none" w:sz="0" w:space="0" w:color="auto"/>
        <w:bottom w:val="none" w:sz="0" w:space="0" w:color="auto"/>
        <w:right w:val="none" w:sz="0" w:space="0" w:color="auto"/>
      </w:divBdr>
    </w:div>
    <w:div w:id="2104261136">
      <w:bodyDiv w:val="1"/>
      <w:marLeft w:val="0"/>
      <w:marRight w:val="0"/>
      <w:marTop w:val="0"/>
      <w:marBottom w:val="0"/>
      <w:divBdr>
        <w:top w:val="none" w:sz="0" w:space="0" w:color="auto"/>
        <w:left w:val="none" w:sz="0" w:space="0" w:color="auto"/>
        <w:bottom w:val="none" w:sz="0" w:space="0" w:color="auto"/>
        <w:right w:val="none" w:sz="0" w:space="0" w:color="auto"/>
      </w:divBdr>
    </w:div>
    <w:div w:id="2105151983">
      <w:bodyDiv w:val="1"/>
      <w:marLeft w:val="0"/>
      <w:marRight w:val="0"/>
      <w:marTop w:val="0"/>
      <w:marBottom w:val="0"/>
      <w:divBdr>
        <w:top w:val="none" w:sz="0" w:space="0" w:color="auto"/>
        <w:left w:val="none" w:sz="0" w:space="0" w:color="auto"/>
        <w:bottom w:val="none" w:sz="0" w:space="0" w:color="auto"/>
        <w:right w:val="none" w:sz="0" w:space="0" w:color="auto"/>
      </w:divBdr>
    </w:div>
    <w:div w:id="2110467475">
      <w:bodyDiv w:val="1"/>
      <w:marLeft w:val="0"/>
      <w:marRight w:val="0"/>
      <w:marTop w:val="0"/>
      <w:marBottom w:val="0"/>
      <w:divBdr>
        <w:top w:val="none" w:sz="0" w:space="0" w:color="auto"/>
        <w:left w:val="none" w:sz="0" w:space="0" w:color="auto"/>
        <w:bottom w:val="none" w:sz="0" w:space="0" w:color="auto"/>
        <w:right w:val="none" w:sz="0" w:space="0" w:color="auto"/>
      </w:divBdr>
    </w:div>
    <w:div w:id="2112553085">
      <w:bodyDiv w:val="1"/>
      <w:marLeft w:val="0"/>
      <w:marRight w:val="0"/>
      <w:marTop w:val="0"/>
      <w:marBottom w:val="0"/>
      <w:divBdr>
        <w:top w:val="none" w:sz="0" w:space="0" w:color="auto"/>
        <w:left w:val="none" w:sz="0" w:space="0" w:color="auto"/>
        <w:bottom w:val="none" w:sz="0" w:space="0" w:color="auto"/>
        <w:right w:val="none" w:sz="0" w:space="0" w:color="auto"/>
      </w:divBdr>
    </w:div>
    <w:div w:id="2125229889">
      <w:bodyDiv w:val="1"/>
      <w:marLeft w:val="0"/>
      <w:marRight w:val="0"/>
      <w:marTop w:val="0"/>
      <w:marBottom w:val="0"/>
      <w:divBdr>
        <w:top w:val="none" w:sz="0" w:space="0" w:color="auto"/>
        <w:left w:val="none" w:sz="0" w:space="0" w:color="auto"/>
        <w:bottom w:val="none" w:sz="0" w:space="0" w:color="auto"/>
        <w:right w:val="none" w:sz="0" w:space="0" w:color="auto"/>
      </w:divBdr>
    </w:div>
    <w:div w:id="2128043807">
      <w:bodyDiv w:val="1"/>
      <w:marLeft w:val="0"/>
      <w:marRight w:val="0"/>
      <w:marTop w:val="0"/>
      <w:marBottom w:val="0"/>
      <w:divBdr>
        <w:top w:val="none" w:sz="0" w:space="0" w:color="auto"/>
        <w:left w:val="none" w:sz="0" w:space="0" w:color="auto"/>
        <w:bottom w:val="none" w:sz="0" w:space="0" w:color="auto"/>
        <w:right w:val="none" w:sz="0" w:space="0" w:color="auto"/>
      </w:divBdr>
    </w:div>
    <w:div w:id="21407628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1.xml"/><Relationship Id="rId21" Type="http://schemas.openxmlformats.org/officeDocument/2006/relationships/image" Target="media/image9.png"/><Relationship Id="rId42" Type="http://schemas.microsoft.com/office/2007/relationships/diagramDrawing" Target="diagrams/drawing2.xml"/><Relationship Id="rId47" Type="http://schemas.microsoft.com/office/2007/relationships/diagramDrawing" Target="diagrams/drawing3.xml"/><Relationship Id="rId63" Type="http://schemas.openxmlformats.org/officeDocument/2006/relationships/oleObject" Target="embeddings/oleObject4.bin"/><Relationship Id="rId68" Type="http://schemas.openxmlformats.org/officeDocument/2006/relationships/image" Target="media/image22.emf"/><Relationship Id="rId84" Type="http://schemas.openxmlformats.org/officeDocument/2006/relationships/image" Target="media/image30.emf"/><Relationship Id="rId89" Type="http://schemas.openxmlformats.org/officeDocument/2006/relationships/oleObject" Target="embeddings/oleObject14.bin"/><Relationship Id="rId16" Type="http://schemas.openxmlformats.org/officeDocument/2006/relationships/image" Target="media/image7.emf"/><Relationship Id="rId107" Type="http://schemas.openxmlformats.org/officeDocument/2006/relationships/oleObject" Target="embeddings/oleObject23.bin"/><Relationship Id="rId11" Type="http://schemas.openxmlformats.org/officeDocument/2006/relationships/image" Target="media/image4.jpeg"/><Relationship Id="rId32" Type="http://schemas.openxmlformats.org/officeDocument/2006/relationships/package" Target="embeddings/Microsoft_Word_Document.docx"/><Relationship Id="rId37" Type="http://schemas.microsoft.com/office/2007/relationships/diagramDrawing" Target="diagrams/drawing1.xml"/><Relationship Id="rId53" Type="http://schemas.openxmlformats.org/officeDocument/2006/relationships/diagramData" Target="diagrams/data5.xml"/><Relationship Id="rId58" Type="http://schemas.openxmlformats.org/officeDocument/2006/relationships/image" Target="media/image17.emf"/><Relationship Id="rId74" Type="http://schemas.openxmlformats.org/officeDocument/2006/relationships/image" Target="media/image25.emf"/><Relationship Id="rId79" Type="http://schemas.openxmlformats.org/officeDocument/2006/relationships/oleObject" Target="embeddings/oleObject12.bin"/><Relationship Id="rId102" Type="http://schemas.openxmlformats.org/officeDocument/2006/relationships/image" Target="media/image39.emf"/><Relationship Id="rId5" Type="http://schemas.openxmlformats.org/officeDocument/2006/relationships/webSettings" Target="webSettings.xml"/><Relationship Id="rId90" Type="http://schemas.openxmlformats.org/officeDocument/2006/relationships/image" Target="media/image33.emf"/><Relationship Id="rId95" Type="http://schemas.openxmlformats.org/officeDocument/2006/relationships/oleObject" Target="embeddings/oleObject17.bin"/><Relationship Id="rId22" Type="http://schemas.openxmlformats.org/officeDocument/2006/relationships/image" Target="media/image10.png"/><Relationship Id="rId27" Type="http://schemas.openxmlformats.org/officeDocument/2006/relationships/image" Target="media/image14.png"/><Relationship Id="rId43" Type="http://schemas.openxmlformats.org/officeDocument/2006/relationships/diagramData" Target="diagrams/data3.xml"/><Relationship Id="rId48" Type="http://schemas.openxmlformats.org/officeDocument/2006/relationships/diagramData" Target="diagrams/data4.xml"/><Relationship Id="rId64" Type="http://schemas.openxmlformats.org/officeDocument/2006/relationships/image" Target="media/image20.emf"/><Relationship Id="rId69" Type="http://schemas.openxmlformats.org/officeDocument/2006/relationships/oleObject" Target="embeddings/oleObject7.bin"/><Relationship Id="rId80" Type="http://schemas.openxmlformats.org/officeDocument/2006/relationships/image" Target="media/image28.emf"/><Relationship Id="rId85" Type="http://schemas.openxmlformats.org/officeDocument/2006/relationships/package" Target="embeddings/Microsoft_Excel_Worksheet4.xlsx"/><Relationship Id="rId12" Type="http://schemas.openxmlformats.org/officeDocument/2006/relationships/image" Target="media/image3.png"/><Relationship Id="rId17" Type="http://schemas.openxmlformats.org/officeDocument/2006/relationships/package" Target="embeddings/Microsoft_Excel_Worksheet.xlsx"/><Relationship Id="rId33" Type="http://schemas.openxmlformats.org/officeDocument/2006/relationships/diagramData" Target="diagrams/data1.xml"/><Relationship Id="rId38" Type="http://schemas.openxmlformats.org/officeDocument/2006/relationships/diagramData" Target="diagrams/data2.xml"/><Relationship Id="rId59" Type="http://schemas.openxmlformats.org/officeDocument/2006/relationships/oleObject" Target="embeddings/oleObject2.bin"/><Relationship Id="rId103" Type="http://schemas.openxmlformats.org/officeDocument/2006/relationships/oleObject" Target="embeddings/oleObject21.bin"/><Relationship Id="rId108" Type="http://schemas.openxmlformats.org/officeDocument/2006/relationships/header" Target="header2.xml"/><Relationship Id="rId54" Type="http://schemas.openxmlformats.org/officeDocument/2006/relationships/diagramLayout" Target="diagrams/layout5.xml"/><Relationship Id="rId70" Type="http://schemas.openxmlformats.org/officeDocument/2006/relationships/image" Target="media/image23.emf"/><Relationship Id="rId75" Type="http://schemas.openxmlformats.org/officeDocument/2006/relationships/oleObject" Target="embeddings/oleObject10.bin"/><Relationship Id="rId91" Type="http://schemas.openxmlformats.org/officeDocument/2006/relationships/oleObject" Target="embeddings/oleObject15.bin"/><Relationship Id="rId96" Type="http://schemas.openxmlformats.org/officeDocument/2006/relationships/image" Target="media/image36.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1.png"/><Relationship Id="rId28" Type="http://schemas.openxmlformats.org/officeDocument/2006/relationships/chart" Target="charts/chart1.xml"/><Relationship Id="rId36" Type="http://schemas.openxmlformats.org/officeDocument/2006/relationships/diagramColors" Target="diagrams/colors1.xml"/><Relationship Id="rId49" Type="http://schemas.openxmlformats.org/officeDocument/2006/relationships/diagramLayout" Target="diagrams/layout4.xml"/><Relationship Id="rId57" Type="http://schemas.microsoft.com/office/2007/relationships/diagramDrawing" Target="diagrams/drawing5.xml"/><Relationship Id="rId106" Type="http://schemas.openxmlformats.org/officeDocument/2006/relationships/image" Target="media/image41.emf"/><Relationship Id="rId10" Type="http://schemas.openxmlformats.org/officeDocument/2006/relationships/image" Target="media/image3.jpeg"/><Relationship Id="rId31" Type="http://schemas.openxmlformats.org/officeDocument/2006/relationships/image" Target="media/image16.emf"/><Relationship Id="rId44" Type="http://schemas.openxmlformats.org/officeDocument/2006/relationships/diagramLayout" Target="diagrams/layout3.xml"/><Relationship Id="rId52" Type="http://schemas.microsoft.com/office/2007/relationships/diagramDrawing" Target="diagrams/drawing4.xml"/><Relationship Id="rId60" Type="http://schemas.openxmlformats.org/officeDocument/2006/relationships/image" Target="media/image18.emf"/><Relationship Id="rId65" Type="http://schemas.openxmlformats.org/officeDocument/2006/relationships/oleObject" Target="embeddings/oleObject5.bin"/><Relationship Id="rId73" Type="http://schemas.openxmlformats.org/officeDocument/2006/relationships/oleObject" Target="embeddings/oleObject9.bin"/><Relationship Id="rId78" Type="http://schemas.openxmlformats.org/officeDocument/2006/relationships/image" Target="media/image27.emf"/><Relationship Id="rId81" Type="http://schemas.openxmlformats.org/officeDocument/2006/relationships/package" Target="embeddings/Microsoft_Word_Document2.docx"/><Relationship Id="rId86" Type="http://schemas.openxmlformats.org/officeDocument/2006/relationships/image" Target="media/image31.emf"/><Relationship Id="rId94" Type="http://schemas.openxmlformats.org/officeDocument/2006/relationships/image" Target="media/image35.emf"/><Relationship Id="rId99" Type="http://schemas.openxmlformats.org/officeDocument/2006/relationships/oleObject" Target="embeddings/oleObject19.bin"/><Relationship Id="rId101" Type="http://schemas.openxmlformats.org/officeDocument/2006/relationships/oleObject" Target="embeddings/oleObject20.bin"/><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4.png"/><Relationship Id="rId18" Type="http://schemas.openxmlformats.org/officeDocument/2006/relationships/image" Target="media/image8.png"/><Relationship Id="rId39" Type="http://schemas.openxmlformats.org/officeDocument/2006/relationships/diagramLayout" Target="diagrams/layout2.xml"/><Relationship Id="rId109" Type="http://schemas.openxmlformats.org/officeDocument/2006/relationships/fontTable" Target="fontTable.xml"/><Relationship Id="rId34" Type="http://schemas.openxmlformats.org/officeDocument/2006/relationships/diagramLayout" Target="diagrams/layout1.xml"/><Relationship Id="rId50" Type="http://schemas.openxmlformats.org/officeDocument/2006/relationships/diagramQuickStyle" Target="diagrams/quickStyle4.xml"/><Relationship Id="rId55" Type="http://schemas.openxmlformats.org/officeDocument/2006/relationships/diagramQuickStyle" Target="diagrams/quickStyle5.xml"/><Relationship Id="rId76" Type="http://schemas.openxmlformats.org/officeDocument/2006/relationships/image" Target="media/image26.emf"/><Relationship Id="rId97" Type="http://schemas.openxmlformats.org/officeDocument/2006/relationships/oleObject" Target="embeddings/oleObject18.bin"/><Relationship Id="rId104" Type="http://schemas.openxmlformats.org/officeDocument/2006/relationships/image" Target="media/image40.emf"/><Relationship Id="rId7" Type="http://schemas.openxmlformats.org/officeDocument/2006/relationships/endnotes" Target="endnotes.xml"/><Relationship Id="rId71" Type="http://schemas.openxmlformats.org/officeDocument/2006/relationships/oleObject" Target="embeddings/oleObject8.bin"/><Relationship Id="rId92" Type="http://schemas.openxmlformats.org/officeDocument/2006/relationships/image" Target="media/image34.emf"/><Relationship Id="rId2" Type="http://schemas.openxmlformats.org/officeDocument/2006/relationships/numbering" Target="numbering.xml"/><Relationship Id="rId29" Type="http://schemas.openxmlformats.org/officeDocument/2006/relationships/image" Target="media/image15.emf"/><Relationship Id="rId24" Type="http://schemas.openxmlformats.org/officeDocument/2006/relationships/image" Target="media/image12.png"/><Relationship Id="rId40" Type="http://schemas.openxmlformats.org/officeDocument/2006/relationships/diagramQuickStyle" Target="diagrams/quickStyle2.xml"/><Relationship Id="rId45" Type="http://schemas.openxmlformats.org/officeDocument/2006/relationships/diagramQuickStyle" Target="diagrams/quickStyle3.xml"/><Relationship Id="rId66" Type="http://schemas.openxmlformats.org/officeDocument/2006/relationships/image" Target="media/image21.emf"/><Relationship Id="rId87" Type="http://schemas.openxmlformats.org/officeDocument/2006/relationships/oleObject" Target="embeddings/oleObject13.bin"/><Relationship Id="rId110" Type="http://schemas.openxmlformats.org/officeDocument/2006/relationships/theme" Target="theme/theme1.xml"/><Relationship Id="rId61" Type="http://schemas.openxmlformats.org/officeDocument/2006/relationships/oleObject" Target="embeddings/oleObject3.bin"/><Relationship Id="rId82" Type="http://schemas.openxmlformats.org/officeDocument/2006/relationships/image" Target="media/image29.emf"/><Relationship Id="rId19" Type="http://schemas.openxmlformats.org/officeDocument/2006/relationships/hyperlink" Target="https://nexuspj.poder-judicial.go.cr/" TargetMode="External"/><Relationship Id="rId14" Type="http://schemas.openxmlformats.org/officeDocument/2006/relationships/image" Target="media/image5.png"/><Relationship Id="rId30" Type="http://schemas.openxmlformats.org/officeDocument/2006/relationships/oleObject" Target="embeddings/oleObject1.bin"/><Relationship Id="rId35" Type="http://schemas.openxmlformats.org/officeDocument/2006/relationships/diagramQuickStyle" Target="diagrams/quickStyle1.xml"/><Relationship Id="rId56" Type="http://schemas.openxmlformats.org/officeDocument/2006/relationships/diagramColors" Target="diagrams/colors5.xml"/><Relationship Id="rId77" Type="http://schemas.openxmlformats.org/officeDocument/2006/relationships/oleObject" Target="embeddings/oleObject11.bin"/><Relationship Id="rId100" Type="http://schemas.openxmlformats.org/officeDocument/2006/relationships/image" Target="media/image38.emf"/><Relationship Id="rId105" Type="http://schemas.openxmlformats.org/officeDocument/2006/relationships/oleObject" Target="embeddings/oleObject22.bin"/><Relationship Id="rId8" Type="http://schemas.openxmlformats.org/officeDocument/2006/relationships/image" Target="media/image1.jpeg"/><Relationship Id="rId51" Type="http://schemas.openxmlformats.org/officeDocument/2006/relationships/diagramColors" Target="diagrams/colors4.xml"/><Relationship Id="rId72" Type="http://schemas.openxmlformats.org/officeDocument/2006/relationships/image" Target="media/image24.emf"/><Relationship Id="rId93" Type="http://schemas.openxmlformats.org/officeDocument/2006/relationships/oleObject" Target="embeddings/oleObject16.bin"/><Relationship Id="rId98" Type="http://schemas.openxmlformats.org/officeDocument/2006/relationships/image" Target="media/image37.emf"/><Relationship Id="rId3" Type="http://schemas.openxmlformats.org/officeDocument/2006/relationships/styles" Target="styles.xml"/><Relationship Id="rId25" Type="http://schemas.openxmlformats.org/officeDocument/2006/relationships/header" Target="header1.xml"/><Relationship Id="rId46" Type="http://schemas.openxmlformats.org/officeDocument/2006/relationships/diagramColors" Target="diagrams/colors3.xml"/><Relationship Id="rId67" Type="http://schemas.openxmlformats.org/officeDocument/2006/relationships/oleObject" Target="embeddings/oleObject6.bin"/><Relationship Id="rId20" Type="http://schemas.openxmlformats.org/officeDocument/2006/relationships/hyperlink" Target="https://nexuspj.poder-judicial.go.cr/" TargetMode="External"/><Relationship Id="rId41" Type="http://schemas.openxmlformats.org/officeDocument/2006/relationships/diagramColors" Target="diagrams/colors2.xml"/><Relationship Id="rId62" Type="http://schemas.openxmlformats.org/officeDocument/2006/relationships/image" Target="media/image19.emf"/><Relationship Id="rId83" Type="http://schemas.openxmlformats.org/officeDocument/2006/relationships/package" Target="embeddings/Microsoft_Word_Document3.docx"/><Relationship Id="rId88" Type="http://schemas.openxmlformats.org/officeDocument/2006/relationships/image" Target="media/image32.emf"/></Relationships>
</file>

<file path=word/_rels/header1.xml.rels><?xml version="1.0" encoding="UTF-8" standalone="yes"?>
<Relationships xmlns="http://schemas.openxmlformats.org/package/2006/relationships"><Relationship Id="rId1" Type="http://schemas.openxmlformats.org/officeDocument/2006/relationships/image" Target="media/image13.png"/></Relationships>
</file>

<file path=word/_rels/header2.xml.rels><?xml version="1.0" encoding="UTF-8" standalone="yes"?>
<Relationships xmlns="http://schemas.openxmlformats.org/package/2006/relationships"><Relationship Id="rId1" Type="http://schemas.openxmlformats.org/officeDocument/2006/relationships/image" Target="media/image13.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Hoja1!$B$1</c:f>
              <c:strCache>
                <c:ptCount val="1"/>
                <c:pt idx="0">
                  <c:v>Serie 1</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Pt>
            <c:idx val="3"/>
            <c:invertIfNegative val="0"/>
            <c:bubble3D val="0"/>
            <c:spPr>
              <a:solidFill>
                <a:srgbClr val="FFC000"/>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4-E2D2-4CF6-ABEC-420C3134B107}"/>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Hoja1!$A$2:$A$8</c:f>
              <c:numCache>
                <c:formatCode>General</c:formatCode>
                <c:ptCount val="7"/>
                <c:pt idx="0">
                  <c:v>2015</c:v>
                </c:pt>
                <c:pt idx="1">
                  <c:v>2016</c:v>
                </c:pt>
                <c:pt idx="2">
                  <c:v>2017</c:v>
                </c:pt>
                <c:pt idx="3">
                  <c:v>2018</c:v>
                </c:pt>
                <c:pt idx="4">
                  <c:v>2019</c:v>
                </c:pt>
                <c:pt idx="5">
                  <c:v>2020</c:v>
                </c:pt>
                <c:pt idx="6">
                  <c:v>2021</c:v>
                </c:pt>
              </c:numCache>
            </c:numRef>
          </c:cat>
          <c:val>
            <c:numRef>
              <c:f>Hoja1!$B$2:$B$8</c:f>
              <c:numCache>
                <c:formatCode>General</c:formatCode>
                <c:ptCount val="7"/>
                <c:pt idx="0">
                  <c:v>178</c:v>
                </c:pt>
                <c:pt idx="1">
                  <c:v>168</c:v>
                </c:pt>
                <c:pt idx="2">
                  <c:v>189</c:v>
                </c:pt>
                <c:pt idx="3">
                  <c:v>230</c:v>
                </c:pt>
                <c:pt idx="4">
                  <c:v>667</c:v>
                </c:pt>
                <c:pt idx="5">
                  <c:v>465</c:v>
                </c:pt>
                <c:pt idx="6">
                  <c:v>338</c:v>
                </c:pt>
              </c:numCache>
            </c:numRef>
          </c:val>
          <c:extLst>
            <c:ext xmlns:c16="http://schemas.microsoft.com/office/drawing/2014/chart" uri="{C3380CC4-5D6E-409C-BE32-E72D297353CC}">
              <c16:uniqueId val="{00000000-E2D2-4CF6-ABEC-420C3134B107}"/>
            </c:ext>
          </c:extLst>
        </c:ser>
        <c:dLbls>
          <c:dLblPos val="outEnd"/>
          <c:showLegendKey val="0"/>
          <c:showVal val="1"/>
          <c:showCatName val="0"/>
          <c:showSerName val="0"/>
          <c:showPercent val="0"/>
          <c:showBubbleSize val="0"/>
        </c:dLbls>
        <c:gapWidth val="100"/>
        <c:overlap val="-24"/>
        <c:axId val="508345920"/>
        <c:axId val="508336352"/>
      </c:barChart>
      <c:catAx>
        <c:axId val="508345920"/>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508336352"/>
        <c:crosses val="autoZero"/>
        <c:auto val="1"/>
        <c:lblAlgn val="ctr"/>
        <c:lblOffset val="100"/>
        <c:noMultiLvlLbl val="0"/>
      </c:catAx>
      <c:valAx>
        <c:axId val="5083363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50834592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s-C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diagrams/colors1.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4148C21-4D47-4D9A-844C-AD225EB9442D}" type="doc">
      <dgm:prSet loTypeId="urn:microsoft.com/office/officeart/2005/8/layout/default" loCatId="list" qsTypeId="urn:microsoft.com/office/officeart/2005/8/quickstyle/simple1" qsCatId="simple" csTypeId="urn:microsoft.com/office/officeart/2005/8/colors/accent1_1" csCatId="accent1" phldr="1"/>
      <dgm:spPr/>
      <dgm:t>
        <a:bodyPr/>
        <a:lstStyle/>
        <a:p>
          <a:endParaRPr lang="es-CR"/>
        </a:p>
      </dgm:t>
    </dgm:pt>
    <dgm:pt modelId="{FB81DF03-16FD-44D1-ABAB-CEBFB3D38A56}">
      <dgm:prSet phldrT="[Texto]" custT="1"/>
      <dgm:spPr/>
      <dgm:t>
        <a:bodyPr/>
        <a:lstStyle/>
        <a:p>
          <a:pPr algn="just">
            <a:buFont typeface="Symbol" panose="05050102010706020507" pitchFamily="18" charset="2"/>
            <a:buChar char=""/>
          </a:pPr>
          <a:r>
            <a:rPr lang="es-ES" sz="700">
              <a:latin typeface="Book Antiqua" panose="02040602050305030304" pitchFamily="18" charset="0"/>
            </a:rPr>
            <a:t>De aprobar el escenario A.1 la cuantía fijada por Corte Plena</a:t>
          </a:r>
          <a:r>
            <a:rPr lang="es-CR" sz="700">
              <a:latin typeface="Book Antiqua" panose="02040602050305030304" pitchFamily="18" charset="0"/>
            </a:rPr>
            <a:t> distribuiría competencias entre juzgados y Tribunales y reduciría la entrada en la Sala Primera. De aprobarse el A.2 (cuantía diferenciadas) se reduciría la entrada en la Sala solamente</a:t>
          </a:r>
          <a:r>
            <a:rPr lang="es-ES" sz="700">
              <a:latin typeface="Book Antiqua" panose="02040602050305030304" pitchFamily="18" charset="0"/>
            </a:rPr>
            <a:t>. La reducción proyectada es del 43% de la entrada de la Sala Primera en casaciones civiles estimadas, lo que representa 153 casaciones al año o 14 por mes).</a:t>
          </a:r>
        </a:p>
        <a:p>
          <a:pPr algn="just">
            <a:buFont typeface="Symbol" panose="05050102010706020507" pitchFamily="18" charset="2"/>
            <a:buChar char=""/>
          </a:pPr>
          <a:r>
            <a:rPr lang="es-ES" sz="700">
              <a:latin typeface="Book Antiqua" panose="02040602050305030304" pitchFamily="18" charset="0"/>
            </a:rPr>
            <a:t>La Sala Primera experimentaría una disminución también en la entrada de casaciones agrarias (ya que utlizan el monto de cuantia civil para fijar el acceso al recurso de casación en esa materia), de elevarse a 20 millones de colones la cuantía, la reducción en la entrada de casaciones agrarias sería de 9 recursos al año. </a:t>
          </a:r>
          <a:endParaRPr lang="es-CR" sz="700">
            <a:latin typeface="Book Antiqua" panose="02040602050305030304" pitchFamily="18" charset="0"/>
          </a:endParaRPr>
        </a:p>
      </dgm:t>
    </dgm:pt>
    <dgm:pt modelId="{1D20566D-5B15-495F-AC22-55B5BFC97324}" type="parTrans" cxnId="{62E94CAD-5764-4664-B7AD-0797B7A44F23}">
      <dgm:prSet/>
      <dgm:spPr/>
      <dgm:t>
        <a:bodyPr/>
        <a:lstStyle/>
        <a:p>
          <a:pPr algn="ctr"/>
          <a:endParaRPr lang="es-CR" sz="700">
            <a:solidFill>
              <a:sysClr val="windowText" lastClr="000000"/>
            </a:solidFill>
            <a:latin typeface="Book Antiqua" panose="02040602050305030304" pitchFamily="18" charset="0"/>
          </a:endParaRPr>
        </a:p>
      </dgm:t>
    </dgm:pt>
    <dgm:pt modelId="{61AB47CE-E1AC-4D91-A112-FDF743FC6F74}" type="sibTrans" cxnId="{62E94CAD-5764-4664-B7AD-0797B7A44F23}">
      <dgm:prSet/>
      <dgm:spPr/>
      <dgm:t>
        <a:bodyPr/>
        <a:lstStyle/>
        <a:p>
          <a:pPr algn="ctr"/>
          <a:endParaRPr lang="es-CR" sz="700">
            <a:solidFill>
              <a:sysClr val="windowText" lastClr="000000"/>
            </a:solidFill>
            <a:latin typeface="Book Antiqua" panose="02040602050305030304" pitchFamily="18" charset="0"/>
          </a:endParaRPr>
        </a:p>
      </dgm:t>
    </dgm:pt>
    <dgm:pt modelId="{F36F7B30-5173-4E24-9050-2A8801D24C82}">
      <dgm:prSet phldrT="[Texto]" custT="1">
        <dgm:style>
          <a:lnRef idx="2">
            <a:schemeClr val="accent6"/>
          </a:lnRef>
          <a:fillRef idx="1">
            <a:schemeClr val="lt1"/>
          </a:fillRef>
          <a:effectRef idx="0">
            <a:schemeClr val="accent6"/>
          </a:effectRef>
          <a:fontRef idx="minor">
            <a:schemeClr val="dk1"/>
          </a:fontRef>
        </dgm:style>
      </dgm:prSet>
      <dgm:spPr/>
      <dgm:t>
        <a:bodyPr/>
        <a:lstStyle/>
        <a:p>
          <a:pPr algn="just">
            <a:buFont typeface="Symbol" panose="05050102010706020507" pitchFamily="18" charset="2"/>
            <a:buChar char=""/>
          </a:pPr>
          <a:r>
            <a:rPr lang="es-ES" sz="700">
              <a:latin typeface="Book Antiqua" panose="02040602050305030304" pitchFamily="18" charset="0"/>
            </a:rPr>
            <a:t>De aprobar el escenario B la cuantía sería de aproximadamente </a:t>
          </a:r>
          <a:r>
            <a:rPr lang="es-CR" sz="700">
              <a:latin typeface="Book Antiqua" panose="02040602050305030304" pitchFamily="18" charset="0"/>
            </a:rPr>
            <a:t>¢4 400 000,  implicaría una reducción en la entrada de la Sala Primera de un 12%, 21 casaciones civiles al año o 2 por mes en promedio (tabla 67).</a:t>
          </a:r>
        </a:p>
        <a:p>
          <a:pPr algn="just">
            <a:buFont typeface="Symbol" panose="05050102010706020507" pitchFamily="18" charset="2"/>
            <a:buChar char=""/>
          </a:pPr>
          <a:r>
            <a:rPr lang="es-ES" sz="700">
              <a:latin typeface="Book Antiqua" panose="02040602050305030304" pitchFamily="18" charset="0"/>
            </a:rPr>
            <a:t>La Sala Primera experimentaría una disminución también en la entrada de casaciones agrarias (ya que utlizan el monto de cuantia civil para fijar el acceso al recurso de casación en esa materia), de elevarse a 5 millones de colones la cuantía, la reducción en la entrada de casaciones agrarias sería de 6 recursos al año. </a:t>
          </a:r>
          <a:endParaRPr lang="es-CR" sz="700">
            <a:latin typeface="Book Antiqua" panose="02040602050305030304" pitchFamily="18" charset="0"/>
          </a:endParaRPr>
        </a:p>
      </dgm:t>
    </dgm:pt>
    <dgm:pt modelId="{FA99CBD6-2253-4769-916E-AEE0C06FF9EE}" type="parTrans" cxnId="{2EF48072-0333-4CB4-9183-1092F35846E5}">
      <dgm:prSet/>
      <dgm:spPr/>
      <dgm:t>
        <a:bodyPr/>
        <a:lstStyle/>
        <a:p>
          <a:pPr algn="ctr"/>
          <a:endParaRPr lang="es-CR" sz="700">
            <a:solidFill>
              <a:sysClr val="windowText" lastClr="000000"/>
            </a:solidFill>
            <a:latin typeface="Book Antiqua" panose="02040602050305030304" pitchFamily="18" charset="0"/>
          </a:endParaRPr>
        </a:p>
      </dgm:t>
    </dgm:pt>
    <dgm:pt modelId="{BD0F3634-73DD-40D1-A9F2-1305093E0B0B}" type="sibTrans" cxnId="{2EF48072-0333-4CB4-9183-1092F35846E5}">
      <dgm:prSet/>
      <dgm:spPr/>
      <dgm:t>
        <a:bodyPr/>
        <a:lstStyle/>
        <a:p>
          <a:pPr algn="ctr"/>
          <a:endParaRPr lang="es-CR" sz="700">
            <a:solidFill>
              <a:sysClr val="windowText" lastClr="000000"/>
            </a:solidFill>
            <a:latin typeface="Book Antiqua" panose="02040602050305030304" pitchFamily="18" charset="0"/>
          </a:endParaRPr>
        </a:p>
      </dgm:t>
    </dgm:pt>
    <dgm:pt modelId="{C8CAA60A-A7C4-46DC-8BC0-1FF32A30C856}">
      <dgm:prSet phldrT="[Texto]" custT="1">
        <dgm:style>
          <a:lnRef idx="2">
            <a:schemeClr val="accent2"/>
          </a:lnRef>
          <a:fillRef idx="1">
            <a:schemeClr val="lt1"/>
          </a:fillRef>
          <a:effectRef idx="0">
            <a:schemeClr val="accent2"/>
          </a:effectRef>
          <a:fontRef idx="minor">
            <a:schemeClr val="dk1"/>
          </a:fontRef>
        </dgm:style>
      </dgm:prSet>
      <dgm:spPr/>
      <dgm:t>
        <a:bodyPr/>
        <a:lstStyle/>
        <a:p>
          <a:pPr algn="just">
            <a:buFont typeface="Symbol" panose="05050102010706020507" pitchFamily="18" charset="2"/>
            <a:buChar char=""/>
          </a:pPr>
          <a:r>
            <a:rPr lang="es-CR" sz="700">
              <a:latin typeface="Book Antiqua" panose="02040602050305030304" pitchFamily="18" charset="0"/>
            </a:rPr>
            <a:t>De aprobar el escenario C </a:t>
          </a:r>
          <a:r>
            <a:rPr lang="es-ES" sz="700">
              <a:latin typeface="Book Antiqua" panose="02040602050305030304" pitchFamily="18" charset="0"/>
            </a:rPr>
            <a:t>la cuantía actual se mantiene. </a:t>
          </a:r>
          <a:endParaRPr lang="es-CR" sz="700">
            <a:latin typeface="Book Antiqua" panose="02040602050305030304" pitchFamily="18" charset="0"/>
          </a:endParaRPr>
        </a:p>
      </dgm:t>
    </dgm:pt>
    <dgm:pt modelId="{00EF6086-9688-4C99-B78E-4B054EC2BEAB}" type="parTrans" cxnId="{2123C582-5C6E-4D9B-8B3A-01997F4DEDBE}">
      <dgm:prSet/>
      <dgm:spPr/>
      <dgm:t>
        <a:bodyPr/>
        <a:lstStyle/>
        <a:p>
          <a:pPr algn="ctr"/>
          <a:endParaRPr lang="es-CR" sz="700">
            <a:solidFill>
              <a:sysClr val="windowText" lastClr="000000"/>
            </a:solidFill>
            <a:latin typeface="Book Antiqua" panose="02040602050305030304" pitchFamily="18" charset="0"/>
          </a:endParaRPr>
        </a:p>
      </dgm:t>
    </dgm:pt>
    <dgm:pt modelId="{2D1C987F-3BB1-4458-A33E-58898B6C736C}" type="sibTrans" cxnId="{2123C582-5C6E-4D9B-8B3A-01997F4DEDBE}">
      <dgm:prSet/>
      <dgm:spPr/>
      <dgm:t>
        <a:bodyPr/>
        <a:lstStyle/>
        <a:p>
          <a:pPr algn="ctr"/>
          <a:endParaRPr lang="es-CR" sz="700">
            <a:solidFill>
              <a:sysClr val="windowText" lastClr="000000"/>
            </a:solidFill>
            <a:latin typeface="Book Antiqua" panose="02040602050305030304" pitchFamily="18" charset="0"/>
          </a:endParaRPr>
        </a:p>
      </dgm:t>
    </dgm:pt>
    <dgm:pt modelId="{663D51B8-685D-4FEA-9213-14169753783A}">
      <dgm:prSet phldrT="[Texto]" custT="1">
        <dgm:style>
          <a:lnRef idx="2">
            <a:schemeClr val="accent3"/>
          </a:lnRef>
          <a:fillRef idx="1">
            <a:schemeClr val="lt1"/>
          </a:fillRef>
          <a:effectRef idx="0">
            <a:schemeClr val="accent3"/>
          </a:effectRef>
          <a:fontRef idx="minor">
            <a:schemeClr val="dk1"/>
          </a:fontRef>
        </dgm:style>
      </dgm:prSet>
      <dgm:spPr/>
      <dgm:t>
        <a:bodyPr/>
        <a:lstStyle/>
        <a:p>
          <a:pPr algn="just"/>
          <a:r>
            <a:rPr lang="es-CR" sz="700">
              <a:latin typeface="Book Antiqua" panose="02040602050305030304" pitchFamily="18" charset="0"/>
            </a:rPr>
            <a:t>De aprobar el escenario D, según el rango fijado esa sería la disminución, podría ir desde un 6% en adelante según el rango que determine la Corte Plena (según tabla 67).</a:t>
          </a:r>
        </a:p>
        <a:p>
          <a:pPr algn="just"/>
          <a:r>
            <a:rPr lang="es-ES" sz="700">
              <a:latin typeface="Book Antiqua" panose="02040602050305030304" pitchFamily="18" charset="0"/>
            </a:rPr>
            <a:t>La Sala Primera experimentaría una disminución también en la entrada de casaciones agrarias (ya que utlizan el monto de cuantia civil para fijar el acceso al recurso de casación en esa materia). </a:t>
          </a:r>
          <a:r>
            <a:rPr lang="es-CR" sz="700">
              <a:latin typeface="Book Antiqua" panose="02040602050305030304" pitchFamily="18" charset="0"/>
            </a:rPr>
            <a:t> </a:t>
          </a:r>
        </a:p>
      </dgm:t>
    </dgm:pt>
    <dgm:pt modelId="{8AC6C4B1-63DD-4505-ADC1-A24B1B7D9F14}" type="parTrans" cxnId="{BF1B2950-8F47-4342-ADA3-4408F888A739}">
      <dgm:prSet/>
      <dgm:spPr/>
      <dgm:t>
        <a:bodyPr/>
        <a:lstStyle/>
        <a:p>
          <a:pPr algn="ctr"/>
          <a:endParaRPr lang="es-CR" sz="700">
            <a:solidFill>
              <a:sysClr val="windowText" lastClr="000000"/>
            </a:solidFill>
            <a:latin typeface="Book Antiqua" panose="02040602050305030304" pitchFamily="18" charset="0"/>
          </a:endParaRPr>
        </a:p>
      </dgm:t>
    </dgm:pt>
    <dgm:pt modelId="{E96611FC-479B-407F-B4D8-9D9650C1A4B1}" type="sibTrans" cxnId="{BF1B2950-8F47-4342-ADA3-4408F888A739}">
      <dgm:prSet/>
      <dgm:spPr/>
      <dgm:t>
        <a:bodyPr/>
        <a:lstStyle/>
        <a:p>
          <a:pPr algn="ctr"/>
          <a:endParaRPr lang="es-CR" sz="700">
            <a:solidFill>
              <a:sysClr val="windowText" lastClr="000000"/>
            </a:solidFill>
            <a:latin typeface="Book Antiqua" panose="02040602050305030304" pitchFamily="18" charset="0"/>
          </a:endParaRPr>
        </a:p>
      </dgm:t>
    </dgm:pt>
    <dgm:pt modelId="{EA749A34-AD6B-4EF2-9F38-9A9AE1C1B777}" type="pres">
      <dgm:prSet presAssocID="{14148C21-4D47-4D9A-844C-AD225EB9442D}" presName="diagram" presStyleCnt="0">
        <dgm:presLayoutVars>
          <dgm:dir/>
          <dgm:resizeHandles val="exact"/>
        </dgm:presLayoutVars>
      </dgm:prSet>
      <dgm:spPr/>
    </dgm:pt>
    <dgm:pt modelId="{25EAE840-C618-4AF4-BA04-0B52DAEACCE7}" type="pres">
      <dgm:prSet presAssocID="{FB81DF03-16FD-44D1-ABAB-CEBFB3D38A56}" presName="node" presStyleLbl="node1" presStyleIdx="0" presStyleCnt="4">
        <dgm:presLayoutVars>
          <dgm:bulletEnabled val="1"/>
        </dgm:presLayoutVars>
      </dgm:prSet>
      <dgm:spPr/>
    </dgm:pt>
    <dgm:pt modelId="{CEB7603E-8C76-43FC-B92C-F9EB79D12094}" type="pres">
      <dgm:prSet presAssocID="{61AB47CE-E1AC-4D91-A112-FDF743FC6F74}" presName="sibTrans" presStyleCnt="0"/>
      <dgm:spPr/>
    </dgm:pt>
    <dgm:pt modelId="{52C007DC-DD75-446B-8AB1-74FECCBF5947}" type="pres">
      <dgm:prSet presAssocID="{F36F7B30-5173-4E24-9050-2A8801D24C82}" presName="node" presStyleLbl="node1" presStyleIdx="1" presStyleCnt="4">
        <dgm:presLayoutVars>
          <dgm:bulletEnabled val="1"/>
        </dgm:presLayoutVars>
      </dgm:prSet>
      <dgm:spPr/>
    </dgm:pt>
    <dgm:pt modelId="{F8D75EB1-8CE5-40BF-BFF5-E647758FE25E}" type="pres">
      <dgm:prSet presAssocID="{BD0F3634-73DD-40D1-A9F2-1305093E0B0B}" presName="sibTrans" presStyleCnt="0"/>
      <dgm:spPr/>
    </dgm:pt>
    <dgm:pt modelId="{5CE2F730-F86A-4EEF-87A5-14358862B198}" type="pres">
      <dgm:prSet presAssocID="{C8CAA60A-A7C4-46DC-8BC0-1FF32A30C856}" presName="node" presStyleLbl="node1" presStyleIdx="2" presStyleCnt="4">
        <dgm:presLayoutVars>
          <dgm:bulletEnabled val="1"/>
        </dgm:presLayoutVars>
      </dgm:prSet>
      <dgm:spPr/>
    </dgm:pt>
    <dgm:pt modelId="{6B882F21-1A51-4D4E-9E46-63183292B4A9}" type="pres">
      <dgm:prSet presAssocID="{2D1C987F-3BB1-4458-A33E-58898B6C736C}" presName="sibTrans" presStyleCnt="0"/>
      <dgm:spPr/>
    </dgm:pt>
    <dgm:pt modelId="{E54E8391-1A7C-44CB-8696-27DC22016C49}" type="pres">
      <dgm:prSet presAssocID="{663D51B8-685D-4FEA-9213-14169753783A}" presName="node" presStyleLbl="node1" presStyleIdx="3" presStyleCnt="4">
        <dgm:presLayoutVars>
          <dgm:bulletEnabled val="1"/>
        </dgm:presLayoutVars>
      </dgm:prSet>
      <dgm:spPr/>
    </dgm:pt>
  </dgm:ptLst>
  <dgm:cxnLst>
    <dgm:cxn modelId="{06A9F302-74C8-4CB8-A2A0-01DC1C99337E}" type="presOf" srcId="{C8CAA60A-A7C4-46DC-8BC0-1FF32A30C856}" destId="{5CE2F730-F86A-4EEF-87A5-14358862B198}" srcOrd="0" destOrd="0" presId="urn:microsoft.com/office/officeart/2005/8/layout/default"/>
    <dgm:cxn modelId="{3EDC1E48-486D-46E8-B77E-183492DD9BC7}" type="presOf" srcId="{F36F7B30-5173-4E24-9050-2A8801D24C82}" destId="{52C007DC-DD75-446B-8AB1-74FECCBF5947}" srcOrd="0" destOrd="0" presId="urn:microsoft.com/office/officeart/2005/8/layout/default"/>
    <dgm:cxn modelId="{BF1B2950-8F47-4342-ADA3-4408F888A739}" srcId="{14148C21-4D47-4D9A-844C-AD225EB9442D}" destId="{663D51B8-685D-4FEA-9213-14169753783A}" srcOrd="3" destOrd="0" parTransId="{8AC6C4B1-63DD-4505-ADC1-A24B1B7D9F14}" sibTransId="{E96611FC-479B-407F-B4D8-9D9650C1A4B1}"/>
    <dgm:cxn modelId="{2EF48072-0333-4CB4-9183-1092F35846E5}" srcId="{14148C21-4D47-4D9A-844C-AD225EB9442D}" destId="{F36F7B30-5173-4E24-9050-2A8801D24C82}" srcOrd="1" destOrd="0" parTransId="{FA99CBD6-2253-4769-916E-AEE0C06FF9EE}" sibTransId="{BD0F3634-73DD-40D1-A9F2-1305093E0B0B}"/>
    <dgm:cxn modelId="{2123C582-5C6E-4D9B-8B3A-01997F4DEDBE}" srcId="{14148C21-4D47-4D9A-844C-AD225EB9442D}" destId="{C8CAA60A-A7C4-46DC-8BC0-1FF32A30C856}" srcOrd="2" destOrd="0" parTransId="{00EF6086-9688-4C99-B78E-4B054EC2BEAB}" sibTransId="{2D1C987F-3BB1-4458-A33E-58898B6C736C}"/>
    <dgm:cxn modelId="{03DC9AAB-1FD2-47B6-B532-2654D131B2CF}" type="presOf" srcId="{663D51B8-685D-4FEA-9213-14169753783A}" destId="{E54E8391-1A7C-44CB-8696-27DC22016C49}" srcOrd="0" destOrd="0" presId="urn:microsoft.com/office/officeart/2005/8/layout/default"/>
    <dgm:cxn modelId="{62E94CAD-5764-4664-B7AD-0797B7A44F23}" srcId="{14148C21-4D47-4D9A-844C-AD225EB9442D}" destId="{FB81DF03-16FD-44D1-ABAB-CEBFB3D38A56}" srcOrd="0" destOrd="0" parTransId="{1D20566D-5B15-495F-AC22-55B5BFC97324}" sibTransId="{61AB47CE-E1AC-4D91-A112-FDF743FC6F74}"/>
    <dgm:cxn modelId="{103582B0-A7ED-44E4-A466-C6F6399D6CBB}" type="presOf" srcId="{FB81DF03-16FD-44D1-ABAB-CEBFB3D38A56}" destId="{25EAE840-C618-4AF4-BA04-0B52DAEACCE7}" srcOrd="0" destOrd="0" presId="urn:microsoft.com/office/officeart/2005/8/layout/default"/>
    <dgm:cxn modelId="{22D341BB-B18E-4E1F-B0B4-5072EA43D277}" type="presOf" srcId="{14148C21-4D47-4D9A-844C-AD225EB9442D}" destId="{EA749A34-AD6B-4EF2-9F38-9A9AE1C1B777}" srcOrd="0" destOrd="0" presId="urn:microsoft.com/office/officeart/2005/8/layout/default"/>
    <dgm:cxn modelId="{65BB753B-C86A-431E-A109-02E88C559F81}" type="presParOf" srcId="{EA749A34-AD6B-4EF2-9F38-9A9AE1C1B777}" destId="{25EAE840-C618-4AF4-BA04-0B52DAEACCE7}" srcOrd="0" destOrd="0" presId="urn:microsoft.com/office/officeart/2005/8/layout/default"/>
    <dgm:cxn modelId="{F2906FD2-A477-42C2-B66C-CB7567FD812D}" type="presParOf" srcId="{EA749A34-AD6B-4EF2-9F38-9A9AE1C1B777}" destId="{CEB7603E-8C76-43FC-B92C-F9EB79D12094}" srcOrd="1" destOrd="0" presId="urn:microsoft.com/office/officeart/2005/8/layout/default"/>
    <dgm:cxn modelId="{09D93325-A90D-4C43-8669-4D6D5D8B7EA7}" type="presParOf" srcId="{EA749A34-AD6B-4EF2-9F38-9A9AE1C1B777}" destId="{52C007DC-DD75-446B-8AB1-74FECCBF5947}" srcOrd="2" destOrd="0" presId="urn:microsoft.com/office/officeart/2005/8/layout/default"/>
    <dgm:cxn modelId="{7A388CF9-9B62-493C-8804-66E7B3A432A6}" type="presParOf" srcId="{EA749A34-AD6B-4EF2-9F38-9A9AE1C1B777}" destId="{F8D75EB1-8CE5-40BF-BFF5-E647758FE25E}" srcOrd="3" destOrd="0" presId="urn:microsoft.com/office/officeart/2005/8/layout/default"/>
    <dgm:cxn modelId="{9B651F33-25E8-4C1B-A89F-D9CABCF79309}" type="presParOf" srcId="{EA749A34-AD6B-4EF2-9F38-9A9AE1C1B777}" destId="{5CE2F730-F86A-4EEF-87A5-14358862B198}" srcOrd="4" destOrd="0" presId="urn:microsoft.com/office/officeart/2005/8/layout/default"/>
    <dgm:cxn modelId="{A8B8F32F-5066-4E27-9898-7C7E04D4FEA1}" type="presParOf" srcId="{EA749A34-AD6B-4EF2-9F38-9A9AE1C1B777}" destId="{6B882F21-1A51-4D4E-9E46-63183292B4A9}" srcOrd="5" destOrd="0" presId="urn:microsoft.com/office/officeart/2005/8/layout/default"/>
    <dgm:cxn modelId="{D7EF8026-E8A0-48D8-9E50-8601A6A596E3}" type="presParOf" srcId="{EA749A34-AD6B-4EF2-9F38-9A9AE1C1B777}" destId="{E54E8391-1A7C-44CB-8696-27DC22016C49}" srcOrd="6" destOrd="0" presId="urn:microsoft.com/office/officeart/2005/8/layout/default"/>
  </dgm:cxnLst>
  <dgm:bg/>
  <dgm:whole/>
  <dgm:extLst>
    <a:ext uri="http://schemas.microsoft.com/office/drawing/2008/diagram">
      <dsp:dataModelExt xmlns:dsp="http://schemas.microsoft.com/office/drawing/2008/diagram" relId="rId37"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14148C21-4D47-4D9A-844C-AD225EB9442D}" type="doc">
      <dgm:prSet loTypeId="urn:microsoft.com/office/officeart/2005/8/layout/default" loCatId="list" qsTypeId="urn:microsoft.com/office/officeart/2005/8/quickstyle/simple1" qsCatId="simple" csTypeId="urn:microsoft.com/office/officeart/2005/8/colors/accent1_1" csCatId="accent1" phldr="1"/>
      <dgm:spPr/>
      <dgm:t>
        <a:bodyPr/>
        <a:lstStyle/>
        <a:p>
          <a:endParaRPr lang="es-CR"/>
        </a:p>
      </dgm:t>
    </dgm:pt>
    <dgm:pt modelId="{FB81DF03-16FD-44D1-ABAB-CEBFB3D38A56}">
      <dgm:prSet phldrT="[Texto]" custT="1"/>
      <dgm:spPr/>
      <dgm:t>
        <a:bodyPr/>
        <a:lstStyle/>
        <a:p>
          <a:pPr algn="just">
            <a:buFont typeface="Symbol" panose="05050102010706020507" pitchFamily="18" charset="2"/>
            <a:buChar char=""/>
          </a:pPr>
          <a:r>
            <a:rPr lang="es-ES" sz="700">
              <a:latin typeface="Book Antiqua" panose="02040602050305030304" pitchFamily="18" charset="0"/>
            </a:rPr>
            <a:t>De aprobar el escenario A.1 una porción asuntos dejaría de entrar a los Tribunales Colegiados e ingresaría a los Juzgados. En caso de que se fije en </a:t>
          </a:r>
          <a:r>
            <a:rPr lang="es-CR" sz="700">
              <a:latin typeface="Book Antiqua" panose="02040602050305030304" pitchFamily="18" charset="0"/>
            </a:rPr>
            <a:t>¢20 000 </a:t>
          </a:r>
          <a:r>
            <a:rPr lang="es-ES" sz="700">
              <a:latin typeface="Book Antiqua" panose="02040602050305030304" pitchFamily="18" charset="0"/>
            </a:rPr>
            <a:t>el incremento en los Juzgados sería del 4% al 6% en cada uno (se distribuirían aproximadamente 506,7 ordinarios entre los juzgados civiles a nivel nacionaltabla 49). Según competencia territorial, el ingreso se vería aumentado entre 4 y 54 ordinarios al año por juzgado.</a:t>
          </a:r>
        </a:p>
        <a:p>
          <a:pPr algn="just">
            <a:buFont typeface="Symbol" panose="05050102010706020507" pitchFamily="18" charset="2"/>
            <a:buChar char=""/>
          </a:pPr>
          <a:r>
            <a:rPr lang="es-ES" sz="700">
              <a:latin typeface="Book Antiqua" panose="02040602050305030304" pitchFamily="18" charset="0"/>
            </a:rPr>
            <a:t>De aprobar escenario A.2, la entrada se mantiene igual a la actualidad en los Juzgados Civiles de Primera.</a:t>
          </a:r>
          <a:endParaRPr lang="es-CR" sz="700">
            <a:latin typeface="Book Antiqua" panose="02040602050305030304" pitchFamily="18" charset="0"/>
          </a:endParaRPr>
        </a:p>
      </dgm:t>
    </dgm:pt>
    <dgm:pt modelId="{1D20566D-5B15-495F-AC22-55B5BFC97324}" type="parTrans" cxnId="{62E94CAD-5764-4664-B7AD-0797B7A44F23}">
      <dgm:prSet/>
      <dgm:spPr/>
      <dgm:t>
        <a:bodyPr/>
        <a:lstStyle/>
        <a:p>
          <a:pPr algn="ctr"/>
          <a:endParaRPr lang="es-CR" sz="700">
            <a:solidFill>
              <a:sysClr val="windowText" lastClr="000000"/>
            </a:solidFill>
            <a:latin typeface="Book Antiqua" panose="02040602050305030304" pitchFamily="18" charset="0"/>
          </a:endParaRPr>
        </a:p>
      </dgm:t>
    </dgm:pt>
    <dgm:pt modelId="{61AB47CE-E1AC-4D91-A112-FDF743FC6F74}" type="sibTrans" cxnId="{62E94CAD-5764-4664-B7AD-0797B7A44F23}">
      <dgm:prSet/>
      <dgm:spPr/>
      <dgm:t>
        <a:bodyPr/>
        <a:lstStyle/>
        <a:p>
          <a:pPr algn="ctr"/>
          <a:endParaRPr lang="es-CR" sz="700">
            <a:solidFill>
              <a:sysClr val="windowText" lastClr="000000"/>
            </a:solidFill>
            <a:latin typeface="Book Antiqua" panose="02040602050305030304" pitchFamily="18" charset="0"/>
          </a:endParaRPr>
        </a:p>
      </dgm:t>
    </dgm:pt>
    <dgm:pt modelId="{F36F7B30-5173-4E24-9050-2A8801D24C82}">
      <dgm:prSet phldrT="[Texto]" custT="1">
        <dgm:style>
          <a:lnRef idx="2">
            <a:schemeClr val="accent6"/>
          </a:lnRef>
          <a:fillRef idx="1">
            <a:schemeClr val="lt1"/>
          </a:fillRef>
          <a:effectRef idx="0">
            <a:schemeClr val="accent6"/>
          </a:effectRef>
          <a:fontRef idx="minor">
            <a:schemeClr val="dk1"/>
          </a:fontRef>
        </dgm:style>
      </dgm:prSet>
      <dgm:spPr/>
      <dgm:t>
        <a:bodyPr/>
        <a:lstStyle/>
        <a:p>
          <a:pPr algn="just">
            <a:buFont typeface="Symbol" panose="05050102010706020507" pitchFamily="18" charset="2"/>
            <a:buChar char=""/>
          </a:pPr>
          <a:r>
            <a:rPr lang="es-ES" sz="700">
              <a:latin typeface="Book Antiqua" panose="02040602050305030304" pitchFamily="18" charset="0"/>
            </a:rPr>
            <a:t>De aprobar el escenario B la cuantía sería de aproximadamente </a:t>
          </a:r>
          <a:r>
            <a:rPr lang="es-CR" sz="700">
              <a:latin typeface="Book Antiqua" panose="02040602050305030304" pitchFamily="18" charset="0"/>
            </a:rPr>
            <a:t>¢4 400 000. Según la tabla 49, si el límite de cuantía es 20 millones los Tribunales Colegiados pierden un 55% de su entrada y los Juzgados aumentarían la entrada un 4-6% (tablas 50 y 51 de este informe). </a:t>
          </a:r>
        </a:p>
        <a:p>
          <a:pPr algn="just">
            <a:buFont typeface="Symbol" panose="05050102010706020507" pitchFamily="18" charset="2"/>
            <a:buChar char=""/>
          </a:pPr>
          <a:r>
            <a:rPr lang="es-CR" sz="700">
              <a:latin typeface="Book Antiqua" panose="02040602050305030304" pitchFamily="18" charset="0"/>
            </a:rPr>
            <a:t>Para el escenario B, según las mismas tablas, si el límite son 4,4 millones, los Tribunales pierden un 20% = 64 ordinarios al año que se distribuirian entre los Juzgados Civiles (tabla 55).</a:t>
          </a:r>
        </a:p>
      </dgm:t>
    </dgm:pt>
    <dgm:pt modelId="{FA99CBD6-2253-4769-916E-AEE0C06FF9EE}" type="parTrans" cxnId="{2EF48072-0333-4CB4-9183-1092F35846E5}">
      <dgm:prSet/>
      <dgm:spPr/>
      <dgm:t>
        <a:bodyPr/>
        <a:lstStyle/>
        <a:p>
          <a:pPr algn="ctr"/>
          <a:endParaRPr lang="es-CR" sz="700">
            <a:solidFill>
              <a:sysClr val="windowText" lastClr="000000"/>
            </a:solidFill>
            <a:latin typeface="Book Antiqua" panose="02040602050305030304" pitchFamily="18" charset="0"/>
          </a:endParaRPr>
        </a:p>
      </dgm:t>
    </dgm:pt>
    <dgm:pt modelId="{BD0F3634-73DD-40D1-A9F2-1305093E0B0B}" type="sibTrans" cxnId="{2EF48072-0333-4CB4-9183-1092F35846E5}">
      <dgm:prSet/>
      <dgm:spPr/>
      <dgm:t>
        <a:bodyPr/>
        <a:lstStyle/>
        <a:p>
          <a:pPr algn="ctr"/>
          <a:endParaRPr lang="es-CR" sz="700">
            <a:solidFill>
              <a:sysClr val="windowText" lastClr="000000"/>
            </a:solidFill>
            <a:latin typeface="Book Antiqua" panose="02040602050305030304" pitchFamily="18" charset="0"/>
          </a:endParaRPr>
        </a:p>
      </dgm:t>
    </dgm:pt>
    <dgm:pt modelId="{C8CAA60A-A7C4-46DC-8BC0-1FF32A30C856}">
      <dgm:prSet phldrT="[Texto]" custT="1">
        <dgm:style>
          <a:lnRef idx="2">
            <a:schemeClr val="accent2"/>
          </a:lnRef>
          <a:fillRef idx="1">
            <a:schemeClr val="lt1"/>
          </a:fillRef>
          <a:effectRef idx="0">
            <a:schemeClr val="accent2"/>
          </a:effectRef>
          <a:fontRef idx="minor">
            <a:schemeClr val="dk1"/>
          </a:fontRef>
        </dgm:style>
      </dgm:prSet>
      <dgm:spPr/>
      <dgm:t>
        <a:bodyPr/>
        <a:lstStyle/>
        <a:p>
          <a:pPr algn="just">
            <a:buFont typeface="Symbol" panose="05050102010706020507" pitchFamily="18" charset="2"/>
            <a:buChar char=""/>
          </a:pPr>
          <a:r>
            <a:rPr lang="es-CR" sz="700">
              <a:latin typeface="Book Antiqua" panose="02040602050305030304" pitchFamily="18" charset="0"/>
            </a:rPr>
            <a:t>De aprobar el escenario C </a:t>
          </a:r>
          <a:r>
            <a:rPr lang="es-ES" sz="700">
              <a:latin typeface="Book Antiqua" panose="02040602050305030304" pitchFamily="18" charset="0"/>
            </a:rPr>
            <a:t>la cuantía se mantiene.</a:t>
          </a:r>
          <a:endParaRPr lang="es-CR" sz="700">
            <a:latin typeface="Book Antiqua" panose="02040602050305030304" pitchFamily="18" charset="0"/>
          </a:endParaRPr>
        </a:p>
      </dgm:t>
    </dgm:pt>
    <dgm:pt modelId="{00EF6086-9688-4C99-B78E-4B054EC2BEAB}" type="parTrans" cxnId="{2123C582-5C6E-4D9B-8B3A-01997F4DEDBE}">
      <dgm:prSet/>
      <dgm:spPr/>
      <dgm:t>
        <a:bodyPr/>
        <a:lstStyle/>
        <a:p>
          <a:pPr algn="ctr"/>
          <a:endParaRPr lang="es-CR" sz="700">
            <a:solidFill>
              <a:sysClr val="windowText" lastClr="000000"/>
            </a:solidFill>
            <a:latin typeface="Book Antiqua" panose="02040602050305030304" pitchFamily="18" charset="0"/>
          </a:endParaRPr>
        </a:p>
      </dgm:t>
    </dgm:pt>
    <dgm:pt modelId="{2D1C987F-3BB1-4458-A33E-58898B6C736C}" type="sibTrans" cxnId="{2123C582-5C6E-4D9B-8B3A-01997F4DEDBE}">
      <dgm:prSet/>
      <dgm:spPr/>
      <dgm:t>
        <a:bodyPr/>
        <a:lstStyle/>
        <a:p>
          <a:pPr algn="ctr"/>
          <a:endParaRPr lang="es-CR" sz="700">
            <a:solidFill>
              <a:sysClr val="windowText" lastClr="000000"/>
            </a:solidFill>
            <a:latin typeface="Book Antiqua" panose="02040602050305030304" pitchFamily="18" charset="0"/>
          </a:endParaRPr>
        </a:p>
      </dgm:t>
    </dgm:pt>
    <dgm:pt modelId="{663D51B8-685D-4FEA-9213-14169753783A}">
      <dgm:prSet phldrT="[Texto]" custT="1">
        <dgm:style>
          <a:lnRef idx="2">
            <a:schemeClr val="accent3"/>
          </a:lnRef>
          <a:fillRef idx="1">
            <a:schemeClr val="lt1"/>
          </a:fillRef>
          <a:effectRef idx="0">
            <a:schemeClr val="accent3"/>
          </a:effectRef>
          <a:fontRef idx="minor">
            <a:schemeClr val="dk1"/>
          </a:fontRef>
        </dgm:style>
      </dgm:prSet>
      <dgm:spPr/>
      <dgm:t>
        <a:bodyPr/>
        <a:lstStyle/>
        <a:p>
          <a:pPr algn="just"/>
          <a:r>
            <a:rPr lang="es-CR" sz="700">
              <a:latin typeface="Book Antiqua" panose="02040602050305030304" pitchFamily="18" charset="0"/>
            </a:rPr>
            <a:t>De aprobar el escenario D, se genera un aumento en la entrada de asuntos según el rango fijado por Corte Plena, de ser de 20 millones, el incremento en la entrada de los Juzgados Civiles sería del 4-6%.</a:t>
          </a:r>
        </a:p>
      </dgm:t>
    </dgm:pt>
    <dgm:pt modelId="{8AC6C4B1-63DD-4505-ADC1-A24B1B7D9F14}" type="parTrans" cxnId="{BF1B2950-8F47-4342-ADA3-4408F888A739}">
      <dgm:prSet/>
      <dgm:spPr/>
      <dgm:t>
        <a:bodyPr/>
        <a:lstStyle/>
        <a:p>
          <a:pPr algn="ctr"/>
          <a:endParaRPr lang="es-CR" sz="700">
            <a:solidFill>
              <a:sysClr val="windowText" lastClr="000000"/>
            </a:solidFill>
            <a:latin typeface="Book Antiqua" panose="02040602050305030304" pitchFamily="18" charset="0"/>
          </a:endParaRPr>
        </a:p>
      </dgm:t>
    </dgm:pt>
    <dgm:pt modelId="{E96611FC-479B-407F-B4D8-9D9650C1A4B1}" type="sibTrans" cxnId="{BF1B2950-8F47-4342-ADA3-4408F888A739}">
      <dgm:prSet/>
      <dgm:spPr/>
      <dgm:t>
        <a:bodyPr/>
        <a:lstStyle/>
        <a:p>
          <a:pPr algn="ctr"/>
          <a:endParaRPr lang="es-CR" sz="700">
            <a:solidFill>
              <a:sysClr val="windowText" lastClr="000000"/>
            </a:solidFill>
            <a:latin typeface="Book Antiqua" panose="02040602050305030304" pitchFamily="18" charset="0"/>
          </a:endParaRPr>
        </a:p>
      </dgm:t>
    </dgm:pt>
    <dgm:pt modelId="{EA749A34-AD6B-4EF2-9F38-9A9AE1C1B777}" type="pres">
      <dgm:prSet presAssocID="{14148C21-4D47-4D9A-844C-AD225EB9442D}" presName="diagram" presStyleCnt="0">
        <dgm:presLayoutVars>
          <dgm:dir/>
          <dgm:resizeHandles val="exact"/>
        </dgm:presLayoutVars>
      </dgm:prSet>
      <dgm:spPr/>
    </dgm:pt>
    <dgm:pt modelId="{25EAE840-C618-4AF4-BA04-0B52DAEACCE7}" type="pres">
      <dgm:prSet presAssocID="{FB81DF03-16FD-44D1-ABAB-CEBFB3D38A56}" presName="node" presStyleLbl="node1" presStyleIdx="0" presStyleCnt="4">
        <dgm:presLayoutVars>
          <dgm:bulletEnabled val="1"/>
        </dgm:presLayoutVars>
      </dgm:prSet>
      <dgm:spPr/>
    </dgm:pt>
    <dgm:pt modelId="{CEB7603E-8C76-43FC-B92C-F9EB79D12094}" type="pres">
      <dgm:prSet presAssocID="{61AB47CE-E1AC-4D91-A112-FDF743FC6F74}" presName="sibTrans" presStyleCnt="0"/>
      <dgm:spPr/>
    </dgm:pt>
    <dgm:pt modelId="{52C007DC-DD75-446B-8AB1-74FECCBF5947}" type="pres">
      <dgm:prSet presAssocID="{F36F7B30-5173-4E24-9050-2A8801D24C82}" presName="node" presStyleLbl="node1" presStyleIdx="1" presStyleCnt="4">
        <dgm:presLayoutVars>
          <dgm:bulletEnabled val="1"/>
        </dgm:presLayoutVars>
      </dgm:prSet>
      <dgm:spPr/>
    </dgm:pt>
    <dgm:pt modelId="{F8D75EB1-8CE5-40BF-BFF5-E647758FE25E}" type="pres">
      <dgm:prSet presAssocID="{BD0F3634-73DD-40D1-A9F2-1305093E0B0B}" presName="sibTrans" presStyleCnt="0"/>
      <dgm:spPr/>
    </dgm:pt>
    <dgm:pt modelId="{5CE2F730-F86A-4EEF-87A5-14358862B198}" type="pres">
      <dgm:prSet presAssocID="{C8CAA60A-A7C4-46DC-8BC0-1FF32A30C856}" presName="node" presStyleLbl="node1" presStyleIdx="2" presStyleCnt="4">
        <dgm:presLayoutVars>
          <dgm:bulletEnabled val="1"/>
        </dgm:presLayoutVars>
      </dgm:prSet>
      <dgm:spPr/>
    </dgm:pt>
    <dgm:pt modelId="{6B882F21-1A51-4D4E-9E46-63183292B4A9}" type="pres">
      <dgm:prSet presAssocID="{2D1C987F-3BB1-4458-A33E-58898B6C736C}" presName="sibTrans" presStyleCnt="0"/>
      <dgm:spPr/>
    </dgm:pt>
    <dgm:pt modelId="{E54E8391-1A7C-44CB-8696-27DC22016C49}" type="pres">
      <dgm:prSet presAssocID="{663D51B8-685D-4FEA-9213-14169753783A}" presName="node" presStyleLbl="node1" presStyleIdx="3" presStyleCnt="4">
        <dgm:presLayoutVars>
          <dgm:bulletEnabled val="1"/>
        </dgm:presLayoutVars>
      </dgm:prSet>
      <dgm:spPr/>
    </dgm:pt>
  </dgm:ptLst>
  <dgm:cxnLst>
    <dgm:cxn modelId="{06A9F302-74C8-4CB8-A2A0-01DC1C99337E}" type="presOf" srcId="{C8CAA60A-A7C4-46DC-8BC0-1FF32A30C856}" destId="{5CE2F730-F86A-4EEF-87A5-14358862B198}" srcOrd="0" destOrd="0" presId="urn:microsoft.com/office/officeart/2005/8/layout/default"/>
    <dgm:cxn modelId="{3EDC1E48-486D-46E8-B77E-183492DD9BC7}" type="presOf" srcId="{F36F7B30-5173-4E24-9050-2A8801D24C82}" destId="{52C007DC-DD75-446B-8AB1-74FECCBF5947}" srcOrd="0" destOrd="0" presId="urn:microsoft.com/office/officeart/2005/8/layout/default"/>
    <dgm:cxn modelId="{BF1B2950-8F47-4342-ADA3-4408F888A739}" srcId="{14148C21-4D47-4D9A-844C-AD225EB9442D}" destId="{663D51B8-685D-4FEA-9213-14169753783A}" srcOrd="3" destOrd="0" parTransId="{8AC6C4B1-63DD-4505-ADC1-A24B1B7D9F14}" sibTransId="{E96611FC-479B-407F-B4D8-9D9650C1A4B1}"/>
    <dgm:cxn modelId="{2EF48072-0333-4CB4-9183-1092F35846E5}" srcId="{14148C21-4D47-4D9A-844C-AD225EB9442D}" destId="{F36F7B30-5173-4E24-9050-2A8801D24C82}" srcOrd="1" destOrd="0" parTransId="{FA99CBD6-2253-4769-916E-AEE0C06FF9EE}" sibTransId="{BD0F3634-73DD-40D1-A9F2-1305093E0B0B}"/>
    <dgm:cxn modelId="{2123C582-5C6E-4D9B-8B3A-01997F4DEDBE}" srcId="{14148C21-4D47-4D9A-844C-AD225EB9442D}" destId="{C8CAA60A-A7C4-46DC-8BC0-1FF32A30C856}" srcOrd="2" destOrd="0" parTransId="{00EF6086-9688-4C99-B78E-4B054EC2BEAB}" sibTransId="{2D1C987F-3BB1-4458-A33E-58898B6C736C}"/>
    <dgm:cxn modelId="{03DC9AAB-1FD2-47B6-B532-2654D131B2CF}" type="presOf" srcId="{663D51B8-685D-4FEA-9213-14169753783A}" destId="{E54E8391-1A7C-44CB-8696-27DC22016C49}" srcOrd="0" destOrd="0" presId="urn:microsoft.com/office/officeart/2005/8/layout/default"/>
    <dgm:cxn modelId="{62E94CAD-5764-4664-B7AD-0797B7A44F23}" srcId="{14148C21-4D47-4D9A-844C-AD225EB9442D}" destId="{FB81DF03-16FD-44D1-ABAB-CEBFB3D38A56}" srcOrd="0" destOrd="0" parTransId="{1D20566D-5B15-495F-AC22-55B5BFC97324}" sibTransId="{61AB47CE-E1AC-4D91-A112-FDF743FC6F74}"/>
    <dgm:cxn modelId="{103582B0-A7ED-44E4-A466-C6F6399D6CBB}" type="presOf" srcId="{FB81DF03-16FD-44D1-ABAB-CEBFB3D38A56}" destId="{25EAE840-C618-4AF4-BA04-0B52DAEACCE7}" srcOrd="0" destOrd="0" presId="urn:microsoft.com/office/officeart/2005/8/layout/default"/>
    <dgm:cxn modelId="{22D341BB-B18E-4E1F-B0B4-5072EA43D277}" type="presOf" srcId="{14148C21-4D47-4D9A-844C-AD225EB9442D}" destId="{EA749A34-AD6B-4EF2-9F38-9A9AE1C1B777}" srcOrd="0" destOrd="0" presId="urn:microsoft.com/office/officeart/2005/8/layout/default"/>
    <dgm:cxn modelId="{65BB753B-C86A-431E-A109-02E88C559F81}" type="presParOf" srcId="{EA749A34-AD6B-4EF2-9F38-9A9AE1C1B777}" destId="{25EAE840-C618-4AF4-BA04-0B52DAEACCE7}" srcOrd="0" destOrd="0" presId="urn:microsoft.com/office/officeart/2005/8/layout/default"/>
    <dgm:cxn modelId="{F2906FD2-A477-42C2-B66C-CB7567FD812D}" type="presParOf" srcId="{EA749A34-AD6B-4EF2-9F38-9A9AE1C1B777}" destId="{CEB7603E-8C76-43FC-B92C-F9EB79D12094}" srcOrd="1" destOrd="0" presId="urn:microsoft.com/office/officeart/2005/8/layout/default"/>
    <dgm:cxn modelId="{09D93325-A90D-4C43-8669-4D6D5D8B7EA7}" type="presParOf" srcId="{EA749A34-AD6B-4EF2-9F38-9A9AE1C1B777}" destId="{52C007DC-DD75-446B-8AB1-74FECCBF5947}" srcOrd="2" destOrd="0" presId="urn:microsoft.com/office/officeart/2005/8/layout/default"/>
    <dgm:cxn modelId="{7A388CF9-9B62-493C-8804-66E7B3A432A6}" type="presParOf" srcId="{EA749A34-AD6B-4EF2-9F38-9A9AE1C1B777}" destId="{F8D75EB1-8CE5-40BF-BFF5-E647758FE25E}" srcOrd="3" destOrd="0" presId="urn:microsoft.com/office/officeart/2005/8/layout/default"/>
    <dgm:cxn modelId="{9B651F33-25E8-4C1B-A89F-D9CABCF79309}" type="presParOf" srcId="{EA749A34-AD6B-4EF2-9F38-9A9AE1C1B777}" destId="{5CE2F730-F86A-4EEF-87A5-14358862B198}" srcOrd="4" destOrd="0" presId="urn:microsoft.com/office/officeart/2005/8/layout/default"/>
    <dgm:cxn modelId="{A8B8F32F-5066-4E27-9898-7C7E04D4FEA1}" type="presParOf" srcId="{EA749A34-AD6B-4EF2-9F38-9A9AE1C1B777}" destId="{6B882F21-1A51-4D4E-9E46-63183292B4A9}" srcOrd="5" destOrd="0" presId="urn:microsoft.com/office/officeart/2005/8/layout/default"/>
    <dgm:cxn modelId="{D7EF8026-E8A0-48D8-9E50-8601A6A596E3}" type="presParOf" srcId="{EA749A34-AD6B-4EF2-9F38-9A9AE1C1B777}" destId="{E54E8391-1A7C-44CB-8696-27DC22016C49}" srcOrd="6" destOrd="0" presId="urn:microsoft.com/office/officeart/2005/8/layout/default"/>
  </dgm:cxnLst>
  <dgm:bg/>
  <dgm:whole/>
  <dgm:extLst>
    <a:ext uri="http://schemas.microsoft.com/office/drawing/2008/diagram">
      <dsp:dataModelExt xmlns:dsp="http://schemas.microsoft.com/office/drawing/2008/diagram" relId="rId42"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14148C21-4D47-4D9A-844C-AD225EB9442D}" type="doc">
      <dgm:prSet loTypeId="urn:microsoft.com/office/officeart/2005/8/layout/default" loCatId="list" qsTypeId="urn:microsoft.com/office/officeart/2005/8/quickstyle/simple1" qsCatId="simple" csTypeId="urn:microsoft.com/office/officeart/2005/8/colors/accent1_1" csCatId="accent1" phldr="1"/>
      <dgm:spPr/>
      <dgm:t>
        <a:bodyPr/>
        <a:lstStyle/>
        <a:p>
          <a:endParaRPr lang="es-CR"/>
        </a:p>
      </dgm:t>
    </dgm:pt>
    <dgm:pt modelId="{FB81DF03-16FD-44D1-ABAB-CEBFB3D38A56}">
      <dgm:prSet phldrT="[Texto]" custT="1"/>
      <dgm:spPr/>
      <dgm:t>
        <a:bodyPr/>
        <a:lstStyle/>
        <a:p>
          <a:pPr algn="just">
            <a:buFont typeface="Symbol" panose="05050102010706020507" pitchFamily="18" charset="2"/>
            <a:buChar char=""/>
          </a:pPr>
          <a:r>
            <a:rPr lang="es-ES" sz="800">
              <a:latin typeface="Book Antiqua" panose="02040602050305030304" pitchFamily="18" charset="0"/>
            </a:rPr>
            <a:t>De aprobar el escenario A.1 y fijarse la cuantía por ejemplo en </a:t>
          </a:r>
          <a:r>
            <a:rPr lang="es-CR" sz="800">
              <a:latin typeface="Book Antiqua" panose="02040602050305030304" pitchFamily="18" charset="0"/>
            </a:rPr>
            <a:t>¢20 000 000 los Tribunales Colegiados perderían cerca del 55% de asuntos ordinarios estimables=506,7 ordinarios a nivel nacional (tabla 49 de este informe). En el caso del escenario A.2 su entrada se mantendría igual a la actual, se podría acceder al recurso de casación solo si la cuantía es superior a ¢20 000 000 o el monto que fije Corte Plena.</a:t>
          </a:r>
        </a:p>
      </dgm:t>
    </dgm:pt>
    <dgm:pt modelId="{1D20566D-5B15-495F-AC22-55B5BFC97324}" type="parTrans" cxnId="{62E94CAD-5764-4664-B7AD-0797B7A44F23}">
      <dgm:prSet/>
      <dgm:spPr/>
      <dgm:t>
        <a:bodyPr/>
        <a:lstStyle/>
        <a:p>
          <a:pPr algn="ctr"/>
          <a:endParaRPr lang="es-CR" sz="800">
            <a:solidFill>
              <a:sysClr val="windowText" lastClr="000000"/>
            </a:solidFill>
            <a:latin typeface="Book Antiqua" panose="02040602050305030304" pitchFamily="18" charset="0"/>
          </a:endParaRPr>
        </a:p>
      </dgm:t>
    </dgm:pt>
    <dgm:pt modelId="{61AB47CE-E1AC-4D91-A112-FDF743FC6F74}" type="sibTrans" cxnId="{62E94CAD-5764-4664-B7AD-0797B7A44F23}">
      <dgm:prSet/>
      <dgm:spPr/>
      <dgm:t>
        <a:bodyPr/>
        <a:lstStyle/>
        <a:p>
          <a:pPr algn="ctr"/>
          <a:endParaRPr lang="es-CR" sz="800">
            <a:solidFill>
              <a:sysClr val="windowText" lastClr="000000"/>
            </a:solidFill>
            <a:latin typeface="Book Antiqua" panose="02040602050305030304" pitchFamily="18" charset="0"/>
          </a:endParaRPr>
        </a:p>
      </dgm:t>
    </dgm:pt>
    <dgm:pt modelId="{F36F7B30-5173-4E24-9050-2A8801D24C82}">
      <dgm:prSet phldrT="[Texto]" custT="1">
        <dgm:style>
          <a:lnRef idx="2">
            <a:schemeClr val="accent6"/>
          </a:lnRef>
          <a:fillRef idx="1">
            <a:schemeClr val="lt1"/>
          </a:fillRef>
          <a:effectRef idx="0">
            <a:schemeClr val="accent6"/>
          </a:effectRef>
          <a:fontRef idx="minor">
            <a:schemeClr val="dk1"/>
          </a:fontRef>
        </dgm:style>
      </dgm:prSet>
      <dgm:spPr/>
      <dgm:t>
        <a:bodyPr/>
        <a:lstStyle/>
        <a:p>
          <a:pPr algn="just">
            <a:buFont typeface="Symbol" panose="05050102010706020507" pitchFamily="18" charset="2"/>
            <a:buChar char=""/>
          </a:pPr>
          <a:r>
            <a:rPr lang="es-ES" sz="800">
              <a:latin typeface="Book Antiqua" panose="02040602050305030304" pitchFamily="18" charset="0"/>
            </a:rPr>
            <a:t>De aprobar el escenario B la cuantía sería de aproximadamente </a:t>
          </a:r>
          <a:r>
            <a:rPr lang="es-CR" sz="800">
              <a:latin typeface="Book Antiqua" panose="02040602050305030304" pitchFamily="18" charset="0"/>
            </a:rPr>
            <a:t>¢4 400 000,  implicaría una reducción en la entrada, específicamente de los procesos ordinarios estimados entre ¢1 y ¢4 400 000 que representan el 20% de su entrada, en promedio 164 ordinarios al año (tabla 55).</a:t>
          </a:r>
        </a:p>
      </dgm:t>
    </dgm:pt>
    <dgm:pt modelId="{FA99CBD6-2253-4769-916E-AEE0C06FF9EE}" type="parTrans" cxnId="{2EF48072-0333-4CB4-9183-1092F35846E5}">
      <dgm:prSet/>
      <dgm:spPr/>
      <dgm:t>
        <a:bodyPr/>
        <a:lstStyle/>
        <a:p>
          <a:pPr algn="ctr"/>
          <a:endParaRPr lang="es-CR" sz="800">
            <a:solidFill>
              <a:sysClr val="windowText" lastClr="000000"/>
            </a:solidFill>
            <a:latin typeface="Book Antiqua" panose="02040602050305030304" pitchFamily="18" charset="0"/>
          </a:endParaRPr>
        </a:p>
      </dgm:t>
    </dgm:pt>
    <dgm:pt modelId="{BD0F3634-73DD-40D1-A9F2-1305093E0B0B}" type="sibTrans" cxnId="{2EF48072-0333-4CB4-9183-1092F35846E5}">
      <dgm:prSet/>
      <dgm:spPr/>
      <dgm:t>
        <a:bodyPr/>
        <a:lstStyle/>
        <a:p>
          <a:pPr algn="ctr"/>
          <a:endParaRPr lang="es-CR" sz="800">
            <a:solidFill>
              <a:sysClr val="windowText" lastClr="000000"/>
            </a:solidFill>
            <a:latin typeface="Book Antiqua" panose="02040602050305030304" pitchFamily="18" charset="0"/>
          </a:endParaRPr>
        </a:p>
      </dgm:t>
    </dgm:pt>
    <dgm:pt modelId="{C8CAA60A-A7C4-46DC-8BC0-1FF32A30C856}">
      <dgm:prSet phldrT="[Texto]" custT="1">
        <dgm:style>
          <a:lnRef idx="2">
            <a:schemeClr val="accent2"/>
          </a:lnRef>
          <a:fillRef idx="1">
            <a:schemeClr val="lt1"/>
          </a:fillRef>
          <a:effectRef idx="0">
            <a:schemeClr val="accent2"/>
          </a:effectRef>
          <a:fontRef idx="minor">
            <a:schemeClr val="dk1"/>
          </a:fontRef>
        </dgm:style>
      </dgm:prSet>
      <dgm:spPr/>
      <dgm:t>
        <a:bodyPr/>
        <a:lstStyle/>
        <a:p>
          <a:pPr algn="just">
            <a:buFont typeface="Symbol" panose="05050102010706020507" pitchFamily="18" charset="2"/>
            <a:buChar char=""/>
          </a:pPr>
          <a:r>
            <a:rPr lang="es-CR" sz="800">
              <a:latin typeface="Book Antiqua" panose="02040602050305030304" pitchFamily="18" charset="0"/>
            </a:rPr>
            <a:t>De aprobar el escenario C </a:t>
          </a:r>
          <a:r>
            <a:rPr lang="es-ES" sz="800">
              <a:latin typeface="Book Antiqua" panose="02040602050305030304" pitchFamily="18" charset="0"/>
            </a:rPr>
            <a:t>la cuantía se mantiene.</a:t>
          </a:r>
          <a:endParaRPr lang="es-CR" sz="800">
            <a:latin typeface="Book Antiqua" panose="02040602050305030304" pitchFamily="18" charset="0"/>
          </a:endParaRPr>
        </a:p>
      </dgm:t>
    </dgm:pt>
    <dgm:pt modelId="{00EF6086-9688-4C99-B78E-4B054EC2BEAB}" type="parTrans" cxnId="{2123C582-5C6E-4D9B-8B3A-01997F4DEDBE}">
      <dgm:prSet/>
      <dgm:spPr/>
      <dgm:t>
        <a:bodyPr/>
        <a:lstStyle/>
        <a:p>
          <a:pPr algn="ctr"/>
          <a:endParaRPr lang="es-CR" sz="800">
            <a:solidFill>
              <a:sysClr val="windowText" lastClr="000000"/>
            </a:solidFill>
            <a:latin typeface="Book Antiqua" panose="02040602050305030304" pitchFamily="18" charset="0"/>
          </a:endParaRPr>
        </a:p>
      </dgm:t>
    </dgm:pt>
    <dgm:pt modelId="{2D1C987F-3BB1-4458-A33E-58898B6C736C}" type="sibTrans" cxnId="{2123C582-5C6E-4D9B-8B3A-01997F4DEDBE}">
      <dgm:prSet/>
      <dgm:spPr/>
      <dgm:t>
        <a:bodyPr/>
        <a:lstStyle/>
        <a:p>
          <a:pPr algn="ctr"/>
          <a:endParaRPr lang="es-CR" sz="800">
            <a:solidFill>
              <a:sysClr val="windowText" lastClr="000000"/>
            </a:solidFill>
            <a:latin typeface="Book Antiqua" panose="02040602050305030304" pitchFamily="18" charset="0"/>
          </a:endParaRPr>
        </a:p>
      </dgm:t>
    </dgm:pt>
    <dgm:pt modelId="{663D51B8-685D-4FEA-9213-14169753783A}">
      <dgm:prSet phldrT="[Texto]" custT="1">
        <dgm:style>
          <a:lnRef idx="2">
            <a:schemeClr val="accent3"/>
          </a:lnRef>
          <a:fillRef idx="1">
            <a:schemeClr val="lt1"/>
          </a:fillRef>
          <a:effectRef idx="0">
            <a:schemeClr val="accent3"/>
          </a:effectRef>
          <a:fontRef idx="minor">
            <a:schemeClr val="dk1"/>
          </a:fontRef>
        </dgm:style>
      </dgm:prSet>
      <dgm:spPr/>
      <dgm:t>
        <a:bodyPr/>
        <a:lstStyle/>
        <a:p>
          <a:pPr algn="just"/>
          <a:r>
            <a:rPr lang="es-CR" sz="800">
              <a:latin typeface="Book Antiqua" panose="02040602050305030304" pitchFamily="18" charset="0"/>
            </a:rPr>
            <a:t>De aprobar el escenario D, sería un impacto similar al descrito en el escenario A.1 de incrementarse a 20 millones la cuantía. El impacto dependerá del monto aprobado por Corte Plena, pero siempre representará una disminución en la entrada para los Tribunales Colegiados. </a:t>
          </a:r>
        </a:p>
      </dgm:t>
    </dgm:pt>
    <dgm:pt modelId="{8AC6C4B1-63DD-4505-ADC1-A24B1B7D9F14}" type="parTrans" cxnId="{BF1B2950-8F47-4342-ADA3-4408F888A739}">
      <dgm:prSet/>
      <dgm:spPr/>
      <dgm:t>
        <a:bodyPr/>
        <a:lstStyle/>
        <a:p>
          <a:pPr algn="ctr"/>
          <a:endParaRPr lang="es-CR" sz="800">
            <a:solidFill>
              <a:sysClr val="windowText" lastClr="000000"/>
            </a:solidFill>
            <a:latin typeface="Book Antiqua" panose="02040602050305030304" pitchFamily="18" charset="0"/>
          </a:endParaRPr>
        </a:p>
      </dgm:t>
    </dgm:pt>
    <dgm:pt modelId="{E96611FC-479B-407F-B4D8-9D9650C1A4B1}" type="sibTrans" cxnId="{BF1B2950-8F47-4342-ADA3-4408F888A739}">
      <dgm:prSet/>
      <dgm:spPr/>
      <dgm:t>
        <a:bodyPr/>
        <a:lstStyle/>
        <a:p>
          <a:pPr algn="ctr"/>
          <a:endParaRPr lang="es-CR" sz="800">
            <a:solidFill>
              <a:sysClr val="windowText" lastClr="000000"/>
            </a:solidFill>
            <a:latin typeface="Book Antiqua" panose="02040602050305030304" pitchFamily="18" charset="0"/>
          </a:endParaRPr>
        </a:p>
      </dgm:t>
    </dgm:pt>
    <dgm:pt modelId="{EA749A34-AD6B-4EF2-9F38-9A9AE1C1B777}" type="pres">
      <dgm:prSet presAssocID="{14148C21-4D47-4D9A-844C-AD225EB9442D}" presName="diagram" presStyleCnt="0">
        <dgm:presLayoutVars>
          <dgm:dir/>
          <dgm:resizeHandles val="exact"/>
        </dgm:presLayoutVars>
      </dgm:prSet>
      <dgm:spPr/>
    </dgm:pt>
    <dgm:pt modelId="{25EAE840-C618-4AF4-BA04-0B52DAEACCE7}" type="pres">
      <dgm:prSet presAssocID="{FB81DF03-16FD-44D1-ABAB-CEBFB3D38A56}" presName="node" presStyleLbl="node1" presStyleIdx="0" presStyleCnt="4">
        <dgm:presLayoutVars>
          <dgm:bulletEnabled val="1"/>
        </dgm:presLayoutVars>
      </dgm:prSet>
      <dgm:spPr/>
    </dgm:pt>
    <dgm:pt modelId="{CEB7603E-8C76-43FC-B92C-F9EB79D12094}" type="pres">
      <dgm:prSet presAssocID="{61AB47CE-E1AC-4D91-A112-FDF743FC6F74}" presName="sibTrans" presStyleCnt="0"/>
      <dgm:spPr/>
    </dgm:pt>
    <dgm:pt modelId="{52C007DC-DD75-446B-8AB1-74FECCBF5947}" type="pres">
      <dgm:prSet presAssocID="{F36F7B30-5173-4E24-9050-2A8801D24C82}" presName="node" presStyleLbl="node1" presStyleIdx="1" presStyleCnt="4">
        <dgm:presLayoutVars>
          <dgm:bulletEnabled val="1"/>
        </dgm:presLayoutVars>
      </dgm:prSet>
      <dgm:spPr/>
    </dgm:pt>
    <dgm:pt modelId="{F8D75EB1-8CE5-40BF-BFF5-E647758FE25E}" type="pres">
      <dgm:prSet presAssocID="{BD0F3634-73DD-40D1-A9F2-1305093E0B0B}" presName="sibTrans" presStyleCnt="0"/>
      <dgm:spPr/>
    </dgm:pt>
    <dgm:pt modelId="{5CE2F730-F86A-4EEF-87A5-14358862B198}" type="pres">
      <dgm:prSet presAssocID="{C8CAA60A-A7C4-46DC-8BC0-1FF32A30C856}" presName="node" presStyleLbl="node1" presStyleIdx="2" presStyleCnt="4">
        <dgm:presLayoutVars>
          <dgm:bulletEnabled val="1"/>
        </dgm:presLayoutVars>
      </dgm:prSet>
      <dgm:spPr/>
    </dgm:pt>
    <dgm:pt modelId="{6B882F21-1A51-4D4E-9E46-63183292B4A9}" type="pres">
      <dgm:prSet presAssocID="{2D1C987F-3BB1-4458-A33E-58898B6C736C}" presName="sibTrans" presStyleCnt="0"/>
      <dgm:spPr/>
    </dgm:pt>
    <dgm:pt modelId="{E54E8391-1A7C-44CB-8696-27DC22016C49}" type="pres">
      <dgm:prSet presAssocID="{663D51B8-685D-4FEA-9213-14169753783A}" presName="node" presStyleLbl="node1" presStyleIdx="3" presStyleCnt="4">
        <dgm:presLayoutVars>
          <dgm:bulletEnabled val="1"/>
        </dgm:presLayoutVars>
      </dgm:prSet>
      <dgm:spPr/>
    </dgm:pt>
  </dgm:ptLst>
  <dgm:cxnLst>
    <dgm:cxn modelId="{06A9F302-74C8-4CB8-A2A0-01DC1C99337E}" type="presOf" srcId="{C8CAA60A-A7C4-46DC-8BC0-1FF32A30C856}" destId="{5CE2F730-F86A-4EEF-87A5-14358862B198}" srcOrd="0" destOrd="0" presId="urn:microsoft.com/office/officeart/2005/8/layout/default"/>
    <dgm:cxn modelId="{3EDC1E48-486D-46E8-B77E-183492DD9BC7}" type="presOf" srcId="{F36F7B30-5173-4E24-9050-2A8801D24C82}" destId="{52C007DC-DD75-446B-8AB1-74FECCBF5947}" srcOrd="0" destOrd="0" presId="urn:microsoft.com/office/officeart/2005/8/layout/default"/>
    <dgm:cxn modelId="{BF1B2950-8F47-4342-ADA3-4408F888A739}" srcId="{14148C21-4D47-4D9A-844C-AD225EB9442D}" destId="{663D51B8-685D-4FEA-9213-14169753783A}" srcOrd="3" destOrd="0" parTransId="{8AC6C4B1-63DD-4505-ADC1-A24B1B7D9F14}" sibTransId="{E96611FC-479B-407F-B4D8-9D9650C1A4B1}"/>
    <dgm:cxn modelId="{2EF48072-0333-4CB4-9183-1092F35846E5}" srcId="{14148C21-4D47-4D9A-844C-AD225EB9442D}" destId="{F36F7B30-5173-4E24-9050-2A8801D24C82}" srcOrd="1" destOrd="0" parTransId="{FA99CBD6-2253-4769-916E-AEE0C06FF9EE}" sibTransId="{BD0F3634-73DD-40D1-A9F2-1305093E0B0B}"/>
    <dgm:cxn modelId="{2123C582-5C6E-4D9B-8B3A-01997F4DEDBE}" srcId="{14148C21-4D47-4D9A-844C-AD225EB9442D}" destId="{C8CAA60A-A7C4-46DC-8BC0-1FF32A30C856}" srcOrd="2" destOrd="0" parTransId="{00EF6086-9688-4C99-B78E-4B054EC2BEAB}" sibTransId="{2D1C987F-3BB1-4458-A33E-58898B6C736C}"/>
    <dgm:cxn modelId="{03DC9AAB-1FD2-47B6-B532-2654D131B2CF}" type="presOf" srcId="{663D51B8-685D-4FEA-9213-14169753783A}" destId="{E54E8391-1A7C-44CB-8696-27DC22016C49}" srcOrd="0" destOrd="0" presId="urn:microsoft.com/office/officeart/2005/8/layout/default"/>
    <dgm:cxn modelId="{62E94CAD-5764-4664-B7AD-0797B7A44F23}" srcId="{14148C21-4D47-4D9A-844C-AD225EB9442D}" destId="{FB81DF03-16FD-44D1-ABAB-CEBFB3D38A56}" srcOrd="0" destOrd="0" parTransId="{1D20566D-5B15-495F-AC22-55B5BFC97324}" sibTransId="{61AB47CE-E1AC-4D91-A112-FDF743FC6F74}"/>
    <dgm:cxn modelId="{103582B0-A7ED-44E4-A466-C6F6399D6CBB}" type="presOf" srcId="{FB81DF03-16FD-44D1-ABAB-CEBFB3D38A56}" destId="{25EAE840-C618-4AF4-BA04-0B52DAEACCE7}" srcOrd="0" destOrd="0" presId="urn:microsoft.com/office/officeart/2005/8/layout/default"/>
    <dgm:cxn modelId="{22D341BB-B18E-4E1F-B0B4-5072EA43D277}" type="presOf" srcId="{14148C21-4D47-4D9A-844C-AD225EB9442D}" destId="{EA749A34-AD6B-4EF2-9F38-9A9AE1C1B777}" srcOrd="0" destOrd="0" presId="urn:microsoft.com/office/officeart/2005/8/layout/default"/>
    <dgm:cxn modelId="{65BB753B-C86A-431E-A109-02E88C559F81}" type="presParOf" srcId="{EA749A34-AD6B-4EF2-9F38-9A9AE1C1B777}" destId="{25EAE840-C618-4AF4-BA04-0B52DAEACCE7}" srcOrd="0" destOrd="0" presId="urn:microsoft.com/office/officeart/2005/8/layout/default"/>
    <dgm:cxn modelId="{F2906FD2-A477-42C2-B66C-CB7567FD812D}" type="presParOf" srcId="{EA749A34-AD6B-4EF2-9F38-9A9AE1C1B777}" destId="{CEB7603E-8C76-43FC-B92C-F9EB79D12094}" srcOrd="1" destOrd="0" presId="urn:microsoft.com/office/officeart/2005/8/layout/default"/>
    <dgm:cxn modelId="{09D93325-A90D-4C43-8669-4D6D5D8B7EA7}" type="presParOf" srcId="{EA749A34-AD6B-4EF2-9F38-9A9AE1C1B777}" destId="{52C007DC-DD75-446B-8AB1-74FECCBF5947}" srcOrd="2" destOrd="0" presId="urn:microsoft.com/office/officeart/2005/8/layout/default"/>
    <dgm:cxn modelId="{7A388CF9-9B62-493C-8804-66E7B3A432A6}" type="presParOf" srcId="{EA749A34-AD6B-4EF2-9F38-9A9AE1C1B777}" destId="{F8D75EB1-8CE5-40BF-BFF5-E647758FE25E}" srcOrd="3" destOrd="0" presId="urn:microsoft.com/office/officeart/2005/8/layout/default"/>
    <dgm:cxn modelId="{9B651F33-25E8-4C1B-A89F-D9CABCF79309}" type="presParOf" srcId="{EA749A34-AD6B-4EF2-9F38-9A9AE1C1B777}" destId="{5CE2F730-F86A-4EEF-87A5-14358862B198}" srcOrd="4" destOrd="0" presId="urn:microsoft.com/office/officeart/2005/8/layout/default"/>
    <dgm:cxn modelId="{A8B8F32F-5066-4E27-9898-7C7E04D4FEA1}" type="presParOf" srcId="{EA749A34-AD6B-4EF2-9F38-9A9AE1C1B777}" destId="{6B882F21-1A51-4D4E-9E46-63183292B4A9}" srcOrd="5" destOrd="0" presId="urn:microsoft.com/office/officeart/2005/8/layout/default"/>
    <dgm:cxn modelId="{D7EF8026-E8A0-48D8-9E50-8601A6A596E3}" type="presParOf" srcId="{EA749A34-AD6B-4EF2-9F38-9A9AE1C1B777}" destId="{E54E8391-1A7C-44CB-8696-27DC22016C49}" srcOrd="6" destOrd="0" presId="urn:microsoft.com/office/officeart/2005/8/layout/default"/>
  </dgm:cxnLst>
  <dgm:bg/>
  <dgm:whole/>
  <dgm:extLst>
    <a:ext uri="http://schemas.microsoft.com/office/drawing/2008/diagram">
      <dsp:dataModelExt xmlns:dsp="http://schemas.microsoft.com/office/drawing/2008/diagram" relId="rId47"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14148C21-4D47-4D9A-844C-AD225EB9442D}" type="doc">
      <dgm:prSet loTypeId="urn:microsoft.com/office/officeart/2005/8/layout/default" loCatId="list" qsTypeId="urn:microsoft.com/office/officeart/2005/8/quickstyle/simple1" qsCatId="simple" csTypeId="urn:microsoft.com/office/officeart/2005/8/colors/accent1_1" csCatId="accent1" phldr="1"/>
      <dgm:spPr/>
      <dgm:t>
        <a:bodyPr/>
        <a:lstStyle/>
        <a:p>
          <a:endParaRPr lang="es-CR"/>
        </a:p>
      </dgm:t>
    </dgm:pt>
    <dgm:pt modelId="{FB81DF03-16FD-44D1-ABAB-CEBFB3D38A56}">
      <dgm:prSet phldrT="[Texto]" custT="1"/>
      <dgm:spPr/>
      <dgm:t>
        <a:bodyPr/>
        <a:lstStyle/>
        <a:p>
          <a:pPr algn="just">
            <a:buFont typeface="Symbol" panose="05050102010706020507" pitchFamily="18" charset="2"/>
            <a:buChar char=""/>
          </a:pPr>
          <a:r>
            <a:rPr lang="es-ES" sz="600">
              <a:latin typeface="Book Antiqua" panose="02040602050305030304" pitchFamily="18" charset="0"/>
            </a:rPr>
            <a:t>De aprobar el escenario A en cualquiera de las versiones, se daría un incremento en la entrada de apelaciones de sentencia (proporcional a la reducción en la entrada de las Salas Primera y Segunda en procesos ordinarios y universales respectivamente).  </a:t>
          </a:r>
        </a:p>
        <a:p>
          <a:pPr algn="just">
            <a:buFont typeface="Symbol" panose="05050102010706020507" pitchFamily="18" charset="2"/>
            <a:buChar char=""/>
          </a:pPr>
          <a:r>
            <a:rPr lang="es-ES" sz="600">
              <a:latin typeface="Book Antiqua" panose="02040602050305030304" pitchFamily="18" charset="0"/>
            </a:rPr>
            <a:t>También se generaría un incremento de las apelaciones tanto de procesos principales, incidentes o aspectos apelables por debajo del monto fijado para la mayor cuantía tanto en Civil como Cobro; según el artículo 67.3 del CPC. </a:t>
          </a:r>
        </a:p>
        <a:p>
          <a:pPr algn="just">
            <a:buFont typeface="Symbol" panose="05050102010706020507" pitchFamily="18" charset="2"/>
            <a:buChar char=""/>
          </a:pPr>
          <a:r>
            <a:rPr lang="es-ES" sz="600">
              <a:latin typeface="Book Antiqua" panose="02040602050305030304" pitchFamily="18" charset="0"/>
            </a:rPr>
            <a:t>Y se proyecta un posible incremento en la entrada del Tribunal Segundo de Apelación Civil de San José por la modificación en el limite de cuantia de los procesos concursales para las apelaciones previstas en los incisos 17,23 y 26 del artículo 57 de la nueva Ley Concursal y artículo 58 de esa misma norma.</a:t>
          </a:r>
          <a:endParaRPr lang="es-CR" sz="600">
            <a:latin typeface="Book Antiqua" panose="02040602050305030304" pitchFamily="18" charset="0"/>
          </a:endParaRPr>
        </a:p>
      </dgm:t>
    </dgm:pt>
    <dgm:pt modelId="{1D20566D-5B15-495F-AC22-55B5BFC97324}" type="parTrans" cxnId="{62E94CAD-5764-4664-B7AD-0797B7A44F23}">
      <dgm:prSet/>
      <dgm:spPr/>
      <dgm:t>
        <a:bodyPr/>
        <a:lstStyle/>
        <a:p>
          <a:pPr algn="ctr"/>
          <a:endParaRPr lang="es-CR" sz="600">
            <a:solidFill>
              <a:sysClr val="windowText" lastClr="000000"/>
            </a:solidFill>
            <a:latin typeface="Book Antiqua" panose="02040602050305030304" pitchFamily="18" charset="0"/>
          </a:endParaRPr>
        </a:p>
      </dgm:t>
    </dgm:pt>
    <dgm:pt modelId="{61AB47CE-E1AC-4D91-A112-FDF743FC6F74}" type="sibTrans" cxnId="{62E94CAD-5764-4664-B7AD-0797B7A44F23}">
      <dgm:prSet/>
      <dgm:spPr/>
      <dgm:t>
        <a:bodyPr/>
        <a:lstStyle/>
        <a:p>
          <a:pPr algn="ctr"/>
          <a:endParaRPr lang="es-CR" sz="600">
            <a:solidFill>
              <a:sysClr val="windowText" lastClr="000000"/>
            </a:solidFill>
            <a:latin typeface="Book Antiqua" panose="02040602050305030304" pitchFamily="18" charset="0"/>
          </a:endParaRPr>
        </a:p>
      </dgm:t>
    </dgm:pt>
    <dgm:pt modelId="{F36F7B30-5173-4E24-9050-2A8801D24C82}">
      <dgm:prSet phldrT="[Texto]" custT="1">
        <dgm:style>
          <a:lnRef idx="2">
            <a:schemeClr val="accent6"/>
          </a:lnRef>
          <a:fillRef idx="1">
            <a:schemeClr val="lt1"/>
          </a:fillRef>
          <a:effectRef idx="0">
            <a:schemeClr val="accent6"/>
          </a:effectRef>
          <a:fontRef idx="minor">
            <a:schemeClr val="dk1"/>
          </a:fontRef>
        </dgm:style>
      </dgm:prSet>
      <dgm:spPr/>
      <dgm:t>
        <a:bodyPr/>
        <a:lstStyle/>
        <a:p>
          <a:pPr algn="just">
            <a:buFont typeface="Symbol" panose="05050102010706020507" pitchFamily="18" charset="2"/>
            <a:buChar char=""/>
          </a:pPr>
          <a:r>
            <a:rPr lang="es-ES" sz="700">
              <a:latin typeface="Book Antiqua" panose="02040602050305030304" pitchFamily="18" charset="0"/>
            </a:rPr>
            <a:t>De aprobar el escenario B la cuantía sería de aproximadamente </a:t>
          </a:r>
          <a:r>
            <a:rPr lang="es-CR" sz="700">
              <a:latin typeface="Book Antiqua" panose="02040602050305030304" pitchFamily="18" charset="0"/>
            </a:rPr>
            <a:t>¢4 400 000,  implicaría un aumento de apelaciones de sentencia en el rango de ¢3 000 000  (monto actual) a ¢4 400 000, que se estima en aproximadamente 21 recursos al año (tabla 67). </a:t>
          </a:r>
        </a:p>
        <a:p>
          <a:pPr algn="just">
            <a:buFont typeface="Symbol" panose="05050102010706020507" pitchFamily="18" charset="2"/>
            <a:buChar char=""/>
          </a:pPr>
          <a:r>
            <a:rPr lang="es-CR" sz="700">
              <a:latin typeface="Book Antiqua" panose="02040602050305030304" pitchFamily="18" charset="0"/>
            </a:rPr>
            <a:t>Además de los asuntos que actualmente no tienen apelación, pero que si tendrían a partir del incremento según </a:t>
          </a:r>
          <a:r>
            <a:rPr lang="es-ES" sz="700">
              <a:latin typeface="Book Antiqua" panose="02040602050305030304" pitchFamily="18" charset="0"/>
            </a:rPr>
            <a:t>artículo 67.3 tanto en Civil como en Cobro en todos los Tribunales del país.</a:t>
          </a:r>
        </a:p>
        <a:p>
          <a:pPr algn="just">
            <a:buFont typeface="Symbol" panose="05050102010706020507" pitchFamily="18" charset="2"/>
            <a:buChar char=""/>
          </a:pPr>
          <a:r>
            <a:rPr lang="es-ES" sz="700">
              <a:latin typeface="Book Antiqua" panose="02040602050305030304" pitchFamily="18" charset="0"/>
            </a:rPr>
            <a:t>Y el impacto en el Tribunal Segundo de Apelación Civil de San José por el posible incremento al distribuirse competencias entre ese Tribunal y la Sala Segunda (apelaciones previstas en los incisos 17, 23 y 26 del artículo 57 de la Ley Concursal y artículo 58 de esa misma norma) </a:t>
          </a:r>
          <a:endParaRPr lang="es-CR" sz="700">
            <a:latin typeface="Book Antiqua" panose="02040602050305030304" pitchFamily="18" charset="0"/>
          </a:endParaRPr>
        </a:p>
      </dgm:t>
    </dgm:pt>
    <dgm:pt modelId="{FA99CBD6-2253-4769-916E-AEE0C06FF9EE}" type="parTrans" cxnId="{2EF48072-0333-4CB4-9183-1092F35846E5}">
      <dgm:prSet/>
      <dgm:spPr/>
      <dgm:t>
        <a:bodyPr/>
        <a:lstStyle/>
        <a:p>
          <a:pPr algn="ctr"/>
          <a:endParaRPr lang="es-CR" sz="600">
            <a:solidFill>
              <a:sysClr val="windowText" lastClr="000000"/>
            </a:solidFill>
            <a:latin typeface="Book Antiqua" panose="02040602050305030304" pitchFamily="18" charset="0"/>
          </a:endParaRPr>
        </a:p>
      </dgm:t>
    </dgm:pt>
    <dgm:pt modelId="{BD0F3634-73DD-40D1-A9F2-1305093E0B0B}" type="sibTrans" cxnId="{2EF48072-0333-4CB4-9183-1092F35846E5}">
      <dgm:prSet/>
      <dgm:spPr/>
      <dgm:t>
        <a:bodyPr/>
        <a:lstStyle/>
        <a:p>
          <a:pPr algn="ctr"/>
          <a:endParaRPr lang="es-CR" sz="600">
            <a:solidFill>
              <a:sysClr val="windowText" lastClr="000000"/>
            </a:solidFill>
            <a:latin typeface="Book Antiqua" panose="02040602050305030304" pitchFamily="18" charset="0"/>
          </a:endParaRPr>
        </a:p>
      </dgm:t>
    </dgm:pt>
    <dgm:pt modelId="{C8CAA60A-A7C4-46DC-8BC0-1FF32A30C856}">
      <dgm:prSet phldrT="[Texto]" custT="1">
        <dgm:style>
          <a:lnRef idx="2">
            <a:schemeClr val="accent2"/>
          </a:lnRef>
          <a:fillRef idx="1">
            <a:schemeClr val="lt1"/>
          </a:fillRef>
          <a:effectRef idx="0">
            <a:schemeClr val="accent2"/>
          </a:effectRef>
          <a:fontRef idx="minor">
            <a:schemeClr val="dk1"/>
          </a:fontRef>
        </dgm:style>
      </dgm:prSet>
      <dgm:spPr/>
      <dgm:t>
        <a:bodyPr/>
        <a:lstStyle/>
        <a:p>
          <a:pPr algn="just">
            <a:buFont typeface="Symbol" panose="05050102010706020507" pitchFamily="18" charset="2"/>
            <a:buChar char=""/>
          </a:pPr>
          <a:r>
            <a:rPr lang="es-CR" sz="600">
              <a:latin typeface="Book Antiqua" panose="02040602050305030304" pitchFamily="18" charset="0"/>
            </a:rPr>
            <a:t>De aprobar el escenario C </a:t>
          </a:r>
          <a:r>
            <a:rPr lang="es-ES" sz="600">
              <a:latin typeface="Book Antiqua" panose="02040602050305030304" pitchFamily="18" charset="0"/>
            </a:rPr>
            <a:t>la cuantía se mantiene.</a:t>
          </a:r>
          <a:endParaRPr lang="es-CR" sz="600">
            <a:latin typeface="Book Antiqua" panose="02040602050305030304" pitchFamily="18" charset="0"/>
          </a:endParaRPr>
        </a:p>
      </dgm:t>
    </dgm:pt>
    <dgm:pt modelId="{00EF6086-9688-4C99-B78E-4B054EC2BEAB}" type="parTrans" cxnId="{2123C582-5C6E-4D9B-8B3A-01997F4DEDBE}">
      <dgm:prSet/>
      <dgm:spPr/>
      <dgm:t>
        <a:bodyPr/>
        <a:lstStyle/>
        <a:p>
          <a:pPr algn="ctr"/>
          <a:endParaRPr lang="es-CR" sz="600">
            <a:solidFill>
              <a:sysClr val="windowText" lastClr="000000"/>
            </a:solidFill>
            <a:latin typeface="Book Antiqua" panose="02040602050305030304" pitchFamily="18" charset="0"/>
          </a:endParaRPr>
        </a:p>
      </dgm:t>
    </dgm:pt>
    <dgm:pt modelId="{2D1C987F-3BB1-4458-A33E-58898B6C736C}" type="sibTrans" cxnId="{2123C582-5C6E-4D9B-8B3A-01997F4DEDBE}">
      <dgm:prSet/>
      <dgm:spPr/>
      <dgm:t>
        <a:bodyPr/>
        <a:lstStyle/>
        <a:p>
          <a:pPr algn="ctr"/>
          <a:endParaRPr lang="es-CR" sz="600">
            <a:solidFill>
              <a:sysClr val="windowText" lastClr="000000"/>
            </a:solidFill>
            <a:latin typeface="Book Antiqua" panose="02040602050305030304" pitchFamily="18" charset="0"/>
          </a:endParaRPr>
        </a:p>
      </dgm:t>
    </dgm:pt>
    <dgm:pt modelId="{663D51B8-685D-4FEA-9213-14169753783A}">
      <dgm:prSet phldrT="[Texto]" custT="1">
        <dgm:style>
          <a:lnRef idx="2">
            <a:schemeClr val="accent3"/>
          </a:lnRef>
          <a:fillRef idx="1">
            <a:schemeClr val="lt1"/>
          </a:fillRef>
          <a:effectRef idx="0">
            <a:schemeClr val="accent3"/>
          </a:effectRef>
          <a:fontRef idx="minor">
            <a:schemeClr val="dk1"/>
          </a:fontRef>
        </dgm:style>
      </dgm:prSet>
      <dgm:spPr/>
      <dgm:t>
        <a:bodyPr/>
        <a:lstStyle/>
        <a:p>
          <a:pPr algn="just"/>
          <a:r>
            <a:rPr lang="es-CR" sz="600">
              <a:latin typeface="Book Antiqua" panose="02040602050305030304" pitchFamily="18" charset="0"/>
            </a:rPr>
            <a:t>De aprobar el escenario D, </a:t>
          </a:r>
          <a:r>
            <a:rPr lang="es-ES" sz="600">
              <a:latin typeface="Book Antiqua" panose="02040602050305030304" pitchFamily="18" charset="0"/>
            </a:rPr>
            <a:t>provocaría un aumento en las apelaciones de sentencia proporcional al rango que apruebe la Corte Plena. El incremento en la entrada de apelaciones de sentencia (proporcional a la reducción en la entrada de las Salas Primera y Segunda en procesos ordinarios y universales respectivamente). </a:t>
          </a:r>
        </a:p>
        <a:p>
          <a:pPr algn="just">
            <a:buFont typeface="Symbol" panose="05050102010706020507" pitchFamily="18" charset="2"/>
            <a:buChar char=""/>
          </a:pPr>
          <a:r>
            <a:rPr lang="es-ES" sz="600">
              <a:latin typeface="Book Antiqua" panose="02040602050305030304" pitchFamily="18" charset="0"/>
            </a:rPr>
            <a:t>También se generaría un incremento de las apelaciones tanto de procesos principales, incidentes o aspectos apelables por debajo del monto fijado para la mayor cuantía tanto en Civil como Cobro; según el artículo 67.3 del CPC. </a:t>
          </a:r>
        </a:p>
        <a:p>
          <a:pPr algn="just">
            <a:buFont typeface="Symbol" panose="05050102010706020507" pitchFamily="18" charset="2"/>
            <a:buChar char=""/>
          </a:pPr>
          <a:r>
            <a:rPr lang="es-ES" sz="600">
              <a:latin typeface="Book Antiqua" panose="02040602050305030304" pitchFamily="18" charset="0"/>
            </a:rPr>
            <a:t>También posible incremento en la entrada del Tribunal Segundo de Apelación Civil de San José por la modificación en el limite de cuantia de los procesos concursales para las apelaciones previstas en los incisos 17,23 y 26 del artículo 57 de la nueva Ley Concursal y artículo 58 de esa misma norma.</a:t>
          </a:r>
          <a:endParaRPr lang="es-CR" sz="600">
            <a:latin typeface="Book Antiqua" panose="02040602050305030304" pitchFamily="18" charset="0"/>
          </a:endParaRPr>
        </a:p>
      </dgm:t>
    </dgm:pt>
    <dgm:pt modelId="{8AC6C4B1-63DD-4505-ADC1-A24B1B7D9F14}" type="parTrans" cxnId="{BF1B2950-8F47-4342-ADA3-4408F888A739}">
      <dgm:prSet/>
      <dgm:spPr/>
      <dgm:t>
        <a:bodyPr/>
        <a:lstStyle/>
        <a:p>
          <a:pPr algn="ctr"/>
          <a:endParaRPr lang="es-CR" sz="600">
            <a:solidFill>
              <a:sysClr val="windowText" lastClr="000000"/>
            </a:solidFill>
            <a:latin typeface="Book Antiqua" panose="02040602050305030304" pitchFamily="18" charset="0"/>
          </a:endParaRPr>
        </a:p>
      </dgm:t>
    </dgm:pt>
    <dgm:pt modelId="{E96611FC-479B-407F-B4D8-9D9650C1A4B1}" type="sibTrans" cxnId="{BF1B2950-8F47-4342-ADA3-4408F888A739}">
      <dgm:prSet/>
      <dgm:spPr/>
      <dgm:t>
        <a:bodyPr/>
        <a:lstStyle/>
        <a:p>
          <a:pPr algn="ctr"/>
          <a:endParaRPr lang="es-CR" sz="600">
            <a:solidFill>
              <a:sysClr val="windowText" lastClr="000000"/>
            </a:solidFill>
            <a:latin typeface="Book Antiqua" panose="02040602050305030304" pitchFamily="18" charset="0"/>
          </a:endParaRPr>
        </a:p>
      </dgm:t>
    </dgm:pt>
    <dgm:pt modelId="{EA749A34-AD6B-4EF2-9F38-9A9AE1C1B777}" type="pres">
      <dgm:prSet presAssocID="{14148C21-4D47-4D9A-844C-AD225EB9442D}" presName="diagram" presStyleCnt="0">
        <dgm:presLayoutVars>
          <dgm:dir/>
          <dgm:resizeHandles val="exact"/>
        </dgm:presLayoutVars>
      </dgm:prSet>
      <dgm:spPr/>
    </dgm:pt>
    <dgm:pt modelId="{25EAE840-C618-4AF4-BA04-0B52DAEACCE7}" type="pres">
      <dgm:prSet presAssocID="{FB81DF03-16FD-44D1-ABAB-CEBFB3D38A56}" presName="node" presStyleLbl="node1" presStyleIdx="0" presStyleCnt="4">
        <dgm:presLayoutVars>
          <dgm:bulletEnabled val="1"/>
        </dgm:presLayoutVars>
      </dgm:prSet>
      <dgm:spPr/>
    </dgm:pt>
    <dgm:pt modelId="{CEB7603E-8C76-43FC-B92C-F9EB79D12094}" type="pres">
      <dgm:prSet presAssocID="{61AB47CE-E1AC-4D91-A112-FDF743FC6F74}" presName="sibTrans" presStyleCnt="0"/>
      <dgm:spPr/>
    </dgm:pt>
    <dgm:pt modelId="{52C007DC-DD75-446B-8AB1-74FECCBF5947}" type="pres">
      <dgm:prSet presAssocID="{F36F7B30-5173-4E24-9050-2A8801D24C82}" presName="node" presStyleLbl="node1" presStyleIdx="1" presStyleCnt="4">
        <dgm:presLayoutVars>
          <dgm:bulletEnabled val="1"/>
        </dgm:presLayoutVars>
      </dgm:prSet>
      <dgm:spPr/>
    </dgm:pt>
    <dgm:pt modelId="{F8D75EB1-8CE5-40BF-BFF5-E647758FE25E}" type="pres">
      <dgm:prSet presAssocID="{BD0F3634-73DD-40D1-A9F2-1305093E0B0B}" presName="sibTrans" presStyleCnt="0"/>
      <dgm:spPr/>
    </dgm:pt>
    <dgm:pt modelId="{5CE2F730-F86A-4EEF-87A5-14358862B198}" type="pres">
      <dgm:prSet presAssocID="{C8CAA60A-A7C4-46DC-8BC0-1FF32A30C856}" presName="node" presStyleLbl="node1" presStyleIdx="2" presStyleCnt="4">
        <dgm:presLayoutVars>
          <dgm:bulletEnabled val="1"/>
        </dgm:presLayoutVars>
      </dgm:prSet>
      <dgm:spPr/>
    </dgm:pt>
    <dgm:pt modelId="{6B882F21-1A51-4D4E-9E46-63183292B4A9}" type="pres">
      <dgm:prSet presAssocID="{2D1C987F-3BB1-4458-A33E-58898B6C736C}" presName="sibTrans" presStyleCnt="0"/>
      <dgm:spPr/>
    </dgm:pt>
    <dgm:pt modelId="{E54E8391-1A7C-44CB-8696-27DC22016C49}" type="pres">
      <dgm:prSet presAssocID="{663D51B8-685D-4FEA-9213-14169753783A}" presName="node" presStyleLbl="node1" presStyleIdx="3" presStyleCnt="4">
        <dgm:presLayoutVars>
          <dgm:bulletEnabled val="1"/>
        </dgm:presLayoutVars>
      </dgm:prSet>
      <dgm:spPr/>
    </dgm:pt>
  </dgm:ptLst>
  <dgm:cxnLst>
    <dgm:cxn modelId="{06A9F302-74C8-4CB8-A2A0-01DC1C99337E}" type="presOf" srcId="{C8CAA60A-A7C4-46DC-8BC0-1FF32A30C856}" destId="{5CE2F730-F86A-4EEF-87A5-14358862B198}" srcOrd="0" destOrd="0" presId="urn:microsoft.com/office/officeart/2005/8/layout/default"/>
    <dgm:cxn modelId="{3EDC1E48-486D-46E8-B77E-183492DD9BC7}" type="presOf" srcId="{F36F7B30-5173-4E24-9050-2A8801D24C82}" destId="{52C007DC-DD75-446B-8AB1-74FECCBF5947}" srcOrd="0" destOrd="0" presId="urn:microsoft.com/office/officeart/2005/8/layout/default"/>
    <dgm:cxn modelId="{BF1B2950-8F47-4342-ADA3-4408F888A739}" srcId="{14148C21-4D47-4D9A-844C-AD225EB9442D}" destId="{663D51B8-685D-4FEA-9213-14169753783A}" srcOrd="3" destOrd="0" parTransId="{8AC6C4B1-63DD-4505-ADC1-A24B1B7D9F14}" sibTransId="{E96611FC-479B-407F-B4D8-9D9650C1A4B1}"/>
    <dgm:cxn modelId="{2EF48072-0333-4CB4-9183-1092F35846E5}" srcId="{14148C21-4D47-4D9A-844C-AD225EB9442D}" destId="{F36F7B30-5173-4E24-9050-2A8801D24C82}" srcOrd="1" destOrd="0" parTransId="{FA99CBD6-2253-4769-916E-AEE0C06FF9EE}" sibTransId="{BD0F3634-73DD-40D1-A9F2-1305093E0B0B}"/>
    <dgm:cxn modelId="{2123C582-5C6E-4D9B-8B3A-01997F4DEDBE}" srcId="{14148C21-4D47-4D9A-844C-AD225EB9442D}" destId="{C8CAA60A-A7C4-46DC-8BC0-1FF32A30C856}" srcOrd="2" destOrd="0" parTransId="{00EF6086-9688-4C99-B78E-4B054EC2BEAB}" sibTransId="{2D1C987F-3BB1-4458-A33E-58898B6C736C}"/>
    <dgm:cxn modelId="{03DC9AAB-1FD2-47B6-B532-2654D131B2CF}" type="presOf" srcId="{663D51B8-685D-4FEA-9213-14169753783A}" destId="{E54E8391-1A7C-44CB-8696-27DC22016C49}" srcOrd="0" destOrd="0" presId="urn:microsoft.com/office/officeart/2005/8/layout/default"/>
    <dgm:cxn modelId="{62E94CAD-5764-4664-B7AD-0797B7A44F23}" srcId="{14148C21-4D47-4D9A-844C-AD225EB9442D}" destId="{FB81DF03-16FD-44D1-ABAB-CEBFB3D38A56}" srcOrd="0" destOrd="0" parTransId="{1D20566D-5B15-495F-AC22-55B5BFC97324}" sibTransId="{61AB47CE-E1AC-4D91-A112-FDF743FC6F74}"/>
    <dgm:cxn modelId="{103582B0-A7ED-44E4-A466-C6F6399D6CBB}" type="presOf" srcId="{FB81DF03-16FD-44D1-ABAB-CEBFB3D38A56}" destId="{25EAE840-C618-4AF4-BA04-0B52DAEACCE7}" srcOrd="0" destOrd="0" presId="urn:microsoft.com/office/officeart/2005/8/layout/default"/>
    <dgm:cxn modelId="{22D341BB-B18E-4E1F-B0B4-5072EA43D277}" type="presOf" srcId="{14148C21-4D47-4D9A-844C-AD225EB9442D}" destId="{EA749A34-AD6B-4EF2-9F38-9A9AE1C1B777}" srcOrd="0" destOrd="0" presId="urn:microsoft.com/office/officeart/2005/8/layout/default"/>
    <dgm:cxn modelId="{65BB753B-C86A-431E-A109-02E88C559F81}" type="presParOf" srcId="{EA749A34-AD6B-4EF2-9F38-9A9AE1C1B777}" destId="{25EAE840-C618-4AF4-BA04-0B52DAEACCE7}" srcOrd="0" destOrd="0" presId="urn:microsoft.com/office/officeart/2005/8/layout/default"/>
    <dgm:cxn modelId="{F2906FD2-A477-42C2-B66C-CB7567FD812D}" type="presParOf" srcId="{EA749A34-AD6B-4EF2-9F38-9A9AE1C1B777}" destId="{CEB7603E-8C76-43FC-B92C-F9EB79D12094}" srcOrd="1" destOrd="0" presId="urn:microsoft.com/office/officeart/2005/8/layout/default"/>
    <dgm:cxn modelId="{09D93325-A90D-4C43-8669-4D6D5D8B7EA7}" type="presParOf" srcId="{EA749A34-AD6B-4EF2-9F38-9A9AE1C1B777}" destId="{52C007DC-DD75-446B-8AB1-74FECCBF5947}" srcOrd="2" destOrd="0" presId="urn:microsoft.com/office/officeart/2005/8/layout/default"/>
    <dgm:cxn modelId="{7A388CF9-9B62-493C-8804-66E7B3A432A6}" type="presParOf" srcId="{EA749A34-AD6B-4EF2-9F38-9A9AE1C1B777}" destId="{F8D75EB1-8CE5-40BF-BFF5-E647758FE25E}" srcOrd="3" destOrd="0" presId="urn:microsoft.com/office/officeart/2005/8/layout/default"/>
    <dgm:cxn modelId="{9B651F33-25E8-4C1B-A89F-D9CABCF79309}" type="presParOf" srcId="{EA749A34-AD6B-4EF2-9F38-9A9AE1C1B777}" destId="{5CE2F730-F86A-4EEF-87A5-14358862B198}" srcOrd="4" destOrd="0" presId="urn:microsoft.com/office/officeart/2005/8/layout/default"/>
    <dgm:cxn modelId="{A8B8F32F-5066-4E27-9898-7C7E04D4FEA1}" type="presParOf" srcId="{EA749A34-AD6B-4EF2-9F38-9A9AE1C1B777}" destId="{6B882F21-1A51-4D4E-9E46-63183292B4A9}" srcOrd="5" destOrd="0" presId="urn:microsoft.com/office/officeart/2005/8/layout/default"/>
    <dgm:cxn modelId="{D7EF8026-E8A0-48D8-9E50-8601A6A596E3}" type="presParOf" srcId="{EA749A34-AD6B-4EF2-9F38-9A9AE1C1B777}" destId="{E54E8391-1A7C-44CB-8696-27DC22016C49}" srcOrd="6" destOrd="0" presId="urn:microsoft.com/office/officeart/2005/8/layout/default"/>
  </dgm:cxnLst>
  <dgm:bg/>
  <dgm:whole/>
  <dgm:extLst>
    <a:ext uri="http://schemas.microsoft.com/office/drawing/2008/diagram">
      <dsp:dataModelExt xmlns:dsp="http://schemas.microsoft.com/office/drawing/2008/diagram" relId="rId52"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14148C21-4D47-4D9A-844C-AD225EB9442D}" type="doc">
      <dgm:prSet loTypeId="urn:microsoft.com/office/officeart/2005/8/layout/default" loCatId="list" qsTypeId="urn:microsoft.com/office/officeart/2005/8/quickstyle/simple1" qsCatId="simple" csTypeId="urn:microsoft.com/office/officeart/2005/8/colors/accent1_1" csCatId="accent1" phldr="1"/>
      <dgm:spPr/>
      <dgm:t>
        <a:bodyPr/>
        <a:lstStyle/>
        <a:p>
          <a:endParaRPr lang="es-CR"/>
        </a:p>
      </dgm:t>
    </dgm:pt>
    <dgm:pt modelId="{FB81DF03-16FD-44D1-ABAB-CEBFB3D38A56}">
      <dgm:prSet phldrT="[Texto]" custT="1"/>
      <dgm:spPr/>
      <dgm:t>
        <a:bodyPr/>
        <a:lstStyle/>
        <a:p>
          <a:pPr algn="just">
            <a:buFont typeface="Symbol" panose="05050102010706020507" pitchFamily="18" charset="2"/>
            <a:buChar char=""/>
          </a:pPr>
          <a:r>
            <a:rPr lang="es-ES" sz="700">
              <a:latin typeface="Book Antiqua" panose="02040602050305030304" pitchFamily="18" charset="0"/>
            </a:rPr>
            <a:t>De aprobar el escenario A en cualquiera de las versiones se daría una disminución en la entrada de la Sala Segunda en casaciones Civiles, que de</a:t>
          </a:r>
          <a:r>
            <a:rPr lang="es-CR" sz="700">
              <a:latin typeface="Book Antiqua" panose="02040602050305030304" pitchFamily="18" charset="0"/>
            </a:rPr>
            <a:t> 2019 a 2021 fueron en promedio de 2 casaciones </a:t>
          </a:r>
          <a:r>
            <a:rPr lang="es-CR" sz="700" b="1">
              <a:latin typeface="Book Antiqua" panose="02040602050305030304" pitchFamily="18" charset="0"/>
            </a:rPr>
            <a:t>estimables</a:t>
          </a:r>
          <a:r>
            <a:rPr lang="es-CR" sz="700">
              <a:latin typeface="Book Antiqua" panose="02040602050305030304" pitchFamily="18" charset="0"/>
            </a:rPr>
            <a:t> por año (tabla 76) que ya no serían recursos de casación Civil ante la Sala Segunda sino distribuidos en los Tribunales de Apelación Civil de todo el país con recurso de apelación solamente. </a:t>
          </a:r>
          <a:endParaRPr lang="es-ES" sz="700">
            <a:latin typeface="Book Antiqua" panose="02040602050305030304" pitchFamily="18" charset="0"/>
          </a:endParaRPr>
        </a:p>
        <a:p>
          <a:pPr algn="just">
            <a:buFont typeface="Symbol" panose="05050102010706020507" pitchFamily="18" charset="2"/>
            <a:buChar char=""/>
          </a:pPr>
          <a:endParaRPr lang="es-ES" sz="700">
            <a:latin typeface="Book Antiqua" panose="02040602050305030304" pitchFamily="18" charset="0"/>
          </a:endParaRPr>
        </a:p>
        <a:p>
          <a:pPr algn="just">
            <a:buFont typeface="Symbol" panose="05050102010706020507" pitchFamily="18" charset="2"/>
            <a:buChar char=""/>
          </a:pPr>
          <a:r>
            <a:rPr lang="es-ES" sz="700">
              <a:latin typeface="Book Antiqua" panose="02040602050305030304" pitchFamily="18" charset="0"/>
            </a:rPr>
            <a:t>Especificamente, en casaciones concursales por las causales dispuestas en los incisos, 17,23 y 26 del artículo 57 de la Ley Concursal y artículo 58 de esa misma norma, se disminuiría la entrada en Sala Segunda que perdería competencia en promedio en 0,67 recursos al año, al pasar a ser competencia del Tribunal Segundo de Apelación CIvil de San José.</a:t>
          </a:r>
          <a:endParaRPr lang="es-CR" sz="700">
            <a:latin typeface="Book Antiqua" panose="02040602050305030304" pitchFamily="18" charset="0"/>
          </a:endParaRPr>
        </a:p>
      </dgm:t>
    </dgm:pt>
    <dgm:pt modelId="{1D20566D-5B15-495F-AC22-55B5BFC97324}" type="parTrans" cxnId="{62E94CAD-5764-4664-B7AD-0797B7A44F23}">
      <dgm:prSet/>
      <dgm:spPr/>
      <dgm:t>
        <a:bodyPr/>
        <a:lstStyle/>
        <a:p>
          <a:pPr algn="ctr"/>
          <a:endParaRPr lang="es-CR" sz="800">
            <a:solidFill>
              <a:sysClr val="windowText" lastClr="000000"/>
            </a:solidFill>
            <a:latin typeface="Book Antiqua" panose="02040602050305030304" pitchFamily="18" charset="0"/>
          </a:endParaRPr>
        </a:p>
      </dgm:t>
    </dgm:pt>
    <dgm:pt modelId="{61AB47CE-E1AC-4D91-A112-FDF743FC6F74}" type="sibTrans" cxnId="{62E94CAD-5764-4664-B7AD-0797B7A44F23}">
      <dgm:prSet/>
      <dgm:spPr/>
      <dgm:t>
        <a:bodyPr/>
        <a:lstStyle/>
        <a:p>
          <a:pPr algn="ctr"/>
          <a:endParaRPr lang="es-CR" sz="800">
            <a:solidFill>
              <a:sysClr val="windowText" lastClr="000000"/>
            </a:solidFill>
            <a:latin typeface="Book Antiqua" panose="02040602050305030304" pitchFamily="18" charset="0"/>
          </a:endParaRPr>
        </a:p>
      </dgm:t>
    </dgm:pt>
    <dgm:pt modelId="{F36F7B30-5173-4E24-9050-2A8801D24C82}">
      <dgm:prSet phldrT="[Texto]" custT="1">
        <dgm:style>
          <a:lnRef idx="2">
            <a:schemeClr val="accent6"/>
          </a:lnRef>
          <a:fillRef idx="1">
            <a:schemeClr val="lt1"/>
          </a:fillRef>
          <a:effectRef idx="0">
            <a:schemeClr val="accent6"/>
          </a:effectRef>
          <a:fontRef idx="minor">
            <a:schemeClr val="dk1"/>
          </a:fontRef>
        </dgm:style>
      </dgm:prSet>
      <dgm:spPr/>
      <dgm:t>
        <a:bodyPr/>
        <a:lstStyle/>
        <a:p>
          <a:pPr algn="just">
            <a:buFont typeface="Symbol" panose="05050102010706020507" pitchFamily="18" charset="2"/>
            <a:buChar char=""/>
          </a:pPr>
          <a:r>
            <a:rPr lang="es-ES" sz="800">
              <a:latin typeface="Book Antiqua" panose="02040602050305030304" pitchFamily="18" charset="0"/>
            </a:rPr>
            <a:t>De aprobar el escenario B la cuantía sería de aproximadamente </a:t>
          </a:r>
          <a:r>
            <a:rPr lang="es-CR" sz="800">
              <a:latin typeface="Book Antiqua" panose="02040602050305030304" pitchFamily="18" charset="0"/>
            </a:rPr>
            <a:t>¢4 400 000  e implicaría </a:t>
          </a:r>
          <a:r>
            <a:rPr lang="es-ES" sz="800">
              <a:latin typeface="Book Antiqua" panose="02040602050305030304" pitchFamily="18" charset="0"/>
            </a:rPr>
            <a:t>una disminución en la entrada de la Sala Segunda en casaciones civiles estimables de 0,33 recursos al año (tabla 76). </a:t>
          </a:r>
        </a:p>
        <a:p>
          <a:pPr algn="just">
            <a:buFont typeface="Symbol" panose="05050102010706020507" pitchFamily="18" charset="2"/>
            <a:buChar char=""/>
          </a:pPr>
          <a:r>
            <a:rPr lang="es-ES" sz="800">
              <a:latin typeface="Book Antiqua" panose="02040602050305030304" pitchFamily="18" charset="0"/>
            </a:rPr>
            <a:t>También perdería competencia en casaciones concursales por las causales dispuestas en los incisos, 17,23 y 26 del artículo 57 de la Ley Concursal y artículo 58 de esa misma norma. </a:t>
          </a:r>
          <a:endParaRPr lang="es-CR" sz="800">
            <a:latin typeface="Book Antiqua" panose="02040602050305030304" pitchFamily="18" charset="0"/>
          </a:endParaRPr>
        </a:p>
      </dgm:t>
    </dgm:pt>
    <dgm:pt modelId="{FA99CBD6-2253-4769-916E-AEE0C06FF9EE}" type="parTrans" cxnId="{2EF48072-0333-4CB4-9183-1092F35846E5}">
      <dgm:prSet/>
      <dgm:spPr/>
      <dgm:t>
        <a:bodyPr/>
        <a:lstStyle/>
        <a:p>
          <a:pPr algn="ctr"/>
          <a:endParaRPr lang="es-CR" sz="800">
            <a:solidFill>
              <a:sysClr val="windowText" lastClr="000000"/>
            </a:solidFill>
            <a:latin typeface="Book Antiqua" panose="02040602050305030304" pitchFamily="18" charset="0"/>
          </a:endParaRPr>
        </a:p>
      </dgm:t>
    </dgm:pt>
    <dgm:pt modelId="{BD0F3634-73DD-40D1-A9F2-1305093E0B0B}" type="sibTrans" cxnId="{2EF48072-0333-4CB4-9183-1092F35846E5}">
      <dgm:prSet/>
      <dgm:spPr/>
      <dgm:t>
        <a:bodyPr/>
        <a:lstStyle/>
        <a:p>
          <a:pPr algn="ctr"/>
          <a:endParaRPr lang="es-CR" sz="800">
            <a:solidFill>
              <a:sysClr val="windowText" lastClr="000000"/>
            </a:solidFill>
            <a:latin typeface="Book Antiqua" panose="02040602050305030304" pitchFamily="18" charset="0"/>
          </a:endParaRPr>
        </a:p>
      </dgm:t>
    </dgm:pt>
    <dgm:pt modelId="{C8CAA60A-A7C4-46DC-8BC0-1FF32A30C856}">
      <dgm:prSet phldrT="[Texto]" custT="1">
        <dgm:style>
          <a:lnRef idx="2">
            <a:schemeClr val="accent2"/>
          </a:lnRef>
          <a:fillRef idx="1">
            <a:schemeClr val="lt1"/>
          </a:fillRef>
          <a:effectRef idx="0">
            <a:schemeClr val="accent2"/>
          </a:effectRef>
          <a:fontRef idx="minor">
            <a:schemeClr val="dk1"/>
          </a:fontRef>
        </dgm:style>
      </dgm:prSet>
      <dgm:spPr/>
      <dgm:t>
        <a:bodyPr/>
        <a:lstStyle/>
        <a:p>
          <a:pPr algn="just">
            <a:buFont typeface="Symbol" panose="05050102010706020507" pitchFamily="18" charset="2"/>
            <a:buChar char=""/>
          </a:pPr>
          <a:r>
            <a:rPr lang="es-CR" sz="800">
              <a:latin typeface="Book Antiqua" panose="02040602050305030304" pitchFamily="18" charset="0"/>
            </a:rPr>
            <a:t>De aprobar el escenario C </a:t>
          </a:r>
          <a:r>
            <a:rPr lang="es-ES" sz="800">
              <a:latin typeface="Book Antiqua" panose="02040602050305030304" pitchFamily="18" charset="0"/>
            </a:rPr>
            <a:t>la cuantía se mantiene.</a:t>
          </a:r>
          <a:endParaRPr lang="es-CR" sz="800">
            <a:latin typeface="Book Antiqua" panose="02040602050305030304" pitchFamily="18" charset="0"/>
          </a:endParaRPr>
        </a:p>
      </dgm:t>
    </dgm:pt>
    <dgm:pt modelId="{00EF6086-9688-4C99-B78E-4B054EC2BEAB}" type="parTrans" cxnId="{2123C582-5C6E-4D9B-8B3A-01997F4DEDBE}">
      <dgm:prSet/>
      <dgm:spPr/>
      <dgm:t>
        <a:bodyPr/>
        <a:lstStyle/>
        <a:p>
          <a:pPr algn="ctr"/>
          <a:endParaRPr lang="es-CR" sz="800">
            <a:solidFill>
              <a:sysClr val="windowText" lastClr="000000"/>
            </a:solidFill>
            <a:latin typeface="Book Antiqua" panose="02040602050305030304" pitchFamily="18" charset="0"/>
          </a:endParaRPr>
        </a:p>
      </dgm:t>
    </dgm:pt>
    <dgm:pt modelId="{2D1C987F-3BB1-4458-A33E-58898B6C736C}" type="sibTrans" cxnId="{2123C582-5C6E-4D9B-8B3A-01997F4DEDBE}">
      <dgm:prSet/>
      <dgm:spPr/>
      <dgm:t>
        <a:bodyPr/>
        <a:lstStyle/>
        <a:p>
          <a:pPr algn="ctr"/>
          <a:endParaRPr lang="es-CR" sz="800">
            <a:solidFill>
              <a:sysClr val="windowText" lastClr="000000"/>
            </a:solidFill>
            <a:latin typeface="Book Antiqua" panose="02040602050305030304" pitchFamily="18" charset="0"/>
          </a:endParaRPr>
        </a:p>
      </dgm:t>
    </dgm:pt>
    <dgm:pt modelId="{663D51B8-685D-4FEA-9213-14169753783A}">
      <dgm:prSet phldrT="[Texto]" custT="1">
        <dgm:style>
          <a:lnRef idx="2">
            <a:schemeClr val="accent3"/>
          </a:lnRef>
          <a:fillRef idx="1">
            <a:schemeClr val="lt1"/>
          </a:fillRef>
          <a:effectRef idx="0">
            <a:schemeClr val="accent3"/>
          </a:effectRef>
          <a:fontRef idx="minor">
            <a:schemeClr val="dk1"/>
          </a:fontRef>
        </dgm:style>
      </dgm:prSet>
      <dgm:spPr/>
      <dgm:t>
        <a:bodyPr/>
        <a:lstStyle/>
        <a:p>
          <a:pPr algn="just"/>
          <a:r>
            <a:rPr lang="es-CR" sz="800">
              <a:latin typeface="Book Antiqua" panose="02040602050305030304" pitchFamily="18" charset="0"/>
            </a:rPr>
            <a:t>De aprobar el escenario D, </a:t>
          </a:r>
          <a:r>
            <a:rPr lang="es-ES" sz="800">
              <a:latin typeface="Book Antiqua" panose="02040602050305030304" pitchFamily="18" charset="0"/>
            </a:rPr>
            <a:t>provocaría una disminución en la entrada de la Sala Segunda en casaciones Civiles. Y en casaciones concursales por las causales dispuestas en los incisos, 17,23 y 26 del artículo 57 de la Ley Concursal y artículo 58 de esa misma norma. proporcional al rango que apruebe la Corte Plena.</a:t>
          </a:r>
          <a:endParaRPr lang="es-CR" sz="800">
            <a:latin typeface="Book Antiqua" panose="02040602050305030304" pitchFamily="18" charset="0"/>
          </a:endParaRPr>
        </a:p>
      </dgm:t>
    </dgm:pt>
    <dgm:pt modelId="{8AC6C4B1-63DD-4505-ADC1-A24B1B7D9F14}" type="parTrans" cxnId="{BF1B2950-8F47-4342-ADA3-4408F888A739}">
      <dgm:prSet/>
      <dgm:spPr/>
      <dgm:t>
        <a:bodyPr/>
        <a:lstStyle/>
        <a:p>
          <a:pPr algn="ctr"/>
          <a:endParaRPr lang="es-CR" sz="800">
            <a:solidFill>
              <a:sysClr val="windowText" lastClr="000000"/>
            </a:solidFill>
            <a:latin typeface="Book Antiqua" panose="02040602050305030304" pitchFamily="18" charset="0"/>
          </a:endParaRPr>
        </a:p>
      </dgm:t>
    </dgm:pt>
    <dgm:pt modelId="{E96611FC-479B-407F-B4D8-9D9650C1A4B1}" type="sibTrans" cxnId="{BF1B2950-8F47-4342-ADA3-4408F888A739}">
      <dgm:prSet/>
      <dgm:spPr/>
      <dgm:t>
        <a:bodyPr/>
        <a:lstStyle/>
        <a:p>
          <a:pPr algn="ctr"/>
          <a:endParaRPr lang="es-CR" sz="800">
            <a:solidFill>
              <a:sysClr val="windowText" lastClr="000000"/>
            </a:solidFill>
            <a:latin typeface="Book Antiqua" panose="02040602050305030304" pitchFamily="18" charset="0"/>
          </a:endParaRPr>
        </a:p>
      </dgm:t>
    </dgm:pt>
    <dgm:pt modelId="{EA749A34-AD6B-4EF2-9F38-9A9AE1C1B777}" type="pres">
      <dgm:prSet presAssocID="{14148C21-4D47-4D9A-844C-AD225EB9442D}" presName="diagram" presStyleCnt="0">
        <dgm:presLayoutVars>
          <dgm:dir/>
          <dgm:resizeHandles val="exact"/>
        </dgm:presLayoutVars>
      </dgm:prSet>
      <dgm:spPr/>
    </dgm:pt>
    <dgm:pt modelId="{25EAE840-C618-4AF4-BA04-0B52DAEACCE7}" type="pres">
      <dgm:prSet presAssocID="{FB81DF03-16FD-44D1-ABAB-CEBFB3D38A56}" presName="node" presStyleLbl="node1" presStyleIdx="0" presStyleCnt="4" custLinFactNeighborX="2096" custLinFactNeighborY="1497">
        <dgm:presLayoutVars>
          <dgm:bulletEnabled val="1"/>
        </dgm:presLayoutVars>
      </dgm:prSet>
      <dgm:spPr/>
    </dgm:pt>
    <dgm:pt modelId="{CEB7603E-8C76-43FC-B92C-F9EB79D12094}" type="pres">
      <dgm:prSet presAssocID="{61AB47CE-E1AC-4D91-A112-FDF743FC6F74}" presName="sibTrans" presStyleCnt="0"/>
      <dgm:spPr/>
    </dgm:pt>
    <dgm:pt modelId="{52C007DC-DD75-446B-8AB1-74FECCBF5947}" type="pres">
      <dgm:prSet presAssocID="{F36F7B30-5173-4E24-9050-2A8801D24C82}" presName="node" presStyleLbl="node1" presStyleIdx="1" presStyleCnt="4">
        <dgm:presLayoutVars>
          <dgm:bulletEnabled val="1"/>
        </dgm:presLayoutVars>
      </dgm:prSet>
      <dgm:spPr/>
    </dgm:pt>
    <dgm:pt modelId="{F8D75EB1-8CE5-40BF-BFF5-E647758FE25E}" type="pres">
      <dgm:prSet presAssocID="{BD0F3634-73DD-40D1-A9F2-1305093E0B0B}" presName="sibTrans" presStyleCnt="0"/>
      <dgm:spPr/>
    </dgm:pt>
    <dgm:pt modelId="{5CE2F730-F86A-4EEF-87A5-14358862B198}" type="pres">
      <dgm:prSet presAssocID="{C8CAA60A-A7C4-46DC-8BC0-1FF32A30C856}" presName="node" presStyleLbl="node1" presStyleIdx="2" presStyleCnt="4">
        <dgm:presLayoutVars>
          <dgm:bulletEnabled val="1"/>
        </dgm:presLayoutVars>
      </dgm:prSet>
      <dgm:spPr/>
    </dgm:pt>
    <dgm:pt modelId="{6B882F21-1A51-4D4E-9E46-63183292B4A9}" type="pres">
      <dgm:prSet presAssocID="{2D1C987F-3BB1-4458-A33E-58898B6C736C}" presName="sibTrans" presStyleCnt="0"/>
      <dgm:spPr/>
    </dgm:pt>
    <dgm:pt modelId="{E54E8391-1A7C-44CB-8696-27DC22016C49}" type="pres">
      <dgm:prSet presAssocID="{663D51B8-685D-4FEA-9213-14169753783A}" presName="node" presStyleLbl="node1" presStyleIdx="3" presStyleCnt="4">
        <dgm:presLayoutVars>
          <dgm:bulletEnabled val="1"/>
        </dgm:presLayoutVars>
      </dgm:prSet>
      <dgm:spPr/>
    </dgm:pt>
  </dgm:ptLst>
  <dgm:cxnLst>
    <dgm:cxn modelId="{06A9F302-74C8-4CB8-A2A0-01DC1C99337E}" type="presOf" srcId="{C8CAA60A-A7C4-46DC-8BC0-1FF32A30C856}" destId="{5CE2F730-F86A-4EEF-87A5-14358862B198}" srcOrd="0" destOrd="0" presId="urn:microsoft.com/office/officeart/2005/8/layout/default"/>
    <dgm:cxn modelId="{3EDC1E48-486D-46E8-B77E-183492DD9BC7}" type="presOf" srcId="{F36F7B30-5173-4E24-9050-2A8801D24C82}" destId="{52C007DC-DD75-446B-8AB1-74FECCBF5947}" srcOrd="0" destOrd="0" presId="urn:microsoft.com/office/officeart/2005/8/layout/default"/>
    <dgm:cxn modelId="{BF1B2950-8F47-4342-ADA3-4408F888A739}" srcId="{14148C21-4D47-4D9A-844C-AD225EB9442D}" destId="{663D51B8-685D-4FEA-9213-14169753783A}" srcOrd="3" destOrd="0" parTransId="{8AC6C4B1-63DD-4505-ADC1-A24B1B7D9F14}" sibTransId="{E96611FC-479B-407F-B4D8-9D9650C1A4B1}"/>
    <dgm:cxn modelId="{2EF48072-0333-4CB4-9183-1092F35846E5}" srcId="{14148C21-4D47-4D9A-844C-AD225EB9442D}" destId="{F36F7B30-5173-4E24-9050-2A8801D24C82}" srcOrd="1" destOrd="0" parTransId="{FA99CBD6-2253-4769-916E-AEE0C06FF9EE}" sibTransId="{BD0F3634-73DD-40D1-A9F2-1305093E0B0B}"/>
    <dgm:cxn modelId="{2123C582-5C6E-4D9B-8B3A-01997F4DEDBE}" srcId="{14148C21-4D47-4D9A-844C-AD225EB9442D}" destId="{C8CAA60A-A7C4-46DC-8BC0-1FF32A30C856}" srcOrd="2" destOrd="0" parTransId="{00EF6086-9688-4C99-B78E-4B054EC2BEAB}" sibTransId="{2D1C987F-3BB1-4458-A33E-58898B6C736C}"/>
    <dgm:cxn modelId="{03DC9AAB-1FD2-47B6-B532-2654D131B2CF}" type="presOf" srcId="{663D51B8-685D-4FEA-9213-14169753783A}" destId="{E54E8391-1A7C-44CB-8696-27DC22016C49}" srcOrd="0" destOrd="0" presId="urn:microsoft.com/office/officeart/2005/8/layout/default"/>
    <dgm:cxn modelId="{62E94CAD-5764-4664-B7AD-0797B7A44F23}" srcId="{14148C21-4D47-4D9A-844C-AD225EB9442D}" destId="{FB81DF03-16FD-44D1-ABAB-CEBFB3D38A56}" srcOrd="0" destOrd="0" parTransId="{1D20566D-5B15-495F-AC22-55B5BFC97324}" sibTransId="{61AB47CE-E1AC-4D91-A112-FDF743FC6F74}"/>
    <dgm:cxn modelId="{103582B0-A7ED-44E4-A466-C6F6399D6CBB}" type="presOf" srcId="{FB81DF03-16FD-44D1-ABAB-CEBFB3D38A56}" destId="{25EAE840-C618-4AF4-BA04-0B52DAEACCE7}" srcOrd="0" destOrd="0" presId="urn:microsoft.com/office/officeart/2005/8/layout/default"/>
    <dgm:cxn modelId="{22D341BB-B18E-4E1F-B0B4-5072EA43D277}" type="presOf" srcId="{14148C21-4D47-4D9A-844C-AD225EB9442D}" destId="{EA749A34-AD6B-4EF2-9F38-9A9AE1C1B777}" srcOrd="0" destOrd="0" presId="urn:microsoft.com/office/officeart/2005/8/layout/default"/>
    <dgm:cxn modelId="{65BB753B-C86A-431E-A109-02E88C559F81}" type="presParOf" srcId="{EA749A34-AD6B-4EF2-9F38-9A9AE1C1B777}" destId="{25EAE840-C618-4AF4-BA04-0B52DAEACCE7}" srcOrd="0" destOrd="0" presId="urn:microsoft.com/office/officeart/2005/8/layout/default"/>
    <dgm:cxn modelId="{F2906FD2-A477-42C2-B66C-CB7567FD812D}" type="presParOf" srcId="{EA749A34-AD6B-4EF2-9F38-9A9AE1C1B777}" destId="{CEB7603E-8C76-43FC-B92C-F9EB79D12094}" srcOrd="1" destOrd="0" presId="urn:microsoft.com/office/officeart/2005/8/layout/default"/>
    <dgm:cxn modelId="{09D93325-A90D-4C43-8669-4D6D5D8B7EA7}" type="presParOf" srcId="{EA749A34-AD6B-4EF2-9F38-9A9AE1C1B777}" destId="{52C007DC-DD75-446B-8AB1-74FECCBF5947}" srcOrd="2" destOrd="0" presId="urn:microsoft.com/office/officeart/2005/8/layout/default"/>
    <dgm:cxn modelId="{7A388CF9-9B62-493C-8804-66E7B3A432A6}" type="presParOf" srcId="{EA749A34-AD6B-4EF2-9F38-9A9AE1C1B777}" destId="{F8D75EB1-8CE5-40BF-BFF5-E647758FE25E}" srcOrd="3" destOrd="0" presId="urn:microsoft.com/office/officeart/2005/8/layout/default"/>
    <dgm:cxn modelId="{9B651F33-25E8-4C1B-A89F-D9CABCF79309}" type="presParOf" srcId="{EA749A34-AD6B-4EF2-9F38-9A9AE1C1B777}" destId="{5CE2F730-F86A-4EEF-87A5-14358862B198}" srcOrd="4" destOrd="0" presId="urn:microsoft.com/office/officeart/2005/8/layout/default"/>
    <dgm:cxn modelId="{A8B8F32F-5066-4E27-9898-7C7E04D4FEA1}" type="presParOf" srcId="{EA749A34-AD6B-4EF2-9F38-9A9AE1C1B777}" destId="{6B882F21-1A51-4D4E-9E46-63183292B4A9}" srcOrd="5" destOrd="0" presId="urn:microsoft.com/office/officeart/2005/8/layout/default"/>
    <dgm:cxn modelId="{D7EF8026-E8A0-48D8-9E50-8601A6A596E3}" type="presParOf" srcId="{EA749A34-AD6B-4EF2-9F38-9A9AE1C1B777}" destId="{E54E8391-1A7C-44CB-8696-27DC22016C49}" srcOrd="6" destOrd="0" presId="urn:microsoft.com/office/officeart/2005/8/layout/default"/>
  </dgm:cxnLst>
  <dgm:bg/>
  <dgm:whole/>
  <dgm:extLst>
    <a:ext uri="http://schemas.microsoft.com/office/drawing/2008/diagram">
      <dsp:dataModelExt xmlns:dsp="http://schemas.microsoft.com/office/drawing/2008/diagram" relId="rId5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5EAE840-C618-4AF4-BA04-0B52DAEACCE7}">
      <dsp:nvSpPr>
        <dsp:cNvPr id="0" name=""/>
        <dsp:cNvSpPr/>
      </dsp:nvSpPr>
      <dsp:spPr>
        <a:xfrm>
          <a:off x="50074" y="1062"/>
          <a:ext cx="2369846" cy="1421907"/>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marL="0" lvl="0" indent="0" algn="just" defTabSz="311150">
            <a:lnSpc>
              <a:spcPct val="90000"/>
            </a:lnSpc>
            <a:spcBef>
              <a:spcPct val="0"/>
            </a:spcBef>
            <a:spcAft>
              <a:spcPct val="35000"/>
            </a:spcAft>
            <a:buFont typeface="Symbol" panose="05050102010706020507" pitchFamily="18" charset="2"/>
            <a:buNone/>
          </a:pPr>
          <a:r>
            <a:rPr lang="es-ES" sz="700" kern="1200">
              <a:latin typeface="Book Antiqua" panose="02040602050305030304" pitchFamily="18" charset="0"/>
            </a:rPr>
            <a:t>De aprobar el escenario A.1 la cuantía fijada por Corte Plena</a:t>
          </a:r>
          <a:r>
            <a:rPr lang="es-CR" sz="700" kern="1200">
              <a:latin typeface="Book Antiqua" panose="02040602050305030304" pitchFamily="18" charset="0"/>
            </a:rPr>
            <a:t> distribuiría competencias entre juzgados y Tribunales y reduciría la entrada en la Sala Primera. De aprobarse el A.2 (cuantía diferenciadas) se reduciría la entrada en la Sala solamente</a:t>
          </a:r>
          <a:r>
            <a:rPr lang="es-ES" sz="700" kern="1200">
              <a:latin typeface="Book Antiqua" panose="02040602050305030304" pitchFamily="18" charset="0"/>
            </a:rPr>
            <a:t>. La reducción proyectada es del 43% de la entrada de la Sala Primera en casaciones civiles estimadas, lo que representa 153 casaciones al año o 14 por mes).</a:t>
          </a:r>
        </a:p>
        <a:p>
          <a:pPr marL="0" lvl="0" indent="0" algn="just" defTabSz="311150">
            <a:lnSpc>
              <a:spcPct val="90000"/>
            </a:lnSpc>
            <a:spcBef>
              <a:spcPct val="0"/>
            </a:spcBef>
            <a:spcAft>
              <a:spcPct val="35000"/>
            </a:spcAft>
            <a:buFont typeface="Symbol" panose="05050102010706020507" pitchFamily="18" charset="2"/>
            <a:buNone/>
          </a:pPr>
          <a:r>
            <a:rPr lang="es-ES" sz="700" kern="1200">
              <a:latin typeface="Book Antiqua" panose="02040602050305030304" pitchFamily="18" charset="0"/>
            </a:rPr>
            <a:t>La Sala Primera experimentaría una disminución también en la entrada de casaciones agrarias (ya que utlizan el monto de cuantia civil para fijar el acceso al recurso de casación en esa materia), de elevarse a 20 millones de colones la cuantía, la reducción en la entrada de casaciones agrarias sería de 9 recursos al año. </a:t>
          </a:r>
          <a:endParaRPr lang="es-CR" sz="700" kern="1200">
            <a:latin typeface="Book Antiqua" panose="02040602050305030304" pitchFamily="18" charset="0"/>
          </a:endParaRPr>
        </a:p>
      </dsp:txBody>
      <dsp:txXfrm>
        <a:off x="50074" y="1062"/>
        <a:ext cx="2369846" cy="1421907"/>
      </dsp:txXfrm>
    </dsp:sp>
    <dsp:sp modelId="{52C007DC-DD75-446B-8AB1-74FECCBF5947}">
      <dsp:nvSpPr>
        <dsp:cNvPr id="0" name=""/>
        <dsp:cNvSpPr/>
      </dsp:nvSpPr>
      <dsp:spPr>
        <a:xfrm>
          <a:off x="2656904" y="1062"/>
          <a:ext cx="2369846" cy="1421907"/>
        </a:xfrm>
        <a:prstGeom prst="rect">
          <a:avLst/>
        </a:prstGeom>
        <a:solidFill>
          <a:schemeClr val="lt1"/>
        </a:solidFill>
        <a:ln w="12700" cap="flat" cmpd="sng" algn="ctr">
          <a:solidFill>
            <a:schemeClr val="accent6"/>
          </a:solidFill>
          <a:prstDash val="solid"/>
          <a:miter lim="800000"/>
        </a:ln>
        <a:effectLst/>
      </dsp:spPr>
      <dsp:style>
        <a:lnRef idx="2">
          <a:schemeClr val="accent6"/>
        </a:lnRef>
        <a:fillRef idx="1">
          <a:schemeClr val="lt1"/>
        </a:fillRef>
        <a:effectRef idx="0">
          <a:schemeClr val="accent6"/>
        </a:effectRef>
        <a:fontRef idx="minor">
          <a:schemeClr val="dk1"/>
        </a:fontRef>
      </dsp:style>
      <dsp:txBody>
        <a:bodyPr spcFirstLastPara="0" vert="horz" wrap="square" lIns="26670" tIns="26670" rIns="26670" bIns="26670" numCol="1" spcCol="1270" anchor="ctr" anchorCtr="0">
          <a:noAutofit/>
        </a:bodyPr>
        <a:lstStyle/>
        <a:p>
          <a:pPr marL="0" lvl="0" indent="0" algn="just" defTabSz="311150">
            <a:lnSpc>
              <a:spcPct val="90000"/>
            </a:lnSpc>
            <a:spcBef>
              <a:spcPct val="0"/>
            </a:spcBef>
            <a:spcAft>
              <a:spcPct val="35000"/>
            </a:spcAft>
            <a:buFont typeface="Symbol" panose="05050102010706020507" pitchFamily="18" charset="2"/>
            <a:buNone/>
          </a:pPr>
          <a:r>
            <a:rPr lang="es-ES" sz="700" kern="1200">
              <a:latin typeface="Book Antiqua" panose="02040602050305030304" pitchFamily="18" charset="0"/>
            </a:rPr>
            <a:t>De aprobar el escenario B la cuantía sería de aproximadamente </a:t>
          </a:r>
          <a:r>
            <a:rPr lang="es-CR" sz="700" kern="1200">
              <a:latin typeface="Book Antiqua" panose="02040602050305030304" pitchFamily="18" charset="0"/>
            </a:rPr>
            <a:t>¢4 400 000,  implicaría una reducción en la entrada de la Sala Primera de un 12%, 21 casaciones civiles al año o 2 por mes en promedio (tabla 67).</a:t>
          </a:r>
        </a:p>
        <a:p>
          <a:pPr marL="0" lvl="0" indent="0" algn="just" defTabSz="311150">
            <a:lnSpc>
              <a:spcPct val="90000"/>
            </a:lnSpc>
            <a:spcBef>
              <a:spcPct val="0"/>
            </a:spcBef>
            <a:spcAft>
              <a:spcPct val="35000"/>
            </a:spcAft>
            <a:buFont typeface="Symbol" panose="05050102010706020507" pitchFamily="18" charset="2"/>
            <a:buNone/>
          </a:pPr>
          <a:r>
            <a:rPr lang="es-ES" sz="700" kern="1200">
              <a:latin typeface="Book Antiqua" panose="02040602050305030304" pitchFamily="18" charset="0"/>
            </a:rPr>
            <a:t>La Sala Primera experimentaría una disminución también en la entrada de casaciones agrarias (ya que utlizan el monto de cuantia civil para fijar el acceso al recurso de casación en esa materia), de elevarse a 5 millones de colones la cuantía, la reducción en la entrada de casaciones agrarias sería de 6 recursos al año. </a:t>
          </a:r>
          <a:endParaRPr lang="es-CR" sz="700" kern="1200">
            <a:latin typeface="Book Antiqua" panose="02040602050305030304" pitchFamily="18" charset="0"/>
          </a:endParaRPr>
        </a:p>
      </dsp:txBody>
      <dsp:txXfrm>
        <a:off x="2656904" y="1062"/>
        <a:ext cx="2369846" cy="1421907"/>
      </dsp:txXfrm>
    </dsp:sp>
    <dsp:sp modelId="{5CE2F730-F86A-4EEF-87A5-14358862B198}">
      <dsp:nvSpPr>
        <dsp:cNvPr id="0" name=""/>
        <dsp:cNvSpPr/>
      </dsp:nvSpPr>
      <dsp:spPr>
        <a:xfrm>
          <a:off x="50074" y="1659954"/>
          <a:ext cx="2369846" cy="1421907"/>
        </a:xfrm>
        <a:prstGeom prst="rect">
          <a:avLst/>
        </a:prstGeom>
        <a:solidFill>
          <a:schemeClr val="lt1"/>
        </a:solidFill>
        <a:ln w="12700" cap="flat" cmpd="sng" algn="ctr">
          <a:solidFill>
            <a:schemeClr val="accent2"/>
          </a:solidFill>
          <a:prstDash val="solid"/>
          <a:miter lim="800000"/>
        </a:ln>
        <a:effectLst/>
      </dsp:spPr>
      <dsp:style>
        <a:lnRef idx="2">
          <a:schemeClr val="accent2"/>
        </a:lnRef>
        <a:fillRef idx="1">
          <a:schemeClr val="lt1"/>
        </a:fillRef>
        <a:effectRef idx="0">
          <a:schemeClr val="accent2"/>
        </a:effectRef>
        <a:fontRef idx="minor">
          <a:schemeClr val="dk1"/>
        </a:fontRef>
      </dsp:style>
      <dsp:txBody>
        <a:bodyPr spcFirstLastPara="0" vert="horz" wrap="square" lIns="26670" tIns="26670" rIns="26670" bIns="26670" numCol="1" spcCol="1270" anchor="ctr" anchorCtr="0">
          <a:noAutofit/>
        </a:bodyPr>
        <a:lstStyle/>
        <a:p>
          <a:pPr marL="0" lvl="0" indent="0" algn="just" defTabSz="311150">
            <a:lnSpc>
              <a:spcPct val="90000"/>
            </a:lnSpc>
            <a:spcBef>
              <a:spcPct val="0"/>
            </a:spcBef>
            <a:spcAft>
              <a:spcPct val="35000"/>
            </a:spcAft>
            <a:buFont typeface="Symbol" panose="05050102010706020507" pitchFamily="18" charset="2"/>
            <a:buNone/>
          </a:pPr>
          <a:r>
            <a:rPr lang="es-CR" sz="700" kern="1200">
              <a:latin typeface="Book Antiqua" panose="02040602050305030304" pitchFamily="18" charset="0"/>
            </a:rPr>
            <a:t>De aprobar el escenario C </a:t>
          </a:r>
          <a:r>
            <a:rPr lang="es-ES" sz="700" kern="1200">
              <a:latin typeface="Book Antiqua" panose="02040602050305030304" pitchFamily="18" charset="0"/>
            </a:rPr>
            <a:t>la cuantía actual se mantiene. </a:t>
          </a:r>
          <a:endParaRPr lang="es-CR" sz="700" kern="1200">
            <a:latin typeface="Book Antiqua" panose="02040602050305030304" pitchFamily="18" charset="0"/>
          </a:endParaRPr>
        </a:p>
      </dsp:txBody>
      <dsp:txXfrm>
        <a:off x="50074" y="1659954"/>
        <a:ext cx="2369846" cy="1421907"/>
      </dsp:txXfrm>
    </dsp:sp>
    <dsp:sp modelId="{E54E8391-1A7C-44CB-8696-27DC22016C49}">
      <dsp:nvSpPr>
        <dsp:cNvPr id="0" name=""/>
        <dsp:cNvSpPr/>
      </dsp:nvSpPr>
      <dsp:spPr>
        <a:xfrm>
          <a:off x="2656904" y="1659954"/>
          <a:ext cx="2369846" cy="1421907"/>
        </a:xfrm>
        <a:prstGeom prst="rect">
          <a:avLst/>
        </a:prstGeom>
        <a:solidFill>
          <a:schemeClr val="lt1"/>
        </a:solidFill>
        <a:ln w="12700" cap="flat" cmpd="sng" algn="ctr">
          <a:solidFill>
            <a:schemeClr val="accent3"/>
          </a:solidFill>
          <a:prstDash val="solid"/>
          <a:miter lim="800000"/>
        </a:ln>
        <a:effectLst/>
      </dsp:spPr>
      <dsp:style>
        <a:lnRef idx="2">
          <a:schemeClr val="accent3"/>
        </a:lnRef>
        <a:fillRef idx="1">
          <a:schemeClr val="lt1"/>
        </a:fillRef>
        <a:effectRef idx="0">
          <a:schemeClr val="accent3"/>
        </a:effectRef>
        <a:fontRef idx="minor">
          <a:schemeClr val="dk1"/>
        </a:fontRef>
      </dsp:style>
      <dsp:txBody>
        <a:bodyPr spcFirstLastPara="0" vert="horz" wrap="square" lIns="26670" tIns="26670" rIns="26670" bIns="26670" numCol="1" spcCol="1270" anchor="ctr" anchorCtr="0">
          <a:noAutofit/>
        </a:bodyPr>
        <a:lstStyle/>
        <a:p>
          <a:pPr marL="0" lvl="0" indent="0" algn="just" defTabSz="311150">
            <a:lnSpc>
              <a:spcPct val="90000"/>
            </a:lnSpc>
            <a:spcBef>
              <a:spcPct val="0"/>
            </a:spcBef>
            <a:spcAft>
              <a:spcPct val="35000"/>
            </a:spcAft>
            <a:buNone/>
          </a:pPr>
          <a:r>
            <a:rPr lang="es-CR" sz="700" kern="1200">
              <a:latin typeface="Book Antiqua" panose="02040602050305030304" pitchFamily="18" charset="0"/>
            </a:rPr>
            <a:t>De aprobar el escenario D, según el rango fijado esa sería la disminución, podría ir desde un 6% en adelante según el rango que determine la Corte Plena (según tabla 67).</a:t>
          </a:r>
        </a:p>
        <a:p>
          <a:pPr marL="0" lvl="0" indent="0" algn="just" defTabSz="311150">
            <a:lnSpc>
              <a:spcPct val="90000"/>
            </a:lnSpc>
            <a:spcBef>
              <a:spcPct val="0"/>
            </a:spcBef>
            <a:spcAft>
              <a:spcPct val="35000"/>
            </a:spcAft>
            <a:buNone/>
          </a:pPr>
          <a:r>
            <a:rPr lang="es-ES" sz="700" kern="1200">
              <a:latin typeface="Book Antiqua" panose="02040602050305030304" pitchFamily="18" charset="0"/>
            </a:rPr>
            <a:t>La Sala Primera experimentaría una disminución también en la entrada de casaciones agrarias (ya que utlizan el monto de cuantia civil para fijar el acceso al recurso de casación en esa materia). </a:t>
          </a:r>
          <a:r>
            <a:rPr lang="es-CR" sz="700" kern="1200">
              <a:latin typeface="Book Antiqua" panose="02040602050305030304" pitchFamily="18" charset="0"/>
            </a:rPr>
            <a:t> </a:t>
          </a:r>
        </a:p>
      </dsp:txBody>
      <dsp:txXfrm>
        <a:off x="2656904" y="1659954"/>
        <a:ext cx="2369846" cy="1421907"/>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5EAE840-C618-4AF4-BA04-0B52DAEACCE7}">
      <dsp:nvSpPr>
        <dsp:cNvPr id="0" name=""/>
        <dsp:cNvSpPr/>
      </dsp:nvSpPr>
      <dsp:spPr>
        <a:xfrm>
          <a:off x="129570" y="1228"/>
          <a:ext cx="2320744" cy="1392446"/>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marL="0" lvl="0" indent="0" algn="just" defTabSz="311150">
            <a:lnSpc>
              <a:spcPct val="90000"/>
            </a:lnSpc>
            <a:spcBef>
              <a:spcPct val="0"/>
            </a:spcBef>
            <a:spcAft>
              <a:spcPct val="35000"/>
            </a:spcAft>
            <a:buFont typeface="Symbol" panose="05050102010706020507" pitchFamily="18" charset="2"/>
            <a:buNone/>
          </a:pPr>
          <a:r>
            <a:rPr lang="es-ES" sz="700" kern="1200">
              <a:latin typeface="Book Antiqua" panose="02040602050305030304" pitchFamily="18" charset="0"/>
            </a:rPr>
            <a:t>De aprobar el escenario A.1 una porción asuntos dejaría de entrar a los Tribunales Colegiados e ingresaría a los Juzgados. En caso de que se fije en </a:t>
          </a:r>
          <a:r>
            <a:rPr lang="es-CR" sz="700" kern="1200">
              <a:latin typeface="Book Antiqua" panose="02040602050305030304" pitchFamily="18" charset="0"/>
            </a:rPr>
            <a:t>¢20 000 </a:t>
          </a:r>
          <a:r>
            <a:rPr lang="es-ES" sz="700" kern="1200">
              <a:latin typeface="Book Antiqua" panose="02040602050305030304" pitchFamily="18" charset="0"/>
            </a:rPr>
            <a:t>el incremento en los Juzgados sería del 4% al 6% en cada uno (se distribuirían aproximadamente 506,7 ordinarios entre los juzgados civiles a nivel nacionaltabla 49). Según competencia territorial, el ingreso se vería aumentado entre 4 y 54 ordinarios al año por juzgado.</a:t>
          </a:r>
        </a:p>
        <a:p>
          <a:pPr marL="0" lvl="0" indent="0" algn="just" defTabSz="311150">
            <a:lnSpc>
              <a:spcPct val="90000"/>
            </a:lnSpc>
            <a:spcBef>
              <a:spcPct val="0"/>
            </a:spcBef>
            <a:spcAft>
              <a:spcPct val="35000"/>
            </a:spcAft>
            <a:buFont typeface="Symbol" panose="05050102010706020507" pitchFamily="18" charset="2"/>
            <a:buNone/>
          </a:pPr>
          <a:r>
            <a:rPr lang="es-ES" sz="700" kern="1200">
              <a:latin typeface="Book Antiqua" panose="02040602050305030304" pitchFamily="18" charset="0"/>
            </a:rPr>
            <a:t>De aprobar escenario A.2, la entrada se mantiene igual a la actualidad en los Juzgados Civiles de Primera.</a:t>
          </a:r>
          <a:endParaRPr lang="es-CR" sz="700" kern="1200">
            <a:latin typeface="Book Antiqua" panose="02040602050305030304" pitchFamily="18" charset="0"/>
          </a:endParaRPr>
        </a:p>
      </dsp:txBody>
      <dsp:txXfrm>
        <a:off x="129570" y="1228"/>
        <a:ext cx="2320744" cy="1392446"/>
      </dsp:txXfrm>
    </dsp:sp>
    <dsp:sp modelId="{52C007DC-DD75-446B-8AB1-74FECCBF5947}">
      <dsp:nvSpPr>
        <dsp:cNvPr id="0" name=""/>
        <dsp:cNvSpPr/>
      </dsp:nvSpPr>
      <dsp:spPr>
        <a:xfrm>
          <a:off x="2682389" y="1228"/>
          <a:ext cx="2320744" cy="1392446"/>
        </a:xfrm>
        <a:prstGeom prst="rect">
          <a:avLst/>
        </a:prstGeom>
        <a:solidFill>
          <a:schemeClr val="lt1"/>
        </a:solidFill>
        <a:ln w="12700" cap="flat" cmpd="sng" algn="ctr">
          <a:solidFill>
            <a:schemeClr val="accent6"/>
          </a:solidFill>
          <a:prstDash val="solid"/>
          <a:miter lim="800000"/>
        </a:ln>
        <a:effectLst/>
      </dsp:spPr>
      <dsp:style>
        <a:lnRef idx="2">
          <a:schemeClr val="accent6"/>
        </a:lnRef>
        <a:fillRef idx="1">
          <a:schemeClr val="lt1"/>
        </a:fillRef>
        <a:effectRef idx="0">
          <a:schemeClr val="accent6"/>
        </a:effectRef>
        <a:fontRef idx="minor">
          <a:schemeClr val="dk1"/>
        </a:fontRef>
      </dsp:style>
      <dsp:txBody>
        <a:bodyPr spcFirstLastPara="0" vert="horz" wrap="square" lIns="26670" tIns="26670" rIns="26670" bIns="26670" numCol="1" spcCol="1270" anchor="ctr" anchorCtr="0">
          <a:noAutofit/>
        </a:bodyPr>
        <a:lstStyle/>
        <a:p>
          <a:pPr marL="0" lvl="0" indent="0" algn="just" defTabSz="311150">
            <a:lnSpc>
              <a:spcPct val="90000"/>
            </a:lnSpc>
            <a:spcBef>
              <a:spcPct val="0"/>
            </a:spcBef>
            <a:spcAft>
              <a:spcPct val="35000"/>
            </a:spcAft>
            <a:buFont typeface="Symbol" panose="05050102010706020507" pitchFamily="18" charset="2"/>
            <a:buNone/>
          </a:pPr>
          <a:r>
            <a:rPr lang="es-ES" sz="700" kern="1200">
              <a:latin typeface="Book Antiqua" panose="02040602050305030304" pitchFamily="18" charset="0"/>
            </a:rPr>
            <a:t>De aprobar el escenario B la cuantía sería de aproximadamente </a:t>
          </a:r>
          <a:r>
            <a:rPr lang="es-CR" sz="700" kern="1200">
              <a:latin typeface="Book Antiqua" panose="02040602050305030304" pitchFamily="18" charset="0"/>
            </a:rPr>
            <a:t>¢4 400 000. Según la tabla 49, si el límite de cuantía es 20 millones los Tribunales Colegiados pierden un 55% de su entrada y los Juzgados aumentarían la entrada un 4-6% (tablas 50 y 51 de este informe). </a:t>
          </a:r>
        </a:p>
        <a:p>
          <a:pPr marL="0" lvl="0" indent="0" algn="just" defTabSz="311150">
            <a:lnSpc>
              <a:spcPct val="90000"/>
            </a:lnSpc>
            <a:spcBef>
              <a:spcPct val="0"/>
            </a:spcBef>
            <a:spcAft>
              <a:spcPct val="35000"/>
            </a:spcAft>
            <a:buFont typeface="Symbol" panose="05050102010706020507" pitchFamily="18" charset="2"/>
            <a:buNone/>
          </a:pPr>
          <a:r>
            <a:rPr lang="es-CR" sz="700" kern="1200">
              <a:latin typeface="Book Antiqua" panose="02040602050305030304" pitchFamily="18" charset="0"/>
            </a:rPr>
            <a:t>Para el escenario B, según las mismas tablas, si el límite son 4,4 millones, los Tribunales pierden un 20% = 64 ordinarios al año que se distribuirian entre los Juzgados Civiles (tabla 55).</a:t>
          </a:r>
        </a:p>
      </dsp:txBody>
      <dsp:txXfrm>
        <a:off x="2682389" y="1228"/>
        <a:ext cx="2320744" cy="1392446"/>
      </dsp:txXfrm>
    </dsp:sp>
    <dsp:sp modelId="{5CE2F730-F86A-4EEF-87A5-14358862B198}">
      <dsp:nvSpPr>
        <dsp:cNvPr id="0" name=""/>
        <dsp:cNvSpPr/>
      </dsp:nvSpPr>
      <dsp:spPr>
        <a:xfrm>
          <a:off x="129570" y="1625749"/>
          <a:ext cx="2320744" cy="1392446"/>
        </a:xfrm>
        <a:prstGeom prst="rect">
          <a:avLst/>
        </a:prstGeom>
        <a:solidFill>
          <a:schemeClr val="lt1"/>
        </a:solidFill>
        <a:ln w="12700" cap="flat" cmpd="sng" algn="ctr">
          <a:solidFill>
            <a:schemeClr val="accent2"/>
          </a:solidFill>
          <a:prstDash val="solid"/>
          <a:miter lim="800000"/>
        </a:ln>
        <a:effectLst/>
      </dsp:spPr>
      <dsp:style>
        <a:lnRef idx="2">
          <a:schemeClr val="accent2"/>
        </a:lnRef>
        <a:fillRef idx="1">
          <a:schemeClr val="lt1"/>
        </a:fillRef>
        <a:effectRef idx="0">
          <a:schemeClr val="accent2"/>
        </a:effectRef>
        <a:fontRef idx="minor">
          <a:schemeClr val="dk1"/>
        </a:fontRef>
      </dsp:style>
      <dsp:txBody>
        <a:bodyPr spcFirstLastPara="0" vert="horz" wrap="square" lIns="26670" tIns="26670" rIns="26670" bIns="26670" numCol="1" spcCol="1270" anchor="ctr" anchorCtr="0">
          <a:noAutofit/>
        </a:bodyPr>
        <a:lstStyle/>
        <a:p>
          <a:pPr marL="0" lvl="0" indent="0" algn="just" defTabSz="311150">
            <a:lnSpc>
              <a:spcPct val="90000"/>
            </a:lnSpc>
            <a:spcBef>
              <a:spcPct val="0"/>
            </a:spcBef>
            <a:spcAft>
              <a:spcPct val="35000"/>
            </a:spcAft>
            <a:buFont typeface="Symbol" panose="05050102010706020507" pitchFamily="18" charset="2"/>
            <a:buNone/>
          </a:pPr>
          <a:r>
            <a:rPr lang="es-CR" sz="700" kern="1200">
              <a:latin typeface="Book Antiqua" panose="02040602050305030304" pitchFamily="18" charset="0"/>
            </a:rPr>
            <a:t>De aprobar el escenario C </a:t>
          </a:r>
          <a:r>
            <a:rPr lang="es-ES" sz="700" kern="1200">
              <a:latin typeface="Book Antiqua" panose="02040602050305030304" pitchFamily="18" charset="0"/>
            </a:rPr>
            <a:t>la cuantía se mantiene.</a:t>
          </a:r>
          <a:endParaRPr lang="es-CR" sz="700" kern="1200">
            <a:latin typeface="Book Antiqua" panose="02040602050305030304" pitchFamily="18" charset="0"/>
          </a:endParaRPr>
        </a:p>
      </dsp:txBody>
      <dsp:txXfrm>
        <a:off x="129570" y="1625749"/>
        <a:ext cx="2320744" cy="1392446"/>
      </dsp:txXfrm>
    </dsp:sp>
    <dsp:sp modelId="{E54E8391-1A7C-44CB-8696-27DC22016C49}">
      <dsp:nvSpPr>
        <dsp:cNvPr id="0" name=""/>
        <dsp:cNvSpPr/>
      </dsp:nvSpPr>
      <dsp:spPr>
        <a:xfrm>
          <a:off x="2682389" y="1625749"/>
          <a:ext cx="2320744" cy="1392446"/>
        </a:xfrm>
        <a:prstGeom prst="rect">
          <a:avLst/>
        </a:prstGeom>
        <a:solidFill>
          <a:schemeClr val="lt1"/>
        </a:solidFill>
        <a:ln w="12700" cap="flat" cmpd="sng" algn="ctr">
          <a:solidFill>
            <a:schemeClr val="accent3"/>
          </a:solidFill>
          <a:prstDash val="solid"/>
          <a:miter lim="800000"/>
        </a:ln>
        <a:effectLst/>
      </dsp:spPr>
      <dsp:style>
        <a:lnRef idx="2">
          <a:schemeClr val="accent3"/>
        </a:lnRef>
        <a:fillRef idx="1">
          <a:schemeClr val="lt1"/>
        </a:fillRef>
        <a:effectRef idx="0">
          <a:schemeClr val="accent3"/>
        </a:effectRef>
        <a:fontRef idx="minor">
          <a:schemeClr val="dk1"/>
        </a:fontRef>
      </dsp:style>
      <dsp:txBody>
        <a:bodyPr spcFirstLastPara="0" vert="horz" wrap="square" lIns="26670" tIns="26670" rIns="26670" bIns="26670" numCol="1" spcCol="1270" anchor="ctr" anchorCtr="0">
          <a:noAutofit/>
        </a:bodyPr>
        <a:lstStyle/>
        <a:p>
          <a:pPr marL="0" lvl="0" indent="0" algn="just" defTabSz="311150">
            <a:lnSpc>
              <a:spcPct val="90000"/>
            </a:lnSpc>
            <a:spcBef>
              <a:spcPct val="0"/>
            </a:spcBef>
            <a:spcAft>
              <a:spcPct val="35000"/>
            </a:spcAft>
            <a:buNone/>
          </a:pPr>
          <a:r>
            <a:rPr lang="es-CR" sz="700" kern="1200">
              <a:latin typeface="Book Antiqua" panose="02040602050305030304" pitchFamily="18" charset="0"/>
            </a:rPr>
            <a:t>De aprobar el escenario D, se genera un aumento en la entrada de asuntos según el rango fijado por Corte Plena, de ser de 20 millones, el incremento en la entrada de los Juzgados Civiles sería del 4-6%.</a:t>
          </a:r>
        </a:p>
      </dsp:txBody>
      <dsp:txXfrm>
        <a:off x="2682389" y="1625749"/>
        <a:ext cx="2320744" cy="1392446"/>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5EAE840-C618-4AF4-BA04-0B52DAEACCE7}">
      <dsp:nvSpPr>
        <dsp:cNvPr id="0" name=""/>
        <dsp:cNvSpPr/>
      </dsp:nvSpPr>
      <dsp:spPr>
        <a:xfrm>
          <a:off x="250620" y="1551"/>
          <a:ext cx="2205459" cy="1323275"/>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just" defTabSz="355600">
            <a:lnSpc>
              <a:spcPct val="90000"/>
            </a:lnSpc>
            <a:spcBef>
              <a:spcPct val="0"/>
            </a:spcBef>
            <a:spcAft>
              <a:spcPct val="35000"/>
            </a:spcAft>
            <a:buFont typeface="Symbol" panose="05050102010706020507" pitchFamily="18" charset="2"/>
            <a:buNone/>
          </a:pPr>
          <a:r>
            <a:rPr lang="es-ES" sz="800" kern="1200">
              <a:latin typeface="Book Antiqua" panose="02040602050305030304" pitchFamily="18" charset="0"/>
            </a:rPr>
            <a:t>De aprobar el escenario A.1 y fijarse la cuantía por ejemplo en </a:t>
          </a:r>
          <a:r>
            <a:rPr lang="es-CR" sz="800" kern="1200">
              <a:latin typeface="Book Antiqua" panose="02040602050305030304" pitchFamily="18" charset="0"/>
            </a:rPr>
            <a:t>¢20 000 000 los Tribunales Colegiados perderían cerca del 55% de asuntos ordinarios estimables=506,7 ordinarios a nivel nacional (tabla 49 de este informe). En el caso del escenario A.2 su entrada se mantendría igual a la actual, se podría acceder al recurso de casación solo si la cuantía es superior a ¢20 000 000 o el monto que fije Corte Plena.</a:t>
          </a:r>
        </a:p>
      </dsp:txBody>
      <dsp:txXfrm>
        <a:off x="250620" y="1551"/>
        <a:ext cx="2205459" cy="1323275"/>
      </dsp:txXfrm>
    </dsp:sp>
    <dsp:sp modelId="{52C007DC-DD75-446B-8AB1-74FECCBF5947}">
      <dsp:nvSpPr>
        <dsp:cNvPr id="0" name=""/>
        <dsp:cNvSpPr/>
      </dsp:nvSpPr>
      <dsp:spPr>
        <a:xfrm>
          <a:off x="2676625" y="1551"/>
          <a:ext cx="2205459" cy="1323275"/>
        </a:xfrm>
        <a:prstGeom prst="rect">
          <a:avLst/>
        </a:prstGeom>
        <a:solidFill>
          <a:schemeClr val="lt1"/>
        </a:solidFill>
        <a:ln w="12700" cap="flat" cmpd="sng" algn="ctr">
          <a:solidFill>
            <a:schemeClr val="accent6"/>
          </a:solidFill>
          <a:prstDash val="solid"/>
          <a:miter lim="800000"/>
        </a:ln>
        <a:effectLst/>
      </dsp:spPr>
      <dsp:style>
        <a:lnRef idx="2">
          <a:schemeClr val="accent6"/>
        </a:lnRef>
        <a:fillRef idx="1">
          <a:schemeClr val="lt1"/>
        </a:fillRef>
        <a:effectRef idx="0">
          <a:schemeClr val="accent6"/>
        </a:effectRef>
        <a:fontRef idx="minor">
          <a:schemeClr val="dk1"/>
        </a:fontRef>
      </dsp:style>
      <dsp:txBody>
        <a:bodyPr spcFirstLastPara="0" vert="horz" wrap="square" lIns="30480" tIns="30480" rIns="30480" bIns="30480" numCol="1" spcCol="1270" anchor="ctr" anchorCtr="0">
          <a:noAutofit/>
        </a:bodyPr>
        <a:lstStyle/>
        <a:p>
          <a:pPr marL="0" lvl="0" indent="0" algn="just" defTabSz="355600">
            <a:lnSpc>
              <a:spcPct val="90000"/>
            </a:lnSpc>
            <a:spcBef>
              <a:spcPct val="0"/>
            </a:spcBef>
            <a:spcAft>
              <a:spcPct val="35000"/>
            </a:spcAft>
            <a:buFont typeface="Symbol" panose="05050102010706020507" pitchFamily="18" charset="2"/>
            <a:buNone/>
          </a:pPr>
          <a:r>
            <a:rPr lang="es-ES" sz="800" kern="1200">
              <a:latin typeface="Book Antiqua" panose="02040602050305030304" pitchFamily="18" charset="0"/>
            </a:rPr>
            <a:t>De aprobar el escenario B la cuantía sería de aproximadamente </a:t>
          </a:r>
          <a:r>
            <a:rPr lang="es-CR" sz="800" kern="1200">
              <a:latin typeface="Book Antiqua" panose="02040602050305030304" pitchFamily="18" charset="0"/>
            </a:rPr>
            <a:t>¢4 400 000,  implicaría una reducción en la entrada, específicamente de los procesos ordinarios estimados entre ¢1 y ¢4 400 000 que representan el 20% de su entrada, en promedio 164 ordinarios al año (tabla 55).</a:t>
          </a:r>
        </a:p>
      </dsp:txBody>
      <dsp:txXfrm>
        <a:off x="2676625" y="1551"/>
        <a:ext cx="2205459" cy="1323275"/>
      </dsp:txXfrm>
    </dsp:sp>
    <dsp:sp modelId="{5CE2F730-F86A-4EEF-87A5-14358862B198}">
      <dsp:nvSpPr>
        <dsp:cNvPr id="0" name=""/>
        <dsp:cNvSpPr/>
      </dsp:nvSpPr>
      <dsp:spPr>
        <a:xfrm>
          <a:off x="250620" y="1545372"/>
          <a:ext cx="2205459" cy="1323275"/>
        </a:xfrm>
        <a:prstGeom prst="rect">
          <a:avLst/>
        </a:prstGeom>
        <a:solidFill>
          <a:schemeClr val="lt1"/>
        </a:solidFill>
        <a:ln w="12700" cap="flat" cmpd="sng" algn="ctr">
          <a:solidFill>
            <a:schemeClr val="accent2"/>
          </a:solidFill>
          <a:prstDash val="solid"/>
          <a:miter lim="800000"/>
        </a:ln>
        <a:effectLst/>
      </dsp:spPr>
      <dsp:style>
        <a:lnRef idx="2">
          <a:schemeClr val="accent2"/>
        </a:lnRef>
        <a:fillRef idx="1">
          <a:schemeClr val="lt1"/>
        </a:fillRef>
        <a:effectRef idx="0">
          <a:schemeClr val="accent2"/>
        </a:effectRef>
        <a:fontRef idx="minor">
          <a:schemeClr val="dk1"/>
        </a:fontRef>
      </dsp:style>
      <dsp:txBody>
        <a:bodyPr spcFirstLastPara="0" vert="horz" wrap="square" lIns="30480" tIns="30480" rIns="30480" bIns="30480" numCol="1" spcCol="1270" anchor="ctr" anchorCtr="0">
          <a:noAutofit/>
        </a:bodyPr>
        <a:lstStyle/>
        <a:p>
          <a:pPr marL="0" lvl="0" indent="0" algn="just" defTabSz="355600">
            <a:lnSpc>
              <a:spcPct val="90000"/>
            </a:lnSpc>
            <a:spcBef>
              <a:spcPct val="0"/>
            </a:spcBef>
            <a:spcAft>
              <a:spcPct val="35000"/>
            </a:spcAft>
            <a:buFont typeface="Symbol" panose="05050102010706020507" pitchFamily="18" charset="2"/>
            <a:buNone/>
          </a:pPr>
          <a:r>
            <a:rPr lang="es-CR" sz="800" kern="1200">
              <a:latin typeface="Book Antiqua" panose="02040602050305030304" pitchFamily="18" charset="0"/>
            </a:rPr>
            <a:t>De aprobar el escenario C </a:t>
          </a:r>
          <a:r>
            <a:rPr lang="es-ES" sz="800" kern="1200">
              <a:latin typeface="Book Antiqua" panose="02040602050305030304" pitchFamily="18" charset="0"/>
            </a:rPr>
            <a:t>la cuantía se mantiene.</a:t>
          </a:r>
          <a:endParaRPr lang="es-CR" sz="800" kern="1200">
            <a:latin typeface="Book Antiqua" panose="02040602050305030304" pitchFamily="18" charset="0"/>
          </a:endParaRPr>
        </a:p>
      </dsp:txBody>
      <dsp:txXfrm>
        <a:off x="250620" y="1545372"/>
        <a:ext cx="2205459" cy="1323275"/>
      </dsp:txXfrm>
    </dsp:sp>
    <dsp:sp modelId="{E54E8391-1A7C-44CB-8696-27DC22016C49}">
      <dsp:nvSpPr>
        <dsp:cNvPr id="0" name=""/>
        <dsp:cNvSpPr/>
      </dsp:nvSpPr>
      <dsp:spPr>
        <a:xfrm>
          <a:off x="2676625" y="1545372"/>
          <a:ext cx="2205459" cy="1323275"/>
        </a:xfrm>
        <a:prstGeom prst="rect">
          <a:avLst/>
        </a:prstGeom>
        <a:solidFill>
          <a:schemeClr val="lt1"/>
        </a:solidFill>
        <a:ln w="12700" cap="flat" cmpd="sng" algn="ctr">
          <a:solidFill>
            <a:schemeClr val="accent3"/>
          </a:solidFill>
          <a:prstDash val="solid"/>
          <a:miter lim="800000"/>
        </a:ln>
        <a:effectLst/>
      </dsp:spPr>
      <dsp:style>
        <a:lnRef idx="2">
          <a:schemeClr val="accent3"/>
        </a:lnRef>
        <a:fillRef idx="1">
          <a:schemeClr val="lt1"/>
        </a:fillRef>
        <a:effectRef idx="0">
          <a:schemeClr val="accent3"/>
        </a:effectRef>
        <a:fontRef idx="minor">
          <a:schemeClr val="dk1"/>
        </a:fontRef>
      </dsp:style>
      <dsp:txBody>
        <a:bodyPr spcFirstLastPara="0" vert="horz" wrap="square" lIns="30480" tIns="30480" rIns="30480" bIns="30480" numCol="1" spcCol="1270" anchor="ctr" anchorCtr="0">
          <a:noAutofit/>
        </a:bodyPr>
        <a:lstStyle/>
        <a:p>
          <a:pPr marL="0" lvl="0" indent="0" algn="just" defTabSz="355600">
            <a:lnSpc>
              <a:spcPct val="90000"/>
            </a:lnSpc>
            <a:spcBef>
              <a:spcPct val="0"/>
            </a:spcBef>
            <a:spcAft>
              <a:spcPct val="35000"/>
            </a:spcAft>
            <a:buNone/>
          </a:pPr>
          <a:r>
            <a:rPr lang="es-CR" sz="800" kern="1200">
              <a:latin typeface="Book Antiqua" panose="02040602050305030304" pitchFamily="18" charset="0"/>
            </a:rPr>
            <a:t>De aprobar el escenario D, sería un impacto similar al descrito en el escenario A.1 de incrementarse a 20 millones la cuantía. El impacto dependerá del monto aprobado por Corte Plena, pero siempre representará una disminución en la entrada para los Tribunales Colegiados. </a:t>
          </a:r>
        </a:p>
      </dsp:txBody>
      <dsp:txXfrm>
        <a:off x="2676625" y="1545372"/>
        <a:ext cx="2205459" cy="1323275"/>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5EAE840-C618-4AF4-BA04-0B52DAEACCE7}">
      <dsp:nvSpPr>
        <dsp:cNvPr id="0" name=""/>
        <dsp:cNvSpPr/>
      </dsp:nvSpPr>
      <dsp:spPr>
        <a:xfrm>
          <a:off x="641" y="95027"/>
          <a:ext cx="2503707" cy="1502224"/>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marL="0" lvl="0" indent="0" algn="just" defTabSz="266700">
            <a:lnSpc>
              <a:spcPct val="90000"/>
            </a:lnSpc>
            <a:spcBef>
              <a:spcPct val="0"/>
            </a:spcBef>
            <a:spcAft>
              <a:spcPct val="35000"/>
            </a:spcAft>
            <a:buFont typeface="Symbol" panose="05050102010706020507" pitchFamily="18" charset="2"/>
            <a:buNone/>
          </a:pPr>
          <a:r>
            <a:rPr lang="es-ES" sz="600" kern="1200">
              <a:latin typeface="Book Antiqua" panose="02040602050305030304" pitchFamily="18" charset="0"/>
            </a:rPr>
            <a:t>De aprobar el escenario A en cualquiera de las versiones, se daría un incremento en la entrada de apelaciones de sentencia (proporcional a la reducción en la entrada de las Salas Primera y Segunda en procesos ordinarios y universales respectivamente).  </a:t>
          </a:r>
        </a:p>
        <a:p>
          <a:pPr marL="0" lvl="0" indent="0" algn="just" defTabSz="266700">
            <a:lnSpc>
              <a:spcPct val="90000"/>
            </a:lnSpc>
            <a:spcBef>
              <a:spcPct val="0"/>
            </a:spcBef>
            <a:spcAft>
              <a:spcPct val="35000"/>
            </a:spcAft>
            <a:buFont typeface="Symbol" panose="05050102010706020507" pitchFamily="18" charset="2"/>
            <a:buNone/>
          </a:pPr>
          <a:r>
            <a:rPr lang="es-ES" sz="600" kern="1200">
              <a:latin typeface="Book Antiqua" panose="02040602050305030304" pitchFamily="18" charset="0"/>
            </a:rPr>
            <a:t>También se generaría un incremento de las apelaciones tanto de procesos principales, incidentes o aspectos apelables por debajo del monto fijado para la mayor cuantía tanto en Civil como Cobro; según el artículo 67.3 del CPC. </a:t>
          </a:r>
        </a:p>
        <a:p>
          <a:pPr marL="0" lvl="0" indent="0" algn="just" defTabSz="266700">
            <a:lnSpc>
              <a:spcPct val="90000"/>
            </a:lnSpc>
            <a:spcBef>
              <a:spcPct val="0"/>
            </a:spcBef>
            <a:spcAft>
              <a:spcPct val="35000"/>
            </a:spcAft>
            <a:buFont typeface="Symbol" panose="05050102010706020507" pitchFamily="18" charset="2"/>
            <a:buNone/>
          </a:pPr>
          <a:r>
            <a:rPr lang="es-ES" sz="600" kern="1200">
              <a:latin typeface="Book Antiqua" panose="02040602050305030304" pitchFamily="18" charset="0"/>
            </a:rPr>
            <a:t>Y se proyecta un posible incremento en la entrada del Tribunal Segundo de Apelación Civil de San José por la modificación en el limite de cuantia de los procesos concursales para las apelaciones previstas en los incisos 17,23 y 26 del artículo 57 de la nueva Ley Concursal y artículo 58 de esa misma norma.</a:t>
          </a:r>
          <a:endParaRPr lang="es-CR" sz="600" kern="1200">
            <a:latin typeface="Book Antiqua" panose="02040602050305030304" pitchFamily="18" charset="0"/>
          </a:endParaRPr>
        </a:p>
      </dsp:txBody>
      <dsp:txXfrm>
        <a:off x="641" y="95027"/>
        <a:ext cx="2503707" cy="1502224"/>
      </dsp:txXfrm>
    </dsp:sp>
    <dsp:sp modelId="{52C007DC-DD75-446B-8AB1-74FECCBF5947}">
      <dsp:nvSpPr>
        <dsp:cNvPr id="0" name=""/>
        <dsp:cNvSpPr/>
      </dsp:nvSpPr>
      <dsp:spPr>
        <a:xfrm>
          <a:off x="2754720" y="95027"/>
          <a:ext cx="2503707" cy="1502224"/>
        </a:xfrm>
        <a:prstGeom prst="rect">
          <a:avLst/>
        </a:prstGeom>
        <a:solidFill>
          <a:schemeClr val="lt1"/>
        </a:solidFill>
        <a:ln w="12700" cap="flat" cmpd="sng" algn="ctr">
          <a:solidFill>
            <a:schemeClr val="accent6"/>
          </a:solidFill>
          <a:prstDash val="solid"/>
          <a:miter lim="800000"/>
        </a:ln>
        <a:effectLst/>
      </dsp:spPr>
      <dsp:style>
        <a:lnRef idx="2">
          <a:schemeClr val="accent6"/>
        </a:lnRef>
        <a:fillRef idx="1">
          <a:schemeClr val="lt1"/>
        </a:fillRef>
        <a:effectRef idx="0">
          <a:schemeClr val="accent6"/>
        </a:effectRef>
        <a:fontRef idx="minor">
          <a:schemeClr val="dk1"/>
        </a:fontRef>
      </dsp:style>
      <dsp:txBody>
        <a:bodyPr spcFirstLastPara="0" vert="horz" wrap="square" lIns="26670" tIns="26670" rIns="26670" bIns="26670" numCol="1" spcCol="1270" anchor="ctr" anchorCtr="0">
          <a:noAutofit/>
        </a:bodyPr>
        <a:lstStyle/>
        <a:p>
          <a:pPr marL="0" lvl="0" indent="0" algn="just" defTabSz="311150">
            <a:lnSpc>
              <a:spcPct val="90000"/>
            </a:lnSpc>
            <a:spcBef>
              <a:spcPct val="0"/>
            </a:spcBef>
            <a:spcAft>
              <a:spcPct val="35000"/>
            </a:spcAft>
            <a:buFont typeface="Symbol" panose="05050102010706020507" pitchFamily="18" charset="2"/>
            <a:buNone/>
          </a:pPr>
          <a:r>
            <a:rPr lang="es-ES" sz="700" kern="1200">
              <a:latin typeface="Book Antiqua" panose="02040602050305030304" pitchFamily="18" charset="0"/>
            </a:rPr>
            <a:t>De aprobar el escenario B la cuantía sería de aproximadamente </a:t>
          </a:r>
          <a:r>
            <a:rPr lang="es-CR" sz="700" kern="1200">
              <a:latin typeface="Book Antiqua" panose="02040602050305030304" pitchFamily="18" charset="0"/>
            </a:rPr>
            <a:t>¢4 400 000,  implicaría un aumento de apelaciones de sentencia en el rango de ¢3 000 000  (monto actual) a ¢4 400 000, que se estima en aproximadamente 21 recursos al año (tabla 67). </a:t>
          </a:r>
        </a:p>
        <a:p>
          <a:pPr marL="0" lvl="0" indent="0" algn="just" defTabSz="311150">
            <a:lnSpc>
              <a:spcPct val="90000"/>
            </a:lnSpc>
            <a:spcBef>
              <a:spcPct val="0"/>
            </a:spcBef>
            <a:spcAft>
              <a:spcPct val="35000"/>
            </a:spcAft>
            <a:buFont typeface="Symbol" panose="05050102010706020507" pitchFamily="18" charset="2"/>
            <a:buNone/>
          </a:pPr>
          <a:r>
            <a:rPr lang="es-CR" sz="700" kern="1200">
              <a:latin typeface="Book Antiqua" panose="02040602050305030304" pitchFamily="18" charset="0"/>
            </a:rPr>
            <a:t>Además de los asuntos que actualmente no tienen apelación, pero que si tendrían a partir del incremento según </a:t>
          </a:r>
          <a:r>
            <a:rPr lang="es-ES" sz="700" kern="1200">
              <a:latin typeface="Book Antiqua" panose="02040602050305030304" pitchFamily="18" charset="0"/>
            </a:rPr>
            <a:t>artículo 67.3 tanto en Civil como en Cobro en todos los Tribunales del país.</a:t>
          </a:r>
        </a:p>
        <a:p>
          <a:pPr marL="0" lvl="0" indent="0" algn="just" defTabSz="311150">
            <a:lnSpc>
              <a:spcPct val="90000"/>
            </a:lnSpc>
            <a:spcBef>
              <a:spcPct val="0"/>
            </a:spcBef>
            <a:spcAft>
              <a:spcPct val="35000"/>
            </a:spcAft>
            <a:buFont typeface="Symbol" panose="05050102010706020507" pitchFamily="18" charset="2"/>
            <a:buNone/>
          </a:pPr>
          <a:r>
            <a:rPr lang="es-ES" sz="700" kern="1200">
              <a:latin typeface="Book Antiqua" panose="02040602050305030304" pitchFamily="18" charset="0"/>
            </a:rPr>
            <a:t>Y el impacto en el Tribunal Segundo de Apelación Civil de San José por el posible incremento al distribuirse competencias entre ese Tribunal y la Sala Segunda (apelaciones previstas en los incisos 17, 23 y 26 del artículo 57 de la Ley Concursal y artículo 58 de esa misma norma) </a:t>
          </a:r>
          <a:endParaRPr lang="es-CR" sz="700" kern="1200">
            <a:latin typeface="Book Antiqua" panose="02040602050305030304" pitchFamily="18" charset="0"/>
          </a:endParaRPr>
        </a:p>
      </dsp:txBody>
      <dsp:txXfrm>
        <a:off x="2754720" y="95027"/>
        <a:ext cx="2503707" cy="1502224"/>
      </dsp:txXfrm>
    </dsp:sp>
    <dsp:sp modelId="{5CE2F730-F86A-4EEF-87A5-14358862B198}">
      <dsp:nvSpPr>
        <dsp:cNvPr id="0" name=""/>
        <dsp:cNvSpPr/>
      </dsp:nvSpPr>
      <dsp:spPr>
        <a:xfrm>
          <a:off x="641" y="1847622"/>
          <a:ext cx="2503707" cy="1502224"/>
        </a:xfrm>
        <a:prstGeom prst="rect">
          <a:avLst/>
        </a:prstGeom>
        <a:solidFill>
          <a:schemeClr val="lt1"/>
        </a:solidFill>
        <a:ln w="12700" cap="flat" cmpd="sng" algn="ctr">
          <a:solidFill>
            <a:schemeClr val="accent2"/>
          </a:solidFill>
          <a:prstDash val="solid"/>
          <a:miter lim="800000"/>
        </a:ln>
        <a:effectLst/>
      </dsp:spPr>
      <dsp:style>
        <a:lnRef idx="2">
          <a:schemeClr val="accent2"/>
        </a:lnRef>
        <a:fillRef idx="1">
          <a:schemeClr val="lt1"/>
        </a:fillRef>
        <a:effectRef idx="0">
          <a:schemeClr val="accent2"/>
        </a:effectRef>
        <a:fontRef idx="minor">
          <a:schemeClr val="dk1"/>
        </a:fontRef>
      </dsp:style>
      <dsp:txBody>
        <a:bodyPr spcFirstLastPara="0" vert="horz" wrap="square" lIns="22860" tIns="22860" rIns="22860" bIns="22860" numCol="1" spcCol="1270" anchor="ctr" anchorCtr="0">
          <a:noAutofit/>
        </a:bodyPr>
        <a:lstStyle/>
        <a:p>
          <a:pPr marL="0" lvl="0" indent="0" algn="just" defTabSz="266700">
            <a:lnSpc>
              <a:spcPct val="90000"/>
            </a:lnSpc>
            <a:spcBef>
              <a:spcPct val="0"/>
            </a:spcBef>
            <a:spcAft>
              <a:spcPct val="35000"/>
            </a:spcAft>
            <a:buFont typeface="Symbol" panose="05050102010706020507" pitchFamily="18" charset="2"/>
            <a:buNone/>
          </a:pPr>
          <a:r>
            <a:rPr lang="es-CR" sz="600" kern="1200">
              <a:latin typeface="Book Antiqua" panose="02040602050305030304" pitchFamily="18" charset="0"/>
            </a:rPr>
            <a:t>De aprobar el escenario C </a:t>
          </a:r>
          <a:r>
            <a:rPr lang="es-ES" sz="600" kern="1200">
              <a:latin typeface="Book Antiqua" panose="02040602050305030304" pitchFamily="18" charset="0"/>
            </a:rPr>
            <a:t>la cuantía se mantiene.</a:t>
          </a:r>
          <a:endParaRPr lang="es-CR" sz="600" kern="1200">
            <a:latin typeface="Book Antiqua" panose="02040602050305030304" pitchFamily="18" charset="0"/>
          </a:endParaRPr>
        </a:p>
      </dsp:txBody>
      <dsp:txXfrm>
        <a:off x="641" y="1847622"/>
        <a:ext cx="2503707" cy="1502224"/>
      </dsp:txXfrm>
    </dsp:sp>
    <dsp:sp modelId="{E54E8391-1A7C-44CB-8696-27DC22016C49}">
      <dsp:nvSpPr>
        <dsp:cNvPr id="0" name=""/>
        <dsp:cNvSpPr/>
      </dsp:nvSpPr>
      <dsp:spPr>
        <a:xfrm>
          <a:off x="2754720" y="1847622"/>
          <a:ext cx="2503707" cy="1502224"/>
        </a:xfrm>
        <a:prstGeom prst="rect">
          <a:avLst/>
        </a:prstGeom>
        <a:solidFill>
          <a:schemeClr val="lt1"/>
        </a:solidFill>
        <a:ln w="12700" cap="flat" cmpd="sng" algn="ctr">
          <a:solidFill>
            <a:schemeClr val="accent3"/>
          </a:solidFill>
          <a:prstDash val="solid"/>
          <a:miter lim="800000"/>
        </a:ln>
        <a:effectLst/>
      </dsp:spPr>
      <dsp:style>
        <a:lnRef idx="2">
          <a:schemeClr val="accent3"/>
        </a:lnRef>
        <a:fillRef idx="1">
          <a:schemeClr val="lt1"/>
        </a:fillRef>
        <a:effectRef idx="0">
          <a:schemeClr val="accent3"/>
        </a:effectRef>
        <a:fontRef idx="minor">
          <a:schemeClr val="dk1"/>
        </a:fontRef>
      </dsp:style>
      <dsp:txBody>
        <a:bodyPr spcFirstLastPara="0" vert="horz" wrap="square" lIns="22860" tIns="22860" rIns="22860" bIns="22860" numCol="1" spcCol="1270" anchor="ctr" anchorCtr="0">
          <a:noAutofit/>
        </a:bodyPr>
        <a:lstStyle/>
        <a:p>
          <a:pPr marL="0" lvl="0" indent="0" algn="just" defTabSz="266700">
            <a:lnSpc>
              <a:spcPct val="90000"/>
            </a:lnSpc>
            <a:spcBef>
              <a:spcPct val="0"/>
            </a:spcBef>
            <a:spcAft>
              <a:spcPct val="35000"/>
            </a:spcAft>
            <a:buNone/>
          </a:pPr>
          <a:r>
            <a:rPr lang="es-CR" sz="600" kern="1200">
              <a:latin typeface="Book Antiqua" panose="02040602050305030304" pitchFamily="18" charset="0"/>
            </a:rPr>
            <a:t>De aprobar el escenario D, </a:t>
          </a:r>
          <a:r>
            <a:rPr lang="es-ES" sz="600" kern="1200">
              <a:latin typeface="Book Antiqua" panose="02040602050305030304" pitchFamily="18" charset="0"/>
            </a:rPr>
            <a:t>provocaría un aumento en las apelaciones de sentencia proporcional al rango que apruebe la Corte Plena. El incremento en la entrada de apelaciones de sentencia (proporcional a la reducción en la entrada de las Salas Primera y Segunda en procesos ordinarios y universales respectivamente). </a:t>
          </a:r>
        </a:p>
        <a:p>
          <a:pPr marL="0" lvl="0" indent="0" algn="just" defTabSz="266700">
            <a:lnSpc>
              <a:spcPct val="90000"/>
            </a:lnSpc>
            <a:spcBef>
              <a:spcPct val="0"/>
            </a:spcBef>
            <a:spcAft>
              <a:spcPct val="35000"/>
            </a:spcAft>
            <a:buFont typeface="Symbol" panose="05050102010706020507" pitchFamily="18" charset="2"/>
            <a:buNone/>
          </a:pPr>
          <a:r>
            <a:rPr lang="es-ES" sz="600" kern="1200">
              <a:latin typeface="Book Antiqua" panose="02040602050305030304" pitchFamily="18" charset="0"/>
            </a:rPr>
            <a:t>También se generaría un incremento de las apelaciones tanto de procesos principales, incidentes o aspectos apelables por debajo del monto fijado para la mayor cuantía tanto en Civil como Cobro; según el artículo 67.3 del CPC. </a:t>
          </a:r>
        </a:p>
        <a:p>
          <a:pPr marL="0" lvl="0" indent="0" algn="just" defTabSz="266700">
            <a:lnSpc>
              <a:spcPct val="90000"/>
            </a:lnSpc>
            <a:spcBef>
              <a:spcPct val="0"/>
            </a:spcBef>
            <a:spcAft>
              <a:spcPct val="35000"/>
            </a:spcAft>
            <a:buFont typeface="Symbol" panose="05050102010706020507" pitchFamily="18" charset="2"/>
            <a:buNone/>
          </a:pPr>
          <a:r>
            <a:rPr lang="es-ES" sz="600" kern="1200">
              <a:latin typeface="Book Antiqua" panose="02040602050305030304" pitchFamily="18" charset="0"/>
            </a:rPr>
            <a:t>También posible incremento en la entrada del Tribunal Segundo de Apelación Civil de San José por la modificación en el limite de cuantia de los procesos concursales para las apelaciones previstas en los incisos 17,23 y 26 del artículo 57 de la nueva Ley Concursal y artículo 58 de esa misma norma.</a:t>
          </a:r>
          <a:endParaRPr lang="es-CR" sz="600" kern="1200">
            <a:latin typeface="Book Antiqua" panose="02040602050305030304" pitchFamily="18" charset="0"/>
          </a:endParaRPr>
        </a:p>
      </dsp:txBody>
      <dsp:txXfrm>
        <a:off x="2754720" y="1847622"/>
        <a:ext cx="2503707" cy="1502224"/>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5EAE840-C618-4AF4-BA04-0B52DAEACCE7}">
      <dsp:nvSpPr>
        <dsp:cNvPr id="0" name=""/>
        <dsp:cNvSpPr/>
      </dsp:nvSpPr>
      <dsp:spPr>
        <a:xfrm>
          <a:off x="51843" y="120201"/>
          <a:ext cx="2443548" cy="1466129"/>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marL="0" lvl="0" indent="0" algn="just" defTabSz="311150">
            <a:lnSpc>
              <a:spcPct val="90000"/>
            </a:lnSpc>
            <a:spcBef>
              <a:spcPct val="0"/>
            </a:spcBef>
            <a:spcAft>
              <a:spcPct val="35000"/>
            </a:spcAft>
            <a:buFont typeface="Symbol" panose="05050102010706020507" pitchFamily="18" charset="2"/>
            <a:buNone/>
          </a:pPr>
          <a:r>
            <a:rPr lang="es-ES" sz="700" kern="1200">
              <a:latin typeface="Book Antiqua" panose="02040602050305030304" pitchFamily="18" charset="0"/>
            </a:rPr>
            <a:t>De aprobar el escenario A en cualquiera de las versiones se daría una disminución en la entrada de la Sala Segunda en casaciones Civiles, que de</a:t>
          </a:r>
          <a:r>
            <a:rPr lang="es-CR" sz="700" kern="1200">
              <a:latin typeface="Book Antiqua" panose="02040602050305030304" pitchFamily="18" charset="0"/>
            </a:rPr>
            <a:t> 2019 a 2021 fueron en promedio de 2 casaciones </a:t>
          </a:r>
          <a:r>
            <a:rPr lang="es-CR" sz="700" b="1" kern="1200">
              <a:latin typeface="Book Antiqua" panose="02040602050305030304" pitchFamily="18" charset="0"/>
            </a:rPr>
            <a:t>estimables</a:t>
          </a:r>
          <a:r>
            <a:rPr lang="es-CR" sz="700" kern="1200">
              <a:latin typeface="Book Antiqua" panose="02040602050305030304" pitchFamily="18" charset="0"/>
            </a:rPr>
            <a:t> por año (tabla 76) que ya no serían recursos de casación Civil ante la Sala Segunda sino distribuidos en los Tribunales de Apelación Civil de todo el país con recurso de apelación solamente. </a:t>
          </a:r>
          <a:endParaRPr lang="es-ES" sz="700" kern="1200">
            <a:latin typeface="Book Antiqua" panose="02040602050305030304" pitchFamily="18" charset="0"/>
          </a:endParaRPr>
        </a:p>
        <a:p>
          <a:pPr marL="0" lvl="0" indent="0" algn="just" defTabSz="311150">
            <a:lnSpc>
              <a:spcPct val="90000"/>
            </a:lnSpc>
            <a:spcBef>
              <a:spcPct val="0"/>
            </a:spcBef>
            <a:spcAft>
              <a:spcPct val="35000"/>
            </a:spcAft>
            <a:buFont typeface="Symbol" panose="05050102010706020507" pitchFamily="18" charset="2"/>
            <a:buNone/>
          </a:pPr>
          <a:endParaRPr lang="es-ES" sz="700" kern="1200">
            <a:latin typeface="Book Antiqua" panose="02040602050305030304" pitchFamily="18" charset="0"/>
          </a:endParaRPr>
        </a:p>
        <a:p>
          <a:pPr marL="0" lvl="0" indent="0" algn="just" defTabSz="311150">
            <a:lnSpc>
              <a:spcPct val="90000"/>
            </a:lnSpc>
            <a:spcBef>
              <a:spcPct val="0"/>
            </a:spcBef>
            <a:spcAft>
              <a:spcPct val="35000"/>
            </a:spcAft>
            <a:buFont typeface="Symbol" panose="05050102010706020507" pitchFamily="18" charset="2"/>
            <a:buNone/>
          </a:pPr>
          <a:r>
            <a:rPr lang="es-ES" sz="700" kern="1200">
              <a:latin typeface="Book Antiqua" panose="02040602050305030304" pitchFamily="18" charset="0"/>
            </a:rPr>
            <a:t>Especificamente, en casaciones concursales por las causales dispuestas en los incisos, 17,23 y 26 del artículo 57 de la Ley Concursal y artículo 58 de esa misma norma, se disminuiría la entrada en Sala Segunda que perdería competencia en promedio en 0,67 recursos al año, al pasar a ser competencia del Tribunal Segundo de Apelación CIvil de San José.</a:t>
          </a:r>
          <a:endParaRPr lang="es-CR" sz="700" kern="1200">
            <a:latin typeface="Book Antiqua" panose="02040602050305030304" pitchFamily="18" charset="0"/>
          </a:endParaRPr>
        </a:p>
      </dsp:txBody>
      <dsp:txXfrm>
        <a:off x="51843" y="120201"/>
        <a:ext cx="2443548" cy="1466129"/>
      </dsp:txXfrm>
    </dsp:sp>
    <dsp:sp modelId="{52C007DC-DD75-446B-8AB1-74FECCBF5947}">
      <dsp:nvSpPr>
        <dsp:cNvPr id="0" name=""/>
        <dsp:cNvSpPr/>
      </dsp:nvSpPr>
      <dsp:spPr>
        <a:xfrm>
          <a:off x="2688529" y="98253"/>
          <a:ext cx="2443548" cy="1466129"/>
        </a:xfrm>
        <a:prstGeom prst="rect">
          <a:avLst/>
        </a:prstGeom>
        <a:solidFill>
          <a:schemeClr val="lt1"/>
        </a:solidFill>
        <a:ln w="12700" cap="flat" cmpd="sng" algn="ctr">
          <a:solidFill>
            <a:schemeClr val="accent6"/>
          </a:solidFill>
          <a:prstDash val="solid"/>
          <a:miter lim="800000"/>
        </a:ln>
        <a:effectLst/>
      </dsp:spPr>
      <dsp:style>
        <a:lnRef idx="2">
          <a:schemeClr val="accent6"/>
        </a:lnRef>
        <a:fillRef idx="1">
          <a:schemeClr val="lt1"/>
        </a:fillRef>
        <a:effectRef idx="0">
          <a:schemeClr val="accent6"/>
        </a:effectRef>
        <a:fontRef idx="minor">
          <a:schemeClr val="dk1"/>
        </a:fontRef>
      </dsp:style>
      <dsp:txBody>
        <a:bodyPr spcFirstLastPara="0" vert="horz" wrap="square" lIns="30480" tIns="30480" rIns="30480" bIns="30480" numCol="1" spcCol="1270" anchor="ctr" anchorCtr="0">
          <a:noAutofit/>
        </a:bodyPr>
        <a:lstStyle/>
        <a:p>
          <a:pPr marL="0" lvl="0" indent="0" algn="just" defTabSz="355600">
            <a:lnSpc>
              <a:spcPct val="90000"/>
            </a:lnSpc>
            <a:spcBef>
              <a:spcPct val="0"/>
            </a:spcBef>
            <a:spcAft>
              <a:spcPct val="35000"/>
            </a:spcAft>
            <a:buFont typeface="Symbol" panose="05050102010706020507" pitchFamily="18" charset="2"/>
            <a:buNone/>
          </a:pPr>
          <a:r>
            <a:rPr lang="es-ES" sz="800" kern="1200">
              <a:latin typeface="Book Antiqua" panose="02040602050305030304" pitchFamily="18" charset="0"/>
            </a:rPr>
            <a:t>De aprobar el escenario B la cuantía sería de aproximadamente </a:t>
          </a:r>
          <a:r>
            <a:rPr lang="es-CR" sz="800" kern="1200">
              <a:latin typeface="Book Antiqua" panose="02040602050305030304" pitchFamily="18" charset="0"/>
            </a:rPr>
            <a:t>¢4 400 000  e implicaría </a:t>
          </a:r>
          <a:r>
            <a:rPr lang="es-ES" sz="800" kern="1200">
              <a:latin typeface="Book Antiqua" panose="02040602050305030304" pitchFamily="18" charset="0"/>
            </a:rPr>
            <a:t>una disminución en la entrada de la Sala Segunda en casaciones civiles estimables de 0,33 recursos al año (tabla 76). </a:t>
          </a:r>
        </a:p>
        <a:p>
          <a:pPr marL="0" lvl="0" indent="0" algn="just" defTabSz="355600">
            <a:lnSpc>
              <a:spcPct val="90000"/>
            </a:lnSpc>
            <a:spcBef>
              <a:spcPct val="0"/>
            </a:spcBef>
            <a:spcAft>
              <a:spcPct val="35000"/>
            </a:spcAft>
            <a:buFont typeface="Symbol" panose="05050102010706020507" pitchFamily="18" charset="2"/>
            <a:buNone/>
          </a:pPr>
          <a:r>
            <a:rPr lang="es-ES" sz="800" kern="1200">
              <a:latin typeface="Book Antiqua" panose="02040602050305030304" pitchFamily="18" charset="0"/>
            </a:rPr>
            <a:t>También perdería competencia en casaciones concursales por las causales dispuestas en los incisos, 17,23 y 26 del artículo 57 de la Ley Concursal y artículo 58 de esa misma norma. </a:t>
          </a:r>
          <a:endParaRPr lang="es-CR" sz="800" kern="1200">
            <a:latin typeface="Book Antiqua" panose="02040602050305030304" pitchFamily="18" charset="0"/>
          </a:endParaRPr>
        </a:p>
      </dsp:txBody>
      <dsp:txXfrm>
        <a:off x="2688529" y="98253"/>
        <a:ext cx="2443548" cy="1466129"/>
      </dsp:txXfrm>
    </dsp:sp>
    <dsp:sp modelId="{5CE2F730-F86A-4EEF-87A5-14358862B198}">
      <dsp:nvSpPr>
        <dsp:cNvPr id="0" name=""/>
        <dsp:cNvSpPr/>
      </dsp:nvSpPr>
      <dsp:spPr>
        <a:xfrm>
          <a:off x="626" y="1808737"/>
          <a:ext cx="2443548" cy="1466129"/>
        </a:xfrm>
        <a:prstGeom prst="rect">
          <a:avLst/>
        </a:prstGeom>
        <a:solidFill>
          <a:schemeClr val="lt1"/>
        </a:solidFill>
        <a:ln w="12700" cap="flat" cmpd="sng" algn="ctr">
          <a:solidFill>
            <a:schemeClr val="accent2"/>
          </a:solidFill>
          <a:prstDash val="solid"/>
          <a:miter lim="800000"/>
        </a:ln>
        <a:effectLst/>
      </dsp:spPr>
      <dsp:style>
        <a:lnRef idx="2">
          <a:schemeClr val="accent2"/>
        </a:lnRef>
        <a:fillRef idx="1">
          <a:schemeClr val="lt1"/>
        </a:fillRef>
        <a:effectRef idx="0">
          <a:schemeClr val="accent2"/>
        </a:effectRef>
        <a:fontRef idx="minor">
          <a:schemeClr val="dk1"/>
        </a:fontRef>
      </dsp:style>
      <dsp:txBody>
        <a:bodyPr spcFirstLastPara="0" vert="horz" wrap="square" lIns="30480" tIns="30480" rIns="30480" bIns="30480" numCol="1" spcCol="1270" anchor="ctr" anchorCtr="0">
          <a:noAutofit/>
        </a:bodyPr>
        <a:lstStyle/>
        <a:p>
          <a:pPr marL="0" lvl="0" indent="0" algn="just" defTabSz="355600">
            <a:lnSpc>
              <a:spcPct val="90000"/>
            </a:lnSpc>
            <a:spcBef>
              <a:spcPct val="0"/>
            </a:spcBef>
            <a:spcAft>
              <a:spcPct val="35000"/>
            </a:spcAft>
            <a:buFont typeface="Symbol" panose="05050102010706020507" pitchFamily="18" charset="2"/>
            <a:buNone/>
          </a:pPr>
          <a:r>
            <a:rPr lang="es-CR" sz="800" kern="1200">
              <a:latin typeface="Book Antiqua" panose="02040602050305030304" pitchFamily="18" charset="0"/>
            </a:rPr>
            <a:t>De aprobar el escenario C </a:t>
          </a:r>
          <a:r>
            <a:rPr lang="es-ES" sz="800" kern="1200">
              <a:latin typeface="Book Antiqua" panose="02040602050305030304" pitchFamily="18" charset="0"/>
            </a:rPr>
            <a:t>la cuantía se mantiene.</a:t>
          </a:r>
          <a:endParaRPr lang="es-CR" sz="800" kern="1200">
            <a:latin typeface="Book Antiqua" panose="02040602050305030304" pitchFamily="18" charset="0"/>
          </a:endParaRPr>
        </a:p>
      </dsp:txBody>
      <dsp:txXfrm>
        <a:off x="626" y="1808737"/>
        <a:ext cx="2443548" cy="1466129"/>
      </dsp:txXfrm>
    </dsp:sp>
    <dsp:sp modelId="{E54E8391-1A7C-44CB-8696-27DC22016C49}">
      <dsp:nvSpPr>
        <dsp:cNvPr id="0" name=""/>
        <dsp:cNvSpPr/>
      </dsp:nvSpPr>
      <dsp:spPr>
        <a:xfrm>
          <a:off x="2688529" y="1808737"/>
          <a:ext cx="2443548" cy="1466129"/>
        </a:xfrm>
        <a:prstGeom prst="rect">
          <a:avLst/>
        </a:prstGeom>
        <a:solidFill>
          <a:schemeClr val="lt1"/>
        </a:solidFill>
        <a:ln w="12700" cap="flat" cmpd="sng" algn="ctr">
          <a:solidFill>
            <a:schemeClr val="accent3"/>
          </a:solidFill>
          <a:prstDash val="solid"/>
          <a:miter lim="800000"/>
        </a:ln>
        <a:effectLst/>
      </dsp:spPr>
      <dsp:style>
        <a:lnRef idx="2">
          <a:schemeClr val="accent3"/>
        </a:lnRef>
        <a:fillRef idx="1">
          <a:schemeClr val="lt1"/>
        </a:fillRef>
        <a:effectRef idx="0">
          <a:schemeClr val="accent3"/>
        </a:effectRef>
        <a:fontRef idx="minor">
          <a:schemeClr val="dk1"/>
        </a:fontRef>
      </dsp:style>
      <dsp:txBody>
        <a:bodyPr spcFirstLastPara="0" vert="horz" wrap="square" lIns="30480" tIns="30480" rIns="30480" bIns="30480" numCol="1" spcCol="1270" anchor="ctr" anchorCtr="0">
          <a:noAutofit/>
        </a:bodyPr>
        <a:lstStyle/>
        <a:p>
          <a:pPr marL="0" lvl="0" indent="0" algn="just" defTabSz="355600">
            <a:lnSpc>
              <a:spcPct val="90000"/>
            </a:lnSpc>
            <a:spcBef>
              <a:spcPct val="0"/>
            </a:spcBef>
            <a:spcAft>
              <a:spcPct val="35000"/>
            </a:spcAft>
            <a:buNone/>
          </a:pPr>
          <a:r>
            <a:rPr lang="es-CR" sz="800" kern="1200">
              <a:latin typeface="Book Antiqua" panose="02040602050305030304" pitchFamily="18" charset="0"/>
            </a:rPr>
            <a:t>De aprobar el escenario D, </a:t>
          </a:r>
          <a:r>
            <a:rPr lang="es-ES" sz="800" kern="1200">
              <a:latin typeface="Book Antiqua" panose="02040602050305030304" pitchFamily="18" charset="0"/>
            </a:rPr>
            <a:t>provocaría una disminución en la entrada de la Sala Segunda en casaciones Civiles. Y en casaciones concursales por las causales dispuestas en los incisos, 17,23 y 26 del artículo 57 de la Ley Concursal y artículo 58 de esa misma norma. proporcional al rango que apruebe la Corte Plena.</a:t>
          </a:r>
          <a:endParaRPr lang="es-CR" sz="800" kern="1200">
            <a:latin typeface="Book Antiqua" panose="02040602050305030304" pitchFamily="18" charset="0"/>
          </a:endParaRPr>
        </a:p>
      </dsp:txBody>
      <dsp:txXfrm>
        <a:off x="2688529" y="1808737"/>
        <a:ext cx="2443548" cy="1466129"/>
      </dsp:txXfrm>
    </dsp:sp>
  </dsp:spTree>
</dsp:drawing>
</file>

<file path=word/diagrams/layout1.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EED589C-BE95-467E-B26B-A91D84D6AC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Pages>
  <Words>45536</Words>
  <Characters>250451</Characters>
  <Application>Microsoft Office Word</Application>
  <DocSecurity>0</DocSecurity>
  <Lines>2087</Lines>
  <Paragraphs>590</Paragraphs>
  <ScaleCrop>false</ScaleCrop>
  <HeadingPairs>
    <vt:vector size="2" baseType="variant">
      <vt:variant>
        <vt:lpstr>Título</vt:lpstr>
      </vt:variant>
      <vt:variant>
        <vt:i4>1</vt:i4>
      </vt:variant>
    </vt:vector>
  </HeadingPairs>
  <TitlesOfParts>
    <vt:vector size="1" baseType="lpstr">
      <vt:lpstr>-PLA-2012</vt:lpstr>
    </vt:vector>
  </TitlesOfParts>
  <Company>.</Company>
  <LinksUpToDate>false</LinksUpToDate>
  <CharactersWithSpaces>295397</CharactersWithSpaces>
  <SharedDoc>false</SharedDoc>
  <HLinks>
    <vt:vector size="12" baseType="variant">
      <vt:variant>
        <vt:i4>5373996</vt:i4>
      </vt:variant>
      <vt:variant>
        <vt:i4>9</vt:i4>
      </vt:variant>
      <vt:variant>
        <vt:i4>0</vt:i4>
      </vt:variant>
      <vt:variant>
        <vt:i4>5</vt:i4>
      </vt:variant>
      <vt:variant>
        <vt:lpwstr>https://nexuspj.poder-judicial.go.cr/</vt:lpwstr>
      </vt:variant>
      <vt:variant>
        <vt:lpwstr>_ftn8</vt:lpwstr>
      </vt:variant>
      <vt:variant>
        <vt:i4>5373996</vt:i4>
      </vt:variant>
      <vt:variant>
        <vt:i4>6</vt:i4>
      </vt:variant>
      <vt:variant>
        <vt:i4>0</vt:i4>
      </vt:variant>
      <vt:variant>
        <vt:i4>5</vt:i4>
      </vt:variant>
      <vt:variant>
        <vt:lpwstr>https://nexuspj.poder-judicial.go.cr/</vt:lpwstr>
      </vt:variant>
      <vt:variant>
        <vt:lpwstr>_ftn7</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-PLA-2012</dc:title>
  <dc:subject/>
  <dc:creator>xbarrientos</dc:creator>
  <cp:keywords/>
  <cp:lastModifiedBy>Jorge Barquero Umaña</cp:lastModifiedBy>
  <cp:revision>3</cp:revision>
  <cp:lastPrinted>2020-08-13T23:40:00Z</cp:lastPrinted>
  <dcterms:created xsi:type="dcterms:W3CDTF">2023-03-07T21:34:00Z</dcterms:created>
  <dcterms:modified xsi:type="dcterms:W3CDTF">2023-03-07T21:34:00Z</dcterms:modified>
</cp:coreProperties>
</file>